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362221E4" w:rsidR="003E1D81" w:rsidRDefault="00EB481C" w:rsidP="00EB481C">
      <w:pPr>
        <w:pStyle w:val="Pagedecouverture"/>
        <w:rPr>
          <w:noProof/>
        </w:rPr>
      </w:pPr>
      <w:bookmarkStart w:id="0" w:name="LW_BM_COVERPAGE"/>
      <w:r>
        <w:rPr>
          <w:noProof/>
        </w:rPr>
        <w:pict w14:anchorId="07A93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C8E75537-DDCE-41F5-8DD6-531EC1FF2634" style="width:455.25pt;height:438.75pt">
            <v:imagedata r:id="rId11" o:title=""/>
          </v:shape>
        </w:pict>
      </w:r>
    </w:p>
    <w:bookmarkEnd w:id="0"/>
    <w:p w14:paraId="0A37501D" w14:textId="77777777" w:rsidR="003E1D81" w:rsidRDefault="003E1D81">
      <w:pPr>
        <w:rPr>
          <w:rFonts w:ascii="Times New Roman" w:hAnsi="Times New Roman" w:cs="Times New Roman"/>
          <w:noProof/>
        </w:rPr>
        <w:sectPr w:rsidR="003E1D81" w:rsidSect="00EB481C">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1"/>
          <w:cols w:space="720"/>
          <w:docGrid w:linePitch="360"/>
        </w:sectPr>
      </w:pPr>
    </w:p>
    <w:p w14:paraId="7FA88332" w14:textId="770697C0" w:rsidR="003E1D81" w:rsidRDefault="00EB481C">
      <w:pPr>
        <w:pStyle w:val="P68B1DB1-Normal1"/>
        <w:spacing w:before="120" w:after="120" w:line="240" w:lineRule="auto"/>
        <w:jc w:val="center"/>
        <w:rPr>
          <w:rFonts w:cs="Times New Roman"/>
          <w:noProof/>
        </w:rPr>
      </w:pPr>
      <w:bookmarkStart w:id="1" w:name="_GoBack"/>
      <w:bookmarkEnd w:id="1"/>
      <w:r>
        <w:rPr>
          <w:noProof/>
        </w:rPr>
        <w:lastRenderedPageBreak/>
        <w:t>MELLÉKLET</w:t>
      </w:r>
      <w:r>
        <w:rPr>
          <w:noProof/>
        </w:rPr>
        <w:br/>
      </w:r>
    </w:p>
    <w:p w14:paraId="21F95161" w14:textId="77777777" w:rsidR="003E1D81" w:rsidRDefault="00EB481C">
      <w:pPr>
        <w:pStyle w:val="P68B1DB1-Normal1"/>
        <w:spacing w:before="120" w:after="120" w:line="240" w:lineRule="auto"/>
        <w:jc w:val="both"/>
        <w:rPr>
          <w:rFonts w:cs="Times New Roman"/>
          <w:noProof/>
        </w:rPr>
      </w:pPr>
      <w:r>
        <w:rPr>
          <w:noProof/>
        </w:rPr>
        <w:t>1. SZAKASZ: A HELYREÁLLÍTÁSI ÉS REZILIENCIAÉPÍTÉSI TERVBEN FOGLALT REFORMOK ÉS BERUHÁZÁSOK</w:t>
      </w:r>
    </w:p>
    <w:p w14:paraId="5DAB6C7B" w14:textId="77777777" w:rsidR="003E1D81" w:rsidRDefault="003E1D81">
      <w:pPr>
        <w:spacing w:before="120" w:after="120" w:line="240" w:lineRule="auto"/>
        <w:jc w:val="both"/>
        <w:rPr>
          <w:rFonts w:ascii="Times New Roman" w:hAnsi="Times New Roman" w:cs="Times New Roman"/>
          <w:noProof/>
          <w:sz w:val="28"/>
        </w:rPr>
      </w:pPr>
    </w:p>
    <w:p w14:paraId="7965D8B9" w14:textId="77777777" w:rsidR="003E1D81" w:rsidRDefault="00EB481C">
      <w:pPr>
        <w:pStyle w:val="P68B1DB1-Normal1"/>
        <w:numPr>
          <w:ilvl w:val="0"/>
          <w:numId w:val="191"/>
        </w:numPr>
        <w:spacing w:before="120" w:after="120" w:line="240" w:lineRule="auto"/>
        <w:jc w:val="both"/>
        <w:rPr>
          <w:rFonts w:cs="Times New Roman"/>
          <w:noProof/>
        </w:rPr>
      </w:pPr>
      <w:r>
        <w:rPr>
          <w:noProof/>
        </w:rPr>
        <w:t xml:space="preserve">A reformok és beruházások ismertetése </w:t>
      </w:r>
    </w:p>
    <w:p w14:paraId="60E6C9D1" w14:textId="77777777" w:rsidR="003E1D81" w:rsidRDefault="00EB481C">
      <w:pPr>
        <w:pStyle w:val="P68B1DB1-Heading12"/>
        <w:rPr>
          <w:rFonts w:cs="Times New Roman"/>
          <w:noProof/>
        </w:rPr>
      </w:pPr>
      <w:r>
        <w:rPr>
          <w:noProof/>
        </w:rPr>
        <w:t xml:space="preserve">A. 01. ÖSSZETEVŐ: FENNTARTHATÓ, BIZTONSÁGOS ÉS ÖSSZEKAPCSOLT MOBILITÁSI SOKKTERV A VÁROSI ÉS NAGYVÁROSI KÖRNYEZETBEN </w:t>
      </w:r>
    </w:p>
    <w:p w14:paraId="155EA4AC" w14:textId="77777777" w:rsidR="003E1D81" w:rsidRDefault="00EB481C">
      <w:pPr>
        <w:pStyle w:val="P68B1DB1-Normal4"/>
        <w:spacing w:before="120" w:after="120" w:line="240" w:lineRule="auto"/>
        <w:jc w:val="both"/>
        <w:rPr>
          <w:rFonts w:cs="Times New Roman"/>
          <w:noProof/>
        </w:rPr>
      </w:pPr>
      <w:r>
        <w:rPr>
          <w:noProof/>
        </w:rPr>
        <w:t xml:space="preserve">A spanyol helyreállítási és rezilienciaépítési terv e komponense a levegőminőséggel kapcsolatos </w:t>
      </w:r>
      <w:r>
        <w:rPr>
          <w:noProof/>
        </w:rPr>
        <w:t>kihívásokkal foglalkozik, amelyek főként a nagyvárosi területeket érintik, és 2018-ban több mint 20000 korai halálesethez vezettek Spanyolországban. Az ezen alkotóelemre vonatkozó reformok és beruházások átfogó célja a tiszta, biztonságos és intelligens vá</w:t>
      </w:r>
      <w:r>
        <w:rPr>
          <w:noProof/>
        </w:rPr>
        <w:t>rosi mobilitás felé való elmozdulás. E komponens konkrét célkitűzései a következők:</w:t>
      </w:r>
    </w:p>
    <w:p w14:paraId="7292808A" w14:textId="3FB5A64D" w:rsidR="003E1D81" w:rsidRDefault="00EB481C">
      <w:pPr>
        <w:pStyle w:val="P68B1DB1-Normal4"/>
        <w:spacing w:before="120" w:after="120" w:line="240" w:lineRule="auto"/>
        <w:jc w:val="both"/>
        <w:rPr>
          <w:rFonts w:cs="Times New Roman"/>
          <w:noProof/>
        </w:rPr>
      </w:pPr>
      <w:r>
        <w:rPr>
          <w:noProof/>
        </w:rPr>
        <w:t>•</w:t>
      </w:r>
      <w:r>
        <w:rPr>
          <w:noProof/>
        </w:rPr>
        <w:tab/>
        <w:t>az alacsony kibocsátású övezetek megvalósításának felgyorsítása a több mint 50000 lakosú településeken és a tartományok fővárosaiban, valamint az elektromos mobilitás tér</w:t>
      </w:r>
      <w:r>
        <w:rPr>
          <w:noProof/>
        </w:rPr>
        <w:t>nyerése;</w:t>
      </w:r>
    </w:p>
    <w:p w14:paraId="795A19F4" w14:textId="77777777" w:rsidR="003E1D81" w:rsidRDefault="00EB481C">
      <w:pPr>
        <w:pStyle w:val="P68B1DB1-Normal4"/>
        <w:spacing w:before="120" w:after="120" w:line="240" w:lineRule="auto"/>
        <w:jc w:val="both"/>
        <w:rPr>
          <w:rFonts w:cs="Times New Roman"/>
          <w:noProof/>
        </w:rPr>
      </w:pPr>
      <w:r>
        <w:rPr>
          <w:noProof/>
        </w:rPr>
        <w:t>•</w:t>
      </w:r>
      <w:r>
        <w:rPr>
          <w:noProof/>
        </w:rPr>
        <w:tab/>
        <w:t xml:space="preserve">az aktív mobilitás, valamint a személygépkocsik használatának csökkentését célzó egyéb intézkedések előmozdítása; </w:t>
      </w:r>
    </w:p>
    <w:p w14:paraId="10A28E2B" w14:textId="77777777" w:rsidR="003E1D81" w:rsidRDefault="00EB481C">
      <w:pPr>
        <w:pStyle w:val="P68B1DB1-Normal4"/>
        <w:spacing w:before="120" w:after="120" w:line="240" w:lineRule="auto"/>
        <w:jc w:val="both"/>
        <w:rPr>
          <w:rFonts w:cs="Times New Roman"/>
          <w:noProof/>
        </w:rPr>
      </w:pPr>
      <w:r>
        <w:rPr>
          <w:noProof/>
        </w:rPr>
        <w:t>•</w:t>
      </w:r>
      <w:r>
        <w:rPr>
          <w:noProof/>
        </w:rPr>
        <w:tab/>
        <w:t>a tömegközlekedési ágazat digitális és fenntartható átalakítása a magángépjárművek használatának valódi alternatívájaként;</w:t>
      </w:r>
    </w:p>
    <w:p w14:paraId="4734CA15" w14:textId="77777777" w:rsidR="003E1D81" w:rsidRDefault="00EB481C">
      <w:pPr>
        <w:pStyle w:val="P68B1DB1-Normal4"/>
        <w:spacing w:before="120" w:after="120" w:line="240" w:lineRule="auto"/>
        <w:jc w:val="both"/>
        <w:rPr>
          <w:rFonts w:cs="Times New Roman"/>
          <w:noProof/>
        </w:rPr>
      </w:pPr>
      <w:r>
        <w:rPr>
          <w:noProof/>
        </w:rPr>
        <w:t>•</w:t>
      </w:r>
      <w:r>
        <w:rPr>
          <w:noProof/>
        </w:rPr>
        <w:tab/>
        <w:t>a r</w:t>
      </w:r>
      <w:r>
        <w:rPr>
          <w:noProof/>
        </w:rPr>
        <w:t>övid távolságú vasúti szolgáltatások minőségének és megbízhatóságának javítása a nagyvárosi környezetben való hatékony használat növelése érdekében, a magángépjármű kárára;</w:t>
      </w:r>
    </w:p>
    <w:p w14:paraId="2AE469A1" w14:textId="77777777" w:rsidR="003E1D81" w:rsidRDefault="00EB481C">
      <w:pPr>
        <w:pStyle w:val="P68B1DB1-Normal4"/>
        <w:spacing w:before="120" w:after="120" w:line="240" w:lineRule="auto"/>
        <w:jc w:val="both"/>
        <w:rPr>
          <w:rFonts w:cs="Times New Roman"/>
          <w:noProof/>
        </w:rPr>
      </w:pPr>
      <w:r>
        <w:rPr>
          <w:noProof/>
        </w:rPr>
        <w:t>•</w:t>
      </w:r>
      <w:r>
        <w:rPr>
          <w:noProof/>
        </w:rPr>
        <w:tab/>
        <w:t>a forgalomirányítás optimalizálása és a döntéshozatal megkönnyítése a tisztább mo</w:t>
      </w:r>
      <w:r>
        <w:rPr>
          <w:noProof/>
        </w:rPr>
        <w:t>bilitás előmozdítása érdekében.</w:t>
      </w:r>
    </w:p>
    <w:p w14:paraId="21A64CB2" w14:textId="6060F0E6" w:rsidR="003E1D81" w:rsidRDefault="00EB481C">
      <w:pPr>
        <w:pStyle w:val="P68B1DB1-Normal4"/>
        <w:spacing w:before="120" w:after="120" w:line="240" w:lineRule="auto"/>
        <w:jc w:val="both"/>
        <w:rPr>
          <w:rFonts w:cs="Times New Roman"/>
          <w:noProof/>
        </w:rPr>
      </w:pPr>
      <w:r>
        <w:rPr>
          <w:noProof/>
        </w:rPr>
        <w:t>A komponens a zöld és digitális átállást és a fenntartható közlekedést előmozdító köz- és magánberuházások előmozdításáról (2020. évi 3. országspecifikus ajánlás), az innovációba, valamint az energiahatékonyságba és a vasúti</w:t>
      </w:r>
      <w:r>
        <w:rPr>
          <w:noProof/>
        </w:rPr>
        <w:t xml:space="preserve"> árufuvarozási infrastruktúrába történő beruházások ösztönzéséről (2019. évi 3. országspecifikus ajánlás), valamint a kormányzati szintek közötti együttműködés megerősítéséről szóló országspecifikus ajánlásokkal foglalkozik (2019. évi 4. országspecifikus a</w:t>
      </w:r>
      <w:r>
        <w:rPr>
          <w:noProof/>
        </w:rPr>
        <w:t>jánlás).</w:t>
      </w:r>
    </w:p>
    <w:p w14:paraId="5E64A5E4" w14:textId="77E09C16" w:rsidR="003E1D81" w:rsidRDefault="00EB481C">
      <w:pPr>
        <w:pStyle w:val="P68B1DB1-Normal4"/>
        <w:spacing w:before="120" w:after="120" w:line="240" w:lineRule="auto"/>
        <w:jc w:val="both"/>
        <w:rPr>
          <w:rFonts w:cs="Times New Roman"/>
          <w:noProof/>
        </w:rPr>
      </w:pPr>
      <w:r>
        <w:rPr>
          <w:noProof/>
        </w:rPr>
        <w:t>Ebben a komponensben várhatóan egyetlen intézkedés sem sérti jelentősen a környezeti célkitűzéseket az (EU) 2020/852 rendelet 17. cikke értelmében, figyelembe véve a helyreállítási és rezilienciaépítési tervben a jelentős károkozás elkerülését cél</w:t>
      </w:r>
      <w:r>
        <w:rPr>
          <w:noProof/>
        </w:rPr>
        <w:t xml:space="preserve">zó elvről szóló technikai iránymutatással (2021/C58/01) összhangban meghatározott intézkedések és enyhítő lépések leírását.  </w:t>
      </w:r>
    </w:p>
    <w:p w14:paraId="0C520A87" w14:textId="7CC6A4CA" w:rsidR="003E1D81" w:rsidRDefault="003E1D81">
      <w:pPr>
        <w:spacing w:before="120" w:after="120" w:line="240" w:lineRule="auto"/>
        <w:jc w:val="both"/>
        <w:rPr>
          <w:rFonts w:ascii="Times New Roman" w:hAnsi="Times New Roman" w:cs="Times New Roman"/>
          <w:noProof/>
          <w:sz w:val="24"/>
        </w:rPr>
      </w:pPr>
    </w:p>
    <w:p w14:paraId="047A2FE4" w14:textId="77777777" w:rsidR="003E1D81" w:rsidRDefault="00EB481C">
      <w:pPr>
        <w:pStyle w:val="P68B1DB1-Normal5"/>
        <w:spacing w:before="120" w:after="120" w:line="240" w:lineRule="auto"/>
        <w:ind w:left="709"/>
        <w:jc w:val="both"/>
        <w:rPr>
          <w:rFonts w:cs="Times New Roman"/>
          <w:i/>
          <w:noProof/>
        </w:rPr>
      </w:pPr>
      <w:bookmarkStart w:id="2" w:name="_Hlk138340506"/>
      <w:r>
        <w:rPr>
          <w:noProof/>
        </w:rPr>
        <w:t xml:space="preserve">A.1. </w:t>
      </w:r>
      <w:r>
        <w:rPr>
          <w:noProof/>
        </w:rPr>
        <w:tab/>
        <w:t>Vissza nem térítendő pénzügyi támogatás – a reformok és beruházások ismertetése</w:t>
      </w:r>
    </w:p>
    <w:p w14:paraId="483637DE" w14:textId="77777777" w:rsidR="003E1D81" w:rsidRDefault="00EB481C">
      <w:pPr>
        <w:pStyle w:val="P68B1DB1-Normal6"/>
        <w:spacing w:before="120" w:after="120" w:line="240" w:lineRule="auto"/>
        <w:jc w:val="both"/>
        <w:rPr>
          <w:rFonts w:cs="Times New Roman"/>
          <w:noProof/>
        </w:rPr>
      </w:pPr>
      <w:r>
        <w:rPr>
          <w:noProof/>
        </w:rPr>
        <w:t>Reform (C1.R1) – Az elektromos járművek inf</w:t>
      </w:r>
      <w:r>
        <w:rPr>
          <w:noProof/>
        </w:rPr>
        <w:t>rastruktúrájának feltöltésére és fejlesztésére vonatkozó bevezetési terv</w:t>
      </w:r>
      <w:bookmarkEnd w:id="2"/>
      <w:r>
        <w:rPr>
          <w:noProof/>
        </w:rPr>
        <w:t xml:space="preserve"> </w:t>
      </w:r>
    </w:p>
    <w:p w14:paraId="5613BC71" w14:textId="3E92A87B" w:rsidR="003E1D81" w:rsidRDefault="00EB481C">
      <w:pPr>
        <w:pStyle w:val="P68B1DB1-Normal4"/>
        <w:spacing w:before="120" w:after="120" w:line="240" w:lineRule="auto"/>
        <w:jc w:val="both"/>
        <w:rPr>
          <w:rFonts w:cs="Times New Roman"/>
          <w:noProof/>
        </w:rPr>
      </w:pPr>
      <w:r>
        <w:rPr>
          <w:noProof/>
        </w:rPr>
        <w:lastRenderedPageBreak/>
        <w:t>Ezen intézkedés célja az elektromos járművek használatának fellendítése érdekében az elektromos töltőinfrastruktúra kiépítését megkönnyítő működési és szabályozási keret megerősítése</w:t>
      </w:r>
      <w:r>
        <w:rPr>
          <w:noProof/>
        </w:rPr>
        <w:t xml:space="preserve">. </w:t>
      </w:r>
    </w:p>
    <w:p w14:paraId="385D7B78" w14:textId="77777777" w:rsidR="003E1D81" w:rsidRDefault="00EB481C">
      <w:pPr>
        <w:pStyle w:val="P68B1DB1-Normal4"/>
        <w:spacing w:before="120" w:after="120" w:line="240" w:lineRule="auto"/>
        <w:jc w:val="both"/>
        <w:rPr>
          <w:rFonts w:cs="Times New Roman"/>
          <w:noProof/>
        </w:rPr>
      </w:pPr>
      <w:r>
        <w:rPr>
          <w:noProof/>
        </w:rPr>
        <w:t xml:space="preserve">A reform a következő szabályozási keret elfogadását foglalja magában, amelynek célja a töltőállomások elterjedését jelenleg gátló akadályok felszámolása: </w:t>
      </w:r>
    </w:p>
    <w:p w14:paraId="41C362C6" w14:textId="77777777" w:rsidR="003E1D81" w:rsidRDefault="00EB481C">
      <w:pPr>
        <w:pStyle w:val="P68B1DB1-Normal4"/>
        <w:numPr>
          <w:ilvl w:val="0"/>
          <w:numId w:val="296"/>
        </w:numPr>
        <w:spacing w:before="120" w:after="120" w:line="240" w:lineRule="auto"/>
        <w:jc w:val="both"/>
        <w:rPr>
          <w:rFonts w:cs="Times New Roman"/>
          <w:noProof/>
        </w:rPr>
      </w:pPr>
      <w:r>
        <w:rPr>
          <w:noProof/>
        </w:rPr>
        <w:t>Királyi rendelet, amely szabályozza a nyilvánosan hozzáférhető töltési szolgáltatásokat, és biztos</w:t>
      </w:r>
      <w:r>
        <w:rPr>
          <w:noProof/>
        </w:rPr>
        <w:t>ítja a telepített pontok megfelelő és megbízható működését;</w:t>
      </w:r>
    </w:p>
    <w:p w14:paraId="3C6F59B2" w14:textId="77777777" w:rsidR="003E1D81" w:rsidRDefault="00EB481C">
      <w:pPr>
        <w:pStyle w:val="P68B1DB1-Normal4"/>
        <w:numPr>
          <w:ilvl w:val="0"/>
          <w:numId w:val="296"/>
        </w:numPr>
        <w:spacing w:before="120" w:after="120" w:line="240" w:lineRule="auto"/>
        <w:jc w:val="both"/>
        <w:rPr>
          <w:rFonts w:cs="Times New Roman"/>
          <w:noProof/>
        </w:rPr>
      </w:pPr>
      <w:r>
        <w:rPr>
          <w:noProof/>
        </w:rPr>
        <w:t>A 2020. június 23-i 23/2020. sz. királyi törvényerejű rendelet, amely hozzájárul a töltőinfrastruktúra feldolgozásának felgyorsításához azáltal, hogy a 250 kW-nál nagyobb teljesítményű töltőlétesí</w:t>
      </w:r>
      <w:r>
        <w:rPr>
          <w:noProof/>
        </w:rPr>
        <w:t xml:space="preserve">tményeket közhasznúnak nyilvánítja; </w:t>
      </w:r>
    </w:p>
    <w:p w14:paraId="0FFB3C08" w14:textId="77777777" w:rsidR="003E1D81" w:rsidRDefault="00EB481C">
      <w:pPr>
        <w:pStyle w:val="P68B1DB1-Normal4"/>
        <w:numPr>
          <w:ilvl w:val="0"/>
          <w:numId w:val="296"/>
        </w:numPr>
        <w:spacing w:before="120" w:after="120" w:line="240" w:lineRule="auto"/>
        <w:jc w:val="both"/>
        <w:rPr>
          <w:rFonts w:eastAsia="Arial" w:cs="Times New Roman"/>
          <w:noProof/>
        </w:rPr>
      </w:pPr>
      <w:r>
        <w:rPr>
          <w:noProof/>
        </w:rPr>
        <w:t>A TMA/178/2020. sz. végzés, amely csökkenti az üzemanyagtöltő állomásokon a villamosenergia-töltőlétesítmények jóváhagyásával és telepítésével kapcsolatos adminisztratív terheket;</w:t>
      </w:r>
    </w:p>
    <w:p w14:paraId="7822F39A" w14:textId="77777777" w:rsidR="003E1D81" w:rsidRDefault="00EB481C">
      <w:pPr>
        <w:pStyle w:val="P68B1DB1-Normal4"/>
        <w:numPr>
          <w:ilvl w:val="0"/>
          <w:numId w:val="296"/>
        </w:numPr>
        <w:spacing w:before="120" w:after="120" w:line="240" w:lineRule="auto"/>
        <w:jc w:val="both"/>
        <w:rPr>
          <w:rFonts w:cs="Times New Roman"/>
          <w:noProof/>
        </w:rPr>
      </w:pPr>
      <w:r>
        <w:rPr>
          <w:noProof/>
        </w:rPr>
        <w:t xml:space="preserve">Az épületek műszaki szabályzatának </w:t>
      </w:r>
      <w:r>
        <w:rPr>
          <w:noProof/>
        </w:rPr>
        <w:t>módosítása, amely növeli az elektromos járművek töltőinfrastruktúrájának minimális mennyiségét mind a lakó-, mind a harmadlagos parkolókban, meghaladva az épületek energiahatékonyságáról szóló irányelv minimumkövetelményeit; és</w:t>
      </w:r>
    </w:p>
    <w:p w14:paraId="45BFDD5B" w14:textId="77777777" w:rsidR="003E1D81" w:rsidRDefault="00EB481C">
      <w:pPr>
        <w:pStyle w:val="P68B1DB1-Normal4"/>
        <w:numPr>
          <w:ilvl w:val="0"/>
          <w:numId w:val="296"/>
        </w:numPr>
        <w:spacing w:before="120" w:after="120" w:line="240" w:lineRule="auto"/>
        <w:jc w:val="both"/>
        <w:rPr>
          <w:rFonts w:cs="Times New Roman"/>
          <w:noProof/>
        </w:rPr>
      </w:pPr>
      <w:r>
        <w:rPr>
          <w:noProof/>
        </w:rPr>
        <w:t>A kisfeszültségű elektrotech</w:t>
      </w:r>
      <w:r>
        <w:rPr>
          <w:noProof/>
        </w:rPr>
        <w:t>nikai rendelet módosítása, amely magában foglalja az épülethez nem kapcsolódó parkolók töltőinfrastruktúrájára vonatkozó kötelezettségeket.</w:t>
      </w:r>
    </w:p>
    <w:p w14:paraId="2C641F87" w14:textId="77777777" w:rsidR="003E1D81" w:rsidRDefault="00EB481C">
      <w:pPr>
        <w:pStyle w:val="P68B1DB1-Normal4"/>
        <w:spacing w:before="120" w:after="120" w:line="240" w:lineRule="auto"/>
        <w:jc w:val="both"/>
        <w:rPr>
          <w:rFonts w:cs="Times New Roman"/>
          <w:noProof/>
        </w:rPr>
      </w:pPr>
      <w:r>
        <w:rPr>
          <w:noProof/>
        </w:rPr>
        <w:t>A reform végrehajtását 2022. június 30-ig be kell fejezni.</w:t>
      </w:r>
    </w:p>
    <w:p w14:paraId="6C6834B7" w14:textId="02067FD3" w:rsidR="003E1D81" w:rsidRDefault="00EB481C">
      <w:pPr>
        <w:pStyle w:val="P68B1DB1-Normal6"/>
        <w:spacing w:before="120" w:after="120" w:line="240" w:lineRule="auto"/>
        <w:jc w:val="both"/>
        <w:rPr>
          <w:rFonts w:cs="Times New Roman"/>
          <w:noProof/>
        </w:rPr>
      </w:pPr>
      <w:r>
        <w:rPr>
          <w:noProof/>
        </w:rPr>
        <w:t xml:space="preserve">Reform (C1.R2) – Mobilitási törvény </w:t>
      </w:r>
    </w:p>
    <w:p w14:paraId="4FCCBF4A" w14:textId="7E46C380" w:rsidR="003E1D81" w:rsidRDefault="00EB481C">
      <w:pPr>
        <w:pStyle w:val="P68B1DB1-Normal4"/>
        <w:spacing w:before="120" w:after="120" w:line="240" w:lineRule="auto"/>
        <w:jc w:val="both"/>
        <w:rPr>
          <w:rFonts w:cs="Times New Roman"/>
          <w:noProof/>
        </w:rPr>
      </w:pPr>
      <w:r>
        <w:rPr>
          <w:noProof/>
        </w:rPr>
        <w:t xml:space="preserve">A jogszabály útján végrehajtott intézkedés célja, hogy biztosítsa a megújult spanyolországi mobilitási politikát alátámasztó szabályozási keretet, amely a jobb fenntarthatóságon és digitális dimenzión alapul. </w:t>
      </w:r>
    </w:p>
    <w:p w14:paraId="740490EB" w14:textId="31AF4E87" w:rsidR="003E1D81" w:rsidRDefault="00EB481C">
      <w:pPr>
        <w:pStyle w:val="P68B1DB1-Normal4"/>
        <w:spacing w:before="120" w:after="120" w:line="240" w:lineRule="auto"/>
        <w:jc w:val="both"/>
        <w:rPr>
          <w:rFonts w:cs="Times New Roman"/>
          <w:noProof/>
        </w:rPr>
      </w:pPr>
      <w:r>
        <w:rPr>
          <w:noProof/>
        </w:rPr>
        <w:t>A törvény legalább a következőket írja elő:</w:t>
      </w:r>
    </w:p>
    <w:p w14:paraId="58678A40" w14:textId="40259FFD" w:rsidR="003E1D81" w:rsidRDefault="00EB481C">
      <w:pPr>
        <w:pStyle w:val="P68B1DB1-ListParagraph7"/>
        <w:numPr>
          <w:ilvl w:val="0"/>
          <w:numId w:val="5"/>
        </w:numPr>
        <w:spacing w:before="120" w:after="120" w:line="240" w:lineRule="auto"/>
        <w:jc w:val="both"/>
        <w:rPr>
          <w:rFonts w:cs="Times New Roman"/>
          <w:noProof/>
          <w:sz w:val="18"/>
        </w:rPr>
      </w:pPr>
      <w:r>
        <w:rPr>
          <w:noProof/>
        </w:rPr>
        <w:t xml:space="preserve">A </w:t>
      </w:r>
      <w:r>
        <w:rPr>
          <w:noProof/>
        </w:rPr>
        <w:t xml:space="preserve">vasúti árufuvarozás előmozdítására irányuló egyedi intézkedések, amelyek hozzájárulnak a szárazföldi árufuvarozásból származó globális kibocsátások csökkentéséhez, beleértve a következőket: </w:t>
      </w:r>
    </w:p>
    <w:p w14:paraId="0AF94759" w14:textId="14048C2A" w:rsidR="003E1D81" w:rsidRDefault="00EB481C">
      <w:pPr>
        <w:pStyle w:val="P68B1DB1-ListParagraph7"/>
        <w:numPr>
          <w:ilvl w:val="1"/>
          <w:numId w:val="5"/>
        </w:numPr>
        <w:spacing w:before="120" w:after="120" w:line="240" w:lineRule="auto"/>
        <w:jc w:val="both"/>
        <w:rPr>
          <w:rFonts w:eastAsia="Times New Roman" w:cs="Times New Roman"/>
          <w:noProof/>
        </w:rPr>
      </w:pPr>
      <w:r>
        <w:rPr>
          <w:noProof/>
        </w:rPr>
        <w:t>a görgős autópályák megvalósítására vonatkozó program kidolgozásá</w:t>
      </w:r>
      <w:r>
        <w:rPr>
          <w:noProof/>
        </w:rPr>
        <w:t>nak kötelezettsége azokon a folyosókon, ahol ez megvalósítható, és ahol a fejlesztéshez üzleti érdek fűződik;</w:t>
      </w:r>
    </w:p>
    <w:p w14:paraId="3460F64C" w14:textId="2F8DCDE7" w:rsidR="003E1D81" w:rsidRDefault="00EB481C">
      <w:pPr>
        <w:pStyle w:val="P68B1DB1-ListParagraph7"/>
        <w:numPr>
          <w:ilvl w:val="1"/>
          <w:numId w:val="5"/>
        </w:numPr>
        <w:spacing w:before="120" w:after="120" w:line="240" w:lineRule="auto"/>
        <w:jc w:val="both"/>
        <w:rPr>
          <w:rFonts w:eastAsia="Times New Roman" w:cs="Times New Roman"/>
          <w:noProof/>
        </w:rPr>
      </w:pPr>
      <w:r>
        <w:rPr>
          <w:noProof/>
        </w:rPr>
        <w:t>a teherforgalomra vonatkozó, legalább 5 éves időszakra szóló vasúti díjbónuszok;</w:t>
      </w:r>
    </w:p>
    <w:p w14:paraId="39B7275B" w14:textId="7858A0AE" w:rsidR="003E1D81" w:rsidRDefault="00EB481C">
      <w:pPr>
        <w:pStyle w:val="P68B1DB1-ListParagraph7"/>
        <w:numPr>
          <w:ilvl w:val="1"/>
          <w:numId w:val="5"/>
        </w:numPr>
        <w:spacing w:before="120" w:after="120" w:line="240" w:lineRule="auto"/>
        <w:jc w:val="both"/>
        <w:rPr>
          <w:rFonts w:cs="Times New Roman"/>
          <w:noProof/>
        </w:rPr>
      </w:pPr>
      <w:r>
        <w:rPr>
          <w:noProof/>
        </w:rPr>
        <w:t>a vasúti árufuvarozást támogató program, beleértve a közútról a v</w:t>
      </w:r>
      <w:r>
        <w:rPr>
          <w:noProof/>
        </w:rPr>
        <w:t>asútra történő modális váltást, valamint a vasúti közlekedési ágazat korszerűsítését és innovációját előmozdító ösztönzőket;</w:t>
      </w:r>
    </w:p>
    <w:p w14:paraId="29C468E9" w14:textId="58B44112" w:rsidR="003E1D81" w:rsidRDefault="00EB481C">
      <w:pPr>
        <w:pStyle w:val="P68B1DB1-ListParagraph7"/>
        <w:numPr>
          <w:ilvl w:val="0"/>
          <w:numId w:val="5"/>
        </w:numPr>
        <w:spacing w:before="120" w:after="120" w:line="240" w:lineRule="auto"/>
        <w:jc w:val="both"/>
        <w:rPr>
          <w:rFonts w:cs="Times New Roman"/>
          <w:noProof/>
        </w:rPr>
      </w:pPr>
      <w:r>
        <w:rPr>
          <w:noProof/>
        </w:rPr>
        <w:t>a meghatározott méretű településekre és vállalkozásokra alkalmazandó számos kötelezettség és módszertani útmutató a fenntartható vá</w:t>
      </w:r>
      <w:r>
        <w:rPr>
          <w:noProof/>
        </w:rPr>
        <w:t xml:space="preserve">rosi mobilitási terv, illetve a fenntartható munkával kapcsolatos mobilitási rendszerek végrehajtásának ösztönzése érdekében; </w:t>
      </w:r>
    </w:p>
    <w:p w14:paraId="570063C2" w14:textId="33E02F6F" w:rsidR="003E1D81" w:rsidRDefault="00EB481C">
      <w:pPr>
        <w:pStyle w:val="P68B1DB1-ListParagraph7"/>
        <w:numPr>
          <w:ilvl w:val="0"/>
          <w:numId w:val="5"/>
        </w:numPr>
        <w:spacing w:before="120" w:after="120" w:line="240" w:lineRule="auto"/>
        <w:jc w:val="both"/>
        <w:rPr>
          <w:rFonts w:cs="Times New Roman"/>
          <w:noProof/>
        </w:rPr>
      </w:pPr>
      <w:r>
        <w:rPr>
          <w:noProof/>
        </w:rPr>
        <w:t>az infrastruktúra-tervezés szigorának növelését célzó mechanizmus létrehozása a független költségvetési hatóság (Autoridad Indepe</w:t>
      </w:r>
      <w:r>
        <w:rPr>
          <w:noProof/>
        </w:rPr>
        <w:t xml:space="preserve">ndiente de Responsabilidad Fiscal, AIReF) ajánlásaival összhangban, figyelembe véve a fenntarthatósággal és a társadalmi költség-haszon elemzéssel kapcsolatos megfontolásokat; </w:t>
      </w:r>
    </w:p>
    <w:p w14:paraId="08E8E098" w14:textId="32C3B305" w:rsidR="003E1D81" w:rsidRDefault="00EB481C">
      <w:pPr>
        <w:pStyle w:val="P68B1DB1-ListParagraph7"/>
        <w:numPr>
          <w:ilvl w:val="0"/>
          <w:numId w:val="5"/>
        </w:numPr>
        <w:spacing w:before="120" w:after="120" w:line="240" w:lineRule="auto"/>
        <w:jc w:val="both"/>
        <w:rPr>
          <w:rFonts w:cs="Times New Roman"/>
          <w:noProof/>
        </w:rPr>
      </w:pPr>
      <w:r>
        <w:rPr>
          <w:noProof/>
        </w:rPr>
        <w:lastRenderedPageBreak/>
        <w:t>a városi közlekedés kiszámítható finanszírozási rendszerének kialakítása az ors</w:t>
      </w:r>
      <w:r>
        <w:rPr>
          <w:noProof/>
        </w:rPr>
        <w:t xml:space="preserve">zág településein, az állami források egységes elosztási kritériumai alapján; </w:t>
      </w:r>
    </w:p>
    <w:p w14:paraId="4C0DDC69" w14:textId="06685730" w:rsidR="003E1D81" w:rsidRDefault="00EB481C">
      <w:pPr>
        <w:pStyle w:val="P68B1DB1-ListParagraph7"/>
        <w:numPr>
          <w:ilvl w:val="0"/>
          <w:numId w:val="5"/>
        </w:numPr>
        <w:spacing w:before="120" w:after="120" w:line="240" w:lineRule="auto"/>
        <w:jc w:val="both"/>
        <w:rPr>
          <w:rFonts w:cs="Times New Roman"/>
          <w:noProof/>
        </w:rPr>
      </w:pPr>
      <w:r>
        <w:rPr>
          <w:noProof/>
        </w:rPr>
        <w:t>szabályozói tesztkörnyezet bevezetése, amely megkönnyíti a mobilitási és közlekedési ágazat innovációit és piacra lépését;</w:t>
      </w:r>
    </w:p>
    <w:p w14:paraId="58B38EEC" w14:textId="262E1CD2" w:rsidR="003E1D81" w:rsidRDefault="00EB481C">
      <w:pPr>
        <w:pStyle w:val="P68B1DB1-ListParagraph7"/>
        <w:numPr>
          <w:ilvl w:val="0"/>
          <w:numId w:val="5"/>
        </w:numPr>
        <w:spacing w:before="120" w:after="120" w:line="240" w:lineRule="auto"/>
        <w:jc w:val="both"/>
        <w:rPr>
          <w:rFonts w:cs="Times New Roman"/>
          <w:noProof/>
        </w:rPr>
      </w:pPr>
      <w:r>
        <w:rPr>
          <w:noProof/>
        </w:rPr>
        <w:t>az irányítás javítása az AIReF ajánlásaival összhangban</w:t>
      </w:r>
      <w:r>
        <w:rPr>
          <w:noProof/>
        </w:rPr>
        <w:t xml:space="preserve"> az alábbiak révén: nemzeti mobilitási rendszer a közlekedésért és mobilitásért felelős három területi önkormányzat közötti koordináció és együttműködés előmozdítása érdekében; a Közlekedési és Mobilitási Főtanács, amely tanácsadó, megvitatja és bevonja a </w:t>
      </w:r>
      <w:r>
        <w:rPr>
          <w:noProof/>
        </w:rPr>
        <w:t>termelő ágazatokat, a tudományos köröket és a civil társadalmat a közlekedési és mobilitási politikák meghatározásába; valamint iii. integrált közlekedési és mobilitási információs platform, amely integrálja a közlekedéssel és a mobilitással kapcsolatos kü</w:t>
      </w:r>
      <w:r>
        <w:rPr>
          <w:noProof/>
        </w:rPr>
        <w:t xml:space="preserve">lönböző közigazgatási szervektől és külső forrásokból származó információkat. Ez lehetővé teszi a közigazgatási szervek számára, hogy optimalizálják a közpolitikák kialakítását, és javítsák a válságokra és vészhelyzetekre való reagálási képességüket. </w:t>
      </w:r>
    </w:p>
    <w:p w14:paraId="2E45AE45" w14:textId="7B1926D2" w:rsidR="003E1D81" w:rsidRDefault="00EB481C">
      <w:pPr>
        <w:pStyle w:val="P68B1DB1-Normal4"/>
        <w:spacing w:after="0" w:line="240" w:lineRule="auto"/>
        <w:jc w:val="both"/>
        <w:rPr>
          <w:rFonts w:cs="Times New Roman"/>
          <w:noProof/>
        </w:rPr>
      </w:pPr>
      <w:r>
        <w:rPr>
          <w:noProof/>
        </w:rPr>
        <w:t>A fe</w:t>
      </w:r>
      <w:r>
        <w:rPr>
          <w:noProof/>
        </w:rPr>
        <w:t>nt ismertetett új jogszabály mellett az intézkedés magában foglalja a) szoftveralkalmazás fejlesztését a különböző közlekedési módokra irányuló infrastrukturális beruházások költség-haszon elemzéseinek végrehajtására, összhangban a fenntartható mobilitásró</w:t>
      </w:r>
      <w:r>
        <w:rPr>
          <w:noProof/>
        </w:rPr>
        <w:t>l szóló törvényben előírt hivatalos módszertanban meghatározott fenntarthatósági, szociális és környezeti megfontolásokkal; és b) a közlekedési hatáskörrel rendelkező minisztérium szervezeti felépítésének fejlesztéséről szóló királyi rendelet hatálybalépés</w:t>
      </w:r>
      <w:r>
        <w:rPr>
          <w:noProof/>
        </w:rPr>
        <w:t>e és közzététele, amely meghatározza a Sandbox Office speciális hatásköreit.</w:t>
      </w:r>
    </w:p>
    <w:p w14:paraId="3924B57A" w14:textId="77777777" w:rsidR="003E1D81" w:rsidRDefault="003E1D81">
      <w:pPr>
        <w:spacing w:after="0" w:line="240" w:lineRule="auto"/>
        <w:jc w:val="both"/>
        <w:rPr>
          <w:rFonts w:ascii="Times New Roman" w:hAnsi="Times New Roman" w:cs="Times New Roman"/>
          <w:noProof/>
          <w:sz w:val="24"/>
        </w:rPr>
      </w:pPr>
    </w:p>
    <w:p w14:paraId="1831BE70" w14:textId="2B7F3139" w:rsidR="003E1D81" w:rsidRDefault="00EB481C">
      <w:pPr>
        <w:pStyle w:val="P68B1DB1-Normal4"/>
        <w:spacing w:after="0" w:line="240" w:lineRule="auto"/>
        <w:jc w:val="both"/>
        <w:rPr>
          <w:rFonts w:cs="Times New Roman"/>
          <w:noProof/>
        </w:rPr>
      </w:pPr>
      <w:r>
        <w:rPr>
          <w:noProof/>
        </w:rPr>
        <w:t>A reform végrehajtását 2026. június 30-ig be kell fejezni.</w:t>
      </w:r>
    </w:p>
    <w:p w14:paraId="276691B0" w14:textId="65262441" w:rsidR="003E1D81" w:rsidRDefault="003E1D81">
      <w:pPr>
        <w:spacing w:before="120" w:after="120" w:line="240" w:lineRule="auto"/>
        <w:jc w:val="both"/>
        <w:rPr>
          <w:rFonts w:ascii="Times New Roman" w:hAnsi="Times New Roman" w:cs="Times New Roman"/>
          <w:noProof/>
          <w:sz w:val="24"/>
        </w:rPr>
      </w:pPr>
    </w:p>
    <w:p w14:paraId="69ACC4C4" w14:textId="77777777" w:rsidR="003E1D81" w:rsidRDefault="00EB481C">
      <w:pPr>
        <w:pStyle w:val="P68B1DB1-Normal6"/>
        <w:spacing w:line="240" w:lineRule="auto"/>
        <w:rPr>
          <w:rFonts w:cs="Times New Roman"/>
          <w:noProof/>
        </w:rPr>
      </w:pPr>
      <w:r>
        <w:rPr>
          <w:noProof/>
        </w:rPr>
        <w:t>Beruházás (C1.I1) – Alacsony kibocsátású területek, valamint a városi és nagyvárosi közlekedés átalakítása</w:t>
      </w:r>
    </w:p>
    <w:p w14:paraId="10BD2E5A" w14:textId="77777777" w:rsidR="003E1D81" w:rsidRDefault="00EB481C">
      <w:pPr>
        <w:pStyle w:val="P68B1DB1-Normal4"/>
        <w:spacing w:before="120" w:after="120" w:line="240" w:lineRule="auto"/>
        <w:jc w:val="both"/>
        <w:rPr>
          <w:rFonts w:cs="Times New Roman"/>
          <w:noProof/>
        </w:rPr>
      </w:pPr>
      <w:r>
        <w:rPr>
          <w:noProof/>
        </w:rPr>
        <w:t>Ezen intézk</w:t>
      </w:r>
      <w:r>
        <w:rPr>
          <w:noProof/>
        </w:rPr>
        <w:t>edés célja a közlekedési szolgáltatások fenntartható és digitális átalakításának előmozdítása azzal a céllal, hogy hozzájáruljon a magángépjárművek városi környezetben való használatának 2030-ig 35%-kal történő csökkentéséhez. Az intézkedésnek ki kell terj</w:t>
      </w:r>
      <w:r>
        <w:rPr>
          <w:noProof/>
        </w:rPr>
        <w:t>ednie a szállítási szolgáltatásokat nyújtó vállalatok tisztább személy- és áruszállítási flottájára való átállás ösztönzőire is. Ezt a beruházást a helyi hatóságok, az autonóm közösségek és a Közlekedési, Mobilitáspolitikai és Városfejlesztési Minisztérium</w:t>
      </w:r>
      <w:r>
        <w:rPr>
          <w:noProof/>
        </w:rPr>
        <w:t xml:space="preserve"> (MITMA) hajtja végre. </w:t>
      </w:r>
    </w:p>
    <w:p w14:paraId="08D5899F" w14:textId="5990C230" w:rsidR="003E1D81" w:rsidRDefault="00EB481C">
      <w:pPr>
        <w:pStyle w:val="P68B1DB1-Normal8"/>
        <w:spacing w:before="120" w:after="120" w:line="240" w:lineRule="auto"/>
        <w:jc w:val="both"/>
        <w:rPr>
          <w:rFonts w:cs="Times New Roman"/>
          <w:noProof/>
          <w:sz w:val="24"/>
        </w:rPr>
      </w:pPr>
      <w:r>
        <w:rPr>
          <w:noProof/>
          <w:sz w:val="24"/>
        </w:rPr>
        <w:t>Az autonóm közösségek által végrehajtandó beruházási projektek a következőkhöz kapcsolódhatnak: a tömegközlekedési flották átalakítása a tiszta járművekről szóló irányelv célkitűzéseinek elérése érdekében és a jelentős károkozás elk</w:t>
      </w:r>
      <w:r>
        <w:rPr>
          <w:noProof/>
          <w:sz w:val="24"/>
        </w:rPr>
        <w:t>erülését célzó technikai iránymutatással (2021/C58/01)</w:t>
      </w:r>
      <w:r>
        <w:rPr>
          <w:noProof/>
          <w:sz w:val="20"/>
        </w:rPr>
        <w:t xml:space="preserve"> </w:t>
      </w:r>
      <w:r>
        <w:rPr>
          <w:noProof/>
          <w:sz w:val="24"/>
        </w:rPr>
        <w:t>összhangban; az alacsony kibocsátású zónák (LEZ-k) megvalósítása és kezelése; a tömegközlekedés digitalizálása, adminisztratív irányítása és hozzáférhetőségének javítása; a közösségi közlekedés és az a</w:t>
      </w:r>
      <w:r>
        <w:rPr>
          <w:noProof/>
          <w:sz w:val="24"/>
        </w:rPr>
        <w:t>ktív mobilitás előtérbe helyezésére irányuló intézkedések, beleértve a kerékpáros infrastruktúrát és a gyalogossávokat; az új kibocsátásmentes technológiák spanyolországi elterjedésének ösztönzése a közlekedésben; elrettentési célú parkolók e településeken</w:t>
      </w:r>
      <w:r>
        <w:rPr>
          <w:noProof/>
          <w:sz w:val="24"/>
        </w:rPr>
        <w:t xml:space="preserve"> és a tartomány fővárosain kívül, a városközpontba érkező forgalom csökkentése érdekében; és a vasúti közlekedési rendszer (pl. metró vagy vasút) bővítése vagy korszerűsítése; a fenntartható mobilitást támogató intézkedéseket kiegészítő digitalizációs proj</w:t>
      </w:r>
      <w:r>
        <w:rPr>
          <w:noProof/>
          <w:sz w:val="24"/>
        </w:rPr>
        <w:t>ektek, beleértve a tömegközlekedési szolgáltatásokra, a mobilitásra mint szolgáltatásra vonatkozó valós idejű információs rendszereket, az intermodális vagy szolgáltatások közötti jegyértékesítés javítását célzó projekteket, a forgalom- és mobilitáskezelés</w:t>
      </w:r>
      <w:r>
        <w:rPr>
          <w:noProof/>
          <w:sz w:val="24"/>
        </w:rPr>
        <w:t xml:space="preserve">t támogató projekteket, valamint az információelemzést a közlekedési rendszer hatékonyságának növelése érdekében; valamint bármely más olyan projekt, amely: i. hozzájárulás a levegőminőség javításához, különösen a városi területeken; ii. ösztönözzék a </w:t>
      </w:r>
      <w:r>
        <w:rPr>
          <w:noProof/>
          <w:sz w:val="24"/>
        </w:rPr>
        <w:lastRenderedPageBreak/>
        <w:t>magá</w:t>
      </w:r>
      <w:r>
        <w:rPr>
          <w:noProof/>
          <w:sz w:val="24"/>
        </w:rPr>
        <w:t>nközlekedés használatának csökkentését a városi és nagyvárosi területeken iii. ösztönözzék a tömegközlekedés használatát vagy iv. ösztönözzék az aktív és egészséges mobilitást.</w:t>
      </w:r>
    </w:p>
    <w:p w14:paraId="0DC7F4CD" w14:textId="7E76A81A" w:rsidR="003E1D81" w:rsidRDefault="00EB481C">
      <w:pPr>
        <w:pStyle w:val="P68B1DB1-Normal4"/>
        <w:spacing w:before="120" w:after="120" w:line="240" w:lineRule="auto"/>
        <w:jc w:val="both"/>
        <w:rPr>
          <w:rFonts w:cs="Times New Roman"/>
          <w:noProof/>
        </w:rPr>
      </w:pPr>
      <w:r>
        <w:rPr>
          <w:noProof/>
        </w:rPr>
        <w:t xml:space="preserve">A helyi hatóságok projektjei közé tartoznak </w:t>
      </w:r>
      <w:r>
        <w:rPr>
          <w:noProof/>
          <w:shd w:val="clear" w:color="auto" w:fill="FFFFFF" w:themeFill="background1"/>
        </w:rPr>
        <w:t>például</w:t>
      </w:r>
      <w:r>
        <w:rPr>
          <w:noProof/>
        </w:rPr>
        <w:t xml:space="preserve"> a következők: a tömegközlek</w:t>
      </w:r>
      <w:r>
        <w:rPr>
          <w:noProof/>
        </w:rPr>
        <w:t xml:space="preserve">edési flották átalakítása a tiszta járművekről szóló irányelv célkitűzéseinek elérése érdekében és a jelentős károkozás elkerülését célzó technikai iránymutatással (2021/C58/01) összhangban; az alacsony kibocsátású zónák (LEZ-k) megvalósítása és kezelése; </w:t>
      </w:r>
      <w:r>
        <w:rPr>
          <w:noProof/>
        </w:rPr>
        <w:t xml:space="preserve">a tömegközlekedés digitalizálása, adminisztratív irányítása és hozzáférhetőségének javítása; és d) a kollektív közlekedést és az aktív mobilitást ösztönző és előnyben részesítő intézkedések </w:t>
      </w:r>
    </w:p>
    <w:p w14:paraId="1EAD0E8C" w14:textId="77777777" w:rsidR="003E1D81" w:rsidRDefault="00EB481C">
      <w:pPr>
        <w:pStyle w:val="P68B1DB1-Normal4"/>
        <w:spacing w:before="120" w:after="120" w:line="240" w:lineRule="auto"/>
        <w:jc w:val="both"/>
        <w:rPr>
          <w:rFonts w:cs="Times New Roman"/>
          <w:noProof/>
        </w:rPr>
      </w:pPr>
      <w:r>
        <w:rPr>
          <w:noProof/>
        </w:rPr>
        <w:t xml:space="preserve">Ezt a támogatást az 50000 főnél több lakosú településeknek és a tartományok fővárosainak kell odaítélni, és bizonyos feltételek mellett 20000 és 50000 lakos közötti településeknek is odaítélhető. </w:t>
      </w:r>
    </w:p>
    <w:p w14:paraId="24027B18" w14:textId="77777777" w:rsidR="003E1D81" w:rsidRDefault="00EB481C">
      <w:pPr>
        <w:pStyle w:val="P68B1DB1-Normal4"/>
        <w:spacing w:after="160" w:line="259" w:lineRule="auto"/>
        <w:ind w:left="2"/>
        <w:jc w:val="both"/>
        <w:rPr>
          <w:rFonts w:cs="Times New Roman"/>
          <w:noProof/>
        </w:rPr>
      </w:pPr>
      <w:r>
        <w:rPr>
          <w:noProof/>
        </w:rPr>
        <w:t xml:space="preserve">A MITMA beruházási projektjei a felelősségi körébe tartozó </w:t>
      </w:r>
      <w:r>
        <w:rPr>
          <w:noProof/>
        </w:rPr>
        <w:t xml:space="preserve">városi utak forgalmának humánussá tételére és szervezésére irányulnak. A beruházásoknak hozzá kell járulniuk a gyalogosok és a kerékpárosok, valamint a mobilitás egyéb új formáinak (robogók) mobilitásának előmozdításához, a gépkocsiterek csökkentéséhez és </w:t>
      </w:r>
      <w:r>
        <w:rPr>
          <w:noProof/>
        </w:rPr>
        <w:t xml:space="preserve">a járművek sebességének csökkentéséhez, a légszennyezés és a zajszennyezés csökkentése érdekében. </w:t>
      </w:r>
    </w:p>
    <w:p w14:paraId="3BB8BED0" w14:textId="77777777" w:rsidR="003E1D81" w:rsidRDefault="00EB481C">
      <w:pPr>
        <w:pStyle w:val="P68B1DB1-Normal4"/>
        <w:spacing w:after="160" w:line="259" w:lineRule="auto"/>
        <w:ind w:left="2"/>
        <w:jc w:val="both"/>
        <w:rPr>
          <w:rFonts w:cs="Times New Roman"/>
          <w:noProof/>
        </w:rPr>
      </w:pPr>
      <w:r>
        <w:rPr>
          <w:noProof/>
        </w:rPr>
        <w:t>A közlekedési vállalatok személy- és teherflottáinak átalakítására irányuló ösztönzők a következő támogatási vonalakon állnak: a kibocsátásmentes és alacsony</w:t>
      </w:r>
      <w:r>
        <w:rPr>
          <w:noProof/>
        </w:rPr>
        <w:t xml:space="preserve"> kibocsátású személy- és teherszállító járművek beszerzéséhez nyújtott támogatás; alternatív üzemanyaggal (elektromos, LNG, CNG és biometán) működő haszongépjárművek üzemanyagtöltő infrastruktúrájának kiépítéséhez nyújtott támogatás; vállalkozásoknak nyújt</w:t>
      </w:r>
      <w:r>
        <w:rPr>
          <w:noProof/>
        </w:rPr>
        <w:t xml:space="preserve">ott támogatás pótkocsik és félpótkocsik intermodális szállításhoz történő beszerzéséhez vagy átalakításához; valamint d) a régi járművek leselejtezésére irányuló vállalkozásoknak nyújtott támogatás. </w:t>
      </w:r>
    </w:p>
    <w:p w14:paraId="457BA409" w14:textId="77777777" w:rsidR="003E1D81" w:rsidRDefault="00EB481C">
      <w:pPr>
        <w:pStyle w:val="P68B1DB1-Normal4"/>
        <w:spacing w:after="160" w:line="259" w:lineRule="auto"/>
        <w:ind w:left="2"/>
        <w:jc w:val="both"/>
        <w:rPr>
          <w:rFonts w:cs="Times New Roman"/>
          <w:noProof/>
        </w:rPr>
      </w:pPr>
      <w:r>
        <w:rPr>
          <w:noProof/>
        </w:rPr>
        <w:t>Az intézkedés várhatóan nem sérti jelentősen az (EU) 202</w:t>
      </w:r>
      <w:r>
        <w:rPr>
          <w:noProof/>
        </w:rPr>
        <w:t>0/852 rendelet 17. cikke szerinti környezetvédelmi célkitűzéseket, figyelembe véve az intézkedés leírását és a helyreállítási és rezilienciaépítési tervben meghatározott enyhítő lépéseket a jelentős károkozás elkerülését célzó elvről szóló technikai iránym</w:t>
      </w:r>
      <w:r>
        <w:rPr>
          <w:noProof/>
        </w:rPr>
        <w:t>utatásnak (2021/C58/01) megfelelően. Különösen az a) segélyvonal támogatása csak az elektromos és hidrogénüzemű, alacsony padlós buszokra terjed ki (M2 és M3 kategória, jellemzően városi és elővárosi buszok); „magas padlós” autóbuszok, beleértve az LNG/CNG</w:t>
      </w:r>
      <w:r>
        <w:rPr>
          <w:noProof/>
        </w:rPr>
        <w:t>-t, a hibrid, az elektromos és a hidrogént (M2 és M3 kategória, jellemzően városközi autóbuszok), amelyek megfelelnek az EURO VI-E-nek (M2 és M3 kategóriák, jellemzően városközi autóbuszok); valamint a bioüzemanyagokkal</w:t>
      </w:r>
      <w:r>
        <w:rPr>
          <w:noProof/>
        </w:rPr>
        <w:footnoteReference w:id="2"/>
      </w:r>
      <w:r>
        <w:rPr>
          <w:noProof/>
        </w:rPr>
        <w:t>, folyékony bio-energiahordozókkal</w:t>
      </w:r>
      <w:r>
        <w:rPr>
          <w:noProof/>
        </w:rPr>
        <w:footnoteReference w:id="3"/>
      </w:r>
      <w:r>
        <w:rPr>
          <w:noProof/>
        </w:rPr>
        <w:t xml:space="preserve"> </w:t>
      </w:r>
      <w:r>
        <w:rPr>
          <w:noProof/>
        </w:rPr>
        <w:t>és biomasszából előállított üzemanyagokkal működő kibocsátásmentes, alacsony kibocsátású és LNG/CNG tehergépjárművek</w:t>
      </w:r>
      <w:r>
        <w:rPr>
          <w:noProof/>
        </w:rPr>
        <w:footnoteReference w:id="4"/>
      </w:r>
      <w:r>
        <w:rPr>
          <w:noProof/>
        </w:rPr>
        <w:t xml:space="preserve">. A b) segélyvonal </w:t>
      </w:r>
      <w:r>
        <w:rPr>
          <w:noProof/>
        </w:rPr>
        <w:lastRenderedPageBreak/>
        <w:t>esetében a haszongépjárművek üzemanyagtöltő infrastruktúrájának meg kell felelnie a bioüzemanyagokra, folyékony bio-ener</w:t>
      </w:r>
      <w:r>
        <w:rPr>
          <w:noProof/>
        </w:rPr>
        <w:t>giahordozókra és biomasszából előállított üzemanyagokra vonatkozó feltételeknek</w:t>
      </w:r>
      <w:r>
        <w:rPr>
          <w:noProof/>
        </w:rPr>
        <w:footnoteReference w:id="5"/>
      </w:r>
      <w:r>
        <w:rPr>
          <w:noProof/>
        </w:rPr>
        <w:t>.</w:t>
      </w:r>
    </w:p>
    <w:p w14:paraId="1D6D1FC1" w14:textId="77777777" w:rsidR="003E1D81" w:rsidRDefault="00EB481C">
      <w:pPr>
        <w:pStyle w:val="P68B1DB1-Normal4"/>
        <w:spacing w:after="160" w:line="259" w:lineRule="auto"/>
        <w:ind w:left="2"/>
        <w:jc w:val="both"/>
        <w:rPr>
          <w:rFonts w:cs="Times New Roman"/>
          <w:noProof/>
        </w:rPr>
      </w:pPr>
      <w:r>
        <w:rPr>
          <w:noProof/>
        </w:rPr>
        <w:t>A kiválasztási kritériumoknak biztosítaniuk kell, hogy a Helyreállítási és Rezilienciaépítési Eszközről szóló (EU) 2021/241 rendelet VI. mellékletével összhangban legalább 31</w:t>
      </w:r>
      <w:r>
        <w:rPr>
          <w:noProof/>
        </w:rPr>
        <w:t xml:space="preserve">0 000 000 EUR 100%-os éghajlati együtthatóval, legalább 2 195 000 000 EUR-val és 40%-os éghajlati együtthatóval járuljanak hozzá az éghajlatváltozással kapcsolatos célkitűzésekhez. </w:t>
      </w:r>
    </w:p>
    <w:p w14:paraId="43F0DAF8" w14:textId="77777777" w:rsidR="003E1D81" w:rsidRDefault="00EB481C">
      <w:pPr>
        <w:pStyle w:val="P68B1DB1-Normal4"/>
        <w:spacing w:before="120" w:after="120" w:line="240" w:lineRule="auto"/>
        <w:jc w:val="both"/>
        <w:rPr>
          <w:rFonts w:cs="Times New Roman"/>
          <w:noProof/>
        </w:rPr>
      </w:pPr>
      <w:r>
        <w:rPr>
          <w:noProof/>
        </w:rPr>
        <w:t>Az ezen intézkedés szerinti beruházásokat 2025. december 31-ig kell végreh</w:t>
      </w:r>
      <w:r>
        <w:rPr>
          <w:noProof/>
        </w:rPr>
        <w:t>ajtani.</w:t>
      </w:r>
    </w:p>
    <w:p w14:paraId="778F7F4E" w14:textId="77777777" w:rsidR="003E1D81" w:rsidRDefault="00EB481C">
      <w:pPr>
        <w:pStyle w:val="P68B1DB1-Normal6"/>
        <w:spacing w:before="120" w:after="120" w:line="240" w:lineRule="auto"/>
        <w:jc w:val="both"/>
        <w:rPr>
          <w:rFonts w:cs="Times New Roman"/>
          <w:noProof/>
        </w:rPr>
      </w:pPr>
      <w:r>
        <w:rPr>
          <w:noProof/>
        </w:rPr>
        <w:t>Beruházás (C1.I2) – A töltőállomások telepítésére, az elektromos és üzemanyagcellás járművek beszerzésére, valamint az elektromobilitás, az elektromos töltés és a zöld hidrogén innovációjára vonatkozó ösztönző rendszer</w:t>
      </w:r>
    </w:p>
    <w:p w14:paraId="28FDED2F" w14:textId="72C4BC50" w:rsidR="003E1D81" w:rsidRDefault="00EB481C">
      <w:pPr>
        <w:pStyle w:val="P68B1DB1-Normal4"/>
        <w:spacing w:before="120" w:after="120" w:line="240" w:lineRule="auto"/>
        <w:jc w:val="both"/>
        <w:rPr>
          <w:rFonts w:cs="Times New Roman"/>
          <w:noProof/>
        </w:rPr>
      </w:pPr>
      <w:r>
        <w:rPr>
          <w:noProof/>
        </w:rPr>
        <w:t>Ezen intézkedés célja a közle</w:t>
      </w:r>
      <w:r>
        <w:rPr>
          <w:noProof/>
        </w:rPr>
        <w:t xml:space="preserve">kedésben alkalmazott alternatív energiára vonatkozó spanyol nemzeti keretnek való megfelelés támogatása, a nemzeti integrált energia- és klímaterv végrehajtásának felgyorsítása, valamint a területi kohézió támogatása a mobilitás vidéki területeken történő </w:t>
      </w:r>
      <w:r>
        <w:rPr>
          <w:noProof/>
        </w:rPr>
        <w:t>villamosítása révén. A beruházás különböző támogatási rendszerekbe épül, amelyek ösztönzik az elektromos járművek és az üzemanyagcellás járművek elterjedését, ugyanakkor ösztönzik az elektromos közlekedéshez, az értéklánchoz és a járműpark széles körű megú</w:t>
      </w:r>
      <w:r>
        <w:rPr>
          <w:noProof/>
        </w:rPr>
        <w:t>jításához kapcsolódó egyedi innovációs projekteket, beleértve a zöld hidrogéntechnológia kiaknázását is. A beruházás magában foglalja a nyilvános töltőállomások lakóövezetekben és a nemzeti úthálózaton történő telepítését is. A pályázati felhívásokban a tá</w:t>
      </w:r>
      <w:r>
        <w:rPr>
          <w:noProof/>
        </w:rPr>
        <w:t>mogatási programok elosztásához használt kiválasztási kritériumok a következőket foglalják magukban: i) a környezeti hatások csökkentése, ii. műszaki-gazdasági életképesség, iii. a technológiai fejlődés és innováció szintje, iv. megismételhetőség és mérete</w:t>
      </w:r>
      <w:r>
        <w:rPr>
          <w:noProof/>
        </w:rPr>
        <w:t>zhetőség, v. a projekthez kapcsolódó munkahelyteremtés, közvetlen és közvetett, valamint vi. az értékláncra gyakorolt hatás és a más ágazatokkal, elsősorban az ipari ágazatokkal való szinergiahatás.</w:t>
      </w:r>
    </w:p>
    <w:p w14:paraId="2238E079" w14:textId="00792EB5" w:rsidR="003E1D81" w:rsidRDefault="00EB481C">
      <w:pPr>
        <w:pStyle w:val="P68B1DB1-Normal4"/>
        <w:spacing w:before="120" w:after="120" w:line="240" w:lineRule="auto"/>
        <w:jc w:val="both"/>
        <w:rPr>
          <w:rFonts w:cs="Times New Roman"/>
          <w:noProof/>
        </w:rPr>
      </w:pPr>
      <w:r>
        <w:rPr>
          <w:noProof/>
        </w:rPr>
        <w:t xml:space="preserve">Ezt a beruházást 2025. december 31-ig kell végrehajtani. </w:t>
      </w:r>
    </w:p>
    <w:p w14:paraId="26190310" w14:textId="77777777" w:rsidR="003E1D81" w:rsidRDefault="00EB481C">
      <w:pPr>
        <w:pStyle w:val="P68B1DB1-Normal6"/>
        <w:keepNext/>
        <w:spacing w:before="120" w:after="120" w:line="240" w:lineRule="auto"/>
        <w:jc w:val="both"/>
        <w:rPr>
          <w:rFonts w:cs="Times New Roman"/>
          <w:noProof/>
        </w:rPr>
      </w:pPr>
      <w:r>
        <w:rPr>
          <w:noProof/>
        </w:rPr>
        <w:t xml:space="preserve">Beruházás (C1.I3) – A vasúti szállítási szolgáltatások minőségének és megbízhatóságának javítását célzó intézkedések </w:t>
      </w:r>
    </w:p>
    <w:p w14:paraId="267B0B95" w14:textId="77777777" w:rsidR="003E1D81" w:rsidRDefault="00EB481C">
      <w:pPr>
        <w:pStyle w:val="P68B1DB1-Normal4"/>
        <w:keepNext/>
        <w:spacing w:before="120" w:after="120" w:line="240" w:lineRule="auto"/>
        <w:jc w:val="both"/>
        <w:rPr>
          <w:rFonts w:cs="Times New Roman"/>
          <w:noProof/>
        </w:rPr>
      </w:pPr>
      <w:r>
        <w:rPr>
          <w:noProof/>
        </w:rPr>
        <w:t>Ezen intézkedés célja a nyilvános rövid távolságú vasúthálózat (az úgynevezett Cercanías</w:t>
      </w:r>
      <w:r>
        <w:rPr>
          <w:i/>
          <w:noProof/>
        </w:rPr>
        <w:t>)</w:t>
      </w:r>
      <w:r>
        <w:rPr>
          <w:noProof/>
        </w:rPr>
        <w:t>vonzerejének és hozzáférhetőségének javítása ann</w:t>
      </w:r>
      <w:r>
        <w:rPr>
          <w:noProof/>
        </w:rPr>
        <w:t xml:space="preserve">ak érdekében, hogy az a városi területeken a mobilitás gerincévé váljon, és felváltsa a magángépjárművek használatát a nagyvárosi területeken. A projekteket az ADIF (vasúti pályahálózat-működtető) és a RENFE (a közszolgáltatási kötelezettséggel rendelkező </w:t>
      </w:r>
      <w:r>
        <w:rPr>
          <w:noProof/>
        </w:rPr>
        <w:t>vasúti szolgáltató) hajtja végre.</w:t>
      </w:r>
    </w:p>
    <w:p w14:paraId="2836AAAE" w14:textId="77777777" w:rsidR="003E1D81" w:rsidRDefault="00EB481C">
      <w:pPr>
        <w:pStyle w:val="P68B1DB1-Normal4"/>
        <w:spacing w:before="120" w:after="120" w:line="240" w:lineRule="auto"/>
        <w:jc w:val="both"/>
        <w:rPr>
          <w:rFonts w:cs="Times New Roman"/>
          <w:noProof/>
        </w:rPr>
      </w:pPr>
      <w:r>
        <w:rPr>
          <w:noProof/>
        </w:rPr>
        <w:t xml:space="preserve">Az ADIF infrastrukturális beruházásokat hajt végre a </w:t>
      </w:r>
      <w:r>
        <w:rPr>
          <w:i/>
          <w:noProof/>
        </w:rPr>
        <w:t>Cercanías</w:t>
      </w:r>
      <w:r>
        <w:rPr>
          <w:noProof/>
        </w:rPr>
        <w:t xml:space="preserve"> vasúton, beleértve a vágányfelújítást, az állomások korszerűsítését, valamint a villamosítási és jelzőrendszer </w:t>
      </w:r>
      <w:r>
        <w:rPr>
          <w:noProof/>
        </w:rPr>
        <w:lastRenderedPageBreak/>
        <w:t>fejlesztését. A RENFE felel továbbá a vasúti köz</w:t>
      </w:r>
      <w:r>
        <w:rPr>
          <w:noProof/>
        </w:rPr>
        <w:t>össégi közlekedés irányításának korszerűsítésére irányuló beruházások végrehajtásáért. A beruházásoknak elsősorban öt dimenzióra kell kiterjedniük: az állomások biztonsági rendszereinek digitalizálása; utasinformációs rendszerek; a hozzáférés ellenőrzéséne</w:t>
      </w:r>
      <w:r>
        <w:rPr>
          <w:noProof/>
        </w:rPr>
        <w:t xml:space="preserve">k javítása; az öneladó gépek új technológiákhoz való igazítása; és e) a Cercanías- </w:t>
      </w:r>
      <w:r>
        <w:rPr>
          <w:i/>
          <w:noProof/>
        </w:rPr>
        <w:t>hálózat</w:t>
      </w:r>
      <w:r>
        <w:rPr>
          <w:noProof/>
        </w:rPr>
        <w:t xml:space="preserve"> állomásain található létesítmények felszerelése. </w:t>
      </w:r>
    </w:p>
    <w:p w14:paraId="221B1391" w14:textId="77777777" w:rsidR="003E1D81" w:rsidRDefault="00EB481C">
      <w:pPr>
        <w:pStyle w:val="P68B1DB1-Normal4"/>
        <w:spacing w:before="120" w:after="120" w:line="240" w:lineRule="auto"/>
        <w:jc w:val="both"/>
        <w:rPr>
          <w:rFonts w:cs="Times New Roman"/>
          <w:noProof/>
        </w:rPr>
      </w:pPr>
      <w:r>
        <w:rPr>
          <w:noProof/>
        </w:rPr>
        <w:t xml:space="preserve">A végrehajtást 2026. június 30-ig be kell fejezni. </w:t>
      </w:r>
    </w:p>
    <w:p w14:paraId="1195E51F" w14:textId="77777777" w:rsidR="003E1D81" w:rsidRDefault="003E1D81">
      <w:pPr>
        <w:spacing w:before="120" w:after="120" w:line="240" w:lineRule="auto"/>
        <w:jc w:val="both"/>
        <w:rPr>
          <w:rFonts w:ascii="Times New Roman" w:hAnsi="Times New Roman" w:cs="Times New Roman"/>
          <w:noProof/>
          <w:sz w:val="24"/>
        </w:rPr>
      </w:pPr>
    </w:p>
    <w:p w14:paraId="3C632623" w14:textId="5A815EEC" w:rsidR="003E1D81" w:rsidRDefault="00EB481C">
      <w:pPr>
        <w:pStyle w:val="P68B1DB1-Normal5"/>
        <w:spacing w:before="120" w:after="120" w:line="240" w:lineRule="auto"/>
        <w:jc w:val="both"/>
        <w:rPr>
          <w:rFonts w:cs="Times New Roman"/>
          <w:noProof/>
        </w:rPr>
      </w:pPr>
      <w:r>
        <w:rPr>
          <w:noProof/>
        </w:rPr>
        <w:t xml:space="preserve">A.2. </w:t>
      </w:r>
      <w:r>
        <w:rPr>
          <w:noProof/>
        </w:rPr>
        <w:tab/>
        <w:t>Vissza nem térítendő pénzügyi támogatás – a végrehajtásh</w:t>
      </w:r>
      <w:r>
        <w:rPr>
          <w:noProof/>
        </w:rPr>
        <w:t>oz és a nyomon követéshez kapcsolódó mérföldkövek, célok, mutatók és ütemterv</w:t>
      </w:r>
    </w:p>
    <w:p w14:paraId="6DED728A" w14:textId="77777777"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Az alapforgatókönyv valamennyi mutató esetében 2020. február 1-je, kivéve, ha az intézkedés leírása másként jelzi. A táblázatban szereplő összegek nem tartalmazzá</w:t>
      </w:r>
      <w:r>
        <w:rPr>
          <w:i/>
          <w:noProof/>
        </w:rPr>
        <w:t>k a héát.</w:t>
      </w:r>
    </w:p>
    <w:p w14:paraId="02EB378F" w14:textId="77777777" w:rsidR="003E1D81" w:rsidRDefault="003E1D81">
      <w:pPr>
        <w:spacing w:before="120" w:after="120" w:line="240" w:lineRule="auto"/>
        <w:jc w:val="both"/>
        <w:rPr>
          <w:rFonts w:ascii="Times New Roman" w:hAnsi="Times New Roman" w:cs="Times New Roman"/>
          <w:noProof/>
          <w:sz w:val="24"/>
        </w:rPr>
      </w:pPr>
    </w:p>
    <w:p w14:paraId="6A05A809" w14:textId="77777777" w:rsidR="003E1D81" w:rsidRDefault="003E1D81">
      <w:pPr>
        <w:spacing w:before="120" w:after="120" w:line="240" w:lineRule="auto"/>
        <w:jc w:val="both"/>
        <w:rPr>
          <w:rFonts w:ascii="Times New Roman" w:hAnsi="Times New Roman" w:cs="Times New Roman"/>
          <w:noProof/>
          <w:sz w:val="24"/>
        </w:rPr>
        <w:sectPr w:rsidR="003E1D81" w:rsidSect="00BF0BE2">
          <w:headerReference w:type="even" r:id="rId18"/>
          <w:headerReference w:type="default" r:id="rId19"/>
          <w:footerReference w:type="even" r:id="rId20"/>
          <w:footerReference w:type="default" r:id="rId21"/>
          <w:headerReference w:type="first" r:id="rId22"/>
          <w:footerReference w:type="first" r:id="rId23"/>
          <w:pgSz w:w="11907" w:h="16839"/>
          <w:pgMar w:top="1134" w:right="1417" w:bottom="1134" w:left="1417" w:header="709" w:footer="709" w:gutter="0"/>
          <w:pgNumType w:start="1"/>
          <w:cols w:space="720"/>
          <w:docGrid w:linePitch="360"/>
        </w:sectPr>
      </w:pPr>
    </w:p>
    <w:tbl>
      <w:tblPr>
        <w:tblW w:w="1516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134"/>
        <w:gridCol w:w="851"/>
        <w:gridCol w:w="675"/>
        <w:gridCol w:w="742"/>
        <w:gridCol w:w="425"/>
        <w:gridCol w:w="567"/>
        <w:gridCol w:w="5387"/>
      </w:tblGrid>
      <w:tr w:rsidR="003E1D81" w14:paraId="1C90EE20" w14:textId="77777777">
        <w:trPr>
          <w:trHeight w:val="309"/>
          <w:tblHeader/>
        </w:trPr>
        <w:tc>
          <w:tcPr>
            <w:tcW w:w="709" w:type="dxa"/>
            <w:tcBorders>
              <w:bottom w:val="nil"/>
            </w:tcBorders>
            <w:shd w:val="clear" w:color="auto" w:fill="C6D9F1" w:themeFill="text2" w:themeFillTint="33"/>
            <w:noWrap/>
          </w:tcPr>
          <w:p w14:paraId="616C3DC1" w14:textId="77777777" w:rsidR="003E1D81" w:rsidRDefault="00EB481C">
            <w:pPr>
              <w:pStyle w:val="P68B1DB1-Normal12"/>
              <w:spacing w:after="0" w:line="240" w:lineRule="auto"/>
              <w:jc w:val="center"/>
              <w:rPr>
                <w:rFonts w:cs="Times New Roman"/>
                <w:noProof/>
              </w:rPr>
            </w:pPr>
            <w:r>
              <w:rPr>
                <w:noProof/>
              </w:rPr>
              <w:lastRenderedPageBreak/>
              <w:t>Szám</w:t>
            </w:r>
          </w:p>
        </w:tc>
        <w:tc>
          <w:tcPr>
            <w:tcW w:w="851" w:type="dxa"/>
            <w:tcBorders>
              <w:bottom w:val="nil"/>
            </w:tcBorders>
            <w:shd w:val="clear" w:color="auto" w:fill="C6D9F1" w:themeFill="text2" w:themeFillTint="33"/>
            <w:noWrap/>
          </w:tcPr>
          <w:p w14:paraId="108A00CA"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tcPr>
          <w:p w14:paraId="194CF989"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977" w:type="dxa"/>
            <w:tcBorders>
              <w:bottom w:val="nil"/>
            </w:tcBorders>
            <w:shd w:val="clear" w:color="auto" w:fill="C6D9F1" w:themeFill="text2" w:themeFillTint="33"/>
            <w:noWrap/>
          </w:tcPr>
          <w:p w14:paraId="390DC06E" w14:textId="77777777" w:rsidR="003E1D81" w:rsidRDefault="00EB481C">
            <w:pPr>
              <w:pStyle w:val="P68B1DB1-Normal12"/>
              <w:spacing w:after="0" w:line="240" w:lineRule="auto"/>
              <w:jc w:val="center"/>
              <w:rPr>
                <w:rFonts w:cs="Times New Roman"/>
                <w:noProof/>
              </w:rPr>
            </w:pPr>
            <w:r>
              <w:rPr>
                <w:noProof/>
              </w:rPr>
              <w:t>Név</w:t>
            </w:r>
          </w:p>
        </w:tc>
        <w:tc>
          <w:tcPr>
            <w:tcW w:w="1134" w:type="dxa"/>
            <w:tcBorders>
              <w:bottom w:val="nil"/>
            </w:tcBorders>
            <w:shd w:val="clear" w:color="auto" w:fill="C6D9F1" w:themeFill="text2" w:themeFillTint="33"/>
            <w:noWrap/>
          </w:tcPr>
          <w:p w14:paraId="5F9C169F"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2268" w:type="dxa"/>
            <w:gridSpan w:val="3"/>
            <w:shd w:val="clear" w:color="auto" w:fill="C6D9F1" w:themeFill="text2" w:themeFillTint="33"/>
            <w:noWrap/>
          </w:tcPr>
          <w:p w14:paraId="021CC9BA"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92" w:type="dxa"/>
            <w:gridSpan w:val="2"/>
            <w:shd w:val="clear" w:color="auto" w:fill="C6D9F1" w:themeFill="text2" w:themeFillTint="33"/>
            <w:noWrap/>
          </w:tcPr>
          <w:p w14:paraId="257390A1" w14:textId="77777777" w:rsidR="003E1D81" w:rsidRDefault="00EB481C">
            <w:pPr>
              <w:pStyle w:val="P68B1DB1-Normal12"/>
              <w:spacing w:after="0" w:line="240" w:lineRule="auto"/>
              <w:jc w:val="center"/>
              <w:rPr>
                <w:rFonts w:cs="Times New Roman"/>
                <w:noProof/>
              </w:rPr>
            </w:pPr>
            <w:r>
              <w:rPr>
                <w:noProof/>
              </w:rPr>
              <w:t>Idő</w:t>
            </w:r>
          </w:p>
        </w:tc>
        <w:tc>
          <w:tcPr>
            <w:tcW w:w="5387" w:type="dxa"/>
            <w:tcBorders>
              <w:bottom w:val="nil"/>
            </w:tcBorders>
            <w:shd w:val="clear" w:color="auto" w:fill="C6D9F1" w:themeFill="text2" w:themeFillTint="33"/>
            <w:noWrap/>
          </w:tcPr>
          <w:p w14:paraId="5D8042D6"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32FCF7DB" w14:textId="77777777">
        <w:trPr>
          <w:trHeight w:val="309"/>
          <w:tblHeader/>
        </w:trPr>
        <w:tc>
          <w:tcPr>
            <w:tcW w:w="709" w:type="dxa"/>
            <w:tcBorders>
              <w:top w:val="nil"/>
            </w:tcBorders>
            <w:shd w:val="clear" w:color="auto" w:fill="C6D9F1" w:themeFill="text2" w:themeFillTint="33"/>
            <w:noWrap/>
          </w:tcPr>
          <w:p w14:paraId="7F0C080E"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0B9DF767"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4628D6B3" w14:textId="77777777" w:rsidR="003E1D81" w:rsidRDefault="003E1D81">
            <w:pPr>
              <w:spacing w:after="0" w:line="240" w:lineRule="auto"/>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27C17848" w14:textId="77777777" w:rsidR="003E1D81" w:rsidRDefault="003E1D81">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4430212C" w14:textId="77777777" w:rsidR="003E1D81" w:rsidRDefault="003E1D81">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tcPr>
          <w:p w14:paraId="0575659C" w14:textId="77777777" w:rsidR="003E1D81" w:rsidRDefault="00EB481C">
            <w:pPr>
              <w:pStyle w:val="P68B1DB1-Normal12"/>
              <w:spacing w:after="0" w:line="240" w:lineRule="auto"/>
              <w:jc w:val="center"/>
              <w:rPr>
                <w:rFonts w:cs="Times New Roman"/>
                <w:noProof/>
              </w:rPr>
            </w:pPr>
            <w:r>
              <w:rPr>
                <w:noProof/>
              </w:rPr>
              <w:t>Egység</w:t>
            </w:r>
          </w:p>
        </w:tc>
        <w:tc>
          <w:tcPr>
            <w:tcW w:w="675" w:type="dxa"/>
            <w:shd w:val="clear" w:color="auto" w:fill="C6D9F1" w:themeFill="text2" w:themeFillTint="33"/>
            <w:noWrap/>
          </w:tcPr>
          <w:p w14:paraId="03C7D63C" w14:textId="4F298F88" w:rsidR="003E1D81" w:rsidRDefault="00EB481C">
            <w:pPr>
              <w:pStyle w:val="P68B1DB1-Normal12"/>
              <w:spacing w:after="0" w:line="240" w:lineRule="auto"/>
              <w:jc w:val="center"/>
              <w:rPr>
                <w:rFonts w:cs="Times New Roman"/>
                <w:noProof/>
              </w:rPr>
            </w:pPr>
            <w:r>
              <w:rPr>
                <w:noProof/>
              </w:rPr>
              <w:t>Alapérték</w:t>
            </w:r>
          </w:p>
        </w:tc>
        <w:tc>
          <w:tcPr>
            <w:tcW w:w="742" w:type="dxa"/>
            <w:shd w:val="clear" w:color="auto" w:fill="C6D9F1" w:themeFill="text2" w:themeFillTint="33"/>
            <w:noWrap/>
          </w:tcPr>
          <w:p w14:paraId="247276FE" w14:textId="77777777" w:rsidR="003E1D81" w:rsidRDefault="00EB481C">
            <w:pPr>
              <w:pStyle w:val="P68B1DB1-Normal12"/>
              <w:spacing w:after="0" w:line="240" w:lineRule="auto"/>
              <w:jc w:val="center"/>
              <w:rPr>
                <w:rFonts w:cs="Times New Roman"/>
                <w:noProof/>
              </w:rPr>
            </w:pPr>
            <w:r>
              <w:rPr>
                <w:noProof/>
              </w:rPr>
              <w:t>Cél</w:t>
            </w:r>
          </w:p>
        </w:tc>
        <w:tc>
          <w:tcPr>
            <w:tcW w:w="425" w:type="dxa"/>
            <w:shd w:val="clear" w:color="auto" w:fill="C6D9F1" w:themeFill="text2" w:themeFillTint="33"/>
            <w:noWrap/>
          </w:tcPr>
          <w:p w14:paraId="564BB4C8"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31633393" w14:textId="77777777" w:rsidR="003E1D81" w:rsidRDefault="00EB481C">
            <w:pPr>
              <w:pStyle w:val="P68B1DB1-Normal12"/>
              <w:spacing w:after="0" w:line="240" w:lineRule="auto"/>
              <w:jc w:val="center"/>
              <w:rPr>
                <w:rFonts w:cs="Times New Roman"/>
                <w:noProof/>
              </w:rPr>
            </w:pPr>
            <w:r>
              <w:rPr>
                <w:noProof/>
              </w:rPr>
              <w:t>Éve</w:t>
            </w:r>
          </w:p>
        </w:tc>
        <w:tc>
          <w:tcPr>
            <w:tcW w:w="5387" w:type="dxa"/>
            <w:tcBorders>
              <w:top w:val="nil"/>
            </w:tcBorders>
            <w:shd w:val="clear" w:color="auto" w:fill="C6D9F1" w:themeFill="text2" w:themeFillTint="33"/>
            <w:noWrap/>
          </w:tcPr>
          <w:p w14:paraId="45BE5CDA" w14:textId="77777777" w:rsidR="003E1D81" w:rsidRDefault="003E1D81">
            <w:pPr>
              <w:spacing w:after="0" w:line="240" w:lineRule="auto"/>
              <w:rPr>
                <w:rFonts w:ascii="Times New Roman" w:hAnsi="Times New Roman" w:cs="Times New Roman"/>
                <w:b/>
                <w:noProof/>
                <w:sz w:val="18"/>
              </w:rPr>
            </w:pPr>
          </w:p>
        </w:tc>
      </w:tr>
      <w:tr w:rsidR="003E1D81" w14:paraId="22538EF1" w14:textId="77777777">
        <w:trPr>
          <w:trHeight w:val="309"/>
        </w:trPr>
        <w:tc>
          <w:tcPr>
            <w:tcW w:w="709" w:type="dxa"/>
            <w:shd w:val="clear" w:color="auto" w:fill="C6EFCE"/>
            <w:noWrap/>
          </w:tcPr>
          <w:p w14:paraId="2DBD4C2D" w14:textId="77777777" w:rsidR="003E1D81" w:rsidRDefault="00EB481C">
            <w:pPr>
              <w:pStyle w:val="P68B1DB1-Normal13"/>
              <w:spacing w:after="0" w:line="240" w:lineRule="auto"/>
              <w:jc w:val="center"/>
              <w:rPr>
                <w:rFonts w:eastAsia="MS Mincho" w:cs="Times New Roman"/>
                <w:noProof/>
              </w:rPr>
            </w:pPr>
            <w:r>
              <w:rPr>
                <w:noProof/>
              </w:rPr>
              <w:t>1</w:t>
            </w:r>
          </w:p>
        </w:tc>
        <w:tc>
          <w:tcPr>
            <w:tcW w:w="851" w:type="dxa"/>
            <w:shd w:val="clear" w:color="auto" w:fill="C6EFCE"/>
            <w:noWrap/>
          </w:tcPr>
          <w:p w14:paraId="522015FD" w14:textId="77777777" w:rsidR="003E1D81" w:rsidRDefault="00EB481C">
            <w:pPr>
              <w:pStyle w:val="P68B1DB1-Normal13"/>
              <w:spacing w:after="0" w:line="240" w:lineRule="auto"/>
              <w:jc w:val="center"/>
              <w:rPr>
                <w:rFonts w:eastAsia="MS Mincho" w:cs="Times New Roman"/>
                <w:noProof/>
              </w:rPr>
            </w:pPr>
            <w:r>
              <w:rPr>
                <w:noProof/>
              </w:rPr>
              <w:t>C1.R1</w:t>
            </w:r>
          </w:p>
        </w:tc>
        <w:tc>
          <w:tcPr>
            <w:tcW w:w="850" w:type="dxa"/>
            <w:shd w:val="clear" w:color="auto" w:fill="C6EFCE"/>
            <w:noWrap/>
          </w:tcPr>
          <w:p w14:paraId="33F87B3B" w14:textId="77777777" w:rsidR="003E1D81" w:rsidRDefault="00EB481C">
            <w:pPr>
              <w:pStyle w:val="P68B1DB1-Normal13"/>
              <w:spacing w:after="0" w:line="240" w:lineRule="auto"/>
              <w:jc w:val="center"/>
              <w:rPr>
                <w:rFonts w:eastAsia="MS Mincho" w:cs="Times New Roman"/>
                <w:noProof/>
              </w:rPr>
            </w:pPr>
            <w:r>
              <w:rPr>
                <w:noProof/>
              </w:rPr>
              <w:t>M</w:t>
            </w:r>
          </w:p>
        </w:tc>
        <w:tc>
          <w:tcPr>
            <w:tcW w:w="2977" w:type="dxa"/>
            <w:shd w:val="clear" w:color="auto" w:fill="C6EFCE"/>
            <w:noWrap/>
          </w:tcPr>
          <w:p w14:paraId="5E9C449F" w14:textId="77777777" w:rsidR="003E1D81" w:rsidRDefault="00EB481C">
            <w:pPr>
              <w:pStyle w:val="P68B1DB1-Normal13"/>
              <w:spacing w:after="0" w:line="240" w:lineRule="auto"/>
              <w:rPr>
                <w:rFonts w:eastAsia="MS Mincho" w:cs="Times New Roman"/>
                <w:noProof/>
              </w:rPr>
            </w:pPr>
            <w:r>
              <w:rPr>
                <w:noProof/>
              </w:rPr>
              <w:t>A TMA/178/2020. sz. végzés és a 23/2020. sz. királyi törvényerejű rendelet</w:t>
            </w:r>
          </w:p>
        </w:tc>
        <w:tc>
          <w:tcPr>
            <w:tcW w:w="1134" w:type="dxa"/>
            <w:shd w:val="clear" w:color="auto" w:fill="C6EFCE"/>
            <w:noWrap/>
          </w:tcPr>
          <w:p w14:paraId="2C017ED3" w14:textId="77777777" w:rsidR="003E1D81" w:rsidRDefault="00EB481C">
            <w:pPr>
              <w:pStyle w:val="P68B1DB1-Normal13"/>
              <w:spacing w:after="0" w:line="240" w:lineRule="auto"/>
              <w:jc w:val="center"/>
              <w:rPr>
                <w:rFonts w:eastAsia="MS Mincho" w:cs="Times New Roman"/>
                <w:noProof/>
              </w:rPr>
            </w:pPr>
            <w:r>
              <w:rPr>
                <w:noProof/>
              </w:rPr>
              <w:t xml:space="preserve">A rendelet és a királyi törvényerejű rendelet hatálybalépésére vonatkozó rendelkezés </w:t>
            </w:r>
          </w:p>
        </w:tc>
        <w:tc>
          <w:tcPr>
            <w:tcW w:w="851" w:type="dxa"/>
            <w:shd w:val="clear" w:color="auto" w:fill="C6EFCE"/>
            <w:noWrap/>
          </w:tcPr>
          <w:p w14:paraId="506B302E"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675" w:type="dxa"/>
            <w:shd w:val="clear" w:color="auto" w:fill="C6EFCE"/>
            <w:noWrap/>
          </w:tcPr>
          <w:p w14:paraId="3B243226"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742" w:type="dxa"/>
            <w:shd w:val="clear" w:color="auto" w:fill="C6EFCE"/>
            <w:noWrap/>
          </w:tcPr>
          <w:p w14:paraId="76A4A2AF"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25020D56"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5AC65629" w14:textId="77777777" w:rsidR="003E1D81" w:rsidRDefault="00EB481C">
            <w:pPr>
              <w:pStyle w:val="P68B1DB1-Normal13"/>
              <w:spacing w:after="0" w:line="240" w:lineRule="auto"/>
              <w:jc w:val="center"/>
              <w:rPr>
                <w:rFonts w:eastAsia="MS Mincho" w:cs="Times New Roman"/>
                <w:noProof/>
              </w:rPr>
            </w:pPr>
            <w:r>
              <w:rPr>
                <w:noProof/>
              </w:rPr>
              <w:t>2020</w:t>
            </w:r>
          </w:p>
        </w:tc>
        <w:tc>
          <w:tcPr>
            <w:tcW w:w="5387" w:type="dxa"/>
            <w:shd w:val="clear" w:color="auto" w:fill="C6EFCE"/>
            <w:noWrap/>
          </w:tcPr>
          <w:p w14:paraId="05E44C66" w14:textId="44018555" w:rsidR="003E1D81" w:rsidRDefault="00EB481C">
            <w:pPr>
              <w:pStyle w:val="P68B1DB1-Normal13"/>
              <w:spacing w:after="0" w:line="240" w:lineRule="auto"/>
              <w:rPr>
                <w:rFonts w:eastAsia="MS Mincho" w:cs="Times New Roman"/>
                <w:noProof/>
              </w:rPr>
            </w:pPr>
            <w:r>
              <w:rPr>
                <w:noProof/>
              </w:rPr>
              <w:t xml:space="preserve">I. az elektromos töltőberendezések töltőállomásokon történő </w:t>
            </w:r>
            <w:r>
              <w:rPr>
                <w:noProof/>
              </w:rPr>
              <w:t>telepítésével járó adminisztratív terhek csökkentéséről és az infrastruktúra ártalmatlanításához szükséges idő meghatározásáról szóló TMA/178/2020. sz. rendelet, ii. a 250 kW-nál nagyobb teljesítményű töltőinfrastruktúra közműnek nyilvánításáról szóló, jún</w:t>
            </w:r>
            <w:r>
              <w:rPr>
                <w:noProof/>
              </w:rPr>
              <w:t>ius 23-i 23/2020. sz. királyi törvényerejű rendelet hatálybalépése az ilyen típusú létesítmények kiépítésének felgyorsítása érdekében</w:t>
            </w:r>
          </w:p>
        </w:tc>
      </w:tr>
      <w:tr w:rsidR="003E1D81" w14:paraId="197A472F" w14:textId="77777777">
        <w:trPr>
          <w:trHeight w:val="309"/>
        </w:trPr>
        <w:tc>
          <w:tcPr>
            <w:tcW w:w="709" w:type="dxa"/>
            <w:shd w:val="clear" w:color="auto" w:fill="C6EFCE"/>
            <w:noWrap/>
          </w:tcPr>
          <w:p w14:paraId="7A9F7BA1" w14:textId="77777777" w:rsidR="003E1D81" w:rsidRDefault="00EB481C">
            <w:pPr>
              <w:pStyle w:val="P68B1DB1-Normal13"/>
              <w:spacing w:after="0" w:line="240" w:lineRule="auto"/>
              <w:jc w:val="center"/>
              <w:rPr>
                <w:rFonts w:eastAsia="MS Mincho" w:cs="Times New Roman"/>
                <w:noProof/>
              </w:rPr>
            </w:pPr>
            <w:r>
              <w:rPr>
                <w:noProof/>
              </w:rPr>
              <w:t>2</w:t>
            </w:r>
          </w:p>
        </w:tc>
        <w:tc>
          <w:tcPr>
            <w:tcW w:w="851" w:type="dxa"/>
            <w:shd w:val="clear" w:color="auto" w:fill="C6EFCE"/>
            <w:noWrap/>
          </w:tcPr>
          <w:p w14:paraId="5356C5A6" w14:textId="77777777" w:rsidR="003E1D81" w:rsidRDefault="00EB481C">
            <w:pPr>
              <w:pStyle w:val="P68B1DB1-Normal13"/>
              <w:spacing w:after="0" w:line="240" w:lineRule="auto"/>
              <w:jc w:val="center"/>
              <w:rPr>
                <w:rFonts w:eastAsia="MS Mincho" w:cs="Times New Roman"/>
                <w:noProof/>
              </w:rPr>
            </w:pPr>
            <w:r>
              <w:rPr>
                <w:noProof/>
              </w:rPr>
              <w:t>C1.R1</w:t>
            </w:r>
          </w:p>
        </w:tc>
        <w:tc>
          <w:tcPr>
            <w:tcW w:w="850" w:type="dxa"/>
            <w:shd w:val="clear" w:color="auto" w:fill="C6EFCE"/>
            <w:noWrap/>
          </w:tcPr>
          <w:p w14:paraId="42E95C61" w14:textId="77777777" w:rsidR="003E1D81" w:rsidRDefault="00EB481C">
            <w:pPr>
              <w:pStyle w:val="P68B1DB1-Normal13"/>
              <w:spacing w:after="0" w:line="240" w:lineRule="auto"/>
              <w:jc w:val="center"/>
              <w:rPr>
                <w:rFonts w:eastAsia="MS Mincho" w:cs="Times New Roman"/>
                <w:noProof/>
              </w:rPr>
            </w:pPr>
            <w:r>
              <w:rPr>
                <w:noProof/>
              </w:rPr>
              <w:t>M</w:t>
            </w:r>
          </w:p>
        </w:tc>
        <w:tc>
          <w:tcPr>
            <w:tcW w:w="2977" w:type="dxa"/>
            <w:shd w:val="clear" w:color="auto" w:fill="C6EFCE"/>
            <w:noWrap/>
          </w:tcPr>
          <w:p w14:paraId="0D89BE5F" w14:textId="0964F4D6" w:rsidR="003E1D81" w:rsidRDefault="00EB481C">
            <w:pPr>
              <w:pStyle w:val="P68B1DB1-Normal13"/>
              <w:spacing w:after="0" w:line="240" w:lineRule="auto"/>
              <w:rPr>
                <w:rFonts w:eastAsia="MS Mincho" w:cs="Times New Roman"/>
                <w:noProof/>
              </w:rPr>
            </w:pPr>
            <w:r>
              <w:rPr>
                <w:noProof/>
              </w:rPr>
              <w:t xml:space="preserve">Az épületek műszaki szabályzatának (megerősítendő), a kisfeszültségű elektrotechnikai rendelet (lver) </w:t>
            </w:r>
            <w:r>
              <w:rPr>
                <w:noProof/>
              </w:rPr>
              <w:t>módosításai és a nyilvános elektromos töltési szolgáltatások szabályozásáról szóló királyi rendelet jóváhagyása</w:t>
            </w:r>
          </w:p>
        </w:tc>
        <w:tc>
          <w:tcPr>
            <w:tcW w:w="1134" w:type="dxa"/>
            <w:shd w:val="clear" w:color="auto" w:fill="C6EFCE"/>
            <w:noWrap/>
          </w:tcPr>
          <w:p w14:paraId="785900C6" w14:textId="77777777" w:rsidR="003E1D81" w:rsidRDefault="00EB481C">
            <w:pPr>
              <w:pStyle w:val="P68B1DB1-Normal13"/>
              <w:spacing w:after="0" w:line="240" w:lineRule="auto"/>
              <w:jc w:val="center"/>
              <w:rPr>
                <w:rFonts w:eastAsia="MS Mincho" w:cs="Times New Roman"/>
                <w:noProof/>
              </w:rPr>
            </w:pPr>
            <w:r>
              <w:rPr>
                <w:noProof/>
              </w:rPr>
              <w:t xml:space="preserve">A törvénykönyv, a rendelet és a királyi rendelet hatálybalépésére vonatkozó rendelkezése </w:t>
            </w:r>
          </w:p>
        </w:tc>
        <w:tc>
          <w:tcPr>
            <w:tcW w:w="851" w:type="dxa"/>
            <w:shd w:val="clear" w:color="auto" w:fill="C6EFCE"/>
            <w:noWrap/>
          </w:tcPr>
          <w:p w14:paraId="097FA9F6"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675" w:type="dxa"/>
            <w:shd w:val="clear" w:color="auto" w:fill="C6EFCE"/>
            <w:noWrap/>
          </w:tcPr>
          <w:p w14:paraId="01A809EE"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742" w:type="dxa"/>
            <w:shd w:val="clear" w:color="auto" w:fill="C6EFCE"/>
            <w:noWrap/>
          </w:tcPr>
          <w:p w14:paraId="26918E7C"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3913E62B" w14:textId="77777777"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4B71CAA9" w14:textId="77777777" w:rsidR="003E1D81" w:rsidRDefault="00EB481C">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7789F0B" w14:textId="77777777" w:rsidR="003E1D81" w:rsidRDefault="00EB481C">
            <w:pPr>
              <w:pStyle w:val="P68B1DB1-Normal13"/>
              <w:spacing w:after="0" w:line="240" w:lineRule="auto"/>
              <w:rPr>
                <w:rFonts w:eastAsia="MS Mincho" w:cs="Times New Roman"/>
                <w:noProof/>
              </w:rPr>
            </w:pPr>
            <w:r>
              <w:rPr>
                <w:noProof/>
              </w:rPr>
              <w:t>Hatálybalépés:</w:t>
            </w:r>
            <w:r>
              <w:rPr>
                <w:noProof/>
              </w:rPr>
              <w:br/>
              <w:t>i. az épületek műszak</w:t>
            </w:r>
            <w:r>
              <w:rPr>
                <w:noProof/>
              </w:rPr>
              <w:t>i szabályzatának (megerősítendő) módosításai, amelyek előírják, hogy a) a lakóépületekben az új parkolóhelyek 100%-án, a kereskedelmi és egyéb épületekben pedig az új parkolóhelyek 20%-án előzetesen fel kell szerelni töltőpontokat, b) minden 40 új parkolóh</w:t>
            </w:r>
            <w:r>
              <w:rPr>
                <w:noProof/>
              </w:rPr>
              <w:t>elyre (és minden 20 parkolóhelyre minden 20 parkolóhelyre) és c) a korábban már meglévő, több mint 20 parkolóhellyel rendelkező nem lakáscélú gépjárműparkok számára a fenti követelményhez való alkalmazkodásra vonatkozó kötelezettség (azaz 40 parkolóhelyenk</w:t>
            </w:r>
            <w:r>
              <w:rPr>
                <w:noProof/>
              </w:rPr>
              <w:t>ént egy töltőállomás létesítése) 2023-ig;</w:t>
            </w:r>
            <w:r>
              <w:rPr>
                <w:noProof/>
              </w:rPr>
              <w:br/>
              <w:t>a kisfeszültségű elektrotechnikai rendelet (lver) módosításai az épülethez nem kapcsolódó gépjárműparkok töltőinfrastruktúrájára vonatkozó kötelezettségek beépítése érdekében; és</w:t>
            </w:r>
            <w:r>
              <w:rPr>
                <w:noProof/>
              </w:rPr>
              <w:br/>
              <w:t>a nyilvános elektromos töltési szol</w:t>
            </w:r>
            <w:r>
              <w:rPr>
                <w:noProof/>
              </w:rPr>
              <w:t>gáltatások szabályozásáról szóló királyi rendelet, beleértve a szolgáltatásban részt vevő alanyok (töltőpont-üzemeltetők, elektromos mobilitási szolgáltatók) viszonyát, valamint jogaik és kötelezettségeik megállapításáról szóló királyi rendelet</w:t>
            </w:r>
          </w:p>
        </w:tc>
      </w:tr>
      <w:tr w:rsidR="003E1D81" w14:paraId="6BCD592A" w14:textId="77777777">
        <w:trPr>
          <w:trHeight w:val="309"/>
        </w:trPr>
        <w:tc>
          <w:tcPr>
            <w:tcW w:w="709" w:type="dxa"/>
            <w:shd w:val="clear" w:color="auto" w:fill="C6EFCE"/>
            <w:noWrap/>
          </w:tcPr>
          <w:p w14:paraId="030995EB" w14:textId="77777777" w:rsidR="003E1D81" w:rsidRDefault="00EB481C">
            <w:pPr>
              <w:pStyle w:val="P68B1DB1-Normal13"/>
              <w:spacing w:after="0" w:line="240" w:lineRule="auto"/>
              <w:jc w:val="center"/>
              <w:rPr>
                <w:rFonts w:eastAsia="MS Mincho" w:cs="Times New Roman"/>
                <w:noProof/>
              </w:rPr>
            </w:pPr>
            <w:r>
              <w:rPr>
                <w:noProof/>
              </w:rPr>
              <w:t>3</w:t>
            </w:r>
          </w:p>
        </w:tc>
        <w:tc>
          <w:tcPr>
            <w:tcW w:w="851" w:type="dxa"/>
            <w:shd w:val="clear" w:color="auto" w:fill="C6EFCE"/>
            <w:noWrap/>
          </w:tcPr>
          <w:p w14:paraId="21C9028F" w14:textId="77777777" w:rsidR="003E1D81" w:rsidRDefault="00EB481C">
            <w:pPr>
              <w:pStyle w:val="P68B1DB1-Normal13"/>
              <w:spacing w:after="0" w:line="240" w:lineRule="auto"/>
              <w:jc w:val="center"/>
              <w:rPr>
                <w:rFonts w:eastAsia="MS Mincho" w:cs="Times New Roman"/>
                <w:noProof/>
              </w:rPr>
            </w:pPr>
            <w:r>
              <w:rPr>
                <w:noProof/>
              </w:rPr>
              <w:t>C1.R2</w:t>
            </w:r>
          </w:p>
        </w:tc>
        <w:tc>
          <w:tcPr>
            <w:tcW w:w="850" w:type="dxa"/>
            <w:shd w:val="clear" w:color="auto" w:fill="C6EFCE"/>
            <w:noWrap/>
          </w:tcPr>
          <w:p w14:paraId="3773E58B" w14:textId="77777777" w:rsidR="003E1D81" w:rsidRDefault="00EB481C">
            <w:pPr>
              <w:pStyle w:val="P68B1DB1-Normal13"/>
              <w:spacing w:after="0" w:line="240" w:lineRule="auto"/>
              <w:jc w:val="center"/>
              <w:rPr>
                <w:rFonts w:eastAsia="MS Mincho" w:cs="Times New Roman"/>
                <w:noProof/>
              </w:rPr>
            </w:pPr>
            <w:r>
              <w:rPr>
                <w:noProof/>
              </w:rPr>
              <w:t>M</w:t>
            </w:r>
          </w:p>
        </w:tc>
        <w:tc>
          <w:tcPr>
            <w:tcW w:w="2977" w:type="dxa"/>
            <w:shd w:val="clear" w:color="auto" w:fill="C6EFCE"/>
            <w:noWrap/>
          </w:tcPr>
          <w:p w14:paraId="7439DBD0" w14:textId="0111645A" w:rsidR="003E1D81" w:rsidRDefault="00EB481C">
            <w:pPr>
              <w:pStyle w:val="P68B1DB1-Normal13"/>
              <w:spacing w:after="0" w:line="240" w:lineRule="auto"/>
              <w:rPr>
                <w:rFonts w:eastAsia="MS Mincho" w:cs="Times New Roman"/>
                <w:noProof/>
              </w:rPr>
            </w:pPr>
            <w:r>
              <w:rPr>
                <w:noProof/>
              </w:rPr>
              <w:t xml:space="preserve">A fenntartható mobilitásról szóló törvény elfogadása </w:t>
            </w:r>
          </w:p>
        </w:tc>
        <w:tc>
          <w:tcPr>
            <w:tcW w:w="1134" w:type="dxa"/>
            <w:shd w:val="clear" w:color="auto" w:fill="C6EFCE"/>
            <w:noWrap/>
          </w:tcPr>
          <w:p w14:paraId="6AB29DFD" w14:textId="77777777" w:rsidR="003E1D81" w:rsidRDefault="00EB481C">
            <w:pPr>
              <w:pStyle w:val="P68B1DB1-Normal13"/>
              <w:spacing w:after="0" w:line="240" w:lineRule="auto"/>
              <w:jc w:val="center"/>
              <w:rPr>
                <w:rFonts w:eastAsia="MS Mincho" w:cs="Times New Roman"/>
                <w:noProof/>
              </w:rPr>
            </w:pPr>
            <w:r>
              <w:rPr>
                <w:noProof/>
              </w:rPr>
              <w:t>A törvény hatálybalépésére vonatkozó jogszabályi rendelkezés</w:t>
            </w:r>
          </w:p>
        </w:tc>
        <w:tc>
          <w:tcPr>
            <w:tcW w:w="851" w:type="dxa"/>
            <w:shd w:val="clear" w:color="auto" w:fill="C6EFCE"/>
            <w:noWrap/>
          </w:tcPr>
          <w:p w14:paraId="6163F49C"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675" w:type="dxa"/>
            <w:shd w:val="clear" w:color="auto" w:fill="C6EFCE"/>
            <w:noWrap/>
          </w:tcPr>
          <w:p w14:paraId="52ABEE9F"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742" w:type="dxa"/>
            <w:shd w:val="clear" w:color="auto" w:fill="C6EFCE"/>
            <w:noWrap/>
          </w:tcPr>
          <w:p w14:paraId="28EE1D75"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51ECE739"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086F47C2" w14:textId="1343836D" w:rsidR="003E1D81" w:rsidRDefault="00EB481C">
            <w:pPr>
              <w:pStyle w:val="P68B1DB1-Normal13"/>
              <w:spacing w:after="0" w:line="240" w:lineRule="auto"/>
              <w:jc w:val="center"/>
              <w:rPr>
                <w:rFonts w:eastAsia="MS Mincho" w:cs="Times New Roman"/>
                <w:noProof/>
              </w:rPr>
            </w:pPr>
            <w:r>
              <w:rPr>
                <w:noProof/>
              </w:rPr>
              <w:t>2024</w:t>
            </w:r>
          </w:p>
        </w:tc>
        <w:tc>
          <w:tcPr>
            <w:tcW w:w="5387" w:type="dxa"/>
            <w:shd w:val="clear" w:color="auto" w:fill="C6EFCE"/>
            <w:noWrap/>
          </w:tcPr>
          <w:p w14:paraId="76486FD9" w14:textId="2780E8EF" w:rsidR="003E1D81" w:rsidRDefault="00EB481C">
            <w:pPr>
              <w:pStyle w:val="P68B1DB1-Normal13"/>
              <w:spacing w:after="0" w:line="240" w:lineRule="auto"/>
              <w:rPr>
                <w:rFonts w:cs="Times New Roman"/>
                <w:noProof/>
              </w:rPr>
            </w:pPr>
            <w:r>
              <w:rPr>
                <w:noProof/>
              </w:rPr>
              <w:t>A fenntartható mobilitásról szóló törvény hatálybalépése, amely javítja a tömegközlekedési politikák tervezését, koordiná</w:t>
            </w:r>
            <w:r>
              <w:rPr>
                <w:noProof/>
              </w:rPr>
              <w:t>cióját és hatékonyságát, valamint támogatja a közlekedés digitalizálását és a tömegközlekedés használatát.  Konkrét intézkedéseket is tartalmaz a vasúti árufuvarozás előmozdítására, amelyek hozzájárulnak a szárazföldi árufuvarozásból származó globális kibo</w:t>
            </w:r>
            <w:r>
              <w:rPr>
                <w:noProof/>
              </w:rPr>
              <w:t>csátások csökkentéséhez, beleértve a következőket:</w:t>
            </w:r>
          </w:p>
          <w:p w14:paraId="4D910211" w14:textId="145DEA7E" w:rsidR="003E1D81" w:rsidRDefault="003E1D81">
            <w:pPr>
              <w:spacing w:after="0" w:line="240" w:lineRule="auto"/>
              <w:rPr>
                <w:rFonts w:ascii="Times New Roman" w:hAnsi="Times New Roman" w:cs="Times New Roman"/>
                <w:noProof/>
                <w:sz w:val="18"/>
              </w:rPr>
            </w:pPr>
          </w:p>
          <w:p w14:paraId="4393133D" w14:textId="056F8717" w:rsidR="003E1D81" w:rsidRDefault="00EB481C">
            <w:pPr>
              <w:pStyle w:val="P68B1DB1-ListParagraph14"/>
              <w:numPr>
                <w:ilvl w:val="0"/>
                <w:numId w:val="4"/>
              </w:numPr>
              <w:spacing w:after="0" w:line="240" w:lineRule="auto"/>
              <w:rPr>
                <w:rFonts w:eastAsia="Times New Roman" w:cs="Times New Roman"/>
                <w:noProof/>
              </w:rPr>
            </w:pPr>
            <w:r>
              <w:rPr>
                <w:noProof/>
              </w:rPr>
              <w:t>A görgős autópályák megvalósítására vonatkozó program kidolgozásának kötelezettsége azokon a folyosókon, ahol ez megvalósítható, és ahol a fejlesztéshez üzleti érdek fűződik.</w:t>
            </w:r>
          </w:p>
          <w:p w14:paraId="7E82E417" w14:textId="3F60EBCC" w:rsidR="003E1D81" w:rsidRDefault="00EB481C">
            <w:pPr>
              <w:pStyle w:val="P68B1DB1-ListParagraph14"/>
              <w:numPr>
                <w:ilvl w:val="0"/>
                <w:numId w:val="4"/>
              </w:numPr>
              <w:spacing w:after="0" w:line="240" w:lineRule="auto"/>
              <w:rPr>
                <w:rFonts w:eastAsia="Times New Roman" w:cs="Times New Roman"/>
                <w:noProof/>
              </w:rPr>
            </w:pPr>
            <w:r>
              <w:rPr>
                <w:noProof/>
              </w:rPr>
              <w:lastRenderedPageBreak/>
              <w:t>A teherforgalom vasúti díjána</w:t>
            </w:r>
            <w:r>
              <w:rPr>
                <w:noProof/>
              </w:rPr>
              <w:t>k bónusza legalább 5 éven keresztül.</w:t>
            </w:r>
          </w:p>
          <w:p w14:paraId="30208CFB" w14:textId="26F2AD83" w:rsidR="003E1D81" w:rsidRDefault="00EB481C">
            <w:pPr>
              <w:pStyle w:val="P68B1DB1-ListParagraph14"/>
              <w:numPr>
                <w:ilvl w:val="0"/>
                <w:numId w:val="4"/>
              </w:numPr>
              <w:spacing w:after="0" w:line="240" w:lineRule="auto"/>
              <w:rPr>
                <w:rFonts w:cs="Times New Roman"/>
                <w:noProof/>
              </w:rPr>
            </w:pPr>
            <w:r>
              <w:rPr>
                <w:noProof/>
              </w:rPr>
              <w:t>A vasúti árufuvarozást támogató program, beleértve a közútról a vasútra történő modális váltást, valamint a vasúti közlekedési ágazat korszerűsítését és innovációját előmozdító ösztönzőket.</w:t>
            </w:r>
          </w:p>
        </w:tc>
      </w:tr>
      <w:tr w:rsidR="003E1D81" w14:paraId="6F2EDAC1" w14:textId="77777777">
        <w:trPr>
          <w:trHeight w:val="309"/>
        </w:trPr>
        <w:tc>
          <w:tcPr>
            <w:tcW w:w="709" w:type="dxa"/>
            <w:shd w:val="clear" w:color="auto" w:fill="C6EFCE"/>
            <w:noWrap/>
          </w:tcPr>
          <w:p w14:paraId="4632EFF2" w14:textId="7CC22680" w:rsidR="003E1D81" w:rsidRDefault="00EB481C">
            <w:pPr>
              <w:pStyle w:val="P68B1DB1-Normal13"/>
              <w:spacing w:after="0" w:line="240" w:lineRule="auto"/>
              <w:jc w:val="center"/>
              <w:rPr>
                <w:rFonts w:cs="Times New Roman"/>
                <w:noProof/>
              </w:rPr>
            </w:pPr>
            <w:r>
              <w:rPr>
                <w:noProof/>
              </w:rPr>
              <w:lastRenderedPageBreak/>
              <w:t>417</w:t>
            </w:r>
          </w:p>
        </w:tc>
        <w:tc>
          <w:tcPr>
            <w:tcW w:w="851" w:type="dxa"/>
            <w:shd w:val="clear" w:color="auto" w:fill="C6EFCE"/>
            <w:noWrap/>
          </w:tcPr>
          <w:p w14:paraId="2B2BEF68" w14:textId="12EE464D" w:rsidR="003E1D81" w:rsidRDefault="00EB481C">
            <w:pPr>
              <w:pStyle w:val="P68B1DB1-Normal13"/>
              <w:spacing w:after="0" w:line="240" w:lineRule="auto"/>
              <w:jc w:val="center"/>
              <w:rPr>
                <w:rFonts w:cs="Times New Roman"/>
                <w:noProof/>
              </w:rPr>
            </w:pPr>
            <w:r>
              <w:rPr>
                <w:noProof/>
              </w:rPr>
              <w:t>C1.R2</w:t>
            </w:r>
          </w:p>
        </w:tc>
        <w:tc>
          <w:tcPr>
            <w:tcW w:w="850" w:type="dxa"/>
            <w:shd w:val="clear" w:color="auto" w:fill="C6EFCE"/>
            <w:noWrap/>
          </w:tcPr>
          <w:p w14:paraId="4F8C301D" w14:textId="0098C8C5" w:rsidR="003E1D81" w:rsidRDefault="00EB481C">
            <w:pPr>
              <w:pStyle w:val="P68B1DB1-Normal13"/>
              <w:spacing w:after="0" w:line="240" w:lineRule="auto"/>
              <w:jc w:val="center"/>
              <w:rPr>
                <w:rFonts w:cs="Times New Roman"/>
                <w:noProof/>
              </w:rPr>
            </w:pPr>
            <w:r>
              <w:rPr>
                <w:noProof/>
              </w:rPr>
              <w:t>M</w:t>
            </w:r>
          </w:p>
        </w:tc>
        <w:tc>
          <w:tcPr>
            <w:tcW w:w="2977" w:type="dxa"/>
            <w:shd w:val="clear" w:color="auto" w:fill="C6EFCE"/>
            <w:noWrap/>
          </w:tcPr>
          <w:p w14:paraId="1272B76D" w14:textId="1BE6B932" w:rsidR="003E1D81" w:rsidRDefault="00EB481C">
            <w:pPr>
              <w:pStyle w:val="P68B1DB1-Normal13"/>
              <w:spacing w:after="0" w:line="240" w:lineRule="auto"/>
              <w:rPr>
                <w:rFonts w:cs="Times New Roman"/>
                <w:noProof/>
              </w:rPr>
            </w:pPr>
            <w:r>
              <w:rPr>
                <w:noProof/>
              </w:rPr>
              <w:t xml:space="preserve">Szoftveralkalmazás kifejlesztése a közlekedési infrastrukturális beruházások költség-haszon elemzésének végrehajtásához </w:t>
            </w:r>
          </w:p>
          <w:p w14:paraId="501E9F60" w14:textId="77777777" w:rsidR="003E1D81" w:rsidRDefault="003E1D81">
            <w:pPr>
              <w:spacing w:after="0" w:line="240" w:lineRule="auto"/>
              <w:rPr>
                <w:rFonts w:ascii="Times New Roman" w:hAnsi="Times New Roman" w:cs="Times New Roman"/>
                <w:noProof/>
                <w:sz w:val="18"/>
              </w:rPr>
            </w:pPr>
          </w:p>
        </w:tc>
        <w:tc>
          <w:tcPr>
            <w:tcW w:w="1134" w:type="dxa"/>
            <w:shd w:val="clear" w:color="auto" w:fill="C6EFCE"/>
            <w:noWrap/>
          </w:tcPr>
          <w:p w14:paraId="41D513B8" w14:textId="46F7528E" w:rsidR="003E1D81" w:rsidRDefault="00EB481C">
            <w:pPr>
              <w:pStyle w:val="P68B1DB1-Normal13"/>
              <w:spacing w:after="0" w:line="240" w:lineRule="auto"/>
              <w:jc w:val="center"/>
              <w:rPr>
                <w:rFonts w:cs="Times New Roman"/>
                <w:noProof/>
              </w:rPr>
            </w:pPr>
            <w:r>
              <w:rPr>
                <w:noProof/>
              </w:rPr>
              <w:t xml:space="preserve">Az eszköz elérhetősége egy hivatalos weboldalon </w:t>
            </w:r>
          </w:p>
        </w:tc>
        <w:tc>
          <w:tcPr>
            <w:tcW w:w="851" w:type="dxa"/>
            <w:shd w:val="clear" w:color="auto" w:fill="C6EFCE"/>
            <w:noWrap/>
          </w:tcPr>
          <w:p w14:paraId="26625EA0" w14:textId="77777777" w:rsidR="003E1D81" w:rsidRDefault="003E1D81">
            <w:pPr>
              <w:spacing w:after="0" w:line="240" w:lineRule="auto"/>
              <w:jc w:val="right"/>
              <w:rPr>
                <w:rFonts w:ascii="Times New Roman" w:hAnsi="Times New Roman" w:cs="Times New Roman"/>
                <w:noProof/>
                <w:sz w:val="18"/>
              </w:rPr>
            </w:pPr>
          </w:p>
        </w:tc>
        <w:tc>
          <w:tcPr>
            <w:tcW w:w="675" w:type="dxa"/>
            <w:shd w:val="clear" w:color="auto" w:fill="C6EFCE"/>
            <w:noWrap/>
          </w:tcPr>
          <w:p w14:paraId="26D4DF5E" w14:textId="77777777" w:rsidR="003E1D81" w:rsidRDefault="003E1D81">
            <w:pPr>
              <w:spacing w:after="0" w:line="240" w:lineRule="auto"/>
              <w:jc w:val="right"/>
              <w:rPr>
                <w:rFonts w:ascii="Times New Roman" w:hAnsi="Times New Roman" w:cs="Times New Roman"/>
                <w:noProof/>
                <w:sz w:val="18"/>
              </w:rPr>
            </w:pPr>
          </w:p>
        </w:tc>
        <w:tc>
          <w:tcPr>
            <w:tcW w:w="742" w:type="dxa"/>
            <w:shd w:val="clear" w:color="auto" w:fill="C6EFCE"/>
            <w:noWrap/>
          </w:tcPr>
          <w:p w14:paraId="4F89D850" w14:textId="77777777" w:rsidR="003E1D81" w:rsidRDefault="003E1D81">
            <w:pPr>
              <w:spacing w:after="0" w:line="240" w:lineRule="auto"/>
              <w:jc w:val="right"/>
              <w:rPr>
                <w:rFonts w:ascii="Times New Roman" w:hAnsi="Times New Roman" w:cs="Times New Roman"/>
                <w:noProof/>
                <w:sz w:val="18"/>
              </w:rPr>
            </w:pPr>
          </w:p>
        </w:tc>
        <w:tc>
          <w:tcPr>
            <w:tcW w:w="425" w:type="dxa"/>
            <w:shd w:val="clear" w:color="auto" w:fill="C6EFCE"/>
            <w:noWrap/>
          </w:tcPr>
          <w:p w14:paraId="763C539E" w14:textId="22B7C416"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0360DD72" w14:textId="2A04E70D" w:rsidR="003E1D81" w:rsidRDefault="00EB481C">
            <w:pPr>
              <w:pStyle w:val="P68B1DB1-Normal13"/>
              <w:spacing w:after="0" w:line="240" w:lineRule="auto"/>
              <w:jc w:val="center"/>
              <w:rPr>
                <w:rFonts w:cs="Times New Roman"/>
                <w:noProof/>
              </w:rPr>
            </w:pPr>
            <w:r>
              <w:rPr>
                <w:noProof/>
              </w:rPr>
              <w:t>2025</w:t>
            </w:r>
          </w:p>
        </w:tc>
        <w:tc>
          <w:tcPr>
            <w:tcW w:w="5387" w:type="dxa"/>
            <w:shd w:val="clear" w:color="auto" w:fill="C6EFCE"/>
            <w:noWrap/>
          </w:tcPr>
          <w:p w14:paraId="361C1A6F" w14:textId="7887931C" w:rsidR="003E1D81" w:rsidRDefault="00EB481C">
            <w:pPr>
              <w:pStyle w:val="P68B1DB1-Normal13"/>
              <w:spacing w:after="0" w:line="240" w:lineRule="auto"/>
              <w:rPr>
                <w:rFonts w:cs="Times New Roman"/>
                <w:noProof/>
              </w:rPr>
            </w:pPr>
            <w:r>
              <w:rPr>
                <w:noProof/>
              </w:rPr>
              <w:t>Szoftveralkalmazás kifejlesztése és rendelkezésre állása egy hivatal</w:t>
            </w:r>
            <w:r>
              <w:rPr>
                <w:noProof/>
              </w:rPr>
              <w:t>os weboldalon a különböző közlekedési módokra irányuló infrastrukturális beruházások költség-haszon elemzéseinek végrehajtására, összhangban a fenntartható mobilitásról szóló törvényben előírt hivatalos módszertanban meghatározott fenntarthatósági, szociál</w:t>
            </w:r>
            <w:r>
              <w:rPr>
                <w:noProof/>
              </w:rPr>
              <w:t xml:space="preserve">is és környezeti megfontolásokkal. </w:t>
            </w:r>
          </w:p>
        </w:tc>
      </w:tr>
      <w:tr w:rsidR="003E1D81" w14:paraId="7331B854" w14:textId="77777777">
        <w:trPr>
          <w:trHeight w:val="309"/>
        </w:trPr>
        <w:tc>
          <w:tcPr>
            <w:tcW w:w="709" w:type="dxa"/>
            <w:shd w:val="clear" w:color="auto" w:fill="C6EFCE"/>
            <w:noWrap/>
          </w:tcPr>
          <w:p w14:paraId="1DF356B6" w14:textId="61411F79" w:rsidR="003E1D81" w:rsidRDefault="00EB481C">
            <w:pPr>
              <w:pStyle w:val="P68B1DB1-Normal13"/>
              <w:spacing w:after="0" w:line="240" w:lineRule="auto"/>
              <w:jc w:val="center"/>
              <w:rPr>
                <w:rFonts w:cs="Times New Roman"/>
                <w:noProof/>
              </w:rPr>
            </w:pPr>
            <w:r>
              <w:rPr>
                <w:noProof/>
              </w:rPr>
              <w:t>418</w:t>
            </w:r>
          </w:p>
        </w:tc>
        <w:tc>
          <w:tcPr>
            <w:tcW w:w="851" w:type="dxa"/>
            <w:shd w:val="clear" w:color="auto" w:fill="C6EFCE"/>
            <w:noWrap/>
          </w:tcPr>
          <w:p w14:paraId="1B523965" w14:textId="6C36E10A" w:rsidR="003E1D81" w:rsidRDefault="00EB481C">
            <w:pPr>
              <w:pStyle w:val="P68B1DB1-Normal13"/>
              <w:spacing w:after="0" w:line="240" w:lineRule="auto"/>
              <w:jc w:val="center"/>
              <w:rPr>
                <w:rFonts w:cs="Times New Roman"/>
                <w:noProof/>
              </w:rPr>
            </w:pPr>
            <w:r>
              <w:rPr>
                <w:noProof/>
              </w:rPr>
              <w:t>C1.R2</w:t>
            </w:r>
          </w:p>
        </w:tc>
        <w:tc>
          <w:tcPr>
            <w:tcW w:w="850" w:type="dxa"/>
            <w:shd w:val="clear" w:color="auto" w:fill="C6EFCE"/>
            <w:noWrap/>
          </w:tcPr>
          <w:p w14:paraId="3C7090CA" w14:textId="019ED562" w:rsidR="003E1D81" w:rsidRDefault="00EB481C">
            <w:pPr>
              <w:pStyle w:val="P68B1DB1-Normal13"/>
              <w:spacing w:after="0" w:line="240" w:lineRule="auto"/>
              <w:jc w:val="center"/>
              <w:rPr>
                <w:rFonts w:cs="Times New Roman"/>
                <w:noProof/>
              </w:rPr>
            </w:pPr>
            <w:r>
              <w:rPr>
                <w:noProof/>
              </w:rPr>
              <w:t>M</w:t>
            </w:r>
          </w:p>
        </w:tc>
        <w:tc>
          <w:tcPr>
            <w:tcW w:w="2977" w:type="dxa"/>
            <w:shd w:val="clear" w:color="auto" w:fill="C6EFCE"/>
            <w:noWrap/>
          </w:tcPr>
          <w:p w14:paraId="456F5898" w14:textId="3BD09882" w:rsidR="003E1D81" w:rsidRDefault="00EB481C">
            <w:pPr>
              <w:pStyle w:val="P68B1DB1-Normal13"/>
              <w:spacing w:after="0" w:line="240" w:lineRule="auto"/>
              <w:rPr>
                <w:rFonts w:cs="Times New Roman"/>
                <w:noProof/>
              </w:rPr>
            </w:pPr>
            <w:r>
              <w:rPr>
                <w:noProof/>
              </w:rPr>
              <w:t>Tesztkörnyezeti iroda</w:t>
            </w:r>
          </w:p>
        </w:tc>
        <w:tc>
          <w:tcPr>
            <w:tcW w:w="1134" w:type="dxa"/>
            <w:shd w:val="clear" w:color="auto" w:fill="C6EFCE"/>
            <w:noWrap/>
          </w:tcPr>
          <w:p w14:paraId="5BA6966F" w14:textId="59EFBF3B" w:rsidR="003E1D81" w:rsidRDefault="00EB481C">
            <w:pPr>
              <w:pStyle w:val="P68B1DB1-Normal13"/>
              <w:spacing w:after="0" w:line="240" w:lineRule="auto"/>
              <w:jc w:val="center"/>
              <w:rPr>
                <w:rFonts w:cs="Times New Roman"/>
                <w:noProof/>
              </w:rPr>
            </w:pPr>
            <w:r>
              <w:rPr>
                <w:noProof/>
              </w:rPr>
              <w:t>A hatálybalépésre vonatkozó rendelkezések</w:t>
            </w:r>
          </w:p>
        </w:tc>
        <w:tc>
          <w:tcPr>
            <w:tcW w:w="851" w:type="dxa"/>
            <w:shd w:val="clear" w:color="auto" w:fill="C6EFCE"/>
            <w:noWrap/>
          </w:tcPr>
          <w:p w14:paraId="20E60AA6" w14:textId="77777777" w:rsidR="003E1D81" w:rsidRDefault="003E1D81">
            <w:pPr>
              <w:spacing w:after="0" w:line="240" w:lineRule="auto"/>
              <w:jc w:val="right"/>
              <w:rPr>
                <w:rFonts w:ascii="Times New Roman" w:hAnsi="Times New Roman" w:cs="Times New Roman"/>
                <w:noProof/>
                <w:sz w:val="18"/>
              </w:rPr>
            </w:pPr>
          </w:p>
        </w:tc>
        <w:tc>
          <w:tcPr>
            <w:tcW w:w="675" w:type="dxa"/>
            <w:shd w:val="clear" w:color="auto" w:fill="C6EFCE"/>
            <w:noWrap/>
          </w:tcPr>
          <w:p w14:paraId="3433527B" w14:textId="77777777" w:rsidR="003E1D81" w:rsidRDefault="003E1D81">
            <w:pPr>
              <w:spacing w:after="0" w:line="240" w:lineRule="auto"/>
              <w:jc w:val="right"/>
              <w:rPr>
                <w:rFonts w:ascii="Times New Roman" w:hAnsi="Times New Roman" w:cs="Times New Roman"/>
                <w:noProof/>
                <w:sz w:val="18"/>
              </w:rPr>
            </w:pPr>
          </w:p>
        </w:tc>
        <w:tc>
          <w:tcPr>
            <w:tcW w:w="742" w:type="dxa"/>
            <w:shd w:val="clear" w:color="auto" w:fill="C6EFCE"/>
            <w:noWrap/>
          </w:tcPr>
          <w:p w14:paraId="2FEFF9CC" w14:textId="77777777" w:rsidR="003E1D81" w:rsidRDefault="003E1D81">
            <w:pPr>
              <w:spacing w:after="0" w:line="240" w:lineRule="auto"/>
              <w:jc w:val="right"/>
              <w:rPr>
                <w:rFonts w:ascii="Times New Roman" w:hAnsi="Times New Roman" w:cs="Times New Roman"/>
                <w:noProof/>
                <w:sz w:val="18"/>
              </w:rPr>
            </w:pPr>
          </w:p>
        </w:tc>
        <w:tc>
          <w:tcPr>
            <w:tcW w:w="425" w:type="dxa"/>
            <w:shd w:val="clear" w:color="auto" w:fill="C6EFCE"/>
            <w:noWrap/>
          </w:tcPr>
          <w:p w14:paraId="244EDB08" w14:textId="7E667CC6"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0035862C" w14:textId="37E7F7F9" w:rsidR="003E1D81" w:rsidRDefault="00EB481C">
            <w:pPr>
              <w:pStyle w:val="P68B1DB1-Normal13"/>
              <w:spacing w:after="0" w:line="240" w:lineRule="auto"/>
              <w:jc w:val="center"/>
              <w:rPr>
                <w:rFonts w:cs="Times New Roman"/>
                <w:noProof/>
              </w:rPr>
            </w:pPr>
            <w:r>
              <w:rPr>
                <w:noProof/>
              </w:rPr>
              <w:t>2026</w:t>
            </w:r>
          </w:p>
        </w:tc>
        <w:tc>
          <w:tcPr>
            <w:tcW w:w="5387" w:type="dxa"/>
            <w:shd w:val="clear" w:color="auto" w:fill="C6EFCE"/>
            <w:noWrap/>
          </w:tcPr>
          <w:p w14:paraId="2068E54F" w14:textId="79EBA46A" w:rsidR="003E1D81" w:rsidRDefault="00EB481C">
            <w:pPr>
              <w:pStyle w:val="P68B1DB1-Normal13"/>
              <w:spacing w:after="0" w:line="240" w:lineRule="auto"/>
              <w:rPr>
                <w:rFonts w:eastAsia="Times New Roman" w:cs="Times New Roman"/>
                <w:noProof/>
              </w:rPr>
            </w:pPr>
            <w:r>
              <w:rPr>
                <w:noProof/>
              </w:rPr>
              <w:t xml:space="preserve">A közlekedési minisztérium szervezeti felépítésének fejlesztéséről szóló királyi rendelet kihirdetése és hatálybalépése, amely </w:t>
            </w:r>
            <w:r>
              <w:rPr>
                <w:noProof/>
              </w:rPr>
              <w:t>meghatározza a Sandbox Office speciális hatásköreit.</w:t>
            </w:r>
          </w:p>
        </w:tc>
      </w:tr>
      <w:tr w:rsidR="003E1D81" w14:paraId="08D28B29" w14:textId="77777777">
        <w:trPr>
          <w:trHeight w:val="309"/>
        </w:trPr>
        <w:tc>
          <w:tcPr>
            <w:tcW w:w="709" w:type="dxa"/>
            <w:shd w:val="clear" w:color="auto" w:fill="C6EFCE"/>
            <w:noWrap/>
          </w:tcPr>
          <w:p w14:paraId="3FE2943F" w14:textId="4632317B" w:rsidR="003E1D81" w:rsidRDefault="00EB481C">
            <w:pPr>
              <w:pStyle w:val="P68B1DB1-Normal13"/>
              <w:spacing w:after="0" w:line="240" w:lineRule="auto"/>
              <w:jc w:val="center"/>
              <w:rPr>
                <w:rFonts w:eastAsia="MS Mincho" w:cs="Times New Roman"/>
                <w:noProof/>
              </w:rPr>
            </w:pPr>
            <w:r>
              <w:rPr>
                <w:noProof/>
              </w:rPr>
              <w:t>4</w:t>
            </w:r>
          </w:p>
        </w:tc>
        <w:tc>
          <w:tcPr>
            <w:tcW w:w="851" w:type="dxa"/>
            <w:shd w:val="clear" w:color="auto" w:fill="C6EFCE"/>
            <w:noWrap/>
          </w:tcPr>
          <w:p w14:paraId="725E159E" w14:textId="77777777" w:rsidR="003E1D81" w:rsidRDefault="00EB481C">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1E703B59" w14:textId="77777777" w:rsidR="003E1D81" w:rsidRDefault="00EB481C">
            <w:pPr>
              <w:pStyle w:val="P68B1DB1-Normal13"/>
              <w:spacing w:after="0" w:line="240" w:lineRule="auto"/>
              <w:jc w:val="center"/>
              <w:rPr>
                <w:rFonts w:eastAsia="MS Mincho" w:cs="Times New Roman"/>
                <w:noProof/>
              </w:rPr>
            </w:pPr>
            <w:r>
              <w:rPr>
                <w:noProof/>
              </w:rPr>
              <w:t>T</w:t>
            </w:r>
          </w:p>
        </w:tc>
        <w:tc>
          <w:tcPr>
            <w:tcW w:w="2977" w:type="dxa"/>
            <w:shd w:val="clear" w:color="auto" w:fill="C6EFCE"/>
            <w:noWrap/>
          </w:tcPr>
          <w:p w14:paraId="52A17D01" w14:textId="77777777" w:rsidR="003E1D81" w:rsidRDefault="00EB481C">
            <w:pPr>
              <w:pStyle w:val="P68B1DB1-Normal13"/>
              <w:spacing w:after="0" w:line="240" w:lineRule="auto"/>
              <w:rPr>
                <w:rFonts w:eastAsia="MS Mincho" w:cs="Times New Roman"/>
                <w:noProof/>
              </w:rPr>
            </w:pPr>
            <w:r>
              <w:rPr>
                <w:noProof/>
              </w:rPr>
              <w:t>A fenntartható mobilitás előmozdítását célzó beszerzésekre fordított vagy az önkormányzatok által odaítélt költségvetés</w:t>
            </w:r>
          </w:p>
        </w:tc>
        <w:tc>
          <w:tcPr>
            <w:tcW w:w="1134" w:type="dxa"/>
            <w:shd w:val="clear" w:color="auto" w:fill="C6EFCE"/>
            <w:noWrap/>
          </w:tcPr>
          <w:p w14:paraId="184567A2" w14:textId="77777777" w:rsidR="003E1D81" w:rsidRDefault="00EB481C">
            <w:pPr>
              <w:pStyle w:val="P68B1DB1-Normal13"/>
              <w:spacing w:after="0" w:line="240" w:lineRule="auto"/>
              <w:jc w:val="center"/>
              <w:rPr>
                <w:rFonts w:eastAsia="MS Mincho" w:cs="Times New Roman"/>
                <w:noProof/>
              </w:rPr>
            </w:pPr>
            <w:r>
              <w:rPr>
                <w:noProof/>
              </w:rPr>
              <w:t> </w:t>
            </w:r>
          </w:p>
        </w:tc>
        <w:tc>
          <w:tcPr>
            <w:tcW w:w="851" w:type="dxa"/>
            <w:shd w:val="clear" w:color="auto" w:fill="C6EFCE"/>
            <w:noWrap/>
          </w:tcPr>
          <w:p w14:paraId="39A56447" w14:textId="77777777" w:rsidR="003E1D81" w:rsidRDefault="00EB481C">
            <w:pPr>
              <w:pStyle w:val="P68B1DB1-Normal13"/>
              <w:spacing w:after="0" w:line="240" w:lineRule="auto"/>
              <w:jc w:val="right"/>
              <w:rPr>
                <w:rFonts w:eastAsia="MS Mincho" w:cs="Times New Roman"/>
                <w:noProof/>
              </w:rPr>
            </w:pPr>
            <w:r>
              <w:rPr>
                <w:noProof/>
              </w:rPr>
              <w:t>Millió EUR</w:t>
            </w:r>
          </w:p>
        </w:tc>
        <w:tc>
          <w:tcPr>
            <w:tcW w:w="675" w:type="dxa"/>
            <w:shd w:val="clear" w:color="auto" w:fill="C6EFCE"/>
            <w:noWrap/>
          </w:tcPr>
          <w:p w14:paraId="1904DB00" w14:textId="77777777" w:rsidR="003E1D81" w:rsidRDefault="00EB481C">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6A52555B" w14:textId="77777777" w:rsidR="003E1D81" w:rsidRDefault="00EB481C">
            <w:pPr>
              <w:pStyle w:val="P68B1DB1-Normal13"/>
              <w:spacing w:after="0" w:line="240" w:lineRule="auto"/>
              <w:jc w:val="right"/>
              <w:rPr>
                <w:rFonts w:eastAsia="MS Mincho" w:cs="Times New Roman"/>
                <w:noProof/>
              </w:rPr>
            </w:pPr>
            <w:r>
              <w:rPr>
                <w:noProof/>
              </w:rPr>
              <w:t>400</w:t>
            </w:r>
          </w:p>
        </w:tc>
        <w:tc>
          <w:tcPr>
            <w:tcW w:w="425" w:type="dxa"/>
            <w:shd w:val="clear" w:color="auto" w:fill="C6EFCE"/>
            <w:noWrap/>
          </w:tcPr>
          <w:p w14:paraId="73A17366"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13D50D1D" w14:textId="77777777" w:rsidR="003E1D81" w:rsidRDefault="00EB481C">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F64CB27" w14:textId="77777777" w:rsidR="003E1D81" w:rsidRDefault="00EB481C">
            <w:pPr>
              <w:pStyle w:val="P68B1DB1-Normal13"/>
              <w:spacing w:after="0" w:line="240" w:lineRule="auto"/>
              <w:rPr>
                <w:rFonts w:eastAsia="MS Mincho" w:cs="Times New Roman"/>
                <w:noProof/>
              </w:rPr>
            </w:pPr>
            <w:r>
              <w:rPr>
                <w:noProof/>
              </w:rPr>
              <w:t xml:space="preserve">A projekt vagy támogatások </w:t>
            </w:r>
            <w:r>
              <w:rPr>
                <w:noProof/>
              </w:rPr>
              <w:t>odaítélésének közzététele a Hivatalos Lapban vagy a közbeszerzési platformon, illetve az olyan települések beszerzéseivel kapcsolatos kiadások végrehajtása, amelyek hozzájárulnak a fenntartható mobilitás előmozdításához a tartomány több mint 50000 lakosú é</w:t>
            </w:r>
            <w:r>
              <w:rPr>
                <w:noProof/>
              </w:rPr>
              <w:t>s fővárosú településein, és bizonyos feltételek mellett 20000 és 50000 lakos közötti településekhez is hozzárendelhetők. A projektek olyan eseteket támogatnak, amelyek: a tömegközlekedési flották átalakítása a tiszta járművekről szóló irányelv célkitűzései</w:t>
            </w:r>
            <w:r>
              <w:rPr>
                <w:noProof/>
              </w:rPr>
              <w:t>nek elérése érdekében és a jelentős károkozás elkerülését célzó technikai iránymutatással (2021/C58/01) összhangban; az alacsony kibocsátású zónák (LEZ-k) megvalósítása és kezelése; a tömegközlekedés digitalizálása, adminisztratív irányítása és hozzáférhet</w:t>
            </w:r>
            <w:r>
              <w:rPr>
                <w:noProof/>
              </w:rPr>
              <w:t>őségének javítása; a kollektív közlekedést és az aktív mobilitást ösztönző és előnyben részesítő intézkedések.</w:t>
            </w:r>
            <w:r>
              <w:rPr>
                <w:noProof/>
              </w:rPr>
              <w:br/>
              <w:t>A kiválasztási kritériumoknak biztosítaniuk kell, hogy az 1 500 000 000 EUR összegű teljes végleges költségvetésből legalább 310 000 000 EUR 100%</w:t>
            </w:r>
            <w:r>
              <w:rPr>
                <w:noProof/>
              </w:rPr>
              <w:t>-os éghajlati együtthatóval, legalább 1 190 000 000 EUR pedig 40%-os éghajlati együtthatóval járuljon hozzá az éghajlatváltozással kapcsolatos célkitűzésekhez, összhangban a Helyreállítási és Rezilienciaépítési Eszközről szóló (EU) 2021/241 rendelet VI. me</w:t>
            </w:r>
            <w:r>
              <w:rPr>
                <w:noProof/>
              </w:rPr>
              <w:t xml:space="preserve">llékletével. </w:t>
            </w:r>
          </w:p>
        </w:tc>
      </w:tr>
      <w:tr w:rsidR="003E1D81" w14:paraId="6450CA45" w14:textId="77777777">
        <w:trPr>
          <w:trHeight w:val="309"/>
        </w:trPr>
        <w:tc>
          <w:tcPr>
            <w:tcW w:w="709" w:type="dxa"/>
            <w:shd w:val="clear" w:color="auto" w:fill="C6EFCE"/>
            <w:noWrap/>
          </w:tcPr>
          <w:p w14:paraId="10315E44" w14:textId="77777777" w:rsidR="003E1D81" w:rsidRDefault="00EB481C">
            <w:pPr>
              <w:pStyle w:val="P68B1DB1-Normal13"/>
              <w:spacing w:after="0" w:line="240" w:lineRule="auto"/>
              <w:jc w:val="center"/>
              <w:rPr>
                <w:rFonts w:eastAsia="MS Mincho" w:cs="Times New Roman"/>
                <w:noProof/>
              </w:rPr>
            </w:pPr>
            <w:r>
              <w:rPr>
                <w:noProof/>
              </w:rPr>
              <w:lastRenderedPageBreak/>
              <w:t>5</w:t>
            </w:r>
          </w:p>
        </w:tc>
        <w:tc>
          <w:tcPr>
            <w:tcW w:w="851" w:type="dxa"/>
            <w:shd w:val="clear" w:color="auto" w:fill="C6EFCE"/>
            <w:noWrap/>
          </w:tcPr>
          <w:p w14:paraId="50FA1D49" w14:textId="77777777" w:rsidR="003E1D81" w:rsidRDefault="00EB481C">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26425768" w14:textId="77777777" w:rsidR="003E1D81" w:rsidRDefault="00EB481C">
            <w:pPr>
              <w:pStyle w:val="P68B1DB1-Normal13"/>
              <w:spacing w:after="0" w:line="240" w:lineRule="auto"/>
              <w:jc w:val="center"/>
              <w:rPr>
                <w:rFonts w:eastAsia="MS Mincho" w:cs="Times New Roman"/>
                <w:noProof/>
              </w:rPr>
            </w:pPr>
            <w:r>
              <w:rPr>
                <w:noProof/>
              </w:rPr>
              <w:t>T</w:t>
            </w:r>
          </w:p>
        </w:tc>
        <w:tc>
          <w:tcPr>
            <w:tcW w:w="2977" w:type="dxa"/>
            <w:shd w:val="clear" w:color="auto" w:fill="C6EFCE"/>
            <w:noWrap/>
          </w:tcPr>
          <w:p w14:paraId="5A1FFB1C" w14:textId="77777777" w:rsidR="003E1D81" w:rsidRDefault="00EB481C">
            <w:pPr>
              <w:pStyle w:val="P68B1DB1-Normal13"/>
              <w:spacing w:after="0" w:line="240" w:lineRule="auto"/>
              <w:rPr>
                <w:rFonts w:eastAsia="MS Mincho" w:cs="Times New Roman"/>
                <w:noProof/>
              </w:rPr>
            </w:pPr>
            <w:r>
              <w:rPr>
                <w:noProof/>
              </w:rPr>
              <w:t xml:space="preserve">Az autonóm közösségek által vásárolt vagy odaítélt, a fenntartható mobilitás előmozdítását célzó, legalább 900 millió EUR összegű költségvetés </w:t>
            </w:r>
          </w:p>
        </w:tc>
        <w:tc>
          <w:tcPr>
            <w:tcW w:w="1134" w:type="dxa"/>
            <w:shd w:val="clear" w:color="auto" w:fill="C6EFCE"/>
            <w:noWrap/>
          </w:tcPr>
          <w:p w14:paraId="17F14235" w14:textId="77777777" w:rsidR="003E1D81" w:rsidRDefault="003E1D81">
            <w:pPr>
              <w:spacing w:after="0" w:line="240" w:lineRule="auto"/>
              <w:jc w:val="center"/>
              <w:rPr>
                <w:rFonts w:ascii="Times New Roman" w:eastAsia="MS Mincho" w:hAnsi="Times New Roman" w:cs="Times New Roman"/>
                <w:noProof/>
                <w:sz w:val="18"/>
              </w:rPr>
            </w:pPr>
          </w:p>
        </w:tc>
        <w:tc>
          <w:tcPr>
            <w:tcW w:w="851" w:type="dxa"/>
            <w:shd w:val="clear" w:color="auto" w:fill="C6EFCE"/>
            <w:noWrap/>
          </w:tcPr>
          <w:p w14:paraId="1D85A759" w14:textId="77777777" w:rsidR="003E1D81" w:rsidRDefault="00EB481C">
            <w:pPr>
              <w:pStyle w:val="P68B1DB1-Normal13"/>
              <w:spacing w:after="0" w:line="240" w:lineRule="auto"/>
              <w:jc w:val="right"/>
              <w:rPr>
                <w:rFonts w:eastAsia="MS Mincho" w:cs="Times New Roman"/>
                <w:noProof/>
              </w:rPr>
            </w:pPr>
            <w:r>
              <w:rPr>
                <w:noProof/>
              </w:rPr>
              <w:t>Millió EUR</w:t>
            </w:r>
          </w:p>
        </w:tc>
        <w:tc>
          <w:tcPr>
            <w:tcW w:w="675" w:type="dxa"/>
            <w:shd w:val="clear" w:color="auto" w:fill="C6EFCE"/>
            <w:noWrap/>
          </w:tcPr>
          <w:p w14:paraId="2B71CEBC" w14:textId="77777777" w:rsidR="003E1D81" w:rsidRDefault="00EB481C">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4814CE20" w14:textId="77777777" w:rsidR="003E1D81" w:rsidRDefault="00EB481C">
            <w:pPr>
              <w:pStyle w:val="P68B1DB1-Normal13"/>
              <w:spacing w:after="0" w:line="240" w:lineRule="auto"/>
              <w:jc w:val="right"/>
              <w:rPr>
                <w:rFonts w:eastAsia="MS Mincho" w:cs="Times New Roman"/>
                <w:noProof/>
              </w:rPr>
            </w:pPr>
            <w:r>
              <w:rPr>
                <w:noProof/>
              </w:rPr>
              <w:t>900</w:t>
            </w:r>
          </w:p>
        </w:tc>
        <w:tc>
          <w:tcPr>
            <w:tcW w:w="425" w:type="dxa"/>
            <w:shd w:val="clear" w:color="auto" w:fill="C6EFCE"/>
            <w:noWrap/>
          </w:tcPr>
          <w:p w14:paraId="61347492"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3468E1CD" w14:textId="77777777" w:rsidR="003E1D81" w:rsidRDefault="00EB481C">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36AB4A5E" w14:textId="77777777" w:rsidR="003E1D81" w:rsidRDefault="00EB481C">
            <w:pPr>
              <w:pStyle w:val="P68B1DB1-Normal13"/>
              <w:spacing w:after="0" w:line="240" w:lineRule="auto"/>
              <w:rPr>
                <w:rFonts w:eastAsia="MS Mincho" w:cs="Times New Roman"/>
                <w:noProof/>
              </w:rPr>
            </w:pPr>
            <w:r>
              <w:rPr>
                <w:noProof/>
              </w:rPr>
              <w:t xml:space="preserve">A projektek vagy támogatások odaítélésének közzététele </w:t>
            </w:r>
            <w:r>
              <w:rPr>
                <w:noProof/>
              </w:rPr>
              <w:t>a Hivatalos Lapban vagy a közbeszerzési platformon, illetve az autonóm közösségek beszerzéseivel kapcsolatos kiadások végrehajtása. Az autonóm közösségek által odaítélt projekteknek és támogatásoknak, valamint az általuk végrehajtott beszerzéseknek:</w:t>
            </w:r>
            <w:r>
              <w:rPr>
                <w:noProof/>
              </w:rPr>
              <w:br/>
              <w:t>Hozzáj</w:t>
            </w:r>
            <w:r>
              <w:rPr>
                <w:noProof/>
              </w:rPr>
              <w:t>árul a fenntartható mobilitás előmozdításához azáltal, hogy támogatást nyújt a magánvállalkozásoknak a) régi nehézgépjárművek selejtezéséhez, b) teherszállító és teherflottáik tisztább járművekkel való megújításához, c) pótkocsijuk vagy félpótkocsiik megvá</w:t>
            </w:r>
            <w:r>
              <w:rPr>
                <w:noProof/>
              </w:rPr>
              <w:t>sárlásához vagy átalakításához intermodális szállítás céljából, vagy d) alternatív üzemanyagokkal (elektromos, LNG, CNG és biometán) működő elektromos és egyéb töltőállomások telepítéséhez; A támogatásokat a jelentős károkozás elkerülését célzó elvről szól</w:t>
            </w:r>
            <w:r>
              <w:rPr>
                <w:noProof/>
              </w:rPr>
              <w:t xml:space="preserve">ó technikai iránymutatással (2021/C58/01) összhangban kell nyújtani; </w:t>
            </w:r>
            <w:r>
              <w:rPr>
                <w:noProof/>
              </w:rPr>
              <w:br/>
              <w:t xml:space="preserve">vagy </w:t>
            </w:r>
            <w:r>
              <w:rPr>
                <w:noProof/>
              </w:rPr>
              <w:br/>
              <w:t>Hozzájárul a fenntartható mobilitás előmozdításához a tartomány több mint 50000 lakosával és fővárosával rendelkező településeken azáltal, hogy támogatja a) a tömegközlekedési flot</w:t>
            </w:r>
            <w:r>
              <w:rPr>
                <w:noProof/>
              </w:rPr>
              <w:t>ták átalakítását a tiszta járművekről szóló irányelv célkitűzéseinek elérése érdekében és a jelentős károkozás elkerülését célzó technikai iránymutatással (2021/C58/01) összhangban; az alacsony kibocsátású zónák (LEZ-k) megvalósítása és kezelése; a tömegkö</w:t>
            </w:r>
            <w:r>
              <w:rPr>
                <w:noProof/>
              </w:rPr>
              <w:t>zlekedés digitalizálása, adminisztratív irányítása és hozzáférhetőségének javítása; a közösségi közlekedés és az aktív mobilitás előtérbe helyezésére irányuló intézkedések, beleértve a kerékpáros infrastruktúrát és a gyalogossávokat; az új kibocsátásmentes</w:t>
            </w:r>
            <w:r>
              <w:rPr>
                <w:noProof/>
              </w:rPr>
              <w:t xml:space="preserve"> technológiák spanyolországi elterjedésének ösztönzése a közlekedésben; elrettentési célú parkolás e településeken és a tartomány fővárosain kívül, a városközpontba érkező forgalom csökkentése érdekében; a vasúti közlekedési rendszer, például a metró vagy </w:t>
            </w:r>
            <w:r>
              <w:rPr>
                <w:noProof/>
              </w:rPr>
              <w:t>a vasút bővítése vagy korszerűsítése; h) a fenntartható mobilitást támogató intézkedéseket kiegészítő digitalizációs projektek, beleértve a tömegközlekedési szolgáltatásokra, a mobilitásra mint szolgáltatásra vonatkozó valós idejű információs rendszereket,</w:t>
            </w:r>
            <w:r>
              <w:rPr>
                <w:noProof/>
              </w:rPr>
              <w:t xml:space="preserve"> az intermodális vagy szolgáltatások közötti jegyértékesítés javítását célzó projekteket, a forgalom- és mobilitáskezelést és az információelemzést támogató projekteket a közlekedési rendszer hatékonyságának növelése érdekében, </w:t>
            </w:r>
            <w:r>
              <w:rPr>
                <w:noProof/>
              </w:rPr>
              <w:lastRenderedPageBreak/>
              <w:t>valamint i. egyéb olyan proj</w:t>
            </w:r>
            <w:r>
              <w:rPr>
                <w:noProof/>
              </w:rPr>
              <w:t xml:space="preserve">ekteket, amelyek: I. Hozzájárulás a levegőminőség javításához, különösen a városi területeken ii. Ösztönözzék a magánközlekedés használatának csökkentését a városi és nagyvárosi területeken iii. A tömegközlekedés használatának ösztönzése vagy iv. Az aktív </w:t>
            </w:r>
            <w:r>
              <w:rPr>
                <w:noProof/>
              </w:rPr>
              <w:t xml:space="preserve">és egészséges mobilitás ösztönzése.  </w:t>
            </w:r>
            <w:r>
              <w:rPr>
                <w:noProof/>
              </w:rPr>
              <w:br/>
              <w:t>A kiválasztási kritériumoknak biztosítaniuk kell, hogy a Helyreállítási és Rezilienciaépítési Eszközről szóló (EU) 2021/241 rendelet VI. mellékletével összhangban legalább 900 000 000 EUR 40%-os éghajlati együtthatóval</w:t>
            </w:r>
            <w:r>
              <w:rPr>
                <w:noProof/>
              </w:rPr>
              <w:t xml:space="preserve"> járuljon hozzá az éghajlatváltozással kapcsolatos célkitűzésekhez.</w:t>
            </w:r>
          </w:p>
        </w:tc>
      </w:tr>
      <w:tr w:rsidR="003E1D81" w14:paraId="437C6033" w14:textId="77777777">
        <w:trPr>
          <w:trHeight w:val="309"/>
        </w:trPr>
        <w:tc>
          <w:tcPr>
            <w:tcW w:w="709" w:type="dxa"/>
            <w:shd w:val="clear" w:color="auto" w:fill="C6EFCE"/>
            <w:noWrap/>
          </w:tcPr>
          <w:p w14:paraId="0A6C95E8" w14:textId="77777777" w:rsidR="003E1D81" w:rsidRDefault="00EB481C">
            <w:pPr>
              <w:pStyle w:val="P68B1DB1-Normal13"/>
              <w:spacing w:after="0" w:line="240" w:lineRule="auto"/>
              <w:jc w:val="center"/>
              <w:rPr>
                <w:rFonts w:eastAsia="MS Mincho" w:cs="Times New Roman"/>
                <w:noProof/>
              </w:rPr>
            </w:pPr>
            <w:r>
              <w:rPr>
                <w:noProof/>
              </w:rPr>
              <w:lastRenderedPageBreak/>
              <w:t>6</w:t>
            </w:r>
          </w:p>
        </w:tc>
        <w:tc>
          <w:tcPr>
            <w:tcW w:w="851" w:type="dxa"/>
            <w:shd w:val="clear" w:color="auto" w:fill="C6EFCE"/>
            <w:noWrap/>
          </w:tcPr>
          <w:p w14:paraId="02BF9AC9" w14:textId="77777777" w:rsidR="003E1D81" w:rsidRDefault="00EB481C">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0BA1B8A9" w14:textId="77777777" w:rsidR="003E1D81" w:rsidRDefault="00EB481C">
            <w:pPr>
              <w:pStyle w:val="P68B1DB1-Normal13"/>
              <w:spacing w:after="0" w:line="240" w:lineRule="auto"/>
              <w:jc w:val="center"/>
              <w:rPr>
                <w:rFonts w:eastAsia="MS Mincho" w:cs="Times New Roman"/>
                <w:noProof/>
              </w:rPr>
            </w:pPr>
            <w:r>
              <w:rPr>
                <w:noProof/>
              </w:rPr>
              <w:t>T</w:t>
            </w:r>
          </w:p>
        </w:tc>
        <w:tc>
          <w:tcPr>
            <w:tcW w:w="2977" w:type="dxa"/>
            <w:shd w:val="clear" w:color="auto" w:fill="C6EFCE"/>
            <w:noWrap/>
          </w:tcPr>
          <w:p w14:paraId="5635E23E" w14:textId="5F2DFCAE" w:rsidR="003E1D81" w:rsidRDefault="00EB481C">
            <w:pPr>
              <w:pStyle w:val="P68B1DB1-Normal13"/>
              <w:spacing w:after="0" w:line="240" w:lineRule="auto"/>
              <w:rPr>
                <w:rFonts w:eastAsia="MS Mincho" w:cs="Times New Roman"/>
                <w:noProof/>
              </w:rPr>
            </w:pPr>
            <w:r>
              <w:rPr>
                <w:noProof/>
              </w:rPr>
              <w:t xml:space="preserve">A fenntartható mobilitást előmozdító befejezett projektek, többek között a városi és nagyvárosi területeken </w:t>
            </w:r>
          </w:p>
        </w:tc>
        <w:tc>
          <w:tcPr>
            <w:tcW w:w="1134" w:type="dxa"/>
            <w:shd w:val="clear" w:color="auto" w:fill="C6EFCE"/>
            <w:noWrap/>
          </w:tcPr>
          <w:p w14:paraId="6C3553DB" w14:textId="77777777" w:rsidR="003E1D81" w:rsidRDefault="003E1D81">
            <w:pPr>
              <w:spacing w:after="0" w:line="240" w:lineRule="auto"/>
              <w:jc w:val="center"/>
              <w:rPr>
                <w:rFonts w:ascii="Times New Roman" w:eastAsia="MS Mincho" w:hAnsi="Times New Roman" w:cs="Times New Roman"/>
                <w:noProof/>
                <w:sz w:val="18"/>
              </w:rPr>
            </w:pPr>
          </w:p>
        </w:tc>
        <w:tc>
          <w:tcPr>
            <w:tcW w:w="851" w:type="dxa"/>
            <w:shd w:val="clear" w:color="auto" w:fill="C6EFCE"/>
            <w:noWrap/>
          </w:tcPr>
          <w:p w14:paraId="54DEE654" w14:textId="77777777" w:rsidR="003E1D81" w:rsidRDefault="00EB481C">
            <w:pPr>
              <w:pStyle w:val="P68B1DB1-Normal13"/>
              <w:spacing w:after="0" w:line="240" w:lineRule="auto"/>
              <w:jc w:val="right"/>
              <w:rPr>
                <w:rFonts w:eastAsia="MS Mincho" w:cs="Times New Roman"/>
                <w:noProof/>
              </w:rPr>
            </w:pPr>
            <w:r>
              <w:rPr>
                <w:noProof/>
              </w:rPr>
              <w:t>Szám</w:t>
            </w:r>
          </w:p>
        </w:tc>
        <w:tc>
          <w:tcPr>
            <w:tcW w:w="675" w:type="dxa"/>
            <w:shd w:val="clear" w:color="auto" w:fill="C6EFCE"/>
            <w:noWrap/>
          </w:tcPr>
          <w:p w14:paraId="06370268" w14:textId="77777777" w:rsidR="003E1D81" w:rsidRDefault="00EB481C">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0763F3C0" w14:textId="77777777" w:rsidR="003E1D81" w:rsidRDefault="00EB481C">
            <w:pPr>
              <w:pStyle w:val="P68B1DB1-Normal13"/>
              <w:spacing w:after="0" w:line="240" w:lineRule="auto"/>
              <w:jc w:val="right"/>
              <w:rPr>
                <w:rFonts w:eastAsia="MS Mincho" w:cs="Times New Roman"/>
                <w:noProof/>
              </w:rPr>
            </w:pPr>
            <w:r>
              <w:rPr>
                <w:noProof/>
              </w:rPr>
              <w:t>25</w:t>
            </w:r>
          </w:p>
        </w:tc>
        <w:tc>
          <w:tcPr>
            <w:tcW w:w="425" w:type="dxa"/>
            <w:shd w:val="clear" w:color="auto" w:fill="C6EFCE"/>
            <w:noWrap/>
          </w:tcPr>
          <w:p w14:paraId="208AC76C"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07113655" w14:textId="77777777" w:rsidR="003E1D81" w:rsidRDefault="00EB481C">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3A5E01EB" w14:textId="77777777" w:rsidR="003E1D81" w:rsidRDefault="00EB481C">
            <w:pPr>
              <w:pStyle w:val="P68B1DB1-Normal13"/>
              <w:spacing w:after="0" w:line="240" w:lineRule="auto"/>
              <w:rPr>
                <w:rFonts w:eastAsia="MS Mincho" w:cs="Times New Roman"/>
                <w:noProof/>
              </w:rPr>
            </w:pPr>
            <w:r>
              <w:rPr>
                <w:noProof/>
              </w:rPr>
              <w:t xml:space="preserve">Legalább 25 projekt valósult meg a </w:t>
            </w:r>
            <w:r>
              <w:rPr>
                <w:noProof/>
              </w:rPr>
              <w:t>fenntartható mobilitás előmozdítására 150, több mint 50000 lakosú városi és nagyvárosi területen, valamint bizonyos feltételek mellett a 20000 és 50000 lakos közötti városi területeken.</w:t>
            </w:r>
            <w:r>
              <w:rPr>
                <w:noProof/>
              </w:rPr>
              <w:br/>
              <w:t>A fenntartható mobilitást előmozdító projektek a következők:</w:t>
            </w:r>
            <w:r>
              <w:rPr>
                <w:noProof/>
              </w:rPr>
              <w:br/>
              <w:t>I. Az önk</w:t>
            </w:r>
            <w:r>
              <w:rPr>
                <w:noProof/>
              </w:rPr>
              <w:t>ormányzatok által kidolgozott projektek, amelyek hozzájárulnak a fenntartható mobilitás előmozdításához a tartomány több mint 50000 lakosú és fővárosú településein, és bizonyos feltételek mellett 20000 és 50000 lakos közötti településekhez is hozzárendelhe</w:t>
            </w:r>
            <w:r>
              <w:rPr>
                <w:noProof/>
              </w:rPr>
              <w:t>tők. A projektek olyan eseteket támogatnak, amelyek: a tömegközlekedési flották átalakítása a tiszta járművekről szóló irányelv célkitűzéseinek elérése érdekében és a jelentős károkozás elkerülését célzó technikai iránymutatással (2021/C58/01) összhangban;</w:t>
            </w:r>
            <w:r>
              <w:rPr>
                <w:noProof/>
              </w:rPr>
              <w:t xml:space="preserve"> az alacsony kibocsátású zónák (LEZ-k) megvalósítása és kezelése; a tömegközlekedés digitalizálása, adminisztratív irányítása és hozzáférhetőségének javítása; a kollektív közlekedést és az aktív mobilitást ösztönző és előnyben részesítő intézkedések. A pro</w:t>
            </w:r>
            <w:r>
              <w:rPr>
                <w:noProof/>
              </w:rPr>
              <w:t>jekt meghatározott, egymással összefüggő és összehangolt tevékenységek összessége, amelyeket közös céllal, meghatározott határidőn belül és költségvetési korlátokon belül hajtanak végre, és amelyekre támogatást kérnek. Egy település egynél több projektet i</w:t>
            </w:r>
            <w:r>
              <w:rPr>
                <w:noProof/>
              </w:rPr>
              <w:t xml:space="preserve">s kidolgozhat. </w:t>
            </w:r>
            <w:r>
              <w:rPr>
                <w:noProof/>
              </w:rPr>
              <w:br/>
              <w:t>II. Autonóm közösségek által kidolgozott, a fenntartható mobilitást előmozdító projektek a városi és nagyvárosi területeken. Ez a C1.I1 befektetésben meghatározott a)–i) tipológiára vonatkozik. A városi és nagyvárosi területek az 50000 főné</w:t>
            </w:r>
            <w:r>
              <w:rPr>
                <w:noProof/>
              </w:rPr>
              <w:t xml:space="preserve">l több lakosú települések, a tartományok fővárosai és – bizonyos feltételek mellett – a 20000 főnél </w:t>
            </w:r>
            <w:r>
              <w:rPr>
                <w:noProof/>
              </w:rPr>
              <w:lastRenderedPageBreak/>
              <w:t xml:space="preserve">több lakosú települések. Minden autonóm közösség egynél több projektet is kidolgozhat. </w:t>
            </w:r>
            <w:r>
              <w:rPr>
                <w:noProof/>
              </w:rPr>
              <w:br/>
              <w:t>III. Olyan projektek, amelyek támogatást nyújtanak a magánvállalkozá</w:t>
            </w:r>
            <w:r>
              <w:rPr>
                <w:noProof/>
              </w:rPr>
              <w:t>soknak a) régi nehézgépjárművek selejtezéséhez, b) nehéz személy- és áruflottáik tisztább járművekkel való megújításához, c) az intermodális szállításhoz szükséges pótkocsijuk vagy félpótkocsiik megvásárlásához vagy átalakításához, vagy d) alternatív üzema</w:t>
            </w:r>
            <w:r>
              <w:rPr>
                <w:noProof/>
              </w:rPr>
              <w:t>nyaggal (elektromos, LNG, CNG és biometán) működő töltőállomások telepítéséhez. Legalább 3000 nehéz járművet vagy töltőállomást kell támogatni annak érdekében, hogy figyelembe lehessen venni egy, a fenntartható mobilitást előmozdító projekt megvalósítását.</w:t>
            </w:r>
            <w:r>
              <w:rPr>
                <w:noProof/>
              </w:rPr>
              <w:t xml:space="preserve"> A támogatásokat a jelentős károkozás elkerülését célzó elvről szóló technikai iránymutatással (2021/C58/01) összhangban kell nyújtani.</w:t>
            </w:r>
          </w:p>
        </w:tc>
      </w:tr>
      <w:tr w:rsidR="003E1D81" w14:paraId="6CFEF6B8" w14:textId="77777777">
        <w:trPr>
          <w:trHeight w:val="309"/>
        </w:trPr>
        <w:tc>
          <w:tcPr>
            <w:tcW w:w="709" w:type="dxa"/>
            <w:shd w:val="clear" w:color="auto" w:fill="C6EFCE"/>
            <w:noWrap/>
          </w:tcPr>
          <w:p w14:paraId="1583577A" w14:textId="77777777" w:rsidR="003E1D81" w:rsidRDefault="00EB481C">
            <w:pPr>
              <w:pStyle w:val="P68B1DB1-Normal13"/>
              <w:spacing w:after="0" w:line="240" w:lineRule="auto"/>
              <w:jc w:val="center"/>
              <w:rPr>
                <w:rFonts w:eastAsia="MS Mincho" w:cs="Times New Roman"/>
                <w:noProof/>
              </w:rPr>
            </w:pPr>
            <w:r>
              <w:rPr>
                <w:noProof/>
              </w:rPr>
              <w:lastRenderedPageBreak/>
              <w:t>7</w:t>
            </w:r>
          </w:p>
        </w:tc>
        <w:tc>
          <w:tcPr>
            <w:tcW w:w="851" w:type="dxa"/>
            <w:shd w:val="clear" w:color="auto" w:fill="C6EFCE"/>
            <w:noWrap/>
          </w:tcPr>
          <w:p w14:paraId="6ABF99B7" w14:textId="77777777" w:rsidR="003E1D81" w:rsidRDefault="00EB481C">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5378FCBD" w14:textId="77777777" w:rsidR="003E1D81" w:rsidRDefault="00EB481C">
            <w:pPr>
              <w:pStyle w:val="P68B1DB1-Normal13"/>
              <w:spacing w:after="0" w:line="240" w:lineRule="auto"/>
              <w:jc w:val="center"/>
              <w:rPr>
                <w:rFonts w:eastAsia="MS Mincho" w:cs="Times New Roman"/>
                <w:noProof/>
              </w:rPr>
            </w:pPr>
            <w:r>
              <w:rPr>
                <w:noProof/>
              </w:rPr>
              <w:t>T</w:t>
            </w:r>
          </w:p>
        </w:tc>
        <w:tc>
          <w:tcPr>
            <w:tcW w:w="2977" w:type="dxa"/>
            <w:shd w:val="clear" w:color="auto" w:fill="C6EFCE"/>
            <w:noWrap/>
          </w:tcPr>
          <w:p w14:paraId="6384B0C8" w14:textId="77777777" w:rsidR="003E1D81" w:rsidRDefault="00EB481C">
            <w:pPr>
              <w:pStyle w:val="P68B1DB1-Normal13"/>
              <w:spacing w:after="0" w:line="240" w:lineRule="auto"/>
              <w:rPr>
                <w:rFonts w:eastAsia="MS Mincho" w:cs="Times New Roman"/>
                <w:noProof/>
              </w:rPr>
            </w:pPr>
            <w:r>
              <w:rPr>
                <w:noProof/>
              </w:rPr>
              <w:t xml:space="preserve">A fenntartható mobilitás előmozdítását célzó beszerzésekre fordított vagy az önkormányzatok által odaítélt </w:t>
            </w:r>
            <w:r>
              <w:rPr>
                <w:noProof/>
              </w:rPr>
              <w:t>költségvetés</w:t>
            </w:r>
          </w:p>
        </w:tc>
        <w:tc>
          <w:tcPr>
            <w:tcW w:w="1134" w:type="dxa"/>
            <w:shd w:val="clear" w:color="auto" w:fill="C6EFCE"/>
            <w:noWrap/>
          </w:tcPr>
          <w:p w14:paraId="747EC57D" w14:textId="77777777" w:rsidR="003E1D81" w:rsidRDefault="00EB481C">
            <w:pPr>
              <w:pStyle w:val="P68B1DB1-Normal13"/>
              <w:spacing w:after="0" w:line="240" w:lineRule="auto"/>
              <w:jc w:val="center"/>
              <w:rPr>
                <w:rFonts w:eastAsia="MS Mincho" w:cs="Times New Roman"/>
                <w:noProof/>
              </w:rPr>
            </w:pPr>
            <w:r>
              <w:rPr>
                <w:noProof/>
              </w:rPr>
              <w:t> </w:t>
            </w:r>
          </w:p>
        </w:tc>
        <w:tc>
          <w:tcPr>
            <w:tcW w:w="851" w:type="dxa"/>
            <w:shd w:val="clear" w:color="auto" w:fill="C6EFCE"/>
            <w:noWrap/>
          </w:tcPr>
          <w:p w14:paraId="3E6B4EA3" w14:textId="77777777" w:rsidR="003E1D81" w:rsidRDefault="00EB481C">
            <w:pPr>
              <w:pStyle w:val="P68B1DB1-Normal13"/>
              <w:spacing w:after="0" w:line="240" w:lineRule="auto"/>
              <w:jc w:val="right"/>
              <w:rPr>
                <w:rFonts w:eastAsia="MS Mincho" w:cs="Times New Roman"/>
                <w:noProof/>
              </w:rPr>
            </w:pPr>
            <w:r>
              <w:rPr>
                <w:noProof/>
              </w:rPr>
              <w:t>Millió EUR</w:t>
            </w:r>
          </w:p>
        </w:tc>
        <w:tc>
          <w:tcPr>
            <w:tcW w:w="675" w:type="dxa"/>
            <w:shd w:val="clear" w:color="auto" w:fill="C6EFCE"/>
            <w:noWrap/>
          </w:tcPr>
          <w:p w14:paraId="35B4915E" w14:textId="77777777" w:rsidR="003E1D81" w:rsidRDefault="00EB481C">
            <w:pPr>
              <w:pStyle w:val="P68B1DB1-Normal13"/>
              <w:spacing w:after="0" w:line="240" w:lineRule="auto"/>
              <w:jc w:val="right"/>
              <w:rPr>
                <w:rFonts w:eastAsia="MS Mincho" w:cs="Times New Roman"/>
                <w:noProof/>
              </w:rPr>
            </w:pPr>
            <w:r>
              <w:rPr>
                <w:noProof/>
              </w:rPr>
              <w:t>400</w:t>
            </w:r>
          </w:p>
        </w:tc>
        <w:tc>
          <w:tcPr>
            <w:tcW w:w="742" w:type="dxa"/>
            <w:shd w:val="clear" w:color="auto" w:fill="C6EFCE"/>
            <w:noWrap/>
          </w:tcPr>
          <w:p w14:paraId="6B3987EE" w14:textId="77777777" w:rsidR="003E1D81" w:rsidRDefault="00EB481C">
            <w:pPr>
              <w:pStyle w:val="P68B1DB1-Normal13"/>
              <w:spacing w:after="0" w:line="240" w:lineRule="auto"/>
              <w:jc w:val="right"/>
              <w:rPr>
                <w:rFonts w:eastAsia="MS Mincho" w:cs="Times New Roman"/>
                <w:noProof/>
              </w:rPr>
            </w:pPr>
            <w:r>
              <w:rPr>
                <w:noProof/>
              </w:rPr>
              <w:t>1 500</w:t>
            </w:r>
          </w:p>
        </w:tc>
        <w:tc>
          <w:tcPr>
            <w:tcW w:w="425" w:type="dxa"/>
            <w:shd w:val="clear" w:color="auto" w:fill="C6EFCE"/>
            <w:noWrap/>
          </w:tcPr>
          <w:p w14:paraId="1920ABED"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15705D52" w14:textId="77777777" w:rsidR="003E1D81" w:rsidRDefault="00EB481C">
            <w:pPr>
              <w:pStyle w:val="P68B1DB1-Normal13"/>
              <w:spacing w:after="0" w:line="240" w:lineRule="auto"/>
              <w:jc w:val="center"/>
              <w:rPr>
                <w:rFonts w:eastAsia="MS Mincho" w:cs="Times New Roman"/>
                <w:noProof/>
              </w:rPr>
            </w:pPr>
            <w:r>
              <w:rPr>
                <w:noProof/>
              </w:rPr>
              <w:t>2024</w:t>
            </w:r>
          </w:p>
        </w:tc>
        <w:tc>
          <w:tcPr>
            <w:tcW w:w="5387" w:type="dxa"/>
            <w:shd w:val="clear" w:color="auto" w:fill="C6EFCE"/>
            <w:noWrap/>
          </w:tcPr>
          <w:p w14:paraId="12B8CB70" w14:textId="77777777" w:rsidR="003E1D81" w:rsidRDefault="00EB481C">
            <w:pPr>
              <w:pStyle w:val="P68B1DB1-Normal13"/>
              <w:spacing w:after="0" w:line="240" w:lineRule="auto"/>
              <w:rPr>
                <w:rFonts w:cs="Times New Roman"/>
                <w:noProof/>
              </w:rPr>
            </w:pPr>
            <w:r>
              <w:rPr>
                <w:noProof/>
              </w:rPr>
              <w:t xml:space="preserve">A projekt vagy támogatások odaítélésének közzététele a Hivatalos Lapban vagy a közbeszerzési platformon, illetve az olyan települések beszerzéseivel kapcsolatos kiadások végrehajtása, amelyek hozzájárulnak </w:t>
            </w:r>
            <w:r>
              <w:rPr>
                <w:noProof/>
              </w:rPr>
              <w:t>a fenntartható mobilitás előmozdításához a tartomány több mint 50000 lakosú és fővárosú településein, és bizonyos feltételek mellett 20000 és 50000 lakos közötti településekhez is hozzárendelhetők. A projektek olyan eseteket támogatnak, amelyek: a tömegköz</w:t>
            </w:r>
            <w:r>
              <w:rPr>
                <w:noProof/>
              </w:rPr>
              <w:t>lekedési flották átalakítása a tiszta járművekről szóló irányelv célkitűzéseinek elérése érdekében és a jelentős károkozás elkerülését célzó technikai iránymutatással (2021/C58/01) összhangban; az alacsony kibocsátású zónák (LEZ-k) megvalósítása és kezelés</w:t>
            </w:r>
            <w:r>
              <w:rPr>
                <w:noProof/>
              </w:rPr>
              <w:t>e; a tömegközlekedés digitalizálása, adminisztratív irányítása és hozzáférhetőségének javítása; a kollektív közlekedést és az aktív mobilitást ösztönző és előnyben részesítő intézkedések.</w:t>
            </w:r>
            <w:r>
              <w:rPr>
                <w:noProof/>
              </w:rPr>
              <w:br/>
              <w:t>A kiválasztási kritériumoknak biztosítaniuk kell, hogy a Helyreállít</w:t>
            </w:r>
            <w:r>
              <w:rPr>
                <w:noProof/>
              </w:rPr>
              <w:t>ási és Rezilienciaépítési Eszközről szóló (EU) 2021/241 rendelet VI. mellékletével összhangban legalább 310 000 000 EUR 100%-os éghajlati együtthatóval, legalább 1 190 000 000 EUR-val és 40%-os éghajlati együtthatóval járuljanak hozzá az éghajlatváltozássa</w:t>
            </w:r>
            <w:r>
              <w:rPr>
                <w:noProof/>
              </w:rPr>
              <w:t>l kapcsolatos célkitűzésekhez.</w:t>
            </w:r>
          </w:p>
          <w:p w14:paraId="56614773" w14:textId="77777777" w:rsidR="003E1D81" w:rsidRDefault="00EB481C">
            <w:pPr>
              <w:pStyle w:val="P68B1DB1-Normal13"/>
              <w:spacing w:after="0" w:line="240" w:lineRule="auto"/>
              <w:rPr>
                <w:rFonts w:eastAsia="MS Mincho" w:cs="Times New Roman"/>
                <w:noProof/>
              </w:rPr>
            </w:pPr>
            <w:r>
              <w:rPr>
                <w:noProof/>
              </w:rPr>
              <w:t>(Alapforgatókönyv: 2022. december 31.)</w:t>
            </w:r>
          </w:p>
        </w:tc>
      </w:tr>
      <w:tr w:rsidR="003E1D81" w14:paraId="2B46CC03" w14:textId="77777777">
        <w:trPr>
          <w:trHeight w:val="309"/>
        </w:trPr>
        <w:tc>
          <w:tcPr>
            <w:tcW w:w="709" w:type="dxa"/>
            <w:shd w:val="clear" w:color="auto" w:fill="C6EFCE"/>
            <w:noWrap/>
          </w:tcPr>
          <w:p w14:paraId="0C4BD8EC" w14:textId="77777777" w:rsidR="003E1D81" w:rsidRDefault="00EB481C">
            <w:pPr>
              <w:pStyle w:val="P68B1DB1-Normal13"/>
              <w:spacing w:after="0" w:line="240" w:lineRule="auto"/>
              <w:jc w:val="center"/>
              <w:rPr>
                <w:rFonts w:eastAsia="MS Mincho" w:cs="Times New Roman"/>
                <w:noProof/>
              </w:rPr>
            </w:pPr>
            <w:r>
              <w:rPr>
                <w:noProof/>
              </w:rPr>
              <w:t>8</w:t>
            </w:r>
          </w:p>
        </w:tc>
        <w:tc>
          <w:tcPr>
            <w:tcW w:w="851" w:type="dxa"/>
            <w:shd w:val="clear" w:color="auto" w:fill="C6EFCE"/>
            <w:noWrap/>
          </w:tcPr>
          <w:p w14:paraId="54CD94C0" w14:textId="77777777" w:rsidR="003E1D81" w:rsidRDefault="00EB481C">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6DD05A5F" w14:textId="77777777" w:rsidR="003E1D81" w:rsidRDefault="00EB481C">
            <w:pPr>
              <w:pStyle w:val="P68B1DB1-Normal13"/>
              <w:spacing w:after="0" w:line="240" w:lineRule="auto"/>
              <w:jc w:val="center"/>
              <w:rPr>
                <w:rFonts w:eastAsia="MS Mincho" w:cs="Times New Roman"/>
                <w:noProof/>
              </w:rPr>
            </w:pPr>
            <w:r>
              <w:rPr>
                <w:noProof/>
              </w:rPr>
              <w:t>T</w:t>
            </w:r>
          </w:p>
        </w:tc>
        <w:tc>
          <w:tcPr>
            <w:tcW w:w="2977" w:type="dxa"/>
            <w:shd w:val="clear" w:color="auto" w:fill="C6EFCE"/>
            <w:noWrap/>
          </w:tcPr>
          <w:p w14:paraId="6D27D96F" w14:textId="77777777" w:rsidR="003E1D81" w:rsidRDefault="00EB481C">
            <w:pPr>
              <w:pStyle w:val="P68B1DB1-Normal13"/>
              <w:spacing w:after="0" w:line="240" w:lineRule="auto"/>
              <w:rPr>
                <w:rFonts w:eastAsia="MS Mincho" w:cs="Times New Roman"/>
                <w:noProof/>
              </w:rPr>
            </w:pPr>
            <w:r>
              <w:rPr>
                <w:noProof/>
              </w:rPr>
              <w:t>Díj az állami közutakon a mobilitás új formáit javító projektekben</w:t>
            </w:r>
          </w:p>
        </w:tc>
        <w:tc>
          <w:tcPr>
            <w:tcW w:w="1134" w:type="dxa"/>
            <w:shd w:val="clear" w:color="auto" w:fill="C6EFCE"/>
            <w:noWrap/>
          </w:tcPr>
          <w:p w14:paraId="2CCD58F5" w14:textId="77777777" w:rsidR="003E1D81" w:rsidRDefault="00EB481C">
            <w:pPr>
              <w:pStyle w:val="P68B1DB1-Normal13"/>
              <w:spacing w:after="0" w:line="240" w:lineRule="auto"/>
              <w:jc w:val="center"/>
              <w:rPr>
                <w:rFonts w:eastAsia="MS Mincho" w:cs="Times New Roman"/>
                <w:noProof/>
              </w:rPr>
            </w:pPr>
            <w:r>
              <w:rPr>
                <w:noProof/>
              </w:rPr>
              <w:t> </w:t>
            </w:r>
          </w:p>
        </w:tc>
        <w:tc>
          <w:tcPr>
            <w:tcW w:w="851" w:type="dxa"/>
            <w:shd w:val="clear" w:color="auto" w:fill="C6EFCE"/>
            <w:noWrap/>
          </w:tcPr>
          <w:p w14:paraId="5CDA7C8E" w14:textId="77777777" w:rsidR="003E1D81" w:rsidRDefault="00EB481C">
            <w:pPr>
              <w:pStyle w:val="P68B1DB1-Normal13"/>
              <w:spacing w:after="0" w:line="240" w:lineRule="auto"/>
              <w:jc w:val="right"/>
              <w:rPr>
                <w:rFonts w:eastAsia="MS Mincho" w:cs="Times New Roman"/>
                <w:noProof/>
              </w:rPr>
            </w:pPr>
            <w:r>
              <w:rPr>
                <w:noProof/>
              </w:rPr>
              <w:t>Millió EUR</w:t>
            </w:r>
          </w:p>
        </w:tc>
        <w:tc>
          <w:tcPr>
            <w:tcW w:w="675" w:type="dxa"/>
            <w:shd w:val="clear" w:color="auto" w:fill="C6EFCE"/>
            <w:noWrap/>
          </w:tcPr>
          <w:p w14:paraId="44E92D5A" w14:textId="77777777" w:rsidR="003E1D81" w:rsidRDefault="00EB481C">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407DA066" w14:textId="77777777" w:rsidR="003E1D81" w:rsidRDefault="00EB481C">
            <w:pPr>
              <w:pStyle w:val="P68B1DB1-Normal13"/>
              <w:spacing w:after="0" w:line="240" w:lineRule="auto"/>
              <w:jc w:val="right"/>
              <w:rPr>
                <w:rFonts w:eastAsia="MS Mincho" w:cs="Times New Roman"/>
                <w:noProof/>
              </w:rPr>
            </w:pPr>
            <w:r>
              <w:rPr>
                <w:noProof/>
              </w:rPr>
              <w:t>105</w:t>
            </w:r>
          </w:p>
        </w:tc>
        <w:tc>
          <w:tcPr>
            <w:tcW w:w="425" w:type="dxa"/>
            <w:shd w:val="clear" w:color="auto" w:fill="C6EFCE"/>
            <w:noWrap/>
          </w:tcPr>
          <w:p w14:paraId="2E7F4691" w14:textId="77777777" w:rsidR="003E1D81" w:rsidRDefault="00EB481C">
            <w:pPr>
              <w:pStyle w:val="P68B1DB1-Normal13"/>
              <w:spacing w:after="0" w:line="240" w:lineRule="auto"/>
              <w:jc w:val="center"/>
              <w:rPr>
                <w:rFonts w:eastAsia="MS Mincho" w:cs="Times New Roman"/>
                <w:noProof/>
              </w:rPr>
            </w:pPr>
            <w:r>
              <w:rPr>
                <w:noProof/>
              </w:rPr>
              <w:t>NEGY</w:t>
            </w:r>
            <w:r>
              <w:rPr>
                <w:noProof/>
              </w:rPr>
              <w:lastRenderedPageBreak/>
              <w:t>EDÉV</w:t>
            </w:r>
          </w:p>
        </w:tc>
        <w:tc>
          <w:tcPr>
            <w:tcW w:w="567" w:type="dxa"/>
            <w:shd w:val="clear" w:color="auto" w:fill="C6EFCE"/>
            <w:noWrap/>
          </w:tcPr>
          <w:p w14:paraId="63C2F686" w14:textId="77777777" w:rsidR="003E1D81" w:rsidRDefault="00EB481C">
            <w:pPr>
              <w:pStyle w:val="P68B1DB1-Normal13"/>
              <w:spacing w:after="0" w:line="240" w:lineRule="auto"/>
              <w:jc w:val="center"/>
              <w:rPr>
                <w:rFonts w:eastAsia="MS Mincho" w:cs="Times New Roman"/>
                <w:noProof/>
              </w:rPr>
            </w:pPr>
            <w:r>
              <w:rPr>
                <w:noProof/>
              </w:rPr>
              <w:lastRenderedPageBreak/>
              <w:t>2024</w:t>
            </w:r>
          </w:p>
        </w:tc>
        <w:tc>
          <w:tcPr>
            <w:tcW w:w="5387" w:type="dxa"/>
            <w:shd w:val="clear" w:color="auto" w:fill="C6EFCE"/>
            <w:noWrap/>
          </w:tcPr>
          <w:p w14:paraId="49786851" w14:textId="02437648" w:rsidR="003E1D81" w:rsidRDefault="00EB481C">
            <w:pPr>
              <w:pStyle w:val="P68B1DB1-Normal13"/>
              <w:spacing w:after="0" w:line="240" w:lineRule="auto"/>
              <w:rPr>
                <w:rFonts w:eastAsia="MS Mincho" w:cs="Times New Roman"/>
                <w:noProof/>
              </w:rPr>
            </w:pPr>
            <w:r>
              <w:rPr>
                <w:noProof/>
              </w:rPr>
              <w:t xml:space="preserve">A Közlekedési, Mobilitáspolitikai és Városfejlesztési Minisztérium legalább 105 millió EUR összegű, városi közutakat javító projektek </w:t>
            </w:r>
            <w:r>
              <w:rPr>
                <w:noProof/>
              </w:rPr>
              <w:lastRenderedPageBreak/>
              <w:t>odaítélésének közzététele a Hivatalos Lapban vagy a közbeszerzési platformon. A projektek új kerékpársávok építését, a gya</w:t>
            </w:r>
            <w:r>
              <w:rPr>
                <w:noProof/>
              </w:rPr>
              <w:t xml:space="preserve">logosok területének bővítését, a parkolók csökkentését vagy az átkelőhelyek biztonságának javítását foglalják magukban. </w:t>
            </w:r>
          </w:p>
        </w:tc>
      </w:tr>
      <w:tr w:rsidR="003E1D81" w14:paraId="6E445ACD" w14:textId="77777777">
        <w:trPr>
          <w:trHeight w:val="309"/>
        </w:trPr>
        <w:tc>
          <w:tcPr>
            <w:tcW w:w="709" w:type="dxa"/>
            <w:shd w:val="clear" w:color="auto" w:fill="C6EFCE"/>
            <w:noWrap/>
          </w:tcPr>
          <w:p w14:paraId="560D47BC" w14:textId="77777777" w:rsidR="003E1D81" w:rsidRDefault="00EB481C">
            <w:pPr>
              <w:pStyle w:val="P68B1DB1-Normal13"/>
              <w:spacing w:after="0" w:line="240" w:lineRule="auto"/>
              <w:jc w:val="center"/>
              <w:rPr>
                <w:rFonts w:eastAsia="MS Mincho" w:cs="Times New Roman"/>
                <w:noProof/>
              </w:rPr>
            </w:pPr>
            <w:r>
              <w:rPr>
                <w:noProof/>
              </w:rPr>
              <w:lastRenderedPageBreak/>
              <w:t>9</w:t>
            </w:r>
          </w:p>
        </w:tc>
        <w:tc>
          <w:tcPr>
            <w:tcW w:w="851" w:type="dxa"/>
            <w:shd w:val="clear" w:color="auto" w:fill="C6EFCE"/>
            <w:noWrap/>
          </w:tcPr>
          <w:p w14:paraId="5685DD6C" w14:textId="77777777" w:rsidR="003E1D81" w:rsidRDefault="00EB481C">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688C682D" w14:textId="77777777" w:rsidR="003E1D81" w:rsidRDefault="00EB481C">
            <w:pPr>
              <w:pStyle w:val="P68B1DB1-Normal13"/>
              <w:spacing w:after="0" w:line="240" w:lineRule="auto"/>
              <w:jc w:val="center"/>
              <w:rPr>
                <w:rFonts w:eastAsia="MS Mincho" w:cs="Times New Roman"/>
                <w:noProof/>
              </w:rPr>
            </w:pPr>
            <w:r>
              <w:rPr>
                <w:noProof/>
              </w:rPr>
              <w:t>T</w:t>
            </w:r>
          </w:p>
        </w:tc>
        <w:tc>
          <w:tcPr>
            <w:tcW w:w="2977" w:type="dxa"/>
            <w:shd w:val="clear" w:color="auto" w:fill="C6EFCE"/>
            <w:noWrap/>
          </w:tcPr>
          <w:p w14:paraId="6D856E6C" w14:textId="77777777" w:rsidR="003E1D81" w:rsidRDefault="00EB481C">
            <w:pPr>
              <w:pStyle w:val="P68B1DB1-Normal13"/>
              <w:spacing w:after="0" w:line="240" w:lineRule="auto"/>
              <w:rPr>
                <w:rFonts w:eastAsia="MS Mincho" w:cs="Times New Roman"/>
                <w:noProof/>
              </w:rPr>
            </w:pPr>
            <w:r>
              <w:rPr>
                <w:noProof/>
              </w:rPr>
              <w:t>A fenntartható mobilitást előmozdító befejezett projektek, többek között a városi és nagyvárosi területeken</w:t>
            </w:r>
          </w:p>
        </w:tc>
        <w:tc>
          <w:tcPr>
            <w:tcW w:w="1134" w:type="dxa"/>
            <w:shd w:val="clear" w:color="auto" w:fill="C6EFCE"/>
            <w:noWrap/>
          </w:tcPr>
          <w:p w14:paraId="32EA0A8A" w14:textId="77777777" w:rsidR="003E1D81" w:rsidRDefault="00EB481C">
            <w:pPr>
              <w:pStyle w:val="P68B1DB1-Normal13"/>
              <w:spacing w:after="0" w:line="240" w:lineRule="auto"/>
              <w:jc w:val="center"/>
              <w:rPr>
                <w:rFonts w:eastAsia="MS Mincho" w:cs="Times New Roman"/>
                <w:noProof/>
              </w:rPr>
            </w:pPr>
            <w:r>
              <w:rPr>
                <w:noProof/>
              </w:rPr>
              <w:t> </w:t>
            </w:r>
          </w:p>
        </w:tc>
        <w:tc>
          <w:tcPr>
            <w:tcW w:w="851" w:type="dxa"/>
            <w:shd w:val="clear" w:color="auto" w:fill="C6EFCE"/>
            <w:noWrap/>
          </w:tcPr>
          <w:p w14:paraId="57A319C9" w14:textId="77777777" w:rsidR="003E1D81" w:rsidRDefault="00EB481C">
            <w:pPr>
              <w:pStyle w:val="P68B1DB1-Normal13"/>
              <w:spacing w:after="0" w:line="240" w:lineRule="auto"/>
              <w:jc w:val="right"/>
              <w:rPr>
                <w:rFonts w:eastAsia="MS Mincho" w:cs="Times New Roman"/>
                <w:noProof/>
              </w:rPr>
            </w:pPr>
            <w:r>
              <w:rPr>
                <w:noProof/>
              </w:rPr>
              <w:t>Szám</w:t>
            </w:r>
          </w:p>
        </w:tc>
        <w:tc>
          <w:tcPr>
            <w:tcW w:w="675" w:type="dxa"/>
            <w:shd w:val="clear" w:color="auto" w:fill="C6EFCE"/>
            <w:noWrap/>
          </w:tcPr>
          <w:p w14:paraId="27212311" w14:textId="77777777" w:rsidR="003E1D81" w:rsidRDefault="00EB481C">
            <w:pPr>
              <w:pStyle w:val="P68B1DB1-Normal13"/>
              <w:spacing w:after="0" w:line="240" w:lineRule="auto"/>
              <w:jc w:val="right"/>
              <w:rPr>
                <w:rFonts w:eastAsia="MS Mincho" w:cs="Times New Roman"/>
                <w:noProof/>
              </w:rPr>
            </w:pPr>
            <w:r>
              <w:rPr>
                <w:noProof/>
              </w:rPr>
              <w:t>25</w:t>
            </w:r>
          </w:p>
        </w:tc>
        <w:tc>
          <w:tcPr>
            <w:tcW w:w="742" w:type="dxa"/>
            <w:shd w:val="clear" w:color="auto" w:fill="C6EFCE"/>
            <w:noWrap/>
          </w:tcPr>
          <w:p w14:paraId="3D4AFDFF" w14:textId="77777777" w:rsidR="003E1D81" w:rsidRDefault="00EB481C">
            <w:pPr>
              <w:pStyle w:val="P68B1DB1-Normal13"/>
              <w:spacing w:after="0" w:line="240" w:lineRule="auto"/>
              <w:jc w:val="right"/>
              <w:rPr>
                <w:rFonts w:eastAsia="MS Mincho" w:cs="Times New Roman"/>
                <w:noProof/>
              </w:rPr>
            </w:pPr>
            <w:r>
              <w:rPr>
                <w:noProof/>
              </w:rPr>
              <w:t>280</w:t>
            </w:r>
          </w:p>
        </w:tc>
        <w:tc>
          <w:tcPr>
            <w:tcW w:w="425" w:type="dxa"/>
            <w:shd w:val="clear" w:color="auto" w:fill="C6EFCE"/>
            <w:noWrap/>
          </w:tcPr>
          <w:p w14:paraId="00FEE9AC"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4E570A48" w14:textId="77777777" w:rsidR="003E1D81" w:rsidRDefault="00EB481C">
            <w:pPr>
              <w:pStyle w:val="P68B1DB1-Normal13"/>
              <w:spacing w:after="0" w:line="240" w:lineRule="auto"/>
              <w:jc w:val="center"/>
              <w:rPr>
                <w:rFonts w:eastAsia="MS Mincho" w:cs="Times New Roman"/>
                <w:noProof/>
              </w:rPr>
            </w:pPr>
            <w:r>
              <w:rPr>
                <w:noProof/>
              </w:rPr>
              <w:t>2025</w:t>
            </w:r>
          </w:p>
        </w:tc>
        <w:tc>
          <w:tcPr>
            <w:tcW w:w="5387" w:type="dxa"/>
            <w:shd w:val="clear" w:color="auto" w:fill="C6EFCE"/>
            <w:noWrap/>
          </w:tcPr>
          <w:p w14:paraId="7C3238BB" w14:textId="77777777" w:rsidR="003E1D81" w:rsidRDefault="00EB481C">
            <w:pPr>
              <w:pStyle w:val="P68B1DB1-Normal13"/>
              <w:spacing w:after="0" w:line="240" w:lineRule="auto"/>
              <w:rPr>
                <w:rFonts w:cs="Times New Roman"/>
                <w:noProof/>
              </w:rPr>
            </w:pPr>
            <w:r>
              <w:rPr>
                <w:noProof/>
              </w:rPr>
              <w:t>A fenntartható mobilitás előmozdítására – többek között a városi és nagyvárosi területeken – legalább 280 projekt zárult le, amelyek célja a fenntartható mobilitáshoz való hozzájárulás a több mint 50000 lakosú 150 városi területen, valamint b</w:t>
            </w:r>
            <w:r>
              <w:rPr>
                <w:noProof/>
              </w:rPr>
              <w:t>izonyos feltételek mellett a 20000 és 50000 lakos közötti városi területeken.</w:t>
            </w:r>
            <w:r>
              <w:rPr>
                <w:noProof/>
              </w:rPr>
              <w:br/>
              <w:t>A fenntartható mobilitást előmozdító projektek a következők:</w:t>
            </w:r>
            <w:r>
              <w:rPr>
                <w:noProof/>
              </w:rPr>
              <w:br/>
              <w:t>I. Az önkormányzatok által kidolgozott projektek, amelyek hozzájárulnak a fenntartható mobilitás előmozdításához a ta</w:t>
            </w:r>
            <w:r>
              <w:rPr>
                <w:noProof/>
              </w:rPr>
              <w:t>rtomány több mint 50000 lakosú és fővárosú településein, és bizonyos feltételek mellett 20000 és 50000 lakos közötti településekhez is hozzárendelhetők. A projektek olyan eseteket támogatnak, amelyek: a tömegközlekedési flották átalakítása a tiszta járműve</w:t>
            </w:r>
            <w:r>
              <w:rPr>
                <w:noProof/>
              </w:rPr>
              <w:t>kről szóló irányelv célkitűzéseinek elérése érdekében és a jelentős károkozás elkerülését célzó technikai iránymutatással (2021/C58/01) összhangban; az alacsony kibocsátású zónák (LEZ-k) megvalósítása és kezelése; a tömegközlekedés digitalizálása, adminisz</w:t>
            </w:r>
            <w:r>
              <w:rPr>
                <w:noProof/>
              </w:rPr>
              <w:t>tratív irányítása és hozzáférhetőségének javítása; a kollektív közlekedést és az aktív mobilitást ösztönző és előnyben részesítő intézkedések. A projekt meghatározott, egymással összefüggő és összehangolt tevékenységek összessége, amelyeket közös céllal, m</w:t>
            </w:r>
            <w:r>
              <w:rPr>
                <w:noProof/>
              </w:rPr>
              <w:t xml:space="preserve">eghatározott határidőn belül és költségvetési korlátokon belül hajtanak végre, és amelyekre támogatást kérnek. Egy település egynél több projektet is kidolgozhat. </w:t>
            </w:r>
            <w:r>
              <w:rPr>
                <w:noProof/>
              </w:rPr>
              <w:br/>
              <w:t>II. Autonóm közösségek által kidolgozott, a fenntartható mobilitást előmozdító projektek a v</w:t>
            </w:r>
            <w:r>
              <w:rPr>
                <w:noProof/>
              </w:rPr>
              <w:t>árosi és nagyvárosi területeken. Ez a C1.I1 befektetésben meghatározott a)–i) tipológiára vonatkozik. A városi és nagyvárosi területek az 50000 főnél több lakosú települések, a tartomány fővárosai és bizonyos feltételek mellett több mint 20000 település. M</w:t>
            </w:r>
            <w:r>
              <w:rPr>
                <w:noProof/>
              </w:rPr>
              <w:t xml:space="preserve">inden autonóm közösség egynél több projektet is kidolgozhat. </w:t>
            </w:r>
            <w:r>
              <w:rPr>
                <w:noProof/>
              </w:rPr>
              <w:br/>
              <w:t>III. Olyan projektek, amelyek támogatást nyújtanak a magánvállalkozásoknak a) régi nehézgépjárművek selejtezéséhez, b) nehéz személy- és áruflottáik tisztább járművekkel való megújításához, c) a</w:t>
            </w:r>
            <w:r>
              <w:rPr>
                <w:noProof/>
              </w:rPr>
              <w:t xml:space="preserve">z intermodális szállításhoz szükséges pótkocsijuk vagy félpótkocsiik </w:t>
            </w:r>
            <w:r>
              <w:rPr>
                <w:noProof/>
              </w:rPr>
              <w:lastRenderedPageBreak/>
              <w:t>megvásárlásához vagy átalakításához, vagy d) alternatív üzemanyaggal (elektromos, LNG, CNG és biometán) működő töltőállomások telepítéséhez. Legalább 3000 nehéz járművet vagy töltőállomás</w:t>
            </w:r>
            <w:r>
              <w:rPr>
                <w:noProof/>
              </w:rPr>
              <w:t>t vagy töltőállomást kell támogatni annak érdekében, hogy figyelembe lehessen venni egy, a fenntartható mobilitást előmozdító projekt megvalósítását. A támogatásokat a jelentős károkozás elkerülését célzó elvről szóló technikai iránymutatással (2021/C58/01</w:t>
            </w:r>
            <w:r>
              <w:rPr>
                <w:noProof/>
              </w:rPr>
              <w:t>) összhangban kell nyújtani.</w:t>
            </w:r>
          </w:p>
          <w:p w14:paraId="2DB75BAA" w14:textId="77777777" w:rsidR="003E1D81" w:rsidRDefault="00EB481C">
            <w:pPr>
              <w:pStyle w:val="P68B1DB1-Normal13"/>
              <w:spacing w:after="0" w:line="240" w:lineRule="auto"/>
              <w:rPr>
                <w:rFonts w:eastAsia="MS Mincho" w:cs="Times New Roman"/>
                <w:noProof/>
              </w:rPr>
            </w:pPr>
            <w:r>
              <w:rPr>
                <w:noProof/>
              </w:rPr>
              <w:t>(Alapforgatókönyv: 2023. december 31.)</w:t>
            </w:r>
          </w:p>
        </w:tc>
      </w:tr>
      <w:tr w:rsidR="003E1D81" w14:paraId="3BE7E18D" w14:textId="77777777">
        <w:trPr>
          <w:trHeight w:val="309"/>
        </w:trPr>
        <w:tc>
          <w:tcPr>
            <w:tcW w:w="709" w:type="dxa"/>
            <w:shd w:val="clear" w:color="auto" w:fill="C6EFCE"/>
            <w:noWrap/>
          </w:tcPr>
          <w:p w14:paraId="4F5C66B4" w14:textId="77777777" w:rsidR="003E1D81" w:rsidRDefault="00EB481C">
            <w:pPr>
              <w:pStyle w:val="P68B1DB1-Normal13"/>
              <w:spacing w:after="0" w:line="240" w:lineRule="auto"/>
              <w:jc w:val="center"/>
              <w:rPr>
                <w:rFonts w:cs="Times New Roman"/>
                <w:noProof/>
              </w:rPr>
            </w:pPr>
            <w:r>
              <w:rPr>
                <w:noProof/>
              </w:rPr>
              <w:lastRenderedPageBreak/>
              <w:t>10</w:t>
            </w:r>
          </w:p>
        </w:tc>
        <w:tc>
          <w:tcPr>
            <w:tcW w:w="851" w:type="dxa"/>
            <w:shd w:val="clear" w:color="auto" w:fill="C6EFCE"/>
            <w:noWrap/>
          </w:tcPr>
          <w:p w14:paraId="26DCE787" w14:textId="77777777" w:rsidR="003E1D81" w:rsidRDefault="00EB481C">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03AADB3F" w14:textId="77777777" w:rsidR="003E1D81" w:rsidRDefault="00EB481C">
            <w:pPr>
              <w:pStyle w:val="P68B1DB1-Normal13"/>
              <w:spacing w:after="0" w:line="240" w:lineRule="auto"/>
              <w:jc w:val="center"/>
              <w:rPr>
                <w:rFonts w:cs="Times New Roman"/>
                <w:noProof/>
              </w:rPr>
            </w:pPr>
            <w:r>
              <w:rPr>
                <w:noProof/>
              </w:rPr>
              <w:t>T</w:t>
            </w:r>
          </w:p>
        </w:tc>
        <w:tc>
          <w:tcPr>
            <w:tcW w:w="2977" w:type="dxa"/>
            <w:shd w:val="clear" w:color="auto" w:fill="C6EFCE"/>
            <w:noWrap/>
          </w:tcPr>
          <w:p w14:paraId="4CA9B203" w14:textId="77777777" w:rsidR="003E1D81" w:rsidRDefault="00EB481C">
            <w:pPr>
              <w:pStyle w:val="P68B1DB1-Normal13"/>
              <w:spacing w:after="0" w:line="240" w:lineRule="auto"/>
              <w:rPr>
                <w:rFonts w:cs="Times New Roman"/>
                <w:noProof/>
              </w:rPr>
            </w:pPr>
            <w:r>
              <w:rPr>
                <w:noProof/>
              </w:rPr>
              <w:t>A városi területeken az állami utak fejlesztése a mobilitás új formáinak előmozdítása érdekében</w:t>
            </w:r>
          </w:p>
        </w:tc>
        <w:tc>
          <w:tcPr>
            <w:tcW w:w="1134" w:type="dxa"/>
            <w:shd w:val="clear" w:color="auto" w:fill="C6EFCE"/>
            <w:noWrap/>
          </w:tcPr>
          <w:p w14:paraId="251F0AC9" w14:textId="77777777" w:rsidR="003E1D81" w:rsidRDefault="00EB481C">
            <w:pPr>
              <w:pStyle w:val="P68B1DB1-Normal13"/>
              <w:spacing w:after="0" w:line="240" w:lineRule="auto"/>
              <w:jc w:val="center"/>
              <w:rPr>
                <w:rFonts w:cs="Times New Roman"/>
                <w:noProof/>
              </w:rPr>
            </w:pPr>
            <w:r>
              <w:rPr>
                <w:noProof/>
              </w:rPr>
              <w:t> </w:t>
            </w:r>
          </w:p>
        </w:tc>
        <w:tc>
          <w:tcPr>
            <w:tcW w:w="851" w:type="dxa"/>
            <w:shd w:val="clear" w:color="auto" w:fill="C6EFCE"/>
            <w:noWrap/>
          </w:tcPr>
          <w:p w14:paraId="32ED97DD" w14:textId="77777777" w:rsidR="003E1D81" w:rsidRDefault="00EB481C">
            <w:pPr>
              <w:pStyle w:val="P68B1DB1-Normal13"/>
              <w:spacing w:after="0" w:line="240" w:lineRule="auto"/>
              <w:jc w:val="right"/>
              <w:rPr>
                <w:rFonts w:eastAsia="MS Mincho" w:cs="Times New Roman"/>
                <w:noProof/>
              </w:rPr>
            </w:pPr>
            <w:r>
              <w:rPr>
                <w:noProof/>
              </w:rPr>
              <w:t xml:space="preserve">Szám </w:t>
            </w:r>
          </w:p>
        </w:tc>
        <w:tc>
          <w:tcPr>
            <w:tcW w:w="675" w:type="dxa"/>
            <w:shd w:val="clear" w:color="auto" w:fill="C6EFCE"/>
            <w:noWrap/>
          </w:tcPr>
          <w:p w14:paraId="5FE7C0C4" w14:textId="77777777" w:rsidR="003E1D81" w:rsidRDefault="00EB481C">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58DB03FB" w14:textId="77777777" w:rsidR="003E1D81" w:rsidRDefault="00EB481C">
            <w:pPr>
              <w:pStyle w:val="P68B1DB1-Normal13"/>
              <w:spacing w:after="0" w:line="240" w:lineRule="auto"/>
              <w:jc w:val="right"/>
              <w:rPr>
                <w:rFonts w:eastAsia="MS Mincho" w:cs="Times New Roman"/>
                <w:noProof/>
              </w:rPr>
            </w:pPr>
            <w:r>
              <w:rPr>
                <w:noProof/>
              </w:rPr>
              <w:t>34</w:t>
            </w:r>
          </w:p>
        </w:tc>
        <w:tc>
          <w:tcPr>
            <w:tcW w:w="425" w:type="dxa"/>
            <w:shd w:val="clear" w:color="auto" w:fill="C6EFCE"/>
            <w:noWrap/>
          </w:tcPr>
          <w:p w14:paraId="653499C9"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2DFC998C" w14:textId="77777777" w:rsidR="003E1D81" w:rsidRDefault="00EB481C">
            <w:pPr>
              <w:pStyle w:val="P68B1DB1-Normal13"/>
              <w:spacing w:after="0" w:line="240" w:lineRule="auto"/>
              <w:jc w:val="center"/>
              <w:rPr>
                <w:rFonts w:cs="Times New Roman"/>
                <w:noProof/>
              </w:rPr>
            </w:pPr>
            <w:r>
              <w:rPr>
                <w:noProof/>
              </w:rPr>
              <w:t>2025</w:t>
            </w:r>
          </w:p>
        </w:tc>
        <w:tc>
          <w:tcPr>
            <w:tcW w:w="5387" w:type="dxa"/>
            <w:shd w:val="clear" w:color="auto" w:fill="C6EFCE"/>
            <w:noWrap/>
          </w:tcPr>
          <w:p w14:paraId="4E9B6E6B" w14:textId="77777777" w:rsidR="003E1D81" w:rsidRDefault="00EB481C">
            <w:pPr>
              <w:pStyle w:val="P68B1DB1-Normal13"/>
              <w:spacing w:after="0" w:line="240" w:lineRule="auto"/>
              <w:rPr>
                <w:rFonts w:cs="Times New Roman"/>
                <w:noProof/>
              </w:rPr>
            </w:pPr>
            <w:r>
              <w:rPr>
                <w:noProof/>
              </w:rPr>
              <w:t xml:space="preserve">A városi területeken legalább 34 állami közutat </w:t>
            </w:r>
            <w:r>
              <w:rPr>
                <w:noProof/>
              </w:rPr>
              <w:t>javítottak új kerékpársávok építésével, a gyalogos területek bővítésével, a parkolók csökkentésével vagy az átkelőhelyek biztonságának javításával.</w:t>
            </w:r>
            <w:r>
              <w:rPr>
                <w:noProof/>
              </w:rPr>
              <w:br/>
              <w:t>Ezt a beruházást a Közlekedési, Mobilitáspolitikai és Városfejlesztési Minisztérium hajtja végre a tulajdoná</w:t>
            </w:r>
            <w:r>
              <w:rPr>
                <w:noProof/>
              </w:rPr>
              <w:t>ban lévő utakon a városi területeken.</w:t>
            </w:r>
          </w:p>
        </w:tc>
      </w:tr>
      <w:tr w:rsidR="003E1D81" w14:paraId="1865056C" w14:textId="77777777">
        <w:trPr>
          <w:trHeight w:val="309"/>
        </w:trPr>
        <w:tc>
          <w:tcPr>
            <w:tcW w:w="709" w:type="dxa"/>
            <w:shd w:val="clear" w:color="auto" w:fill="C6EFCE"/>
            <w:noWrap/>
          </w:tcPr>
          <w:p w14:paraId="49C4C087" w14:textId="77777777" w:rsidR="003E1D81" w:rsidRDefault="00EB481C">
            <w:pPr>
              <w:pStyle w:val="P68B1DB1-Normal13"/>
              <w:spacing w:after="0" w:line="240" w:lineRule="auto"/>
              <w:jc w:val="center"/>
              <w:rPr>
                <w:rFonts w:cs="Times New Roman"/>
                <w:noProof/>
              </w:rPr>
            </w:pPr>
            <w:r>
              <w:rPr>
                <w:noProof/>
              </w:rPr>
              <w:t>11</w:t>
            </w:r>
          </w:p>
        </w:tc>
        <w:tc>
          <w:tcPr>
            <w:tcW w:w="851" w:type="dxa"/>
            <w:shd w:val="clear" w:color="auto" w:fill="C6EFCE"/>
            <w:noWrap/>
          </w:tcPr>
          <w:p w14:paraId="1C1AE0DF" w14:textId="77777777" w:rsidR="003E1D81" w:rsidRDefault="00EB481C">
            <w:pPr>
              <w:pStyle w:val="P68B1DB1-Normal13"/>
              <w:spacing w:after="0" w:line="240" w:lineRule="auto"/>
              <w:jc w:val="center"/>
              <w:rPr>
                <w:rFonts w:eastAsia="MS Mincho" w:cs="Times New Roman"/>
                <w:noProof/>
              </w:rPr>
            </w:pPr>
            <w:r>
              <w:rPr>
                <w:noProof/>
              </w:rPr>
              <w:t>C1.I2</w:t>
            </w:r>
          </w:p>
        </w:tc>
        <w:tc>
          <w:tcPr>
            <w:tcW w:w="850" w:type="dxa"/>
            <w:shd w:val="clear" w:color="auto" w:fill="C6EFCE"/>
            <w:noWrap/>
          </w:tcPr>
          <w:p w14:paraId="4E319F15" w14:textId="77777777" w:rsidR="003E1D81" w:rsidRDefault="00EB481C">
            <w:pPr>
              <w:pStyle w:val="P68B1DB1-Normal13"/>
              <w:spacing w:after="0" w:line="240" w:lineRule="auto"/>
              <w:jc w:val="center"/>
              <w:rPr>
                <w:rFonts w:cs="Times New Roman"/>
                <w:noProof/>
              </w:rPr>
            </w:pPr>
            <w:r>
              <w:rPr>
                <w:noProof/>
              </w:rPr>
              <w:t>T</w:t>
            </w:r>
          </w:p>
        </w:tc>
        <w:tc>
          <w:tcPr>
            <w:tcW w:w="2977" w:type="dxa"/>
            <w:shd w:val="clear" w:color="auto" w:fill="C6EFCE"/>
            <w:noWrap/>
          </w:tcPr>
          <w:p w14:paraId="60B0BAD3" w14:textId="77777777" w:rsidR="003E1D81" w:rsidRDefault="00EB481C">
            <w:pPr>
              <w:pStyle w:val="P68B1DB1-Normal13"/>
              <w:spacing w:after="0" w:line="240" w:lineRule="auto"/>
              <w:rPr>
                <w:rFonts w:cs="Times New Roman"/>
                <w:noProof/>
              </w:rPr>
            </w:pPr>
            <w:r>
              <w:rPr>
                <w:noProof/>
              </w:rPr>
              <w:t xml:space="preserve">Az elektromos közlekedést előmozdító innovatív projektek odaítélése </w:t>
            </w:r>
          </w:p>
        </w:tc>
        <w:tc>
          <w:tcPr>
            <w:tcW w:w="1134" w:type="dxa"/>
            <w:shd w:val="clear" w:color="auto" w:fill="C6EFCE"/>
            <w:noWrap/>
          </w:tcPr>
          <w:p w14:paraId="76FC1474" w14:textId="77777777" w:rsidR="003E1D81" w:rsidRDefault="00EB481C">
            <w:pPr>
              <w:pStyle w:val="P68B1DB1-Normal13"/>
              <w:spacing w:after="0" w:line="240" w:lineRule="auto"/>
              <w:jc w:val="center"/>
              <w:rPr>
                <w:rFonts w:cs="Times New Roman"/>
                <w:noProof/>
              </w:rPr>
            </w:pPr>
            <w:r>
              <w:rPr>
                <w:noProof/>
              </w:rPr>
              <w:t> </w:t>
            </w:r>
          </w:p>
        </w:tc>
        <w:tc>
          <w:tcPr>
            <w:tcW w:w="851" w:type="dxa"/>
            <w:shd w:val="clear" w:color="auto" w:fill="C6EFCE"/>
            <w:noWrap/>
          </w:tcPr>
          <w:p w14:paraId="3FA9A43F" w14:textId="77777777" w:rsidR="003E1D81" w:rsidRDefault="00EB481C">
            <w:pPr>
              <w:pStyle w:val="P68B1DB1-Normal13"/>
              <w:spacing w:after="0" w:line="240" w:lineRule="auto"/>
              <w:jc w:val="right"/>
              <w:rPr>
                <w:rFonts w:eastAsia="MS Mincho" w:cs="Times New Roman"/>
                <w:noProof/>
              </w:rPr>
            </w:pPr>
            <w:r>
              <w:rPr>
                <w:noProof/>
              </w:rPr>
              <w:t>Millió EUR</w:t>
            </w:r>
          </w:p>
        </w:tc>
        <w:tc>
          <w:tcPr>
            <w:tcW w:w="675" w:type="dxa"/>
            <w:shd w:val="clear" w:color="auto" w:fill="C6EFCE"/>
            <w:noWrap/>
          </w:tcPr>
          <w:p w14:paraId="6A0ED356" w14:textId="77777777" w:rsidR="003E1D81" w:rsidRDefault="00EB481C">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55CE6AE6" w14:textId="77777777" w:rsidR="003E1D81" w:rsidRDefault="00EB481C">
            <w:pPr>
              <w:pStyle w:val="P68B1DB1-Normal13"/>
              <w:spacing w:after="0" w:line="240" w:lineRule="auto"/>
              <w:jc w:val="right"/>
              <w:rPr>
                <w:rFonts w:eastAsia="MS Mincho" w:cs="Times New Roman"/>
                <w:noProof/>
              </w:rPr>
            </w:pPr>
            <w:r>
              <w:rPr>
                <w:noProof/>
              </w:rPr>
              <w:t>250</w:t>
            </w:r>
          </w:p>
        </w:tc>
        <w:tc>
          <w:tcPr>
            <w:tcW w:w="425" w:type="dxa"/>
            <w:shd w:val="clear" w:color="auto" w:fill="C6EFCE"/>
            <w:noWrap/>
          </w:tcPr>
          <w:p w14:paraId="6AE7DF88"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5C774669" w14:textId="77777777" w:rsidR="003E1D81" w:rsidRDefault="00EB481C">
            <w:pPr>
              <w:pStyle w:val="P68B1DB1-Normal13"/>
              <w:spacing w:after="0" w:line="240" w:lineRule="auto"/>
              <w:jc w:val="center"/>
              <w:rPr>
                <w:rFonts w:cs="Times New Roman"/>
                <w:noProof/>
              </w:rPr>
            </w:pPr>
            <w:r>
              <w:rPr>
                <w:noProof/>
              </w:rPr>
              <w:t>2023</w:t>
            </w:r>
          </w:p>
        </w:tc>
        <w:tc>
          <w:tcPr>
            <w:tcW w:w="5387" w:type="dxa"/>
            <w:shd w:val="clear" w:color="auto" w:fill="C6EFCE"/>
            <w:noWrap/>
          </w:tcPr>
          <w:p w14:paraId="66D51A76" w14:textId="6E009872" w:rsidR="003E1D81" w:rsidRDefault="00EB481C">
            <w:pPr>
              <w:pStyle w:val="P68B1DB1-Normal13"/>
              <w:spacing w:after="0" w:line="240" w:lineRule="auto"/>
              <w:rPr>
                <w:rFonts w:cs="Times New Roman"/>
                <w:noProof/>
              </w:rPr>
            </w:pPr>
            <w:r>
              <w:rPr>
                <w:noProof/>
              </w:rPr>
              <w:t xml:space="preserve">Legalább 250 millió EUR odaítélésének közzététele az elektromos közlekedést előmozdító innovatív </w:t>
            </w:r>
            <w:r>
              <w:rPr>
                <w:noProof/>
              </w:rPr>
              <w:t>projekteket támogató pályázati felhívásokban. A pályázati felhívásokban a támogatási programok elosztásához használt kiválasztási kritériumok a következőket foglalják magukban: i) a környezeti hatások csökkentése, ii. műszaki-gazdasági életképesség, iii. a</w:t>
            </w:r>
            <w:r>
              <w:rPr>
                <w:noProof/>
              </w:rPr>
              <w:t xml:space="preserve"> technológiai fejlődés és innováció szintje, iv. megismételhetőség és méretezhetőség, v. a projekthez kapcsolódó munkahelyteremtés, közvetlen és közvetett, valamint vi. az értékláncra gyakorolt hatás és a más ágazatokkal, elsősorban az ipari ágazatokkal va</w:t>
            </w:r>
            <w:r>
              <w:rPr>
                <w:noProof/>
              </w:rPr>
              <w:t>ló szinergiahatás.</w:t>
            </w:r>
          </w:p>
        </w:tc>
      </w:tr>
      <w:tr w:rsidR="003E1D81" w14:paraId="3D285064" w14:textId="77777777">
        <w:trPr>
          <w:trHeight w:val="309"/>
        </w:trPr>
        <w:tc>
          <w:tcPr>
            <w:tcW w:w="709" w:type="dxa"/>
            <w:shd w:val="clear" w:color="auto" w:fill="C6EFCE"/>
            <w:noWrap/>
          </w:tcPr>
          <w:p w14:paraId="768DD0EE" w14:textId="77777777" w:rsidR="003E1D81" w:rsidRDefault="00EB481C">
            <w:pPr>
              <w:pStyle w:val="P68B1DB1-Normal13"/>
              <w:spacing w:after="0" w:line="240" w:lineRule="auto"/>
              <w:jc w:val="center"/>
              <w:rPr>
                <w:rFonts w:cs="Times New Roman"/>
                <w:noProof/>
              </w:rPr>
            </w:pPr>
            <w:r>
              <w:rPr>
                <w:noProof/>
              </w:rPr>
              <w:t>12</w:t>
            </w:r>
          </w:p>
        </w:tc>
        <w:tc>
          <w:tcPr>
            <w:tcW w:w="851" w:type="dxa"/>
            <w:shd w:val="clear" w:color="auto" w:fill="C6EFCE"/>
            <w:noWrap/>
          </w:tcPr>
          <w:p w14:paraId="39952C5A" w14:textId="77777777" w:rsidR="003E1D81" w:rsidRDefault="00EB481C">
            <w:pPr>
              <w:pStyle w:val="P68B1DB1-Normal13"/>
              <w:spacing w:after="0" w:line="240" w:lineRule="auto"/>
              <w:jc w:val="center"/>
              <w:rPr>
                <w:rFonts w:eastAsia="MS Mincho" w:cs="Times New Roman"/>
                <w:noProof/>
              </w:rPr>
            </w:pPr>
            <w:r>
              <w:rPr>
                <w:noProof/>
              </w:rPr>
              <w:t>C1.I2</w:t>
            </w:r>
          </w:p>
        </w:tc>
        <w:tc>
          <w:tcPr>
            <w:tcW w:w="850" w:type="dxa"/>
            <w:shd w:val="clear" w:color="auto" w:fill="C6EFCE"/>
            <w:noWrap/>
          </w:tcPr>
          <w:p w14:paraId="2AD35622" w14:textId="77777777" w:rsidR="003E1D81" w:rsidRDefault="00EB481C">
            <w:pPr>
              <w:pStyle w:val="P68B1DB1-Normal13"/>
              <w:spacing w:after="0" w:line="240" w:lineRule="auto"/>
              <w:jc w:val="center"/>
              <w:rPr>
                <w:rFonts w:cs="Times New Roman"/>
                <w:noProof/>
              </w:rPr>
            </w:pPr>
            <w:r>
              <w:rPr>
                <w:noProof/>
              </w:rPr>
              <w:t>T</w:t>
            </w:r>
          </w:p>
        </w:tc>
        <w:tc>
          <w:tcPr>
            <w:tcW w:w="2977" w:type="dxa"/>
            <w:shd w:val="clear" w:color="auto" w:fill="C6EFCE"/>
            <w:noWrap/>
          </w:tcPr>
          <w:p w14:paraId="089C1D3D" w14:textId="45979E08" w:rsidR="003E1D81" w:rsidRDefault="00EB481C">
            <w:pPr>
              <w:pStyle w:val="P68B1DB1-Normal13"/>
              <w:spacing w:after="0" w:line="240" w:lineRule="auto"/>
              <w:rPr>
                <w:rFonts w:cs="Times New Roman"/>
                <w:noProof/>
              </w:rPr>
            </w:pPr>
            <w:r>
              <w:rPr>
                <w:noProof/>
              </w:rPr>
              <w:t xml:space="preserve">Az elektromos járművekre és elektromos töltőállomásokra vonatkozó támogatási kérelmek nyilvántartásba vétele </w:t>
            </w:r>
          </w:p>
        </w:tc>
        <w:tc>
          <w:tcPr>
            <w:tcW w:w="1134" w:type="dxa"/>
            <w:shd w:val="clear" w:color="auto" w:fill="C6EFCE"/>
            <w:noWrap/>
          </w:tcPr>
          <w:p w14:paraId="681A5A31" w14:textId="77777777" w:rsidR="003E1D81" w:rsidRDefault="00EB481C">
            <w:pPr>
              <w:pStyle w:val="P68B1DB1-Normal13"/>
              <w:spacing w:after="0" w:line="240" w:lineRule="auto"/>
              <w:jc w:val="center"/>
              <w:rPr>
                <w:rFonts w:cs="Times New Roman"/>
                <w:noProof/>
              </w:rPr>
            </w:pPr>
            <w:r>
              <w:rPr>
                <w:noProof/>
              </w:rPr>
              <w:t> </w:t>
            </w:r>
          </w:p>
        </w:tc>
        <w:tc>
          <w:tcPr>
            <w:tcW w:w="851" w:type="dxa"/>
            <w:shd w:val="clear" w:color="auto" w:fill="C6EFCE"/>
            <w:noWrap/>
          </w:tcPr>
          <w:p w14:paraId="5602EA02" w14:textId="77777777" w:rsidR="003E1D81" w:rsidRDefault="00EB481C">
            <w:pPr>
              <w:pStyle w:val="P68B1DB1-Normal13"/>
              <w:spacing w:after="0" w:line="240" w:lineRule="auto"/>
              <w:jc w:val="right"/>
              <w:rPr>
                <w:rFonts w:eastAsia="MS Mincho" w:cs="Times New Roman"/>
                <w:noProof/>
              </w:rPr>
            </w:pPr>
            <w:r>
              <w:rPr>
                <w:noProof/>
              </w:rPr>
              <w:t>Szám</w:t>
            </w:r>
          </w:p>
        </w:tc>
        <w:tc>
          <w:tcPr>
            <w:tcW w:w="675" w:type="dxa"/>
            <w:shd w:val="clear" w:color="auto" w:fill="C6EFCE"/>
            <w:noWrap/>
          </w:tcPr>
          <w:p w14:paraId="48D83142" w14:textId="77777777" w:rsidR="003E1D81" w:rsidRDefault="00EB481C">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28E68559" w14:textId="77777777" w:rsidR="003E1D81" w:rsidRDefault="00EB481C">
            <w:pPr>
              <w:pStyle w:val="P68B1DB1-Normal13"/>
              <w:spacing w:after="0" w:line="240" w:lineRule="auto"/>
              <w:jc w:val="right"/>
              <w:rPr>
                <w:rFonts w:eastAsia="MS Mincho" w:cs="Times New Roman"/>
                <w:noProof/>
              </w:rPr>
            </w:pPr>
            <w:r>
              <w:rPr>
                <w:noProof/>
              </w:rPr>
              <w:t>238 000</w:t>
            </w:r>
          </w:p>
        </w:tc>
        <w:tc>
          <w:tcPr>
            <w:tcW w:w="425" w:type="dxa"/>
            <w:shd w:val="clear" w:color="auto" w:fill="C6EFCE"/>
            <w:noWrap/>
          </w:tcPr>
          <w:p w14:paraId="2E966F0A"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5C2EA5F4" w14:textId="77777777" w:rsidR="003E1D81" w:rsidRDefault="00EB481C">
            <w:pPr>
              <w:pStyle w:val="P68B1DB1-Normal13"/>
              <w:spacing w:after="0" w:line="240" w:lineRule="auto"/>
              <w:jc w:val="center"/>
              <w:rPr>
                <w:rFonts w:cs="Times New Roman"/>
                <w:noProof/>
              </w:rPr>
            </w:pPr>
            <w:r>
              <w:rPr>
                <w:noProof/>
              </w:rPr>
              <w:t>2023</w:t>
            </w:r>
          </w:p>
        </w:tc>
        <w:tc>
          <w:tcPr>
            <w:tcW w:w="5387" w:type="dxa"/>
            <w:shd w:val="clear" w:color="auto" w:fill="C6EFCE"/>
            <w:noWrap/>
          </w:tcPr>
          <w:p w14:paraId="04A15AE2" w14:textId="3290915B" w:rsidR="003E1D81" w:rsidRDefault="00EB481C">
            <w:pPr>
              <w:pStyle w:val="P68B1DB1-Normal13"/>
              <w:spacing w:after="0" w:line="240" w:lineRule="auto"/>
              <w:rPr>
                <w:rFonts w:eastAsia="Times New Roman" w:cs="Times New Roman"/>
                <w:noProof/>
              </w:rPr>
            </w:pPr>
            <w:r>
              <w:rPr>
                <w:noProof/>
              </w:rPr>
              <w:t xml:space="preserve">Legalább 238000 elektromos járműre (BEV, REEV, PHEV vagy FCEV) és elektromos </w:t>
            </w:r>
            <w:r>
              <w:rPr>
                <w:noProof/>
              </w:rPr>
              <w:t>töltőpontra vonatkozó támogatási kérelmek nyilvántartásba vétele, beleértve többek között a lakóterületeken és a nemzeti közúthálózaton található, nyilvános használatra szánt elektromos töltőállomásokat, amelyek megkülönböztetés nélkül elektromos járművekb</w:t>
            </w:r>
            <w:r>
              <w:rPr>
                <w:noProof/>
              </w:rPr>
              <w:t>ől és/vagy elektromos töltőállomásokból állnak.</w:t>
            </w:r>
          </w:p>
        </w:tc>
      </w:tr>
      <w:tr w:rsidR="003E1D81" w14:paraId="1FAA9ED6" w14:textId="77777777">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EDF6B60" w14:textId="3343F026" w:rsidR="003E1D81" w:rsidRDefault="00EB481C">
            <w:pPr>
              <w:pStyle w:val="P68B1DB1-Normal13"/>
              <w:spacing w:after="0" w:line="240" w:lineRule="auto"/>
              <w:jc w:val="center"/>
              <w:rPr>
                <w:rFonts w:cs="Times New Roman"/>
                <w:noProof/>
              </w:rPr>
            </w:pPr>
            <w:r>
              <w:rPr>
                <w:noProof/>
              </w:rPr>
              <w:t>419</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7C270981" w14:textId="0A184257" w:rsidR="003E1D81" w:rsidRDefault="00EB481C">
            <w:pPr>
              <w:pStyle w:val="P68B1DB1-Normal13"/>
              <w:spacing w:after="0" w:line="240" w:lineRule="auto"/>
              <w:jc w:val="center"/>
              <w:rPr>
                <w:rFonts w:cs="Times New Roman"/>
                <w:noProof/>
              </w:rPr>
            </w:pPr>
            <w:r>
              <w:rPr>
                <w:noProof/>
              </w:rPr>
              <w:t>C1.I2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0A48C95" w14:textId="67603249" w:rsidR="003E1D81" w:rsidRDefault="00EB481C">
            <w:pPr>
              <w:pStyle w:val="P68B1DB1-Normal13"/>
              <w:spacing w:after="0" w:line="240" w:lineRule="auto"/>
              <w:jc w:val="center"/>
              <w:rPr>
                <w:rFonts w:cs="Times New Roman"/>
                <w:noProof/>
              </w:rPr>
            </w:pPr>
            <w:r>
              <w:rPr>
                <w:noProof/>
              </w:rPr>
              <w:t>T</w:t>
            </w:r>
          </w:p>
        </w:tc>
        <w:tc>
          <w:tcPr>
            <w:tcW w:w="2977" w:type="dxa"/>
            <w:tcBorders>
              <w:top w:val="single" w:sz="4" w:space="0" w:color="auto"/>
              <w:left w:val="single" w:sz="4" w:space="0" w:color="auto"/>
              <w:bottom w:val="single" w:sz="4" w:space="0" w:color="auto"/>
              <w:right w:val="single" w:sz="4" w:space="0" w:color="auto"/>
            </w:tcBorders>
            <w:shd w:val="clear" w:color="auto" w:fill="C6EFCE"/>
            <w:noWrap/>
          </w:tcPr>
          <w:p w14:paraId="43B1E734" w14:textId="0759EA40" w:rsidR="003E1D81" w:rsidRDefault="00EB481C">
            <w:pPr>
              <w:pStyle w:val="P68B1DB1-Normal13"/>
              <w:spacing w:after="0" w:line="240" w:lineRule="auto"/>
              <w:rPr>
                <w:rFonts w:cs="Times New Roman"/>
                <w:noProof/>
              </w:rPr>
            </w:pPr>
            <w:r>
              <w:rPr>
                <w:noProof/>
              </w:rPr>
              <w:t>Elektromos járművek és kiépített elektromos töltőpontok</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1AFF7CC7" w14:textId="77777777" w:rsidR="003E1D81" w:rsidRDefault="003E1D81">
            <w:pPr>
              <w:spacing w:after="0" w:line="240" w:lineRule="auto"/>
              <w:jc w:val="center"/>
              <w:rPr>
                <w:rFonts w:ascii="Times New Roman" w:hAnsi="Times New Roman" w:cs="Times New Roman"/>
                <w:noProof/>
                <w:sz w:val="18"/>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566296CA" w14:textId="01AE32C3" w:rsidR="003E1D81" w:rsidRDefault="00EB481C">
            <w:pPr>
              <w:pStyle w:val="P68B1DB1-Normal13"/>
              <w:spacing w:after="0" w:line="240" w:lineRule="auto"/>
              <w:jc w:val="right"/>
              <w:rPr>
                <w:rFonts w:cs="Times New Roman"/>
                <w:noProof/>
              </w:rPr>
            </w:pPr>
            <w:r>
              <w:rPr>
                <w:noProof/>
              </w:rPr>
              <w:t xml:space="preserve">Szám </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1F3F9B93" w14:textId="6B0B41F7" w:rsidR="003E1D81" w:rsidRDefault="00EB481C">
            <w:pPr>
              <w:pStyle w:val="P68B1DB1-Normal13"/>
              <w:spacing w:after="0" w:line="240" w:lineRule="auto"/>
              <w:jc w:val="right"/>
              <w:rPr>
                <w:rFonts w:cs="Times New Roman"/>
                <w:noProof/>
              </w:rPr>
            </w:pPr>
            <w:r>
              <w:rPr>
                <w:noProof/>
              </w:rPr>
              <w:t>0</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66402839" w14:textId="363F3FC3" w:rsidR="003E1D81" w:rsidRDefault="00EB481C">
            <w:pPr>
              <w:pStyle w:val="P68B1DB1-Normal13"/>
              <w:spacing w:after="0" w:line="240" w:lineRule="auto"/>
              <w:jc w:val="right"/>
              <w:rPr>
                <w:rFonts w:cs="Times New Roman"/>
                <w:noProof/>
              </w:rPr>
            </w:pPr>
            <w:r>
              <w:rPr>
                <w:noProof/>
              </w:rPr>
              <w:t>238 000</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653FA08" w14:textId="61D19117" w:rsidR="003E1D81" w:rsidRDefault="00EB481C">
            <w:pPr>
              <w:pStyle w:val="P68B1DB1-Normal13"/>
              <w:spacing w:after="0" w:line="240" w:lineRule="auto"/>
              <w:jc w:val="center"/>
              <w:rPr>
                <w:rFonts w:cs="Times New Roman"/>
                <w:noProof/>
              </w:rPr>
            </w:pPr>
            <w:r>
              <w:rPr>
                <w:noProof/>
              </w:rPr>
              <w:t>NEGYEDÉV</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EABF141" w14:textId="7AA392A8" w:rsidR="003E1D81" w:rsidRDefault="00EB481C">
            <w:pPr>
              <w:pStyle w:val="P68B1DB1-Normal13"/>
              <w:spacing w:after="0" w:line="240" w:lineRule="auto"/>
              <w:jc w:val="center"/>
              <w:rPr>
                <w:rFonts w:cs="Times New Roman"/>
                <w:noProof/>
              </w:rPr>
            </w:pPr>
            <w:r>
              <w:rPr>
                <w:noProof/>
              </w:rPr>
              <w:t>2025</w:t>
            </w:r>
          </w:p>
        </w:tc>
        <w:tc>
          <w:tcPr>
            <w:tcW w:w="5387" w:type="dxa"/>
            <w:tcBorders>
              <w:top w:val="single" w:sz="4" w:space="0" w:color="auto"/>
              <w:left w:val="single" w:sz="4" w:space="0" w:color="auto"/>
              <w:bottom w:val="single" w:sz="4" w:space="0" w:color="auto"/>
              <w:right w:val="single" w:sz="4" w:space="0" w:color="auto"/>
            </w:tcBorders>
            <w:shd w:val="clear" w:color="auto" w:fill="C6EFCE"/>
            <w:noWrap/>
          </w:tcPr>
          <w:p w14:paraId="4553171D" w14:textId="7D07CDC7" w:rsidR="003E1D81" w:rsidRDefault="00EB481C">
            <w:pPr>
              <w:pStyle w:val="P68B1DB1-Normal13"/>
              <w:spacing w:after="0" w:line="240" w:lineRule="auto"/>
              <w:rPr>
                <w:rFonts w:cs="Times New Roman"/>
                <w:noProof/>
              </w:rPr>
            </w:pPr>
            <w:r>
              <w:rPr>
                <w:noProof/>
              </w:rPr>
              <w:t xml:space="preserve">Legalább 238000 elektromos jármű (BEV, REEV, PHEV vagy FCEV) és elektromos töltőpont, beleértve többek </w:t>
            </w:r>
            <w:r>
              <w:rPr>
                <w:noProof/>
              </w:rPr>
              <w:t>között a lakóterületeken és a kiépített nemzeti közúthálózaton található, nyilvános használatra szánt elektromos töltőállomásokat.</w:t>
            </w:r>
          </w:p>
        </w:tc>
      </w:tr>
      <w:tr w:rsidR="003E1D81" w14:paraId="2670B1F8" w14:textId="77777777">
        <w:trPr>
          <w:trHeight w:val="309"/>
        </w:trPr>
        <w:tc>
          <w:tcPr>
            <w:tcW w:w="709" w:type="dxa"/>
            <w:shd w:val="clear" w:color="auto" w:fill="C6EFCE"/>
            <w:noWrap/>
          </w:tcPr>
          <w:p w14:paraId="4EA0E052" w14:textId="77777777" w:rsidR="003E1D81" w:rsidRDefault="00EB481C">
            <w:pPr>
              <w:pStyle w:val="P68B1DB1-Normal13"/>
              <w:spacing w:after="0" w:line="240" w:lineRule="auto"/>
              <w:jc w:val="center"/>
              <w:rPr>
                <w:rFonts w:cs="Times New Roman"/>
                <w:noProof/>
              </w:rPr>
            </w:pPr>
            <w:r>
              <w:rPr>
                <w:noProof/>
              </w:rPr>
              <w:lastRenderedPageBreak/>
              <w:t>13</w:t>
            </w:r>
          </w:p>
        </w:tc>
        <w:tc>
          <w:tcPr>
            <w:tcW w:w="851" w:type="dxa"/>
            <w:shd w:val="clear" w:color="auto" w:fill="C6EFCE"/>
            <w:noWrap/>
          </w:tcPr>
          <w:p w14:paraId="0CCA9B62" w14:textId="77777777" w:rsidR="003E1D81" w:rsidRDefault="00EB481C">
            <w:pPr>
              <w:pStyle w:val="P68B1DB1-Normal13"/>
              <w:spacing w:after="0" w:line="240" w:lineRule="auto"/>
              <w:jc w:val="center"/>
              <w:rPr>
                <w:rFonts w:eastAsia="MS Mincho" w:cs="Times New Roman"/>
                <w:noProof/>
              </w:rPr>
            </w:pPr>
            <w:r>
              <w:rPr>
                <w:noProof/>
              </w:rPr>
              <w:t>C1.I2</w:t>
            </w:r>
          </w:p>
        </w:tc>
        <w:tc>
          <w:tcPr>
            <w:tcW w:w="850" w:type="dxa"/>
            <w:shd w:val="clear" w:color="auto" w:fill="C6EFCE"/>
            <w:noWrap/>
          </w:tcPr>
          <w:p w14:paraId="53B7C02A" w14:textId="77777777" w:rsidR="003E1D81" w:rsidRDefault="00EB481C">
            <w:pPr>
              <w:pStyle w:val="P68B1DB1-Normal13"/>
              <w:spacing w:after="0" w:line="240" w:lineRule="auto"/>
              <w:jc w:val="center"/>
              <w:rPr>
                <w:rFonts w:cs="Times New Roman"/>
                <w:noProof/>
              </w:rPr>
            </w:pPr>
            <w:r>
              <w:rPr>
                <w:noProof/>
              </w:rPr>
              <w:t>T</w:t>
            </w:r>
          </w:p>
        </w:tc>
        <w:tc>
          <w:tcPr>
            <w:tcW w:w="2977" w:type="dxa"/>
            <w:shd w:val="clear" w:color="auto" w:fill="C6EFCE"/>
            <w:noWrap/>
          </w:tcPr>
          <w:p w14:paraId="4B53E2A0" w14:textId="0CF9AE93" w:rsidR="003E1D81" w:rsidRDefault="00EB481C">
            <w:pPr>
              <w:pStyle w:val="P68B1DB1-Normal13"/>
              <w:spacing w:after="0" w:line="240" w:lineRule="auto"/>
              <w:rPr>
                <w:rFonts w:cs="Times New Roman"/>
                <w:noProof/>
              </w:rPr>
            </w:pPr>
            <w:r>
              <w:rPr>
                <w:noProof/>
              </w:rPr>
              <w:t>Az elektromos közlekedést előmozdító innovatív projektek lezárása</w:t>
            </w:r>
          </w:p>
        </w:tc>
        <w:tc>
          <w:tcPr>
            <w:tcW w:w="1134" w:type="dxa"/>
            <w:shd w:val="clear" w:color="auto" w:fill="C6EFCE"/>
            <w:noWrap/>
          </w:tcPr>
          <w:p w14:paraId="6C29E605" w14:textId="77777777" w:rsidR="003E1D81" w:rsidRDefault="00EB481C">
            <w:pPr>
              <w:pStyle w:val="P68B1DB1-Normal13"/>
              <w:spacing w:after="0" w:line="240" w:lineRule="auto"/>
              <w:jc w:val="center"/>
              <w:rPr>
                <w:rFonts w:cs="Times New Roman"/>
                <w:noProof/>
              </w:rPr>
            </w:pPr>
            <w:r>
              <w:rPr>
                <w:noProof/>
              </w:rPr>
              <w:t> </w:t>
            </w:r>
          </w:p>
        </w:tc>
        <w:tc>
          <w:tcPr>
            <w:tcW w:w="851" w:type="dxa"/>
            <w:shd w:val="clear" w:color="auto" w:fill="C6EFCE"/>
            <w:noWrap/>
          </w:tcPr>
          <w:p w14:paraId="1E6A3C1D" w14:textId="77777777" w:rsidR="003E1D81" w:rsidRDefault="00EB481C">
            <w:pPr>
              <w:pStyle w:val="P68B1DB1-Normal13"/>
              <w:spacing w:after="0" w:line="240" w:lineRule="auto"/>
              <w:jc w:val="right"/>
              <w:rPr>
                <w:rFonts w:eastAsia="MS Mincho" w:cs="Times New Roman"/>
                <w:noProof/>
              </w:rPr>
            </w:pPr>
            <w:r>
              <w:rPr>
                <w:noProof/>
              </w:rPr>
              <w:t xml:space="preserve">Szám </w:t>
            </w:r>
          </w:p>
        </w:tc>
        <w:tc>
          <w:tcPr>
            <w:tcW w:w="675" w:type="dxa"/>
            <w:shd w:val="clear" w:color="auto" w:fill="C6EFCE"/>
            <w:noWrap/>
          </w:tcPr>
          <w:p w14:paraId="6C90E665" w14:textId="77777777" w:rsidR="003E1D81" w:rsidRDefault="00EB481C">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0DE3A3EF" w14:textId="77777777" w:rsidR="003E1D81" w:rsidRDefault="00EB481C">
            <w:pPr>
              <w:pStyle w:val="P68B1DB1-Normal13"/>
              <w:spacing w:after="0" w:line="240" w:lineRule="auto"/>
              <w:jc w:val="right"/>
              <w:rPr>
                <w:rFonts w:eastAsia="MS Mincho" w:cs="Times New Roman"/>
                <w:noProof/>
              </w:rPr>
            </w:pPr>
            <w:r>
              <w:rPr>
                <w:noProof/>
              </w:rPr>
              <w:t>85</w:t>
            </w:r>
          </w:p>
        </w:tc>
        <w:tc>
          <w:tcPr>
            <w:tcW w:w="425" w:type="dxa"/>
            <w:shd w:val="clear" w:color="auto" w:fill="C6EFCE"/>
            <w:noWrap/>
          </w:tcPr>
          <w:p w14:paraId="7114C962"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457EB255" w14:textId="77777777" w:rsidR="003E1D81" w:rsidRDefault="00EB481C">
            <w:pPr>
              <w:pStyle w:val="P68B1DB1-Normal13"/>
              <w:spacing w:after="0" w:line="240" w:lineRule="auto"/>
              <w:jc w:val="center"/>
              <w:rPr>
                <w:rFonts w:cs="Times New Roman"/>
                <w:noProof/>
              </w:rPr>
            </w:pPr>
            <w:r>
              <w:rPr>
                <w:noProof/>
              </w:rPr>
              <w:t>2025</w:t>
            </w:r>
          </w:p>
        </w:tc>
        <w:tc>
          <w:tcPr>
            <w:tcW w:w="5387" w:type="dxa"/>
            <w:shd w:val="clear" w:color="auto" w:fill="C6EFCE"/>
            <w:noWrap/>
          </w:tcPr>
          <w:p w14:paraId="288C38ED" w14:textId="77777777" w:rsidR="003E1D81" w:rsidRDefault="00EB481C">
            <w:pPr>
              <w:pStyle w:val="P68B1DB1-Normal13"/>
              <w:spacing w:after="0" w:line="240" w:lineRule="auto"/>
              <w:rPr>
                <w:rFonts w:cs="Times New Roman"/>
                <w:noProof/>
              </w:rPr>
            </w:pPr>
            <w:r>
              <w:rPr>
                <w:noProof/>
              </w:rPr>
              <w:t xml:space="preserve">Az elektromobilitással kapcsolatos innovációs projektekre vonatkozó támogatási program (MOVES Singulares) keretében végrehajtott legalább 85 projekt lezárása. </w:t>
            </w:r>
          </w:p>
        </w:tc>
      </w:tr>
      <w:tr w:rsidR="003E1D81" w14:paraId="35CBA65C" w14:textId="77777777">
        <w:trPr>
          <w:trHeight w:val="309"/>
        </w:trPr>
        <w:tc>
          <w:tcPr>
            <w:tcW w:w="709" w:type="dxa"/>
            <w:shd w:val="clear" w:color="auto" w:fill="C6EFCE"/>
            <w:noWrap/>
          </w:tcPr>
          <w:p w14:paraId="4C6830B7" w14:textId="77777777" w:rsidR="003E1D81" w:rsidRDefault="00EB481C">
            <w:pPr>
              <w:pStyle w:val="P68B1DB1-Normal13"/>
              <w:spacing w:after="0" w:line="240" w:lineRule="auto"/>
              <w:jc w:val="center"/>
              <w:rPr>
                <w:rFonts w:cs="Times New Roman"/>
                <w:noProof/>
              </w:rPr>
            </w:pPr>
            <w:r>
              <w:rPr>
                <w:noProof/>
              </w:rPr>
              <w:t>14</w:t>
            </w:r>
          </w:p>
        </w:tc>
        <w:tc>
          <w:tcPr>
            <w:tcW w:w="851" w:type="dxa"/>
            <w:shd w:val="clear" w:color="auto" w:fill="C6EFCE"/>
            <w:noWrap/>
          </w:tcPr>
          <w:p w14:paraId="5421AA1B" w14:textId="77777777" w:rsidR="003E1D81" w:rsidRDefault="00EB481C">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2A87AE8B" w14:textId="77777777" w:rsidR="003E1D81" w:rsidRDefault="00EB481C">
            <w:pPr>
              <w:pStyle w:val="P68B1DB1-Normal13"/>
              <w:spacing w:after="0" w:line="240" w:lineRule="auto"/>
              <w:jc w:val="center"/>
              <w:rPr>
                <w:rFonts w:cs="Times New Roman"/>
                <w:noProof/>
              </w:rPr>
            </w:pPr>
            <w:r>
              <w:rPr>
                <w:noProof/>
              </w:rPr>
              <w:t>T</w:t>
            </w:r>
          </w:p>
        </w:tc>
        <w:tc>
          <w:tcPr>
            <w:tcW w:w="2977" w:type="dxa"/>
            <w:shd w:val="clear" w:color="auto" w:fill="C6EFCE"/>
            <w:noWrap/>
          </w:tcPr>
          <w:p w14:paraId="323FD114" w14:textId="77777777" w:rsidR="003E1D81" w:rsidRDefault="00EB481C">
            <w:pPr>
              <w:pStyle w:val="P68B1DB1-Normal13"/>
              <w:spacing w:after="0" w:line="240" w:lineRule="auto"/>
              <w:rPr>
                <w:rFonts w:cs="Times New Roman"/>
                <w:noProof/>
              </w:rPr>
            </w:pPr>
            <w:r>
              <w:rPr>
                <w:noProof/>
              </w:rPr>
              <w:t xml:space="preserve">Rövid távolságú vasútvonalak (Cercanías) </w:t>
            </w:r>
          </w:p>
        </w:tc>
        <w:tc>
          <w:tcPr>
            <w:tcW w:w="1134" w:type="dxa"/>
            <w:shd w:val="clear" w:color="auto" w:fill="C6EFCE"/>
            <w:noWrap/>
          </w:tcPr>
          <w:p w14:paraId="5544CA26" w14:textId="77777777" w:rsidR="003E1D81" w:rsidRDefault="00EB481C">
            <w:pPr>
              <w:pStyle w:val="P68B1DB1-Normal13"/>
              <w:spacing w:after="0" w:line="240" w:lineRule="auto"/>
              <w:jc w:val="center"/>
              <w:rPr>
                <w:rFonts w:cs="Times New Roman"/>
                <w:noProof/>
              </w:rPr>
            </w:pPr>
            <w:r>
              <w:rPr>
                <w:noProof/>
              </w:rPr>
              <w:t> </w:t>
            </w:r>
          </w:p>
        </w:tc>
        <w:tc>
          <w:tcPr>
            <w:tcW w:w="851" w:type="dxa"/>
            <w:shd w:val="clear" w:color="auto" w:fill="C6EFCE"/>
            <w:noWrap/>
          </w:tcPr>
          <w:p w14:paraId="4B0C047F" w14:textId="77777777" w:rsidR="003E1D81" w:rsidRDefault="00EB481C">
            <w:pPr>
              <w:pStyle w:val="P68B1DB1-Normal13"/>
              <w:spacing w:after="0" w:line="240" w:lineRule="auto"/>
              <w:jc w:val="right"/>
              <w:rPr>
                <w:rFonts w:eastAsia="MS Mincho" w:cs="Times New Roman"/>
                <w:noProof/>
              </w:rPr>
            </w:pPr>
            <w:r>
              <w:rPr>
                <w:noProof/>
              </w:rPr>
              <w:t>Szám (Km)</w:t>
            </w:r>
          </w:p>
        </w:tc>
        <w:tc>
          <w:tcPr>
            <w:tcW w:w="675" w:type="dxa"/>
            <w:shd w:val="clear" w:color="auto" w:fill="C6EFCE"/>
            <w:noWrap/>
          </w:tcPr>
          <w:p w14:paraId="27155D2C" w14:textId="77777777" w:rsidR="003E1D81" w:rsidRDefault="00EB481C">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79A41D13" w14:textId="77777777" w:rsidR="003E1D81" w:rsidRDefault="00EB481C">
            <w:pPr>
              <w:pStyle w:val="P68B1DB1-Normal13"/>
              <w:spacing w:after="0" w:line="240" w:lineRule="auto"/>
              <w:jc w:val="right"/>
              <w:rPr>
                <w:rFonts w:eastAsia="MS Mincho" w:cs="Times New Roman"/>
                <w:noProof/>
              </w:rPr>
            </w:pPr>
            <w:r>
              <w:rPr>
                <w:noProof/>
              </w:rPr>
              <w:t>200</w:t>
            </w:r>
          </w:p>
        </w:tc>
        <w:tc>
          <w:tcPr>
            <w:tcW w:w="425" w:type="dxa"/>
            <w:shd w:val="clear" w:color="auto" w:fill="C6EFCE"/>
            <w:noWrap/>
          </w:tcPr>
          <w:p w14:paraId="27FC55AB"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166F4D07" w14:textId="77777777" w:rsidR="003E1D81" w:rsidRDefault="00EB481C">
            <w:pPr>
              <w:pStyle w:val="P68B1DB1-Normal13"/>
              <w:spacing w:after="0" w:line="240" w:lineRule="auto"/>
              <w:jc w:val="center"/>
              <w:rPr>
                <w:rFonts w:cs="Times New Roman"/>
                <w:noProof/>
              </w:rPr>
            </w:pPr>
            <w:r>
              <w:rPr>
                <w:noProof/>
              </w:rPr>
              <w:t>2023</w:t>
            </w:r>
          </w:p>
        </w:tc>
        <w:tc>
          <w:tcPr>
            <w:tcW w:w="5387" w:type="dxa"/>
            <w:shd w:val="clear" w:color="auto" w:fill="C6EFCE"/>
            <w:noWrap/>
          </w:tcPr>
          <w:p w14:paraId="46EAB918" w14:textId="77777777" w:rsidR="003E1D81" w:rsidRDefault="00EB481C">
            <w:pPr>
              <w:pStyle w:val="P68B1DB1-Normal13"/>
              <w:spacing w:after="0" w:line="240" w:lineRule="auto"/>
              <w:rPr>
                <w:rFonts w:cs="Times New Roman"/>
                <w:noProof/>
              </w:rPr>
            </w:pPr>
            <w:r>
              <w:rPr>
                <w:noProof/>
              </w:rPr>
              <w:t xml:space="preserve">Legalább </w:t>
            </w:r>
            <w:r>
              <w:rPr>
                <w:noProof/>
              </w:rPr>
              <w:t>200 km rövid távolságú vasútvonal bármely alrendszerben: peron-, vágány-, villamosítási, biztonsági és kommunikációs/jelző berendezések.</w:t>
            </w:r>
            <w:r>
              <w:rPr>
                <w:noProof/>
              </w:rPr>
              <w:br/>
              <w:t>A korszerűsítendő rövid távolságú vasútvonalak hosszát a városi vagy nagyvárosi területeken található olyan hosszúság a</w:t>
            </w:r>
            <w:r>
              <w:rPr>
                <w:noProof/>
              </w:rPr>
              <w:t>lapján kell értelmezni, ahol jelentős beavatkozást hajtottak végre, amely nem az elvégzendő vagy javításra szánt összeg. A beavatkozások magukban foglalhatják a villamosítást, a pálya felújítását, a jelző- és biztonsági rendszerek javítását, valamint az ál</w:t>
            </w:r>
            <w:r>
              <w:rPr>
                <w:noProof/>
              </w:rPr>
              <w:t xml:space="preserve">lomások javítását, amelyek túlmutatnak a karbantartáson és javításon, és amelyeket az ország egész területén kell végrehajtani a Cercanías Ferroviarias által üzemeltetett valamennyi lakossági központban.  </w:t>
            </w:r>
          </w:p>
        </w:tc>
      </w:tr>
      <w:tr w:rsidR="003E1D81" w14:paraId="79F8DAAD" w14:textId="77777777">
        <w:trPr>
          <w:trHeight w:val="309"/>
        </w:trPr>
        <w:tc>
          <w:tcPr>
            <w:tcW w:w="709" w:type="dxa"/>
            <w:shd w:val="clear" w:color="auto" w:fill="C6EFCE"/>
            <w:noWrap/>
          </w:tcPr>
          <w:p w14:paraId="60B9ECB0" w14:textId="77777777" w:rsidR="003E1D81" w:rsidRDefault="00EB481C">
            <w:pPr>
              <w:pStyle w:val="P68B1DB1-Normal13"/>
              <w:spacing w:after="0" w:line="240" w:lineRule="auto"/>
              <w:jc w:val="center"/>
              <w:rPr>
                <w:rFonts w:cs="Times New Roman"/>
                <w:noProof/>
              </w:rPr>
            </w:pPr>
            <w:r>
              <w:rPr>
                <w:noProof/>
              </w:rPr>
              <w:t>15</w:t>
            </w:r>
          </w:p>
        </w:tc>
        <w:tc>
          <w:tcPr>
            <w:tcW w:w="851" w:type="dxa"/>
            <w:shd w:val="clear" w:color="auto" w:fill="C6EFCE"/>
            <w:noWrap/>
          </w:tcPr>
          <w:p w14:paraId="57BA10E6" w14:textId="77777777" w:rsidR="003E1D81" w:rsidRDefault="00EB481C">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18273627" w14:textId="77777777" w:rsidR="003E1D81" w:rsidRDefault="00EB481C">
            <w:pPr>
              <w:pStyle w:val="P68B1DB1-Normal13"/>
              <w:spacing w:after="0" w:line="240" w:lineRule="auto"/>
              <w:jc w:val="center"/>
              <w:rPr>
                <w:rFonts w:cs="Times New Roman"/>
                <w:noProof/>
              </w:rPr>
            </w:pPr>
            <w:r>
              <w:rPr>
                <w:noProof/>
              </w:rPr>
              <w:t>T</w:t>
            </w:r>
          </w:p>
        </w:tc>
        <w:tc>
          <w:tcPr>
            <w:tcW w:w="2977" w:type="dxa"/>
            <w:shd w:val="clear" w:color="auto" w:fill="C6EFCE"/>
            <w:noWrap/>
          </w:tcPr>
          <w:p w14:paraId="33552D8B" w14:textId="77777777" w:rsidR="003E1D81" w:rsidRDefault="00EB481C">
            <w:pPr>
              <w:pStyle w:val="P68B1DB1-Normal13"/>
              <w:spacing w:after="0" w:line="240" w:lineRule="auto"/>
              <w:rPr>
                <w:rFonts w:cs="Times New Roman"/>
                <w:noProof/>
              </w:rPr>
            </w:pPr>
            <w:r>
              <w:rPr>
                <w:noProof/>
              </w:rPr>
              <w:t xml:space="preserve">A digitalizáció révén javultak az állomások </w:t>
            </w:r>
          </w:p>
        </w:tc>
        <w:tc>
          <w:tcPr>
            <w:tcW w:w="1134" w:type="dxa"/>
            <w:shd w:val="clear" w:color="auto" w:fill="C6EFCE"/>
            <w:noWrap/>
          </w:tcPr>
          <w:p w14:paraId="65C0E9E3" w14:textId="77777777" w:rsidR="003E1D81" w:rsidRDefault="00EB481C">
            <w:pPr>
              <w:pStyle w:val="P68B1DB1-Normal13"/>
              <w:spacing w:after="0" w:line="240" w:lineRule="auto"/>
              <w:jc w:val="center"/>
              <w:rPr>
                <w:rFonts w:cs="Times New Roman"/>
                <w:noProof/>
              </w:rPr>
            </w:pPr>
            <w:r>
              <w:rPr>
                <w:noProof/>
              </w:rPr>
              <w:t> </w:t>
            </w:r>
          </w:p>
        </w:tc>
        <w:tc>
          <w:tcPr>
            <w:tcW w:w="851" w:type="dxa"/>
            <w:shd w:val="clear" w:color="auto" w:fill="C6EFCE"/>
            <w:noWrap/>
          </w:tcPr>
          <w:p w14:paraId="34D992BD" w14:textId="77777777" w:rsidR="003E1D81" w:rsidRDefault="00EB481C">
            <w:pPr>
              <w:pStyle w:val="P68B1DB1-Normal13"/>
              <w:spacing w:after="0" w:line="240" w:lineRule="auto"/>
              <w:jc w:val="right"/>
              <w:rPr>
                <w:rFonts w:eastAsia="MS Mincho" w:cs="Times New Roman"/>
                <w:noProof/>
              </w:rPr>
            </w:pPr>
            <w:r>
              <w:rPr>
                <w:noProof/>
              </w:rPr>
              <w:t>Szám</w:t>
            </w:r>
          </w:p>
        </w:tc>
        <w:tc>
          <w:tcPr>
            <w:tcW w:w="675" w:type="dxa"/>
            <w:shd w:val="clear" w:color="auto" w:fill="C6EFCE"/>
            <w:noWrap/>
          </w:tcPr>
          <w:p w14:paraId="19DF3E5F" w14:textId="77777777" w:rsidR="003E1D81" w:rsidRDefault="00EB481C">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24687098" w14:textId="77777777" w:rsidR="003E1D81" w:rsidRDefault="00EB481C">
            <w:pPr>
              <w:pStyle w:val="P68B1DB1-Normal13"/>
              <w:spacing w:after="0" w:line="240" w:lineRule="auto"/>
              <w:jc w:val="right"/>
              <w:rPr>
                <w:rFonts w:eastAsia="MS Mincho" w:cs="Times New Roman"/>
                <w:noProof/>
              </w:rPr>
            </w:pPr>
            <w:r>
              <w:rPr>
                <w:noProof/>
              </w:rPr>
              <w:t>420</w:t>
            </w:r>
          </w:p>
        </w:tc>
        <w:tc>
          <w:tcPr>
            <w:tcW w:w="425" w:type="dxa"/>
            <w:shd w:val="clear" w:color="auto" w:fill="C6EFCE"/>
            <w:noWrap/>
          </w:tcPr>
          <w:p w14:paraId="55B445E4"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7FEA3163" w14:textId="77777777" w:rsidR="003E1D81" w:rsidRDefault="00EB481C">
            <w:pPr>
              <w:pStyle w:val="P68B1DB1-Normal13"/>
              <w:spacing w:after="0" w:line="240" w:lineRule="auto"/>
              <w:jc w:val="center"/>
              <w:rPr>
                <w:rFonts w:cs="Times New Roman"/>
                <w:noProof/>
              </w:rPr>
            </w:pPr>
            <w:r>
              <w:rPr>
                <w:noProof/>
              </w:rPr>
              <w:t>2023</w:t>
            </w:r>
          </w:p>
        </w:tc>
        <w:tc>
          <w:tcPr>
            <w:tcW w:w="5387" w:type="dxa"/>
            <w:shd w:val="clear" w:color="auto" w:fill="C6EFCE"/>
            <w:noWrap/>
          </w:tcPr>
          <w:p w14:paraId="5675A2F1" w14:textId="77777777" w:rsidR="003E1D81" w:rsidRDefault="00EB481C">
            <w:pPr>
              <w:pStyle w:val="P68B1DB1-Normal13"/>
              <w:spacing w:after="0" w:line="240" w:lineRule="auto"/>
              <w:rPr>
                <w:rFonts w:cs="Times New Roman"/>
                <w:noProof/>
              </w:rPr>
            </w:pPr>
            <w:r>
              <w:rPr>
                <w:noProof/>
              </w:rPr>
              <w:t xml:space="preserve">Legalább 420 állomás fejlesztése a RENFE által SPO-üzemeltetőként kidolgozott projektek mindegyikével vagy egy részével, a következő felsorolással: </w:t>
            </w:r>
            <w:r>
              <w:rPr>
                <w:noProof/>
              </w:rPr>
              <w:br/>
              <w:t>• Az állomások biztonsági rendszere</w:t>
            </w:r>
            <w:r>
              <w:rPr>
                <w:noProof/>
              </w:rPr>
              <w:t xml:space="preserve">inek digitalizálása (például intelligens videoelemzés, kiberbiztonság és csalásellenőrzés) </w:t>
            </w:r>
            <w:r>
              <w:rPr>
                <w:noProof/>
              </w:rPr>
              <w:br/>
              <w:t xml:space="preserve">• Utasinformációs rendszerek </w:t>
            </w:r>
            <w:r>
              <w:rPr>
                <w:noProof/>
              </w:rPr>
              <w:br/>
              <w:t xml:space="preserve">• Az állomásokhoz való hozzáférés ellenőrzésének javítása </w:t>
            </w:r>
            <w:r>
              <w:rPr>
                <w:noProof/>
              </w:rPr>
              <w:br/>
              <w:t xml:space="preserve">• Jegyértékesítő automatákkal kapcsolatos projektek </w:t>
            </w:r>
            <w:r>
              <w:rPr>
                <w:noProof/>
              </w:rPr>
              <w:br/>
              <w:t>• A létesítmények átal</w:t>
            </w:r>
            <w:r>
              <w:rPr>
                <w:noProof/>
              </w:rPr>
              <w:t xml:space="preserve">akítása </w:t>
            </w:r>
          </w:p>
        </w:tc>
      </w:tr>
      <w:tr w:rsidR="003E1D81" w14:paraId="6DCC179C" w14:textId="77777777">
        <w:trPr>
          <w:trHeight w:val="309"/>
        </w:trPr>
        <w:tc>
          <w:tcPr>
            <w:tcW w:w="709" w:type="dxa"/>
            <w:shd w:val="clear" w:color="auto" w:fill="C6EFCE"/>
            <w:noWrap/>
          </w:tcPr>
          <w:p w14:paraId="5AEA2AF6" w14:textId="77777777" w:rsidR="003E1D81" w:rsidRDefault="00EB481C">
            <w:pPr>
              <w:pStyle w:val="P68B1DB1-Normal13"/>
              <w:spacing w:after="0" w:line="240" w:lineRule="auto"/>
              <w:jc w:val="center"/>
              <w:rPr>
                <w:rFonts w:cs="Times New Roman"/>
                <w:noProof/>
              </w:rPr>
            </w:pPr>
            <w:r>
              <w:rPr>
                <w:noProof/>
              </w:rPr>
              <w:t>16</w:t>
            </w:r>
          </w:p>
        </w:tc>
        <w:tc>
          <w:tcPr>
            <w:tcW w:w="851" w:type="dxa"/>
            <w:shd w:val="clear" w:color="auto" w:fill="C6EFCE"/>
            <w:noWrap/>
          </w:tcPr>
          <w:p w14:paraId="647F12FB" w14:textId="77777777" w:rsidR="003E1D81" w:rsidRDefault="00EB481C">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7A080B6F" w14:textId="77777777" w:rsidR="003E1D81" w:rsidRDefault="00EB481C">
            <w:pPr>
              <w:pStyle w:val="P68B1DB1-Normal13"/>
              <w:spacing w:after="0" w:line="240" w:lineRule="auto"/>
              <w:jc w:val="center"/>
              <w:rPr>
                <w:rFonts w:cs="Times New Roman"/>
                <w:noProof/>
              </w:rPr>
            </w:pPr>
            <w:r>
              <w:rPr>
                <w:noProof/>
              </w:rPr>
              <w:t>T</w:t>
            </w:r>
          </w:p>
        </w:tc>
        <w:tc>
          <w:tcPr>
            <w:tcW w:w="2977" w:type="dxa"/>
            <w:shd w:val="clear" w:color="auto" w:fill="C6EFCE"/>
            <w:noWrap/>
          </w:tcPr>
          <w:p w14:paraId="21ABA2E1" w14:textId="77777777" w:rsidR="003E1D81" w:rsidRDefault="00EB481C">
            <w:pPr>
              <w:pStyle w:val="P68B1DB1-Normal13"/>
              <w:spacing w:after="0" w:line="240" w:lineRule="auto"/>
              <w:rPr>
                <w:rFonts w:cs="Times New Roman"/>
                <w:noProof/>
              </w:rPr>
            </w:pPr>
            <w:r>
              <w:rPr>
                <w:noProof/>
              </w:rPr>
              <w:t xml:space="preserve">Továbbfejlesztett „Cercanías” állomások </w:t>
            </w:r>
          </w:p>
        </w:tc>
        <w:tc>
          <w:tcPr>
            <w:tcW w:w="1134" w:type="dxa"/>
            <w:shd w:val="clear" w:color="auto" w:fill="C6EFCE"/>
            <w:noWrap/>
          </w:tcPr>
          <w:p w14:paraId="50944776" w14:textId="77777777" w:rsidR="003E1D81" w:rsidRDefault="00EB481C">
            <w:pPr>
              <w:pStyle w:val="P68B1DB1-Normal13"/>
              <w:spacing w:after="0" w:line="240" w:lineRule="auto"/>
              <w:jc w:val="center"/>
              <w:rPr>
                <w:rFonts w:cs="Times New Roman"/>
                <w:noProof/>
              </w:rPr>
            </w:pPr>
            <w:r>
              <w:rPr>
                <w:noProof/>
              </w:rPr>
              <w:t> </w:t>
            </w:r>
          </w:p>
        </w:tc>
        <w:tc>
          <w:tcPr>
            <w:tcW w:w="851" w:type="dxa"/>
            <w:shd w:val="clear" w:color="auto" w:fill="C6EFCE"/>
            <w:noWrap/>
          </w:tcPr>
          <w:p w14:paraId="63865CC5" w14:textId="77777777" w:rsidR="003E1D81" w:rsidRDefault="00EB481C">
            <w:pPr>
              <w:pStyle w:val="P68B1DB1-Normal13"/>
              <w:spacing w:after="0" w:line="240" w:lineRule="auto"/>
              <w:jc w:val="right"/>
              <w:rPr>
                <w:rFonts w:eastAsia="MS Mincho" w:cs="Times New Roman"/>
                <w:noProof/>
              </w:rPr>
            </w:pPr>
            <w:r>
              <w:rPr>
                <w:noProof/>
              </w:rPr>
              <w:t>Szám</w:t>
            </w:r>
          </w:p>
        </w:tc>
        <w:tc>
          <w:tcPr>
            <w:tcW w:w="675" w:type="dxa"/>
            <w:shd w:val="clear" w:color="auto" w:fill="C6EFCE"/>
            <w:noWrap/>
          </w:tcPr>
          <w:p w14:paraId="34A1E8C7" w14:textId="77777777" w:rsidR="003E1D81" w:rsidRDefault="00EB481C">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426BF3C2" w14:textId="77777777" w:rsidR="003E1D81" w:rsidRDefault="00EB481C">
            <w:pPr>
              <w:pStyle w:val="P68B1DB1-Normal13"/>
              <w:spacing w:after="0" w:line="240" w:lineRule="auto"/>
              <w:jc w:val="right"/>
              <w:rPr>
                <w:rFonts w:eastAsia="MS Mincho" w:cs="Times New Roman"/>
                <w:noProof/>
              </w:rPr>
            </w:pPr>
            <w:r>
              <w:rPr>
                <w:noProof/>
              </w:rPr>
              <w:t>20</w:t>
            </w:r>
          </w:p>
        </w:tc>
        <w:tc>
          <w:tcPr>
            <w:tcW w:w="425" w:type="dxa"/>
            <w:shd w:val="clear" w:color="auto" w:fill="C6EFCE"/>
            <w:noWrap/>
          </w:tcPr>
          <w:p w14:paraId="42732EAC"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57D2441D" w14:textId="77777777" w:rsidR="003E1D81" w:rsidRDefault="00EB481C">
            <w:pPr>
              <w:pStyle w:val="P68B1DB1-Normal13"/>
              <w:spacing w:after="0" w:line="240" w:lineRule="auto"/>
              <w:jc w:val="center"/>
              <w:rPr>
                <w:rFonts w:cs="Times New Roman"/>
                <w:noProof/>
              </w:rPr>
            </w:pPr>
            <w:r>
              <w:rPr>
                <w:noProof/>
              </w:rPr>
              <w:t>2023</w:t>
            </w:r>
          </w:p>
        </w:tc>
        <w:tc>
          <w:tcPr>
            <w:tcW w:w="5387" w:type="dxa"/>
            <w:shd w:val="clear" w:color="auto" w:fill="C6EFCE"/>
            <w:noWrap/>
          </w:tcPr>
          <w:p w14:paraId="388BFF40" w14:textId="77777777" w:rsidR="003E1D81" w:rsidRDefault="00EB481C">
            <w:pPr>
              <w:pStyle w:val="P68B1DB1-Normal13"/>
              <w:spacing w:after="0" w:line="240" w:lineRule="auto"/>
              <w:rPr>
                <w:rFonts w:cs="Times New Roman"/>
                <w:noProof/>
              </w:rPr>
            </w:pPr>
            <w:r>
              <w:rPr>
                <w:noProof/>
              </w:rPr>
              <w:t xml:space="preserve">Legalább 20, az ADIF által javított „Cercanías” állomás, főként a hozzáférhetőségi munkálatok és az új vagy felújított vasúti pályák tekintetében </w:t>
            </w:r>
          </w:p>
        </w:tc>
      </w:tr>
      <w:tr w:rsidR="003E1D81" w14:paraId="44008BF5" w14:textId="77777777">
        <w:trPr>
          <w:trHeight w:val="309"/>
        </w:trPr>
        <w:tc>
          <w:tcPr>
            <w:tcW w:w="709" w:type="dxa"/>
            <w:shd w:val="clear" w:color="auto" w:fill="C6EFCE"/>
            <w:noWrap/>
          </w:tcPr>
          <w:p w14:paraId="49B2A1F3" w14:textId="77777777" w:rsidR="003E1D81" w:rsidRDefault="00EB481C">
            <w:pPr>
              <w:pStyle w:val="P68B1DB1-Normal13"/>
              <w:spacing w:after="0" w:line="240" w:lineRule="auto"/>
              <w:jc w:val="center"/>
              <w:rPr>
                <w:rFonts w:cs="Times New Roman"/>
                <w:noProof/>
              </w:rPr>
            </w:pPr>
            <w:r>
              <w:rPr>
                <w:noProof/>
              </w:rPr>
              <w:t>17</w:t>
            </w:r>
          </w:p>
        </w:tc>
        <w:tc>
          <w:tcPr>
            <w:tcW w:w="851" w:type="dxa"/>
            <w:shd w:val="clear" w:color="auto" w:fill="C6EFCE"/>
            <w:noWrap/>
          </w:tcPr>
          <w:p w14:paraId="64FBBEDE" w14:textId="77777777" w:rsidR="003E1D81" w:rsidRDefault="00EB481C">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28D63174" w14:textId="77777777" w:rsidR="003E1D81" w:rsidRDefault="00EB481C">
            <w:pPr>
              <w:pStyle w:val="P68B1DB1-Normal13"/>
              <w:spacing w:after="0" w:line="240" w:lineRule="auto"/>
              <w:jc w:val="center"/>
              <w:rPr>
                <w:rFonts w:cs="Times New Roman"/>
                <w:noProof/>
              </w:rPr>
            </w:pPr>
            <w:r>
              <w:rPr>
                <w:noProof/>
              </w:rPr>
              <w:t>T</w:t>
            </w:r>
          </w:p>
        </w:tc>
        <w:tc>
          <w:tcPr>
            <w:tcW w:w="2977" w:type="dxa"/>
            <w:shd w:val="clear" w:color="auto" w:fill="C6EFCE"/>
            <w:noWrap/>
          </w:tcPr>
          <w:p w14:paraId="3C33EAB6" w14:textId="77777777" w:rsidR="003E1D81" w:rsidRDefault="00EB481C">
            <w:pPr>
              <w:pStyle w:val="P68B1DB1-Normal13"/>
              <w:spacing w:after="0" w:line="240" w:lineRule="auto"/>
              <w:rPr>
                <w:rFonts w:cs="Times New Roman"/>
                <w:noProof/>
              </w:rPr>
            </w:pPr>
            <w:r>
              <w:rPr>
                <w:noProof/>
              </w:rPr>
              <w:t xml:space="preserve">A rövid távolságú vasútvonalakba történő beruházásokra megítélt halmozott költségvetés </w:t>
            </w:r>
          </w:p>
        </w:tc>
        <w:tc>
          <w:tcPr>
            <w:tcW w:w="1134" w:type="dxa"/>
            <w:shd w:val="clear" w:color="auto" w:fill="C6EFCE"/>
            <w:noWrap/>
          </w:tcPr>
          <w:p w14:paraId="2EC00B1B" w14:textId="77777777" w:rsidR="003E1D81" w:rsidRDefault="00EB481C">
            <w:pPr>
              <w:pStyle w:val="P68B1DB1-Normal13"/>
              <w:spacing w:after="0" w:line="240" w:lineRule="auto"/>
              <w:jc w:val="center"/>
              <w:rPr>
                <w:rFonts w:cs="Times New Roman"/>
                <w:noProof/>
              </w:rPr>
            </w:pPr>
            <w:r>
              <w:rPr>
                <w:noProof/>
              </w:rPr>
              <w:t> </w:t>
            </w:r>
          </w:p>
        </w:tc>
        <w:tc>
          <w:tcPr>
            <w:tcW w:w="851" w:type="dxa"/>
            <w:shd w:val="clear" w:color="auto" w:fill="C6EFCE"/>
            <w:noWrap/>
          </w:tcPr>
          <w:p w14:paraId="1876CD1F" w14:textId="77777777" w:rsidR="003E1D81" w:rsidRDefault="00EB481C">
            <w:pPr>
              <w:pStyle w:val="P68B1DB1-Normal13"/>
              <w:spacing w:after="0" w:line="240" w:lineRule="auto"/>
              <w:jc w:val="right"/>
              <w:rPr>
                <w:rFonts w:eastAsia="MS Mincho" w:cs="Times New Roman"/>
                <w:noProof/>
              </w:rPr>
            </w:pPr>
            <w:r>
              <w:rPr>
                <w:noProof/>
              </w:rPr>
              <w:t>Millió EUR</w:t>
            </w:r>
          </w:p>
        </w:tc>
        <w:tc>
          <w:tcPr>
            <w:tcW w:w="675" w:type="dxa"/>
            <w:shd w:val="clear" w:color="auto" w:fill="C6EFCE"/>
            <w:noWrap/>
          </w:tcPr>
          <w:p w14:paraId="20A7EE96" w14:textId="77777777" w:rsidR="003E1D81" w:rsidRDefault="00EB481C">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6578BF8A" w14:textId="77777777" w:rsidR="003E1D81" w:rsidRDefault="00EB481C">
            <w:pPr>
              <w:pStyle w:val="P68B1DB1-Normal13"/>
              <w:spacing w:after="0" w:line="240" w:lineRule="auto"/>
              <w:jc w:val="right"/>
              <w:rPr>
                <w:rFonts w:eastAsia="MS Mincho" w:cs="Times New Roman"/>
                <w:noProof/>
              </w:rPr>
            </w:pPr>
            <w:r>
              <w:rPr>
                <w:noProof/>
              </w:rPr>
              <w:t>1 619</w:t>
            </w:r>
          </w:p>
        </w:tc>
        <w:tc>
          <w:tcPr>
            <w:tcW w:w="425" w:type="dxa"/>
            <w:shd w:val="clear" w:color="auto" w:fill="C6EFCE"/>
            <w:noWrap/>
          </w:tcPr>
          <w:p w14:paraId="6459032C"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45DB9A5B" w14:textId="77777777" w:rsidR="003E1D81" w:rsidRDefault="00EB481C">
            <w:pPr>
              <w:pStyle w:val="P68B1DB1-Normal13"/>
              <w:spacing w:after="0" w:line="240" w:lineRule="auto"/>
              <w:jc w:val="center"/>
              <w:rPr>
                <w:rFonts w:cs="Times New Roman"/>
                <w:noProof/>
              </w:rPr>
            </w:pPr>
            <w:r>
              <w:rPr>
                <w:noProof/>
              </w:rPr>
              <w:t>2024</w:t>
            </w:r>
          </w:p>
        </w:tc>
        <w:tc>
          <w:tcPr>
            <w:tcW w:w="5387" w:type="dxa"/>
            <w:shd w:val="clear" w:color="auto" w:fill="C6EFCE"/>
            <w:noWrap/>
          </w:tcPr>
          <w:p w14:paraId="14BD7A11" w14:textId="77777777" w:rsidR="003E1D81" w:rsidRDefault="00EB481C">
            <w:pPr>
              <w:pStyle w:val="P68B1DB1-Normal13"/>
              <w:spacing w:after="0" w:line="240" w:lineRule="auto"/>
              <w:rPr>
                <w:rFonts w:cs="Times New Roman"/>
                <w:noProof/>
              </w:rPr>
            </w:pPr>
            <w:r>
              <w:rPr>
                <w:noProof/>
              </w:rPr>
              <w:t xml:space="preserve">A rövid távolságú vasútvonalakba történő beruházásokra odaítélt összesített költségvetés közzététele a Hivatalos Lapban: legalább: 1 619 000 000 EUR. </w:t>
            </w:r>
          </w:p>
        </w:tc>
      </w:tr>
      <w:tr w:rsidR="003E1D81" w14:paraId="3112A574" w14:textId="77777777">
        <w:trPr>
          <w:trHeight w:val="309"/>
        </w:trPr>
        <w:tc>
          <w:tcPr>
            <w:tcW w:w="709" w:type="dxa"/>
            <w:shd w:val="clear" w:color="auto" w:fill="C6EFCE"/>
            <w:noWrap/>
          </w:tcPr>
          <w:p w14:paraId="64060F2B" w14:textId="77777777" w:rsidR="003E1D81" w:rsidRDefault="00EB481C">
            <w:pPr>
              <w:pStyle w:val="P68B1DB1-Normal13"/>
              <w:spacing w:after="0" w:line="240" w:lineRule="auto"/>
              <w:jc w:val="center"/>
              <w:rPr>
                <w:rFonts w:cs="Times New Roman"/>
                <w:noProof/>
              </w:rPr>
            </w:pPr>
            <w:r>
              <w:rPr>
                <w:noProof/>
              </w:rPr>
              <w:t>18</w:t>
            </w:r>
          </w:p>
        </w:tc>
        <w:tc>
          <w:tcPr>
            <w:tcW w:w="851" w:type="dxa"/>
            <w:shd w:val="clear" w:color="auto" w:fill="C6EFCE"/>
            <w:noWrap/>
          </w:tcPr>
          <w:p w14:paraId="5780C44E" w14:textId="77777777" w:rsidR="003E1D81" w:rsidRDefault="00EB481C">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01F7BC75" w14:textId="77777777" w:rsidR="003E1D81" w:rsidRDefault="00EB481C">
            <w:pPr>
              <w:pStyle w:val="P68B1DB1-Normal13"/>
              <w:spacing w:after="0" w:line="240" w:lineRule="auto"/>
              <w:jc w:val="center"/>
              <w:rPr>
                <w:rFonts w:cs="Times New Roman"/>
                <w:noProof/>
              </w:rPr>
            </w:pPr>
            <w:r>
              <w:rPr>
                <w:noProof/>
              </w:rPr>
              <w:t>T</w:t>
            </w:r>
          </w:p>
        </w:tc>
        <w:tc>
          <w:tcPr>
            <w:tcW w:w="2977" w:type="dxa"/>
            <w:shd w:val="clear" w:color="auto" w:fill="C6EFCE"/>
            <w:noWrap/>
          </w:tcPr>
          <w:p w14:paraId="180578FF" w14:textId="77777777" w:rsidR="003E1D81" w:rsidRDefault="00EB481C">
            <w:pPr>
              <w:pStyle w:val="P68B1DB1-Normal13"/>
              <w:spacing w:after="0" w:line="240" w:lineRule="auto"/>
              <w:rPr>
                <w:rFonts w:cs="Times New Roman"/>
                <w:noProof/>
              </w:rPr>
            </w:pPr>
            <w:r>
              <w:rPr>
                <w:noProof/>
              </w:rPr>
              <w:t xml:space="preserve">Korszerűsített rövid távolságú vasútvonalak (Cercanías) </w:t>
            </w:r>
          </w:p>
        </w:tc>
        <w:tc>
          <w:tcPr>
            <w:tcW w:w="1134" w:type="dxa"/>
            <w:shd w:val="clear" w:color="auto" w:fill="C6EFCE"/>
            <w:noWrap/>
          </w:tcPr>
          <w:p w14:paraId="24FF93BA" w14:textId="77777777" w:rsidR="003E1D81" w:rsidRDefault="00EB481C">
            <w:pPr>
              <w:pStyle w:val="P68B1DB1-Normal13"/>
              <w:spacing w:after="0" w:line="240" w:lineRule="auto"/>
              <w:jc w:val="center"/>
              <w:rPr>
                <w:rFonts w:cs="Times New Roman"/>
                <w:noProof/>
              </w:rPr>
            </w:pPr>
            <w:r>
              <w:rPr>
                <w:noProof/>
              </w:rPr>
              <w:t> </w:t>
            </w:r>
          </w:p>
        </w:tc>
        <w:tc>
          <w:tcPr>
            <w:tcW w:w="851" w:type="dxa"/>
            <w:shd w:val="clear" w:color="auto" w:fill="C6EFCE"/>
            <w:noWrap/>
          </w:tcPr>
          <w:p w14:paraId="7BD2FCD1" w14:textId="77777777" w:rsidR="003E1D81" w:rsidRDefault="00EB481C">
            <w:pPr>
              <w:pStyle w:val="P68B1DB1-Normal13"/>
              <w:spacing w:after="0" w:line="240" w:lineRule="auto"/>
              <w:jc w:val="right"/>
              <w:rPr>
                <w:rFonts w:eastAsia="MS Mincho" w:cs="Times New Roman"/>
                <w:noProof/>
              </w:rPr>
            </w:pPr>
            <w:r>
              <w:rPr>
                <w:noProof/>
              </w:rPr>
              <w:t>Szám (km)</w:t>
            </w:r>
          </w:p>
        </w:tc>
        <w:tc>
          <w:tcPr>
            <w:tcW w:w="675" w:type="dxa"/>
            <w:shd w:val="clear" w:color="auto" w:fill="C6EFCE"/>
            <w:noWrap/>
          </w:tcPr>
          <w:p w14:paraId="6839CB3E" w14:textId="77777777" w:rsidR="003E1D81" w:rsidRDefault="00EB481C">
            <w:pPr>
              <w:pStyle w:val="P68B1DB1-Normal13"/>
              <w:spacing w:after="0" w:line="240" w:lineRule="auto"/>
              <w:jc w:val="right"/>
              <w:rPr>
                <w:rFonts w:eastAsia="MS Mincho" w:cs="Times New Roman"/>
                <w:noProof/>
              </w:rPr>
            </w:pPr>
            <w:r>
              <w:rPr>
                <w:noProof/>
              </w:rPr>
              <w:t>200</w:t>
            </w:r>
          </w:p>
        </w:tc>
        <w:tc>
          <w:tcPr>
            <w:tcW w:w="742" w:type="dxa"/>
            <w:shd w:val="clear" w:color="auto" w:fill="C6EFCE"/>
            <w:noWrap/>
          </w:tcPr>
          <w:p w14:paraId="0C370A54" w14:textId="77777777" w:rsidR="003E1D81" w:rsidRDefault="00EB481C">
            <w:pPr>
              <w:pStyle w:val="P68B1DB1-Normal13"/>
              <w:spacing w:after="0" w:line="240" w:lineRule="auto"/>
              <w:jc w:val="right"/>
              <w:rPr>
                <w:rFonts w:eastAsia="MS Mincho" w:cs="Times New Roman"/>
                <w:noProof/>
              </w:rPr>
            </w:pPr>
            <w:r>
              <w:rPr>
                <w:noProof/>
              </w:rPr>
              <w:t>700</w:t>
            </w:r>
          </w:p>
        </w:tc>
        <w:tc>
          <w:tcPr>
            <w:tcW w:w="425" w:type="dxa"/>
            <w:shd w:val="clear" w:color="auto" w:fill="C6EFCE"/>
            <w:noWrap/>
          </w:tcPr>
          <w:p w14:paraId="3693F535"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6532D109" w14:textId="77777777" w:rsidR="003E1D81" w:rsidRDefault="00EB481C">
            <w:pPr>
              <w:pStyle w:val="P68B1DB1-Normal13"/>
              <w:spacing w:after="0" w:line="240" w:lineRule="auto"/>
              <w:jc w:val="center"/>
              <w:rPr>
                <w:rFonts w:cs="Times New Roman"/>
                <w:noProof/>
              </w:rPr>
            </w:pPr>
            <w:r>
              <w:rPr>
                <w:noProof/>
              </w:rPr>
              <w:t>2026</w:t>
            </w:r>
          </w:p>
        </w:tc>
        <w:tc>
          <w:tcPr>
            <w:tcW w:w="5387" w:type="dxa"/>
            <w:shd w:val="clear" w:color="auto" w:fill="C6EFCE"/>
            <w:noWrap/>
          </w:tcPr>
          <w:p w14:paraId="698A3DDA" w14:textId="77777777" w:rsidR="003E1D81" w:rsidRDefault="00EB481C">
            <w:pPr>
              <w:pStyle w:val="P68B1DB1-Normal13"/>
              <w:spacing w:after="0" w:line="240" w:lineRule="auto"/>
              <w:rPr>
                <w:rFonts w:cs="Times New Roman"/>
                <w:noProof/>
              </w:rPr>
            </w:pPr>
            <w:r>
              <w:rPr>
                <w:noProof/>
              </w:rPr>
              <w:t xml:space="preserve">Legalább 700 km rövid távolságú vasútvonal bármely alrendszerben: peron-, vágány-, villamosítási, biztonsági és kommunikációs/jelző </w:t>
            </w:r>
            <w:r>
              <w:rPr>
                <w:noProof/>
              </w:rPr>
              <w:lastRenderedPageBreak/>
              <w:t>berendezések.</w:t>
            </w:r>
            <w:r>
              <w:rPr>
                <w:noProof/>
              </w:rPr>
              <w:br/>
              <w:t>A korszerűsítendő rövid távolságú vasútvonalak hosszát a városi vagy nagyvárosi területeken található olyan ho</w:t>
            </w:r>
            <w:r>
              <w:rPr>
                <w:noProof/>
              </w:rPr>
              <w:t>sszúság alapján kell értelmezni, ahol jelentős beavatkozást hajtottak végre, amely nem az elvégzendő vagy javításra szánt összeg. A beavatkozások magukban foglalhatják a villamosítást, a pálya felújítását, a jelző- és biztonsági rendszerek javítását, valam</w:t>
            </w:r>
            <w:r>
              <w:rPr>
                <w:noProof/>
              </w:rPr>
              <w:t xml:space="preserve">int az állomások javítását, amelyek túlmutatnak a karbantartáson és javításon, és amelyeket az ország egész területén kell végrehajtani a Cercanías Ferroviarias által üzemeltetett valamennyi lakossági központban.  </w:t>
            </w:r>
          </w:p>
          <w:p w14:paraId="7773D080" w14:textId="77777777" w:rsidR="003E1D81" w:rsidRDefault="00EB481C">
            <w:pPr>
              <w:pStyle w:val="P68B1DB1-Normal13"/>
              <w:spacing w:after="0" w:line="240" w:lineRule="auto"/>
              <w:rPr>
                <w:rFonts w:cs="Times New Roman"/>
                <w:noProof/>
              </w:rPr>
            </w:pPr>
            <w:r>
              <w:rPr>
                <w:noProof/>
              </w:rPr>
              <w:t>(Alapforgatókönyv: 2023. december 31.)</w:t>
            </w:r>
          </w:p>
        </w:tc>
      </w:tr>
      <w:tr w:rsidR="003E1D81" w14:paraId="39CEA4D1" w14:textId="77777777">
        <w:trPr>
          <w:trHeight w:val="309"/>
        </w:trPr>
        <w:tc>
          <w:tcPr>
            <w:tcW w:w="709" w:type="dxa"/>
            <w:shd w:val="clear" w:color="auto" w:fill="C6EFCE"/>
            <w:noWrap/>
          </w:tcPr>
          <w:p w14:paraId="33621CCC" w14:textId="77777777" w:rsidR="003E1D81" w:rsidRDefault="00EB481C">
            <w:pPr>
              <w:pStyle w:val="P68B1DB1-Normal13"/>
              <w:spacing w:after="0" w:line="240" w:lineRule="auto"/>
              <w:jc w:val="center"/>
              <w:rPr>
                <w:rFonts w:cs="Times New Roman"/>
                <w:noProof/>
              </w:rPr>
            </w:pPr>
            <w:r>
              <w:rPr>
                <w:noProof/>
              </w:rPr>
              <w:lastRenderedPageBreak/>
              <w:t>19</w:t>
            </w:r>
          </w:p>
        </w:tc>
        <w:tc>
          <w:tcPr>
            <w:tcW w:w="851" w:type="dxa"/>
            <w:shd w:val="clear" w:color="auto" w:fill="C6EFCE"/>
            <w:noWrap/>
          </w:tcPr>
          <w:p w14:paraId="55F786CA" w14:textId="77777777" w:rsidR="003E1D81" w:rsidRDefault="00EB481C">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13FAD491" w14:textId="77777777" w:rsidR="003E1D81" w:rsidRDefault="00EB481C">
            <w:pPr>
              <w:pStyle w:val="P68B1DB1-Normal13"/>
              <w:spacing w:after="0" w:line="240" w:lineRule="auto"/>
              <w:jc w:val="center"/>
              <w:rPr>
                <w:rFonts w:cs="Times New Roman"/>
                <w:noProof/>
              </w:rPr>
            </w:pPr>
            <w:r>
              <w:rPr>
                <w:noProof/>
              </w:rPr>
              <w:t>T</w:t>
            </w:r>
          </w:p>
        </w:tc>
        <w:tc>
          <w:tcPr>
            <w:tcW w:w="2977" w:type="dxa"/>
            <w:shd w:val="clear" w:color="auto" w:fill="C6EFCE"/>
            <w:noWrap/>
          </w:tcPr>
          <w:p w14:paraId="18B988B5" w14:textId="77777777" w:rsidR="003E1D81" w:rsidRDefault="00EB481C">
            <w:pPr>
              <w:pStyle w:val="P68B1DB1-Normal13"/>
              <w:spacing w:after="0" w:line="240" w:lineRule="auto"/>
              <w:rPr>
                <w:rFonts w:cs="Times New Roman"/>
                <w:noProof/>
              </w:rPr>
            </w:pPr>
            <w:r>
              <w:rPr>
                <w:noProof/>
              </w:rPr>
              <w:t xml:space="preserve">A digitalizáció révén javultak az állomások </w:t>
            </w:r>
          </w:p>
        </w:tc>
        <w:tc>
          <w:tcPr>
            <w:tcW w:w="1134" w:type="dxa"/>
            <w:shd w:val="clear" w:color="auto" w:fill="C6EFCE"/>
            <w:noWrap/>
          </w:tcPr>
          <w:p w14:paraId="20BE4CEA" w14:textId="77777777" w:rsidR="003E1D81" w:rsidRDefault="00EB481C">
            <w:pPr>
              <w:pStyle w:val="P68B1DB1-Normal13"/>
              <w:spacing w:after="0" w:line="240" w:lineRule="auto"/>
              <w:jc w:val="center"/>
              <w:rPr>
                <w:rFonts w:cs="Times New Roman"/>
                <w:noProof/>
              </w:rPr>
            </w:pPr>
            <w:r>
              <w:rPr>
                <w:noProof/>
              </w:rPr>
              <w:t> </w:t>
            </w:r>
          </w:p>
        </w:tc>
        <w:tc>
          <w:tcPr>
            <w:tcW w:w="851" w:type="dxa"/>
            <w:shd w:val="clear" w:color="auto" w:fill="C6EFCE"/>
            <w:noWrap/>
          </w:tcPr>
          <w:p w14:paraId="3F997996" w14:textId="77777777" w:rsidR="003E1D81" w:rsidRDefault="00EB481C">
            <w:pPr>
              <w:pStyle w:val="P68B1DB1-Normal13"/>
              <w:spacing w:after="0" w:line="240" w:lineRule="auto"/>
              <w:jc w:val="right"/>
              <w:rPr>
                <w:rFonts w:eastAsia="MS Mincho" w:cs="Times New Roman"/>
                <w:noProof/>
              </w:rPr>
            </w:pPr>
            <w:r>
              <w:rPr>
                <w:noProof/>
              </w:rPr>
              <w:t>Szám</w:t>
            </w:r>
          </w:p>
        </w:tc>
        <w:tc>
          <w:tcPr>
            <w:tcW w:w="675" w:type="dxa"/>
            <w:shd w:val="clear" w:color="auto" w:fill="C6EFCE"/>
            <w:noWrap/>
          </w:tcPr>
          <w:p w14:paraId="7DDA3B64" w14:textId="77777777" w:rsidR="003E1D81" w:rsidRDefault="00EB481C">
            <w:pPr>
              <w:pStyle w:val="P68B1DB1-Normal13"/>
              <w:spacing w:after="0" w:line="240" w:lineRule="auto"/>
              <w:jc w:val="right"/>
              <w:rPr>
                <w:rFonts w:eastAsia="MS Mincho" w:cs="Times New Roman"/>
                <w:noProof/>
              </w:rPr>
            </w:pPr>
            <w:r>
              <w:rPr>
                <w:noProof/>
              </w:rPr>
              <w:t>420</w:t>
            </w:r>
          </w:p>
        </w:tc>
        <w:tc>
          <w:tcPr>
            <w:tcW w:w="742" w:type="dxa"/>
            <w:shd w:val="clear" w:color="auto" w:fill="C6EFCE"/>
            <w:noWrap/>
          </w:tcPr>
          <w:p w14:paraId="38256B9B" w14:textId="77777777" w:rsidR="003E1D81" w:rsidRDefault="00EB481C">
            <w:pPr>
              <w:pStyle w:val="P68B1DB1-Normal13"/>
              <w:spacing w:after="0" w:line="240" w:lineRule="auto"/>
              <w:jc w:val="right"/>
              <w:rPr>
                <w:rFonts w:eastAsia="MS Mincho" w:cs="Times New Roman"/>
                <w:noProof/>
              </w:rPr>
            </w:pPr>
            <w:r>
              <w:rPr>
                <w:noProof/>
              </w:rPr>
              <w:t>850</w:t>
            </w:r>
          </w:p>
        </w:tc>
        <w:tc>
          <w:tcPr>
            <w:tcW w:w="425" w:type="dxa"/>
            <w:shd w:val="clear" w:color="auto" w:fill="C6EFCE"/>
            <w:noWrap/>
          </w:tcPr>
          <w:p w14:paraId="0E9DF1F4"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5C57CC8B" w14:textId="77777777" w:rsidR="003E1D81" w:rsidRDefault="00EB481C">
            <w:pPr>
              <w:pStyle w:val="P68B1DB1-Normal13"/>
              <w:spacing w:after="0" w:line="240" w:lineRule="auto"/>
              <w:jc w:val="center"/>
              <w:rPr>
                <w:rFonts w:cs="Times New Roman"/>
                <w:noProof/>
              </w:rPr>
            </w:pPr>
            <w:r>
              <w:rPr>
                <w:noProof/>
              </w:rPr>
              <w:t>2026</w:t>
            </w:r>
          </w:p>
        </w:tc>
        <w:tc>
          <w:tcPr>
            <w:tcW w:w="5387" w:type="dxa"/>
            <w:shd w:val="clear" w:color="auto" w:fill="C6EFCE"/>
            <w:noWrap/>
          </w:tcPr>
          <w:p w14:paraId="2F4EE576" w14:textId="0D7494D4" w:rsidR="003E1D81" w:rsidRDefault="00EB481C">
            <w:pPr>
              <w:pStyle w:val="P68B1DB1-Normal13"/>
              <w:spacing w:after="0" w:line="240" w:lineRule="auto"/>
              <w:rPr>
                <w:rFonts w:cs="Times New Roman"/>
                <w:noProof/>
              </w:rPr>
            </w:pPr>
            <w:r>
              <w:rPr>
                <w:noProof/>
              </w:rPr>
              <w:t xml:space="preserve">Legalább 850 állomás fejlesztése a RENFE által SPO-üzemeltetőként kidolgozott projektek mindegyikével vagy egy részével, a következő felsorolással: </w:t>
            </w:r>
            <w:r>
              <w:rPr>
                <w:noProof/>
              </w:rPr>
              <w:br/>
            </w:r>
            <w:r>
              <w:rPr>
                <w:noProof/>
              </w:rPr>
              <w:t xml:space="preserve">• Az állomások biztonsági rendszereinek digitalizálása (például intelligens videoelemzés, kiberbiztonság és csalásellenőrzés) </w:t>
            </w:r>
            <w:r>
              <w:rPr>
                <w:noProof/>
              </w:rPr>
              <w:br/>
              <w:t xml:space="preserve">• Utasinformációs rendszerek </w:t>
            </w:r>
            <w:r>
              <w:rPr>
                <w:noProof/>
              </w:rPr>
              <w:br/>
              <w:t xml:space="preserve">• Az állomásokhoz való hozzáférés ellenőrzésének javítása </w:t>
            </w:r>
            <w:r>
              <w:rPr>
                <w:noProof/>
              </w:rPr>
              <w:br/>
              <w:t>• Jegyértékesítő automatákkal kapcsolato</w:t>
            </w:r>
            <w:r>
              <w:rPr>
                <w:noProof/>
              </w:rPr>
              <w:t xml:space="preserve">s projektek </w:t>
            </w:r>
            <w:r>
              <w:rPr>
                <w:noProof/>
              </w:rPr>
              <w:br/>
              <w:t xml:space="preserve">• A létesítmények átalakítása </w:t>
            </w:r>
          </w:p>
          <w:p w14:paraId="00C5A81A" w14:textId="77777777" w:rsidR="003E1D81" w:rsidRDefault="00EB481C">
            <w:pPr>
              <w:pStyle w:val="P68B1DB1-Normal13"/>
              <w:spacing w:after="0" w:line="240" w:lineRule="auto"/>
              <w:rPr>
                <w:rFonts w:cs="Times New Roman"/>
                <w:noProof/>
              </w:rPr>
            </w:pPr>
            <w:r>
              <w:rPr>
                <w:noProof/>
              </w:rPr>
              <w:t>(Alapforgatókönyv: 2023. december 31.)</w:t>
            </w:r>
          </w:p>
        </w:tc>
      </w:tr>
      <w:tr w:rsidR="003E1D81" w14:paraId="0E532E14" w14:textId="77777777">
        <w:trPr>
          <w:trHeight w:val="309"/>
        </w:trPr>
        <w:tc>
          <w:tcPr>
            <w:tcW w:w="709" w:type="dxa"/>
            <w:shd w:val="clear" w:color="auto" w:fill="C6EFCE"/>
            <w:noWrap/>
          </w:tcPr>
          <w:p w14:paraId="4795C8AF" w14:textId="77777777" w:rsidR="003E1D81" w:rsidRDefault="00EB481C">
            <w:pPr>
              <w:pStyle w:val="P68B1DB1-Normal13"/>
              <w:spacing w:after="0" w:line="240" w:lineRule="auto"/>
              <w:jc w:val="center"/>
              <w:rPr>
                <w:rFonts w:cs="Times New Roman"/>
                <w:noProof/>
              </w:rPr>
            </w:pPr>
            <w:r>
              <w:rPr>
                <w:noProof/>
              </w:rPr>
              <w:t>20</w:t>
            </w:r>
          </w:p>
        </w:tc>
        <w:tc>
          <w:tcPr>
            <w:tcW w:w="851" w:type="dxa"/>
            <w:shd w:val="clear" w:color="auto" w:fill="C6EFCE"/>
            <w:noWrap/>
          </w:tcPr>
          <w:p w14:paraId="5840AFF3" w14:textId="77777777" w:rsidR="003E1D81" w:rsidRDefault="00EB481C">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44AAD6F7" w14:textId="77777777" w:rsidR="003E1D81" w:rsidRDefault="00EB481C">
            <w:pPr>
              <w:pStyle w:val="P68B1DB1-Normal13"/>
              <w:spacing w:after="0" w:line="240" w:lineRule="auto"/>
              <w:jc w:val="center"/>
              <w:rPr>
                <w:rFonts w:cs="Times New Roman"/>
                <w:noProof/>
              </w:rPr>
            </w:pPr>
            <w:r>
              <w:rPr>
                <w:noProof/>
              </w:rPr>
              <w:t>T</w:t>
            </w:r>
          </w:p>
        </w:tc>
        <w:tc>
          <w:tcPr>
            <w:tcW w:w="2977" w:type="dxa"/>
            <w:shd w:val="clear" w:color="auto" w:fill="C6EFCE"/>
            <w:noWrap/>
          </w:tcPr>
          <w:p w14:paraId="6905ABD4" w14:textId="77777777" w:rsidR="003E1D81" w:rsidRDefault="00EB481C">
            <w:pPr>
              <w:pStyle w:val="P68B1DB1-Normal13"/>
              <w:spacing w:after="0" w:line="240" w:lineRule="auto"/>
              <w:rPr>
                <w:rFonts w:cs="Times New Roman"/>
                <w:noProof/>
              </w:rPr>
            </w:pPr>
            <w:r>
              <w:rPr>
                <w:noProof/>
              </w:rPr>
              <w:t xml:space="preserve">Továbbfejlesztett „Cercanías” állomások </w:t>
            </w:r>
          </w:p>
        </w:tc>
        <w:tc>
          <w:tcPr>
            <w:tcW w:w="1134" w:type="dxa"/>
            <w:shd w:val="clear" w:color="auto" w:fill="C6EFCE"/>
            <w:noWrap/>
          </w:tcPr>
          <w:p w14:paraId="199DC5A6" w14:textId="77777777" w:rsidR="003E1D81" w:rsidRDefault="00EB481C">
            <w:pPr>
              <w:pStyle w:val="P68B1DB1-Normal13"/>
              <w:spacing w:after="0" w:line="240" w:lineRule="auto"/>
              <w:jc w:val="center"/>
              <w:rPr>
                <w:rFonts w:cs="Times New Roman"/>
                <w:noProof/>
              </w:rPr>
            </w:pPr>
            <w:r>
              <w:rPr>
                <w:noProof/>
              </w:rPr>
              <w:t> </w:t>
            </w:r>
          </w:p>
        </w:tc>
        <w:tc>
          <w:tcPr>
            <w:tcW w:w="851" w:type="dxa"/>
            <w:shd w:val="clear" w:color="auto" w:fill="C6EFCE"/>
            <w:noWrap/>
          </w:tcPr>
          <w:p w14:paraId="54B43EC8" w14:textId="77777777" w:rsidR="003E1D81" w:rsidRDefault="00EB481C">
            <w:pPr>
              <w:pStyle w:val="P68B1DB1-Normal13"/>
              <w:spacing w:after="0" w:line="240" w:lineRule="auto"/>
              <w:jc w:val="right"/>
              <w:rPr>
                <w:rFonts w:eastAsia="MS Mincho" w:cs="Times New Roman"/>
                <w:noProof/>
              </w:rPr>
            </w:pPr>
            <w:r>
              <w:rPr>
                <w:noProof/>
              </w:rPr>
              <w:t>Szám</w:t>
            </w:r>
          </w:p>
        </w:tc>
        <w:tc>
          <w:tcPr>
            <w:tcW w:w="675" w:type="dxa"/>
            <w:shd w:val="clear" w:color="auto" w:fill="C6EFCE"/>
            <w:noWrap/>
          </w:tcPr>
          <w:p w14:paraId="21D95174" w14:textId="77777777" w:rsidR="003E1D81" w:rsidRDefault="00EB481C">
            <w:pPr>
              <w:pStyle w:val="P68B1DB1-Normal13"/>
              <w:spacing w:after="0" w:line="240" w:lineRule="auto"/>
              <w:jc w:val="right"/>
              <w:rPr>
                <w:rFonts w:eastAsia="MS Mincho" w:cs="Times New Roman"/>
                <w:noProof/>
              </w:rPr>
            </w:pPr>
            <w:r>
              <w:rPr>
                <w:noProof/>
              </w:rPr>
              <w:t>20</w:t>
            </w:r>
          </w:p>
        </w:tc>
        <w:tc>
          <w:tcPr>
            <w:tcW w:w="742" w:type="dxa"/>
            <w:shd w:val="clear" w:color="auto" w:fill="C6EFCE"/>
            <w:noWrap/>
          </w:tcPr>
          <w:p w14:paraId="29169DF8" w14:textId="77777777" w:rsidR="003E1D81" w:rsidRDefault="00EB481C">
            <w:pPr>
              <w:pStyle w:val="P68B1DB1-Normal13"/>
              <w:spacing w:after="0" w:line="240" w:lineRule="auto"/>
              <w:jc w:val="right"/>
              <w:rPr>
                <w:rFonts w:eastAsia="MS Mincho" w:cs="Times New Roman"/>
                <w:noProof/>
              </w:rPr>
            </w:pPr>
            <w:r>
              <w:rPr>
                <w:noProof/>
              </w:rPr>
              <w:t>70</w:t>
            </w:r>
          </w:p>
        </w:tc>
        <w:tc>
          <w:tcPr>
            <w:tcW w:w="425" w:type="dxa"/>
            <w:shd w:val="clear" w:color="auto" w:fill="C6EFCE"/>
            <w:noWrap/>
          </w:tcPr>
          <w:p w14:paraId="63B6E9DD"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7B36BB04" w14:textId="77777777" w:rsidR="003E1D81" w:rsidRDefault="00EB481C">
            <w:pPr>
              <w:pStyle w:val="P68B1DB1-Normal13"/>
              <w:spacing w:after="0" w:line="240" w:lineRule="auto"/>
              <w:jc w:val="center"/>
              <w:rPr>
                <w:rFonts w:cs="Times New Roman"/>
                <w:noProof/>
              </w:rPr>
            </w:pPr>
            <w:r>
              <w:rPr>
                <w:noProof/>
              </w:rPr>
              <w:t>2026</w:t>
            </w:r>
          </w:p>
        </w:tc>
        <w:tc>
          <w:tcPr>
            <w:tcW w:w="5387" w:type="dxa"/>
            <w:shd w:val="clear" w:color="auto" w:fill="C6EFCE"/>
            <w:noWrap/>
          </w:tcPr>
          <w:p w14:paraId="7DB192B1" w14:textId="58E06F9D" w:rsidR="003E1D81" w:rsidRDefault="00EB481C">
            <w:pPr>
              <w:pStyle w:val="P68B1DB1-Normal13"/>
              <w:spacing w:after="0" w:line="240" w:lineRule="auto"/>
              <w:rPr>
                <w:rFonts w:cs="Times New Roman"/>
                <w:noProof/>
              </w:rPr>
            </w:pPr>
            <w:r>
              <w:rPr>
                <w:noProof/>
              </w:rPr>
              <w:t xml:space="preserve">Legalább 70, az ADIF által javított „Cercanías” állomás, főként a hozzáférhetőségi munkálatok </w:t>
            </w:r>
            <w:r>
              <w:rPr>
                <w:noProof/>
              </w:rPr>
              <w:t>és az új vagy felújított vasúti pályák tekintetében</w:t>
            </w:r>
          </w:p>
          <w:p w14:paraId="20559573" w14:textId="77777777" w:rsidR="003E1D81" w:rsidRDefault="00EB481C">
            <w:pPr>
              <w:pStyle w:val="P68B1DB1-Normal13"/>
              <w:spacing w:after="0" w:line="240" w:lineRule="auto"/>
              <w:rPr>
                <w:rFonts w:cs="Times New Roman"/>
                <w:noProof/>
              </w:rPr>
            </w:pPr>
            <w:r>
              <w:rPr>
                <w:noProof/>
              </w:rPr>
              <w:t>(Alapforgatókönyv: 2023. december 31.)</w:t>
            </w:r>
          </w:p>
        </w:tc>
      </w:tr>
    </w:tbl>
    <w:p w14:paraId="4EDD7DA2" w14:textId="1CB3545C" w:rsidR="003E1D81" w:rsidRDefault="003E1D81">
      <w:pPr>
        <w:rPr>
          <w:rFonts w:ascii="Times New Roman" w:hAnsi="Times New Roman" w:cs="Times New Roman"/>
          <w:noProof/>
        </w:rPr>
      </w:pPr>
    </w:p>
    <w:p w14:paraId="1367D495" w14:textId="77777777" w:rsidR="003E1D81" w:rsidRDefault="003E1D81">
      <w:pPr>
        <w:rPr>
          <w:rFonts w:ascii="Times New Roman" w:hAnsi="Times New Roman" w:cs="Times New Roman"/>
          <w:noProof/>
        </w:rPr>
      </w:pPr>
    </w:p>
    <w:p w14:paraId="69DAA9C7" w14:textId="6DF030F0" w:rsidR="003E1D81" w:rsidRDefault="003E1D81">
      <w:pPr>
        <w:rPr>
          <w:rFonts w:ascii="Times New Roman" w:hAnsi="Times New Roman" w:cs="Times New Roman"/>
          <w:noProof/>
        </w:rPr>
      </w:pPr>
    </w:p>
    <w:p w14:paraId="5BB82DF8" w14:textId="6DF030F0" w:rsidR="003E1D81" w:rsidRDefault="003E1D81">
      <w:pPr>
        <w:rPr>
          <w:rFonts w:ascii="Times New Roman" w:hAnsi="Times New Roman" w:cs="Times New Roman"/>
          <w:noProof/>
          <w:sz w:val="24"/>
        </w:rPr>
      </w:pPr>
    </w:p>
    <w:p w14:paraId="1BC42712" w14:textId="77777777" w:rsidR="003E1D81" w:rsidRDefault="003E1D81">
      <w:pPr>
        <w:rPr>
          <w:rFonts w:ascii="Times New Roman" w:hAnsi="Times New Roman" w:cs="Times New Roman"/>
          <w:noProof/>
          <w:sz w:val="24"/>
        </w:rPr>
        <w:sectPr w:rsidR="003E1D81" w:rsidSect="00BF0BE2">
          <w:headerReference w:type="even" r:id="rId24"/>
          <w:headerReference w:type="default" r:id="rId25"/>
          <w:footerReference w:type="even" r:id="rId26"/>
          <w:footerReference w:type="default" r:id="rId27"/>
          <w:headerReference w:type="first" r:id="rId28"/>
          <w:footerReference w:type="first" r:id="rId29"/>
          <w:pgSz w:w="16839" w:h="11907" w:orient="landscape"/>
          <w:pgMar w:top="1417" w:right="1134" w:bottom="1417" w:left="1134" w:header="709" w:footer="709" w:gutter="0"/>
          <w:cols w:space="720"/>
          <w:docGrid w:linePitch="360"/>
        </w:sectPr>
      </w:pPr>
    </w:p>
    <w:p w14:paraId="6EB2900A" w14:textId="51884807" w:rsidR="003E1D81" w:rsidRDefault="00EB481C">
      <w:pPr>
        <w:pStyle w:val="P68B1DB1-Normal8"/>
        <w:spacing w:before="120" w:after="120" w:line="240" w:lineRule="auto"/>
        <w:jc w:val="both"/>
        <w:rPr>
          <w:rFonts w:cs="Times New Roman"/>
          <w:b/>
          <w:noProof/>
          <w:sz w:val="24"/>
          <w:u w:val="single"/>
        </w:rPr>
      </w:pPr>
      <w:r>
        <w:rPr>
          <w:b/>
          <w:noProof/>
          <w:sz w:val="24"/>
          <w:u w:val="single"/>
        </w:rPr>
        <w:lastRenderedPageBreak/>
        <w:t xml:space="preserve">A.4. </w:t>
      </w:r>
      <w:r>
        <w:rPr>
          <w:noProof/>
        </w:rPr>
        <w:tab/>
      </w:r>
      <w:r>
        <w:rPr>
          <w:b/>
          <w:noProof/>
          <w:sz w:val="24"/>
          <w:u w:val="single"/>
        </w:rPr>
        <w:t>A hiteltámogatással kapcsolatos reformok és beruházások ismertetése</w:t>
      </w:r>
    </w:p>
    <w:p w14:paraId="6080E2C9" w14:textId="46FBA745" w:rsidR="003E1D81" w:rsidRDefault="00EB481C">
      <w:pPr>
        <w:pStyle w:val="P68B1DB1-Normal6"/>
        <w:spacing w:before="120" w:after="120" w:line="240" w:lineRule="auto"/>
        <w:jc w:val="both"/>
        <w:rPr>
          <w:rFonts w:cs="Times New Roman"/>
          <w:noProof/>
        </w:rPr>
      </w:pPr>
      <w:r>
        <w:rPr>
          <w:noProof/>
        </w:rPr>
        <w:t xml:space="preserve">Reform (C1.R3) – Az </w:t>
      </w:r>
      <w:r>
        <w:rPr>
          <w:noProof/>
        </w:rPr>
        <w:t>alacsony kibocsátású zónák minimumkövetelményeit szabályozó királyi rendelet</w:t>
      </w:r>
    </w:p>
    <w:p w14:paraId="5FFDA65D" w14:textId="133FB426" w:rsidR="003E1D81" w:rsidRDefault="00EB481C">
      <w:pPr>
        <w:pStyle w:val="P68B1DB1-Normal4"/>
        <w:spacing w:before="120" w:after="120" w:line="240" w:lineRule="auto"/>
        <w:jc w:val="both"/>
        <w:rPr>
          <w:rFonts w:cs="Times New Roman"/>
          <w:noProof/>
        </w:rPr>
      </w:pPr>
      <w:r>
        <w:rPr>
          <w:noProof/>
        </w:rPr>
        <w:t>E reform célja a december 27-i 1052/2022. sz. királyi rendelet hatálybalépése, amely a május 20-i 7/2021. sz. törvény 14. cikkének (3) bekezdésében meghatározott jogi követelménye</w:t>
      </w:r>
      <w:r>
        <w:rPr>
          <w:noProof/>
        </w:rPr>
        <w:t xml:space="preserve">kkel összhangban meghatározza az 50000 főnél több lakosú települések és szigeti területek helyi hatóságai által létrehozott alacsony kibocsátású övezetekre vonatkozó minimumkövetelményeket. </w:t>
      </w:r>
    </w:p>
    <w:p w14:paraId="3821A1C6" w14:textId="45AC0A32" w:rsidR="003E1D81" w:rsidRDefault="00EB481C">
      <w:pPr>
        <w:pStyle w:val="P68B1DB1-Normal4"/>
        <w:spacing w:before="120" w:after="120" w:line="240" w:lineRule="auto"/>
        <w:jc w:val="both"/>
        <w:rPr>
          <w:rFonts w:cs="Times New Roman"/>
          <w:noProof/>
        </w:rPr>
      </w:pPr>
      <w:r>
        <w:rPr>
          <w:noProof/>
        </w:rPr>
        <w:t>A királyi rendeletben meghatározott minimumkövetelmények a követk</w:t>
      </w:r>
      <w:r>
        <w:rPr>
          <w:noProof/>
        </w:rPr>
        <w:t xml:space="preserve">ezőkre terjednek ki: </w:t>
      </w:r>
    </w:p>
    <w:p w14:paraId="331A4407" w14:textId="103345F9" w:rsidR="003E1D81" w:rsidRDefault="00EB481C">
      <w:pPr>
        <w:pStyle w:val="P68B1DB1-Normal4"/>
        <w:spacing w:before="120" w:after="120" w:line="240" w:lineRule="auto"/>
        <w:jc w:val="both"/>
        <w:rPr>
          <w:rFonts w:cs="Times New Roman"/>
          <w:noProof/>
        </w:rPr>
      </w:pPr>
      <w:r>
        <w:rPr>
          <w:noProof/>
        </w:rPr>
        <w:t>– a helyi hatóságok azon kötelezettsége, hogy határozzák meg azokat a konkrét intézkedéseket, amelyeket végre kell hajtani az LEZ-ek célkitűzéseinek elérése érdekében, azaz a levegőminőség javítása és az éghajlatváltozás hatásainak en</w:t>
      </w:r>
      <w:r>
        <w:rPr>
          <w:noProof/>
        </w:rPr>
        <w:t xml:space="preserve">yhítése, valamint a zajjal, a fenntartható mobilitással és az energiahatékonysággal kapcsolatos célkitűzéseknek való megfelelés előmozdítása a közlekedési eszközök használata során. Ezen intézkedések célja a fenntarthatóbb közlekedési módokra való modális </w:t>
      </w:r>
      <w:r>
        <w:rPr>
          <w:noProof/>
        </w:rPr>
        <w:t>váltás ösztönzése, előnyben részesítve az aktív mobilitást és a tömegközlekedést.</w:t>
      </w:r>
    </w:p>
    <w:p w14:paraId="4B535B1A" w14:textId="3AB8A5F8" w:rsidR="003E1D81" w:rsidRDefault="00EB481C">
      <w:pPr>
        <w:pStyle w:val="P68B1DB1-Normal4"/>
        <w:spacing w:before="120" w:after="120" w:line="240" w:lineRule="auto"/>
        <w:jc w:val="both"/>
        <w:rPr>
          <w:rFonts w:cs="Times New Roman"/>
          <w:noProof/>
        </w:rPr>
      </w:pPr>
      <w:r>
        <w:rPr>
          <w:noProof/>
        </w:rPr>
        <w:t>– Az LEZ-ek körülhatárolására vonatkozó kötelezettség, figyelembe véve azon utazások kiindulási és célállomását, amelyek tekintetében szükségesnek ítélték a beavatkozást a mo</w:t>
      </w:r>
      <w:r>
        <w:rPr>
          <w:noProof/>
        </w:rPr>
        <w:t xml:space="preserve">dális váltás vagy az utazások csökkentésének ösztönzése révén. </w:t>
      </w:r>
    </w:p>
    <w:p w14:paraId="65D0042B" w14:textId="3C11E84F" w:rsidR="003E1D81" w:rsidRDefault="00EB481C">
      <w:pPr>
        <w:pStyle w:val="P68B1DB1-Normal4"/>
        <w:spacing w:before="120" w:after="120" w:line="240" w:lineRule="auto"/>
        <w:jc w:val="both"/>
        <w:rPr>
          <w:rFonts w:cs="Times New Roman"/>
          <w:noProof/>
        </w:rPr>
      </w:pPr>
      <w:r>
        <w:rPr>
          <w:noProof/>
        </w:rPr>
        <w:t>Az LEZ-ek területének megfelelőnek és elégségesnek kell lennie a kitűzött célok eléréséhez, és azokkal arányosnak kell lennie. A királyi rendelet a helyi hatóságok döntése alapján megteremti a</w:t>
      </w:r>
      <w:r>
        <w:rPr>
          <w:noProof/>
        </w:rPr>
        <w:t xml:space="preserve">nnak lehetőségét, hogy a nagyobb városokban és a szigeti területeken több helyi gazdasági övezetet is kialakítsanak. </w:t>
      </w:r>
    </w:p>
    <w:p w14:paraId="0A17EE4E" w14:textId="2C33315A" w:rsidR="003E1D81" w:rsidRDefault="00EB481C">
      <w:pPr>
        <w:pStyle w:val="P68B1DB1-Normal4"/>
        <w:spacing w:before="120" w:after="120" w:line="240" w:lineRule="auto"/>
        <w:jc w:val="both"/>
        <w:rPr>
          <w:rFonts w:cs="Times New Roman"/>
          <w:noProof/>
        </w:rPr>
      </w:pPr>
      <w:r>
        <w:rPr>
          <w:noProof/>
        </w:rPr>
        <w:t>Számszerűsíthető levegőminőségi célkitűzések meghatározása, amelyek javulást eredményeznek az alacsony gazdasági övezetek nélküli alaphely</w:t>
      </w:r>
      <w:r>
        <w:rPr>
          <w:noProof/>
        </w:rPr>
        <w:t>zethez képest. Az LEZ-eknek emellett hozzá kell járulniuk az Egészségügyi Világszervezet levegőminőségi irányelveiben foglalt irányadó értékek eléréséhez.</w:t>
      </w:r>
    </w:p>
    <w:p w14:paraId="0C6247AF" w14:textId="718EA12D" w:rsidR="003E1D81" w:rsidRDefault="00EB481C">
      <w:pPr>
        <w:pStyle w:val="P68B1DB1-Normal4"/>
        <w:spacing w:before="120" w:after="120" w:line="240" w:lineRule="auto"/>
        <w:jc w:val="both"/>
        <w:rPr>
          <w:rFonts w:cs="Times New Roman"/>
          <w:noProof/>
        </w:rPr>
      </w:pPr>
      <w:r>
        <w:rPr>
          <w:noProof/>
        </w:rPr>
        <w:t>– Az alacsony szén-dioxid-kibocsátású övezetek projektjének tartalmaznia kell az alacsony szén-dioxid</w:t>
      </w:r>
      <w:r>
        <w:rPr>
          <w:noProof/>
        </w:rPr>
        <w:t>-kibocsátású gazdasági övezetek üvegházhatásúgáz-kibocsátásának 2030-ig történő csökkentésére vonatkozó mérhető és számszerűsíthető célokat, összhangban a nemzeti integrált energia- és éghajlat-politikai tervben (PNIEC) meghatározott célkitűzésekkel, külön</w:t>
      </w:r>
      <w:r>
        <w:rPr>
          <w:noProof/>
        </w:rPr>
        <w:t xml:space="preserve">ösen azzal a célkitűzéssel, hogy a magángépjárművek használatát más közlekedési módokhoz képest csökkentsék. </w:t>
      </w:r>
    </w:p>
    <w:p w14:paraId="17220018" w14:textId="105E6062" w:rsidR="003E1D81" w:rsidRDefault="00EB481C">
      <w:pPr>
        <w:pStyle w:val="P68B1DB1-Normal4"/>
        <w:spacing w:before="120" w:after="120" w:line="240" w:lineRule="auto"/>
        <w:jc w:val="both"/>
        <w:rPr>
          <w:rFonts w:cs="Times New Roman"/>
          <w:noProof/>
        </w:rPr>
      </w:pPr>
      <w:r>
        <w:rPr>
          <w:noProof/>
        </w:rPr>
        <w:t xml:space="preserve">A járművek bejutására, közlekedésére és parkolására vonatkozó tilalmak vagy korlátozások, a szennyező potenciáljuktól függően. </w:t>
      </w:r>
    </w:p>
    <w:p w14:paraId="49F755DC" w14:textId="6FEB6BD5" w:rsidR="003E1D81" w:rsidRDefault="00EB481C">
      <w:pPr>
        <w:pStyle w:val="P68B1DB1-Normal4"/>
        <w:spacing w:before="120" w:after="120" w:line="240" w:lineRule="auto"/>
        <w:jc w:val="both"/>
        <w:rPr>
          <w:rFonts w:cs="Times New Roman"/>
          <w:noProof/>
        </w:rPr>
      </w:pPr>
      <w:r>
        <w:rPr>
          <w:noProof/>
        </w:rPr>
        <w:t>A királyi rendelet</w:t>
      </w:r>
      <w:r>
        <w:rPr>
          <w:noProof/>
        </w:rPr>
        <w:t xml:space="preserve"> 18 hónapos átmeneti időszakot biztosít az 1052/2022. sz. királyi rendelet jóváhagyása előtt létrehozott, már meglévő helyi gazdasági övezetek számára az e minimumkövetelményekhez való alkalmazkodásra.</w:t>
      </w:r>
    </w:p>
    <w:p w14:paraId="5A9B3D10" w14:textId="35F924EE" w:rsidR="003E1D81" w:rsidRDefault="00EB481C">
      <w:pPr>
        <w:pStyle w:val="P68B1DB1-Normal4"/>
        <w:spacing w:after="0"/>
        <w:rPr>
          <w:rFonts w:cs="Times New Roman"/>
          <w:noProof/>
        </w:rPr>
      </w:pPr>
      <w:r>
        <w:rPr>
          <w:noProof/>
        </w:rPr>
        <w:t>Az intézkedés végrehajtását 2022 decemberéig be kell f</w:t>
      </w:r>
      <w:r>
        <w:rPr>
          <w:noProof/>
        </w:rPr>
        <w:t xml:space="preserve">ejezni. </w:t>
      </w:r>
    </w:p>
    <w:p w14:paraId="7FBD4578" w14:textId="3C3D3D0F" w:rsidR="003E1D81" w:rsidRDefault="003E1D81">
      <w:pPr>
        <w:spacing w:before="120" w:after="120" w:line="240" w:lineRule="auto"/>
        <w:rPr>
          <w:rFonts w:ascii="Times New Roman" w:eastAsia="Times New Roman" w:hAnsi="Times New Roman" w:cs="Times New Roman"/>
          <w:noProof/>
          <w:sz w:val="24"/>
        </w:rPr>
      </w:pPr>
    </w:p>
    <w:p w14:paraId="01CE9A3D" w14:textId="0CC93156" w:rsidR="003E1D81" w:rsidRDefault="00EB481C">
      <w:pPr>
        <w:pStyle w:val="P68B1DB1-Normal15"/>
        <w:spacing w:before="120" w:after="120" w:line="240" w:lineRule="auto"/>
        <w:ind w:left="720"/>
        <w:jc w:val="both"/>
        <w:rPr>
          <w:rFonts w:cs="Times New Roman"/>
          <w:b/>
          <w:noProof/>
          <w:sz w:val="24"/>
        </w:rPr>
      </w:pPr>
      <w:r>
        <w:rPr>
          <w:b/>
          <w:noProof/>
          <w:sz w:val="24"/>
        </w:rPr>
        <w:t xml:space="preserve">A.5. </w:t>
      </w:r>
      <w:r>
        <w:rPr>
          <w:noProof/>
        </w:rPr>
        <w:tab/>
      </w:r>
      <w:r>
        <w:rPr>
          <w:b/>
          <w:noProof/>
          <w:sz w:val="24"/>
        </w:rPr>
        <w:t>A hiteltámogatás nyomon követésének és végrehajtásának mérföldkövei, céljai, mutatói és ütemterve</w:t>
      </w:r>
    </w:p>
    <w:p w14:paraId="25E41C73" w14:textId="7A957642" w:rsidR="003E1D81" w:rsidRDefault="00EB481C">
      <w:pPr>
        <w:pStyle w:val="P68B1DB1-Normal4"/>
        <w:spacing w:before="120" w:after="120" w:line="240" w:lineRule="auto"/>
        <w:jc w:val="both"/>
        <w:rPr>
          <w:rFonts w:cs="Times New Roman"/>
          <w:i/>
          <w:noProof/>
        </w:rPr>
        <w:sectPr w:rsidR="003E1D81" w:rsidSect="00BF0BE2">
          <w:headerReference w:type="even" r:id="rId30"/>
          <w:headerReference w:type="default" r:id="rId31"/>
          <w:footerReference w:type="even" r:id="rId32"/>
          <w:footerReference w:type="default" r:id="rId33"/>
          <w:headerReference w:type="first" r:id="rId34"/>
          <w:footerReference w:type="first" r:id="rId35"/>
          <w:pgSz w:w="11907" w:h="16839"/>
          <w:pgMar w:top="1134" w:right="1417" w:bottom="1134" w:left="1417" w:header="709" w:footer="709" w:gutter="0"/>
          <w:cols w:space="720"/>
          <w:docGrid w:linePitch="360"/>
        </w:sectPr>
      </w:pPr>
      <w:r>
        <w:rPr>
          <w:i/>
          <w:noProof/>
        </w:rPr>
        <w:t>Táblázat alább.</w:t>
      </w:r>
      <w:r>
        <w:rPr>
          <w:noProof/>
        </w:rPr>
        <w:t xml:space="preserve"> </w:t>
      </w:r>
      <w:r>
        <w:rPr>
          <w:i/>
          <w:noProof/>
        </w:rPr>
        <w:t xml:space="preserve">Az alapforgatókönyv valamennyi mutató esetében 2020. február 1-je, </w:t>
      </w:r>
      <w:r>
        <w:rPr>
          <w:i/>
          <w:noProof/>
        </w:rPr>
        <w:t>kivéve, ha az intézkedés leírása másként jelzi. A táblázatban szereplő összegek nem tartalmazzák a héát</w:t>
      </w:r>
    </w:p>
    <w:p w14:paraId="3592CA0E" w14:textId="7BF58D31" w:rsidR="003E1D81" w:rsidRDefault="003E1D81">
      <w:pPr>
        <w:spacing w:before="120" w:after="120" w:line="240" w:lineRule="auto"/>
        <w:jc w:val="both"/>
        <w:rPr>
          <w:rFonts w:ascii="Times New Roman" w:hAnsi="Times New Roman" w:cs="Times New Roman"/>
          <w:i/>
          <w:noProof/>
          <w:sz w:val="24"/>
        </w:rPr>
      </w:pPr>
    </w:p>
    <w:tbl>
      <w:tblPr>
        <w:tblW w:w="1516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134"/>
        <w:gridCol w:w="851"/>
        <w:gridCol w:w="567"/>
        <w:gridCol w:w="850"/>
        <w:gridCol w:w="425"/>
        <w:gridCol w:w="567"/>
        <w:gridCol w:w="5387"/>
      </w:tblGrid>
      <w:tr w:rsidR="003E1D81" w14:paraId="6BD95B45" w14:textId="77777777">
        <w:trPr>
          <w:trHeight w:val="309"/>
          <w:tblHeader/>
        </w:trPr>
        <w:tc>
          <w:tcPr>
            <w:tcW w:w="709" w:type="dxa"/>
            <w:tcBorders>
              <w:bottom w:val="nil"/>
            </w:tcBorders>
            <w:shd w:val="clear" w:color="auto" w:fill="C6D9F1" w:themeFill="text2" w:themeFillTint="33"/>
            <w:noWrap/>
          </w:tcPr>
          <w:p w14:paraId="1AACD3FD"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tcPr>
          <w:p w14:paraId="734D5A56"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tcPr>
          <w:p w14:paraId="798F95BE"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977" w:type="dxa"/>
            <w:tcBorders>
              <w:bottom w:val="nil"/>
            </w:tcBorders>
            <w:shd w:val="clear" w:color="auto" w:fill="C6D9F1" w:themeFill="text2" w:themeFillTint="33"/>
            <w:noWrap/>
          </w:tcPr>
          <w:p w14:paraId="147087A6" w14:textId="77777777" w:rsidR="003E1D81" w:rsidRDefault="00EB481C">
            <w:pPr>
              <w:pStyle w:val="P68B1DB1-Normal12"/>
              <w:spacing w:after="0" w:line="240" w:lineRule="auto"/>
              <w:jc w:val="center"/>
              <w:rPr>
                <w:rFonts w:cs="Times New Roman"/>
                <w:noProof/>
              </w:rPr>
            </w:pPr>
            <w:r>
              <w:rPr>
                <w:noProof/>
              </w:rPr>
              <w:t>Név</w:t>
            </w:r>
          </w:p>
        </w:tc>
        <w:tc>
          <w:tcPr>
            <w:tcW w:w="1134" w:type="dxa"/>
            <w:tcBorders>
              <w:bottom w:val="nil"/>
            </w:tcBorders>
            <w:shd w:val="clear" w:color="auto" w:fill="C6D9F1" w:themeFill="text2" w:themeFillTint="33"/>
            <w:noWrap/>
          </w:tcPr>
          <w:p w14:paraId="3C1094E4"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2268" w:type="dxa"/>
            <w:gridSpan w:val="3"/>
            <w:shd w:val="clear" w:color="auto" w:fill="C6D9F1" w:themeFill="text2" w:themeFillTint="33"/>
            <w:noWrap/>
          </w:tcPr>
          <w:p w14:paraId="632CC166"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92" w:type="dxa"/>
            <w:gridSpan w:val="2"/>
            <w:shd w:val="clear" w:color="auto" w:fill="C6D9F1" w:themeFill="text2" w:themeFillTint="33"/>
            <w:noWrap/>
          </w:tcPr>
          <w:p w14:paraId="47044656" w14:textId="77777777" w:rsidR="003E1D81" w:rsidRDefault="00EB481C">
            <w:pPr>
              <w:pStyle w:val="P68B1DB1-Normal12"/>
              <w:spacing w:after="0" w:line="240" w:lineRule="auto"/>
              <w:jc w:val="center"/>
              <w:rPr>
                <w:rFonts w:cs="Times New Roman"/>
                <w:noProof/>
              </w:rPr>
            </w:pPr>
            <w:r>
              <w:rPr>
                <w:noProof/>
              </w:rPr>
              <w:t>Idő</w:t>
            </w:r>
          </w:p>
        </w:tc>
        <w:tc>
          <w:tcPr>
            <w:tcW w:w="5387" w:type="dxa"/>
            <w:tcBorders>
              <w:bottom w:val="nil"/>
            </w:tcBorders>
            <w:shd w:val="clear" w:color="auto" w:fill="C6D9F1" w:themeFill="text2" w:themeFillTint="33"/>
            <w:noWrap/>
          </w:tcPr>
          <w:p w14:paraId="0A0B3ABF"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148BE033" w14:textId="77777777">
        <w:trPr>
          <w:trHeight w:val="309"/>
          <w:tblHeader/>
        </w:trPr>
        <w:tc>
          <w:tcPr>
            <w:tcW w:w="709" w:type="dxa"/>
            <w:tcBorders>
              <w:top w:val="nil"/>
            </w:tcBorders>
            <w:shd w:val="clear" w:color="auto" w:fill="C6D9F1" w:themeFill="text2" w:themeFillTint="33"/>
            <w:noWrap/>
          </w:tcPr>
          <w:p w14:paraId="0C8F5484"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1A9F589"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203D81B5" w14:textId="77777777" w:rsidR="003E1D81" w:rsidRDefault="003E1D81">
            <w:pPr>
              <w:spacing w:after="0" w:line="240" w:lineRule="auto"/>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72A5B6D2" w14:textId="77777777" w:rsidR="003E1D81" w:rsidRDefault="003E1D81">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5A638DB9" w14:textId="77777777" w:rsidR="003E1D81" w:rsidRDefault="003E1D81">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tcPr>
          <w:p w14:paraId="3840E0BA" w14:textId="77777777" w:rsidR="003E1D81" w:rsidRDefault="00EB481C">
            <w:pPr>
              <w:pStyle w:val="P68B1DB1-Normal12"/>
              <w:spacing w:after="0" w:line="240" w:lineRule="auto"/>
              <w:jc w:val="center"/>
              <w:rPr>
                <w:rFonts w:cs="Times New Roman"/>
                <w:noProof/>
              </w:rPr>
            </w:pPr>
            <w:r>
              <w:rPr>
                <w:noProof/>
              </w:rPr>
              <w:t>Egység</w:t>
            </w:r>
          </w:p>
        </w:tc>
        <w:tc>
          <w:tcPr>
            <w:tcW w:w="567" w:type="dxa"/>
            <w:shd w:val="clear" w:color="auto" w:fill="C6D9F1" w:themeFill="text2" w:themeFillTint="33"/>
            <w:noWrap/>
          </w:tcPr>
          <w:p w14:paraId="2BFA1657" w14:textId="77777777" w:rsidR="003E1D81" w:rsidRDefault="00EB481C">
            <w:pPr>
              <w:pStyle w:val="P68B1DB1-Normal12"/>
              <w:spacing w:after="0" w:line="240" w:lineRule="auto"/>
              <w:jc w:val="center"/>
              <w:rPr>
                <w:rFonts w:cs="Times New Roman"/>
                <w:noProof/>
              </w:rPr>
            </w:pPr>
            <w:r>
              <w:rPr>
                <w:noProof/>
              </w:rPr>
              <w:t>Alapérték</w:t>
            </w:r>
          </w:p>
        </w:tc>
        <w:tc>
          <w:tcPr>
            <w:tcW w:w="850" w:type="dxa"/>
            <w:shd w:val="clear" w:color="auto" w:fill="C6D9F1" w:themeFill="text2" w:themeFillTint="33"/>
            <w:noWrap/>
          </w:tcPr>
          <w:p w14:paraId="3437C81F" w14:textId="77777777" w:rsidR="003E1D81" w:rsidRDefault="00EB481C">
            <w:pPr>
              <w:pStyle w:val="P68B1DB1-Normal12"/>
              <w:spacing w:after="0" w:line="240" w:lineRule="auto"/>
              <w:jc w:val="center"/>
              <w:rPr>
                <w:rFonts w:cs="Times New Roman"/>
                <w:noProof/>
              </w:rPr>
            </w:pPr>
            <w:r>
              <w:rPr>
                <w:noProof/>
              </w:rPr>
              <w:t>Cél</w:t>
            </w:r>
          </w:p>
        </w:tc>
        <w:tc>
          <w:tcPr>
            <w:tcW w:w="425" w:type="dxa"/>
            <w:shd w:val="clear" w:color="auto" w:fill="C6D9F1" w:themeFill="text2" w:themeFillTint="33"/>
            <w:noWrap/>
          </w:tcPr>
          <w:p w14:paraId="5B050FCC"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6C3BEA56" w14:textId="77777777" w:rsidR="003E1D81" w:rsidRDefault="00EB481C">
            <w:pPr>
              <w:pStyle w:val="P68B1DB1-Normal12"/>
              <w:spacing w:after="0" w:line="240" w:lineRule="auto"/>
              <w:jc w:val="center"/>
              <w:rPr>
                <w:rFonts w:cs="Times New Roman"/>
                <w:noProof/>
              </w:rPr>
            </w:pPr>
            <w:r>
              <w:rPr>
                <w:noProof/>
              </w:rPr>
              <w:t>Éve</w:t>
            </w:r>
          </w:p>
        </w:tc>
        <w:tc>
          <w:tcPr>
            <w:tcW w:w="5387" w:type="dxa"/>
            <w:tcBorders>
              <w:top w:val="nil"/>
            </w:tcBorders>
            <w:shd w:val="clear" w:color="auto" w:fill="C6D9F1" w:themeFill="text2" w:themeFillTint="33"/>
            <w:noWrap/>
          </w:tcPr>
          <w:p w14:paraId="5199CE4A" w14:textId="77777777" w:rsidR="003E1D81" w:rsidRDefault="003E1D81">
            <w:pPr>
              <w:spacing w:after="0" w:line="240" w:lineRule="auto"/>
              <w:rPr>
                <w:rFonts w:ascii="Times New Roman" w:hAnsi="Times New Roman" w:cs="Times New Roman"/>
                <w:b/>
                <w:noProof/>
                <w:sz w:val="18"/>
              </w:rPr>
            </w:pPr>
          </w:p>
        </w:tc>
      </w:tr>
      <w:tr w:rsidR="003E1D81" w14:paraId="3E464E53" w14:textId="77777777">
        <w:trPr>
          <w:trHeight w:val="1382"/>
        </w:trPr>
        <w:tc>
          <w:tcPr>
            <w:tcW w:w="709" w:type="dxa"/>
            <w:shd w:val="clear" w:color="auto" w:fill="C6EFCE"/>
            <w:noWrap/>
          </w:tcPr>
          <w:p w14:paraId="5524CCE8" w14:textId="42F22272" w:rsidR="003E1D81" w:rsidRDefault="00EB481C">
            <w:pPr>
              <w:spacing w:after="0" w:line="240" w:lineRule="auto"/>
              <w:jc w:val="center"/>
              <w:rPr>
                <w:rFonts w:ascii="Times New Roman" w:eastAsia="MS Mincho" w:hAnsi="Times New Roman" w:cs="Times New Roman"/>
                <w:noProof/>
                <w:sz w:val="18"/>
              </w:rPr>
            </w:pPr>
            <w:r>
              <w:rPr>
                <w:rFonts w:ascii="Times New Roman" w:hAnsi="Times New Roman"/>
                <w:noProof/>
                <w:sz w:val="18"/>
              </w:rPr>
              <w:t>L1</w:t>
            </w:r>
            <w:r>
              <w:rPr>
                <w:rFonts w:ascii="Arial" w:hAnsi="Arial"/>
                <w:b/>
                <w:noProof/>
                <w:sz w:val="48"/>
              </w:rPr>
              <w:t xml:space="preserve"> </w:t>
            </w:r>
            <w:r>
              <w:rPr>
                <w:rFonts w:ascii="Arial" w:hAnsi="Arial"/>
                <w:b/>
                <w:noProof/>
                <w:sz w:val="48"/>
              </w:rPr>
              <w:tab/>
            </w:r>
            <w:r>
              <w:rPr>
                <w:rFonts w:ascii="Arial" w:hAnsi="Arial"/>
                <w:b/>
                <w:noProof/>
                <w:sz w:val="48"/>
              </w:rPr>
              <w:tab/>
            </w:r>
            <w:r>
              <w:rPr>
                <w:noProof/>
              </w:rPr>
              <w:tab/>
            </w:r>
          </w:p>
        </w:tc>
        <w:tc>
          <w:tcPr>
            <w:tcW w:w="851" w:type="dxa"/>
            <w:shd w:val="clear" w:color="auto" w:fill="C6EFCE"/>
            <w:noWrap/>
          </w:tcPr>
          <w:p w14:paraId="7FD5CBF3" w14:textId="6A46C06E" w:rsidR="003E1D81" w:rsidRDefault="00EB481C">
            <w:pPr>
              <w:pStyle w:val="P68B1DB1-Normal13"/>
              <w:spacing w:after="0" w:line="240" w:lineRule="auto"/>
              <w:jc w:val="center"/>
              <w:rPr>
                <w:rFonts w:eastAsia="MS Mincho" w:cs="Times New Roman"/>
                <w:noProof/>
              </w:rPr>
            </w:pPr>
            <w:r>
              <w:rPr>
                <w:noProof/>
              </w:rPr>
              <w:t>C1.R3</w:t>
            </w:r>
          </w:p>
        </w:tc>
        <w:tc>
          <w:tcPr>
            <w:tcW w:w="850" w:type="dxa"/>
            <w:shd w:val="clear" w:color="auto" w:fill="C6EFCE"/>
            <w:noWrap/>
          </w:tcPr>
          <w:p w14:paraId="47FE2A27" w14:textId="77777777" w:rsidR="003E1D81" w:rsidRDefault="00EB481C">
            <w:pPr>
              <w:pStyle w:val="P68B1DB1-Normal13"/>
              <w:spacing w:after="0" w:line="240" w:lineRule="auto"/>
              <w:jc w:val="center"/>
              <w:rPr>
                <w:rFonts w:eastAsia="MS Mincho" w:cs="Times New Roman"/>
                <w:noProof/>
              </w:rPr>
            </w:pPr>
            <w:r>
              <w:rPr>
                <w:noProof/>
              </w:rPr>
              <w:t>M</w:t>
            </w:r>
          </w:p>
        </w:tc>
        <w:tc>
          <w:tcPr>
            <w:tcW w:w="2977" w:type="dxa"/>
            <w:shd w:val="clear" w:color="auto" w:fill="C6EFCE"/>
            <w:noWrap/>
          </w:tcPr>
          <w:p w14:paraId="7CA40430" w14:textId="6B532929" w:rsidR="003E1D81" w:rsidRDefault="00EB481C">
            <w:pPr>
              <w:pStyle w:val="P68B1DB1-Normal13"/>
              <w:spacing w:after="0" w:line="240" w:lineRule="auto"/>
              <w:rPr>
                <w:rFonts w:eastAsia="MS Mincho" w:cs="Times New Roman"/>
                <w:noProof/>
              </w:rPr>
            </w:pPr>
            <w:r>
              <w:rPr>
                <w:noProof/>
              </w:rPr>
              <w:t>Az alacsony kibocsátású övezeteket szabályozó királyi rendelet hatálybalépése</w:t>
            </w:r>
          </w:p>
        </w:tc>
        <w:tc>
          <w:tcPr>
            <w:tcW w:w="1134" w:type="dxa"/>
            <w:shd w:val="clear" w:color="auto" w:fill="C6EFCE"/>
            <w:noWrap/>
          </w:tcPr>
          <w:p w14:paraId="3B41A677" w14:textId="0A7A99E8" w:rsidR="003E1D81" w:rsidRDefault="00EB481C">
            <w:pPr>
              <w:pStyle w:val="P68B1DB1-Normal13"/>
              <w:spacing w:after="0" w:line="240" w:lineRule="auto"/>
              <w:jc w:val="center"/>
              <w:rPr>
                <w:rFonts w:eastAsia="MS Mincho" w:cs="Times New Roman"/>
                <w:noProof/>
              </w:rPr>
            </w:pPr>
            <w:r>
              <w:rPr>
                <w:noProof/>
              </w:rPr>
              <w:t>A királyi törvényerejű rendelet hatálybalépésére vonatkozó rendelkezése</w:t>
            </w:r>
          </w:p>
        </w:tc>
        <w:tc>
          <w:tcPr>
            <w:tcW w:w="851" w:type="dxa"/>
            <w:shd w:val="clear" w:color="auto" w:fill="C6EFCE"/>
            <w:noWrap/>
          </w:tcPr>
          <w:p w14:paraId="609BF4FA"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5A11FB2D"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850" w:type="dxa"/>
            <w:shd w:val="clear" w:color="auto" w:fill="C6EFCE"/>
            <w:noWrap/>
          </w:tcPr>
          <w:p w14:paraId="7EDDDDD0"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2093670E"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51E54C8A" w14:textId="6B1993A0" w:rsidR="003E1D81" w:rsidRDefault="00EB481C">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4B63CC5" w14:textId="32E6CE3F" w:rsidR="003E1D81" w:rsidRDefault="00EB481C">
            <w:pPr>
              <w:pStyle w:val="P68B1DB1-Normal13"/>
              <w:spacing w:after="0" w:line="240" w:lineRule="auto"/>
              <w:rPr>
                <w:rFonts w:eastAsia="MS Mincho" w:cs="Times New Roman"/>
                <w:noProof/>
              </w:rPr>
            </w:pPr>
            <w:r>
              <w:rPr>
                <w:noProof/>
              </w:rPr>
              <w:t xml:space="preserve">Az alacsony kibocsátású övezeteket </w:t>
            </w:r>
            <w:r>
              <w:rPr>
                <w:noProof/>
              </w:rPr>
              <w:t>szabályozó, december 27-i 1052/2022. sz. királyi rendelet hatálybalépése</w:t>
            </w:r>
          </w:p>
        </w:tc>
      </w:tr>
    </w:tbl>
    <w:p w14:paraId="308E1221" w14:textId="77777777" w:rsidR="003E1D81" w:rsidRDefault="003E1D81">
      <w:pPr>
        <w:spacing w:before="120" w:after="120" w:line="240" w:lineRule="auto"/>
        <w:jc w:val="both"/>
        <w:rPr>
          <w:rFonts w:ascii="Times New Roman" w:hAnsi="Times New Roman" w:cs="Times New Roman"/>
          <w:i/>
          <w:noProof/>
          <w:sz w:val="24"/>
        </w:rPr>
      </w:pPr>
    </w:p>
    <w:p w14:paraId="1FC01242" w14:textId="77777777" w:rsidR="003E1D81" w:rsidRDefault="003E1D81">
      <w:pPr>
        <w:spacing w:before="120" w:after="120" w:line="240" w:lineRule="auto"/>
        <w:jc w:val="both"/>
        <w:rPr>
          <w:rFonts w:ascii="Times New Roman" w:hAnsi="Times New Roman" w:cs="Times New Roman"/>
          <w:i/>
          <w:noProof/>
          <w:sz w:val="24"/>
        </w:rPr>
      </w:pPr>
    </w:p>
    <w:p w14:paraId="7A221F47" w14:textId="77777777" w:rsidR="003E1D81" w:rsidRDefault="003E1D81">
      <w:pPr>
        <w:spacing w:before="120" w:after="120" w:line="240" w:lineRule="auto"/>
        <w:jc w:val="both"/>
        <w:rPr>
          <w:rFonts w:ascii="Times New Roman" w:hAnsi="Times New Roman" w:cs="Times New Roman"/>
          <w:i/>
          <w:noProof/>
          <w:sz w:val="24"/>
        </w:rPr>
      </w:pPr>
    </w:p>
    <w:p w14:paraId="2AC58087" w14:textId="77777777" w:rsidR="003E1D81" w:rsidRDefault="003E1D81">
      <w:pPr>
        <w:spacing w:before="120" w:after="120" w:line="240" w:lineRule="auto"/>
        <w:jc w:val="both"/>
        <w:rPr>
          <w:rFonts w:ascii="Times New Roman" w:hAnsi="Times New Roman" w:cs="Times New Roman"/>
          <w:i/>
          <w:noProof/>
          <w:sz w:val="24"/>
        </w:rPr>
      </w:pPr>
    </w:p>
    <w:p w14:paraId="40B73690" w14:textId="77777777" w:rsidR="003E1D81" w:rsidRDefault="003E1D81">
      <w:pPr>
        <w:spacing w:before="120" w:after="120" w:line="240" w:lineRule="auto"/>
        <w:jc w:val="both"/>
        <w:rPr>
          <w:rFonts w:ascii="Times New Roman" w:hAnsi="Times New Roman" w:cs="Times New Roman"/>
          <w:i/>
          <w:noProof/>
          <w:sz w:val="24"/>
        </w:rPr>
      </w:pPr>
    </w:p>
    <w:p w14:paraId="3FB8C7C8" w14:textId="77777777" w:rsidR="003E1D81" w:rsidRDefault="003E1D81">
      <w:pPr>
        <w:spacing w:before="120" w:after="120" w:line="240" w:lineRule="auto"/>
        <w:jc w:val="both"/>
        <w:rPr>
          <w:rFonts w:ascii="Times New Roman" w:hAnsi="Times New Roman" w:cs="Times New Roman"/>
          <w:i/>
          <w:noProof/>
          <w:sz w:val="24"/>
        </w:rPr>
      </w:pPr>
    </w:p>
    <w:p w14:paraId="5810D5C0" w14:textId="77777777" w:rsidR="003E1D81" w:rsidRDefault="003E1D81">
      <w:pPr>
        <w:spacing w:before="120" w:after="120" w:line="240" w:lineRule="auto"/>
        <w:jc w:val="both"/>
        <w:rPr>
          <w:rFonts w:ascii="Times New Roman" w:hAnsi="Times New Roman" w:cs="Times New Roman"/>
          <w:i/>
          <w:noProof/>
          <w:sz w:val="24"/>
        </w:rPr>
      </w:pPr>
    </w:p>
    <w:p w14:paraId="4FA6A412" w14:textId="77777777" w:rsidR="003E1D81" w:rsidRDefault="003E1D81">
      <w:pPr>
        <w:spacing w:before="120" w:after="120" w:line="240" w:lineRule="auto"/>
        <w:jc w:val="both"/>
        <w:rPr>
          <w:rFonts w:ascii="Times New Roman" w:hAnsi="Times New Roman" w:cs="Times New Roman"/>
          <w:i/>
          <w:noProof/>
          <w:sz w:val="24"/>
        </w:rPr>
      </w:pPr>
    </w:p>
    <w:p w14:paraId="432AC264" w14:textId="77777777" w:rsidR="003E1D81" w:rsidRDefault="003E1D81">
      <w:pPr>
        <w:spacing w:before="120" w:after="120" w:line="240" w:lineRule="auto"/>
        <w:jc w:val="both"/>
        <w:rPr>
          <w:rFonts w:ascii="Times New Roman" w:hAnsi="Times New Roman" w:cs="Times New Roman"/>
          <w:i/>
          <w:noProof/>
          <w:sz w:val="24"/>
        </w:rPr>
      </w:pPr>
    </w:p>
    <w:p w14:paraId="207B81E9" w14:textId="77777777" w:rsidR="003E1D81" w:rsidRDefault="003E1D81">
      <w:pPr>
        <w:spacing w:before="120" w:after="120" w:line="240" w:lineRule="auto"/>
        <w:jc w:val="both"/>
        <w:rPr>
          <w:rFonts w:ascii="Times New Roman" w:hAnsi="Times New Roman" w:cs="Times New Roman"/>
          <w:i/>
          <w:noProof/>
          <w:sz w:val="24"/>
        </w:rPr>
      </w:pPr>
    </w:p>
    <w:p w14:paraId="717E2139" w14:textId="2EE809B8" w:rsidR="003E1D81" w:rsidRDefault="003E1D81">
      <w:pPr>
        <w:spacing w:before="120" w:after="120" w:line="240" w:lineRule="auto"/>
        <w:jc w:val="both"/>
        <w:rPr>
          <w:rFonts w:ascii="Times New Roman" w:hAnsi="Times New Roman" w:cs="Times New Roman"/>
          <w:i/>
          <w:noProof/>
          <w:sz w:val="24"/>
        </w:rPr>
        <w:sectPr w:rsidR="003E1D81" w:rsidSect="00BF0BE2">
          <w:headerReference w:type="even" r:id="rId36"/>
          <w:headerReference w:type="default" r:id="rId37"/>
          <w:footerReference w:type="even" r:id="rId38"/>
          <w:footerReference w:type="default" r:id="rId39"/>
          <w:headerReference w:type="first" r:id="rId40"/>
          <w:footerReference w:type="first" r:id="rId41"/>
          <w:pgSz w:w="16839" w:h="11907" w:orient="landscape"/>
          <w:pgMar w:top="1417" w:right="1134" w:bottom="1417" w:left="1134" w:header="709" w:footer="709" w:gutter="0"/>
          <w:cols w:space="720"/>
          <w:docGrid w:linePitch="360"/>
        </w:sectPr>
      </w:pPr>
    </w:p>
    <w:p w14:paraId="37F82C0A" w14:textId="77777777" w:rsidR="003E1D81" w:rsidRDefault="003E1D81">
      <w:pPr>
        <w:spacing w:before="120" w:after="120" w:line="240" w:lineRule="auto"/>
        <w:jc w:val="both"/>
        <w:rPr>
          <w:rFonts w:ascii="Times New Roman" w:hAnsi="Times New Roman" w:cs="Times New Roman"/>
          <w:i/>
          <w:noProof/>
          <w:sz w:val="24"/>
        </w:rPr>
      </w:pPr>
    </w:p>
    <w:p w14:paraId="771F135C" w14:textId="06E4743F" w:rsidR="003E1D81" w:rsidRDefault="00EB481C">
      <w:pPr>
        <w:pStyle w:val="P68B1DB1-Heading12"/>
        <w:rPr>
          <w:rFonts w:cs="Times New Roman"/>
          <w:b w:val="0"/>
          <w:smallCaps w:val="0"/>
          <w:noProof/>
          <w:sz w:val="22"/>
        </w:rPr>
      </w:pPr>
      <w:r>
        <w:rPr>
          <w:noProof/>
        </w:rPr>
        <w:t xml:space="preserve">B. 02. ÖSSZETEVŐ: A spanyol városfejlesztési menetrend végrehajtása: Városrehabilitációs és -rehabilitációs </w:t>
      </w:r>
      <w:r>
        <w:rPr>
          <w:noProof/>
        </w:rPr>
        <w:t>terv</w:t>
      </w:r>
    </w:p>
    <w:p w14:paraId="4711963D" w14:textId="77777777" w:rsidR="003E1D81" w:rsidRDefault="00EB481C">
      <w:pPr>
        <w:pStyle w:val="P68B1DB1-Normal4"/>
        <w:spacing w:before="120" w:after="120" w:line="240" w:lineRule="auto"/>
        <w:jc w:val="both"/>
        <w:rPr>
          <w:rFonts w:cs="Times New Roman"/>
          <w:noProof/>
        </w:rPr>
      </w:pPr>
      <w:r>
        <w:rPr>
          <w:noProof/>
        </w:rPr>
        <w:t>A spanyol helyreállítási és rezilienciaépítési terv e komponense az épületek energetikai rehabilitációjával, dekarbonizációjával, valamint minőségének és kényelmének javításával foglalkozik. Foglalkoznia kell továbbá a szociális bérlakások kérdésével,</w:t>
      </w:r>
      <w:r>
        <w:rPr>
          <w:noProof/>
        </w:rPr>
        <w:t xml:space="preserve"> növelnie kell azok állományát, és biztosítania kell a méltányosabb és inkluzívabb helyreállítást. Emellett a komponens célja az energiaszegénység kezelése a szociális vagy megfizethető bérlakások támogatása révén. Ide tartoznak a digitalizációs tevékenysé</w:t>
      </w:r>
      <w:r>
        <w:rPr>
          <w:noProof/>
        </w:rPr>
        <w:t>gek is. A spanyol helyreállítási és rezilienciaépítési terv e komponense támogatja Spanyolország nemzeti energia- és klímatervének (NEKT) végrehajtását, amely 2030-ig 1200000 lakóépület felújítását, valamint évente átlagosan 300000 lakóépület fűtési és hűt</w:t>
      </w:r>
      <w:r>
        <w:rPr>
          <w:noProof/>
        </w:rPr>
        <w:t>ési rendszerének felújítását írja elő. Ezzel összefüggésben Spanyolország a következőket javasolja:</w:t>
      </w:r>
    </w:p>
    <w:p w14:paraId="69D11A7C" w14:textId="77777777" w:rsidR="003E1D81" w:rsidRDefault="00EB481C">
      <w:pPr>
        <w:pStyle w:val="P68B1DB1-Normal4"/>
        <w:numPr>
          <w:ilvl w:val="0"/>
          <w:numId w:val="68"/>
        </w:numPr>
        <w:spacing w:before="120" w:after="0" w:line="240" w:lineRule="auto"/>
        <w:ind w:left="709" w:hanging="357"/>
        <w:contextualSpacing/>
        <w:jc w:val="both"/>
        <w:rPr>
          <w:rFonts w:cs="Times New Roman"/>
          <w:noProof/>
        </w:rPr>
      </w:pPr>
      <w:r>
        <w:rPr>
          <w:noProof/>
        </w:rPr>
        <w:t xml:space="preserve">Reformintézkedések kidolgozása és végrehajtása, beleértve a spanyol városfejlesztési menetrendet, Spanyolország hosszú távú felújítási stratégiáját, a </w:t>
      </w:r>
      <w:r>
        <w:rPr>
          <w:noProof/>
        </w:rPr>
        <w:t>lakhatásról szóló törvényt, az építészeti táj javítását célzó törvényt és az épületek felújítására szolgáló „egyablakos ügyintézés” létrehozását;</w:t>
      </w:r>
    </w:p>
    <w:p w14:paraId="3972EFB7" w14:textId="2C54E070" w:rsidR="003E1D81" w:rsidRDefault="00EB481C">
      <w:pPr>
        <w:pStyle w:val="P68B1DB1-Normal4"/>
        <w:numPr>
          <w:ilvl w:val="0"/>
          <w:numId w:val="68"/>
        </w:numPr>
        <w:spacing w:before="120" w:after="0" w:line="240" w:lineRule="auto"/>
        <w:ind w:left="709" w:hanging="357"/>
        <w:contextualSpacing/>
        <w:jc w:val="both"/>
        <w:rPr>
          <w:rFonts w:cs="Times New Roman"/>
          <w:noProof/>
        </w:rPr>
      </w:pPr>
      <w:r>
        <w:rPr>
          <w:noProof/>
        </w:rPr>
        <w:t>legalább 285000 egyedi lakóépület felújítása legalább 410000 felújítási intézkedés részeként, legalább 600 hek</w:t>
      </w:r>
      <w:r>
        <w:rPr>
          <w:noProof/>
        </w:rPr>
        <w:t xml:space="preserve">tár városi terület, legalább 40000 lakóépület és 690 000 m 2 nem lakáscélú épület, legalább 4300 </w:t>
      </w:r>
      <w:bookmarkStart w:id="3" w:name="_Hlk145083957"/>
      <w:bookmarkEnd w:id="3"/>
      <w:r>
        <w:rPr>
          <w:noProof/>
          <w:vertAlign w:val="superscript"/>
        </w:rPr>
        <w:t>lakóépület</w:t>
      </w:r>
      <w:r>
        <w:rPr>
          <w:noProof/>
        </w:rPr>
        <w:t xml:space="preserve"> és 230 000 m 2 nem lakáscélú épület felújítása 5000 főnél kevesebb lakosú</w:t>
      </w:r>
      <w:r>
        <w:rPr>
          <w:noProof/>
          <w:vertAlign w:val="superscript"/>
        </w:rPr>
        <w:t>településeken</w:t>
      </w:r>
      <w:r>
        <w:rPr>
          <w:noProof/>
        </w:rPr>
        <w:t xml:space="preserve"> és városi területeken, valamint legalább 1 230 000 m 2 középü</w:t>
      </w:r>
      <w:r>
        <w:rPr>
          <w:noProof/>
        </w:rPr>
        <w:t>let felújítása 2026-ig,</w:t>
      </w:r>
      <w:r>
        <w:rPr>
          <w:noProof/>
          <w:vertAlign w:val="superscript"/>
        </w:rPr>
        <w:t>átlagosan</w:t>
      </w:r>
      <w:r>
        <w:rPr>
          <w:noProof/>
        </w:rPr>
        <w:t xml:space="preserve"> több mint 30%-os primerenergia-megtakarítást elérve, többek között a fűtési és hűtési rendszerek felújítása és korszerűsítése révén;</w:t>
      </w:r>
    </w:p>
    <w:p w14:paraId="5283C3B9" w14:textId="245BE2FF" w:rsidR="003E1D81" w:rsidRDefault="00EB481C">
      <w:pPr>
        <w:pStyle w:val="P68B1DB1-Normal4"/>
        <w:numPr>
          <w:ilvl w:val="0"/>
          <w:numId w:val="68"/>
        </w:numPr>
        <w:spacing w:before="120" w:after="0" w:line="240" w:lineRule="auto"/>
        <w:ind w:left="709" w:hanging="357"/>
        <w:contextualSpacing/>
        <w:jc w:val="both"/>
        <w:rPr>
          <w:rFonts w:cs="Times New Roman"/>
          <w:noProof/>
        </w:rPr>
      </w:pPr>
      <w:r>
        <w:rPr>
          <w:noProof/>
        </w:rPr>
        <w:t xml:space="preserve">legalább 20000 új lakás építése szociális bérlés céljából vagy megfizethető áron, amelyek </w:t>
      </w:r>
      <w:r>
        <w:rPr>
          <w:noProof/>
        </w:rPr>
        <w:t xml:space="preserve">primerenergia-igénye legalább 20%-kal alacsonyabb a közel nulla energiaigényű épületekre vonatkozó követelményeknél; </w:t>
      </w:r>
    </w:p>
    <w:p w14:paraId="24DE2C23" w14:textId="77777777" w:rsidR="003E1D81" w:rsidRDefault="00EB481C">
      <w:pPr>
        <w:pStyle w:val="P68B1DB1-Normal4"/>
        <w:numPr>
          <w:ilvl w:val="0"/>
          <w:numId w:val="68"/>
        </w:numPr>
        <w:spacing w:before="120" w:after="0" w:line="240" w:lineRule="auto"/>
        <w:ind w:left="709" w:hanging="357"/>
        <w:contextualSpacing/>
        <w:jc w:val="both"/>
        <w:rPr>
          <w:rFonts w:cs="Times New Roman"/>
          <w:noProof/>
        </w:rPr>
      </w:pPr>
      <w:r>
        <w:rPr>
          <w:noProof/>
        </w:rPr>
        <w:t xml:space="preserve">legalább 100 olyan kísérleti projekt végrehajtása helyi szinten, amelyek támogatják az energiahatékonyságot és a spanyol városfejlesztési </w:t>
      </w:r>
      <w:r>
        <w:rPr>
          <w:noProof/>
        </w:rPr>
        <w:t>menetrend végrehajtását; és</w:t>
      </w:r>
    </w:p>
    <w:p w14:paraId="61840508" w14:textId="228203DC" w:rsidR="003E1D81" w:rsidRDefault="00EB481C">
      <w:pPr>
        <w:pStyle w:val="P68B1DB1-Normal4"/>
        <w:numPr>
          <w:ilvl w:val="0"/>
          <w:numId w:val="68"/>
        </w:numPr>
        <w:spacing w:before="120" w:after="0" w:line="240" w:lineRule="auto"/>
        <w:ind w:left="709" w:hanging="357"/>
        <w:contextualSpacing/>
        <w:jc w:val="both"/>
        <w:rPr>
          <w:rFonts w:eastAsia="@MS Mincho" w:cs="Times New Roman"/>
          <w:noProof/>
        </w:rPr>
      </w:pPr>
      <w:r>
        <w:rPr>
          <w:noProof/>
        </w:rPr>
        <w:t>az energiahatékony szociális és megfizethető lakások építéséhez és felújításához szükséges finanszírozáshoz való hozzáférés javítása, valamint tőkepiacok kialakítása ezeken a területeken.</w:t>
      </w:r>
    </w:p>
    <w:p w14:paraId="362D962F" w14:textId="5283A432" w:rsidR="003E1D81" w:rsidRDefault="00EB481C">
      <w:pPr>
        <w:pStyle w:val="P68B1DB1-Normal4"/>
        <w:spacing w:before="120" w:after="120" w:line="240" w:lineRule="auto"/>
        <w:jc w:val="both"/>
        <w:rPr>
          <w:rFonts w:cs="Times New Roman"/>
          <w:noProof/>
        </w:rPr>
      </w:pPr>
      <w:r>
        <w:rPr>
          <w:noProof/>
        </w:rPr>
        <w:t>A spanyol helyreállítási és rezilienciaé</w:t>
      </w:r>
      <w:r>
        <w:rPr>
          <w:noProof/>
        </w:rPr>
        <w:t>pítési terv e komponense hozzájárul a 2023. és a 2022. évi 3. és 4. országspecifikus ajánlás végrehajtásához, amelynek célja az energiahatékony szociális és megfizethető lakhatás rendelkezésre állásának növelése, többek között felújítás révén. Támogatja to</w:t>
      </w:r>
      <w:r>
        <w:rPr>
          <w:noProof/>
        </w:rPr>
        <w:t>vábbá a zöld átállást (2023., 1., 2022. és 3. országspecifikus ajánlás) és különösen az energiahatékonyság javítását (2020. évi 3. országspecifikus ajánlás). Javítja továbbá a családoknak nyújtott támogatást (2019. évi 2. országspecifikus ajánlás; 2020. év</w:t>
      </w:r>
      <w:r>
        <w:rPr>
          <w:noProof/>
        </w:rPr>
        <w:t xml:space="preserve">i 2. országspecifikus ajánlás), valamint segíti a kiforrott közberuházási projektek előreütemezését és a magánberuházások előmozdítását a gazdasági fellendülés előmozdítása érdekében (2020. évi 3. országspecifikus ajánlás). </w:t>
      </w:r>
    </w:p>
    <w:p w14:paraId="55DEF04E" w14:textId="77777777" w:rsidR="003E1D81" w:rsidRDefault="00EB481C">
      <w:pPr>
        <w:pStyle w:val="P68B1DB1-Normal4"/>
        <w:spacing w:before="120" w:after="120" w:line="240" w:lineRule="auto"/>
        <w:jc w:val="both"/>
        <w:rPr>
          <w:rFonts w:cs="Times New Roman"/>
          <w:noProof/>
        </w:rPr>
      </w:pPr>
      <w:r>
        <w:rPr>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w:t>
      </w:r>
      <w:r>
        <w:rPr>
          <w:noProof/>
        </w:rPr>
        <w:t xml:space="preserve">tő lépéseket figyelembe véve ebben a komponensben várhatóan egyetlen intézkedés sem sérti jelentős mértékben az (EU) 2020/852 rendelet 17. cikke szerinti környezeti célkitűzéseket.  </w:t>
      </w:r>
    </w:p>
    <w:p w14:paraId="4BDAA7F8" w14:textId="77777777" w:rsidR="003E1D81" w:rsidRDefault="00EB481C">
      <w:pPr>
        <w:pStyle w:val="P68B1DB1-Normal5"/>
        <w:spacing w:before="120" w:after="120" w:line="240" w:lineRule="auto"/>
        <w:ind w:left="709"/>
        <w:jc w:val="both"/>
        <w:rPr>
          <w:rFonts w:cs="Times New Roman"/>
          <w:i/>
          <w:noProof/>
        </w:rPr>
      </w:pPr>
      <w:r>
        <w:rPr>
          <w:noProof/>
        </w:rPr>
        <w:lastRenderedPageBreak/>
        <w:t xml:space="preserve">B.1. </w:t>
      </w:r>
      <w:r>
        <w:rPr>
          <w:noProof/>
        </w:rPr>
        <w:tab/>
        <w:t>Vissza nem térítendő pénzügyi támogatás – a reformok és beruházások</w:t>
      </w:r>
      <w:r>
        <w:rPr>
          <w:noProof/>
        </w:rPr>
        <w:t xml:space="preserve"> ismertetése</w:t>
      </w:r>
    </w:p>
    <w:p w14:paraId="5DD41E6E" w14:textId="77777777" w:rsidR="003E1D81" w:rsidRDefault="00EB481C">
      <w:pPr>
        <w:pStyle w:val="P68B1DB1-Normal6"/>
        <w:spacing w:before="120" w:after="120" w:line="240" w:lineRule="auto"/>
        <w:jc w:val="both"/>
        <w:rPr>
          <w:rFonts w:cs="Times New Roman"/>
          <w:noProof/>
        </w:rPr>
      </w:pPr>
      <w:r>
        <w:rPr>
          <w:noProof/>
        </w:rPr>
        <w:t>Reform (C2.R1) – A spanyol városfejlesztési menetrend (és a kapcsolódó cselekvési terv) végrehajtása</w:t>
      </w:r>
    </w:p>
    <w:p w14:paraId="606349AF" w14:textId="77777777" w:rsidR="003E1D81" w:rsidRDefault="00EB481C">
      <w:pPr>
        <w:pStyle w:val="P68B1DB1-Normal4"/>
        <w:spacing w:before="120" w:after="120" w:line="240" w:lineRule="auto"/>
        <w:jc w:val="both"/>
        <w:rPr>
          <w:rFonts w:cs="Times New Roman"/>
          <w:noProof/>
        </w:rPr>
      </w:pPr>
      <w:r>
        <w:rPr>
          <w:noProof/>
        </w:rPr>
        <w:t>Ezen intézkedés célja a spanyol városfejlesztési menetrend előkészítése és jóváhagyása, amely stratégiai és nem szabályozási jellegű dokumentu</w:t>
      </w:r>
      <w:r>
        <w:rPr>
          <w:noProof/>
        </w:rPr>
        <w:t>m, amely a fenntarthatóságot beépíti a városfejlesztési politika területére. Emellett olyan munkamódszernek kell lennie, amely iránymutatást nyújt valamennyi köz- és magánszférabeli érdekelt félnek ahhoz, hogy saját területükön méltányos, méltányos és fenn</w:t>
      </w:r>
      <w:r>
        <w:rPr>
          <w:noProof/>
        </w:rPr>
        <w:t xml:space="preserve">tartható fejlődést érjenek el, és népességük méretétől függetlenül a helyi közigazgatást, városokat és falvakat szolgálja, stratégiai, integrált és átfogó perspektívával rendelkező eszközként, amint azt az uniós városfejlesztési menetrend és az Új Lipcsei </w:t>
      </w:r>
      <w:r>
        <w:rPr>
          <w:noProof/>
        </w:rPr>
        <w:t xml:space="preserve">Charta előírja. </w:t>
      </w:r>
    </w:p>
    <w:p w14:paraId="4DA86DCA" w14:textId="77777777" w:rsidR="003E1D81" w:rsidRDefault="00EB481C">
      <w:pPr>
        <w:pStyle w:val="P68B1DB1-Normal4"/>
        <w:spacing w:before="120" w:after="120" w:line="240" w:lineRule="auto"/>
        <w:jc w:val="both"/>
        <w:rPr>
          <w:rFonts w:cs="Times New Roman"/>
          <w:noProof/>
        </w:rPr>
      </w:pPr>
      <w:r>
        <w:rPr>
          <w:noProof/>
        </w:rPr>
        <w:t>A spanyol városfejlesztési menetrendnek tartalmaznia kell a spanyol városok és falvak gyengeségeinek és kihívásainak diagnosztizálását a környezeti szempontból fenntartható, társadalmilag összetartó és gazdaságilag megvalósítható városfejl</w:t>
      </w:r>
      <w:r>
        <w:rPr>
          <w:noProof/>
        </w:rPr>
        <w:t>esztés megvalósítása érdekében. Magában foglal egy stratégiai keretet, amely a következő tíz stratégiai kihívás köré szerveződik: demográfia; környezetvédelem; gazdasági és társadalmi; az épületállomány jelenlegi helyzete; az éghajlatváltozás káros hatásai</w:t>
      </w:r>
      <w:r>
        <w:rPr>
          <w:noProof/>
        </w:rPr>
        <w:t xml:space="preserve">val szembeni sebezhetőség; a turizmustól való (magas) függőség; valamint a szennyezéssel kapcsolatos kockázatok. </w:t>
      </w:r>
    </w:p>
    <w:p w14:paraId="6A741BC3" w14:textId="77777777" w:rsidR="003E1D81" w:rsidRDefault="00EB481C">
      <w:pPr>
        <w:pStyle w:val="P68B1DB1-Normal4"/>
        <w:spacing w:before="120" w:after="120" w:line="240" w:lineRule="auto"/>
        <w:jc w:val="both"/>
        <w:rPr>
          <w:rFonts w:cs="Times New Roman"/>
          <w:noProof/>
        </w:rPr>
      </w:pPr>
      <w:r>
        <w:rPr>
          <w:noProof/>
        </w:rPr>
        <w:t xml:space="preserve">A városfejlesztési menetrendnek tartalmaznia kell továbbá egy konkrét cselekvési tervet a nemzeti közigazgatás számára, és iránymutatást kell </w:t>
      </w:r>
      <w:r>
        <w:rPr>
          <w:noProof/>
        </w:rPr>
        <w:t xml:space="preserve">tartalmaznia annak érdekében, hogy támogassa a helyi szervezeteket saját helyi cselekvési terveik elkészítésében az Általános Államigazgatás által javasolt módszertannak megfelelően, elkötelezve magát a köz- és a köz- és magánszféra irányításának javítása </w:t>
      </w:r>
      <w:r>
        <w:rPr>
          <w:noProof/>
        </w:rPr>
        <w:t>mellett. A 6. beruházás ezt a reformot legalább 100 helyi cselekvési terv elkészítésének támogatásával egészíti ki.</w:t>
      </w:r>
    </w:p>
    <w:p w14:paraId="29A1F400" w14:textId="77777777" w:rsidR="003E1D81" w:rsidRDefault="00EB481C">
      <w:pPr>
        <w:pStyle w:val="P68B1DB1-Normal4"/>
        <w:spacing w:before="120" w:after="120" w:line="240" w:lineRule="auto"/>
        <w:jc w:val="both"/>
        <w:rPr>
          <w:rFonts w:cs="Times New Roman"/>
          <w:noProof/>
        </w:rPr>
      </w:pPr>
      <w:r>
        <w:rPr>
          <w:noProof/>
        </w:rPr>
        <w:t>A városfejlesztési menetrend, valamint az épületek energiahatékonyságáról és az energiahatékonyságról szóló (EU) 2018/844 irányelvnek való m</w:t>
      </w:r>
      <w:r>
        <w:rPr>
          <w:noProof/>
        </w:rPr>
        <w:t>egfelelés szükségessége részeként Spanyolország hosszú távú felújítási stratégiát dolgoz ki a lakó- és nem lakáscélú épületek nemzeti állományának felújításának támogatása érdekében. Ennek ki kell terjednie mind a köz-, mind a magánépületekre, és 2050-ra r</w:t>
      </w:r>
      <w:r>
        <w:rPr>
          <w:noProof/>
        </w:rPr>
        <w:t>endkívül energiahatékony és dekarbonizált épületállományt kell elérnie, elősegítve a meglévő épületek közel nulla energiaigényű épületekké történő költséghatékony átalakítását.</w:t>
      </w:r>
    </w:p>
    <w:p w14:paraId="34A65850" w14:textId="77777777" w:rsidR="003E1D81" w:rsidRDefault="00EB481C">
      <w:pPr>
        <w:pStyle w:val="P68B1DB1-Normal4"/>
        <w:spacing w:before="120" w:after="120" w:line="240" w:lineRule="auto"/>
        <w:jc w:val="both"/>
        <w:rPr>
          <w:rFonts w:cs="Times New Roman"/>
          <w:noProof/>
        </w:rPr>
      </w:pPr>
      <w:r>
        <w:rPr>
          <w:noProof/>
        </w:rPr>
        <w:t>Az intézkedés végrehajtását 2020. június 30-ig be kell fejezni.</w:t>
      </w:r>
    </w:p>
    <w:p w14:paraId="4D7A5946" w14:textId="77777777" w:rsidR="003E1D81" w:rsidRDefault="00EB481C">
      <w:pPr>
        <w:pStyle w:val="P68B1DB1-Normal6"/>
        <w:spacing w:before="120" w:after="120" w:line="240" w:lineRule="auto"/>
        <w:jc w:val="both"/>
        <w:rPr>
          <w:rFonts w:cs="Times New Roman"/>
          <w:noProof/>
        </w:rPr>
      </w:pPr>
      <w:r>
        <w:rPr>
          <w:noProof/>
        </w:rPr>
        <w:t xml:space="preserve">Reform (C2.R2) </w:t>
      </w:r>
      <w:r>
        <w:rPr>
          <w:noProof/>
        </w:rPr>
        <w:t>– A spanyol hosszú távú felújítási stratégia és a kapcsolódó cselekvési terv 2020. évi aktualizálása</w:t>
      </w:r>
    </w:p>
    <w:p w14:paraId="448BED53" w14:textId="77777777" w:rsidR="003E1D81" w:rsidRDefault="00EB481C">
      <w:pPr>
        <w:pStyle w:val="P68B1DB1-Normal4"/>
        <w:spacing w:before="120" w:after="120" w:line="240" w:lineRule="auto"/>
        <w:jc w:val="both"/>
        <w:rPr>
          <w:rFonts w:cs="Times New Roman"/>
          <w:noProof/>
        </w:rPr>
      </w:pPr>
      <w:r>
        <w:rPr>
          <w:noProof/>
        </w:rPr>
        <w:t>Ezen intézkedés célja a hosszú távú felújítási stratégia (ERESEE) végrehajtása. Ez magában foglalja a hosszú távú felújítási stratégiára vonatkozó cselekvé</w:t>
      </w:r>
      <w:r>
        <w:rPr>
          <w:noProof/>
        </w:rPr>
        <w:t>si terv stratégiai dokumentumának előkészítésére, külön munkacsoportokban való megvitatására, jóváhagyására és terjesztésére irányuló intézkedéseket. A cselekvési tervnek összhangban kell lennie az ERESEE-ben foglalt intézkedésekkel. Az ERESEE végrehajtása</w:t>
      </w:r>
      <w:r>
        <w:rPr>
          <w:noProof/>
        </w:rPr>
        <w:t xml:space="preserve"> érdekében több munkacsoportot kell létrehozni annak érdekében, hogy egyértelmű ajánlásokat dolgozzanak ki a városok rehabilitációjára és regenerálására vonatkozó cselekvési terv végrehajtására vonatkozóan. A munkacsoportok ajánlásait tartalmazó jelentések</w:t>
      </w:r>
      <w:r>
        <w:rPr>
          <w:noProof/>
        </w:rPr>
        <w:t>et közzé kell tenni.</w:t>
      </w:r>
    </w:p>
    <w:p w14:paraId="5B3DA269" w14:textId="77777777" w:rsidR="003E1D81" w:rsidRDefault="00EB481C">
      <w:pPr>
        <w:pStyle w:val="P68B1DB1-xmsonormal16"/>
        <w:jc w:val="both"/>
        <w:rPr>
          <w:rFonts w:cs="Times New Roman"/>
          <w:noProof/>
        </w:rPr>
      </w:pPr>
      <w:r>
        <w:rPr>
          <w:noProof/>
        </w:rPr>
        <w:t>Az ERESEE „Végrehajtás” című III. részében az ERESEE-nek tartalmaznia kell egy sor intézkedést, amelyek között szerepel a városok rehabilitációját és megújítását, valamint a zöld és digitális átállás előmozdítását célzó ütemterv. Az üt</w:t>
      </w:r>
      <w:r>
        <w:rPr>
          <w:noProof/>
        </w:rPr>
        <w:t xml:space="preserve">emterv tizenegy tengely és az irányítás, a szabályozás és a finanszírozás javítását célzó intézkedések köré épül. Ezt az ütemtervet az </w:t>
      </w:r>
      <w:r>
        <w:rPr>
          <w:noProof/>
        </w:rPr>
        <w:lastRenderedPageBreak/>
        <w:t xml:space="preserve">ERESEE végrehajtása felé tett fő lépésként bele kell foglalni a stratégiai dokumentumba. A legrelevánsabb intézkedések a </w:t>
      </w:r>
      <w:r>
        <w:rPr>
          <w:noProof/>
        </w:rPr>
        <w:t>következők:</w:t>
      </w:r>
    </w:p>
    <w:p w14:paraId="04819348" w14:textId="77777777" w:rsidR="003E1D81" w:rsidRDefault="00EB481C">
      <w:pPr>
        <w:pStyle w:val="P68B1DB1-Normal4"/>
        <w:numPr>
          <w:ilvl w:val="0"/>
          <w:numId w:val="273"/>
        </w:numPr>
        <w:spacing w:before="120" w:after="160" w:line="259" w:lineRule="auto"/>
        <w:contextualSpacing/>
        <w:jc w:val="both"/>
        <w:rPr>
          <w:rFonts w:cs="Times New Roman"/>
          <w:noProof/>
        </w:rPr>
      </w:pPr>
      <w:r>
        <w:rPr>
          <w:noProof/>
        </w:rPr>
        <w:t>A közigazgatási épületek felújítása (a spanyol helyreállítási és rezilienciaépítési terv 11. komponenséhez igazítva);</w:t>
      </w:r>
    </w:p>
    <w:p w14:paraId="4BB0FB6D" w14:textId="77777777" w:rsidR="003E1D81" w:rsidRDefault="00EB481C">
      <w:pPr>
        <w:pStyle w:val="P68B1DB1-Normal4"/>
        <w:numPr>
          <w:ilvl w:val="0"/>
          <w:numId w:val="273"/>
        </w:numPr>
        <w:spacing w:before="120" w:after="160" w:line="259" w:lineRule="auto"/>
        <w:contextualSpacing/>
        <w:jc w:val="both"/>
        <w:rPr>
          <w:rFonts w:cs="Times New Roman"/>
          <w:noProof/>
        </w:rPr>
      </w:pPr>
      <w:r>
        <w:rPr>
          <w:noProof/>
        </w:rPr>
        <w:t>a fejlesztésre szoruló területek, beleértve a felújításnak kedvező új adókat, mind a lakó-, mind a szolgáltatási szektorban;</w:t>
      </w:r>
    </w:p>
    <w:p w14:paraId="3B0DE689" w14:textId="77777777" w:rsidR="003E1D81" w:rsidRDefault="00EB481C">
      <w:pPr>
        <w:pStyle w:val="P68B1DB1-Normal4"/>
        <w:numPr>
          <w:ilvl w:val="0"/>
          <w:numId w:val="273"/>
        </w:numPr>
        <w:spacing w:before="120" w:after="160" w:line="259" w:lineRule="auto"/>
        <w:contextualSpacing/>
        <w:jc w:val="both"/>
        <w:rPr>
          <w:rFonts w:cs="Times New Roman"/>
          <w:noProof/>
        </w:rPr>
      </w:pPr>
      <w:r>
        <w:rPr>
          <w:noProof/>
        </w:rPr>
        <w:t>a</w:t>
      </w:r>
      <w:r>
        <w:rPr>
          <w:noProof/>
        </w:rPr>
        <w:t xml:space="preserve"> magánfinanszírozás előmozdítása és mozgósítása;</w:t>
      </w:r>
    </w:p>
    <w:p w14:paraId="07868898" w14:textId="77777777" w:rsidR="003E1D81" w:rsidRDefault="00EB481C">
      <w:pPr>
        <w:pStyle w:val="P68B1DB1-Normal4"/>
        <w:numPr>
          <w:ilvl w:val="0"/>
          <w:numId w:val="273"/>
        </w:numPr>
        <w:spacing w:before="120" w:after="160" w:line="259" w:lineRule="auto"/>
        <w:contextualSpacing/>
        <w:jc w:val="both"/>
        <w:rPr>
          <w:rFonts w:cs="Times New Roman"/>
          <w:noProof/>
        </w:rPr>
      </w:pPr>
      <w:r>
        <w:rPr>
          <w:noProof/>
        </w:rPr>
        <w:t>az energiaszegénység elleni küzdelem;</w:t>
      </w:r>
    </w:p>
    <w:p w14:paraId="4474F65F" w14:textId="77777777" w:rsidR="003E1D81" w:rsidRDefault="00EB481C">
      <w:pPr>
        <w:pStyle w:val="P68B1DB1-Normal4"/>
        <w:numPr>
          <w:ilvl w:val="0"/>
          <w:numId w:val="273"/>
        </w:numPr>
        <w:spacing w:before="120" w:after="160" w:line="259" w:lineRule="auto"/>
        <w:contextualSpacing/>
        <w:jc w:val="both"/>
        <w:rPr>
          <w:rFonts w:cs="Times New Roman"/>
          <w:noProof/>
        </w:rPr>
      </w:pPr>
      <w:r>
        <w:rPr>
          <w:noProof/>
        </w:rPr>
        <w:t>új energiamodell bevezetése az építőiparban, az épületek megújulóenergia-fogyasztásának ösztönzése érdekében;</w:t>
      </w:r>
    </w:p>
    <w:p w14:paraId="53D558B3" w14:textId="77777777" w:rsidR="003E1D81" w:rsidRDefault="00EB481C">
      <w:pPr>
        <w:pStyle w:val="P68B1DB1-Normal4"/>
        <w:numPr>
          <w:ilvl w:val="0"/>
          <w:numId w:val="273"/>
        </w:numPr>
        <w:spacing w:before="120" w:after="160" w:line="259" w:lineRule="auto"/>
        <w:contextualSpacing/>
        <w:jc w:val="both"/>
        <w:rPr>
          <w:rFonts w:cs="Times New Roman"/>
          <w:noProof/>
        </w:rPr>
      </w:pPr>
      <w:r>
        <w:rPr>
          <w:noProof/>
        </w:rPr>
        <w:t>a rehabilitáció iránti igény aktiválása és aggregálása;</w:t>
      </w:r>
    </w:p>
    <w:p w14:paraId="6F15193D" w14:textId="77777777" w:rsidR="003E1D81" w:rsidRDefault="00EB481C">
      <w:pPr>
        <w:pStyle w:val="P68B1DB1-Normal4"/>
        <w:numPr>
          <w:ilvl w:val="0"/>
          <w:numId w:val="273"/>
        </w:numPr>
        <w:spacing w:before="120" w:after="160" w:line="259" w:lineRule="auto"/>
        <w:contextualSpacing/>
        <w:jc w:val="both"/>
        <w:rPr>
          <w:rFonts w:cs="Times New Roman"/>
          <w:noProof/>
        </w:rPr>
      </w:pPr>
      <w:r>
        <w:rPr>
          <w:noProof/>
        </w:rPr>
        <w:t>a k</w:t>
      </w:r>
      <w:r>
        <w:rPr>
          <w:noProof/>
        </w:rPr>
        <w:t>ínálati oldali feltételek javítása a rehabilitációs ágazat korszerűsítésének a kutatás, a fejlesztés és az innováció, a digitalizáció és a nyomon követés, valamint a készségek és a képzések megerősítése révén történő előmozdítása révén;</w:t>
      </w:r>
    </w:p>
    <w:p w14:paraId="5EDE96A4" w14:textId="77777777" w:rsidR="003E1D81" w:rsidRDefault="00EB481C">
      <w:pPr>
        <w:pStyle w:val="P68B1DB1-Normal4"/>
        <w:numPr>
          <w:ilvl w:val="0"/>
          <w:numId w:val="273"/>
        </w:numPr>
        <w:spacing w:before="120" w:after="160" w:line="259" w:lineRule="auto"/>
        <w:contextualSpacing/>
        <w:jc w:val="both"/>
        <w:rPr>
          <w:rFonts w:cs="Times New Roman"/>
          <w:noProof/>
        </w:rPr>
      </w:pPr>
      <w:r>
        <w:rPr>
          <w:noProof/>
        </w:rPr>
        <w:t>információk terjesz</w:t>
      </w:r>
      <w:r>
        <w:rPr>
          <w:noProof/>
        </w:rPr>
        <w:t>tése a polgárok és a vállalkozások körében, valamint a bevált gyakorlatok megosztása a közigazgatások között; és</w:t>
      </w:r>
    </w:p>
    <w:p w14:paraId="671356B3" w14:textId="77777777" w:rsidR="003E1D81" w:rsidRDefault="00EB481C">
      <w:pPr>
        <w:pStyle w:val="P68B1DB1-Normal4"/>
        <w:numPr>
          <w:ilvl w:val="0"/>
          <w:numId w:val="273"/>
        </w:numPr>
        <w:spacing w:before="120" w:after="120" w:line="259" w:lineRule="auto"/>
        <w:jc w:val="both"/>
        <w:rPr>
          <w:rFonts w:eastAsia="Arial" w:cs="Times New Roman"/>
          <w:noProof/>
        </w:rPr>
      </w:pPr>
      <w:r>
        <w:rPr>
          <w:noProof/>
        </w:rPr>
        <w:t>statisztikák és mutatók kidolgozása az államilag finanszírozott intézkedések nyomon követésére annak érdekében, hogy a közpolitikákat megfelelő</w:t>
      </w:r>
      <w:r>
        <w:rPr>
          <w:noProof/>
        </w:rPr>
        <w:t>en értékelni lehessen.</w:t>
      </w:r>
    </w:p>
    <w:p w14:paraId="44527D69" w14:textId="77777777" w:rsidR="003E1D81" w:rsidRDefault="00EB481C">
      <w:pPr>
        <w:pStyle w:val="P68B1DB1-Normal4"/>
        <w:spacing w:before="120" w:after="120" w:line="240" w:lineRule="auto"/>
        <w:jc w:val="both"/>
        <w:rPr>
          <w:rFonts w:cs="Times New Roman"/>
          <w:noProof/>
        </w:rPr>
      </w:pPr>
      <w:r>
        <w:rPr>
          <w:noProof/>
        </w:rPr>
        <w:t>Ez a stratégiai dokumentum lehetővé teszi az ERESEE végrehajtását a spanyol városfejlesztési menetrend keretében, integrálva a különböző (központi, regionális és helyi) közigazgatási szerveket.</w:t>
      </w:r>
    </w:p>
    <w:p w14:paraId="31BABA68" w14:textId="77777777" w:rsidR="003E1D81" w:rsidRDefault="00EB481C">
      <w:pPr>
        <w:pStyle w:val="P68B1DB1-Normal4"/>
        <w:spacing w:before="120" w:after="120" w:line="240" w:lineRule="auto"/>
        <w:jc w:val="both"/>
        <w:rPr>
          <w:rFonts w:cs="Times New Roman"/>
          <w:noProof/>
        </w:rPr>
      </w:pPr>
      <w:r>
        <w:rPr>
          <w:noProof/>
        </w:rPr>
        <w:t xml:space="preserve">Az intézkedés végrehajtását 2023. </w:t>
      </w:r>
      <w:r>
        <w:rPr>
          <w:noProof/>
        </w:rPr>
        <w:t>június 30-ig be kell fejezni.</w:t>
      </w:r>
    </w:p>
    <w:p w14:paraId="01CD77D3" w14:textId="362BFD12" w:rsidR="003E1D81" w:rsidRDefault="00EB481C">
      <w:pPr>
        <w:pStyle w:val="P68B1DB1-Normal6"/>
        <w:spacing w:before="120" w:after="120" w:line="240" w:lineRule="auto"/>
        <w:jc w:val="both"/>
        <w:rPr>
          <w:rFonts w:cs="Times New Roman"/>
          <w:noProof/>
        </w:rPr>
      </w:pPr>
      <w:r>
        <w:rPr>
          <w:noProof/>
        </w:rPr>
        <w:t>Reform (C2.R3) – Lakástörvény</w:t>
      </w:r>
    </w:p>
    <w:p w14:paraId="35AEF606" w14:textId="77777777" w:rsidR="003E1D81" w:rsidRDefault="00EB481C">
      <w:pPr>
        <w:pStyle w:val="P68B1DB1-Normal4"/>
        <w:spacing w:before="120" w:after="120" w:line="240" w:lineRule="auto"/>
        <w:jc w:val="both"/>
        <w:rPr>
          <w:rFonts w:cs="Times New Roman"/>
          <w:noProof/>
        </w:rPr>
      </w:pPr>
      <w:r>
        <w:rPr>
          <w:noProof/>
        </w:rPr>
        <w:t>Ezen intézkedés célja, hogy a lakhatásról szóló törvény révén Spanyolországban az első olyan szabályozást hajtson végre, amely a tisztességes és megfelelő lakhatáshoz való jog támogatása érdekében</w:t>
      </w:r>
      <w:r>
        <w:rPr>
          <w:noProof/>
        </w:rPr>
        <w:t xml:space="preserve"> már meglévő különböző köztervezési, programozási és együttműködési eszközökkel foglalkozik. Az életminőség javítása érdekében foglalkozik a meglévő köz- és magánlakásállomány rehabilitációjával és javításával, valamint azon lakókörnyezetek regenerálásával</w:t>
      </w:r>
      <w:r>
        <w:rPr>
          <w:noProof/>
        </w:rPr>
        <w:t xml:space="preserve"> és felújításával, ahol találhatók. A törvény a bérlakáshoz szükséges, megfizethető áron elérhető, megfelelő szintű lakásállomány elérésével foglalkozik.</w:t>
      </w:r>
    </w:p>
    <w:p w14:paraId="1522B52E" w14:textId="77777777" w:rsidR="003E1D81" w:rsidRDefault="00EB481C">
      <w:pPr>
        <w:pStyle w:val="P68B1DB1-Normal4"/>
        <w:spacing w:before="120" w:after="120" w:line="240" w:lineRule="auto"/>
        <w:jc w:val="both"/>
        <w:rPr>
          <w:rFonts w:cs="Times New Roman"/>
          <w:noProof/>
        </w:rPr>
      </w:pPr>
      <w:r>
        <w:rPr>
          <w:noProof/>
        </w:rPr>
        <w:t>A jogszabályoknak különböző tervezési, programozási és együttműködési eszközökkel kell foglalkozniuk a</w:t>
      </w:r>
      <w:r>
        <w:rPr>
          <w:noProof/>
        </w:rPr>
        <w:t xml:space="preserve"> tisztességes és megfelelő lakhatáshoz való jog érvényesülésének biztosítása érdekében, beleértve – egyik prioritásaként – a meglévő lakásállomány rehabilitációját és javítását, valamint azon lakókörnyezetek helyreállítását és felújítását, ahol találhatók.</w:t>
      </w:r>
      <w:r>
        <w:rPr>
          <w:noProof/>
        </w:rPr>
        <w:t xml:space="preserve"> </w:t>
      </w:r>
    </w:p>
    <w:p w14:paraId="153EC4BA" w14:textId="025A7751" w:rsidR="003E1D81" w:rsidRDefault="00EB481C">
      <w:pPr>
        <w:pStyle w:val="P68B1DB1-Normal4"/>
        <w:spacing w:before="120" w:after="120" w:line="240" w:lineRule="auto"/>
        <w:jc w:val="both"/>
        <w:rPr>
          <w:rFonts w:cs="Times New Roman"/>
          <w:noProof/>
        </w:rPr>
      </w:pPr>
      <w:r>
        <w:rPr>
          <w:noProof/>
        </w:rPr>
        <w:t>Emellett a törvénynek ösztönöznie kell a megfizethető és szociális lakások kínálatának növelését azáltal, hogy biztosítja a közel nulla energiaigényű épületekre vonatkozóan a műszaki szabályzat (CTE) alapvető energiamegtakarítási dokumentumában (DB-HE) j</w:t>
      </w:r>
      <w:r>
        <w:rPr>
          <w:noProof/>
        </w:rPr>
        <w:t>elenleg meghatározott követelményeknek való megfelelést, és elkerüli azokat az intézkedéseket, amelyek középtávon akadályozhatják a lakáskínálatot.</w:t>
      </w:r>
    </w:p>
    <w:p w14:paraId="20C995A0" w14:textId="77777777" w:rsidR="003E1D81" w:rsidRDefault="00EB481C">
      <w:pPr>
        <w:pStyle w:val="P68B1DB1-Normal4"/>
        <w:spacing w:before="120" w:after="120" w:line="240" w:lineRule="auto"/>
        <w:jc w:val="both"/>
        <w:rPr>
          <w:rFonts w:cs="Times New Roman"/>
          <w:noProof/>
        </w:rPr>
      </w:pPr>
      <w:r>
        <w:rPr>
          <w:noProof/>
        </w:rPr>
        <w:t>A reform végrehajtását 2022. szeptember 30-ig be kell fejezni.</w:t>
      </w:r>
    </w:p>
    <w:p w14:paraId="4C37D3DE" w14:textId="50987288" w:rsidR="003E1D81" w:rsidRDefault="00EB481C">
      <w:pPr>
        <w:pStyle w:val="P68B1DB1-Normal6"/>
        <w:spacing w:before="120" w:after="120" w:line="240" w:lineRule="auto"/>
        <w:jc w:val="both"/>
        <w:rPr>
          <w:rFonts w:cs="Times New Roman"/>
          <w:noProof/>
        </w:rPr>
      </w:pPr>
      <w:r>
        <w:rPr>
          <w:noProof/>
        </w:rPr>
        <w:t xml:space="preserve">Reform (C2.R4) – Az építészet és az épületek </w:t>
      </w:r>
      <w:r>
        <w:rPr>
          <w:noProof/>
        </w:rPr>
        <w:t>környezetének minőségéről szóló törvény és az új nemzeti építészeti stratégia</w:t>
      </w:r>
    </w:p>
    <w:p w14:paraId="430C635A" w14:textId="77777777" w:rsidR="003E1D81" w:rsidRDefault="00EB481C">
      <w:pPr>
        <w:pStyle w:val="P68B1DB1-Normal4"/>
        <w:spacing w:before="120" w:after="120" w:line="240" w:lineRule="auto"/>
        <w:jc w:val="both"/>
        <w:rPr>
          <w:rFonts w:cs="Times New Roman"/>
          <w:noProof/>
        </w:rPr>
      </w:pPr>
      <w:r>
        <w:rPr>
          <w:noProof/>
        </w:rPr>
        <w:t>E törvény célja az építészet és az épületek minőségének közjóvá nyilvánítása, az életminőség javítása, az építészet társadalmi gyökereinek előmozdítása, a városi területek és cso</w:t>
      </w:r>
      <w:r>
        <w:rPr>
          <w:noProof/>
        </w:rPr>
        <w:t>mópontok fenntartható fejlődésének előmozdítása, a gazdasági és társadalmi fejlődéshez való hozzájárulás, valamint a kulturális és természeti örökség védelme és megőrzése.</w:t>
      </w:r>
    </w:p>
    <w:p w14:paraId="2D3C58D9" w14:textId="77777777" w:rsidR="003E1D81" w:rsidRDefault="00EB481C">
      <w:pPr>
        <w:pStyle w:val="P68B1DB1-Normal4"/>
        <w:spacing w:before="120" w:after="120" w:line="240" w:lineRule="auto"/>
        <w:jc w:val="both"/>
        <w:rPr>
          <w:rFonts w:cs="Times New Roman"/>
          <w:noProof/>
        </w:rPr>
      </w:pPr>
      <w:r>
        <w:rPr>
          <w:noProof/>
        </w:rPr>
        <w:lastRenderedPageBreak/>
        <w:t>E célból a törvény a spanyol helyreállítási és rezilienciaépítési terv e komponensén</w:t>
      </w:r>
      <w:r>
        <w:rPr>
          <w:noProof/>
        </w:rPr>
        <w:t>ek helyreállítási és regenerációs programjaihoz szorosan kapcsolódó különböző kezdeményezésekkel és intézkedésekkel foglalkozik. A törvény különösen a következőket szabályozza: közigazgatási együttműködési intézkedések az építészeti, mérnöki és várostervez</w:t>
      </w:r>
      <w:r>
        <w:rPr>
          <w:noProof/>
        </w:rPr>
        <w:t>ési projektek és építési beruházások közbeszerzése terén; a bevált gyakorlatok terjesztésére és a támogatásra, a képzésre és a köz- és magánszféra közötti partnerségekre szolgáló eszközök; és iii. a rehabilitációnak a fent leírthoz hasonló átfogó perspektí</w:t>
      </w:r>
      <w:r>
        <w:rPr>
          <w:noProof/>
        </w:rPr>
        <w:t xml:space="preserve">vából történő előmozdítása. </w:t>
      </w:r>
    </w:p>
    <w:p w14:paraId="419B85C4" w14:textId="77777777" w:rsidR="003E1D81" w:rsidRDefault="00EB481C">
      <w:pPr>
        <w:pStyle w:val="P68B1DB1-Normal4"/>
        <w:spacing w:before="120" w:after="120" w:line="240" w:lineRule="auto"/>
        <w:jc w:val="both"/>
        <w:rPr>
          <w:rFonts w:cs="Times New Roman"/>
          <w:noProof/>
        </w:rPr>
      </w:pPr>
      <w:r>
        <w:rPr>
          <w:noProof/>
        </w:rPr>
        <w:t>A reform végrehajtását 2022. szeptember 30-ig be kell fejezni.</w:t>
      </w:r>
    </w:p>
    <w:p w14:paraId="549C398D" w14:textId="036EA0D4" w:rsidR="003E1D81" w:rsidRDefault="00EB481C">
      <w:pPr>
        <w:pStyle w:val="P68B1DB1-Normal6"/>
        <w:spacing w:before="120" w:after="120" w:line="240" w:lineRule="auto"/>
        <w:jc w:val="both"/>
        <w:rPr>
          <w:rFonts w:cs="Times New Roman"/>
          <w:noProof/>
        </w:rPr>
      </w:pPr>
      <w:r>
        <w:rPr>
          <w:noProof/>
        </w:rPr>
        <w:t>Reform (C2.R5) – épületkorszerűsítési irodák („egyablakos ügyintézés”)</w:t>
      </w:r>
    </w:p>
    <w:p w14:paraId="7B668DD1" w14:textId="77777777" w:rsidR="003E1D81" w:rsidRDefault="00EB481C">
      <w:pPr>
        <w:pStyle w:val="P68B1DB1-Normal4"/>
        <w:spacing w:before="120" w:after="120" w:line="240" w:lineRule="auto"/>
        <w:jc w:val="both"/>
        <w:rPr>
          <w:rFonts w:cs="Times New Roman"/>
          <w:noProof/>
        </w:rPr>
      </w:pPr>
      <w:r>
        <w:rPr>
          <w:noProof/>
        </w:rPr>
        <w:t>Ezen intézkedés célja, hogy ösztönözze és bővítse az egyes településeken létrehozott helyi fe</w:t>
      </w:r>
      <w:r>
        <w:rPr>
          <w:noProof/>
        </w:rPr>
        <w:t>lújítási irodákat, hogy segítsék a háztartásokat és a tulajdonosok közösségeit a lakóépületek rehabilitálásának rendkívül összetett feladataiban.</w:t>
      </w:r>
    </w:p>
    <w:p w14:paraId="03EB3CFC" w14:textId="77777777" w:rsidR="003E1D81" w:rsidRDefault="00EB481C">
      <w:pPr>
        <w:pStyle w:val="P68B1DB1-Normal4"/>
        <w:spacing w:before="120" w:after="120" w:line="240" w:lineRule="auto"/>
        <w:jc w:val="both"/>
        <w:rPr>
          <w:rFonts w:cs="Times New Roman"/>
          <w:noProof/>
        </w:rPr>
      </w:pPr>
      <w:r>
        <w:rPr>
          <w:noProof/>
        </w:rPr>
        <w:t>E célból ez az intézkedés tovább ösztönzi és kiterjeszti ezt a megközelítést egy olyan folyamat létrehozásával</w:t>
      </w:r>
      <w:r>
        <w:rPr>
          <w:noProof/>
        </w:rPr>
        <w:t xml:space="preserve">, amely biztosítja a központi, regionális és/vagy helyi önkormányzatok közötti hatékony együttműködést és együttműködést. Ez magában foglalja az összes állami támogatás koordinációjának megerősítését (központi, regionális vagy helyi szinten). A felújítási </w:t>
      </w:r>
      <w:r>
        <w:rPr>
          <w:noProof/>
        </w:rPr>
        <w:t>intézkedések hatékonyságának maximalizálása érdekében minden kormányzati szintet be kell vonni az egyablakos ügyintézési pontokba.</w:t>
      </w:r>
    </w:p>
    <w:p w14:paraId="643CD522" w14:textId="77777777" w:rsidR="003E1D81" w:rsidRDefault="00EB481C">
      <w:pPr>
        <w:pStyle w:val="P68B1DB1-Normal4"/>
        <w:rPr>
          <w:rFonts w:cs="Times New Roman"/>
          <w:noProof/>
        </w:rPr>
      </w:pPr>
      <w:r>
        <w:rPr>
          <w:noProof/>
        </w:rPr>
        <w:t>A reform végrehajtását 2021. szeptember 30-ig be kell fejezni.</w:t>
      </w:r>
    </w:p>
    <w:p w14:paraId="47FCDE60" w14:textId="461C9B30" w:rsidR="003E1D81" w:rsidRDefault="00EB481C">
      <w:pPr>
        <w:pStyle w:val="P68B1DB1-Normal6"/>
        <w:spacing w:before="120" w:after="120" w:line="240" w:lineRule="auto"/>
        <w:jc w:val="both"/>
        <w:rPr>
          <w:rFonts w:cs="Times New Roman"/>
          <w:noProof/>
        </w:rPr>
      </w:pPr>
      <w:r>
        <w:rPr>
          <w:noProof/>
        </w:rPr>
        <w:t>Reform (C2.R6) – A felújítási intézkedések finanszírozásának j</w:t>
      </w:r>
      <w:r>
        <w:rPr>
          <w:noProof/>
        </w:rPr>
        <w:t>avítása</w:t>
      </w:r>
    </w:p>
    <w:p w14:paraId="2B8E3D1A" w14:textId="77777777" w:rsidR="003E1D81" w:rsidRDefault="00EB481C">
      <w:pPr>
        <w:pStyle w:val="P68B1DB1-Normal4"/>
        <w:spacing w:before="120" w:after="120" w:line="240" w:lineRule="auto"/>
        <w:jc w:val="both"/>
        <w:rPr>
          <w:rFonts w:cs="Times New Roman"/>
          <w:noProof/>
        </w:rPr>
      </w:pPr>
      <w:r>
        <w:rPr>
          <w:noProof/>
        </w:rPr>
        <w:t xml:space="preserve">Ezen intézkedés célja a felújítási tevékenység megkezdése előtt álló egyik fő akadály kezelése, nevezetesen a kedvező feltételek melletti finanszírozáshoz való hozzáférés. A felújítási hitel jóváhagyásához időnként egyéni személyi kölcsönt kell </w:t>
      </w:r>
      <w:r>
        <w:rPr>
          <w:noProof/>
        </w:rPr>
        <w:t>nyújtani az épületen belül minden egyes tulajdonosnak. Ez akadályt jelentett az épületek mélyreható és integrált felújítása előtt.</w:t>
      </w:r>
    </w:p>
    <w:p w14:paraId="7029A272" w14:textId="77777777" w:rsidR="003E1D81" w:rsidRDefault="00EB481C">
      <w:pPr>
        <w:pStyle w:val="P68B1DB1-Normal4"/>
        <w:spacing w:before="120" w:after="120" w:line="240" w:lineRule="auto"/>
        <w:jc w:val="both"/>
        <w:rPr>
          <w:rFonts w:cs="Times New Roman"/>
          <w:noProof/>
        </w:rPr>
      </w:pPr>
      <w:r>
        <w:rPr>
          <w:noProof/>
        </w:rPr>
        <w:t>E probléma kezelése érdekében az intézkedés:</w:t>
      </w:r>
    </w:p>
    <w:p w14:paraId="424D4897" w14:textId="77777777" w:rsidR="003E1D81" w:rsidRDefault="00EB481C">
      <w:pPr>
        <w:pStyle w:val="P68B1DB1-Normal4"/>
        <w:numPr>
          <w:ilvl w:val="0"/>
          <w:numId w:val="274"/>
        </w:numPr>
        <w:autoSpaceDE w:val="0"/>
        <w:autoSpaceDN w:val="0"/>
        <w:adjustRightInd w:val="0"/>
        <w:spacing w:before="120" w:after="120" w:line="240" w:lineRule="auto"/>
        <w:contextualSpacing/>
        <w:jc w:val="both"/>
        <w:rPr>
          <w:rFonts w:eastAsia="Arial" w:cs="Times New Roman"/>
          <w:noProof/>
        </w:rPr>
      </w:pPr>
      <w:r>
        <w:rPr>
          <w:noProof/>
        </w:rPr>
        <w:t xml:space="preserve">Új </w:t>
      </w:r>
      <w:r>
        <w:rPr>
          <w:i/>
          <w:noProof/>
        </w:rPr>
        <w:t>Instituto de Crédito Oficial</w:t>
      </w:r>
      <w:r>
        <w:rPr>
          <w:noProof/>
        </w:rPr>
        <w:t xml:space="preserve"> (ICO) garanciakeretet hoz létre a magán pénzügyi</w:t>
      </w:r>
      <w:r>
        <w:rPr>
          <w:noProof/>
        </w:rPr>
        <w:t xml:space="preserve"> intézmények által a lakóépületek felújítására nyújtott hitelek kockázatának részleges fedezésére;</w:t>
      </w:r>
    </w:p>
    <w:p w14:paraId="00BDEC3B" w14:textId="77777777" w:rsidR="003E1D81" w:rsidRDefault="00EB481C">
      <w:pPr>
        <w:pStyle w:val="P68B1DB1-Normal4"/>
        <w:numPr>
          <w:ilvl w:val="0"/>
          <w:numId w:val="274"/>
        </w:numPr>
        <w:autoSpaceDE w:val="0"/>
        <w:autoSpaceDN w:val="0"/>
        <w:adjustRightInd w:val="0"/>
        <w:spacing w:before="120" w:after="120" w:line="240" w:lineRule="auto"/>
        <w:contextualSpacing/>
        <w:jc w:val="both"/>
        <w:rPr>
          <w:rFonts w:eastAsia="Arial" w:cs="Times New Roman"/>
          <w:noProof/>
        </w:rPr>
      </w:pPr>
      <w:r>
        <w:rPr>
          <w:noProof/>
        </w:rPr>
        <w:t>támogatja konkrét szabályozási rendelkezések elfogadását, beleértve a horizontális tulajdonjogi törvény reformját is, a tulajdonosok közösségei finanszírozás</w:t>
      </w:r>
      <w:r>
        <w:rPr>
          <w:noProof/>
        </w:rPr>
        <w:t>hoz való hozzáférésének javítása érdekében; és</w:t>
      </w:r>
    </w:p>
    <w:p w14:paraId="00F6EF93" w14:textId="77777777" w:rsidR="003E1D81" w:rsidRDefault="00EB481C">
      <w:pPr>
        <w:pStyle w:val="P68B1DB1-Normal4"/>
        <w:numPr>
          <w:ilvl w:val="0"/>
          <w:numId w:val="274"/>
        </w:numPr>
        <w:autoSpaceDE w:val="0"/>
        <w:autoSpaceDN w:val="0"/>
        <w:adjustRightInd w:val="0"/>
        <w:spacing w:before="120" w:after="120" w:line="240" w:lineRule="auto"/>
        <w:jc w:val="both"/>
        <w:rPr>
          <w:rFonts w:eastAsia="Arial" w:cs="Times New Roman"/>
          <w:noProof/>
        </w:rPr>
      </w:pPr>
      <w:r>
        <w:rPr>
          <w:noProof/>
        </w:rPr>
        <w:t>ösztönzi a zöld finanszírozás pénzügyi intézmények általi bevezetését.</w:t>
      </w:r>
    </w:p>
    <w:p w14:paraId="29520B70" w14:textId="77777777" w:rsidR="003E1D81" w:rsidRDefault="00EB481C">
      <w:pPr>
        <w:pStyle w:val="P68B1DB1-Normal4"/>
        <w:autoSpaceDE w:val="0"/>
        <w:autoSpaceDN w:val="0"/>
        <w:adjustRightInd w:val="0"/>
        <w:spacing w:before="120" w:after="120" w:line="240" w:lineRule="auto"/>
        <w:jc w:val="both"/>
        <w:rPr>
          <w:rFonts w:eastAsia="Arial" w:cs="Times New Roman"/>
          <w:noProof/>
        </w:rPr>
      </w:pPr>
      <w:r>
        <w:rPr>
          <w:noProof/>
        </w:rPr>
        <w:t>A reform végrehajtását 2022. szeptember 30-ig be kell fejezni.</w:t>
      </w:r>
    </w:p>
    <w:p w14:paraId="56F6608F" w14:textId="08AC5CE0" w:rsidR="003E1D81" w:rsidRDefault="00EB481C">
      <w:pPr>
        <w:pStyle w:val="P68B1DB1-Normal6"/>
        <w:spacing w:before="120" w:after="120" w:line="240" w:lineRule="auto"/>
        <w:jc w:val="both"/>
        <w:rPr>
          <w:rFonts w:cs="Times New Roman"/>
          <w:noProof/>
        </w:rPr>
      </w:pPr>
      <w:r>
        <w:rPr>
          <w:noProof/>
        </w:rPr>
        <w:t xml:space="preserve">Beruházás (C2.I1) – A lakókörnyezetek gazdasági és társadalmi </w:t>
      </w:r>
      <w:r>
        <w:rPr>
          <w:noProof/>
        </w:rPr>
        <w:t>helyreállítását célzó rehabilitációs program</w:t>
      </w:r>
    </w:p>
    <w:p w14:paraId="2C53FCFF" w14:textId="719056C0" w:rsidR="003E1D81" w:rsidRDefault="00EB481C">
      <w:pPr>
        <w:pStyle w:val="P68B1DB1-Normal4"/>
        <w:spacing w:before="120" w:after="120" w:line="240" w:lineRule="auto"/>
        <w:jc w:val="both"/>
        <w:rPr>
          <w:rFonts w:cs="Times New Roman"/>
          <w:noProof/>
        </w:rPr>
      </w:pPr>
      <w:r>
        <w:rPr>
          <w:noProof/>
        </w:rPr>
        <w:t>Ezen intézkedés célja a lakóépületek és lakóövezetek energiahatékonysági felújításának támogatása. Az ezen intézkedés szerinti tevékenységeknek legalább 410000 felújítási intézkedést kell végrehajtaniuk legalább</w:t>
      </w:r>
      <w:r>
        <w:rPr>
          <w:noProof/>
        </w:rPr>
        <w:t xml:space="preserve"> 285000 egyedi lakásban, átlagosan legalább 30%-os primerenergia-igénycsökkenést eredményezve, amelyet energiahatékonysági tanúsítványokkal ellenőriznek. A következő intézkedéseket kell támogatni:</w:t>
      </w:r>
    </w:p>
    <w:p w14:paraId="304FC7A1" w14:textId="495CE96D" w:rsidR="003E1D81" w:rsidRDefault="00EB481C">
      <w:pPr>
        <w:pStyle w:val="P68B1DB1-Normal4"/>
        <w:numPr>
          <w:ilvl w:val="0"/>
          <w:numId w:val="69"/>
        </w:numPr>
        <w:spacing w:before="120" w:after="120" w:line="240" w:lineRule="auto"/>
        <w:ind w:left="714" w:hanging="357"/>
        <w:contextualSpacing/>
        <w:jc w:val="both"/>
        <w:rPr>
          <w:rFonts w:cs="Times New Roman"/>
          <w:noProof/>
        </w:rPr>
      </w:pPr>
      <w:r>
        <w:rPr>
          <w:noProof/>
        </w:rPr>
        <w:t>A szomszédsági szintű energetikai felújításokat támogató pr</w:t>
      </w:r>
      <w:r>
        <w:rPr>
          <w:noProof/>
        </w:rPr>
        <w:t>ogram. A programnak legalább 600 hektár városi területet kell felújítania, átlagosan legalább 30%-kal csökkentve a primerenergia-igényt, amit energiahatékonysági tanúsítványokkal ellenőriznek. Az intézkedések közé tartozik az energiahatékonyság javítása, a</w:t>
      </w:r>
      <w:r>
        <w:rPr>
          <w:noProof/>
        </w:rPr>
        <w:t xml:space="preserve">z </w:t>
      </w:r>
      <w:r>
        <w:rPr>
          <w:noProof/>
        </w:rPr>
        <w:lastRenderedPageBreak/>
        <w:t>elektromos mobilitást szolgáló infrastruktúra kiépítése, az épületek akadálymentességének javítása és a veszélyes anyagok eltávolítása. Az intézkedés legfeljebb 15%-át a környékek szintjén megvalósítandó fejlesztésekre, például a kültéri világítás, a ker</w:t>
      </w:r>
      <w:r>
        <w:rPr>
          <w:noProof/>
        </w:rPr>
        <w:t xml:space="preserve">ékpárutak, a zöld infrastruktúra és a vízelvezető rendszerek fejlesztésére kell fordítani, figyelembe véve a környék társadalmi-gazdasági jellemzőit. </w:t>
      </w:r>
    </w:p>
    <w:p w14:paraId="3C7153CC" w14:textId="55783E07" w:rsidR="003E1D81" w:rsidRDefault="00EB481C">
      <w:pPr>
        <w:pStyle w:val="P68B1DB1-Normal4"/>
        <w:numPr>
          <w:ilvl w:val="0"/>
          <w:numId w:val="69"/>
        </w:numPr>
        <w:spacing w:before="120" w:after="120" w:line="240" w:lineRule="auto"/>
        <w:ind w:left="714" w:hanging="357"/>
        <w:contextualSpacing/>
        <w:jc w:val="both"/>
        <w:rPr>
          <w:rFonts w:cs="Times New Roman"/>
          <w:noProof/>
        </w:rPr>
      </w:pPr>
      <w:r>
        <w:rPr>
          <w:noProof/>
        </w:rPr>
        <w:t>Lakóépületek energetikai felújítását támogató program. A támogatási szintnek magasabbnak kell lennie azon</w:t>
      </w:r>
      <w:r>
        <w:rPr>
          <w:noProof/>
        </w:rPr>
        <w:t xml:space="preserve"> intézkedések esetében, amelyek esetében nagyobb a primerenergia-igény csökkenése, valamint az alacsony jövedelmű háztartások esetében. Az intézkedések közé tartozik az energiahatékonyság javítása, az elektromos mobilitást szolgáló infrastruktúra kiépítése</w:t>
      </w:r>
      <w:r>
        <w:rPr>
          <w:noProof/>
        </w:rPr>
        <w:t xml:space="preserve">, az épületek akadálymentességének javítása és a veszélyes anyagok </w:t>
      </w:r>
      <w:bookmarkStart w:id="4" w:name="_Hlk145665613"/>
      <w:r>
        <w:rPr>
          <w:noProof/>
        </w:rPr>
        <w:t>eltávolítása</w:t>
      </w:r>
      <w:bookmarkEnd w:id="4"/>
      <w:r>
        <w:rPr>
          <w:noProof/>
        </w:rPr>
        <w:t>.</w:t>
      </w:r>
    </w:p>
    <w:p w14:paraId="213E32C8" w14:textId="77777777" w:rsidR="003E1D81" w:rsidRDefault="00EB481C">
      <w:pPr>
        <w:pStyle w:val="P68B1DB1-Normal4"/>
        <w:numPr>
          <w:ilvl w:val="0"/>
          <w:numId w:val="69"/>
        </w:numPr>
        <w:spacing w:before="120" w:after="120" w:line="240" w:lineRule="auto"/>
        <w:ind w:left="709"/>
        <w:jc w:val="both"/>
        <w:rPr>
          <w:rFonts w:cs="Times New Roman"/>
          <w:noProof/>
        </w:rPr>
      </w:pPr>
      <w:r>
        <w:rPr>
          <w:noProof/>
        </w:rPr>
        <w:t>Egy sor tevékenység foglalkozik az energetikai felújítások ösztönzőivel. Ez magában foglalja többek között i. a felújítások személyi jövedelemadóból történő levonásának lehető</w:t>
      </w:r>
      <w:r>
        <w:rPr>
          <w:noProof/>
        </w:rPr>
        <w:t>ségét, amennyiben a primerenergia-kereslet legalább 30%-kal csökken, és ii. a finanszírozási keret javítása a köz- és magánszféra közötti partnerségek ösztönzése révén.</w:t>
      </w:r>
    </w:p>
    <w:p w14:paraId="65EBC0B5" w14:textId="77777777" w:rsidR="003E1D81" w:rsidRDefault="00EB481C">
      <w:pPr>
        <w:pStyle w:val="P68B1DB1-Normal4"/>
        <w:spacing w:before="120" w:after="120" w:line="240" w:lineRule="auto"/>
        <w:jc w:val="both"/>
        <w:rPr>
          <w:rFonts w:cs="Times New Roman"/>
          <w:noProof/>
        </w:rPr>
      </w:pPr>
      <w:r>
        <w:rPr>
          <w:noProof/>
        </w:rPr>
        <w:t>A primer energia iránti kereslet 30%-os átlagos csökkentésének való megfelelés biztosít</w:t>
      </w:r>
      <w:r>
        <w:rPr>
          <w:noProof/>
        </w:rPr>
        <w:t>ása érdekében királyi rendelet állapítja meg a műszaki követelményeket. A személyi jövedelemadó módosításait királyi törvényerejű rendelettel kell jóváhagyni, és céljuk az energiahatékonyság javítását célzó épületfelújítási intézkedések adóösztönzőinek meg</w:t>
      </w:r>
      <w:r>
        <w:rPr>
          <w:noProof/>
        </w:rPr>
        <w:t>határozása.</w:t>
      </w:r>
    </w:p>
    <w:p w14:paraId="5AFC7AC4" w14:textId="77777777" w:rsidR="003E1D81" w:rsidRDefault="00EB481C">
      <w:pPr>
        <w:pStyle w:val="P68B1DB1-Normal4"/>
        <w:spacing w:before="120" w:after="120" w:line="240" w:lineRule="auto"/>
        <w:jc w:val="both"/>
        <w:rPr>
          <w:rFonts w:cs="Times New Roman"/>
          <w:noProof/>
        </w:rPr>
      </w:pPr>
      <w:r>
        <w:rPr>
          <w:noProof/>
        </w:rPr>
        <w:t>A beruházás végrehajtását 2026. június 30-ig be kell fejezni.</w:t>
      </w:r>
    </w:p>
    <w:p w14:paraId="507FD263" w14:textId="77777777" w:rsidR="003E1D81" w:rsidRDefault="00EB481C">
      <w:pPr>
        <w:pStyle w:val="P68B1DB1-Normal6"/>
        <w:spacing w:before="120" w:after="120" w:line="240" w:lineRule="auto"/>
        <w:jc w:val="both"/>
        <w:rPr>
          <w:rFonts w:cs="Times New Roman"/>
          <w:noProof/>
        </w:rPr>
      </w:pPr>
      <w:r>
        <w:rPr>
          <w:noProof/>
        </w:rPr>
        <w:t>Beruházás (C2.I2) – A szociális bérlakások energiahatékony épületekben történő építésére irányuló program</w:t>
      </w:r>
    </w:p>
    <w:p w14:paraId="22FD70AB" w14:textId="77777777" w:rsidR="003E1D81" w:rsidRDefault="00EB481C">
      <w:pPr>
        <w:pStyle w:val="P68B1DB1-Normal4"/>
        <w:spacing w:before="120" w:after="120" w:line="240" w:lineRule="auto"/>
        <w:jc w:val="both"/>
        <w:rPr>
          <w:rFonts w:cs="Times New Roman"/>
          <w:noProof/>
        </w:rPr>
      </w:pPr>
      <w:r>
        <w:rPr>
          <w:noProof/>
        </w:rPr>
        <w:t>Ennek az intézkedésnek az a célja, hogy legalább 20000 új lakást építsenek s</w:t>
      </w:r>
      <w:r>
        <w:rPr>
          <w:noProof/>
        </w:rPr>
        <w:t>zociális bérlés céljából vagy az energiahatékonyság kritériumainak megfelelő, megfizethető áron. Ezeket különösen olyan területeken kell építeni, ahol a szociális lakások jelenleg nem elégségesek, valamint a köztulajdonban lévő földterületeken.</w:t>
      </w:r>
    </w:p>
    <w:p w14:paraId="67B4BC21" w14:textId="77777777" w:rsidR="003E1D81" w:rsidRDefault="00EB481C">
      <w:pPr>
        <w:pStyle w:val="P68B1DB1-Normal4"/>
        <w:spacing w:before="120" w:after="120" w:line="240" w:lineRule="auto"/>
        <w:jc w:val="both"/>
        <w:rPr>
          <w:rFonts w:cs="Times New Roman"/>
          <w:noProof/>
        </w:rPr>
      </w:pPr>
      <w:r>
        <w:rPr>
          <w:noProof/>
        </w:rPr>
        <w:t>A szociális</w:t>
      </w:r>
      <w:r>
        <w:rPr>
          <w:noProof/>
        </w:rPr>
        <w:t xml:space="preserve"> lakások primerenergia-igényének legalább 20%-kal a közel nulla energiaigényű épületekre vonatkozó követelmények alatt kell lennie. E célból királyi rendelet határozza meg azokat a műszaki követelményeket, amelyek a primerenergia-igényt az épületek műszaki</w:t>
      </w:r>
      <w:r>
        <w:rPr>
          <w:noProof/>
        </w:rPr>
        <w:t xml:space="preserve"> szabályzata (CTE) alapvető energiamegtakarítási dokumentumának (DB-HE) HE 0. szakaszában meghatározott határérték 80%-ára korlátozzák.</w:t>
      </w:r>
    </w:p>
    <w:p w14:paraId="609773F7" w14:textId="77777777" w:rsidR="003E1D81" w:rsidRDefault="00EB481C">
      <w:pPr>
        <w:pStyle w:val="P68B1DB1-Normal4"/>
        <w:spacing w:before="120" w:after="120" w:line="240" w:lineRule="auto"/>
        <w:jc w:val="both"/>
        <w:rPr>
          <w:rFonts w:cs="Times New Roman"/>
          <w:noProof/>
        </w:rPr>
      </w:pPr>
      <w:r>
        <w:rPr>
          <w:noProof/>
        </w:rPr>
        <w:t>A beruházás végrehajtását 2026. június 30-ig be kell fejezni.</w:t>
      </w:r>
    </w:p>
    <w:p w14:paraId="4020EDED" w14:textId="77777777" w:rsidR="003E1D81" w:rsidRDefault="00EB481C">
      <w:pPr>
        <w:pStyle w:val="P68B1DB1-Normal6"/>
        <w:spacing w:before="120" w:after="120" w:line="240" w:lineRule="auto"/>
        <w:jc w:val="both"/>
        <w:rPr>
          <w:rFonts w:cs="Times New Roman"/>
          <w:noProof/>
        </w:rPr>
      </w:pPr>
      <w:r>
        <w:rPr>
          <w:noProof/>
        </w:rPr>
        <w:t>Beruházás (C2.I3) – Épületek energetikai felújítására irán</w:t>
      </w:r>
      <w:r>
        <w:rPr>
          <w:noProof/>
        </w:rPr>
        <w:t>yuló program</w:t>
      </w:r>
    </w:p>
    <w:p w14:paraId="7394FF66" w14:textId="77777777" w:rsidR="003E1D81" w:rsidRDefault="00EB481C">
      <w:pPr>
        <w:pStyle w:val="P68B1DB1-Normal4"/>
        <w:spacing w:before="120" w:after="120" w:line="240" w:lineRule="auto"/>
        <w:jc w:val="both"/>
        <w:rPr>
          <w:rFonts w:cs="Times New Roman"/>
          <w:noProof/>
        </w:rPr>
      </w:pPr>
      <w:r>
        <w:rPr>
          <w:noProof/>
        </w:rPr>
        <w:t>Ezen intézkedés célja legalább 40000 lakóépület és 690 000 m 2</w:t>
      </w:r>
      <w:r>
        <w:rPr>
          <w:noProof/>
          <w:vertAlign w:val="superscript"/>
        </w:rPr>
        <w:t>nem</w:t>
      </w:r>
      <w:r>
        <w:rPr>
          <w:noProof/>
        </w:rPr>
        <w:t xml:space="preserve"> lakáscélú épület energetikai felújításának támogatása az energiahatékonyság javítása és a megújuló energia integrálása révén. A program csak a megújuló energiát támogatja, a fos</w:t>
      </w:r>
      <w:r>
        <w:rPr>
          <w:noProof/>
        </w:rPr>
        <w:t>szilis tüzelőanyagok kivételével, magasabb támogatási intenzitást biztosít az energiaközösségek számára, és lehetővé teszi a felújítási intézkedések előfinanszírozását. Az egyedi intézkedések az energiahatékonyság hőszigetelés révén történő javítására, a m</w:t>
      </w:r>
      <w:r>
        <w:rPr>
          <w:noProof/>
        </w:rPr>
        <w:t>egújuló energia fűtési és hűtési rendszerekben való felhasználására, valamint a világítási rendszer javítására terjednek ki. A jogosultsági kritérium szerint átlagosan legalább 30%-os primerenergia-igénycsökkenést kell elérni, amit az energiahatékonysági t</w:t>
      </w:r>
      <w:r>
        <w:rPr>
          <w:noProof/>
        </w:rPr>
        <w:t>anúsítványok igazolnak.</w:t>
      </w:r>
    </w:p>
    <w:p w14:paraId="2298B8EB" w14:textId="77777777" w:rsidR="003E1D81" w:rsidRDefault="00EB481C">
      <w:pPr>
        <w:pStyle w:val="P68B1DB1-Normal4"/>
        <w:spacing w:before="120" w:after="120" w:line="240" w:lineRule="auto"/>
        <w:jc w:val="both"/>
        <w:rPr>
          <w:rFonts w:cs="Times New Roman"/>
          <w:noProof/>
        </w:rPr>
      </w:pPr>
      <w:r>
        <w:rPr>
          <w:noProof/>
        </w:rPr>
        <w:t>A beruházás végrehajtását 2026. június 30-ig be kell fejezni.</w:t>
      </w:r>
    </w:p>
    <w:p w14:paraId="58B2CDE9" w14:textId="77777777" w:rsidR="003E1D81" w:rsidRDefault="00EB481C">
      <w:pPr>
        <w:pStyle w:val="P68B1DB1-Normal6"/>
        <w:spacing w:before="120" w:after="120" w:line="240" w:lineRule="auto"/>
        <w:jc w:val="both"/>
        <w:rPr>
          <w:rFonts w:cs="Times New Roman"/>
          <w:noProof/>
        </w:rPr>
      </w:pPr>
      <w:r>
        <w:rPr>
          <w:noProof/>
        </w:rPr>
        <w:t>Beruházás (C2.I4) – Regenerációs program és demográfiai kihívás</w:t>
      </w:r>
    </w:p>
    <w:p w14:paraId="5F772F25" w14:textId="77777777" w:rsidR="003E1D81" w:rsidRDefault="00EB481C">
      <w:pPr>
        <w:pStyle w:val="P68B1DB1-Normal4"/>
        <w:spacing w:before="120" w:after="120" w:line="240" w:lineRule="auto"/>
        <w:jc w:val="both"/>
        <w:rPr>
          <w:rFonts w:cs="Times New Roman"/>
          <w:noProof/>
        </w:rPr>
      </w:pPr>
      <w:r>
        <w:rPr>
          <w:noProof/>
        </w:rPr>
        <w:t>Ezen intézkedés célja az 5000 főnél kevesebb lakosú településeken és városi területeken található épületek</w:t>
      </w:r>
      <w:r>
        <w:rPr>
          <w:noProof/>
        </w:rPr>
        <w:t xml:space="preserve"> felújításának támogatása. Az intézkedések közé tartozik az épületek, az </w:t>
      </w:r>
      <w:r>
        <w:rPr>
          <w:noProof/>
        </w:rPr>
        <w:lastRenderedPageBreak/>
        <w:t>állami berendezések és infrastruktúra energiahatékonyságának javítása, a megújulóenergia-termelés és -fogyasztás, a saját fogyasztás és a tulajdonosok helyi energiaközösségei, valamin</w:t>
      </w:r>
      <w:r>
        <w:rPr>
          <w:noProof/>
        </w:rPr>
        <w:t>t a fenntartható mobilitás (például elektromos töltőállomások). Az intézkedések két típusát kell végrehajtani:</w:t>
      </w:r>
    </w:p>
    <w:p w14:paraId="01326C6C" w14:textId="527A66CA" w:rsidR="003E1D81" w:rsidRDefault="00EB481C">
      <w:pPr>
        <w:pStyle w:val="P68B1DB1-Normal4"/>
        <w:numPr>
          <w:ilvl w:val="0"/>
          <w:numId w:val="70"/>
        </w:numPr>
        <w:spacing w:before="120" w:after="120" w:line="240" w:lineRule="auto"/>
        <w:ind w:left="714" w:hanging="357"/>
        <w:contextualSpacing/>
        <w:jc w:val="both"/>
        <w:rPr>
          <w:rFonts w:cs="Times New Roman"/>
          <w:noProof/>
        </w:rPr>
      </w:pPr>
      <w:r>
        <w:rPr>
          <w:noProof/>
        </w:rPr>
        <w:t>Az energiahatékonyság tekintetében lakóépületekben és 230 000 m²-en nem lakáscélú épületekben legalább 4300 energetikai felújítást kell végezni, ami átlagosan legalább 30%-os primerenergia-igénycsökkenést eredményez, amit energiahatékonysági tanúsítványokk</w:t>
      </w:r>
      <w:r>
        <w:rPr>
          <w:noProof/>
        </w:rPr>
        <w:t xml:space="preserve">al ellenőriznek. </w:t>
      </w:r>
    </w:p>
    <w:p w14:paraId="7EE1C8FD" w14:textId="3CC631DE" w:rsidR="003E1D81" w:rsidRDefault="00EB481C">
      <w:pPr>
        <w:pStyle w:val="P68B1DB1-Normal4"/>
        <w:numPr>
          <w:ilvl w:val="0"/>
          <w:numId w:val="70"/>
        </w:numPr>
        <w:spacing w:before="120" w:after="120" w:line="240" w:lineRule="auto"/>
        <w:jc w:val="both"/>
        <w:rPr>
          <w:rFonts w:cs="Times New Roman"/>
          <w:noProof/>
        </w:rPr>
      </w:pPr>
      <w:r>
        <w:rPr>
          <w:noProof/>
        </w:rPr>
        <w:t xml:space="preserve">Legalább 500 egyedi tisztaenergia-projektet kell végrehajtani a helyi hatóságok által kiírt versenypályázatok vagy beruházások révén a következő területeken: elektromos vagy fűtő- és hűtőenergia telepítése középületek vagy infrastruktúra </w:t>
      </w:r>
      <w:r>
        <w:rPr>
          <w:noProof/>
        </w:rPr>
        <w:t>számára (beleértve legalább 80%-ban a saját fogyasztást); középületek vagy infrastruktúra energetikai felújítása (amely legalább 30%-os primerenergia-megtakarítást ér el, amelyet energiahatékonysági tanúsítványok igazolnak); fenntartható mobilitás (modális</w:t>
      </w:r>
      <w:r>
        <w:rPr>
          <w:noProof/>
        </w:rPr>
        <w:t xml:space="preserve"> váltásra vagy elektromos mobilitásra irányuló projektek); a fényszennyezés csökkentése jobb közvilágítás révén; és v. helyi energiaközösség vagy egyéb közösségvezérelt projektek ezekben a településeken.</w:t>
      </w:r>
    </w:p>
    <w:p w14:paraId="70CDAE8F" w14:textId="77777777" w:rsidR="003E1D81" w:rsidRDefault="00EB481C">
      <w:pPr>
        <w:pStyle w:val="P68B1DB1-Normal4"/>
        <w:spacing w:before="120" w:after="120" w:line="240" w:lineRule="auto"/>
        <w:jc w:val="both"/>
        <w:rPr>
          <w:rFonts w:cs="Times New Roman"/>
          <w:noProof/>
        </w:rPr>
      </w:pPr>
      <w:r>
        <w:rPr>
          <w:noProof/>
        </w:rPr>
        <w:t>E célból a helyi hatóságokra kiterjesztett szabályoz</w:t>
      </w:r>
      <w:r>
        <w:rPr>
          <w:noProof/>
        </w:rPr>
        <w:t xml:space="preserve">ási alapokat és beruházási támogatási felhívást közzé kell tenni a Hivatalos Lapban. </w:t>
      </w:r>
    </w:p>
    <w:p w14:paraId="78DFE28D" w14:textId="77777777" w:rsidR="003E1D81" w:rsidRDefault="00EB481C">
      <w:pPr>
        <w:pStyle w:val="P68B1DB1-Normal4"/>
        <w:spacing w:before="120" w:after="120" w:line="240" w:lineRule="auto"/>
        <w:jc w:val="both"/>
        <w:rPr>
          <w:rFonts w:cs="Times New Roman"/>
          <w:noProof/>
        </w:rPr>
      </w:pPr>
      <w:r>
        <w:rPr>
          <w:noProof/>
        </w:rPr>
        <w:t>A beruházás végrehajtását 2026. június 30-ig be kell fejezni.</w:t>
      </w:r>
    </w:p>
    <w:p w14:paraId="00B8F52C" w14:textId="77777777" w:rsidR="003E1D81" w:rsidRDefault="00EB481C">
      <w:pPr>
        <w:pStyle w:val="P68B1DB1-Normal6"/>
        <w:spacing w:before="120" w:after="120" w:line="240" w:lineRule="auto"/>
        <w:jc w:val="both"/>
        <w:rPr>
          <w:rFonts w:cs="Times New Roman"/>
          <w:noProof/>
        </w:rPr>
      </w:pPr>
      <w:r>
        <w:rPr>
          <w:noProof/>
        </w:rPr>
        <w:t>Beruházás (C2.I5) – Középületek rehabilitációs programja</w:t>
      </w:r>
    </w:p>
    <w:p w14:paraId="5C84FBF4" w14:textId="77777777" w:rsidR="003E1D81" w:rsidRDefault="00EB481C">
      <w:pPr>
        <w:pStyle w:val="P68B1DB1-Normal4"/>
        <w:spacing w:before="120" w:after="120" w:line="240" w:lineRule="auto"/>
        <w:jc w:val="both"/>
        <w:rPr>
          <w:rFonts w:cs="Times New Roman"/>
          <w:noProof/>
        </w:rPr>
      </w:pPr>
      <w:r>
        <w:rPr>
          <w:noProof/>
        </w:rPr>
        <w:t>Ezen intézkedés célja a középületek energetikai fel</w:t>
      </w:r>
      <w:r>
        <w:rPr>
          <w:noProof/>
        </w:rPr>
        <w:t>újításának támogatása, beleértve a közigazgatást, az oktatást, a szociális ellátást, a sportot, az egészségügyet, a kultúrát vagy a közszolgáltatást. Legalább 1 230 000 m 2</w:t>
      </w:r>
      <w:r>
        <w:rPr>
          <w:noProof/>
          <w:vertAlign w:val="superscript"/>
        </w:rPr>
        <w:t>középületet</w:t>
      </w:r>
      <w:r>
        <w:rPr>
          <w:noProof/>
        </w:rPr>
        <w:t xml:space="preserve"> fel kell újítani, átlagosan legalább 30%-os primerenergia-igénycsökkenés</w:t>
      </w:r>
      <w:r>
        <w:rPr>
          <w:noProof/>
        </w:rPr>
        <w:t xml:space="preserve"> elérése érdekében, amelyet energiahatékonysági tanúsítványokkal kell ellenőrizni. Az intézkedés a következőket támogatja: a víz- és anyagfelhasználás, a hulladékgazdálkodás és az éghajlatváltozáshoz való alkalmazkodás javítása; az épületek akadálymentessé</w:t>
      </w:r>
      <w:r>
        <w:rPr>
          <w:noProof/>
        </w:rPr>
        <w:t xml:space="preserve">gének javítása; veszélyes anyagok eltávolítása és a beltéri levegő minőségének javítása; és iv. az épületek megőrzése. </w:t>
      </w:r>
    </w:p>
    <w:p w14:paraId="0B17E944" w14:textId="77777777" w:rsidR="003E1D81" w:rsidRDefault="00EB481C">
      <w:pPr>
        <w:pStyle w:val="P68B1DB1-Normal4"/>
        <w:spacing w:before="120" w:after="120" w:line="240" w:lineRule="auto"/>
        <w:jc w:val="both"/>
        <w:rPr>
          <w:rFonts w:cs="Times New Roman"/>
          <w:noProof/>
        </w:rPr>
      </w:pPr>
      <w:r>
        <w:rPr>
          <w:noProof/>
        </w:rPr>
        <w:t>A beruházás végrehajtását 2026. június 30-ig be kell fejezni.</w:t>
      </w:r>
    </w:p>
    <w:p w14:paraId="490F1E3A" w14:textId="77777777" w:rsidR="003E1D81" w:rsidRDefault="00EB481C">
      <w:pPr>
        <w:pStyle w:val="P68B1DB1-Normal6"/>
        <w:spacing w:before="120" w:after="120" w:line="240" w:lineRule="auto"/>
        <w:jc w:val="both"/>
        <w:rPr>
          <w:rFonts w:cs="Times New Roman"/>
          <w:noProof/>
        </w:rPr>
      </w:pPr>
      <w:r>
        <w:rPr>
          <w:noProof/>
        </w:rPr>
        <w:t>Beruházás (C2.I6) – Támogatási program a spanyol városfejlesztési menetren</w:t>
      </w:r>
      <w:r>
        <w:rPr>
          <w:noProof/>
        </w:rPr>
        <w:t>d helyi cselekvési terveivel kapcsolatos kísérleti projektek kidolgozásához</w:t>
      </w:r>
    </w:p>
    <w:p w14:paraId="71C49580" w14:textId="77777777" w:rsidR="003E1D81" w:rsidRDefault="00EB481C">
      <w:pPr>
        <w:pStyle w:val="P68B1DB1-Normal4"/>
        <w:spacing w:before="120" w:after="120" w:line="240" w:lineRule="auto"/>
        <w:jc w:val="both"/>
        <w:rPr>
          <w:rFonts w:cs="Times New Roman"/>
          <w:noProof/>
        </w:rPr>
      </w:pPr>
      <w:r>
        <w:rPr>
          <w:noProof/>
        </w:rPr>
        <w:t xml:space="preserve">Ezen intézkedés célja, hogy legalább 100 helyi cselekvési terv jóváhagyásával támogassa a helyi önkormányzatokat a spanyol városfejlesztési menetrend tíz stratégiai célkitűzésének </w:t>
      </w:r>
      <w:r>
        <w:rPr>
          <w:noProof/>
        </w:rPr>
        <w:t>végrehajtásában. A spanyol városfejlesztési menetrend tíz stratégiai célkitűzése a következő: a földhasználat tervezése és ésszerűbb használata, megőrzése és védelme; a városok terjeszkedésének és a meglévő városok újjáélesztésének elkerülése; az éghajlatv</w:t>
      </w:r>
      <w:r>
        <w:rPr>
          <w:noProof/>
        </w:rPr>
        <w:t>áltozás és az ellenálló képesség hatásainak megelőzése és csökkentése; az erőforrások fenntartható felhasználása és a körforgásos gazdaság előmozdítása; a közelség és a fenntartható mobilitás előmozdítása; a társadalmi kohézió ösztönzése és az egyenlőségre</w:t>
      </w:r>
      <w:r>
        <w:rPr>
          <w:noProof/>
        </w:rPr>
        <w:t xml:space="preserve"> való törekvés; a városi gazdaság előmozdítása és ösztönzése; a lakhatáshoz való hozzáférés biztosítása; a digitális innováció vezetése és előmozdítása; és x) a részvételi és irányítási eszközök javítása.</w:t>
      </w:r>
    </w:p>
    <w:p w14:paraId="1C387669" w14:textId="77777777" w:rsidR="003E1D81" w:rsidRDefault="00EB481C">
      <w:pPr>
        <w:pStyle w:val="P68B1DB1-Normal4"/>
        <w:spacing w:before="120" w:after="120" w:line="240" w:lineRule="auto"/>
        <w:jc w:val="both"/>
        <w:rPr>
          <w:rFonts w:cs="Times New Roman"/>
          <w:noProof/>
        </w:rPr>
      </w:pPr>
      <w:r>
        <w:rPr>
          <w:noProof/>
        </w:rPr>
        <w:t>Az intézkedés i. modellként és iránymutatásként szo</w:t>
      </w:r>
      <w:r>
        <w:rPr>
          <w:noProof/>
        </w:rPr>
        <w:t>lgál más helyi hatóságok számára saját cselekvési terveik kidolgozásához; a spanyol városfejlesztési menetrend végrehajtása helyi szintű cselekvési tervekkel; valamint iii. a helyi cselekvési tervek részeként konkrét projektek végrehajtása a spanyol városf</w:t>
      </w:r>
      <w:r>
        <w:rPr>
          <w:noProof/>
        </w:rPr>
        <w:t xml:space="preserve">ejlesztési menetrendben rejlő lehetőségek kiemelése érdekében. A támogatást versenyeztetés útján ítélik oda, és különösen átfogó és integrált, stratégiai </w:t>
      </w:r>
      <w:r>
        <w:rPr>
          <w:noProof/>
        </w:rPr>
        <w:lastRenderedPageBreak/>
        <w:t>jövőképpel rendelkező projekteket és a lehető legszélesebb körű részvételt biztosító irányítási modell</w:t>
      </w:r>
      <w:r>
        <w:rPr>
          <w:noProof/>
        </w:rPr>
        <w:t xml:space="preserve">t foglal magában. </w:t>
      </w:r>
    </w:p>
    <w:p w14:paraId="3A173C06" w14:textId="77777777" w:rsidR="003E1D81" w:rsidRDefault="00EB481C">
      <w:pPr>
        <w:pStyle w:val="P68B1DB1-Normal4"/>
        <w:spacing w:before="120" w:after="120" w:line="240" w:lineRule="auto"/>
        <w:jc w:val="both"/>
        <w:rPr>
          <w:rFonts w:cs="Times New Roman"/>
          <w:noProof/>
        </w:rPr>
      </w:pPr>
      <w:r>
        <w:rPr>
          <w:noProof/>
        </w:rPr>
        <w:t>Az ezen intézkedés szerinti beruházásokat 2022. december 31-ig be kell fejezni.</w:t>
      </w:r>
    </w:p>
    <w:p w14:paraId="567278F9" w14:textId="77777777" w:rsidR="003E1D81" w:rsidRDefault="00EB481C">
      <w:pPr>
        <w:pStyle w:val="P68B1DB1-Normal5"/>
        <w:spacing w:before="120" w:after="120" w:line="240" w:lineRule="auto"/>
        <w:ind w:left="709"/>
        <w:jc w:val="both"/>
        <w:rPr>
          <w:rFonts w:cs="Times New Roman"/>
          <w:noProof/>
        </w:rPr>
      </w:pPr>
      <w:r>
        <w:rPr>
          <w:noProof/>
        </w:rPr>
        <w:t xml:space="preserve">B.2. </w:t>
      </w:r>
      <w:r>
        <w:rPr>
          <w:noProof/>
        </w:rPr>
        <w:tab/>
        <w:t>Vissza nem térítendő pénzügyi támogatás – a végrehajtáshoz és a nyomon követéshez kapcsolódó mérföldkövek, célok, mutatók és ütemterv</w:t>
      </w:r>
    </w:p>
    <w:p w14:paraId="49802B6B" w14:textId="77777777" w:rsidR="003E1D81" w:rsidRDefault="00EB481C">
      <w:pPr>
        <w:pStyle w:val="P68B1DB1-Normal4"/>
        <w:spacing w:before="120" w:after="120" w:line="240" w:lineRule="auto"/>
        <w:jc w:val="both"/>
        <w:rPr>
          <w:rFonts w:cs="Times New Roman"/>
          <w:i/>
          <w:noProof/>
        </w:rPr>
      </w:pPr>
      <w:r>
        <w:rPr>
          <w:i/>
          <w:noProof/>
        </w:rPr>
        <w:t>Táblázat alább.</w:t>
      </w:r>
      <w:r>
        <w:rPr>
          <w:noProof/>
        </w:rPr>
        <w:t xml:space="preserve"> </w:t>
      </w:r>
      <w:r>
        <w:rPr>
          <w:i/>
          <w:noProof/>
        </w:rPr>
        <w:t>A</w:t>
      </w:r>
      <w:r>
        <w:rPr>
          <w:i/>
          <w:noProof/>
        </w:rPr>
        <w:t>z alapforgatókönyv valamennyi mutató esetében 2020. február 1-je, kivéve, ha az intézkedés leírása másként jelzi. A táblázatban szereplő összegek nem tartalmazzák a héát.</w:t>
      </w:r>
    </w:p>
    <w:p w14:paraId="0F361146" w14:textId="77777777" w:rsidR="003E1D81" w:rsidRDefault="003E1D81">
      <w:pPr>
        <w:spacing w:before="120" w:after="120" w:line="240" w:lineRule="auto"/>
        <w:jc w:val="both"/>
        <w:rPr>
          <w:rFonts w:ascii="Times New Roman" w:hAnsi="Times New Roman" w:cs="Times New Roman"/>
          <w:noProof/>
          <w:sz w:val="24"/>
        </w:rPr>
      </w:pPr>
    </w:p>
    <w:p w14:paraId="02246708" w14:textId="40E43E47" w:rsidR="003E1D81" w:rsidRDefault="003E1D81">
      <w:pPr>
        <w:spacing w:before="120" w:after="120" w:line="240" w:lineRule="auto"/>
        <w:jc w:val="both"/>
        <w:rPr>
          <w:rFonts w:ascii="Times New Roman" w:hAnsi="Times New Roman" w:cs="Times New Roman"/>
          <w:noProof/>
          <w:sz w:val="24"/>
        </w:rPr>
        <w:sectPr w:rsidR="003E1D81" w:rsidSect="004F0858">
          <w:headerReference w:type="even" r:id="rId42"/>
          <w:headerReference w:type="default" r:id="rId43"/>
          <w:footerReference w:type="even" r:id="rId44"/>
          <w:footerReference w:type="default" r:id="rId45"/>
          <w:headerReference w:type="first" r:id="rId46"/>
          <w:footerReference w:type="first" r:id="rId47"/>
          <w:pgSz w:w="11907" w:h="16839"/>
          <w:pgMar w:top="1134" w:right="1417" w:bottom="1134" w:left="1417" w:header="709" w:footer="709" w:gutter="0"/>
          <w:cols w:space="720"/>
          <w:docGrid w:linePitch="360"/>
        </w:sectPr>
      </w:pPr>
    </w:p>
    <w:tbl>
      <w:tblPr>
        <w:tblpPr w:leftFromText="180" w:rightFromText="180" w:vertAnchor="text" w:tblpX="-114" w:tblpY="1"/>
        <w:tblOverlap w:val="neve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985"/>
        <w:gridCol w:w="1134"/>
        <w:gridCol w:w="850"/>
        <w:gridCol w:w="709"/>
        <w:gridCol w:w="851"/>
        <w:gridCol w:w="425"/>
        <w:gridCol w:w="567"/>
        <w:gridCol w:w="6379"/>
      </w:tblGrid>
      <w:tr w:rsidR="003E1D81" w14:paraId="2E3C9312" w14:textId="77777777">
        <w:trPr>
          <w:trHeight w:val="309"/>
          <w:tblHeader/>
        </w:trPr>
        <w:tc>
          <w:tcPr>
            <w:tcW w:w="709" w:type="dxa"/>
            <w:tcBorders>
              <w:bottom w:val="nil"/>
            </w:tcBorders>
            <w:shd w:val="clear" w:color="auto" w:fill="C6D9F1" w:themeFill="text2" w:themeFillTint="33"/>
            <w:noWrap/>
            <w:vAlign w:val="center"/>
          </w:tcPr>
          <w:p w14:paraId="5B1788F6" w14:textId="77777777" w:rsidR="003E1D81" w:rsidRDefault="00EB481C">
            <w:pPr>
              <w:pStyle w:val="P68B1DB1-Normal12"/>
              <w:spacing w:after="0" w:line="240" w:lineRule="auto"/>
              <w:jc w:val="center"/>
              <w:rPr>
                <w:rFonts w:cs="Times New Roman"/>
                <w:noProof/>
              </w:rPr>
            </w:pPr>
            <w:r>
              <w:rPr>
                <w:noProof/>
              </w:rPr>
              <w:lastRenderedPageBreak/>
              <w:t>Szám</w:t>
            </w:r>
          </w:p>
        </w:tc>
        <w:tc>
          <w:tcPr>
            <w:tcW w:w="851" w:type="dxa"/>
            <w:tcBorders>
              <w:bottom w:val="nil"/>
            </w:tcBorders>
            <w:shd w:val="clear" w:color="auto" w:fill="C6D9F1" w:themeFill="text2" w:themeFillTint="33"/>
            <w:noWrap/>
            <w:vAlign w:val="center"/>
          </w:tcPr>
          <w:p w14:paraId="49584422"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39827929"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1985" w:type="dxa"/>
            <w:tcBorders>
              <w:bottom w:val="nil"/>
            </w:tcBorders>
            <w:shd w:val="clear" w:color="auto" w:fill="C6D9F1" w:themeFill="text2" w:themeFillTint="33"/>
            <w:noWrap/>
            <w:vAlign w:val="center"/>
          </w:tcPr>
          <w:p w14:paraId="76CAFD79" w14:textId="77777777" w:rsidR="003E1D81" w:rsidRDefault="00EB481C">
            <w:pPr>
              <w:pStyle w:val="P68B1DB1-Normal12"/>
              <w:spacing w:after="0" w:line="240" w:lineRule="auto"/>
              <w:jc w:val="center"/>
              <w:rPr>
                <w:rFonts w:cs="Times New Roman"/>
                <w:noProof/>
              </w:rPr>
            </w:pPr>
            <w:r>
              <w:rPr>
                <w:noProof/>
              </w:rPr>
              <w:t>Név</w:t>
            </w:r>
          </w:p>
        </w:tc>
        <w:tc>
          <w:tcPr>
            <w:tcW w:w="1134" w:type="dxa"/>
            <w:tcBorders>
              <w:bottom w:val="nil"/>
            </w:tcBorders>
            <w:shd w:val="clear" w:color="auto" w:fill="C6D9F1" w:themeFill="text2" w:themeFillTint="33"/>
            <w:noWrap/>
            <w:vAlign w:val="center"/>
          </w:tcPr>
          <w:p w14:paraId="4600E658"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2410" w:type="dxa"/>
            <w:gridSpan w:val="3"/>
            <w:shd w:val="clear" w:color="auto" w:fill="C6D9F1" w:themeFill="text2" w:themeFillTint="33"/>
            <w:noWrap/>
            <w:vAlign w:val="center"/>
          </w:tcPr>
          <w:p w14:paraId="38F0721A"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92" w:type="dxa"/>
            <w:gridSpan w:val="2"/>
            <w:shd w:val="clear" w:color="auto" w:fill="C6D9F1" w:themeFill="text2" w:themeFillTint="33"/>
            <w:noWrap/>
            <w:vAlign w:val="center"/>
          </w:tcPr>
          <w:p w14:paraId="77B6B7CC" w14:textId="77777777" w:rsidR="003E1D81" w:rsidRDefault="00EB481C">
            <w:pPr>
              <w:pStyle w:val="P68B1DB1-Normal12"/>
              <w:spacing w:after="0" w:line="240" w:lineRule="auto"/>
              <w:jc w:val="center"/>
              <w:rPr>
                <w:rFonts w:cs="Times New Roman"/>
                <w:noProof/>
              </w:rPr>
            </w:pPr>
            <w:r>
              <w:rPr>
                <w:noProof/>
              </w:rPr>
              <w:t>Idő</w:t>
            </w:r>
          </w:p>
        </w:tc>
        <w:tc>
          <w:tcPr>
            <w:tcW w:w="6379" w:type="dxa"/>
            <w:tcBorders>
              <w:bottom w:val="nil"/>
            </w:tcBorders>
            <w:shd w:val="clear" w:color="auto" w:fill="C6D9F1" w:themeFill="text2" w:themeFillTint="33"/>
            <w:noWrap/>
            <w:vAlign w:val="center"/>
          </w:tcPr>
          <w:p w14:paraId="038D6592"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4A804D2F" w14:textId="77777777">
        <w:trPr>
          <w:trHeight w:val="309"/>
          <w:tblHeader/>
        </w:trPr>
        <w:tc>
          <w:tcPr>
            <w:tcW w:w="709" w:type="dxa"/>
            <w:tcBorders>
              <w:top w:val="nil"/>
            </w:tcBorders>
            <w:shd w:val="clear" w:color="auto" w:fill="C6D9F1" w:themeFill="text2" w:themeFillTint="33"/>
            <w:noWrap/>
          </w:tcPr>
          <w:p w14:paraId="3656B9AB"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45FB0818"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49F31CB" w14:textId="77777777" w:rsidR="003E1D81" w:rsidRDefault="003E1D81">
            <w:pPr>
              <w:spacing w:after="0" w:line="240" w:lineRule="auto"/>
              <w:jc w:val="center"/>
              <w:rPr>
                <w:rFonts w:ascii="Times New Roman" w:hAnsi="Times New Roman" w:cs="Times New Roman"/>
                <w:b/>
                <w:noProof/>
                <w:sz w:val="18"/>
              </w:rPr>
            </w:pPr>
          </w:p>
        </w:tc>
        <w:tc>
          <w:tcPr>
            <w:tcW w:w="1985" w:type="dxa"/>
            <w:tcBorders>
              <w:top w:val="nil"/>
            </w:tcBorders>
            <w:shd w:val="clear" w:color="auto" w:fill="C6D9F1" w:themeFill="text2" w:themeFillTint="33"/>
            <w:noWrap/>
          </w:tcPr>
          <w:p w14:paraId="53128261" w14:textId="77777777" w:rsidR="003E1D81" w:rsidRDefault="003E1D81">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62486C05" w14:textId="77777777" w:rsidR="003E1D81" w:rsidRDefault="003E1D81">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2405BE9F" w14:textId="77777777" w:rsidR="003E1D81" w:rsidRDefault="00EB481C">
            <w:pPr>
              <w:pStyle w:val="P68B1DB1-Normal12"/>
              <w:spacing w:after="0" w:line="240" w:lineRule="auto"/>
              <w:jc w:val="center"/>
              <w:rPr>
                <w:rFonts w:cs="Times New Roman"/>
                <w:noProof/>
              </w:rPr>
            </w:pPr>
            <w:r>
              <w:rPr>
                <w:noProof/>
              </w:rPr>
              <w:t>Egység</w:t>
            </w:r>
          </w:p>
        </w:tc>
        <w:tc>
          <w:tcPr>
            <w:tcW w:w="709" w:type="dxa"/>
            <w:shd w:val="clear" w:color="auto" w:fill="C6D9F1" w:themeFill="text2" w:themeFillTint="33"/>
            <w:noWrap/>
            <w:vAlign w:val="center"/>
          </w:tcPr>
          <w:p w14:paraId="0F1DE017" w14:textId="77777777" w:rsidR="003E1D81" w:rsidRDefault="00EB481C">
            <w:pPr>
              <w:pStyle w:val="P68B1DB1-Normal12"/>
              <w:spacing w:after="0" w:line="240" w:lineRule="auto"/>
              <w:jc w:val="center"/>
              <w:rPr>
                <w:rFonts w:cs="Times New Roman"/>
                <w:noProof/>
              </w:rPr>
            </w:pPr>
            <w:r>
              <w:rPr>
                <w:noProof/>
              </w:rPr>
              <w:t>Alapérték</w:t>
            </w:r>
          </w:p>
        </w:tc>
        <w:tc>
          <w:tcPr>
            <w:tcW w:w="851" w:type="dxa"/>
            <w:shd w:val="clear" w:color="auto" w:fill="C6D9F1" w:themeFill="text2" w:themeFillTint="33"/>
            <w:noWrap/>
            <w:vAlign w:val="center"/>
          </w:tcPr>
          <w:p w14:paraId="09320768" w14:textId="77777777" w:rsidR="003E1D81" w:rsidRDefault="00EB481C">
            <w:pPr>
              <w:pStyle w:val="P68B1DB1-Normal12"/>
              <w:spacing w:after="0" w:line="240" w:lineRule="auto"/>
              <w:jc w:val="center"/>
              <w:rPr>
                <w:rFonts w:cs="Times New Roman"/>
                <w:noProof/>
              </w:rPr>
            </w:pPr>
            <w:r>
              <w:rPr>
                <w:noProof/>
              </w:rPr>
              <w:t>Cél</w:t>
            </w:r>
          </w:p>
        </w:tc>
        <w:tc>
          <w:tcPr>
            <w:tcW w:w="425" w:type="dxa"/>
            <w:shd w:val="clear" w:color="auto" w:fill="C6D9F1" w:themeFill="text2" w:themeFillTint="33"/>
            <w:noWrap/>
            <w:vAlign w:val="center"/>
          </w:tcPr>
          <w:p w14:paraId="5EF36C89"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1D6DE76D" w14:textId="77777777" w:rsidR="003E1D81" w:rsidRDefault="00EB481C">
            <w:pPr>
              <w:pStyle w:val="P68B1DB1-Normal12"/>
              <w:spacing w:after="0" w:line="240" w:lineRule="auto"/>
              <w:jc w:val="center"/>
              <w:rPr>
                <w:rFonts w:cs="Times New Roman"/>
                <w:noProof/>
              </w:rPr>
            </w:pPr>
            <w:r>
              <w:rPr>
                <w:noProof/>
              </w:rPr>
              <w:t>Éve</w:t>
            </w:r>
          </w:p>
        </w:tc>
        <w:tc>
          <w:tcPr>
            <w:tcW w:w="6379" w:type="dxa"/>
            <w:tcBorders>
              <w:top w:val="nil"/>
            </w:tcBorders>
            <w:shd w:val="clear" w:color="auto" w:fill="C6D9F1" w:themeFill="text2" w:themeFillTint="33"/>
            <w:noWrap/>
          </w:tcPr>
          <w:p w14:paraId="4101652C" w14:textId="77777777" w:rsidR="003E1D81" w:rsidRDefault="003E1D81">
            <w:pPr>
              <w:spacing w:after="0" w:line="240" w:lineRule="auto"/>
              <w:rPr>
                <w:rFonts w:ascii="Times New Roman" w:hAnsi="Times New Roman" w:cs="Times New Roman"/>
                <w:b/>
                <w:noProof/>
                <w:sz w:val="18"/>
              </w:rPr>
            </w:pPr>
          </w:p>
        </w:tc>
      </w:tr>
      <w:tr w:rsidR="003E1D81" w14:paraId="6E905AD4" w14:textId="77777777">
        <w:trPr>
          <w:trHeight w:val="309"/>
        </w:trPr>
        <w:tc>
          <w:tcPr>
            <w:tcW w:w="709" w:type="dxa"/>
            <w:shd w:val="clear" w:color="auto" w:fill="C6EFCE"/>
            <w:noWrap/>
          </w:tcPr>
          <w:p w14:paraId="7B568215" w14:textId="77777777" w:rsidR="003E1D81" w:rsidRDefault="00EB481C">
            <w:pPr>
              <w:pStyle w:val="P68B1DB1-Normal13"/>
              <w:spacing w:after="0" w:line="240" w:lineRule="auto"/>
              <w:jc w:val="center"/>
              <w:rPr>
                <w:rFonts w:eastAsia="MS Mincho" w:cs="Times New Roman"/>
                <w:noProof/>
              </w:rPr>
            </w:pPr>
            <w:r>
              <w:rPr>
                <w:noProof/>
              </w:rPr>
              <w:t>21</w:t>
            </w:r>
          </w:p>
        </w:tc>
        <w:tc>
          <w:tcPr>
            <w:tcW w:w="851" w:type="dxa"/>
            <w:shd w:val="clear" w:color="auto" w:fill="C6EFCE"/>
            <w:noWrap/>
          </w:tcPr>
          <w:p w14:paraId="54F29CE8" w14:textId="77777777" w:rsidR="003E1D81" w:rsidRDefault="00EB481C">
            <w:pPr>
              <w:pStyle w:val="P68B1DB1-Normal13"/>
              <w:spacing w:after="0" w:line="240" w:lineRule="auto"/>
              <w:jc w:val="center"/>
              <w:rPr>
                <w:rFonts w:eastAsia="MS Mincho" w:cs="Times New Roman"/>
                <w:noProof/>
              </w:rPr>
            </w:pPr>
            <w:r>
              <w:rPr>
                <w:noProof/>
              </w:rPr>
              <w:t>C2.R1</w:t>
            </w:r>
          </w:p>
        </w:tc>
        <w:tc>
          <w:tcPr>
            <w:tcW w:w="850" w:type="dxa"/>
            <w:shd w:val="clear" w:color="auto" w:fill="C6EFCE"/>
            <w:noWrap/>
          </w:tcPr>
          <w:p w14:paraId="5DB29657" w14:textId="77777777" w:rsidR="003E1D81" w:rsidRDefault="00EB481C">
            <w:pPr>
              <w:pStyle w:val="P68B1DB1-Normal13"/>
              <w:spacing w:after="0" w:line="240" w:lineRule="auto"/>
              <w:jc w:val="center"/>
              <w:rPr>
                <w:rFonts w:eastAsia="MS Mincho" w:cs="Times New Roman"/>
                <w:noProof/>
              </w:rPr>
            </w:pPr>
            <w:r>
              <w:rPr>
                <w:noProof/>
              </w:rPr>
              <w:t>M</w:t>
            </w:r>
          </w:p>
        </w:tc>
        <w:tc>
          <w:tcPr>
            <w:tcW w:w="1985" w:type="dxa"/>
            <w:shd w:val="clear" w:color="auto" w:fill="C6EFCE"/>
            <w:noWrap/>
          </w:tcPr>
          <w:p w14:paraId="6BD4891F" w14:textId="77777777" w:rsidR="003E1D81" w:rsidRDefault="00EB481C">
            <w:pPr>
              <w:pStyle w:val="P68B1DB1-Normal13"/>
              <w:spacing w:after="0" w:line="240" w:lineRule="auto"/>
              <w:rPr>
                <w:rFonts w:eastAsia="MS Mincho" w:cs="Times New Roman"/>
                <w:noProof/>
              </w:rPr>
            </w:pPr>
            <w:r>
              <w:rPr>
                <w:noProof/>
              </w:rPr>
              <w:t xml:space="preserve">A spanyol városfejlesztési menetrend és az épületek energetikai rehabilitációjára irányuló hosszú távú felújítási stratégia hatálybalépése Spanyolországban </w:t>
            </w:r>
          </w:p>
        </w:tc>
        <w:tc>
          <w:tcPr>
            <w:tcW w:w="1134" w:type="dxa"/>
            <w:shd w:val="clear" w:color="auto" w:fill="C6EFCE"/>
            <w:noWrap/>
          </w:tcPr>
          <w:p w14:paraId="5CC747CB" w14:textId="77777777" w:rsidR="003E1D81" w:rsidRDefault="00EB481C">
            <w:pPr>
              <w:pStyle w:val="P68B1DB1-Normal13"/>
              <w:spacing w:after="0" w:line="240" w:lineRule="auto"/>
              <w:jc w:val="center"/>
              <w:rPr>
                <w:rFonts w:eastAsia="MS Mincho" w:cs="Times New Roman"/>
                <w:noProof/>
              </w:rPr>
            </w:pPr>
            <w:r>
              <w:rPr>
                <w:noProof/>
              </w:rPr>
              <w:t>Közzététel a Hivatalos Lapban</w:t>
            </w:r>
          </w:p>
        </w:tc>
        <w:tc>
          <w:tcPr>
            <w:tcW w:w="850" w:type="dxa"/>
            <w:shd w:val="clear" w:color="auto" w:fill="C6EFCE"/>
            <w:noWrap/>
          </w:tcPr>
          <w:p w14:paraId="5EDB29A5" w14:textId="77777777" w:rsidR="003E1D81" w:rsidRDefault="00EB481C">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4474F8A0" w14:textId="77777777" w:rsidR="003E1D81" w:rsidRDefault="00EB481C">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5E6F60B5" w14:textId="77777777" w:rsidR="003E1D81" w:rsidRDefault="00EB481C">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7694BBC2" w14:textId="77777777"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77F781D2" w14:textId="77777777" w:rsidR="003E1D81" w:rsidRDefault="00EB481C">
            <w:pPr>
              <w:pStyle w:val="P68B1DB1-Normal13"/>
              <w:spacing w:after="0" w:line="240" w:lineRule="auto"/>
              <w:jc w:val="center"/>
              <w:rPr>
                <w:rFonts w:eastAsia="MS Mincho" w:cs="Times New Roman"/>
                <w:noProof/>
              </w:rPr>
            </w:pPr>
            <w:r>
              <w:rPr>
                <w:noProof/>
              </w:rPr>
              <w:t>2020</w:t>
            </w:r>
          </w:p>
        </w:tc>
        <w:tc>
          <w:tcPr>
            <w:tcW w:w="6379" w:type="dxa"/>
            <w:shd w:val="clear" w:color="auto" w:fill="C6EFCE"/>
            <w:noWrap/>
          </w:tcPr>
          <w:p w14:paraId="3F8518F0" w14:textId="77777777" w:rsidR="003E1D81" w:rsidRDefault="00EB481C">
            <w:pPr>
              <w:pStyle w:val="P68B1DB1-Normal13"/>
              <w:spacing w:after="0" w:line="240" w:lineRule="auto"/>
              <w:rPr>
                <w:rFonts w:eastAsia="MS Mincho" w:cs="Times New Roman"/>
                <w:noProof/>
              </w:rPr>
            </w:pPr>
            <w:r>
              <w:rPr>
                <w:noProof/>
              </w:rPr>
              <w:t>A spanyol városfejlesztési menetrend – mint a város</w:t>
            </w:r>
            <w:r>
              <w:rPr>
                <w:noProof/>
              </w:rPr>
              <w:t>ok integrált és átfogó stratégiai tervezését biztosító nemzeti városfejlesztési politika – hatálybalépése, valamint a spanyolországi építőipari ágazat energetikai rehabilitációjára vonatkozó hosszú távú felújítási stratégia (ERESEE) 2020. évi aktualizálása</w:t>
            </w:r>
            <w:r>
              <w:rPr>
                <w:noProof/>
              </w:rPr>
              <w:t>. Az ERESEE-stratégia célja, hogy feltérképezze a spanyolországi épületállományt, felszámolja az akadályokat és új megközelítéseket alakítson ki az épületek felújításának fokozása, az ágazatba történő beruházások ösztönzése, az energiatakarékosság növelése</w:t>
            </w:r>
            <w:r>
              <w:rPr>
                <w:noProof/>
              </w:rPr>
              <w:t xml:space="preserve"> és a szén-dioxid-kibocsátás csökkentése érdekében, az éghajlat-politikai célokkal összhangban.</w:t>
            </w:r>
          </w:p>
        </w:tc>
      </w:tr>
      <w:tr w:rsidR="003E1D81" w14:paraId="33ED5252" w14:textId="77777777">
        <w:trPr>
          <w:trHeight w:val="309"/>
        </w:trPr>
        <w:tc>
          <w:tcPr>
            <w:tcW w:w="709" w:type="dxa"/>
            <w:shd w:val="clear" w:color="auto" w:fill="C6EFCE"/>
            <w:noWrap/>
          </w:tcPr>
          <w:p w14:paraId="2569FBD6" w14:textId="77777777" w:rsidR="003E1D81" w:rsidRDefault="00EB481C">
            <w:pPr>
              <w:pStyle w:val="P68B1DB1-Normal13"/>
              <w:spacing w:after="0" w:line="240" w:lineRule="auto"/>
              <w:jc w:val="center"/>
              <w:rPr>
                <w:rFonts w:cs="Times New Roman"/>
                <w:noProof/>
              </w:rPr>
            </w:pPr>
            <w:r>
              <w:rPr>
                <w:noProof/>
              </w:rPr>
              <w:t>21a.</w:t>
            </w:r>
          </w:p>
        </w:tc>
        <w:tc>
          <w:tcPr>
            <w:tcW w:w="851" w:type="dxa"/>
            <w:shd w:val="clear" w:color="auto" w:fill="C6EFCE"/>
            <w:noWrap/>
          </w:tcPr>
          <w:p w14:paraId="43DCEA58" w14:textId="77777777" w:rsidR="003E1D81" w:rsidRDefault="00EB481C">
            <w:pPr>
              <w:pStyle w:val="P68B1DB1-Normal13"/>
              <w:spacing w:after="0" w:line="240" w:lineRule="auto"/>
              <w:jc w:val="center"/>
              <w:rPr>
                <w:rFonts w:cs="Times New Roman"/>
                <w:noProof/>
              </w:rPr>
            </w:pPr>
            <w:r>
              <w:rPr>
                <w:noProof/>
              </w:rPr>
              <w:t>C2.R2</w:t>
            </w:r>
          </w:p>
        </w:tc>
        <w:tc>
          <w:tcPr>
            <w:tcW w:w="850" w:type="dxa"/>
            <w:shd w:val="clear" w:color="auto" w:fill="C6EFCE"/>
            <w:noWrap/>
          </w:tcPr>
          <w:p w14:paraId="1F0E4D68" w14:textId="77777777" w:rsidR="003E1D81" w:rsidRDefault="00EB481C">
            <w:pPr>
              <w:pStyle w:val="P68B1DB1-Normal13"/>
              <w:spacing w:after="0" w:line="240" w:lineRule="auto"/>
              <w:jc w:val="center"/>
              <w:rPr>
                <w:rFonts w:cs="Times New Roman"/>
                <w:noProof/>
              </w:rPr>
            </w:pPr>
            <w:r>
              <w:rPr>
                <w:noProof/>
              </w:rPr>
              <w:t>M</w:t>
            </w:r>
          </w:p>
        </w:tc>
        <w:tc>
          <w:tcPr>
            <w:tcW w:w="1985" w:type="dxa"/>
            <w:shd w:val="clear" w:color="auto" w:fill="C6EFCE"/>
            <w:noWrap/>
          </w:tcPr>
          <w:p w14:paraId="38D6AED2" w14:textId="77777777" w:rsidR="003E1D81" w:rsidRDefault="00EB481C">
            <w:pPr>
              <w:pStyle w:val="P68B1DB1-Normal13"/>
              <w:spacing w:after="0" w:line="240" w:lineRule="auto"/>
              <w:rPr>
                <w:rFonts w:cs="Times New Roman"/>
                <w:noProof/>
                <w:highlight w:val="yellow"/>
              </w:rPr>
            </w:pPr>
            <w:r>
              <w:rPr>
                <w:noProof/>
              </w:rPr>
              <w:t>A munkacsoportok ajánlásainak közzététele a hosszú távú felújítási stratégia spanyolországi végrehajtása érdekében</w:t>
            </w:r>
          </w:p>
        </w:tc>
        <w:tc>
          <w:tcPr>
            <w:tcW w:w="1134" w:type="dxa"/>
            <w:shd w:val="clear" w:color="auto" w:fill="C6EFCE"/>
            <w:noWrap/>
          </w:tcPr>
          <w:p w14:paraId="008F8ECF" w14:textId="77777777" w:rsidR="003E1D81" w:rsidRDefault="00EB481C">
            <w:pPr>
              <w:pStyle w:val="P68B1DB1-Normal13"/>
              <w:spacing w:after="0" w:line="240" w:lineRule="auto"/>
              <w:jc w:val="center"/>
              <w:rPr>
                <w:rFonts w:cs="Times New Roman"/>
                <w:noProof/>
                <w:highlight w:val="yellow"/>
              </w:rPr>
            </w:pPr>
            <w:r>
              <w:rPr>
                <w:noProof/>
              </w:rPr>
              <w:t xml:space="preserve">A munkacsoportok ajánlásainak </w:t>
            </w:r>
            <w:r>
              <w:rPr>
                <w:noProof/>
              </w:rPr>
              <w:t>közzététele</w:t>
            </w:r>
          </w:p>
        </w:tc>
        <w:tc>
          <w:tcPr>
            <w:tcW w:w="850" w:type="dxa"/>
            <w:shd w:val="clear" w:color="auto" w:fill="C6EFCE"/>
            <w:noWrap/>
          </w:tcPr>
          <w:p w14:paraId="4B99056E" w14:textId="77777777" w:rsidR="003E1D81" w:rsidRDefault="003E1D81">
            <w:pPr>
              <w:spacing w:after="0" w:line="240" w:lineRule="auto"/>
              <w:jc w:val="right"/>
              <w:rPr>
                <w:rFonts w:ascii="Times New Roman" w:hAnsi="Times New Roman" w:cs="Times New Roman"/>
                <w:noProof/>
                <w:sz w:val="18"/>
              </w:rPr>
            </w:pPr>
          </w:p>
        </w:tc>
        <w:tc>
          <w:tcPr>
            <w:tcW w:w="709" w:type="dxa"/>
            <w:shd w:val="clear" w:color="auto" w:fill="C6EFCE"/>
            <w:noWrap/>
          </w:tcPr>
          <w:p w14:paraId="1299C43A" w14:textId="77777777" w:rsidR="003E1D81" w:rsidRDefault="003E1D81">
            <w:pPr>
              <w:spacing w:after="0" w:line="240" w:lineRule="auto"/>
              <w:jc w:val="right"/>
              <w:rPr>
                <w:rFonts w:ascii="Times New Roman" w:hAnsi="Times New Roman" w:cs="Times New Roman"/>
                <w:noProof/>
                <w:sz w:val="18"/>
              </w:rPr>
            </w:pPr>
          </w:p>
        </w:tc>
        <w:tc>
          <w:tcPr>
            <w:tcW w:w="851" w:type="dxa"/>
            <w:shd w:val="clear" w:color="auto" w:fill="C6EFCE"/>
            <w:noWrap/>
          </w:tcPr>
          <w:p w14:paraId="4DDBEF00" w14:textId="77777777" w:rsidR="003E1D81" w:rsidRDefault="003E1D81">
            <w:pPr>
              <w:spacing w:after="0" w:line="240" w:lineRule="auto"/>
              <w:jc w:val="right"/>
              <w:rPr>
                <w:rFonts w:ascii="Times New Roman" w:hAnsi="Times New Roman" w:cs="Times New Roman"/>
                <w:noProof/>
                <w:sz w:val="18"/>
              </w:rPr>
            </w:pPr>
          </w:p>
        </w:tc>
        <w:tc>
          <w:tcPr>
            <w:tcW w:w="425" w:type="dxa"/>
            <w:shd w:val="clear" w:color="auto" w:fill="C6EFCE"/>
            <w:noWrap/>
          </w:tcPr>
          <w:p w14:paraId="6F320D90"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21D5FB87" w14:textId="77777777" w:rsidR="003E1D81" w:rsidRDefault="00EB481C">
            <w:pPr>
              <w:pStyle w:val="P68B1DB1-Normal13"/>
              <w:spacing w:after="0" w:line="240" w:lineRule="auto"/>
              <w:jc w:val="center"/>
              <w:rPr>
                <w:rFonts w:cs="Times New Roman"/>
                <w:noProof/>
              </w:rPr>
            </w:pPr>
            <w:r>
              <w:rPr>
                <w:noProof/>
              </w:rPr>
              <w:t>2023</w:t>
            </w:r>
          </w:p>
        </w:tc>
        <w:tc>
          <w:tcPr>
            <w:tcW w:w="6379" w:type="dxa"/>
            <w:shd w:val="clear" w:color="auto" w:fill="C6EFCE"/>
            <w:noWrap/>
          </w:tcPr>
          <w:p w14:paraId="27A9E5F9" w14:textId="77777777" w:rsidR="003E1D81" w:rsidRDefault="00EB481C">
            <w:pPr>
              <w:pStyle w:val="P68B1DB1-Normal13"/>
              <w:spacing w:after="0" w:line="240" w:lineRule="auto"/>
              <w:rPr>
                <w:rFonts w:cs="Times New Roman"/>
                <w:noProof/>
              </w:rPr>
            </w:pPr>
            <w:r>
              <w:rPr>
                <w:noProof/>
              </w:rPr>
              <w:t xml:space="preserve">A munkacsoportok részletes ajánlásainak közzététele a spanyolországi építőipari ágazat energetikai rehabilitációjára vonatkozó hosszú távú felújítási stratégia (ERESEE) 2020. évi aktualizálásának végrehajtása érdekében. Az </w:t>
            </w:r>
            <w:r>
              <w:rPr>
                <w:noProof/>
              </w:rPr>
              <w:t>ERESEE-stratégia célja, hogy feltárja a spanyolországi épületállományt, felszámolja az akadályokat és új megközelítéseket alakítson ki az épületfelújítások fokozása, az ágazatba történő beruházások ösztönzése, az energiatakarékosság növelése és a szén-diox</w:t>
            </w:r>
            <w:r>
              <w:rPr>
                <w:noProof/>
              </w:rPr>
              <w:t xml:space="preserve">id-kibocsátás csökkentése érdekében, az éghajlat-politikai célokkal összhangban. Az ERESEE végrehajtása érdekében több munkacsoportot kell létrehozni annak érdekében, hogy egyértelmű ajánlásokat dolgozzanak ki a városok rehabilitációjára és regenerálására </w:t>
            </w:r>
            <w:r>
              <w:rPr>
                <w:noProof/>
              </w:rPr>
              <w:t>vonatkozó cselekvési terv végrehajtására vonatkozóan. A részletes ajánlásoknak tartalmazniuk kell egy ütemtervet és módszertani útmutatót minden egyes meghozandó intézkedésre vonatkozóan, amely minden érintett szereplőnek (közigazgatás, érdekelt felek stb.</w:t>
            </w:r>
            <w:r>
              <w:rPr>
                <w:noProof/>
              </w:rPr>
              <w:t>) szól.</w:t>
            </w:r>
          </w:p>
        </w:tc>
      </w:tr>
      <w:tr w:rsidR="003E1D81" w14:paraId="54164076" w14:textId="77777777">
        <w:trPr>
          <w:trHeight w:val="309"/>
        </w:trPr>
        <w:tc>
          <w:tcPr>
            <w:tcW w:w="709" w:type="dxa"/>
            <w:shd w:val="clear" w:color="auto" w:fill="C6EFCE"/>
            <w:noWrap/>
          </w:tcPr>
          <w:p w14:paraId="44C26413" w14:textId="77777777" w:rsidR="003E1D81" w:rsidRDefault="00EB481C">
            <w:pPr>
              <w:pStyle w:val="P68B1DB1-Normal13"/>
              <w:spacing w:after="0" w:line="240" w:lineRule="auto"/>
              <w:jc w:val="center"/>
              <w:rPr>
                <w:rFonts w:eastAsia="MS Mincho" w:cs="Times New Roman"/>
                <w:noProof/>
              </w:rPr>
            </w:pPr>
            <w:r>
              <w:rPr>
                <w:noProof/>
              </w:rPr>
              <w:t>22</w:t>
            </w:r>
          </w:p>
        </w:tc>
        <w:tc>
          <w:tcPr>
            <w:tcW w:w="851" w:type="dxa"/>
            <w:shd w:val="clear" w:color="auto" w:fill="C6EFCE"/>
            <w:noWrap/>
          </w:tcPr>
          <w:p w14:paraId="63C0F8BD" w14:textId="77777777" w:rsidR="003E1D81" w:rsidRDefault="00EB481C">
            <w:pPr>
              <w:pStyle w:val="P68B1DB1-Normal13"/>
              <w:spacing w:after="0" w:line="240" w:lineRule="auto"/>
              <w:jc w:val="center"/>
              <w:rPr>
                <w:rFonts w:eastAsia="MS Mincho" w:cs="Times New Roman"/>
                <w:noProof/>
              </w:rPr>
            </w:pPr>
            <w:r>
              <w:rPr>
                <w:noProof/>
              </w:rPr>
              <w:t>C2.R3</w:t>
            </w:r>
          </w:p>
        </w:tc>
        <w:tc>
          <w:tcPr>
            <w:tcW w:w="850" w:type="dxa"/>
            <w:shd w:val="clear" w:color="auto" w:fill="C6EFCE"/>
            <w:noWrap/>
          </w:tcPr>
          <w:p w14:paraId="556F2A3E" w14:textId="77777777" w:rsidR="003E1D81" w:rsidRDefault="00EB481C">
            <w:pPr>
              <w:pStyle w:val="P68B1DB1-Normal13"/>
              <w:spacing w:after="0" w:line="240" w:lineRule="auto"/>
              <w:jc w:val="center"/>
              <w:rPr>
                <w:rFonts w:eastAsia="MS Mincho" w:cs="Times New Roman"/>
                <w:noProof/>
              </w:rPr>
            </w:pPr>
            <w:r>
              <w:rPr>
                <w:noProof/>
              </w:rPr>
              <w:t>M</w:t>
            </w:r>
          </w:p>
        </w:tc>
        <w:tc>
          <w:tcPr>
            <w:tcW w:w="1985" w:type="dxa"/>
            <w:shd w:val="clear" w:color="auto" w:fill="C6EFCE"/>
            <w:noWrap/>
          </w:tcPr>
          <w:p w14:paraId="2A3A3294" w14:textId="77777777" w:rsidR="003E1D81" w:rsidRDefault="00EB481C">
            <w:pPr>
              <w:pStyle w:val="P68B1DB1-Normal13"/>
              <w:spacing w:after="0" w:line="240" w:lineRule="auto"/>
              <w:rPr>
                <w:rFonts w:eastAsia="MS Mincho" w:cs="Times New Roman"/>
                <w:noProof/>
              </w:rPr>
            </w:pPr>
            <w:r>
              <w:rPr>
                <w:noProof/>
              </w:rPr>
              <w:t xml:space="preserve">A lakhatási törvény hatálybalépése, beleértve a lakáskínálat növelését támogató intézkedéseket a közel nulla energiaigényű épületekkel összhangban </w:t>
            </w:r>
          </w:p>
        </w:tc>
        <w:tc>
          <w:tcPr>
            <w:tcW w:w="1134" w:type="dxa"/>
            <w:shd w:val="clear" w:color="auto" w:fill="C6EFCE"/>
            <w:noWrap/>
          </w:tcPr>
          <w:p w14:paraId="54B322DF" w14:textId="77777777" w:rsidR="003E1D81" w:rsidRDefault="00EB481C">
            <w:pPr>
              <w:pStyle w:val="P68B1DB1-Normal13"/>
              <w:spacing w:after="0" w:line="240" w:lineRule="auto"/>
              <w:jc w:val="center"/>
              <w:rPr>
                <w:rFonts w:eastAsia="MS Mincho" w:cs="Times New Roman"/>
                <w:noProof/>
              </w:rPr>
            </w:pPr>
            <w:r>
              <w:rPr>
                <w:noProof/>
              </w:rPr>
              <w:t>A lakástörvény hatálybalépésére vonatkozó rendelkezés</w:t>
            </w:r>
          </w:p>
        </w:tc>
        <w:tc>
          <w:tcPr>
            <w:tcW w:w="850" w:type="dxa"/>
            <w:shd w:val="clear" w:color="auto" w:fill="C6EFCE"/>
            <w:noWrap/>
          </w:tcPr>
          <w:p w14:paraId="1DF8BA61" w14:textId="77777777" w:rsidR="003E1D81" w:rsidRDefault="00EB481C">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365DB198" w14:textId="77777777" w:rsidR="003E1D81" w:rsidRDefault="00EB481C">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1D5BCD6B" w14:textId="77777777" w:rsidR="003E1D81" w:rsidRDefault="00EB481C">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0356CC74"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69D64232" w14:textId="77777777" w:rsidR="003E1D81" w:rsidRDefault="00EB481C">
            <w:pPr>
              <w:pStyle w:val="P68B1DB1-Normal13"/>
              <w:spacing w:after="0" w:line="240" w:lineRule="auto"/>
              <w:jc w:val="center"/>
              <w:rPr>
                <w:rFonts w:eastAsia="MS Mincho" w:cs="Times New Roman"/>
                <w:noProof/>
              </w:rPr>
            </w:pPr>
            <w:r>
              <w:rPr>
                <w:noProof/>
              </w:rPr>
              <w:t>2022</w:t>
            </w:r>
          </w:p>
        </w:tc>
        <w:tc>
          <w:tcPr>
            <w:tcW w:w="6379" w:type="dxa"/>
            <w:shd w:val="clear" w:color="auto" w:fill="C6EFCE"/>
            <w:noWrap/>
          </w:tcPr>
          <w:p w14:paraId="06B97AE7" w14:textId="77777777" w:rsidR="003E1D81" w:rsidRDefault="00EB481C">
            <w:pPr>
              <w:pStyle w:val="P68B1DB1-Normal13"/>
              <w:spacing w:after="0" w:line="240" w:lineRule="auto"/>
              <w:rPr>
                <w:rFonts w:eastAsia="MS Mincho" w:cs="Times New Roman"/>
                <w:noProof/>
              </w:rPr>
            </w:pPr>
            <w:r>
              <w:rPr>
                <w:noProof/>
              </w:rPr>
              <w:t>A lakhatásról szóló törvény különböző tervezési, programozási és együttműködési eszközökkel foglalkozik a tisztességes és megfelelő lakhatáshoz való jog megfelelő érvényesítése érdekében, beleértve – egyik prioritásként – a meglévő lakásállomány rehabilitá</w:t>
            </w:r>
            <w:r>
              <w:rPr>
                <w:noProof/>
              </w:rPr>
              <w:t>cióját és javítását, valamint azon lakókörnyezetek helyreállítását és felújítását, ahol találhatók. A törvénynek ösztönöznie kell a megfizethető és szociális lakások kínálatának növelését azáltal, hogy biztosítja a közel nulla energiaigényű épületekre vona</w:t>
            </w:r>
            <w:r>
              <w:rPr>
                <w:noProof/>
              </w:rPr>
              <w:t xml:space="preserve">tkozóan az épületek műszaki szabályzata (CTE) alapvető energiamegtakarítási dokumentuma (DB-HE) szerint jelenleg meghatározott követelményeknek való megfelelést. </w:t>
            </w:r>
          </w:p>
        </w:tc>
      </w:tr>
      <w:tr w:rsidR="003E1D81" w14:paraId="48EB6E46" w14:textId="77777777">
        <w:trPr>
          <w:trHeight w:val="309"/>
        </w:trPr>
        <w:tc>
          <w:tcPr>
            <w:tcW w:w="709" w:type="dxa"/>
            <w:shd w:val="clear" w:color="auto" w:fill="C6EFCE"/>
            <w:noWrap/>
          </w:tcPr>
          <w:p w14:paraId="72E4F76D" w14:textId="77777777" w:rsidR="003E1D81" w:rsidRDefault="00EB481C">
            <w:pPr>
              <w:pStyle w:val="P68B1DB1-Normal13"/>
              <w:spacing w:after="0" w:line="240" w:lineRule="auto"/>
              <w:jc w:val="center"/>
              <w:rPr>
                <w:rFonts w:eastAsia="MS Mincho" w:cs="Times New Roman"/>
                <w:noProof/>
              </w:rPr>
            </w:pPr>
            <w:r>
              <w:rPr>
                <w:noProof/>
              </w:rPr>
              <w:t>23</w:t>
            </w:r>
          </w:p>
        </w:tc>
        <w:tc>
          <w:tcPr>
            <w:tcW w:w="851" w:type="dxa"/>
            <w:shd w:val="clear" w:color="auto" w:fill="C6EFCE"/>
            <w:noWrap/>
          </w:tcPr>
          <w:p w14:paraId="160AA391" w14:textId="77777777" w:rsidR="003E1D81" w:rsidRDefault="00EB481C">
            <w:pPr>
              <w:pStyle w:val="P68B1DB1-Normal13"/>
              <w:spacing w:after="0" w:line="240" w:lineRule="auto"/>
              <w:jc w:val="center"/>
              <w:rPr>
                <w:rFonts w:eastAsia="MS Mincho" w:cs="Times New Roman"/>
                <w:noProof/>
              </w:rPr>
            </w:pPr>
            <w:r>
              <w:rPr>
                <w:noProof/>
              </w:rPr>
              <w:t>C2.R4</w:t>
            </w:r>
          </w:p>
        </w:tc>
        <w:tc>
          <w:tcPr>
            <w:tcW w:w="850" w:type="dxa"/>
            <w:shd w:val="clear" w:color="auto" w:fill="C6EFCE"/>
            <w:noWrap/>
          </w:tcPr>
          <w:p w14:paraId="0E261B8E" w14:textId="77777777" w:rsidR="003E1D81" w:rsidRDefault="00EB481C">
            <w:pPr>
              <w:pStyle w:val="P68B1DB1-Normal13"/>
              <w:spacing w:after="0" w:line="240" w:lineRule="auto"/>
              <w:jc w:val="center"/>
              <w:rPr>
                <w:rFonts w:eastAsia="MS Mincho" w:cs="Times New Roman"/>
                <w:noProof/>
              </w:rPr>
            </w:pPr>
            <w:r>
              <w:rPr>
                <w:noProof/>
              </w:rPr>
              <w:t>M</w:t>
            </w:r>
          </w:p>
        </w:tc>
        <w:tc>
          <w:tcPr>
            <w:tcW w:w="1985" w:type="dxa"/>
            <w:shd w:val="clear" w:color="auto" w:fill="C6EFCE"/>
            <w:noWrap/>
          </w:tcPr>
          <w:p w14:paraId="00A74DA3" w14:textId="77777777" w:rsidR="003E1D81" w:rsidRDefault="00EB481C">
            <w:pPr>
              <w:pStyle w:val="P68B1DB1-Normal13"/>
              <w:spacing w:after="0" w:line="240" w:lineRule="auto"/>
              <w:rPr>
                <w:rFonts w:eastAsia="MS Mincho" w:cs="Times New Roman"/>
                <w:noProof/>
              </w:rPr>
            </w:pPr>
            <w:r>
              <w:rPr>
                <w:noProof/>
              </w:rPr>
              <w:t xml:space="preserve">Az építészet minőségéről és az épületkörnyezetről </w:t>
            </w:r>
            <w:r>
              <w:rPr>
                <w:noProof/>
              </w:rPr>
              <w:lastRenderedPageBreak/>
              <w:t xml:space="preserve">szóló törvény hatálybalépése </w:t>
            </w:r>
          </w:p>
        </w:tc>
        <w:tc>
          <w:tcPr>
            <w:tcW w:w="1134" w:type="dxa"/>
            <w:shd w:val="clear" w:color="auto" w:fill="C6EFCE"/>
            <w:noWrap/>
          </w:tcPr>
          <w:p w14:paraId="132F5AEB" w14:textId="77777777" w:rsidR="003E1D81" w:rsidRDefault="00EB481C">
            <w:pPr>
              <w:pStyle w:val="P68B1DB1-Normal13"/>
              <w:spacing w:after="0" w:line="240" w:lineRule="auto"/>
              <w:jc w:val="center"/>
              <w:rPr>
                <w:rFonts w:eastAsia="MS Mincho" w:cs="Times New Roman"/>
                <w:noProof/>
              </w:rPr>
            </w:pPr>
            <w:r>
              <w:rPr>
                <w:noProof/>
              </w:rPr>
              <w:lastRenderedPageBreak/>
              <w:t xml:space="preserve">Az építészet minőségéről és az </w:t>
            </w:r>
            <w:r>
              <w:rPr>
                <w:noProof/>
              </w:rPr>
              <w:lastRenderedPageBreak/>
              <w:t>épületkörnyezetről szóló törvény hatálybalépésére vonatkozó rendelkezés</w:t>
            </w:r>
          </w:p>
        </w:tc>
        <w:tc>
          <w:tcPr>
            <w:tcW w:w="850" w:type="dxa"/>
            <w:shd w:val="clear" w:color="auto" w:fill="C6EFCE"/>
            <w:noWrap/>
          </w:tcPr>
          <w:p w14:paraId="3BC5EC03" w14:textId="77777777" w:rsidR="003E1D81" w:rsidRDefault="00EB481C">
            <w:pPr>
              <w:pStyle w:val="P68B1DB1-Normal13"/>
              <w:spacing w:after="0" w:line="240" w:lineRule="auto"/>
              <w:jc w:val="right"/>
              <w:rPr>
                <w:rFonts w:eastAsia="MS Mincho" w:cs="Times New Roman"/>
                <w:noProof/>
              </w:rPr>
            </w:pPr>
            <w:r>
              <w:rPr>
                <w:noProof/>
              </w:rPr>
              <w:lastRenderedPageBreak/>
              <w:t> </w:t>
            </w:r>
          </w:p>
        </w:tc>
        <w:tc>
          <w:tcPr>
            <w:tcW w:w="709" w:type="dxa"/>
            <w:shd w:val="clear" w:color="auto" w:fill="C6EFCE"/>
            <w:noWrap/>
          </w:tcPr>
          <w:p w14:paraId="3751300F" w14:textId="77777777" w:rsidR="003E1D81" w:rsidRDefault="00EB481C">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35F0889A" w14:textId="77777777" w:rsidR="003E1D81" w:rsidRDefault="00EB481C">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7A8F9DAC" w14:textId="77777777" w:rsidR="003E1D81" w:rsidRDefault="00EB481C">
            <w:pPr>
              <w:pStyle w:val="P68B1DB1-Normal13"/>
              <w:spacing w:after="0" w:line="240" w:lineRule="auto"/>
              <w:jc w:val="center"/>
              <w:rPr>
                <w:rFonts w:eastAsia="MS Mincho" w:cs="Times New Roman"/>
                <w:noProof/>
              </w:rPr>
            </w:pPr>
            <w:r>
              <w:rPr>
                <w:noProof/>
              </w:rPr>
              <w:t>NEGY</w:t>
            </w:r>
            <w:r>
              <w:rPr>
                <w:noProof/>
              </w:rPr>
              <w:lastRenderedPageBreak/>
              <w:t>EDÉV</w:t>
            </w:r>
          </w:p>
        </w:tc>
        <w:tc>
          <w:tcPr>
            <w:tcW w:w="567" w:type="dxa"/>
            <w:shd w:val="clear" w:color="auto" w:fill="C6EFCE"/>
            <w:noWrap/>
          </w:tcPr>
          <w:p w14:paraId="053A94A5" w14:textId="77777777" w:rsidR="003E1D81" w:rsidRDefault="00EB481C">
            <w:pPr>
              <w:pStyle w:val="P68B1DB1-Normal13"/>
              <w:spacing w:after="0" w:line="240" w:lineRule="auto"/>
              <w:jc w:val="center"/>
              <w:rPr>
                <w:rFonts w:eastAsia="MS Mincho" w:cs="Times New Roman"/>
                <w:noProof/>
              </w:rPr>
            </w:pPr>
            <w:r>
              <w:rPr>
                <w:noProof/>
              </w:rPr>
              <w:lastRenderedPageBreak/>
              <w:t>2022</w:t>
            </w:r>
          </w:p>
        </w:tc>
        <w:tc>
          <w:tcPr>
            <w:tcW w:w="6379" w:type="dxa"/>
            <w:shd w:val="clear" w:color="auto" w:fill="C6EFCE"/>
            <w:noWrap/>
          </w:tcPr>
          <w:p w14:paraId="5B5E55E4" w14:textId="1A73ED5D" w:rsidR="003E1D81" w:rsidRDefault="00EB481C">
            <w:pPr>
              <w:pStyle w:val="P68B1DB1-Normal13"/>
              <w:spacing w:after="0" w:line="240" w:lineRule="auto"/>
              <w:rPr>
                <w:rFonts w:eastAsia="MS Mincho" w:cs="Times New Roman"/>
                <w:noProof/>
              </w:rPr>
            </w:pPr>
            <w:r>
              <w:rPr>
                <w:noProof/>
              </w:rPr>
              <w:t>Az építészet minőségéről és az épületkörnyezetről szóló törvény elfogadása, beleértve a rehabilitáció integrált megközelítését is, am</w:t>
            </w:r>
            <w:r>
              <w:rPr>
                <w:noProof/>
              </w:rPr>
              <w:t xml:space="preserve">ely előmozdítja a közel nulla energiaigényű épületállomány növekedését, nemcsak az új épületek, hanem a meglévő épületek között </w:t>
            </w:r>
            <w:r>
              <w:rPr>
                <w:noProof/>
              </w:rPr>
              <w:lastRenderedPageBreak/>
              <w:t>is. A törvény meghatározza az építészet és az épített környezet minőségének elvét, a környezeti fenntarthatóságot és az energiah</w:t>
            </w:r>
            <w:r>
              <w:rPr>
                <w:noProof/>
              </w:rPr>
              <w:t xml:space="preserve">atékonysági célok eléréséhez való hozzájárulást az egyik legfontosabb értékelési kritériumként határozza meg, és a rehabilitáció integrált megközelítése felé irányítja a lakásállomány szükséges rehabilitációját. </w:t>
            </w:r>
          </w:p>
        </w:tc>
      </w:tr>
      <w:tr w:rsidR="003E1D81" w14:paraId="376975DA" w14:textId="77777777">
        <w:trPr>
          <w:trHeight w:val="309"/>
        </w:trPr>
        <w:tc>
          <w:tcPr>
            <w:tcW w:w="709" w:type="dxa"/>
            <w:shd w:val="clear" w:color="auto" w:fill="C6EFCE"/>
            <w:noWrap/>
          </w:tcPr>
          <w:p w14:paraId="1D8EB8EE" w14:textId="77777777" w:rsidR="003E1D81" w:rsidRDefault="00EB481C">
            <w:pPr>
              <w:pStyle w:val="P68B1DB1-Normal13"/>
              <w:spacing w:after="0" w:line="240" w:lineRule="auto"/>
              <w:jc w:val="center"/>
              <w:rPr>
                <w:rFonts w:cs="Times New Roman"/>
                <w:noProof/>
              </w:rPr>
            </w:pPr>
            <w:r>
              <w:rPr>
                <w:noProof/>
              </w:rPr>
              <w:lastRenderedPageBreak/>
              <w:t>24</w:t>
            </w:r>
          </w:p>
        </w:tc>
        <w:tc>
          <w:tcPr>
            <w:tcW w:w="851" w:type="dxa"/>
            <w:shd w:val="clear" w:color="auto" w:fill="C6EFCE"/>
            <w:noWrap/>
          </w:tcPr>
          <w:p w14:paraId="58D79CB0" w14:textId="77777777" w:rsidR="003E1D81" w:rsidRDefault="00EB481C">
            <w:pPr>
              <w:pStyle w:val="P68B1DB1-Normal13"/>
              <w:spacing w:after="0" w:line="240" w:lineRule="auto"/>
              <w:jc w:val="center"/>
              <w:rPr>
                <w:rFonts w:eastAsia="MS Mincho" w:cs="Times New Roman"/>
                <w:noProof/>
              </w:rPr>
            </w:pPr>
            <w:r>
              <w:rPr>
                <w:noProof/>
              </w:rPr>
              <w:t>C2.R5</w:t>
            </w:r>
          </w:p>
        </w:tc>
        <w:tc>
          <w:tcPr>
            <w:tcW w:w="850" w:type="dxa"/>
            <w:shd w:val="clear" w:color="auto" w:fill="C6EFCE"/>
            <w:noWrap/>
          </w:tcPr>
          <w:p w14:paraId="6FA8D4AF" w14:textId="77777777" w:rsidR="003E1D81" w:rsidRDefault="00EB481C">
            <w:pPr>
              <w:pStyle w:val="P68B1DB1-Normal13"/>
              <w:spacing w:after="0" w:line="240" w:lineRule="auto"/>
              <w:jc w:val="center"/>
              <w:rPr>
                <w:rFonts w:cs="Times New Roman"/>
                <w:noProof/>
              </w:rPr>
            </w:pPr>
            <w:r>
              <w:rPr>
                <w:noProof/>
              </w:rPr>
              <w:t>M</w:t>
            </w:r>
          </w:p>
        </w:tc>
        <w:tc>
          <w:tcPr>
            <w:tcW w:w="1985" w:type="dxa"/>
            <w:shd w:val="clear" w:color="auto" w:fill="C6EFCE"/>
            <w:noWrap/>
          </w:tcPr>
          <w:p w14:paraId="35C9E65C" w14:textId="77777777" w:rsidR="003E1D81" w:rsidRDefault="00EB481C">
            <w:pPr>
              <w:pStyle w:val="P68B1DB1-Normal13"/>
              <w:spacing w:after="0" w:line="240" w:lineRule="auto"/>
              <w:rPr>
                <w:rFonts w:cs="Times New Roman"/>
                <w:noProof/>
              </w:rPr>
            </w:pPr>
            <w:r>
              <w:rPr>
                <w:noProof/>
              </w:rPr>
              <w:t xml:space="preserve">A felújítási irodákról szóló királyi rendelet hatálybalépése („egyablakos ügyintézés”) </w:t>
            </w:r>
          </w:p>
        </w:tc>
        <w:tc>
          <w:tcPr>
            <w:tcW w:w="1134" w:type="dxa"/>
            <w:shd w:val="clear" w:color="auto" w:fill="C6EFCE"/>
            <w:noWrap/>
          </w:tcPr>
          <w:p w14:paraId="742C21B6" w14:textId="77777777" w:rsidR="003E1D81" w:rsidRDefault="00EB481C">
            <w:pPr>
              <w:pStyle w:val="P68B1DB1-Normal13"/>
              <w:spacing w:after="0" w:line="240" w:lineRule="auto"/>
              <w:jc w:val="center"/>
              <w:rPr>
                <w:rFonts w:cs="Times New Roman"/>
                <w:noProof/>
              </w:rPr>
            </w:pPr>
            <w:r>
              <w:rPr>
                <w:noProof/>
              </w:rPr>
              <w:t>A felújítási hivatalokról szóló királyi rendelet hatályba lépéséről szóló rendelkezése</w:t>
            </w:r>
          </w:p>
        </w:tc>
        <w:tc>
          <w:tcPr>
            <w:tcW w:w="850" w:type="dxa"/>
            <w:shd w:val="clear" w:color="auto" w:fill="C6EFCE"/>
            <w:noWrap/>
          </w:tcPr>
          <w:p w14:paraId="6B515302" w14:textId="77777777" w:rsidR="003E1D81" w:rsidRDefault="00EB481C">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4253EF77" w14:textId="77777777" w:rsidR="003E1D81" w:rsidRDefault="00EB481C">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2D6473E8" w14:textId="77777777" w:rsidR="003E1D81" w:rsidRDefault="00EB481C">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34E9DC57"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65B281B9" w14:textId="77777777" w:rsidR="003E1D81" w:rsidRDefault="00EB481C">
            <w:pPr>
              <w:pStyle w:val="P68B1DB1-Normal13"/>
              <w:spacing w:after="0" w:line="240" w:lineRule="auto"/>
              <w:jc w:val="center"/>
              <w:rPr>
                <w:rFonts w:cs="Times New Roman"/>
                <w:noProof/>
              </w:rPr>
            </w:pPr>
            <w:r>
              <w:rPr>
                <w:noProof/>
              </w:rPr>
              <w:t>2021</w:t>
            </w:r>
          </w:p>
        </w:tc>
        <w:tc>
          <w:tcPr>
            <w:tcW w:w="6379" w:type="dxa"/>
            <w:shd w:val="clear" w:color="auto" w:fill="C6EFCE"/>
            <w:noWrap/>
          </w:tcPr>
          <w:p w14:paraId="4599037D" w14:textId="77777777" w:rsidR="003E1D81" w:rsidRDefault="00EB481C">
            <w:pPr>
              <w:pStyle w:val="P68B1DB1-Normal13"/>
              <w:spacing w:after="0" w:line="240" w:lineRule="auto"/>
              <w:rPr>
                <w:rFonts w:cs="Times New Roman"/>
                <w:noProof/>
              </w:rPr>
            </w:pPr>
            <w:r>
              <w:rPr>
                <w:noProof/>
              </w:rPr>
              <w:t xml:space="preserve">Királyi rendelet elfogadása a felújítási irodák („egyablakos </w:t>
            </w:r>
            <w:r>
              <w:rPr>
                <w:noProof/>
              </w:rPr>
              <w:t>ügyintézés”) alkalmazási körének és finanszírozásának meghatározásáról. A királyi rendelet véglegesítése előtt meg kell tartani az ágazati lakásügyi konferenciát, és be kell fejezni a nyilvánosság tájékoztatására irányuló szakaszt és az egyéb jogi eljáráso</w:t>
            </w:r>
            <w:r>
              <w:rPr>
                <w:noProof/>
              </w:rPr>
              <w:t xml:space="preserve">kat. </w:t>
            </w:r>
          </w:p>
        </w:tc>
      </w:tr>
      <w:tr w:rsidR="003E1D81" w14:paraId="095B70E7" w14:textId="77777777">
        <w:trPr>
          <w:trHeight w:val="309"/>
        </w:trPr>
        <w:tc>
          <w:tcPr>
            <w:tcW w:w="709" w:type="dxa"/>
            <w:shd w:val="clear" w:color="auto" w:fill="C6EFCE"/>
            <w:noWrap/>
          </w:tcPr>
          <w:p w14:paraId="2AFCDB24" w14:textId="77777777" w:rsidR="003E1D81" w:rsidRDefault="00EB481C">
            <w:pPr>
              <w:pStyle w:val="P68B1DB1-Normal13"/>
              <w:spacing w:after="0" w:line="240" w:lineRule="auto"/>
              <w:jc w:val="center"/>
              <w:rPr>
                <w:rFonts w:cs="Times New Roman"/>
                <w:noProof/>
              </w:rPr>
            </w:pPr>
            <w:r>
              <w:rPr>
                <w:noProof/>
              </w:rPr>
              <w:t>25</w:t>
            </w:r>
          </w:p>
        </w:tc>
        <w:tc>
          <w:tcPr>
            <w:tcW w:w="851" w:type="dxa"/>
            <w:shd w:val="clear" w:color="auto" w:fill="C6EFCE"/>
            <w:noWrap/>
          </w:tcPr>
          <w:p w14:paraId="29EC4356" w14:textId="77777777" w:rsidR="003E1D81" w:rsidRDefault="00EB481C">
            <w:pPr>
              <w:pStyle w:val="P68B1DB1-Normal13"/>
              <w:spacing w:after="0" w:line="240" w:lineRule="auto"/>
              <w:jc w:val="center"/>
              <w:rPr>
                <w:rFonts w:eastAsia="MS Mincho" w:cs="Times New Roman"/>
                <w:noProof/>
              </w:rPr>
            </w:pPr>
            <w:r>
              <w:rPr>
                <w:noProof/>
              </w:rPr>
              <w:t>C2.R6</w:t>
            </w:r>
          </w:p>
        </w:tc>
        <w:tc>
          <w:tcPr>
            <w:tcW w:w="850" w:type="dxa"/>
            <w:shd w:val="clear" w:color="auto" w:fill="C6EFCE"/>
            <w:noWrap/>
          </w:tcPr>
          <w:p w14:paraId="755F1112" w14:textId="77777777" w:rsidR="003E1D81" w:rsidRDefault="00EB481C">
            <w:pPr>
              <w:pStyle w:val="P68B1DB1-Normal13"/>
              <w:spacing w:after="0" w:line="240" w:lineRule="auto"/>
              <w:jc w:val="center"/>
              <w:rPr>
                <w:rFonts w:cs="Times New Roman"/>
                <w:noProof/>
              </w:rPr>
            </w:pPr>
            <w:r>
              <w:rPr>
                <w:noProof/>
              </w:rPr>
              <w:t>M</w:t>
            </w:r>
          </w:p>
        </w:tc>
        <w:tc>
          <w:tcPr>
            <w:tcW w:w="1985" w:type="dxa"/>
            <w:shd w:val="clear" w:color="auto" w:fill="C6EFCE"/>
            <w:noWrap/>
          </w:tcPr>
          <w:p w14:paraId="638669B5" w14:textId="77777777" w:rsidR="003E1D81" w:rsidRDefault="00EB481C">
            <w:pPr>
              <w:pStyle w:val="P68B1DB1-Normal13"/>
              <w:spacing w:after="0" w:line="240" w:lineRule="auto"/>
              <w:rPr>
                <w:rFonts w:cs="Times New Roman"/>
                <w:noProof/>
              </w:rPr>
            </w:pPr>
            <w:r>
              <w:rPr>
                <w:noProof/>
              </w:rPr>
              <w:t xml:space="preserve">A horizontális tulajdonjogi törvény módosításainak hatálybalépése a helyreállítás finanszírozásának megkönnyítése érdekében </w:t>
            </w:r>
          </w:p>
        </w:tc>
        <w:tc>
          <w:tcPr>
            <w:tcW w:w="1134" w:type="dxa"/>
            <w:shd w:val="clear" w:color="auto" w:fill="C6EFCE"/>
            <w:noWrap/>
          </w:tcPr>
          <w:p w14:paraId="062F57EB" w14:textId="77777777" w:rsidR="003E1D81" w:rsidRDefault="00EB481C">
            <w:pPr>
              <w:pStyle w:val="P68B1DB1-Normal13"/>
              <w:spacing w:after="0" w:line="240" w:lineRule="auto"/>
              <w:jc w:val="center"/>
              <w:rPr>
                <w:rFonts w:cs="Times New Roman"/>
                <w:noProof/>
              </w:rPr>
            </w:pPr>
            <w:r>
              <w:rPr>
                <w:noProof/>
              </w:rPr>
              <w:t>A horizontális tulajdonról szóló törvény hatálybalépésére vonatkozó rendelkezés</w:t>
            </w:r>
          </w:p>
        </w:tc>
        <w:tc>
          <w:tcPr>
            <w:tcW w:w="850" w:type="dxa"/>
            <w:shd w:val="clear" w:color="auto" w:fill="C6EFCE"/>
            <w:noWrap/>
          </w:tcPr>
          <w:p w14:paraId="696D69FC" w14:textId="77777777" w:rsidR="003E1D81" w:rsidRDefault="00EB481C">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72302A59" w14:textId="77777777" w:rsidR="003E1D81" w:rsidRDefault="00EB481C">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31CBAF0D" w14:textId="77777777" w:rsidR="003E1D81" w:rsidRDefault="00EB481C">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484860D8"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66B410D7" w14:textId="77777777" w:rsidR="003E1D81" w:rsidRDefault="00EB481C">
            <w:pPr>
              <w:pStyle w:val="P68B1DB1-Normal13"/>
              <w:spacing w:after="0" w:line="240" w:lineRule="auto"/>
              <w:jc w:val="center"/>
              <w:rPr>
                <w:rFonts w:cs="Times New Roman"/>
                <w:noProof/>
              </w:rPr>
            </w:pPr>
            <w:r>
              <w:rPr>
                <w:noProof/>
              </w:rPr>
              <w:t>2022</w:t>
            </w:r>
          </w:p>
        </w:tc>
        <w:tc>
          <w:tcPr>
            <w:tcW w:w="6379" w:type="dxa"/>
            <w:shd w:val="clear" w:color="auto" w:fill="C6EFCE"/>
            <w:noWrap/>
          </w:tcPr>
          <w:p w14:paraId="56C0CAB7" w14:textId="77777777" w:rsidR="003E1D81" w:rsidRDefault="00EB481C">
            <w:pPr>
              <w:pStyle w:val="P68B1DB1-Normal13"/>
              <w:spacing w:after="0" w:line="240" w:lineRule="auto"/>
              <w:rPr>
                <w:rFonts w:cs="Times New Roman"/>
                <w:noProof/>
              </w:rPr>
            </w:pPr>
            <w:r>
              <w:rPr>
                <w:noProof/>
              </w:rPr>
              <w:t xml:space="preserve">A közös </w:t>
            </w:r>
            <w:r>
              <w:rPr>
                <w:noProof/>
              </w:rPr>
              <w:t xml:space="preserve">tulajdonról szóló 49/1960. sz. törvény (horizontális tulajdonról szóló törvény) módosításai, amelyek célja az épületek tulajdonosok közösségei általi felújításának és javításának, valamint a finanszírozáshoz való hozzáférésnek az előmozdítása. A módosítás </w:t>
            </w:r>
            <w:r>
              <w:rPr>
                <w:noProof/>
              </w:rPr>
              <w:t>célja, hogy megkönnyítse a tulajdonosok közösségeinek döntéshozatalát az energiahatékonyság javításához hozzájáruló épületfelújítási munkálatok elvégzése és a banki finanszírozáshoz való hozzáférés megkönnyítése érdekében.</w:t>
            </w:r>
          </w:p>
        </w:tc>
      </w:tr>
      <w:tr w:rsidR="003E1D81" w14:paraId="776F96A2" w14:textId="77777777">
        <w:trPr>
          <w:trHeight w:val="309"/>
        </w:trPr>
        <w:tc>
          <w:tcPr>
            <w:tcW w:w="709" w:type="dxa"/>
            <w:shd w:val="clear" w:color="auto" w:fill="C6EFCE"/>
            <w:noWrap/>
          </w:tcPr>
          <w:p w14:paraId="36334656" w14:textId="77777777" w:rsidR="003E1D81" w:rsidRDefault="00EB481C">
            <w:pPr>
              <w:pStyle w:val="P68B1DB1-Normal13"/>
              <w:spacing w:after="0" w:line="240" w:lineRule="auto"/>
              <w:jc w:val="center"/>
              <w:rPr>
                <w:rFonts w:cs="Times New Roman"/>
                <w:noProof/>
              </w:rPr>
            </w:pPr>
            <w:r>
              <w:rPr>
                <w:noProof/>
              </w:rPr>
              <w:t>26</w:t>
            </w:r>
          </w:p>
        </w:tc>
        <w:tc>
          <w:tcPr>
            <w:tcW w:w="851" w:type="dxa"/>
            <w:shd w:val="clear" w:color="auto" w:fill="C6EFCE"/>
            <w:noWrap/>
          </w:tcPr>
          <w:p w14:paraId="4A6141F8" w14:textId="77777777" w:rsidR="003E1D81" w:rsidRDefault="00EB481C">
            <w:pPr>
              <w:pStyle w:val="P68B1DB1-Normal13"/>
              <w:spacing w:after="0" w:line="240" w:lineRule="auto"/>
              <w:jc w:val="center"/>
              <w:rPr>
                <w:rFonts w:eastAsia="MS Mincho" w:cs="Times New Roman"/>
                <w:noProof/>
              </w:rPr>
            </w:pPr>
            <w:r>
              <w:rPr>
                <w:noProof/>
              </w:rPr>
              <w:t>C2.I1</w:t>
            </w:r>
          </w:p>
        </w:tc>
        <w:tc>
          <w:tcPr>
            <w:tcW w:w="850" w:type="dxa"/>
            <w:shd w:val="clear" w:color="auto" w:fill="C6EFCE"/>
            <w:noWrap/>
          </w:tcPr>
          <w:p w14:paraId="383E7029" w14:textId="77777777" w:rsidR="003E1D81" w:rsidRDefault="00EB481C">
            <w:pPr>
              <w:pStyle w:val="P68B1DB1-Normal13"/>
              <w:spacing w:after="0" w:line="240" w:lineRule="auto"/>
              <w:jc w:val="center"/>
              <w:rPr>
                <w:rFonts w:cs="Times New Roman"/>
                <w:noProof/>
              </w:rPr>
            </w:pPr>
            <w:r>
              <w:rPr>
                <w:noProof/>
              </w:rPr>
              <w:t>M</w:t>
            </w:r>
          </w:p>
        </w:tc>
        <w:tc>
          <w:tcPr>
            <w:tcW w:w="1985" w:type="dxa"/>
            <w:shd w:val="clear" w:color="auto" w:fill="C6EFCE"/>
            <w:noWrap/>
          </w:tcPr>
          <w:p w14:paraId="51896814" w14:textId="77777777" w:rsidR="003E1D81" w:rsidRDefault="00EB481C">
            <w:pPr>
              <w:pStyle w:val="P68B1DB1-Normal13"/>
              <w:spacing w:after="0" w:line="240" w:lineRule="auto"/>
              <w:rPr>
                <w:rFonts w:cs="Times New Roman"/>
                <w:noProof/>
              </w:rPr>
            </w:pPr>
            <w:r>
              <w:rPr>
                <w:noProof/>
              </w:rPr>
              <w:t xml:space="preserve">A megújítási program végrehajtásának szabályozási keretéről szóló királyi rendelet hatálybalépése; és a program támogatására szolgáló személyi jövedelemadó-ösztönzők szabályozásáról szóló királyi törvényerejű rendelet </w:t>
            </w:r>
          </w:p>
        </w:tc>
        <w:tc>
          <w:tcPr>
            <w:tcW w:w="1134" w:type="dxa"/>
            <w:shd w:val="clear" w:color="auto" w:fill="C6EFCE"/>
            <w:noWrap/>
          </w:tcPr>
          <w:p w14:paraId="3494296F" w14:textId="77777777" w:rsidR="003E1D81" w:rsidRDefault="00EB481C">
            <w:pPr>
              <w:pStyle w:val="P68B1DB1-Normal13"/>
              <w:spacing w:after="0" w:line="240" w:lineRule="auto"/>
              <w:jc w:val="center"/>
              <w:rPr>
                <w:rFonts w:cs="Times New Roman"/>
                <w:noProof/>
              </w:rPr>
            </w:pPr>
            <w:r>
              <w:rPr>
                <w:noProof/>
              </w:rPr>
              <w:t>A királyi rendelet és a királyi törvé</w:t>
            </w:r>
            <w:r>
              <w:rPr>
                <w:noProof/>
              </w:rPr>
              <w:t>nyerejű rendelet hatálybalépése</w:t>
            </w:r>
          </w:p>
        </w:tc>
        <w:tc>
          <w:tcPr>
            <w:tcW w:w="850" w:type="dxa"/>
            <w:shd w:val="clear" w:color="auto" w:fill="C6EFCE"/>
            <w:noWrap/>
          </w:tcPr>
          <w:p w14:paraId="4A7717C8" w14:textId="77777777" w:rsidR="003E1D81" w:rsidRDefault="00EB481C">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419A23A7" w14:textId="77777777" w:rsidR="003E1D81" w:rsidRDefault="00EB481C">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74536B0D" w14:textId="77777777" w:rsidR="003E1D81" w:rsidRDefault="00EB481C">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02A756F6"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1897C7B7" w14:textId="77777777" w:rsidR="003E1D81" w:rsidRDefault="00EB481C">
            <w:pPr>
              <w:pStyle w:val="P68B1DB1-Normal13"/>
              <w:spacing w:after="0" w:line="240" w:lineRule="auto"/>
              <w:jc w:val="center"/>
              <w:rPr>
                <w:rFonts w:cs="Times New Roman"/>
                <w:noProof/>
              </w:rPr>
            </w:pPr>
            <w:r>
              <w:rPr>
                <w:noProof/>
              </w:rPr>
              <w:t>2021</w:t>
            </w:r>
          </w:p>
        </w:tc>
        <w:tc>
          <w:tcPr>
            <w:tcW w:w="6379" w:type="dxa"/>
            <w:shd w:val="clear" w:color="auto" w:fill="C6EFCE"/>
            <w:noWrap/>
          </w:tcPr>
          <w:p w14:paraId="2E8C9D62" w14:textId="77777777" w:rsidR="003E1D81" w:rsidRDefault="00EB481C">
            <w:pPr>
              <w:pStyle w:val="P68B1DB1-Normal13"/>
              <w:spacing w:after="0" w:line="240" w:lineRule="auto"/>
              <w:rPr>
                <w:rFonts w:cs="Times New Roman"/>
                <w:noProof/>
              </w:rPr>
            </w:pPr>
            <w:r>
              <w:rPr>
                <w:noProof/>
              </w:rPr>
              <w:t>Királyi rendelet elfogadása, amely meghatározza a megújítási program végrehajtásának szabályozási keretét; valamint a személyi jövedelemadó-ösztönzőket szabályozó királyi törvényerejű rendelet a program t</w:t>
            </w:r>
            <w:r>
              <w:rPr>
                <w:noProof/>
              </w:rPr>
              <w:t>ámogatása érdekében. A szabályozási keretet meghatározó királyi rendelet meghatározza azokat a műszaki követelményeket, amelyek biztosítják a nem megújuló primerenergia-fogyasztás 30%-os átlagos csökkentésének betartását. A királyi rendelet véglegesítése e</w:t>
            </w:r>
            <w:r>
              <w:rPr>
                <w:noProof/>
              </w:rPr>
              <w:t>lőtt meg kell tartani a lakásügyi ágazati konferenciát, és a nyilvánosság tájékoztatására irányuló szakaszt és az egyéb jogi eljárásokat le kell zárni.</w:t>
            </w:r>
          </w:p>
        </w:tc>
      </w:tr>
      <w:tr w:rsidR="003E1D81" w14:paraId="43DA2FAA" w14:textId="77777777">
        <w:trPr>
          <w:trHeight w:val="309"/>
        </w:trPr>
        <w:tc>
          <w:tcPr>
            <w:tcW w:w="709" w:type="dxa"/>
            <w:shd w:val="clear" w:color="auto" w:fill="C6EFCE"/>
            <w:noWrap/>
          </w:tcPr>
          <w:p w14:paraId="41C0AA51" w14:textId="0124B5C6" w:rsidR="003E1D81" w:rsidRDefault="00EB481C">
            <w:pPr>
              <w:pStyle w:val="P68B1DB1-Normal13"/>
              <w:spacing w:after="0" w:line="240" w:lineRule="auto"/>
              <w:jc w:val="center"/>
              <w:rPr>
                <w:rFonts w:cs="Times New Roman"/>
                <w:noProof/>
              </w:rPr>
            </w:pPr>
            <w:r>
              <w:rPr>
                <w:noProof/>
              </w:rPr>
              <w:t>27</w:t>
            </w:r>
          </w:p>
        </w:tc>
        <w:tc>
          <w:tcPr>
            <w:tcW w:w="851" w:type="dxa"/>
            <w:shd w:val="clear" w:color="auto" w:fill="C6EFCE"/>
            <w:noWrap/>
          </w:tcPr>
          <w:p w14:paraId="26F54131" w14:textId="77777777" w:rsidR="003E1D81" w:rsidRDefault="00EB481C">
            <w:pPr>
              <w:pStyle w:val="P68B1DB1-Normal13"/>
              <w:spacing w:after="0" w:line="240" w:lineRule="auto"/>
              <w:jc w:val="center"/>
              <w:rPr>
                <w:rFonts w:eastAsia="MS Mincho" w:cs="Times New Roman"/>
                <w:noProof/>
              </w:rPr>
            </w:pPr>
            <w:r>
              <w:rPr>
                <w:noProof/>
              </w:rPr>
              <w:t>C2.I1</w:t>
            </w:r>
          </w:p>
        </w:tc>
        <w:tc>
          <w:tcPr>
            <w:tcW w:w="850" w:type="dxa"/>
            <w:shd w:val="clear" w:color="auto" w:fill="C6EFCE"/>
            <w:noWrap/>
          </w:tcPr>
          <w:p w14:paraId="1F830FBF" w14:textId="77777777" w:rsidR="003E1D81" w:rsidRDefault="00EB481C">
            <w:pPr>
              <w:pStyle w:val="P68B1DB1-Normal13"/>
              <w:spacing w:after="0" w:line="240" w:lineRule="auto"/>
              <w:jc w:val="center"/>
              <w:rPr>
                <w:rFonts w:cs="Times New Roman"/>
                <w:noProof/>
              </w:rPr>
            </w:pPr>
            <w:r>
              <w:rPr>
                <w:noProof/>
              </w:rPr>
              <w:t>T</w:t>
            </w:r>
          </w:p>
        </w:tc>
        <w:tc>
          <w:tcPr>
            <w:tcW w:w="1985" w:type="dxa"/>
            <w:shd w:val="clear" w:color="auto" w:fill="C6EFCE"/>
            <w:noWrap/>
          </w:tcPr>
          <w:p w14:paraId="540F575C" w14:textId="00F0717B" w:rsidR="003E1D81" w:rsidRDefault="00EB481C">
            <w:pPr>
              <w:pStyle w:val="P68B1DB1-Normal13"/>
              <w:spacing w:after="0" w:line="240" w:lineRule="auto"/>
              <w:rPr>
                <w:rFonts w:cs="Times New Roman"/>
                <w:noProof/>
              </w:rPr>
            </w:pPr>
            <w:r>
              <w:rPr>
                <w:noProof/>
              </w:rPr>
              <w:t xml:space="preserve">Lakóépület-felújítási intézkedések vagy lakóépület-felújítási intézkedések végrehajtásához </w:t>
            </w:r>
            <w:r>
              <w:rPr>
                <w:noProof/>
              </w:rPr>
              <w:t>nyújtott támogatásról szóló határozatok végrehajtása, átlagosan legalább 30%-</w:t>
            </w:r>
            <w:r>
              <w:rPr>
                <w:noProof/>
              </w:rPr>
              <w:lastRenderedPageBreak/>
              <w:t>os primerenergia-igénycsökkentés elérése vagy elérése (legalább 231000 intézkedés legalább 160000 egyedi lakásban)</w:t>
            </w:r>
          </w:p>
        </w:tc>
        <w:tc>
          <w:tcPr>
            <w:tcW w:w="1134" w:type="dxa"/>
            <w:shd w:val="clear" w:color="auto" w:fill="C6EFCE"/>
            <w:noWrap/>
          </w:tcPr>
          <w:p w14:paraId="7D7A3EC8" w14:textId="77777777" w:rsidR="003E1D81" w:rsidRDefault="00EB481C">
            <w:pPr>
              <w:pStyle w:val="P68B1DB1-Normal13"/>
              <w:spacing w:after="0" w:line="240" w:lineRule="auto"/>
              <w:jc w:val="center"/>
              <w:rPr>
                <w:rFonts w:cs="Times New Roman"/>
                <w:noProof/>
              </w:rPr>
            </w:pPr>
            <w:r>
              <w:rPr>
                <w:noProof/>
              </w:rPr>
              <w:lastRenderedPageBreak/>
              <w:t> </w:t>
            </w:r>
          </w:p>
        </w:tc>
        <w:tc>
          <w:tcPr>
            <w:tcW w:w="850" w:type="dxa"/>
            <w:shd w:val="clear" w:color="auto" w:fill="C6EFCE"/>
            <w:noWrap/>
          </w:tcPr>
          <w:p w14:paraId="20B375FC" w14:textId="77777777" w:rsidR="003E1D81" w:rsidRDefault="00EB481C">
            <w:pPr>
              <w:pStyle w:val="P68B1DB1-Normal13"/>
              <w:spacing w:after="0" w:line="240" w:lineRule="auto"/>
              <w:jc w:val="right"/>
              <w:rPr>
                <w:rFonts w:eastAsia="MS Mincho" w:cs="Times New Roman"/>
                <w:noProof/>
              </w:rPr>
            </w:pPr>
            <w:r>
              <w:rPr>
                <w:noProof/>
              </w:rPr>
              <w:t>Szám</w:t>
            </w:r>
          </w:p>
        </w:tc>
        <w:tc>
          <w:tcPr>
            <w:tcW w:w="709" w:type="dxa"/>
            <w:shd w:val="clear" w:color="auto" w:fill="C6EFCE"/>
            <w:noWrap/>
          </w:tcPr>
          <w:p w14:paraId="0CF44D54" w14:textId="77777777" w:rsidR="003E1D81" w:rsidRDefault="00EB481C">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7D969CEE" w14:textId="77777777" w:rsidR="003E1D81" w:rsidRDefault="00EB481C">
            <w:pPr>
              <w:pStyle w:val="P68B1DB1-Normal13"/>
              <w:spacing w:after="0" w:line="240" w:lineRule="auto"/>
              <w:jc w:val="right"/>
              <w:rPr>
                <w:rFonts w:eastAsia="MS Mincho" w:cs="Times New Roman"/>
                <w:noProof/>
              </w:rPr>
            </w:pPr>
            <w:r>
              <w:rPr>
                <w:noProof/>
              </w:rPr>
              <w:t>231 000</w:t>
            </w:r>
          </w:p>
        </w:tc>
        <w:tc>
          <w:tcPr>
            <w:tcW w:w="425" w:type="dxa"/>
            <w:shd w:val="clear" w:color="auto" w:fill="C6EFCE"/>
            <w:noWrap/>
          </w:tcPr>
          <w:p w14:paraId="65DAC869"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4FF3EC85" w14:textId="6C65C8D9" w:rsidR="003E1D81" w:rsidRDefault="00EB481C">
            <w:pPr>
              <w:pStyle w:val="P68B1DB1-Normal13"/>
              <w:spacing w:after="0" w:line="240" w:lineRule="auto"/>
              <w:jc w:val="center"/>
              <w:rPr>
                <w:rFonts w:cs="Times New Roman"/>
                <w:noProof/>
              </w:rPr>
            </w:pPr>
            <w:r>
              <w:rPr>
                <w:noProof/>
              </w:rPr>
              <w:t>2024</w:t>
            </w:r>
          </w:p>
        </w:tc>
        <w:tc>
          <w:tcPr>
            <w:tcW w:w="6379" w:type="dxa"/>
            <w:shd w:val="clear" w:color="auto" w:fill="C6EFCE"/>
            <w:noWrap/>
          </w:tcPr>
          <w:p w14:paraId="1C8971BD" w14:textId="17D7124A" w:rsidR="003E1D81" w:rsidRDefault="00EB481C">
            <w:pPr>
              <w:pStyle w:val="P68B1DB1-Normal13"/>
              <w:spacing w:after="0" w:line="240" w:lineRule="auto"/>
              <w:rPr>
                <w:rFonts w:cs="Times New Roman"/>
                <w:noProof/>
              </w:rPr>
            </w:pPr>
            <w:r>
              <w:rPr>
                <w:noProof/>
              </w:rPr>
              <w:t>Legalább 231000 lakóépület felújí</w:t>
            </w:r>
            <w:r>
              <w:rPr>
                <w:noProof/>
              </w:rPr>
              <w:t>tására irányuló intézkedés vagy támogatás odaítéléséről szóló határozat legalább 160000 egyedi lakásban, azzal a céllal, hogy átlagosan legalább 30%-kal csökkenjen a primerenergia-igény (kumulatív). A mutató alkalmazásában a lakhatás fogalmának összhangban</w:t>
            </w:r>
            <w:r>
              <w:rPr>
                <w:noProof/>
              </w:rPr>
              <w:t xml:space="preserve"> kell állnia az Eurostat meghatározásával („lakás: olyan állandó épületben vagy épületrészben – beleértve annak tartozékait, lobbiit és folyosókat is –, amelyet építésének, újjáépítésének vagy átalakításának módja szerint egy magánháztartás egész évben lak</w:t>
            </w:r>
            <w:r>
              <w:rPr>
                <w:noProof/>
              </w:rPr>
              <w:t xml:space="preserve">hatásra jelöl ki”) és adott esetben szociális vagy köztulajdonban lévő lakásokat is magában foglalhat. Az </w:t>
            </w:r>
            <w:r>
              <w:rPr>
                <w:noProof/>
              </w:rPr>
              <w:lastRenderedPageBreak/>
              <w:t>alkalmazott energiahatékonyság-javító mutatókat az épületek energiahatékonyságáról szóló, 2010. május 19-i 2010/31/EU európai parlamenti és tanácsi ir</w:t>
            </w:r>
            <w:r>
              <w:rPr>
                <w:noProof/>
              </w:rPr>
              <w:t>ányelv szerinti vonatkozó energiahatékonysági tanúsítványon keresztül kell akkreditálni. A lakásrehabilitációs intézkedések számát az egyik támogatási tétel (teljes rehabilitáció vagy épületelemek) vagy adóösztönzők végrehajtása révén (a körülhatárolt körz</w:t>
            </w:r>
            <w:r>
              <w:rPr>
                <w:noProof/>
              </w:rPr>
              <w:t>eten belül, épület- vagy lakásszinten) végrehajtott vagy közigazgatási határozattal támogatott valamennyi javítási és rehabilitációs intézkedés összegeként kell meghatározni. A 30%-os minimumértéknek való megfelelés céljából a nem megújuló primerenergia-fo</w:t>
            </w:r>
            <w:r>
              <w:rPr>
                <w:noProof/>
              </w:rPr>
              <w:t>gyasztás átlagos megtakarítási százalékát úgy kell kiszámítani, hogy a helyreállítási intézkedéseket a helyreállítási és rezilienciaépítési terv keretében alkalmazott támogatás vagy finanszírozás összegével súlyozzák. Ez a mutató kiterjed az összes települ</w:t>
            </w:r>
            <w:r>
              <w:rPr>
                <w:noProof/>
              </w:rPr>
              <w:t>ésen végrehajtott javítási és rehabilitációs intézkedésekre, azok méretétől függetlenül. Az elért energiamegtakarításnak való megfelelés igazolása érdekében az elért átlagos energiamegtakarítás megerősítése érdekében szükség van a befejezett munkák energia</w:t>
            </w:r>
            <w:r>
              <w:rPr>
                <w:noProof/>
              </w:rPr>
              <w:t>hatékonysági tanúsítványaira, és azokat összesíteni kell.</w:t>
            </w:r>
          </w:p>
        </w:tc>
      </w:tr>
      <w:tr w:rsidR="003E1D81" w14:paraId="717FD4F2" w14:textId="77777777">
        <w:trPr>
          <w:trHeight w:val="309"/>
        </w:trPr>
        <w:tc>
          <w:tcPr>
            <w:tcW w:w="709" w:type="dxa"/>
            <w:shd w:val="clear" w:color="auto" w:fill="C6EFCE"/>
            <w:noWrap/>
          </w:tcPr>
          <w:p w14:paraId="57393B24" w14:textId="77777777" w:rsidR="003E1D81" w:rsidRDefault="00EB481C">
            <w:pPr>
              <w:pStyle w:val="P68B1DB1-Normal13"/>
              <w:spacing w:after="0" w:line="240" w:lineRule="auto"/>
              <w:jc w:val="center"/>
              <w:rPr>
                <w:rFonts w:cs="Times New Roman"/>
                <w:noProof/>
              </w:rPr>
            </w:pPr>
            <w:r>
              <w:rPr>
                <w:noProof/>
              </w:rPr>
              <w:lastRenderedPageBreak/>
              <w:t>28</w:t>
            </w:r>
          </w:p>
        </w:tc>
        <w:tc>
          <w:tcPr>
            <w:tcW w:w="851" w:type="dxa"/>
            <w:shd w:val="clear" w:color="auto" w:fill="C6EFCE"/>
            <w:noWrap/>
          </w:tcPr>
          <w:p w14:paraId="543D3716" w14:textId="77777777" w:rsidR="003E1D81" w:rsidRDefault="00EB481C">
            <w:pPr>
              <w:pStyle w:val="P68B1DB1-Normal13"/>
              <w:spacing w:after="0" w:line="240" w:lineRule="auto"/>
              <w:jc w:val="center"/>
              <w:rPr>
                <w:rFonts w:eastAsia="MS Mincho" w:cs="Times New Roman"/>
                <w:noProof/>
              </w:rPr>
            </w:pPr>
            <w:r>
              <w:rPr>
                <w:noProof/>
              </w:rPr>
              <w:t>C2.I1</w:t>
            </w:r>
          </w:p>
        </w:tc>
        <w:tc>
          <w:tcPr>
            <w:tcW w:w="850" w:type="dxa"/>
            <w:shd w:val="clear" w:color="auto" w:fill="C6EFCE"/>
            <w:noWrap/>
          </w:tcPr>
          <w:p w14:paraId="18C9352D" w14:textId="77777777" w:rsidR="003E1D81" w:rsidRDefault="00EB481C">
            <w:pPr>
              <w:pStyle w:val="P68B1DB1-Normal13"/>
              <w:spacing w:after="0" w:line="240" w:lineRule="auto"/>
              <w:jc w:val="center"/>
              <w:rPr>
                <w:rFonts w:cs="Times New Roman"/>
                <w:noProof/>
              </w:rPr>
            </w:pPr>
            <w:r>
              <w:rPr>
                <w:noProof/>
              </w:rPr>
              <w:t>T</w:t>
            </w:r>
          </w:p>
        </w:tc>
        <w:tc>
          <w:tcPr>
            <w:tcW w:w="1985" w:type="dxa"/>
            <w:shd w:val="clear" w:color="auto" w:fill="C6EFCE"/>
            <w:noWrap/>
          </w:tcPr>
          <w:p w14:paraId="7C490BA1" w14:textId="77777777" w:rsidR="003E1D81" w:rsidRDefault="00EB481C">
            <w:pPr>
              <w:pStyle w:val="P68B1DB1-Normal13"/>
              <w:spacing w:after="0" w:line="240" w:lineRule="auto"/>
              <w:rPr>
                <w:rFonts w:cs="Times New Roman"/>
                <w:noProof/>
              </w:rPr>
            </w:pPr>
            <w:r>
              <w:rPr>
                <w:noProof/>
              </w:rPr>
              <w:t>Felújítás alá vont területeken vagy környékeken lévő földterület, amely átlagosan legalább 30%-kal csökkenti a primerenergia-igényt (hektár)</w:t>
            </w:r>
          </w:p>
        </w:tc>
        <w:tc>
          <w:tcPr>
            <w:tcW w:w="1134" w:type="dxa"/>
            <w:shd w:val="clear" w:color="auto" w:fill="C6EFCE"/>
            <w:noWrap/>
          </w:tcPr>
          <w:p w14:paraId="129C278E" w14:textId="77777777" w:rsidR="003E1D81" w:rsidRDefault="00EB481C">
            <w:pPr>
              <w:pStyle w:val="P68B1DB1-Normal13"/>
              <w:spacing w:after="0" w:line="240" w:lineRule="auto"/>
              <w:jc w:val="center"/>
              <w:rPr>
                <w:rFonts w:cs="Times New Roman"/>
                <w:noProof/>
              </w:rPr>
            </w:pPr>
            <w:r>
              <w:rPr>
                <w:noProof/>
              </w:rPr>
              <w:t> </w:t>
            </w:r>
          </w:p>
        </w:tc>
        <w:tc>
          <w:tcPr>
            <w:tcW w:w="850" w:type="dxa"/>
            <w:shd w:val="clear" w:color="auto" w:fill="C6EFCE"/>
            <w:noWrap/>
          </w:tcPr>
          <w:p w14:paraId="0934D530" w14:textId="77777777" w:rsidR="003E1D81" w:rsidRDefault="00EB481C">
            <w:pPr>
              <w:pStyle w:val="P68B1DB1-Normal13"/>
              <w:spacing w:after="0" w:line="240" w:lineRule="auto"/>
              <w:jc w:val="right"/>
              <w:rPr>
                <w:rFonts w:eastAsia="MS Mincho" w:cs="Times New Roman"/>
                <w:noProof/>
              </w:rPr>
            </w:pPr>
            <w:r>
              <w:rPr>
                <w:noProof/>
              </w:rPr>
              <w:t>Szám (hektárok)</w:t>
            </w:r>
          </w:p>
        </w:tc>
        <w:tc>
          <w:tcPr>
            <w:tcW w:w="709" w:type="dxa"/>
            <w:shd w:val="clear" w:color="auto" w:fill="C6EFCE"/>
            <w:noWrap/>
          </w:tcPr>
          <w:p w14:paraId="165DCE8A" w14:textId="77777777" w:rsidR="003E1D81" w:rsidRDefault="00EB481C">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0DC15D76" w14:textId="77777777" w:rsidR="003E1D81" w:rsidRDefault="00EB481C">
            <w:pPr>
              <w:pStyle w:val="P68B1DB1-Normal13"/>
              <w:spacing w:after="0" w:line="240" w:lineRule="auto"/>
              <w:jc w:val="right"/>
              <w:rPr>
                <w:rFonts w:eastAsia="MS Mincho" w:cs="Times New Roman"/>
                <w:noProof/>
              </w:rPr>
            </w:pPr>
            <w:r>
              <w:rPr>
                <w:noProof/>
              </w:rPr>
              <w:t>600</w:t>
            </w:r>
          </w:p>
        </w:tc>
        <w:tc>
          <w:tcPr>
            <w:tcW w:w="425" w:type="dxa"/>
            <w:shd w:val="clear" w:color="auto" w:fill="C6EFCE"/>
            <w:noWrap/>
          </w:tcPr>
          <w:p w14:paraId="02862E1E"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1D5B6C8C" w14:textId="77777777" w:rsidR="003E1D81" w:rsidRDefault="00EB481C">
            <w:pPr>
              <w:pStyle w:val="P68B1DB1-Normal13"/>
              <w:spacing w:after="0" w:line="240" w:lineRule="auto"/>
              <w:jc w:val="center"/>
              <w:rPr>
                <w:rFonts w:cs="Times New Roman"/>
                <w:noProof/>
              </w:rPr>
            </w:pPr>
            <w:r>
              <w:rPr>
                <w:noProof/>
              </w:rPr>
              <w:t>2026</w:t>
            </w:r>
          </w:p>
        </w:tc>
        <w:tc>
          <w:tcPr>
            <w:tcW w:w="6379" w:type="dxa"/>
            <w:shd w:val="clear" w:color="auto" w:fill="C6EFCE"/>
            <w:noWrap/>
          </w:tcPr>
          <w:p w14:paraId="4F6AE6DF" w14:textId="77777777" w:rsidR="003E1D81" w:rsidRDefault="00EB481C">
            <w:pPr>
              <w:pStyle w:val="P68B1DB1-Normal13"/>
              <w:spacing w:after="0" w:line="240" w:lineRule="auto"/>
              <w:rPr>
                <w:rFonts w:cs="Times New Roman"/>
                <w:noProof/>
              </w:rPr>
            </w:pPr>
            <w:r>
              <w:rPr>
                <w:noProof/>
              </w:rPr>
              <w:t xml:space="preserve">Legalább </w:t>
            </w:r>
            <w:r>
              <w:rPr>
                <w:noProof/>
              </w:rPr>
              <w:t>600 hektár felújítás alá vont területen vagy környéken található földterület. Ez az adat tartalmazza azoknak a körzeteknek vagy városi területeknek a területét, amelyek a program keretében kötött megállapodások alapján intézkedések tárgyát képezték. Az int</w:t>
            </w:r>
            <w:r>
              <w:rPr>
                <w:noProof/>
              </w:rPr>
              <w:t>ézkedéseket olyan műszaki követelmények biztosításával kell végrehajtani, amelyek biztosítják az épületek felújítása során a nem megújuló primerenergia-fogyasztás 30%-os átlagos csökkentésének való megfelelést. Az elért energiamegtakarításnak való megfelel</w:t>
            </w:r>
            <w:r>
              <w:rPr>
                <w:noProof/>
              </w:rPr>
              <w:t>és igazolása érdekében az elért átlagos energiamegtakarítás megerősítése érdekében szükség van a befejezett munkák energiahatékonysági tanúsítványaira, és azokat összesíteni kell.</w:t>
            </w:r>
          </w:p>
        </w:tc>
      </w:tr>
      <w:tr w:rsidR="003E1D81" w14:paraId="7BCABE61" w14:textId="77777777">
        <w:trPr>
          <w:trHeight w:val="309"/>
        </w:trPr>
        <w:tc>
          <w:tcPr>
            <w:tcW w:w="709" w:type="dxa"/>
            <w:shd w:val="clear" w:color="auto" w:fill="C6EFCE"/>
            <w:noWrap/>
          </w:tcPr>
          <w:p w14:paraId="4B34824B" w14:textId="77777777" w:rsidR="003E1D81" w:rsidRDefault="00EB481C">
            <w:pPr>
              <w:pStyle w:val="P68B1DB1-Normal13"/>
              <w:spacing w:after="0" w:line="240" w:lineRule="auto"/>
              <w:jc w:val="center"/>
              <w:rPr>
                <w:rFonts w:cs="Times New Roman"/>
                <w:noProof/>
              </w:rPr>
            </w:pPr>
            <w:r>
              <w:rPr>
                <w:noProof/>
              </w:rPr>
              <w:t>29</w:t>
            </w:r>
          </w:p>
        </w:tc>
        <w:tc>
          <w:tcPr>
            <w:tcW w:w="851" w:type="dxa"/>
            <w:shd w:val="clear" w:color="auto" w:fill="C6EFCE"/>
            <w:noWrap/>
          </w:tcPr>
          <w:p w14:paraId="4A10A290" w14:textId="77777777" w:rsidR="003E1D81" w:rsidRDefault="00EB481C">
            <w:pPr>
              <w:pStyle w:val="P68B1DB1-Normal13"/>
              <w:spacing w:after="0" w:line="240" w:lineRule="auto"/>
              <w:jc w:val="center"/>
              <w:rPr>
                <w:rFonts w:eastAsia="MS Mincho" w:cs="Times New Roman"/>
                <w:noProof/>
              </w:rPr>
            </w:pPr>
            <w:r>
              <w:rPr>
                <w:noProof/>
              </w:rPr>
              <w:t>C2.I1</w:t>
            </w:r>
          </w:p>
        </w:tc>
        <w:tc>
          <w:tcPr>
            <w:tcW w:w="850" w:type="dxa"/>
            <w:shd w:val="clear" w:color="auto" w:fill="C6EFCE"/>
            <w:noWrap/>
          </w:tcPr>
          <w:p w14:paraId="4F26EDEE" w14:textId="77777777" w:rsidR="003E1D81" w:rsidRDefault="00EB481C">
            <w:pPr>
              <w:pStyle w:val="P68B1DB1-Normal13"/>
              <w:spacing w:after="0" w:line="240" w:lineRule="auto"/>
              <w:jc w:val="center"/>
              <w:rPr>
                <w:rFonts w:cs="Times New Roman"/>
                <w:noProof/>
              </w:rPr>
            </w:pPr>
            <w:r>
              <w:rPr>
                <w:noProof/>
              </w:rPr>
              <w:t>T</w:t>
            </w:r>
          </w:p>
        </w:tc>
        <w:tc>
          <w:tcPr>
            <w:tcW w:w="1985" w:type="dxa"/>
            <w:shd w:val="clear" w:color="auto" w:fill="C6EFCE"/>
            <w:noWrap/>
          </w:tcPr>
          <w:p w14:paraId="3B75242F" w14:textId="24702063" w:rsidR="003E1D81" w:rsidRDefault="00EB481C">
            <w:pPr>
              <w:pStyle w:val="P68B1DB1-Normal13"/>
              <w:spacing w:after="0" w:line="240" w:lineRule="auto"/>
              <w:rPr>
                <w:rFonts w:cs="Times New Roman"/>
                <w:noProof/>
              </w:rPr>
            </w:pPr>
            <w:r>
              <w:rPr>
                <w:noProof/>
              </w:rPr>
              <w:t xml:space="preserve">A lakóépületek felújítására irányuló intézkedések befejezése, átlagosan legalább 30%-os primerenergia-igénycsökkenés elérése (legalább 410000 intézkedés legalább 285000 egyedi lakásban) </w:t>
            </w:r>
          </w:p>
        </w:tc>
        <w:tc>
          <w:tcPr>
            <w:tcW w:w="1134" w:type="dxa"/>
            <w:shd w:val="clear" w:color="auto" w:fill="C6EFCE"/>
            <w:noWrap/>
          </w:tcPr>
          <w:p w14:paraId="2790C8A6" w14:textId="77777777" w:rsidR="003E1D81" w:rsidRDefault="00EB481C">
            <w:pPr>
              <w:pStyle w:val="P68B1DB1-Normal13"/>
              <w:spacing w:after="0" w:line="240" w:lineRule="auto"/>
              <w:jc w:val="center"/>
              <w:rPr>
                <w:rFonts w:cs="Times New Roman"/>
                <w:noProof/>
              </w:rPr>
            </w:pPr>
            <w:r>
              <w:rPr>
                <w:noProof/>
              </w:rPr>
              <w:t> </w:t>
            </w:r>
          </w:p>
        </w:tc>
        <w:tc>
          <w:tcPr>
            <w:tcW w:w="850" w:type="dxa"/>
            <w:shd w:val="clear" w:color="auto" w:fill="C6EFCE"/>
            <w:noWrap/>
          </w:tcPr>
          <w:p w14:paraId="6EFB9251" w14:textId="77777777" w:rsidR="003E1D81" w:rsidRDefault="00EB481C">
            <w:pPr>
              <w:pStyle w:val="P68B1DB1-Normal13"/>
              <w:spacing w:after="0" w:line="240" w:lineRule="auto"/>
              <w:jc w:val="right"/>
              <w:rPr>
                <w:rFonts w:eastAsia="MS Mincho" w:cs="Times New Roman"/>
                <w:noProof/>
              </w:rPr>
            </w:pPr>
            <w:r>
              <w:rPr>
                <w:noProof/>
              </w:rPr>
              <w:t>Szám</w:t>
            </w:r>
          </w:p>
        </w:tc>
        <w:tc>
          <w:tcPr>
            <w:tcW w:w="709" w:type="dxa"/>
            <w:shd w:val="clear" w:color="auto" w:fill="C6EFCE"/>
            <w:noWrap/>
          </w:tcPr>
          <w:p w14:paraId="74DF813D" w14:textId="77777777" w:rsidR="003E1D81" w:rsidRDefault="00EB481C">
            <w:pPr>
              <w:pStyle w:val="P68B1DB1-Normal13"/>
              <w:spacing w:after="0" w:line="240" w:lineRule="auto"/>
              <w:jc w:val="right"/>
              <w:rPr>
                <w:rFonts w:eastAsia="MS Mincho" w:cs="Times New Roman"/>
                <w:noProof/>
              </w:rPr>
            </w:pPr>
            <w:r>
              <w:rPr>
                <w:noProof/>
              </w:rPr>
              <w:t>231 000</w:t>
            </w:r>
          </w:p>
        </w:tc>
        <w:tc>
          <w:tcPr>
            <w:tcW w:w="851" w:type="dxa"/>
            <w:shd w:val="clear" w:color="auto" w:fill="C6EFCE"/>
            <w:noWrap/>
          </w:tcPr>
          <w:p w14:paraId="53E2E224" w14:textId="328687B3" w:rsidR="003E1D81" w:rsidRDefault="00EB481C">
            <w:pPr>
              <w:pStyle w:val="P68B1DB1-Normal13"/>
              <w:spacing w:after="0" w:line="240" w:lineRule="auto"/>
              <w:jc w:val="right"/>
              <w:rPr>
                <w:rFonts w:eastAsia="MS Mincho" w:cs="Times New Roman"/>
                <w:noProof/>
              </w:rPr>
            </w:pPr>
            <w:r>
              <w:rPr>
                <w:noProof/>
              </w:rPr>
              <w:t>410 000</w:t>
            </w:r>
          </w:p>
        </w:tc>
        <w:tc>
          <w:tcPr>
            <w:tcW w:w="425" w:type="dxa"/>
            <w:shd w:val="clear" w:color="auto" w:fill="C6EFCE"/>
            <w:noWrap/>
          </w:tcPr>
          <w:p w14:paraId="3B1CE8F1"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2576EDE7" w14:textId="77777777" w:rsidR="003E1D81" w:rsidRDefault="00EB481C">
            <w:pPr>
              <w:pStyle w:val="P68B1DB1-Normal13"/>
              <w:spacing w:after="0" w:line="240" w:lineRule="auto"/>
              <w:jc w:val="center"/>
              <w:rPr>
                <w:rFonts w:cs="Times New Roman"/>
                <w:noProof/>
              </w:rPr>
            </w:pPr>
            <w:r>
              <w:rPr>
                <w:noProof/>
              </w:rPr>
              <w:t>2026</w:t>
            </w:r>
          </w:p>
        </w:tc>
        <w:tc>
          <w:tcPr>
            <w:tcW w:w="6379" w:type="dxa"/>
            <w:shd w:val="clear" w:color="auto" w:fill="C6EFCE"/>
            <w:noWrap/>
          </w:tcPr>
          <w:p w14:paraId="2D19D2ED" w14:textId="64BA6765" w:rsidR="003E1D81" w:rsidRDefault="00EB481C">
            <w:pPr>
              <w:pStyle w:val="P68B1DB1-Normal13"/>
              <w:spacing w:after="0" w:line="240" w:lineRule="auto"/>
              <w:rPr>
                <w:rFonts w:cs="Times New Roman"/>
                <w:noProof/>
              </w:rPr>
            </w:pPr>
            <w:r>
              <w:rPr>
                <w:noProof/>
              </w:rPr>
              <w:t xml:space="preserve">Legalább 410000 lakóépület </w:t>
            </w:r>
            <w:r>
              <w:rPr>
                <w:noProof/>
              </w:rPr>
              <w:t>felújítása legalább 285000 egyedi lakásban, amelyek átlagosan legalább 30%-os primerenergia-igénycsökkenést érnek el (kumulatív). A mutató alkalmazásában a lakhatás fogalmának összhangban kell állnia az Eurostat meghatározásával („lakás: olyan állandó épül</w:t>
            </w:r>
            <w:r>
              <w:rPr>
                <w:noProof/>
              </w:rPr>
              <w:t>etben vagy épületrészben – beleértve annak tartozékait, lobbiit és folyosókat is –, amelyet építésének, újjáépítésének vagy átalakításának módja szerint egy magánháztartás egész évben lakhatásra jelöl ki”) és adott esetben szociális vagy köztulajdonban lév</w:t>
            </w:r>
            <w:r>
              <w:rPr>
                <w:noProof/>
              </w:rPr>
              <w:t>ő lakásokat is magában foglalhat. Az alkalmazott energiahatékonyság-javító mutatókat az épületek energiahatékonyságáról szóló, 2010. május 19-i 2010/31/EU európai parlamenti és tanácsi irányelv szerinti vonatkozó energiahatékonysági tanúsítványon keresztül</w:t>
            </w:r>
            <w:r>
              <w:rPr>
                <w:noProof/>
              </w:rPr>
              <w:t xml:space="preserve"> kell akkreditálni. A lakásrehabilitációk számát az egyik támogatási tétel (teljes körű rehabilitáció vagy épületelemek) vagy adóösztönzők végrehajtása révén (a körülhatárolt körzeten belül, épület- vagy lakásszinten) végrehajtott valamennyi javítási és re</w:t>
            </w:r>
            <w:r>
              <w:rPr>
                <w:noProof/>
              </w:rPr>
              <w:t>habilitációs intézkedés összegeként kell meghatározni. A 30%-os minimumértéknek való megfelelés céljából a nem megújuló primerenergia-fogyasztás átlagos megtakarítási százalékát úgy kell kiszámítani, hogy a helyreállítási intézkedéseket a helyreállítási és</w:t>
            </w:r>
            <w:r>
              <w:rPr>
                <w:noProof/>
              </w:rPr>
              <w:t xml:space="preserve"> rezilienciaépítési terv keretében alkalmazott támogatás vagy finanszírozás összegével súlyozzák. Ez a mutató kiterjed az összes településen végrehajtott javítási és rehabilitációs intézkedésekre, azok méretétől függetlenül. Az elért energiamegtakarításnak</w:t>
            </w:r>
            <w:r>
              <w:rPr>
                <w:noProof/>
              </w:rPr>
              <w:t xml:space="preserve"> való megfelelés igazolása érdekében az elért átlagos energiamegtakarítás megerősítése érdekében szükség van a befejezett munkák energiahatékonysági tanúsítványaira, és azokat összesíteni kell. (Alapforgatókönyv: 2024. december 31.)</w:t>
            </w:r>
          </w:p>
        </w:tc>
      </w:tr>
      <w:tr w:rsidR="003E1D81" w14:paraId="4187DA6B" w14:textId="77777777">
        <w:trPr>
          <w:trHeight w:val="309"/>
        </w:trPr>
        <w:tc>
          <w:tcPr>
            <w:tcW w:w="709" w:type="dxa"/>
            <w:shd w:val="clear" w:color="auto" w:fill="C6EFCE"/>
            <w:noWrap/>
          </w:tcPr>
          <w:p w14:paraId="219897CE" w14:textId="77777777" w:rsidR="003E1D81" w:rsidRDefault="00EB481C">
            <w:pPr>
              <w:pStyle w:val="P68B1DB1-Normal13"/>
              <w:spacing w:after="0" w:line="240" w:lineRule="auto"/>
              <w:jc w:val="center"/>
              <w:rPr>
                <w:rFonts w:cs="Times New Roman"/>
                <w:noProof/>
              </w:rPr>
            </w:pPr>
            <w:r>
              <w:rPr>
                <w:noProof/>
              </w:rPr>
              <w:t>30</w:t>
            </w:r>
          </w:p>
        </w:tc>
        <w:tc>
          <w:tcPr>
            <w:tcW w:w="851" w:type="dxa"/>
            <w:shd w:val="clear" w:color="auto" w:fill="C6EFCE"/>
            <w:noWrap/>
          </w:tcPr>
          <w:p w14:paraId="39E1901F" w14:textId="77777777" w:rsidR="003E1D81" w:rsidRDefault="00EB481C">
            <w:pPr>
              <w:pStyle w:val="P68B1DB1-Normal13"/>
              <w:spacing w:after="0" w:line="240" w:lineRule="auto"/>
              <w:jc w:val="center"/>
              <w:rPr>
                <w:rFonts w:cs="Times New Roman"/>
                <w:noProof/>
              </w:rPr>
            </w:pPr>
            <w:r>
              <w:rPr>
                <w:noProof/>
              </w:rPr>
              <w:t>C2.I2</w:t>
            </w:r>
          </w:p>
        </w:tc>
        <w:tc>
          <w:tcPr>
            <w:tcW w:w="850" w:type="dxa"/>
            <w:shd w:val="clear" w:color="auto" w:fill="C6EFCE"/>
            <w:noWrap/>
          </w:tcPr>
          <w:p w14:paraId="64558372" w14:textId="77777777" w:rsidR="003E1D81" w:rsidRDefault="00EB481C">
            <w:pPr>
              <w:pStyle w:val="P68B1DB1-Normal13"/>
              <w:spacing w:after="0" w:line="240" w:lineRule="auto"/>
              <w:jc w:val="center"/>
              <w:rPr>
                <w:rFonts w:cs="Times New Roman"/>
                <w:noProof/>
              </w:rPr>
            </w:pPr>
            <w:r>
              <w:rPr>
                <w:noProof/>
              </w:rPr>
              <w:t>M</w:t>
            </w:r>
          </w:p>
        </w:tc>
        <w:tc>
          <w:tcPr>
            <w:tcW w:w="1985" w:type="dxa"/>
            <w:shd w:val="clear" w:color="auto" w:fill="C6EFCE"/>
            <w:noWrap/>
          </w:tcPr>
          <w:p w14:paraId="01EEAA9C" w14:textId="77777777" w:rsidR="003E1D81" w:rsidRDefault="00EB481C">
            <w:pPr>
              <w:pStyle w:val="P68B1DB1-Normal13"/>
              <w:spacing w:after="0" w:line="240" w:lineRule="auto"/>
              <w:rPr>
                <w:rFonts w:cs="Times New Roman"/>
                <w:noProof/>
              </w:rPr>
            </w:pPr>
            <w:r>
              <w:rPr>
                <w:noProof/>
              </w:rPr>
              <w:t xml:space="preserve">Az energiahatékonysági kritériumoknak megfelelő, energiahatékony szociális bérlakásokra vonatkozó program végrehajtására vonatkozó szabályozási keret meghatározásáról szóló királyi rendelet hatálybalépése </w:t>
            </w:r>
          </w:p>
        </w:tc>
        <w:tc>
          <w:tcPr>
            <w:tcW w:w="1134" w:type="dxa"/>
            <w:shd w:val="clear" w:color="auto" w:fill="C6EFCE"/>
            <w:noWrap/>
          </w:tcPr>
          <w:p w14:paraId="2A07BAB2" w14:textId="77777777" w:rsidR="003E1D81" w:rsidRDefault="00EB481C">
            <w:pPr>
              <w:pStyle w:val="P68B1DB1-Normal13"/>
              <w:spacing w:after="0" w:line="240" w:lineRule="auto"/>
              <w:jc w:val="center"/>
              <w:rPr>
                <w:rFonts w:cs="Times New Roman"/>
                <w:noProof/>
              </w:rPr>
            </w:pPr>
            <w:r>
              <w:rPr>
                <w:noProof/>
              </w:rPr>
              <w:t>A királyi rendelet hatálybalépéséről szóló rendelk</w:t>
            </w:r>
            <w:r>
              <w:rPr>
                <w:noProof/>
              </w:rPr>
              <w:t>ezése</w:t>
            </w:r>
          </w:p>
        </w:tc>
        <w:tc>
          <w:tcPr>
            <w:tcW w:w="850" w:type="dxa"/>
            <w:shd w:val="clear" w:color="auto" w:fill="C6EFCE"/>
            <w:noWrap/>
          </w:tcPr>
          <w:p w14:paraId="6ECDD213" w14:textId="77777777" w:rsidR="003E1D81" w:rsidRDefault="00EB481C">
            <w:pPr>
              <w:pStyle w:val="P68B1DB1-Normal13"/>
              <w:spacing w:after="0" w:line="240" w:lineRule="auto"/>
              <w:jc w:val="right"/>
              <w:rPr>
                <w:rFonts w:cs="Times New Roman"/>
                <w:noProof/>
              </w:rPr>
            </w:pPr>
            <w:r>
              <w:rPr>
                <w:noProof/>
              </w:rPr>
              <w:t> </w:t>
            </w:r>
          </w:p>
        </w:tc>
        <w:tc>
          <w:tcPr>
            <w:tcW w:w="709" w:type="dxa"/>
            <w:shd w:val="clear" w:color="auto" w:fill="C6EFCE"/>
            <w:noWrap/>
          </w:tcPr>
          <w:p w14:paraId="5B68B9CD" w14:textId="77777777" w:rsidR="003E1D81" w:rsidRDefault="00EB481C">
            <w:pPr>
              <w:pStyle w:val="P68B1DB1-Normal13"/>
              <w:spacing w:after="0" w:line="240" w:lineRule="auto"/>
              <w:jc w:val="right"/>
              <w:rPr>
                <w:rFonts w:cs="Times New Roman"/>
                <w:noProof/>
              </w:rPr>
            </w:pPr>
            <w:r>
              <w:rPr>
                <w:noProof/>
              </w:rPr>
              <w:t xml:space="preserve"> </w:t>
            </w:r>
          </w:p>
        </w:tc>
        <w:tc>
          <w:tcPr>
            <w:tcW w:w="851" w:type="dxa"/>
            <w:shd w:val="clear" w:color="auto" w:fill="C6EFCE"/>
            <w:noWrap/>
          </w:tcPr>
          <w:p w14:paraId="1B7172F4" w14:textId="77777777" w:rsidR="003E1D81" w:rsidRDefault="00EB481C">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35DAEC7D"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6EC9CF6B" w14:textId="77777777" w:rsidR="003E1D81" w:rsidRDefault="00EB481C">
            <w:pPr>
              <w:pStyle w:val="P68B1DB1-Normal13"/>
              <w:spacing w:after="0" w:line="240" w:lineRule="auto"/>
              <w:jc w:val="center"/>
              <w:rPr>
                <w:rFonts w:cs="Times New Roman"/>
                <w:noProof/>
              </w:rPr>
            </w:pPr>
            <w:r>
              <w:rPr>
                <w:noProof/>
              </w:rPr>
              <w:t>2021</w:t>
            </w:r>
          </w:p>
        </w:tc>
        <w:tc>
          <w:tcPr>
            <w:tcW w:w="6379" w:type="dxa"/>
            <w:shd w:val="clear" w:color="auto" w:fill="C6EFCE"/>
            <w:noWrap/>
          </w:tcPr>
          <w:p w14:paraId="03EF9BF8" w14:textId="77777777" w:rsidR="003E1D81" w:rsidRDefault="00EB481C">
            <w:pPr>
              <w:pStyle w:val="P68B1DB1-Normal13"/>
              <w:spacing w:after="0" w:line="240" w:lineRule="auto"/>
              <w:rPr>
                <w:rFonts w:cs="Times New Roman"/>
                <w:noProof/>
              </w:rPr>
            </w:pPr>
            <w:r>
              <w:rPr>
                <w:noProof/>
              </w:rPr>
              <w:t>Az energiahatékonysági kritériumoknak megfelelő, energiahatékony szociális bérlakásokra vonatkozó program végrehajtására vonatkozó szabályozási keret meghatározásáról szóló királyi rendelet elfogadása. A királyi rendelet meghatáro</w:t>
            </w:r>
            <w:r>
              <w:rPr>
                <w:noProof/>
              </w:rPr>
              <w:t>zza azokat a műszaki követelményeket, amelyek biztosítják, hogy az épületek építése során a nemzeti iránymutatások szerint a közel nulla energiaigényű épületekre vonatkozó követelménynél legalább 20%-kal alacsonyabb primerenergia-igényt érjenek el. E célbó</w:t>
            </w:r>
            <w:r>
              <w:rPr>
                <w:noProof/>
              </w:rPr>
              <w:t>l a nem megújuló primerenergia-fogyasztást az épületek műszaki szabályzata (CTE) alapvető energiamegtakarítási dokumentumának (DB-HE) HE 0 szakaszában meghatározott határérték 80%-ára kell korlátozni. A királyi rendelet véglegesítése előtt meg kell tartani</w:t>
            </w:r>
            <w:r>
              <w:rPr>
                <w:noProof/>
              </w:rPr>
              <w:t xml:space="preserve"> a lakásügyi ágazati konferenciát, és a nyilvánosság tájékoztatására irányuló szakaszt és az egyéb jogi eljárásokat le kell zárni.</w:t>
            </w:r>
          </w:p>
        </w:tc>
      </w:tr>
      <w:tr w:rsidR="003E1D81" w14:paraId="08CF31DB" w14:textId="77777777">
        <w:trPr>
          <w:trHeight w:val="309"/>
        </w:trPr>
        <w:tc>
          <w:tcPr>
            <w:tcW w:w="709" w:type="dxa"/>
            <w:shd w:val="clear" w:color="auto" w:fill="C6EFCE"/>
            <w:noWrap/>
          </w:tcPr>
          <w:p w14:paraId="2C8B330C" w14:textId="77777777" w:rsidR="003E1D81" w:rsidRDefault="00EB481C">
            <w:pPr>
              <w:pStyle w:val="P68B1DB1-Normal13"/>
              <w:spacing w:after="0" w:line="240" w:lineRule="auto"/>
              <w:jc w:val="center"/>
              <w:rPr>
                <w:rFonts w:cs="Times New Roman"/>
                <w:noProof/>
              </w:rPr>
            </w:pPr>
            <w:r>
              <w:rPr>
                <w:noProof/>
              </w:rPr>
              <w:t>31</w:t>
            </w:r>
          </w:p>
        </w:tc>
        <w:tc>
          <w:tcPr>
            <w:tcW w:w="851" w:type="dxa"/>
            <w:shd w:val="clear" w:color="auto" w:fill="C6EFCE"/>
            <w:noWrap/>
          </w:tcPr>
          <w:p w14:paraId="60C24825" w14:textId="77777777" w:rsidR="003E1D81" w:rsidRDefault="00EB481C">
            <w:pPr>
              <w:pStyle w:val="P68B1DB1-Normal13"/>
              <w:spacing w:after="0" w:line="240" w:lineRule="auto"/>
              <w:jc w:val="center"/>
              <w:rPr>
                <w:rFonts w:eastAsia="MS Mincho" w:cs="Times New Roman"/>
                <w:noProof/>
              </w:rPr>
            </w:pPr>
            <w:r>
              <w:rPr>
                <w:noProof/>
              </w:rPr>
              <w:t>C2.I2</w:t>
            </w:r>
          </w:p>
        </w:tc>
        <w:tc>
          <w:tcPr>
            <w:tcW w:w="850" w:type="dxa"/>
            <w:shd w:val="clear" w:color="auto" w:fill="C6EFCE"/>
            <w:noWrap/>
          </w:tcPr>
          <w:p w14:paraId="4D7714BB" w14:textId="77777777" w:rsidR="003E1D81" w:rsidRDefault="00EB481C">
            <w:pPr>
              <w:pStyle w:val="P68B1DB1-Normal13"/>
              <w:spacing w:after="0" w:line="240" w:lineRule="auto"/>
              <w:jc w:val="center"/>
              <w:rPr>
                <w:rFonts w:cs="Times New Roman"/>
                <w:noProof/>
              </w:rPr>
            </w:pPr>
            <w:r>
              <w:rPr>
                <w:noProof/>
              </w:rPr>
              <w:t>T</w:t>
            </w:r>
          </w:p>
        </w:tc>
        <w:tc>
          <w:tcPr>
            <w:tcW w:w="1985" w:type="dxa"/>
            <w:shd w:val="clear" w:color="auto" w:fill="C6EFCE"/>
            <w:noWrap/>
          </w:tcPr>
          <w:p w14:paraId="66003F66" w14:textId="77777777" w:rsidR="003E1D81" w:rsidRDefault="00EB481C">
            <w:pPr>
              <w:pStyle w:val="P68B1DB1-Normal13"/>
              <w:spacing w:after="0" w:line="240" w:lineRule="auto"/>
              <w:rPr>
                <w:rFonts w:cs="Times New Roman"/>
                <w:noProof/>
              </w:rPr>
            </w:pPr>
            <w:r>
              <w:rPr>
                <w:noProof/>
              </w:rPr>
              <w:t xml:space="preserve">Szociális bérlés céljából vagy megfizethető áron épített új lakások, amelyek megfelelnek az energiahatékonyság </w:t>
            </w:r>
            <w:r>
              <w:rPr>
                <w:noProof/>
              </w:rPr>
              <w:t>kritériumainak</w:t>
            </w:r>
          </w:p>
        </w:tc>
        <w:tc>
          <w:tcPr>
            <w:tcW w:w="1134" w:type="dxa"/>
            <w:shd w:val="clear" w:color="auto" w:fill="C6EFCE"/>
            <w:noWrap/>
          </w:tcPr>
          <w:p w14:paraId="71CA3204" w14:textId="77777777" w:rsidR="003E1D81" w:rsidRDefault="00EB481C">
            <w:pPr>
              <w:pStyle w:val="P68B1DB1-Normal13"/>
              <w:spacing w:after="0" w:line="240" w:lineRule="auto"/>
              <w:jc w:val="center"/>
              <w:rPr>
                <w:rFonts w:cs="Times New Roman"/>
                <w:noProof/>
              </w:rPr>
            </w:pPr>
            <w:r>
              <w:rPr>
                <w:noProof/>
              </w:rPr>
              <w:t> </w:t>
            </w:r>
          </w:p>
        </w:tc>
        <w:tc>
          <w:tcPr>
            <w:tcW w:w="850" w:type="dxa"/>
            <w:shd w:val="clear" w:color="auto" w:fill="C6EFCE"/>
            <w:noWrap/>
          </w:tcPr>
          <w:p w14:paraId="125BCDC3" w14:textId="77777777" w:rsidR="003E1D81" w:rsidRDefault="00EB481C">
            <w:pPr>
              <w:pStyle w:val="P68B1DB1-Normal13"/>
              <w:spacing w:after="0" w:line="240" w:lineRule="auto"/>
              <w:jc w:val="right"/>
              <w:rPr>
                <w:rFonts w:eastAsia="MS Mincho" w:cs="Times New Roman"/>
                <w:noProof/>
              </w:rPr>
            </w:pPr>
            <w:r>
              <w:rPr>
                <w:noProof/>
              </w:rPr>
              <w:t>Szám</w:t>
            </w:r>
          </w:p>
        </w:tc>
        <w:tc>
          <w:tcPr>
            <w:tcW w:w="709" w:type="dxa"/>
            <w:shd w:val="clear" w:color="auto" w:fill="C6EFCE"/>
            <w:noWrap/>
          </w:tcPr>
          <w:p w14:paraId="7BD0726E" w14:textId="77777777" w:rsidR="003E1D81" w:rsidRDefault="00EB481C">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1D57C1F4" w14:textId="77777777" w:rsidR="003E1D81" w:rsidRDefault="00EB481C">
            <w:pPr>
              <w:pStyle w:val="P68B1DB1-Normal13"/>
              <w:spacing w:after="0" w:line="240" w:lineRule="auto"/>
              <w:jc w:val="right"/>
              <w:rPr>
                <w:rFonts w:eastAsia="MS Mincho" w:cs="Times New Roman"/>
                <w:noProof/>
              </w:rPr>
            </w:pPr>
            <w:r>
              <w:rPr>
                <w:noProof/>
              </w:rPr>
              <w:t>20 000</w:t>
            </w:r>
          </w:p>
        </w:tc>
        <w:tc>
          <w:tcPr>
            <w:tcW w:w="425" w:type="dxa"/>
            <w:shd w:val="clear" w:color="auto" w:fill="C6EFCE"/>
            <w:noWrap/>
          </w:tcPr>
          <w:p w14:paraId="2CF36DD5"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75D37C4C" w14:textId="77777777" w:rsidR="003E1D81" w:rsidRDefault="00EB481C">
            <w:pPr>
              <w:pStyle w:val="P68B1DB1-Normal13"/>
              <w:spacing w:after="0" w:line="240" w:lineRule="auto"/>
              <w:jc w:val="center"/>
              <w:rPr>
                <w:rFonts w:cs="Times New Roman"/>
                <w:noProof/>
              </w:rPr>
            </w:pPr>
            <w:r>
              <w:rPr>
                <w:noProof/>
              </w:rPr>
              <w:t>2026</w:t>
            </w:r>
          </w:p>
        </w:tc>
        <w:tc>
          <w:tcPr>
            <w:tcW w:w="6379" w:type="dxa"/>
            <w:shd w:val="clear" w:color="auto" w:fill="C6EFCE"/>
            <w:noWrap/>
          </w:tcPr>
          <w:p w14:paraId="44442375" w14:textId="77777777" w:rsidR="003E1D81" w:rsidRDefault="00EB481C">
            <w:pPr>
              <w:pStyle w:val="P68B1DB1-Normal13"/>
              <w:spacing w:after="0" w:line="240" w:lineRule="auto"/>
              <w:rPr>
                <w:rFonts w:cs="Times New Roman"/>
                <w:noProof/>
              </w:rPr>
            </w:pPr>
            <w:r>
              <w:rPr>
                <w:noProof/>
              </w:rPr>
              <w:t xml:space="preserve">Legalább 20000, energiahatékonysági kritériumoknak megfelelő szociális bérlésre vagy megfizethető áron épített lakás. Ez a szám megfelel azon lakások számának, amelyek esetében az építkezést be kell fejezni, és a </w:t>
            </w:r>
            <w:r>
              <w:rPr>
                <w:noProof/>
              </w:rPr>
              <w:t>megfizethető áron történő szociális bérlést kell figyelembe venni, amit az illetékes hatóság által kiállított igazolás vagy igazolás igazol. Emellett a nem megújuló primerenergia-fogyasztás értékének az épületek műszaki szabályzata (CTE) alapvető energiame</w:t>
            </w:r>
            <w:r>
              <w:rPr>
                <w:noProof/>
              </w:rPr>
              <w:t>gtakarítási dokumentumának (DB-HE) HE 0 szakaszában meghatározott határérték 80%-ára való korlátozására vonatkozó követelménynek való megfelelést energiahatékonysági tanúsítvánnyal kell biztosítani.</w:t>
            </w:r>
          </w:p>
        </w:tc>
      </w:tr>
      <w:tr w:rsidR="003E1D81" w14:paraId="6C2D39E7" w14:textId="77777777">
        <w:trPr>
          <w:trHeight w:val="309"/>
        </w:trPr>
        <w:tc>
          <w:tcPr>
            <w:tcW w:w="709" w:type="dxa"/>
            <w:shd w:val="clear" w:color="auto" w:fill="C6EFCE"/>
            <w:noWrap/>
          </w:tcPr>
          <w:p w14:paraId="434292C4" w14:textId="77777777" w:rsidR="003E1D81" w:rsidRDefault="00EB481C">
            <w:pPr>
              <w:pStyle w:val="P68B1DB1-Normal13"/>
              <w:spacing w:after="0" w:line="240" w:lineRule="auto"/>
              <w:jc w:val="center"/>
              <w:rPr>
                <w:rFonts w:cs="Times New Roman"/>
                <w:noProof/>
              </w:rPr>
            </w:pPr>
            <w:r>
              <w:rPr>
                <w:noProof/>
              </w:rPr>
              <w:t>32</w:t>
            </w:r>
          </w:p>
        </w:tc>
        <w:tc>
          <w:tcPr>
            <w:tcW w:w="851" w:type="dxa"/>
            <w:shd w:val="clear" w:color="auto" w:fill="C6EFCE"/>
            <w:noWrap/>
          </w:tcPr>
          <w:p w14:paraId="16A7C4CA" w14:textId="77777777" w:rsidR="003E1D81" w:rsidRDefault="00EB481C">
            <w:pPr>
              <w:pStyle w:val="P68B1DB1-Normal13"/>
              <w:spacing w:after="0" w:line="240" w:lineRule="auto"/>
              <w:jc w:val="center"/>
              <w:rPr>
                <w:rFonts w:eastAsia="MS Mincho" w:cs="Times New Roman"/>
                <w:noProof/>
              </w:rPr>
            </w:pPr>
            <w:r>
              <w:rPr>
                <w:noProof/>
              </w:rPr>
              <w:t>C2.I3</w:t>
            </w:r>
          </w:p>
        </w:tc>
        <w:tc>
          <w:tcPr>
            <w:tcW w:w="850" w:type="dxa"/>
            <w:shd w:val="clear" w:color="auto" w:fill="C6EFCE"/>
            <w:noWrap/>
          </w:tcPr>
          <w:p w14:paraId="1C7B615D" w14:textId="77777777" w:rsidR="003E1D81" w:rsidRDefault="00EB481C">
            <w:pPr>
              <w:pStyle w:val="P68B1DB1-Normal13"/>
              <w:spacing w:after="0" w:line="240" w:lineRule="auto"/>
              <w:jc w:val="center"/>
              <w:rPr>
                <w:rFonts w:cs="Times New Roman"/>
                <w:noProof/>
              </w:rPr>
            </w:pPr>
            <w:r>
              <w:rPr>
                <w:noProof/>
              </w:rPr>
              <w:t>M</w:t>
            </w:r>
          </w:p>
        </w:tc>
        <w:tc>
          <w:tcPr>
            <w:tcW w:w="1985" w:type="dxa"/>
            <w:shd w:val="clear" w:color="auto" w:fill="C6EFCE"/>
            <w:noWrap/>
          </w:tcPr>
          <w:p w14:paraId="0852DD39" w14:textId="77777777" w:rsidR="003E1D81" w:rsidRDefault="00EB481C">
            <w:pPr>
              <w:pStyle w:val="P68B1DB1-Normal13"/>
              <w:spacing w:after="0" w:line="240" w:lineRule="auto"/>
              <w:rPr>
                <w:rFonts w:cs="Times New Roman"/>
                <w:noProof/>
              </w:rPr>
            </w:pPr>
            <w:r>
              <w:rPr>
                <w:noProof/>
              </w:rPr>
              <w:t xml:space="preserve">A lakóépületek és a nem lakáscélú épületek </w:t>
            </w:r>
            <w:r>
              <w:rPr>
                <w:noProof/>
              </w:rPr>
              <w:t>felújításának odaítélése, átlagosan legalább 30%-os primerenergia-igénycsökkenés elérése érdekében</w:t>
            </w:r>
          </w:p>
        </w:tc>
        <w:tc>
          <w:tcPr>
            <w:tcW w:w="1134" w:type="dxa"/>
            <w:shd w:val="clear" w:color="auto" w:fill="C6EFCE"/>
            <w:noWrap/>
          </w:tcPr>
          <w:p w14:paraId="1337BEF1" w14:textId="77777777" w:rsidR="003E1D81" w:rsidRDefault="00EB481C">
            <w:pPr>
              <w:pStyle w:val="P68B1DB1-Normal13"/>
              <w:spacing w:after="0" w:line="240" w:lineRule="auto"/>
              <w:jc w:val="center"/>
              <w:rPr>
                <w:rFonts w:cs="Times New Roman"/>
                <w:noProof/>
              </w:rPr>
            </w:pPr>
            <w:r>
              <w:rPr>
                <w:noProof/>
              </w:rPr>
              <w:t>Autonóm közösségek összesített koncessziós döntései</w:t>
            </w:r>
          </w:p>
        </w:tc>
        <w:tc>
          <w:tcPr>
            <w:tcW w:w="850" w:type="dxa"/>
            <w:shd w:val="clear" w:color="auto" w:fill="C6EFCE"/>
            <w:noWrap/>
          </w:tcPr>
          <w:p w14:paraId="6D71D07C" w14:textId="77777777" w:rsidR="003E1D81" w:rsidRDefault="00EB481C">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64AD8D14" w14:textId="77777777" w:rsidR="003E1D81" w:rsidRDefault="00EB481C">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4A586566" w14:textId="77777777" w:rsidR="003E1D81" w:rsidRDefault="00EB481C">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7033E754"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0ED0F85E" w14:textId="77777777" w:rsidR="003E1D81" w:rsidRDefault="00EB481C">
            <w:pPr>
              <w:pStyle w:val="P68B1DB1-Normal13"/>
              <w:spacing w:after="0" w:line="240" w:lineRule="auto"/>
              <w:jc w:val="center"/>
              <w:rPr>
                <w:rFonts w:cs="Times New Roman"/>
                <w:noProof/>
              </w:rPr>
            </w:pPr>
            <w:r>
              <w:rPr>
                <w:noProof/>
              </w:rPr>
              <w:t>2023</w:t>
            </w:r>
          </w:p>
        </w:tc>
        <w:tc>
          <w:tcPr>
            <w:tcW w:w="6379" w:type="dxa"/>
            <w:shd w:val="clear" w:color="auto" w:fill="C6EFCE"/>
            <w:noWrap/>
          </w:tcPr>
          <w:p w14:paraId="14C5AE00" w14:textId="77777777" w:rsidR="003E1D81" w:rsidRDefault="00EB481C">
            <w:pPr>
              <w:pStyle w:val="P68B1DB1-Normal13"/>
              <w:spacing w:after="0" w:line="240" w:lineRule="auto"/>
              <w:rPr>
                <w:rFonts w:cs="Times New Roman"/>
                <w:noProof/>
              </w:rPr>
            </w:pPr>
            <w:r>
              <w:rPr>
                <w:noProof/>
              </w:rPr>
              <w:t>Legalább 40000 lakóépület felújításának és 690 000 m 2</w:t>
            </w:r>
            <w:r>
              <w:rPr>
                <w:noProof/>
                <w:vertAlign w:val="superscript"/>
              </w:rPr>
              <w:t>nem</w:t>
            </w:r>
            <w:r>
              <w:rPr>
                <w:noProof/>
              </w:rPr>
              <w:t xml:space="preserve"> lakáscélú épületnek megfele</w:t>
            </w:r>
            <w:r>
              <w:rPr>
                <w:noProof/>
              </w:rPr>
              <w:t>lő összeg, ami átlagosan legalább 30%-os primerenergia-igénycsökkenést eredményez. Az egyenértékűséget az egyes beavatkozástípusok m²-enként elért átlagos</w:t>
            </w:r>
            <w:r>
              <w:rPr>
                <w:noProof/>
                <w:vertAlign w:val="superscript"/>
              </w:rPr>
              <w:t>energiamegtakarítása</w:t>
            </w:r>
            <w:r>
              <w:rPr>
                <w:noProof/>
              </w:rPr>
              <w:t xml:space="preserve"> alapján kell meghatározni. A mutató alkalmazásában a lakhatás fogalmának összhang</w:t>
            </w:r>
            <w:r>
              <w:rPr>
                <w:noProof/>
              </w:rPr>
              <w:t xml:space="preserve">ban kell állnia az Eurostat meghatározásával („lakás: olyan állandó épületben vagy épületrészben – beleértve annak tartozékait, lobbiit és folyosókat is –, amelyet építésének, újjáépítésének vagy átalakításának módja szerint egy magánháztartás egész évben </w:t>
            </w:r>
            <w:r>
              <w:rPr>
                <w:noProof/>
              </w:rPr>
              <w:t>lakhatásra jelöl ki”) és adott esetben szociális vagy köztulajdonban lévő lakásokat is magában foglalhat. Az alkalmazott energiahatékonyság-javító mutatókat az épületek energiahatékonyságáról szóló, 2010. május 19-i 2010/31/EU európai parlamenti és tanácsi</w:t>
            </w:r>
            <w:r>
              <w:rPr>
                <w:noProof/>
              </w:rPr>
              <w:t xml:space="preserve"> irányelv szerinti vonatkozó energiahatékonysági tanúsítványon keresztül kell akkreditálni.</w:t>
            </w:r>
          </w:p>
        </w:tc>
      </w:tr>
      <w:tr w:rsidR="003E1D81" w14:paraId="1C3C2C83" w14:textId="77777777">
        <w:trPr>
          <w:trHeight w:val="309"/>
        </w:trPr>
        <w:tc>
          <w:tcPr>
            <w:tcW w:w="709" w:type="dxa"/>
            <w:shd w:val="clear" w:color="auto" w:fill="C6EFCE"/>
            <w:noWrap/>
          </w:tcPr>
          <w:p w14:paraId="7CE58F48" w14:textId="77777777" w:rsidR="003E1D81" w:rsidRDefault="00EB481C">
            <w:pPr>
              <w:pStyle w:val="P68B1DB1-Normal13"/>
              <w:spacing w:after="0" w:line="240" w:lineRule="auto"/>
              <w:jc w:val="center"/>
              <w:rPr>
                <w:rFonts w:cs="Times New Roman"/>
                <w:noProof/>
              </w:rPr>
            </w:pPr>
            <w:r>
              <w:rPr>
                <w:noProof/>
              </w:rPr>
              <w:t>33</w:t>
            </w:r>
          </w:p>
        </w:tc>
        <w:tc>
          <w:tcPr>
            <w:tcW w:w="851" w:type="dxa"/>
            <w:shd w:val="clear" w:color="auto" w:fill="C6EFCE"/>
            <w:noWrap/>
          </w:tcPr>
          <w:p w14:paraId="735917EE" w14:textId="77777777" w:rsidR="003E1D81" w:rsidRDefault="00EB481C">
            <w:pPr>
              <w:pStyle w:val="P68B1DB1-Normal13"/>
              <w:spacing w:after="0" w:line="240" w:lineRule="auto"/>
              <w:jc w:val="center"/>
              <w:rPr>
                <w:rFonts w:eastAsia="MS Mincho" w:cs="Times New Roman"/>
                <w:noProof/>
              </w:rPr>
            </w:pPr>
            <w:r>
              <w:rPr>
                <w:noProof/>
              </w:rPr>
              <w:t>C2.I3</w:t>
            </w:r>
          </w:p>
        </w:tc>
        <w:tc>
          <w:tcPr>
            <w:tcW w:w="850" w:type="dxa"/>
            <w:shd w:val="clear" w:color="auto" w:fill="C6EFCE"/>
            <w:noWrap/>
          </w:tcPr>
          <w:p w14:paraId="6929BCAA" w14:textId="77777777" w:rsidR="003E1D81" w:rsidRDefault="00EB481C">
            <w:pPr>
              <w:pStyle w:val="P68B1DB1-Normal13"/>
              <w:spacing w:after="0" w:line="240" w:lineRule="auto"/>
              <w:jc w:val="center"/>
              <w:rPr>
                <w:rFonts w:cs="Times New Roman"/>
                <w:noProof/>
              </w:rPr>
            </w:pPr>
            <w:r>
              <w:rPr>
                <w:noProof/>
              </w:rPr>
              <w:t>M</w:t>
            </w:r>
          </w:p>
        </w:tc>
        <w:tc>
          <w:tcPr>
            <w:tcW w:w="1985" w:type="dxa"/>
            <w:shd w:val="clear" w:color="auto" w:fill="C6EFCE"/>
            <w:noWrap/>
          </w:tcPr>
          <w:p w14:paraId="165C110F" w14:textId="77777777" w:rsidR="003E1D81" w:rsidRDefault="00EB481C">
            <w:pPr>
              <w:pStyle w:val="P68B1DB1-Normal13"/>
              <w:spacing w:after="0" w:line="240" w:lineRule="auto"/>
              <w:rPr>
                <w:rFonts w:cs="Times New Roman"/>
                <w:noProof/>
              </w:rPr>
            </w:pPr>
            <w:r>
              <w:rPr>
                <w:noProof/>
              </w:rPr>
              <w:t xml:space="preserve">Lakóépületek és nem lakáscélú épületek felújításának befejezése a primerenergia-igény átlagosan legalább 30%-os csökkentésével </w:t>
            </w:r>
          </w:p>
        </w:tc>
        <w:tc>
          <w:tcPr>
            <w:tcW w:w="1134" w:type="dxa"/>
            <w:shd w:val="clear" w:color="auto" w:fill="C6EFCE"/>
            <w:noWrap/>
          </w:tcPr>
          <w:p w14:paraId="5550885B" w14:textId="77777777" w:rsidR="003E1D81" w:rsidRDefault="00EB481C">
            <w:pPr>
              <w:pStyle w:val="P68B1DB1-Normal13"/>
              <w:spacing w:after="0" w:line="240" w:lineRule="auto"/>
              <w:jc w:val="center"/>
              <w:rPr>
                <w:rFonts w:cs="Times New Roman"/>
                <w:noProof/>
              </w:rPr>
            </w:pPr>
            <w:r>
              <w:rPr>
                <w:noProof/>
              </w:rPr>
              <w:t xml:space="preserve">A befejezett munkák </w:t>
            </w:r>
            <w:r>
              <w:rPr>
                <w:noProof/>
              </w:rPr>
              <w:t>összesített energiahatékonysági tanúsítványai–</w:t>
            </w:r>
          </w:p>
        </w:tc>
        <w:tc>
          <w:tcPr>
            <w:tcW w:w="850" w:type="dxa"/>
            <w:shd w:val="clear" w:color="auto" w:fill="C6EFCE"/>
            <w:noWrap/>
          </w:tcPr>
          <w:p w14:paraId="1721E545" w14:textId="77777777" w:rsidR="003E1D81" w:rsidRDefault="00EB481C">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3DD1135A" w14:textId="77777777" w:rsidR="003E1D81" w:rsidRDefault="00EB481C">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0236E82D" w14:textId="77777777" w:rsidR="003E1D81" w:rsidRDefault="00EB481C">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0B0E13F4"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55CFB499" w14:textId="77777777" w:rsidR="003E1D81" w:rsidRDefault="00EB481C">
            <w:pPr>
              <w:pStyle w:val="P68B1DB1-Normal13"/>
              <w:spacing w:after="0" w:line="240" w:lineRule="auto"/>
              <w:jc w:val="center"/>
              <w:rPr>
                <w:rFonts w:cs="Times New Roman"/>
                <w:noProof/>
              </w:rPr>
            </w:pPr>
            <w:r>
              <w:rPr>
                <w:noProof/>
              </w:rPr>
              <w:t>2026</w:t>
            </w:r>
          </w:p>
        </w:tc>
        <w:tc>
          <w:tcPr>
            <w:tcW w:w="6379" w:type="dxa"/>
            <w:shd w:val="clear" w:color="auto" w:fill="C6EFCE"/>
            <w:noWrap/>
          </w:tcPr>
          <w:p w14:paraId="492B2804" w14:textId="77777777" w:rsidR="003E1D81" w:rsidRDefault="00EB481C">
            <w:pPr>
              <w:pStyle w:val="P68B1DB1-Normal13"/>
              <w:spacing w:after="0" w:line="240" w:lineRule="auto"/>
              <w:rPr>
                <w:rFonts w:cs="Times New Roman"/>
                <w:noProof/>
              </w:rPr>
            </w:pPr>
            <w:r>
              <w:rPr>
                <w:noProof/>
              </w:rPr>
              <w:t>Legalább 40000 lakóépületnek és 690 000 m 2-nek megfelelő felújított</w:t>
            </w:r>
            <w:r>
              <w:rPr>
                <w:noProof/>
                <w:vertAlign w:val="superscript"/>
              </w:rPr>
              <w:t>nem</w:t>
            </w:r>
            <w:r>
              <w:rPr>
                <w:noProof/>
              </w:rPr>
              <w:t xml:space="preserve"> lakáscélú épület, ami átlagosan legalább 30%-os primerenergia-igénycsökkenést eredményez. Az egyenértékűséget az egyes beavatkozástípusok m²-enként elért átlagos</w:t>
            </w:r>
            <w:r>
              <w:rPr>
                <w:noProof/>
                <w:vertAlign w:val="superscript"/>
              </w:rPr>
              <w:t>energiamegtakarítása</w:t>
            </w:r>
            <w:r>
              <w:rPr>
                <w:noProof/>
              </w:rPr>
              <w:t xml:space="preserve"> alapján kell meghatározni. A mutató alkalmazásában a lakhatás fogalmának </w:t>
            </w:r>
            <w:r>
              <w:rPr>
                <w:noProof/>
              </w:rPr>
              <w:t>összhangban kell állnia az Eurostat meghatározásával: „A lakás az állandó épületben vagy épület szerkezetileg elkülönített olyan részében található helyiség vagy szobák összessége – beleértve tartozékait, lobbiit és folyosókat is –, amelyet építésének, újj</w:t>
            </w:r>
            <w:r>
              <w:rPr>
                <w:noProof/>
              </w:rPr>
              <w:t>áépítésének vagy átalakításának módja szerint egyetlen magánháztartás egész évben lakhatásra jelöl ki”, és adott esetben szociális vagy köztulajdonban lévő lakásokat is magában foglalhat. Az alkalmazott energiahatékonyság-javító mutatókat az épületek energ</w:t>
            </w:r>
            <w:r>
              <w:rPr>
                <w:noProof/>
              </w:rPr>
              <w:t>iahatékonyságáról szóló, 2010. május 19-i 2010/31/EU európai parlamenti és tanácsi irányelv szerinti vonatkozó energiahatékonysági tanúsítványon keresztül kell akkreditálni. Az elért energiamegtakarításnak való megfelelés igazolása érdekében az elért átlag</w:t>
            </w:r>
            <w:r>
              <w:rPr>
                <w:noProof/>
              </w:rPr>
              <w:t>os energiamegtakarítás megerősítése érdekében szükség van a befejezett munkák energiahatékonysági tanúsítványaira, és azokat összesíteni kell.</w:t>
            </w:r>
          </w:p>
        </w:tc>
      </w:tr>
      <w:tr w:rsidR="003E1D81" w14:paraId="286F2F1B" w14:textId="77777777">
        <w:trPr>
          <w:trHeight w:val="309"/>
        </w:trPr>
        <w:tc>
          <w:tcPr>
            <w:tcW w:w="709" w:type="dxa"/>
            <w:shd w:val="clear" w:color="auto" w:fill="C6EFCE"/>
            <w:noWrap/>
          </w:tcPr>
          <w:p w14:paraId="1EA9D8CF" w14:textId="0D46D351" w:rsidR="003E1D81" w:rsidRDefault="00EB481C">
            <w:pPr>
              <w:pStyle w:val="P68B1DB1-Normal13"/>
              <w:spacing w:after="0" w:line="240" w:lineRule="auto"/>
              <w:jc w:val="center"/>
              <w:rPr>
                <w:rFonts w:cs="Times New Roman"/>
                <w:noProof/>
              </w:rPr>
            </w:pPr>
            <w:r>
              <w:rPr>
                <w:noProof/>
              </w:rPr>
              <w:t>34</w:t>
            </w:r>
          </w:p>
        </w:tc>
        <w:tc>
          <w:tcPr>
            <w:tcW w:w="851" w:type="dxa"/>
            <w:shd w:val="clear" w:color="auto" w:fill="C6EFCE"/>
            <w:noWrap/>
          </w:tcPr>
          <w:p w14:paraId="4C8A2F19" w14:textId="77777777" w:rsidR="003E1D81" w:rsidRDefault="00EB481C">
            <w:pPr>
              <w:pStyle w:val="P68B1DB1-Normal13"/>
              <w:spacing w:after="0" w:line="240" w:lineRule="auto"/>
              <w:jc w:val="center"/>
              <w:rPr>
                <w:rFonts w:eastAsia="MS Mincho" w:cs="Times New Roman"/>
                <w:noProof/>
              </w:rPr>
            </w:pPr>
            <w:r>
              <w:rPr>
                <w:noProof/>
              </w:rPr>
              <w:t>C2.I4</w:t>
            </w:r>
          </w:p>
        </w:tc>
        <w:tc>
          <w:tcPr>
            <w:tcW w:w="850" w:type="dxa"/>
            <w:shd w:val="clear" w:color="auto" w:fill="C6EFCE"/>
            <w:noWrap/>
          </w:tcPr>
          <w:p w14:paraId="56E99CA2" w14:textId="5E1D777D" w:rsidR="003E1D81" w:rsidRDefault="00EB481C">
            <w:pPr>
              <w:pStyle w:val="P68B1DB1-Normal13"/>
              <w:spacing w:after="0" w:line="240" w:lineRule="auto"/>
              <w:jc w:val="center"/>
              <w:rPr>
                <w:rFonts w:cs="Times New Roman"/>
                <w:noProof/>
              </w:rPr>
            </w:pPr>
            <w:r>
              <w:rPr>
                <w:noProof/>
              </w:rPr>
              <w:t>M</w:t>
            </w:r>
          </w:p>
        </w:tc>
        <w:tc>
          <w:tcPr>
            <w:tcW w:w="1985" w:type="dxa"/>
            <w:shd w:val="clear" w:color="auto" w:fill="C6EFCE"/>
            <w:noWrap/>
          </w:tcPr>
          <w:p w14:paraId="281C42FE" w14:textId="32F7B6AC" w:rsidR="003E1D81" w:rsidRDefault="00EB481C">
            <w:pPr>
              <w:pStyle w:val="P68B1DB1-Normal13"/>
              <w:spacing w:after="0" w:line="240" w:lineRule="auto"/>
              <w:rPr>
                <w:rFonts w:cs="Times New Roman"/>
                <w:noProof/>
              </w:rPr>
            </w:pPr>
            <w:r>
              <w:rPr>
                <w:noProof/>
              </w:rPr>
              <w:t xml:space="preserve">A lakóépületek és a nem lakáscélú épületek felújítása az 5000 főnél kevesebb lakosú településeken, átlagosan legalább 30%-kal csökkentve a primerenergia-igényt </w:t>
            </w:r>
          </w:p>
        </w:tc>
        <w:tc>
          <w:tcPr>
            <w:tcW w:w="1134" w:type="dxa"/>
            <w:shd w:val="clear" w:color="auto" w:fill="C6EFCE"/>
            <w:noWrap/>
          </w:tcPr>
          <w:p w14:paraId="7ADA28FF" w14:textId="77777777" w:rsidR="003E1D81" w:rsidRDefault="00EB481C">
            <w:pPr>
              <w:pStyle w:val="P68B1DB1-Normal13"/>
              <w:spacing w:after="0" w:line="240" w:lineRule="auto"/>
              <w:jc w:val="center"/>
              <w:rPr>
                <w:rFonts w:cs="Times New Roman"/>
                <w:noProof/>
              </w:rPr>
            </w:pPr>
            <w:r>
              <w:rPr>
                <w:noProof/>
              </w:rPr>
              <w:t> </w:t>
            </w:r>
          </w:p>
        </w:tc>
        <w:tc>
          <w:tcPr>
            <w:tcW w:w="850" w:type="dxa"/>
            <w:shd w:val="clear" w:color="auto" w:fill="C6EFCE"/>
            <w:noWrap/>
          </w:tcPr>
          <w:p w14:paraId="099A72F1" w14:textId="19393C73" w:rsidR="003E1D81" w:rsidRDefault="003E1D81">
            <w:pPr>
              <w:spacing w:after="0" w:line="240" w:lineRule="auto"/>
              <w:jc w:val="right"/>
              <w:rPr>
                <w:rFonts w:ascii="Times New Roman" w:eastAsia="MS Mincho" w:hAnsi="Times New Roman" w:cs="Times New Roman"/>
                <w:noProof/>
                <w:sz w:val="18"/>
              </w:rPr>
            </w:pPr>
          </w:p>
        </w:tc>
        <w:tc>
          <w:tcPr>
            <w:tcW w:w="709" w:type="dxa"/>
            <w:shd w:val="clear" w:color="auto" w:fill="C6EFCE"/>
            <w:noWrap/>
          </w:tcPr>
          <w:p w14:paraId="47F30171" w14:textId="43D0BE53" w:rsidR="003E1D81" w:rsidRDefault="003E1D81">
            <w:pPr>
              <w:spacing w:after="0" w:line="240" w:lineRule="auto"/>
              <w:jc w:val="right"/>
              <w:rPr>
                <w:rFonts w:ascii="Times New Roman" w:eastAsia="MS Mincho" w:hAnsi="Times New Roman" w:cs="Times New Roman"/>
                <w:noProof/>
                <w:sz w:val="18"/>
              </w:rPr>
            </w:pPr>
          </w:p>
        </w:tc>
        <w:tc>
          <w:tcPr>
            <w:tcW w:w="851" w:type="dxa"/>
            <w:shd w:val="clear" w:color="auto" w:fill="C6EFCE"/>
            <w:noWrap/>
          </w:tcPr>
          <w:p w14:paraId="3C6BE649" w14:textId="4EABC358" w:rsidR="003E1D81" w:rsidRDefault="003E1D81">
            <w:pPr>
              <w:spacing w:after="0" w:line="240" w:lineRule="auto"/>
              <w:jc w:val="right"/>
              <w:rPr>
                <w:rFonts w:ascii="Times New Roman" w:eastAsia="MS Mincho" w:hAnsi="Times New Roman" w:cs="Times New Roman"/>
                <w:noProof/>
                <w:sz w:val="18"/>
              </w:rPr>
            </w:pPr>
          </w:p>
        </w:tc>
        <w:tc>
          <w:tcPr>
            <w:tcW w:w="425" w:type="dxa"/>
            <w:shd w:val="clear" w:color="auto" w:fill="C6EFCE"/>
            <w:noWrap/>
          </w:tcPr>
          <w:p w14:paraId="266B4723"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16EAFDA7" w14:textId="77777777" w:rsidR="003E1D81" w:rsidRDefault="00EB481C">
            <w:pPr>
              <w:pStyle w:val="P68B1DB1-Normal13"/>
              <w:spacing w:after="0" w:line="240" w:lineRule="auto"/>
              <w:jc w:val="center"/>
              <w:rPr>
                <w:rFonts w:cs="Times New Roman"/>
                <w:noProof/>
              </w:rPr>
            </w:pPr>
            <w:r>
              <w:rPr>
                <w:noProof/>
              </w:rPr>
              <w:t>2026</w:t>
            </w:r>
          </w:p>
        </w:tc>
        <w:tc>
          <w:tcPr>
            <w:tcW w:w="6379" w:type="dxa"/>
            <w:shd w:val="clear" w:color="auto" w:fill="C6EFCE"/>
            <w:noWrap/>
          </w:tcPr>
          <w:p w14:paraId="616015E6" w14:textId="62DB4A95" w:rsidR="003E1D81" w:rsidRDefault="00EB481C">
            <w:pPr>
              <w:pStyle w:val="P68B1DB1-Normal13"/>
              <w:spacing w:after="0" w:line="240" w:lineRule="auto"/>
              <w:rPr>
                <w:rFonts w:cs="Times New Roman"/>
                <w:noProof/>
              </w:rPr>
            </w:pPr>
            <w:r>
              <w:rPr>
                <w:noProof/>
              </w:rPr>
              <w:t>Legalább 4300 lakóépületnek és 230 000 m² nem lakáscélú épületnek (beleértve a</w:t>
            </w:r>
            <w:r>
              <w:rPr>
                <w:noProof/>
              </w:rPr>
              <w:t xml:space="preserve"> köz-, magán- vagy szociális épületeket is) az 5000 főnél kevesebb lakosú településeken és városi területeken felújítottak, átlagosan legalább 30%-os primerenergia-igénycsökkenést eredményezve. Az egyenértékűséget az egyes beavatkozástípusok m²-enként elér</w:t>
            </w:r>
            <w:r>
              <w:rPr>
                <w:noProof/>
              </w:rPr>
              <w:t>t átlagos energiamegtakarítása alapján kell meghatározni. Az elért energiamegtakarításnak való megfelelés igazolása érdekében az elért átlagos energiamegtakarítás megerősítése érdekében szükség van a befejezett munkák energiahatékonysági tanúsítványaira, é</w:t>
            </w:r>
            <w:r>
              <w:rPr>
                <w:noProof/>
              </w:rPr>
              <w:t>s azokat összesíteni kell.</w:t>
            </w:r>
          </w:p>
        </w:tc>
      </w:tr>
      <w:tr w:rsidR="003E1D81" w14:paraId="12EA9356" w14:textId="77777777">
        <w:trPr>
          <w:trHeight w:val="309"/>
        </w:trPr>
        <w:tc>
          <w:tcPr>
            <w:tcW w:w="709" w:type="dxa"/>
            <w:shd w:val="clear" w:color="auto" w:fill="C6EFCE"/>
            <w:noWrap/>
          </w:tcPr>
          <w:p w14:paraId="3D5C510C" w14:textId="49A052F5" w:rsidR="003E1D81" w:rsidRDefault="00EB481C">
            <w:pPr>
              <w:pStyle w:val="P68B1DB1-Normal13"/>
              <w:spacing w:after="0" w:line="240" w:lineRule="auto"/>
              <w:jc w:val="center"/>
              <w:rPr>
                <w:rFonts w:cs="Times New Roman"/>
                <w:noProof/>
              </w:rPr>
            </w:pPr>
            <w:r>
              <w:rPr>
                <w:noProof/>
              </w:rPr>
              <w:t>35</w:t>
            </w:r>
          </w:p>
        </w:tc>
        <w:tc>
          <w:tcPr>
            <w:tcW w:w="851" w:type="dxa"/>
            <w:shd w:val="clear" w:color="auto" w:fill="C6EFCE"/>
            <w:noWrap/>
          </w:tcPr>
          <w:p w14:paraId="6825C8B5" w14:textId="77777777" w:rsidR="003E1D81" w:rsidRDefault="00EB481C">
            <w:pPr>
              <w:pStyle w:val="P68B1DB1-Normal13"/>
              <w:spacing w:after="0" w:line="240" w:lineRule="auto"/>
              <w:jc w:val="center"/>
              <w:rPr>
                <w:rFonts w:eastAsia="MS Mincho" w:cs="Times New Roman"/>
                <w:noProof/>
              </w:rPr>
            </w:pPr>
            <w:r>
              <w:rPr>
                <w:noProof/>
              </w:rPr>
              <w:t>C2.I4</w:t>
            </w:r>
          </w:p>
        </w:tc>
        <w:tc>
          <w:tcPr>
            <w:tcW w:w="850" w:type="dxa"/>
            <w:shd w:val="clear" w:color="auto" w:fill="C6EFCE"/>
            <w:noWrap/>
          </w:tcPr>
          <w:p w14:paraId="4A4CD420" w14:textId="77777777" w:rsidR="003E1D81" w:rsidRDefault="00EB481C">
            <w:pPr>
              <w:pStyle w:val="P68B1DB1-Normal13"/>
              <w:spacing w:after="0" w:line="240" w:lineRule="auto"/>
              <w:jc w:val="center"/>
              <w:rPr>
                <w:rFonts w:cs="Times New Roman"/>
                <w:noProof/>
              </w:rPr>
            </w:pPr>
            <w:r>
              <w:rPr>
                <w:noProof/>
              </w:rPr>
              <w:t>T</w:t>
            </w:r>
          </w:p>
        </w:tc>
        <w:tc>
          <w:tcPr>
            <w:tcW w:w="1985" w:type="dxa"/>
            <w:shd w:val="clear" w:color="auto" w:fill="C6EFCE"/>
            <w:noWrap/>
          </w:tcPr>
          <w:p w14:paraId="50BECBC1" w14:textId="77777777" w:rsidR="003E1D81" w:rsidRDefault="00EB481C">
            <w:pPr>
              <w:pStyle w:val="P68B1DB1-Normal13"/>
              <w:spacing w:after="0" w:line="240" w:lineRule="auto"/>
              <w:rPr>
                <w:rFonts w:cs="Times New Roman"/>
                <w:noProof/>
              </w:rPr>
            </w:pPr>
            <w:r>
              <w:rPr>
                <w:noProof/>
              </w:rPr>
              <w:t xml:space="preserve">Tiszta energiával kapcsolatos projektek az 5000 főnél kevesebb lakosú településeken </w:t>
            </w:r>
          </w:p>
        </w:tc>
        <w:tc>
          <w:tcPr>
            <w:tcW w:w="1134" w:type="dxa"/>
            <w:shd w:val="clear" w:color="auto" w:fill="C6EFCE"/>
            <w:noWrap/>
          </w:tcPr>
          <w:p w14:paraId="12673AC1" w14:textId="77777777" w:rsidR="003E1D81" w:rsidRDefault="00EB481C">
            <w:pPr>
              <w:pStyle w:val="P68B1DB1-Normal13"/>
              <w:spacing w:after="0" w:line="240" w:lineRule="auto"/>
              <w:jc w:val="center"/>
              <w:rPr>
                <w:rFonts w:cs="Times New Roman"/>
                <w:noProof/>
              </w:rPr>
            </w:pPr>
            <w:r>
              <w:rPr>
                <w:noProof/>
              </w:rPr>
              <w:t> </w:t>
            </w:r>
          </w:p>
        </w:tc>
        <w:tc>
          <w:tcPr>
            <w:tcW w:w="850" w:type="dxa"/>
            <w:shd w:val="clear" w:color="auto" w:fill="C6EFCE"/>
            <w:noWrap/>
          </w:tcPr>
          <w:p w14:paraId="460C58E8" w14:textId="77777777" w:rsidR="003E1D81" w:rsidRDefault="00EB481C">
            <w:pPr>
              <w:pStyle w:val="P68B1DB1-Normal13"/>
              <w:spacing w:after="0" w:line="240" w:lineRule="auto"/>
              <w:jc w:val="right"/>
              <w:rPr>
                <w:rFonts w:eastAsia="MS Mincho" w:cs="Times New Roman"/>
                <w:noProof/>
              </w:rPr>
            </w:pPr>
            <w:r>
              <w:rPr>
                <w:noProof/>
              </w:rPr>
              <w:t>Szám</w:t>
            </w:r>
          </w:p>
        </w:tc>
        <w:tc>
          <w:tcPr>
            <w:tcW w:w="709" w:type="dxa"/>
            <w:shd w:val="clear" w:color="auto" w:fill="C6EFCE"/>
            <w:noWrap/>
          </w:tcPr>
          <w:p w14:paraId="132FFD68" w14:textId="77777777" w:rsidR="003E1D81" w:rsidRDefault="00EB481C">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78F5FD09" w14:textId="7067A379" w:rsidR="003E1D81" w:rsidRDefault="00EB481C">
            <w:pPr>
              <w:pStyle w:val="P68B1DB1-Normal13"/>
              <w:spacing w:after="0" w:line="240" w:lineRule="auto"/>
              <w:jc w:val="right"/>
              <w:rPr>
                <w:rFonts w:eastAsia="MS Mincho" w:cs="Times New Roman"/>
                <w:noProof/>
              </w:rPr>
            </w:pPr>
            <w:r>
              <w:rPr>
                <w:noProof/>
              </w:rPr>
              <w:t>500</w:t>
            </w:r>
          </w:p>
        </w:tc>
        <w:tc>
          <w:tcPr>
            <w:tcW w:w="425" w:type="dxa"/>
            <w:shd w:val="clear" w:color="auto" w:fill="C6EFCE"/>
            <w:noWrap/>
          </w:tcPr>
          <w:p w14:paraId="4472FA99"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19A3A52D" w14:textId="77777777" w:rsidR="003E1D81" w:rsidRDefault="00EB481C">
            <w:pPr>
              <w:pStyle w:val="P68B1DB1-Normal13"/>
              <w:spacing w:after="0" w:line="240" w:lineRule="auto"/>
              <w:jc w:val="center"/>
              <w:rPr>
                <w:rFonts w:cs="Times New Roman"/>
                <w:noProof/>
              </w:rPr>
            </w:pPr>
            <w:r>
              <w:rPr>
                <w:noProof/>
              </w:rPr>
              <w:t>2026</w:t>
            </w:r>
          </w:p>
        </w:tc>
        <w:tc>
          <w:tcPr>
            <w:tcW w:w="6379" w:type="dxa"/>
            <w:shd w:val="clear" w:color="auto" w:fill="C6EFCE"/>
            <w:noWrap/>
          </w:tcPr>
          <w:p w14:paraId="2E73E388" w14:textId="52F74CDF" w:rsidR="003E1D81" w:rsidRDefault="00EB481C">
            <w:pPr>
              <w:pStyle w:val="P68B1DB1-Normal8"/>
              <w:spacing w:after="0" w:line="240" w:lineRule="auto"/>
              <w:rPr>
                <w:rFonts w:cs="Times New Roman"/>
                <w:noProof/>
                <w:sz w:val="18"/>
              </w:rPr>
            </w:pPr>
            <w:r>
              <w:rPr>
                <w:noProof/>
                <w:sz w:val="18"/>
              </w:rPr>
              <w:t xml:space="preserve">Legalább 500 egyedi tisztaenergia-projekt helyi szinten fejeződött be az 5000 főnél kevesebb lakosú </w:t>
            </w:r>
            <w:r>
              <w:rPr>
                <w:noProof/>
                <w:sz w:val="18"/>
              </w:rPr>
              <w:t>településeken. Jellemzők: A projektek, beleértve a helyi hatóságok által versenytárgyalási eljárás keretében odaítélt projekteket vagy beruházásokat, a következők kiválasztása vagy kombinációja keretében:</w:t>
            </w:r>
            <w:r>
              <w:rPr>
                <w:noProof/>
              </w:rPr>
              <w:br/>
            </w:r>
            <w:r>
              <w:rPr>
                <w:noProof/>
                <w:sz w:val="18"/>
              </w:rPr>
              <w:t>Elektromos vagy fűtő- és hűtőenergia telepítése köz</w:t>
            </w:r>
            <w:r>
              <w:rPr>
                <w:noProof/>
                <w:sz w:val="18"/>
              </w:rPr>
              <w:t>épületek vagy infrastruktúra számára (beleértve legalább 80%-ban a saját fogyasztást). Magában foglalhatja a távfűtést/-hűtést is.</w:t>
            </w:r>
            <w:r>
              <w:rPr>
                <w:noProof/>
              </w:rPr>
              <w:br/>
            </w:r>
            <w:r>
              <w:rPr>
                <w:noProof/>
                <w:sz w:val="18"/>
              </w:rPr>
              <w:t>Középületek vagy infrastruktúra energetikai felújítása (legalább 30%-os primerenergia-megtakarítás elérése)</w:t>
            </w:r>
            <w:r>
              <w:rPr>
                <w:noProof/>
              </w:rPr>
              <w:br/>
              <w:t xml:space="preserve"> </w:t>
            </w:r>
            <w:r>
              <w:rPr>
                <w:noProof/>
                <w:sz w:val="18"/>
              </w:rPr>
              <w:t>Fenntartható mob</w:t>
            </w:r>
            <w:r>
              <w:rPr>
                <w:noProof/>
                <w:sz w:val="18"/>
              </w:rPr>
              <w:t>ilitás (modális váltásra vagy elektromos mobilitásra irányuló projektek)</w:t>
            </w:r>
            <w:r>
              <w:rPr>
                <w:noProof/>
              </w:rPr>
              <w:br/>
              <w:t xml:space="preserve"> </w:t>
            </w:r>
            <w:r>
              <w:rPr>
                <w:noProof/>
                <w:sz w:val="18"/>
              </w:rPr>
              <w:t>A fényszennyezés csökkentése a közvilágítás javítása révén</w:t>
            </w:r>
            <w:r>
              <w:rPr>
                <w:noProof/>
              </w:rPr>
              <w:br/>
              <w:t xml:space="preserve"> </w:t>
            </w:r>
            <w:r>
              <w:rPr>
                <w:noProof/>
                <w:sz w:val="18"/>
              </w:rPr>
              <w:t>– Helyi energiaközösség vagy más közösségvezérelt projektek ezekben a településeken.</w:t>
            </w:r>
          </w:p>
        </w:tc>
      </w:tr>
      <w:tr w:rsidR="003E1D81" w14:paraId="3A2C5FAB" w14:textId="77777777">
        <w:trPr>
          <w:trHeight w:val="309"/>
        </w:trPr>
        <w:tc>
          <w:tcPr>
            <w:tcW w:w="709" w:type="dxa"/>
            <w:shd w:val="clear" w:color="auto" w:fill="C6EFCE"/>
            <w:noWrap/>
          </w:tcPr>
          <w:p w14:paraId="5AFB958C" w14:textId="77777777" w:rsidR="003E1D81" w:rsidRDefault="00EB481C">
            <w:pPr>
              <w:pStyle w:val="P68B1DB1-Normal13"/>
              <w:spacing w:after="0" w:line="240" w:lineRule="auto"/>
              <w:jc w:val="center"/>
              <w:rPr>
                <w:rFonts w:cs="Times New Roman"/>
                <w:noProof/>
              </w:rPr>
            </w:pPr>
            <w:r>
              <w:rPr>
                <w:noProof/>
              </w:rPr>
              <w:t>36</w:t>
            </w:r>
          </w:p>
        </w:tc>
        <w:tc>
          <w:tcPr>
            <w:tcW w:w="851" w:type="dxa"/>
            <w:shd w:val="clear" w:color="auto" w:fill="C6EFCE"/>
            <w:noWrap/>
          </w:tcPr>
          <w:p w14:paraId="1231534C" w14:textId="77777777" w:rsidR="003E1D81" w:rsidRDefault="00EB481C">
            <w:pPr>
              <w:pStyle w:val="P68B1DB1-Normal13"/>
              <w:spacing w:after="0" w:line="240" w:lineRule="auto"/>
              <w:jc w:val="center"/>
              <w:rPr>
                <w:rFonts w:eastAsia="MS Mincho" w:cs="Times New Roman"/>
                <w:noProof/>
              </w:rPr>
            </w:pPr>
            <w:r>
              <w:rPr>
                <w:noProof/>
              </w:rPr>
              <w:t>C2.I5</w:t>
            </w:r>
          </w:p>
        </w:tc>
        <w:tc>
          <w:tcPr>
            <w:tcW w:w="850" w:type="dxa"/>
            <w:shd w:val="clear" w:color="auto" w:fill="C6EFCE"/>
            <w:noWrap/>
          </w:tcPr>
          <w:p w14:paraId="037FADB2" w14:textId="77777777" w:rsidR="003E1D81" w:rsidRDefault="00EB481C">
            <w:pPr>
              <w:pStyle w:val="P68B1DB1-Normal13"/>
              <w:spacing w:after="0" w:line="240" w:lineRule="auto"/>
              <w:jc w:val="center"/>
              <w:rPr>
                <w:rFonts w:cs="Times New Roman"/>
                <w:noProof/>
              </w:rPr>
            </w:pPr>
            <w:r>
              <w:rPr>
                <w:noProof/>
              </w:rPr>
              <w:t>T</w:t>
            </w:r>
          </w:p>
        </w:tc>
        <w:tc>
          <w:tcPr>
            <w:tcW w:w="1985" w:type="dxa"/>
            <w:shd w:val="clear" w:color="auto" w:fill="C6EFCE"/>
            <w:noWrap/>
          </w:tcPr>
          <w:p w14:paraId="5D69E038" w14:textId="77777777" w:rsidR="003E1D81" w:rsidRDefault="00EB481C">
            <w:pPr>
              <w:pStyle w:val="P68B1DB1-Normal13"/>
              <w:spacing w:after="0" w:line="240" w:lineRule="auto"/>
              <w:rPr>
                <w:rFonts w:cs="Times New Roman"/>
                <w:noProof/>
              </w:rPr>
            </w:pPr>
            <w:r>
              <w:rPr>
                <w:noProof/>
              </w:rPr>
              <w:t xml:space="preserve">A középületek </w:t>
            </w:r>
            <w:r>
              <w:rPr>
                <w:noProof/>
              </w:rPr>
              <w:t>felújításának befejezése, átlagosan legalább 30%-os primerenergia-igénycsökkenés elérése (legalább 290 000 m 2</w:t>
            </w:r>
            <w:r>
              <w:rPr>
                <w:noProof/>
                <w:vertAlign w:val="superscript"/>
              </w:rPr>
              <w:t>)</w:t>
            </w:r>
          </w:p>
        </w:tc>
        <w:tc>
          <w:tcPr>
            <w:tcW w:w="1134" w:type="dxa"/>
            <w:shd w:val="clear" w:color="auto" w:fill="C6EFCE"/>
            <w:noWrap/>
          </w:tcPr>
          <w:p w14:paraId="2C6BD880" w14:textId="77777777" w:rsidR="003E1D81" w:rsidRDefault="00EB481C">
            <w:pPr>
              <w:pStyle w:val="P68B1DB1-Normal13"/>
              <w:spacing w:after="0" w:line="240" w:lineRule="auto"/>
              <w:jc w:val="center"/>
              <w:rPr>
                <w:rFonts w:cs="Times New Roman"/>
                <w:noProof/>
              </w:rPr>
            </w:pPr>
            <w:r>
              <w:rPr>
                <w:noProof/>
              </w:rPr>
              <w:t> </w:t>
            </w:r>
          </w:p>
        </w:tc>
        <w:tc>
          <w:tcPr>
            <w:tcW w:w="850" w:type="dxa"/>
            <w:shd w:val="clear" w:color="auto" w:fill="C6EFCE"/>
            <w:noWrap/>
          </w:tcPr>
          <w:p w14:paraId="75E17FED" w14:textId="77777777" w:rsidR="003E1D81" w:rsidRDefault="00EB481C">
            <w:pPr>
              <w:pStyle w:val="P68B1DB1-Normal13"/>
              <w:spacing w:after="0" w:line="240" w:lineRule="auto"/>
              <w:jc w:val="right"/>
              <w:rPr>
                <w:rFonts w:eastAsia="MS Mincho" w:cs="Times New Roman"/>
                <w:noProof/>
              </w:rPr>
            </w:pPr>
            <w:r>
              <w:rPr>
                <w:noProof/>
              </w:rPr>
              <w:t>Szám (m</w:t>
            </w:r>
            <w:r>
              <w:rPr>
                <w:noProof/>
                <w:vertAlign w:val="superscript"/>
              </w:rPr>
              <w:t>2</w:t>
            </w:r>
            <w:r>
              <w:rPr>
                <w:noProof/>
              </w:rPr>
              <w:t>)</w:t>
            </w:r>
          </w:p>
        </w:tc>
        <w:tc>
          <w:tcPr>
            <w:tcW w:w="709" w:type="dxa"/>
            <w:shd w:val="clear" w:color="auto" w:fill="C6EFCE"/>
            <w:noWrap/>
          </w:tcPr>
          <w:p w14:paraId="6F6BB521" w14:textId="77777777" w:rsidR="003E1D81" w:rsidRDefault="00EB481C">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1EEB8F88" w14:textId="77777777" w:rsidR="003E1D81" w:rsidRDefault="00EB481C">
            <w:pPr>
              <w:pStyle w:val="P68B1DB1-Normal13"/>
              <w:spacing w:after="0" w:line="240" w:lineRule="auto"/>
              <w:jc w:val="right"/>
              <w:rPr>
                <w:rFonts w:eastAsia="MS Mincho" w:cs="Times New Roman"/>
                <w:noProof/>
              </w:rPr>
            </w:pPr>
            <w:r>
              <w:rPr>
                <w:noProof/>
              </w:rPr>
              <w:t>290 000</w:t>
            </w:r>
          </w:p>
        </w:tc>
        <w:tc>
          <w:tcPr>
            <w:tcW w:w="425" w:type="dxa"/>
            <w:shd w:val="clear" w:color="auto" w:fill="C6EFCE"/>
            <w:noWrap/>
          </w:tcPr>
          <w:p w14:paraId="104A8A9A"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7EEB8710" w14:textId="77777777" w:rsidR="003E1D81" w:rsidRDefault="00EB481C">
            <w:pPr>
              <w:pStyle w:val="P68B1DB1-Normal13"/>
              <w:spacing w:after="0" w:line="240" w:lineRule="auto"/>
              <w:jc w:val="center"/>
              <w:rPr>
                <w:rFonts w:cs="Times New Roman"/>
                <w:noProof/>
              </w:rPr>
            </w:pPr>
            <w:r>
              <w:rPr>
                <w:noProof/>
              </w:rPr>
              <w:t>2024</w:t>
            </w:r>
          </w:p>
        </w:tc>
        <w:tc>
          <w:tcPr>
            <w:tcW w:w="6379" w:type="dxa"/>
            <w:shd w:val="clear" w:color="auto" w:fill="C6EFCE"/>
            <w:noWrap/>
          </w:tcPr>
          <w:p w14:paraId="74BABF0F" w14:textId="77777777" w:rsidR="003E1D81" w:rsidRDefault="00EB481C">
            <w:pPr>
              <w:pStyle w:val="P68B1DB1-Normal13"/>
              <w:spacing w:after="0" w:line="240" w:lineRule="auto"/>
              <w:rPr>
                <w:rFonts w:cs="Times New Roman"/>
                <w:noProof/>
              </w:rPr>
            </w:pPr>
            <w:r>
              <w:rPr>
                <w:noProof/>
              </w:rPr>
              <w:t>Legalább 290 000 m 2</w:t>
            </w:r>
            <w:r>
              <w:rPr>
                <w:noProof/>
                <w:vertAlign w:val="superscript"/>
              </w:rPr>
              <w:t>(</w:t>
            </w:r>
            <w:r>
              <w:rPr>
                <w:noProof/>
              </w:rPr>
              <w:t xml:space="preserve"> kumulatív) felújított középület, amely átlagosan legalább 30%-kal csökkenti a primerenergia-igényt. A támogatásokról szóló (38/2003. sz.) törvény 30. cikkében meghatározottak szerint a munkálatok befejezéséről szóló igazolások vagy a munkálatok átvételérő</w:t>
            </w:r>
            <w:r>
              <w:rPr>
                <w:noProof/>
              </w:rPr>
              <w:t>l szóló igazolás (autonóm közösségek) vagy igazoló dokumentumok ellenőrzését a projekt befejezése (eladás) után kell ellenőrizni. Az elért energiamegtakarításnak való megfelelés igazolása érdekében az elért átlagos energiamegtakarítás megerősítése érdekébe</w:t>
            </w:r>
            <w:r>
              <w:rPr>
                <w:noProof/>
              </w:rPr>
              <w:t xml:space="preserve">n a befejezett munkálatok energetikai tanúsítására van szükség, és azt összesíteni kell.  </w:t>
            </w:r>
          </w:p>
        </w:tc>
      </w:tr>
      <w:tr w:rsidR="003E1D81" w14:paraId="1E15E109" w14:textId="77777777">
        <w:trPr>
          <w:trHeight w:val="309"/>
        </w:trPr>
        <w:tc>
          <w:tcPr>
            <w:tcW w:w="709" w:type="dxa"/>
            <w:shd w:val="clear" w:color="auto" w:fill="C6EFCE"/>
            <w:noWrap/>
          </w:tcPr>
          <w:p w14:paraId="0903FD93" w14:textId="77777777" w:rsidR="003E1D81" w:rsidRDefault="00EB481C">
            <w:pPr>
              <w:pStyle w:val="P68B1DB1-Normal13"/>
              <w:spacing w:after="0" w:line="240" w:lineRule="auto"/>
              <w:jc w:val="center"/>
              <w:rPr>
                <w:rFonts w:cs="Times New Roman"/>
                <w:noProof/>
              </w:rPr>
            </w:pPr>
            <w:r>
              <w:rPr>
                <w:noProof/>
              </w:rPr>
              <w:t>37</w:t>
            </w:r>
          </w:p>
        </w:tc>
        <w:tc>
          <w:tcPr>
            <w:tcW w:w="851" w:type="dxa"/>
            <w:shd w:val="clear" w:color="auto" w:fill="C6EFCE"/>
            <w:noWrap/>
          </w:tcPr>
          <w:p w14:paraId="5377F766" w14:textId="77777777" w:rsidR="003E1D81" w:rsidRDefault="00EB481C">
            <w:pPr>
              <w:pStyle w:val="P68B1DB1-Normal13"/>
              <w:spacing w:after="0" w:line="240" w:lineRule="auto"/>
              <w:jc w:val="center"/>
              <w:rPr>
                <w:rFonts w:eastAsia="MS Mincho" w:cs="Times New Roman"/>
                <w:noProof/>
              </w:rPr>
            </w:pPr>
            <w:r>
              <w:rPr>
                <w:noProof/>
              </w:rPr>
              <w:t>C2.I5</w:t>
            </w:r>
          </w:p>
        </w:tc>
        <w:tc>
          <w:tcPr>
            <w:tcW w:w="850" w:type="dxa"/>
            <w:shd w:val="clear" w:color="auto" w:fill="C6EFCE"/>
            <w:noWrap/>
          </w:tcPr>
          <w:p w14:paraId="36F6B0F4" w14:textId="77777777" w:rsidR="003E1D81" w:rsidRDefault="00EB481C">
            <w:pPr>
              <w:pStyle w:val="P68B1DB1-Normal13"/>
              <w:spacing w:after="0" w:line="240" w:lineRule="auto"/>
              <w:jc w:val="center"/>
              <w:rPr>
                <w:rFonts w:cs="Times New Roman"/>
                <w:noProof/>
              </w:rPr>
            </w:pPr>
            <w:r>
              <w:rPr>
                <w:noProof/>
              </w:rPr>
              <w:t>T</w:t>
            </w:r>
          </w:p>
        </w:tc>
        <w:tc>
          <w:tcPr>
            <w:tcW w:w="1985" w:type="dxa"/>
            <w:shd w:val="clear" w:color="auto" w:fill="C6EFCE"/>
            <w:noWrap/>
          </w:tcPr>
          <w:p w14:paraId="61D8F5E6" w14:textId="77777777" w:rsidR="003E1D81" w:rsidRDefault="00EB481C">
            <w:pPr>
              <w:pStyle w:val="P68B1DB1-Normal13"/>
              <w:spacing w:after="0" w:line="240" w:lineRule="auto"/>
              <w:rPr>
                <w:rFonts w:cs="Times New Roman"/>
                <w:noProof/>
              </w:rPr>
            </w:pPr>
            <w:r>
              <w:rPr>
                <w:noProof/>
              </w:rPr>
              <w:t xml:space="preserve">A középületek felújításának befejezése, átlagosan legalább 30%-os primerenergia-igénycsökkenés elérése (legalább 1 230 000 m 2) </w:t>
            </w:r>
          </w:p>
        </w:tc>
        <w:tc>
          <w:tcPr>
            <w:tcW w:w="1134" w:type="dxa"/>
            <w:shd w:val="clear" w:color="auto" w:fill="C6EFCE"/>
            <w:noWrap/>
          </w:tcPr>
          <w:p w14:paraId="5561E1DE" w14:textId="77777777" w:rsidR="003E1D81" w:rsidRDefault="00EB481C">
            <w:pPr>
              <w:pStyle w:val="P68B1DB1-Normal13"/>
              <w:spacing w:after="0" w:line="240" w:lineRule="auto"/>
              <w:jc w:val="center"/>
              <w:rPr>
                <w:rFonts w:cs="Times New Roman"/>
                <w:noProof/>
              </w:rPr>
            </w:pPr>
            <w:r>
              <w:rPr>
                <w:noProof/>
              </w:rPr>
              <w:t> </w:t>
            </w:r>
          </w:p>
        </w:tc>
        <w:tc>
          <w:tcPr>
            <w:tcW w:w="850" w:type="dxa"/>
            <w:shd w:val="clear" w:color="auto" w:fill="C6EFCE"/>
            <w:noWrap/>
          </w:tcPr>
          <w:p w14:paraId="6ECAC681" w14:textId="77777777" w:rsidR="003E1D81" w:rsidRDefault="00EB481C">
            <w:pPr>
              <w:pStyle w:val="P68B1DB1-Normal13"/>
              <w:spacing w:after="0" w:line="240" w:lineRule="auto"/>
              <w:jc w:val="right"/>
              <w:rPr>
                <w:rFonts w:eastAsia="MS Mincho" w:cs="Times New Roman"/>
                <w:noProof/>
              </w:rPr>
            </w:pPr>
            <w:r>
              <w:rPr>
                <w:noProof/>
              </w:rPr>
              <w:t>Szám (m</w:t>
            </w:r>
            <w:r>
              <w:rPr>
                <w:noProof/>
                <w:vertAlign w:val="superscript"/>
              </w:rPr>
              <w:t>2</w:t>
            </w:r>
            <w:r>
              <w:rPr>
                <w:noProof/>
              </w:rPr>
              <w:t>)</w:t>
            </w:r>
          </w:p>
        </w:tc>
        <w:tc>
          <w:tcPr>
            <w:tcW w:w="709" w:type="dxa"/>
            <w:shd w:val="clear" w:color="auto" w:fill="C6EFCE"/>
            <w:noWrap/>
          </w:tcPr>
          <w:p w14:paraId="4043743D" w14:textId="77777777" w:rsidR="003E1D81" w:rsidRDefault="00EB481C">
            <w:pPr>
              <w:pStyle w:val="P68B1DB1-Normal13"/>
              <w:spacing w:after="0" w:line="240" w:lineRule="auto"/>
              <w:jc w:val="right"/>
              <w:rPr>
                <w:rFonts w:eastAsia="MS Mincho" w:cs="Times New Roman"/>
                <w:noProof/>
              </w:rPr>
            </w:pPr>
            <w:r>
              <w:rPr>
                <w:noProof/>
              </w:rPr>
              <w:t>290 000</w:t>
            </w:r>
          </w:p>
        </w:tc>
        <w:tc>
          <w:tcPr>
            <w:tcW w:w="851" w:type="dxa"/>
            <w:shd w:val="clear" w:color="auto" w:fill="C6EFCE"/>
            <w:noWrap/>
          </w:tcPr>
          <w:p w14:paraId="7E87C33F" w14:textId="77777777" w:rsidR="003E1D81" w:rsidRDefault="00EB481C">
            <w:pPr>
              <w:pStyle w:val="P68B1DB1-Normal13"/>
              <w:spacing w:after="0" w:line="240" w:lineRule="auto"/>
              <w:jc w:val="right"/>
              <w:rPr>
                <w:rFonts w:eastAsia="MS Mincho" w:cs="Times New Roman"/>
                <w:noProof/>
              </w:rPr>
            </w:pPr>
            <w:r>
              <w:rPr>
                <w:noProof/>
              </w:rPr>
              <w:t>1 230 000</w:t>
            </w:r>
          </w:p>
        </w:tc>
        <w:tc>
          <w:tcPr>
            <w:tcW w:w="425" w:type="dxa"/>
            <w:shd w:val="clear" w:color="auto" w:fill="C6EFCE"/>
            <w:noWrap/>
          </w:tcPr>
          <w:p w14:paraId="3F4224B7"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38F8FD95" w14:textId="77777777" w:rsidR="003E1D81" w:rsidRDefault="00EB481C">
            <w:pPr>
              <w:pStyle w:val="P68B1DB1-Normal13"/>
              <w:spacing w:after="0" w:line="240" w:lineRule="auto"/>
              <w:jc w:val="center"/>
              <w:rPr>
                <w:rFonts w:cs="Times New Roman"/>
                <w:noProof/>
              </w:rPr>
            </w:pPr>
            <w:r>
              <w:rPr>
                <w:noProof/>
              </w:rPr>
              <w:t>2026</w:t>
            </w:r>
          </w:p>
        </w:tc>
        <w:tc>
          <w:tcPr>
            <w:tcW w:w="6379" w:type="dxa"/>
            <w:shd w:val="clear" w:color="auto" w:fill="C6EFCE"/>
            <w:noWrap/>
          </w:tcPr>
          <w:p w14:paraId="617E4098" w14:textId="77777777" w:rsidR="003E1D81" w:rsidRDefault="00EB481C">
            <w:pPr>
              <w:pStyle w:val="P68B1DB1-Normal13"/>
              <w:spacing w:after="0" w:line="240" w:lineRule="auto"/>
              <w:rPr>
                <w:rFonts w:cs="Times New Roman"/>
                <w:noProof/>
              </w:rPr>
            </w:pPr>
            <w:r>
              <w:rPr>
                <w:noProof/>
              </w:rPr>
              <w:t>Legalább 1 230 000 m 2 (</w:t>
            </w:r>
            <w:r>
              <w:rPr>
                <w:noProof/>
                <w:vertAlign w:val="superscript"/>
              </w:rPr>
              <w:t>kumulatív</w:t>
            </w:r>
            <w:r>
              <w:rPr>
                <w:noProof/>
              </w:rPr>
              <w:t xml:space="preserve">) felújított középület, amely átlagosan legalább 30%-kal csökkenti a primerenergia-igényt. A támogatásokról szóló (38/2003. sz.) törvény 30. cikkében meghatározottak szerint a munkálatok befejezéséről </w:t>
            </w:r>
            <w:r>
              <w:rPr>
                <w:noProof/>
              </w:rPr>
              <w:t>szóló igazolások vagy a munkálatok átvételéről szóló igazolás (autonóm közösségek) vagy igazoló dokumentumok ellenőrzését a projekt befejezése (eladás) után kell ellenőrizni. Az elért energiamegtakarításnak való megfelelés igazolása érdekében az elért átla</w:t>
            </w:r>
            <w:r>
              <w:rPr>
                <w:noProof/>
              </w:rPr>
              <w:t xml:space="preserve">gos energiamegtakarítás megerősítése érdekében a befejezett munkálatok energetikai tanúsítására van szükség, és azt összesíteni kell. (Alapforgatókönyv: 2024. december 31.) </w:t>
            </w:r>
          </w:p>
        </w:tc>
      </w:tr>
      <w:tr w:rsidR="003E1D81" w14:paraId="7B61CA55" w14:textId="77777777">
        <w:trPr>
          <w:trHeight w:val="309"/>
        </w:trPr>
        <w:tc>
          <w:tcPr>
            <w:tcW w:w="709" w:type="dxa"/>
            <w:shd w:val="clear" w:color="auto" w:fill="C6EFCE"/>
            <w:noWrap/>
          </w:tcPr>
          <w:p w14:paraId="0CD124DB" w14:textId="77777777" w:rsidR="003E1D81" w:rsidRDefault="00EB481C">
            <w:pPr>
              <w:pStyle w:val="P68B1DB1-Normal13"/>
              <w:spacing w:after="0" w:line="240" w:lineRule="auto"/>
              <w:jc w:val="center"/>
              <w:rPr>
                <w:rFonts w:cs="Times New Roman"/>
                <w:noProof/>
              </w:rPr>
            </w:pPr>
            <w:r>
              <w:rPr>
                <w:noProof/>
              </w:rPr>
              <w:t>38</w:t>
            </w:r>
          </w:p>
        </w:tc>
        <w:tc>
          <w:tcPr>
            <w:tcW w:w="851" w:type="dxa"/>
            <w:shd w:val="clear" w:color="auto" w:fill="C6EFCE"/>
            <w:noWrap/>
          </w:tcPr>
          <w:p w14:paraId="44F83E1B" w14:textId="77777777" w:rsidR="003E1D81" w:rsidRDefault="00EB481C">
            <w:pPr>
              <w:pStyle w:val="P68B1DB1-Normal13"/>
              <w:spacing w:after="0" w:line="240" w:lineRule="auto"/>
              <w:jc w:val="center"/>
              <w:rPr>
                <w:rFonts w:eastAsia="MS Mincho" w:cs="Times New Roman"/>
                <w:noProof/>
              </w:rPr>
            </w:pPr>
            <w:r>
              <w:rPr>
                <w:noProof/>
              </w:rPr>
              <w:t>C2.I6</w:t>
            </w:r>
          </w:p>
        </w:tc>
        <w:tc>
          <w:tcPr>
            <w:tcW w:w="850" w:type="dxa"/>
            <w:shd w:val="clear" w:color="auto" w:fill="C6EFCE"/>
            <w:noWrap/>
          </w:tcPr>
          <w:p w14:paraId="2FE7BF0B" w14:textId="77777777" w:rsidR="003E1D81" w:rsidRDefault="00EB481C">
            <w:pPr>
              <w:pStyle w:val="P68B1DB1-Normal13"/>
              <w:spacing w:after="0" w:line="240" w:lineRule="auto"/>
              <w:jc w:val="center"/>
              <w:rPr>
                <w:rFonts w:cs="Times New Roman"/>
                <w:noProof/>
              </w:rPr>
            </w:pPr>
            <w:r>
              <w:rPr>
                <w:noProof/>
              </w:rPr>
              <w:t>T</w:t>
            </w:r>
          </w:p>
        </w:tc>
        <w:tc>
          <w:tcPr>
            <w:tcW w:w="1985" w:type="dxa"/>
            <w:shd w:val="clear" w:color="auto" w:fill="C6EFCE"/>
            <w:noWrap/>
          </w:tcPr>
          <w:p w14:paraId="13CD28E4" w14:textId="77777777" w:rsidR="003E1D81" w:rsidRDefault="00EB481C">
            <w:pPr>
              <w:pStyle w:val="P68B1DB1-Normal13"/>
              <w:spacing w:after="0" w:line="240" w:lineRule="auto"/>
              <w:rPr>
                <w:rFonts w:cs="Times New Roman"/>
                <w:noProof/>
              </w:rPr>
            </w:pPr>
            <w:r>
              <w:rPr>
                <w:noProof/>
              </w:rPr>
              <w:t xml:space="preserve">Cselekvési tervek a spanyol városfejlesztési menetrend keretében </w:t>
            </w:r>
          </w:p>
        </w:tc>
        <w:tc>
          <w:tcPr>
            <w:tcW w:w="1134" w:type="dxa"/>
            <w:shd w:val="clear" w:color="auto" w:fill="C6EFCE"/>
            <w:noWrap/>
          </w:tcPr>
          <w:p w14:paraId="48D3F40D" w14:textId="77777777" w:rsidR="003E1D81" w:rsidRDefault="00EB481C">
            <w:pPr>
              <w:pStyle w:val="P68B1DB1-Normal13"/>
              <w:spacing w:after="0" w:line="240" w:lineRule="auto"/>
              <w:jc w:val="center"/>
              <w:rPr>
                <w:rFonts w:cs="Times New Roman"/>
                <w:noProof/>
              </w:rPr>
            </w:pPr>
            <w:r>
              <w:rPr>
                <w:noProof/>
              </w:rPr>
              <w:t> </w:t>
            </w:r>
          </w:p>
        </w:tc>
        <w:tc>
          <w:tcPr>
            <w:tcW w:w="850" w:type="dxa"/>
            <w:shd w:val="clear" w:color="auto" w:fill="C6EFCE"/>
            <w:noWrap/>
          </w:tcPr>
          <w:p w14:paraId="42087AF3" w14:textId="77777777" w:rsidR="003E1D81" w:rsidRDefault="00EB481C">
            <w:pPr>
              <w:pStyle w:val="P68B1DB1-Normal13"/>
              <w:spacing w:after="0" w:line="240" w:lineRule="auto"/>
              <w:jc w:val="right"/>
              <w:rPr>
                <w:rFonts w:eastAsia="MS Mincho" w:cs="Times New Roman"/>
                <w:noProof/>
              </w:rPr>
            </w:pPr>
            <w:r>
              <w:rPr>
                <w:noProof/>
              </w:rPr>
              <w:t>Szám</w:t>
            </w:r>
          </w:p>
        </w:tc>
        <w:tc>
          <w:tcPr>
            <w:tcW w:w="709" w:type="dxa"/>
            <w:shd w:val="clear" w:color="auto" w:fill="C6EFCE"/>
            <w:noWrap/>
          </w:tcPr>
          <w:p w14:paraId="53AF8648" w14:textId="77777777" w:rsidR="003E1D81" w:rsidRDefault="00EB481C">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0CCF700D" w14:textId="77777777" w:rsidR="003E1D81" w:rsidRDefault="00EB481C">
            <w:pPr>
              <w:pStyle w:val="P68B1DB1-Normal13"/>
              <w:spacing w:after="0" w:line="240" w:lineRule="auto"/>
              <w:jc w:val="right"/>
              <w:rPr>
                <w:rFonts w:eastAsia="MS Mincho" w:cs="Times New Roman"/>
                <w:noProof/>
              </w:rPr>
            </w:pPr>
            <w:r>
              <w:rPr>
                <w:noProof/>
              </w:rPr>
              <w:t>100</w:t>
            </w:r>
          </w:p>
        </w:tc>
        <w:tc>
          <w:tcPr>
            <w:tcW w:w="425" w:type="dxa"/>
            <w:shd w:val="clear" w:color="auto" w:fill="C6EFCE"/>
            <w:noWrap/>
          </w:tcPr>
          <w:p w14:paraId="68967742"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76F3685A" w14:textId="77777777" w:rsidR="003E1D81" w:rsidRDefault="00EB481C">
            <w:pPr>
              <w:pStyle w:val="P68B1DB1-Normal13"/>
              <w:spacing w:after="0" w:line="240" w:lineRule="auto"/>
              <w:jc w:val="center"/>
              <w:rPr>
                <w:rFonts w:cs="Times New Roman"/>
                <w:noProof/>
              </w:rPr>
            </w:pPr>
            <w:r>
              <w:rPr>
                <w:noProof/>
              </w:rPr>
              <w:t>2022</w:t>
            </w:r>
          </w:p>
        </w:tc>
        <w:tc>
          <w:tcPr>
            <w:tcW w:w="6379" w:type="dxa"/>
            <w:shd w:val="clear" w:color="auto" w:fill="C6EFCE"/>
            <w:noWrap/>
          </w:tcPr>
          <w:p w14:paraId="4B38E9F2" w14:textId="77777777" w:rsidR="003E1D81" w:rsidRDefault="00EB481C">
            <w:pPr>
              <w:pStyle w:val="P68B1DB1-Normal13"/>
              <w:spacing w:after="0" w:line="240" w:lineRule="auto"/>
              <w:rPr>
                <w:rFonts w:cs="Times New Roman"/>
                <w:noProof/>
              </w:rPr>
            </w:pPr>
            <w:r>
              <w:rPr>
                <w:noProof/>
              </w:rPr>
              <w:t>Legalább 100 településnek jóvá kell hagynia helyi cselekvési tervét (városi stratégiát), és rendelkeznie kell a spanyol városfejlesztési menetrendben meghatározott kritériumokkal, amely a tíz stratégiai célkitűzésnek megfelelő érté</w:t>
            </w:r>
            <w:r>
              <w:rPr>
                <w:noProof/>
              </w:rPr>
              <w:t xml:space="preserve">kelést és intézkedési irányvonalakat tartalmaz. </w:t>
            </w:r>
          </w:p>
        </w:tc>
      </w:tr>
    </w:tbl>
    <w:p w14:paraId="4BCF813A" w14:textId="77777777" w:rsidR="003E1D81" w:rsidRDefault="003E1D81">
      <w:pPr>
        <w:spacing w:before="120" w:after="120" w:line="240" w:lineRule="auto"/>
        <w:jc w:val="both"/>
        <w:rPr>
          <w:rFonts w:ascii="Times New Roman" w:hAnsi="Times New Roman" w:cs="Times New Roman"/>
          <w:noProof/>
          <w:sz w:val="24"/>
        </w:rPr>
      </w:pPr>
    </w:p>
    <w:p w14:paraId="1E57B6E2" w14:textId="77777777" w:rsidR="003E1D81" w:rsidRDefault="003E1D81">
      <w:pPr>
        <w:rPr>
          <w:rFonts w:ascii="Times New Roman" w:hAnsi="Times New Roman" w:cs="Times New Roman"/>
          <w:noProof/>
        </w:rPr>
        <w:sectPr w:rsidR="003E1D81" w:rsidSect="004F0858">
          <w:headerReference w:type="even" r:id="rId48"/>
          <w:headerReference w:type="default" r:id="rId49"/>
          <w:footerReference w:type="even" r:id="rId50"/>
          <w:footerReference w:type="default" r:id="rId51"/>
          <w:headerReference w:type="first" r:id="rId52"/>
          <w:footerReference w:type="first" r:id="rId53"/>
          <w:pgSz w:w="16839" w:h="11907" w:orient="landscape"/>
          <w:pgMar w:top="1417" w:right="1134" w:bottom="1417" w:left="1134" w:header="709" w:footer="709" w:gutter="0"/>
          <w:cols w:space="720"/>
          <w:docGrid w:linePitch="360"/>
        </w:sectPr>
      </w:pPr>
    </w:p>
    <w:p w14:paraId="650C567F" w14:textId="229E388D" w:rsidR="003E1D81" w:rsidRDefault="00EB481C">
      <w:pPr>
        <w:pStyle w:val="P68B1DB1-Normal5"/>
        <w:spacing w:before="120" w:after="120" w:line="240" w:lineRule="auto"/>
        <w:ind w:left="709"/>
        <w:jc w:val="both"/>
        <w:rPr>
          <w:rFonts w:cs="Times New Roman"/>
          <w:noProof/>
        </w:rPr>
      </w:pPr>
      <w:r>
        <w:rPr>
          <w:noProof/>
        </w:rPr>
        <w:t>B.3. A hitelhez kapcsolódó reformok és beruházások ismertetése</w:t>
      </w:r>
    </w:p>
    <w:p w14:paraId="0F6EF98C" w14:textId="44365BC5" w:rsidR="003E1D81" w:rsidRDefault="00EB481C">
      <w:pPr>
        <w:pStyle w:val="P68B1DB1-Normal6"/>
        <w:spacing w:before="120" w:after="120" w:line="240" w:lineRule="auto"/>
        <w:rPr>
          <w:rFonts w:cs="Times New Roman"/>
          <w:noProof/>
        </w:rPr>
      </w:pPr>
      <w:r>
        <w:rPr>
          <w:noProof/>
        </w:rPr>
        <w:t xml:space="preserve">Reform (C2.R7) – Intézkedési </w:t>
      </w:r>
      <w:bookmarkStart w:id="5" w:name="_Hlk140249148"/>
      <w:r>
        <w:rPr>
          <w:noProof/>
        </w:rPr>
        <w:t>program a bérlakások kínálatának előmozdítására</w:t>
      </w:r>
      <w:bookmarkEnd w:id="5"/>
    </w:p>
    <w:p w14:paraId="2F6825A9" w14:textId="302B8460" w:rsidR="003E1D81" w:rsidRDefault="00EB481C">
      <w:pPr>
        <w:pStyle w:val="P68B1DB1-Normal4"/>
        <w:spacing w:before="120" w:after="120" w:line="240" w:lineRule="auto"/>
        <w:jc w:val="both"/>
        <w:rPr>
          <w:rFonts w:cs="Times New Roman"/>
          <w:noProof/>
        </w:rPr>
      </w:pPr>
      <w:r>
        <w:rPr>
          <w:noProof/>
        </w:rPr>
        <w:t xml:space="preserve">Ezen intézkedés célja a bérlakások kínálatának növelése, különösen a szociális lakásállományban és azokban a városokban, ahol az árak nagyobb mértékben emelkedtek. </w:t>
      </w:r>
    </w:p>
    <w:p w14:paraId="4E68BFB1" w14:textId="7EEAFAEE" w:rsidR="003E1D81" w:rsidRDefault="00EB481C">
      <w:pPr>
        <w:pStyle w:val="P68B1DB1-Normal4"/>
        <w:spacing w:before="120" w:after="120" w:line="240" w:lineRule="auto"/>
        <w:rPr>
          <w:rFonts w:cs="Times New Roman"/>
          <w:noProof/>
        </w:rPr>
      </w:pPr>
      <w:r>
        <w:rPr>
          <w:noProof/>
        </w:rPr>
        <w:t xml:space="preserve">E probléma kezelése érdekében az intézkedés a következőket foglalja magában: </w:t>
      </w:r>
    </w:p>
    <w:p w14:paraId="4AED4110" w14:textId="13857EDE" w:rsidR="003E1D81" w:rsidRDefault="00EB481C">
      <w:pPr>
        <w:pStyle w:val="P68B1DB1-ListParagraph7"/>
        <w:numPr>
          <w:ilvl w:val="0"/>
          <w:numId w:val="298"/>
        </w:numPr>
        <w:spacing w:line="240" w:lineRule="auto"/>
        <w:jc w:val="both"/>
        <w:rPr>
          <w:rFonts w:cs="Times New Roman"/>
          <w:noProof/>
        </w:rPr>
      </w:pPr>
      <w:r>
        <w:rPr>
          <w:noProof/>
        </w:rPr>
        <w:t>az október 30</w:t>
      </w:r>
      <w:r>
        <w:rPr>
          <w:noProof/>
        </w:rPr>
        <w:t>-i 7/2015. sz. királyi törvényerejű rendelettel jóváhagyott föld- és városrehabilitációról szóló törvény egységes szerkezetbe foglalt szövegének módosítása, amely olyan intézkedéseket vezet be, amelyek célja az épületek rehabilitációjához és a szociális la</w:t>
      </w:r>
      <w:r>
        <w:rPr>
          <w:noProof/>
        </w:rPr>
        <w:t>khatást szolgáló épületek építéséhez kapcsolódó várostervezési eljárások felgyorsítása;</w:t>
      </w:r>
    </w:p>
    <w:p w14:paraId="5FA31788" w14:textId="302B91A7" w:rsidR="003E1D81" w:rsidRDefault="00EB481C">
      <w:pPr>
        <w:pStyle w:val="P68B1DB1-ListParagraph7"/>
        <w:numPr>
          <w:ilvl w:val="0"/>
          <w:numId w:val="298"/>
        </w:numPr>
        <w:spacing w:line="240" w:lineRule="auto"/>
        <w:jc w:val="both"/>
        <w:rPr>
          <w:rFonts w:cs="Times New Roman"/>
          <w:noProof/>
        </w:rPr>
      </w:pPr>
      <w:r>
        <w:rPr>
          <w:noProof/>
        </w:rPr>
        <w:t>ajánlásokat és bevált gyakorlatokat tartalmazó útmutató közzététele, amely referenciaként szolgál a várostervezési engedélyezési eljárások egyszerűsítéséhez és felgyors</w:t>
      </w:r>
      <w:r>
        <w:rPr>
          <w:noProof/>
        </w:rPr>
        <w:t>ításához azáltal, hogy ösztönzi i. a helyi, regionális és központi szintű közigazgatási szervek közötti tudás- és tapasztalatcserét, ii. a folyamatok rendszerezésére és optimalizálására irányuló intézkedéseket, valamint iii. kísérleti projektek jövőbeli fe</w:t>
      </w:r>
      <w:r>
        <w:rPr>
          <w:noProof/>
        </w:rPr>
        <w:t>jlesztését különböző területi kontextusokban.</w:t>
      </w:r>
    </w:p>
    <w:p w14:paraId="565F9C02" w14:textId="431104DD" w:rsidR="003E1D81" w:rsidRDefault="00EB481C">
      <w:pPr>
        <w:pStyle w:val="P68B1DB1-Normal4"/>
        <w:spacing w:before="120" w:after="120" w:line="240" w:lineRule="auto"/>
        <w:rPr>
          <w:rFonts w:cs="Times New Roman"/>
          <w:noProof/>
        </w:rPr>
      </w:pPr>
      <w:r>
        <w:rPr>
          <w:noProof/>
        </w:rPr>
        <w:t>A reform végrehajtását 2025. június 30-ig be kell fejezni.</w:t>
      </w:r>
    </w:p>
    <w:p w14:paraId="2BC9A8ED" w14:textId="7EF47603" w:rsidR="003E1D81" w:rsidRDefault="00EB481C">
      <w:pPr>
        <w:pStyle w:val="P68B1DB1-Normal6"/>
        <w:spacing w:before="120" w:after="120" w:line="240" w:lineRule="auto"/>
        <w:jc w:val="both"/>
        <w:rPr>
          <w:rFonts w:cs="Times New Roman"/>
          <w:noProof/>
        </w:rPr>
      </w:pPr>
      <w:r>
        <w:rPr>
          <w:noProof/>
        </w:rPr>
        <w:t>Beruházás (C2.I7) – ICO-hiteleszköz a szociális lakhatás előmozdítására</w:t>
      </w:r>
    </w:p>
    <w:p w14:paraId="562AF89C" w14:textId="7C8F63D7" w:rsidR="003E1D81" w:rsidRDefault="00EB481C">
      <w:pPr>
        <w:pStyle w:val="P68B1DB1-Normal4"/>
        <w:spacing w:before="120" w:after="120" w:line="240" w:lineRule="auto"/>
        <w:jc w:val="both"/>
        <w:rPr>
          <w:rFonts w:eastAsia="@MS Mincho" w:cs="Times New Roman"/>
          <w:noProof/>
        </w:rPr>
      </w:pPr>
      <w:r>
        <w:rPr>
          <w:noProof/>
        </w:rPr>
        <w:t>Ez az intézkedés egy eszközbe, az ICO szociális lakhatást előmozdító hiteleszközébe történő állami beruházásból áll, amelynek célja a magánberuházások ösztönzése, az energiahatékony szociális és megfizethető lakások építéséhez és felújításához szükséges fi</w:t>
      </w:r>
      <w:r>
        <w:rPr>
          <w:noProof/>
        </w:rPr>
        <w:t>nanszírozáshoz való hozzáférés javítása, valamint tőkepiacok kialakítása ezeken a területeken. A hitelezési eszköz közvetlenül vagy közvetítőkön keresztül hiteleket nyújt a magánszektornak, valamint a hasonló tevékenységeket folytató közszektorbeli intézmé</w:t>
      </w:r>
      <w:r>
        <w:rPr>
          <w:noProof/>
        </w:rPr>
        <w:t xml:space="preserve">nyeknek. A Helyreállítási és Rezilienciaépítési Eszköz beruházásai alapján az eszköz célja kezdetben legalább 4 000 000 000 EUR összegű finanszírozás biztosítása. </w:t>
      </w:r>
    </w:p>
    <w:p w14:paraId="229B51D7" w14:textId="456DDDED" w:rsidR="003E1D81" w:rsidRDefault="00EB481C">
      <w:pPr>
        <w:pStyle w:val="P68B1DB1-Normal4"/>
        <w:spacing w:before="120" w:after="120" w:line="240" w:lineRule="auto"/>
        <w:jc w:val="both"/>
        <w:rPr>
          <w:rFonts w:eastAsia="@MS Mincho" w:cs="Times New Roman"/>
          <w:noProof/>
        </w:rPr>
      </w:pPr>
      <w:r>
        <w:rPr>
          <w:noProof/>
        </w:rPr>
        <w:t>A Békekeretet végrehajtó partnerként az Instituto de Crédito Official (ICO) irányítja. A hit</w:t>
      </w:r>
      <w:r>
        <w:rPr>
          <w:noProof/>
        </w:rPr>
        <w:t>elezési eszköz a következő terméksorokat tartalmazza:</w:t>
      </w:r>
    </w:p>
    <w:p w14:paraId="0DF0145A" w14:textId="128F9AE1" w:rsidR="003E1D81" w:rsidRDefault="00EB481C">
      <w:pPr>
        <w:pStyle w:val="P68B1DB1-ListParagraph7"/>
        <w:numPr>
          <w:ilvl w:val="0"/>
          <w:numId w:val="298"/>
        </w:numPr>
        <w:spacing w:line="240" w:lineRule="auto"/>
        <w:jc w:val="both"/>
        <w:rPr>
          <w:rFonts w:eastAsia="@MS Mincho" w:cs="Times New Roman"/>
          <w:noProof/>
        </w:rPr>
      </w:pPr>
      <w:r>
        <w:rPr>
          <w:noProof/>
        </w:rPr>
        <w:t>Közvetlen kölcsönök energiahatékony épületek építésére. Az épületeknek a nemzeti iránymutatásokban meghatározott közel nulla energiaigényű épületenergetikai követelményeknél legalább 20%-kal alacsonyabb</w:t>
      </w:r>
      <w:r>
        <w:rPr>
          <w:noProof/>
        </w:rPr>
        <w:t xml:space="preserve"> primerenergia-fogyasztást kell elérniük.</w:t>
      </w:r>
    </w:p>
    <w:p w14:paraId="7C583A3D" w14:textId="584648C4" w:rsidR="003E1D81" w:rsidRDefault="00EB481C">
      <w:pPr>
        <w:pStyle w:val="P68B1DB1-ListParagraph7"/>
        <w:numPr>
          <w:ilvl w:val="0"/>
          <w:numId w:val="298"/>
        </w:numPr>
        <w:spacing w:line="240" w:lineRule="auto"/>
        <w:jc w:val="both"/>
        <w:rPr>
          <w:rFonts w:eastAsia="@MS Mincho" w:cs="Times New Roman"/>
          <w:noProof/>
        </w:rPr>
      </w:pPr>
      <w:r>
        <w:rPr>
          <w:noProof/>
        </w:rPr>
        <w:t xml:space="preserve">Közvetlen hitelek meglévő épületek felújítására. A felújításnak a nem megújuló primerenergia-fogyasztás legalább 30%-os csökkenését kell eredményeznie. </w:t>
      </w:r>
    </w:p>
    <w:p w14:paraId="023FCA6B" w14:textId="64269845" w:rsidR="003E1D81" w:rsidRDefault="00EB481C">
      <w:pPr>
        <w:pStyle w:val="P68B1DB1-ListParagraph7"/>
        <w:numPr>
          <w:ilvl w:val="0"/>
          <w:numId w:val="298"/>
        </w:numPr>
        <w:spacing w:line="240" w:lineRule="auto"/>
        <w:jc w:val="both"/>
        <w:rPr>
          <w:rFonts w:eastAsia="@MS Mincho" w:cs="Times New Roman"/>
          <w:noProof/>
        </w:rPr>
      </w:pPr>
      <w:r>
        <w:rPr>
          <w:noProof/>
        </w:rPr>
        <w:t>Közvetítési vonal: a közvetítői eljárás az ICO által keresked</w:t>
      </w:r>
      <w:r>
        <w:rPr>
          <w:noProof/>
        </w:rPr>
        <w:t>elmi bankoknak nyújtott hitelekből áll, amelyek viszont hitelt nyújtanak a végső kedvezményezetteknek energiahatékony épületek építésére vagy meglévő épületek felújítására.</w:t>
      </w:r>
    </w:p>
    <w:p w14:paraId="4B97937C" w14:textId="154B5C97" w:rsidR="003E1D81" w:rsidRDefault="00EB481C">
      <w:pPr>
        <w:pStyle w:val="P68B1DB1-Normal4"/>
        <w:spacing w:after="160" w:line="240" w:lineRule="auto"/>
        <w:jc w:val="both"/>
        <w:rPr>
          <w:rFonts w:cs="Times New Roman"/>
          <w:noProof/>
        </w:rPr>
      </w:pPr>
      <w:r>
        <w:rPr>
          <w:noProof/>
        </w:rPr>
        <w:t xml:space="preserve">Az épített és/vagy felújított épületeket szociális vagy megfizethető bérleti díjra </w:t>
      </w:r>
      <w:r>
        <w:rPr>
          <w:noProof/>
        </w:rPr>
        <w:t>kell használni, vagy legalább 50 évig szociális és megfizethető bérleti díjra kell átruházni. A szociális és megfizethető bérleti díj meghatározásához használt kritériumok a 853/2021. sz. királyi rendelet 6. programjában meghatározott kritériumok.</w:t>
      </w:r>
    </w:p>
    <w:p w14:paraId="3A501942" w14:textId="1C5CCB36" w:rsidR="003E1D81" w:rsidRDefault="00EB481C">
      <w:pPr>
        <w:pStyle w:val="P68B1DB1-Normal4"/>
        <w:spacing w:after="160" w:line="240" w:lineRule="auto"/>
        <w:jc w:val="both"/>
        <w:rPr>
          <w:rFonts w:cs="Times New Roman"/>
          <w:noProof/>
        </w:rPr>
      </w:pPr>
      <w:r>
        <w:rPr>
          <w:noProof/>
        </w:rPr>
        <w:t>A Békeke</w:t>
      </w:r>
      <w:r>
        <w:rPr>
          <w:noProof/>
        </w:rPr>
        <w:t>retbe történő beruházás végrehajtása érdekében Spanyolország és az ICO végrehajtási megállapodást ír alá, amely a következőket tartalmazza:</w:t>
      </w:r>
    </w:p>
    <w:p w14:paraId="7F40B6D1" w14:textId="65296399" w:rsidR="003E1D81" w:rsidRDefault="00EB481C">
      <w:pPr>
        <w:pStyle w:val="P68B1DB1-ListParagraph7"/>
        <w:numPr>
          <w:ilvl w:val="0"/>
          <w:numId w:val="747"/>
        </w:numPr>
        <w:rPr>
          <w:rFonts w:eastAsia="Times New Roman" w:cs="Times New Roman"/>
          <w:noProof/>
        </w:rPr>
      </w:pPr>
      <w:r>
        <w:rPr>
          <w:noProof/>
        </w:rPr>
        <w:t>Az eszköz döntéshozatali folyamatának leírása:  A beruházási keret végleges beruházási határozatát beruházási bizott</w:t>
      </w:r>
      <w:r>
        <w:rPr>
          <w:noProof/>
        </w:rPr>
        <w:t>ság vagy más, ezzel egyenértékű irányító testület hozza meg, és azt a spanyol kormánytól független tagok szavazatainak többségével kell jóváhagyni. Közvetített befektetések esetében a végső befektetési döntést a közvetítők hozzák meg.</w:t>
      </w:r>
    </w:p>
    <w:p w14:paraId="79E54BA4" w14:textId="77777777" w:rsidR="003E1D81" w:rsidRDefault="003E1D81">
      <w:pPr>
        <w:pStyle w:val="ListParagraph"/>
        <w:rPr>
          <w:noProof/>
        </w:rPr>
      </w:pPr>
    </w:p>
    <w:p w14:paraId="2FD39D5B" w14:textId="7FDECDB4" w:rsidR="003E1D81" w:rsidRDefault="00EB481C">
      <w:pPr>
        <w:pStyle w:val="P68B1DB1-ListParagraph7"/>
        <w:spacing w:after="0"/>
        <w:jc w:val="both"/>
        <w:rPr>
          <w:rFonts w:eastAsia="Times New Roman" w:cs="Times New Roman"/>
          <w:noProof/>
        </w:rPr>
      </w:pPr>
      <w:r>
        <w:rPr>
          <w:noProof/>
        </w:rPr>
        <w:t>2. A kapcsolódó befe</w:t>
      </w:r>
      <w:r>
        <w:rPr>
          <w:noProof/>
        </w:rPr>
        <w:t xml:space="preserve">ktetési politika fő követelményei, amelyek a következőket foglalják magukban: </w:t>
      </w:r>
    </w:p>
    <w:p w14:paraId="1C4DA3C2" w14:textId="7080EDBE" w:rsidR="003E1D81" w:rsidRDefault="00EB481C">
      <w:pPr>
        <w:pStyle w:val="P68B1DB1-LegalNumPar317"/>
        <w:numPr>
          <w:ilvl w:val="2"/>
          <w:numId w:val="0"/>
        </w:numPr>
        <w:spacing w:after="0"/>
        <w:ind w:left="720"/>
        <w:rPr>
          <w:rFonts w:eastAsia="Times New Roman" w:cs="Times New Roman"/>
          <w:noProof/>
        </w:rPr>
      </w:pPr>
      <w:r>
        <w:rPr>
          <w:noProof/>
        </w:rPr>
        <w:t>a. A pénzügyi termékek és a támogatható végső kedvezményezettek leírása az intézkedés leírásával összhangban.</w:t>
      </w:r>
    </w:p>
    <w:p w14:paraId="2D0BC6C2" w14:textId="21866C87" w:rsidR="003E1D81" w:rsidRDefault="00EB481C">
      <w:pPr>
        <w:pStyle w:val="P68B1DB1-ListParagraph7"/>
        <w:spacing w:after="0"/>
        <w:jc w:val="both"/>
        <w:rPr>
          <w:rFonts w:eastAsia="Times New Roman" w:cs="Times New Roman"/>
          <w:noProof/>
        </w:rPr>
      </w:pPr>
      <w:r>
        <w:rPr>
          <w:noProof/>
        </w:rPr>
        <w:t xml:space="preserve">b. Az a követelmény, hogy minden támogatott beruházás gazdaságilag </w:t>
      </w:r>
      <w:r>
        <w:rPr>
          <w:noProof/>
        </w:rPr>
        <w:t xml:space="preserve">életképes legyen. </w:t>
      </w:r>
    </w:p>
    <w:p w14:paraId="156B3B26" w14:textId="3CFE2D84" w:rsidR="003E1D81" w:rsidRDefault="00EB481C">
      <w:pPr>
        <w:pStyle w:val="P68B1DB1-ListParagraph7"/>
        <w:spacing w:after="0"/>
        <w:jc w:val="both"/>
        <w:rPr>
          <w:rFonts w:eastAsia="Times New Roman" w:cs="Times New Roman"/>
          <w:noProof/>
        </w:rPr>
      </w:pPr>
      <w:r>
        <w:rPr>
          <w:noProof/>
        </w:rPr>
        <w:t>C. A fennálló hitel refinanszírozásának tilalma.</w:t>
      </w:r>
    </w:p>
    <w:p w14:paraId="57AA2BC1" w14:textId="7E24FCD0" w:rsidR="003E1D81" w:rsidRDefault="00EB481C">
      <w:pPr>
        <w:pStyle w:val="P68B1DB1-ListParagraph7"/>
        <w:spacing w:after="0"/>
        <w:jc w:val="both"/>
        <w:rPr>
          <w:rFonts w:eastAsia="Times New Roman" w:cs="Times New Roman"/>
          <w:noProof/>
        </w:rPr>
      </w:pPr>
      <w:r>
        <w:rPr>
          <w:noProof/>
        </w:rPr>
        <w:t>d. A jelentős károkozás elkerülését célzó elvnek való megfelelés követelménye a DNSH technikai iránymutatásban (2021/C58/01) meghatározottak szerint, különösen:</w:t>
      </w:r>
    </w:p>
    <w:p w14:paraId="31ADAA96" w14:textId="7FC32407" w:rsidR="003E1D81" w:rsidRDefault="00EB481C">
      <w:pPr>
        <w:pStyle w:val="ListParagraph"/>
        <w:numPr>
          <w:ilvl w:val="0"/>
          <w:numId w:val="748"/>
        </w:numPr>
        <w:spacing w:after="0"/>
        <w:jc w:val="both"/>
        <w:rPr>
          <w:rFonts w:ascii="Times New Roman" w:hAnsi="Times New Roman" w:cs="Times New Roman"/>
          <w:noProof/>
          <w:u w:val="single"/>
        </w:rPr>
      </w:pPr>
      <w:r>
        <w:rPr>
          <w:rFonts w:ascii="Times New Roman" w:hAnsi="Times New Roman"/>
          <w:noProof/>
          <w:sz w:val="24"/>
        </w:rPr>
        <w:t>Kölcsönök esetében: a befek</w:t>
      </w:r>
      <w:r>
        <w:rPr>
          <w:rFonts w:ascii="Times New Roman" w:hAnsi="Times New Roman"/>
          <w:noProof/>
          <w:sz w:val="24"/>
        </w:rPr>
        <w:t>tetési politika kizárja a tevékenységek és eszközök alábbi listáját a támogathatóság köréből: i. a fosszilis tüzelőanyagokhoz kapcsolódó tevékenységek és eszközök, beleértve a továbbfelhasználást is, ii. az uniós kibocsátáskereskedelmi rendszer (ETS) keret</w:t>
      </w:r>
      <w:r>
        <w:rPr>
          <w:rFonts w:ascii="Times New Roman" w:hAnsi="Times New Roman"/>
          <w:noProof/>
          <w:sz w:val="24"/>
        </w:rPr>
        <w:t>ében</w:t>
      </w:r>
      <w:r>
        <w:rPr>
          <w:rStyle w:val="FootnoteReference"/>
          <w:rFonts w:ascii="Times New Roman" w:eastAsia="Times New Roman" w:hAnsi="Times New Roman" w:cs="Times New Roman"/>
          <w:noProof/>
          <w:sz w:val="24"/>
        </w:rPr>
        <w:footnoteReference w:id="6"/>
      </w:r>
      <w:r>
        <w:rPr>
          <w:rFonts w:ascii="Times New Roman" w:hAnsi="Times New Roman"/>
          <w:noProof/>
          <w:sz w:val="24"/>
        </w:rPr>
        <w:t>végzett tevékenységek és eszközök, amelyek a vonatkozó referenciaértékeknél nem alacsonyabb várható üvegházhatásúgáz-kibocsátást érnek el; iii. hulladéklerakókkal, hulladékégetőkkel és mechanikai-biológiai szennyvíztisztító telepekkel kapcsolatos</w:t>
      </w:r>
      <w:r>
        <w:rPr>
          <w:rStyle w:val="FootnoteReference"/>
          <w:rFonts w:ascii="Times New Roman" w:eastAsia="Times New Roman" w:hAnsi="Times New Roman" w:cs="Times New Roman"/>
          <w:noProof/>
          <w:sz w:val="24"/>
        </w:rPr>
        <w:footnoteReference w:id="7"/>
      </w:r>
      <w:r>
        <w:rPr>
          <w:rFonts w:ascii="Times New Roman" w:hAnsi="Times New Roman"/>
          <w:noProof/>
          <w:sz w:val="24"/>
        </w:rPr>
        <w:t>tevé</w:t>
      </w:r>
      <w:r>
        <w:rPr>
          <w:rFonts w:ascii="Times New Roman" w:hAnsi="Times New Roman"/>
          <w:noProof/>
          <w:sz w:val="24"/>
        </w:rPr>
        <w:t>kenységek</w:t>
      </w:r>
      <w:r>
        <w:rPr>
          <w:rStyle w:val="FootnoteReference"/>
          <w:rFonts w:ascii="Times New Roman" w:eastAsia="Times New Roman" w:hAnsi="Times New Roman" w:cs="Times New Roman"/>
          <w:noProof/>
          <w:sz w:val="24"/>
        </w:rPr>
        <w:footnoteReference w:id="8"/>
      </w:r>
      <w:r>
        <w:rPr>
          <w:rFonts w:ascii="Times New Roman" w:hAnsi="Times New Roman"/>
          <w:noProof/>
          <w:sz w:val="24"/>
        </w:rPr>
        <w:t xml:space="preserve"> és eszközök</w:t>
      </w:r>
      <w:r>
        <w:rPr>
          <w:rStyle w:val="FootnoteReference"/>
          <w:rFonts w:ascii="Times New Roman" w:eastAsia="Times New Roman" w:hAnsi="Times New Roman" w:cs="Times New Roman"/>
          <w:noProof/>
          <w:sz w:val="24"/>
        </w:rPr>
        <w:footnoteReference w:id="9"/>
      </w:r>
      <w:r>
        <w:rPr>
          <w:rFonts w:ascii="Times New Roman" w:hAnsi="Times New Roman"/>
          <w:noProof/>
          <w:sz w:val="24"/>
        </w:rPr>
        <w:t xml:space="preserve">.  </w:t>
      </w:r>
    </w:p>
    <w:p w14:paraId="54346E24" w14:textId="2D8D7C89" w:rsidR="003E1D81" w:rsidRDefault="00EB481C">
      <w:pPr>
        <w:pStyle w:val="P68B1DB1-ListParagraph7"/>
        <w:numPr>
          <w:ilvl w:val="0"/>
          <w:numId w:val="748"/>
        </w:numPr>
        <w:spacing w:after="0"/>
        <w:jc w:val="both"/>
        <w:rPr>
          <w:rFonts w:eastAsia="Times New Roman" w:cs="Times New Roman"/>
          <w:noProof/>
          <w:u w:val="single"/>
        </w:rPr>
      </w:pPr>
      <w:r>
        <w:rPr>
          <w:noProof/>
        </w:rPr>
        <w:t>A beruházási politikának elő kell írnia, hogy a Békekeret végső kedvezményezettjei megfeleljenek a vonatkozó uniós és nemzeti környezetvédelmi jogszabályoknak.</w:t>
      </w:r>
    </w:p>
    <w:p w14:paraId="20CEDAAC" w14:textId="30B4C3EE" w:rsidR="003E1D81" w:rsidRDefault="00EB481C">
      <w:pPr>
        <w:pStyle w:val="P68B1DB1-Normal4"/>
        <w:spacing w:after="0"/>
        <w:ind w:left="720"/>
        <w:jc w:val="both"/>
        <w:rPr>
          <w:rFonts w:eastAsia="Times New Roman" w:cs="Times New Roman"/>
          <w:noProof/>
        </w:rPr>
      </w:pPr>
      <w:r>
        <w:rPr>
          <w:noProof/>
        </w:rPr>
        <w:t>e. Az a követelmény, hogy a hitelezési eszköz végső kedvezményezettje</w:t>
      </w:r>
      <w:r>
        <w:rPr>
          <w:noProof/>
        </w:rPr>
        <w:t xml:space="preserve">i nem részesülhetnek támogatásban más uniós eszközökből ugyanazon költségek fedezésére. </w:t>
      </w:r>
    </w:p>
    <w:p w14:paraId="579A0112" w14:textId="30B4C3EE" w:rsidR="003E1D81" w:rsidRDefault="003E1D81">
      <w:pPr>
        <w:spacing w:after="0"/>
        <w:jc w:val="both"/>
        <w:rPr>
          <w:rFonts w:ascii="Times New Roman" w:eastAsia="Times New Roman" w:hAnsi="Times New Roman" w:cs="Times New Roman"/>
          <w:noProof/>
          <w:sz w:val="24"/>
        </w:rPr>
      </w:pPr>
    </w:p>
    <w:p w14:paraId="06A75224" w14:textId="26559678" w:rsidR="003E1D81" w:rsidRDefault="00EB481C">
      <w:pPr>
        <w:pStyle w:val="P68B1DB1-Normal4"/>
        <w:spacing w:after="0"/>
        <w:jc w:val="both"/>
        <w:rPr>
          <w:rFonts w:eastAsia="Times New Roman" w:cs="Times New Roman"/>
          <w:noProof/>
        </w:rPr>
      </w:pPr>
      <w:r>
        <w:rPr>
          <w:noProof/>
        </w:rPr>
        <w:t>3. A végrehajtási megállapodás hatálya alá tartozó összeg, a végrehajtó partner szabad struktúrája, valamint a visszaáramlások újbóli befektetésére vonatkozó követelm</w:t>
      </w:r>
      <w:r>
        <w:rPr>
          <w:noProof/>
        </w:rPr>
        <w:t>ény az eszköz beruházási politikájának megfelelően, kivéve, ha azokat a Helyreállítási és Rezilienciaépítési Eszköz hiteltörlesztésének teljesítésére használják fel.</w:t>
      </w:r>
    </w:p>
    <w:p w14:paraId="76EA64F4" w14:textId="77777777" w:rsidR="003E1D81" w:rsidRDefault="003E1D81">
      <w:pPr>
        <w:spacing w:after="0"/>
        <w:jc w:val="both"/>
        <w:rPr>
          <w:rFonts w:ascii="Times New Roman" w:eastAsia="Times New Roman" w:hAnsi="Times New Roman" w:cs="Times New Roman"/>
          <w:noProof/>
          <w:sz w:val="24"/>
        </w:rPr>
      </w:pPr>
    </w:p>
    <w:p w14:paraId="7D35602F" w14:textId="3C7A35C3" w:rsidR="003E1D81" w:rsidRDefault="00EB481C">
      <w:pPr>
        <w:pStyle w:val="P68B1DB1-Normal4"/>
        <w:spacing w:after="0"/>
        <w:jc w:val="both"/>
        <w:rPr>
          <w:rFonts w:eastAsia="Times New Roman" w:cs="Times New Roman"/>
          <w:noProof/>
        </w:rPr>
      </w:pPr>
      <w:r>
        <w:rPr>
          <w:noProof/>
        </w:rPr>
        <w:t xml:space="preserve">4. Nyomonkövetési, audit- és kontrollkövetelmények, beleértve a következőket:  </w:t>
      </w:r>
    </w:p>
    <w:p w14:paraId="48BEE247" w14:textId="728E63C1" w:rsidR="003E1D81" w:rsidRDefault="00EB481C">
      <w:pPr>
        <w:pStyle w:val="P68B1DB1-ListParagraph7"/>
        <w:numPr>
          <w:ilvl w:val="0"/>
          <w:numId w:val="274"/>
        </w:numPr>
        <w:rPr>
          <w:rFonts w:eastAsia="Times New Roman" w:cs="Times New Roman"/>
          <w:noProof/>
        </w:rPr>
      </w:pPr>
      <w:r>
        <w:rPr>
          <w:noProof/>
        </w:rPr>
        <w:t>A végreha</w:t>
      </w:r>
      <w:r>
        <w:rPr>
          <w:noProof/>
        </w:rPr>
        <w:t>jtó partner által a mozgósított beruházásról való jelentéstételre szolgáló nyomonkövetési rendszer leírása.</w:t>
      </w:r>
    </w:p>
    <w:p w14:paraId="76AE288A" w14:textId="775E3552" w:rsidR="003E1D81" w:rsidRDefault="00EB481C">
      <w:pPr>
        <w:pStyle w:val="P68B1DB1-ListParagraph7"/>
        <w:numPr>
          <w:ilvl w:val="0"/>
          <w:numId w:val="274"/>
        </w:numPr>
        <w:rPr>
          <w:rFonts w:eastAsia="Times New Roman" w:cs="Times New Roman"/>
          <w:noProof/>
        </w:rPr>
      </w:pPr>
      <w:r>
        <w:rPr>
          <w:noProof/>
        </w:rPr>
        <w:t>A végrehajtó partner azon eljárásainak leírása, amelyek biztosítják a csalás, a korrupció és az összeférhetetlenség megelőzését, feltárását és korre</w:t>
      </w:r>
      <w:r>
        <w:rPr>
          <w:noProof/>
        </w:rPr>
        <w:t>kcióját.</w:t>
      </w:r>
    </w:p>
    <w:p w14:paraId="2A4FD3CA" w14:textId="0456EF33" w:rsidR="003E1D81" w:rsidRDefault="00EB481C">
      <w:pPr>
        <w:pStyle w:val="P68B1DB1-ListParagraph7"/>
        <w:numPr>
          <w:ilvl w:val="0"/>
          <w:numId w:val="274"/>
        </w:numPr>
        <w:rPr>
          <w:rFonts w:eastAsia="Times New Roman" w:cs="Times New Roman"/>
          <w:noProof/>
        </w:rPr>
      </w:pPr>
      <w:r>
        <w:rPr>
          <w:noProof/>
        </w:rPr>
        <w:t xml:space="preserve">Az egyes műveletek támogathatóságának a végrehajtási megállapodásban és a Helyreállítási és Rezilienciaépítési Eszközben meghatározott követelményekkel összhangban történő ellenőrzésére vonatkozó kötelezettség, mielőtt kötelezettséget vállalnának </w:t>
      </w:r>
      <w:r>
        <w:rPr>
          <w:noProof/>
        </w:rPr>
        <w:t>egy művelet finanszírozására.</w:t>
      </w:r>
    </w:p>
    <w:p w14:paraId="00ECEF68" w14:textId="00EDD802" w:rsidR="003E1D81" w:rsidRDefault="00EB481C">
      <w:pPr>
        <w:pStyle w:val="P68B1DB1-ListParagraph7"/>
        <w:numPr>
          <w:ilvl w:val="0"/>
          <w:numId w:val="274"/>
        </w:numPr>
        <w:rPr>
          <w:rFonts w:eastAsia="Times New Roman" w:cs="Times New Roman"/>
          <w:noProof/>
        </w:rPr>
      </w:pPr>
      <w:r>
        <w:rPr>
          <w:noProof/>
        </w:rPr>
        <w:t>A kockázatalapú utólagos ellenőrzéseknek az ICO ellenőrzési tervével összhangban történő elvégzésére vonatkozó kötelezettség. Ezek az ellenőrzések azt vizsgálják, hogy i. a kontrollrendszerek hatékonyak-e, beleértve a csalás, a korrupció és az összeférhete</w:t>
      </w:r>
      <w:r>
        <w:rPr>
          <w:noProof/>
        </w:rPr>
        <w:t>tlenség feltárását; a DNSH-elvnek, az állami támogatási szabályoknak és az éghajlat-politikai célkitűzésekre vonatkozó követelményeknek való megfelelés; és iii. tiszteletben tartják azt a követelményt, hogy a közvetítőnek ellenőriznie kell, hogy ugyanazt a</w:t>
      </w:r>
      <w:r>
        <w:rPr>
          <w:noProof/>
        </w:rPr>
        <w:t xml:space="preserve"> költséget egy másik uniós eszköz fedezi-e. Az auditok során ellenőrizni kell az ügyletek jogszerűségét, valamint azt is, hogy az alkalmazandó végrehajtási és finanszírozási megállapodások feltételeit betartják-e. </w:t>
      </w:r>
    </w:p>
    <w:p w14:paraId="56B8AD55" w14:textId="48B85017" w:rsidR="003E1D81" w:rsidRDefault="00EB481C">
      <w:pPr>
        <w:spacing w:after="0"/>
        <w:jc w:val="both"/>
        <w:rPr>
          <w:rFonts w:ascii="Times New Roman" w:eastAsia="Times New Roman" w:hAnsi="Times New Roman" w:cs="Times New Roman"/>
          <w:noProof/>
          <w:sz w:val="24"/>
        </w:rPr>
      </w:pPr>
      <w:r>
        <w:rPr>
          <w:rFonts w:ascii="Times New Roman" w:hAnsi="Times New Roman"/>
          <w:noProof/>
          <w:sz w:val="24"/>
        </w:rPr>
        <w:t>5. A végrehajtó partner által végrehajtot</w:t>
      </w:r>
      <w:r>
        <w:rPr>
          <w:rFonts w:ascii="Times New Roman" w:hAnsi="Times New Roman"/>
          <w:noProof/>
          <w:sz w:val="24"/>
        </w:rPr>
        <w:t>t éghajlat-politikai beruházásokra vonatkozó követelmények: az eszközbe irányuló Helyreállítási és Rezilienciaépítési Eszközből legalább 2 122 000 000 EUR összegű beruházásnak hozzá kell járulnia az éghajlat-politikai célkitűzésekhez a Helyreállítási és Re</w:t>
      </w:r>
      <w:r>
        <w:rPr>
          <w:rFonts w:ascii="Times New Roman" w:hAnsi="Times New Roman"/>
          <w:noProof/>
          <w:sz w:val="24"/>
        </w:rPr>
        <w:t>zilienciaépítési Eszközről szóló rendelet VI. mellékletével összhangban.</w:t>
      </w:r>
      <w:r>
        <w:rPr>
          <w:rStyle w:val="FootnoteReference"/>
          <w:rFonts w:ascii="Times New Roman" w:hAnsi="Times New Roman" w:cs="Times New Roman"/>
          <w:noProof/>
        </w:rPr>
        <w:footnoteReference w:id="10"/>
      </w:r>
    </w:p>
    <w:p w14:paraId="32CF5D78" w14:textId="20363EB8" w:rsidR="003E1D81" w:rsidRDefault="003E1D81">
      <w:pPr>
        <w:spacing w:after="0"/>
        <w:jc w:val="both"/>
        <w:rPr>
          <w:rFonts w:ascii="Times New Roman" w:eastAsia="Times New Roman" w:hAnsi="Times New Roman" w:cs="Times New Roman"/>
          <w:noProof/>
          <w:sz w:val="24"/>
        </w:rPr>
      </w:pPr>
    </w:p>
    <w:p w14:paraId="5C10D3A9" w14:textId="3805F0B7" w:rsidR="003E1D81" w:rsidRDefault="00EB481C">
      <w:pPr>
        <w:pStyle w:val="P68B1DB1-Normal4"/>
        <w:spacing w:after="0"/>
        <w:jc w:val="both"/>
        <w:rPr>
          <w:rFonts w:eastAsia="Times New Roman" w:cs="Times New Roman"/>
          <w:noProof/>
        </w:rPr>
      </w:pPr>
      <w:r>
        <w:rPr>
          <w:noProof/>
        </w:rPr>
        <w:t>6. A pénzügyi közvetítők kiválasztására vonatkozó követelmények: Az ICO nyílt, átlátható és megkülönböztetésmentes módon választja ki a pénzügyi közvetítőket. A pénzügyi közvetítőke</w:t>
      </w:r>
      <w:r>
        <w:rPr>
          <w:noProof/>
        </w:rPr>
        <w:t>t érintő összeférhetetlenség hiányát előzetesen ellenőrizni kell, és minden érintett pénzügyi szereplő esetében olyan informatikai rendszeren keresztül kell elvégezni, mint a Minerva.</w:t>
      </w:r>
    </w:p>
    <w:p w14:paraId="7C59C747" w14:textId="77777777" w:rsidR="003E1D81" w:rsidRDefault="003E1D81">
      <w:pPr>
        <w:spacing w:after="0"/>
        <w:jc w:val="both"/>
        <w:rPr>
          <w:rFonts w:ascii="Times New Roman" w:eastAsia="Times New Roman" w:hAnsi="Times New Roman" w:cs="Times New Roman"/>
          <w:noProof/>
          <w:sz w:val="24"/>
        </w:rPr>
      </w:pPr>
    </w:p>
    <w:p w14:paraId="504ECEFE" w14:textId="5DF50B40" w:rsidR="003E1D81" w:rsidRDefault="00EB481C">
      <w:pPr>
        <w:pStyle w:val="P68B1DB1-Normal4"/>
        <w:spacing w:after="0"/>
        <w:jc w:val="both"/>
        <w:rPr>
          <w:rFonts w:eastAsia="Times New Roman" w:cs="Times New Roman"/>
          <w:noProof/>
          <w:u w:val="single"/>
        </w:rPr>
      </w:pPr>
      <w:r>
        <w:rPr>
          <w:noProof/>
        </w:rPr>
        <w:t>7. Finanszírozási megállapodások aláírásának kötelezettsége: Az ICO finanszírozási megállapodásokat ír alá a pénzügyi közvetítőkkel a végrehajtási megállapodás mellékleteként benyújtandó kulcsfontosságú követelményeknek megfelelően. A finanszírozási megáll</w:t>
      </w:r>
      <w:r>
        <w:rPr>
          <w:noProof/>
        </w:rPr>
        <w:t>apodás fő követelményei magukban foglalják mindazokat a követelményeket, amelyek alapján az Alap működik, beleértve a következőket:</w:t>
      </w:r>
    </w:p>
    <w:p w14:paraId="51E71FEA" w14:textId="704B31FC" w:rsidR="003E1D81" w:rsidRDefault="00EB481C">
      <w:pPr>
        <w:pStyle w:val="P68B1DB1-ListParagraph7"/>
        <w:numPr>
          <w:ilvl w:val="0"/>
          <w:numId w:val="274"/>
        </w:numPr>
        <w:rPr>
          <w:rFonts w:eastAsia="Times New Roman" w:cs="Times New Roman"/>
          <w:noProof/>
        </w:rPr>
      </w:pPr>
      <w:r>
        <w:rPr>
          <w:noProof/>
        </w:rPr>
        <w:t>A pénzügyi közvetítő azon kötelezettsége, hogy döntéseit értelemszerűen a fent meghatározott döntéshozatali és befektetési p</w:t>
      </w:r>
      <w:r>
        <w:rPr>
          <w:noProof/>
        </w:rPr>
        <w:t>olitikai követelményeknek megfelelően hozza meg, beleértve a DNSH-elv tiszteletben tartásával kapcsolatosakat is.</w:t>
      </w:r>
    </w:p>
    <w:p w14:paraId="63E2C596" w14:textId="6A7B121C" w:rsidR="003E1D81" w:rsidRDefault="00EB481C">
      <w:pPr>
        <w:pStyle w:val="P68B1DB1-ListParagraph7"/>
        <w:numPr>
          <w:ilvl w:val="0"/>
          <w:numId w:val="274"/>
        </w:numPr>
        <w:rPr>
          <w:rFonts w:eastAsia="Times New Roman" w:cs="Times New Roman"/>
          <w:noProof/>
        </w:rPr>
      </w:pPr>
      <w:r>
        <w:rPr>
          <w:noProof/>
        </w:rPr>
        <w:t>A pénzügyi közvetítő által létrehozandó monitoring-, audit- és kontrollkeret leírása, amelyre értelemszerűen a fent meghatározott valamennyi n</w:t>
      </w:r>
      <w:r>
        <w:rPr>
          <w:noProof/>
        </w:rPr>
        <w:t xml:space="preserve">yomonkövetési, ellenőrzési és kontrollkövetelmény vonatkozik. </w:t>
      </w:r>
    </w:p>
    <w:p w14:paraId="3B66219C" w14:textId="0894DEC9" w:rsidR="003E1D81" w:rsidRDefault="00EB481C">
      <w:pPr>
        <w:pStyle w:val="P68B1DB1-Normal4"/>
        <w:spacing w:after="160" w:line="240" w:lineRule="auto"/>
        <w:jc w:val="both"/>
        <w:rPr>
          <w:rFonts w:cs="Times New Roman"/>
          <w:noProof/>
        </w:rPr>
      </w:pPr>
      <w:r>
        <w:rPr>
          <w:noProof/>
        </w:rPr>
        <w:t>Az intézkedés végrehajtását 2026. augusztus 31-ig be kell fejezni.</w:t>
      </w:r>
    </w:p>
    <w:p w14:paraId="7A01FDB1" w14:textId="07141A96" w:rsidR="003E1D81" w:rsidRDefault="00EB481C">
      <w:pPr>
        <w:pStyle w:val="P68B1DB1-Normal5"/>
        <w:spacing w:before="120" w:after="160" w:line="240" w:lineRule="auto"/>
        <w:ind w:left="720"/>
        <w:jc w:val="both"/>
        <w:rPr>
          <w:rFonts w:cs="Times New Roman"/>
          <w:noProof/>
        </w:rPr>
      </w:pPr>
      <w:r>
        <w:rPr>
          <w:noProof/>
        </w:rPr>
        <w:t>B.4. A hiteltámogatás nyomon követésének és végrehajtásának mérföldkövei, céljai, mutatói és ütemterve</w:t>
      </w:r>
    </w:p>
    <w:p w14:paraId="0078074C" w14:textId="77777777" w:rsidR="003E1D81" w:rsidRDefault="00EB481C">
      <w:pPr>
        <w:pStyle w:val="P68B1DB1-Normal18"/>
        <w:spacing w:before="120" w:after="120" w:line="240" w:lineRule="auto"/>
        <w:jc w:val="both"/>
        <w:rPr>
          <w:rFonts w:cs="Times New Roman"/>
          <w:noProof/>
        </w:rPr>
        <w:sectPr w:rsidR="003E1D81" w:rsidSect="00B90E2C">
          <w:headerReference w:type="even" r:id="rId54"/>
          <w:headerReference w:type="default" r:id="rId55"/>
          <w:footerReference w:type="even" r:id="rId56"/>
          <w:footerReference w:type="default" r:id="rId57"/>
          <w:headerReference w:type="first" r:id="rId58"/>
          <w:footerReference w:type="first" r:id="rId59"/>
          <w:pgSz w:w="11907" w:h="16839"/>
          <w:pgMar w:top="1134" w:right="1417" w:bottom="1134" w:left="1417" w:header="709" w:footer="709" w:gutter="0"/>
          <w:cols w:space="720"/>
          <w:docGrid w:linePitch="360"/>
        </w:sectPr>
      </w:pPr>
      <w:r>
        <w:rPr>
          <w:noProof/>
        </w:rPr>
        <w:t xml:space="preserve">Táblázat alább. Az alapforgatókönyv valamennyi mutató esetében 2020. február 1-je, kivéve, ha az intézkedés leírása másként jelzi. </w:t>
      </w:r>
    </w:p>
    <w:p w14:paraId="734892DB" w14:textId="4694793E" w:rsidR="003E1D81" w:rsidRDefault="003E1D81">
      <w:pPr>
        <w:spacing w:before="120" w:after="120" w:line="240" w:lineRule="auto"/>
        <w:jc w:val="both"/>
        <w:rPr>
          <w:rFonts w:ascii="Times New Roman" w:hAnsi="Times New Roman" w:cs="Times New Roman"/>
          <w:i/>
          <w:noProof/>
          <w:sz w:val="24"/>
        </w:rPr>
        <w:sectPr w:rsidR="003E1D81" w:rsidSect="00865B1F">
          <w:headerReference w:type="even" r:id="rId60"/>
          <w:headerReference w:type="default" r:id="rId61"/>
          <w:footerReference w:type="even" r:id="rId62"/>
          <w:footerReference w:type="default" r:id="rId63"/>
          <w:headerReference w:type="first" r:id="rId64"/>
          <w:footerReference w:type="first" r:id="rId65"/>
          <w:type w:val="continuous"/>
          <w:pgSz w:w="11907" w:h="16839"/>
          <w:pgMar w:top="1134" w:right="1417" w:bottom="1134" w:left="1417" w:header="709" w:footer="709" w:gutter="0"/>
          <w:cols w:space="720"/>
          <w:docGrid w:linePitch="360"/>
        </w:sectPr>
      </w:pPr>
    </w:p>
    <w:p w14:paraId="48C9FD97" w14:textId="17BC93ED" w:rsidR="003E1D81" w:rsidRDefault="003E1D81">
      <w:pPr>
        <w:rPr>
          <w:rFonts w:ascii="Times New Roman" w:hAnsi="Times New Roman" w:cs="Times New Roman"/>
          <w:noProof/>
          <w:sz w:val="24"/>
        </w:rPr>
        <w:sectPr w:rsidR="003E1D81" w:rsidSect="00865B1F">
          <w:headerReference w:type="even" r:id="rId66"/>
          <w:headerReference w:type="default" r:id="rId67"/>
          <w:footerReference w:type="even" r:id="rId68"/>
          <w:footerReference w:type="default" r:id="rId69"/>
          <w:headerReference w:type="first" r:id="rId70"/>
          <w:footerReference w:type="first" r:id="rId71"/>
          <w:type w:val="continuous"/>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275"/>
        <w:gridCol w:w="851"/>
        <w:gridCol w:w="567"/>
        <w:gridCol w:w="615"/>
        <w:gridCol w:w="377"/>
        <w:gridCol w:w="567"/>
        <w:gridCol w:w="7088"/>
      </w:tblGrid>
      <w:tr w:rsidR="003E1D81" w14:paraId="53E9F9D5" w14:textId="77777777">
        <w:trPr>
          <w:trHeight w:val="309"/>
          <w:tblHeader/>
        </w:trPr>
        <w:tc>
          <w:tcPr>
            <w:tcW w:w="709" w:type="dxa"/>
            <w:tcBorders>
              <w:bottom w:val="nil"/>
            </w:tcBorders>
            <w:shd w:val="clear" w:color="auto" w:fill="C6D9F1" w:themeFill="text2" w:themeFillTint="33"/>
            <w:noWrap/>
            <w:vAlign w:val="center"/>
          </w:tcPr>
          <w:p w14:paraId="7D2F5074" w14:textId="19B273CC"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1B2E6169" w14:textId="19B273CC"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5D5BC8F1" w14:textId="19B273CC" w:rsidR="003E1D81" w:rsidRDefault="00EB481C">
            <w:pPr>
              <w:pStyle w:val="P68B1DB1-Normal8"/>
              <w:spacing w:after="0" w:line="240" w:lineRule="auto"/>
              <w:jc w:val="center"/>
              <w:rPr>
                <w:rFonts w:cs="Times New Roman"/>
                <w:b/>
                <w:noProof/>
                <w:sz w:val="18"/>
              </w:rPr>
            </w:pPr>
            <w:r>
              <w:rPr>
                <w:b/>
                <w:noProof/>
                <w:sz w:val="18"/>
              </w:rPr>
              <w:t>Mérföldkő</w:t>
            </w:r>
            <w:r>
              <w:rPr>
                <w:noProof/>
              </w:rPr>
              <w:br/>
            </w:r>
            <w:r>
              <w:rPr>
                <w:b/>
                <w:noProof/>
                <w:sz w:val="18"/>
              </w:rPr>
              <w:t xml:space="preserve"> /Cél</w:t>
            </w:r>
          </w:p>
        </w:tc>
        <w:tc>
          <w:tcPr>
            <w:tcW w:w="1560" w:type="dxa"/>
            <w:tcBorders>
              <w:bottom w:val="nil"/>
            </w:tcBorders>
            <w:shd w:val="clear" w:color="auto" w:fill="C6D9F1" w:themeFill="text2" w:themeFillTint="33"/>
            <w:noWrap/>
            <w:vAlign w:val="center"/>
          </w:tcPr>
          <w:p w14:paraId="2538B08D" w14:textId="19B273CC" w:rsidR="003E1D81" w:rsidRDefault="00EB481C">
            <w:pPr>
              <w:pStyle w:val="P68B1DB1-Normal12"/>
              <w:spacing w:after="0" w:line="240" w:lineRule="auto"/>
              <w:jc w:val="center"/>
              <w:rPr>
                <w:rFonts w:cs="Times New Roman"/>
                <w:noProof/>
              </w:rPr>
            </w:pPr>
            <w:r>
              <w:rPr>
                <w:noProof/>
              </w:rPr>
              <w:t>Név</w:t>
            </w:r>
          </w:p>
        </w:tc>
        <w:tc>
          <w:tcPr>
            <w:tcW w:w="1275" w:type="dxa"/>
            <w:tcBorders>
              <w:bottom w:val="nil"/>
            </w:tcBorders>
            <w:shd w:val="clear" w:color="auto" w:fill="C6D9F1" w:themeFill="text2" w:themeFillTint="33"/>
            <w:noWrap/>
            <w:vAlign w:val="center"/>
          </w:tcPr>
          <w:p w14:paraId="0AD9D363" w14:textId="19B273CC" w:rsidR="003E1D81" w:rsidRDefault="00EB481C">
            <w:pPr>
              <w:pStyle w:val="P68B1DB1-Normal12"/>
              <w:spacing w:after="0" w:line="240" w:lineRule="auto"/>
              <w:jc w:val="center"/>
              <w:rPr>
                <w:rFonts w:cs="Times New Roman"/>
                <w:noProof/>
              </w:rPr>
            </w:pPr>
            <w:r>
              <w:rPr>
                <w:noProof/>
              </w:rPr>
              <w:t>A mérföldkövek minőségi mutatója</w:t>
            </w:r>
          </w:p>
        </w:tc>
        <w:tc>
          <w:tcPr>
            <w:tcW w:w="2033" w:type="dxa"/>
            <w:gridSpan w:val="3"/>
            <w:shd w:val="clear" w:color="auto" w:fill="C6D9F1" w:themeFill="text2" w:themeFillTint="33"/>
            <w:noWrap/>
            <w:vAlign w:val="center"/>
          </w:tcPr>
          <w:p w14:paraId="618F3F59" w14:textId="19B273CC" w:rsidR="003E1D81" w:rsidRDefault="00EB481C">
            <w:pPr>
              <w:pStyle w:val="P68B1DB1-Normal12"/>
              <w:spacing w:after="0" w:line="240" w:lineRule="auto"/>
              <w:jc w:val="center"/>
              <w:rPr>
                <w:rFonts w:cs="Times New Roman"/>
                <w:noProof/>
              </w:rPr>
            </w:pPr>
            <w:r>
              <w:rPr>
                <w:noProof/>
              </w:rPr>
              <w:t>A célérték mennyiségi mutatója</w:t>
            </w:r>
          </w:p>
        </w:tc>
        <w:tc>
          <w:tcPr>
            <w:tcW w:w="944" w:type="dxa"/>
            <w:gridSpan w:val="2"/>
            <w:shd w:val="clear" w:color="auto" w:fill="C6D9F1" w:themeFill="text2" w:themeFillTint="33"/>
            <w:noWrap/>
            <w:vAlign w:val="center"/>
          </w:tcPr>
          <w:p w14:paraId="4F7E36FC" w14:textId="19B273CC" w:rsidR="003E1D81" w:rsidRDefault="00EB481C">
            <w:pPr>
              <w:pStyle w:val="P68B1DB1-Normal12"/>
              <w:spacing w:after="0" w:line="240" w:lineRule="auto"/>
              <w:jc w:val="center"/>
              <w:rPr>
                <w:rFonts w:cs="Times New Roman"/>
                <w:noProof/>
              </w:rPr>
            </w:pPr>
            <w:r>
              <w:rPr>
                <w:noProof/>
              </w:rPr>
              <w:t>Idő</w:t>
            </w:r>
          </w:p>
        </w:tc>
        <w:tc>
          <w:tcPr>
            <w:tcW w:w="7088" w:type="dxa"/>
            <w:tcBorders>
              <w:bottom w:val="nil"/>
            </w:tcBorders>
            <w:shd w:val="clear" w:color="auto" w:fill="C6D9F1" w:themeFill="text2" w:themeFillTint="33"/>
            <w:noWrap/>
            <w:vAlign w:val="center"/>
          </w:tcPr>
          <w:p w14:paraId="381052D7" w14:textId="19B273CC"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00542BF5" w14:textId="77777777">
        <w:trPr>
          <w:trHeight w:val="309"/>
          <w:tblHeader/>
        </w:trPr>
        <w:tc>
          <w:tcPr>
            <w:tcW w:w="709" w:type="dxa"/>
            <w:tcBorders>
              <w:top w:val="nil"/>
            </w:tcBorders>
            <w:shd w:val="clear" w:color="auto" w:fill="C6D9F1" w:themeFill="text2" w:themeFillTint="33"/>
            <w:noWrap/>
          </w:tcPr>
          <w:p w14:paraId="685FBC61"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3BCACC00"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6E00F204" w14:textId="77777777" w:rsidR="003E1D81" w:rsidRDefault="003E1D81">
            <w:pPr>
              <w:spacing w:after="0" w:line="240" w:lineRule="auto"/>
              <w:jc w:val="center"/>
              <w:rPr>
                <w:rFonts w:ascii="Times New Roman" w:hAnsi="Times New Roman" w:cs="Times New Roman"/>
                <w:b/>
                <w:noProof/>
                <w:sz w:val="18"/>
              </w:rPr>
            </w:pPr>
          </w:p>
        </w:tc>
        <w:tc>
          <w:tcPr>
            <w:tcW w:w="1560" w:type="dxa"/>
            <w:tcBorders>
              <w:top w:val="nil"/>
            </w:tcBorders>
            <w:shd w:val="clear" w:color="auto" w:fill="C6D9F1" w:themeFill="text2" w:themeFillTint="33"/>
            <w:noWrap/>
          </w:tcPr>
          <w:p w14:paraId="35517160" w14:textId="77777777" w:rsidR="003E1D81" w:rsidRDefault="003E1D81">
            <w:pPr>
              <w:spacing w:after="0" w:line="240" w:lineRule="auto"/>
              <w:rPr>
                <w:rFonts w:ascii="Times New Roman" w:hAnsi="Times New Roman" w:cs="Times New Roman"/>
                <w:b/>
                <w:noProof/>
                <w:sz w:val="18"/>
              </w:rPr>
            </w:pPr>
          </w:p>
        </w:tc>
        <w:tc>
          <w:tcPr>
            <w:tcW w:w="1275" w:type="dxa"/>
            <w:tcBorders>
              <w:top w:val="nil"/>
            </w:tcBorders>
            <w:shd w:val="clear" w:color="auto" w:fill="C6D9F1" w:themeFill="text2" w:themeFillTint="33"/>
            <w:noWrap/>
          </w:tcPr>
          <w:p w14:paraId="10773556" w14:textId="77777777" w:rsidR="003E1D81" w:rsidRDefault="003E1D81">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vAlign w:val="center"/>
          </w:tcPr>
          <w:p w14:paraId="4845E654" w14:textId="19B273CC" w:rsidR="003E1D81" w:rsidRDefault="00EB481C">
            <w:pPr>
              <w:pStyle w:val="P68B1DB1-Normal12"/>
              <w:spacing w:after="0" w:line="240" w:lineRule="auto"/>
              <w:jc w:val="center"/>
              <w:rPr>
                <w:rFonts w:cs="Times New Roman"/>
                <w:noProof/>
              </w:rPr>
            </w:pPr>
            <w:r>
              <w:rPr>
                <w:noProof/>
              </w:rPr>
              <w:t>Egység</w:t>
            </w:r>
          </w:p>
        </w:tc>
        <w:tc>
          <w:tcPr>
            <w:tcW w:w="567" w:type="dxa"/>
            <w:shd w:val="clear" w:color="auto" w:fill="C6D9F1" w:themeFill="text2" w:themeFillTint="33"/>
            <w:noWrap/>
            <w:vAlign w:val="center"/>
          </w:tcPr>
          <w:p w14:paraId="3CA2064C" w14:textId="19B273CC" w:rsidR="003E1D81" w:rsidRDefault="00EB481C">
            <w:pPr>
              <w:pStyle w:val="P68B1DB1-Normal12"/>
              <w:spacing w:after="0" w:line="240" w:lineRule="auto"/>
              <w:jc w:val="center"/>
              <w:rPr>
                <w:rFonts w:cs="Times New Roman"/>
                <w:noProof/>
              </w:rPr>
            </w:pPr>
            <w:r>
              <w:rPr>
                <w:noProof/>
              </w:rPr>
              <w:t>Alapérték</w:t>
            </w:r>
          </w:p>
        </w:tc>
        <w:tc>
          <w:tcPr>
            <w:tcW w:w="615" w:type="dxa"/>
            <w:shd w:val="clear" w:color="auto" w:fill="C6D9F1" w:themeFill="text2" w:themeFillTint="33"/>
            <w:noWrap/>
            <w:vAlign w:val="center"/>
          </w:tcPr>
          <w:p w14:paraId="2ED86D06" w14:textId="19B273CC" w:rsidR="003E1D81" w:rsidRDefault="00EB481C">
            <w:pPr>
              <w:pStyle w:val="P68B1DB1-Normal12"/>
              <w:spacing w:after="0" w:line="240" w:lineRule="auto"/>
              <w:jc w:val="center"/>
              <w:rPr>
                <w:rFonts w:cs="Times New Roman"/>
                <w:noProof/>
              </w:rPr>
            </w:pPr>
            <w:r>
              <w:rPr>
                <w:noProof/>
              </w:rPr>
              <w:t>Cél</w:t>
            </w:r>
          </w:p>
        </w:tc>
        <w:tc>
          <w:tcPr>
            <w:tcW w:w="377" w:type="dxa"/>
            <w:shd w:val="clear" w:color="auto" w:fill="C6D9F1" w:themeFill="text2" w:themeFillTint="33"/>
            <w:noWrap/>
            <w:vAlign w:val="center"/>
          </w:tcPr>
          <w:p w14:paraId="3FDB49BC" w14:textId="19B273CC"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5AA880DF" w14:textId="19B273CC" w:rsidR="003E1D81" w:rsidRDefault="00EB481C">
            <w:pPr>
              <w:pStyle w:val="P68B1DB1-Normal12"/>
              <w:spacing w:after="0" w:line="240" w:lineRule="auto"/>
              <w:jc w:val="center"/>
              <w:rPr>
                <w:rFonts w:cs="Times New Roman"/>
                <w:noProof/>
              </w:rPr>
            </w:pPr>
            <w:r>
              <w:rPr>
                <w:noProof/>
              </w:rPr>
              <w:t>Éve</w:t>
            </w:r>
          </w:p>
        </w:tc>
        <w:tc>
          <w:tcPr>
            <w:tcW w:w="7088" w:type="dxa"/>
            <w:tcBorders>
              <w:top w:val="nil"/>
            </w:tcBorders>
            <w:shd w:val="clear" w:color="auto" w:fill="C6D9F1" w:themeFill="text2" w:themeFillTint="33"/>
            <w:noWrap/>
          </w:tcPr>
          <w:p w14:paraId="0D64C11C" w14:textId="77777777" w:rsidR="003E1D81" w:rsidRDefault="003E1D81">
            <w:pPr>
              <w:spacing w:after="0" w:line="240" w:lineRule="auto"/>
              <w:rPr>
                <w:rFonts w:ascii="Times New Roman" w:hAnsi="Times New Roman" w:cs="Times New Roman"/>
                <w:b/>
                <w:noProof/>
                <w:sz w:val="18"/>
              </w:rPr>
            </w:pPr>
          </w:p>
        </w:tc>
      </w:tr>
      <w:tr w:rsidR="003E1D81" w14:paraId="47249D9F" w14:textId="77777777">
        <w:trPr>
          <w:trHeight w:val="309"/>
        </w:trPr>
        <w:tc>
          <w:tcPr>
            <w:tcW w:w="709" w:type="dxa"/>
            <w:shd w:val="clear" w:color="auto" w:fill="C6EFCE"/>
            <w:noWrap/>
          </w:tcPr>
          <w:p w14:paraId="562D5F81" w14:textId="6A6FF0B0" w:rsidR="003E1D81" w:rsidRDefault="00EB481C">
            <w:pPr>
              <w:pStyle w:val="P68B1DB1-Normal13"/>
              <w:spacing w:after="0" w:line="240" w:lineRule="auto"/>
              <w:jc w:val="center"/>
              <w:rPr>
                <w:rFonts w:cs="Times New Roman"/>
                <w:noProof/>
              </w:rPr>
            </w:pPr>
            <w:r>
              <w:rPr>
                <w:noProof/>
              </w:rPr>
              <w:t>L2</w:t>
            </w:r>
          </w:p>
        </w:tc>
        <w:tc>
          <w:tcPr>
            <w:tcW w:w="851" w:type="dxa"/>
            <w:shd w:val="clear" w:color="auto" w:fill="C6EFCE"/>
            <w:noWrap/>
          </w:tcPr>
          <w:p w14:paraId="25B5B9CC" w14:textId="04C0F159" w:rsidR="003E1D81" w:rsidRDefault="00EB481C">
            <w:pPr>
              <w:pStyle w:val="P68B1DB1-Normal13"/>
              <w:spacing w:after="0" w:line="240" w:lineRule="auto"/>
              <w:jc w:val="center"/>
              <w:rPr>
                <w:rFonts w:eastAsia="MS Mincho" w:cs="Times New Roman"/>
                <w:noProof/>
              </w:rPr>
            </w:pPr>
            <w:r>
              <w:rPr>
                <w:noProof/>
              </w:rPr>
              <w:t>C2.R7</w:t>
            </w:r>
          </w:p>
        </w:tc>
        <w:tc>
          <w:tcPr>
            <w:tcW w:w="850" w:type="dxa"/>
            <w:shd w:val="clear" w:color="auto" w:fill="C6EFCE"/>
            <w:noWrap/>
          </w:tcPr>
          <w:p w14:paraId="47A58A18" w14:textId="04C0F159" w:rsidR="003E1D81" w:rsidRDefault="00EB481C">
            <w:pPr>
              <w:pStyle w:val="P68B1DB1-Normal13"/>
              <w:spacing w:after="0" w:line="240" w:lineRule="auto"/>
              <w:jc w:val="center"/>
              <w:rPr>
                <w:rFonts w:eastAsia="MS Mincho" w:cs="Times New Roman"/>
                <w:noProof/>
              </w:rPr>
            </w:pPr>
            <w:r>
              <w:rPr>
                <w:noProof/>
              </w:rPr>
              <w:t>M</w:t>
            </w:r>
          </w:p>
        </w:tc>
        <w:tc>
          <w:tcPr>
            <w:tcW w:w="1560" w:type="dxa"/>
            <w:shd w:val="clear" w:color="auto" w:fill="C6EFCE"/>
            <w:noWrap/>
          </w:tcPr>
          <w:p w14:paraId="34AFA365" w14:textId="5D0596A8" w:rsidR="003E1D81" w:rsidRDefault="00EB481C">
            <w:pPr>
              <w:pStyle w:val="P68B1DB1-Normal13"/>
              <w:spacing w:after="0" w:line="240" w:lineRule="auto"/>
              <w:rPr>
                <w:rFonts w:eastAsia="MS Mincho" w:cs="Times New Roman"/>
                <w:noProof/>
              </w:rPr>
            </w:pPr>
            <w:r>
              <w:rPr>
                <w:noProof/>
              </w:rPr>
              <w:t xml:space="preserve">A föld- és városrehabilitációról szóló törvény egységes szerkezetbe foglalt szövege módosításának hatálybalépése </w:t>
            </w:r>
          </w:p>
        </w:tc>
        <w:tc>
          <w:tcPr>
            <w:tcW w:w="1275" w:type="dxa"/>
            <w:shd w:val="clear" w:color="auto" w:fill="C6EFCE"/>
            <w:noWrap/>
          </w:tcPr>
          <w:p w14:paraId="511C2A04" w14:textId="3A7195F4" w:rsidR="003E1D81" w:rsidRDefault="00EB481C">
            <w:pPr>
              <w:pStyle w:val="P68B1DB1-Normal13"/>
              <w:spacing w:after="0" w:line="240" w:lineRule="auto"/>
              <w:jc w:val="center"/>
              <w:rPr>
                <w:rFonts w:eastAsia="MS Mincho" w:cs="Times New Roman"/>
                <w:noProof/>
              </w:rPr>
            </w:pPr>
            <w:r>
              <w:rPr>
                <w:noProof/>
              </w:rPr>
              <w:t>A felülvizsgált törvény hatálybalépésére vonatkozó rendelkezés</w:t>
            </w:r>
          </w:p>
        </w:tc>
        <w:tc>
          <w:tcPr>
            <w:tcW w:w="851" w:type="dxa"/>
            <w:shd w:val="clear" w:color="auto" w:fill="C6EFCE"/>
            <w:noWrap/>
          </w:tcPr>
          <w:p w14:paraId="4084AA81" w14:textId="77777777" w:rsidR="003E1D81" w:rsidRDefault="003E1D81">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3C8DE28B" w14:textId="77777777" w:rsidR="003E1D81" w:rsidRDefault="003E1D81">
            <w:pPr>
              <w:spacing w:after="0" w:line="240" w:lineRule="auto"/>
              <w:jc w:val="right"/>
              <w:rPr>
                <w:rFonts w:ascii="Times New Roman" w:eastAsia="MS Mincho" w:hAnsi="Times New Roman" w:cs="Times New Roman"/>
                <w:noProof/>
                <w:sz w:val="18"/>
              </w:rPr>
            </w:pPr>
          </w:p>
        </w:tc>
        <w:tc>
          <w:tcPr>
            <w:tcW w:w="615" w:type="dxa"/>
            <w:shd w:val="clear" w:color="auto" w:fill="C6EFCE"/>
            <w:noWrap/>
          </w:tcPr>
          <w:p w14:paraId="2A38B382" w14:textId="77777777" w:rsidR="003E1D81" w:rsidRDefault="003E1D81">
            <w:pPr>
              <w:spacing w:after="0" w:line="240" w:lineRule="auto"/>
              <w:jc w:val="right"/>
              <w:rPr>
                <w:rFonts w:ascii="Times New Roman" w:eastAsia="MS Mincho" w:hAnsi="Times New Roman" w:cs="Times New Roman"/>
                <w:noProof/>
                <w:sz w:val="18"/>
              </w:rPr>
            </w:pPr>
          </w:p>
        </w:tc>
        <w:tc>
          <w:tcPr>
            <w:tcW w:w="377" w:type="dxa"/>
            <w:shd w:val="clear" w:color="auto" w:fill="C6EFCE"/>
            <w:noWrap/>
          </w:tcPr>
          <w:p w14:paraId="5C4B40DD" w14:textId="4C8BF3DC"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4E0458CB" w14:textId="4C86333E" w:rsidR="003E1D81" w:rsidRDefault="00EB481C">
            <w:pPr>
              <w:pStyle w:val="P68B1DB1-Normal13"/>
              <w:spacing w:after="0" w:line="240" w:lineRule="auto"/>
              <w:jc w:val="center"/>
              <w:rPr>
                <w:rFonts w:eastAsia="MS Mincho" w:cs="Times New Roman"/>
                <w:noProof/>
              </w:rPr>
            </w:pPr>
            <w:r>
              <w:rPr>
                <w:noProof/>
              </w:rPr>
              <w:t xml:space="preserve"> 2025</w:t>
            </w:r>
          </w:p>
        </w:tc>
        <w:tc>
          <w:tcPr>
            <w:tcW w:w="7088" w:type="dxa"/>
            <w:shd w:val="clear" w:color="auto" w:fill="C6EFCE"/>
            <w:noWrap/>
          </w:tcPr>
          <w:p w14:paraId="17CF3CEA" w14:textId="5E1751E3" w:rsidR="003E1D81" w:rsidRDefault="00EB481C">
            <w:pPr>
              <w:pStyle w:val="P68B1DB1-Normal13"/>
              <w:spacing w:after="0" w:line="240" w:lineRule="auto"/>
              <w:jc w:val="both"/>
              <w:rPr>
                <w:rFonts w:eastAsia="MS Mincho" w:cs="Times New Roman"/>
                <w:noProof/>
              </w:rPr>
            </w:pPr>
            <w:r>
              <w:rPr>
                <w:noProof/>
              </w:rPr>
              <w:t>A föld- és városrehabilitációról szóló törvény egységes szerkez</w:t>
            </w:r>
            <w:r>
              <w:rPr>
                <w:noProof/>
              </w:rPr>
              <w:t>etbe foglalt szövegének az október 30-i 7/2015. sz. királyi törvényerejű rendelettel jóváhagyott módosításának hatálybalépése. A módosítás olyan intézkedéseket vezet be, amelyek célja az épületek rehabilitációjához és a szociális lakások építéséhez kapcsol</w:t>
            </w:r>
            <w:r>
              <w:rPr>
                <w:noProof/>
              </w:rPr>
              <w:t>ódó várostervezési eljárások felgyorsítása.</w:t>
            </w:r>
          </w:p>
        </w:tc>
      </w:tr>
      <w:tr w:rsidR="003E1D81" w14:paraId="07844CC8" w14:textId="77777777">
        <w:trPr>
          <w:trHeight w:val="309"/>
        </w:trPr>
        <w:tc>
          <w:tcPr>
            <w:tcW w:w="709" w:type="dxa"/>
            <w:shd w:val="clear" w:color="auto" w:fill="C6EFCE"/>
            <w:noWrap/>
          </w:tcPr>
          <w:p w14:paraId="0873ECA3" w14:textId="49855681" w:rsidR="003E1D81" w:rsidRDefault="00EB481C">
            <w:pPr>
              <w:pStyle w:val="P68B1DB1-Normal13"/>
              <w:spacing w:after="0" w:line="240" w:lineRule="auto"/>
              <w:jc w:val="center"/>
              <w:rPr>
                <w:rFonts w:cs="Times New Roman"/>
                <w:noProof/>
              </w:rPr>
            </w:pPr>
            <w:r>
              <w:rPr>
                <w:noProof/>
              </w:rPr>
              <w:t>L3</w:t>
            </w:r>
          </w:p>
        </w:tc>
        <w:tc>
          <w:tcPr>
            <w:tcW w:w="851" w:type="dxa"/>
            <w:shd w:val="clear" w:color="auto" w:fill="C6EFCE"/>
            <w:noWrap/>
          </w:tcPr>
          <w:p w14:paraId="6249CDB4" w14:textId="04C0F159" w:rsidR="003E1D81" w:rsidRDefault="00EB481C">
            <w:pPr>
              <w:pStyle w:val="P68B1DB1-Normal13"/>
              <w:spacing w:after="0" w:line="240" w:lineRule="auto"/>
              <w:jc w:val="center"/>
              <w:rPr>
                <w:rFonts w:eastAsia="MS Mincho" w:cs="Times New Roman"/>
                <w:noProof/>
              </w:rPr>
            </w:pPr>
            <w:r>
              <w:rPr>
                <w:noProof/>
              </w:rPr>
              <w:t>C2.R7</w:t>
            </w:r>
          </w:p>
        </w:tc>
        <w:tc>
          <w:tcPr>
            <w:tcW w:w="850" w:type="dxa"/>
            <w:shd w:val="clear" w:color="auto" w:fill="C6EFCE"/>
            <w:noWrap/>
          </w:tcPr>
          <w:p w14:paraId="44655DD6" w14:textId="04C0F159" w:rsidR="003E1D81" w:rsidRDefault="00EB481C">
            <w:pPr>
              <w:pStyle w:val="P68B1DB1-Normal13"/>
              <w:spacing w:after="0" w:line="240" w:lineRule="auto"/>
              <w:jc w:val="center"/>
              <w:rPr>
                <w:rFonts w:eastAsia="MS Mincho" w:cs="Times New Roman"/>
                <w:noProof/>
              </w:rPr>
            </w:pPr>
            <w:r>
              <w:rPr>
                <w:noProof/>
              </w:rPr>
              <w:t>M</w:t>
            </w:r>
          </w:p>
        </w:tc>
        <w:tc>
          <w:tcPr>
            <w:tcW w:w="1560" w:type="dxa"/>
            <w:shd w:val="clear" w:color="auto" w:fill="C6EFCE"/>
            <w:noWrap/>
          </w:tcPr>
          <w:p w14:paraId="7FCDC6B6" w14:textId="04C0F159" w:rsidR="003E1D81" w:rsidRDefault="00EB481C">
            <w:pPr>
              <w:pStyle w:val="P68B1DB1-Normal13"/>
              <w:spacing w:after="0" w:line="240" w:lineRule="auto"/>
              <w:rPr>
                <w:rFonts w:eastAsia="MS Mincho" w:cs="Times New Roman"/>
                <w:noProof/>
              </w:rPr>
            </w:pPr>
            <w:r>
              <w:rPr>
                <w:noProof/>
              </w:rPr>
              <w:t>A bevált gyakorlatokról szóló útmutató közzététele az építési engedélyezési eljárások egyszerűsítéséhez és egyszerűsítéséhez</w:t>
            </w:r>
          </w:p>
        </w:tc>
        <w:tc>
          <w:tcPr>
            <w:tcW w:w="1275" w:type="dxa"/>
            <w:shd w:val="clear" w:color="auto" w:fill="C6EFCE"/>
            <w:noWrap/>
          </w:tcPr>
          <w:p w14:paraId="144D2A82" w14:textId="54EF3D42" w:rsidR="003E1D81" w:rsidRDefault="00EB481C">
            <w:pPr>
              <w:pStyle w:val="P68B1DB1-Normal13"/>
              <w:spacing w:after="0" w:line="240" w:lineRule="auto"/>
              <w:jc w:val="center"/>
              <w:rPr>
                <w:rFonts w:eastAsia="MS Mincho" w:cs="Times New Roman"/>
                <w:noProof/>
              </w:rPr>
            </w:pPr>
            <w:r>
              <w:rPr>
                <w:noProof/>
              </w:rPr>
              <w:t>Online közzététel</w:t>
            </w:r>
          </w:p>
        </w:tc>
        <w:tc>
          <w:tcPr>
            <w:tcW w:w="851" w:type="dxa"/>
            <w:shd w:val="clear" w:color="auto" w:fill="C6EFCE"/>
            <w:noWrap/>
          </w:tcPr>
          <w:p w14:paraId="6F647066" w14:textId="343CA82C" w:rsidR="003E1D81" w:rsidRDefault="003E1D81">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7B38FB94" w14:textId="57EB123C" w:rsidR="003E1D81" w:rsidRDefault="003E1D81">
            <w:pPr>
              <w:spacing w:after="0" w:line="240" w:lineRule="auto"/>
              <w:jc w:val="right"/>
              <w:rPr>
                <w:rFonts w:ascii="Times New Roman" w:eastAsia="MS Mincho" w:hAnsi="Times New Roman" w:cs="Times New Roman"/>
                <w:noProof/>
                <w:sz w:val="18"/>
              </w:rPr>
            </w:pPr>
          </w:p>
        </w:tc>
        <w:tc>
          <w:tcPr>
            <w:tcW w:w="615" w:type="dxa"/>
            <w:shd w:val="clear" w:color="auto" w:fill="C6EFCE"/>
            <w:noWrap/>
          </w:tcPr>
          <w:p w14:paraId="541846CA" w14:textId="3768BCF4" w:rsidR="003E1D81" w:rsidRDefault="003E1D81">
            <w:pPr>
              <w:spacing w:after="0" w:line="240" w:lineRule="auto"/>
              <w:jc w:val="right"/>
              <w:rPr>
                <w:rFonts w:ascii="Times New Roman" w:eastAsia="MS Mincho" w:hAnsi="Times New Roman" w:cs="Times New Roman"/>
                <w:noProof/>
                <w:sz w:val="18"/>
              </w:rPr>
            </w:pPr>
          </w:p>
        </w:tc>
        <w:tc>
          <w:tcPr>
            <w:tcW w:w="377" w:type="dxa"/>
            <w:shd w:val="clear" w:color="auto" w:fill="C6EFCE"/>
            <w:noWrap/>
          </w:tcPr>
          <w:p w14:paraId="42608E1F" w14:textId="088E2098"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0D3913D5" w14:textId="27794172" w:rsidR="003E1D81" w:rsidRDefault="00EB481C">
            <w:pPr>
              <w:pStyle w:val="P68B1DB1-Normal13"/>
              <w:spacing w:after="0" w:line="240" w:lineRule="auto"/>
              <w:jc w:val="center"/>
              <w:rPr>
                <w:rFonts w:eastAsia="MS Mincho" w:cs="Times New Roman"/>
                <w:noProof/>
              </w:rPr>
            </w:pPr>
            <w:r>
              <w:rPr>
                <w:noProof/>
              </w:rPr>
              <w:t>2025</w:t>
            </w:r>
          </w:p>
        </w:tc>
        <w:tc>
          <w:tcPr>
            <w:tcW w:w="7088" w:type="dxa"/>
            <w:shd w:val="clear" w:color="auto" w:fill="C6EFCE"/>
            <w:noWrap/>
          </w:tcPr>
          <w:p w14:paraId="61BA7A50" w14:textId="3FAD521F" w:rsidR="003E1D81" w:rsidRDefault="00EB481C">
            <w:pPr>
              <w:pStyle w:val="P68B1DB1-Normal13"/>
              <w:spacing w:after="0" w:line="240" w:lineRule="auto"/>
              <w:jc w:val="both"/>
              <w:rPr>
                <w:rFonts w:cs="Times New Roman"/>
                <w:noProof/>
              </w:rPr>
            </w:pPr>
            <w:r>
              <w:rPr>
                <w:noProof/>
              </w:rPr>
              <w:t xml:space="preserve">Ajánlásokat és bevált gyakorlatokat </w:t>
            </w:r>
            <w:r>
              <w:rPr>
                <w:noProof/>
              </w:rPr>
              <w:t>tartalmazó útmutató közzététele, amely referenciaként szolgál a várostervezési engedélyezési eljárások egyszerűsítéséhez és felgyorsításához azáltal, hogy ösztönzi i. a helyi, regionális és központi szintű közigazgatási szervek közötti tudás- és tapasztala</w:t>
            </w:r>
            <w:r>
              <w:rPr>
                <w:noProof/>
              </w:rPr>
              <w:t>tcserét, ii. a folyamatok rendszerezésére és optimalizálására irányuló intézkedéseket, valamint iii. kísérleti projektek jövőbeli fejlesztését különböző területi kontextusokban.</w:t>
            </w:r>
          </w:p>
        </w:tc>
      </w:tr>
      <w:tr w:rsidR="003E1D81" w14:paraId="38D56DF5" w14:textId="77777777">
        <w:trPr>
          <w:trHeight w:val="309"/>
        </w:trPr>
        <w:tc>
          <w:tcPr>
            <w:tcW w:w="709" w:type="dxa"/>
            <w:shd w:val="clear" w:color="auto" w:fill="C6EFCE"/>
            <w:noWrap/>
          </w:tcPr>
          <w:p w14:paraId="581D0E86" w14:textId="61284E5C" w:rsidR="003E1D81" w:rsidRDefault="00EB481C">
            <w:pPr>
              <w:pStyle w:val="P68B1DB1-Normal13"/>
              <w:spacing w:after="0" w:line="240" w:lineRule="auto"/>
              <w:jc w:val="center"/>
              <w:rPr>
                <w:rFonts w:cs="Times New Roman"/>
                <w:noProof/>
              </w:rPr>
            </w:pPr>
            <w:r>
              <w:rPr>
                <w:noProof/>
              </w:rPr>
              <w:t>L4</w:t>
            </w:r>
          </w:p>
        </w:tc>
        <w:tc>
          <w:tcPr>
            <w:tcW w:w="851" w:type="dxa"/>
            <w:shd w:val="clear" w:color="auto" w:fill="C6EFCE"/>
            <w:noWrap/>
          </w:tcPr>
          <w:p w14:paraId="6DC31959" w14:textId="3382D85A" w:rsidR="003E1D81" w:rsidRDefault="00EB481C">
            <w:pPr>
              <w:pStyle w:val="P68B1DB1-Normal13"/>
              <w:spacing w:after="0" w:line="240" w:lineRule="auto"/>
              <w:jc w:val="center"/>
              <w:rPr>
                <w:rFonts w:cs="Times New Roman"/>
                <w:noProof/>
              </w:rPr>
            </w:pPr>
            <w:r>
              <w:rPr>
                <w:noProof/>
              </w:rPr>
              <w:t>C2.I7</w:t>
            </w:r>
          </w:p>
        </w:tc>
        <w:tc>
          <w:tcPr>
            <w:tcW w:w="850" w:type="dxa"/>
            <w:shd w:val="clear" w:color="auto" w:fill="C6EFCE"/>
            <w:noWrap/>
          </w:tcPr>
          <w:p w14:paraId="70B05008" w14:textId="04C0F159" w:rsidR="003E1D81" w:rsidRDefault="00EB481C">
            <w:pPr>
              <w:pStyle w:val="P68B1DB1-Normal13"/>
              <w:spacing w:after="0" w:line="240" w:lineRule="auto"/>
              <w:jc w:val="center"/>
              <w:rPr>
                <w:rFonts w:eastAsia="MS Mincho" w:cs="Times New Roman"/>
                <w:noProof/>
              </w:rPr>
            </w:pPr>
            <w:r>
              <w:rPr>
                <w:noProof/>
              </w:rPr>
              <w:t>M</w:t>
            </w:r>
          </w:p>
        </w:tc>
        <w:tc>
          <w:tcPr>
            <w:tcW w:w="1560" w:type="dxa"/>
            <w:shd w:val="clear" w:color="auto" w:fill="C6EFCE"/>
            <w:noWrap/>
          </w:tcPr>
          <w:p w14:paraId="36FB47E8" w14:textId="5CCF2693" w:rsidR="003E1D81" w:rsidRDefault="00EB481C">
            <w:pPr>
              <w:pStyle w:val="P68B1DB1-Normal13"/>
              <w:spacing w:after="0" w:line="240" w:lineRule="auto"/>
              <w:rPr>
                <w:rFonts w:eastAsia="MS Mincho" w:cs="Times New Roman"/>
                <w:noProof/>
              </w:rPr>
            </w:pPr>
            <w:r>
              <w:rPr>
                <w:noProof/>
              </w:rPr>
              <w:t>Végrehajtási megállapodás</w:t>
            </w:r>
          </w:p>
        </w:tc>
        <w:tc>
          <w:tcPr>
            <w:tcW w:w="1275" w:type="dxa"/>
            <w:shd w:val="clear" w:color="auto" w:fill="C6EFCE"/>
            <w:noWrap/>
          </w:tcPr>
          <w:p w14:paraId="610252A4" w14:textId="1207B9F6" w:rsidR="003E1D81" w:rsidRDefault="00EB481C">
            <w:pPr>
              <w:pStyle w:val="P68B1DB1-Normal13"/>
              <w:spacing w:after="0" w:line="240" w:lineRule="auto"/>
              <w:jc w:val="center"/>
              <w:rPr>
                <w:rFonts w:eastAsia="MS Mincho" w:cs="Times New Roman"/>
                <w:noProof/>
              </w:rPr>
            </w:pPr>
            <w:r>
              <w:rPr>
                <w:noProof/>
              </w:rPr>
              <w:t xml:space="preserve">A végrehajtási megállapodás </w:t>
            </w:r>
            <w:r>
              <w:rPr>
                <w:noProof/>
              </w:rPr>
              <w:t>hatálybalépése </w:t>
            </w:r>
          </w:p>
        </w:tc>
        <w:tc>
          <w:tcPr>
            <w:tcW w:w="851" w:type="dxa"/>
            <w:shd w:val="clear" w:color="auto" w:fill="C6EFCE"/>
            <w:noWrap/>
          </w:tcPr>
          <w:p w14:paraId="312942BC" w14:textId="77777777" w:rsidR="003E1D81" w:rsidRDefault="003E1D81">
            <w:pPr>
              <w:spacing w:after="0" w:line="240" w:lineRule="auto"/>
              <w:jc w:val="center"/>
              <w:rPr>
                <w:rFonts w:ascii="Times New Roman" w:eastAsia="MS Mincho" w:hAnsi="Times New Roman" w:cs="Times New Roman"/>
                <w:noProof/>
                <w:sz w:val="18"/>
              </w:rPr>
            </w:pPr>
          </w:p>
        </w:tc>
        <w:tc>
          <w:tcPr>
            <w:tcW w:w="567" w:type="dxa"/>
            <w:shd w:val="clear" w:color="auto" w:fill="C6EFCE"/>
            <w:noWrap/>
          </w:tcPr>
          <w:p w14:paraId="16F1E204" w14:textId="77777777" w:rsidR="003E1D81" w:rsidRDefault="003E1D81">
            <w:pPr>
              <w:spacing w:after="0" w:line="240" w:lineRule="auto"/>
              <w:jc w:val="center"/>
              <w:rPr>
                <w:rFonts w:ascii="Times New Roman" w:eastAsia="MS Mincho" w:hAnsi="Times New Roman" w:cs="Times New Roman"/>
                <w:noProof/>
                <w:sz w:val="18"/>
              </w:rPr>
            </w:pPr>
          </w:p>
        </w:tc>
        <w:tc>
          <w:tcPr>
            <w:tcW w:w="615" w:type="dxa"/>
            <w:shd w:val="clear" w:color="auto" w:fill="C6EFCE"/>
            <w:noWrap/>
          </w:tcPr>
          <w:p w14:paraId="58788460" w14:textId="77777777" w:rsidR="003E1D81" w:rsidRDefault="003E1D81">
            <w:pPr>
              <w:spacing w:after="0" w:line="240" w:lineRule="auto"/>
              <w:jc w:val="center"/>
              <w:rPr>
                <w:rFonts w:ascii="Times New Roman" w:eastAsia="MS Mincho" w:hAnsi="Times New Roman" w:cs="Times New Roman"/>
                <w:noProof/>
                <w:sz w:val="18"/>
              </w:rPr>
            </w:pPr>
          </w:p>
        </w:tc>
        <w:tc>
          <w:tcPr>
            <w:tcW w:w="377" w:type="dxa"/>
            <w:shd w:val="clear" w:color="auto" w:fill="C6EFCE"/>
            <w:noWrap/>
          </w:tcPr>
          <w:p w14:paraId="227B374F" w14:textId="2DD063CB"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6C05A2C5" w14:textId="0E982D44" w:rsidR="003E1D81" w:rsidRDefault="00EB481C">
            <w:pPr>
              <w:pStyle w:val="P68B1DB1-Normal13"/>
              <w:spacing w:after="0" w:line="240" w:lineRule="auto"/>
              <w:jc w:val="center"/>
              <w:rPr>
                <w:rFonts w:eastAsia="MS Mincho" w:cs="Times New Roman"/>
                <w:noProof/>
              </w:rPr>
            </w:pPr>
            <w:r>
              <w:rPr>
                <w:noProof/>
              </w:rPr>
              <w:t>2023</w:t>
            </w:r>
          </w:p>
        </w:tc>
        <w:tc>
          <w:tcPr>
            <w:tcW w:w="7088" w:type="dxa"/>
            <w:shd w:val="clear" w:color="auto" w:fill="C6EFCE"/>
            <w:noWrap/>
          </w:tcPr>
          <w:p w14:paraId="2F424DF0" w14:textId="4D75BCB4" w:rsidR="003E1D81" w:rsidRDefault="00EB481C">
            <w:pPr>
              <w:pStyle w:val="P68B1DB1-Normal13"/>
              <w:spacing w:after="0" w:line="240" w:lineRule="auto"/>
              <w:rPr>
                <w:rFonts w:eastAsia="Times New Roman" w:cs="Times New Roman"/>
                <w:noProof/>
              </w:rPr>
            </w:pPr>
            <w:r>
              <w:rPr>
                <w:noProof/>
              </w:rPr>
              <w:t>A végrehajtási megállapodás hatálybalépése.</w:t>
            </w:r>
          </w:p>
        </w:tc>
      </w:tr>
      <w:tr w:rsidR="003E1D81" w14:paraId="2CD0167A" w14:textId="77777777">
        <w:trPr>
          <w:trHeight w:val="309"/>
        </w:trPr>
        <w:tc>
          <w:tcPr>
            <w:tcW w:w="709" w:type="dxa"/>
            <w:shd w:val="clear" w:color="auto" w:fill="C6EFCE"/>
            <w:noWrap/>
          </w:tcPr>
          <w:p w14:paraId="392D9D71" w14:textId="56AACBAD" w:rsidR="003E1D81" w:rsidRDefault="00EB481C">
            <w:pPr>
              <w:pStyle w:val="P68B1DB1-Normal13"/>
              <w:spacing w:after="0" w:line="240" w:lineRule="auto"/>
              <w:jc w:val="center"/>
              <w:rPr>
                <w:rFonts w:cs="Times New Roman"/>
                <w:noProof/>
              </w:rPr>
            </w:pPr>
            <w:r>
              <w:rPr>
                <w:noProof/>
              </w:rPr>
              <w:t>L5</w:t>
            </w:r>
          </w:p>
        </w:tc>
        <w:tc>
          <w:tcPr>
            <w:tcW w:w="851" w:type="dxa"/>
            <w:shd w:val="clear" w:color="auto" w:fill="C6EFCE"/>
            <w:noWrap/>
          </w:tcPr>
          <w:p w14:paraId="25FDDC15" w14:textId="5CA09D84" w:rsidR="003E1D81" w:rsidRDefault="00EB481C">
            <w:pPr>
              <w:pStyle w:val="P68B1DB1-Normal13"/>
              <w:spacing w:after="0" w:line="240" w:lineRule="auto"/>
              <w:jc w:val="center"/>
              <w:rPr>
                <w:rFonts w:eastAsia="MS Mincho" w:cs="Times New Roman"/>
                <w:noProof/>
              </w:rPr>
            </w:pPr>
            <w:r>
              <w:rPr>
                <w:noProof/>
              </w:rPr>
              <w:t>C2.I7</w:t>
            </w:r>
          </w:p>
        </w:tc>
        <w:tc>
          <w:tcPr>
            <w:tcW w:w="850" w:type="dxa"/>
            <w:shd w:val="clear" w:color="auto" w:fill="C6EFCE"/>
            <w:noWrap/>
          </w:tcPr>
          <w:p w14:paraId="16F0D7EA" w14:textId="345E298E" w:rsidR="003E1D81" w:rsidRDefault="00EB481C">
            <w:pPr>
              <w:pStyle w:val="P68B1DB1-Normal13"/>
              <w:spacing w:after="0" w:line="240" w:lineRule="auto"/>
              <w:jc w:val="center"/>
              <w:rPr>
                <w:rFonts w:cs="Times New Roman"/>
                <w:noProof/>
              </w:rPr>
            </w:pPr>
            <w:r>
              <w:rPr>
                <w:noProof/>
              </w:rPr>
              <w:t>T</w:t>
            </w:r>
          </w:p>
        </w:tc>
        <w:tc>
          <w:tcPr>
            <w:tcW w:w="1560" w:type="dxa"/>
            <w:shd w:val="clear" w:color="auto" w:fill="C6EFCE"/>
            <w:noWrap/>
          </w:tcPr>
          <w:p w14:paraId="3097EE05" w14:textId="60F6E4CE" w:rsidR="003E1D81" w:rsidRDefault="00EB481C">
            <w:pPr>
              <w:pStyle w:val="P68B1DB1-Normal13"/>
              <w:spacing w:after="0" w:line="240" w:lineRule="auto"/>
              <w:rPr>
                <w:rFonts w:eastAsia="Times New Roman" w:cs="Times New Roman"/>
                <w:noProof/>
              </w:rPr>
            </w:pPr>
            <w:r>
              <w:rPr>
                <w:noProof/>
              </w:rPr>
              <w:t>Az ICO hiteleszköze a szociális lakhatás előmozdítására: A végső kedvezményezettekkel aláírt jogi megállapodások (I)</w:t>
            </w:r>
          </w:p>
        </w:tc>
        <w:tc>
          <w:tcPr>
            <w:tcW w:w="1275" w:type="dxa"/>
            <w:shd w:val="clear" w:color="auto" w:fill="C6EFCE"/>
            <w:noWrap/>
          </w:tcPr>
          <w:p w14:paraId="4F9310A1" w14:textId="7AB4A014" w:rsidR="003E1D81" w:rsidRDefault="00EB481C">
            <w:pPr>
              <w:pStyle w:val="P68B1DB1-Normal13"/>
              <w:spacing w:after="0" w:line="240" w:lineRule="auto"/>
              <w:jc w:val="center"/>
              <w:rPr>
                <w:rFonts w:eastAsia="MS Mincho" w:cs="Times New Roman"/>
                <w:noProof/>
              </w:rPr>
            </w:pPr>
            <w:r>
              <w:rPr>
                <w:noProof/>
              </w:rPr>
              <w:t xml:space="preserve">A jogi finanszírozási megállapodások </w:t>
            </w:r>
            <w:r>
              <w:rPr>
                <w:noProof/>
              </w:rPr>
              <w:t>hatálybalépése</w:t>
            </w:r>
          </w:p>
        </w:tc>
        <w:tc>
          <w:tcPr>
            <w:tcW w:w="851" w:type="dxa"/>
            <w:shd w:val="clear" w:color="auto" w:fill="C6EFCE"/>
            <w:noWrap/>
          </w:tcPr>
          <w:p w14:paraId="57F1D005" w14:textId="77777777" w:rsidR="003E1D81" w:rsidRDefault="003E1D81">
            <w:pPr>
              <w:spacing w:after="0" w:line="240" w:lineRule="auto"/>
              <w:jc w:val="center"/>
              <w:rPr>
                <w:rFonts w:ascii="Times New Roman" w:eastAsia="MS Mincho" w:hAnsi="Times New Roman" w:cs="Times New Roman"/>
                <w:noProof/>
                <w:sz w:val="18"/>
              </w:rPr>
            </w:pPr>
          </w:p>
        </w:tc>
        <w:tc>
          <w:tcPr>
            <w:tcW w:w="567" w:type="dxa"/>
            <w:shd w:val="clear" w:color="auto" w:fill="C6EFCE"/>
            <w:noWrap/>
          </w:tcPr>
          <w:p w14:paraId="72C6405B" w14:textId="39EBCFBA" w:rsidR="003E1D81" w:rsidRDefault="00EB481C">
            <w:pPr>
              <w:pStyle w:val="P68B1DB1-Normal13"/>
              <w:spacing w:after="0" w:line="240" w:lineRule="auto"/>
              <w:jc w:val="center"/>
              <w:rPr>
                <w:rFonts w:eastAsia="MS Mincho" w:cs="Times New Roman"/>
                <w:noProof/>
              </w:rPr>
            </w:pPr>
            <w:r>
              <w:rPr>
                <w:noProof/>
              </w:rPr>
              <w:t>0</w:t>
            </w:r>
          </w:p>
        </w:tc>
        <w:tc>
          <w:tcPr>
            <w:tcW w:w="615" w:type="dxa"/>
            <w:shd w:val="clear" w:color="auto" w:fill="C6EFCE"/>
            <w:noWrap/>
          </w:tcPr>
          <w:p w14:paraId="3A9FDC85" w14:textId="21C170F1" w:rsidR="003E1D81" w:rsidRDefault="00EB481C">
            <w:pPr>
              <w:pStyle w:val="P68B1DB1-Normal13"/>
              <w:spacing w:after="0" w:line="240" w:lineRule="auto"/>
              <w:jc w:val="center"/>
              <w:rPr>
                <w:rFonts w:eastAsia="MS Mincho" w:cs="Times New Roman"/>
                <w:noProof/>
              </w:rPr>
            </w:pPr>
            <w:r>
              <w:rPr>
                <w:noProof/>
              </w:rPr>
              <w:t>40%</w:t>
            </w:r>
          </w:p>
        </w:tc>
        <w:tc>
          <w:tcPr>
            <w:tcW w:w="377" w:type="dxa"/>
            <w:shd w:val="clear" w:color="auto" w:fill="C6EFCE"/>
            <w:noWrap/>
          </w:tcPr>
          <w:p w14:paraId="21DB9EBA" w14:textId="00934B7F"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01651932" w14:textId="611A3511" w:rsidR="003E1D81" w:rsidRDefault="00EB481C">
            <w:pPr>
              <w:pStyle w:val="P68B1DB1-Normal13"/>
              <w:spacing w:after="0" w:line="240" w:lineRule="auto"/>
              <w:jc w:val="center"/>
              <w:rPr>
                <w:rFonts w:eastAsia="MS Mincho" w:cs="Times New Roman"/>
                <w:noProof/>
              </w:rPr>
            </w:pPr>
            <w:r>
              <w:rPr>
                <w:noProof/>
              </w:rPr>
              <w:t>2025</w:t>
            </w:r>
          </w:p>
        </w:tc>
        <w:tc>
          <w:tcPr>
            <w:tcW w:w="7088" w:type="dxa"/>
            <w:shd w:val="clear" w:color="auto" w:fill="C6EFCE"/>
            <w:noWrap/>
          </w:tcPr>
          <w:p w14:paraId="51ED6664" w14:textId="414B348B" w:rsidR="003E1D81" w:rsidRDefault="00EB481C">
            <w:pPr>
              <w:pStyle w:val="P68B1DB1-Normal13"/>
              <w:spacing w:after="0" w:line="240" w:lineRule="auto"/>
              <w:rPr>
                <w:rFonts w:eastAsia="Times New Roman" w:cs="Times New Roman"/>
                <w:noProof/>
              </w:rPr>
            </w:pPr>
            <w:r>
              <w:rPr>
                <w:noProof/>
              </w:rPr>
              <w:t>Az ICO-nak és az ICO által kiválasztott közvetítőknek jogi finanszírozási megállapodásokat kell kötniük a végső kedvezményezettekkel a Helyreállítási és Rezilienciaépítési Eszközbe történő beruházás legalább 40%-ának az eszközbe történő felhasználásához sz</w:t>
            </w:r>
            <w:r>
              <w:rPr>
                <w:noProof/>
              </w:rPr>
              <w:t>ükséges összegről (figyelembe véve az irányítási díjakat). Az ICO a Helyreállítási és Rezilienciaépítési Eszközről szóló rendelet VI. mellékletében foglalt módszertan alkalmazásával jelentést készít, amelyben részletezi e finanszírozás azon százalékos arán</w:t>
            </w:r>
            <w:r>
              <w:rPr>
                <w:noProof/>
              </w:rPr>
              <w:t xml:space="preserve">yát, amely hozzájárul az éghajlat-politikai célkitűzésekhez. </w:t>
            </w:r>
          </w:p>
        </w:tc>
      </w:tr>
      <w:tr w:rsidR="003E1D81" w14:paraId="746F530B" w14:textId="77777777">
        <w:trPr>
          <w:trHeight w:val="1347"/>
        </w:trPr>
        <w:tc>
          <w:tcPr>
            <w:tcW w:w="709" w:type="dxa"/>
            <w:shd w:val="clear" w:color="auto" w:fill="C6EFCE"/>
            <w:noWrap/>
          </w:tcPr>
          <w:p w14:paraId="4E2B308E" w14:textId="0CF5707A" w:rsidR="003E1D81" w:rsidRDefault="00EB481C">
            <w:pPr>
              <w:pStyle w:val="P68B1DB1-Normal13"/>
              <w:spacing w:line="240" w:lineRule="auto"/>
              <w:jc w:val="center"/>
              <w:rPr>
                <w:rFonts w:cs="Times New Roman"/>
                <w:noProof/>
              </w:rPr>
            </w:pPr>
            <w:r>
              <w:rPr>
                <w:noProof/>
              </w:rPr>
              <w:t>L6</w:t>
            </w:r>
          </w:p>
        </w:tc>
        <w:tc>
          <w:tcPr>
            <w:tcW w:w="851" w:type="dxa"/>
            <w:shd w:val="clear" w:color="auto" w:fill="C6EFCE"/>
            <w:noWrap/>
          </w:tcPr>
          <w:p w14:paraId="058524C6" w14:textId="0333633D" w:rsidR="003E1D81" w:rsidRDefault="00EB481C">
            <w:pPr>
              <w:pStyle w:val="P68B1DB1-Normal13"/>
              <w:spacing w:line="240" w:lineRule="auto"/>
              <w:jc w:val="center"/>
              <w:rPr>
                <w:rFonts w:cs="Times New Roman"/>
                <w:noProof/>
              </w:rPr>
            </w:pPr>
            <w:r>
              <w:rPr>
                <w:noProof/>
              </w:rPr>
              <w:t>C2.I7</w:t>
            </w:r>
          </w:p>
        </w:tc>
        <w:tc>
          <w:tcPr>
            <w:tcW w:w="850" w:type="dxa"/>
            <w:shd w:val="clear" w:color="auto" w:fill="C6EFCE"/>
            <w:noWrap/>
          </w:tcPr>
          <w:p w14:paraId="304E6E44" w14:textId="005A04C6" w:rsidR="003E1D81" w:rsidRDefault="00EB481C">
            <w:pPr>
              <w:pStyle w:val="P68B1DB1-Normal13"/>
              <w:spacing w:line="240" w:lineRule="auto"/>
              <w:jc w:val="center"/>
              <w:rPr>
                <w:rFonts w:cs="Times New Roman"/>
                <w:noProof/>
              </w:rPr>
            </w:pPr>
            <w:r>
              <w:rPr>
                <w:noProof/>
              </w:rPr>
              <w:t>T</w:t>
            </w:r>
          </w:p>
        </w:tc>
        <w:tc>
          <w:tcPr>
            <w:tcW w:w="1560" w:type="dxa"/>
            <w:shd w:val="clear" w:color="auto" w:fill="C6EFCE"/>
            <w:noWrap/>
          </w:tcPr>
          <w:p w14:paraId="428F4723" w14:textId="5B70B40B" w:rsidR="003E1D81" w:rsidRDefault="00EB481C">
            <w:pPr>
              <w:pStyle w:val="P68B1DB1-Normal13"/>
              <w:spacing w:line="240" w:lineRule="auto"/>
              <w:rPr>
                <w:rFonts w:eastAsia="Times New Roman" w:cs="Times New Roman"/>
                <w:noProof/>
              </w:rPr>
            </w:pPr>
            <w:r>
              <w:rPr>
                <w:noProof/>
              </w:rPr>
              <w:t>Az ICO hiteleszköze a szociális lakhatás előmozdítására: A végső kedvezményezettekkel aláírt jogi megállapodások (II)</w:t>
            </w:r>
          </w:p>
        </w:tc>
        <w:tc>
          <w:tcPr>
            <w:tcW w:w="1275" w:type="dxa"/>
            <w:shd w:val="clear" w:color="auto" w:fill="C6EFCE"/>
            <w:noWrap/>
          </w:tcPr>
          <w:p w14:paraId="5C08B433" w14:textId="0DB80089" w:rsidR="003E1D81" w:rsidRDefault="00EB481C">
            <w:pPr>
              <w:pStyle w:val="P68B1DB1-Normal13"/>
              <w:spacing w:line="240" w:lineRule="auto"/>
              <w:jc w:val="center"/>
              <w:rPr>
                <w:rFonts w:eastAsia="MS Mincho" w:cs="Times New Roman"/>
                <w:noProof/>
              </w:rPr>
            </w:pPr>
            <w:r>
              <w:rPr>
                <w:noProof/>
              </w:rPr>
              <w:t>A jogi finanszírozási megállapodások hatálybalépése</w:t>
            </w:r>
          </w:p>
        </w:tc>
        <w:tc>
          <w:tcPr>
            <w:tcW w:w="851" w:type="dxa"/>
            <w:shd w:val="clear" w:color="auto" w:fill="C6EFCE"/>
            <w:noWrap/>
          </w:tcPr>
          <w:p w14:paraId="2D173D44" w14:textId="0FCC8573" w:rsidR="003E1D81" w:rsidRDefault="003E1D81">
            <w:pPr>
              <w:spacing w:line="240" w:lineRule="auto"/>
              <w:jc w:val="center"/>
              <w:rPr>
                <w:rFonts w:ascii="Times New Roman" w:eastAsia="MS Mincho" w:hAnsi="Times New Roman" w:cs="Times New Roman"/>
                <w:noProof/>
                <w:sz w:val="18"/>
              </w:rPr>
            </w:pPr>
          </w:p>
        </w:tc>
        <w:tc>
          <w:tcPr>
            <w:tcW w:w="567" w:type="dxa"/>
            <w:shd w:val="clear" w:color="auto" w:fill="C6EFCE"/>
            <w:noWrap/>
          </w:tcPr>
          <w:p w14:paraId="4D6F13DE" w14:textId="21999F9C" w:rsidR="003E1D81" w:rsidRDefault="00EB481C">
            <w:pPr>
              <w:pStyle w:val="P68B1DB1-Normal13"/>
              <w:spacing w:line="240" w:lineRule="auto"/>
              <w:jc w:val="center"/>
              <w:rPr>
                <w:rFonts w:eastAsia="MS Mincho" w:cs="Times New Roman"/>
                <w:noProof/>
              </w:rPr>
            </w:pPr>
            <w:r>
              <w:rPr>
                <w:noProof/>
              </w:rPr>
              <w:t>40%</w:t>
            </w:r>
          </w:p>
        </w:tc>
        <w:tc>
          <w:tcPr>
            <w:tcW w:w="615" w:type="dxa"/>
            <w:shd w:val="clear" w:color="auto" w:fill="C6EFCE"/>
            <w:noWrap/>
          </w:tcPr>
          <w:p w14:paraId="0246FBFE" w14:textId="2C356C95" w:rsidR="003E1D81" w:rsidRDefault="00EB481C">
            <w:pPr>
              <w:pStyle w:val="P68B1DB1-Normal13"/>
              <w:spacing w:line="240" w:lineRule="auto"/>
              <w:jc w:val="center"/>
              <w:rPr>
                <w:rFonts w:eastAsia="MS Mincho" w:cs="Times New Roman"/>
                <w:noProof/>
              </w:rPr>
            </w:pPr>
            <w:r>
              <w:rPr>
                <w:noProof/>
              </w:rPr>
              <w:t>100%-OS</w:t>
            </w:r>
          </w:p>
        </w:tc>
        <w:tc>
          <w:tcPr>
            <w:tcW w:w="377" w:type="dxa"/>
            <w:shd w:val="clear" w:color="auto" w:fill="C6EFCE"/>
            <w:noWrap/>
          </w:tcPr>
          <w:p w14:paraId="443766DD" w14:textId="1C897B17" w:rsidR="003E1D81" w:rsidRDefault="00EB481C">
            <w:pPr>
              <w:pStyle w:val="P68B1DB1-Normal13"/>
              <w:spacing w:line="240" w:lineRule="auto"/>
              <w:jc w:val="center"/>
              <w:rPr>
                <w:rFonts w:eastAsia="MS Mincho" w:cs="Times New Roman"/>
                <w:noProof/>
              </w:rPr>
            </w:pPr>
            <w:r>
              <w:rPr>
                <w:noProof/>
              </w:rPr>
              <w:t>NEGYEDÉV</w:t>
            </w:r>
          </w:p>
        </w:tc>
        <w:tc>
          <w:tcPr>
            <w:tcW w:w="567" w:type="dxa"/>
            <w:shd w:val="clear" w:color="auto" w:fill="C6EFCE"/>
            <w:noWrap/>
          </w:tcPr>
          <w:p w14:paraId="4C89FFCC" w14:textId="13364794" w:rsidR="003E1D81" w:rsidRDefault="00EB481C">
            <w:pPr>
              <w:pStyle w:val="P68B1DB1-Normal13"/>
              <w:spacing w:line="240" w:lineRule="auto"/>
              <w:jc w:val="center"/>
              <w:rPr>
                <w:rFonts w:eastAsia="MS Mincho" w:cs="Times New Roman"/>
                <w:noProof/>
              </w:rPr>
            </w:pPr>
            <w:r>
              <w:rPr>
                <w:noProof/>
              </w:rPr>
              <w:t>2026</w:t>
            </w:r>
          </w:p>
        </w:tc>
        <w:tc>
          <w:tcPr>
            <w:tcW w:w="7088" w:type="dxa"/>
            <w:shd w:val="clear" w:color="auto" w:fill="C6EFCE"/>
            <w:noWrap/>
          </w:tcPr>
          <w:p w14:paraId="6A232E7E" w14:textId="06BB6E20" w:rsidR="003E1D81" w:rsidRDefault="00EB481C">
            <w:pPr>
              <w:pStyle w:val="P68B1DB1-Normal13"/>
              <w:spacing w:line="240" w:lineRule="auto"/>
              <w:rPr>
                <w:rFonts w:eastAsia="MS Mincho" w:cs="Times New Roman"/>
                <w:noProof/>
                <w:highlight w:val="yellow"/>
              </w:rPr>
            </w:pPr>
            <w:r>
              <w:rPr>
                <w:noProof/>
              </w:rPr>
              <w:t>Az ICO-nak és az ICO által kiválasztott közvetítőknek jogi finanszírozási megállapodásokat kell kötniük a végső kedvezményezettekkel a Helyreállítási és Rezilienciaépítési Eszközbe történő beruházás 100%-ának felhasználásához szükséges össze</w:t>
            </w:r>
            <w:r>
              <w:rPr>
                <w:noProof/>
              </w:rPr>
              <w:t>gről (figyelembe véve az irányítási díjakat). E finanszírozás legalább 53%-ának a Helyreállítási és Rezilienciaépítési Eszközről szóló rendelet VI. mellékletében foglalt módszertan alkalmazásával kell hozzájárulnia az éghajlat-politikai célkitűzésekhez.</w:t>
            </w:r>
          </w:p>
        </w:tc>
      </w:tr>
      <w:tr w:rsidR="003E1D81" w14:paraId="6B2B8293" w14:textId="77777777">
        <w:trPr>
          <w:trHeight w:val="309"/>
        </w:trPr>
        <w:tc>
          <w:tcPr>
            <w:tcW w:w="709" w:type="dxa"/>
            <w:shd w:val="clear" w:color="auto" w:fill="C6EFCE"/>
            <w:noWrap/>
          </w:tcPr>
          <w:p w14:paraId="1CF3BA19" w14:textId="0C399F54" w:rsidR="003E1D81" w:rsidRDefault="00EB481C">
            <w:pPr>
              <w:pStyle w:val="P68B1DB1-Normal13"/>
              <w:spacing w:line="240" w:lineRule="auto"/>
              <w:jc w:val="center"/>
              <w:rPr>
                <w:rFonts w:cs="Times New Roman"/>
                <w:noProof/>
              </w:rPr>
            </w:pPr>
            <w:r>
              <w:rPr>
                <w:noProof/>
              </w:rPr>
              <w:t>L7</w:t>
            </w:r>
          </w:p>
        </w:tc>
        <w:tc>
          <w:tcPr>
            <w:tcW w:w="851" w:type="dxa"/>
            <w:shd w:val="clear" w:color="auto" w:fill="C6EFCE"/>
            <w:noWrap/>
          </w:tcPr>
          <w:p w14:paraId="1408412B" w14:textId="7DB586C1" w:rsidR="003E1D81" w:rsidRDefault="00EB481C">
            <w:pPr>
              <w:pStyle w:val="P68B1DB1-Normal13"/>
              <w:spacing w:line="240" w:lineRule="auto"/>
              <w:jc w:val="center"/>
              <w:rPr>
                <w:rFonts w:cs="Times New Roman"/>
                <w:noProof/>
              </w:rPr>
            </w:pPr>
            <w:r>
              <w:rPr>
                <w:noProof/>
              </w:rPr>
              <w:t>C2.I7</w:t>
            </w:r>
          </w:p>
        </w:tc>
        <w:tc>
          <w:tcPr>
            <w:tcW w:w="850" w:type="dxa"/>
            <w:shd w:val="clear" w:color="auto" w:fill="C6EFCE"/>
            <w:noWrap/>
          </w:tcPr>
          <w:p w14:paraId="10367F2B" w14:textId="065962E0" w:rsidR="003E1D81" w:rsidRDefault="00EB481C">
            <w:pPr>
              <w:pStyle w:val="P68B1DB1-Normal13"/>
              <w:spacing w:line="240" w:lineRule="auto"/>
              <w:jc w:val="center"/>
              <w:rPr>
                <w:rFonts w:eastAsia="Times New Roman" w:cs="Times New Roman"/>
                <w:noProof/>
              </w:rPr>
            </w:pPr>
            <w:r>
              <w:rPr>
                <w:noProof/>
              </w:rPr>
              <w:t>M</w:t>
            </w:r>
          </w:p>
        </w:tc>
        <w:tc>
          <w:tcPr>
            <w:tcW w:w="1560" w:type="dxa"/>
            <w:shd w:val="clear" w:color="auto" w:fill="C6EFCE"/>
            <w:noWrap/>
          </w:tcPr>
          <w:p w14:paraId="7C8F71CB" w14:textId="5F7C72DA" w:rsidR="003E1D81" w:rsidRDefault="00EB481C">
            <w:pPr>
              <w:pStyle w:val="P68B1DB1-Normal13"/>
              <w:spacing w:line="240" w:lineRule="auto"/>
              <w:rPr>
                <w:rFonts w:eastAsia="Times New Roman" w:cs="Times New Roman"/>
                <w:noProof/>
              </w:rPr>
            </w:pPr>
            <w:r>
              <w:rPr>
                <w:noProof/>
              </w:rPr>
              <w:t>Az ICO hiteleszköze a szociális lakhatás előmozdítására: A minisztérium befejezte a beruházást</w:t>
            </w:r>
          </w:p>
        </w:tc>
        <w:tc>
          <w:tcPr>
            <w:tcW w:w="1275" w:type="dxa"/>
            <w:shd w:val="clear" w:color="auto" w:fill="C6EFCE"/>
            <w:noWrap/>
          </w:tcPr>
          <w:p w14:paraId="71336454" w14:textId="444EFBFF" w:rsidR="003E1D81" w:rsidRDefault="00EB481C">
            <w:pPr>
              <w:pStyle w:val="P68B1DB1-Normal13"/>
              <w:spacing w:line="240" w:lineRule="auto"/>
              <w:jc w:val="center"/>
              <w:rPr>
                <w:rFonts w:eastAsia="Times New Roman" w:cs="Times New Roman"/>
                <w:noProof/>
              </w:rPr>
            </w:pPr>
            <w:r>
              <w:rPr>
                <w:noProof/>
              </w:rPr>
              <w:t>Átadási igazolás</w:t>
            </w:r>
          </w:p>
        </w:tc>
        <w:tc>
          <w:tcPr>
            <w:tcW w:w="851" w:type="dxa"/>
            <w:shd w:val="clear" w:color="auto" w:fill="C6EFCE"/>
            <w:noWrap/>
          </w:tcPr>
          <w:p w14:paraId="25B9BE26" w14:textId="4D610181" w:rsidR="003E1D81" w:rsidRDefault="003E1D81">
            <w:pPr>
              <w:spacing w:line="240" w:lineRule="auto"/>
              <w:jc w:val="center"/>
              <w:rPr>
                <w:rFonts w:ascii="Times New Roman" w:eastAsia="Times New Roman" w:hAnsi="Times New Roman" w:cs="Times New Roman"/>
                <w:noProof/>
                <w:sz w:val="18"/>
              </w:rPr>
            </w:pPr>
          </w:p>
        </w:tc>
        <w:tc>
          <w:tcPr>
            <w:tcW w:w="567" w:type="dxa"/>
            <w:shd w:val="clear" w:color="auto" w:fill="C6EFCE"/>
            <w:noWrap/>
          </w:tcPr>
          <w:p w14:paraId="122EAD9D" w14:textId="40776BE9" w:rsidR="003E1D81" w:rsidRDefault="003E1D81">
            <w:pPr>
              <w:spacing w:line="240" w:lineRule="auto"/>
              <w:jc w:val="center"/>
              <w:rPr>
                <w:rFonts w:ascii="Times New Roman" w:eastAsia="Times New Roman" w:hAnsi="Times New Roman" w:cs="Times New Roman"/>
                <w:noProof/>
                <w:sz w:val="18"/>
              </w:rPr>
            </w:pPr>
          </w:p>
        </w:tc>
        <w:tc>
          <w:tcPr>
            <w:tcW w:w="615" w:type="dxa"/>
            <w:shd w:val="clear" w:color="auto" w:fill="C6EFCE"/>
            <w:noWrap/>
          </w:tcPr>
          <w:p w14:paraId="7D2A09D9" w14:textId="0C44DE8B" w:rsidR="003E1D81" w:rsidRDefault="003E1D81">
            <w:pPr>
              <w:spacing w:line="240" w:lineRule="auto"/>
              <w:jc w:val="center"/>
              <w:rPr>
                <w:rFonts w:ascii="Times New Roman" w:eastAsia="Times New Roman" w:hAnsi="Times New Roman" w:cs="Times New Roman"/>
                <w:noProof/>
                <w:sz w:val="18"/>
              </w:rPr>
            </w:pPr>
          </w:p>
        </w:tc>
        <w:tc>
          <w:tcPr>
            <w:tcW w:w="377" w:type="dxa"/>
            <w:shd w:val="clear" w:color="auto" w:fill="C6EFCE"/>
            <w:noWrap/>
          </w:tcPr>
          <w:p w14:paraId="28734C61" w14:textId="6143EC0F" w:rsidR="003E1D81" w:rsidRDefault="00EB481C">
            <w:pPr>
              <w:pStyle w:val="P68B1DB1-Normal13"/>
              <w:spacing w:line="240" w:lineRule="auto"/>
              <w:jc w:val="center"/>
              <w:rPr>
                <w:rFonts w:eastAsia="Times New Roman" w:cs="Times New Roman"/>
                <w:noProof/>
              </w:rPr>
            </w:pPr>
            <w:r>
              <w:rPr>
                <w:noProof/>
              </w:rPr>
              <w:t>NEGYEDÉV</w:t>
            </w:r>
          </w:p>
        </w:tc>
        <w:tc>
          <w:tcPr>
            <w:tcW w:w="567" w:type="dxa"/>
            <w:shd w:val="clear" w:color="auto" w:fill="C6EFCE"/>
            <w:noWrap/>
          </w:tcPr>
          <w:p w14:paraId="56C6C541" w14:textId="16AFCE3E" w:rsidR="003E1D81" w:rsidRDefault="00EB481C">
            <w:pPr>
              <w:pStyle w:val="P68B1DB1-Normal13"/>
              <w:spacing w:line="240" w:lineRule="auto"/>
              <w:jc w:val="center"/>
              <w:rPr>
                <w:rFonts w:eastAsia="Times New Roman" w:cs="Times New Roman"/>
                <w:noProof/>
              </w:rPr>
            </w:pPr>
            <w:r>
              <w:rPr>
                <w:noProof/>
              </w:rPr>
              <w:t>2026</w:t>
            </w:r>
          </w:p>
        </w:tc>
        <w:tc>
          <w:tcPr>
            <w:tcW w:w="7088" w:type="dxa"/>
            <w:shd w:val="clear" w:color="auto" w:fill="C6EFCE"/>
            <w:noWrap/>
          </w:tcPr>
          <w:p w14:paraId="7E8991B2" w14:textId="017421DC" w:rsidR="003E1D81" w:rsidRDefault="00EB481C">
            <w:pPr>
              <w:pStyle w:val="P68B1DB1-Normal13"/>
              <w:spacing w:line="240" w:lineRule="auto"/>
              <w:rPr>
                <w:rFonts w:eastAsia="Times New Roman" w:cs="Times New Roman"/>
                <w:noProof/>
              </w:rPr>
            </w:pPr>
            <w:r>
              <w:rPr>
                <w:noProof/>
              </w:rPr>
              <w:t>Spanyolország 4 000 000 000 EUR-t csoportosít át az ICO-eszközbe.</w:t>
            </w:r>
          </w:p>
          <w:p w14:paraId="0F7D42DE" w14:textId="42AE55C2" w:rsidR="003E1D81" w:rsidRDefault="003E1D81">
            <w:pPr>
              <w:spacing w:line="240" w:lineRule="auto"/>
              <w:rPr>
                <w:rFonts w:ascii="Times New Roman" w:eastAsia="Times New Roman" w:hAnsi="Times New Roman" w:cs="Times New Roman"/>
                <w:noProof/>
                <w:sz w:val="18"/>
              </w:rPr>
            </w:pPr>
          </w:p>
        </w:tc>
      </w:tr>
    </w:tbl>
    <w:p w14:paraId="1FC39945" w14:textId="77777777" w:rsidR="003E1D81" w:rsidRDefault="003E1D81">
      <w:pPr>
        <w:spacing w:before="120" w:after="120" w:line="240" w:lineRule="auto"/>
        <w:jc w:val="both"/>
        <w:rPr>
          <w:rFonts w:ascii="Times New Roman" w:hAnsi="Times New Roman" w:cs="Times New Roman"/>
          <w:noProof/>
          <w:sz w:val="24"/>
        </w:rPr>
        <w:sectPr w:rsidR="003E1D81" w:rsidSect="00B90E2C">
          <w:headerReference w:type="even" r:id="rId72"/>
          <w:headerReference w:type="default" r:id="rId73"/>
          <w:footerReference w:type="even" r:id="rId74"/>
          <w:footerReference w:type="default" r:id="rId75"/>
          <w:headerReference w:type="first" r:id="rId76"/>
          <w:footerReference w:type="first" r:id="rId77"/>
          <w:pgSz w:w="16839" w:h="11907" w:orient="landscape"/>
          <w:pgMar w:top="1417" w:right="1134" w:bottom="1417" w:left="1134" w:header="709" w:footer="709" w:gutter="0"/>
          <w:cols w:space="720"/>
          <w:docGrid w:linePitch="360"/>
        </w:sectPr>
      </w:pPr>
    </w:p>
    <w:p w14:paraId="3FF61C03" w14:textId="77777777" w:rsidR="003E1D81" w:rsidRDefault="00EB481C">
      <w:pPr>
        <w:pStyle w:val="P68B1DB1-Heading12"/>
        <w:rPr>
          <w:rFonts w:cs="Times New Roman"/>
          <w:noProof/>
        </w:rPr>
      </w:pPr>
      <w:r>
        <w:rPr>
          <w:noProof/>
        </w:rPr>
        <w:t>C. 03. ÖSSZETEVŐ: Az agrár-élelmiszeripari és halászati rendszer környezeti és digitális átalakítása</w:t>
      </w:r>
    </w:p>
    <w:p w14:paraId="7393EFBB" w14:textId="77777777" w:rsidR="003E1D81" w:rsidRDefault="00EB481C">
      <w:pPr>
        <w:pStyle w:val="P68B1DB1-Normal4"/>
        <w:spacing w:before="120" w:after="120" w:line="240" w:lineRule="auto"/>
        <w:jc w:val="both"/>
        <w:rPr>
          <w:rFonts w:cs="Times New Roman"/>
          <w:noProof/>
        </w:rPr>
      </w:pPr>
      <w:r>
        <w:rPr>
          <w:noProof/>
        </w:rPr>
        <w:t>A spanyol helyreállítási és rezilienciaépítési terv e komponensének javítania kell az agrár-élelmiszeripari és halászati ágazat f</w:t>
      </w:r>
      <w:r>
        <w:rPr>
          <w:noProof/>
        </w:rPr>
        <w:t>enntarthatóságát, versenyképességét és rezilienciáját gazdasági, környezeti és társadalmi szempontból. E célkitűzés elérése érdekében a spanyol helyreállítási és rezilienciaépítési terv e komponensében foglalt beruházások és reformok</w:t>
      </w:r>
      <w:r>
        <w:rPr>
          <w:b/>
          <w:noProof/>
        </w:rPr>
        <w:t xml:space="preserve"> </w:t>
      </w:r>
      <w:r>
        <w:rPr>
          <w:noProof/>
        </w:rPr>
        <w:t xml:space="preserve">a következő elemekre </w:t>
      </w:r>
      <w:r>
        <w:rPr>
          <w:noProof/>
        </w:rPr>
        <w:t>összpontosítanak:</w:t>
      </w:r>
    </w:p>
    <w:p w14:paraId="7108D29F" w14:textId="77777777" w:rsidR="003E1D81" w:rsidRDefault="00EB481C">
      <w:pPr>
        <w:pStyle w:val="P68B1DB1-Normal4"/>
        <w:numPr>
          <w:ilvl w:val="0"/>
          <w:numId w:val="73"/>
        </w:numPr>
        <w:spacing w:before="120" w:after="120" w:line="240" w:lineRule="auto"/>
        <w:ind w:left="425" w:hanging="425"/>
        <w:contextualSpacing/>
        <w:jc w:val="both"/>
        <w:rPr>
          <w:rFonts w:cs="Times New Roman"/>
          <w:noProof/>
        </w:rPr>
      </w:pPr>
      <w:r>
        <w:rPr>
          <w:noProof/>
        </w:rPr>
        <w:t>Az öntözés hatékonyságának és fenntarthatóságának javítása;</w:t>
      </w:r>
    </w:p>
    <w:p w14:paraId="2967FDFE" w14:textId="77777777" w:rsidR="003E1D81" w:rsidRDefault="00EB481C">
      <w:pPr>
        <w:pStyle w:val="P68B1DB1-Normal4"/>
        <w:numPr>
          <w:ilvl w:val="0"/>
          <w:numId w:val="73"/>
        </w:numPr>
        <w:spacing w:before="120" w:after="120" w:line="240" w:lineRule="auto"/>
        <w:ind w:left="425" w:hanging="425"/>
        <w:contextualSpacing/>
        <w:jc w:val="both"/>
        <w:rPr>
          <w:rFonts w:cs="Times New Roman"/>
          <w:noProof/>
        </w:rPr>
      </w:pPr>
      <w:r>
        <w:rPr>
          <w:noProof/>
        </w:rPr>
        <w:t>a mezőgazdaság és az állattenyésztés fenntarthatóságának és versenyképességének fokozása;</w:t>
      </w:r>
    </w:p>
    <w:p w14:paraId="43D2A3C8" w14:textId="77777777" w:rsidR="003E1D81" w:rsidRDefault="00EB481C">
      <w:pPr>
        <w:pStyle w:val="P68B1DB1-Normal4"/>
        <w:numPr>
          <w:ilvl w:val="0"/>
          <w:numId w:val="73"/>
        </w:numPr>
        <w:spacing w:before="120" w:after="120" w:line="240" w:lineRule="auto"/>
        <w:ind w:left="425" w:hanging="425"/>
        <w:contextualSpacing/>
        <w:jc w:val="both"/>
        <w:rPr>
          <w:rFonts w:cs="Times New Roman"/>
          <w:noProof/>
        </w:rPr>
      </w:pPr>
      <w:r>
        <w:rPr>
          <w:noProof/>
        </w:rPr>
        <w:t>az agrár-élelmiszeripari ágazat és a vidéki ágazatok egészének digitalizációját előmozdí</w:t>
      </w:r>
      <w:r>
        <w:rPr>
          <w:noProof/>
        </w:rPr>
        <w:t>tó stratégia bevezetése; és</w:t>
      </w:r>
    </w:p>
    <w:p w14:paraId="02B938DA" w14:textId="77777777" w:rsidR="003E1D81" w:rsidRDefault="00EB481C">
      <w:pPr>
        <w:pStyle w:val="P68B1DB1-Normal4"/>
        <w:numPr>
          <w:ilvl w:val="0"/>
          <w:numId w:val="73"/>
        </w:numPr>
        <w:spacing w:before="120" w:after="120" w:line="240" w:lineRule="auto"/>
        <w:ind w:left="426" w:hanging="426"/>
        <w:jc w:val="both"/>
        <w:rPr>
          <w:rFonts w:cs="Times New Roman"/>
          <w:noProof/>
        </w:rPr>
      </w:pPr>
      <w:r>
        <w:rPr>
          <w:noProof/>
        </w:rPr>
        <w:t>a halászati ágazat fenntarthatóságának, kutatásának, innovációjának és digitalizációjának előmozdítása.</w:t>
      </w:r>
    </w:p>
    <w:p w14:paraId="3730B049" w14:textId="77777777" w:rsidR="003E1D81" w:rsidRDefault="00EB481C">
      <w:pPr>
        <w:pStyle w:val="P68B1DB1-Normal4"/>
        <w:spacing w:before="120" w:after="120" w:line="240" w:lineRule="auto"/>
        <w:jc w:val="both"/>
        <w:rPr>
          <w:rFonts w:cs="Times New Roman"/>
          <w:noProof/>
        </w:rPr>
      </w:pPr>
      <w:r>
        <w:rPr>
          <w:noProof/>
        </w:rPr>
        <w:t>A komponens az innovációba és az energiahatékonyságba történő beruházások előmozdításáról (2019. évi 3. országspecifikus ajá</w:t>
      </w:r>
      <w:r>
        <w:rPr>
          <w:noProof/>
        </w:rPr>
        <w:t>nlás), a digitális tanuláshoz való hozzáférés javításáról (2020. évi 2. országspecifikus ajánlás), valamint a köz- és magánberuházások előmozdításáról és a zöld átállás előmozdításáról (2020. évi 3. országspecifikus ajánlás) szóló országspecifikus ajánláso</w:t>
      </w:r>
      <w:r>
        <w:rPr>
          <w:noProof/>
        </w:rPr>
        <w:t>kkal foglalkozik.</w:t>
      </w:r>
    </w:p>
    <w:p w14:paraId="6079AE52" w14:textId="77777777" w:rsidR="003E1D81" w:rsidRDefault="00EB481C">
      <w:pPr>
        <w:pStyle w:val="P68B1DB1-Normal4"/>
        <w:spacing w:before="120" w:after="120" w:line="240" w:lineRule="auto"/>
        <w:jc w:val="both"/>
        <w:rPr>
          <w:rFonts w:cs="Times New Roman"/>
          <w:noProof/>
        </w:rPr>
      </w:pPr>
      <w:r>
        <w:rPr>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w:t>
      </w:r>
      <w:r>
        <w:rPr>
          <w:noProof/>
        </w:rPr>
        <w:t xml:space="preserve">eghatározott enyhítő lépéseket figyelembe véve ebben a komponensben várhatóan egyetlen intézkedés sem sérti jelentős mértékben az (EU) 2020/852 rendelet 17. cikke szerinti környezeti célkitűzéseket. </w:t>
      </w:r>
    </w:p>
    <w:p w14:paraId="3807EE3C" w14:textId="77777777" w:rsidR="003E1D81" w:rsidRDefault="00EB481C">
      <w:pPr>
        <w:pStyle w:val="P68B1DB1-Normal5"/>
        <w:spacing w:before="120" w:after="120" w:line="240" w:lineRule="auto"/>
        <w:ind w:left="720"/>
        <w:jc w:val="both"/>
        <w:rPr>
          <w:rFonts w:cs="Times New Roman"/>
          <w:i/>
          <w:noProof/>
        </w:rPr>
      </w:pPr>
      <w:r>
        <w:rPr>
          <w:noProof/>
        </w:rPr>
        <w:t xml:space="preserve">C.1. </w:t>
      </w:r>
      <w:r>
        <w:rPr>
          <w:noProof/>
        </w:rPr>
        <w:tab/>
        <w:t>Vissza nem térítendő pénzügyi támogatás – a reform</w:t>
      </w:r>
      <w:r>
        <w:rPr>
          <w:noProof/>
        </w:rPr>
        <w:t>ok és beruházások ismertetése</w:t>
      </w:r>
    </w:p>
    <w:p w14:paraId="1234D340" w14:textId="77777777" w:rsidR="003E1D81" w:rsidRDefault="00EB481C">
      <w:pPr>
        <w:pStyle w:val="P68B1DB1-Normal6"/>
        <w:spacing w:before="120" w:after="120" w:line="240" w:lineRule="auto"/>
        <w:jc w:val="both"/>
        <w:rPr>
          <w:rFonts w:cs="Times New Roman"/>
          <w:noProof/>
        </w:rPr>
      </w:pPr>
      <w:r>
        <w:rPr>
          <w:noProof/>
        </w:rPr>
        <w:t>Reform (C3.R1) – Az élelmiszerláncon belüli kereskedelmi kapcsolatokra vonatkozó szabályok módosítása, beleértve az élelmiszerlánc működésének javítását célzó intézkedésekről szóló, 2007. augusztus 2-i 12/2013. sz. törvény mód</w:t>
      </w:r>
      <w:r>
        <w:rPr>
          <w:noProof/>
        </w:rPr>
        <w:t>osítását</w:t>
      </w:r>
    </w:p>
    <w:p w14:paraId="2518E7B7" w14:textId="77777777" w:rsidR="003E1D81" w:rsidRDefault="00EB481C">
      <w:pPr>
        <w:pStyle w:val="P68B1DB1-Normal4"/>
        <w:spacing w:before="120" w:after="120" w:line="240" w:lineRule="auto"/>
        <w:jc w:val="both"/>
        <w:rPr>
          <w:rFonts w:cs="Times New Roman"/>
          <w:noProof/>
        </w:rPr>
      </w:pPr>
      <w:r>
        <w:rPr>
          <w:noProof/>
        </w:rPr>
        <w:t>Ezen intézkedés célja az élelmiszerlánc működésének javítása az élelmiszerláncon belüli kereskedelmi kapcsolatokat szabályozó nemzeti jogszabályok módosításával (12/2013. sz. törvény), többek között az (EU) 2019/633 irányelv átültetésén túlmenően.</w:t>
      </w:r>
      <w:r>
        <w:rPr>
          <w:noProof/>
        </w:rPr>
        <w:t xml:space="preserve"> Az intézkedésnek legalább a következőkre kell kiterjednie:</w:t>
      </w:r>
    </w:p>
    <w:p w14:paraId="311FCBFE" w14:textId="77777777" w:rsidR="003E1D81" w:rsidRDefault="00EB481C">
      <w:pPr>
        <w:pStyle w:val="P68B1DB1-Normal4"/>
        <w:numPr>
          <w:ilvl w:val="0"/>
          <w:numId w:val="74"/>
        </w:numPr>
        <w:spacing w:before="120" w:after="120" w:line="240" w:lineRule="auto"/>
        <w:ind w:left="425" w:hanging="425"/>
        <w:contextualSpacing/>
        <w:jc w:val="both"/>
        <w:rPr>
          <w:rFonts w:cs="Times New Roman"/>
          <w:noProof/>
        </w:rPr>
      </w:pPr>
      <w:r>
        <w:rPr>
          <w:noProof/>
        </w:rPr>
        <w:t xml:space="preserve">A jogszabály hatályának kiterjesztése i. kereskedelmi kapcsolatok mind a tagállamokra, mind a harmadik országokra, amennyiben valamely piaci szereplő Spanyolországban található, valamint ii. az </w:t>
      </w:r>
      <w:r>
        <w:rPr>
          <w:noProof/>
        </w:rPr>
        <w:t>Európai Unió működéséről szóló szerződés I. mellékletében szereplő nyersanyagokra és egyéb termékekre;</w:t>
      </w:r>
    </w:p>
    <w:p w14:paraId="4735A7DF" w14:textId="77777777" w:rsidR="003E1D81" w:rsidRDefault="00EB481C">
      <w:pPr>
        <w:pStyle w:val="P68B1DB1-Normal4"/>
        <w:numPr>
          <w:ilvl w:val="0"/>
          <w:numId w:val="74"/>
        </w:numPr>
        <w:spacing w:before="120" w:after="120" w:line="240" w:lineRule="auto"/>
        <w:ind w:left="425" w:hanging="425"/>
        <w:contextualSpacing/>
        <w:jc w:val="both"/>
        <w:rPr>
          <w:rFonts w:cs="Times New Roman"/>
          <w:noProof/>
        </w:rPr>
      </w:pPr>
      <w:r>
        <w:rPr>
          <w:noProof/>
        </w:rPr>
        <w:t>az élelmiszer-szerződések minimális tartalmának kiterjesztése i. szerződéses szankciókkal, ii. vis maior miatti kivételekkel, valamint iii. az érintett f</w:t>
      </w:r>
      <w:r>
        <w:rPr>
          <w:noProof/>
        </w:rPr>
        <w:t>elek közvetítés iránti megkeresésére való hivatkozással a nem megállapodás eseteinek kezelése érdekében;</w:t>
      </w:r>
    </w:p>
    <w:p w14:paraId="0E244484" w14:textId="77777777" w:rsidR="003E1D81" w:rsidRDefault="00EB481C">
      <w:pPr>
        <w:pStyle w:val="P68B1DB1-Normal4"/>
        <w:numPr>
          <w:ilvl w:val="0"/>
          <w:numId w:val="74"/>
        </w:numPr>
        <w:spacing w:before="120" w:after="120" w:line="240" w:lineRule="auto"/>
        <w:ind w:left="425" w:hanging="425"/>
        <w:contextualSpacing/>
        <w:jc w:val="both"/>
        <w:rPr>
          <w:rFonts w:cs="Times New Roman"/>
          <w:noProof/>
        </w:rPr>
      </w:pPr>
      <w:r>
        <w:rPr>
          <w:noProof/>
        </w:rPr>
        <w:t>a tisztességtelen kereskedelmi gyakorlatok listájának kibővítése, mint például a szerződések egyoldalú módosítása a mennyiség vagy az eladatlan terméke</w:t>
      </w:r>
      <w:r>
        <w:rPr>
          <w:noProof/>
        </w:rPr>
        <w:t>k visszaküldése tekintetében; és</w:t>
      </w:r>
    </w:p>
    <w:p w14:paraId="7CDA0286" w14:textId="77777777" w:rsidR="003E1D81" w:rsidRDefault="00EB481C">
      <w:pPr>
        <w:pStyle w:val="P68B1DB1-Normal4"/>
        <w:numPr>
          <w:ilvl w:val="0"/>
          <w:numId w:val="74"/>
        </w:numPr>
        <w:spacing w:before="120" w:after="120" w:line="240" w:lineRule="auto"/>
        <w:ind w:left="426" w:hanging="426"/>
        <w:jc w:val="both"/>
        <w:rPr>
          <w:rFonts w:cs="Times New Roman"/>
          <w:noProof/>
        </w:rPr>
      </w:pPr>
      <w:r>
        <w:rPr>
          <w:noProof/>
        </w:rPr>
        <w:t>elismerve, hogy az Élelmiszerügyi Információs és Ellenőrző Hivatal a jogszabályok nemzeti szintű betartásának ellenőrzéséhez szükséges ellenőrzési rendszer létrehozásáért és fejlesztéséért felelős szerv, valamint a végrehaj</w:t>
      </w:r>
      <w:r>
        <w:rPr>
          <w:noProof/>
        </w:rPr>
        <w:t>tó hatóságok közötti, valamint az Európai Bizottsággal és az autonóm közösségekkel folytatott együttműködés kapcsolattartója.</w:t>
      </w:r>
      <w:r>
        <w:rPr>
          <w:noProof/>
        </w:rPr>
        <w:tab/>
      </w:r>
    </w:p>
    <w:p w14:paraId="50CF7AFA" w14:textId="77777777" w:rsidR="003E1D81" w:rsidRDefault="00EB481C">
      <w:pPr>
        <w:pStyle w:val="P68B1DB1-Normal4"/>
        <w:spacing w:before="120" w:after="120" w:line="240" w:lineRule="auto"/>
        <w:jc w:val="both"/>
        <w:rPr>
          <w:rFonts w:cs="Times New Roman"/>
          <w:noProof/>
        </w:rPr>
      </w:pPr>
      <w:r>
        <w:rPr>
          <w:noProof/>
        </w:rPr>
        <w:t>Az intézkedés kiegészíti i. a mezőgazdaságra és az élelmiszerekre vonatkozó sürgős intézkedéseket elfogadó, 2020. február 25-i 5/</w:t>
      </w:r>
      <w:r>
        <w:rPr>
          <w:noProof/>
        </w:rPr>
        <w:t>2020. sz. királyi törvényerejű rendeletet, valamint ii. az élelmiszerlánc működésének javítását célzó sürgős intézkedésekről szóló 12/2013. sz. törvény módosításáról szóló 8/2020. sz. törvényt.</w:t>
      </w:r>
    </w:p>
    <w:p w14:paraId="652B9321" w14:textId="77777777" w:rsidR="003E1D81" w:rsidRDefault="00EB481C">
      <w:pPr>
        <w:pStyle w:val="P68B1DB1-Normal4"/>
        <w:spacing w:before="120" w:after="120" w:line="240" w:lineRule="auto"/>
        <w:jc w:val="both"/>
        <w:rPr>
          <w:rFonts w:cs="Times New Roman"/>
          <w:noProof/>
        </w:rPr>
      </w:pPr>
      <w:r>
        <w:rPr>
          <w:noProof/>
        </w:rPr>
        <w:t>Az intézkedés végrehajtását 2021. december 31-ig be kell fejez</w:t>
      </w:r>
      <w:r>
        <w:rPr>
          <w:noProof/>
        </w:rPr>
        <w:t>ni.</w:t>
      </w:r>
    </w:p>
    <w:p w14:paraId="65CF45F9" w14:textId="77777777" w:rsidR="003E1D81" w:rsidRDefault="00EB481C">
      <w:pPr>
        <w:pStyle w:val="P68B1DB1-Normal6"/>
        <w:spacing w:before="120" w:after="120" w:line="240" w:lineRule="auto"/>
        <w:jc w:val="both"/>
        <w:rPr>
          <w:rFonts w:cs="Times New Roman"/>
          <w:noProof/>
        </w:rPr>
      </w:pPr>
      <w:bookmarkStart w:id="6" w:name="_Hlk144118141"/>
      <w:r>
        <w:rPr>
          <w:noProof/>
        </w:rPr>
        <w:t>Reform (C3.R2) – Az állattenyésztés környezeti fenntarthatóságára vonatkozó szabályozási keret kidolgozása és felülvizsgálata</w:t>
      </w:r>
    </w:p>
    <w:bookmarkEnd w:id="6"/>
    <w:p w14:paraId="1D9E2DBB" w14:textId="77777777" w:rsidR="003E1D81" w:rsidRDefault="00EB481C">
      <w:pPr>
        <w:pStyle w:val="P68B1DB1-Normal4"/>
        <w:spacing w:before="120" w:after="120" w:line="240" w:lineRule="auto"/>
        <w:jc w:val="both"/>
        <w:rPr>
          <w:rFonts w:cs="Times New Roman"/>
          <w:noProof/>
        </w:rPr>
      </w:pPr>
      <w:r>
        <w:rPr>
          <w:noProof/>
        </w:rPr>
        <w:t>Ez az intézkedés a jogszabályi keret alábbiak szerinti kidolgozásával és felülvizsgálatával javítja az állattenyésztés környez</w:t>
      </w:r>
      <w:r>
        <w:rPr>
          <w:noProof/>
        </w:rPr>
        <w:t>eti fenntarthatóságát:</w:t>
      </w:r>
    </w:p>
    <w:p w14:paraId="28ED085C" w14:textId="77777777" w:rsidR="003E1D81" w:rsidRDefault="00EB481C">
      <w:pPr>
        <w:pStyle w:val="P68B1DB1-Normal4"/>
        <w:numPr>
          <w:ilvl w:val="0"/>
          <w:numId w:val="75"/>
        </w:numPr>
        <w:spacing w:before="120" w:after="120" w:line="240" w:lineRule="auto"/>
        <w:ind w:left="425" w:hanging="425"/>
        <w:contextualSpacing/>
        <w:jc w:val="both"/>
        <w:rPr>
          <w:rFonts w:cs="Times New Roman"/>
          <w:noProof/>
        </w:rPr>
      </w:pPr>
      <w:r>
        <w:rPr>
          <w:noProof/>
        </w:rPr>
        <w:t xml:space="preserve">Az elérhető legjobb technikák (BAT) általános nyilvántartásának kidolgozása a sertés- és baromfigazdaságokban a szennyező és üvegházhatást okozó gázok (ÜHG) kibocsátásának kiszámítása, valamint az egyéb környezeti adatok lefedésének </w:t>
      </w:r>
      <w:r>
        <w:rPr>
          <w:noProof/>
        </w:rPr>
        <w:t>megkönnyítése érdekében. Jobb értékelést nyújt az állattenyésztők ÜHG- és szennyezőanyag-kibocsátási kötelezettségvállalásainak való megfeleléséről.</w:t>
      </w:r>
    </w:p>
    <w:p w14:paraId="664D0C51" w14:textId="77777777" w:rsidR="003E1D81" w:rsidRDefault="00EB481C">
      <w:pPr>
        <w:pStyle w:val="P68B1DB1-Normal4"/>
        <w:numPr>
          <w:ilvl w:val="0"/>
          <w:numId w:val="75"/>
        </w:numPr>
        <w:spacing w:before="120" w:after="120" w:line="240" w:lineRule="auto"/>
        <w:ind w:left="426" w:hanging="426"/>
        <w:jc w:val="both"/>
        <w:rPr>
          <w:rFonts w:cs="Times New Roman"/>
          <w:noProof/>
        </w:rPr>
      </w:pPr>
      <w:r>
        <w:rPr>
          <w:noProof/>
        </w:rPr>
        <w:t>Az állattenyésztési ágazat tervezésére vonatkozó jogszabályok fokozatos felülvizsgálata, amely követelménye</w:t>
      </w:r>
      <w:r>
        <w:rPr>
          <w:noProof/>
        </w:rPr>
        <w:t>ket állapít meg a helyszínre, a távolságra, a méretre, az egészségügyi feltételekre, a biológiai biztonságra, valamint a környezetvédelmi és állatjóléti infrastruktúrára vonatkozóan azokban az ágazatokban, amelyekben már működik (sertéstenyésztés), valamin</w:t>
      </w:r>
      <w:r>
        <w:rPr>
          <w:noProof/>
        </w:rPr>
        <w:t>t új szabályozási keret létrehozása a még nem szabályozott ágazatokban (baromfitenyésztés). Egyedi ágazati kibocsátáscsökkentési kötelezettségeket állapít meg, amelyek az arányosság elvének alkalmazásával meghatározzák a szennyező anyagok előállításához va</w:t>
      </w:r>
      <w:r>
        <w:rPr>
          <w:noProof/>
        </w:rPr>
        <w:t>ló hozzájárulásuk szerinti követelményeket.</w:t>
      </w:r>
    </w:p>
    <w:p w14:paraId="3BDCBD98" w14:textId="77777777" w:rsidR="003E1D81" w:rsidRDefault="00EB481C">
      <w:pPr>
        <w:pStyle w:val="P68B1DB1-Normal4"/>
        <w:spacing w:before="120" w:after="120" w:line="240" w:lineRule="auto"/>
        <w:jc w:val="both"/>
        <w:rPr>
          <w:rFonts w:cs="Times New Roman"/>
          <w:noProof/>
        </w:rPr>
      </w:pPr>
      <w:r>
        <w:rPr>
          <w:noProof/>
        </w:rPr>
        <w:t>Az intézkedés mindkét jogszabályi rendelkezést tartalmaz, amelyeket 2022 végéig közzé kell tenni. Arra is számít, hogy a BAT-ok általános nyilvántartásának végrehajtása 2023. december 31-ig működőképes lesz a ser</w:t>
      </w:r>
      <w:r>
        <w:rPr>
          <w:noProof/>
        </w:rPr>
        <w:t>tés- és baromfigazdaságok esetében. A felülvizsgált tervezési jogszabályokat a közzétételüket követő körülbelül két éven belül fokozatosan kell alkalmazni.</w:t>
      </w:r>
    </w:p>
    <w:p w14:paraId="5DF9BC92" w14:textId="5F439EE1" w:rsidR="003E1D81" w:rsidRDefault="00EB481C">
      <w:pPr>
        <w:pStyle w:val="P68B1DB1-Normal4"/>
        <w:spacing w:before="120" w:after="120" w:line="240" w:lineRule="auto"/>
        <w:contextualSpacing/>
        <w:jc w:val="both"/>
        <w:rPr>
          <w:rFonts w:cs="Times New Roman"/>
          <w:noProof/>
        </w:rPr>
      </w:pPr>
      <w:r>
        <w:rPr>
          <w:noProof/>
        </w:rPr>
        <w:t>Ezen túlmenően az intézkedés céljai a következők:</w:t>
      </w:r>
    </w:p>
    <w:p w14:paraId="2098B483" w14:textId="2D2F2221" w:rsidR="003E1D81" w:rsidRDefault="00EB481C">
      <w:pPr>
        <w:pStyle w:val="P68B1DB1-Normal4"/>
        <w:numPr>
          <w:ilvl w:val="0"/>
          <w:numId w:val="269"/>
        </w:numPr>
        <w:spacing w:before="120" w:after="120" w:line="240" w:lineRule="auto"/>
        <w:ind w:left="425" w:hanging="425"/>
        <w:contextualSpacing/>
        <w:jc w:val="both"/>
        <w:rPr>
          <w:rFonts w:cs="Times New Roman"/>
          <w:noProof/>
        </w:rPr>
      </w:pPr>
      <w:r>
        <w:rPr>
          <w:noProof/>
        </w:rPr>
        <w:t xml:space="preserve">Az állatszállítás biológiai biztonságának javítása a fertőző állatbetegségekkel kapcsolatban. Az új rendeletnek be kell építenie a digitalizációt és az új technológiákat a szállító-, takarító- és fertőtlenítő központokként használt járművekbe. </w:t>
      </w:r>
    </w:p>
    <w:p w14:paraId="22473C04" w14:textId="6D01DF04" w:rsidR="003E1D81" w:rsidRDefault="00EB481C">
      <w:pPr>
        <w:pStyle w:val="P68B1DB1-Normal4"/>
        <w:numPr>
          <w:ilvl w:val="0"/>
          <w:numId w:val="269"/>
        </w:numPr>
        <w:spacing w:before="120" w:after="120" w:line="240" w:lineRule="auto"/>
        <w:ind w:left="425" w:hanging="425"/>
        <w:contextualSpacing/>
        <w:jc w:val="both"/>
        <w:rPr>
          <w:rFonts w:cs="Times New Roman"/>
          <w:noProof/>
        </w:rPr>
      </w:pPr>
      <w:r>
        <w:rPr>
          <w:noProof/>
        </w:rPr>
        <w:t>Az antibiot</w:t>
      </w:r>
      <w:r>
        <w:rPr>
          <w:noProof/>
        </w:rPr>
        <w:t>ikumok használatának szabályozása az állatállomány érdeklődésére számot tartó fajokban, az antibiotikumok rendszeres és negyedéves fogyasztásának állattartó gazdaságonkénti kiszámítására szolgáló módszer és a nemzeti referenciamutató alkalmazásával. A rend</w:t>
      </w:r>
      <w:r>
        <w:rPr>
          <w:noProof/>
        </w:rPr>
        <w:t>eletben ismertetni kell az eredmények alapján meghozandó intézkedéseket. A jogszabályok egy éves átmeneti időszakkal rendelkeznek azon állattartó gazdaságok számára, amelyek ágazati jogszabályaikban nem kötelesek integrált gazdálkodási rendszert bevezetni.</w:t>
      </w:r>
      <w:r>
        <w:rPr>
          <w:noProof/>
        </w:rPr>
        <w:t xml:space="preserve">   </w:t>
      </w:r>
    </w:p>
    <w:p w14:paraId="3129CDA9" w14:textId="77777777" w:rsidR="003E1D81" w:rsidRDefault="003E1D81">
      <w:pPr>
        <w:spacing w:before="120" w:after="120" w:line="240" w:lineRule="auto"/>
        <w:ind w:left="425"/>
        <w:contextualSpacing/>
        <w:jc w:val="both"/>
        <w:rPr>
          <w:rFonts w:ascii="Times New Roman" w:hAnsi="Times New Roman" w:cs="Times New Roman"/>
          <w:noProof/>
          <w:sz w:val="24"/>
        </w:rPr>
      </w:pPr>
    </w:p>
    <w:p w14:paraId="223A83E5" w14:textId="74661DE4" w:rsidR="003E1D81" w:rsidRDefault="00EB481C">
      <w:pPr>
        <w:pStyle w:val="P68B1DB1-Normal4"/>
        <w:spacing w:before="120" w:after="120" w:line="240" w:lineRule="auto"/>
        <w:contextualSpacing/>
        <w:jc w:val="both"/>
        <w:rPr>
          <w:rFonts w:cs="Times New Roman"/>
          <w:noProof/>
        </w:rPr>
      </w:pPr>
      <w:r>
        <w:rPr>
          <w:noProof/>
        </w:rPr>
        <w:t>Az intézkedés végrehajtását 2024. június 30-ig be kell fejezni.</w:t>
      </w:r>
    </w:p>
    <w:p w14:paraId="17685D86" w14:textId="77777777" w:rsidR="003E1D81" w:rsidRDefault="003E1D81">
      <w:pPr>
        <w:spacing w:before="120" w:after="120" w:line="240" w:lineRule="auto"/>
        <w:jc w:val="both"/>
        <w:rPr>
          <w:rFonts w:ascii="Times New Roman" w:hAnsi="Times New Roman" w:cs="Times New Roman"/>
          <w:noProof/>
          <w:sz w:val="24"/>
          <w:u w:val="single"/>
        </w:rPr>
      </w:pPr>
    </w:p>
    <w:p w14:paraId="7008C47F" w14:textId="77777777" w:rsidR="003E1D81" w:rsidRDefault="00EB481C">
      <w:pPr>
        <w:pStyle w:val="P68B1DB1-Normal6"/>
        <w:spacing w:before="120" w:after="120" w:line="240" w:lineRule="auto"/>
        <w:jc w:val="both"/>
        <w:rPr>
          <w:rFonts w:cs="Times New Roman"/>
          <w:noProof/>
        </w:rPr>
      </w:pPr>
      <w:r>
        <w:rPr>
          <w:noProof/>
        </w:rPr>
        <w:t>Reform (C3.R3) – A mezőgazdasági talajok fenntartható táplálkozására vonatkozó jogszabályi keret és a mezőgazdasági eredetű szennyezésre vonatkozó jogszabályok</w:t>
      </w:r>
    </w:p>
    <w:p w14:paraId="4FF389C3" w14:textId="77777777" w:rsidR="003E1D81" w:rsidRDefault="00EB481C">
      <w:pPr>
        <w:pStyle w:val="P68B1DB1-Normal4"/>
        <w:spacing w:before="120" w:after="120" w:line="240" w:lineRule="auto"/>
        <w:jc w:val="both"/>
        <w:rPr>
          <w:rFonts w:cs="Times New Roman"/>
          <w:noProof/>
        </w:rPr>
      </w:pPr>
      <w:r>
        <w:rPr>
          <w:noProof/>
        </w:rPr>
        <w:t>Ezen intézkedés célja a me</w:t>
      </w:r>
      <w:r>
        <w:rPr>
          <w:noProof/>
        </w:rPr>
        <w:t>zőgazdasági trágyázás szabályozása a mezőgazdasági talajok tápanyagbevitelének különböző forrásai következetes kezelése érdekében. Emellett technikai tanácsadást nyújt a mezőgazdasági termelőknek, hogy segítse őket a jogi követelményeknek való megfelelésbe</w:t>
      </w:r>
      <w:r>
        <w:rPr>
          <w:noProof/>
        </w:rPr>
        <w:t>n és a trágyázás racionalizálásában. E cselekvési terv: az éghajlatváltozás káros hatásainak kezelése; a mezőgazdasági eredetű nitrátok és foszfátok által okozott vízszennyezés csökkentése; és iii. a levegőminőség javítása.</w:t>
      </w:r>
    </w:p>
    <w:p w14:paraId="30D53276" w14:textId="77777777" w:rsidR="003E1D81" w:rsidRDefault="00EB481C">
      <w:pPr>
        <w:pStyle w:val="P68B1DB1-Normal4"/>
        <w:spacing w:before="120" w:after="120" w:line="240" w:lineRule="auto"/>
        <w:jc w:val="both"/>
        <w:rPr>
          <w:rFonts w:cs="Times New Roman"/>
          <w:noProof/>
        </w:rPr>
      </w:pPr>
      <w:r>
        <w:rPr>
          <w:noProof/>
        </w:rPr>
        <w:t xml:space="preserve">A javasolt jogi keret egy másik </w:t>
      </w:r>
      <w:r>
        <w:rPr>
          <w:noProof/>
        </w:rPr>
        <w:t xml:space="preserve">jogi eszközhöz kapcsolódik: a vizek mezőgazdasági eredetű nitrátszennyezéssel szembeni védelméről szóló királyi rendelet tervezete (amely a február 16-i 261/1996. sz. királyi rendelet helyébe lép). Kapcsolódik továbbá a – különösen mezőgazdasági eredetű – </w:t>
      </w:r>
      <w:r>
        <w:rPr>
          <w:noProof/>
        </w:rPr>
        <w:t>nitrátok által okozott diffúz szennyezés megelőzésére, korrekciójára és csökkentésére irányuló cselekvési terv kidolgozásához. Ez az intézkedés a vizek mezőgazdasági eredetű nitrátszennyezéssel szembeni védelméről szóló, 1991. december 12-i 91/676/EGK irán</w:t>
      </w:r>
      <w:r>
        <w:rPr>
          <w:noProof/>
        </w:rPr>
        <w:t>yelvet átültető királyi rendeletet vezet be, amely a nitrátirányelvnél ambiciózusabb célkitűzéseket határoz meg, és fokozza a víz-keretirányelv szerinti víztervezési célkitűzésekkel való konvergenciát.</w:t>
      </w:r>
    </w:p>
    <w:p w14:paraId="21CE4873" w14:textId="77777777" w:rsidR="003E1D81" w:rsidRDefault="00EB481C">
      <w:pPr>
        <w:pStyle w:val="P68B1DB1-Normal4"/>
        <w:spacing w:before="120" w:after="120" w:line="240" w:lineRule="auto"/>
        <w:jc w:val="both"/>
        <w:rPr>
          <w:rFonts w:cs="Times New Roman"/>
          <w:noProof/>
        </w:rPr>
      </w:pPr>
      <w:r>
        <w:rPr>
          <w:noProof/>
        </w:rPr>
        <w:t>Az intézkedés végrehajtását 2023. március 31-ig be kel</w:t>
      </w:r>
      <w:r>
        <w:rPr>
          <w:noProof/>
        </w:rPr>
        <w:t xml:space="preserve">l fejezni. </w:t>
      </w:r>
    </w:p>
    <w:p w14:paraId="5EC2BBD2" w14:textId="77777777" w:rsidR="003E1D81" w:rsidRDefault="00EB481C">
      <w:pPr>
        <w:pStyle w:val="P68B1DB1-Normal6"/>
        <w:spacing w:before="120" w:after="120" w:line="240" w:lineRule="auto"/>
        <w:jc w:val="both"/>
        <w:rPr>
          <w:rFonts w:cs="Times New Roman"/>
          <w:noProof/>
        </w:rPr>
      </w:pPr>
      <w:r>
        <w:rPr>
          <w:noProof/>
        </w:rPr>
        <w:t>Reform (C3.R4) – A spanyol öntözés irányításának és fenntartható kezelésének előmozdítása</w:t>
      </w:r>
    </w:p>
    <w:p w14:paraId="4BA48D99" w14:textId="77777777" w:rsidR="003E1D81" w:rsidRDefault="00EB481C">
      <w:pPr>
        <w:pStyle w:val="P68B1DB1-Normal4"/>
        <w:spacing w:before="120" w:after="120" w:line="240" w:lineRule="auto"/>
        <w:jc w:val="both"/>
        <w:rPr>
          <w:rFonts w:cs="Times New Roman"/>
          <w:noProof/>
        </w:rPr>
      </w:pPr>
      <w:r>
        <w:rPr>
          <w:noProof/>
        </w:rPr>
        <w:t>Ezen intézkedés célja egy olyan nemzeti szintű irányítási mechanizmus létrehozása, amely lehetővé teszi az érintett ágazatok és közigazgatási szintek együ</w:t>
      </w:r>
      <w:r>
        <w:rPr>
          <w:noProof/>
        </w:rPr>
        <w:t>ttműködését az öntözés terén. Ez magában foglalja a környezeti fenntarthatóságot, a végrehajtási kritériumokat és az alkalmazandó jogszabályokkal kapcsolatos szempontokat. Az intézkedés a spanyolországi öntözés fenntarthatóságával foglalkozó megfigyelőközp</w:t>
      </w:r>
      <w:r>
        <w:rPr>
          <w:noProof/>
        </w:rPr>
        <w:t>ontot hoz létre, hogy adatokat szolgáltasson az öntözés által a területre gyakorolt gazdasági, társadalmi és környezeti hatásokról.</w:t>
      </w:r>
    </w:p>
    <w:p w14:paraId="326A145B" w14:textId="77777777" w:rsidR="003E1D81" w:rsidRDefault="00EB481C">
      <w:pPr>
        <w:pStyle w:val="P68B1DB1-Normal4"/>
        <w:spacing w:before="120" w:after="120" w:line="240" w:lineRule="auto"/>
        <w:jc w:val="both"/>
        <w:rPr>
          <w:rFonts w:cs="Times New Roman"/>
          <w:noProof/>
          <w:u w:val="single"/>
        </w:rPr>
      </w:pPr>
      <w:r>
        <w:rPr>
          <w:noProof/>
        </w:rPr>
        <w:t>A reform végrehajtását 2022. december 31-ig be kell fejezni.</w:t>
      </w:r>
    </w:p>
    <w:p w14:paraId="0A0562DB" w14:textId="77777777" w:rsidR="003E1D81" w:rsidRDefault="00EB481C">
      <w:pPr>
        <w:pStyle w:val="P68B1DB1-Normal6"/>
        <w:spacing w:before="120" w:after="120" w:line="240" w:lineRule="auto"/>
        <w:jc w:val="both"/>
        <w:rPr>
          <w:rFonts w:cs="Times New Roman"/>
          <w:noProof/>
        </w:rPr>
      </w:pPr>
      <w:r>
        <w:rPr>
          <w:noProof/>
        </w:rPr>
        <w:t>Reform (C3.R5) – Az agrár-élelmiszeripari és vidéki területek d</w:t>
      </w:r>
      <w:r>
        <w:rPr>
          <w:noProof/>
        </w:rPr>
        <w:t>igitalizálására irányuló stratégia II. cselekvési tervének végrehajtása</w:t>
      </w:r>
    </w:p>
    <w:p w14:paraId="11992691" w14:textId="77777777" w:rsidR="003E1D81" w:rsidRDefault="00EB481C">
      <w:pPr>
        <w:pStyle w:val="P68B1DB1-Normal4"/>
        <w:spacing w:before="120" w:after="120" w:line="240" w:lineRule="auto"/>
        <w:jc w:val="both"/>
        <w:rPr>
          <w:rFonts w:cs="Times New Roman"/>
          <w:noProof/>
        </w:rPr>
      </w:pPr>
      <w:r>
        <w:rPr>
          <w:noProof/>
        </w:rPr>
        <w:t>Ez az intézkedés a spanyol kormány által 2019 márciusában elfogadott, az agrár-élelmiszeripari és vidéki térségek digitalizációjára irányuló spanyol stratégia végrehajtásának folytatás</w:t>
      </w:r>
      <w:r>
        <w:rPr>
          <w:noProof/>
        </w:rPr>
        <w:t>ára irányul. Az intézkedés egy második cselekvési tervet határoz meg, amely megfelel a stratégia három alapvető célkitűzésének: a digitális szakadék csökkentése; az adatok felhasználásának előmozdítása; valamint iii. a vállalkozásfejlesztés és az új üzleti</w:t>
      </w:r>
      <w:r>
        <w:rPr>
          <w:noProof/>
        </w:rPr>
        <w:t xml:space="preserve"> modellek ösztönzése. </w:t>
      </w:r>
    </w:p>
    <w:p w14:paraId="1DCF0FDA" w14:textId="77777777" w:rsidR="003E1D81" w:rsidRDefault="00EB481C">
      <w:pPr>
        <w:pStyle w:val="P68B1DB1-Normal4"/>
        <w:spacing w:before="120" w:after="120" w:line="240" w:lineRule="auto"/>
        <w:jc w:val="both"/>
        <w:rPr>
          <w:rFonts w:cs="Times New Roman"/>
          <w:noProof/>
        </w:rPr>
      </w:pPr>
      <w:r>
        <w:rPr>
          <w:noProof/>
        </w:rPr>
        <w:t>Az intézkedés továbbra is támogatja a digitális folyamatok és készségek elfogadását és beépítését a vidéki térségekhez és azok társadalmi szerkezetéhez kapcsolódó gazdasági tevékenységekbe. Az intézkedésnek ki kell dolgoznia, ki kell</w:t>
      </w:r>
      <w:r>
        <w:rPr>
          <w:noProof/>
        </w:rPr>
        <w:t xml:space="preserve"> dolgoznia és végre kell hajtania az agrár-élelmiszeripari ágazat és a vidéki térségek digitalizációs stratégiájának második cselekvési tervét.</w:t>
      </w:r>
    </w:p>
    <w:p w14:paraId="1392C3C9" w14:textId="77777777" w:rsidR="003E1D81" w:rsidRDefault="00EB481C">
      <w:pPr>
        <w:pStyle w:val="P68B1DB1-Normal4"/>
        <w:spacing w:before="120" w:after="120" w:line="240" w:lineRule="auto"/>
        <w:jc w:val="both"/>
        <w:rPr>
          <w:rFonts w:cs="Times New Roman"/>
          <w:noProof/>
        </w:rPr>
      </w:pPr>
      <w:r>
        <w:rPr>
          <w:noProof/>
        </w:rPr>
        <w:t>Az intézkedés végrehajtását 2023. december 31-ig be kell fejezni.</w:t>
      </w:r>
    </w:p>
    <w:p w14:paraId="701358BE" w14:textId="77777777" w:rsidR="003E1D81" w:rsidRDefault="00EB481C">
      <w:pPr>
        <w:pStyle w:val="P68B1DB1-Normal6"/>
        <w:spacing w:before="120" w:after="120" w:line="240" w:lineRule="auto"/>
        <w:jc w:val="both"/>
        <w:rPr>
          <w:rFonts w:cs="Times New Roman"/>
          <w:noProof/>
        </w:rPr>
      </w:pPr>
      <w:bookmarkStart w:id="7" w:name="_Hlk144117478"/>
      <w:r>
        <w:rPr>
          <w:noProof/>
        </w:rPr>
        <w:t>Reform (C3.R6) – A fenntartható halászat szabá</w:t>
      </w:r>
      <w:r>
        <w:rPr>
          <w:noProof/>
        </w:rPr>
        <w:t>lyozására vonatkozó nemzeti szabályozási keret felülvizsgálata</w:t>
      </w:r>
    </w:p>
    <w:bookmarkEnd w:id="7"/>
    <w:p w14:paraId="168525BC" w14:textId="77777777" w:rsidR="003E1D81" w:rsidRDefault="00EB481C">
      <w:pPr>
        <w:pStyle w:val="P68B1DB1-Normal4"/>
        <w:spacing w:before="120" w:after="120" w:line="240" w:lineRule="auto"/>
        <w:jc w:val="both"/>
        <w:rPr>
          <w:rFonts w:cs="Times New Roman"/>
          <w:noProof/>
        </w:rPr>
      </w:pPr>
      <w:r>
        <w:rPr>
          <w:noProof/>
        </w:rPr>
        <w:t>Ezen intézkedés célja: a gazdasági és társadalmi fenntarthatóságnak a halászati gazdálkodásba való integrálásának ösztönzése; nagyobb jogbiztonságot nyújt a halászati ágazat valamennyi szereplő</w:t>
      </w:r>
      <w:r>
        <w:rPr>
          <w:noProof/>
        </w:rPr>
        <w:t>je számára; valamint iii. nagyobb átláthatóság, modernizáció és digitalizáció biztosítása a halászati gazdálkodásban. Az intézkedésnek figyelembe kell vennie az uniós szakpolitikák és kihívások célkitűzéseit, beleértve a közös halászati politika reformját,</w:t>
      </w:r>
      <w:r>
        <w:rPr>
          <w:noProof/>
        </w:rPr>
        <w:t xml:space="preserve"> a 2030-ig tartó időszakra szóló biodiverzitási stratégiát, a tengervédelmi stratégiákat és a fenntartható fejlődési célokat.</w:t>
      </w:r>
    </w:p>
    <w:p w14:paraId="45B4B9BE" w14:textId="77777777" w:rsidR="003E1D81" w:rsidRDefault="00EB481C">
      <w:pPr>
        <w:pStyle w:val="P68B1DB1-Normal4"/>
        <w:spacing w:before="120" w:after="120" w:line="240" w:lineRule="auto"/>
        <w:jc w:val="both"/>
        <w:rPr>
          <w:rFonts w:cs="Times New Roman"/>
          <w:noProof/>
        </w:rPr>
      </w:pPr>
      <w:r>
        <w:rPr>
          <w:noProof/>
        </w:rPr>
        <w:t>E célkitűzések elérése érdekében az intézkedésnek a következőket kell elérnie:</w:t>
      </w:r>
    </w:p>
    <w:p w14:paraId="3290735B" w14:textId="77777777" w:rsidR="003E1D81" w:rsidRDefault="00EB481C">
      <w:pPr>
        <w:pStyle w:val="P68B1DB1-Normal4"/>
        <w:numPr>
          <w:ilvl w:val="0"/>
          <w:numId w:val="76"/>
        </w:numPr>
        <w:spacing w:before="120" w:after="120" w:line="240" w:lineRule="auto"/>
        <w:ind w:left="425" w:hanging="425"/>
        <w:contextualSpacing/>
        <w:jc w:val="both"/>
        <w:rPr>
          <w:rFonts w:cs="Times New Roman"/>
          <w:noProof/>
        </w:rPr>
      </w:pPr>
      <w:bookmarkStart w:id="8" w:name="_Hlk144117739"/>
      <w:r>
        <w:rPr>
          <w:noProof/>
        </w:rPr>
        <w:t xml:space="preserve">A jelenlegi halászati törvény felülvizsgálata annak érdekében, hogy az összhangba kerüljön a halászat új fenntarthatósági kritériumaival és kutatási igényeivel; </w:t>
      </w:r>
    </w:p>
    <w:p w14:paraId="5C15178B" w14:textId="77777777" w:rsidR="003E1D81" w:rsidRDefault="00EB481C">
      <w:pPr>
        <w:pStyle w:val="P68B1DB1-Normal4"/>
        <w:numPr>
          <w:ilvl w:val="0"/>
          <w:numId w:val="76"/>
        </w:numPr>
        <w:spacing w:before="120" w:after="120" w:line="240" w:lineRule="auto"/>
        <w:ind w:left="425" w:hanging="425"/>
        <w:contextualSpacing/>
        <w:jc w:val="both"/>
        <w:rPr>
          <w:rFonts w:cs="Times New Roman"/>
          <w:noProof/>
        </w:rPr>
      </w:pPr>
      <w:bookmarkStart w:id="9" w:name="_Hlk144117746"/>
      <w:bookmarkEnd w:id="8"/>
      <w:r>
        <w:rPr>
          <w:noProof/>
        </w:rPr>
        <w:t>a nemzeti halászterületek különböző eszközei, módszerei és összeírásai kezelésének naprakésszé</w:t>
      </w:r>
      <w:r>
        <w:rPr>
          <w:noProof/>
        </w:rPr>
        <w:t xml:space="preserve"> tétele királyi rendelet révén; és</w:t>
      </w:r>
    </w:p>
    <w:p w14:paraId="042E0201" w14:textId="77777777" w:rsidR="003E1D81" w:rsidRDefault="00EB481C">
      <w:pPr>
        <w:pStyle w:val="P68B1DB1-Normal4"/>
        <w:numPr>
          <w:ilvl w:val="0"/>
          <w:numId w:val="76"/>
        </w:numPr>
        <w:spacing w:before="120" w:after="120" w:line="240" w:lineRule="auto"/>
        <w:ind w:left="426" w:hanging="426"/>
        <w:jc w:val="both"/>
        <w:rPr>
          <w:rFonts w:cs="Times New Roman"/>
          <w:noProof/>
        </w:rPr>
      </w:pPr>
      <w:bookmarkStart w:id="10" w:name="_Hlk144117704"/>
      <w:r>
        <w:rPr>
          <w:noProof/>
        </w:rPr>
        <w:t>az ellenőrzési, vizsgálati és szankcionálási rendszerek korszerűsítésére irányuló törvény végrehajtása a halászat területén.</w:t>
      </w:r>
    </w:p>
    <w:bookmarkEnd w:id="9"/>
    <w:bookmarkEnd w:id="10"/>
    <w:p w14:paraId="16CACB9E" w14:textId="77777777" w:rsidR="003E1D81" w:rsidRDefault="00EB481C">
      <w:pPr>
        <w:pStyle w:val="P68B1DB1-Normal4"/>
        <w:spacing w:before="120" w:after="120" w:line="240" w:lineRule="auto"/>
        <w:jc w:val="both"/>
        <w:rPr>
          <w:rFonts w:cs="Times New Roman"/>
          <w:noProof/>
        </w:rPr>
      </w:pPr>
      <w:r>
        <w:rPr>
          <w:noProof/>
        </w:rPr>
        <w:t>A különböző eszközök, módszerek és a nemzeti halászterületekre vonatkozó panaszok kezelésének ko</w:t>
      </w:r>
      <w:r>
        <w:rPr>
          <w:noProof/>
        </w:rPr>
        <w:t xml:space="preserve">rszerűsítéséről szóló királyi rendelet 2022. június 30-ig várható közzététele. </w:t>
      </w:r>
    </w:p>
    <w:p w14:paraId="2DC96A53" w14:textId="3D1A5832" w:rsidR="003E1D81" w:rsidRDefault="00EB481C">
      <w:pPr>
        <w:pStyle w:val="P68B1DB1-Normal4"/>
        <w:spacing w:before="120" w:after="120" w:line="240" w:lineRule="auto"/>
        <w:jc w:val="both"/>
        <w:rPr>
          <w:rFonts w:cs="Times New Roman"/>
          <w:noProof/>
        </w:rPr>
      </w:pPr>
      <w:r>
        <w:rPr>
          <w:noProof/>
        </w:rPr>
        <w:t>Az intézkedés végrehajtását 2026. június 30-ig be kell fejezni.</w:t>
      </w:r>
    </w:p>
    <w:p w14:paraId="72D1D3BF" w14:textId="77777777" w:rsidR="003E1D81" w:rsidRDefault="00EB481C">
      <w:pPr>
        <w:pStyle w:val="P68B1DB1-Normal6"/>
        <w:spacing w:before="120" w:after="120" w:line="240" w:lineRule="auto"/>
        <w:jc w:val="both"/>
        <w:rPr>
          <w:rFonts w:cs="Times New Roman"/>
          <w:noProof/>
        </w:rPr>
      </w:pPr>
      <w:r>
        <w:rPr>
          <w:noProof/>
        </w:rPr>
        <w:t xml:space="preserve">Beruházás (C3.I1) – Terv az öntözés hatékonyságának és fenntarthatóságának javítására </w:t>
      </w:r>
    </w:p>
    <w:p w14:paraId="6302894E" w14:textId="77777777" w:rsidR="003E1D81" w:rsidRDefault="00EB481C">
      <w:pPr>
        <w:pStyle w:val="P68B1DB1-Normal4"/>
        <w:spacing w:before="120" w:after="120" w:line="240" w:lineRule="auto"/>
        <w:jc w:val="both"/>
        <w:rPr>
          <w:rFonts w:cs="Times New Roman"/>
          <w:noProof/>
        </w:rPr>
      </w:pPr>
      <w:r>
        <w:rPr>
          <w:noProof/>
        </w:rPr>
        <w:t xml:space="preserve">Ezen intézkedés célja az </w:t>
      </w:r>
      <w:r>
        <w:rPr>
          <w:noProof/>
        </w:rPr>
        <w:t>öntözés hatékonyságának és fenntarthatóságának javítása egy sor kiválasztott fellépés révén. Előmozdítja a víztakarékosságot és az öntözési tevékenységek energiahatékonyságát. Ezek a következő intézkedések:</w:t>
      </w:r>
    </w:p>
    <w:p w14:paraId="376E0EC4" w14:textId="77777777" w:rsidR="003E1D81" w:rsidRDefault="00EB481C">
      <w:pPr>
        <w:pStyle w:val="P68B1DB1-Normal4"/>
        <w:numPr>
          <w:ilvl w:val="0"/>
          <w:numId w:val="81"/>
        </w:numPr>
        <w:spacing w:before="120" w:after="120" w:line="240" w:lineRule="auto"/>
        <w:ind w:left="425" w:hanging="425"/>
        <w:contextualSpacing/>
        <w:jc w:val="both"/>
        <w:rPr>
          <w:rFonts w:cs="Times New Roman"/>
          <w:noProof/>
        </w:rPr>
      </w:pPr>
      <w:r>
        <w:rPr>
          <w:noProof/>
        </w:rPr>
        <w:t>Az intézkedések korszerűsítése, beleértve legaláb</w:t>
      </w:r>
      <w:r>
        <w:rPr>
          <w:noProof/>
        </w:rPr>
        <w:t>b a következőket: a korszerűsítési folyamat részeként a felszíni vagy felszín alatti vizeket nem hagyományos vízforrások (például az (EU) 2020/741 rendelet szerinti visszanyert víz és a jelentős károkozás elkerülését célzó 2021/C58/01 számú technikai irány</w:t>
      </w:r>
      <w:r>
        <w:rPr>
          <w:noProof/>
        </w:rPr>
        <w:t>mutatásnak megfelelő sótalanított víz) felhasználásával felváltó területeken végrehajtott intézkedések; és ii. olyan intézkedések, amelyek növelik a vízmegtakarítást, vagy a vízigény további csökkenését vagy magasabb energiamegtakarítást eredményeznek;</w:t>
      </w:r>
    </w:p>
    <w:p w14:paraId="72FEE5A3" w14:textId="77777777" w:rsidR="003E1D81" w:rsidRDefault="00EB481C">
      <w:pPr>
        <w:pStyle w:val="P68B1DB1-Normal4"/>
        <w:numPr>
          <w:ilvl w:val="0"/>
          <w:numId w:val="81"/>
        </w:numPr>
        <w:spacing w:before="120" w:after="120" w:line="240" w:lineRule="auto"/>
        <w:ind w:left="425" w:hanging="425"/>
        <w:contextualSpacing/>
        <w:jc w:val="both"/>
        <w:rPr>
          <w:rFonts w:cs="Times New Roman"/>
          <w:noProof/>
        </w:rPr>
      </w:pPr>
      <w:r>
        <w:rPr>
          <w:noProof/>
        </w:rPr>
        <w:t xml:space="preserve">az </w:t>
      </w:r>
      <w:r>
        <w:rPr>
          <w:noProof/>
        </w:rPr>
        <w:t>energiahatással járó öntözőrendszerek korszerűsítése, beleértve i. a működésükhöz villamos energiát nem igénylő intézkedések előnyben részesítését azokkal szemben, amelyeknek erre szükségük van vagy megújuló energiára van szükségük; valamint ii. korszerűsí</w:t>
      </w:r>
      <w:r>
        <w:rPr>
          <w:noProof/>
        </w:rPr>
        <w:t>tési intézkedések az energetikai önellátás elősegítése érdekében, beleértve a megújuló energia felhasználását is; és</w:t>
      </w:r>
    </w:p>
    <w:p w14:paraId="1E9DE30C" w14:textId="77777777" w:rsidR="003E1D81" w:rsidRDefault="00EB481C">
      <w:pPr>
        <w:pStyle w:val="P68B1DB1-Normal4"/>
        <w:numPr>
          <w:ilvl w:val="0"/>
          <w:numId w:val="81"/>
        </w:numPr>
        <w:spacing w:before="120" w:after="120" w:line="240" w:lineRule="auto"/>
        <w:ind w:left="426" w:hanging="426"/>
        <w:jc w:val="both"/>
        <w:rPr>
          <w:rFonts w:cs="Times New Roman"/>
          <w:noProof/>
        </w:rPr>
      </w:pPr>
      <w:r>
        <w:rPr>
          <w:noProof/>
        </w:rPr>
        <w:t>új technológiák előmozdítása, mint például: olyan intézkedések, amelyek lehetővé teszik az új technológiák és innovációk magasabb szintű al</w:t>
      </w:r>
      <w:r>
        <w:rPr>
          <w:noProof/>
        </w:rPr>
        <w:t>kalmazását a hatékonyabb öntözés elérése érdekében; és ii. az öntözés korszerűsítésének nagyobb intenzitását javasló intézkedések.</w:t>
      </w:r>
    </w:p>
    <w:p w14:paraId="1A33E4FC" w14:textId="77777777" w:rsidR="003E1D81" w:rsidRDefault="00EB481C">
      <w:pPr>
        <w:pStyle w:val="P68B1DB1-Normal4"/>
        <w:spacing w:before="120" w:after="120" w:line="240" w:lineRule="auto"/>
        <w:jc w:val="both"/>
        <w:rPr>
          <w:rFonts w:cs="Times New Roman"/>
          <w:noProof/>
        </w:rPr>
      </w:pPr>
      <w:r>
        <w:rPr>
          <w:noProof/>
        </w:rPr>
        <w:t xml:space="preserve">Az intézkedés végrehajtását a </w:t>
      </w:r>
      <w:r>
        <w:rPr>
          <w:i/>
          <w:noProof/>
        </w:rPr>
        <w:t>Sociedad Estatal de Infraestructuras Agrarias</w:t>
      </w:r>
      <w:r>
        <w:rPr>
          <w:noProof/>
        </w:rPr>
        <w:t xml:space="preserve"> (SEIASA) közvállalkozás végzi. E célból a Mezőgaz</w:t>
      </w:r>
      <w:r>
        <w:rPr>
          <w:noProof/>
        </w:rPr>
        <w:t>dasági, Halászati és Élelmiszerügyi Minisztérium (MAPA) és a SEIASA közötti megállapodás szabályozza az öntözés korszerűsítésére irányuló beruházások köz- és magánfinanszírozási rendszerét, a projektkiválasztási kritériumokat, a terv végrehajtási eljárásai</w:t>
      </w:r>
      <w:r>
        <w:rPr>
          <w:noProof/>
        </w:rPr>
        <w:t>t, valamint a végrehajtandó intézkedések listáját. Az intézkedések e listájának legalább a következőket kell tartalmaznia:</w:t>
      </w:r>
    </w:p>
    <w:p w14:paraId="1A5D4B3F" w14:textId="77777777" w:rsidR="003E1D81" w:rsidRDefault="00EB481C">
      <w:pPr>
        <w:pStyle w:val="P68B1DB1-Normal4"/>
        <w:numPr>
          <w:ilvl w:val="0"/>
          <w:numId w:val="83"/>
        </w:numPr>
        <w:spacing w:before="120" w:after="120" w:line="240" w:lineRule="auto"/>
        <w:ind w:left="357" w:hanging="357"/>
        <w:contextualSpacing/>
        <w:jc w:val="both"/>
        <w:rPr>
          <w:rFonts w:cs="Times New Roman"/>
          <w:noProof/>
        </w:rPr>
      </w:pPr>
      <w:r>
        <w:rPr>
          <w:noProof/>
        </w:rPr>
        <w:t xml:space="preserve">A felszín alatti vagy felszíni vizek használatának helyettesítése nem hagyományos vízforrások felhasználásával (visszanyert víz vagy </w:t>
      </w:r>
      <w:r>
        <w:rPr>
          <w:noProof/>
        </w:rPr>
        <w:t xml:space="preserve">sótalanított víz a jelentős károkozás elkerülését célzó elvről szóló technikai iránymutatásnak megfelelően (2021/C58/01)); </w:t>
      </w:r>
    </w:p>
    <w:p w14:paraId="4EB8D444" w14:textId="77777777" w:rsidR="003E1D81" w:rsidRDefault="00EB481C">
      <w:pPr>
        <w:pStyle w:val="P68B1DB1-Normal4"/>
        <w:numPr>
          <w:ilvl w:val="0"/>
          <w:numId w:val="83"/>
        </w:numPr>
        <w:spacing w:before="120" w:after="120" w:line="240" w:lineRule="auto"/>
        <w:ind w:left="357" w:hanging="357"/>
        <w:contextualSpacing/>
        <w:jc w:val="both"/>
        <w:rPr>
          <w:rFonts w:cs="Times New Roman"/>
          <w:noProof/>
        </w:rPr>
      </w:pPr>
      <w:r>
        <w:rPr>
          <w:noProof/>
        </w:rPr>
        <w:t>vízszabályozó rendszerek (tározók) végrehajtása, amelyek lehetővé teszik a gravitációs öntözést;</w:t>
      </w:r>
    </w:p>
    <w:p w14:paraId="71771AF9" w14:textId="77777777" w:rsidR="003E1D81" w:rsidRDefault="00EB481C">
      <w:pPr>
        <w:pStyle w:val="P68B1DB1-Normal4"/>
        <w:numPr>
          <w:ilvl w:val="0"/>
          <w:numId w:val="83"/>
        </w:numPr>
        <w:spacing w:before="120" w:after="120" w:line="240" w:lineRule="auto"/>
        <w:ind w:left="357" w:hanging="357"/>
        <w:contextualSpacing/>
        <w:jc w:val="both"/>
        <w:rPr>
          <w:rFonts w:cs="Times New Roman"/>
          <w:noProof/>
        </w:rPr>
      </w:pPr>
      <w:r>
        <w:rPr>
          <w:noProof/>
        </w:rPr>
        <w:t xml:space="preserve">a szabadtéri árkok föld alatti </w:t>
      </w:r>
      <w:r>
        <w:rPr>
          <w:noProof/>
        </w:rPr>
        <w:t>csövekkel való cseréje;</w:t>
      </w:r>
    </w:p>
    <w:p w14:paraId="604535BE" w14:textId="77777777" w:rsidR="003E1D81" w:rsidRDefault="00EB481C">
      <w:pPr>
        <w:pStyle w:val="P68B1DB1-Normal4"/>
        <w:numPr>
          <w:ilvl w:val="0"/>
          <w:numId w:val="83"/>
        </w:numPr>
        <w:spacing w:before="120" w:after="120" w:line="240" w:lineRule="auto"/>
        <w:ind w:left="357" w:hanging="357"/>
        <w:contextualSpacing/>
        <w:jc w:val="both"/>
        <w:rPr>
          <w:rFonts w:cs="Times New Roman"/>
          <w:noProof/>
        </w:rPr>
      </w:pPr>
      <w:r>
        <w:rPr>
          <w:noProof/>
        </w:rPr>
        <w:t>szűrő- és szivattyúrendszerek építése; és</w:t>
      </w:r>
    </w:p>
    <w:p w14:paraId="2312E5D1" w14:textId="77777777" w:rsidR="003E1D81" w:rsidRDefault="00EB481C">
      <w:pPr>
        <w:pStyle w:val="P68B1DB1-Normal4"/>
        <w:numPr>
          <w:ilvl w:val="0"/>
          <w:numId w:val="83"/>
        </w:numPr>
        <w:spacing w:before="120" w:after="120" w:line="240" w:lineRule="auto"/>
        <w:jc w:val="both"/>
        <w:rPr>
          <w:rFonts w:cs="Times New Roman"/>
          <w:noProof/>
        </w:rPr>
      </w:pPr>
      <w:r>
        <w:rPr>
          <w:noProof/>
        </w:rPr>
        <w:t>fogyasztásmérők és távirányító rendszerek telepítése.</w:t>
      </w:r>
    </w:p>
    <w:p w14:paraId="38A38CF1" w14:textId="77777777" w:rsidR="003E1D81" w:rsidRDefault="00EB481C">
      <w:pPr>
        <w:pStyle w:val="P68B1DB1-Normal4"/>
        <w:spacing w:before="120" w:after="120" w:line="240" w:lineRule="auto"/>
        <w:jc w:val="both"/>
        <w:rPr>
          <w:rFonts w:cs="Times New Roman"/>
          <w:noProof/>
        </w:rPr>
      </w:pPr>
      <w:r>
        <w:rPr>
          <w:noProof/>
        </w:rPr>
        <w:t>Az intézkedés várhatóan nem sérti jelentősen az (EU) 2020/852 rendelet 17. cikke szerinti környezetvédelmi célkitűzéseket, figyelembe vé</w:t>
      </w:r>
      <w:r>
        <w:rPr>
          <w:noProof/>
        </w:rPr>
        <w:t>ve az intézkedés leírását és a helyreállítási és rezilienciaépítési tervben meghatározott enyhítő lépéseket a jelentős károkozás elkerülését célzó elvről szóló technikai iránymutatásnak (2021/C58/01) megfelelően. Különösen a sótalanított vizet a rendelkezé</w:t>
      </w:r>
      <w:r>
        <w:rPr>
          <w:noProof/>
        </w:rPr>
        <w:t>sre álló legjobb technológia felhasználásával kell előállítani, amely az ágazatban a legkisebb környezeti hatással jár. Valamennyi öntözési tevékenységet a víz-keretirányelvvel összhangban kell végezni, el kell végezni a szükséges környezeti hatásvizsgálat</w:t>
      </w:r>
      <w:r>
        <w:rPr>
          <w:noProof/>
        </w:rPr>
        <w:t>okat a 2009/147/EK és a 92/43/EGK irányelvvel összhangban, és végre kell hajtani a környezet védelméhez szükséges mérséklési lépéseket.</w:t>
      </w:r>
    </w:p>
    <w:p w14:paraId="20F6D375" w14:textId="77777777" w:rsidR="003E1D81" w:rsidRDefault="00EB481C">
      <w:pPr>
        <w:pStyle w:val="P68B1DB1-Normal4"/>
        <w:spacing w:before="120" w:after="120" w:line="240" w:lineRule="auto"/>
        <w:jc w:val="both"/>
        <w:rPr>
          <w:rFonts w:cs="Times New Roman"/>
          <w:noProof/>
        </w:rPr>
      </w:pPr>
      <w:r>
        <w:rPr>
          <w:noProof/>
        </w:rPr>
        <w:t>A beruházás végrehajtását 2026. június 30-ig be kell fejezni.</w:t>
      </w:r>
    </w:p>
    <w:p w14:paraId="19B2E2EB" w14:textId="77777777" w:rsidR="003E1D81" w:rsidRDefault="00EB481C">
      <w:pPr>
        <w:pStyle w:val="P68B1DB1-Normal6"/>
        <w:spacing w:before="120" w:after="120" w:line="240" w:lineRule="auto"/>
        <w:jc w:val="both"/>
        <w:rPr>
          <w:rFonts w:cs="Times New Roman"/>
          <w:noProof/>
        </w:rPr>
      </w:pPr>
      <w:r>
        <w:rPr>
          <w:noProof/>
        </w:rPr>
        <w:t>Beruházás (C3.I2) – Terv a mezőgazdaság és az állattenyész</w:t>
      </w:r>
      <w:r>
        <w:rPr>
          <w:noProof/>
        </w:rPr>
        <w:t xml:space="preserve">tés fenntarthatóságának és versenyképességének fokozására (I): Az állat- és növény-egészségügyi laboratóriumok korszerűsítése </w:t>
      </w:r>
    </w:p>
    <w:p w14:paraId="2AB9C24A" w14:textId="77777777" w:rsidR="003E1D81" w:rsidRDefault="00EB481C">
      <w:pPr>
        <w:pStyle w:val="P68B1DB1-Normal4"/>
        <w:spacing w:before="120" w:after="120" w:line="240" w:lineRule="auto"/>
        <w:jc w:val="both"/>
        <w:rPr>
          <w:rFonts w:cs="Times New Roman"/>
          <w:noProof/>
        </w:rPr>
      </w:pPr>
      <w:r>
        <w:rPr>
          <w:noProof/>
        </w:rPr>
        <w:t>Ennek az intézkedésnek javítania kell a mezőgazdasági és állattenyésztési ágazat élelmezésbiztonságát azáltal, hogy 3. szintű bio</w:t>
      </w:r>
      <w:r>
        <w:rPr>
          <w:noProof/>
        </w:rPr>
        <w:t>lógiai biztonsági szintű létesítmények építésével gyors intézkedéseket biztosít az állatbetegségek – köztük az embereket érintő betegségek –, valamint a növénykárosítók kitörésére válaszul. Az intézkedésnek különösen a következő létesítmények üzembe helyez</w:t>
      </w:r>
      <w:r>
        <w:rPr>
          <w:noProof/>
        </w:rPr>
        <w:t>ését kell biztosítania:</w:t>
      </w:r>
    </w:p>
    <w:p w14:paraId="45F0ABAF" w14:textId="77777777" w:rsidR="003E1D81" w:rsidRDefault="00EB481C">
      <w:pPr>
        <w:pStyle w:val="P68B1DB1-Normal4"/>
        <w:numPr>
          <w:ilvl w:val="0"/>
          <w:numId w:val="84"/>
        </w:numPr>
        <w:spacing w:before="120" w:after="120" w:line="240" w:lineRule="auto"/>
        <w:ind w:left="357" w:hanging="357"/>
        <w:contextualSpacing/>
        <w:jc w:val="both"/>
        <w:rPr>
          <w:rFonts w:cs="Times New Roman"/>
          <w:noProof/>
        </w:rPr>
      </w:pPr>
      <w:r>
        <w:rPr>
          <w:noProof/>
        </w:rPr>
        <w:t>szintű Biológiai Biztonsági Laboratórium (LSCA-Santa Fe);</w:t>
      </w:r>
    </w:p>
    <w:p w14:paraId="7A8D5F63" w14:textId="77777777" w:rsidR="003E1D81" w:rsidRDefault="00EB481C">
      <w:pPr>
        <w:pStyle w:val="P68B1DB1-Normal4"/>
        <w:numPr>
          <w:ilvl w:val="0"/>
          <w:numId w:val="84"/>
        </w:numPr>
        <w:spacing w:before="120" w:after="120" w:line="240" w:lineRule="auto"/>
        <w:ind w:left="357" w:hanging="357"/>
        <w:contextualSpacing/>
        <w:jc w:val="both"/>
        <w:rPr>
          <w:rFonts w:cs="Times New Roman"/>
          <w:noProof/>
        </w:rPr>
      </w:pPr>
      <w:r>
        <w:rPr>
          <w:noProof/>
        </w:rPr>
        <w:t>a 3. szintű biológiai biztonságot nyújtó állattartó létesítmény (LCV-Algete); és</w:t>
      </w:r>
    </w:p>
    <w:p w14:paraId="6D5D30E8" w14:textId="77777777" w:rsidR="003E1D81" w:rsidRDefault="00EB481C">
      <w:pPr>
        <w:pStyle w:val="P68B1DB1-Normal4"/>
        <w:numPr>
          <w:ilvl w:val="0"/>
          <w:numId w:val="84"/>
        </w:numPr>
        <w:spacing w:before="120" w:after="120" w:line="240" w:lineRule="auto"/>
        <w:jc w:val="both"/>
        <w:rPr>
          <w:rFonts w:cs="Times New Roman"/>
          <w:noProof/>
        </w:rPr>
      </w:pPr>
      <w:r>
        <w:rPr>
          <w:noProof/>
        </w:rPr>
        <w:t>a Lugo-i Nemzeti Növény-egészségügyi Laboratórium.</w:t>
      </w:r>
    </w:p>
    <w:p w14:paraId="59041FD8" w14:textId="0A984E81" w:rsidR="003E1D81" w:rsidRDefault="00EB481C">
      <w:pPr>
        <w:pStyle w:val="P68B1DB1-Normal4"/>
        <w:spacing w:before="120" w:after="120" w:line="240" w:lineRule="auto"/>
        <w:jc w:val="both"/>
        <w:rPr>
          <w:rFonts w:cs="Times New Roman"/>
          <w:noProof/>
          <w:u w:val="single"/>
        </w:rPr>
      </w:pPr>
      <w:r>
        <w:rPr>
          <w:noProof/>
        </w:rPr>
        <w:t>A beruházás végrehajtását 2026. június 30-</w:t>
      </w:r>
      <w:r>
        <w:rPr>
          <w:noProof/>
        </w:rPr>
        <w:t>ig be kell fejezni.</w:t>
      </w:r>
    </w:p>
    <w:p w14:paraId="7503F97D" w14:textId="77777777" w:rsidR="003E1D81" w:rsidRDefault="00EB481C">
      <w:pPr>
        <w:pStyle w:val="P68B1DB1-Normal6"/>
        <w:spacing w:before="120" w:after="120" w:line="240" w:lineRule="auto"/>
        <w:jc w:val="both"/>
        <w:rPr>
          <w:rFonts w:cs="Times New Roman"/>
          <w:noProof/>
        </w:rPr>
      </w:pPr>
      <w:r>
        <w:rPr>
          <w:noProof/>
        </w:rPr>
        <w:t>Beruházás (C3.I3) – Terv a mezőgazdaság és az állattenyésztés fenntarthatóságának és versenyképességének fokozására (II): A kapacitásépítés és a biológiai védelmi rendszerek megerősítése a faiskolákban, a takarító- és fertőtlenítő közpo</w:t>
      </w:r>
      <w:r>
        <w:rPr>
          <w:noProof/>
        </w:rPr>
        <w:t xml:space="preserve">ntokban </w:t>
      </w:r>
    </w:p>
    <w:p w14:paraId="14BC482A" w14:textId="77777777" w:rsidR="003E1D81" w:rsidRDefault="00EB481C">
      <w:pPr>
        <w:pStyle w:val="P68B1DB1-Normal4"/>
        <w:spacing w:before="120" w:after="120" w:line="240" w:lineRule="auto"/>
        <w:jc w:val="both"/>
        <w:rPr>
          <w:rFonts w:cs="Times New Roman"/>
          <w:noProof/>
        </w:rPr>
      </w:pPr>
      <w:r>
        <w:rPr>
          <w:noProof/>
        </w:rPr>
        <w:t xml:space="preserve">Ez az intézkedés megerősíti az olyan állatbetegségek és növénykárosítók megelőzését és az ellenük való védelmet, amelyek előfordulási gyakoriságát az éghajlatváltozás növelte, azáltal, hogy javítja a faiskolák, valamint a takarító és fertőtlenítő </w:t>
      </w:r>
      <w:r>
        <w:rPr>
          <w:noProof/>
        </w:rPr>
        <w:t>központok kapacitásépítését és biológiai védelmi rendszereit. Megerősíti a biológiai védelmi rendszereket a növényi szaporítóanyagokat előállító létesítményekben, amelyek a növényvédő szerek használatának csökkentése mellett fontos szerepet játszanak a kár</w:t>
      </w:r>
      <w:r>
        <w:rPr>
          <w:noProof/>
        </w:rPr>
        <w:t xml:space="preserve">tevőktől mentes anyagok előállításában. </w:t>
      </w:r>
    </w:p>
    <w:p w14:paraId="09913FC4" w14:textId="77777777" w:rsidR="003E1D81" w:rsidRDefault="00EB481C">
      <w:pPr>
        <w:pStyle w:val="P68B1DB1-Normal4"/>
        <w:spacing w:before="120" w:after="120" w:line="240" w:lineRule="auto"/>
        <w:jc w:val="both"/>
        <w:rPr>
          <w:rFonts w:cs="Times New Roman"/>
          <w:noProof/>
        </w:rPr>
      </w:pPr>
      <w:r>
        <w:rPr>
          <w:noProof/>
        </w:rPr>
        <w:t>A támogatás a növényi szaporítóanyagokat előállító mezőgazdasági üzemeknek, valamint az élő állatok szállítóeszközeinek tisztítására és fertőtlenítésére szolgáló központoknak nyújtott beruházási támogatás formájában</w:t>
      </w:r>
      <w:r>
        <w:rPr>
          <w:noProof/>
        </w:rPr>
        <w:t xml:space="preserve"> valósul meg. Támogatást irányoznak elő különösen e létesítmények automatizálás, robotizáció, valamint új tisztító- és fertőtlenítő rendszerek – például termikus fertőtlenítés – telepítése révén történő technológiai fejlesztésére. </w:t>
      </w:r>
    </w:p>
    <w:p w14:paraId="7804C26F" w14:textId="77777777" w:rsidR="003E1D81" w:rsidRDefault="00EB481C">
      <w:pPr>
        <w:pStyle w:val="P68B1DB1-Normal4"/>
        <w:spacing w:before="120" w:after="120" w:line="240" w:lineRule="auto"/>
        <w:jc w:val="both"/>
        <w:rPr>
          <w:rFonts w:cs="Times New Roman"/>
          <w:noProof/>
        </w:rPr>
      </w:pPr>
      <w:r>
        <w:rPr>
          <w:noProof/>
        </w:rPr>
        <w:t>Az intézkedés magában fo</w:t>
      </w:r>
      <w:r>
        <w:rPr>
          <w:noProof/>
        </w:rPr>
        <w:t>glalja legalább 465 tisztító és fertőtlenítő központ, valamint a növényi szaporító anyagokat előállító, fokozott képzési és biológiai védelmi rendszerekkel rendelkező központok megerősítését.</w:t>
      </w:r>
    </w:p>
    <w:p w14:paraId="5590D1C9" w14:textId="7291F610" w:rsidR="003E1D81" w:rsidRDefault="00EB481C">
      <w:pPr>
        <w:pStyle w:val="P68B1DB1-Normal4"/>
        <w:spacing w:before="120" w:after="120" w:line="240" w:lineRule="auto"/>
        <w:jc w:val="both"/>
        <w:rPr>
          <w:rFonts w:cs="Times New Roman"/>
          <w:noProof/>
        </w:rPr>
      </w:pPr>
      <w:r>
        <w:rPr>
          <w:noProof/>
        </w:rPr>
        <w:t>A beruházás végrehajtását 2024. szeptember 30-ig be kell fejezni</w:t>
      </w:r>
      <w:r>
        <w:rPr>
          <w:noProof/>
        </w:rPr>
        <w:t>.</w:t>
      </w:r>
    </w:p>
    <w:p w14:paraId="4D9D5B08" w14:textId="77777777" w:rsidR="003E1D81" w:rsidRDefault="00EB481C">
      <w:pPr>
        <w:pStyle w:val="P68B1DB1-Normal6"/>
        <w:spacing w:before="120" w:after="120" w:line="240" w:lineRule="auto"/>
        <w:jc w:val="both"/>
        <w:rPr>
          <w:rFonts w:cs="Times New Roman"/>
          <w:noProof/>
        </w:rPr>
      </w:pPr>
      <w:r>
        <w:rPr>
          <w:noProof/>
        </w:rPr>
        <w:t>Beruházás (C3.I4) – Terv a mezőgazdaság és az állattenyésztés fenntarthatóságának és versenyképességének fokozására (III): Beruházások a precíziós mezőgazdaságba, az energiahatékonyságba és a körforgásos gazdaságba a mezőgazdasági és állattenyésztési ágaza</w:t>
      </w:r>
      <w:r>
        <w:rPr>
          <w:noProof/>
        </w:rPr>
        <w:t xml:space="preserve">tban </w:t>
      </w:r>
    </w:p>
    <w:p w14:paraId="75E59DDF" w14:textId="77777777" w:rsidR="003E1D81" w:rsidRDefault="00EB481C">
      <w:pPr>
        <w:pStyle w:val="P68B1DB1-Normal4"/>
        <w:spacing w:before="120" w:after="120" w:line="240" w:lineRule="auto"/>
        <w:jc w:val="both"/>
        <w:rPr>
          <w:rFonts w:cs="Times New Roman"/>
          <w:noProof/>
        </w:rPr>
      </w:pPr>
      <w:r>
        <w:rPr>
          <w:noProof/>
        </w:rPr>
        <w:t>Ez az intézkedés előmozdítja a mezőgazdasági és állattenyésztési ágazat fenntarthatóságát és versenyképességét a következőkbe történő beruházások révén: precíziós mezőgazdaság; energiahatékonyság; a körforgásos gazdaság; és iv. a megújuló energia has</w:t>
      </w:r>
      <w:r>
        <w:rPr>
          <w:noProof/>
        </w:rPr>
        <w:t xml:space="preserve">ználata. </w:t>
      </w:r>
    </w:p>
    <w:p w14:paraId="182A33E1" w14:textId="77777777" w:rsidR="003E1D81" w:rsidRDefault="00EB481C">
      <w:pPr>
        <w:pStyle w:val="P68B1DB1-Normal4"/>
        <w:spacing w:before="120" w:after="120" w:line="240" w:lineRule="auto"/>
        <w:jc w:val="both"/>
        <w:rPr>
          <w:rFonts w:cs="Times New Roman"/>
          <w:noProof/>
        </w:rPr>
      </w:pPr>
      <w:r>
        <w:rPr>
          <w:noProof/>
        </w:rPr>
        <w:t xml:space="preserve">Konkrétabban, a beruházások az alábbiakhoz kapcsolódnak: </w:t>
      </w:r>
    </w:p>
    <w:p w14:paraId="0B534188" w14:textId="77777777" w:rsidR="003E1D81" w:rsidRDefault="00EB481C">
      <w:pPr>
        <w:pStyle w:val="P68B1DB1-Normal4"/>
        <w:numPr>
          <w:ilvl w:val="0"/>
          <w:numId w:val="85"/>
        </w:numPr>
        <w:spacing w:before="120" w:after="120" w:line="240" w:lineRule="auto"/>
        <w:ind w:left="357" w:hanging="357"/>
        <w:contextualSpacing/>
        <w:jc w:val="both"/>
        <w:rPr>
          <w:rFonts w:cs="Times New Roman"/>
          <w:noProof/>
        </w:rPr>
      </w:pPr>
      <w:r>
        <w:rPr>
          <w:noProof/>
        </w:rPr>
        <w:t xml:space="preserve">Új rendszerek bevezetése a mezőgazdasági hulladék, valamint az állati eredetű szennyvíz és melléktermékeik kezelésére, beleértve a strukturális reformokat is; </w:t>
      </w:r>
    </w:p>
    <w:p w14:paraId="6A0A438D" w14:textId="77777777" w:rsidR="003E1D81" w:rsidRDefault="00EB481C">
      <w:pPr>
        <w:pStyle w:val="P68B1DB1-Normal4"/>
        <w:numPr>
          <w:ilvl w:val="0"/>
          <w:numId w:val="85"/>
        </w:numPr>
        <w:spacing w:before="120" w:after="120" w:line="240" w:lineRule="auto"/>
        <w:ind w:left="357" w:hanging="357"/>
        <w:contextualSpacing/>
        <w:jc w:val="both"/>
        <w:rPr>
          <w:rFonts w:cs="Times New Roman"/>
          <w:noProof/>
        </w:rPr>
      </w:pPr>
      <w:r>
        <w:rPr>
          <w:noProof/>
        </w:rPr>
        <w:t>az üvegházak korszerűsítése,</w:t>
      </w:r>
      <w:r>
        <w:rPr>
          <w:noProof/>
        </w:rPr>
        <w:t xml:space="preserve"> mind létesítményeik, mind berendezéseik korszerűsítése; </w:t>
      </w:r>
    </w:p>
    <w:p w14:paraId="0E4AA40F" w14:textId="77777777" w:rsidR="003E1D81" w:rsidRDefault="00EB481C">
      <w:pPr>
        <w:pStyle w:val="P68B1DB1-Normal4"/>
        <w:numPr>
          <w:ilvl w:val="0"/>
          <w:numId w:val="85"/>
        </w:numPr>
        <w:spacing w:before="120" w:after="120" w:line="240" w:lineRule="auto"/>
        <w:ind w:left="357" w:hanging="357"/>
        <w:contextualSpacing/>
        <w:jc w:val="both"/>
        <w:rPr>
          <w:rFonts w:cs="Times New Roman"/>
          <w:noProof/>
        </w:rPr>
      </w:pPr>
      <w:r>
        <w:rPr>
          <w:noProof/>
        </w:rPr>
        <w:t>a biogázok és a megújuló energiák használatának előmozdítása; és</w:t>
      </w:r>
    </w:p>
    <w:p w14:paraId="5A639482" w14:textId="77777777" w:rsidR="003E1D81" w:rsidRDefault="00EB481C">
      <w:pPr>
        <w:pStyle w:val="P68B1DB1-Normal4"/>
        <w:numPr>
          <w:ilvl w:val="0"/>
          <w:numId w:val="85"/>
        </w:numPr>
        <w:spacing w:before="120" w:after="120" w:line="240" w:lineRule="auto"/>
        <w:jc w:val="both"/>
        <w:rPr>
          <w:rFonts w:cs="Times New Roman"/>
          <w:noProof/>
        </w:rPr>
      </w:pPr>
      <w:r>
        <w:rPr>
          <w:noProof/>
        </w:rPr>
        <w:t>valós idejű adatok gyűjtése olyan érzékelők segítségével, amelyek lehetővé teszik a precíziós mezőgazdaság és technológia alkalmazásá</w:t>
      </w:r>
      <w:r>
        <w:rPr>
          <w:noProof/>
        </w:rPr>
        <w:t>t a gazdaságokban, ami magában foglalja a műholdas navigációs rendszerek (GNSS) bevezetését és a földrajzi helymeghatározást az állattenyésztésben.</w:t>
      </w:r>
    </w:p>
    <w:p w14:paraId="7D8DD025" w14:textId="77777777" w:rsidR="003E1D81" w:rsidRDefault="00EB481C">
      <w:pPr>
        <w:pStyle w:val="P68B1DB1-Normal4"/>
        <w:spacing w:before="120" w:after="120" w:line="240" w:lineRule="auto"/>
        <w:jc w:val="both"/>
        <w:rPr>
          <w:rFonts w:cs="Times New Roman"/>
          <w:noProof/>
        </w:rPr>
      </w:pPr>
      <w:r>
        <w:rPr>
          <w:noProof/>
        </w:rPr>
        <w:t>Az intézkedést mezőgazdasági üzemekbe vagy mezőgazdasági szolgáltató társaságokba történő egyéni vagy kollek</w:t>
      </w:r>
      <w:r>
        <w:rPr>
          <w:noProof/>
        </w:rPr>
        <w:t>tív befektetés formájában kell végrehajtani. Legalább 5000 gazdaságnak végre kell hajtania a precíziós mezőgazdaságra, az energiahatékonyságra, a körforgásos gazdaságra és a megújuló energia felhasználására irányuló projekteket.</w:t>
      </w:r>
    </w:p>
    <w:p w14:paraId="5E653E8F" w14:textId="77777777" w:rsidR="003E1D81" w:rsidRDefault="00EB481C">
      <w:pPr>
        <w:pStyle w:val="P68B1DB1-Normal4"/>
        <w:spacing w:before="120" w:after="120" w:line="240" w:lineRule="auto"/>
        <w:jc w:val="both"/>
        <w:rPr>
          <w:rFonts w:cs="Times New Roman"/>
          <w:noProof/>
          <w:u w:val="single"/>
        </w:rPr>
      </w:pPr>
      <w:r>
        <w:rPr>
          <w:noProof/>
        </w:rPr>
        <w:t>A beruházás végrehajtását 2</w:t>
      </w:r>
      <w:r>
        <w:rPr>
          <w:noProof/>
        </w:rPr>
        <w:t>026. június 30-ig be kell fejezni.</w:t>
      </w:r>
    </w:p>
    <w:p w14:paraId="5787123F" w14:textId="77777777" w:rsidR="003E1D81" w:rsidRDefault="00EB481C">
      <w:pPr>
        <w:pStyle w:val="P68B1DB1-Normal6"/>
        <w:spacing w:before="120" w:after="120" w:line="240" w:lineRule="auto"/>
        <w:jc w:val="both"/>
        <w:rPr>
          <w:rFonts w:cs="Times New Roman"/>
          <w:noProof/>
        </w:rPr>
      </w:pPr>
      <w:r>
        <w:rPr>
          <w:noProof/>
        </w:rPr>
        <w:t>Beruházás (C3.I5) – Az agrár-élelmiszeripari és erdészeti ágazat, valamint a vidéki környezet digitalizálására irányuló stratégia: az agrár-élelmiszeripari és erdészeti ágazat digitalizációját és vállalkozói készségét, va</w:t>
      </w:r>
      <w:r>
        <w:rPr>
          <w:noProof/>
        </w:rPr>
        <w:t xml:space="preserve">lamint a vidéki környezetet támogató intézkedések kidolgozása </w:t>
      </w:r>
    </w:p>
    <w:p w14:paraId="21E6740E" w14:textId="77777777" w:rsidR="003E1D81" w:rsidRDefault="00EB481C">
      <w:pPr>
        <w:pStyle w:val="P68B1DB1-Normal4"/>
        <w:spacing w:before="120" w:after="120" w:line="240" w:lineRule="auto"/>
        <w:jc w:val="both"/>
        <w:rPr>
          <w:rFonts w:cs="Times New Roman"/>
          <w:noProof/>
        </w:rPr>
      </w:pPr>
      <w:r>
        <w:rPr>
          <w:noProof/>
        </w:rPr>
        <w:t xml:space="preserve">Ez az intézkedés intézkedéseket határoz meg a spanyol kormány által 2019 márciusában elfogadott, az agrár-élelmiszeripari, erdészeti és vidéki ágazatok digitalizációjára irányuló stratégiában, </w:t>
      </w:r>
      <w:r>
        <w:rPr>
          <w:noProof/>
        </w:rPr>
        <w:t>valamint a 2021–2023-as időszakra szóló második cselekvési tervében. Az intézkedések a következőket foglalják magukban:</w:t>
      </w:r>
    </w:p>
    <w:p w14:paraId="288244F9" w14:textId="77777777" w:rsidR="003E1D81" w:rsidRDefault="00EB481C">
      <w:pPr>
        <w:pStyle w:val="P68B1DB1-Normal4"/>
        <w:numPr>
          <w:ilvl w:val="0"/>
          <w:numId w:val="77"/>
        </w:numPr>
        <w:spacing w:before="120" w:after="120" w:line="240" w:lineRule="auto"/>
        <w:ind w:left="425" w:hanging="425"/>
        <w:contextualSpacing/>
        <w:jc w:val="both"/>
        <w:rPr>
          <w:rFonts w:cs="Times New Roman"/>
          <w:noProof/>
        </w:rPr>
      </w:pPr>
      <w:r>
        <w:rPr>
          <w:noProof/>
        </w:rPr>
        <w:t>Külön pénzügyi támogatási sor az agrár-élelmiszeripari ágazatban működő kkv-k számára az innovatív és digitális üzleti projektek ösztönz</w:t>
      </w:r>
      <w:r>
        <w:rPr>
          <w:noProof/>
        </w:rPr>
        <w:t>ése érdekében, amelyet részvételen alapuló hitelek nyújtása révén kell végrehajtani;</w:t>
      </w:r>
    </w:p>
    <w:p w14:paraId="50C1BDF4" w14:textId="77777777" w:rsidR="003E1D81" w:rsidRDefault="00EB481C">
      <w:pPr>
        <w:pStyle w:val="P68B1DB1-Normal4"/>
        <w:numPr>
          <w:ilvl w:val="0"/>
          <w:numId w:val="77"/>
        </w:numPr>
        <w:spacing w:before="120" w:after="120" w:line="240" w:lineRule="auto"/>
        <w:ind w:left="425" w:hanging="425"/>
        <w:contextualSpacing/>
        <w:jc w:val="both"/>
        <w:rPr>
          <w:rFonts w:cs="Times New Roman"/>
          <w:noProof/>
        </w:rPr>
      </w:pPr>
      <w:r>
        <w:rPr>
          <w:noProof/>
        </w:rPr>
        <w:t>digitális innovációs központ létrehozása az agrár-élelmiszeripari ágazatban működő vállalkozások számára, amelyet házon belüli szerződés és versenytárgyalásos közbeszerzés</w:t>
      </w:r>
      <w:r>
        <w:rPr>
          <w:noProof/>
        </w:rPr>
        <w:t xml:space="preserve"> útján valósítanak meg;</w:t>
      </w:r>
    </w:p>
    <w:p w14:paraId="447F264E" w14:textId="77777777" w:rsidR="003E1D81" w:rsidRDefault="00EB481C">
      <w:pPr>
        <w:pStyle w:val="P68B1DB1-Normal4"/>
        <w:numPr>
          <w:ilvl w:val="0"/>
          <w:numId w:val="77"/>
        </w:numPr>
        <w:spacing w:before="120" w:after="120" w:line="240" w:lineRule="auto"/>
        <w:ind w:left="425" w:hanging="425"/>
        <w:contextualSpacing/>
        <w:jc w:val="both"/>
        <w:rPr>
          <w:rFonts w:cs="Times New Roman"/>
          <w:noProof/>
        </w:rPr>
      </w:pPr>
      <w:r>
        <w:rPr>
          <w:noProof/>
        </w:rPr>
        <w:t>az agrár-élelmiszeripari ágazat digitalizációjával foglalkozó megfigyelőközpont a MAPA és az együttműködő szerv közötti partnerségi megállapodás révén; és</w:t>
      </w:r>
    </w:p>
    <w:p w14:paraId="61C3C163" w14:textId="77777777" w:rsidR="003E1D81" w:rsidRDefault="00EB481C">
      <w:pPr>
        <w:pStyle w:val="P68B1DB1-Normal4"/>
        <w:numPr>
          <w:ilvl w:val="0"/>
          <w:numId w:val="77"/>
        </w:numPr>
        <w:spacing w:before="120" w:after="120" w:line="240" w:lineRule="auto"/>
        <w:ind w:left="426" w:hanging="426"/>
        <w:jc w:val="both"/>
        <w:rPr>
          <w:rFonts w:cs="Times New Roman"/>
          <w:noProof/>
        </w:rPr>
      </w:pPr>
      <w:r>
        <w:rPr>
          <w:noProof/>
        </w:rPr>
        <w:t>a Mezőgazdasági Tudás- és Információs Rendszer (AKIS) tanácsadóinak platformj</w:t>
      </w:r>
      <w:r>
        <w:rPr>
          <w:noProof/>
        </w:rPr>
        <w:t>a, amely az AKIS-szereplők közötti tudás- és információátadást elősegítő eszközként szolgál, és amelyet belső szerződés és közbeszerzés útján, versenytárgyalási eljárás keretében kell megvalósítani.</w:t>
      </w:r>
    </w:p>
    <w:p w14:paraId="32BC8D05" w14:textId="77777777" w:rsidR="003E1D81" w:rsidRDefault="00EB481C">
      <w:pPr>
        <w:pStyle w:val="P68B1DB1-Normal4"/>
        <w:spacing w:before="120" w:after="120" w:line="240" w:lineRule="auto"/>
        <w:jc w:val="both"/>
        <w:rPr>
          <w:rFonts w:cs="Times New Roman"/>
          <w:noProof/>
        </w:rPr>
      </w:pPr>
      <w:r>
        <w:rPr>
          <w:noProof/>
        </w:rPr>
        <w:t>Az intézkedés részeként 2023 végéig legalább 60 agrár-éle</w:t>
      </w:r>
      <w:r>
        <w:rPr>
          <w:noProof/>
        </w:rPr>
        <w:t xml:space="preserve">lmiszeripari kkv-nak olyan innovatív és digitális üzleti projekteket kell végrehajtania, amelyek megfelelnek a jelentős károkozás elkerülését célzó technikai iránymutatásnak (2021/C58/01). </w:t>
      </w:r>
    </w:p>
    <w:p w14:paraId="6B1ACAB3" w14:textId="77777777" w:rsidR="003E1D81" w:rsidRDefault="00EB481C">
      <w:pPr>
        <w:pStyle w:val="P68B1DB1-Text119"/>
        <w:ind w:left="0"/>
        <w:rPr>
          <w:rFonts w:cs="Times New Roman"/>
          <w:noProof/>
        </w:rPr>
      </w:pPr>
      <w:r>
        <w:rPr>
          <w:noProof/>
        </w:rPr>
        <w:t xml:space="preserve">Annak biztosítása érdekében, hogy az intézkedés megfeleljen a jelentős károkozás elkerülését célzó elvről szóló technikai iránymutatásnak (2021/C58/01), a Mezőgazdasági, Halászati és Élelmiszerügyi Minisztérium és az </w:t>
      </w:r>
      <w:r>
        <w:rPr>
          <w:i/>
          <w:noProof/>
        </w:rPr>
        <w:t>Empresa Nacional de Innovación</w:t>
      </w:r>
      <w:r>
        <w:rPr>
          <w:noProof/>
        </w:rPr>
        <w:t xml:space="preserve"> (ENISA) </w:t>
      </w:r>
      <w:r>
        <w:rPr>
          <w:noProof/>
        </w:rPr>
        <w:t xml:space="preserve">közötti jogi megállapodásnak és a pénzügyi eszköz ezt követő befektetési politikájának: </w:t>
      </w:r>
    </w:p>
    <w:p w14:paraId="66580EAC" w14:textId="77777777" w:rsidR="003E1D81" w:rsidRDefault="00EB481C">
      <w:pPr>
        <w:pStyle w:val="P68B1DB1-Text119"/>
        <w:numPr>
          <w:ilvl w:val="0"/>
          <w:numId w:val="195"/>
        </w:numPr>
        <w:ind w:left="714" w:hanging="357"/>
        <w:contextualSpacing/>
        <w:rPr>
          <w:rFonts w:cs="Times New Roman"/>
          <w:noProof/>
        </w:rPr>
      </w:pPr>
      <w:r>
        <w:rPr>
          <w:noProof/>
        </w:rPr>
        <w:t>előírja az InvestEU Alap fenntarthatósági vizsgálatáról szóló bizottsági technikai iránymutatás alkalmazását; és</w:t>
      </w:r>
    </w:p>
    <w:p w14:paraId="393CB774" w14:textId="77777777" w:rsidR="003E1D81" w:rsidRDefault="00EB481C">
      <w:pPr>
        <w:pStyle w:val="Text1"/>
        <w:numPr>
          <w:ilvl w:val="0"/>
          <w:numId w:val="195"/>
        </w:numPr>
        <w:ind w:left="714" w:hanging="357"/>
        <w:contextualSpacing/>
        <w:rPr>
          <w:rFonts w:ascii="Times New Roman" w:hAnsi="Times New Roman" w:cs="Times New Roman"/>
          <w:noProof/>
        </w:rPr>
      </w:pPr>
      <w:r>
        <w:rPr>
          <w:rFonts w:ascii="Times New Roman" w:hAnsi="Times New Roman"/>
          <w:noProof/>
        </w:rPr>
        <w:t>a tevékenységek és eszközök alábbi listájának kizárása</w:t>
      </w:r>
      <w:r>
        <w:rPr>
          <w:rFonts w:ascii="Times New Roman" w:hAnsi="Times New Roman"/>
          <w:noProof/>
        </w:rPr>
        <w:t xml:space="preserve"> a támogathatóságból: a fosszilis tüzelőanyagokhoz kapcsolódó tevékenységek és eszközök, beleértve a downstream felhasználást is</w:t>
      </w:r>
      <w:r>
        <w:rPr>
          <w:rStyle w:val="FootnoteReference"/>
          <w:rFonts w:ascii="Times New Roman" w:hAnsi="Times New Roman" w:cs="Times New Roman"/>
          <w:noProof/>
        </w:rPr>
        <w:footnoteReference w:id="11"/>
      </w:r>
      <w:r>
        <w:rPr>
          <w:rFonts w:ascii="Times New Roman" w:hAnsi="Times New Roman"/>
          <w:noProof/>
        </w:rPr>
        <w:t>; az uniós kibocsátáskereskedelmi rendszer (ETS) keretében végzett tevékenységek és eszközök, amelyek a vonatkozó referenciaért</w:t>
      </w:r>
      <w:r>
        <w:rPr>
          <w:rFonts w:ascii="Times New Roman" w:hAnsi="Times New Roman"/>
          <w:noProof/>
        </w:rPr>
        <w:t>ékeknél nem alacsonyabb várható üvegházhatásúgáz-kibocsátást érnek el</w:t>
      </w:r>
      <w:r>
        <w:rPr>
          <w:rStyle w:val="FootnoteReference"/>
          <w:rFonts w:ascii="Times New Roman" w:hAnsi="Times New Roman" w:cs="Times New Roman"/>
          <w:noProof/>
        </w:rPr>
        <w:footnoteReference w:id="12"/>
      </w:r>
      <w:r>
        <w:rPr>
          <w:rFonts w:ascii="Times New Roman" w:hAnsi="Times New Roman"/>
          <w:noProof/>
        </w:rPr>
        <w:t>; hulladéklerakókkal, hulladékégetőkkel és mechanikai-biológiai szennyvíztisztító telepekkel kapcsolatos tevékenységek</w:t>
      </w:r>
      <w:r>
        <w:rPr>
          <w:rStyle w:val="FootnoteReference"/>
          <w:rFonts w:ascii="Times New Roman" w:hAnsi="Times New Roman" w:cs="Times New Roman"/>
          <w:noProof/>
        </w:rPr>
        <w:footnoteReference w:id="13"/>
      </w:r>
      <w:r>
        <w:rPr>
          <w:rFonts w:ascii="Times New Roman" w:hAnsi="Times New Roman"/>
          <w:noProof/>
        </w:rPr>
        <w:t xml:space="preserve"> és eszközök</w:t>
      </w:r>
      <w:r>
        <w:rPr>
          <w:rStyle w:val="FootnoteReference"/>
          <w:rFonts w:ascii="Times New Roman" w:hAnsi="Times New Roman" w:cs="Times New Roman"/>
          <w:noProof/>
        </w:rPr>
        <w:footnoteReference w:id="14"/>
      </w:r>
      <w:r>
        <w:rPr>
          <w:rFonts w:ascii="Times New Roman" w:hAnsi="Times New Roman"/>
          <w:noProof/>
        </w:rPr>
        <w:t>; és iv. olyan tevékenységek és eszközök, amelyek eset</w:t>
      </w:r>
      <w:r>
        <w:rPr>
          <w:rFonts w:ascii="Times New Roman" w:hAnsi="Times New Roman"/>
          <w:noProof/>
        </w:rPr>
        <w:t xml:space="preserve">ében a hulladék hosszú távú ártalmatlanítása károsíthatja a környezetet; </w:t>
      </w:r>
    </w:p>
    <w:p w14:paraId="5C96C0E7" w14:textId="77777777" w:rsidR="003E1D81" w:rsidRDefault="00EB481C">
      <w:pPr>
        <w:pStyle w:val="P68B1DB1-Text119"/>
        <w:numPr>
          <w:ilvl w:val="0"/>
          <w:numId w:val="195"/>
        </w:numPr>
        <w:rPr>
          <w:rFonts w:cs="Times New Roman"/>
          <w:noProof/>
        </w:rPr>
      </w:pPr>
      <w:r>
        <w:rPr>
          <w:noProof/>
        </w:rPr>
        <w:t>annak előírása az ENISA-tól, hogy ellenőrizze a projektek vonatkozó uniós és nemzeti környezetvédelmi jogszabályoknak való megfelelését valamennyi ügylet tekintetében, beleértve a fe</w:t>
      </w:r>
      <w:r>
        <w:rPr>
          <w:noProof/>
        </w:rPr>
        <w:t>nntarthatósági vizsgálat alól mentesülő ügyleteket is.</w:t>
      </w:r>
    </w:p>
    <w:p w14:paraId="0EAA64EC" w14:textId="77777777" w:rsidR="003E1D81" w:rsidRDefault="00EB481C">
      <w:pPr>
        <w:pStyle w:val="P68B1DB1-Normal4"/>
        <w:spacing w:before="120" w:after="120" w:line="240" w:lineRule="auto"/>
        <w:jc w:val="both"/>
        <w:rPr>
          <w:rFonts w:cs="Times New Roman"/>
          <w:noProof/>
        </w:rPr>
      </w:pPr>
      <w:r>
        <w:rPr>
          <w:noProof/>
        </w:rPr>
        <w:t xml:space="preserve">A szén-dioxid-leválasztással és -tárolással kapcsolatos tevékenységek nem támogathatók. </w:t>
      </w:r>
    </w:p>
    <w:p w14:paraId="07BE4ACA" w14:textId="77777777" w:rsidR="003E1D81" w:rsidRDefault="00EB481C">
      <w:pPr>
        <w:pStyle w:val="P68B1DB1-Normal4"/>
        <w:spacing w:before="120" w:after="120" w:line="240" w:lineRule="auto"/>
        <w:jc w:val="both"/>
        <w:rPr>
          <w:rFonts w:cs="Times New Roman"/>
          <w:noProof/>
        </w:rPr>
      </w:pPr>
      <w:r>
        <w:rPr>
          <w:noProof/>
        </w:rPr>
        <w:t>A beruházás végrehajtását 2026. június 30-ig be kell fejezni.</w:t>
      </w:r>
    </w:p>
    <w:p w14:paraId="5DB45D12" w14:textId="77777777" w:rsidR="003E1D81" w:rsidRDefault="00EB481C">
      <w:pPr>
        <w:pStyle w:val="P68B1DB1-Normal6"/>
        <w:spacing w:before="120" w:after="120" w:line="240" w:lineRule="auto"/>
        <w:jc w:val="both"/>
        <w:rPr>
          <w:rFonts w:cs="Times New Roman"/>
          <w:noProof/>
        </w:rPr>
      </w:pPr>
      <w:r>
        <w:rPr>
          <w:noProof/>
        </w:rPr>
        <w:t>Beruházás (C3.I6) – Terv a fenntarthatóság, a kuta</w:t>
      </w:r>
      <w:r>
        <w:rPr>
          <w:noProof/>
        </w:rPr>
        <w:t xml:space="preserve">tás, az innováció és a digitalizáció előmozdítására a halászati ágazatban (I): A halászati érdekű tengeri tartalékok hálózatának korszerűsítése </w:t>
      </w:r>
    </w:p>
    <w:p w14:paraId="5BE7D24B" w14:textId="77777777" w:rsidR="003E1D81" w:rsidRDefault="00EB481C">
      <w:pPr>
        <w:pStyle w:val="P68B1DB1-Normal4"/>
        <w:spacing w:before="120" w:after="120" w:line="240" w:lineRule="auto"/>
        <w:jc w:val="both"/>
        <w:rPr>
          <w:rFonts w:cs="Times New Roman"/>
          <w:noProof/>
        </w:rPr>
      </w:pPr>
      <w:r>
        <w:rPr>
          <w:noProof/>
        </w:rPr>
        <w:t>Ezen intézkedés célja a halászati érdekű tengeri tartalékok hálózatának korszerűsítése a következő intézkedések</w:t>
      </w:r>
      <w:r>
        <w:rPr>
          <w:noProof/>
        </w:rPr>
        <w:t xml:space="preserve"> révén:</w:t>
      </w:r>
    </w:p>
    <w:p w14:paraId="65B6E506" w14:textId="77777777" w:rsidR="003E1D81" w:rsidRDefault="00EB481C">
      <w:pPr>
        <w:pStyle w:val="P68B1DB1-Normal4"/>
        <w:numPr>
          <w:ilvl w:val="0"/>
          <w:numId w:val="78"/>
        </w:numPr>
        <w:spacing w:before="120" w:after="120" w:line="240" w:lineRule="auto"/>
        <w:ind w:left="425" w:hanging="425"/>
        <w:contextualSpacing/>
        <w:jc w:val="both"/>
        <w:rPr>
          <w:rFonts w:cs="Times New Roman"/>
          <w:noProof/>
        </w:rPr>
      </w:pPr>
      <w:r>
        <w:rPr>
          <w:noProof/>
        </w:rPr>
        <w:t>Két speciális célú segédhajó beszerzése a tartalékban végzett tevékenységek ellenőrzésének és felügyeletének biztosítása érdekében;</w:t>
      </w:r>
    </w:p>
    <w:p w14:paraId="6010D33B" w14:textId="7719209E" w:rsidR="003E1D81" w:rsidRDefault="00EB481C">
      <w:pPr>
        <w:pStyle w:val="P68B1DB1-Normal4"/>
        <w:numPr>
          <w:ilvl w:val="0"/>
          <w:numId w:val="78"/>
        </w:numPr>
        <w:spacing w:before="120" w:after="120" w:line="240" w:lineRule="auto"/>
        <w:ind w:left="425" w:hanging="425"/>
        <w:contextualSpacing/>
        <w:jc w:val="both"/>
        <w:rPr>
          <w:rFonts w:cs="Times New Roman"/>
          <w:noProof/>
        </w:rPr>
      </w:pPr>
      <w:r>
        <w:rPr>
          <w:noProof/>
        </w:rPr>
        <w:t>olyan információs és kommunikációs technológiák alkalmazása, amelyek lehetővé teszik a készletek ellenőrzését és nyo</w:t>
      </w:r>
      <w:r>
        <w:rPr>
          <w:noProof/>
        </w:rPr>
        <w:t>mon követését, legalább olyan drónok beszerzésével, amelyek megfelelő hatáskörrel rendelkeznek ahhoz, hogy lehetővé tegyék az ellenőrzési és nyomonkövetési tevékenységeket, és optimalizálják a meglévő eszközöket;</w:t>
      </w:r>
    </w:p>
    <w:p w14:paraId="23F7DD70" w14:textId="77777777" w:rsidR="003E1D81" w:rsidRDefault="00EB481C">
      <w:pPr>
        <w:pStyle w:val="P68B1DB1-Normal4"/>
        <w:numPr>
          <w:ilvl w:val="0"/>
          <w:numId w:val="78"/>
        </w:numPr>
        <w:spacing w:before="120" w:after="120" w:line="240" w:lineRule="auto"/>
        <w:ind w:left="425" w:hanging="425"/>
        <w:contextualSpacing/>
        <w:jc w:val="both"/>
        <w:rPr>
          <w:rFonts w:cs="Times New Roman"/>
          <w:noProof/>
        </w:rPr>
      </w:pPr>
      <w:r>
        <w:rPr>
          <w:noProof/>
        </w:rPr>
        <w:t>a tartalékhálózat kiterjesztése egy új teng</w:t>
      </w:r>
      <w:r>
        <w:rPr>
          <w:noProof/>
        </w:rPr>
        <w:t>eri tartalék létrehozásával; és</w:t>
      </w:r>
    </w:p>
    <w:p w14:paraId="3BD0D107" w14:textId="40331327" w:rsidR="003E1D81" w:rsidRDefault="00EB481C">
      <w:pPr>
        <w:pStyle w:val="P68B1DB1-Normal4"/>
        <w:numPr>
          <w:ilvl w:val="0"/>
          <w:numId w:val="78"/>
        </w:numPr>
        <w:spacing w:before="120" w:after="120" w:line="240" w:lineRule="auto"/>
        <w:ind w:left="426" w:hanging="426"/>
        <w:jc w:val="both"/>
        <w:rPr>
          <w:rFonts w:cs="Times New Roman"/>
          <w:noProof/>
        </w:rPr>
      </w:pPr>
      <w:r>
        <w:rPr>
          <w:noProof/>
        </w:rPr>
        <w:t xml:space="preserve">a meglévő tengeri tartalék, </w:t>
      </w:r>
      <w:r>
        <w:rPr>
          <w:i/>
          <w:noProof/>
        </w:rPr>
        <w:t>Isla de Alborán és</w:t>
      </w:r>
      <w:r>
        <w:rPr>
          <w:noProof/>
        </w:rPr>
        <w:t xml:space="preserve"> környékének korszerűsítése a hozzáférés megkönnyítése, az energiahatékonyság javítása, valamint a tartalék nyomon követésére és ellenőrzésére szolgáló megfelelő berendezésekkel </w:t>
      </w:r>
      <w:r>
        <w:rPr>
          <w:noProof/>
        </w:rPr>
        <w:t xml:space="preserve">(pl. radarrádió összeköttetés a félszigettel) való felszerelése érdekében. </w:t>
      </w:r>
    </w:p>
    <w:p w14:paraId="04349FDD" w14:textId="77777777" w:rsidR="003E1D81" w:rsidRDefault="00EB481C">
      <w:pPr>
        <w:pStyle w:val="P68B1DB1-Normal4"/>
        <w:spacing w:before="120" w:after="120" w:line="240" w:lineRule="auto"/>
        <w:jc w:val="both"/>
        <w:rPr>
          <w:rFonts w:cs="Times New Roman"/>
          <w:noProof/>
        </w:rPr>
      </w:pPr>
      <w:r>
        <w:rPr>
          <w:noProof/>
        </w:rPr>
        <w:t>A két speciális célú segédhajó beszerzését, valamint az ellenőrzést és nyomon követést lehetővé tevő információs és kommunikációs technológia alkalmazását közbeszerzési eljárás útj</w:t>
      </w:r>
      <w:r>
        <w:rPr>
          <w:noProof/>
        </w:rPr>
        <w:t xml:space="preserve">án kell végrehajtani. </w:t>
      </w:r>
    </w:p>
    <w:p w14:paraId="121BFA3E" w14:textId="00FD380F" w:rsidR="003E1D81" w:rsidRDefault="00EB481C">
      <w:pPr>
        <w:pStyle w:val="P68B1DB1-Normal4"/>
        <w:spacing w:before="120" w:after="120" w:line="240" w:lineRule="auto"/>
        <w:jc w:val="both"/>
        <w:rPr>
          <w:rFonts w:cs="Times New Roman"/>
          <w:noProof/>
        </w:rPr>
      </w:pPr>
      <w:r>
        <w:rPr>
          <w:noProof/>
        </w:rPr>
        <w:t>Az intézkedés várhatóan nem sérti jelentősen az (EU) 2020/852 rendelet 17. cikke szerinti környezetvédelmi célkitűzéseket, figyelembe véve az intézkedés leírását és a helyreállítási és rezilienciaépítési tervben meghatározott enyhítő</w:t>
      </w:r>
      <w:r>
        <w:rPr>
          <w:noProof/>
        </w:rPr>
        <w:t xml:space="preserve"> lépéseket a jelentős károkozás elkerülését célzó elvről szóló technikai iránymutatásnak (2021/C58/01) megfelelően. A két speciális célú segédhajónak a rendelkezésre álló legjobb technológiával kell rendelkeznie, amely az ágazatban a legkisebb környezeti h</w:t>
      </w:r>
      <w:r>
        <w:rPr>
          <w:noProof/>
        </w:rPr>
        <w:t xml:space="preserve">atással jár. A tengeri tartalékok hálózatának bővítésével kapcsolatos beruházás egy új tengeri tartalék létrehozására irányuló tanulmányból áll, amelyet belső szerződés keretében terveznek megvalósítani. Ugyanez vonatkozik az </w:t>
      </w:r>
      <w:r>
        <w:rPr>
          <w:i/>
          <w:noProof/>
        </w:rPr>
        <w:t>Isla de Alborán-tartalék</w:t>
      </w:r>
      <w:r>
        <w:rPr>
          <w:noProof/>
        </w:rPr>
        <w:t xml:space="preserve"> és kö</w:t>
      </w:r>
      <w:r>
        <w:rPr>
          <w:noProof/>
        </w:rPr>
        <w:t>rnyéke frissítésére tervezett munkálatokra is, amelyeknek tartalmazniuk kell egy szükséges tanulmányt az energia építéséről és optimalizálásáról.</w:t>
      </w:r>
    </w:p>
    <w:p w14:paraId="531A07C6" w14:textId="77777777" w:rsidR="003E1D81" w:rsidRDefault="00EB481C">
      <w:pPr>
        <w:pStyle w:val="P68B1DB1-Normal4"/>
        <w:spacing w:before="120" w:after="120" w:line="240" w:lineRule="auto"/>
        <w:jc w:val="both"/>
        <w:rPr>
          <w:rFonts w:cs="Times New Roman"/>
          <w:noProof/>
        </w:rPr>
      </w:pPr>
      <w:r>
        <w:rPr>
          <w:noProof/>
        </w:rPr>
        <w:t>A beruházás végrehajtását 2024. december 31-ig be kell fejezni.</w:t>
      </w:r>
    </w:p>
    <w:p w14:paraId="07DA216E" w14:textId="77777777" w:rsidR="003E1D81" w:rsidRDefault="00EB481C">
      <w:pPr>
        <w:pStyle w:val="P68B1DB1-Normal6"/>
        <w:spacing w:before="120" w:after="120" w:line="240" w:lineRule="auto"/>
        <w:jc w:val="both"/>
        <w:rPr>
          <w:rFonts w:cs="Times New Roman"/>
          <w:noProof/>
        </w:rPr>
      </w:pPr>
      <w:r>
        <w:rPr>
          <w:noProof/>
        </w:rPr>
        <w:t>Beruházás (C3.I7) – Terv a halászati ágazat fe</w:t>
      </w:r>
      <w:r>
        <w:rPr>
          <w:noProof/>
        </w:rPr>
        <w:t>nntarthatóságának, kutatásának, innovációjának és digitalizációjának fellendítésére (II): A halászati és akvakultúra-kutatás fellendítése és a képzés támogatása</w:t>
      </w:r>
    </w:p>
    <w:p w14:paraId="5079C142" w14:textId="77777777" w:rsidR="003E1D81" w:rsidRDefault="00EB481C">
      <w:pPr>
        <w:pStyle w:val="P68B1DB1-Normal4"/>
        <w:spacing w:before="120" w:after="120" w:line="240" w:lineRule="auto"/>
        <w:jc w:val="both"/>
        <w:rPr>
          <w:rFonts w:cs="Times New Roman"/>
          <w:noProof/>
        </w:rPr>
      </w:pPr>
      <w:r>
        <w:rPr>
          <w:noProof/>
        </w:rPr>
        <w:t>Ez az intézkedés javítja a halászati gazdálkodással kapcsolatos döntéshozatal alapjául szolgáló</w:t>
      </w:r>
      <w:r>
        <w:rPr>
          <w:noProof/>
        </w:rPr>
        <w:t xml:space="preserve"> tudományos ismeretek mennyiségét és minőségét. A kezdeményezés a következőkre terjed ki: legalább két akusztikai szonda beszerzése két meglévő halász- és oceanográfiai kutatóhajó felszerelésére a nyílt vízi fajok különböző állományainak tudományos értékel</w:t>
      </w:r>
      <w:r>
        <w:rPr>
          <w:noProof/>
        </w:rPr>
        <w:t>éséhez kapott adatok minőségének biztosítása érdekében; valamint ii. a halászati és akvakultúra-kutatás előmozdítása a halászati gazdálkodással kapcsolatos döntéshozatal ökoszisztéma-alapú megközelítésének biztosítása érdekében.</w:t>
      </w:r>
    </w:p>
    <w:p w14:paraId="3FF3E691" w14:textId="77777777" w:rsidR="003E1D81" w:rsidRDefault="00EB481C">
      <w:pPr>
        <w:pStyle w:val="P68B1DB1-Normal4"/>
        <w:spacing w:before="120" w:after="120" w:line="240" w:lineRule="auto"/>
        <w:jc w:val="both"/>
        <w:rPr>
          <w:rFonts w:cs="Times New Roman"/>
          <w:noProof/>
        </w:rPr>
      </w:pPr>
      <w:r>
        <w:rPr>
          <w:noProof/>
        </w:rPr>
        <w:t>A két akusztikai szonda bes</w:t>
      </w:r>
      <w:r>
        <w:rPr>
          <w:noProof/>
        </w:rPr>
        <w:t>zerzését olyan közbeszerzési eljárás alapján kell végrehajtani, amelyben a pályázatra kizárólagos alapon kerül sor. A halászati és akvakultúra-kutatás előmozdítása az állami kutatási szervekkel kötött megállapodások aláírásával, valamint adott esetben a fe</w:t>
      </w:r>
      <w:r>
        <w:rPr>
          <w:noProof/>
        </w:rPr>
        <w:t>délzeti megfigyelők felvételéhez szükséges saját források kijelölésével vagy pályáztatással valósul meg.</w:t>
      </w:r>
    </w:p>
    <w:p w14:paraId="28C7456C" w14:textId="77777777" w:rsidR="003E1D81" w:rsidRDefault="00EB481C">
      <w:pPr>
        <w:pStyle w:val="P68B1DB1-Normal4"/>
        <w:spacing w:before="120" w:after="120" w:line="240" w:lineRule="auto"/>
        <w:jc w:val="both"/>
        <w:rPr>
          <w:rFonts w:cs="Times New Roman"/>
          <w:noProof/>
        </w:rPr>
      </w:pPr>
      <w:r>
        <w:rPr>
          <w:noProof/>
        </w:rPr>
        <w:t>A beruházás végrehajtását 2022. június 30-ig be kell fejezni.</w:t>
      </w:r>
    </w:p>
    <w:p w14:paraId="44C6B4CF" w14:textId="77777777" w:rsidR="003E1D81" w:rsidRDefault="00EB481C">
      <w:pPr>
        <w:pStyle w:val="P68B1DB1-Normal6"/>
        <w:spacing w:before="120" w:after="120" w:line="240" w:lineRule="auto"/>
        <w:jc w:val="both"/>
        <w:rPr>
          <w:rFonts w:cs="Times New Roman"/>
          <w:noProof/>
        </w:rPr>
      </w:pPr>
      <w:r>
        <w:rPr>
          <w:noProof/>
        </w:rPr>
        <w:t>Beruházás (C3.I8) – Terv a halászati ágazat fenntarthatóságának, kutatásának, innovációjá</w:t>
      </w:r>
      <w:r>
        <w:rPr>
          <w:noProof/>
        </w:rPr>
        <w:t xml:space="preserve">nak és digitalizációjának fellendítésére (III): Technológiai fejlesztés és innováció a halászatban és az akvakultúrában </w:t>
      </w:r>
    </w:p>
    <w:p w14:paraId="10034A14" w14:textId="77777777" w:rsidR="003E1D81" w:rsidRDefault="00EB481C">
      <w:pPr>
        <w:pStyle w:val="P68B1DB1-Normal4"/>
        <w:spacing w:before="120" w:after="120" w:line="240" w:lineRule="auto"/>
        <w:jc w:val="both"/>
        <w:rPr>
          <w:rFonts w:cs="Times New Roman"/>
          <w:noProof/>
        </w:rPr>
      </w:pPr>
      <w:r>
        <w:rPr>
          <w:noProof/>
        </w:rPr>
        <w:t>Ezen intézkedés célja egy környezeti, gazdasági és társadalmi szempontból fenntarthatóbb halászati és akvakultúra-ágazat létrehozása ké</w:t>
      </w:r>
      <w:r>
        <w:rPr>
          <w:noProof/>
        </w:rPr>
        <w:t>t cselekvési irányvonal révén:</w:t>
      </w:r>
    </w:p>
    <w:p w14:paraId="3F2F72A7" w14:textId="77777777" w:rsidR="003E1D81" w:rsidRDefault="00EB481C">
      <w:pPr>
        <w:pStyle w:val="P68B1DB1-Normal4"/>
        <w:numPr>
          <w:ilvl w:val="0"/>
          <w:numId w:val="79"/>
        </w:numPr>
        <w:spacing w:before="120" w:after="120" w:line="240" w:lineRule="auto"/>
        <w:ind w:left="425" w:hanging="425"/>
        <w:contextualSpacing/>
        <w:jc w:val="both"/>
        <w:rPr>
          <w:rFonts w:cs="Times New Roman"/>
          <w:noProof/>
        </w:rPr>
      </w:pPr>
      <w:r>
        <w:rPr>
          <w:noProof/>
        </w:rPr>
        <w:t>Köz-magán társulások létrehozása az ágazat kék növekedésének fellendítése érdekében, a kék gazdaság folyamatainak katalizátoraként szolgáló projektek megvalósítása érdekében; és</w:t>
      </w:r>
    </w:p>
    <w:p w14:paraId="5FDFD627" w14:textId="77777777" w:rsidR="003E1D81" w:rsidRDefault="00EB481C">
      <w:pPr>
        <w:pStyle w:val="P68B1DB1-Normal4"/>
        <w:numPr>
          <w:ilvl w:val="0"/>
          <w:numId w:val="79"/>
        </w:numPr>
        <w:spacing w:before="120" w:after="120" w:line="240" w:lineRule="auto"/>
        <w:ind w:left="426" w:hanging="426"/>
        <w:jc w:val="both"/>
        <w:rPr>
          <w:rFonts w:cs="Times New Roman"/>
          <w:noProof/>
        </w:rPr>
      </w:pPr>
      <w:r>
        <w:rPr>
          <w:noProof/>
        </w:rPr>
        <w:t>az ágazat technológiai fejlődésének és innováci</w:t>
      </w:r>
      <w:r>
        <w:rPr>
          <w:noProof/>
        </w:rPr>
        <w:t xml:space="preserve">ójának támogatása. </w:t>
      </w:r>
    </w:p>
    <w:p w14:paraId="5A889EEB" w14:textId="77777777" w:rsidR="003E1D81" w:rsidRDefault="00EB481C">
      <w:pPr>
        <w:pStyle w:val="P68B1DB1-Normal4"/>
        <w:spacing w:before="120" w:after="120" w:line="240" w:lineRule="auto"/>
        <w:jc w:val="both"/>
        <w:rPr>
          <w:rFonts w:cs="Times New Roman"/>
          <w:noProof/>
        </w:rPr>
      </w:pPr>
      <w:r>
        <w:rPr>
          <w:noProof/>
        </w:rPr>
        <w:t>Az intézkedés legalább 20 kutatási, fejlesztési és innovációs projekt befejezését irányozza elő olyan új technológiák bevezetése érdekében, amelyek elősegítik a halászati és akvakultúra-ágazat rezilienciáját és fenntarthatóságát.</w:t>
      </w:r>
    </w:p>
    <w:p w14:paraId="38FD27C3" w14:textId="77777777" w:rsidR="003E1D81" w:rsidRDefault="00EB481C">
      <w:pPr>
        <w:pStyle w:val="P68B1DB1-Normal4"/>
        <w:spacing w:before="120" w:after="120" w:line="240" w:lineRule="auto"/>
        <w:jc w:val="both"/>
        <w:rPr>
          <w:rFonts w:cs="Times New Roman"/>
          <w:noProof/>
        </w:rPr>
      </w:pPr>
      <w:r>
        <w:rPr>
          <w:noProof/>
        </w:rPr>
        <w:t>A beru</w:t>
      </w:r>
      <w:r>
        <w:rPr>
          <w:noProof/>
        </w:rPr>
        <w:t>házás végrehajtását 2023. december 31-ig be kell fejezni.</w:t>
      </w:r>
    </w:p>
    <w:p w14:paraId="6E88A54F" w14:textId="77777777" w:rsidR="003E1D81" w:rsidRDefault="00EB481C">
      <w:pPr>
        <w:pStyle w:val="P68B1DB1-Normal6"/>
        <w:spacing w:before="120" w:after="120" w:line="240" w:lineRule="auto"/>
        <w:jc w:val="both"/>
        <w:rPr>
          <w:rFonts w:cs="Times New Roman"/>
          <w:noProof/>
        </w:rPr>
      </w:pPr>
      <w:r>
        <w:rPr>
          <w:noProof/>
        </w:rPr>
        <w:t xml:space="preserve">Beruházás (C3.I9) – Terv a fenntarthatóság, a kutatás, az innováció és a digitalizáció fellendítésére a halászati ágazatban (IV): Digitalizáció és az IKT-k használata a halászati ágazatban </w:t>
      </w:r>
    </w:p>
    <w:p w14:paraId="3685C600" w14:textId="77777777" w:rsidR="003E1D81" w:rsidRDefault="00EB481C">
      <w:pPr>
        <w:pStyle w:val="P68B1DB1-Normal4"/>
        <w:spacing w:before="120" w:after="120" w:line="240" w:lineRule="auto"/>
        <w:jc w:val="both"/>
        <w:rPr>
          <w:rFonts w:cs="Times New Roman"/>
          <w:noProof/>
        </w:rPr>
      </w:pPr>
      <w:r>
        <w:rPr>
          <w:noProof/>
        </w:rPr>
        <w:t>Ezen int</w:t>
      </w:r>
      <w:r>
        <w:rPr>
          <w:noProof/>
        </w:rPr>
        <w:t>ézkedés célja a halászati tevékenység felügyeletének javítása a környezeti fenntarthatóság, valamint a halászati ágazat közép- és hosszú távú életképességének biztosítása érdekében. Az intézkedés két cselekvési irányból áll:</w:t>
      </w:r>
    </w:p>
    <w:p w14:paraId="10654A36" w14:textId="77777777" w:rsidR="003E1D81" w:rsidRDefault="00EB481C">
      <w:pPr>
        <w:pStyle w:val="P68B1DB1-Normal4"/>
        <w:numPr>
          <w:ilvl w:val="0"/>
          <w:numId w:val="80"/>
        </w:numPr>
        <w:spacing w:before="120" w:after="120" w:line="240" w:lineRule="auto"/>
        <w:ind w:left="425" w:hanging="425"/>
        <w:contextualSpacing/>
        <w:jc w:val="both"/>
        <w:rPr>
          <w:rFonts w:cs="Times New Roman"/>
          <w:noProof/>
        </w:rPr>
      </w:pPr>
      <w:r>
        <w:rPr>
          <w:noProof/>
        </w:rPr>
        <w:t>A halászati és akvakultúra-ágaz</w:t>
      </w:r>
      <w:r>
        <w:rPr>
          <w:noProof/>
        </w:rPr>
        <w:t xml:space="preserve">at digitalizálására irányuló támogatási program, beleértve i. a fogások elektronikus bejelentésére szolgáló eszközökhöz, valamint a 12 méternél rövidebb hajók földrajzi helymeghatározásához nyújtott támogatást; és ii. a 24 méternél hosszabb hajók esetében </w:t>
      </w:r>
      <w:r>
        <w:rPr>
          <w:noProof/>
        </w:rPr>
        <w:t>a halászat távellenőrzésére és a visszadobások elleni küzdelemre szolgáló kamerákat használó felügyeleti rendszer telepítéséhez nyújtott támogatás; és</w:t>
      </w:r>
    </w:p>
    <w:p w14:paraId="77EEACF1" w14:textId="77777777" w:rsidR="003E1D81" w:rsidRDefault="00EB481C">
      <w:pPr>
        <w:pStyle w:val="P68B1DB1-Normal4"/>
        <w:numPr>
          <w:ilvl w:val="0"/>
          <w:numId w:val="80"/>
        </w:numPr>
        <w:spacing w:before="120" w:after="120" w:line="240" w:lineRule="auto"/>
        <w:ind w:left="426" w:hanging="426"/>
        <w:jc w:val="both"/>
        <w:rPr>
          <w:rFonts w:cs="Times New Roman"/>
          <w:noProof/>
        </w:rPr>
      </w:pPr>
      <w:r>
        <w:rPr>
          <w:noProof/>
        </w:rPr>
        <w:t>korszerű IKT-megoldások a halászat felügyeletére, beleértve i. a 12 méternél rövidebb hajók nyomon követé</w:t>
      </w:r>
      <w:r>
        <w:rPr>
          <w:noProof/>
        </w:rPr>
        <w:t>sét lehetővé tevő fogási nyilvántartási rendszert; a halászat ellenőrzésére és felügyeletére szolgáló drónrepülési szolgálat, valamint a 24 méternél hosszabb halászhajók fogásaira vonatkozó távmegfigyelési rendszer létrehozása; valamint iii. a spanyol halá</w:t>
      </w:r>
      <w:r>
        <w:rPr>
          <w:noProof/>
        </w:rPr>
        <w:t xml:space="preserve">szati információs rendszer biztonságának megerősítését szolgáló eszközök és szoftverek (azaz egy második tűzfal telepítése). </w:t>
      </w:r>
    </w:p>
    <w:p w14:paraId="0873398E" w14:textId="77777777" w:rsidR="003E1D81" w:rsidRDefault="00EB481C">
      <w:pPr>
        <w:pStyle w:val="P68B1DB1-Normal4"/>
        <w:spacing w:before="120" w:after="120" w:line="240" w:lineRule="auto"/>
        <w:jc w:val="both"/>
        <w:rPr>
          <w:rFonts w:cs="Times New Roman"/>
          <w:noProof/>
        </w:rPr>
      </w:pPr>
      <w:r>
        <w:rPr>
          <w:noProof/>
        </w:rPr>
        <w:t>A spanyol halászati és akvakultúra-ágazat digitalizálását versenypályázati támogatások formájában kell megvalósítani, míg a halász</w:t>
      </w:r>
      <w:r>
        <w:rPr>
          <w:noProof/>
        </w:rPr>
        <w:t>at felügyeletére vonatkozó modern IKT-megoldások végrehajtása nyílt és központosított közbeszerzés útján történik.</w:t>
      </w:r>
    </w:p>
    <w:p w14:paraId="63A8A9F0" w14:textId="77777777" w:rsidR="003E1D81" w:rsidRDefault="00EB481C">
      <w:pPr>
        <w:pStyle w:val="P68B1DB1-Normal4"/>
        <w:spacing w:before="120" w:after="120" w:line="240" w:lineRule="auto"/>
        <w:jc w:val="both"/>
        <w:rPr>
          <w:rFonts w:cs="Times New Roman"/>
          <w:noProof/>
        </w:rPr>
      </w:pPr>
      <w:r>
        <w:rPr>
          <w:noProof/>
        </w:rPr>
        <w:t>A beruházás végrehajtását 2024. december 31-ig be kell fejezni.</w:t>
      </w:r>
    </w:p>
    <w:p w14:paraId="3C3B31F3" w14:textId="77777777" w:rsidR="003E1D81" w:rsidRDefault="00EB481C">
      <w:pPr>
        <w:pStyle w:val="P68B1DB1-Normal6"/>
        <w:spacing w:before="120" w:after="120" w:line="240" w:lineRule="auto"/>
        <w:jc w:val="both"/>
        <w:rPr>
          <w:rFonts w:cs="Times New Roman"/>
          <w:noProof/>
        </w:rPr>
      </w:pPr>
      <w:r>
        <w:rPr>
          <w:noProof/>
        </w:rPr>
        <w:t xml:space="preserve">Beruházás (C3.I10) – Terv a halászati ágazat fenntarthatóságának, </w:t>
      </w:r>
      <w:r>
        <w:rPr>
          <w:noProof/>
        </w:rPr>
        <w:t>kutatásának, innovációjának és digitalizációjának fellendítésére (V): A jogellenes, be nem jelentett és szabályozatlan halászat elleni küzdelem támogatása</w:t>
      </w:r>
    </w:p>
    <w:p w14:paraId="0F153A69" w14:textId="77777777" w:rsidR="003E1D81" w:rsidRDefault="00EB481C">
      <w:pPr>
        <w:pStyle w:val="P68B1DB1-Normal4"/>
        <w:spacing w:before="120" w:after="120" w:line="240" w:lineRule="auto"/>
        <w:jc w:val="both"/>
        <w:rPr>
          <w:rFonts w:cs="Times New Roman"/>
          <w:noProof/>
        </w:rPr>
      </w:pPr>
      <w:r>
        <w:rPr>
          <w:noProof/>
        </w:rPr>
        <w:t>Ez az intézkedés támogatja a jogellenes, be nem jelentett és szabályozatlan halászat elleni küzdelmet</w:t>
      </w:r>
      <w:r>
        <w:rPr>
          <w:noProof/>
        </w:rPr>
        <w:t>, amely továbbra is veszélyt jelent a tengeri ökoszisztémákra. E célból az intézkedés a következő beruházásokat támogatja:</w:t>
      </w:r>
    </w:p>
    <w:p w14:paraId="5AAA67EC" w14:textId="77777777" w:rsidR="003E1D81" w:rsidRDefault="00EB481C">
      <w:pPr>
        <w:pStyle w:val="P68B1DB1-Normal4"/>
        <w:numPr>
          <w:ilvl w:val="0"/>
          <w:numId w:val="82"/>
        </w:numPr>
        <w:spacing w:before="120" w:after="120" w:line="240" w:lineRule="auto"/>
        <w:ind w:left="425" w:hanging="425"/>
        <w:contextualSpacing/>
        <w:jc w:val="both"/>
        <w:rPr>
          <w:rFonts w:cs="Times New Roman"/>
          <w:noProof/>
        </w:rPr>
      </w:pPr>
      <w:r>
        <w:rPr>
          <w:noProof/>
        </w:rPr>
        <w:t>Négy járőrhajó beszerzése; és</w:t>
      </w:r>
    </w:p>
    <w:p w14:paraId="427E0998" w14:textId="77777777" w:rsidR="003E1D81" w:rsidRDefault="00EB481C">
      <w:pPr>
        <w:pStyle w:val="P68B1DB1-Normal4"/>
        <w:numPr>
          <w:ilvl w:val="0"/>
          <w:numId w:val="82"/>
        </w:numPr>
        <w:spacing w:before="120" w:after="120" w:line="240" w:lineRule="auto"/>
        <w:ind w:left="426" w:hanging="426"/>
        <w:jc w:val="both"/>
        <w:rPr>
          <w:rFonts w:cs="Times New Roman"/>
          <w:noProof/>
        </w:rPr>
      </w:pPr>
      <w:r>
        <w:rPr>
          <w:noProof/>
        </w:rPr>
        <w:t>három nyílt tengeri járőrhajó korszerűsítése, amelyeket fel kell használni a jogellenes, bejelentett és</w:t>
      </w:r>
      <w:r>
        <w:rPr>
          <w:noProof/>
        </w:rPr>
        <w:t xml:space="preserve"> szabályozatlan halászat elleni küzdelemre. </w:t>
      </w:r>
    </w:p>
    <w:p w14:paraId="2330BD62" w14:textId="77777777" w:rsidR="003E1D81" w:rsidRDefault="00EB481C">
      <w:pPr>
        <w:pStyle w:val="P68B1DB1-Normal4"/>
        <w:spacing w:before="120" w:after="120" w:line="240" w:lineRule="auto"/>
        <w:jc w:val="both"/>
        <w:rPr>
          <w:rFonts w:cs="Times New Roman"/>
          <w:noProof/>
        </w:rPr>
      </w:pPr>
      <w:r>
        <w:rPr>
          <w:noProof/>
        </w:rPr>
        <w:t>Az intézkedést járőrhajók építésére irányuló közbeszerzési eljárás, valamint nyílt tengeri járőrhajók esetében a spanyol haditengerészettel kötött megállapodás módosítása révén kell végrehajtani, amely jogi fede</w:t>
      </w:r>
      <w:r>
        <w:rPr>
          <w:noProof/>
        </w:rPr>
        <w:t xml:space="preserve">zetet biztosít a haditengerészetnek történő átadásra, a fent említett korszerűsítési munkálatok irányítása mellett. </w:t>
      </w:r>
    </w:p>
    <w:p w14:paraId="78209AC5" w14:textId="77777777" w:rsidR="003E1D81" w:rsidRDefault="00EB481C">
      <w:pPr>
        <w:pStyle w:val="P68B1DB1-Normal4"/>
        <w:spacing w:before="120" w:after="120" w:line="240" w:lineRule="auto"/>
        <w:jc w:val="both"/>
        <w:rPr>
          <w:rFonts w:cs="Times New Roman"/>
          <w:noProof/>
        </w:rPr>
      </w:pPr>
      <w:r>
        <w:rPr>
          <w:noProof/>
        </w:rPr>
        <w:t xml:space="preserve">Az intézkedés várhatóan nem sérti jelentősen az (EU) 2020/852 rendelet 17. cikke szerinti környezetvédelmi célkitűzéseket, figyelembe véve </w:t>
      </w:r>
      <w:r>
        <w:rPr>
          <w:noProof/>
        </w:rPr>
        <w:t>az intézkedés leírását és a helyreállítási és rezilienciaépítési tervben meghatározott enyhítő lépéseket a jelentős károkozás elkerülését célzó elvről szóló technikai iránymutatásnak (2021/C58/01) megfelelően. Különösen a hajók beszerzése és korszerűsítése</w:t>
      </w:r>
      <w:r>
        <w:rPr>
          <w:noProof/>
        </w:rPr>
        <w:t xml:space="preserve"> csak az elérhető legjobb technológia lehet, amely az ágazatban a legkisebb környezeti hatással jár. </w:t>
      </w:r>
    </w:p>
    <w:p w14:paraId="5521310B" w14:textId="77777777" w:rsidR="003E1D81" w:rsidRDefault="00EB481C">
      <w:pPr>
        <w:pStyle w:val="P68B1DB1-Normal4"/>
        <w:spacing w:before="120" w:after="120" w:line="240" w:lineRule="auto"/>
        <w:jc w:val="both"/>
        <w:rPr>
          <w:rFonts w:cs="Times New Roman"/>
          <w:noProof/>
          <w:u w:val="single"/>
        </w:rPr>
      </w:pPr>
      <w:r>
        <w:rPr>
          <w:noProof/>
        </w:rPr>
        <w:t>A beruházás végrehajtását 2022. december 31-ig be kell fejezni.</w:t>
      </w:r>
    </w:p>
    <w:p w14:paraId="23C67E2D" w14:textId="77777777" w:rsidR="003E1D81" w:rsidRDefault="00EB481C">
      <w:pPr>
        <w:pStyle w:val="P68B1DB1-Normal6"/>
        <w:spacing w:before="120" w:after="120" w:line="240" w:lineRule="auto"/>
        <w:jc w:val="both"/>
        <w:rPr>
          <w:rFonts w:cs="Times New Roman"/>
          <w:noProof/>
        </w:rPr>
      </w:pPr>
      <w:r>
        <w:rPr>
          <w:noProof/>
        </w:rPr>
        <w:t xml:space="preserve">Beruházás (C3.I11) – Terv a fenntarthatóság, a kutatás, az innováció és a digitalizáció fellendítésére a halászati ágazatban (VI): A halászati ágazat finanszírozásának támogatása </w:t>
      </w:r>
    </w:p>
    <w:p w14:paraId="34D83F9F" w14:textId="77777777" w:rsidR="003E1D81" w:rsidRDefault="00EB481C">
      <w:pPr>
        <w:pStyle w:val="P68B1DB1-Normal4"/>
        <w:spacing w:before="120" w:after="120" w:line="240" w:lineRule="auto"/>
        <w:jc w:val="both"/>
        <w:rPr>
          <w:rFonts w:cs="Times New Roman"/>
          <w:noProof/>
        </w:rPr>
      </w:pPr>
      <w:r>
        <w:rPr>
          <w:noProof/>
        </w:rPr>
        <w:t xml:space="preserve">Ez az intézkedés a </w:t>
      </w:r>
      <w:r>
        <w:rPr>
          <w:i/>
          <w:noProof/>
        </w:rPr>
        <w:t>Sociedad Anónima Estatal de Caución Agraria</w:t>
      </w:r>
      <w:r>
        <w:rPr>
          <w:noProof/>
        </w:rPr>
        <w:t xml:space="preserve"> (SAECA) számá</w:t>
      </w:r>
      <w:r>
        <w:rPr>
          <w:noProof/>
        </w:rPr>
        <w:t>ra nyújtott kölcsön révén biztosítja a halászati ágazat beruházási projektjeinek finanszírozását. Az intézkedés célja, hogy pénzügyi sort hozzon létre a fenntartható halászati tevékenységekkel kapcsolatos projektek finanszírozására, beleértve a következőke</w:t>
      </w:r>
      <w:r>
        <w:rPr>
          <w:noProof/>
        </w:rPr>
        <w:t>t: a munka- és biztonsági feltételek javítása; folyamatok és rendszerek digitalizálása; a termékek értékének és nyomon követhetőségének javítása; új termékek és kiszerelések keresése, beleértve a csomagolást is; valamint v. az innováció, az energiahatékony</w:t>
      </w:r>
      <w:r>
        <w:rPr>
          <w:noProof/>
        </w:rPr>
        <w:t>ság és az energiahatékonyság, valamint az alacsonyabb éghajlati hatásokkal járó energiára való átállás ösztönzése.</w:t>
      </w:r>
    </w:p>
    <w:p w14:paraId="0403E22F" w14:textId="77777777" w:rsidR="003E1D81" w:rsidRDefault="00EB481C">
      <w:pPr>
        <w:pStyle w:val="P68B1DB1-Normal4"/>
        <w:spacing w:before="120" w:after="120" w:line="240" w:lineRule="auto"/>
        <w:jc w:val="both"/>
        <w:rPr>
          <w:rFonts w:cs="Times New Roman"/>
          <w:noProof/>
        </w:rPr>
      </w:pPr>
      <w:r>
        <w:rPr>
          <w:noProof/>
        </w:rPr>
        <w:t>Az intézkedés végrehajtására a Mezőgazdasági, Halászati és Élelmiszerügyi Minisztérium és a SAECA között létrejött megállapodás keretében ker</w:t>
      </w:r>
      <w:r>
        <w:rPr>
          <w:noProof/>
        </w:rPr>
        <w:t>ül sor a halászati ágazat beruházási projektjeinek finanszírozására. A mechanizmus a SAECA-nak nyújtott hitelen alapul, amelynek célja egy olyan finanszírozási sor létrehozása, amelynek célja a fenntartható halászati tevékenységgel kapcsolatos tevékenysége</w:t>
      </w:r>
      <w:r>
        <w:rPr>
          <w:noProof/>
        </w:rPr>
        <w:t>kkel járó projektek újragaranciája. A megállapodásnak tartalmaznia kell egy olyan feltételt, amely garantálja, hogy az e finanszírozással megvalósított beruházások megfelelnek a jelentős károkozás elkerülését célzó elvről szóló technikai iránymutatásnak (2</w:t>
      </w:r>
      <w:r>
        <w:rPr>
          <w:noProof/>
        </w:rPr>
        <w:t>021/C58/01).</w:t>
      </w:r>
    </w:p>
    <w:p w14:paraId="2F1A6EED" w14:textId="77777777" w:rsidR="003E1D81" w:rsidRDefault="00EB481C">
      <w:pPr>
        <w:pStyle w:val="P68B1DB1-Text119"/>
        <w:ind w:left="0"/>
        <w:rPr>
          <w:rFonts w:cs="Times New Roman"/>
          <w:noProof/>
        </w:rPr>
      </w:pPr>
      <w:r>
        <w:rPr>
          <w:noProof/>
        </w:rPr>
        <w:t>Annak biztosítása érdekében, hogy az intézkedés megfeleljen a jelentős károkozás elkerülését célzó elvről szóló technikai iránymutatásnak (2021/C58/01), a Mezőgazdasági, Halászati és Élelmiszerügyi Minisztérium és a SAECA közötti jogi megállap</w:t>
      </w:r>
      <w:r>
        <w:rPr>
          <w:noProof/>
        </w:rPr>
        <w:t xml:space="preserve">odásnak és a pénzügyi eszköz ezt követő befektetési politikájának </w:t>
      </w:r>
    </w:p>
    <w:p w14:paraId="460501DF" w14:textId="77777777" w:rsidR="003E1D81" w:rsidRDefault="00EB481C">
      <w:pPr>
        <w:pStyle w:val="P68B1DB1-Text119"/>
        <w:numPr>
          <w:ilvl w:val="0"/>
          <w:numId w:val="196"/>
        </w:numPr>
        <w:ind w:left="714" w:hanging="357"/>
        <w:contextualSpacing/>
        <w:rPr>
          <w:rFonts w:cs="Times New Roman"/>
          <w:noProof/>
        </w:rPr>
      </w:pPr>
      <w:r>
        <w:rPr>
          <w:noProof/>
        </w:rPr>
        <w:t>előírja az InvestEU Alap fenntarthatósági vizsgálatáról szóló bizottsági technikai iránymutatás alkalmazását; és</w:t>
      </w:r>
    </w:p>
    <w:p w14:paraId="773373C3" w14:textId="77777777" w:rsidR="003E1D81" w:rsidRDefault="00EB481C">
      <w:pPr>
        <w:pStyle w:val="Text1"/>
        <w:numPr>
          <w:ilvl w:val="0"/>
          <w:numId w:val="196"/>
        </w:numPr>
        <w:ind w:left="714" w:hanging="357"/>
        <w:contextualSpacing/>
        <w:rPr>
          <w:rFonts w:ascii="Times New Roman" w:hAnsi="Times New Roman" w:cs="Times New Roman"/>
          <w:noProof/>
        </w:rPr>
      </w:pPr>
      <w:r>
        <w:rPr>
          <w:rFonts w:ascii="Times New Roman" w:hAnsi="Times New Roman"/>
          <w:noProof/>
        </w:rPr>
        <w:t xml:space="preserve">a tevékenységek és eszközök alábbi listájának kizárása a támogathatóságból: </w:t>
      </w:r>
      <w:r>
        <w:rPr>
          <w:rFonts w:ascii="Times New Roman" w:hAnsi="Times New Roman"/>
          <w:noProof/>
        </w:rPr>
        <w:t>a fosszilis tüzelőanyagokhoz kapcsolódó tevékenységek és eszközök, beleértve a downstream felhasználást is</w:t>
      </w:r>
      <w:r>
        <w:rPr>
          <w:rStyle w:val="FootnoteReference"/>
          <w:rFonts w:ascii="Times New Roman" w:hAnsi="Times New Roman" w:cs="Times New Roman"/>
          <w:noProof/>
        </w:rPr>
        <w:footnoteReference w:id="15"/>
      </w:r>
      <w:r>
        <w:rPr>
          <w:rFonts w:ascii="Times New Roman" w:hAnsi="Times New Roman"/>
          <w:noProof/>
        </w:rPr>
        <w:t>; az uniós kibocsátáskereskedelmi rendszer (ETS) keretében végzett tevékenységek és eszközök, amelyek a vonatkozó referenciaértékeknél nem alacsonyab</w:t>
      </w:r>
      <w:r>
        <w:rPr>
          <w:rFonts w:ascii="Times New Roman" w:hAnsi="Times New Roman"/>
          <w:noProof/>
        </w:rPr>
        <w:t>b várható üvegházhatásúgáz-kibocsátást érnek el</w:t>
      </w:r>
      <w:r>
        <w:rPr>
          <w:rStyle w:val="FootnoteReference"/>
          <w:rFonts w:ascii="Times New Roman" w:hAnsi="Times New Roman" w:cs="Times New Roman"/>
          <w:noProof/>
        </w:rPr>
        <w:footnoteReference w:id="16"/>
      </w:r>
      <w:r>
        <w:rPr>
          <w:rFonts w:ascii="Times New Roman" w:hAnsi="Times New Roman"/>
          <w:noProof/>
        </w:rPr>
        <w:t>; hulladéklerakókkal, hulladékégetőkkel és mechanikai-biológiai szennyvíztisztító telepekkel kapcsolatos tevékenységek</w:t>
      </w:r>
      <w:r>
        <w:rPr>
          <w:rStyle w:val="FootnoteReference"/>
          <w:rFonts w:ascii="Times New Roman" w:hAnsi="Times New Roman" w:cs="Times New Roman"/>
          <w:noProof/>
        </w:rPr>
        <w:footnoteReference w:id="17"/>
      </w:r>
      <w:r>
        <w:rPr>
          <w:rFonts w:ascii="Times New Roman" w:hAnsi="Times New Roman"/>
          <w:noProof/>
        </w:rPr>
        <w:t xml:space="preserve"> és eszközök</w:t>
      </w:r>
      <w:r>
        <w:rPr>
          <w:rStyle w:val="FootnoteReference"/>
          <w:rFonts w:ascii="Times New Roman" w:hAnsi="Times New Roman" w:cs="Times New Roman"/>
          <w:noProof/>
        </w:rPr>
        <w:footnoteReference w:id="18"/>
      </w:r>
      <w:r>
        <w:rPr>
          <w:rFonts w:ascii="Times New Roman" w:hAnsi="Times New Roman"/>
          <w:noProof/>
        </w:rPr>
        <w:t>; és iv. olyan tevékenységek és eszközök, amelyek esetében a hulladék hosszú</w:t>
      </w:r>
      <w:r>
        <w:rPr>
          <w:rFonts w:ascii="Times New Roman" w:hAnsi="Times New Roman"/>
          <w:noProof/>
        </w:rPr>
        <w:t xml:space="preserve"> távú ártalmatlanítása károsíthatja a környezetet; és</w:t>
      </w:r>
    </w:p>
    <w:p w14:paraId="21A033D6" w14:textId="77777777" w:rsidR="003E1D81" w:rsidRDefault="00EB481C">
      <w:pPr>
        <w:pStyle w:val="P68B1DB1-Text119"/>
        <w:numPr>
          <w:ilvl w:val="0"/>
          <w:numId w:val="196"/>
        </w:numPr>
        <w:rPr>
          <w:rFonts w:cs="Times New Roman"/>
          <w:noProof/>
        </w:rPr>
      </w:pPr>
      <w:r>
        <w:rPr>
          <w:noProof/>
        </w:rPr>
        <w:t xml:space="preserve">annak előírása, hogy a SAECA ellenőrizze a projektek vonatkozó uniós és nemzeti környezetvédelmi jogszabályoknak való megfelelését valamennyi ügylet tekintetében, beleértve a fenntarthatósági vizsgálat </w:t>
      </w:r>
      <w:r>
        <w:rPr>
          <w:noProof/>
        </w:rPr>
        <w:t>alól mentesített ügyleteket is.</w:t>
      </w:r>
    </w:p>
    <w:p w14:paraId="1ACA65E4" w14:textId="77777777" w:rsidR="003E1D81" w:rsidRDefault="00EB481C">
      <w:pPr>
        <w:pStyle w:val="P68B1DB1-Normal4"/>
        <w:spacing w:before="120" w:after="120" w:line="240" w:lineRule="auto"/>
        <w:jc w:val="both"/>
        <w:rPr>
          <w:rFonts w:cs="Times New Roman"/>
          <w:noProof/>
        </w:rPr>
      </w:pPr>
      <w:r>
        <w:rPr>
          <w:noProof/>
        </w:rPr>
        <w:t>A beruházás végrehajtását 2022. június 30-ig be kell fejezni.</w:t>
      </w:r>
    </w:p>
    <w:p w14:paraId="1FA4A2A6" w14:textId="77777777" w:rsidR="003E1D81" w:rsidRDefault="00EB481C">
      <w:pPr>
        <w:pStyle w:val="P68B1DB1-Normal5"/>
        <w:keepNext/>
        <w:spacing w:before="120" w:after="120" w:line="240" w:lineRule="auto"/>
        <w:ind w:left="709"/>
        <w:jc w:val="both"/>
        <w:rPr>
          <w:rFonts w:cs="Times New Roman"/>
          <w:noProof/>
        </w:rPr>
      </w:pPr>
      <w:r>
        <w:rPr>
          <w:noProof/>
        </w:rPr>
        <w:t xml:space="preserve">C.2. </w:t>
      </w:r>
      <w:r>
        <w:rPr>
          <w:noProof/>
        </w:rPr>
        <w:tab/>
        <w:t>Vissza nem térítendő pénzügyi támogatás – a végrehajtáshoz és a nyomon követéshez kapcsolódó mérföldkövek, célok, mutatók és ütemterv</w:t>
      </w:r>
    </w:p>
    <w:p w14:paraId="74A95577" w14:textId="77777777" w:rsidR="003E1D81" w:rsidRDefault="00EB481C">
      <w:pPr>
        <w:pStyle w:val="P68B1DB1-Normal4"/>
        <w:spacing w:before="120" w:after="120" w:line="240" w:lineRule="auto"/>
        <w:jc w:val="both"/>
        <w:rPr>
          <w:rFonts w:cs="Times New Roman"/>
          <w:b/>
          <w:noProof/>
          <w:u w:val="single"/>
        </w:rPr>
      </w:pPr>
      <w:r>
        <w:rPr>
          <w:i/>
          <w:noProof/>
        </w:rPr>
        <w:t>Táblázat alább.</w:t>
      </w:r>
      <w:r>
        <w:rPr>
          <w:noProof/>
        </w:rPr>
        <w:t xml:space="preserve"> </w:t>
      </w:r>
      <w:r>
        <w:rPr>
          <w:i/>
          <w:noProof/>
        </w:rPr>
        <w:t xml:space="preserve">Az </w:t>
      </w:r>
      <w:r>
        <w:rPr>
          <w:i/>
          <w:noProof/>
        </w:rPr>
        <w:t>alapforgatókönyv valamennyi mutató esetében 2020. február 1-je, kivéve, ha az intézkedés leírása másként jelzi. A táblázatban szereplő összegek nem tartalmazzák a héát.</w:t>
      </w:r>
    </w:p>
    <w:p w14:paraId="0562CB0E" w14:textId="77777777" w:rsidR="003E1D81" w:rsidRDefault="003E1D81">
      <w:pPr>
        <w:spacing w:before="120" w:after="120" w:line="240" w:lineRule="auto"/>
        <w:ind w:left="709"/>
        <w:jc w:val="both"/>
        <w:rPr>
          <w:rFonts w:ascii="Times New Roman" w:hAnsi="Times New Roman" w:cs="Times New Roman"/>
          <w:noProof/>
          <w:sz w:val="24"/>
        </w:rPr>
        <w:sectPr w:rsidR="003E1D81" w:rsidSect="00B90E2C">
          <w:headerReference w:type="even" r:id="rId78"/>
          <w:headerReference w:type="default" r:id="rId79"/>
          <w:footerReference w:type="even" r:id="rId80"/>
          <w:footerReference w:type="default" r:id="rId81"/>
          <w:headerReference w:type="first" r:id="rId82"/>
          <w:footerReference w:type="first" r:id="rId83"/>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1080"/>
        <w:gridCol w:w="2889"/>
        <w:gridCol w:w="1276"/>
        <w:gridCol w:w="850"/>
        <w:gridCol w:w="567"/>
        <w:gridCol w:w="709"/>
        <w:gridCol w:w="425"/>
        <w:gridCol w:w="567"/>
        <w:gridCol w:w="5387"/>
      </w:tblGrid>
      <w:tr w:rsidR="003E1D81" w14:paraId="6356C3BA" w14:textId="77777777">
        <w:trPr>
          <w:trHeight w:val="309"/>
          <w:tblHeader/>
        </w:trPr>
        <w:tc>
          <w:tcPr>
            <w:tcW w:w="709" w:type="dxa"/>
            <w:tcBorders>
              <w:bottom w:val="nil"/>
            </w:tcBorders>
            <w:shd w:val="clear" w:color="auto" w:fill="C6D9F1" w:themeFill="text2" w:themeFillTint="33"/>
            <w:noWrap/>
            <w:vAlign w:val="center"/>
          </w:tcPr>
          <w:p w14:paraId="62583AFD"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6DA1E61E" w14:textId="77777777" w:rsidR="003E1D81" w:rsidRDefault="00EB481C">
            <w:pPr>
              <w:pStyle w:val="P68B1DB1-Normal12"/>
              <w:spacing w:after="0" w:line="240" w:lineRule="auto"/>
              <w:jc w:val="center"/>
              <w:rPr>
                <w:rFonts w:cs="Times New Roman"/>
                <w:noProof/>
              </w:rPr>
            </w:pPr>
            <w:r>
              <w:rPr>
                <w:noProof/>
              </w:rPr>
              <w:t>Intézkedés</w:t>
            </w:r>
          </w:p>
        </w:tc>
        <w:tc>
          <w:tcPr>
            <w:tcW w:w="1080" w:type="dxa"/>
            <w:tcBorders>
              <w:bottom w:val="nil"/>
            </w:tcBorders>
            <w:shd w:val="clear" w:color="auto" w:fill="C6D9F1" w:themeFill="text2" w:themeFillTint="33"/>
            <w:noWrap/>
            <w:vAlign w:val="center"/>
          </w:tcPr>
          <w:p w14:paraId="099D9751"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w:t>
            </w:r>
            <w:r>
              <w:rPr>
                <w:noProof/>
              </w:rPr>
              <w:t>Cél</w:t>
            </w:r>
          </w:p>
        </w:tc>
        <w:tc>
          <w:tcPr>
            <w:tcW w:w="2889" w:type="dxa"/>
            <w:tcBorders>
              <w:bottom w:val="nil"/>
            </w:tcBorders>
            <w:shd w:val="clear" w:color="auto" w:fill="C6D9F1" w:themeFill="text2" w:themeFillTint="33"/>
            <w:noWrap/>
            <w:vAlign w:val="center"/>
          </w:tcPr>
          <w:p w14:paraId="5D4478A0" w14:textId="77777777" w:rsidR="003E1D81" w:rsidRDefault="00EB481C">
            <w:pPr>
              <w:pStyle w:val="P68B1DB1-Normal12"/>
              <w:spacing w:after="0" w:line="240" w:lineRule="auto"/>
              <w:jc w:val="center"/>
              <w:rPr>
                <w:rFonts w:cs="Times New Roman"/>
                <w:noProof/>
              </w:rPr>
            </w:pPr>
            <w:r>
              <w:rPr>
                <w:noProof/>
              </w:rPr>
              <w:t>Név</w:t>
            </w:r>
          </w:p>
        </w:tc>
        <w:tc>
          <w:tcPr>
            <w:tcW w:w="1276" w:type="dxa"/>
            <w:tcBorders>
              <w:bottom w:val="nil"/>
            </w:tcBorders>
            <w:shd w:val="clear" w:color="auto" w:fill="C6D9F1" w:themeFill="text2" w:themeFillTint="33"/>
            <w:noWrap/>
            <w:vAlign w:val="center"/>
          </w:tcPr>
          <w:p w14:paraId="6F976713"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2126" w:type="dxa"/>
            <w:gridSpan w:val="3"/>
            <w:shd w:val="clear" w:color="auto" w:fill="C6D9F1" w:themeFill="text2" w:themeFillTint="33"/>
            <w:noWrap/>
            <w:vAlign w:val="center"/>
          </w:tcPr>
          <w:p w14:paraId="4054A7C9"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92" w:type="dxa"/>
            <w:gridSpan w:val="2"/>
            <w:shd w:val="clear" w:color="auto" w:fill="C6D9F1" w:themeFill="text2" w:themeFillTint="33"/>
            <w:noWrap/>
            <w:vAlign w:val="center"/>
          </w:tcPr>
          <w:p w14:paraId="5A77FFC3" w14:textId="77777777" w:rsidR="003E1D81" w:rsidRDefault="00EB481C">
            <w:pPr>
              <w:pStyle w:val="P68B1DB1-Normal12"/>
              <w:spacing w:after="0" w:line="240" w:lineRule="auto"/>
              <w:jc w:val="center"/>
              <w:rPr>
                <w:rFonts w:cs="Times New Roman"/>
                <w:noProof/>
              </w:rPr>
            </w:pPr>
            <w:r>
              <w:rPr>
                <w:noProof/>
              </w:rPr>
              <w:t>Idő</w:t>
            </w:r>
          </w:p>
        </w:tc>
        <w:tc>
          <w:tcPr>
            <w:tcW w:w="5387" w:type="dxa"/>
            <w:tcBorders>
              <w:bottom w:val="nil"/>
            </w:tcBorders>
            <w:shd w:val="clear" w:color="auto" w:fill="C6D9F1" w:themeFill="text2" w:themeFillTint="33"/>
            <w:noWrap/>
            <w:vAlign w:val="center"/>
          </w:tcPr>
          <w:p w14:paraId="7DF1CA4F"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1C0DE7C1" w14:textId="77777777">
        <w:trPr>
          <w:trHeight w:val="309"/>
          <w:tblHeader/>
        </w:trPr>
        <w:tc>
          <w:tcPr>
            <w:tcW w:w="709" w:type="dxa"/>
            <w:tcBorders>
              <w:top w:val="nil"/>
            </w:tcBorders>
            <w:shd w:val="clear" w:color="auto" w:fill="C6D9F1" w:themeFill="text2" w:themeFillTint="33"/>
            <w:noWrap/>
          </w:tcPr>
          <w:p w14:paraId="34CE0A41"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62EBF3C5" w14:textId="77777777" w:rsidR="003E1D81" w:rsidRDefault="003E1D81">
            <w:pPr>
              <w:spacing w:after="0" w:line="240" w:lineRule="auto"/>
              <w:jc w:val="center"/>
              <w:rPr>
                <w:rFonts w:ascii="Times New Roman" w:hAnsi="Times New Roman" w:cs="Times New Roman"/>
                <w:b/>
                <w:noProof/>
                <w:sz w:val="18"/>
              </w:rPr>
            </w:pPr>
          </w:p>
        </w:tc>
        <w:tc>
          <w:tcPr>
            <w:tcW w:w="1080" w:type="dxa"/>
            <w:tcBorders>
              <w:top w:val="nil"/>
            </w:tcBorders>
            <w:shd w:val="clear" w:color="auto" w:fill="C6D9F1" w:themeFill="text2" w:themeFillTint="33"/>
            <w:noWrap/>
          </w:tcPr>
          <w:p w14:paraId="6D98A12B" w14:textId="77777777" w:rsidR="003E1D81" w:rsidRDefault="003E1D81">
            <w:pPr>
              <w:spacing w:after="0" w:line="240" w:lineRule="auto"/>
              <w:jc w:val="center"/>
              <w:rPr>
                <w:rFonts w:ascii="Times New Roman" w:hAnsi="Times New Roman" w:cs="Times New Roman"/>
                <w:b/>
                <w:noProof/>
                <w:sz w:val="18"/>
              </w:rPr>
            </w:pPr>
          </w:p>
        </w:tc>
        <w:tc>
          <w:tcPr>
            <w:tcW w:w="2889" w:type="dxa"/>
            <w:tcBorders>
              <w:top w:val="nil"/>
            </w:tcBorders>
            <w:shd w:val="clear" w:color="auto" w:fill="C6D9F1" w:themeFill="text2" w:themeFillTint="33"/>
            <w:noWrap/>
          </w:tcPr>
          <w:p w14:paraId="2946DB82" w14:textId="77777777" w:rsidR="003E1D81" w:rsidRDefault="003E1D81">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5997CC1D" w14:textId="77777777" w:rsidR="003E1D81" w:rsidRDefault="003E1D81">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0DC741B2" w14:textId="77777777" w:rsidR="003E1D81" w:rsidRDefault="00EB481C">
            <w:pPr>
              <w:pStyle w:val="P68B1DB1-Normal12"/>
              <w:spacing w:after="0" w:line="240" w:lineRule="auto"/>
              <w:jc w:val="center"/>
              <w:rPr>
                <w:rFonts w:cs="Times New Roman"/>
                <w:noProof/>
              </w:rPr>
            </w:pPr>
            <w:r>
              <w:rPr>
                <w:noProof/>
              </w:rPr>
              <w:t>Egység</w:t>
            </w:r>
          </w:p>
        </w:tc>
        <w:tc>
          <w:tcPr>
            <w:tcW w:w="567" w:type="dxa"/>
            <w:shd w:val="clear" w:color="auto" w:fill="C6D9F1" w:themeFill="text2" w:themeFillTint="33"/>
            <w:noWrap/>
            <w:vAlign w:val="center"/>
          </w:tcPr>
          <w:p w14:paraId="45A1BAA3" w14:textId="77777777" w:rsidR="003E1D81" w:rsidRDefault="00EB481C">
            <w:pPr>
              <w:pStyle w:val="P68B1DB1-Normal12"/>
              <w:spacing w:after="0" w:line="240" w:lineRule="auto"/>
              <w:jc w:val="center"/>
              <w:rPr>
                <w:rFonts w:cs="Times New Roman"/>
                <w:noProof/>
              </w:rPr>
            </w:pPr>
            <w:r>
              <w:rPr>
                <w:noProof/>
              </w:rPr>
              <w:t>Alapérték</w:t>
            </w:r>
          </w:p>
        </w:tc>
        <w:tc>
          <w:tcPr>
            <w:tcW w:w="709" w:type="dxa"/>
            <w:shd w:val="clear" w:color="auto" w:fill="C6D9F1" w:themeFill="text2" w:themeFillTint="33"/>
            <w:noWrap/>
            <w:vAlign w:val="center"/>
          </w:tcPr>
          <w:p w14:paraId="642BD0C5" w14:textId="77777777" w:rsidR="003E1D81" w:rsidRDefault="00EB481C">
            <w:pPr>
              <w:pStyle w:val="P68B1DB1-Normal12"/>
              <w:spacing w:after="0" w:line="240" w:lineRule="auto"/>
              <w:jc w:val="center"/>
              <w:rPr>
                <w:rFonts w:cs="Times New Roman"/>
                <w:noProof/>
              </w:rPr>
            </w:pPr>
            <w:r>
              <w:rPr>
                <w:noProof/>
              </w:rPr>
              <w:t>Cél</w:t>
            </w:r>
          </w:p>
        </w:tc>
        <w:tc>
          <w:tcPr>
            <w:tcW w:w="425" w:type="dxa"/>
            <w:shd w:val="clear" w:color="auto" w:fill="C6D9F1" w:themeFill="text2" w:themeFillTint="33"/>
            <w:noWrap/>
            <w:vAlign w:val="center"/>
          </w:tcPr>
          <w:p w14:paraId="74DC4EC1"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C34323D" w14:textId="77777777" w:rsidR="003E1D81" w:rsidRDefault="00EB481C">
            <w:pPr>
              <w:pStyle w:val="P68B1DB1-Normal12"/>
              <w:spacing w:after="0" w:line="240" w:lineRule="auto"/>
              <w:jc w:val="center"/>
              <w:rPr>
                <w:rFonts w:cs="Times New Roman"/>
                <w:noProof/>
              </w:rPr>
            </w:pPr>
            <w:r>
              <w:rPr>
                <w:noProof/>
              </w:rPr>
              <w:t>Éve</w:t>
            </w:r>
          </w:p>
        </w:tc>
        <w:tc>
          <w:tcPr>
            <w:tcW w:w="5387" w:type="dxa"/>
            <w:tcBorders>
              <w:top w:val="nil"/>
            </w:tcBorders>
            <w:shd w:val="clear" w:color="auto" w:fill="C6D9F1" w:themeFill="text2" w:themeFillTint="33"/>
            <w:noWrap/>
          </w:tcPr>
          <w:p w14:paraId="110FFD37" w14:textId="77777777" w:rsidR="003E1D81" w:rsidRDefault="003E1D81">
            <w:pPr>
              <w:spacing w:after="0" w:line="240" w:lineRule="auto"/>
              <w:rPr>
                <w:rFonts w:ascii="Times New Roman" w:hAnsi="Times New Roman" w:cs="Times New Roman"/>
                <w:b/>
                <w:noProof/>
                <w:sz w:val="18"/>
              </w:rPr>
            </w:pPr>
          </w:p>
        </w:tc>
      </w:tr>
      <w:tr w:rsidR="003E1D81" w14:paraId="1EB1ADBE" w14:textId="77777777">
        <w:trPr>
          <w:trHeight w:val="309"/>
        </w:trPr>
        <w:tc>
          <w:tcPr>
            <w:tcW w:w="709" w:type="dxa"/>
            <w:shd w:val="clear" w:color="auto" w:fill="C6EFCE"/>
            <w:noWrap/>
          </w:tcPr>
          <w:p w14:paraId="61A51A77" w14:textId="77777777" w:rsidR="003E1D81" w:rsidRDefault="00EB481C">
            <w:pPr>
              <w:pStyle w:val="P68B1DB1-Normal13"/>
              <w:spacing w:after="0" w:line="240" w:lineRule="auto"/>
              <w:jc w:val="center"/>
              <w:rPr>
                <w:rFonts w:eastAsia="MS Mincho" w:cs="Times New Roman"/>
                <w:noProof/>
              </w:rPr>
            </w:pPr>
            <w:r>
              <w:rPr>
                <w:noProof/>
              </w:rPr>
              <w:t>39</w:t>
            </w:r>
          </w:p>
        </w:tc>
        <w:tc>
          <w:tcPr>
            <w:tcW w:w="851" w:type="dxa"/>
            <w:shd w:val="clear" w:color="auto" w:fill="C6EFCE"/>
            <w:noWrap/>
          </w:tcPr>
          <w:p w14:paraId="2EA089AC" w14:textId="77777777" w:rsidR="003E1D81" w:rsidRDefault="00EB481C">
            <w:pPr>
              <w:pStyle w:val="P68B1DB1-Normal13"/>
              <w:spacing w:after="0" w:line="240" w:lineRule="auto"/>
              <w:jc w:val="center"/>
              <w:rPr>
                <w:rFonts w:eastAsia="MS Mincho" w:cs="Times New Roman"/>
                <w:noProof/>
              </w:rPr>
            </w:pPr>
            <w:r>
              <w:rPr>
                <w:noProof/>
              </w:rPr>
              <w:t>C3.R1</w:t>
            </w:r>
          </w:p>
        </w:tc>
        <w:tc>
          <w:tcPr>
            <w:tcW w:w="1080" w:type="dxa"/>
            <w:shd w:val="clear" w:color="auto" w:fill="C6EFCE"/>
            <w:noWrap/>
          </w:tcPr>
          <w:p w14:paraId="50046019" w14:textId="77777777" w:rsidR="003E1D81" w:rsidRDefault="00EB481C">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282F7252" w14:textId="6DCA8D46" w:rsidR="003E1D81" w:rsidRDefault="00EB481C">
            <w:pPr>
              <w:pStyle w:val="P68B1DB1-Normal13"/>
              <w:spacing w:after="0" w:line="240" w:lineRule="auto"/>
              <w:rPr>
                <w:rFonts w:eastAsia="MS Mincho" w:cs="Times New Roman"/>
                <w:noProof/>
              </w:rPr>
            </w:pPr>
            <w:r>
              <w:rPr>
                <w:noProof/>
              </w:rPr>
              <w:t xml:space="preserve">A mezőgazdasággal és az élelmiszerekkel kapcsolatos sürgős intézkedésekről szóló 5/2020. </w:t>
            </w:r>
            <w:r>
              <w:rPr>
                <w:noProof/>
              </w:rPr>
              <w:t>sz. királyi törvényerejű rendelet és az élelmiszerlánc működésének javítását célzó intézkedésekről szóló 12/2013. sz. törvény módosításáról szóló 8/2020. sz. törvény hatálybalépése</w:t>
            </w:r>
          </w:p>
        </w:tc>
        <w:tc>
          <w:tcPr>
            <w:tcW w:w="1276" w:type="dxa"/>
            <w:shd w:val="clear" w:color="auto" w:fill="C6EFCE"/>
            <w:noWrap/>
          </w:tcPr>
          <w:p w14:paraId="407A7AE4" w14:textId="77777777" w:rsidR="003E1D81" w:rsidRDefault="00EB481C">
            <w:pPr>
              <w:pStyle w:val="P68B1DB1-Normal13"/>
              <w:spacing w:after="0" w:line="240" w:lineRule="auto"/>
              <w:jc w:val="center"/>
              <w:rPr>
                <w:rFonts w:eastAsia="MS Mincho" w:cs="Times New Roman"/>
                <w:noProof/>
              </w:rPr>
            </w:pPr>
            <w:r>
              <w:rPr>
                <w:noProof/>
              </w:rPr>
              <w:t>Az 5/2020. sz. királyi törvényerejű rendelet, a 8/2020. sz. törvény és a 12</w:t>
            </w:r>
            <w:r>
              <w:rPr>
                <w:noProof/>
              </w:rPr>
              <w:t>/2013. sz. törvény hatálybalépéséről szóló rendelkezések</w:t>
            </w:r>
          </w:p>
        </w:tc>
        <w:tc>
          <w:tcPr>
            <w:tcW w:w="850" w:type="dxa"/>
            <w:shd w:val="clear" w:color="auto" w:fill="C6EFCE"/>
            <w:noWrap/>
          </w:tcPr>
          <w:p w14:paraId="325CE300"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25DD3341"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23DD831B"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768D4F30"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30C877E0" w14:textId="77777777" w:rsidR="003E1D81" w:rsidRDefault="00EB481C">
            <w:pPr>
              <w:pStyle w:val="P68B1DB1-Normal13"/>
              <w:spacing w:after="0" w:line="240" w:lineRule="auto"/>
              <w:jc w:val="center"/>
              <w:rPr>
                <w:rFonts w:eastAsia="MS Mincho" w:cs="Times New Roman"/>
                <w:noProof/>
              </w:rPr>
            </w:pPr>
            <w:r>
              <w:rPr>
                <w:noProof/>
              </w:rPr>
              <w:t>2020</w:t>
            </w:r>
          </w:p>
        </w:tc>
        <w:tc>
          <w:tcPr>
            <w:tcW w:w="5387" w:type="dxa"/>
            <w:shd w:val="clear" w:color="auto" w:fill="C6EFCE"/>
            <w:noWrap/>
          </w:tcPr>
          <w:p w14:paraId="04BB5652" w14:textId="77777777" w:rsidR="003E1D81" w:rsidRDefault="00EB481C">
            <w:pPr>
              <w:pStyle w:val="P68B1DB1-Normal13"/>
              <w:spacing w:after="0" w:line="240" w:lineRule="auto"/>
              <w:rPr>
                <w:rFonts w:cs="Times New Roman"/>
                <w:noProof/>
              </w:rPr>
            </w:pPr>
            <w:r>
              <w:rPr>
                <w:noProof/>
              </w:rPr>
              <w:t>Az 5/2020. sz. királyi törvényerejű rendelet hatálybalépése (2020. február 25.), amely sürgős intézkedéseket tartalmaz a mezőgazdaságra és az élelmiszerekre vonatkozóan annak érde</w:t>
            </w:r>
            <w:r>
              <w:rPr>
                <w:noProof/>
              </w:rPr>
              <w:t>kében, hogy az élelmiszerláncon belüli kereskedelmi kapcsolatokat szabályozó nemzeti jogszabályok módosítása révén javítsa az élelmiszerlánc működését. A fő célkitűzés annak elérése, hogy az élelmiszerek ára fedezze az előállítási költségeket, hogy elkerül</w:t>
            </w:r>
            <w:r>
              <w:rPr>
                <w:noProof/>
              </w:rPr>
              <w:t>hető legyen az élelmiszerláncban az érték pusztulása, és betiltsák azokat a promóciókat, amelyek célja a fogyasztók megtévesztése a termékek árával és imázsával kapcsolatban.</w:t>
            </w:r>
            <w:r>
              <w:rPr>
                <w:noProof/>
              </w:rPr>
              <w:br/>
              <w:t>Az élelmiszerlánc működésének javítását célzó sürgős intézkedésekről szóló 12/201</w:t>
            </w:r>
            <w:r>
              <w:rPr>
                <w:noProof/>
              </w:rPr>
              <w:t>3. sz. törvény módosításáról szóló 8/2020. sz. törvény hatálybalépése annak érdekében, hogy törvény elfogadásával érvényesítsék a fent említett királyi törvényerejű rendeletet.</w:t>
            </w:r>
          </w:p>
        </w:tc>
      </w:tr>
      <w:tr w:rsidR="003E1D81" w14:paraId="77A2137B" w14:textId="77777777">
        <w:trPr>
          <w:trHeight w:val="309"/>
        </w:trPr>
        <w:tc>
          <w:tcPr>
            <w:tcW w:w="709" w:type="dxa"/>
            <w:shd w:val="clear" w:color="auto" w:fill="C6EFCE"/>
            <w:noWrap/>
          </w:tcPr>
          <w:p w14:paraId="704A35C2" w14:textId="77777777" w:rsidR="003E1D81" w:rsidRDefault="00EB481C">
            <w:pPr>
              <w:pStyle w:val="P68B1DB1-Normal13"/>
              <w:spacing w:after="0" w:line="240" w:lineRule="auto"/>
              <w:jc w:val="center"/>
              <w:rPr>
                <w:rFonts w:eastAsia="MS Mincho" w:cs="Times New Roman"/>
                <w:noProof/>
              </w:rPr>
            </w:pPr>
            <w:r>
              <w:rPr>
                <w:noProof/>
              </w:rPr>
              <w:t>40</w:t>
            </w:r>
          </w:p>
        </w:tc>
        <w:tc>
          <w:tcPr>
            <w:tcW w:w="851" w:type="dxa"/>
            <w:shd w:val="clear" w:color="auto" w:fill="C6EFCE"/>
            <w:noWrap/>
          </w:tcPr>
          <w:p w14:paraId="3BE130A3" w14:textId="77777777" w:rsidR="003E1D81" w:rsidRDefault="00EB481C">
            <w:pPr>
              <w:pStyle w:val="P68B1DB1-Normal13"/>
              <w:spacing w:after="0" w:line="240" w:lineRule="auto"/>
              <w:jc w:val="center"/>
              <w:rPr>
                <w:rFonts w:eastAsia="MS Mincho" w:cs="Times New Roman"/>
                <w:noProof/>
              </w:rPr>
            </w:pPr>
            <w:r>
              <w:rPr>
                <w:noProof/>
              </w:rPr>
              <w:t>C3.R1</w:t>
            </w:r>
          </w:p>
        </w:tc>
        <w:tc>
          <w:tcPr>
            <w:tcW w:w="1080" w:type="dxa"/>
            <w:shd w:val="clear" w:color="auto" w:fill="C6EFCE"/>
            <w:noWrap/>
          </w:tcPr>
          <w:p w14:paraId="799EC85C" w14:textId="77777777" w:rsidR="003E1D81" w:rsidRDefault="00EB481C">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259502C5" w14:textId="77777777" w:rsidR="003E1D81" w:rsidRDefault="00EB481C">
            <w:pPr>
              <w:pStyle w:val="P68B1DB1-Normal13"/>
              <w:spacing w:after="0" w:line="240" w:lineRule="auto"/>
              <w:rPr>
                <w:rFonts w:eastAsia="MS Mincho" w:cs="Times New Roman"/>
                <w:noProof/>
              </w:rPr>
            </w:pPr>
            <w:r>
              <w:rPr>
                <w:noProof/>
              </w:rPr>
              <w:t xml:space="preserve">Az élelmiszerlánc működésének javítását célzó intézkedésekről szóló 12/2013. sz. törvény második módosításának hatálybalépése </w:t>
            </w:r>
          </w:p>
        </w:tc>
        <w:tc>
          <w:tcPr>
            <w:tcW w:w="1276" w:type="dxa"/>
            <w:shd w:val="clear" w:color="auto" w:fill="C6EFCE"/>
            <w:noWrap/>
          </w:tcPr>
          <w:p w14:paraId="2599AC3B" w14:textId="77777777" w:rsidR="003E1D81" w:rsidRDefault="00EB481C">
            <w:pPr>
              <w:pStyle w:val="P68B1DB1-Normal13"/>
              <w:spacing w:after="0" w:line="240" w:lineRule="auto"/>
              <w:jc w:val="center"/>
              <w:rPr>
                <w:rFonts w:eastAsia="MS Mincho" w:cs="Times New Roman"/>
                <w:noProof/>
              </w:rPr>
            </w:pPr>
            <w:r>
              <w:rPr>
                <w:noProof/>
              </w:rPr>
              <w:t>A 12/2013. sz. törvény hatálybalépéséről szóló rendelkezése</w:t>
            </w:r>
          </w:p>
        </w:tc>
        <w:tc>
          <w:tcPr>
            <w:tcW w:w="850" w:type="dxa"/>
            <w:shd w:val="clear" w:color="auto" w:fill="C6EFCE"/>
            <w:noWrap/>
          </w:tcPr>
          <w:p w14:paraId="28CE8CB7"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1895D3B7"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7FDE0BDC"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4D0FD3D3"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0F366D60" w14:textId="77777777" w:rsidR="003E1D81" w:rsidRDefault="00EB481C">
            <w:pPr>
              <w:pStyle w:val="P68B1DB1-Normal13"/>
              <w:spacing w:after="0" w:line="240" w:lineRule="auto"/>
              <w:jc w:val="center"/>
              <w:rPr>
                <w:rFonts w:eastAsia="MS Mincho" w:cs="Times New Roman"/>
                <w:noProof/>
              </w:rPr>
            </w:pPr>
            <w:r>
              <w:rPr>
                <w:noProof/>
              </w:rPr>
              <w:t>2021</w:t>
            </w:r>
          </w:p>
        </w:tc>
        <w:tc>
          <w:tcPr>
            <w:tcW w:w="5387" w:type="dxa"/>
            <w:shd w:val="clear" w:color="auto" w:fill="C6EFCE"/>
            <w:noWrap/>
          </w:tcPr>
          <w:p w14:paraId="53B6E5A7" w14:textId="77777777" w:rsidR="003E1D81" w:rsidRDefault="00EB481C">
            <w:pPr>
              <w:pStyle w:val="P68B1DB1-Normal13"/>
              <w:spacing w:after="0" w:line="240" w:lineRule="auto"/>
              <w:rPr>
                <w:rFonts w:eastAsia="MS Mincho" w:cs="Times New Roman"/>
                <w:noProof/>
              </w:rPr>
            </w:pPr>
            <w:r>
              <w:rPr>
                <w:noProof/>
              </w:rPr>
              <w:t>Az élelmiszerlánc működésének az (EU) 2019/633 ir</w:t>
            </w:r>
            <w:r>
              <w:rPr>
                <w:noProof/>
              </w:rPr>
              <w:t>ányelv minimumkövetelményein túlmutató javítását célzó intézkedésekről szóló 12/2013. sz. törvény második módosításának hatálybalépése. Ez a jogi módosítás előmozdítja az átláthatóbb és kiegyensúlyozottabb élelmiszer-értékláncra irányuló különböző intézked</w:t>
            </w:r>
            <w:r>
              <w:rPr>
                <w:noProof/>
              </w:rPr>
              <w:t xml:space="preserve">éseket, amelyek a következők módosítását vonják maguk után: i. a törvény hatályának a kereskedelmi kapcsolatokra való kiterjesztése; az élelmiszer-szerződések minimális tartalma gyakorlatilag valamennyi tranzakcióra kiterjed. </w:t>
            </w:r>
          </w:p>
        </w:tc>
      </w:tr>
      <w:tr w:rsidR="003E1D81" w14:paraId="56651C19" w14:textId="77777777">
        <w:trPr>
          <w:trHeight w:val="309"/>
        </w:trPr>
        <w:tc>
          <w:tcPr>
            <w:tcW w:w="709" w:type="dxa"/>
            <w:shd w:val="clear" w:color="auto" w:fill="C6EFCE"/>
            <w:noWrap/>
          </w:tcPr>
          <w:p w14:paraId="245D991A" w14:textId="77777777" w:rsidR="003E1D81" w:rsidRDefault="00EB481C">
            <w:pPr>
              <w:pStyle w:val="P68B1DB1-Normal13"/>
              <w:spacing w:after="0" w:line="240" w:lineRule="auto"/>
              <w:jc w:val="center"/>
              <w:rPr>
                <w:rFonts w:eastAsia="MS Mincho" w:cs="Times New Roman"/>
                <w:noProof/>
              </w:rPr>
            </w:pPr>
            <w:r>
              <w:rPr>
                <w:noProof/>
              </w:rPr>
              <w:t>41</w:t>
            </w:r>
          </w:p>
        </w:tc>
        <w:tc>
          <w:tcPr>
            <w:tcW w:w="851" w:type="dxa"/>
            <w:shd w:val="clear" w:color="auto" w:fill="C6EFCE"/>
            <w:noWrap/>
          </w:tcPr>
          <w:p w14:paraId="3F301039" w14:textId="77777777" w:rsidR="003E1D81" w:rsidRDefault="00EB481C">
            <w:pPr>
              <w:pStyle w:val="P68B1DB1-Normal13"/>
              <w:spacing w:after="0" w:line="240" w:lineRule="auto"/>
              <w:jc w:val="center"/>
              <w:rPr>
                <w:rFonts w:eastAsia="MS Mincho" w:cs="Times New Roman"/>
                <w:noProof/>
              </w:rPr>
            </w:pPr>
            <w:r>
              <w:rPr>
                <w:noProof/>
              </w:rPr>
              <w:t>C3.R2</w:t>
            </w:r>
          </w:p>
        </w:tc>
        <w:tc>
          <w:tcPr>
            <w:tcW w:w="1080" w:type="dxa"/>
            <w:shd w:val="clear" w:color="auto" w:fill="C6EFCE"/>
            <w:noWrap/>
          </w:tcPr>
          <w:p w14:paraId="748CD6EC" w14:textId="77777777" w:rsidR="003E1D81" w:rsidRDefault="00EB481C">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44E3E4D1" w14:textId="77777777" w:rsidR="003E1D81" w:rsidRDefault="00EB481C">
            <w:pPr>
              <w:pStyle w:val="P68B1DB1-Normal13"/>
              <w:spacing w:after="0" w:line="240" w:lineRule="auto"/>
              <w:rPr>
                <w:rFonts w:eastAsia="MS Mincho" w:cs="Times New Roman"/>
                <w:noProof/>
              </w:rPr>
            </w:pPr>
            <w:r>
              <w:rPr>
                <w:noProof/>
              </w:rPr>
              <w:t xml:space="preserve">A szabályozási </w:t>
            </w:r>
            <w:r>
              <w:rPr>
                <w:noProof/>
              </w:rPr>
              <w:t>keret hatálybalépése a gazdaságokban alkalmazott elérhető legjobb technikák általános nyilvántartásának kidolgozása érdekében, hogy tájékoztatást nyújtson a szennyezőanyag- és ÜHG-kibocsátásról, valamint megreformálja a tervezési jogszabályokat a különböző</w:t>
            </w:r>
            <w:r>
              <w:rPr>
                <w:noProof/>
              </w:rPr>
              <w:t xml:space="preserve"> ágazatok gazdaságaira vonatkozó kritériumokkal</w:t>
            </w:r>
          </w:p>
        </w:tc>
        <w:tc>
          <w:tcPr>
            <w:tcW w:w="1276" w:type="dxa"/>
            <w:shd w:val="clear" w:color="auto" w:fill="C6EFCE"/>
            <w:noWrap/>
          </w:tcPr>
          <w:p w14:paraId="02B63BCD" w14:textId="77777777" w:rsidR="003E1D81" w:rsidRDefault="00EB481C">
            <w:pPr>
              <w:pStyle w:val="P68B1DB1-Normal13"/>
              <w:spacing w:after="0" w:line="240" w:lineRule="auto"/>
              <w:jc w:val="center"/>
              <w:rPr>
                <w:rFonts w:eastAsia="MS Mincho" w:cs="Times New Roman"/>
                <w:noProof/>
              </w:rPr>
            </w:pPr>
            <w:r>
              <w:rPr>
                <w:noProof/>
              </w:rPr>
              <w:t>A szabályozási keret rendelkezésre bocsátása a hatálybalépéskor</w:t>
            </w:r>
          </w:p>
        </w:tc>
        <w:tc>
          <w:tcPr>
            <w:tcW w:w="850" w:type="dxa"/>
            <w:shd w:val="clear" w:color="auto" w:fill="C6EFCE"/>
            <w:noWrap/>
          </w:tcPr>
          <w:p w14:paraId="6C1031F9"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4CE745D7"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7D149327"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70263436"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454DE2D5" w14:textId="77777777" w:rsidR="003E1D81" w:rsidRDefault="00EB481C">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5C19F011" w14:textId="77777777" w:rsidR="003E1D81" w:rsidRDefault="00EB481C">
            <w:pPr>
              <w:pStyle w:val="P68B1DB1-Normal13"/>
              <w:spacing w:after="0" w:line="240" w:lineRule="auto"/>
              <w:rPr>
                <w:rFonts w:eastAsia="MS Mincho" w:cs="Times New Roman"/>
                <w:noProof/>
              </w:rPr>
            </w:pPr>
            <w:r>
              <w:rPr>
                <w:noProof/>
              </w:rPr>
              <w:t>Az elérhető legjobb technikák általános nyilvántartásának kidolgozására vonatkozó szabályozási keretnek elő kell segítenie a</w:t>
            </w:r>
            <w:r>
              <w:rPr>
                <w:noProof/>
              </w:rPr>
              <w:t xml:space="preserve"> sertés- és baromfigazdaságok szennyezőanyag- és üvegházhatásúgáz-kibocsátásának kiszámítását, valamint az egyéb környezeti adatok rögzítését. Az állattenyésztési ágazat tervezési jogszabályainak fokozatos felülvizsgálata szabályozza a gazdaságok elhelyezk</w:t>
            </w:r>
            <w:r>
              <w:rPr>
                <w:noProof/>
              </w:rPr>
              <w:t>edésére, méretére, egészségügyi feltételeire és infrastruktúrájára vonatkozó követelményeket, módosítja a sertéstenyésztő gazdaságokra vonatkozó követelményeket, és új szabályozási keretet hoz létre a baromfiágazat számára.</w:t>
            </w:r>
          </w:p>
        </w:tc>
      </w:tr>
      <w:tr w:rsidR="003E1D81" w14:paraId="40128808" w14:textId="77777777">
        <w:trPr>
          <w:trHeight w:val="309"/>
        </w:trPr>
        <w:tc>
          <w:tcPr>
            <w:tcW w:w="709" w:type="dxa"/>
            <w:shd w:val="clear" w:color="auto" w:fill="C6EFCE"/>
            <w:noWrap/>
          </w:tcPr>
          <w:p w14:paraId="0C2CDCBB" w14:textId="1802298C" w:rsidR="003E1D81" w:rsidRDefault="00EB481C">
            <w:pPr>
              <w:pStyle w:val="P68B1DB1-Normal13"/>
              <w:spacing w:after="0" w:line="240" w:lineRule="auto"/>
              <w:jc w:val="center"/>
              <w:rPr>
                <w:rFonts w:cs="Times New Roman"/>
                <w:noProof/>
              </w:rPr>
            </w:pPr>
            <w:r>
              <w:rPr>
                <w:noProof/>
              </w:rPr>
              <w:t>422</w:t>
            </w:r>
          </w:p>
        </w:tc>
        <w:tc>
          <w:tcPr>
            <w:tcW w:w="851" w:type="dxa"/>
            <w:shd w:val="clear" w:color="auto" w:fill="C6EFCE"/>
            <w:noWrap/>
          </w:tcPr>
          <w:p w14:paraId="301CA15D" w14:textId="2600A4CC" w:rsidR="003E1D81" w:rsidRDefault="00EB481C">
            <w:pPr>
              <w:pStyle w:val="P68B1DB1-Normal13"/>
              <w:spacing w:after="0" w:line="240" w:lineRule="auto"/>
              <w:jc w:val="center"/>
              <w:rPr>
                <w:rFonts w:cs="Times New Roman"/>
                <w:noProof/>
              </w:rPr>
            </w:pPr>
            <w:r>
              <w:rPr>
                <w:noProof/>
              </w:rPr>
              <w:t>C3.R2</w:t>
            </w:r>
          </w:p>
        </w:tc>
        <w:tc>
          <w:tcPr>
            <w:tcW w:w="1080" w:type="dxa"/>
            <w:shd w:val="clear" w:color="auto" w:fill="C6EFCE"/>
            <w:noWrap/>
          </w:tcPr>
          <w:p w14:paraId="556745CD" w14:textId="01BEDDC9" w:rsidR="003E1D81" w:rsidRDefault="00EB481C">
            <w:pPr>
              <w:pStyle w:val="P68B1DB1-Normal13"/>
              <w:spacing w:after="0" w:line="240" w:lineRule="auto"/>
              <w:jc w:val="center"/>
              <w:rPr>
                <w:rFonts w:cs="Times New Roman"/>
                <w:noProof/>
              </w:rPr>
            </w:pPr>
            <w:r>
              <w:rPr>
                <w:noProof/>
              </w:rPr>
              <w:t>M</w:t>
            </w:r>
          </w:p>
        </w:tc>
        <w:tc>
          <w:tcPr>
            <w:tcW w:w="2889" w:type="dxa"/>
            <w:shd w:val="clear" w:color="auto" w:fill="C6EFCE"/>
            <w:noWrap/>
          </w:tcPr>
          <w:p w14:paraId="75ED9B37" w14:textId="124F19ED" w:rsidR="003E1D81" w:rsidRDefault="00EB481C">
            <w:pPr>
              <w:pStyle w:val="P68B1DB1-Normal13"/>
              <w:spacing w:after="0" w:line="240" w:lineRule="auto"/>
              <w:rPr>
                <w:rFonts w:cs="Times New Roman"/>
                <w:noProof/>
              </w:rPr>
            </w:pPr>
            <w:r>
              <w:rPr>
                <w:noProof/>
              </w:rPr>
              <w:t>Az állatszállítás biológiai biztonságának javításáról szóló rendelet és az antibiotikumok állatfajoknál történő fenntartható használatáról szóló rendelet hatálybalépése</w:t>
            </w:r>
          </w:p>
        </w:tc>
        <w:tc>
          <w:tcPr>
            <w:tcW w:w="1276" w:type="dxa"/>
            <w:shd w:val="clear" w:color="auto" w:fill="C6EFCE"/>
            <w:noWrap/>
          </w:tcPr>
          <w:p w14:paraId="376893B4" w14:textId="7FA24B86" w:rsidR="003E1D81" w:rsidRDefault="00EB481C">
            <w:pPr>
              <w:pStyle w:val="P68B1DB1-Normal13"/>
              <w:spacing w:after="0" w:line="240" w:lineRule="auto"/>
              <w:jc w:val="center"/>
              <w:rPr>
                <w:rFonts w:cs="Times New Roman"/>
                <w:noProof/>
              </w:rPr>
            </w:pPr>
            <w:r>
              <w:rPr>
                <w:noProof/>
              </w:rPr>
              <w:t>A királyi rendelet hatálybalépéséről szóló rendelkezése</w:t>
            </w:r>
          </w:p>
        </w:tc>
        <w:tc>
          <w:tcPr>
            <w:tcW w:w="850" w:type="dxa"/>
            <w:shd w:val="clear" w:color="auto" w:fill="C6EFCE"/>
            <w:noWrap/>
          </w:tcPr>
          <w:p w14:paraId="41F72AA5" w14:textId="10384DE4" w:rsidR="003E1D81" w:rsidRDefault="00EB481C">
            <w:pPr>
              <w:pStyle w:val="P68B1DB1-Normal13"/>
              <w:spacing w:after="0" w:line="240" w:lineRule="auto"/>
              <w:jc w:val="right"/>
              <w:rPr>
                <w:rFonts w:cs="Times New Roman"/>
                <w:noProof/>
              </w:rPr>
            </w:pPr>
            <w:r>
              <w:rPr>
                <w:noProof/>
              </w:rPr>
              <w:t xml:space="preserve"> </w:t>
            </w:r>
          </w:p>
        </w:tc>
        <w:tc>
          <w:tcPr>
            <w:tcW w:w="567" w:type="dxa"/>
            <w:shd w:val="clear" w:color="auto" w:fill="C6EFCE"/>
            <w:noWrap/>
          </w:tcPr>
          <w:p w14:paraId="422BD601" w14:textId="5B10E131" w:rsidR="003E1D81" w:rsidRDefault="00EB481C">
            <w:pPr>
              <w:pStyle w:val="P68B1DB1-Normal13"/>
              <w:spacing w:after="0" w:line="240" w:lineRule="auto"/>
              <w:jc w:val="right"/>
              <w:rPr>
                <w:rFonts w:cs="Times New Roman"/>
                <w:noProof/>
              </w:rPr>
            </w:pPr>
            <w:r>
              <w:rPr>
                <w:noProof/>
              </w:rPr>
              <w:t xml:space="preserve"> </w:t>
            </w:r>
          </w:p>
        </w:tc>
        <w:tc>
          <w:tcPr>
            <w:tcW w:w="709" w:type="dxa"/>
            <w:shd w:val="clear" w:color="auto" w:fill="C6EFCE"/>
            <w:noWrap/>
          </w:tcPr>
          <w:p w14:paraId="26BDCAF1" w14:textId="319C0BF0" w:rsidR="003E1D81" w:rsidRDefault="00EB481C">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5A1F4C93" w14:textId="4A82C8AF"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7DC9991C" w14:textId="1659BAE4" w:rsidR="003E1D81" w:rsidRDefault="00EB481C">
            <w:pPr>
              <w:pStyle w:val="P68B1DB1-Normal13"/>
              <w:spacing w:after="0" w:line="240" w:lineRule="auto"/>
              <w:jc w:val="center"/>
              <w:rPr>
                <w:rFonts w:cs="Times New Roman"/>
                <w:noProof/>
              </w:rPr>
            </w:pPr>
            <w:r>
              <w:rPr>
                <w:noProof/>
              </w:rPr>
              <w:t>2023</w:t>
            </w:r>
          </w:p>
        </w:tc>
        <w:tc>
          <w:tcPr>
            <w:tcW w:w="5387" w:type="dxa"/>
            <w:shd w:val="clear" w:color="auto" w:fill="C6EFCE"/>
            <w:noWrap/>
          </w:tcPr>
          <w:p w14:paraId="0B638417" w14:textId="05C3D8F7" w:rsidR="003E1D81" w:rsidRDefault="00EB481C">
            <w:pPr>
              <w:pStyle w:val="P68B1DB1-Normal13"/>
              <w:spacing w:line="257" w:lineRule="auto"/>
              <w:jc w:val="both"/>
              <w:rPr>
                <w:rFonts w:eastAsia="MS Mincho" w:cs="Times New Roman"/>
                <w:noProof/>
              </w:rPr>
            </w:pPr>
            <w:r>
              <w:rPr>
                <w:noProof/>
              </w:rPr>
              <w:t>Az állatszállítás biológiai biztonságának javításáról szóló királyi rendelet, valamint az állatállomány szempontjából fontos fajokban az antibiotikumoknak az intézkedés leírásával összhangban történő fenntartható használatáról szóló királyi rendelet hatály</w:t>
            </w:r>
            <w:r>
              <w:rPr>
                <w:noProof/>
              </w:rPr>
              <w:t>balépése.</w:t>
            </w:r>
          </w:p>
          <w:p w14:paraId="3A03D516" w14:textId="77777777" w:rsidR="003E1D81" w:rsidRDefault="003E1D81">
            <w:pPr>
              <w:spacing w:after="0" w:line="240" w:lineRule="auto"/>
              <w:rPr>
                <w:rFonts w:ascii="Times New Roman" w:hAnsi="Times New Roman" w:cs="Times New Roman"/>
                <w:noProof/>
                <w:sz w:val="18"/>
              </w:rPr>
            </w:pPr>
          </w:p>
        </w:tc>
      </w:tr>
      <w:tr w:rsidR="003E1D81" w14:paraId="6769C491" w14:textId="77777777">
        <w:trPr>
          <w:trHeight w:val="309"/>
        </w:trPr>
        <w:tc>
          <w:tcPr>
            <w:tcW w:w="709" w:type="dxa"/>
            <w:shd w:val="clear" w:color="auto" w:fill="C6EFCE"/>
            <w:noWrap/>
          </w:tcPr>
          <w:p w14:paraId="21C9D991" w14:textId="77777777" w:rsidR="003E1D81" w:rsidRDefault="00EB481C">
            <w:pPr>
              <w:pStyle w:val="P68B1DB1-Normal13"/>
              <w:spacing w:after="0" w:line="240" w:lineRule="auto"/>
              <w:jc w:val="center"/>
              <w:rPr>
                <w:rFonts w:eastAsia="MS Mincho" w:cs="Times New Roman"/>
                <w:noProof/>
              </w:rPr>
            </w:pPr>
            <w:r>
              <w:rPr>
                <w:noProof/>
              </w:rPr>
              <w:t>42</w:t>
            </w:r>
          </w:p>
        </w:tc>
        <w:tc>
          <w:tcPr>
            <w:tcW w:w="851" w:type="dxa"/>
            <w:shd w:val="clear" w:color="auto" w:fill="C6EFCE"/>
            <w:noWrap/>
          </w:tcPr>
          <w:p w14:paraId="5A189353" w14:textId="77777777" w:rsidR="003E1D81" w:rsidRDefault="00EB481C">
            <w:pPr>
              <w:pStyle w:val="P68B1DB1-Normal13"/>
              <w:spacing w:after="0" w:line="240" w:lineRule="auto"/>
              <w:jc w:val="center"/>
              <w:rPr>
                <w:rFonts w:eastAsia="MS Mincho" w:cs="Times New Roman"/>
                <w:noProof/>
              </w:rPr>
            </w:pPr>
            <w:r>
              <w:rPr>
                <w:noProof/>
              </w:rPr>
              <w:t>C3.R3</w:t>
            </w:r>
          </w:p>
        </w:tc>
        <w:tc>
          <w:tcPr>
            <w:tcW w:w="1080" w:type="dxa"/>
            <w:shd w:val="clear" w:color="auto" w:fill="C6EFCE"/>
            <w:noWrap/>
          </w:tcPr>
          <w:p w14:paraId="477EF257" w14:textId="77777777" w:rsidR="003E1D81" w:rsidRDefault="00EB481C">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3FA9F6A1" w14:textId="77777777" w:rsidR="003E1D81" w:rsidRDefault="00EB481C">
            <w:pPr>
              <w:pStyle w:val="P68B1DB1-Normal13"/>
              <w:spacing w:after="0" w:line="240" w:lineRule="auto"/>
              <w:rPr>
                <w:rFonts w:eastAsia="MS Mincho" w:cs="Times New Roman"/>
                <w:noProof/>
              </w:rPr>
            </w:pPr>
            <w:r>
              <w:rPr>
                <w:noProof/>
              </w:rPr>
              <w:t>A mezőgazdasági talajok fenntartható táplálkozására vonatkozó normatív keret hatálybalépése.</w:t>
            </w:r>
          </w:p>
        </w:tc>
        <w:tc>
          <w:tcPr>
            <w:tcW w:w="1276" w:type="dxa"/>
            <w:shd w:val="clear" w:color="auto" w:fill="C6EFCE"/>
            <w:noWrap/>
          </w:tcPr>
          <w:p w14:paraId="35C35665" w14:textId="77777777" w:rsidR="003E1D81" w:rsidRDefault="00EB481C">
            <w:pPr>
              <w:pStyle w:val="P68B1DB1-Normal13"/>
              <w:spacing w:after="0" w:line="240" w:lineRule="auto"/>
              <w:jc w:val="center"/>
              <w:rPr>
                <w:rFonts w:eastAsia="MS Mincho" w:cs="Times New Roman"/>
                <w:noProof/>
              </w:rPr>
            </w:pPr>
            <w:r>
              <w:rPr>
                <w:noProof/>
              </w:rPr>
              <w:t>A jogszabályi keret rendelkezésre bocsátása a hatálybalépéshez</w:t>
            </w:r>
          </w:p>
        </w:tc>
        <w:tc>
          <w:tcPr>
            <w:tcW w:w="850" w:type="dxa"/>
            <w:shd w:val="clear" w:color="auto" w:fill="C6EFCE"/>
            <w:noWrap/>
          </w:tcPr>
          <w:p w14:paraId="253B9705"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752553BD"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56051E44"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34B5F073"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094D2E42" w14:textId="77777777" w:rsidR="003E1D81" w:rsidRDefault="00EB481C">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3CC5FFD3" w14:textId="77777777" w:rsidR="003E1D81" w:rsidRDefault="00EB481C">
            <w:pPr>
              <w:pStyle w:val="P68B1DB1-Normal13"/>
              <w:spacing w:after="0" w:line="240" w:lineRule="auto"/>
              <w:rPr>
                <w:rFonts w:eastAsia="MS Mincho" w:cs="Times New Roman"/>
                <w:noProof/>
              </w:rPr>
            </w:pPr>
            <w:r>
              <w:rPr>
                <w:noProof/>
              </w:rPr>
              <w:t xml:space="preserve">E normatív keret célja a trágyázási munka szabályozása, valamint a trágyázás racionalizálása és a jogi követelményeknek való megfelelés érdekében a mezőgazdasági termelőknek nyújtott technikai tanácsadás előmozdítása. </w:t>
            </w:r>
          </w:p>
        </w:tc>
      </w:tr>
      <w:tr w:rsidR="003E1D81" w14:paraId="37DD0363" w14:textId="77777777">
        <w:trPr>
          <w:trHeight w:val="309"/>
        </w:trPr>
        <w:tc>
          <w:tcPr>
            <w:tcW w:w="709" w:type="dxa"/>
            <w:shd w:val="clear" w:color="auto" w:fill="C6EFCE"/>
            <w:noWrap/>
          </w:tcPr>
          <w:p w14:paraId="55739EF0" w14:textId="77777777" w:rsidR="003E1D81" w:rsidRDefault="00EB481C">
            <w:pPr>
              <w:pStyle w:val="P68B1DB1-Normal13"/>
              <w:spacing w:after="0" w:line="240" w:lineRule="auto"/>
              <w:jc w:val="center"/>
              <w:rPr>
                <w:rFonts w:eastAsia="MS Mincho" w:cs="Times New Roman"/>
                <w:noProof/>
              </w:rPr>
            </w:pPr>
            <w:r>
              <w:rPr>
                <w:noProof/>
              </w:rPr>
              <w:t>43</w:t>
            </w:r>
          </w:p>
        </w:tc>
        <w:tc>
          <w:tcPr>
            <w:tcW w:w="851" w:type="dxa"/>
            <w:shd w:val="clear" w:color="auto" w:fill="C6EFCE"/>
            <w:noWrap/>
          </w:tcPr>
          <w:p w14:paraId="11E8956A" w14:textId="77777777" w:rsidR="003E1D81" w:rsidRDefault="00EB481C">
            <w:pPr>
              <w:pStyle w:val="P68B1DB1-Normal13"/>
              <w:spacing w:after="0" w:line="240" w:lineRule="auto"/>
              <w:jc w:val="center"/>
              <w:rPr>
                <w:rFonts w:eastAsia="MS Mincho" w:cs="Times New Roman"/>
                <w:noProof/>
              </w:rPr>
            </w:pPr>
            <w:r>
              <w:rPr>
                <w:noProof/>
              </w:rPr>
              <w:t>C3.R4</w:t>
            </w:r>
          </w:p>
        </w:tc>
        <w:tc>
          <w:tcPr>
            <w:tcW w:w="1080" w:type="dxa"/>
            <w:shd w:val="clear" w:color="auto" w:fill="C6EFCE"/>
            <w:noWrap/>
          </w:tcPr>
          <w:p w14:paraId="5AD787E6" w14:textId="77777777" w:rsidR="003E1D81" w:rsidRDefault="00EB481C">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7832744C" w14:textId="77777777" w:rsidR="003E1D81" w:rsidRDefault="00EB481C">
            <w:pPr>
              <w:pStyle w:val="P68B1DB1-Normal13"/>
              <w:spacing w:after="0" w:line="240" w:lineRule="auto"/>
              <w:rPr>
                <w:rFonts w:eastAsia="MS Mincho" w:cs="Times New Roman"/>
                <w:noProof/>
              </w:rPr>
            </w:pPr>
            <w:r>
              <w:rPr>
                <w:noProof/>
              </w:rPr>
              <w:t xml:space="preserve">A spanyol öntözőrendszer </w:t>
            </w:r>
            <w:r>
              <w:rPr>
                <w:noProof/>
              </w:rPr>
              <w:t>javítását célzó irányítási mechanizmusról szóló királyi rendelet hatálybalépése.</w:t>
            </w:r>
          </w:p>
        </w:tc>
        <w:tc>
          <w:tcPr>
            <w:tcW w:w="1276" w:type="dxa"/>
            <w:shd w:val="clear" w:color="auto" w:fill="C6EFCE"/>
            <w:noWrap/>
          </w:tcPr>
          <w:p w14:paraId="10FCA3E8" w14:textId="77777777" w:rsidR="003E1D81" w:rsidRDefault="00EB481C">
            <w:pPr>
              <w:pStyle w:val="P68B1DB1-Normal13"/>
              <w:spacing w:after="0" w:line="240" w:lineRule="auto"/>
              <w:jc w:val="center"/>
              <w:rPr>
                <w:rFonts w:eastAsia="MS Mincho" w:cs="Times New Roman"/>
                <w:noProof/>
              </w:rPr>
            </w:pPr>
            <w:r>
              <w:rPr>
                <w:noProof/>
              </w:rPr>
              <w:t xml:space="preserve">A királyi rendelet hatálybalépéséről szóló rendelkezése </w:t>
            </w:r>
          </w:p>
        </w:tc>
        <w:tc>
          <w:tcPr>
            <w:tcW w:w="850" w:type="dxa"/>
            <w:shd w:val="clear" w:color="auto" w:fill="C6EFCE"/>
            <w:noWrap/>
          </w:tcPr>
          <w:p w14:paraId="554EF5F4"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7E235B9D"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66AC4DF1"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4B2E4500"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057ED589" w14:textId="77777777" w:rsidR="003E1D81" w:rsidRDefault="00EB481C">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253F0D80" w14:textId="77777777" w:rsidR="003E1D81" w:rsidRDefault="00EB481C">
            <w:pPr>
              <w:pStyle w:val="P68B1DB1-Normal13"/>
              <w:spacing w:after="0" w:line="240" w:lineRule="auto"/>
              <w:rPr>
                <w:rFonts w:eastAsia="MS Mincho" w:cs="Times New Roman"/>
                <w:noProof/>
              </w:rPr>
            </w:pPr>
            <w:r>
              <w:rPr>
                <w:noProof/>
              </w:rPr>
              <w:t>A királyi rendelet nemzeti szintű irányítási mechanizmust hoz létre annak érdekében, hogy az érint</w:t>
            </w:r>
            <w:r>
              <w:rPr>
                <w:noProof/>
              </w:rPr>
              <w:t>ett ágazatok együttműködhessenek a spanyol öntözéssel kapcsolatos olyan kérdésekben, mint a fenntarthatóság, a végrehajtási kritériumok, a rendeletek stb. A rendelet célja továbbá a fenntartható öntözés megfigyelőközpontjának létrehozása Spanyolországban.</w:t>
            </w:r>
          </w:p>
        </w:tc>
      </w:tr>
      <w:tr w:rsidR="003E1D81" w14:paraId="19DF5004" w14:textId="77777777">
        <w:trPr>
          <w:trHeight w:val="309"/>
        </w:trPr>
        <w:tc>
          <w:tcPr>
            <w:tcW w:w="709" w:type="dxa"/>
            <w:shd w:val="clear" w:color="auto" w:fill="C6EFCE"/>
            <w:noWrap/>
          </w:tcPr>
          <w:p w14:paraId="64397A95" w14:textId="77777777" w:rsidR="003E1D81" w:rsidRDefault="00EB481C">
            <w:pPr>
              <w:pStyle w:val="P68B1DB1-Normal13"/>
              <w:spacing w:after="0" w:line="240" w:lineRule="auto"/>
              <w:jc w:val="center"/>
              <w:rPr>
                <w:rFonts w:eastAsia="MS Mincho" w:cs="Times New Roman"/>
                <w:noProof/>
              </w:rPr>
            </w:pPr>
            <w:r>
              <w:rPr>
                <w:noProof/>
              </w:rPr>
              <w:t>44</w:t>
            </w:r>
          </w:p>
        </w:tc>
        <w:tc>
          <w:tcPr>
            <w:tcW w:w="851" w:type="dxa"/>
            <w:shd w:val="clear" w:color="auto" w:fill="C6EFCE"/>
            <w:noWrap/>
          </w:tcPr>
          <w:p w14:paraId="7D07F206" w14:textId="77777777" w:rsidR="003E1D81" w:rsidRDefault="00EB481C">
            <w:pPr>
              <w:pStyle w:val="P68B1DB1-Normal13"/>
              <w:spacing w:after="0" w:line="240" w:lineRule="auto"/>
              <w:jc w:val="center"/>
              <w:rPr>
                <w:rFonts w:eastAsia="MS Mincho" w:cs="Times New Roman"/>
                <w:noProof/>
              </w:rPr>
            </w:pPr>
            <w:r>
              <w:rPr>
                <w:noProof/>
              </w:rPr>
              <w:t>C3.R5</w:t>
            </w:r>
          </w:p>
        </w:tc>
        <w:tc>
          <w:tcPr>
            <w:tcW w:w="1080" w:type="dxa"/>
            <w:shd w:val="clear" w:color="auto" w:fill="C6EFCE"/>
            <w:noWrap/>
          </w:tcPr>
          <w:p w14:paraId="0D3EABE3" w14:textId="77777777" w:rsidR="003E1D81" w:rsidRDefault="00EB481C">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280F306B" w14:textId="77777777" w:rsidR="003E1D81" w:rsidRDefault="00EB481C">
            <w:pPr>
              <w:pStyle w:val="P68B1DB1-Normal13"/>
              <w:spacing w:after="0" w:line="240" w:lineRule="auto"/>
              <w:rPr>
                <w:rFonts w:eastAsia="MS Mincho" w:cs="Times New Roman"/>
                <w:noProof/>
              </w:rPr>
            </w:pPr>
            <w:r>
              <w:rPr>
                <w:noProof/>
              </w:rPr>
              <w:t>Az agrár-élelmiszeripari ágazat és a vidéki térségek digitalizációjára vonatkozó stratégia második cselekvési tervének elfogadása.</w:t>
            </w:r>
          </w:p>
        </w:tc>
        <w:tc>
          <w:tcPr>
            <w:tcW w:w="1276" w:type="dxa"/>
            <w:shd w:val="clear" w:color="auto" w:fill="C6EFCE"/>
            <w:noWrap/>
          </w:tcPr>
          <w:p w14:paraId="2DAF3BAF" w14:textId="77777777" w:rsidR="003E1D81" w:rsidRDefault="00EB481C">
            <w:pPr>
              <w:pStyle w:val="P68B1DB1-Normal13"/>
              <w:spacing w:after="0" w:line="240" w:lineRule="auto"/>
              <w:jc w:val="center"/>
              <w:rPr>
                <w:rFonts w:eastAsia="MS Mincho" w:cs="Times New Roman"/>
                <w:noProof/>
              </w:rPr>
            </w:pPr>
            <w:r>
              <w:rPr>
                <w:noProof/>
              </w:rPr>
              <w:t>Közzététel a Földművelésügyi Minisztérium honlapján</w:t>
            </w:r>
          </w:p>
        </w:tc>
        <w:tc>
          <w:tcPr>
            <w:tcW w:w="850" w:type="dxa"/>
            <w:shd w:val="clear" w:color="auto" w:fill="C6EFCE"/>
            <w:noWrap/>
          </w:tcPr>
          <w:p w14:paraId="131F8F3A"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455E230F"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0A8DB014"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41213C6B"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23B3A032" w14:textId="77777777" w:rsidR="003E1D81" w:rsidRDefault="00EB481C">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31655646" w14:textId="77777777" w:rsidR="003E1D81" w:rsidRDefault="00EB481C">
            <w:pPr>
              <w:pStyle w:val="P68B1DB1-Normal13"/>
              <w:spacing w:after="0" w:line="240" w:lineRule="auto"/>
              <w:rPr>
                <w:rFonts w:eastAsia="MS Mincho" w:cs="Times New Roman"/>
                <w:noProof/>
              </w:rPr>
            </w:pPr>
            <w:r>
              <w:rPr>
                <w:noProof/>
              </w:rPr>
              <w:t>Az intézkedés egy második tervvel biztosítja az agrár-élelmiszeripari ágazat és a vidéki környezet digitalizálási stratégiájának folytonosságát, amelynek célja a digitális szakadék csökkentése, az adatok felhasználásának előmozdítása, valamint a vállalkozá</w:t>
            </w:r>
            <w:r>
              <w:rPr>
                <w:noProof/>
              </w:rPr>
              <w:t xml:space="preserve">sfejlesztés és az új üzleti modellek előmozdítása. </w:t>
            </w:r>
          </w:p>
        </w:tc>
      </w:tr>
      <w:tr w:rsidR="003E1D81" w14:paraId="6F3FDDA7" w14:textId="77777777">
        <w:trPr>
          <w:trHeight w:val="309"/>
        </w:trPr>
        <w:tc>
          <w:tcPr>
            <w:tcW w:w="709" w:type="dxa"/>
            <w:shd w:val="clear" w:color="auto" w:fill="C6EFCE"/>
            <w:noWrap/>
          </w:tcPr>
          <w:p w14:paraId="43FBD11F" w14:textId="77777777" w:rsidR="003E1D81" w:rsidRDefault="00EB481C">
            <w:pPr>
              <w:pStyle w:val="P68B1DB1-Normal13"/>
              <w:spacing w:after="0" w:line="240" w:lineRule="auto"/>
              <w:jc w:val="center"/>
              <w:rPr>
                <w:rFonts w:eastAsia="MS Mincho" w:cs="Times New Roman"/>
                <w:noProof/>
              </w:rPr>
            </w:pPr>
            <w:r>
              <w:rPr>
                <w:noProof/>
              </w:rPr>
              <w:t>45</w:t>
            </w:r>
          </w:p>
        </w:tc>
        <w:tc>
          <w:tcPr>
            <w:tcW w:w="851" w:type="dxa"/>
            <w:shd w:val="clear" w:color="auto" w:fill="C6EFCE"/>
            <w:noWrap/>
          </w:tcPr>
          <w:p w14:paraId="2E01EC5D" w14:textId="77777777" w:rsidR="003E1D81" w:rsidRDefault="00EB481C">
            <w:pPr>
              <w:pStyle w:val="P68B1DB1-Normal13"/>
              <w:spacing w:after="0" w:line="240" w:lineRule="auto"/>
              <w:jc w:val="center"/>
              <w:rPr>
                <w:rFonts w:eastAsia="MS Mincho" w:cs="Times New Roman"/>
                <w:noProof/>
              </w:rPr>
            </w:pPr>
            <w:r>
              <w:rPr>
                <w:noProof/>
              </w:rPr>
              <w:t>C3.R6</w:t>
            </w:r>
          </w:p>
        </w:tc>
        <w:tc>
          <w:tcPr>
            <w:tcW w:w="1080" w:type="dxa"/>
            <w:shd w:val="clear" w:color="auto" w:fill="C6EFCE"/>
            <w:noWrap/>
          </w:tcPr>
          <w:p w14:paraId="4E82A334" w14:textId="77777777" w:rsidR="003E1D81" w:rsidRDefault="00EB481C">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53B192B7" w14:textId="77777777" w:rsidR="003E1D81" w:rsidRDefault="00EB481C">
            <w:pPr>
              <w:pStyle w:val="P68B1DB1-Normal13"/>
              <w:spacing w:after="0" w:line="240" w:lineRule="auto"/>
              <w:rPr>
                <w:rFonts w:eastAsia="MS Mincho" w:cs="Times New Roman"/>
                <w:noProof/>
              </w:rPr>
            </w:pPr>
            <w:r>
              <w:rPr>
                <w:noProof/>
              </w:rPr>
              <w:t xml:space="preserve">A nemzeti halászterületek kezeléséről szóló királyi rendelet hatálybalépése </w:t>
            </w:r>
          </w:p>
        </w:tc>
        <w:tc>
          <w:tcPr>
            <w:tcW w:w="1276" w:type="dxa"/>
            <w:shd w:val="clear" w:color="auto" w:fill="C6EFCE"/>
            <w:noWrap/>
          </w:tcPr>
          <w:p w14:paraId="57042A16" w14:textId="77777777" w:rsidR="003E1D81" w:rsidRDefault="00EB481C">
            <w:pPr>
              <w:pStyle w:val="P68B1DB1-Normal13"/>
              <w:spacing w:after="0" w:line="240" w:lineRule="auto"/>
              <w:jc w:val="center"/>
              <w:rPr>
                <w:rFonts w:eastAsia="MS Mincho" w:cs="Times New Roman"/>
                <w:noProof/>
              </w:rPr>
            </w:pPr>
            <w:r>
              <w:rPr>
                <w:noProof/>
              </w:rPr>
              <w:t>A királyi rendelet hatálybalépéséről szóló rendelkezése</w:t>
            </w:r>
          </w:p>
        </w:tc>
        <w:tc>
          <w:tcPr>
            <w:tcW w:w="850" w:type="dxa"/>
            <w:shd w:val="clear" w:color="auto" w:fill="C6EFCE"/>
            <w:noWrap/>
          </w:tcPr>
          <w:p w14:paraId="03D8BA8D" w14:textId="77777777" w:rsidR="003E1D81" w:rsidRDefault="00EB481C">
            <w:pPr>
              <w:pStyle w:val="P68B1DB1-Normal13"/>
              <w:spacing w:after="0" w:line="240" w:lineRule="auto"/>
              <w:jc w:val="center"/>
              <w:rPr>
                <w:rFonts w:eastAsia="MS Mincho" w:cs="Times New Roman"/>
                <w:noProof/>
              </w:rPr>
            </w:pPr>
            <w:r>
              <w:rPr>
                <w:noProof/>
              </w:rPr>
              <w:t xml:space="preserve"> </w:t>
            </w:r>
          </w:p>
        </w:tc>
        <w:tc>
          <w:tcPr>
            <w:tcW w:w="567" w:type="dxa"/>
            <w:shd w:val="clear" w:color="auto" w:fill="C6EFCE"/>
            <w:noWrap/>
          </w:tcPr>
          <w:p w14:paraId="69A0658A"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2EA285AA"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33288100" w14:textId="77777777"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3041507C" w14:textId="77777777" w:rsidR="003E1D81" w:rsidRDefault="00EB481C">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0AA2858" w14:textId="77777777" w:rsidR="003E1D81" w:rsidRDefault="00EB481C">
            <w:pPr>
              <w:pStyle w:val="P68B1DB1-Normal13"/>
              <w:spacing w:after="0" w:line="240" w:lineRule="auto"/>
              <w:rPr>
                <w:rFonts w:eastAsia="MS Mincho" w:cs="Times New Roman"/>
                <w:noProof/>
              </w:rPr>
            </w:pPr>
            <w:r>
              <w:rPr>
                <w:noProof/>
              </w:rPr>
              <w:t xml:space="preserve">A királyi rendelet összehangolja a </w:t>
            </w:r>
            <w:r>
              <w:rPr>
                <w:noProof/>
              </w:rPr>
              <w:t>nemzeti halászterületek különböző eszközeinek, módszereinek és népszámlálásainak kezelését, elősegítve a jobb üzleti irányítást, és figyelembe véve többek között a közös halászati politika reformja, a 2030-ig tartó időszakra szóló biodiverzitási stratégia,</w:t>
            </w:r>
            <w:r>
              <w:rPr>
                <w:noProof/>
              </w:rPr>
              <w:t xml:space="preserve"> a tengervédelmi stratégiák vagy a fenntartható fejlődési célok célkitűzéseit.</w:t>
            </w:r>
          </w:p>
        </w:tc>
      </w:tr>
      <w:tr w:rsidR="003E1D81" w14:paraId="5BDD290F" w14:textId="77777777">
        <w:trPr>
          <w:trHeight w:val="309"/>
        </w:trPr>
        <w:tc>
          <w:tcPr>
            <w:tcW w:w="709" w:type="dxa"/>
            <w:shd w:val="clear" w:color="auto" w:fill="C6EFCE"/>
            <w:noWrap/>
          </w:tcPr>
          <w:p w14:paraId="23AFD0D9" w14:textId="60B7F2D5" w:rsidR="003E1D81" w:rsidRDefault="00EB481C">
            <w:pPr>
              <w:pStyle w:val="P68B1DB1-Normal13"/>
              <w:spacing w:after="0" w:line="240" w:lineRule="auto"/>
              <w:jc w:val="center"/>
              <w:rPr>
                <w:rFonts w:cs="Times New Roman"/>
                <w:noProof/>
              </w:rPr>
            </w:pPr>
            <w:r>
              <w:rPr>
                <w:noProof/>
              </w:rPr>
              <w:t>423</w:t>
            </w:r>
          </w:p>
        </w:tc>
        <w:tc>
          <w:tcPr>
            <w:tcW w:w="851" w:type="dxa"/>
            <w:shd w:val="clear" w:color="auto" w:fill="C6EFCE"/>
            <w:noWrap/>
          </w:tcPr>
          <w:p w14:paraId="2AEBE349" w14:textId="0BEBCD58" w:rsidR="003E1D81" w:rsidRDefault="00EB481C">
            <w:pPr>
              <w:pStyle w:val="P68B1DB1-Normal13"/>
              <w:spacing w:after="0" w:line="240" w:lineRule="auto"/>
              <w:jc w:val="center"/>
              <w:rPr>
                <w:rFonts w:cs="Times New Roman"/>
                <w:noProof/>
              </w:rPr>
            </w:pPr>
            <w:r>
              <w:rPr>
                <w:noProof/>
              </w:rPr>
              <w:t>C3.R6</w:t>
            </w:r>
          </w:p>
        </w:tc>
        <w:tc>
          <w:tcPr>
            <w:tcW w:w="1080" w:type="dxa"/>
            <w:shd w:val="clear" w:color="auto" w:fill="C6EFCE"/>
            <w:noWrap/>
          </w:tcPr>
          <w:p w14:paraId="367B21D1" w14:textId="70315506" w:rsidR="003E1D81" w:rsidRDefault="00EB481C">
            <w:pPr>
              <w:pStyle w:val="P68B1DB1-Normal13"/>
              <w:spacing w:after="0" w:line="240" w:lineRule="auto"/>
              <w:jc w:val="center"/>
              <w:rPr>
                <w:rFonts w:cs="Times New Roman"/>
                <w:noProof/>
              </w:rPr>
            </w:pPr>
            <w:r>
              <w:rPr>
                <w:noProof/>
              </w:rPr>
              <w:t>M</w:t>
            </w:r>
          </w:p>
        </w:tc>
        <w:tc>
          <w:tcPr>
            <w:tcW w:w="2889" w:type="dxa"/>
            <w:shd w:val="clear" w:color="auto" w:fill="C6EFCE"/>
            <w:noWrap/>
          </w:tcPr>
          <w:p w14:paraId="2CCD0E8B" w14:textId="2F97BFE4" w:rsidR="003E1D81" w:rsidRDefault="00EB481C">
            <w:pPr>
              <w:pStyle w:val="P68B1DB1-Normal13"/>
              <w:spacing w:after="0" w:line="240" w:lineRule="auto"/>
              <w:rPr>
                <w:rFonts w:cs="Times New Roman"/>
                <w:noProof/>
              </w:rPr>
            </w:pPr>
            <w:r>
              <w:rPr>
                <w:noProof/>
              </w:rPr>
              <w:t xml:space="preserve">A halászati törvény felülvizsgálatának, valamint a halászat területén az ellenőrzési, felügyeleti és szankcionálási rendszerek korszerűsítéséről szóló törvény </w:t>
            </w:r>
            <w:r>
              <w:rPr>
                <w:noProof/>
              </w:rPr>
              <w:t>hatálybalépése.</w:t>
            </w:r>
          </w:p>
        </w:tc>
        <w:tc>
          <w:tcPr>
            <w:tcW w:w="1276" w:type="dxa"/>
            <w:shd w:val="clear" w:color="auto" w:fill="C6EFCE"/>
            <w:noWrap/>
          </w:tcPr>
          <w:p w14:paraId="51B3A623" w14:textId="02ED56CF" w:rsidR="003E1D81" w:rsidRDefault="00EB481C">
            <w:pPr>
              <w:pStyle w:val="P68B1DB1-Normal13"/>
              <w:spacing w:after="0" w:line="240" w:lineRule="auto"/>
              <w:jc w:val="center"/>
              <w:rPr>
                <w:rFonts w:cs="Times New Roman"/>
                <w:noProof/>
              </w:rPr>
            </w:pPr>
            <w:r>
              <w:rPr>
                <w:noProof/>
              </w:rPr>
              <w:t>A törvény hatályba lépését előíró rendelkezés</w:t>
            </w:r>
          </w:p>
        </w:tc>
        <w:tc>
          <w:tcPr>
            <w:tcW w:w="850" w:type="dxa"/>
            <w:shd w:val="clear" w:color="auto" w:fill="C6EFCE"/>
            <w:noWrap/>
          </w:tcPr>
          <w:p w14:paraId="73F97D08" w14:textId="77777777" w:rsidR="003E1D81" w:rsidRDefault="003E1D81">
            <w:pPr>
              <w:spacing w:after="0" w:line="240" w:lineRule="auto"/>
              <w:jc w:val="center"/>
              <w:rPr>
                <w:rFonts w:ascii="Times New Roman" w:hAnsi="Times New Roman" w:cs="Times New Roman"/>
                <w:noProof/>
                <w:sz w:val="18"/>
              </w:rPr>
            </w:pPr>
          </w:p>
        </w:tc>
        <w:tc>
          <w:tcPr>
            <w:tcW w:w="567" w:type="dxa"/>
            <w:shd w:val="clear" w:color="auto" w:fill="C6EFCE"/>
            <w:noWrap/>
          </w:tcPr>
          <w:p w14:paraId="453E8076" w14:textId="77777777" w:rsidR="003E1D81" w:rsidRDefault="003E1D81">
            <w:pPr>
              <w:spacing w:after="0" w:line="240" w:lineRule="auto"/>
              <w:jc w:val="right"/>
              <w:rPr>
                <w:rFonts w:ascii="Times New Roman" w:hAnsi="Times New Roman" w:cs="Times New Roman"/>
                <w:noProof/>
                <w:sz w:val="18"/>
              </w:rPr>
            </w:pPr>
          </w:p>
        </w:tc>
        <w:tc>
          <w:tcPr>
            <w:tcW w:w="709" w:type="dxa"/>
            <w:shd w:val="clear" w:color="auto" w:fill="C6EFCE"/>
            <w:noWrap/>
          </w:tcPr>
          <w:p w14:paraId="09D2FFB8" w14:textId="77777777" w:rsidR="003E1D81" w:rsidRDefault="003E1D81">
            <w:pPr>
              <w:spacing w:after="0" w:line="240" w:lineRule="auto"/>
              <w:jc w:val="right"/>
              <w:rPr>
                <w:rFonts w:ascii="Times New Roman" w:hAnsi="Times New Roman" w:cs="Times New Roman"/>
                <w:noProof/>
                <w:sz w:val="18"/>
              </w:rPr>
            </w:pPr>
          </w:p>
        </w:tc>
        <w:tc>
          <w:tcPr>
            <w:tcW w:w="425" w:type="dxa"/>
            <w:shd w:val="clear" w:color="auto" w:fill="C6EFCE"/>
            <w:noWrap/>
          </w:tcPr>
          <w:p w14:paraId="7EA8E8F1" w14:textId="5AD2F59F"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30FD611C" w14:textId="6A25C647" w:rsidR="003E1D81" w:rsidRDefault="00EB481C">
            <w:pPr>
              <w:pStyle w:val="P68B1DB1-Normal13"/>
              <w:spacing w:after="0" w:line="240" w:lineRule="auto"/>
              <w:jc w:val="center"/>
              <w:rPr>
                <w:rFonts w:cs="Times New Roman"/>
                <w:noProof/>
              </w:rPr>
            </w:pPr>
            <w:r>
              <w:rPr>
                <w:noProof/>
              </w:rPr>
              <w:t>2026</w:t>
            </w:r>
          </w:p>
        </w:tc>
        <w:tc>
          <w:tcPr>
            <w:tcW w:w="5387" w:type="dxa"/>
            <w:shd w:val="clear" w:color="auto" w:fill="C6EFCE"/>
            <w:noWrap/>
          </w:tcPr>
          <w:p w14:paraId="038336E2" w14:textId="45672338" w:rsidR="003E1D81" w:rsidRDefault="00EB481C">
            <w:pPr>
              <w:pStyle w:val="P68B1DB1-Normal13"/>
              <w:spacing w:after="0" w:line="240" w:lineRule="auto"/>
              <w:rPr>
                <w:rFonts w:cs="Times New Roman"/>
                <w:noProof/>
              </w:rPr>
            </w:pPr>
            <w:r>
              <w:rPr>
                <w:noProof/>
              </w:rPr>
              <w:t>A halászati törvény felülvizsgálatának, valamint a halászat területén az ellenőrzési, felügyeleti és szankcionálási rendszerek korszerűsítéséről szóló törvénynek a hatálybalépése,</w:t>
            </w:r>
            <w:r>
              <w:rPr>
                <w:noProof/>
              </w:rPr>
              <w:t xml:space="preserve"> összhangban az intézkedés leírásával.</w:t>
            </w:r>
          </w:p>
        </w:tc>
      </w:tr>
      <w:tr w:rsidR="003E1D81" w14:paraId="48ABB541" w14:textId="77777777">
        <w:trPr>
          <w:trHeight w:val="309"/>
        </w:trPr>
        <w:tc>
          <w:tcPr>
            <w:tcW w:w="709" w:type="dxa"/>
            <w:shd w:val="clear" w:color="auto" w:fill="C6EFCE"/>
            <w:noWrap/>
          </w:tcPr>
          <w:p w14:paraId="0750B6FA" w14:textId="5FEB1B58" w:rsidR="003E1D81" w:rsidRDefault="00EB481C">
            <w:pPr>
              <w:pStyle w:val="P68B1DB1-Normal13"/>
              <w:spacing w:after="0" w:line="240" w:lineRule="auto"/>
              <w:jc w:val="center"/>
              <w:rPr>
                <w:rFonts w:cs="Times New Roman"/>
                <w:noProof/>
              </w:rPr>
            </w:pPr>
            <w:r>
              <w:rPr>
                <w:noProof/>
              </w:rPr>
              <w:t>46</w:t>
            </w:r>
          </w:p>
        </w:tc>
        <w:tc>
          <w:tcPr>
            <w:tcW w:w="851" w:type="dxa"/>
            <w:shd w:val="clear" w:color="auto" w:fill="C6EFCE"/>
            <w:noWrap/>
          </w:tcPr>
          <w:p w14:paraId="52841C32" w14:textId="5984E8B1" w:rsidR="003E1D81" w:rsidRDefault="00EB481C">
            <w:pPr>
              <w:pStyle w:val="P68B1DB1-Normal13"/>
              <w:spacing w:after="0"/>
              <w:jc w:val="center"/>
              <w:rPr>
                <w:rFonts w:cs="Times New Roman"/>
                <w:noProof/>
              </w:rPr>
            </w:pPr>
            <w:r>
              <w:rPr>
                <w:noProof/>
              </w:rPr>
              <w:t>C3.I1</w:t>
            </w:r>
          </w:p>
        </w:tc>
        <w:tc>
          <w:tcPr>
            <w:tcW w:w="1080" w:type="dxa"/>
            <w:shd w:val="clear" w:color="auto" w:fill="C6EFCE"/>
            <w:noWrap/>
          </w:tcPr>
          <w:p w14:paraId="3779626A" w14:textId="5ADFB374" w:rsidR="003E1D81" w:rsidRDefault="00EB481C">
            <w:pPr>
              <w:pStyle w:val="P68B1DB1-Normal13"/>
              <w:spacing w:after="0"/>
              <w:jc w:val="center"/>
              <w:rPr>
                <w:rFonts w:cs="Times New Roman"/>
                <w:noProof/>
              </w:rPr>
            </w:pPr>
            <w:r>
              <w:rPr>
                <w:noProof/>
              </w:rPr>
              <w:t>T</w:t>
            </w:r>
          </w:p>
        </w:tc>
        <w:tc>
          <w:tcPr>
            <w:tcW w:w="2889" w:type="dxa"/>
            <w:shd w:val="clear" w:color="auto" w:fill="C6EFCE"/>
            <w:noWrap/>
          </w:tcPr>
          <w:p w14:paraId="30D32596" w14:textId="52F44B39" w:rsidR="003E1D81" w:rsidRDefault="00EB481C">
            <w:pPr>
              <w:pStyle w:val="P68B1DB1-Normal13"/>
              <w:spacing w:after="0"/>
              <w:jc w:val="both"/>
              <w:rPr>
                <w:rFonts w:cs="Times New Roman"/>
                <w:noProof/>
              </w:rPr>
            </w:pPr>
            <w:r>
              <w:rPr>
                <w:noProof/>
              </w:rPr>
              <w:t xml:space="preserve">A Mezőgazdasági, Halászati és Élelmiszerügyi Minisztérium (MAPA) és a SEIASA közötti, az öntözött területek javításának és fenntarthatóságának támogatásáról szóló szerződéses megállapodás hatálybalépése </w:t>
            </w:r>
            <w:r>
              <w:rPr>
                <w:noProof/>
              </w:rPr>
              <w:t>(I. szakasz)</w:t>
            </w:r>
          </w:p>
        </w:tc>
        <w:tc>
          <w:tcPr>
            <w:tcW w:w="1276" w:type="dxa"/>
            <w:shd w:val="clear" w:color="auto" w:fill="C6EFCE"/>
            <w:noWrap/>
          </w:tcPr>
          <w:p w14:paraId="1BA8419B" w14:textId="32E5C9C6" w:rsidR="003E1D81" w:rsidRDefault="003E1D81">
            <w:pPr>
              <w:spacing w:after="0"/>
              <w:jc w:val="both"/>
              <w:rPr>
                <w:rFonts w:ascii="Times New Roman" w:hAnsi="Times New Roman" w:cs="Times New Roman"/>
                <w:noProof/>
                <w:sz w:val="18"/>
              </w:rPr>
            </w:pPr>
          </w:p>
        </w:tc>
        <w:tc>
          <w:tcPr>
            <w:tcW w:w="850" w:type="dxa"/>
            <w:shd w:val="clear" w:color="auto" w:fill="C6EFCE"/>
            <w:noWrap/>
          </w:tcPr>
          <w:p w14:paraId="00F69AA2" w14:textId="6055BA41" w:rsidR="003E1D81" w:rsidRDefault="00EB481C">
            <w:pPr>
              <w:pStyle w:val="P68B1DB1-Normal13"/>
              <w:spacing w:after="0" w:line="240" w:lineRule="auto"/>
              <w:jc w:val="right"/>
              <w:rPr>
                <w:rFonts w:cs="Times New Roman"/>
                <w:noProof/>
              </w:rPr>
            </w:pPr>
            <w:r>
              <w:rPr>
                <w:noProof/>
              </w:rPr>
              <w:t>Millió EUR</w:t>
            </w:r>
          </w:p>
          <w:p w14:paraId="2D568180" w14:textId="68449AFA" w:rsidR="003E1D81" w:rsidRDefault="003E1D81">
            <w:pPr>
              <w:spacing w:after="0"/>
              <w:jc w:val="right"/>
              <w:rPr>
                <w:rFonts w:ascii="Times New Roman" w:hAnsi="Times New Roman" w:cs="Times New Roman"/>
                <w:noProof/>
                <w:sz w:val="18"/>
              </w:rPr>
            </w:pPr>
          </w:p>
        </w:tc>
        <w:tc>
          <w:tcPr>
            <w:tcW w:w="567" w:type="dxa"/>
            <w:shd w:val="clear" w:color="auto" w:fill="C6EFCE"/>
            <w:noWrap/>
          </w:tcPr>
          <w:p w14:paraId="6E8C024D" w14:textId="0F96F2ED" w:rsidR="003E1D81" w:rsidRDefault="00EB481C">
            <w:pPr>
              <w:pStyle w:val="P68B1DB1-Normal13"/>
              <w:spacing w:after="0"/>
              <w:jc w:val="center"/>
              <w:rPr>
                <w:rFonts w:cs="Times New Roman"/>
                <w:noProof/>
              </w:rPr>
            </w:pPr>
            <w:r>
              <w:rPr>
                <w:noProof/>
              </w:rPr>
              <w:t>0</w:t>
            </w:r>
          </w:p>
        </w:tc>
        <w:tc>
          <w:tcPr>
            <w:tcW w:w="709" w:type="dxa"/>
            <w:shd w:val="clear" w:color="auto" w:fill="C6EFCE"/>
            <w:noWrap/>
          </w:tcPr>
          <w:p w14:paraId="5E555695" w14:textId="2CF218CF" w:rsidR="003E1D81" w:rsidRDefault="00EB481C">
            <w:pPr>
              <w:pStyle w:val="P68B1DB1-Normal13"/>
              <w:spacing w:after="0"/>
              <w:jc w:val="center"/>
              <w:rPr>
                <w:rFonts w:cs="Times New Roman"/>
                <w:noProof/>
              </w:rPr>
            </w:pPr>
            <w:r>
              <w:rPr>
                <w:noProof/>
              </w:rPr>
              <w:t>260</w:t>
            </w:r>
          </w:p>
        </w:tc>
        <w:tc>
          <w:tcPr>
            <w:tcW w:w="425" w:type="dxa"/>
            <w:shd w:val="clear" w:color="auto" w:fill="C6EFCE"/>
            <w:noWrap/>
          </w:tcPr>
          <w:p w14:paraId="769D54F7" w14:textId="5EAE90B5" w:rsidR="003E1D81" w:rsidRDefault="00EB481C">
            <w:pPr>
              <w:pStyle w:val="P68B1DB1-Normal13"/>
              <w:spacing w:after="0"/>
              <w:jc w:val="center"/>
              <w:rPr>
                <w:rFonts w:cs="Times New Roman"/>
                <w:noProof/>
              </w:rPr>
            </w:pPr>
            <w:r>
              <w:rPr>
                <w:noProof/>
              </w:rPr>
              <w:t>NEGYEDÉV</w:t>
            </w:r>
          </w:p>
        </w:tc>
        <w:tc>
          <w:tcPr>
            <w:tcW w:w="567" w:type="dxa"/>
            <w:shd w:val="clear" w:color="auto" w:fill="C6EFCE"/>
            <w:noWrap/>
          </w:tcPr>
          <w:p w14:paraId="0F52CF20" w14:textId="69F2473B" w:rsidR="003E1D81" w:rsidRDefault="00EB481C">
            <w:pPr>
              <w:pStyle w:val="P68B1DB1-Normal13"/>
              <w:spacing w:after="0"/>
              <w:jc w:val="center"/>
              <w:rPr>
                <w:rFonts w:cs="Times New Roman"/>
                <w:noProof/>
              </w:rPr>
            </w:pPr>
            <w:r>
              <w:rPr>
                <w:noProof/>
              </w:rPr>
              <w:t>2021</w:t>
            </w:r>
          </w:p>
        </w:tc>
        <w:tc>
          <w:tcPr>
            <w:tcW w:w="5387" w:type="dxa"/>
            <w:shd w:val="clear" w:color="auto" w:fill="C6EFCE"/>
            <w:noWrap/>
          </w:tcPr>
          <w:p w14:paraId="79D3D6CC" w14:textId="0EA391EE" w:rsidR="003E1D81" w:rsidRDefault="00EB481C">
            <w:pPr>
              <w:pStyle w:val="P68B1DB1-Normal13"/>
              <w:spacing w:after="0"/>
              <w:jc w:val="both"/>
              <w:rPr>
                <w:rFonts w:cs="Times New Roman"/>
                <w:noProof/>
              </w:rPr>
            </w:pPr>
            <w:r>
              <w:rPr>
                <w:noProof/>
              </w:rPr>
              <w:t>A Mezőgazdasági, Halászati és Élelmiszerügyi Minisztérium (MAPA) és a SEIASA (I. szakasz; A 260 000 000 EUR összegű költségvetés végrehajtása során végre kell hajtani az e beruházással végrehajtott öntözés haté</w:t>
            </w:r>
            <w:r>
              <w:rPr>
                <w:noProof/>
              </w:rPr>
              <w:t>konyságának és fenntarthatóságának javítását célzó terv feltételeit. Ez a jogi norma többek között szabályozza az ilyen öntözési modernizációs beruházások köz- és magánfinanszírozási rendszerét, a projektkiválasztási kritériumokat, a terv végrehajtási eljá</w:t>
            </w:r>
            <w:r>
              <w:rPr>
                <w:noProof/>
              </w:rPr>
              <w:t xml:space="preserve">rásait, valamint az ezen intézkedés keretében a költségvetés végrehajtásához kapcsolódóan végrehajtandó intézkedések listáját. </w:t>
            </w:r>
          </w:p>
        </w:tc>
      </w:tr>
      <w:tr w:rsidR="003E1D81" w14:paraId="6CBDEA99" w14:textId="77777777">
        <w:trPr>
          <w:trHeight w:val="309"/>
        </w:trPr>
        <w:tc>
          <w:tcPr>
            <w:tcW w:w="709" w:type="dxa"/>
            <w:shd w:val="clear" w:color="auto" w:fill="C6EFCE"/>
            <w:noWrap/>
          </w:tcPr>
          <w:p w14:paraId="53F5FDCC" w14:textId="342215BA" w:rsidR="003E1D81" w:rsidRDefault="00EB481C">
            <w:pPr>
              <w:pStyle w:val="P68B1DB1-Normal13"/>
              <w:spacing w:line="240" w:lineRule="auto"/>
              <w:jc w:val="center"/>
              <w:rPr>
                <w:rFonts w:cs="Times New Roman"/>
                <w:noProof/>
              </w:rPr>
            </w:pPr>
            <w:r>
              <w:rPr>
                <w:noProof/>
              </w:rPr>
              <w:t>47</w:t>
            </w:r>
          </w:p>
        </w:tc>
        <w:tc>
          <w:tcPr>
            <w:tcW w:w="851" w:type="dxa"/>
            <w:shd w:val="clear" w:color="auto" w:fill="C6EFCE"/>
            <w:noWrap/>
          </w:tcPr>
          <w:p w14:paraId="64FBB728" w14:textId="1AA8583D" w:rsidR="003E1D81" w:rsidRDefault="00EB481C">
            <w:pPr>
              <w:pStyle w:val="P68B1DB1-Normal13"/>
              <w:jc w:val="center"/>
              <w:rPr>
                <w:rFonts w:eastAsia="MS Mincho" w:cs="Times New Roman"/>
                <w:noProof/>
              </w:rPr>
            </w:pPr>
            <w:r>
              <w:rPr>
                <w:noProof/>
              </w:rPr>
              <w:t>C3.I1</w:t>
            </w:r>
          </w:p>
        </w:tc>
        <w:tc>
          <w:tcPr>
            <w:tcW w:w="1080" w:type="dxa"/>
            <w:shd w:val="clear" w:color="auto" w:fill="C6EFCE"/>
            <w:noWrap/>
          </w:tcPr>
          <w:p w14:paraId="27F2A861" w14:textId="474DE391" w:rsidR="003E1D81" w:rsidRDefault="00EB481C">
            <w:pPr>
              <w:pStyle w:val="P68B1DB1-Normal13"/>
              <w:jc w:val="center"/>
              <w:rPr>
                <w:rFonts w:eastAsia="MS Mincho" w:cs="Times New Roman"/>
                <w:noProof/>
              </w:rPr>
            </w:pPr>
            <w:r>
              <w:rPr>
                <w:noProof/>
              </w:rPr>
              <w:t>T</w:t>
            </w:r>
          </w:p>
        </w:tc>
        <w:tc>
          <w:tcPr>
            <w:tcW w:w="2889" w:type="dxa"/>
            <w:shd w:val="clear" w:color="auto" w:fill="C6EFCE"/>
            <w:noWrap/>
          </w:tcPr>
          <w:p w14:paraId="1AB834DC" w14:textId="12200F7D" w:rsidR="003E1D81" w:rsidRDefault="00EB481C">
            <w:pPr>
              <w:pStyle w:val="P68B1DB1-Normal13"/>
              <w:jc w:val="both"/>
              <w:rPr>
                <w:rFonts w:eastAsia="MS Mincho" w:cs="Times New Roman"/>
                <w:noProof/>
              </w:rPr>
            </w:pPr>
            <w:r>
              <w:rPr>
                <w:noProof/>
              </w:rPr>
              <w:t xml:space="preserve">A Mezőgazdasági, Halászati és Élelmiszerügyi Minisztérium (MAPA) és a SEIASA közötti, az öntözött területek </w:t>
            </w:r>
            <w:r>
              <w:rPr>
                <w:noProof/>
              </w:rPr>
              <w:t>javításának és fenntarthatóságának támogatásáról szóló megállapodás végrehajtása (II. szakasz)</w:t>
            </w:r>
          </w:p>
        </w:tc>
        <w:tc>
          <w:tcPr>
            <w:tcW w:w="1276" w:type="dxa"/>
            <w:shd w:val="clear" w:color="auto" w:fill="C6EFCE"/>
            <w:noWrap/>
          </w:tcPr>
          <w:p w14:paraId="2F9ACA8D" w14:textId="0C857BE8" w:rsidR="003E1D81" w:rsidRDefault="003E1D81">
            <w:pPr>
              <w:jc w:val="both"/>
              <w:rPr>
                <w:rFonts w:ascii="Times New Roman" w:eastAsia="MS Mincho" w:hAnsi="Times New Roman" w:cs="Times New Roman"/>
                <w:noProof/>
                <w:sz w:val="18"/>
              </w:rPr>
            </w:pPr>
          </w:p>
        </w:tc>
        <w:tc>
          <w:tcPr>
            <w:tcW w:w="850" w:type="dxa"/>
            <w:shd w:val="clear" w:color="auto" w:fill="C6EFCE"/>
            <w:noWrap/>
          </w:tcPr>
          <w:p w14:paraId="4CA86D2C" w14:textId="72FEF1C5" w:rsidR="003E1D81" w:rsidRDefault="00EB481C">
            <w:pPr>
              <w:pStyle w:val="P68B1DB1-Normal13"/>
              <w:jc w:val="right"/>
              <w:rPr>
                <w:rFonts w:eastAsia="MS Mincho" w:cs="Times New Roman"/>
                <w:noProof/>
              </w:rPr>
            </w:pPr>
            <w:r>
              <w:rPr>
                <w:noProof/>
              </w:rPr>
              <w:t xml:space="preserve"> Millió EUR</w:t>
            </w:r>
          </w:p>
        </w:tc>
        <w:tc>
          <w:tcPr>
            <w:tcW w:w="567" w:type="dxa"/>
            <w:shd w:val="clear" w:color="auto" w:fill="C6EFCE"/>
            <w:noWrap/>
          </w:tcPr>
          <w:p w14:paraId="28C1EA42" w14:textId="398DF7B8" w:rsidR="003E1D81" w:rsidRDefault="00EB481C">
            <w:pPr>
              <w:pStyle w:val="P68B1DB1-Normal13"/>
              <w:jc w:val="center"/>
              <w:rPr>
                <w:rFonts w:eastAsia="MS Mincho" w:cs="Times New Roman"/>
                <w:noProof/>
              </w:rPr>
            </w:pPr>
            <w:r>
              <w:rPr>
                <w:noProof/>
              </w:rPr>
              <w:t>0</w:t>
            </w:r>
          </w:p>
        </w:tc>
        <w:tc>
          <w:tcPr>
            <w:tcW w:w="709" w:type="dxa"/>
            <w:shd w:val="clear" w:color="auto" w:fill="C6EFCE"/>
            <w:noWrap/>
          </w:tcPr>
          <w:p w14:paraId="4A8791FA" w14:textId="16653014" w:rsidR="003E1D81" w:rsidRDefault="00EB481C">
            <w:pPr>
              <w:pStyle w:val="P68B1DB1-Normal13"/>
              <w:jc w:val="center"/>
              <w:rPr>
                <w:rFonts w:eastAsia="MS Mincho" w:cs="Times New Roman"/>
                <w:noProof/>
              </w:rPr>
            </w:pPr>
            <w:r>
              <w:rPr>
                <w:noProof/>
              </w:rPr>
              <w:t>303</w:t>
            </w:r>
          </w:p>
        </w:tc>
        <w:tc>
          <w:tcPr>
            <w:tcW w:w="425" w:type="dxa"/>
            <w:shd w:val="clear" w:color="auto" w:fill="C6EFCE"/>
            <w:noWrap/>
          </w:tcPr>
          <w:p w14:paraId="27AD45C1" w14:textId="42F227C3" w:rsidR="003E1D81" w:rsidRDefault="00EB481C">
            <w:pPr>
              <w:pStyle w:val="P68B1DB1-Normal13"/>
              <w:jc w:val="center"/>
              <w:rPr>
                <w:rFonts w:eastAsia="MS Mincho" w:cs="Times New Roman"/>
                <w:noProof/>
              </w:rPr>
            </w:pPr>
            <w:r>
              <w:rPr>
                <w:noProof/>
              </w:rPr>
              <w:t>NEGYEDÉV</w:t>
            </w:r>
          </w:p>
        </w:tc>
        <w:tc>
          <w:tcPr>
            <w:tcW w:w="567" w:type="dxa"/>
            <w:shd w:val="clear" w:color="auto" w:fill="C6EFCE"/>
            <w:noWrap/>
          </w:tcPr>
          <w:p w14:paraId="401541CC" w14:textId="5EEC3C07" w:rsidR="003E1D81" w:rsidRDefault="00EB481C">
            <w:pPr>
              <w:pStyle w:val="P68B1DB1-Normal13"/>
              <w:jc w:val="center"/>
              <w:rPr>
                <w:rFonts w:eastAsia="MS Mincho" w:cs="Times New Roman"/>
                <w:noProof/>
              </w:rPr>
            </w:pPr>
            <w:r>
              <w:rPr>
                <w:noProof/>
              </w:rPr>
              <w:t>2022</w:t>
            </w:r>
          </w:p>
        </w:tc>
        <w:tc>
          <w:tcPr>
            <w:tcW w:w="5387" w:type="dxa"/>
            <w:shd w:val="clear" w:color="auto" w:fill="C6EFCE"/>
            <w:noWrap/>
          </w:tcPr>
          <w:p w14:paraId="6AB7ED07" w14:textId="27C7D0BB" w:rsidR="003E1D81" w:rsidRDefault="00EB481C">
            <w:pPr>
              <w:pStyle w:val="P68B1DB1-Normal13"/>
              <w:rPr>
                <w:rFonts w:eastAsia="MS Mincho" w:cs="Times New Roman"/>
                <w:noProof/>
              </w:rPr>
            </w:pPr>
            <w:r>
              <w:rPr>
                <w:noProof/>
              </w:rPr>
              <w:t>A Mezőgazdasági, Halászati és Élelmiszerügyi Minisztérium (MAPA) és a SEIASA közötti együttműködési megállapodás (II. szakasz; 3</w:t>
            </w:r>
            <w:r>
              <w:rPr>
                <w:noProof/>
              </w:rPr>
              <w:t>03 000 000 EUR a költségvetés végrehajtásából) a beruházási projekt keretében végrehajtott öntözés hatékonyságának és fenntarthatóságának javítását célzó terv feltételeit hajtja végre. Ez a jogi norma többek között szabályozza az ilyen öntözési modernizáci</w:t>
            </w:r>
            <w:r>
              <w:rPr>
                <w:noProof/>
              </w:rPr>
              <w:t>ós beruházások köz- és magánfinanszírozási rendszerét, a projektkiválasztási kritériumokat, a terv végrehajtási eljárásait, valamint az ezen intézkedés keretében a költségvetés végrehajtásához kapcsolódóan végrehajtandó intézkedések listáját.</w:t>
            </w:r>
          </w:p>
        </w:tc>
      </w:tr>
      <w:tr w:rsidR="003E1D81" w14:paraId="7577C33F" w14:textId="77777777">
        <w:trPr>
          <w:trHeight w:val="309"/>
        </w:trPr>
        <w:tc>
          <w:tcPr>
            <w:tcW w:w="709" w:type="dxa"/>
            <w:shd w:val="clear" w:color="auto" w:fill="C6EFCE"/>
            <w:noWrap/>
          </w:tcPr>
          <w:p w14:paraId="36D2D02A" w14:textId="68F8EBAD" w:rsidR="003E1D81" w:rsidRDefault="00EB481C">
            <w:pPr>
              <w:pStyle w:val="P68B1DB1-Normal13"/>
              <w:spacing w:line="240" w:lineRule="auto"/>
              <w:jc w:val="center"/>
              <w:rPr>
                <w:rFonts w:cs="Times New Roman"/>
                <w:noProof/>
              </w:rPr>
            </w:pPr>
            <w:r>
              <w:rPr>
                <w:noProof/>
              </w:rPr>
              <w:t>424</w:t>
            </w:r>
          </w:p>
        </w:tc>
        <w:tc>
          <w:tcPr>
            <w:tcW w:w="851" w:type="dxa"/>
            <w:shd w:val="clear" w:color="auto" w:fill="C6EFCE"/>
            <w:noWrap/>
          </w:tcPr>
          <w:p w14:paraId="5088AA62" w14:textId="30762D2E" w:rsidR="003E1D81" w:rsidRDefault="00EB481C">
            <w:pPr>
              <w:pStyle w:val="P68B1DB1-Normal13"/>
              <w:jc w:val="center"/>
              <w:rPr>
                <w:rFonts w:cs="Times New Roman"/>
                <w:noProof/>
              </w:rPr>
            </w:pPr>
            <w:r>
              <w:rPr>
                <w:noProof/>
              </w:rPr>
              <w:t>C3.I1</w:t>
            </w:r>
          </w:p>
        </w:tc>
        <w:tc>
          <w:tcPr>
            <w:tcW w:w="1080" w:type="dxa"/>
            <w:shd w:val="clear" w:color="auto" w:fill="C6EFCE"/>
            <w:noWrap/>
          </w:tcPr>
          <w:p w14:paraId="25FD4440" w14:textId="40B015AD" w:rsidR="003E1D81" w:rsidRDefault="00EB481C">
            <w:pPr>
              <w:pStyle w:val="P68B1DB1-Normal13"/>
              <w:jc w:val="center"/>
              <w:rPr>
                <w:rFonts w:cs="Times New Roman"/>
                <w:noProof/>
              </w:rPr>
            </w:pPr>
            <w:r>
              <w:rPr>
                <w:noProof/>
              </w:rPr>
              <w:t>T</w:t>
            </w:r>
          </w:p>
        </w:tc>
        <w:tc>
          <w:tcPr>
            <w:tcW w:w="2889" w:type="dxa"/>
            <w:shd w:val="clear" w:color="auto" w:fill="C6EFCE"/>
            <w:noWrap/>
          </w:tcPr>
          <w:p w14:paraId="00300C24" w14:textId="3E3C7121" w:rsidR="003E1D81" w:rsidRDefault="00EB481C">
            <w:pPr>
              <w:pStyle w:val="P68B1DB1-Normal13"/>
              <w:jc w:val="both"/>
              <w:rPr>
                <w:rFonts w:cs="Times New Roman"/>
                <w:noProof/>
              </w:rPr>
            </w:pPr>
            <w:r>
              <w:rPr>
                <w:noProof/>
              </w:rPr>
              <w:t>A Mezőgazdasági, Halászati és Élelmiszerügyi Minisztérium (MAPA) és a SEIASA közötti, az öntözött területek javításának és fenntarthatóságának támogatásáról szóló megállapodás kiegészítésének végrehajtása (II. szakasz)</w:t>
            </w:r>
          </w:p>
        </w:tc>
        <w:tc>
          <w:tcPr>
            <w:tcW w:w="1276" w:type="dxa"/>
            <w:shd w:val="clear" w:color="auto" w:fill="C6EFCE"/>
            <w:noWrap/>
          </w:tcPr>
          <w:p w14:paraId="4E4E8018" w14:textId="77777777" w:rsidR="003E1D81" w:rsidRDefault="003E1D81">
            <w:pPr>
              <w:jc w:val="both"/>
              <w:rPr>
                <w:rFonts w:ascii="Times New Roman" w:eastAsia="MS Mincho" w:hAnsi="Times New Roman" w:cs="Times New Roman"/>
                <w:noProof/>
                <w:sz w:val="18"/>
              </w:rPr>
            </w:pPr>
          </w:p>
        </w:tc>
        <w:tc>
          <w:tcPr>
            <w:tcW w:w="850" w:type="dxa"/>
            <w:shd w:val="clear" w:color="auto" w:fill="C6EFCE"/>
            <w:noWrap/>
          </w:tcPr>
          <w:p w14:paraId="3494E958" w14:textId="2FCCCC51" w:rsidR="003E1D81" w:rsidRDefault="00EB481C">
            <w:pPr>
              <w:pStyle w:val="P68B1DB1-Normal13"/>
              <w:jc w:val="right"/>
              <w:rPr>
                <w:rFonts w:cs="Times New Roman"/>
                <w:noProof/>
              </w:rPr>
            </w:pPr>
            <w:r>
              <w:rPr>
                <w:noProof/>
              </w:rPr>
              <w:t xml:space="preserve"> Millió EUR</w:t>
            </w:r>
          </w:p>
        </w:tc>
        <w:tc>
          <w:tcPr>
            <w:tcW w:w="567" w:type="dxa"/>
            <w:shd w:val="clear" w:color="auto" w:fill="C6EFCE"/>
            <w:noWrap/>
          </w:tcPr>
          <w:p w14:paraId="4FC8A7EA" w14:textId="5EC70449" w:rsidR="003E1D81" w:rsidRDefault="00EB481C">
            <w:pPr>
              <w:pStyle w:val="P68B1DB1-Normal13"/>
              <w:jc w:val="center"/>
              <w:rPr>
                <w:rFonts w:cs="Times New Roman"/>
                <w:noProof/>
              </w:rPr>
            </w:pPr>
            <w:r>
              <w:rPr>
                <w:noProof/>
              </w:rPr>
              <w:t>303</w:t>
            </w:r>
          </w:p>
        </w:tc>
        <w:tc>
          <w:tcPr>
            <w:tcW w:w="709" w:type="dxa"/>
            <w:shd w:val="clear" w:color="auto" w:fill="C6EFCE"/>
            <w:noWrap/>
          </w:tcPr>
          <w:p w14:paraId="5FDE98C4" w14:textId="13FC3B97" w:rsidR="003E1D81" w:rsidRDefault="00EB481C">
            <w:pPr>
              <w:pStyle w:val="P68B1DB1-Normal13"/>
              <w:jc w:val="center"/>
              <w:rPr>
                <w:rFonts w:cs="Times New Roman"/>
                <w:noProof/>
              </w:rPr>
            </w:pPr>
            <w:r>
              <w:rPr>
                <w:noProof/>
              </w:rPr>
              <w:t>453</w:t>
            </w:r>
          </w:p>
        </w:tc>
        <w:tc>
          <w:tcPr>
            <w:tcW w:w="425" w:type="dxa"/>
            <w:shd w:val="clear" w:color="auto" w:fill="C6EFCE"/>
            <w:noWrap/>
          </w:tcPr>
          <w:p w14:paraId="79979275" w14:textId="4E86C5E1" w:rsidR="003E1D81" w:rsidRDefault="00EB481C">
            <w:pPr>
              <w:pStyle w:val="P68B1DB1-Normal13"/>
              <w:jc w:val="center"/>
              <w:rPr>
                <w:rFonts w:cs="Times New Roman"/>
                <w:noProof/>
              </w:rPr>
            </w:pPr>
            <w:r>
              <w:rPr>
                <w:noProof/>
              </w:rPr>
              <w:t>NEGYEDÉV</w:t>
            </w:r>
          </w:p>
        </w:tc>
        <w:tc>
          <w:tcPr>
            <w:tcW w:w="567" w:type="dxa"/>
            <w:shd w:val="clear" w:color="auto" w:fill="C6EFCE"/>
            <w:noWrap/>
          </w:tcPr>
          <w:p w14:paraId="46DA8AFD" w14:textId="23622128" w:rsidR="003E1D81" w:rsidRDefault="00EB481C">
            <w:pPr>
              <w:pStyle w:val="P68B1DB1-Normal13"/>
              <w:jc w:val="center"/>
              <w:rPr>
                <w:rFonts w:cs="Times New Roman"/>
                <w:noProof/>
              </w:rPr>
            </w:pPr>
            <w:r>
              <w:rPr>
                <w:noProof/>
              </w:rPr>
              <w:t>2023</w:t>
            </w:r>
          </w:p>
        </w:tc>
        <w:tc>
          <w:tcPr>
            <w:tcW w:w="5387" w:type="dxa"/>
            <w:shd w:val="clear" w:color="auto" w:fill="C6EFCE"/>
            <w:noWrap/>
          </w:tcPr>
          <w:p w14:paraId="4912E8BF" w14:textId="573B8FFB" w:rsidR="003E1D81" w:rsidRDefault="00EB481C">
            <w:pPr>
              <w:pStyle w:val="P68B1DB1-Normal13"/>
              <w:rPr>
                <w:rFonts w:cs="Times New Roman"/>
                <w:noProof/>
              </w:rPr>
            </w:pPr>
            <w:r>
              <w:rPr>
                <w:noProof/>
              </w:rPr>
              <w:t>A Mezőgazdasági, Halászati és Élelmiszerügyi Minisztérium (MAPA) és a SEIASA közötti együttműködési megállapodás kiegészítése (a II. szakasz kiterjesztése); 150 000 000 EUR a költségvetés végrehajtásából) a beruházási projekt keretében végrehajtott öntözés</w:t>
            </w:r>
            <w:r>
              <w:rPr>
                <w:noProof/>
              </w:rPr>
              <w:t xml:space="preserve"> hatékonyságának és fenntarthatóságának javítását célzó terv feltételeit hajtja végre. Ez a jogi norma többek között szabályozza az ilyen öntözési modernizációs beruházások köz- és magánfinanszírozási rendszerét, a projektkiválasztási kritériumokat, a terv</w:t>
            </w:r>
            <w:r>
              <w:rPr>
                <w:noProof/>
              </w:rPr>
              <w:t xml:space="preserve"> végrehajtási eljárásait, valamint az ezen intézkedés keretében a költségvetés végrehajtásához kapcsolódóan végrehajtandó intézkedések listáját.  (Alapforgatókönyv: 2022. június 30., a 47. cél célja alapján)</w:t>
            </w:r>
          </w:p>
        </w:tc>
      </w:tr>
      <w:tr w:rsidR="003E1D81" w14:paraId="0B6296AC" w14:textId="77777777">
        <w:trPr>
          <w:trHeight w:val="309"/>
        </w:trPr>
        <w:tc>
          <w:tcPr>
            <w:tcW w:w="709" w:type="dxa"/>
            <w:shd w:val="clear" w:color="auto" w:fill="C6EFCE"/>
            <w:noWrap/>
          </w:tcPr>
          <w:p w14:paraId="28E52AA1" w14:textId="354ADA0D" w:rsidR="003E1D81" w:rsidRDefault="00EB481C">
            <w:pPr>
              <w:pStyle w:val="P68B1DB1-Normal13"/>
              <w:spacing w:after="0" w:line="240" w:lineRule="auto"/>
              <w:jc w:val="center"/>
              <w:rPr>
                <w:rFonts w:eastAsia="MS Mincho" w:cs="Times New Roman"/>
                <w:noProof/>
              </w:rPr>
            </w:pPr>
            <w:r>
              <w:rPr>
                <w:noProof/>
              </w:rPr>
              <w:t>48</w:t>
            </w:r>
          </w:p>
        </w:tc>
        <w:tc>
          <w:tcPr>
            <w:tcW w:w="851" w:type="dxa"/>
            <w:shd w:val="clear" w:color="auto" w:fill="C6EFCE"/>
            <w:noWrap/>
          </w:tcPr>
          <w:p w14:paraId="023805EF" w14:textId="77777777" w:rsidR="003E1D81" w:rsidRDefault="00EB481C">
            <w:pPr>
              <w:pStyle w:val="P68B1DB1-Normal13"/>
              <w:spacing w:after="0" w:line="240" w:lineRule="auto"/>
              <w:jc w:val="center"/>
              <w:rPr>
                <w:rFonts w:eastAsia="MS Mincho" w:cs="Times New Roman"/>
                <w:noProof/>
              </w:rPr>
            </w:pPr>
            <w:r>
              <w:rPr>
                <w:noProof/>
              </w:rPr>
              <w:t>C3.I1</w:t>
            </w:r>
          </w:p>
        </w:tc>
        <w:tc>
          <w:tcPr>
            <w:tcW w:w="1080" w:type="dxa"/>
            <w:shd w:val="clear" w:color="auto" w:fill="C6EFCE"/>
            <w:noWrap/>
          </w:tcPr>
          <w:p w14:paraId="55F394AC" w14:textId="77777777" w:rsidR="003E1D81" w:rsidRDefault="00EB481C">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37A0B2C3" w14:textId="65364637" w:rsidR="003E1D81" w:rsidRDefault="00EB481C">
            <w:pPr>
              <w:pStyle w:val="P68B1DB1-Normal13"/>
              <w:spacing w:after="0" w:line="240" w:lineRule="auto"/>
              <w:rPr>
                <w:rFonts w:eastAsia="MS Mincho" w:cs="Times New Roman"/>
                <w:noProof/>
              </w:rPr>
            </w:pPr>
            <w:r>
              <w:rPr>
                <w:noProof/>
              </w:rPr>
              <w:t xml:space="preserve">Az öntözőrendszerek korszerűsítése a víztakarékosság és az energiahatékonyság szempontjából  </w:t>
            </w:r>
          </w:p>
        </w:tc>
        <w:tc>
          <w:tcPr>
            <w:tcW w:w="1276" w:type="dxa"/>
            <w:shd w:val="clear" w:color="auto" w:fill="C6EFCE"/>
            <w:noWrap/>
          </w:tcPr>
          <w:p w14:paraId="1F72F646" w14:textId="77777777" w:rsidR="003E1D81" w:rsidRDefault="003E1D81">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69A22CFF" w14:textId="5A648E9A" w:rsidR="003E1D81" w:rsidRDefault="00EB481C">
            <w:pPr>
              <w:pStyle w:val="P68B1DB1-Normal13"/>
              <w:spacing w:after="0" w:line="240" w:lineRule="auto"/>
              <w:jc w:val="right"/>
              <w:rPr>
                <w:rFonts w:eastAsia="MS Mincho" w:cs="Times New Roman"/>
                <w:noProof/>
              </w:rPr>
            </w:pPr>
            <w:r>
              <w:rPr>
                <w:noProof/>
              </w:rPr>
              <w:t>Szám (hektárok)</w:t>
            </w:r>
          </w:p>
        </w:tc>
        <w:tc>
          <w:tcPr>
            <w:tcW w:w="567" w:type="dxa"/>
            <w:shd w:val="clear" w:color="auto" w:fill="C6EFCE"/>
            <w:noWrap/>
          </w:tcPr>
          <w:p w14:paraId="5D56E414" w14:textId="77777777" w:rsidR="003E1D81" w:rsidRDefault="00EB481C">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65BA75C7" w14:textId="1A054656" w:rsidR="003E1D81" w:rsidRDefault="00EB481C">
            <w:pPr>
              <w:pStyle w:val="P68B1DB1-Normal13"/>
              <w:spacing w:after="0" w:line="240" w:lineRule="auto"/>
              <w:jc w:val="right"/>
              <w:rPr>
                <w:rFonts w:eastAsia="MS Mincho" w:cs="Times New Roman"/>
                <w:noProof/>
              </w:rPr>
            </w:pPr>
            <w:r>
              <w:rPr>
                <w:noProof/>
              </w:rPr>
              <w:t>125 000</w:t>
            </w:r>
          </w:p>
        </w:tc>
        <w:tc>
          <w:tcPr>
            <w:tcW w:w="425" w:type="dxa"/>
            <w:shd w:val="clear" w:color="auto" w:fill="C6EFCE"/>
            <w:noWrap/>
          </w:tcPr>
          <w:p w14:paraId="7757B762" w14:textId="30E4530E"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5177A41D" w14:textId="07F9D794" w:rsidR="003E1D81" w:rsidRDefault="00EB481C">
            <w:pPr>
              <w:pStyle w:val="P68B1DB1-Normal13"/>
              <w:spacing w:after="0" w:line="240" w:lineRule="auto"/>
              <w:jc w:val="center"/>
              <w:rPr>
                <w:rFonts w:eastAsia="MS Mincho" w:cs="Times New Roman"/>
                <w:noProof/>
              </w:rPr>
            </w:pPr>
            <w:r>
              <w:rPr>
                <w:noProof/>
              </w:rPr>
              <w:t>2026</w:t>
            </w:r>
          </w:p>
        </w:tc>
        <w:tc>
          <w:tcPr>
            <w:tcW w:w="5387" w:type="dxa"/>
            <w:shd w:val="clear" w:color="auto" w:fill="C6EFCE"/>
            <w:noWrap/>
          </w:tcPr>
          <w:p w14:paraId="3EA8274B" w14:textId="7C567330" w:rsidR="003E1D81" w:rsidRDefault="00EB481C">
            <w:pPr>
              <w:pStyle w:val="P68B1DB1-Normal13"/>
              <w:spacing w:after="0" w:line="240" w:lineRule="auto"/>
              <w:rPr>
                <w:rFonts w:eastAsia="MS Mincho" w:cs="Times New Roman"/>
                <w:noProof/>
              </w:rPr>
            </w:pPr>
            <w:r>
              <w:rPr>
                <w:noProof/>
              </w:rPr>
              <w:t>Legalább 125000 hektárnyi öntözőrendszer korszerűsítése a víztakarékosság és az energiahatékonyság szempontjából. A helyreá</w:t>
            </w:r>
            <w:r>
              <w:rPr>
                <w:noProof/>
              </w:rPr>
              <w:t>llítási és rezilienciaépítési terv beruházásaival korszerűsített területnek, valamint a végrehajtott intézkedések tipológiájának tükröződnie kell a SEIASA által az érintett I. vízfelhasználói közösségekkel aláírt együttműködési megállapodásokban. Ezek a me</w:t>
            </w:r>
            <w:r>
              <w:rPr>
                <w:noProof/>
              </w:rPr>
              <w:t>gállapodások meghatározzák a korszerűsített öntözőrendszerek vízmegtakarításának és energiahatékonyságának biztosítása érdekében végrehajtandó konkrét intézkedéseket. E terv keretében többek között a következő intézkedéseket kell végrehajtani: i. a felszín</w:t>
            </w:r>
            <w:r>
              <w:rPr>
                <w:noProof/>
              </w:rPr>
              <w:t xml:space="preserve"> alatti vagy felszíni víz használatának helyettesítése nem hagyományos vízforrások felhasználásával (a jelentős károkozás elkerülését célzó elvről szóló (2021/C58/01) technikai iránymutatásnak megfelelően visszanyert vagy sótalanított vízforrások felhaszná</w:t>
            </w:r>
            <w:r>
              <w:rPr>
                <w:noProof/>
              </w:rPr>
              <w:t>lásával; ii. vízszabályozó rendszerek bevezetése, amelyek lehetővé teszik a gravitációs öntözést (a tengerszint feletti magasság különbségének felhasználásával, hogy a vízszállításhoz ne legyen szükség energiafelhasználásra), iii. a szivattyúzáshoz szükség</w:t>
            </w:r>
            <w:r>
              <w:rPr>
                <w:noProof/>
              </w:rPr>
              <w:t>es fosszilis energiaforrásokból származó energia megújuló energiaforrásokkal (főként fotovoltaikus energiával) való helyettesítése, iv. betonból vagy földből készült szabadtéri árkok letemetett csövekkel való cseréje, v. szűrő- és szivattyúállomások építés</w:t>
            </w:r>
            <w:r>
              <w:rPr>
                <w:noProof/>
              </w:rPr>
              <w:t>e, valamint vi. fogyasztásmérők és távirányító rendszerek telepítése. 2026 második negyedévéig legalább 125000 hektár öntözőrendszert korszerűsítenek vízmegtakarítás és energiahatékonyság szempontjából, ami a SIEASA-Irrigation Communities megállapodások ré</w:t>
            </w:r>
            <w:r>
              <w:rPr>
                <w:noProof/>
              </w:rPr>
              <w:t>vén ellenőrizhető.</w:t>
            </w:r>
          </w:p>
        </w:tc>
      </w:tr>
      <w:tr w:rsidR="003E1D81" w14:paraId="16112381" w14:textId="77777777">
        <w:trPr>
          <w:trHeight w:val="309"/>
        </w:trPr>
        <w:tc>
          <w:tcPr>
            <w:tcW w:w="709" w:type="dxa"/>
            <w:shd w:val="clear" w:color="auto" w:fill="C6EFCE"/>
            <w:noWrap/>
          </w:tcPr>
          <w:p w14:paraId="20228FB5" w14:textId="05046FB4" w:rsidR="003E1D81" w:rsidRDefault="00EB481C">
            <w:pPr>
              <w:pStyle w:val="P68B1DB1-Normal13"/>
              <w:spacing w:after="0" w:line="240" w:lineRule="auto"/>
              <w:jc w:val="center"/>
              <w:rPr>
                <w:rFonts w:cs="Times New Roman"/>
                <w:noProof/>
              </w:rPr>
            </w:pPr>
            <w:r>
              <w:rPr>
                <w:noProof/>
              </w:rPr>
              <w:t>421</w:t>
            </w:r>
          </w:p>
        </w:tc>
        <w:tc>
          <w:tcPr>
            <w:tcW w:w="851" w:type="dxa"/>
            <w:shd w:val="clear" w:color="auto" w:fill="C6EFCE"/>
            <w:noWrap/>
          </w:tcPr>
          <w:p w14:paraId="68EFC70D" w14:textId="163DFC93" w:rsidR="003E1D81" w:rsidRDefault="00EB481C">
            <w:pPr>
              <w:pStyle w:val="P68B1DB1-Normal13"/>
              <w:spacing w:after="0" w:line="240" w:lineRule="auto"/>
              <w:jc w:val="center"/>
              <w:rPr>
                <w:rFonts w:cs="Times New Roman"/>
                <w:noProof/>
              </w:rPr>
            </w:pPr>
            <w:r>
              <w:rPr>
                <w:noProof/>
              </w:rPr>
              <w:t>C3.I2</w:t>
            </w:r>
          </w:p>
        </w:tc>
        <w:tc>
          <w:tcPr>
            <w:tcW w:w="1080" w:type="dxa"/>
            <w:shd w:val="clear" w:color="auto" w:fill="C6EFCE"/>
            <w:noWrap/>
          </w:tcPr>
          <w:p w14:paraId="51B435AF" w14:textId="630F3F02" w:rsidR="003E1D81" w:rsidRDefault="00EB481C">
            <w:pPr>
              <w:pStyle w:val="P68B1DB1-Normal13"/>
              <w:spacing w:after="0" w:line="240" w:lineRule="auto"/>
              <w:jc w:val="center"/>
              <w:rPr>
                <w:rFonts w:cs="Times New Roman"/>
                <w:noProof/>
              </w:rPr>
            </w:pPr>
            <w:r>
              <w:rPr>
                <w:noProof/>
              </w:rPr>
              <w:t>T</w:t>
            </w:r>
          </w:p>
        </w:tc>
        <w:tc>
          <w:tcPr>
            <w:tcW w:w="2889" w:type="dxa"/>
            <w:shd w:val="clear" w:color="auto" w:fill="C6EFCE"/>
            <w:noWrap/>
          </w:tcPr>
          <w:p w14:paraId="097C4D00" w14:textId="5AF124FD" w:rsidR="003E1D81" w:rsidRDefault="00EB481C">
            <w:pPr>
              <w:pStyle w:val="P68B1DB1-Normal13"/>
              <w:spacing w:after="0" w:line="240" w:lineRule="auto"/>
              <w:rPr>
                <w:rFonts w:cs="Times New Roman"/>
                <w:noProof/>
              </w:rPr>
            </w:pPr>
            <w:r>
              <w:rPr>
                <w:noProof/>
              </w:rPr>
              <w:t>3. szintű biológiai biztonsági laboratórium és egy Nemzeti Növény-egészségügyi Laboratórium építésének befejezése.</w:t>
            </w:r>
          </w:p>
        </w:tc>
        <w:tc>
          <w:tcPr>
            <w:tcW w:w="1276" w:type="dxa"/>
            <w:shd w:val="clear" w:color="auto" w:fill="C6EFCE"/>
            <w:noWrap/>
          </w:tcPr>
          <w:p w14:paraId="00A2A4FD" w14:textId="77777777" w:rsidR="003E1D81" w:rsidRDefault="003E1D81">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7AA022EC" w14:textId="7024E203" w:rsidR="003E1D81" w:rsidRDefault="00EB481C">
            <w:pPr>
              <w:pStyle w:val="P68B1DB1-Normal13"/>
              <w:spacing w:after="0" w:line="240" w:lineRule="auto"/>
              <w:jc w:val="right"/>
              <w:rPr>
                <w:rFonts w:cs="Times New Roman"/>
                <w:noProof/>
              </w:rPr>
            </w:pPr>
            <w:r>
              <w:rPr>
                <w:noProof/>
              </w:rPr>
              <w:t>Szám</w:t>
            </w:r>
          </w:p>
        </w:tc>
        <w:tc>
          <w:tcPr>
            <w:tcW w:w="567" w:type="dxa"/>
            <w:shd w:val="clear" w:color="auto" w:fill="C6EFCE"/>
            <w:noWrap/>
          </w:tcPr>
          <w:p w14:paraId="6C68AD98" w14:textId="77777777" w:rsidR="003E1D81" w:rsidRDefault="003E1D81">
            <w:pPr>
              <w:spacing w:after="0" w:line="240" w:lineRule="auto"/>
              <w:jc w:val="right"/>
              <w:rPr>
                <w:rFonts w:ascii="Times New Roman" w:hAnsi="Times New Roman" w:cs="Times New Roman"/>
                <w:noProof/>
                <w:sz w:val="18"/>
              </w:rPr>
            </w:pPr>
          </w:p>
        </w:tc>
        <w:tc>
          <w:tcPr>
            <w:tcW w:w="709" w:type="dxa"/>
            <w:shd w:val="clear" w:color="auto" w:fill="C6EFCE"/>
            <w:noWrap/>
          </w:tcPr>
          <w:p w14:paraId="06D8A153" w14:textId="51FF80B4" w:rsidR="003E1D81" w:rsidRDefault="00EB481C">
            <w:pPr>
              <w:pStyle w:val="P68B1DB1-Normal13"/>
              <w:spacing w:after="0" w:line="240" w:lineRule="auto"/>
              <w:jc w:val="right"/>
              <w:rPr>
                <w:rFonts w:cs="Times New Roman"/>
                <w:noProof/>
              </w:rPr>
            </w:pPr>
            <w:r>
              <w:rPr>
                <w:noProof/>
              </w:rPr>
              <w:t>2</w:t>
            </w:r>
          </w:p>
        </w:tc>
        <w:tc>
          <w:tcPr>
            <w:tcW w:w="425" w:type="dxa"/>
            <w:shd w:val="clear" w:color="auto" w:fill="C6EFCE"/>
            <w:noWrap/>
          </w:tcPr>
          <w:p w14:paraId="3FB19F6E" w14:textId="51F95DB8"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1C3E143B" w14:textId="668D3DFF" w:rsidR="003E1D81" w:rsidRDefault="00EB481C">
            <w:pPr>
              <w:pStyle w:val="P68B1DB1-Normal13"/>
              <w:spacing w:after="0" w:line="240" w:lineRule="auto"/>
              <w:jc w:val="center"/>
              <w:rPr>
                <w:rFonts w:cs="Times New Roman"/>
                <w:noProof/>
              </w:rPr>
            </w:pPr>
            <w:r>
              <w:rPr>
                <w:noProof/>
              </w:rPr>
              <w:t>2025</w:t>
            </w:r>
          </w:p>
        </w:tc>
        <w:tc>
          <w:tcPr>
            <w:tcW w:w="5387" w:type="dxa"/>
            <w:shd w:val="clear" w:color="auto" w:fill="C6EFCE"/>
            <w:noWrap/>
          </w:tcPr>
          <w:p w14:paraId="149AEA09" w14:textId="53905DE4" w:rsidR="003E1D81" w:rsidRDefault="00EB481C">
            <w:pPr>
              <w:pStyle w:val="P68B1DB1-Normal13"/>
              <w:spacing w:after="0" w:line="240" w:lineRule="auto"/>
              <w:rPr>
                <w:rFonts w:cs="Times New Roman"/>
                <w:noProof/>
              </w:rPr>
            </w:pPr>
            <w:r>
              <w:rPr>
                <w:noProof/>
              </w:rPr>
              <w:t xml:space="preserve">A 3. szintű Biológiai Biztonsági Laboratórium (LCSA- Santa Fe) és a lugoi Nemzeti </w:t>
            </w:r>
            <w:r>
              <w:rPr>
                <w:noProof/>
              </w:rPr>
              <w:t>Növény-egészségügyi Laboratórium megépítésének befejezése.</w:t>
            </w:r>
          </w:p>
        </w:tc>
      </w:tr>
      <w:tr w:rsidR="003E1D81" w14:paraId="3C0A710D" w14:textId="77777777">
        <w:trPr>
          <w:trHeight w:val="309"/>
        </w:trPr>
        <w:tc>
          <w:tcPr>
            <w:tcW w:w="709" w:type="dxa"/>
            <w:shd w:val="clear" w:color="auto" w:fill="C6EFCE"/>
            <w:noWrap/>
          </w:tcPr>
          <w:p w14:paraId="12424CF8" w14:textId="54319176" w:rsidR="003E1D81" w:rsidRDefault="00EB481C">
            <w:pPr>
              <w:pStyle w:val="P68B1DB1-Normal13"/>
              <w:spacing w:after="0" w:line="240" w:lineRule="auto"/>
              <w:jc w:val="center"/>
              <w:rPr>
                <w:rFonts w:cs="Times New Roman"/>
                <w:noProof/>
              </w:rPr>
            </w:pPr>
            <w:r>
              <w:rPr>
                <w:noProof/>
              </w:rPr>
              <w:t>49</w:t>
            </w:r>
          </w:p>
        </w:tc>
        <w:tc>
          <w:tcPr>
            <w:tcW w:w="851" w:type="dxa"/>
            <w:shd w:val="clear" w:color="auto" w:fill="C6EFCE"/>
            <w:noWrap/>
          </w:tcPr>
          <w:p w14:paraId="148F71E4" w14:textId="5E05A255" w:rsidR="003E1D81" w:rsidRDefault="00EB481C">
            <w:pPr>
              <w:pStyle w:val="P68B1DB1-Normal13"/>
              <w:spacing w:after="0" w:line="240" w:lineRule="auto"/>
              <w:jc w:val="center"/>
              <w:rPr>
                <w:rFonts w:cs="Times New Roman"/>
                <w:noProof/>
              </w:rPr>
            </w:pPr>
            <w:r>
              <w:rPr>
                <w:noProof/>
              </w:rPr>
              <w:t>C3.I2</w:t>
            </w:r>
          </w:p>
        </w:tc>
        <w:tc>
          <w:tcPr>
            <w:tcW w:w="1080" w:type="dxa"/>
            <w:shd w:val="clear" w:color="auto" w:fill="C6EFCE"/>
            <w:noWrap/>
          </w:tcPr>
          <w:p w14:paraId="5E1104F7" w14:textId="56875245" w:rsidR="003E1D81" w:rsidRDefault="00EB481C">
            <w:pPr>
              <w:pStyle w:val="P68B1DB1-Normal13"/>
              <w:spacing w:after="0" w:line="240" w:lineRule="auto"/>
              <w:jc w:val="center"/>
              <w:rPr>
                <w:rFonts w:cs="Times New Roman"/>
                <w:noProof/>
              </w:rPr>
            </w:pPr>
            <w:r>
              <w:rPr>
                <w:noProof/>
              </w:rPr>
              <w:t>T</w:t>
            </w:r>
          </w:p>
        </w:tc>
        <w:tc>
          <w:tcPr>
            <w:tcW w:w="2889" w:type="dxa"/>
            <w:shd w:val="clear" w:color="auto" w:fill="C6EFCE"/>
            <w:noWrap/>
          </w:tcPr>
          <w:p w14:paraId="4DF864B7" w14:textId="0D5C4563" w:rsidR="003E1D81" w:rsidRDefault="00EB481C">
            <w:pPr>
              <w:pStyle w:val="P68B1DB1-Normal13"/>
              <w:spacing w:after="0" w:line="240" w:lineRule="auto"/>
              <w:rPr>
                <w:rFonts w:cs="Times New Roman"/>
                <w:noProof/>
              </w:rPr>
            </w:pPr>
            <w:r>
              <w:rPr>
                <w:noProof/>
              </w:rPr>
              <w:t xml:space="preserve">Állattartó létesítmény építésének befejezése, 3. biológiai biztonsági szinttel. </w:t>
            </w:r>
          </w:p>
        </w:tc>
        <w:tc>
          <w:tcPr>
            <w:tcW w:w="1276" w:type="dxa"/>
            <w:shd w:val="clear" w:color="auto" w:fill="C6EFCE"/>
            <w:noWrap/>
          </w:tcPr>
          <w:p w14:paraId="4D3C8EB5" w14:textId="77777777" w:rsidR="003E1D81" w:rsidRDefault="003E1D81">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273B8182" w14:textId="751D5AB5" w:rsidR="003E1D81" w:rsidRDefault="00EB481C">
            <w:pPr>
              <w:pStyle w:val="P68B1DB1-Normal13"/>
              <w:spacing w:after="0" w:line="240" w:lineRule="auto"/>
              <w:jc w:val="right"/>
              <w:rPr>
                <w:rFonts w:cs="Times New Roman"/>
                <w:noProof/>
              </w:rPr>
            </w:pPr>
            <w:r>
              <w:rPr>
                <w:noProof/>
              </w:rPr>
              <w:t>Szám</w:t>
            </w:r>
          </w:p>
        </w:tc>
        <w:tc>
          <w:tcPr>
            <w:tcW w:w="567" w:type="dxa"/>
            <w:shd w:val="clear" w:color="auto" w:fill="C6EFCE"/>
            <w:noWrap/>
          </w:tcPr>
          <w:p w14:paraId="30E42435" w14:textId="3418A787" w:rsidR="003E1D81" w:rsidRDefault="00EB481C">
            <w:pPr>
              <w:pStyle w:val="P68B1DB1-Normal13"/>
              <w:spacing w:after="0" w:line="240" w:lineRule="auto"/>
              <w:jc w:val="right"/>
              <w:rPr>
                <w:rFonts w:cs="Times New Roman"/>
                <w:noProof/>
              </w:rPr>
            </w:pPr>
            <w:r>
              <w:rPr>
                <w:noProof/>
              </w:rPr>
              <w:t>0</w:t>
            </w:r>
          </w:p>
        </w:tc>
        <w:tc>
          <w:tcPr>
            <w:tcW w:w="709" w:type="dxa"/>
            <w:shd w:val="clear" w:color="auto" w:fill="C6EFCE"/>
            <w:noWrap/>
          </w:tcPr>
          <w:p w14:paraId="3B4DBFC6" w14:textId="4E296265" w:rsidR="003E1D81" w:rsidRDefault="00EB481C">
            <w:pPr>
              <w:pStyle w:val="P68B1DB1-Normal13"/>
              <w:spacing w:after="0" w:line="240" w:lineRule="auto"/>
              <w:jc w:val="right"/>
              <w:rPr>
                <w:rFonts w:cs="Times New Roman"/>
                <w:noProof/>
              </w:rPr>
            </w:pPr>
            <w:r>
              <w:rPr>
                <w:noProof/>
              </w:rPr>
              <w:t>1</w:t>
            </w:r>
          </w:p>
        </w:tc>
        <w:tc>
          <w:tcPr>
            <w:tcW w:w="425" w:type="dxa"/>
            <w:shd w:val="clear" w:color="auto" w:fill="C6EFCE"/>
            <w:noWrap/>
          </w:tcPr>
          <w:p w14:paraId="30C2E373" w14:textId="10AD5E3C"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3F9C886C" w14:textId="6604ECA0" w:rsidR="003E1D81" w:rsidRDefault="00EB481C">
            <w:pPr>
              <w:pStyle w:val="P68B1DB1-Normal13"/>
              <w:spacing w:after="0" w:line="240" w:lineRule="auto"/>
              <w:jc w:val="center"/>
              <w:rPr>
                <w:rFonts w:cs="Times New Roman"/>
                <w:noProof/>
              </w:rPr>
            </w:pPr>
            <w:r>
              <w:rPr>
                <w:noProof/>
              </w:rPr>
              <w:t>2026</w:t>
            </w:r>
          </w:p>
        </w:tc>
        <w:tc>
          <w:tcPr>
            <w:tcW w:w="5387" w:type="dxa"/>
            <w:shd w:val="clear" w:color="auto" w:fill="C6EFCE"/>
            <w:noWrap/>
          </w:tcPr>
          <w:p w14:paraId="732A624F" w14:textId="16CC0677" w:rsidR="003E1D81" w:rsidRDefault="00EB481C">
            <w:pPr>
              <w:pStyle w:val="P68B1DB1-Normal13"/>
              <w:spacing w:after="0" w:line="240" w:lineRule="auto"/>
              <w:rPr>
                <w:rFonts w:cs="Times New Roman"/>
                <w:noProof/>
              </w:rPr>
            </w:pPr>
            <w:r>
              <w:rPr>
                <w:noProof/>
              </w:rPr>
              <w:t xml:space="preserve">A 3. szintű biológiai biztonságot nyújtó állattartó létesítmény (LCV-Algete) </w:t>
            </w:r>
            <w:r>
              <w:rPr>
                <w:noProof/>
              </w:rPr>
              <w:t>építésének befejezése</w:t>
            </w:r>
          </w:p>
        </w:tc>
      </w:tr>
      <w:tr w:rsidR="003E1D81" w14:paraId="4FC01CD0" w14:textId="77777777">
        <w:trPr>
          <w:trHeight w:val="309"/>
        </w:trPr>
        <w:tc>
          <w:tcPr>
            <w:tcW w:w="709" w:type="dxa"/>
            <w:shd w:val="clear" w:color="auto" w:fill="C6EFCE"/>
            <w:noWrap/>
          </w:tcPr>
          <w:p w14:paraId="54368C02" w14:textId="26A50E97" w:rsidR="003E1D81" w:rsidRDefault="00EB481C">
            <w:pPr>
              <w:pStyle w:val="P68B1DB1-Normal13"/>
              <w:spacing w:after="0" w:line="240" w:lineRule="auto"/>
              <w:jc w:val="center"/>
              <w:rPr>
                <w:rFonts w:eastAsia="MS Mincho" w:cs="Times New Roman"/>
                <w:noProof/>
              </w:rPr>
            </w:pPr>
            <w:r>
              <w:rPr>
                <w:noProof/>
              </w:rPr>
              <w:t>50</w:t>
            </w:r>
          </w:p>
        </w:tc>
        <w:tc>
          <w:tcPr>
            <w:tcW w:w="851" w:type="dxa"/>
            <w:shd w:val="clear" w:color="auto" w:fill="C6EFCE"/>
            <w:noWrap/>
          </w:tcPr>
          <w:p w14:paraId="15507CD7" w14:textId="5DBC095D" w:rsidR="003E1D81" w:rsidRDefault="00EB481C">
            <w:pPr>
              <w:pStyle w:val="P68B1DB1-Normal13"/>
              <w:spacing w:after="0" w:line="240" w:lineRule="auto"/>
              <w:jc w:val="center"/>
              <w:rPr>
                <w:rFonts w:eastAsia="MS Mincho" w:cs="Times New Roman"/>
                <w:noProof/>
              </w:rPr>
            </w:pPr>
            <w:r>
              <w:rPr>
                <w:noProof/>
              </w:rPr>
              <w:t>C3.I3</w:t>
            </w:r>
          </w:p>
        </w:tc>
        <w:tc>
          <w:tcPr>
            <w:tcW w:w="1080" w:type="dxa"/>
            <w:shd w:val="clear" w:color="auto" w:fill="C6EFCE"/>
            <w:noWrap/>
          </w:tcPr>
          <w:p w14:paraId="12E77EC6" w14:textId="77777777" w:rsidR="003E1D81" w:rsidRDefault="00EB481C">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73767E53" w14:textId="2E4D0259" w:rsidR="003E1D81" w:rsidRDefault="00EB481C">
            <w:pPr>
              <w:pStyle w:val="P68B1DB1-Normal13"/>
              <w:spacing w:after="0" w:line="240" w:lineRule="auto"/>
              <w:rPr>
                <w:rFonts w:eastAsia="MS Mincho" w:cs="Times New Roman"/>
                <w:noProof/>
              </w:rPr>
            </w:pPr>
            <w:r>
              <w:rPr>
                <w:noProof/>
              </w:rPr>
              <w:t>A tisztító- és fertőtlenítő központok, valamint a növényi szaporítóanyag-előállító központok fejlesztése megerősített képzési és biológiai védelmi rendszerekkel</w:t>
            </w:r>
          </w:p>
        </w:tc>
        <w:tc>
          <w:tcPr>
            <w:tcW w:w="1276" w:type="dxa"/>
            <w:shd w:val="clear" w:color="auto" w:fill="C6EFCE"/>
            <w:noWrap/>
          </w:tcPr>
          <w:p w14:paraId="61CDCEAD" w14:textId="77777777" w:rsidR="003E1D81" w:rsidRDefault="003E1D81">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D78A289" w14:textId="77777777" w:rsidR="003E1D81" w:rsidRDefault="00EB481C">
            <w:pPr>
              <w:pStyle w:val="P68B1DB1-Normal13"/>
              <w:spacing w:after="0" w:line="240" w:lineRule="auto"/>
              <w:jc w:val="right"/>
              <w:rPr>
                <w:rFonts w:eastAsia="MS Mincho" w:cs="Times New Roman"/>
                <w:noProof/>
              </w:rPr>
            </w:pPr>
            <w:r>
              <w:rPr>
                <w:noProof/>
              </w:rPr>
              <w:t>Szám</w:t>
            </w:r>
          </w:p>
        </w:tc>
        <w:tc>
          <w:tcPr>
            <w:tcW w:w="567" w:type="dxa"/>
            <w:shd w:val="clear" w:color="auto" w:fill="C6EFCE"/>
            <w:noWrap/>
          </w:tcPr>
          <w:p w14:paraId="24452D0A" w14:textId="77777777" w:rsidR="003E1D81" w:rsidRDefault="00EB481C">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0B778152" w14:textId="1EA32FC5" w:rsidR="003E1D81" w:rsidRDefault="00EB481C">
            <w:pPr>
              <w:pStyle w:val="P68B1DB1-Normal13"/>
              <w:spacing w:after="0" w:line="240" w:lineRule="auto"/>
              <w:jc w:val="right"/>
              <w:rPr>
                <w:rFonts w:eastAsia="MS Mincho" w:cs="Times New Roman"/>
                <w:noProof/>
              </w:rPr>
            </w:pPr>
            <w:r>
              <w:rPr>
                <w:noProof/>
              </w:rPr>
              <w:t>465</w:t>
            </w:r>
          </w:p>
        </w:tc>
        <w:tc>
          <w:tcPr>
            <w:tcW w:w="425" w:type="dxa"/>
            <w:shd w:val="clear" w:color="auto" w:fill="C6EFCE"/>
            <w:noWrap/>
          </w:tcPr>
          <w:p w14:paraId="7CAE184B" w14:textId="59B4FD02"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2063B540" w14:textId="0F5B2526" w:rsidR="003E1D81" w:rsidRDefault="00EB481C">
            <w:pPr>
              <w:pStyle w:val="P68B1DB1-Normal13"/>
              <w:spacing w:after="0" w:line="240" w:lineRule="auto"/>
              <w:jc w:val="center"/>
              <w:rPr>
                <w:rFonts w:eastAsia="MS Mincho" w:cs="Times New Roman"/>
                <w:noProof/>
              </w:rPr>
            </w:pPr>
            <w:r>
              <w:rPr>
                <w:noProof/>
              </w:rPr>
              <w:t>2024</w:t>
            </w:r>
          </w:p>
        </w:tc>
        <w:tc>
          <w:tcPr>
            <w:tcW w:w="5387" w:type="dxa"/>
            <w:shd w:val="clear" w:color="auto" w:fill="C6EFCE"/>
            <w:noWrap/>
          </w:tcPr>
          <w:p w14:paraId="4D6A125A" w14:textId="3475416D" w:rsidR="003E1D81" w:rsidRDefault="00EB481C">
            <w:pPr>
              <w:pStyle w:val="P68B1DB1-Normal13"/>
              <w:spacing w:after="0" w:line="240" w:lineRule="auto"/>
              <w:rPr>
                <w:rFonts w:cs="Times New Roman"/>
                <w:noProof/>
              </w:rPr>
            </w:pPr>
            <w:r>
              <w:rPr>
                <w:noProof/>
              </w:rPr>
              <w:t>Legalább 465 tisztító- és fertőtlenítő központ, valamint növényi szaporítóanyag-előállító központ, megerősített képzési és biológiai védelmi rendszerekkel. A kapacitásfejlesztés magában foglalja a takarítási és fertőtlenítési létesítmények javítását és épí</w:t>
            </w:r>
            <w:r>
              <w:rPr>
                <w:noProof/>
              </w:rPr>
              <w:t>tését Spanyolország egész területén, a biológiai védelem pedig hozzáférhető, korszerű és felszerelt takarító- és fertőtlenítő létesítményekből áll. A tisztítás és fertőtlenítés a biológiai biztonsági intézkedések kulcsfontosságú pillére, ezért elengedhetet</w:t>
            </w:r>
            <w:r>
              <w:rPr>
                <w:noProof/>
              </w:rPr>
              <w:t xml:space="preserve">len e létesítmények technológiai fejlesztése, mint például az automatizálás, a robotizáció, az új tisztító- és fertőtlenítő rendszerek telepítése, például a termikus fertőtlenítés vagy a rendszerek telepítése. </w:t>
            </w:r>
          </w:p>
        </w:tc>
      </w:tr>
      <w:tr w:rsidR="003E1D81" w14:paraId="56738BA1" w14:textId="77777777">
        <w:trPr>
          <w:trHeight w:val="309"/>
        </w:trPr>
        <w:tc>
          <w:tcPr>
            <w:tcW w:w="709" w:type="dxa"/>
            <w:shd w:val="clear" w:color="auto" w:fill="C6EFCE"/>
            <w:noWrap/>
          </w:tcPr>
          <w:p w14:paraId="25E19083" w14:textId="12369BAE" w:rsidR="003E1D81" w:rsidRDefault="00EB481C">
            <w:pPr>
              <w:pStyle w:val="P68B1DB1-Normal13"/>
              <w:spacing w:after="0" w:line="240" w:lineRule="auto"/>
              <w:jc w:val="center"/>
              <w:rPr>
                <w:rFonts w:cs="Times New Roman"/>
                <w:noProof/>
              </w:rPr>
            </w:pPr>
            <w:r>
              <w:rPr>
                <w:noProof/>
              </w:rPr>
              <w:t>51</w:t>
            </w:r>
          </w:p>
        </w:tc>
        <w:tc>
          <w:tcPr>
            <w:tcW w:w="851" w:type="dxa"/>
            <w:shd w:val="clear" w:color="auto" w:fill="C6EFCE"/>
            <w:noWrap/>
          </w:tcPr>
          <w:p w14:paraId="5971B254" w14:textId="53FF2EB6" w:rsidR="003E1D81" w:rsidRDefault="00EB481C">
            <w:pPr>
              <w:pStyle w:val="P68B1DB1-Normal13"/>
              <w:spacing w:after="0" w:line="240" w:lineRule="auto"/>
              <w:jc w:val="center"/>
              <w:rPr>
                <w:rFonts w:cs="Times New Roman"/>
                <w:noProof/>
              </w:rPr>
            </w:pPr>
            <w:r>
              <w:rPr>
                <w:noProof/>
              </w:rPr>
              <w:t>C3.I4</w:t>
            </w:r>
          </w:p>
        </w:tc>
        <w:tc>
          <w:tcPr>
            <w:tcW w:w="1080" w:type="dxa"/>
            <w:shd w:val="clear" w:color="auto" w:fill="C6EFCE"/>
            <w:noWrap/>
          </w:tcPr>
          <w:p w14:paraId="79D317F4" w14:textId="7FAFE769" w:rsidR="003E1D81" w:rsidRDefault="00EB481C">
            <w:pPr>
              <w:pStyle w:val="P68B1DB1-Normal13"/>
              <w:spacing w:after="0" w:line="240" w:lineRule="auto"/>
              <w:jc w:val="center"/>
              <w:rPr>
                <w:rFonts w:cs="Times New Roman"/>
                <w:noProof/>
              </w:rPr>
            </w:pPr>
            <w:r>
              <w:rPr>
                <w:noProof/>
              </w:rPr>
              <w:t>T</w:t>
            </w:r>
          </w:p>
        </w:tc>
        <w:tc>
          <w:tcPr>
            <w:tcW w:w="2889" w:type="dxa"/>
            <w:shd w:val="clear" w:color="auto" w:fill="C6EFCE"/>
            <w:noWrap/>
          </w:tcPr>
          <w:p w14:paraId="324AEADF" w14:textId="1A4DAB8C" w:rsidR="003E1D81" w:rsidRDefault="00EB481C">
            <w:pPr>
              <w:pStyle w:val="P68B1DB1-Normal13"/>
              <w:spacing w:after="0" w:line="240" w:lineRule="auto"/>
              <w:rPr>
                <w:rFonts w:cs="Times New Roman"/>
                <w:noProof/>
              </w:rPr>
            </w:pPr>
            <w:r>
              <w:rPr>
                <w:noProof/>
              </w:rPr>
              <w:t xml:space="preserve">Beruházási terv a mezőgazdaság és az állattenyésztés fenntarthatóságának és versenyképességének előmozdítására </w:t>
            </w:r>
          </w:p>
        </w:tc>
        <w:tc>
          <w:tcPr>
            <w:tcW w:w="1276" w:type="dxa"/>
            <w:shd w:val="clear" w:color="auto" w:fill="C6EFCE"/>
            <w:noWrap/>
          </w:tcPr>
          <w:p w14:paraId="7F2130F8" w14:textId="77777777" w:rsidR="003E1D81" w:rsidRDefault="003E1D81">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376090A2" w14:textId="30BACBD6" w:rsidR="003E1D81" w:rsidRDefault="00EB481C">
            <w:pPr>
              <w:pStyle w:val="P68B1DB1-Normal13"/>
              <w:spacing w:after="0" w:line="240" w:lineRule="auto"/>
              <w:jc w:val="right"/>
              <w:rPr>
                <w:rFonts w:cs="Times New Roman"/>
                <w:noProof/>
              </w:rPr>
            </w:pPr>
            <w:r>
              <w:rPr>
                <w:noProof/>
              </w:rPr>
              <w:t xml:space="preserve"> Millió EUR</w:t>
            </w:r>
          </w:p>
        </w:tc>
        <w:tc>
          <w:tcPr>
            <w:tcW w:w="567" w:type="dxa"/>
            <w:shd w:val="clear" w:color="auto" w:fill="C6EFCE"/>
            <w:noWrap/>
          </w:tcPr>
          <w:p w14:paraId="0E99581E" w14:textId="092AB081" w:rsidR="003E1D81" w:rsidRDefault="00EB481C">
            <w:pPr>
              <w:pStyle w:val="P68B1DB1-Normal13"/>
              <w:spacing w:after="0" w:line="240" w:lineRule="auto"/>
              <w:jc w:val="right"/>
              <w:rPr>
                <w:rFonts w:cs="Times New Roman"/>
                <w:noProof/>
              </w:rPr>
            </w:pPr>
            <w:r>
              <w:rPr>
                <w:noProof/>
              </w:rPr>
              <w:t>0</w:t>
            </w:r>
          </w:p>
        </w:tc>
        <w:tc>
          <w:tcPr>
            <w:tcW w:w="709" w:type="dxa"/>
            <w:shd w:val="clear" w:color="auto" w:fill="C6EFCE"/>
            <w:noWrap/>
          </w:tcPr>
          <w:p w14:paraId="2BD63265" w14:textId="45C1FD95" w:rsidR="003E1D81" w:rsidRDefault="00EB481C">
            <w:pPr>
              <w:pStyle w:val="P68B1DB1-Normal13"/>
              <w:spacing w:after="0" w:line="240" w:lineRule="auto"/>
              <w:jc w:val="right"/>
              <w:rPr>
                <w:rFonts w:cs="Times New Roman"/>
                <w:noProof/>
              </w:rPr>
            </w:pPr>
            <w:r>
              <w:rPr>
                <w:noProof/>
              </w:rPr>
              <w:t>307</w:t>
            </w:r>
          </w:p>
        </w:tc>
        <w:tc>
          <w:tcPr>
            <w:tcW w:w="425" w:type="dxa"/>
            <w:shd w:val="clear" w:color="auto" w:fill="C6EFCE"/>
            <w:noWrap/>
          </w:tcPr>
          <w:p w14:paraId="535808B5" w14:textId="3E2A2A3A"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7352F48C" w14:textId="72A2B887" w:rsidR="003E1D81" w:rsidRDefault="00EB481C">
            <w:pPr>
              <w:pStyle w:val="P68B1DB1-Normal13"/>
              <w:spacing w:after="0" w:line="240" w:lineRule="auto"/>
              <w:jc w:val="center"/>
              <w:rPr>
                <w:rFonts w:cs="Times New Roman"/>
                <w:noProof/>
              </w:rPr>
            </w:pPr>
            <w:r>
              <w:rPr>
                <w:noProof/>
              </w:rPr>
              <w:t>2022</w:t>
            </w:r>
          </w:p>
        </w:tc>
        <w:tc>
          <w:tcPr>
            <w:tcW w:w="5387" w:type="dxa"/>
            <w:shd w:val="clear" w:color="auto" w:fill="C6EFCE"/>
            <w:noWrap/>
          </w:tcPr>
          <w:p w14:paraId="507C952C" w14:textId="678DFB7E" w:rsidR="003E1D81" w:rsidRDefault="00EB481C">
            <w:pPr>
              <w:pStyle w:val="P68B1DB1-Normal13"/>
              <w:spacing w:after="0" w:line="240" w:lineRule="auto"/>
              <w:rPr>
                <w:rFonts w:cs="Times New Roman"/>
                <w:noProof/>
              </w:rPr>
            </w:pPr>
            <w:r>
              <w:rPr>
                <w:noProof/>
              </w:rPr>
              <w:t>A precíziós mezőgazdasággal, az energiahatékonysággal és a körforgásos gazdasággal kapcsolatos mezőgazdasági és á</w:t>
            </w:r>
            <w:r>
              <w:rPr>
                <w:noProof/>
              </w:rPr>
              <w:t>llattenyésztési tevékenységek fenntarthatóságának és versenyképességének előmozdítását célzó beruházási terv lezárása (307 000 000 EUR költségvetés-végrehajtás). A szabályozási alapok meghatározzák, hogy kik a kedvezményezettek, milyen követelményeknek kel</w:t>
            </w:r>
            <w:r>
              <w:rPr>
                <w:noProof/>
              </w:rPr>
              <w:t xml:space="preserve">l megfelelniük, milyen típusú beruházások támogathatók: precíziós mezőgazdaság, energiahatékonyság, körforgásos gazdaság és a megújuló energiák használata. </w:t>
            </w:r>
          </w:p>
        </w:tc>
      </w:tr>
      <w:tr w:rsidR="003E1D81" w14:paraId="0CBF72EE" w14:textId="77777777">
        <w:trPr>
          <w:trHeight w:val="309"/>
        </w:trPr>
        <w:tc>
          <w:tcPr>
            <w:tcW w:w="709" w:type="dxa"/>
            <w:shd w:val="clear" w:color="auto" w:fill="C6EFCE"/>
            <w:noWrap/>
          </w:tcPr>
          <w:p w14:paraId="68861898" w14:textId="2AFA8B58" w:rsidR="003E1D81" w:rsidRDefault="00EB481C">
            <w:pPr>
              <w:pStyle w:val="P68B1DB1-Normal13"/>
              <w:spacing w:after="0" w:line="240" w:lineRule="auto"/>
              <w:jc w:val="center"/>
              <w:rPr>
                <w:rFonts w:eastAsia="MS Mincho" w:cs="Times New Roman"/>
                <w:noProof/>
              </w:rPr>
            </w:pPr>
            <w:r>
              <w:rPr>
                <w:noProof/>
              </w:rPr>
              <w:t>52</w:t>
            </w:r>
          </w:p>
        </w:tc>
        <w:tc>
          <w:tcPr>
            <w:tcW w:w="851" w:type="dxa"/>
            <w:shd w:val="clear" w:color="auto" w:fill="C6EFCE"/>
            <w:noWrap/>
          </w:tcPr>
          <w:p w14:paraId="0380C3E0" w14:textId="3A9B5DE9" w:rsidR="003E1D81" w:rsidRDefault="00EB481C">
            <w:pPr>
              <w:pStyle w:val="P68B1DB1-Normal13"/>
              <w:spacing w:after="0" w:line="240" w:lineRule="auto"/>
              <w:jc w:val="center"/>
              <w:rPr>
                <w:rFonts w:eastAsia="MS Mincho" w:cs="Times New Roman"/>
                <w:noProof/>
              </w:rPr>
            </w:pPr>
            <w:r>
              <w:rPr>
                <w:noProof/>
              </w:rPr>
              <w:t>C3.I4</w:t>
            </w:r>
          </w:p>
        </w:tc>
        <w:tc>
          <w:tcPr>
            <w:tcW w:w="1080" w:type="dxa"/>
            <w:shd w:val="clear" w:color="auto" w:fill="C6EFCE"/>
            <w:noWrap/>
          </w:tcPr>
          <w:p w14:paraId="72102FF3" w14:textId="77777777" w:rsidR="003E1D81" w:rsidRDefault="00EB481C">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658F795B" w14:textId="67E5E718" w:rsidR="003E1D81" w:rsidRDefault="00EB481C">
            <w:pPr>
              <w:pStyle w:val="P68B1DB1-Normal13"/>
              <w:spacing w:after="0" w:line="240" w:lineRule="auto"/>
              <w:rPr>
                <w:rFonts w:eastAsia="MS Mincho" w:cs="Times New Roman"/>
                <w:noProof/>
              </w:rPr>
            </w:pPr>
            <w:r>
              <w:rPr>
                <w:noProof/>
              </w:rPr>
              <w:t xml:space="preserve">Befejezett projektek a precíziós mezőgazdaság, az energiahatékonyság, a körforgásos gazdaság és a megújuló energia felhasználása terén  </w:t>
            </w:r>
          </w:p>
        </w:tc>
        <w:tc>
          <w:tcPr>
            <w:tcW w:w="1276" w:type="dxa"/>
            <w:shd w:val="clear" w:color="auto" w:fill="C6EFCE"/>
            <w:noWrap/>
          </w:tcPr>
          <w:p w14:paraId="6BB9E253" w14:textId="77777777" w:rsidR="003E1D81" w:rsidRDefault="003E1D81">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708A672B" w14:textId="77777777" w:rsidR="003E1D81" w:rsidRDefault="00EB481C">
            <w:pPr>
              <w:pStyle w:val="P68B1DB1-Normal13"/>
              <w:spacing w:after="0" w:line="240" w:lineRule="auto"/>
              <w:jc w:val="right"/>
              <w:rPr>
                <w:rFonts w:eastAsia="MS Mincho" w:cs="Times New Roman"/>
                <w:noProof/>
              </w:rPr>
            </w:pPr>
            <w:r>
              <w:rPr>
                <w:noProof/>
              </w:rPr>
              <w:t>Szám</w:t>
            </w:r>
          </w:p>
        </w:tc>
        <w:tc>
          <w:tcPr>
            <w:tcW w:w="567" w:type="dxa"/>
            <w:shd w:val="clear" w:color="auto" w:fill="C6EFCE"/>
            <w:noWrap/>
          </w:tcPr>
          <w:p w14:paraId="6A355B75" w14:textId="77777777" w:rsidR="003E1D81" w:rsidRDefault="00EB481C">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5952E2BA" w14:textId="6F1ECA1F" w:rsidR="003E1D81" w:rsidRDefault="00EB481C">
            <w:pPr>
              <w:pStyle w:val="P68B1DB1-Normal13"/>
              <w:spacing w:after="0" w:line="240" w:lineRule="auto"/>
              <w:jc w:val="right"/>
              <w:rPr>
                <w:rFonts w:eastAsia="MS Mincho" w:cs="Times New Roman"/>
                <w:noProof/>
              </w:rPr>
            </w:pPr>
            <w:r>
              <w:rPr>
                <w:noProof/>
              </w:rPr>
              <w:t>5 000</w:t>
            </w:r>
          </w:p>
        </w:tc>
        <w:tc>
          <w:tcPr>
            <w:tcW w:w="425" w:type="dxa"/>
            <w:shd w:val="clear" w:color="auto" w:fill="C6EFCE"/>
            <w:noWrap/>
          </w:tcPr>
          <w:p w14:paraId="59EDD68F" w14:textId="3E34BEE9"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1F5307AE" w14:textId="1BBF6E8A" w:rsidR="003E1D81" w:rsidRDefault="00EB481C">
            <w:pPr>
              <w:pStyle w:val="P68B1DB1-Normal13"/>
              <w:spacing w:after="0" w:line="240" w:lineRule="auto"/>
              <w:jc w:val="center"/>
              <w:rPr>
                <w:rFonts w:eastAsia="MS Mincho" w:cs="Times New Roman"/>
                <w:noProof/>
              </w:rPr>
            </w:pPr>
            <w:r>
              <w:rPr>
                <w:noProof/>
              </w:rPr>
              <w:t>2026</w:t>
            </w:r>
          </w:p>
        </w:tc>
        <w:tc>
          <w:tcPr>
            <w:tcW w:w="5387" w:type="dxa"/>
            <w:shd w:val="clear" w:color="auto" w:fill="C6EFCE"/>
            <w:noWrap/>
          </w:tcPr>
          <w:p w14:paraId="6BEEF825" w14:textId="1EE7F6E6" w:rsidR="003E1D81" w:rsidRDefault="00EB481C">
            <w:pPr>
              <w:pStyle w:val="P68B1DB1-Normal13"/>
              <w:spacing w:after="0" w:line="240" w:lineRule="auto"/>
              <w:rPr>
                <w:rFonts w:eastAsia="MS Mincho" w:cs="Times New Roman"/>
                <w:noProof/>
              </w:rPr>
            </w:pPr>
            <w:r>
              <w:rPr>
                <w:noProof/>
              </w:rPr>
              <w:t>Legalább 5000 olyan gazdaság, amely a precíziós mezőgazdaságra, az energiahatékonyságra, a kö</w:t>
            </w:r>
            <w:r>
              <w:rPr>
                <w:noProof/>
              </w:rPr>
              <w:t>rforgásos gazdaságra és a megújuló energia felhasználására irányuló projekteket hajtott végre. A precíziós mezőgazdaság magában foglalja a földrajzi helymeghatározást és a műholdas navigációs rendszereket (GNSS), az érzékelőkön keresztül történő valós idej</w:t>
            </w:r>
            <w:r>
              <w:rPr>
                <w:noProof/>
              </w:rPr>
              <w:t>ű adatgyűjtést, valamint a műholdas és légi felvételeket, valamint a földrajzi információs rendszereket (GIS), a feltérképezést, a kommunikációt és a konnektivitást, az energiahatékonyság magában foglalja az épületek (raktárak és kiegészítő épületek) kondi</w:t>
            </w:r>
            <w:r>
              <w:rPr>
                <w:noProof/>
              </w:rPr>
              <w:t>cionálását és szigetelését, valamint az üvegházhatású gázok éghajlat-szabályozását, valamint a mezőgazdasági és állattenyésztési gazdaságok energia- és hőfogyasztását optimalizáló rendszereket, a körforgásos gazdaság magában foglalja a mezőgazdasági maradv</w:t>
            </w:r>
            <w:r>
              <w:rPr>
                <w:noProof/>
              </w:rPr>
              <w:t>ányok és állati melléktermékek felhasználását és hasznosítását az előkezelési műveletek és technikák révén, továbbá a megújuló energia felhasználása magában foglalja a többféle megújuló energiaforrásból származó energiatermelési infrastruktúrák telepítését</w:t>
            </w:r>
            <w:r>
              <w:rPr>
                <w:noProof/>
              </w:rPr>
              <w:t xml:space="preserve"> a villamosenergia- és hőenergia-szükséglet támogatása érdekében.  </w:t>
            </w:r>
          </w:p>
        </w:tc>
      </w:tr>
      <w:tr w:rsidR="003E1D81" w14:paraId="533FA9DB" w14:textId="77777777">
        <w:trPr>
          <w:trHeight w:val="309"/>
        </w:trPr>
        <w:tc>
          <w:tcPr>
            <w:tcW w:w="709" w:type="dxa"/>
            <w:shd w:val="clear" w:color="auto" w:fill="C6EFCE"/>
            <w:noWrap/>
          </w:tcPr>
          <w:p w14:paraId="3CBA40D0" w14:textId="0EB4B704" w:rsidR="003E1D81" w:rsidRDefault="00EB481C">
            <w:pPr>
              <w:pStyle w:val="P68B1DB1-Normal13"/>
              <w:spacing w:after="0" w:line="240" w:lineRule="auto"/>
              <w:jc w:val="center"/>
              <w:rPr>
                <w:rFonts w:eastAsia="MS Mincho" w:cs="Times New Roman"/>
                <w:noProof/>
              </w:rPr>
            </w:pPr>
            <w:r>
              <w:rPr>
                <w:noProof/>
              </w:rPr>
              <w:t>53</w:t>
            </w:r>
          </w:p>
        </w:tc>
        <w:tc>
          <w:tcPr>
            <w:tcW w:w="851" w:type="dxa"/>
            <w:shd w:val="clear" w:color="auto" w:fill="C6EFCE"/>
            <w:noWrap/>
          </w:tcPr>
          <w:p w14:paraId="5071D00F" w14:textId="6837A809" w:rsidR="003E1D81" w:rsidRDefault="00EB481C">
            <w:pPr>
              <w:pStyle w:val="P68B1DB1-Normal13"/>
              <w:spacing w:after="0" w:line="240" w:lineRule="auto"/>
              <w:jc w:val="center"/>
              <w:rPr>
                <w:rFonts w:eastAsia="MS Mincho" w:cs="Times New Roman"/>
                <w:noProof/>
              </w:rPr>
            </w:pPr>
            <w:r>
              <w:rPr>
                <w:noProof/>
              </w:rPr>
              <w:t>C3.I5</w:t>
            </w:r>
          </w:p>
        </w:tc>
        <w:tc>
          <w:tcPr>
            <w:tcW w:w="1080" w:type="dxa"/>
            <w:shd w:val="clear" w:color="auto" w:fill="C6EFCE"/>
            <w:noWrap/>
          </w:tcPr>
          <w:p w14:paraId="1ACBF373" w14:textId="77777777" w:rsidR="003E1D81" w:rsidRDefault="00EB481C">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6F1617C3" w14:textId="4178FFFF" w:rsidR="003E1D81" w:rsidRDefault="00EB481C">
            <w:pPr>
              <w:pStyle w:val="P68B1DB1-Normal13"/>
              <w:spacing w:after="0" w:line="240" w:lineRule="auto"/>
              <w:rPr>
                <w:rFonts w:eastAsia="MS Mincho" w:cs="Times New Roman"/>
                <w:noProof/>
              </w:rPr>
            </w:pPr>
            <w:r>
              <w:rPr>
                <w:noProof/>
              </w:rPr>
              <w:t>A Mezőgazdasági, Halászati és Élelmiszerügyi Minisztérium (MAPA) és az ENISA közötti szerződéses megállapodások aláírása</w:t>
            </w:r>
          </w:p>
        </w:tc>
        <w:tc>
          <w:tcPr>
            <w:tcW w:w="1276" w:type="dxa"/>
            <w:shd w:val="clear" w:color="auto" w:fill="C6EFCE"/>
            <w:noWrap/>
          </w:tcPr>
          <w:p w14:paraId="23DE523C" w14:textId="77777777" w:rsidR="003E1D81" w:rsidRDefault="003E1D81">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9274C5F" w14:textId="77777777" w:rsidR="003E1D81" w:rsidRDefault="00EB481C">
            <w:pPr>
              <w:pStyle w:val="P68B1DB1-Normal13"/>
              <w:spacing w:after="0" w:line="240" w:lineRule="auto"/>
              <w:jc w:val="right"/>
              <w:rPr>
                <w:rFonts w:eastAsia="MS Mincho" w:cs="Times New Roman"/>
                <w:noProof/>
              </w:rPr>
            </w:pPr>
            <w:r>
              <w:rPr>
                <w:noProof/>
              </w:rPr>
              <w:t xml:space="preserve"> Millió EUR</w:t>
            </w:r>
          </w:p>
        </w:tc>
        <w:tc>
          <w:tcPr>
            <w:tcW w:w="567" w:type="dxa"/>
            <w:shd w:val="clear" w:color="auto" w:fill="C6EFCE"/>
            <w:noWrap/>
          </w:tcPr>
          <w:p w14:paraId="579F9DF6" w14:textId="77777777" w:rsidR="003E1D81" w:rsidRDefault="00EB481C">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28853779" w14:textId="47B3CC6F" w:rsidR="003E1D81" w:rsidRDefault="00EB481C">
            <w:pPr>
              <w:pStyle w:val="P68B1DB1-Normal13"/>
              <w:spacing w:after="0" w:line="240" w:lineRule="auto"/>
              <w:jc w:val="right"/>
              <w:rPr>
                <w:rFonts w:eastAsia="MS Mincho" w:cs="Times New Roman"/>
                <w:noProof/>
              </w:rPr>
            </w:pPr>
            <w:r>
              <w:rPr>
                <w:noProof/>
              </w:rPr>
              <w:t>30</w:t>
            </w:r>
          </w:p>
        </w:tc>
        <w:tc>
          <w:tcPr>
            <w:tcW w:w="425" w:type="dxa"/>
            <w:shd w:val="clear" w:color="auto" w:fill="C6EFCE"/>
            <w:noWrap/>
          </w:tcPr>
          <w:p w14:paraId="147ED631" w14:textId="77777777"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0FF5363C" w14:textId="6A918136" w:rsidR="003E1D81" w:rsidRDefault="00EB481C">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613339AC" w14:textId="686AC89A" w:rsidR="003E1D81" w:rsidRDefault="00EB481C">
            <w:pPr>
              <w:pStyle w:val="P68B1DB1-Normal13"/>
              <w:spacing w:after="0" w:line="240" w:lineRule="auto"/>
              <w:rPr>
                <w:rFonts w:eastAsia="MS Mincho" w:cs="Times New Roman"/>
                <w:noProof/>
              </w:rPr>
            </w:pPr>
            <w:r>
              <w:rPr>
                <w:noProof/>
              </w:rPr>
              <w:t>Három (évente egy) szerződéses megállapodás aláírása a Mezőgazdasági, Halászati és Élelmiszerügyi Minisztérium (MAPA) és az ENISA között az agrár-élelmiszeripari kkv-k digitális átalakulásának támogatására a spanyol agrár-élelmiszeripari ágazatban az innov</w:t>
            </w:r>
            <w:r>
              <w:rPr>
                <w:noProof/>
              </w:rPr>
              <w:t>atív vagy technológiaalapú vállalkozások támogatására (a költségvetés végrehajtása: 30 000 000 EUR; 10 000 000 EUR/év). A Mezőgazdasági, Halászati és Élelmiszerügyi Minisztérium és az ENISA közötti együttműködési megállapodások meghatározzák a technológiaa</w:t>
            </w:r>
            <w:r>
              <w:rPr>
                <w:noProof/>
              </w:rPr>
              <w:t>lapú vállalkozói irányvonal feltételeit az agrár-élelmiszeripari ágazatban működő, innovatív és digitális üzleti projekteket bemutató kkv-k részvételen alapuló hitelek nyújtása, a beruházási politika és a támogathatósági kritériumok révén történő támogatás</w:t>
            </w:r>
            <w:r>
              <w:rPr>
                <w:noProof/>
              </w:rPr>
              <w:t>a érdekében. A fent említett megállapodásoknak tartalmazniuk kell egy olyan záradékot, amely fenntarthatósági vizsgálat, kizárási lista, valamint a vonatkozó uniós és nemzeti környezetvédelmi jogszabályoknak való megfelelés követelménye révén garantálja, h</w:t>
            </w:r>
            <w:r>
              <w:rPr>
                <w:noProof/>
              </w:rPr>
              <w:t>ogy az e finanszírozás keretében végrehajtott beruházások megfelelnek az ezen intézkedés keretében támogatott ügyletekre vonatkozó, a jelentős károkozás elkerülését célzó technikai iránymutatásnak (2021/C58/01). E beruházás célja, hogy megfeleljen az agrár</w:t>
            </w:r>
            <w:r>
              <w:rPr>
                <w:noProof/>
              </w:rPr>
              <w:t xml:space="preserve">-élelmiszeripari ágazat és a vidéki környezet digitalizálására irányuló spanyol stratégia és cselekvési tervei számos célkitűzésének. </w:t>
            </w:r>
          </w:p>
        </w:tc>
      </w:tr>
      <w:tr w:rsidR="003E1D81" w14:paraId="047BADB5" w14:textId="77777777">
        <w:trPr>
          <w:trHeight w:val="309"/>
        </w:trPr>
        <w:tc>
          <w:tcPr>
            <w:tcW w:w="709" w:type="dxa"/>
            <w:shd w:val="clear" w:color="auto" w:fill="C6EFCE"/>
            <w:noWrap/>
          </w:tcPr>
          <w:p w14:paraId="00B008B9" w14:textId="569189EE" w:rsidR="003E1D81" w:rsidRDefault="00EB481C">
            <w:pPr>
              <w:pStyle w:val="P68B1DB1-Normal13"/>
              <w:spacing w:after="0" w:line="240" w:lineRule="auto"/>
              <w:jc w:val="center"/>
              <w:rPr>
                <w:rFonts w:eastAsia="MS Mincho" w:cs="Times New Roman"/>
                <w:noProof/>
              </w:rPr>
            </w:pPr>
            <w:r>
              <w:rPr>
                <w:noProof/>
              </w:rPr>
              <w:t>54</w:t>
            </w:r>
          </w:p>
        </w:tc>
        <w:tc>
          <w:tcPr>
            <w:tcW w:w="851" w:type="dxa"/>
            <w:shd w:val="clear" w:color="auto" w:fill="C6EFCE"/>
            <w:noWrap/>
          </w:tcPr>
          <w:p w14:paraId="58544615" w14:textId="53D8FCB1" w:rsidR="003E1D81" w:rsidRDefault="00EB481C">
            <w:pPr>
              <w:pStyle w:val="P68B1DB1-Normal13"/>
              <w:spacing w:after="0" w:line="240" w:lineRule="auto"/>
              <w:jc w:val="center"/>
              <w:rPr>
                <w:rFonts w:eastAsia="MS Mincho" w:cs="Times New Roman"/>
                <w:noProof/>
              </w:rPr>
            </w:pPr>
            <w:r>
              <w:rPr>
                <w:noProof/>
              </w:rPr>
              <w:t>C3.I5</w:t>
            </w:r>
          </w:p>
        </w:tc>
        <w:tc>
          <w:tcPr>
            <w:tcW w:w="1080" w:type="dxa"/>
            <w:shd w:val="clear" w:color="auto" w:fill="C6EFCE"/>
            <w:noWrap/>
          </w:tcPr>
          <w:p w14:paraId="439DB716" w14:textId="77777777" w:rsidR="003E1D81" w:rsidRDefault="00EB481C">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79AF0533" w14:textId="23580548" w:rsidR="003E1D81" w:rsidRDefault="00EB481C">
            <w:pPr>
              <w:pStyle w:val="P68B1DB1-Normal13"/>
              <w:spacing w:after="0" w:line="240" w:lineRule="auto"/>
              <w:rPr>
                <w:rFonts w:eastAsia="MS Mincho" w:cs="Times New Roman"/>
                <w:noProof/>
              </w:rPr>
            </w:pPr>
            <w:r>
              <w:rPr>
                <w:noProof/>
              </w:rPr>
              <w:t>Innovatív és digitális üzleti projektek végrehajtásához támogatott agrár-élelmiszeripari kkv-k</w:t>
            </w:r>
          </w:p>
        </w:tc>
        <w:tc>
          <w:tcPr>
            <w:tcW w:w="1276" w:type="dxa"/>
            <w:shd w:val="clear" w:color="auto" w:fill="C6EFCE"/>
            <w:noWrap/>
          </w:tcPr>
          <w:p w14:paraId="52E56223" w14:textId="77777777" w:rsidR="003E1D81" w:rsidRDefault="003E1D81">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4EE654F7" w14:textId="77777777" w:rsidR="003E1D81" w:rsidRDefault="00EB481C">
            <w:pPr>
              <w:pStyle w:val="P68B1DB1-Normal13"/>
              <w:spacing w:after="0" w:line="240" w:lineRule="auto"/>
              <w:jc w:val="right"/>
              <w:rPr>
                <w:rFonts w:eastAsia="MS Mincho" w:cs="Times New Roman"/>
                <w:noProof/>
              </w:rPr>
            </w:pPr>
            <w:r>
              <w:rPr>
                <w:noProof/>
              </w:rPr>
              <w:t>Szám</w:t>
            </w:r>
          </w:p>
        </w:tc>
        <w:tc>
          <w:tcPr>
            <w:tcW w:w="567" w:type="dxa"/>
            <w:shd w:val="clear" w:color="auto" w:fill="C6EFCE"/>
            <w:noWrap/>
          </w:tcPr>
          <w:p w14:paraId="0146225B" w14:textId="77777777" w:rsidR="003E1D81" w:rsidRDefault="00EB481C">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02012C1B" w14:textId="42911D1D" w:rsidR="003E1D81" w:rsidRDefault="00EB481C">
            <w:pPr>
              <w:pStyle w:val="P68B1DB1-Normal13"/>
              <w:spacing w:after="0" w:line="240" w:lineRule="auto"/>
              <w:jc w:val="right"/>
              <w:rPr>
                <w:rFonts w:eastAsia="MS Mincho" w:cs="Times New Roman"/>
                <w:noProof/>
              </w:rPr>
            </w:pPr>
            <w:r>
              <w:rPr>
                <w:noProof/>
              </w:rPr>
              <w:t>60</w:t>
            </w:r>
          </w:p>
        </w:tc>
        <w:tc>
          <w:tcPr>
            <w:tcW w:w="425" w:type="dxa"/>
            <w:shd w:val="clear" w:color="auto" w:fill="C6EFCE"/>
            <w:noWrap/>
          </w:tcPr>
          <w:p w14:paraId="62ACD4F7" w14:textId="07D9FB25"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1125D523" w14:textId="038241A9" w:rsidR="003E1D81" w:rsidRDefault="00EB481C">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76E2AC45" w14:textId="0538E9CD" w:rsidR="003E1D81" w:rsidRDefault="00EB481C">
            <w:pPr>
              <w:pStyle w:val="P68B1DB1-Normal13"/>
              <w:spacing w:after="0" w:line="240" w:lineRule="auto"/>
              <w:rPr>
                <w:rFonts w:eastAsia="MS Mincho" w:cs="Times New Roman"/>
                <w:noProof/>
              </w:rPr>
            </w:pPr>
            <w:r>
              <w:rPr>
                <w:noProof/>
              </w:rPr>
              <w:t xml:space="preserve">Legalább 60 agrár-élelmiszeripari kkv részesült hitelben innovatív és digitális üzleti projektek megvalósításához.  E támogatási tétel célja, hogy részvételen alapuló kölcsönöket nyújtson a vállalatoknak az elektronikus kereskedelemmel és az </w:t>
            </w:r>
            <w:r>
              <w:rPr>
                <w:noProof/>
              </w:rPr>
              <w:t>Ipar 4.0 konszolidációjával kapcsolatos életképes és innovatív projektek kidolgozására, az élelmiszeripar digitális üzleti modelljeiben bekövetkező változások számos egyéb mozgatórugója mellett.</w:t>
            </w:r>
            <w:r>
              <w:rPr>
                <w:noProof/>
              </w:rPr>
              <w:br/>
              <w:t>Többek között kiválasztási kritériumok révén garantálni kell,</w:t>
            </w:r>
            <w:r>
              <w:rPr>
                <w:noProof/>
              </w:rPr>
              <w:t xml:space="preserve"> hogy az e kkv-k által e kölcsönökkel végrehajtott befektetés keretében végrehajtott ügyletek fenntarthatósági vizsgálat, kizárási lista és a vonatkozó uniós és nemzeti környezetvédelmi jogszabályoknak való megfelelés követelménye révén megfeleljenek az ez</w:t>
            </w:r>
            <w:r>
              <w:rPr>
                <w:noProof/>
              </w:rPr>
              <w:t xml:space="preserve">en intézkedés keretében támogatott ügyletekre vonatkozó, a jelentős károkozás elkerülését célzó technikai iránymutatásnak (2021/C58/01). </w:t>
            </w:r>
          </w:p>
        </w:tc>
      </w:tr>
      <w:tr w:rsidR="003E1D81" w14:paraId="022F94A2" w14:textId="77777777">
        <w:trPr>
          <w:trHeight w:val="309"/>
        </w:trPr>
        <w:tc>
          <w:tcPr>
            <w:tcW w:w="709" w:type="dxa"/>
            <w:shd w:val="clear" w:color="auto" w:fill="C6EFCE"/>
            <w:noWrap/>
          </w:tcPr>
          <w:p w14:paraId="3F6FB1E0" w14:textId="629B1448" w:rsidR="003E1D81" w:rsidRDefault="00EB481C">
            <w:pPr>
              <w:pStyle w:val="P68B1DB1-Normal13"/>
              <w:spacing w:after="0" w:line="240" w:lineRule="auto"/>
              <w:jc w:val="center"/>
              <w:rPr>
                <w:rFonts w:eastAsia="MS Mincho" w:cs="Times New Roman"/>
                <w:noProof/>
              </w:rPr>
            </w:pPr>
            <w:r>
              <w:rPr>
                <w:noProof/>
              </w:rPr>
              <w:t>55</w:t>
            </w:r>
          </w:p>
        </w:tc>
        <w:tc>
          <w:tcPr>
            <w:tcW w:w="851" w:type="dxa"/>
            <w:shd w:val="clear" w:color="auto" w:fill="C6EFCE"/>
            <w:noWrap/>
          </w:tcPr>
          <w:p w14:paraId="4F7497D4" w14:textId="4C6A9D53" w:rsidR="003E1D81" w:rsidRDefault="00EB481C">
            <w:pPr>
              <w:pStyle w:val="P68B1DB1-Normal13"/>
              <w:spacing w:after="0" w:line="240" w:lineRule="auto"/>
              <w:jc w:val="center"/>
              <w:rPr>
                <w:rFonts w:eastAsia="MS Mincho" w:cs="Times New Roman"/>
                <w:noProof/>
              </w:rPr>
            </w:pPr>
            <w:r>
              <w:rPr>
                <w:noProof/>
              </w:rPr>
              <w:t>C3.I6</w:t>
            </w:r>
          </w:p>
        </w:tc>
        <w:tc>
          <w:tcPr>
            <w:tcW w:w="1080" w:type="dxa"/>
            <w:shd w:val="clear" w:color="auto" w:fill="C6EFCE"/>
            <w:noWrap/>
          </w:tcPr>
          <w:p w14:paraId="1BEE1494" w14:textId="0B443E0E" w:rsidR="003E1D81" w:rsidRDefault="00EB481C">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095A004D" w14:textId="1E4D6E2D" w:rsidR="003E1D81" w:rsidRDefault="00EB481C">
            <w:pPr>
              <w:pStyle w:val="P68B1DB1-Normal13"/>
              <w:spacing w:after="0" w:line="240" w:lineRule="auto"/>
              <w:rPr>
                <w:rFonts w:eastAsia="MS Mincho" w:cs="Times New Roman"/>
                <w:noProof/>
              </w:rPr>
            </w:pPr>
            <w:r>
              <w:rPr>
                <w:noProof/>
              </w:rPr>
              <w:t xml:space="preserve">IKT-berendezések beszerzése a halászati érdekeltségek tengeri tartalékai számára, valamint a tengeri </w:t>
            </w:r>
            <w:r>
              <w:rPr>
                <w:noProof/>
              </w:rPr>
              <w:t>tartalék céljára szolgáló különleges célú hajók beszerzésére vonatkozó szerződések</w:t>
            </w:r>
          </w:p>
        </w:tc>
        <w:tc>
          <w:tcPr>
            <w:tcW w:w="1276" w:type="dxa"/>
            <w:shd w:val="clear" w:color="auto" w:fill="C6EFCE"/>
            <w:noWrap/>
          </w:tcPr>
          <w:p w14:paraId="07547A01" w14:textId="1B887A68" w:rsidR="003E1D81" w:rsidRDefault="00EB481C">
            <w:pPr>
              <w:pStyle w:val="P68B1DB1-Normal13"/>
              <w:spacing w:after="0" w:line="240" w:lineRule="auto"/>
              <w:jc w:val="center"/>
              <w:rPr>
                <w:rFonts w:eastAsia="MS Mincho" w:cs="Times New Roman"/>
                <w:noProof/>
              </w:rPr>
            </w:pPr>
            <w:r>
              <w:rPr>
                <w:noProof/>
              </w:rPr>
              <w:t xml:space="preserve">A szerződés odaítélésének közzététele a közbeszerzési platformon </w:t>
            </w:r>
          </w:p>
        </w:tc>
        <w:tc>
          <w:tcPr>
            <w:tcW w:w="850" w:type="dxa"/>
            <w:shd w:val="clear" w:color="auto" w:fill="C6EFCE"/>
            <w:noWrap/>
          </w:tcPr>
          <w:p w14:paraId="324D7EF8" w14:textId="12386D6E"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4207ADCD" w14:textId="14279A79"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60DA3216" w14:textId="0139C229"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49F6EBCF" w14:textId="15C7B5FD"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000E632F" w14:textId="17E29F0E" w:rsidR="003E1D81" w:rsidRDefault="00EB481C">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FFE1FB1" w14:textId="222990EE" w:rsidR="003E1D81" w:rsidRDefault="00EB481C">
            <w:pPr>
              <w:pStyle w:val="P68B1DB1-Normal13"/>
              <w:spacing w:after="0" w:line="240" w:lineRule="auto"/>
              <w:rPr>
                <w:rFonts w:eastAsia="MS Mincho" w:cs="Times New Roman"/>
                <w:noProof/>
              </w:rPr>
            </w:pPr>
            <w:r>
              <w:rPr>
                <w:noProof/>
              </w:rPr>
              <w:t>A halászati érdekeltségű tengeri tartalékalaphoz szükséges IKT-berendezések beszerzésér</w:t>
            </w:r>
            <w:r>
              <w:rPr>
                <w:noProof/>
              </w:rPr>
              <w:t>e, valamint két különleges célú hajónak a tengeri tartalékok számára történő beszerzésére vonatkozó szerződés közbeszerzési platformon történő közzététele. A tengeri rezervátumok IKT-berendezései a következőkből állnak: i. Alborán Lighthouse radar rádiókap</w:t>
            </w:r>
            <w:r>
              <w:rPr>
                <w:noProof/>
              </w:rPr>
              <w:t>csolat a félszigettel, és ii. megfelelő teljesítményű drónok vásárlása, amelyek lehetővé teszik az ellenőrzési és nyomonkövetési tevékenységeket, és optimalizálják a meglévő eszközöket, csökkentve a környezeti hatást is. A tengeri rezervátumok különleges c</w:t>
            </w:r>
            <w:r>
              <w:rPr>
                <w:noProof/>
              </w:rPr>
              <w:t xml:space="preserve">élú hajójának beszerzéséhez a jelentős károkozás elkerülését célzó technikai iránymutatásnak (2021/C58/01) való megfelelést lehetővé tevő legjobb technológiát kell keresni. </w:t>
            </w:r>
          </w:p>
        </w:tc>
      </w:tr>
      <w:tr w:rsidR="003E1D81" w14:paraId="38D9B000" w14:textId="77777777">
        <w:trPr>
          <w:trHeight w:val="309"/>
        </w:trPr>
        <w:tc>
          <w:tcPr>
            <w:tcW w:w="709" w:type="dxa"/>
            <w:shd w:val="clear" w:color="auto" w:fill="C6EFCE"/>
            <w:noWrap/>
          </w:tcPr>
          <w:p w14:paraId="0868EBB2" w14:textId="222429D7" w:rsidR="003E1D81" w:rsidRDefault="00EB481C">
            <w:pPr>
              <w:pStyle w:val="P68B1DB1-Normal13"/>
              <w:spacing w:after="0" w:line="240" w:lineRule="auto"/>
              <w:jc w:val="center"/>
              <w:rPr>
                <w:rFonts w:eastAsia="MS Mincho" w:cs="Times New Roman"/>
                <w:noProof/>
              </w:rPr>
            </w:pPr>
            <w:r>
              <w:rPr>
                <w:noProof/>
              </w:rPr>
              <w:t>56</w:t>
            </w:r>
          </w:p>
        </w:tc>
        <w:tc>
          <w:tcPr>
            <w:tcW w:w="851" w:type="dxa"/>
            <w:shd w:val="clear" w:color="auto" w:fill="C6EFCE"/>
            <w:noWrap/>
          </w:tcPr>
          <w:p w14:paraId="36FEFEFA" w14:textId="3D673125" w:rsidR="003E1D81" w:rsidRDefault="00EB481C">
            <w:pPr>
              <w:pStyle w:val="P68B1DB1-Normal13"/>
              <w:spacing w:after="0" w:line="240" w:lineRule="auto"/>
              <w:jc w:val="center"/>
              <w:rPr>
                <w:rFonts w:eastAsia="MS Mincho" w:cs="Times New Roman"/>
                <w:noProof/>
              </w:rPr>
            </w:pPr>
            <w:r>
              <w:rPr>
                <w:noProof/>
              </w:rPr>
              <w:t>C3.I7</w:t>
            </w:r>
          </w:p>
        </w:tc>
        <w:tc>
          <w:tcPr>
            <w:tcW w:w="1080" w:type="dxa"/>
            <w:shd w:val="clear" w:color="auto" w:fill="C6EFCE"/>
            <w:noWrap/>
          </w:tcPr>
          <w:p w14:paraId="5EE5B567" w14:textId="20A8FDD0" w:rsidR="003E1D81" w:rsidRDefault="00EB481C">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02876A43" w14:textId="2972E394" w:rsidR="003E1D81" w:rsidRDefault="00EB481C">
            <w:pPr>
              <w:pStyle w:val="P68B1DB1-Normal13"/>
              <w:spacing w:after="0" w:line="240" w:lineRule="auto"/>
              <w:rPr>
                <w:rFonts w:eastAsia="MS Mincho" w:cs="Times New Roman"/>
                <w:noProof/>
              </w:rPr>
            </w:pPr>
            <w:r>
              <w:rPr>
                <w:noProof/>
              </w:rPr>
              <w:t>Megállapodások állami kutatási szervekkel</w:t>
            </w:r>
          </w:p>
        </w:tc>
        <w:tc>
          <w:tcPr>
            <w:tcW w:w="1276" w:type="dxa"/>
            <w:shd w:val="clear" w:color="auto" w:fill="C6EFCE"/>
            <w:noWrap/>
          </w:tcPr>
          <w:p w14:paraId="5043CB0F" w14:textId="37917C5C" w:rsidR="003E1D81" w:rsidRDefault="00EB481C">
            <w:pPr>
              <w:pStyle w:val="P68B1DB1-Normal13"/>
              <w:spacing w:after="0" w:line="240" w:lineRule="auto"/>
              <w:jc w:val="center"/>
              <w:rPr>
                <w:rFonts w:eastAsia="MS Mincho" w:cs="Times New Roman"/>
                <w:noProof/>
              </w:rPr>
            </w:pPr>
            <w:r>
              <w:rPr>
                <w:noProof/>
              </w:rPr>
              <w:t xml:space="preserve">Megállapodások aláírása </w:t>
            </w:r>
            <w:r>
              <w:rPr>
                <w:noProof/>
              </w:rPr>
              <w:t>állami kutatási szervekkel</w:t>
            </w:r>
          </w:p>
        </w:tc>
        <w:tc>
          <w:tcPr>
            <w:tcW w:w="850" w:type="dxa"/>
            <w:shd w:val="clear" w:color="auto" w:fill="C6EFCE"/>
            <w:noWrap/>
          </w:tcPr>
          <w:p w14:paraId="11027AA7" w14:textId="71EDFADA"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5D64A453" w14:textId="6A13CB52"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174B1212" w14:textId="0A8BA489"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5585A9C2"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0B50C5A4" w14:textId="19AA6B8A" w:rsidR="003E1D81" w:rsidRDefault="00EB481C">
            <w:pPr>
              <w:pStyle w:val="P68B1DB1-Normal13"/>
              <w:spacing w:after="0" w:line="240" w:lineRule="auto"/>
              <w:jc w:val="center"/>
              <w:rPr>
                <w:rFonts w:eastAsia="MS Mincho" w:cs="Times New Roman"/>
                <w:noProof/>
              </w:rPr>
            </w:pPr>
            <w:r>
              <w:rPr>
                <w:noProof/>
              </w:rPr>
              <w:t>2021</w:t>
            </w:r>
          </w:p>
        </w:tc>
        <w:tc>
          <w:tcPr>
            <w:tcW w:w="5387" w:type="dxa"/>
            <w:shd w:val="clear" w:color="auto" w:fill="C6EFCE"/>
            <w:noWrap/>
          </w:tcPr>
          <w:p w14:paraId="616FEBE4" w14:textId="37D92DF3" w:rsidR="003E1D81" w:rsidRDefault="00EB481C">
            <w:pPr>
              <w:pStyle w:val="P68B1DB1-Normal13"/>
              <w:spacing w:after="0" w:line="240" w:lineRule="auto"/>
              <w:rPr>
                <w:rFonts w:eastAsia="MS Mincho" w:cs="Times New Roman"/>
                <w:noProof/>
              </w:rPr>
            </w:pPr>
            <w:r>
              <w:rPr>
                <w:noProof/>
              </w:rPr>
              <w:t>Megállapodások aláírása az állami kutatási szervekkel a halászati és akvakultúra-kutatás előmozdítása érdekében, biztosítva a halászati gazdálkodással kapcsolatos döntéshozatal ökoszisztéma-alapú megközelítésé</w:t>
            </w:r>
            <w:r>
              <w:rPr>
                <w:noProof/>
              </w:rPr>
              <w:t xml:space="preserve">t  </w:t>
            </w:r>
          </w:p>
        </w:tc>
      </w:tr>
      <w:tr w:rsidR="003E1D81" w14:paraId="256BC99F" w14:textId="77777777">
        <w:trPr>
          <w:trHeight w:val="309"/>
        </w:trPr>
        <w:tc>
          <w:tcPr>
            <w:tcW w:w="709" w:type="dxa"/>
            <w:shd w:val="clear" w:color="auto" w:fill="C6EFCE"/>
            <w:noWrap/>
          </w:tcPr>
          <w:p w14:paraId="5FE3165D" w14:textId="0AFB058B" w:rsidR="003E1D81" w:rsidRDefault="00EB481C">
            <w:pPr>
              <w:pStyle w:val="P68B1DB1-Normal13"/>
              <w:spacing w:after="0" w:line="240" w:lineRule="auto"/>
              <w:jc w:val="center"/>
              <w:rPr>
                <w:rFonts w:eastAsia="MS Mincho" w:cs="Times New Roman"/>
                <w:noProof/>
              </w:rPr>
            </w:pPr>
            <w:r>
              <w:rPr>
                <w:noProof/>
              </w:rPr>
              <w:t>57</w:t>
            </w:r>
          </w:p>
        </w:tc>
        <w:tc>
          <w:tcPr>
            <w:tcW w:w="851" w:type="dxa"/>
            <w:shd w:val="clear" w:color="auto" w:fill="C6EFCE"/>
            <w:noWrap/>
          </w:tcPr>
          <w:p w14:paraId="33E213DF" w14:textId="2023383F" w:rsidR="003E1D81" w:rsidRDefault="00EB481C">
            <w:pPr>
              <w:pStyle w:val="P68B1DB1-Normal13"/>
              <w:spacing w:after="0" w:line="240" w:lineRule="auto"/>
              <w:jc w:val="center"/>
              <w:rPr>
                <w:rFonts w:eastAsia="MS Mincho" w:cs="Times New Roman"/>
                <w:noProof/>
              </w:rPr>
            </w:pPr>
            <w:r>
              <w:rPr>
                <w:noProof/>
              </w:rPr>
              <w:t>C3.I7</w:t>
            </w:r>
          </w:p>
        </w:tc>
        <w:tc>
          <w:tcPr>
            <w:tcW w:w="1080" w:type="dxa"/>
            <w:shd w:val="clear" w:color="auto" w:fill="C6EFCE"/>
            <w:noWrap/>
          </w:tcPr>
          <w:p w14:paraId="388498F2" w14:textId="44569597" w:rsidR="003E1D81" w:rsidRDefault="00EB481C">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31C63DEF" w14:textId="77BBC003" w:rsidR="003E1D81" w:rsidRDefault="00EB481C">
            <w:pPr>
              <w:pStyle w:val="P68B1DB1-Normal13"/>
              <w:spacing w:after="0" w:line="240" w:lineRule="auto"/>
              <w:rPr>
                <w:rFonts w:eastAsia="MS Mincho" w:cs="Times New Roman"/>
                <w:noProof/>
              </w:rPr>
            </w:pPr>
            <w:r>
              <w:rPr>
                <w:noProof/>
              </w:rPr>
              <w:t>Akusztikai szondák beszerzése a halászati kutatáshoz</w:t>
            </w:r>
          </w:p>
        </w:tc>
        <w:tc>
          <w:tcPr>
            <w:tcW w:w="1276" w:type="dxa"/>
            <w:shd w:val="clear" w:color="auto" w:fill="C6EFCE"/>
            <w:noWrap/>
          </w:tcPr>
          <w:p w14:paraId="01947563" w14:textId="78C22953" w:rsidR="003E1D81" w:rsidRDefault="003E1D81">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8BC89FB" w14:textId="7792EE1E" w:rsidR="003E1D81" w:rsidRDefault="00EB481C">
            <w:pPr>
              <w:pStyle w:val="P68B1DB1-Normal13"/>
              <w:spacing w:after="0" w:line="240" w:lineRule="auto"/>
              <w:jc w:val="right"/>
              <w:rPr>
                <w:rFonts w:eastAsia="MS Mincho" w:cs="Times New Roman"/>
                <w:noProof/>
              </w:rPr>
            </w:pPr>
            <w:r>
              <w:rPr>
                <w:noProof/>
              </w:rPr>
              <w:t>Szám </w:t>
            </w:r>
          </w:p>
        </w:tc>
        <w:tc>
          <w:tcPr>
            <w:tcW w:w="567" w:type="dxa"/>
            <w:shd w:val="clear" w:color="auto" w:fill="C6EFCE"/>
            <w:noWrap/>
          </w:tcPr>
          <w:p w14:paraId="70945AB8" w14:textId="73B2824C" w:rsidR="003E1D81" w:rsidRDefault="00EB481C">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45FB2F13" w14:textId="2CA05724" w:rsidR="003E1D81" w:rsidRDefault="00EB481C">
            <w:pPr>
              <w:pStyle w:val="P68B1DB1-Normal13"/>
              <w:spacing w:after="0" w:line="240" w:lineRule="auto"/>
              <w:jc w:val="right"/>
              <w:rPr>
                <w:rFonts w:eastAsia="MS Mincho" w:cs="Times New Roman"/>
                <w:noProof/>
              </w:rPr>
            </w:pPr>
            <w:r>
              <w:rPr>
                <w:noProof/>
              </w:rPr>
              <w:t>2</w:t>
            </w:r>
          </w:p>
        </w:tc>
        <w:tc>
          <w:tcPr>
            <w:tcW w:w="425" w:type="dxa"/>
            <w:shd w:val="clear" w:color="auto" w:fill="C6EFCE"/>
            <w:noWrap/>
          </w:tcPr>
          <w:p w14:paraId="1317816B" w14:textId="784687FF"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5B19E796" w14:textId="77777777" w:rsidR="003E1D81" w:rsidRDefault="00EB481C">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0DBBBB21" w14:textId="50C527C4" w:rsidR="003E1D81" w:rsidRDefault="00EB481C">
            <w:pPr>
              <w:pStyle w:val="P68B1DB1-Normal13"/>
              <w:spacing w:after="0" w:line="240" w:lineRule="auto"/>
              <w:rPr>
                <w:rFonts w:cs="Times New Roman"/>
                <w:noProof/>
              </w:rPr>
            </w:pPr>
            <w:r>
              <w:rPr>
                <w:noProof/>
              </w:rPr>
              <w:t xml:space="preserve">A halászati kutatással foglalkozó két akusztikai szonda beszerzésére odaítélt szerződés közzététele a közbeszerzési platformban. Két meglévő kutatóhajó számára két </w:t>
            </w:r>
            <w:r>
              <w:rPr>
                <w:noProof/>
              </w:rPr>
              <w:t>szonda beszerzésének célja a kapott adatok minőségének biztosítása, és következésképpen a nyílt tengeri fajok különböző állományaira vonatkozó tudományos értékelések előnyben részesítése, hozzájárulva a halászat fenntarthatóságához és a halászati gazdálkod</w:t>
            </w:r>
            <w:r>
              <w:rPr>
                <w:noProof/>
              </w:rPr>
              <w:t>ással kapcsolatos, a legjobb tudományos ismereteken alapuló döntéshozatalhoz.</w:t>
            </w:r>
          </w:p>
        </w:tc>
      </w:tr>
      <w:tr w:rsidR="003E1D81" w14:paraId="1406655C" w14:textId="77777777">
        <w:trPr>
          <w:trHeight w:val="309"/>
        </w:trPr>
        <w:tc>
          <w:tcPr>
            <w:tcW w:w="709" w:type="dxa"/>
            <w:shd w:val="clear" w:color="auto" w:fill="C6EFCE"/>
            <w:noWrap/>
          </w:tcPr>
          <w:p w14:paraId="6F8A58DE" w14:textId="51E18F9A" w:rsidR="003E1D81" w:rsidRDefault="00EB481C">
            <w:pPr>
              <w:pStyle w:val="P68B1DB1-Normal13"/>
              <w:spacing w:after="0" w:line="240" w:lineRule="auto"/>
              <w:jc w:val="center"/>
              <w:rPr>
                <w:rFonts w:eastAsia="MS Mincho" w:cs="Times New Roman"/>
                <w:noProof/>
              </w:rPr>
            </w:pPr>
            <w:r>
              <w:rPr>
                <w:noProof/>
              </w:rPr>
              <w:t>58</w:t>
            </w:r>
          </w:p>
        </w:tc>
        <w:tc>
          <w:tcPr>
            <w:tcW w:w="851" w:type="dxa"/>
            <w:shd w:val="clear" w:color="auto" w:fill="C6EFCE"/>
            <w:noWrap/>
          </w:tcPr>
          <w:p w14:paraId="2E9F658E" w14:textId="51F7C3D1" w:rsidR="003E1D81" w:rsidRDefault="00EB481C">
            <w:pPr>
              <w:pStyle w:val="P68B1DB1-Normal13"/>
              <w:spacing w:after="0" w:line="240" w:lineRule="auto"/>
              <w:jc w:val="center"/>
              <w:rPr>
                <w:rFonts w:eastAsia="MS Mincho" w:cs="Times New Roman"/>
                <w:noProof/>
              </w:rPr>
            </w:pPr>
            <w:r>
              <w:rPr>
                <w:noProof/>
              </w:rPr>
              <w:t>C3.I8</w:t>
            </w:r>
          </w:p>
        </w:tc>
        <w:tc>
          <w:tcPr>
            <w:tcW w:w="1080" w:type="dxa"/>
            <w:shd w:val="clear" w:color="auto" w:fill="C6EFCE"/>
            <w:noWrap/>
          </w:tcPr>
          <w:p w14:paraId="36908B73" w14:textId="4A705DE3" w:rsidR="003E1D81" w:rsidRDefault="00EB481C">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59366F03" w14:textId="38B05B9F" w:rsidR="003E1D81" w:rsidRDefault="00EB481C">
            <w:pPr>
              <w:pStyle w:val="P68B1DB1-Normal13"/>
              <w:spacing w:after="0" w:line="240" w:lineRule="auto"/>
              <w:rPr>
                <w:rFonts w:eastAsia="MS Mincho" w:cs="Times New Roman"/>
                <w:noProof/>
              </w:rPr>
            </w:pPr>
            <w:r>
              <w:rPr>
                <w:noProof/>
              </w:rPr>
              <w:t>Kutatásfejlesztési és innovációs projektek a halászati és akvakultúra-ágazat rezilienciájának és fenntarthatóságának támogatására</w:t>
            </w:r>
          </w:p>
        </w:tc>
        <w:tc>
          <w:tcPr>
            <w:tcW w:w="1276" w:type="dxa"/>
            <w:shd w:val="clear" w:color="auto" w:fill="C6EFCE"/>
            <w:noWrap/>
          </w:tcPr>
          <w:p w14:paraId="4E801B33" w14:textId="60B7C178" w:rsidR="003E1D81" w:rsidRDefault="003E1D81">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184D15E4" w14:textId="251C36AF" w:rsidR="003E1D81" w:rsidRDefault="00EB481C">
            <w:pPr>
              <w:pStyle w:val="P68B1DB1-Normal13"/>
              <w:spacing w:after="0" w:line="240" w:lineRule="auto"/>
              <w:jc w:val="right"/>
              <w:rPr>
                <w:rFonts w:eastAsia="MS Mincho" w:cs="Times New Roman"/>
                <w:noProof/>
              </w:rPr>
            </w:pPr>
            <w:r>
              <w:rPr>
                <w:noProof/>
              </w:rPr>
              <w:t>Szám</w:t>
            </w:r>
          </w:p>
        </w:tc>
        <w:tc>
          <w:tcPr>
            <w:tcW w:w="567" w:type="dxa"/>
            <w:shd w:val="clear" w:color="auto" w:fill="C6EFCE"/>
            <w:noWrap/>
          </w:tcPr>
          <w:p w14:paraId="63A420E6" w14:textId="024DED6A" w:rsidR="003E1D81" w:rsidRDefault="00EB481C">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028EB558" w14:textId="5B485D53" w:rsidR="003E1D81" w:rsidRDefault="00EB481C">
            <w:pPr>
              <w:pStyle w:val="P68B1DB1-Normal13"/>
              <w:spacing w:after="0" w:line="240" w:lineRule="auto"/>
              <w:jc w:val="right"/>
              <w:rPr>
                <w:rFonts w:eastAsia="MS Mincho" w:cs="Times New Roman"/>
                <w:noProof/>
              </w:rPr>
            </w:pPr>
            <w:r>
              <w:rPr>
                <w:noProof/>
              </w:rPr>
              <w:t>20</w:t>
            </w:r>
          </w:p>
        </w:tc>
        <w:tc>
          <w:tcPr>
            <w:tcW w:w="425" w:type="dxa"/>
            <w:shd w:val="clear" w:color="auto" w:fill="C6EFCE"/>
            <w:noWrap/>
          </w:tcPr>
          <w:p w14:paraId="6AC464C5"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3A713548" w14:textId="6D21B9C8" w:rsidR="003E1D81" w:rsidRDefault="00EB481C">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10FE26EE" w14:textId="76476710" w:rsidR="003E1D81" w:rsidRDefault="00EB481C">
            <w:pPr>
              <w:pStyle w:val="P68B1DB1-Normal13"/>
              <w:spacing w:after="0" w:line="240" w:lineRule="auto"/>
              <w:rPr>
                <w:rFonts w:eastAsia="MS Mincho" w:cs="Times New Roman"/>
                <w:noProof/>
              </w:rPr>
            </w:pPr>
            <w:r>
              <w:rPr>
                <w:noProof/>
              </w:rPr>
              <w:t>Legalább 20</w:t>
            </w:r>
            <w:r>
              <w:rPr>
                <w:noProof/>
              </w:rPr>
              <w:t xml:space="preserve"> kutatási, fejlesztési és innovációs projekt lezárása a halászati és akvakultúra-ágazat rezilienciáját és fenntarthatóságát elősegítő új technológiák bevezetése érdekében.</w:t>
            </w:r>
          </w:p>
        </w:tc>
      </w:tr>
      <w:tr w:rsidR="003E1D81" w14:paraId="30C4F024" w14:textId="77777777">
        <w:trPr>
          <w:trHeight w:val="309"/>
        </w:trPr>
        <w:tc>
          <w:tcPr>
            <w:tcW w:w="709" w:type="dxa"/>
            <w:shd w:val="clear" w:color="auto" w:fill="C6EFCE"/>
            <w:noWrap/>
          </w:tcPr>
          <w:p w14:paraId="4D2760AF" w14:textId="25DEC3E5" w:rsidR="003E1D81" w:rsidRDefault="00EB481C">
            <w:pPr>
              <w:pStyle w:val="P68B1DB1-Normal13"/>
              <w:spacing w:after="0" w:line="240" w:lineRule="auto"/>
              <w:jc w:val="center"/>
              <w:rPr>
                <w:rFonts w:eastAsia="MS Mincho" w:cs="Times New Roman"/>
                <w:noProof/>
              </w:rPr>
            </w:pPr>
            <w:r>
              <w:rPr>
                <w:noProof/>
              </w:rPr>
              <w:t>59</w:t>
            </w:r>
          </w:p>
        </w:tc>
        <w:tc>
          <w:tcPr>
            <w:tcW w:w="851" w:type="dxa"/>
            <w:shd w:val="clear" w:color="auto" w:fill="C6EFCE"/>
            <w:noWrap/>
          </w:tcPr>
          <w:p w14:paraId="74A6100D" w14:textId="2914EE3A" w:rsidR="003E1D81" w:rsidRDefault="00EB481C">
            <w:pPr>
              <w:pStyle w:val="P68B1DB1-Normal13"/>
              <w:spacing w:after="0" w:line="240" w:lineRule="auto"/>
              <w:jc w:val="center"/>
              <w:rPr>
                <w:rFonts w:eastAsia="MS Mincho" w:cs="Times New Roman"/>
                <w:noProof/>
              </w:rPr>
            </w:pPr>
            <w:r>
              <w:rPr>
                <w:noProof/>
              </w:rPr>
              <w:t>C3.I9</w:t>
            </w:r>
          </w:p>
        </w:tc>
        <w:tc>
          <w:tcPr>
            <w:tcW w:w="1080" w:type="dxa"/>
            <w:shd w:val="clear" w:color="auto" w:fill="C6EFCE"/>
            <w:noWrap/>
          </w:tcPr>
          <w:p w14:paraId="60A92451" w14:textId="6B927D17" w:rsidR="003E1D81" w:rsidRDefault="00EB481C">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2F0C1A98" w14:textId="3E386702" w:rsidR="003E1D81" w:rsidRDefault="00EB481C">
            <w:pPr>
              <w:pStyle w:val="P68B1DB1-Normal13"/>
              <w:spacing w:after="0" w:line="240" w:lineRule="auto"/>
              <w:rPr>
                <w:rFonts w:eastAsia="MS Mincho" w:cs="Times New Roman"/>
                <w:noProof/>
              </w:rPr>
            </w:pPr>
            <w:r>
              <w:rPr>
                <w:noProof/>
              </w:rPr>
              <w:t xml:space="preserve">A spanyol halászati információs rendszer (SIPE) és a halászati felügyeleti rendszer digitális megerősítése </w:t>
            </w:r>
          </w:p>
        </w:tc>
        <w:tc>
          <w:tcPr>
            <w:tcW w:w="1276" w:type="dxa"/>
            <w:shd w:val="clear" w:color="auto" w:fill="C6EFCE"/>
            <w:noWrap/>
          </w:tcPr>
          <w:p w14:paraId="07459315" w14:textId="14D49FA8" w:rsidR="003E1D81" w:rsidRDefault="00EB481C">
            <w:pPr>
              <w:pStyle w:val="P68B1DB1-Normal13"/>
              <w:spacing w:after="0" w:line="240" w:lineRule="auto"/>
              <w:jc w:val="center"/>
              <w:rPr>
                <w:rFonts w:eastAsia="MS Mincho" w:cs="Times New Roman"/>
                <w:noProof/>
              </w:rPr>
            </w:pPr>
            <w:r>
              <w:rPr>
                <w:noProof/>
              </w:rPr>
              <w:t>Második tűzfalvédő felszerelése</w:t>
            </w:r>
          </w:p>
        </w:tc>
        <w:tc>
          <w:tcPr>
            <w:tcW w:w="850" w:type="dxa"/>
            <w:shd w:val="clear" w:color="auto" w:fill="C6EFCE"/>
            <w:noWrap/>
          </w:tcPr>
          <w:p w14:paraId="492888C9" w14:textId="0C17A82B" w:rsidR="003E1D81" w:rsidRDefault="00EB481C">
            <w:pPr>
              <w:pStyle w:val="P68B1DB1-Normal13"/>
              <w:spacing w:after="0" w:line="240" w:lineRule="auto"/>
              <w:jc w:val="right"/>
              <w:rPr>
                <w:rFonts w:eastAsia="MS Mincho" w:cs="Times New Roman"/>
                <w:noProof/>
              </w:rPr>
            </w:pPr>
            <w:r>
              <w:rPr>
                <w:noProof/>
              </w:rPr>
              <w:t> </w:t>
            </w:r>
          </w:p>
        </w:tc>
        <w:tc>
          <w:tcPr>
            <w:tcW w:w="567" w:type="dxa"/>
            <w:shd w:val="clear" w:color="auto" w:fill="C6EFCE"/>
            <w:noWrap/>
          </w:tcPr>
          <w:p w14:paraId="3081C80F" w14:textId="192EA673"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7144751B" w14:textId="7A6D4372"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0DC41FC3" w14:textId="2F9F671E"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162C3D42" w14:textId="6DF5AFA2" w:rsidR="003E1D81" w:rsidRDefault="00EB481C">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514E70BC" w14:textId="48658675" w:rsidR="003E1D81" w:rsidRDefault="00EB481C">
            <w:pPr>
              <w:pStyle w:val="P68B1DB1-Normal13"/>
              <w:spacing w:after="0" w:line="240" w:lineRule="auto"/>
              <w:rPr>
                <w:rFonts w:eastAsia="MS Mincho" w:cs="Times New Roman"/>
                <w:noProof/>
              </w:rPr>
            </w:pPr>
            <w:r>
              <w:rPr>
                <w:noProof/>
              </w:rPr>
              <w:t>A halászati információk és a felügyelet digitális megerősítése, beleértve egy második tűzfal (tű</w:t>
            </w:r>
            <w:r>
              <w:rPr>
                <w:noProof/>
              </w:rPr>
              <w:t>zfal) telepítését a spanyol halászati információs rendszer (SIPE) biztonságának növelése érdekében, a nemzeti biztonsági rendszerben (ENS) a magas szintű biztonság tekintetében meghatározott követelményeknek megfelelően, valamint a halászhajók digitalizálá</w:t>
            </w:r>
            <w:r>
              <w:rPr>
                <w:noProof/>
              </w:rPr>
              <w:t xml:space="preserve">sa.  </w:t>
            </w:r>
          </w:p>
        </w:tc>
      </w:tr>
      <w:tr w:rsidR="003E1D81" w14:paraId="1E462E9F" w14:textId="77777777">
        <w:trPr>
          <w:trHeight w:val="309"/>
        </w:trPr>
        <w:tc>
          <w:tcPr>
            <w:tcW w:w="709" w:type="dxa"/>
            <w:shd w:val="clear" w:color="auto" w:fill="C6EFCE"/>
            <w:noWrap/>
          </w:tcPr>
          <w:p w14:paraId="60E7A8A8" w14:textId="3D95EEAB" w:rsidR="003E1D81" w:rsidRDefault="00EB481C">
            <w:pPr>
              <w:pStyle w:val="P68B1DB1-Normal13"/>
              <w:spacing w:after="0" w:line="240" w:lineRule="auto"/>
              <w:jc w:val="center"/>
              <w:rPr>
                <w:rFonts w:eastAsia="MS Mincho" w:cs="Times New Roman"/>
                <w:noProof/>
              </w:rPr>
            </w:pPr>
            <w:r>
              <w:rPr>
                <w:noProof/>
              </w:rPr>
              <w:t>60</w:t>
            </w:r>
          </w:p>
        </w:tc>
        <w:tc>
          <w:tcPr>
            <w:tcW w:w="851" w:type="dxa"/>
            <w:shd w:val="clear" w:color="auto" w:fill="C6EFCE"/>
            <w:noWrap/>
          </w:tcPr>
          <w:p w14:paraId="195DB6A2" w14:textId="48CC61DA" w:rsidR="003E1D81" w:rsidRDefault="00EB481C">
            <w:pPr>
              <w:pStyle w:val="P68B1DB1-Normal13"/>
              <w:spacing w:after="0" w:line="240" w:lineRule="auto"/>
              <w:jc w:val="center"/>
              <w:rPr>
                <w:rFonts w:eastAsia="MS Mincho" w:cs="Times New Roman"/>
                <w:noProof/>
              </w:rPr>
            </w:pPr>
            <w:r>
              <w:rPr>
                <w:noProof/>
              </w:rPr>
              <w:t>C3.I10</w:t>
            </w:r>
          </w:p>
        </w:tc>
        <w:tc>
          <w:tcPr>
            <w:tcW w:w="1080" w:type="dxa"/>
            <w:shd w:val="clear" w:color="auto" w:fill="C6EFCE"/>
            <w:noWrap/>
          </w:tcPr>
          <w:p w14:paraId="1EE4D7E7" w14:textId="29CC0987" w:rsidR="003E1D81" w:rsidRDefault="00EB481C">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4637942A" w14:textId="057F78C4" w:rsidR="003E1D81" w:rsidRDefault="00EB481C">
            <w:pPr>
              <w:pStyle w:val="P68B1DB1-Normal13"/>
              <w:spacing w:after="0" w:line="240" w:lineRule="auto"/>
              <w:rPr>
                <w:rFonts w:eastAsia="MS Mincho" w:cs="Times New Roman"/>
                <w:noProof/>
              </w:rPr>
            </w:pPr>
            <w:r>
              <w:rPr>
                <w:noProof/>
              </w:rPr>
              <w:t xml:space="preserve">Könnyű járőrcsónakok és nyílt tengeri járőrhajók vásárlása a jogellenes, be nem jelentett és szabályozatlan halászat elleni küzdelem érdekében </w:t>
            </w:r>
          </w:p>
        </w:tc>
        <w:tc>
          <w:tcPr>
            <w:tcW w:w="1276" w:type="dxa"/>
            <w:shd w:val="clear" w:color="auto" w:fill="C6EFCE"/>
            <w:noWrap/>
          </w:tcPr>
          <w:p w14:paraId="6537F28F" w14:textId="0648B147" w:rsidR="003E1D81" w:rsidRDefault="00EB481C">
            <w:pPr>
              <w:pStyle w:val="P68B1DB1-Normal13"/>
              <w:spacing w:after="0" w:line="240" w:lineRule="auto"/>
              <w:jc w:val="center"/>
              <w:rPr>
                <w:rFonts w:eastAsia="MS Mincho" w:cs="Times New Roman"/>
                <w:noProof/>
              </w:rPr>
            </w:pPr>
            <w:r>
              <w:rPr>
                <w:noProof/>
              </w:rPr>
              <w:t xml:space="preserve">A szerződés odaítélésének közzététele a közbeszerzési platformon </w:t>
            </w:r>
          </w:p>
        </w:tc>
        <w:tc>
          <w:tcPr>
            <w:tcW w:w="850" w:type="dxa"/>
            <w:shd w:val="clear" w:color="auto" w:fill="C6EFCE"/>
            <w:noWrap/>
          </w:tcPr>
          <w:p w14:paraId="24395A78" w14:textId="10EB6BDF"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3209E21E" w14:textId="425DB139"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7B5474F0" w14:textId="772120D4"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73E51AB3"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31A5C52D" w14:textId="1D6B0EE5" w:rsidR="003E1D81" w:rsidRDefault="00EB481C">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79CBC4EB" w14:textId="0F3BC9FD" w:rsidR="003E1D81" w:rsidRDefault="00EB481C">
            <w:pPr>
              <w:pStyle w:val="P68B1DB1-Normal13"/>
              <w:spacing w:after="0" w:line="240" w:lineRule="auto"/>
              <w:rPr>
                <w:rFonts w:eastAsia="MS Mincho" w:cs="Times New Roman"/>
                <w:noProof/>
              </w:rPr>
            </w:pPr>
            <w:r>
              <w:rPr>
                <w:noProof/>
              </w:rPr>
              <w:t xml:space="preserve">A </w:t>
            </w:r>
            <w:r>
              <w:rPr>
                <w:noProof/>
              </w:rPr>
              <w:t>közbeszerzési platformon négy új, könnyű járőrcsónakra és három megújított nyílt tengeri járőrhajóra vonatkozó szerződés odaítélésének közzététele, amelyeket a jogellenes, be nem jelentett és szabályozatlan halászat elleni küzdelemre használnak, amely tová</w:t>
            </w:r>
            <w:r>
              <w:rPr>
                <w:noProof/>
              </w:rPr>
              <w:t>bbra is az egyik legnagyobb veszélyt jelenti a tengeri ökoszisztémákra nézve. A jelentős károkozás elkerülését célzó technikai iránymutatásnak (2021/C58/01) való megfelelést lehetővé tevő legjobb technológiát kell keresni.</w:t>
            </w:r>
          </w:p>
        </w:tc>
      </w:tr>
      <w:tr w:rsidR="003E1D81" w14:paraId="7F936975" w14:textId="77777777">
        <w:trPr>
          <w:trHeight w:val="309"/>
        </w:trPr>
        <w:tc>
          <w:tcPr>
            <w:tcW w:w="709" w:type="dxa"/>
            <w:shd w:val="clear" w:color="auto" w:fill="C6EFCE"/>
            <w:noWrap/>
          </w:tcPr>
          <w:p w14:paraId="6E55690C" w14:textId="0FF76394" w:rsidR="003E1D81" w:rsidRDefault="00EB481C">
            <w:pPr>
              <w:pStyle w:val="P68B1DB1-Normal13"/>
              <w:spacing w:after="0" w:line="240" w:lineRule="auto"/>
              <w:jc w:val="center"/>
              <w:rPr>
                <w:rFonts w:eastAsia="MS Mincho" w:cs="Times New Roman"/>
                <w:noProof/>
              </w:rPr>
            </w:pPr>
            <w:r>
              <w:rPr>
                <w:noProof/>
              </w:rPr>
              <w:t>61</w:t>
            </w:r>
          </w:p>
        </w:tc>
        <w:tc>
          <w:tcPr>
            <w:tcW w:w="851" w:type="dxa"/>
            <w:shd w:val="clear" w:color="auto" w:fill="C6EFCE"/>
            <w:noWrap/>
          </w:tcPr>
          <w:p w14:paraId="1A723A1E" w14:textId="31EE0C7E" w:rsidR="003E1D81" w:rsidRDefault="00EB481C">
            <w:pPr>
              <w:pStyle w:val="P68B1DB1-Normal13"/>
              <w:spacing w:after="0" w:line="240" w:lineRule="auto"/>
              <w:jc w:val="center"/>
              <w:rPr>
                <w:rFonts w:eastAsia="MS Mincho" w:cs="Times New Roman"/>
                <w:noProof/>
              </w:rPr>
            </w:pPr>
            <w:r>
              <w:rPr>
                <w:noProof/>
              </w:rPr>
              <w:t>C3.I11</w:t>
            </w:r>
          </w:p>
        </w:tc>
        <w:tc>
          <w:tcPr>
            <w:tcW w:w="1080" w:type="dxa"/>
            <w:shd w:val="clear" w:color="auto" w:fill="C6EFCE"/>
            <w:noWrap/>
          </w:tcPr>
          <w:p w14:paraId="02EB2921" w14:textId="123F1310" w:rsidR="003E1D81" w:rsidRDefault="00EB481C">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5707BEAA" w14:textId="416EEAAE" w:rsidR="003E1D81" w:rsidRDefault="00EB481C">
            <w:pPr>
              <w:pStyle w:val="P68B1DB1-Normal13"/>
              <w:spacing w:after="0" w:line="240" w:lineRule="auto"/>
              <w:rPr>
                <w:rFonts w:eastAsia="MS Mincho" w:cs="Times New Roman"/>
                <w:noProof/>
              </w:rPr>
            </w:pPr>
            <w:r>
              <w:rPr>
                <w:noProof/>
              </w:rPr>
              <w:t xml:space="preserve">A halászati ágazat </w:t>
            </w:r>
            <w:r>
              <w:rPr>
                <w:noProof/>
              </w:rPr>
              <w:t>beruházási projektjeinek finanszírozása</w:t>
            </w:r>
          </w:p>
        </w:tc>
        <w:tc>
          <w:tcPr>
            <w:tcW w:w="1276" w:type="dxa"/>
            <w:shd w:val="clear" w:color="auto" w:fill="C6EFCE"/>
            <w:noWrap/>
          </w:tcPr>
          <w:p w14:paraId="3973365E" w14:textId="572DF5B8" w:rsidR="003E1D81" w:rsidRDefault="003E1D81">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222CCC41" w14:textId="248FA75A" w:rsidR="003E1D81" w:rsidRDefault="00EB481C">
            <w:pPr>
              <w:pStyle w:val="P68B1DB1-Normal13"/>
              <w:spacing w:after="0" w:line="240" w:lineRule="auto"/>
              <w:jc w:val="right"/>
              <w:rPr>
                <w:rFonts w:eastAsia="MS Mincho" w:cs="Times New Roman"/>
                <w:noProof/>
              </w:rPr>
            </w:pPr>
            <w:r>
              <w:rPr>
                <w:noProof/>
              </w:rPr>
              <w:t>Millió EUR</w:t>
            </w:r>
          </w:p>
        </w:tc>
        <w:tc>
          <w:tcPr>
            <w:tcW w:w="567" w:type="dxa"/>
            <w:shd w:val="clear" w:color="auto" w:fill="C6EFCE"/>
            <w:noWrap/>
          </w:tcPr>
          <w:p w14:paraId="66E8DF9A" w14:textId="360D9327" w:rsidR="003E1D81" w:rsidRDefault="00EB481C">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637F08B6" w14:textId="5981BE43" w:rsidR="003E1D81" w:rsidRDefault="00EB481C">
            <w:pPr>
              <w:pStyle w:val="P68B1DB1-Normal13"/>
              <w:spacing w:after="0" w:line="240" w:lineRule="auto"/>
              <w:jc w:val="right"/>
              <w:rPr>
                <w:rFonts w:eastAsia="MS Mincho" w:cs="Times New Roman"/>
                <w:noProof/>
              </w:rPr>
            </w:pPr>
            <w:r>
              <w:rPr>
                <w:noProof/>
              </w:rPr>
              <w:t>5</w:t>
            </w:r>
          </w:p>
        </w:tc>
        <w:tc>
          <w:tcPr>
            <w:tcW w:w="425" w:type="dxa"/>
            <w:shd w:val="clear" w:color="auto" w:fill="C6EFCE"/>
            <w:noWrap/>
          </w:tcPr>
          <w:p w14:paraId="067D6490" w14:textId="2A71F79C"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5EC703BC" w14:textId="13F59FB8" w:rsidR="003E1D81" w:rsidRDefault="00EB481C">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7E761D4" w14:textId="16D9DAC6" w:rsidR="003E1D81" w:rsidRDefault="00EB481C">
            <w:pPr>
              <w:pStyle w:val="P68B1DB1-Normal13"/>
              <w:spacing w:after="0" w:line="240" w:lineRule="auto"/>
              <w:rPr>
                <w:rFonts w:eastAsia="MS Mincho" w:cs="Times New Roman"/>
                <w:noProof/>
              </w:rPr>
            </w:pPr>
            <w:r>
              <w:rPr>
                <w:noProof/>
              </w:rPr>
              <w:t>A Mezőgazdasági, Halászati és Élelmiszerügyi Minisztérium és a SAECA közötti, a halászati ágazat beruházási projektjei finanszírozásának támogatásáról szóló megállapodás jóváhagyása azálta</w:t>
            </w:r>
            <w:r>
              <w:rPr>
                <w:noProof/>
              </w:rPr>
              <w:t>l, hogy legalább 5 000 000 EUR összegű kölcsönt nyújt a Sociedad Anónima Estatal de Caución Agraria (SAECA) számára egy olyan finanszírozási sor létrehozására, amelynek célja a fenntartható halászati tevékenységgel kapcsolatos tevékenységekkel járó projekt</w:t>
            </w:r>
            <w:r>
              <w:rPr>
                <w:noProof/>
              </w:rPr>
              <w:t>ek újragaranciája; a tevékenység munkakörülményeinek és biztonságának javítása; valamint a folyamatok és rendszerek digitalizálása. A fent említett megállapodásnak tartalmaznia kell egy olyan záradékot, amely garantálja, hogy az e beruházás keretében támog</w:t>
            </w:r>
            <w:r>
              <w:rPr>
                <w:noProof/>
              </w:rPr>
              <w:t>atott ügyletek fenntarthatósági vizsgálat, kizárási lista és a vonatkozó uniós és nemzeti környezetvédelmi jogszabályoknak való megfelelés követelménye révén megfelelnek az ezen intézkedés keretében támogatott ügyletekre vonatkozó, a jelentős károkozás elk</w:t>
            </w:r>
            <w:r>
              <w:rPr>
                <w:noProof/>
              </w:rPr>
              <w:t>erülését célzó technikai iránymutatásnak (2021/C58/01).</w:t>
            </w:r>
          </w:p>
        </w:tc>
      </w:tr>
    </w:tbl>
    <w:p w14:paraId="70DF9E56" w14:textId="77777777" w:rsidR="003E1D81" w:rsidRDefault="003E1D81">
      <w:pPr>
        <w:spacing w:before="120" w:after="120" w:line="240" w:lineRule="auto"/>
        <w:ind w:left="709"/>
        <w:jc w:val="both"/>
        <w:rPr>
          <w:rFonts w:ascii="Times New Roman" w:hAnsi="Times New Roman" w:cs="Times New Roman"/>
          <w:noProof/>
          <w:sz w:val="24"/>
        </w:rPr>
      </w:pPr>
    </w:p>
    <w:p w14:paraId="44E871BC" w14:textId="77777777" w:rsidR="003E1D81" w:rsidRDefault="003E1D81">
      <w:pPr>
        <w:spacing w:before="120" w:after="120" w:line="240" w:lineRule="auto"/>
        <w:ind w:left="709"/>
        <w:jc w:val="both"/>
        <w:rPr>
          <w:rFonts w:ascii="Times New Roman" w:hAnsi="Times New Roman" w:cs="Times New Roman"/>
          <w:noProof/>
          <w:sz w:val="24"/>
        </w:rPr>
      </w:pPr>
    </w:p>
    <w:p w14:paraId="0EB18B02" w14:textId="785A064A" w:rsidR="003E1D81" w:rsidRDefault="003E1D81">
      <w:pPr>
        <w:spacing w:before="120" w:after="120" w:line="240" w:lineRule="auto"/>
        <w:ind w:left="709"/>
        <w:jc w:val="both"/>
        <w:rPr>
          <w:rFonts w:ascii="Times New Roman" w:hAnsi="Times New Roman" w:cs="Times New Roman"/>
          <w:noProof/>
          <w:sz w:val="24"/>
        </w:rPr>
      </w:pPr>
    </w:p>
    <w:p w14:paraId="2A718143" w14:textId="01B8AB2B" w:rsidR="003E1D81" w:rsidRDefault="003E1D81">
      <w:pPr>
        <w:spacing w:before="120" w:after="120" w:line="240" w:lineRule="auto"/>
        <w:ind w:left="709"/>
        <w:jc w:val="both"/>
        <w:rPr>
          <w:rFonts w:ascii="Times New Roman" w:hAnsi="Times New Roman" w:cs="Times New Roman"/>
          <w:noProof/>
          <w:sz w:val="24"/>
        </w:rPr>
      </w:pPr>
    </w:p>
    <w:p w14:paraId="6443D1A8" w14:textId="31ECC4F1" w:rsidR="003E1D81" w:rsidRDefault="003E1D81">
      <w:pPr>
        <w:spacing w:before="120" w:after="120" w:line="240" w:lineRule="auto"/>
        <w:ind w:left="709"/>
        <w:jc w:val="both"/>
        <w:rPr>
          <w:rFonts w:ascii="Times New Roman" w:hAnsi="Times New Roman" w:cs="Times New Roman"/>
          <w:noProof/>
          <w:sz w:val="24"/>
        </w:rPr>
      </w:pPr>
    </w:p>
    <w:p w14:paraId="72DEA653" w14:textId="2C15C0E9" w:rsidR="003E1D81" w:rsidRDefault="003E1D81">
      <w:pPr>
        <w:spacing w:before="120" w:after="120" w:line="240" w:lineRule="auto"/>
        <w:ind w:left="709"/>
        <w:jc w:val="both"/>
        <w:rPr>
          <w:rFonts w:ascii="Times New Roman" w:hAnsi="Times New Roman" w:cs="Times New Roman"/>
          <w:noProof/>
          <w:sz w:val="24"/>
        </w:rPr>
      </w:pPr>
    </w:p>
    <w:p w14:paraId="62CC3A09" w14:textId="77777777" w:rsidR="003E1D81" w:rsidRDefault="003E1D81">
      <w:pPr>
        <w:spacing w:before="120" w:after="120" w:line="240" w:lineRule="auto"/>
        <w:ind w:left="709"/>
        <w:jc w:val="both"/>
        <w:rPr>
          <w:rFonts w:ascii="Times New Roman" w:hAnsi="Times New Roman" w:cs="Times New Roman"/>
          <w:noProof/>
          <w:sz w:val="24"/>
        </w:rPr>
        <w:sectPr w:rsidR="003E1D81" w:rsidSect="00522183">
          <w:headerReference w:type="even" r:id="rId84"/>
          <w:headerReference w:type="default" r:id="rId85"/>
          <w:footerReference w:type="even" r:id="rId86"/>
          <w:footerReference w:type="default" r:id="rId87"/>
          <w:headerReference w:type="first" r:id="rId88"/>
          <w:footerReference w:type="first" r:id="rId89"/>
          <w:pgSz w:w="16839" w:h="11907" w:orient="landscape"/>
          <w:pgMar w:top="1417" w:right="1134" w:bottom="1417" w:left="1134" w:header="709" w:footer="709" w:gutter="0"/>
          <w:cols w:space="720"/>
          <w:docGrid w:linePitch="360"/>
        </w:sectPr>
      </w:pPr>
    </w:p>
    <w:p w14:paraId="066BE16A" w14:textId="0032779E" w:rsidR="003E1D81" w:rsidRDefault="00EB481C">
      <w:pPr>
        <w:pStyle w:val="P68B1DB1-Text120"/>
        <w:ind w:left="709"/>
        <w:rPr>
          <w:rFonts w:eastAsia="MS Mincho" w:cs="Times New Roman"/>
          <w:noProof/>
        </w:rPr>
      </w:pPr>
      <w:r>
        <w:rPr>
          <w:b/>
          <w:noProof/>
        </w:rPr>
        <w:t>C.3. A hiteltámogatással kapcsolatos reformok és beruházások</w:t>
      </w:r>
      <w:r>
        <w:rPr>
          <w:noProof/>
        </w:rPr>
        <w:t xml:space="preserve"> ismertetése </w:t>
      </w:r>
    </w:p>
    <w:p w14:paraId="649BE32E" w14:textId="7CA16918" w:rsidR="003E1D81" w:rsidRDefault="00EB481C">
      <w:pPr>
        <w:pStyle w:val="P68B1DB1-Normal6"/>
        <w:spacing w:before="120" w:after="120" w:line="240" w:lineRule="auto"/>
        <w:jc w:val="both"/>
        <w:rPr>
          <w:rFonts w:eastAsia="MS Mincho" w:cs="Times New Roman"/>
          <w:noProof/>
        </w:rPr>
      </w:pPr>
      <w:bookmarkStart w:id="11" w:name="_Hlk144117337"/>
      <w:r>
        <w:rPr>
          <w:noProof/>
        </w:rPr>
        <w:t xml:space="preserve">Reform (C3.R7) – Az élelmiszer-veszteség és az </w:t>
      </w:r>
      <w:r>
        <w:rPr>
          <w:noProof/>
        </w:rPr>
        <w:t>élelmiszer-pazarlás megelőzéséről szóló törvény</w:t>
      </w:r>
    </w:p>
    <w:bookmarkEnd w:id="11"/>
    <w:p w14:paraId="78010986" w14:textId="45762D7F" w:rsidR="003E1D81" w:rsidRDefault="00EB481C">
      <w:pPr>
        <w:pStyle w:val="P68B1DB1-Normal4"/>
        <w:spacing w:before="120" w:after="120" w:line="240" w:lineRule="auto"/>
        <w:jc w:val="both"/>
        <w:rPr>
          <w:rFonts w:cs="Times New Roman"/>
          <w:noProof/>
        </w:rPr>
      </w:pPr>
      <w:r>
        <w:rPr>
          <w:noProof/>
        </w:rPr>
        <w:t>Ennek a reformnak az a célja, hogy megelőzze az élelmiszer-veszteséget és -pazarlást azáltal, hogy meghatározza az élelmiszerek felhasználásának prioritási sorrendjét, hogy az ne váljon hulladékká.</w:t>
      </w:r>
    </w:p>
    <w:p w14:paraId="5AA96578" w14:textId="489BD0AD" w:rsidR="003E1D81" w:rsidRDefault="00EB481C">
      <w:pPr>
        <w:pStyle w:val="P68B1DB1-Normal4"/>
        <w:spacing w:before="120" w:after="120" w:line="240" w:lineRule="auto"/>
        <w:jc w:val="both"/>
        <w:rPr>
          <w:rFonts w:cs="Times New Roman"/>
          <w:noProof/>
        </w:rPr>
      </w:pPr>
      <w:r>
        <w:rPr>
          <w:noProof/>
        </w:rPr>
        <w:t>Az új rend</w:t>
      </w:r>
      <w:r>
        <w:rPr>
          <w:noProof/>
        </w:rPr>
        <w:t>elet célja az erőforrások hatékonyabb kezelése a következők révén:</w:t>
      </w:r>
    </w:p>
    <w:p w14:paraId="66D140DA" w14:textId="45762D7F" w:rsidR="003E1D81" w:rsidRDefault="00EB481C">
      <w:pPr>
        <w:pStyle w:val="P68B1DB1-ListParagraph7"/>
        <w:numPr>
          <w:ilvl w:val="0"/>
          <w:numId w:val="42"/>
        </w:numPr>
        <w:spacing w:before="120" w:after="120" w:line="240" w:lineRule="auto"/>
        <w:jc w:val="both"/>
        <w:rPr>
          <w:rFonts w:cs="Times New Roman"/>
          <w:noProof/>
        </w:rPr>
      </w:pPr>
      <w:r>
        <w:rPr>
          <w:noProof/>
        </w:rPr>
        <w:t xml:space="preserve">a körforgásos biogazdaság előmozdítása; </w:t>
      </w:r>
    </w:p>
    <w:p w14:paraId="36661960" w14:textId="45762D7F" w:rsidR="003E1D81" w:rsidRDefault="00EB481C">
      <w:pPr>
        <w:pStyle w:val="P68B1DB1-ListParagraph7"/>
        <w:numPr>
          <w:ilvl w:val="0"/>
          <w:numId w:val="42"/>
        </w:numPr>
        <w:spacing w:before="120" w:after="120" w:line="240" w:lineRule="auto"/>
        <w:jc w:val="both"/>
        <w:rPr>
          <w:rFonts w:cs="Times New Roman"/>
          <w:noProof/>
        </w:rPr>
      </w:pPr>
      <w:r>
        <w:rPr>
          <w:noProof/>
        </w:rPr>
        <w:t>a felesleges élelmiszer-többlet társadalmi szolidaritási célú hasznosításának és elosztásának előmozdítása, prioritásként kezelve azt emberi felhasz</w:t>
      </w:r>
      <w:r>
        <w:rPr>
          <w:noProof/>
        </w:rPr>
        <w:t xml:space="preserve">nálásra; </w:t>
      </w:r>
    </w:p>
    <w:p w14:paraId="76DD6320" w14:textId="45762D7F" w:rsidR="003E1D81" w:rsidRDefault="00EB481C">
      <w:pPr>
        <w:pStyle w:val="P68B1DB1-ListParagraph7"/>
        <w:numPr>
          <w:ilvl w:val="0"/>
          <w:numId w:val="42"/>
        </w:numPr>
        <w:spacing w:before="120" w:after="120" w:line="240" w:lineRule="auto"/>
        <w:jc w:val="both"/>
        <w:rPr>
          <w:rFonts w:cs="Times New Roman"/>
          <w:noProof/>
        </w:rPr>
      </w:pPr>
      <w:r>
        <w:rPr>
          <w:noProof/>
        </w:rPr>
        <w:t xml:space="preserve">a kutatás és az innováció támogatása az élelmiszer-veszteség és az élelmiszer-pazarlás megelőzése és csökkentése terén; </w:t>
      </w:r>
    </w:p>
    <w:p w14:paraId="3D61E10A" w14:textId="6AF5CF44" w:rsidR="003E1D81" w:rsidRDefault="00EB481C">
      <w:pPr>
        <w:pStyle w:val="P68B1DB1-ListParagraph7"/>
        <w:numPr>
          <w:ilvl w:val="0"/>
          <w:numId w:val="42"/>
        </w:numPr>
        <w:spacing w:before="120" w:after="120" w:line="240" w:lineRule="auto"/>
        <w:jc w:val="both"/>
        <w:rPr>
          <w:rFonts w:cs="Times New Roman"/>
          <w:noProof/>
        </w:rPr>
      </w:pPr>
      <w:r>
        <w:rPr>
          <w:noProof/>
        </w:rPr>
        <w:t>a 2030-ig tartó időszakra szóló menetrend felelősségteljes termelési és fogyasztási céljának való megfelelés; és</w:t>
      </w:r>
    </w:p>
    <w:p w14:paraId="20011AAB" w14:textId="45762D7F" w:rsidR="003E1D81" w:rsidRDefault="00EB481C">
      <w:pPr>
        <w:pStyle w:val="P68B1DB1-ListParagraph7"/>
        <w:numPr>
          <w:ilvl w:val="0"/>
          <w:numId w:val="42"/>
        </w:numPr>
        <w:spacing w:before="120" w:after="120" w:line="240" w:lineRule="auto"/>
        <w:jc w:val="both"/>
        <w:rPr>
          <w:rFonts w:cs="Times New Roman"/>
          <w:noProof/>
        </w:rPr>
      </w:pPr>
      <w:r>
        <w:rPr>
          <w:noProof/>
        </w:rPr>
        <w:t>az üvegházha</w:t>
      </w:r>
      <w:r>
        <w:rPr>
          <w:noProof/>
        </w:rPr>
        <w:t>tású gázok és más szennyező anyagok kibocsátásának csökkentése.</w:t>
      </w:r>
    </w:p>
    <w:p w14:paraId="388EA854" w14:textId="51011AC0" w:rsidR="003E1D81" w:rsidRDefault="00EB481C">
      <w:pPr>
        <w:pStyle w:val="P68B1DB1-Normal4"/>
        <w:spacing w:before="120" w:after="120" w:line="240" w:lineRule="auto"/>
        <w:jc w:val="both"/>
        <w:rPr>
          <w:rFonts w:cs="Times New Roman"/>
          <w:noProof/>
        </w:rPr>
      </w:pPr>
      <w:r>
        <w:rPr>
          <w:noProof/>
        </w:rPr>
        <w:t>Az intézkedés végrehajtását 2026. június 30-ig be kell fejezni.</w:t>
      </w:r>
    </w:p>
    <w:p w14:paraId="7155D10D" w14:textId="464E489C" w:rsidR="003E1D81" w:rsidRDefault="00EB481C">
      <w:pPr>
        <w:pStyle w:val="P68B1DB1-Normal6"/>
        <w:spacing w:before="120" w:after="120" w:line="240" w:lineRule="auto"/>
        <w:jc w:val="both"/>
        <w:rPr>
          <w:rFonts w:eastAsia="MS Mincho" w:cs="Times New Roman"/>
          <w:noProof/>
        </w:rPr>
      </w:pPr>
      <w:bookmarkStart w:id="12" w:name="_Hlk144116941"/>
      <w:r>
        <w:rPr>
          <w:noProof/>
        </w:rPr>
        <w:t>Reform (C3.R8) – A mezőgazdasági információs rendszerről szóló rendelet</w:t>
      </w:r>
    </w:p>
    <w:bookmarkEnd w:id="12"/>
    <w:p w14:paraId="026A03FE" w14:textId="3B1B52DC" w:rsidR="003E1D81" w:rsidRDefault="00EB481C">
      <w:pPr>
        <w:pStyle w:val="P68B1DB1-Normal4"/>
        <w:spacing w:before="120" w:after="120" w:line="240" w:lineRule="auto"/>
        <w:jc w:val="both"/>
        <w:rPr>
          <w:rFonts w:cs="Times New Roman"/>
          <w:noProof/>
        </w:rPr>
      </w:pPr>
      <w:r>
        <w:rPr>
          <w:noProof/>
        </w:rPr>
        <w:t xml:space="preserve">E reform célja egy mezőgazdasági és erdészeti </w:t>
      </w:r>
      <w:r>
        <w:rPr>
          <w:noProof/>
        </w:rPr>
        <w:t>információs rendszer (SIEX) létrehozása, amely lehetővé teszi a Mezőgazdasági, Halászati és Élelmiszerügyi Minisztérium számára a mezőgazdasági és állattenyésztési politikák irányítását. Az információs rendszer egyszerűsíti a mezőgazdasági termelők és a kö</w:t>
      </w:r>
      <w:r>
        <w:rPr>
          <w:noProof/>
        </w:rPr>
        <w:t>zigazgatás közötti kapcsolatot, és a mezőgazdasági üzemekre vonatkozó releváns információk egyetlen információs rendszerben történő összegyűjtésével javítja a mezőgazdasági termelők üzleti irányítását,</w:t>
      </w:r>
    </w:p>
    <w:p w14:paraId="513ECEA3" w14:textId="6D3B564A" w:rsidR="003E1D81" w:rsidRDefault="00EB481C">
      <w:pPr>
        <w:pStyle w:val="P68B1DB1-Normal4"/>
        <w:spacing w:line="257" w:lineRule="auto"/>
        <w:jc w:val="both"/>
        <w:rPr>
          <w:rFonts w:cs="Times New Roman"/>
          <w:noProof/>
        </w:rPr>
      </w:pPr>
      <w:r>
        <w:rPr>
          <w:noProof/>
        </w:rPr>
        <w:t>A rendelet létrehozza és szabályozza a mezőgazdasági ü</w:t>
      </w:r>
      <w:r>
        <w:rPr>
          <w:noProof/>
        </w:rPr>
        <w:t>zemekre és a mezőgazdasági termelésre vonatkozó információs rendszert, valamint a mezőgazdasági üzemek autonóm közösségi nyilvántartását és a mezőgazdasági üzemek digitális nyilvántartását. A digitális mezőgazdasági könyvnek megfelelő átmeneti időszakot ke</w:t>
      </w:r>
      <w:r>
        <w:rPr>
          <w:noProof/>
        </w:rPr>
        <w:t xml:space="preserve">ll előirányoznia: a digitális </w:t>
      </w:r>
      <w:bookmarkStart w:id="13" w:name="_Hlk144117029"/>
      <w:r>
        <w:rPr>
          <w:noProof/>
        </w:rPr>
        <w:t xml:space="preserve">mezőgazdasági könyv 9. és 10. cikke minden mezőgazdasági üzem tekintetében legkésőbb </w:t>
      </w:r>
      <w:bookmarkEnd w:id="13"/>
      <w:r>
        <w:rPr>
          <w:noProof/>
        </w:rPr>
        <w:t xml:space="preserve">2025 harmadik negyedévében lép hatályba.  </w:t>
      </w:r>
    </w:p>
    <w:p w14:paraId="3034905E" w14:textId="2A420807" w:rsidR="003E1D81" w:rsidRDefault="00EB481C">
      <w:pPr>
        <w:pStyle w:val="P68B1DB1-Normal4"/>
        <w:spacing w:line="257" w:lineRule="auto"/>
        <w:jc w:val="both"/>
        <w:rPr>
          <w:rFonts w:cs="Times New Roman"/>
          <w:noProof/>
        </w:rPr>
      </w:pPr>
      <w:r>
        <w:rPr>
          <w:noProof/>
        </w:rPr>
        <w:t>Az intézkedés végrehajtását 2025. szeptember 30-ig be kell fejezni.</w:t>
      </w:r>
    </w:p>
    <w:p w14:paraId="3B02038A" w14:textId="64EE6C06" w:rsidR="003E1D81" w:rsidRDefault="00EB481C">
      <w:pPr>
        <w:pStyle w:val="P68B1DB1-Normal6"/>
        <w:spacing w:before="120" w:after="120" w:line="240" w:lineRule="auto"/>
        <w:jc w:val="both"/>
        <w:rPr>
          <w:rFonts w:cs="Times New Roman"/>
          <w:noProof/>
        </w:rPr>
      </w:pPr>
      <w:r>
        <w:rPr>
          <w:noProof/>
        </w:rPr>
        <w:t>Beruházás (C3.I12) – Terv az ö</w:t>
      </w:r>
      <w:r>
        <w:rPr>
          <w:noProof/>
        </w:rPr>
        <w:t xml:space="preserve">ntözés hatékonyságának és fenntarthatóságának javítására </w:t>
      </w:r>
    </w:p>
    <w:p w14:paraId="3CC16C42" w14:textId="75ACC599" w:rsidR="003E1D81" w:rsidRDefault="00EB481C">
      <w:pPr>
        <w:pStyle w:val="P68B1DB1-Normal4"/>
        <w:spacing w:before="120" w:after="120" w:line="240" w:lineRule="auto"/>
        <w:jc w:val="both"/>
        <w:rPr>
          <w:rFonts w:cs="Times New Roman"/>
          <w:noProof/>
        </w:rPr>
      </w:pPr>
      <w:r>
        <w:rPr>
          <w:noProof/>
        </w:rPr>
        <w:t xml:space="preserve">Ezen intézkedés célja az 1. beruházás (C3.I1) ambíciójának növelése: Tervbe veszi az öntözés hatékonyságának és fenntarthatóságának javítását azáltal, hogy növeli a korszerűsített hektárok számát a </w:t>
      </w:r>
      <w:r>
        <w:rPr>
          <w:noProof/>
        </w:rPr>
        <w:t>vízmegtakarítás és az energiahatékonyság tekintetében.</w:t>
      </w:r>
    </w:p>
    <w:p w14:paraId="2509A6F4" w14:textId="3625D1BE" w:rsidR="003E1D81" w:rsidRDefault="00EB481C">
      <w:pPr>
        <w:pStyle w:val="P68B1DB1-Normal4"/>
        <w:spacing w:before="120" w:after="120" w:line="240" w:lineRule="auto"/>
        <w:jc w:val="both"/>
        <w:rPr>
          <w:rFonts w:cs="Times New Roman"/>
          <w:noProof/>
        </w:rPr>
      </w:pPr>
      <w:r>
        <w:rPr>
          <w:noProof/>
        </w:rPr>
        <w:t>Az intézkedés végrehajtását 2026. június 30-ig be kell fejezni.</w:t>
      </w:r>
    </w:p>
    <w:p w14:paraId="6DAC6ACD" w14:textId="77777777" w:rsidR="003E1D81" w:rsidRDefault="003E1D81">
      <w:pPr>
        <w:spacing w:before="120" w:after="120" w:line="240" w:lineRule="auto"/>
        <w:jc w:val="both"/>
        <w:rPr>
          <w:rFonts w:ascii="Times New Roman" w:hAnsi="Times New Roman" w:cs="Times New Roman"/>
          <w:noProof/>
          <w:sz w:val="24"/>
        </w:rPr>
      </w:pPr>
    </w:p>
    <w:p w14:paraId="705C34EA" w14:textId="18746366" w:rsidR="003E1D81" w:rsidRDefault="00EB481C">
      <w:pPr>
        <w:pStyle w:val="P68B1DB1-Normal5"/>
        <w:spacing w:before="120" w:after="120" w:line="240" w:lineRule="auto"/>
        <w:ind w:left="709"/>
        <w:jc w:val="both"/>
        <w:rPr>
          <w:rFonts w:cs="Times New Roman"/>
          <w:noProof/>
        </w:rPr>
      </w:pPr>
      <w:r>
        <w:rPr>
          <w:noProof/>
        </w:rPr>
        <w:t xml:space="preserve">C.4. </w:t>
      </w:r>
      <w:r>
        <w:rPr>
          <w:noProof/>
        </w:rPr>
        <w:tab/>
        <w:t>A hiteltámogatás nyomon követésének és végrehajtásának mérföldkövei, céljai, mutatói és ütemterve</w:t>
      </w:r>
    </w:p>
    <w:p w14:paraId="205EEAAB" w14:textId="77777777" w:rsidR="003E1D81" w:rsidRDefault="00EB481C">
      <w:pPr>
        <w:pStyle w:val="P68B1DB1-Normal18"/>
        <w:spacing w:before="120" w:after="120" w:line="240" w:lineRule="auto"/>
        <w:jc w:val="both"/>
        <w:rPr>
          <w:rFonts w:cs="Times New Roman"/>
          <w:noProof/>
        </w:rPr>
      </w:pPr>
      <w:r>
        <w:rPr>
          <w:noProof/>
        </w:rPr>
        <w:t>Táblázat alább. Az alapforgatókö</w:t>
      </w:r>
      <w:r>
        <w:rPr>
          <w:noProof/>
        </w:rPr>
        <w:t>nyv valamennyi mutató esetében 2020. február 1-je, kivéve, ha az intézkedés leírása másként jelzi. A táblázatban szereplő összegek nem tartalmazzák a héát.</w:t>
      </w:r>
    </w:p>
    <w:p w14:paraId="02B0CF37" w14:textId="77777777" w:rsidR="003E1D81" w:rsidRDefault="003E1D81">
      <w:pPr>
        <w:spacing w:before="120" w:after="120" w:line="240" w:lineRule="auto"/>
        <w:jc w:val="both"/>
        <w:rPr>
          <w:rFonts w:ascii="Times New Roman" w:hAnsi="Times New Roman" w:cs="Times New Roman"/>
          <w:i/>
          <w:noProof/>
          <w:sz w:val="24"/>
        </w:rPr>
      </w:pPr>
    </w:p>
    <w:p w14:paraId="3F634206" w14:textId="0C0F90FE" w:rsidR="003E1D81" w:rsidRDefault="003E1D81">
      <w:pPr>
        <w:spacing w:before="120" w:after="120" w:line="240" w:lineRule="auto"/>
        <w:jc w:val="both"/>
        <w:rPr>
          <w:rFonts w:ascii="Times New Roman" w:hAnsi="Times New Roman" w:cs="Times New Roman"/>
          <w:i/>
          <w:noProof/>
          <w:sz w:val="24"/>
        </w:rPr>
        <w:sectPr w:rsidR="003E1D81" w:rsidSect="00522183">
          <w:headerReference w:type="even" r:id="rId90"/>
          <w:headerReference w:type="default" r:id="rId91"/>
          <w:footerReference w:type="even" r:id="rId92"/>
          <w:footerReference w:type="default" r:id="rId93"/>
          <w:headerReference w:type="first" r:id="rId94"/>
          <w:footerReference w:type="first" r:id="rId95"/>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1080"/>
        <w:gridCol w:w="2889"/>
        <w:gridCol w:w="1276"/>
        <w:gridCol w:w="850"/>
        <w:gridCol w:w="567"/>
        <w:gridCol w:w="709"/>
        <w:gridCol w:w="425"/>
        <w:gridCol w:w="567"/>
        <w:gridCol w:w="5387"/>
      </w:tblGrid>
      <w:tr w:rsidR="003E1D81" w14:paraId="77B98CAE" w14:textId="77777777">
        <w:trPr>
          <w:trHeight w:val="309"/>
          <w:tblHeader/>
        </w:trPr>
        <w:tc>
          <w:tcPr>
            <w:tcW w:w="709" w:type="dxa"/>
            <w:tcBorders>
              <w:bottom w:val="nil"/>
            </w:tcBorders>
            <w:shd w:val="clear" w:color="auto" w:fill="C6D9F1" w:themeFill="text2" w:themeFillTint="33"/>
            <w:noWrap/>
            <w:vAlign w:val="center"/>
          </w:tcPr>
          <w:p w14:paraId="337A57E0"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7789EA1D" w14:textId="77777777" w:rsidR="003E1D81" w:rsidRDefault="00EB481C">
            <w:pPr>
              <w:pStyle w:val="P68B1DB1-Normal12"/>
              <w:spacing w:after="0" w:line="240" w:lineRule="auto"/>
              <w:jc w:val="center"/>
              <w:rPr>
                <w:rFonts w:cs="Times New Roman"/>
                <w:noProof/>
              </w:rPr>
            </w:pPr>
            <w:r>
              <w:rPr>
                <w:noProof/>
              </w:rPr>
              <w:t>Intézkedés</w:t>
            </w:r>
          </w:p>
        </w:tc>
        <w:tc>
          <w:tcPr>
            <w:tcW w:w="1080" w:type="dxa"/>
            <w:tcBorders>
              <w:bottom w:val="nil"/>
            </w:tcBorders>
            <w:shd w:val="clear" w:color="auto" w:fill="C6D9F1" w:themeFill="text2" w:themeFillTint="33"/>
            <w:noWrap/>
            <w:vAlign w:val="center"/>
          </w:tcPr>
          <w:p w14:paraId="00E74E27"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889" w:type="dxa"/>
            <w:tcBorders>
              <w:bottom w:val="nil"/>
            </w:tcBorders>
            <w:shd w:val="clear" w:color="auto" w:fill="C6D9F1" w:themeFill="text2" w:themeFillTint="33"/>
            <w:noWrap/>
            <w:vAlign w:val="center"/>
          </w:tcPr>
          <w:p w14:paraId="44ADEC22" w14:textId="77777777" w:rsidR="003E1D81" w:rsidRDefault="00EB481C">
            <w:pPr>
              <w:pStyle w:val="P68B1DB1-Normal12"/>
              <w:spacing w:after="0" w:line="240" w:lineRule="auto"/>
              <w:jc w:val="center"/>
              <w:rPr>
                <w:rFonts w:cs="Times New Roman"/>
                <w:noProof/>
              </w:rPr>
            </w:pPr>
            <w:r>
              <w:rPr>
                <w:noProof/>
              </w:rPr>
              <w:t>Név</w:t>
            </w:r>
          </w:p>
        </w:tc>
        <w:tc>
          <w:tcPr>
            <w:tcW w:w="1276" w:type="dxa"/>
            <w:tcBorders>
              <w:bottom w:val="nil"/>
            </w:tcBorders>
            <w:shd w:val="clear" w:color="auto" w:fill="C6D9F1" w:themeFill="text2" w:themeFillTint="33"/>
            <w:noWrap/>
            <w:vAlign w:val="center"/>
          </w:tcPr>
          <w:p w14:paraId="5F48B682" w14:textId="77777777" w:rsidR="003E1D81" w:rsidRDefault="00EB481C">
            <w:pPr>
              <w:pStyle w:val="P68B1DB1-Normal12"/>
              <w:spacing w:after="0" w:line="240" w:lineRule="auto"/>
              <w:jc w:val="center"/>
              <w:rPr>
                <w:rFonts w:cs="Times New Roman"/>
                <w:noProof/>
              </w:rPr>
            </w:pPr>
            <w:r>
              <w:rPr>
                <w:noProof/>
              </w:rPr>
              <w:t xml:space="preserve">A </w:t>
            </w:r>
            <w:r>
              <w:rPr>
                <w:noProof/>
              </w:rPr>
              <w:t>mérföldkövek minőségi mutatója</w:t>
            </w:r>
          </w:p>
        </w:tc>
        <w:tc>
          <w:tcPr>
            <w:tcW w:w="2126" w:type="dxa"/>
            <w:gridSpan w:val="3"/>
            <w:shd w:val="clear" w:color="auto" w:fill="C6D9F1" w:themeFill="text2" w:themeFillTint="33"/>
            <w:noWrap/>
            <w:vAlign w:val="center"/>
          </w:tcPr>
          <w:p w14:paraId="038E7C96"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92" w:type="dxa"/>
            <w:gridSpan w:val="2"/>
            <w:shd w:val="clear" w:color="auto" w:fill="C6D9F1" w:themeFill="text2" w:themeFillTint="33"/>
            <w:noWrap/>
            <w:vAlign w:val="center"/>
          </w:tcPr>
          <w:p w14:paraId="0C4E346D" w14:textId="77777777" w:rsidR="003E1D81" w:rsidRDefault="00EB481C">
            <w:pPr>
              <w:pStyle w:val="P68B1DB1-Normal12"/>
              <w:spacing w:after="0" w:line="240" w:lineRule="auto"/>
              <w:jc w:val="center"/>
              <w:rPr>
                <w:rFonts w:cs="Times New Roman"/>
                <w:noProof/>
              </w:rPr>
            </w:pPr>
            <w:r>
              <w:rPr>
                <w:noProof/>
              </w:rPr>
              <w:t>Idő</w:t>
            </w:r>
          </w:p>
        </w:tc>
        <w:tc>
          <w:tcPr>
            <w:tcW w:w="5387" w:type="dxa"/>
            <w:tcBorders>
              <w:bottom w:val="nil"/>
            </w:tcBorders>
            <w:shd w:val="clear" w:color="auto" w:fill="C6D9F1" w:themeFill="text2" w:themeFillTint="33"/>
            <w:noWrap/>
            <w:vAlign w:val="center"/>
          </w:tcPr>
          <w:p w14:paraId="2F3DFA56"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0FB3FC90" w14:textId="77777777">
        <w:trPr>
          <w:trHeight w:val="309"/>
          <w:tblHeader/>
        </w:trPr>
        <w:tc>
          <w:tcPr>
            <w:tcW w:w="709" w:type="dxa"/>
            <w:tcBorders>
              <w:top w:val="nil"/>
            </w:tcBorders>
            <w:shd w:val="clear" w:color="auto" w:fill="C6D9F1" w:themeFill="text2" w:themeFillTint="33"/>
            <w:noWrap/>
          </w:tcPr>
          <w:p w14:paraId="2456EE71"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36062903" w14:textId="77777777" w:rsidR="003E1D81" w:rsidRDefault="003E1D81">
            <w:pPr>
              <w:spacing w:after="0" w:line="240" w:lineRule="auto"/>
              <w:jc w:val="center"/>
              <w:rPr>
                <w:rFonts w:ascii="Times New Roman" w:hAnsi="Times New Roman" w:cs="Times New Roman"/>
                <w:b/>
                <w:noProof/>
                <w:sz w:val="18"/>
              </w:rPr>
            </w:pPr>
          </w:p>
        </w:tc>
        <w:tc>
          <w:tcPr>
            <w:tcW w:w="1080" w:type="dxa"/>
            <w:tcBorders>
              <w:top w:val="nil"/>
            </w:tcBorders>
            <w:shd w:val="clear" w:color="auto" w:fill="C6D9F1" w:themeFill="text2" w:themeFillTint="33"/>
            <w:noWrap/>
          </w:tcPr>
          <w:p w14:paraId="25602844" w14:textId="77777777" w:rsidR="003E1D81" w:rsidRDefault="003E1D81">
            <w:pPr>
              <w:spacing w:after="0" w:line="240" w:lineRule="auto"/>
              <w:jc w:val="center"/>
              <w:rPr>
                <w:rFonts w:ascii="Times New Roman" w:hAnsi="Times New Roman" w:cs="Times New Roman"/>
                <w:b/>
                <w:noProof/>
                <w:sz w:val="18"/>
              </w:rPr>
            </w:pPr>
          </w:p>
        </w:tc>
        <w:tc>
          <w:tcPr>
            <w:tcW w:w="2889" w:type="dxa"/>
            <w:tcBorders>
              <w:top w:val="nil"/>
            </w:tcBorders>
            <w:shd w:val="clear" w:color="auto" w:fill="C6D9F1" w:themeFill="text2" w:themeFillTint="33"/>
            <w:noWrap/>
          </w:tcPr>
          <w:p w14:paraId="74F579D0" w14:textId="77777777" w:rsidR="003E1D81" w:rsidRDefault="003E1D81">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084F1AD9" w14:textId="77777777" w:rsidR="003E1D81" w:rsidRDefault="003E1D81">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5DC5BB17" w14:textId="77777777" w:rsidR="003E1D81" w:rsidRDefault="00EB481C">
            <w:pPr>
              <w:pStyle w:val="P68B1DB1-Normal12"/>
              <w:spacing w:after="0" w:line="240" w:lineRule="auto"/>
              <w:jc w:val="center"/>
              <w:rPr>
                <w:rFonts w:cs="Times New Roman"/>
                <w:noProof/>
              </w:rPr>
            </w:pPr>
            <w:r>
              <w:rPr>
                <w:noProof/>
              </w:rPr>
              <w:t>Egység</w:t>
            </w:r>
          </w:p>
        </w:tc>
        <w:tc>
          <w:tcPr>
            <w:tcW w:w="567" w:type="dxa"/>
            <w:shd w:val="clear" w:color="auto" w:fill="C6D9F1" w:themeFill="text2" w:themeFillTint="33"/>
            <w:noWrap/>
            <w:vAlign w:val="center"/>
          </w:tcPr>
          <w:p w14:paraId="05A74D68" w14:textId="77777777" w:rsidR="003E1D81" w:rsidRDefault="00EB481C">
            <w:pPr>
              <w:pStyle w:val="P68B1DB1-Normal12"/>
              <w:spacing w:after="0" w:line="240" w:lineRule="auto"/>
              <w:jc w:val="center"/>
              <w:rPr>
                <w:rFonts w:cs="Times New Roman"/>
                <w:noProof/>
              </w:rPr>
            </w:pPr>
            <w:r>
              <w:rPr>
                <w:noProof/>
              </w:rPr>
              <w:t>Alapérték</w:t>
            </w:r>
          </w:p>
        </w:tc>
        <w:tc>
          <w:tcPr>
            <w:tcW w:w="709" w:type="dxa"/>
            <w:shd w:val="clear" w:color="auto" w:fill="C6D9F1" w:themeFill="text2" w:themeFillTint="33"/>
            <w:noWrap/>
            <w:vAlign w:val="center"/>
          </w:tcPr>
          <w:p w14:paraId="7E513F68" w14:textId="77777777" w:rsidR="003E1D81" w:rsidRDefault="00EB481C">
            <w:pPr>
              <w:pStyle w:val="P68B1DB1-Normal12"/>
              <w:spacing w:after="0" w:line="240" w:lineRule="auto"/>
              <w:jc w:val="center"/>
              <w:rPr>
                <w:rFonts w:cs="Times New Roman"/>
                <w:noProof/>
              </w:rPr>
            </w:pPr>
            <w:r>
              <w:rPr>
                <w:noProof/>
              </w:rPr>
              <w:t>Cél</w:t>
            </w:r>
          </w:p>
        </w:tc>
        <w:tc>
          <w:tcPr>
            <w:tcW w:w="425" w:type="dxa"/>
            <w:shd w:val="clear" w:color="auto" w:fill="C6D9F1" w:themeFill="text2" w:themeFillTint="33"/>
            <w:noWrap/>
            <w:vAlign w:val="center"/>
          </w:tcPr>
          <w:p w14:paraId="0DFA7491"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5C5694D9" w14:textId="77777777" w:rsidR="003E1D81" w:rsidRDefault="00EB481C">
            <w:pPr>
              <w:pStyle w:val="P68B1DB1-Normal12"/>
              <w:spacing w:after="0" w:line="240" w:lineRule="auto"/>
              <w:jc w:val="center"/>
              <w:rPr>
                <w:rFonts w:cs="Times New Roman"/>
                <w:noProof/>
              </w:rPr>
            </w:pPr>
            <w:r>
              <w:rPr>
                <w:noProof/>
              </w:rPr>
              <w:t>Éve</w:t>
            </w:r>
          </w:p>
        </w:tc>
        <w:tc>
          <w:tcPr>
            <w:tcW w:w="5387" w:type="dxa"/>
            <w:tcBorders>
              <w:top w:val="nil"/>
            </w:tcBorders>
            <w:shd w:val="clear" w:color="auto" w:fill="C6D9F1" w:themeFill="text2" w:themeFillTint="33"/>
            <w:noWrap/>
          </w:tcPr>
          <w:p w14:paraId="00992F30" w14:textId="77777777" w:rsidR="003E1D81" w:rsidRDefault="003E1D81">
            <w:pPr>
              <w:spacing w:after="0" w:line="240" w:lineRule="auto"/>
              <w:rPr>
                <w:rFonts w:ascii="Times New Roman" w:hAnsi="Times New Roman" w:cs="Times New Roman"/>
                <w:b/>
                <w:noProof/>
                <w:sz w:val="18"/>
              </w:rPr>
            </w:pPr>
          </w:p>
        </w:tc>
      </w:tr>
      <w:tr w:rsidR="003E1D81" w14:paraId="09C47A75" w14:textId="77777777">
        <w:trPr>
          <w:trHeight w:val="499"/>
        </w:trPr>
        <w:tc>
          <w:tcPr>
            <w:tcW w:w="709" w:type="dxa"/>
            <w:shd w:val="clear" w:color="auto" w:fill="C6EFCE"/>
            <w:noWrap/>
          </w:tcPr>
          <w:p w14:paraId="06ECD5AB" w14:textId="70156A1E" w:rsidR="003E1D81" w:rsidRDefault="00EB481C">
            <w:pPr>
              <w:pStyle w:val="P68B1DB1-Normal13"/>
              <w:spacing w:after="0" w:line="240" w:lineRule="auto"/>
              <w:jc w:val="center"/>
              <w:rPr>
                <w:rFonts w:eastAsia="MS Mincho" w:cs="Times New Roman"/>
                <w:noProof/>
              </w:rPr>
            </w:pPr>
            <w:r>
              <w:rPr>
                <w:noProof/>
              </w:rPr>
              <w:t>L8</w:t>
            </w:r>
          </w:p>
        </w:tc>
        <w:tc>
          <w:tcPr>
            <w:tcW w:w="851" w:type="dxa"/>
            <w:shd w:val="clear" w:color="auto" w:fill="C6EFCE"/>
            <w:noWrap/>
          </w:tcPr>
          <w:p w14:paraId="46CDA653" w14:textId="3A3289B4" w:rsidR="003E1D81" w:rsidRDefault="00EB481C">
            <w:pPr>
              <w:pStyle w:val="P68B1DB1-Normal13"/>
              <w:spacing w:after="0" w:line="240" w:lineRule="auto"/>
              <w:jc w:val="center"/>
              <w:rPr>
                <w:rFonts w:eastAsia="MS Mincho" w:cs="Times New Roman"/>
                <w:noProof/>
              </w:rPr>
            </w:pPr>
            <w:r>
              <w:rPr>
                <w:noProof/>
              </w:rPr>
              <w:t>C3.R7</w:t>
            </w:r>
          </w:p>
        </w:tc>
        <w:tc>
          <w:tcPr>
            <w:tcW w:w="1080" w:type="dxa"/>
            <w:shd w:val="clear" w:color="auto" w:fill="C6EFCE"/>
            <w:noWrap/>
          </w:tcPr>
          <w:p w14:paraId="5A728BE4" w14:textId="4EB8AB00" w:rsidR="003E1D81" w:rsidRDefault="00EB481C">
            <w:pPr>
              <w:pStyle w:val="P68B1DB1-Normal13"/>
              <w:spacing w:after="0" w:line="240" w:lineRule="auto"/>
              <w:jc w:val="center"/>
              <w:rPr>
                <w:rFonts w:eastAsia="MS Mincho" w:cs="Times New Roman"/>
                <w:noProof/>
              </w:rPr>
            </w:pPr>
            <w:r>
              <w:rPr>
                <w:noProof/>
              </w:rPr>
              <w:t xml:space="preserve">M </w:t>
            </w:r>
          </w:p>
        </w:tc>
        <w:tc>
          <w:tcPr>
            <w:tcW w:w="2889" w:type="dxa"/>
            <w:shd w:val="clear" w:color="auto" w:fill="C6EFCE"/>
            <w:noWrap/>
          </w:tcPr>
          <w:p w14:paraId="776D81CA" w14:textId="66069DC8" w:rsidR="003E1D81" w:rsidRDefault="00EB481C">
            <w:pPr>
              <w:pStyle w:val="P68B1DB1-Normal13"/>
              <w:spacing w:after="0" w:line="240" w:lineRule="auto"/>
              <w:rPr>
                <w:rFonts w:eastAsia="MS Mincho" w:cs="Times New Roman"/>
                <w:noProof/>
              </w:rPr>
            </w:pPr>
            <w:r>
              <w:rPr>
                <w:noProof/>
              </w:rPr>
              <w:t>Az élelmiszer-veszteség és élelmiszer-pazarlás megelőzéséről szóló törvény hatálybalépése</w:t>
            </w:r>
          </w:p>
        </w:tc>
        <w:tc>
          <w:tcPr>
            <w:tcW w:w="1276" w:type="dxa"/>
            <w:shd w:val="clear" w:color="auto" w:fill="C6EFCE"/>
            <w:noWrap/>
          </w:tcPr>
          <w:p w14:paraId="3F192C07" w14:textId="310C69F8" w:rsidR="003E1D81" w:rsidRDefault="00EB481C">
            <w:pPr>
              <w:pStyle w:val="P68B1DB1-Normal13"/>
              <w:spacing w:after="0" w:line="240" w:lineRule="auto"/>
              <w:jc w:val="center"/>
              <w:rPr>
                <w:rFonts w:eastAsia="MS Mincho" w:cs="Times New Roman"/>
                <w:noProof/>
              </w:rPr>
            </w:pPr>
            <w:r>
              <w:rPr>
                <w:noProof/>
              </w:rPr>
              <w:t>A törvény</w:t>
            </w:r>
            <w:r>
              <w:rPr>
                <w:noProof/>
              </w:rPr>
              <w:t xml:space="preserve"> hatálybalépésére vonatkozó rendelkezés</w:t>
            </w:r>
          </w:p>
        </w:tc>
        <w:tc>
          <w:tcPr>
            <w:tcW w:w="850" w:type="dxa"/>
            <w:shd w:val="clear" w:color="auto" w:fill="C6EFCE"/>
            <w:noWrap/>
          </w:tcPr>
          <w:p w14:paraId="43BAD5F2" w14:textId="6E689CDC"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71AE70BD" w14:textId="19EF3350"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4C27FBF8" w14:textId="21110AE6"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34FA35EE" w14:textId="0F24B3D3" w:rsidR="003E1D81" w:rsidRDefault="00EB481C">
            <w:pPr>
              <w:pStyle w:val="P68B1DB1-Normal13"/>
              <w:spacing w:after="0" w:line="240" w:lineRule="auto"/>
              <w:jc w:val="center"/>
              <w:rPr>
                <w:rFonts w:eastAsia="MS Mincho" w:cs="Times New Roman"/>
                <w:noProof/>
              </w:rPr>
            </w:pPr>
            <w:r>
              <w:rPr>
                <w:noProof/>
              </w:rPr>
              <w:t xml:space="preserve"> KÉRDÉS</w:t>
            </w:r>
          </w:p>
        </w:tc>
        <w:tc>
          <w:tcPr>
            <w:tcW w:w="567" w:type="dxa"/>
            <w:shd w:val="clear" w:color="auto" w:fill="C6EFCE"/>
            <w:noWrap/>
          </w:tcPr>
          <w:p w14:paraId="7DF3C752" w14:textId="0A625AD7" w:rsidR="003E1D81" w:rsidRDefault="00EB481C">
            <w:pPr>
              <w:pStyle w:val="P68B1DB1-Normal13"/>
              <w:spacing w:after="0" w:line="240" w:lineRule="auto"/>
              <w:jc w:val="center"/>
              <w:rPr>
                <w:rFonts w:eastAsia="MS Mincho" w:cs="Times New Roman"/>
                <w:noProof/>
              </w:rPr>
            </w:pPr>
            <w:r>
              <w:rPr>
                <w:noProof/>
              </w:rPr>
              <w:t xml:space="preserve">2026 </w:t>
            </w:r>
          </w:p>
        </w:tc>
        <w:tc>
          <w:tcPr>
            <w:tcW w:w="5387" w:type="dxa"/>
            <w:shd w:val="clear" w:color="auto" w:fill="C6EFCE"/>
            <w:noWrap/>
          </w:tcPr>
          <w:p w14:paraId="0C328928" w14:textId="3B269B37" w:rsidR="003E1D81" w:rsidRDefault="00EB481C">
            <w:pPr>
              <w:pStyle w:val="P68B1DB1-Normal13"/>
              <w:spacing w:line="240" w:lineRule="auto"/>
              <w:jc w:val="both"/>
              <w:rPr>
                <w:rFonts w:cs="Times New Roman"/>
                <w:noProof/>
              </w:rPr>
            </w:pPr>
            <w:r>
              <w:rPr>
                <w:noProof/>
              </w:rPr>
              <w:t>Az élelmiszer-veszteség és az élelmiszer-pazarlás megelőzéséről szóló rendelet hatálybalépése, az intézkedés leírásával összhangban.</w:t>
            </w:r>
          </w:p>
        </w:tc>
      </w:tr>
      <w:tr w:rsidR="003E1D81" w14:paraId="6EDA9D91" w14:textId="77777777">
        <w:trPr>
          <w:trHeight w:val="309"/>
        </w:trPr>
        <w:tc>
          <w:tcPr>
            <w:tcW w:w="709" w:type="dxa"/>
            <w:shd w:val="clear" w:color="auto" w:fill="C6EFCE"/>
            <w:noWrap/>
          </w:tcPr>
          <w:p w14:paraId="7161990D" w14:textId="12334B2C" w:rsidR="003E1D81" w:rsidRDefault="00EB481C">
            <w:pPr>
              <w:pStyle w:val="P68B1DB1-Normal13"/>
              <w:spacing w:after="0" w:line="240" w:lineRule="auto"/>
              <w:jc w:val="center"/>
              <w:rPr>
                <w:rFonts w:cs="Times New Roman"/>
                <w:noProof/>
              </w:rPr>
            </w:pPr>
            <w:r>
              <w:rPr>
                <w:noProof/>
              </w:rPr>
              <w:t>L9</w:t>
            </w:r>
          </w:p>
        </w:tc>
        <w:tc>
          <w:tcPr>
            <w:tcW w:w="851" w:type="dxa"/>
            <w:shd w:val="clear" w:color="auto" w:fill="C6EFCE"/>
            <w:noWrap/>
          </w:tcPr>
          <w:p w14:paraId="483982C1" w14:textId="20DDE527" w:rsidR="003E1D81" w:rsidRDefault="00EB481C">
            <w:pPr>
              <w:pStyle w:val="P68B1DB1-Normal13"/>
              <w:spacing w:after="0" w:line="240" w:lineRule="auto"/>
              <w:jc w:val="center"/>
              <w:rPr>
                <w:rFonts w:cs="Times New Roman"/>
                <w:noProof/>
              </w:rPr>
            </w:pPr>
            <w:r>
              <w:rPr>
                <w:noProof/>
              </w:rPr>
              <w:t>C3.R8</w:t>
            </w:r>
          </w:p>
        </w:tc>
        <w:tc>
          <w:tcPr>
            <w:tcW w:w="1080" w:type="dxa"/>
            <w:shd w:val="clear" w:color="auto" w:fill="C6EFCE"/>
            <w:noWrap/>
          </w:tcPr>
          <w:p w14:paraId="615A09D7" w14:textId="38C9B77E" w:rsidR="003E1D81" w:rsidRDefault="00EB481C">
            <w:pPr>
              <w:pStyle w:val="P68B1DB1-Normal13"/>
              <w:spacing w:after="0" w:line="240" w:lineRule="auto"/>
              <w:jc w:val="center"/>
              <w:rPr>
                <w:rFonts w:cs="Times New Roman"/>
                <w:noProof/>
              </w:rPr>
            </w:pPr>
            <w:r>
              <w:rPr>
                <w:noProof/>
              </w:rPr>
              <w:t>M</w:t>
            </w:r>
          </w:p>
        </w:tc>
        <w:tc>
          <w:tcPr>
            <w:tcW w:w="2889" w:type="dxa"/>
            <w:shd w:val="clear" w:color="auto" w:fill="C6EFCE"/>
            <w:noWrap/>
          </w:tcPr>
          <w:p w14:paraId="5638743E" w14:textId="08C082A8" w:rsidR="003E1D81" w:rsidRDefault="00EB481C">
            <w:pPr>
              <w:pStyle w:val="P68B1DB1-Normal13"/>
              <w:spacing w:after="0" w:line="240" w:lineRule="auto"/>
              <w:rPr>
                <w:rFonts w:cs="Times New Roman"/>
                <w:noProof/>
              </w:rPr>
            </w:pPr>
            <w:r>
              <w:rPr>
                <w:noProof/>
              </w:rPr>
              <w:t xml:space="preserve">A mezőgazdasági üzemek információs rendszerét </w:t>
            </w:r>
            <w:r>
              <w:rPr>
                <w:noProof/>
              </w:rPr>
              <w:t>szabályozó rendelet hatálybalépése</w:t>
            </w:r>
          </w:p>
        </w:tc>
        <w:tc>
          <w:tcPr>
            <w:tcW w:w="1276" w:type="dxa"/>
            <w:shd w:val="clear" w:color="auto" w:fill="C6EFCE"/>
            <w:noWrap/>
          </w:tcPr>
          <w:p w14:paraId="4ED04105" w14:textId="6B75F17A" w:rsidR="003E1D81" w:rsidRDefault="00EB481C">
            <w:pPr>
              <w:pStyle w:val="P68B1DB1-Normal13"/>
              <w:spacing w:after="0" w:line="240" w:lineRule="auto"/>
              <w:jc w:val="center"/>
              <w:rPr>
                <w:rFonts w:cs="Times New Roman"/>
                <w:noProof/>
              </w:rPr>
            </w:pPr>
            <w:r>
              <w:rPr>
                <w:noProof/>
              </w:rPr>
              <w:t>A királyi rendelet hatálybalépéséről szóló rendelkezése</w:t>
            </w:r>
          </w:p>
        </w:tc>
        <w:tc>
          <w:tcPr>
            <w:tcW w:w="850" w:type="dxa"/>
            <w:shd w:val="clear" w:color="auto" w:fill="C6EFCE"/>
            <w:noWrap/>
          </w:tcPr>
          <w:p w14:paraId="265B3622" w14:textId="4D4D1781" w:rsidR="003E1D81" w:rsidRDefault="00EB481C">
            <w:pPr>
              <w:pStyle w:val="P68B1DB1-Normal13"/>
              <w:spacing w:after="0" w:line="240" w:lineRule="auto"/>
              <w:jc w:val="right"/>
              <w:rPr>
                <w:rFonts w:cs="Times New Roman"/>
                <w:noProof/>
              </w:rPr>
            </w:pPr>
            <w:r>
              <w:rPr>
                <w:noProof/>
              </w:rPr>
              <w:t xml:space="preserve"> </w:t>
            </w:r>
          </w:p>
        </w:tc>
        <w:tc>
          <w:tcPr>
            <w:tcW w:w="567" w:type="dxa"/>
            <w:shd w:val="clear" w:color="auto" w:fill="C6EFCE"/>
            <w:noWrap/>
          </w:tcPr>
          <w:p w14:paraId="14387D9D" w14:textId="218B91A6" w:rsidR="003E1D81" w:rsidRDefault="00EB481C">
            <w:pPr>
              <w:pStyle w:val="P68B1DB1-Normal13"/>
              <w:spacing w:after="0" w:line="240" w:lineRule="auto"/>
              <w:jc w:val="right"/>
              <w:rPr>
                <w:rFonts w:cs="Times New Roman"/>
                <w:noProof/>
              </w:rPr>
            </w:pPr>
            <w:r>
              <w:rPr>
                <w:noProof/>
              </w:rPr>
              <w:t xml:space="preserve"> </w:t>
            </w:r>
          </w:p>
        </w:tc>
        <w:tc>
          <w:tcPr>
            <w:tcW w:w="709" w:type="dxa"/>
            <w:shd w:val="clear" w:color="auto" w:fill="C6EFCE"/>
            <w:noWrap/>
          </w:tcPr>
          <w:p w14:paraId="5637998B" w14:textId="025F425C" w:rsidR="003E1D81" w:rsidRDefault="00EB481C">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2E0A5B77" w14:textId="78A634BB" w:rsidR="003E1D81" w:rsidRDefault="00EB481C">
            <w:pPr>
              <w:pStyle w:val="P68B1DB1-Normal13"/>
              <w:spacing w:after="0" w:line="240" w:lineRule="auto"/>
              <w:jc w:val="center"/>
              <w:rPr>
                <w:rFonts w:cs="Times New Roman"/>
                <w:noProof/>
              </w:rPr>
            </w:pPr>
            <w:r>
              <w:rPr>
                <w:noProof/>
              </w:rPr>
              <w:t xml:space="preserve"> NEGYEDÉV</w:t>
            </w:r>
          </w:p>
        </w:tc>
        <w:tc>
          <w:tcPr>
            <w:tcW w:w="567" w:type="dxa"/>
            <w:shd w:val="clear" w:color="auto" w:fill="C6EFCE"/>
            <w:noWrap/>
          </w:tcPr>
          <w:p w14:paraId="5E63A245" w14:textId="27DE9857" w:rsidR="003E1D81" w:rsidRDefault="00EB481C">
            <w:pPr>
              <w:pStyle w:val="P68B1DB1-Normal13"/>
              <w:spacing w:after="0" w:line="240" w:lineRule="auto"/>
              <w:jc w:val="center"/>
              <w:rPr>
                <w:rFonts w:cs="Times New Roman"/>
                <w:noProof/>
              </w:rPr>
            </w:pPr>
            <w:r>
              <w:rPr>
                <w:noProof/>
              </w:rPr>
              <w:t xml:space="preserve">2025 </w:t>
            </w:r>
          </w:p>
        </w:tc>
        <w:tc>
          <w:tcPr>
            <w:tcW w:w="5387" w:type="dxa"/>
            <w:shd w:val="clear" w:color="auto" w:fill="C6EFCE"/>
            <w:noWrap/>
          </w:tcPr>
          <w:p w14:paraId="2F551A31" w14:textId="4F8941EC" w:rsidR="003E1D81" w:rsidRDefault="00EB481C">
            <w:pPr>
              <w:pStyle w:val="P68B1DB1-Normal13"/>
              <w:spacing w:after="0" w:line="240" w:lineRule="auto"/>
              <w:rPr>
                <w:rFonts w:cs="Times New Roman"/>
                <w:noProof/>
              </w:rPr>
            </w:pPr>
            <w:r>
              <w:rPr>
                <w:noProof/>
              </w:rPr>
              <w:t>A mezőgazdasági üzemek információs rendszerét szabályozó királyi rendelet hatálybalépése, az intézkedés leírásával összhangban.</w:t>
            </w:r>
          </w:p>
        </w:tc>
      </w:tr>
      <w:tr w:rsidR="003E1D81" w14:paraId="4F361425" w14:textId="77777777">
        <w:trPr>
          <w:trHeight w:val="309"/>
        </w:trPr>
        <w:tc>
          <w:tcPr>
            <w:tcW w:w="709" w:type="dxa"/>
            <w:shd w:val="clear" w:color="auto" w:fill="C6EFCE"/>
            <w:noWrap/>
          </w:tcPr>
          <w:p w14:paraId="3765393A" w14:textId="39A39A05" w:rsidR="003E1D81" w:rsidRDefault="00EB481C">
            <w:pPr>
              <w:pStyle w:val="P68B1DB1-Normal13"/>
              <w:spacing w:after="0" w:line="240" w:lineRule="auto"/>
              <w:jc w:val="center"/>
              <w:rPr>
                <w:rFonts w:cs="Times New Roman"/>
                <w:noProof/>
              </w:rPr>
            </w:pPr>
            <w:r>
              <w:rPr>
                <w:noProof/>
              </w:rPr>
              <w:t>L10</w:t>
            </w:r>
          </w:p>
        </w:tc>
        <w:tc>
          <w:tcPr>
            <w:tcW w:w="851" w:type="dxa"/>
            <w:shd w:val="clear" w:color="auto" w:fill="C6EFCE"/>
            <w:noWrap/>
          </w:tcPr>
          <w:p w14:paraId="41512B9B" w14:textId="36CEDF11" w:rsidR="003E1D81" w:rsidRDefault="00EB481C">
            <w:pPr>
              <w:pStyle w:val="P68B1DB1-Normal13"/>
              <w:spacing w:after="0" w:line="240" w:lineRule="auto"/>
              <w:jc w:val="center"/>
              <w:rPr>
                <w:rFonts w:cs="Times New Roman"/>
                <w:noProof/>
              </w:rPr>
            </w:pPr>
            <w:r>
              <w:rPr>
                <w:noProof/>
              </w:rPr>
              <w:t>C3.I12</w:t>
            </w:r>
          </w:p>
        </w:tc>
        <w:tc>
          <w:tcPr>
            <w:tcW w:w="1080" w:type="dxa"/>
            <w:shd w:val="clear" w:color="auto" w:fill="C6EFCE"/>
            <w:noWrap/>
          </w:tcPr>
          <w:p w14:paraId="6202A25D" w14:textId="1215A545" w:rsidR="003E1D81" w:rsidRDefault="00EB481C">
            <w:pPr>
              <w:pStyle w:val="P68B1DB1-Normal13"/>
              <w:spacing w:after="0" w:line="240" w:lineRule="auto"/>
              <w:jc w:val="center"/>
              <w:rPr>
                <w:rFonts w:cs="Times New Roman"/>
                <w:noProof/>
              </w:rPr>
            </w:pPr>
            <w:r>
              <w:rPr>
                <w:noProof/>
              </w:rPr>
              <w:t>T</w:t>
            </w:r>
          </w:p>
        </w:tc>
        <w:tc>
          <w:tcPr>
            <w:tcW w:w="2889" w:type="dxa"/>
            <w:shd w:val="clear" w:color="auto" w:fill="C6EFCE"/>
            <w:noWrap/>
          </w:tcPr>
          <w:p w14:paraId="1A1BA773" w14:textId="36FE45C6" w:rsidR="003E1D81" w:rsidRDefault="00EB481C">
            <w:pPr>
              <w:pStyle w:val="P68B1DB1-Normal13"/>
              <w:spacing w:after="0" w:line="240" w:lineRule="auto"/>
              <w:rPr>
                <w:rFonts w:cs="Times New Roman"/>
                <w:noProof/>
              </w:rPr>
            </w:pPr>
            <w:r>
              <w:rPr>
                <w:noProof/>
              </w:rPr>
              <w:t>A</w:t>
            </w:r>
            <w:r>
              <w:rPr>
                <w:noProof/>
              </w:rPr>
              <w:t xml:space="preserve"> Mezőgazdasági, Halászati és Élelmiszerügyi Minisztérium (MAPA) és a SEIASA közötti, az öntözött területek javításának és fenntarthatóságának támogatásáról szóló megállapodás végrehajtása (III. szakasz)</w:t>
            </w:r>
          </w:p>
        </w:tc>
        <w:tc>
          <w:tcPr>
            <w:tcW w:w="1276" w:type="dxa"/>
            <w:shd w:val="clear" w:color="auto" w:fill="C6EFCE"/>
            <w:noWrap/>
          </w:tcPr>
          <w:p w14:paraId="31F39C34"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69BC3DEC" w14:textId="2866E2AD" w:rsidR="003E1D81" w:rsidRDefault="00EB481C">
            <w:pPr>
              <w:pStyle w:val="P68B1DB1-Normal13"/>
              <w:spacing w:after="0" w:line="240" w:lineRule="auto"/>
              <w:jc w:val="right"/>
              <w:rPr>
                <w:rFonts w:cs="Times New Roman"/>
                <w:noProof/>
              </w:rPr>
            </w:pPr>
            <w:r>
              <w:rPr>
                <w:noProof/>
              </w:rPr>
              <w:t xml:space="preserve"> Millió EUR</w:t>
            </w:r>
          </w:p>
        </w:tc>
        <w:tc>
          <w:tcPr>
            <w:tcW w:w="567" w:type="dxa"/>
            <w:shd w:val="clear" w:color="auto" w:fill="C6EFCE"/>
            <w:noWrap/>
          </w:tcPr>
          <w:p w14:paraId="75A06810" w14:textId="0E12D261" w:rsidR="003E1D81" w:rsidRDefault="00EB481C">
            <w:pPr>
              <w:pStyle w:val="P68B1DB1-Normal13"/>
              <w:spacing w:after="0" w:line="240" w:lineRule="auto"/>
              <w:jc w:val="right"/>
              <w:rPr>
                <w:rFonts w:cs="Times New Roman"/>
                <w:noProof/>
              </w:rPr>
            </w:pPr>
            <w:r>
              <w:rPr>
                <w:noProof/>
              </w:rPr>
              <w:t>0</w:t>
            </w:r>
          </w:p>
        </w:tc>
        <w:tc>
          <w:tcPr>
            <w:tcW w:w="709" w:type="dxa"/>
            <w:shd w:val="clear" w:color="auto" w:fill="C6EFCE"/>
            <w:noWrap/>
          </w:tcPr>
          <w:p w14:paraId="25C52C25" w14:textId="031D8A51" w:rsidR="003E1D81" w:rsidRDefault="00EB481C">
            <w:pPr>
              <w:pStyle w:val="P68B1DB1-Normal13"/>
              <w:spacing w:after="0" w:line="240" w:lineRule="auto"/>
              <w:jc w:val="right"/>
              <w:rPr>
                <w:rFonts w:cs="Times New Roman"/>
                <w:noProof/>
              </w:rPr>
            </w:pPr>
            <w:r>
              <w:rPr>
                <w:noProof/>
              </w:rPr>
              <w:t>260</w:t>
            </w:r>
          </w:p>
        </w:tc>
        <w:tc>
          <w:tcPr>
            <w:tcW w:w="425" w:type="dxa"/>
            <w:shd w:val="clear" w:color="auto" w:fill="C6EFCE"/>
            <w:noWrap/>
          </w:tcPr>
          <w:p w14:paraId="183B4483" w14:textId="1F4FE5F2"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34C00A7D" w14:textId="5735484F" w:rsidR="003E1D81" w:rsidRDefault="00EB481C">
            <w:pPr>
              <w:pStyle w:val="P68B1DB1-Normal13"/>
              <w:spacing w:after="0" w:line="240" w:lineRule="auto"/>
              <w:jc w:val="center"/>
              <w:rPr>
                <w:rFonts w:cs="Times New Roman"/>
                <w:noProof/>
              </w:rPr>
            </w:pPr>
            <w:r>
              <w:rPr>
                <w:noProof/>
              </w:rPr>
              <w:t>2023</w:t>
            </w:r>
          </w:p>
        </w:tc>
        <w:tc>
          <w:tcPr>
            <w:tcW w:w="5387" w:type="dxa"/>
            <w:shd w:val="clear" w:color="auto" w:fill="C6EFCE"/>
            <w:noWrap/>
          </w:tcPr>
          <w:p w14:paraId="465F4064" w14:textId="3223F5E9" w:rsidR="003E1D81" w:rsidRDefault="00EB481C">
            <w:pPr>
              <w:pStyle w:val="P68B1DB1-Normal13"/>
              <w:spacing w:after="0" w:line="240" w:lineRule="auto"/>
              <w:rPr>
                <w:rFonts w:cs="Times New Roman"/>
                <w:noProof/>
              </w:rPr>
            </w:pPr>
            <w:r>
              <w:rPr>
                <w:noProof/>
              </w:rPr>
              <w:t>A Mezőgazdasági, Hal</w:t>
            </w:r>
            <w:r>
              <w:rPr>
                <w:noProof/>
              </w:rPr>
              <w:t>ászati és Élelmiszerügyi Minisztérium (MAPA) és a SEIASA közötti együttműködési megállapodás (III. szakasz; 260 000 000 EUR a költségvetés végrehajtásából) a beruházási projekt keretében végrehajtott öntözés hatékonyságának és fenntarthatóságának javítását</w:t>
            </w:r>
            <w:r>
              <w:rPr>
                <w:noProof/>
              </w:rPr>
              <w:t xml:space="preserve"> célzó terv feltételeit hajtja végre. Ez a jogi norma többek között szabályozza az ilyen öntözési modernizációs beruházások köz- és magánfinanszírozási rendszerét, a projektkiválasztási kritériumokat, a terv végrehajtási eljárásait, valamint az ezen intézk</w:t>
            </w:r>
            <w:r>
              <w:rPr>
                <w:noProof/>
              </w:rPr>
              <w:t>edés keretében a költségvetés végrehajtásához kapcsolódóan végrehajtandó intézkedések listáját.</w:t>
            </w:r>
          </w:p>
        </w:tc>
      </w:tr>
      <w:tr w:rsidR="003E1D81" w14:paraId="50413452" w14:textId="77777777">
        <w:trPr>
          <w:trHeight w:val="309"/>
        </w:trPr>
        <w:tc>
          <w:tcPr>
            <w:tcW w:w="709" w:type="dxa"/>
            <w:shd w:val="clear" w:color="auto" w:fill="C6EFCE"/>
            <w:noWrap/>
          </w:tcPr>
          <w:p w14:paraId="277D79EB" w14:textId="33C73E96" w:rsidR="003E1D81" w:rsidRDefault="00EB481C">
            <w:pPr>
              <w:pStyle w:val="P68B1DB1-Normal13"/>
              <w:spacing w:after="0" w:line="240" w:lineRule="auto"/>
              <w:jc w:val="center"/>
              <w:rPr>
                <w:rFonts w:cs="Times New Roman"/>
                <w:noProof/>
              </w:rPr>
            </w:pPr>
            <w:r>
              <w:rPr>
                <w:noProof/>
              </w:rPr>
              <w:t>L11</w:t>
            </w:r>
          </w:p>
        </w:tc>
        <w:tc>
          <w:tcPr>
            <w:tcW w:w="851" w:type="dxa"/>
            <w:shd w:val="clear" w:color="auto" w:fill="C6EFCE"/>
            <w:noWrap/>
          </w:tcPr>
          <w:p w14:paraId="13BAE5B2" w14:textId="0AC9B46B" w:rsidR="003E1D81" w:rsidRDefault="00EB481C">
            <w:pPr>
              <w:pStyle w:val="P68B1DB1-Normal13"/>
              <w:spacing w:after="0" w:line="240" w:lineRule="auto"/>
              <w:jc w:val="center"/>
              <w:rPr>
                <w:rFonts w:cs="Times New Roman"/>
                <w:noProof/>
              </w:rPr>
            </w:pPr>
            <w:r>
              <w:rPr>
                <w:noProof/>
              </w:rPr>
              <w:t>C3.I12</w:t>
            </w:r>
          </w:p>
        </w:tc>
        <w:tc>
          <w:tcPr>
            <w:tcW w:w="1080" w:type="dxa"/>
            <w:shd w:val="clear" w:color="auto" w:fill="C6EFCE"/>
            <w:noWrap/>
          </w:tcPr>
          <w:p w14:paraId="040A8F6C" w14:textId="05EF6C8A" w:rsidR="003E1D81" w:rsidRDefault="00EB481C">
            <w:pPr>
              <w:pStyle w:val="P68B1DB1-Normal13"/>
              <w:spacing w:after="0" w:line="240" w:lineRule="auto"/>
              <w:jc w:val="center"/>
              <w:rPr>
                <w:rFonts w:cs="Times New Roman"/>
                <w:noProof/>
              </w:rPr>
            </w:pPr>
            <w:r>
              <w:rPr>
                <w:noProof/>
              </w:rPr>
              <w:t>T</w:t>
            </w:r>
          </w:p>
        </w:tc>
        <w:tc>
          <w:tcPr>
            <w:tcW w:w="2889" w:type="dxa"/>
            <w:shd w:val="clear" w:color="auto" w:fill="C6EFCE"/>
            <w:noWrap/>
          </w:tcPr>
          <w:p w14:paraId="242CC6BA" w14:textId="4D238C3A" w:rsidR="003E1D81" w:rsidRDefault="00EB481C">
            <w:pPr>
              <w:pStyle w:val="P68B1DB1-Normal13"/>
              <w:spacing w:after="0" w:line="240" w:lineRule="auto"/>
              <w:rPr>
                <w:rFonts w:cs="Times New Roman"/>
                <w:noProof/>
              </w:rPr>
            </w:pPr>
            <w:r>
              <w:rPr>
                <w:noProof/>
              </w:rPr>
              <w:t xml:space="preserve">Az öntözőrendszerek korszerűsítése a víztakarékosság és az energiahatékonyság szempontjából  </w:t>
            </w:r>
          </w:p>
        </w:tc>
        <w:tc>
          <w:tcPr>
            <w:tcW w:w="1276" w:type="dxa"/>
            <w:shd w:val="clear" w:color="auto" w:fill="C6EFCE"/>
            <w:noWrap/>
          </w:tcPr>
          <w:p w14:paraId="64D092A7"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3096FCA4" w14:textId="67C75958" w:rsidR="003E1D81" w:rsidRDefault="00EB481C">
            <w:pPr>
              <w:pStyle w:val="P68B1DB1-Normal13"/>
              <w:spacing w:after="0" w:line="240" w:lineRule="auto"/>
              <w:jc w:val="right"/>
              <w:rPr>
                <w:rFonts w:cs="Times New Roman"/>
                <w:noProof/>
              </w:rPr>
            </w:pPr>
            <w:r>
              <w:rPr>
                <w:noProof/>
              </w:rPr>
              <w:t>Szám (hektárok)</w:t>
            </w:r>
          </w:p>
        </w:tc>
        <w:tc>
          <w:tcPr>
            <w:tcW w:w="567" w:type="dxa"/>
            <w:shd w:val="clear" w:color="auto" w:fill="C6EFCE"/>
            <w:noWrap/>
          </w:tcPr>
          <w:p w14:paraId="2B66EF9A" w14:textId="6D53B724" w:rsidR="003E1D81" w:rsidRDefault="00EB481C">
            <w:pPr>
              <w:pStyle w:val="P68B1DB1-Normal13"/>
              <w:spacing w:after="0" w:line="240" w:lineRule="auto"/>
              <w:jc w:val="right"/>
              <w:rPr>
                <w:rFonts w:cs="Times New Roman"/>
                <w:noProof/>
              </w:rPr>
            </w:pPr>
            <w:r>
              <w:rPr>
                <w:noProof/>
              </w:rPr>
              <w:t>125 000</w:t>
            </w:r>
          </w:p>
        </w:tc>
        <w:tc>
          <w:tcPr>
            <w:tcW w:w="709" w:type="dxa"/>
            <w:shd w:val="clear" w:color="auto" w:fill="C6EFCE"/>
            <w:noWrap/>
          </w:tcPr>
          <w:p w14:paraId="2702C07D" w14:textId="3ED9D421" w:rsidR="003E1D81" w:rsidRDefault="00EB481C">
            <w:pPr>
              <w:pStyle w:val="P68B1DB1-Normal13"/>
              <w:spacing w:after="0" w:line="240" w:lineRule="auto"/>
              <w:jc w:val="right"/>
              <w:rPr>
                <w:rFonts w:cs="Times New Roman"/>
                <w:noProof/>
              </w:rPr>
            </w:pPr>
            <w:r>
              <w:rPr>
                <w:noProof/>
              </w:rPr>
              <w:t>160 000</w:t>
            </w:r>
          </w:p>
        </w:tc>
        <w:tc>
          <w:tcPr>
            <w:tcW w:w="425" w:type="dxa"/>
            <w:shd w:val="clear" w:color="auto" w:fill="C6EFCE"/>
            <w:noWrap/>
          </w:tcPr>
          <w:p w14:paraId="2F9F3136" w14:textId="0E8E9174"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092FA822" w14:textId="0E6ECC23" w:rsidR="003E1D81" w:rsidRDefault="00EB481C">
            <w:pPr>
              <w:pStyle w:val="P68B1DB1-Normal13"/>
              <w:spacing w:after="0" w:line="240" w:lineRule="auto"/>
              <w:jc w:val="center"/>
              <w:rPr>
                <w:rFonts w:cs="Times New Roman"/>
                <w:noProof/>
              </w:rPr>
            </w:pPr>
            <w:r>
              <w:rPr>
                <w:noProof/>
              </w:rPr>
              <w:t>2026</w:t>
            </w:r>
          </w:p>
        </w:tc>
        <w:tc>
          <w:tcPr>
            <w:tcW w:w="5387" w:type="dxa"/>
            <w:shd w:val="clear" w:color="auto" w:fill="C6EFCE"/>
            <w:noWrap/>
          </w:tcPr>
          <w:p w14:paraId="0451C6B8" w14:textId="004AC059" w:rsidR="003E1D81" w:rsidRDefault="00EB481C">
            <w:pPr>
              <w:pStyle w:val="P68B1DB1-Normal13"/>
              <w:spacing w:after="0" w:line="240" w:lineRule="auto"/>
              <w:rPr>
                <w:rFonts w:cs="Times New Roman"/>
                <w:noProof/>
              </w:rPr>
            </w:pPr>
            <w:r>
              <w:rPr>
                <w:noProof/>
              </w:rPr>
              <w:t>Legalább 160 000 hektár vízmegtakarítás és energiahatékonyság szempontjából korszerűsített öntözőrendszerek. A helyreállítási és rezilienciaépítési terv beruházásaival korszerűsített területnek, valamint a végrehajtott intézkedések tipológiájának tükröződn</w:t>
            </w:r>
            <w:r>
              <w:rPr>
                <w:noProof/>
              </w:rPr>
              <w:t>ie kell a SEIASA által az érintett vízfelhasználói közösségekkel aláírt együttműködési megállapodásokban. Ezek a megállapodások meghatározzák a korszerűsített öntözőrendszerek vízmegtakarításának és energiahatékonyságának biztosítása érdekében végrehajtand</w:t>
            </w:r>
            <w:r>
              <w:rPr>
                <w:noProof/>
              </w:rPr>
              <w:t>ó konkrét intézkedéseket. E terv keretében többek között a következő intézkedéseket kell végrehajtani: i. a felszín alatti vagy felszíni víz használatának helyettesítése nem hagyományos vízforrások felhasználásával (a jelentős károkozás elkerülését célzó e</w:t>
            </w:r>
            <w:r>
              <w:rPr>
                <w:noProof/>
              </w:rPr>
              <w:t>lvről szóló (2021/C58/01) technikai iránymutatásnak megfelelően visszanyert vagy sótalanított vízforrások felhasználásával; ii. vízszabályozó rendszerek bevezetése, amelyek lehetővé teszik a gravitációs öntözést (a tengerszint feletti magasság különbségéne</w:t>
            </w:r>
            <w:r>
              <w:rPr>
                <w:noProof/>
              </w:rPr>
              <w:t>k felhasználásával, hogy a vízszállításhoz ne legyen szükség energiafelhasználásra), iii. a szivattyúzáshoz szükséges fosszilis energiaforrásokból származó energia megújuló energiaforrásokkal (főként fotovoltaikus energiával) való helyettesítése, iv. beton</w:t>
            </w:r>
            <w:r>
              <w:rPr>
                <w:noProof/>
              </w:rPr>
              <w:t>ból vagy földből készült szabadtéri árkok letemetett csövekkel való cseréje, v. szűrő- és szivattyúállomások építése, valamint vi. fogyasztásmérők és távirányító rendszerek telepítése. 2026 második negyedévéig legalább 35000 hektár öntözőrendszert korszerű</w:t>
            </w:r>
            <w:r>
              <w:rPr>
                <w:noProof/>
              </w:rPr>
              <w:t>sítenek vízmegtakarítás és energiahatékonyság szempontjából, ami a SIEASA-Irrigation Communities megállapodások révén ellenőrizhető. (Alapforgatókönyv a 48. cél célja alapján)</w:t>
            </w:r>
          </w:p>
        </w:tc>
      </w:tr>
    </w:tbl>
    <w:p w14:paraId="111CCC4F" w14:textId="77777777" w:rsidR="003E1D81" w:rsidRDefault="003E1D81">
      <w:pPr>
        <w:spacing w:before="120" w:after="120" w:line="240" w:lineRule="auto"/>
        <w:jc w:val="both"/>
        <w:rPr>
          <w:rFonts w:ascii="Times New Roman" w:hAnsi="Times New Roman" w:cs="Times New Roman"/>
          <w:noProof/>
          <w:sz w:val="24"/>
        </w:rPr>
      </w:pPr>
    </w:p>
    <w:p w14:paraId="159885DA" w14:textId="127E154C" w:rsidR="003E1D81" w:rsidRDefault="003E1D81">
      <w:pPr>
        <w:spacing w:before="120" w:after="120" w:line="240" w:lineRule="auto"/>
        <w:jc w:val="both"/>
        <w:rPr>
          <w:rFonts w:ascii="Times New Roman" w:hAnsi="Times New Roman" w:cs="Times New Roman"/>
          <w:noProof/>
          <w:sz w:val="24"/>
        </w:rPr>
      </w:pPr>
    </w:p>
    <w:p w14:paraId="375E651E" w14:textId="7B0D8992" w:rsidR="003E1D81" w:rsidRDefault="003E1D81">
      <w:pPr>
        <w:spacing w:before="120" w:after="120" w:line="240" w:lineRule="auto"/>
        <w:jc w:val="both"/>
        <w:rPr>
          <w:rFonts w:ascii="Times New Roman" w:hAnsi="Times New Roman" w:cs="Times New Roman"/>
          <w:noProof/>
          <w:sz w:val="24"/>
        </w:rPr>
        <w:sectPr w:rsidR="003E1D81" w:rsidSect="00522183">
          <w:headerReference w:type="even" r:id="rId96"/>
          <w:headerReference w:type="default" r:id="rId97"/>
          <w:footerReference w:type="even" r:id="rId98"/>
          <w:footerReference w:type="default" r:id="rId99"/>
          <w:headerReference w:type="first" r:id="rId100"/>
          <w:footerReference w:type="first" r:id="rId101"/>
          <w:pgSz w:w="16839" w:h="11907" w:orient="landscape"/>
          <w:pgMar w:top="1417" w:right="1134" w:bottom="1417" w:left="1134" w:header="709" w:footer="709" w:gutter="0"/>
          <w:cols w:space="720"/>
          <w:docGrid w:linePitch="360"/>
        </w:sectPr>
      </w:pPr>
    </w:p>
    <w:p w14:paraId="3066E461" w14:textId="77777777" w:rsidR="003E1D81" w:rsidRDefault="00EB481C">
      <w:pPr>
        <w:pStyle w:val="P68B1DB1-Heading12"/>
        <w:rPr>
          <w:rFonts w:cs="Times New Roman"/>
          <w:noProof/>
        </w:rPr>
      </w:pPr>
      <w:r>
        <w:rPr>
          <w:noProof/>
        </w:rPr>
        <w:t xml:space="preserve">D. KOMPONENS: </w:t>
      </w:r>
      <w:r>
        <w:rPr>
          <w:noProof/>
        </w:rPr>
        <w:t>Ökoszisztémák és biológiai sokféleség</w:t>
      </w:r>
    </w:p>
    <w:p w14:paraId="30F8696F" w14:textId="15F4BA49" w:rsidR="003E1D81" w:rsidRDefault="00EB481C">
      <w:pPr>
        <w:pStyle w:val="P68B1DB1-Normal4"/>
        <w:spacing w:before="120" w:after="120" w:line="240" w:lineRule="auto"/>
        <w:jc w:val="both"/>
        <w:rPr>
          <w:rFonts w:cs="Times New Roman"/>
          <w:noProof/>
        </w:rPr>
      </w:pPr>
      <w:r>
        <w:rPr>
          <w:noProof/>
        </w:rPr>
        <w:t>A spanyol helyreállítási és rezilienciaépítési terv e komponense kezeli Spanyolországnak az éghajlatváltozás biogeográfiája és geomorfológiája miatti közvetlen és közvetett káros hatásaival szembeni sebezhetőségét azál</w:t>
      </w:r>
      <w:r>
        <w:rPr>
          <w:noProof/>
        </w:rPr>
        <w:t>tal, hogy szükség esetén ökológiai helyreállításuk révén javítja az ökoszisztémák védettségi helyzetét, visszafordítja a biológiai sokféleség csökkenését, biztosítja a természeti erőforrások fenntartható használatát, valamint megőrzi és javítja az ökoszisz</w:t>
      </w:r>
      <w:r>
        <w:rPr>
          <w:noProof/>
        </w:rPr>
        <w:t>téma-szolgáltatásokat. Ez a komponens hozzájárul továbbá az ökoszisztémáknak az éghajlatváltozás káros hatásaihoz való alkalmazkodásához azáltal, hogy intézkedéseket fogad el az éghajlatváltozás hatásainak minimalizálására, elfogadja az elsivatagosodás ell</w:t>
      </w:r>
      <w:r>
        <w:rPr>
          <w:noProof/>
        </w:rPr>
        <w:t xml:space="preserve">eni küzdelemre irányuló nemzeti stratégiát, és az erdőtüzekre összpontosít. </w:t>
      </w:r>
    </w:p>
    <w:p w14:paraId="6B11FF22" w14:textId="61539AD8" w:rsidR="003E1D81" w:rsidRDefault="00EB481C">
      <w:pPr>
        <w:pStyle w:val="P68B1DB1-Normal4"/>
        <w:spacing w:before="120" w:after="120" w:line="240" w:lineRule="auto"/>
        <w:jc w:val="both"/>
        <w:rPr>
          <w:rFonts w:cs="Times New Roman"/>
          <w:noProof/>
        </w:rPr>
      </w:pPr>
      <w:r>
        <w:rPr>
          <w:noProof/>
        </w:rPr>
        <w:t xml:space="preserve">További hangsúlyt kell fektetni a tengeri ökoszisztémák védelmére, megőrzésére és helyreállítására. A spanyol helyreállítási és rezilienciaépítési terv ezen elemének végrehajtása </w:t>
      </w:r>
      <w:r>
        <w:rPr>
          <w:noProof/>
        </w:rPr>
        <w:t>i. elindítja a tengerek és biológiai sokféleségük javítását célzó kék menetrendet; a védett tengeri területek arányának növelése azáltal, hogy 2025 végéig legalább a spanyol terület 18%-át védik, védve mind az állat-, mind a növényvilágot; és iii. Spanyolo</w:t>
      </w:r>
      <w:r>
        <w:rPr>
          <w:noProof/>
        </w:rPr>
        <w:t>rszágban első alkalommal vezet be tengergazdálkodási keretet.</w:t>
      </w:r>
    </w:p>
    <w:p w14:paraId="6A501ED7" w14:textId="3639AB36" w:rsidR="003E1D81" w:rsidRDefault="00EB481C">
      <w:pPr>
        <w:pStyle w:val="P68B1DB1-Normal4"/>
        <w:spacing w:before="120" w:after="120" w:line="240" w:lineRule="auto"/>
        <w:jc w:val="both"/>
        <w:rPr>
          <w:rFonts w:cs="Times New Roman"/>
          <w:noProof/>
        </w:rPr>
      </w:pPr>
      <w:r>
        <w:rPr>
          <w:noProof/>
        </w:rPr>
        <w:t>Emellett meg kell őriznie és fenntarthatóan kell kezelnie a vidéki területeket, azok ökoszisztémáit, biológiai sokféleségét és erdős területeit. A vidéki területek – ahol az elnéptelenedés külön</w:t>
      </w:r>
      <w:r>
        <w:rPr>
          <w:noProof/>
        </w:rPr>
        <w:t xml:space="preserve">ösen kedvezőtlen hatással járt – Spanyolország gazdag természeti öröksége nagy részének adnak otthont, és ezért a helyi gazdagság forrásai, lehetőségeket teremtve a demográfiai hanyatlás visszafordítására. </w:t>
      </w:r>
    </w:p>
    <w:p w14:paraId="4BF45026" w14:textId="77777777" w:rsidR="003E1D81" w:rsidRDefault="00EB481C">
      <w:pPr>
        <w:pStyle w:val="P68B1DB1-Normal4"/>
        <w:spacing w:before="120" w:after="120" w:line="240" w:lineRule="auto"/>
        <w:jc w:val="both"/>
        <w:rPr>
          <w:rFonts w:cs="Times New Roman"/>
          <w:noProof/>
        </w:rPr>
      </w:pPr>
      <w:r>
        <w:rPr>
          <w:noProof/>
        </w:rPr>
        <w:t>A spanyol helyreállítási és rezilienciaépítési te</w:t>
      </w:r>
      <w:r>
        <w:rPr>
          <w:noProof/>
        </w:rPr>
        <w:t>rv e komponense támogatja a zöld és digitális átállásra irányuló beruházásokat (2020. évi 3. országspecifikus ajánlás). Támogatja továbbá a megfelelő földgazdálkodást, különösen az európai zöld megállapodás és a 2030-ig tartó időszakra szóló uniós biodiver</w:t>
      </w:r>
      <w:r>
        <w:rPr>
          <w:noProof/>
        </w:rPr>
        <w:t xml:space="preserve">zitási stratégia célkitűzéseivel összhangban álló erdőgazdálkodást, természetvédelmet és helyreállítást. </w:t>
      </w:r>
    </w:p>
    <w:p w14:paraId="44250219" w14:textId="77777777" w:rsidR="003E1D81" w:rsidRDefault="00EB481C">
      <w:pPr>
        <w:pStyle w:val="P68B1DB1-Normal4"/>
        <w:spacing w:before="120" w:after="120" w:line="240" w:lineRule="auto"/>
        <w:jc w:val="both"/>
        <w:rPr>
          <w:rFonts w:cs="Times New Roman"/>
          <w:noProof/>
        </w:rPr>
      </w:pPr>
      <w:r>
        <w:rPr>
          <w:noProof/>
        </w:rPr>
        <w:t>A jelentős károkozás elkerülését célzó elvről szóló technikai iránymutatásnak (2021/C58/01) megfelelően a helyreállítási és rezilienciaépítési tervben</w:t>
      </w:r>
      <w:r>
        <w:rPr>
          <w:noProof/>
        </w:rPr>
        <w:t xml:space="preserve">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w:t>
      </w:r>
      <w:r>
        <w:rPr>
          <w:noProof/>
        </w:rPr>
        <w:t>nti környezeti célkitűzéseket.</w:t>
      </w:r>
    </w:p>
    <w:p w14:paraId="21FC91AB" w14:textId="77777777" w:rsidR="003E1D81" w:rsidRDefault="00EB481C">
      <w:pPr>
        <w:pStyle w:val="P68B1DB1-Normal5"/>
        <w:spacing w:before="120" w:after="120" w:line="240" w:lineRule="auto"/>
        <w:ind w:left="720"/>
        <w:jc w:val="both"/>
        <w:rPr>
          <w:rFonts w:cs="Times New Roman"/>
          <w:i/>
          <w:noProof/>
        </w:rPr>
      </w:pPr>
      <w:r>
        <w:rPr>
          <w:noProof/>
        </w:rPr>
        <w:t xml:space="preserve">D.1. </w:t>
      </w:r>
      <w:r>
        <w:rPr>
          <w:noProof/>
        </w:rPr>
        <w:tab/>
        <w:t>Vissza nem térítendő pénzügyi támogatás – a reformok és beruházások ismertetése</w:t>
      </w:r>
    </w:p>
    <w:p w14:paraId="25340F12" w14:textId="77777777" w:rsidR="003E1D81" w:rsidRDefault="00EB481C">
      <w:pPr>
        <w:pStyle w:val="P68B1DB1-Normal6"/>
        <w:spacing w:before="120" w:after="120" w:line="240" w:lineRule="auto"/>
        <w:jc w:val="both"/>
        <w:rPr>
          <w:rFonts w:cs="Times New Roman"/>
          <w:noProof/>
        </w:rPr>
      </w:pPr>
      <w:r>
        <w:rPr>
          <w:noProof/>
        </w:rPr>
        <w:t>Reform (C4.R1) – A szárazföldi és tengeri biológiai sokféleség megőrzése</w:t>
      </w:r>
    </w:p>
    <w:p w14:paraId="59340859" w14:textId="77777777" w:rsidR="003E1D81" w:rsidRDefault="00EB481C">
      <w:pPr>
        <w:pStyle w:val="P68B1DB1-Normal4"/>
        <w:spacing w:before="120" w:after="120" w:line="240" w:lineRule="auto"/>
        <w:jc w:val="both"/>
        <w:rPr>
          <w:rFonts w:cs="Times New Roman"/>
          <w:noProof/>
        </w:rPr>
      </w:pPr>
      <w:r>
        <w:rPr>
          <w:noProof/>
        </w:rPr>
        <w:t xml:space="preserve">Ez a reform aktualizálja a biológiai sokféleségre és a természeti </w:t>
      </w:r>
      <w:r>
        <w:rPr>
          <w:noProof/>
        </w:rPr>
        <w:t xml:space="preserve">örökségre vonatkozó jogszabályokat a biológiai sokféleségről szóló egyezményből és a közelmúltban elfogadott, 2030-ig tartó időszakra szóló uniós biodiverzitási stratégiából eredő kötelezettségvállalások teljesítésének támogatása érdekében. </w:t>
      </w:r>
    </w:p>
    <w:p w14:paraId="701C4F91" w14:textId="7158DFF6" w:rsidR="003E1D81" w:rsidRDefault="00EB481C">
      <w:pPr>
        <w:pStyle w:val="P68B1DB1-Normal4"/>
        <w:spacing w:before="120" w:after="120" w:line="240" w:lineRule="auto"/>
        <w:jc w:val="both"/>
        <w:rPr>
          <w:rFonts w:cs="Times New Roman"/>
          <w:noProof/>
        </w:rPr>
      </w:pPr>
      <w:r>
        <w:rPr>
          <w:noProof/>
        </w:rPr>
        <w:t>E reform fő in</w:t>
      </w:r>
      <w:r>
        <w:rPr>
          <w:noProof/>
        </w:rPr>
        <w:t>tézkedése a természeti örökségre és a biológiai sokféleségre vonatkozó stratégiai terv előkészítése, jóváhagyása és végrehajtása (a természeti örökségről és a biológiai sokféleségről szóló 42/2007. sz. törvényben meghatározottak szerint), hogy az hosszú tá</w:t>
      </w:r>
      <w:r>
        <w:rPr>
          <w:noProof/>
        </w:rPr>
        <w:t xml:space="preserve">vú hatást gyakoroljon valamennyi spanyol természeti rendszer megőrzésére és kezelésére, valamint a társadalomnak nyújtott szolgáltatásaira. Ez a reform ezen intézkedés keretében a következő fellépéseket is magában foglalja: </w:t>
      </w:r>
    </w:p>
    <w:p w14:paraId="09D845DD" w14:textId="77777777" w:rsidR="003E1D81" w:rsidRDefault="00EB481C">
      <w:pPr>
        <w:pStyle w:val="P68B1DB1-Normal4"/>
        <w:numPr>
          <w:ilvl w:val="0"/>
          <w:numId w:val="90"/>
        </w:numPr>
        <w:spacing w:before="120" w:after="160" w:line="240" w:lineRule="auto"/>
        <w:ind w:left="714" w:hanging="357"/>
        <w:contextualSpacing/>
        <w:jc w:val="both"/>
        <w:rPr>
          <w:rFonts w:cs="Times New Roman"/>
          <w:noProof/>
        </w:rPr>
      </w:pPr>
      <w:r>
        <w:rPr>
          <w:noProof/>
        </w:rPr>
        <w:t>A biológiai sokféleségre, a tud</w:t>
      </w:r>
      <w:r>
        <w:rPr>
          <w:noProof/>
        </w:rPr>
        <w:t xml:space="preserve">ományra és a tudásra vonatkozó stratégia elfogadása, amely azonosítja a főbb kutatási hiányosságokat, és meghatározza azokat a konkrét területeket, ahol a biológiai sokféleség területén kutatásra van szükség. </w:t>
      </w:r>
    </w:p>
    <w:p w14:paraId="005A8DCC" w14:textId="77777777" w:rsidR="003E1D81" w:rsidRDefault="00EB481C">
      <w:pPr>
        <w:pStyle w:val="P68B1DB1-Normal4"/>
        <w:numPr>
          <w:ilvl w:val="0"/>
          <w:numId w:val="90"/>
        </w:numPr>
        <w:spacing w:before="120" w:after="160" w:line="240" w:lineRule="auto"/>
        <w:contextualSpacing/>
        <w:jc w:val="both"/>
        <w:rPr>
          <w:rFonts w:cs="Times New Roman"/>
          <w:noProof/>
        </w:rPr>
      </w:pPr>
      <w:r>
        <w:rPr>
          <w:noProof/>
        </w:rPr>
        <w:t>A védett tengeri területek hálózatára vonatkoz</w:t>
      </w:r>
      <w:r>
        <w:rPr>
          <w:noProof/>
        </w:rPr>
        <w:t>ó terv jóváhagyásáról szóló királyi rendelet elfogadása, amely előmozdítja a természeti örökség és a tengeri biológiai sokféleség megőrzéséhez hozzájáruló, ökológiailag koherens hálózatot, elősegítve a védett tengeri területek tervezett, hatékony és kohere</w:t>
      </w:r>
      <w:r>
        <w:rPr>
          <w:noProof/>
        </w:rPr>
        <w:t xml:space="preserve">ns kezelését. </w:t>
      </w:r>
    </w:p>
    <w:p w14:paraId="6814E040" w14:textId="77777777" w:rsidR="003E1D81" w:rsidRDefault="00EB481C">
      <w:pPr>
        <w:pStyle w:val="P68B1DB1-Normal4"/>
        <w:numPr>
          <w:ilvl w:val="0"/>
          <w:numId w:val="90"/>
        </w:numPr>
        <w:spacing w:before="120" w:after="160" w:line="240" w:lineRule="auto"/>
        <w:contextualSpacing/>
        <w:jc w:val="both"/>
        <w:rPr>
          <w:rFonts w:cs="Times New Roman"/>
          <w:noProof/>
        </w:rPr>
      </w:pPr>
      <w:r>
        <w:rPr>
          <w:noProof/>
        </w:rPr>
        <w:t>A beporzók védelmére vonatkozó nemzeti stratégia biztosítja a beporzók helyzetének javításához szükséges intézkedéseket. Ez a stratégia különösen a következőkre összpontosít: i. a beporzók számára kedvező területek előmozdítása; a káros fajok által okozott</w:t>
      </w:r>
      <w:r>
        <w:rPr>
          <w:noProof/>
        </w:rPr>
        <w:t xml:space="preserve"> kockázatok kezelésének javítása és csökkentése; növény-egészségügyi termékek; és iv. a beporzók védelmére irányuló kutatás előmozdítása, valamint az e területre vonatkozó kutatási eredmények terjesztése. </w:t>
      </w:r>
    </w:p>
    <w:p w14:paraId="16BFEBDC" w14:textId="77777777" w:rsidR="003E1D81" w:rsidRDefault="00EB481C">
      <w:pPr>
        <w:pStyle w:val="P68B1DB1-Normal4"/>
        <w:numPr>
          <w:ilvl w:val="0"/>
          <w:numId w:val="90"/>
        </w:numPr>
        <w:spacing w:before="120" w:after="160" w:line="240" w:lineRule="auto"/>
        <w:contextualSpacing/>
        <w:jc w:val="both"/>
        <w:rPr>
          <w:rFonts w:cs="Times New Roman"/>
          <w:noProof/>
        </w:rPr>
      </w:pPr>
      <w:r>
        <w:rPr>
          <w:noProof/>
        </w:rPr>
        <w:t xml:space="preserve">A veszélyeztetett vadon élő állat- és növényfajok </w:t>
      </w:r>
      <w:r>
        <w:rPr>
          <w:noProof/>
        </w:rPr>
        <w:t>nemzetközi kereskedelméről szóló egyezmény (CITES-rendelet) szerinti közigazgatási és tudományos hatóságok naprakésszé tételéről szóló rendelet elfogadása, amely garantálja a CITES-ből eredő intézkedések végrehajtását, és biztosítja, hogy a kereskedelem ne</w:t>
      </w:r>
      <w:r>
        <w:rPr>
          <w:noProof/>
        </w:rPr>
        <w:t xml:space="preserve"> befolyásolja hátrányosan a fajok védettségi helyzetét és hosszú távú fennmaradását. </w:t>
      </w:r>
    </w:p>
    <w:p w14:paraId="37927D61" w14:textId="77777777" w:rsidR="003E1D81" w:rsidRDefault="00EB481C">
      <w:pPr>
        <w:pStyle w:val="P68B1DB1-Normal4"/>
        <w:numPr>
          <w:ilvl w:val="0"/>
          <w:numId w:val="90"/>
        </w:numPr>
        <w:spacing w:before="120" w:after="120" w:line="240" w:lineRule="auto"/>
        <w:ind w:left="714" w:hanging="357"/>
        <w:jc w:val="both"/>
        <w:rPr>
          <w:rFonts w:cs="Times New Roman"/>
          <w:noProof/>
        </w:rPr>
      </w:pPr>
      <w:r>
        <w:rPr>
          <w:noProof/>
        </w:rPr>
        <w:t xml:space="preserve">A vizes élőhelyek megőrzésére és helyreállítására vonatkozó terv, amely garantálja a vizes élőhelyek megőrzését és ésszerű használatát. </w:t>
      </w:r>
    </w:p>
    <w:p w14:paraId="3EAB1E06" w14:textId="77777777" w:rsidR="003E1D81" w:rsidRDefault="00EB481C">
      <w:pPr>
        <w:pStyle w:val="P68B1DB1-Normal4"/>
        <w:spacing w:before="120" w:after="120" w:line="240" w:lineRule="auto"/>
        <w:jc w:val="both"/>
        <w:rPr>
          <w:rFonts w:cs="Times New Roman"/>
          <w:noProof/>
        </w:rPr>
      </w:pPr>
      <w:r>
        <w:rPr>
          <w:noProof/>
        </w:rPr>
        <w:t>Ezen intézkedések ezen intézkedés</w:t>
      </w:r>
      <w:r>
        <w:rPr>
          <w:noProof/>
        </w:rPr>
        <w:t xml:space="preserve"> keretében történő kidolgozását a spanyol helyreállítási és rezilienciaépítési terv ezen komponensének 1. és 2. beruházása közvetlenül támogatja (lásd alább). Kiegészíti továbbá a spanyol helyreállítási és rezilienciaépítési terv e komponensében ismertetet</w:t>
      </w:r>
      <w:r>
        <w:rPr>
          <w:noProof/>
        </w:rPr>
        <w:t xml:space="preserve">t másik két reformot és beruházást. </w:t>
      </w:r>
    </w:p>
    <w:p w14:paraId="18300707" w14:textId="77777777" w:rsidR="003E1D81" w:rsidRDefault="00EB481C">
      <w:pPr>
        <w:pStyle w:val="P68B1DB1-Normal4"/>
        <w:spacing w:before="120" w:after="120" w:line="240" w:lineRule="auto"/>
        <w:jc w:val="both"/>
        <w:rPr>
          <w:rFonts w:cs="Times New Roman"/>
          <w:noProof/>
        </w:rPr>
      </w:pPr>
      <w:r>
        <w:rPr>
          <w:noProof/>
        </w:rPr>
        <w:t xml:space="preserve">Az intézkedés végrehajtását 2022. december 31-ig be kell fejezni. </w:t>
      </w:r>
    </w:p>
    <w:p w14:paraId="020DA12D" w14:textId="77777777" w:rsidR="003E1D81" w:rsidRDefault="00EB481C">
      <w:pPr>
        <w:pStyle w:val="P68B1DB1-Normal6"/>
        <w:spacing w:before="120" w:after="120" w:line="240" w:lineRule="auto"/>
        <w:jc w:val="both"/>
        <w:rPr>
          <w:rFonts w:cs="Times New Roman"/>
          <w:noProof/>
        </w:rPr>
      </w:pPr>
      <w:r>
        <w:rPr>
          <w:noProof/>
        </w:rPr>
        <w:t>Reform (C4.R2) – Az ökoszisztémák és a zöld infrastruktúra helyreállítása</w:t>
      </w:r>
    </w:p>
    <w:p w14:paraId="39BD5F75" w14:textId="77777777" w:rsidR="003E1D81" w:rsidRDefault="00EB481C">
      <w:pPr>
        <w:pStyle w:val="P68B1DB1-Normal4"/>
        <w:spacing w:before="120" w:after="120" w:line="240" w:lineRule="auto"/>
        <w:jc w:val="both"/>
        <w:rPr>
          <w:rFonts w:cs="Times New Roman"/>
          <w:noProof/>
        </w:rPr>
      </w:pPr>
      <w:r>
        <w:rPr>
          <w:noProof/>
        </w:rPr>
        <w:t>E reform célja a zöld infrastruktúrára, a konnektivitásra és az ökológiai hely</w:t>
      </w:r>
      <w:r>
        <w:rPr>
          <w:noProof/>
        </w:rPr>
        <w:t>reállításra vonatkozó központi kormányzati stratégia kidolgozása és végrehajtása, a károsodott ökoszisztémák helyreállítása, valamint a Spanyolországban összekapcsolt, teljesen működőképes szárazföldi és tengeri természetes és féltermészetes területek háló</w:t>
      </w:r>
      <w:r>
        <w:rPr>
          <w:noProof/>
        </w:rPr>
        <w:t>zatának 2050-ig történő megszilárdítása.</w:t>
      </w:r>
    </w:p>
    <w:p w14:paraId="40AEC7EC" w14:textId="77777777" w:rsidR="003E1D81" w:rsidRDefault="00EB481C">
      <w:pPr>
        <w:pStyle w:val="P68B1DB1-Normal4"/>
        <w:spacing w:before="120" w:after="120" w:line="240" w:lineRule="auto"/>
        <w:jc w:val="both"/>
        <w:rPr>
          <w:rFonts w:cs="Times New Roman"/>
          <w:noProof/>
        </w:rPr>
      </w:pPr>
      <w:r>
        <w:rPr>
          <w:noProof/>
        </w:rPr>
        <w:t>Ezek a reformok hét különböző cselekvési irányvonalat foglalnak magukban a következők érdekében: a széttöredezettség és az ökológiai összekapcsoltság elvesztése hatásainak csökkentése; a kulcsfontosságú területek él</w:t>
      </w:r>
      <w:r>
        <w:rPr>
          <w:noProof/>
        </w:rPr>
        <w:t>őhelyeinek és ökoszisztémáinak helyreállítása; a zöld infrastrukturális elemek ökoszisztéma-szolgáltatásainak fenntartása és javítása; a zöld infrastruktúrához kapcsolódó elemek rezilienciájának javítása; a területi koherencia biztosítása; hatékony környez</w:t>
      </w:r>
      <w:r>
        <w:rPr>
          <w:noProof/>
        </w:rPr>
        <w:t xml:space="preserve">etbarát infrastruktúrát kell beépíteni; valamint vii. megfelelő kommunikáció, oktatás, valamint az érdekcsoportok és a társadalom részvételének biztosítása a zöld infrastruktúra fejlesztésében. </w:t>
      </w:r>
    </w:p>
    <w:p w14:paraId="568339C9" w14:textId="77777777" w:rsidR="003E1D81" w:rsidRDefault="00EB481C">
      <w:pPr>
        <w:pStyle w:val="P68B1DB1-Normal4"/>
        <w:spacing w:before="120" w:after="120" w:line="240" w:lineRule="auto"/>
        <w:jc w:val="both"/>
        <w:rPr>
          <w:rFonts w:cs="Times New Roman"/>
          <w:noProof/>
        </w:rPr>
      </w:pPr>
      <w:r>
        <w:rPr>
          <w:noProof/>
        </w:rPr>
        <w:t>Ezt a reformot a spanyol helyreállítási és rezilienciaépítési</w:t>
      </w:r>
      <w:r>
        <w:rPr>
          <w:noProof/>
        </w:rPr>
        <w:t xml:space="preserve"> terv ezen komponensének 3. beruházása is támogatja, különös tekintettel a 2030-ig tartó időszakra szóló uniós biodiverzitási stratégia azon ajánlásaira, amelyek az ökológiai folyosók beépítésére, a nagyarányú fatelepítésre, a szennyezett területek rehabil</w:t>
      </w:r>
      <w:r>
        <w:rPr>
          <w:noProof/>
        </w:rPr>
        <w:t>itációja terén elért jelentős előrelépésre, valamint arra a célkitűzésre irányulnak, hogy a legalább 20000 lakosú városok ambiciózus városzöldítési tervvel rendelkezzenek. Kapcsolódik továbbá a spanyol helyreállítási és rezilienciaépítési terv e komponensé</w:t>
      </w:r>
      <w:r>
        <w:rPr>
          <w:noProof/>
        </w:rPr>
        <w:t xml:space="preserve">nek 1. reformjához és 1. beruházásához. </w:t>
      </w:r>
    </w:p>
    <w:p w14:paraId="3C9F2936" w14:textId="77777777" w:rsidR="003E1D81" w:rsidRDefault="00EB481C">
      <w:pPr>
        <w:pStyle w:val="P68B1DB1-Normal4"/>
        <w:spacing w:before="120" w:after="120" w:line="240" w:lineRule="auto"/>
        <w:jc w:val="both"/>
        <w:rPr>
          <w:rFonts w:cs="Times New Roman"/>
          <w:noProof/>
        </w:rPr>
      </w:pPr>
      <w:r>
        <w:rPr>
          <w:noProof/>
        </w:rPr>
        <w:t xml:space="preserve">Az intézkedés végrehajtását 2021. június 30-ig be kell fejezni. </w:t>
      </w:r>
    </w:p>
    <w:p w14:paraId="4C4CB362" w14:textId="77777777" w:rsidR="003E1D81" w:rsidRDefault="00EB481C">
      <w:pPr>
        <w:pStyle w:val="P68B1DB1-Normal6"/>
        <w:spacing w:before="120" w:after="120" w:line="240" w:lineRule="auto"/>
        <w:jc w:val="both"/>
        <w:rPr>
          <w:rFonts w:cs="Times New Roman"/>
          <w:noProof/>
        </w:rPr>
      </w:pPr>
      <w:r>
        <w:rPr>
          <w:noProof/>
        </w:rPr>
        <w:t>Reform (C4.R3) – Fenntartható erdőgazdálkodás</w:t>
      </w:r>
    </w:p>
    <w:p w14:paraId="5B135FED" w14:textId="77777777" w:rsidR="003E1D81" w:rsidRDefault="00EB481C">
      <w:pPr>
        <w:pStyle w:val="P68B1DB1-Normal4"/>
        <w:spacing w:before="120" w:after="120" w:line="240" w:lineRule="auto"/>
        <w:jc w:val="both"/>
        <w:rPr>
          <w:rFonts w:cs="Times New Roman"/>
          <w:noProof/>
        </w:rPr>
      </w:pPr>
      <w:r>
        <w:rPr>
          <w:noProof/>
        </w:rPr>
        <w:t>Ez a reform aktualizálja az 1999-es spanyol erdőgazdálkodási stratégiát a 2002–2032-es spanyol erdészeti</w:t>
      </w:r>
      <w:r>
        <w:rPr>
          <w:noProof/>
        </w:rPr>
        <w:t xml:space="preserve"> tervvel együtt, amely az erdészeti ágazat fellendítésére irányuló intézkedéscsomagot dolgoz ki, amely a spanyol erdő egészére kiterjed: a fajok és területek védelme, tűzvészek, tulajdonviszonyok, fejlődés, az erdőterületek és erőforrások jelenlegi állapot</w:t>
      </w:r>
      <w:r>
        <w:rPr>
          <w:noProof/>
        </w:rPr>
        <w:t xml:space="preserve">a és tendenciái. A reformnak foglalkoznia kell az elnéptelenedés súlyos problémáival küzdő nagy vidéki területek gazdasági és társadalmi újjáélesztésével, és megfelelően össze kell hangolni az európai zöld megállapodással. </w:t>
      </w:r>
    </w:p>
    <w:p w14:paraId="73FE2331" w14:textId="77777777" w:rsidR="003E1D81" w:rsidRDefault="00EB481C">
      <w:pPr>
        <w:pStyle w:val="P68B1DB1-Normal4"/>
        <w:spacing w:before="120" w:after="120" w:line="240" w:lineRule="auto"/>
        <w:jc w:val="both"/>
        <w:rPr>
          <w:rFonts w:cs="Times New Roman"/>
          <w:noProof/>
        </w:rPr>
      </w:pPr>
      <w:r>
        <w:rPr>
          <w:noProof/>
        </w:rPr>
        <w:t>A spanyol erdészeti stratégia öt</w:t>
      </w:r>
      <w:r>
        <w:rPr>
          <w:noProof/>
        </w:rPr>
        <w:t xml:space="preserve"> stratégiai prioritással rendelkezik:</w:t>
      </w:r>
    </w:p>
    <w:p w14:paraId="014728FC" w14:textId="77777777" w:rsidR="003E1D81" w:rsidRDefault="00EB481C">
      <w:pPr>
        <w:pStyle w:val="P68B1DB1-Normal4"/>
        <w:numPr>
          <w:ilvl w:val="0"/>
          <w:numId w:val="87"/>
        </w:numPr>
        <w:spacing w:before="120" w:after="160" w:line="240" w:lineRule="auto"/>
        <w:contextualSpacing/>
        <w:jc w:val="both"/>
        <w:rPr>
          <w:rFonts w:cs="Times New Roman"/>
          <w:noProof/>
        </w:rPr>
      </w:pPr>
      <w:r>
        <w:rPr>
          <w:noProof/>
        </w:rPr>
        <w:t>A természeti örökség, a biológiai sokféleség és az összekapcsoltság megőrzése és fejlesztése.</w:t>
      </w:r>
    </w:p>
    <w:p w14:paraId="54D6C91C" w14:textId="77777777" w:rsidR="003E1D81" w:rsidRDefault="00EB481C">
      <w:pPr>
        <w:pStyle w:val="P68B1DB1-Normal4"/>
        <w:numPr>
          <w:ilvl w:val="0"/>
          <w:numId w:val="87"/>
        </w:numPr>
        <w:spacing w:before="120" w:after="160" w:line="240" w:lineRule="auto"/>
        <w:contextualSpacing/>
        <w:jc w:val="both"/>
        <w:rPr>
          <w:rFonts w:cs="Times New Roman"/>
          <w:noProof/>
        </w:rPr>
      </w:pPr>
      <w:r>
        <w:rPr>
          <w:noProof/>
        </w:rPr>
        <w:t xml:space="preserve">Védelem, egészségbiztonság, valamint a természeti és környezeti kockázatok megelőzésének és az azokhoz való alkalmazkodásnak a védelme. </w:t>
      </w:r>
    </w:p>
    <w:p w14:paraId="25D0CC2D" w14:textId="77777777" w:rsidR="003E1D81" w:rsidRDefault="00EB481C">
      <w:pPr>
        <w:pStyle w:val="P68B1DB1-Normal4"/>
        <w:numPr>
          <w:ilvl w:val="0"/>
          <w:numId w:val="87"/>
        </w:numPr>
        <w:spacing w:before="120" w:after="160" w:line="240" w:lineRule="auto"/>
        <w:contextualSpacing/>
        <w:jc w:val="both"/>
        <w:rPr>
          <w:rFonts w:cs="Times New Roman"/>
          <w:noProof/>
        </w:rPr>
      </w:pPr>
      <w:r>
        <w:rPr>
          <w:noProof/>
        </w:rPr>
        <w:t>Erdei biogazdaság: zöld gazdaság és munkahelyek, az erdészeti erőforrások mozgósítása, valamint az erdészeti ágazat fen</w:t>
      </w:r>
      <w:r>
        <w:rPr>
          <w:noProof/>
        </w:rPr>
        <w:t>ntartható társadalmi-gazdasági fejlődése.</w:t>
      </w:r>
    </w:p>
    <w:p w14:paraId="72908E0E" w14:textId="77777777" w:rsidR="003E1D81" w:rsidRDefault="00EB481C">
      <w:pPr>
        <w:pStyle w:val="P68B1DB1-Normal4"/>
        <w:numPr>
          <w:ilvl w:val="0"/>
          <w:numId w:val="87"/>
        </w:numPr>
        <w:spacing w:before="120" w:after="160" w:line="240" w:lineRule="auto"/>
        <w:contextualSpacing/>
        <w:jc w:val="both"/>
        <w:rPr>
          <w:rFonts w:cs="Times New Roman"/>
          <w:noProof/>
        </w:rPr>
      </w:pPr>
      <w:r>
        <w:rPr>
          <w:noProof/>
        </w:rPr>
        <w:t>A tudás és az erdészeti kultúra fejlesztése és fejlesztése.</w:t>
      </w:r>
    </w:p>
    <w:p w14:paraId="1FBCD1F4" w14:textId="77777777" w:rsidR="003E1D81" w:rsidRDefault="00EB481C">
      <w:pPr>
        <w:pStyle w:val="P68B1DB1-Normal4"/>
        <w:numPr>
          <w:ilvl w:val="0"/>
          <w:numId w:val="87"/>
        </w:numPr>
        <w:spacing w:before="120" w:after="120" w:line="240" w:lineRule="auto"/>
        <w:ind w:left="357" w:hanging="357"/>
        <w:jc w:val="both"/>
        <w:rPr>
          <w:rFonts w:cs="Times New Roman"/>
          <w:noProof/>
        </w:rPr>
      </w:pPr>
      <w:r>
        <w:rPr>
          <w:noProof/>
        </w:rPr>
        <w:t>Erdészeti irányítási modell: a spanyol erdészeti politika szabályozási, igazgatási és jogi kerete.</w:t>
      </w:r>
    </w:p>
    <w:p w14:paraId="394982C6" w14:textId="1E66C333" w:rsidR="003E1D81" w:rsidRDefault="00EB481C">
      <w:pPr>
        <w:pStyle w:val="P68B1DB1-Normal4"/>
        <w:spacing w:before="120" w:after="120" w:line="240" w:lineRule="auto"/>
        <w:jc w:val="both"/>
        <w:rPr>
          <w:rFonts w:cs="Times New Roman"/>
          <w:noProof/>
        </w:rPr>
      </w:pPr>
      <w:r>
        <w:rPr>
          <w:noProof/>
        </w:rPr>
        <w:t>A spanyol erdészeti stratégiának két fő eszköze van, amelyek az erdészeti ágazat egészének megreformálásához szükségesek. Az első a fenntartható erdőgazdálkodásra vonatkozó iránymutatások elfogadása. Ezek az iránymutatások olyan kérdésekre terjednek ki, mi</w:t>
      </w:r>
      <w:r>
        <w:rPr>
          <w:noProof/>
        </w:rPr>
        <w:t xml:space="preserve">nt a biológiai sokféleség, az éghajlatváltozás és a körforgásos biogazdaság. Másodszor, a spanyolországi erdőtűz-gazdálkodásra vonatkozó stratégiai iránymutatások, amelyek meghatározzák a követendő célkitűzéseket, meghatározzák a munka fő irányvonalait és </w:t>
      </w:r>
      <w:r>
        <w:rPr>
          <w:noProof/>
        </w:rPr>
        <w:t xml:space="preserve">meghatározzák a társadalom bizonyos fokú felelősséggel rendelkező csoportjait. Ezek a stratégiai iránymutatások elengedhetetlenek az erdőtüzek megfékezéséhez és az erdészeti ágazat stratégiai helyzetének növeléséhez az ökológiai átállás összefüggésében. </w:t>
      </w:r>
    </w:p>
    <w:p w14:paraId="1606FD51" w14:textId="4679A788" w:rsidR="003E1D81" w:rsidRDefault="00EB481C">
      <w:pPr>
        <w:pStyle w:val="P68B1DB1-Normal4"/>
        <w:spacing w:before="120" w:after="120" w:line="240" w:lineRule="auto"/>
        <w:jc w:val="both"/>
        <w:rPr>
          <w:rFonts w:cs="Times New Roman"/>
          <w:noProof/>
        </w:rPr>
      </w:pPr>
      <w:r>
        <w:rPr>
          <w:noProof/>
        </w:rPr>
        <w:t>A</w:t>
      </w:r>
      <w:r>
        <w:rPr>
          <w:noProof/>
        </w:rPr>
        <w:t xml:space="preserve"> reform végrehajtását 2022. december 31-ig be kell fejezni. </w:t>
      </w:r>
    </w:p>
    <w:p w14:paraId="06E3C4A2" w14:textId="77777777" w:rsidR="003E1D81" w:rsidRDefault="00EB481C">
      <w:pPr>
        <w:pStyle w:val="P68B1DB1-Normal6"/>
        <w:spacing w:before="120" w:after="120" w:line="240" w:lineRule="auto"/>
        <w:jc w:val="both"/>
        <w:rPr>
          <w:rFonts w:cs="Times New Roman"/>
          <w:noProof/>
        </w:rPr>
      </w:pPr>
      <w:r>
        <w:rPr>
          <w:noProof/>
        </w:rPr>
        <w:t>Beruházás (C4.I1) – A természeti örökség digitalizálása és ismerete</w:t>
      </w:r>
    </w:p>
    <w:p w14:paraId="099D11B9" w14:textId="77777777" w:rsidR="003E1D81" w:rsidRDefault="00EB481C">
      <w:pPr>
        <w:pStyle w:val="P68B1DB1-Normal4"/>
        <w:spacing w:before="120" w:after="120" w:line="240" w:lineRule="auto"/>
        <w:jc w:val="both"/>
        <w:rPr>
          <w:rFonts w:cs="Times New Roman"/>
          <w:noProof/>
          <w:u w:val="single"/>
        </w:rPr>
      </w:pPr>
      <w:r>
        <w:rPr>
          <w:noProof/>
        </w:rPr>
        <w:t>A beruházásnak létre kell hoznia egy rendszert a természeti örökség kezelésének, ellenőrzésének és nyomon követésének digitaliz</w:t>
      </w:r>
      <w:r>
        <w:rPr>
          <w:noProof/>
        </w:rPr>
        <w:t>álására, amely kiterjed mind a szárazföldi, mind a tengeri területekre. Ennek a beruházásnak jelentős mértékben javítania kell a fajokkal és az élőhelyekkel kapcsolatos ismereteket, valamint az információk és a természeti örökség feltérképezését, beleértve</w:t>
      </w:r>
      <w:r>
        <w:rPr>
          <w:noProof/>
        </w:rPr>
        <w:t xml:space="preserve"> a geológiai örökséget is. A beruházás az információk megszerzésére és kezelésére összpontosít, beleértve a következőket:</w:t>
      </w:r>
    </w:p>
    <w:p w14:paraId="54D4512D" w14:textId="77777777" w:rsidR="003E1D81" w:rsidRDefault="00EB481C">
      <w:pPr>
        <w:pStyle w:val="P68B1DB1-Normal4"/>
        <w:numPr>
          <w:ilvl w:val="0"/>
          <w:numId w:val="226"/>
        </w:numPr>
        <w:spacing w:before="120" w:after="160" w:line="240" w:lineRule="auto"/>
        <w:contextualSpacing/>
        <w:jc w:val="both"/>
        <w:rPr>
          <w:rFonts w:cs="Times New Roman"/>
          <w:noProof/>
        </w:rPr>
      </w:pPr>
      <w:r>
        <w:rPr>
          <w:noProof/>
        </w:rPr>
        <w:t>A biológiai sokféleség és a természeti örökség kezelésével kapcsolatos ismeretek és digitalizáció nemzeti szintű javítását célzó progr</w:t>
      </w:r>
      <w:r>
        <w:rPr>
          <w:noProof/>
        </w:rPr>
        <w:t xml:space="preserve">am nyomonkövetési hálózatok kialakításával, szenzorok telepítésével, valamint helyhez kötött és mobil digitális információgyűjtő rendszerek használatával. </w:t>
      </w:r>
    </w:p>
    <w:p w14:paraId="4CE99295" w14:textId="77777777" w:rsidR="003E1D81" w:rsidRDefault="00EB481C">
      <w:pPr>
        <w:pStyle w:val="P68B1DB1-Normal4"/>
        <w:numPr>
          <w:ilvl w:val="0"/>
          <w:numId w:val="226"/>
        </w:numPr>
        <w:spacing w:before="120" w:after="120" w:line="240" w:lineRule="auto"/>
        <w:ind w:left="357" w:hanging="357"/>
        <w:jc w:val="both"/>
        <w:rPr>
          <w:rFonts w:cs="Times New Roman"/>
          <w:noProof/>
        </w:rPr>
      </w:pPr>
      <w:r>
        <w:rPr>
          <w:noProof/>
        </w:rPr>
        <w:t>Nemzeti szintű információkezelési rendszerek vagy platformok fejlesztése további elemzési és terjesz</w:t>
      </w:r>
      <w:r>
        <w:rPr>
          <w:noProof/>
        </w:rPr>
        <w:t xml:space="preserve">tési képességekkel. </w:t>
      </w:r>
    </w:p>
    <w:p w14:paraId="45010B81" w14:textId="2186FCDB" w:rsidR="003E1D81" w:rsidRDefault="00EB481C">
      <w:pPr>
        <w:pStyle w:val="P68B1DB1-Normal4"/>
        <w:spacing w:before="120" w:after="120" w:line="240" w:lineRule="auto"/>
        <w:jc w:val="both"/>
        <w:rPr>
          <w:rFonts w:cs="Times New Roman"/>
          <w:noProof/>
        </w:rPr>
      </w:pPr>
      <w:r>
        <w:rPr>
          <w:noProof/>
        </w:rPr>
        <w:t>El kell indítani a kétéltű légijármű-flotta repüléselektronikai rendszerének frissítését, és annak magában kell foglalnia azon berendezések tervezését, tanúsítását és beszerzését, amelyek a légi járműveket a tűzoltás során biztonságosa</w:t>
      </w:r>
      <w:r>
        <w:rPr>
          <w:noProof/>
        </w:rPr>
        <w:t>bbá és hatékonyabbá teszik. Az intézkedés várhatóan nem sérti jelentősen az (EU) 2020/852 rendelet 17. cikke szerinti környezetvédelmi célkitűzéseket, figyelembe véve az intézkedés leírását és a helyreállítási és rezilienciaépítési tervben meghatározott en</w:t>
      </w:r>
      <w:r>
        <w:rPr>
          <w:noProof/>
        </w:rPr>
        <w:t>yhítő lépéseket a jelentős károkozás elkerülését célzó elvről szóló technikai iránymutatásnak (2021/C58/01) megfelelően. Különösen a kétéltű légijármű-flotta repüléselektronikai rendszerének javítása csak a meglévő légi járművekbe építhető be, és nem növel</w:t>
      </w:r>
      <w:r>
        <w:rPr>
          <w:noProof/>
        </w:rPr>
        <w:t xml:space="preserve">heti e légi járművek élettartamát vagy kapacitását. Csak az erdőtüzek oltására használt műveletek során biztosít biztonsági és repülési feltételeket. </w:t>
      </w:r>
    </w:p>
    <w:p w14:paraId="08E0D1DD" w14:textId="77777777" w:rsidR="003E1D81" w:rsidRDefault="00EB481C">
      <w:pPr>
        <w:pStyle w:val="P68B1DB1-Normal4"/>
        <w:spacing w:before="120" w:after="120" w:line="240" w:lineRule="auto"/>
        <w:jc w:val="both"/>
        <w:rPr>
          <w:rFonts w:cs="Times New Roman"/>
          <w:noProof/>
        </w:rPr>
      </w:pPr>
      <w:r>
        <w:rPr>
          <w:noProof/>
        </w:rPr>
        <w:t xml:space="preserve">A beruházás végrehajtását 2026. június 30-ig be kell fejezni. </w:t>
      </w:r>
    </w:p>
    <w:p w14:paraId="032D8062" w14:textId="77777777" w:rsidR="003E1D81" w:rsidRDefault="00EB481C">
      <w:pPr>
        <w:pStyle w:val="P68B1DB1-Normal6"/>
        <w:keepNext/>
        <w:spacing w:before="120" w:after="120" w:line="240" w:lineRule="auto"/>
        <w:jc w:val="both"/>
        <w:rPr>
          <w:rFonts w:cs="Times New Roman"/>
          <w:noProof/>
        </w:rPr>
      </w:pPr>
      <w:r>
        <w:rPr>
          <w:noProof/>
        </w:rPr>
        <w:t>Beruházás (C4.I2) – A szárazföldi és tenge</w:t>
      </w:r>
      <w:r>
        <w:rPr>
          <w:noProof/>
        </w:rPr>
        <w:t>ri biológiai sokféleség megőrzése</w:t>
      </w:r>
    </w:p>
    <w:p w14:paraId="099D951E" w14:textId="77777777" w:rsidR="003E1D81" w:rsidRDefault="00EB481C">
      <w:pPr>
        <w:pStyle w:val="P68B1DB1-Normal4"/>
        <w:keepNext/>
        <w:spacing w:before="120" w:after="120" w:line="240" w:lineRule="auto"/>
        <w:jc w:val="both"/>
        <w:rPr>
          <w:rFonts w:cs="Times New Roman"/>
          <w:noProof/>
        </w:rPr>
      </w:pPr>
      <w:r>
        <w:rPr>
          <w:noProof/>
        </w:rPr>
        <w:t>Ez a beruházás a szárazföldi és tengeri biológiai sokféleség megőrzésére irányuló közvetlen beruházásokból és támogatási sorokból áll. Öt cselekvési irányvonalat foglal magában, amelyeket össze kell hangolni az 1. reformma</w:t>
      </w:r>
      <w:r>
        <w:rPr>
          <w:noProof/>
        </w:rPr>
        <w:t xml:space="preserve">l: </w:t>
      </w:r>
    </w:p>
    <w:p w14:paraId="28E70048" w14:textId="77777777" w:rsidR="003E1D81" w:rsidRDefault="00EB481C">
      <w:pPr>
        <w:pStyle w:val="P68B1DB1-Normal4"/>
        <w:numPr>
          <w:ilvl w:val="0"/>
          <w:numId w:val="227"/>
        </w:numPr>
        <w:spacing w:before="120" w:after="160" w:line="240" w:lineRule="auto"/>
        <w:contextualSpacing/>
        <w:jc w:val="both"/>
        <w:rPr>
          <w:rFonts w:cs="Times New Roman"/>
          <w:noProof/>
        </w:rPr>
      </w:pPr>
      <w:r>
        <w:rPr>
          <w:noProof/>
        </w:rPr>
        <w:t xml:space="preserve">A szárazföldi biológiai sokféleség megőrzése, a fajok és élőhelyek védettségi helyzetének javítása, a fenyegetések és a mortalitás megelőzése, valamint az idegenhonos inváziós fajok elleni védekezésre és azok felszámolására irányuló intézkedések. </w:t>
      </w:r>
    </w:p>
    <w:p w14:paraId="5B4482F1" w14:textId="77777777" w:rsidR="003E1D81" w:rsidRDefault="00EB481C">
      <w:pPr>
        <w:pStyle w:val="P68B1DB1-Normal4"/>
        <w:numPr>
          <w:ilvl w:val="0"/>
          <w:numId w:val="227"/>
        </w:numPr>
        <w:spacing w:before="120" w:after="160" w:line="240" w:lineRule="auto"/>
        <w:contextualSpacing/>
        <w:jc w:val="both"/>
        <w:rPr>
          <w:rFonts w:cs="Times New Roman"/>
          <w:noProof/>
        </w:rPr>
      </w:pPr>
      <w:r>
        <w:rPr>
          <w:noProof/>
        </w:rPr>
        <w:t>Az i</w:t>
      </w:r>
      <w:r>
        <w:rPr>
          <w:noProof/>
        </w:rPr>
        <w:t>nfrastruktúra fejlesztése, amely olyan intézkedéseket foglal magában, mint a természeti örökség kezeléséhez kapcsolódó létesítmények és infrastruktúra biztosítása, felújítása és korszerűsítése, a figyelemfelkeltés, valamint a biológiai sokféleség megőrzésé</w:t>
      </w:r>
      <w:r>
        <w:rPr>
          <w:noProof/>
        </w:rPr>
        <w:t xml:space="preserve">nek az emberi egészség és jólét szempontjából betöltött fontos szerepének kiemelése és terjesztése. </w:t>
      </w:r>
    </w:p>
    <w:p w14:paraId="2BE7436A" w14:textId="529F32E7" w:rsidR="003E1D81" w:rsidRDefault="00EB481C">
      <w:pPr>
        <w:pStyle w:val="P68B1DB1-Normal4"/>
        <w:numPr>
          <w:ilvl w:val="0"/>
          <w:numId w:val="227"/>
        </w:numPr>
        <w:spacing w:before="120" w:after="160" w:line="240" w:lineRule="auto"/>
        <w:contextualSpacing/>
        <w:jc w:val="both"/>
        <w:rPr>
          <w:rFonts w:cs="Times New Roman"/>
          <w:noProof/>
        </w:rPr>
      </w:pPr>
      <w:r>
        <w:rPr>
          <w:noProof/>
        </w:rPr>
        <w:t xml:space="preserve">Beruházás a tengeri biológiai sokféleség megőrzésére a spanyol tengeri terület legalább 18%-ának 2025-ig történő védelme érdekében.   </w:t>
      </w:r>
    </w:p>
    <w:p w14:paraId="5100FD0E" w14:textId="77777777" w:rsidR="003E1D81" w:rsidRDefault="00EB481C">
      <w:pPr>
        <w:pStyle w:val="P68B1DB1-Normal4"/>
        <w:numPr>
          <w:ilvl w:val="0"/>
          <w:numId w:val="227"/>
        </w:numPr>
        <w:spacing w:before="120" w:after="160" w:line="240" w:lineRule="auto"/>
        <w:contextualSpacing/>
        <w:jc w:val="both"/>
        <w:rPr>
          <w:rFonts w:cs="Times New Roman"/>
          <w:noProof/>
        </w:rPr>
      </w:pPr>
      <w:r>
        <w:rPr>
          <w:noProof/>
        </w:rPr>
        <w:t xml:space="preserve">A vizes élőhelyek helyreállítása a vizes élőhelyek megőrzésére, javítására és helyreállítására irányuló intézkedések révén, különös tekintettel a 2. reformban előírt Wetlandvédelmi és -helyreállítási tervhez kapcsolódó intézkedésekre. </w:t>
      </w:r>
    </w:p>
    <w:p w14:paraId="4D9ABA9A" w14:textId="77777777" w:rsidR="003E1D81" w:rsidRDefault="00EB481C">
      <w:pPr>
        <w:pStyle w:val="P68B1DB1-Normal4"/>
        <w:numPr>
          <w:ilvl w:val="0"/>
          <w:numId w:val="227"/>
        </w:numPr>
        <w:spacing w:before="120" w:after="120" w:line="240" w:lineRule="auto"/>
        <w:ind w:left="357" w:hanging="357"/>
        <w:jc w:val="both"/>
        <w:rPr>
          <w:rFonts w:cs="Times New Roman"/>
          <w:noProof/>
        </w:rPr>
      </w:pPr>
      <w:r>
        <w:rPr>
          <w:noProof/>
        </w:rPr>
        <w:t>A nemzetközi kereske</w:t>
      </w:r>
      <w:r>
        <w:rPr>
          <w:noProof/>
        </w:rPr>
        <w:t xml:space="preserve">delem ellenőrzése a CITES mentőközpontok hálózatának javítása és megszilárdítása, valamint az illegális kereskedelem elleni cselekvési terv megerősítése érdekében. </w:t>
      </w:r>
    </w:p>
    <w:p w14:paraId="066857D4" w14:textId="77777777" w:rsidR="003E1D81" w:rsidRDefault="00EB481C">
      <w:pPr>
        <w:pStyle w:val="P68B1DB1-Normal4"/>
        <w:spacing w:before="120" w:after="120" w:line="240" w:lineRule="auto"/>
        <w:jc w:val="both"/>
        <w:rPr>
          <w:rFonts w:cs="Times New Roman"/>
          <w:noProof/>
        </w:rPr>
      </w:pPr>
      <w:r>
        <w:rPr>
          <w:noProof/>
        </w:rPr>
        <w:t>Az intézkedés várhatóan nem sérti jelentősen az (EU) 2020/852 rendelet 17. cikke szerinti k</w:t>
      </w:r>
      <w:r>
        <w:rPr>
          <w:noProof/>
        </w:rPr>
        <w:t>örnyezetvédelmi célkitűzéseket, figyelembe véve az intézkedés leírását és a helyreállítási és rezilienciaépítési tervben meghatározott enyhítő lépéseket a jelentős károkozás elkerülését célzó elvről szóló technikai iránymutatásnak (2021/C58/01) megfelelően</w:t>
      </w:r>
      <w:r>
        <w:rPr>
          <w:noProof/>
        </w:rPr>
        <w:t>. Különösen a különleges rendeltetésű hajók vásárlása esetén a beruházásra vonatkozó kiválasztási kritériumoknak biztosítaniuk kell, hogy csak az ágazatban a lehető legalacsonyabb környezeti hatással járó legjobb technológiák kerüljenek kiválasztásra, figy</w:t>
      </w:r>
      <w:r>
        <w:rPr>
          <w:noProof/>
        </w:rPr>
        <w:t xml:space="preserve">elembe véve az általuk kiszolgált különleges célt. </w:t>
      </w:r>
    </w:p>
    <w:p w14:paraId="7C5BBC2A" w14:textId="77777777" w:rsidR="003E1D81" w:rsidRDefault="00EB481C">
      <w:pPr>
        <w:pStyle w:val="P68B1DB1-Normal4"/>
        <w:spacing w:before="120" w:after="120" w:line="240" w:lineRule="auto"/>
        <w:jc w:val="both"/>
        <w:rPr>
          <w:rFonts w:cs="Times New Roman"/>
          <w:noProof/>
        </w:rPr>
      </w:pPr>
      <w:r>
        <w:rPr>
          <w:noProof/>
        </w:rPr>
        <w:t xml:space="preserve">A beruházás végrehajtását 2026. június 30-ig be kell fejezni. </w:t>
      </w:r>
    </w:p>
    <w:p w14:paraId="5041CEF8" w14:textId="77777777" w:rsidR="003E1D81" w:rsidRDefault="00EB481C">
      <w:pPr>
        <w:pStyle w:val="P68B1DB1-Normal6"/>
        <w:spacing w:before="120" w:after="120" w:line="240" w:lineRule="auto"/>
        <w:jc w:val="both"/>
        <w:rPr>
          <w:rFonts w:cs="Times New Roman"/>
          <w:noProof/>
        </w:rPr>
      </w:pPr>
      <w:r>
        <w:rPr>
          <w:noProof/>
        </w:rPr>
        <w:t>Beruházás (C4.I3) – Az ökoszisztémák és a zöld infrastruktúra helyreállítása</w:t>
      </w:r>
    </w:p>
    <w:p w14:paraId="067A6342" w14:textId="77777777" w:rsidR="003E1D81" w:rsidRDefault="00EB481C">
      <w:pPr>
        <w:pStyle w:val="P68B1DB1-Normal4"/>
        <w:spacing w:before="120" w:after="120" w:line="240" w:lineRule="auto"/>
        <w:jc w:val="both"/>
        <w:rPr>
          <w:rFonts w:cs="Times New Roman"/>
          <w:noProof/>
        </w:rPr>
      </w:pPr>
      <w:r>
        <w:rPr>
          <w:noProof/>
        </w:rPr>
        <w:t>Ez a beruházás a 2. reform végrehajtását támogató intézkedéscsom</w:t>
      </w:r>
      <w:r>
        <w:rPr>
          <w:noProof/>
        </w:rPr>
        <w:t xml:space="preserve">agot tartalmaz. A cél a természetes ökoszisztémák és a bányászati tevékenységek által leromlott területek, valamint a városi környezetben a városi összeköttetések és a visszafordítás előmozdítását célzó egyéb kezdeményezések helyreállítása. </w:t>
      </w:r>
    </w:p>
    <w:p w14:paraId="0EFA8DBE" w14:textId="77777777" w:rsidR="003E1D81" w:rsidRDefault="00EB481C">
      <w:pPr>
        <w:pStyle w:val="P68B1DB1-Normal4"/>
        <w:spacing w:before="120" w:after="120" w:line="240" w:lineRule="auto"/>
        <w:jc w:val="both"/>
        <w:rPr>
          <w:rFonts w:cs="Times New Roman"/>
          <w:noProof/>
        </w:rPr>
      </w:pPr>
      <w:r>
        <w:rPr>
          <w:noProof/>
        </w:rPr>
        <w:t>A beruházás le</w:t>
      </w:r>
      <w:r>
        <w:rPr>
          <w:noProof/>
        </w:rPr>
        <w:t>galább 30000 hektárnyi természetes ökoszisztéma helyreállítását tűzi ki célul. A helyreállítási intézkedéseknek a leromlott területekre vagy ökoszisztémákra kell összpontosítaniuk a mesterséges elemek eltávolítása, a talaj és a morfológia javítása, valamin</w:t>
      </w:r>
      <w:r>
        <w:rPr>
          <w:noProof/>
        </w:rPr>
        <w:t>t a rekultiváció és a honosítás révén. Ami a bányászatot illeti, a beruházásnak legalább 30 korábbi bányatelepet kell helyreállítania. A korábbi bányatelepek rehabilitációja magában foglalja a talaj szennyeződésmentesítését, a morfológia helyreállítását, a</w:t>
      </w:r>
      <w:r>
        <w:rPr>
          <w:noProof/>
        </w:rPr>
        <w:t xml:space="preserve"> már nem üzemelő korábbi bányatelepek rekultivációját és honosítását. </w:t>
      </w:r>
    </w:p>
    <w:p w14:paraId="0B8C5AF7" w14:textId="77777777" w:rsidR="003E1D81" w:rsidRDefault="00EB481C">
      <w:pPr>
        <w:pStyle w:val="P68B1DB1-Normal4"/>
        <w:spacing w:before="120" w:after="120" w:line="240" w:lineRule="auto"/>
        <w:jc w:val="both"/>
        <w:rPr>
          <w:rFonts w:cs="Times New Roman"/>
          <w:noProof/>
        </w:rPr>
      </w:pPr>
      <w:r>
        <w:rPr>
          <w:noProof/>
        </w:rPr>
        <w:t xml:space="preserve">Végezetül, a beruházásnak elő kell mozdítania a zöld infrastruktúrát, és ki kell elégítenie a helyi hatóságok szükségleteit, beleértve a következőket: várostervezési és -rehabilitációs </w:t>
      </w:r>
      <w:r>
        <w:rPr>
          <w:noProof/>
        </w:rPr>
        <w:t>stratégiák, amelyek célja a zöld és kék infrastruktúra létrehozása és helyreállítása, valamint a városi területek felszabadítása a biológiai sokféleség, a talajáteresztő képesség és a természetes összekapcsoltság növelése érdekében a városokban; az irányít</w:t>
      </w:r>
      <w:r>
        <w:rPr>
          <w:noProof/>
        </w:rPr>
        <w:t>ási és részvételi folyamatokat, a zöld és kék terek kezelését, valamint a biológiai sokféleséggel kapcsolatos városi anyagcsere-projekteket lefedő fellépések és projektek; valamint iii. a várostervezéshez szükséges berendezések és infrastrukturális projekt</w:t>
      </w:r>
      <w:r>
        <w:rPr>
          <w:noProof/>
        </w:rPr>
        <w:t xml:space="preserve">ek támogatása. </w:t>
      </w:r>
    </w:p>
    <w:p w14:paraId="3B8A491A" w14:textId="77777777" w:rsidR="003E1D81" w:rsidRDefault="00EB481C">
      <w:pPr>
        <w:pStyle w:val="P68B1DB1-Normal4"/>
        <w:spacing w:before="120" w:after="120" w:line="240" w:lineRule="auto"/>
        <w:jc w:val="both"/>
        <w:rPr>
          <w:rFonts w:cs="Times New Roman"/>
          <w:noProof/>
        </w:rPr>
      </w:pPr>
      <w:r>
        <w:rPr>
          <w:noProof/>
        </w:rPr>
        <w:t>A beruházás végrehajtását 2026. június 30-ig be kell fejezni.</w:t>
      </w:r>
    </w:p>
    <w:p w14:paraId="6B3AF97C" w14:textId="77777777" w:rsidR="003E1D81" w:rsidRDefault="00EB481C">
      <w:pPr>
        <w:pStyle w:val="P68B1DB1-Normal6"/>
        <w:spacing w:before="120" w:after="120" w:line="240" w:lineRule="auto"/>
        <w:jc w:val="both"/>
        <w:rPr>
          <w:rFonts w:cs="Times New Roman"/>
          <w:noProof/>
        </w:rPr>
      </w:pPr>
      <w:r>
        <w:rPr>
          <w:noProof/>
        </w:rPr>
        <w:t>C4.I4 Fenntartható erdőgazdálkodás</w:t>
      </w:r>
    </w:p>
    <w:p w14:paraId="69ABB971" w14:textId="77777777" w:rsidR="003E1D81" w:rsidRDefault="00EB481C">
      <w:pPr>
        <w:pStyle w:val="P68B1DB1-Normal4"/>
        <w:spacing w:before="120" w:after="120" w:line="240" w:lineRule="auto"/>
        <w:jc w:val="both"/>
        <w:rPr>
          <w:rFonts w:cs="Times New Roman"/>
          <w:noProof/>
        </w:rPr>
      </w:pPr>
      <w:r>
        <w:rPr>
          <w:noProof/>
        </w:rPr>
        <w:t xml:space="preserve">Ez a beruházás a fenntartható erdőgazdálkodásra irányuló beruházásokat foglalja magában: </w:t>
      </w:r>
    </w:p>
    <w:p w14:paraId="2788BBF5" w14:textId="77777777" w:rsidR="003E1D81" w:rsidRDefault="00EB481C">
      <w:pPr>
        <w:pStyle w:val="P68B1DB1-Normal4"/>
        <w:numPr>
          <w:ilvl w:val="0"/>
          <w:numId w:val="228"/>
        </w:numPr>
        <w:spacing w:before="120" w:after="160" w:line="240" w:lineRule="auto"/>
        <w:contextualSpacing/>
        <w:jc w:val="both"/>
        <w:rPr>
          <w:rFonts w:cs="Times New Roman"/>
          <w:noProof/>
        </w:rPr>
      </w:pPr>
      <w:r>
        <w:rPr>
          <w:noProof/>
        </w:rPr>
        <w:t>Az erdőtüzek elleni küzdelemre irányuló erdőgazdálkod</w:t>
      </w:r>
      <w:r>
        <w:rPr>
          <w:noProof/>
        </w:rPr>
        <w:t>ást javító intézkedések és egyéb erdőgazdálkodási beavatkozások; technikai támogatás az erdőtulajdonosok és a közigazgatási szervek számára a köztulajdon megszilárdítása érdekében; erdőgazdálkodási tervek a biológiai sokféleség és az erdők fenntartható has</w:t>
      </w:r>
      <w:r>
        <w:rPr>
          <w:noProof/>
        </w:rPr>
        <w:t xml:space="preserve">ználatának előmozdítása érdekében. </w:t>
      </w:r>
    </w:p>
    <w:p w14:paraId="397F3A18" w14:textId="77777777" w:rsidR="003E1D81" w:rsidRDefault="00EB481C">
      <w:pPr>
        <w:pStyle w:val="P68B1DB1-Normal4"/>
        <w:numPr>
          <w:ilvl w:val="0"/>
          <w:numId w:val="228"/>
        </w:numPr>
        <w:spacing w:before="120" w:after="160" w:line="240" w:lineRule="auto"/>
        <w:contextualSpacing/>
        <w:jc w:val="both"/>
        <w:rPr>
          <w:rFonts w:cs="Times New Roman"/>
          <w:noProof/>
        </w:rPr>
      </w:pPr>
      <w:r>
        <w:rPr>
          <w:noProof/>
        </w:rPr>
        <w:t>Az éghajlatváltozás védelmét és az ahhoz való alkalmazkodást célzó intézkedések, beleértve legalább 100 különleges célú tűzoltási eszköz, tűzvédelmi bázisok megújítását és az erdőjavító intézkedések terén elért előrehala</w:t>
      </w:r>
      <w:r>
        <w:rPr>
          <w:noProof/>
        </w:rPr>
        <w:t xml:space="preserve">dást. </w:t>
      </w:r>
    </w:p>
    <w:p w14:paraId="2D9AEB0F" w14:textId="77777777" w:rsidR="003E1D81" w:rsidRDefault="00EB481C">
      <w:pPr>
        <w:pStyle w:val="P68B1DB1-Normal4"/>
        <w:numPr>
          <w:ilvl w:val="0"/>
          <w:numId w:val="228"/>
        </w:numPr>
        <w:spacing w:before="120" w:after="120" w:line="240" w:lineRule="auto"/>
        <w:ind w:left="357" w:hanging="357"/>
        <w:jc w:val="both"/>
        <w:rPr>
          <w:rFonts w:cs="Times New Roman"/>
          <w:noProof/>
        </w:rPr>
      </w:pPr>
      <w:r>
        <w:rPr>
          <w:noProof/>
        </w:rPr>
        <w:t>Intézkedéscsomag támogatja az erdészeti ágazatot mint a demográfiai kihívás kezelésének kulcsfontosságú forrását, különös tekintettel a zöld vállalkozásokra és a helyi biogazdaságra. A beruházás e része magában foglalja a helyi hatóságoknak és más á</w:t>
      </w:r>
      <w:r>
        <w:rPr>
          <w:noProof/>
        </w:rPr>
        <w:t>llami és magánszereplőknek az erdészeti ágazat és ipara versenyképességének, vállalkozói készségének és fenntarthatóságának előmozdítása érdekében nyújtott támogatásokat. Ezeknek az intézkedéseknek különös figyelmet kell fordítaniuk a zöld munkahelyek létr</w:t>
      </w:r>
      <w:r>
        <w:rPr>
          <w:noProof/>
        </w:rPr>
        <w:t xml:space="preserve">ehozására, különösen a nők és a fiatalok erdészeti ágazatban való részvételének és a zöld vállalkozásoknak a támogatása révén. </w:t>
      </w:r>
    </w:p>
    <w:p w14:paraId="73F7F758" w14:textId="260265BE" w:rsidR="003E1D81" w:rsidRDefault="00EB481C">
      <w:pPr>
        <w:pStyle w:val="P68B1DB1-Normal4"/>
        <w:spacing w:before="120" w:after="120" w:line="240" w:lineRule="auto"/>
        <w:jc w:val="both"/>
        <w:rPr>
          <w:rFonts w:cs="Times New Roman"/>
          <w:noProof/>
        </w:rPr>
      </w:pPr>
      <w:r>
        <w:rPr>
          <w:noProof/>
        </w:rPr>
        <w:t>Az intézkedés várhatóan nem sérti jelentősen az (EU) 2020/852 rendelet 17. cikke szerinti környezetvédelmi célkitűzéseket, figye</w:t>
      </w:r>
      <w:r>
        <w:rPr>
          <w:noProof/>
        </w:rPr>
        <w:t>lembe véve az intézkedés leírását és a helyreállítási és rezilienciaépítési tervben meghatározott enyhítő lépéseket a jelentős károkozás elkerülését célzó elvről szóló technikai iránymutatásnak (2021/C58/01) megfelelően. Az intézkedésnek kifejezetten meg k</w:t>
      </w:r>
      <w:r>
        <w:rPr>
          <w:noProof/>
        </w:rPr>
        <w:t>ell akadályoznia és ki kell zárnia a monokultúrás ültetvények, különösen az eukaliptusz támogatását a vízhiány és a tűzveszély minimalizálása érdekében. A tűzoltó berendezések beszerzéséhez csak az ágazatban a legalacsonyabb környezeti hatással járó, rende</w:t>
      </w:r>
      <w:r>
        <w:rPr>
          <w:noProof/>
        </w:rPr>
        <w:t>lkezésre álló legjobb technológiák támogathatók, figyelembe véve az általuk kiszolgált különleges célt.</w:t>
      </w:r>
    </w:p>
    <w:p w14:paraId="1D7B6836" w14:textId="77777777" w:rsidR="003E1D81" w:rsidRDefault="00EB481C">
      <w:pPr>
        <w:pStyle w:val="P68B1DB1-Normal4"/>
        <w:spacing w:before="120" w:after="120" w:line="240" w:lineRule="auto"/>
        <w:jc w:val="both"/>
        <w:rPr>
          <w:rFonts w:cs="Times New Roman"/>
          <w:noProof/>
        </w:rPr>
      </w:pPr>
      <w:r>
        <w:rPr>
          <w:noProof/>
        </w:rPr>
        <w:t>A beruházás végrehajtását 2026. június 30-ig be kell fejezni.</w:t>
      </w:r>
    </w:p>
    <w:p w14:paraId="2E997092" w14:textId="77777777" w:rsidR="003E1D81" w:rsidRDefault="00EB481C">
      <w:pPr>
        <w:pStyle w:val="P68B1DB1-Normal5"/>
        <w:spacing w:before="120" w:after="120" w:line="240" w:lineRule="auto"/>
        <w:ind w:left="709"/>
        <w:jc w:val="both"/>
        <w:rPr>
          <w:rFonts w:cs="Times New Roman"/>
          <w:noProof/>
        </w:rPr>
      </w:pPr>
      <w:r>
        <w:rPr>
          <w:noProof/>
        </w:rPr>
        <w:t xml:space="preserve">D.2. </w:t>
      </w:r>
      <w:r>
        <w:rPr>
          <w:noProof/>
        </w:rPr>
        <w:tab/>
        <w:t xml:space="preserve">Vissza nem térítendő pénzügyi támogatás – a végrehajtáshoz és a nyomon követéshez </w:t>
      </w:r>
      <w:r>
        <w:rPr>
          <w:noProof/>
        </w:rPr>
        <w:t>kapcsolódó mérföldkövek, célok, mutatók és ütemterv</w:t>
      </w:r>
    </w:p>
    <w:p w14:paraId="4293400D" w14:textId="6A5C7FA0"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Az alapforgatókönyv valamennyi mutató esetében 2020. február 1-je, kivéve, ha az intézkedés leírása másként jelzi. A táblázatban szereplő összegek nem tartalmazzák a héát.</w:t>
      </w:r>
    </w:p>
    <w:p w14:paraId="144A5D23" w14:textId="77777777" w:rsidR="003E1D81" w:rsidRDefault="003E1D81">
      <w:pPr>
        <w:spacing w:before="120" w:after="120" w:line="240" w:lineRule="auto"/>
        <w:jc w:val="both"/>
        <w:rPr>
          <w:rFonts w:ascii="Times New Roman" w:hAnsi="Times New Roman" w:cs="Times New Roman"/>
          <w:noProof/>
          <w:sz w:val="24"/>
        </w:rPr>
        <w:sectPr w:rsidR="003E1D81" w:rsidSect="00522183">
          <w:headerReference w:type="even" r:id="rId102"/>
          <w:headerReference w:type="default" r:id="rId103"/>
          <w:footerReference w:type="even" r:id="rId104"/>
          <w:footerReference w:type="default" r:id="rId105"/>
          <w:headerReference w:type="first" r:id="rId106"/>
          <w:footerReference w:type="first" r:id="rId107"/>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851"/>
        <w:gridCol w:w="992"/>
        <w:gridCol w:w="2126"/>
        <w:gridCol w:w="1276"/>
        <w:gridCol w:w="850"/>
        <w:gridCol w:w="567"/>
        <w:gridCol w:w="709"/>
        <w:gridCol w:w="425"/>
        <w:gridCol w:w="567"/>
        <w:gridCol w:w="6096"/>
      </w:tblGrid>
      <w:tr w:rsidR="003E1D81" w14:paraId="38A1D4BF" w14:textId="77777777">
        <w:trPr>
          <w:trHeight w:val="309"/>
          <w:tblHeader/>
        </w:trPr>
        <w:tc>
          <w:tcPr>
            <w:tcW w:w="851" w:type="dxa"/>
            <w:tcBorders>
              <w:bottom w:val="nil"/>
            </w:tcBorders>
            <w:shd w:val="clear" w:color="auto" w:fill="C6D9F1" w:themeFill="text2" w:themeFillTint="33"/>
            <w:noWrap/>
            <w:vAlign w:val="center"/>
          </w:tcPr>
          <w:p w14:paraId="4EA0688D"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37349FCC" w14:textId="77777777" w:rsidR="003E1D81" w:rsidRDefault="00EB481C">
            <w:pPr>
              <w:pStyle w:val="P68B1DB1-Normal12"/>
              <w:spacing w:after="0" w:line="240" w:lineRule="auto"/>
              <w:jc w:val="center"/>
              <w:rPr>
                <w:rFonts w:cs="Times New Roman"/>
                <w:noProof/>
              </w:rPr>
            </w:pPr>
            <w:r>
              <w:rPr>
                <w:noProof/>
              </w:rPr>
              <w:t>Intézkedés</w:t>
            </w:r>
          </w:p>
        </w:tc>
        <w:tc>
          <w:tcPr>
            <w:tcW w:w="992" w:type="dxa"/>
            <w:tcBorders>
              <w:bottom w:val="nil"/>
            </w:tcBorders>
            <w:shd w:val="clear" w:color="auto" w:fill="C6D9F1" w:themeFill="text2" w:themeFillTint="33"/>
            <w:noWrap/>
            <w:vAlign w:val="center"/>
          </w:tcPr>
          <w:p w14:paraId="1C39CEE4"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126" w:type="dxa"/>
            <w:tcBorders>
              <w:bottom w:val="nil"/>
            </w:tcBorders>
            <w:shd w:val="clear" w:color="auto" w:fill="C6D9F1" w:themeFill="text2" w:themeFillTint="33"/>
            <w:noWrap/>
            <w:vAlign w:val="center"/>
          </w:tcPr>
          <w:p w14:paraId="44BD188F" w14:textId="77777777" w:rsidR="003E1D81" w:rsidRDefault="00EB481C">
            <w:pPr>
              <w:pStyle w:val="P68B1DB1-Normal12"/>
              <w:spacing w:after="0" w:line="240" w:lineRule="auto"/>
              <w:jc w:val="center"/>
              <w:rPr>
                <w:rFonts w:cs="Times New Roman"/>
                <w:noProof/>
              </w:rPr>
            </w:pPr>
            <w:r>
              <w:rPr>
                <w:noProof/>
              </w:rPr>
              <w:t>Név</w:t>
            </w:r>
          </w:p>
        </w:tc>
        <w:tc>
          <w:tcPr>
            <w:tcW w:w="1276" w:type="dxa"/>
            <w:tcBorders>
              <w:bottom w:val="nil"/>
            </w:tcBorders>
            <w:shd w:val="clear" w:color="auto" w:fill="C6D9F1" w:themeFill="text2" w:themeFillTint="33"/>
            <w:noWrap/>
            <w:vAlign w:val="center"/>
          </w:tcPr>
          <w:p w14:paraId="4E2A6197"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2126" w:type="dxa"/>
            <w:gridSpan w:val="3"/>
            <w:shd w:val="clear" w:color="auto" w:fill="C6D9F1" w:themeFill="text2" w:themeFillTint="33"/>
            <w:noWrap/>
            <w:vAlign w:val="center"/>
          </w:tcPr>
          <w:p w14:paraId="37FB5AFD"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92" w:type="dxa"/>
            <w:gridSpan w:val="2"/>
            <w:shd w:val="clear" w:color="auto" w:fill="C6D9F1" w:themeFill="text2" w:themeFillTint="33"/>
            <w:noWrap/>
            <w:vAlign w:val="center"/>
          </w:tcPr>
          <w:p w14:paraId="307F8153" w14:textId="77777777" w:rsidR="003E1D81" w:rsidRDefault="00EB481C">
            <w:pPr>
              <w:pStyle w:val="P68B1DB1-Normal12"/>
              <w:spacing w:after="0" w:line="240" w:lineRule="auto"/>
              <w:jc w:val="center"/>
              <w:rPr>
                <w:rFonts w:cs="Times New Roman"/>
                <w:noProof/>
              </w:rPr>
            </w:pPr>
            <w:r>
              <w:rPr>
                <w:noProof/>
              </w:rPr>
              <w:t>Idő</w:t>
            </w:r>
          </w:p>
        </w:tc>
        <w:tc>
          <w:tcPr>
            <w:tcW w:w="6096" w:type="dxa"/>
            <w:tcBorders>
              <w:bottom w:val="nil"/>
            </w:tcBorders>
            <w:shd w:val="clear" w:color="auto" w:fill="C6D9F1" w:themeFill="text2" w:themeFillTint="33"/>
            <w:noWrap/>
            <w:vAlign w:val="center"/>
          </w:tcPr>
          <w:p w14:paraId="376C7589"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67E72A50" w14:textId="77777777">
        <w:trPr>
          <w:trHeight w:val="309"/>
          <w:tblHeader/>
        </w:trPr>
        <w:tc>
          <w:tcPr>
            <w:tcW w:w="851" w:type="dxa"/>
            <w:tcBorders>
              <w:top w:val="nil"/>
            </w:tcBorders>
            <w:shd w:val="clear" w:color="auto" w:fill="C6D9F1" w:themeFill="text2" w:themeFillTint="33"/>
            <w:noWrap/>
          </w:tcPr>
          <w:p w14:paraId="738610EB"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637805D2" w14:textId="77777777" w:rsidR="003E1D81" w:rsidRDefault="003E1D81">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463F29E8" w14:textId="77777777" w:rsidR="003E1D81" w:rsidRDefault="003E1D81">
            <w:pPr>
              <w:spacing w:after="0" w:line="240" w:lineRule="auto"/>
              <w:jc w:val="center"/>
              <w:rPr>
                <w:rFonts w:ascii="Times New Roman" w:hAnsi="Times New Roman" w:cs="Times New Roman"/>
                <w:b/>
                <w:noProof/>
                <w:sz w:val="18"/>
              </w:rPr>
            </w:pPr>
          </w:p>
        </w:tc>
        <w:tc>
          <w:tcPr>
            <w:tcW w:w="2126" w:type="dxa"/>
            <w:tcBorders>
              <w:top w:val="nil"/>
            </w:tcBorders>
            <w:shd w:val="clear" w:color="auto" w:fill="C6D9F1" w:themeFill="text2" w:themeFillTint="33"/>
            <w:noWrap/>
          </w:tcPr>
          <w:p w14:paraId="3B7B4B86" w14:textId="77777777" w:rsidR="003E1D81" w:rsidRDefault="003E1D81">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3A0FF5F2" w14:textId="77777777" w:rsidR="003E1D81" w:rsidRDefault="003E1D81">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3E5A4947" w14:textId="77777777" w:rsidR="003E1D81" w:rsidRDefault="00EB481C">
            <w:pPr>
              <w:pStyle w:val="P68B1DB1-Normal12"/>
              <w:spacing w:after="0" w:line="240" w:lineRule="auto"/>
              <w:jc w:val="center"/>
              <w:rPr>
                <w:rFonts w:cs="Times New Roman"/>
                <w:noProof/>
              </w:rPr>
            </w:pPr>
            <w:r>
              <w:rPr>
                <w:noProof/>
              </w:rPr>
              <w:t>Egység</w:t>
            </w:r>
          </w:p>
        </w:tc>
        <w:tc>
          <w:tcPr>
            <w:tcW w:w="567" w:type="dxa"/>
            <w:shd w:val="clear" w:color="auto" w:fill="C6D9F1" w:themeFill="text2" w:themeFillTint="33"/>
            <w:noWrap/>
            <w:vAlign w:val="center"/>
          </w:tcPr>
          <w:p w14:paraId="123CDAE8" w14:textId="77777777" w:rsidR="003E1D81" w:rsidRDefault="00EB481C">
            <w:pPr>
              <w:pStyle w:val="P68B1DB1-Normal12"/>
              <w:spacing w:after="0" w:line="240" w:lineRule="auto"/>
              <w:jc w:val="center"/>
              <w:rPr>
                <w:rFonts w:cs="Times New Roman"/>
                <w:noProof/>
              </w:rPr>
            </w:pPr>
            <w:r>
              <w:rPr>
                <w:noProof/>
              </w:rPr>
              <w:t>Alapérték</w:t>
            </w:r>
          </w:p>
        </w:tc>
        <w:tc>
          <w:tcPr>
            <w:tcW w:w="709" w:type="dxa"/>
            <w:shd w:val="clear" w:color="auto" w:fill="C6D9F1" w:themeFill="text2" w:themeFillTint="33"/>
            <w:noWrap/>
            <w:vAlign w:val="center"/>
          </w:tcPr>
          <w:p w14:paraId="44FCF72C" w14:textId="77777777" w:rsidR="003E1D81" w:rsidRDefault="00EB481C">
            <w:pPr>
              <w:pStyle w:val="P68B1DB1-Normal12"/>
              <w:spacing w:after="0" w:line="240" w:lineRule="auto"/>
              <w:jc w:val="center"/>
              <w:rPr>
                <w:rFonts w:cs="Times New Roman"/>
                <w:noProof/>
              </w:rPr>
            </w:pPr>
            <w:r>
              <w:rPr>
                <w:noProof/>
              </w:rPr>
              <w:t>Cél</w:t>
            </w:r>
          </w:p>
        </w:tc>
        <w:tc>
          <w:tcPr>
            <w:tcW w:w="425" w:type="dxa"/>
            <w:shd w:val="clear" w:color="auto" w:fill="C6D9F1" w:themeFill="text2" w:themeFillTint="33"/>
            <w:noWrap/>
            <w:vAlign w:val="center"/>
          </w:tcPr>
          <w:p w14:paraId="57EEC46D"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07C5301E" w14:textId="77777777" w:rsidR="003E1D81" w:rsidRDefault="00EB481C">
            <w:pPr>
              <w:pStyle w:val="P68B1DB1-Normal12"/>
              <w:spacing w:after="0" w:line="240" w:lineRule="auto"/>
              <w:jc w:val="center"/>
              <w:rPr>
                <w:rFonts w:cs="Times New Roman"/>
                <w:noProof/>
              </w:rPr>
            </w:pPr>
            <w:r>
              <w:rPr>
                <w:noProof/>
              </w:rPr>
              <w:t>Éve</w:t>
            </w:r>
          </w:p>
        </w:tc>
        <w:tc>
          <w:tcPr>
            <w:tcW w:w="6096" w:type="dxa"/>
            <w:tcBorders>
              <w:top w:val="nil"/>
            </w:tcBorders>
            <w:shd w:val="clear" w:color="auto" w:fill="C6D9F1" w:themeFill="text2" w:themeFillTint="33"/>
            <w:noWrap/>
          </w:tcPr>
          <w:p w14:paraId="5630AD66" w14:textId="77777777" w:rsidR="003E1D81" w:rsidRDefault="003E1D81">
            <w:pPr>
              <w:spacing w:after="0" w:line="240" w:lineRule="auto"/>
              <w:rPr>
                <w:rFonts w:ascii="Times New Roman" w:hAnsi="Times New Roman" w:cs="Times New Roman"/>
                <w:b/>
                <w:noProof/>
                <w:sz w:val="18"/>
              </w:rPr>
            </w:pPr>
          </w:p>
        </w:tc>
      </w:tr>
      <w:tr w:rsidR="003E1D81" w14:paraId="0889AFF1" w14:textId="77777777">
        <w:trPr>
          <w:trHeight w:val="309"/>
        </w:trPr>
        <w:tc>
          <w:tcPr>
            <w:tcW w:w="851" w:type="dxa"/>
            <w:shd w:val="clear" w:color="auto" w:fill="C6EFCE"/>
            <w:noWrap/>
          </w:tcPr>
          <w:p w14:paraId="04C1D538" w14:textId="77777777" w:rsidR="003E1D81" w:rsidRDefault="00EB481C">
            <w:pPr>
              <w:pStyle w:val="P68B1DB1-Normal13"/>
              <w:spacing w:after="0" w:line="240" w:lineRule="auto"/>
              <w:jc w:val="center"/>
              <w:rPr>
                <w:rFonts w:eastAsia="MS Mincho" w:cs="Times New Roman"/>
                <w:noProof/>
              </w:rPr>
            </w:pPr>
            <w:r>
              <w:rPr>
                <w:noProof/>
              </w:rPr>
              <w:t>62</w:t>
            </w:r>
          </w:p>
        </w:tc>
        <w:tc>
          <w:tcPr>
            <w:tcW w:w="851" w:type="dxa"/>
            <w:shd w:val="clear" w:color="auto" w:fill="C6EFCE"/>
            <w:noWrap/>
          </w:tcPr>
          <w:p w14:paraId="454EEF67" w14:textId="77777777" w:rsidR="003E1D81" w:rsidRDefault="00EB481C">
            <w:pPr>
              <w:pStyle w:val="P68B1DB1-Normal13"/>
              <w:spacing w:after="0" w:line="240" w:lineRule="auto"/>
              <w:jc w:val="center"/>
              <w:rPr>
                <w:rFonts w:eastAsia="MS Mincho" w:cs="Times New Roman"/>
                <w:noProof/>
              </w:rPr>
            </w:pPr>
            <w:r>
              <w:rPr>
                <w:noProof/>
              </w:rPr>
              <w:t>C4.R1</w:t>
            </w:r>
          </w:p>
        </w:tc>
        <w:tc>
          <w:tcPr>
            <w:tcW w:w="992" w:type="dxa"/>
            <w:shd w:val="clear" w:color="auto" w:fill="C6EFCE"/>
            <w:noWrap/>
          </w:tcPr>
          <w:p w14:paraId="2B9DE707" w14:textId="77777777" w:rsidR="003E1D81" w:rsidRDefault="00EB481C">
            <w:pPr>
              <w:pStyle w:val="P68B1DB1-Normal13"/>
              <w:spacing w:after="0" w:line="240" w:lineRule="auto"/>
              <w:jc w:val="center"/>
              <w:rPr>
                <w:rFonts w:eastAsia="MS Mincho" w:cs="Times New Roman"/>
                <w:noProof/>
              </w:rPr>
            </w:pPr>
            <w:r>
              <w:rPr>
                <w:noProof/>
              </w:rPr>
              <w:t>M</w:t>
            </w:r>
          </w:p>
        </w:tc>
        <w:tc>
          <w:tcPr>
            <w:tcW w:w="2126" w:type="dxa"/>
            <w:shd w:val="clear" w:color="auto" w:fill="C6EFCE"/>
            <w:noWrap/>
          </w:tcPr>
          <w:p w14:paraId="02923C49" w14:textId="77777777" w:rsidR="003E1D81" w:rsidRDefault="00EB481C">
            <w:pPr>
              <w:pStyle w:val="P68B1DB1-Normal13"/>
              <w:spacing w:after="0" w:line="240" w:lineRule="auto"/>
              <w:rPr>
                <w:rFonts w:eastAsia="MS Mincho" w:cs="Times New Roman"/>
                <w:noProof/>
              </w:rPr>
            </w:pPr>
            <w:r>
              <w:rPr>
                <w:noProof/>
              </w:rPr>
              <w:t xml:space="preserve">A természeti örökségre és a biológiai sokféleségre vonatkozó stratégiai terv és a védett tengeri területek hálózatára vonatkozó terv </w:t>
            </w:r>
          </w:p>
        </w:tc>
        <w:tc>
          <w:tcPr>
            <w:tcW w:w="1276" w:type="dxa"/>
            <w:shd w:val="clear" w:color="auto" w:fill="C6EFCE"/>
            <w:noWrap/>
          </w:tcPr>
          <w:p w14:paraId="6964E4DC" w14:textId="77777777" w:rsidR="003E1D81" w:rsidRDefault="00EB481C">
            <w:pPr>
              <w:pStyle w:val="P68B1DB1-Normal13"/>
              <w:spacing w:after="0" w:line="240" w:lineRule="auto"/>
              <w:jc w:val="center"/>
              <w:rPr>
                <w:rFonts w:eastAsia="MS Mincho" w:cs="Times New Roman"/>
                <w:noProof/>
              </w:rPr>
            </w:pPr>
            <w:r>
              <w:rPr>
                <w:noProof/>
              </w:rPr>
              <w:t>Közzététel a Hivatalos Lapban</w:t>
            </w:r>
          </w:p>
        </w:tc>
        <w:tc>
          <w:tcPr>
            <w:tcW w:w="850" w:type="dxa"/>
            <w:shd w:val="clear" w:color="auto" w:fill="C6EFCE"/>
            <w:noWrap/>
          </w:tcPr>
          <w:p w14:paraId="7BFC34AB" w14:textId="77777777" w:rsidR="003E1D81" w:rsidRDefault="00EB481C">
            <w:pPr>
              <w:pStyle w:val="P68B1DB1-Normal13"/>
              <w:spacing w:after="0" w:line="240" w:lineRule="auto"/>
              <w:jc w:val="right"/>
              <w:rPr>
                <w:rFonts w:eastAsia="MS Mincho" w:cs="Times New Roman"/>
                <w:noProof/>
              </w:rPr>
            </w:pPr>
            <w:r>
              <w:rPr>
                <w:noProof/>
              </w:rPr>
              <w:t> </w:t>
            </w:r>
          </w:p>
        </w:tc>
        <w:tc>
          <w:tcPr>
            <w:tcW w:w="567" w:type="dxa"/>
            <w:shd w:val="clear" w:color="auto" w:fill="C6EFCE"/>
            <w:noWrap/>
          </w:tcPr>
          <w:p w14:paraId="2CA4ECA7" w14:textId="77777777" w:rsidR="003E1D81" w:rsidRDefault="00EB481C">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157D6B25" w14:textId="77777777" w:rsidR="003E1D81" w:rsidRDefault="00EB481C">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654DB9FF"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09F1A918" w14:textId="77777777" w:rsidR="003E1D81" w:rsidRDefault="00EB481C">
            <w:pPr>
              <w:pStyle w:val="P68B1DB1-Normal13"/>
              <w:spacing w:after="0" w:line="240" w:lineRule="auto"/>
              <w:jc w:val="center"/>
              <w:rPr>
                <w:rFonts w:eastAsia="MS Mincho" w:cs="Times New Roman"/>
                <w:noProof/>
              </w:rPr>
            </w:pPr>
            <w:r>
              <w:rPr>
                <w:noProof/>
              </w:rPr>
              <w:t>2022</w:t>
            </w:r>
          </w:p>
        </w:tc>
        <w:tc>
          <w:tcPr>
            <w:tcW w:w="6096" w:type="dxa"/>
            <w:shd w:val="clear" w:color="auto" w:fill="C6EFCE"/>
            <w:noWrap/>
          </w:tcPr>
          <w:p w14:paraId="65F86F5F" w14:textId="691C0D8B" w:rsidR="003E1D81" w:rsidRDefault="00EB481C">
            <w:pPr>
              <w:pStyle w:val="P68B1DB1-Normal13"/>
              <w:spacing w:after="0" w:line="240" w:lineRule="auto"/>
              <w:rPr>
                <w:rFonts w:eastAsia="MS Mincho" w:cs="Times New Roman"/>
                <w:noProof/>
              </w:rPr>
            </w:pPr>
            <w:r>
              <w:rPr>
                <w:noProof/>
              </w:rPr>
              <w:t xml:space="preserve">A természeti örökségre és a biológiai sokféleségre vonatkozó stratégiai </w:t>
            </w:r>
            <w:r>
              <w:rPr>
                <w:noProof/>
              </w:rPr>
              <w:t xml:space="preserve">terv (király rendelet) és a védett tengeri területek hálózatára vonatkozó terv (király rendelet) elfogadása, beleértve legalább kilenc tengergazdálkodási alap létrehozását, iii. a biológiai sokféleségre, a tudományra és a tudásra vonatkozó stratégiát, iv. </w:t>
            </w:r>
            <w:r>
              <w:rPr>
                <w:noProof/>
              </w:rPr>
              <w:t>a beporzók védelmére irányuló nemzeti stratégiát, v. a veszélyeztetett vadon élő állat- és növényfajok nemzetközi kereskedelméről szóló egyezmény keretében a hatóságok, igazgatási és tudományos testületek naprakésszé tételéről szóló rendeletet, valamint vi</w:t>
            </w:r>
            <w:r>
              <w:rPr>
                <w:noProof/>
              </w:rPr>
              <w:t>. a vizes élőhelyek megőrzésére és helyreállítására vonatkozó tervet.</w:t>
            </w:r>
          </w:p>
        </w:tc>
      </w:tr>
      <w:tr w:rsidR="003E1D81" w14:paraId="21F03F8F" w14:textId="77777777">
        <w:trPr>
          <w:trHeight w:val="309"/>
        </w:trPr>
        <w:tc>
          <w:tcPr>
            <w:tcW w:w="851" w:type="dxa"/>
            <w:shd w:val="clear" w:color="auto" w:fill="C6EFCE"/>
            <w:noWrap/>
          </w:tcPr>
          <w:p w14:paraId="43028211" w14:textId="77777777" w:rsidR="003E1D81" w:rsidRDefault="00EB481C">
            <w:pPr>
              <w:pStyle w:val="P68B1DB1-Normal13"/>
              <w:spacing w:after="0" w:line="240" w:lineRule="auto"/>
              <w:jc w:val="center"/>
              <w:rPr>
                <w:rFonts w:eastAsia="MS Mincho" w:cs="Times New Roman"/>
                <w:noProof/>
              </w:rPr>
            </w:pPr>
            <w:r>
              <w:rPr>
                <w:noProof/>
              </w:rPr>
              <w:t>63</w:t>
            </w:r>
          </w:p>
        </w:tc>
        <w:tc>
          <w:tcPr>
            <w:tcW w:w="851" w:type="dxa"/>
            <w:shd w:val="clear" w:color="auto" w:fill="C6EFCE"/>
            <w:noWrap/>
          </w:tcPr>
          <w:p w14:paraId="6A6470C9" w14:textId="77777777" w:rsidR="003E1D81" w:rsidRDefault="00EB481C">
            <w:pPr>
              <w:pStyle w:val="P68B1DB1-Normal13"/>
              <w:spacing w:after="0" w:line="240" w:lineRule="auto"/>
              <w:jc w:val="center"/>
              <w:rPr>
                <w:rFonts w:eastAsia="MS Mincho" w:cs="Times New Roman"/>
                <w:noProof/>
              </w:rPr>
            </w:pPr>
            <w:r>
              <w:rPr>
                <w:noProof/>
              </w:rPr>
              <w:t>C4.R2</w:t>
            </w:r>
          </w:p>
        </w:tc>
        <w:tc>
          <w:tcPr>
            <w:tcW w:w="992" w:type="dxa"/>
            <w:shd w:val="clear" w:color="auto" w:fill="C6EFCE"/>
            <w:noWrap/>
          </w:tcPr>
          <w:p w14:paraId="3E638E00" w14:textId="77777777" w:rsidR="003E1D81" w:rsidRDefault="00EB481C">
            <w:pPr>
              <w:pStyle w:val="P68B1DB1-Normal13"/>
              <w:spacing w:after="0" w:line="240" w:lineRule="auto"/>
              <w:jc w:val="center"/>
              <w:rPr>
                <w:rFonts w:eastAsia="MS Mincho" w:cs="Times New Roman"/>
                <w:noProof/>
              </w:rPr>
            </w:pPr>
            <w:r>
              <w:rPr>
                <w:noProof/>
              </w:rPr>
              <w:t>M</w:t>
            </w:r>
          </w:p>
        </w:tc>
        <w:tc>
          <w:tcPr>
            <w:tcW w:w="2126" w:type="dxa"/>
            <w:shd w:val="clear" w:color="auto" w:fill="C6EFCE"/>
            <w:noWrap/>
          </w:tcPr>
          <w:p w14:paraId="24215B88" w14:textId="77777777" w:rsidR="003E1D81" w:rsidRDefault="00EB481C">
            <w:pPr>
              <w:pStyle w:val="P68B1DB1-Normal13"/>
              <w:spacing w:after="0" w:line="240" w:lineRule="auto"/>
              <w:rPr>
                <w:rFonts w:eastAsia="MS Mincho" w:cs="Times New Roman"/>
                <w:noProof/>
              </w:rPr>
            </w:pPr>
            <w:r>
              <w:rPr>
                <w:noProof/>
              </w:rPr>
              <w:t>A környezetbarát infrastruktúrára, a konnektivitásra és az ökológiai helyreállításra vonatkozó nemzeti stratégia elfogadása</w:t>
            </w:r>
          </w:p>
        </w:tc>
        <w:tc>
          <w:tcPr>
            <w:tcW w:w="1276" w:type="dxa"/>
            <w:shd w:val="clear" w:color="auto" w:fill="C6EFCE"/>
            <w:noWrap/>
          </w:tcPr>
          <w:p w14:paraId="2B5B2E57" w14:textId="77777777" w:rsidR="003E1D81" w:rsidRDefault="00EB481C">
            <w:pPr>
              <w:pStyle w:val="P68B1DB1-Normal13"/>
              <w:spacing w:after="0" w:line="240" w:lineRule="auto"/>
              <w:jc w:val="center"/>
              <w:rPr>
                <w:rFonts w:eastAsia="MS Mincho" w:cs="Times New Roman"/>
                <w:noProof/>
              </w:rPr>
            </w:pPr>
            <w:r>
              <w:rPr>
                <w:noProof/>
              </w:rPr>
              <w:t>Közzététel a Hivatalos Lapban</w:t>
            </w:r>
          </w:p>
        </w:tc>
        <w:tc>
          <w:tcPr>
            <w:tcW w:w="850" w:type="dxa"/>
            <w:shd w:val="clear" w:color="auto" w:fill="C6EFCE"/>
            <w:noWrap/>
          </w:tcPr>
          <w:p w14:paraId="11596254"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06ED1C03"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707D7BCF"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372F91B2" w14:textId="77777777"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007151C5" w14:textId="77777777" w:rsidR="003E1D81" w:rsidRDefault="00EB481C">
            <w:pPr>
              <w:pStyle w:val="P68B1DB1-Normal13"/>
              <w:spacing w:after="0" w:line="240" w:lineRule="auto"/>
              <w:jc w:val="center"/>
              <w:rPr>
                <w:rFonts w:eastAsia="MS Mincho" w:cs="Times New Roman"/>
                <w:noProof/>
              </w:rPr>
            </w:pPr>
            <w:r>
              <w:rPr>
                <w:noProof/>
              </w:rPr>
              <w:t>2021</w:t>
            </w:r>
          </w:p>
        </w:tc>
        <w:tc>
          <w:tcPr>
            <w:tcW w:w="6096" w:type="dxa"/>
            <w:shd w:val="clear" w:color="auto" w:fill="C6EFCE"/>
            <w:noWrap/>
          </w:tcPr>
          <w:p w14:paraId="09DF981C" w14:textId="77777777" w:rsidR="003E1D81" w:rsidRDefault="00EB481C">
            <w:pPr>
              <w:pStyle w:val="P68B1DB1-Normal13"/>
              <w:spacing w:after="0" w:line="240" w:lineRule="auto"/>
              <w:rPr>
                <w:rFonts w:eastAsia="MS Mincho" w:cs="Times New Roman"/>
                <w:noProof/>
              </w:rPr>
            </w:pPr>
            <w:r>
              <w:rPr>
                <w:noProof/>
              </w:rPr>
              <w:t xml:space="preserve">A </w:t>
            </w:r>
            <w:r>
              <w:rPr>
                <w:noProof/>
              </w:rPr>
              <w:t>környezetbarát infrastruktúrára, a konnektivitásra és az ökológiai helyreállításra vonatkozó nemzeti stratégia elfogadása. A stratégiának cselekvési irányvonalakat kell tartalmaznia a következők elérése érdekében: a széttöredezettség és az ökológiai összek</w:t>
            </w:r>
            <w:r>
              <w:rPr>
                <w:noProof/>
              </w:rPr>
              <w:t>apcsoltság elvesztése hatásainak csökkentése; az ökoszisztémák helyreállítása a kulcsfontosságú területeken; az ökoszisztéma-szolgáltatások fenntartása és javítása; a reziliencia javítása; az irányítási modell meghatározása; valamint vi. kommunikáció, okta</w:t>
            </w:r>
            <w:r>
              <w:rPr>
                <w:noProof/>
              </w:rPr>
              <w:t>tás és az érdekelt felek részvétele.</w:t>
            </w:r>
          </w:p>
        </w:tc>
      </w:tr>
      <w:tr w:rsidR="003E1D81" w14:paraId="76603375" w14:textId="77777777">
        <w:trPr>
          <w:trHeight w:val="309"/>
        </w:trPr>
        <w:tc>
          <w:tcPr>
            <w:tcW w:w="851" w:type="dxa"/>
            <w:shd w:val="clear" w:color="auto" w:fill="C6EFCE"/>
            <w:noWrap/>
          </w:tcPr>
          <w:p w14:paraId="55440C04" w14:textId="77777777" w:rsidR="003E1D81" w:rsidRDefault="00EB481C">
            <w:pPr>
              <w:pStyle w:val="P68B1DB1-Normal13"/>
              <w:spacing w:after="0" w:line="240" w:lineRule="auto"/>
              <w:jc w:val="center"/>
              <w:rPr>
                <w:rFonts w:eastAsia="MS Mincho" w:cs="Times New Roman"/>
                <w:noProof/>
              </w:rPr>
            </w:pPr>
            <w:r>
              <w:rPr>
                <w:noProof/>
              </w:rPr>
              <w:t>64</w:t>
            </w:r>
          </w:p>
        </w:tc>
        <w:tc>
          <w:tcPr>
            <w:tcW w:w="851" w:type="dxa"/>
            <w:shd w:val="clear" w:color="auto" w:fill="C6EFCE"/>
            <w:noWrap/>
          </w:tcPr>
          <w:p w14:paraId="54F57C4C" w14:textId="77777777" w:rsidR="003E1D81" w:rsidRDefault="00EB481C">
            <w:pPr>
              <w:pStyle w:val="P68B1DB1-Normal13"/>
              <w:spacing w:after="0" w:line="240" w:lineRule="auto"/>
              <w:jc w:val="center"/>
              <w:rPr>
                <w:rFonts w:eastAsia="MS Mincho" w:cs="Times New Roman"/>
                <w:noProof/>
              </w:rPr>
            </w:pPr>
            <w:r>
              <w:rPr>
                <w:noProof/>
              </w:rPr>
              <w:t>C4.R3</w:t>
            </w:r>
          </w:p>
        </w:tc>
        <w:tc>
          <w:tcPr>
            <w:tcW w:w="992" w:type="dxa"/>
            <w:shd w:val="clear" w:color="auto" w:fill="C6EFCE"/>
            <w:noWrap/>
          </w:tcPr>
          <w:p w14:paraId="7CBC6735" w14:textId="77777777" w:rsidR="003E1D81" w:rsidRDefault="00EB481C">
            <w:pPr>
              <w:pStyle w:val="P68B1DB1-Normal13"/>
              <w:spacing w:after="0" w:line="240" w:lineRule="auto"/>
              <w:jc w:val="center"/>
              <w:rPr>
                <w:rFonts w:eastAsia="MS Mincho" w:cs="Times New Roman"/>
                <w:noProof/>
              </w:rPr>
            </w:pPr>
            <w:r>
              <w:rPr>
                <w:noProof/>
              </w:rPr>
              <w:t>M</w:t>
            </w:r>
          </w:p>
        </w:tc>
        <w:tc>
          <w:tcPr>
            <w:tcW w:w="2126" w:type="dxa"/>
            <w:shd w:val="clear" w:color="auto" w:fill="C6EFCE"/>
            <w:noWrap/>
          </w:tcPr>
          <w:p w14:paraId="3C25E92A" w14:textId="77777777" w:rsidR="003E1D81" w:rsidRDefault="00EB481C">
            <w:pPr>
              <w:pStyle w:val="P68B1DB1-Normal13"/>
              <w:spacing w:after="0" w:line="240" w:lineRule="auto"/>
              <w:rPr>
                <w:rFonts w:eastAsia="MS Mincho" w:cs="Times New Roman"/>
                <w:noProof/>
              </w:rPr>
            </w:pPr>
            <w:r>
              <w:rPr>
                <w:noProof/>
              </w:rPr>
              <w:t>A spanyol erdőgazdálkodási stratégia és támogatási terv jóváhagyása</w:t>
            </w:r>
          </w:p>
        </w:tc>
        <w:tc>
          <w:tcPr>
            <w:tcW w:w="1276" w:type="dxa"/>
            <w:shd w:val="clear" w:color="auto" w:fill="C6EFCE"/>
            <w:noWrap/>
          </w:tcPr>
          <w:p w14:paraId="5908B21B" w14:textId="77777777" w:rsidR="003E1D81" w:rsidRDefault="00EB481C">
            <w:pPr>
              <w:pStyle w:val="P68B1DB1-Normal13"/>
              <w:spacing w:after="0" w:line="240" w:lineRule="auto"/>
              <w:jc w:val="center"/>
              <w:rPr>
                <w:rFonts w:eastAsia="MS Mincho" w:cs="Times New Roman"/>
                <w:noProof/>
              </w:rPr>
            </w:pPr>
            <w:r>
              <w:rPr>
                <w:noProof/>
              </w:rPr>
              <w:t>Közzététel a Hivatalos Lapban</w:t>
            </w:r>
          </w:p>
        </w:tc>
        <w:tc>
          <w:tcPr>
            <w:tcW w:w="850" w:type="dxa"/>
            <w:shd w:val="clear" w:color="auto" w:fill="C6EFCE"/>
            <w:noWrap/>
          </w:tcPr>
          <w:p w14:paraId="2A47D515"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15E48944"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0A4E68ED"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686F1C1C"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2C8BB7A9" w14:textId="77777777" w:rsidR="003E1D81" w:rsidRDefault="00EB481C">
            <w:pPr>
              <w:pStyle w:val="P68B1DB1-Normal13"/>
              <w:spacing w:after="0" w:line="240" w:lineRule="auto"/>
              <w:jc w:val="center"/>
              <w:rPr>
                <w:rFonts w:eastAsia="MS Mincho" w:cs="Times New Roman"/>
                <w:noProof/>
              </w:rPr>
            </w:pPr>
            <w:r>
              <w:rPr>
                <w:noProof/>
              </w:rPr>
              <w:t>2022</w:t>
            </w:r>
          </w:p>
        </w:tc>
        <w:tc>
          <w:tcPr>
            <w:tcW w:w="6096" w:type="dxa"/>
            <w:shd w:val="clear" w:color="auto" w:fill="C6EFCE"/>
            <w:noWrap/>
          </w:tcPr>
          <w:p w14:paraId="6E970EA2" w14:textId="77777777" w:rsidR="003E1D81" w:rsidRDefault="00EB481C">
            <w:pPr>
              <w:pStyle w:val="P68B1DB1-Normal13"/>
              <w:spacing w:after="0" w:line="240" w:lineRule="auto"/>
              <w:rPr>
                <w:rFonts w:eastAsia="MS Mincho" w:cs="Times New Roman"/>
                <w:noProof/>
              </w:rPr>
            </w:pPr>
            <w:r>
              <w:rPr>
                <w:noProof/>
              </w:rPr>
              <w:t xml:space="preserve">A spanyol erdőgazdálkodási stratégia és támogatási terv elfogadása, amely </w:t>
            </w:r>
            <w:r>
              <w:rPr>
                <w:noProof/>
              </w:rPr>
              <w:t>iránymutatásokat tartalmaz a fenntartható erdőgazdálkodásra vonatkozóan.</w:t>
            </w:r>
          </w:p>
        </w:tc>
      </w:tr>
      <w:tr w:rsidR="003E1D81" w14:paraId="4C4C7EFD" w14:textId="77777777">
        <w:trPr>
          <w:trHeight w:val="309"/>
        </w:trPr>
        <w:tc>
          <w:tcPr>
            <w:tcW w:w="851" w:type="dxa"/>
            <w:shd w:val="clear" w:color="auto" w:fill="C6EFCE"/>
            <w:noWrap/>
          </w:tcPr>
          <w:p w14:paraId="46DE38F6" w14:textId="77777777" w:rsidR="003E1D81" w:rsidRDefault="00EB481C">
            <w:pPr>
              <w:pStyle w:val="P68B1DB1-Normal13"/>
              <w:spacing w:after="0" w:line="240" w:lineRule="auto"/>
              <w:jc w:val="center"/>
              <w:rPr>
                <w:rFonts w:eastAsia="MS Mincho" w:cs="Times New Roman"/>
                <w:noProof/>
              </w:rPr>
            </w:pPr>
            <w:r>
              <w:rPr>
                <w:noProof/>
              </w:rPr>
              <w:t>65</w:t>
            </w:r>
          </w:p>
        </w:tc>
        <w:tc>
          <w:tcPr>
            <w:tcW w:w="851" w:type="dxa"/>
            <w:shd w:val="clear" w:color="auto" w:fill="C6EFCE"/>
            <w:noWrap/>
          </w:tcPr>
          <w:p w14:paraId="4DB89285" w14:textId="77777777" w:rsidR="003E1D81" w:rsidRDefault="00EB481C">
            <w:pPr>
              <w:pStyle w:val="P68B1DB1-Normal13"/>
              <w:spacing w:after="0" w:line="240" w:lineRule="auto"/>
              <w:jc w:val="center"/>
              <w:rPr>
                <w:rFonts w:eastAsia="MS Mincho" w:cs="Times New Roman"/>
                <w:noProof/>
              </w:rPr>
            </w:pPr>
            <w:r>
              <w:rPr>
                <w:noProof/>
              </w:rPr>
              <w:t>C4.I1</w:t>
            </w:r>
          </w:p>
        </w:tc>
        <w:tc>
          <w:tcPr>
            <w:tcW w:w="992" w:type="dxa"/>
            <w:shd w:val="clear" w:color="auto" w:fill="C6EFCE"/>
            <w:noWrap/>
          </w:tcPr>
          <w:p w14:paraId="497BDA4B" w14:textId="77777777" w:rsidR="003E1D81" w:rsidRDefault="00EB481C">
            <w:pPr>
              <w:pStyle w:val="P68B1DB1-Normal13"/>
              <w:spacing w:after="0" w:line="240" w:lineRule="auto"/>
              <w:jc w:val="center"/>
              <w:rPr>
                <w:rFonts w:eastAsia="MS Mincho" w:cs="Times New Roman"/>
                <w:noProof/>
              </w:rPr>
            </w:pPr>
            <w:r>
              <w:rPr>
                <w:noProof/>
              </w:rPr>
              <w:t>M</w:t>
            </w:r>
          </w:p>
        </w:tc>
        <w:tc>
          <w:tcPr>
            <w:tcW w:w="2126" w:type="dxa"/>
            <w:shd w:val="clear" w:color="auto" w:fill="C6EFCE"/>
            <w:noWrap/>
          </w:tcPr>
          <w:p w14:paraId="043BD904" w14:textId="77777777" w:rsidR="003E1D81" w:rsidRDefault="00EB481C">
            <w:pPr>
              <w:pStyle w:val="P68B1DB1-Normal13"/>
              <w:spacing w:after="0" w:line="240" w:lineRule="auto"/>
              <w:rPr>
                <w:rFonts w:eastAsia="MS Mincho" w:cs="Times New Roman"/>
                <w:noProof/>
              </w:rPr>
            </w:pPr>
            <w:r>
              <w:rPr>
                <w:noProof/>
              </w:rPr>
              <w:t xml:space="preserve">A tűzoltásra szolgáló különleges célú légi járművekre vonatkozó szerződések odaítélése, valamint a biológiai sokféleséggel kapcsolatos ismeretek nyomon követésére és </w:t>
            </w:r>
            <w:r>
              <w:rPr>
                <w:noProof/>
              </w:rPr>
              <w:t>kezelésére szolgáló rendszer létrehozása</w:t>
            </w:r>
          </w:p>
        </w:tc>
        <w:tc>
          <w:tcPr>
            <w:tcW w:w="1276" w:type="dxa"/>
            <w:shd w:val="clear" w:color="auto" w:fill="C6EFCE"/>
            <w:noWrap/>
          </w:tcPr>
          <w:p w14:paraId="58C01D8C" w14:textId="77777777" w:rsidR="003E1D81" w:rsidRDefault="00EB481C">
            <w:pPr>
              <w:pStyle w:val="P68B1DB1-Normal13"/>
              <w:spacing w:after="0" w:line="240" w:lineRule="auto"/>
              <w:jc w:val="center"/>
              <w:rPr>
                <w:rFonts w:eastAsia="MS Mincho" w:cs="Times New Roman"/>
                <w:noProof/>
              </w:rPr>
            </w:pPr>
            <w:r>
              <w:rPr>
                <w:noProof/>
              </w:rPr>
              <w:t>A szerződések odaítélése</w:t>
            </w:r>
          </w:p>
        </w:tc>
        <w:tc>
          <w:tcPr>
            <w:tcW w:w="850" w:type="dxa"/>
            <w:shd w:val="clear" w:color="auto" w:fill="C6EFCE"/>
            <w:noWrap/>
          </w:tcPr>
          <w:p w14:paraId="30E85FE0"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2080AEB9"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29AC5F55"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647EC82C" w14:textId="77777777"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2CA49D28" w14:textId="77777777" w:rsidR="003E1D81" w:rsidRDefault="00EB481C">
            <w:pPr>
              <w:pStyle w:val="P68B1DB1-Normal13"/>
              <w:spacing w:after="0" w:line="240" w:lineRule="auto"/>
              <w:jc w:val="center"/>
              <w:rPr>
                <w:rFonts w:eastAsia="MS Mincho" w:cs="Times New Roman"/>
                <w:noProof/>
              </w:rPr>
            </w:pPr>
            <w:r>
              <w:rPr>
                <w:noProof/>
              </w:rPr>
              <w:t>2022</w:t>
            </w:r>
          </w:p>
        </w:tc>
        <w:tc>
          <w:tcPr>
            <w:tcW w:w="6096" w:type="dxa"/>
            <w:shd w:val="clear" w:color="auto" w:fill="C6EFCE"/>
            <w:noWrap/>
          </w:tcPr>
          <w:p w14:paraId="24085CCD" w14:textId="7696C775" w:rsidR="003E1D81" w:rsidRDefault="00EB481C">
            <w:pPr>
              <w:pStyle w:val="P68B1DB1-Normal13"/>
              <w:spacing w:after="0" w:line="240" w:lineRule="auto"/>
              <w:rPr>
                <w:rFonts w:eastAsia="MS Mincho" w:cs="Times New Roman"/>
                <w:noProof/>
              </w:rPr>
            </w:pPr>
            <w:r>
              <w:rPr>
                <w:noProof/>
              </w:rPr>
              <w:t xml:space="preserve">Szerződések odaítélése legalább tíz speciális célú légi jármű (Canadair) tűzoltás céljából történő korszerűsítésére és korszerűsítésére, valamint a biológiai sokféleséggel </w:t>
            </w:r>
            <w:r>
              <w:rPr>
                <w:noProof/>
              </w:rPr>
              <w:t>kapcsolatos ismeretek nyomon követésére és kezelésére szolgáló rendszer rendelkezésre bocsátása. A rendszer magában foglalja a fajokra és élőhelyekre vonatkozó ismeretek bővítését és egy digitális platformot. A beruházásnak biztosítania kell a jelentős kár</w:t>
            </w:r>
            <w:r>
              <w:rPr>
                <w:noProof/>
              </w:rPr>
              <w:t>okozás elkerülését célzó elvről szóló műszaki iránymutatásnak (2021/C58/01) való megfelelést azáltal, hogy csak a meglévő légi járműveket korszerűsíti, amelyek nem növelhetik élettartamukat vagy kapacitásukat.</w:t>
            </w:r>
          </w:p>
        </w:tc>
      </w:tr>
      <w:tr w:rsidR="003E1D81" w14:paraId="49DC0193" w14:textId="77777777">
        <w:trPr>
          <w:trHeight w:val="309"/>
        </w:trPr>
        <w:tc>
          <w:tcPr>
            <w:tcW w:w="851" w:type="dxa"/>
            <w:shd w:val="clear" w:color="auto" w:fill="C6EFCE"/>
            <w:noWrap/>
          </w:tcPr>
          <w:p w14:paraId="43A19E73" w14:textId="1ED42F4E" w:rsidR="003E1D81" w:rsidRDefault="00EB481C">
            <w:pPr>
              <w:pStyle w:val="P68B1DB1-Normal13"/>
              <w:spacing w:after="0" w:line="240" w:lineRule="auto"/>
              <w:jc w:val="center"/>
              <w:rPr>
                <w:rFonts w:eastAsia="MS Mincho" w:cs="Times New Roman"/>
                <w:noProof/>
              </w:rPr>
            </w:pPr>
            <w:r>
              <w:rPr>
                <w:noProof/>
              </w:rPr>
              <w:t>66</w:t>
            </w:r>
          </w:p>
        </w:tc>
        <w:tc>
          <w:tcPr>
            <w:tcW w:w="851" w:type="dxa"/>
            <w:shd w:val="clear" w:color="auto" w:fill="C6EFCE"/>
            <w:noWrap/>
          </w:tcPr>
          <w:p w14:paraId="59DED0D3" w14:textId="77777777" w:rsidR="003E1D81" w:rsidRDefault="00EB481C">
            <w:pPr>
              <w:pStyle w:val="P68B1DB1-Normal13"/>
              <w:spacing w:after="0" w:line="240" w:lineRule="auto"/>
              <w:jc w:val="center"/>
              <w:rPr>
                <w:rFonts w:eastAsia="MS Mincho" w:cs="Times New Roman"/>
                <w:noProof/>
              </w:rPr>
            </w:pPr>
            <w:r>
              <w:rPr>
                <w:noProof/>
              </w:rPr>
              <w:t>C4.I1</w:t>
            </w:r>
          </w:p>
        </w:tc>
        <w:tc>
          <w:tcPr>
            <w:tcW w:w="992" w:type="dxa"/>
            <w:shd w:val="clear" w:color="auto" w:fill="C6EFCE"/>
            <w:noWrap/>
          </w:tcPr>
          <w:p w14:paraId="24D19C8D" w14:textId="77777777" w:rsidR="003E1D81" w:rsidRDefault="00EB481C">
            <w:pPr>
              <w:pStyle w:val="P68B1DB1-Normal13"/>
              <w:spacing w:after="0" w:line="240" w:lineRule="auto"/>
              <w:jc w:val="center"/>
              <w:rPr>
                <w:rFonts w:eastAsia="MS Mincho" w:cs="Times New Roman"/>
                <w:noProof/>
              </w:rPr>
            </w:pPr>
            <w:r>
              <w:rPr>
                <w:noProof/>
              </w:rPr>
              <w:t>M</w:t>
            </w:r>
          </w:p>
        </w:tc>
        <w:tc>
          <w:tcPr>
            <w:tcW w:w="2126" w:type="dxa"/>
            <w:shd w:val="clear" w:color="auto" w:fill="C6EFCE"/>
            <w:noWrap/>
          </w:tcPr>
          <w:p w14:paraId="1A68EE37" w14:textId="7C3DF2E8" w:rsidR="003E1D81" w:rsidRDefault="00EB481C">
            <w:pPr>
              <w:pStyle w:val="P68B1DB1-Normal13"/>
              <w:spacing w:after="0" w:line="240" w:lineRule="auto"/>
              <w:rPr>
                <w:rFonts w:eastAsia="MS Mincho" w:cs="Times New Roman"/>
                <w:noProof/>
              </w:rPr>
            </w:pPr>
            <w:r>
              <w:rPr>
                <w:noProof/>
              </w:rPr>
              <w:t>A biológiai sokféleséggel kapcsolatos ismeretek nyomon követésére és kezelésére szolgáló rendszer befejezése és működőképessé tétele</w:t>
            </w:r>
          </w:p>
        </w:tc>
        <w:tc>
          <w:tcPr>
            <w:tcW w:w="1276" w:type="dxa"/>
            <w:shd w:val="clear" w:color="auto" w:fill="C6EFCE"/>
            <w:noWrap/>
          </w:tcPr>
          <w:p w14:paraId="4EEE0BA8" w14:textId="77777777" w:rsidR="003E1D81" w:rsidRDefault="00EB481C">
            <w:pPr>
              <w:pStyle w:val="P68B1DB1-Normal21"/>
              <w:spacing w:after="0" w:line="240" w:lineRule="auto"/>
              <w:jc w:val="center"/>
              <w:rPr>
                <w:rFonts w:eastAsia="MS Mincho" w:cs="Times New Roman"/>
                <w:noProof/>
              </w:rPr>
            </w:pPr>
            <w:r>
              <w:rPr>
                <w:noProof/>
              </w:rPr>
              <w:t>ACTA de Recepción</w:t>
            </w:r>
          </w:p>
        </w:tc>
        <w:tc>
          <w:tcPr>
            <w:tcW w:w="850" w:type="dxa"/>
            <w:shd w:val="clear" w:color="auto" w:fill="C6EFCE"/>
            <w:noWrap/>
          </w:tcPr>
          <w:p w14:paraId="79E427E6" w14:textId="77777777" w:rsidR="003E1D81" w:rsidRDefault="00EB481C">
            <w:pPr>
              <w:pStyle w:val="P68B1DB1-Normal13"/>
              <w:spacing w:after="0" w:line="240" w:lineRule="auto"/>
              <w:jc w:val="right"/>
              <w:rPr>
                <w:rFonts w:eastAsia="MS Mincho" w:cs="Times New Roman"/>
                <w:noProof/>
              </w:rPr>
            </w:pPr>
            <w:r>
              <w:rPr>
                <w:noProof/>
              </w:rPr>
              <w:t> </w:t>
            </w:r>
          </w:p>
        </w:tc>
        <w:tc>
          <w:tcPr>
            <w:tcW w:w="567" w:type="dxa"/>
            <w:shd w:val="clear" w:color="auto" w:fill="C6EFCE"/>
            <w:noWrap/>
          </w:tcPr>
          <w:p w14:paraId="566C1BCE" w14:textId="77777777" w:rsidR="003E1D81" w:rsidRDefault="00EB481C">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1DB36F4A" w14:textId="77777777" w:rsidR="003E1D81" w:rsidRDefault="00EB481C">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1655411C" w14:textId="77777777"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1A5F6368" w14:textId="77777777" w:rsidR="003E1D81" w:rsidRDefault="00EB481C">
            <w:pPr>
              <w:pStyle w:val="P68B1DB1-Normal13"/>
              <w:spacing w:after="0" w:line="240" w:lineRule="auto"/>
              <w:jc w:val="center"/>
              <w:rPr>
                <w:rFonts w:eastAsia="MS Mincho" w:cs="Times New Roman"/>
                <w:noProof/>
              </w:rPr>
            </w:pPr>
            <w:r>
              <w:rPr>
                <w:noProof/>
              </w:rPr>
              <w:t>2026</w:t>
            </w:r>
          </w:p>
        </w:tc>
        <w:tc>
          <w:tcPr>
            <w:tcW w:w="6096" w:type="dxa"/>
            <w:shd w:val="clear" w:color="auto" w:fill="C6EFCE"/>
            <w:noWrap/>
          </w:tcPr>
          <w:p w14:paraId="6874F34F" w14:textId="7864295E" w:rsidR="003E1D81" w:rsidRDefault="00EB481C">
            <w:pPr>
              <w:pStyle w:val="P68B1DB1-Normal13"/>
              <w:spacing w:after="0" w:line="240" w:lineRule="auto"/>
              <w:rPr>
                <w:rFonts w:cs="Times New Roman"/>
                <w:noProof/>
              </w:rPr>
            </w:pPr>
            <w:r>
              <w:rPr>
                <w:noProof/>
              </w:rPr>
              <w:t>Elkészült és működőképes a biológiai sokféleséggel kapcsolatos ismeretek nyomon követés</w:t>
            </w:r>
            <w:r>
              <w:rPr>
                <w:noProof/>
              </w:rPr>
              <w:t xml:space="preserve">ére és kezelésére szolgáló rendszer (beleértve a digitális platformot is), és az ország szárazföldi területének legalább 75%-át lefedő precíziós LIDAR repülésre került sor. </w:t>
            </w:r>
          </w:p>
        </w:tc>
      </w:tr>
      <w:tr w:rsidR="003E1D81" w14:paraId="246B8B84" w14:textId="77777777">
        <w:trPr>
          <w:trHeight w:val="309"/>
        </w:trPr>
        <w:tc>
          <w:tcPr>
            <w:tcW w:w="851" w:type="dxa"/>
            <w:shd w:val="clear" w:color="auto" w:fill="C6EFCE"/>
            <w:noWrap/>
          </w:tcPr>
          <w:p w14:paraId="1CB76B51" w14:textId="77777777" w:rsidR="003E1D81" w:rsidRDefault="00EB481C">
            <w:pPr>
              <w:pStyle w:val="P68B1DB1-Normal13"/>
              <w:spacing w:after="0" w:line="240" w:lineRule="auto"/>
              <w:jc w:val="center"/>
              <w:rPr>
                <w:rFonts w:eastAsia="MS Mincho" w:cs="Times New Roman"/>
                <w:noProof/>
              </w:rPr>
            </w:pPr>
            <w:r>
              <w:rPr>
                <w:noProof/>
              </w:rPr>
              <w:t>67</w:t>
            </w:r>
          </w:p>
        </w:tc>
        <w:tc>
          <w:tcPr>
            <w:tcW w:w="851" w:type="dxa"/>
            <w:shd w:val="clear" w:color="auto" w:fill="C6EFCE"/>
            <w:noWrap/>
          </w:tcPr>
          <w:p w14:paraId="7C064685" w14:textId="77777777" w:rsidR="003E1D81" w:rsidRDefault="00EB481C">
            <w:pPr>
              <w:pStyle w:val="P68B1DB1-Normal13"/>
              <w:spacing w:after="0" w:line="240" w:lineRule="auto"/>
              <w:jc w:val="center"/>
              <w:rPr>
                <w:rFonts w:eastAsia="MS Mincho" w:cs="Times New Roman"/>
                <w:noProof/>
              </w:rPr>
            </w:pPr>
            <w:r>
              <w:rPr>
                <w:noProof/>
              </w:rPr>
              <w:t>C4.I2</w:t>
            </w:r>
          </w:p>
        </w:tc>
        <w:tc>
          <w:tcPr>
            <w:tcW w:w="992" w:type="dxa"/>
            <w:shd w:val="clear" w:color="auto" w:fill="C6EFCE"/>
            <w:noWrap/>
          </w:tcPr>
          <w:p w14:paraId="067EFF58" w14:textId="77777777" w:rsidR="003E1D81" w:rsidRDefault="00EB481C">
            <w:pPr>
              <w:pStyle w:val="P68B1DB1-Normal13"/>
              <w:spacing w:after="0" w:line="240" w:lineRule="auto"/>
              <w:jc w:val="center"/>
              <w:rPr>
                <w:rFonts w:eastAsia="MS Mincho" w:cs="Times New Roman"/>
                <w:noProof/>
              </w:rPr>
            </w:pPr>
            <w:r>
              <w:rPr>
                <w:noProof/>
              </w:rPr>
              <w:t>T</w:t>
            </w:r>
          </w:p>
        </w:tc>
        <w:tc>
          <w:tcPr>
            <w:tcW w:w="2126" w:type="dxa"/>
            <w:shd w:val="clear" w:color="auto" w:fill="C6EFCE"/>
            <w:noWrap/>
          </w:tcPr>
          <w:p w14:paraId="6E204478" w14:textId="77777777" w:rsidR="003E1D81" w:rsidRDefault="00EB481C">
            <w:pPr>
              <w:pStyle w:val="P68B1DB1-Normal13"/>
              <w:spacing w:after="0" w:line="240" w:lineRule="auto"/>
              <w:rPr>
                <w:rFonts w:eastAsia="MS Mincho" w:cs="Times New Roman"/>
                <w:noProof/>
              </w:rPr>
            </w:pPr>
            <w:r>
              <w:rPr>
                <w:noProof/>
              </w:rPr>
              <w:t xml:space="preserve">Tengeri védett területek </w:t>
            </w:r>
          </w:p>
        </w:tc>
        <w:tc>
          <w:tcPr>
            <w:tcW w:w="1276" w:type="dxa"/>
            <w:shd w:val="clear" w:color="auto" w:fill="C6EFCE"/>
            <w:noWrap/>
          </w:tcPr>
          <w:p w14:paraId="61829076" w14:textId="77777777" w:rsidR="003E1D81" w:rsidRDefault="003E1D81">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B6C19F2" w14:textId="77777777" w:rsidR="003E1D81" w:rsidRDefault="00EB481C">
            <w:pPr>
              <w:pStyle w:val="P68B1DB1-Normal13"/>
              <w:spacing w:after="0" w:line="240" w:lineRule="auto"/>
              <w:jc w:val="center"/>
              <w:rPr>
                <w:rFonts w:eastAsia="MS Mincho" w:cs="Times New Roman"/>
                <w:noProof/>
              </w:rPr>
            </w:pPr>
            <w:r>
              <w:rPr>
                <w:noProof/>
              </w:rPr>
              <w:t>spanyol tengeri terület %-a</w:t>
            </w:r>
          </w:p>
        </w:tc>
        <w:tc>
          <w:tcPr>
            <w:tcW w:w="567" w:type="dxa"/>
            <w:shd w:val="clear" w:color="auto" w:fill="C6EFCE"/>
            <w:noWrap/>
          </w:tcPr>
          <w:p w14:paraId="5D0116D1" w14:textId="77777777" w:rsidR="003E1D81" w:rsidRDefault="00EB481C">
            <w:pPr>
              <w:pStyle w:val="P68B1DB1-Normal13"/>
              <w:spacing w:after="0" w:line="240" w:lineRule="auto"/>
              <w:jc w:val="right"/>
              <w:rPr>
                <w:rFonts w:eastAsia="MS Mincho" w:cs="Times New Roman"/>
                <w:noProof/>
              </w:rPr>
            </w:pPr>
            <w:r>
              <w:rPr>
                <w:noProof/>
              </w:rPr>
              <w:t>13</w:t>
            </w:r>
          </w:p>
        </w:tc>
        <w:tc>
          <w:tcPr>
            <w:tcW w:w="709" w:type="dxa"/>
            <w:shd w:val="clear" w:color="auto" w:fill="C6EFCE"/>
            <w:noWrap/>
          </w:tcPr>
          <w:p w14:paraId="423D4B9D" w14:textId="77777777" w:rsidR="003E1D81" w:rsidRDefault="00EB481C">
            <w:pPr>
              <w:pStyle w:val="P68B1DB1-Normal13"/>
              <w:spacing w:after="0" w:line="240" w:lineRule="auto"/>
              <w:jc w:val="right"/>
              <w:rPr>
                <w:rFonts w:eastAsia="MS Mincho" w:cs="Times New Roman"/>
                <w:noProof/>
              </w:rPr>
            </w:pPr>
            <w:r>
              <w:rPr>
                <w:noProof/>
              </w:rPr>
              <w:t>15</w:t>
            </w:r>
          </w:p>
        </w:tc>
        <w:tc>
          <w:tcPr>
            <w:tcW w:w="425" w:type="dxa"/>
            <w:shd w:val="clear" w:color="auto" w:fill="C6EFCE"/>
            <w:noWrap/>
          </w:tcPr>
          <w:p w14:paraId="23956E26"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72C583B8" w14:textId="77777777" w:rsidR="003E1D81" w:rsidRDefault="00EB481C">
            <w:pPr>
              <w:pStyle w:val="P68B1DB1-Normal13"/>
              <w:spacing w:after="0" w:line="240" w:lineRule="auto"/>
              <w:jc w:val="center"/>
              <w:rPr>
                <w:rFonts w:eastAsia="MS Mincho" w:cs="Times New Roman"/>
                <w:noProof/>
              </w:rPr>
            </w:pPr>
            <w:r>
              <w:rPr>
                <w:noProof/>
              </w:rPr>
              <w:t>2023</w:t>
            </w:r>
          </w:p>
        </w:tc>
        <w:tc>
          <w:tcPr>
            <w:tcW w:w="6096" w:type="dxa"/>
            <w:shd w:val="clear" w:color="auto" w:fill="C6EFCE"/>
            <w:noWrap/>
          </w:tcPr>
          <w:p w14:paraId="4B1A0A70" w14:textId="188B7551" w:rsidR="003E1D81" w:rsidRDefault="00EB481C">
            <w:pPr>
              <w:pStyle w:val="P68B1DB1-Normal13"/>
              <w:spacing w:after="0" w:line="240" w:lineRule="auto"/>
              <w:rPr>
                <w:rFonts w:eastAsia="MS Mincho" w:cs="Times New Roman"/>
                <w:noProof/>
              </w:rPr>
            </w:pPr>
            <w:r>
              <w:rPr>
                <w:noProof/>
              </w:rPr>
              <w:t>A spanyol tengeri terület legalább 15%-ának megfelelő védett tengeri terület elérése. A védett tengeri terület a Natura 2000 hálózatba vagy a védett természeti területek egyéb kategóriáiba tartozó tengeri terület, a 42/2007. sz. törvény szerint; a nem</w:t>
            </w:r>
            <w:r>
              <w:rPr>
                <w:noProof/>
              </w:rPr>
              <w:t xml:space="preserve">zetközi jogi eszközök és tengeri rezervátumok által védett területeket adott esetben bele kell foglalni a RAMPE-ba (spanyol védett tengeri területek hálózata). (Alapforgatókönyv: 2020. december 31.) </w:t>
            </w:r>
          </w:p>
        </w:tc>
      </w:tr>
      <w:tr w:rsidR="003E1D81" w14:paraId="39A6ECF2" w14:textId="77777777">
        <w:trPr>
          <w:trHeight w:val="309"/>
        </w:trPr>
        <w:tc>
          <w:tcPr>
            <w:tcW w:w="851" w:type="dxa"/>
            <w:shd w:val="clear" w:color="auto" w:fill="C6EFCE"/>
            <w:noWrap/>
          </w:tcPr>
          <w:p w14:paraId="224139B5" w14:textId="77777777" w:rsidR="003E1D81" w:rsidRDefault="00EB481C">
            <w:pPr>
              <w:pStyle w:val="P68B1DB1-Normal13"/>
              <w:spacing w:after="0" w:line="240" w:lineRule="auto"/>
              <w:jc w:val="center"/>
              <w:rPr>
                <w:rFonts w:cs="Times New Roman"/>
                <w:noProof/>
              </w:rPr>
            </w:pPr>
            <w:r>
              <w:rPr>
                <w:noProof/>
              </w:rPr>
              <w:t>68</w:t>
            </w:r>
          </w:p>
        </w:tc>
        <w:tc>
          <w:tcPr>
            <w:tcW w:w="851" w:type="dxa"/>
            <w:shd w:val="clear" w:color="auto" w:fill="C6EFCE"/>
            <w:noWrap/>
          </w:tcPr>
          <w:p w14:paraId="08B4E5E9" w14:textId="77777777" w:rsidR="003E1D81" w:rsidRDefault="00EB481C">
            <w:pPr>
              <w:pStyle w:val="P68B1DB1-Normal13"/>
              <w:spacing w:after="0" w:line="240" w:lineRule="auto"/>
              <w:jc w:val="center"/>
              <w:rPr>
                <w:rFonts w:cs="Times New Roman"/>
                <w:noProof/>
              </w:rPr>
            </w:pPr>
            <w:r>
              <w:rPr>
                <w:noProof/>
              </w:rPr>
              <w:t>C4.I2</w:t>
            </w:r>
          </w:p>
        </w:tc>
        <w:tc>
          <w:tcPr>
            <w:tcW w:w="992" w:type="dxa"/>
            <w:shd w:val="clear" w:color="auto" w:fill="C6EFCE"/>
            <w:noWrap/>
          </w:tcPr>
          <w:p w14:paraId="5D7BA318" w14:textId="77777777" w:rsidR="003E1D81" w:rsidRDefault="00EB481C">
            <w:pPr>
              <w:pStyle w:val="P68B1DB1-Normal13"/>
              <w:spacing w:after="0" w:line="240" w:lineRule="auto"/>
              <w:jc w:val="center"/>
              <w:rPr>
                <w:rFonts w:cs="Times New Roman"/>
                <w:noProof/>
              </w:rPr>
            </w:pPr>
            <w:r>
              <w:rPr>
                <w:noProof/>
              </w:rPr>
              <w:t>T</w:t>
            </w:r>
          </w:p>
        </w:tc>
        <w:tc>
          <w:tcPr>
            <w:tcW w:w="2126" w:type="dxa"/>
            <w:shd w:val="clear" w:color="auto" w:fill="C6EFCE"/>
            <w:noWrap/>
          </w:tcPr>
          <w:p w14:paraId="74522CB6" w14:textId="77777777" w:rsidR="003E1D81" w:rsidRDefault="00EB481C">
            <w:pPr>
              <w:pStyle w:val="P68B1DB1-Normal13"/>
              <w:spacing w:after="0" w:line="240" w:lineRule="auto"/>
              <w:rPr>
                <w:rFonts w:cs="Times New Roman"/>
                <w:noProof/>
              </w:rPr>
            </w:pPr>
            <w:r>
              <w:rPr>
                <w:noProof/>
              </w:rPr>
              <w:t xml:space="preserve">Tengeri védett területek </w:t>
            </w:r>
          </w:p>
        </w:tc>
        <w:tc>
          <w:tcPr>
            <w:tcW w:w="1276" w:type="dxa"/>
            <w:shd w:val="clear" w:color="auto" w:fill="C6EFCE"/>
            <w:noWrap/>
          </w:tcPr>
          <w:p w14:paraId="2BA226A1"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017E78C1" w14:textId="77777777" w:rsidR="003E1D81" w:rsidRDefault="00EB481C">
            <w:pPr>
              <w:pStyle w:val="P68B1DB1-Normal13"/>
              <w:spacing w:after="0" w:line="240" w:lineRule="auto"/>
              <w:jc w:val="center"/>
              <w:rPr>
                <w:rFonts w:cs="Times New Roman"/>
                <w:noProof/>
              </w:rPr>
            </w:pPr>
            <w:r>
              <w:rPr>
                <w:noProof/>
              </w:rPr>
              <w:t xml:space="preserve">spanyol tengeri </w:t>
            </w:r>
            <w:r>
              <w:rPr>
                <w:noProof/>
              </w:rPr>
              <w:t>terület %-a</w:t>
            </w:r>
          </w:p>
        </w:tc>
        <w:tc>
          <w:tcPr>
            <w:tcW w:w="567" w:type="dxa"/>
            <w:shd w:val="clear" w:color="auto" w:fill="C6EFCE"/>
            <w:noWrap/>
          </w:tcPr>
          <w:p w14:paraId="4C2A823A" w14:textId="77777777" w:rsidR="003E1D81" w:rsidRDefault="00EB481C">
            <w:pPr>
              <w:pStyle w:val="P68B1DB1-Normal13"/>
              <w:spacing w:after="0" w:line="240" w:lineRule="auto"/>
              <w:jc w:val="right"/>
              <w:rPr>
                <w:rFonts w:cs="Times New Roman"/>
                <w:noProof/>
              </w:rPr>
            </w:pPr>
            <w:r>
              <w:rPr>
                <w:noProof/>
              </w:rPr>
              <w:t>15</w:t>
            </w:r>
          </w:p>
        </w:tc>
        <w:tc>
          <w:tcPr>
            <w:tcW w:w="709" w:type="dxa"/>
            <w:shd w:val="clear" w:color="auto" w:fill="C6EFCE"/>
            <w:noWrap/>
          </w:tcPr>
          <w:p w14:paraId="5D9857E1" w14:textId="77777777" w:rsidR="003E1D81" w:rsidRDefault="00EB481C">
            <w:pPr>
              <w:pStyle w:val="P68B1DB1-Normal13"/>
              <w:spacing w:after="0" w:line="240" w:lineRule="auto"/>
              <w:jc w:val="right"/>
              <w:rPr>
                <w:rFonts w:cs="Times New Roman"/>
                <w:noProof/>
              </w:rPr>
            </w:pPr>
            <w:r>
              <w:rPr>
                <w:noProof/>
              </w:rPr>
              <w:t>18</w:t>
            </w:r>
          </w:p>
        </w:tc>
        <w:tc>
          <w:tcPr>
            <w:tcW w:w="425" w:type="dxa"/>
            <w:shd w:val="clear" w:color="auto" w:fill="C6EFCE"/>
            <w:noWrap/>
          </w:tcPr>
          <w:p w14:paraId="0D4AC936"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4FA36ACC" w14:textId="77777777" w:rsidR="003E1D81" w:rsidRDefault="00EB481C">
            <w:pPr>
              <w:pStyle w:val="P68B1DB1-Normal13"/>
              <w:spacing w:after="0" w:line="240" w:lineRule="auto"/>
              <w:jc w:val="center"/>
              <w:rPr>
                <w:rFonts w:cs="Times New Roman"/>
                <w:noProof/>
              </w:rPr>
            </w:pPr>
            <w:r>
              <w:rPr>
                <w:noProof/>
              </w:rPr>
              <w:t>2025</w:t>
            </w:r>
          </w:p>
        </w:tc>
        <w:tc>
          <w:tcPr>
            <w:tcW w:w="6096" w:type="dxa"/>
            <w:shd w:val="clear" w:color="auto" w:fill="C6EFCE"/>
            <w:noWrap/>
          </w:tcPr>
          <w:p w14:paraId="12544D96" w14:textId="3920702E" w:rsidR="003E1D81" w:rsidRDefault="00EB481C">
            <w:pPr>
              <w:pStyle w:val="P68B1DB1-Normal13"/>
              <w:spacing w:after="0" w:line="240" w:lineRule="auto"/>
              <w:rPr>
                <w:rFonts w:cs="Times New Roman"/>
                <w:noProof/>
              </w:rPr>
            </w:pPr>
            <w:r>
              <w:rPr>
                <w:noProof/>
              </w:rPr>
              <w:t>A spanyol tengeri terület legalább 18%-ának megfelelő védett tengeri terület elérése. A védett tengeri terület a 42/2007. sz. törvénnyel létrehozott Natura 2000 hálózatba vagy a védett természeti területek egyéb kategóriáiba</w:t>
            </w:r>
            <w:r>
              <w:rPr>
                <w:noProof/>
              </w:rPr>
              <w:t xml:space="preserve"> tartozó tengeri terület; a nemzetközi jogi eszközök és tengeri rezervátumok által védett területeket adott esetben bele kell foglalni a RAMPE-ba (spanyol védett tengeri területek hálózata). (Alapforgatókönyv: 2023. december 31.)</w:t>
            </w:r>
          </w:p>
        </w:tc>
      </w:tr>
      <w:tr w:rsidR="003E1D81" w14:paraId="0E646B10" w14:textId="77777777">
        <w:trPr>
          <w:trHeight w:val="309"/>
        </w:trPr>
        <w:tc>
          <w:tcPr>
            <w:tcW w:w="851" w:type="dxa"/>
            <w:shd w:val="clear" w:color="auto" w:fill="C6EFCE"/>
            <w:noWrap/>
          </w:tcPr>
          <w:p w14:paraId="5D87285D" w14:textId="77777777" w:rsidR="003E1D81" w:rsidRDefault="00EB481C">
            <w:pPr>
              <w:pStyle w:val="P68B1DB1-Normal13"/>
              <w:spacing w:after="0" w:line="240" w:lineRule="auto"/>
              <w:jc w:val="center"/>
              <w:rPr>
                <w:rFonts w:eastAsia="MS Mincho" w:cs="Times New Roman"/>
                <w:noProof/>
              </w:rPr>
            </w:pPr>
            <w:r>
              <w:rPr>
                <w:noProof/>
              </w:rPr>
              <w:t>69</w:t>
            </w:r>
          </w:p>
        </w:tc>
        <w:tc>
          <w:tcPr>
            <w:tcW w:w="851" w:type="dxa"/>
            <w:shd w:val="clear" w:color="auto" w:fill="C6EFCE"/>
            <w:noWrap/>
          </w:tcPr>
          <w:p w14:paraId="3AC0FAB3" w14:textId="77777777" w:rsidR="003E1D81" w:rsidRDefault="00EB481C">
            <w:pPr>
              <w:pStyle w:val="P68B1DB1-Normal13"/>
              <w:spacing w:after="0" w:line="240" w:lineRule="auto"/>
              <w:jc w:val="center"/>
              <w:rPr>
                <w:rFonts w:eastAsia="MS Mincho" w:cs="Times New Roman"/>
                <w:noProof/>
              </w:rPr>
            </w:pPr>
            <w:r>
              <w:rPr>
                <w:noProof/>
              </w:rPr>
              <w:t>C4.I2</w:t>
            </w:r>
          </w:p>
        </w:tc>
        <w:tc>
          <w:tcPr>
            <w:tcW w:w="992" w:type="dxa"/>
            <w:shd w:val="clear" w:color="auto" w:fill="C6EFCE"/>
            <w:noWrap/>
          </w:tcPr>
          <w:p w14:paraId="207ECE38" w14:textId="77777777" w:rsidR="003E1D81" w:rsidRDefault="00EB481C">
            <w:pPr>
              <w:pStyle w:val="P68B1DB1-Normal13"/>
              <w:spacing w:after="0" w:line="240" w:lineRule="auto"/>
              <w:jc w:val="center"/>
              <w:rPr>
                <w:rFonts w:eastAsia="MS Mincho" w:cs="Times New Roman"/>
                <w:noProof/>
              </w:rPr>
            </w:pPr>
            <w:r>
              <w:rPr>
                <w:noProof/>
              </w:rPr>
              <w:t>T</w:t>
            </w:r>
          </w:p>
        </w:tc>
        <w:tc>
          <w:tcPr>
            <w:tcW w:w="2126" w:type="dxa"/>
            <w:shd w:val="clear" w:color="auto" w:fill="C6EFCE"/>
            <w:noWrap/>
          </w:tcPr>
          <w:p w14:paraId="00C6CFE2" w14:textId="77777777" w:rsidR="003E1D81" w:rsidRDefault="00EB481C">
            <w:pPr>
              <w:pStyle w:val="P68B1DB1-Normal13"/>
              <w:spacing w:after="0" w:line="240" w:lineRule="auto"/>
              <w:rPr>
                <w:rFonts w:eastAsia="MS Mincho" w:cs="Times New Roman"/>
                <w:noProof/>
              </w:rPr>
            </w:pPr>
            <w:r>
              <w:rPr>
                <w:noProof/>
              </w:rPr>
              <w:t xml:space="preserve">A biológiai </w:t>
            </w:r>
            <w:r>
              <w:rPr>
                <w:noProof/>
              </w:rPr>
              <w:t>sokféleség megőrzésére irányuló intézkedések</w:t>
            </w:r>
          </w:p>
        </w:tc>
        <w:tc>
          <w:tcPr>
            <w:tcW w:w="1276" w:type="dxa"/>
            <w:shd w:val="clear" w:color="auto" w:fill="C6EFCE"/>
            <w:noWrap/>
          </w:tcPr>
          <w:p w14:paraId="17AD93B2" w14:textId="77777777" w:rsidR="003E1D81" w:rsidRDefault="003E1D81">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0F314C26" w14:textId="77777777" w:rsidR="003E1D81" w:rsidRDefault="00EB481C">
            <w:pPr>
              <w:pStyle w:val="P68B1DB1-Normal13"/>
              <w:spacing w:after="0" w:line="240" w:lineRule="auto"/>
              <w:jc w:val="center"/>
              <w:rPr>
                <w:rFonts w:eastAsia="MS Mincho" w:cs="Times New Roman"/>
                <w:noProof/>
              </w:rPr>
            </w:pPr>
            <w:r>
              <w:rPr>
                <w:noProof/>
              </w:rPr>
              <w:t>Szám (hektárok)</w:t>
            </w:r>
          </w:p>
        </w:tc>
        <w:tc>
          <w:tcPr>
            <w:tcW w:w="567" w:type="dxa"/>
            <w:shd w:val="clear" w:color="auto" w:fill="C6EFCE"/>
            <w:noWrap/>
          </w:tcPr>
          <w:p w14:paraId="1E6EE343" w14:textId="77777777" w:rsidR="003E1D81" w:rsidRDefault="00EB481C">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2E818D2F" w14:textId="77777777" w:rsidR="003E1D81" w:rsidRDefault="00EB481C">
            <w:pPr>
              <w:pStyle w:val="P68B1DB1-Normal13"/>
              <w:spacing w:after="0" w:line="240" w:lineRule="auto"/>
              <w:jc w:val="right"/>
              <w:rPr>
                <w:rFonts w:eastAsia="MS Mincho" w:cs="Times New Roman"/>
                <w:noProof/>
              </w:rPr>
            </w:pPr>
            <w:r>
              <w:rPr>
                <w:noProof/>
              </w:rPr>
              <w:t>50 000</w:t>
            </w:r>
          </w:p>
        </w:tc>
        <w:tc>
          <w:tcPr>
            <w:tcW w:w="425" w:type="dxa"/>
            <w:shd w:val="clear" w:color="auto" w:fill="C6EFCE"/>
            <w:noWrap/>
          </w:tcPr>
          <w:p w14:paraId="32D6FAE0" w14:textId="77777777"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52E5F677" w14:textId="77777777" w:rsidR="003E1D81" w:rsidRDefault="00EB481C">
            <w:pPr>
              <w:pStyle w:val="P68B1DB1-Normal13"/>
              <w:spacing w:after="0" w:line="240" w:lineRule="auto"/>
              <w:jc w:val="center"/>
              <w:rPr>
                <w:rFonts w:eastAsia="MS Mincho" w:cs="Times New Roman"/>
                <w:noProof/>
              </w:rPr>
            </w:pPr>
            <w:r>
              <w:rPr>
                <w:noProof/>
              </w:rPr>
              <w:t>2026</w:t>
            </w:r>
          </w:p>
        </w:tc>
        <w:tc>
          <w:tcPr>
            <w:tcW w:w="6096" w:type="dxa"/>
            <w:shd w:val="clear" w:color="auto" w:fill="C6EFCE"/>
            <w:noWrap/>
          </w:tcPr>
          <w:p w14:paraId="4D3026EA" w14:textId="77EB272E" w:rsidR="003E1D81" w:rsidRDefault="00EB481C">
            <w:pPr>
              <w:pStyle w:val="P68B1DB1-Normal13"/>
              <w:spacing w:after="0" w:line="240" w:lineRule="auto"/>
              <w:rPr>
                <w:rFonts w:eastAsia="MS Mincho" w:cs="Times New Roman"/>
                <w:noProof/>
              </w:rPr>
            </w:pPr>
            <w:r>
              <w:rPr>
                <w:noProof/>
              </w:rPr>
              <w:t>A biológiai sokféleség megőrzésére irányuló, befejezett intézkedések által lefedett legalább 50000 hektár. A védelmi intézkedések a következőket foglalják magukban: i. az ál</w:t>
            </w:r>
            <w:r>
              <w:rPr>
                <w:noProof/>
              </w:rPr>
              <w:t>lat- és növényfajok pusztulását megelőző intézkedések, ii. az invazív fajok korai észlelésére, ellenőrzésére vagy felszámolására irányuló intézkedések, iii. gazdálkodási és élőhely-javító intézkedések, különösen a védett fajokkal kapcsolatban hozott intézk</w:t>
            </w:r>
            <w:r>
              <w:rPr>
                <w:noProof/>
              </w:rPr>
              <w:t>edések, iv. a vizes élőhelyek helyreállítására irányuló intézkedések, mint például a természetes dinamikának, a víz mennyiségének és minőségének, valamint a természetes állat- és növényvilágnak a javítása; v. a természeti örökség kezeléséhez kapcsolódó lét</w:t>
            </w:r>
            <w:r>
              <w:rPr>
                <w:noProof/>
              </w:rPr>
              <w:t>esítmények és infrastruktúra (Natura 2000 és védett természeti területek) biztosítása, felújítása és korszerűsítése, valamint a veszélyeztetett fajok illegális kereskedelméről szóló egyezmény (CITES) korszerűsítése, beleértve egy új mentési referenciaközpo</w:t>
            </w:r>
            <w:r>
              <w:rPr>
                <w:noProof/>
              </w:rPr>
              <w:t>nt létrehozását. A különleges rendeltetésű hajók vásárlása esetén a beruházásra vonatkozó kiválasztási kritériumoknak biztosítaniuk kell a jelentős károkozás elkerülését célzó technikai iránymutatásnak (2021/C58/01) való megfelelést azáltal, hogy csak az á</w:t>
            </w:r>
            <w:r>
              <w:rPr>
                <w:noProof/>
              </w:rPr>
              <w:t xml:space="preserve">gazatban a legalacsonyabb környezeti hatással járó, rendelkezésre álló legjobb technológiákat támogatják, figyelembe véve az általuk kiszolgált különleges célt. </w:t>
            </w:r>
          </w:p>
        </w:tc>
      </w:tr>
      <w:tr w:rsidR="003E1D81" w14:paraId="19C39336" w14:textId="77777777">
        <w:trPr>
          <w:trHeight w:val="309"/>
        </w:trPr>
        <w:tc>
          <w:tcPr>
            <w:tcW w:w="851" w:type="dxa"/>
            <w:shd w:val="clear" w:color="auto" w:fill="C6EFCE"/>
            <w:noWrap/>
          </w:tcPr>
          <w:p w14:paraId="743D8313" w14:textId="77777777" w:rsidR="003E1D81" w:rsidRDefault="00EB481C">
            <w:pPr>
              <w:pStyle w:val="P68B1DB1-Normal13"/>
              <w:spacing w:after="0" w:line="240" w:lineRule="auto"/>
              <w:jc w:val="center"/>
              <w:rPr>
                <w:rFonts w:eastAsia="MS Mincho" w:cs="Times New Roman"/>
                <w:noProof/>
              </w:rPr>
            </w:pPr>
            <w:r>
              <w:rPr>
                <w:noProof/>
              </w:rPr>
              <w:t>70</w:t>
            </w:r>
          </w:p>
        </w:tc>
        <w:tc>
          <w:tcPr>
            <w:tcW w:w="851" w:type="dxa"/>
            <w:shd w:val="clear" w:color="auto" w:fill="C6EFCE"/>
            <w:noWrap/>
          </w:tcPr>
          <w:p w14:paraId="5FFACCF4" w14:textId="77777777" w:rsidR="003E1D81" w:rsidRDefault="00EB481C">
            <w:pPr>
              <w:pStyle w:val="P68B1DB1-Normal13"/>
              <w:spacing w:after="0" w:line="240" w:lineRule="auto"/>
              <w:jc w:val="center"/>
              <w:rPr>
                <w:rFonts w:eastAsia="MS Mincho" w:cs="Times New Roman"/>
                <w:noProof/>
              </w:rPr>
            </w:pPr>
            <w:r>
              <w:rPr>
                <w:noProof/>
              </w:rPr>
              <w:t>C4.I3</w:t>
            </w:r>
          </w:p>
        </w:tc>
        <w:tc>
          <w:tcPr>
            <w:tcW w:w="992" w:type="dxa"/>
            <w:shd w:val="clear" w:color="auto" w:fill="C6EFCE"/>
            <w:noWrap/>
          </w:tcPr>
          <w:p w14:paraId="1663E188" w14:textId="77777777" w:rsidR="003E1D81" w:rsidRDefault="00EB481C">
            <w:pPr>
              <w:pStyle w:val="P68B1DB1-Normal13"/>
              <w:spacing w:after="0" w:line="240" w:lineRule="auto"/>
              <w:jc w:val="center"/>
              <w:rPr>
                <w:rFonts w:eastAsia="MS Mincho" w:cs="Times New Roman"/>
                <w:noProof/>
              </w:rPr>
            </w:pPr>
            <w:r>
              <w:rPr>
                <w:noProof/>
              </w:rPr>
              <w:t>T</w:t>
            </w:r>
          </w:p>
        </w:tc>
        <w:tc>
          <w:tcPr>
            <w:tcW w:w="2126" w:type="dxa"/>
            <w:shd w:val="clear" w:color="auto" w:fill="C6EFCE"/>
            <w:noWrap/>
          </w:tcPr>
          <w:p w14:paraId="5918C8BE" w14:textId="77777777" w:rsidR="003E1D81" w:rsidRDefault="00EB481C">
            <w:pPr>
              <w:pStyle w:val="P68B1DB1-Normal13"/>
              <w:spacing w:after="0" w:line="240" w:lineRule="auto"/>
              <w:rPr>
                <w:rFonts w:eastAsia="MS Mincho" w:cs="Times New Roman"/>
                <w:noProof/>
              </w:rPr>
            </w:pPr>
            <w:r>
              <w:rPr>
                <w:noProof/>
              </w:rPr>
              <w:t>Korábbi bányatelepek rehabilitációja (legalább 20 korábbi bányatelep)</w:t>
            </w:r>
          </w:p>
        </w:tc>
        <w:tc>
          <w:tcPr>
            <w:tcW w:w="1276" w:type="dxa"/>
            <w:shd w:val="clear" w:color="auto" w:fill="C6EFCE"/>
            <w:noWrap/>
          </w:tcPr>
          <w:p w14:paraId="0DE4B5B7" w14:textId="77777777" w:rsidR="003E1D81" w:rsidRDefault="003E1D81">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6A9BF725" w14:textId="77777777" w:rsidR="003E1D81" w:rsidRDefault="00EB481C">
            <w:pPr>
              <w:pStyle w:val="P68B1DB1-Normal13"/>
              <w:spacing w:after="0" w:line="240" w:lineRule="auto"/>
              <w:jc w:val="center"/>
              <w:rPr>
                <w:rFonts w:eastAsia="MS Mincho" w:cs="Times New Roman"/>
                <w:noProof/>
              </w:rPr>
            </w:pPr>
            <w:r>
              <w:rPr>
                <w:noProof/>
              </w:rPr>
              <w:t>Szám (bányászati helyszínek)</w:t>
            </w:r>
          </w:p>
        </w:tc>
        <w:tc>
          <w:tcPr>
            <w:tcW w:w="567" w:type="dxa"/>
            <w:shd w:val="clear" w:color="auto" w:fill="C6EFCE"/>
            <w:noWrap/>
          </w:tcPr>
          <w:p w14:paraId="42EFDDCA" w14:textId="77777777" w:rsidR="003E1D81" w:rsidRDefault="00EB481C">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77BB07BD" w14:textId="77777777" w:rsidR="003E1D81" w:rsidRDefault="00EB481C">
            <w:pPr>
              <w:pStyle w:val="P68B1DB1-Normal13"/>
              <w:spacing w:after="0" w:line="240" w:lineRule="auto"/>
              <w:jc w:val="right"/>
              <w:rPr>
                <w:rFonts w:eastAsia="MS Mincho" w:cs="Times New Roman"/>
                <w:noProof/>
              </w:rPr>
            </w:pPr>
            <w:r>
              <w:rPr>
                <w:noProof/>
              </w:rPr>
              <w:t>20</w:t>
            </w:r>
          </w:p>
        </w:tc>
        <w:tc>
          <w:tcPr>
            <w:tcW w:w="425" w:type="dxa"/>
            <w:shd w:val="clear" w:color="auto" w:fill="C6EFCE"/>
            <w:noWrap/>
          </w:tcPr>
          <w:p w14:paraId="7D4BE697" w14:textId="77777777"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62B4D3A0" w14:textId="77777777" w:rsidR="003E1D81" w:rsidRDefault="00EB481C">
            <w:pPr>
              <w:pStyle w:val="P68B1DB1-Normal13"/>
              <w:spacing w:after="0" w:line="240" w:lineRule="auto"/>
              <w:jc w:val="center"/>
              <w:rPr>
                <w:rFonts w:eastAsia="MS Mincho" w:cs="Times New Roman"/>
                <w:noProof/>
              </w:rPr>
            </w:pPr>
            <w:r>
              <w:rPr>
                <w:noProof/>
              </w:rPr>
              <w:t>2023</w:t>
            </w:r>
          </w:p>
        </w:tc>
        <w:tc>
          <w:tcPr>
            <w:tcW w:w="6096" w:type="dxa"/>
            <w:shd w:val="clear" w:color="auto" w:fill="C6EFCE"/>
            <w:noWrap/>
          </w:tcPr>
          <w:p w14:paraId="598D2537" w14:textId="77777777" w:rsidR="003E1D81" w:rsidRDefault="00EB481C">
            <w:pPr>
              <w:pStyle w:val="P68B1DB1-Normal13"/>
              <w:spacing w:after="0" w:line="240" w:lineRule="auto"/>
              <w:rPr>
                <w:rFonts w:eastAsia="MS Mincho" w:cs="Times New Roman"/>
                <w:noProof/>
              </w:rPr>
            </w:pPr>
            <w:r>
              <w:rPr>
                <w:noProof/>
              </w:rPr>
              <w:t>Minden bányatelep legalább 50%-ának rehabilitációja, amely legalább 20 korábbi bányatelepet céloz meg, beleértve a talaj szennyeződésmentesítését, a morfológia helyreállítását, valamint a rekultivációt és a hon</w:t>
            </w:r>
            <w:r>
              <w:rPr>
                <w:noProof/>
              </w:rPr>
              <w:t>osítást.</w:t>
            </w:r>
          </w:p>
        </w:tc>
      </w:tr>
      <w:tr w:rsidR="003E1D81" w14:paraId="16763420" w14:textId="77777777">
        <w:trPr>
          <w:trHeight w:val="309"/>
        </w:trPr>
        <w:tc>
          <w:tcPr>
            <w:tcW w:w="851" w:type="dxa"/>
            <w:shd w:val="clear" w:color="auto" w:fill="C6EFCE"/>
            <w:noWrap/>
          </w:tcPr>
          <w:p w14:paraId="2A4CBA15" w14:textId="16E7A848" w:rsidR="003E1D81" w:rsidRDefault="00EB481C">
            <w:pPr>
              <w:pStyle w:val="P68B1DB1-Normal13"/>
              <w:spacing w:after="0" w:line="240" w:lineRule="auto"/>
              <w:jc w:val="center"/>
              <w:rPr>
                <w:rFonts w:eastAsia="MS Mincho" w:cs="Times New Roman"/>
                <w:noProof/>
              </w:rPr>
            </w:pPr>
            <w:r>
              <w:rPr>
                <w:noProof/>
              </w:rPr>
              <w:t>71</w:t>
            </w:r>
          </w:p>
        </w:tc>
        <w:tc>
          <w:tcPr>
            <w:tcW w:w="851" w:type="dxa"/>
            <w:shd w:val="clear" w:color="auto" w:fill="C6EFCE"/>
            <w:noWrap/>
          </w:tcPr>
          <w:p w14:paraId="31CDC745" w14:textId="77777777" w:rsidR="003E1D81" w:rsidRDefault="00EB481C">
            <w:pPr>
              <w:pStyle w:val="P68B1DB1-Normal13"/>
              <w:spacing w:after="0" w:line="240" w:lineRule="auto"/>
              <w:jc w:val="center"/>
              <w:rPr>
                <w:rFonts w:eastAsia="MS Mincho" w:cs="Times New Roman"/>
                <w:noProof/>
              </w:rPr>
            </w:pPr>
            <w:r>
              <w:rPr>
                <w:noProof/>
              </w:rPr>
              <w:t>C4.I3</w:t>
            </w:r>
          </w:p>
        </w:tc>
        <w:tc>
          <w:tcPr>
            <w:tcW w:w="992" w:type="dxa"/>
            <w:shd w:val="clear" w:color="auto" w:fill="C6EFCE"/>
            <w:noWrap/>
          </w:tcPr>
          <w:p w14:paraId="49BB626F" w14:textId="3A9620D2" w:rsidR="003E1D81" w:rsidRDefault="00EB481C">
            <w:pPr>
              <w:pStyle w:val="P68B1DB1-Normal13"/>
              <w:spacing w:after="0" w:line="240" w:lineRule="auto"/>
              <w:jc w:val="center"/>
              <w:rPr>
                <w:rFonts w:eastAsia="MS Mincho" w:cs="Times New Roman"/>
                <w:noProof/>
              </w:rPr>
            </w:pPr>
            <w:r>
              <w:rPr>
                <w:noProof/>
              </w:rPr>
              <w:t>M</w:t>
            </w:r>
          </w:p>
        </w:tc>
        <w:tc>
          <w:tcPr>
            <w:tcW w:w="2126" w:type="dxa"/>
            <w:shd w:val="clear" w:color="auto" w:fill="C6EFCE"/>
            <w:noWrap/>
          </w:tcPr>
          <w:p w14:paraId="0C0DFDFF" w14:textId="77777777" w:rsidR="003E1D81" w:rsidRDefault="00EB481C">
            <w:pPr>
              <w:pStyle w:val="P68B1DB1-Normal13"/>
              <w:spacing w:after="0" w:line="240" w:lineRule="auto"/>
              <w:rPr>
                <w:rFonts w:eastAsia="MS Mincho" w:cs="Times New Roman"/>
                <w:noProof/>
              </w:rPr>
            </w:pPr>
            <w:r>
              <w:rPr>
                <w:noProof/>
              </w:rPr>
              <w:t xml:space="preserve">Ökoszisztéma-helyreállítási intézkedések </w:t>
            </w:r>
          </w:p>
        </w:tc>
        <w:tc>
          <w:tcPr>
            <w:tcW w:w="1276" w:type="dxa"/>
            <w:shd w:val="clear" w:color="auto" w:fill="C6EFCE"/>
            <w:noWrap/>
          </w:tcPr>
          <w:p w14:paraId="66204FF1" w14:textId="7B82D200" w:rsidR="003E1D81" w:rsidRDefault="00EB481C">
            <w:pPr>
              <w:pStyle w:val="P68B1DB1-Normal13"/>
              <w:spacing w:after="0" w:line="240" w:lineRule="auto"/>
              <w:jc w:val="center"/>
              <w:rPr>
                <w:rFonts w:eastAsia="MS Mincho" w:cs="Times New Roman"/>
                <w:noProof/>
              </w:rPr>
            </w:pPr>
            <w:r>
              <w:rPr>
                <w:noProof/>
              </w:rPr>
              <w:t xml:space="preserve">A befejezett munkálatok/projektek hivatalos tanúsítása </w:t>
            </w:r>
          </w:p>
        </w:tc>
        <w:tc>
          <w:tcPr>
            <w:tcW w:w="850" w:type="dxa"/>
            <w:shd w:val="clear" w:color="auto" w:fill="C6EFCE"/>
            <w:noWrap/>
          </w:tcPr>
          <w:p w14:paraId="32002FF6" w14:textId="2C75ECCF" w:rsidR="003E1D81" w:rsidRDefault="003E1D81">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624370D3" w14:textId="430A96D8" w:rsidR="003E1D81" w:rsidRDefault="003E1D81">
            <w:pPr>
              <w:spacing w:after="0" w:line="240" w:lineRule="auto"/>
              <w:jc w:val="right"/>
              <w:rPr>
                <w:rFonts w:ascii="Times New Roman" w:eastAsia="MS Mincho" w:hAnsi="Times New Roman" w:cs="Times New Roman"/>
                <w:noProof/>
                <w:sz w:val="18"/>
              </w:rPr>
            </w:pPr>
          </w:p>
        </w:tc>
        <w:tc>
          <w:tcPr>
            <w:tcW w:w="709" w:type="dxa"/>
            <w:shd w:val="clear" w:color="auto" w:fill="C6EFCE"/>
            <w:noWrap/>
          </w:tcPr>
          <w:p w14:paraId="1129AE4B" w14:textId="0849A78D" w:rsidR="003E1D81" w:rsidRDefault="003E1D81">
            <w:pPr>
              <w:spacing w:after="0" w:line="240" w:lineRule="auto"/>
              <w:jc w:val="right"/>
              <w:rPr>
                <w:rFonts w:ascii="Times New Roman" w:eastAsia="MS Mincho" w:hAnsi="Times New Roman" w:cs="Times New Roman"/>
                <w:noProof/>
                <w:sz w:val="18"/>
              </w:rPr>
            </w:pPr>
          </w:p>
        </w:tc>
        <w:tc>
          <w:tcPr>
            <w:tcW w:w="425" w:type="dxa"/>
            <w:shd w:val="clear" w:color="auto" w:fill="C6EFCE"/>
            <w:noWrap/>
          </w:tcPr>
          <w:p w14:paraId="1D69C1E3" w14:textId="214C37E5"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04715A28" w14:textId="0CAD7FDA" w:rsidR="003E1D81" w:rsidRDefault="00EB481C">
            <w:pPr>
              <w:pStyle w:val="P68B1DB1-Normal13"/>
              <w:spacing w:after="0" w:line="240" w:lineRule="auto"/>
              <w:jc w:val="center"/>
              <w:rPr>
                <w:rFonts w:cs="Times New Roman"/>
                <w:noProof/>
              </w:rPr>
            </w:pPr>
            <w:r>
              <w:rPr>
                <w:noProof/>
              </w:rPr>
              <w:t xml:space="preserve">2025  </w:t>
            </w:r>
          </w:p>
        </w:tc>
        <w:tc>
          <w:tcPr>
            <w:tcW w:w="6096" w:type="dxa"/>
            <w:shd w:val="clear" w:color="auto" w:fill="C6EFCE"/>
            <w:noWrap/>
          </w:tcPr>
          <w:p w14:paraId="63501E8C" w14:textId="7B240D57" w:rsidR="003E1D81" w:rsidRDefault="00EB481C">
            <w:pPr>
              <w:pStyle w:val="P68B1DB1-Normal13"/>
              <w:spacing w:after="0" w:line="240" w:lineRule="auto"/>
              <w:rPr>
                <w:rFonts w:eastAsia="MS Mincho" w:cs="Times New Roman"/>
                <w:noProof/>
              </w:rPr>
            </w:pPr>
            <w:r>
              <w:rPr>
                <w:noProof/>
              </w:rPr>
              <w:t xml:space="preserve">Legalább 30000 hektárnyi, a leromlott állapotú területeken vagy ökoszisztémákban végrehajtott ökoszisztéma-helyreállítási intézkedések által lefedett terület, beleértve a mesterséges elemek eltávolítását, a talaj és a morfológia javítását, a rekultivációt </w:t>
            </w:r>
            <w:r>
              <w:rPr>
                <w:noProof/>
              </w:rPr>
              <w:t xml:space="preserve">és a honosítást, valamint a zöld infrastruktúrával kapcsolatos projektek véglegesítését legalább 30, 50000 lakosnál nagyobb lakosú városban. </w:t>
            </w:r>
          </w:p>
        </w:tc>
      </w:tr>
      <w:tr w:rsidR="003E1D81" w14:paraId="68AF4929" w14:textId="77777777">
        <w:trPr>
          <w:trHeight w:val="309"/>
        </w:trPr>
        <w:tc>
          <w:tcPr>
            <w:tcW w:w="851" w:type="dxa"/>
            <w:shd w:val="clear" w:color="auto" w:fill="C6EFCE"/>
            <w:noWrap/>
          </w:tcPr>
          <w:p w14:paraId="23D9E551" w14:textId="77777777" w:rsidR="003E1D81" w:rsidRDefault="00EB481C">
            <w:pPr>
              <w:pStyle w:val="P68B1DB1-Normal13"/>
              <w:spacing w:after="0" w:line="240" w:lineRule="auto"/>
              <w:jc w:val="center"/>
              <w:rPr>
                <w:rFonts w:eastAsia="MS Mincho" w:cs="Times New Roman"/>
                <w:noProof/>
              </w:rPr>
            </w:pPr>
            <w:r>
              <w:rPr>
                <w:noProof/>
              </w:rPr>
              <w:t>72</w:t>
            </w:r>
          </w:p>
        </w:tc>
        <w:tc>
          <w:tcPr>
            <w:tcW w:w="851" w:type="dxa"/>
            <w:shd w:val="clear" w:color="auto" w:fill="C6EFCE"/>
            <w:noWrap/>
          </w:tcPr>
          <w:p w14:paraId="6D366088" w14:textId="77777777" w:rsidR="003E1D81" w:rsidRDefault="00EB481C">
            <w:pPr>
              <w:pStyle w:val="P68B1DB1-Normal13"/>
              <w:spacing w:after="0" w:line="240" w:lineRule="auto"/>
              <w:jc w:val="center"/>
              <w:rPr>
                <w:rFonts w:eastAsia="MS Mincho" w:cs="Times New Roman"/>
                <w:noProof/>
              </w:rPr>
            </w:pPr>
            <w:r>
              <w:rPr>
                <w:noProof/>
              </w:rPr>
              <w:t>C4.I3</w:t>
            </w:r>
          </w:p>
        </w:tc>
        <w:tc>
          <w:tcPr>
            <w:tcW w:w="992" w:type="dxa"/>
            <w:shd w:val="clear" w:color="auto" w:fill="C6EFCE"/>
            <w:noWrap/>
          </w:tcPr>
          <w:p w14:paraId="2A1DC271" w14:textId="77777777" w:rsidR="003E1D81" w:rsidRDefault="00EB481C">
            <w:pPr>
              <w:pStyle w:val="P68B1DB1-Normal13"/>
              <w:spacing w:after="0" w:line="240" w:lineRule="auto"/>
              <w:jc w:val="center"/>
              <w:rPr>
                <w:rFonts w:eastAsia="MS Mincho" w:cs="Times New Roman"/>
                <w:noProof/>
              </w:rPr>
            </w:pPr>
            <w:r>
              <w:rPr>
                <w:noProof/>
              </w:rPr>
              <w:t>T</w:t>
            </w:r>
          </w:p>
        </w:tc>
        <w:tc>
          <w:tcPr>
            <w:tcW w:w="2126" w:type="dxa"/>
            <w:shd w:val="clear" w:color="auto" w:fill="C6EFCE"/>
            <w:noWrap/>
          </w:tcPr>
          <w:p w14:paraId="2D238FBC" w14:textId="77777777" w:rsidR="003E1D81" w:rsidRDefault="00EB481C">
            <w:pPr>
              <w:pStyle w:val="P68B1DB1-Normal13"/>
              <w:spacing w:after="0" w:line="240" w:lineRule="auto"/>
              <w:rPr>
                <w:rFonts w:eastAsia="MS Mincho" w:cs="Times New Roman"/>
                <w:noProof/>
              </w:rPr>
            </w:pPr>
            <w:r>
              <w:rPr>
                <w:noProof/>
              </w:rPr>
              <w:t>A korábbi bányatelepek rehabilitációjának befejezése (legalább 30 korábbi bányatelep)</w:t>
            </w:r>
          </w:p>
        </w:tc>
        <w:tc>
          <w:tcPr>
            <w:tcW w:w="1276" w:type="dxa"/>
            <w:shd w:val="clear" w:color="auto" w:fill="C6EFCE"/>
            <w:noWrap/>
          </w:tcPr>
          <w:p w14:paraId="2DBF0D7D" w14:textId="77777777" w:rsidR="003E1D81" w:rsidRDefault="003E1D81">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20E6432" w14:textId="77777777" w:rsidR="003E1D81" w:rsidRDefault="00EB481C">
            <w:pPr>
              <w:pStyle w:val="P68B1DB1-Normal13"/>
              <w:spacing w:after="0" w:line="240" w:lineRule="auto"/>
              <w:jc w:val="right"/>
              <w:rPr>
                <w:rFonts w:eastAsia="MS Mincho" w:cs="Times New Roman"/>
                <w:noProof/>
              </w:rPr>
            </w:pPr>
            <w:r>
              <w:rPr>
                <w:noProof/>
              </w:rPr>
              <w:t xml:space="preserve">Szám </w:t>
            </w:r>
            <w:r>
              <w:rPr>
                <w:noProof/>
              </w:rPr>
              <w:t>(bányászati helyszínek)</w:t>
            </w:r>
          </w:p>
        </w:tc>
        <w:tc>
          <w:tcPr>
            <w:tcW w:w="567" w:type="dxa"/>
            <w:shd w:val="clear" w:color="auto" w:fill="C6EFCE"/>
            <w:noWrap/>
          </w:tcPr>
          <w:p w14:paraId="5353C90A" w14:textId="77777777" w:rsidR="003E1D81" w:rsidRDefault="00EB481C">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18E8C380" w14:textId="77777777" w:rsidR="003E1D81" w:rsidRDefault="00EB481C">
            <w:pPr>
              <w:pStyle w:val="P68B1DB1-Normal13"/>
              <w:spacing w:after="0" w:line="240" w:lineRule="auto"/>
              <w:jc w:val="right"/>
              <w:rPr>
                <w:rFonts w:eastAsia="MS Mincho" w:cs="Times New Roman"/>
                <w:noProof/>
              </w:rPr>
            </w:pPr>
            <w:r>
              <w:rPr>
                <w:noProof/>
              </w:rPr>
              <w:t>30</w:t>
            </w:r>
          </w:p>
        </w:tc>
        <w:tc>
          <w:tcPr>
            <w:tcW w:w="425" w:type="dxa"/>
            <w:shd w:val="clear" w:color="auto" w:fill="C6EFCE"/>
            <w:noWrap/>
          </w:tcPr>
          <w:p w14:paraId="0E1FBC29" w14:textId="77777777"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771F6154" w14:textId="77777777" w:rsidR="003E1D81" w:rsidRDefault="00EB481C">
            <w:pPr>
              <w:pStyle w:val="P68B1DB1-Normal13"/>
              <w:spacing w:after="0" w:line="240" w:lineRule="auto"/>
              <w:jc w:val="center"/>
              <w:rPr>
                <w:rFonts w:eastAsia="MS Mincho" w:cs="Times New Roman"/>
                <w:noProof/>
              </w:rPr>
            </w:pPr>
            <w:r>
              <w:rPr>
                <w:noProof/>
              </w:rPr>
              <w:t>2026</w:t>
            </w:r>
          </w:p>
        </w:tc>
        <w:tc>
          <w:tcPr>
            <w:tcW w:w="6096" w:type="dxa"/>
            <w:shd w:val="clear" w:color="auto" w:fill="C6EFCE"/>
            <w:noWrap/>
          </w:tcPr>
          <w:p w14:paraId="7F51EC37" w14:textId="77777777" w:rsidR="003E1D81" w:rsidRDefault="00EB481C">
            <w:pPr>
              <w:pStyle w:val="P68B1DB1-Normal13"/>
              <w:spacing w:after="0" w:line="240" w:lineRule="auto"/>
              <w:rPr>
                <w:rFonts w:eastAsia="MS Mincho" w:cs="Times New Roman"/>
                <w:noProof/>
              </w:rPr>
            </w:pPr>
            <w:r>
              <w:rPr>
                <w:noProof/>
              </w:rPr>
              <w:t xml:space="preserve">Legalább 30 korábbi bányatelepet rehabilitáltak, beleértve a talaj szennyeződésmentesítését, a morfológiai helyreállítást, valamint a már nem üzemelő korábbi bányatelepek helyreállítását és honosítását. </w:t>
            </w:r>
          </w:p>
        </w:tc>
      </w:tr>
      <w:tr w:rsidR="003E1D81" w14:paraId="34FD8005" w14:textId="77777777">
        <w:trPr>
          <w:trHeight w:val="309"/>
        </w:trPr>
        <w:tc>
          <w:tcPr>
            <w:tcW w:w="851" w:type="dxa"/>
            <w:shd w:val="clear" w:color="auto" w:fill="C6EFCE"/>
            <w:noWrap/>
          </w:tcPr>
          <w:p w14:paraId="0375044D" w14:textId="3E0D4FB5" w:rsidR="003E1D81" w:rsidRDefault="00EB481C">
            <w:pPr>
              <w:pStyle w:val="P68B1DB1-Normal13"/>
              <w:spacing w:after="0" w:line="240" w:lineRule="auto"/>
              <w:jc w:val="center"/>
              <w:rPr>
                <w:rFonts w:cs="Times New Roman"/>
                <w:noProof/>
              </w:rPr>
            </w:pPr>
            <w:r>
              <w:rPr>
                <w:noProof/>
              </w:rPr>
              <w:t>73</w:t>
            </w:r>
          </w:p>
        </w:tc>
        <w:tc>
          <w:tcPr>
            <w:tcW w:w="851" w:type="dxa"/>
            <w:shd w:val="clear" w:color="auto" w:fill="C6EFCE"/>
            <w:noWrap/>
          </w:tcPr>
          <w:p w14:paraId="3B32B977" w14:textId="50FD26F3" w:rsidR="003E1D81" w:rsidRDefault="00EB481C">
            <w:pPr>
              <w:pStyle w:val="P68B1DB1-Normal13"/>
              <w:spacing w:after="0" w:line="240" w:lineRule="auto"/>
              <w:jc w:val="center"/>
              <w:rPr>
                <w:rFonts w:cs="Times New Roman"/>
                <w:noProof/>
              </w:rPr>
            </w:pPr>
            <w:r>
              <w:rPr>
                <w:noProof/>
              </w:rPr>
              <w:t>C4.I4</w:t>
            </w:r>
          </w:p>
        </w:tc>
        <w:tc>
          <w:tcPr>
            <w:tcW w:w="992" w:type="dxa"/>
            <w:shd w:val="clear" w:color="auto" w:fill="C6EFCE"/>
            <w:noWrap/>
          </w:tcPr>
          <w:p w14:paraId="2401EC9D" w14:textId="1ACC20F4" w:rsidR="003E1D81" w:rsidRDefault="00EB481C">
            <w:pPr>
              <w:pStyle w:val="P68B1DB1-Normal13"/>
              <w:spacing w:after="0" w:line="240" w:lineRule="auto"/>
              <w:jc w:val="center"/>
              <w:rPr>
                <w:rFonts w:cs="Times New Roman"/>
                <w:noProof/>
              </w:rPr>
            </w:pPr>
            <w:r>
              <w:rPr>
                <w:noProof/>
              </w:rPr>
              <w:t>M</w:t>
            </w:r>
          </w:p>
        </w:tc>
        <w:tc>
          <w:tcPr>
            <w:tcW w:w="2126" w:type="dxa"/>
            <w:shd w:val="clear" w:color="auto" w:fill="C6EFCE"/>
            <w:noWrap/>
          </w:tcPr>
          <w:p w14:paraId="78DF0977" w14:textId="241900F7" w:rsidR="003E1D81" w:rsidRDefault="00EB481C">
            <w:pPr>
              <w:pStyle w:val="P68B1DB1-Normal13"/>
              <w:spacing w:after="0" w:line="240" w:lineRule="auto"/>
              <w:rPr>
                <w:rFonts w:cs="Times New Roman"/>
                <w:noProof/>
              </w:rPr>
            </w:pPr>
            <w:r>
              <w:rPr>
                <w:noProof/>
              </w:rPr>
              <w:t xml:space="preserve">A fenntartható erdőgazdálkodásra vonatkozó intézkedések </w:t>
            </w:r>
          </w:p>
        </w:tc>
        <w:tc>
          <w:tcPr>
            <w:tcW w:w="1276" w:type="dxa"/>
            <w:shd w:val="clear" w:color="auto" w:fill="C6EFCE"/>
            <w:noWrap/>
          </w:tcPr>
          <w:p w14:paraId="1F7B108B" w14:textId="6E46D2C7" w:rsidR="003E1D81" w:rsidRDefault="00EB481C">
            <w:pPr>
              <w:pStyle w:val="P68B1DB1-Normal13"/>
              <w:spacing w:after="0" w:line="240" w:lineRule="auto"/>
              <w:jc w:val="center"/>
              <w:rPr>
                <w:rFonts w:cs="Times New Roman"/>
                <w:noProof/>
              </w:rPr>
            </w:pPr>
            <w:r>
              <w:rPr>
                <w:noProof/>
              </w:rPr>
              <w:t>A MITERD által aláírt igazolás</w:t>
            </w:r>
          </w:p>
        </w:tc>
        <w:tc>
          <w:tcPr>
            <w:tcW w:w="850" w:type="dxa"/>
            <w:shd w:val="clear" w:color="auto" w:fill="C6EFCE"/>
            <w:noWrap/>
          </w:tcPr>
          <w:p w14:paraId="4F367724" w14:textId="2E110E56" w:rsidR="003E1D81" w:rsidRDefault="00EB481C">
            <w:pPr>
              <w:pStyle w:val="P68B1DB1-Normal13"/>
              <w:spacing w:after="0" w:line="240" w:lineRule="auto"/>
              <w:jc w:val="right"/>
              <w:rPr>
                <w:rFonts w:cs="Times New Roman"/>
                <w:noProof/>
              </w:rPr>
            </w:pPr>
            <w:r>
              <w:rPr>
                <w:noProof/>
              </w:rPr>
              <w:t> </w:t>
            </w:r>
          </w:p>
        </w:tc>
        <w:tc>
          <w:tcPr>
            <w:tcW w:w="567" w:type="dxa"/>
            <w:shd w:val="clear" w:color="auto" w:fill="C6EFCE"/>
            <w:noWrap/>
          </w:tcPr>
          <w:p w14:paraId="77858754" w14:textId="5F5FBE66" w:rsidR="003E1D81" w:rsidRDefault="00EB481C">
            <w:pPr>
              <w:pStyle w:val="P68B1DB1-Normal13"/>
              <w:spacing w:after="0" w:line="240" w:lineRule="auto"/>
              <w:jc w:val="right"/>
              <w:rPr>
                <w:rFonts w:cs="Times New Roman"/>
                <w:noProof/>
              </w:rPr>
            </w:pPr>
            <w:r>
              <w:rPr>
                <w:noProof/>
              </w:rPr>
              <w:t> </w:t>
            </w:r>
          </w:p>
        </w:tc>
        <w:tc>
          <w:tcPr>
            <w:tcW w:w="709" w:type="dxa"/>
            <w:shd w:val="clear" w:color="auto" w:fill="C6EFCE"/>
            <w:noWrap/>
          </w:tcPr>
          <w:p w14:paraId="58A586E4" w14:textId="771841FE" w:rsidR="003E1D81" w:rsidRDefault="00EB481C">
            <w:pPr>
              <w:pStyle w:val="P68B1DB1-Normal13"/>
              <w:spacing w:after="0" w:line="240" w:lineRule="auto"/>
              <w:jc w:val="right"/>
              <w:rPr>
                <w:rFonts w:cs="Times New Roman"/>
                <w:noProof/>
              </w:rPr>
            </w:pPr>
            <w:r>
              <w:rPr>
                <w:noProof/>
              </w:rPr>
              <w:t> </w:t>
            </w:r>
          </w:p>
        </w:tc>
        <w:tc>
          <w:tcPr>
            <w:tcW w:w="425" w:type="dxa"/>
            <w:shd w:val="clear" w:color="auto" w:fill="C6EFCE"/>
            <w:noWrap/>
          </w:tcPr>
          <w:p w14:paraId="6134CFE3" w14:textId="78A89F89"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4218295B" w14:textId="77FD4B1E" w:rsidR="003E1D81" w:rsidRDefault="00EB481C">
            <w:pPr>
              <w:pStyle w:val="P68B1DB1-Normal13"/>
              <w:spacing w:after="0" w:line="240" w:lineRule="auto"/>
              <w:jc w:val="center"/>
              <w:rPr>
                <w:rFonts w:cs="Times New Roman"/>
                <w:noProof/>
              </w:rPr>
            </w:pPr>
            <w:r>
              <w:rPr>
                <w:noProof/>
              </w:rPr>
              <w:t xml:space="preserve">2023 </w:t>
            </w:r>
          </w:p>
        </w:tc>
        <w:tc>
          <w:tcPr>
            <w:tcW w:w="6096" w:type="dxa"/>
            <w:shd w:val="clear" w:color="auto" w:fill="C6EFCE"/>
            <w:noWrap/>
          </w:tcPr>
          <w:p w14:paraId="33F7657F" w14:textId="4B37C3F2" w:rsidR="003E1D81" w:rsidRDefault="00EB481C">
            <w:pPr>
              <w:pStyle w:val="P68B1DB1-Normal13"/>
              <w:spacing w:after="0" w:line="240" w:lineRule="auto"/>
              <w:rPr>
                <w:rFonts w:cs="Times New Roman"/>
                <w:noProof/>
              </w:rPr>
            </w:pPr>
            <w:r>
              <w:rPr>
                <w:noProof/>
              </w:rPr>
              <w:t>Legalább 100 különleges célú jármű felújítása tűzoltás céljából. A beruházásra vonatkozó kiválasztási kritériumoknak biztosítaniuk kell a jelentős károkozás elkerülését célzó elvről szóló technikai iránymutatásnak (2021/C58/01) való megfelelést azáltal, ho</w:t>
            </w:r>
            <w:r>
              <w:rPr>
                <w:noProof/>
              </w:rPr>
              <w:t xml:space="preserve">gy csak az ágazatban a legalacsonyabb környezeti hatással járó, rendelkezésre álló legjobb technológiákat támogatják, figyelembe véve az általuk kiszolgált különleges célt. </w:t>
            </w:r>
          </w:p>
        </w:tc>
      </w:tr>
      <w:tr w:rsidR="003E1D81" w14:paraId="23BEFE0B" w14:textId="77777777">
        <w:trPr>
          <w:trHeight w:val="309"/>
        </w:trPr>
        <w:tc>
          <w:tcPr>
            <w:tcW w:w="851" w:type="dxa"/>
            <w:shd w:val="clear" w:color="auto" w:fill="C6EFCE"/>
            <w:noWrap/>
          </w:tcPr>
          <w:p w14:paraId="25C60E7B" w14:textId="1588200C" w:rsidR="003E1D81" w:rsidRDefault="00EB481C">
            <w:pPr>
              <w:pStyle w:val="P68B1DB1-Normal13"/>
              <w:spacing w:after="0" w:line="240" w:lineRule="auto"/>
              <w:jc w:val="center"/>
              <w:rPr>
                <w:rFonts w:cs="Times New Roman"/>
                <w:noProof/>
              </w:rPr>
            </w:pPr>
            <w:r>
              <w:rPr>
                <w:noProof/>
              </w:rPr>
              <w:t>425</w:t>
            </w:r>
          </w:p>
        </w:tc>
        <w:tc>
          <w:tcPr>
            <w:tcW w:w="851" w:type="dxa"/>
            <w:shd w:val="clear" w:color="auto" w:fill="C6EFCE"/>
            <w:noWrap/>
          </w:tcPr>
          <w:p w14:paraId="3A265DED" w14:textId="14C3DB14" w:rsidR="003E1D81" w:rsidRDefault="00EB481C">
            <w:pPr>
              <w:pStyle w:val="P68B1DB1-Normal13"/>
              <w:spacing w:after="0" w:line="240" w:lineRule="auto"/>
              <w:jc w:val="center"/>
              <w:rPr>
                <w:rFonts w:cs="Times New Roman"/>
                <w:noProof/>
              </w:rPr>
            </w:pPr>
            <w:r>
              <w:rPr>
                <w:noProof/>
              </w:rPr>
              <w:t>C4.I4</w:t>
            </w:r>
          </w:p>
        </w:tc>
        <w:tc>
          <w:tcPr>
            <w:tcW w:w="992" w:type="dxa"/>
            <w:shd w:val="clear" w:color="auto" w:fill="C6EFCE"/>
            <w:noWrap/>
          </w:tcPr>
          <w:p w14:paraId="6CEE0D62" w14:textId="2FE2B40D" w:rsidR="003E1D81" w:rsidRDefault="00EB481C">
            <w:pPr>
              <w:pStyle w:val="P68B1DB1-Normal13"/>
              <w:spacing w:after="0" w:line="240" w:lineRule="auto"/>
              <w:jc w:val="center"/>
              <w:rPr>
                <w:rFonts w:cs="Times New Roman"/>
                <w:noProof/>
              </w:rPr>
            </w:pPr>
            <w:r>
              <w:rPr>
                <w:noProof/>
              </w:rPr>
              <w:t>M</w:t>
            </w:r>
          </w:p>
        </w:tc>
        <w:tc>
          <w:tcPr>
            <w:tcW w:w="2126" w:type="dxa"/>
            <w:shd w:val="clear" w:color="auto" w:fill="C6EFCE"/>
            <w:noWrap/>
          </w:tcPr>
          <w:p w14:paraId="038462F7" w14:textId="5C85A665" w:rsidR="003E1D81" w:rsidRDefault="00EB481C">
            <w:pPr>
              <w:pStyle w:val="P68B1DB1-Normal13"/>
              <w:spacing w:after="0" w:line="240" w:lineRule="auto"/>
              <w:rPr>
                <w:rFonts w:cs="Times New Roman"/>
                <w:noProof/>
              </w:rPr>
            </w:pPr>
            <w:r>
              <w:rPr>
                <w:noProof/>
              </w:rPr>
              <w:t>A fenntartható erdőgazdálkodásra vonatkozó intézkedések (II. rész)</w:t>
            </w:r>
          </w:p>
        </w:tc>
        <w:tc>
          <w:tcPr>
            <w:tcW w:w="1276" w:type="dxa"/>
            <w:shd w:val="clear" w:color="auto" w:fill="C6EFCE"/>
            <w:noWrap/>
          </w:tcPr>
          <w:p w14:paraId="08D542AC" w14:textId="44C55E2E" w:rsidR="003E1D81" w:rsidRDefault="00EB481C">
            <w:pPr>
              <w:pStyle w:val="P68B1DB1-Normal13"/>
              <w:spacing w:after="0" w:line="240" w:lineRule="auto"/>
              <w:jc w:val="center"/>
              <w:rPr>
                <w:rFonts w:cs="Times New Roman"/>
                <w:noProof/>
              </w:rPr>
            </w:pPr>
            <w:r>
              <w:rPr>
                <w:noProof/>
              </w:rPr>
              <w:t xml:space="preserve">A </w:t>
            </w:r>
            <w:r>
              <w:rPr>
                <w:noProof/>
              </w:rPr>
              <w:t>MITERD által aláírt igazolás</w:t>
            </w:r>
          </w:p>
        </w:tc>
        <w:tc>
          <w:tcPr>
            <w:tcW w:w="850" w:type="dxa"/>
            <w:shd w:val="clear" w:color="auto" w:fill="C6EFCE"/>
            <w:noWrap/>
          </w:tcPr>
          <w:p w14:paraId="786B8903" w14:textId="77777777" w:rsidR="003E1D81" w:rsidRDefault="003E1D81">
            <w:pPr>
              <w:spacing w:after="0" w:line="240" w:lineRule="auto"/>
              <w:jc w:val="right"/>
              <w:rPr>
                <w:rFonts w:ascii="Times New Roman" w:hAnsi="Times New Roman" w:cs="Times New Roman"/>
                <w:noProof/>
                <w:sz w:val="18"/>
              </w:rPr>
            </w:pPr>
          </w:p>
        </w:tc>
        <w:tc>
          <w:tcPr>
            <w:tcW w:w="567" w:type="dxa"/>
            <w:shd w:val="clear" w:color="auto" w:fill="C6EFCE"/>
            <w:noWrap/>
          </w:tcPr>
          <w:p w14:paraId="507431B3" w14:textId="77777777" w:rsidR="003E1D81" w:rsidRDefault="003E1D81">
            <w:pPr>
              <w:spacing w:after="0" w:line="240" w:lineRule="auto"/>
              <w:jc w:val="right"/>
              <w:rPr>
                <w:rFonts w:ascii="Times New Roman" w:hAnsi="Times New Roman" w:cs="Times New Roman"/>
                <w:noProof/>
                <w:sz w:val="18"/>
              </w:rPr>
            </w:pPr>
          </w:p>
        </w:tc>
        <w:tc>
          <w:tcPr>
            <w:tcW w:w="709" w:type="dxa"/>
            <w:shd w:val="clear" w:color="auto" w:fill="C6EFCE"/>
            <w:noWrap/>
          </w:tcPr>
          <w:p w14:paraId="14A37260" w14:textId="77777777" w:rsidR="003E1D81" w:rsidRDefault="003E1D81">
            <w:pPr>
              <w:spacing w:after="0" w:line="240" w:lineRule="auto"/>
              <w:jc w:val="right"/>
              <w:rPr>
                <w:rFonts w:ascii="Times New Roman" w:hAnsi="Times New Roman" w:cs="Times New Roman"/>
                <w:noProof/>
                <w:sz w:val="18"/>
              </w:rPr>
            </w:pPr>
          </w:p>
        </w:tc>
        <w:tc>
          <w:tcPr>
            <w:tcW w:w="425" w:type="dxa"/>
            <w:shd w:val="clear" w:color="auto" w:fill="C6EFCE"/>
            <w:noWrap/>
          </w:tcPr>
          <w:p w14:paraId="5D679840" w14:textId="0C83E141"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6A48C51C" w14:textId="435E4784" w:rsidR="003E1D81" w:rsidRDefault="00EB481C">
            <w:pPr>
              <w:pStyle w:val="P68B1DB1-Normal13"/>
              <w:spacing w:after="0" w:line="240" w:lineRule="auto"/>
              <w:jc w:val="center"/>
              <w:rPr>
                <w:rFonts w:cs="Times New Roman"/>
                <w:noProof/>
              </w:rPr>
            </w:pPr>
            <w:r>
              <w:rPr>
                <w:noProof/>
              </w:rPr>
              <w:t>2026</w:t>
            </w:r>
          </w:p>
        </w:tc>
        <w:tc>
          <w:tcPr>
            <w:tcW w:w="6096" w:type="dxa"/>
            <w:shd w:val="clear" w:color="auto" w:fill="C6EFCE"/>
            <w:noWrap/>
          </w:tcPr>
          <w:p w14:paraId="04BEB8AA" w14:textId="7676240A" w:rsidR="003E1D81" w:rsidRDefault="00EB481C">
            <w:pPr>
              <w:pStyle w:val="P68B1DB1-Normal13"/>
              <w:spacing w:after="0" w:line="240" w:lineRule="auto"/>
              <w:rPr>
                <w:rFonts w:cs="Times New Roman"/>
                <w:noProof/>
              </w:rPr>
            </w:pPr>
            <w:r>
              <w:rPr>
                <w:noProof/>
              </w:rPr>
              <w:t xml:space="preserve">A fenntartható erdőgazdálkodásra vonatkozó intézkedések lezárása, beleértve a tűzoltó telepek felújítását és az erdőjavító intézkedések befejezését, beleértve az adaptív fenntartható erdőgazdálkodási gyakorlatok </w:t>
            </w:r>
            <w:r>
              <w:rPr>
                <w:noProof/>
              </w:rPr>
              <w:t>tervezését és a fajok gazdagítását, valamint legalább 70, a zöld vállalkozást és a helyi biogazdaságot támogató projekt lezárása, az intézkedés leírásával összhangban. A beruházásra vonatkozó kiválasztási kritériumoknak biztosítaniuk kell a jelentős károko</w:t>
            </w:r>
            <w:r>
              <w:rPr>
                <w:noProof/>
              </w:rPr>
              <w:t>zás elkerülését célzó elvről szóló technikai iránymutatásnak (2021/C58/01) való megfelelést azáltal, hogy csak az ágazatban a legalacsonyabb környezeti hatással járó, rendelkezésre álló legjobb technológiákat támogatják, figyelembe véve az általuk kiszolgá</w:t>
            </w:r>
            <w:r>
              <w:rPr>
                <w:noProof/>
              </w:rPr>
              <w:t>lt különleges célt.</w:t>
            </w:r>
          </w:p>
        </w:tc>
      </w:tr>
    </w:tbl>
    <w:p w14:paraId="6B62F1B3" w14:textId="77777777" w:rsidR="003E1D81" w:rsidRDefault="003E1D81">
      <w:pPr>
        <w:spacing w:before="120" w:after="120" w:line="240" w:lineRule="auto"/>
        <w:jc w:val="both"/>
        <w:rPr>
          <w:rFonts w:ascii="Times New Roman" w:hAnsi="Times New Roman" w:cs="Times New Roman"/>
          <w:noProof/>
          <w:sz w:val="24"/>
        </w:rPr>
      </w:pPr>
    </w:p>
    <w:p w14:paraId="1CCA4F00" w14:textId="2C9CB4D8" w:rsidR="003E1D81" w:rsidRDefault="003E1D81">
      <w:pPr>
        <w:keepNext/>
        <w:spacing w:before="120" w:after="120" w:line="240" w:lineRule="auto"/>
        <w:ind w:left="720"/>
        <w:jc w:val="both"/>
        <w:rPr>
          <w:rFonts w:ascii="Times New Roman" w:hAnsi="Times New Roman" w:cs="Times New Roman"/>
          <w:b/>
          <w:noProof/>
          <w:sz w:val="24"/>
          <w:u w:val="single"/>
        </w:rPr>
        <w:sectPr w:rsidR="003E1D81" w:rsidSect="00522183">
          <w:headerReference w:type="even" r:id="rId108"/>
          <w:headerReference w:type="default" r:id="rId109"/>
          <w:footerReference w:type="even" r:id="rId110"/>
          <w:footerReference w:type="default" r:id="rId111"/>
          <w:headerReference w:type="first" r:id="rId112"/>
          <w:footerReference w:type="first" r:id="rId113"/>
          <w:pgSz w:w="16839" w:h="11907" w:orient="landscape"/>
          <w:pgMar w:top="1417" w:right="1134" w:bottom="1417" w:left="1134" w:header="709" w:footer="709" w:gutter="0"/>
          <w:cols w:space="720"/>
          <w:docGrid w:linePitch="360"/>
        </w:sectPr>
      </w:pPr>
    </w:p>
    <w:p w14:paraId="5254717D" w14:textId="6A1075EB" w:rsidR="003E1D81" w:rsidRDefault="00EB481C">
      <w:pPr>
        <w:pStyle w:val="P68B1DB1-Normal5"/>
        <w:keepNext/>
        <w:spacing w:before="120" w:after="120" w:line="240" w:lineRule="auto"/>
        <w:ind w:left="720"/>
        <w:jc w:val="both"/>
        <w:rPr>
          <w:rFonts w:cs="Times New Roman"/>
          <w:noProof/>
        </w:rPr>
      </w:pPr>
      <w:r>
        <w:rPr>
          <w:noProof/>
        </w:rPr>
        <w:t xml:space="preserve">D.3. </w:t>
      </w:r>
      <w:r>
        <w:rPr>
          <w:noProof/>
        </w:rPr>
        <w:tab/>
        <w:t>A hiteltámogatásra irányuló beruházások ismertetése</w:t>
      </w:r>
    </w:p>
    <w:p w14:paraId="3E0AEBC0" w14:textId="37122D8A" w:rsidR="003E1D81" w:rsidRDefault="00EB481C">
      <w:pPr>
        <w:pStyle w:val="P68B1DB1-Normal6"/>
        <w:spacing w:before="120" w:after="120" w:line="240" w:lineRule="auto"/>
        <w:jc w:val="both"/>
        <w:rPr>
          <w:rFonts w:cs="Times New Roman"/>
          <w:noProof/>
        </w:rPr>
      </w:pPr>
      <w:r>
        <w:rPr>
          <w:noProof/>
        </w:rPr>
        <w:t>Reform (C4.R4) – Az elsivatagosodás elleni küzdelemre irányuló nemzeti stratégia</w:t>
      </w:r>
    </w:p>
    <w:p w14:paraId="5728AEA5" w14:textId="77777777" w:rsidR="003E1D81" w:rsidRDefault="00EB481C">
      <w:pPr>
        <w:pStyle w:val="P68B1DB1-Normal4"/>
        <w:spacing w:before="120" w:after="120" w:line="240" w:lineRule="auto"/>
        <w:jc w:val="both"/>
        <w:rPr>
          <w:rFonts w:cs="Times New Roman"/>
          <w:noProof/>
        </w:rPr>
      </w:pPr>
      <w:r>
        <w:rPr>
          <w:noProof/>
        </w:rPr>
        <w:t xml:space="preserve">Ez a reform aktualizálja az </w:t>
      </w:r>
      <w:r>
        <w:rPr>
          <w:noProof/>
        </w:rPr>
        <w:t>elsivatagosodás elleni küzdelemre irányuló nemzeti stratégiát, amely az elsivatagosodás elleni küzdelemre irányuló, 2008-ban közzétett nemzeti cselekvési terv helyébe lép, és új stratégiai keretet hoz létre az elsivatagosodás elleni küzdelemhez Spanyolorsz</w:t>
      </w:r>
      <w:r>
        <w:rPr>
          <w:noProof/>
        </w:rPr>
        <w:t>ág területén. E reform célja, hogy hozzájáruljon a természeti tőke védelméhez, megőrzéséhez és fejlesztéséhez, a száraz, félszáraz és száraz szubnedves területekre összpontosítva, és minimalizálja a talajromlást.</w:t>
      </w:r>
    </w:p>
    <w:p w14:paraId="4EC0D026" w14:textId="77777777" w:rsidR="003E1D81" w:rsidRDefault="00EB481C">
      <w:pPr>
        <w:pStyle w:val="P68B1DB1-Normal4"/>
        <w:spacing w:before="120" w:after="120" w:line="240" w:lineRule="auto"/>
        <w:jc w:val="both"/>
        <w:rPr>
          <w:rFonts w:cs="Times New Roman"/>
          <w:noProof/>
        </w:rPr>
      </w:pPr>
      <w:r>
        <w:rPr>
          <w:noProof/>
        </w:rPr>
        <w:t xml:space="preserve">A stratégia három pillérből áll: </w:t>
      </w:r>
    </w:p>
    <w:p w14:paraId="55FE2456" w14:textId="77777777" w:rsidR="003E1D81" w:rsidRDefault="00EB481C">
      <w:pPr>
        <w:pStyle w:val="P68B1DB1-ListParagraph7"/>
        <w:numPr>
          <w:ilvl w:val="0"/>
          <w:numId w:val="41"/>
        </w:numPr>
        <w:spacing w:before="120" w:after="120" w:line="240" w:lineRule="auto"/>
        <w:jc w:val="both"/>
        <w:rPr>
          <w:rFonts w:cs="Times New Roman"/>
          <w:noProof/>
        </w:rPr>
      </w:pPr>
      <w:r>
        <w:rPr>
          <w:noProof/>
        </w:rPr>
        <w:t>Az elsiva</w:t>
      </w:r>
      <w:r>
        <w:rPr>
          <w:noProof/>
        </w:rPr>
        <w:t xml:space="preserve">tagosodás megelőzésére és csökkentésére, valamint a leromlott állapotú területek helyreállítására irányuló intézkedések. </w:t>
      </w:r>
    </w:p>
    <w:p w14:paraId="11C4CB9D" w14:textId="77777777" w:rsidR="003E1D81" w:rsidRDefault="00EB481C">
      <w:pPr>
        <w:pStyle w:val="P68B1DB1-ListParagraph7"/>
        <w:numPr>
          <w:ilvl w:val="0"/>
          <w:numId w:val="41"/>
        </w:numPr>
        <w:spacing w:before="120" w:after="120" w:line="240" w:lineRule="auto"/>
        <w:jc w:val="both"/>
        <w:rPr>
          <w:rFonts w:cs="Times New Roman"/>
          <w:noProof/>
        </w:rPr>
      </w:pPr>
      <w:r>
        <w:rPr>
          <w:noProof/>
        </w:rPr>
        <w:t xml:space="preserve">Kapacitásépítés és irányítás. </w:t>
      </w:r>
    </w:p>
    <w:p w14:paraId="45C40DBE" w14:textId="77777777" w:rsidR="003E1D81" w:rsidRDefault="00EB481C">
      <w:pPr>
        <w:pStyle w:val="P68B1DB1-ListParagraph7"/>
        <w:numPr>
          <w:ilvl w:val="0"/>
          <w:numId w:val="41"/>
        </w:numPr>
        <w:spacing w:before="120" w:after="120" w:line="240" w:lineRule="auto"/>
        <w:jc w:val="both"/>
        <w:rPr>
          <w:rFonts w:cs="Times New Roman"/>
          <w:noProof/>
        </w:rPr>
      </w:pPr>
      <w:r>
        <w:rPr>
          <w:noProof/>
        </w:rPr>
        <w:t>Tudás és társadalom: az ismeretek, az átláthatóság és a polgári részvétel javítását célzó intézkedések.</w:t>
      </w:r>
      <w:r>
        <w:rPr>
          <w:noProof/>
        </w:rPr>
        <w:t xml:space="preserve"> </w:t>
      </w:r>
    </w:p>
    <w:p w14:paraId="0D500559" w14:textId="134B0C9F" w:rsidR="003E1D81" w:rsidRDefault="00EB481C">
      <w:pPr>
        <w:pStyle w:val="P68B1DB1-Normal4"/>
        <w:spacing w:before="120" w:after="120" w:line="240" w:lineRule="auto"/>
        <w:jc w:val="both"/>
        <w:rPr>
          <w:rFonts w:cs="Times New Roman"/>
          <w:noProof/>
        </w:rPr>
      </w:pPr>
      <w:r>
        <w:rPr>
          <w:noProof/>
        </w:rPr>
        <w:t xml:space="preserve">Ez a reform a 2022–2026-os időszakra vonatkozó cselekvési tervet tartalmaz. Ez a cselekvési terv hozzájárul a stratégia kidolgozásához, meghatározza a prioritásokat, és meghatározza azok tartalmát és ütemtervét. </w:t>
      </w:r>
    </w:p>
    <w:p w14:paraId="51E9DA35" w14:textId="77777777" w:rsidR="003E1D81" w:rsidRDefault="00EB481C">
      <w:pPr>
        <w:pStyle w:val="P68B1DB1-Normal4"/>
        <w:spacing w:before="120" w:after="120" w:line="240" w:lineRule="auto"/>
        <w:jc w:val="both"/>
        <w:rPr>
          <w:rFonts w:cs="Times New Roman"/>
          <w:noProof/>
        </w:rPr>
      </w:pPr>
      <w:r>
        <w:rPr>
          <w:noProof/>
        </w:rPr>
        <w:t>A stratégia előmozdítja továbbá az elsiva</w:t>
      </w:r>
      <w:r>
        <w:rPr>
          <w:noProof/>
        </w:rPr>
        <w:t xml:space="preserve">tagosodással foglalkozó érintett szereplők közötti koordinációt és együttműködést, és létrehozza a következő testületi testületeket: </w:t>
      </w:r>
    </w:p>
    <w:p w14:paraId="136509E9" w14:textId="77777777" w:rsidR="003E1D81" w:rsidRDefault="00EB481C">
      <w:pPr>
        <w:pStyle w:val="P68B1DB1-ListParagraph7"/>
        <w:numPr>
          <w:ilvl w:val="0"/>
          <w:numId w:val="39"/>
        </w:numPr>
        <w:spacing w:before="120" w:after="120" w:line="240" w:lineRule="auto"/>
        <w:jc w:val="both"/>
        <w:rPr>
          <w:rFonts w:cs="Times New Roman"/>
          <w:noProof/>
        </w:rPr>
      </w:pPr>
      <w:r>
        <w:rPr>
          <w:noProof/>
        </w:rPr>
        <w:t>Az elsivatagosodás elleni küzdelem nemzeti bizottsága, amely a természeti örökséggel és a biológiai sokféleséggel foglalko</w:t>
      </w:r>
      <w:r>
        <w:rPr>
          <w:noProof/>
        </w:rPr>
        <w:t xml:space="preserve">zó nemzeti bizottsághoz tartozik. E bizottság célja, hogy tanácsadó szervként működjön, és előmozdítsa a nemzeti közigazgatás és az autonóm közösségek közigazgatási szervei közötti együttműködést; </w:t>
      </w:r>
    </w:p>
    <w:p w14:paraId="2639DD47" w14:textId="77777777" w:rsidR="003E1D81" w:rsidRDefault="00EB481C">
      <w:pPr>
        <w:pStyle w:val="P68B1DB1-ListParagraph7"/>
        <w:numPr>
          <w:ilvl w:val="0"/>
          <w:numId w:val="39"/>
        </w:numPr>
        <w:spacing w:before="120" w:after="120" w:line="240" w:lineRule="auto"/>
        <w:jc w:val="both"/>
        <w:rPr>
          <w:rFonts w:cs="Times New Roman"/>
          <w:noProof/>
        </w:rPr>
      </w:pPr>
      <w:r>
        <w:rPr>
          <w:noProof/>
        </w:rPr>
        <w:t>Az elsivatagosodás elleni küzdelem nemzeti tanácsa. Ez a s</w:t>
      </w:r>
      <w:r>
        <w:rPr>
          <w:noProof/>
        </w:rPr>
        <w:t>zerv tanácsadó szervként működik, amely támogatást nyújt a nemzeti közigazgatásnak, és hozzájárul a tudományos és civil társadalom koordinálásához; és</w:t>
      </w:r>
    </w:p>
    <w:p w14:paraId="14EAB806" w14:textId="77777777" w:rsidR="003E1D81" w:rsidRDefault="00EB481C">
      <w:pPr>
        <w:pStyle w:val="P68B1DB1-ListParagraph7"/>
        <w:numPr>
          <w:ilvl w:val="0"/>
          <w:numId w:val="39"/>
        </w:numPr>
        <w:spacing w:before="120" w:after="120" w:line="240" w:lineRule="auto"/>
        <w:jc w:val="both"/>
        <w:rPr>
          <w:rFonts w:cs="Times New Roman"/>
          <w:noProof/>
        </w:rPr>
      </w:pPr>
      <w:r>
        <w:rPr>
          <w:noProof/>
        </w:rPr>
        <w:t>Az Ökológiai Átmeneti és Demográfiai Kihívások Minisztériumának a biológiai sokféleséggel, az erdőkkel és</w:t>
      </w:r>
      <w:r>
        <w:rPr>
          <w:noProof/>
        </w:rPr>
        <w:t xml:space="preserve"> az elsivatagosodással foglalkozó főigazgatóságán belül az elsivatagosodás elleni küzdelem technikai egysége. Ez az egység felel a spanyol területen az elsivatagosodással kapcsolatos intézkedések és fellépések kidolgozásáért, végrehajtásáért és koordinálás</w:t>
      </w:r>
      <w:r>
        <w:rPr>
          <w:noProof/>
        </w:rPr>
        <w:t xml:space="preserve">áért. </w:t>
      </w:r>
    </w:p>
    <w:p w14:paraId="1727D508" w14:textId="5E4C4118" w:rsidR="003E1D81" w:rsidRDefault="00EB481C">
      <w:pPr>
        <w:pStyle w:val="P68B1DB1-Normal4"/>
        <w:spacing w:before="120" w:after="120" w:line="240" w:lineRule="auto"/>
        <w:jc w:val="both"/>
        <w:rPr>
          <w:rFonts w:cs="Times New Roman"/>
          <w:noProof/>
        </w:rPr>
      </w:pPr>
      <w:r>
        <w:rPr>
          <w:noProof/>
        </w:rPr>
        <w:t>Az intézkedés végrehajtását 2024. december 31-ig be kell fejezni.</w:t>
      </w:r>
    </w:p>
    <w:p w14:paraId="01C9430F" w14:textId="77777777" w:rsidR="003E1D81" w:rsidRDefault="003E1D81">
      <w:pPr>
        <w:spacing w:before="120" w:after="120" w:line="240" w:lineRule="auto"/>
        <w:jc w:val="both"/>
        <w:rPr>
          <w:rFonts w:ascii="Times New Roman" w:hAnsi="Times New Roman" w:cs="Times New Roman"/>
          <w:noProof/>
          <w:sz w:val="24"/>
        </w:rPr>
      </w:pPr>
    </w:p>
    <w:p w14:paraId="2CBFC02A" w14:textId="23C034D3" w:rsidR="003E1D81" w:rsidRDefault="00EB481C">
      <w:pPr>
        <w:pStyle w:val="P68B1DB1-Normal5"/>
        <w:spacing w:before="120" w:after="120" w:line="240" w:lineRule="auto"/>
        <w:ind w:left="709"/>
        <w:jc w:val="both"/>
        <w:rPr>
          <w:rFonts w:cs="Times New Roman"/>
          <w:noProof/>
        </w:rPr>
      </w:pPr>
      <w:r>
        <w:rPr>
          <w:noProof/>
        </w:rPr>
        <w:t xml:space="preserve">D.4. </w:t>
      </w:r>
      <w:r>
        <w:rPr>
          <w:noProof/>
        </w:rPr>
        <w:tab/>
        <w:t xml:space="preserve">A hiteltámogatás nyomon követésének és végrehajtásának mérföldkövei, céljai, mutatói és ütemterve </w:t>
      </w:r>
    </w:p>
    <w:p w14:paraId="533BCFD1" w14:textId="77B04D19"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 xml:space="preserve">Az alapforgatókönyv valamennyi mutató esetében 2020. február </w:t>
      </w:r>
      <w:r>
        <w:rPr>
          <w:i/>
          <w:noProof/>
        </w:rPr>
        <w:t>1-je, kivéve, ha az intézkedés leírása másként jelzi. A táblázatban szereplő összegek nem tartalmazzák a héát.</w:t>
      </w:r>
    </w:p>
    <w:p w14:paraId="510ED064" w14:textId="2F536112" w:rsidR="003E1D81" w:rsidRDefault="003E1D81">
      <w:pPr>
        <w:spacing w:before="120" w:after="120" w:line="240" w:lineRule="auto"/>
        <w:jc w:val="both"/>
        <w:rPr>
          <w:rFonts w:ascii="Times New Roman" w:hAnsi="Times New Roman" w:cs="Times New Roman"/>
          <w:b/>
          <w:noProof/>
          <w:sz w:val="24"/>
          <w:u w:val="single"/>
        </w:rPr>
      </w:pPr>
    </w:p>
    <w:p w14:paraId="42BFB184" w14:textId="16096736" w:rsidR="003E1D81" w:rsidRDefault="003E1D81">
      <w:pPr>
        <w:spacing w:before="120" w:after="120" w:line="240" w:lineRule="auto"/>
        <w:jc w:val="both"/>
        <w:rPr>
          <w:rFonts w:ascii="Times New Roman" w:hAnsi="Times New Roman" w:cs="Times New Roman"/>
          <w:noProof/>
          <w:sz w:val="24"/>
        </w:rPr>
        <w:sectPr w:rsidR="003E1D81" w:rsidSect="00522183">
          <w:headerReference w:type="even" r:id="rId114"/>
          <w:headerReference w:type="default" r:id="rId115"/>
          <w:footerReference w:type="even" r:id="rId116"/>
          <w:footerReference w:type="default" r:id="rId117"/>
          <w:headerReference w:type="first" r:id="rId118"/>
          <w:footerReference w:type="first" r:id="rId119"/>
          <w:pgSz w:w="11907" w:h="16839"/>
          <w:pgMar w:top="1134" w:right="1417" w:bottom="1134" w:left="1417" w:header="709" w:footer="709" w:gutter="0"/>
          <w:cols w:space="720"/>
          <w:docGrid w:linePitch="360"/>
        </w:sectPr>
      </w:pPr>
    </w:p>
    <w:p w14:paraId="2F4418AF" w14:textId="77777777" w:rsidR="003E1D81" w:rsidRDefault="003E1D81">
      <w:pPr>
        <w:spacing w:before="120" w:after="120" w:line="240" w:lineRule="auto"/>
        <w:jc w:val="both"/>
        <w:rPr>
          <w:rFonts w:ascii="Times New Roman" w:hAnsi="Times New Roman" w:cs="Times New Roman"/>
          <w:noProof/>
          <w:sz w:val="24"/>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835"/>
        <w:gridCol w:w="993"/>
        <w:gridCol w:w="850"/>
        <w:gridCol w:w="425"/>
        <w:gridCol w:w="709"/>
        <w:gridCol w:w="425"/>
        <w:gridCol w:w="567"/>
        <w:gridCol w:w="6096"/>
      </w:tblGrid>
      <w:tr w:rsidR="003E1D81" w14:paraId="0982F655" w14:textId="77777777">
        <w:trPr>
          <w:trHeight w:val="309"/>
          <w:tblHeader/>
        </w:trPr>
        <w:tc>
          <w:tcPr>
            <w:tcW w:w="709" w:type="dxa"/>
            <w:tcBorders>
              <w:bottom w:val="nil"/>
            </w:tcBorders>
            <w:shd w:val="clear" w:color="auto" w:fill="C6D9F1" w:themeFill="text2" w:themeFillTint="33"/>
            <w:noWrap/>
            <w:vAlign w:val="center"/>
          </w:tcPr>
          <w:p w14:paraId="434CDFC2"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7730F4B5"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2C28BECA"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835" w:type="dxa"/>
            <w:tcBorders>
              <w:bottom w:val="nil"/>
            </w:tcBorders>
            <w:shd w:val="clear" w:color="auto" w:fill="C6D9F1" w:themeFill="text2" w:themeFillTint="33"/>
            <w:noWrap/>
            <w:vAlign w:val="center"/>
          </w:tcPr>
          <w:p w14:paraId="322C08C0" w14:textId="77777777" w:rsidR="003E1D81" w:rsidRDefault="00EB481C">
            <w:pPr>
              <w:pStyle w:val="P68B1DB1-Normal12"/>
              <w:spacing w:after="0" w:line="240" w:lineRule="auto"/>
              <w:jc w:val="center"/>
              <w:rPr>
                <w:rFonts w:cs="Times New Roman"/>
                <w:noProof/>
              </w:rPr>
            </w:pPr>
            <w:r>
              <w:rPr>
                <w:noProof/>
              </w:rPr>
              <w:t>Név</w:t>
            </w:r>
          </w:p>
        </w:tc>
        <w:tc>
          <w:tcPr>
            <w:tcW w:w="993" w:type="dxa"/>
            <w:tcBorders>
              <w:bottom w:val="nil"/>
            </w:tcBorders>
            <w:shd w:val="clear" w:color="auto" w:fill="C6D9F1" w:themeFill="text2" w:themeFillTint="33"/>
            <w:noWrap/>
            <w:vAlign w:val="center"/>
          </w:tcPr>
          <w:p w14:paraId="5E587E85"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1984" w:type="dxa"/>
            <w:gridSpan w:val="3"/>
            <w:shd w:val="clear" w:color="auto" w:fill="C6D9F1" w:themeFill="text2" w:themeFillTint="33"/>
            <w:noWrap/>
            <w:vAlign w:val="center"/>
          </w:tcPr>
          <w:p w14:paraId="03FAAD2E" w14:textId="77777777" w:rsidR="003E1D81" w:rsidRDefault="00EB481C">
            <w:pPr>
              <w:pStyle w:val="P68B1DB1-Normal12"/>
              <w:spacing w:after="0" w:line="240" w:lineRule="auto"/>
              <w:jc w:val="center"/>
              <w:rPr>
                <w:rFonts w:cs="Times New Roman"/>
                <w:noProof/>
              </w:rPr>
            </w:pPr>
            <w:r>
              <w:rPr>
                <w:noProof/>
              </w:rPr>
              <w:t>A célérték menn</w:t>
            </w:r>
            <w:r>
              <w:rPr>
                <w:noProof/>
              </w:rPr>
              <w:t>yiségi mutatója</w:t>
            </w:r>
          </w:p>
        </w:tc>
        <w:tc>
          <w:tcPr>
            <w:tcW w:w="992" w:type="dxa"/>
            <w:gridSpan w:val="2"/>
            <w:shd w:val="clear" w:color="auto" w:fill="C6D9F1" w:themeFill="text2" w:themeFillTint="33"/>
            <w:noWrap/>
            <w:vAlign w:val="center"/>
          </w:tcPr>
          <w:p w14:paraId="42D270AA" w14:textId="77777777" w:rsidR="003E1D81" w:rsidRDefault="00EB481C">
            <w:pPr>
              <w:pStyle w:val="P68B1DB1-Normal12"/>
              <w:spacing w:after="0" w:line="240" w:lineRule="auto"/>
              <w:jc w:val="center"/>
              <w:rPr>
                <w:rFonts w:cs="Times New Roman"/>
                <w:noProof/>
              </w:rPr>
            </w:pPr>
            <w:r>
              <w:rPr>
                <w:noProof/>
              </w:rPr>
              <w:t>Idő</w:t>
            </w:r>
          </w:p>
        </w:tc>
        <w:tc>
          <w:tcPr>
            <w:tcW w:w="6096" w:type="dxa"/>
            <w:tcBorders>
              <w:bottom w:val="nil"/>
            </w:tcBorders>
            <w:shd w:val="clear" w:color="auto" w:fill="C6D9F1" w:themeFill="text2" w:themeFillTint="33"/>
            <w:noWrap/>
            <w:vAlign w:val="center"/>
          </w:tcPr>
          <w:p w14:paraId="1E38F104"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22567CB0" w14:textId="77777777">
        <w:trPr>
          <w:trHeight w:val="309"/>
          <w:tblHeader/>
        </w:trPr>
        <w:tc>
          <w:tcPr>
            <w:tcW w:w="709" w:type="dxa"/>
            <w:tcBorders>
              <w:top w:val="nil"/>
            </w:tcBorders>
            <w:shd w:val="clear" w:color="auto" w:fill="C6D9F1" w:themeFill="text2" w:themeFillTint="33"/>
            <w:noWrap/>
          </w:tcPr>
          <w:p w14:paraId="0030C01F"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6947234D"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69222A19" w14:textId="77777777" w:rsidR="003E1D81" w:rsidRDefault="003E1D81">
            <w:pPr>
              <w:spacing w:after="0" w:line="240" w:lineRule="auto"/>
              <w:jc w:val="center"/>
              <w:rPr>
                <w:rFonts w:ascii="Times New Roman" w:hAnsi="Times New Roman" w:cs="Times New Roman"/>
                <w:b/>
                <w:noProof/>
                <w:sz w:val="18"/>
              </w:rPr>
            </w:pPr>
          </w:p>
        </w:tc>
        <w:tc>
          <w:tcPr>
            <w:tcW w:w="2835" w:type="dxa"/>
            <w:tcBorders>
              <w:top w:val="nil"/>
            </w:tcBorders>
            <w:shd w:val="clear" w:color="auto" w:fill="C6D9F1" w:themeFill="text2" w:themeFillTint="33"/>
            <w:noWrap/>
          </w:tcPr>
          <w:p w14:paraId="5EB5E33D" w14:textId="77777777" w:rsidR="003E1D81" w:rsidRDefault="003E1D81">
            <w:pPr>
              <w:spacing w:after="0" w:line="240" w:lineRule="auto"/>
              <w:rPr>
                <w:rFonts w:ascii="Times New Roman" w:hAnsi="Times New Roman" w:cs="Times New Roman"/>
                <w:b/>
                <w:noProof/>
                <w:sz w:val="18"/>
              </w:rPr>
            </w:pPr>
          </w:p>
        </w:tc>
        <w:tc>
          <w:tcPr>
            <w:tcW w:w="993" w:type="dxa"/>
            <w:tcBorders>
              <w:top w:val="nil"/>
            </w:tcBorders>
            <w:shd w:val="clear" w:color="auto" w:fill="C6D9F1" w:themeFill="text2" w:themeFillTint="33"/>
            <w:noWrap/>
          </w:tcPr>
          <w:p w14:paraId="02DB730E" w14:textId="77777777" w:rsidR="003E1D81" w:rsidRDefault="003E1D81">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37D99609" w14:textId="77777777" w:rsidR="003E1D81" w:rsidRDefault="00EB481C">
            <w:pPr>
              <w:pStyle w:val="P68B1DB1-Normal12"/>
              <w:spacing w:after="0" w:line="240" w:lineRule="auto"/>
              <w:jc w:val="center"/>
              <w:rPr>
                <w:rFonts w:cs="Times New Roman"/>
                <w:noProof/>
              </w:rPr>
            </w:pPr>
            <w:r>
              <w:rPr>
                <w:noProof/>
              </w:rPr>
              <w:t>Egység</w:t>
            </w:r>
          </w:p>
        </w:tc>
        <w:tc>
          <w:tcPr>
            <w:tcW w:w="425" w:type="dxa"/>
            <w:shd w:val="clear" w:color="auto" w:fill="C6D9F1" w:themeFill="text2" w:themeFillTint="33"/>
            <w:noWrap/>
            <w:vAlign w:val="center"/>
          </w:tcPr>
          <w:p w14:paraId="315DA8B8" w14:textId="77777777" w:rsidR="003E1D81" w:rsidRDefault="00EB481C">
            <w:pPr>
              <w:pStyle w:val="P68B1DB1-Normal12"/>
              <w:spacing w:after="0" w:line="240" w:lineRule="auto"/>
              <w:jc w:val="center"/>
              <w:rPr>
                <w:rFonts w:cs="Times New Roman"/>
                <w:noProof/>
              </w:rPr>
            </w:pPr>
            <w:r>
              <w:rPr>
                <w:noProof/>
              </w:rPr>
              <w:t>Alapérték</w:t>
            </w:r>
          </w:p>
        </w:tc>
        <w:tc>
          <w:tcPr>
            <w:tcW w:w="709" w:type="dxa"/>
            <w:shd w:val="clear" w:color="auto" w:fill="C6D9F1" w:themeFill="text2" w:themeFillTint="33"/>
            <w:noWrap/>
            <w:vAlign w:val="center"/>
          </w:tcPr>
          <w:p w14:paraId="711E7654" w14:textId="77777777" w:rsidR="003E1D81" w:rsidRDefault="00EB481C">
            <w:pPr>
              <w:pStyle w:val="P68B1DB1-Normal12"/>
              <w:spacing w:after="0" w:line="240" w:lineRule="auto"/>
              <w:jc w:val="center"/>
              <w:rPr>
                <w:rFonts w:cs="Times New Roman"/>
                <w:noProof/>
              </w:rPr>
            </w:pPr>
            <w:r>
              <w:rPr>
                <w:noProof/>
              </w:rPr>
              <w:t>Cél</w:t>
            </w:r>
          </w:p>
        </w:tc>
        <w:tc>
          <w:tcPr>
            <w:tcW w:w="425" w:type="dxa"/>
            <w:shd w:val="clear" w:color="auto" w:fill="C6D9F1" w:themeFill="text2" w:themeFillTint="33"/>
            <w:noWrap/>
            <w:vAlign w:val="center"/>
          </w:tcPr>
          <w:p w14:paraId="38AE6C67"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168176E0" w14:textId="77777777" w:rsidR="003E1D81" w:rsidRDefault="00EB481C">
            <w:pPr>
              <w:pStyle w:val="P68B1DB1-Normal12"/>
              <w:spacing w:after="0" w:line="240" w:lineRule="auto"/>
              <w:jc w:val="center"/>
              <w:rPr>
                <w:rFonts w:cs="Times New Roman"/>
                <w:noProof/>
              </w:rPr>
            </w:pPr>
            <w:r>
              <w:rPr>
                <w:noProof/>
              </w:rPr>
              <w:t>Éve</w:t>
            </w:r>
          </w:p>
        </w:tc>
        <w:tc>
          <w:tcPr>
            <w:tcW w:w="6096" w:type="dxa"/>
            <w:tcBorders>
              <w:top w:val="nil"/>
            </w:tcBorders>
            <w:shd w:val="clear" w:color="auto" w:fill="C6D9F1" w:themeFill="text2" w:themeFillTint="33"/>
            <w:noWrap/>
          </w:tcPr>
          <w:p w14:paraId="7FBA1F7A" w14:textId="77777777" w:rsidR="003E1D81" w:rsidRDefault="003E1D81">
            <w:pPr>
              <w:spacing w:after="0" w:line="240" w:lineRule="auto"/>
              <w:rPr>
                <w:rFonts w:ascii="Times New Roman" w:hAnsi="Times New Roman" w:cs="Times New Roman"/>
                <w:b/>
                <w:noProof/>
                <w:sz w:val="18"/>
              </w:rPr>
            </w:pPr>
          </w:p>
        </w:tc>
      </w:tr>
      <w:tr w:rsidR="003E1D81" w14:paraId="0CF12790" w14:textId="77777777">
        <w:trPr>
          <w:trHeight w:val="309"/>
        </w:trPr>
        <w:tc>
          <w:tcPr>
            <w:tcW w:w="709" w:type="dxa"/>
            <w:shd w:val="clear" w:color="auto" w:fill="C6EFCE"/>
            <w:noWrap/>
          </w:tcPr>
          <w:p w14:paraId="57980422" w14:textId="4C50EFCC" w:rsidR="003E1D81" w:rsidRDefault="00EB481C">
            <w:pPr>
              <w:pStyle w:val="P68B1DB1-Normal13"/>
              <w:spacing w:after="0" w:line="240" w:lineRule="auto"/>
              <w:jc w:val="center"/>
              <w:rPr>
                <w:rFonts w:eastAsia="MS Mincho" w:cs="Times New Roman"/>
                <w:noProof/>
              </w:rPr>
            </w:pPr>
            <w:r>
              <w:rPr>
                <w:noProof/>
              </w:rPr>
              <w:t>L12</w:t>
            </w:r>
          </w:p>
          <w:p w14:paraId="6AFA3F08" w14:textId="73A98BC6" w:rsidR="003E1D81" w:rsidRDefault="003E1D81">
            <w:pPr>
              <w:spacing w:after="0" w:line="240" w:lineRule="auto"/>
              <w:jc w:val="center"/>
              <w:rPr>
                <w:rFonts w:ascii="Times New Roman" w:eastAsia="MS Mincho" w:hAnsi="Times New Roman" w:cs="Times New Roman"/>
                <w:noProof/>
                <w:sz w:val="18"/>
              </w:rPr>
            </w:pPr>
          </w:p>
        </w:tc>
        <w:tc>
          <w:tcPr>
            <w:tcW w:w="851" w:type="dxa"/>
            <w:shd w:val="clear" w:color="auto" w:fill="C6EFCE"/>
            <w:noWrap/>
          </w:tcPr>
          <w:p w14:paraId="1D51009B" w14:textId="7DFE2321" w:rsidR="003E1D81" w:rsidRDefault="00EB481C">
            <w:pPr>
              <w:pStyle w:val="P68B1DB1-Normal13"/>
              <w:spacing w:after="0" w:line="240" w:lineRule="auto"/>
              <w:jc w:val="center"/>
              <w:rPr>
                <w:rFonts w:eastAsia="MS Mincho" w:cs="Times New Roman"/>
                <w:noProof/>
              </w:rPr>
            </w:pPr>
            <w:r>
              <w:rPr>
                <w:noProof/>
              </w:rPr>
              <w:t>C4.R4</w:t>
            </w:r>
          </w:p>
        </w:tc>
        <w:tc>
          <w:tcPr>
            <w:tcW w:w="850" w:type="dxa"/>
            <w:shd w:val="clear" w:color="auto" w:fill="C6EFCE"/>
            <w:noWrap/>
          </w:tcPr>
          <w:p w14:paraId="479106F6" w14:textId="7D6B9A07" w:rsidR="003E1D81" w:rsidRDefault="00EB481C">
            <w:pPr>
              <w:pStyle w:val="P68B1DB1-Normal13"/>
              <w:spacing w:after="0" w:line="240" w:lineRule="auto"/>
              <w:jc w:val="center"/>
              <w:rPr>
                <w:rFonts w:eastAsia="MS Mincho" w:cs="Times New Roman"/>
                <w:noProof/>
              </w:rPr>
            </w:pPr>
            <w:r>
              <w:rPr>
                <w:noProof/>
              </w:rPr>
              <w:t>M</w:t>
            </w:r>
          </w:p>
        </w:tc>
        <w:tc>
          <w:tcPr>
            <w:tcW w:w="2835" w:type="dxa"/>
            <w:shd w:val="clear" w:color="auto" w:fill="C6EFCE"/>
            <w:noWrap/>
          </w:tcPr>
          <w:p w14:paraId="21C4DE3D" w14:textId="4341CCBB" w:rsidR="003E1D81" w:rsidRDefault="00EB481C">
            <w:pPr>
              <w:pStyle w:val="P68B1DB1-Normal13"/>
              <w:spacing w:after="0" w:line="240" w:lineRule="auto"/>
              <w:rPr>
                <w:rFonts w:eastAsia="MS Mincho" w:cs="Times New Roman"/>
                <w:noProof/>
              </w:rPr>
            </w:pPr>
            <w:r>
              <w:rPr>
                <w:noProof/>
              </w:rPr>
              <w:t xml:space="preserve">Az elsivatagosodás elleni küzdelemre irányuló nemzeti stratégia és az ahhoz kapcsolódó cselekvési terv (2022–2026) elfogadása, valamint a testületi szervek létrehozása.  </w:t>
            </w:r>
          </w:p>
        </w:tc>
        <w:tc>
          <w:tcPr>
            <w:tcW w:w="993" w:type="dxa"/>
            <w:shd w:val="clear" w:color="auto" w:fill="C6EFCE"/>
            <w:noWrap/>
          </w:tcPr>
          <w:p w14:paraId="188E9FF5" w14:textId="79B328D4" w:rsidR="003E1D81" w:rsidRDefault="00EB481C">
            <w:pPr>
              <w:pStyle w:val="P68B1DB1-Normal13"/>
              <w:spacing w:after="0" w:line="240" w:lineRule="auto"/>
              <w:jc w:val="center"/>
              <w:rPr>
                <w:rFonts w:eastAsia="MS Mincho" w:cs="Times New Roman"/>
                <w:noProof/>
              </w:rPr>
            </w:pPr>
            <w:r>
              <w:rPr>
                <w:noProof/>
              </w:rPr>
              <w:t>Közzététel a Hivatalos Lapban</w:t>
            </w:r>
          </w:p>
        </w:tc>
        <w:tc>
          <w:tcPr>
            <w:tcW w:w="850" w:type="dxa"/>
            <w:shd w:val="clear" w:color="auto" w:fill="C6EFCE"/>
            <w:noWrap/>
          </w:tcPr>
          <w:p w14:paraId="329B2CA8" w14:textId="1B21E023" w:rsidR="003E1D81" w:rsidRDefault="00EB481C">
            <w:pPr>
              <w:pStyle w:val="P68B1DB1-Normal13"/>
              <w:spacing w:after="0" w:line="240" w:lineRule="auto"/>
              <w:rPr>
                <w:rFonts w:eastAsia="MS Mincho" w:cs="Times New Roman"/>
                <w:noProof/>
              </w:rPr>
            </w:pPr>
            <w:r>
              <w:rPr>
                <w:noProof/>
              </w:rPr>
              <w:t xml:space="preserve">  </w:t>
            </w:r>
          </w:p>
        </w:tc>
        <w:tc>
          <w:tcPr>
            <w:tcW w:w="425" w:type="dxa"/>
            <w:shd w:val="clear" w:color="auto" w:fill="C6EFCE"/>
            <w:noWrap/>
          </w:tcPr>
          <w:p w14:paraId="060CFAC8" w14:textId="418932F9"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3AFD84A7" w14:textId="3D5AB106"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2AD6C4C6" w14:textId="72BBB14D"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0C47AC0F" w14:textId="743AEA69" w:rsidR="003E1D81" w:rsidRDefault="00EB481C">
            <w:pPr>
              <w:pStyle w:val="P68B1DB1-Normal13"/>
              <w:spacing w:after="0" w:line="240" w:lineRule="auto"/>
              <w:jc w:val="center"/>
              <w:rPr>
                <w:rFonts w:eastAsia="MS Mincho" w:cs="Times New Roman"/>
                <w:noProof/>
              </w:rPr>
            </w:pPr>
            <w:r>
              <w:rPr>
                <w:noProof/>
              </w:rPr>
              <w:t>2024</w:t>
            </w:r>
          </w:p>
        </w:tc>
        <w:tc>
          <w:tcPr>
            <w:tcW w:w="6096" w:type="dxa"/>
            <w:shd w:val="clear" w:color="auto" w:fill="C6EFCE"/>
            <w:noWrap/>
          </w:tcPr>
          <w:p w14:paraId="34A083E8" w14:textId="18CB5AE9" w:rsidR="003E1D81" w:rsidRDefault="00EB481C">
            <w:pPr>
              <w:pStyle w:val="P68B1DB1-Normal13"/>
              <w:spacing w:after="0" w:line="240" w:lineRule="auto"/>
              <w:rPr>
                <w:rFonts w:eastAsia="MS Mincho" w:cs="Times New Roman"/>
                <w:noProof/>
              </w:rPr>
            </w:pPr>
            <w:r>
              <w:rPr>
                <w:noProof/>
              </w:rPr>
              <w:t>Az elsivatagosodás elleni küzdelem</w:t>
            </w:r>
            <w:r>
              <w:rPr>
                <w:noProof/>
              </w:rPr>
              <w:t xml:space="preserve">re irányuló nemzeti stratégia és a kapcsolódó intézkedések elfogadása, az intézkedés leírásával összhangban. </w:t>
            </w:r>
          </w:p>
        </w:tc>
      </w:tr>
    </w:tbl>
    <w:p w14:paraId="02F2C34E" w14:textId="769AB717" w:rsidR="003E1D81" w:rsidRDefault="003E1D81">
      <w:pPr>
        <w:spacing w:before="120" w:after="120" w:line="240" w:lineRule="auto"/>
        <w:jc w:val="both"/>
        <w:rPr>
          <w:rFonts w:ascii="Times New Roman" w:hAnsi="Times New Roman" w:cs="Times New Roman"/>
          <w:noProof/>
          <w:sz w:val="24"/>
        </w:rPr>
        <w:sectPr w:rsidR="003E1D81" w:rsidSect="00522183">
          <w:headerReference w:type="even" r:id="rId120"/>
          <w:headerReference w:type="default" r:id="rId121"/>
          <w:footerReference w:type="even" r:id="rId122"/>
          <w:footerReference w:type="default" r:id="rId123"/>
          <w:headerReference w:type="first" r:id="rId124"/>
          <w:footerReference w:type="first" r:id="rId125"/>
          <w:pgSz w:w="16839" w:h="11907" w:orient="landscape"/>
          <w:pgMar w:top="1417" w:right="1134" w:bottom="1417" w:left="1134" w:header="709" w:footer="709" w:gutter="0"/>
          <w:cols w:space="720"/>
          <w:docGrid w:linePitch="360"/>
        </w:sectPr>
      </w:pPr>
    </w:p>
    <w:p w14:paraId="53A58CED" w14:textId="77777777" w:rsidR="003E1D81" w:rsidRDefault="00EB481C">
      <w:pPr>
        <w:pStyle w:val="P68B1DB1-Heading12"/>
        <w:rPr>
          <w:rFonts w:cs="Times New Roman"/>
          <w:noProof/>
        </w:rPr>
      </w:pPr>
      <w:r>
        <w:rPr>
          <w:noProof/>
        </w:rPr>
        <w:t>E. 05. ÖSSZETEVŐ: Part menti és vízi erőforrások</w:t>
      </w:r>
    </w:p>
    <w:p w14:paraId="411410E6" w14:textId="77777777" w:rsidR="003E1D81" w:rsidRDefault="00EB481C">
      <w:pPr>
        <w:pStyle w:val="P68B1DB1-Normal4"/>
        <w:spacing w:before="120" w:after="120" w:line="240" w:lineRule="auto"/>
        <w:jc w:val="both"/>
        <w:rPr>
          <w:rFonts w:cs="Times New Roman"/>
          <w:noProof/>
        </w:rPr>
      </w:pPr>
      <w:r>
        <w:rPr>
          <w:noProof/>
        </w:rPr>
        <w:t>Ennek a komponensnek a célja a vízkészletekkel való gazdálkodás javítása, az éghajlatváltozás káros hatásainak kezelését célzó part menti alkalmazkodási politika végrehajtása, valamint a tengeri stratégiák és a tengeri területrendezési tervek végrehajtásán</w:t>
      </w:r>
      <w:r>
        <w:rPr>
          <w:noProof/>
        </w:rPr>
        <w:t xml:space="preserve">ak megerősítése. </w:t>
      </w:r>
    </w:p>
    <w:p w14:paraId="446DF730" w14:textId="77777777" w:rsidR="003E1D81" w:rsidRDefault="00EB481C">
      <w:pPr>
        <w:pStyle w:val="P68B1DB1-Normal4"/>
        <w:spacing w:before="120" w:after="120" w:line="240" w:lineRule="auto"/>
        <w:jc w:val="both"/>
        <w:rPr>
          <w:rFonts w:cs="Times New Roman"/>
          <w:noProof/>
        </w:rPr>
      </w:pPr>
      <w:r>
        <w:rPr>
          <w:noProof/>
        </w:rPr>
        <w:t>A vízkészletekkel való gazdálkodás javítása érdekében Spanyolországnak kezelnie kell a különböző kihívásokat, például az újonnan megjelenő szennyező anyagok (pl. mikroműanyagok) azonosítását, a tervezés, a tengerpart éghajlatváltozáshoz v</w:t>
      </w:r>
      <w:r>
        <w:rPr>
          <w:noProof/>
        </w:rPr>
        <w:t>aló alkalmazkodása, a nyilvános hidraulic terület, a tengeri tulajdon és a vízkezelés ellenőrzése és kezelése terén meglévő beruházási hiányt, valamint a vízgazdálkodást szolgáló új technológiák és IKT-technológiák késedelmes bevezetését. E célból Spanyolo</w:t>
      </w:r>
      <w:r>
        <w:rPr>
          <w:noProof/>
        </w:rPr>
        <w:t>rszág javítja az ágazat hatékonyságát. Spanyolországnak törekednie kell arra is, hogy vízkészlet-gazdálkodását jobban összehangolja a környezeti célkitűzésekkel, például az európai zöld megállapodásban, a 2030-ig tartó időszakra szóló biodiverzitási straté</w:t>
      </w:r>
      <w:r>
        <w:rPr>
          <w:noProof/>
        </w:rPr>
        <w:t xml:space="preserve">giában és az EU szennyezőanyag-mentességi cselekvési tervében meghatározottakkal. E célból különböző stratégiákat kell alkalmazni, például a közigazgatás digitalizálását az információkhoz való hozzáférés érdekében, beleértve a vízminőséget és az ökológiai </w:t>
      </w:r>
      <w:r>
        <w:rPr>
          <w:noProof/>
        </w:rPr>
        <w:t>vízhozamoknak való megfelelést, a környezeti infrastruktúra biztosítását és javítását, az infrastruktúra biztonságát, illetve a felszín alatti vizek állapotának javítását és a víztartó rétegek helyreállítását.</w:t>
      </w:r>
    </w:p>
    <w:p w14:paraId="4B419439" w14:textId="77777777" w:rsidR="003E1D81" w:rsidRDefault="00EB481C">
      <w:pPr>
        <w:pStyle w:val="P68B1DB1-Normal4"/>
        <w:spacing w:before="120" w:after="120" w:line="240" w:lineRule="auto"/>
        <w:jc w:val="both"/>
        <w:rPr>
          <w:rFonts w:cs="Times New Roman"/>
          <w:noProof/>
        </w:rPr>
      </w:pPr>
      <w:r>
        <w:rPr>
          <w:noProof/>
        </w:rPr>
        <w:t>Az éghajlatváltozás súlyosbította az erózió és</w:t>
      </w:r>
      <w:r>
        <w:rPr>
          <w:noProof/>
        </w:rPr>
        <w:t xml:space="preserve"> az áradások partvidékre gyakorolt hatását. Ezért a spanyol helyreállítási és rezilienciaépítési terv e komponensének végre kell hajtania a spanyol partvidéknek az éghajlatváltozás káros hatásaihoz való alkalmazkodására irányuló politikát is. Az erózió ell</w:t>
      </w:r>
      <w:r>
        <w:rPr>
          <w:noProof/>
        </w:rPr>
        <w:t>eni küzdelem és az árvizek kockázatának csökkentése érdekében számos alkalmazkodási intézkedést kell bevezetni, mint például a leromlott területek környezeti helyreállítása, a köztulajdonban lévő szárazföldi tengeri területekhez való rendezett és megfelelő</w:t>
      </w:r>
      <w:r>
        <w:rPr>
          <w:noProof/>
        </w:rPr>
        <w:t xml:space="preserve"> hozzáférés javítása, vagy természetalapú megoldások kidolgozása és végrehajtása. Ez a cselekvési irányvonal reziliensebb partvonalat hoz létre az éghajlatváltozás hatásaival szemben, és jobban felkészíti az idegenforgalmi ágazatot és a part menti területe</w:t>
      </w:r>
      <w:r>
        <w:rPr>
          <w:noProof/>
        </w:rPr>
        <w:t>k állapotától függő egyéb ágazatokat. Emellett ez tovább erősíti a Kopernikusz program szerepét, amely döntő fontosságú a szélsőséges időjárási események okozta károk és hatások megelőzése és értékelése szempontjából.</w:t>
      </w:r>
    </w:p>
    <w:p w14:paraId="7350F698" w14:textId="77777777" w:rsidR="003E1D81" w:rsidRDefault="00EB481C">
      <w:pPr>
        <w:pStyle w:val="P68B1DB1-Normal4"/>
        <w:spacing w:before="120" w:after="120" w:line="240" w:lineRule="auto"/>
        <w:jc w:val="both"/>
        <w:rPr>
          <w:rFonts w:cs="Times New Roman"/>
          <w:noProof/>
        </w:rPr>
      </w:pPr>
      <w:r>
        <w:rPr>
          <w:noProof/>
        </w:rPr>
        <w:t>A spanyol helyreállítási és rezilienci</w:t>
      </w:r>
      <w:r>
        <w:rPr>
          <w:noProof/>
        </w:rPr>
        <w:t xml:space="preserve">aépítési terv ezen elemének részeként Spanyolország törvény elfogadásával, a tengervédelmi stratégiáról szóló keretirányelv átültetésével és végrehajtásának megerősítésével előmozdítja a tengeri ágazatok optimális fenntartható fejlődését és védi a tengeri </w:t>
      </w:r>
      <w:r>
        <w:rPr>
          <w:noProof/>
        </w:rPr>
        <w:t xml:space="preserve">környezetet annak érdekében, hogy elérje jó környezeti állapotát. </w:t>
      </w:r>
    </w:p>
    <w:p w14:paraId="7921A5A8" w14:textId="7EC3B47E" w:rsidR="003E1D81" w:rsidRDefault="00EB481C">
      <w:pPr>
        <w:pStyle w:val="P68B1DB1-Normal4"/>
        <w:spacing w:before="120" w:after="120" w:line="240" w:lineRule="auto"/>
        <w:jc w:val="both"/>
        <w:rPr>
          <w:rFonts w:cs="Times New Roman"/>
          <w:noProof/>
        </w:rPr>
      </w:pPr>
      <w:r>
        <w:rPr>
          <w:noProof/>
        </w:rPr>
        <w:t xml:space="preserve">A spanyol helyreállítási és rezilienciaépítési terv ezen komponense hozzájárul ahhoz, hogy a beruházásokkal kapcsolatos gazdaságpolitikát az energiahatékonyság és az erőforrás-felhasználás </w:t>
      </w:r>
      <w:r>
        <w:rPr>
          <w:noProof/>
        </w:rPr>
        <w:t>előmozdítására összpontosítsák (2019. évi 3. országspecifikus ajánlás). Emellett a beruházások középpontjában a zöld és digitális átállás áll, különösen a kutatás és az innováció, az energiaforrások tiszta és hatékony termelésének és felhasználásának, az e</w:t>
      </w:r>
      <w:r>
        <w:rPr>
          <w:noProof/>
        </w:rPr>
        <w:t xml:space="preserve">nergetikai infrastruktúrának, a víz- és hulladékgazdálkodásnak, valamint a fenntartható közlekedésnek az előmozdítása révén (2020. évi 3. országspecifikus ajánlás). Emellett javítja a víz újrafelhasználását (2022. évi 3. országspecifikus ajánlás). </w:t>
      </w:r>
    </w:p>
    <w:p w14:paraId="1B2C36A4" w14:textId="77777777" w:rsidR="003E1D81" w:rsidRDefault="00EB481C">
      <w:pPr>
        <w:pStyle w:val="P68B1DB1-Normal4"/>
        <w:spacing w:before="120" w:after="120" w:line="240" w:lineRule="auto"/>
        <w:jc w:val="both"/>
        <w:rPr>
          <w:rFonts w:cs="Times New Roman"/>
          <w:noProof/>
        </w:rPr>
      </w:pPr>
      <w:r>
        <w:rPr>
          <w:noProof/>
        </w:rPr>
        <w:t>A jelen</w:t>
      </w:r>
      <w:r>
        <w:rPr>
          <w:noProof/>
        </w:rPr>
        <w:t>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w:t>
      </w:r>
      <w:r>
        <w:rPr>
          <w:noProof/>
        </w:rPr>
        <w:t>seket figyelembe véve ebben a komponensben várhatóan egyetlen intézkedés sem sérti jelentős mértékben az (EU) 2020/852 rendelet 17. cikke szerinti környezeti célkitűzéseket.</w:t>
      </w:r>
    </w:p>
    <w:p w14:paraId="47EE4D1F" w14:textId="77777777" w:rsidR="003E1D81" w:rsidRDefault="00EB481C">
      <w:pPr>
        <w:pStyle w:val="P68B1DB1-Normal5"/>
        <w:keepNext/>
        <w:spacing w:before="120" w:after="120" w:line="240" w:lineRule="auto"/>
        <w:ind w:left="720"/>
        <w:jc w:val="both"/>
        <w:rPr>
          <w:rFonts w:cs="Times New Roman"/>
          <w:i/>
          <w:noProof/>
        </w:rPr>
      </w:pPr>
      <w:r>
        <w:rPr>
          <w:noProof/>
        </w:rPr>
        <w:t xml:space="preserve">E.1. </w:t>
      </w:r>
      <w:r>
        <w:rPr>
          <w:noProof/>
        </w:rPr>
        <w:tab/>
        <w:t>Vissza nem térítendő pénzügyi támogatás – a reformok és beruházások ismertet</w:t>
      </w:r>
      <w:r>
        <w:rPr>
          <w:noProof/>
        </w:rPr>
        <w:t>ése</w:t>
      </w:r>
    </w:p>
    <w:p w14:paraId="6B2567BA" w14:textId="77777777" w:rsidR="003E1D81" w:rsidRDefault="00EB481C">
      <w:pPr>
        <w:pStyle w:val="P68B1DB1-Normal6"/>
        <w:keepNext/>
        <w:spacing w:before="120" w:after="120" w:line="240" w:lineRule="auto"/>
        <w:jc w:val="both"/>
        <w:rPr>
          <w:rFonts w:cs="Times New Roman"/>
          <w:noProof/>
        </w:rPr>
      </w:pPr>
      <w:r>
        <w:rPr>
          <w:noProof/>
        </w:rPr>
        <w:t>Reform (C5.R1) – Vízügyi tervek és stratégiák, valamint szabályozási változások</w:t>
      </w:r>
    </w:p>
    <w:p w14:paraId="20497A4A" w14:textId="77777777" w:rsidR="003E1D81" w:rsidRDefault="00EB481C">
      <w:pPr>
        <w:pStyle w:val="P68B1DB1-Normal4"/>
        <w:keepNext/>
        <w:spacing w:before="120" w:after="120" w:line="240" w:lineRule="auto"/>
        <w:jc w:val="both"/>
        <w:rPr>
          <w:rFonts w:cs="Times New Roman"/>
          <w:noProof/>
        </w:rPr>
      </w:pPr>
      <w:r>
        <w:rPr>
          <w:noProof/>
        </w:rPr>
        <w:t xml:space="preserve">A reformnak foglalkoznia kell a vízügyi törvény, annak rendeletei és más másodlagos jogszabályok felülvizsgálatával és aktualizálásával a beruházások ösztönzéséhez kedvező </w:t>
      </w:r>
      <w:r>
        <w:rPr>
          <w:noProof/>
        </w:rPr>
        <w:t>jogi keret biztosítása érdekében. A reform magában foglalja számos olyan terv és stratégia elfogadását és felülvizsgálatát, amelyek a beruházások megerősítését és növelését célzó beruházások és vízgazdálkodás alapját képezik. Ezeket a szabályozási változta</w:t>
      </w:r>
      <w:r>
        <w:rPr>
          <w:noProof/>
        </w:rPr>
        <w:t xml:space="preserve">tásokat össze kell hangolni az európai zöld megállapodással. </w:t>
      </w:r>
    </w:p>
    <w:p w14:paraId="4F41A8EA" w14:textId="44889464" w:rsidR="003E1D81" w:rsidRDefault="00EB481C">
      <w:pPr>
        <w:pStyle w:val="P68B1DB1-Normal4"/>
        <w:spacing w:before="120" w:after="120" w:line="240" w:lineRule="auto"/>
        <w:jc w:val="both"/>
        <w:rPr>
          <w:rFonts w:cs="Times New Roman"/>
          <w:noProof/>
        </w:rPr>
      </w:pPr>
      <w:r>
        <w:rPr>
          <w:noProof/>
        </w:rPr>
        <w:t>Ez a reform számos, a víz valamennyi típusával kapcsolatos kérdéssel foglalkozik, mint például a szennyvíz újrafelhasználására vonatkozó pénzügyi keret javítása, a gátak és tározóik biztonságára</w:t>
      </w:r>
      <w:r>
        <w:rPr>
          <w:noProof/>
        </w:rPr>
        <w:t xml:space="preserve"> vonatkozó műszaki szabványok elfogadása, a víz tisztítására, helyreállítására, hatékonyságára, megtakarítására és újrafelhasználására vonatkozó nemzeti terv elfogadása (a szennyvízkezelés, a szennyvízelvezetés, a hatékonyság, a megtakarítások, az újrahasz</w:t>
      </w:r>
      <w:r>
        <w:rPr>
          <w:noProof/>
        </w:rPr>
        <w:t xml:space="preserve">nálat és az infrastruktúra biztonsága – DSEAR-terv). </w:t>
      </w:r>
    </w:p>
    <w:p w14:paraId="34A42ADB" w14:textId="45166EA4" w:rsidR="003E1D81" w:rsidRDefault="00EB481C">
      <w:pPr>
        <w:pStyle w:val="P68B1DB1-Normal4"/>
        <w:spacing w:before="120" w:after="120" w:line="240" w:lineRule="auto"/>
        <w:jc w:val="both"/>
        <w:rPr>
          <w:rFonts w:cs="Times New Roman"/>
          <w:noProof/>
        </w:rPr>
      </w:pPr>
      <w:r>
        <w:rPr>
          <w:noProof/>
        </w:rPr>
        <w:t xml:space="preserve">Az intézkedést 2023. június 30-ig be kell fejezni. </w:t>
      </w:r>
    </w:p>
    <w:p w14:paraId="431D7824" w14:textId="77777777" w:rsidR="003E1D81" w:rsidRDefault="00EB481C">
      <w:pPr>
        <w:pStyle w:val="P68B1DB1-Normal6"/>
        <w:spacing w:before="120" w:after="120" w:line="240" w:lineRule="auto"/>
        <w:jc w:val="both"/>
        <w:rPr>
          <w:rFonts w:cs="Times New Roman"/>
          <w:noProof/>
        </w:rPr>
      </w:pPr>
      <w:r>
        <w:rPr>
          <w:noProof/>
        </w:rPr>
        <w:t>Beruházás (C5.I1) – A kezelésre, a szennyvízelvezetésre, a hatékonyságra, a megtakarításokra, az újrahasználatra és az infrastruktúra biztonságára von</w:t>
      </w:r>
      <w:r>
        <w:rPr>
          <w:noProof/>
        </w:rPr>
        <w:t>atkozó intézkedések végrehajtása (DESEAR)</w:t>
      </w:r>
    </w:p>
    <w:p w14:paraId="3F9DF6FF" w14:textId="77777777" w:rsidR="003E1D81" w:rsidRDefault="00EB481C">
      <w:pPr>
        <w:pStyle w:val="P68B1DB1-Normal4"/>
        <w:spacing w:before="120" w:after="120" w:line="240" w:lineRule="auto"/>
        <w:jc w:val="both"/>
        <w:rPr>
          <w:rFonts w:cs="Times New Roman"/>
          <w:noProof/>
        </w:rPr>
      </w:pPr>
      <w:r>
        <w:rPr>
          <w:noProof/>
        </w:rPr>
        <w:t>Ez a beruházás a következő intézkedéseket hajtja végre:</w:t>
      </w:r>
    </w:p>
    <w:p w14:paraId="73C11D16" w14:textId="46B1A063" w:rsidR="003E1D81" w:rsidRDefault="00EB481C">
      <w:pPr>
        <w:pStyle w:val="P68B1DB1-Normal4"/>
        <w:numPr>
          <w:ilvl w:val="0"/>
          <w:numId w:val="91"/>
        </w:numPr>
        <w:spacing w:before="120" w:after="160" w:line="240" w:lineRule="auto"/>
        <w:contextualSpacing/>
        <w:jc w:val="both"/>
        <w:rPr>
          <w:rFonts w:cs="Times New Roman"/>
          <w:noProof/>
        </w:rPr>
      </w:pPr>
      <w:r>
        <w:rPr>
          <w:noProof/>
        </w:rPr>
        <w:t>Tisztítási, szennyvízelvezetési és víz-újrafelhasználási intézkedések végrehajtása. E cselekvési irányvonal célja a települési szennyvíz gyűjtésének és kezelésének javítása. Egyes esetekben az intézkedéseknek újra fel kell használniuk a települési szennyvi</w:t>
      </w:r>
      <w:r>
        <w:rPr>
          <w:noProof/>
        </w:rPr>
        <w:t>zet, ezáltal csökkentve a jelenlegi vízkivételi terhelést. Az új kezelési intézkedéseknek a teljes szennyvízkezelő rendszer nettó nulla energiafogyasztását kell elérniük. Az infrastruktúrákat legalább az új vagy korszerűsített szennyvízkezelő infrastruktúr</w:t>
      </w:r>
      <w:r>
        <w:rPr>
          <w:noProof/>
        </w:rPr>
        <w:t>ák esetében figyelembe kell venni, amelyek további szennyvízkezelési kapacitást biztosítanak. A kezelést újonnan kell kijelölni vagy legalább a települési szennyvíz kezeléséről szóló irányelvvel (91/271/EGK irányelv) összhangban álló szintre kell fejleszte</w:t>
      </w:r>
      <w:r>
        <w:rPr>
          <w:noProof/>
        </w:rPr>
        <w:t>ni. A meglévő infrastruktúra fejlesztése és felújítása az átlagos energiafogyasztás legalább 10%-os csökkenését eredményezi. Ezeket a megtakarításokat energiahatékonysági intézkedések (kapcsolt energiatermelés, energia- és hővisszanyerés, fotovoltaikus pan</w:t>
      </w:r>
      <w:r>
        <w:rPr>
          <w:noProof/>
        </w:rPr>
        <w:t xml:space="preserve">elek, LED-világítás stb.) végrehajtása révén kell elérni a projektek kidolgozása során, valamint energiahatékonysági záradékok és kritériumok bevezetésével a projekt- és kivitelezési felhívásokban. </w:t>
      </w:r>
    </w:p>
    <w:p w14:paraId="5832932A" w14:textId="77777777" w:rsidR="003E1D81" w:rsidRDefault="00EB481C">
      <w:pPr>
        <w:pStyle w:val="P68B1DB1-Normal4"/>
        <w:numPr>
          <w:ilvl w:val="0"/>
          <w:numId w:val="91"/>
        </w:numPr>
        <w:spacing w:before="120" w:after="160" w:line="240" w:lineRule="auto"/>
        <w:contextualSpacing/>
        <w:jc w:val="both"/>
        <w:rPr>
          <w:rFonts w:cs="Times New Roman"/>
          <w:noProof/>
        </w:rPr>
      </w:pPr>
      <w:r>
        <w:rPr>
          <w:noProof/>
        </w:rPr>
        <w:t>A hatékonyság javítását és a vízveszteség csökkentését cé</w:t>
      </w:r>
      <w:r>
        <w:rPr>
          <w:noProof/>
        </w:rPr>
        <w:t>lzó intézkedések. Az intézkedések támogatási rendszert hajtanak végre a közepes és kis települések ellátóhálózatai hatékonyságának javítása érdekében, lehetővé téve az önkormányzatok vagy a vízellátásért felelős közintézmények számára, hogy az elosztóhálóz</w:t>
      </w:r>
      <w:r>
        <w:rPr>
          <w:noProof/>
        </w:rPr>
        <w:t>atok veszteségeinek csökkentése révén javítsák azt, valamint a víztároló létesítmények, valamint a közepes és kis települések létesítményeinek javítását és javítását célzó intézkedéseket. Az ezen infrastruktúrák által kiszolgált lakosoknak meg kell felelni</w:t>
      </w:r>
      <w:r>
        <w:rPr>
          <w:noProof/>
        </w:rPr>
        <w:t xml:space="preserve">ük a vízelosztó rendszer által kiszolgált lakosoknak. </w:t>
      </w:r>
    </w:p>
    <w:p w14:paraId="1C71DD76" w14:textId="77777777" w:rsidR="003E1D81" w:rsidRDefault="00EB481C">
      <w:pPr>
        <w:pStyle w:val="P68B1DB1-Normal4"/>
        <w:numPr>
          <w:ilvl w:val="0"/>
          <w:numId w:val="91"/>
        </w:numPr>
        <w:spacing w:after="0" w:line="240" w:lineRule="auto"/>
        <w:ind w:left="357" w:hanging="357"/>
        <w:jc w:val="both"/>
        <w:rPr>
          <w:rFonts w:cs="Times New Roman"/>
          <w:noProof/>
        </w:rPr>
      </w:pPr>
      <w:r>
        <w:rPr>
          <w:noProof/>
        </w:rPr>
        <w:t>A gátak és tározók biztonságának javítását célzó beruházások. Ezek az intézkedések a megfelelő vészhelyzeti tervek és egyéb kiegészítő intézkedések végrehajtása révén biztosítják a meglévő, állami tula</w:t>
      </w:r>
      <w:r>
        <w:rPr>
          <w:noProof/>
        </w:rPr>
        <w:t>jdonban lévő nagy gátak biztonságát. Ez nem vezethet új gátak építéséhez vagy a meglévő gátak bővítéséhez.</w:t>
      </w:r>
    </w:p>
    <w:p w14:paraId="5D5FA6C3" w14:textId="48C32B9A" w:rsidR="003E1D81" w:rsidRDefault="00EB481C">
      <w:pPr>
        <w:pStyle w:val="P68B1DB1-Normal4"/>
        <w:numPr>
          <w:ilvl w:val="0"/>
          <w:numId w:val="91"/>
        </w:numPr>
        <w:spacing w:after="0" w:line="240" w:lineRule="auto"/>
        <w:ind w:left="357" w:hanging="357"/>
        <w:jc w:val="both"/>
        <w:rPr>
          <w:rFonts w:cs="Times New Roman"/>
          <w:noProof/>
        </w:rPr>
      </w:pPr>
      <w:r>
        <w:rPr>
          <w:noProof/>
        </w:rPr>
        <w:t>A városi vízkörforgás energia- és vízhatékonyságának javítását célzó intézkedések. Ezek az intézkedések előmozdítják a víztisztítással, a szennyvízel</w:t>
      </w:r>
      <w:r>
        <w:rPr>
          <w:noProof/>
        </w:rPr>
        <w:t>vezetéssel és a víz újrafelhasználásával, a vízhatékonyság javításával és a vízveszteség csökkentésével kapcsolatos projekteket a vízfelhasználók digitalizációja révén. Erre a valenciai L’Horta Sud területén kerül sor, új infrastruktúrákat biztosítva a 250</w:t>
      </w:r>
      <w:r>
        <w:rPr>
          <w:noProof/>
        </w:rPr>
        <w:t xml:space="preserve">000 lakosegyenértéknek megfelelő víztisztításhoz, szennyvízelvezetéshez és -újrafelhasználáshoz; valamint az alicantei Rincón de León tisztítótelepén az öntözési vízgazdálkodás javítása 18500 hektáron.  </w:t>
      </w:r>
    </w:p>
    <w:p w14:paraId="0A4C1CF3" w14:textId="1401AC90" w:rsidR="003E1D81" w:rsidRDefault="00EB481C">
      <w:pPr>
        <w:pStyle w:val="P68B1DB1-Normal4"/>
        <w:spacing w:before="120" w:after="120" w:line="240" w:lineRule="auto"/>
        <w:jc w:val="both"/>
        <w:rPr>
          <w:rFonts w:cs="Times New Roman"/>
          <w:noProof/>
        </w:rPr>
      </w:pPr>
      <w:r>
        <w:rPr>
          <w:noProof/>
        </w:rPr>
        <w:t xml:space="preserve">A beruházást 2026. június 30-ig be kell fejezni. </w:t>
      </w:r>
    </w:p>
    <w:p w14:paraId="277B6F8E" w14:textId="77777777" w:rsidR="003E1D81" w:rsidRDefault="00EB481C">
      <w:pPr>
        <w:pStyle w:val="P68B1DB1-Normal6"/>
        <w:spacing w:before="120" w:after="120" w:line="240" w:lineRule="auto"/>
        <w:jc w:val="both"/>
        <w:rPr>
          <w:rFonts w:cs="Times New Roman"/>
          <w:noProof/>
        </w:rPr>
      </w:pPr>
      <w:r>
        <w:rPr>
          <w:noProof/>
        </w:rPr>
        <w:t>Be</w:t>
      </w:r>
      <w:r>
        <w:rPr>
          <w:noProof/>
        </w:rPr>
        <w:t>ruházás (C5.I2) – A folyami ökoszisztémák nyomon követése és helyreállítása, a víztartó rétegek helyreállítása és az árvízkockázat csökkentése</w:t>
      </w:r>
    </w:p>
    <w:p w14:paraId="289BB7B3" w14:textId="77777777" w:rsidR="003E1D81" w:rsidRDefault="00EB481C">
      <w:pPr>
        <w:pStyle w:val="P68B1DB1-Normal4"/>
        <w:spacing w:before="120" w:after="120" w:line="240" w:lineRule="auto"/>
        <w:jc w:val="both"/>
        <w:rPr>
          <w:rFonts w:cs="Times New Roman"/>
          <w:noProof/>
        </w:rPr>
      </w:pPr>
      <w:r>
        <w:rPr>
          <w:noProof/>
        </w:rPr>
        <w:t>E beruházás célkitűzései a következők:</w:t>
      </w:r>
    </w:p>
    <w:p w14:paraId="4D23A9E6" w14:textId="77777777" w:rsidR="003E1D81" w:rsidRDefault="00EB481C">
      <w:pPr>
        <w:pStyle w:val="P68B1DB1-Normal4"/>
        <w:numPr>
          <w:ilvl w:val="0"/>
          <w:numId w:val="92"/>
        </w:numPr>
        <w:spacing w:before="120" w:after="160" w:line="240" w:lineRule="auto"/>
        <w:contextualSpacing/>
        <w:jc w:val="both"/>
        <w:rPr>
          <w:rFonts w:cs="Times New Roman"/>
          <w:noProof/>
        </w:rPr>
      </w:pPr>
      <w:r>
        <w:rPr>
          <w:noProof/>
        </w:rPr>
        <w:t xml:space="preserve">A folyók ökoszisztémáinak és a természetes folyókészleteknek a nyomon </w:t>
      </w:r>
      <w:r>
        <w:rPr>
          <w:noProof/>
        </w:rPr>
        <w:t>követése és helyreállítása. Ez a vonal számos konkrét intézkedést foglal magában, amelyek célja a folyók területének helyreállítása, a megfigyelési hálózatok bővítése és az azt fenyegető hidromorfológiai terhelések leltárának javítása.</w:t>
      </w:r>
    </w:p>
    <w:p w14:paraId="00815E0F" w14:textId="77777777" w:rsidR="003E1D81" w:rsidRDefault="00EB481C">
      <w:pPr>
        <w:pStyle w:val="P68B1DB1-Normal4"/>
        <w:numPr>
          <w:ilvl w:val="0"/>
          <w:numId w:val="92"/>
        </w:numPr>
        <w:spacing w:before="120" w:after="160" w:line="240" w:lineRule="auto"/>
        <w:contextualSpacing/>
        <w:jc w:val="both"/>
        <w:rPr>
          <w:rFonts w:cs="Times New Roman"/>
          <w:noProof/>
        </w:rPr>
      </w:pPr>
      <w:r>
        <w:rPr>
          <w:noProof/>
        </w:rPr>
        <w:t>Az árvízkockázat csö</w:t>
      </w:r>
      <w:r>
        <w:rPr>
          <w:noProof/>
        </w:rPr>
        <w:t>kkentésére irányuló intézkedések kidolgozása. Ez a cselekvési irányvonal magában foglalja a már létező árvízkockázat-kezelési terveket, beleértve a területrendezésre és a várostervezésre vonatkozó megelőző intézkedéseket, az árvízveszélynek kitett területe</w:t>
      </w:r>
      <w:r>
        <w:rPr>
          <w:noProof/>
        </w:rPr>
        <w:t>k sebezhetőségének csökkentésére és a különböző gazdasági ágazatok árvízkockázathoz való alkalmazkodásának előmozdítására irányuló technikai iránymutatások kidolgozását. Ezen túlmenően az önkormányzatoknak foglalkozniuk kell a folyók helyreállítására irány</w:t>
      </w:r>
      <w:r>
        <w:rPr>
          <w:noProof/>
        </w:rPr>
        <w:t>uló intézkedések városi környezetben történő végrehajtásával, fenntartható vízelvezető rendszereket kell bevezetniük, és javítaniuk kell a városi környezetek áteresztőképességét és a városi területeken található folyók környezeti értékeivel való kapcsolatu</w:t>
      </w:r>
      <w:r>
        <w:rPr>
          <w:noProof/>
        </w:rPr>
        <w:t>kat a víztervezés technikai iránymutatásainak és célkitűzéseinek kidolgozása révén.</w:t>
      </w:r>
    </w:p>
    <w:p w14:paraId="5F010068" w14:textId="77777777" w:rsidR="003E1D81" w:rsidRDefault="00EB481C">
      <w:pPr>
        <w:pStyle w:val="P68B1DB1-Normal4"/>
        <w:numPr>
          <w:ilvl w:val="0"/>
          <w:numId w:val="92"/>
        </w:numPr>
        <w:spacing w:before="120" w:after="120" w:line="240" w:lineRule="auto"/>
        <w:ind w:left="357" w:hanging="357"/>
        <w:jc w:val="both"/>
        <w:rPr>
          <w:rFonts w:cs="Times New Roman"/>
          <w:noProof/>
        </w:rPr>
      </w:pPr>
      <w:r>
        <w:rPr>
          <w:noProof/>
        </w:rPr>
        <w:t>Olyan intézkedések elfogadása, amelyek alternatív erőforrások felhasználásával csökkentik a felszín alatti vizek kitermelését (víztartó rétegek visszanyerése). Ezek az inté</w:t>
      </w:r>
      <w:r>
        <w:rPr>
          <w:noProof/>
        </w:rPr>
        <w:t xml:space="preserve">zkedések csökkentik egyes felszín alatti víztestek – különösen a </w:t>
      </w:r>
      <w:r>
        <w:rPr>
          <w:i/>
          <w:noProof/>
        </w:rPr>
        <w:t>doñanai</w:t>
      </w:r>
      <w:r>
        <w:rPr>
          <w:noProof/>
        </w:rPr>
        <w:t xml:space="preserve"> területet és a Spanyolország délkeleti részén található egyes víztartó rétegeket fenyegető – víztestek vízkivételét, és bővítik a piezometriás megfigyelőhálózatokat.</w:t>
      </w:r>
    </w:p>
    <w:p w14:paraId="5B3C678C" w14:textId="2E08BE8F" w:rsidR="003E1D81" w:rsidRDefault="00EB481C">
      <w:pPr>
        <w:pStyle w:val="P68B1DB1-Normal4"/>
        <w:numPr>
          <w:ilvl w:val="0"/>
          <w:numId w:val="92"/>
        </w:numPr>
        <w:spacing w:before="120" w:after="120" w:line="240" w:lineRule="auto"/>
        <w:ind w:left="357" w:hanging="357"/>
        <w:jc w:val="both"/>
        <w:rPr>
          <w:rFonts w:cs="Times New Roman"/>
          <w:noProof/>
        </w:rPr>
      </w:pPr>
      <w:r>
        <w:rPr>
          <w:noProof/>
        </w:rPr>
        <w:t>A sótalanító üzem</w:t>
      </w:r>
      <w:r>
        <w:rPr>
          <w:noProof/>
        </w:rPr>
        <w:t xml:space="preserve">ek fotovoltaikus energiával való ellátása és elosztása.  </w:t>
      </w:r>
    </w:p>
    <w:p w14:paraId="7CC753ED" w14:textId="1F45D746" w:rsidR="003E1D81" w:rsidRDefault="00EB481C">
      <w:pPr>
        <w:pStyle w:val="P68B1DB1-Normal4"/>
        <w:spacing w:before="120" w:after="120" w:line="240" w:lineRule="auto"/>
        <w:jc w:val="both"/>
        <w:rPr>
          <w:rFonts w:cs="Times New Roman"/>
          <w:noProof/>
        </w:rPr>
      </w:pPr>
      <w:r>
        <w:rPr>
          <w:noProof/>
        </w:rPr>
        <w:t>Az intézkedés várhatóan nem sérti jelentősen az (EU) 2020/852 rendelet 17. cikke szerinti környezetvédelmi célkitűzéseket, figyelembe véve az intézkedés leírását és a helyreállítási és rezilienciaép</w:t>
      </w:r>
      <w:r>
        <w:rPr>
          <w:noProof/>
        </w:rPr>
        <w:t>ítési tervben meghatározott enyhítő lépéseket a jelentős károkozás elkerülését célzó elvről szóló technikai iránymutatásnak (2021/C58/01) megfelelően. Különösen a sótalanított vizet a rendelkezésre álló legjobb technológia felhasználásával kell előállítani</w:t>
      </w:r>
      <w:r>
        <w:rPr>
          <w:noProof/>
        </w:rPr>
        <w:t xml:space="preserve">, amely az ágazatban a legkisebb környezeti hatással jár. </w:t>
      </w:r>
    </w:p>
    <w:p w14:paraId="4B2AF1BD" w14:textId="247F5344" w:rsidR="003E1D81" w:rsidRDefault="00EB481C">
      <w:pPr>
        <w:pStyle w:val="P68B1DB1-Normal4"/>
        <w:spacing w:before="120" w:after="120" w:line="240" w:lineRule="auto"/>
        <w:jc w:val="both"/>
        <w:rPr>
          <w:rFonts w:cs="Times New Roman"/>
          <w:noProof/>
        </w:rPr>
      </w:pPr>
      <w:r>
        <w:rPr>
          <w:noProof/>
        </w:rPr>
        <w:t xml:space="preserve">Ezt a beruházást 2026. június 30-ig be kell fejezni. </w:t>
      </w:r>
    </w:p>
    <w:p w14:paraId="070A9A31" w14:textId="19BC6F22" w:rsidR="003E1D81" w:rsidRDefault="00EB481C">
      <w:pPr>
        <w:pStyle w:val="P68B1DB1-Normal6"/>
        <w:spacing w:before="120" w:after="120" w:line="240" w:lineRule="auto"/>
        <w:jc w:val="both"/>
        <w:rPr>
          <w:rFonts w:cs="Times New Roman"/>
          <w:noProof/>
        </w:rPr>
      </w:pPr>
      <w:r>
        <w:rPr>
          <w:noProof/>
        </w:rPr>
        <w:t>Beruházás (C5.I3) – Digitális átállás a vízügyi ágazatban (digitális környezetvédelmi végrehajtás) – Stratégiai projekt a gazdasági helyreállít</w:t>
      </w:r>
      <w:r>
        <w:rPr>
          <w:noProof/>
        </w:rPr>
        <w:t>ásért és átalakításért (PERTE) a vízhasználat digitalizálása érdekében.</w:t>
      </w:r>
    </w:p>
    <w:p w14:paraId="554E6A8B" w14:textId="77777777" w:rsidR="003E1D81" w:rsidRDefault="00EB481C">
      <w:pPr>
        <w:pStyle w:val="P68B1DB1-Normal4"/>
        <w:spacing w:before="120" w:after="120" w:line="240" w:lineRule="auto"/>
        <w:jc w:val="both"/>
        <w:rPr>
          <w:rFonts w:cs="Times New Roman"/>
          <w:noProof/>
        </w:rPr>
      </w:pPr>
      <w:r>
        <w:rPr>
          <w:noProof/>
        </w:rPr>
        <w:t>A digitális átállás döntő szerepet játszhat a vízügyi ágazat hatékonyságának javításában. A vízgazdálkodás digitalizálásának javítása érdekében e beruházásnak három cselekvési irányvon</w:t>
      </w:r>
      <w:r>
        <w:rPr>
          <w:noProof/>
        </w:rPr>
        <w:t xml:space="preserve">alat kell követnie:  </w:t>
      </w:r>
    </w:p>
    <w:p w14:paraId="215E8BC9" w14:textId="627C0C7C" w:rsidR="003E1D81" w:rsidRDefault="00EB481C">
      <w:pPr>
        <w:pStyle w:val="P68B1DB1-ListParagraph7"/>
        <w:numPr>
          <w:ilvl w:val="0"/>
          <w:numId w:val="93"/>
        </w:numPr>
        <w:spacing w:before="120" w:line="240" w:lineRule="auto"/>
        <w:jc w:val="both"/>
        <w:rPr>
          <w:rFonts w:cs="Times New Roman"/>
          <w:noProof/>
        </w:rPr>
      </w:pPr>
      <w:r>
        <w:rPr>
          <w:noProof/>
        </w:rPr>
        <w:t>A vízkészletek ismeretének és felhasználásának javítása – PERTE a vízhasználat digitalizálása érdekében. Ez a PERTE digitalizáció és innováció révén korszerűsíti a vízkörforgást. Ez hatékonyabb és fenntarthatóbb vízgazdálkodást valósí</w:t>
      </w:r>
      <w:r>
        <w:rPr>
          <w:noProof/>
        </w:rPr>
        <w:t>t meg azáltal, hogy a digitalizáció révén javítja a vízhasználattal kapcsolatos ismereteket. Ez a városi vízkörforgás digitalizálását előmozdító programok támogatásával, versenypályázati felhívások révén, valamint az öntözés digitális öntözőrendszerén kere</w:t>
      </w:r>
      <w:r>
        <w:rPr>
          <w:noProof/>
        </w:rPr>
        <w:t xml:space="preserve">sztül valósul meg. </w:t>
      </w:r>
    </w:p>
    <w:p w14:paraId="18993E17" w14:textId="77777777" w:rsidR="003E1D81" w:rsidRDefault="00EB481C">
      <w:pPr>
        <w:pStyle w:val="P68B1DB1-ListParagraph7"/>
        <w:numPr>
          <w:ilvl w:val="0"/>
          <w:numId w:val="93"/>
        </w:numPr>
        <w:spacing w:after="0" w:line="240" w:lineRule="auto"/>
        <w:jc w:val="both"/>
        <w:rPr>
          <w:rFonts w:cs="Times New Roman"/>
          <w:noProof/>
        </w:rPr>
      </w:pPr>
      <w:r>
        <w:rPr>
          <w:noProof/>
        </w:rPr>
        <w:t>A vízgyűjtők és a part menti területek esőzéseinek nyomon követésére irányuló intézkedések. Ennek a cselekvési irányvonalnak elő kell mozdítania a meteorológiai radarok hálózatának megújítását és új rövidsávú berendezésekkel való kiegészítését, például a r</w:t>
      </w:r>
      <w:r>
        <w:rPr>
          <w:noProof/>
        </w:rPr>
        <w:t xml:space="preserve">adar valós idejű kalibrálására szolgáló automatikus meteorológiai állomások felújítását és fejlesztését, valamint egy nemzeti radarközpont tervezését, fejlesztését és megvalósítását. </w:t>
      </w:r>
    </w:p>
    <w:p w14:paraId="6F6BD6C5" w14:textId="77777777" w:rsidR="003E1D81" w:rsidRDefault="00EB481C">
      <w:pPr>
        <w:pStyle w:val="P68B1DB1-Normal4"/>
        <w:numPr>
          <w:ilvl w:val="0"/>
          <w:numId w:val="93"/>
        </w:numPr>
        <w:spacing w:after="0" w:line="240" w:lineRule="auto"/>
        <w:ind w:left="357" w:hanging="357"/>
        <w:jc w:val="both"/>
        <w:rPr>
          <w:rFonts w:cs="Times New Roman"/>
          <w:noProof/>
        </w:rPr>
      </w:pPr>
      <w:r>
        <w:rPr>
          <w:noProof/>
        </w:rPr>
        <w:t>A meteorológiai megfigyelés és az éghajlati kockázatok jobb nyomon követ</w:t>
      </w:r>
      <w:r>
        <w:rPr>
          <w:noProof/>
        </w:rPr>
        <w:t>ése és megelőzése, ennek magában kell foglalnia egy új integrált meteorológiai segítségnyújtási rendszert, a korai előrejelzést szolgáló meteorológiai megfigyelési eszközöket, beleértve az integrált globális megfigyelőrendszer megvalósítását, a kiszervezés</w:t>
      </w:r>
      <w:r>
        <w:rPr>
          <w:noProof/>
        </w:rPr>
        <w:t xml:space="preserve"> létrehozását, a meteorológiai adatok mesterségesintelligencia-technikák alkalmazásával történő automatikus minőségellenőrzését és címkézését, a NoSQL-adatok mélységét a nagy mennyiségű adat feldolgozásán alapuló adatok hatékony végrehajtása érdekében. </w:t>
      </w:r>
    </w:p>
    <w:p w14:paraId="660533E1" w14:textId="77777777" w:rsidR="003E1D81" w:rsidRDefault="00EB481C">
      <w:pPr>
        <w:pStyle w:val="P68B1DB1-Normal4"/>
        <w:spacing w:before="120" w:after="120" w:line="240" w:lineRule="auto"/>
        <w:jc w:val="both"/>
        <w:rPr>
          <w:rFonts w:cs="Times New Roman"/>
          <w:noProof/>
        </w:rPr>
      </w:pPr>
      <w:r>
        <w:rPr>
          <w:noProof/>
        </w:rPr>
        <w:t xml:space="preserve">A </w:t>
      </w:r>
      <w:r>
        <w:rPr>
          <w:noProof/>
        </w:rPr>
        <w:t>beruházásnak 26 eszköz vagy megújított infrastruktúra üzembe helyezésével kell foglalkoznia a vízkészletek ismeretének és használatának javítása, valamint az éghajlati kockázatok megelőzése érdekében a csapadékmennyiség és más meteorológiai adatok nyomon k</w:t>
      </w:r>
      <w:r>
        <w:rPr>
          <w:noProof/>
        </w:rPr>
        <w:t>övetése érdekében.</w:t>
      </w:r>
    </w:p>
    <w:p w14:paraId="09230588" w14:textId="0A75C870" w:rsidR="003E1D81" w:rsidRDefault="00EB481C">
      <w:pPr>
        <w:pStyle w:val="P68B1DB1-Normal4"/>
        <w:spacing w:before="120" w:after="120" w:line="240" w:lineRule="auto"/>
        <w:jc w:val="both"/>
        <w:rPr>
          <w:rFonts w:cs="Times New Roman"/>
          <w:noProof/>
        </w:rPr>
      </w:pPr>
      <w:r>
        <w:rPr>
          <w:noProof/>
        </w:rPr>
        <w:t xml:space="preserve">A beruházást 2026. június 30-ig be kell fejezni. </w:t>
      </w:r>
    </w:p>
    <w:p w14:paraId="5E7C27E2" w14:textId="77777777" w:rsidR="003E1D81" w:rsidRDefault="00EB481C">
      <w:pPr>
        <w:pStyle w:val="P68B1DB1-Normal6"/>
        <w:keepNext/>
        <w:spacing w:before="120" w:after="120" w:line="240" w:lineRule="auto"/>
        <w:jc w:val="both"/>
        <w:rPr>
          <w:rFonts w:cs="Times New Roman"/>
          <w:noProof/>
        </w:rPr>
      </w:pPr>
      <w:r>
        <w:rPr>
          <w:noProof/>
        </w:rPr>
        <w:t>Beruházás (C5.I4) – A partvidék éghajlatváltozáshoz való alkalmazkodása, tengervédelmi stratégiák és tengeri területrendezési tervek végrehajtása</w:t>
      </w:r>
    </w:p>
    <w:p w14:paraId="7A7A0757" w14:textId="63972270" w:rsidR="003E1D81" w:rsidRDefault="00EB481C">
      <w:pPr>
        <w:pStyle w:val="P68B1DB1-Normal4"/>
        <w:keepNext/>
        <w:spacing w:before="120" w:after="120" w:line="240" w:lineRule="auto"/>
        <w:jc w:val="both"/>
        <w:rPr>
          <w:rFonts w:cs="Times New Roman"/>
          <w:noProof/>
        </w:rPr>
      </w:pPr>
      <w:r>
        <w:rPr>
          <w:noProof/>
        </w:rPr>
        <w:t>Az éghajlatváltozás a spanyol partvidékre</w:t>
      </w:r>
      <w:r>
        <w:rPr>
          <w:noProof/>
        </w:rPr>
        <w:t xml:space="preserve"> jelentős negatív hatást gyakorol, és várhatóan is lesz. E beruházásnak végre kell hajtania a part menti területeknek az éghajlatváltozás hatásaihoz való alkalmazkodására irányuló stratégiát azzal a céllal, hogy növelje a spanyol partvidék éghajlatváltozás</w:t>
      </w:r>
      <w:r>
        <w:rPr>
          <w:noProof/>
        </w:rPr>
        <w:t>sal és az éghajlat változékonyságával szembeni ellenálló képességét, és integrálja az éghajlatváltozáshoz való alkalmazkodást a spanyol partvidékek tervezésébe és kezelésébe. Ez magában foglalja a törővíz, a mesterséges strandok, az úszó felületek, az üled</w:t>
      </w:r>
      <w:r>
        <w:rPr>
          <w:noProof/>
        </w:rPr>
        <w:t xml:space="preserve">ékgazdálkodás, a természetalapú megoldások, a tengerparti és dűnérendszer helyreállítása, a partvédelmi infrastruktúra, a part menti erózió távoli megfigyelésére szolgáló intelligens hálózatok bevezetése vagy hasonló hatású intézkedések létrehozását. </w:t>
      </w:r>
    </w:p>
    <w:p w14:paraId="6E481BF5" w14:textId="3A00F0FC" w:rsidR="003E1D81" w:rsidRDefault="00EB481C">
      <w:pPr>
        <w:pStyle w:val="P68B1DB1-Normal4"/>
        <w:spacing w:before="120" w:after="120" w:line="240" w:lineRule="auto"/>
        <w:jc w:val="both"/>
        <w:rPr>
          <w:rFonts w:cs="Times New Roman"/>
          <w:noProof/>
        </w:rPr>
      </w:pPr>
      <w:r>
        <w:rPr>
          <w:noProof/>
        </w:rPr>
        <w:t>E be</w:t>
      </w:r>
      <w:r>
        <w:rPr>
          <w:noProof/>
        </w:rPr>
        <w:t xml:space="preserve">ruházás célja a part menti ökoszisztémák vagy a leromlott állapotú területek védelme és helyreállítása. Ezt különböző intézkedésekkel kell elérni, mint például: visszacsúszás által érintett létesítmények áthelyezése; az állami tulajdonban lévő szárazföldi </w:t>
      </w:r>
      <w:r>
        <w:rPr>
          <w:noProof/>
        </w:rPr>
        <w:t>tengeri területek körülhatárolása; nem megfelelően vagy nem megfelelően elfoglalt állami tulajdonban lévő tengerparti területek visszaszerzése; kockázatértékelés és -kezelés vagy hasonló intézkedések; v. a leromlott part menti területek és ökoszisztémák kö</w:t>
      </w:r>
      <w:r>
        <w:rPr>
          <w:noProof/>
        </w:rPr>
        <w:t xml:space="preserve">rnyezeti helyreállítása, a partvonal megőrzése és kezelése; és/vagy vi. hasonló hatású intézkedések. </w:t>
      </w:r>
    </w:p>
    <w:p w14:paraId="5490957C" w14:textId="77777777" w:rsidR="003E1D81" w:rsidRDefault="00EB481C">
      <w:pPr>
        <w:pStyle w:val="P68B1DB1-Normal4"/>
        <w:spacing w:before="120" w:after="120" w:line="240" w:lineRule="auto"/>
        <w:jc w:val="both"/>
        <w:rPr>
          <w:rFonts w:cs="Times New Roman"/>
          <w:noProof/>
        </w:rPr>
      </w:pPr>
      <w:r>
        <w:rPr>
          <w:noProof/>
        </w:rPr>
        <w:t>Az intézkedésnek továbbá javítania kell a köztulajdonban lévő szárazföldi tengeri területek rendezett és helyes hozzáférhetőségét azáltal, hogy a közterül</w:t>
      </w:r>
      <w:r>
        <w:rPr>
          <w:noProof/>
        </w:rPr>
        <w:t>ethez való hozzáférés biztosítása érdekében helyreállítja a földterületeket, valamint a hozzáférés vagy a hasonló hatású intézkedések tervezését, kezelését és helyreállítását. A beruházásnak a stratégiai tengertervezési politikák végrehajtásával kell fogla</w:t>
      </w:r>
      <w:r>
        <w:rPr>
          <w:noProof/>
        </w:rPr>
        <w:t xml:space="preserve">lkoznia. Ezt a tengeri területrendezés, a tengervédelmi stratégiák, az óceánokra és az éghajlatra vonatkozó tudományos tanácsadás, valamint a tengerhasználók számára georeferencia-alapú webes alkalmazás kifejlesztése révén kell megvalósítani. </w:t>
      </w:r>
    </w:p>
    <w:p w14:paraId="1EB9D0C2" w14:textId="412FDB72" w:rsidR="003E1D81" w:rsidRDefault="00EB481C">
      <w:pPr>
        <w:pStyle w:val="P68B1DB1-Normal4"/>
        <w:spacing w:before="120" w:after="120" w:line="240" w:lineRule="auto"/>
        <w:jc w:val="both"/>
        <w:rPr>
          <w:rFonts w:cs="Times New Roman"/>
          <w:noProof/>
        </w:rPr>
      </w:pPr>
      <w:r>
        <w:rPr>
          <w:noProof/>
        </w:rPr>
        <w:t>Ezt a beruhá</w:t>
      </w:r>
      <w:r>
        <w:rPr>
          <w:noProof/>
        </w:rPr>
        <w:t xml:space="preserve">zást 2025. december 31-ig be kell fejezni. </w:t>
      </w:r>
    </w:p>
    <w:p w14:paraId="4AE0E1B1" w14:textId="77777777" w:rsidR="003E1D81" w:rsidRDefault="00EB481C">
      <w:pPr>
        <w:pStyle w:val="P68B1DB1-Normal5"/>
        <w:spacing w:before="120" w:after="120" w:line="240" w:lineRule="auto"/>
        <w:ind w:left="720"/>
        <w:jc w:val="both"/>
        <w:rPr>
          <w:rFonts w:cs="Times New Roman"/>
          <w:noProof/>
        </w:rPr>
      </w:pPr>
      <w:r>
        <w:rPr>
          <w:noProof/>
        </w:rPr>
        <w:t xml:space="preserve">E.2. </w:t>
      </w:r>
      <w:r>
        <w:rPr>
          <w:noProof/>
        </w:rPr>
        <w:tab/>
        <w:t>Vissza nem térítendő pénzügyi támogatás – a végrehajtáshoz és a nyomon követéshez kapcsolódó mérföldkövek, célok, mutatók és ütemterv</w:t>
      </w:r>
    </w:p>
    <w:p w14:paraId="2F87F039" w14:textId="77777777"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Az alapforgatókönyv valamennyi mutató esetében 2020. feb</w:t>
      </w:r>
      <w:r>
        <w:rPr>
          <w:i/>
          <w:noProof/>
        </w:rPr>
        <w:t>ruár 1-je, kivéve, ha az intézkedés leírása másként jelzi. A táblázatban szereplő összegek nem tartalmazzák a héát.</w:t>
      </w:r>
    </w:p>
    <w:p w14:paraId="680A4E5D" w14:textId="77777777" w:rsidR="003E1D81" w:rsidRDefault="003E1D81">
      <w:pPr>
        <w:spacing w:before="120" w:after="120" w:line="240" w:lineRule="auto"/>
        <w:ind w:left="709"/>
        <w:jc w:val="both"/>
        <w:rPr>
          <w:rFonts w:ascii="Times New Roman" w:hAnsi="Times New Roman" w:cs="Times New Roman"/>
          <w:noProof/>
          <w:sz w:val="24"/>
        </w:rPr>
        <w:sectPr w:rsidR="003E1D81" w:rsidSect="00522183">
          <w:headerReference w:type="even" r:id="rId126"/>
          <w:headerReference w:type="default" r:id="rId127"/>
          <w:footerReference w:type="even" r:id="rId128"/>
          <w:footerReference w:type="default" r:id="rId129"/>
          <w:headerReference w:type="first" r:id="rId130"/>
          <w:footerReference w:type="first" r:id="rId131"/>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835"/>
        <w:gridCol w:w="993"/>
        <w:gridCol w:w="850"/>
        <w:gridCol w:w="425"/>
        <w:gridCol w:w="709"/>
        <w:gridCol w:w="425"/>
        <w:gridCol w:w="567"/>
        <w:gridCol w:w="6096"/>
      </w:tblGrid>
      <w:tr w:rsidR="003E1D81" w14:paraId="701187C7" w14:textId="77777777">
        <w:trPr>
          <w:trHeight w:val="309"/>
          <w:tblHeader/>
        </w:trPr>
        <w:tc>
          <w:tcPr>
            <w:tcW w:w="709" w:type="dxa"/>
            <w:tcBorders>
              <w:bottom w:val="nil"/>
            </w:tcBorders>
            <w:shd w:val="clear" w:color="auto" w:fill="C6D9F1" w:themeFill="text2" w:themeFillTint="33"/>
            <w:noWrap/>
            <w:vAlign w:val="center"/>
          </w:tcPr>
          <w:p w14:paraId="4EEC6ACA"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3A6302B5"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69514B1F"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835" w:type="dxa"/>
            <w:tcBorders>
              <w:bottom w:val="nil"/>
            </w:tcBorders>
            <w:shd w:val="clear" w:color="auto" w:fill="C6D9F1" w:themeFill="text2" w:themeFillTint="33"/>
            <w:noWrap/>
            <w:vAlign w:val="center"/>
          </w:tcPr>
          <w:p w14:paraId="178F8722" w14:textId="77777777" w:rsidR="003E1D81" w:rsidRDefault="00EB481C">
            <w:pPr>
              <w:pStyle w:val="P68B1DB1-Normal12"/>
              <w:spacing w:after="0" w:line="240" w:lineRule="auto"/>
              <w:jc w:val="center"/>
              <w:rPr>
                <w:rFonts w:cs="Times New Roman"/>
                <w:noProof/>
              </w:rPr>
            </w:pPr>
            <w:r>
              <w:rPr>
                <w:noProof/>
              </w:rPr>
              <w:t>Név</w:t>
            </w:r>
          </w:p>
        </w:tc>
        <w:tc>
          <w:tcPr>
            <w:tcW w:w="993" w:type="dxa"/>
            <w:tcBorders>
              <w:bottom w:val="nil"/>
            </w:tcBorders>
            <w:shd w:val="clear" w:color="auto" w:fill="C6D9F1" w:themeFill="text2" w:themeFillTint="33"/>
            <w:noWrap/>
            <w:vAlign w:val="center"/>
          </w:tcPr>
          <w:p w14:paraId="3A30B3BB"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1984" w:type="dxa"/>
            <w:gridSpan w:val="3"/>
            <w:shd w:val="clear" w:color="auto" w:fill="C6D9F1" w:themeFill="text2" w:themeFillTint="33"/>
            <w:noWrap/>
            <w:vAlign w:val="center"/>
          </w:tcPr>
          <w:p w14:paraId="0A60ADD5" w14:textId="77777777" w:rsidR="003E1D81" w:rsidRDefault="00EB481C">
            <w:pPr>
              <w:pStyle w:val="P68B1DB1-Normal12"/>
              <w:spacing w:after="0" w:line="240" w:lineRule="auto"/>
              <w:jc w:val="center"/>
              <w:rPr>
                <w:rFonts w:cs="Times New Roman"/>
                <w:noProof/>
              </w:rPr>
            </w:pPr>
            <w:r>
              <w:rPr>
                <w:noProof/>
              </w:rPr>
              <w:t xml:space="preserve">A célérték </w:t>
            </w:r>
            <w:r>
              <w:rPr>
                <w:noProof/>
              </w:rPr>
              <w:t>mennyiségi mutatója</w:t>
            </w:r>
          </w:p>
        </w:tc>
        <w:tc>
          <w:tcPr>
            <w:tcW w:w="992" w:type="dxa"/>
            <w:gridSpan w:val="2"/>
            <w:shd w:val="clear" w:color="auto" w:fill="C6D9F1" w:themeFill="text2" w:themeFillTint="33"/>
            <w:noWrap/>
            <w:vAlign w:val="center"/>
          </w:tcPr>
          <w:p w14:paraId="32A3605C" w14:textId="77777777" w:rsidR="003E1D81" w:rsidRDefault="00EB481C">
            <w:pPr>
              <w:pStyle w:val="P68B1DB1-Normal12"/>
              <w:spacing w:after="0" w:line="240" w:lineRule="auto"/>
              <w:jc w:val="center"/>
              <w:rPr>
                <w:rFonts w:cs="Times New Roman"/>
                <w:noProof/>
              </w:rPr>
            </w:pPr>
            <w:r>
              <w:rPr>
                <w:noProof/>
              </w:rPr>
              <w:t>Idő</w:t>
            </w:r>
          </w:p>
        </w:tc>
        <w:tc>
          <w:tcPr>
            <w:tcW w:w="6096" w:type="dxa"/>
            <w:tcBorders>
              <w:bottom w:val="nil"/>
            </w:tcBorders>
            <w:shd w:val="clear" w:color="auto" w:fill="C6D9F1" w:themeFill="text2" w:themeFillTint="33"/>
            <w:noWrap/>
            <w:vAlign w:val="center"/>
          </w:tcPr>
          <w:p w14:paraId="7C1CC161"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6F9ACA8B" w14:textId="77777777">
        <w:trPr>
          <w:trHeight w:val="309"/>
          <w:tblHeader/>
        </w:trPr>
        <w:tc>
          <w:tcPr>
            <w:tcW w:w="709" w:type="dxa"/>
            <w:tcBorders>
              <w:top w:val="nil"/>
            </w:tcBorders>
            <w:shd w:val="clear" w:color="auto" w:fill="C6D9F1" w:themeFill="text2" w:themeFillTint="33"/>
            <w:noWrap/>
          </w:tcPr>
          <w:p w14:paraId="19219836"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296FEF7D"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7194DBDC" w14:textId="77777777" w:rsidR="003E1D81" w:rsidRDefault="003E1D81">
            <w:pPr>
              <w:spacing w:after="0" w:line="240" w:lineRule="auto"/>
              <w:jc w:val="center"/>
              <w:rPr>
                <w:rFonts w:ascii="Times New Roman" w:hAnsi="Times New Roman" w:cs="Times New Roman"/>
                <w:b/>
                <w:noProof/>
                <w:sz w:val="18"/>
              </w:rPr>
            </w:pPr>
          </w:p>
        </w:tc>
        <w:tc>
          <w:tcPr>
            <w:tcW w:w="2835" w:type="dxa"/>
            <w:tcBorders>
              <w:top w:val="nil"/>
            </w:tcBorders>
            <w:shd w:val="clear" w:color="auto" w:fill="C6D9F1" w:themeFill="text2" w:themeFillTint="33"/>
            <w:noWrap/>
          </w:tcPr>
          <w:p w14:paraId="769D0D3C" w14:textId="77777777" w:rsidR="003E1D81" w:rsidRDefault="003E1D81">
            <w:pPr>
              <w:spacing w:after="0" w:line="240" w:lineRule="auto"/>
              <w:rPr>
                <w:rFonts w:ascii="Times New Roman" w:hAnsi="Times New Roman" w:cs="Times New Roman"/>
                <w:b/>
                <w:noProof/>
                <w:sz w:val="18"/>
              </w:rPr>
            </w:pPr>
          </w:p>
        </w:tc>
        <w:tc>
          <w:tcPr>
            <w:tcW w:w="993" w:type="dxa"/>
            <w:tcBorders>
              <w:top w:val="nil"/>
            </w:tcBorders>
            <w:shd w:val="clear" w:color="auto" w:fill="C6D9F1" w:themeFill="text2" w:themeFillTint="33"/>
            <w:noWrap/>
          </w:tcPr>
          <w:p w14:paraId="54CD245A" w14:textId="77777777" w:rsidR="003E1D81" w:rsidRDefault="003E1D81">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7B173101" w14:textId="77777777" w:rsidR="003E1D81" w:rsidRDefault="00EB481C">
            <w:pPr>
              <w:pStyle w:val="P68B1DB1-Normal12"/>
              <w:spacing w:after="0" w:line="240" w:lineRule="auto"/>
              <w:jc w:val="center"/>
              <w:rPr>
                <w:rFonts w:cs="Times New Roman"/>
                <w:noProof/>
              </w:rPr>
            </w:pPr>
            <w:r>
              <w:rPr>
                <w:noProof/>
              </w:rPr>
              <w:t>Egység</w:t>
            </w:r>
          </w:p>
        </w:tc>
        <w:tc>
          <w:tcPr>
            <w:tcW w:w="425" w:type="dxa"/>
            <w:shd w:val="clear" w:color="auto" w:fill="C6D9F1" w:themeFill="text2" w:themeFillTint="33"/>
            <w:noWrap/>
            <w:vAlign w:val="center"/>
          </w:tcPr>
          <w:p w14:paraId="005A6B31" w14:textId="77777777" w:rsidR="003E1D81" w:rsidRDefault="00EB481C">
            <w:pPr>
              <w:pStyle w:val="P68B1DB1-Normal12"/>
              <w:spacing w:after="0" w:line="240" w:lineRule="auto"/>
              <w:jc w:val="center"/>
              <w:rPr>
                <w:rFonts w:cs="Times New Roman"/>
                <w:noProof/>
              </w:rPr>
            </w:pPr>
            <w:r>
              <w:rPr>
                <w:noProof/>
              </w:rPr>
              <w:t>Alapérték</w:t>
            </w:r>
          </w:p>
        </w:tc>
        <w:tc>
          <w:tcPr>
            <w:tcW w:w="709" w:type="dxa"/>
            <w:shd w:val="clear" w:color="auto" w:fill="C6D9F1" w:themeFill="text2" w:themeFillTint="33"/>
            <w:noWrap/>
            <w:vAlign w:val="center"/>
          </w:tcPr>
          <w:p w14:paraId="04C27F3C" w14:textId="77777777" w:rsidR="003E1D81" w:rsidRDefault="00EB481C">
            <w:pPr>
              <w:pStyle w:val="P68B1DB1-Normal12"/>
              <w:spacing w:after="0" w:line="240" w:lineRule="auto"/>
              <w:jc w:val="center"/>
              <w:rPr>
                <w:rFonts w:cs="Times New Roman"/>
                <w:noProof/>
              </w:rPr>
            </w:pPr>
            <w:r>
              <w:rPr>
                <w:noProof/>
              </w:rPr>
              <w:t>Cél</w:t>
            </w:r>
          </w:p>
        </w:tc>
        <w:tc>
          <w:tcPr>
            <w:tcW w:w="425" w:type="dxa"/>
            <w:shd w:val="clear" w:color="auto" w:fill="C6D9F1" w:themeFill="text2" w:themeFillTint="33"/>
            <w:noWrap/>
            <w:vAlign w:val="center"/>
          </w:tcPr>
          <w:p w14:paraId="6D5F76BE"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72C88E70" w14:textId="77777777" w:rsidR="003E1D81" w:rsidRDefault="00EB481C">
            <w:pPr>
              <w:pStyle w:val="P68B1DB1-Normal12"/>
              <w:spacing w:after="0" w:line="240" w:lineRule="auto"/>
              <w:jc w:val="center"/>
              <w:rPr>
                <w:rFonts w:cs="Times New Roman"/>
                <w:noProof/>
              </w:rPr>
            </w:pPr>
            <w:r>
              <w:rPr>
                <w:noProof/>
              </w:rPr>
              <w:t>Éve</w:t>
            </w:r>
          </w:p>
        </w:tc>
        <w:tc>
          <w:tcPr>
            <w:tcW w:w="6096" w:type="dxa"/>
            <w:tcBorders>
              <w:top w:val="nil"/>
            </w:tcBorders>
            <w:shd w:val="clear" w:color="auto" w:fill="C6D9F1" w:themeFill="text2" w:themeFillTint="33"/>
            <w:noWrap/>
          </w:tcPr>
          <w:p w14:paraId="1231BE67" w14:textId="77777777" w:rsidR="003E1D81" w:rsidRDefault="003E1D81">
            <w:pPr>
              <w:spacing w:after="0" w:line="240" w:lineRule="auto"/>
              <w:rPr>
                <w:rFonts w:ascii="Times New Roman" w:hAnsi="Times New Roman" w:cs="Times New Roman"/>
                <w:b/>
                <w:noProof/>
                <w:sz w:val="18"/>
              </w:rPr>
            </w:pPr>
          </w:p>
        </w:tc>
      </w:tr>
      <w:tr w:rsidR="003E1D81" w14:paraId="2F037FBF" w14:textId="77777777">
        <w:trPr>
          <w:trHeight w:val="309"/>
        </w:trPr>
        <w:tc>
          <w:tcPr>
            <w:tcW w:w="709" w:type="dxa"/>
            <w:shd w:val="clear" w:color="auto" w:fill="C6EFCE"/>
            <w:noWrap/>
          </w:tcPr>
          <w:p w14:paraId="72947656" w14:textId="77777777" w:rsidR="003E1D81" w:rsidRDefault="00EB481C">
            <w:pPr>
              <w:pStyle w:val="P68B1DB1-Normal13"/>
              <w:spacing w:after="0" w:line="240" w:lineRule="auto"/>
              <w:jc w:val="center"/>
              <w:rPr>
                <w:rFonts w:eastAsia="MS Mincho" w:cs="Times New Roman"/>
                <w:noProof/>
              </w:rPr>
            </w:pPr>
            <w:r>
              <w:rPr>
                <w:noProof/>
              </w:rPr>
              <w:t>74</w:t>
            </w:r>
          </w:p>
        </w:tc>
        <w:tc>
          <w:tcPr>
            <w:tcW w:w="851" w:type="dxa"/>
            <w:shd w:val="clear" w:color="auto" w:fill="C6EFCE"/>
            <w:noWrap/>
          </w:tcPr>
          <w:p w14:paraId="31550F39" w14:textId="77777777" w:rsidR="003E1D81" w:rsidRDefault="00EB481C">
            <w:pPr>
              <w:pStyle w:val="P68B1DB1-Normal13"/>
              <w:spacing w:after="0" w:line="240" w:lineRule="auto"/>
              <w:jc w:val="center"/>
              <w:rPr>
                <w:rFonts w:eastAsia="MS Mincho" w:cs="Times New Roman"/>
                <w:noProof/>
              </w:rPr>
            </w:pPr>
            <w:r>
              <w:rPr>
                <w:noProof/>
              </w:rPr>
              <w:t>C5.R1</w:t>
            </w:r>
          </w:p>
        </w:tc>
        <w:tc>
          <w:tcPr>
            <w:tcW w:w="850" w:type="dxa"/>
            <w:shd w:val="clear" w:color="auto" w:fill="C6EFCE"/>
            <w:noWrap/>
          </w:tcPr>
          <w:p w14:paraId="407CADBF" w14:textId="77777777" w:rsidR="003E1D81" w:rsidRDefault="00EB481C">
            <w:pPr>
              <w:pStyle w:val="P68B1DB1-Normal13"/>
              <w:spacing w:after="0" w:line="240" w:lineRule="auto"/>
              <w:jc w:val="center"/>
              <w:rPr>
                <w:rFonts w:eastAsia="MS Mincho" w:cs="Times New Roman"/>
                <w:noProof/>
              </w:rPr>
            </w:pPr>
            <w:r>
              <w:rPr>
                <w:noProof/>
              </w:rPr>
              <w:t>M</w:t>
            </w:r>
          </w:p>
        </w:tc>
        <w:tc>
          <w:tcPr>
            <w:tcW w:w="2835" w:type="dxa"/>
            <w:shd w:val="clear" w:color="auto" w:fill="C6EFCE"/>
            <w:noWrap/>
          </w:tcPr>
          <w:p w14:paraId="07FACBF3" w14:textId="77777777" w:rsidR="003E1D81" w:rsidRDefault="00EB481C">
            <w:pPr>
              <w:pStyle w:val="P68B1DB1-Normal13"/>
              <w:spacing w:after="0" w:line="240" w:lineRule="auto"/>
              <w:rPr>
                <w:rFonts w:eastAsia="MS Mincho" w:cs="Times New Roman"/>
                <w:noProof/>
              </w:rPr>
            </w:pPr>
            <w:r>
              <w:rPr>
                <w:noProof/>
              </w:rPr>
              <w:t xml:space="preserve">A vízügyi tervezésről szóló rendelet módosításainak hatálybalépése </w:t>
            </w:r>
          </w:p>
        </w:tc>
        <w:tc>
          <w:tcPr>
            <w:tcW w:w="993" w:type="dxa"/>
            <w:shd w:val="clear" w:color="auto" w:fill="C6EFCE"/>
            <w:noWrap/>
          </w:tcPr>
          <w:p w14:paraId="7F6415FC" w14:textId="77777777" w:rsidR="003E1D81" w:rsidRDefault="00EB481C">
            <w:pPr>
              <w:pStyle w:val="P68B1DB1-Normal13"/>
              <w:spacing w:after="0" w:line="240" w:lineRule="auto"/>
              <w:jc w:val="center"/>
              <w:rPr>
                <w:rFonts w:eastAsia="MS Mincho" w:cs="Times New Roman"/>
                <w:noProof/>
              </w:rPr>
            </w:pPr>
            <w:r>
              <w:rPr>
                <w:noProof/>
              </w:rPr>
              <w:t>A királyi rendelet hatálybalépéséről szóló rendelkezése</w:t>
            </w:r>
          </w:p>
        </w:tc>
        <w:tc>
          <w:tcPr>
            <w:tcW w:w="850" w:type="dxa"/>
            <w:shd w:val="clear" w:color="auto" w:fill="C6EFCE"/>
            <w:noWrap/>
          </w:tcPr>
          <w:p w14:paraId="4A2859AB"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1ECA394A"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5F21F270"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51B8BD07"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55BFB259" w14:textId="77777777" w:rsidR="003E1D81" w:rsidRDefault="00EB481C">
            <w:pPr>
              <w:pStyle w:val="P68B1DB1-Normal13"/>
              <w:spacing w:after="0" w:line="240" w:lineRule="auto"/>
              <w:jc w:val="center"/>
              <w:rPr>
                <w:rFonts w:eastAsia="MS Mincho" w:cs="Times New Roman"/>
                <w:noProof/>
              </w:rPr>
            </w:pPr>
            <w:r>
              <w:rPr>
                <w:noProof/>
              </w:rPr>
              <w:t>2021</w:t>
            </w:r>
          </w:p>
        </w:tc>
        <w:tc>
          <w:tcPr>
            <w:tcW w:w="6096" w:type="dxa"/>
            <w:shd w:val="clear" w:color="auto" w:fill="C6EFCE"/>
            <w:noWrap/>
          </w:tcPr>
          <w:p w14:paraId="3A6C8438" w14:textId="77777777" w:rsidR="003E1D81" w:rsidRDefault="00EB481C">
            <w:pPr>
              <w:pStyle w:val="P68B1DB1-Normal13"/>
              <w:spacing w:after="0" w:line="240" w:lineRule="auto"/>
              <w:rPr>
                <w:rFonts w:eastAsia="MS Mincho" w:cs="Times New Roman"/>
                <w:noProof/>
              </w:rPr>
            </w:pPr>
            <w:r>
              <w:rPr>
                <w:noProof/>
              </w:rPr>
              <w:t>Királyi rendelet a vízügyi tervezésről szóló rendelet módosításáról (Hivatalos Lap). A módosítások az aszályokkal és a vízhiánnyal, a víz-keretirányelv végrehajtási követelményeivel és a vízügyi irányelvek végrehajtására irányuló közös stratégia keret</w:t>
            </w:r>
            <w:r>
              <w:rPr>
                <w:noProof/>
              </w:rPr>
              <w:t xml:space="preserve">ében a vonatkozó előírásokkal kapcsolatos szempontokra vonatkoznak. </w:t>
            </w:r>
          </w:p>
        </w:tc>
      </w:tr>
      <w:tr w:rsidR="003E1D81" w14:paraId="3692C050" w14:textId="77777777">
        <w:trPr>
          <w:trHeight w:val="309"/>
        </w:trPr>
        <w:tc>
          <w:tcPr>
            <w:tcW w:w="709" w:type="dxa"/>
            <w:shd w:val="clear" w:color="auto" w:fill="C6EFCE"/>
            <w:noWrap/>
          </w:tcPr>
          <w:p w14:paraId="58A771A2" w14:textId="77777777" w:rsidR="003E1D81" w:rsidRDefault="00EB481C">
            <w:pPr>
              <w:pStyle w:val="P68B1DB1-Normal13"/>
              <w:spacing w:after="0" w:line="240" w:lineRule="auto"/>
              <w:jc w:val="center"/>
              <w:rPr>
                <w:rFonts w:cs="Times New Roman"/>
                <w:noProof/>
              </w:rPr>
            </w:pPr>
            <w:r>
              <w:rPr>
                <w:noProof/>
              </w:rPr>
              <w:t>75</w:t>
            </w:r>
          </w:p>
        </w:tc>
        <w:tc>
          <w:tcPr>
            <w:tcW w:w="851" w:type="dxa"/>
            <w:shd w:val="clear" w:color="auto" w:fill="C6EFCE"/>
            <w:noWrap/>
          </w:tcPr>
          <w:p w14:paraId="657A3EC8" w14:textId="77777777" w:rsidR="003E1D81" w:rsidRDefault="00EB481C">
            <w:pPr>
              <w:pStyle w:val="P68B1DB1-Normal13"/>
              <w:spacing w:after="0" w:line="240" w:lineRule="auto"/>
              <w:jc w:val="center"/>
              <w:rPr>
                <w:rFonts w:cs="Times New Roman"/>
                <w:noProof/>
              </w:rPr>
            </w:pPr>
            <w:r>
              <w:rPr>
                <w:noProof/>
              </w:rPr>
              <w:t>C5.R1</w:t>
            </w:r>
          </w:p>
        </w:tc>
        <w:tc>
          <w:tcPr>
            <w:tcW w:w="850" w:type="dxa"/>
            <w:shd w:val="clear" w:color="auto" w:fill="C6EFCE"/>
            <w:noWrap/>
          </w:tcPr>
          <w:p w14:paraId="4C62E683" w14:textId="77777777" w:rsidR="003E1D81" w:rsidRDefault="00EB481C">
            <w:pPr>
              <w:pStyle w:val="P68B1DB1-Normal13"/>
              <w:spacing w:after="0" w:line="240" w:lineRule="auto"/>
              <w:jc w:val="center"/>
              <w:rPr>
                <w:rFonts w:cs="Times New Roman"/>
                <w:noProof/>
              </w:rPr>
            </w:pPr>
            <w:r>
              <w:rPr>
                <w:noProof/>
              </w:rPr>
              <w:t>M</w:t>
            </w:r>
          </w:p>
        </w:tc>
        <w:tc>
          <w:tcPr>
            <w:tcW w:w="2835" w:type="dxa"/>
            <w:shd w:val="clear" w:color="auto" w:fill="C6EFCE"/>
            <w:noWrap/>
          </w:tcPr>
          <w:p w14:paraId="7608EE0D" w14:textId="77777777" w:rsidR="003E1D81" w:rsidRDefault="00EB481C">
            <w:pPr>
              <w:pStyle w:val="P68B1DB1-Normal13"/>
              <w:spacing w:after="0" w:line="240" w:lineRule="auto"/>
              <w:rPr>
                <w:rFonts w:cs="Times New Roman"/>
                <w:noProof/>
              </w:rPr>
            </w:pPr>
            <w:r>
              <w:rPr>
                <w:noProof/>
              </w:rPr>
              <w:t>A vízügyi törvény módosításának és az 1620/2007. sz. királyi rendeletet felváltó új rendeletnek a hatálybalépése</w:t>
            </w:r>
          </w:p>
        </w:tc>
        <w:tc>
          <w:tcPr>
            <w:tcW w:w="993" w:type="dxa"/>
            <w:shd w:val="clear" w:color="auto" w:fill="C6EFCE"/>
            <w:noWrap/>
          </w:tcPr>
          <w:p w14:paraId="6AF562B1" w14:textId="77777777" w:rsidR="003E1D81" w:rsidRDefault="00EB481C">
            <w:pPr>
              <w:pStyle w:val="P68B1DB1-Normal13"/>
              <w:spacing w:after="0" w:line="240" w:lineRule="auto"/>
              <w:jc w:val="center"/>
              <w:rPr>
                <w:rFonts w:cs="Times New Roman"/>
                <w:noProof/>
              </w:rPr>
            </w:pPr>
            <w:r>
              <w:rPr>
                <w:noProof/>
              </w:rPr>
              <w:t xml:space="preserve">A vízügyi törvény hatálybalépésére vonatkozó rendelkezés </w:t>
            </w:r>
          </w:p>
        </w:tc>
        <w:tc>
          <w:tcPr>
            <w:tcW w:w="850" w:type="dxa"/>
            <w:shd w:val="clear" w:color="auto" w:fill="C6EFCE"/>
            <w:noWrap/>
          </w:tcPr>
          <w:p w14:paraId="7146A6A2" w14:textId="77777777" w:rsidR="003E1D81" w:rsidRDefault="00EB481C">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3E226854" w14:textId="77777777" w:rsidR="003E1D81" w:rsidRDefault="00EB481C">
            <w:pPr>
              <w:pStyle w:val="P68B1DB1-Normal13"/>
              <w:spacing w:after="0" w:line="240" w:lineRule="auto"/>
              <w:jc w:val="right"/>
              <w:rPr>
                <w:rFonts w:cs="Times New Roman"/>
                <w:noProof/>
              </w:rPr>
            </w:pPr>
            <w:r>
              <w:rPr>
                <w:noProof/>
              </w:rPr>
              <w:t xml:space="preserve"> </w:t>
            </w:r>
          </w:p>
        </w:tc>
        <w:tc>
          <w:tcPr>
            <w:tcW w:w="709" w:type="dxa"/>
            <w:shd w:val="clear" w:color="auto" w:fill="C6EFCE"/>
            <w:noWrap/>
          </w:tcPr>
          <w:p w14:paraId="61965C7B" w14:textId="77777777" w:rsidR="003E1D81" w:rsidRDefault="00EB481C">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361C868B"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4E8F09C0" w14:textId="77777777" w:rsidR="003E1D81" w:rsidRDefault="00EB481C">
            <w:pPr>
              <w:pStyle w:val="P68B1DB1-Normal13"/>
              <w:spacing w:after="0" w:line="240" w:lineRule="auto"/>
              <w:jc w:val="center"/>
              <w:rPr>
                <w:rFonts w:cs="Times New Roman"/>
                <w:noProof/>
              </w:rPr>
            </w:pPr>
            <w:r>
              <w:rPr>
                <w:noProof/>
              </w:rPr>
              <w:t>2023</w:t>
            </w:r>
          </w:p>
        </w:tc>
        <w:tc>
          <w:tcPr>
            <w:tcW w:w="6096" w:type="dxa"/>
            <w:shd w:val="clear" w:color="auto" w:fill="C6EFCE"/>
            <w:noWrap/>
          </w:tcPr>
          <w:p w14:paraId="3B352102" w14:textId="77777777" w:rsidR="003E1D81" w:rsidRDefault="00EB481C">
            <w:pPr>
              <w:pStyle w:val="P68B1DB1-Normal13"/>
              <w:spacing w:after="0" w:line="240" w:lineRule="auto"/>
              <w:rPr>
                <w:rFonts w:cs="Times New Roman"/>
                <w:noProof/>
              </w:rPr>
            </w:pPr>
            <w:r>
              <w:rPr>
                <w:noProof/>
              </w:rPr>
              <w:t>A víztörvény módosítása a szennyvízkibocsátásra kivetett adók és a vízinfrastruktúra költségeinek megtérülésére szolgáló rendszer felülvizsgálata céljából, a „szennyező fizet” és a költségmegtérülési elvekkel összhangban. Az 1620/2007. sz. ki</w:t>
            </w:r>
            <w:r>
              <w:rPr>
                <w:noProof/>
              </w:rPr>
              <w:t>rályi rendeletet felváltó új rendelet a „szennyező fizet” és a költségmegtérülési elvekkel összhangban módosítja a szennyvíz újrafelhasználására vonatkozó szabályozási és pénzügyi keretet, javítja a víztestek – köztük a felszín alatti vizek – nyomon követé</w:t>
            </w:r>
            <w:r>
              <w:rPr>
                <w:noProof/>
              </w:rPr>
              <w:t xml:space="preserve">sét és védelmét, valamint foglalkozik az aszályokkal és a szűkösséggel kapcsolatos szempontokkal. </w:t>
            </w:r>
          </w:p>
        </w:tc>
      </w:tr>
      <w:tr w:rsidR="003E1D81" w14:paraId="149D7459" w14:textId="77777777">
        <w:trPr>
          <w:trHeight w:val="309"/>
        </w:trPr>
        <w:tc>
          <w:tcPr>
            <w:tcW w:w="709" w:type="dxa"/>
            <w:shd w:val="clear" w:color="auto" w:fill="C6EFCE"/>
            <w:noWrap/>
          </w:tcPr>
          <w:p w14:paraId="13DC3A13" w14:textId="77777777" w:rsidR="003E1D81" w:rsidRDefault="00EB481C">
            <w:pPr>
              <w:pStyle w:val="P68B1DB1-Normal13"/>
              <w:spacing w:after="0" w:line="240" w:lineRule="auto"/>
              <w:jc w:val="center"/>
              <w:rPr>
                <w:rFonts w:cs="Times New Roman"/>
                <w:noProof/>
              </w:rPr>
            </w:pPr>
            <w:r>
              <w:rPr>
                <w:noProof/>
              </w:rPr>
              <w:t>76</w:t>
            </w:r>
          </w:p>
        </w:tc>
        <w:tc>
          <w:tcPr>
            <w:tcW w:w="851" w:type="dxa"/>
            <w:shd w:val="clear" w:color="auto" w:fill="C6EFCE"/>
            <w:noWrap/>
          </w:tcPr>
          <w:p w14:paraId="049534DE" w14:textId="77777777" w:rsidR="003E1D81" w:rsidRDefault="00EB481C">
            <w:pPr>
              <w:pStyle w:val="P68B1DB1-Normal13"/>
              <w:spacing w:after="0" w:line="240" w:lineRule="auto"/>
              <w:jc w:val="center"/>
              <w:rPr>
                <w:rFonts w:cs="Times New Roman"/>
                <w:noProof/>
              </w:rPr>
            </w:pPr>
            <w:r>
              <w:rPr>
                <w:noProof/>
              </w:rPr>
              <w:t>C5.I1</w:t>
            </w:r>
          </w:p>
        </w:tc>
        <w:tc>
          <w:tcPr>
            <w:tcW w:w="850" w:type="dxa"/>
            <w:shd w:val="clear" w:color="auto" w:fill="C6EFCE"/>
            <w:noWrap/>
          </w:tcPr>
          <w:p w14:paraId="4BD27F86" w14:textId="77777777" w:rsidR="003E1D81" w:rsidRDefault="00EB481C">
            <w:pPr>
              <w:pStyle w:val="P68B1DB1-Normal13"/>
              <w:spacing w:after="0" w:line="240" w:lineRule="auto"/>
              <w:jc w:val="center"/>
              <w:rPr>
                <w:rFonts w:cs="Times New Roman"/>
                <w:noProof/>
              </w:rPr>
            </w:pPr>
            <w:r>
              <w:rPr>
                <w:noProof/>
              </w:rPr>
              <w:t>T</w:t>
            </w:r>
          </w:p>
        </w:tc>
        <w:tc>
          <w:tcPr>
            <w:tcW w:w="2835" w:type="dxa"/>
            <w:shd w:val="clear" w:color="auto" w:fill="C6EFCE"/>
            <w:noWrap/>
          </w:tcPr>
          <w:p w14:paraId="1CA7A6EA" w14:textId="77777777" w:rsidR="003E1D81" w:rsidRDefault="00EB481C">
            <w:pPr>
              <w:pStyle w:val="P68B1DB1-Normal13"/>
              <w:spacing w:after="0" w:line="240" w:lineRule="auto"/>
              <w:rPr>
                <w:rFonts w:cs="Times New Roman"/>
                <w:noProof/>
              </w:rPr>
            </w:pPr>
            <w:r>
              <w:rPr>
                <w:noProof/>
              </w:rPr>
              <w:t xml:space="preserve">Jobb víz- és szennyvízkezelési infrastruktúrák </w:t>
            </w:r>
          </w:p>
        </w:tc>
        <w:tc>
          <w:tcPr>
            <w:tcW w:w="993" w:type="dxa"/>
            <w:shd w:val="clear" w:color="auto" w:fill="C6EFCE"/>
            <w:noWrap/>
          </w:tcPr>
          <w:p w14:paraId="36FEB5B0"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1B2052BD" w14:textId="77777777" w:rsidR="003E1D81" w:rsidRDefault="00EB481C">
            <w:pPr>
              <w:pStyle w:val="P68B1DB1-Normal13"/>
              <w:spacing w:after="0" w:line="240" w:lineRule="auto"/>
              <w:jc w:val="right"/>
              <w:rPr>
                <w:rFonts w:cs="Times New Roman"/>
                <w:noProof/>
              </w:rPr>
            </w:pPr>
            <w:r>
              <w:rPr>
                <w:noProof/>
              </w:rPr>
              <w:t>Szám</w:t>
            </w:r>
          </w:p>
          <w:p w14:paraId="4729B1D0" w14:textId="77777777" w:rsidR="003E1D81" w:rsidRDefault="00EB481C">
            <w:pPr>
              <w:pStyle w:val="P68B1DB1-Normal13"/>
              <w:spacing w:after="0" w:line="240" w:lineRule="auto"/>
              <w:jc w:val="right"/>
              <w:rPr>
                <w:rFonts w:cs="Times New Roman"/>
                <w:noProof/>
              </w:rPr>
            </w:pPr>
            <w:r>
              <w:rPr>
                <w:noProof/>
              </w:rPr>
              <w:t>(népesség)</w:t>
            </w:r>
          </w:p>
        </w:tc>
        <w:tc>
          <w:tcPr>
            <w:tcW w:w="425" w:type="dxa"/>
            <w:shd w:val="clear" w:color="auto" w:fill="C6EFCE"/>
            <w:noWrap/>
          </w:tcPr>
          <w:p w14:paraId="5F1B12B4" w14:textId="77777777" w:rsidR="003E1D81" w:rsidRDefault="00EB481C">
            <w:pPr>
              <w:pStyle w:val="P68B1DB1-Normal13"/>
              <w:spacing w:after="0" w:line="240" w:lineRule="auto"/>
              <w:jc w:val="right"/>
              <w:rPr>
                <w:rFonts w:cs="Times New Roman"/>
                <w:noProof/>
              </w:rPr>
            </w:pPr>
            <w:r>
              <w:rPr>
                <w:noProof/>
              </w:rPr>
              <w:t>0</w:t>
            </w:r>
          </w:p>
        </w:tc>
        <w:tc>
          <w:tcPr>
            <w:tcW w:w="709" w:type="dxa"/>
            <w:shd w:val="clear" w:color="auto" w:fill="C6EFCE"/>
            <w:noWrap/>
          </w:tcPr>
          <w:p w14:paraId="1B50CB73" w14:textId="77777777" w:rsidR="003E1D81" w:rsidRDefault="00EB481C">
            <w:pPr>
              <w:pStyle w:val="P68B1DB1-Normal13"/>
              <w:spacing w:after="0" w:line="240" w:lineRule="auto"/>
              <w:jc w:val="right"/>
              <w:rPr>
                <w:rFonts w:cs="Times New Roman"/>
                <w:noProof/>
              </w:rPr>
            </w:pPr>
            <w:r>
              <w:rPr>
                <w:noProof/>
              </w:rPr>
              <w:t>175 000</w:t>
            </w:r>
          </w:p>
        </w:tc>
        <w:tc>
          <w:tcPr>
            <w:tcW w:w="425" w:type="dxa"/>
            <w:shd w:val="clear" w:color="auto" w:fill="C6EFCE"/>
            <w:noWrap/>
          </w:tcPr>
          <w:p w14:paraId="6E302E4F"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5DA843A6" w14:textId="0D5D49CC" w:rsidR="003E1D81" w:rsidRDefault="00EB481C">
            <w:pPr>
              <w:pStyle w:val="P68B1DB1-Normal13"/>
              <w:spacing w:after="0" w:line="240" w:lineRule="auto"/>
              <w:jc w:val="center"/>
              <w:rPr>
                <w:rFonts w:cs="Times New Roman"/>
                <w:noProof/>
              </w:rPr>
            </w:pPr>
            <w:r>
              <w:rPr>
                <w:noProof/>
              </w:rPr>
              <w:t>2023</w:t>
            </w:r>
          </w:p>
        </w:tc>
        <w:tc>
          <w:tcPr>
            <w:tcW w:w="6096" w:type="dxa"/>
            <w:shd w:val="clear" w:color="auto" w:fill="C6EFCE"/>
            <w:noWrap/>
          </w:tcPr>
          <w:p w14:paraId="402BDA6E" w14:textId="77777777" w:rsidR="003E1D81" w:rsidRDefault="00EB481C">
            <w:pPr>
              <w:pStyle w:val="P68B1DB1-Normal13"/>
              <w:spacing w:after="0" w:line="240" w:lineRule="auto"/>
              <w:rPr>
                <w:rFonts w:cs="Times New Roman"/>
                <w:noProof/>
              </w:rPr>
            </w:pPr>
            <w:r>
              <w:rPr>
                <w:noProof/>
              </w:rPr>
              <w:t>Legalább 175000 lakosegyenértéknek megfelelő szolgáltatást</w:t>
            </w:r>
            <w:r>
              <w:rPr>
                <w:noProof/>
              </w:rPr>
              <w:t xml:space="preserve"> nyújtó víz- és szennyvízkezelő infrastruktúrák üzembe helyezése a 91/271/EGK irányelvnek való megfelelés biztosítása és az energiahatékonysági kritériumok elérése, illetve a vízelosztó rendszerek hatékonyságának javítása és/vagy vízveszteségének csökkenté</w:t>
            </w:r>
            <w:r>
              <w:rPr>
                <w:noProof/>
              </w:rPr>
              <w:t>se céljából.</w:t>
            </w:r>
          </w:p>
        </w:tc>
      </w:tr>
      <w:tr w:rsidR="003E1D81" w14:paraId="00E767E5" w14:textId="77777777">
        <w:trPr>
          <w:trHeight w:val="309"/>
        </w:trPr>
        <w:tc>
          <w:tcPr>
            <w:tcW w:w="709" w:type="dxa"/>
            <w:shd w:val="clear" w:color="auto" w:fill="C6EFCE"/>
            <w:noWrap/>
          </w:tcPr>
          <w:p w14:paraId="0280E385" w14:textId="1ED608DC" w:rsidR="003E1D81" w:rsidRDefault="00EB481C">
            <w:pPr>
              <w:pStyle w:val="P68B1DB1-Normal13"/>
              <w:spacing w:after="0" w:line="240" w:lineRule="auto"/>
              <w:jc w:val="center"/>
              <w:rPr>
                <w:rFonts w:cs="Times New Roman"/>
                <w:noProof/>
              </w:rPr>
            </w:pPr>
            <w:r>
              <w:rPr>
                <w:noProof/>
              </w:rPr>
              <w:t>427</w:t>
            </w:r>
          </w:p>
        </w:tc>
        <w:tc>
          <w:tcPr>
            <w:tcW w:w="851" w:type="dxa"/>
            <w:shd w:val="clear" w:color="auto" w:fill="C6EFCE"/>
            <w:noWrap/>
          </w:tcPr>
          <w:p w14:paraId="25A52349" w14:textId="141EA5E8" w:rsidR="003E1D81" w:rsidRDefault="00EB481C">
            <w:pPr>
              <w:pStyle w:val="P68B1DB1-Normal13"/>
              <w:spacing w:after="0" w:line="240" w:lineRule="auto"/>
              <w:jc w:val="center"/>
              <w:rPr>
                <w:rFonts w:cs="Times New Roman"/>
                <w:noProof/>
              </w:rPr>
            </w:pPr>
            <w:r>
              <w:rPr>
                <w:noProof/>
              </w:rPr>
              <w:t>C5.I1</w:t>
            </w:r>
          </w:p>
        </w:tc>
        <w:tc>
          <w:tcPr>
            <w:tcW w:w="850" w:type="dxa"/>
            <w:shd w:val="clear" w:color="auto" w:fill="C6EFCE"/>
            <w:noWrap/>
          </w:tcPr>
          <w:p w14:paraId="4B476350" w14:textId="76CF81C8" w:rsidR="003E1D81" w:rsidRDefault="00EB481C">
            <w:pPr>
              <w:pStyle w:val="P68B1DB1-Normal13"/>
              <w:spacing w:after="0" w:line="240" w:lineRule="auto"/>
              <w:jc w:val="center"/>
              <w:rPr>
                <w:rFonts w:cs="Times New Roman"/>
                <w:noProof/>
              </w:rPr>
            </w:pPr>
            <w:r>
              <w:rPr>
                <w:noProof/>
              </w:rPr>
              <w:t>T</w:t>
            </w:r>
          </w:p>
        </w:tc>
        <w:tc>
          <w:tcPr>
            <w:tcW w:w="2835" w:type="dxa"/>
            <w:shd w:val="clear" w:color="auto" w:fill="C6EFCE"/>
            <w:noWrap/>
          </w:tcPr>
          <w:p w14:paraId="0CB9E2F6" w14:textId="11B2C0F5" w:rsidR="003E1D81" w:rsidRDefault="00EB481C">
            <w:pPr>
              <w:pStyle w:val="P68B1DB1-Normal13"/>
              <w:spacing w:after="0" w:line="240" w:lineRule="auto"/>
              <w:rPr>
                <w:rFonts w:cs="Times New Roman"/>
                <w:noProof/>
              </w:rPr>
            </w:pPr>
            <w:r>
              <w:rPr>
                <w:noProof/>
              </w:rPr>
              <w:t>Jobb víz- és szennyvízkezelési infrastruktúrák</w:t>
            </w:r>
          </w:p>
        </w:tc>
        <w:tc>
          <w:tcPr>
            <w:tcW w:w="993" w:type="dxa"/>
            <w:shd w:val="clear" w:color="auto" w:fill="C6EFCE"/>
            <w:noWrap/>
          </w:tcPr>
          <w:p w14:paraId="5244A440"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2E5DFD86" w14:textId="74FA8708" w:rsidR="003E1D81" w:rsidRDefault="00EB481C">
            <w:pPr>
              <w:pStyle w:val="P68B1DB1-Normal13"/>
              <w:spacing w:after="0" w:line="240" w:lineRule="auto"/>
              <w:jc w:val="right"/>
              <w:rPr>
                <w:rFonts w:cs="Times New Roman"/>
                <w:noProof/>
              </w:rPr>
            </w:pPr>
            <w:r>
              <w:rPr>
                <w:noProof/>
              </w:rPr>
              <w:t>Szám (népesség)</w:t>
            </w:r>
          </w:p>
        </w:tc>
        <w:tc>
          <w:tcPr>
            <w:tcW w:w="425" w:type="dxa"/>
            <w:shd w:val="clear" w:color="auto" w:fill="C6EFCE"/>
            <w:noWrap/>
          </w:tcPr>
          <w:p w14:paraId="66D3C216" w14:textId="4A1B400E" w:rsidR="003E1D81" w:rsidRDefault="00EB481C">
            <w:pPr>
              <w:pStyle w:val="P68B1DB1-Normal13"/>
              <w:spacing w:after="0" w:line="240" w:lineRule="auto"/>
              <w:jc w:val="right"/>
              <w:rPr>
                <w:rFonts w:cs="Times New Roman"/>
                <w:noProof/>
              </w:rPr>
            </w:pPr>
            <w:r>
              <w:rPr>
                <w:noProof/>
              </w:rPr>
              <w:t>175 000</w:t>
            </w:r>
          </w:p>
        </w:tc>
        <w:tc>
          <w:tcPr>
            <w:tcW w:w="709" w:type="dxa"/>
            <w:shd w:val="clear" w:color="auto" w:fill="C6EFCE"/>
            <w:noWrap/>
          </w:tcPr>
          <w:p w14:paraId="1275468F" w14:textId="77777777" w:rsidR="003E1D81" w:rsidRDefault="00EB481C">
            <w:pPr>
              <w:pStyle w:val="P68B1DB1-Normal13"/>
              <w:spacing w:after="0" w:line="240" w:lineRule="auto"/>
              <w:jc w:val="right"/>
              <w:rPr>
                <w:rFonts w:cs="Times New Roman"/>
                <w:noProof/>
              </w:rPr>
            </w:pPr>
            <w:r>
              <w:rPr>
                <w:noProof/>
              </w:rPr>
              <w:t>425 000</w:t>
            </w:r>
          </w:p>
          <w:p w14:paraId="64C9BFF9" w14:textId="77777777" w:rsidR="003E1D81" w:rsidRDefault="003E1D81">
            <w:pPr>
              <w:spacing w:after="0" w:line="240" w:lineRule="auto"/>
              <w:jc w:val="right"/>
              <w:rPr>
                <w:rFonts w:ascii="Times New Roman" w:hAnsi="Times New Roman" w:cs="Times New Roman"/>
                <w:noProof/>
                <w:sz w:val="18"/>
              </w:rPr>
            </w:pPr>
          </w:p>
        </w:tc>
        <w:tc>
          <w:tcPr>
            <w:tcW w:w="425" w:type="dxa"/>
            <w:shd w:val="clear" w:color="auto" w:fill="C6EFCE"/>
            <w:noWrap/>
          </w:tcPr>
          <w:p w14:paraId="2AD6A892" w14:textId="38209DE3"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080DBF36" w14:textId="5655E14F" w:rsidR="003E1D81" w:rsidRDefault="00EB481C">
            <w:pPr>
              <w:pStyle w:val="P68B1DB1-Normal13"/>
              <w:spacing w:after="0" w:line="240" w:lineRule="auto"/>
              <w:jc w:val="center"/>
              <w:rPr>
                <w:rFonts w:cs="Times New Roman"/>
                <w:noProof/>
              </w:rPr>
            </w:pPr>
            <w:r>
              <w:rPr>
                <w:noProof/>
              </w:rPr>
              <w:t>2026</w:t>
            </w:r>
          </w:p>
        </w:tc>
        <w:tc>
          <w:tcPr>
            <w:tcW w:w="6096" w:type="dxa"/>
            <w:shd w:val="clear" w:color="auto" w:fill="C6EFCE"/>
            <w:noWrap/>
          </w:tcPr>
          <w:p w14:paraId="126D29C0" w14:textId="37B1775B" w:rsidR="003E1D81" w:rsidRDefault="00EB481C">
            <w:pPr>
              <w:pStyle w:val="P68B1DB1-Normal13"/>
              <w:spacing w:after="0" w:line="240" w:lineRule="auto"/>
              <w:rPr>
                <w:rFonts w:cs="Times New Roman"/>
                <w:noProof/>
              </w:rPr>
            </w:pPr>
            <w:r>
              <w:rPr>
                <w:noProof/>
              </w:rPr>
              <w:t>Legalább 425000 lakosegyenértéknek megfelelő szolgáltatást nyújtó víz- és szennyvízkezelő infrastruktúrák üzembe helyezése a 91/271/EGK irányelvnek való megfelelés biztosítása és az energiahatékonysági kritériumok elérése és/vagy a vízelosztó rendszerek ha</w:t>
            </w:r>
            <w:r>
              <w:rPr>
                <w:noProof/>
              </w:rPr>
              <w:t xml:space="preserve">tékonyságának javítása és/vagy vízveszteségének csökkentése céljából. (Alapforgatókönyv: 2023. június 30.) </w:t>
            </w:r>
          </w:p>
        </w:tc>
      </w:tr>
      <w:tr w:rsidR="003E1D81" w14:paraId="78916C97" w14:textId="77777777">
        <w:trPr>
          <w:trHeight w:val="309"/>
        </w:trPr>
        <w:tc>
          <w:tcPr>
            <w:tcW w:w="709" w:type="dxa"/>
            <w:shd w:val="clear" w:color="auto" w:fill="C6EFCE"/>
            <w:noWrap/>
          </w:tcPr>
          <w:p w14:paraId="160393C8" w14:textId="42483417" w:rsidR="003E1D81" w:rsidRDefault="00EB481C">
            <w:pPr>
              <w:pStyle w:val="P68B1DB1-Normal13"/>
              <w:spacing w:after="0" w:line="240" w:lineRule="auto"/>
              <w:jc w:val="center"/>
              <w:rPr>
                <w:rFonts w:cs="Times New Roman"/>
                <w:noProof/>
              </w:rPr>
            </w:pPr>
            <w:r>
              <w:rPr>
                <w:noProof/>
              </w:rPr>
              <w:t>428</w:t>
            </w:r>
          </w:p>
        </w:tc>
        <w:tc>
          <w:tcPr>
            <w:tcW w:w="851" w:type="dxa"/>
            <w:shd w:val="clear" w:color="auto" w:fill="C6EFCE"/>
            <w:noWrap/>
          </w:tcPr>
          <w:p w14:paraId="22491947" w14:textId="67032E05" w:rsidR="003E1D81" w:rsidRDefault="00EB481C">
            <w:pPr>
              <w:pStyle w:val="P68B1DB1-Normal13"/>
              <w:spacing w:after="0" w:line="240" w:lineRule="auto"/>
              <w:jc w:val="center"/>
              <w:rPr>
                <w:rFonts w:cs="Times New Roman"/>
                <w:noProof/>
              </w:rPr>
            </w:pPr>
            <w:r>
              <w:rPr>
                <w:noProof/>
              </w:rPr>
              <w:t>C5.I1</w:t>
            </w:r>
          </w:p>
        </w:tc>
        <w:tc>
          <w:tcPr>
            <w:tcW w:w="850" w:type="dxa"/>
            <w:shd w:val="clear" w:color="auto" w:fill="C6EFCE"/>
            <w:noWrap/>
          </w:tcPr>
          <w:p w14:paraId="695B866B" w14:textId="00096397" w:rsidR="003E1D81" w:rsidRDefault="00EB481C">
            <w:pPr>
              <w:pStyle w:val="P68B1DB1-Normal13"/>
              <w:spacing w:after="0" w:line="240" w:lineRule="auto"/>
              <w:jc w:val="center"/>
              <w:rPr>
                <w:rFonts w:cs="Times New Roman"/>
                <w:noProof/>
              </w:rPr>
            </w:pPr>
            <w:r>
              <w:rPr>
                <w:noProof/>
              </w:rPr>
              <w:t>T</w:t>
            </w:r>
          </w:p>
        </w:tc>
        <w:tc>
          <w:tcPr>
            <w:tcW w:w="2835" w:type="dxa"/>
            <w:shd w:val="clear" w:color="auto" w:fill="C6EFCE"/>
            <w:noWrap/>
          </w:tcPr>
          <w:p w14:paraId="7740979A" w14:textId="033E4F4E" w:rsidR="003E1D81" w:rsidRDefault="00EB481C">
            <w:pPr>
              <w:pStyle w:val="P68B1DB1-Normal13"/>
              <w:spacing w:after="0" w:line="240" w:lineRule="auto"/>
              <w:rPr>
                <w:rFonts w:cs="Times New Roman"/>
                <w:noProof/>
              </w:rPr>
            </w:pPr>
            <w:r>
              <w:rPr>
                <w:noProof/>
              </w:rPr>
              <w:t xml:space="preserve">Jobb víz- és szennyvízkezelési infrastruktúrák </w:t>
            </w:r>
          </w:p>
        </w:tc>
        <w:tc>
          <w:tcPr>
            <w:tcW w:w="993" w:type="dxa"/>
            <w:shd w:val="clear" w:color="auto" w:fill="C6EFCE"/>
            <w:noWrap/>
          </w:tcPr>
          <w:p w14:paraId="0404DBE5"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497497DD" w14:textId="66F6BA91" w:rsidR="003E1D81" w:rsidRDefault="00EB481C">
            <w:pPr>
              <w:pStyle w:val="P68B1DB1-Normal13"/>
              <w:spacing w:after="0" w:line="240" w:lineRule="auto"/>
              <w:jc w:val="right"/>
              <w:rPr>
                <w:rFonts w:cs="Times New Roman"/>
                <w:noProof/>
              </w:rPr>
            </w:pPr>
            <w:r>
              <w:rPr>
                <w:noProof/>
              </w:rPr>
              <w:t>Szám (hektárok)</w:t>
            </w:r>
          </w:p>
        </w:tc>
        <w:tc>
          <w:tcPr>
            <w:tcW w:w="425" w:type="dxa"/>
            <w:shd w:val="clear" w:color="auto" w:fill="C6EFCE"/>
            <w:noWrap/>
          </w:tcPr>
          <w:p w14:paraId="18F2D18E" w14:textId="22602C10" w:rsidR="003E1D81" w:rsidRDefault="00EB481C">
            <w:pPr>
              <w:pStyle w:val="P68B1DB1-Normal13"/>
              <w:spacing w:after="0" w:line="240" w:lineRule="auto"/>
              <w:jc w:val="right"/>
              <w:rPr>
                <w:rFonts w:cs="Times New Roman"/>
                <w:noProof/>
              </w:rPr>
            </w:pPr>
            <w:r>
              <w:rPr>
                <w:noProof/>
              </w:rPr>
              <w:t>0</w:t>
            </w:r>
          </w:p>
        </w:tc>
        <w:tc>
          <w:tcPr>
            <w:tcW w:w="709" w:type="dxa"/>
            <w:shd w:val="clear" w:color="auto" w:fill="C6EFCE"/>
            <w:noWrap/>
          </w:tcPr>
          <w:p w14:paraId="365DE703" w14:textId="5E87350E" w:rsidR="003E1D81" w:rsidRDefault="00EB481C">
            <w:pPr>
              <w:pStyle w:val="P68B1DB1-Normal13"/>
              <w:spacing w:after="0" w:line="240" w:lineRule="auto"/>
              <w:jc w:val="right"/>
              <w:rPr>
                <w:rFonts w:cs="Times New Roman"/>
                <w:noProof/>
              </w:rPr>
            </w:pPr>
            <w:r>
              <w:rPr>
                <w:noProof/>
              </w:rPr>
              <w:t>18 500</w:t>
            </w:r>
          </w:p>
        </w:tc>
        <w:tc>
          <w:tcPr>
            <w:tcW w:w="425" w:type="dxa"/>
            <w:shd w:val="clear" w:color="auto" w:fill="C6EFCE"/>
            <w:noWrap/>
          </w:tcPr>
          <w:p w14:paraId="4B74414B" w14:textId="040B52B9"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45F9C6F8" w14:textId="4171479E" w:rsidR="003E1D81" w:rsidRDefault="00EB481C">
            <w:pPr>
              <w:pStyle w:val="P68B1DB1-Normal13"/>
              <w:spacing w:after="0" w:line="240" w:lineRule="auto"/>
              <w:jc w:val="center"/>
              <w:rPr>
                <w:rFonts w:cs="Times New Roman"/>
                <w:noProof/>
              </w:rPr>
            </w:pPr>
            <w:r>
              <w:rPr>
                <w:noProof/>
              </w:rPr>
              <w:t>2026</w:t>
            </w:r>
          </w:p>
        </w:tc>
        <w:tc>
          <w:tcPr>
            <w:tcW w:w="6096" w:type="dxa"/>
            <w:shd w:val="clear" w:color="auto" w:fill="C6EFCE"/>
            <w:noWrap/>
          </w:tcPr>
          <w:p w14:paraId="1A52E114" w14:textId="31D54C05" w:rsidR="003E1D81" w:rsidRDefault="00EB481C">
            <w:pPr>
              <w:pStyle w:val="P68B1DB1-Normal13"/>
              <w:spacing w:after="0" w:line="240" w:lineRule="auto"/>
              <w:rPr>
                <w:rFonts w:cs="Times New Roman"/>
                <w:noProof/>
              </w:rPr>
            </w:pPr>
            <w:r>
              <w:rPr>
                <w:noProof/>
              </w:rPr>
              <w:t>Az alicantei Rincón de León tisztítólétesítmény szennyvízkezelő infrastruktúrájából származó víz újrafelhasználásának megkezdése, az öntözési célú vízgazdálkodás javítása 18500 hektáron, a 91/271/EGK irányelvnek való megfelelés biztosítása és az energiahat</w:t>
            </w:r>
            <w:r>
              <w:rPr>
                <w:noProof/>
              </w:rPr>
              <w:t xml:space="preserve">ékonysági kritériumok elérése és/vagy a vízelosztó rendszerek hatékonyságának javítása és/vagy vízveszteségének csökkentése érdekében. </w:t>
            </w:r>
          </w:p>
        </w:tc>
      </w:tr>
      <w:tr w:rsidR="003E1D81" w14:paraId="6A7BF543" w14:textId="77777777">
        <w:trPr>
          <w:trHeight w:val="309"/>
        </w:trPr>
        <w:tc>
          <w:tcPr>
            <w:tcW w:w="709" w:type="dxa"/>
            <w:shd w:val="clear" w:color="auto" w:fill="C6EFCE"/>
            <w:noWrap/>
          </w:tcPr>
          <w:p w14:paraId="23DB4977" w14:textId="77777777" w:rsidR="003E1D81" w:rsidRDefault="00EB481C">
            <w:pPr>
              <w:pStyle w:val="P68B1DB1-Normal13"/>
              <w:spacing w:after="0" w:line="240" w:lineRule="auto"/>
              <w:jc w:val="center"/>
              <w:rPr>
                <w:rFonts w:cs="Times New Roman"/>
                <w:noProof/>
              </w:rPr>
            </w:pPr>
            <w:r>
              <w:rPr>
                <w:noProof/>
              </w:rPr>
              <w:t>77</w:t>
            </w:r>
          </w:p>
        </w:tc>
        <w:tc>
          <w:tcPr>
            <w:tcW w:w="851" w:type="dxa"/>
            <w:shd w:val="clear" w:color="auto" w:fill="C6EFCE"/>
            <w:noWrap/>
          </w:tcPr>
          <w:p w14:paraId="6C1DF220" w14:textId="77777777" w:rsidR="003E1D81" w:rsidRDefault="00EB481C">
            <w:pPr>
              <w:pStyle w:val="P68B1DB1-Normal13"/>
              <w:spacing w:after="0" w:line="240" w:lineRule="auto"/>
              <w:jc w:val="center"/>
              <w:rPr>
                <w:rFonts w:cs="Times New Roman"/>
                <w:noProof/>
              </w:rPr>
            </w:pPr>
            <w:r>
              <w:rPr>
                <w:noProof/>
              </w:rPr>
              <w:t>C5.I2</w:t>
            </w:r>
          </w:p>
        </w:tc>
        <w:tc>
          <w:tcPr>
            <w:tcW w:w="850" w:type="dxa"/>
            <w:shd w:val="clear" w:color="auto" w:fill="C6EFCE"/>
            <w:noWrap/>
          </w:tcPr>
          <w:p w14:paraId="4BEBFB89" w14:textId="77777777" w:rsidR="003E1D81" w:rsidRDefault="00EB481C">
            <w:pPr>
              <w:pStyle w:val="P68B1DB1-Normal13"/>
              <w:spacing w:after="0" w:line="240" w:lineRule="auto"/>
              <w:jc w:val="center"/>
              <w:rPr>
                <w:rFonts w:cs="Times New Roman"/>
                <w:noProof/>
              </w:rPr>
            </w:pPr>
            <w:r>
              <w:rPr>
                <w:noProof/>
              </w:rPr>
              <w:t>M</w:t>
            </w:r>
          </w:p>
        </w:tc>
        <w:tc>
          <w:tcPr>
            <w:tcW w:w="2835" w:type="dxa"/>
            <w:shd w:val="clear" w:color="auto" w:fill="C6EFCE"/>
            <w:noWrap/>
          </w:tcPr>
          <w:p w14:paraId="21723D5B" w14:textId="77777777" w:rsidR="003E1D81" w:rsidRDefault="00EB481C">
            <w:pPr>
              <w:pStyle w:val="P68B1DB1-Normal13"/>
              <w:spacing w:after="0" w:line="240" w:lineRule="auto"/>
              <w:rPr>
                <w:rFonts w:cs="Times New Roman"/>
                <w:noProof/>
              </w:rPr>
            </w:pPr>
            <w:r>
              <w:rPr>
                <w:noProof/>
              </w:rPr>
              <w:t>A folyópartok árvízkockázatokkal szembeni védelmének helyreállítása</w:t>
            </w:r>
          </w:p>
        </w:tc>
        <w:tc>
          <w:tcPr>
            <w:tcW w:w="993" w:type="dxa"/>
            <w:shd w:val="clear" w:color="auto" w:fill="C6EFCE"/>
            <w:noWrap/>
          </w:tcPr>
          <w:p w14:paraId="5FD6348B" w14:textId="77777777" w:rsidR="003E1D81" w:rsidRDefault="00EB481C">
            <w:pPr>
              <w:pStyle w:val="P68B1DB1-Normal13"/>
              <w:spacing w:after="0" w:line="240" w:lineRule="auto"/>
              <w:jc w:val="center"/>
              <w:rPr>
                <w:rFonts w:cs="Times New Roman"/>
                <w:noProof/>
              </w:rPr>
            </w:pPr>
            <w:r>
              <w:rPr>
                <w:noProof/>
              </w:rPr>
              <w:t>A MITERD által aláírt tanúsítványok</w:t>
            </w:r>
          </w:p>
        </w:tc>
        <w:tc>
          <w:tcPr>
            <w:tcW w:w="850" w:type="dxa"/>
            <w:shd w:val="clear" w:color="auto" w:fill="C6EFCE"/>
            <w:noWrap/>
          </w:tcPr>
          <w:p w14:paraId="3F8C8A50" w14:textId="77777777" w:rsidR="003E1D81" w:rsidRDefault="00EB481C">
            <w:pPr>
              <w:pStyle w:val="P68B1DB1-Normal13"/>
              <w:spacing w:after="0" w:line="240" w:lineRule="auto"/>
              <w:jc w:val="right"/>
              <w:rPr>
                <w:rFonts w:cs="Times New Roman"/>
                <w:noProof/>
              </w:rPr>
            </w:pPr>
            <w:r>
              <w:rPr>
                <w:noProof/>
              </w:rPr>
              <w:t> </w:t>
            </w:r>
          </w:p>
        </w:tc>
        <w:tc>
          <w:tcPr>
            <w:tcW w:w="425" w:type="dxa"/>
            <w:shd w:val="clear" w:color="auto" w:fill="C6EFCE"/>
            <w:noWrap/>
          </w:tcPr>
          <w:p w14:paraId="3CEEED34" w14:textId="77777777" w:rsidR="003E1D81" w:rsidRDefault="00EB481C">
            <w:pPr>
              <w:pStyle w:val="P68B1DB1-Normal13"/>
              <w:spacing w:after="0" w:line="240" w:lineRule="auto"/>
              <w:jc w:val="right"/>
              <w:rPr>
                <w:rFonts w:cs="Times New Roman"/>
                <w:noProof/>
              </w:rPr>
            </w:pPr>
            <w:r>
              <w:rPr>
                <w:noProof/>
              </w:rPr>
              <w:t> </w:t>
            </w:r>
          </w:p>
        </w:tc>
        <w:tc>
          <w:tcPr>
            <w:tcW w:w="709" w:type="dxa"/>
            <w:shd w:val="clear" w:color="auto" w:fill="C6EFCE"/>
            <w:noWrap/>
          </w:tcPr>
          <w:p w14:paraId="42F19EF9" w14:textId="77777777" w:rsidR="003E1D81" w:rsidRDefault="00EB481C">
            <w:pPr>
              <w:pStyle w:val="P68B1DB1-Normal13"/>
              <w:spacing w:after="0" w:line="240" w:lineRule="auto"/>
              <w:jc w:val="right"/>
              <w:rPr>
                <w:rFonts w:cs="Times New Roman"/>
                <w:noProof/>
              </w:rPr>
            </w:pPr>
            <w:r>
              <w:rPr>
                <w:noProof/>
              </w:rPr>
              <w:t> </w:t>
            </w:r>
          </w:p>
        </w:tc>
        <w:tc>
          <w:tcPr>
            <w:tcW w:w="425" w:type="dxa"/>
            <w:shd w:val="clear" w:color="auto" w:fill="C6EFCE"/>
            <w:noWrap/>
          </w:tcPr>
          <w:p w14:paraId="6136DAB4"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7269043E" w14:textId="77777777" w:rsidR="003E1D81" w:rsidRDefault="00EB481C">
            <w:pPr>
              <w:pStyle w:val="P68B1DB1-Normal13"/>
              <w:spacing w:after="0" w:line="240" w:lineRule="auto"/>
              <w:jc w:val="center"/>
              <w:rPr>
                <w:rFonts w:cs="Times New Roman"/>
                <w:noProof/>
              </w:rPr>
            </w:pPr>
            <w:r>
              <w:rPr>
                <w:noProof/>
              </w:rPr>
              <w:t>2022</w:t>
            </w:r>
          </w:p>
        </w:tc>
        <w:tc>
          <w:tcPr>
            <w:tcW w:w="6096" w:type="dxa"/>
            <w:shd w:val="clear" w:color="auto" w:fill="C6EFCE"/>
            <w:noWrap/>
          </w:tcPr>
          <w:p w14:paraId="02044E4F" w14:textId="77777777" w:rsidR="003E1D81" w:rsidRDefault="00EB481C">
            <w:pPr>
              <w:pStyle w:val="P68B1DB1-Normal13"/>
              <w:spacing w:after="0" w:line="240" w:lineRule="auto"/>
              <w:rPr>
                <w:rFonts w:cs="Times New Roman"/>
                <w:noProof/>
              </w:rPr>
            </w:pPr>
            <w:r>
              <w:rPr>
                <w:noProof/>
              </w:rPr>
              <w:t>Legalább 200 km folyópartot helyreállítottak, és legalább 40000 lakost védenek meg az árvízkockázatokkal szemben.</w:t>
            </w:r>
          </w:p>
        </w:tc>
      </w:tr>
      <w:tr w:rsidR="003E1D81" w14:paraId="0B55FCA1" w14:textId="77777777">
        <w:trPr>
          <w:trHeight w:val="309"/>
        </w:trPr>
        <w:tc>
          <w:tcPr>
            <w:tcW w:w="709" w:type="dxa"/>
            <w:shd w:val="clear" w:color="auto" w:fill="C6EFCE"/>
            <w:noWrap/>
          </w:tcPr>
          <w:p w14:paraId="299BFF4E" w14:textId="4E52D3FC" w:rsidR="003E1D81" w:rsidRDefault="00EB481C">
            <w:pPr>
              <w:pStyle w:val="P68B1DB1-Normal13"/>
              <w:spacing w:after="0" w:line="240" w:lineRule="auto"/>
              <w:jc w:val="center"/>
              <w:rPr>
                <w:rFonts w:cs="Times New Roman"/>
                <w:noProof/>
              </w:rPr>
            </w:pPr>
            <w:r>
              <w:rPr>
                <w:noProof/>
              </w:rPr>
              <w:t>78</w:t>
            </w:r>
          </w:p>
        </w:tc>
        <w:tc>
          <w:tcPr>
            <w:tcW w:w="851" w:type="dxa"/>
            <w:shd w:val="clear" w:color="auto" w:fill="C6EFCE"/>
            <w:noWrap/>
          </w:tcPr>
          <w:p w14:paraId="580E7276" w14:textId="77777777" w:rsidR="003E1D81" w:rsidRDefault="00EB481C">
            <w:pPr>
              <w:pStyle w:val="P68B1DB1-Normal13"/>
              <w:spacing w:after="0" w:line="240" w:lineRule="auto"/>
              <w:jc w:val="center"/>
              <w:rPr>
                <w:rFonts w:cs="Times New Roman"/>
                <w:noProof/>
              </w:rPr>
            </w:pPr>
            <w:r>
              <w:rPr>
                <w:noProof/>
              </w:rPr>
              <w:t>C5.I2</w:t>
            </w:r>
          </w:p>
        </w:tc>
        <w:tc>
          <w:tcPr>
            <w:tcW w:w="850" w:type="dxa"/>
            <w:shd w:val="clear" w:color="auto" w:fill="C6EFCE"/>
            <w:noWrap/>
          </w:tcPr>
          <w:p w14:paraId="4253F6F2" w14:textId="77777777" w:rsidR="003E1D81" w:rsidRDefault="00EB481C">
            <w:pPr>
              <w:pStyle w:val="P68B1DB1-Normal13"/>
              <w:spacing w:after="0" w:line="240" w:lineRule="auto"/>
              <w:jc w:val="center"/>
              <w:rPr>
                <w:rFonts w:cs="Times New Roman"/>
                <w:noProof/>
              </w:rPr>
            </w:pPr>
            <w:r>
              <w:rPr>
                <w:noProof/>
              </w:rPr>
              <w:t>T</w:t>
            </w:r>
          </w:p>
        </w:tc>
        <w:tc>
          <w:tcPr>
            <w:tcW w:w="2835" w:type="dxa"/>
            <w:shd w:val="clear" w:color="auto" w:fill="C6EFCE"/>
            <w:noWrap/>
          </w:tcPr>
          <w:p w14:paraId="3F112361" w14:textId="77777777" w:rsidR="003E1D81" w:rsidRDefault="00EB481C">
            <w:pPr>
              <w:pStyle w:val="P68B1DB1-Normal13"/>
              <w:spacing w:after="0" w:line="240" w:lineRule="auto"/>
              <w:rPr>
                <w:rFonts w:cs="Times New Roman"/>
                <w:noProof/>
              </w:rPr>
            </w:pPr>
            <w:r>
              <w:rPr>
                <w:noProof/>
              </w:rPr>
              <w:t xml:space="preserve">A víztartó rétegekből kivont víz mennyiségének csökkenése </w:t>
            </w:r>
          </w:p>
        </w:tc>
        <w:tc>
          <w:tcPr>
            <w:tcW w:w="993" w:type="dxa"/>
            <w:shd w:val="clear" w:color="auto" w:fill="C6EFCE"/>
            <w:noWrap/>
          </w:tcPr>
          <w:p w14:paraId="30D7AA69"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61AB7739" w14:textId="77777777" w:rsidR="003E1D81" w:rsidRDefault="00EB481C">
            <w:pPr>
              <w:pStyle w:val="P68B1DB1-Normal13"/>
              <w:spacing w:after="0" w:line="240" w:lineRule="auto"/>
              <w:jc w:val="right"/>
              <w:rPr>
                <w:rFonts w:cs="Times New Roman"/>
                <w:noProof/>
              </w:rPr>
            </w:pPr>
            <w:r>
              <w:rPr>
                <w:noProof/>
              </w:rPr>
              <w:t>Szám</w:t>
            </w:r>
          </w:p>
          <w:p w14:paraId="6E27ADFB" w14:textId="77777777" w:rsidR="003E1D81" w:rsidRDefault="00EB481C">
            <w:pPr>
              <w:pStyle w:val="P68B1DB1-Normal13"/>
              <w:spacing w:after="0" w:line="240" w:lineRule="auto"/>
              <w:jc w:val="right"/>
              <w:rPr>
                <w:rFonts w:cs="Times New Roman"/>
                <w:noProof/>
              </w:rPr>
            </w:pPr>
            <w:r>
              <w:rPr>
                <w:noProof/>
              </w:rPr>
              <w:t>(HM</w:t>
            </w:r>
            <w:r>
              <w:rPr>
                <w:noProof/>
                <w:vertAlign w:val="superscript"/>
              </w:rPr>
              <w:t>3</w:t>
            </w:r>
            <w:r>
              <w:rPr>
                <w:noProof/>
              </w:rPr>
              <w:t>/év)</w:t>
            </w:r>
          </w:p>
        </w:tc>
        <w:tc>
          <w:tcPr>
            <w:tcW w:w="425" w:type="dxa"/>
            <w:shd w:val="clear" w:color="auto" w:fill="C6EFCE"/>
            <w:noWrap/>
          </w:tcPr>
          <w:p w14:paraId="71AFE04B" w14:textId="77777777" w:rsidR="003E1D81" w:rsidRDefault="00EB481C">
            <w:pPr>
              <w:pStyle w:val="P68B1DB1-Normal13"/>
              <w:spacing w:after="0" w:line="240" w:lineRule="auto"/>
              <w:jc w:val="right"/>
              <w:rPr>
                <w:rFonts w:cs="Times New Roman"/>
                <w:noProof/>
              </w:rPr>
            </w:pPr>
            <w:r>
              <w:rPr>
                <w:noProof/>
              </w:rPr>
              <w:t>510</w:t>
            </w:r>
          </w:p>
        </w:tc>
        <w:tc>
          <w:tcPr>
            <w:tcW w:w="709" w:type="dxa"/>
            <w:shd w:val="clear" w:color="auto" w:fill="C6EFCE"/>
            <w:noWrap/>
          </w:tcPr>
          <w:p w14:paraId="611E64A3" w14:textId="6DEC8A1F" w:rsidR="003E1D81" w:rsidRDefault="00EB481C">
            <w:pPr>
              <w:pStyle w:val="P68B1DB1-Normal13"/>
              <w:spacing w:after="0" w:line="240" w:lineRule="auto"/>
              <w:jc w:val="right"/>
              <w:rPr>
                <w:rFonts w:cs="Times New Roman"/>
                <w:noProof/>
              </w:rPr>
            </w:pPr>
            <w:r>
              <w:rPr>
                <w:noProof/>
              </w:rPr>
              <w:t>470</w:t>
            </w:r>
          </w:p>
        </w:tc>
        <w:tc>
          <w:tcPr>
            <w:tcW w:w="425" w:type="dxa"/>
            <w:shd w:val="clear" w:color="auto" w:fill="C6EFCE"/>
            <w:noWrap/>
          </w:tcPr>
          <w:p w14:paraId="577E0A3D" w14:textId="38111F68"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5D71C2FD" w14:textId="03EEAC8E" w:rsidR="003E1D81" w:rsidRDefault="00EB481C">
            <w:pPr>
              <w:pStyle w:val="P68B1DB1-Normal13"/>
              <w:spacing w:after="0" w:line="240" w:lineRule="auto"/>
              <w:jc w:val="center"/>
              <w:rPr>
                <w:rFonts w:cs="Times New Roman"/>
                <w:noProof/>
              </w:rPr>
            </w:pPr>
            <w:r>
              <w:rPr>
                <w:noProof/>
              </w:rPr>
              <w:t>2025</w:t>
            </w:r>
          </w:p>
        </w:tc>
        <w:tc>
          <w:tcPr>
            <w:tcW w:w="6096" w:type="dxa"/>
            <w:shd w:val="clear" w:color="auto" w:fill="C6EFCE"/>
            <w:noWrap/>
          </w:tcPr>
          <w:p w14:paraId="3738FB87" w14:textId="212484EB" w:rsidR="003E1D81" w:rsidRDefault="00EB481C">
            <w:pPr>
              <w:pStyle w:val="P68B1DB1-Normal13"/>
              <w:spacing w:after="0" w:line="240" w:lineRule="auto"/>
              <w:rPr>
                <w:rFonts w:cs="Times New Roman"/>
                <w:noProof/>
              </w:rPr>
            </w:pPr>
            <w:r>
              <w:rPr>
                <w:noProof/>
              </w:rPr>
              <w:t>A Doñana, Segura-Mar</w:t>
            </w:r>
            <w:r>
              <w:rPr>
                <w:noProof/>
              </w:rPr>
              <w:t xml:space="preserve"> Menor, Mancha Oriental és a Szabályok területén található víztartó rétegekből kinyert víz éves mennyiségének 510-ről évi</w:t>
            </w:r>
            <w:r>
              <w:rPr>
                <w:noProof/>
                <w:vertAlign w:val="superscript"/>
              </w:rPr>
              <w:t>3</w:t>
            </w:r>
            <w:r>
              <w:rPr>
                <w:noProof/>
              </w:rPr>
              <w:t>órára történő csökkentése.</w:t>
            </w:r>
          </w:p>
        </w:tc>
      </w:tr>
      <w:tr w:rsidR="003E1D81" w14:paraId="7E0E198C" w14:textId="77777777">
        <w:trPr>
          <w:trHeight w:val="309"/>
        </w:trPr>
        <w:tc>
          <w:tcPr>
            <w:tcW w:w="709" w:type="dxa"/>
            <w:shd w:val="clear" w:color="auto" w:fill="C6EFCE"/>
            <w:noWrap/>
          </w:tcPr>
          <w:p w14:paraId="6A7DEE54" w14:textId="24F76C24" w:rsidR="003E1D81" w:rsidRDefault="00EB481C">
            <w:pPr>
              <w:pStyle w:val="P68B1DB1-Normal13"/>
              <w:spacing w:after="0" w:line="240" w:lineRule="auto"/>
              <w:jc w:val="center"/>
              <w:rPr>
                <w:rFonts w:cs="Times New Roman"/>
                <w:noProof/>
              </w:rPr>
            </w:pPr>
            <w:r>
              <w:rPr>
                <w:noProof/>
              </w:rPr>
              <w:t>429</w:t>
            </w:r>
          </w:p>
        </w:tc>
        <w:tc>
          <w:tcPr>
            <w:tcW w:w="851" w:type="dxa"/>
            <w:shd w:val="clear" w:color="auto" w:fill="C6EFCE"/>
            <w:noWrap/>
          </w:tcPr>
          <w:p w14:paraId="7C2CF9C2" w14:textId="42FC58C0" w:rsidR="003E1D81" w:rsidRDefault="00EB481C">
            <w:pPr>
              <w:pStyle w:val="P68B1DB1-Normal13"/>
              <w:spacing w:after="0" w:line="240" w:lineRule="auto"/>
              <w:jc w:val="center"/>
              <w:rPr>
                <w:rFonts w:cs="Times New Roman"/>
                <w:noProof/>
              </w:rPr>
            </w:pPr>
            <w:r>
              <w:rPr>
                <w:noProof/>
              </w:rPr>
              <w:t>C5.I2</w:t>
            </w:r>
          </w:p>
        </w:tc>
        <w:tc>
          <w:tcPr>
            <w:tcW w:w="850" w:type="dxa"/>
            <w:shd w:val="clear" w:color="auto" w:fill="C6EFCE"/>
            <w:noWrap/>
          </w:tcPr>
          <w:p w14:paraId="6476813C" w14:textId="65E59603" w:rsidR="003E1D81" w:rsidRDefault="00EB481C">
            <w:pPr>
              <w:pStyle w:val="P68B1DB1-Normal13"/>
              <w:spacing w:after="0" w:line="240" w:lineRule="auto"/>
              <w:jc w:val="center"/>
              <w:rPr>
                <w:rFonts w:cs="Times New Roman"/>
                <w:noProof/>
              </w:rPr>
            </w:pPr>
            <w:r>
              <w:rPr>
                <w:noProof/>
              </w:rPr>
              <w:t>M</w:t>
            </w:r>
          </w:p>
        </w:tc>
        <w:tc>
          <w:tcPr>
            <w:tcW w:w="2835" w:type="dxa"/>
            <w:shd w:val="clear" w:color="auto" w:fill="C6EFCE"/>
            <w:noWrap/>
          </w:tcPr>
          <w:p w14:paraId="3148BB15" w14:textId="33B8F03F" w:rsidR="003E1D81" w:rsidRDefault="00EB481C">
            <w:pPr>
              <w:pStyle w:val="P68B1DB1-Normal13"/>
              <w:spacing w:after="0" w:line="240" w:lineRule="auto"/>
              <w:rPr>
                <w:rFonts w:cs="Times New Roman"/>
                <w:noProof/>
              </w:rPr>
            </w:pPr>
            <w:r>
              <w:rPr>
                <w:noProof/>
              </w:rPr>
              <w:t>A sótalanító üzemek fotovoltaikus energiával való ellátása és elosztása</w:t>
            </w:r>
          </w:p>
        </w:tc>
        <w:tc>
          <w:tcPr>
            <w:tcW w:w="993" w:type="dxa"/>
            <w:shd w:val="clear" w:color="auto" w:fill="C6EFCE"/>
            <w:noWrap/>
          </w:tcPr>
          <w:p w14:paraId="4E3DD7C4" w14:textId="4D3FFD06" w:rsidR="003E1D81" w:rsidRDefault="00EB481C">
            <w:pPr>
              <w:pStyle w:val="P68B1DB1-Normal13"/>
              <w:spacing w:after="0" w:line="240" w:lineRule="auto"/>
              <w:jc w:val="center"/>
              <w:rPr>
                <w:rFonts w:cs="Times New Roman"/>
                <w:noProof/>
              </w:rPr>
            </w:pPr>
            <w:r>
              <w:rPr>
                <w:noProof/>
              </w:rPr>
              <w:t xml:space="preserve">A megtakarításokat </w:t>
            </w:r>
            <w:r>
              <w:rPr>
                <w:noProof/>
              </w:rPr>
              <w:t>igazoló külső jelentés</w:t>
            </w:r>
          </w:p>
        </w:tc>
        <w:tc>
          <w:tcPr>
            <w:tcW w:w="850" w:type="dxa"/>
            <w:shd w:val="clear" w:color="auto" w:fill="C6EFCE"/>
            <w:noWrap/>
          </w:tcPr>
          <w:p w14:paraId="358B4A74" w14:textId="77777777" w:rsidR="003E1D81" w:rsidRDefault="003E1D81">
            <w:pPr>
              <w:spacing w:after="0" w:line="240" w:lineRule="auto"/>
              <w:jc w:val="right"/>
              <w:rPr>
                <w:rFonts w:ascii="Times New Roman" w:hAnsi="Times New Roman" w:cs="Times New Roman"/>
                <w:noProof/>
                <w:sz w:val="18"/>
              </w:rPr>
            </w:pPr>
          </w:p>
        </w:tc>
        <w:tc>
          <w:tcPr>
            <w:tcW w:w="425" w:type="dxa"/>
            <w:shd w:val="clear" w:color="auto" w:fill="C6EFCE"/>
            <w:noWrap/>
          </w:tcPr>
          <w:p w14:paraId="3BB40C39" w14:textId="77777777" w:rsidR="003E1D81" w:rsidRDefault="003E1D81">
            <w:pPr>
              <w:spacing w:after="0" w:line="240" w:lineRule="auto"/>
              <w:jc w:val="right"/>
              <w:rPr>
                <w:rFonts w:ascii="Times New Roman" w:hAnsi="Times New Roman" w:cs="Times New Roman"/>
                <w:noProof/>
                <w:sz w:val="18"/>
              </w:rPr>
            </w:pPr>
          </w:p>
        </w:tc>
        <w:tc>
          <w:tcPr>
            <w:tcW w:w="709" w:type="dxa"/>
            <w:shd w:val="clear" w:color="auto" w:fill="C6EFCE"/>
            <w:noWrap/>
          </w:tcPr>
          <w:p w14:paraId="0545B682" w14:textId="77777777" w:rsidR="003E1D81" w:rsidRDefault="003E1D81">
            <w:pPr>
              <w:spacing w:after="0" w:line="240" w:lineRule="auto"/>
              <w:jc w:val="right"/>
              <w:rPr>
                <w:rFonts w:ascii="Times New Roman" w:hAnsi="Times New Roman" w:cs="Times New Roman"/>
                <w:noProof/>
                <w:sz w:val="18"/>
              </w:rPr>
            </w:pPr>
          </w:p>
        </w:tc>
        <w:tc>
          <w:tcPr>
            <w:tcW w:w="425" w:type="dxa"/>
            <w:shd w:val="clear" w:color="auto" w:fill="C6EFCE"/>
            <w:noWrap/>
          </w:tcPr>
          <w:p w14:paraId="5E775DDC" w14:textId="2ADAA3DA"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2458A973" w14:textId="20CC9F6A" w:rsidR="003E1D81" w:rsidRDefault="00EB481C">
            <w:pPr>
              <w:pStyle w:val="P68B1DB1-Normal13"/>
              <w:spacing w:after="0" w:line="240" w:lineRule="auto"/>
              <w:jc w:val="center"/>
              <w:rPr>
                <w:rFonts w:cs="Times New Roman"/>
                <w:noProof/>
              </w:rPr>
            </w:pPr>
            <w:r>
              <w:rPr>
                <w:noProof/>
              </w:rPr>
              <w:t>2026</w:t>
            </w:r>
          </w:p>
        </w:tc>
        <w:tc>
          <w:tcPr>
            <w:tcW w:w="6096" w:type="dxa"/>
            <w:shd w:val="clear" w:color="auto" w:fill="C6EFCE"/>
            <w:noWrap/>
          </w:tcPr>
          <w:p w14:paraId="78696329" w14:textId="650C6858" w:rsidR="003E1D81" w:rsidRDefault="00EB481C">
            <w:pPr>
              <w:pStyle w:val="P68B1DB1-Normal13"/>
              <w:spacing w:after="0" w:line="240" w:lineRule="auto"/>
              <w:rPr>
                <w:rFonts w:cs="Times New Roman"/>
                <w:noProof/>
              </w:rPr>
            </w:pPr>
            <w:r>
              <w:rPr>
                <w:noProof/>
              </w:rPr>
              <w:t>A murciai és almeríai sótalanító üzemekben (Torrevieja, Valdelentisco, Águilas Carboneras, Bajo Almanzora és Campo de Dalias) felhasznált energia 35%-ának helyettesítése, valamint a Júcar-Vinalopó közötti, fotovoltaiku</w:t>
            </w:r>
            <w:r>
              <w:rPr>
                <w:noProof/>
              </w:rPr>
              <w:t xml:space="preserve">s energiával történő önellátással történő vízszállítás.  </w:t>
            </w:r>
          </w:p>
        </w:tc>
      </w:tr>
      <w:tr w:rsidR="003E1D81" w14:paraId="4204513B" w14:textId="77777777">
        <w:trPr>
          <w:trHeight w:val="309"/>
        </w:trPr>
        <w:tc>
          <w:tcPr>
            <w:tcW w:w="709" w:type="dxa"/>
            <w:shd w:val="clear" w:color="auto" w:fill="C6EFCE"/>
            <w:noWrap/>
          </w:tcPr>
          <w:p w14:paraId="454C5040" w14:textId="7249954A" w:rsidR="003E1D81" w:rsidRDefault="00EB481C">
            <w:pPr>
              <w:pStyle w:val="P68B1DB1-Normal13"/>
              <w:spacing w:after="0" w:line="240" w:lineRule="auto"/>
              <w:jc w:val="center"/>
              <w:rPr>
                <w:rFonts w:cs="Times New Roman"/>
                <w:noProof/>
              </w:rPr>
            </w:pPr>
            <w:r>
              <w:rPr>
                <w:noProof/>
              </w:rPr>
              <w:t>430</w:t>
            </w:r>
          </w:p>
        </w:tc>
        <w:tc>
          <w:tcPr>
            <w:tcW w:w="851" w:type="dxa"/>
            <w:shd w:val="clear" w:color="auto" w:fill="C6EFCE"/>
            <w:noWrap/>
          </w:tcPr>
          <w:p w14:paraId="1BAF7D32" w14:textId="0BF1273B" w:rsidR="003E1D81" w:rsidRDefault="00EB481C">
            <w:pPr>
              <w:pStyle w:val="P68B1DB1-Normal13"/>
              <w:spacing w:after="0" w:line="240" w:lineRule="auto"/>
              <w:jc w:val="center"/>
              <w:rPr>
                <w:rFonts w:cs="Times New Roman"/>
                <w:noProof/>
              </w:rPr>
            </w:pPr>
            <w:r>
              <w:rPr>
                <w:noProof/>
              </w:rPr>
              <w:t>C5.I3</w:t>
            </w:r>
          </w:p>
        </w:tc>
        <w:tc>
          <w:tcPr>
            <w:tcW w:w="850" w:type="dxa"/>
            <w:shd w:val="clear" w:color="auto" w:fill="C6EFCE"/>
            <w:noWrap/>
          </w:tcPr>
          <w:p w14:paraId="3662A7C1" w14:textId="3D7AB2EA" w:rsidR="003E1D81" w:rsidRDefault="00EB481C">
            <w:pPr>
              <w:pStyle w:val="P68B1DB1-Normal13"/>
              <w:spacing w:after="0" w:line="240" w:lineRule="auto"/>
              <w:jc w:val="center"/>
              <w:rPr>
                <w:rFonts w:cs="Times New Roman"/>
                <w:noProof/>
              </w:rPr>
            </w:pPr>
            <w:r>
              <w:rPr>
                <w:noProof/>
              </w:rPr>
              <w:t>M</w:t>
            </w:r>
          </w:p>
        </w:tc>
        <w:tc>
          <w:tcPr>
            <w:tcW w:w="2835" w:type="dxa"/>
            <w:shd w:val="clear" w:color="auto" w:fill="C6EFCE"/>
            <w:noWrap/>
          </w:tcPr>
          <w:p w14:paraId="01CA609F" w14:textId="272E827E" w:rsidR="003E1D81" w:rsidRDefault="00EB481C">
            <w:pPr>
              <w:pStyle w:val="P68B1DB1-Normal13"/>
              <w:spacing w:after="0" w:line="240" w:lineRule="auto"/>
              <w:rPr>
                <w:rFonts w:cs="Times New Roman"/>
                <w:noProof/>
              </w:rPr>
            </w:pPr>
            <w:r>
              <w:rPr>
                <w:noProof/>
              </w:rPr>
              <w:t>A vízfelhasználók digitalizálására irányuló PERTE-intézkedések</w:t>
            </w:r>
          </w:p>
        </w:tc>
        <w:tc>
          <w:tcPr>
            <w:tcW w:w="993" w:type="dxa"/>
            <w:shd w:val="clear" w:color="auto" w:fill="C6EFCE"/>
            <w:noWrap/>
          </w:tcPr>
          <w:p w14:paraId="4BE96E81" w14:textId="689F4251" w:rsidR="003E1D81" w:rsidRDefault="00EB481C">
            <w:pPr>
              <w:pStyle w:val="P68B1DB1-Normal13"/>
              <w:spacing w:after="0" w:line="240" w:lineRule="auto"/>
              <w:jc w:val="center"/>
              <w:rPr>
                <w:rFonts w:cs="Times New Roman"/>
                <w:noProof/>
              </w:rPr>
            </w:pPr>
            <w:r>
              <w:rPr>
                <w:noProof/>
              </w:rPr>
              <w:t>A munkálatokról szóló hivatalos értesítés véglegesítése</w:t>
            </w:r>
          </w:p>
        </w:tc>
        <w:tc>
          <w:tcPr>
            <w:tcW w:w="850" w:type="dxa"/>
            <w:shd w:val="clear" w:color="auto" w:fill="C6EFCE"/>
            <w:noWrap/>
          </w:tcPr>
          <w:p w14:paraId="5541344A" w14:textId="77777777" w:rsidR="003E1D81" w:rsidRDefault="003E1D81">
            <w:pPr>
              <w:spacing w:after="0" w:line="240" w:lineRule="auto"/>
              <w:jc w:val="right"/>
              <w:rPr>
                <w:rFonts w:ascii="Times New Roman" w:hAnsi="Times New Roman" w:cs="Times New Roman"/>
                <w:noProof/>
                <w:sz w:val="18"/>
              </w:rPr>
            </w:pPr>
          </w:p>
        </w:tc>
        <w:tc>
          <w:tcPr>
            <w:tcW w:w="425" w:type="dxa"/>
            <w:shd w:val="clear" w:color="auto" w:fill="C6EFCE"/>
            <w:noWrap/>
          </w:tcPr>
          <w:p w14:paraId="417FDB2A" w14:textId="77777777" w:rsidR="003E1D81" w:rsidRDefault="003E1D81">
            <w:pPr>
              <w:spacing w:after="0" w:line="240" w:lineRule="auto"/>
              <w:jc w:val="right"/>
              <w:rPr>
                <w:rFonts w:ascii="Times New Roman" w:hAnsi="Times New Roman" w:cs="Times New Roman"/>
                <w:noProof/>
                <w:sz w:val="18"/>
              </w:rPr>
            </w:pPr>
          </w:p>
        </w:tc>
        <w:tc>
          <w:tcPr>
            <w:tcW w:w="709" w:type="dxa"/>
            <w:shd w:val="clear" w:color="auto" w:fill="C6EFCE"/>
            <w:noWrap/>
          </w:tcPr>
          <w:p w14:paraId="6107C3C1" w14:textId="77777777" w:rsidR="003E1D81" w:rsidRDefault="003E1D81">
            <w:pPr>
              <w:spacing w:after="0" w:line="240" w:lineRule="auto"/>
              <w:jc w:val="right"/>
              <w:rPr>
                <w:rFonts w:ascii="Times New Roman" w:hAnsi="Times New Roman" w:cs="Times New Roman"/>
                <w:noProof/>
                <w:sz w:val="18"/>
              </w:rPr>
            </w:pPr>
          </w:p>
        </w:tc>
        <w:tc>
          <w:tcPr>
            <w:tcW w:w="425" w:type="dxa"/>
            <w:shd w:val="clear" w:color="auto" w:fill="C6EFCE"/>
            <w:noWrap/>
          </w:tcPr>
          <w:p w14:paraId="01EDB9BB" w14:textId="40C0121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17FADCA7" w14:textId="2382CF14" w:rsidR="003E1D81" w:rsidRDefault="00EB481C">
            <w:pPr>
              <w:pStyle w:val="P68B1DB1-Normal13"/>
              <w:spacing w:after="0" w:line="240" w:lineRule="auto"/>
              <w:jc w:val="center"/>
              <w:rPr>
                <w:rFonts w:cs="Times New Roman"/>
                <w:noProof/>
              </w:rPr>
            </w:pPr>
            <w:r>
              <w:rPr>
                <w:noProof/>
              </w:rPr>
              <w:t>2026</w:t>
            </w:r>
          </w:p>
        </w:tc>
        <w:tc>
          <w:tcPr>
            <w:tcW w:w="6096" w:type="dxa"/>
            <w:shd w:val="clear" w:color="auto" w:fill="C6EFCE"/>
            <w:noWrap/>
          </w:tcPr>
          <w:p w14:paraId="0DEFC279" w14:textId="6C4EFA1F" w:rsidR="003E1D81" w:rsidRDefault="00EB481C">
            <w:pPr>
              <w:pStyle w:val="P68B1DB1-Normal13"/>
              <w:spacing w:after="0" w:line="240" w:lineRule="auto"/>
              <w:rPr>
                <w:rFonts w:cs="Times New Roman"/>
                <w:noProof/>
              </w:rPr>
            </w:pPr>
            <w:r>
              <w:rPr>
                <w:noProof/>
              </w:rPr>
              <w:t xml:space="preserve">Legalább 5000000 lakos részesül a városi </w:t>
            </w:r>
            <w:r>
              <w:rPr>
                <w:noProof/>
              </w:rPr>
              <w:t>vízkörforgás digitalizálására irányuló projektek üzembe helyezéséből, és legalább 200000 hektárnyi, a vízfelhasználás digitalizálására szolgáló PERTE részeként részesül az öntözésre szolgáló digitális készletből.</w:t>
            </w:r>
          </w:p>
        </w:tc>
      </w:tr>
      <w:tr w:rsidR="003E1D81" w14:paraId="15BF41AD" w14:textId="77777777">
        <w:trPr>
          <w:trHeight w:val="309"/>
        </w:trPr>
        <w:tc>
          <w:tcPr>
            <w:tcW w:w="709" w:type="dxa"/>
            <w:shd w:val="clear" w:color="auto" w:fill="C6EFCE"/>
            <w:noWrap/>
          </w:tcPr>
          <w:p w14:paraId="43F02807" w14:textId="06550A44" w:rsidR="003E1D81" w:rsidRDefault="00EB481C">
            <w:pPr>
              <w:pStyle w:val="P68B1DB1-Normal13"/>
              <w:spacing w:after="0" w:line="240" w:lineRule="auto"/>
              <w:jc w:val="center"/>
              <w:rPr>
                <w:rFonts w:cs="Times New Roman"/>
                <w:noProof/>
              </w:rPr>
            </w:pPr>
            <w:r>
              <w:rPr>
                <w:noProof/>
              </w:rPr>
              <w:t xml:space="preserve">79 </w:t>
            </w:r>
          </w:p>
        </w:tc>
        <w:tc>
          <w:tcPr>
            <w:tcW w:w="851" w:type="dxa"/>
            <w:shd w:val="clear" w:color="auto" w:fill="C6EFCE"/>
            <w:noWrap/>
          </w:tcPr>
          <w:p w14:paraId="69C258CB" w14:textId="77777777" w:rsidR="003E1D81" w:rsidRDefault="00EB481C">
            <w:pPr>
              <w:pStyle w:val="P68B1DB1-Normal13"/>
              <w:spacing w:after="0" w:line="240" w:lineRule="auto"/>
              <w:jc w:val="center"/>
              <w:rPr>
                <w:rFonts w:cs="Times New Roman"/>
                <w:noProof/>
              </w:rPr>
            </w:pPr>
            <w:r>
              <w:rPr>
                <w:noProof/>
              </w:rPr>
              <w:t>C5.I3</w:t>
            </w:r>
          </w:p>
        </w:tc>
        <w:tc>
          <w:tcPr>
            <w:tcW w:w="850" w:type="dxa"/>
            <w:shd w:val="clear" w:color="auto" w:fill="C6EFCE"/>
            <w:noWrap/>
          </w:tcPr>
          <w:p w14:paraId="0B4835D4" w14:textId="77777777" w:rsidR="003E1D81" w:rsidRDefault="00EB481C">
            <w:pPr>
              <w:pStyle w:val="P68B1DB1-Normal13"/>
              <w:spacing w:after="0" w:line="240" w:lineRule="auto"/>
              <w:jc w:val="center"/>
              <w:rPr>
                <w:rFonts w:cs="Times New Roman"/>
                <w:noProof/>
              </w:rPr>
            </w:pPr>
            <w:r>
              <w:rPr>
                <w:noProof/>
              </w:rPr>
              <w:t>M</w:t>
            </w:r>
          </w:p>
        </w:tc>
        <w:tc>
          <w:tcPr>
            <w:tcW w:w="2835" w:type="dxa"/>
            <w:shd w:val="clear" w:color="auto" w:fill="C6EFCE"/>
            <w:noWrap/>
          </w:tcPr>
          <w:p w14:paraId="1B2C2561" w14:textId="765E79E8" w:rsidR="003E1D81" w:rsidRDefault="00EB481C">
            <w:pPr>
              <w:pStyle w:val="P68B1DB1-Normal13"/>
              <w:spacing w:after="0" w:line="240" w:lineRule="auto"/>
              <w:rPr>
                <w:rFonts w:cs="Times New Roman"/>
                <w:noProof/>
              </w:rPr>
            </w:pPr>
            <w:r>
              <w:rPr>
                <w:noProof/>
              </w:rPr>
              <w:t xml:space="preserve">Szerződések odaítélése a vízkészletek ismeretének és használatának javítását, valamint az esőzések és más meteorológiai adatok nyomon követését szolgáló eszközök végrehajtására </w:t>
            </w:r>
          </w:p>
        </w:tc>
        <w:tc>
          <w:tcPr>
            <w:tcW w:w="993" w:type="dxa"/>
            <w:shd w:val="clear" w:color="auto" w:fill="C6EFCE"/>
            <w:noWrap/>
          </w:tcPr>
          <w:p w14:paraId="674C043C" w14:textId="2177AD92" w:rsidR="003E1D81" w:rsidRDefault="00EB481C">
            <w:pPr>
              <w:pStyle w:val="P68B1DB1-Normal13"/>
              <w:spacing w:after="0" w:line="240" w:lineRule="auto"/>
              <w:jc w:val="center"/>
              <w:rPr>
                <w:rFonts w:cs="Times New Roman"/>
                <w:noProof/>
              </w:rPr>
            </w:pPr>
            <w:r>
              <w:rPr>
                <w:noProof/>
              </w:rPr>
              <w:t>Odaítélt szerződések</w:t>
            </w:r>
          </w:p>
        </w:tc>
        <w:tc>
          <w:tcPr>
            <w:tcW w:w="850" w:type="dxa"/>
            <w:shd w:val="clear" w:color="auto" w:fill="C6EFCE"/>
            <w:noWrap/>
          </w:tcPr>
          <w:p w14:paraId="4D855984" w14:textId="77777777" w:rsidR="003E1D81" w:rsidRDefault="00EB481C">
            <w:pPr>
              <w:pStyle w:val="P68B1DB1-Normal13"/>
              <w:spacing w:after="0" w:line="240" w:lineRule="auto"/>
              <w:jc w:val="right"/>
              <w:rPr>
                <w:rFonts w:cs="Times New Roman"/>
                <w:noProof/>
              </w:rPr>
            </w:pPr>
            <w:r>
              <w:rPr>
                <w:noProof/>
              </w:rPr>
              <w:t> </w:t>
            </w:r>
          </w:p>
        </w:tc>
        <w:tc>
          <w:tcPr>
            <w:tcW w:w="425" w:type="dxa"/>
            <w:shd w:val="clear" w:color="auto" w:fill="C6EFCE"/>
            <w:noWrap/>
          </w:tcPr>
          <w:p w14:paraId="6CE2FCB8" w14:textId="77777777" w:rsidR="003E1D81" w:rsidRDefault="00EB481C">
            <w:pPr>
              <w:pStyle w:val="P68B1DB1-Normal13"/>
              <w:spacing w:after="0" w:line="240" w:lineRule="auto"/>
              <w:jc w:val="right"/>
              <w:rPr>
                <w:rFonts w:cs="Times New Roman"/>
                <w:noProof/>
              </w:rPr>
            </w:pPr>
            <w:r>
              <w:rPr>
                <w:noProof/>
              </w:rPr>
              <w:t> </w:t>
            </w:r>
          </w:p>
        </w:tc>
        <w:tc>
          <w:tcPr>
            <w:tcW w:w="709" w:type="dxa"/>
            <w:shd w:val="clear" w:color="auto" w:fill="C6EFCE"/>
            <w:noWrap/>
          </w:tcPr>
          <w:p w14:paraId="6A84B78A" w14:textId="77777777" w:rsidR="003E1D81" w:rsidRDefault="00EB481C">
            <w:pPr>
              <w:pStyle w:val="P68B1DB1-Normal13"/>
              <w:spacing w:after="0" w:line="240" w:lineRule="auto"/>
              <w:jc w:val="right"/>
              <w:rPr>
                <w:rFonts w:cs="Times New Roman"/>
                <w:noProof/>
              </w:rPr>
            </w:pPr>
            <w:r>
              <w:rPr>
                <w:noProof/>
              </w:rPr>
              <w:t> </w:t>
            </w:r>
          </w:p>
        </w:tc>
        <w:tc>
          <w:tcPr>
            <w:tcW w:w="425" w:type="dxa"/>
            <w:shd w:val="clear" w:color="auto" w:fill="C6EFCE"/>
            <w:noWrap/>
          </w:tcPr>
          <w:p w14:paraId="233DE13E" w14:textId="09727D1B"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1C934F3F" w14:textId="2E968EB1" w:rsidR="003E1D81" w:rsidRDefault="00EB481C">
            <w:pPr>
              <w:pStyle w:val="P68B1DB1-Normal13"/>
              <w:spacing w:after="0" w:line="240" w:lineRule="auto"/>
              <w:jc w:val="center"/>
              <w:rPr>
                <w:rFonts w:cs="Times New Roman"/>
                <w:noProof/>
              </w:rPr>
            </w:pPr>
            <w:r>
              <w:rPr>
                <w:noProof/>
              </w:rPr>
              <w:t>2023</w:t>
            </w:r>
          </w:p>
        </w:tc>
        <w:tc>
          <w:tcPr>
            <w:tcW w:w="6096" w:type="dxa"/>
            <w:shd w:val="clear" w:color="auto" w:fill="C6EFCE"/>
            <w:noWrap/>
          </w:tcPr>
          <w:p w14:paraId="43D09E20" w14:textId="074A9049" w:rsidR="003E1D81" w:rsidRDefault="00EB481C">
            <w:pPr>
              <w:pStyle w:val="P68B1DB1-Normal13"/>
              <w:spacing w:after="0" w:line="240" w:lineRule="auto"/>
              <w:rPr>
                <w:rFonts w:cs="Times New Roman"/>
                <w:noProof/>
              </w:rPr>
            </w:pPr>
            <w:r>
              <w:rPr>
                <w:noProof/>
              </w:rPr>
              <w:t>26 eszköz vagy megújított infrastrukt</w:t>
            </w:r>
            <w:r>
              <w:rPr>
                <w:noProof/>
              </w:rPr>
              <w:t>úra megvalósítására irányuló szerződések odaítélése a vízkészletek ismeretének és használatának javítása, valamint a csapadékmennyiség és más meteorológiai adatok nyomon követése érdekében az éghajlati kockázatok megelőzése érdekében. Az intézkedések elsős</w:t>
            </w:r>
            <w:r>
              <w:rPr>
                <w:noProof/>
              </w:rPr>
              <w:t>orban az elektronikus víznyilvántartás megtervezésére és megvalósítására, a hidrológiai adatok kezelésére és a vízminőségre, a fájlok feldolgozásának digitalizálására, valamint a légiforgalmi meteorológiai felügyeleti hálózat korszerűsítésére vonatkoznak.</w:t>
            </w:r>
          </w:p>
        </w:tc>
      </w:tr>
      <w:tr w:rsidR="003E1D81" w14:paraId="45F41C16" w14:textId="77777777">
        <w:trPr>
          <w:trHeight w:val="309"/>
        </w:trPr>
        <w:tc>
          <w:tcPr>
            <w:tcW w:w="709" w:type="dxa"/>
            <w:shd w:val="clear" w:color="auto" w:fill="C6EFCE"/>
            <w:noWrap/>
          </w:tcPr>
          <w:p w14:paraId="38F3D7FE" w14:textId="16B5EE7E" w:rsidR="003E1D81" w:rsidRDefault="00EB481C">
            <w:pPr>
              <w:pStyle w:val="P68B1DB1-Normal13"/>
              <w:spacing w:after="0" w:line="240" w:lineRule="auto"/>
              <w:jc w:val="center"/>
              <w:rPr>
                <w:rFonts w:cs="Times New Roman"/>
                <w:noProof/>
              </w:rPr>
            </w:pPr>
            <w:r>
              <w:rPr>
                <w:noProof/>
              </w:rPr>
              <w:t>426</w:t>
            </w:r>
          </w:p>
        </w:tc>
        <w:tc>
          <w:tcPr>
            <w:tcW w:w="851" w:type="dxa"/>
            <w:shd w:val="clear" w:color="auto" w:fill="C6EFCE"/>
            <w:noWrap/>
          </w:tcPr>
          <w:p w14:paraId="7DB1F380" w14:textId="3104BA05" w:rsidR="003E1D81" w:rsidRDefault="00EB481C">
            <w:pPr>
              <w:pStyle w:val="P68B1DB1-Normal13"/>
              <w:spacing w:after="0" w:line="240" w:lineRule="auto"/>
              <w:jc w:val="center"/>
              <w:rPr>
                <w:rFonts w:cs="Times New Roman"/>
                <w:noProof/>
              </w:rPr>
            </w:pPr>
            <w:r>
              <w:rPr>
                <w:noProof/>
              </w:rPr>
              <w:t>C5.I3</w:t>
            </w:r>
          </w:p>
        </w:tc>
        <w:tc>
          <w:tcPr>
            <w:tcW w:w="850" w:type="dxa"/>
            <w:shd w:val="clear" w:color="auto" w:fill="C6EFCE"/>
            <w:noWrap/>
          </w:tcPr>
          <w:p w14:paraId="2ED7799A" w14:textId="51C29EC5" w:rsidR="003E1D81" w:rsidRDefault="00EB481C">
            <w:pPr>
              <w:pStyle w:val="P68B1DB1-Normal13"/>
              <w:spacing w:after="0" w:line="240" w:lineRule="auto"/>
              <w:jc w:val="center"/>
              <w:rPr>
                <w:rFonts w:cs="Times New Roman"/>
                <w:noProof/>
              </w:rPr>
            </w:pPr>
            <w:r>
              <w:rPr>
                <w:noProof/>
              </w:rPr>
              <w:t>M</w:t>
            </w:r>
          </w:p>
        </w:tc>
        <w:tc>
          <w:tcPr>
            <w:tcW w:w="2835" w:type="dxa"/>
            <w:shd w:val="clear" w:color="auto" w:fill="C6EFCE"/>
            <w:noWrap/>
          </w:tcPr>
          <w:p w14:paraId="1B60C56A" w14:textId="25B3D256" w:rsidR="003E1D81" w:rsidRDefault="00EB481C">
            <w:pPr>
              <w:pStyle w:val="P68B1DB1-Normal13"/>
              <w:spacing w:after="0" w:line="240" w:lineRule="auto"/>
              <w:rPr>
                <w:rFonts w:cs="Times New Roman"/>
                <w:noProof/>
              </w:rPr>
            </w:pPr>
            <w:r>
              <w:rPr>
                <w:noProof/>
              </w:rPr>
              <w:t>A vízkészletek ismeretének és használatának javítását, valamint a csapadékmennyiség és más meteorológiai adatok nyomon követését szolgáló eszközök üzembe helyezése</w:t>
            </w:r>
          </w:p>
        </w:tc>
        <w:tc>
          <w:tcPr>
            <w:tcW w:w="993" w:type="dxa"/>
            <w:shd w:val="clear" w:color="auto" w:fill="C6EFCE"/>
            <w:noWrap/>
          </w:tcPr>
          <w:p w14:paraId="6A823D63" w14:textId="2BBD2D25" w:rsidR="003E1D81" w:rsidRDefault="00EB481C">
            <w:pPr>
              <w:pStyle w:val="P68B1DB1-Normal13"/>
              <w:spacing w:after="0" w:line="240" w:lineRule="auto"/>
              <w:jc w:val="center"/>
              <w:rPr>
                <w:rFonts w:cs="Times New Roman"/>
                <w:noProof/>
              </w:rPr>
            </w:pPr>
            <w:r>
              <w:rPr>
                <w:noProof/>
              </w:rPr>
              <w:t>A MITERD által aláírt tanúsítványok</w:t>
            </w:r>
          </w:p>
        </w:tc>
        <w:tc>
          <w:tcPr>
            <w:tcW w:w="850" w:type="dxa"/>
            <w:shd w:val="clear" w:color="auto" w:fill="C6EFCE"/>
            <w:noWrap/>
          </w:tcPr>
          <w:p w14:paraId="2179DC8D" w14:textId="77777777" w:rsidR="003E1D81" w:rsidRDefault="003E1D81">
            <w:pPr>
              <w:spacing w:after="0" w:line="240" w:lineRule="auto"/>
              <w:jc w:val="right"/>
              <w:rPr>
                <w:rFonts w:ascii="Times New Roman" w:hAnsi="Times New Roman" w:cs="Times New Roman"/>
                <w:noProof/>
                <w:sz w:val="18"/>
              </w:rPr>
            </w:pPr>
          </w:p>
        </w:tc>
        <w:tc>
          <w:tcPr>
            <w:tcW w:w="425" w:type="dxa"/>
            <w:shd w:val="clear" w:color="auto" w:fill="C6EFCE"/>
            <w:noWrap/>
          </w:tcPr>
          <w:p w14:paraId="5B0EE20A" w14:textId="77777777" w:rsidR="003E1D81" w:rsidRDefault="003E1D81">
            <w:pPr>
              <w:spacing w:after="0" w:line="240" w:lineRule="auto"/>
              <w:jc w:val="right"/>
              <w:rPr>
                <w:rFonts w:ascii="Times New Roman" w:hAnsi="Times New Roman" w:cs="Times New Roman"/>
                <w:noProof/>
                <w:sz w:val="18"/>
              </w:rPr>
            </w:pPr>
          </w:p>
        </w:tc>
        <w:tc>
          <w:tcPr>
            <w:tcW w:w="709" w:type="dxa"/>
            <w:shd w:val="clear" w:color="auto" w:fill="C6EFCE"/>
            <w:noWrap/>
          </w:tcPr>
          <w:p w14:paraId="65028B26" w14:textId="77777777" w:rsidR="003E1D81" w:rsidRDefault="003E1D81">
            <w:pPr>
              <w:spacing w:after="0" w:line="240" w:lineRule="auto"/>
              <w:jc w:val="right"/>
              <w:rPr>
                <w:rFonts w:ascii="Times New Roman" w:hAnsi="Times New Roman" w:cs="Times New Roman"/>
                <w:noProof/>
                <w:sz w:val="18"/>
              </w:rPr>
            </w:pPr>
          </w:p>
        </w:tc>
        <w:tc>
          <w:tcPr>
            <w:tcW w:w="425" w:type="dxa"/>
            <w:shd w:val="clear" w:color="auto" w:fill="C6EFCE"/>
            <w:noWrap/>
          </w:tcPr>
          <w:p w14:paraId="2DA111C3" w14:textId="5F52D8EE"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17334155" w14:textId="05F8D019" w:rsidR="003E1D81" w:rsidRDefault="00EB481C">
            <w:pPr>
              <w:pStyle w:val="P68B1DB1-Normal13"/>
              <w:spacing w:after="0" w:line="240" w:lineRule="auto"/>
              <w:jc w:val="center"/>
              <w:rPr>
                <w:rFonts w:cs="Times New Roman"/>
                <w:noProof/>
              </w:rPr>
            </w:pPr>
            <w:r>
              <w:rPr>
                <w:noProof/>
              </w:rPr>
              <w:t>2026</w:t>
            </w:r>
          </w:p>
        </w:tc>
        <w:tc>
          <w:tcPr>
            <w:tcW w:w="6096" w:type="dxa"/>
            <w:shd w:val="clear" w:color="auto" w:fill="C6EFCE"/>
            <w:noWrap/>
          </w:tcPr>
          <w:p w14:paraId="245E050A" w14:textId="7FE79BF6" w:rsidR="003E1D81" w:rsidRDefault="00EB481C">
            <w:pPr>
              <w:pStyle w:val="P68B1DB1-Normal13"/>
              <w:spacing w:after="0" w:line="240" w:lineRule="auto"/>
              <w:rPr>
                <w:rFonts w:cs="Times New Roman"/>
                <w:noProof/>
              </w:rPr>
            </w:pPr>
            <w:r>
              <w:rPr>
                <w:noProof/>
              </w:rPr>
              <w:t xml:space="preserve">26 eszköz vagy megújított </w:t>
            </w:r>
            <w:r>
              <w:rPr>
                <w:noProof/>
              </w:rPr>
              <w:t>infrastruktúra üzembe helyezése a vízkészletek ismeretének és használatának javítása, valamint a csapadékmennyiség és más meteorológiai adatok nyomon követése érdekében az éghajlati kockázatok megelőzése érdekében. Az intézkedések elsősorban az elektroniku</w:t>
            </w:r>
            <w:r>
              <w:rPr>
                <w:noProof/>
              </w:rPr>
              <w:t>s víznyilvántartás megtervezésére és megvalósítására, a hidrológiai adatok kezelésére és a vízminőségre, a fájlok feldolgozásának digitalizálására, valamint a légiforgalmi meteorológiai felügyeleti hálózat korszerűsítésére vonatkoznak.</w:t>
            </w:r>
          </w:p>
        </w:tc>
      </w:tr>
      <w:tr w:rsidR="003E1D81" w14:paraId="1BAC1ACB" w14:textId="77777777">
        <w:trPr>
          <w:trHeight w:val="309"/>
        </w:trPr>
        <w:tc>
          <w:tcPr>
            <w:tcW w:w="709" w:type="dxa"/>
            <w:shd w:val="clear" w:color="auto" w:fill="C6EFCE"/>
            <w:noWrap/>
          </w:tcPr>
          <w:p w14:paraId="0F8EA849" w14:textId="77777777" w:rsidR="003E1D81" w:rsidRDefault="00EB481C">
            <w:pPr>
              <w:pStyle w:val="P68B1DB1-Normal13"/>
              <w:spacing w:after="0" w:line="240" w:lineRule="auto"/>
              <w:jc w:val="center"/>
              <w:rPr>
                <w:rFonts w:cs="Times New Roman"/>
                <w:noProof/>
              </w:rPr>
            </w:pPr>
            <w:r>
              <w:rPr>
                <w:noProof/>
              </w:rPr>
              <w:t>80</w:t>
            </w:r>
          </w:p>
        </w:tc>
        <w:tc>
          <w:tcPr>
            <w:tcW w:w="851" w:type="dxa"/>
            <w:shd w:val="clear" w:color="auto" w:fill="C6EFCE"/>
            <w:noWrap/>
          </w:tcPr>
          <w:p w14:paraId="4032C757" w14:textId="77777777" w:rsidR="003E1D81" w:rsidRDefault="00EB481C">
            <w:pPr>
              <w:pStyle w:val="P68B1DB1-Normal13"/>
              <w:spacing w:after="0" w:line="240" w:lineRule="auto"/>
              <w:jc w:val="center"/>
              <w:rPr>
                <w:rFonts w:cs="Times New Roman"/>
                <w:noProof/>
              </w:rPr>
            </w:pPr>
            <w:r>
              <w:rPr>
                <w:noProof/>
              </w:rPr>
              <w:t>C5.I4</w:t>
            </w:r>
          </w:p>
        </w:tc>
        <w:tc>
          <w:tcPr>
            <w:tcW w:w="850" w:type="dxa"/>
            <w:shd w:val="clear" w:color="auto" w:fill="C6EFCE"/>
            <w:noWrap/>
          </w:tcPr>
          <w:p w14:paraId="01329650" w14:textId="77777777" w:rsidR="003E1D81" w:rsidRDefault="00EB481C">
            <w:pPr>
              <w:pStyle w:val="P68B1DB1-Normal13"/>
              <w:spacing w:after="0" w:line="240" w:lineRule="auto"/>
              <w:jc w:val="center"/>
              <w:rPr>
                <w:rFonts w:cs="Times New Roman"/>
                <w:noProof/>
              </w:rPr>
            </w:pPr>
            <w:r>
              <w:rPr>
                <w:noProof/>
              </w:rPr>
              <w:t>T</w:t>
            </w:r>
          </w:p>
        </w:tc>
        <w:tc>
          <w:tcPr>
            <w:tcW w:w="2835" w:type="dxa"/>
            <w:shd w:val="clear" w:color="auto" w:fill="C6EFCE"/>
            <w:noWrap/>
          </w:tcPr>
          <w:p w14:paraId="1178CAED" w14:textId="77777777" w:rsidR="003E1D81" w:rsidRDefault="00EB481C">
            <w:pPr>
              <w:pStyle w:val="P68B1DB1-Normal13"/>
              <w:spacing w:after="0" w:line="240" w:lineRule="auto"/>
              <w:rPr>
                <w:rFonts w:cs="Times New Roman"/>
                <w:noProof/>
              </w:rPr>
            </w:pPr>
            <w:r>
              <w:rPr>
                <w:noProof/>
              </w:rPr>
              <w:t xml:space="preserve">A leromlott állapotú területek és ökoszisztémák helyreállítása legalább 50 kilométernyi partszakaszon </w:t>
            </w:r>
          </w:p>
        </w:tc>
        <w:tc>
          <w:tcPr>
            <w:tcW w:w="993" w:type="dxa"/>
            <w:shd w:val="clear" w:color="auto" w:fill="C6EFCE"/>
            <w:noWrap/>
          </w:tcPr>
          <w:p w14:paraId="7196D064"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7D0D37D8" w14:textId="77777777" w:rsidR="003E1D81" w:rsidRDefault="00EB481C">
            <w:pPr>
              <w:pStyle w:val="P68B1DB1-Normal13"/>
              <w:spacing w:after="0" w:line="240" w:lineRule="auto"/>
              <w:jc w:val="right"/>
              <w:rPr>
                <w:rFonts w:cs="Times New Roman"/>
                <w:noProof/>
              </w:rPr>
            </w:pPr>
            <w:r>
              <w:rPr>
                <w:noProof/>
              </w:rPr>
              <w:t>Szám (kilométer)</w:t>
            </w:r>
          </w:p>
        </w:tc>
        <w:tc>
          <w:tcPr>
            <w:tcW w:w="425" w:type="dxa"/>
            <w:shd w:val="clear" w:color="auto" w:fill="C6EFCE"/>
            <w:noWrap/>
          </w:tcPr>
          <w:p w14:paraId="5EC6149D" w14:textId="77777777" w:rsidR="003E1D81" w:rsidRDefault="00EB481C">
            <w:pPr>
              <w:pStyle w:val="P68B1DB1-Normal13"/>
              <w:spacing w:after="0" w:line="240" w:lineRule="auto"/>
              <w:jc w:val="right"/>
              <w:rPr>
                <w:rFonts w:cs="Times New Roman"/>
                <w:noProof/>
              </w:rPr>
            </w:pPr>
            <w:r>
              <w:rPr>
                <w:noProof/>
              </w:rPr>
              <w:t>0</w:t>
            </w:r>
          </w:p>
        </w:tc>
        <w:tc>
          <w:tcPr>
            <w:tcW w:w="709" w:type="dxa"/>
            <w:shd w:val="clear" w:color="auto" w:fill="C6EFCE"/>
            <w:noWrap/>
          </w:tcPr>
          <w:p w14:paraId="2EC8893D" w14:textId="77777777" w:rsidR="003E1D81" w:rsidRDefault="00EB481C">
            <w:pPr>
              <w:pStyle w:val="P68B1DB1-Normal13"/>
              <w:spacing w:after="0" w:line="240" w:lineRule="auto"/>
              <w:jc w:val="right"/>
              <w:rPr>
                <w:rFonts w:cs="Times New Roman"/>
                <w:noProof/>
              </w:rPr>
            </w:pPr>
            <w:r>
              <w:rPr>
                <w:noProof/>
              </w:rPr>
              <w:t>50</w:t>
            </w:r>
          </w:p>
        </w:tc>
        <w:tc>
          <w:tcPr>
            <w:tcW w:w="425" w:type="dxa"/>
            <w:shd w:val="clear" w:color="auto" w:fill="C6EFCE"/>
            <w:noWrap/>
          </w:tcPr>
          <w:p w14:paraId="76EBF224"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7506936E" w14:textId="77777777" w:rsidR="003E1D81" w:rsidRDefault="00EB481C">
            <w:pPr>
              <w:pStyle w:val="P68B1DB1-Normal13"/>
              <w:spacing w:after="0" w:line="240" w:lineRule="auto"/>
              <w:jc w:val="center"/>
              <w:rPr>
                <w:rFonts w:cs="Times New Roman"/>
                <w:noProof/>
              </w:rPr>
            </w:pPr>
            <w:r>
              <w:rPr>
                <w:noProof/>
              </w:rPr>
              <w:t>2022</w:t>
            </w:r>
          </w:p>
        </w:tc>
        <w:tc>
          <w:tcPr>
            <w:tcW w:w="6096" w:type="dxa"/>
            <w:shd w:val="clear" w:color="auto" w:fill="C6EFCE"/>
            <w:noWrap/>
          </w:tcPr>
          <w:p w14:paraId="19ECDCCC" w14:textId="528DF69E" w:rsidR="003E1D81" w:rsidRDefault="00EB481C">
            <w:pPr>
              <w:pStyle w:val="P68B1DB1-Normal8"/>
              <w:spacing w:after="0" w:line="240" w:lineRule="auto"/>
              <w:rPr>
                <w:rFonts w:cs="Times New Roman"/>
                <w:noProof/>
                <w:sz w:val="18"/>
              </w:rPr>
            </w:pPr>
            <w:r>
              <w:rPr>
                <w:noProof/>
              </w:rPr>
              <w:t>Legalább 50 kilométernyi partszakasz</w:t>
            </w:r>
            <w:r>
              <w:rPr>
                <w:noProof/>
                <w:sz w:val="18"/>
              </w:rPr>
              <w:t>befejezése a leromlott állapotú területek és ökoszisztémák helyreállítása, a part menti területek védelme és hozzáférhetőségének javítása, az erózió mérséklése, az ismeretek bővítése, a part menti területek ellenálló képességének növelése és az éghajlatvál</w:t>
            </w:r>
            <w:r>
              <w:rPr>
                <w:noProof/>
                <w:sz w:val="18"/>
              </w:rPr>
              <w:t>tozás hatásaihoz való alkalmazkodás, távfelügyelet és a stratégiai tengertervezési politikák végrehajtása. Az intézkedéseknek az alábbiak bármelyikét figyelembe kell venniük:</w:t>
            </w:r>
            <w:r>
              <w:rPr>
                <w:noProof/>
              </w:rPr>
              <w:br/>
            </w:r>
            <w:r>
              <w:rPr>
                <w:noProof/>
                <w:sz w:val="18"/>
              </w:rPr>
              <w:t>a spanyol partvidék éghajlatváltozás káros hatásaival szembeni ellenálló képesség</w:t>
            </w:r>
            <w:r>
              <w:rPr>
                <w:noProof/>
                <w:sz w:val="18"/>
              </w:rPr>
              <w:t>ének növelése az erózió elleni küzdelem és a partvonal megerősítése révén. Ennek során figyelembe kell venni a törővíz, a mesterséges strandok, az úszó felületek, az üledékgazdálkodás, a természetalapú megoldások, a tengerparti és dűnérendszer helyreállítá</w:t>
            </w:r>
            <w:r>
              <w:rPr>
                <w:noProof/>
                <w:sz w:val="18"/>
              </w:rPr>
              <w:t>sa, a partvédelmi infrastruktúra, a part menti erózió nyomon követésére szolgáló intelligens hálózatok bevezetése vagy a hasonló hatású intézkedések létrehozását.</w:t>
            </w:r>
            <w:r>
              <w:rPr>
                <w:noProof/>
              </w:rPr>
              <w:br/>
            </w:r>
            <w:r>
              <w:rPr>
                <w:noProof/>
                <w:sz w:val="18"/>
              </w:rPr>
              <w:t>a part menti ökoszisztémák vagy a leromlott területek védelme és helyreállítása. Ezt a követk</w:t>
            </w:r>
            <w:r>
              <w:rPr>
                <w:noProof/>
                <w:sz w:val="18"/>
              </w:rPr>
              <w:t>ezők révén kell végrehajtani: a) a visszacsúszás által érintett létesítmények áthelyezése; az állami tulajdonban lévő szárazföldi tengeri területek körülhatárolása; a nem megfelelően vagy nem megfelelően elfoglalt állami tulajdonban lévő tengerparti terüle</w:t>
            </w:r>
            <w:r>
              <w:rPr>
                <w:noProof/>
                <w:sz w:val="18"/>
              </w:rPr>
              <w:t>tek visszaszerzése; kockázatértékelés és -kezelés vagy hasonló intézkedések; a leromlott part menti területek és ökoszisztémák környezeti helyreállítása; a partvonal védelme és kezelése; és/vagy g) hasonló hatású intézkedések.</w:t>
            </w:r>
            <w:r>
              <w:rPr>
                <w:noProof/>
              </w:rPr>
              <w:br/>
            </w:r>
            <w:r>
              <w:rPr>
                <w:noProof/>
                <w:sz w:val="18"/>
              </w:rPr>
              <w:t>a köztulajdonban lévő szárazf</w:t>
            </w:r>
            <w:r>
              <w:rPr>
                <w:noProof/>
                <w:sz w:val="18"/>
              </w:rPr>
              <w:t>öldi tengeri területek rendezett és megfelelő hozzáférhetőségének javítása. Ez a közkincshez való hozzáférés biztosítása érdekében földterületek hasznosításával, a hozzáférés vagy a hasonló hatású intézkedések tervezésével, kezelésével és helyreállításával</w:t>
            </w:r>
            <w:r>
              <w:rPr>
                <w:noProof/>
                <w:sz w:val="18"/>
              </w:rPr>
              <w:t xml:space="preserve"> történik.</w:t>
            </w:r>
            <w:r>
              <w:rPr>
                <w:noProof/>
              </w:rPr>
              <w:br/>
            </w:r>
            <w:r>
              <w:rPr>
                <w:noProof/>
                <w:sz w:val="18"/>
              </w:rPr>
              <w:t>a stratégiai tengertervezési politikák végrehajtása. Ez a tengeri területrendezés, a tengervédelmi stratégiák, az óceánokra, az éghajlatra és a tengerpartokra vonatkozó tudományos tanácsadás, valamint a tengerhasználóknak szánt georeferencia-ala</w:t>
            </w:r>
            <w:r>
              <w:rPr>
                <w:noProof/>
                <w:sz w:val="18"/>
              </w:rPr>
              <w:t>pú webes alkalmazás kifejlesztése révén valósul meg.</w:t>
            </w:r>
          </w:p>
        </w:tc>
      </w:tr>
      <w:tr w:rsidR="003E1D81" w14:paraId="52BFA199" w14:textId="77777777">
        <w:trPr>
          <w:trHeight w:val="309"/>
        </w:trPr>
        <w:tc>
          <w:tcPr>
            <w:tcW w:w="709" w:type="dxa"/>
            <w:shd w:val="clear" w:color="auto" w:fill="C6EFCE"/>
            <w:noWrap/>
          </w:tcPr>
          <w:p w14:paraId="1944BFB1" w14:textId="77777777" w:rsidR="003E1D81" w:rsidRDefault="00EB481C">
            <w:pPr>
              <w:pStyle w:val="P68B1DB1-Normal13"/>
              <w:spacing w:after="0" w:line="240" w:lineRule="auto"/>
              <w:jc w:val="center"/>
              <w:rPr>
                <w:rFonts w:cs="Times New Roman"/>
                <w:noProof/>
              </w:rPr>
            </w:pPr>
            <w:r>
              <w:rPr>
                <w:noProof/>
              </w:rPr>
              <w:t>81</w:t>
            </w:r>
          </w:p>
        </w:tc>
        <w:tc>
          <w:tcPr>
            <w:tcW w:w="851" w:type="dxa"/>
            <w:shd w:val="clear" w:color="auto" w:fill="C6EFCE"/>
            <w:noWrap/>
          </w:tcPr>
          <w:p w14:paraId="20E2CDE1" w14:textId="77777777" w:rsidR="003E1D81" w:rsidRDefault="00EB481C">
            <w:pPr>
              <w:pStyle w:val="P68B1DB1-Normal13"/>
              <w:spacing w:after="0" w:line="240" w:lineRule="auto"/>
              <w:jc w:val="center"/>
              <w:rPr>
                <w:rFonts w:cs="Times New Roman"/>
                <w:noProof/>
              </w:rPr>
            </w:pPr>
            <w:r>
              <w:rPr>
                <w:noProof/>
              </w:rPr>
              <w:t>C5.I4</w:t>
            </w:r>
          </w:p>
        </w:tc>
        <w:tc>
          <w:tcPr>
            <w:tcW w:w="850" w:type="dxa"/>
            <w:shd w:val="clear" w:color="auto" w:fill="C6EFCE"/>
            <w:noWrap/>
          </w:tcPr>
          <w:p w14:paraId="3678FA0E" w14:textId="77777777" w:rsidR="003E1D81" w:rsidRDefault="00EB481C">
            <w:pPr>
              <w:pStyle w:val="P68B1DB1-Normal13"/>
              <w:spacing w:after="0" w:line="240" w:lineRule="auto"/>
              <w:jc w:val="center"/>
              <w:rPr>
                <w:rFonts w:cs="Times New Roman"/>
                <w:noProof/>
              </w:rPr>
            </w:pPr>
            <w:r>
              <w:rPr>
                <w:noProof/>
              </w:rPr>
              <w:t>T</w:t>
            </w:r>
          </w:p>
        </w:tc>
        <w:tc>
          <w:tcPr>
            <w:tcW w:w="2835" w:type="dxa"/>
            <w:shd w:val="clear" w:color="auto" w:fill="C6EFCE"/>
            <w:noWrap/>
          </w:tcPr>
          <w:p w14:paraId="2FA11EB4" w14:textId="77777777" w:rsidR="003E1D81" w:rsidRDefault="00EB481C">
            <w:pPr>
              <w:pStyle w:val="P68B1DB1-Normal13"/>
              <w:spacing w:after="0" w:line="240" w:lineRule="auto"/>
              <w:rPr>
                <w:rFonts w:cs="Times New Roman"/>
                <w:noProof/>
              </w:rPr>
            </w:pPr>
            <w:r>
              <w:rPr>
                <w:noProof/>
              </w:rPr>
              <w:t>A leromlott állapotú területek és ökoszisztémák helyreállítása legalább 100 kilométer partvonalon</w:t>
            </w:r>
          </w:p>
        </w:tc>
        <w:tc>
          <w:tcPr>
            <w:tcW w:w="993" w:type="dxa"/>
            <w:shd w:val="clear" w:color="auto" w:fill="C6EFCE"/>
            <w:noWrap/>
          </w:tcPr>
          <w:p w14:paraId="34FF1C98"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20A5B720" w14:textId="77777777" w:rsidR="003E1D81" w:rsidRDefault="00EB481C">
            <w:pPr>
              <w:pStyle w:val="P68B1DB1-Normal13"/>
              <w:spacing w:after="0" w:line="240" w:lineRule="auto"/>
              <w:jc w:val="right"/>
              <w:rPr>
                <w:rFonts w:cs="Times New Roman"/>
                <w:noProof/>
              </w:rPr>
            </w:pPr>
            <w:r>
              <w:rPr>
                <w:noProof/>
              </w:rPr>
              <w:t>Szám (kilométer)</w:t>
            </w:r>
          </w:p>
        </w:tc>
        <w:tc>
          <w:tcPr>
            <w:tcW w:w="425" w:type="dxa"/>
            <w:shd w:val="clear" w:color="auto" w:fill="C6EFCE"/>
            <w:noWrap/>
          </w:tcPr>
          <w:p w14:paraId="5AE91C80" w14:textId="77777777" w:rsidR="003E1D81" w:rsidRDefault="00EB481C">
            <w:pPr>
              <w:pStyle w:val="P68B1DB1-Normal13"/>
              <w:spacing w:after="0" w:line="240" w:lineRule="auto"/>
              <w:jc w:val="right"/>
              <w:rPr>
                <w:rFonts w:cs="Times New Roman"/>
                <w:noProof/>
              </w:rPr>
            </w:pPr>
            <w:r>
              <w:rPr>
                <w:noProof/>
              </w:rPr>
              <w:t>50</w:t>
            </w:r>
          </w:p>
        </w:tc>
        <w:tc>
          <w:tcPr>
            <w:tcW w:w="709" w:type="dxa"/>
            <w:shd w:val="clear" w:color="auto" w:fill="C6EFCE"/>
            <w:noWrap/>
          </w:tcPr>
          <w:p w14:paraId="02B72823" w14:textId="1F2B50A6" w:rsidR="003E1D81" w:rsidRDefault="00EB481C">
            <w:pPr>
              <w:pStyle w:val="P68B1DB1-Normal13"/>
              <w:spacing w:after="0" w:line="240" w:lineRule="auto"/>
              <w:jc w:val="right"/>
              <w:rPr>
                <w:rFonts w:cs="Times New Roman"/>
                <w:noProof/>
              </w:rPr>
            </w:pPr>
            <w:r>
              <w:rPr>
                <w:noProof/>
              </w:rPr>
              <w:t>100</w:t>
            </w:r>
          </w:p>
        </w:tc>
        <w:tc>
          <w:tcPr>
            <w:tcW w:w="425" w:type="dxa"/>
            <w:shd w:val="clear" w:color="auto" w:fill="C6EFCE"/>
            <w:noWrap/>
          </w:tcPr>
          <w:p w14:paraId="5E4CD473"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665C4E8C" w14:textId="776FA070" w:rsidR="003E1D81" w:rsidRDefault="00EB481C">
            <w:pPr>
              <w:pStyle w:val="P68B1DB1-Normal13"/>
              <w:spacing w:after="0" w:line="240" w:lineRule="auto"/>
              <w:jc w:val="center"/>
              <w:rPr>
                <w:rFonts w:cs="Times New Roman"/>
                <w:noProof/>
              </w:rPr>
            </w:pPr>
            <w:r>
              <w:rPr>
                <w:noProof/>
              </w:rPr>
              <w:t>2023</w:t>
            </w:r>
          </w:p>
        </w:tc>
        <w:tc>
          <w:tcPr>
            <w:tcW w:w="6096" w:type="dxa"/>
            <w:shd w:val="clear" w:color="auto" w:fill="C6EFCE"/>
            <w:noWrap/>
          </w:tcPr>
          <w:p w14:paraId="4956F0E0" w14:textId="58271923" w:rsidR="003E1D81" w:rsidRDefault="00EB481C">
            <w:pPr>
              <w:pStyle w:val="P68B1DB1-Normal8"/>
              <w:spacing w:after="0" w:line="240" w:lineRule="auto"/>
              <w:rPr>
                <w:rFonts w:cs="Times New Roman"/>
                <w:noProof/>
                <w:sz w:val="18"/>
              </w:rPr>
            </w:pPr>
            <w:r>
              <w:rPr>
                <w:noProof/>
              </w:rPr>
              <w:t xml:space="preserve">A leromlott állapotú területek és ökoszisztémák </w:t>
            </w:r>
            <w:r>
              <w:rPr>
                <w:noProof/>
              </w:rPr>
              <w:t>helyreállítására, a part menti területek védelmére és hozzáférhetőségének javítására, az erózió mérséklésére, a jobb ismeretekre, a part menti területek ellenálló képességének növelésére és az éghajlatváltozás hatásaihoz való alkalmazkodásra irányuló munká</w:t>
            </w:r>
            <w:r>
              <w:rPr>
                <w:noProof/>
              </w:rPr>
              <w:t>latok</w:t>
            </w:r>
            <w:r>
              <w:rPr>
                <w:noProof/>
                <w:sz w:val="18"/>
              </w:rPr>
              <w:t>befejezése, távellenőrzés és a stratégiai tengertervezési politikák végrehajtása. A munkálatok a következők bármelyikét tartalmazzák:</w:t>
            </w:r>
            <w:r>
              <w:rPr>
                <w:noProof/>
              </w:rPr>
              <w:br/>
            </w:r>
            <w:r>
              <w:rPr>
                <w:noProof/>
                <w:sz w:val="18"/>
              </w:rPr>
              <w:t>a spanyol partvidék éghajlatváltozás káros hatásaival szembeni ellenálló képességének növelése az erózió elleni küzde</w:t>
            </w:r>
            <w:r>
              <w:rPr>
                <w:noProof/>
                <w:sz w:val="18"/>
              </w:rPr>
              <w:t xml:space="preserve">lem és a partvonal megerősítése révén. Ennek során figyelembe kell venni a törővíz, a mesterséges strandok, az úszó felületek, az üledékgazdálkodás, a természetalapú megoldások, a tengerparti és dűnérendszer helyreállítása, a partvédelmi infrastruktúra, a </w:t>
            </w:r>
            <w:r>
              <w:rPr>
                <w:noProof/>
                <w:sz w:val="18"/>
              </w:rPr>
              <w:t>part menti erózió nyomon követésére szolgáló intelligens hálózatok bevezetése vagy a hasonló hatású intézkedések létrehozását.</w:t>
            </w:r>
            <w:r>
              <w:rPr>
                <w:noProof/>
              </w:rPr>
              <w:br/>
            </w:r>
            <w:r>
              <w:rPr>
                <w:noProof/>
                <w:sz w:val="18"/>
              </w:rPr>
              <w:t>a part menti ökoszisztémák vagy a leromlott állapotú területek védelme és helyreállítása. Ezt a következők révén kell végrehajtan</w:t>
            </w:r>
            <w:r>
              <w:rPr>
                <w:noProof/>
                <w:sz w:val="18"/>
              </w:rPr>
              <w:t>i: a) a visszacsúszás által érintett létesítmények áthelyezése; az állami tulajdonban lévő szárazföldi tengeri területek körülhatárolása; a nem megfelelően vagy nem megfelelően elfoglalt állami tulajdonban lévő tengerparti területek visszaszerzése; kockáza</w:t>
            </w:r>
            <w:r>
              <w:rPr>
                <w:noProof/>
                <w:sz w:val="18"/>
              </w:rPr>
              <w:t>tértékelés és -kezelés vagy hasonló intézkedések; a leromlott part menti területek és ökoszisztémák környezeti helyreállítása; a partvonal védelme és kezelése; és/vagy g) hasonló hatású intézkedések.</w:t>
            </w:r>
            <w:r>
              <w:rPr>
                <w:noProof/>
              </w:rPr>
              <w:br/>
            </w:r>
            <w:r>
              <w:rPr>
                <w:noProof/>
                <w:sz w:val="18"/>
              </w:rPr>
              <w:t>a köztulajdonban lévő szárazföldi tengeri területek rend</w:t>
            </w:r>
            <w:r>
              <w:rPr>
                <w:noProof/>
                <w:sz w:val="18"/>
              </w:rPr>
              <w:t>ezett és megfelelő hozzáférhetőségének javítása. Ez a közkincshez való hozzáférés biztosítása érdekében földterületek hasznosításával, a hozzáférés vagy hasonló hatású intézkedések tervezésével, kezelésével és helyreállításával történik.</w:t>
            </w:r>
            <w:r>
              <w:rPr>
                <w:noProof/>
              </w:rPr>
              <w:br/>
            </w:r>
            <w:r>
              <w:rPr>
                <w:noProof/>
                <w:sz w:val="18"/>
              </w:rPr>
              <w:t>a stratégiai tenge</w:t>
            </w:r>
            <w:r>
              <w:rPr>
                <w:noProof/>
                <w:sz w:val="18"/>
              </w:rPr>
              <w:t>rtervezési politikák végrehajtása. Ez a tengeri területrendezés, a tengervédelmi stratégiák, az óceánokra, az éghajlatra és a tengerpartokra vonatkozó tudományos tanácsadás, valamint a tengerhasználóknak szánt georeferencia-alapú webes alkalmazás kifejlesz</w:t>
            </w:r>
            <w:r>
              <w:rPr>
                <w:noProof/>
                <w:sz w:val="18"/>
              </w:rPr>
              <w:t>tése révén valósul meg. (Alapforgatókönyv: 2022. december 31.)</w:t>
            </w:r>
          </w:p>
        </w:tc>
      </w:tr>
      <w:tr w:rsidR="003E1D81" w14:paraId="792C4F9E" w14:textId="77777777">
        <w:trPr>
          <w:trHeight w:val="309"/>
        </w:trPr>
        <w:tc>
          <w:tcPr>
            <w:tcW w:w="709" w:type="dxa"/>
            <w:shd w:val="clear" w:color="auto" w:fill="C6EFCE"/>
            <w:noWrap/>
          </w:tcPr>
          <w:p w14:paraId="6129792C" w14:textId="34D0A125" w:rsidR="003E1D81" w:rsidRDefault="00EB481C">
            <w:pPr>
              <w:pStyle w:val="P68B1DB1-Normal13"/>
              <w:spacing w:after="0" w:line="240" w:lineRule="auto"/>
              <w:jc w:val="center"/>
              <w:rPr>
                <w:rFonts w:cs="Times New Roman"/>
                <w:noProof/>
              </w:rPr>
            </w:pPr>
            <w:r>
              <w:rPr>
                <w:noProof/>
              </w:rPr>
              <w:t>81b</w:t>
            </w:r>
          </w:p>
        </w:tc>
        <w:tc>
          <w:tcPr>
            <w:tcW w:w="851" w:type="dxa"/>
            <w:shd w:val="clear" w:color="auto" w:fill="C6EFCE"/>
            <w:noWrap/>
          </w:tcPr>
          <w:p w14:paraId="0F1A69C0" w14:textId="0A5C6C45" w:rsidR="003E1D81" w:rsidRDefault="00EB481C">
            <w:pPr>
              <w:pStyle w:val="P68B1DB1-Normal13"/>
              <w:spacing w:after="0" w:line="240" w:lineRule="auto"/>
              <w:jc w:val="center"/>
              <w:rPr>
                <w:rFonts w:cs="Times New Roman"/>
                <w:noProof/>
              </w:rPr>
            </w:pPr>
            <w:r>
              <w:rPr>
                <w:noProof/>
              </w:rPr>
              <w:t>C5.I4</w:t>
            </w:r>
          </w:p>
        </w:tc>
        <w:tc>
          <w:tcPr>
            <w:tcW w:w="850" w:type="dxa"/>
            <w:shd w:val="clear" w:color="auto" w:fill="C6EFCE"/>
            <w:noWrap/>
          </w:tcPr>
          <w:p w14:paraId="03579949" w14:textId="49B4C112" w:rsidR="003E1D81" w:rsidRDefault="00EB481C">
            <w:pPr>
              <w:pStyle w:val="P68B1DB1-Normal13"/>
              <w:spacing w:after="0" w:line="240" w:lineRule="auto"/>
              <w:jc w:val="center"/>
              <w:rPr>
                <w:rFonts w:cs="Times New Roman"/>
                <w:noProof/>
              </w:rPr>
            </w:pPr>
            <w:r>
              <w:rPr>
                <w:noProof/>
              </w:rPr>
              <w:t>T</w:t>
            </w:r>
          </w:p>
        </w:tc>
        <w:tc>
          <w:tcPr>
            <w:tcW w:w="2835" w:type="dxa"/>
            <w:shd w:val="clear" w:color="auto" w:fill="C6EFCE"/>
            <w:noWrap/>
          </w:tcPr>
          <w:p w14:paraId="52A03147" w14:textId="28B998E9" w:rsidR="003E1D81" w:rsidRDefault="00EB481C">
            <w:pPr>
              <w:pStyle w:val="P68B1DB1-Normal13"/>
              <w:spacing w:after="0" w:line="240" w:lineRule="auto"/>
              <w:rPr>
                <w:rFonts w:cs="Times New Roman"/>
                <w:noProof/>
              </w:rPr>
            </w:pPr>
            <w:r>
              <w:rPr>
                <w:noProof/>
              </w:rPr>
              <w:t>A leromlott állapotú területek és ökoszisztémák helyreállítása legalább 145 kilométernyi partvonalon</w:t>
            </w:r>
          </w:p>
        </w:tc>
        <w:tc>
          <w:tcPr>
            <w:tcW w:w="993" w:type="dxa"/>
            <w:shd w:val="clear" w:color="auto" w:fill="C6EFCE"/>
            <w:noWrap/>
          </w:tcPr>
          <w:p w14:paraId="668F4DA1"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22A1F55A" w14:textId="0F961F79" w:rsidR="003E1D81" w:rsidRDefault="00EB481C">
            <w:pPr>
              <w:pStyle w:val="P68B1DB1-Normal13"/>
              <w:spacing w:after="0" w:line="240" w:lineRule="auto"/>
              <w:jc w:val="right"/>
              <w:rPr>
                <w:rFonts w:cs="Times New Roman"/>
                <w:noProof/>
              </w:rPr>
            </w:pPr>
            <w:r>
              <w:rPr>
                <w:noProof/>
              </w:rPr>
              <w:t>Szám (kilométer)</w:t>
            </w:r>
          </w:p>
        </w:tc>
        <w:tc>
          <w:tcPr>
            <w:tcW w:w="425" w:type="dxa"/>
            <w:shd w:val="clear" w:color="auto" w:fill="C6EFCE"/>
            <w:noWrap/>
          </w:tcPr>
          <w:p w14:paraId="3A4E4BB2" w14:textId="71217CD5" w:rsidR="003E1D81" w:rsidRDefault="00EB481C">
            <w:pPr>
              <w:pStyle w:val="P68B1DB1-Normal13"/>
              <w:spacing w:after="0" w:line="240" w:lineRule="auto"/>
              <w:jc w:val="right"/>
              <w:rPr>
                <w:rFonts w:cs="Times New Roman"/>
                <w:noProof/>
              </w:rPr>
            </w:pPr>
            <w:r>
              <w:rPr>
                <w:noProof/>
              </w:rPr>
              <w:t>100</w:t>
            </w:r>
          </w:p>
        </w:tc>
        <w:tc>
          <w:tcPr>
            <w:tcW w:w="709" w:type="dxa"/>
            <w:shd w:val="clear" w:color="auto" w:fill="C6EFCE"/>
            <w:noWrap/>
          </w:tcPr>
          <w:p w14:paraId="68BAC8DF" w14:textId="582E983F" w:rsidR="003E1D81" w:rsidRDefault="00EB481C">
            <w:pPr>
              <w:pStyle w:val="P68B1DB1-Normal13"/>
              <w:spacing w:after="0" w:line="240" w:lineRule="auto"/>
              <w:jc w:val="right"/>
              <w:rPr>
                <w:rFonts w:cs="Times New Roman"/>
                <w:noProof/>
              </w:rPr>
            </w:pPr>
            <w:r>
              <w:rPr>
                <w:noProof/>
              </w:rPr>
              <w:t>145</w:t>
            </w:r>
          </w:p>
        </w:tc>
        <w:tc>
          <w:tcPr>
            <w:tcW w:w="425" w:type="dxa"/>
            <w:shd w:val="clear" w:color="auto" w:fill="C6EFCE"/>
            <w:noWrap/>
          </w:tcPr>
          <w:p w14:paraId="60B911B7" w14:textId="33DF8A76"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36E9793D" w14:textId="7E9AC3D5" w:rsidR="003E1D81" w:rsidRDefault="00EB481C">
            <w:pPr>
              <w:pStyle w:val="P68B1DB1-Normal13"/>
              <w:spacing w:after="0" w:line="240" w:lineRule="auto"/>
              <w:jc w:val="center"/>
              <w:rPr>
                <w:rFonts w:cs="Times New Roman"/>
                <w:noProof/>
              </w:rPr>
            </w:pPr>
            <w:r>
              <w:rPr>
                <w:noProof/>
              </w:rPr>
              <w:t>2025</w:t>
            </w:r>
          </w:p>
        </w:tc>
        <w:tc>
          <w:tcPr>
            <w:tcW w:w="6096" w:type="dxa"/>
            <w:shd w:val="clear" w:color="auto" w:fill="C6EFCE"/>
            <w:noWrap/>
          </w:tcPr>
          <w:p w14:paraId="35DCF83F" w14:textId="2A848F3B" w:rsidR="003E1D81" w:rsidRDefault="00EB481C">
            <w:pPr>
              <w:pStyle w:val="P68B1DB1-Normal8"/>
              <w:spacing w:after="0" w:line="240" w:lineRule="auto"/>
              <w:rPr>
                <w:rFonts w:cs="Times New Roman"/>
                <w:noProof/>
                <w:sz w:val="18"/>
              </w:rPr>
            </w:pPr>
            <w:r>
              <w:rPr>
                <w:noProof/>
              </w:rPr>
              <w:t xml:space="preserve">A leromlott állapotú területek és </w:t>
            </w:r>
            <w:r>
              <w:rPr>
                <w:noProof/>
              </w:rPr>
              <w:t xml:space="preserve">ökoszisztémák helyreállítására, a part menti területek védelmére és hozzáférhetőségének javítására, az erózió mérséklésére, a jobb ismeretekre, a part menti területek ellenálló képességének növelésére és az éghajlatváltozás hatásaihoz való alkalmazkodásra </w:t>
            </w:r>
            <w:r>
              <w:rPr>
                <w:noProof/>
              </w:rPr>
              <w:t>irányuló munkálatok</w:t>
            </w:r>
            <w:r>
              <w:rPr>
                <w:noProof/>
                <w:sz w:val="18"/>
              </w:rPr>
              <w:t>befejezése, távellenőrzés és a stratégiai tengertervezési politikák végrehajtása. A munkálatok a következők bármelyikét tartalmazzák:</w:t>
            </w:r>
            <w:r>
              <w:rPr>
                <w:noProof/>
              </w:rPr>
              <w:br/>
            </w:r>
            <w:r>
              <w:rPr>
                <w:noProof/>
                <w:sz w:val="18"/>
              </w:rPr>
              <w:t>a spanyol partvidék éghajlatváltozás káros hatásaival szembeni ellenálló képességének növelése az erózi</w:t>
            </w:r>
            <w:r>
              <w:rPr>
                <w:noProof/>
                <w:sz w:val="18"/>
              </w:rPr>
              <w:t>ó elleni küzdelem és a partvonal megerősítése révén. Ennek során figyelembe kell venni a törővíz, a mesterséges strandok, az úszó felületek, az üledékgazdálkodás, a természetalapú megoldások, a tengerparti és dűnérendszer helyreállítása, a partvédelmi infr</w:t>
            </w:r>
            <w:r>
              <w:rPr>
                <w:noProof/>
                <w:sz w:val="18"/>
              </w:rPr>
              <w:t>astruktúra, a part menti erózió nyomon követésére szolgáló intelligens hálózatok bevezetése vagy a hasonló hatású intézkedések létrehozását.</w:t>
            </w:r>
            <w:r>
              <w:rPr>
                <w:noProof/>
              </w:rPr>
              <w:br/>
            </w:r>
            <w:r>
              <w:rPr>
                <w:noProof/>
                <w:sz w:val="18"/>
              </w:rPr>
              <w:t>a part menti ökoszisztémák vagy a leromlott állapotú területek védelme és helyreállítása. Ezt a következők révén ke</w:t>
            </w:r>
            <w:r>
              <w:rPr>
                <w:noProof/>
                <w:sz w:val="18"/>
              </w:rPr>
              <w:t>ll végrehajtani: a) a visszacsúszás által érintett létesítmények áthelyezése; az állami tulajdonban lévő szárazföldi tengeri területek körülhatárolása; a nem megfelelően vagy nem megfelelően elfoglalt állami tulajdonban lévő tengerparti területek visszasze</w:t>
            </w:r>
            <w:r>
              <w:rPr>
                <w:noProof/>
                <w:sz w:val="18"/>
              </w:rPr>
              <w:t>rzése; kockázatértékelés és -kezelés vagy hasonló intézkedések; a leromlott part menti területek és ökoszisztémák környezeti helyreállítása; a partvonal védelme és kezelése; és/vagy g) hasonló hatású intézkedések.</w:t>
            </w:r>
            <w:r>
              <w:rPr>
                <w:noProof/>
              </w:rPr>
              <w:br/>
            </w:r>
            <w:r>
              <w:rPr>
                <w:noProof/>
                <w:sz w:val="18"/>
              </w:rPr>
              <w:t xml:space="preserve">a köztulajdonban lévő szárazföldi tengeri </w:t>
            </w:r>
            <w:r>
              <w:rPr>
                <w:noProof/>
                <w:sz w:val="18"/>
              </w:rPr>
              <w:t>területek rendezett és megfelelő hozzáférhetőségének javítása. Ez a közkincshez való hozzáférés biztosítása érdekében földterületek hasznosításával, a hozzáférés vagy hasonló hatású intézkedések tervezésével, kezelésével és helyreállításával történik.</w:t>
            </w:r>
            <w:r>
              <w:rPr>
                <w:noProof/>
              </w:rPr>
              <w:br/>
            </w:r>
            <w:r>
              <w:rPr>
                <w:noProof/>
                <w:sz w:val="18"/>
              </w:rPr>
              <w:t>a st</w:t>
            </w:r>
            <w:r>
              <w:rPr>
                <w:noProof/>
                <w:sz w:val="18"/>
              </w:rPr>
              <w:t>ratégiai tengertervezési politikák végrehajtása. Ez a tengeri területrendezés, a tengervédelmi stratégiák, az óceánokra, az éghajlatra és a tengerpartokra vonatkozó tudományos tanácsadás, valamint a tengerhasználóknak szánt georeferencia-alapú webes alkalm</w:t>
            </w:r>
            <w:r>
              <w:rPr>
                <w:noProof/>
                <w:sz w:val="18"/>
              </w:rPr>
              <w:t>azás kifejlesztése révén valósul meg. (Alapforgatókönyv: 2023. december 31.)</w:t>
            </w:r>
          </w:p>
        </w:tc>
      </w:tr>
    </w:tbl>
    <w:p w14:paraId="48B77EB9" w14:textId="77777777" w:rsidR="003E1D81" w:rsidRDefault="003E1D81">
      <w:pPr>
        <w:keepNext/>
        <w:spacing w:before="120" w:after="120" w:line="240" w:lineRule="auto"/>
        <w:ind w:left="720"/>
        <w:jc w:val="both"/>
        <w:rPr>
          <w:rFonts w:ascii="Times New Roman" w:hAnsi="Times New Roman" w:cs="Times New Roman"/>
          <w:b/>
          <w:noProof/>
          <w:sz w:val="24"/>
          <w:u w:val="single"/>
        </w:rPr>
      </w:pPr>
    </w:p>
    <w:p w14:paraId="74AFE277" w14:textId="77777777" w:rsidR="003E1D81" w:rsidRDefault="003E1D81">
      <w:pPr>
        <w:keepNext/>
        <w:spacing w:before="120" w:after="120" w:line="240" w:lineRule="auto"/>
        <w:ind w:left="720"/>
        <w:jc w:val="both"/>
        <w:rPr>
          <w:rFonts w:ascii="Times New Roman" w:hAnsi="Times New Roman" w:cs="Times New Roman"/>
          <w:noProof/>
          <w:sz w:val="24"/>
          <w:u w:val="single"/>
        </w:rPr>
        <w:sectPr w:rsidR="003E1D81" w:rsidSect="0035659C">
          <w:headerReference w:type="even" r:id="rId132"/>
          <w:headerReference w:type="default" r:id="rId133"/>
          <w:footerReference w:type="even" r:id="rId134"/>
          <w:footerReference w:type="default" r:id="rId135"/>
          <w:headerReference w:type="first" r:id="rId136"/>
          <w:footerReference w:type="first" r:id="rId137"/>
          <w:pgSz w:w="16839" w:h="11907" w:orient="landscape"/>
          <w:pgMar w:top="1417" w:right="1134" w:bottom="1417" w:left="1134" w:header="709" w:footer="709" w:gutter="0"/>
          <w:cols w:space="720"/>
          <w:docGrid w:linePitch="360"/>
        </w:sectPr>
      </w:pPr>
    </w:p>
    <w:p w14:paraId="18EB0796" w14:textId="525474E5" w:rsidR="003E1D81" w:rsidRDefault="00EB481C">
      <w:pPr>
        <w:pStyle w:val="P68B1DB1-Normal5"/>
        <w:keepNext/>
        <w:spacing w:before="120" w:after="120" w:line="240" w:lineRule="auto"/>
        <w:ind w:left="720"/>
        <w:jc w:val="both"/>
        <w:rPr>
          <w:rFonts w:cs="Times New Roman"/>
          <w:noProof/>
        </w:rPr>
      </w:pPr>
      <w:r>
        <w:rPr>
          <w:noProof/>
        </w:rPr>
        <w:t xml:space="preserve">E.3. </w:t>
      </w:r>
      <w:r>
        <w:rPr>
          <w:noProof/>
        </w:rPr>
        <w:tab/>
        <w:t>A hiteltámogatásra irányuló beruházások ismertetése</w:t>
      </w:r>
    </w:p>
    <w:p w14:paraId="3D9C6AA9" w14:textId="2203FDE3" w:rsidR="003E1D81" w:rsidRDefault="00EB481C">
      <w:pPr>
        <w:pStyle w:val="P68B1DB1-Text120"/>
        <w:ind w:left="0"/>
        <w:rPr>
          <w:rFonts w:cs="Times New Roman"/>
          <w:noProof/>
        </w:rPr>
      </w:pPr>
      <w:r>
        <w:rPr>
          <w:noProof/>
        </w:rPr>
        <w:t xml:space="preserve">Beruházás (C5.I5) – A víztartó réteg helyreállítása </w:t>
      </w:r>
      <w:r>
        <w:rPr>
          <w:noProof/>
        </w:rPr>
        <w:t>alternatív erőforrásokkal</w:t>
      </w:r>
    </w:p>
    <w:p w14:paraId="570A1B4B" w14:textId="618E6C0E" w:rsidR="003E1D81" w:rsidRDefault="00EB481C">
      <w:pPr>
        <w:pStyle w:val="P68B1DB1-Text119"/>
        <w:ind w:left="0"/>
        <w:rPr>
          <w:rFonts w:cs="Times New Roman"/>
          <w:noProof/>
        </w:rPr>
      </w:pPr>
      <w:r>
        <w:rPr>
          <w:noProof/>
        </w:rPr>
        <w:t xml:space="preserve">E beruházás célja a felszín alatti vizek kitermelésének csökkentése, különösen a Segura vízgyűjtő, a Földközi-tenger és az Andalúzia vízgyűjtő területén, valamint Katalónia belső vízgyűjtőiben. </w:t>
      </w:r>
    </w:p>
    <w:p w14:paraId="70874476" w14:textId="3D6EA4C5" w:rsidR="003E1D81" w:rsidRDefault="00EB481C">
      <w:pPr>
        <w:pStyle w:val="P68B1DB1-Text119"/>
        <w:ind w:left="0"/>
        <w:rPr>
          <w:rFonts w:cs="Times New Roman"/>
          <w:noProof/>
        </w:rPr>
      </w:pPr>
      <w:r>
        <w:rPr>
          <w:noProof/>
        </w:rPr>
        <w:t>E beruházás célja i. a Segura vízgy</w:t>
      </w:r>
      <w:r>
        <w:rPr>
          <w:noProof/>
        </w:rPr>
        <w:t>űjtő területén található különböző sótalanító létesítmények összekapcsolása a Tajo-Segura vízvezeték vízfelhasználói számára a vízbiztonság biztosítása érdekében, ii. Alicante régió különböző újrafelhasználási létesítményeiből származó víz bevezetése a ren</w:t>
      </w:r>
      <w:r>
        <w:rPr>
          <w:noProof/>
        </w:rPr>
        <w:t>dszerbe, és iii. sótalanítási intézkedések végrehajtása Katalónia (Tordera II – Foix) és a Földközi-tenger – Andalúzia (Costa del Sol és Levante Almeriense) belső vízgyűjtő kerületében. Ezek az intézkedések csökkentik a túlhalászott és rossz ökológiai álla</w:t>
      </w:r>
      <w:r>
        <w:rPr>
          <w:noProof/>
        </w:rPr>
        <w:t xml:space="preserve">potú víztartó rétegekből kinyert felszín alatti vizek mennyiségét, miközben biztosítják a vízbiztonságot a különböző felhasználók számára, és előmozdítják a víztartó réteg visszanyerését.  </w:t>
      </w:r>
    </w:p>
    <w:p w14:paraId="0930EAAC" w14:textId="21635E0D" w:rsidR="003E1D81" w:rsidRDefault="00EB481C">
      <w:pPr>
        <w:pStyle w:val="P68B1DB1-Text119"/>
        <w:ind w:left="0"/>
        <w:rPr>
          <w:rFonts w:cs="Times New Roman"/>
          <w:noProof/>
        </w:rPr>
      </w:pPr>
      <w:r>
        <w:rPr>
          <w:noProof/>
        </w:rPr>
        <w:t>Az intézkedés várhatóan nem sérti jelentősen az (EU) 2020/852 rend</w:t>
      </w:r>
      <w:r>
        <w:rPr>
          <w:noProof/>
        </w:rPr>
        <w:t xml:space="preserve">elet 17. cikke szerinti környezetvédelmi célkitűzéseket, figyelembe véve az intézkedés leírását és a helyreállítási és rezilienciaépítési tervben meghatározott enyhítő lépéseket a jelentős károkozás elkerülését célzó elvről szóló technikai iránymutatásnak </w:t>
      </w:r>
      <w:r>
        <w:rPr>
          <w:noProof/>
        </w:rPr>
        <w:t>(2021/C58/01) megfelelően. Különösen a sótalanított vizet a rendelkezésre álló legjobb technológia felhasználásával kell előállítani, amely az ágazatban a legkisebb környezeti hatással jár. Ezenkívül a beruházás nem vezethet az öntözött területek bővítéséh</w:t>
      </w:r>
      <w:r>
        <w:rPr>
          <w:noProof/>
        </w:rPr>
        <w:t xml:space="preserve">ez, sem az öntözés intenzitásának növekedéséhez.  </w:t>
      </w:r>
    </w:p>
    <w:p w14:paraId="192FF083" w14:textId="77777777" w:rsidR="003E1D81" w:rsidRDefault="00EB481C">
      <w:pPr>
        <w:pStyle w:val="P68B1DB1-Text119"/>
        <w:ind w:left="0"/>
        <w:rPr>
          <w:rFonts w:cs="Times New Roman"/>
          <w:noProof/>
        </w:rPr>
      </w:pPr>
      <w:r>
        <w:rPr>
          <w:noProof/>
        </w:rPr>
        <w:t xml:space="preserve">Ezt a beruházást 2026. június 30-ig be kell fejezni. </w:t>
      </w:r>
    </w:p>
    <w:p w14:paraId="731ED120" w14:textId="20D7EEA9" w:rsidR="003E1D81" w:rsidRDefault="00EB481C">
      <w:pPr>
        <w:pStyle w:val="P68B1DB1-Text120"/>
        <w:ind w:left="0"/>
        <w:rPr>
          <w:rFonts w:cs="Times New Roman"/>
          <w:noProof/>
        </w:rPr>
      </w:pPr>
      <w:r>
        <w:rPr>
          <w:noProof/>
        </w:rPr>
        <w:t>Beruházás (C5.I6) – PERTE a vízhasználat digitalizálásához</w:t>
      </w:r>
    </w:p>
    <w:p w14:paraId="35B74DE3" w14:textId="77C208DE" w:rsidR="003E1D81" w:rsidRDefault="00EB481C">
      <w:pPr>
        <w:pStyle w:val="P68B1DB1-Text119"/>
        <w:ind w:left="0"/>
        <w:rPr>
          <w:rFonts w:cs="Times New Roman"/>
          <w:noProof/>
        </w:rPr>
      </w:pPr>
      <w:r>
        <w:rPr>
          <w:noProof/>
        </w:rPr>
        <w:t xml:space="preserve">E beruházás célja olyan technológiák megvalósítására irányuló projektek támogatása, amelyek </w:t>
      </w:r>
      <w:r>
        <w:rPr>
          <w:noProof/>
        </w:rPr>
        <w:t xml:space="preserve">előmozdítják a digitalizációt, és megerősítik a vízhasználat nyomon követésére és ellenőrzésére szolgáló keretet a városi vízkörforgásban, különös tekintettel a közepes és nagy településekre, valamint az ipari ágazatra. </w:t>
      </w:r>
    </w:p>
    <w:p w14:paraId="4A0A5EDD" w14:textId="2045F899" w:rsidR="003E1D81" w:rsidRDefault="00EB481C">
      <w:pPr>
        <w:pStyle w:val="P68B1DB1-Text119"/>
        <w:ind w:left="0"/>
        <w:rPr>
          <w:rFonts w:cs="Times New Roman"/>
          <w:noProof/>
        </w:rPr>
      </w:pPr>
      <w:r>
        <w:rPr>
          <w:noProof/>
        </w:rPr>
        <w:t>Ezt a beruházást 2026. június 30-ig</w:t>
      </w:r>
      <w:r>
        <w:rPr>
          <w:noProof/>
        </w:rPr>
        <w:t xml:space="preserve"> be kell fejezni. </w:t>
      </w:r>
    </w:p>
    <w:p w14:paraId="47321117" w14:textId="77777777" w:rsidR="003E1D81" w:rsidRDefault="003E1D81">
      <w:pPr>
        <w:pStyle w:val="Text1"/>
        <w:ind w:left="0"/>
        <w:rPr>
          <w:rFonts w:ascii="Times New Roman" w:eastAsia="MS Mincho" w:hAnsi="Times New Roman" w:cs="Times New Roman"/>
          <w:noProof/>
        </w:rPr>
      </w:pPr>
    </w:p>
    <w:p w14:paraId="3DBF2AF7" w14:textId="5D74396D" w:rsidR="003E1D81" w:rsidRDefault="00EB481C">
      <w:pPr>
        <w:pStyle w:val="P68B1DB1-Normal5"/>
        <w:spacing w:before="120" w:after="120" w:line="240" w:lineRule="auto"/>
        <w:ind w:left="709"/>
        <w:jc w:val="both"/>
        <w:rPr>
          <w:rFonts w:cs="Times New Roman"/>
          <w:noProof/>
        </w:rPr>
      </w:pPr>
      <w:r>
        <w:rPr>
          <w:noProof/>
        </w:rPr>
        <w:t xml:space="preserve">E.4. </w:t>
      </w:r>
      <w:r>
        <w:rPr>
          <w:noProof/>
        </w:rPr>
        <w:tab/>
        <w:t>A hiteltámogatás nyomon követésének és végrehajtásának mérföldkövei, céljai, mutatói és ütemterve</w:t>
      </w:r>
    </w:p>
    <w:p w14:paraId="69E02543" w14:textId="2D0A3480" w:rsidR="003E1D81" w:rsidRDefault="00EB481C">
      <w:pPr>
        <w:pStyle w:val="P68B1DB1-Normal4"/>
        <w:spacing w:before="120" w:after="120" w:line="240" w:lineRule="auto"/>
        <w:jc w:val="both"/>
        <w:rPr>
          <w:rFonts w:cs="Times New Roman"/>
          <w:i/>
          <w:noProof/>
        </w:rPr>
      </w:pPr>
      <w:r>
        <w:rPr>
          <w:i/>
          <w:noProof/>
        </w:rPr>
        <w:t>Táblázat alább.</w:t>
      </w:r>
      <w:r>
        <w:rPr>
          <w:noProof/>
        </w:rPr>
        <w:t xml:space="preserve"> </w:t>
      </w:r>
      <w:r>
        <w:rPr>
          <w:i/>
          <w:noProof/>
        </w:rPr>
        <w:t>Az alapforgatókönyv valamennyi mutató esetében 2020. február 1-je, kivéve, ha az intézkedés leírása másként jelzi. A</w:t>
      </w:r>
      <w:r>
        <w:rPr>
          <w:i/>
          <w:noProof/>
        </w:rPr>
        <w:t xml:space="preserve"> táblázatban szereplő összegek nem tartalmazzák a héát.</w:t>
      </w:r>
    </w:p>
    <w:p w14:paraId="77C6D6B5" w14:textId="77777777" w:rsidR="003E1D81" w:rsidRDefault="003E1D81">
      <w:pPr>
        <w:spacing w:before="120" w:after="120" w:line="240" w:lineRule="auto"/>
        <w:jc w:val="both"/>
        <w:rPr>
          <w:rFonts w:ascii="Times New Roman" w:hAnsi="Times New Roman" w:cs="Times New Roman"/>
          <w:noProof/>
        </w:rPr>
        <w:sectPr w:rsidR="003E1D81" w:rsidSect="0035659C">
          <w:headerReference w:type="even" r:id="rId138"/>
          <w:headerReference w:type="default" r:id="rId139"/>
          <w:footerReference w:type="even" r:id="rId140"/>
          <w:footerReference w:type="default" r:id="rId141"/>
          <w:headerReference w:type="first" r:id="rId142"/>
          <w:footerReference w:type="first" r:id="rId143"/>
          <w:pgSz w:w="11907" w:h="16839"/>
          <w:pgMar w:top="1134" w:right="1417" w:bottom="1134" w:left="1417" w:header="709" w:footer="709" w:gutter="0"/>
          <w:cols w:space="720"/>
          <w:docGrid w:linePitch="360"/>
        </w:sectPr>
      </w:pPr>
    </w:p>
    <w:p w14:paraId="1B72A816" w14:textId="77777777" w:rsidR="003E1D81" w:rsidRDefault="003E1D81">
      <w:pPr>
        <w:spacing w:before="120" w:after="120" w:line="240" w:lineRule="auto"/>
        <w:jc w:val="both"/>
        <w:rPr>
          <w:rFonts w:ascii="Times New Roman" w:hAnsi="Times New Roman" w:cs="Times New Roman"/>
          <w:noProof/>
        </w:rPr>
      </w:pPr>
    </w:p>
    <w:p w14:paraId="23906EED" w14:textId="77777777" w:rsidR="003E1D81" w:rsidRDefault="003E1D81">
      <w:pPr>
        <w:pStyle w:val="Text1"/>
        <w:ind w:left="0"/>
        <w:rPr>
          <w:rFonts w:ascii="Times New Roman" w:eastAsia="MS Mincho" w:hAnsi="Times New Roman" w:cs="Times New Roman"/>
          <w:noProof/>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835"/>
        <w:gridCol w:w="993"/>
        <w:gridCol w:w="850"/>
        <w:gridCol w:w="425"/>
        <w:gridCol w:w="709"/>
        <w:gridCol w:w="425"/>
        <w:gridCol w:w="567"/>
        <w:gridCol w:w="6096"/>
      </w:tblGrid>
      <w:tr w:rsidR="003E1D81" w14:paraId="391966F2" w14:textId="77777777">
        <w:trPr>
          <w:trHeight w:val="309"/>
          <w:tblHeader/>
        </w:trPr>
        <w:tc>
          <w:tcPr>
            <w:tcW w:w="709" w:type="dxa"/>
            <w:tcBorders>
              <w:bottom w:val="nil"/>
            </w:tcBorders>
            <w:shd w:val="clear" w:color="auto" w:fill="C6D9F1" w:themeFill="text2" w:themeFillTint="33"/>
            <w:noWrap/>
            <w:vAlign w:val="center"/>
          </w:tcPr>
          <w:p w14:paraId="12BD0FD1" w14:textId="77777777" w:rsidR="003E1D81" w:rsidRDefault="00EB481C">
            <w:pPr>
              <w:pStyle w:val="P68B1DB1-Normal12"/>
              <w:spacing w:after="0" w:line="240" w:lineRule="auto"/>
              <w:jc w:val="center"/>
              <w:rPr>
                <w:rFonts w:cs="Times New Roman"/>
                <w:noProof/>
              </w:rPr>
            </w:pPr>
            <w:bookmarkStart w:id="14" w:name="_Hlk138346203"/>
            <w:r>
              <w:rPr>
                <w:noProof/>
              </w:rPr>
              <w:t>Szám</w:t>
            </w:r>
          </w:p>
        </w:tc>
        <w:tc>
          <w:tcPr>
            <w:tcW w:w="851" w:type="dxa"/>
            <w:tcBorders>
              <w:bottom w:val="nil"/>
            </w:tcBorders>
            <w:shd w:val="clear" w:color="auto" w:fill="C6D9F1" w:themeFill="text2" w:themeFillTint="33"/>
            <w:noWrap/>
            <w:vAlign w:val="center"/>
          </w:tcPr>
          <w:p w14:paraId="7A1486DC"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0086A022"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835" w:type="dxa"/>
            <w:tcBorders>
              <w:bottom w:val="nil"/>
            </w:tcBorders>
            <w:shd w:val="clear" w:color="auto" w:fill="C6D9F1" w:themeFill="text2" w:themeFillTint="33"/>
            <w:noWrap/>
            <w:vAlign w:val="center"/>
          </w:tcPr>
          <w:p w14:paraId="47B9F5B8" w14:textId="77777777" w:rsidR="003E1D81" w:rsidRDefault="00EB481C">
            <w:pPr>
              <w:pStyle w:val="P68B1DB1-Normal12"/>
              <w:spacing w:after="0" w:line="240" w:lineRule="auto"/>
              <w:jc w:val="center"/>
              <w:rPr>
                <w:rFonts w:cs="Times New Roman"/>
                <w:noProof/>
              </w:rPr>
            </w:pPr>
            <w:r>
              <w:rPr>
                <w:noProof/>
              </w:rPr>
              <w:t>Név</w:t>
            </w:r>
          </w:p>
        </w:tc>
        <w:tc>
          <w:tcPr>
            <w:tcW w:w="993" w:type="dxa"/>
            <w:tcBorders>
              <w:bottom w:val="nil"/>
            </w:tcBorders>
            <w:shd w:val="clear" w:color="auto" w:fill="C6D9F1" w:themeFill="text2" w:themeFillTint="33"/>
            <w:noWrap/>
            <w:vAlign w:val="center"/>
          </w:tcPr>
          <w:p w14:paraId="4414649E"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1984" w:type="dxa"/>
            <w:gridSpan w:val="3"/>
            <w:shd w:val="clear" w:color="auto" w:fill="C6D9F1" w:themeFill="text2" w:themeFillTint="33"/>
            <w:noWrap/>
            <w:vAlign w:val="center"/>
          </w:tcPr>
          <w:p w14:paraId="5D64DF5B"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92" w:type="dxa"/>
            <w:gridSpan w:val="2"/>
            <w:shd w:val="clear" w:color="auto" w:fill="C6D9F1" w:themeFill="text2" w:themeFillTint="33"/>
            <w:noWrap/>
            <w:vAlign w:val="center"/>
          </w:tcPr>
          <w:p w14:paraId="01D99DB9" w14:textId="77777777" w:rsidR="003E1D81" w:rsidRDefault="00EB481C">
            <w:pPr>
              <w:pStyle w:val="P68B1DB1-Normal12"/>
              <w:spacing w:after="0" w:line="240" w:lineRule="auto"/>
              <w:jc w:val="center"/>
              <w:rPr>
                <w:rFonts w:cs="Times New Roman"/>
                <w:noProof/>
              </w:rPr>
            </w:pPr>
            <w:r>
              <w:rPr>
                <w:noProof/>
              </w:rPr>
              <w:t>Idő</w:t>
            </w:r>
          </w:p>
        </w:tc>
        <w:tc>
          <w:tcPr>
            <w:tcW w:w="6096" w:type="dxa"/>
            <w:tcBorders>
              <w:bottom w:val="nil"/>
            </w:tcBorders>
            <w:shd w:val="clear" w:color="auto" w:fill="C6D9F1" w:themeFill="text2" w:themeFillTint="33"/>
            <w:noWrap/>
            <w:vAlign w:val="center"/>
          </w:tcPr>
          <w:p w14:paraId="148478C2" w14:textId="77777777" w:rsidR="003E1D81" w:rsidRDefault="00EB481C">
            <w:pPr>
              <w:pStyle w:val="P68B1DB1-Normal12"/>
              <w:spacing w:after="0" w:line="240" w:lineRule="auto"/>
              <w:jc w:val="center"/>
              <w:rPr>
                <w:rFonts w:cs="Times New Roman"/>
                <w:noProof/>
              </w:rPr>
            </w:pPr>
            <w:r>
              <w:rPr>
                <w:noProof/>
              </w:rPr>
              <w:t xml:space="preserve">Az egyes mérföldkövek és </w:t>
            </w:r>
            <w:r>
              <w:rPr>
                <w:noProof/>
              </w:rPr>
              <w:t>célértékek leírása</w:t>
            </w:r>
          </w:p>
        </w:tc>
      </w:tr>
      <w:tr w:rsidR="003E1D81" w14:paraId="54EFC1AE" w14:textId="77777777">
        <w:trPr>
          <w:trHeight w:val="309"/>
          <w:tblHeader/>
        </w:trPr>
        <w:tc>
          <w:tcPr>
            <w:tcW w:w="709" w:type="dxa"/>
            <w:tcBorders>
              <w:top w:val="nil"/>
            </w:tcBorders>
            <w:shd w:val="clear" w:color="auto" w:fill="C6D9F1" w:themeFill="text2" w:themeFillTint="33"/>
            <w:noWrap/>
          </w:tcPr>
          <w:p w14:paraId="1E8F32CC"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69C90A0"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6F654621" w14:textId="77777777" w:rsidR="003E1D81" w:rsidRDefault="003E1D81">
            <w:pPr>
              <w:spacing w:after="0" w:line="240" w:lineRule="auto"/>
              <w:jc w:val="center"/>
              <w:rPr>
                <w:rFonts w:ascii="Times New Roman" w:hAnsi="Times New Roman" w:cs="Times New Roman"/>
                <w:b/>
                <w:noProof/>
                <w:sz w:val="18"/>
              </w:rPr>
            </w:pPr>
          </w:p>
        </w:tc>
        <w:tc>
          <w:tcPr>
            <w:tcW w:w="2835" w:type="dxa"/>
            <w:tcBorders>
              <w:top w:val="nil"/>
            </w:tcBorders>
            <w:shd w:val="clear" w:color="auto" w:fill="C6D9F1" w:themeFill="text2" w:themeFillTint="33"/>
            <w:noWrap/>
          </w:tcPr>
          <w:p w14:paraId="1B405182" w14:textId="77777777" w:rsidR="003E1D81" w:rsidRDefault="003E1D81">
            <w:pPr>
              <w:spacing w:after="0" w:line="240" w:lineRule="auto"/>
              <w:rPr>
                <w:rFonts w:ascii="Times New Roman" w:hAnsi="Times New Roman" w:cs="Times New Roman"/>
                <w:b/>
                <w:noProof/>
                <w:sz w:val="18"/>
              </w:rPr>
            </w:pPr>
          </w:p>
        </w:tc>
        <w:tc>
          <w:tcPr>
            <w:tcW w:w="993" w:type="dxa"/>
            <w:tcBorders>
              <w:top w:val="nil"/>
            </w:tcBorders>
            <w:shd w:val="clear" w:color="auto" w:fill="C6D9F1" w:themeFill="text2" w:themeFillTint="33"/>
            <w:noWrap/>
          </w:tcPr>
          <w:p w14:paraId="0D83A2E6" w14:textId="77777777" w:rsidR="003E1D81" w:rsidRDefault="003E1D81">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0E0D0DA7" w14:textId="77777777" w:rsidR="003E1D81" w:rsidRDefault="00EB481C">
            <w:pPr>
              <w:pStyle w:val="P68B1DB1-Normal12"/>
              <w:spacing w:after="0" w:line="240" w:lineRule="auto"/>
              <w:jc w:val="center"/>
              <w:rPr>
                <w:rFonts w:cs="Times New Roman"/>
                <w:noProof/>
              </w:rPr>
            </w:pPr>
            <w:r>
              <w:rPr>
                <w:noProof/>
              </w:rPr>
              <w:t>Egység</w:t>
            </w:r>
          </w:p>
        </w:tc>
        <w:tc>
          <w:tcPr>
            <w:tcW w:w="425" w:type="dxa"/>
            <w:shd w:val="clear" w:color="auto" w:fill="C6D9F1" w:themeFill="text2" w:themeFillTint="33"/>
            <w:noWrap/>
            <w:vAlign w:val="center"/>
          </w:tcPr>
          <w:p w14:paraId="25D166B5" w14:textId="77777777" w:rsidR="003E1D81" w:rsidRDefault="00EB481C">
            <w:pPr>
              <w:pStyle w:val="P68B1DB1-Normal12"/>
              <w:spacing w:after="0" w:line="240" w:lineRule="auto"/>
              <w:jc w:val="center"/>
              <w:rPr>
                <w:rFonts w:cs="Times New Roman"/>
                <w:noProof/>
              </w:rPr>
            </w:pPr>
            <w:r>
              <w:rPr>
                <w:noProof/>
              </w:rPr>
              <w:t>Alapérték</w:t>
            </w:r>
          </w:p>
        </w:tc>
        <w:tc>
          <w:tcPr>
            <w:tcW w:w="709" w:type="dxa"/>
            <w:shd w:val="clear" w:color="auto" w:fill="C6D9F1" w:themeFill="text2" w:themeFillTint="33"/>
            <w:noWrap/>
            <w:vAlign w:val="center"/>
          </w:tcPr>
          <w:p w14:paraId="6D5DF994" w14:textId="77777777" w:rsidR="003E1D81" w:rsidRDefault="00EB481C">
            <w:pPr>
              <w:pStyle w:val="P68B1DB1-Normal12"/>
              <w:spacing w:after="0" w:line="240" w:lineRule="auto"/>
              <w:jc w:val="center"/>
              <w:rPr>
                <w:rFonts w:cs="Times New Roman"/>
                <w:noProof/>
              </w:rPr>
            </w:pPr>
            <w:r>
              <w:rPr>
                <w:noProof/>
              </w:rPr>
              <w:t>Cél</w:t>
            </w:r>
          </w:p>
        </w:tc>
        <w:tc>
          <w:tcPr>
            <w:tcW w:w="425" w:type="dxa"/>
            <w:shd w:val="clear" w:color="auto" w:fill="C6D9F1" w:themeFill="text2" w:themeFillTint="33"/>
            <w:noWrap/>
            <w:vAlign w:val="center"/>
          </w:tcPr>
          <w:p w14:paraId="493C9C13"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53C61BD" w14:textId="77777777" w:rsidR="003E1D81" w:rsidRDefault="00EB481C">
            <w:pPr>
              <w:pStyle w:val="P68B1DB1-Normal12"/>
              <w:spacing w:after="0" w:line="240" w:lineRule="auto"/>
              <w:jc w:val="center"/>
              <w:rPr>
                <w:rFonts w:cs="Times New Roman"/>
                <w:noProof/>
              </w:rPr>
            </w:pPr>
            <w:r>
              <w:rPr>
                <w:noProof/>
              </w:rPr>
              <w:t>Éve</w:t>
            </w:r>
          </w:p>
        </w:tc>
        <w:tc>
          <w:tcPr>
            <w:tcW w:w="6096" w:type="dxa"/>
            <w:tcBorders>
              <w:top w:val="nil"/>
            </w:tcBorders>
            <w:shd w:val="clear" w:color="auto" w:fill="C6D9F1" w:themeFill="text2" w:themeFillTint="33"/>
            <w:noWrap/>
          </w:tcPr>
          <w:p w14:paraId="687E6B85" w14:textId="77777777" w:rsidR="003E1D81" w:rsidRDefault="003E1D81">
            <w:pPr>
              <w:spacing w:after="0" w:line="240" w:lineRule="auto"/>
              <w:rPr>
                <w:rFonts w:ascii="Times New Roman" w:hAnsi="Times New Roman" w:cs="Times New Roman"/>
                <w:b/>
                <w:noProof/>
                <w:sz w:val="18"/>
              </w:rPr>
            </w:pPr>
          </w:p>
        </w:tc>
      </w:tr>
      <w:tr w:rsidR="003E1D81" w14:paraId="4DB045D4" w14:textId="77777777">
        <w:trPr>
          <w:trHeight w:val="309"/>
        </w:trPr>
        <w:tc>
          <w:tcPr>
            <w:tcW w:w="709" w:type="dxa"/>
            <w:shd w:val="clear" w:color="auto" w:fill="C6EFCE"/>
            <w:noWrap/>
          </w:tcPr>
          <w:p w14:paraId="0CE60D6D" w14:textId="569AC578" w:rsidR="003E1D81" w:rsidRDefault="00EB481C">
            <w:pPr>
              <w:pStyle w:val="P68B1DB1-Normal13"/>
              <w:spacing w:after="0" w:line="240" w:lineRule="auto"/>
              <w:jc w:val="center"/>
              <w:rPr>
                <w:rFonts w:eastAsia="MS Mincho" w:cs="Times New Roman"/>
                <w:noProof/>
              </w:rPr>
            </w:pPr>
            <w:r>
              <w:rPr>
                <w:noProof/>
              </w:rPr>
              <w:t>L13</w:t>
            </w:r>
          </w:p>
        </w:tc>
        <w:tc>
          <w:tcPr>
            <w:tcW w:w="851" w:type="dxa"/>
            <w:shd w:val="clear" w:color="auto" w:fill="C6EFCE"/>
            <w:noWrap/>
          </w:tcPr>
          <w:p w14:paraId="709DC092" w14:textId="721839BE" w:rsidR="003E1D81" w:rsidRDefault="00EB481C">
            <w:pPr>
              <w:pStyle w:val="P68B1DB1-Normal13"/>
              <w:spacing w:after="0" w:line="240" w:lineRule="auto"/>
              <w:jc w:val="center"/>
              <w:rPr>
                <w:rFonts w:eastAsia="MS Mincho" w:cs="Times New Roman"/>
                <w:noProof/>
              </w:rPr>
            </w:pPr>
            <w:r>
              <w:rPr>
                <w:noProof/>
              </w:rPr>
              <w:t>C5.I5</w:t>
            </w:r>
          </w:p>
        </w:tc>
        <w:tc>
          <w:tcPr>
            <w:tcW w:w="850" w:type="dxa"/>
            <w:shd w:val="clear" w:color="auto" w:fill="C6EFCE"/>
            <w:noWrap/>
          </w:tcPr>
          <w:p w14:paraId="6EF1A728" w14:textId="60702C07" w:rsidR="003E1D81" w:rsidRDefault="00EB481C">
            <w:pPr>
              <w:pStyle w:val="P68B1DB1-Normal13"/>
              <w:spacing w:after="0" w:line="240" w:lineRule="auto"/>
              <w:jc w:val="center"/>
              <w:rPr>
                <w:rFonts w:eastAsia="MS Mincho" w:cs="Times New Roman"/>
                <w:noProof/>
              </w:rPr>
            </w:pPr>
            <w:r>
              <w:rPr>
                <w:noProof/>
              </w:rPr>
              <w:t>T</w:t>
            </w:r>
          </w:p>
        </w:tc>
        <w:tc>
          <w:tcPr>
            <w:tcW w:w="2835" w:type="dxa"/>
            <w:shd w:val="clear" w:color="auto" w:fill="C6EFCE"/>
            <w:noWrap/>
          </w:tcPr>
          <w:p w14:paraId="47A6AF21" w14:textId="0491A6D9" w:rsidR="003E1D81" w:rsidRDefault="00EB481C">
            <w:pPr>
              <w:pStyle w:val="P68B1DB1-Normal13"/>
              <w:spacing w:after="0" w:line="240" w:lineRule="auto"/>
              <w:rPr>
                <w:rFonts w:eastAsia="MS Mincho" w:cs="Times New Roman"/>
                <w:noProof/>
              </w:rPr>
            </w:pPr>
            <w:r>
              <w:rPr>
                <w:noProof/>
              </w:rPr>
              <w:t>A felszín alatti vizek kitermelésének csökkentése</w:t>
            </w:r>
          </w:p>
        </w:tc>
        <w:tc>
          <w:tcPr>
            <w:tcW w:w="993" w:type="dxa"/>
            <w:shd w:val="clear" w:color="auto" w:fill="C6EFCE"/>
            <w:noWrap/>
          </w:tcPr>
          <w:p w14:paraId="609959BB" w14:textId="39228FF8"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7614457B" w14:textId="7744038C" w:rsidR="003E1D81" w:rsidRDefault="00EB481C">
            <w:pPr>
              <w:pStyle w:val="P68B1DB1-Normal13"/>
              <w:spacing w:after="0" w:line="240" w:lineRule="auto"/>
              <w:jc w:val="right"/>
              <w:rPr>
                <w:rFonts w:eastAsia="MS Mincho" w:cs="Times New Roman"/>
                <w:noProof/>
              </w:rPr>
            </w:pPr>
            <w:r>
              <w:rPr>
                <w:noProof/>
              </w:rPr>
              <w:t xml:space="preserve">Szám (hm3/év)  </w:t>
            </w:r>
          </w:p>
        </w:tc>
        <w:tc>
          <w:tcPr>
            <w:tcW w:w="425" w:type="dxa"/>
            <w:shd w:val="clear" w:color="auto" w:fill="C6EFCE"/>
            <w:noWrap/>
          </w:tcPr>
          <w:p w14:paraId="02BA64C4" w14:textId="1E482E31" w:rsidR="003E1D81" w:rsidRDefault="00EB481C">
            <w:pPr>
              <w:pStyle w:val="P68B1DB1-Normal13"/>
              <w:spacing w:after="0" w:line="240" w:lineRule="auto"/>
              <w:jc w:val="right"/>
              <w:rPr>
                <w:rFonts w:eastAsia="MS Mincho" w:cs="Times New Roman"/>
                <w:noProof/>
              </w:rPr>
            </w:pPr>
            <w:r>
              <w:rPr>
                <w:noProof/>
              </w:rPr>
              <w:t xml:space="preserve">0 </w:t>
            </w:r>
          </w:p>
        </w:tc>
        <w:tc>
          <w:tcPr>
            <w:tcW w:w="709" w:type="dxa"/>
            <w:shd w:val="clear" w:color="auto" w:fill="C6EFCE"/>
            <w:noWrap/>
          </w:tcPr>
          <w:p w14:paraId="43B86807" w14:textId="69674AB9" w:rsidR="003E1D81" w:rsidRDefault="00EB481C">
            <w:pPr>
              <w:pStyle w:val="P68B1DB1-Normal13"/>
              <w:spacing w:after="0" w:line="240" w:lineRule="auto"/>
              <w:jc w:val="right"/>
              <w:rPr>
                <w:rFonts w:eastAsia="MS Mincho" w:cs="Times New Roman"/>
                <w:noProof/>
              </w:rPr>
            </w:pPr>
            <w:r>
              <w:rPr>
                <w:noProof/>
              </w:rPr>
              <w:t xml:space="preserve">60 </w:t>
            </w:r>
          </w:p>
        </w:tc>
        <w:tc>
          <w:tcPr>
            <w:tcW w:w="425" w:type="dxa"/>
            <w:shd w:val="clear" w:color="auto" w:fill="C6EFCE"/>
            <w:noWrap/>
          </w:tcPr>
          <w:p w14:paraId="147BB08F" w14:textId="15C6E9E9" w:rsidR="003E1D81" w:rsidRDefault="00EB481C">
            <w:pPr>
              <w:pStyle w:val="P68B1DB1-Normal13"/>
              <w:spacing w:after="0" w:line="240" w:lineRule="auto"/>
              <w:jc w:val="center"/>
              <w:rPr>
                <w:rFonts w:eastAsia="MS Mincho" w:cs="Times New Roman"/>
                <w:noProof/>
              </w:rPr>
            </w:pPr>
            <w:r>
              <w:rPr>
                <w:noProof/>
              </w:rPr>
              <w:t>KÉRDÉS</w:t>
            </w:r>
          </w:p>
        </w:tc>
        <w:tc>
          <w:tcPr>
            <w:tcW w:w="567" w:type="dxa"/>
            <w:shd w:val="clear" w:color="auto" w:fill="C6EFCE"/>
            <w:noWrap/>
          </w:tcPr>
          <w:p w14:paraId="68312A86" w14:textId="2757FA3D" w:rsidR="003E1D81" w:rsidRDefault="00EB481C">
            <w:pPr>
              <w:pStyle w:val="P68B1DB1-Normal13"/>
              <w:spacing w:after="0" w:line="240" w:lineRule="auto"/>
              <w:jc w:val="center"/>
              <w:rPr>
                <w:rFonts w:eastAsia="MS Mincho" w:cs="Times New Roman"/>
                <w:noProof/>
              </w:rPr>
            </w:pPr>
            <w:r>
              <w:rPr>
                <w:noProof/>
              </w:rPr>
              <w:t>2026</w:t>
            </w:r>
          </w:p>
        </w:tc>
        <w:tc>
          <w:tcPr>
            <w:tcW w:w="6096" w:type="dxa"/>
            <w:shd w:val="clear" w:color="auto" w:fill="C6EFCE"/>
            <w:noWrap/>
          </w:tcPr>
          <w:p w14:paraId="413948F2" w14:textId="26E4F286" w:rsidR="003E1D81" w:rsidRDefault="00EB481C">
            <w:pPr>
              <w:pStyle w:val="P68B1DB1-Normal13"/>
              <w:spacing w:after="0" w:line="240" w:lineRule="auto"/>
              <w:rPr>
                <w:rFonts w:eastAsia="MS Mincho" w:cs="Times New Roman"/>
                <w:noProof/>
              </w:rPr>
            </w:pPr>
            <w:r>
              <w:rPr>
                <w:noProof/>
              </w:rPr>
              <w:t>A sótalanító üzemekből származó alternatív erőforrások biztosítása a Katalónia és a Földközi-tenger belső vízgyűjtőiben és az andalúziai vízgyűjtőkben található víztartó rétegekből kitermelt felszín alatti víz éves mennyiségének egyenértékű csökkentése mel</w:t>
            </w:r>
            <w:r>
              <w:rPr>
                <w:noProof/>
              </w:rPr>
              <w:t xml:space="preserve">lett, az intézkedés leírásával összhangban. </w:t>
            </w:r>
          </w:p>
        </w:tc>
      </w:tr>
      <w:tr w:rsidR="003E1D81" w14:paraId="236752E1" w14:textId="77777777">
        <w:trPr>
          <w:trHeight w:val="309"/>
        </w:trPr>
        <w:tc>
          <w:tcPr>
            <w:tcW w:w="709" w:type="dxa"/>
            <w:shd w:val="clear" w:color="auto" w:fill="C6EFCE"/>
            <w:noWrap/>
          </w:tcPr>
          <w:p w14:paraId="7E73AEA7" w14:textId="42D94A6F" w:rsidR="003E1D81" w:rsidRDefault="00EB481C">
            <w:pPr>
              <w:pStyle w:val="P68B1DB1-Normal13"/>
              <w:spacing w:after="0" w:line="240" w:lineRule="auto"/>
              <w:jc w:val="center"/>
              <w:rPr>
                <w:rFonts w:cs="Times New Roman"/>
                <w:noProof/>
              </w:rPr>
            </w:pPr>
            <w:r>
              <w:rPr>
                <w:noProof/>
              </w:rPr>
              <w:t>L14</w:t>
            </w:r>
          </w:p>
        </w:tc>
        <w:tc>
          <w:tcPr>
            <w:tcW w:w="851" w:type="dxa"/>
            <w:shd w:val="clear" w:color="auto" w:fill="C6EFCE"/>
            <w:noWrap/>
          </w:tcPr>
          <w:p w14:paraId="3700384D" w14:textId="7473AFB4" w:rsidR="003E1D81" w:rsidRDefault="00EB481C">
            <w:pPr>
              <w:pStyle w:val="P68B1DB1-Normal13"/>
              <w:spacing w:after="0" w:line="240" w:lineRule="auto"/>
              <w:jc w:val="center"/>
              <w:rPr>
                <w:rFonts w:cs="Times New Roman"/>
                <w:noProof/>
              </w:rPr>
            </w:pPr>
            <w:r>
              <w:rPr>
                <w:noProof/>
              </w:rPr>
              <w:t>C5.I6</w:t>
            </w:r>
          </w:p>
        </w:tc>
        <w:tc>
          <w:tcPr>
            <w:tcW w:w="850" w:type="dxa"/>
            <w:shd w:val="clear" w:color="auto" w:fill="C6EFCE"/>
            <w:noWrap/>
          </w:tcPr>
          <w:p w14:paraId="1E7CB0BA" w14:textId="0C4B5D5E" w:rsidR="003E1D81" w:rsidRDefault="00EB481C">
            <w:pPr>
              <w:pStyle w:val="P68B1DB1-Normal13"/>
              <w:spacing w:after="0" w:line="240" w:lineRule="auto"/>
              <w:jc w:val="center"/>
              <w:rPr>
                <w:rFonts w:cs="Times New Roman"/>
                <w:noProof/>
              </w:rPr>
            </w:pPr>
            <w:r>
              <w:rPr>
                <w:noProof/>
              </w:rPr>
              <w:t>M</w:t>
            </w:r>
          </w:p>
        </w:tc>
        <w:tc>
          <w:tcPr>
            <w:tcW w:w="2835" w:type="dxa"/>
            <w:shd w:val="clear" w:color="auto" w:fill="C6EFCE"/>
            <w:noWrap/>
          </w:tcPr>
          <w:p w14:paraId="30947F60" w14:textId="006CF621" w:rsidR="003E1D81" w:rsidRDefault="00EB481C">
            <w:pPr>
              <w:pStyle w:val="P68B1DB1-Normal13"/>
              <w:spacing w:after="0" w:line="240" w:lineRule="auto"/>
              <w:rPr>
                <w:rFonts w:cs="Times New Roman"/>
                <w:noProof/>
              </w:rPr>
            </w:pPr>
            <w:r>
              <w:rPr>
                <w:noProof/>
              </w:rPr>
              <w:t>A városi vízkörforgás és az ipari ágazat digitalizálására irányuló intézkedések</w:t>
            </w:r>
          </w:p>
        </w:tc>
        <w:tc>
          <w:tcPr>
            <w:tcW w:w="993" w:type="dxa"/>
            <w:shd w:val="clear" w:color="auto" w:fill="C6EFCE"/>
            <w:noWrap/>
          </w:tcPr>
          <w:p w14:paraId="4BE75B5E" w14:textId="31B0FCDD" w:rsidR="003E1D81" w:rsidRDefault="00EB481C">
            <w:pPr>
              <w:pStyle w:val="P68B1DB1-Normal13"/>
              <w:spacing w:after="0" w:line="240" w:lineRule="auto"/>
              <w:jc w:val="center"/>
              <w:rPr>
                <w:rFonts w:cs="Times New Roman"/>
                <w:noProof/>
              </w:rPr>
            </w:pPr>
            <w:r>
              <w:rPr>
                <w:noProof/>
              </w:rPr>
              <w:t xml:space="preserve"> A munkálatokról szóló hivatalos értesítés véglegesítése</w:t>
            </w:r>
          </w:p>
        </w:tc>
        <w:tc>
          <w:tcPr>
            <w:tcW w:w="850" w:type="dxa"/>
            <w:shd w:val="clear" w:color="auto" w:fill="C6EFCE"/>
            <w:noWrap/>
          </w:tcPr>
          <w:p w14:paraId="05A908A8" w14:textId="70F58511" w:rsidR="003E1D81" w:rsidRDefault="00EB481C">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40BDD0E6" w14:textId="6FFB4C1C" w:rsidR="003E1D81" w:rsidRDefault="003E1D81">
            <w:pPr>
              <w:spacing w:after="0" w:line="240" w:lineRule="auto"/>
              <w:jc w:val="right"/>
              <w:rPr>
                <w:rFonts w:ascii="Times New Roman" w:hAnsi="Times New Roman" w:cs="Times New Roman"/>
                <w:noProof/>
                <w:sz w:val="18"/>
              </w:rPr>
            </w:pPr>
          </w:p>
        </w:tc>
        <w:tc>
          <w:tcPr>
            <w:tcW w:w="709" w:type="dxa"/>
            <w:shd w:val="clear" w:color="auto" w:fill="C6EFCE"/>
            <w:noWrap/>
          </w:tcPr>
          <w:p w14:paraId="4D03E66A" w14:textId="48B971C1" w:rsidR="003E1D81" w:rsidRDefault="003E1D81">
            <w:pPr>
              <w:spacing w:after="0" w:line="240" w:lineRule="auto"/>
              <w:jc w:val="right"/>
              <w:rPr>
                <w:rFonts w:ascii="Times New Roman" w:hAnsi="Times New Roman" w:cs="Times New Roman"/>
                <w:noProof/>
                <w:sz w:val="18"/>
              </w:rPr>
            </w:pPr>
          </w:p>
        </w:tc>
        <w:tc>
          <w:tcPr>
            <w:tcW w:w="425" w:type="dxa"/>
            <w:shd w:val="clear" w:color="auto" w:fill="C6EFCE"/>
            <w:noWrap/>
          </w:tcPr>
          <w:p w14:paraId="29AB48B3" w14:textId="765DF2FB" w:rsidR="003E1D81" w:rsidRDefault="00EB481C">
            <w:pPr>
              <w:pStyle w:val="P68B1DB1-Normal13"/>
              <w:spacing w:after="0" w:line="240" w:lineRule="auto"/>
              <w:jc w:val="center"/>
              <w:rPr>
                <w:rFonts w:cs="Times New Roman"/>
                <w:noProof/>
              </w:rPr>
            </w:pPr>
            <w:r>
              <w:rPr>
                <w:noProof/>
              </w:rPr>
              <w:t xml:space="preserve">KÉRDÉS </w:t>
            </w:r>
          </w:p>
        </w:tc>
        <w:tc>
          <w:tcPr>
            <w:tcW w:w="567" w:type="dxa"/>
            <w:shd w:val="clear" w:color="auto" w:fill="C6EFCE"/>
            <w:noWrap/>
          </w:tcPr>
          <w:p w14:paraId="2B10CCDA" w14:textId="6F2A8907" w:rsidR="003E1D81" w:rsidRDefault="00EB481C">
            <w:pPr>
              <w:pStyle w:val="P68B1DB1-Normal13"/>
              <w:spacing w:after="0" w:line="240" w:lineRule="auto"/>
              <w:jc w:val="center"/>
              <w:rPr>
                <w:rFonts w:cs="Times New Roman"/>
                <w:noProof/>
              </w:rPr>
            </w:pPr>
            <w:r>
              <w:rPr>
                <w:noProof/>
              </w:rPr>
              <w:t>2026</w:t>
            </w:r>
          </w:p>
        </w:tc>
        <w:tc>
          <w:tcPr>
            <w:tcW w:w="6096" w:type="dxa"/>
            <w:shd w:val="clear" w:color="auto" w:fill="C6EFCE"/>
            <w:noWrap/>
          </w:tcPr>
          <w:p w14:paraId="3E8F8829" w14:textId="445A439E" w:rsidR="003E1D81" w:rsidRDefault="00EB481C">
            <w:pPr>
              <w:pStyle w:val="P68B1DB1-Normal13"/>
              <w:spacing w:after="0" w:line="240" w:lineRule="auto"/>
              <w:rPr>
                <w:rFonts w:cs="Times New Roman"/>
                <w:noProof/>
              </w:rPr>
            </w:pPr>
            <w:r>
              <w:rPr>
                <w:noProof/>
              </w:rPr>
              <w:t xml:space="preserve">10000000 lakos részesült a városi vízkörforgás digitalizálására irányuló projektekből, és legalább 90 ipari projektet véglegesítettek vízügyi kérdésekben. </w:t>
            </w:r>
          </w:p>
        </w:tc>
      </w:tr>
      <w:bookmarkEnd w:id="14"/>
    </w:tbl>
    <w:p w14:paraId="02DCC3DF" w14:textId="6426C795" w:rsidR="003E1D81" w:rsidRDefault="003E1D81">
      <w:pPr>
        <w:pStyle w:val="Text1"/>
        <w:ind w:left="0"/>
        <w:rPr>
          <w:rFonts w:ascii="Times New Roman" w:eastAsia="Calibri" w:hAnsi="Times New Roman" w:cs="Times New Roman"/>
          <w:noProof/>
        </w:rPr>
        <w:sectPr w:rsidR="003E1D81" w:rsidSect="0035659C">
          <w:headerReference w:type="even" r:id="rId144"/>
          <w:headerReference w:type="default" r:id="rId145"/>
          <w:footerReference w:type="even" r:id="rId146"/>
          <w:footerReference w:type="default" r:id="rId147"/>
          <w:headerReference w:type="first" r:id="rId148"/>
          <w:footerReference w:type="first" r:id="rId149"/>
          <w:pgSz w:w="16839" w:h="11907" w:orient="landscape"/>
          <w:pgMar w:top="1417" w:right="1134" w:bottom="1417" w:left="1134" w:header="709" w:footer="709" w:gutter="0"/>
          <w:cols w:space="720"/>
          <w:docGrid w:linePitch="360"/>
        </w:sectPr>
      </w:pPr>
    </w:p>
    <w:p w14:paraId="711F0FB5" w14:textId="6A0A0092" w:rsidR="003E1D81" w:rsidRDefault="00EB481C">
      <w:pPr>
        <w:pStyle w:val="P68B1DB1-Heading12"/>
        <w:rPr>
          <w:rFonts w:cs="Times New Roman"/>
          <w:noProof/>
        </w:rPr>
      </w:pPr>
      <w:r>
        <w:rPr>
          <w:noProof/>
        </w:rPr>
        <w:t xml:space="preserve">F. 06. ÖSSZETEVŐ: Fenntartható </w:t>
      </w:r>
      <w:r>
        <w:rPr>
          <w:noProof/>
        </w:rPr>
        <w:t>mobilitás (hosszú távolság)</w:t>
      </w:r>
    </w:p>
    <w:p w14:paraId="4BA2FD7C" w14:textId="77777777" w:rsidR="003E1D81" w:rsidRDefault="00EB481C">
      <w:pPr>
        <w:pStyle w:val="P68B1DB1-Normal4"/>
        <w:spacing w:line="240" w:lineRule="auto"/>
        <w:jc w:val="both"/>
        <w:rPr>
          <w:rFonts w:cs="Times New Roman"/>
          <w:noProof/>
        </w:rPr>
      </w:pPr>
      <w:r>
        <w:rPr>
          <w:noProof/>
        </w:rPr>
        <w:t>A spanyol helyreállítási és rezilienciaépítési terv e komponense a következő kihívásokkal foglalkozik: A fenntarthatóbb közlekedési módokra való áttérés; A közlekedési ágazat kibocsátásának csökkentése; A közlekedési ágazat bizt</w:t>
      </w:r>
      <w:r>
        <w:rPr>
          <w:noProof/>
        </w:rPr>
        <w:t>onságosabbá, hozzáférhetőbbé, fenntarthatóbbá és inkluzívabbá tétele.</w:t>
      </w:r>
    </w:p>
    <w:p w14:paraId="719433C5" w14:textId="77777777" w:rsidR="003E1D81" w:rsidRDefault="00EB481C">
      <w:pPr>
        <w:pStyle w:val="P68B1DB1-Normal4"/>
        <w:spacing w:line="240" w:lineRule="auto"/>
        <w:jc w:val="both"/>
        <w:rPr>
          <w:rFonts w:cs="Times New Roman"/>
          <w:noProof/>
        </w:rPr>
      </w:pPr>
      <w:r>
        <w:rPr>
          <w:noProof/>
        </w:rPr>
        <w:t xml:space="preserve">A komponens célkitűzései a következők: a spanyol vasúthálózat fejlesztése (különösen a TEN-T törzshálózati folyosók és a nem törzshálózati TEN-T hálózat); interoperábilisabb közlekedési </w:t>
      </w:r>
      <w:r>
        <w:rPr>
          <w:noProof/>
        </w:rPr>
        <w:t xml:space="preserve">hálózat (vasút, közút, kikötők) létrehozása szénlábnyomának csökkentése céljából; a Franciaországgal és Portugáliával való, határokon átnyúló összeköttetések javítása; a közlekedési ágazat modernizálása fejlett digitális technológiák bevezetésével. </w:t>
      </w:r>
    </w:p>
    <w:p w14:paraId="3BF698B3" w14:textId="77777777" w:rsidR="003E1D81" w:rsidRDefault="00EB481C">
      <w:pPr>
        <w:pStyle w:val="P68B1DB1-Normal4"/>
        <w:spacing w:line="240" w:lineRule="auto"/>
        <w:jc w:val="both"/>
        <w:rPr>
          <w:rFonts w:cs="Times New Roman"/>
          <w:noProof/>
        </w:rPr>
      </w:pPr>
      <w:r>
        <w:rPr>
          <w:noProof/>
        </w:rPr>
        <w:t>Ez a k</w:t>
      </w:r>
      <w:r>
        <w:rPr>
          <w:noProof/>
        </w:rPr>
        <w:t>omponens az energiahatékonyságra és az erőforrás-felhasználásra, valamint a vasúti árufuvarozási infrastruktúra előmozdítására irányuló beruházások előmozdításáról (2019. évi 3. országspecifikus ajánlás), valamint a zöld és digitális átállásra és a fenntar</w:t>
      </w:r>
      <w:r>
        <w:rPr>
          <w:noProof/>
        </w:rPr>
        <w:t>tható közlekedésre irányuló beruházásokról (2020. évi 3. országspecifikus ajánlás) szóló országspecifikus ajánlásokkal foglalkozik.</w:t>
      </w:r>
    </w:p>
    <w:p w14:paraId="121535DA" w14:textId="77777777" w:rsidR="003E1D81" w:rsidRDefault="00EB481C">
      <w:pPr>
        <w:pStyle w:val="P68B1DB1-Normal4"/>
        <w:spacing w:line="240" w:lineRule="auto"/>
        <w:jc w:val="both"/>
        <w:rPr>
          <w:rFonts w:cs="Times New Roman"/>
          <w:noProof/>
        </w:rPr>
      </w:pPr>
      <w:r>
        <w:rPr>
          <w:noProof/>
        </w:rPr>
        <w:t xml:space="preserve">A jelentős károkozás elkerülését célzó elvről szóló technikai iránymutatásnak (2021/C58/01) megfelelően a helyreállítási és </w:t>
      </w:r>
      <w:r>
        <w:rPr>
          <w:noProof/>
        </w:rPr>
        <w:t>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w:t>
      </w:r>
      <w:r>
        <w:rPr>
          <w:noProof/>
        </w:rPr>
        <w:t>2 rendelet 17. cikke szerinti környezeti célkitűzéseket.</w:t>
      </w:r>
    </w:p>
    <w:p w14:paraId="1097947D" w14:textId="77777777" w:rsidR="003E1D81" w:rsidRDefault="00EB481C">
      <w:pPr>
        <w:pStyle w:val="P68B1DB1-Normal5"/>
        <w:spacing w:before="120" w:after="120" w:line="240" w:lineRule="auto"/>
        <w:ind w:left="709"/>
        <w:jc w:val="both"/>
        <w:rPr>
          <w:rFonts w:cs="Times New Roman"/>
          <w:i/>
          <w:noProof/>
        </w:rPr>
      </w:pPr>
      <w:r>
        <w:rPr>
          <w:noProof/>
        </w:rPr>
        <w:t xml:space="preserve">F.1. </w:t>
      </w:r>
      <w:r>
        <w:rPr>
          <w:noProof/>
        </w:rPr>
        <w:tab/>
        <w:t>Vissza nem térítendő pénzügyi támogatás – a reformok és beruházások ismertetése</w:t>
      </w:r>
    </w:p>
    <w:p w14:paraId="7CF8E487" w14:textId="77777777" w:rsidR="003E1D81" w:rsidRDefault="00EB481C">
      <w:pPr>
        <w:pStyle w:val="P68B1DB1-Normal6"/>
        <w:spacing w:line="240" w:lineRule="auto"/>
        <w:jc w:val="both"/>
        <w:rPr>
          <w:rFonts w:cs="Times New Roman"/>
          <w:noProof/>
        </w:rPr>
      </w:pPr>
      <w:r>
        <w:rPr>
          <w:noProof/>
        </w:rPr>
        <w:t>Reform (C6.R1) – Biztonságos, fenntartható és összekapcsolt mobilitási stratégia</w:t>
      </w:r>
    </w:p>
    <w:p w14:paraId="52F710EE" w14:textId="77777777" w:rsidR="003E1D81" w:rsidRDefault="00EB481C">
      <w:pPr>
        <w:pStyle w:val="P68B1DB1-Normal4"/>
        <w:spacing w:line="240" w:lineRule="auto"/>
        <w:jc w:val="both"/>
        <w:rPr>
          <w:rFonts w:cs="Times New Roman"/>
          <w:noProof/>
        </w:rPr>
      </w:pPr>
      <w:r>
        <w:rPr>
          <w:noProof/>
        </w:rPr>
        <w:t>Az intézkedés célkitűzései a köv</w:t>
      </w:r>
      <w:r>
        <w:rPr>
          <w:noProof/>
        </w:rPr>
        <w:t xml:space="preserve">etkezők: </w:t>
      </w:r>
    </w:p>
    <w:p w14:paraId="409A6AA4" w14:textId="77777777" w:rsidR="003E1D81" w:rsidRDefault="00EB481C">
      <w:pPr>
        <w:pStyle w:val="P68B1DB1-ListParagraph7"/>
        <w:numPr>
          <w:ilvl w:val="0"/>
          <w:numId w:val="171"/>
        </w:numPr>
        <w:spacing w:line="240" w:lineRule="auto"/>
        <w:jc w:val="both"/>
        <w:rPr>
          <w:rFonts w:cs="Times New Roman"/>
          <w:noProof/>
        </w:rPr>
      </w:pPr>
      <w:r>
        <w:rPr>
          <w:noProof/>
        </w:rPr>
        <w:t xml:space="preserve">A mobilitási hálózat biztonságának növelése, biztosítva a személyek és áruk jobb védelmét, a szabványok javítását és a balesetek számának csökkentését. </w:t>
      </w:r>
    </w:p>
    <w:p w14:paraId="48EAEA90" w14:textId="77777777" w:rsidR="003E1D81" w:rsidRDefault="00EB481C">
      <w:pPr>
        <w:pStyle w:val="P68B1DB1-ListParagraph7"/>
        <w:numPr>
          <w:ilvl w:val="0"/>
          <w:numId w:val="171"/>
        </w:numPr>
        <w:spacing w:line="240" w:lineRule="auto"/>
        <w:jc w:val="both"/>
        <w:rPr>
          <w:rFonts w:cs="Times New Roman"/>
          <w:noProof/>
        </w:rPr>
      </w:pPr>
      <w:r>
        <w:rPr>
          <w:noProof/>
        </w:rPr>
        <w:t>A fenntarthatóság növelése, előtérbe helyezve a napi mobilitást, a gazdasági és társadalmi mé</w:t>
      </w:r>
      <w:r>
        <w:rPr>
          <w:noProof/>
        </w:rPr>
        <w:t xml:space="preserve">ltányosságot, az energiahatékonyságot és az éghajlatváltozás elleni küzdelmet. </w:t>
      </w:r>
    </w:p>
    <w:p w14:paraId="688326EE" w14:textId="77777777" w:rsidR="003E1D81" w:rsidRDefault="00EB481C">
      <w:pPr>
        <w:pStyle w:val="P68B1DB1-ListParagraph7"/>
        <w:numPr>
          <w:ilvl w:val="0"/>
          <w:numId w:val="171"/>
        </w:numPr>
        <w:spacing w:line="240" w:lineRule="auto"/>
        <w:jc w:val="both"/>
        <w:rPr>
          <w:rFonts w:cs="Times New Roman"/>
          <w:noProof/>
        </w:rPr>
      </w:pPr>
      <w:r>
        <w:rPr>
          <w:noProof/>
        </w:rPr>
        <w:t>A konnektivitás javítása a digitalizációval, a technológiai fejlődéssel és a multimodális konnektivitással.</w:t>
      </w:r>
    </w:p>
    <w:p w14:paraId="3C003996" w14:textId="77777777" w:rsidR="003E1D81" w:rsidRDefault="00EB481C">
      <w:pPr>
        <w:pStyle w:val="P68B1DB1-Normal4"/>
        <w:spacing w:line="240" w:lineRule="auto"/>
        <w:jc w:val="both"/>
        <w:rPr>
          <w:rFonts w:cs="Times New Roman"/>
          <w:noProof/>
        </w:rPr>
      </w:pPr>
      <w:r>
        <w:rPr>
          <w:noProof/>
        </w:rPr>
        <w:t>A stratégiának a következő kilenc területen kell konkrét intézkedése</w:t>
      </w:r>
      <w:r>
        <w:rPr>
          <w:noProof/>
        </w:rPr>
        <w:t xml:space="preserve">ket tartalmaznia: </w:t>
      </w:r>
    </w:p>
    <w:p w14:paraId="2CF7308B" w14:textId="77777777" w:rsidR="003E1D81" w:rsidRDefault="00EB481C">
      <w:pPr>
        <w:pStyle w:val="P68B1DB1-ListParagraph7"/>
        <w:numPr>
          <w:ilvl w:val="0"/>
          <w:numId w:val="172"/>
        </w:numPr>
        <w:spacing w:line="240" w:lineRule="auto"/>
        <w:jc w:val="both"/>
        <w:rPr>
          <w:rFonts w:cs="Times New Roman"/>
          <w:noProof/>
        </w:rPr>
      </w:pPr>
      <w:r>
        <w:rPr>
          <w:noProof/>
        </w:rPr>
        <w:t xml:space="preserve">Mobilitás mindenki számára (az általános hozzáférhetőség biztosítása ésszerű költségek mellett); </w:t>
      </w:r>
    </w:p>
    <w:p w14:paraId="7CFBDBEE" w14:textId="77777777" w:rsidR="003E1D81" w:rsidRDefault="00EB481C">
      <w:pPr>
        <w:pStyle w:val="P68B1DB1-ListParagraph7"/>
        <w:numPr>
          <w:ilvl w:val="0"/>
          <w:numId w:val="172"/>
        </w:numPr>
        <w:spacing w:line="240" w:lineRule="auto"/>
        <w:jc w:val="both"/>
        <w:rPr>
          <w:rFonts w:cs="Times New Roman"/>
          <w:noProof/>
        </w:rPr>
      </w:pPr>
      <w:r>
        <w:rPr>
          <w:noProof/>
        </w:rPr>
        <w:t xml:space="preserve">Új beruházási politikák (a közlekedési infrastruktúrák és szolgáltatások megfelelő finanszírozásának biztosítása érdekében); </w:t>
      </w:r>
    </w:p>
    <w:p w14:paraId="4DF51691" w14:textId="77777777" w:rsidR="003E1D81" w:rsidRDefault="00EB481C">
      <w:pPr>
        <w:pStyle w:val="P68B1DB1-ListParagraph7"/>
        <w:numPr>
          <w:ilvl w:val="0"/>
          <w:numId w:val="172"/>
        </w:numPr>
        <w:spacing w:line="240" w:lineRule="auto"/>
        <w:jc w:val="both"/>
        <w:rPr>
          <w:rFonts w:cs="Times New Roman"/>
          <w:noProof/>
        </w:rPr>
      </w:pPr>
      <w:r>
        <w:rPr>
          <w:noProof/>
        </w:rPr>
        <w:t>Biztonságos m</w:t>
      </w:r>
      <w:r>
        <w:rPr>
          <w:noProof/>
        </w:rPr>
        <w:t xml:space="preserve">obilitás (a nyomon követésbe, karbantartásba és kiberbiztonságba történő beruházások előtérbe helyezése); </w:t>
      </w:r>
    </w:p>
    <w:p w14:paraId="47C9B44E" w14:textId="77777777" w:rsidR="003E1D81" w:rsidRDefault="00EB481C">
      <w:pPr>
        <w:pStyle w:val="P68B1DB1-ListParagraph7"/>
        <w:numPr>
          <w:ilvl w:val="0"/>
          <w:numId w:val="172"/>
        </w:numPr>
        <w:spacing w:line="240" w:lineRule="auto"/>
        <w:jc w:val="both"/>
        <w:rPr>
          <w:rFonts w:cs="Times New Roman"/>
          <w:noProof/>
        </w:rPr>
      </w:pPr>
      <w:r>
        <w:rPr>
          <w:noProof/>
        </w:rPr>
        <w:t xml:space="preserve">Alacsony kibocsátású mobilitás (a hatékonyság növelése, az energiafogyasztás csökkentése); </w:t>
      </w:r>
    </w:p>
    <w:p w14:paraId="65035110" w14:textId="77777777" w:rsidR="003E1D81" w:rsidRDefault="00EB481C">
      <w:pPr>
        <w:pStyle w:val="P68B1DB1-ListParagraph7"/>
        <w:numPr>
          <w:ilvl w:val="0"/>
          <w:numId w:val="172"/>
        </w:numPr>
        <w:spacing w:line="240" w:lineRule="auto"/>
        <w:jc w:val="both"/>
        <w:rPr>
          <w:rFonts w:cs="Times New Roman"/>
          <w:noProof/>
        </w:rPr>
      </w:pPr>
      <w:r>
        <w:rPr>
          <w:noProof/>
        </w:rPr>
        <w:t>Intelligens mobilitás (a K+F és a mobilitási innováció fe</w:t>
      </w:r>
      <w:r>
        <w:rPr>
          <w:noProof/>
        </w:rPr>
        <w:t xml:space="preserve">llendítése, intelligens infrastruktúra kiépítése és kezelése); </w:t>
      </w:r>
    </w:p>
    <w:p w14:paraId="0ED2C07F" w14:textId="77777777" w:rsidR="003E1D81" w:rsidRDefault="00EB481C">
      <w:pPr>
        <w:pStyle w:val="P68B1DB1-ListParagraph7"/>
        <w:numPr>
          <w:ilvl w:val="0"/>
          <w:numId w:val="172"/>
        </w:numPr>
        <w:spacing w:line="240" w:lineRule="auto"/>
        <w:jc w:val="both"/>
        <w:rPr>
          <w:rFonts w:cs="Times New Roman"/>
          <w:noProof/>
        </w:rPr>
      </w:pPr>
      <w:r>
        <w:rPr>
          <w:noProof/>
        </w:rPr>
        <w:t xml:space="preserve">Intelligens intermodális logisztikai láncok (a vasúti áruszállítás előnyben részesítése a köz- és magánprogramokban); </w:t>
      </w:r>
    </w:p>
    <w:p w14:paraId="33DEC856" w14:textId="77777777" w:rsidR="003E1D81" w:rsidRDefault="00EB481C">
      <w:pPr>
        <w:pStyle w:val="P68B1DB1-ListParagraph7"/>
        <w:numPr>
          <w:ilvl w:val="0"/>
          <w:numId w:val="172"/>
        </w:numPr>
        <w:spacing w:line="240" w:lineRule="auto"/>
        <w:jc w:val="both"/>
        <w:rPr>
          <w:rFonts w:cs="Times New Roman"/>
          <w:noProof/>
        </w:rPr>
      </w:pPr>
      <w:r>
        <w:rPr>
          <w:noProof/>
        </w:rPr>
        <w:t>Európa összekapcsolása és a világhoz való kapcsolódás (a kikötők összekap</w:t>
      </w:r>
      <w:r>
        <w:rPr>
          <w:noProof/>
        </w:rPr>
        <w:t xml:space="preserve">csolása intermodális logisztikai terminálokkal, valamint az együttműködés fokozása a szomszédos országokkal a határokon átnyúló infrastruktúrák építésének és/vagy fejlesztésének koordinálása érdekében); </w:t>
      </w:r>
    </w:p>
    <w:p w14:paraId="29ECA6C5" w14:textId="77777777" w:rsidR="003E1D81" w:rsidRDefault="00EB481C">
      <w:pPr>
        <w:pStyle w:val="P68B1DB1-ListParagraph7"/>
        <w:numPr>
          <w:ilvl w:val="0"/>
          <w:numId w:val="172"/>
        </w:numPr>
        <w:spacing w:line="240" w:lineRule="auto"/>
        <w:jc w:val="both"/>
        <w:rPr>
          <w:rFonts w:cs="Times New Roman"/>
          <w:noProof/>
        </w:rPr>
      </w:pPr>
      <w:r>
        <w:rPr>
          <w:noProof/>
        </w:rPr>
        <w:t>Szociális és munkaügyi szempontok (a nemek közötti e</w:t>
      </w:r>
      <w:r>
        <w:rPr>
          <w:noProof/>
        </w:rPr>
        <w:t>gyensúly, valamint a közlekedési munkaerőt célzó átképzési és továbbképzési intézkedések); és</w:t>
      </w:r>
    </w:p>
    <w:p w14:paraId="3A87BF4B" w14:textId="77777777" w:rsidR="003E1D81" w:rsidRDefault="00EB481C">
      <w:pPr>
        <w:pStyle w:val="P68B1DB1-ListParagraph7"/>
        <w:numPr>
          <w:ilvl w:val="0"/>
          <w:numId w:val="172"/>
        </w:numPr>
        <w:spacing w:line="240" w:lineRule="auto"/>
        <w:jc w:val="both"/>
        <w:rPr>
          <w:rFonts w:cs="Times New Roman"/>
          <w:noProof/>
        </w:rPr>
      </w:pPr>
      <w:r>
        <w:rPr>
          <w:noProof/>
        </w:rPr>
        <w:t xml:space="preserve">A közlekedési, mobilitási és városfejlesztési minisztérium digitalizálása a digitális átállás felkarolása, valamint a nyitottabbá és innovatívabbá válás </w:t>
      </w:r>
      <w:r>
        <w:rPr>
          <w:noProof/>
        </w:rPr>
        <w:t>érdekében.</w:t>
      </w:r>
    </w:p>
    <w:p w14:paraId="52B14BA0" w14:textId="77777777" w:rsidR="003E1D81" w:rsidRDefault="00EB481C">
      <w:pPr>
        <w:pStyle w:val="P68B1DB1-Normal4"/>
        <w:autoSpaceDE w:val="0"/>
        <w:autoSpaceDN w:val="0"/>
        <w:spacing w:before="40" w:after="40" w:line="240" w:lineRule="auto"/>
        <w:jc w:val="both"/>
        <w:rPr>
          <w:rFonts w:eastAsia="MS Mincho" w:cs="Times New Roman"/>
          <w:noProof/>
        </w:rPr>
      </w:pPr>
      <w:r>
        <w:rPr>
          <w:noProof/>
        </w:rPr>
        <w:t>Az intézkedés végrehajtását 2021. december 31-ig be kell fejezni.</w:t>
      </w:r>
    </w:p>
    <w:p w14:paraId="5366D74F" w14:textId="77777777" w:rsidR="003E1D81" w:rsidRDefault="003E1D81">
      <w:pPr>
        <w:keepNext/>
        <w:spacing w:line="240" w:lineRule="auto"/>
        <w:jc w:val="both"/>
        <w:rPr>
          <w:rFonts w:ascii="Times New Roman" w:hAnsi="Times New Roman" w:cs="Times New Roman"/>
          <w:noProof/>
          <w:sz w:val="24"/>
          <w:u w:val="single"/>
        </w:rPr>
      </w:pPr>
    </w:p>
    <w:p w14:paraId="4703E1F8" w14:textId="4C3975BE" w:rsidR="003E1D81" w:rsidRDefault="00EB481C">
      <w:pPr>
        <w:pStyle w:val="P68B1DB1-Normal6"/>
        <w:keepNext/>
        <w:spacing w:line="240" w:lineRule="auto"/>
        <w:jc w:val="both"/>
        <w:rPr>
          <w:rFonts w:cs="Times New Roman"/>
          <w:noProof/>
        </w:rPr>
      </w:pPr>
      <w:r>
        <w:rPr>
          <w:noProof/>
        </w:rPr>
        <w:t>Reform (C6.R2) – Indikatív vasúti stratégia</w:t>
      </w:r>
    </w:p>
    <w:p w14:paraId="624738E4" w14:textId="77777777" w:rsidR="003E1D81" w:rsidRDefault="00EB481C">
      <w:pPr>
        <w:pStyle w:val="P68B1DB1-Normal4"/>
        <w:spacing w:line="240" w:lineRule="auto"/>
        <w:jc w:val="both"/>
        <w:rPr>
          <w:rFonts w:cs="Times New Roman"/>
          <w:noProof/>
        </w:rPr>
      </w:pPr>
      <w:r>
        <w:rPr>
          <w:noProof/>
        </w:rPr>
        <w:t>A reform célja olyan eszközök létrehozása, amelyek biztosítják, hogy a vasúti hálózat koherens és hatékony módon kielégítse a jövőbeli</w:t>
      </w:r>
      <w:r>
        <w:rPr>
          <w:noProof/>
        </w:rPr>
        <w:t xml:space="preserve"> mobilitási igényeket. A stratégia egyértelmű tervezési forgatókönyvet határoz meg a vasúti közlekedési módra vonatkozóan, és lehetővé teszi a beruházási prioritások összehangolását a biztonságos, fenntartható és összekapcsolt mobilitásra vonatkozó stratég</w:t>
      </w:r>
      <w:r>
        <w:rPr>
          <w:noProof/>
        </w:rPr>
        <w:t>iával (R1).</w:t>
      </w:r>
    </w:p>
    <w:p w14:paraId="7C129B8F" w14:textId="77777777" w:rsidR="003E1D81" w:rsidRDefault="00EB481C">
      <w:pPr>
        <w:pStyle w:val="P68B1DB1-Normal4"/>
        <w:spacing w:line="240" w:lineRule="auto"/>
        <w:jc w:val="both"/>
        <w:rPr>
          <w:rFonts w:cs="Times New Roman"/>
          <w:noProof/>
        </w:rPr>
      </w:pPr>
      <w:r>
        <w:rPr>
          <w:noProof/>
        </w:rPr>
        <w:t xml:space="preserve">A reform több intézkedésből áll, többek között a következőkből: </w:t>
      </w:r>
    </w:p>
    <w:p w14:paraId="79891D7F" w14:textId="77777777" w:rsidR="003E1D81" w:rsidRDefault="00EB481C">
      <w:pPr>
        <w:pStyle w:val="P68B1DB1-ListParagraph7"/>
        <w:numPr>
          <w:ilvl w:val="0"/>
          <w:numId w:val="173"/>
        </w:numPr>
        <w:spacing w:line="240" w:lineRule="auto"/>
        <w:jc w:val="both"/>
        <w:rPr>
          <w:rFonts w:cs="Times New Roman"/>
          <w:noProof/>
        </w:rPr>
      </w:pPr>
      <w:r>
        <w:rPr>
          <w:noProof/>
        </w:rPr>
        <w:t xml:space="preserve">a vasúti ágazat tevékenységeinek világosabb tervezése, különös tekintettel a mindennapi mobilitásra; </w:t>
      </w:r>
    </w:p>
    <w:p w14:paraId="44EEB80D" w14:textId="77777777" w:rsidR="003E1D81" w:rsidRDefault="00EB481C">
      <w:pPr>
        <w:pStyle w:val="P68B1DB1-ListParagraph7"/>
        <w:numPr>
          <w:ilvl w:val="0"/>
          <w:numId w:val="173"/>
        </w:numPr>
        <w:spacing w:line="240" w:lineRule="auto"/>
        <w:jc w:val="both"/>
        <w:rPr>
          <w:rFonts w:cs="Times New Roman"/>
          <w:noProof/>
        </w:rPr>
      </w:pPr>
      <w:r>
        <w:rPr>
          <w:noProof/>
        </w:rPr>
        <w:t xml:space="preserve">a hálózat karbantartásának javítása; </w:t>
      </w:r>
    </w:p>
    <w:p w14:paraId="1776C835" w14:textId="77777777" w:rsidR="003E1D81" w:rsidRDefault="00EB481C">
      <w:pPr>
        <w:pStyle w:val="P68B1DB1-ListParagraph7"/>
        <w:numPr>
          <w:ilvl w:val="0"/>
          <w:numId w:val="173"/>
        </w:numPr>
        <w:spacing w:line="240" w:lineRule="auto"/>
        <w:jc w:val="both"/>
        <w:rPr>
          <w:rFonts w:cs="Times New Roman"/>
          <w:noProof/>
        </w:rPr>
      </w:pPr>
      <w:r>
        <w:rPr>
          <w:noProof/>
        </w:rPr>
        <w:t>a vasúthálózat gazdasági fenntarthatósá</w:t>
      </w:r>
      <w:r>
        <w:rPr>
          <w:noProof/>
        </w:rPr>
        <w:t xml:space="preserve">gának biztosítása; </w:t>
      </w:r>
    </w:p>
    <w:p w14:paraId="40CC3A21" w14:textId="77777777" w:rsidR="003E1D81" w:rsidRDefault="00EB481C">
      <w:pPr>
        <w:pStyle w:val="P68B1DB1-ListParagraph7"/>
        <w:numPr>
          <w:ilvl w:val="0"/>
          <w:numId w:val="173"/>
        </w:numPr>
        <w:spacing w:line="240" w:lineRule="auto"/>
        <w:jc w:val="both"/>
        <w:rPr>
          <w:rFonts w:cs="Times New Roman"/>
          <w:noProof/>
        </w:rPr>
      </w:pPr>
      <w:r>
        <w:rPr>
          <w:noProof/>
        </w:rPr>
        <w:t xml:space="preserve">az erőforrás-hatékonyság előtérbe helyezése a beruházási projektek előzetes és utólagos értékelésével; </w:t>
      </w:r>
    </w:p>
    <w:p w14:paraId="50F30C3F" w14:textId="77777777" w:rsidR="003E1D81" w:rsidRDefault="00EB481C">
      <w:pPr>
        <w:pStyle w:val="P68B1DB1-ListParagraph7"/>
        <w:numPr>
          <w:ilvl w:val="0"/>
          <w:numId w:val="173"/>
        </w:numPr>
        <w:spacing w:line="240" w:lineRule="auto"/>
        <w:jc w:val="both"/>
        <w:rPr>
          <w:rFonts w:cs="Times New Roman"/>
          <w:noProof/>
        </w:rPr>
      </w:pPr>
      <w:r>
        <w:rPr>
          <w:noProof/>
        </w:rPr>
        <w:t xml:space="preserve">a hálózat interoperabilitásának és a hálózat intermodalitásának fokozása, különösen a transzeurópai hálózati folyosókon; </w:t>
      </w:r>
    </w:p>
    <w:p w14:paraId="00A3CD9D" w14:textId="77777777" w:rsidR="003E1D81" w:rsidRDefault="00EB481C">
      <w:pPr>
        <w:pStyle w:val="P68B1DB1-ListParagraph7"/>
        <w:numPr>
          <w:ilvl w:val="0"/>
          <w:numId w:val="173"/>
        </w:numPr>
        <w:spacing w:line="240" w:lineRule="auto"/>
        <w:jc w:val="both"/>
        <w:rPr>
          <w:rFonts w:cs="Times New Roman"/>
          <w:noProof/>
        </w:rPr>
      </w:pPr>
      <w:r>
        <w:rPr>
          <w:noProof/>
        </w:rPr>
        <w:t>a vasúti t</w:t>
      </w:r>
      <w:r>
        <w:rPr>
          <w:noProof/>
        </w:rPr>
        <w:t xml:space="preserve">eherforgalom fellendítése; </w:t>
      </w:r>
    </w:p>
    <w:p w14:paraId="190B71EE" w14:textId="77777777" w:rsidR="003E1D81" w:rsidRDefault="00EB481C">
      <w:pPr>
        <w:pStyle w:val="P68B1DB1-ListParagraph7"/>
        <w:numPr>
          <w:ilvl w:val="0"/>
          <w:numId w:val="173"/>
        </w:numPr>
        <w:spacing w:line="240" w:lineRule="auto"/>
        <w:jc w:val="both"/>
        <w:rPr>
          <w:rFonts w:cs="Times New Roman"/>
          <w:noProof/>
        </w:rPr>
      </w:pPr>
      <w:r>
        <w:rPr>
          <w:noProof/>
        </w:rPr>
        <w:t>a vasúti közlekedés biztonságának fokozása, valamint</w:t>
      </w:r>
    </w:p>
    <w:p w14:paraId="60599542" w14:textId="77777777" w:rsidR="003E1D81" w:rsidRDefault="00EB481C">
      <w:pPr>
        <w:pStyle w:val="P68B1DB1-ListParagraph7"/>
        <w:numPr>
          <w:ilvl w:val="0"/>
          <w:numId w:val="173"/>
        </w:numPr>
        <w:spacing w:line="240" w:lineRule="auto"/>
        <w:jc w:val="both"/>
        <w:rPr>
          <w:rFonts w:cs="Times New Roman"/>
          <w:noProof/>
        </w:rPr>
      </w:pPr>
      <w:r>
        <w:rPr>
          <w:noProof/>
        </w:rPr>
        <w:t>a közlekedés digitalizációjának és az innovációnak az előmozdítása az összekapcsolt mobilitás biztosítása érdekében.</w:t>
      </w:r>
    </w:p>
    <w:p w14:paraId="29CB9B9C" w14:textId="77777777" w:rsidR="003E1D81" w:rsidRDefault="00EB481C">
      <w:pPr>
        <w:pStyle w:val="P68B1DB1-Normal4"/>
        <w:spacing w:line="240" w:lineRule="auto"/>
        <w:jc w:val="both"/>
        <w:rPr>
          <w:rFonts w:cs="Times New Roman"/>
          <w:noProof/>
        </w:rPr>
      </w:pPr>
      <w:r>
        <w:rPr>
          <w:noProof/>
        </w:rPr>
        <w:t>Az intézkedés végrehajtását 2022. december 31-ig be kell f</w:t>
      </w:r>
      <w:r>
        <w:rPr>
          <w:noProof/>
        </w:rPr>
        <w:t>ejezni.</w:t>
      </w:r>
    </w:p>
    <w:p w14:paraId="63DE0F88" w14:textId="17705106" w:rsidR="003E1D81" w:rsidRDefault="00EB481C">
      <w:pPr>
        <w:pStyle w:val="P68B1DB1-Normal6"/>
        <w:spacing w:line="240" w:lineRule="auto"/>
        <w:jc w:val="both"/>
        <w:rPr>
          <w:rFonts w:cs="Times New Roman"/>
          <w:noProof/>
        </w:rPr>
      </w:pPr>
      <w:r>
        <w:rPr>
          <w:noProof/>
        </w:rPr>
        <w:t>Beruházás (C6.I1) – Nemzeti átviteli hálózat: Európai közlekedési folyosók</w:t>
      </w:r>
    </w:p>
    <w:p w14:paraId="36F21E81" w14:textId="77777777" w:rsidR="003E1D81" w:rsidRDefault="00EB481C">
      <w:pPr>
        <w:pStyle w:val="P68B1DB1-Normal4"/>
        <w:spacing w:line="240" w:lineRule="auto"/>
        <w:jc w:val="both"/>
        <w:rPr>
          <w:rFonts w:cs="Times New Roman"/>
          <w:noProof/>
        </w:rPr>
      </w:pPr>
      <w:r>
        <w:rPr>
          <w:noProof/>
        </w:rPr>
        <w:t>Az intézkedés célja új vasúti infrastruktúra kiépítése az európai TEN-T törzshálózati folyosókon, valamint a meglévők korszerűsítése és korszerűsítése.</w:t>
      </w:r>
    </w:p>
    <w:p w14:paraId="5E43C7F3" w14:textId="77777777" w:rsidR="003E1D81" w:rsidRDefault="00EB481C">
      <w:pPr>
        <w:pStyle w:val="P68B1DB1-Normal4"/>
        <w:spacing w:line="240" w:lineRule="auto"/>
        <w:jc w:val="both"/>
        <w:rPr>
          <w:rFonts w:cs="Times New Roman"/>
          <w:noProof/>
        </w:rPr>
      </w:pPr>
      <w:r>
        <w:rPr>
          <w:noProof/>
        </w:rPr>
        <w:t>A beruházás a követke</w:t>
      </w:r>
      <w:r>
        <w:rPr>
          <w:noProof/>
        </w:rPr>
        <w:t xml:space="preserve">ző fő dimenziókra irányuló fellépésekből áll: </w:t>
      </w:r>
    </w:p>
    <w:p w14:paraId="1F40726A" w14:textId="77777777" w:rsidR="003E1D81" w:rsidRDefault="00EB481C">
      <w:pPr>
        <w:pStyle w:val="P68B1DB1-ListParagraph7"/>
        <w:numPr>
          <w:ilvl w:val="0"/>
          <w:numId w:val="174"/>
        </w:numPr>
        <w:spacing w:line="240" w:lineRule="auto"/>
        <w:jc w:val="both"/>
        <w:rPr>
          <w:rFonts w:cs="Times New Roman"/>
          <w:noProof/>
        </w:rPr>
      </w:pPr>
      <w:r>
        <w:rPr>
          <w:noProof/>
        </w:rPr>
        <w:t>Platform: Olyan projektek, amelyek lehetővé teszik a vasúti pályákat támogató infrastruktúra kialakítását, és amelyek gátakat, távolságot, viaduktcsatornákat, alagutakat stb. foglalnak magukban. Ezek főként új</w:t>
      </w:r>
      <w:r>
        <w:rPr>
          <w:noProof/>
        </w:rPr>
        <w:t xml:space="preserve"> infrastruktúra építéséről szólnak;</w:t>
      </w:r>
    </w:p>
    <w:p w14:paraId="2A3A78ED" w14:textId="77777777" w:rsidR="003E1D81" w:rsidRDefault="00EB481C">
      <w:pPr>
        <w:pStyle w:val="P68B1DB1-ListParagraph7"/>
        <w:numPr>
          <w:ilvl w:val="0"/>
          <w:numId w:val="174"/>
        </w:numPr>
        <w:spacing w:line="240" w:lineRule="auto"/>
        <w:jc w:val="both"/>
        <w:rPr>
          <w:rFonts w:cs="Times New Roman"/>
          <w:noProof/>
        </w:rPr>
      </w:pPr>
      <w:r>
        <w:rPr>
          <w:noProof/>
        </w:rPr>
        <w:t>A szolgáltatások helyettesítése: A vasúti munkálatok kivitelezése során érintett meglévő szolgáltatások (fény, öntözés, víz stb.) helyreállítását célzó intézkedések;</w:t>
      </w:r>
    </w:p>
    <w:p w14:paraId="5DEB5229" w14:textId="77777777" w:rsidR="003E1D81" w:rsidRDefault="00EB481C">
      <w:pPr>
        <w:pStyle w:val="P68B1DB1-ListParagraph7"/>
        <w:numPr>
          <w:ilvl w:val="0"/>
          <w:numId w:val="174"/>
        </w:numPr>
        <w:spacing w:line="240" w:lineRule="auto"/>
        <w:jc w:val="both"/>
        <w:rPr>
          <w:rFonts w:cs="Times New Roman"/>
          <w:noProof/>
        </w:rPr>
      </w:pPr>
      <w:r>
        <w:rPr>
          <w:noProof/>
        </w:rPr>
        <w:t xml:space="preserve">Vágányok: Az új vasúti szakaszokon a vágányanyagok </w:t>
      </w:r>
      <w:r>
        <w:rPr>
          <w:noProof/>
        </w:rPr>
        <w:t>(ágyazat, aljak, sín, váltók és expanziós eszközök) összeszerelésére és szállítására, valamint a meglévő vágányok felújítására irányuló intézkedések;</w:t>
      </w:r>
    </w:p>
    <w:p w14:paraId="5D9AC05F" w14:textId="77777777" w:rsidR="003E1D81" w:rsidRDefault="00EB481C">
      <w:pPr>
        <w:pStyle w:val="P68B1DB1-ListParagraph7"/>
        <w:numPr>
          <w:ilvl w:val="0"/>
          <w:numId w:val="174"/>
        </w:numPr>
        <w:spacing w:line="240" w:lineRule="auto"/>
        <w:jc w:val="both"/>
        <w:rPr>
          <w:rFonts w:cs="Times New Roman"/>
          <w:noProof/>
        </w:rPr>
      </w:pPr>
      <w:r>
        <w:rPr>
          <w:noProof/>
        </w:rPr>
        <w:t>Villamos energia: A vonalak villamosítását célzó intézkedések, beleértve a következőket: felsővezeték, von</w:t>
      </w:r>
      <w:r>
        <w:rPr>
          <w:noProof/>
        </w:rPr>
        <w:t>tatási alállomások, átalakítási központok, távvezérlő, nagyfeszültségű elektromos vezetékek;</w:t>
      </w:r>
    </w:p>
    <w:p w14:paraId="124CBBCC" w14:textId="77777777" w:rsidR="003E1D81" w:rsidRDefault="00EB481C">
      <w:pPr>
        <w:pStyle w:val="P68B1DB1-ListParagraph7"/>
        <w:numPr>
          <w:ilvl w:val="0"/>
          <w:numId w:val="174"/>
        </w:numPr>
        <w:spacing w:line="240" w:lineRule="auto"/>
        <w:jc w:val="both"/>
        <w:rPr>
          <w:rFonts w:cs="Times New Roman"/>
          <w:noProof/>
        </w:rPr>
      </w:pPr>
      <w:r>
        <w:rPr>
          <w:noProof/>
        </w:rPr>
        <w:t>Forgalomjelzés és -irányítás: Új jelző- és forgalomirányítási rendszerek megvalósítására irányuló projektek;</w:t>
      </w:r>
    </w:p>
    <w:p w14:paraId="5CD85DA3" w14:textId="77777777" w:rsidR="003E1D81" w:rsidRDefault="00EB481C">
      <w:pPr>
        <w:pStyle w:val="P68B1DB1-ListParagraph7"/>
        <w:numPr>
          <w:ilvl w:val="0"/>
          <w:numId w:val="174"/>
        </w:numPr>
        <w:spacing w:line="240" w:lineRule="auto"/>
        <w:jc w:val="both"/>
        <w:rPr>
          <w:rFonts w:cs="Times New Roman"/>
          <w:noProof/>
        </w:rPr>
      </w:pPr>
      <w:r>
        <w:rPr>
          <w:noProof/>
        </w:rPr>
        <w:t>Távközlés: A vezetékes és mobil távközléssel kapcsolat</w:t>
      </w:r>
      <w:r>
        <w:rPr>
          <w:noProof/>
        </w:rPr>
        <w:t>os projektek a vasútvonalakon.</w:t>
      </w:r>
    </w:p>
    <w:p w14:paraId="661B790D" w14:textId="77777777" w:rsidR="003E1D81" w:rsidRDefault="00EB481C">
      <w:pPr>
        <w:pStyle w:val="P68B1DB1-ListParagraph7"/>
        <w:numPr>
          <w:ilvl w:val="0"/>
          <w:numId w:val="174"/>
        </w:numPr>
        <w:spacing w:line="240" w:lineRule="auto"/>
        <w:jc w:val="both"/>
        <w:rPr>
          <w:rFonts w:cs="Times New Roman"/>
          <w:noProof/>
        </w:rPr>
      </w:pPr>
      <w:r>
        <w:rPr>
          <w:noProof/>
        </w:rPr>
        <w:t>Állomások: Meglévő állomások korszerűsítése és felújítása, valamint új állomások építése.</w:t>
      </w:r>
    </w:p>
    <w:p w14:paraId="5A851514" w14:textId="77777777" w:rsidR="003E1D81" w:rsidRDefault="00EB481C">
      <w:pPr>
        <w:pStyle w:val="P68B1DB1-Normal4"/>
        <w:spacing w:line="240" w:lineRule="auto"/>
        <w:jc w:val="both"/>
        <w:rPr>
          <w:rFonts w:cs="Times New Roman"/>
          <w:noProof/>
        </w:rPr>
      </w:pPr>
      <w:r>
        <w:rPr>
          <w:noProof/>
        </w:rPr>
        <w:t>A munkálatokat legalább 1400 kilométernyi, az Atlanti-óceán és a Földközi-tenger folyosóján található hálózaton kell befejezni, beleért</w:t>
      </w:r>
      <w:r>
        <w:rPr>
          <w:noProof/>
        </w:rPr>
        <w:t xml:space="preserve">ve a meglévő szakaszok fejlesztésére irányuló intézkedéseket és az új szakaszok építését célzó beruházásokat is. </w:t>
      </w:r>
    </w:p>
    <w:p w14:paraId="1EFEFCA5" w14:textId="77777777" w:rsidR="003E1D81" w:rsidRDefault="00EB481C">
      <w:pPr>
        <w:pStyle w:val="P68B1DB1-Normal4"/>
        <w:spacing w:line="240" w:lineRule="auto"/>
        <w:jc w:val="both"/>
        <w:rPr>
          <w:rFonts w:cs="Times New Roman"/>
          <w:noProof/>
        </w:rPr>
      </w:pPr>
      <w:r>
        <w:rPr>
          <w:noProof/>
        </w:rPr>
        <w:t>A beruházás végrehajtását 2026. június 30-ig be kell fejezni.</w:t>
      </w:r>
    </w:p>
    <w:p w14:paraId="568CF66A" w14:textId="77777777" w:rsidR="003E1D81" w:rsidRDefault="00EB481C">
      <w:pPr>
        <w:pStyle w:val="P68B1DB1-Normal6"/>
        <w:spacing w:line="240" w:lineRule="auto"/>
        <w:jc w:val="both"/>
        <w:rPr>
          <w:rFonts w:cs="Times New Roman"/>
          <w:noProof/>
        </w:rPr>
      </w:pPr>
      <w:r>
        <w:rPr>
          <w:noProof/>
        </w:rPr>
        <w:t>Beruházás (C6.I2) – Transzeurópai közlekedési hálózat program, egyéb munkák</w:t>
      </w:r>
    </w:p>
    <w:p w14:paraId="653154FC" w14:textId="77777777" w:rsidR="003E1D81" w:rsidRDefault="00EB481C">
      <w:pPr>
        <w:pStyle w:val="P68B1DB1-Normal4"/>
        <w:spacing w:before="60" w:afterLines="60" w:after="144" w:line="240" w:lineRule="auto"/>
        <w:jc w:val="both"/>
        <w:rPr>
          <w:rFonts w:cs="Times New Roman"/>
          <w:noProof/>
        </w:rPr>
      </w:pPr>
      <w:r>
        <w:rPr>
          <w:noProof/>
        </w:rPr>
        <w:t>Az i</w:t>
      </w:r>
      <w:r>
        <w:rPr>
          <w:noProof/>
        </w:rPr>
        <w:t xml:space="preserve">ntézkedés célja az összes közlekedési módra (vasúti, közúti, légi) kiterjedő nemzeti közlekedési hálózat fejlesztése annak érdekében, hogy az megbízhatóbbá, fenntarthatóbbá, biztonságosabbá és reziliensebbé váljon. </w:t>
      </w:r>
    </w:p>
    <w:p w14:paraId="5DA01CD6" w14:textId="77777777" w:rsidR="003E1D81" w:rsidRDefault="00EB481C">
      <w:pPr>
        <w:pStyle w:val="P68B1DB1-Normal4"/>
        <w:spacing w:before="60" w:afterLines="60" w:after="144" w:line="240" w:lineRule="auto"/>
        <w:jc w:val="both"/>
        <w:rPr>
          <w:rFonts w:cs="Times New Roman"/>
          <w:noProof/>
        </w:rPr>
      </w:pPr>
      <w:r>
        <w:rPr>
          <w:noProof/>
        </w:rPr>
        <w:t xml:space="preserve">A beruházás a következő intézkedésekből </w:t>
      </w:r>
      <w:r>
        <w:rPr>
          <w:noProof/>
        </w:rPr>
        <w:t>áll:</w:t>
      </w:r>
    </w:p>
    <w:p w14:paraId="4DEB9CC4" w14:textId="77777777" w:rsidR="003E1D81" w:rsidRDefault="00EB481C">
      <w:pPr>
        <w:pStyle w:val="P68B1DB1-ListParagraph7"/>
        <w:numPr>
          <w:ilvl w:val="0"/>
          <w:numId w:val="177"/>
        </w:numPr>
        <w:spacing w:before="60" w:afterLines="60" w:after="144" w:line="240" w:lineRule="auto"/>
        <w:ind w:left="993" w:hanging="284"/>
        <w:jc w:val="both"/>
        <w:rPr>
          <w:rFonts w:cs="Times New Roman"/>
          <w:noProof/>
        </w:rPr>
      </w:pPr>
      <w:r>
        <w:rPr>
          <w:noProof/>
        </w:rPr>
        <w:t>A vasúthálózat korszerűsítése a TEN-T törzshálózathoz képest, legalább 900 kilométeres munkálatokkal;</w:t>
      </w:r>
    </w:p>
    <w:p w14:paraId="78BD8813" w14:textId="77777777" w:rsidR="003E1D81" w:rsidRDefault="00EB481C">
      <w:pPr>
        <w:pStyle w:val="P68B1DB1-ListParagraph7"/>
        <w:numPr>
          <w:ilvl w:val="0"/>
          <w:numId w:val="177"/>
        </w:numPr>
        <w:spacing w:before="60" w:afterLines="60" w:after="144" w:line="240" w:lineRule="auto"/>
        <w:ind w:left="993" w:hanging="284"/>
        <w:jc w:val="both"/>
        <w:rPr>
          <w:rFonts w:cs="Times New Roman"/>
          <w:noProof/>
        </w:rPr>
      </w:pPr>
      <w:r>
        <w:rPr>
          <w:noProof/>
        </w:rPr>
        <w:t>Az úthálózat biztonságosabbá tétele a nemzeti és európai szabályozással összhangban.</w:t>
      </w:r>
    </w:p>
    <w:p w14:paraId="20F4A635" w14:textId="77777777" w:rsidR="003E1D81" w:rsidRDefault="00EB481C">
      <w:pPr>
        <w:pStyle w:val="P68B1DB1-ListParagraph7"/>
        <w:numPr>
          <w:ilvl w:val="0"/>
          <w:numId w:val="177"/>
        </w:numPr>
        <w:spacing w:before="60" w:afterLines="60" w:after="144" w:line="240" w:lineRule="auto"/>
        <w:ind w:left="993" w:hanging="284"/>
        <w:jc w:val="both"/>
        <w:rPr>
          <w:rFonts w:cs="Times New Roman"/>
          <w:noProof/>
        </w:rPr>
      </w:pPr>
      <w:r>
        <w:rPr>
          <w:noProof/>
        </w:rPr>
        <w:t>Az egységes európai égbolt fejlesztésének előmozdítása (20 proje</w:t>
      </w:r>
      <w:r>
        <w:rPr>
          <w:noProof/>
        </w:rPr>
        <w:t xml:space="preserve">kt); </w:t>
      </w:r>
    </w:p>
    <w:p w14:paraId="30B597CF" w14:textId="77777777" w:rsidR="003E1D81" w:rsidRDefault="00EB481C">
      <w:pPr>
        <w:pStyle w:val="P68B1DB1-ListParagraph7"/>
        <w:numPr>
          <w:ilvl w:val="0"/>
          <w:numId w:val="177"/>
        </w:numPr>
        <w:spacing w:before="60" w:afterLines="60" w:after="144" w:line="240" w:lineRule="auto"/>
        <w:ind w:left="993" w:hanging="284"/>
        <w:jc w:val="both"/>
        <w:rPr>
          <w:rFonts w:cs="Times New Roman"/>
          <w:noProof/>
        </w:rPr>
      </w:pPr>
      <w:r>
        <w:rPr>
          <w:noProof/>
        </w:rPr>
        <w:t xml:space="preserve">A Közlekedési, Mobilitáspolitikai és Városfejlesztési Minisztérium digitális átalakulásának támogatása. </w:t>
      </w:r>
    </w:p>
    <w:p w14:paraId="3D6D2685" w14:textId="217DA4E1" w:rsidR="003E1D81" w:rsidRDefault="00EB481C">
      <w:pPr>
        <w:pStyle w:val="P68B1DB1-Normal4"/>
        <w:spacing w:before="60" w:afterLines="60" w:after="144" w:line="240" w:lineRule="auto"/>
        <w:jc w:val="both"/>
        <w:rPr>
          <w:rFonts w:cs="Times New Roman"/>
          <w:noProof/>
        </w:rPr>
      </w:pPr>
      <w:r>
        <w:rPr>
          <w:noProof/>
        </w:rPr>
        <w:t>A kiválasztási kritériumoknak biztosítaniuk kell, hogy a Helyreállítási és Rezilienciaépítési Eszközről szóló (EU) 2021/241 rendelet VI. mellékle</w:t>
      </w:r>
      <w:r>
        <w:rPr>
          <w:noProof/>
        </w:rPr>
        <w:t>tével összhangban legalább 1 010 000 000 EUR 100%-os éghajlati együtthatóval és legalább 301 000 000 EUR-val és legalább 40%-os éghajlati együtthatóval járuljanak hozzá az éghajlatváltozással kapcsolatos célkitűzésekhez.</w:t>
      </w:r>
    </w:p>
    <w:p w14:paraId="4168DB18" w14:textId="77777777" w:rsidR="003E1D81" w:rsidRDefault="00EB481C">
      <w:pPr>
        <w:pStyle w:val="P68B1DB1-Normal4"/>
        <w:spacing w:before="60" w:afterLines="60" w:after="144" w:line="240" w:lineRule="auto"/>
        <w:jc w:val="both"/>
        <w:rPr>
          <w:rFonts w:cs="Times New Roman"/>
          <w:noProof/>
        </w:rPr>
      </w:pPr>
      <w:r>
        <w:rPr>
          <w:noProof/>
        </w:rPr>
        <w:t>A beruházás végrehajtását 2026. jún</w:t>
      </w:r>
      <w:r>
        <w:rPr>
          <w:noProof/>
        </w:rPr>
        <w:t>ius 30-ig be kell fejezni.</w:t>
      </w:r>
    </w:p>
    <w:p w14:paraId="43EE3CA8" w14:textId="77777777" w:rsidR="003E1D81" w:rsidRDefault="00EB481C">
      <w:pPr>
        <w:pStyle w:val="P68B1DB1-Normal6"/>
        <w:spacing w:line="240" w:lineRule="auto"/>
        <w:jc w:val="both"/>
        <w:rPr>
          <w:rFonts w:cs="Times New Roman"/>
          <w:noProof/>
        </w:rPr>
      </w:pPr>
      <w:r>
        <w:rPr>
          <w:noProof/>
        </w:rPr>
        <w:t>Beruházás (C6.I3) – Intermodalitás és logisztika</w:t>
      </w:r>
    </w:p>
    <w:p w14:paraId="0960D80B" w14:textId="77777777" w:rsidR="003E1D81" w:rsidRDefault="00EB481C">
      <w:pPr>
        <w:pStyle w:val="P68B1DB1-Normal4"/>
        <w:spacing w:line="240" w:lineRule="auto"/>
        <w:jc w:val="both"/>
        <w:rPr>
          <w:rFonts w:cs="Times New Roman"/>
          <w:noProof/>
        </w:rPr>
      </w:pPr>
      <w:r>
        <w:rPr>
          <w:noProof/>
        </w:rPr>
        <w:t>Az intézkedés célja az intelligens intermodális logisztikai láncokra vonatkozó biztonságos, fenntartható és összekapcsolt mobilitási stratégia (R1) 6. tengelyének végrehajtása.</w:t>
      </w:r>
    </w:p>
    <w:p w14:paraId="39D659E0" w14:textId="77777777" w:rsidR="003E1D81" w:rsidRDefault="00EB481C">
      <w:pPr>
        <w:pStyle w:val="P68B1DB1-Normal4"/>
        <w:spacing w:line="240" w:lineRule="auto"/>
        <w:jc w:val="both"/>
        <w:rPr>
          <w:rFonts w:cs="Times New Roman"/>
          <w:noProof/>
        </w:rPr>
      </w:pPr>
      <w:r>
        <w:rPr>
          <w:noProof/>
        </w:rPr>
        <w:t>A b</w:t>
      </w:r>
      <w:r>
        <w:rPr>
          <w:noProof/>
        </w:rPr>
        <w:t xml:space="preserve">eruházás három cselekvési irányvonalból áll: </w:t>
      </w:r>
    </w:p>
    <w:p w14:paraId="10D30F47" w14:textId="77777777" w:rsidR="003E1D81" w:rsidRDefault="00EB481C">
      <w:pPr>
        <w:pStyle w:val="P68B1DB1-ListParagraph7"/>
        <w:numPr>
          <w:ilvl w:val="0"/>
          <w:numId w:val="176"/>
        </w:numPr>
        <w:spacing w:line="240" w:lineRule="auto"/>
        <w:ind w:left="993" w:hanging="284"/>
        <w:jc w:val="both"/>
        <w:rPr>
          <w:rFonts w:cs="Times New Roman"/>
          <w:noProof/>
        </w:rPr>
      </w:pPr>
      <w:r>
        <w:rPr>
          <w:noProof/>
        </w:rPr>
        <w:t>kilenc stratégiai intermodális és logisztikai terminál fejlesztése vagy korszerűsítése egyes esetekben az intermodális termináloknak a logisztikai területtel való integrálása, valamint minden esetben az árufuvarozás közútról vasútra való átterelésének öszt</w:t>
      </w:r>
      <w:r>
        <w:rPr>
          <w:noProof/>
        </w:rPr>
        <w:t xml:space="preserve">önzése érdekében; </w:t>
      </w:r>
    </w:p>
    <w:p w14:paraId="5262CC62" w14:textId="77777777" w:rsidR="003E1D81" w:rsidRDefault="00EB481C">
      <w:pPr>
        <w:pStyle w:val="P68B1DB1-ListParagraph7"/>
        <w:numPr>
          <w:ilvl w:val="0"/>
          <w:numId w:val="176"/>
        </w:numPr>
        <w:spacing w:line="240" w:lineRule="auto"/>
        <w:ind w:left="993" w:hanging="284"/>
        <w:jc w:val="both"/>
        <w:rPr>
          <w:rFonts w:cs="Times New Roman"/>
          <w:noProof/>
        </w:rPr>
      </w:pPr>
      <w:r>
        <w:rPr>
          <w:noProof/>
        </w:rPr>
        <w:t xml:space="preserve">a spanyol kikötők vasúti és közúti megközelíthetőségének javítása a vasúti árufuvarozás fellendítése érdekében, a kikötőknek a vasúttal (2 kikötő) és a közúti hálózattal (egy kikötő) való összekapcsolásának javításával; </w:t>
      </w:r>
    </w:p>
    <w:p w14:paraId="183C0C7A" w14:textId="77777777" w:rsidR="003E1D81" w:rsidRDefault="00EB481C">
      <w:pPr>
        <w:pStyle w:val="P68B1DB1-ListParagraph7"/>
        <w:numPr>
          <w:ilvl w:val="0"/>
          <w:numId w:val="176"/>
        </w:numPr>
        <w:spacing w:line="240" w:lineRule="auto"/>
        <w:ind w:left="993" w:hanging="284"/>
        <w:jc w:val="both"/>
        <w:rPr>
          <w:rFonts w:cs="Times New Roman"/>
          <w:noProof/>
        </w:rPr>
      </w:pPr>
      <w:r>
        <w:rPr>
          <w:noProof/>
        </w:rPr>
        <w:t>jobb megközelíth</w:t>
      </w:r>
      <w:r>
        <w:rPr>
          <w:noProof/>
        </w:rPr>
        <w:t>etőség (19 projekt) és fenntarthatóság a kikötőkben (25 kikötői hatóság projektjei).</w:t>
      </w:r>
    </w:p>
    <w:p w14:paraId="13AF8CCF" w14:textId="3CFB05EA" w:rsidR="003E1D81" w:rsidRDefault="00EB481C">
      <w:pPr>
        <w:pStyle w:val="P68B1DB1-Normal4"/>
        <w:spacing w:line="240" w:lineRule="auto"/>
        <w:jc w:val="both"/>
        <w:rPr>
          <w:rFonts w:cs="Times New Roman"/>
          <w:noProof/>
        </w:rPr>
      </w:pPr>
      <w:r>
        <w:rPr>
          <w:noProof/>
        </w:rPr>
        <w:t>A kiválasztási kritériumoknak biztosítaniuk kell, hogy a Helyreállítási és Rezilienciaépítési Eszközről szóló (EU) 2021/241 rendelet VI. mellékletével összhangban legalább</w:t>
      </w:r>
      <w:r>
        <w:rPr>
          <w:noProof/>
        </w:rPr>
        <w:t xml:space="preserve"> 584 000 000 EUR 100%-os éghajlati együtthatóval és legalább 217 000 000 EUR-val és legalább 40%-os éghajlati együtthatóval járuljanak hozzá az éghajlatváltozással kapcsolatos célkitűzésekhez.</w:t>
      </w:r>
    </w:p>
    <w:p w14:paraId="38AB270D" w14:textId="77777777" w:rsidR="003E1D81" w:rsidRDefault="00EB481C">
      <w:pPr>
        <w:pStyle w:val="P68B1DB1-Normal4"/>
        <w:spacing w:line="240" w:lineRule="auto"/>
        <w:jc w:val="both"/>
        <w:rPr>
          <w:rFonts w:cs="Times New Roman"/>
          <w:noProof/>
        </w:rPr>
      </w:pPr>
      <w:r>
        <w:rPr>
          <w:noProof/>
        </w:rPr>
        <w:t>A beruházás végrehajtását 2026. június 30-ig be kell fejezni.</w:t>
      </w:r>
    </w:p>
    <w:p w14:paraId="4FC3640E" w14:textId="77777777" w:rsidR="003E1D81" w:rsidRDefault="00EB481C">
      <w:pPr>
        <w:pStyle w:val="P68B1DB1-Normal6"/>
        <w:spacing w:line="240" w:lineRule="auto"/>
        <w:jc w:val="both"/>
        <w:rPr>
          <w:rFonts w:cs="Times New Roman"/>
          <w:noProof/>
        </w:rPr>
      </w:pPr>
      <w:r>
        <w:rPr>
          <w:noProof/>
        </w:rPr>
        <w:t>B</w:t>
      </w:r>
      <w:r>
        <w:rPr>
          <w:noProof/>
        </w:rPr>
        <w:t>eruházás (C6.I4) – A fenntartható és digitális közlekedést támogató program</w:t>
      </w:r>
    </w:p>
    <w:p w14:paraId="7847248B" w14:textId="77777777" w:rsidR="003E1D81" w:rsidRDefault="00EB481C">
      <w:pPr>
        <w:pStyle w:val="P68B1DB1-Normal4"/>
        <w:spacing w:line="240" w:lineRule="auto"/>
        <w:jc w:val="both"/>
        <w:rPr>
          <w:rFonts w:cs="Times New Roman"/>
          <w:noProof/>
        </w:rPr>
      </w:pPr>
      <w:r>
        <w:rPr>
          <w:noProof/>
        </w:rPr>
        <w:t xml:space="preserve">Az intézkedés célja a közlekedési rendszer hatékonyságának javítása az ágazatban alkalmazott új technológiák digitalizálása és bevezetése, valamint a legfenntarthatóbb közlekedési </w:t>
      </w:r>
      <w:r>
        <w:rPr>
          <w:noProof/>
        </w:rPr>
        <w:t>eszközök, különösen a vasút támogatása révén. Ez a beruházás összhangban van az Európai Hálózatfinanszírozási Eszköz (CEF) munkaprogramjának kezdeményezéseivel, és a transzeurópai közlekedési hálózat fejlesztésére szólít fel.</w:t>
      </w:r>
    </w:p>
    <w:p w14:paraId="472FA319" w14:textId="77777777" w:rsidR="003E1D81" w:rsidRDefault="00EB481C">
      <w:pPr>
        <w:pStyle w:val="P68B1DB1-Normal4"/>
        <w:spacing w:line="240" w:lineRule="auto"/>
        <w:jc w:val="both"/>
        <w:rPr>
          <w:rFonts w:cs="Times New Roman"/>
          <w:noProof/>
        </w:rPr>
      </w:pPr>
      <w:r>
        <w:rPr>
          <w:noProof/>
        </w:rPr>
        <w:t>A beruházás 15 intézkedéscsoma</w:t>
      </w:r>
      <w:r>
        <w:rPr>
          <w:noProof/>
        </w:rPr>
        <w:t>gból áll a következő területeken:</w:t>
      </w:r>
    </w:p>
    <w:p w14:paraId="30FC8C22" w14:textId="77777777" w:rsidR="003E1D81" w:rsidRDefault="00EB481C">
      <w:pPr>
        <w:pStyle w:val="P68B1DB1-Normal18"/>
        <w:spacing w:line="240" w:lineRule="auto"/>
        <w:ind w:firstLine="709"/>
        <w:jc w:val="both"/>
        <w:rPr>
          <w:rFonts w:cs="Times New Roman"/>
          <w:noProof/>
        </w:rPr>
      </w:pPr>
      <w:r>
        <w:rPr>
          <w:noProof/>
        </w:rPr>
        <w:t xml:space="preserve">Cselekvési irányvonal Kölcsönös átjárhatóság a vasúti árufuvarozásban </w:t>
      </w:r>
    </w:p>
    <w:p w14:paraId="26BB990F" w14:textId="77777777" w:rsidR="003E1D81" w:rsidRDefault="00EB481C">
      <w:pPr>
        <w:pStyle w:val="P68B1DB1-Normal4"/>
        <w:spacing w:line="240" w:lineRule="auto"/>
        <w:ind w:left="709"/>
        <w:jc w:val="both"/>
        <w:rPr>
          <w:rFonts w:cs="Times New Roman"/>
          <w:noProof/>
        </w:rPr>
      </w:pPr>
      <w:r>
        <w:rPr>
          <w:noProof/>
        </w:rPr>
        <w:t xml:space="preserve">1. Fedélzeti európai vasúti forgalomirányítási rendszerek (ERTMS); </w:t>
      </w:r>
    </w:p>
    <w:p w14:paraId="3B85F9B0" w14:textId="77777777" w:rsidR="003E1D81" w:rsidRDefault="00EB481C">
      <w:pPr>
        <w:pStyle w:val="P68B1DB1-Normal4"/>
        <w:spacing w:line="240" w:lineRule="auto"/>
        <w:ind w:left="709"/>
        <w:jc w:val="both"/>
        <w:rPr>
          <w:rFonts w:cs="Times New Roman"/>
          <w:noProof/>
        </w:rPr>
      </w:pPr>
      <w:r>
        <w:rPr>
          <w:noProof/>
        </w:rPr>
        <w:t>2. A vasúti átjárhatóság akadályainak felszámolását célzó intézkedések;</w:t>
      </w:r>
    </w:p>
    <w:p w14:paraId="5DE276B0" w14:textId="77777777" w:rsidR="003E1D81" w:rsidRDefault="00EB481C">
      <w:pPr>
        <w:pStyle w:val="P68B1DB1-Normal4"/>
        <w:spacing w:line="240" w:lineRule="auto"/>
        <w:ind w:left="709"/>
        <w:jc w:val="both"/>
        <w:rPr>
          <w:rFonts w:cs="Times New Roman"/>
          <w:noProof/>
        </w:rPr>
      </w:pPr>
      <w:r>
        <w:rPr>
          <w:noProof/>
        </w:rPr>
        <w:t>3. A változ</w:t>
      </w:r>
      <w:r>
        <w:rPr>
          <w:noProof/>
        </w:rPr>
        <w:t>tatható nyomtáv tengelyének innovációja és fejlesztése a mozdonyokban;</w:t>
      </w:r>
    </w:p>
    <w:p w14:paraId="1FBCE622" w14:textId="77777777" w:rsidR="003E1D81" w:rsidRDefault="00EB481C">
      <w:pPr>
        <w:pStyle w:val="P68B1DB1-Normal18"/>
        <w:spacing w:line="240" w:lineRule="auto"/>
        <w:ind w:firstLine="709"/>
        <w:jc w:val="both"/>
        <w:rPr>
          <w:rFonts w:cs="Times New Roman"/>
          <w:noProof/>
        </w:rPr>
      </w:pPr>
      <w:r>
        <w:rPr>
          <w:noProof/>
        </w:rPr>
        <w:t xml:space="preserve">Cselekvési irányvonal A közlekedés intermodalitásának előmozdítása </w:t>
      </w:r>
    </w:p>
    <w:p w14:paraId="3C87EE9B" w14:textId="77777777" w:rsidR="003E1D81" w:rsidRDefault="00EB481C">
      <w:pPr>
        <w:pStyle w:val="P68B1DB1-Normal4"/>
        <w:spacing w:line="240" w:lineRule="auto"/>
        <w:ind w:left="709"/>
        <w:jc w:val="both"/>
        <w:rPr>
          <w:rFonts w:cs="Times New Roman"/>
          <w:noProof/>
        </w:rPr>
      </w:pPr>
      <w:r>
        <w:rPr>
          <w:noProof/>
        </w:rPr>
        <w:t>4. Rakományok és intermodális vasúti-közúti terminálok és szárazföldi összeköttetéseik építése, átalakítása vagy kors</w:t>
      </w:r>
      <w:r>
        <w:rPr>
          <w:noProof/>
        </w:rPr>
        <w:t>zerűsítése;</w:t>
      </w:r>
    </w:p>
    <w:p w14:paraId="272A7D53" w14:textId="77777777" w:rsidR="003E1D81" w:rsidRDefault="00EB481C">
      <w:pPr>
        <w:pStyle w:val="P68B1DB1-Normal4"/>
        <w:spacing w:line="240" w:lineRule="auto"/>
        <w:ind w:left="709"/>
        <w:jc w:val="both"/>
        <w:rPr>
          <w:rFonts w:cs="Times New Roman"/>
          <w:noProof/>
        </w:rPr>
      </w:pPr>
      <w:r>
        <w:rPr>
          <w:noProof/>
        </w:rPr>
        <w:t>5. A fenntartható (vasúti és tengeri) árufuvarozás támogatása a kínálatra és a keresletre vonatkozó ECO-INCENTIVES alapján;</w:t>
      </w:r>
    </w:p>
    <w:p w14:paraId="643CEABC" w14:textId="77777777" w:rsidR="003E1D81" w:rsidRDefault="00EB481C">
      <w:pPr>
        <w:pStyle w:val="P68B1DB1-Normal18"/>
        <w:spacing w:line="240" w:lineRule="auto"/>
        <w:ind w:firstLine="709"/>
        <w:jc w:val="both"/>
        <w:rPr>
          <w:rFonts w:cs="Times New Roman"/>
          <w:noProof/>
        </w:rPr>
      </w:pPr>
      <w:r>
        <w:rPr>
          <w:noProof/>
        </w:rPr>
        <w:t>Cselekvési irányvonal A vasúti áruszállítási berendezések korszerűsítése</w:t>
      </w:r>
    </w:p>
    <w:p w14:paraId="170E29B3" w14:textId="77777777" w:rsidR="003E1D81" w:rsidRDefault="00EB481C">
      <w:pPr>
        <w:pStyle w:val="P68B1DB1-Normal4"/>
        <w:spacing w:line="240" w:lineRule="auto"/>
        <w:ind w:left="709"/>
        <w:jc w:val="both"/>
        <w:rPr>
          <w:rFonts w:cs="Times New Roman"/>
          <w:noProof/>
        </w:rPr>
      </w:pPr>
      <w:r>
        <w:rPr>
          <w:noProof/>
        </w:rPr>
        <w:t>6. A vasúti árufuvarozás céljára szolgáló vagon</w:t>
      </w:r>
      <w:r>
        <w:rPr>
          <w:noProof/>
        </w:rPr>
        <w:t>ok felújítását vagy korszerűsítését támogató intézkedések, beleértve a vasúti gyorsforgalmi szolgáltatások létrehozását is;</w:t>
      </w:r>
    </w:p>
    <w:p w14:paraId="38774CFD" w14:textId="77777777" w:rsidR="003E1D81" w:rsidRDefault="00EB481C">
      <w:pPr>
        <w:pStyle w:val="P68B1DB1-Normal4"/>
        <w:spacing w:line="240" w:lineRule="auto"/>
        <w:ind w:left="709"/>
        <w:jc w:val="both"/>
        <w:rPr>
          <w:rFonts w:cs="Times New Roman"/>
          <w:noProof/>
        </w:rPr>
      </w:pPr>
      <w:r>
        <w:rPr>
          <w:noProof/>
        </w:rPr>
        <w:t>7. A vasúti berendezések más, hidrogénként vagy villamos energiaként alternatív üzemanyagot használó anyagokkal történő felújításána</w:t>
      </w:r>
      <w:r>
        <w:rPr>
          <w:noProof/>
        </w:rPr>
        <w:t>k vagy átalakításának támogatására irányuló intézkedések;</w:t>
      </w:r>
    </w:p>
    <w:p w14:paraId="4B288179" w14:textId="77777777" w:rsidR="003E1D81" w:rsidRDefault="00EB481C">
      <w:pPr>
        <w:pStyle w:val="P68B1DB1-Normal18"/>
        <w:spacing w:line="240" w:lineRule="auto"/>
        <w:ind w:firstLine="709"/>
        <w:jc w:val="both"/>
        <w:rPr>
          <w:rFonts w:cs="Times New Roman"/>
          <w:noProof/>
        </w:rPr>
      </w:pPr>
      <w:r>
        <w:rPr>
          <w:noProof/>
        </w:rPr>
        <w:t>Cselekvési irányvonal Biztonságos, fenntartható és összekapcsolt közúti közlekedés</w:t>
      </w:r>
    </w:p>
    <w:p w14:paraId="5BFDD935" w14:textId="77777777" w:rsidR="003E1D81" w:rsidRDefault="00EB481C">
      <w:pPr>
        <w:pStyle w:val="P68B1DB1-Normal4"/>
        <w:spacing w:line="240" w:lineRule="auto"/>
        <w:ind w:left="709"/>
        <w:jc w:val="both"/>
        <w:rPr>
          <w:rFonts w:cs="Times New Roman"/>
          <w:noProof/>
        </w:rPr>
      </w:pPr>
      <w:r>
        <w:rPr>
          <w:noProof/>
        </w:rPr>
        <w:t>8. A haszongépjárművek számára biztonságos parkolóhelyek építése és korszerűsítése, valamint információs szolgáltat</w:t>
      </w:r>
      <w:r>
        <w:rPr>
          <w:noProof/>
        </w:rPr>
        <w:t>ások nyújtása;</w:t>
      </w:r>
    </w:p>
    <w:p w14:paraId="1A688CE0" w14:textId="77777777" w:rsidR="003E1D81" w:rsidRDefault="00EB481C">
      <w:pPr>
        <w:pStyle w:val="P68B1DB1-Normal4"/>
        <w:spacing w:line="240" w:lineRule="auto"/>
        <w:ind w:left="709"/>
        <w:jc w:val="both"/>
        <w:rPr>
          <w:rFonts w:cs="Times New Roman"/>
          <w:noProof/>
        </w:rPr>
      </w:pPr>
      <w:r>
        <w:rPr>
          <w:noProof/>
        </w:rPr>
        <w:t>9. Intelligens közlekedési szolgáltatások a közúti ágazatban (ITS) díjköteles autópálya-koncessziókban és egyéb közúti biztonsági és -megőrzési szolgáltatásokban;</w:t>
      </w:r>
    </w:p>
    <w:p w14:paraId="6153E05C" w14:textId="77777777" w:rsidR="003E1D81" w:rsidRDefault="00EB481C">
      <w:pPr>
        <w:pStyle w:val="P68B1DB1-Normal4"/>
        <w:spacing w:line="240" w:lineRule="auto"/>
        <w:ind w:left="709"/>
        <w:jc w:val="both"/>
        <w:rPr>
          <w:rFonts w:cs="Times New Roman"/>
          <w:noProof/>
        </w:rPr>
      </w:pPr>
      <w:r>
        <w:rPr>
          <w:noProof/>
        </w:rPr>
        <w:t>10. A nehézgépjárművek alternatív üzemanyagtöltő infrastruktúrájának az útháló</w:t>
      </w:r>
      <w:r>
        <w:rPr>
          <w:noProof/>
        </w:rPr>
        <w:t xml:space="preserve">zaton történő kiépítését támogató intézkedések. Ezen intézkedés támogathatósági kritériumainak biztosítaniuk kell a jelentős károkozás elkerülését célzó elvről szóló technikai iránymutatásnak (2021/C58/01) való megfelelést azáltal, hogy meghatározza azt a </w:t>
      </w:r>
      <w:r>
        <w:rPr>
          <w:noProof/>
        </w:rPr>
        <w:t>feltételt, amely szerint a gáz-halmazállapotú üzemanyagok átmeneti és elosztási infrastruktúráját az építés idején lehetővé kell tenni a megújuló és alacsony szén-dioxid-kibocsátású gázok szállítására;</w:t>
      </w:r>
    </w:p>
    <w:p w14:paraId="585B0BAC" w14:textId="77777777" w:rsidR="003E1D81" w:rsidRDefault="00EB481C">
      <w:pPr>
        <w:pStyle w:val="P68B1DB1-Normal4"/>
        <w:spacing w:line="240" w:lineRule="auto"/>
        <w:ind w:left="709"/>
        <w:jc w:val="both"/>
        <w:rPr>
          <w:rFonts w:cs="Times New Roman"/>
          <w:noProof/>
        </w:rPr>
      </w:pPr>
      <w:r>
        <w:rPr>
          <w:noProof/>
        </w:rPr>
        <w:t xml:space="preserve">11. A gépek felújítását vagy átalakítását támogató </w:t>
      </w:r>
      <w:r>
        <w:rPr>
          <w:noProof/>
        </w:rPr>
        <w:t>intézkedések a fenntartható útburkolatok, a szénlábnyom csökkentése és a zajcsökkentés érdekében;</w:t>
      </w:r>
    </w:p>
    <w:p w14:paraId="58F57D9D" w14:textId="77777777" w:rsidR="003E1D81" w:rsidRDefault="00EB481C">
      <w:pPr>
        <w:pStyle w:val="P68B1DB1-Normal18"/>
        <w:spacing w:line="240" w:lineRule="auto"/>
        <w:ind w:firstLine="709"/>
        <w:jc w:val="both"/>
        <w:rPr>
          <w:rFonts w:cs="Times New Roman"/>
          <w:noProof/>
        </w:rPr>
      </w:pPr>
      <w:r>
        <w:rPr>
          <w:noProof/>
        </w:rPr>
        <w:t>Cselekvési irányvonal A tengeri és légi közlekedés fenntarthatósága</w:t>
      </w:r>
    </w:p>
    <w:p w14:paraId="5D543C70" w14:textId="77777777" w:rsidR="003E1D81" w:rsidRDefault="00EB481C">
      <w:pPr>
        <w:pStyle w:val="P68B1DB1-Normal4"/>
        <w:spacing w:line="240" w:lineRule="auto"/>
        <w:ind w:left="709"/>
        <w:jc w:val="both"/>
        <w:rPr>
          <w:rFonts w:cs="Times New Roman"/>
          <w:noProof/>
        </w:rPr>
      </w:pPr>
      <w:r>
        <w:rPr>
          <w:noProof/>
        </w:rPr>
        <w:t>12. Az alternatív üzemanyagok kikötőkben és repülőtereken történő bevezetésének támogatása</w:t>
      </w:r>
      <w:r>
        <w:rPr>
          <w:noProof/>
        </w:rPr>
        <w:t xml:space="preserve">. Ezen intézkedés támogathatósági kritériumainak biztosítaniuk kell a jelentős károkozás elkerülését célzó elvről szóló technikai iránymutatásnak (2021/C58/01) való megfelelést azáltal, hogy meghatározza azt a feltételt, amely szerint a gáz-halmazállapotú </w:t>
      </w:r>
      <w:r>
        <w:rPr>
          <w:noProof/>
        </w:rPr>
        <w:t>üzemanyagok átmeneti és elosztási infrastruktúráját az építés idején lehetővé kell tenni a megújuló és alacsony szén-dioxid-kibocsátású gázok szállítására;</w:t>
      </w:r>
    </w:p>
    <w:p w14:paraId="031CE937" w14:textId="77777777" w:rsidR="003E1D81" w:rsidRDefault="00EB481C">
      <w:pPr>
        <w:pStyle w:val="P68B1DB1-Normal4"/>
        <w:spacing w:line="240" w:lineRule="auto"/>
        <w:ind w:left="709"/>
        <w:jc w:val="both"/>
        <w:rPr>
          <w:rFonts w:cs="Times New Roman"/>
          <w:noProof/>
        </w:rPr>
      </w:pPr>
      <w:r>
        <w:rPr>
          <w:noProof/>
        </w:rPr>
        <w:t>13. Az alternatív energiatechnológiák tengerhasznosítási ágazatban való elterjedésének támogatása;</w:t>
      </w:r>
    </w:p>
    <w:p w14:paraId="164B7123" w14:textId="77777777" w:rsidR="003E1D81" w:rsidRDefault="00EB481C">
      <w:pPr>
        <w:pStyle w:val="P68B1DB1-Normal18"/>
        <w:spacing w:line="240" w:lineRule="auto"/>
        <w:ind w:firstLine="709"/>
        <w:jc w:val="both"/>
        <w:rPr>
          <w:rFonts w:cs="Times New Roman"/>
          <w:noProof/>
        </w:rPr>
      </w:pPr>
      <w:r>
        <w:rPr>
          <w:noProof/>
        </w:rPr>
        <w:t>C</w:t>
      </w:r>
      <w:r>
        <w:rPr>
          <w:noProof/>
        </w:rPr>
        <w:t>selekvési irányvonal. A közlekedés digitalizálása</w:t>
      </w:r>
    </w:p>
    <w:p w14:paraId="144D893F" w14:textId="77777777" w:rsidR="003E1D81" w:rsidRDefault="00EB481C">
      <w:pPr>
        <w:pStyle w:val="P68B1DB1-Normal4"/>
        <w:spacing w:line="240" w:lineRule="auto"/>
        <w:ind w:left="709"/>
        <w:jc w:val="both"/>
        <w:rPr>
          <w:rFonts w:cs="Times New Roman"/>
          <w:noProof/>
        </w:rPr>
      </w:pPr>
      <w:r>
        <w:rPr>
          <w:noProof/>
        </w:rPr>
        <w:t>14. A személy- és áruszállítási szolgáltatások digitalizálására irányuló nemzeti szintű projektek;</w:t>
      </w:r>
    </w:p>
    <w:p w14:paraId="70A9FC9F" w14:textId="77777777" w:rsidR="003E1D81" w:rsidRDefault="00EB481C">
      <w:pPr>
        <w:pStyle w:val="P68B1DB1-Normal18"/>
        <w:spacing w:line="240" w:lineRule="auto"/>
        <w:ind w:firstLine="709"/>
        <w:jc w:val="both"/>
        <w:rPr>
          <w:rFonts w:cs="Times New Roman"/>
          <w:noProof/>
        </w:rPr>
      </w:pPr>
      <w:r>
        <w:rPr>
          <w:noProof/>
        </w:rPr>
        <w:t xml:space="preserve">Átcsoportosítás az autonóm közösségekbe </w:t>
      </w:r>
    </w:p>
    <w:p w14:paraId="55F5DA0E" w14:textId="77777777" w:rsidR="003E1D81" w:rsidRDefault="00EB481C">
      <w:pPr>
        <w:pStyle w:val="P68B1DB1-Normal4"/>
        <w:spacing w:line="240" w:lineRule="auto"/>
        <w:ind w:left="709"/>
        <w:jc w:val="both"/>
        <w:rPr>
          <w:rFonts w:cs="Times New Roman"/>
          <w:noProof/>
        </w:rPr>
      </w:pPr>
      <w:r>
        <w:rPr>
          <w:noProof/>
        </w:rPr>
        <w:t xml:space="preserve">15. A személy- és áruszállítási szolgáltatások digitalizálására </w:t>
      </w:r>
      <w:r>
        <w:rPr>
          <w:noProof/>
        </w:rPr>
        <w:t>irányuló projektek regionális és helyi szinten;</w:t>
      </w:r>
    </w:p>
    <w:p w14:paraId="1151D345" w14:textId="2113D5B2" w:rsidR="003E1D81" w:rsidRDefault="00EB481C">
      <w:pPr>
        <w:pStyle w:val="P68B1DB1-Normal4"/>
        <w:spacing w:line="240" w:lineRule="auto"/>
        <w:jc w:val="both"/>
        <w:rPr>
          <w:rFonts w:cs="Times New Roman"/>
          <w:noProof/>
        </w:rPr>
      </w:pPr>
      <w:r>
        <w:rPr>
          <w:noProof/>
        </w:rPr>
        <w:t>A kiválasztási kritériumoknak biztosítaniuk kell, hogy a Helyreállítási és Rezilienciaépítési Eszközről szóló (EU) 2021/241 rendelet VI. mellékletével összhangban legalább 63 500 000 EUR 100%-os éghajlati egy</w:t>
      </w:r>
      <w:r>
        <w:rPr>
          <w:noProof/>
        </w:rPr>
        <w:t>ütthatóval és legalább 210 000 000 EUR-val és legalább 40%-os éghajlati együtthatóval járuljanak hozzá az éghajlatváltozással kapcsolatos célkitűzésekhez.</w:t>
      </w:r>
    </w:p>
    <w:p w14:paraId="6A97E3B3" w14:textId="77777777" w:rsidR="003E1D81" w:rsidRDefault="00EB481C">
      <w:pPr>
        <w:pStyle w:val="P68B1DB1-Normal4"/>
        <w:spacing w:line="240" w:lineRule="auto"/>
        <w:jc w:val="both"/>
        <w:rPr>
          <w:rFonts w:cs="Times New Roman"/>
          <w:b/>
          <w:noProof/>
          <w:u w:val="single"/>
        </w:rPr>
      </w:pPr>
      <w:r>
        <w:rPr>
          <w:noProof/>
        </w:rPr>
        <w:t>A beruházás végrehajtását 2026. június 30-ig be kell fejezni.</w:t>
      </w:r>
    </w:p>
    <w:p w14:paraId="58835673" w14:textId="77777777" w:rsidR="003E1D81" w:rsidRDefault="00EB481C">
      <w:pPr>
        <w:pStyle w:val="P68B1DB1-Normal5"/>
        <w:spacing w:before="120" w:after="120" w:line="240" w:lineRule="auto"/>
        <w:ind w:left="709"/>
        <w:jc w:val="both"/>
        <w:rPr>
          <w:rFonts w:cs="Times New Roman"/>
          <w:noProof/>
        </w:rPr>
      </w:pPr>
      <w:r>
        <w:rPr>
          <w:noProof/>
        </w:rPr>
        <w:t xml:space="preserve">F.2. </w:t>
      </w:r>
      <w:r>
        <w:rPr>
          <w:noProof/>
        </w:rPr>
        <w:tab/>
        <w:t>Vissza nem térítendő pénzügyi tám</w:t>
      </w:r>
      <w:r>
        <w:rPr>
          <w:noProof/>
        </w:rPr>
        <w:t>ogatás – a végrehajtáshoz és a nyomon követéshez kapcsolódó mérföldkövek, célok, mutatók és ütemterv</w:t>
      </w:r>
    </w:p>
    <w:p w14:paraId="19D0813A" w14:textId="77777777"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Az alapforgatókönyv valamennyi mutató esetében 2020. február 1-je, kivéve, ha az intézkedés leírása másként jelzi. A táblázatban szereplő ö</w:t>
      </w:r>
      <w:r>
        <w:rPr>
          <w:i/>
          <w:noProof/>
        </w:rPr>
        <w:t>sszegek nem tartalmazzák a héát.</w:t>
      </w:r>
    </w:p>
    <w:p w14:paraId="48A21919" w14:textId="77777777" w:rsidR="003E1D81" w:rsidRDefault="003E1D81">
      <w:pPr>
        <w:spacing w:before="120" w:after="120" w:line="240" w:lineRule="auto"/>
        <w:jc w:val="both"/>
        <w:rPr>
          <w:rFonts w:ascii="Times New Roman" w:hAnsi="Times New Roman" w:cs="Times New Roman"/>
          <w:b/>
          <w:noProof/>
          <w:sz w:val="24"/>
          <w:u w:val="single"/>
        </w:rPr>
      </w:pPr>
    </w:p>
    <w:p w14:paraId="6BD18F9B" w14:textId="77777777" w:rsidR="003E1D81" w:rsidRDefault="003E1D81">
      <w:pPr>
        <w:spacing w:before="120" w:after="120" w:line="240" w:lineRule="auto"/>
        <w:ind w:left="709"/>
        <w:jc w:val="both"/>
        <w:rPr>
          <w:rFonts w:ascii="Times New Roman" w:hAnsi="Times New Roman" w:cs="Times New Roman"/>
          <w:noProof/>
          <w:sz w:val="24"/>
        </w:rPr>
      </w:pPr>
    </w:p>
    <w:p w14:paraId="238601FE" w14:textId="77777777" w:rsidR="003E1D81" w:rsidRDefault="003E1D81">
      <w:pPr>
        <w:spacing w:before="120" w:after="120" w:line="240" w:lineRule="auto"/>
        <w:ind w:left="709"/>
        <w:jc w:val="both"/>
        <w:rPr>
          <w:rFonts w:ascii="Times New Roman" w:hAnsi="Times New Roman" w:cs="Times New Roman"/>
          <w:noProof/>
          <w:sz w:val="24"/>
        </w:rPr>
        <w:sectPr w:rsidR="003E1D81" w:rsidSect="0035659C">
          <w:headerReference w:type="even" r:id="rId150"/>
          <w:headerReference w:type="default" r:id="rId151"/>
          <w:footerReference w:type="even" r:id="rId152"/>
          <w:footerReference w:type="default" r:id="rId153"/>
          <w:headerReference w:type="first" r:id="rId154"/>
          <w:footerReference w:type="first" r:id="rId155"/>
          <w:pgSz w:w="11907" w:h="16839"/>
          <w:pgMar w:top="1134" w:right="1417" w:bottom="1134" w:left="1417" w:header="709" w:footer="709" w:gutter="0"/>
          <w:cols w:space="720"/>
          <w:docGrid w:linePitch="360"/>
        </w:sectPr>
      </w:pPr>
    </w:p>
    <w:tbl>
      <w:tblPr>
        <w:tblW w:w="1414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134"/>
        <w:gridCol w:w="850"/>
        <w:gridCol w:w="567"/>
        <w:gridCol w:w="567"/>
        <w:gridCol w:w="425"/>
        <w:gridCol w:w="567"/>
        <w:gridCol w:w="6066"/>
      </w:tblGrid>
      <w:tr w:rsidR="003E1D81" w14:paraId="2264A0BA" w14:textId="77777777">
        <w:trPr>
          <w:trHeight w:val="309"/>
          <w:tblHeader/>
        </w:trPr>
        <w:tc>
          <w:tcPr>
            <w:tcW w:w="709" w:type="dxa"/>
            <w:tcBorders>
              <w:bottom w:val="nil"/>
            </w:tcBorders>
            <w:shd w:val="clear" w:color="auto" w:fill="C6D9F1" w:themeFill="text2" w:themeFillTint="33"/>
            <w:noWrap/>
            <w:vAlign w:val="center"/>
          </w:tcPr>
          <w:p w14:paraId="3E7FF3B6"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1BA64599"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7CC8C155"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1560" w:type="dxa"/>
            <w:tcBorders>
              <w:bottom w:val="nil"/>
            </w:tcBorders>
            <w:shd w:val="clear" w:color="auto" w:fill="C6D9F1" w:themeFill="text2" w:themeFillTint="33"/>
            <w:noWrap/>
            <w:vAlign w:val="center"/>
          </w:tcPr>
          <w:p w14:paraId="69C41B3B" w14:textId="77777777" w:rsidR="003E1D81" w:rsidRDefault="00EB481C">
            <w:pPr>
              <w:pStyle w:val="P68B1DB1-Normal12"/>
              <w:spacing w:after="0" w:line="240" w:lineRule="auto"/>
              <w:jc w:val="center"/>
              <w:rPr>
                <w:rFonts w:cs="Times New Roman"/>
                <w:noProof/>
              </w:rPr>
            </w:pPr>
            <w:r>
              <w:rPr>
                <w:noProof/>
              </w:rPr>
              <w:t>Név</w:t>
            </w:r>
          </w:p>
        </w:tc>
        <w:tc>
          <w:tcPr>
            <w:tcW w:w="1134" w:type="dxa"/>
            <w:tcBorders>
              <w:bottom w:val="nil"/>
            </w:tcBorders>
            <w:shd w:val="clear" w:color="auto" w:fill="C6D9F1" w:themeFill="text2" w:themeFillTint="33"/>
            <w:noWrap/>
            <w:vAlign w:val="center"/>
          </w:tcPr>
          <w:p w14:paraId="36402FE8"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1984" w:type="dxa"/>
            <w:gridSpan w:val="3"/>
            <w:shd w:val="clear" w:color="auto" w:fill="C6D9F1" w:themeFill="text2" w:themeFillTint="33"/>
            <w:noWrap/>
            <w:vAlign w:val="center"/>
          </w:tcPr>
          <w:p w14:paraId="12A6E265"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92" w:type="dxa"/>
            <w:gridSpan w:val="2"/>
            <w:shd w:val="clear" w:color="auto" w:fill="C6D9F1" w:themeFill="text2" w:themeFillTint="33"/>
            <w:noWrap/>
            <w:vAlign w:val="center"/>
          </w:tcPr>
          <w:p w14:paraId="728075A5" w14:textId="77777777" w:rsidR="003E1D81" w:rsidRDefault="00EB481C">
            <w:pPr>
              <w:pStyle w:val="P68B1DB1-Normal12"/>
              <w:spacing w:after="0" w:line="240" w:lineRule="auto"/>
              <w:jc w:val="center"/>
              <w:rPr>
                <w:rFonts w:cs="Times New Roman"/>
                <w:noProof/>
              </w:rPr>
            </w:pPr>
            <w:r>
              <w:rPr>
                <w:noProof/>
              </w:rPr>
              <w:t>Idő</w:t>
            </w:r>
          </w:p>
        </w:tc>
        <w:tc>
          <w:tcPr>
            <w:tcW w:w="6066" w:type="dxa"/>
            <w:tcBorders>
              <w:bottom w:val="nil"/>
            </w:tcBorders>
            <w:shd w:val="clear" w:color="auto" w:fill="C6D9F1" w:themeFill="text2" w:themeFillTint="33"/>
            <w:noWrap/>
            <w:vAlign w:val="center"/>
          </w:tcPr>
          <w:p w14:paraId="5AC1046A"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6F717916" w14:textId="77777777">
        <w:trPr>
          <w:trHeight w:val="309"/>
          <w:tblHeader/>
        </w:trPr>
        <w:tc>
          <w:tcPr>
            <w:tcW w:w="709" w:type="dxa"/>
            <w:tcBorders>
              <w:top w:val="nil"/>
            </w:tcBorders>
            <w:shd w:val="clear" w:color="auto" w:fill="C6D9F1" w:themeFill="text2" w:themeFillTint="33"/>
            <w:noWrap/>
          </w:tcPr>
          <w:p w14:paraId="0F3CABC7"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5B08B5D1"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16DEB4AB" w14:textId="77777777" w:rsidR="003E1D81" w:rsidRDefault="003E1D81">
            <w:pPr>
              <w:spacing w:after="0" w:line="240" w:lineRule="auto"/>
              <w:jc w:val="center"/>
              <w:rPr>
                <w:rFonts w:ascii="Times New Roman" w:hAnsi="Times New Roman" w:cs="Times New Roman"/>
                <w:b/>
                <w:noProof/>
                <w:sz w:val="18"/>
              </w:rPr>
            </w:pPr>
          </w:p>
        </w:tc>
        <w:tc>
          <w:tcPr>
            <w:tcW w:w="1560" w:type="dxa"/>
            <w:tcBorders>
              <w:top w:val="nil"/>
            </w:tcBorders>
            <w:shd w:val="clear" w:color="auto" w:fill="C6D9F1" w:themeFill="text2" w:themeFillTint="33"/>
            <w:noWrap/>
          </w:tcPr>
          <w:p w14:paraId="0AD9C6F4" w14:textId="77777777" w:rsidR="003E1D81" w:rsidRDefault="003E1D81">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4B1F511A" w14:textId="77777777" w:rsidR="003E1D81" w:rsidRDefault="003E1D81">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444B5E16" w14:textId="77777777" w:rsidR="003E1D81" w:rsidRDefault="00EB481C">
            <w:pPr>
              <w:pStyle w:val="P68B1DB1-Normal12"/>
              <w:spacing w:after="0" w:line="240" w:lineRule="auto"/>
              <w:jc w:val="center"/>
              <w:rPr>
                <w:rFonts w:cs="Times New Roman"/>
                <w:noProof/>
              </w:rPr>
            </w:pPr>
            <w:r>
              <w:rPr>
                <w:noProof/>
              </w:rPr>
              <w:t>Egység</w:t>
            </w:r>
          </w:p>
        </w:tc>
        <w:tc>
          <w:tcPr>
            <w:tcW w:w="567" w:type="dxa"/>
            <w:shd w:val="clear" w:color="auto" w:fill="C6D9F1" w:themeFill="text2" w:themeFillTint="33"/>
            <w:noWrap/>
            <w:vAlign w:val="center"/>
          </w:tcPr>
          <w:p w14:paraId="4AA23600" w14:textId="77777777" w:rsidR="003E1D81" w:rsidRDefault="00EB481C">
            <w:pPr>
              <w:pStyle w:val="P68B1DB1-Normal12"/>
              <w:spacing w:after="0" w:line="240" w:lineRule="auto"/>
              <w:jc w:val="center"/>
              <w:rPr>
                <w:rFonts w:cs="Times New Roman"/>
                <w:noProof/>
              </w:rPr>
            </w:pPr>
            <w:r>
              <w:rPr>
                <w:noProof/>
              </w:rPr>
              <w:t>Alapérték</w:t>
            </w:r>
          </w:p>
        </w:tc>
        <w:tc>
          <w:tcPr>
            <w:tcW w:w="567" w:type="dxa"/>
            <w:shd w:val="clear" w:color="auto" w:fill="C6D9F1" w:themeFill="text2" w:themeFillTint="33"/>
            <w:noWrap/>
            <w:vAlign w:val="center"/>
          </w:tcPr>
          <w:p w14:paraId="21A36EB4" w14:textId="77777777" w:rsidR="003E1D81" w:rsidRDefault="00EB481C">
            <w:pPr>
              <w:pStyle w:val="P68B1DB1-Normal12"/>
              <w:spacing w:after="0" w:line="240" w:lineRule="auto"/>
              <w:jc w:val="center"/>
              <w:rPr>
                <w:rFonts w:cs="Times New Roman"/>
                <w:noProof/>
              </w:rPr>
            </w:pPr>
            <w:r>
              <w:rPr>
                <w:noProof/>
              </w:rPr>
              <w:t>Cél</w:t>
            </w:r>
          </w:p>
        </w:tc>
        <w:tc>
          <w:tcPr>
            <w:tcW w:w="425" w:type="dxa"/>
            <w:shd w:val="clear" w:color="auto" w:fill="C6D9F1" w:themeFill="text2" w:themeFillTint="33"/>
            <w:noWrap/>
            <w:vAlign w:val="center"/>
          </w:tcPr>
          <w:p w14:paraId="5A5446A4"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2F79DAA1" w14:textId="77777777" w:rsidR="003E1D81" w:rsidRDefault="00EB481C">
            <w:pPr>
              <w:pStyle w:val="P68B1DB1-Normal12"/>
              <w:spacing w:after="0" w:line="240" w:lineRule="auto"/>
              <w:jc w:val="center"/>
              <w:rPr>
                <w:rFonts w:cs="Times New Roman"/>
                <w:noProof/>
              </w:rPr>
            </w:pPr>
            <w:r>
              <w:rPr>
                <w:noProof/>
              </w:rPr>
              <w:t>Éve</w:t>
            </w:r>
          </w:p>
        </w:tc>
        <w:tc>
          <w:tcPr>
            <w:tcW w:w="6066" w:type="dxa"/>
            <w:tcBorders>
              <w:top w:val="nil"/>
            </w:tcBorders>
            <w:shd w:val="clear" w:color="auto" w:fill="C6D9F1" w:themeFill="text2" w:themeFillTint="33"/>
            <w:noWrap/>
          </w:tcPr>
          <w:p w14:paraId="65F9C3DC" w14:textId="77777777" w:rsidR="003E1D81" w:rsidRDefault="003E1D81">
            <w:pPr>
              <w:spacing w:after="0" w:line="240" w:lineRule="auto"/>
              <w:rPr>
                <w:rFonts w:ascii="Times New Roman" w:hAnsi="Times New Roman" w:cs="Times New Roman"/>
                <w:b/>
                <w:noProof/>
                <w:sz w:val="18"/>
              </w:rPr>
            </w:pPr>
          </w:p>
        </w:tc>
      </w:tr>
      <w:tr w:rsidR="003E1D81" w14:paraId="7093E2CB" w14:textId="77777777">
        <w:trPr>
          <w:trHeight w:val="309"/>
        </w:trPr>
        <w:tc>
          <w:tcPr>
            <w:tcW w:w="709" w:type="dxa"/>
            <w:shd w:val="clear" w:color="auto" w:fill="C6EFCE"/>
            <w:noWrap/>
          </w:tcPr>
          <w:p w14:paraId="49D83C2D" w14:textId="77777777" w:rsidR="003E1D81" w:rsidRDefault="00EB481C">
            <w:pPr>
              <w:pStyle w:val="P68B1DB1-Normal13"/>
              <w:spacing w:after="0" w:line="240" w:lineRule="auto"/>
              <w:jc w:val="center"/>
              <w:rPr>
                <w:rFonts w:eastAsia="MS Mincho" w:cs="Times New Roman"/>
                <w:noProof/>
              </w:rPr>
            </w:pPr>
            <w:r>
              <w:rPr>
                <w:noProof/>
              </w:rPr>
              <w:t>82</w:t>
            </w:r>
          </w:p>
        </w:tc>
        <w:tc>
          <w:tcPr>
            <w:tcW w:w="851" w:type="dxa"/>
            <w:shd w:val="clear" w:color="auto" w:fill="C6EFCE"/>
            <w:noWrap/>
          </w:tcPr>
          <w:p w14:paraId="2D6099C9" w14:textId="77777777" w:rsidR="003E1D81" w:rsidRDefault="00EB481C">
            <w:pPr>
              <w:pStyle w:val="P68B1DB1-Normal13"/>
              <w:spacing w:after="0" w:line="240" w:lineRule="auto"/>
              <w:jc w:val="center"/>
              <w:rPr>
                <w:rFonts w:eastAsia="MS Mincho" w:cs="Times New Roman"/>
                <w:noProof/>
              </w:rPr>
            </w:pPr>
            <w:r>
              <w:rPr>
                <w:noProof/>
              </w:rPr>
              <w:t>C6.R1</w:t>
            </w:r>
          </w:p>
        </w:tc>
        <w:tc>
          <w:tcPr>
            <w:tcW w:w="850" w:type="dxa"/>
            <w:shd w:val="clear" w:color="auto" w:fill="C6EFCE"/>
            <w:noWrap/>
          </w:tcPr>
          <w:p w14:paraId="7F5CD847" w14:textId="77777777" w:rsidR="003E1D81" w:rsidRDefault="00EB481C">
            <w:pPr>
              <w:pStyle w:val="P68B1DB1-Normal13"/>
              <w:spacing w:after="0" w:line="240" w:lineRule="auto"/>
              <w:jc w:val="center"/>
              <w:rPr>
                <w:rFonts w:eastAsia="MS Mincho" w:cs="Times New Roman"/>
                <w:noProof/>
              </w:rPr>
            </w:pPr>
            <w:r>
              <w:rPr>
                <w:noProof/>
              </w:rPr>
              <w:t>M</w:t>
            </w:r>
          </w:p>
        </w:tc>
        <w:tc>
          <w:tcPr>
            <w:tcW w:w="1560" w:type="dxa"/>
            <w:shd w:val="clear" w:color="auto" w:fill="C6EFCE"/>
            <w:noWrap/>
          </w:tcPr>
          <w:p w14:paraId="5B0922AD" w14:textId="77777777" w:rsidR="003E1D81" w:rsidRDefault="00EB481C">
            <w:pPr>
              <w:pStyle w:val="P68B1DB1-Normal13"/>
              <w:spacing w:after="0" w:line="240" w:lineRule="auto"/>
              <w:rPr>
                <w:rFonts w:eastAsia="MS Mincho" w:cs="Times New Roman"/>
                <w:noProof/>
              </w:rPr>
            </w:pPr>
            <w:r>
              <w:rPr>
                <w:noProof/>
              </w:rPr>
              <w:t>A fenntartható, biztonságos és összekapcsolt mobilitásra vonatkozó stratégia (nyilvános konzultáció)</w:t>
            </w:r>
          </w:p>
        </w:tc>
        <w:tc>
          <w:tcPr>
            <w:tcW w:w="1134" w:type="dxa"/>
            <w:shd w:val="clear" w:color="auto" w:fill="C6EFCE"/>
            <w:noWrap/>
          </w:tcPr>
          <w:p w14:paraId="1FD62937" w14:textId="77777777" w:rsidR="003E1D81" w:rsidRDefault="00EB481C">
            <w:pPr>
              <w:pStyle w:val="P68B1DB1-Normal13"/>
              <w:spacing w:after="0" w:line="240" w:lineRule="auto"/>
              <w:jc w:val="center"/>
              <w:rPr>
                <w:rFonts w:eastAsia="MS Mincho" w:cs="Times New Roman"/>
                <w:noProof/>
              </w:rPr>
            </w:pPr>
            <w:r>
              <w:rPr>
                <w:noProof/>
              </w:rPr>
              <w:t>Értesítés a konzultáció befejezéséről</w:t>
            </w:r>
          </w:p>
        </w:tc>
        <w:tc>
          <w:tcPr>
            <w:tcW w:w="850" w:type="dxa"/>
            <w:shd w:val="clear" w:color="auto" w:fill="C6EFCE"/>
            <w:noWrap/>
          </w:tcPr>
          <w:p w14:paraId="4467701B"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762EAA38"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16E66445"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46E2525C" w14:textId="77777777" w:rsidR="003E1D81" w:rsidRDefault="00EB481C">
            <w:pPr>
              <w:pStyle w:val="P68B1DB1-Normal13"/>
              <w:spacing w:after="0" w:line="240" w:lineRule="auto"/>
              <w:jc w:val="center"/>
              <w:rPr>
                <w:rFonts w:eastAsia="MS Mincho" w:cs="Times New Roman"/>
                <w:noProof/>
              </w:rPr>
            </w:pPr>
            <w:r>
              <w:rPr>
                <w:noProof/>
              </w:rPr>
              <w:t>NEGYEDÉV</w:t>
            </w:r>
          </w:p>
        </w:tc>
        <w:tc>
          <w:tcPr>
            <w:tcW w:w="567" w:type="dxa"/>
            <w:shd w:val="clear" w:color="auto" w:fill="C6EFCE"/>
            <w:noWrap/>
          </w:tcPr>
          <w:p w14:paraId="6458ECF6" w14:textId="77777777" w:rsidR="003E1D81" w:rsidRDefault="00EB481C">
            <w:pPr>
              <w:pStyle w:val="P68B1DB1-Normal13"/>
              <w:spacing w:after="0" w:line="240" w:lineRule="auto"/>
              <w:jc w:val="center"/>
              <w:rPr>
                <w:rFonts w:eastAsia="MS Mincho" w:cs="Times New Roman"/>
                <w:noProof/>
              </w:rPr>
            </w:pPr>
            <w:r>
              <w:rPr>
                <w:noProof/>
              </w:rPr>
              <w:t>2020</w:t>
            </w:r>
          </w:p>
        </w:tc>
        <w:tc>
          <w:tcPr>
            <w:tcW w:w="6066" w:type="dxa"/>
            <w:shd w:val="clear" w:color="auto" w:fill="C6EFCE"/>
            <w:noWrap/>
          </w:tcPr>
          <w:p w14:paraId="082F3B67" w14:textId="77777777" w:rsidR="003E1D81" w:rsidRDefault="00EB481C">
            <w:pPr>
              <w:pStyle w:val="P68B1DB1-Normal13"/>
              <w:spacing w:after="0" w:line="240" w:lineRule="auto"/>
              <w:rPr>
                <w:rFonts w:eastAsia="MS Mincho" w:cs="Times New Roman"/>
                <w:noProof/>
              </w:rPr>
            </w:pPr>
            <w:r>
              <w:rPr>
                <w:noProof/>
              </w:rPr>
              <w:t xml:space="preserve">A stratégiával kapcsolatos nyilvános konzultációs folyamat </w:t>
            </w:r>
            <w:r>
              <w:rPr>
                <w:noProof/>
              </w:rPr>
              <w:t>lezárása, amely a következő kilenc területen hozott intézkedésekkel foglalkozik:</w:t>
            </w:r>
            <w:r>
              <w:rPr>
                <w:noProof/>
              </w:rPr>
              <w:br/>
              <w:t>Mobilitás mindenki számára (az egyetemes hozzáférhetőség ésszerű költségek mellett történő biztosítása érdekében);</w:t>
            </w:r>
            <w:r>
              <w:rPr>
                <w:noProof/>
              </w:rPr>
              <w:br/>
              <w:t>Új beruházási politikák (a közlekedési infrastruktúrák és sz</w:t>
            </w:r>
            <w:r>
              <w:rPr>
                <w:noProof/>
              </w:rPr>
              <w:t>olgáltatások megfelelő finanszírozásának biztosítása érdekében);</w:t>
            </w:r>
            <w:r>
              <w:rPr>
                <w:noProof/>
              </w:rPr>
              <w:br/>
              <w:t>Biztonságos mobilitás (a nyomon követésbe, karbantartásba és kiberbiztonságba történő beruházások előtérbe helyezése);</w:t>
            </w:r>
            <w:r>
              <w:rPr>
                <w:noProof/>
              </w:rPr>
              <w:br/>
              <w:t>Alacsony kibocsátású mobilitás (a hatékonyság növelése, az energiafogyas</w:t>
            </w:r>
            <w:r>
              <w:rPr>
                <w:noProof/>
              </w:rPr>
              <w:t>ztás csökkentése);</w:t>
            </w:r>
            <w:r>
              <w:rPr>
                <w:noProof/>
              </w:rPr>
              <w:br/>
              <w:t>Intelligens mobilitás (a K+F és a mobilitási innováció fellendítése, intelligens infrastruktúra kiépítése és kezelése);</w:t>
            </w:r>
            <w:r>
              <w:rPr>
                <w:noProof/>
              </w:rPr>
              <w:br/>
              <w:t>Intelligens intermodális logisztikai láncok (a vasúti áruszállítás előnyben részesítése);</w:t>
            </w:r>
            <w:r>
              <w:rPr>
                <w:noProof/>
              </w:rPr>
              <w:br/>
              <w:t>Az Európa összekapcsolása é</w:t>
            </w:r>
            <w:r>
              <w:rPr>
                <w:noProof/>
              </w:rPr>
              <w:t>s a világhoz való kapcsolódás (a kikötők összekapcsolása intermodális logisztikai terminálokkal és az együttműködés fokozása a szomszédos országokkal a határokon átnyúló infrastruktúrák építésének és/vagy fejlesztésének koordinálása érdekében);</w:t>
            </w:r>
            <w:r>
              <w:rPr>
                <w:noProof/>
              </w:rPr>
              <w:br/>
              <w:t>Szociális é</w:t>
            </w:r>
            <w:r>
              <w:rPr>
                <w:noProof/>
              </w:rPr>
              <w:t>s munkaügyi szempontok (a nemek közötti egyensúly, valamint a közlekedési munkaerőt célzó átképzési és továbbképzési intézkedések);</w:t>
            </w:r>
            <w:r>
              <w:rPr>
                <w:noProof/>
              </w:rPr>
              <w:br/>
              <w:t>9) A közlekedési minisztérium digitalizálása (MITMA).</w:t>
            </w:r>
          </w:p>
        </w:tc>
      </w:tr>
      <w:tr w:rsidR="003E1D81" w14:paraId="25E71458" w14:textId="77777777">
        <w:trPr>
          <w:trHeight w:val="309"/>
        </w:trPr>
        <w:tc>
          <w:tcPr>
            <w:tcW w:w="709" w:type="dxa"/>
            <w:shd w:val="clear" w:color="auto" w:fill="C6EFCE"/>
            <w:noWrap/>
          </w:tcPr>
          <w:p w14:paraId="702436C1" w14:textId="77777777" w:rsidR="003E1D81" w:rsidRDefault="00EB481C">
            <w:pPr>
              <w:pStyle w:val="P68B1DB1-Normal13"/>
              <w:spacing w:after="0" w:line="240" w:lineRule="auto"/>
              <w:jc w:val="center"/>
              <w:rPr>
                <w:rFonts w:eastAsia="MS Mincho" w:cs="Times New Roman"/>
                <w:noProof/>
              </w:rPr>
            </w:pPr>
            <w:r>
              <w:rPr>
                <w:noProof/>
              </w:rPr>
              <w:t>83</w:t>
            </w:r>
          </w:p>
        </w:tc>
        <w:tc>
          <w:tcPr>
            <w:tcW w:w="851" w:type="dxa"/>
            <w:shd w:val="clear" w:color="auto" w:fill="C6EFCE"/>
            <w:noWrap/>
          </w:tcPr>
          <w:p w14:paraId="4325626B" w14:textId="77777777" w:rsidR="003E1D81" w:rsidRDefault="00EB481C">
            <w:pPr>
              <w:pStyle w:val="P68B1DB1-Normal13"/>
              <w:spacing w:after="0" w:line="240" w:lineRule="auto"/>
              <w:jc w:val="center"/>
              <w:rPr>
                <w:rFonts w:eastAsia="MS Mincho" w:cs="Times New Roman"/>
                <w:noProof/>
              </w:rPr>
            </w:pPr>
            <w:r>
              <w:rPr>
                <w:noProof/>
              </w:rPr>
              <w:t>C6.R1</w:t>
            </w:r>
          </w:p>
        </w:tc>
        <w:tc>
          <w:tcPr>
            <w:tcW w:w="850" w:type="dxa"/>
            <w:shd w:val="clear" w:color="auto" w:fill="C6EFCE"/>
            <w:noWrap/>
          </w:tcPr>
          <w:p w14:paraId="2C576514" w14:textId="77777777" w:rsidR="003E1D81" w:rsidRDefault="00EB481C">
            <w:pPr>
              <w:pStyle w:val="P68B1DB1-Normal13"/>
              <w:spacing w:after="0" w:line="240" w:lineRule="auto"/>
              <w:jc w:val="center"/>
              <w:rPr>
                <w:rFonts w:eastAsia="MS Mincho" w:cs="Times New Roman"/>
                <w:noProof/>
              </w:rPr>
            </w:pPr>
            <w:r>
              <w:rPr>
                <w:noProof/>
              </w:rPr>
              <w:t>M</w:t>
            </w:r>
          </w:p>
        </w:tc>
        <w:tc>
          <w:tcPr>
            <w:tcW w:w="1560" w:type="dxa"/>
            <w:shd w:val="clear" w:color="auto" w:fill="C6EFCE"/>
            <w:noWrap/>
          </w:tcPr>
          <w:p w14:paraId="4598375C" w14:textId="77777777" w:rsidR="003E1D81" w:rsidRDefault="00EB481C">
            <w:pPr>
              <w:pStyle w:val="P68B1DB1-Normal13"/>
              <w:spacing w:after="0" w:line="240" w:lineRule="auto"/>
              <w:rPr>
                <w:rFonts w:eastAsia="MS Mincho" w:cs="Times New Roman"/>
                <w:noProof/>
              </w:rPr>
            </w:pPr>
            <w:r>
              <w:rPr>
                <w:noProof/>
              </w:rPr>
              <w:t xml:space="preserve">A fenntartható, biztonságos és összekapcsolt mobilitásra vonatkozó stratégia (jóváhagyás) </w:t>
            </w:r>
          </w:p>
        </w:tc>
        <w:tc>
          <w:tcPr>
            <w:tcW w:w="1134" w:type="dxa"/>
            <w:shd w:val="clear" w:color="auto" w:fill="C6EFCE"/>
            <w:noWrap/>
          </w:tcPr>
          <w:p w14:paraId="3A6DB7E6" w14:textId="77777777" w:rsidR="003E1D81" w:rsidRDefault="00EB481C">
            <w:pPr>
              <w:pStyle w:val="P68B1DB1-Normal13"/>
              <w:spacing w:after="0" w:line="240" w:lineRule="auto"/>
              <w:jc w:val="center"/>
              <w:rPr>
                <w:rFonts w:eastAsia="MS Mincho" w:cs="Times New Roman"/>
                <w:noProof/>
              </w:rPr>
            </w:pPr>
            <w:r>
              <w:rPr>
                <w:noProof/>
              </w:rPr>
              <w:t>A Miniszterek Tanácsának jóváhagyása</w:t>
            </w:r>
          </w:p>
        </w:tc>
        <w:tc>
          <w:tcPr>
            <w:tcW w:w="850" w:type="dxa"/>
            <w:shd w:val="clear" w:color="auto" w:fill="C6EFCE"/>
            <w:noWrap/>
          </w:tcPr>
          <w:p w14:paraId="7DE13593"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6EBA70B7" w14:textId="77777777" w:rsidR="003E1D81" w:rsidRDefault="00EB481C">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3F2CD050"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425" w:type="dxa"/>
            <w:shd w:val="clear" w:color="auto" w:fill="C6EFCE"/>
            <w:noWrap/>
          </w:tcPr>
          <w:p w14:paraId="1B8E0E01" w14:textId="77777777" w:rsidR="003E1D81" w:rsidRDefault="00EB481C">
            <w:pPr>
              <w:pStyle w:val="P68B1DB1-Normal13"/>
              <w:spacing w:after="0" w:line="240" w:lineRule="auto"/>
              <w:jc w:val="center"/>
              <w:rPr>
                <w:rFonts w:eastAsia="Calibri" w:cs="Times New Roman"/>
                <w:noProof/>
              </w:rPr>
            </w:pPr>
            <w:r>
              <w:rPr>
                <w:noProof/>
              </w:rPr>
              <w:t>NEGYEDÉV</w:t>
            </w:r>
          </w:p>
        </w:tc>
        <w:tc>
          <w:tcPr>
            <w:tcW w:w="567" w:type="dxa"/>
            <w:shd w:val="clear" w:color="auto" w:fill="C6EFCE"/>
            <w:noWrap/>
          </w:tcPr>
          <w:p w14:paraId="62DDAFF6" w14:textId="77777777" w:rsidR="003E1D81" w:rsidRDefault="00EB481C">
            <w:pPr>
              <w:pStyle w:val="P68B1DB1-Normal13"/>
              <w:spacing w:after="0" w:line="240" w:lineRule="auto"/>
              <w:jc w:val="center"/>
              <w:rPr>
                <w:rFonts w:eastAsia="Calibri" w:cs="Times New Roman"/>
                <w:noProof/>
              </w:rPr>
            </w:pPr>
            <w:r>
              <w:rPr>
                <w:noProof/>
              </w:rPr>
              <w:t>2021</w:t>
            </w:r>
          </w:p>
        </w:tc>
        <w:tc>
          <w:tcPr>
            <w:tcW w:w="6066" w:type="dxa"/>
            <w:shd w:val="clear" w:color="auto" w:fill="C6EFCE"/>
            <w:noWrap/>
          </w:tcPr>
          <w:p w14:paraId="65F89C6C" w14:textId="77777777" w:rsidR="003E1D81" w:rsidRDefault="00EB481C">
            <w:pPr>
              <w:pStyle w:val="P68B1DB1-Normal13"/>
              <w:spacing w:after="0" w:line="240" w:lineRule="auto"/>
              <w:rPr>
                <w:rFonts w:eastAsia="Calibri" w:cs="Times New Roman"/>
                <w:noProof/>
              </w:rPr>
            </w:pPr>
            <w:r>
              <w:rPr>
                <w:noProof/>
              </w:rPr>
              <w:t>A Miniszterek Tanácsa jóváhagyja a következő kilenc területen végrehajtandó intézkedésekkel foglalkozó strat</w:t>
            </w:r>
            <w:r>
              <w:rPr>
                <w:noProof/>
              </w:rPr>
              <w:t>égiát:</w:t>
            </w:r>
            <w:r>
              <w:rPr>
                <w:noProof/>
              </w:rPr>
              <w:br/>
              <w:t>Mobilitás mindenki számára (az általános hozzáférhetőség ésszerű költségek mellett történő biztosítása céljából);</w:t>
            </w:r>
            <w:r>
              <w:rPr>
                <w:noProof/>
              </w:rPr>
              <w:br/>
              <w:t>Új beruházási politikák (a közlekedési infrastruktúrák és szolgáltatások megfelelő finanszírozásának biztosítása érdekében);</w:t>
            </w:r>
            <w:r>
              <w:rPr>
                <w:noProof/>
              </w:rPr>
              <w:br/>
              <w:t>Biztonságo</w:t>
            </w:r>
            <w:r>
              <w:rPr>
                <w:noProof/>
              </w:rPr>
              <w:t>s mobilitás (a nyomon követésbe, karbantartásba és kiberbiztonságba történő beruházások előtérbe helyezése);</w:t>
            </w:r>
            <w:r>
              <w:rPr>
                <w:noProof/>
              </w:rPr>
              <w:br/>
              <w:t>Alacsony kibocsátású mobilitás (a hatékonyság növelése, az energiafogyasztás csökkentése);</w:t>
            </w:r>
            <w:r>
              <w:rPr>
                <w:noProof/>
              </w:rPr>
              <w:br/>
              <w:t>Intelligens mobilitás (a K+F és a mobilitási innováció f</w:t>
            </w:r>
            <w:r>
              <w:rPr>
                <w:noProof/>
              </w:rPr>
              <w:t>ellendítése, intelligens infrastruktúra kiépítése és kezelése);</w:t>
            </w:r>
            <w:r>
              <w:rPr>
                <w:noProof/>
              </w:rPr>
              <w:br/>
              <w:t>Intelligens intermodális logisztikai láncok (a vasúti áruszállítás előnyben részesítése a köz- és magánprogramokban);</w:t>
            </w:r>
            <w:r>
              <w:rPr>
                <w:noProof/>
              </w:rPr>
              <w:br/>
              <w:t>Az Európa összekapcsolása és a világhoz való kapcsolódás (a kikötők összek</w:t>
            </w:r>
            <w:r>
              <w:rPr>
                <w:noProof/>
              </w:rPr>
              <w:t>apcsolása intermodális logisztikai terminálokkal és az együttműködés fokozása a szomszédos országokkal a határokon átnyúló infrastruktúrák építésének és/vagy fejlesztésének koordinálása érdekében);</w:t>
            </w:r>
            <w:r>
              <w:rPr>
                <w:noProof/>
              </w:rPr>
              <w:br/>
              <w:t>Szociális és munkaügyi szempontok (a nemek közötti egyensú</w:t>
            </w:r>
            <w:r>
              <w:rPr>
                <w:noProof/>
              </w:rPr>
              <w:t>ly, valamint a közlekedési munkaerőt célzó átképzési és továbbképzési intézkedések);</w:t>
            </w:r>
            <w:r>
              <w:rPr>
                <w:noProof/>
              </w:rPr>
              <w:br/>
              <w:t>A közlekedési minisztérium digitalizálása, MITMA.</w:t>
            </w:r>
          </w:p>
        </w:tc>
      </w:tr>
      <w:tr w:rsidR="003E1D81" w14:paraId="7D05ACBB" w14:textId="77777777">
        <w:trPr>
          <w:trHeight w:val="309"/>
        </w:trPr>
        <w:tc>
          <w:tcPr>
            <w:tcW w:w="709" w:type="dxa"/>
            <w:shd w:val="clear" w:color="auto" w:fill="C6EFCE"/>
            <w:noWrap/>
          </w:tcPr>
          <w:p w14:paraId="31B2963F" w14:textId="77777777" w:rsidR="003E1D81" w:rsidRDefault="00EB481C">
            <w:pPr>
              <w:pStyle w:val="P68B1DB1-Normal13"/>
              <w:spacing w:after="0" w:line="240" w:lineRule="auto"/>
              <w:jc w:val="center"/>
              <w:rPr>
                <w:rFonts w:eastAsia="Calibri" w:cs="Times New Roman"/>
                <w:noProof/>
              </w:rPr>
            </w:pPr>
            <w:r>
              <w:rPr>
                <w:noProof/>
              </w:rPr>
              <w:t>84</w:t>
            </w:r>
          </w:p>
        </w:tc>
        <w:tc>
          <w:tcPr>
            <w:tcW w:w="851" w:type="dxa"/>
            <w:shd w:val="clear" w:color="auto" w:fill="C6EFCE"/>
            <w:noWrap/>
          </w:tcPr>
          <w:p w14:paraId="7C599BFA" w14:textId="77777777" w:rsidR="003E1D81" w:rsidRDefault="00EB481C">
            <w:pPr>
              <w:pStyle w:val="P68B1DB1-Normal13"/>
              <w:spacing w:after="0" w:line="240" w:lineRule="auto"/>
              <w:jc w:val="center"/>
              <w:rPr>
                <w:rFonts w:eastAsia="Calibri" w:cs="Times New Roman"/>
                <w:noProof/>
              </w:rPr>
            </w:pPr>
            <w:r>
              <w:rPr>
                <w:noProof/>
              </w:rPr>
              <w:t>C6.R2</w:t>
            </w:r>
          </w:p>
        </w:tc>
        <w:tc>
          <w:tcPr>
            <w:tcW w:w="850" w:type="dxa"/>
            <w:shd w:val="clear" w:color="auto" w:fill="C6EFCE"/>
            <w:noWrap/>
          </w:tcPr>
          <w:p w14:paraId="696A3350" w14:textId="77777777" w:rsidR="003E1D81" w:rsidRDefault="00EB481C">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038B2FB2" w14:textId="77777777" w:rsidR="003E1D81" w:rsidRDefault="00EB481C">
            <w:pPr>
              <w:pStyle w:val="P68B1DB1-Normal13"/>
              <w:spacing w:after="0" w:line="240" w:lineRule="auto"/>
              <w:rPr>
                <w:rFonts w:eastAsia="Calibri" w:cs="Times New Roman"/>
                <w:noProof/>
              </w:rPr>
            </w:pPr>
            <w:r>
              <w:rPr>
                <w:noProof/>
              </w:rPr>
              <w:t>Indikatív vasúti stratégia</w:t>
            </w:r>
          </w:p>
        </w:tc>
        <w:tc>
          <w:tcPr>
            <w:tcW w:w="1134" w:type="dxa"/>
            <w:shd w:val="clear" w:color="auto" w:fill="C6EFCE"/>
            <w:noWrap/>
          </w:tcPr>
          <w:p w14:paraId="3DA68056" w14:textId="77777777" w:rsidR="003E1D81" w:rsidRDefault="00EB481C">
            <w:pPr>
              <w:pStyle w:val="P68B1DB1-Normal13"/>
              <w:spacing w:after="0" w:line="240" w:lineRule="auto"/>
              <w:jc w:val="center"/>
              <w:rPr>
                <w:rFonts w:eastAsia="Calibri" w:cs="Times New Roman"/>
                <w:noProof/>
              </w:rPr>
            </w:pPr>
            <w:r>
              <w:rPr>
                <w:noProof/>
              </w:rPr>
              <w:t>Közzététel a Hivatalos Lapban</w:t>
            </w:r>
          </w:p>
        </w:tc>
        <w:tc>
          <w:tcPr>
            <w:tcW w:w="850" w:type="dxa"/>
            <w:shd w:val="clear" w:color="auto" w:fill="C6EFCE"/>
            <w:noWrap/>
          </w:tcPr>
          <w:p w14:paraId="72121151"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32D65AFA"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09845CEA"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425" w:type="dxa"/>
            <w:shd w:val="clear" w:color="auto" w:fill="C6EFCE"/>
            <w:noWrap/>
          </w:tcPr>
          <w:p w14:paraId="47A1A93F" w14:textId="77777777" w:rsidR="003E1D81" w:rsidRDefault="00EB481C">
            <w:pPr>
              <w:pStyle w:val="P68B1DB1-Normal13"/>
              <w:spacing w:after="0" w:line="240" w:lineRule="auto"/>
              <w:jc w:val="center"/>
              <w:rPr>
                <w:rFonts w:eastAsia="Calibri" w:cs="Times New Roman"/>
                <w:noProof/>
              </w:rPr>
            </w:pPr>
            <w:r>
              <w:rPr>
                <w:noProof/>
              </w:rPr>
              <w:t>NEGYEDÉV</w:t>
            </w:r>
          </w:p>
        </w:tc>
        <w:tc>
          <w:tcPr>
            <w:tcW w:w="567" w:type="dxa"/>
            <w:shd w:val="clear" w:color="auto" w:fill="C6EFCE"/>
            <w:noWrap/>
          </w:tcPr>
          <w:p w14:paraId="10646892" w14:textId="77777777" w:rsidR="003E1D81" w:rsidRDefault="00EB481C">
            <w:pPr>
              <w:pStyle w:val="P68B1DB1-Normal13"/>
              <w:spacing w:after="0" w:line="240" w:lineRule="auto"/>
              <w:jc w:val="center"/>
              <w:rPr>
                <w:rFonts w:eastAsia="Calibri" w:cs="Times New Roman"/>
                <w:noProof/>
              </w:rPr>
            </w:pPr>
            <w:r>
              <w:rPr>
                <w:noProof/>
              </w:rPr>
              <w:t>2022</w:t>
            </w:r>
          </w:p>
        </w:tc>
        <w:tc>
          <w:tcPr>
            <w:tcW w:w="6066" w:type="dxa"/>
            <w:shd w:val="clear" w:color="auto" w:fill="C6EFCE"/>
            <w:noWrap/>
          </w:tcPr>
          <w:p w14:paraId="755A0E16" w14:textId="77777777" w:rsidR="003E1D81" w:rsidRDefault="00EB481C">
            <w:pPr>
              <w:pStyle w:val="P68B1DB1-Normal13"/>
              <w:spacing w:after="0" w:line="240" w:lineRule="auto"/>
              <w:rPr>
                <w:rFonts w:eastAsia="Calibri" w:cs="Times New Roman"/>
                <w:noProof/>
              </w:rPr>
            </w:pPr>
            <w:r>
              <w:rPr>
                <w:noProof/>
              </w:rPr>
              <w:t xml:space="preserve">Az indikatív vasúti stratégia jóváhagyó állásfoglalásának közzététele a Hivatalos Lapban: </w:t>
            </w:r>
            <w:r>
              <w:rPr>
                <w:noProof/>
              </w:rPr>
              <w:br/>
              <w:t xml:space="preserve">a vasúti ágazat tevékenységeinek világosabb tervezése, különös tekintettel a mindennapi mobilitásra; </w:t>
            </w:r>
            <w:r>
              <w:rPr>
                <w:noProof/>
              </w:rPr>
              <w:br/>
              <w:t xml:space="preserve">a hálózat karbantartásának javítása; </w:t>
            </w:r>
            <w:r>
              <w:rPr>
                <w:noProof/>
              </w:rPr>
              <w:br/>
              <w:t xml:space="preserve">a vasúthálózat gazdasági </w:t>
            </w:r>
            <w:r>
              <w:rPr>
                <w:noProof/>
              </w:rPr>
              <w:t xml:space="preserve">fenntarthatóságának biztosítása; </w:t>
            </w:r>
            <w:r>
              <w:rPr>
                <w:noProof/>
              </w:rPr>
              <w:br/>
              <w:t xml:space="preserve">az erőforrás-hatékonyság előtérbe helyezése a beruházási projektek előzetes és utólagos értékelésével; </w:t>
            </w:r>
            <w:r>
              <w:rPr>
                <w:noProof/>
              </w:rPr>
              <w:br/>
              <w:t>a hálózat interoperabilitásának és a hálózat intermodalitásának javítása, különösen a transzeurópai hálózati folyosóko</w:t>
            </w:r>
            <w:r>
              <w:rPr>
                <w:noProof/>
              </w:rPr>
              <w:t xml:space="preserve">n; </w:t>
            </w:r>
            <w:r>
              <w:rPr>
                <w:noProof/>
              </w:rPr>
              <w:br/>
              <w:t xml:space="preserve">a vasúti teherforgalom fellendítése; </w:t>
            </w:r>
            <w:r>
              <w:rPr>
                <w:noProof/>
              </w:rPr>
              <w:br/>
              <w:t xml:space="preserve">a vasúti közlekedés biztonságának fokozása; </w:t>
            </w:r>
            <w:r>
              <w:rPr>
                <w:noProof/>
              </w:rPr>
              <w:br/>
              <w:t>a közlekedés digitalizációjának és az innovációnak az előmozdítása az összekapcsolt mobilitás biztosítása érdekében.</w:t>
            </w:r>
            <w:r>
              <w:rPr>
                <w:noProof/>
              </w:rPr>
              <w:br/>
              <w:t>Az „indikatív vasúti stratégiában” szereplő valamenn</w:t>
            </w:r>
            <w:r>
              <w:rPr>
                <w:noProof/>
              </w:rPr>
              <w:t>yi intézkedés esetében biztosítsa a környezeti hatásvizsgálatról szóló 21/2013. sz. törvény és a 21/2013. sz. törvényt módosító december 5-i 9/2018. sz. törvény rendelkezéseinek teljesítését, és hajtsa végre a környezeti hatásvizsgálat (KHV) környezetvédel</w:t>
            </w:r>
            <w:r>
              <w:rPr>
                <w:noProof/>
              </w:rPr>
              <w:t>méhez szükséges mérséklési intézkedéseket.</w:t>
            </w:r>
          </w:p>
        </w:tc>
      </w:tr>
      <w:tr w:rsidR="003E1D81" w14:paraId="0AFEE561" w14:textId="77777777">
        <w:trPr>
          <w:trHeight w:val="309"/>
        </w:trPr>
        <w:tc>
          <w:tcPr>
            <w:tcW w:w="709" w:type="dxa"/>
            <w:shd w:val="clear" w:color="auto" w:fill="C6EFCE"/>
            <w:noWrap/>
          </w:tcPr>
          <w:p w14:paraId="663C344E" w14:textId="0BCEE8DD" w:rsidR="003E1D81" w:rsidRDefault="00EB481C">
            <w:pPr>
              <w:pStyle w:val="P68B1DB1-Normal13"/>
              <w:spacing w:after="0" w:line="240" w:lineRule="auto"/>
              <w:jc w:val="center"/>
              <w:rPr>
                <w:rFonts w:eastAsia="Calibri" w:cs="Times New Roman"/>
                <w:noProof/>
              </w:rPr>
            </w:pPr>
            <w:r>
              <w:rPr>
                <w:noProof/>
              </w:rPr>
              <w:t>85</w:t>
            </w:r>
          </w:p>
        </w:tc>
        <w:tc>
          <w:tcPr>
            <w:tcW w:w="851" w:type="dxa"/>
            <w:shd w:val="clear" w:color="auto" w:fill="C6EFCE"/>
            <w:noWrap/>
          </w:tcPr>
          <w:p w14:paraId="0F519D59" w14:textId="77777777" w:rsidR="003E1D81" w:rsidRDefault="00EB481C">
            <w:pPr>
              <w:pStyle w:val="P68B1DB1-Normal13"/>
              <w:spacing w:after="0" w:line="240" w:lineRule="auto"/>
              <w:jc w:val="center"/>
              <w:rPr>
                <w:rFonts w:eastAsia="Calibri" w:cs="Times New Roman"/>
                <w:noProof/>
              </w:rPr>
            </w:pPr>
            <w:r>
              <w:rPr>
                <w:noProof/>
              </w:rPr>
              <w:t>C6.I1</w:t>
            </w:r>
          </w:p>
        </w:tc>
        <w:tc>
          <w:tcPr>
            <w:tcW w:w="850" w:type="dxa"/>
            <w:shd w:val="clear" w:color="auto" w:fill="C6EFCE"/>
            <w:noWrap/>
          </w:tcPr>
          <w:p w14:paraId="5BB7AFFC" w14:textId="77777777" w:rsidR="003E1D81" w:rsidRDefault="00EB481C">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6FDBCDCA" w14:textId="77777777" w:rsidR="003E1D81" w:rsidRDefault="00EB481C">
            <w:pPr>
              <w:pStyle w:val="P68B1DB1-Normal13"/>
              <w:spacing w:after="0" w:line="240" w:lineRule="auto"/>
              <w:rPr>
                <w:rFonts w:eastAsia="Calibri" w:cs="Times New Roman"/>
                <w:noProof/>
              </w:rPr>
            </w:pPr>
            <w:r>
              <w:rPr>
                <w:noProof/>
              </w:rPr>
              <w:t>TEN-T törzshálózat: a projektek odaítélése</w:t>
            </w:r>
          </w:p>
        </w:tc>
        <w:tc>
          <w:tcPr>
            <w:tcW w:w="1134" w:type="dxa"/>
            <w:shd w:val="clear" w:color="auto" w:fill="C6EFCE"/>
            <w:noWrap/>
          </w:tcPr>
          <w:p w14:paraId="576BD3EB" w14:textId="77777777" w:rsidR="003E1D81" w:rsidRDefault="00EB481C">
            <w:pPr>
              <w:pStyle w:val="P68B1DB1-Normal13"/>
              <w:spacing w:after="0" w:line="240" w:lineRule="auto"/>
              <w:jc w:val="center"/>
              <w:rPr>
                <w:rFonts w:eastAsia="Calibri" w:cs="Times New Roman"/>
                <w:noProof/>
              </w:rPr>
            </w:pPr>
            <w:r>
              <w:rPr>
                <w:noProof/>
              </w:rPr>
              <w:t>Hivatalos értesítés a projekt odaítéléséről–</w:t>
            </w:r>
          </w:p>
        </w:tc>
        <w:tc>
          <w:tcPr>
            <w:tcW w:w="850" w:type="dxa"/>
            <w:shd w:val="clear" w:color="auto" w:fill="C6EFCE"/>
            <w:noWrap/>
          </w:tcPr>
          <w:p w14:paraId="3E40803B" w14:textId="77777777" w:rsidR="003E1D81" w:rsidRDefault="00EB481C">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3AA4ADE7"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3ADD6AFE" w14:textId="77777777" w:rsidR="003E1D81" w:rsidRDefault="00EB481C">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0BD78B8F" w14:textId="77777777" w:rsidR="003E1D81" w:rsidRDefault="00EB481C">
            <w:pPr>
              <w:pStyle w:val="P68B1DB1-Normal13"/>
              <w:spacing w:after="0" w:line="240" w:lineRule="auto"/>
              <w:jc w:val="center"/>
              <w:rPr>
                <w:rFonts w:eastAsia="Calibri" w:cs="Times New Roman"/>
                <w:noProof/>
              </w:rPr>
            </w:pPr>
            <w:r>
              <w:rPr>
                <w:noProof/>
              </w:rPr>
              <w:t>NEGYEDÉV</w:t>
            </w:r>
          </w:p>
        </w:tc>
        <w:tc>
          <w:tcPr>
            <w:tcW w:w="567" w:type="dxa"/>
            <w:shd w:val="clear" w:color="auto" w:fill="C6EFCE"/>
            <w:noWrap/>
          </w:tcPr>
          <w:p w14:paraId="1C646597" w14:textId="77777777" w:rsidR="003E1D81" w:rsidRDefault="00EB481C">
            <w:pPr>
              <w:pStyle w:val="P68B1DB1-Normal13"/>
              <w:spacing w:after="0" w:line="240" w:lineRule="auto"/>
              <w:jc w:val="center"/>
              <w:rPr>
                <w:rFonts w:eastAsia="Calibri" w:cs="Times New Roman"/>
                <w:noProof/>
              </w:rPr>
            </w:pPr>
            <w:r>
              <w:rPr>
                <w:noProof/>
              </w:rPr>
              <w:t>2022</w:t>
            </w:r>
          </w:p>
        </w:tc>
        <w:tc>
          <w:tcPr>
            <w:tcW w:w="6066" w:type="dxa"/>
            <w:shd w:val="clear" w:color="auto" w:fill="C6EFCE"/>
            <w:noWrap/>
          </w:tcPr>
          <w:p w14:paraId="72DDA19B" w14:textId="0E4DDD44" w:rsidR="003E1D81" w:rsidRDefault="00EB481C">
            <w:pPr>
              <w:pStyle w:val="P68B1DB1-Normal8"/>
              <w:spacing w:after="0" w:line="240" w:lineRule="auto"/>
              <w:rPr>
                <w:rFonts w:cs="Times New Roman"/>
                <w:noProof/>
                <w:sz w:val="18"/>
              </w:rPr>
            </w:pPr>
            <w:r>
              <w:rPr>
                <w:noProof/>
                <w:sz w:val="18"/>
              </w:rPr>
              <w:t xml:space="preserve">Legalább 1 400 000 000 EUR összegű költségvetés a TEN-T törzshálózat számára a következő folyosók közül egy vagy több tekintetében: </w:t>
            </w:r>
            <w:r>
              <w:rPr>
                <w:noProof/>
              </w:rPr>
              <w:br/>
            </w:r>
            <w:r>
              <w:rPr>
                <w:noProof/>
                <w:sz w:val="18"/>
              </w:rPr>
              <w:t>ATLANTI FOLYOSÓ</w:t>
            </w:r>
            <w:r>
              <w:rPr>
                <w:noProof/>
              </w:rPr>
              <w:br/>
              <w:t xml:space="preserve"> </w:t>
            </w:r>
            <w:r>
              <w:rPr>
                <w:noProof/>
                <w:sz w:val="18"/>
              </w:rPr>
              <w:t>• Y Vasca: Vitoria-Bilbao-San Sebastian/Astigarraga-Irun</w:t>
            </w:r>
            <w:r>
              <w:rPr>
                <w:noProof/>
              </w:rPr>
              <w:br/>
              <w:t xml:space="preserve"> </w:t>
            </w:r>
            <w:r>
              <w:rPr>
                <w:noProof/>
                <w:sz w:val="18"/>
              </w:rPr>
              <w:t>• Valladolid-Palencia-León</w:t>
            </w:r>
            <w:r>
              <w:rPr>
                <w:noProof/>
              </w:rPr>
              <w:br/>
              <w:t xml:space="preserve"> </w:t>
            </w:r>
            <w:r>
              <w:rPr>
                <w:noProof/>
                <w:sz w:val="18"/>
              </w:rPr>
              <w:t>• León-La Robla-Pola</w:t>
            </w:r>
            <w:r>
              <w:rPr>
                <w:noProof/>
                <w:sz w:val="18"/>
              </w:rPr>
              <w:t xml:space="preserve"> de Lena</w:t>
            </w:r>
            <w:r>
              <w:rPr>
                <w:noProof/>
              </w:rPr>
              <w:br/>
              <w:t xml:space="preserve"> </w:t>
            </w:r>
            <w:r>
              <w:rPr>
                <w:noProof/>
                <w:sz w:val="18"/>
              </w:rPr>
              <w:t>• Castejón-Pamplona-Logroño-Bilbao</w:t>
            </w:r>
          </w:p>
          <w:p w14:paraId="4F7E14A6" w14:textId="0C25F427" w:rsidR="003E1D81" w:rsidRDefault="00EB481C">
            <w:pPr>
              <w:pStyle w:val="P68B1DB1-Normal8"/>
              <w:spacing w:after="0" w:line="240" w:lineRule="auto"/>
              <w:rPr>
                <w:rFonts w:cs="Times New Roman"/>
                <w:noProof/>
                <w:sz w:val="18"/>
              </w:rPr>
            </w:pPr>
            <w:r>
              <w:rPr>
                <w:noProof/>
                <w:sz w:val="18"/>
              </w:rPr>
              <w:t>• La Coruña-Vigo-Ourense</w:t>
            </w:r>
            <w:r>
              <w:rPr>
                <w:noProof/>
              </w:rPr>
              <w:br/>
            </w:r>
            <w:r>
              <w:rPr>
                <w:noProof/>
                <w:sz w:val="18"/>
              </w:rPr>
              <w:t>• Ourense-Monforte</w:t>
            </w:r>
          </w:p>
          <w:p w14:paraId="25A8B19A" w14:textId="5983C8F2" w:rsidR="003E1D81" w:rsidRDefault="00EB481C">
            <w:pPr>
              <w:pStyle w:val="P68B1DB1-Normal8"/>
              <w:spacing w:after="0"/>
              <w:rPr>
                <w:rFonts w:cs="Times New Roman"/>
                <w:noProof/>
                <w:sz w:val="18"/>
              </w:rPr>
            </w:pPr>
            <w:r>
              <w:rPr>
                <w:noProof/>
                <w:sz w:val="18"/>
              </w:rPr>
              <w:t>• Monforte-León</w:t>
            </w:r>
            <w:r>
              <w:rPr>
                <w:noProof/>
              </w:rPr>
              <w:br/>
            </w:r>
            <w:r>
              <w:rPr>
                <w:noProof/>
                <w:sz w:val="18"/>
              </w:rPr>
              <w:t>• Talayuela-Plasencia-Cáceres-Mérida-Badajoz</w:t>
            </w:r>
          </w:p>
          <w:p w14:paraId="1C814A71" w14:textId="3719664A" w:rsidR="003E1D81" w:rsidRDefault="00EB481C">
            <w:pPr>
              <w:pStyle w:val="P68B1DB1-Normal13"/>
              <w:spacing w:after="0"/>
              <w:jc w:val="both"/>
              <w:rPr>
                <w:rFonts w:cs="Times New Roman"/>
                <w:noProof/>
              </w:rPr>
            </w:pPr>
            <w:r>
              <w:rPr>
                <w:noProof/>
              </w:rPr>
              <w:t xml:space="preserve">• Talayuela-Madrid-Valladolid-Vitoria </w:t>
            </w:r>
          </w:p>
          <w:p w14:paraId="2711880D" w14:textId="45762D7F" w:rsidR="003E1D81" w:rsidRDefault="00EB481C">
            <w:pPr>
              <w:pStyle w:val="P68B1DB1-Normal13"/>
              <w:spacing w:after="0"/>
              <w:jc w:val="both"/>
              <w:rPr>
                <w:rFonts w:cs="Times New Roman"/>
                <w:noProof/>
              </w:rPr>
            </w:pPr>
            <w:r>
              <w:rPr>
                <w:noProof/>
              </w:rPr>
              <w:t>• Sevilla-Huelva</w:t>
            </w:r>
          </w:p>
          <w:p w14:paraId="7E352252" w14:textId="45762D7F" w:rsidR="003E1D81" w:rsidRDefault="00EB481C">
            <w:pPr>
              <w:pStyle w:val="P68B1DB1-Normal8"/>
              <w:spacing w:after="0" w:line="240" w:lineRule="auto"/>
              <w:rPr>
                <w:rFonts w:cs="Times New Roman"/>
                <w:noProof/>
                <w:sz w:val="18"/>
              </w:rPr>
            </w:pPr>
            <w:r>
              <w:rPr>
                <w:noProof/>
              </w:rPr>
              <w:br/>
            </w:r>
            <w:r>
              <w:rPr>
                <w:noProof/>
                <w:sz w:val="18"/>
              </w:rPr>
              <w:t>FÖLDKÖZI-TENGERI FOLYOSÓ:</w:t>
            </w:r>
            <w:r>
              <w:rPr>
                <w:noProof/>
              </w:rPr>
              <w:br/>
            </w:r>
            <w:r>
              <w:rPr>
                <w:noProof/>
                <w:sz w:val="18"/>
              </w:rPr>
              <w:t xml:space="preserve">• </w:t>
            </w:r>
            <w:r>
              <w:rPr>
                <w:noProof/>
                <w:sz w:val="18"/>
              </w:rPr>
              <w:t>Madrid-Zaragoza-Tarragona</w:t>
            </w:r>
          </w:p>
          <w:p w14:paraId="324E204A" w14:textId="45762D7F" w:rsidR="003E1D81" w:rsidRDefault="003E1D81">
            <w:pPr>
              <w:spacing w:after="0" w:line="240" w:lineRule="auto"/>
              <w:rPr>
                <w:rFonts w:ascii="Times New Roman" w:hAnsi="Times New Roman" w:cs="Times New Roman"/>
                <w:noProof/>
                <w:sz w:val="18"/>
              </w:rPr>
            </w:pPr>
          </w:p>
          <w:p w14:paraId="43858E69" w14:textId="45762D7F" w:rsidR="003E1D81" w:rsidRDefault="00EB481C">
            <w:pPr>
              <w:pStyle w:val="P68B1DB1-Normal13"/>
              <w:spacing w:after="0" w:line="240" w:lineRule="auto"/>
              <w:rPr>
                <w:rFonts w:cs="Times New Roman"/>
                <w:noProof/>
              </w:rPr>
            </w:pPr>
            <w:r>
              <w:rPr>
                <w:noProof/>
              </w:rPr>
              <w:t>• Frontera francesa-Barcelona/Tarragona-Vandellós</w:t>
            </w:r>
          </w:p>
          <w:p w14:paraId="4A5AD4EF" w14:textId="45762D7F" w:rsidR="003E1D81" w:rsidRDefault="00EB481C">
            <w:pPr>
              <w:pStyle w:val="P68B1DB1-Normal8"/>
              <w:spacing w:after="0" w:line="240" w:lineRule="auto"/>
              <w:rPr>
                <w:rFonts w:cs="Times New Roman"/>
                <w:noProof/>
                <w:sz w:val="18"/>
              </w:rPr>
            </w:pPr>
            <w:r>
              <w:rPr>
                <w:noProof/>
                <w:sz w:val="18"/>
              </w:rPr>
              <w:t>• Vandellós-Castellón</w:t>
            </w:r>
            <w:r>
              <w:rPr>
                <w:noProof/>
              </w:rPr>
              <w:br/>
            </w:r>
            <w:r>
              <w:rPr>
                <w:noProof/>
                <w:sz w:val="18"/>
              </w:rPr>
              <w:t>• Sagunto-Teruel – Zaragoza</w:t>
            </w:r>
            <w:r>
              <w:rPr>
                <w:noProof/>
              </w:rPr>
              <w:br/>
              <w:t xml:space="preserve"> </w:t>
            </w:r>
            <w:r>
              <w:rPr>
                <w:noProof/>
                <w:sz w:val="18"/>
              </w:rPr>
              <w:t>• Zaragoza-Tarragona</w:t>
            </w:r>
            <w:r>
              <w:rPr>
                <w:noProof/>
              </w:rPr>
              <w:br/>
              <w:t xml:space="preserve"> </w:t>
            </w:r>
            <w:r>
              <w:rPr>
                <w:noProof/>
                <w:sz w:val="18"/>
              </w:rPr>
              <w:t>• Castellón-Valencia-La Encina-Alicante</w:t>
            </w:r>
          </w:p>
          <w:p w14:paraId="7246D609" w14:textId="7888A4DB" w:rsidR="003E1D81" w:rsidRDefault="00EB481C">
            <w:pPr>
              <w:pStyle w:val="P68B1DB1-Normal8"/>
              <w:spacing w:after="0"/>
              <w:rPr>
                <w:rFonts w:cs="Times New Roman"/>
                <w:noProof/>
                <w:sz w:val="18"/>
              </w:rPr>
            </w:pPr>
            <w:r>
              <w:rPr>
                <w:noProof/>
                <w:sz w:val="18"/>
              </w:rPr>
              <w:t>• Alcázar de San Juan-La Encina</w:t>
            </w:r>
            <w:r>
              <w:rPr>
                <w:noProof/>
              </w:rPr>
              <w:br/>
            </w:r>
            <w:r>
              <w:rPr>
                <w:noProof/>
                <w:sz w:val="18"/>
              </w:rPr>
              <w:t>• Murcia-Cartagena</w:t>
            </w:r>
            <w:r>
              <w:rPr>
                <w:noProof/>
              </w:rPr>
              <w:br/>
              <w:t xml:space="preserve"> </w:t>
            </w:r>
            <w:r>
              <w:rPr>
                <w:noProof/>
                <w:sz w:val="18"/>
              </w:rPr>
              <w:t xml:space="preserve">• </w:t>
            </w:r>
            <w:r>
              <w:rPr>
                <w:noProof/>
                <w:sz w:val="18"/>
              </w:rPr>
              <w:t>Murcia-Almería</w:t>
            </w:r>
          </w:p>
          <w:p w14:paraId="6D7E4E24" w14:textId="45762D7F" w:rsidR="003E1D81" w:rsidRDefault="00EB481C">
            <w:pPr>
              <w:pStyle w:val="P68B1DB1-Normal13"/>
              <w:spacing w:after="0"/>
              <w:rPr>
                <w:rFonts w:cs="Times New Roman"/>
                <w:noProof/>
              </w:rPr>
            </w:pPr>
            <w:r>
              <w:rPr>
                <w:noProof/>
              </w:rPr>
              <w:t>• Utrera-Antequera Santa Ana</w:t>
            </w:r>
          </w:p>
          <w:p w14:paraId="2188A029" w14:textId="45762D7F" w:rsidR="003E1D81" w:rsidRDefault="00EB481C">
            <w:pPr>
              <w:pStyle w:val="P68B1DB1-Normal13"/>
              <w:spacing w:after="0"/>
              <w:jc w:val="both"/>
              <w:rPr>
                <w:rFonts w:cs="Times New Roman"/>
                <w:noProof/>
              </w:rPr>
            </w:pPr>
            <w:r>
              <w:rPr>
                <w:noProof/>
              </w:rPr>
              <w:t>• Madrid-Valencia</w:t>
            </w:r>
          </w:p>
          <w:p w14:paraId="5EB1FC24" w14:textId="5C2E2EAD" w:rsidR="003E1D81" w:rsidRDefault="00EB481C">
            <w:pPr>
              <w:pStyle w:val="P68B1DB1-Normal8"/>
              <w:spacing w:after="0" w:line="240" w:lineRule="auto"/>
              <w:rPr>
                <w:rFonts w:cs="Times New Roman"/>
                <w:noProof/>
                <w:sz w:val="18"/>
              </w:rPr>
            </w:pPr>
            <w:r>
              <w:rPr>
                <w:noProof/>
              </w:rPr>
              <w:br/>
            </w:r>
            <w:r>
              <w:rPr>
                <w:noProof/>
                <w:sz w:val="18"/>
              </w:rPr>
              <w:t>MINDKÉT FOLYOSÓ KÖZÖS</w:t>
            </w:r>
            <w:r>
              <w:rPr>
                <w:noProof/>
              </w:rPr>
              <w:br/>
              <w:t xml:space="preserve"> </w:t>
            </w:r>
            <w:r>
              <w:rPr>
                <w:noProof/>
                <w:sz w:val="18"/>
              </w:rPr>
              <w:t>• A HSL Barcelona és a HSL Levante összekapcsolása</w:t>
            </w:r>
            <w:r>
              <w:rPr>
                <w:noProof/>
              </w:rPr>
              <w:br/>
              <w:t xml:space="preserve"> </w:t>
            </w:r>
            <w:r>
              <w:rPr>
                <w:noProof/>
                <w:sz w:val="18"/>
              </w:rPr>
              <w:t>• Aranjuez-Alcázar de San Juan-Manzanares-Córdoba-Algeciras</w:t>
            </w:r>
            <w:r>
              <w:rPr>
                <w:noProof/>
              </w:rPr>
              <w:br/>
              <w:t xml:space="preserve"> </w:t>
            </w:r>
            <w:r>
              <w:rPr>
                <w:noProof/>
                <w:sz w:val="18"/>
              </w:rPr>
              <w:t>• Madrid-Sevilla</w:t>
            </w:r>
            <w:r>
              <w:rPr>
                <w:noProof/>
              </w:rPr>
              <w:br/>
              <w:t xml:space="preserve"> </w:t>
            </w:r>
            <w:r>
              <w:rPr>
                <w:noProof/>
                <w:sz w:val="18"/>
              </w:rPr>
              <w:t>A munkálatok a következő intézkedéstípu</w:t>
            </w:r>
            <w:r>
              <w:rPr>
                <w:noProof/>
                <w:sz w:val="18"/>
              </w:rPr>
              <w:t>sokat foglalják magukban:</w:t>
            </w:r>
            <w:r>
              <w:rPr>
                <w:noProof/>
              </w:rPr>
              <w:br/>
            </w:r>
            <w:r>
              <w:rPr>
                <w:noProof/>
                <w:sz w:val="18"/>
              </w:rPr>
              <w:t>• Platform. Olyan projekteket foglal magában, amelyek lehetővé teszik a vágányokat támogató infrastruktúra kialakítását, és amelyek gátakat, távolságot, viaduktcsatornákat, alagutakat stb. foglalnak magukban. Ezek főként új infras</w:t>
            </w:r>
            <w:r>
              <w:rPr>
                <w:noProof/>
                <w:sz w:val="18"/>
              </w:rPr>
              <w:t>truktúra építéséről szólnak.</w:t>
            </w:r>
            <w:r>
              <w:rPr>
                <w:noProof/>
              </w:rPr>
              <w:br/>
            </w:r>
            <w:r>
              <w:rPr>
                <w:noProof/>
                <w:sz w:val="18"/>
              </w:rPr>
              <w:t>• A szolgáltatások helyettesítése. Ide tartoznak a vasúti munkálatok kivitelezése során érintett meglévő szolgáltatások (fény, öntözés, víz stb.) helyreállítására irányuló intézkedések.</w:t>
            </w:r>
            <w:r>
              <w:rPr>
                <w:noProof/>
              </w:rPr>
              <w:br/>
            </w:r>
            <w:r>
              <w:rPr>
                <w:noProof/>
                <w:sz w:val="18"/>
              </w:rPr>
              <w:t>• Vágányok. Ez magában foglalja az új vas</w:t>
            </w:r>
            <w:r>
              <w:rPr>
                <w:noProof/>
                <w:sz w:val="18"/>
              </w:rPr>
              <w:t>úti szakaszokon a vágányanyagok (ágyazat, aljak, sín, váltók és expanziós eszközök) összeszerelésére és szállítására, valamint a meglévő vágányok felújítására irányuló intézkedéseket.</w:t>
            </w:r>
            <w:r>
              <w:rPr>
                <w:noProof/>
              </w:rPr>
              <w:br/>
            </w:r>
            <w:r>
              <w:rPr>
                <w:noProof/>
                <w:sz w:val="18"/>
              </w:rPr>
              <w:t>• Villamos energia. Ide tartoznak a vonalak villamosítására irányuló int</w:t>
            </w:r>
            <w:r>
              <w:rPr>
                <w:noProof/>
                <w:sz w:val="18"/>
              </w:rPr>
              <w:t>ézkedések, többek között a következők: felsővezeték, vontatási alállomások, átalakítási központok, távvezérlő, nagyfeszültségű elektromos vezetékek stb.</w:t>
            </w:r>
            <w:r>
              <w:rPr>
                <w:noProof/>
              </w:rPr>
              <w:br/>
              <w:t xml:space="preserve"> </w:t>
            </w:r>
            <w:r>
              <w:rPr>
                <w:noProof/>
                <w:sz w:val="18"/>
              </w:rPr>
              <w:t>• A forgalom jelzése és ellenőrzése. Ide tartoznak az új jelző- és forgalomirányítási rendszerek (ERTM</w:t>
            </w:r>
            <w:r>
              <w:rPr>
                <w:noProof/>
                <w:sz w:val="18"/>
              </w:rPr>
              <w:t>S stb.) megvalósítását célzó projektek.</w:t>
            </w:r>
            <w:r>
              <w:rPr>
                <w:noProof/>
              </w:rPr>
              <w:br/>
            </w:r>
            <w:r>
              <w:rPr>
                <w:noProof/>
                <w:sz w:val="18"/>
              </w:rPr>
              <w:t>• Távközlés. Ide tartoznak a vezetékes és mobil távközléssel kapcsolatos projektek a vasútvonalakon (például optikai szálas, GSM-R)</w:t>
            </w:r>
            <w:r>
              <w:rPr>
                <w:noProof/>
              </w:rPr>
              <w:br/>
              <w:t xml:space="preserve"> </w:t>
            </w:r>
            <w:r>
              <w:rPr>
                <w:noProof/>
                <w:sz w:val="18"/>
              </w:rPr>
              <w:t>• Állomások. Magában foglalja a meglévő állomások korszerűsítését és rehabilitációj</w:t>
            </w:r>
            <w:r>
              <w:rPr>
                <w:noProof/>
                <w:sz w:val="18"/>
              </w:rPr>
              <w:t>át, valamint új állomások építését.</w:t>
            </w:r>
          </w:p>
        </w:tc>
      </w:tr>
      <w:tr w:rsidR="003E1D81" w14:paraId="79F038B6" w14:textId="77777777">
        <w:trPr>
          <w:trHeight w:val="309"/>
        </w:trPr>
        <w:tc>
          <w:tcPr>
            <w:tcW w:w="709" w:type="dxa"/>
            <w:shd w:val="clear" w:color="auto" w:fill="C6EFCE"/>
            <w:noWrap/>
          </w:tcPr>
          <w:p w14:paraId="4894D1EF" w14:textId="77777777" w:rsidR="003E1D81" w:rsidRDefault="00EB481C">
            <w:pPr>
              <w:pStyle w:val="P68B1DB1-Normal13"/>
              <w:spacing w:after="0" w:line="240" w:lineRule="auto"/>
              <w:jc w:val="center"/>
              <w:rPr>
                <w:rFonts w:cs="Times New Roman"/>
                <w:noProof/>
              </w:rPr>
            </w:pPr>
            <w:r>
              <w:rPr>
                <w:noProof/>
              </w:rPr>
              <w:t>86</w:t>
            </w:r>
          </w:p>
        </w:tc>
        <w:tc>
          <w:tcPr>
            <w:tcW w:w="851" w:type="dxa"/>
            <w:shd w:val="clear" w:color="auto" w:fill="C6EFCE"/>
            <w:noWrap/>
          </w:tcPr>
          <w:p w14:paraId="6E297F68" w14:textId="77777777" w:rsidR="003E1D81" w:rsidRDefault="00EB481C">
            <w:pPr>
              <w:pStyle w:val="P68B1DB1-Normal13"/>
              <w:spacing w:after="0" w:line="240" w:lineRule="auto"/>
              <w:jc w:val="center"/>
              <w:rPr>
                <w:rFonts w:cs="Times New Roman"/>
                <w:noProof/>
              </w:rPr>
            </w:pPr>
            <w:r>
              <w:rPr>
                <w:noProof/>
              </w:rPr>
              <w:t>C6.I1</w:t>
            </w:r>
          </w:p>
        </w:tc>
        <w:tc>
          <w:tcPr>
            <w:tcW w:w="850" w:type="dxa"/>
            <w:shd w:val="clear" w:color="auto" w:fill="C6EFCE"/>
            <w:noWrap/>
          </w:tcPr>
          <w:p w14:paraId="5CEACC07" w14:textId="77777777" w:rsidR="003E1D81" w:rsidRDefault="00EB481C">
            <w:pPr>
              <w:pStyle w:val="P68B1DB1-Normal13"/>
              <w:spacing w:after="0" w:line="240" w:lineRule="auto"/>
              <w:jc w:val="center"/>
              <w:rPr>
                <w:rFonts w:cs="Times New Roman"/>
                <w:noProof/>
              </w:rPr>
            </w:pPr>
            <w:r>
              <w:rPr>
                <w:noProof/>
              </w:rPr>
              <w:t>T</w:t>
            </w:r>
          </w:p>
        </w:tc>
        <w:tc>
          <w:tcPr>
            <w:tcW w:w="1560" w:type="dxa"/>
            <w:shd w:val="clear" w:color="auto" w:fill="C6EFCE"/>
            <w:noWrap/>
          </w:tcPr>
          <w:p w14:paraId="73D30899" w14:textId="77777777" w:rsidR="003E1D81" w:rsidRDefault="00EB481C">
            <w:pPr>
              <w:pStyle w:val="P68B1DB1-Normal13"/>
              <w:spacing w:after="0" w:line="240" w:lineRule="auto"/>
              <w:rPr>
                <w:rFonts w:cs="Times New Roman"/>
                <w:noProof/>
              </w:rPr>
            </w:pPr>
            <w:r>
              <w:rPr>
                <w:noProof/>
              </w:rPr>
              <w:t xml:space="preserve">TEN-T törzshálózat: a munka előrehaladása </w:t>
            </w:r>
          </w:p>
        </w:tc>
        <w:tc>
          <w:tcPr>
            <w:tcW w:w="1134" w:type="dxa"/>
            <w:shd w:val="clear" w:color="auto" w:fill="C6EFCE"/>
            <w:noWrap/>
          </w:tcPr>
          <w:p w14:paraId="6A09E912" w14:textId="77777777" w:rsidR="003E1D81" w:rsidRDefault="00EB481C">
            <w:pPr>
              <w:pStyle w:val="P68B1DB1-Normal13"/>
              <w:spacing w:after="0" w:line="240" w:lineRule="auto"/>
              <w:jc w:val="center"/>
              <w:rPr>
                <w:rFonts w:cs="Times New Roman"/>
                <w:noProof/>
              </w:rPr>
            </w:pPr>
            <w:r>
              <w:rPr>
                <w:noProof/>
              </w:rPr>
              <w:t>–</w:t>
            </w:r>
          </w:p>
        </w:tc>
        <w:tc>
          <w:tcPr>
            <w:tcW w:w="850" w:type="dxa"/>
            <w:shd w:val="clear" w:color="auto" w:fill="C6EFCE"/>
            <w:noWrap/>
          </w:tcPr>
          <w:p w14:paraId="3E935E90" w14:textId="77777777" w:rsidR="003E1D81" w:rsidRDefault="00EB481C">
            <w:pPr>
              <w:pStyle w:val="P68B1DB1-Normal13"/>
              <w:spacing w:after="0" w:line="240" w:lineRule="auto"/>
              <w:jc w:val="center"/>
              <w:rPr>
                <w:rFonts w:cs="Times New Roman"/>
                <w:noProof/>
              </w:rPr>
            </w:pPr>
            <w:r>
              <w:rPr>
                <w:noProof/>
              </w:rPr>
              <w:t>Szám (km)</w:t>
            </w:r>
          </w:p>
        </w:tc>
        <w:tc>
          <w:tcPr>
            <w:tcW w:w="567" w:type="dxa"/>
            <w:shd w:val="clear" w:color="auto" w:fill="C6EFCE"/>
            <w:noWrap/>
          </w:tcPr>
          <w:p w14:paraId="674C0320" w14:textId="77777777" w:rsidR="003E1D81" w:rsidRDefault="00EB481C">
            <w:pPr>
              <w:pStyle w:val="P68B1DB1-Normal13"/>
              <w:spacing w:after="0" w:line="240" w:lineRule="auto"/>
              <w:jc w:val="right"/>
              <w:rPr>
                <w:rFonts w:cs="Times New Roman"/>
                <w:noProof/>
              </w:rPr>
            </w:pPr>
            <w:r>
              <w:rPr>
                <w:noProof/>
              </w:rPr>
              <w:t>0</w:t>
            </w:r>
          </w:p>
        </w:tc>
        <w:tc>
          <w:tcPr>
            <w:tcW w:w="567" w:type="dxa"/>
            <w:shd w:val="clear" w:color="auto" w:fill="C6EFCE"/>
            <w:noWrap/>
          </w:tcPr>
          <w:p w14:paraId="14BEB24D" w14:textId="77777777" w:rsidR="003E1D81" w:rsidRDefault="00EB481C">
            <w:pPr>
              <w:pStyle w:val="P68B1DB1-Normal13"/>
              <w:spacing w:after="0" w:line="240" w:lineRule="auto"/>
              <w:jc w:val="right"/>
              <w:rPr>
                <w:rFonts w:cs="Times New Roman"/>
                <w:noProof/>
              </w:rPr>
            </w:pPr>
            <w:r>
              <w:rPr>
                <w:noProof/>
              </w:rPr>
              <w:t>335</w:t>
            </w:r>
          </w:p>
        </w:tc>
        <w:tc>
          <w:tcPr>
            <w:tcW w:w="425" w:type="dxa"/>
            <w:shd w:val="clear" w:color="auto" w:fill="C6EFCE"/>
            <w:noWrap/>
          </w:tcPr>
          <w:p w14:paraId="0171B95B"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665BC6A2" w14:textId="77777777" w:rsidR="003E1D81" w:rsidRDefault="00EB481C">
            <w:pPr>
              <w:pStyle w:val="P68B1DB1-Normal13"/>
              <w:spacing w:after="0" w:line="240" w:lineRule="auto"/>
              <w:jc w:val="center"/>
              <w:rPr>
                <w:rFonts w:cs="Times New Roman"/>
                <w:noProof/>
              </w:rPr>
            </w:pPr>
            <w:r>
              <w:rPr>
                <w:noProof/>
              </w:rPr>
              <w:t>2024</w:t>
            </w:r>
          </w:p>
        </w:tc>
        <w:tc>
          <w:tcPr>
            <w:tcW w:w="6066" w:type="dxa"/>
            <w:shd w:val="clear" w:color="auto" w:fill="C6EFCE"/>
            <w:noWrap/>
          </w:tcPr>
          <w:p w14:paraId="3DD4BD97" w14:textId="77777777" w:rsidR="003E1D81" w:rsidRDefault="00EB481C">
            <w:pPr>
              <w:pStyle w:val="P68B1DB1-Normal13"/>
              <w:spacing w:after="0" w:line="240" w:lineRule="auto"/>
              <w:rPr>
                <w:rFonts w:cs="Times New Roman"/>
                <w:noProof/>
              </w:rPr>
            </w:pPr>
            <w:r>
              <w:rPr>
                <w:noProof/>
              </w:rPr>
              <w:t xml:space="preserve">Legalább 335 km befejezett munkálat a TEN-T törzshálózaton a folyosókon, a 2022 negyedik negyedévére vonatkozó #85. célban meghatározott jellemzőkkel </w:t>
            </w:r>
          </w:p>
        </w:tc>
      </w:tr>
      <w:tr w:rsidR="003E1D81" w14:paraId="33F640E8" w14:textId="77777777">
        <w:trPr>
          <w:trHeight w:val="309"/>
        </w:trPr>
        <w:tc>
          <w:tcPr>
            <w:tcW w:w="709" w:type="dxa"/>
            <w:shd w:val="clear" w:color="auto" w:fill="C6EFCE"/>
            <w:noWrap/>
          </w:tcPr>
          <w:p w14:paraId="67DDB69B" w14:textId="77777777" w:rsidR="003E1D81" w:rsidRDefault="00EB481C">
            <w:pPr>
              <w:pStyle w:val="P68B1DB1-Normal13"/>
              <w:spacing w:after="0" w:line="240" w:lineRule="auto"/>
              <w:jc w:val="center"/>
              <w:rPr>
                <w:rFonts w:eastAsia="Calibri" w:cs="Times New Roman"/>
                <w:noProof/>
              </w:rPr>
            </w:pPr>
            <w:r>
              <w:rPr>
                <w:noProof/>
              </w:rPr>
              <w:t>87</w:t>
            </w:r>
          </w:p>
        </w:tc>
        <w:tc>
          <w:tcPr>
            <w:tcW w:w="851" w:type="dxa"/>
            <w:shd w:val="clear" w:color="auto" w:fill="C6EFCE"/>
            <w:noWrap/>
          </w:tcPr>
          <w:p w14:paraId="1322D1FC" w14:textId="77777777" w:rsidR="003E1D81" w:rsidRDefault="00EB481C">
            <w:pPr>
              <w:pStyle w:val="P68B1DB1-Normal13"/>
              <w:spacing w:after="0" w:line="240" w:lineRule="auto"/>
              <w:jc w:val="center"/>
              <w:rPr>
                <w:rFonts w:eastAsia="Calibri" w:cs="Times New Roman"/>
                <w:noProof/>
              </w:rPr>
            </w:pPr>
            <w:r>
              <w:rPr>
                <w:noProof/>
              </w:rPr>
              <w:t>C6.I1</w:t>
            </w:r>
          </w:p>
        </w:tc>
        <w:tc>
          <w:tcPr>
            <w:tcW w:w="850" w:type="dxa"/>
            <w:shd w:val="clear" w:color="auto" w:fill="C6EFCE"/>
            <w:noWrap/>
          </w:tcPr>
          <w:p w14:paraId="3C81BE46" w14:textId="77777777" w:rsidR="003E1D81" w:rsidRDefault="00EB481C">
            <w:pPr>
              <w:pStyle w:val="P68B1DB1-Normal13"/>
              <w:spacing w:after="0" w:line="240" w:lineRule="auto"/>
              <w:jc w:val="center"/>
              <w:rPr>
                <w:rFonts w:eastAsia="Calibri" w:cs="Times New Roman"/>
                <w:noProof/>
              </w:rPr>
            </w:pPr>
            <w:r>
              <w:rPr>
                <w:noProof/>
              </w:rPr>
              <w:t>T</w:t>
            </w:r>
          </w:p>
        </w:tc>
        <w:tc>
          <w:tcPr>
            <w:tcW w:w="1560" w:type="dxa"/>
            <w:shd w:val="clear" w:color="auto" w:fill="C6EFCE"/>
            <w:noWrap/>
          </w:tcPr>
          <w:p w14:paraId="70B957AF" w14:textId="77777777" w:rsidR="003E1D81" w:rsidRDefault="00EB481C">
            <w:pPr>
              <w:pStyle w:val="P68B1DB1-Normal13"/>
              <w:spacing w:after="0" w:line="240" w:lineRule="auto"/>
              <w:rPr>
                <w:rFonts w:eastAsia="Calibri" w:cs="Times New Roman"/>
                <w:noProof/>
              </w:rPr>
            </w:pPr>
            <w:r>
              <w:rPr>
                <w:noProof/>
              </w:rPr>
              <w:t xml:space="preserve">TEN-T törzshálózat: a munkálatok befejezése </w:t>
            </w:r>
          </w:p>
        </w:tc>
        <w:tc>
          <w:tcPr>
            <w:tcW w:w="1134" w:type="dxa"/>
            <w:shd w:val="clear" w:color="auto" w:fill="C6EFCE"/>
            <w:noWrap/>
          </w:tcPr>
          <w:p w14:paraId="33E67AC6" w14:textId="77777777" w:rsidR="003E1D81" w:rsidRDefault="00EB481C">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1C84F6D9" w14:textId="77777777" w:rsidR="003E1D81" w:rsidRDefault="00EB481C">
            <w:pPr>
              <w:pStyle w:val="P68B1DB1-Normal13"/>
              <w:spacing w:after="0" w:line="240" w:lineRule="auto"/>
              <w:jc w:val="center"/>
              <w:rPr>
                <w:rFonts w:eastAsia="Calibri" w:cs="Times New Roman"/>
                <w:noProof/>
              </w:rPr>
            </w:pPr>
            <w:r>
              <w:rPr>
                <w:noProof/>
              </w:rPr>
              <w:t>Szám (km)</w:t>
            </w:r>
          </w:p>
        </w:tc>
        <w:tc>
          <w:tcPr>
            <w:tcW w:w="567" w:type="dxa"/>
            <w:shd w:val="clear" w:color="auto" w:fill="C6EFCE"/>
            <w:noWrap/>
          </w:tcPr>
          <w:p w14:paraId="2996073B" w14:textId="77777777" w:rsidR="003E1D81" w:rsidRDefault="00EB481C">
            <w:pPr>
              <w:pStyle w:val="P68B1DB1-Normal13"/>
              <w:spacing w:after="0" w:line="240" w:lineRule="auto"/>
              <w:jc w:val="right"/>
              <w:rPr>
                <w:rFonts w:eastAsia="Calibri" w:cs="Times New Roman"/>
                <w:noProof/>
              </w:rPr>
            </w:pPr>
            <w:r>
              <w:rPr>
                <w:noProof/>
              </w:rPr>
              <w:t>335</w:t>
            </w:r>
          </w:p>
        </w:tc>
        <w:tc>
          <w:tcPr>
            <w:tcW w:w="567" w:type="dxa"/>
            <w:shd w:val="clear" w:color="auto" w:fill="C6EFCE"/>
            <w:noWrap/>
          </w:tcPr>
          <w:p w14:paraId="6671B730" w14:textId="77777777" w:rsidR="003E1D81" w:rsidRDefault="00EB481C">
            <w:pPr>
              <w:pStyle w:val="P68B1DB1-Normal13"/>
              <w:spacing w:after="0" w:line="240" w:lineRule="auto"/>
              <w:jc w:val="right"/>
              <w:rPr>
                <w:rFonts w:eastAsia="Calibri" w:cs="Times New Roman"/>
                <w:noProof/>
              </w:rPr>
            </w:pPr>
            <w:r>
              <w:rPr>
                <w:noProof/>
              </w:rPr>
              <w:t>1 400</w:t>
            </w:r>
          </w:p>
        </w:tc>
        <w:tc>
          <w:tcPr>
            <w:tcW w:w="425" w:type="dxa"/>
            <w:shd w:val="clear" w:color="auto" w:fill="C6EFCE"/>
            <w:noWrap/>
          </w:tcPr>
          <w:p w14:paraId="39627014" w14:textId="77777777" w:rsidR="003E1D81" w:rsidRDefault="00EB481C">
            <w:pPr>
              <w:pStyle w:val="P68B1DB1-Normal13"/>
              <w:spacing w:after="0" w:line="240" w:lineRule="auto"/>
              <w:jc w:val="center"/>
              <w:rPr>
                <w:rFonts w:eastAsia="Calibri" w:cs="Times New Roman"/>
                <w:noProof/>
              </w:rPr>
            </w:pPr>
            <w:r>
              <w:rPr>
                <w:noProof/>
              </w:rPr>
              <w:t>KÉRDÉS</w:t>
            </w:r>
          </w:p>
        </w:tc>
        <w:tc>
          <w:tcPr>
            <w:tcW w:w="567" w:type="dxa"/>
            <w:shd w:val="clear" w:color="auto" w:fill="C6EFCE"/>
            <w:noWrap/>
          </w:tcPr>
          <w:p w14:paraId="10641807" w14:textId="77777777" w:rsidR="003E1D81" w:rsidRDefault="00EB481C">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79709815" w14:textId="77777777" w:rsidR="003E1D81" w:rsidRDefault="00EB481C">
            <w:pPr>
              <w:pStyle w:val="P68B1DB1-Normal13"/>
              <w:spacing w:after="0" w:line="240" w:lineRule="auto"/>
              <w:rPr>
                <w:rFonts w:eastAsia="Calibri" w:cs="Times New Roman"/>
                <w:noProof/>
              </w:rPr>
            </w:pPr>
            <w:r>
              <w:rPr>
                <w:noProof/>
              </w:rPr>
              <w:t xml:space="preserve">Legalább 1400 </w:t>
            </w:r>
            <w:r>
              <w:rPr>
                <w:noProof/>
              </w:rPr>
              <w:t>kilométernyi befejezett munkálat a TEN-T törzshálózaton a folyosókon, a 2022 negyedik negyedévének #85. céljában meghatározott jellemzőkkel. (alapforgatókönyv: 2024. december 31.)</w:t>
            </w:r>
          </w:p>
        </w:tc>
      </w:tr>
      <w:tr w:rsidR="003E1D81" w14:paraId="476E2B6F" w14:textId="77777777">
        <w:trPr>
          <w:trHeight w:val="309"/>
        </w:trPr>
        <w:tc>
          <w:tcPr>
            <w:tcW w:w="709" w:type="dxa"/>
            <w:shd w:val="clear" w:color="auto" w:fill="C6EFCE"/>
            <w:noWrap/>
          </w:tcPr>
          <w:p w14:paraId="1DCB3458" w14:textId="77777777" w:rsidR="003E1D81" w:rsidRDefault="00EB481C">
            <w:pPr>
              <w:pStyle w:val="P68B1DB1-Normal13"/>
              <w:spacing w:after="0" w:line="240" w:lineRule="auto"/>
              <w:jc w:val="center"/>
              <w:rPr>
                <w:rFonts w:eastAsia="Calibri" w:cs="Times New Roman"/>
                <w:noProof/>
              </w:rPr>
            </w:pPr>
            <w:r>
              <w:rPr>
                <w:noProof/>
              </w:rPr>
              <w:t>88</w:t>
            </w:r>
          </w:p>
        </w:tc>
        <w:tc>
          <w:tcPr>
            <w:tcW w:w="851" w:type="dxa"/>
            <w:shd w:val="clear" w:color="auto" w:fill="C6EFCE"/>
            <w:noWrap/>
          </w:tcPr>
          <w:p w14:paraId="36E9323E" w14:textId="77777777" w:rsidR="003E1D81" w:rsidRDefault="00EB481C">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374870AA" w14:textId="77777777" w:rsidR="003E1D81" w:rsidRDefault="00EB481C">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11FE6E32" w14:textId="77777777" w:rsidR="003E1D81" w:rsidRDefault="00EB481C">
            <w:pPr>
              <w:pStyle w:val="P68B1DB1-Normal13"/>
              <w:spacing w:after="0" w:line="240" w:lineRule="auto"/>
              <w:rPr>
                <w:rFonts w:eastAsia="Calibri" w:cs="Times New Roman"/>
                <w:noProof/>
              </w:rPr>
            </w:pPr>
            <w:r>
              <w:rPr>
                <w:noProof/>
              </w:rPr>
              <w:t xml:space="preserve">TEN-T hálózat különböző közlekedési módok (vasúti és közúti): </w:t>
            </w:r>
            <w:r>
              <w:rPr>
                <w:noProof/>
              </w:rPr>
              <w:t>részleges költségvetési juttatás</w:t>
            </w:r>
          </w:p>
        </w:tc>
        <w:tc>
          <w:tcPr>
            <w:tcW w:w="1134" w:type="dxa"/>
            <w:shd w:val="clear" w:color="auto" w:fill="C6EFCE"/>
            <w:noWrap/>
          </w:tcPr>
          <w:p w14:paraId="112BB7C3" w14:textId="77777777" w:rsidR="003E1D81" w:rsidRDefault="00EB481C">
            <w:pPr>
              <w:pStyle w:val="P68B1DB1-Normal13"/>
              <w:spacing w:after="0" w:line="240" w:lineRule="auto"/>
              <w:jc w:val="center"/>
              <w:rPr>
                <w:rFonts w:eastAsia="Calibri" w:cs="Times New Roman"/>
                <w:noProof/>
              </w:rPr>
            </w:pPr>
            <w:r>
              <w:rPr>
                <w:noProof/>
              </w:rPr>
              <w:t>Hivatalos értesítés a projekt odaítéléséről–</w:t>
            </w:r>
          </w:p>
        </w:tc>
        <w:tc>
          <w:tcPr>
            <w:tcW w:w="850" w:type="dxa"/>
            <w:shd w:val="clear" w:color="auto" w:fill="C6EFCE"/>
            <w:noWrap/>
          </w:tcPr>
          <w:p w14:paraId="3BAC30D4" w14:textId="77777777" w:rsidR="003E1D81" w:rsidRDefault="00EB481C">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77ABD302"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68605206" w14:textId="77777777" w:rsidR="003E1D81" w:rsidRDefault="00EB481C">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79A890B5" w14:textId="77777777" w:rsidR="003E1D81" w:rsidRDefault="00EB481C">
            <w:pPr>
              <w:pStyle w:val="P68B1DB1-Normal13"/>
              <w:spacing w:after="0" w:line="240" w:lineRule="auto"/>
              <w:jc w:val="center"/>
              <w:rPr>
                <w:rFonts w:eastAsia="Calibri" w:cs="Times New Roman"/>
                <w:noProof/>
              </w:rPr>
            </w:pPr>
            <w:r>
              <w:rPr>
                <w:noProof/>
              </w:rPr>
              <w:t>NEGYEDÉV</w:t>
            </w:r>
          </w:p>
        </w:tc>
        <w:tc>
          <w:tcPr>
            <w:tcW w:w="567" w:type="dxa"/>
            <w:shd w:val="clear" w:color="auto" w:fill="C6EFCE"/>
            <w:noWrap/>
          </w:tcPr>
          <w:p w14:paraId="069484E3" w14:textId="77777777" w:rsidR="003E1D81" w:rsidRDefault="00EB481C">
            <w:pPr>
              <w:pStyle w:val="P68B1DB1-Normal13"/>
              <w:spacing w:after="0" w:line="240" w:lineRule="auto"/>
              <w:jc w:val="center"/>
              <w:rPr>
                <w:rFonts w:eastAsia="Calibri" w:cs="Times New Roman"/>
                <w:noProof/>
              </w:rPr>
            </w:pPr>
            <w:r>
              <w:rPr>
                <w:noProof/>
              </w:rPr>
              <w:t>2022</w:t>
            </w:r>
          </w:p>
        </w:tc>
        <w:tc>
          <w:tcPr>
            <w:tcW w:w="6066" w:type="dxa"/>
            <w:shd w:val="clear" w:color="auto" w:fill="C6EFCE"/>
            <w:noWrap/>
          </w:tcPr>
          <w:p w14:paraId="29B783A3" w14:textId="40AD83B7" w:rsidR="003E1D81" w:rsidRDefault="00EB481C">
            <w:pPr>
              <w:pStyle w:val="P68B1DB1-Normal13"/>
              <w:spacing w:after="0" w:line="240" w:lineRule="auto"/>
              <w:rPr>
                <w:rFonts w:eastAsia="Calibri" w:cs="Times New Roman"/>
                <w:noProof/>
              </w:rPr>
            </w:pPr>
            <w:r>
              <w:rPr>
                <w:noProof/>
              </w:rPr>
              <w:t>A TEN-T törzshálózathoz nem kapcsolódó, különböző közlekedési módokra (vasúti és közúti) irányuló beavatkozásokra odaítélt kumulált költségvetés (teljes költs</w:t>
            </w:r>
            <w:r>
              <w:rPr>
                <w:noProof/>
              </w:rPr>
              <w:t>égvetés: 1 717 000 000 EUR). A projekteket a következő kiválasztási kritériumok alapján kell kiválasztani:</w:t>
            </w:r>
            <w:r>
              <w:rPr>
                <w:noProof/>
              </w:rPr>
              <w:br/>
              <w:t>a vasúti hálózat átjárhatóbbá tétele, főként a TEN-T-vel kapcsolatban, legalább 900 km hosszú hálózaton végzett munkálatokkal (1 010 000 000 EUR). Ez</w:t>
            </w:r>
            <w:r>
              <w:rPr>
                <w:noProof/>
              </w:rPr>
              <w:t xml:space="preserve"> a következő beavatkozásokat foglalja magában:</w:t>
            </w:r>
            <w:r>
              <w:rPr>
                <w:noProof/>
              </w:rPr>
              <w:br/>
              <w:t xml:space="preserve">• A vasúti forgalomirányítás technológiai infrastruktúrájának javítása </w:t>
            </w:r>
            <w:r>
              <w:rPr>
                <w:noProof/>
              </w:rPr>
              <w:br/>
              <w:t xml:space="preserve">• Biztonság (például kiberbiztonság, ütközésérzékelők telepítése) </w:t>
            </w:r>
            <w:r>
              <w:rPr>
                <w:noProof/>
              </w:rPr>
              <w:br/>
              <w:t xml:space="preserve">• Akusztikus védelem/zajtérképek </w:t>
            </w:r>
            <w:r>
              <w:rPr>
                <w:noProof/>
              </w:rPr>
              <w:br/>
              <w:t>• Az ERTMS vasúti jelzőrendszerére a</w:t>
            </w:r>
            <w:r>
              <w:rPr>
                <w:noProof/>
              </w:rPr>
              <w:t xml:space="preserve">lkalmazott műholdas technológia fejlesztése </w:t>
            </w:r>
            <w:r>
              <w:rPr>
                <w:noProof/>
              </w:rPr>
              <w:br/>
              <w:t xml:space="preserve">• Szakaszok villamosítása (például Monforte-Lugo) </w:t>
            </w:r>
            <w:r>
              <w:rPr>
                <w:noProof/>
              </w:rPr>
              <w:br/>
              <w:t xml:space="preserve">• Pályafelújítás (például Soria-Torralba, Xátiva-Ontinyent és Monforte-Lugo) </w:t>
            </w:r>
            <w:r>
              <w:rPr>
                <w:noProof/>
              </w:rPr>
              <w:br/>
              <w:t>• Az ellenőrző-irányító és jelző alrendszer javítása (például Soria-Torralba és Áv</w:t>
            </w:r>
            <w:r>
              <w:rPr>
                <w:noProof/>
              </w:rPr>
              <w:t xml:space="preserve">ila-Salamanca) </w:t>
            </w:r>
            <w:r>
              <w:rPr>
                <w:noProof/>
              </w:rPr>
              <w:br/>
              <w:t xml:space="preserve">• Új szakaszok vagy változatok létrehozása (például Palencia-Santander, a Rincón de Soto variánsa és Ourense Variant) </w:t>
            </w:r>
            <w:r>
              <w:rPr>
                <w:noProof/>
              </w:rPr>
              <w:br/>
              <w:t>az úthálózat biztonságosabbá tétele a nemzeti és európai jogszabályoknak megfelelően (707 000 000 EUR).</w:t>
            </w:r>
            <w:r>
              <w:rPr>
                <w:noProof/>
              </w:rPr>
              <w:br/>
              <w:t>• A közúti bizton</w:t>
            </w:r>
            <w:r>
              <w:rPr>
                <w:noProof/>
              </w:rPr>
              <w:t xml:space="preserve">ság javítása (beleértve a közúti közlekedésbiztonságot legalább 80 alagútban), valamint a veszélyeztetett vadon élő állatok és felhasználók védelme (357 000 000 EUR). </w:t>
            </w:r>
            <w:r>
              <w:rPr>
                <w:noProof/>
              </w:rPr>
              <w:br/>
              <w:t xml:space="preserve">• Fenntarthatóság, energiahatékonyság és zajcsökkentő intézkedések (302 000 000 EUR) </w:t>
            </w:r>
            <w:r>
              <w:rPr>
                <w:noProof/>
              </w:rPr>
              <w:br/>
              <w:t xml:space="preserve">• </w:t>
            </w:r>
            <w:r>
              <w:rPr>
                <w:noProof/>
              </w:rPr>
              <w:t xml:space="preserve">Digitalizáció: Hidakra, alagutakra vonatkozó nyomonkövetési rendszerek bevezetése a nagy adathalmazok elemzésének és a dolgok internetének felhasználásával; a nyomon követést és karbantartást szolgáló utak digitalizálása (35 000 000 EUR). </w:t>
            </w:r>
            <w:r>
              <w:rPr>
                <w:noProof/>
              </w:rPr>
              <w:br/>
              <w:t>• Intelligens kö</w:t>
            </w:r>
            <w:r>
              <w:rPr>
                <w:noProof/>
              </w:rPr>
              <w:t xml:space="preserve">zlekedési rendszerek megvalósítása a busz-VAO sávokban (13 000 000 EUR) </w:t>
            </w:r>
            <w:r>
              <w:rPr>
                <w:noProof/>
              </w:rPr>
              <w:br/>
              <w:t xml:space="preserve">• A Gibraltári-szoroson áthaladó állandó összeköttetés elsődleges előzetes tervezetének aktualizálása (2 300 000 EUR) </w:t>
            </w:r>
            <w:r>
              <w:rPr>
                <w:noProof/>
              </w:rPr>
              <w:br/>
              <w:t>A kiválasztási kritériumoknak biztosítaniuk kell, hogy 2026 máso</w:t>
            </w:r>
            <w:r>
              <w:rPr>
                <w:noProof/>
              </w:rPr>
              <w:t>dik negyedévében a Helyreállítási és Rezilienciaépítési Eszközről szóló (EU) 2021/241 rendelet VI. mellékletével összhangban legalább 1 010 000 000 EUR 100%-os éghajlati együtthatóval és legalább 301 000 000 EUR-val és legalább 40%-os éghajlati együtthatóv</w:t>
            </w:r>
            <w:r>
              <w:rPr>
                <w:noProof/>
              </w:rPr>
              <w:t>al járuljanak hozzá az éghajlatváltozással kapcsolatos célkitűzésekhez.</w:t>
            </w:r>
          </w:p>
        </w:tc>
      </w:tr>
      <w:tr w:rsidR="003E1D81" w14:paraId="53B93168" w14:textId="77777777">
        <w:trPr>
          <w:trHeight w:val="309"/>
        </w:trPr>
        <w:tc>
          <w:tcPr>
            <w:tcW w:w="709" w:type="dxa"/>
            <w:shd w:val="clear" w:color="auto" w:fill="C6EFCE"/>
            <w:noWrap/>
          </w:tcPr>
          <w:p w14:paraId="4EF93A77" w14:textId="77777777" w:rsidR="003E1D81" w:rsidRDefault="00EB481C">
            <w:pPr>
              <w:pStyle w:val="P68B1DB1-Normal13"/>
              <w:spacing w:after="0" w:line="240" w:lineRule="auto"/>
              <w:jc w:val="center"/>
              <w:rPr>
                <w:rFonts w:eastAsia="Calibri" w:cs="Times New Roman"/>
                <w:noProof/>
              </w:rPr>
            </w:pPr>
            <w:r>
              <w:rPr>
                <w:noProof/>
              </w:rPr>
              <w:t>89</w:t>
            </w:r>
          </w:p>
        </w:tc>
        <w:tc>
          <w:tcPr>
            <w:tcW w:w="851" w:type="dxa"/>
            <w:shd w:val="clear" w:color="auto" w:fill="C6EFCE"/>
            <w:noWrap/>
          </w:tcPr>
          <w:p w14:paraId="63469D30" w14:textId="77777777" w:rsidR="003E1D81" w:rsidRDefault="00EB481C">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7010B219" w14:textId="77777777" w:rsidR="003E1D81" w:rsidRDefault="00EB481C">
            <w:pPr>
              <w:pStyle w:val="P68B1DB1-Normal13"/>
              <w:spacing w:after="0" w:line="240" w:lineRule="auto"/>
              <w:jc w:val="center"/>
              <w:rPr>
                <w:rFonts w:eastAsia="Calibri" w:cs="Times New Roman"/>
                <w:noProof/>
              </w:rPr>
            </w:pPr>
            <w:r>
              <w:rPr>
                <w:noProof/>
              </w:rPr>
              <w:t>T</w:t>
            </w:r>
          </w:p>
        </w:tc>
        <w:tc>
          <w:tcPr>
            <w:tcW w:w="1560" w:type="dxa"/>
            <w:shd w:val="clear" w:color="auto" w:fill="C6EFCE"/>
            <w:noWrap/>
          </w:tcPr>
          <w:p w14:paraId="76322FAB" w14:textId="77777777" w:rsidR="003E1D81" w:rsidRDefault="00EB481C">
            <w:pPr>
              <w:pStyle w:val="P68B1DB1-Normal13"/>
              <w:spacing w:after="0" w:line="240" w:lineRule="auto"/>
              <w:rPr>
                <w:rFonts w:eastAsia="Calibri" w:cs="Times New Roman"/>
                <w:noProof/>
              </w:rPr>
            </w:pPr>
            <w:r>
              <w:rPr>
                <w:noProof/>
              </w:rPr>
              <w:t>Nem törzshálózati TEN-T hálózat: a vasúti munkálatok előrehaladása</w:t>
            </w:r>
          </w:p>
        </w:tc>
        <w:tc>
          <w:tcPr>
            <w:tcW w:w="1134" w:type="dxa"/>
            <w:shd w:val="clear" w:color="auto" w:fill="C6EFCE"/>
            <w:noWrap/>
          </w:tcPr>
          <w:p w14:paraId="1BBD13F9" w14:textId="77777777" w:rsidR="003E1D81" w:rsidRDefault="00EB481C">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610FC190" w14:textId="77777777" w:rsidR="003E1D81" w:rsidRDefault="00EB481C">
            <w:pPr>
              <w:pStyle w:val="P68B1DB1-Normal13"/>
              <w:spacing w:after="0" w:line="240" w:lineRule="auto"/>
              <w:jc w:val="center"/>
              <w:rPr>
                <w:rFonts w:eastAsia="Calibri" w:cs="Times New Roman"/>
                <w:noProof/>
              </w:rPr>
            </w:pPr>
            <w:r>
              <w:rPr>
                <w:noProof/>
              </w:rPr>
              <w:t>Szám (km)</w:t>
            </w:r>
          </w:p>
        </w:tc>
        <w:tc>
          <w:tcPr>
            <w:tcW w:w="567" w:type="dxa"/>
            <w:shd w:val="clear" w:color="auto" w:fill="C6EFCE"/>
            <w:noWrap/>
          </w:tcPr>
          <w:p w14:paraId="222157C1" w14:textId="77777777" w:rsidR="003E1D81" w:rsidRDefault="00EB481C">
            <w:pPr>
              <w:pStyle w:val="P68B1DB1-Normal13"/>
              <w:spacing w:after="0" w:line="240" w:lineRule="auto"/>
              <w:jc w:val="right"/>
              <w:rPr>
                <w:rFonts w:eastAsia="Calibri" w:cs="Times New Roman"/>
                <w:noProof/>
              </w:rPr>
            </w:pPr>
            <w:r>
              <w:rPr>
                <w:noProof/>
              </w:rPr>
              <w:t>0</w:t>
            </w:r>
          </w:p>
        </w:tc>
        <w:tc>
          <w:tcPr>
            <w:tcW w:w="567" w:type="dxa"/>
            <w:shd w:val="clear" w:color="auto" w:fill="C6EFCE"/>
            <w:noWrap/>
          </w:tcPr>
          <w:p w14:paraId="036AC05E" w14:textId="77777777" w:rsidR="003E1D81" w:rsidRDefault="00EB481C">
            <w:pPr>
              <w:pStyle w:val="P68B1DB1-Normal13"/>
              <w:spacing w:after="0" w:line="240" w:lineRule="auto"/>
              <w:jc w:val="right"/>
              <w:rPr>
                <w:rFonts w:eastAsia="Calibri" w:cs="Times New Roman"/>
                <w:noProof/>
              </w:rPr>
            </w:pPr>
            <w:r>
              <w:rPr>
                <w:noProof/>
              </w:rPr>
              <w:t>347</w:t>
            </w:r>
          </w:p>
        </w:tc>
        <w:tc>
          <w:tcPr>
            <w:tcW w:w="425" w:type="dxa"/>
            <w:shd w:val="clear" w:color="auto" w:fill="C6EFCE"/>
            <w:noWrap/>
          </w:tcPr>
          <w:p w14:paraId="12360FBC" w14:textId="77777777" w:rsidR="003E1D81" w:rsidRDefault="00EB481C">
            <w:pPr>
              <w:pStyle w:val="P68B1DB1-Normal13"/>
              <w:spacing w:after="0" w:line="240" w:lineRule="auto"/>
              <w:jc w:val="center"/>
              <w:rPr>
                <w:rFonts w:eastAsia="Calibri" w:cs="Times New Roman"/>
                <w:noProof/>
              </w:rPr>
            </w:pPr>
            <w:r>
              <w:rPr>
                <w:noProof/>
              </w:rPr>
              <w:t>NEGYEDÉV</w:t>
            </w:r>
          </w:p>
        </w:tc>
        <w:tc>
          <w:tcPr>
            <w:tcW w:w="567" w:type="dxa"/>
            <w:shd w:val="clear" w:color="auto" w:fill="C6EFCE"/>
            <w:noWrap/>
          </w:tcPr>
          <w:p w14:paraId="1B012AA2" w14:textId="77777777" w:rsidR="003E1D81" w:rsidRDefault="00EB481C">
            <w:pPr>
              <w:pStyle w:val="P68B1DB1-Normal13"/>
              <w:spacing w:after="0" w:line="240" w:lineRule="auto"/>
              <w:jc w:val="center"/>
              <w:rPr>
                <w:rFonts w:eastAsia="Calibri" w:cs="Times New Roman"/>
                <w:noProof/>
              </w:rPr>
            </w:pPr>
            <w:r>
              <w:rPr>
                <w:noProof/>
              </w:rPr>
              <w:t>2024</w:t>
            </w:r>
          </w:p>
        </w:tc>
        <w:tc>
          <w:tcPr>
            <w:tcW w:w="6066" w:type="dxa"/>
            <w:shd w:val="clear" w:color="auto" w:fill="C6EFCE"/>
            <w:noWrap/>
          </w:tcPr>
          <w:p w14:paraId="47B3F21C" w14:textId="77777777" w:rsidR="003E1D81" w:rsidRDefault="00EB481C">
            <w:pPr>
              <w:pStyle w:val="P68B1DB1-Normal13"/>
              <w:spacing w:after="0" w:line="240" w:lineRule="auto"/>
              <w:rPr>
                <w:rFonts w:eastAsia="Calibri" w:cs="Times New Roman"/>
                <w:noProof/>
              </w:rPr>
            </w:pPr>
            <w:r>
              <w:rPr>
                <w:noProof/>
              </w:rPr>
              <w:t>Legalább 347 kilométernyi munkálatok elvégzése azzal a céllal, hogy a vasúti hálózat átjárhatóbbá váljon, főként a TEN-T-vel kapcsolatban, és a végső cél az, hogy a teljes munkálatok legalább 900 kilométernyi hálózaton valósuljanak meg. A munkálatok a 2022</w:t>
            </w:r>
            <w:r>
              <w:rPr>
                <w:noProof/>
              </w:rPr>
              <w:t xml:space="preserve"> negyedik negyedévének a) pontjában meghatározott területeken találhatók (88. mérföldkő) </w:t>
            </w:r>
          </w:p>
        </w:tc>
      </w:tr>
      <w:tr w:rsidR="003E1D81" w14:paraId="69D24A91" w14:textId="77777777">
        <w:trPr>
          <w:trHeight w:val="309"/>
        </w:trPr>
        <w:tc>
          <w:tcPr>
            <w:tcW w:w="709" w:type="dxa"/>
            <w:shd w:val="clear" w:color="auto" w:fill="C6EFCE"/>
            <w:noWrap/>
          </w:tcPr>
          <w:p w14:paraId="5AA05B6E" w14:textId="77777777" w:rsidR="003E1D81" w:rsidRDefault="00EB481C">
            <w:pPr>
              <w:pStyle w:val="P68B1DB1-Normal13"/>
              <w:spacing w:after="0" w:line="240" w:lineRule="auto"/>
              <w:jc w:val="center"/>
              <w:rPr>
                <w:rFonts w:eastAsia="Calibri" w:cs="Times New Roman"/>
                <w:noProof/>
              </w:rPr>
            </w:pPr>
            <w:r>
              <w:rPr>
                <w:noProof/>
              </w:rPr>
              <w:t>90</w:t>
            </w:r>
          </w:p>
        </w:tc>
        <w:tc>
          <w:tcPr>
            <w:tcW w:w="851" w:type="dxa"/>
            <w:shd w:val="clear" w:color="auto" w:fill="C6EFCE"/>
            <w:noWrap/>
          </w:tcPr>
          <w:p w14:paraId="2994C83D" w14:textId="77777777" w:rsidR="003E1D81" w:rsidRDefault="00EB481C">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336A9382" w14:textId="77777777" w:rsidR="003E1D81" w:rsidRDefault="00EB481C">
            <w:pPr>
              <w:pStyle w:val="P68B1DB1-Normal13"/>
              <w:spacing w:after="0" w:line="240" w:lineRule="auto"/>
              <w:jc w:val="center"/>
              <w:rPr>
                <w:rFonts w:eastAsia="Calibri" w:cs="Times New Roman"/>
                <w:noProof/>
              </w:rPr>
            </w:pPr>
            <w:r>
              <w:rPr>
                <w:noProof/>
              </w:rPr>
              <w:t>T</w:t>
            </w:r>
          </w:p>
        </w:tc>
        <w:tc>
          <w:tcPr>
            <w:tcW w:w="1560" w:type="dxa"/>
            <w:shd w:val="clear" w:color="auto" w:fill="C6EFCE"/>
            <w:noWrap/>
          </w:tcPr>
          <w:p w14:paraId="4C190BEA" w14:textId="77777777" w:rsidR="003E1D81" w:rsidRDefault="00EB481C">
            <w:pPr>
              <w:pStyle w:val="P68B1DB1-Normal13"/>
              <w:spacing w:after="0" w:line="240" w:lineRule="auto"/>
              <w:rPr>
                <w:rFonts w:eastAsia="Calibri" w:cs="Times New Roman"/>
                <w:noProof/>
              </w:rPr>
            </w:pPr>
            <w:r>
              <w:rPr>
                <w:noProof/>
              </w:rPr>
              <w:t>Egységes európai égbolt: odaítélt projekt és a projektek befejezésének előrehaladása</w:t>
            </w:r>
          </w:p>
        </w:tc>
        <w:tc>
          <w:tcPr>
            <w:tcW w:w="1134" w:type="dxa"/>
            <w:shd w:val="clear" w:color="auto" w:fill="C6EFCE"/>
            <w:noWrap/>
          </w:tcPr>
          <w:p w14:paraId="0BE14808" w14:textId="77777777" w:rsidR="003E1D81" w:rsidRDefault="00EB481C">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114A3362" w14:textId="77777777" w:rsidR="003E1D81" w:rsidRDefault="00EB481C">
            <w:pPr>
              <w:pStyle w:val="P68B1DB1-Normal13"/>
              <w:spacing w:after="0" w:line="240" w:lineRule="auto"/>
              <w:jc w:val="center"/>
              <w:rPr>
                <w:rFonts w:eastAsia="Calibri" w:cs="Times New Roman"/>
                <w:noProof/>
              </w:rPr>
            </w:pPr>
            <w:r>
              <w:rPr>
                <w:noProof/>
              </w:rPr>
              <w:t xml:space="preserve">Szám </w:t>
            </w:r>
          </w:p>
        </w:tc>
        <w:tc>
          <w:tcPr>
            <w:tcW w:w="567" w:type="dxa"/>
            <w:shd w:val="clear" w:color="auto" w:fill="C6EFCE"/>
            <w:noWrap/>
          </w:tcPr>
          <w:p w14:paraId="69777341" w14:textId="77777777" w:rsidR="003E1D81" w:rsidRDefault="00EB481C">
            <w:pPr>
              <w:pStyle w:val="P68B1DB1-Normal13"/>
              <w:spacing w:after="0" w:line="240" w:lineRule="auto"/>
              <w:jc w:val="right"/>
              <w:rPr>
                <w:rFonts w:eastAsia="Calibri" w:cs="Times New Roman"/>
                <w:noProof/>
              </w:rPr>
            </w:pPr>
            <w:r>
              <w:rPr>
                <w:noProof/>
              </w:rPr>
              <w:t>0</w:t>
            </w:r>
          </w:p>
        </w:tc>
        <w:tc>
          <w:tcPr>
            <w:tcW w:w="567" w:type="dxa"/>
            <w:shd w:val="clear" w:color="auto" w:fill="C6EFCE"/>
            <w:noWrap/>
          </w:tcPr>
          <w:p w14:paraId="41150DF2" w14:textId="77777777" w:rsidR="003E1D81" w:rsidRDefault="00EB481C">
            <w:pPr>
              <w:pStyle w:val="P68B1DB1-Normal13"/>
              <w:spacing w:after="0" w:line="240" w:lineRule="auto"/>
              <w:jc w:val="right"/>
              <w:rPr>
                <w:rFonts w:eastAsia="Calibri" w:cs="Times New Roman"/>
                <w:noProof/>
              </w:rPr>
            </w:pPr>
            <w:r>
              <w:rPr>
                <w:noProof/>
              </w:rPr>
              <w:t>15</w:t>
            </w:r>
          </w:p>
        </w:tc>
        <w:tc>
          <w:tcPr>
            <w:tcW w:w="425" w:type="dxa"/>
            <w:shd w:val="clear" w:color="auto" w:fill="C6EFCE"/>
            <w:noWrap/>
          </w:tcPr>
          <w:p w14:paraId="41A11207" w14:textId="77777777" w:rsidR="003E1D81" w:rsidRDefault="00EB481C">
            <w:pPr>
              <w:pStyle w:val="P68B1DB1-Normal13"/>
              <w:spacing w:after="0" w:line="240" w:lineRule="auto"/>
              <w:jc w:val="center"/>
              <w:rPr>
                <w:rFonts w:eastAsia="Calibri" w:cs="Times New Roman"/>
                <w:noProof/>
              </w:rPr>
            </w:pPr>
            <w:r>
              <w:rPr>
                <w:noProof/>
              </w:rPr>
              <w:t>NEGYEDÉV</w:t>
            </w:r>
          </w:p>
        </w:tc>
        <w:tc>
          <w:tcPr>
            <w:tcW w:w="567" w:type="dxa"/>
            <w:shd w:val="clear" w:color="auto" w:fill="C6EFCE"/>
            <w:noWrap/>
          </w:tcPr>
          <w:p w14:paraId="3A98CC6F" w14:textId="77777777" w:rsidR="003E1D81" w:rsidRDefault="00EB481C">
            <w:pPr>
              <w:pStyle w:val="P68B1DB1-Normal13"/>
              <w:spacing w:after="0" w:line="240" w:lineRule="auto"/>
              <w:jc w:val="center"/>
              <w:rPr>
                <w:rFonts w:eastAsia="Calibri" w:cs="Times New Roman"/>
                <w:noProof/>
              </w:rPr>
            </w:pPr>
            <w:r>
              <w:rPr>
                <w:noProof/>
              </w:rPr>
              <w:t>2024</w:t>
            </w:r>
          </w:p>
        </w:tc>
        <w:tc>
          <w:tcPr>
            <w:tcW w:w="6066" w:type="dxa"/>
            <w:shd w:val="clear" w:color="auto" w:fill="C6EFCE"/>
            <w:noWrap/>
          </w:tcPr>
          <w:p w14:paraId="7E26515C" w14:textId="77777777" w:rsidR="003E1D81" w:rsidRDefault="00EB481C">
            <w:pPr>
              <w:pStyle w:val="P68B1DB1-Normal13"/>
              <w:spacing w:after="0" w:line="240" w:lineRule="auto"/>
              <w:rPr>
                <w:rFonts w:eastAsia="Calibri" w:cs="Times New Roman"/>
                <w:noProof/>
              </w:rPr>
            </w:pPr>
            <w:r>
              <w:rPr>
                <w:noProof/>
              </w:rPr>
              <w:t xml:space="preserve">Összesen legalább 15 befejezett projekt </w:t>
            </w:r>
            <w:r>
              <w:rPr>
                <w:noProof/>
              </w:rPr>
              <w:t>(20 projekt) a digitalizáció és a biztonság területén az egységes európai égbolt fejlesztése érdekében, az alábbi kiválasztási kritériumok alapján: Összesen legalább 15 befejezett projekt (20 projekt) a digitalizáció és a biztonság területén az egységes eu</w:t>
            </w:r>
            <w:r>
              <w:rPr>
                <w:noProof/>
              </w:rPr>
              <w:t>rópai égbolt fejlesztése érdekében, az alábbi kiválasztási kritériumok alapján:</w:t>
            </w:r>
            <w:r>
              <w:rPr>
                <w:noProof/>
              </w:rPr>
              <w:br/>
              <w:t>• Közvetlen beruházások az ENAIRE-n keresztül (Spanyolországban a léginavigációs menedzser) az egységes európai égbolt fejlesztése érdekében, amelyek a légiforgalmi irányító és</w:t>
            </w:r>
            <w:r>
              <w:rPr>
                <w:noProof/>
              </w:rPr>
              <w:t xml:space="preserve"> légtérellenőrző rendszerek korszerűsítéséhez, az információs rendszerek digitális átalakításához és a kommunikációs rendszerek fejlesztéséhez kapcsolódnak.</w:t>
            </w:r>
            <w:r>
              <w:rPr>
                <w:noProof/>
              </w:rPr>
              <w:br/>
              <w:t>• A repülések üzemeltetése céljából a felhasználók rendelkezésére álló légiforgalmi dokumentáció (a</w:t>
            </w:r>
            <w:r>
              <w:rPr>
                <w:noProof/>
              </w:rPr>
              <w:t xml:space="preserve">datok és térképek) digitalizálása </w:t>
            </w:r>
            <w:r>
              <w:rPr>
                <w:noProof/>
              </w:rPr>
              <w:br/>
              <w:t>• A Föld és a levegő lefedettségének bővítése és a hangok digitalizálása a kísérleti-Controller kommunikációban. Egyes légtérterületek alacsony szintű lefedettségének javítása a földi kommunikációs infrastruktúra korszerű</w:t>
            </w:r>
            <w:r>
              <w:rPr>
                <w:noProof/>
              </w:rPr>
              <w:t xml:space="preserve">sítése révén </w:t>
            </w:r>
            <w:r>
              <w:rPr>
                <w:noProof/>
              </w:rPr>
              <w:br/>
              <w:t xml:space="preserve">• A hangkommunikációs rendszer fejlesztése a légiforgalmi irányító központokban a digitalizáció és a fejlett technológia révén, jobb minőség, fokozott biztonság, az információk rendelkezésre állása és a vészhelyzeti kapacitás növelése révén </w:t>
            </w:r>
            <w:r>
              <w:rPr>
                <w:noProof/>
              </w:rPr>
              <w:br/>
            </w:r>
            <w:r>
              <w:rPr>
                <w:noProof/>
              </w:rPr>
              <w:t xml:space="preserve">• Az elsődleges radarhálózat technológiai korszerűsítése, a teljesítmény javítása és a rendszerek irányítása az elsődleges radarok teljes digitalizálása felé, felhasználva az összes rendelkezésre álló technológiai fejlődést a működési hatékonyság növelése </w:t>
            </w:r>
            <w:r>
              <w:rPr>
                <w:noProof/>
              </w:rPr>
              <w:t xml:space="preserve">érdekében </w:t>
            </w:r>
            <w:r>
              <w:rPr>
                <w:noProof/>
              </w:rPr>
              <w:br/>
              <w:t xml:space="preserve">• A Modo S-technológiához képest másodlagos radarrendszerek fejlesztése, amelyek információt szolgáltatnak a légiforgalmi irányítórendszer számára </w:t>
            </w:r>
            <w:r>
              <w:rPr>
                <w:noProof/>
              </w:rPr>
              <w:br/>
              <w:t xml:space="preserve">• A különböző ENAIRE-rendszerek hardverberendezéseinek cseréje </w:t>
            </w:r>
            <w:r>
              <w:rPr>
                <w:noProof/>
              </w:rPr>
              <w:br/>
              <w:t>• Különböző irányítási és üzemelt</w:t>
            </w:r>
            <w:r>
              <w:rPr>
                <w:noProof/>
              </w:rPr>
              <w:t xml:space="preserve">etési alkalmazások kifejlesztése az ENAIRE irányítására </w:t>
            </w:r>
            <w:r>
              <w:rPr>
                <w:noProof/>
              </w:rPr>
              <w:br/>
              <w:t xml:space="preserve">• A hajózási rendszerek technológiai korszerűsítése a teljes digitalizálás előnyben részesítésével, valamint a rendszermonitoring és távvezérlési megoldások megvalósításával </w:t>
            </w:r>
            <w:r>
              <w:rPr>
                <w:noProof/>
              </w:rPr>
              <w:br/>
              <w:t>• Infrastruktúra létreho</w:t>
            </w:r>
            <w:r>
              <w:rPr>
                <w:noProof/>
              </w:rPr>
              <w:t>zása az új légiforgalmi irányítási rendszerek megvalósításához. Elengedhetetlen az új működési koncepciók spanyolországi végrehajtásának biztosításához. Emellett magában foglalja a létesítmények korszerűsítését a meghibásodásokkal szembeni ellenálló képess</w:t>
            </w:r>
            <w:r>
              <w:rPr>
                <w:noProof/>
              </w:rPr>
              <w:t>ég biztosítása érdekében.</w:t>
            </w:r>
            <w:r>
              <w:rPr>
                <w:noProof/>
              </w:rPr>
              <w:br/>
              <w:t xml:space="preserve">• A műszaki üzemeltetés irányításának digitalizálása és automatizálása a távoli rendszerek nyomonkövetési eszközeinek integrált fejlesztése érdekében </w:t>
            </w:r>
            <w:r>
              <w:rPr>
                <w:noProof/>
              </w:rPr>
              <w:br/>
              <w:t>• A légiforgalmi irányítási rendszer korszerűsítése a szabályozási kritériumokn</w:t>
            </w:r>
            <w:r>
              <w:rPr>
                <w:noProof/>
              </w:rPr>
              <w:t>ak való megfelelés érdekében, beleértve az egységes európai égboltból eredő kapacitás-, biztonsági, kiberbiztonsági és digitalizációs koncepciók javítását.</w:t>
            </w:r>
          </w:p>
        </w:tc>
      </w:tr>
      <w:tr w:rsidR="003E1D81" w14:paraId="28651AEB" w14:textId="77777777">
        <w:trPr>
          <w:trHeight w:val="309"/>
        </w:trPr>
        <w:tc>
          <w:tcPr>
            <w:tcW w:w="709" w:type="dxa"/>
            <w:shd w:val="clear" w:color="auto" w:fill="C6EFCE"/>
            <w:noWrap/>
          </w:tcPr>
          <w:p w14:paraId="7E57E621" w14:textId="77777777" w:rsidR="003E1D81" w:rsidRDefault="00EB481C">
            <w:pPr>
              <w:pStyle w:val="P68B1DB1-Normal13"/>
              <w:spacing w:after="0" w:line="240" w:lineRule="auto"/>
              <w:jc w:val="center"/>
              <w:rPr>
                <w:rFonts w:eastAsia="Calibri" w:cs="Times New Roman"/>
                <w:noProof/>
              </w:rPr>
            </w:pPr>
            <w:r>
              <w:rPr>
                <w:noProof/>
              </w:rPr>
              <w:t>91</w:t>
            </w:r>
          </w:p>
        </w:tc>
        <w:tc>
          <w:tcPr>
            <w:tcW w:w="851" w:type="dxa"/>
            <w:shd w:val="clear" w:color="auto" w:fill="C6EFCE"/>
            <w:noWrap/>
          </w:tcPr>
          <w:p w14:paraId="31A8D38A" w14:textId="77777777" w:rsidR="003E1D81" w:rsidRDefault="00EB481C">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7FE72E92" w14:textId="77777777" w:rsidR="003E1D81" w:rsidRDefault="00EB481C">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6DE5166A" w14:textId="77777777" w:rsidR="003E1D81" w:rsidRDefault="00EB481C">
            <w:pPr>
              <w:pStyle w:val="P68B1DB1-Normal13"/>
              <w:spacing w:after="0" w:line="240" w:lineRule="auto"/>
              <w:rPr>
                <w:rFonts w:eastAsia="Calibri" w:cs="Times New Roman"/>
                <w:noProof/>
              </w:rPr>
            </w:pPr>
            <w:r>
              <w:rPr>
                <w:noProof/>
              </w:rPr>
              <w:t>A Közlekedési, Mobilitáspolitikai és Városfejlesztési Minisztérium digitalizációja</w:t>
            </w:r>
          </w:p>
        </w:tc>
        <w:tc>
          <w:tcPr>
            <w:tcW w:w="1134" w:type="dxa"/>
            <w:shd w:val="clear" w:color="auto" w:fill="C6EFCE"/>
            <w:noWrap/>
          </w:tcPr>
          <w:p w14:paraId="7A8F370F" w14:textId="77777777" w:rsidR="003E1D81" w:rsidRDefault="00EB481C">
            <w:pPr>
              <w:pStyle w:val="P68B1DB1-Normal13"/>
              <w:spacing w:after="0" w:line="240" w:lineRule="auto"/>
              <w:jc w:val="center"/>
              <w:rPr>
                <w:rFonts w:eastAsia="Calibri" w:cs="Times New Roman"/>
                <w:noProof/>
              </w:rPr>
            </w:pPr>
            <w:r>
              <w:rPr>
                <w:noProof/>
              </w:rPr>
              <w:t>Hivatalos értesítés a munka befejezéséről</w:t>
            </w:r>
          </w:p>
        </w:tc>
        <w:tc>
          <w:tcPr>
            <w:tcW w:w="850" w:type="dxa"/>
            <w:shd w:val="clear" w:color="auto" w:fill="C6EFCE"/>
            <w:noWrap/>
          </w:tcPr>
          <w:p w14:paraId="26105B5D" w14:textId="77777777" w:rsidR="003E1D81" w:rsidRDefault="00EB481C">
            <w:pPr>
              <w:pStyle w:val="P68B1DB1-Normal13"/>
              <w:spacing w:after="0" w:line="240" w:lineRule="auto"/>
              <w:jc w:val="center"/>
              <w:rPr>
                <w:rFonts w:eastAsia="Calibri" w:cs="Times New Roman"/>
                <w:noProof/>
              </w:rPr>
            </w:pPr>
            <w:r>
              <w:rPr>
                <w:noProof/>
              </w:rPr>
              <w:t> </w:t>
            </w:r>
          </w:p>
        </w:tc>
        <w:tc>
          <w:tcPr>
            <w:tcW w:w="567" w:type="dxa"/>
            <w:shd w:val="clear" w:color="auto" w:fill="C6EFCE"/>
            <w:noWrap/>
          </w:tcPr>
          <w:p w14:paraId="15B3EB6E" w14:textId="77777777" w:rsidR="003E1D81" w:rsidRDefault="00EB481C">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42CAE146" w14:textId="77777777" w:rsidR="003E1D81" w:rsidRDefault="00EB481C">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6B987D97" w14:textId="77777777" w:rsidR="003E1D81" w:rsidRDefault="00EB481C">
            <w:pPr>
              <w:pStyle w:val="P68B1DB1-Normal13"/>
              <w:spacing w:after="0" w:line="240" w:lineRule="auto"/>
              <w:jc w:val="center"/>
              <w:rPr>
                <w:rFonts w:eastAsia="Calibri" w:cs="Times New Roman"/>
                <w:noProof/>
              </w:rPr>
            </w:pPr>
            <w:r>
              <w:rPr>
                <w:noProof/>
              </w:rPr>
              <w:t>NEGYEDÉV</w:t>
            </w:r>
          </w:p>
        </w:tc>
        <w:tc>
          <w:tcPr>
            <w:tcW w:w="567" w:type="dxa"/>
            <w:shd w:val="clear" w:color="auto" w:fill="C6EFCE"/>
            <w:noWrap/>
          </w:tcPr>
          <w:p w14:paraId="378F7546" w14:textId="77777777" w:rsidR="003E1D81" w:rsidRDefault="00EB481C">
            <w:pPr>
              <w:pStyle w:val="P68B1DB1-Normal13"/>
              <w:spacing w:after="0" w:line="240" w:lineRule="auto"/>
              <w:jc w:val="center"/>
              <w:rPr>
                <w:rFonts w:eastAsia="Calibri" w:cs="Times New Roman"/>
                <w:noProof/>
              </w:rPr>
            </w:pPr>
            <w:r>
              <w:rPr>
                <w:noProof/>
              </w:rPr>
              <w:t>2024</w:t>
            </w:r>
          </w:p>
        </w:tc>
        <w:tc>
          <w:tcPr>
            <w:tcW w:w="6066" w:type="dxa"/>
            <w:shd w:val="clear" w:color="auto" w:fill="C6EFCE"/>
            <w:noWrap/>
          </w:tcPr>
          <w:p w14:paraId="13ACFA3D" w14:textId="77777777" w:rsidR="003E1D81" w:rsidRDefault="00EB481C">
            <w:pPr>
              <w:pStyle w:val="P68B1DB1-Normal13"/>
              <w:spacing w:after="0" w:line="240" w:lineRule="auto"/>
              <w:rPr>
                <w:rFonts w:eastAsia="Calibri" w:cs="Times New Roman"/>
                <w:noProof/>
              </w:rPr>
            </w:pPr>
            <w:r>
              <w:rPr>
                <w:noProof/>
              </w:rPr>
              <w:t>A következő projektek lezárása:</w:t>
            </w:r>
            <w:r>
              <w:rPr>
                <w:noProof/>
              </w:rPr>
              <w:br/>
              <w:t>• Információmodellezés (BIM) kiépítése a digitális információk és modellek kezelésére szolgáló együttműködési platform létrehozása.</w:t>
            </w:r>
            <w:r>
              <w:rPr>
                <w:noProof/>
              </w:rPr>
              <w:br/>
              <w:t>• A mobilitás mint szolgáltatá</w:t>
            </w:r>
            <w:r>
              <w:rPr>
                <w:noProof/>
              </w:rPr>
              <w:t>s fellendítése, nyílt hozzáférésű adatok biztosítása, valamint új technológiák alkalmazása a mobilitás elemzéséhez és optimalizálásához.</w:t>
            </w:r>
            <w:r>
              <w:rPr>
                <w:noProof/>
              </w:rPr>
              <w:br/>
              <w:t>• Elemzési, nyomonkövetési, felügyeleti és igényellenőrzési rendszer bevezetése, a szolgáltatások megvalósítása, valami</w:t>
            </w:r>
            <w:r>
              <w:rPr>
                <w:noProof/>
              </w:rPr>
              <w:t xml:space="preserve">nt az új technológiák bevezetése és alkalmazása a szárazföldi közlekedésben. </w:t>
            </w:r>
            <w:r>
              <w:rPr>
                <w:noProof/>
              </w:rPr>
              <w:br/>
              <w:t>• A Közúti Főigazgatóság digitalizálási terve.</w:t>
            </w:r>
            <w:r>
              <w:rPr>
                <w:noProof/>
              </w:rPr>
              <w:br/>
              <w:t>• Új szolgáltatások kialakítása és jobb irányítás többek között a légi, tengeri és földrajzi információk területén.</w:t>
            </w:r>
          </w:p>
        </w:tc>
      </w:tr>
      <w:tr w:rsidR="003E1D81" w14:paraId="78FBFD04" w14:textId="77777777">
        <w:trPr>
          <w:trHeight w:val="309"/>
        </w:trPr>
        <w:tc>
          <w:tcPr>
            <w:tcW w:w="709" w:type="dxa"/>
            <w:shd w:val="clear" w:color="auto" w:fill="C6EFCE"/>
            <w:noWrap/>
          </w:tcPr>
          <w:p w14:paraId="54E323BA" w14:textId="77777777" w:rsidR="003E1D81" w:rsidRDefault="00EB481C">
            <w:pPr>
              <w:pStyle w:val="P68B1DB1-Normal13"/>
              <w:spacing w:after="0" w:line="240" w:lineRule="auto"/>
              <w:jc w:val="center"/>
              <w:rPr>
                <w:rFonts w:eastAsia="Calibri" w:cs="Times New Roman"/>
                <w:noProof/>
              </w:rPr>
            </w:pPr>
            <w:r>
              <w:rPr>
                <w:noProof/>
              </w:rPr>
              <w:t>92</w:t>
            </w:r>
          </w:p>
        </w:tc>
        <w:tc>
          <w:tcPr>
            <w:tcW w:w="851" w:type="dxa"/>
            <w:shd w:val="clear" w:color="auto" w:fill="C6EFCE"/>
            <w:noWrap/>
          </w:tcPr>
          <w:p w14:paraId="28DF5B12" w14:textId="77777777" w:rsidR="003E1D81" w:rsidRDefault="00EB481C">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1BE4F848" w14:textId="77777777" w:rsidR="003E1D81" w:rsidRDefault="00EB481C">
            <w:pPr>
              <w:pStyle w:val="P68B1DB1-Normal13"/>
              <w:spacing w:after="0" w:line="240" w:lineRule="auto"/>
              <w:jc w:val="center"/>
              <w:rPr>
                <w:rFonts w:eastAsia="Calibri" w:cs="Times New Roman"/>
                <w:noProof/>
              </w:rPr>
            </w:pPr>
            <w:r>
              <w:rPr>
                <w:noProof/>
              </w:rPr>
              <w:t>T</w:t>
            </w:r>
          </w:p>
        </w:tc>
        <w:tc>
          <w:tcPr>
            <w:tcW w:w="1560" w:type="dxa"/>
            <w:shd w:val="clear" w:color="auto" w:fill="C6EFCE"/>
            <w:noWrap/>
          </w:tcPr>
          <w:p w14:paraId="1AA5D08D" w14:textId="77777777" w:rsidR="003E1D81" w:rsidRDefault="00EB481C">
            <w:pPr>
              <w:pStyle w:val="P68B1DB1-Normal13"/>
              <w:spacing w:after="0" w:line="240" w:lineRule="auto"/>
              <w:rPr>
                <w:rFonts w:eastAsia="Calibri" w:cs="Times New Roman"/>
                <w:noProof/>
              </w:rPr>
            </w:pPr>
            <w:r>
              <w:rPr>
                <w:noProof/>
              </w:rPr>
              <w:t xml:space="preserve">Új vagy korszerűsített TEN-T hálózat, egyéb munkálatok </w:t>
            </w:r>
          </w:p>
        </w:tc>
        <w:tc>
          <w:tcPr>
            <w:tcW w:w="1134" w:type="dxa"/>
            <w:shd w:val="clear" w:color="auto" w:fill="C6EFCE"/>
            <w:noWrap/>
          </w:tcPr>
          <w:p w14:paraId="09FA2A7E" w14:textId="77777777" w:rsidR="003E1D81" w:rsidRDefault="00EB481C">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71E02098" w14:textId="77777777" w:rsidR="003E1D81" w:rsidRDefault="00EB481C">
            <w:pPr>
              <w:pStyle w:val="P68B1DB1-Normal13"/>
              <w:spacing w:after="0" w:line="240" w:lineRule="auto"/>
              <w:jc w:val="center"/>
              <w:rPr>
                <w:rFonts w:eastAsia="Calibri" w:cs="Times New Roman"/>
                <w:noProof/>
              </w:rPr>
            </w:pPr>
            <w:r>
              <w:rPr>
                <w:noProof/>
              </w:rPr>
              <w:t xml:space="preserve">Szám (km) </w:t>
            </w:r>
          </w:p>
        </w:tc>
        <w:tc>
          <w:tcPr>
            <w:tcW w:w="567" w:type="dxa"/>
            <w:shd w:val="clear" w:color="auto" w:fill="C6EFCE"/>
            <w:noWrap/>
          </w:tcPr>
          <w:p w14:paraId="083C8542" w14:textId="77777777" w:rsidR="003E1D81" w:rsidRDefault="00EB481C">
            <w:pPr>
              <w:pStyle w:val="P68B1DB1-Normal13"/>
              <w:spacing w:after="0" w:line="240" w:lineRule="auto"/>
              <w:jc w:val="right"/>
              <w:rPr>
                <w:rFonts w:eastAsia="Calibri" w:cs="Times New Roman"/>
                <w:noProof/>
              </w:rPr>
            </w:pPr>
            <w:r>
              <w:rPr>
                <w:noProof/>
              </w:rPr>
              <w:t>347</w:t>
            </w:r>
          </w:p>
        </w:tc>
        <w:tc>
          <w:tcPr>
            <w:tcW w:w="567" w:type="dxa"/>
            <w:shd w:val="clear" w:color="auto" w:fill="C6EFCE"/>
            <w:noWrap/>
          </w:tcPr>
          <w:p w14:paraId="686A1351" w14:textId="77777777" w:rsidR="003E1D81" w:rsidRDefault="00EB481C">
            <w:pPr>
              <w:pStyle w:val="P68B1DB1-Normal13"/>
              <w:spacing w:after="0" w:line="240" w:lineRule="auto"/>
              <w:jc w:val="right"/>
              <w:rPr>
                <w:rFonts w:eastAsia="Calibri" w:cs="Times New Roman"/>
                <w:noProof/>
              </w:rPr>
            </w:pPr>
            <w:r>
              <w:rPr>
                <w:noProof/>
              </w:rPr>
              <w:t>900</w:t>
            </w:r>
          </w:p>
        </w:tc>
        <w:tc>
          <w:tcPr>
            <w:tcW w:w="425" w:type="dxa"/>
            <w:shd w:val="clear" w:color="auto" w:fill="C6EFCE"/>
            <w:noWrap/>
          </w:tcPr>
          <w:p w14:paraId="5AF26E6F" w14:textId="77777777" w:rsidR="003E1D81" w:rsidRDefault="00EB481C">
            <w:pPr>
              <w:pStyle w:val="P68B1DB1-Normal13"/>
              <w:spacing w:after="0" w:line="240" w:lineRule="auto"/>
              <w:jc w:val="center"/>
              <w:rPr>
                <w:rFonts w:eastAsia="Calibri" w:cs="Times New Roman"/>
                <w:noProof/>
              </w:rPr>
            </w:pPr>
            <w:r>
              <w:rPr>
                <w:noProof/>
              </w:rPr>
              <w:t>KÉRDÉS</w:t>
            </w:r>
          </w:p>
        </w:tc>
        <w:tc>
          <w:tcPr>
            <w:tcW w:w="567" w:type="dxa"/>
            <w:shd w:val="clear" w:color="auto" w:fill="C6EFCE"/>
            <w:noWrap/>
          </w:tcPr>
          <w:p w14:paraId="7B84253B" w14:textId="77777777" w:rsidR="003E1D81" w:rsidRDefault="00EB481C">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136DBF99" w14:textId="77777777" w:rsidR="003E1D81" w:rsidRDefault="00EB481C">
            <w:pPr>
              <w:pStyle w:val="P68B1DB1-Normal13"/>
              <w:spacing w:after="0" w:line="240" w:lineRule="auto"/>
              <w:rPr>
                <w:rFonts w:eastAsia="Calibri" w:cs="Times New Roman"/>
                <w:noProof/>
              </w:rPr>
            </w:pPr>
            <w:r>
              <w:rPr>
                <w:noProof/>
              </w:rPr>
              <w:t>Legalább 900 kilométernyi munkálatok elvégzése azzal a céllal, hogy a vasúti hálózat átjárhatóbbá váljon, főként a TEN-T-vel és a munkálatokkal. A munkálatok a 2022 ne</w:t>
            </w:r>
            <w:r>
              <w:rPr>
                <w:noProof/>
              </w:rPr>
              <w:t>gyedik negyedévére vonatkozó projekt-odaítélés kiválasztási kritériumaiban meghatározott területeken találhatók (88. mérföldkő). (alapforgatókönyv: 2024. december 31.)</w:t>
            </w:r>
          </w:p>
        </w:tc>
      </w:tr>
      <w:tr w:rsidR="003E1D81" w14:paraId="26C7BB39" w14:textId="77777777">
        <w:trPr>
          <w:trHeight w:val="309"/>
        </w:trPr>
        <w:tc>
          <w:tcPr>
            <w:tcW w:w="709" w:type="dxa"/>
            <w:shd w:val="clear" w:color="auto" w:fill="C6EFCE"/>
            <w:noWrap/>
          </w:tcPr>
          <w:p w14:paraId="52205903" w14:textId="77777777" w:rsidR="003E1D81" w:rsidRDefault="00EB481C">
            <w:pPr>
              <w:pStyle w:val="P68B1DB1-Normal13"/>
              <w:spacing w:after="0" w:line="240" w:lineRule="auto"/>
              <w:jc w:val="center"/>
              <w:rPr>
                <w:rFonts w:eastAsia="Calibri" w:cs="Times New Roman"/>
                <w:noProof/>
              </w:rPr>
            </w:pPr>
            <w:r>
              <w:rPr>
                <w:noProof/>
              </w:rPr>
              <w:t>93</w:t>
            </w:r>
          </w:p>
        </w:tc>
        <w:tc>
          <w:tcPr>
            <w:tcW w:w="851" w:type="dxa"/>
            <w:shd w:val="clear" w:color="auto" w:fill="C6EFCE"/>
            <w:noWrap/>
          </w:tcPr>
          <w:p w14:paraId="4307AF87" w14:textId="77777777" w:rsidR="003E1D81" w:rsidRDefault="00EB481C">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40406B83" w14:textId="77777777" w:rsidR="003E1D81" w:rsidRDefault="00EB481C">
            <w:pPr>
              <w:pStyle w:val="P68B1DB1-Normal13"/>
              <w:spacing w:after="0" w:line="240" w:lineRule="auto"/>
              <w:jc w:val="center"/>
              <w:rPr>
                <w:rFonts w:eastAsia="Calibri" w:cs="Times New Roman"/>
                <w:noProof/>
              </w:rPr>
            </w:pPr>
            <w:r>
              <w:rPr>
                <w:noProof/>
              </w:rPr>
              <w:t>T</w:t>
            </w:r>
          </w:p>
        </w:tc>
        <w:tc>
          <w:tcPr>
            <w:tcW w:w="1560" w:type="dxa"/>
            <w:shd w:val="clear" w:color="auto" w:fill="C6EFCE"/>
            <w:noWrap/>
          </w:tcPr>
          <w:p w14:paraId="45C2620C" w14:textId="77777777" w:rsidR="003E1D81" w:rsidRDefault="00EB481C">
            <w:pPr>
              <w:pStyle w:val="P68B1DB1-Normal13"/>
              <w:spacing w:after="0" w:line="240" w:lineRule="auto"/>
              <w:rPr>
                <w:rFonts w:eastAsia="Calibri" w:cs="Times New Roman"/>
                <w:noProof/>
              </w:rPr>
            </w:pPr>
            <w:r>
              <w:rPr>
                <w:noProof/>
              </w:rPr>
              <w:t>Egységes európai égbolt: a projekt lezárása</w:t>
            </w:r>
          </w:p>
        </w:tc>
        <w:tc>
          <w:tcPr>
            <w:tcW w:w="1134" w:type="dxa"/>
            <w:shd w:val="clear" w:color="auto" w:fill="C6EFCE"/>
            <w:noWrap/>
          </w:tcPr>
          <w:p w14:paraId="237AFA41" w14:textId="77777777" w:rsidR="003E1D81" w:rsidRDefault="00EB481C">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1CB940D8" w14:textId="77777777" w:rsidR="003E1D81" w:rsidRDefault="00EB481C">
            <w:pPr>
              <w:pStyle w:val="P68B1DB1-Normal13"/>
              <w:spacing w:after="0" w:line="240" w:lineRule="auto"/>
              <w:jc w:val="right"/>
              <w:rPr>
                <w:rFonts w:eastAsia="Calibri" w:cs="Times New Roman"/>
                <w:noProof/>
              </w:rPr>
            </w:pPr>
            <w:r>
              <w:rPr>
                <w:noProof/>
              </w:rPr>
              <w:t>Szám</w:t>
            </w:r>
          </w:p>
        </w:tc>
        <w:tc>
          <w:tcPr>
            <w:tcW w:w="567" w:type="dxa"/>
            <w:shd w:val="clear" w:color="auto" w:fill="C6EFCE"/>
            <w:noWrap/>
          </w:tcPr>
          <w:p w14:paraId="46BB2669" w14:textId="77777777" w:rsidR="003E1D81" w:rsidRDefault="00EB481C">
            <w:pPr>
              <w:pStyle w:val="P68B1DB1-Normal13"/>
              <w:spacing w:after="0" w:line="240" w:lineRule="auto"/>
              <w:jc w:val="right"/>
              <w:rPr>
                <w:rFonts w:eastAsia="Calibri" w:cs="Times New Roman"/>
                <w:noProof/>
              </w:rPr>
            </w:pPr>
            <w:r>
              <w:rPr>
                <w:noProof/>
              </w:rPr>
              <w:t>15</w:t>
            </w:r>
          </w:p>
        </w:tc>
        <w:tc>
          <w:tcPr>
            <w:tcW w:w="567" w:type="dxa"/>
            <w:shd w:val="clear" w:color="auto" w:fill="C6EFCE"/>
            <w:noWrap/>
          </w:tcPr>
          <w:p w14:paraId="74BC2F5A" w14:textId="77777777" w:rsidR="003E1D81" w:rsidRDefault="00EB481C">
            <w:pPr>
              <w:pStyle w:val="P68B1DB1-Normal13"/>
              <w:spacing w:after="0" w:line="240" w:lineRule="auto"/>
              <w:jc w:val="right"/>
              <w:rPr>
                <w:rFonts w:eastAsia="Calibri" w:cs="Times New Roman"/>
                <w:noProof/>
              </w:rPr>
            </w:pPr>
            <w:r>
              <w:rPr>
                <w:noProof/>
              </w:rPr>
              <w:t>20</w:t>
            </w:r>
          </w:p>
        </w:tc>
        <w:tc>
          <w:tcPr>
            <w:tcW w:w="425" w:type="dxa"/>
            <w:shd w:val="clear" w:color="auto" w:fill="C6EFCE"/>
            <w:noWrap/>
          </w:tcPr>
          <w:p w14:paraId="1D92D728" w14:textId="77777777" w:rsidR="003E1D81" w:rsidRDefault="00EB481C">
            <w:pPr>
              <w:pStyle w:val="P68B1DB1-Normal13"/>
              <w:spacing w:after="0" w:line="240" w:lineRule="auto"/>
              <w:jc w:val="center"/>
              <w:rPr>
                <w:rFonts w:eastAsia="Calibri" w:cs="Times New Roman"/>
                <w:noProof/>
              </w:rPr>
            </w:pPr>
            <w:r>
              <w:rPr>
                <w:noProof/>
              </w:rPr>
              <w:t>KÉRDÉS</w:t>
            </w:r>
          </w:p>
        </w:tc>
        <w:tc>
          <w:tcPr>
            <w:tcW w:w="567" w:type="dxa"/>
            <w:shd w:val="clear" w:color="auto" w:fill="C6EFCE"/>
            <w:noWrap/>
          </w:tcPr>
          <w:p w14:paraId="7E23C7FD" w14:textId="77777777" w:rsidR="003E1D81" w:rsidRDefault="00EB481C">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315DD83C" w14:textId="77777777" w:rsidR="003E1D81" w:rsidRDefault="00EB481C">
            <w:pPr>
              <w:pStyle w:val="P68B1DB1-Normal13"/>
              <w:spacing w:after="0" w:line="240" w:lineRule="auto"/>
              <w:rPr>
                <w:rFonts w:eastAsia="Calibri" w:cs="Times New Roman"/>
                <w:noProof/>
              </w:rPr>
            </w:pPr>
            <w:r>
              <w:rPr>
                <w:noProof/>
              </w:rPr>
              <w:t>Legalább 20 befejezett projekt az egységes európai égbolt fejlesztése érdekében a digitalizáció és a biztonság területén a projekt-odaítélési (90. mérföldkő) kiválasztási kritériumoknak megfelelően kiválasztott projektekkel. (alapforgatókönyv: 2024. decemb</w:t>
            </w:r>
            <w:r>
              <w:rPr>
                <w:noProof/>
              </w:rPr>
              <w:t>er 31.)</w:t>
            </w:r>
          </w:p>
        </w:tc>
      </w:tr>
      <w:tr w:rsidR="003E1D81" w14:paraId="7AE80DCA" w14:textId="77777777">
        <w:trPr>
          <w:trHeight w:val="309"/>
        </w:trPr>
        <w:tc>
          <w:tcPr>
            <w:tcW w:w="709" w:type="dxa"/>
            <w:shd w:val="clear" w:color="auto" w:fill="C6EFCE"/>
            <w:noWrap/>
          </w:tcPr>
          <w:p w14:paraId="662CABB4" w14:textId="77777777" w:rsidR="003E1D81" w:rsidRDefault="00EB481C">
            <w:pPr>
              <w:pStyle w:val="P68B1DB1-Normal13"/>
              <w:spacing w:after="0" w:line="240" w:lineRule="auto"/>
              <w:jc w:val="center"/>
              <w:rPr>
                <w:rFonts w:eastAsia="Calibri" w:cs="Times New Roman"/>
                <w:noProof/>
              </w:rPr>
            </w:pPr>
            <w:r>
              <w:rPr>
                <w:noProof/>
              </w:rPr>
              <w:t>94</w:t>
            </w:r>
          </w:p>
        </w:tc>
        <w:tc>
          <w:tcPr>
            <w:tcW w:w="851" w:type="dxa"/>
            <w:shd w:val="clear" w:color="auto" w:fill="C6EFCE"/>
            <w:noWrap/>
          </w:tcPr>
          <w:p w14:paraId="606FE42A" w14:textId="77777777" w:rsidR="003E1D81" w:rsidRDefault="00EB481C">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1F965BD1" w14:textId="77777777" w:rsidR="003E1D81" w:rsidRDefault="00EB481C">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76D8F0EF" w14:textId="77777777" w:rsidR="003E1D81" w:rsidRDefault="00EB481C">
            <w:pPr>
              <w:pStyle w:val="P68B1DB1-Normal13"/>
              <w:spacing w:after="0" w:line="240" w:lineRule="auto"/>
              <w:rPr>
                <w:rFonts w:eastAsia="Calibri" w:cs="Times New Roman"/>
                <w:noProof/>
              </w:rPr>
            </w:pPr>
            <w:r>
              <w:rPr>
                <w:noProof/>
              </w:rPr>
              <w:t xml:space="preserve">A jelenlegi szabályozáshoz igazított állami közúthálózat </w:t>
            </w:r>
          </w:p>
        </w:tc>
        <w:tc>
          <w:tcPr>
            <w:tcW w:w="1134" w:type="dxa"/>
            <w:shd w:val="clear" w:color="auto" w:fill="C6EFCE"/>
            <w:noWrap/>
          </w:tcPr>
          <w:p w14:paraId="5ED31B6D" w14:textId="77777777" w:rsidR="003E1D81" w:rsidRDefault="00EB481C">
            <w:pPr>
              <w:pStyle w:val="P68B1DB1-Normal13"/>
              <w:spacing w:after="0" w:line="240" w:lineRule="auto"/>
              <w:jc w:val="center"/>
              <w:rPr>
                <w:rFonts w:eastAsia="Calibri" w:cs="Times New Roman"/>
                <w:noProof/>
              </w:rPr>
            </w:pPr>
            <w:r>
              <w:rPr>
                <w:noProof/>
              </w:rPr>
              <w:t>A projekt lezárása</w:t>
            </w:r>
          </w:p>
        </w:tc>
        <w:tc>
          <w:tcPr>
            <w:tcW w:w="850" w:type="dxa"/>
            <w:shd w:val="clear" w:color="auto" w:fill="C6EFCE"/>
            <w:noWrap/>
          </w:tcPr>
          <w:p w14:paraId="1AF05E09" w14:textId="77777777" w:rsidR="003E1D81" w:rsidRDefault="00EB481C">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0C9381D1"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6BF368CB" w14:textId="77777777" w:rsidR="003E1D81" w:rsidRDefault="00EB481C">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0BC2A4FB" w14:textId="77777777" w:rsidR="003E1D81" w:rsidRDefault="00EB481C">
            <w:pPr>
              <w:pStyle w:val="P68B1DB1-Normal13"/>
              <w:spacing w:after="0" w:line="240" w:lineRule="auto"/>
              <w:jc w:val="center"/>
              <w:rPr>
                <w:rFonts w:eastAsia="Calibri" w:cs="Times New Roman"/>
                <w:noProof/>
              </w:rPr>
            </w:pPr>
            <w:r>
              <w:rPr>
                <w:noProof/>
              </w:rPr>
              <w:t>KÉRDÉS</w:t>
            </w:r>
          </w:p>
        </w:tc>
        <w:tc>
          <w:tcPr>
            <w:tcW w:w="567" w:type="dxa"/>
            <w:shd w:val="clear" w:color="auto" w:fill="C6EFCE"/>
            <w:noWrap/>
          </w:tcPr>
          <w:p w14:paraId="2C164734" w14:textId="77777777" w:rsidR="003E1D81" w:rsidRDefault="00EB481C">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55CF59BF" w14:textId="77777777" w:rsidR="003E1D81" w:rsidRDefault="00EB481C">
            <w:pPr>
              <w:pStyle w:val="P68B1DB1-Normal13"/>
              <w:spacing w:after="0" w:line="240" w:lineRule="auto"/>
              <w:rPr>
                <w:rFonts w:eastAsia="Calibri" w:cs="Times New Roman"/>
                <w:noProof/>
              </w:rPr>
            </w:pPr>
            <w:r>
              <w:rPr>
                <w:noProof/>
              </w:rPr>
              <w:t xml:space="preserve">Az állami közúthálózatnak a nemzeti és európai szabályozással összhangban történő biztonságossá tételét célzó munkálatok befejezése A </w:t>
            </w:r>
            <w:r>
              <w:rPr>
                <w:noProof/>
              </w:rPr>
              <w:t>munkálatok a projekt odaítélésének kiválasztási kritériumaiban 2022 negyedik negyedévének b) pontjában meghatározott területeken találhatók (88. mérföldkő), és magukban foglalnak legalább 80 alagutat érintő munkálatokat, a kerítések és jelzések javítását c</w:t>
            </w:r>
            <w:r>
              <w:rPr>
                <w:noProof/>
              </w:rPr>
              <w:t>élzó munkálatokat a vadon élő állatok és növények megfékezése valószínűségének csökkentése érdekében, a legveszélyeztetettebb úthasználók, például a gyalogosok és kerékpárosok (gyalogosok, kerékpársávok) biztonsági feltételeinek javítását célzó intézkedése</w:t>
            </w:r>
            <w:r>
              <w:rPr>
                <w:noProof/>
              </w:rPr>
              <w:t>k végrehajtása, zajcsökkentő intézkedések, digitalizáció (hidak, alagutak, a nagy adathalmazok elemzése és a dolgok internete); az utak digitalizálása a nyomon követéshez és a karbantartáshoz), intelligens közlekedési rendszerek megvalósítása az autóbuszsá</w:t>
            </w:r>
            <w:r>
              <w:rPr>
                <w:noProof/>
              </w:rPr>
              <w:t>vokban.</w:t>
            </w:r>
          </w:p>
        </w:tc>
      </w:tr>
      <w:tr w:rsidR="003E1D81" w14:paraId="72C896A4" w14:textId="77777777">
        <w:trPr>
          <w:trHeight w:val="309"/>
        </w:trPr>
        <w:tc>
          <w:tcPr>
            <w:tcW w:w="709" w:type="dxa"/>
            <w:shd w:val="clear" w:color="auto" w:fill="C6EFCE"/>
            <w:noWrap/>
          </w:tcPr>
          <w:p w14:paraId="3A9150B4" w14:textId="77777777" w:rsidR="003E1D81" w:rsidRDefault="00EB481C">
            <w:pPr>
              <w:pStyle w:val="P68B1DB1-Normal13"/>
              <w:spacing w:after="0" w:line="240" w:lineRule="auto"/>
              <w:jc w:val="center"/>
              <w:rPr>
                <w:rFonts w:eastAsia="Calibri" w:cs="Times New Roman"/>
                <w:noProof/>
              </w:rPr>
            </w:pPr>
            <w:r>
              <w:rPr>
                <w:noProof/>
              </w:rPr>
              <w:t>95</w:t>
            </w:r>
          </w:p>
        </w:tc>
        <w:tc>
          <w:tcPr>
            <w:tcW w:w="851" w:type="dxa"/>
            <w:shd w:val="clear" w:color="auto" w:fill="C6EFCE"/>
            <w:noWrap/>
          </w:tcPr>
          <w:p w14:paraId="5291B500" w14:textId="77777777" w:rsidR="003E1D81" w:rsidRDefault="00EB481C">
            <w:pPr>
              <w:pStyle w:val="P68B1DB1-Normal13"/>
              <w:spacing w:after="0" w:line="240" w:lineRule="auto"/>
              <w:jc w:val="center"/>
              <w:rPr>
                <w:rFonts w:eastAsia="Calibri" w:cs="Times New Roman"/>
                <w:noProof/>
              </w:rPr>
            </w:pPr>
            <w:r>
              <w:rPr>
                <w:noProof/>
              </w:rPr>
              <w:t>C6.I3</w:t>
            </w:r>
          </w:p>
        </w:tc>
        <w:tc>
          <w:tcPr>
            <w:tcW w:w="850" w:type="dxa"/>
            <w:shd w:val="clear" w:color="auto" w:fill="C6EFCE"/>
            <w:noWrap/>
          </w:tcPr>
          <w:p w14:paraId="7731F430" w14:textId="77777777" w:rsidR="003E1D81" w:rsidRDefault="00EB481C">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678348CE" w14:textId="77777777" w:rsidR="003E1D81" w:rsidRDefault="00EB481C">
            <w:pPr>
              <w:pStyle w:val="P68B1DB1-Normal13"/>
              <w:spacing w:after="0" w:line="240" w:lineRule="auto"/>
              <w:rPr>
                <w:rFonts w:eastAsia="Calibri" w:cs="Times New Roman"/>
                <w:noProof/>
              </w:rPr>
            </w:pPr>
            <w:r>
              <w:rPr>
                <w:noProof/>
              </w:rPr>
              <w:t xml:space="preserve">Intermodális és logisztikai infrastruktúrák: részleges költségvetési juttatás </w:t>
            </w:r>
          </w:p>
        </w:tc>
        <w:tc>
          <w:tcPr>
            <w:tcW w:w="1134" w:type="dxa"/>
            <w:shd w:val="clear" w:color="auto" w:fill="C6EFCE"/>
            <w:noWrap/>
          </w:tcPr>
          <w:p w14:paraId="2F4859FA" w14:textId="77777777" w:rsidR="003E1D81" w:rsidRDefault="00EB481C">
            <w:pPr>
              <w:pStyle w:val="P68B1DB1-Normal13"/>
              <w:spacing w:after="0" w:line="240" w:lineRule="auto"/>
              <w:jc w:val="center"/>
              <w:rPr>
                <w:rFonts w:eastAsia="Calibri" w:cs="Times New Roman"/>
                <w:noProof/>
              </w:rPr>
            </w:pPr>
            <w:r>
              <w:rPr>
                <w:noProof/>
              </w:rPr>
              <w:t>Hivatalos értesítés a projekt odaítéléséről–</w:t>
            </w:r>
          </w:p>
        </w:tc>
        <w:tc>
          <w:tcPr>
            <w:tcW w:w="850" w:type="dxa"/>
            <w:shd w:val="clear" w:color="auto" w:fill="C6EFCE"/>
            <w:noWrap/>
          </w:tcPr>
          <w:p w14:paraId="7EE978CC" w14:textId="77777777" w:rsidR="003E1D81" w:rsidRDefault="00EB481C">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5DD46645"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4B9B179D" w14:textId="77777777" w:rsidR="003E1D81" w:rsidRDefault="00EB481C">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03B6F028" w14:textId="77777777" w:rsidR="003E1D81" w:rsidRDefault="00EB481C">
            <w:pPr>
              <w:pStyle w:val="P68B1DB1-Normal13"/>
              <w:spacing w:after="0" w:line="240" w:lineRule="auto"/>
              <w:jc w:val="center"/>
              <w:rPr>
                <w:rFonts w:eastAsia="Calibri" w:cs="Times New Roman"/>
                <w:noProof/>
              </w:rPr>
            </w:pPr>
            <w:r>
              <w:rPr>
                <w:noProof/>
              </w:rPr>
              <w:t>NEGYEDÉV</w:t>
            </w:r>
          </w:p>
        </w:tc>
        <w:tc>
          <w:tcPr>
            <w:tcW w:w="567" w:type="dxa"/>
            <w:shd w:val="clear" w:color="auto" w:fill="C6EFCE"/>
            <w:noWrap/>
          </w:tcPr>
          <w:p w14:paraId="72CB7BC4" w14:textId="77777777" w:rsidR="003E1D81" w:rsidRDefault="00EB481C">
            <w:pPr>
              <w:pStyle w:val="P68B1DB1-Normal13"/>
              <w:spacing w:after="0" w:line="240" w:lineRule="auto"/>
              <w:jc w:val="center"/>
              <w:rPr>
                <w:rFonts w:eastAsia="Calibri" w:cs="Times New Roman"/>
                <w:noProof/>
              </w:rPr>
            </w:pPr>
            <w:r>
              <w:rPr>
                <w:noProof/>
              </w:rPr>
              <w:t>2022</w:t>
            </w:r>
          </w:p>
        </w:tc>
        <w:tc>
          <w:tcPr>
            <w:tcW w:w="6066" w:type="dxa"/>
            <w:shd w:val="clear" w:color="auto" w:fill="C6EFCE"/>
            <w:noWrap/>
          </w:tcPr>
          <w:p w14:paraId="5E6C250E" w14:textId="04B9AD3A" w:rsidR="003E1D81" w:rsidRDefault="00EB481C">
            <w:pPr>
              <w:pStyle w:val="P68B1DB1-Normal13"/>
              <w:spacing w:after="0" w:line="240" w:lineRule="auto"/>
              <w:rPr>
                <w:rFonts w:eastAsia="Calibri" w:cs="Times New Roman"/>
                <w:noProof/>
              </w:rPr>
            </w:pPr>
            <w:r>
              <w:rPr>
                <w:noProof/>
              </w:rPr>
              <w:t xml:space="preserve">Az intermodális és logisztikai infrastruktúrák fejlesztését célzó beavatkozásokra odaítélt </w:t>
            </w:r>
            <w:r>
              <w:rPr>
                <w:noProof/>
              </w:rPr>
              <w:t>összesített költségvetés legalább 3 300 000 000 EUR (teljes célköltségvetés: 974 000 000 EUR)</w:t>
            </w:r>
            <w:r>
              <w:rPr>
                <w:noProof/>
              </w:rPr>
              <w:br/>
              <w:t>A projekteket a következő kiválasztási szempontoknak megfelelően kell odaítélni:</w:t>
            </w:r>
            <w:r>
              <w:rPr>
                <w:noProof/>
              </w:rPr>
              <w:br/>
              <w:t>kilenc stratégiai intermodális és logisztikai terminál (TILOS 217 000 000 EUR) fe</w:t>
            </w:r>
            <w:r>
              <w:rPr>
                <w:noProof/>
              </w:rPr>
              <w:t xml:space="preserve">jlesztése és korszerűsítése annak érdekében, hogy egyes esetekben integrálják az intermodális terminált a logisztikai területtel, és minden esetben ösztönözzék az árufuvarozás közútiról vasútra történő modális átterelését. Ezek a terminálok és logisztikai </w:t>
            </w:r>
            <w:r>
              <w:rPr>
                <w:noProof/>
              </w:rPr>
              <w:t xml:space="preserve">létesítmények a következők: </w:t>
            </w:r>
            <w:r>
              <w:rPr>
                <w:noProof/>
              </w:rPr>
              <w:br/>
              <w:t>• Vicálvaro, Madrid;</w:t>
            </w:r>
            <w:r>
              <w:rPr>
                <w:noProof/>
              </w:rPr>
              <w:br/>
              <w:t xml:space="preserve">• La Llagosta, Barcelona </w:t>
            </w:r>
            <w:r>
              <w:rPr>
                <w:noProof/>
              </w:rPr>
              <w:br/>
              <w:t xml:space="preserve">• San Luis Valenciában </w:t>
            </w:r>
            <w:r>
              <w:rPr>
                <w:noProof/>
              </w:rPr>
              <w:br/>
              <w:t>• Júndiz Álavában.</w:t>
            </w:r>
            <w:r>
              <w:rPr>
                <w:noProof/>
              </w:rPr>
              <w:br/>
              <w:t xml:space="preserve">• Can Tunisz logisztikai létesítménye (Barcelona) </w:t>
            </w:r>
            <w:r>
              <w:rPr>
                <w:noProof/>
              </w:rPr>
              <w:br/>
              <w:t xml:space="preserve">• Orduña terminál (Bizkaia) </w:t>
            </w:r>
            <w:r>
              <w:rPr>
                <w:noProof/>
              </w:rPr>
              <w:br/>
              <w:t xml:space="preserve">• Logisztikai létesítmény Lezoban (Gipuzkoa) </w:t>
            </w:r>
            <w:r>
              <w:rPr>
                <w:noProof/>
              </w:rPr>
              <w:br/>
              <w:t xml:space="preserve">• Muriedas </w:t>
            </w:r>
            <w:r>
              <w:rPr>
                <w:noProof/>
              </w:rPr>
              <w:t xml:space="preserve">(Santander) </w:t>
            </w:r>
            <w:r>
              <w:rPr>
                <w:noProof/>
              </w:rPr>
              <w:br/>
              <w:t xml:space="preserve">• Escombreras terminál (Murcia) </w:t>
            </w:r>
            <w:r>
              <w:rPr>
                <w:noProof/>
              </w:rPr>
              <w:br/>
              <w:t xml:space="preserve">két spanyol kikötő vasúti közlekedésének javítása (407 700 000 EUR) és egy kikötő közúti közlekedésének javítása (43 000 000 EUR), beleértve a következőket: </w:t>
            </w:r>
            <w:r>
              <w:rPr>
                <w:noProof/>
              </w:rPr>
              <w:br/>
              <w:t xml:space="preserve">• Az A Coruña kikötőjének vasúti megközelíthetősége </w:t>
            </w:r>
            <w:r>
              <w:rPr>
                <w:noProof/>
              </w:rPr>
              <w:br/>
              <w:t xml:space="preserve">• Vasúti közlekedés Castellón kikötőjébe </w:t>
            </w:r>
            <w:r>
              <w:rPr>
                <w:noProof/>
              </w:rPr>
              <w:br/>
              <w:t xml:space="preserve">• Az algecirasi kikötőbe való belépés </w:t>
            </w:r>
            <w:r>
              <w:rPr>
                <w:noProof/>
              </w:rPr>
              <w:br/>
              <w:t xml:space="preserve">• 750 méteres mellékvágány építése. </w:t>
            </w:r>
            <w:r>
              <w:rPr>
                <w:noProof/>
              </w:rPr>
              <w:br/>
              <w:t>jobb megközelíthetőség (19 projekt) és fenntarthatóság (25 projekt) a kikötőkben (306 000 000 EUR), többek között:</w:t>
            </w:r>
            <w:r>
              <w:rPr>
                <w:noProof/>
              </w:rPr>
              <w:br/>
              <w:t>• Akadálymentesség (17</w:t>
            </w:r>
            <w:r>
              <w:rPr>
                <w:noProof/>
              </w:rPr>
              <w:t>6 000 000 EUR): vasúti hozzáférési munkálatok, beleértve a felújítási és korszerűsítési munkálatokat, valamint a kikötők belső forgalmához való új hozzáférést és azok javítását, a külső szárazföldi hozzáférést biztosító infrastruktúra átalakításával.</w:t>
            </w:r>
            <w:r>
              <w:rPr>
                <w:noProof/>
              </w:rPr>
              <w:br/>
              <w:t>• Fen</w:t>
            </w:r>
            <w:r>
              <w:rPr>
                <w:noProof/>
              </w:rPr>
              <w:t>ntarthatóság: beleértve a vízellátási és szennyvízelvezetési rendszerek megfelelőségét; levegőminőség-javítási tervek; hatékonyabb energiahálózatok kiépítése; fotovoltaikus napenergia-létesítmények; világítási hálózatok felújítása és LED-technológia telepí</w:t>
            </w:r>
            <w:r>
              <w:rPr>
                <w:noProof/>
              </w:rPr>
              <w:t xml:space="preserve">tése; energiafogyasztást szabályozó rendszerek; a feldolgozó rendszerek felújítása </w:t>
            </w:r>
            <w:r>
              <w:rPr>
                <w:noProof/>
              </w:rPr>
              <w:br/>
              <w:t>Az intézkedések célja a biztonságos, fenntartható és összekapcsolt mobilitási stratégia (R1) 6. területének (Intelligens intermodális logisztikai láncok) végrehajtása.</w:t>
            </w:r>
            <w:r>
              <w:rPr>
                <w:noProof/>
              </w:rPr>
              <w:br/>
              <w:t>A ki</w:t>
            </w:r>
            <w:r>
              <w:rPr>
                <w:noProof/>
              </w:rPr>
              <w:t>választási kritériumoknak biztosítaniuk kell, hogy a 974 000 000 EUR összegű teljes célzott költségvetésből legalább 584 000 000 EUR 100%-os éghajlati együtthatóval, legalább 217 000 000 EUR pedig legalább 40%-os éghajlati együtthatóval járuljon hozzá az é</w:t>
            </w:r>
            <w:r>
              <w:rPr>
                <w:noProof/>
              </w:rPr>
              <w:t>ghajlatváltozással kapcsolatos célkitűzésekhez, összhangban a Helyreállítási és Rezilienciaépítési Eszközről szóló (EU) 2021/241 rendelet VI. mellékletével.</w:t>
            </w:r>
          </w:p>
        </w:tc>
      </w:tr>
      <w:tr w:rsidR="003E1D81" w14:paraId="205345C6" w14:textId="77777777">
        <w:trPr>
          <w:trHeight w:val="309"/>
        </w:trPr>
        <w:tc>
          <w:tcPr>
            <w:tcW w:w="709" w:type="dxa"/>
            <w:shd w:val="clear" w:color="auto" w:fill="C6EFCE"/>
            <w:noWrap/>
          </w:tcPr>
          <w:p w14:paraId="5E240B06" w14:textId="77777777" w:rsidR="003E1D81" w:rsidRDefault="00EB481C">
            <w:pPr>
              <w:pStyle w:val="P68B1DB1-Normal13"/>
              <w:spacing w:after="0" w:line="240" w:lineRule="auto"/>
              <w:jc w:val="center"/>
              <w:rPr>
                <w:rFonts w:eastAsia="Calibri" w:cs="Times New Roman"/>
                <w:noProof/>
              </w:rPr>
            </w:pPr>
            <w:r>
              <w:rPr>
                <w:noProof/>
              </w:rPr>
              <w:t>96</w:t>
            </w:r>
          </w:p>
        </w:tc>
        <w:tc>
          <w:tcPr>
            <w:tcW w:w="851" w:type="dxa"/>
            <w:shd w:val="clear" w:color="auto" w:fill="C6EFCE"/>
            <w:noWrap/>
          </w:tcPr>
          <w:p w14:paraId="0423B15F" w14:textId="77777777" w:rsidR="003E1D81" w:rsidRDefault="00EB481C">
            <w:pPr>
              <w:pStyle w:val="P68B1DB1-Normal13"/>
              <w:spacing w:after="0" w:line="240" w:lineRule="auto"/>
              <w:jc w:val="center"/>
              <w:rPr>
                <w:rFonts w:eastAsia="Calibri" w:cs="Times New Roman"/>
                <w:noProof/>
              </w:rPr>
            </w:pPr>
            <w:r>
              <w:rPr>
                <w:noProof/>
              </w:rPr>
              <w:t>C6.I3</w:t>
            </w:r>
          </w:p>
        </w:tc>
        <w:tc>
          <w:tcPr>
            <w:tcW w:w="850" w:type="dxa"/>
            <w:shd w:val="clear" w:color="auto" w:fill="C6EFCE"/>
            <w:noWrap/>
          </w:tcPr>
          <w:p w14:paraId="2A206639" w14:textId="77777777" w:rsidR="003E1D81" w:rsidRDefault="00EB481C">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3BA36AFE" w14:textId="77777777" w:rsidR="003E1D81" w:rsidRDefault="00EB481C">
            <w:pPr>
              <w:pStyle w:val="P68B1DB1-Normal13"/>
              <w:spacing w:after="0" w:line="240" w:lineRule="auto"/>
              <w:rPr>
                <w:rFonts w:eastAsia="Calibri" w:cs="Times New Roman"/>
                <w:noProof/>
              </w:rPr>
            </w:pPr>
            <w:r>
              <w:rPr>
                <w:noProof/>
              </w:rPr>
              <w:t xml:space="preserve">Az intermodális és logisztikai infrastruktúra költségvetésének végrehajtása </w:t>
            </w:r>
          </w:p>
        </w:tc>
        <w:tc>
          <w:tcPr>
            <w:tcW w:w="1134" w:type="dxa"/>
            <w:shd w:val="clear" w:color="auto" w:fill="C6EFCE"/>
            <w:noWrap/>
          </w:tcPr>
          <w:p w14:paraId="21530F9C" w14:textId="77777777" w:rsidR="003E1D81" w:rsidRDefault="00EB481C">
            <w:pPr>
              <w:pStyle w:val="P68B1DB1-Normal13"/>
              <w:spacing w:after="0" w:line="240" w:lineRule="auto"/>
              <w:jc w:val="center"/>
              <w:rPr>
                <w:rFonts w:eastAsia="Calibri" w:cs="Times New Roman"/>
                <w:noProof/>
              </w:rPr>
            </w:pPr>
            <w:r>
              <w:rPr>
                <w:noProof/>
              </w:rPr>
              <w:t xml:space="preserve">Hivatalos értesítés a költségvetés végrehajtásáról </w:t>
            </w:r>
          </w:p>
        </w:tc>
        <w:tc>
          <w:tcPr>
            <w:tcW w:w="850" w:type="dxa"/>
            <w:shd w:val="clear" w:color="auto" w:fill="C6EFCE"/>
            <w:noWrap/>
          </w:tcPr>
          <w:p w14:paraId="38BC71DC" w14:textId="77777777" w:rsidR="003E1D81" w:rsidRDefault="00EB481C">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66978A9C"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4CD2E59C" w14:textId="77777777" w:rsidR="003E1D81" w:rsidRDefault="00EB481C">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36174567" w14:textId="77777777" w:rsidR="003E1D81" w:rsidRDefault="00EB481C">
            <w:pPr>
              <w:pStyle w:val="P68B1DB1-Normal13"/>
              <w:spacing w:after="0" w:line="240" w:lineRule="auto"/>
              <w:jc w:val="center"/>
              <w:rPr>
                <w:rFonts w:eastAsia="Calibri" w:cs="Times New Roman"/>
                <w:noProof/>
              </w:rPr>
            </w:pPr>
            <w:r>
              <w:rPr>
                <w:noProof/>
              </w:rPr>
              <w:t>NEGYEDÉV</w:t>
            </w:r>
          </w:p>
        </w:tc>
        <w:tc>
          <w:tcPr>
            <w:tcW w:w="567" w:type="dxa"/>
            <w:shd w:val="clear" w:color="auto" w:fill="C6EFCE"/>
            <w:noWrap/>
          </w:tcPr>
          <w:p w14:paraId="05689B90" w14:textId="77777777" w:rsidR="003E1D81" w:rsidRDefault="00EB481C">
            <w:pPr>
              <w:pStyle w:val="P68B1DB1-Normal13"/>
              <w:spacing w:after="0" w:line="240" w:lineRule="auto"/>
              <w:jc w:val="center"/>
              <w:rPr>
                <w:rFonts w:eastAsia="Calibri" w:cs="Times New Roman"/>
                <w:noProof/>
              </w:rPr>
            </w:pPr>
            <w:r>
              <w:rPr>
                <w:noProof/>
              </w:rPr>
              <w:t>2024</w:t>
            </w:r>
          </w:p>
        </w:tc>
        <w:tc>
          <w:tcPr>
            <w:tcW w:w="6066" w:type="dxa"/>
            <w:shd w:val="clear" w:color="auto" w:fill="C6EFCE"/>
            <w:noWrap/>
          </w:tcPr>
          <w:p w14:paraId="0816BCB3" w14:textId="77777777" w:rsidR="003E1D81" w:rsidRDefault="00EB481C">
            <w:pPr>
              <w:pStyle w:val="P68B1DB1-Normal13"/>
              <w:spacing w:after="0" w:line="240" w:lineRule="auto"/>
              <w:rPr>
                <w:rFonts w:eastAsia="Calibri" w:cs="Times New Roman"/>
                <w:noProof/>
              </w:rPr>
            </w:pPr>
            <w:r>
              <w:rPr>
                <w:noProof/>
              </w:rPr>
              <w:t>Az intermodális és logisztikai infrastrukturális struktúrákra fordított, legalább 590 000 000 EUR összegű kumulatív költségvetés a 2022. negyedik negyedévi projekt-odaítélés kiválasztá</w:t>
            </w:r>
            <w:r>
              <w:rPr>
                <w:noProof/>
              </w:rPr>
              <w:t>si kritériumaiban meghatározott területeken található (95. mérföldkő)</w:t>
            </w:r>
          </w:p>
        </w:tc>
      </w:tr>
      <w:tr w:rsidR="003E1D81" w14:paraId="48B359EC" w14:textId="77777777">
        <w:trPr>
          <w:trHeight w:val="309"/>
        </w:trPr>
        <w:tc>
          <w:tcPr>
            <w:tcW w:w="709" w:type="dxa"/>
            <w:shd w:val="clear" w:color="auto" w:fill="C6EFCE"/>
            <w:noWrap/>
          </w:tcPr>
          <w:p w14:paraId="5C30BB71" w14:textId="77777777" w:rsidR="003E1D81" w:rsidRDefault="00EB481C">
            <w:pPr>
              <w:pStyle w:val="P68B1DB1-Normal13"/>
              <w:spacing w:after="0" w:line="240" w:lineRule="auto"/>
              <w:jc w:val="center"/>
              <w:rPr>
                <w:rFonts w:eastAsia="Calibri" w:cs="Times New Roman"/>
                <w:noProof/>
              </w:rPr>
            </w:pPr>
            <w:r>
              <w:rPr>
                <w:noProof/>
              </w:rPr>
              <w:t>97</w:t>
            </w:r>
          </w:p>
        </w:tc>
        <w:tc>
          <w:tcPr>
            <w:tcW w:w="851" w:type="dxa"/>
            <w:shd w:val="clear" w:color="auto" w:fill="C6EFCE"/>
            <w:noWrap/>
          </w:tcPr>
          <w:p w14:paraId="7C3AC971" w14:textId="77777777" w:rsidR="003E1D81" w:rsidRDefault="00EB481C">
            <w:pPr>
              <w:pStyle w:val="P68B1DB1-Normal13"/>
              <w:spacing w:after="0" w:line="240" w:lineRule="auto"/>
              <w:jc w:val="center"/>
              <w:rPr>
                <w:rFonts w:eastAsia="Calibri" w:cs="Times New Roman"/>
                <w:noProof/>
              </w:rPr>
            </w:pPr>
            <w:r>
              <w:rPr>
                <w:noProof/>
              </w:rPr>
              <w:t>C6.I3</w:t>
            </w:r>
          </w:p>
        </w:tc>
        <w:tc>
          <w:tcPr>
            <w:tcW w:w="850" w:type="dxa"/>
            <w:shd w:val="clear" w:color="auto" w:fill="C6EFCE"/>
            <w:noWrap/>
          </w:tcPr>
          <w:p w14:paraId="495C5B68" w14:textId="77777777" w:rsidR="003E1D81" w:rsidRDefault="00EB481C">
            <w:pPr>
              <w:pStyle w:val="P68B1DB1-Normal13"/>
              <w:spacing w:after="0" w:line="240" w:lineRule="auto"/>
              <w:jc w:val="center"/>
              <w:rPr>
                <w:rFonts w:eastAsia="Calibri" w:cs="Times New Roman"/>
                <w:noProof/>
              </w:rPr>
            </w:pPr>
            <w:r>
              <w:rPr>
                <w:noProof/>
              </w:rPr>
              <w:t>T</w:t>
            </w:r>
          </w:p>
        </w:tc>
        <w:tc>
          <w:tcPr>
            <w:tcW w:w="1560" w:type="dxa"/>
            <w:shd w:val="clear" w:color="auto" w:fill="C6EFCE"/>
            <w:noWrap/>
          </w:tcPr>
          <w:p w14:paraId="7FE03AC2" w14:textId="77777777" w:rsidR="003E1D81" w:rsidRDefault="00EB481C">
            <w:pPr>
              <w:pStyle w:val="P68B1DB1-Normal13"/>
              <w:spacing w:after="0" w:line="240" w:lineRule="auto"/>
              <w:rPr>
                <w:rFonts w:eastAsia="Calibri" w:cs="Times New Roman"/>
                <w:noProof/>
              </w:rPr>
            </w:pPr>
            <w:r>
              <w:rPr>
                <w:noProof/>
              </w:rPr>
              <w:t xml:space="preserve">Intermodális és logisztikai infrastruktúra  </w:t>
            </w:r>
          </w:p>
        </w:tc>
        <w:tc>
          <w:tcPr>
            <w:tcW w:w="1134" w:type="dxa"/>
            <w:shd w:val="clear" w:color="auto" w:fill="C6EFCE"/>
            <w:noWrap/>
          </w:tcPr>
          <w:p w14:paraId="3AD8BB85" w14:textId="77777777" w:rsidR="003E1D81" w:rsidRDefault="00EB481C">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3B29AAD3" w14:textId="77777777" w:rsidR="003E1D81" w:rsidRDefault="00EB481C">
            <w:pPr>
              <w:pStyle w:val="P68B1DB1-Normal13"/>
              <w:spacing w:after="0" w:line="240" w:lineRule="auto"/>
              <w:jc w:val="right"/>
              <w:rPr>
                <w:rFonts w:eastAsia="Calibri" w:cs="Times New Roman"/>
                <w:noProof/>
              </w:rPr>
            </w:pPr>
            <w:r>
              <w:rPr>
                <w:noProof/>
              </w:rPr>
              <w:t>Szám</w:t>
            </w:r>
          </w:p>
        </w:tc>
        <w:tc>
          <w:tcPr>
            <w:tcW w:w="567" w:type="dxa"/>
            <w:shd w:val="clear" w:color="auto" w:fill="C6EFCE"/>
            <w:noWrap/>
          </w:tcPr>
          <w:p w14:paraId="290A9710" w14:textId="77777777" w:rsidR="003E1D81" w:rsidRDefault="00EB481C">
            <w:pPr>
              <w:pStyle w:val="P68B1DB1-Normal13"/>
              <w:spacing w:after="0" w:line="240" w:lineRule="auto"/>
              <w:jc w:val="right"/>
              <w:rPr>
                <w:rFonts w:eastAsia="Calibri" w:cs="Times New Roman"/>
                <w:noProof/>
              </w:rPr>
            </w:pPr>
            <w:r>
              <w:rPr>
                <w:noProof/>
              </w:rPr>
              <w:t>0</w:t>
            </w:r>
          </w:p>
        </w:tc>
        <w:tc>
          <w:tcPr>
            <w:tcW w:w="567" w:type="dxa"/>
            <w:shd w:val="clear" w:color="auto" w:fill="C6EFCE"/>
            <w:noWrap/>
          </w:tcPr>
          <w:p w14:paraId="48DF98D7" w14:textId="77777777" w:rsidR="003E1D81" w:rsidRDefault="00EB481C">
            <w:pPr>
              <w:pStyle w:val="P68B1DB1-Normal13"/>
              <w:spacing w:after="0" w:line="240" w:lineRule="auto"/>
              <w:jc w:val="right"/>
              <w:rPr>
                <w:rFonts w:eastAsia="Calibri" w:cs="Times New Roman"/>
                <w:noProof/>
              </w:rPr>
            </w:pPr>
            <w:r>
              <w:rPr>
                <w:noProof/>
              </w:rPr>
              <w:t>12</w:t>
            </w:r>
          </w:p>
        </w:tc>
        <w:tc>
          <w:tcPr>
            <w:tcW w:w="425" w:type="dxa"/>
            <w:shd w:val="clear" w:color="auto" w:fill="C6EFCE"/>
            <w:noWrap/>
          </w:tcPr>
          <w:p w14:paraId="1081CEB9" w14:textId="77777777" w:rsidR="003E1D81" w:rsidRDefault="00EB481C">
            <w:pPr>
              <w:pStyle w:val="P68B1DB1-Normal13"/>
              <w:spacing w:after="0" w:line="240" w:lineRule="auto"/>
              <w:jc w:val="center"/>
              <w:rPr>
                <w:rFonts w:eastAsia="Calibri" w:cs="Times New Roman"/>
                <w:noProof/>
              </w:rPr>
            </w:pPr>
            <w:r>
              <w:rPr>
                <w:noProof/>
              </w:rPr>
              <w:t>KÉRDÉS</w:t>
            </w:r>
          </w:p>
        </w:tc>
        <w:tc>
          <w:tcPr>
            <w:tcW w:w="567" w:type="dxa"/>
            <w:shd w:val="clear" w:color="auto" w:fill="C6EFCE"/>
            <w:noWrap/>
          </w:tcPr>
          <w:p w14:paraId="03D54D94" w14:textId="77777777" w:rsidR="003E1D81" w:rsidRDefault="00EB481C">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6DA6CB92" w14:textId="77777777" w:rsidR="003E1D81" w:rsidRDefault="00EB481C">
            <w:pPr>
              <w:pStyle w:val="P68B1DB1-Normal13"/>
              <w:spacing w:after="0" w:line="240" w:lineRule="auto"/>
              <w:rPr>
                <w:rFonts w:eastAsia="Calibri" w:cs="Times New Roman"/>
                <w:noProof/>
              </w:rPr>
            </w:pPr>
            <w:r>
              <w:rPr>
                <w:noProof/>
              </w:rPr>
              <w:t xml:space="preserve">Kilenc stratégiai jelentőségű intermodális és logisztikai terminál (Tilos) és három új vagy korszerűsített kikötő munkálatainak befejezése a vasúti árufuvarozás fellendítése érdekében. A munkálatok a 2022. negyedik negyedévi projekt-odaítélés kiválasztási </w:t>
            </w:r>
            <w:r>
              <w:rPr>
                <w:noProof/>
              </w:rPr>
              <w:t xml:space="preserve">kritériumaiban meghatározott területeken találhatók, az a) és b) pont (95. mérföldkő). </w:t>
            </w:r>
          </w:p>
        </w:tc>
      </w:tr>
      <w:tr w:rsidR="003E1D81" w14:paraId="55E37360" w14:textId="77777777">
        <w:trPr>
          <w:trHeight w:val="309"/>
        </w:trPr>
        <w:tc>
          <w:tcPr>
            <w:tcW w:w="709" w:type="dxa"/>
            <w:shd w:val="clear" w:color="auto" w:fill="C6EFCE"/>
            <w:noWrap/>
          </w:tcPr>
          <w:p w14:paraId="1D3E6FDD" w14:textId="77777777" w:rsidR="003E1D81" w:rsidRDefault="00EB481C">
            <w:pPr>
              <w:pStyle w:val="P68B1DB1-Normal13"/>
              <w:spacing w:after="0" w:line="240" w:lineRule="auto"/>
              <w:jc w:val="center"/>
              <w:rPr>
                <w:rFonts w:eastAsia="Calibri" w:cs="Times New Roman"/>
                <w:noProof/>
              </w:rPr>
            </w:pPr>
            <w:r>
              <w:rPr>
                <w:noProof/>
              </w:rPr>
              <w:t>98</w:t>
            </w:r>
          </w:p>
        </w:tc>
        <w:tc>
          <w:tcPr>
            <w:tcW w:w="851" w:type="dxa"/>
            <w:shd w:val="clear" w:color="auto" w:fill="C6EFCE"/>
            <w:noWrap/>
          </w:tcPr>
          <w:p w14:paraId="62B12274" w14:textId="77777777" w:rsidR="003E1D81" w:rsidRDefault="00EB481C">
            <w:pPr>
              <w:pStyle w:val="P68B1DB1-Normal13"/>
              <w:spacing w:after="0" w:line="240" w:lineRule="auto"/>
              <w:jc w:val="center"/>
              <w:rPr>
                <w:rFonts w:eastAsia="Calibri" w:cs="Times New Roman"/>
                <w:noProof/>
              </w:rPr>
            </w:pPr>
            <w:r>
              <w:rPr>
                <w:noProof/>
              </w:rPr>
              <w:t>C6.I3</w:t>
            </w:r>
          </w:p>
        </w:tc>
        <w:tc>
          <w:tcPr>
            <w:tcW w:w="850" w:type="dxa"/>
            <w:shd w:val="clear" w:color="auto" w:fill="C6EFCE"/>
            <w:noWrap/>
          </w:tcPr>
          <w:p w14:paraId="6B68F24E" w14:textId="77777777" w:rsidR="003E1D81" w:rsidRDefault="00EB481C">
            <w:pPr>
              <w:pStyle w:val="P68B1DB1-Normal13"/>
              <w:spacing w:after="0" w:line="240" w:lineRule="auto"/>
              <w:jc w:val="center"/>
              <w:rPr>
                <w:rFonts w:eastAsia="Calibri" w:cs="Times New Roman"/>
                <w:noProof/>
              </w:rPr>
            </w:pPr>
            <w:r>
              <w:rPr>
                <w:noProof/>
              </w:rPr>
              <w:t>T</w:t>
            </w:r>
          </w:p>
        </w:tc>
        <w:tc>
          <w:tcPr>
            <w:tcW w:w="1560" w:type="dxa"/>
            <w:shd w:val="clear" w:color="auto" w:fill="C6EFCE"/>
            <w:noWrap/>
          </w:tcPr>
          <w:p w14:paraId="2FEE4FFB" w14:textId="77777777" w:rsidR="003E1D81" w:rsidRDefault="00EB481C">
            <w:pPr>
              <w:pStyle w:val="P68B1DB1-Normal13"/>
              <w:spacing w:after="0" w:line="240" w:lineRule="auto"/>
              <w:rPr>
                <w:rFonts w:eastAsia="Calibri" w:cs="Times New Roman"/>
                <w:noProof/>
              </w:rPr>
            </w:pPr>
            <w:r>
              <w:rPr>
                <w:noProof/>
              </w:rPr>
              <w:t xml:space="preserve">Vasúti akadálymentesítési és fenntarthatósági projektek lezárása a kikötőkben </w:t>
            </w:r>
          </w:p>
        </w:tc>
        <w:tc>
          <w:tcPr>
            <w:tcW w:w="1134" w:type="dxa"/>
            <w:shd w:val="clear" w:color="auto" w:fill="C6EFCE"/>
            <w:noWrap/>
          </w:tcPr>
          <w:p w14:paraId="3AC2E41B" w14:textId="77777777" w:rsidR="003E1D81" w:rsidRDefault="00EB481C">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5E79806A" w14:textId="77777777" w:rsidR="003E1D81" w:rsidRDefault="00EB481C">
            <w:pPr>
              <w:pStyle w:val="P68B1DB1-Normal13"/>
              <w:spacing w:after="0" w:line="240" w:lineRule="auto"/>
              <w:jc w:val="right"/>
              <w:rPr>
                <w:rFonts w:eastAsia="Calibri" w:cs="Times New Roman"/>
                <w:noProof/>
              </w:rPr>
            </w:pPr>
            <w:r>
              <w:rPr>
                <w:noProof/>
              </w:rPr>
              <w:t>Szám</w:t>
            </w:r>
          </w:p>
        </w:tc>
        <w:tc>
          <w:tcPr>
            <w:tcW w:w="567" w:type="dxa"/>
            <w:shd w:val="clear" w:color="auto" w:fill="C6EFCE"/>
            <w:noWrap/>
          </w:tcPr>
          <w:p w14:paraId="40717F1A" w14:textId="77777777" w:rsidR="003E1D81" w:rsidRDefault="00EB481C">
            <w:pPr>
              <w:pStyle w:val="P68B1DB1-Normal13"/>
              <w:spacing w:after="0" w:line="240" w:lineRule="auto"/>
              <w:jc w:val="right"/>
              <w:rPr>
                <w:rFonts w:eastAsia="Calibri" w:cs="Times New Roman"/>
                <w:noProof/>
              </w:rPr>
            </w:pPr>
            <w:r>
              <w:rPr>
                <w:noProof/>
              </w:rPr>
              <w:t>0</w:t>
            </w:r>
          </w:p>
        </w:tc>
        <w:tc>
          <w:tcPr>
            <w:tcW w:w="567" w:type="dxa"/>
            <w:shd w:val="clear" w:color="auto" w:fill="C6EFCE"/>
            <w:noWrap/>
          </w:tcPr>
          <w:p w14:paraId="270091A6" w14:textId="77777777" w:rsidR="003E1D81" w:rsidRDefault="00EB481C">
            <w:pPr>
              <w:pStyle w:val="P68B1DB1-Normal13"/>
              <w:spacing w:after="0" w:line="240" w:lineRule="auto"/>
              <w:jc w:val="right"/>
              <w:rPr>
                <w:rFonts w:eastAsia="Calibri" w:cs="Times New Roman"/>
                <w:noProof/>
              </w:rPr>
            </w:pPr>
            <w:r>
              <w:rPr>
                <w:noProof/>
              </w:rPr>
              <w:t>44</w:t>
            </w:r>
          </w:p>
        </w:tc>
        <w:tc>
          <w:tcPr>
            <w:tcW w:w="425" w:type="dxa"/>
            <w:shd w:val="clear" w:color="auto" w:fill="C6EFCE"/>
            <w:noWrap/>
          </w:tcPr>
          <w:p w14:paraId="17B62A45" w14:textId="77777777" w:rsidR="003E1D81" w:rsidRDefault="00EB481C">
            <w:pPr>
              <w:pStyle w:val="P68B1DB1-Normal13"/>
              <w:spacing w:after="0" w:line="240" w:lineRule="auto"/>
              <w:jc w:val="center"/>
              <w:rPr>
                <w:rFonts w:eastAsia="Calibri" w:cs="Times New Roman"/>
                <w:noProof/>
              </w:rPr>
            </w:pPr>
            <w:r>
              <w:rPr>
                <w:noProof/>
              </w:rPr>
              <w:t>KÉRDÉS</w:t>
            </w:r>
          </w:p>
        </w:tc>
        <w:tc>
          <w:tcPr>
            <w:tcW w:w="567" w:type="dxa"/>
            <w:shd w:val="clear" w:color="auto" w:fill="C6EFCE"/>
            <w:noWrap/>
          </w:tcPr>
          <w:p w14:paraId="56E4FF22" w14:textId="77777777" w:rsidR="003E1D81" w:rsidRDefault="00EB481C">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6C922BF8" w14:textId="77777777" w:rsidR="003E1D81" w:rsidRDefault="00EB481C">
            <w:pPr>
              <w:pStyle w:val="P68B1DB1-Normal13"/>
              <w:spacing w:after="0" w:line="240" w:lineRule="auto"/>
              <w:rPr>
                <w:rFonts w:eastAsia="Calibri" w:cs="Times New Roman"/>
                <w:noProof/>
              </w:rPr>
            </w:pPr>
            <w:r>
              <w:rPr>
                <w:noProof/>
              </w:rPr>
              <w:t>44 fellépés lezárása (19+ 25): legalább 19 vasúti hozzáférhetőségi projekt és fenntarthatósági projektek befejezése a különböző 25 kikötői hatóság kikötőiben. A munkálatok a 2022. negyedik negyedévi projekt-odaítélés kiválasztási kritériumaiban meghatározo</w:t>
            </w:r>
            <w:r>
              <w:rPr>
                <w:noProof/>
              </w:rPr>
              <w:t xml:space="preserve">tt területeken találhatók, c) pont (95. mérföldkő). </w:t>
            </w:r>
          </w:p>
        </w:tc>
      </w:tr>
      <w:tr w:rsidR="003E1D81" w14:paraId="52A0EDE1" w14:textId="77777777">
        <w:trPr>
          <w:trHeight w:val="309"/>
        </w:trPr>
        <w:tc>
          <w:tcPr>
            <w:tcW w:w="709" w:type="dxa"/>
            <w:shd w:val="clear" w:color="auto" w:fill="C6EFCE"/>
            <w:noWrap/>
          </w:tcPr>
          <w:p w14:paraId="4C1829E2" w14:textId="1BC823A7" w:rsidR="003E1D81" w:rsidRDefault="00EB481C">
            <w:pPr>
              <w:pStyle w:val="P68B1DB1-Normal13"/>
              <w:spacing w:after="0" w:line="240" w:lineRule="auto"/>
              <w:jc w:val="center"/>
              <w:rPr>
                <w:rFonts w:eastAsia="Calibri" w:cs="Times New Roman"/>
                <w:noProof/>
              </w:rPr>
            </w:pPr>
            <w:r>
              <w:rPr>
                <w:noProof/>
              </w:rPr>
              <w:t>99</w:t>
            </w:r>
          </w:p>
        </w:tc>
        <w:tc>
          <w:tcPr>
            <w:tcW w:w="851" w:type="dxa"/>
            <w:shd w:val="clear" w:color="auto" w:fill="C6EFCE"/>
            <w:noWrap/>
          </w:tcPr>
          <w:p w14:paraId="3B30915B" w14:textId="77777777" w:rsidR="003E1D81" w:rsidRDefault="00EB481C">
            <w:pPr>
              <w:pStyle w:val="P68B1DB1-Normal13"/>
              <w:spacing w:after="0" w:line="240" w:lineRule="auto"/>
              <w:jc w:val="center"/>
              <w:rPr>
                <w:rFonts w:eastAsia="Calibri" w:cs="Times New Roman"/>
                <w:noProof/>
              </w:rPr>
            </w:pPr>
            <w:r>
              <w:rPr>
                <w:noProof/>
              </w:rPr>
              <w:t>C6.I4</w:t>
            </w:r>
          </w:p>
        </w:tc>
        <w:tc>
          <w:tcPr>
            <w:tcW w:w="850" w:type="dxa"/>
            <w:shd w:val="clear" w:color="auto" w:fill="C6EFCE"/>
            <w:noWrap/>
          </w:tcPr>
          <w:p w14:paraId="6D421D03" w14:textId="77777777" w:rsidR="003E1D81" w:rsidRDefault="00EB481C">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7ACB2AAB" w14:textId="77777777" w:rsidR="003E1D81" w:rsidRDefault="00EB481C">
            <w:pPr>
              <w:pStyle w:val="P68B1DB1-Normal13"/>
              <w:spacing w:after="0" w:line="240" w:lineRule="auto"/>
              <w:rPr>
                <w:rFonts w:eastAsia="Calibri" w:cs="Times New Roman"/>
                <w:noProof/>
              </w:rPr>
            </w:pPr>
            <w:r>
              <w:rPr>
                <w:noProof/>
              </w:rPr>
              <w:t xml:space="preserve">A fenntartható és digitális közlekedés programjának támogatása. </w:t>
            </w:r>
          </w:p>
        </w:tc>
        <w:tc>
          <w:tcPr>
            <w:tcW w:w="1134" w:type="dxa"/>
            <w:shd w:val="clear" w:color="auto" w:fill="C6EFCE"/>
            <w:noWrap/>
          </w:tcPr>
          <w:p w14:paraId="0E045576" w14:textId="77777777" w:rsidR="003E1D81" w:rsidRDefault="00EB481C">
            <w:pPr>
              <w:pStyle w:val="P68B1DB1-Normal13"/>
              <w:spacing w:after="0" w:line="240" w:lineRule="auto"/>
              <w:jc w:val="center"/>
              <w:rPr>
                <w:rFonts w:eastAsia="Calibri" w:cs="Times New Roman"/>
                <w:noProof/>
              </w:rPr>
            </w:pPr>
            <w:r>
              <w:rPr>
                <w:noProof/>
              </w:rPr>
              <w:t>A Hivatalos Lap közzététele</w:t>
            </w:r>
          </w:p>
        </w:tc>
        <w:tc>
          <w:tcPr>
            <w:tcW w:w="850" w:type="dxa"/>
            <w:shd w:val="clear" w:color="auto" w:fill="C6EFCE"/>
            <w:noWrap/>
          </w:tcPr>
          <w:p w14:paraId="6F8FFF11"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336B16C7"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597B45D8"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425" w:type="dxa"/>
            <w:shd w:val="clear" w:color="auto" w:fill="C6EFCE"/>
            <w:noWrap/>
          </w:tcPr>
          <w:p w14:paraId="73216A16" w14:textId="77777777" w:rsidR="003E1D81" w:rsidRDefault="00EB481C">
            <w:pPr>
              <w:pStyle w:val="P68B1DB1-Normal13"/>
              <w:spacing w:after="0" w:line="240" w:lineRule="auto"/>
              <w:jc w:val="center"/>
              <w:rPr>
                <w:rFonts w:eastAsia="Calibri" w:cs="Times New Roman"/>
                <w:noProof/>
              </w:rPr>
            </w:pPr>
            <w:r>
              <w:rPr>
                <w:noProof/>
              </w:rPr>
              <w:t>NEGYEDÉV</w:t>
            </w:r>
          </w:p>
        </w:tc>
        <w:tc>
          <w:tcPr>
            <w:tcW w:w="567" w:type="dxa"/>
            <w:shd w:val="clear" w:color="auto" w:fill="C6EFCE"/>
            <w:noWrap/>
          </w:tcPr>
          <w:p w14:paraId="4E312855" w14:textId="77777777" w:rsidR="003E1D81" w:rsidRDefault="00EB481C">
            <w:pPr>
              <w:pStyle w:val="P68B1DB1-Normal13"/>
              <w:spacing w:after="0" w:line="240" w:lineRule="auto"/>
              <w:jc w:val="center"/>
              <w:rPr>
                <w:rFonts w:eastAsia="Calibri" w:cs="Times New Roman"/>
                <w:noProof/>
              </w:rPr>
            </w:pPr>
            <w:r>
              <w:rPr>
                <w:noProof/>
              </w:rPr>
              <w:t>2022</w:t>
            </w:r>
          </w:p>
        </w:tc>
        <w:tc>
          <w:tcPr>
            <w:tcW w:w="6066" w:type="dxa"/>
            <w:shd w:val="clear" w:color="auto" w:fill="C6EFCE"/>
            <w:noWrap/>
          </w:tcPr>
          <w:p w14:paraId="769F7FD6" w14:textId="50F3241A" w:rsidR="003E1D81" w:rsidRDefault="00EB481C">
            <w:pPr>
              <w:pStyle w:val="P68B1DB1-Normal13"/>
              <w:spacing w:after="0" w:line="240" w:lineRule="auto"/>
              <w:rPr>
                <w:rFonts w:eastAsia="Calibri" w:cs="Times New Roman"/>
                <w:noProof/>
              </w:rPr>
            </w:pPr>
            <w:r>
              <w:rPr>
                <w:noProof/>
              </w:rPr>
              <w:t xml:space="preserve">A fenntartható és digitális közlekedés programja keretében odaítélt 800 000 000 EUR közzététele a Hivatalos Lapban. </w:t>
            </w:r>
            <w:r>
              <w:rPr>
                <w:noProof/>
              </w:rPr>
              <w:br/>
              <w:t>A projekteket a következő 15 tevékenységre kell odaítélni.</w:t>
            </w:r>
            <w:r>
              <w:rPr>
                <w:noProof/>
              </w:rPr>
              <w:br/>
              <w:t xml:space="preserve">Cselekvési irányvonal Kölcsönös átjárhatóság a vasúti árufuvarozásban </w:t>
            </w:r>
            <w:r>
              <w:rPr>
                <w:noProof/>
              </w:rPr>
              <w:br/>
              <w:t>1. Európa</w:t>
            </w:r>
            <w:r>
              <w:rPr>
                <w:noProof/>
              </w:rPr>
              <w:t xml:space="preserve">i Vasúti Forgalomirányítási Rendszerek (ERTMS) </w:t>
            </w:r>
            <w:r>
              <w:rPr>
                <w:noProof/>
              </w:rPr>
              <w:br/>
              <w:t>2. A vasúti átjárhatóság akadályainak felszámolására irányuló intézkedések az ÁME-kkel összhangban.</w:t>
            </w:r>
            <w:r>
              <w:rPr>
                <w:noProof/>
              </w:rPr>
              <w:br/>
              <w:t xml:space="preserve">Zajcsökkentő rendszerek a járművekben </w:t>
            </w:r>
            <w:r>
              <w:rPr>
                <w:noProof/>
              </w:rPr>
              <w:br/>
              <w:t xml:space="preserve">A mozdonyok különböző üzemi feszültségekhez való igazítása </w:t>
            </w:r>
            <w:r>
              <w:rPr>
                <w:noProof/>
              </w:rPr>
              <w:br/>
              <w:t>Változtat</w:t>
            </w:r>
            <w:r>
              <w:rPr>
                <w:noProof/>
              </w:rPr>
              <w:t xml:space="preserve">ható nyomtávú tengelyek felszerelése teherkocsikra </w:t>
            </w:r>
            <w:r>
              <w:rPr>
                <w:noProof/>
              </w:rPr>
              <w:br/>
              <w:t>3. A változtatható nyomtáv tengelyének innovációja és fejlesztése a mozdonyokban.</w:t>
            </w:r>
            <w:r>
              <w:rPr>
                <w:noProof/>
              </w:rPr>
              <w:br/>
              <w:t xml:space="preserve">Cselekvési irányvonal A közlekedés intermodalitásának előmozdítása 4. Rakományok és intermodális vasúti-közúti terminálok </w:t>
            </w:r>
            <w:r>
              <w:rPr>
                <w:noProof/>
              </w:rPr>
              <w:t xml:space="preserve">és szárazföldi összeköttetéseik építése, átalakítása vagy korszerűsítése </w:t>
            </w:r>
            <w:r>
              <w:rPr>
                <w:noProof/>
              </w:rPr>
              <w:br/>
              <w:t xml:space="preserve">5. A fenntartható (vasúti és tengeri) árufuvarozás támogatása a kínálatra és a keresletre vonatkozó ECO-INCENTIVES alapján </w:t>
            </w:r>
            <w:r>
              <w:rPr>
                <w:noProof/>
              </w:rPr>
              <w:br/>
              <w:t xml:space="preserve">Cselekvési irányvonal A vasúti áruszállítási berendezések </w:t>
            </w:r>
            <w:r>
              <w:rPr>
                <w:noProof/>
              </w:rPr>
              <w:t xml:space="preserve">korszerűsítése </w:t>
            </w:r>
            <w:r>
              <w:rPr>
                <w:noProof/>
              </w:rPr>
              <w:br/>
              <w:t>6. A vasúti árufuvarozás céljára szolgáló vagonok felújítását vagy korszerűsítését támogató intézkedések, beleértve a vasúti gyorsforgalmi szolgáltatások létrehozását is.</w:t>
            </w:r>
            <w:r>
              <w:rPr>
                <w:noProof/>
              </w:rPr>
              <w:br/>
              <w:t>7. A vasúti traktorok berendezéseinek alternatív üzemanyagot (hidrogé</w:t>
            </w:r>
            <w:r>
              <w:rPr>
                <w:noProof/>
              </w:rPr>
              <w:t xml:space="preserve">nt vagy villamos energiát) használó más anyagokkal történő felújítását vagy átalakítását támogató intézkedések. </w:t>
            </w:r>
            <w:r>
              <w:rPr>
                <w:noProof/>
              </w:rPr>
              <w:br/>
              <w:t xml:space="preserve">Cselekvési irányvonal Biztonságos, fenntartható és összekapcsolt közúti közlekedés </w:t>
            </w:r>
            <w:r>
              <w:rPr>
                <w:noProof/>
              </w:rPr>
              <w:br/>
              <w:t>8. A haszongépjárművek számára biztonságos parkolóhelyek ép</w:t>
            </w:r>
            <w:r>
              <w:rPr>
                <w:noProof/>
              </w:rPr>
              <w:t>ítése és korszerűsítése, valamint információs szolgáltatások nyújtása (885/2013/EU felhatalmazáson alapuló rendelet).</w:t>
            </w:r>
            <w:r>
              <w:rPr>
                <w:noProof/>
              </w:rPr>
              <w:br/>
              <w:t>9. Intelligens közlekedési szolgáltatások a közúti ágazatban (ITS) díjköteles autópálya-koncessziókban és egyéb közúti biztonsági és -megő</w:t>
            </w:r>
            <w:r>
              <w:rPr>
                <w:noProof/>
              </w:rPr>
              <w:t>rzési szolgáltatásokban.</w:t>
            </w:r>
            <w:r>
              <w:rPr>
                <w:noProof/>
              </w:rPr>
              <w:br/>
              <w:t xml:space="preserve">10. A nehézgépjárművek alternatív üzemanyagtöltő infrastruktúrájának az úthálózaton való kiépítését támogató intézkedések </w:t>
            </w:r>
            <w:r>
              <w:rPr>
                <w:noProof/>
              </w:rPr>
              <w:br/>
              <w:t>11. Az eszközök és gépek fenntartható útburkolat elérése érdekében történő felújítását vagy átalakítását tám</w:t>
            </w:r>
            <w:r>
              <w:rPr>
                <w:noProof/>
              </w:rPr>
              <w:t xml:space="preserve">ogató intézkedések: csökkentett szénlábnyom és hangcsökkentők </w:t>
            </w:r>
            <w:r>
              <w:rPr>
                <w:noProof/>
              </w:rPr>
              <w:br/>
              <w:t xml:space="preserve">Cselekvési irányvonal A tengeri és légi közlekedés fenntarthatósága </w:t>
            </w:r>
            <w:r>
              <w:rPr>
                <w:noProof/>
              </w:rPr>
              <w:br/>
              <w:t>12. Az alternatív üzemanyagok kikötőkben és repülőtereken történő bevezetésének támogatása.</w:t>
            </w:r>
            <w:r>
              <w:rPr>
                <w:noProof/>
              </w:rPr>
              <w:br/>
              <w:t>13. A tengerhasznosítási ágazatb</w:t>
            </w:r>
            <w:r>
              <w:rPr>
                <w:noProof/>
              </w:rPr>
              <w:t>an a propulzív alternatív energiatechnológiák elterjedésének támogatása.</w:t>
            </w:r>
            <w:r>
              <w:rPr>
                <w:noProof/>
              </w:rPr>
              <w:br/>
              <w:t xml:space="preserve">Cselekvési irányvonal. A közlekedés digitalizálása </w:t>
            </w:r>
            <w:r>
              <w:rPr>
                <w:noProof/>
              </w:rPr>
              <w:br/>
              <w:t>14. A személy- és áruszállítási szolgáltatások digitalizálására irányuló projektek nemzeti szinten.</w:t>
            </w:r>
            <w:r>
              <w:rPr>
                <w:noProof/>
              </w:rPr>
              <w:br/>
              <w:t>Átcsoportosítás az autonóm közö</w:t>
            </w:r>
            <w:r>
              <w:rPr>
                <w:noProof/>
              </w:rPr>
              <w:t xml:space="preserve">sségekbe </w:t>
            </w:r>
            <w:r>
              <w:rPr>
                <w:noProof/>
              </w:rPr>
              <w:br/>
              <w:t>15. A személy- és áruszállítási szolgáltatások digitalizálására irányuló projektek regionális és helyi szinten.</w:t>
            </w:r>
            <w:r>
              <w:rPr>
                <w:noProof/>
              </w:rPr>
              <w:br/>
              <w:t xml:space="preserve">A 10. és 12. intézkedés esetében a kiválasztási kritériumoknak meg kell felelniük a jelentős károkozás elkerülését célzó elvről szóló </w:t>
            </w:r>
            <w:r>
              <w:rPr>
                <w:noProof/>
              </w:rPr>
              <w:t>technikai iránymutatásnak (2021/C58/01), amely biztosítja, hogy az infrastruktúra az építés idején lehetővé váljon a megújuló és alacsony szén-dioxid-kibocsátású gázok szállítására.</w:t>
            </w:r>
            <w:r>
              <w:rPr>
                <w:noProof/>
              </w:rPr>
              <w:br/>
              <w:t>A kiválasztási kritériumoknak biztosítaniuk kell, hogy a Helyreállítási és</w:t>
            </w:r>
            <w:r>
              <w:rPr>
                <w:noProof/>
              </w:rPr>
              <w:t xml:space="preserve"> Rezilienciaépítési Eszközről szóló (EU) 2021/241 rendelet VI. mellékletével összhangban legalább 63 500 000 EUR 100%-os éghajlati együtthatóval és legalább 210 000 000 EUR-val és legalább 40%-os éghajlati együtthatóval járuljanak hozzá az éghajlatváltozás</w:t>
            </w:r>
            <w:r>
              <w:rPr>
                <w:noProof/>
              </w:rPr>
              <w:t>sal kapcsolatos célkitűzésekhez.</w:t>
            </w:r>
          </w:p>
        </w:tc>
      </w:tr>
      <w:tr w:rsidR="003E1D81" w14:paraId="19F42941" w14:textId="77777777">
        <w:trPr>
          <w:trHeight w:val="309"/>
        </w:trPr>
        <w:tc>
          <w:tcPr>
            <w:tcW w:w="709" w:type="dxa"/>
            <w:shd w:val="clear" w:color="auto" w:fill="C6EFCE"/>
            <w:noWrap/>
          </w:tcPr>
          <w:p w14:paraId="7863B65F" w14:textId="77777777" w:rsidR="003E1D81" w:rsidRDefault="00EB481C">
            <w:pPr>
              <w:pStyle w:val="P68B1DB1-Normal13"/>
              <w:spacing w:after="0" w:line="240" w:lineRule="auto"/>
              <w:jc w:val="center"/>
              <w:rPr>
                <w:rFonts w:eastAsia="Calibri" w:cs="Times New Roman"/>
                <w:noProof/>
              </w:rPr>
            </w:pPr>
            <w:r>
              <w:rPr>
                <w:noProof/>
              </w:rPr>
              <w:t>100</w:t>
            </w:r>
          </w:p>
        </w:tc>
        <w:tc>
          <w:tcPr>
            <w:tcW w:w="851" w:type="dxa"/>
            <w:shd w:val="clear" w:color="auto" w:fill="C6EFCE"/>
            <w:noWrap/>
          </w:tcPr>
          <w:p w14:paraId="17F5D837" w14:textId="77777777" w:rsidR="003E1D81" w:rsidRDefault="00EB481C">
            <w:pPr>
              <w:pStyle w:val="P68B1DB1-Normal13"/>
              <w:spacing w:after="0" w:line="240" w:lineRule="auto"/>
              <w:jc w:val="center"/>
              <w:rPr>
                <w:rFonts w:eastAsia="Calibri" w:cs="Times New Roman"/>
                <w:noProof/>
              </w:rPr>
            </w:pPr>
            <w:r>
              <w:rPr>
                <w:noProof/>
              </w:rPr>
              <w:t>C6.I4</w:t>
            </w:r>
          </w:p>
        </w:tc>
        <w:tc>
          <w:tcPr>
            <w:tcW w:w="850" w:type="dxa"/>
            <w:shd w:val="clear" w:color="auto" w:fill="C6EFCE"/>
            <w:noWrap/>
          </w:tcPr>
          <w:p w14:paraId="17EBD725" w14:textId="77777777" w:rsidR="003E1D81" w:rsidRDefault="00EB481C">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6BF83F4C" w14:textId="77777777" w:rsidR="003E1D81" w:rsidRDefault="00EB481C">
            <w:pPr>
              <w:pStyle w:val="P68B1DB1-Normal13"/>
              <w:spacing w:after="0" w:line="240" w:lineRule="auto"/>
              <w:rPr>
                <w:rFonts w:eastAsia="Calibri" w:cs="Times New Roman"/>
                <w:noProof/>
              </w:rPr>
            </w:pPr>
            <w:r>
              <w:rPr>
                <w:noProof/>
              </w:rPr>
              <w:t>Fenntartható és digitális közlekedés: a munkálatok kezdete</w:t>
            </w:r>
          </w:p>
        </w:tc>
        <w:tc>
          <w:tcPr>
            <w:tcW w:w="1134" w:type="dxa"/>
            <w:shd w:val="clear" w:color="auto" w:fill="C6EFCE"/>
            <w:noWrap/>
          </w:tcPr>
          <w:p w14:paraId="24CF6479" w14:textId="77777777" w:rsidR="003E1D81" w:rsidRDefault="00EB481C">
            <w:pPr>
              <w:pStyle w:val="P68B1DB1-Normal13"/>
              <w:spacing w:after="0" w:line="240" w:lineRule="auto"/>
              <w:jc w:val="center"/>
              <w:rPr>
                <w:rFonts w:eastAsia="Calibri" w:cs="Times New Roman"/>
                <w:noProof/>
              </w:rPr>
            </w:pPr>
            <w:r>
              <w:rPr>
                <w:noProof/>
              </w:rPr>
              <w:t xml:space="preserve">Hivatalos értesítés a munkálatok megkezdéséről </w:t>
            </w:r>
          </w:p>
        </w:tc>
        <w:tc>
          <w:tcPr>
            <w:tcW w:w="850" w:type="dxa"/>
            <w:shd w:val="clear" w:color="auto" w:fill="C6EFCE"/>
            <w:noWrap/>
          </w:tcPr>
          <w:p w14:paraId="582CCBB7"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7737F961"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339FCE4D"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425" w:type="dxa"/>
            <w:shd w:val="clear" w:color="auto" w:fill="C6EFCE"/>
            <w:noWrap/>
          </w:tcPr>
          <w:p w14:paraId="65FAD227" w14:textId="77777777" w:rsidR="003E1D81" w:rsidRDefault="00EB481C">
            <w:pPr>
              <w:pStyle w:val="P68B1DB1-Normal13"/>
              <w:spacing w:after="0" w:line="240" w:lineRule="auto"/>
              <w:jc w:val="center"/>
              <w:rPr>
                <w:rFonts w:eastAsia="Calibri" w:cs="Times New Roman"/>
                <w:noProof/>
              </w:rPr>
            </w:pPr>
            <w:r>
              <w:rPr>
                <w:noProof/>
              </w:rPr>
              <w:t>NEGYEDÉV</w:t>
            </w:r>
          </w:p>
        </w:tc>
        <w:tc>
          <w:tcPr>
            <w:tcW w:w="567" w:type="dxa"/>
            <w:shd w:val="clear" w:color="auto" w:fill="C6EFCE"/>
            <w:noWrap/>
          </w:tcPr>
          <w:p w14:paraId="66D14CBD" w14:textId="77777777" w:rsidR="003E1D81" w:rsidRDefault="00EB481C">
            <w:pPr>
              <w:pStyle w:val="P68B1DB1-Normal13"/>
              <w:spacing w:after="0" w:line="240" w:lineRule="auto"/>
              <w:jc w:val="center"/>
              <w:rPr>
                <w:rFonts w:eastAsia="Calibri" w:cs="Times New Roman"/>
                <w:noProof/>
              </w:rPr>
            </w:pPr>
            <w:r>
              <w:rPr>
                <w:noProof/>
              </w:rPr>
              <w:t>2024</w:t>
            </w:r>
          </w:p>
        </w:tc>
        <w:tc>
          <w:tcPr>
            <w:tcW w:w="6066" w:type="dxa"/>
            <w:shd w:val="clear" w:color="auto" w:fill="C6EFCE"/>
            <w:noWrap/>
          </w:tcPr>
          <w:p w14:paraId="05C5E7B3" w14:textId="77777777" w:rsidR="003E1D81" w:rsidRDefault="00EB481C">
            <w:pPr>
              <w:pStyle w:val="P68B1DB1-Normal13"/>
              <w:spacing w:after="0" w:line="240" w:lineRule="auto"/>
              <w:rPr>
                <w:rFonts w:eastAsia="Calibri" w:cs="Times New Roman"/>
                <w:noProof/>
              </w:rPr>
            </w:pPr>
            <w:r>
              <w:rPr>
                <w:noProof/>
              </w:rPr>
              <w:t xml:space="preserve">2022 negyedik negyedévében odaítélt valamennyi projekt (99. mérföldkő) </w:t>
            </w:r>
            <w:r>
              <w:rPr>
                <w:noProof/>
              </w:rPr>
              <w:t>munkálatainak megkezdése a fenntartható és digitális közlekedés előmozdítása érdekében. A munkálatok a 2022. negyedik negyedévi projekt-odaítélés kiválasztási kritériumaiban meghatározott területeken találhatók (99. mérföldkő).</w:t>
            </w:r>
          </w:p>
        </w:tc>
      </w:tr>
      <w:tr w:rsidR="003E1D81" w14:paraId="6668EE6D" w14:textId="77777777">
        <w:trPr>
          <w:trHeight w:val="309"/>
        </w:trPr>
        <w:tc>
          <w:tcPr>
            <w:tcW w:w="709" w:type="dxa"/>
            <w:shd w:val="clear" w:color="auto" w:fill="C6EFCE"/>
            <w:noWrap/>
          </w:tcPr>
          <w:p w14:paraId="6666C624" w14:textId="77777777" w:rsidR="003E1D81" w:rsidRDefault="00EB481C">
            <w:pPr>
              <w:pStyle w:val="P68B1DB1-Normal13"/>
              <w:spacing w:after="0" w:line="240" w:lineRule="auto"/>
              <w:jc w:val="center"/>
              <w:rPr>
                <w:rFonts w:eastAsia="Calibri" w:cs="Times New Roman"/>
                <w:noProof/>
              </w:rPr>
            </w:pPr>
            <w:r>
              <w:rPr>
                <w:noProof/>
              </w:rPr>
              <w:t>101</w:t>
            </w:r>
          </w:p>
        </w:tc>
        <w:tc>
          <w:tcPr>
            <w:tcW w:w="851" w:type="dxa"/>
            <w:shd w:val="clear" w:color="auto" w:fill="C6EFCE"/>
            <w:noWrap/>
          </w:tcPr>
          <w:p w14:paraId="57632699" w14:textId="77777777" w:rsidR="003E1D81" w:rsidRDefault="00EB481C">
            <w:pPr>
              <w:pStyle w:val="P68B1DB1-Normal13"/>
              <w:spacing w:after="0" w:line="240" w:lineRule="auto"/>
              <w:jc w:val="center"/>
              <w:rPr>
                <w:rFonts w:eastAsia="Calibri" w:cs="Times New Roman"/>
                <w:noProof/>
              </w:rPr>
            </w:pPr>
            <w:r>
              <w:rPr>
                <w:noProof/>
              </w:rPr>
              <w:t>C6.I4</w:t>
            </w:r>
          </w:p>
        </w:tc>
        <w:tc>
          <w:tcPr>
            <w:tcW w:w="850" w:type="dxa"/>
            <w:shd w:val="clear" w:color="auto" w:fill="C6EFCE"/>
            <w:noWrap/>
          </w:tcPr>
          <w:p w14:paraId="702ECB99" w14:textId="77777777" w:rsidR="003E1D81" w:rsidRDefault="00EB481C">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7422091B" w14:textId="77777777" w:rsidR="003E1D81" w:rsidRDefault="00EB481C">
            <w:pPr>
              <w:pStyle w:val="P68B1DB1-Normal13"/>
              <w:spacing w:after="0" w:line="240" w:lineRule="auto"/>
              <w:rPr>
                <w:rFonts w:eastAsia="Calibri" w:cs="Times New Roman"/>
                <w:noProof/>
              </w:rPr>
            </w:pPr>
            <w:r>
              <w:rPr>
                <w:noProof/>
              </w:rPr>
              <w:t>Fenntartható és</w:t>
            </w:r>
            <w:r>
              <w:rPr>
                <w:noProof/>
              </w:rPr>
              <w:t xml:space="preserve"> digitális közlekedés: a munkálatok befejezése</w:t>
            </w:r>
          </w:p>
        </w:tc>
        <w:tc>
          <w:tcPr>
            <w:tcW w:w="1134" w:type="dxa"/>
            <w:shd w:val="clear" w:color="auto" w:fill="C6EFCE"/>
            <w:noWrap/>
          </w:tcPr>
          <w:p w14:paraId="60E5B26E" w14:textId="77777777" w:rsidR="003E1D81" w:rsidRDefault="00EB481C">
            <w:pPr>
              <w:pStyle w:val="P68B1DB1-Normal13"/>
              <w:spacing w:after="0" w:line="240" w:lineRule="auto"/>
              <w:jc w:val="center"/>
              <w:rPr>
                <w:rFonts w:eastAsia="Calibri" w:cs="Times New Roman"/>
                <w:noProof/>
              </w:rPr>
            </w:pPr>
            <w:r>
              <w:rPr>
                <w:noProof/>
              </w:rPr>
              <w:t>Hivatalos értesítés a munka befejezéséről</w:t>
            </w:r>
          </w:p>
        </w:tc>
        <w:tc>
          <w:tcPr>
            <w:tcW w:w="850" w:type="dxa"/>
            <w:shd w:val="clear" w:color="auto" w:fill="C6EFCE"/>
            <w:noWrap/>
          </w:tcPr>
          <w:p w14:paraId="5F11E8D2" w14:textId="77777777" w:rsidR="003E1D81" w:rsidRDefault="00EB481C">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56156A73"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693C4773" w14:textId="77777777" w:rsidR="003E1D81" w:rsidRDefault="00EB481C">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5A0931A9" w14:textId="77777777" w:rsidR="003E1D81" w:rsidRDefault="00EB481C">
            <w:pPr>
              <w:pStyle w:val="P68B1DB1-Normal13"/>
              <w:spacing w:after="0" w:line="240" w:lineRule="auto"/>
              <w:jc w:val="center"/>
              <w:rPr>
                <w:rFonts w:eastAsia="Calibri" w:cs="Times New Roman"/>
                <w:noProof/>
              </w:rPr>
            </w:pPr>
            <w:r>
              <w:rPr>
                <w:noProof/>
              </w:rPr>
              <w:t>KÉRDÉS</w:t>
            </w:r>
          </w:p>
        </w:tc>
        <w:tc>
          <w:tcPr>
            <w:tcW w:w="567" w:type="dxa"/>
            <w:shd w:val="clear" w:color="auto" w:fill="C6EFCE"/>
            <w:noWrap/>
          </w:tcPr>
          <w:p w14:paraId="4C391F0A" w14:textId="77777777" w:rsidR="003E1D81" w:rsidRDefault="00EB481C">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421AB524" w14:textId="77777777" w:rsidR="003E1D81" w:rsidRDefault="00EB481C">
            <w:pPr>
              <w:pStyle w:val="P68B1DB1-Normal13"/>
              <w:spacing w:after="0" w:line="240" w:lineRule="auto"/>
              <w:rPr>
                <w:rFonts w:eastAsia="Calibri" w:cs="Times New Roman"/>
                <w:noProof/>
              </w:rPr>
            </w:pPr>
            <w:r>
              <w:rPr>
                <w:noProof/>
              </w:rPr>
              <w:t>A fenntartható és digitális közlekedés előmozdítása érdekében 2022 negyedik negyedévében odaítélt valamennyi projekt lezárása (99. mérföldkő). A munk</w:t>
            </w:r>
            <w:r>
              <w:rPr>
                <w:noProof/>
              </w:rPr>
              <w:t>álatok a 2022 negyedik negyedévi projekt-odaítélés kiválasztási kritériumaiban meghatározott területeken találhatók.</w:t>
            </w:r>
            <w:r>
              <w:rPr>
                <w:noProof/>
              </w:rPr>
              <w:br/>
              <w:t>A 10. és 12. intézkedés esetében a kiválasztási kritériumoknak meg kell felelniük a jelentős károkozás elkerülését célzó elvről szóló techn</w:t>
            </w:r>
            <w:r>
              <w:rPr>
                <w:noProof/>
              </w:rPr>
              <w:t>ikai iránymutatásnak (2021/C58/01), amely biztosítja, hogy az infrastruktúra az építés idején lehetővé váljon a megújuló és alacsony szén-dioxid-kibocsátású gázok szállítására.</w:t>
            </w:r>
          </w:p>
        </w:tc>
      </w:tr>
    </w:tbl>
    <w:p w14:paraId="1F3B1409" w14:textId="77777777" w:rsidR="003E1D81" w:rsidRDefault="003E1D81">
      <w:pPr>
        <w:spacing w:before="120" w:after="120" w:line="240" w:lineRule="auto"/>
        <w:jc w:val="both"/>
        <w:rPr>
          <w:rFonts w:ascii="Times New Roman" w:hAnsi="Times New Roman" w:cs="Times New Roman"/>
          <w:noProof/>
          <w:sz w:val="24"/>
        </w:rPr>
        <w:sectPr w:rsidR="003E1D81" w:rsidSect="0035659C">
          <w:headerReference w:type="even" r:id="rId156"/>
          <w:headerReference w:type="default" r:id="rId157"/>
          <w:footerReference w:type="even" r:id="rId158"/>
          <w:footerReference w:type="default" r:id="rId159"/>
          <w:headerReference w:type="first" r:id="rId160"/>
          <w:footerReference w:type="first" r:id="rId161"/>
          <w:pgSz w:w="16839" w:h="11907" w:orient="landscape"/>
          <w:pgMar w:top="1417" w:right="1134" w:bottom="1417" w:left="1134" w:header="709" w:footer="709" w:gutter="0"/>
          <w:cols w:space="720"/>
          <w:docGrid w:linePitch="360"/>
        </w:sectPr>
      </w:pPr>
    </w:p>
    <w:p w14:paraId="480D5346" w14:textId="2A10D28A" w:rsidR="003E1D81" w:rsidRDefault="00EB481C">
      <w:pPr>
        <w:pStyle w:val="P68B1DB1-Normal5"/>
        <w:keepNext/>
        <w:spacing w:before="120" w:after="120" w:line="240" w:lineRule="auto"/>
        <w:ind w:left="720"/>
        <w:jc w:val="both"/>
        <w:rPr>
          <w:rFonts w:cs="Times New Roman"/>
          <w:noProof/>
        </w:rPr>
      </w:pPr>
      <w:r>
        <w:rPr>
          <w:noProof/>
        </w:rPr>
        <w:t xml:space="preserve">F.3. </w:t>
      </w:r>
      <w:r>
        <w:rPr>
          <w:noProof/>
        </w:rPr>
        <w:tab/>
        <w:t xml:space="preserve">A </w:t>
      </w:r>
      <w:r>
        <w:rPr>
          <w:noProof/>
        </w:rPr>
        <w:t>hiteltámogatásra irányuló beruházások ismertetése</w:t>
      </w:r>
    </w:p>
    <w:p w14:paraId="41E41CB2" w14:textId="28BB7C4E" w:rsidR="003E1D81" w:rsidRDefault="00EB481C">
      <w:pPr>
        <w:pStyle w:val="P68B1DB1-Normal6"/>
        <w:keepNext/>
        <w:spacing w:before="120" w:after="120" w:line="240" w:lineRule="auto"/>
        <w:jc w:val="both"/>
        <w:rPr>
          <w:rFonts w:cs="Times New Roman"/>
          <w:noProof/>
        </w:rPr>
      </w:pPr>
      <w:r>
        <w:rPr>
          <w:noProof/>
        </w:rPr>
        <w:t>Reform (C6.R3) – A nemzeti autópálya-hálózat energiahatékonysági stratégiája</w:t>
      </w:r>
    </w:p>
    <w:p w14:paraId="672DC29C" w14:textId="53DA354B" w:rsidR="003E1D81" w:rsidRDefault="00EB481C">
      <w:pPr>
        <w:pStyle w:val="P68B1DB1-Normal4"/>
        <w:keepNext/>
        <w:spacing w:before="120" w:after="120" w:line="240" w:lineRule="auto"/>
        <w:jc w:val="both"/>
        <w:rPr>
          <w:rFonts w:cs="Times New Roman"/>
          <w:noProof/>
        </w:rPr>
      </w:pPr>
      <w:bookmarkStart w:id="15" w:name="_Hlk145340180"/>
      <w:r>
        <w:rPr>
          <w:noProof/>
        </w:rPr>
        <w:t>E reform célja az állami közúthálózat energiahatékonysági stratégiájának közzététele, valamint az állami közúthálózat energiahaté</w:t>
      </w:r>
      <w:r>
        <w:rPr>
          <w:noProof/>
        </w:rPr>
        <w:t xml:space="preserve">konyságának javítását célzó intézkedéscsomag létrehozása. </w:t>
      </w:r>
    </w:p>
    <w:bookmarkEnd w:id="15"/>
    <w:p w14:paraId="618FD4BA" w14:textId="77777777" w:rsidR="003E1D81" w:rsidRDefault="00EB481C">
      <w:pPr>
        <w:pStyle w:val="P68B1DB1-Normal4"/>
        <w:keepNext/>
        <w:spacing w:before="120" w:after="120" w:line="240" w:lineRule="auto"/>
        <w:jc w:val="both"/>
        <w:rPr>
          <w:rFonts w:cs="Times New Roman"/>
          <w:noProof/>
        </w:rPr>
      </w:pPr>
      <w:r>
        <w:rPr>
          <w:noProof/>
        </w:rPr>
        <w:t>Ez a stratégia legalább a következő elemekre terjed ki:</w:t>
      </w:r>
    </w:p>
    <w:p w14:paraId="65E0DFA6" w14:textId="03A60BEA" w:rsidR="003E1D81" w:rsidRDefault="00EB481C">
      <w:pPr>
        <w:pStyle w:val="P68B1DB1-ListParagraph7"/>
        <w:keepNext/>
        <w:numPr>
          <w:ilvl w:val="0"/>
          <w:numId w:val="299"/>
        </w:numPr>
        <w:spacing w:before="120" w:after="120" w:line="240" w:lineRule="auto"/>
        <w:ind w:left="426"/>
        <w:jc w:val="both"/>
        <w:rPr>
          <w:rFonts w:cs="Times New Roman"/>
          <w:noProof/>
        </w:rPr>
      </w:pPr>
      <w:r>
        <w:rPr>
          <w:noProof/>
        </w:rPr>
        <w:t>a Nemzeti Közúthálózat energiaellátásának elemzése;</w:t>
      </w:r>
    </w:p>
    <w:p w14:paraId="7EF0DBB6" w14:textId="5AB7F952" w:rsidR="003E1D81" w:rsidRDefault="00EB481C">
      <w:pPr>
        <w:pStyle w:val="P68B1DB1-ListParagraph7"/>
        <w:keepNext/>
        <w:numPr>
          <w:ilvl w:val="0"/>
          <w:numId w:val="299"/>
        </w:numPr>
        <w:spacing w:before="120" w:after="120" w:line="240" w:lineRule="auto"/>
        <w:ind w:left="426"/>
        <w:jc w:val="both"/>
        <w:rPr>
          <w:rFonts w:cs="Times New Roman"/>
          <w:noProof/>
        </w:rPr>
      </w:pPr>
      <w:r>
        <w:rPr>
          <w:noProof/>
        </w:rPr>
        <w:t>a Nemzeti Közúthálózat jelenlegi helyzetének elemzése annak megvilágítása és a lehetséges</w:t>
      </w:r>
      <w:r>
        <w:rPr>
          <w:noProof/>
        </w:rPr>
        <w:t xml:space="preserve"> megoldások indoklása tekintetében;</w:t>
      </w:r>
    </w:p>
    <w:p w14:paraId="7929D158" w14:textId="02C1B6F2" w:rsidR="003E1D81" w:rsidRDefault="00EB481C">
      <w:pPr>
        <w:pStyle w:val="P68B1DB1-ListParagraph7"/>
        <w:keepNext/>
        <w:numPr>
          <w:ilvl w:val="0"/>
          <w:numId w:val="299"/>
        </w:numPr>
        <w:spacing w:before="120" w:after="120" w:line="240" w:lineRule="auto"/>
        <w:ind w:left="426"/>
        <w:jc w:val="both"/>
        <w:rPr>
          <w:rFonts w:cs="Times New Roman"/>
          <w:noProof/>
        </w:rPr>
      </w:pPr>
      <w:r>
        <w:rPr>
          <w:noProof/>
        </w:rPr>
        <w:t>a végrehajtandó intézkedések listája a végrehajtásukra vonatkozó határidőkkel együtt;</w:t>
      </w:r>
    </w:p>
    <w:p w14:paraId="54512377" w14:textId="28C22302" w:rsidR="003E1D81" w:rsidRDefault="00EB481C">
      <w:pPr>
        <w:pStyle w:val="P68B1DB1-ListParagraph7"/>
        <w:keepNext/>
        <w:numPr>
          <w:ilvl w:val="0"/>
          <w:numId w:val="299"/>
        </w:numPr>
        <w:spacing w:before="120" w:after="120" w:line="240" w:lineRule="auto"/>
        <w:ind w:left="426"/>
        <w:jc w:val="both"/>
        <w:rPr>
          <w:rFonts w:cs="Times New Roman"/>
          <w:noProof/>
        </w:rPr>
      </w:pPr>
      <w:r>
        <w:rPr>
          <w:noProof/>
        </w:rPr>
        <w:t>az úthálózat megvilágítási rendszerében végrehajtandó intézkedések listája; és</w:t>
      </w:r>
    </w:p>
    <w:p w14:paraId="47CA67DE" w14:textId="18DC2347" w:rsidR="003E1D81" w:rsidRDefault="00EB481C">
      <w:pPr>
        <w:pStyle w:val="P68B1DB1-ListParagraph7"/>
        <w:keepNext/>
        <w:numPr>
          <w:ilvl w:val="0"/>
          <w:numId w:val="299"/>
        </w:numPr>
        <w:spacing w:before="120" w:after="120" w:line="240" w:lineRule="auto"/>
        <w:ind w:left="426"/>
        <w:jc w:val="both"/>
        <w:rPr>
          <w:rFonts w:cs="Times New Roman"/>
          <w:noProof/>
        </w:rPr>
      </w:pPr>
      <w:r>
        <w:rPr>
          <w:noProof/>
        </w:rPr>
        <w:t>az ütemtervvel együtt végrehajtandó szükséges intézkedé</w:t>
      </w:r>
      <w:r>
        <w:rPr>
          <w:noProof/>
        </w:rPr>
        <w:t>sekre vonatkozó beruházási és finanszírozási terv.</w:t>
      </w:r>
    </w:p>
    <w:p w14:paraId="6260E200" w14:textId="264D0D4B" w:rsidR="003E1D81" w:rsidRDefault="00EB481C">
      <w:pPr>
        <w:pStyle w:val="P68B1DB1-Normal4"/>
        <w:keepNext/>
        <w:spacing w:before="120" w:after="120" w:line="240" w:lineRule="auto"/>
        <w:jc w:val="both"/>
        <w:rPr>
          <w:rFonts w:cs="Times New Roman"/>
          <w:noProof/>
        </w:rPr>
      </w:pPr>
      <w:r>
        <w:rPr>
          <w:noProof/>
        </w:rPr>
        <w:t xml:space="preserve">A stratégiát 2024 első negyedévében teszik közzé. </w:t>
      </w:r>
    </w:p>
    <w:p w14:paraId="3AFF8F1C" w14:textId="367E3C2F" w:rsidR="003E1D81" w:rsidRDefault="00EB481C">
      <w:pPr>
        <w:pStyle w:val="P68B1DB1-Normal4"/>
        <w:keepNext/>
        <w:spacing w:before="120" w:after="120" w:line="240" w:lineRule="auto"/>
        <w:jc w:val="both"/>
        <w:rPr>
          <w:rFonts w:cs="Times New Roman"/>
          <w:noProof/>
        </w:rPr>
      </w:pPr>
      <w:r>
        <w:rPr>
          <w:noProof/>
        </w:rPr>
        <w:t xml:space="preserve">A nemzeti autópálya-hálózatra vonatkozó energiahatékonysági stratégia végrehajtásának részeként a Közúti Főigazgatóság kiszámítja a 2024. évi </w:t>
      </w:r>
      <w:r>
        <w:rPr>
          <w:noProof/>
        </w:rPr>
        <w:t>szénlábnyomot, amelynek eredményeit 2025-ben fogja bemutatni.</w:t>
      </w:r>
    </w:p>
    <w:p w14:paraId="3C71D9C4" w14:textId="47F5B719" w:rsidR="003E1D81" w:rsidRDefault="00EB481C">
      <w:pPr>
        <w:pStyle w:val="P68B1DB1-Normal4"/>
        <w:keepNext/>
        <w:spacing w:before="120" w:after="120" w:line="240" w:lineRule="auto"/>
        <w:jc w:val="both"/>
        <w:rPr>
          <w:rFonts w:cs="Times New Roman"/>
          <w:noProof/>
        </w:rPr>
      </w:pPr>
      <w:r>
        <w:rPr>
          <w:noProof/>
        </w:rPr>
        <w:t>Az intézkedés végrehajtását 2025. december 31-ig be kell fejezni.</w:t>
      </w:r>
    </w:p>
    <w:p w14:paraId="6073A5AE" w14:textId="32A6F5A7" w:rsidR="003E1D81" w:rsidRDefault="00EB481C">
      <w:pPr>
        <w:pStyle w:val="P68B1DB1-Normal5"/>
        <w:keepNext/>
        <w:spacing w:before="120" w:after="120" w:line="240" w:lineRule="auto"/>
        <w:ind w:left="709"/>
        <w:jc w:val="both"/>
        <w:rPr>
          <w:rFonts w:cs="Times New Roman"/>
          <w:noProof/>
        </w:rPr>
      </w:pPr>
      <w:r>
        <w:rPr>
          <w:noProof/>
        </w:rPr>
        <w:t xml:space="preserve">F.4. </w:t>
      </w:r>
      <w:r>
        <w:rPr>
          <w:noProof/>
        </w:rPr>
        <w:tab/>
        <w:t>A hiteltámogatás nyomon követésének és végrehajtásának mérföldkövei, céljai, mutatói és ütemterve</w:t>
      </w:r>
    </w:p>
    <w:p w14:paraId="1B69D7D8" w14:textId="77777777" w:rsidR="003E1D81" w:rsidRDefault="00EB481C">
      <w:pPr>
        <w:pStyle w:val="P68B1DB1-Normal18"/>
        <w:keepNext/>
        <w:spacing w:before="120" w:after="120" w:line="240" w:lineRule="auto"/>
        <w:jc w:val="both"/>
        <w:rPr>
          <w:rFonts w:cs="Times New Roman"/>
          <w:noProof/>
        </w:rPr>
        <w:sectPr w:rsidR="003E1D81" w:rsidSect="0035659C">
          <w:headerReference w:type="even" r:id="rId162"/>
          <w:headerReference w:type="default" r:id="rId163"/>
          <w:footerReference w:type="even" r:id="rId164"/>
          <w:footerReference w:type="default" r:id="rId165"/>
          <w:headerReference w:type="first" r:id="rId166"/>
          <w:footerReference w:type="first" r:id="rId167"/>
          <w:pgSz w:w="11907" w:h="16839"/>
          <w:pgMar w:top="1134" w:right="1417" w:bottom="1134" w:left="1417" w:header="709" w:footer="709" w:gutter="0"/>
          <w:cols w:space="720"/>
          <w:docGrid w:linePitch="360"/>
        </w:sectPr>
      </w:pPr>
      <w:r>
        <w:rPr>
          <w:noProof/>
        </w:rPr>
        <w:t>Táblázat alább. Az alapforgatókönyv valamennyi mutató esetében február 1-je, kivéve, ha az intézkedés leírása másként jelzi. A táblázatban szereplő összegek nem tartalmazzák a héát.</w:t>
      </w:r>
    </w:p>
    <w:tbl>
      <w:tblPr>
        <w:tblW w:w="1414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134"/>
        <w:gridCol w:w="850"/>
        <w:gridCol w:w="567"/>
        <w:gridCol w:w="567"/>
        <w:gridCol w:w="425"/>
        <w:gridCol w:w="567"/>
        <w:gridCol w:w="6066"/>
      </w:tblGrid>
      <w:tr w:rsidR="003E1D81" w14:paraId="6C70091A" w14:textId="77777777">
        <w:trPr>
          <w:trHeight w:val="309"/>
          <w:tblHeader/>
        </w:trPr>
        <w:tc>
          <w:tcPr>
            <w:tcW w:w="709" w:type="dxa"/>
            <w:tcBorders>
              <w:bottom w:val="nil"/>
            </w:tcBorders>
            <w:shd w:val="clear" w:color="auto" w:fill="C6D9F1" w:themeFill="text2" w:themeFillTint="33"/>
            <w:noWrap/>
            <w:vAlign w:val="center"/>
          </w:tcPr>
          <w:p w14:paraId="0F94297D"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42085BC1"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55B4CF8E" w14:textId="77777777" w:rsidR="003E1D81" w:rsidRDefault="00EB481C">
            <w:pPr>
              <w:pStyle w:val="P68B1DB1-Normal12"/>
              <w:spacing w:after="0" w:line="240" w:lineRule="auto"/>
              <w:jc w:val="center"/>
              <w:rPr>
                <w:rFonts w:cs="Times New Roman"/>
                <w:noProof/>
              </w:rPr>
            </w:pPr>
            <w:r>
              <w:rPr>
                <w:noProof/>
              </w:rPr>
              <w:t>Mér</w:t>
            </w:r>
            <w:r>
              <w:rPr>
                <w:noProof/>
              </w:rPr>
              <w:t>földkő</w:t>
            </w:r>
            <w:r>
              <w:rPr>
                <w:noProof/>
              </w:rPr>
              <w:br/>
              <w:t xml:space="preserve"> /Cél</w:t>
            </w:r>
          </w:p>
        </w:tc>
        <w:tc>
          <w:tcPr>
            <w:tcW w:w="1560" w:type="dxa"/>
            <w:tcBorders>
              <w:bottom w:val="nil"/>
            </w:tcBorders>
            <w:shd w:val="clear" w:color="auto" w:fill="C6D9F1" w:themeFill="text2" w:themeFillTint="33"/>
            <w:noWrap/>
            <w:vAlign w:val="center"/>
          </w:tcPr>
          <w:p w14:paraId="148B6FA0" w14:textId="77777777" w:rsidR="003E1D81" w:rsidRDefault="00EB481C">
            <w:pPr>
              <w:pStyle w:val="P68B1DB1-Normal12"/>
              <w:spacing w:after="0" w:line="240" w:lineRule="auto"/>
              <w:jc w:val="center"/>
              <w:rPr>
                <w:rFonts w:cs="Times New Roman"/>
                <w:noProof/>
              </w:rPr>
            </w:pPr>
            <w:r>
              <w:rPr>
                <w:noProof/>
              </w:rPr>
              <w:t>Név</w:t>
            </w:r>
          </w:p>
        </w:tc>
        <w:tc>
          <w:tcPr>
            <w:tcW w:w="1134" w:type="dxa"/>
            <w:tcBorders>
              <w:bottom w:val="nil"/>
            </w:tcBorders>
            <w:shd w:val="clear" w:color="auto" w:fill="C6D9F1" w:themeFill="text2" w:themeFillTint="33"/>
            <w:noWrap/>
            <w:vAlign w:val="center"/>
          </w:tcPr>
          <w:p w14:paraId="44461C53"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1984" w:type="dxa"/>
            <w:gridSpan w:val="3"/>
            <w:shd w:val="clear" w:color="auto" w:fill="C6D9F1" w:themeFill="text2" w:themeFillTint="33"/>
            <w:noWrap/>
            <w:vAlign w:val="center"/>
          </w:tcPr>
          <w:p w14:paraId="50B975C4"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92" w:type="dxa"/>
            <w:gridSpan w:val="2"/>
            <w:shd w:val="clear" w:color="auto" w:fill="C6D9F1" w:themeFill="text2" w:themeFillTint="33"/>
            <w:noWrap/>
            <w:vAlign w:val="center"/>
          </w:tcPr>
          <w:p w14:paraId="75E7C355" w14:textId="77777777" w:rsidR="003E1D81" w:rsidRDefault="00EB481C">
            <w:pPr>
              <w:pStyle w:val="P68B1DB1-Normal12"/>
              <w:spacing w:after="0" w:line="240" w:lineRule="auto"/>
              <w:jc w:val="center"/>
              <w:rPr>
                <w:rFonts w:cs="Times New Roman"/>
                <w:noProof/>
              </w:rPr>
            </w:pPr>
            <w:r>
              <w:rPr>
                <w:noProof/>
              </w:rPr>
              <w:t>Idő</w:t>
            </w:r>
          </w:p>
        </w:tc>
        <w:tc>
          <w:tcPr>
            <w:tcW w:w="6066" w:type="dxa"/>
            <w:tcBorders>
              <w:bottom w:val="nil"/>
            </w:tcBorders>
            <w:shd w:val="clear" w:color="auto" w:fill="C6D9F1" w:themeFill="text2" w:themeFillTint="33"/>
            <w:noWrap/>
            <w:vAlign w:val="center"/>
          </w:tcPr>
          <w:p w14:paraId="573D79A1"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127AB19D" w14:textId="77777777">
        <w:trPr>
          <w:trHeight w:val="309"/>
          <w:tblHeader/>
        </w:trPr>
        <w:tc>
          <w:tcPr>
            <w:tcW w:w="709" w:type="dxa"/>
            <w:tcBorders>
              <w:top w:val="nil"/>
            </w:tcBorders>
            <w:shd w:val="clear" w:color="auto" w:fill="C6D9F1" w:themeFill="text2" w:themeFillTint="33"/>
            <w:noWrap/>
          </w:tcPr>
          <w:p w14:paraId="211A0EB4"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FB2C45D"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8240DBD" w14:textId="77777777" w:rsidR="003E1D81" w:rsidRDefault="003E1D81">
            <w:pPr>
              <w:spacing w:after="0" w:line="240" w:lineRule="auto"/>
              <w:jc w:val="center"/>
              <w:rPr>
                <w:rFonts w:ascii="Times New Roman" w:hAnsi="Times New Roman" w:cs="Times New Roman"/>
                <w:b/>
                <w:noProof/>
                <w:sz w:val="18"/>
              </w:rPr>
            </w:pPr>
          </w:p>
        </w:tc>
        <w:tc>
          <w:tcPr>
            <w:tcW w:w="1560" w:type="dxa"/>
            <w:tcBorders>
              <w:top w:val="nil"/>
            </w:tcBorders>
            <w:shd w:val="clear" w:color="auto" w:fill="C6D9F1" w:themeFill="text2" w:themeFillTint="33"/>
            <w:noWrap/>
          </w:tcPr>
          <w:p w14:paraId="6A2FB924" w14:textId="77777777" w:rsidR="003E1D81" w:rsidRDefault="003E1D81">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43DE7DBC" w14:textId="77777777" w:rsidR="003E1D81" w:rsidRDefault="003E1D81">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498A5F1A" w14:textId="77777777" w:rsidR="003E1D81" w:rsidRDefault="00EB481C">
            <w:pPr>
              <w:pStyle w:val="P68B1DB1-Normal12"/>
              <w:spacing w:after="0" w:line="240" w:lineRule="auto"/>
              <w:jc w:val="center"/>
              <w:rPr>
                <w:rFonts w:cs="Times New Roman"/>
                <w:noProof/>
              </w:rPr>
            </w:pPr>
            <w:r>
              <w:rPr>
                <w:noProof/>
              </w:rPr>
              <w:t>Egység</w:t>
            </w:r>
          </w:p>
        </w:tc>
        <w:tc>
          <w:tcPr>
            <w:tcW w:w="567" w:type="dxa"/>
            <w:shd w:val="clear" w:color="auto" w:fill="C6D9F1" w:themeFill="text2" w:themeFillTint="33"/>
            <w:noWrap/>
            <w:vAlign w:val="center"/>
          </w:tcPr>
          <w:p w14:paraId="5C6F3F10" w14:textId="77777777" w:rsidR="003E1D81" w:rsidRDefault="00EB481C">
            <w:pPr>
              <w:pStyle w:val="P68B1DB1-Normal12"/>
              <w:spacing w:after="0" w:line="240" w:lineRule="auto"/>
              <w:jc w:val="center"/>
              <w:rPr>
                <w:rFonts w:cs="Times New Roman"/>
                <w:noProof/>
              </w:rPr>
            </w:pPr>
            <w:r>
              <w:rPr>
                <w:noProof/>
              </w:rPr>
              <w:t>Alapérték</w:t>
            </w:r>
          </w:p>
        </w:tc>
        <w:tc>
          <w:tcPr>
            <w:tcW w:w="567" w:type="dxa"/>
            <w:shd w:val="clear" w:color="auto" w:fill="C6D9F1" w:themeFill="text2" w:themeFillTint="33"/>
            <w:noWrap/>
            <w:vAlign w:val="center"/>
          </w:tcPr>
          <w:p w14:paraId="32D321C1" w14:textId="77777777" w:rsidR="003E1D81" w:rsidRDefault="00EB481C">
            <w:pPr>
              <w:pStyle w:val="P68B1DB1-Normal12"/>
              <w:spacing w:after="0" w:line="240" w:lineRule="auto"/>
              <w:jc w:val="center"/>
              <w:rPr>
                <w:rFonts w:cs="Times New Roman"/>
                <w:noProof/>
              </w:rPr>
            </w:pPr>
            <w:r>
              <w:rPr>
                <w:noProof/>
              </w:rPr>
              <w:t>Cél</w:t>
            </w:r>
          </w:p>
        </w:tc>
        <w:tc>
          <w:tcPr>
            <w:tcW w:w="425" w:type="dxa"/>
            <w:shd w:val="clear" w:color="auto" w:fill="C6D9F1" w:themeFill="text2" w:themeFillTint="33"/>
            <w:noWrap/>
            <w:vAlign w:val="center"/>
          </w:tcPr>
          <w:p w14:paraId="68C2B3E4"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107C164F" w14:textId="77777777" w:rsidR="003E1D81" w:rsidRDefault="00EB481C">
            <w:pPr>
              <w:pStyle w:val="P68B1DB1-Normal12"/>
              <w:spacing w:after="0" w:line="240" w:lineRule="auto"/>
              <w:jc w:val="center"/>
              <w:rPr>
                <w:rFonts w:cs="Times New Roman"/>
                <w:noProof/>
              </w:rPr>
            </w:pPr>
            <w:r>
              <w:rPr>
                <w:noProof/>
              </w:rPr>
              <w:t>Éve</w:t>
            </w:r>
          </w:p>
        </w:tc>
        <w:tc>
          <w:tcPr>
            <w:tcW w:w="6066" w:type="dxa"/>
            <w:tcBorders>
              <w:top w:val="nil"/>
            </w:tcBorders>
            <w:shd w:val="clear" w:color="auto" w:fill="C6D9F1" w:themeFill="text2" w:themeFillTint="33"/>
            <w:noWrap/>
          </w:tcPr>
          <w:p w14:paraId="03709E6F" w14:textId="77777777" w:rsidR="003E1D81" w:rsidRDefault="003E1D81">
            <w:pPr>
              <w:spacing w:after="0" w:line="240" w:lineRule="auto"/>
              <w:rPr>
                <w:rFonts w:ascii="Times New Roman" w:hAnsi="Times New Roman" w:cs="Times New Roman"/>
                <w:b/>
                <w:noProof/>
                <w:sz w:val="18"/>
              </w:rPr>
            </w:pPr>
          </w:p>
        </w:tc>
      </w:tr>
      <w:tr w:rsidR="003E1D81" w14:paraId="20DE5AEE" w14:textId="77777777">
        <w:trPr>
          <w:trHeight w:val="309"/>
        </w:trPr>
        <w:tc>
          <w:tcPr>
            <w:tcW w:w="709" w:type="dxa"/>
            <w:shd w:val="clear" w:color="auto" w:fill="C6EFCE"/>
            <w:noWrap/>
          </w:tcPr>
          <w:p w14:paraId="07FC8ABD" w14:textId="45474011" w:rsidR="003E1D81" w:rsidRDefault="00EB481C">
            <w:pPr>
              <w:pStyle w:val="P68B1DB1-Normal13"/>
              <w:spacing w:after="0" w:line="240" w:lineRule="auto"/>
              <w:jc w:val="center"/>
              <w:rPr>
                <w:rFonts w:eastAsia="Times New Roman" w:cs="Times New Roman"/>
                <w:noProof/>
              </w:rPr>
            </w:pPr>
            <w:r>
              <w:rPr>
                <w:noProof/>
              </w:rPr>
              <w:t>L15</w:t>
            </w:r>
          </w:p>
        </w:tc>
        <w:tc>
          <w:tcPr>
            <w:tcW w:w="851" w:type="dxa"/>
            <w:shd w:val="clear" w:color="auto" w:fill="C6EFCE"/>
            <w:noWrap/>
          </w:tcPr>
          <w:p w14:paraId="7E6318B2" w14:textId="77777777" w:rsidR="003E1D81" w:rsidRDefault="00EB481C">
            <w:pPr>
              <w:pStyle w:val="P68B1DB1-Normal13"/>
              <w:spacing w:after="0" w:line="240" w:lineRule="auto"/>
              <w:jc w:val="center"/>
              <w:rPr>
                <w:rFonts w:cs="Times New Roman"/>
                <w:noProof/>
              </w:rPr>
            </w:pPr>
            <w:r>
              <w:rPr>
                <w:noProof/>
              </w:rPr>
              <w:t>C6.R3</w:t>
            </w:r>
          </w:p>
        </w:tc>
        <w:tc>
          <w:tcPr>
            <w:tcW w:w="850" w:type="dxa"/>
            <w:shd w:val="clear" w:color="auto" w:fill="C6EFCE"/>
            <w:noWrap/>
          </w:tcPr>
          <w:p w14:paraId="3AB77307" w14:textId="77777777" w:rsidR="003E1D81" w:rsidRDefault="00EB481C">
            <w:pPr>
              <w:pStyle w:val="P68B1DB1-Normal13"/>
              <w:spacing w:after="0" w:line="240" w:lineRule="auto"/>
              <w:jc w:val="center"/>
              <w:rPr>
                <w:rFonts w:cs="Times New Roman"/>
                <w:noProof/>
              </w:rPr>
            </w:pPr>
            <w:r>
              <w:rPr>
                <w:noProof/>
              </w:rPr>
              <w:t>M</w:t>
            </w:r>
          </w:p>
        </w:tc>
        <w:tc>
          <w:tcPr>
            <w:tcW w:w="1560" w:type="dxa"/>
            <w:shd w:val="clear" w:color="auto" w:fill="C6EFCE"/>
            <w:noWrap/>
          </w:tcPr>
          <w:p w14:paraId="2AC4B1E1" w14:textId="77777777" w:rsidR="003E1D81" w:rsidRDefault="00EB481C">
            <w:pPr>
              <w:pStyle w:val="P68B1DB1-Normal13"/>
              <w:keepNext/>
              <w:spacing w:line="240" w:lineRule="auto"/>
              <w:jc w:val="both"/>
              <w:rPr>
                <w:rFonts w:cs="Times New Roman"/>
                <w:noProof/>
              </w:rPr>
            </w:pPr>
            <w:r>
              <w:rPr>
                <w:noProof/>
              </w:rPr>
              <w:t>Energiahatékonysági stratégia</w:t>
            </w:r>
          </w:p>
        </w:tc>
        <w:tc>
          <w:tcPr>
            <w:tcW w:w="1134" w:type="dxa"/>
            <w:shd w:val="clear" w:color="auto" w:fill="C6EFCE"/>
            <w:noWrap/>
          </w:tcPr>
          <w:p w14:paraId="56E8D283" w14:textId="77777777" w:rsidR="003E1D81" w:rsidRDefault="00EB481C">
            <w:pPr>
              <w:pStyle w:val="P68B1DB1-Normal13"/>
              <w:spacing w:after="0" w:line="240" w:lineRule="auto"/>
              <w:jc w:val="center"/>
              <w:rPr>
                <w:rFonts w:cs="Times New Roman"/>
                <w:noProof/>
              </w:rPr>
            </w:pPr>
            <w:r>
              <w:rPr>
                <w:noProof/>
              </w:rPr>
              <w:t>Közzététel a Hivatalos Lapban</w:t>
            </w:r>
          </w:p>
        </w:tc>
        <w:tc>
          <w:tcPr>
            <w:tcW w:w="850" w:type="dxa"/>
            <w:shd w:val="clear" w:color="auto" w:fill="C6EFCE"/>
            <w:noWrap/>
          </w:tcPr>
          <w:p w14:paraId="3CE0DA42" w14:textId="77777777" w:rsidR="003E1D81" w:rsidRDefault="003E1D81">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1921FAAF" w14:textId="77777777" w:rsidR="003E1D81" w:rsidRDefault="003E1D81">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479AC3D8" w14:textId="77777777" w:rsidR="003E1D81" w:rsidRDefault="003E1D81">
            <w:pPr>
              <w:spacing w:after="0" w:line="240" w:lineRule="auto"/>
              <w:jc w:val="right"/>
              <w:rPr>
                <w:rFonts w:ascii="Times New Roman" w:eastAsia="MS Mincho" w:hAnsi="Times New Roman" w:cs="Times New Roman"/>
                <w:noProof/>
                <w:sz w:val="18"/>
              </w:rPr>
            </w:pPr>
          </w:p>
        </w:tc>
        <w:tc>
          <w:tcPr>
            <w:tcW w:w="425" w:type="dxa"/>
            <w:shd w:val="clear" w:color="auto" w:fill="C6EFCE"/>
            <w:noWrap/>
          </w:tcPr>
          <w:p w14:paraId="17581F1F" w14:textId="0875343C"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2AAEA016" w14:textId="13619E7E" w:rsidR="003E1D81" w:rsidRDefault="00EB481C">
            <w:pPr>
              <w:pStyle w:val="P68B1DB1-Normal13"/>
              <w:spacing w:after="0" w:line="240" w:lineRule="auto"/>
              <w:jc w:val="center"/>
              <w:rPr>
                <w:rFonts w:cs="Times New Roman"/>
                <w:noProof/>
              </w:rPr>
            </w:pPr>
            <w:r>
              <w:rPr>
                <w:noProof/>
              </w:rPr>
              <w:t>2024</w:t>
            </w:r>
          </w:p>
        </w:tc>
        <w:tc>
          <w:tcPr>
            <w:tcW w:w="6066" w:type="dxa"/>
            <w:shd w:val="clear" w:color="auto" w:fill="C6EFCE"/>
            <w:noWrap/>
          </w:tcPr>
          <w:p w14:paraId="08402BD6" w14:textId="77777777" w:rsidR="003E1D81" w:rsidRDefault="00EB481C">
            <w:pPr>
              <w:pStyle w:val="P68B1DB1-Normal13"/>
              <w:spacing w:after="0" w:line="240" w:lineRule="auto"/>
              <w:rPr>
                <w:rFonts w:cs="Times New Roman"/>
                <w:noProof/>
              </w:rPr>
            </w:pPr>
            <w:r>
              <w:rPr>
                <w:noProof/>
              </w:rPr>
              <w:t xml:space="preserve">A </w:t>
            </w:r>
            <w:r>
              <w:rPr>
                <w:noProof/>
              </w:rPr>
              <w:t>Nemzeti Közúthálózat energiahatékonysági stratégiája jóváhagyásának közzététele a Hivatalos Lapban, amely az intézkedés leírásával összhangban lévő elemeket tartalmazza.</w:t>
            </w:r>
          </w:p>
        </w:tc>
      </w:tr>
      <w:tr w:rsidR="003E1D81" w14:paraId="136392DF" w14:textId="77777777">
        <w:trPr>
          <w:trHeight w:val="309"/>
        </w:trPr>
        <w:tc>
          <w:tcPr>
            <w:tcW w:w="709" w:type="dxa"/>
            <w:shd w:val="clear" w:color="auto" w:fill="C6EFCE"/>
            <w:noWrap/>
          </w:tcPr>
          <w:p w14:paraId="0D531A0E" w14:textId="26DB87DE" w:rsidR="003E1D81" w:rsidRDefault="00EB481C">
            <w:pPr>
              <w:pStyle w:val="P68B1DB1-Normal13"/>
              <w:spacing w:after="0" w:line="240" w:lineRule="auto"/>
              <w:jc w:val="center"/>
              <w:rPr>
                <w:rFonts w:cs="Times New Roman"/>
                <w:noProof/>
              </w:rPr>
            </w:pPr>
            <w:r>
              <w:rPr>
                <w:noProof/>
              </w:rPr>
              <w:t>L16</w:t>
            </w:r>
          </w:p>
        </w:tc>
        <w:tc>
          <w:tcPr>
            <w:tcW w:w="851" w:type="dxa"/>
            <w:shd w:val="clear" w:color="auto" w:fill="C6EFCE"/>
            <w:noWrap/>
          </w:tcPr>
          <w:p w14:paraId="481B4A66" w14:textId="77777777" w:rsidR="003E1D81" w:rsidRDefault="00EB481C">
            <w:pPr>
              <w:pStyle w:val="P68B1DB1-Normal13"/>
              <w:spacing w:after="0" w:line="240" w:lineRule="auto"/>
              <w:jc w:val="center"/>
              <w:rPr>
                <w:rFonts w:cs="Times New Roman"/>
                <w:noProof/>
              </w:rPr>
            </w:pPr>
            <w:r>
              <w:rPr>
                <w:noProof/>
              </w:rPr>
              <w:t>C6.R3</w:t>
            </w:r>
          </w:p>
        </w:tc>
        <w:tc>
          <w:tcPr>
            <w:tcW w:w="850" w:type="dxa"/>
            <w:shd w:val="clear" w:color="auto" w:fill="C6EFCE"/>
            <w:noWrap/>
          </w:tcPr>
          <w:p w14:paraId="5A02178D" w14:textId="77777777" w:rsidR="003E1D81" w:rsidRDefault="00EB481C">
            <w:pPr>
              <w:pStyle w:val="P68B1DB1-Normal13"/>
              <w:spacing w:after="0" w:line="240" w:lineRule="auto"/>
              <w:jc w:val="center"/>
              <w:rPr>
                <w:rFonts w:cs="Times New Roman"/>
                <w:noProof/>
              </w:rPr>
            </w:pPr>
            <w:r>
              <w:rPr>
                <w:noProof/>
              </w:rPr>
              <w:t>M</w:t>
            </w:r>
          </w:p>
        </w:tc>
        <w:tc>
          <w:tcPr>
            <w:tcW w:w="1560" w:type="dxa"/>
            <w:shd w:val="clear" w:color="auto" w:fill="C6EFCE"/>
            <w:noWrap/>
          </w:tcPr>
          <w:p w14:paraId="1D4E56AA" w14:textId="77777777" w:rsidR="003E1D81" w:rsidRDefault="00EB481C">
            <w:pPr>
              <w:pStyle w:val="P68B1DB1-Normal13"/>
              <w:keepNext/>
              <w:spacing w:line="240" w:lineRule="auto"/>
              <w:jc w:val="both"/>
              <w:rPr>
                <w:rFonts w:cs="Times New Roman"/>
                <w:noProof/>
              </w:rPr>
            </w:pPr>
            <w:r>
              <w:rPr>
                <w:noProof/>
              </w:rPr>
              <w:t>A szénlábnyom kiszámítása a Közúti Főigazgatóság által</w:t>
            </w:r>
          </w:p>
        </w:tc>
        <w:tc>
          <w:tcPr>
            <w:tcW w:w="1134" w:type="dxa"/>
            <w:shd w:val="clear" w:color="auto" w:fill="C6EFCE"/>
            <w:noWrap/>
          </w:tcPr>
          <w:p w14:paraId="615F7473" w14:textId="77777777" w:rsidR="003E1D81" w:rsidRDefault="00EB481C">
            <w:pPr>
              <w:pStyle w:val="P68B1DB1-Normal13"/>
              <w:spacing w:after="0" w:line="240" w:lineRule="auto"/>
              <w:jc w:val="center"/>
              <w:rPr>
                <w:rFonts w:cs="Times New Roman"/>
                <w:noProof/>
              </w:rPr>
            </w:pPr>
            <w:r>
              <w:rPr>
                <w:noProof/>
              </w:rPr>
              <w:t xml:space="preserve">Az eredmények </w:t>
            </w:r>
            <w:r>
              <w:rPr>
                <w:noProof/>
              </w:rPr>
              <w:t>közzététele a hivatalos online platformon</w:t>
            </w:r>
          </w:p>
        </w:tc>
        <w:tc>
          <w:tcPr>
            <w:tcW w:w="850" w:type="dxa"/>
            <w:shd w:val="clear" w:color="auto" w:fill="C6EFCE"/>
            <w:noWrap/>
          </w:tcPr>
          <w:p w14:paraId="26033E90" w14:textId="77777777" w:rsidR="003E1D81" w:rsidRDefault="003E1D81">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6583EB88" w14:textId="77777777" w:rsidR="003E1D81" w:rsidRDefault="003E1D81">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10EFBCB7" w14:textId="77777777" w:rsidR="003E1D81" w:rsidRDefault="003E1D81">
            <w:pPr>
              <w:spacing w:after="0" w:line="240" w:lineRule="auto"/>
              <w:jc w:val="right"/>
              <w:rPr>
                <w:rFonts w:ascii="Times New Roman" w:eastAsia="MS Mincho" w:hAnsi="Times New Roman" w:cs="Times New Roman"/>
                <w:noProof/>
                <w:sz w:val="18"/>
              </w:rPr>
            </w:pPr>
          </w:p>
        </w:tc>
        <w:tc>
          <w:tcPr>
            <w:tcW w:w="425" w:type="dxa"/>
            <w:shd w:val="clear" w:color="auto" w:fill="C6EFCE"/>
            <w:noWrap/>
          </w:tcPr>
          <w:p w14:paraId="58277911"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7D5C710A" w14:textId="77777777" w:rsidR="003E1D81" w:rsidRDefault="00EB481C">
            <w:pPr>
              <w:pStyle w:val="P68B1DB1-Normal13"/>
              <w:spacing w:after="0" w:line="240" w:lineRule="auto"/>
              <w:jc w:val="center"/>
              <w:rPr>
                <w:rFonts w:cs="Times New Roman"/>
                <w:noProof/>
              </w:rPr>
            </w:pPr>
            <w:r>
              <w:rPr>
                <w:noProof/>
              </w:rPr>
              <w:t>2025</w:t>
            </w:r>
          </w:p>
        </w:tc>
        <w:tc>
          <w:tcPr>
            <w:tcW w:w="6066" w:type="dxa"/>
            <w:shd w:val="clear" w:color="auto" w:fill="C6EFCE"/>
            <w:noWrap/>
          </w:tcPr>
          <w:p w14:paraId="5E69941A" w14:textId="750AAB04" w:rsidR="003E1D81" w:rsidRDefault="00EB481C">
            <w:pPr>
              <w:pStyle w:val="P68B1DB1-Normal13"/>
              <w:spacing w:after="0" w:line="240" w:lineRule="auto"/>
              <w:rPr>
                <w:rFonts w:cs="Times New Roman"/>
                <w:noProof/>
              </w:rPr>
            </w:pPr>
            <w:r>
              <w:rPr>
                <w:noProof/>
              </w:rPr>
              <w:t xml:space="preserve">A közúti főigazgatóság 2024-re vonatkozó szénlábnyomának kiszámítása, amelynek eredményét 2025-ben, az energiahatékonysági stratégia végrehajtásának részeként fogja bemutatni. </w:t>
            </w:r>
          </w:p>
        </w:tc>
      </w:tr>
    </w:tbl>
    <w:p w14:paraId="387E03AA" w14:textId="5596F60B" w:rsidR="003E1D81" w:rsidRDefault="003E1D81">
      <w:pPr>
        <w:keepNext/>
        <w:spacing w:before="120" w:after="120" w:line="240" w:lineRule="auto"/>
        <w:jc w:val="both"/>
        <w:rPr>
          <w:rFonts w:ascii="Times New Roman" w:hAnsi="Times New Roman" w:cs="Times New Roman"/>
          <w:i/>
          <w:noProof/>
          <w:sz w:val="24"/>
        </w:rPr>
        <w:sectPr w:rsidR="003E1D81" w:rsidSect="0035659C">
          <w:headerReference w:type="even" r:id="rId168"/>
          <w:headerReference w:type="default" r:id="rId169"/>
          <w:footerReference w:type="even" r:id="rId170"/>
          <w:footerReference w:type="default" r:id="rId171"/>
          <w:headerReference w:type="first" r:id="rId172"/>
          <w:footerReference w:type="first" r:id="rId173"/>
          <w:pgSz w:w="16839" w:h="11907" w:orient="landscape"/>
          <w:pgMar w:top="1417" w:right="1134" w:bottom="1417" w:left="1134" w:header="709" w:footer="709" w:gutter="0"/>
          <w:cols w:space="720"/>
          <w:docGrid w:linePitch="360"/>
        </w:sectPr>
      </w:pPr>
    </w:p>
    <w:p w14:paraId="53C80719" w14:textId="7CE1C40B" w:rsidR="003E1D81" w:rsidRDefault="00EB481C">
      <w:pPr>
        <w:pStyle w:val="P68B1DB1-Heading12"/>
        <w:rPr>
          <w:rFonts w:cs="Times New Roman"/>
          <w:noProof/>
        </w:rPr>
      </w:pPr>
      <w:r>
        <w:rPr>
          <w:noProof/>
        </w:rPr>
        <w:t>G. ÖSSZETEVŐ: A megújuló energiaforrások bevezetése és integrálása</w:t>
      </w:r>
    </w:p>
    <w:p w14:paraId="0BCA915E" w14:textId="77777777" w:rsidR="003E1D81" w:rsidRDefault="00EB481C">
      <w:pPr>
        <w:pStyle w:val="P68B1DB1-Normal4"/>
        <w:spacing w:before="120" w:after="120" w:line="240" w:lineRule="auto"/>
        <w:jc w:val="both"/>
        <w:rPr>
          <w:rFonts w:cs="Times New Roman"/>
          <w:noProof/>
        </w:rPr>
      </w:pPr>
      <w:r>
        <w:rPr>
          <w:noProof/>
        </w:rPr>
        <w:t>A 2021–2030-as időszakra vonatkozó spanyol nemzeti energia- és klímaterv (NEKT) Spanyolországban a megújuló energia térnyerésének jelentős növekedését vetíti előre: 2030-ra eléri a villamosenergia-ágazat 74%-át és a végső felhasználás 42%-át. Ebben az össz</w:t>
      </w:r>
      <w:r>
        <w:rPr>
          <w:noProof/>
        </w:rPr>
        <w:t xml:space="preserve">efüggésben a spanyol helyreállítási és rezilienciaépítési terv e komponensének célja a megújuló energia használatának növelése a következő elemek révén: </w:t>
      </w:r>
    </w:p>
    <w:p w14:paraId="19807A53" w14:textId="77777777" w:rsidR="003E1D81" w:rsidRDefault="00EB481C">
      <w:pPr>
        <w:pStyle w:val="P68B1DB1-Normal4"/>
        <w:numPr>
          <w:ilvl w:val="0"/>
          <w:numId w:val="63"/>
        </w:numPr>
        <w:spacing w:before="120" w:after="120" w:line="240" w:lineRule="auto"/>
        <w:jc w:val="both"/>
        <w:rPr>
          <w:rFonts w:cs="Times New Roman"/>
          <w:noProof/>
        </w:rPr>
      </w:pPr>
      <w:r>
        <w:rPr>
          <w:noProof/>
        </w:rPr>
        <w:t>egyértelmű és kiszámítható szabályozási keret kidolgozása, amely előmozdítja a megújuló energiaforráso</w:t>
      </w:r>
      <w:r>
        <w:rPr>
          <w:noProof/>
        </w:rPr>
        <w:t xml:space="preserve">kba való beruházást; </w:t>
      </w:r>
    </w:p>
    <w:p w14:paraId="34DD1FF7" w14:textId="77777777" w:rsidR="003E1D81" w:rsidRDefault="00EB481C">
      <w:pPr>
        <w:pStyle w:val="P68B1DB1-Normal4"/>
        <w:numPr>
          <w:ilvl w:val="0"/>
          <w:numId w:val="63"/>
        </w:numPr>
        <w:spacing w:before="120" w:after="120" w:line="240" w:lineRule="auto"/>
        <w:jc w:val="both"/>
        <w:rPr>
          <w:rFonts w:cs="Times New Roman"/>
          <w:noProof/>
        </w:rPr>
      </w:pPr>
      <w:r>
        <w:rPr>
          <w:noProof/>
        </w:rPr>
        <w:t xml:space="preserve">az ipari értéklánc létrehozása és megszilárdítása a megújuló energiaforrások területén; </w:t>
      </w:r>
    </w:p>
    <w:p w14:paraId="2EB428BC" w14:textId="77777777" w:rsidR="003E1D81" w:rsidRDefault="00EB481C">
      <w:pPr>
        <w:pStyle w:val="P68B1DB1-Normal4"/>
        <w:numPr>
          <w:ilvl w:val="0"/>
          <w:numId w:val="63"/>
        </w:numPr>
        <w:spacing w:before="120" w:after="120" w:line="240" w:lineRule="auto"/>
        <w:jc w:val="both"/>
        <w:rPr>
          <w:rFonts w:cs="Times New Roman"/>
          <w:noProof/>
        </w:rPr>
      </w:pPr>
      <w:r>
        <w:rPr>
          <w:noProof/>
        </w:rPr>
        <w:t xml:space="preserve">a megújulóenergia-termelési technológiák innovatív forrásainak támogatása, beleértve azok végső felhasználásba való integrálását; és </w:t>
      </w:r>
    </w:p>
    <w:p w14:paraId="08C3D8B9" w14:textId="77777777" w:rsidR="003E1D81" w:rsidRDefault="00EB481C">
      <w:pPr>
        <w:pStyle w:val="P68B1DB1-Normal4"/>
        <w:numPr>
          <w:ilvl w:val="0"/>
          <w:numId w:val="63"/>
        </w:numPr>
        <w:spacing w:before="120" w:after="120" w:line="240" w:lineRule="auto"/>
        <w:jc w:val="both"/>
        <w:rPr>
          <w:rFonts w:cs="Times New Roman"/>
          <w:noProof/>
        </w:rPr>
      </w:pPr>
      <w:r>
        <w:rPr>
          <w:noProof/>
        </w:rPr>
        <w:t>a zöld kész</w:t>
      </w:r>
      <w:r>
        <w:rPr>
          <w:noProof/>
        </w:rPr>
        <w:t xml:space="preserve">ségek fejlesztése. </w:t>
      </w:r>
    </w:p>
    <w:p w14:paraId="6DE6D20B" w14:textId="77777777" w:rsidR="003E1D81" w:rsidRDefault="00EB481C">
      <w:pPr>
        <w:pStyle w:val="P68B1DB1-Normal4"/>
        <w:spacing w:before="120" w:after="120" w:line="240" w:lineRule="auto"/>
        <w:jc w:val="both"/>
        <w:rPr>
          <w:rFonts w:cs="Times New Roman"/>
          <w:noProof/>
        </w:rPr>
      </w:pPr>
      <w:r>
        <w:rPr>
          <w:noProof/>
        </w:rPr>
        <w:t>Ezen túlmenően a komponens kifejezetten arra törekszik, hogy előmozdítsa a megújuló energiák elterjedését a spanyol szigeteken, valamint a polgárok részvételét a megújulóenergia-közösségeken keresztül.</w:t>
      </w:r>
    </w:p>
    <w:p w14:paraId="071ABE97" w14:textId="77777777" w:rsidR="003E1D81" w:rsidRDefault="00EB481C">
      <w:pPr>
        <w:pStyle w:val="P68B1DB1-Normal4"/>
        <w:spacing w:before="120" w:after="120" w:line="240" w:lineRule="auto"/>
        <w:jc w:val="both"/>
        <w:rPr>
          <w:rFonts w:cs="Times New Roman"/>
          <w:noProof/>
        </w:rPr>
      </w:pPr>
      <w:r>
        <w:rPr>
          <w:noProof/>
        </w:rPr>
        <w:t>A komponens az innovációba és az e</w:t>
      </w:r>
      <w:r>
        <w:rPr>
          <w:noProof/>
        </w:rPr>
        <w:t>nergiahatékonyságba történő beruházások előmozdításához kapcsolódik (2019. évi 3. országspecifikus ajánlás). Emellett előmozdítja a köz- és magánberuházásokat, valamint előmozdítja a zöld átállást (2020. évi 3. országspecifikus ajánlás).</w:t>
      </w:r>
    </w:p>
    <w:p w14:paraId="1018E939" w14:textId="77777777" w:rsidR="003E1D81" w:rsidRDefault="00EB481C">
      <w:pPr>
        <w:pStyle w:val="P68B1DB1-Normal4"/>
        <w:spacing w:before="120" w:after="120" w:line="240" w:lineRule="auto"/>
        <w:jc w:val="both"/>
        <w:rPr>
          <w:rFonts w:cs="Times New Roman"/>
          <w:noProof/>
        </w:rPr>
      </w:pPr>
      <w:r>
        <w:rPr>
          <w:noProof/>
        </w:rPr>
        <w:t>A jelentős károkoz</w:t>
      </w:r>
      <w:r>
        <w:rPr>
          <w:noProof/>
        </w:rPr>
        <w:t>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w:t>
      </w:r>
      <w:r>
        <w:rPr>
          <w:noProof/>
        </w:rPr>
        <w:t xml:space="preserve">lembe véve ebben a komponensben várhatóan egyetlen intézkedés sem sérti jelentős mértékben az (EU) 2020/852 rendelet 17. cikke szerinti környezeti célkitűzéseket.  </w:t>
      </w:r>
    </w:p>
    <w:p w14:paraId="2458F8B1" w14:textId="77777777" w:rsidR="003E1D81" w:rsidRDefault="00EB481C">
      <w:pPr>
        <w:pStyle w:val="P68B1DB1-Normal5"/>
        <w:spacing w:before="120" w:after="120" w:line="240" w:lineRule="auto"/>
        <w:ind w:left="709"/>
        <w:jc w:val="both"/>
        <w:rPr>
          <w:rFonts w:cs="Times New Roman"/>
          <w:i/>
          <w:noProof/>
        </w:rPr>
      </w:pPr>
      <w:r>
        <w:rPr>
          <w:noProof/>
        </w:rPr>
        <w:t xml:space="preserve">G.1. </w:t>
      </w:r>
      <w:r>
        <w:rPr>
          <w:noProof/>
        </w:rPr>
        <w:tab/>
        <w:t>Vissza nem térítendő pénzügyi támogatás – a reformok és beruházások ismertetése</w:t>
      </w:r>
    </w:p>
    <w:p w14:paraId="1E488386" w14:textId="77777777" w:rsidR="003E1D81" w:rsidRDefault="00EB481C">
      <w:pPr>
        <w:pStyle w:val="P68B1DB1-Normal6"/>
        <w:spacing w:before="120" w:after="120" w:line="240" w:lineRule="auto"/>
        <w:jc w:val="both"/>
        <w:rPr>
          <w:rFonts w:cs="Times New Roman"/>
          <w:noProof/>
        </w:rPr>
      </w:pPr>
      <w:r>
        <w:rPr>
          <w:noProof/>
        </w:rPr>
        <w:t>Refor</w:t>
      </w:r>
      <w:r>
        <w:rPr>
          <w:noProof/>
        </w:rPr>
        <w:t>m (C7.R1) – A megújulóenergia-termelés támogatásának szabályozási kerete</w:t>
      </w:r>
    </w:p>
    <w:p w14:paraId="5340AD5C" w14:textId="77777777" w:rsidR="003E1D81" w:rsidRDefault="00EB481C">
      <w:pPr>
        <w:pStyle w:val="P68B1DB1-Normal4"/>
        <w:spacing w:before="120" w:after="120" w:line="240" w:lineRule="auto"/>
        <w:jc w:val="both"/>
        <w:rPr>
          <w:rFonts w:cs="Times New Roman"/>
          <w:noProof/>
        </w:rPr>
      </w:pPr>
      <w:r>
        <w:rPr>
          <w:noProof/>
        </w:rPr>
        <w:t>Ezen intézkedés célja a megújulóenergia-termelés előmozdítására vonatkozó szabályozási keret megerősítése a biztonság növelése és a megújuló energiába történő magánberuházások ösztönz</w:t>
      </w:r>
      <w:r>
        <w:rPr>
          <w:noProof/>
        </w:rPr>
        <w:t xml:space="preserve">ése, a megújuló energiaforrások bevezetése előtt álló akadályok felszámolása, valamint a környezetbe, az elektromos rendszerbe és a különböző ágazatokba való integrálásuk javítása érdekében. </w:t>
      </w:r>
    </w:p>
    <w:p w14:paraId="1B4AD724" w14:textId="77777777" w:rsidR="003E1D81" w:rsidRDefault="00EB481C">
      <w:pPr>
        <w:pStyle w:val="P68B1DB1-Normal4"/>
        <w:spacing w:before="120" w:after="120" w:line="240" w:lineRule="auto"/>
        <w:jc w:val="both"/>
        <w:rPr>
          <w:rFonts w:cs="Times New Roman"/>
          <w:noProof/>
        </w:rPr>
      </w:pPr>
      <w:r>
        <w:rPr>
          <w:noProof/>
        </w:rPr>
        <w:t xml:space="preserve">Az intézkedésnek számos jogalkotási és szabályozási lépést kell </w:t>
      </w:r>
      <w:r>
        <w:rPr>
          <w:noProof/>
        </w:rPr>
        <w:t xml:space="preserve">tartalmaznia, többek között a következőket: </w:t>
      </w:r>
    </w:p>
    <w:p w14:paraId="5043E0B8" w14:textId="77777777" w:rsidR="003E1D81" w:rsidRDefault="00EB481C">
      <w:pPr>
        <w:pStyle w:val="P68B1DB1-ListParagraph7"/>
        <w:numPr>
          <w:ilvl w:val="0"/>
          <w:numId w:val="295"/>
        </w:numPr>
        <w:spacing w:before="120" w:after="120" w:line="240" w:lineRule="auto"/>
        <w:jc w:val="both"/>
        <w:rPr>
          <w:rFonts w:cs="Times New Roman"/>
          <w:noProof/>
        </w:rPr>
      </w:pPr>
      <w:r>
        <w:rPr>
          <w:noProof/>
        </w:rPr>
        <w:t>a 23/2020. sz. királyi törvényerejű rendelet 2020. júniusi elfogadása, amely új árverési rendszert hoz létre a megújulóenergia-termelés számára, és javítja a megújulóenergia-termelés villamosenergia-hálózathoz v</w:t>
      </w:r>
      <w:r>
        <w:rPr>
          <w:noProof/>
        </w:rPr>
        <w:t xml:space="preserve">aló hozzáférésének mechanizmusát; </w:t>
      </w:r>
    </w:p>
    <w:p w14:paraId="486E4DAB" w14:textId="77777777" w:rsidR="003E1D81" w:rsidRDefault="00EB481C">
      <w:pPr>
        <w:pStyle w:val="P68B1DB1-Normal4"/>
        <w:numPr>
          <w:ilvl w:val="0"/>
          <w:numId w:val="295"/>
        </w:numPr>
        <w:spacing w:before="120" w:after="120" w:line="240" w:lineRule="auto"/>
        <w:jc w:val="both"/>
        <w:rPr>
          <w:rFonts w:cs="Times New Roman"/>
          <w:noProof/>
        </w:rPr>
      </w:pPr>
      <w:r>
        <w:rPr>
          <w:noProof/>
        </w:rPr>
        <w:t xml:space="preserve">a 960/2020. sz. királyi rendelet 2020. novemberi elfogadása, amely növeli a megújulóenergia-termelésből származó bevételek kiszámíthatóságát az új árveréseken; </w:t>
      </w:r>
    </w:p>
    <w:p w14:paraId="7C6CC9A8" w14:textId="77777777" w:rsidR="003E1D81" w:rsidRDefault="00EB481C">
      <w:pPr>
        <w:pStyle w:val="P68B1DB1-Normal4"/>
        <w:numPr>
          <w:ilvl w:val="0"/>
          <w:numId w:val="295"/>
        </w:numPr>
        <w:spacing w:before="120" w:after="120" w:line="240" w:lineRule="auto"/>
        <w:jc w:val="both"/>
        <w:rPr>
          <w:rFonts w:cs="Times New Roman"/>
          <w:noProof/>
        </w:rPr>
      </w:pPr>
      <w:r>
        <w:rPr>
          <w:noProof/>
        </w:rPr>
        <w:t xml:space="preserve">2020 decemberében az 1183/2020. sz. királyi rendelet, amely </w:t>
      </w:r>
      <w:r>
        <w:rPr>
          <w:noProof/>
        </w:rPr>
        <w:t>a 23/2020. sz. királyi törvényerejű rendelet rendelkezéseivel összhangban szabályozza a megújulóenergia-termelés hozzáférési és csatlakozási feltételeit; és</w:t>
      </w:r>
    </w:p>
    <w:p w14:paraId="79636C6F" w14:textId="77777777" w:rsidR="003E1D81" w:rsidRDefault="00EB481C">
      <w:pPr>
        <w:pStyle w:val="P68B1DB1-Normal4"/>
        <w:numPr>
          <w:ilvl w:val="0"/>
          <w:numId w:val="295"/>
        </w:numPr>
        <w:spacing w:before="120" w:after="120" w:line="240" w:lineRule="auto"/>
        <w:jc w:val="both"/>
        <w:rPr>
          <w:rFonts w:cs="Times New Roman"/>
          <w:noProof/>
        </w:rPr>
      </w:pPr>
      <w:r>
        <w:rPr>
          <w:noProof/>
        </w:rPr>
        <w:t xml:space="preserve">Az éghajlatváltozásról és az energetikai átállásról szóló törvény, amelynek elfogadására 2021 első </w:t>
      </w:r>
      <w:r>
        <w:rPr>
          <w:noProof/>
        </w:rPr>
        <w:t xml:space="preserve">felében kerül sor, és amely jogszabályba foglalja a megújuló energiaforrásokra vonatkozó 2030-as célokat és a 2050-ig megvalósítandó klímasemlegességi célkitűzést (beleértve a 100%-ban megújuló energiaforrásokból előállított villamosenergia-rendszert). Ez </w:t>
      </w:r>
      <w:r>
        <w:rPr>
          <w:noProof/>
        </w:rPr>
        <w:t>a törvény olyan elemeket is tartalmaz, amelyek a terv más elemei szempontjából relevánsak (például az adminisztratív akadályok csökkentése és a nyilvános elektromos töltőpontok telepítésére vonatkozó követelmények).</w:t>
      </w:r>
    </w:p>
    <w:p w14:paraId="3B7B3BD7" w14:textId="77777777" w:rsidR="003E1D81" w:rsidRDefault="00EB481C">
      <w:pPr>
        <w:pStyle w:val="P68B1DB1-Normal4"/>
        <w:spacing w:before="120" w:after="120" w:line="240" w:lineRule="auto"/>
        <w:jc w:val="both"/>
        <w:rPr>
          <w:rFonts w:cs="Times New Roman"/>
          <w:noProof/>
        </w:rPr>
      </w:pPr>
      <w:r>
        <w:rPr>
          <w:noProof/>
        </w:rPr>
        <w:t>Az intézkedés végrehajtását 2023. decemb</w:t>
      </w:r>
      <w:r>
        <w:rPr>
          <w:noProof/>
        </w:rPr>
        <w:t xml:space="preserve">er 31-ig be kell fejezni. </w:t>
      </w:r>
    </w:p>
    <w:p w14:paraId="248D7355" w14:textId="77777777" w:rsidR="003E1D81" w:rsidRDefault="00EB481C">
      <w:pPr>
        <w:pStyle w:val="P68B1DB1-Normal6"/>
        <w:spacing w:before="120" w:after="120" w:line="240" w:lineRule="auto"/>
        <w:jc w:val="both"/>
        <w:rPr>
          <w:rFonts w:cs="Times New Roman"/>
          <w:noProof/>
        </w:rPr>
      </w:pPr>
      <w:r>
        <w:rPr>
          <w:noProof/>
        </w:rPr>
        <w:t>Reform (C7.R2) – Nemzeti saját fogyasztási stratégia</w:t>
      </w:r>
    </w:p>
    <w:p w14:paraId="563AF658" w14:textId="77777777" w:rsidR="003E1D81" w:rsidRDefault="00EB481C">
      <w:pPr>
        <w:pStyle w:val="P68B1DB1-Normal4"/>
        <w:spacing w:before="120" w:after="120" w:line="240" w:lineRule="auto"/>
        <w:jc w:val="both"/>
        <w:rPr>
          <w:rFonts w:cs="Times New Roman"/>
          <w:noProof/>
        </w:rPr>
      </w:pPr>
      <w:r>
        <w:rPr>
          <w:noProof/>
        </w:rPr>
        <w:t>Ezen intézkedés célja, hogy ösztönözze a saját fogyasztást mint a megújulóenergia-termelés alternatívájaként, célokat tűzzön ki ezen a területen a 2021–2030-as időszakra, valam</w:t>
      </w:r>
      <w:r>
        <w:rPr>
          <w:noProof/>
        </w:rPr>
        <w:t xml:space="preserve">int intézkedéseket határozzon meg és dolgozzon ki a bevezetésüket gátló fő akadályok enyhítésére. A saját fogyasztás hozzájárul a megújulóenergia-termelés épületekbe és városi környezetbe való integrálásához, és fellendíti a helyi foglalkoztatást. </w:t>
      </w:r>
    </w:p>
    <w:p w14:paraId="72FA2ACE" w14:textId="77777777" w:rsidR="003E1D81" w:rsidRDefault="00EB481C">
      <w:pPr>
        <w:pStyle w:val="P68B1DB1-Normal4"/>
        <w:spacing w:before="120" w:after="120" w:line="240" w:lineRule="auto"/>
        <w:jc w:val="both"/>
        <w:rPr>
          <w:rFonts w:cs="Times New Roman"/>
          <w:noProof/>
        </w:rPr>
      </w:pPr>
      <w:r>
        <w:rPr>
          <w:noProof/>
        </w:rPr>
        <w:t>Az inté</w:t>
      </w:r>
      <w:r>
        <w:rPr>
          <w:noProof/>
        </w:rPr>
        <w:t>zkedésnek magában kell foglalnia, hogy a spanyol kormány 2021 második felében nemzeti stratégiát fogad el a saját fogyasztást gátló adminisztratív akadályok csökkentése érdekében. A stratégiának fel kell tárnia a jelenlegi és a potenciális spanyolországi h</w:t>
      </w:r>
      <w:r>
        <w:rPr>
          <w:noProof/>
        </w:rPr>
        <w:t>elyzetet, és meg kell határoznia az alábbiakra irányuló intézkedéseket: a közigazgatások közötti jobb koordináció; az információk terjesztése a fogyasztók körében és figyelemfelkeltés; a meglévő releváns készségek, valamint a saját fogyasztáshoz kapcsolódó</w:t>
      </w:r>
      <w:r>
        <w:rPr>
          <w:noProof/>
        </w:rPr>
        <w:t xml:space="preserve"> továbbképzési lehetőségek azonosítása. </w:t>
      </w:r>
    </w:p>
    <w:p w14:paraId="48BFAA29" w14:textId="77777777" w:rsidR="003E1D81" w:rsidRDefault="00EB481C">
      <w:pPr>
        <w:pStyle w:val="P68B1DB1-Normal4"/>
        <w:spacing w:before="120" w:after="120" w:line="240" w:lineRule="auto"/>
        <w:jc w:val="both"/>
        <w:rPr>
          <w:rFonts w:cs="Times New Roman"/>
          <w:noProof/>
        </w:rPr>
      </w:pPr>
      <w:r>
        <w:rPr>
          <w:noProof/>
        </w:rPr>
        <w:t>Az intézkedésnek foglalkoznia kell a nemzeti önfogyasztási stratégia kulcsfontosságú elemeinek végrehajtásával, beleértve a saját fogyasztás ösztönzéséről szóló iránymutatás közzétételét és a szükséges készségek fej</w:t>
      </w:r>
      <w:r>
        <w:rPr>
          <w:noProof/>
        </w:rPr>
        <w:t xml:space="preserve">lesztését célzó képzések elvégzését. </w:t>
      </w:r>
    </w:p>
    <w:p w14:paraId="6AA14A28" w14:textId="77777777" w:rsidR="003E1D81" w:rsidRDefault="00EB481C">
      <w:pPr>
        <w:pStyle w:val="P68B1DB1-Normal4"/>
        <w:spacing w:before="120" w:after="120" w:line="240" w:lineRule="auto"/>
        <w:jc w:val="both"/>
        <w:rPr>
          <w:rFonts w:cs="Times New Roman"/>
          <w:noProof/>
        </w:rPr>
      </w:pPr>
      <w:r>
        <w:rPr>
          <w:noProof/>
        </w:rPr>
        <w:t xml:space="preserve">Az intézkedés végrehajtását 2023. június 30-ig be kell fejezni. </w:t>
      </w:r>
    </w:p>
    <w:p w14:paraId="59B44448" w14:textId="77777777" w:rsidR="003E1D81" w:rsidRDefault="00EB481C">
      <w:pPr>
        <w:pStyle w:val="P68B1DB1-Normal6"/>
        <w:spacing w:before="120" w:after="120" w:line="240" w:lineRule="auto"/>
        <w:jc w:val="both"/>
        <w:rPr>
          <w:rFonts w:cs="Times New Roman"/>
          <w:noProof/>
        </w:rPr>
      </w:pPr>
      <w:r>
        <w:rPr>
          <w:noProof/>
        </w:rPr>
        <w:t>Reform (C7.R3) – Az energiaközösségek fejlesztése</w:t>
      </w:r>
    </w:p>
    <w:p w14:paraId="25766895" w14:textId="1E565195" w:rsidR="003E1D81" w:rsidRDefault="00EB481C">
      <w:pPr>
        <w:pStyle w:val="P68B1DB1-Normal4"/>
        <w:spacing w:before="120" w:after="120" w:line="240" w:lineRule="auto"/>
        <w:jc w:val="both"/>
        <w:rPr>
          <w:rFonts w:cs="Times New Roman"/>
          <w:noProof/>
        </w:rPr>
      </w:pPr>
      <w:r>
        <w:rPr>
          <w:noProof/>
        </w:rPr>
        <w:t>Ennek az intézkedésnek az a célja, hogy a megújulóenergia-közösségeken és a helyi energiaközösségeken k</w:t>
      </w:r>
      <w:r>
        <w:rPr>
          <w:noProof/>
        </w:rPr>
        <w:t xml:space="preserve">eresztül fokozza a polgárok részvételét az energetikai átállásban. Az intézkedés támogatja a képzési, részvételen alapuló és közösségépítő folyamatokat, valamint konkrét projektek támogatását. </w:t>
      </w:r>
    </w:p>
    <w:p w14:paraId="483AED78" w14:textId="5EE49F85" w:rsidR="003E1D81" w:rsidRDefault="00EB481C">
      <w:pPr>
        <w:pStyle w:val="P68B1DB1-Normal4"/>
        <w:spacing w:before="120" w:after="120" w:line="240" w:lineRule="auto"/>
        <w:jc w:val="both"/>
        <w:rPr>
          <w:rFonts w:cs="Times New Roman"/>
          <w:noProof/>
        </w:rPr>
      </w:pPr>
      <w:r>
        <w:rPr>
          <w:noProof/>
        </w:rPr>
        <w:t>Az intézkedés versenytárgyalási felhívás alapján első kísérlet</w:t>
      </w:r>
      <w:r>
        <w:rPr>
          <w:noProof/>
        </w:rPr>
        <w:t>i projektet ítél oda az energiaközösségek számára, hogy bizonyítsa e modell életképességét. 2024 végéig 37 kísérleti projektet hajt végre a helyi közösség részvételével, a végrehajtott intézkedések ütemtervével és a megfelelő jövőbeli lépések azonosításáva</w:t>
      </w:r>
      <w:r>
        <w:rPr>
          <w:noProof/>
        </w:rPr>
        <w:t xml:space="preserve">l együtt. E projekteknek megújuló energián kell alapulniuk. </w:t>
      </w:r>
    </w:p>
    <w:p w14:paraId="7D97F96C" w14:textId="03C89E44" w:rsidR="003E1D81" w:rsidRDefault="00EB481C">
      <w:pPr>
        <w:pStyle w:val="P68B1DB1-Normal4"/>
        <w:spacing w:before="120" w:after="120" w:line="240" w:lineRule="auto"/>
        <w:jc w:val="both"/>
        <w:rPr>
          <w:rFonts w:cs="Times New Roman"/>
          <w:noProof/>
        </w:rPr>
      </w:pPr>
      <w:r>
        <w:rPr>
          <w:noProof/>
        </w:rPr>
        <w:t xml:space="preserve">Az intézkedés végrehajtását 2024. december 31-ig be kell fejezni. </w:t>
      </w:r>
    </w:p>
    <w:p w14:paraId="2BB0E1F3" w14:textId="77777777" w:rsidR="003E1D81" w:rsidRDefault="00EB481C">
      <w:pPr>
        <w:pStyle w:val="P68B1DB1-Normal6"/>
        <w:spacing w:before="120" w:after="120" w:line="240" w:lineRule="auto"/>
        <w:jc w:val="both"/>
        <w:rPr>
          <w:rFonts w:cs="Times New Roman"/>
          <w:noProof/>
        </w:rPr>
      </w:pPr>
      <w:r>
        <w:rPr>
          <w:noProof/>
        </w:rPr>
        <w:t>Reform (C7.R4) – A megújuló energiával kapcsolatos innováció és technológiai fejlesztés kerete</w:t>
      </w:r>
    </w:p>
    <w:p w14:paraId="58BF458E" w14:textId="77777777" w:rsidR="003E1D81" w:rsidRDefault="00EB481C">
      <w:pPr>
        <w:pStyle w:val="P68B1DB1-Normal4"/>
        <w:spacing w:before="120" w:after="120" w:line="240" w:lineRule="auto"/>
        <w:jc w:val="both"/>
        <w:rPr>
          <w:rFonts w:cs="Times New Roman"/>
          <w:noProof/>
        </w:rPr>
      </w:pPr>
      <w:r>
        <w:rPr>
          <w:noProof/>
        </w:rPr>
        <w:t>Ennek az intézkedésnek meg kell e</w:t>
      </w:r>
      <w:r>
        <w:rPr>
          <w:noProof/>
        </w:rPr>
        <w:t>rősítenie számos megújuló energiaforrás innovációs és technológiai fejlesztési keretét, és hozzá kell járulnia ahhoz, hogy előrelépés történjen azon cél elérése felé, hogy az energiaigényben a megújuló energiaforrások 100%-a legyen. Az ezen intézkedés hatá</w:t>
      </w:r>
      <w:r>
        <w:rPr>
          <w:noProof/>
        </w:rPr>
        <w:t xml:space="preserve">lya alá tartozó megújuló energiaforrások magukban foglalják a tengeri szélenergiát és a biogázt is. Az intézkedésnek elő kell segítenie a megújuló technológiákkal kapcsolatos K+F-et is. </w:t>
      </w:r>
    </w:p>
    <w:p w14:paraId="7D861CFF" w14:textId="77777777" w:rsidR="003E1D81" w:rsidRDefault="00EB481C">
      <w:pPr>
        <w:pStyle w:val="P68B1DB1-Normal4"/>
        <w:spacing w:before="120" w:after="120" w:line="240" w:lineRule="auto"/>
        <w:jc w:val="both"/>
        <w:rPr>
          <w:rFonts w:cs="Times New Roman"/>
          <w:noProof/>
        </w:rPr>
      </w:pPr>
      <w:r>
        <w:rPr>
          <w:noProof/>
        </w:rPr>
        <w:t>Az intézkedés magában foglalja a tengeri szélenergiára és egyéb tenge</w:t>
      </w:r>
      <w:r>
        <w:rPr>
          <w:noProof/>
        </w:rPr>
        <w:t>ri energiára vonatkozó ütemterv közzétételét. Ennek az ütemtervnek az a célja, hogy csökkentse az e megújuló energiaforrás fejlesztése előtt álló adminisztratív akadályokat. Az ütemtervnek különösen a következőkre kell törekednie: a kutatás, a fejlesztés é</w:t>
      </w:r>
      <w:r>
        <w:rPr>
          <w:noProof/>
        </w:rPr>
        <w:t>s az innováció előmozdítása egy dinamikusabb szabályozási keret, valamint az új prototípusok technológiai központjainak és tesztelési platformjainak megerősítése révén; a kulcsfontosságú ipari ágazatokkal fennálló lehetőségek és szinergiák azonosítása; meg</w:t>
      </w:r>
      <w:r>
        <w:rPr>
          <w:noProof/>
        </w:rPr>
        <w:t>felelő szabályozási keret kidolgozása Spanyolországban (különösen a lebegő technológiák esetében); és d) a környezeti hatások minimalizálását célzó intézkedések meghatározása (az adminisztratív eljárások egyszerűsítése mellett). Az intézkedésnek végre kell</w:t>
      </w:r>
      <w:r>
        <w:rPr>
          <w:noProof/>
        </w:rPr>
        <w:t xml:space="preserve"> hajtania az ütemtervben meghatározott kulcsfontosságú szabályozási intézkedéseket a tengeri szélerőműparkok előmozdítása, a kutatás és fejlesztés fellendítése, valamint az úszó technológiák alkalmazásának támogatása érdekében.</w:t>
      </w:r>
    </w:p>
    <w:p w14:paraId="4E54DCE7" w14:textId="77777777" w:rsidR="003E1D81" w:rsidRDefault="00EB481C">
      <w:pPr>
        <w:pStyle w:val="P68B1DB1-Normal4"/>
        <w:spacing w:before="120" w:after="120" w:line="240" w:lineRule="auto"/>
        <w:jc w:val="both"/>
        <w:rPr>
          <w:rFonts w:cs="Times New Roman"/>
          <w:noProof/>
        </w:rPr>
      </w:pPr>
      <w:r>
        <w:rPr>
          <w:noProof/>
        </w:rPr>
        <w:t>Ezen intézkedés második eleme a biogázra vonatkozó ütemterv közzététele, amely elemzi a biogáz előmozdítását szolgáló megfelelő szabályozási és ágazati eszközöket, különös tekintettel ezen energiaforrás hatékony felhasználására (például az agráripari alkal</w:t>
      </w:r>
      <w:r>
        <w:rPr>
          <w:noProof/>
        </w:rPr>
        <w:t xml:space="preserve">mazásokban és a nehézgépjárművek esetében, ahol a villamosítás még nem alternatív megoldás). A reform e része a biogázra vonatkozó ütemterv kulcsfontosságú tevékenységeinek végrehajtásával foglalkozik, beleértve a következőket: a megújuló gázok származási </w:t>
      </w:r>
      <w:r>
        <w:rPr>
          <w:noProof/>
        </w:rPr>
        <w:t>garanciarendszerének létrehozása, amelynek célja a biogázba történő beruházások ösztönzése és az olyan ágazatok dekarbonizációja, mint az ipar és a közlekedés; a biogáz dekarbonizációhoz való hozzájárulásának kiszámítására szolgáló eszköz kidolgozása; és c</w:t>
      </w:r>
      <w:r>
        <w:rPr>
          <w:noProof/>
        </w:rPr>
        <w:t xml:space="preserve">) előzetes megvalósíthatósági tanulmányok a biogáz-előállító létesítmények megvalósításának előmozdítása érdekében. </w:t>
      </w:r>
    </w:p>
    <w:p w14:paraId="31D254F7" w14:textId="77777777" w:rsidR="003E1D81" w:rsidRDefault="00EB481C">
      <w:pPr>
        <w:pStyle w:val="P68B1DB1-Normal4"/>
        <w:spacing w:before="120" w:after="120" w:line="240" w:lineRule="auto"/>
        <w:jc w:val="both"/>
        <w:rPr>
          <w:rFonts w:cs="Times New Roman"/>
          <w:noProof/>
        </w:rPr>
      </w:pPr>
      <w:r>
        <w:rPr>
          <w:noProof/>
        </w:rPr>
        <w:t>Az intézkedés végrehajtását 2023. december 31-ig be kell fejezni.</w:t>
      </w:r>
    </w:p>
    <w:p w14:paraId="6C72BB72" w14:textId="77777777" w:rsidR="003E1D81" w:rsidRDefault="00EB481C">
      <w:pPr>
        <w:pStyle w:val="P68B1DB1-Normal6"/>
        <w:spacing w:before="120" w:after="120" w:line="240" w:lineRule="auto"/>
        <w:jc w:val="both"/>
        <w:rPr>
          <w:rFonts w:cs="Times New Roman"/>
          <w:noProof/>
        </w:rPr>
      </w:pPr>
      <w:r>
        <w:rPr>
          <w:noProof/>
        </w:rPr>
        <w:t>Beruházás (C7.I1) – Az épületekbe és a termelési folyamatokba integrált i</w:t>
      </w:r>
      <w:r>
        <w:rPr>
          <w:noProof/>
        </w:rPr>
        <w:t>nnovatív megújuló energiák fejlesztése</w:t>
      </w:r>
    </w:p>
    <w:p w14:paraId="6D9582E1" w14:textId="77777777" w:rsidR="003E1D81" w:rsidRDefault="00EB481C">
      <w:pPr>
        <w:pStyle w:val="P68B1DB1-Normal4"/>
        <w:spacing w:before="120" w:after="120" w:line="240" w:lineRule="auto"/>
        <w:jc w:val="both"/>
        <w:rPr>
          <w:rFonts w:cs="Times New Roman"/>
          <w:noProof/>
        </w:rPr>
      </w:pPr>
      <w:r>
        <w:rPr>
          <w:noProof/>
        </w:rPr>
        <w:t>Ezen intézkedés célja az innovatív megújuló energiák fejlesztésének, valamint az épületekbe és a termelési folyamatokba integrálandó megújuló energiák fejlesztésének előmozdítása. Támogatja a saját megújulóenergia-fog</w:t>
      </w:r>
      <w:r>
        <w:rPr>
          <w:noProof/>
        </w:rPr>
        <w:t>yasztást és a még nem teljes mértékben versenyképes technológiákat, többek között a mezőgazdasági ágazatban az elektromos és termikus megújuló energiaforrásokat, a lakossági és a szolgáltatási ágazat hűtési/fűtési igényeit célzó megújuló energiaforrásokat,</w:t>
      </w:r>
      <w:r>
        <w:rPr>
          <w:noProof/>
        </w:rPr>
        <w:t xml:space="preserve"> az ipari folyamatokban használt, megújuló forrásokból származó hőenergiát, a bioenergiát és a tengeri megújuló energiaforrásokat. A támogatás beruházási támogatás formájában valósul meg, amelyet költséghatékony eredményt biztosító pályázatokon keresztül í</w:t>
      </w:r>
      <w:r>
        <w:rPr>
          <w:noProof/>
        </w:rPr>
        <w:t xml:space="preserve">télnek oda, vagy közvetlen tőketámogatás a megújuló energiaforrásokkal kapcsolatos projektekhez. A beruházás az átképzést és a továbbképzést is támogatná a megújulóenergia-termelés területén. </w:t>
      </w:r>
    </w:p>
    <w:p w14:paraId="73AEC436" w14:textId="77777777" w:rsidR="003E1D81" w:rsidRDefault="00EB481C">
      <w:pPr>
        <w:pStyle w:val="P68B1DB1-Normal4"/>
        <w:spacing w:before="120" w:after="120" w:line="240" w:lineRule="auto"/>
        <w:jc w:val="both"/>
        <w:rPr>
          <w:rFonts w:cs="Times New Roman"/>
          <w:noProof/>
        </w:rPr>
      </w:pPr>
      <w:r>
        <w:rPr>
          <w:noProof/>
        </w:rPr>
        <w:t>E beruházás keretében 2026 első felében legalább 3 800 MW innov</w:t>
      </w:r>
      <w:r>
        <w:rPr>
          <w:noProof/>
        </w:rPr>
        <w:t>atív vagy hozzáadott értékű megújulóenergia-termelést kell telepíteni.</w:t>
      </w:r>
    </w:p>
    <w:p w14:paraId="3D18D682" w14:textId="77777777" w:rsidR="003E1D81" w:rsidRDefault="00EB481C">
      <w:pPr>
        <w:pStyle w:val="P68B1DB1-Normal4"/>
        <w:spacing w:before="120" w:after="120" w:line="240" w:lineRule="auto"/>
        <w:jc w:val="both"/>
        <w:rPr>
          <w:rFonts w:cs="Times New Roman"/>
          <w:noProof/>
        </w:rPr>
      </w:pPr>
      <w:r>
        <w:rPr>
          <w:noProof/>
        </w:rPr>
        <w:t xml:space="preserve">A beruházás végrehajtását 2026. június 30-ig be kell fejezni. </w:t>
      </w:r>
    </w:p>
    <w:p w14:paraId="60E0F2E7" w14:textId="77777777" w:rsidR="003E1D81" w:rsidRDefault="00EB481C">
      <w:pPr>
        <w:pStyle w:val="P68B1DB1-Normal6"/>
        <w:spacing w:before="120" w:after="120" w:line="240" w:lineRule="auto"/>
        <w:jc w:val="both"/>
        <w:rPr>
          <w:rFonts w:cs="Times New Roman"/>
          <w:noProof/>
        </w:rPr>
      </w:pPr>
      <w:r>
        <w:rPr>
          <w:noProof/>
        </w:rPr>
        <w:t>Beruházás (C7.I2) – Fenntartható energia a szigeteken</w:t>
      </w:r>
    </w:p>
    <w:p w14:paraId="2F377D1A" w14:textId="77777777" w:rsidR="003E1D81" w:rsidRDefault="00EB481C">
      <w:pPr>
        <w:pStyle w:val="P68B1DB1-Normal4"/>
        <w:spacing w:before="120" w:after="120" w:line="240" w:lineRule="auto"/>
        <w:jc w:val="both"/>
        <w:rPr>
          <w:rFonts w:cs="Times New Roman"/>
          <w:noProof/>
        </w:rPr>
      </w:pPr>
      <w:r>
        <w:rPr>
          <w:noProof/>
        </w:rPr>
        <w:t>Ez a beruházás a szigetek energetikai átállását támogató átfogóbb st</w:t>
      </w:r>
      <w:r>
        <w:rPr>
          <w:noProof/>
        </w:rPr>
        <w:t>ratégia részeként támogatja a fenntartható energiát a spanyol szigeteken (a Kanári-szigeteken és a Baleár-szigeteken), különösen a megújuló energia szigeteken és nem félszigeti rendszerekben való elterjedését és integrálását célzó projektek támogatása révé</w:t>
      </w:r>
      <w:r>
        <w:rPr>
          <w:noProof/>
        </w:rPr>
        <w:t>n. Ez összhangban van Spanyolország nemzeti energia- és klímatervével, amely a szigetek szén-dioxid-mentesítésére és az olajtól való függőségük csökkentésére irányuló intézkedéseket tartalmaz.</w:t>
      </w:r>
    </w:p>
    <w:p w14:paraId="085FD631" w14:textId="77777777" w:rsidR="003E1D81" w:rsidRDefault="00EB481C">
      <w:pPr>
        <w:pStyle w:val="P68B1DB1-Normal4"/>
        <w:spacing w:before="120" w:after="120" w:line="240" w:lineRule="auto"/>
        <w:jc w:val="both"/>
        <w:rPr>
          <w:rFonts w:cs="Times New Roman"/>
          <w:noProof/>
        </w:rPr>
      </w:pPr>
      <w:r>
        <w:rPr>
          <w:noProof/>
        </w:rPr>
        <w:t>A támogatandó konkrét beruházások magukban foglalják a megújuló</w:t>
      </w:r>
      <w:r>
        <w:rPr>
          <w:noProof/>
        </w:rPr>
        <w:t xml:space="preserve"> villamosenergia-forrásokat, a tárolási megoldásokat és az intelligens projekteket (az „Intelligens szigetek” program részeként). A beruházás keretében végzett tevékenységek egy része a „Tiszta energia az EU szigeteinek” program keretében szerzett ismerete</w:t>
      </w:r>
      <w:r>
        <w:rPr>
          <w:noProof/>
        </w:rPr>
        <w:t xml:space="preserve">kre fog támaszkodni.  </w:t>
      </w:r>
    </w:p>
    <w:p w14:paraId="0F983BEF" w14:textId="08A34F2D" w:rsidR="003E1D81" w:rsidRDefault="00EB481C">
      <w:pPr>
        <w:pStyle w:val="P68B1DB1-Normal4"/>
        <w:spacing w:before="120" w:after="120" w:line="240" w:lineRule="auto"/>
        <w:jc w:val="both"/>
        <w:rPr>
          <w:rFonts w:cs="Times New Roman"/>
          <w:noProof/>
        </w:rPr>
      </w:pPr>
      <w:r>
        <w:rPr>
          <w:noProof/>
        </w:rPr>
        <w:t>E beruházás keretében legalább 180 MW megújulóenergia-termelést, valamint legalább 600 támogatott vagy végrehajtott fellépést, projektet vagy programot kell létrehozni, beleértve a következőket: dinamizációs programok vagy irodák, sz</w:t>
      </w:r>
      <w:r>
        <w:rPr>
          <w:noProof/>
        </w:rPr>
        <w:t>igetekre vonatkozó ütemtervek, beruházási vagy támogatási projektek, amelyek az „Intelligens szigetek” vagy a „Tiszta energia az EU szigeteinek” programokhoz kapcsolódnak, megújuló energiával kapcsolatos fenntartható vagy tárolási projektek.</w:t>
      </w:r>
    </w:p>
    <w:p w14:paraId="408422B9" w14:textId="77777777" w:rsidR="003E1D81" w:rsidRDefault="00EB481C">
      <w:pPr>
        <w:pStyle w:val="P68B1DB1-Normal4"/>
        <w:spacing w:before="120" w:after="120" w:line="240" w:lineRule="auto"/>
        <w:jc w:val="both"/>
        <w:rPr>
          <w:rFonts w:cs="Times New Roman"/>
          <w:noProof/>
        </w:rPr>
      </w:pPr>
      <w:r>
        <w:rPr>
          <w:noProof/>
        </w:rPr>
        <w:t xml:space="preserve">A reform végrehajtását 2026. június 30-ig be kell fejezni. </w:t>
      </w:r>
    </w:p>
    <w:p w14:paraId="7D397997" w14:textId="77777777" w:rsidR="003E1D81" w:rsidRDefault="00EB481C">
      <w:pPr>
        <w:pStyle w:val="P68B1DB1-Normal5"/>
        <w:keepNext/>
        <w:spacing w:before="120" w:after="120" w:line="240" w:lineRule="auto"/>
        <w:ind w:left="709"/>
        <w:jc w:val="both"/>
        <w:rPr>
          <w:rFonts w:cs="Times New Roman"/>
          <w:noProof/>
        </w:rPr>
      </w:pPr>
      <w:r>
        <w:rPr>
          <w:noProof/>
        </w:rPr>
        <w:t xml:space="preserve">G.2. </w:t>
      </w:r>
      <w:r>
        <w:rPr>
          <w:noProof/>
        </w:rPr>
        <w:tab/>
        <w:t>Vissza nem térítendő pénzügyi támogatás – a végrehajtáshoz és a nyomon követéshez kapcsolódó mérföldkövek, célok, mutatók és ütemterv</w:t>
      </w:r>
    </w:p>
    <w:p w14:paraId="2B466D42" w14:textId="77777777" w:rsidR="003E1D81" w:rsidRDefault="00EB481C">
      <w:pPr>
        <w:pStyle w:val="P68B1DB1-Normal18"/>
        <w:keepNext/>
        <w:spacing w:before="120" w:after="120" w:line="240" w:lineRule="auto"/>
        <w:rPr>
          <w:rFonts w:cs="Times New Roman"/>
          <w:noProof/>
          <w:u w:val="single"/>
        </w:rPr>
        <w:sectPr w:rsidR="003E1D81" w:rsidSect="0035659C">
          <w:headerReference w:type="even" r:id="rId174"/>
          <w:headerReference w:type="default" r:id="rId175"/>
          <w:footerReference w:type="even" r:id="rId176"/>
          <w:footerReference w:type="default" r:id="rId177"/>
          <w:headerReference w:type="first" r:id="rId178"/>
          <w:footerReference w:type="first" r:id="rId179"/>
          <w:pgSz w:w="11907" w:h="16839"/>
          <w:pgMar w:top="1134" w:right="1417" w:bottom="1134" w:left="1417" w:header="709" w:footer="709" w:gutter="0"/>
          <w:cols w:space="720"/>
          <w:docGrid w:linePitch="360"/>
        </w:sectPr>
      </w:pPr>
      <w:r>
        <w:rPr>
          <w:noProof/>
        </w:rPr>
        <w:t>Táblázat alább. Az alapforgatókönyv valamennyi mutató esetében 2020. február 1-je, kivéve, ha az intézkedés leírása másként jelzi. A táblázatban szereplő összegek nem tartalmazzák a héát.</w:t>
      </w:r>
    </w:p>
    <w:tbl>
      <w:tblP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276"/>
        <w:gridCol w:w="850"/>
        <w:gridCol w:w="709"/>
        <w:gridCol w:w="737"/>
        <w:gridCol w:w="567"/>
        <w:gridCol w:w="567"/>
        <w:gridCol w:w="5217"/>
      </w:tblGrid>
      <w:tr w:rsidR="003E1D81" w14:paraId="43629D1D" w14:textId="77777777">
        <w:trPr>
          <w:trHeight w:val="309"/>
          <w:tblHeader/>
        </w:trPr>
        <w:tc>
          <w:tcPr>
            <w:tcW w:w="709" w:type="dxa"/>
            <w:tcBorders>
              <w:bottom w:val="nil"/>
            </w:tcBorders>
            <w:shd w:val="clear" w:color="auto" w:fill="C6D9F1" w:themeFill="text2" w:themeFillTint="33"/>
            <w:noWrap/>
            <w:vAlign w:val="center"/>
          </w:tcPr>
          <w:p w14:paraId="1137F6FE"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2D2030B1"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7A014B3E"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977" w:type="dxa"/>
            <w:tcBorders>
              <w:bottom w:val="nil"/>
            </w:tcBorders>
            <w:shd w:val="clear" w:color="auto" w:fill="C6D9F1" w:themeFill="text2" w:themeFillTint="33"/>
            <w:noWrap/>
            <w:vAlign w:val="center"/>
          </w:tcPr>
          <w:p w14:paraId="76B22AC8" w14:textId="77777777" w:rsidR="003E1D81" w:rsidRDefault="00EB481C">
            <w:pPr>
              <w:pStyle w:val="P68B1DB1-Normal12"/>
              <w:spacing w:after="0" w:line="240" w:lineRule="auto"/>
              <w:jc w:val="center"/>
              <w:rPr>
                <w:rFonts w:cs="Times New Roman"/>
                <w:noProof/>
              </w:rPr>
            </w:pPr>
            <w:r>
              <w:rPr>
                <w:noProof/>
              </w:rPr>
              <w:t>Név</w:t>
            </w:r>
          </w:p>
        </w:tc>
        <w:tc>
          <w:tcPr>
            <w:tcW w:w="1276" w:type="dxa"/>
            <w:tcBorders>
              <w:bottom w:val="nil"/>
            </w:tcBorders>
            <w:shd w:val="clear" w:color="auto" w:fill="C6D9F1" w:themeFill="text2" w:themeFillTint="33"/>
            <w:noWrap/>
            <w:vAlign w:val="center"/>
          </w:tcPr>
          <w:p w14:paraId="2DDB3F40" w14:textId="77777777" w:rsidR="003E1D81" w:rsidRDefault="00EB481C">
            <w:pPr>
              <w:pStyle w:val="P68B1DB1-Normal12"/>
              <w:spacing w:after="0" w:line="240" w:lineRule="auto"/>
              <w:jc w:val="center"/>
              <w:rPr>
                <w:rFonts w:cs="Times New Roman"/>
                <w:noProof/>
              </w:rPr>
            </w:pPr>
            <w:r>
              <w:rPr>
                <w:noProof/>
              </w:rPr>
              <w:t>A mérföld</w:t>
            </w:r>
            <w:r>
              <w:rPr>
                <w:noProof/>
              </w:rPr>
              <w:t>kövek minőségi mutatója</w:t>
            </w:r>
          </w:p>
        </w:tc>
        <w:tc>
          <w:tcPr>
            <w:tcW w:w="2296" w:type="dxa"/>
            <w:gridSpan w:val="3"/>
            <w:shd w:val="clear" w:color="auto" w:fill="C6D9F1" w:themeFill="text2" w:themeFillTint="33"/>
            <w:noWrap/>
            <w:vAlign w:val="center"/>
          </w:tcPr>
          <w:p w14:paraId="3218836D"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1134" w:type="dxa"/>
            <w:gridSpan w:val="2"/>
            <w:shd w:val="clear" w:color="auto" w:fill="C6D9F1" w:themeFill="text2" w:themeFillTint="33"/>
            <w:noWrap/>
            <w:vAlign w:val="center"/>
          </w:tcPr>
          <w:p w14:paraId="1DEC776A" w14:textId="77777777" w:rsidR="003E1D81" w:rsidRDefault="00EB481C">
            <w:pPr>
              <w:pStyle w:val="P68B1DB1-Normal12"/>
              <w:spacing w:after="0" w:line="240" w:lineRule="auto"/>
              <w:jc w:val="center"/>
              <w:rPr>
                <w:rFonts w:cs="Times New Roman"/>
                <w:noProof/>
              </w:rPr>
            </w:pPr>
            <w:r>
              <w:rPr>
                <w:noProof/>
              </w:rPr>
              <w:t>Idő</w:t>
            </w:r>
          </w:p>
        </w:tc>
        <w:tc>
          <w:tcPr>
            <w:tcW w:w="5217" w:type="dxa"/>
            <w:tcBorders>
              <w:bottom w:val="nil"/>
            </w:tcBorders>
            <w:shd w:val="clear" w:color="auto" w:fill="C6D9F1" w:themeFill="text2" w:themeFillTint="33"/>
            <w:noWrap/>
            <w:vAlign w:val="center"/>
          </w:tcPr>
          <w:p w14:paraId="3B519A6D"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600D2986" w14:textId="77777777">
        <w:trPr>
          <w:trHeight w:val="309"/>
          <w:tblHeader/>
        </w:trPr>
        <w:tc>
          <w:tcPr>
            <w:tcW w:w="709" w:type="dxa"/>
            <w:tcBorders>
              <w:top w:val="nil"/>
            </w:tcBorders>
            <w:shd w:val="clear" w:color="auto" w:fill="C6D9F1" w:themeFill="text2" w:themeFillTint="33"/>
            <w:noWrap/>
          </w:tcPr>
          <w:p w14:paraId="562C75D1"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664355AD"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1A965116" w14:textId="77777777" w:rsidR="003E1D81" w:rsidRDefault="003E1D81">
            <w:pPr>
              <w:spacing w:after="0" w:line="240" w:lineRule="auto"/>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7DF4E37C" w14:textId="77777777" w:rsidR="003E1D81" w:rsidRDefault="003E1D81">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44FB30F8" w14:textId="77777777" w:rsidR="003E1D81" w:rsidRDefault="003E1D81">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701EC728" w14:textId="77777777" w:rsidR="003E1D81" w:rsidRDefault="00EB481C">
            <w:pPr>
              <w:pStyle w:val="P68B1DB1-Normal12"/>
              <w:spacing w:after="0" w:line="240" w:lineRule="auto"/>
              <w:jc w:val="center"/>
              <w:rPr>
                <w:rFonts w:cs="Times New Roman"/>
                <w:noProof/>
              </w:rPr>
            </w:pPr>
            <w:r>
              <w:rPr>
                <w:noProof/>
              </w:rPr>
              <w:t>Egység</w:t>
            </w:r>
          </w:p>
        </w:tc>
        <w:tc>
          <w:tcPr>
            <w:tcW w:w="709" w:type="dxa"/>
            <w:shd w:val="clear" w:color="auto" w:fill="C6D9F1" w:themeFill="text2" w:themeFillTint="33"/>
            <w:noWrap/>
          </w:tcPr>
          <w:p w14:paraId="7D9F17E7" w14:textId="77777777" w:rsidR="003E1D81" w:rsidRDefault="00EB481C">
            <w:pPr>
              <w:pStyle w:val="P68B1DB1-Normal12"/>
              <w:spacing w:after="0" w:line="240" w:lineRule="auto"/>
              <w:jc w:val="center"/>
              <w:rPr>
                <w:rFonts w:cs="Times New Roman"/>
                <w:noProof/>
              </w:rPr>
            </w:pPr>
            <w:r>
              <w:rPr>
                <w:noProof/>
              </w:rPr>
              <w:t>Kiindulási</w:t>
            </w:r>
          </w:p>
        </w:tc>
        <w:tc>
          <w:tcPr>
            <w:tcW w:w="737" w:type="dxa"/>
            <w:shd w:val="clear" w:color="auto" w:fill="C6D9F1" w:themeFill="text2" w:themeFillTint="33"/>
            <w:noWrap/>
          </w:tcPr>
          <w:p w14:paraId="3D8A4BCD" w14:textId="77777777" w:rsidR="003E1D81" w:rsidRDefault="00EB481C">
            <w:pPr>
              <w:pStyle w:val="P68B1DB1-Normal12"/>
              <w:spacing w:after="0" w:line="240" w:lineRule="auto"/>
              <w:jc w:val="center"/>
              <w:rPr>
                <w:rFonts w:cs="Times New Roman"/>
                <w:noProof/>
              </w:rPr>
            </w:pPr>
            <w:r>
              <w:rPr>
                <w:noProof/>
              </w:rPr>
              <w:t>Cél</w:t>
            </w:r>
          </w:p>
        </w:tc>
        <w:tc>
          <w:tcPr>
            <w:tcW w:w="567" w:type="dxa"/>
            <w:shd w:val="clear" w:color="auto" w:fill="C6D9F1" w:themeFill="text2" w:themeFillTint="33"/>
            <w:noWrap/>
          </w:tcPr>
          <w:p w14:paraId="0C327E37"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00A6A508" w14:textId="77777777" w:rsidR="003E1D81" w:rsidRDefault="00EB481C">
            <w:pPr>
              <w:pStyle w:val="P68B1DB1-Normal12"/>
              <w:spacing w:after="0" w:line="240" w:lineRule="auto"/>
              <w:jc w:val="center"/>
              <w:rPr>
                <w:rFonts w:cs="Times New Roman"/>
                <w:noProof/>
              </w:rPr>
            </w:pPr>
            <w:r>
              <w:rPr>
                <w:noProof/>
              </w:rPr>
              <w:t>Éve</w:t>
            </w:r>
          </w:p>
        </w:tc>
        <w:tc>
          <w:tcPr>
            <w:tcW w:w="5217" w:type="dxa"/>
            <w:tcBorders>
              <w:top w:val="nil"/>
            </w:tcBorders>
            <w:shd w:val="clear" w:color="auto" w:fill="C6D9F1" w:themeFill="text2" w:themeFillTint="33"/>
            <w:noWrap/>
          </w:tcPr>
          <w:p w14:paraId="1DA6542E" w14:textId="77777777" w:rsidR="003E1D81" w:rsidRDefault="003E1D81">
            <w:pPr>
              <w:spacing w:after="0" w:line="240" w:lineRule="auto"/>
              <w:rPr>
                <w:rFonts w:ascii="Times New Roman" w:hAnsi="Times New Roman" w:cs="Times New Roman"/>
                <w:b/>
                <w:noProof/>
                <w:sz w:val="18"/>
              </w:rPr>
            </w:pPr>
          </w:p>
        </w:tc>
      </w:tr>
      <w:tr w:rsidR="003E1D81" w14:paraId="26963381" w14:textId="77777777">
        <w:trPr>
          <w:trHeight w:val="309"/>
        </w:trPr>
        <w:tc>
          <w:tcPr>
            <w:tcW w:w="709" w:type="dxa"/>
            <w:shd w:val="clear" w:color="auto" w:fill="C6EFCE"/>
            <w:noWrap/>
          </w:tcPr>
          <w:p w14:paraId="69F24933" w14:textId="77777777" w:rsidR="003E1D81" w:rsidRDefault="00EB481C">
            <w:pPr>
              <w:pStyle w:val="P68B1DB1-Normal13"/>
              <w:spacing w:after="0" w:line="240" w:lineRule="auto"/>
              <w:jc w:val="center"/>
              <w:rPr>
                <w:rFonts w:eastAsia="Calibri" w:cs="Times New Roman"/>
                <w:noProof/>
              </w:rPr>
            </w:pPr>
            <w:r>
              <w:rPr>
                <w:noProof/>
              </w:rPr>
              <w:t>102</w:t>
            </w:r>
          </w:p>
        </w:tc>
        <w:tc>
          <w:tcPr>
            <w:tcW w:w="851" w:type="dxa"/>
            <w:shd w:val="clear" w:color="auto" w:fill="C6EFCE"/>
            <w:noWrap/>
          </w:tcPr>
          <w:p w14:paraId="7BFFF9DE" w14:textId="77777777" w:rsidR="003E1D81" w:rsidRDefault="00EB481C">
            <w:pPr>
              <w:pStyle w:val="P68B1DB1-Normal13"/>
              <w:spacing w:after="0" w:line="240" w:lineRule="auto"/>
              <w:jc w:val="center"/>
              <w:rPr>
                <w:rFonts w:eastAsia="Calibri" w:cs="Times New Roman"/>
                <w:noProof/>
              </w:rPr>
            </w:pPr>
            <w:r>
              <w:rPr>
                <w:noProof/>
              </w:rPr>
              <w:t>C7.R1</w:t>
            </w:r>
          </w:p>
        </w:tc>
        <w:tc>
          <w:tcPr>
            <w:tcW w:w="850" w:type="dxa"/>
            <w:shd w:val="clear" w:color="auto" w:fill="C6EFCE"/>
            <w:noWrap/>
          </w:tcPr>
          <w:p w14:paraId="5F9049A3" w14:textId="77777777" w:rsidR="003E1D81" w:rsidRDefault="00EB481C">
            <w:pPr>
              <w:pStyle w:val="P68B1DB1-Normal13"/>
              <w:spacing w:after="0" w:line="240" w:lineRule="auto"/>
              <w:jc w:val="center"/>
              <w:rPr>
                <w:rFonts w:eastAsia="Calibri" w:cs="Times New Roman"/>
                <w:noProof/>
              </w:rPr>
            </w:pPr>
            <w:r>
              <w:rPr>
                <w:noProof/>
              </w:rPr>
              <w:t>M</w:t>
            </w:r>
          </w:p>
        </w:tc>
        <w:tc>
          <w:tcPr>
            <w:tcW w:w="2977" w:type="dxa"/>
            <w:shd w:val="clear" w:color="auto" w:fill="C6EFCE"/>
            <w:noWrap/>
          </w:tcPr>
          <w:p w14:paraId="0918C12D" w14:textId="77777777" w:rsidR="003E1D81" w:rsidRDefault="00EB481C">
            <w:pPr>
              <w:pStyle w:val="P68B1DB1-Normal13"/>
              <w:spacing w:after="0" w:line="240" w:lineRule="auto"/>
              <w:rPr>
                <w:rFonts w:eastAsia="Calibri" w:cs="Times New Roman"/>
                <w:noProof/>
              </w:rPr>
            </w:pPr>
            <w:r>
              <w:rPr>
                <w:noProof/>
              </w:rPr>
              <w:t>A 23/2020. sz. királyi törvényerejű rendelet hatálybalépése (energiaügyi intézkedések)</w:t>
            </w:r>
          </w:p>
        </w:tc>
        <w:tc>
          <w:tcPr>
            <w:tcW w:w="1276" w:type="dxa"/>
            <w:shd w:val="clear" w:color="auto" w:fill="C6EFCE"/>
            <w:noWrap/>
          </w:tcPr>
          <w:p w14:paraId="51A46B4C" w14:textId="77777777" w:rsidR="003E1D81" w:rsidRDefault="00EB481C">
            <w:pPr>
              <w:pStyle w:val="P68B1DB1-Normal13"/>
              <w:spacing w:after="0" w:line="240" w:lineRule="auto"/>
              <w:jc w:val="center"/>
              <w:rPr>
                <w:rFonts w:eastAsia="Calibri" w:cs="Times New Roman"/>
                <w:noProof/>
              </w:rPr>
            </w:pPr>
            <w:r>
              <w:rPr>
                <w:noProof/>
              </w:rPr>
              <w:t xml:space="preserve">A 23/2020. sz. </w:t>
            </w:r>
            <w:r>
              <w:rPr>
                <w:noProof/>
              </w:rPr>
              <w:t>királyi törvényerejű rendelet hatálybalépése</w:t>
            </w:r>
          </w:p>
        </w:tc>
        <w:tc>
          <w:tcPr>
            <w:tcW w:w="850" w:type="dxa"/>
            <w:shd w:val="clear" w:color="auto" w:fill="C6EFCE"/>
            <w:noWrap/>
          </w:tcPr>
          <w:p w14:paraId="714FDA4A"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709" w:type="dxa"/>
            <w:shd w:val="clear" w:color="auto" w:fill="C6EFCE"/>
            <w:noWrap/>
          </w:tcPr>
          <w:p w14:paraId="7B0679C1"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737" w:type="dxa"/>
            <w:shd w:val="clear" w:color="auto" w:fill="C6EFCE"/>
            <w:noWrap/>
          </w:tcPr>
          <w:p w14:paraId="637C29F4"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69FB017B" w14:textId="77777777" w:rsidR="003E1D81" w:rsidRDefault="00EB481C">
            <w:pPr>
              <w:pStyle w:val="P68B1DB1-Normal13"/>
              <w:spacing w:after="0" w:line="240" w:lineRule="auto"/>
              <w:jc w:val="center"/>
              <w:rPr>
                <w:rFonts w:eastAsia="Calibri" w:cs="Times New Roman"/>
                <w:noProof/>
              </w:rPr>
            </w:pPr>
            <w:r>
              <w:rPr>
                <w:noProof/>
              </w:rPr>
              <w:t>NEGYEDÉV</w:t>
            </w:r>
          </w:p>
        </w:tc>
        <w:tc>
          <w:tcPr>
            <w:tcW w:w="567" w:type="dxa"/>
            <w:shd w:val="clear" w:color="auto" w:fill="C6EFCE"/>
            <w:noWrap/>
          </w:tcPr>
          <w:p w14:paraId="12406FD9" w14:textId="77777777" w:rsidR="003E1D81" w:rsidRDefault="00EB481C">
            <w:pPr>
              <w:pStyle w:val="P68B1DB1-Normal13"/>
              <w:spacing w:after="0" w:line="240" w:lineRule="auto"/>
              <w:jc w:val="center"/>
              <w:rPr>
                <w:rFonts w:eastAsia="Calibri" w:cs="Times New Roman"/>
                <w:noProof/>
              </w:rPr>
            </w:pPr>
            <w:r>
              <w:rPr>
                <w:noProof/>
              </w:rPr>
              <w:t>2020</w:t>
            </w:r>
          </w:p>
        </w:tc>
        <w:tc>
          <w:tcPr>
            <w:tcW w:w="5217" w:type="dxa"/>
            <w:shd w:val="clear" w:color="auto" w:fill="C6EFCE"/>
            <w:noWrap/>
          </w:tcPr>
          <w:p w14:paraId="346A3E69" w14:textId="77777777" w:rsidR="003E1D81" w:rsidRDefault="00EB481C">
            <w:pPr>
              <w:pStyle w:val="P68B1DB1-Normal13"/>
              <w:spacing w:after="0" w:line="240" w:lineRule="auto"/>
              <w:rPr>
                <w:rFonts w:eastAsia="Calibri" w:cs="Times New Roman"/>
                <w:noProof/>
              </w:rPr>
            </w:pPr>
            <w:r>
              <w:rPr>
                <w:noProof/>
              </w:rPr>
              <w:t xml:space="preserve">A 23/2020. sz. királyi törvényerejű rendelet olyan energetikai intézkedéseket hagy jóvá, amelyek célja egy új aukciós rendszer jogalapjának meghatározása, az energiaágazat új résztvevőinek, </w:t>
            </w:r>
            <w:r>
              <w:rPr>
                <w:noProof/>
              </w:rPr>
              <w:t>például a független aggregátoroknak és a megújulóenergia-közösségeknek a meghatározása, valamint a hozzáférési és csatlakozási engedélyek ésszerűsítéséhez való hozzájárulás</w:t>
            </w:r>
          </w:p>
        </w:tc>
      </w:tr>
      <w:tr w:rsidR="003E1D81" w14:paraId="63DBD210" w14:textId="77777777">
        <w:trPr>
          <w:trHeight w:val="309"/>
        </w:trPr>
        <w:tc>
          <w:tcPr>
            <w:tcW w:w="709" w:type="dxa"/>
            <w:shd w:val="clear" w:color="auto" w:fill="C6EFCE"/>
            <w:noWrap/>
          </w:tcPr>
          <w:p w14:paraId="49FB466E" w14:textId="77777777" w:rsidR="003E1D81" w:rsidRDefault="00EB481C">
            <w:pPr>
              <w:pStyle w:val="P68B1DB1-Normal13"/>
              <w:spacing w:after="0" w:line="240" w:lineRule="auto"/>
              <w:jc w:val="center"/>
              <w:rPr>
                <w:rFonts w:eastAsia="Calibri" w:cs="Times New Roman"/>
                <w:noProof/>
              </w:rPr>
            </w:pPr>
            <w:r>
              <w:rPr>
                <w:noProof/>
              </w:rPr>
              <w:t>103</w:t>
            </w:r>
          </w:p>
        </w:tc>
        <w:tc>
          <w:tcPr>
            <w:tcW w:w="851" w:type="dxa"/>
            <w:shd w:val="clear" w:color="auto" w:fill="C6EFCE"/>
            <w:noWrap/>
          </w:tcPr>
          <w:p w14:paraId="01286CF5" w14:textId="77777777" w:rsidR="003E1D81" w:rsidRDefault="00EB481C">
            <w:pPr>
              <w:pStyle w:val="P68B1DB1-Normal13"/>
              <w:spacing w:after="0" w:line="240" w:lineRule="auto"/>
              <w:jc w:val="center"/>
              <w:rPr>
                <w:rFonts w:eastAsia="Calibri" w:cs="Times New Roman"/>
                <w:noProof/>
              </w:rPr>
            </w:pPr>
            <w:r>
              <w:rPr>
                <w:noProof/>
              </w:rPr>
              <w:t>C7.R1</w:t>
            </w:r>
          </w:p>
        </w:tc>
        <w:tc>
          <w:tcPr>
            <w:tcW w:w="850" w:type="dxa"/>
            <w:shd w:val="clear" w:color="auto" w:fill="C6EFCE"/>
            <w:noWrap/>
          </w:tcPr>
          <w:p w14:paraId="765D4946" w14:textId="77777777" w:rsidR="003E1D81" w:rsidRDefault="00EB481C">
            <w:pPr>
              <w:pStyle w:val="P68B1DB1-Normal13"/>
              <w:spacing w:after="0" w:line="240" w:lineRule="auto"/>
              <w:jc w:val="center"/>
              <w:rPr>
                <w:rFonts w:eastAsia="Calibri" w:cs="Times New Roman"/>
                <w:noProof/>
              </w:rPr>
            </w:pPr>
            <w:r>
              <w:rPr>
                <w:noProof/>
              </w:rPr>
              <w:t>M</w:t>
            </w:r>
          </w:p>
        </w:tc>
        <w:tc>
          <w:tcPr>
            <w:tcW w:w="2977" w:type="dxa"/>
            <w:shd w:val="clear" w:color="auto" w:fill="C6EFCE"/>
            <w:noWrap/>
          </w:tcPr>
          <w:p w14:paraId="409437D4" w14:textId="77777777" w:rsidR="003E1D81" w:rsidRDefault="00EB481C">
            <w:pPr>
              <w:pStyle w:val="P68B1DB1-Normal13"/>
              <w:spacing w:after="0" w:line="240" w:lineRule="auto"/>
              <w:rPr>
                <w:rFonts w:eastAsia="Calibri" w:cs="Times New Roman"/>
                <w:noProof/>
              </w:rPr>
            </w:pPr>
            <w:r>
              <w:rPr>
                <w:noProof/>
              </w:rPr>
              <w:t xml:space="preserve">A 960/2020. sz. királyi rendelet (a megújuló energiára vonatkozó </w:t>
            </w:r>
            <w:r>
              <w:rPr>
                <w:noProof/>
              </w:rPr>
              <w:t>gazdasági rendszer) hatálybalépése</w:t>
            </w:r>
          </w:p>
        </w:tc>
        <w:tc>
          <w:tcPr>
            <w:tcW w:w="1276" w:type="dxa"/>
            <w:shd w:val="clear" w:color="auto" w:fill="C6EFCE"/>
            <w:noWrap/>
          </w:tcPr>
          <w:p w14:paraId="01B679B0" w14:textId="77777777" w:rsidR="003E1D81" w:rsidRDefault="00EB481C">
            <w:pPr>
              <w:pStyle w:val="P68B1DB1-Normal13"/>
              <w:spacing w:after="0" w:line="240" w:lineRule="auto"/>
              <w:jc w:val="center"/>
              <w:rPr>
                <w:rFonts w:eastAsia="Calibri" w:cs="Times New Roman"/>
                <w:noProof/>
              </w:rPr>
            </w:pPr>
            <w:r>
              <w:rPr>
                <w:noProof/>
              </w:rPr>
              <w:t xml:space="preserve">A 960/2020. sz. királyi rendelet hatálybalépése </w:t>
            </w:r>
          </w:p>
        </w:tc>
        <w:tc>
          <w:tcPr>
            <w:tcW w:w="850" w:type="dxa"/>
            <w:shd w:val="clear" w:color="auto" w:fill="C6EFCE"/>
            <w:noWrap/>
          </w:tcPr>
          <w:p w14:paraId="7913A28A"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709" w:type="dxa"/>
            <w:shd w:val="clear" w:color="auto" w:fill="C6EFCE"/>
            <w:noWrap/>
          </w:tcPr>
          <w:p w14:paraId="2F0EC2E1"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737" w:type="dxa"/>
            <w:shd w:val="clear" w:color="auto" w:fill="C6EFCE"/>
            <w:noWrap/>
          </w:tcPr>
          <w:p w14:paraId="1B642F88" w14:textId="77777777" w:rsidR="003E1D81" w:rsidRDefault="00EB481C">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791A9D45" w14:textId="77777777" w:rsidR="003E1D81" w:rsidRDefault="00EB481C">
            <w:pPr>
              <w:pStyle w:val="P68B1DB1-Normal13"/>
              <w:spacing w:after="0" w:line="240" w:lineRule="auto"/>
              <w:jc w:val="center"/>
              <w:rPr>
                <w:rFonts w:eastAsia="Calibri" w:cs="Times New Roman"/>
                <w:noProof/>
              </w:rPr>
            </w:pPr>
            <w:r>
              <w:rPr>
                <w:noProof/>
              </w:rPr>
              <w:t>NEGYEDÉV</w:t>
            </w:r>
          </w:p>
        </w:tc>
        <w:tc>
          <w:tcPr>
            <w:tcW w:w="567" w:type="dxa"/>
            <w:shd w:val="clear" w:color="auto" w:fill="C6EFCE"/>
            <w:noWrap/>
          </w:tcPr>
          <w:p w14:paraId="0D42C9D5" w14:textId="77777777" w:rsidR="003E1D81" w:rsidRDefault="00EB481C">
            <w:pPr>
              <w:pStyle w:val="P68B1DB1-Normal13"/>
              <w:spacing w:after="0" w:line="240" w:lineRule="auto"/>
              <w:jc w:val="center"/>
              <w:rPr>
                <w:rFonts w:eastAsia="Calibri" w:cs="Times New Roman"/>
                <w:noProof/>
              </w:rPr>
            </w:pPr>
            <w:r>
              <w:rPr>
                <w:noProof/>
              </w:rPr>
              <w:t>2020</w:t>
            </w:r>
          </w:p>
        </w:tc>
        <w:tc>
          <w:tcPr>
            <w:tcW w:w="5217" w:type="dxa"/>
            <w:shd w:val="clear" w:color="auto" w:fill="C6EFCE"/>
            <w:noWrap/>
          </w:tcPr>
          <w:p w14:paraId="0B5BED5E" w14:textId="77777777" w:rsidR="003E1D81" w:rsidRDefault="00EB481C">
            <w:pPr>
              <w:pStyle w:val="P68B1DB1-Normal13"/>
              <w:spacing w:after="0" w:line="240" w:lineRule="auto"/>
              <w:rPr>
                <w:rFonts w:eastAsia="Calibri" w:cs="Times New Roman"/>
                <w:noProof/>
              </w:rPr>
            </w:pPr>
            <w:r>
              <w:rPr>
                <w:noProof/>
              </w:rPr>
              <w:t>A 960/2020. sz. királyi rendelet szabályozza a megújuló energia gazdasági rendszerét</w:t>
            </w:r>
          </w:p>
        </w:tc>
      </w:tr>
      <w:tr w:rsidR="003E1D81" w14:paraId="15FC492C" w14:textId="77777777">
        <w:trPr>
          <w:trHeight w:val="309"/>
        </w:trPr>
        <w:tc>
          <w:tcPr>
            <w:tcW w:w="709" w:type="dxa"/>
            <w:shd w:val="clear" w:color="auto" w:fill="C6EFCE"/>
            <w:noWrap/>
          </w:tcPr>
          <w:p w14:paraId="0F3167D2" w14:textId="77777777" w:rsidR="003E1D81" w:rsidRDefault="00EB481C">
            <w:pPr>
              <w:pStyle w:val="P68B1DB1-Normal13"/>
              <w:spacing w:after="0" w:line="240" w:lineRule="auto"/>
              <w:jc w:val="center"/>
              <w:rPr>
                <w:rFonts w:eastAsia="Calibri" w:cs="Times New Roman"/>
                <w:noProof/>
              </w:rPr>
            </w:pPr>
            <w:r>
              <w:rPr>
                <w:noProof/>
              </w:rPr>
              <w:t>104</w:t>
            </w:r>
          </w:p>
        </w:tc>
        <w:tc>
          <w:tcPr>
            <w:tcW w:w="851" w:type="dxa"/>
            <w:shd w:val="clear" w:color="auto" w:fill="C6EFCE"/>
            <w:noWrap/>
          </w:tcPr>
          <w:p w14:paraId="4A127E87" w14:textId="77777777" w:rsidR="003E1D81" w:rsidRDefault="00EB481C">
            <w:pPr>
              <w:pStyle w:val="P68B1DB1-Normal13"/>
              <w:spacing w:after="0" w:line="240" w:lineRule="auto"/>
              <w:jc w:val="center"/>
              <w:rPr>
                <w:rFonts w:eastAsia="Calibri" w:cs="Times New Roman"/>
                <w:noProof/>
              </w:rPr>
            </w:pPr>
            <w:r>
              <w:rPr>
                <w:noProof/>
              </w:rPr>
              <w:t>C7.R1</w:t>
            </w:r>
          </w:p>
        </w:tc>
        <w:tc>
          <w:tcPr>
            <w:tcW w:w="850" w:type="dxa"/>
            <w:shd w:val="clear" w:color="auto" w:fill="C6EFCE"/>
            <w:noWrap/>
          </w:tcPr>
          <w:p w14:paraId="05C89D75" w14:textId="77777777" w:rsidR="003E1D81" w:rsidRDefault="00EB481C">
            <w:pPr>
              <w:pStyle w:val="P68B1DB1-Normal13"/>
              <w:spacing w:after="0" w:line="240" w:lineRule="auto"/>
              <w:jc w:val="center"/>
              <w:rPr>
                <w:rFonts w:eastAsia="Calibri" w:cs="Times New Roman"/>
                <w:noProof/>
              </w:rPr>
            </w:pPr>
            <w:r>
              <w:rPr>
                <w:noProof/>
              </w:rPr>
              <w:t>M</w:t>
            </w:r>
          </w:p>
        </w:tc>
        <w:tc>
          <w:tcPr>
            <w:tcW w:w="2977" w:type="dxa"/>
            <w:shd w:val="clear" w:color="auto" w:fill="C6EFCE"/>
            <w:noWrap/>
          </w:tcPr>
          <w:p w14:paraId="69548247" w14:textId="77777777" w:rsidR="003E1D81" w:rsidRDefault="00EB481C">
            <w:pPr>
              <w:pStyle w:val="P68B1DB1-Normal13"/>
              <w:spacing w:after="0" w:line="240" w:lineRule="auto"/>
              <w:rPr>
                <w:rFonts w:eastAsia="Calibri" w:cs="Times New Roman"/>
                <w:noProof/>
              </w:rPr>
            </w:pPr>
            <w:r>
              <w:rPr>
                <w:noProof/>
              </w:rPr>
              <w:t xml:space="preserve">Az 1183/2020. sz. királyi rendelet hatálybalépése (a </w:t>
            </w:r>
            <w:r>
              <w:rPr>
                <w:noProof/>
              </w:rPr>
              <w:t>megújuló energiaforrások villamosenergia-hálózathoz való csatlakoztatása)</w:t>
            </w:r>
          </w:p>
        </w:tc>
        <w:tc>
          <w:tcPr>
            <w:tcW w:w="1276" w:type="dxa"/>
            <w:shd w:val="clear" w:color="auto" w:fill="C6EFCE"/>
            <w:noWrap/>
          </w:tcPr>
          <w:p w14:paraId="22819967" w14:textId="77777777" w:rsidR="003E1D81" w:rsidRDefault="00EB481C">
            <w:pPr>
              <w:pStyle w:val="P68B1DB1-Normal13"/>
              <w:spacing w:after="0" w:line="240" w:lineRule="auto"/>
              <w:jc w:val="center"/>
              <w:rPr>
                <w:rFonts w:eastAsia="Calibri" w:cs="Times New Roman"/>
                <w:noProof/>
              </w:rPr>
            </w:pPr>
            <w:r>
              <w:rPr>
                <w:noProof/>
              </w:rPr>
              <w:t>A hatálybalépésről szóló 1183/2020. sz. királyi rendelet rendelkezése</w:t>
            </w:r>
          </w:p>
        </w:tc>
        <w:tc>
          <w:tcPr>
            <w:tcW w:w="850" w:type="dxa"/>
            <w:shd w:val="clear" w:color="auto" w:fill="C6EFCE"/>
            <w:noWrap/>
          </w:tcPr>
          <w:p w14:paraId="35847AC3"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709" w:type="dxa"/>
            <w:shd w:val="clear" w:color="auto" w:fill="C6EFCE"/>
            <w:noWrap/>
          </w:tcPr>
          <w:p w14:paraId="2F1B62F3"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737" w:type="dxa"/>
            <w:shd w:val="clear" w:color="auto" w:fill="C6EFCE"/>
            <w:noWrap/>
          </w:tcPr>
          <w:p w14:paraId="26E74E7B"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2A9AACBE"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3E9589A3" w14:textId="77777777" w:rsidR="003E1D81" w:rsidRDefault="00EB481C">
            <w:pPr>
              <w:pStyle w:val="P68B1DB1-Normal13"/>
              <w:spacing w:after="0" w:line="240" w:lineRule="auto"/>
              <w:jc w:val="center"/>
              <w:rPr>
                <w:rFonts w:eastAsia="Symbol" w:cs="Times New Roman"/>
                <w:noProof/>
              </w:rPr>
            </w:pPr>
            <w:r>
              <w:rPr>
                <w:noProof/>
              </w:rPr>
              <w:t>2020</w:t>
            </w:r>
          </w:p>
        </w:tc>
        <w:tc>
          <w:tcPr>
            <w:tcW w:w="5217" w:type="dxa"/>
            <w:shd w:val="clear" w:color="auto" w:fill="C6EFCE"/>
            <w:noWrap/>
          </w:tcPr>
          <w:p w14:paraId="470396B6" w14:textId="77777777" w:rsidR="003E1D81" w:rsidRDefault="00EB481C">
            <w:pPr>
              <w:pStyle w:val="P68B1DB1-Normal13"/>
              <w:spacing w:after="0" w:line="240" w:lineRule="auto"/>
              <w:rPr>
                <w:rFonts w:eastAsia="Symbol" w:cs="Times New Roman"/>
                <w:noProof/>
              </w:rPr>
            </w:pPr>
            <w:r>
              <w:rPr>
                <w:noProof/>
              </w:rPr>
              <w:t>Az 1183/2020. sz. királyi rendelet szabályozza a hibridizációt, valamint a megújuló energiaf</w:t>
            </w:r>
            <w:r>
              <w:rPr>
                <w:noProof/>
              </w:rPr>
              <w:t>orrások villamosenergia-hálózathoz való hozzáférésének és csatlakoztatásának elrendelését.</w:t>
            </w:r>
          </w:p>
        </w:tc>
      </w:tr>
      <w:tr w:rsidR="003E1D81" w14:paraId="142D8E94" w14:textId="77777777">
        <w:trPr>
          <w:trHeight w:val="309"/>
        </w:trPr>
        <w:tc>
          <w:tcPr>
            <w:tcW w:w="709" w:type="dxa"/>
            <w:shd w:val="clear" w:color="auto" w:fill="C6EFCE"/>
            <w:noWrap/>
          </w:tcPr>
          <w:p w14:paraId="7A8958E4" w14:textId="77777777" w:rsidR="003E1D81" w:rsidRDefault="00EB481C">
            <w:pPr>
              <w:pStyle w:val="P68B1DB1-Normal13"/>
              <w:spacing w:after="0" w:line="240" w:lineRule="auto"/>
              <w:jc w:val="center"/>
              <w:rPr>
                <w:rFonts w:eastAsia="Symbol" w:cs="Times New Roman"/>
                <w:noProof/>
              </w:rPr>
            </w:pPr>
            <w:r>
              <w:rPr>
                <w:noProof/>
              </w:rPr>
              <w:t>105</w:t>
            </w:r>
          </w:p>
        </w:tc>
        <w:tc>
          <w:tcPr>
            <w:tcW w:w="851" w:type="dxa"/>
            <w:shd w:val="clear" w:color="auto" w:fill="C6EFCE"/>
            <w:noWrap/>
          </w:tcPr>
          <w:p w14:paraId="17E4B06D" w14:textId="77777777" w:rsidR="003E1D81" w:rsidRDefault="00EB481C">
            <w:pPr>
              <w:pStyle w:val="P68B1DB1-Normal13"/>
              <w:spacing w:after="0" w:line="240" w:lineRule="auto"/>
              <w:jc w:val="center"/>
              <w:rPr>
                <w:rFonts w:eastAsia="Symbol" w:cs="Times New Roman"/>
                <w:noProof/>
              </w:rPr>
            </w:pPr>
            <w:r>
              <w:rPr>
                <w:noProof/>
              </w:rPr>
              <w:t>C7.R1</w:t>
            </w:r>
          </w:p>
        </w:tc>
        <w:tc>
          <w:tcPr>
            <w:tcW w:w="850" w:type="dxa"/>
            <w:shd w:val="clear" w:color="auto" w:fill="C6EFCE"/>
            <w:noWrap/>
          </w:tcPr>
          <w:p w14:paraId="4381807A" w14:textId="77777777" w:rsidR="003E1D81" w:rsidRDefault="00EB481C">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65BB656F" w14:textId="77777777" w:rsidR="003E1D81" w:rsidRDefault="00EB481C">
            <w:pPr>
              <w:pStyle w:val="P68B1DB1-Normal13"/>
              <w:spacing w:after="0" w:line="240" w:lineRule="auto"/>
              <w:rPr>
                <w:rFonts w:eastAsia="Symbol" w:cs="Times New Roman"/>
                <w:noProof/>
              </w:rPr>
            </w:pPr>
            <w:r>
              <w:rPr>
                <w:noProof/>
              </w:rPr>
              <w:t xml:space="preserve">Az éghajlatváltozásról és az energetikai átállásról szóló törvény hatálybalépése </w:t>
            </w:r>
          </w:p>
        </w:tc>
        <w:tc>
          <w:tcPr>
            <w:tcW w:w="1276" w:type="dxa"/>
            <w:shd w:val="clear" w:color="auto" w:fill="C6EFCE"/>
            <w:noWrap/>
          </w:tcPr>
          <w:p w14:paraId="342B54EB" w14:textId="77777777" w:rsidR="003E1D81" w:rsidRDefault="00EB481C">
            <w:pPr>
              <w:pStyle w:val="P68B1DB1-Normal13"/>
              <w:spacing w:after="0" w:line="240" w:lineRule="auto"/>
              <w:jc w:val="center"/>
              <w:rPr>
                <w:rFonts w:eastAsia="Symbol" w:cs="Times New Roman"/>
                <w:noProof/>
              </w:rPr>
            </w:pPr>
            <w:r>
              <w:rPr>
                <w:noProof/>
              </w:rPr>
              <w:t xml:space="preserve">Az éghajlatváltozásról és az energetikai átállásról szóló törvény hatálybalépésére vonatkozó rendelkezés </w:t>
            </w:r>
          </w:p>
        </w:tc>
        <w:tc>
          <w:tcPr>
            <w:tcW w:w="850" w:type="dxa"/>
            <w:shd w:val="clear" w:color="auto" w:fill="C6EFCE"/>
            <w:noWrap/>
          </w:tcPr>
          <w:p w14:paraId="40612A33"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709" w:type="dxa"/>
            <w:shd w:val="clear" w:color="auto" w:fill="C6EFCE"/>
            <w:noWrap/>
          </w:tcPr>
          <w:p w14:paraId="7E728875"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737" w:type="dxa"/>
            <w:shd w:val="clear" w:color="auto" w:fill="C6EFCE"/>
            <w:noWrap/>
          </w:tcPr>
          <w:p w14:paraId="57E04963"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19FB8615" w14:textId="77777777" w:rsidR="003E1D81" w:rsidRDefault="00EB481C">
            <w:pPr>
              <w:pStyle w:val="P68B1DB1-Normal13"/>
              <w:spacing w:after="0" w:line="240" w:lineRule="auto"/>
              <w:jc w:val="center"/>
              <w:rPr>
                <w:rFonts w:eastAsia="Symbol" w:cs="Times New Roman"/>
                <w:noProof/>
              </w:rPr>
            </w:pPr>
            <w:r>
              <w:rPr>
                <w:noProof/>
              </w:rPr>
              <w:t>KÉRDÉS</w:t>
            </w:r>
          </w:p>
        </w:tc>
        <w:tc>
          <w:tcPr>
            <w:tcW w:w="567" w:type="dxa"/>
            <w:shd w:val="clear" w:color="auto" w:fill="C6EFCE"/>
            <w:noWrap/>
          </w:tcPr>
          <w:p w14:paraId="03E6644A" w14:textId="77777777" w:rsidR="003E1D81" w:rsidRDefault="00EB481C">
            <w:pPr>
              <w:pStyle w:val="P68B1DB1-Normal13"/>
              <w:spacing w:after="0" w:line="240" w:lineRule="auto"/>
              <w:jc w:val="center"/>
              <w:rPr>
                <w:rFonts w:eastAsia="Symbol" w:cs="Times New Roman"/>
                <w:noProof/>
              </w:rPr>
            </w:pPr>
            <w:r>
              <w:rPr>
                <w:noProof/>
              </w:rPr>
              <w:t>2021</w:t>
            </w:r>
          </w:p>
        </w:tc>
        <w:tc>
          <w:tcPr>
            <w:tcW w:w="5217" w:type="dxa"/>
            <w:shd w:val="clear" w:color="auto" w:fill="C6EFCE"/>
            <w:noWrap/>
          </w:tcPr>
          <w:p w14:paraId="36E39784" w14:textId="77777777" w:rsidR="003E1D81" w:rsidRDefault="00EB481C">
            <w:pPr>
              <w:pStyle w:val="P68B1DB1-Normal13"/>
              <w:spacing w:after="0" w:line="240" w:lineRule="auto"/>
              <w:rPr>
                <w:rFonts w:eastAsia="Symbol" w:cs="Times New Roman"/>
                <w:noProof/>
              </w:rPr>
            </w:pPr>
            <w:r>
              <w:rPr>
                <w:noProof/>
              </w:rPr>
              <w:t>Az éghajlatváltozásról és az energetikai átállásról szóló törvény alternatív szabályozási stabilitást biztosít a megújuló erőforráso</w:t>
            </w:r>
            <w:r>
              <w:rPr>
                <w:noProof/>
              </w:rPr>
              <w:t>k fejlesztése, az adminisztratív akadályok csökkentése és a közszolgáltatási töltőállomások üzembe helyezésére vonatkozó minimumkövetelmények mellett</w:t>
            </w:r>
          </w:p>
        </w:tc>
      </w:tr>
      <w:tr w:rsidR="003E1D81" w14:paraId="7F384457" w14:textId="77777777">
        <w:trPr>
          <w:trHeight w:val="309"/>
        </w:trPr>
        <w:tc>
          <w:tcPr>
            <w:tcW w:w="709" w:type="dxa"/>
            <w:shd w:val="clear" w:color="auto" w:fill="C6EFCE"/>
            <w:noWrap/>
          </w:tcPr>
          <w:p w14:paraId="30CBA9E8" w14:textId="77777777" w:rsidR="003E1D81" w:rsidRDefault="00EB481C">
            <w:pPr>
              <w:pStyle w:val="P68B1DB1-Normal13"/>
              <w:spacing w:after="0" w:line="240" w:lineRule="auto"/>
              <w:jc w:val="center"/>
              <w:rPr>
                <w:rFonts w:eastAsia="Symbol" w:cs="Times New Roman"/>
                <w:noProof/>
              </w:rPr>
            </w:pPr>
            <w:r>
              <w:rPr>
                <w:noProof/>
              </w:rPr>
              <w:t>106</w:t>
            </w:r>
          </w:p>
        </w:tc>
        <w:tc>
          <w:tcPr>
            <w:tcW w:w="851" w:type="dxa"/>
            <w:shd w:val="clear" w:color="auto" w:fill="C6EFCE"/>
            <w:noWrap/>
          </w:tcPr>
          <w:p w14:paraId="4A649FD6" w14:textId="77777777" w:rsidR="003E1D81" w:rsidRDefault="00EB481C">
            <w:pPr>
              <w:pStyle w:val="P68B1DB1-Normal13"/>
              <w:spacing w:after="0" w:line="240" w:lineRule="auto"/>
              <w:jc w:val="center"/>
              <w:rPr>
                <w:rFonts w:eastAsia="Symbol" w:cs="Times New Roman"/>
                <w:noProof/>
              </w:rPr>
            </w:pPr>
            <w:r>
              <w:rPr>
                <w:noProof/>
              </w:rPr>
              <w:t>C7.R1</w:t>
            </w:r>
          </w:p>
        </w:tc>
        <w:tc>
          <w:tcPr>
            <w:tcW w:w="850" w:type="dxa"/>
            <w:shd w:val="clear" w:color="auto" w:fill="C6EFCE"/>
            <w:noWrap/>
          </w:tcPr>
          <w:p w14:paraId="62FA7435" w14:textId="77777777" w:rsidR="003E1D81" w:rsidRDefault="00EB481C">
            <w:pPr>
              <w:pStyle w:val="P68B1DB1-Normal13"/>
              <w:spacing w:after="0" w:line="240" w:lineRule="auto"/>
              <w:jc w:val="center"/>
              <w:rPr>
                <w:rFonts w:eastAsia="Symbol" w:cs="Times New Roman"/>
                <w:noProof/>
              </w:rPr>
            </w:pPr>
            <w:r>
              <w:rPr>
                <w:noProof/>
              </w:rPr>
              <w:t>T</w:t>
            </w:r>
          </w:p>
        </w:tc>
        <w:tc>
          <w:tcPr>
            <w:tcW w:w="2977" w:type="dxa"/>
            <w:shd w:val="clear" w:color="auto" w:fill="C6EFCE"/>
            <w:noWrap/>
          </w:tcPr>
          <w:p w14:paraId="102B9A1A" w14:textId="77777777" w:rsidR="003E1D81" w:rsidRDefault="00EB481C">
            <w:pPr>
              <w:pStyle w:val="P68B1DB1-Normal13"/>
              <w:spacing w:after="0" w:line="240" w:lineRule="auto"/>
              <w:rPr>
                <w:rFonts w:eastAsia="Symbol" w:cs="Times New Roman"/>
                <w:noProof/>
              </w:rPr>
            </w:pPr>
            <w:r>
              <w:rPr>
                <w:noProof/>
              </w:rPr>
              <w:t xml:space="preserve">További megújulóenergia-termelési kapacitás </w:t>
            </w:r>
          </w:p>
        </w:tc>
        <w:tc>
          <w:tcPr>
            <w:tcW w:w="1276" w:type="dxa"/>
            <w:shd w:val="clear" w:color="auto" w:fill="C6EFCE"/>
            <w:noWrap/>
          </w:tcPr>
          <w:p w14:paraId="09D9AC6E" w14:textId="77777777" w:rsidR="003E1D81" w:rsidRDefault="00EB481C">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3352E0E4" w14:textId="77777777" w:rsidR="003E1D81" w:rsidRDefault="00EB481C">
            <w:pPr>
              <w:pStyle w:val="P68B1DB1-Normal13"/>
              <w:spacing w:after="0" w:line="240" w:lineRule="auto"/>
              <w:jc w:val="center"/>
              <w:rPr>
                <w:rFonts w:eastAsia="Symbol" w:cs="Times New Roman"/>
                <w:noProof/>
              </w:rPr>
            </w:pPr>
            <w:r>
              <w:rPr>
                <w:noProof/>
              </w:rPr>
              <w:t>Szám (MW)</w:t>
            </w:r>
          </w:p>
        </w:tc>
        <w:tc>
          <w:tcPr>
            <w:tcW w:w="709" w:type="dxa"/>
            <w:shd w:val="clear" w:color="auto" w:fill="C6EFCE"/>
            <w:noWrap/>
          </w:tcPr>
          <w:p w14:paraId="486DD9CC" w14:textId="77777777" w:rsidR="003E1D81" w:rsidRDefault="00EB481C">
            <w:pPr>
              <w:pStyle w:val="P68B1DB1-Normal13"/>
              <w:spacing w:after="0" w:line="240" w:lineRule="auto"/>
              <w:jc w:val="center"/>
              <w:rPr>
                <w:rFonts w:eastAsia="Symbol" w:cs="Times New Roman"/>
                <w:noProof/>
              </w:rPr>
            </w:pPr>
            <w:r>
              <w:rPr>
                <w:noProof/>
              </w:rPr>
              <w:t>0</w:t>
            </w:r>
          </w:p>
        </w:tc>
        <w:tc>
          <w:tcPr>
            <w:tcW w:w="737" w:type="dxa"/>
            <w:shd w:val="clear" w:color="auto" w:fill="C6EFCE"/>
            <w:noWrap/>
          </w:tcPr>
          <w:p w14:paraId="7B685F59" w14:textId="77777777" w:rsidR="003E1D81" w:rsidRDefault="00EB481C">
            <w:pPr>
              <w:pStyle w:val="P68B1DB1-Normal13"/>
              <w:spacing w:after="0" w:line="240" w:lineRule="auto"/>
              <w:jc w:val="center"/>
              <w:rPr>
                <w:rFonts w:eastAsia="Symbol" w:cs="Times New Roman"/>
                <w:noProof/>
              </w:rPr>
            </w:pPr>
            <w:r>
              <w:rPr>
                <w:noProof/>
              </w:rPr>
              <w:t>8 500</w:t>
            </w:r>
          </w:p>
        </w:tc>
        <w:tc>
          <w:tcPr>
            <w:tcW w:w="567" w:type="dxa"/>
            <w:shd w:val="clear" w:color="auto" w:fill="C6EFCE"/>
            <w:noWrap/>
          </w:tcPr>
          <w:p w14:paraId="5F4F02C7"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6C9F1CE5" w14:textId="77777777" w:rsidR="003E1D81" w:rsidRDefault="00EB481C">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6524BBCC" w14:textId="77777777" w:rsidR="003E1D81" w:rsidRDefault="00EB481C">
            <w:pPr>
              <w:pStyle w:val="P68B1DB1-Normal13"/>
              <w:spacing w:after="0" w:line="240" w:lineRule="auto"/>
              <w:rPr>
                <w:rFonts w:eastAsia="Symbol" w:cs="Times New Roman"/>
                <w:noProof/>
              </w:rPr>
            </w:pPr>
            <w:r>
              <w:rPr>
                <w:noProof/>
              </w:rPr>
              <w:t>Halmozott kiegészítő termelési kapacitás a C7.R1 reformban foglalt új támogató jogszabályi keret (beleértve a 960/2020. sz. határozattal létrehozott aukciós mechanizmust, a hozzáférési és csatlakozási engedélyekről, valamint a hibridizációról szóló új rend</w:t>
            </w:r>
            <w:r>
              <w:rPr>
                <w:noProof/>
              </w:rPr>
              <w:t xml:space="preserve">eletet) keretében támogatott megújuló energia tekintetében: legalább 8 500 MW-ot ítéltek oda </w:t>
            </w:r>
          </w:p>
        </w:tc>
      </w:tr>
      <w:tr w:rsidR="003E1D81" w14:paraId="36A95F07" w14:textId="77777777">
        <w:trPr>
          <w:trHeight w:val="309"/>
        </w:trPr>
        <w:tc>
          <w:tcPr>
            <w:tcW w:w="709" w:type="dxa"/>
            <w:shd w:val="clear" w:color="auto" w:fill="C6EFCE"/>
            <w:noWrap/>
          </w:tcPr>
          <w:p w14:paraId="4C3C3ED4" w14:textId="77777777" w:rsidR="003E1D81" w:rsidRDefault="00EB481C">
            <w:pPr>
              <w:pStyle w:val="P68B1DB1-Normal13"/>
              <w:spacing w:after="0" w:line="240" w:lineRule="auto"/>
              <w:jc w:val="center"/>
              <w:rPr>
                <w:rFonts w:eastAsia="Symbol" w:cs="Times New Roman"/>
                <w:noProof/>
              </w:rPr>
            </w:pPr>
            <w:r>
              <w:rPr>
                <w:noProof/>
              </w:rPr>
              <w:t>107</w:t>
            </w:r>
          </w:p>
        </w:tc>
        <w:tc>
          <w:tcPr>
            <w:tcW w:w="851" w:type="dxa"/>
            <w:shd w:val="clear" w:color="auto" w:fill="C6EFCE"/>
            <w:noWrap/>
          </w:tcPr>
          <w:p w14:paraId="78AAB5D7" w14:textId="77777777" w:rsidR="003E1D81" w:rsidRDefault="00EB481C">
            <w:pPr>
              <w:pStyle w:val="P68B1DB1-Normal13"/>
              <w:spacing w:after="0" w:line="240" w:lineRule="auto"/>
              <w:jc w:val="center"/>
              <w:rPr>
                <w:rFonts w:eastAsia="Symbol" w:cs="Times New Roman"/>
                <w:noProof/>
              </w:rPr>
            </w:pPr>
            <w:r>
              <w:rPr>
                <w:noProof/>
              </w:rPr>
              <w:t>C7.R1</w:t>
            </w:r>
          </w:p>
        </w:tc>
        <w:tc>
          <w:tcPr>
            <w:tcW w:w="850" w:type="dxa"/>
            <w:shd w:val="clear" w:color="auto" w:fill="C6EFCE"/>
            <w:noWrap/>
          </w:tcPr>
          <w:p w14:paraId="6FCEBF26" w14:textId="77777777" w:rsidR="003E1D81" w:rsidRDefault="00EB481C">
            <w:pPr>
              <w:pStyle w:val="P68B1DB1-Normal13"/>
              <w:spacing w:after="0" w:line="240" w:lineRule="auto"/>
              <w:jc w:val="center"/>
              <w:rPr>
                <w:rFonts w:eastAsia="Symbol" w:cs="Times New Roman"/>
                <w:noProof/>
              </w:rPr>
            </w:pPr>
            <w:r>
              <w:rPr>
                <w:noProof/>
              </w:rPr>
              <w:t>T</w:t>
            </w:r>
          </w:p>
        </w:tc>
        <w:tc>
          <w:tcPr>
            <w:tcW w:w="2977" w:type="dxa"/>
            <w:shd w:val="clear" w:color="auto" w:fill="C6EFCE"/>
            <w:noWrap/>
          </w:tcPr>
          <w:p w14:paraId="49689A7A" w14:textId="77777777" w:rsidR="003E1D81" w:rsidRDefault="00EB481C">
            <w:pPr>
              <w:pStyle w:val="P68B1DB1-Normal13"/>
              <w:spacing w:after="0" w:line="240" w:lineRule="auto"/>
              <w:rPr>
                <w:rFonts w:eastAsia="Symbol" w:cs="Times New Roman"/>
                <w:noProof/>
              </w:rPr>
            </w:pPr>
            <w:r>
              <w:rPr>
                <w:noProof/>
              </w:rPr>
              <w:t xml:space="preserve">A Spanyolországban telepített összesített további megújulóenergia-kapacitás </w:t>
            </w:r>
          </w:p>
        </w:tc>
        <w:tc>
          <w:tcPr>
            <w:tcW w:w="1276" w:type="dxa"/>
            <w:shd w:val="clear" w:color="auto" w:fill="C6EFCE"/>
            <w:noWrap/>
          </w:tcPr>
          <w:p w14:paraId="2A9CB6E2" w14:textId="77777777" w:rsidR="003E1D81" w:rsidRDefault="00EB481C">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766B1FE6" w14:textId="77777777" w:rsidR="003E1D81" w:rsidRDefault="00EB481C">
            <w:pPr>
              <w:pStyle w:val="P68B1DB1-Normal13"/>
              <w:spacing w:after="0" w:line="240" w:lineRule="auto"/>
              <w:jc w:val="center"/>
              <w:rPr>
                <w:rFonts w:eastAsia="Symbol" w:cs="Times New Roman"/>
                <w:noProof/>
              </w:rPr>
            </w:pPr>
            <w:r>
              <w:rPr>
                <w:noProof/>
              </w:rPr>
              <w:t>Szám (MW)</w:t>
            </w:r>
          </w:p>
        </w:tc>
        <w:tc>
          <w:tcPr>
            <w:tcW w:w="709" w:type="dxa"/>
            <w:shd w:val="clear" w:color="auto" w:fill="C6EFCE"/>
            <w:noWrap/>
          </w:tcPr>
          <w:p w14:paraId="7DCFEC48" w14:textId="77777777" w:rsidR="003E1D81" w:rsidRDefault="00EB481C">
            <w:pPr>
              <w:pStyle w:val="P68B1DB1-Normal13"/>
              <w:spacing w:after="0" w:line="240" w:lineRule="auto"/>
              <w:jc w:val="center"/>
              <w:rPr>
                <w:rFonts w:eastAsia="Symbol" w:cs="Times New Roman"/>
                <w:noProof/>
              </w:rPr>
            </w:pPr>
            <w:r>
              <w:rPr>
                <w:noProof/>
              </w:rPr>
              <w:t>0</w:t>
            </w:r>
          </w:p>
        </w:tc>
        <w:tc>
          <w:tcPr>
            <w:tcW w:w="737" w:type="dxa"/>
            <w:shd w:val="clear" w:color="auto" w:fill="C6EFCE"/>
            <w:noWrap/>
          </w:tcPr>
          <w:p w14:paraId="60C44B81" w14:textId="77777777" w:rsidR="003E1D81" w:rsidRDefault="00EB481C">
            <w:pPr>
              <w:pStyle w:val="P68B1DB1-Normal13"/>
              <w:spacing w:after="0" w:line="240" w:lineRule="auto"/>
              <w:jc w:val="center"/>
              <w:rPr>
                <w:rFonts w:eastAsia="Symbol" w:cs="Times New Roman"/>
                <w:noProof/>
              </w:rPr>
            </w:pPr>
            <w:r>
              <w:rPr>
                <w:noProof/>
              </w:rPr>
              <w:t>1 500</w:t>
            </w:r>
          </w:p>
        </w:tc>
        <w:tc>
          <w:tcPr>
            <w:tcW w:w="567" w:type="dxa"/>
            <w:shd w:val="clear" w:color="auto" w:fill="C6EFCE"/>
            <w:noWrap/>
          </w:tcPr>
          <w:p w14:paraId="2871EA41"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6CB78806" w14:textId="77777777" w:rsidR="003E1D81" w:rsidRDefault="00EB481C">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4F128F40" w14:textId="77777777" w:rsidR="003E1D81" w:rsidRDefault="00EB481C">
            <w:pPr>
              <w:pStyle w:val="P68B1DB1-Normal13"/>
              <w:spacing w:after="0" w:line="240" w:lineRule="auto"/>
              <w:rPr>
                <w:rFonts w:eastAsia="Symbol" w:cs="Times New Roman"/>
                <w:noProof/>
              </w:rPr>
            </w:pPr>
            <w:r>
              <w:rPr>
                <w:noProof/>
              </w:rPr>
              <w:t>A C7.R1 reformban foglalt új felhatalmazó jogszabályi keret (beleértve a 960/2020. sz. határozattal létrehozott aukciós mechanizmust, a hozzáférési és csatlakozási engedélyekről, valamint a hibridizációról szóló új rendeletet) keretében Spanyolországban 20</w:t>
            </w:r>
            <w:r>
              <w:rPr>
                <w:noProof/>
              </w:rPr>
              <w:t>20 első negyedéve és 42023 negyedéve között telepített halmozott további megújulóenergia-kapacitás: legalább 1 500 MW épített</w:t>
            </w:r>
          </w:p>
        </w:tc>
      </w:tr>
      <w:tr w:rsidR="003E1D81" w14:paraId="64EFED29" w14:textId="77777777">
        <w:trPr>
          <w:trHeight w:val="309"/>
        </w:trPr>
        <w:tc>
          <w:tcPr>
            <w:tcW w:w="709" w:type="dxa"/>
            <w:shd w:val="clear" w:color="auto" w:fill="C6EFCE"/>
            <w:noWrap/>
          </w:tcPr>
          <w:p w14:paraId="352E6F29" w14:textId="77777777" w:rsidR="003E1D81" w:rsidRDefault="00EB481C">
            <w:pPr>
              <w:pStyle w:val="P68B1DB1-Normal13"/>
              <w:spacing w:after="0" w:line="240" w:lineRule="auto"/>
              <w:jc w:val="center"/>
              <w:rPr>
                <w:rFonts w:eastAsia="Symbol" w:cs="Times New Roman"/>
                <w:noProof/>
              </w:rPr>
            </w:pPr>
            <w:r>
              <w:rPr>
                <w:noProof/>
              </w:rPr>
              <w:t>108</w:t>
            </w:r>
          </w:p>
        </w:tc>
        <w:tc>
          <w:tcPr>
            <w:tcW w:w="851" w:type="dxa"/>
            <w:shd w:val="clear" w:color="auto" w:fill="C6EFCE"/>
            <w:noWrap/>
          </w:tcPr>
          <w:p w14:paraId="1C68794A" w14:textId="77777777" w:rsidR="003E1D81" w:rsidRDefault="00EB481C">
            <w:pPr>
              <w:pStyle w:val="P68B1DB1-Normal13"/>
              <w:spacing w:after="0" w:line="240" w:lineRule="auto"/>
              <w:jc w:val="center"/>
              <w:rPr>
                <w:rFonts w:eastAsia="Symbol" w:cs="Times New Roman"/>
                <w:noProof/>
              </w:rPr>
            </w:pPr>
            <w:r>
              <w:rPr>
                <w:noProof/>
              </w:rPr>
              <w:t>C7.R2</w:t>
            </w:r>
          </w:p>
        </w:tc>
        <w:tc>
          <w:tcPr>
            <w:tcW w:w="850" w:type="dxa"/>
            <w:shd w:val="clear" w:color="auto" w:fill="C6EFCE"/>
            <w:noWrap/>
          </w:tcPr>
          <w:p w14:paraId="15EB8CE3" w14:textId="77777777" w:rsidR="003E1D81" w:rsidRDefault="00EB481C">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27D78FE3" w14:textId="77777777" w:rsidR="003E1D81" w:rsidRDefault="00EB481C">
            <w:pPr>
              <w:pStyle w:val="P68B1DB1-Normal13"/>
              <w:spacing w:after="0" w:line="240" w:lineRule="auto"/>
              <w:rPr>
                <w:rFonts w:eastAsia="Symbol" w:cs="Times New Roman"/>
                <w:noProof/>
              </w:rPr>
            </w:pPr>
            <w:r>
              <w:rPr>
                <w:noProof/>
              </w:rPr>
              <w:t>A saját fogyasztásra vonatkozó nemzeti stratégia</w:t>
            </w:r>
          </w:p>
        </w:tc>
        <w:tc>
          <w:tcPr>
            <w:tcW w:w="1276" w:type="dxa"/>
            <w:shd w:val="clear" w:color="auto" w:fill="C6EFCE"/>
            <w:noWrap/>
          </w:tcPr>
          <w:p w14:paraId="1D51184E" w14:textId="77777777" w:rsidR="003E1D81" w:rsidRDefault="00EB481C">
            <w:pPr>
              <w:pStyle w:val="P68B1DB1-Normal13"/>
              <w:spacing w:after="0" w:line="240" w:lineRule="auto"/>
              <w:jc w:val="center"/>
              <w:rPr>
                <w:rFonts w:eastAsia="Symbol" w:cs="Times New Roman"/>
                <w:noProof/>
              </w:rPr>
            </w:pPr>
            <w:r>
              <w:rPr>
                <w:noProof/>
              </w:rPr>
              <w:t>Közzététel a honlapon</w:t>
            </w:r>
          </w:p>
        </w:tc>
        <w:tc>
          <w:tcPr>
            <w:tcW w:w="850" w:type="dxa"/>
            <w:shd w:val="clear" w:color="auto" w:fill="C6EFCE"/>
            <w:noWrap/>
          </w:tcPr>
          <w:p w14:paraId="2181972A" w14:textId="77777777" w:rsidR="003E1D81" w:rsidRDefault="00EB481C">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51756CA6" w14:textId="77777777" w:rsidR="003E1D81" w:rsidRDefault="00EB481C">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6AB54743" w14:textId="77777777" w:rsidR="003E1D81" w:rsidRDefault="00EB481C">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6934BEC0"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79BB372B" w14:textId="77777777" w:rsidR="003E1D81" w:rsidRDefault="00EB481C">
            <w:pPr>
              <w:pStyle w:val="P68B1DB1-Normal13"/>
              <w:spacing w:after="0" w:line="240" w:lineRule="auto"/>
              <w:jc w:val="center"/>
              <w:rPr>
                <w:rFonts w:eastAsia="Symbol" w:cs="Times New Roman"/>
                <w:noProof/>
              </w:rPr>
            </w:pPr>
            <w:r>
              <w:rPr>
                <w:noProof/>
              </w:rPr>
              <w:t>2021</w:t>
            </w:r>
          </w:p>
        </w:tc>
        <w:tc>
          <w:tcPr>
            <w:tcW w:w="5217" w:type="dxa"/>
            <w:shd w:val="clear" w:color="auto" w:fill="C6EFCE"/>
            <w:noWrap/>
          </w:tcPr>
          <w:p w14:paraId="183C65A8" w14:textId="77777777" w:rsidR="003E1D81" w:rsidRDefault="00EB481C">
            <w:pPr>
              <w:pStyle w:val="P68B1DB1-Normal13"/>
              <w:spacing w:after="0" w:line="240" w:lineRule="auto"/>
              <w:rPr>
                <w:rFonts w:eastAsia="Symbol" w:cs="Times New Roman"/>
                <w:noProof/>
              </w:rPr>
            </w:pPr>
            <w:r>
              <w:rPr>
                <w:noProof/>
              </w:rPr>
              <w:t xml:space="preserve">A saját fogyasztást gátló </w:t>
            </w:r>
            <w:r>
              <w:rPr>
                <w:noProof/>
              </w:rPr>
              <w:t>adminisztratív akadályok csökkentése érdekében a Miniszterek Tanácsa elfogadta és a kormány honlapján közzéteszi a nemzeti önfogyasztási stratégiát.</w:t>
            </w:r>
          </w:p>
        </w:tc>
      </w:tr>
      <w:tr w:rsidR="003E1D81" w14:paraId="07695FFA" w14:textId="77777777">
        <w:trPr>
          <w:trHeight w:val="309"/>
        </w:trPr>
        <w:tc>
          <w:tcPr>
            <w:tcW w:w="709" w:type="dxa"/>
            <w:shd w:val="clear" w:color="auto" w:fill="C6EFCE"/>
            <w:noWrap/>
          </w:tcPr>
          <w:p w14:paraId="15A025E3" w14:textId="77777777" w:rsidR="003E1D81" w:rsidRDefault="00EB481C">
            <w:pPr>
              <w:pStyle w:val="P68B1DB1-Normal13"/>
              <w:spacing w:after="0" w:line="240" w:lineRule="auto"/>
              <w:jc w:val="center"/>
              <w:rPr>
                <w:rFonts w:eastAsia="Symbol" w:cs="Times New Roman"/>
                <w:noProof/>
              </w:rPr>
            </w:pPr>
            <w:r>
              <w:rPr>
                <w:noProof/>
              </w:rPr>
              <w:t>109</w:t>
            </w:r>
          </w:p>
        </w:tc>
        <w:tc>
          <w:tcPr>
            <w:tcW w:w="851" w:type="dxa"/>
            <w:shd w:val="clear" w:color="auto" w:fill="C6EFCE"/>
            <w:noWrap/>
          </w:tcPr>
          <w:p w14:paraId="3309A0AA" w14:textId="77777777" w:rsidR="003E1D81" w:rsidRDefault="00EB481C">
            <w:pPr>
              <w:pStyle w:val="P68B1DB1-Normal13"/>
              <w:spacing w:after="0" w:line="240" w:lineRule="auto"/>
              <w:jc w:val="center"/>
              <w:rPr>
                <w:rFonts w:eastAsia="Symbol" w:cs="Times New Roman"/>
                <w:noProof/>
              </w:rPr>
            </w:pPr>
            <w:r>
              <w:rPr>
                <w:noProof/>
              </w:rPr>
              <w:t>C7.R2</w:t>
            </w:r>
          </w:p>
        </w:tc>
        <w:tc>
          <w:tcPr>
            <w:tcW w:w="850" w:type="dxa"/>
            <w:shd w:val="clear" w:color="auto" w:fill="C6EFCE"/>
            <w:noWrap/>
          </w:tcPr>
          <w:p w14:paraId="72A29E6B" w14:textId="77777777" w:rsidR="003E1D81" w:rsidRDefault="00EB481C">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763347A0" w14:textId="77777777" w:rsidR="003E1D81" w:rsidRDefault="00EB481C">
            <w:pPr>
              <w:pStyle w:val="P68B1DB1-Normal13"/>
              <w:spacing w:after="0" w:line="240" w:lineRule="auto"/>
              <w:rPr>
                <w:rFonts w:eastAsia="Symbol" w:cs="Times New Roman"/>
                <w:noProof/>
              </w:rPr>
            </w:pPr>
            <w:r>
              <w:rPr>
                <w:noProof/>
              </w:rPr>
              <w:t>A nemzeti önfogyasztási stratégia intézkedéseinek lezárása</w:t>
            </w:r>
          </w:p>
        </w:tc>
        <w:tc>
          <w:tcPr>
            <w:tcW w:w="1276" w:type="dxa"/>
            <w:shd w:val="clear" w:color="auto" w:fill="C6EFCE"/>
            <w:noWrap/>
          </w:tcPr>
          <w:p w14:paraId="5816E567" w14:textId="77777777" w:rsidR="003E1D81" w:rsidRDefault="00EB481C">
            <w:pPr>
              <w:pStyle w:val="P68B1DB1-Normal13"/>
              <w:spacing w:after="0" w:line="240" w:lineRule="auto"/>
              <w:jc w:val="center"/>
              <w:rPr>
                <w:rFonts w:eastAsia="Symbol" w:cs="Times New Roman"/>
                <w:noProof/>
              </w:rPr>
            </w:pPr>
            <w:r>
              <w:rPr>
                <w:noProof/>
              </w:rPr>
              <w:t xml:space="preserve">Az eredmények közzététele a </w:t>
            </w:r>
            <w:r>
              <w:rPr>
                <w:noProof/>
              </w:rPr>
              <w:t>honlapon</w:t>
            </w:r>
          </w:p>
        </w:tc>
        <w:tc>
          <w:tcPr>
            <w:tcW w:w="850" w:type="dxa"/>
            <w:shd w:val="clear" w:color="auto" w:fill="C6EFCE"/>
            <w:noWrap/>
          </w:tcPr>
          <w:p w14:paraId="3B89598A" w14:textId="77777777" w:rsidR="003E1D81" w:rsidRDefault="00EB481C">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1D9BD9BE" w14:textId="77777777" w:rsidR="003E1D81" w:rsidRDefault="00EB481C">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4B690AF8" w14:textId="77777777" w:rsidR="003E1D81" w:rsidRDefault="00EB481C">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6DE06FBE" w14:textId="77777777" w:rsidR="003E1D81" w:rsidRDefault="00EB481C">
            <w:pPr>
              <w:pStyle w:val="P68B1DB1-Normal13"/>
              <w:spacing w:after="0" w:line="240" w:lineRule="auto"/>
              <w:jc w:val="center"/>
              <w:rPr>
                <w:rFonts w:eastAsia="Symbol" w:cs="Times New Roman"/>
                <w:noProof/>
              </w:rPr>
            </w:pPr>
            <w:r>
              <w:rPr>
                <w:noProof/>
              </w:rPr>
              <w:t>KÉRDÉS</w:t>
            </w:r>
          </w:p>
        </w:tc>
        <w:tc>
          <w:tcPr>
            <w:tcW w:w="567" w:type="dxa"/>
            <w:shd w:val="clear" w:color="auto" w:fill="C6EFCE"/>
            <w:noWrap/>
          </w:tcPr>
          <w:p w14:paraId="0D860353" w14:textId="77777777" w:rsidR="003E1D81" w:rsidRDefault="00EB481C">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62B486A3" w14:textId="77777777" w:rsidR="003E1D81" w:rsidRDefault="00EB481C">
            <w:pPr>
              <w:pStyle w:val="P68B1DB1-Normal13"/>
              <w:spacing w:after="0" w:line="240" w:lineRule="auto"/>
              <w:rPr>
                <w:rFonts w:eastAsia="Symbol" w:cs="Times New Roman"/>
                <w:noProof/>
              </w:rPr>
            </w:pPr>
            <w:r>
              <w:rPr>
                <w:noProof/>
              </w:rPr>
              <w:t xml:space="preserve">A nemzeti önfogyasztási stratégia kulcsfontosságú intézkedéseinek lezárása, beleértve a következőket: technikai iránymutatás közzététele az ökológiai átállásért felelős minisztérium honlapján, valamint az önkormányzatoknak szóló </w:t>
            </w:r>
            <w:r>
              <w:rPr>
                <w:noProof/>
              </w:rPr>
              <w:t>iránymutatás közzététele arra vonatkozóan, hogy miként lehet előmozdítani a saját fogyasztást, valamint a saját megújulóenergia-fogyasztással kapcsolatos, szükséges technikai készségek fejlesztésére irányuló képzések elvégzése legalább 500 szakember számár</w:t>
            </w:r>
            <w:r>
              <w:rPr>
                <w:noProof/>
              </w:rPr>
              <w:t>a.</w:t>
            </w:r>
          </w:p>
        </w:tc>
      </w:tr>
      <w:tr w:rsidR="003E1D81" w14:paraId="0F86EE98" w14:textId="77777777">
        <w:trPr>
          <w:trHeight w:val="309"/>
        </w:trPr>
        <w:tc>
          <w:tcPr>
            <w:tcW w:w="709" w:type="dxa"/>
            <w:shd w:val="clear" w:color="auto" w:fill="C6EFCE"/>
            <w:noWrap/>
          </w:tcPr>
          <w:p w14:paraId="1C213BED" w14:textId="77777777" w:rsidR="003E1D81" w:rsidRDefault="00EB481C">
            <w:pPr>
              <w:pStyle w:val="P68B1DB1-Normal13"/>
              <w:spacing w:after="0" w:line="240" w:lineRule="auto"/>
              <w:jc w:val="center"/>
              <w:rPr>
                <w:rFonts w:eastAsia="Symbol" w:cs="Times New Roman"/>
                <w:noProof/>
              </w:rPr>
            </w:pPr>
            <w:r>
              <w:rPr>
                <w:noProof/>
              </w:rPr>
              <w:t>110</w:t>
            </w:r>
          </w:p>
        </w:tc>
        <w:tc>
          <w:tcPr>
            <w:tcW w:w="851" w:type="dxa"/>
            <w:shd w:val="clear" w:color="auto" w:fill="C6EFCE"/>
            <w:noWrap/>
          </w:tcPr>
          <w:p w14:paraId="637C99B4" w14:textId="77777777" w:rsidR="003E1D81" w:rsidRDefault="00EB481C">
            <w:pPr>
              <w:pStyle w:val="P68B1DB1-Normal13"/>
              <w:spacing w:after="0" w:line="240" w:lineRule="auto"/>
              <w:jc w:val="center"/>
              <w:rPr>
                <w:rFonts w:eastAsia="Symbol" w:cs="Times New Roman"/>
                <w:noProof/>
              </w:rPr>
            </w:pPr>
            <w:r>
              <w:rPr>
                <w:noProof/>
              </w:rPr>
              <w:t>C7.R3</w:t>
            </w:r>
          </w:p>
        </w:tc>
        <w:tc>
          <w:tcPr>
            <w:tcW w:w="850" w:type="dxa"/>
            <w:shd w:val="clear" w:color="auto" w:fill="C6EFCE"/>
            <w:noWrap/>
          </w:tcPr>
          <w:p w14:paraId="627E5AD6" w14:textId="77777777" w:rsidR="003E1D81" w:rsidRDefault="00EB481C">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28BAB183" w14:textId="77777777" w:rsidR="003E1D81" w:rsidRDefault="00EB481C">
            <w:pPr>
              <w:pStyle w:val="P68B1DB1-Normal13"/>
              <w:spacing w:after="0" w:line="240" w:lineRule="auto"/>
              <w:rPr>
                <w:rFonts w:eastAsia="Symbol" w:cs="Times New Roman"/>
                <w:noProof/>
              </w:rPr>
            </w:pPr>
            <w:r>
              <w:rPr>
                <w:noProof/>
              </w:rPr>
              <w:t xml:space="preserve">Kísérleti projekt az energiaközösségek számára </w:t>
            </w:r>
          </w:p>
        </w:tc>
        <w:tc>
          <w:tcPr>
            <w:tcW w:w="1276" w:type="dxa"/>
            <w:shd w:val="clear" w:color="auto" w:fill="C6EFCE"/>
            <w:noWrap/>
          </w:tcPr>
          <w:p w14:paraId="4FB2D6F1" w14:textId="77777777" w:rsidR="003E1D81" w:rsidRDefault="00EB481C">
            <w:pPr>
              <w:pStyle w:val="P68B1DB1-Normal13"/>
              <w:spacing w:after="0" w:line="240" w:lineRule="auto"/>
              <w:jc w:val="center"/>
              <w:rPr>
                <w:rFonts w:eastAsia="Symbol" w:cs="Times New Roman"/>
                <w:noProof/>
              </w:rPr>
            </w:pPr>
            <w:r>
              <w:rPr>
                <w:noProof/>
              </w:rPr>
              <w:t>Közzététel a honlapon</w:t>
            </w:r>
          </w:p>
        </w:tc>
        <w:tc>
          <w:tcPr>
            <w:tcW w:w="850" w:type="dxa"/>
            <w:shd w:val="clear" w:color="auto" w:fill="C6EFCE"/>
            <w:noWrap/>
          </w:tcPr>
          <w:p w14:paraId="5D2FFEEA" w14:textId="77777777" w:rsidR="003E1D81" w:rsidRDefault="00EB481C">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142A0355" w14:textId="77777777" w:rsidR="003E1D81" w:rsidRDefault="00EB481C">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7069FD48" w14:textId="77777777" w:rsidR="003E1D81" w:rsidRDefault="00EB481C">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5D15D15B" w14:textId="77777777" w:rsidR="003E1D81" w:rsidRDefault="00EB481C">
            <w:pPr>
              <w:pStyle w:val="P68B1DB1-Normal13"/>
              <w:spacing w:after="0" w:line="240" w:lineRule="auto"/>
              <w:jc w:val="center"/>
              <w:rPr>
                <w:rFonts w:eastAsia="Symbol" w:cs="Times New Roman"/>
                <w:noProof/>
              </w:rPr>
            </w:pPr>
            <w:r>
              <w:rPr>
                <w:noProof/>
              </w:rPr>
              <w:t>KÉRDÉS</w:t>
            </w:r>
          </w:p>
        </w:tc>
        <w:tc>
          <w:tcPr>
            <w:tcW w:w="567" w:type="dxa"/>
            <w:shd w:val="clear" w:color="auto" w:fill="C6EFCE"/>
            <w:noWrap/>
          </w:tcPr>
          <w:p w14:paraId="0BA06E4D" w14:textId="77777777" w:rsidR="003E1D81" w:rsidRDefault="00EB481C">
            <w:pPr>
              <w:pStyle w:val="P68B1DB1-Normal13"/>
              <w:spacing w:after="0" w:line="240" w:lineRule="auto"/>
              <w:jc w:val="center"/>
              <w:rPr>
                <w:rFonts w:eastAsia="Symbol" w:cs="Times New Roman"/>
                <w:noProof/>
              </w:rPr>
            </w:pPr>
            <w:r>
              <w:rPr>
                <w:noProof/>
              </w:rPr>
              <w:t>2022</w:t>
            </w:r>
          </w:p>
        </w:tc>
        <w:tc>
          <w:tcPr>
            <w:tcW w:w="5217" w:type="dxa"/>
            <w:shd w:val="clear" w:color="auto" w:fill="C6EFCE"/>
            <w:noWrap/>
          </w:tcPr>
          <w:p w14:paraId="70A37D06" w14:textId="77777777" w:rsidR="003E1D81" w:rsidRDefault="00EB481C">
            <w:pPr>
              <w:pStyle w:val="P68B1DB1-Normal13"/>
              <w:spacing w:after="0" w:line="240" w:lineRule="auto"/>
              <w:rPr>
                <w:rFonts w:eastAsia="Symbol" w:cs="Times New Roman"/>
                <w:noProof/>
              </w:rPr>
            </w:pPr>
            <w:r>
              <w:rPr>
                <w:noProof/>
              </w:rPr>
              <w:t xml:space="preserve">Az energiaközösségekre vonatkozó első kísérleti projekt ajánlati felhívások alapján történő odaítélése e modell életképességének bizonyítása érdekében. </w:t>
            </w:r>
          </w:p>
        </w:tc>
      </w:tr>
      <w:tr w:rsidR="003E1D81" w14:paraId="7DCEBF7A" w14:textId="77777777">
        <w:trPr>
          <w:trHeight w:val="309"/>
        </w:trPr>
        <w:tc>
          <w:tcPr>
            <w:tcW w:w="709" w:type="dxa"/>
            <w:shd w:val="clear" w:color="auto" w:fill="C6EFCE"/>
            <w:noWrap/>
          </w:tcPr>
          <w:p w14:paraId="4F5DFF28" w14:textId="77777777" w:rsidR="003E1D81" w:rsidRDefault="00EB481C">
            <w:pPr>
              <w:pStyle w:val="P68B1DB1-Normal13"/>
              <w:spacing w:after="0" w:line="240" w:lineRule="auto"/>
              <w:jc w:val="center"/>
              <w:rPr>
                <w:rFonts w:eastAsia="Symbol" w:cs="Times New Roman"/>
                <w:noProof/>
              </w:rPr>
            </w:pPr>
            <w:r>
              <w:rPr>
                <w:noProof/>
              </w:rPr>
              <w:t>111</w:t>
            </w:r>
          </w:p>
        </w:tc>
        <w:tc>
          <w:tcPr>
            <w:tcW w:w="851" w:type="dxa"/>
            <w:shd w:val="clear" w:color="auto" w:fill="C6EFCE"/>
            <w:noWrap/>
          </w:tcPr>
          <w:p w14:paraId="02552346" w14:textId="77777777" w:rsidR="003E1D81" w:rsidRDefault="00EB481C">
            <w:pPr>
              <w:pStyle w:val="P68B1DB1-Normal13"/>
              <w:spacing w:after="0" w:line="240" w:lineRule="auto"/>
              <w:jc w:val="center"/>
              <w:rPr>
                <w:rFonts w:eastAsia="Symbol" w:cs="Times New Roman"/>
                <w:noProof/>
              </w:rPr>
            </w:pPr>
            <w:r>
              <w:rPr>
                <w:noProof/>
              </w:rPr>
              <w:t>C7.R3</w:t>
            </w:r>
          </w:p>
        </w:tc>
        <w:tc>
          <w:tcPr>
            <w:tcW w:w="850" w:type="dxa"/>
            <w:shd w:val="clear" w:color="auto" w:fill="C6EFCE"/>
            <w:noWrap/>
          </w:tcPr>
          <w:p w14:paraId="2941F8A8" w14:textId="77777777" w:rsidR="003E1D81" w:rsidRDefault="00EB481C">
            <w:pPr>
              <w:pStyle w:val="P68B1DB1-Normal13"/>
              <w:spacing w:after="0" w:line="240" w:lineRule="auto"/>
              <w:jc w:val="center"/>
              <w:rPr>
                <w:rFonts w:eastAsia="Symbol" w:cs="Times New Roman"/>
                <w:noProof/>
              </w:rPr>
            </w:pPr>
            <w:r>
              <w:rPr>
                <w:noProof/>
              </w:rPr>
              <w:t>T</w:t>
            </w:r>
          </w:p>
        </w:tc>
        <w:tc>
          <w:tcPr>
            <w:tcW w:w="2977" w:type="dxa"/>
            <w:shd w:val="clear" w:color="auto" w:fill="C6EFCE"/>
            <w:noWrap/>
          </w:tcPr>
          <w:p w14:paraId="6B4E7492" w14:textId="77777777" w:rsidR="003E1D81" w:rsidRDefault="00EB481C">
            <w:pPr>
              <w:pStyle w:val="P68B1DB1-Normal13"/>
              <w:spacing w:after="0" w:line="240" w:lineRule="auto"/>
              <w:rPr>
                <w:rFonts w:eastAsia="Symbol" w:cs="Times New Roman"/>
                <w:noProof/>
              </w:rPr>
            </w:pPr>
            <w:r>
              <w:rPr>
                <w:noProof/>
              </w:rPr>
              <w:t>Az energiával kapcsolatos kísérleti projektek lezárása a helyi közösségekben</w:t>
            </w:r>
          </w:p>
        </w:tc>
        <w:tc>
          <w:tcPr>
            <w:tcW w:w="1276" w:type="dxa"/>
            <w:shd w:val="clear" w:color="auto" w:fill="C6EFCE"/>
            <w:noWrap/>
          </w:tcPr>
          <w:p w14:paraId="0A5B7069" w14:textId="77777777" w:rsidR="003E1D81" w:rsidRDefault="00EB481C">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4D4AEED7" w14:textId="77777777" w:rsidR="003E1D81" w:rsidRDefault="00EB481C">
            <w:pPr>
              <w:pStyle w:val="P68B1DB1-Normal13"/>
              <w:spacing w:after="0" w:line="240" w:lineRule="auto"/>
              <w:jc w:val="center"/>
              <w:rPr>
                <w:rFonts w:eastAsia="Symbol" w:cs="Times New Roman"/>
                <w:noProof/>
              </w:rPr>
            </w:pPr>
            <w:r>
              <w:rPr>
                <w:noProof/>
              </w:rPr>
              <w:t>Szám</w:t>
            </w:r>
          </w:p>
        </w:tc>
        <w:tc>
          <w:tcPr>
            <w:tcW w:w="709" w:type="dxa"/>
            <w:shd w:val="clear" w:color="auto" w:fill="C6EFCE"/>
            <w:noWrap/>
          </w:tcPr>
          <w:p w14:paraId="1CAC2DF5" w14:textId="77777777" w:rsidR="003E1D81" w:rsidRDefault="00EB481C">
            <w:pPr>
              <w:pStyle w:val="P68B1DB1-Normal13"/>
              <w:spacing w:after="0" w:line="240" w:lineRule="auto"/>
              <w:jc w:val="center"/>
              <w:rPr>
                <w:rFonts w:eastAsia="Symbol" w:cs="Times New Roman"/>
                <w:noProof/>
              </w:rPr>
            </w:pPr>
            <w:r>
              <w:rPr>
                <w:noProof/>
              </w:rPr>
              <w:t> 0</w:t>
            </w:r>
          </w:p>
        </w:tc>
        <w:tc>
          <w:tcPr>
            <w:tcW w:w="737" w:type="dxa"/>
            <w:shd w:val="clear" w:color="auto" w:fill="C6EFCE"/>
            <w:noWrap/>
          </w:tcPr>
          <w:p w14:paraId="1F392030" w14:textId="77777777" w:rsidR="003E1D81" w:rsidRDefault="00EB481C">
            <w:pPr>
              <w:pStyle w:val="P68B1DB1-Normal13"/>
              <w:spacing w:after="0" w:line="240" w:lineRule="auto"/>
              <w:jc w:val="center"/>
              <w:rPr>
                <w:rFonts w:eastAsia="Symbol" w:cs="Times New Roman"/>
                <w:noProof/>
              </w:rPr>
            </w:pPr>
            <w:r>
              <w:rPr>
                <w:noProof/>
              </w:rPr>
              <w:t>37</w:t>
            </w:r>
          </w:p>
        </w:tc>
        <w:tc>
          <w:tcPr>
            <w:tcW w:w="567" w:type="dxa"/>
            <w:shd w:val="clear" w:color="auto" w:fill="C6EFCE"/>
            <w:noWrap/>
          </w:tcPr>
          <w:p w14:paraId="04C84B27"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475D344D" w14:textId="7C2136F4" w:rsidR="003E1D81" w:rsidRDefault="00EB481C">
            <w:pPr>
              <w:pStyle w:val="P68B1DB1-Normal13"/>
              <w:spacing w:after="0" w:line="240" w:lineRule="auto"/>
              <w:jc w:val="center"/>
              <w:rPr>
                <w:rFonts w:eastAsia="Symbol" w:cs="Times New Roman"/>
                <w:noProof/>
              </w:rPr>
            </w:pPr>
            <w:r>
              <w:rPr>
                <w:noProof/>
              </w:rPr>
              <w:t>2024</w:t>
            </w:r>
          </w:p>
        </w:tc>
        <w:tc>
          <w:tcPr>
            <w:tcW w:w="5217" w:type="dxa"/>
            <w:shd w:val="clear" w:color="auto" w:fill="C6EFCE"/>
            <w:noWrap/>
          </w:tcPr>
          <w:p w14:paraId="346E211B" w14:textId="77777777" w:rsidR="003E1D81" w:rsidRDefault="00EB481C">
            <w:pPr>
              <w:pStyle w:val="P68B1DB1-Normal13"/>
              <w:spacing w:after="0" w:line="240" w:lineRule="auto"/>
              <w:rPr>
                <w:rFonts w:eastAsia="Symbol" w:cs="Times New Roman"/>
                <w:noProof/>
              </w:rPr>
            </w:pPr>
            <w:r>
              <w:rPr>
                <w:noProof/>
              </w:rPr>
              <w:t xml:space="preserve">Legalább 37, energiával kapcsolatos kísérleti projekt lezárása a helyi közösség részvételével, a végrehajtott intézkedéseket és a </w:t>
            </w:r>
            <w:r>
              <w:rPr>
                <w:noProof/>
              </w:rPr>
              <w:t>következő lépéseket tartalmazó ütemterv alapján. Ezek a kísérleti projektek magukban foglalhatnak részvételi folyamatokat, helyi energiaközösségek létrehozásának támogatását vagy maguknak a megújulóenergia-projekteknek a bevezetését.</w:t>
            </w:r>
          </w:p>
        </w:tc>
      </w:tr>
      <w:tr w:rsidR="003E1D81" w14:paraId="293E68CC" w14:textId="77777777">
        <w:trPr>
          <w:trHeight w:val="309"/>
        </w:trPr>
        <w:tc>
          <w:tcPr>
            <w:tcW w:w="709" w:type="dxa"/>
            <w:shd w:val="clear" w:color="auto" w:fill="C6EFCE"/>
            <w:noWrap/>
          </w:tcPr>
          <w:p w14:paraId="5F0CA593" w14:textId="77777777" w:rsidR="003E1D81" w:rsidRDefault="00EB481C">
            <w:pPr>
              <w:pStyle w:val="P68B1DB1-Normal13"/>
              <w:spacing w:after="0" w:line="240" w:lineRule="auto"/>
              <w:jc w:val="center"/>
              <w:rPr>
                <w:rFonts w:eastAsia="Symbol" w:cs="Times New Roman"/>
                <w:noProof/>
              </w:rPr>
            </w:pPr>
            <w:r>
              <w:rPr>
                <w:noProof/>
              </w:rPr>
              <w:t>112</w:t>
            </w:r>
          </w:p>
        </w:tc>
        <w:tc>
          <w:tcPr>
            <w:tcW w:w="851" w:type="dxa"/>
            <w:shd w:val="clear" w:color="auto" w:fill="C6EFCE"/>
            <w:noWrap/>
          </w:tcPr>
          <w:p w14:paraId="20AE2DF1" w14:textId="77777777" w:rsidR="003E1D81" w:rsidRDefault="00EB481C">
            <w:pPr>
              <w:pStyle w:val="P68B1DB1-Normal13"/>
              <w:spacing w:after="0" w:line="240" w:lineRule="auto"/>
              <w:jc w:val="center"/>
              <w:rPr>
                <w:rFonts w:eastAsia="Symbol" w:cs="Times New Roman"/>
                <w:noProof/>
              </w:rPr>
            </w:pPr>
            <w:r>
              <w:rPr>
                <w:noProof/>
              </w:rPr>
              <w:t>C7.R4</w:t>
            </w:r>
          </w:p>
        </w:tc>
        <w:tc>
          <w:tcPr>
            <w:tcW w:w="850" w:type="dxa"/>
            <w:shd w:val="clear" w:color="auto" w:fill="C6EFCE"/>
            <w:noWrap/>
          </w:tcPr>
          <w:p w14:paraId="61A57A1C" w14:textId="77777777" w:rsidR="003E1D81" w:rsidRDefault="00EB481C">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1A09D8EB" w14:textId="77777777" w:rsidR="003E1D81" w:rsidRDefault="00EB481C">
            <w:pPr>
              <w:pStyle w:val="P68B1DB1-Normal13"/>
              <w:spacing w:after="0" w:line="240" w:lineRule="auto"/>
              <w:rPr>
                <w:rFonts w:eastAsia="Symbol" w:cs="Times New Roman"/>
                <w:noProof/>
              </w:rPr>
            </w:pPr>
            <w:r>
              <w:rPr>
                <w:noProof/>
              </w:rPr>
              <w:t>A tengeri</w:t>
            </w:r>
            <w:r>
              <w:rPr>
                <w:noProof/>
              </w:rPr>
              <w:t xml:space="preserve"> szélenergiára és egyéb tengeri energiára vonatkozó ütemterv</w:t>
            </w:r>
          </w:p>
        </w:tc>
        <w:tc>
          <w:tcPr>
            <w:tcW w:w="1276" w:type="dxa"/>
            <w:shd w:val="clear" w:color="auto" w:fill="C6EFCE"/>
            <w:noWrap/>
          </w:tcPr>
          <w:p w14:paraId="7149803A" w14:textId="77777777" w:rsidR="003E1D81" w:rsidRDefault="00EB481C">
            <w:pPr>
              <w:pStyle w:val="P68B1DB1-Normal13"/>
              <w:spacing w:after="0" w:line="240" w:lineRule="auto"/>
              <w:jc w:val="center"/>
              <w:rPr>
                <w:rFonts w:eastAsia="Symbol" w:cs="Times New Roman"/>
                <w:noProof/>
              </w:rPr>
            </w:pPr>
            <w:r>
              <w:rPr>
                <w:noProof/>
              </w:rPr>
              <w:t>Közzététel a honlapon</w:t>
            </w:r>
          </w:p>
        </w:tc>
        <w:tc>
          <w:tcPr>
            <w:tcW w:w="850" w:type="dxa"/>
            <w:shd w:val="clear" w:color="auto" w:fill="C6EFCE"/>
            <w:noWrap/>
          </w:tcPr>
          <w:p w14:paraId="4FA58E2B" w14:textId="77777777" w:rsidR="003E1D81" w:rsidRDefault="00EB481C">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705B4414" w14:textId="77777777" w:rsidR="003E1D81" w:rsidRDefault="00EB481C">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17B578C6" w14:textId="77777777" w:rsidR="003E1D81" w:rsidRDefault="00EB481C">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4DDB2106"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116D4EA9" w14:textId="77777777" w:rsidR="003E1D81" w:rsidRDefault="00EB481C">
            <w:pPr>
              <w:pStyle w:val="P68B1DB1-Normal13"/>
              <w:spacing w:after="0" w:line="240" w:lineRule="auto"/>
              <w:jc w:val="center"/>
              <w:rPr>
                <w:rFonts w:eastAsia="Symbol" w:cs="Times New Roman"/>
                <w:noProof/>
              </w:rPr>
            </w:pPr>
            <w:r>
              <w:rPr>
                <w:noProof/>
              </w:rPr>
              <w:t>2021</w:t>
            </w:r>
          </w:p>
        </w:tc>
        <w:tc>
          <w:tcPr>
            <w:tcW w:w="5217" w:type="dxa"/>
            <w:shd w:val="clear" w:color="auto" w:fill="C6EFCE"/>
            <w:noWrap/>
          </w:tcPr>
          <w:p w14:paraId="77EDC287" w14:textId="77777777" w:rsidR="003E1D81" w:rsidRDefault="00EB481C">
            <w:pPr>
              <w:pStyle w:val="P68B1DB1-Normal13"/>
              <w:spacing w:after="0" w:line="240" w:lineRule="auto"/>
              <w:rPr>
                <w:rFonts w:eastAsia="Symbol" w:cs="Times New Roman"/>
                <w:noProof/>
              </w:rPr>
            </w:pPr>
            <w:r>
              <w:rPr>
                <w:noProof/>
              </w:rPr>
              <w:t>A tengeri szélenergiára és egyéb tengeri energiára vonatkozó ütemterv közzététele e megújuló energiaforrás fejlesztése előtt álló adminisztratív akadályo</w:t>
            </w:r>
            <w:r>
              <w:rPr>
                <w:noProof/>
              </w:rPr>
              <w:t>k csökkentése érdekében</w:t>
            </w:r>
          </w:p>
        </w:tc>
      </w:tr>
      <w:tr w:rsidR="003E1D81" w14:paraId="78B4477D" w14:textId="77777777">
        <w:trPr>
          <w:trHeight w:val="309"/>
        </w:trPr>
        <w:tc>
          <w:tcPr>
            <w:tcW w:w="709" w:type="dxa"/>
            <w:shd w:val="clear" w:color="auto" w:fill="C6EFCE"/>
            <w:noWrap/>
          </w:tcPr>
          <w:p w14:paraId="63F14F84" w14:textId="77777777" w:rsidR="003E1D81" w:rsidRDefault="00EB481C">
            <w:pPr>
              <w:pStyle w:val="P68B1DB1-Normal13"/>
              <w:spacing w:after="0" w:line="240" w:lineRule="auto"/>
              <w:jc w:val="center"/>
              <w:rPr>
                <w:rFonts w:eastAsia="Symbol" w:cs="Times New Roman"/>
                <w:noProof/>
              </w:rPr>
            </w:pPr>
            <w:r>
              <w:rPr>
                <w:noProof/>
              </w:rPr>
              <w:t>113</w:t>
            </w:r>
          </w:p>
        </w:tc>
        <w:tc>
          <w:tcPr>
            <w:tcW w:w="851" w:type="dxa"/>
            <w:shd w:val="clear" w:color="auto" w:fill="C6EFCE"/>
            <w:noWrap/>
          </w:tcPr>
          <w:p w14:paraId="29C2D4C9" w14:textId="77777777" w:rsidR="003E1D81" w:rsidRDefault="00EB481C">
            <w:pPr>
              <w:pStyle w:val="P68B1DB1-Normal13"/>
              <w:spacing w:after="0" w:line="240" w:lineRule="auto"/>
              <w:jc w:val="center"/>
              <w:rPr>
                <w:rFonts w:eastAsia="Symbol" w:cs="Times New Roman"/>
                <w:noProof/>
              </w:rPr>
            </w:pPr>
            <w:r>
              <w:rPr>
                <w:noProof/>
              </w:rPr>
              <w:t>C7.R4</w:t>
            </w:r>
          </w:p>
        </w:tc>
        <w:tc>
          <w:tcPr>
            <w:tcW w:w="850" w:type="dxa"/>
            <w:shd w:val="clear" w:color="auto" w:fill="C6EFCE"/>
            <w:noWrap/>
          </w:tcPr>
          <w:p w14:paraId="524630E2" w14:textId="77777777" w:rsidR="003E1D81" w:rsidRDefault="00EB481C">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03200769" w14:textId="77777777" w:rsidR="003E1D81" w:rsidRDefault="00EB481C">
            <w:pPr>
              <w:pStyle w:val="P68B1DB1-Normal13"/>
              <w:spacing w:after="0" w:line="240" w:lineRule="auto"/>
              <w:rPr>
                <w:rFonts w:eastAsia="Symbol" w:cs="Times New Roman"/>
                <w:noProof/>
              </w:rPr>
            </w:pPr>
            <w:r>
              <w:rPr>
                <w:noProof/>
              </w:rPr>
              <w:t>A tengeri szélenergiára és egyéb tengeri energiára vonatkozó térképen meghatározott szabályozási intézkedések hatálybalépése</w:t>
            </w:r>
          </w:p>
        </w:tc>
        <w:tc>
          <w:tcPr>
            <w:tcW w:w="1276" w:type="dxa"/>
            <w:shd w:val="clear" w:color="auto" w:fill="C6EFCE"/>
            <w:noWrap/>
          </w:tcPr>
          <w:p w14:paraId="517C0551" w14:textId="77777777" w:rsidR="003E1D81" w:rsidRDefault="00EB481C">
            <w:pPr>
              <w:pStyle w:val="P68B1DB1-Normal13"/>
              <w:spacing w:after="0" w:line="240" w:lineRule="auto"/>
              <w:jc w:val="center"/>
              <w:rPr>
                <w:rFonts w:eastAsia="Symbol" w:cs="Times New Roman"/>
                <w:noProof/>
              </w:rPr>
            </w:pPr>
            <w:r>
              <w:rPr>
                <w:noProof/>
              </w:rPr>
              <w:t>A szabályozási intézkedések hatályba lépésre vonatkozó rendelkezései</w:t>
            </w:r>
          </w:p>
        </w:tc>
        <w:tc>
          <w:tcPr>
            <w:tcW w:w="850" w:type="dxa"/>
            <w:shd w:val="clear" w:color="auto" w:fill="C6EFCE"/>
            <w:noWrap/>
          </w:tcPr>
          <w:p w14:paraId="1FA429CE" w14:textId="77777777" w:rsidR="003E1D81" w:rsidRDefault="00EB481C">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4E64FEAB" w14:textId="77777777" w:rsidR="003E1D81" w:rsidRDefault="00EB481C">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0F5B8C8A" w14:textId="77777777" w:rsidR="003E1D81" w:rsidRDefault="00EB481C">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1D8520B8" w14:textId="77777777" w:rsidR="003E1D81" w:rsidRDefault="00EB481C">
            <w:pPr>
              <w:pStyle w:val="P68B1DB1-Normal13"/>
              <w:spacing w:after="0" w:line="240" w:lineRule="auto"/>
              <w:jc w:val="center"/>
              <w:rPr>
                <w:rFonts w:eastAsia="Symbol" w:cs="Times New Roman"/>
                <w:noProof/>
              </w:rPr>
            </w:pPr>
            <w:r>
              <w:rPr>
                <w:noProof/>
              </w:rPr>
              <w:t>KÉRDÉS</w:t>
            </w:r>
          </w:p>
        </w:tc>
        <w:tc>
          <w:tcPr>
            <w:tcW w:w="567" w:type="dxa"/>
            <w:shd w:val="clear" w:color="auto" w:fill="C6EFCE"/>
            <w:noWrap/>
          </w:tcPr>
          <w:p w14:paraId="3E931638" w14:textId="77777777" w:rsidR="003E1D81" w:rsidRDefault="00EB481C">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76BAAB49" w14:textId="77777777" w:rsidR="003E1D81" w:rsidRDefault="00EB481C">
            <w:pPr>
              <w:pStyle w:val="P68B1DB1-Normal13"/>
              <w:spacing w:after="0" w:line="240" w:lineRule="auto"/>
              <w:rPr>
                <w:rFonts w:eastAsia="Symbol" w:cs="Times New Roman"/>
                <w:noProof/>
              </w:rPr>
            </w:pPr>
            <w:r>
              <w:rPr>
                <w:noProof/>
              </w:rPr>
              <w:t xml:space="preserve">A </w:t>
            </w:r>
            <w:r>
              <w:rPr>
                <w:noProof/>
              </w:rPr>
              <w:t xml:space="preserve">tengeri szél- és egyéb tengeri energiára vonatkozó térképen meghatározott kulcsfontosságú szabályozási intézkedések hatálybalépése a kutatás és az innováció előmozdítása, valamint az úszó technológiák alkalmazásának támogatása érdekében. E kulcsfontosságú </w:t>
            </w:r>
            <w:r>
              <w:rPr>
                <w:noProof/>
              </w:rPr>
              <w:t>intézkedések közé tartoznak a következők: a tengeri területrendezési tervek végleges jóváhagyása, a hálózattervezés és az offshore stratégia jobb összehangolása, valamint a szabályozási keret aktualizálása.</w:t>
            </w:r>
          </w:p>
        </w:tc>
      </w:tr>
      <w:tr w:rsidR="003E1D81" w14:paraId="4EE8FC0F" w14:textId="77777777">
        <w:trPr>
          <w:trHeight w:val="309"/>
        </w:trPr>
        <w:tc>
          <w:tcPr>
            <w:tcW w:w="709" w:type="dxa"/>
            <w:shd w:val="clear" w:color="auto" w:fill="C6EFCE"/>
            <w:noWrap/>
          </w:tcPr>
          <w:p w14:paraId="31A92431" w14:textId="77777777" w:rsidR="003E1D81" w:rsidRDefault="00EB481C">
            <w:pPr>
              <w:pStyle w:val="P68B1DB1-Normal13"/>
              <w:spacing w:after="0" w:line="240" w:lineRule="auto"/>
              <w:jc w:val="center"/>
              <w:rPr>
                <w:rFonts w:eastAsia="Symbol" w:cs="Times New Roman"/>
                <w:noProof/>
              </w:rPr>
            </w:pPr>
            <w:r>
              <w:rPr>
                <w:noProof/>
              </w:rPr>
              <w:t>114</w:t>
            </w:r>
          </w:p>
        </w:tc>
        <w:tc>
          <w:tcPr>
            <w:tcW w:w="851" w:type="dxa"/>
            <w:shd w:val="clear" w:color="auto" w:fill="C6EFCE"/>
            <w:noWrap/>
          </w:tcPr>
          <w:p w14:paraId="78568058" w14:textId="77777777" w:rsidR="003E1D81" w:rsidRDefault="00EB481C">
            <w:pPr>
              <w:pStyle w:val="P68B1DB1-Normal13"/>
              <w:spacing w:after="0" w:line="240" w:lineRule="auto"/>
              <w:jc w:val="center"/>
              <w:rPr>
                <w:rFonts w:eastAsia="Symbol" w:cs="Times New Roman"/>
                <w:noProof/>
              </w:rPr>
            </w:pPr>
            <w:r>
              <w:rPr>
                <w:noProof/>
              </w:rPr>
              <w:t>C7.R4</w:t>
            </w:r>
          </w:p>
        </w:tc>
        <w:tc>
          <w:tcPr>
            <w:tcW w:w="850" w:type="dxa"/>
            <w:shd w:val="clear" w:color="auto" w:fill="C6EFCE"/>
            <w:noWrap/>
          </w:tcPr>
          <w:p w14:paraId="36E3BA94" w14:textId="77777777" w:rsidR="003E1D81" w:rsidRDefault="00EB481C">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66D801F0" w14:textId="77777777" w:rsidR="003E1D81" w:rsidRDefault="00EB481C">
            <w:pPr>
              <w:pStyle w:val="P68B1DB1-Normal13"/>
              <w:spacing w:after="0" w:line="240" w:lineRule="auto"/>
              <w:rPr>
                <w:rFonts w:eastAsia="Symbol" w:cs="Times New Roman"/>
                <w:noProof/>
              </w:rPr>
            </w:pPr>
            <w:r>
              <w:rPr>
                <w:noProof/>
              </w:rPr>
              <w:t xml:space="preserve">A biogázra vonatkozó ütemtervben </w:t>
            </w:r>
            <w:r>
              <w:rPr>
                <w:noProof/>
              </w:rPr>
              <w:t>meghatározott intézkedések lezárása</w:t>
            </w:r>
          </w:p>
        </w:tc>
        <w:tc>
          <w:tcPr>
            <w:tcW w:w="1276" w:type="dxa"/>
            <w:shd w:val="clear" w:color="auto" w:fill="C6EFCE"/>
            <w:noWrap/>
          </w:tcPr>
          <w:p w14:paraId="526D0C03" w14:textId="77777777" w:rsidR="003E1D81" w:rsidRDefault="00EB481C">
            <w:pPr>
              <w:pStyle w:val="P68B1DB1-Normal13"/>
              <w:spacing w:after="0" w:line="240" w:lineRule="auto"/>
              <w:jc w:val="center"/>
              <w:rPr>
                <w:rFonts w:eastAsia="Symbol" w:cs="Times New Roman"/>
                <w:noProof/>
              </w:rPr>
            </w:pPr>
            <w:r>
              <w:rPr>
                <w:noProof/>
              </w:rPr>
              <w:t>Közzététel a honlapon</w:t>
            </w:r>
          </w:p>
        </w:tc>
        <w:tc>
          <w:tcPr>
            <w:tcW w:w="850" w:type="dxa"/>
            <w:shd w:val="clear" w:color="auto" w:fill="C6EFCE"/>
            <w:noWrap/>
          </w:tcPr>
          <w:p w14:paraId="248DBDE2" w14:textId="77777777" w:rsidR="003E1D81" w:rsidRDefault="00EB481C">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452D7DC3" w14:textId="77777777" w:rsidR="003E1D81" w:rsidRDefault="00EB481C">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3E835728" w14:textId="77777777" w:rsidR="003E1D81" w:rsidRDefault="00EB481C">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2D4F3C3B"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78EF15BC" w14:textId="77777777" w:rsidR="003E1D81" w:rsidRDefault="00EB481C">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15988DBC" w14:textId="77777777" w:rsidR="003E1D81" w:rsidRDefault="00EB481C">
            <w:pPr>
              <w:pStyle w:val="P68B1DB1-Normal13"/>
              <w:spacing w:after="0" w:line="240" w:lineRule="auto"/>
              <w:rPr>
                <w:rFonts w:eastAsia="Symbol" w:cs="Times New Roman"/>
                <w:noProof/>
              </w:rPr>
            </w:pPr>
            <w:r>
              <w:rPr>
                <w:noProof/>
              </w:rPr>
              <w:t>A biogázra vonatkozó ütemtervben meghatározott kulcsfontosságú intézkedések lezárása, beleértve a megújuló gázokra vonatkozó származásigarancia-rendszer létrehozását, a biogáz ve</w:t>
            </w:r>
            <w:r>
              <w:rPr>
                <w:noProof/>
              </w:rPr>
              <w:t>rsenyképességének javítása és a biogáztermelésbe történő beruházások előmozdítása érdekében, biztosítva a gyorsabb dekarbonizációt az olyan ágazatokban, mint az ipar és a közlekedés.</w:t>
            </w:r>
          </w:p>
        </w:tc>
      </w:tr>
      <w:tr w:rsidR="003E1D81" w14:paraId="63C384DE" w14:textId="77777777">
        <w:trPr>
          <w:trHeight w:val="309"/>
        </w:trPr>
        <w:tc>
          <w:tcPr>
            <w:tcW w:w="709" w:type="dxa"/>
            <w:shd w:val="clear" w:color="auto" w:fill="C6EFCE"/>
            <w:noWrap/>
          </w:tcPr>
          <w:p w14:paraId="7FBB681B" w14:textId="77777777" w:rsidR="003E1D81" w:rsidRDefault="00EB481C">
            <w:pPr>
              <w:pStyle w:val="P68B1DB1-Normal13"/>
              <w:spacing w:after="0" w:line="240" w:lineRule="auto"/>
              <w:jc w:val="center"/>
              <w:rPr>
                <w:rFonts w:eastAsia="Symbol" w:cs="Times New Roman"/>
                <w:noProof/>
              </w:rPr>
            </w:pPr>
            <w:r>
              <w:rPr>
                <w:noProof/>
              </w:rPr>
              <w:t>115</w:t>
            </w:r>
          </w:p>
        </w:tc>
        <w:tc>
          <w:tcPr>
            <w:tcW w:w="851" w:type="dxa"/>
            <w:shd w:val="clear" w:color="auto" w:fill="C6EFCE"/>
            <w:noWrap/>
          </w:tcPr>
          <w:p w14:paraId="362CDE17" w14:textId="77777777" w:rsidR="003E1D81" w:rsidRDefault="00EB481C">
            <w:pPr>
              <w:pStyle w:val="P68B1DB1-Normal13"/>
              <w:spacing w:after="0" w:line="240" w:lineRule="auto"/>
              <w:jc w:val="center"/>
              <w:rPr>
                <w:rFonts w:eastAsia="Symbol" w:cs="Times New Roman"/>
                <w:noProof/>
              </w:rPr>
            </w:pPr>
            <w:r>
              <w:rPr>
                <w:noProof/>
              </w:rPr>
              <w:t>C7.I1</w:t>
            </w:r>
          </w:p>
        </w:tc>
        <w:tc>
          <w:tcPr>
            <w:tcW w:w="850" w:type="dxa"/>
            <w:shd w:val="clear" w:color="auto" w:fill="C6EFCE"/>
            <w:noWrap/>
          </w:tcPr>
          <w:p w14:paraId="700066EE" w14:textId="77777777" w:rsidR="003E1D81" w:rsidRDefault="00EB481C">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229661EF" w14:textId="77777777" w:rsidR="003E1D81" w:rsidRDefault="00EB481C">
            <w:pPr>
              <w:pStyle w:val="P68B1DB1-Normal13"/>
              <w:spacing w:after="0" w:line="240" w:lineRule="auto"/>
              <w:rPr>
                <w:rFonts w:eastAsia="Symbol" w:cs="Times New Roman"/>
                <w:noProof/>
              </w:rPr>
            </w:pPr>
            <w:r>
              <w:rPr>
                <w:noProof/>
              </w:rPr>
              <w:t xml:space="preserve">Pályázat innovatív vagy hozzáadott értékű </w:t>
            </w:r>
            <w:r>
              <w:rPr>
                <w:noProof/>
              </w:rPr>
              <w:t>megújulóenergia-kapacitás beruházási támogatására</w:t>
            </w:r>
          </w:p>
        </w:tc>
        <w:tc>
          <w:tcPr>
            <w:tcW w:w="1276" w:type="dxa"/>
            <w:shd w:val="clear" w:color="auto" w:fill="C6EFCE"/>
            <w:noWrap/>
          </w:tcPr>
          <w:p w14:paraId="40DBECFF" w14:textId="77777777" w:rsidR="003E1D81" w:rsidRDefault="00EB481C">
            <w:pPr>
              <w:pStyle w:val="P68B1DB1-Normal13"/>
              <w:spacing w:after="0" w:line="240" w:lineRule="auto"/>
              <w:jc w:val="center"/>
              <w:rPr>
                <w:rFonts w:eastAsia="Symbol" w:cs="Times New Roman"/>
                <w:noProof/>
              </w:rPr>
            </w:pPr>
            <w:r>
              <w:rPr>
                <w:noProof/>
              </w:rPr>
              <w:t>Közzététel a HL-ben</w:t>
            </w:r>
          </w:p>
        </w:tc>
        <w:tc>
          <w:tcPr>
            <w:tcW w:w="850" w:type="dxa"/>
            <w:shd w:val="clear" w:color="auto" w:fill="C6EFCE"/>
            <w:noWrap/>
          </w:tcPr>
          <w:p w14:paraId="46FD6BF3" w14:textId="77777777" w:rsidR="003E1D81" w:rsidRDefault="00EB481C">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0EEEC1AA" w14:textId="77777777" w:rsidR="003E1D81" w:rsidRDefault="00EB481C">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19C7E312" w14:textId="77777777" w:rsidR="003E1D81" w:rsidRDefault="00EB481C">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62BCC829" w14:textId="77777777" w:rsidR="003E1D81" w:rsidRDefault="00EB481C">
            <w:pPr>
              <w:pStyle w:val="P68B1DB1-Normal13"/>
              <w:spacing w:after="0" w:line="240" w:lineRule="auto"/>
              <w:jc w:val="center"/>
              <w:rPr>
                <w:rFonts w:eastAsia="Symbol" w:cs="Times New Roman"/>
                <w:noProof/>
              </w:rPr>
            </w:pPr>
            <w:r>
              <w:rPr>
                <w:noProof/>
              </w:rPr>
              <w:t>KÉRDÉS</w:t>
            </w:r>
          </w:p>
        </w:tc>
        <w:tc>
          <w:tcPr>
            <w:tcW w:w="567" w:type="dxa"/>
            <w:shd w:val="clear" w:color="auto" w:fill="C6EFCE"/>
            <w:noWrap/>
          </w:tcPr>
          <w:p w14:paraId="4B1264B9" w14:textId="77777777" w:rsidR="003E1D81" w:rsidRDefault="00EB481C">
            <w:pPr>
              <w:pStyle w:val="P68B1DB1-Normal13"/>
              <w:spacing w:after="0" w:line="240" w:lineRule="auto"/>
              <w:jc w:val="center"/>
              <w:rPr>
                <w:rFonts w:eastAsia="Symbol" w:cs="Times New Roman"/>
                <w:noProof/>
              </w:rPr>
            </w:pPr>
            <w:r>
              <w:rPr>
                <w:noProof/>
              </w:rPr>
              <w:t>2022</w:t>
            </w:r>
          </w:p>
        </w:tc>
        <w:tc>
          <w:tcPr>
            <w:tcW w:w="5217" w:type="dxa"/>
            <w:shd w:val="clear" w:color="auto" w:fill="C6EFCE"/>
            <w:noWrap/>
          </w:tcPr>
          <w:p w14:paraId="558321B8" w14:textId="77777777" w:rsidR="003E1D81" w:rsidRDefault="00EB481C">
            <w:pPr>
              <w:pStyle w:val="P68B1DB1-Normal13"/>
              <w:spacing w:after="0" w:line="240" w:lineRule="auto"/>
              <w:rPr>
                <w:rFonts w:eastAsia="Symbol" w:cs="Times New Roman"/>
                <w:noProof/>
              </w:rPr>
            </w:pPr>
            <w:r>
              <w:rPr>
                <w:noProof/>
              </w:rPr>
              <w:t xml:space="preserve">Az innovatív vagy hozzáadott értékű megújulóenergia-kapacitásra irányuló beruházási támogatásra vonatkozó első pályázat közzététele a Hivatalos Lapban </w:t>
            </w:r>
          </w:p>
        </w:tc>
      </w:tr>
      <w:tr w:rsidR="003E1D81" w14:paraId="525CA3D7" w14:textId="77777777">
        <w:trPr>
          <w:trHeight w:val="309"/>
        </w:trPr>
        <w:tc>
          <w:tcPr>
            <w:tcW w:w="709" w:type="dxa"/>
            <w:shd w:val="clear" w:color="auto" w:fill="C6EFCE"/>
            <w:noWrap/>
          </w:tcPr>
          <w:p w14:paraId="0ED21733" w14:textId="77777777" w:rsidR="003E1D81" w:rsidRDefault="00EB481C">
            <w:pPr>
              <w:pStyle w:val="P68B1DB1-Normal13"/>
              <w:spacing w:after="0" w:line="240" w:lineRule="auto"/>
              <w:jc w:val="center"/>
              <w:rPr>
                <w:rFonts w:eastAsia="Symbol" w:cs="Times New Roman"/>
                <w:noProof/>
              </w:rPr>
            </w:pPr>
            <w:r>
              <w:rPr>
                <w:noProof/>
              </w:rPr>
              <w:t>116</w:t>
            </w:r>
          </w:p>
        </w:tc>
        <w:tc>
          <w:tcPr>
            <w:tcW w:w="851" w:type="dxa"/>
            <w:shd w:val="clear" w:color="auto" w:fill="C6EFCE"/>
            <w:noWrap/>
          </w:tcPr>
          <w:p w14:paraId="30D6F564" w14:textId="77777777" w:rsidR="003E1D81" w:rsidRDefault="00EB481C">
            <w:pPr>
              <w:pStyle w:val="P68B1DB1-Normal13"/>
              <w:spacing w:after="0" w:line="240" w:lineRule="auto"/>
              <w:jc w:val="center"/>
              <w:rPr>
                <w:rFonts w:eastAsia="Symbol" w:cs="Times New Roman"/>
                <w:noProof/>
              </w:rPr>
            </w:pPr>
            <w:r>
              <w:rPr>
                <w:noProof/>
              </w:rPr>
              <w:t>C7.I1</w:t>
            </w:r>
          </w:p>
        </w:tc>
        <w:tc>
          <w:tcPr>
            <w:tcW w:w="850" w:type="dxa"/>
            <w:shd w:val="clear" w:color="auto" w:fill="C6EFCE"/>
            <w:noWrap/>
          </w:tcPr>
          <w:p w14:paraId="36F1F5A9" w14:textId="77777777" w:rsidR="003E1D81" w:rsidRDefault="00EB481C">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55EFD344" w14:textId="77777777" w:rsidR="003E1D81" w:rsidRDefault="00EB481C">
            <w:pPr>
              <w:pStyle w:val="P68B1DB1-Normal13"/>
              <w:spacing w:after="0" w:line="240" w:lineRule="auto"/>
              <w:rPr>
                <w:rFonts w:eastAsia="Symbol" w:cs="Times New Roman"/>
                <w:noProof/>
              </w:rPr>
            </w:pPr>
            <w:r>
              <w:rPr>
                <w:noProof/>
              </w:rPr>
              <w:t xml:space="preserve">A </w:t>
            </w:r>
            <w:r>
              <w:rPr>
                <w:noProof/>
              </w:rPr>
              <w:t>tengeri megújulóenergia-infrastruktúra új projektjei, technológiái vagy létesítményei</w:t>
            </w:r>
          </w:p>
        </w:tc>
        <w:tc>
          <w:tcPr>
            <w:tcW w:w="1276" w:type="dxa"/>
            <w:shd w:val="clear" w:color="auto" w:fill="C6EFCE"/>
            <w:noWrap/>
          </w:tcPr>
          <w:p w14:paraId="5F5B292E" w14:textId="77777777" w:rsidR="003E1D81" w:rsidRDefault="00EB481C">
            <w:pPr>
              <w:pStyle w:val="P68B1DB1-Normal13"/>
              <w:spacing w:after="0" w:line="240" w:lineRule="auto"/>
              <w:jc w:val="center"/>
              <w:rPr>
                <w:rFonts w:eastAsia="Symbol" w:cs="Times New Roman"/>
                <w:noProof/>
              </w:rPr>
            </w:pPr>
            <w:r>
              <w:rPr>
                <w:noProof/>
              </w:rPr>
              <w:t>Odaítélési határozat/beruházási hatósági határozat</w:t>
            </w:r>
          </w:p>
        </w:tc>
        <w:tc>
          <w:tcPr>
            <w:tcW w:w="850" w:type="dxa"/>
            <w:shd w:val="clear" w:color="auto" w:fill="C6EFCE"/>
            <w:noWrap/>
          </w:tcPr>
          <w:p w14:paraId="3E85448D" w14:textId="77777777" w:rsidR="003E1D81" w:rsidRDefault="00EB481C">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70342F75" w14:textId="77777777" w:rsidR="003E1D81" w:rsidRDefault="00EB481C">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0E6A004A" w14:textId="77777777" w:rsidR="003E1D81" w:rsidRDefault="00EB481C">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62FEC388"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44F941C4" w14:textId="77777777" w:rsidR="003E1D81" w:rsidRDefault="00EB481C">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4DF240FF" w14:textId="77777777" w:rsidR="003E1D81" w:rsidRDefault="00EB481C">
            <w:pPr>
              <w:pStyle w:val="P68B1DB1-Normal13"/>
              <w:spacing w:after="0" w:line="240" w:lineRule="auto"/>
              <w:rPr>
                <w:rFonts w:eastAsia="Symbol" w:cs="Times New Roman"/>
                <w:noProof/>
              </w:rPr>
            </w:pPr>
            <w:r>
              <w:rPr>
                <w:noProof/>
              </w:rPr>
              <w:t>Legalább 6 olyan fejlesztést ítéltek oda, amelyek a megújuló energiaforrások tengeri infrastruktúrá</w:t>
            </w:r>
            <w:r>
              <w:rPr>
                <w:noProof/>
              </w:rPr>
              <w:t>jának új projektjeit, technológiáit vagy létesítményeit mozdítják elő. A 6 fejlesztésnek hozzá kell járulnia a megújuló tengeri energiával kapcsolatos spanyolországi projektek végrehajtásához. A fejlesztések kiterjedhetnek a megújuló tengeri energiával fog</w:t>
            </w:r>
            <w:r>
              <w:rPr>
                <w:noProof/>
              </w:rPr>
              <w:t xml:space="preserve">lalkozó kkv-kra, amelyek vissza nem térítendő támogatásban, kölcsönben vagy tőkebefektetésben részesülnek, részt vesznek a kereskedelmi hasznosítást megelőző közbeszerzésben, valamint a megújuló energiával kapcsolatos tengeri projekteknek vagy egy tengeri </w:t>
            </w:r>
            <w:r>
              <w:rPr>
                <w:noProof/>
              </w:rPr>
              <w:t xml:space="preserve">megújulóenergia-prototípusnak közvetlenül nyújtott vissza nem térítendő támogatásokban. </w:t>
            </w:r>
          </w:p>
        </w:tc>
      </w:tr>
      <w:tr w:rsidR="003E1D81" w14:paraId="3343B885" w14:textId="77777777">
        <w:trPr>
          <w:trHeight w:val="309"/>
        </w:trPr>
        <w:tc>
          <w:tcPr>
            <w:tcW w:w="709" w:type="dxa"/>
            <w:shd w:val="clear" w:color="auto" w:fill="C6EFCE"/>
            <w:noWrap/>
          </w:tcPr>
          <w:p w14:paraId="759D24EC" w14:textId="77777777" w:rsidR="003E1D81" w:rsidRDefault="00EB481C">
            <w:pPr>
              <w:pStyle w:val="P68B1DB1-Normal13"/>
              <w:spacing w:after="0" w:line="240" w:lineRule="auto"/>
              <w:jc w:val="center"/>
              <w:rPr>
                <w:rFonts w:eastAsia="Symbol" w:cs="Times New Roman"/>
                <w:noProof/>
              </w:rPr>
            </w:pPr>
            <w:r>
              <w:rPr>
                <w:noProof/>
              </w:rPr>
              <w:t>117</w:t>
            </w:r>
          </w:p>
        </w:tc>
        <w:tc>
          <w:tcPr>
            <w:tcW w:w="851" w:type="dxa"/>
            <w:shd w:val="clear" w:color="auto" w:fill="C6EFCE"/>
            <w:noWrap/>
          </w:tcPr>
          <w:p w14:paraId="1FCB6415" w14:textId="77777777" w:rsidR="003E1D81" w:rsidRDefault="00EB481C">
            <w:pPr>
              <w:pStyle w:val="P68B1DB1-Normal13"/>
              <w:spacing w:after="0" w:line="240" w:lineRule="auto"/>
              <w:jc w:val="center"/>
              <w:rPr>
                <w:rFonts w:eastAsia="Symbol" w:cs="Times New Roman"/>
                <w:noProof/>
              </w:rPr>
            </w:pPr>
            <w:r>
              <w:rPr>
                <w:noProof/>
              </w:rPr>
              <w:t>C7.I1</w:t>
            </w:r>
          </w:p>
        </w:tc>
        <w:tc>
          <w:tcPr>
            <w:tcW w:w="850" w:type="dxa"/>
            <w:shd w:val="clear" w:color="auto" w:fill="C6EFCE"/>
            <w:noWrap/>
          </w:tcPr>
          <w:p w14:paraId="6B6D6E84" w14:textId="77777777" w:rsidR="003E1D81" w:rsidRDefault="00EB481C">
            <w:pPr>
              <w:pStyle w:val="P68B1DB1-Normal13"/>
              <w:spacing w:after="0" w:line="240" w:lineRule="auto"/>
              <w:jc w:val="center"/>
              <w:rPr>
                <w:rFonts w:eastAsia="Symbol" w:cs="Times New Roman"/>
                <w:noProof/>
              </w:rPr>
            </w:pPr>
            <w:r>
              <w:rPr>
                <w:noProof/>
              </w:rPr>
              <w:t>T</w:t>
            </w:r>
          </w:p>
        </w:tc>
        <w:tc>
          <w:tcPr>
            <w:tcW w:w="2977" w:type="dxa"/>
            <w:shd w:val="clear" w:color="auto" w:fill="C6EFCE"/>
            <w:noWrap/>
          </w:tcPr>
          <w:p w14:paraId="296A9DA6" w14:textId="77777777" w:rsidR="003E1D81" w:rsidRDefault="00EB481C">
            <w:pPr>
              <w:pStyle w:val="P68B1DB1-Normal13"/>
              <w:spacing w:after="0" w:line="240" w:lineRule="auto"/>
              <w:rPr>
                <w:rFonts w:eastAsia="Symbol" w:cs="Times New Roman"/>
                <w:noProof/>
              </w:rPr>
            </w:pPr>
            <w:r>
              <w:rPr>
                <w:noProof/>
              </w:rPr>
              <w:t>Az innovatív vagy hozzáadott értéket képviselő megújuló energia további termelési kapacitása</w:t>
            </w:r>
          </w:p>
        </w:tc>
        <w:tc>
          <w:tcPr>
            <w:tcW w:w="1276" w:type="dxa"/>
            <w:shd w:val="clear" w:color="auto" w:fill="C6EFCE"/>
            <w:noWrap/>
          </w:tcPr>
          <w:p w14:paraId="6DF7B9A8" w14:textId="77777777" w:rsidR="003E1D81" w:rsidRDefault="00EB481C">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0ED551FE" w14:textId="77777777" w:rsidR="003E1D81" w:rsidRDefault="00EB481C">
            <w:pPr>
              <w:pStyle w:val="P68B1DB1-Normal13"/>
              <w:spacing w:after="0" w:line="240" w:lineRule="auto"/>
              <w:jc w:val="center"/>
              <w:rPr>
                <w:rFonts w:eastAsia="Symbol" w:cs="Times New Roman"/>
                <w:noProof/>
              </w:rPr>
            </w:pPr>
            <w:r>
              <w:rPr>
                <w:noProof/>
              </w:rPr>
              <w:t>Szám (MW)</w:t>
            </w:r>
          </w:p>
        </w:tc>
        <w:tc>
          <w:tcPr>
            <w:tcW w:w="709" w:type="dxa"/>
            <w:shd w:val="clear" w:color="auto" w:fill="C6EFCE"/>
            <w:noWrap/>
          </w:tcPr>
          <w:p w14:paraId="750AB381" w14:textId="77777777" w:rsidR="003E1D81" w:rsidRDefault="00EB481C">
            <w:pPr>
              <w:pStyle w:val="P68B1DB1-Normal13"/>
              <w:spacing w:after="0" w:line="240" w:lineRule="auto"/>
              <w:jc w:val="center"/>
              <w:rPr>
                <w:rFonts w:eastAsia="Symbol" w:cs="Times New Roman"/>
                <w:noProof/>
              </w:rPr>
            </w:pPr>
            <w:r>
              <w:rPr>
                <w:noProof/>
              </w:rPr>
              <w:t>0</w:t>
            </w:r>
          </w:p>
        </w:tc>
        <w:tc>
          <w:tcPr>
            <w:tcW w:w="737" w:type="dxa"/>
            <w:shd w:val="clear" w:color="auto" w:fill="C6EFCE"/>
            <w:noWrap/>
          </w:tcPr>
          <w:p w14:paraId="65516202" w14:textId="77777777" w:rsidR="003E1D81" w:rsidRDefault="00EB481C">
            <w:pPr>
              <w:pStyle w:val="P68B1DB1-Normal13"/>
              <w:spacing w:after="0" w:line="240" w:lineRule="auto"/>
              <w:jc w:val="center"/>
              <w:rPr>
                <w:rFonts w:eastAsia="Symbol" w:cs="Times New Roman"/>
                <w:noProof/>
              </w:rPr>
            </w:pPr>
            <w:r>
              <w:rPr>
                <w:noProof/>
              </w:rPr>
              <w:t>3 800</w:t>
            </w:r>
          </w:p>
        </w:tc>
        <w:tc>
          <w:tcPr>
            <w:tcW w:w="567" w:type="dxa"/>
            <w:shd w:val="clear" w:color="auto" w:fill="C6EFCE"/>
            <w:noWrap/>
          </w:tcPr>
          <w:p w14:paraId="72E55E20" w14:textId="77777777" w:rsidR="003E1D81" w:rsidRDefault="00EB481C">
            <w:pPr>
              <w:pStyle w:val="P68B1DB1-Normal13"/>
              <w:spacing w:after="0" w:line="240" w:lineRule="auto"/>
              <w:jc w:val="center"/>
              <w:rPr>
                <w:rFonts w:eastAsia="Symbol" w:cs="Times New Roman"/>
                <w:noProof/>
              </w:rPr>
            </w:pPr>
            <w:r>
              <w:rPr>
                <w:noProof/>
              </w:rPr>
              <w:t>KÉRDÉS</w:t>
            </w:r>
          </w:p>
        </w:tc>
        <w:tc>
          <w:tcPr>
            <w:tcW w:w="567" w:type="dxa"/>
            <w:shd w:val="clear" w:color="auto" w:fill="C6EFCE"/>
            <w:noWrap/>
          </w:tcPr>
          <w:p w14:paraId="1A3FCE25" w14:textId="77777777" w:rsidR="003E1D81" w:rsidRDefault="00EB481C">
            <w:pPr>
              <w:pStyle w:val="P68B1DB1-Normal13"/>
              <w:spacing w:after="0" w:line="240" w:lineRule="auto"/>
              <w:jc w:val="center"/>
              <w:rPr>
                <w:rFonts w:eastAsia="Symbol" w:cs="Times New Roman"/>
                <w:noProof/>
              </w:rPr>
            </w:pPr>
            <w:r>
              <w:rPr>
                <w:noProof/>
              </w:rPr>
              <w:t>2026</w:t>
            </w:r>
          </w:p>
        </w:tc>
        <w:tc>
          <w:tcPr>
            <w:tcW w:w="5217" w:type="dxa"/>
            <w:shd w:val="clear" w:color="auto" w:fill="C6EFCE"/>
            <w:noWrap/>
          </w:tcPr>
          <w:p w14:paraId="7A94C722" w14:textId="21462508" w:rsidR="003E1D81" w:rsidRDefault="00EB481C">
            <w:pPr>
              <w:pStyle w:val="P68B1DB1-Normal13"/>
              <w:spacing w:after="0" w:line="240" w:lineRule="auto"/>
              <w:rPr>
                <w:rFonts w:eastAsia="Symbol" w:cs="Times New Roman"/>
                <w:noProof/>
              </w:rPr>
            </w:pPr>
            <w:r>
              <w:rPr>
                <w:noProof/>
              </w:rPr>
              <w:t xml:space="preserve">Az innovatív vagy hozzáadott </w:t>
            </w:r>
            <w:r>
              <w:rPr>
                <w:noProof/>
              </w:rPr>
              <w:t>értéket képviselő megújulóenergia-termelési kapacitás halmozott többletkapacitása (legalább 3 800 MW telepített)</w:t>
            </w:r>
          </w:p>
        </w:tc>
      </w:tr>
      <w:tr w:rsidR="003E1D81" w14:paraId="6D310B05" w14:textId="77777777">
        <w:trPr>
          <w:trHeight w:val="309"/>
        </w:trPr>
        <w:tc>
          <w:tcPr>
            <w:tcW w:w="709" w:type="dxa"/>
            <w:shd w:val="clear" w:color="auto" w:fill="C6EFCE"/>
            <w:noWrap/>
          </w:tcPr>
          <w:p w14:paraId="3D8C1C99" w14:textId="77777777" w:rsidR="003E1D81" w:rsidRDefault="00EB481C">
            <w:pPr>
              <w:pStyle w:val="P68B1DB1-Normal13"/>
              <w:spacing w:after="0" w:line="240" w:lineRule="auto"/>
              <w:jc w:val="center"/>
              <w:rPr>
                <w:rFonts w:cs="Times New Roman"/>
                <w:noProof/>
              </w:rPr>
            </w:pPr>
            <w:r>
              <w:rPr>
                <w:noProof/>
              </w:rPr>
              <w:t>118</w:t>
            </w:r>
          </w:p>
        </w:tc>
        <w:tc>
          <w:tcPr>
            <w:tcW w:w="851" w:type="dxa"/>
            <w:shd w:val="clear" w:color="auto" w:fill="C6EFCE"/>
            <w:noWrap/>
          </w:tcPr>
          <w:p w14:paraId="682041F3" w14:textId="77777777" w:rsidR="003E1D81" w:rsidRDefault="00EB481C">
            <w:pPr>
              <w:pStyle w:val="P68B1DB1-Normal13"/>
              <w:spacing w:after="0" w:line="240" w:lineRule="auto"/>
              <w:jc w:val="center"/>
              <w:rPr>
                <w:rFonts w:cs="Times New Roman"/>
                <w:noProof/>
              </w:rPr>
            </w:pPr>
            <w:r>
              <w:rPr>
                <w:noProof/>
              </w:rPr>
              <w:t>C7.I2</w:t>
            </w:r>
          </w:p>
        </w:tc>
        <w:tc>
          <w:tcPr>
            <w:tcW w:w="850" w:type="dxa"/>
            <w:shd w:val="clear" w:color="auto" w:fill="C6EFCE"/>
            <w:noWrap/>
          </w:tcPr>
          <w:p w14:paraId="52C87E1D" w14:textId="77777777" w:rsidR="003E1D81" w:rsidRDefault="00EB481C">
            <w:pPr>
              <w:pStyle w:val="P68B1DB1-Normal13"/>
              <w:spacing w:after="0" w:line="240" w:lineRule="auto"/>
              <w:jc w:val="center"/>
              <w:rPr>
                <w:rFonts w:cs="Times New Roman"/>
                <w:noProof/>
              </w:rPr>
            </w:pPr>
            <w:r>
              <w:rPr>
                <w:noProof/>
              </w:rPr>
              <w:t>M</w:t>
            </w:r>
          </w:p>
        </w:tc>
        <w:tc>
          <w:tcPr>
            <w:tcW w:w="2977" w:type="dxa"/>
            <w:shd w:val="clear" w:color="auto" w:fill="C6EFCE"/>
            <w:noWrap/>
          </w:tcPr>
          <w:p w14:paraId="02CC24B3" w14:textId="77777777" w:rsidR="003E1D81" w:rsidRDefault="00EB481C">
            <w:pPr>
              <w:pStyle w:val="P68B1DB1-Normal13"/>
              <w:spacing w:after="0" w:line="240" w:lineRule="auto"/>
              <w:rPr>
                <w:rFonts w:cs="Times New Roman"/>
                <w:noProof/>
              </w:rPr>
            </w:pPr>
            <w:r>
              <w:rPr>
                <w:noProof/>
              </w:rPr>
              <w:t xml:space="preserve">Tiszta energia és intelligens projektek – Szigetek Hivatala </w:t>
            </w:r>
          </w:p>
        </w:tc>
        <w:tc>
          <w:tcPr>
            <w:tcW w:w="1276" w:type="dxa"/>
            <w:shd w:val="clear" w:color="auto" w:fill="C6EFCE"/>
            <w:noWrap/>
          </w:tcPr>
          <w:p w14:paraId="34C0E3E8" w14:textId="77777777" w:rsidR="003E1D81" w:rsidRDefault="00EB481C">
            <w:pPr>
              <w:pStyle w:val="P68B1DB1-Normal13"/>
              <w:spacing w:after="0" w:line="240" w:lineRule="auto"/>
              <w:jc w:val="center"/>
              <w:rPr>
                <w:rFonts w:cs="Times New Roman"/>
                <w:noProof/>
              </w:rPr>
            </w:pPr>
            <w:r>
              <w:rPr>
                <w:noProof/>
              </w:rPr>
              <w:t>Közzététel a honlapon</w:t>
            </w:r>
          </w:p>
        </w:tc>
        <w:tc>
          <w:tcPr>
            <w:tcW w:w="850" w:type="dxa"/>
            <w:shd w:val="clear" w:color="auto" w:fill="C6EFCE"/>
            <w:noWrap/>
          </w:tcPr>
          <w:p w14:paraId="47F07C36" w14:textId="77777777" w:rsidR="003E1D81" w:rsidRDefault="00EB481C">
            <w:pPr>
              <w:pStyle w:val="P68B1DB1-Normal13"/>
              <w:spacing w:after="0" w:line="240" w:lineRule="auto"/>
              <w:jc w:val="center"/>
              <w:rPr>
                <w:rFonts w:cs="Times New Roman"/>
                <w:noProof/>
              </w:rPr>
            </w:pPr>
            <w:r>
              <w:rPr>
                <w:noProof/>
              </w:rPr>
              <w:t> </w:t>
            </w:r>
          </w:p>
        </w:tc>
        <w:tc>
          <w:tcPr>
            <w:tcW w:w="709" w:type="dxa"/>
            <w:shd w:val="clear" w:color="auto" w:fill="C6EFCE"/>
            <w:noWrap/>
          </w:tcPr>
          <w:p w14:paraId="0F6115FE" w14:textId="77777777" w:rsidR="003E1D81" w:rsidRDefault="00EB481C">
            <w:pPr>
              <w:pStyle w:val="P68B1DB1-Normal13"/>
              <w:spacing w:after="0" w:line="240" w:lineRule="auto"/>
              <w:jc w:val="center"/>
              <w:rPr>
                <w:rFonts w:cs="Times New Roman"/>
                <w:noProof/>
              </w:rPr>
            </w:pPr>
            <w:r>
              <w:rPr>
                <w:noProof/>
              </w:rPr>
              <w:t> </w:t>
            </w:r>
          </w:p>
        </w:tc>
        <w:tc>
          <w:tcPr>
            <w:tcW w:w="737" w:type="dxa"/>
            <w:shd w:val="clear" w:color="auto" w:fill="C6EFCE"/>
            <w:noWrap/>
          </w:tcPr>
          <w:p w14:paraId="4F32E632" w14:textId="77777777" w:rsidR="003E1D81" w:rsidRDefault="00EB481C">
            <w:pPr>
              <w:pStyle w:val="P68B1DB1-Normal13"/>
              <w:spacing w:after="0" w:line="240" w:lineRule="auto"/>
              <w:jc w:val="center"/>
              <w:rPr>
                <w:rFonts w:cs="Times New Roman"/>
                <w:noProof/>
              </w:rPr>
            </w:pPr>
            <w:r>
              <w:rPr>
                <w:noProof/>
              </w:rPr>
              <w:t> </w:t>
            </w:r>
          </w:p>
        </w:tc>
        <w:tc>
          <w:tcPr>
            <w:tcW w:w="567" w:type="dxa"/>
            <w:shd w:val="clear" w:color="auto" w:fill="C6EFCE"/>
            <w:noWrap/>
          </w:tcPr>
          <w:p w14:paraId="51C7C0D8"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731A8916" w14:textId="77777777" w:rsidR="003E1D81" w:rsidRDefault="00EB481C">
            <w:pPr>
              <w:pStyle w:val="P68B1DB1-Normal13"/>
              <w:spacing w:after="0" w:line="240" w:lineRule="auto"/>
              <w:jc w:val="center"/>
              <w:rPr>
                <w:rFonts w:cs="Times New Roman"/>
                <w:noProof/>
              </w:rPr>
            </w:pPr>
            <w:r>
              <w:rPr>
                <w:noProof/>
              </w:rPr>
              <w:t>2023</w:t>
            </w:r>
          </w:p>
        </w:tc>
        <w:tc>
          <w:tcPr>
            <w:tcW w:w="5217" w:type="dxa"/>
            <w:shd w:val="clear" w:color="auto" w:fill="C6EFCE"/>
            <w:noWrap/>
          </w:tcPr>
          <w:p w14:paraId="68C8E727" w14:textId="1B075716" w:rsidR="003E1D81" w:rsidRDefault="00EB481C">
            <w:pPr>
              <w:pStyle w:val="P68B1DB1-Normal13"/>
              <w:spacing w:after="0" w:line="240" w:lineRule="auto"/>
              <w:rPr>
                <w:rFonts w:cs="Times New Roman"/>
                <w:noProof/>
              </w:rPr>
            </w:pPr>
            <w:r>
              <w:rPr>
                <w:noProof/>
              </w:rPr>
              <w:t xml:space="preserve">A Tiszta energia és </w:t>
            </w:r>
            <w:r>
              <w:rPr>
                <w:noProof/>
              </w:rPr>
              <w:t>intelligens projektek hivatalának létrehozása a Helyreállítási és Rezilienciaépítési Eszköz támogatási programjainak irányítása céljából. A hivatal koordinálja az energetikai átállás dinamizálását és fejlesztését a szigeteken.</w:t>
            </w:r>
          </w:p>
        </w:tc>
      </w:tr>
      <w:tr w:rsidR="003E1D81" w14:paraId="25A1F8FC" w14:textId="77777777">
        <w:trPr>
          <w:trHeight w:val="309"/>
        </w:trPr>
        <w:tc>
          <w:tcPr>
            <w:tcW w:w="709" w:type="dxa"/>
            <w:shd w:val="clear" w:color="auto" w:fill="C6EFCE"/>
            <w:noWrap/>
          </w:tcPr>
          <w:p w14:paraId="2714F9DC" w14:textId="77777777" w:rsidR="003E1D81" w:rsidRDefault="00EB481C">
            <w:pPr>
              <w:pStyle w:val="P68B1DB1-Normal13"/>
              <w:spacing w:after="0" w:line="240" w:lineRule="auto"/>
              <w:jc w:val="center"/>
              <w:rPr>
                <w:rFonts w:cs="Times New Roman"/>
                <w:noProof/>
              </w:rPr>
            </w:pPr>
            <w:r>
              <w:rPr>
                <w:noProof/>
              </w:rPr>
              <w:t>119</w:t>
            </w:r>
          </w:p>
        </w:tc>
        <w:tc>
          <w:tcPr>
            <w:tcW w:w="851" w:type="dxa"/>
            <w:shd w:val="clear" w:color="auto" w:fill="C6EFCE"/>
            <w:noWrap/>
          </w:tcPr>
          <w:p w14:paraId="5014F004" w14:textId="77777777" w:rsidR="003E1D81" w:rsidRDefault="00EB481C">
            <w:pPr>
              <w:pStyle w:val="P68B1DB1-Normal13"/>
              <w:spacing w:after="0" w:line="240" w:lineRule="auto"/>
              <w:jc w:val="center"/>
              <w:rPr>
                <w:rFonts w:cs="Times New Roman"/>
                <w:noProof/>
              </w:rPr>
            </w:pPr>
            <w:r>
              <w:rPr>
                <w:noProof/>
              </w:rPr>
              <w:t>C7.I2</w:t>
            </w:r>
          </w:p>
        </w:tc>
        <w:tc>
          <w:tcPr>
            <w:tcW w:w="850" w:type="dxa"/>
            <w:shd w:val="clear" w:color="auto" w:fill="C6EFCE"/>
            <w:noWrap/>
          </w:tcPr>
          <w:p w14:paraId="1AB0E554" w14:textId="77777777" w:rsidR="003E1D81" w:rsidRDefault="00EB481C">
            <w:pPr>
              <w:pStyle w:val="P68B1DB1-Normal13"/>
              <w:spacing w:after="0" w:line="240" w:lineRule="auto"/>
              <w:jc w:val="center"/>
              <w:rPr>
                <w:rFonts w:cs="Times New Roman"/>
                <w:noProof/>
              </w:rPr>
            </w:pPr>
            <w:r>
              <w:rPr>
                <w:noProof/>
              </w:rPr>
              <w:t>T</w:t>
            </w:r>
          </w:p>
        </w:tc>
        <w:tc>
          <w:tcPr>
            <w:tcW w:w="2977" w:type="dxa"/>
            <w:shd w:val="clear" w:color="auto" w:fill="C6EFCE"/>
            <w:noWrap/>
          </w:tcPr>
          <w:p w14:paraId="679AE7D0" w14:textId="77777777" w:rsidR="003E1D81" w:rsidRDefault="00EB481C">
            <w:pPr>
              <w:pStyle w:val="P68B1DB1-Normal13"/>
              <w:spacing w:after="0" w:line="240" w:lineRule="auto"/>
              <w:rPr>
                <w:rFonts w:cs="Times New Roman"/>
                <w:noProof/>
              </w:rPr>
            </w:pPr>
            <w:r>
              <w:rPr>
                <w:noProof/>
              </w:rPr>
              <w:t xml:space="preserve">A szigetek </w:t>
            </w:r>
            <w:r>
              <w:rPr>
                <w:noProof/>
              </w:rPr>
              <w:t>energetikai átállását támogató projektek lezárása</w:t>
            </w:r>
          </w:p>
        </w:tc>
        <w:tc>
          <w:tcPr>
            <w:tcW w:w="1276" w:type="dxa"/>
            <w:shd w:val="clear" w:color="auto" w:fill="C6EFCE"/>
            <w:noWrap/>
          </w:tcPr>
          <w:p w14:paraId="0E19070B" w14:textId="77777777" w:rsidR="003E1D81" w:rsidRDefault="00EB481C">
            <w:pPr>
              <w:pStyle w:val="P68B1DB1-Normal13"/>
              <w:spacing w:after="0" w:line="240" w:lineRule="auto"/>
              <w:jc w:val="center"/>
              <w:rPr>
                <w:rFonts w:cs="Times New Roman"/>
                <w:noProof/>
              </w:rPr>
            </w:pPr>
            <w:r>
              <w:rPr>
                <w:noProof/>
              </w:rPr>
              <w:t> –</w:t>
            </w:r>
          </w:p>
        </w:tc>
        <w:tc>
          <w:tcPr>
            <w:tcW w:w="850" w:type="dxa"/>
            <w:shd w:val="clear" w:color="auto" w:fill="C6EFCE"/>
            <w:noWrap/>
          </w:tcPr>
          <w:p w14:paraId="4B1E7BCA" w14:textId="77777777" w:rsidR="003E1D81" w:rsidRDefault="00EB481C">
            <w:pPr>
              <w:pStyle w:val="P68B1DB1-Normal13"/>
              <w:spacing w:after="0" w:line="240" w:lineRule="auto"/>
              <w:jc w:val="center"/>
              <w:rPr>
                <w:rFonts w:cs="Times New Roman"/>
                <w:noProof/>
              </w:rPr>
            </w:pPr>
            <w:r>
              <w:rPr>
                <w:noProof/>
              </w:rPr>
              <w:t>Szám</w:t>
            </w:r>
          </w:p>
        </w:tc>
        <w:tc>
          <w:tcPr>
            <w:tcW w:w="709" w:type="dxa"/>
            <w:shd w:val="clear" w:color="auto" w:fill="C6EFCE"/>
            <w:noWrap/>
          </w:tcPr>
          <w:p w14:paraId="481DA1EE" w14:textId="77777777" w:rsidR="003E1D81" w:rsidRDefault="00EB481C">
            <w:pPr>
              <w:pStyle w:val="P68B1DB1-Normal13"/>
              <w:spacing w:after="0" w:line="240" w:lineRule="auto"/>
              <w:jc w:val="center"/>
              <w:rPr>
                <w:rFonts w:cs="Times New Roman"/>
                <w:noProof/>
              </w:rPr>
            </w:pPr>
            <w:r>
              <w:rPr>
                <w:noProof/>
              </w:rPr>
              <w:t>0</w:t>
            </w:r>
          </w:p>
        </w:tc>
        <w:tc>
          <w:tcPr>
            <w:tcW w:w="737" w:type="dxa"/>
            <w:shd w:val="clear" w:color="auto" w:fill="C6EFCE"/>
            <w:noWrap/>
          </w:tcPr>
          <w:p w14:paraId="5B060510" w14:textId="03A49CCB" w:rsidR="003E1D81" w:rsidRDefault="00EB481C">
            <w:pPr>
              <w:pStyle w:val="P68B1DB1-Normal13"/>
              <w:spacing w:after="0" w:line="240" w:lineRule="auto"/>
              <w:jc w:val="center"/>
              <w:rPr>
                <w:rFonts w:cs="Times New Roman"/>
                <w:noProof/>
              </w:rPr>
            </w:pPr>
            <w:r>
              <w:rPr>
                <w:noProof/>
              </w:rPr>
              <w:t>600</w:t>
            </w:r>
          </w:p>
        </w:tc>
        <w:tc>
          <w:tcPr>
            <w:tcW w:w="567" w:type="dxa"/>
            <w:shd w:val="clear" w:color="auto" w:fill="C6EFCE"/>
            <w:noWrap/>
          </w:tcPr>
          <w:p w14:paraId="2A729CC7"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154BFC85" w14:textId="5D1FDB41" w:rsidR="003E1D81" w:rsidRDefault="00EB481C">
            <w:pPr>
              <w:pStyle w:val="P68B1DB1-Normal13"/>
              <w:spacing w:after="0" w:line="240" w:lineRule="auto"/>
              <w:jc w:val="center"/>
              <w:rPr>
                <w:rFonts w:cs="Times New Roman"/>
                <w:noProof/>
              </w:rPr>
            </w:pPr>
            <w:r>
              <w:rPr>
                <w:noProof/>
              </w:rPr>
              <w:t>2025</w:t>
            </w:r>
          </w:p>
        </w:tc>
        <w:tc>
          <w:tcPr>
            <w:tcW w:w="5217" w:type="dxa"/>
            <w:shd w:val="clear" w:color="auto" w:fill="C6EFCE"/>
            <w:noWrap/>
          </w:tcPr>
          <w:p w14:paraId="183909CE" w14:textId="2A2B3FB4" w:rsidR="003E1D81" w:rsidRDefault="00EB481C">
            <w:pPr>
              <w:pStyle w:val="P68B1DB1-Normal13"/>
              <w:spacing w:after="0" w:line="240" w:lineRule="auto"/>
              <w:rPr>
                <w:rFonts w:cs="Times New Roman"/>
                <w:noProof/>
              </w:rPr>
            </w:pPr>
            <w:r>
              <w:rPr>
                <w:noProof/>
              </w:rPr>
              <w:t>Legalább 600 támogatott vagy végrehajtott fellépés, projekt vagy program, beleértve a következőket: dinamizációs programok vagy irodák, szigeti ütemtervek, beruházási vagy támoga</w:t>
            </w:r>
            <w:r>
              <w:rPr>
                <w:noProof/>
              </w:rPr>
              <w:t xml:space="preserve">tási projektek, amelyek a tiszta energiához kapcsolódnak az uniós szigetek vagy az intelligens szigetek programjai, a megújuló energia vagy a fenntartható tárolási projektek esetében. </w:t>
            </w:r>
          </w:p>
        </w:tc>
      </w:tr>
      <w:tr w:rsidR="003E1D81" w14:paraId="5F6957CB" w14:textId="77777777">
        <w:trPr>
          <w:trHeight w:val="309"/>
        </w:trPr>
        <w:tc>
          <w:tcPr>
            <w:tcW w:w="709" w:type="dxa"/>
            <w:shd w:val="clear" w:color="auto" w:fill="C6EFCE"/>
            <w:noWrap/>
          </w:tcPr>
          <w:p w14:paraId="6CC8039C" w14:textId="77777777" w:rsidR="003E1D81" w:rsidRDefault="00EB481C">
            <w:pPr>
              <w:pStyle w:val="P68B1DB1-Normal13"/>
              <w:spacing w:after="0" w:line="240" w:lineRule="auto"/>
              <w:jc w:val="center"/>
              <w:rPr>
                <w:rFonts w:cs="Times New Roman"/>
                <w:noProof/>
              </w:rPr>
            </w:pPr>
            <w:r>
              <w:rPr>
                <w:noProof/>
              </w:rPr>
              <w:t>120</w:t>
            </w:r>
          </w:p>
        </w:tc>
        <w:tc>
          <w:tcPr>
            <w:tcW w:w="851" w:type="dxa"/>
            <w:shd w:val="clear" w:color="auto" w:fill="C6EFCE"/>
            <w:noWrap/>
          </w:tcPr>
          <w:p w14:paraId="223C782C" w14:textId="77777777" w:rsidR="003E1D81" w:rsidRDefault="00EB481C">
            <w:pPr>
              <w:pStyle w:val="P68B1DB1-Normal13"/>
              <w:spacing w:after="0" w:line="240" w:lineRule="auto"/>
              <w:jc w:val="center"/>
              <w:rPr>
                <w:rFonts w:cs="Times New Roman"/>
                <w:noProof/>
              </w:rPr>
            </w:pPr>
            <w:r>
              <w:rPr>
                <w:noProof/>
              </w:rPr>
              <w:t>C7.I2</w:t>
            </w:r>
          </w:p>
        </w:tc>
        <w:tc>
          <w:tcPr>
            <w:tcW w:w="850" w:type="dxa"/>
            <w:shd w:val="clear" w:color="auto" w:fill="C6EFCE"/>
            <w:noWrap/>
          </w:tcPr>
          <w:p w14:paraId="0C7EEB46" w14:textId="77777777" w:rsidR="003E1D81" w:rsidRDefault="00EB481C">
            <w:pPr>
              <w:pStyle w:val="P68B1DB1-Normal13"/>
              <w:spacing w:after="0" w:line="240" w:lineRule="auto"/>
              <w:jc w:val="center"/>
              <w:rPr>
                <w:rFonts w:cs="Times New Roman"/>
                <w:noProof/>
              </w:rPr>
            </w:pPr>
            <w:r>
              <w:rPr>
                <w:noProof/>
              </w:rPr>
              <w:t>T</w:t>
            </w:r>
          </w:p>
        </w:tc>
        <w:tc>
          <w:tcPr>
            <w:tcW w:w="2977" w:type="dxa"/>
            <w:shd w:val="clear" w:color="auto" w:fill="C6EFCE"/>
            <w:noWrap/>
          </w:tcPr>
          <w:p w14:paraId="3952DC11" w14:textId="77777777" w:rsidR="003E1D81" w:rsidRDefault="00EB481C">
            <w:pPr>
              <w:pStyle w:val="P68B1DB1-Normal13"/>
              <w:spacing w:after="0" w:line="240" w:lineRule="auto"/>
              <w:rPr>
                <w:rFonts w:cs="Times New Roman"/>
                <w:noProof/>
              </w:rPr>
            </w:pPr>
            <w:r>
              <w:rPr>
                <w:noProof/>
              </w:rPr>
              <w:t>További megújulóenergia-termelési kapacitás a szigeteken</w:t>
            </w:r>
          </w:p>
        </w:tc>
        <w:tc>
          <w:tcPr>
            <w:tcW w:w="1276" w:type="dxa"/>
            <w:shd w:val="clear" w:color="auto" w:fill="C6EFCE"/>
            <w:noWrap/>
          </w:tcPr>
          <w:p w14:paraId="41ED30F3" w14:textId="77777777" w:rsidR="003E1D81" w:rsidRDefault="00EB481C">
            <w:pPr>
              <w:pStyle w:val="P68B1DB1-Normal13"/>
              <w:spacing w:after="0" w:line="240" w:lineRule="auto"/>
              <w:jc w:val="center"/>
              <w:rPr>
                <w:rFonts w:cs="Times New Roman"/>
                <w:noProof/>
              </w:rPr>
            </w:pPr>
            <w:r>
              <w:rPr>
                <w:noProof/>
              </w:rPr>
              <w:t>–</w:t>
            </w:r>
          </w:p>
        </w:tc>
        <w:tc>
          <w:tcPr>
            <w:tcW w:w="850" w:type="dxa"/>
            <w:shd w:val="clear" w:color="auto" w:fill="C6EFCE"/>
            <w:noWrap/>
          </w:tcPr>
          <w:p w14:paraId="5B82470B" w14:textId="77777777" w:rsidR="003E1D81" w:rsidRDefault="00EB481C">
            <w:pPr>
              <w:pStyle w:val="P68B1DB1-Normal13"/>
              <w:spacing w:after="0" w:line="240" w:lineRule="auto"/>
              <w:jc w:val="center"/>
              <w:rPr>
                <w:rFonts w:cs="Times New Roman"/>
                <w:noProof/>
              </w:rPr>
            </w:pPr>
            <w:r>
              <w:rPr>
                <w:noProof/>
              </w:rPr>
              <w:t>Szám (MW)</w:t>
            </w:r>
          </w:p>
        </w:tc>
        <w:tc>
          <w:tcPr>
            <w:tcW w:w="709" w:type="dxa"/>
            <w:shd w:val="clear" w:color="auto" w:fill="C6EFCE"/>
            <w:noWrap/>
          </w:tcPr>
          <w:p w14:paraId="34349761" w14:textId="77777777" w:rsidR="003E1D81" w:rsidRDefault="00EB481C">
            <w:pPr>
              <w:pStyle w:val="P68B1DB1-Normal13"/>
              <w:spacing w:after="0" w:line="240" w:lineRule="auto"/>
              <w:jc w:val="center"/>
              <w:rPr>
                <w:rFonts w:cs="Times New Roman"/>
                <w:noProof/>
              </w:rPr>
            </w:pPr>
            <w:r>
              <w:rPr>
                <w:noProof/>
              </w:rPr>
              <w:t>0</w:t>
            </w:r>
          </w:p>
        </w:tc>
        <w:tc>
          <w:tcPr>
            <w:tcW w:w="737" w:type="dxa"/>
            <w:shd w:val="clear" w:color="auto" w:fill="C6EFCE"/>
            <w:noWrap/>
          </w:tcPr>
          <w:p w14:paraId="6F789D83" w14:textId="77777777" w:rsidR="003E1D81" w:rsidRDefault="00EB481C">
            <w:pPr>
              <w:pStyle w:val="P68B1DB1-Normal13"/>
              <w:spacing w:after="0" w:line="240" w:lineRule="auto"/>
              <w:jc w:val="center"/>
              <w:rPr>
                <w:rFonts w:cs="Times New Roman"/>
                <w:noProof/>
              </w:rPr>
            </w:pPr>
            <w:r>
              <w:rPr>
                <w:noProof/>
              </w:rPr>
              <w:t>180</w:t>
            </w:r>
          </w:p>
        </w:tc>
        <w:tc>
          <w:tcPr>
            <w:tcW w:w="567" w:type="dxa"/>
            <w:shd w:val="clear" w:color="auto" w:fill="C6EFCE"/>
            <w:noWrap/>
          </w:tcPr>
          <w:p w14:paraId="3D331C6C"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18AFB481" w14:textId="77777777" w:rsidR="003E1D81" w:rsidRDefault="00EB481C">
            <w:pPr>
              <w:pStyle w:val="P68B1DB1-Normal13"/>
              <w:spacing w:after="0" w:line="240" w:lineRule="auto"/>
              <w:jc w:val="center"/>
              <w:rPr>
                <w:rFonts w:cs="Times New Roman"/>
                <w:noProof/>
              </w:rPr>
            </w:pPr>
            <w:r>
              <w:rPr>
                <w:noProof/>
              </w:rPr>
              <w:t>2026</w:t>
            </w:r>
          </w:p>
        </w:tc>
        <w:tc>
          <w:tcPr>
            <w:tcW w:w="5217" w:type="dxa"/>
            <w:shd w:val="clear" w:color="auto" w:fill="C6EFCE"/>
            <w:noWrap/>
          </w:tcPr>
          <w:p w14:paraId="52E5D44E" w14:textId="77777777" w:rsidR="003E1D81" w:rsidRDefault="00EB481C">
            <w:pPr>
              <w:pStyle w:val="P68B1DB1-Normal13"/>
              <w:spacing w:after="0" w:line="240" w:lineRule="auto"/>
              <w:rPr>
                <w:rFonts w:cs="Times New Roman"/>
                <w:noProof/>
              </w:rPr>
            </w:pPr>
            <w:r>
              <w:rPr>
                <w:noProof/>
              </w:rPr>
              <w:t>A szigeteken a megújulóenergia-termelési kapacitásra kiírt pályázatokon keresztül beszerzett összesített további megújulóenergia-termelési kapacitás (legalább 180 MW telepített).</w:t>
            </w:r>
          </w:p>
        </w:tc>
      </w:tr>
    </w:tbl>
    <w:p w14:paraId="3041E394" w14:textId="77777777" w:rsidR="003E1D81" w:rsidRDefault="003E1D81">
      <w:pPr>
        <w:spacing w:before="120" w:after="120" w:line="240" w:lineRule="auto"/>
        <w:ind w:left="709"/>
        <w:jc w:val="both"/>
        <w:rPr>
          <w:rFonts w:ascii="Times New Roman" w:hAnsi="Times New Roman" w:cs="Times New Roman"/>
          <w:noProof/>
          <w:sz w:val="24"/>
        </w:rPr>
      </w:pPr>
    </w:p>
    <w:p w14:paraId="722B00AE" w14:textId="77777777" w:rsidR="003E1D81" w:rsidRDefault="003E1D81">
      <w:pPr>
        <w:spacing w:before="120" w:after="120" w:line="240" w:lineRule="auto"/>
        <w:jc w:val="both"/>
        <w:rPr>
          <w:rFonts w:ascii="Times New Roman" w:hAnsi="Times New Roman" w:cs="Times New Roman"/>
          <w:noProof/>
          <w:sz w:val="24"/>
        </w:rPr>
        <w:sectPr w:rsidR="003E1D81" w:rsidSect="00EB7CC8">
          <w:headerReference w:type="even" r:id="rId180"/>
          <w:headerReference w:type="default" r:id="rId181"/>
          <w:footerReference w:type="even" r:id="rId182"/>
          <w:footerReference w:type="default" r:id="rId183"/>
          <w:headerReference w:type="first" r:id="rId184"/>
          <w:footerReference w:type="first" r:id="rId185"/>
          <w:pgSz w:w="16839" w:h="11907" w:orient="landscape"/>
          <w:pgMar w:top="1417" w:right="1134" w:bottom="1417" w:left="1134" w:header="709" w:footer="709" w:gutter="0"/>
          <w:cols w:space="720"/>
          <w:docGrid w:linePitch="360"/>
        </w:sectPr>
      </w:pPr>
    </w:p>
    <w:p w14:paraId="64C6AC05" w14:textId="3D0D717F" w:rsidR="003E1D81" w:rsidRDefault="00EB481C">
      <w:pPr>
        <w:pStyle w:val="P68B1DB1-Heading12"/>
        <w:rPr>
          <w:rFonts w:cs="Times New Roman"/>
          <w:noProof/>
        </w:rPr>
      </w:pPr>
      <w:r>
        <w:rPr>
          <w:noProof/>
        </w:rPr>
        <w:t xml:space="preserve">H. 8. ÖSSZETEVŐ: </w:t>
      </w:r>
      <w:bookmarkStart w:id="16" w:name="_Hlk145336475"/>
      <w:r>
        <w:rPr>
          <w:noProof/>
        </w:rPr>
        <w:t>Villamosenergia-infrastruktúra, intelligens hálózatok, valamint a rugalmasság és tárolás bevezetése</w:t>
      </w:r>
      <w:bookmarkEnd w:id="16"/>
    </w:p>
    <w:p w14:paraId="4E865145" w14:textId="77777777" w:rsidR="003E1D81" w:rsidRDefault="00EB481C">
      <w:pPr>
        <w:pStyle w:val="P68B1DB1-Normal4"/>
        <w:keepNext/>
        <w:spacing w:before="120" w:after="120" w:line="240" w:lineRule="auto"/>
        <w:jc w:val="both"/>
        <w:rPr>
          <w:rFonts w:cs="Times New Roman"/>
          <w:noProof/>
        </w:rPr>
      </w:pPr>
      <w:r>
        <w:rPr>
          <w:noProof/>
        </w:rPr>
        <w:t>Spanyolország nemzeti energia- és klímatervének (NEKT) célja, hogy 2030-ra a végsőenergia-fogyasztásban a megújul</w:t>
      </w:r>
      <w:r>
        <w:rPr>
          <w:noProof/>
        </w:rPr>
        <w:t>ó energia 42%-os részaránya legyen. A megújuló energiaforrásokból előállított villamosenergia-termelés növekvő mennyiségének integrálása (a tervek szerint 2030-ra eléri a kereslet 74%-át, 2050-ra pedig 100%-át) számos kiegészítő beruházást tesz szükségessé</w:t>
      </w:r>
      <w:r>
        <w:rPr>
          <w:noProof/>
        </w:rPr>
        <w:t xml:space="preserve"> a hálózat digitalizálása, a tárolás és a keresletszabályozás terén. A megújulóenergia-technológiák időszakos jellege és részleges kiszámíthatósága különösen azt jelenti, hogy az energiatárolás fontos szerepet játszik a rendszer rugalmasságának biztosításá</w:t>
      </w:r>
      <w:r>
        <w:rPr>
          <w:noProof/>
        </w:rPr>
        <w:t>ban és a hálózat stabilitásának biztosításában.</w:t>
      </w:r>
    </w:p>
    <w:p w14:paraId="653B21B3" w14:textId="77777777" w:rsidR="003E1D81" w:rsidRDefault="00EB481C">
      <w:pPr>
        <w:pStyle w:val="P68B1DB1-Normal4"/>
        <w:keepNext/>
        <w:spacing w:before="120" w:after="120" w:line="240" w:lineRule="auto"/>
        <w:jc w:val="both"/>
        <w:rPr>
          <w:rFonts w:cs="Times New Roman"/>
          <w:noProof/>
        </w:rPr>
      </w:pPr>
      <w:r>
        <w:rPr>
          <w:noProof/>
        </w:rPr>
        <w:t xml:space="preserve">Ebben az összefüggésben a spanyol helyreállítási és rezilienciaépítési terv e komponense a következő célkitűzéseket követi: </w:t>
      </w:r>
    </w:p>
    <w:p w14:paraId="10E22E4B" w14:textId="77777777" w:rsidR="003E1D81" w:rsidRDefault="00EB481C">
      <w:pPr>
        <w:pStyle w:val="P68B1DB1-Normal4"/>
        <w:keepNext/>
        <w:numPr>
          <w:ilvl w:val="0"/>
          <w:numId w:val="100"/>
        </w:numPr>
        <w:spacing w:before="120" w:after="120" w:line="240" w:lineRule="auto"/>
        <w:jc w:val="both"/>
        <w:rPr>
          <w:rFonts w:cs="Times New Roman"/>
          <w:noProof/>
        </w:rPr>
      </w:pPr>
      <w:r>
        <w:rPr>
          <w:noProof/>
        </w:rPr>
        <w:t>Rugalmasabb, decentralizáltabb és dinamikusabb energiarendszer kifejlesztése, amely</w:t>
      </w:r>
      <w:r>
        <w:rPr>
          <w:noProof/>
        </w:rPr>
        <w:t xml:space="preserve"> képes hatékonyan és biztonságosan felvenni a magasabb szintű megújulóenergia-termelést;</w:t>
      </w:r>
    </w:p>
    <w:p w14:paraId="26A47C0B" w14:textId="77777777" w:rsidR="003E1D81" w:rsidRDefault="00EB481C">
      <w:pPr>
        <w:pStyle w:val="P68B1DB1-Normal4"/>
        <w:keepNext/>
        <w:numPr>
          <w:ilvl w:val="0"/>
          <w:numId w:val="100"/>
        </w:numPr>
        <w:spacing w:before="120" w:after="120" w:line="240" w:lineRule="auto"/>
        <w:jc w:val="both"/>
        <w:rPr>
          <w:rFonts w:cs="Times New Roman"/>
          <w:noProof/>
        </w:rPr>
      </w:pPr>
      <w:r>
        <w:rPr>
          <w:noProof/>
        </w:rPr>
        <w:t xml:space="preserve">Új innovatív üzleti modellek kidolgozása; és </w:t>
      </w:r>
    </w:p>
    <w:p w14:paraId="7F015B40" w14:textId="77777777" w:rsidR="003E1D81" w:rsidRDefault="00EB481C">
      <w:pPr>
        <w:pStyle w:val="P68B1DB1-Normal4"/>
        <w:keepNext/>
        <w:numPr>
          <w:ilvl w:val="0"/>
          <w:numId w:val="100"/>
        </w:numPr>
        <w:spacing w:before="120" w:after="120" w:line="240" w:lineRule="auto"/>
        <w:jc w:val="both"/>
        <w:rPr>
          <w:rFonts w:cs="Times New Roman"/>
          <w:noProof/>
        </w:rPr>
      </w:pPr>
      <w:r>
        <w:rPr>
          <w:noProof/>
        </w:rPr>
        <w:t>Új szereplők (termelők, szolgáltatók és fogyasztók, valamint a tárolásirendszer-üzemeltetők és aggregátorok) bevonása a v</w:t>
      </w:r>
      <w:r>
        <w:rPr>
          <w:noProof/>
        </w:rPr>
        <w:t>illamosenergia-rendszerbe, valamint egy rugalmasabb szabályozási keret, amely szabályozói tesztkörnyezetek révén képes alkalmazkodni az új igényekhez.</w:t>
      </w:r>
    </w:p>
    <w:p w14:paraId="7293DEB4" w14:textId="77777777" w:rsidR="003E1D81" w:rsidRDefault="00EB481C">
      <w:pPr>
        <w:pStyle w:val="P68B1DB1-Normal4"/>
        <w:spacing w:before="120" w:after="120" w:line="240" w:lineRule="auto"/>
        <w:jc w:val="both"/>
        <w:rPr>
          <w:rFonts w:cs="Times New Roman"/>
          <w:noProof/>
        </w:rPr>
      </w:pPr>
      <w:r>
        <w:rPr>
          <w:noProof/>
        </w:rPr>
        <w:t>A komponensnek elő kell mozdítania az innovációba és az energiahatékonyságba történő beruházásokat, és ös</w:t>
      </w:r>
      <w:r>
        <w:rPr>
          <w:noProof/>
        </w:rPr>
        <w:t>ztönöznie kell az innovációt ösztönző hatékony szakpolitikák elfogadását (2019. évi 3. országspecifikus ajánlás). Emellett elő kell mozdítania a köz- és magánberuházásokat, valamint elő kell mozdítania a zöld átállást (2020. évi 3. országspecifikus ajánlás</w:t>
      </w:r>
      <w:r>
        <w:rPr>
          <w:noProof/>
        </w:rPr>
        <w:t>).</w:t>
      </w:r>
    </w:p>
    <w:p w14:paraId="721469DA" w14:textId="77777777" w:rsidR="003E1D81" w:rsidRDefault="00EB481C">
      <w:pPr>
        <w:pStyle w:val="P68B1DB1-Normal4"/>
        <w:spacing w:before="120" w:after="120" w:line="240" w:lineRule="auto"/>
        <w:jc w:val="both"/>
        <w:rPr>
          <w:rFonts w:cs="Times New Roman"/>
          <w:i/>
          <w:noProof/>
        </w:rPr>
      </w:pPr>
      <w:r>
        <w:rPr>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w:t>
      </w:r>
      <w:r>
        <w:rPr>
          <w:noProof/>
        </w:rPr>
        <w:t xml:space="preserve">yhítő lépéseket figyelembe véve ebben a komponensben várhatóan egyetlen intézkedés sem sérti jelentős mértékben az (EU) 2020/852 rendelet 17. cikke szerinti környezeti célkitűzéseket. </w:t>
      </w:r>
    </w:p>
    <w:p w14:paraId="2EAC6488" w14:textId="77777777" w:rsidR="003E1D81" w:rsidRDefault="00EB481C">
      <w:pPr>
        <w:pStyle w:val="P68B1DB1-Normal5"/>
        <w:spacing w:before="120" w:after="120" w:line="240" w:lineRule="auto"/>
        <w:ind w:left="709"/>
        <w:jc w:val="both"/>
        <w:rPr>
          <w:rFonts w:cs="Times New Roman"/>
          <w:i/>
          <w:noProof/>
        </w:rPr>
      </w:pPr>
      <w:r>
        <w:rPr>
          <w:noProof/>
        </w:rPr>
        <w:t xml:space="preserve">H.1. </w:t>
      </w:r>
      <w:r>
        <w:rPr>
          <w:noProof/>
        </w:rPr>
        <w:tab/>
        <w:t>Vissza nem térítendő pénzügyi támogatás – a reformok és beruházás</w:t>
      </w:r>
      <w:r>
        <w:rPr>
          <w:noProof/>
        </w:rPr>
        <w:t>ok ismertetése</w:t>
      </w:r>
    </w:p>
    <w:p w14:paraId="39594D0D" w14:textId="77777777" w:rsidR="003E1D81" w:rsidRDefault="00EB481C">
      <w:pPr>
        <w:pStyle w:val="P68B1DB1-Normal6"/>
        <w:spacing w:before="120" w:after="120" w:line="240" w:lineRule="auto"/>
        <w:jc w:val="both"/>
        <w:rPr>
          <w:rFonts w:cs="Times New Roman"/>
          <w:noProof/>
        </w:rPr>
      </w:pPr>
      <w:r>
        <w:rPr>
          <w:noProof/>
        </w:rPr>
        <w:t>Reform (C8.R1) – A megújuló energiaforrások energiarendszerbe való integrálásának támogató kerete: hálózatok, tárolás és infrastruktúra</w:t>
      </w:r>
    </w:p>
    <w:p w14:paraId="104493A7" w14:textId="77777777" w:rsidR="003E1D81" w:rsidRDefault="00EB481C">
      <w:pPr>
        <w:pStyle w:val="P68B1DB1-Normal4"/>
        <w:spacing w:before="120" w:after="120" w:line="240" w:lineRule="auto"/>
        <w:jc w:val="both"/>
        <w:rPr>
          <w:rFonts w:cs="Times New Roman"/>
          <w:noProof/>
        </w:rPr>
      </w:pPr>
      <w:r>
        <w:rPr>
          <w:noProof/>
        </w:rPr>
        <w:t xml:space="preserve">Ezen intézkedés célja egy átlátható és stabil szabályozási keret lehetővé tétele, amely a hálózatokba, a </w:t>
      </w:r>
      <w:r>
        <w:rPr>
          <w:noProof/>
        </w:rPr>
        <w:t xml:space="preserve">tárolásba és az infrastruktúrába történő beruházások révén biztonságot teremt és lehetővé teszi a megújuló energiaforrások energiarendszerbe való fokozott integrálását. </w:t>
      </w:r>
    </w:p>
    <w:p w14:paraId="428D3EE8" w14:textId="77777777" w:rsidR="003E1D81" w:rsidRDefault="00EB481C">
      <w:pPr>
        <w:pStyle w:val="P68B1DB1-Normal4"/>
        <w:spacing w:before="120" w:after="120" w:line="240" w:lineRule="auto"/>
        <w:jc w:val="both"/>
        <w:rPr>
          <w:rFonts w:cs="Times New Roman"/>
          <w:noProof/>
        </w:rPr>
      </w:pPr>
      <w:r>
        <w:rPr>
          <w:noProof/>
        </w:rPr>
        <w:t>A reformnak magában kell foglalnia a 2050-ig szóló hosszú távú dekarbonizációs stratég</w:t>
      </w:r>
      <w:r>
        <w:rPr>
          <w:noProof/>
        </w:rPr>
        <w:t>iát (ELP 2050). E stratégia célja egy olyan stratégiai és szabályozási keret megalapozása, amely lehetővé teszi a megújuló energiák hatékony integrálását egy rugalmas és intelligens energiarendszerbe. A 2050-ig tartó időszakra szóló ELP célkitűzései közé t</w:t>
      </w:r>
      <w:r>
        <w:rPr>
          <w:noProof/>
        </w:rPr>
        <w:t xml:space="preserve">artoznak a következők: az üvegházhatást okozó gázok kibocsátásának 90%-os csökkentése 1990-hez képest (klímasemlegesség); a megújuló energiaforrások 97%-ának elérése a végső energiafogyasztásban; és c) 100%-ban megújuló villamosenergia-rendszer. </w:t>
      </w:r>
    </w:p>
    <w:p w14:paraId="13ACBC4F" w14:textId="77777777" w:rsidR="003E1D81" w:rsidRDefault="00EB481C">
      <w:pPr>
        <w:pStyle w:val="P68B1DB1-Normal4"/>
        <w:spacing w:before="120" w:after="120" w:line="240" w:lineRule="auto"/>
        <w:jc w:val="both"/>
        <w:rPr>
          <w:rFonts w:cs="Times New Roman"/>
          <w:noProof/>
        </w:rPr>
      </w:pPr>
      <w:r>
        <w:rPr>
          <w:noProof/>
        </w:rPr>
        <w:t>Az intézk</w:t>
      </w:r>
      <w:r>
        <w:rPr>
          <w:noProof/>
        </w:rPr>
        <w:t xml:space="preserve">edés végrehajtását 2021. március 31-ig be kell fejezni. </w:t>
      </w:r>
    </w:p>
    <w:p w14:paraId="5028F761" w14:textId="77777777" w:rsidR="003E1D81" w:rsidRDefault="00EB481C">
      <w:pPr>
        <w:pStyle w:val="P68B1DB1-Normal6"/>
        <w:spacing w:before="120" w:after="120" w:line="240" w:lineRule="auto"/>
        <w:jc w:val="both"/>
        <w:rPr>
          <w:rFonts w:cs="Times New Roman"/>
          <w:noProof/>
        </w:rPr>
      </w:pPr>
      <w:r>
        <w:rPr>
          <w:noProof/>
        </w:rPr>
        <w:t>Reform (C8.R2) – Energiatárolási stratégia és az energiatárolás bevezetésére vonatkozó szabályozási keret kiigazítása</w:t>
      </w:r>
    </w:p>
    <w:p w14:paraId="67A4C692" w14:textId="77777777" w:rsidR="003E1D81" w:rsidRDefault="00EB481C">
      <w:pPr>
        <w:pStyle w:val="P68B1DB1-Normal4"/>
        <w:spacing w:before="120" w:after="120" w:line="240" w:lineRule="auto"/>
        <w:jc w:val="both"/>
        <w:rPr>
          <w:rFonts w:cs="Times New Roman"/>
          <w:noProof/>
        </w:rPr>
      </w:pPr>
      <w:r>
        <w:rPr>
          <w:noProof/>
        </w:rPr>
        <w:t>Ennek az intézkedésnek az a célja, hogy szabályozási és stratégiai keretet dolgozzon ki, hagyjon jóvá és vezessen be az energiatárolás előmozdítása érdekében. A reformnak biztosítania kell a szükséges keretet a C8.I.1. és a C8.I3. pont szerinti tervezett b</w:t>
      </w:r>
      <w:r>
        <w:rPr>
          <w:noProof/>
        </w:rPr>
        <w:t xml:space="preserve">eruházásokhoz, amelyek az energiatárolás és az energetikai átállás új üzleti modelljeinek bevezetésére irányulnak. </w:t>
      </w:r>
    </w:p>
    <w:p w14:paraId="7FBE421A" w14:textId="77777777" w:rsidR="003E1D81" w:rsidRDefault="00EB481C">
      <w:pPr>
        <w:pStyle w:val="P68B1DB1-Normal4"/>
        <w:spacing w:before="120" w:after="120" w:line="240" w:lineRule="auto"/>
        <w:jc w:val="both"/>
        <w:rPr>
          <w:rFonts w:cs="Times New Roman"/>
          <w:noProof/>
        </w:rPr>
      </w:pPr>
      <w:r>
        <w:rPr>
          <w:noProof/>
        </w:rPr>
        <w:t>A reform magában foglalja az energiatárolási stratégia spanyol kormány általi jóváhagyását. E stratégia célja, hogy 2030-ra 20 GW, 2050-ra p</w:t>
      </w:r>
      <w:r>
        <w:rPr>
          <w:noProof/>
        </w:rPr>
        <w:t xml:space="preserve">edig 30 GW energiatároló álljon rendelkezésre. </w:t>
      </w:r>
    </w:p>
    <w:p w14:paraId="2D43E383" w14:textId="77777777" w:rsidR="003E1D81" w:rsidRDefault="00EB481C">
      <w:pPr>
        <w:pStyle w:val="P68B1DB1-Normal4"/>
        <w:spacing w:before="120" w:after="120" w:line="240" w:lineRule="auto"/>
        <w:jc w:val="both"/>
        <w:rPr>
          <w:rFonts w:cs="Times New Roman"/>
          <w:noProof/>
        </w:rPr>
      </w:pPr>
      <w:r>
        <w:rPr>
          <w:noProof/>
        </w:rPr>
        <w:t xml:space="preserve">A reform három jogalkotási és szabályozási aktust foglal magában: a földgáztárolók hálózathoz való hozzáférésének szabályozásáról szóló 1183/2020. sz. királyi rendelet; a </w:t>
      </w:r>
      <w:r>
        <w:rPr>
          <w:i/>
          <w:noProof/>
        </w:rPr>
        <w:t>Comisión Nacional de los Mercados y l</w:t>
      </w:r>
      <w:r>
        <w:rPr>
          <w:i/>
          <w:noProof/>
        </w:rPr>
        <w:t>a Competencia 1/2021. sz.</w:t>
      </w:r>
      <w:r>
        <w:rPr>
          <w:noProof/>
        </w:rPr>
        <w:t xml:space="preserve"> körlevél a villamosenergia-termelő létesítmények átviteli és elosztó hálózataihoz való hozzáférésre és az azokhoz való csatlakozásra vonatkozó módszertan és feltételek megállapításáról; a </w:t>
      </w:r>
      <w:r>
        <w:rPr>
          <w:i/>
          <w:noProof/>
        </w:rPr>
        <w:t>Comisión Nacional de los Mercados y la Com</w:t>
      </w:r>
      <w:r>
        <w:rPr>
          <w:i/>
          <w:noProof/>
        </w:rPr>
        <w:t>petencia 2020.</w:t>
      </w:r>
      <w:r>
        <w:rPr>
          <w:noProof/>
        </w:rPr>
        <w:t xml:space="preserve"> december 10-i állásfoglalása, amely szabályozza az energiatároló létesítmények kiegészítő szolgáltatások nyújtásában való részvételét. </w:t>
      </w:r>
    </w:p>
    <w:p w14:paraId="76A0F24E" w14:textId="77777777" w:rsidR="003E1D81" w:rsidRDefault="00EB481C">
      <w:pPr>
        <w:pStyle w:val="P68B1DB1-Normal4"/>
        <w:spacing w:before="120" w:after="120" w:line="240" w:lineRule="auto"/>
        <w:jc w:val="both"/>
        <w:rPr>
          <w:rFonts w:cs="Times New Roman"/>
          <w:noProof/>
        </w:rPr>
      </w:pPr>
      <w:r>
        <w:rPr>
          <w:noProof/>
        </w:rPr>
        <w:t>Az intézkedés végrehajtását 2022. június 30-ig be kell fejezni.</w:t>
      </w:r>
    </w:p>
    <w:p w14:paraId="53FF3DAC" w14:textId="77777777" w:rsidR="003E1D81" w:rsidRDefault="00EB481C">
      <w:pPr>
        <w:pStyle w:val="P68B1DB1-Normal6"/>
        <w:spacing w:before="120" w:after="120" w:line="240" w:lineRule="auto"/>
        <w:jc w:val="both"/>
        <w:rPr>
          <w:rFonts w:cs="Times New Roman"/>
          <w:noProof/>
        </w:rPr>
      </w:pPr>
      <w:r>
        <w:rPr>
          <w:noProof/>
        </w:rPr>
        <w:t>Reform (C8.R3) – Az aggregálásra, a keres</w:t>
      </w:r>
      <w:r>
        <w:rPr>
          <w:noProof/>
        </w:rPr>
        <w:t>letszabályozásra és a rugalmassági szolgáltatásokra vonatkozó szabályozási keret fejlesztése</w:t>
      </w:r>
    </w:p>
    <w:p w14:paraId="45CDEA6D" w14:textId="77777777" w:rsidR="003E1D81" w:rsidRDefault="00EB481C">
      <w:pPr>
        <w:pStyle w:val="P68B1DB1-Normal4"/>
        <w:spacing w:before="120" w:after="120" w:line="240" w:lineRule="auto"/>
        <w:jc w:val="both"/>
        <w:rPr>
          <w:rFonts w:cs="Times New Roman"/>
          <w:noProof/>
        </w:rPr>
      </w:pPr>
      <w:r>
        <w:rPr>
          <w:noProof/>
        </w:rPr>
        <w:t>Ennek az intézkedésnek az a célja, hogy kidolgozza az intelligens és dinamikus energiarendszer kialakításához szükséges szabályozási keretet, beleértve a következő</w:t>
      </w:r>
      <w:r>
        <w:rPr>
          <w:noProof/>
        </w:rPr>
        <w:t>ket: i. a keresletoldali szabályozási és rugalmassági szolgáltatások szabályozása a nemzeti szabályozási keretben, ii. a szabályozási keret kidolgozása a különböző rugalmassági szolgáltatások megragadása érdekében, valamint iii. a fogyasztók energiafogyasz</w:t>
      </w:r>
      <w:r>
        <w:rPr>
          <w:noProof/>
        </w:rPr>
        <w:t>tási adataikhoz való hozzáférését biztosító keret kidolgozása.</w:t>
      </w:r>
    </w:p>
    <w:p w14:paraId="1353EC9D" w14:textId="77777777" w:rsidR="003E1D81" w:rsidRDefault="00EB481C">
      <w:pPr>
        <w:pStyle w:val="P68B1DB1-Normal4"/>
        <w:spacing w:before="120" w:after="120" w:line="240" w:lineRule="auto"/>
        <w:jc w:val="both"/>
        <w:rPr>
          <w:rFonts w:cs="Times New Roman"/>
          <w:noProof/>
        </w:rPr>
      </w:pPr>
      <w:r>
        <w:rPr>
          <w:noProof/>
        </w:rPr>
        <w:t xml:space="preserve">A reformnak összhangban kell lennie a nemzeti energia-éghajlati tervvel, amely kifejezetten elismeri, hogy meg kell határozni a megújuló energiaforrásokból származó energiát kínáló résztvevők, </w:t>
      </w:r>
      <w:r>
        <w:rPr>
          <w:noProof/>
        </w:rPr>
        <w:t xml:space="preserve">az energiatároló-üzemeltetők és a keresletoldali válaszintézkedéseket nyújtók meglévő és fejlődő piacokon való részvételére vonatkozó műszaki követelményeket. </w:t>
      </w:r>
    </w:p>
    <w:p w14:paraId="5BF89605" w14:textId="77777777" w:rsidR="003E1D81" w:rsidRDefault="00EB481C">
      <w:pPr>
        <w:pStyle w:val="P68B1DB1-Normal4"/>
        <w:spacing w:before="120" w:after="120" w:line="240" w:lineRule="auto"/>
        <w:jc w:val="both"/>
        <w:rPr>
          <w:rFonts w:cs="Times New Roman"/>
          <w:noProof/>
        </w:rPr>
      </w:pPr>
      <w:r>
        <w:rPr>
          <w:noProof/>
        </w:rPr>
        <w:t>A nemzeti energia-éghajlati terv azt is kiemeli, hogy fejleszteni kell az aggregátorok, különöse</w:t>
      </w:r>
      <w:r>
        <w:rPr>
          <w:noProof/>
        </w:rPr>
        <w:t xml:space="preserve">n a független aggregátorok státuszát a piaci részvételük megkönnyítése érdekében. E célból a reform a 23/2020. sz. királyi törvényerejű rendelettel előirányozza a független keresleti aggregátori státusz létrehozását annak érdekében, hogy lehetővé tegye új </w:t>
      </w:r>
      <w:r>
        <w:rPr>
          <w:noProof/>
        </w:rPr>
        <w:t xml:space="preserve">szereplők belépését a kiskereskedelmi piacra. </w:t>
      </w:r>
    </w:p>
    <w:p w14:paraId="01ECDE59" w14:textId="77777777" w:rsidR="003E1D81" w:rsidRDefault="00EB481C">
      <w:pPr>
        <w:pStyle w:val="P68B1DB1-Normal4"/>
        <w:spacing w:before="120" w:after="120" w:line="240" w:lineRule="auto"/>
        <w:jc w:val="both"/>
        <w:rPr>
          <w:rFonts w:cs="Times New Roman"/>
          <w:noProof/>
        </w:rPr>
      </w:pPr>
      <w:r>
        <w:rPr>
          <w:noProof/>
        </w:rPr>
        <w:t>A nemzeti energia-éghajlatváltozási terv támogatása mellett a reformnak át kell ültetnie a villamos energia belső piacára vonatkozó közös szabályokról szóló, 2019. június 5-i (EU) 2019/944 európai parlamenti é</w:t>
      </w:r>
      <w:r>
        <w:rPr>
          <w:noProof/>
        </w:rPr>
        <w:t>s tanácsi irányelvet, amely előírja a fogyasztók piaci részvételének többek között keresletoldali válaszintézkedések révén történő biztosítását, a fogyasztók egyéni vagy összesített alapon vagy független aggregátorokon keresztüli részvételének előmozdításá</w:t>
      </w:r>
      <w:r>
        <w:rPr>
          <w:noProof/>
        </w:rPr>
        <w:t>t, valamint az elosztóhálózatok rugalmasságának alkalmazását.</w:t>
      </w:r>
    </w:p>
    <w:p w14:paraId="353C40D9" w14:textId="77777777" w:rsidR="003E1D81" w:rsidRDefault="00EB481C">
      <w:pPr>
        <w:pStyle w:val="P68B1DB1-Normal4"/>
        <w:spacing w:before="120" w:after="120" w:line="240" w:lineRule="auto"/>
        <w:jc w:val="both"/>
        <w:rPr>
          <w:rFonts w:cs="Times New Roman"/>
          <w:noProof/>
        </w:rPr>
      </w:pPr>
      <w:r>
        <w:rPr>
          <w:noProof/>
        </w:rPr>
        <w:t xml:space="preserve">Az intézkedés végrehajtását 2023. december 31-ig be kell fejezni. </w:t>
      </w:r>
    </w:p>
    <w:p w14:paraId="650094B5" w14:textId="77777777" w:rsidR="003E1D81" w:rsidRDefault="00EB481C">
      <w:pPr>
        <w:pStyle w:val="P68B1DB1-Normal4"/>
        <w:spacing w:before="120" w:after="120" w:line="240" w:lineRule="auto"/>
        <w:jc w:val="both"/>
        <w:rPr>
          <w:rFonts w:eastAsia="Symbol" w:cs="Times New Roman"/>
          <w:noProof/>
          <w:u w:val="single"/>
        </w:rPr>
      </w:pPr>
      <w:r>
        <w:rPr>
          <w:noProof/>
          <w:u w:val="single"/>
        </w:rPr>
        <w:t>Reform (C8.R4) – Szabályozói tesztkörnyezetek vagy tesztágyak</w:t>
      </w:r>
      <w:r>
        <w:rPr>
          <w:noProof/>
        </w:rPr>
        <w:t> </w:t>
      </w:r>
    </w:p>
    <w:p w14:paraId="712416A3" w14:textId="77777777" w:rsidR="003E1D81" w:rsidRDefault="00EB481C">
      <w:pPr>
        <w:pStyle w:val="P68B1DB1-Normal4"/>
        <w:spacing w:before="120" w:after="120" w:line="240" w:lineRule="auto"/>
        <w:jc w:val="both"/>
        <w:rPr>
          <w:rFonts w:cs="Times New Roman"/>
          <w:noProof/>
        </w:rPr>
      </w:pPr>
      <w:r>
        <w:rPr>
          <w:noProof/>
        </w:rPr>
        <w:t>Ennek az intézkedésnek az a célja, hogy szabályozási tesztkörnye</w:t>
      </w:r>
      <w:r>
        <w:rPr>
          <w:noProof/>
        </w:rPr>
        <w:t>zeteket (sandboxokat) alakítson ki a nemzeti szabályozási keretben, lehetővé téve új termékek vagy technológiai megoldások, kivételek vagy szabályozási biztosítékok bevezetését az energiaágazatban a kutatás és az innováció megkönnyítése érdekében. A reform</w:t>
      </w:r>
      <w:r>
        <w:rPr>
          <w:noProof/>
        </w:rPr>
        <w:t xml:space="preserve"> közvetlenül kapcsolódik a C8.R3 reformhoz és a C8.I3. számú beruházáshoz.</w:t>
      </w:r>
    </w:p>
    <w:p w14:paraId="06ED5FA6" w14:textId="77777777" w:rsidR="003E1D81" w:rsidRDefault="00EB481C">
      <w:pPr>
        <w:pStyle w:val="P68B1DB1-Normal4"/>
        <w:spacing w:before="120" w:after="120" w:line="240" w:lineRule="auto"/>
        <w:jc w:val="both"/>
        <w:rPr>
          <w:rFonts w:cs="Times New Roman"/>
          <w:noProof/>
        </w:rPr>
      </w:pPr>
      <w:r>
        <w:rPr>
          <w:noProof/>
        </w:rPr>
        <w:t>A szabályozói tesztkörnyezeteknek lehetővé kell tenniük az ipar számára, hogy olyan biztonságos környezetben tesztelje a rugalmassággal, a keresletoldali válaszintézkedésekkel és az</w:t>
      </w:r>
      <w:r>
        <w:rPr>
          <w:noProof/>
        </w:rPr>
        <w:t xml:space="preserve"> energiatárolással kapcsolatos új technológiákat, rendszereket és szolgáltatásokat, ahol az érdekelt felek anélkül tapasztalhatják meg az innovatív megoldásokat, hogy meg kellene akadályozniuk a szabályozási követelményeket. Emellett a tesztkörnyezeteknek </w:t>
      </w:r>
      <w:r>
        <w:rPr>
          <w:noProof/>
        </w:rPr>
        <w:t>kétirányú szabályozási párbeszédet kell biztosítaniuk a közigazgatás és a szabályozó hatóság között, amely felgyorsítja és megkönnyíti a meglévő szabályozások felülvizsgálatát, és hozzáigazítja azokat az új szereplők piacra lépéséhez. Ez várhatóan megkönny</w:t>
      </w:r>
      <w:r>
        <w:rPr>
          <w:noProof/>
        </w:rPr>
        <w:t>íti az induló technológiai vállalkozások létrehozását azáltal, hogy lehetőséget biztosít számukra üzleti modelljeik tesztelésére.</w:t>
      </w:r>
    </w:p>
    <w:p w14:paraId="0526FDD2" w14:textId="77777777" w:rsidR="003E1D81" w:rsidRDefault="00EB481C">
      <w:pPr>
        <w:pStyle w:val="P68B1DB1-Normal4"/>
        <w:spacing w:before="120" w:after="120" w:line="240" w:lineRule="auto"/>
        <w:jc w:val="both"/>
        <w:rPr>
          <w:rFonts w:cs="Times New Roman"/>
          <w:noProof/>
        </w:rPr>
      </w:pPr>
      <w:r>
        <w:rPr>
          <w:noProof/>
        </w:rPr>
        <w:t>A reform magában foglalja a szabályozói tesztkörnyezetek fejlesztéséről szóló királyi rendelet elfogadását új kísérleti projek</w:t>
      </w:r>
      <w:r>
        <w:rPr>
          <w:noProof/>
        </w:rPr>
        <w:t>tek kidolgozásának lehetővé tétele érdekében, a villamosenergia-ágazatban a kutatás és az innováció előmozdítása céljából.</w:t>
      </w:r>
    </w:p>
    <w:p w14:paraId="16B67689" w14:textId="77777777" w:rsidR="003E1D81" w:rsidRDefault="00EB481C">
      <w:pPr>
        <w:pStyle w:val="P68B1DB1-Normal4"/>
        <w:spacing w:before="120" w:after="120" w:line="240" w:lineRule="auto"/>
        <w:jc w:val="both"/>
        <w:rPr>
          <w:rFonts w:cs="Times New Roman"/>
          <w:noProof/>
        </w:rPr>
      </w:pPr>
      <w:r>
        <w:rPr>
          <w:noProof/>
        </w:rPr>
        <w:t xml:space="preserve">Az intézkedés végrehajtását 2023. június 30-ig be kell fejezni. </w:t>
      </w:r>
    </w:p>
    <w:p w14:paraId="39E4FD33" w14:textId="77777777" w:rsidR="003E1D81" w:rsidRDefault="00EB481C">
      <w:pPr>
        <w:pStyle w:val="P68B1DB1-Normal6"/>
        <w:spacing w:before="120" w:after="120" w:line="240" w:lineRule="auto"/>
        <w:jc w:val="both"/>
        <w:rPr>
          <w:rFonts w:eastAsia="Symbol" w:cs="Times New Roman"/>
          <w:noProof/>
        </w:rPr>
      </w:pPr>
      <w:r>
        <w:rPr>
          <w:noProof/>
        </w:rPr>
        <w:t xml:space="preserve">Beruházás (C8.I1) – </w:t>
      </w:r>
      <w:bookmarkStart w:id="17" w:name="_Hlk145336439"/>
      <w:r>
        <w:rPr>
          <w:noProof/>
        </w:rPr>
        <w:t>Az energiatárolás kiépítése</w:t>
      </w:r>
      <w:bookmarkEnd w:id="17"/>
    </w:p>
    <w:p w14:paraId="1A040E87" w14:textId="230A0032" w:rsidR="003E1D81" w:rsidRDefault="00EB481C">
      <w:pPr>
        <w:pStyle w:val="P68B1DB1-Normal4"/>
        <w:spacing w:before="120" w:after="120" w:line="240" w:lineRule="auto"/>
        <w:jc w:val="both"/>
        <w:rPr>
          <w:rFonts w:eastAsia="Symbol" w:cs="Times New Roman"/>
          <w:noProof/>
        </w:rPr>
      </w:pPr>
      <w:r>
        <w:rPr>
          <w:noProof/>
        </w:rPr>
        <w:t>Ezen intézkedés célj</w:t>
      </w:r>
      <w:r>
        <w:rPr>
          <w:noProof/>
        </w:rPr>
        <w:t>a az energiatárolás kiépítése támogatási és beruházási kezdeményezések indítása révén két fő területen:</w:t>
      </w:r>
    </w:p>
    <w:p w14:paraId="3E2CB41E" w14:textId="092067C9" w:rsidR="003E1D81" w:rsidRDefault="00EB481C">
      <w:pPr>
        <w:pStyle w:val="P68B1DB1-Normal4"/>
        <w:numPr>
          <w:ilvl w:val="0"/>
          <w:numId w:val="102"/>
        </w:numPr>
        <w:spacing w:before="120" w:after="160" w:line="259" w:lineRule="auto"/>
        <w:ind w:left="426" w:hanging="426"/>
        <w:contextualSpacing/>
        <w:jc w:val="both"/>
        <w:rPr>
          <w:rFonts w:eastAsia="Symbol" w:cs="Times New Roman"/>
          <w:noProof/>
        </w:rPr>
      </w:pPr>
      <w:r>
        <w:rPr>
          <w:noProof/>
        </w:rPr>
        <w:t xml:space="preserve">A nagyléptékű tárolás fejlesztése. Nagyléptékű tárolásra van szükség a nagyobb mennyiségű megújulóenergia-termelés integrálásához és a rendszer számára </w:t>
      </w:r>
      <w:r>
        <w:rPr>
          <w:noProof/>
        </w:rPr>
        <w:t>történő szolgáltatásnyújtáshoz, a frekvenciaszabályozástól, a földi támogatástól (rugalmasság) vagy a fekete indítástól kezdve; és</w:t>
      </w:r>
    </w:p>
    <w:p w14:paraId="633A868D" w14:textId="51B64F63" w:rsidR="003E1D81" w:rsidRDefault="00EB481C">
      <w:pPr>
        <w:pStyle w:val="P68B1DB1-Normal4"/>
        <w:numPr>
          <w:ilvl w:val="0"/>
          <w:numId w:val="102"/>
        </w:numPr>
        <w:spacing w:before="120" w:after="160" w:line="259" w:lineRule="auto"/>
        <w:ind w:left="426" w:hanging="426"/>
        <w:contextualSpacing/>
        <w:jc w:val="both"/>
        <w:rPr>
          <w:rFonts w:eastAsia="Symbol" w:cs="Times New Roman"/>
          <w:noProof/>
        </w:rPr>
      </w:pPr>
      <w:r>
        <w:rPr>
          <w:noProof/>
        </w:rPr>
        <w:t>A fogyasztásmérő mögötti és ágazati szinten integrált tárolás előmozdítása. A fogyasztásmérő mögötti technológiák magukban fo</w:t>
      </w:r>
      <w:r>
        <w:rPr>
          <w:noProof/>
        </w:rPr>
        <w:t xml:space="preserve">glalhatnak saját fogyasztási létesítményeket, lítiumakkumulátorokat és hőtároló rendszereket. </w:t>
      </w:r>
    </w:p>
    <w:p w14:paraId="26F518F8" w14:textId="77777777" w:rsidR="003E1D81" w:rsidRDefault="00EB481C">
      <w:pPr>
        <w:pStyle w:val="P68B1DB1-Normal4"/>
        <w:spacing w:before="120" w:after="120" w:line="240" w:lineRule="auto"/>
        <w:jc w:val="both"/>
        <w:rPr>
          <w:rFonts w:eastAsia="Symbol" w:cs="Times New Roman"/>
          <w:noProof/>
        </w:rPr>
      </w:pPr>
      <w:r>
        <w:rPr>
          <w:noProof/>
        </w:rPr>
        <w:t>A javasolt beruházást az e komponens reformjai által meghatározott keretek között kell támogatni, különös tekintettel a C8.R1 és a C8.R2 reformra, amelyek jogi é</w:t>
      </w:r>
      <w:r>
        <w:rPr>
          <w:noProof/>
        </w:rPr>
        <w:t>s stratégiai alapot biztosítanak az energiatárolás hatékony bevezetéséhez.</w:t>
      </w:r>
    </w:p>
    <w:p w14:paraId="36426B1B" w14:textId="58213032" w:rsidR="003E1D81" w:rsidRDefault="00EB481C">
      <w:pPr>
        <w:pStyle w:val="P68B1DB1-Normal4"/>
        <w:spacing w:before="120" w:after="120" w:line="240" w:lineRule="auto"/>
        <w:jc w:val="both"/>
        <w:rPr>
          <w:rFonts w:eastAsia="Symbol" w:cs="Times New Roman"/>
          <w:noProof/>
        </w:rPr>
      </w:pPr>
      <w:r>
        <w:rPr>
          <w:noProof/>
        </w:rPr>
        <w:t>Az intézkedést olyan innovatív tárolási projektek révén kell végrehajtani, amelyek hozzájárulnak az energetikai átálláshoz, különösen azért, hogy új rugalmasságot biztosítsanak az e</w:t>
      </w:r>
      <w:r>
        <w:rPr>
          <w:noProof/>
        </w:rPr>
        <w:t>nergiaágazat számára, beleértve a megújuló energiaforrások integrálását is. Legalább öt innovatív tárolási projektnek kell működnie, vagy legalább 660 MW (vagy azzal egyenértékű teljes energiaellátás [MWh]) összkapacitást kell kiépíteni.</w:t>
      </w:r>
    </w:p>
    <w:p w14:paraId="65A5BF43" w14:textId="77777777" w:rsidR="003E1D81" w:rsidRDefault="00EB481C">
      <w:pPr>
        <w:pStyle w:val="P68B1DB1-Normal4"/>
        <w:spacing w:before="120" w:after="120" w:line="240" w:lineRule="auto"/>
        <w:jc w:val="both"/>
        <w:rPr>
          <w:rFonts w:eastAsia="Symbol" w:cs="Times New Roman"/>
          <w:noProof/>
        </w:rPr>
      </w:pPr>
      <w:r>
        <w:rPr>
          <w:noProof/>
        </w:rPr>
        <w:t>A beruházás végreh</w:t>
      </w:r>
      <w:r>
        <w:rPr>
          <w:noProof/>
        </w:rPr>
        <w:t xml:space="preserve">ajtását 2026. június 30-ig be kell fejezni.   </w:t>
      </w:r>
    </w:p>
    <w:p w14:paraId="16F7D81D" w14:textId="77777777" w:rsidR="003E1D81" w:rsidRDefault="00EB481C">
      <w:pPr>
        <w:pStyle w:val="P68B1DB1-Normal6"/>
        <w:spacing w:before="120" w:after="120" w:line="240" w:lineRule="auto"/>
        <w:jc w:val="both"/>
        <w:rPr>
          <w:rFonts w:eastAsia="Symbol" w:cs="Times New Roman"/>
          <w:noProof/>
        </w:rPr>
      </w:pPr>
      <w:r>
        <w:rPr>
          <w:noProof/>
        </w:rPr>
        <w:t>Beruházás (C8.I2) – A hálózatok digitalizálása</w:t>
      </w:r>
    </w:p>
    <w:p w14:paraId="49080D56" w14:textId="77777777" w:rsidR="003E1D81" w:rsidRDefault="00EB481C">
      <w:pPr>
        <w:pStyle w:val="P68B1DB1-Normal4"/>
        <w:spacing w:before="120" w:after="120" w:line="240" w:lineRule="auto"/>
        <w:jc w:val="both"/>
        <w:rPr>
          <w:rFonts w:eastAsiaTheme="minorEastAsia" w:cs="Times New Roman"/>
          <w:noProof/>
        </w:rPr>
      </w:pPr>
      <w:r>
        <w:rPr>
          <w:noProof/>
        </w:rPr>
        <w:t xml:space="preserve">Ez az intézkedés támogatást nyújt az elosztóhálózatok digitalizálásával kapcsolatos beruházásokhoz azzal a céllal, hogy azok összhangba kerüljenek az energetikai </w:t>
      </w:r>
      <w:r>
        <w:rPr>
          <w:noProof/>
        </w:rPr>
        <w:t>átállás megvalósításához szükséges követelményekkel. A villamosenergia-hálózatok digitalizálásának szükségessége a villamos energia belső piacára vonatkozó közös szabályokról szóló, 2019. június 5-i (EU) 2019/944 európai parlamenti és tanácsi irányelv rész</w:t>
      </w:r>
      <w:r>
        <w:rPr>
          <w:noProof/>
        </w:rPr>
        <w:t>ét képezi, amely kimondja, hogy a tagállamoknak ösztönözniük kell a hálózatok korszerűsítését, például intelligens hálózatok bevezetése révén. A hálózatok digitalizálására szükség van a megújuló energiák nagyobb jelenlétével járó energiarendszer átalakítás</w:t>
      </w:r>
      <w:r>
        <w:rPr>
          <w:noProof/>
        </w:rPr>
        <w:t xml:space="preserve">ának előmozdításához a biztonságos és reziliens villamosenergia-rendszer kialakítása érdekében. Különösen fontos a félszigeten kívüli területeken, amelyeket nagyobb kiszolgáltatottság és energiafüggőség jellemez. </w:t>
      </w:r>
    </w:p>
    <w:p w14:paraId="72358A2A" w14:textId="77777777" w:rsidR="003E1D81" w:rsidRDefault="00EB481C">
      <w:pPr>
        <w:pStyle w:val="P68B1DB1-Normal4"/>
        <w:spacing w:before="120" w:after="120" w:line="240" w:lineRule="auto"/>
        <w:jc w:val="both"/>
        <w:rPr>
          <w:rFonts w:eastAsiaTheme="minorEastAsia" w:cs="Times New Roman"/>
          <w:noProof/>
        </w:rPr>
      </w:pPr>
      <w:r>
        <w:rPr>
          <w:noProof/>
        </w:rPr>
        <w:t xml:space="preserve">Az intézkedés általános célja a villamos </w:t>
      </w:r>
      <w:r>
        <w:rPr>
          <w:noProof/>
        </w:rPr>
        <w:t xml:space="preserve">energia versenyképességének növelése és a gazdaság villamosításának felgyorsítása. E célból az intézkedésnek rendelkeznie kell egy kezdeti támogatási mechanizmusról, amely maximalizálja a hálózatok digitalizálásában rejlő lehetőségeket a következők révén: </w:t>
      </w:r>
      <w:r>
        <w:rPr>
          <w:noProof/>
        </w:rPr>
        <w:t>i. a megújulóenergia-termelés veszteségeinek és kiömléseinek csökkentése ii. a keresletnek a villamosenergia-rendszer irányításában való részvételének elősegítése és iii. a hálózati konfiguráció optimalizálása.</w:t>
      </w:r>
    </w:p>
    <w:p w14:paraId="2CC15D25" w14:textId="77777777" w:rsidR="003E1D81" w:rsidRDefault="00EB481C">
      <w:pPr>
        <w:pStyle w:val="P68B1DB1-Normal4"/>
        <w:spacing w:before="120" w:after="120" w:line="240" w:lineRule="auto"/>
        <w:jc w:val="both"/>
        <w:rPr>
          <w:rFonts w:eastAsiaTheme="minorEastAsia" w:cs="Times New Roman"/>
          <w:noProof/>
        </w:rPr>
      </w:pPr>
      <w:r>
        <w:rPr>
          <w:noProof/>
        </w:rPr>
        <w:t>Az intézkedés keretében legalább 35 innovatív</w:t>
      </w:r>
      <w:r>
        <w:rPr>
          <w:noProof/>
        </w:rPr>
        <w:t xml:space="preserve"> digitalizálási projektet kell odaítélni (az intelligens villamosenergia-elosztásra vonatkozóan) elosztó vállalkozásoknak.</w:t>
      </w:r>
    </w:p>
    <w:p w14:paraId="6BC816DA" w14:textId="77777777" w:rsidR="003E1D81" w:rsidRDefault="00EB481C">
      <w:pPr>
        <w:pStyle w:val="P68B1DB1-Normal4"/>
        <w:spacing w:before="120" w:after="120" w:line="240" w:lineRule="auto"/>
        <w:jc w:val="both"/>
        <w:rPr>
          <w:rFonts w:eastAsiaTheme="minorEastAsia" w:cs="Times New Roman"/>
          <w:noProof/>
        </w:rPr>
      </w:pPr>
      <w:r>
        <w:rPr>
          <w:noProof/>
        </w:rPr>
        <w:t xml:space="preserve">A beruházás végrehajtását 2023. december 31-ig be kell fejezni.  </w:t>
      </w:r>
    </w:p>
    <w:p w14:paraId="2ACDB3D4" w14:textId="77777777" w:rsidR="003E1D81" w:rsidRDefault="00EB481C">
      <w:pPr>
        <w:pStyle w:val="P68B1DB1-Normal6"/>
        <w:keepNext/>
        <w:spacing w:before="120" w:after="120" w:line="240" w:lineRule="auto"/>
        <w:jc w:val="both"/>
        <w:rPr>
          <w:rFonts w:eastAsia="Symbol" w:cs="Times New Roman"/>
          <w:noProof/>
        </w:rPr>
      </w:pPr>
      <w:r>
        <w:rPr>
          <w:noProof/>
        </w:rPr>
        <w:t>Beruházás (C8.I3) – Új üzleti modellek az energetikai átállásban</w:t>
      </w:r>
    </w:p>
    <w:p w14:paraId="6D6F38D9" w14:textId="77777777" w:rsidR="003E1D81" w:rsidRDefault="00EB481C">
      <w:pPr>
        <w:pStyle w:val="P68B1DB1-Normal4"/>
        <w:keepNext/>
        <w:spacing w:before="120" w:after="120" w:line="240" w:lineRule="auto"/>
        <w:jc w:val="both"/>
        <w:rPr>
          <w:rFonts w:eastAsia="Symbol" w:cs="Times New Roman"/>
          <w:noProof/>
        </w:rPr>
      </w:pPr>
      <w:r>
        <w:rPr>
          <w:noProof/>
        </w:rPr>
        <w:t>Ez</w:t>
      </w:r>
      <w:r>
        <w:rPr>
          <w:noProof/>
        </w:rPr>
        <w:t xml:space="preserve"> az intézkedés olyan beruházásokat és támogatási mechanizmusokat foglal magában, amelyek célja az energiatárolás bevezetéséhez kapcsolódó átállás új üzleti modelljeinek fellendítése, valamint a második életciklus kezelése és újrafeldolgozása, a keresletsza</w:t>
      </w:r>
      <w:r>
        <w:rPr>
          <w:noProof/>
        </w:rPr>
        <w:t xml:space="preserve">bályozás, az aggregátorok, a rugalmassági szolgáltatások, az adatokhoz való hozzáférés és a tesztkörnyezetek. Az intézkedés különösen a következőket foglalja magában: </w:t>
      </w:r>
    </w:p>
    <w:p w14:paraId="5C89B677" w14:textId="77777777" w:rsidR="003E1D81" w:rsidRDefault="00EB481C">
      <w:pPr>
        <w:pStyle w:val="P68B1DB1-Normal4"/>
        <w:numPr>
          <w:ilvl w:val="0"/>
          <w:numId w:val="101"/>
        </w:numPr>
        <w:spacing w:before="120" w:after="160" w:line="259" w:lineRule="auto"/>
        <w:ind w:left="426" w:hanging="426"/>
        <w:contextualSpacing/>
        <w:jc w:val="both"/>
        <w:rPr>
          <w:rFonts w:eastAsia="Symbol" w:cs="Times New Roman"/>
          <w:noProof/>
        </w:rPr>
      </w:pPr>
      <w:r>
        <w:rPr>
          <w:noProof/>
        </w:rPr>
        <w:t>Az aggregátorok telepítésének támogatása a nemzeti villamosenergia-piacon, különös tekin</w:t>
      </w:r>
      <w:r>
        <w:rPr>
          <w:noProof/>
        </w:rPr>
        <w:t>tettel a független aggregátorokra valós idejű mérőberendezések (almérés), ellenőrző és kommunikációs központok telepítése, valamint az aggregációs platformok előmozdítása révén;</w:t>
      </w:r>
    </w:p>
    <w:p w14:paraId="73FE182B" w14:textId="77777777" w:rsidR="003E1D81" w:rsidRDefault="00EB481C">
      <w:pPr>
        <w:pStyle w:val="P68B1DB1-Normal4"/>
        <w:numPr>
          <w:ilvl w:val="0"/>
          <w:numId w:val="101"/>
        </w:numPr>
        <w:spacing w:before="120" w:after="160" w:line="259" w:lineRule="auto"/>
        <w:ind w:left="426" w:hanging="426"/>
        <w:contextualSpacing/>
        <w:jc w:val="both"/>
        <w:rPr>
          <w:rFonts w:eastAsia="Symbol" w:cs="Times New Roman"/>
          <w:noProof/>
        </w:rPr>
      </w:pPr>
      <w:r>
        <w:rPr>
          <w:noProof/>
        </w:rPr>
        <w:t>A tárolás bevezetése a teljes értéklánc mentén;</w:t>
      </w:r>
    </w:p>
    <w:p w14:paraId="7A574EA9" w14:textId="77777777" w:rsidR="003E1D81" w:rsidRDefault="00EB481C">
      <w:pPr>
        <w:pStyle w:val="P68B1DB1-Normal4"/>
        <w:numPr>
          <w:ilvl w:val="0"/>
          <w:numId w:val="101"/>
        </w:numPr>
        <w:spacing w:before="120" w:after="160" w:line="259" w:lineRule="auto"/>
        <w:ind w:left="426" w:hanging="426"/>
        <w:contextualSpacing/>
        <w:jc w:val="both"/>
        <w:rPr>
          <w:rFonts w:eastAsia="Symbol" w:cs="Times New Roman"/>
          <w:noProof/>
        </w:rPr>
      </w:pPr>
      <w:r>
        <w:rPr>
          <w:noProof/>
        </w:rPr>
        <w:t>A keresletkezelési projektek t</w:t>
      </w:r>
      <w:r>
        <w:rPr>
          <w:noProof/>
        </w:rPr>
        <w:t>ámogatása különböző fogyasztói profilokban (nagyipar, kkv-k, megújulóenergia-közösségek/polgári energiaközösségek, aggregátorok stb.);</w:t>
      </w:r>
    </w:p>
    <w:p w14:paraId="0616224B" w14:textId="77777777" w:rsidR="003E1D81" w:rsidRDefault="00EB481C">
      <w:pPr>
        <w:pStyle w:val="P68B1DB1-Normal4"/>
        <w:numPr>
          <w:ilvl w:val="0"/>
          <w:numId w:val="101"/>
        </w:numPr>
        <w:spacing w:before="120" w:after="160" w:line="259" w:lineRule="auto"/>
        <w:ind w:left="426" w:hanging="426"/>
        <w:contextualSpacing/>
        <w:jc w:val="both"/>
        <w:rPr>
          <w:rFonts w:eastAsia="Symbol" w:cs="Times New Roman"/>
          <w:noProof/>
        </w:rPr>
      </w:pPr>
      <w:r>
        <w:rPr>
          <w:noProof/>
        </w:rPr>
        <w:t>Kéri, hogy dolgozzanak ki szabályozási tesztkörnyezeteket közvetlen, versenyen alapuló támogatás vagy együttműködési megá</w:t>
      </w:r>
      <w:r>
        <w:rPr>
          <w:noProof/>
        </w:rPr>
        <w:t>llapodások formájában; és</w:t>
      </w:r>
    </w:p>
    <w:p w14:paraId="07056859" w14:textId="77777777" w:rsidR="003E1D81" w:rsidRDefault="00EB481C">
      <w:pPr>
        <w:pStyle w:val="P68B1DB1-Normal4"/>
        <w:numPr>
          <w:ilvl w:val="0"/>
          <w:numId w:val="101"/>
        </w:numPr>
        <w:spacing w:before="120" w:after="120" w:line="259" w:lineRule="auto"/>
        <w:ind w:left="425" w:hanging="425"/>
        <w:jc w:val="both"/>
        <w:rPr>
          <w:rFonts w:eastAsia="Symbol" w:cs="Times New Roman"/>
          <w:noProof/>
        </w:rPr>
      </w:pPr>
      <w:r>
        <w:rPr>
          <w:noProof/>
        </w:rPr>
        <w:t>Induló vállalkozások vagy innovatív kezdeményezések támogatása az energia területén.</w:t>
      </w:r>
    </w:p>
    <w:p w14:paraId="01C11A95" w14:textId="77777777" w:rsidR="003E1D81" w:rsidRDefault="00EB481C">
      <w:pPr>
        <w:pStyle w:val="P68B1DB1-Normal4"/>
        <w:spacing w:before="120" w:after="120" w:line="240" w:lineRule="auto"/>
        <w:jc w:val="both"/>
        <w:rPr>
          <w:rFonts w:eastAsia="Symbol" w:cs="Times New Roman"/>
          <w:noProof/>
        </w:rPr>
      </w:pPr>
      <w:r>
        <w:rPr>
          <w:noProof/>
        </w:rPr>
        <w:t>A beruházás szorosan kapcsolódik a C8.R4. reformhoz, amelynek célja, hogy szabályozói tesztkörnyezeteket dolgozzon ki az innovatív projektek szám</w:t>
      </w:r>
      <w:r>
        <w:rPr>
          <w:noProof/>
        </w:rPr>
        <w:t>ára. Emellett a többi reform, nevezetesen a C8.R3. reform által meghatározott stratégiai és szabályozási keretre is épít.</w:t>
      </w:r>
    </w:p>
    <w:p w14:paraId="7C132290" w14:textId="702B13DB" w:rsidR="003E1D81" w:rsidRDefault="00EB481C">
      <w:pPr>
        <w:pStyle w:val="P68B1DB1-Normal4"/>
        <w:spacing w:before="120" w:after="120" w:line="240" w:lineRule="auto"/>
        <w:jc w:val="both"/>
        <w:rPr>
          <w:rFonts w:eastAsia="Symbol" w:cs="Times New Roman"/>
          <w:noProof/>
        </w:rPr>
      </w:pPr>
      <w:r>
        <w:rPr>
          <w:noProof/>
        </w:rPr>
        <w:t>Várhatóan legalább 18 projektet ítélnek oda az energetikai átállás új üzleti modelljeinek előmozdítására, beleértve az intelligens fog</w:t>
      </w:r>
      <w:r>
        <w:rPr>
          <w:noProof/>
        </w:rPr>
        <w:t>yasztásmérést, a tárolást, a keresletoldali választ, a rugalmassági szolgáltatásokat és az adatokat.</w:t>
      </w:r>
    </w:p>
    <w:p w14:paraId="7AFBC81D" w14:textId="77777777" w:rsidR="003E1D81" w:rsidRDefault="00EB481C">
      <w:pPr>
        <w:pStyle w:val="P68B1DB1-Normal4"/>
        <w:spacing w:before="120" w:after="120" w:line="240" w:lineRule="auto"/>
        <w:jc w:val="both"/>
        <w:rPr>
          <w:rFonts w:eastAsia="Symbol" w:cs="Times New Roman"/>
          <w:noProof/>
        </w:rPr>
      </w:pPr>
      <w:r>
        <w:rPr>
          <w:noProof/>
        </w:rPr>
        <w:t>A beruházás végrehajtását 2023. december 31-ig be kell fejezni.</w:t>
      </w:r>
    </w:p>
    <w:p w14:paraId="0C18562F" w14:textId="77777777" w:rsidR="003E1D81" w:rsidRDefault="00EB481C">
      <w:pPr>
        <w:pStyle w:val="P68B1DB1-Normal5"/>
        <w:spacing w:before="120" w:after="120" w:line="240" w:lineRule="auto"/>
        <w:ind w:left="709"/>
        <w:jc w:val="both"/>
        <w:rPr>
          <w:rFonts w:cs="Times New Roman"/>
          <w:noProof/>
        </w:rPr>
      </w:pPr>
      <w:r>
        <w:rPr>
          <w:noProof/>
        </w:rPr>
        <w:t xml:space="preserve">H.2. </w:t>
      </w:r>
      <w:r>
        <w:rPr>
          <w:noProof/>
        </w:rPr>
        <w:tab/>
        <w:t>Vissza nem térítendő pénzügyi támogatás – a végrehajtáshoz és a nyomon követéshez kap</w:t>
      </w:r>
      <w:r>
        <w:rPr>
          <w:noProof/>
        </w:rPr>
        <w:t>csolódó mérföldkövek, célok, mutatók és ütemterv</w:t>
      </w:r>
    </w:p>
    <w:p w14:paraId="19C00E4A" w14:textId="77777777" w:rsidR="003E1D81" w:rsidRDefault="00EB481C">
      <w:pPr>
        <w:pStyle w:val="P68B1DB1-Normal4"/>
        <w:spacing w:before="120" w:after="120" w:line="240" w:lineRule="auto"/>
        <w:jc w:val="both"/>
        <w:rPr>
          <w:rFonts w:cs="Times New Roman"/>
          <w:b/>
          <w:noProof/>
          <w:u w:val="single"/>
        </w:rPr>
      </w:pPr>
      <w:r>
        <w:rPr>
          <w:i/>
          <w:noProof/>
        </w:rPr>
        <w:t>Táblázat alább.</w:t>
      </w:r>
      <w:r>
        <w:rPr>
          <w:noProof/>
        </w:rPr>
        <w:t xml:space="preserve"> </w:t>
      </w:r>
      <w:r>
        <w:rPr>
          <w:i/>
          <w:noProof/>
        </w:rPr>
        <w:t>Az alapforgatókönyv valamennyi mutató esetében 2020. február 1-je, kivéve, ha az intézkedés leírása másként jelzi. A táblázatban szereplő összegek nem tartalmazzák a héát.</w:t>
      </w:r>
    </w:p>
    <w:p w14:paraId="42C6D796" w14:textId="77777777" w:rsidR="003E1D81" w:rsidRDefault="003E1D81">
      <w:pPr>
        <w:spacing w:before="120" w:after="120" w:line="240" w:lineRule="auto"/>
        <w:jc w:val="both"/>
        <w:rPr>
          <w:rFonts w:ascii="Times New Roman" w:hAnsi="Times New Roman" w:cs="Times New Roman"/>
          <w:i/>
          <w:noProof/>
          <w:sz w:val="24"/>
        </w:rPr>
      </w:pPr>
    </w:p>
    <w:p w14:paraId="6E1831B3" w14:textId="77777777" w:rsidR="003E1D81" w:rsidRDefault="003E1D81">
      <w:pPr>
        <w:spacing w:before="120" w:after="120" w:line="240" w:lineRule="auto"/>
        <w:ind w:left="709"/>
        <w:jc w:val="both"/>
        <w:rPr>
          <w:rFonts w:ascii="Times New Roman" w:hAnsi="Times New Roman" w:cs="Times New Roman"/>
          <w:noProof/>
          <w:sz w:val="24"/>
        </w:rPr>
        <w:sectPr w:rsidR="003E1D81" w:rsidSect="00EB7CC8">
          <w:headerReference w:type="even" r:id="rId186"/>
          <w:headerReference w:type="default" r:id="rId187"/>
          <w:footerReference w:type="even" r:id="rId188"/>
          <w:footerReference w:type="default" r:id="rId189"/>
          <w:headerReference w:type="first" r:id="rId190"/>
          <w:footerReference w:type="first" r:id="rId191"/>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410"/>
        <w:gridCol w:w="1134"/>
        <w:gridCol w:w="851"/>
        <w:gridCol w:w="567"/>
        <w:gridCol w:w="567"/>
        <w:gridCol w:w="567"/>
        <w:gridCol w:w="567"/>
        <w:gridCol w:w="6237"/>
      </w:tblGrid>
      <w:tr w:rsidR="003E1D81" w14:paraId="06A4CBE2" w14:textId="77777777">
        <w:trPr>
          <w:trHeight w:val="309"/>
          <w:tblHeader/>
        </w:trPr>
        <w:tc>
          <w:tcPr>
            <w:tcW w:w="709" w:type="dxa"/>
            <w:tcBorders>
              <w:bottom w:val="nil"/>
            </w:tcBorders>
            <w:shd w:val="clear" w:color="auto" w:fill="C6D9F1" w:themeFill="text2" w:themeFillTint="33"/>
            <w:noWrap/>
            <w:vAlign w:val="center"/>
          </w:tcPr>
          <w:p w14:paraId="27A0EC95"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683D1FD8"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00006DBC"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410" w:type="dxa"/>
            <w:tcBorders>
              <w:bottom w:val="nil"/>
            </w:tcBorders>
            <w:shd w:val="clear" w:color="auto" w:fill="C6D9F1" w:themeFill="text2" w:themeFillTint="33"/>
            <w:noWrap/>
            <w:vAlign w:val="center"/>
          </w:tcPr>
          <w:p w14:paraId="0399D578" w14:textId="77777777" w:rsidR="003E1D81" w:rsidRDefault="00EB481C">
            <w:pPr>
              <w:pStyle w:val="P68B1DB1-Normal12"/>
              <w:spacing w:after="0" w:line="240" w:lineRule="auto"/>
              <w:jc w:val="center"/>
              <w:rPr>
                <w:rFonts w:cs="Times New Roman"/>
                <w:noProof/>
              </w:rPr>
            </w:pPr>
            <w:r>
              <w:rPr>
                <w:noProof/>
              </w:rPr>
              <w:t>Név</w:t>
            </w:r>
          </w:p>
        </w:tc>
        <w:tc>
          <w:tcPr>
            <w:tcW w:w="1134" w:type="dxa"/>
            <w:tcBorders>
              <w:bottom w:val="nil"/>
            </w:tcBorders>
            <w:shd w:val="clear" w:color="auto" w:fill="C6D9F1" w:themeFill="text2" w:themeFillTint="33"/>
            <w:noWrap/>
            <w:vAlign w:val="center"/>
          </w:tcPr>
          <w:p w14:paraId="6956393C"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1985" w:type="dxa"/>
            <w:gridSpan w:val="3"/>
            <w:shd w:val="clear" w:color="auto" w:fill="C6D9F1" w:themeFill="text2" w:themeFillTint="33"/>
            <w:noWrap/>
            <w:vAlign w:val="center"/>
          </w:tcPr>
          <w:p w14:paraId="2AF17811"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1134" w:type="dxa"/>
            <w:gridSpan w:val="2"/>
            <w:shd w:val="clear" w:color="auto" w:fill="C6D9F1" w:themeFill="text2" w:themeFillTint="33"/>
            <w:noWrap/>
            <w:vAlign w:val="center"/>
          </w:tcPr>
          <w:p w14:paraId="581508C5" w14:textId="77777777" w:rsidR="003E1D81" w:rsidRDefault="00EB481C">
            <w:pPr>
              <w:pStyle w:val="P68B1DB1-Normal12"/>
              <w:spacing w:after="0" w:line="240" w:lineRule="auto"/>
              <w:jc w:val="center"/>
              <w:rPr>
                <w:rFonts w:cs="Times New Roman"/>
                <w:noProof/>
              </w:rPr>
            </w:pPr>
            <w:r>
              <w:rPr>
                <w:noProof/>
              </w:rPr>
              <w:t>Idő</w:t>
            </w:r>
          </w:p>
        </w:tc>
        <w:tc>
          <w:tcPr>
            <w:tcW w:w="6237" w:type="dxa"/>
            <w:tcBorders>
              <w:bottom w:val="nil"/>
            </w:tcBorders>
            <w:shd w:val="clear" w:color="auto" w:fill="C6D9F1" w:themeFill="text2" w:themeFillTint="33"/>
            <w:noWrap/>
            <w:vAlign w:val="center"/>
          </w:tcPr>
          <w:p w14:paraId="16810C53"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0E43F52B" w14:textId="77777777">
        <w:trPr>
          <w:trHeight w:val="309"/>
          <w:tblHeader/>
        </w:trPr>
        <w:tc>
          <w:tcPr>
            <w:tcW w:w="709" w:type="dxa"/>
            <w:tcBorders>
              <w:top w:val="nil"/>
            </w:tcBorders>
            <w:shd w:val="clear" w:color="auto" w:fill="C6D9F1" w:themeFill="text2" w:themeFillTint="33"/>
            <w:noWrap/>
          </w:tcPr>
          <w:p w14:paraId="54E11D2A"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31126E5D"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2DE403A5" w14:textId="77777777" w:rsidR="003E1D81" w:rsidRDefault="003E1D81">
            <w:pPr>
              <w:spacing w:after="0" w:line="240" w:lineRule="auto"/>
              <w:jc w:val="center"/>
              <w:rPr>
                <w:rFonts w:ascii="Times New Roman" w:hAnsi="Times New Roman" w:cs="Times New Roman"/>
                <w:b/>
                <w:noProof/>
                <w:sz w:val="18"/>
              </w:rPr>
            </w:pPr>
          </w:p>
        </w:tc>
        <w:tc>
          <w:tcPr>
            <w:tcW w:w="2410" w:type="dxa"/>
            <w:tcBorders>
              <w:top w:val="nil"/>
            </w:tcBorders>
            <w:shd w:val="clear" w:color="auto" w:fill="C6D9F1" w:themeFill="text2" w:themeFillTint="33"/>
            <w:noWrap/>
          </w:tcPr>
          <w:p w14:paraId="62431CDC" w14:textId="77777777" w:rsidR="003E1D81" w:rsidRDefault="003E1D81">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49E398E2" w14:textId="77777777" w:rsidR="003E1D81" w:rsidRDefault="003E1D81">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vAlign w:val="center"/>
          </w:tcPr>
          <w:p w14:paraId="4ABBA8A3" w14:textId="77777777" w:rsidR="003E1D81" w:rsidRDefault="00EB481C">
            <w:pPr>
              <w:pStyle w:val="P68B1DB1-Normal12"/>
              <w:spacing w:after="0" w:line="240" w:lineRule="auto"/>
              <w:jc w:val="center"/>
              <w:rPr>
                <w:rFonts w:cs="Times New Roman"/>
                <w:noProof/>
              </w:rPr>
            </w:pPr>
            <w:r>
              <w:rPr>
                <w:noProof/>
              </w:rPr>
              <w:t>Egység</w:t>
            </w:r>
          </w:p>
        </w:tc>
        <w:tc>
          <w:tcPr>
            <w:tcW w:w="567" w:type="dxa"/>
            <w:shd w:val="clear" w:color="auto" w:fill="C6D9F1" w:themeFill="text2" w:themeFillTint="33"/>
            <w:noWrap/>
            <w:vAlign w:val="center"/>
          </w:tcPr>
          <w:p w14:paraId="394E72C3" w14:textId="77777777" w:rsidR="003E1D81" w:rsidRDefault="00EB481C">
            <w:pPr>
              <w:pStyle w:val="P68B1DB1-Normal12"/>
              <w:spacing w:after="0" w:line="240" w:lineRule="auto"/>
              <w:jc w:val="center"/>
              <w:rPr>
                <w:rFonts w:cs="Times New Roman"/>
                <w:noProof/>
              </w:rPr>
            </w:pPr>
            <w:r>
              <w:rPr>
                <w:noProof/>
              </w:rPr>
              <w:t>Alapérték</w:t>
            </w:r>
          </w:p>
        </w:tc>
        <w:tc>
          <w:tcPr>
            <w:tcW w:w="567" w:type="dxa"/>
            <w:shd w:val="clear" w:color="auto" w:fill="C6D9F1" w:themeFill="text2" w:themeFillTint="33"/>
            <w:noWrap/>
            <w:vAlign w:val="center"/>
          </w:tcPr>
          <w:p w14:paraId="2E8B2227" w14:textId="77777777" w:rsidR="003E1D81" w:rsidRDefault="00EB481C">
            <w:pPr>
              <w:pStyle w:val="P68B1DB1-Normal12"/>
              <w:spacing w:after="0" w:line="240" w:lineRule="auto"/>
              <w:jc w:val="center"/>
              <w:rPr>
                <w:rFonts w:cs="Times New Roman"/>
                <w:noProof/>
              </w:rPr>
            </w:pPr>
            <w:r>
              <w:rPr>
                <w:noProof/>
              </w:rPr>
              <w:t>Cél</w:t>
            </w:r>
          </w:p>
        </w:tc>
        <w:tc>
          <w:tcPr>
            <w:tcW w:w="567" w:type="dxa"/>
            <w:shd w:val="clear" w:color="auto" w:fill="C6D9F1" w:themeFill="text2" w:themeFillTint="33"/>
            <w:noWrap/>
            <w:vAlign w:val="center"/>
          </w:tcPr>
          <w:p w14:paraId="1B0FDDEC"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34F5C5B" w14:textId="77777777" w:rsidR="003E1D81" w:rsidRDefault="00EB481C">
            <w:pPr>
              <w:pStyle w:val="P68B1DB1-Normal12"/>
              <w:spacing w:after="0" w:line="240" w:lineRule="auto"/>
              <w:jc w:val="center"/>
              <w:rPr>
                <w:rFonts w:cs="Times New Roman"/>
                <w:noProof/>
              </w:rPr>
            </w:pPr>
            <w:r>
              <w:rPr>
                <w:noProof/>
              </w:rPr>
              <w:t>Éve</w:t>
            </w:r>
          </w:p>
        </w:tc>
        <w:tc>
          <w:tcPr>
            <w:tcW w:w="6237" w:type="dxa"/>
            <w:tcBorders>
              <w:top w:val="nil"/>
            </w:tcBorders>
            <w:shd w:val="clear" w:color="auto" w:fill="C6D9F1" w:themeFill="text2" w:themeFillTint="33"/>
            <w:noWrap/>
          </w:tcPr>
          <w:p w14:paraId="16287F21" w14:textId="77777777" w:rsidR="003E1D81" w:rsidRDefault="003E1D81">
            <w:pPr>
              <w:spacing w:after="0" w:line="240" w:lineRule="auto"/>
              <w:rPr>
                <w:rFonts w:ascii="Times New Roman" w:hAnsi="Times New Roman" w:cs="Times New Roman"/>
                <w:b/>
                <w:noProof/>
                <w:sz w:val="18"/>
              </w:rPr>
            </w:pPr>
          </w:p>
        </w:tc>
      </w:tr>
      <w:tr w:rsidR="003E1D81" w14:paraId="1D80BCA7" w14:textId="77777777">
        <w:trPr>
          <w:trHeight w:val="309"/>
        </w:trPr>
        <w:tc>
          <w:tcPr>
            <w:tcW w:w="709" w:type="dxa"/>
            <w:shd w:val="clear" w:color="auto" w:fill="C6EFCE"/>
            <w:noWrap/>
          </w:tcPr>
          <w:p w14:paraId="52DEB7E5" w14:textId="77777777" w:rsidR="003E1D81" w:rsidRDefault="00EB481C">
            <w:pPr>
              <w:pStyle w:val="P68B1DB1-Normal13"/>
              <w:spacing w:after="0" w:line="240" w:lineRule="auto"/>
              <w:jc w:val="center"/>
              <w:rPr>
                <w:rFonts w:eastAsia="Symbol" w:cs="Times New Roman"/>
                <w:noProof/>
              </w:rPr>
            </w:pPr>
            <w:r>
              <w:rPr>
                <w:noProof/>
              </w:rPr>
              <w:t>121</w:t>
            </w:r>
          </w:p>
        </w:tc>
        <w:tc>
          <w:tcPr>
            <w:tcW w:w="851" w:type="dxa"/>
            <w:shd w:val="clear" w:color="auto" w:fill="C6EFCE"/>
            <w:noWrap/>
          </w:tcPr>
          <w:p w14:paraId="33FAD8A2" w14:textId="77777777" w:rsidR="003E1D81" w:rsidRDefault="00EB481C">
            <w:pPr>
              <w:pStyle w:val="P68B1DB1-Normal13"/>
              <w:spacing w:after="0" w:line="240" w:lineRule="auto"/>
              <w:jc w:val="center"/>
              <w:rPr>
                <w:rFonts w:eastAsia="Symbol" w:cs="Times New Roman"/>
                <w:noProof/>
              </w:rPr>
            </w:pPr>
            <w:r>
              <w:rPr>
                <w:noProof/>
              </w:rPr>
              <w:t>C8.R1</w:t>
            </w:r>
          </w:p>
        </w:tc>
        <w:tc>
          <w:tcPr>
            <w:tcW w:w="850" w:type="dxa"/>
            <w:shd w:val="clear" w:color="auto" w:fill="C6EFCE"/>
            <w:noWrap/>
          </w:tcPr>
          <w:p w14:paraId="06BB0C0F" w14:textId="77777777" w:rsidR="003E1D81" w:rsidRDefault="00EB481C">
            <w:pPr>
              <w:pStyle w:val="P68B1DB1-Normal13"/>
              <w:spacing w:after="0" w:line="240" w:lineRule="auto"/>
              <w:jc w:val="center"/>
              <w:rPr>
                <w:rFonts w:eastAsia="Symbol" w:cs="Times New Roman"/>
                <w:noProof/>
              </w:rPr>
            </w:pPr>
            <w:r>
              <w:rPr>
                <w:noProof/>
              </w:rPr>
              <w:t>M</w:t>
            </w:r>
          </w:p>
        </w:tc>
        <w:tc>
          <w:tcPr>
            <w:tcW w:w="2410" w:type="dxa"/>
            <w:shd w:val="clear" w:color="auto" w:fill="C6EFCE"/>
            <w:noWrap/>
          </w:tcPr>
          <w:p w14:paraId="5562B7B2" w14:textId="77777777" w:rsidR="003E1D81" w:rsidRDefault="00EB481C">
            <w:pPr>
              <w:pStyle w:val="P68B1DB1-Normal13"/>
              <w:spacing w:after="0" w:line="240" w:lineRule="auto"/>
              <w:rPr>
                <w:rFonts w:eastAsia="Symbol" w:cs="Times New Roman"/>
                <w:noProof/>
              </w:rPr>
            </w:pPr>
            <w:r>
              <w:rPr>
                <w:noProof/>
              </w:rPr>
              <w:t xml:space="preserve">A </w:t>
            </w:r>
            <w:r>
              <w:rPr>
                <w:noProof/>
              </w:rPr>
              <w:t>hosszú távú dekarbonizációs stratégia (ELP2050) jóváhagyása.</w:t>
            </w:r>
          </w:p>
        </w:tc>
        <w:tc>
          <w:tcPr>
            <w:tcW w:w="1134" w:type="dxa"/>
            <w:shd w:val="clear" w:color="auto" w:fill="C6EFCE"/>
            <w:noWrap/>
          </w:tcPr>
          <w:p w14:paraId="082FD219" w14:textId="77777777" w:rsidR="003E1D81" w:rsidRDefault="00EB481C">
            <w:pPr>
              <w:pStyle w:val="P68B1DB1-Normal13"/>
              <w:spacing w:after="0" w:line="240" w:lineRule="auto"/>
              <w:jc w:val="center"/>
              <w:rPr>
                <w:rFonts w:eastAsia="Symbol" w:cs="Times New Roman"/>
                <w:noProof/>
              </w:rPr>
            </w:pPr>
            <w:r>
              <w:rPr>
                <w:noProof/>
              </w:rPr>
              <w:t>A Miniszterek Tanácsának jóváhagyása</w:t>
            </w:r>
          </w:p>
        </w:tc>
        <w:tc>
          <w:tcPr>
            <w:tcW w:w="851" w:type="dxa"/>
            <w:shd w:val="clear" w:color="auto" w:fill="C6EFCE"/>
            <w:noWrap/>
          </w:tcPr>
          <w:p w14:paraId="4D23D007"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07256260"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29B840A6"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2F103B77"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7351E708" w14:textId="77777777" w:rsidR="003E1D81" w:rsidRDefault="00EB481C">
            <w:pPr>
              <w:pStyle w:val="P68B1DB1-Normal13"/>
              <w:spacing w:after="0" w:line="240" w:lineRule="auto"/>
              <w:jc w:val="center"/>
              <w:rPr>
                <w:rFonts w:eastAsia="Symbol" w:cs="Times New Roman"/>
                <w:noProof/>
              </w:rPr>
            </w:pPr>
            <w:r>
              <w:rPr>
                <w:noProof/>
              </w:rPr>
              <w:t>2021</w:t>
            </w:r>
          </w:p>
        </w:tc>
        <w:tc>
          <w:tcPr>
            <w:tcW w:w="6237" w:type="dxa"/>
            <w:shd w:val="clear" w:color="auto" w:fill="C6EFCE"/>
            <w:noWrap/>
          </w:tcPr>
          <w:p w14:paraId="21034D0B" w14:textId="77777777" w:rsidR="003E1D81" w:rsidRDefault="00EB481C">
            <w:pPr>
              <w:pStyle w:val="P68B1DB1-Normal13"/>
              <w:spacing w:after="0" w:line="240" w:lineRule="auto"/>
              <w:rPr>
                <w:rFonts w:eastAsia="Symbol" w:cs="Times New Roman"/>
                <w:noProof/>
              </w:rPr>
            </w:pPr>
            <w:r>
              <w:rPr>
                <w:noProof/>
              </w:rPr>
              <w:t>A hosszú távú dekarbonizációs stratégia (ELP2050) jóváhagyása. Az ELP50 megteremti a megújuló energiaforrásoknak a rugalmas és intelligens</w:t>
            </w:r>
            <w:r>
              <w:rPr>
                <w:noProof/>
              </w:rPr>
              <w:t xml:space="preserve"> energiarendszerbe való hatékony integrálására vonatkozó stratégiai és szabályozási keret meghatározásának alapját, amelyet a nemzeti energia- és klímatervben meghatározott tágabb megközelítés összefüggésében kell értelmezni.</w:t>
            </w:r>
          </w:p>
        </w:tc>
      </w:tr>
      <w:tr w:rsidR="003E1D81" w14:paraId="76CF18B4" w14:textId="77777777">
        <w:trPr>
          <w:trHeight w:val="309"/>
        </w:trPr>
        <w:tc>
          <w:tcPr>
            <w:tcW w:w="709" w:type="dxa"/>
            <w:shd w:val="clear" w:color="auto" w:fill="C6EFCE"/>
            <w:noWrap/>
          </w:tcPr>
          <w:p w14:paraId="18EE793C" w14:textId="77777777" w:rsidR="003E1D81" w:rsidRDefault="00EB481C">
            <w:pPr>
              <w:pStyle w:val="P68B1DB1-Normal13"/>
              <w:spacing w:after="0" w:line="240" w:lineRule="auto"/>
              <w:jc w:val="center"/>
              <w:rPr>
                <w:rFonts w:eastAsia="Symbol" w:cs="Times New Roman"/>
                <w:noProof/>
              </w:rPr>
            </w:pPr>
            <w:r>
              <w:rPr>
                <w:noProof/>
              </w:rPr>
              <w:t>122</w:t>
            </w:r>
          </w:p>
        </w:tc>
        <w:tc>
          <w:tcPr>
            <w:tcW w:w="851" w:type="dxa"/>
            <w:shd w:val="clear" w:color="auto" w:fill="C6EFCE"/>
            <w:noWrap/>
          </w:tcPr>
          <w:p w14:paraId="5D63AFB9" w14:textId="77777777" w:rsidR="003E1D81" w:rsidRDefault="00EB481C">
            <w:pPr>
              <w:pStyle w:val="P68B1DB1-Normal13"/>
              <w:spacing w:after="0" w:line="240" w:lineRule="auto"/>
              <w:jc w:val="center"/>
              <w:rPr>
                <w:rFonts w:eastAsia="Symbol" w:cs="Times New Roman"/>
                <w:noProof/>
              </w:rPr>
            </w:pPr>
            <w:r>
              <w:rPr>
                <w:noProof/>
              </w:rPr>
              <w:t>C8.R2</w:t>
            </w:r>
          </w:p>
        </w:tc>
        <w:tc>
          <w:tcPr>
            <w:tcW w:w="850" w:type="dxa"/>
            <w:shd w:val="clear" w:color="auto" w:fill="C6EFCE"/>
            <w:noWrap/>
          </w:tcPr>
          <w:p w14:paraId="28C76C2F" w14:textId="77777777" w:rsidR="003E1D81" w:rsidRDefault="00EB481C">
            <w:pPr>
              <w:pStyle w:val="P68B1DB1-Normal13"/>
              <w:spacing w:after="0" w:line="240" w:lineRule="auto"/>
              <w:jc w:val="center"/>
              <w:rPr>
                <w:rFonts w:eastAsia="Symbol" w:cs="Times New Roman"/>
                <w:noProof/>
              </w:rPr>
            </w:pPr>
            <w:r>
              <w:rPr>
                <w:noProof/>
              </w:rPr>
              <w:t>M</w:t>
            </w:r>
          </w:p>
        </w:tc>
        <w:tc>
          <w:tcPr>
            <w:tcW w:w="2410" w:type="dxa"/>
            <w:shd w:val="clear" w:color="auto" w:fill="C6EFCE"/>
            <w:noWrap/>
          </w:tcPr>
          <w:p w14:paraId="5DC07101" w14:textId="77777777" w:rsidR="003E1D81" w:rsidRDefault="00EB481C">
            <w:pPr>
              <w:pStyle w:val="P68B1DB1-Normal13"/>
              <w:spacing w:after="0" w:line="240" w:lineRule="auto"/>
              <w:rPr>
                <w:rFonts w:eastAsia="Symbol" w:cs="Times New Roman"/>
                <w:noProof/>
              </w:rPr>
            </w:pPr>
            <w:r>
              <w:rPr>
                <w:noProof/>
              </w:rPr>
              <w:t xml:space="preserve">Az </w:t>
            </w:r>
            <w:r>
              <w:rPr>
                <w:noProof/>
              </w:rPr>
              <w:t>energiatárolási megoldások fejlesztését előmozdító tervezési, jogalkotási és szabályozási reformok hatálybalépése.</w:t>
            </w:r>
          </w:p>
        </w:tc>
        <w:tc>
          <w:tcPr>
            <w:tcW w:w="1134" w:type="dxa"/>
            <w:shd w:val="clear" w:color="auto" w:fill="C6EFCE"/>
            <w:noWrap/>
          </w:tcPr>
          <w:p w14:paraId="5DE3B16A" w14:textId="77777777" w:rsidR="003E1D81" w:rsidRDefault="00EB481C">
            <w:pPr>
              <w:pStyle w:val="P68B1DB1-Normal13"/>
              <w:spacing w:after="0" w:line="240" w:lineRule="auto"/>
              <w:jc w:val="center"/>
              <w:rPr>
                <w:rFonts w:eastAsia="Symbol" w:cs="Times New Roman"/>
                <w:noProof/>
              </w:rPr>
            </w:pPr>
            <w:r>
              <w:rPr>
                <w:noProof/>
              </w:rPr>
              <w:t xml:space="preserve">A törvényi és rendeleti intézkedések rendelkezései a hatálybalépéskor </w:t>
            </w:r>
          </w:p>
        </w:tc>
        <w:tc>
          <w:tcPr>
            <w:tcW w:w="851" w:type="dxa"/>
            <w:shd w:val="clear" w:color="auto" w:fill="C6EFCE"/>
            <w:noWrap/>
          </w:tcPr>
          <w:p w14:paraId="0DD171FB"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1CFE44F5"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19ADC6D0"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6A517C7D" w14:textId="77777777" w:rsidR="003E1D81" w:rsidRDefault="00EB481C">
            <w:pPr>
              <w:pStyle w:val="P68B1DB1-Normal13"/>
              <w:spacing w:after="0" w:line="240" w:lineRule="auto"/>
              <w:jc w:val="center"/>
              <w:rPr>
                <w:rFonts w:eastAsia="Symbol" w:cs="Times New Roman"/>
                <w:noProof/>
              </w:rPr>
            </w:pPr>
            <w:r>
              <w:rPr>
                <w:noProof/>
              </w:rPr>
              <w:t>KÉRDÉS</w:t>
            </w:r>
          </w:p>
        </w:tc>
        <w:tc>
          <w:tcPr>
            <w:tcW w:w="567" w:type="dxa"/>
            <w:shd w:val="clear" w:color="auto" w:fill="C6EFCE"/>
            <w:noWrap/>
          </w:tcPr>
          <w:p w14:paraId="0054E802" w14:textId="77777777" w:rsidR="003E1D81" w:rsidRDefault="00EB481C">
            <w:pPr>
              <w:pStyle w:val="P68B1DB1-Normal13"/>
              <w:spacing w:after="0" w:line="240" w:lineRule="auto"/>
              <w:jc w:val="center"/>
              <w:rPr>
                <w:rFonts w:eastAsia="Symbol" w:cs="Times New Roman"/>
                <w:noProof/>
              </w:rPr>
            </w:pPr>
            <w:r>
              <w:rPr>
                <w:noProof/>
              </w:rPr>
              <w:t>2021</w:t>
            </w:r>
          </w:p>
        </w:tc>
        <w:tc>
          <w:tcPr>
            <w:tcW w:w="6237" w:type="dxa"/>
            <w:shd w:val="clear" w:color="auto" w:fill="C6EFCE"/>
            <w:noWrap/>
          </w:tcPr>
          <w:p w14:paraId="5D8ADA9C" w14:textId="77777777" w:rsidR="003E1D81" w:rsidRDefault="00EB481C">
            <w:pPr>
              <w:pStyle w:val="P68B1DB1-Normal13"/>
              <w:spacing w:after="0" w:line="240" w:lineRule="auto"/>
              <w:rPr>
                <w:rFonts w:eastAsia="Symbol" w:cs="Times New Roman"/>
                <w:noProof/>
              </w:rPr>
            </w:pPr>
            <w:r>
              <w:rPr>
                <w:noProof/>
              </w:rPr>
              <w:t xml:space="preserve">A következő tervezési, jogalkotási és szabályozási </w:t>
            </w:r>
            <w:r>
              <w:rPr>
                <w:noProof/>
              </w:rPr>
              <w:t>reformok elfogadása és hatálybalépése az energiatárolási megoldások fejlesztésének előmozdítása érdekében:</w:t>
            </w:r>
            <w:r>
              <w:rPr>
                <w:noProof/>
              </w:rPr>
              <w:br/>
              <w:t>az energiatárolási stratégia jóváhagyása a Miniszterek Tanácsán belül azzal a céllal, hogy a stratégiában foglalt 10 cselekvési irányvonalba csoporto</w:t>
            </w:r>
            <w:r>
              <w:rPr>
                <w:noProof/>
              </w:rPr>
              <w:t xml:space="preserve">sított 66 konkrét intézkedés révén előmozdítsák az energiatárolás bevezetését. A cél az, hogy 2030-ra 20 GW, 2050-ra pedig 30 GW energiatároló álljon rendelkezésre; </w:t>
            </w:r>
            <w:r>
              <w:rPr>
                <w:noProof/>
              </w:rPr>
              <w:br/>
              <w:t>az 1183/2020. sz. királyi rendelet kihirdetése a Hivatalos Lapban a földgáztárolók hálózat</w:t>
            </w:r>
            <w:r>
              <w:rPr>
                <w:noProof/>
              </w:rPr>
              <w:t xml:space="preserve">hoz való hozzáférésének szabályozása érdekében. </w:t>
            </w:r>
            <w:r>
              <w:rPr>
                <w:noProof/>
              </w:rPr>
              <w:br/>
              <w:t xml:space="preserve">a </w:t>
            </w:r>
            <w:r>
              <w:rPr>
                <w:i/>
                <w:noProof/>
              </w:rPr>
              <w:t>Comisión Nacional de los Mercados y la Competencia</w:t>
            </w:r>
            <w:r>
              <w:rPr>
                <w:noProof/>
              </w:rPr>
              <w:t xml:space="preserve"> 1/2021. számú körlevelének közzététele a villamosenergia-termelő létesítmények átviteli és elosztó hálózataihoz való hozzáférés és az azokhoz való csatlak</w:t>
            </w:r>
            <w:r>
              <w:rPr>
                <w:noProof/>
              </w:rPr>
              <w:t xml:space="preserve">ozás módszertanának és feltételeinek meghatározása céljából. </w:t>
            </w:r>
            <w:r>
              <w:rPr>
                <w:noProof/>
              </w:rPr>
              <w:br/>
              <w:t>az energiatároló létesítmények kiegészítő szolgáltatások nyújtásában való részvételének szabályozásáról szóló, 2020. december 10-i állásfoglalás közzététele a Hivatalos Lapban</w:t>
            </w:r>
          </w:p>
        </w:tc>
      </w:tr>
      <w:tr w:rsidR="003E1D81" w14:paraId="758CECA4" w14:textId="77777777">
        <w:trPr>
          <w:trHeight w:val="309"/>
        </w:trPr>
        <w:tc>
          <w:tcPr>
            <w:tcW w:w="709" w:type="dxa"/>
            <w:shd w:val="clear" w:color="auto" w:fill="C6EFCE"/>
            <w:noWrap/>
          </w:tcPr>
          <w:p w14:paraId="19FCCF4E" w14:textId="77777777" w:rsidR="003E1D81" w:rsidRDefault="00EB481C">
            <w:pPr>
              <w:pStyle w:val="P68B1DB1-Normal13"/>
              <w:spacing w:after="0" w:line="240" w:lineRule="auto"/>
              <w:jc w:val="center"/>
              <w:rPr>
                <w:rFonts w:eastAsia="Symbol" w:cs="Times New Roman"/>
                <w:noProof/>
              </w:rPr>
            </w:pPr>
            <w:r>
              <w:rPr>
                <w:noProof/>
              </w:rPr>
              <w:t>123</w:t>
            </w:r>
          </w:p>
        </w:tc>
        <w:tc>
          <w:tcPr>
            <w:tcW w:w="851" w:type="dxa"/>
            <w:shd w:val="clear" w:color="auto" w:fill="C6EFCE"/>
            <w:noWrap/>
          </w:tcPr>
          <w:p w14:paraId="2142BC9D" w14:textId="77777777" w:rsidR="003E1D81" w:rsidRDefault="00EB481C">
            <w:pPr>
              <w:pStyle w:val="P68B1DB1-Normal13"/>
              <w:spacing w:after="0" w:line="240" w:lineRule="auto"/>
              <w:jc w:val="center"/>
              <w:rPr>
                <w:rFonts w:eastAsia="Symbol" w:cs="Times New Roman"/>
                <w:noProof/>
              </w:rPr>
            </w:pPr>
            <w:r>
              <w:rPr>
                <w:noProof/>
              </w:rPr>
              <w:t>C8.R3</w:t>
            </w:r>
          </w:p>
        </w:tc>
        <w:tc>
          <w:tcPr>
            <w:tcW w:w="850" w:type="dxa"/>
            <w:shd w:val="clear" w:color="auto" w:fill="C6EFCE"/>
            <w:noWrap/>
          </w:tcPr>
          <w:p w14:paraId="25E36A0E" w14:textId="77777777" w:rsidR="003E1D81" w:rsidRDefault="00EB481C">
            <w:pPr>
              <w:pStyle w:val="P68B1DB1-Normal13"/>
              <w:spacing w:after="0" w:line="240" w:lineRule="auto"/>
              <w:jc w:val="center"/>
              <w:rPr>
                <w:rFonts w:eastAsia="Symbol" w:cs="Times New Roman"/>
                <w:noProof/>
              </w:rPr>
            </w:pPr>
            <w:r>
              <w:rPr>
                <w:noProof/>
              </w:rPr>
              <w:t>M</w:t>
            </w:r>
          </w:p>
        </w:tc>
        <w:tc>
          <w:tcPr>
            <w:tcW w:w="2410" w:type="dxa"/>
            <w:shd w:val="clear" w:color="auto" w:fill="C6EFCE"/>
            <w:noWrap/>
          </w:tcPr>
          <w:p w14:paraId="6E675971" w14:textId="77777777" w:rsidR="003E1D81" w:rsidRDefault="00EB481C">
            <w:pPr>
              <w:pStyle w:val="P68B1DB1-Normal13"/>
              <w:spacing w:after="0" w:line="240" w:lineRule="auto"/>
              <w:rPr>
                <w:rFonts w:eastAsia="Symbol" w:cs="Times New Roman"/>
                <w:noProof/>
              </w:rPr>
            </w:pPr>
            <w:r>
              <w:rPr>
                <w:noProof/>
              </w:rPr>
              <w:t xml:space="preserve">A </w:t>
            </w:r>
            <w:r>
              <w:rPr>
                <w:noProof/>
              </w:rPr>
              <w:t>rugalmasság és a keresletoldali válasz integrálását célzó szabályozási intézkedések hatálybalépése.</w:t>
            </w:r>
          </w:p>
        </w:tc>
        <w:tc>
          <w:tcPr>
            <w:tcW w:w="1134" w:type="dxa"/>
            <w:shd w:val="clear" w:color="auto" w:fill="C6EFCE"/>
            <w:noWrap/>
          </w:tcPr>
          <w:p w14:paraId="0020148A" w14:textId="77777777" w:rsidR="003E1D81" w:rsidRDefault="00EB481C">
            <w:pPr>
              <w:pStyle w:val="P68B1DB1-Normal13"/>
              <w:spacing w:after="0" w:line="240" w:lineRule="auto"/>
              <w:jc w:val="center"/>
              <w:rPr>
                <w:rFonts w:eastAsia="Symbol" w:cs="Times New Roman"/>
                <w:noProof/>
              </w:rPr>
            </w:pPr>
            <w:r>
              <w:rPr>
                <w:noProof/>
              </w:rPr>
              <w:t>A törvényi és rendeleti intézkedések rendelkezései a hatálybalépéskor</w:t>
            </w:r>
          </w:p>
        </w:tc>
        <w:tc>
          <w:tcPr>
            <w:tcW w:w="851" w:type="dxa"/>
            <w:shd w:val="clear" w:color="auto" w:fill="C6EFCE"/>
            <w:noWrap/>
          </w:tcPr>
          <w:p w14:paraId="74B8AB3B"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75DBCBFA"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0E165042"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39C43906"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4A7F294E" w14:textId="77777777" w:rsidR="003E1D81" w:rsidRDefault="00EB481C">
            <w:pPr>
              <w:pStyle w:val="P68B1DB1-Normal13"/>
              <w:spacing w:after="0" w:line="240" w:lineRule="auto"/>
              <w:jc w:val="center"/>
              <w:rPr>
                <w:rFonts w:eastAsia="Symbol" w:cs="Times New Roman"/>
                <w:noProof/>
              </w:rPr>
            </w:pPr>
            <w:r>
              <w:rPr>
                <w:noProof/>
              </w:rPr>
              <w:t>2023</w:t>
            </w:r>
          </w:p>
        </w:tc>
        <w:tc>
          <w:tcPr>
            <w:tcW w:w="6237" w:type="dxa"/>
            <w:shd w:val="clear" w:color="auto" w:fill="C6EFCE"/>
            <w:noWrap/>
          </w:tcPr>
          <w:p w14:paraId="54B6299E" w14:textId="77777777" w:rsidR="003E1D81" w:rsidRDefault="00EB481C">
            <w:pPr>
              <w:pStyle w:val="P68B1DB1-Normal13"/>
              <w:spacing w:after="0" w:line="240" w:lineRule="auto"/>
              <w:rPr>
                <w:rFonts w:eastAsia="Symbol" w:cs="Times New Roman"/>
                <w:noProof/>
              </w:rPr>
            </w:pPr>
            <w:r>
              <w:rPr>
                <w:noProof/>
              </w:rPr>
              <w:t xml:space="preserve">A rugalmasság és a keresletoldali válasz integrálását szolgáló </w:t>
            </w:r>
            <w:r>
              <w:rPr>
                <w:noProof/>
              </w:rPr>
              <w:t>szabályozási keret kialakítása a következő intézkedések révén.</w:t>
            </w:r>
            <w:r>
              <w:rPr>
                <w:noProof/>
              </w:rPr>
              <w:br/>
              <w:t xml:space="preserve">a </w:t>
            </w:r>
            <w:r>
              <w:rPr>
                <w:i/>
                <w:noProof/>
              </w:rPr>
              <w:t>Comisión Nacional de los Mercados y la Competencia</w:t>
            </w:r>
            <w:r>
              <w:rPr>
                <w:noProof/>
              </w:rPr>
              <w:t xml:space="preserve"> 2020. december 10-i állásfoglalásának közzététele a mérlegszolgáltatásokban való részvételre vonatkozó egyes működési eljárások kiigazításár</w:t>
            </w:r>
            <w:r>
              <w:rPr>
                <w:noProof/>
              </w:rPr>
              <w:t xml:space="preserve">ól. </w:t>
            </w:r>
            <w:r>
              <w:rPr>
                <w:noProof/>
              </w:rPr>
              <w:br/>
              <w:t xml:space="preserve">az (EU) 2019/944 irányelvet teljes mértékben átültető jogszabályok elfogadása </w:t>
            </w:r>
            <w:r>
              <w:rPr>
                <w:noProof/>
              </w:rPr>
              <w:br/>
              <w:t>az RDL23/2020 elfogadása a független aggregátori státusz létrehozása érdekében</w:t>
            </w:r>
          </w:p>
        </w:tc>
      </w:tr>
      <w:tr w:rsidR="003E1D81" w14:paraId="7A1B5EE6" w14:textId="77777777">
        <w:trPr>
          <w:trHeight w:val="309"/>
        </w:trPr>
        <w:tc>
          <w:tcPr>
            <w:tcW w:w="709" w:type="dxa"/>
            <w:shd w:val="clear" w:color="auto" w:fill="C6EFCE"/>
            <w:noWrap/>
          </w:tcPr>
          <w:p w14:paraId="307C2F63" w14:textId="77777777" w:rsidR="003E1D81" w:rsidRDefault="00EB481C">
            <w:pPr>
              <w:pStyle w:val="P68B1DB1-Normal13"/>
              <w:spacing w:after="0" w:line="240" w:lineRule="auto"/>
              <w:jc w:val="center"/>
              <w:rPr>
                <w:rFonts w:eastAsia="Symbol" w:cs="Times New Roman"/>
                <w:noProof/>
              </w:rPr>
            </w:pPr>
            <w:r>
              <w:rPr>
                <w:noProof/>
              </w:rPr>
              <w:t>124</w:t>
            </w:r>
          </w:p>
        </w:tc>
        <w:tc>
          <w:tcPr>
            <w:tcW w:w="851" w:type="dxa"/>
            <w:shd w:val="clear" w:color="auto" w:fill="C6EFCE"/>
            <w:noWrap/>
          </w:tcPr>
          <w:p w14:paraId="529615EE" w14:textId="77777777" w:rsidR="003E1D81" w:rsidRDefault="00EB481C">
            <w:pPr>
              <w:pStyle w:val="P68B1DB1-Normal13"/>
              <w:spacing w:after="0" w:line="240" w:lineRule="auto"/>
              <w:jc w:val="center"/>
              <w:rPr>
                <w:rFonts w:eastAsia="Symbol" w:cs="Times New Roman"/>
                <w:noProof/>
              </w:rPr>
            </w:pPr>
            <w:r>
              <w:rPr>
                <w:noProof/>
              </w:rPr>
              <w:t>C8.R4</w:t>
            </w:r>
          </w:p>
        </w:tc>
        <w:tc>
          <w:tcPr>
            <w:tcW w:w="850" w:type="dxa"/>
            <w:shd w:val="clear" w:color="auto" w:fill="C6EFCE"/>
            <w:noWrap/>
          </w:tcPr>
          <w:p w14:paraId="668F19A2" w14:textId="77777777" w:rsidR="003E1D81" w:rsidRDefault="00EB481C">
            <w:pPr>
              <w:pStyle w:val="P68B1DB1-Normal13"/>
              <w:spacing w:after="0" w:line="240" w:lineRule="auto"/>
              <w:jc w:val="center"/>
              <w:rPr>
                <w:rFonts w:eastAsia="Symbol" w:cs="Times New Roman"/>
                <w:noProof/>
              </w:rPr>
            </w:pPr>
            <w:r>
              <w:rPr>
                <w:noProof/>
              </w:rPr>
              <w:t>M</w:t>
            </w:r>
          </w:p>
        </w:tc>
        <w:tc>
          <w:tcPr>
            <w:tcW w:w="2410" w:type="dxa"/>
            <w:shd w:val="clear" w:color="auto" w:fill="C6EFCE"/>
            <w:noWrap/>
          </w:tcPr>
          <w:p w14:paraId="4F417C56" w14:textId="77777777" w:rsidR="003E1D81" w:rsidRDefault="00EB481C">
            <w:pPr>
              <w:pStyle w:val="P68B1DB1-Normal13"/>
              <w:spacing w:after="0" w:line="240" w:lineRule="auto"/>
              <w:rPr>
                <w:rFonts w:eastAsia="Symbol" w:cs="Times New Roman"/>
                <w:noProof/>
              </w:rPr>
            </w:pPr>
            <w:r>
              <w:rPr>
                <w:noProof/>
              </w:rPr>
              <w:t xml:space="preserve">A villamosenergia-ágazatban a kutatást és az innovációt előmozdító szabályozói </w:t>
            </w:r>
            <w:r>
              <w:rPr>
                <w:noProof/>
              </w:rPr>
              <w:t>tesztkörnyezetek előmozdítására irányuló intézkedések hatálybalépése.</w:t>
            </w:r>
          </w:p>
        </w:tc>
        <w:tc>
          <w:tcPr>
            <w:tcW w:w="1134" w:type="dxa"/>
            <w:shd w:val="clear" w:color="auto" w:fill="C6EFCE"/>
            <w:noWrap/>
          </w:tcPr>
          <w:p w14:paraId="1B051689" w14:textId="77777777" w:rsidR="003E1D81" w:rsidRDefault="00EB481C">
            <w:pPr>
              <w:pStyle w:val="P68B1DB1-Normal13"/>
              <w:spacing w:after="0" w:line="240" w:lineRule="auto"/>
              <w:jc w:val="center"/>
              <w:rPr>
                <w:rFonts w:eastAsia="Symbol" w:cs="Times New Roman"/>
                <w:noProof/>
              </w:rPr>
            </w:pPr>
            <w:r>
              <w:rPr>
                <w:noProof/>
              </w:rPr>
              <w:t>A királyi rendelet hatálybalépéséről szóló rendelkezései</w:t>
            </w:r>
          </w:p>
        </w:tc>
        <w:tc>
          <w:tcPr>
            <w:tcW w:w="851" w:type="dxa"/>
            <w:shd w:val="clear" w:color="auto" w:fill="C6EFCE"/>
            <w:noWrap/>
          </w:tcPr>
          <w:p w14:paraId="4FC280CF"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34F22BBF"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523978C1"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0A241AD9" w14:textId="77777777" w:rsidR="003E1D81" w:rsidRDefault="00EB481C">
            <w:pPr>
              <w:pStyle w:val="P68B1DB1-Normal13"/>
              <w:spacing w:after="0" w:line="240" w:lineRule="auto"/>
              <w:jc w:val="center"/>
              <w:rPr>
                <w:rFonts w:eastAsia="Symbol" w:cs="Times New Roman"/>
                <w:noProof/>
              </w:rPr>
            </w:pPr>
            <w:r>
              <w:rPr>
                <w:noProof/>
              </w:rPr>
              <w:t>KÉRDÉS</w:t>
            </w:r>
          </w:p>
        </w:tc>
        <w:tc>
          <w:tcPr>
            <w:tcW w:w="567" w:type="dxa"/>
            <w:shd w:val="clear" w:color="auto" w:fill="C6EFCE"/>
            <w:noWrap/>
          </w:tcPr>
          <w:p w14:paraId="28553E30" w14:textId="77777777" w:rsidR="003E1D81" w:rsidRDefault="00EB481C">
            <w:pPr>
              <w:pStyle w:val="P68B1DB1-Normal13"/>
              <w:spacing w:after="0" w:line="240" w:lineRule="auto"/>
              <w:jc w:val="center"/>
              <w:rPr>
                <w:rFonts w:eastAsia="Symbol" w:cs="Times New Roman"/>
                <w:noProof/>
              </w:rPr>
            </w:pPr>
            <w:r>
              <w:rPr>
                <w:noProof/>
              </w:rPr>
              <w:t>2022</w:t>
            </w:r>
          </w:p>
        </w:tc>
        <w:tc>
          <w:tcPr>
            <w:tcW w:w="6237" w:type="dxa"/>
            <w:shd w:val="clear" w:color="auto" w:fill="C6EFCE"/>
            <w:noWrap/>
          </w:tcPr>
          <w:p w14:paraId="27BED47E" w14:textId="77777777" w:rsidR="003E1D81" w:rsidRDefault="00EB481C">
            <w:pPr>
              <w:pStyle w:val="P68B1DB1-Normal13"/>
              <w:spacing w:after="0" w:line="240" w:lineRule="auto"/>
              <w:rPr>
                <w:rFonts w:eastAsia="Symbol" w:cs="Times New Roman"/>
                <w:noProof/>
              </w:rPr>
            </w:pPr>
            <w:r>
              <w:rPr>
                <w:noProof/>
              </w:rPr>
              <w:t xml:space="preserve">A szabályozási tesztkörnyezetek fejlesztéséről szóló királyi rendelet közzététele és hatálybalépése új </w:t>
            </w:r>
            <w:r>
              <w:rPr>
                <w:noProof/>
              </w:rPr>
              <w:t>kísérleti projektek kidolgozásának lehetővé tétele érdekében, a villamosenergia-ágazatban a kutatás és az innováció előmozdítása céljából.</w:t>
            </w:r>
            <w:r>
              <w:rPr>
                <w:noProof/>
              </w:rPr>
              <w:br/>
              <w:t>A jogszabályoknak lehetővé kell tenniük az ipar számára, hogy olyan biztonságos és kedvező térben tesztelje a rugalma</w:t>
            </w:r>
            <w:r>
              <w:rPr>
                <w:noProof/>
              </w:rPr>
              <w:t>ssággal, a keresletoldali válaszintézkedésekkel és az energiatárolással kapcsolatos új technológiákat, rendszereket és szolgáltatásokat, ahol az érdekelt felek az érvényben lévő szabályozási követelmények betartása nélkül megtapasztalhatják az innovatív me</w:t>
            </w:r>
            <w:r>
              <w:rPr>
                <w:noProof/>
              </w:rPr>
              <w:t>goldásokat. Emellett ez kétirányú szabályozási párbeszédet biztosít a közigazgatás és a szabályozó hatóság között, amely felgyorsítja és megkönnyíti a meglévő szabályozások felülvizsgálatát, és megfelelővé teszi azokat az új szereplők piacra lépéséhez, ösz</w:t>
            </w:r>
            <w:r>
              <w:rPr>
                <w:noProof/>
              </w:rPr>
              <w:t>tönözve az induló technológiai vállalkozások létrehozását azáltal, hogy lehetőséget biztosít számukra üzleti modelljeik tesztelésére.</w:t>
            </w:r>
          </w:p>
        </w:tc>
      </w:tr>
      <w:tr w:rsidR="003E1D81" w14:paraId="04519AEA" w14:textId="77777777">
        <w:trPr>
          <w:trHeight w:val="309"/>
        </w:trPr>
        <w:tc>
          <w:tcPr>
            <w:tcW w:w="709" w:type="dxa"/>
            <w:shd w:val="clear" w:color="auto" w:fill="C6EFCE"/>
            <w:noWrap/>
          </w:tcPr>
          <w:p w14:paraId="6F5FA94C" w14:textId="77777777" w:rsidR="003E1D81" w:rsidRDefault="00EB481C">
            <w:pPr>
              <w:pStyle w:val="P68B1DB1-Normal13"/>
              <w:spacing w:after="0" w:line="240" w:lineRule="auto"/>
              <w:jc w:val="center"/>
              <w:rPr>
                <w:rFonts w:eastAsia="Symbol" w:cs="Times New Roman"/>
                <w:noProof/>
              </w:rPr>
            </w:pPr>
            <w:r>
              <w:rPr>
                <w:noProof/>
              </w:rPr>
              <w:t>125</w:t>
            </w:r>
          </w:p>
        </w:tc>
        <w:tc>
          <w:tcPr>
            <w:tcW w:w="851" w:type="dxa"/>
            <w:shd w:val="clear" w:color="auto" w:fill="C6EFCE"/>
            <w:noWrap/>
          </w:tcPr>
          <w:p w14:paraId="06D58454" w14:textId="77777777" w:rsidR="003E1D81" w:rsidRDefault="00EB481C">
            <w:pPr>
              <w:pStyle w:val="P68B1DB1-Normal13"/>
              <w:spacing w:after="0" w:line="240" w:lineRule="auto"/>
              <w:jc w:val="center"/>
              <w:rPr>
                <w:rFonts w:eastAsia="Symbol" w:cs="Times New Roman"/>
                <w:noProof/>
              </w:rPr>
            </w:pPr>
            <w:r>
              <w:rPr>
                <w:noProof/>
              </w:rPr>
              <w:t>C8.I1</w:t>
            </w:r>
          </w:p>
        </w:tc>
        <w:tc>
          <w:tcPr>
            <w:tcW w:w="850" w:type="dxa"/>
            <w:shd w:val="clear" w:color="auto" w:fill="C6EFCE"/>
            <w:noWrap/>
          </w:tcPr>
          <w:p w14:paraId="5AB88429" w14:textId="77777777" w:rsidR="003E1D81" w:rsidRDefault="00EB481C">
            <w:pPr>
              <w:pStyle w:val="P68B1DB1-Normal13"/>
              <w:spacing w:after="0" w:line="240" w:lineRule="auto"/>
              <w:jc w:val="center"/>
              <w:rPr>
                <w:rFonts w:eastAsia="Symbol" w:cs="Times New Roman"/>
                <w:noProof/>
              </w:rPr>
            </w:pPr>
            <w:r>
              <w:rPr>
                <w:noProof/>
              </w:rPr>
              <w:t>T</w:t>
            </w:r>
          </w:p>
        </w:tc>
        <w:tc>
          <w:tcPr>
            <w:tcW w:w="2410" w:type="dxa"/>
            <w:shd w:val="clear" w:color="auto" w:fill="C6EFCE"/>
            <w:noWrap/>
          </w:tcPr>
          <w:p w14:paraId="5F91E240" w14:textId="77777777" w:rsidR="003E1D81" w:rsidRDefault="00EB481C">
            <w:pPr>
              <w:pStyle w:val="P68B1DB1-Normal13"/>
              <w:spacing w:after="0" w:line="240" w:lineRule="auto"/>
              <w:rPr>
                <w:rFonts w:eastAsia="Symbol" w:cs="Times New Roman"/>
                <w:noProof/>
              </w:rPr>
            </w:pPr>
            <w:r>
              <w:rPr>
                <w:noProof/>
              </w:rPr>
              <w:t>Odaítélt innovatív tárolási projektek</w:t>
            </w:r>
          </w:p>
        </w:tc>
        <w:tc>
          <w:tcPr>
            <w:tcW w:w="1134" w:type="dxa"/>
            <w:shd w:val="clear" w:color="auto" w:fill="C6EFCE"/>
            <w:noWrap/>
          </w:tcPr>
          <w:p w14:paraId="798B00B3" w14:textId="77777777" w:rsidR="003E1D81" w:rsidRDefault="00EB481C">
            <w:pPr>
              <w:pStyle w:val="P68B1DB1-Normal13"/>
              <w:spacing w:after="0" w:line="240" w:lineRule="auto"/>
              <w:jc w:val="center"/>
              <w:rPr>
                <w:rFonts w:eastAsia="Symbol" w:cs="Times New Roman"/>
                <w:noProof/>
              </w:rPr>
            </w:pPr>
            <w:r>
              <w:rPr>
                <w:noProof/>
              </w:rPr>
              <w:t>–</w:t>
            </w:r>
          </w:p>
        </w:tc>
        <w:tc>
          <w:tcPr>
            <w:tcW w:w="851" w:type="dxa"/>
            <w:shd w:val="clear" w:color="auto" w:fill="C6EFCE"/>
            <w:noWrap/>
          </w:tcPr>
          <w:p w14:paraId="17063D6C" w14:textId="77777777" w:rsidR="003E1D81" w:rsidRDefault="00EB481C">
            <w:pPr>
              <w:pStyle w:val="P68B1DB1-Normal13"/>
              <w:spacing w:after="0" w:line="240" w:lineRule="auto"/>
              <w:rPr>
                <w:rFonts w:eastAsia="Symbol" w:cs="Times New Roman"/>
                <w:noProof/>
              </w:rPr>
            </w:pPr>
            <w:r>
              <w:rPr>
                <w:noProof/>
              </w:rPr>
              <w:t>Szám</w:t>
            </w:r>
          </w:p>
        </w:tc>
        <w:tc>
          <w:tcPr>
            <w:tcW w:w="567" w:type="dxa"/>
            <w:shd w:val="clear" w:color="auto" w:fill="C6EFCE"/>
            <w:noWrap/>
          </w:tcPr>
          <w:p w14:paraId="69740B58" w14:textId="77777777" w:rsidR="003E1D81" w:rsidRDefault="00EB481C">
            <w:pPr>
              <w:pStyle w:val="P68B1DB1-Normal13"/>
              <w:spacing w:after="0" w:line="240" w:lineRule="auto"/>
              <w:rPr>
                <w:rFonts w:eastAsia="Symbol" w:cs="Times New Roman"/>
                <w:noProof/>
              </w:rPr>
            </w:pPr>
            <w:r>
              <w:rPr>
                <w:noProof/>
              </w:rPr>
              <w:t>0</w:t>
            </w:r>
          </w:p>
        </w:tc>
        <w:tc>
          <w:tcPr>
            <w:tcW w:w="567" w:type="dxa"/>
            <w:shd w:val="clear" w:color="auto" w:fill="C6EFCE"/>
            <w:noWrap/>
          </w:tcPr>
          <w:p w14:paraId="76DB90EB" w14:textId="77777777" w:rsidR="003E1D81" w:rsidRDefault="00EB481C">
            <w:pPr>
              <w:pStyle w:val="P68B1DB1-Normal13"/>
              <w:spacing w:after="0" w:line="240" w:lineRule="auto"/>
              <w:rPr>
                <w:rFonts w:eastAsia="Symbol" w:cs="Times New Roman"/>
                <w:noProof/>
              </w:rPr>
            </w:pPr>
            <w:r>
              <w:rPr>
                <w:noProof/>
              </w:rPr>
              <w:t>5</w:t>
            </w:r>
          </w:p>
        </w:tc>
        <w:tc>
          <w:tcPr>
            <w:tcW w:w="567" w:type="dxa"/>
            <w:shd w:val="clear" w:color="auto" w:fill="C6EFCE"/>
            <w:noWrap/>
          </w:tcPr>
          <w:p w14:paraId="7F6BA4A9" w14:textId="77777777" w:rsidR="003E1D81" w:rsidRDefault="00EB481C">
            <w:pPr>
              <w:pStyle w:val="P68B1DB1-Normal13"/>
              <w:spacing w:after="0" w:line="240" w:lineRule="auto"/>
              <w:rPr>
                <w:rFonts w:eastAsia="Symbol" w:cs="Times New Roman"/>
                <w:noProof/>
              </w:rPr>
            </w:pPr>
            <w:r>
              <w:rPr>
                <w:noProof/>
              </w:rPr>
              <w:t>NEGYEDÉV</w:t>
            </w:r>
          </w:p>
        </w:tc>
        <w:tc>
          <w:tcPr>
            <w:tcW w:w="567" w:type="dxa"/>
            <w:shd w:val="clear" w:color="auto" w:fill="C6EFCE"/>
            <w:noWrap/>
          </w:tcPr>
          <w:p w14:paraId="49683A13" w14:textId="77777777" w:rsidR="003E1D81" w:rsidRDefault="00EB481C">
            <w:pPr>
              <w:pStyle w:val="P68B1DB1-Normal13"/>
              <w:spacing w:after="0" w:line="240" w:lineRule="auto"/>
              <w:rPr>
                <w:rFonts w:eastAsia="Symbol" w:cs="Times New Roman"/>
                <w:noProof/>
              </w:rPr>
            </w:pPr>
            <w:r>
              <w:rPr>
                <w:noProof/>
              </w:rPr>
              <w:t>2023</w:t>
            </w:r>
          </w:p>
        </w:tc>
        <w:tc>
          <w:tcPr>
            <w:tcW w:w="6237" w:type="dxa"/>
            <w:shd w:val="clear" w:color="auto" w:fill="C6EFCE"/>
            <w:noWrap/>
          </w:tcPr>
          <w:p w14:paraId="1AEA4272" w14:textId="0C42E2D5" w:rsidR="003E1D81" w:rsidRDefault="00EB481C">
            <w:pPr>
              <w:pStyle w:val="P68B1DB1-Normal13"/>
              <w:spacing w:after="0" w:line="240" w:lineRule="auto"/>
              <w:rPr>
                <w:rFonts w:eastAsia="Symbol" w:cs="Times New Roman"/>
                <w:noProof/>
              </w:rPr>
            </w:pPr>
            <w:r>
              <w:rPr>
                <w:noProof/>
              </w:rPr>
              <w:t>Legalább öt olyan innovatív tárolási projektet</w:t>
            </w:r>
            <w:r>
              <w:rPr>
                <w:noProof/>
              </w:rPr>
              <w:t xml:space="preserve"> ítéltek oda, amelyek legalább 660 MW összesített beépített kapacitással vagy azzal egyenértékű teljes energiaellátással (MWh) egyenértékűek.</w:t>
            </w:r>
          </w:p>
        </w:tc>
      </w:tr>
      <w:tr w:rsidR="003E1D81" w14:paraId="45A4480E" w14:textId="77777777">
        <w:trPr>
          <w:trHeight w:val="309"/>
        </w:trPr>
        <w:tc>
          <w:tcPr>
            <w:tcW w:w="709" w:type="dxa"/>
            <w:shd w:val="clear" w:color="auto" w:fill="C6EFCE"/>
            <w:noWrap/>
          </w:tcPr>
          <w:p w14:paraId="29CB5CC8" w14:textId="77777777" w:rsidR="003E1D81" w:rsidRDefault="00EB481C">
            <w:pPr>
              <w:pStyle w:val="P68B1DB1-Normal13"/>
              <w:spacing w:after="0" w:line="240" w:lineRule="auto"/>
              <w:jc w:val="center"/>
              <w:rPr>
                <w:rFonts w:eastAsia="Symbol" w:cs="Times New Roman"/>
                <w:noProof/>
              </w:rPr>
            </w:pPr>
            <w:r>
              <w:rPr>
                <w:noProof/>
              </w:rPr>
              <w:t>126</w:t>
            </w:r>
          </w:p>
        </w:tc>
        <w:tc>
          <w:tcPr>
            <w:tcW w:w="851" w:type="dxa"/>
            <w:shd w:val="clear" w:color="auto" w:fill="C6EFCE"/>
            <w:noWrap/>
          </w:tcPr>
          <w:p w14:paraId="3FC33339" w14:textId="77777777" w:rsidR="003E1D81" w:rsidRDefault="00EB481C">
            <w:pPr>
              <w:pStyle w:val="P68B1DB1-Normal13"/>
              <w:spacing w:after="0" w:line="240" w:lineRule="auto"/>
              <w:jc w:val="center"/>
              <w:rPr>
                <w:rFonts w:eastAsia="Symbol" w:cs="Times New Roman"/>
                <w:noProof/>
              </w:rPr>
            </w:pPr>
            <w:r>
              <w:rPr>
                <w:noProof/>
              </w:rPr>
              <w:t>C8.I1</w:t>
            </w:r>
          </w:p>
        </w:tc>
        <w:tc>
          <w:tcPr>
            <w:tcW w:w="850" w:type="dxa"/>
            <w:shd w:val="clear" w:color="auto" w:fill="C6EFCE"/>
            <w:noWrap/>
          </w:tcPr>
          <w:p w14:paraId="18E03913" w14:textId="77777777" w:rsidR="003E1D81" w:rsidRDefault="00EB481C">
            <w:pPr>
              <w:pStyle w:val="P68B1DB1-Normal13"/>
              <w:spacing w:after="0" w:line="240" w:lineRule="auto"/>
              <w:jc w:val="center"/>
              <w:rPr>
                <w:rFonts w:eastAsia="Symbol" w:cs="Times New Roman"/>
                <w:noProof/>
              </w:rPr>
            </w:pPr>
            <w:r>
              <w:rPr>
                <w:noProof/>
              </w:rPr>
              <w:t>T</w:t>
            </w:r>
          </w:p>
        </w:tc>
        <w:tc>
          <w:tcPr>
            <w:tcW w:w="2410" w:type="dxa"/>
            <w:shd w:val="clear" w:color="auto" w:fill="C6EFCE"/>
            <w:noWrap/>
          </w:tcPr>
          <w:p w14:paraId="27F78DE3" w14:textId="77777777" w:rsidR="003E1D81" w:rsidRDefault="00EB481C">
            <w:pPr>
              <w:pStyle w:val="P68B1DB1-Normal13"/>
              <w:spacing w:after="0" w:line="240" w:lineRule="auto"/>
              <w:rPr>
                <w:rFonts w:eastAsia="Symbol" w:cs="Times New Roman"/>
                <w:noProof/>
              </w:rPr>
            </w:pPr>
            <w:r>
              <w:rPr>
                <w:noProof/>
              </w:rPr>
              <w:t xml:space="preserve">Innovatív tárolási projektek működőképesek </w:t>
            </w:r>
          </w:p>
        </w:tc>
        <w:tc>
          <w:tcPr>
            <w:tcW w:w="1134" w:type="dxa"/>
            <w:shd w:val="clear" w:color="auto" w:fill="C6EFCE"/>
            <w:noWrap/>
          </w:tcPr>
          <w:p w14:paraId="781E6FF2" w14:textId="77777777" w:rsidR="003E1D81" w:rsidRDefault="00EB481C">
            <w:pPr>
              <w:pStyle w:val="P68B1DB1-Normal13"/>
              <w:spacing w:after="0" w:line="240" w:lineRule="auto"/>
              <w:jc w:val="center"/>
              <w:rPr>
                <w:rFonts w:eastAsia="Symbol" w:cs="Times New Roman"/>
                <w:noProof/>
              </w:rPr>
            </w:pPr>
            <w:r>
              <w:rPr>
                <w:noProof/>
              </w:rPr>
              <w:t>–</w:t>
            </w:r>
          </w:p>
        </w:tc>
        <w:tc>
          <w:tcPr>
            <w:tcW w:w="851" w:type="dxa"/>
            <w:shd w:val="clear" w:color="auto" w:fill="C6EFCE"/>
            <w:noWrap/>
          </w:tcPr>
          <w:p w14:paraId="5FDC705A" w14:textId="77777777" w:rsidR="003E1D81" w:rsidRDefault="00EB481C">
            <w:pPr>
              <w:pStyle w:val="P68B1DB1-Normal13"/>
              <w:spacing w:after="0" w:line="240" w:lineRule="auto"/>
              <w:rPr>
                <w:rFonts w:eastAsia="Symbol" w:cs="Times New Roman"/>
                <w:noProof/>
              </w:rPr>
            </w:pPr>
            <w:r>
              <w:rPr>
                <w:noProof/>
              </w:rPr>
              <w:t>Szám</w:t>
            </w:r>
          </w:p>
        </w:tc>
        <w:tc>
          <w:tcPr>
            <w:tcW w:w="567" w:type="dxa"/>
            <w:shd w:val="clear" w:color="auto" w:fill="C6EFCE"/>
            <w:noWrap/>
          </w:tcPr>
          <w:p w14:paraId="22BA10F0" w14:textId="77777777" w:rsidR="003E1D81" w:rsidRDefault="00EB481C">
            <w:pPr>
              <w:pStyle w:val="P68B1DB1-Normal13"/>
              <w:spacing w:after="0" w:line="240" w:lineRule="auto"/>
              <w:rPr>
                <w:rFonts w:eastAsia="Symbol" w:cs="Times New Roman"/>
                <w:noProof/>
              </w:rPr>
            </w:pPr>
            <w:r>
              <w:rPr>
                <w:noProof/>
              </w:rPr>
              <w:t>0</w:t>
            </w:r>
          </w:p>
        </w:tc>
        <w:tc>
          <w:tcPr>
            <w:tcW w:w="567" w:type="dxa"/>
            <w:shd w:val="clear" w:color="auto" w:fill="C6EFCE"/>
            <w:noWrap/>
          </w:tcPr>
          <w:p w14:paraId="729DE7E4" w14:textId="77777777" w:rsidR="003E1D81" w:rsidRDefault="00EB481C">
            <w:pPr>
              <w:pStyle w:val="P68B1DB1-Normal13"/>
              <w:spacing w:after="0" w:line="240" w:lineRule="auto"/>
              <w:rPr>
                <w:rFonts w:eastAsia="Symbol" w:cs="Times New Roman"/>
                <w:noProof/>
              </w:rPr>
            </w:pPr>
            <w:r>
              <w:rPr>
                <w:noProof/>
              </w:rPr>
              <w:t>5</w:t>
            </w:r>
          </w:p>
        </w:tc>
        <w:tc>
          <w:tcPr>
            <w:tcW w:w="567" w:type="dxa"/>
            <w:shd w:val="clear" w:color="auto" w:fill="C6EFCE"/>
            <w:noWrap/>
          </w:tcPr>
          <w:p w14:paraId="7E7AE58A" w14:textId="77777777" w:rsidR="003E1D81" w:rsidRDefault="00EB481C">
            <w:pPr>
              <w:pStyle w:val="P68B1DB1-Normal13"/>
              <w:spacing w:after="0" w:line="240" w:lineRule="auto"/>
              <w:rPr>
                <w:rFonts w:eastAsia="Symbol" w:cs="Times New Roman"/>
                <w:noProof/>
              </w:rPr>
            </w:pPr>
            <w:r>
              <w:rPr>
                <w:noProof/>
              </w:rPr>
              <w:t>KÉRDÉS</w:t>
            </w:r>
          </w:p>
        </w:tc>
        <w:tc>
          <w:tcPr>
            <w:tcW w:w="567" w:type="dxa"/>
            <w:shd w:val="clear" w:color="auto" w:fill="C6EFCE"/>
            <w:noWrap/>
          </w:tcPr>
          <w:p w14:paraId="591965C3" w14:textId="77777777" w:rsidR="003E1D81" w:rsidRDefault="00EB481C">
            <w:pPr>
              <w:pStyle w:val="P68B1DB1-Normal13"/>
              <w:spacing w:after="0" w:line="240" w:lineRule="auto"/>
              <w:rPr>
                <w:rFonts w:eastAsia="Symbol" w:cs="Times New Roman"/>
                <w:noProof/>
              </w:rPr>
            </w:pPr>
            <w:r>
              <w:rPr>
                <w:noProof/>
              </w:rPr>
              <w:t>2026</w:t>
            </w:r>
          </w:p>
        </w:tc>
        <w:tc>
          <w:tcPr>
            <w:tcW w:w="6237" w:type="dxa"/>
            <w:shd w:val="clear" w:color="auto" w:fill="C6EFCE"/>
            <w:noWrap/>
          </w:tcPr>
          <w:p w14:paraId="1A697520" w14:textId="7D04B1BC" w:rsidR="003E1D81" w:rsidRDefault="00EB481C">
            <w:pPr>
              <w:pStyle w:val="P68B1DB1-Normal13"/>
              <w:spacing w:after="0" w:line="240" w:lineRule="auto"/>
              <w:rPr>
                <w:rFonts w:eastAsia="Symbol" w:cs="Times New Roman"/>
                <w:noProof/>
              </w:rPr>
            </w:pPr>
            <w:r>
              <w:rPr>
                <w:noProof/>
              </w:rPr>
              <w:t xml:space="preserve">Legalább öt működő innovatív </w:t>
            </w:r>
            <w:r>
              <w:rPr>
                <w:noProof/>
              </w:rPr>
              <w:t>tárolási projekt, amelyek legalább 660 MW összesített beépített kapacitással vagy azzal egyenértékű teljes energiaellátással (MWh) egyenértékűek.</w:t>
            </w:r>
          </w:p>
        </w:tc>
      </w:tr>
      <w:tr w:rsidR="003E1D81" w14:paraId="5B483695" w14:textId="77777777">
        <w:trPr>
          <w:trHeight w:val="309"/>
        </w:trPr>
        <w:tc>
          <w:tcPr>
            <w:tcW w:w="709" w:type="dxa"/>
            <w:shd w:val="clear" w:color="auto" w:fill="C6EFCE"/>
            <w:noWrap/>
          </w:tcPr>
          <w:p w14:paraId="1D66412A" w14:textId="77777777" w:rsidR="003E1D81" w:rsidRDefault="00EB481C">
            <w:pPr>
              <w:pStyle w:val="P68B1DB1-Normal13"/>
              <w:spacing w:after="0" w:line="240" w:lineRule="auto"/>
              <w:jc w:val="center"/>
              <w:rPr>
                <w:rFonts w:eastAsia="Symbol" w:cs="Times New Roman"/>
                <w:noProof/>
              </w:rPr>
            </w:pPr>
            <w:r>
              <w:rPr>
                <w:noProof/>
              </w:rPr>
              <w:t>127</w:t>
            </w:r>
          </w:p>
        </w:tc>
        <w:tc>
          <w:tcPr>
            <w:tcW w:w="851" w:type="dxa"/>
            <w:shd w:val="clear" w:color="auto" w:fill="C6EFCE"/>
            <w:noWrap/>
          </w:tcPr>
          <w:p w14:paraId="7CB14AB8" w14:textId="77777777" w:rsidR="003E1D81" w:rsidRDefault="00EB481C">
            <w:pPr>
              <w:pStyle w:val="P68B1DB1-Normal13"/>
              <w:spacing w:after="0" w:line="240" w:lineRule="auto"/>
              <w:jc w:val="center"/>
              <w:rPr>
                <w:rFonts w:eastAsia="Symbol" w:cs="Times New Roman"/>
                <w:noProof/>
              </w:rPr>
            </w:pPr>
            <w:r>
              <w:rPr>
                <w:noProof/>
              </w:rPr>
              <w:t>C8.I2</w:t>
            </w:r>
          </w:p>
        </w:tc>
        <w:tc>
          <w:tcPr>
            <w:tcW w:w="850" w:type="dxa"/>
            <w:shd w:val="clear" w:color="auto" w:fill="C6EFCE"/>
            <w:noWrap/>
          </w:tcPr>
          <w:p w14:paraId="39FE3A95" w14:textId="77777777" w:rsidR="003E1D81" w:rsidRDefault="00EB481C">
            <w:pPr>
              <w:pStyle w:val="P68B1DB1-Normal13"/>
              <w:spacing w:after="0" w:line="240" w:lineRule="auto"/>
              <w:jc w:val="center"/>
              <w:rPr>
                <w:rFonts w:eastAsia="Symbol" w:cs="Times New Roman"/>
                <w:noProof/>
              </w:rPr>
            </w:pPr>
            <w:r>
              <w:rPr>
                <w:noProof/>
              </w:rPr>
              <w:t>T</w:t>
            </w:r>
          </w:p>
        </w:tc>
        <w:tc>
          <w:tcPr>
            <w:tcW w:w="2410" w:type="dxa"/>
            <w:shd w:val="clear" w:color="auto" w:fill="C6EFCE"/>
            <w:noWrap/>
          </w:tcPr>
          <w:p w14:paraId="131AF0C6" w14:textId="77777777" w:rsidR="003E1D81" w:rsidRDefault="00EB481C">
            <w:pPr>
              <w:pStyle w:val="P68B1DB1-Normal13"/>
              <w:spacing w:after="0" w:line="240" w:lineRule="auto"/>
              <w:rPr>
                <w:rFonts w:eastAsia="Symbol" w:cs="Times New Roman"/>
                <w:noProof/>
              </w:rPr>
            </w:pPr>
            <w:r>
              <w:rPr>
                <w:noProof/>
              </w:rPr>
              <w:t>Innovatív digitalizációs projektek a villamosenergia-elosztás terén</w:t>
            </w:r>
          </w:p>
        </w:tc>
        <w:tc>
          <w:tcPr>
            <w:tcW w:w="1134" w:type="dxa"/>
            <w:shd w:val="clear" w:color="auto" w:fill="C6EFCE"/>
            <w:noWrap/>
          </w:tcPr>
          <w:p w14:paraId="6A595F49" w14:textId="77777777" w:rsidR="003E1D81" w:rsidRDefault="00EB481C">
            <w:pPr>
              <w:pStyle w:val="P68B1DB1-Normal13"/>
              <w:spacing w:after="0" w:line="240" w:lineRule="auto"/>
              <w:jc w:val="center"/>
              <w:rPr>
                <w:rFonts w:eastAsia="Symbol" w:cs="Times New Roman"/>
                <w:noProof/>
              </w:rPr>
            </w:pPr>
            <w:r>
              <w:rPr>
                <w:noProof/>
              </w:rPr>
              <w:t>–</w:t>
            </w:r>
          </w:p>
        </w:tc>
        <w:tc>
          <w:tcPr>
            <w:tcW w:w="851" w:type="dxa"/>
            <w:shd w:val="clear" w:color="auto" w:fill="C6EFCE"/>
            <w:noWrap/>
          </w:tcPr>
          <w:p w14:paraId="5BE55C08" w14:textId="77777777" w:rsidR="003E1D81" w:rsidRDefault="00EB481C">
            <w:pPr>
              <w:pStyle w:val="P68B1DB1-Normal13"/>
              <w:spacing w:after="0" w:line="240" w:lineRule="auto"/>
              <w:rPr>
                <w:rFonts w:eastAsia="Symbol" w:cs="Times New Roman"/>
                <w:noProof/>
              </w:rPr>
            </w:pPr>
            <w:r>
              <w:rPr>
                <w:noProof/>
              </w:rPr>
              <w:t>Szám</w:t>
            </w:r>
          </w:p>
        </w:tc>
        <w:tc>
          <w:tcPr>
            <w:tcW w:w="567" w:type="dxa"/>
            <w:shd w:val="clear" w:color="auto" w:fill="C6EFCE"/>
            <w:noWrap/>
          </w:tcPr>
          <w:p w14:paraId="55C3BA76" w14:textId="77777777" w:rsidR="003E1D81" w:rsidRDefault="00EB481C">
            <w:pPr>
              <w:pStyle w:val="P68B1DB1-Normal13"/>
              <w:spacing w:after="0" w:line="240" w:lineRule="auto"/>
              <w:rPr>
                <w:rFonts w:eastAsia="Symbol" w:cs="Times New Roman"/>
                <w:noProof/>
              </w:rPr>
            </w:pPr>
            <w:r>
              <w:rPr>
                <w:noProof/>
              </w:rPr>
              <w:t>0</w:t>
            </w:r>
          </w:p>
        </w:tc>
        <w:tc>
          <w:tcPr>
            <w:tcW w:w="567" w:type="dxa"/>
            <w:shd w:val="clear" w:color="auto" w:fill="C6EFCE"/>
            <w:noWrap/>
          </w:tcPr>
          <w:p w14:paraId="491C6846" w14:textId="77777777" w:rsidR="003E1D81" w:rsidRDefault="00EB481C">
            <w:pPr>
              <w:pStyle w:val="P68B1DB1-Normal13"/>
              <w:spacing w:after="0" w:line="240" w:lineRule="auto"/>
              <w:rPr>
                <w:rFonts w:eastAsia="Symbol" w:cs="Times New Roman"/>
                <w:noProof/>
              </w:rPr>
            </w:pPr>
            <w:r>
              <w:rPr>
                <w:noProof/>
              </w:rPr>
              <w:t>35</w:t>
            </w:r>
          </w:p>
        </w:tc>
        <w:tc>
          <w:tcPr>
            <w:tcW w:w="567" w:type="dxa"/>
            <w:shd w:val="clear" w:color="auto" w:fill="C6EFCE"/>
            <w:noWrap/>
          </w:tcPr>
          <w:p w14:paraId="238BEE81" w14:textId="77777777" w:rsidR="003E1D81" w:rsidRDefault="00EB481C">
            <w:pPr>
              <w:pStyle w:val="P68B1DB1-Normal13"/>
              <w:spacing w:after="0" w:line="240" w:lineRule="auto"/>
              <w:rPr>
                <w:rFonts w:eastAsia="Symbol" w:cs="Times New Roman"/>
                <w:noProof/>
              </w:rPr>
            </w:pPr>
            <w:r>
              <w:rPr>
                <w:noProof/>
              </w:rPr>
              <w:t>NEGYEDÉV</w:t>
            </w:r>
          </w:p>
        </w:tc>
        <w:tc>
          <w:tcPr>
            <w:tcW w:w="567" w:type="dxa"/>
            <w:shd w:val="clear" w:color="auto" w:fill="C6EFCE"/>
            <w:noWrap/>
          </w:tcPr>
          <w:p w14:paraId="14D07E19" w14:textId="77777777" w:rsidR="003E1D81" w:rsidRDefault="00EB481C">
            <w:pPr>
              <w:pStyle w:val="P68B1DB1-Normal13"/>
              <w:spacing w:after="0" w:line="240" w:lineRule="auto"/>
              <w:rPr>
                <w:rFonts w:eastAsia="Symbol" w:cs="Times New Roman"/>
                <w:noProof/>
              </w:rPr>
            </w:pPr>
            <w:r>
              <w:rPr>
                <w:noProof/>
              </w:rPr>
              <w:t>2023</w:t>
            </w:r>
          </w:p>
        </w:tc>
        <w:tc>
          <w:tcPr>
            <w:tcW w:w="6237" w:type="dxa"/>
            <w:shd w:val="clear" w:color="auto" w:fill="C6EFCE"/>
            <w:noWrap/>
          </w:tcPr>
          <w:p w14:paraId="553A4548" w14:textId="77777777" w:rsidR="003E1D81" w:rsidRDefault="00EB481C">
            <w:pPr>
              <w:pStyle w:val="P68B1DB1-Normal13"/>
              <w:spacing w:after="0" w:line="240" w:lineRule="auto"/>
              <w:rPr>
                <w:rFonts w:eastAsia="Symbol" w:cs="Times New Roman"/>
                <w:noProof/>
              </w:rPr>
            </w:pPr>
            <w:r>
              <w:rPr>
                <w:noProof/>
              </w:rPr>
              <w:t xml:space="preserve">Legalább 35 innovatív digitalizációs projekt (beleértve a hálózat automatizálását is), amelyeket a </w:t>
            </w:r>
            <w:r>
              <w:rPr>
                <w:i/>
                <w:noProof/>
              </w:rPr>
              <w:t>Comisión Nacional de los Mercados y la Competencia 6/2019. sz. körlevelében meghatározott jellemzőkkel és meghatározásokkal összhangban ítéltek oda elosztó v</w:t>
            </w:r>
            <w:r>
              <w:rPr>
                <w:i/>
                <w:noProof/>
              </w:rPr>
              <w:t xml:space="preserve">állalatoknak. </w:t>
            </w:r>
          </w:p>
        </w:tc>
      </w:tr>
      <w:tr w:rsidR="003E1D81" w14:paraId="059216D8" w14:textId="77777777">
        <w:trPr>
          <w:trHeight w:val="309"/>
        </w:trPr>
        <w:tc>
          <w:tcPr>
            <w:tcW w:w="709" w:type="dxa"/>
            <w:shd w:val="clear" w:color="auto" w:fill="C6EFCE"/>
            <w:noWrap/>
          </w:tcPr>
          <w:p w14:paraId="2D965B08" w14:textId="77777777" w:rsidR="003E1D81" w:rsidRDefault="00EB481C">
            <w:pPr>
              <w:pStyle w:val="P68B1DB1-Normal13"/>
              <w:spacing w:after="0" w:line="240" w:lineRule="auto"/>
              <w:jc w:val="center"/>
              <w:rPr>
                <w:rFonts w:eastAsia="Symbol" w:cs="Times New Roman"/>
                <w:noProof/>
              </w:rPr>
            </w:pPr>
            <w:r>
              <w:rPr>
                <w:noProof/>
              </w:rPr>
              <w:t>128</w:t>
            </w:r>
          </w:p>
        </w:tc>
        <w:tc>
          <w:tcPr>
            <w:tcW w:w="851" w:type="dxa"/>
            <w:shd w:val="clear" w:color="auto" w:fill="C6EFCE"/>
            <w:noWrap/>
          </w:tcPr>
          <w:p w14:paraId="028AA18D" w14:textId="77777777" w:rsidR="003E1D81" w:rsidRDefault="00EB481C">
            <w:pPr>
              <w:pStyle w:val="P68B1DB1-Normal13"/>
              <w:spacing w:after="0" w:line="240" w:lineRule="auto"/>
              <w:jc w:val="center"/>
              <w:rPr>
                <w:rFonts w:eastAsia="Symbol" w:cs="Times New Roman"/>
                <w:noProof/>
              </w:rPr>
            </w:pPr>
            <w:r>
              <w:rPr>
                <w:noProof/>
              </w:rPr>
              <w:t>C8.I3</w:t>
            </w:r>
          </w:p>
        </w:tc>
        <w:tc>
          <w:tcPr>
            <w:tcW w:w="850" w:type="dxa"/>
            <w:shd w:val="clear" w:color="auto" w:fill="C6EFCE"/>
            <w:noWrap/>
          </w:tcPr>
          <w:p w14:paraId="2691E9AB" w14:textId="77777777" w:rsidR="003E1D81" w:rsidRDefault="00EB481C">
            <w:pPr>
              <w:pStyle w:val="P68B1DB1-Normal13"/>
              <w:spacing w:after="0" w:line="240" w:lineRule="auto"/>
              <w:jc w:val="center"/>
              <w:rPr>
                <w:rFonts w:eastAsia="Symbol" w:cs="Times New Roman"/>
                <w:noProof/>
              </w:rPr>
            </w:pPr>
            <w:r>
              <w:rPr>
                <w:noProof/>
              </w:rPr>
              <w:t>T</w:t>
            </w:r>
          </w:p>
        </w:tc>
        <w:tc>
          <w:tcPr>
            <w:tcW w:w="2410" w:type="dxa"/>
            <w:shd w:val="clear" w:color="auto" w:fill="C6EFCE"/>
            <w:noWrap/>
          </w:tcPr>
          <w:p w14:paraId="35733FA2" w14:textId="77777777" w:rsidR="003E1D81" w:rsidRDefault="00EB481C">
            <w:pPr>
              <w:pStyle w:val="P68B1DB1-Normal13"/>
              <w:spacing w:after="0" w:line="240" w:lineRule="auto"/>
              <w:rPr>
                <w:rFonts w:eastAsia="Symbol" w:cs="Times New Roman"/>
                <w:noProof/>
              </w:rPr>
            </w:pPr>
            <w:r>
              <w:rPr>
                <w:noProof/>
              </w:rPr>
              <w:t>Az energetikai átállás új üzleti modelljeinek előmozdítására irányuló projektek</w:t>
            </w:r>
          </w:p>
        </w:tc>
        <w:tc>
          <w:tcPr>
            <w:tcW w:w="1134" w:type="dxa"/>
            <w:shd w:val="clear" w:color="auto" w:fill="C6EFCE"/>
            <w:noWrap/>
          </w:tcPr>
          <w:p w14:paraId="541EC805" w14:textId="77777777" w:rsidR="003E1D81" w:rsidRDefault="00EB481C">
            <w:pPr>
              <w:pStyle w:val="P68B1DB1-Normal13"/>
              <w:spacing w:after="0" w:line="240" w:lineRule="auto"/>
              <w:jc w:val="center"/>
              <w:rPr>
                <w:rFonts w:eastAsia="Symbol" w:cs="Times New Roman"/>
                <w:noProof/>
              </w:rPr>
            </w:pPr>
            <w:r>
              <w:rPr>
                <w:noProof/>
              </w:rPr>
              <w:t>–</w:t>
            </w:r>
          </w:p>
        </w:tc>
        <w:tc>
          <w:tcPr>
            <w:tcW w:w="851" w:type="dxa"/>
            <w:shd w:val="clear" w:color="auto" w:fill="C6EFCE"/>
            <w:noWrap/>
          </w:tcPr>
          <w:p w14:paraId="06746E3A" w14:textId="77777777" w:rsidR="003E1D81" w:rsidRDefault="00EB481C">
            <w:pPr>
              <w:pStyle w:val="P68B1DB1-Normal13"/>
              <w:spacing w:after="0" w:line="240" w:lineRule="auto"/>
              <w:rPr>
                <w:rFonts w:eastAsia="Symbol" w:cs="Times New Roman"/>
                <w:noProof/>
              </w:rPr>
            </w:pPr>
            <w:r>
              <w:rPr>
                <w:noProof/>
              </w:rPr>
              <w:t>Szám</w:t>
            </w:r>
          </w:p>
        </w:tc>
        <w:tc>
          <w:tcPr>
            <w:tcW w:w="567" w:type="dxa"/>
            <w:shd w:val="clear" w:color="auto" w:fill="C6EFCE"/>
            <w:noWrap/>
          </w:tcPr>
          <w:p w14:paraId="50BD7287" w14:textId="77777777" w:rsidR="003E1D81" w:rsidRDefault="00EB481C">
            <w:pPr>
              <w:pStyle w:val="P68B1DB1-Normal13"/>
              <w:spacing w:after="0" w:line="240" w:lineRule="auto"/>
              <w:rPr>
                <w:rFonts w:eastAsia="Symbol" w:cs="Times New Roman"/>
                <w:noProof/>
              </w:rPr>
            </w:pPr>
            <w:r>
              <w:rPr>
                <w:noProof/>
              </w:rPr>
              <w:t>0</w:t>
            </w:r>
          </w:p>
        </w:tc>
        <w:tc>
          <w:tcPr>
            <w:tcW w:w="567" w:type="dxa"/>
            <w:shd w:val="clear" w:color="auto" w:fill="C6EFCE"/>
            <w:noWrap/>
          </w:tcPr>
          <w:p w14:paraId="4818E51F" w14:textId="77777777" w:rsidR="003E1D81" w:rsidRDefault="00EB481C">
            <w:pPr>
              <w:pStyle w:val="P68B1DB1-Normal13"/>
              <w:spacing w:after="0" w:line="240" w:lineRule="auto"/>
              <w:rPr>
                <w:rFonts w:eastAsia="Symbol" w:cs="Times New Roman"/>
                <w:noProof/>
              </w:rPr>
            </w:pPr>
            <w:r>
              <w:rPr>
                <w:noProof/>
              </w:rPr>
              <w:t>18</w:t>
            </w:r>
          </w:p>
        </w:tc>
        <w:tc>
          <w:tcPr>
            <w:tcW w:w="567" w:type="dxa"/>
            <w:shd w:val="clear" w:color="auto" w:fill="C6EFCE"/>
            <w:noWrap/>
          </w:tcPr>
          <w:p w14:paraId="486814C6" w14:textId="77777777" w:rsidR="003E1D81" w:rsidRDefault="00EB481C">
            <w:pPr>
              <w:pStyle w:val="P68B1DB1-Normal13"/>
              <w:spacing w:after="0" w:line="240" w:lineRule="auto"/>
              <w:rPr>
                <w:rFonts w:eastAsia="Symbol" w:cs="Times New Roman"/>
                <w:noProof/>
              </w:rPr>
            </w:pPr>
            <w:r>
              <w:rPr>
                <w:noProof/>
              </w:rPr>
              <w:t>NEGYEDÉV</w:t>
            </w:r>
          </w:p>
        </w:tc>
        <w:tc>
          <w:tcPr>
            <w:tcW w:w="567" w:type="dxa"/>
            <w:shd w:val="clear" w:color="auto" w:fill="C6EFCE"/>
            <w:noWrap/>
          </w:tcPr>
          <w:p w14:paraId="45709DDA" w14:textId="77777777" w:rsidR="003E1D81" w:rsidRDefault="00EB481C">
            <w:pPr>
              <w:pStyle w:val="P68B1DB1-Normal13"/>
              <w:spacing w:after="0" w:line="240" w:lineRule="auto"/>
              <w:rPr>
                <w:rFonts w:eastAsia="Symbol" w:cs="Times New Roman"/>
                <w:noProof/>
              </w:rPr>
            </w:pPr>
            <w:r>
              <w:rPr>
                <w:noProof/>
              </w:rPr>
              <w:t>2023</w:t>
            </w:r>
          </w:p>
        </w:tc>
        <w:tc>
          <w:tcPr>
            <w:tcW w:w="6237" w:type="dxa"/>
            <w:shd w:val="clear" w:color="auto" w:fill="C6EFCE"/>
            <w:noWrap/>
          </w:tcPr>
          <w:p w14:paraId="53F8B662" w14:textId="77777777" w:rsidR="003E1D81" w:rsidRDefault="00EB481C">
            <w:pPr>
              <w:pStyle w:val="P68B1DB1-Normal13"/>
              <w:spacing w:after="0" w:line="240" w:lineRule="auto"/>
              <w:rPr>
                <w:rFonts w:eastAsia="Symbol" w:cs="Times New Roman"/>
                <w:noProof/>
              </w:rPr>
            </w:pPr>
            <w:r>
              <w:rPr>
                <w:noProof/>
              </w:rPr>
              <w:t xml:space="preserve">Legalább 18 olyan projektet ítéltek oda, amelyek előmozdítják az energetikai átállás új üzleti modelljeit, beleértve az </w:t>
            </w:r>
            <w:r>
              <w:rPr>
                <w:noProof/>
              </w:rPr>
              <w:t>intelligens fogyasztásmérést, a tárolást, a keresletoldali választ, a rugalmassági szolgáltatásokat és az adatokat.</w:t>
            </w:r>
          </w:p>
        </w:tc>
      </w:tr>
    </w:tbl>
    <w:p w14:paraId="5BE93A62" w14:textId="77777777" w:rsidR="003E1D81" w:rsidRDefault="003E1D81">
      <w:pPr>
        <w:spacing w:before="120" w:after="120" w:line="240" w:lineRule="auto"/>
        <w:ind w:left="709"/>
        <w:jc w:val="both"/>
        <w:rPr>
          <w:rFonts w:ascii="Times New Roman" w:hAnsi="Times New Roman" w:cs="Times New Roman"/>
          <w:noProof/>
          <w:sz w:val="24"/>
        </w:rPr>
        <w:sectPr w:rsidR="003E1D81" w:rsidSect="00B90E2C">
          <w:headerReference w:type="even" r:id="rId192"/>
          <w:headerReference w:type="default" r:id="rId193"/>
          <w:footerReference w:type="even" r:id="rId194"/>
          <w:footerReference w:type="default" r:id="rId195"/>
          <w:headerReference w:type="first" r:id="rId196"/>
          <w:footerReference w:type="first" r:id="rId197"/>
          <w:pgSz w:w="16839" w:h="11907" w:orient="landscape"/>
          <w:pgMar w:top="1417" w:right="1134" w:bottom="1417" w:left="1134" w:header="709" w:footer="709" w:gutter="0"/>
          <w:cols w:space="720"/>
          <w:docGrid w:linePitch="360"/>
        </w:sectPr>
      </w:pPr>
    </w:p>
    <w:p w14:paraId="26735E13" w14:textId="61E0CF78" w:rsidR="003E1D81" w:rsidRDefault="00EB481C">
      <w:pPr>
        <w:pStyle w:val="P68B1DB1-Heading12"/>
        <w:rPr>
          <w:rFonts w:cs="Times New Roman"/>
          <w:noProof/>
        </w:rPr>
      </w:pPr>
      <w:r>
        <w:rPr>
          <w:noProof/>
        </w:rPr>
        <w:t>I. 9. ÖSSZETEVŐ: Megújuló hidrogén</w:t>
      </w:r>
    </w:p>
    <w:p w14:paraId="288656AE" w14:textId="77777777" w:rsidR="003E1D81" w:rsidRDefault="00EB481C">
      <w:pPr>
        <w:pStyle w:val="P68B1DB1-Normal4"/>
        <w:spacing w:before="100" w:beforeAutospacing="1" w:after="120" w:line="240" w:lineRule="auto"/>
        <w:jc w:val="both"/>
        <w:rPr>
          <w:rFonts w:eastAsia="Symbol" w:cs="Times New Roman"/>
          <w:noProof/>
        </w:rPr>
      </w:pPr>
      <w:r>
        <w:rPr>
          <w:noProof/>
        </w:rPr>
        <w:t xml:space="preserve">Spanyolország 2021 és 2030 közötti </w:t>
      </w:r>
      <w:r>
        <w:rPr>
          <w:noProof/>
        </w:rPr>
        <w:t>időszakra szóló nemzeti energia- és klímatervének célja, hogy 1990-hez képest 23%-kal csökkentse az üvegházhatásúgáz-kibocsátást. Ebben az összefüggésben a spanyol helyreállítási és rezilienciaépítési terv 9. elemének fő célkitűzése a megújuló energiaforrá</w:t>
      </w:r>
      <w:r>
        <w:rPr>
          <w:noProof/>
        </w:rPr>
        <w:t>sokból előállított hidrogéntechnológiák fejlesztése:</w:t>
      </w:r>
    </w:p>
    <w:p w14:paraId="0D1E20E6" w14:textId="77777777" w:rsidR="003E1D81" w:rsidRDefault="00EB481C">
      <w:pPr>
        <w:pStyle w:val="P68B1DB1-Normal4"/>
        <w:numPr>
          <w:ilvl w:val="0"/>
          <w:numId w:val="103"/>
        </w:numPr>
        <w:spacing w:before="120" w:after="100" w:afterAutospacing="1" w:line="240" w:lineRule="auto"/>
        <w:ind w:left="714" w:hanging="357"/>
        <w:jc w:val="both"/>
        <w:rPr>
          <w:rFonts w:eastAsia="Symbol" w:cs="Times New Roman"/>
          <w:noProof/>
        </w:rPr>
      </w:pPr>
      <w:r>
        <w:rPr>
          <w:noProof/>
        </w:rPr>
        <w:t>A villamosenergia-kínálat és -kereslet közötti különbségek kezelésére szolgáló energiatárolás eszközeként, rugalmasságot biztosítva a villamosenergia-rendszer számára.</w:t>
      </w:r>
    </w:p>
    <w:p w14:paraId="3D47ADF2" w14:textId="77777777" w:rsidR="003E1D81" w:rsidRDefault="00EB481C">
      <w:pPr>
        <w:pStyle w:val="P68B1DB1-Normal4"/>
        <w:numPr>
          <w:ilvl w:val="0"/>
          <w:numId w:val="103"/>
        </w:numPr>
        <w:spacing w:before="100" w:beforeAutospacing="1" w:after="100" w:afterAutospacing="1" w:line="240" w:lineRule="auto"/>
        <w:jc w:val="both"/>
        <w:rPr>
          <w:rFonts w:eastAsia="Symbol" w:cs="Times New Roman"/>
          <w:noProof/>
        </w:rPr>
      </w:pPr>
      <w:r>
        <w:rPr>
          <w:noProof/>
        </w:rPr>
        <w:t>Fejlesztésük és konszolidációjuk el</w:t>
      </w:r>
      <w:r>
        <w:rPr>
          <w:noProof/>
        </w:rPr>
        <w:t>őmozdítása az ipari értéklánc mentén, mivel ezek a technológiák jelenleg nem állnak készen a piaci feltételek melletti működésre;</w:t>
      </w:r>
    </w:p>
    <w:p w14:paraId="42B5638D" w14:textId="77777777" w:rsidR="003E1D81" w:rsidRDefault="00EB481C">
      <w:pPr>
        <w:pStyle w:val="P68B1DB1-Normal4"/>
        <w:numPr>
          <w:ilvl w:val="0"/>
          <w:numId w:val="103"/>
        </w:numPr>
        <w:spacing w:before="100" w:beforeAutospacing="1" w:after="100" w:afterAutospacing="1" w:line="240" w:lineRule="auto"/>
        <w:jc w:val="both"/>
        <w:rPr>
          <w:rFonts w:eastAsia="Symbol" w:cs="Times New Roman"/>
          <w:noProof/>
        </w:rPr>
      </w:pPr>
      <w:r>
        <w:rPr>
          <w:noProof/>
        </w:rPr>
        <w:t xml:space="preserve">A végső felhasználásokba való integrációjuk támogatása, többek között a fosszilis alapú hidrogén ipari helyettesítése </w:t>
      </w:r>
      <w:r>
        <w:rPr>
          <w:noProof/>
        </w:rPr>
        <w:t>érdekében; és</w:t>
      </w:r>
    </w:p>
    <w:p w14:paraId="7330754E" w14:textId="77777777" w:rsidR="003E1D81" w:rsidRDefault="00EB481C">
      <w:pPr>
        <w:pStyle w:val="P68B1DB1-Normal4"/>
        <w:numPr>
          <w:ilvl w:val="0"/>
          <w:numId w:val="103"/>
        </w:numPr>
        <w:spacing w:before="100" w:beforeAutospacing="1" w:after="100" w:afterAutospacing="1" w:line="240" w:lineRule="auto"/>
        <w:jc w:val="both"/>
        <w:rPr>
          <w:rFonts w:eastAsia="Symbol" w:cs="Times New Roman"/>
          <w:noProof/>
        </w:rPr>
      </w:pPr>
      <w:r>
        <w:rPr>
          <w:noProof/>
        </w:rPr>
        <w:t>A zöld készségek fejlesztése révén.</w:t>
      </w:r>
    </w:p>
    <w:p w14:paraId="4BF6AF04" w14:textId="77777777" w:rsidR="003E1D81" w:rsidRDefault="00EB481C">
      <w:pPr>
        <w:pStyle w:val="P68B1DB1-Normal4"/>
        <w:spacing w:before="120" w:after="120" w:line="240" w:lineRule="auto"/>
        <w:jc w:val="both"/>
        <w:rPr>
          <w:rFonts w:eastAsia="Symbol" w:cs="Times New Roman"/>
          <w:noProof/>
        </w:rPr>
      </w:pPr>
      <w:r>
        <w:rPr>
          <w:noProof/>
        </w:rPr>
        <w:t>A spanyol helyreállítási és rezilienciaépítési terv e komponense az innovációba és az energiahatékonyságba történő beruházások előmozdítására irányuló országspecifikus ajánlásokkal foglalkozik (2019. évi 3.</w:t>
      </w:r>
      <w:r>
        <w:rPr>
          <w:noProof/>
        </w:rPr>
        <w:t xml:space="preserve"> országspecifikus ajánlás), valamint a zöld átállás előmozdítása (2020. évi 3. országspecifikus ajánlás).</w:t>
      </w:r>
    </w:p>
    <w:p w14:paraId="2842BC08" w14:textId="77777777" w:rsidR="003E1D81" w:rsidRDefault="00EB481C">
      <w:pPr>
        <w:pStyle w:val="P68B1DB1-Normal4"/>
        <w:spacing w:before="120" w:after="120" w:line="240" w:lineRule="auto"/>
        <w:jc w:val="both"/>
        <w:rPr>
          <w:rFonts w:eastAsia="Symbol" w:cs="Times New Roman"/>
          <w:noProof/>
        </w:rPr>
      </w:pPr>
      <w:r>
        <w:rPr>
          <w:noProof/>
        </w:rPr>
        <w:t>A komponens a spanyol helyreállítási és rezilienciaépítési terv 1. és 6. komponensét (a hidrogén mobilitási és szállítási célú felhasználása), 7. komp</w:t>
      </w:r>
      <w:r>
        <w:rPr>
          <w:noProof/>
        </w:rPr>
        <w:t>onensét (megújulóenergia-termelés) és 8. komponensét (tárolás és intelligens hálózatok) alátámasztó megújulóenergia-stratégia része.</w:t>
      </w:r>
    </w:p>
    <w:p w14:paraId="78BACA75" w14:textId="77777777" w:rsidR="003E1D81" w:rsidRDefault="00EB481C">
      <w:pPr>
        <w:pStyle w:val="P68B1DB1-Normal4"/>
        <w:spacing w:before="120" w:after="120" w:line="240" w:lineRule="auto"/>
        <w:jc w:val="both"/>
        <w:rPr>
          <w:rFonts w:eastAsia="Symbol" w:cs="Times New Roman"/>
          <w:noProof/>
        </w:rPr>
      </w:pPr>
      <w:r>
        <w:rPr>
          <w:noProof/>
        </w:rPr>
        <w:t>A jelentős károkozás elkerülését célzó elvről szóló technikai iránymutatásnak (2021/C58/01) megfelelően a helyreállítási és</w:t>
      </w:r>
      <w:r>
        <w:rPr>
          <w:noProof/>
        </w:rPr>
        <w:t xml:space="preserve">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w:t>
      </w:r>
      <w:r>
        <w:rPr>
          <w:noProof/>
        </w:rPr>
        <w:t>52 rendelet 17. cikke szerinti környezeti célkitűzéseket.</w:t>
      </w:r>
    </w:p>
    <w:p w14:paraId="4FF66529" w14:textId="77777777" w:rsidR="003E1D81" w:rsidRDefault="00EB481C">
      <w:pPr>
        <w:pStyle w:val="P68B1DB1-Normal5"/>
        <w:spacing w:before="120" w:after="120" w:line="240" w:lineRule="auto"/>
        <w:ind w:left="709"/>
        <w:jc w:val="both"/>
        <w:rPr>
          <w:rFonts w:cs="Times New Roman"/>
          <w:i/>
          <w:noProof/>
        </w:rPr>
      </w:pPr>
      <w:r>
        <w:rPr>
          <w:noProof/>
        </w:rPr>
        <w:t xml:space="preserve">I.1. </w:t>
      </w:r>
      <w:r>
        <w:rPr>
          <w:noProof/>
        </w:rPr>
        <w:tab/>
        <w:t>Vissza nem térítendő pénzügyi támogatás – a reformok és beruházások ismertetése</w:t>
      </w:r>
    </w:p>
    <w:p w14:paraId="17D959E5" w14:textId="77777777" w:rsidR="003E1D81" w:rsidRDefault="00EB481C">
      <w:pPr>
        <w:pStyle w:val="P68B1DB1-Normal6"/>
        <w:spacing w:before="120" w:after="120" w:line="240" w:lineRule="auto"/>
        <w:jc w:val="both"/>
        <w:rPr>
          <w:rFonts w:cs="Times New Roman"/>
          <w:noProof/>
        </w:rPr>
      </w:pPr>
      <w:r>
        <w:rPr>
          <w:noProof/>
        </w:rPr>
        <w:t>Reform (C9.R1) – Hidrogén-ütemterv</w:t>
      </w:r>
    </w:p>
    <w:p w14:paraId="5C4CCA21" w14:textId="77777777" w:rsidR="003E1D81" w:rsidRDefault="00EB481C">
      <w:pPr>
        <w:pStyle w:val="P68B1DB1-Normal4"/>
        <w:spacing w:before="120" w:after="120" w:line="240" w:lineRule="auto"/>
        <w:jc w:val="both"/>
        <w:rPr>
          <w:rFonts w:cs="Times New Roman"/>
          <w:noProof/>
        </w:rPr>
      </w:pPr>
      <w:r>
        <w:rPr>
          <w:noProof/>
        </w:rPr>
        <w:t>Ez az intézkedés keretet biztosít a megújuló hidrogén spanyolországi fejleszt</w:t>
      </w:r>
      <w:r>
        <w:rPr>
          <w:noProof/>
        </w:rPr>
        <w:t>éséhez (a továbbiakban: hidrogén-ütemterv). E célból meghatározza a 2030-ig elérendő célokat a telepített kapacitás tekintetében ágazatonként (ipar és közlekedés). A hidrogénre vonatkozó ütemtervet a Miniszterek Tanácsa 2020 októberében hagyta jóvá. Az int</w:t>
      </w:r>
      <w:r>
        <w:rPr>
          <w:noProof/>
        </w:rPr>
        <w:t>ézkedés emellett konkrét eszközöket hoz létre az ütemterv végrehajtásának támogatására azáltal, hogy biztosítja a hidrogénelektrolitók megújuló energiával való ellátását. A kapcsolódó szabályozási intézkedések magukban foglalják i. egy olyan szabályozási e</w:t>
      </w:r>
      <w:r>
        <w:rPr>
          <w:noProof/>
        </w:rPr>
        <w:t>szköz létrehozását, amely magában foglalja a megújuló gázokra, többek között a megújuló hidrogénre vonatkozó származási garanciákat kibocsátó nemzeti szervek kijelölését és irányítását; és ii. szabályozási mechanizmus, amely meghatározza a hidrogén megújul</w:t>
      </w:r>
      <w:r>
        <w:rPr>
          <w:noProof/>
        </w:rPr>
        <w:t>ó eredete ellenőrzésének módját.</w:t>
      </w:r>
    </w:p>
    <w:p w14:paraId="25D44E01" w14:textId="77777777" w:rsidR="003E1D81" w:rsidRDefault="00EB481C">
      <w:pPr>
        <w:pStyle w:val="P68B1DB1-Normal4"/>
        <w:spacing w:before="120" w:after="120" w:line="240" w:lineRule="auto"/>
        <w:jc w:val="both"/>
        <w:rPr>
          <w:rFonts w:cs="Times New Roman"/>
          <w:noProof/>
        </w:rPr>
      </w:pPr>
      <w:r>
        <w:rPr>
          <w:noProof/>
        </w:rPr>
        <w:t>Ezt a reformot 2022. június 30-ig kell befejezni.</w:t>
      </w:r>
    </w:p>
    <w:p w14:paraId="39B5F0A4" w14:textId="77777777" w:rsidR="003E1D81" w:rsidRDefault="00EB481C">
      <w:pPr>
        <w:pStyle w:val="P68B1DB1-Normal6"/>
        <w:spacing w:before="120" w:after="120" w:line="240" w:lineRule="auto"/>
        <w:jc w:val="both"/>
        <w:rPr>
          <w:rFonts w:cs="Times New Roman"/>
          <w:noProof/>
        </w:rPr>
      </w:pPr>
      <w:r>
        <w:rPr>
          <w:noProof/>
        </w:rPr>
        <w:t>Beruházás (C9.I1) – Megújuló hidrogén, országos projekt</w:t>
      </w:r>
    </w:p>
    <w:p w14:paraId="3F4F92E4" w14:textId="77777777" w:rsidR="003E1D81" w:rsidRDefault="00EB481C">
      <w:pPr>
        <w:pStyle w:val="P68B1DB1-Normal4"/>
        <w:spacing w:before="120" w:after="120" w:line="240" w:lineRule="auto"/>
        <w:jc w:val="both"/>
        <w:rPr>
          <w:rFonts w:cs="Times New Roman"/>
          <w:noProof/>
        </w:rPr>
      </w:pPr>
      <w:r>
        <w:rPr>
          <w:noProof/>
        </w:rPr>
        <w:t>Ennek az intézkedésnek az a célja, hogy négy cselekvési irányvonal mentén hozzájáruljon a hidrogénre vonatkozó ütemte</w:t>
      </w:r>
      <w:r>
        <w:rPr>
          <w:noProof/>
        </w:rPr>
        <w:t xml:space="preserve">rv végrehajtásához. </w:t>
      </w:r>
    </w:p>
    <w:p w14:paraId="1FFCBA85" w14:textId="77777777" w:rsidR="003E1D81" w:rsidRDefault="00EB481C">
      <w:pPr>
        <w:pStyle w:val="P68B1DB1-Normal4"/>
        <w:spacing w:before="120" w:after="120" w:line="240" w:lineRule="auto"/>
        <w:jc w:val="both"/>
        <w:rPr>
          <w:rFonts w:cs="Times New Roman"/>
          <w:noProof/>
        </w:rPr>
      </w:pPr>
      <w:r>
        <w:rPr>
          <w:noProof/>
        </w:rPr>
        <w:t xml:space="preserve">Az első cél Spanyolország tudás- és innovatív értékláncának bővítése, különös tekintettel a kkv-kra. E technológia korai technológiai felkészültségi szintje miatt ez az intézkedés legalább tíz kkv támogatását irányozza elő a meglévő </w:t>
      </w:r>
      <w:r>
        <w:rPr>
          <w:noProof/>
        </w:rPr>
        <w:t>spanyol értéklánc megerősítése és megerősítése érdekében az alábbi tevékenységek közül egy vagy több bővítésével: termelési képességek, készségek, versenyképesség, tudás- és technológiatranszfer és/vagy nemzetközi dimenzió. Az intézkedésnek öt technológiai</w:t>
      </w:r>
      <w:r>
        <w:rPr>
          <w:noProof/>
        </w:rPr>
        <w:t xml:space="preserve"> fejlesztésre vagy prototípusra (például elektrolizátorokra, kompresszorokra, tárolóedényekre, üzemanyagcellákra és H2-alapú szállítórendszerekre) is ki kell terjednie, beleértve az „első” technológiafejlesztést vagy a hidrogéngyártáshoz, -elosztási logisz</w:t>
      </w:r>
      <w:r>
        <w:rPr>
          <w:noProof/>
        </w:rPr>
        <w:t xml:space="preserve">tikához vagy fogyasztásához kapcsolódó prototípusok validálását. Ezen túlmenően az intézkedésnek legalább tíz olyan beavatkozást kell magában foglalnia, amelyek a vizsgálati létesítmények fejlesztésére vagy a hidrogénellátási láncon belüli kulcsfontosságú </w:t>
      </w:r>
      <w:r>
        <w:rPr>
          <w:noProof/>
        </w:rPr>
        <w:t>alaptechnológiák vagy rendszerek – például elektrolizátorok vagy üzemanyagcellák – új gyártósorainak bevezetésére irányulnak. Ezek vagy: a K+F+I vizsgálólétesítmények vagy laboratóriumok és/vagy a kapcsolódó berendezések fejlesztése; vagy ii. a hidrogénhez</w:t>
      </w:r>
      <w:r>
        <w:rPr>
          <w:noProof/>
        </w:rPr>
        <w:t xml:space="preserve"> és üzemanyagcellához kapcsolódó rendszerek, berendezések vagy alkatrészek gyártásához szükséges létesítmények és/vagy új berendezések (például szerszámgépek) beszerzésének javítása.</w:t>
      </w:r>
    </w:p>
    <w:p w14:paraId="43DBC220" w14:textId="1F89262B" w:rsidR="003E1D81" w:rsidRDefault="00EB481C">
      <w:pPr>
        <w:pStyle w:val="P68B1DB1-Normal4"/>
        <w:spacing w:before="120" w:after="120" w:line="240" w:lineRule="auto"/>
        <w:jc w:val="both"/>
        <w:rPr>
          <w:rFonts w:cs="Times New Roman"/>
          <w:noProof/>
        </w:rPr>
      </w:pPr>
      <w:r>
        <w:rPr>
          <w:noProof/>
        </w:rPr>
        <w:t>A második cselekvési irányvonal célja két megújulóenergia-klaszter létreh</w:t>
      </w:r>
      <w:r>
        <w:rPr>
          <w:noProof/>
        </w:rPr>
        <w:t>ozása, amelyek integrálják a nagyléptékű termelést, feldolgozást és fogyasztást. E klaszterek közül legalább egynek a célja egy nagy kapacitású megújuló hidrogén elektrolizátor integrálása, amely közvetlenül szállít hidrogént a helyi ipari fogyasztóknak. A</w:t>
      </w:r>
      <w:r>
        <w:rPr>
          <w:noProof/>
        </w:rPr>
        <w:t>z elektrolizátort megújuló villamos energiával kell beszerezni. Az így előállított hidrogént integrálni kell az ipari folyamatokba és a vállalkozások ellátási láncaiba (beleértve az üzleti modellek kiigazítását és a fosszilis alapú hidrogénfogyasztásról va</w:t>
      </w:r>
      <w:r>
        <w:rPr>
          <w:noProof/>
        </w:rPr>
        <w:t xml:space="preserve">ló elmozdulását) annak érdekében, hogy éves fosszilis alapú hidrogénfogyasztásuk legalább 5%-át helyettesítsék. </w:t>
      </w:r>
    </w:p>
    <w:p w14:paraId="444CDF05" w14:textId="77777777" w:rsidR="003E1D81" w:rsidRDefault="00EB481C">
      <w:pPr>
        <w:pStyle w:val="P68B1DB1-Normal4"/>
        <w:spacing w:before="120" w:after="120" w:line="240" w:lineRule="auto"/>
        <w:jc w:val="both"/>
        <w:rPr>
          <w:rFonts w:cs="Times New Roman"/>
          <w:noProof/>
        </w:rPr>
      </w:pPr>
      <w:r>
        <w:rPr>
          <w:noProof/>
        </w:rPr>
        <w:t>A harmadik cselekvési irányvonal azt várja, hogy a hidrogént több (legalább tíz) más, a klaszternél kisebb méretű úttörő projektben is támogass</w:t>
      </w:r>
      <w:r>
        <w:rPr>
          <w:noProof/>
        </w:rPr>
        <w:t>ák. Ezek az egyetlen ipari csomóponton túl bevezetik a megújuló hidrogént az elszigetelt energiarendszerekbe, amelyek lehetővé teszik a megújuló hidrogén integrálását olyan területeken, mint a közlekedés. Ezek a beavatkozások várhatóan magukban foglalják a</w:t>
      </w:r>
      <w:r>
        <w:rPr>
          <w:noProof/>
        </w:rPr>
        <w:t xml:space="preserve"> megújuló hidrogén előállítását, forgalmazását és fogyasztását, előmozdítva a lefedettséget a különböző ágazatokban és Spanyolország területének egyes részein.</w:t>
      </w:r>
    </w:p>
    <w:p w14:paraId="19FE883E" w14:textId="2AA8A10B" w:rsidR="003E1D81" w:rsidRDefault="00EB481C">
      <w:pPr>
        <w:pStyle w:val="P68B1DB1-Normal4"/>
        <w:spacing w:before="120" w:after="120" w:line="240" w:lineRule="auto"/>
        <w:jc w:val="both"/>
        <w:rPr>
          <w:rFonts w:cs="Times New Roman"/>
          <w:noProof/>
        </w:rPr>
      </w:pPr>
      <w:r>
        <w:rPr>
          <w:noProof/>
        </w:rPr>
        <w:t xml:space="preserve">Végezetül az intézkedés célja a hidrogén előmozdítása az uniós értéklánc kialakítására irányuló </w:t>
      </w:r>
      <w:r>
        <w:rPr>
          <w:noProof/>
        </w:rPr>
        <w:t>szélesebb körű uniós stratégia részeként. Ennek eredményeként az intézkedés által támogatott egyes vállalkozások – más tagállamok vállalataival együtt – a hidrogénnel kapcsolatos tervezett közös európai érdeket szolgáló fontos projekt részévé válhatnak, és</w:t>
      </w:r>
      <w:r>
        <w:rPr>
          <w:noProof/>
        </w:rPr>
        <w:t xml:space="preserve"> megfelelő keretrendszerre támaszkodnak az Unión belüli együttműködéshez a nemzeti értékláncoknak a versenyképesség fokozása érdekében történő integrálása érdekében. </w:t>
      </w:r>
    </w:p>
    <w:p w14:paraId="2236E336" w14:textId="47E24862" w:rsidR="003E1D81" w:rsidRDefault="00EB481C">
      <w:pPr>
        <w:pStyle w:val="P68B1DB1-Normal4"/>
        <w:spacing w:before="120" w:after="120" w:line="240" w:lineRule="auto"/>
        <w:jc w:val="both"/>
        <w:rPr>
          <w:rFonts w:cs="Times New Roman"/>
          <w:noProof/>
        </w:rPr>
      </w:pPr>
      <w:r>
        <w:rPr>
          <w:noProof/>
        </w:rPr>
        <w:t>Az összes elektrolizátor teljes engedélyezett termelési kapacitása a C9.I1. pont szerinti</w:t>
      </w:r>
      <w:r>
        <w:rPr>
          <w:noProof/>
        </w:rPr>
        <w:t xml:space="preserve"> mind a négy cselekvési vonal összevonása következtében legalább 700 MW.</w:t>
      </w:r>
    </w:p>
    <w:p w14:paraId="54D9525F" w14:textId="77777777" w:rsidR="003E1D81" w:rsidRDefault="00EB481C">
      <w:pPr>
        <w:pStyle w:val="P68B1DB1-Normal4"/>
        <w:spacing w:before="120" w:after="120" w:line="240" w:lineRule="auto"/>
        <w:jc w:val="both"/>
        <w:rPr>
          <w:rFonts w:cs="Times New Roman"/>
          <w:noProof/>
        </w:rPr>
      </w:pPr>
      <w:r>
        <w:rPr>
          <w:noProof/>
        </w:rPr>
        <w:t>Az intézkedés várhatóan nem sérti jelentősen az (EU) 2020/852 rendelet 17. cikke szerinti környezetvédelmi célkitűzéseket, figyelembe véve az intézkedés leírását és a helyreállítási é</w:t>
      </w:r>
      <w:r>
        <w:rPr>
          <w:noProof/>
        </w:rPr>
        <w:t>s rezilienciaépítési tervben meghatározott enyhítő lépéseket a jelentős károkozás elkerülését célzó elvről szóló technikai iránymutatásnak (2021/C58/01) megfelelően. A megújuló hidrogén integrálásának különösen elő kell mozdítania az ipari folyamatok villa</w:t>
      </w:r>
      <w:r>
        <w:rPr>
          <w:noProof/>
        </w:rPr>
        <w:t>mosítását.</w:t>
      </w:r>
    </w:p>
    <w:p w14:paraId="7DA19D38" w14:textId="77777777" w:rsidR="003E1D81" w:rsidRDefault="00EB481C">
      <w:pPr>
        <w:pStyle w:val="P68B1DB1-Normal4"/>
        <w:spacing w:before="120" w:after="120" w:line="240" w:lineRule="auto"/>
        <w:jc w:val="both"/>
        <w:rPr>
          <w:rFonts w:cs="Times New Roman"/>
          <w:noProof/>
        </w:rPr>
      </w:pPr>
      <w:r>
        <w:rPr>
          <w:noProof/>
        </w:rPr>
        <w:t>Az e beruházás keretében végrehajtott intézkedéseket 2026. június 30-ig be kell fejezni.</w:t>
      </w:r>
    </w:p>
    <w:p w14:paraId="43708E19" w14:textId="77777777" w:rsidR="003E1D81" w:rsidRDefault="00EB481C">
      <w:pPr>
        <w:pStyle w:val="P68B1DB1-Normal5"/>
        <w:spacing w:before="120" w:after="120" w:line="240" w:lineRule="auto"/>
        <w:ind w:left="709"/>
        <w:jc w:val="both"/>
        <w:rPr>
          <w:rFonts w:cs="Times New Roman"/>
          <w:noProof/>
        </w:rPr>
      </w:pPr>
      <w:r>
        <w:rPr>
          <w:noProof/>
        </w:rPr>
        <w:t xml:space="preserve">I.2. </w:t>
      </w:r>
      <w:r>
        <w:rPr>
          <w:noProof/>
        </w:rPr>
        <w:tab/>
        <w:t>Vissza nem térítendő pénzügyi támogatás – a végrehajtáshoz és a nyomon követéshez kapcsolódó mérföldkövek, célok, mutatók és ütemterv</w:t>
      </w:r>
    </w:p>
    <w:p w14:paraId="411B07C8" w14:textId="77777777"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Az alapforgatókönyv valamennyi mutató esetében 2020. február 1-je, kivéve, ha az intézkedés leírása másként jelzi. A táblázatban szereplő összegek nem tartalmazzák a héát.</w:t>
      </w:r>
    </w:p>
    <w:p w14:paraId="384BA73E" w14:textId="77777777" w:rsidR="003E1D81" w:rsidRDefault="003E1D81">
      <w:pPr>
        <w:spacing w:before="120" w:after="120" w:line="240" w:lineRule="auto"/>
        <w:ind w:left="709"/>
        <w:jc w:val="both"/>
        <w:rPr>
          <w:rFonts w:ascii="Times New Roman" w:hAnsi="Times New Roman" w:cs="Times New Roman"/>
          <w:noProof/>
          <w:sz w:val="24"/>
        </w:rPr>
        <w:sectPr w:rsidR="003E1D81" w:rsidSect="00EB7CC8">
          <w:headerReference w:type="even" r:id="rId198"/>
          <w:headerReference w:type="default" r:id="rId199"/>
          <w:footerReference w:type="even" r:id="rId200"/>
          <w:footerReference w:type="default" r:id="rId201"/>
          <w:headerReference w:type="first" r:id="rId202"/>
          <w:footerReference w:type="first" r:id="rId203"/>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275"/>
        <w:gridCol w:w="851"/>
        <w:gridCol w:w="567"/>
        <w:gridCol w:w="567"/>
        <w:gridCol w:w="425"/>
        <w:gridCol w:w="567"/>
        <w:gridCol w:w="7088"/>
      </w:tblGrid>
      <w:tr w:rsidR="003E1D81" w14:paraId="70B5729A" w14:textId="77777777">
        <w:trPr>
          <w:trHeight w:val="309"/>
          <w:tblHeader/>
        </w:trPr>
        <w:tc>
          <w:tcPr>
            <w:tcW w:w="709" w:type="dxa"/>
            <w:tcBorders>
              <w:bottom w:val="nil"/>
            </w:tcBorders>
            <w:shd w:val="clear" w:color="auto" w:fill="C6D9F1" w:themeFill="text2" w:themeFillTint="33"/>
            <w:noWrap/>
            <w:vAlign w:val="center"/>
          </w:tcPr>
          <w:p w14:paraId="7A0548FF"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4C4718D6"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395E9546" w14:textId="77777777" w:rsidR="003E1D81" w:rsidRDefault="00EB481C">
            <w:pPr>
              <w:pStyle w:val="P68B1DB1-Normal12"/>
              <w:spacing w:after="0" w:line="240" w:lineRule="auto"/>
              <w:jc w:val="center"/>
              <w:rPr>
                <w:rFonts w:cs="Times New Roman"/>
                <w:noProof/>
              </w:rPr>
            </w:pPr>
            <w:r>
              <w:rPr>
                <w:noProof/>
              </w:rPr>
              <w:t>Mérföldk</w:t>
            </w:r>
            <w:r>
              <w:rPr>
                <w:noProof/>
              </w:rPr>
              <w:t>ő</w:t>
            </w:r>
            <w:r>
              <w:rPr>
                <w:noProof/>
              </w:rPr>
              <w:br/>
              <w:t xml:space="preserve"> /Cél</w:t>
            </w:r>
          </w:p>
        </w:tc>
        <w:tc>
          <w:tcPr>
            <w:tcW w:w="1560" w:type="dxa"/>
            <w:tcBorders>
              <w:bottom w:val="nil"/>
            </w:tcBorders>
            <w:shd w:val="clear" w:color="auto" w:fill="C6D9F1" w:themeFill="text2" w:themeFillTint="33"/>
            <w:noWrap/>
            <w:vAlign w:val="center"/>
          </w:tcPr>
          <w:p w14:paraId="03B9116E" w14:textId="77777777" w:rsidR="003E1D81" w:rsidRDefault="00EB481C">
            <w:pPr>
              <w:pStyle w:val="P68B1DB1-Normal12"/>
              <w:spacing w:after="0" w:line="240" w:lineRule="auto"/>
              <w:jc w:val="center"/>
              <w:rPr>
                <w:rFonts w:cs="Times New Roman"/>
                <w:noProof/>
              </w:rPr>
            </w:pPr>
            <w:r>
              <w:rPr>
                <w:noProof/>
              </w:rPr>
              <w:t>Név</w:t>
            </w:r>
          </w:p>
        </w:tc>
        <w:tc>
          <w:tcPr>
            <w:tcW w:w="1275" w:type="dxa"/>
            <w:tcBorders>
              <w:bottom w:val="nil"/>
            </w:tcBorders>
            <w:shd w:val="clear" w:color="auto" w:fill="C6D9F1" w:themeFill="text2" w:themeFillTint="33"/>
            <w:noWrap/>
            <w:vAlign w:val="center"/>
          </w:tcPr>
          <w:p w14:paraId="7AB38A7F"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1985" w:type="dxa"/>
            <w:gridSpan w:val="3"/>
            <w:shd w:val="clear" w:color="auto" w:fill="C6D9F1" w:themeFill="text2" w:themeFillTint="33"/>
            <w:noWrap/>
            <w:vAlign w:val="center"/>
          </w:tcPr>
          <w:p w14:paraId="714AE6A0"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92" w:type="dxa"/>
            <w:gridSpan w:val="2"/>
            <w:shd w:val="clear" w:color="auto" w:fill="C6D9F1" w:themeFill="text2" w:themeFillTint="33"/>
            <w:noWrap/>
            <w:vAlign w:val="center"/>
          </w:tcPr>
          <w:p w14:paraId="56FD496D" w14:textId="77777777" w:rsidR="003E1D81" w:rsidRDefault="00EB481C">
            <w:pPr>
              <w:pStyle w:val="P68B1DB1-Normal12"/>
              <w:spacing w:after="0" w:line="240" w:lineRule="auto"/>
              <w:jc w:val="center"/>
              <w:rPr>
                <w:rFonts w:cs="Times New Roman"/>
                <w:noProof/>
              </w:rPr>
            </w:pPr>
            <w:r>
              <w:rPr>
                <w:noProof/>
              </w:rPr>
              <w:t>Idő</w:t>
            </w:r>
          </w:p>
        </w:tc>
        <w:tc>
          <w:tcPr>
            <w:tcW w:w="7088" w:type="dxa"/>
            <w:tcBorders>
              <w:bottom w:val="nil"/>
            </w:tcBorders>
            <w:shd w:val="clear" w:color="auto" w:fill="C6D9F1" w:themeFill="text2" w:themeFillTint="33"/>
            <w:noWrap/>
            <w:vAlign w:val="center"/>
          </w:tcPr>
          <w:p w14:paraId="45F81A50"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7B560C90" w14:textId="77777777">
        <w:trPr>
          <w:trHeight w:val="309"/>
          <w:tblHeader/>
        </w:trPr>
        <w:tc>
          <w:tcPr>
            <w:tcW w:w="709" w:type="dxa"/>
            <w:tcBorders>
              <w:top w:val="nil"/>
            </w:tcBorders>
            <w:shd w:val="clear" w:color="auto" w:fill="C6D9F1" w:themeFill="text2" w:themeFillTint="33"/>
            <w:noWrap/>
          </w:tcPr>
          <w:p w14:paraId="34B3F2EB"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D34F5C7"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B4020A7" w14:textId="77777777" w:rsidR="003E1D81" w:rsidRDefault="003E1D81">
            <w:pPr>
              <w:spacing w:after="0" w:line="240" w:lineRule="auto"/>
              <w:jc w:val="center"/>
              <w:rPr>
                <w:rFonts w:ascii="Times New Roman" w:hAnsi="Times New Roman" w:cs="Times New Roman"/>
                <w:b/>
                <w:noProof/>
                <w:sz w:val="18"/>
              </w:rPr>
            </w:pPr>
          </w:p>
        </w:tc>
        <w:tc>
          <w:tcPr>
            <w:tcW w:w="1560" w:type="dxa"/>
            <w:tcBorders>
              <w:top w:val="nil"/>
            </w:tcBorders>
            <w:shd w:val="clear" w:color="auto" w:fill="C6D9F1" w:themeFill="text2" w:themeFillTint="33"/>
            <w:noWrap/>
          </w:tcPr>
          <w:p w14:paraId="1D7B270A" w14:textId="77777777" w:rsidR="003E1D81" w:rsidRDefault="003E1D81">
            <w:pPr>
              <w:spacing w:after="0" w:line="240" w:lineRule="auto"/>
              <w:rPr>
                <w:rFonts w:ascii="Times New Roman" w:hAnsi="Times New Roman" w:cs="Times New Roman"/>
                <w:b/>
                <w:noProof/>
                <w:sz w:val="18"/>
              </w:rPr>
            </w:pPr>
          </w:p>
        </w:tc>
        <w:tc>
          <w:tcPr>
            <w:tcW w:w="1275" w:type="dxa"/>
            <w:tcBorders>
              <w:top w:val="nil"/>
            </w:tcBorders>
            <w:shd w:val="clear" w:color="auto" w:fill="C6D9F1" w:themeFill="text2" w:themeFillTint="33"/>
            <w:noWrap/>
          </w:tcPr>
          <w:p w14:paraId="4F904CB7" w14:textId="77777777" w:rsidR="003E1D81" w:rsidRDefault="003E1D81">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vAlign w:val="center"/>
          </w:tcPr>
          <w:p w14:paraId="295A2B3D" w14:textId="77777777" w:rsidR="003E1D81" w:rsidRDefault="00EB481C">
            <w:pPr>
              <w:pStyle w:val="P68B1DB1-Normal12"/>
              <w:spacing w:after="0" w:line="240" w:lineRule="auto"/>
              <w:jc w:val="center"/>
              <w:rPr>
                <w:rFonts w:cs="Times New Roman"/>
                <w:noProof/>
              </w:rPr>
            </w:pPr>
            <w:r>
              <w:rPr>
                <w:noProof/>
              </w:rPr>
              <w:t>Egység</w:t>
            </w:r>
          </w:p>
        </w:tc>
        <w:tc>
          <w:tcPr>
            <w:tcW w:w="567" w:type="dxa"/>
            <w:shd w:val="clear" w:color="auto" w:fill="C6D9F1" w:themeFill="text2" w:themeFillTint="33"/>
            <w:noWrap/>
            <w:vAlign w:val="center"/>
          </w:tcPr>
          <w:p w14:paraId="64354F4C" w14:textId="77777777" w:rsidR="003E1D81" w:rsidRDefault="00EB481C">
            <w:pPr>
              <w:pStyle w:val="P68B1DB1-Normal12"/>
              <w:spacing w:after="0" w:line="240" w:lineRule="auto"/>
              <w:jc w:val="center"/>
              <w:rPr>
                <w:rFonts w:cs="Times New Roman"/>
                <w:noProof/>
              </w:rPr>
            </w:pPr>
            <w:r>
              <w:rPr>
                <w:noProof/>
              </w:rPr>
              <w:t>Alapérték</w:t>
            </w:r>
          </w:p>
        </w:tc>
        <w:tc>
          <w:tcPr>
            <w:tcW w:w="567" w:type="dxa"/>
            <w:shd w:val="clear" w:color="auto" w:fill="C6D9F1" w:themeFill="text2" w:themeFillTint="33"/>
            <w:noWrap/>
            <w:vAlign w:val="center"/>
          </w:tcPr>
          <w:p w14:paraId="0CB8A499" w14:textId="77777777" w:rsidR="003E1D81" w:rsidRDefault="00EB481C">
            <w:pPr>
              <w:pStyle w:val="P68B1DB1-Normal12"/>
              <w:spacing w:after="0" w:line="240" w:lineRule="auto"/>
              <w:jc w:val="center"/>
              <w:rPr>
                <w:rFonts w:cs="Times New Roman"/>
                <w:noProof/>
              </w:rPr>
            </w:pPr>
            <w:r>
              <w:rPr>
                <w:noProof/>
              </w:rPr>
              <w:t>Cél</w:t>
            </w:r>
          </w:p>
        </w:tc>
        <w:tc>
          <w:tcPr>
            <w:tcW w:w="425" w:type="dxa"/>
            <w:shd w:val="clear" w:color="auto" w:fill="C6D9F1" w:themeFill="text2" w:themeFillTint="33"/>
            <w:noWrap/>
            <w:vAlign w:val="center"/>
          </w:tcPr>
          <w:p w14:paraId="11B3A307"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6831318" w14:textId="77777777" w:rsidR="003E1D81" w:rsidRDefault="00EB481C">
            <w:pPr>
              <w:pStyle w:val="P68B1DB1-Normal12"/>
              <w:spacing w:after="0" w:line="240" w:lineRule="auto"/>
              <w:jc w:val="center"/>
              <w:rPr>
                <w:rFonts w:cs="Times New Roman"/>
                <w:noProof/>
              </w:rPr>
            </w:pPr>
            <w:r>
              <w:rPr>
                <w:noProof/>
              </w:rPr>
              <w:t>Éve</w:t>
            </w:r>
          </w:p>
        </w:tc>
        <w:tc>
          <w:tcPr>
            <w:tcW w:w="7088" w:type="dxa"/>
            <w:tcBorders>
              <w:top w:val="nil"/>
            </w:tcBorders>
            <w:shd w:val="clear" w:color="auto" w:fill="C6D9F1" w:themeFill="text2" w:themeFillTint="33"/>
            <w:noWrap/>
          </w:tcPr>
          <w:p w14:paraId="06971CD3" w14:textId="77777777" w:rsidR="003E1D81" w:rsidRDefault="003E1D81">
            <w:pPr>
              <w:spacing w:after="0" w:line="240" w:lineRule="auto"/>
              <w:rPr>
                <w:rFonts w:ascii="Times New Roman" w:hAnsi="Times New Roman" w:cs="Times New Roman"/>
                <w:b/>
                <w:noProof/>
                <w:sz w:val="18"/>
              </w:rPr>
            </w:pPr>
          </w:p>
        </w:tc>
      </w:tr>
      <w:tr w:rsidR="003E1D81" w14:paraId="48827676" w14:textId="77777777">
        <w:trPr>
          <w:trHeight w:val="309"/>
        </w:trPr>
        <w:tc>
          <w:tcPr>
            <w:tcW w:w="709" w:type="dxa"/>
            <w:shd w:val="clear" w:color="auto" w:fill="C6EFCE"/>
            <w:noWrap/>
          </w:tcPr>
          <w:p w14:paraId="6D3A19EC" w14:textId="77777777" w:rsidR="003E1D81" w:rsidRDefault="00EB481C">
            <w:pPr>
              <w:pStyle w:val="P68B1DB1-Normal13"/>
              <w:spacing w:after="0" w:line="240" w:lineRule="auto"/>
              <w:jc w:val="center"/>
              <w:rPr>
                <w:rFonts w:eastAsia="Symbol" w:cs="Times New Roman"/>
                <w:noProof/>
              </w:rPr>
            </w:pPr>
            <w:r>
              <w:rPr>
                <w:noProof/>
              </w:rPr>
              <w:t>129</w:t>
            </w:r>
          </w:p>
        </w:tc>
        <w:tc>
          <w:tcPr>
            <w:tcW w:w="851" w:type="dxa"/>
            <w:shd w:val="clear" w:color="auto" w:fill="C6EFCE"/>
            <w:noWrap/>
          </w:tcPr>
          <w:p w14:paraId="1E1A9AF7" w14:textId="77777777" w:rsidR="003E1D81" w:rsidRDefault="00EB481C">
            <w:pPr>
              <w:pStyle w:val="P68B1DB1-Normal13"/>
              <w:spacing w:after="0" w:line="240" w:lineRule="auto"/>
              <w:jc w:val="center"/>
              <w:rPr>
                <w:rFonts w:eastAsia="Symbol" w:cs="Times New Roman"/>
                <w:noProof/>
              </w:rPr>
            </w:pPr>
            <w:r>
              <w:rPr>
                <w:noProof/>
              </w:rPr>
              <w:t>C9.R1</w:t>
            </w:r>
          </w:p>
        </w:tc>
        <w:tc>
          <w:tcPr>
            <w:tcW w:w="850" w:type="dxa"/>
            <w:shd w:val="clear" w:color="auto" w:fill="C6EFCE"/>
            <w:noWrap/>
          </w:tcPr>
          <w:p w14:paraId="027A594E" w14:textId="77777777" w:rsidR="003E1D81" w:rsidRDefault="00EB481C">
            <w:pPr>
              <w:pStyle w:val="P68B1DB1-Normal13"/>
              <w:spacing w:after="0" w:line="240" w:lineRule="auto"/>
              <w:jc w:val="center"/>
              <w:rPr>
                <w:rFonts w:eastAsia="Symbol" w:cs="Times New Roman"/>
                <w:noProof/>
              </w:rPr>
            </w:pPr>
            <w:r>
              <w:rPr>
                <w:noProof/>
              </w:rPr>
              <w:t>M</w:t>
            </w:r>
          </w:p>
        </w:tc>
        <w:tc>
          <w:tcPr>
            <w:tcW w:w="1560" w:type="dxa"/>
            <w:shd w:val="clear" w:color="auto" w:fill="C6EFCE"/>
            <w:noWrap/>
          </w:tcPr>
          <w:p w14:paraId="69497764" w14:textId="77777777" w:rsidR="003E1D81" w:rsidRDefault="00EB481C">
            <w:pPr>
              <w:pStyle w:val="P68B1DB1-Normal13"/>
              <w:spacing w:after="0" w:line="240" w:lineRule="auto"/>
              <w:rPr>
                <w:rFonts w:eastAsia="Symbol" w:cs="Times New Roman"/>
                <w:noProof/>
              </w:rPr>
            </w:pPr>
            <w:r>
              <w:rPr>
                <w:noProof/>
              </w:rPr>
              <w:t xml:space="preserve">Hidrogén-ütemterv </w:t>
            </w:r>
          </w:p>
        </w:tc>
        <w:tc>
          <w:tcPr>
            <w:tcW w:w="1275" w:type="dxa"/>
            <w:shd w:val="clear" w:color="auto" w:fill="C6EFCE"/>
            <w:noWrap/>
          </w:tcPr>
          <w:p w14:paraId="59EECAAA" w14:textId="77777777" w:rsidR="003E1D81" w:rsidRDefault="00EB481C">
            <w:pPr>
              <w:pStyle w:val="P68B1DB1-Normal13"/>
              <w:spacing w:after="0" w:line="240" w:lineRule="auto"/>
              <w:jc w:val="center"/>
              <w:rPr>
                <w:rFonts w:eastAsia="Symbol" w:cs="Times New Roman"/>
                <w:noProof/>
              </w:rPr>
            </w:pPr>
            <w:r>
              <w:rPr>
                <w:noProof/>
              </w:rPr>
              <w:t>A Miniszterek Tanácsának jóváhagyása</w:t>
            </w:r>
          </w:p>
        </w:tc>
        <w:tc>
          <w:tcPr>
            <w:tcW w:w="851" w:type="dxa"/>
            <w:shd w:val="clear" w:color="auto" w:fill="C6EFCE"/>
            <w:noWrap/>
          </w:tcPr>
          <w:p w14:paraId="7BF3D9A5"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0A711F4A"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3BFE8F37"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425" w:type="dxa"/>
            <w:shd w:val="clear" w:color="auto" w:fill="C6EFCE"/>
            <w:noWrap/>
          </w:tcPr>
          <w:p w14:paraId="1F72B8DF"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74519F6D" w14:textId="77777777" w:rsidR="003E1D81" w:rsidRDefault="00EB481C">
            <w:pPr>
              <w:pStyle w:val="P68B1DB1-Normal13"/>
              <w:spacing w:after="0" w:line="240" w:lineRule="auto"/>
              <w:jc w:val="center"/>
              <w:rPr>
                <w:rFonts w:eastAsia="Symbol" w:cs="Times New Roman"/>
                <w:noProof/>
              </w:rPr>
            </w:pPr>
            <w:r>
              <w:rPr>
                <w:noProof/>
              </w:rPr>
              <w:t>2020</w:t>
            </w:r>
          </w:p>
        </w:tc>
        <w:tc>
          <w:tcPr>
            <w:tcW w:w="7088" w:type="dxa"/>
            <w:shd w:val="clear" w:color="auto" w:fill="C6EFCE"/>
            <w:noWrap/>
          </w:tcPr>
          <w:p w14:paraId="48591468" w14:textId="77777777" w:rsidR="003E1D81" w:rsidRDefault="00EB481C">
            <w:pPr>
              <w:pStyle w:val="P68B1DB1-Normal13"/>
              <w:spacing w:after="0" w:line="240" w:lineRule="auto"/>
              <w:jc w:val="both"/>
              <w:rPr>
                <w:rFonts w:eastAsia="Symbol" w:cs="Times New Roman"/>
                <w:noProof/>
              </w:rPr>
            </w:pPr>
            <w:r>
              <w:rPr>
                <w:noProof/>
              </w:rPr>
              <w:t xml:space="preserve">A </w:t>
            </w:r>
            <w:r>
              <w:rPr>
                <w:noProof/>
              </w:rPr>
              <w:t>hidrogén-ütemtervnek a Miniszterek Tanácsa általi jóváhagyása. A hidrogénre vonatkozó ütemterv meghatározza a megújulóhidrogén-ágazat fejlesztésére vonatkozóan Spanyolország által meghatározott iránymutatásokat. E célból meghatározza a telepített kapacitás</w:t>
            </w:r>
            <w:r>
              <w:rPr>
                <w:noProof/>
              </w:rPr>
              <w:t>, az ipar és a mobilitás tekintetében 2030-ig elérendő célokat.</w:t>
            </w:r>
          </w:p>
        </w:tc>
      </w:tr>
      <w:tr w:rsidR="003E1D81" w14:paraId="643D8A21" w14:textId="77777777">
        <w:trPr>
          <w:trHeight w:val="309"/>
        </w:trPr>
        <w:tc>
          <w:tcPr>
            <w:tcW w:w="709" w:type="dxa"/>
            <w:shd w:val="clear" w:color="auto" w:fill="C6EFCE"/>
            <w:noWrap/>
          </w:tcPr>
          <w:p w14:paraId="72CF255B" w14:textId="77777777" w:rsidR="003E1D81" w:rsidRDefault="00EB481C">
            <w:pPr>
              <w:pStyle w:val="P68B1DB1-Normal13"/>
              <w:spacing w:after="0" w:line="240" w:lineRule="auto"/>
              <w:jc w:val="center"/>
              <w:rPr>
                <w:rFonts w:eastAsia="Symbol" w:cs="Times New Roman"/>
                <w:noProof/>
              </w:rPr>
            </w:pPr>
            <w:r>
              <w:rPr>
                <w:noProof/>
              </w:rPr>
              <w:t>130</w:t>
            </w:r>
          </w:p>
        </w:tc>
        <w:tc>
          <w:tcPr>
            <w:tcW w:w="851" w:type="dxa"/>
            <w:shd w:val="clear" w:color="auto" w:fill="C6EFCE"/>
            <w:noWrap/>
          </w:tcPr>
          <w:p w14:paraId="1086F5AC" w14:textId="77777777" w:rsidR="003E1D81" w:rsidRDefault="00EB481C">
            <w:pPr>
              <w:pStyle w:val="P68B1DB1-Normal13"/>
              <w:spacing w:after="0" w:line="240" w:lineRule="auto"/>
              <w:jc w:val="center"/>
              <w:rPr>
                <w:rFonts w:eastAsia="Symbol" w:cs="Times New Roman"/>
                <w:noProof/>
              </w:rPr>
            </w:pPr>
            <w:r>
              <w:rPr>
                <w:noProof/>
              </w:rPr>
              <w:t>C9.R1</w:t>
            </w:r>
          </w:p>
        </w:tc>
        <w:tc>
          <w:tcPr>
            <w:tcW w:w="850" w:type="dxa"/>
            <w:shd w:val="clear" w:color="auto" w:fill="C6EFCE"/>
            <w:noWrap/>
          </w:tcPr>
          <w:p w14:paraId="5AB23280" w14:textId="77777777" w:rsidR="003E1D81" w:rsidRDefault="00EB481C">
            <w:pPr>
              <w:pStyle w:val="P68B1DB1-Normal13"/>
              <w:spacing w:after="0" w:line="240" w:lineRule="auto"/>
              <w:jc w:val="center"/>
              <w:rPr>
                <w:rFonts w:eastAsia="Symbol" w:cs="Times New Roman"/>
                <w:noProof/>
              </w:rPr>
            </w:pPr>
            <w:r>
              <w:rPr>
                <w:noProof/>
              </w:rPr>
              <w:t>M</w:t>
            </w:r>
          </w:p>
        </w:tc>
        <w:tc>
          <w:tcPr>
            <w:tcW w:w="1560" w:type="dxa"/>
            <w:shd w:val="clear" w:color="auto" w:fill="C6EFCE"/>
            <w:noWrap/>
          </w:tcPr>
          <w:p w14:paraId="0E77B031" w14:textId="77777777" w:rsidR="003E1D81" w:rsidRDefault="00EB481C">
            <w:pPr>
              <w:pStyle w:val="P68B1DB1-Normal13"/>
              <w:spacing w:after="0" w:line="240" w:lineRule="auto"/>
              <w:rPr>
                <w:rFonts w:eastAsia="Symbol" w:cs="Times New Roman"/>
                <w:noProof/>
              </w:rPr>
            </w:pPr>
            <w:r>
              <w:rPr>
                <w:noProof/>
              </w:rPr>
              <w:t>A megújuló gázokra vonatkozó származási garanciák létrehozásáról szóló rendelet hatálybalépése</w:t>
            </w:r>
          </w:p>
        </w:tc>
        <w:tc>
          <w:tcPr>
            <w:tcW w:w="1275" w:type="dxa"/>
            <w:shd w:val="clear" w:color="auto" w:fill="C6EFCE"/>
            <w:noWrap/>
          </w:tcPr>
          <w:p w14:paraId="42C94EF3" w14:textId="77777777" w:rsidR="003E1D81" w:rsidRDefault="00EB481C">
            <w:pPr>
              <w:pStyle w:val="P68B1DB1-Normal13"/>
              <w:spacing w:after="0" w:line="240" w:lineRule="auto"/>
              <w:jc w:val="center"/>
              <w:rPr>
                <w:rFonts w:eastAsia="Symbol" w:cs="Times New Roman"/>
                <w:noProof/>
              </w:rPr>
            </w:pPr>
            <w:r>
              <w:rPr>
                <w:noProof/>
              </w:rPr>
              <w:t>A rendelet hatálybalépésére vonatkozó rendelkezés</w:t>
            </w:r>
          </w:p>
        </w:tc>
        <w:tc>
          <w:tcPr>
            <w:tcW w:w="851" w:type="dxa"/>
            <w:shd w:val="clear" w:color="auto" w:fill="C6EFCE"/>
            <w:noWrap/>
          </w:tcPr>
          <w:p w14:paraId="7AA3CD39"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63ABC34F"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78492FB3"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425" w:type="dxa"/>
            <w:shd w:val="clear" w:color="auto" w:fill="C6EFCE"/>
            <w:noWrap/>
          </w:tcPr>
          <w:p w14:paraId="7C1816B5" w14:textId="77777777" w:rsidR="003E1D81" w:rsidRDefault="00EB481C">
            <w:pPr>
              <w:pStyle w:val="P68B1DB1-Normal13"/>
              <w:spacing w:after="0" w:line="240" w:lineRule="auto"/>
              <w:jc w:val="center"/>
              <w:rPr>
                <w:rFonts w:eastAsia="Symbol" w:cs="Times New Roman"/>
                <w:noProof/>
              </w:rPr>
            </w:pPr>
            <w:r>
              <w:rPr>
                <w:noProof/>
              </w:rPr>
              <w:t>KÉRDÉS</w:t>
            </w:r>
          </w:p>
        </w:tc>
        <w:tc>
          <w:tcPr>
            <w:tcW w:w="567" w:type="dxa"/>
            <w:shd w:val="clear" w:color="auto" w:fill="C6EFCE"/>
            <w:noWrap/>
          </w:tcPr>
          <w:p w14:paraId="444B82BA" w14:textId="77777777" w:rsidR="003E1D81" w:rsidRDefault="00EB481C">
            <w:pPr>
              <w:pStyle w:val="P68B1DB1-Normal13"/>
              <w:spacing w:after="0" w:line="240" w:lineRule="auto"/>
              <w:jc w:val="center"/>
              <w:rPr>
                <w:rFonts w:eastAsia="Symbol" w:cs="Times New Roman"/>
                <w:noProof/>
              </w:rPr>
            </w:pPr>
            <w:r>
              <w:rPr>
                <w:noProof/>
              </w:rPr>
              <w:t>2022</w:t>
            </w:r>
          </w:p>
        </w:tc>
        <w:tc>
          <w:tcPr>
            <w:tcW w:w="7088" w:type="dxa"/>
            <w:shd w:val="clear" w:color="auto" w:fill="C6EFCE"/>
            <w:noWrap/>
          </w:tcPr>
          <w:p w14:paraId="0A48B93F" w14:textId="77777777" w:rsidR="003E1D81" w:rsidRDefault="00EB481C">
            <w:pPr>
              <w:pStyle w:val="P68B1DB1-Normal13"/>
              <w:spacing w:after="0" w:line="240" w:lineRule="auto"/>
              <w:jc w:val="both"/>
              <w:rPr>
                <w:rFonts w:eastAsia="Symbol" w:cs="Times New Roman"/>
                <w:noProof/>
              </w:rPr>
            </w:pPr>
            <w:r>
              <w:rPr>
                <w:noProof/>
              </w:rPr>
              <w:t xml:space="preserve">A megújuló </w:t>
            </w:r>
            <w:r>
              <w:rPr>
                <w:noProof/>
              </w:rPr>
              <w:t>gázokra, többek között a megújuló hidrogénre vonatkozó származási garanciák nemzeti rendszerének létrehozásáról szóló rendelet hatálybalépése, amely a megújuló energia 100%-át biztosítja. A szabályozási eszköz által létrehozandó rendszer magában foglalja a</w:t>
            </w:r>
            <w:r>
              <w:rPr>
                <w:noProof/>
              </w:rPr>
              <w:t xml:space="preserve"> nemzeti kibocsátó szervek kijelölését és irányításuk elfogadását; valamint egy szabályozási mechanizmus, amely meghatározza a hidrogén megújuló eredetének ellenőrzését.</w:t>
            </w:r>
          </w:p>
        </w:tc>
      </w:tr>
      <w:tr w:rsidR="003E1D81" w14:paraId="1F499200" w14:textId="77777777">
        <w:trPr>
          <w:trHeight w:val="309"/>
        </w:trPr>
        <w:tc>
          <w:tcPr>
            <w:tcW w:w="709" w:type="dxa"/>
            <w:shd w:val="clear" w:color="auto" w:fill="C6EFCE"/>
            <w:noWrap/>
          </w:tcPr>
          <w:p w14:paraId="0F7B3593" w14:textId="77777777" w:rsidR="003E1D81" w:rsidRDefault="00EB481C">
            <w:pPr>
              <w:pStyle w:val="P68B1DB1-Normal13"/>
              <w:spacing w:after="0" w:line="240" w:lineRule="auto"/>
              <w:jc w:val="center"/>
              <w:rPr>
                <w:rFonts w:eastAsia="Symbol" w:cs="Times New Roman"/>
                <w:noProof/>
              </w:rPr>
            </w:pPr>
            <w:r>
              <w:rPr>
                <w:noProof/>
              </w:rPr>
              <w:t>131</w:t>
            </w:r>
          </w:p>
        </w:tc>
        <w:tc>
          <w:tcPr>
            <w:tcW w:w="851" w:type="dxa"/>
            <w:shd w:val="clear" w:color="auto" w:fill="C6EFCE"/>
            <w:noWrap/>
          </w:tcPr>
          <w:p w14:paraId="5A32E065" w14:textId="77777777" w:rsidR="003E1D81" w:rsidRDefault="00EB481C">
            <w:pPr>
              <w:pStyle w:val="P68B1DB1-Normal13"/>
              <w:spacing w:after="0" w:line="240" w:lineRule="auto"/>
              <w:jc w:val="center"/>
              <w:rPr>
                <w:rFonts w:eastAsia="Symbol" w:cs="Times New Roman"/>
                <w:noProof/>
              </w:rPr>
            </w:pPr>
            <w:r>
              <w:rPr>
                <w:noProof/>
              </w:rPr>
              <w:t>C9.I1</w:t>
            </w:r>
          </w:p>
        </w:tc>
        <w:tc>
          <w:tcPr>
            <w:tcW w:w="850" w:type="dxa"/>
            <w:shd w:val="clear" w:color="auto" w:fill="C6EFCE"/>
            <w:noWrap/>
          </w:tcPr>
          <w:p w14:paraId="13D228FA" w14:textId="77777777" w:rsidR="003E1D81" w:rsidRDefault="00EB481C">
            <w:pPr>
              <w:pStyle w:val="P68B1DB1-Normal13"/>
              <w:spacing w:after="0" w:line="240" w:lineRule="auto"/>
              <w:jc w:val="center"/>
              <w:rPr>
                <w:rFonts w:eastAsia="Symbol" w:cs="Times New Roman"/>
                <w:noProof/>
              </w:rPr>
            </w:pPr>
            <w:r>
              <w:rPr>
                <w:noProof/>
              </w:rPr>
              <w:t>T</w:t>
            </w:r>
          </w:p>
        </w:tc>
        <w:tc>
          <w:tcPr>
            <w:tcW w:w="1560" w:type="dxa"/>
            <w:shd w:val="clear" w:color="auto" w:fill="C6EFCE"/>
            <w:noWrap/>
          </w:tcPr>
          <w:p w14:paraId="40537FCA" w14:textId="77777777" w:rsidR="003E1D81" w:rsidRDefault="00EB481C">
            <w:pPr>
              <w:pStyle w:val="P68B1DB1-Normal13"/>
              <w:spacing w:after="0" w:line="240" w:lineRule="auto"/>
              <w:rPr>
                <w:rFonts w:eastAsia="Symbol" w:cs="Times New Roman"/>
                <w:noProof/>
              </w:rPr>
            </w:pPr>
            <w:r>
              <w:rPr>
                <w:noProof/>
              </w:rPr>
              <w:t>Kkv-k finanszírozása a hidrogén értékláncának megerősítése érdekében</w:t>
            </w:r>
          </w:p>
        </w:tc>
        <w:tc>
          <w:tcPr>
            <w:tcW w:w="1275" w:type="dxa"/>
            <w:shd w:val="clear" w:color="auto" w:fill="C6EFCE"/>
            <w:noWrap/>
          </w:tcPr>
          <w:p w14:paraId="2A1F701D" w14:textId="77777777" w:rsidR="003E1D81" w:rsidRDefault="003E1D81">
            <w:pPr>
              <w:spacing w:after="0" w:line="240" w:lineRule="auto"/>
              <w:jc w:val="center"/>
              <w:rPr>
                <w:rFonts w:ascii="Times New Roman" w:eastAsia="Symbol" w:hAnsi="Times New Roman" w:cs="Times New Roman"/>
                <w:noProof/>
                <w:sz w:val="18"/>
              </w:rPr>
            </w:pPr>
          </w:p>
        </w:tc>
        <w:tc>
          <w:tcPr>
            <w:tcW w:w="851" w:type="dxa"/>
            <w:shd w:val="clear" w:color="auto" w:fill="C6EFCE"/>
            <w:noWrap/>
          </w:tcPr>
          <w:p w14:paraId="092A1C54" w14:textId="77777777" w:rsidR="003E1D81" w:rsidRDefault="00EB481C">
            <w:pPr>
              <w:pStyle w:val="P68B1DB1-Normal13"/>
              <w:spacing w:after="0" w:line="240" w:lineRule="auto"/>
              <w:jc w:val="center"/>
              <w:rPr>
                <w:rFonts w:eastAsia="Symbol" w:cs="Times New Roman"/>
                <w:noProof/>
              </w:rPr>
            </w:pPr>
            <w:r>
              <w:rPr>
                <w:noProof/>
              </w:rPr>
              <w:t>Szám</w:t>
            </w:r>
          </w:p>
        </w:tc>
        <w:tc>
          <w:tcPr>
            <w:tcW w:w="567" w:type="dxa"/>
            <w:shd w:val="clear" w:color="auto" w:fill="C6EFCE"/>
            <w:noWrap/>
          </w:tcPr>
          <w:p w14:paraId="52ECD0D9" w14:textId="77777777" w:rsidR="003E1D81" w:rsidRDefault="00EB481C">
            <w:pPr>
              <w:pStyle w:val="P68B1DB1-Normal13"/>
              <w:spacing w:after="0" w:line="240" w:lineRule="auto"/>
              <w:jc w:val="center"/>
              <w:rPr>
                <w:rFonts w:eastAsia="Symbol" w:cs="Times New Roman"/>
                <w:noProof/>
              </w:rPr>
            </w:pPr>
            <w:r>
              <w:rPr>
                <w:noProof/>
              </w:rPr>
              <w:t>0</w:t>
            </w:r>
          </w:p>
        </w:tc>
        <w:tc>
          <w:tcPr>
            <w:tcW w:w="567" w:type="dxa"/>
            <w:shd w:val="clear" w:color="auto" w:fill="C6EFCE"/>
            <w:noWrap/>
          </w:tcPr>
          <w:p w14:paraId="446DE71A" w14:textId="77777777" w:rsidR="003E1D81" w:rsidRDefault="00EB481C">
            <w:pPr>
              <w:pStyle w:val="P68B1DB1-Normal13"/>
              <w:spacing w:after="0" w:line="240" w:lineRule="auto"/>
              <w:jc w:val="center"/>
              <w:rPr>
                <w:rFonts w:eastAsia="Symbol" w:cs="Times New Roman"/>
                <w:noProof/>
              </w:rPr>
            </w:pPr>
            <w:r>
              <w:rPr>
                <w:noProof/>
              </w:rPr>
              <w:t>10</w:t>
            </w:r>
          </w:p>
        </w:tc>
        <w:tc>
          <w:tcPr>
            <w:tcW w:w="425" w:type="dxa"/>
            <w:shd w:val="clear" w:color="auto" w:fill="C6EFCE"/>
            <w:noWrap/>
          </w:tcPr>
          <w:p w14:paraId="3AC58826" w14:textId="77777777" w:rsidR="003E1D81" w:rsidRDefault="00EB481C">
            <w:pPr>
              <w:pStyle w:val="P68B1DB1-Normal13"/>
              <w:spacing w:after="0" w:line="240" w:lineRule="auto"/>
              <w:jc w:val="center"/>
              <w:rPr>
                <w:rFonts w:eastAsia="Symbol" w:cs="Times New Roman"/>
                <w:noProof/>
              </w:rPr>
            </w:pPr>
            <w:r>
              <w:rPr>
                <w:noProof/>
              </w:rPr>
              <w:t>KÉRDÉS</w:t>
            </w:r>
          </w:p>
        </w:tc>
        <w:tc>
          <w:tcPr>
            <w:tcW w:w="567" w:type="dxa"/>
            <w:shd w:val="clear" w:color="auto" w:fill="C6EFCE"/>
            <w:noWrap/>
          </w:tcPr>
          <w:p w14:paraId="064CBC82" w14:textId="77777777" w:rsidR="003E1D81" w:rsidRDefault="00EB481C">
            <w:pPr>
              <w:pStyle w:val="P68B1DB1-Normal13"/>
              <w:spacing w:after="0" w:line="240" w:lineRule="auto"/>
              <w:jc w:val="center"/>
              <w:rPr>
                <w:rFonts w:eastAsia="Symbol" w:cs="Times New Roman"/>
                <w:noProof/>
              </w:rPr>
            </w:pPr>
            <w:r>
              <w:rPr>
                <w:noProof/>
              </w:rPr>
              <w:t>2023</w:t>
            </w:r>
          </w:p>
        </w:tc>
        <w:tc>
          <w:tcPr>
            <w:tcW w:w="7088" w:type="dxa"/>
            <w:shd w:val="clear" w:color="auto" w:fill="C6EFCE"/>
            <w:noWrap/>
          </w:tcPr>
          <w:p w14:paraId="56B43BD0" w14:textId="77777777" w:rsidR="003E1D81" w:rsidRDefault="00EB481C">
            <w:pPr>
              <w:pStyle w:val="P68B1DB1-Normal13"/>
              <w:spacing w:after="0" w:line="240" w:lineRule="auto"/>
              <w:jc w:val="both"/>
              <w:rPr>
                <w:rFonts w:eastAsia="Symbol" w:cs="Times New Roman"/>
                <w:noProof/>
              </w:rPr>
            </w:pPr>
            <w:r>
              <w:rPr>
                <w:noProof/>
              </w:rPr>
              <w:t>Legalább tíz kkv finanszírozása a hidrogén jelenlegi spanyol értékláncának megerősítésére és megerősítésére az alábbi jellemzők közül egynek vagy többnek a javítása révén: termelési képességek, készségek, versenyképesség, tudás- és te</w:t>
            </w:r>
            <w:r>
              <w:rPr>
                <w:noProof/>
              </w:rPr>
              <w:t>chnológiatranszfer, nemzetközi dimenzió.</w:t>
            </w:r>
          </w:p>
        </w:tc>
      </w:tr>
      <w:tr w:rsidR="003E1D81" w14:paraId="1C5EFDF2" w14:textId="77777777">
        <w:trPr>
          <w:trHeight w:val="309"/>
        </w:trPr>
        <w:tc>
          <w:tcPr>
            <w:tcW w:w="709" w:type="dxa"/>
            <w:shd w:val="clear" w:color="auto" w:fill="C6EFCE"/>
            <w:noWrap/>
          </w:tcPr>
          <w:p w14:paraId="4B9E354E" w14:textId="77777777" w:rsidR="003E1D81" w:rsidRDefault="00EB481C">
            <w:pPr>
              <w:pStyle w:val="P68B1DB1-Normal13"/>
              <w:spacing w:after="0" w:line="240" w:lineRule="auto"/>
              <w:jc w:val="center"/>
              <w:rPr>
                <w:rFonts w:eastAsia="Symbol" w:cs="Times New Roman"/>
                <w:noProof/>
              </w:rPr>
            </w:pPr>
            <w:r>
              <w:rPr>
                <w:noProof/>
              </w:rPr>
              <w:t>132</w:t>
            </w:r>
          </w:p>
        </w:tc>
        <w:tc>
          <w:tcPr>
            <w:tcW w:w="851" w:type="dxa"/>
            <w:shd w:val="clear" w:color="auto" w:fill="C6EFCE"/>
            <w:noWrap/>
          </w:tcPr>
          <w:p w14:paraId="2535655F" w14:textId="77777777" w:rsidR="003E1D81" w:rsidRDefault="00EB481C">
            <w:pPr>
              <w:pStyle w:val="P68B1DB1-Normal13"/>
              <w:spacing w:after="0" w:line="240" w:lineRule="auto"/>
              <w:jc w:val="center"/>
              <w:rPr>
                <w:rFonts w:eastAsia="Symbol" w:cs="Times New Roman"/>
                <w:noProof/>
              </w:rPr>
            </w:pPr>
            <w:r>
              <w:rPr>
                <w:noProof/>
              </w:rPr>
              <w:t>C9.I1</w:t>
            </w:r>
          </w:p>
        </w:tc>
        <w:tc>
          <w:tcPr>
            <w:tcW w:w="850" w:type="dxa"/>
            <w:shd w:val="clear" w:color="auto" w:fill="C6EFCE"/>
            <w:noWrap/>
          </w:tcPr>
          <w:p w14:paraId="5E71A530" w14:textId="77777777" w:rsidR="003E1D81" w:rsidRDefault="00EB481C">
            <w:pPr>
              <w:pStyle w:val="P68B1DB1-Normal13"/>
              <w:spacing w:after="0" w:line="240" w:lineRule="auto"/>
              <w:jc w:val="center"/>
              <w:rPr>
                <w:rFonts w:eastAsia="Symbol" w:cs="Times New Roman"/>
                <w:noProof/>
              </w:rPr>
            </w:pPr>
            <w:r>
              <w:rPr>
                <w:noProof/>
              </w:rPr>
              <w:t>T</w:t>
            </w:r>
          </w:p>
        </w:tc>
        <w:tc>
          <w:tcPr>
            <w:tcW w:w="1560" w:type="dxa"/>
            <w:shd w:val="clear" w:color="auto" w:fill="C6EFCE"/>
            <w:noWrap/>
          </w:tcPr>
          <w:p w14:paraId="281138A0" w14:textId="77777777" w:rsidR="003E1D81" w:rsidRDefault="00EB481C">
            <w:pPr>
              <w:pStyle w:val="P68B1DB1-Normal13"/>
              <w:spacing w:after="0" w:line="240" w:lineRule="auto"/>
              <w:rPr>
                <w:rFonts w:eastAsia="Symbol" w:cs="Times New Roman"/>
                <w:noProof/>
              </w:rPr>
            </w:pPr>
            <w:r>
              <w:rPr>
                <w:noProof/>
              </w:rPr>
              <w:t xml:space="preserve">Technológiai fejlesztések a megújuló hidrogén értékláncában </w:t>
            </w:r>
          </w:p>
        </w:tc>
        <w:tc>
          <w:tcPr>
            <w:tcW w:w="1275" w:type="dxa"/>
            <w:shd w:val="clear" w:color="auto" w:fill="C6EFCE"/>
            <w:noWrap/>
          </w:tcPr>
          <w:p w14:paraId="03EFCA41" w14:textId="77777777" w:rsidR="003E1D81" w:rsidRDefault="003E1D81">
            <w:pPr>
              <w:spacing w:after="0" w:line="240" w:lineRule="auto"/>
              <w:jc w:val="center"/>
              <w:rPr>
                <w:rFonts w:ascii="Times New Roman" w:eastAsia="Symbol" w:hAnsi="Times New Roman" w:cs="Times New Roman"/>
                <w:noProof/>
                <w:sz w:val="18"/>
              </w:rPr>
            </w:pPr>
          </w:p>
        </w:tc>
        <w:tc>
          <w:tcPr>
            <w:tcW w:w="851" w:type="dxa"/>
            <w:shd w:val="clear" w:color="auto" w:fill="C6EFCE"/>
            <w:noWrap/>
          </w:tcPr>
          <w:p w14:paraId="4FA49C9E" w14:textId="77777777" w:rsidR="003E1D81" w:rsidRDefault="00EB481C">
            <w:pPr>
              <w:pStyle w:val="P68B1DB1-Normal13"/>
              <w:spacing w:after="0" w:line="240" w:lineRule="auto"/>
              <w:jc w:val="center"/>
              <w:rPr>
                <w:rFonts w:eastAsia="Symbol" w:cs="Times New Roman"/>
                <w:noProof/>
              </w:rPr>
            </w:pPr>
            <w:r>
              <w:rPr>
                <w:noProof/>
              </w:rPr>
              <w:t>Szám</w:t>
            </w:r>
          </w:p>
        </w:tc>
        <w:tc>
          <w:tcPr>
            <w:tcW w:w="567" w:type="dxa"/>
            <w:shd w:val="clear" w:color="auto" w:fill="C6EFCE"/>
            <w:noWrap/>
          </w:tcPr>
          <w:p w14:paraId="1FAB9ECC" w14:textId="77777777" w:rsidR="003E1D81" w:rsidRDefault="00EB481C">
            <w:pPr>
              <w:pStyle w:val="P68B1DB1-Normal13"/>
              <w:spacing w:after="0" w:line="240" w:lineRule="auto"/>
              <w:jc w:val="center"/>
              <w:rPr>
                <w:rFonts w:eastAsia="Symbol" w:cs="Times New Roman"/>
                <w:noProof/>
              </w:rPr>
            </w:pPr>
            <w:r>
              <w:rPr>
                <w:noProof/>
              </w:rPr>
              <w:t>0</w:t>
            </w:r>
          </w:p>
        </w:tc>
        <w:tc>
          <w:tcPr>
            <w:tcW w:w="567" w:type="dxa"/>
            <w:shd w:val="clear" w:color="auto" w:fill="C6EFCE"/>
            <w:noWrap/>
          </w:tcPr>
          <w:p w14:paraId="1D0ADF7A" w14:textId="77777777" w:rsidR="003E1D81" w:rsidRDefault="00EB481C">
            <w:pPr>
              <w:pStyle w:val="P68B1DB1-Normal13"/>
              <w:spacing w:after="0" w:line="240" w:lineRule="auto"/>
              <w:jc w:val="center"/>
              <w:rPr>
                <w:rFonts w:eastAsia="Symbol" w:cs="Times New Roman"/>
                <w:noProof/>
              </w:rPr>
            </w:pPr>
            <w:r>
              <w:rPr>
                <w:noProof/>
              </w:rPr>
              <w:t>5</w:t>
            </w:r>
          </w:p>
        </w:tc>
        <w:tc>
          <w:tcPr>
            <w:tcW w:w="425" w:type="dxa"/>
            <w:shd w:val="clear" w:color="auto" w:fill="C6EFCE"/>
            <w:noWrap/>
          </w:tcPr>
          <w:p w14:paraId="12684B35"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0E6A961E" w14:textId="77777777" w:rsidR="003E1D81" w:rsidRDefault="00EB481C">
            <w:pPr>
              <w:pStyle w:val="P68B1DB1-Normal13"/>
              <w:spacing w:after="0" w:line="240" w:lineRule="auto"/>
              <w:jc w:val="center"/>
              <w:rPr>
                <w:rFonts w:eastAsia="Symbol" w:cs="Times New Roman"/>
                <w:noProof/>
              </w:rPr>
            </w:pPr>
            <w:r>
              <w:rPr>
                <w:noProof/>
              </w:rPr>
              <w:t>2023</w:t>
            </w:r>
          </w:p>
        </w:tc>
        <w:tc>
          <w:tcPr>
            <w:tcW w:w="7088" w:type="dxa"/>
            <w:shd w:val="clear" w:color="auto" w:fill="C6EFCE"/>
            <w:noWrap/>
          </w:tcPr>
          <w:p w14:paraId="58CA16E2" w14:textId="77777777" w:rsidR="003E1D81" w:rsidRDefault="00EB481C">
            <w:pPr>
              <w:pStyle w:val="P68B1DB1-Normal13"/>
              <w:spacing w:after="0" w:line="240" w:lineRule="auto"/>
              <w:jc w:val="both"/>
              <w:rPr>
                <w:rFonts w:eastAsia="Symbol" w:cs="Times New Roman"/>
                <w:noProof/>
              </w:rPr>
            </w:pPr>
            <w:r>
              <w:rPr>
                <w:noProof/>
              </w:rPr>
              <w:t xml:space="preserve">Legalább öt technológiai fejlesztés vagy prototípus finanszírozása a megújuló hidrogén értékláncában. Ezek (például </w:t>
            </w:r>
            <w:r>
              <w:rPr>
                <w:noProof/>
              </w:rPr>
              <w:t>elektrolizátorok, kompresszorok, tárolóedények, üzemanyagcellák és hidrogénalapú közlekedési rendszerek) magukban foglalhatnak „első” fejlesztéseket, amelyek lehetővé teszik a gyártáshoz, a logisztikához és a hidrogénfogyasztáshoz kapcsolódó új, korszerűsí</w:t>
            </w:r>
            <w:r>
              <w:rPr>
                <w:noProof/>
              </w:rPr>
              <w:t>tett tervezés vagy prototípus validálását.</w:t>
            </w:r>
          </w:p>
        </w:tc>
      </w:tr>
      <w:tr w:rsidR="003E1D81" w14:paraId="13C14E05" w14:textId="77777777">
        <w:trPr>
          <w:trHeight w:val="309"/>
        </w:trPr>
        <w:tc>
          <w:tcPr>
            <w:tcW w:w="709" w:type="dxa"/>
            <w:shd w:val="clear" w:color="auto" w:fill="C6EFCE"/>
            <w:noWrap/>
          </w:tcPr>
          <w:p w14:paraId="4F1384E9" w14:textId="77777777" w:rsidR="003E1D81" w:rsidRDefault="00EB481C">
            <w:pPr>
              <w:pStyle w:val="P68B1DB1-Normal13"/>
              <w:spacing w:after="0" w:line="240" w:lineRule="auto"/>
              <w:jc w:val="center"/>
              <w:rPr>
                <w:rFonts w:cs="Times New Roman"/>
                <w:noProof/>
              </w:rPr>
            </w:pPr>
            <w:r>
              <w:rPr>
                <w:noProof/>
              </w:rPr>
              <w:t>133</w:t>
            </w:r>
          </w:p>
        </w:tc>
        <w:tc>
          <w:tcPr>
            <w:tcW w:w="851" w:type="dxa"/>
            <w:shd w:val="clear" w:color="auto" w:fill="C6EFCE"/>
            <w:noWrap/>
          </w:tcPr>
          <w:p w14:paraId="3A6C49DB" w14:textId="77777777" w:rsidR="003E1D81" w:rsidRDefault="00EB481C">
            <w:pPr>
              <w:pStyle w:val="P68B1DB1-Normal13"/>
              <w:spacing w:after="0" w:line="240" w:lineRule="auto"/>
              <w:jc w:val="center"/>
              <w:rPr>
                <w:rFonts w:cs="Times New Roman"/>
                <w:noProof/>
              </w:rPr>
            </w:pPr>
            <w:r>
              <w:rPr>
                <w:noProof/>
              </w:rPr>
              <w:t>C9.I1</w:t>
            </w:r>
          </w:p>
        </w:tc>
        <w:tc>
          <w:tcPr>
            <w:tcW w:w="850" w:type="dxa"/>
            <w:shd w:val="clear" w:color="auto" w:fill="C6EFCE"/>
            <w:noWrap/>
          </w:tcPr>
          <w:p w14:paraId="1F655EAE" w14:textId="77777777" w:rsidR="003E1D81" w:rsidRDefault="00EB481C">
            <w:pPr>
              <w:pStyle w:val="P68B1DB1-Normal13"/>
              <w:spacing w:after="0" w:line="240" w:lineRule="auto"/>
              <w:jc w:val="center"/>
              <w:rPr>
                <w:rFonts w:cs="Times New Roman"/>
                <w:noProof/>
              </w:rPr>
            </w:pPr>
            <w:r>
              <w:rPr>
                <w:noProof/>
              </w:rPr>
              <w:t>T</w:t>
            </w:r>
          </w:p>
        </w:tc>
        <w:tc>
          <w:tcPr>
            <w:tcW w:w="1560" w:type="dxa"/>
            <w:shd w:val="clear" w:color="auto" w:fill="C6EFCE"/>
            <w:noWrap/>
          </w:tcPr>
          <w:p w14:paraId="6C0D95C0" w14:textId="77777777" w:rsidR="003E1D81" w:rsidRDefault="00EB481C">
            <w:pPr>
              <w:pStyle w:val="P68B1DB1-Normal13"/>
              <w:spacing w:after="0" w:line="240" w:lineRule="auto"/>
              <w:rPr>
                <w:rFonts w:cs="Times New Roman"/>
                <w:noProof/>
              </w:rPr>
            </w:pPr>
            <w:r>
              <w:rPr>
                <w:noProof/>
              </w:rPr>
              <w:t xml:space="preserve">Megújuló hidrogén klaszterek (vagy völgyek)  </w:t>
            </w:r>
          </w:p>
        </w:tc>
        <w:tc>
          <w:tcPr>
            <w:tcW w:w="1275" w:type="dxa"/>
            <w:shd w:val="clear" w:color="auto" w:fill="C6EFCE"/>
            <w:noWrap/>
          </w:tcPr>
          <w:p w14:paraId="5F96A722" w14:textId="77777777" w:rsidR="003E1D81" w:rsidRDefault="003E1D81">
            <w:pPr>
              <w:spacing w:after="0" w:line="240" w:lineRule="auto"/>
              <w:jc w:val="center"/>
              <w:rPr>
                <w:rFonts w:ascii="Times New Roman" w:hAnsi="Times New Roman" w:cs="Times New Roman"/>
                <w:noProof/>
                <w:sz w:val="18"/>
              </w:rPr>
            </w:pPr>
          </w:p>
        </w:tc>
        <w:tc>
          <w:tcPr>
            <w:tcW w:w="851" w:type="dxa"/>
            <w:shd w:val="clear" w:color="auto" w:fill="C6EFCE"/>
            <w:noWrap/>
          </w:tcPr>
          <w:p w14:paraId="0EE310A7" w14:textId="77777777" w:rsidR="003E1D81" w:rsidRDefault="00EB481C">
            <w:pPr>
              <w:pStyle w:val="P68B1DB1-Normal13"/>
              <w:spacing w:after="0" w:line="240" w:lineRule="auto"/>
              <w:jc w:val="center"/>
              <w:rPr>
                <w:rFonts w:cs="Times New Roman"/>
                <w:noProof/>
              </w:rPr>
            </w:pPr>
            <w:r>
              <w:rPr>
                <w:noProof/>
              </w:rPr>
              <w:t>Szám</w:t>
            </w:r>
          </w:p>
        </w:tc>
        <w:tc>
          <w:tcPr>
            <w:tcW w:w="567" w:type="dxa"/>
            <w:shd w:val="clear" w:color="auto" w:fill="C6EFCE"/>
            <w:noWrap/>
          </w:tcPr>
          <w:p w14:paraId="35306EB0" w14:textId="77777777" w:rsidR="003E1D81" w:rsidRDefault="00EB481C">
            <w:pPr>
              <w:pStyle w:val="P68B1DB1-Normal13"/>
              <w:spacing w:after="0" w:line="240" w:lineRule="auto"/>
              <w:jc w:val="center"/>
              <w:rPr>
                <w:rFonts w:cs="Times New Roman"/>
                <w:noProof/>
              </w:rPr>
            </w:pPr>
            <w:r>
              <w:rPr>
                <w:noProof/>
              </w:rPr>
              <w:t>0</w:t>
            </w:r>
          </w:p>
        </w:tc>
        <w:tc>
          <w:tcPr>
            <w:tcW w:w="567" w:type="dxa"/>
            <w:shd w:val="clear" w:color="auto" w:fill="C6EFCE"/>
            <w:noWrap/>
          </w:tcPr>
          <w:p w14:paraId="78E884CA" w14:textId="77777777" w:rsidR="003E1D81" w:rsidRDefault="00EB481C">
            <w:pPr>
              <w:pStyle w:val="P68B1DB1-Normal13"/>
              <w:spacing w:after="0" w:line="240" w:lineRule="auto"/>
              <w:jc w:val="center"/>
              <w:rPr>
                <w:rFonts w:cs="Times New Roman"/>
                <w:noProof/>
              </w:rPr>
            </w:pPr>
            <w:r>
              <w:rPr>
                <w:noProof/>
              </w:rPr>
              <w:t>2</w:t>
            </w:r>
          </w:p>
        </w:tc>
        <w:tc>
          <w:tcPr>
            <w:tcW w:w="425" w:type="dxa"/>
            <w:shd w:val="clear" w:color="auto" w:fill="C6EFCE"/>
            <w:noWrap/>
          </w:tcPr>
          <w:p w14:paraId="755C47E4"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57AA7494" w14:textId="77777777" w:rsidR="003E1D81" w:rsidRDefault="00EB481C">
            <w:pPr>
              <w:pStyle w:val="P68B1DB1-Normal13"/>
              <w:spacing w:after="0" w:line="240" w:lineRule="auto"/>
              <w:jc w:val="center"/>
              <w:rPr>
                <w:rFonts w:cs="Times New Roman"/>
                <w:noProof/>
              </w:rPr>
            </w:pPr>
            <w:r>
              <w:rPr>
                <w:noProof/>
              </w:rPr>
              <w:t>2023</w:t>
            </w:r>
          </w:p>
        </w:tc>
        <w:tc>
          <w:tcPr>
            <w:tcW w:w="7088" w:type="dxa"/>
            <w:shd w:val="clear" w:color="auto" w:fill="C6EFCE"/>
            <w:noWrap/>
          </w:tcPr>
          <w:p w14:paraId="4ECB08D3" w14:textId="77777777" w:rsidR="003E1D81" w:rsidRDefault="00EB481C">
            <w:pPr>
              <w:pStyle w:val="P68B1DB1-Normal13"/>
              <w:spacing w:after="0" w:line="240" w:lineRule="auto"/>
              <w:jc w:val="both"/>
              <w:rPr>
                <w:rFonts w:cs="Times New Roman"/>
                <w:noProof/>
              </w:rPr>
            </w:pPr>
            <w:r>
              <w:rPr>
                <w:noProof/>
              </w:rPr>
              <w:t xml:space="preserve">Legalább két megújulóhidrogén-klaszter (vagy völgy) a finanszírozott ágazati integrációhoz. A klaszterek vagy a nagy </w:t>
            </w:r>
            <w:r>
              <w:rPr>
                <w:noProof/>
              </w:rPr>
              <w:t>hidrogénvölgyek helyi szinten koncentrálják és integrálják a megújuló hidrogén kínálatát, elosztását (logisztikáját) és keresletét bizonyos helyeken, a szürke hidrogén és a fosszilis tüzelőanyagok kiszorítása érdekében.</w:t>
            </w:r>
          </w:p>
        </w:tc>
      </w:tr>
      <w:tr w:rsidR="003E1D81" w14:paraId="694ABF21" w14:textId="77777777">
        <w:trPr>
          <w:trHeight w:val="309"/>
        </w:trPr>
        <w:tc>
          <w:tcPr>
            <w:tcW w:w="709" w:type="dxa"/>
            <w:shd w:val="clear" w:color="auto" w:fill="C6EFCE"/>
            <w:noWrap/>
          </w:tcPr>
          <w:p w14:paraId="5E7BE1F9" w14:textId="77777777" w:rsidR="003E1D81" w:rsidRDefault="00EB481C">
            <w:pPr>
              <w:pStyle w:val="P68B1DB1-Normal13"/>
              <w:spacing w:after="0" w:line="240" w:lineRule="auto"/>
              <w:jc w:val="center"/>
              <w:rPr>
                <w:rFonts w:cs="Times New Roman"/>
                <w:noProof/>
              </w:rPr>
            </w:pPr>
            <w:r>
              <w:rPr>
                <w:noProof/>
              </w:rPr>
              <w:t>134</w:t>
            </w:r>
          </w:p>
        </w:tc>
        <w:tc>
          <w:tcPr>
            <w:tcW w:w="851" w:type="dxa"/>
            <w:shd w:val="clear" w:color="auto" w:fill="C6EFCE"/>
            <w:noWrap/>
          </w:tcPr>
          <w:p w14:paraId="6E05B520" w14:textId="77777777" w:rsidR="003E1D81" w:rsidRDefault="00EB481C">
            <w:pPr>
              <w:pStyle w:val="P68B1DB1-Normal13"/>
              <w:spacing w:after="0" w:line="240" w:lineRule="auto"/>
              <w:jc w:val="center"/>
              <w:rPr>
                <w:rFonts w:cs="Times New Roman"/>
                <w:noProof/>
              </w:rPr>
            </w:pPr>
            <w:r>
              <w:rPr>
                <w:noProof/>
              </w:rPr>
              <w:t>C9.I1</w:t>
            </w:r>
          </w:p>
        </w:tc>
        <w:tc>
          <w:tcPr>
            <w:tcW w:w="850" w:type="dxa"/>
            <w:shd w:val="clear" w:color="auto" w:fill="C6EFCE"/>
            <w:noWrap/>
          </w:tcPr>
          <w:p w14:paraId="3557F291" w14:textId="77777777" w:rsidR="003E1D81" w:rsidRDefault="00EB481C">
            <w:pPr>
              <w:pStyle w:val="P68B1DB1-Normal13"/>
              <w:spacing w:after="0" w:line="240" w:lineRule="auto"/>
              <w:jc w:val="center"/>
              <w:rPr>
                <w:rFonts w:cs="Times New Roman"/>
                <w:noProof/>
              </w:rPr>
            </w:pPr>
            <w:r>
              <w:rPr>
                <w:noProof/>
              </w:rPr>
              <w:t>T</w:t>
            </w:r>
          </w:p>
        </w:tc>
        <w:tc>
          <w:tcPr>
            <w:tcW w:w="1560" w:type="dxa"/>
            <w:shd w:val="clear" w:color="auto" w:fill="C6EFCE"/>
            <w:noWrap/>
          </w:tcPr>
          <w:p w14:paraId="5ED82443" w14:textId="77777777" w:rsidR="003E1D81" w:rsidRDefault="00EB481C">
            <w:pPr>
              <w:pStyle w:val="P68B1DB1-Normal13"/>
              <w:spacing w:after="0" w:line="240" w:lineRule="auto"/>
              <w:jc w:val="both"/>
              <w:rPr>
                <w:rFonts w:cs="Times New Roman"/>
                <w:noProof/>
              </w:rPr>
            </w:pPr>
            <w:r>
              <w:rPr>
                <w:noProof/>
              </w:rPr>
              <w:t xml:space="preserve">Úttörő hidrogénprojektek  </w:t>
            </w:r>
          </w:p>
        </w:tc>
        <w:tc>
          <w:tcPr>
            <w:tcW w:w="1275" w:type="dxa"/>
            <w:shd w:val="clear" w:color="auto" w:fill="C6EFCE"/>
            <w:noWrap/>
          </w:tcPr>
          <w:p w14:paraId="5B95CD12" w14:textId="77777777" w:rsidR="003E1D81" w:rsidRDefault="003E1D81">
            <w:pPr>
              <w:spacing w:after="0" w:line="240" w:lineRule="auto"/>
              <w:jc w:val="center"/>
              <w:rPr>
                <w:rFonts w:ascii="Times New Roman" w:hAnsi="Times New Roman" w:cs="Times New Roman"/>
                <w:noProof/>
                <w:sz w:val="18"/>
              </w:rPr>
            </w:pPr>
          </w:p>
        </w:tc>
        <w:tc>
          <w:tcPr>
            <w:tcW w:w="851" w:type="dxa"/>
            <w:shd w:val="clear" w:color="auto" w:fill="C6EFCE"/>
            <w:noWrap/>
          </w:tcPr>
          <w:p w14:paraId="3BC66541" w14:textId="77777777" w:rsidR="003E1D81" w:rsidRDefault="00EB481C">
            <w:pPr>
              <w:pStyle w:val="P68B1DB1-Normal13"/>
              <w:spacing w:after="0" w:line="240" w:lineRule="auto"/>
              <w:jc w:val="center"/>
              <w:rPr>
                <w:rFonts w:cs="Times New Roman"/>
                <w:noProof/>
              </w:rPr>
            </w:pPr>
            <w:r>
              <w:rPr>
                <w:noProof/>
              </w:rPr>
              <w:t>Szám</w:t>
            </w:r>
          </w:p>
        </w:tc>
        <w:tc>
          <w:tcPr>
            <w:tcW w:w="567" w:type="dxa"/>
            <w:shd w:val="clear" w:color="auto" w:fill="C6EFCE"/>
            <w:noWrap/>
          </w:tcPr>
          <w:p w14:paraId="2EAC5A90" w14:textId="77777777" w:rsidR="003E1D81" w:rsidRDefault="00EB481C">
            <w:pPr>
              <w:pStyle w:val="P68B1DB1-Normal13"/>
              <w:spacing w:after="0" w:line="240" w:lineRule="auto"/>
              <w:jc w:val="center"/>
              <w:rPr>
                <w:rFonts w:cs="Times New Roman"/>
                <w:noProof/>
              </w:rPr>
            </w:pPr>
            <w:r>
              <w:rPr>
                <w:noProof/>
              </w:rPr>
              <w:t>0</w:t>
            </w:r>
          </w:p>
        </w:tc>
        <w:tc>
          <w:tcPr>
            <w:tcW w:w="567" w:type="dxa"/>
            <w:shd w:val="clear" w:color="auto" w:fill="C6EFCE"/>
            <w:noWrap/>
          </w:tcPr>
          <w:p w14:paraId="3E1FE5D4" w14:textId="77777777" w:rsidR="003E1D81" w:rsidRDefault="00EB481C">
            <w:pPr>
              <w:pStyle w:val="P68B1DB1-Normal13"/>
              <w:spacing w:after="0" w:line="240" w:lineRule="auto"/>
              <w:jc w:val="center"/>
              <w:rPr>
                <w:rFonts w:cs="Times New Roman"/>
                <w:noProof/>
              </w:rPr>
            </w:pPr>
            <w:r>
              <w:rPr>
                <w:noProof/>
              </w:rPr>
              <w:t>10</w:t>
            </w:r>
          </w:p>
        </w:tc>
        <w:tc>
          <w:tcPr>
            <w:tcW w:w="425" w:type="dxa"/>
            <w:shd w:val="clear" w:color="auto" w:fill="C6EFCE"/>
            <w:noWrap/>
          </w:tcPr>
          <w:p w14:paraId="1B37B511"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5D5D93FA" w14:textId="77777777" w:rsidR="003E1D81" w:rsidRDefault="00EB481C">
            <w:pPr>
              <w:pStyle w:val="P68B1DB1-Normal13"/>
              <w:spacing w:after="0" w:line="240" w:lineRule="auto"/>
              <w:jc w:val="center"/>
              <w:rPr>
                <w:rFonts w:cs="Times New Roman"/>
                <w:noProof/>
              </w:rPr>
            </w:pPr>
            <w:r>
              <w:rPr>
                <w:noProof/>
              </w:rPr>
              <w:t>2023</w:t>
            </w:r>
          </w:p>
        </w:tc>
        <w:tc>
          <w:tcPr>
            <w:tcW w:w="7088" w:type="dxa"/>
            <w:shd w:val="clear" w:color="auto" w:fill="C6EFCE"/>
            <w:noWrap/>
          </w:tcPr>
          <w:p w14:paraId="15C23AD9" w14:textId="77777777" w:rsidR="003E1D81" w:rsidRDefault="00EB481C">
            <w:pPr>
              <w:pStyle w:val="P68B1DB1-Normal13"/>
              <w:spacing w:after="0" w:line="240" w:lineRule="auto"/>
              <w:jc w:val="both"/>
              <w:rPr>
                <w:rFonts w:cs="Times New Roman"/>
                <w:noProof/>
              </w:rPr>
            </w:pPr>
            <w:r>
              <w:rPr>
                <w:noProof/>
              </w:rPr>
              <w:t>Legalább tíz úttörő projekt finanszírozása. Ezek közé tartoznak a megújuló hidrogénnek a klaszterektől eltérő helyszíneken történő előállítását, forgalmazását és fogyasztását magukban foglaló integrált pr</w:t>
            </w:r>
            <w:r>
              <w:rPr>
                <w:noProof/>
              </w:rPr>
              <w:t>ojektek. A projektek magukban foglalhatják más szükséges tevékenységek, például a tudásalapú kutatás és kapacitás integrálását is.</w:t>
            </w:r>
          </w:p>
        </w:tc>
      </w:tr>
      <w:tr w:rsidR="003E1D81" w14:paraId="1FCD4E4E" w14:textId="77777777">
        <w:trPr>
          <w:trHeight w:val="309"/>
        </w:trPr>
        <w:tc>
          <w:tcPr>
            <w:tcW w:w="709" w:type="dxa"/>
            <w:shd w:val="clear" w:color="auto" w:fill="C6EFCE"/>
            <w:noWrap/>
          </w:tcPr>
          <w:p w14:paraId="5B7F6EDA" w14:textId="77777777" w:rsidR="003E1D81" w:rsidRDefault="00EB481C">
            <w:pPr>
              <w:pStyle w:val="P68B1DB1-Normal13"/>
              <w:spacing w:after="0" w:line="240" w:lineRule="auto"/>
              <w:jc w:val="center"/>
              <w:rPr>
                <w:rFonts w:cs="Times New Roman"/>
                <w:noProof/>
              </w:rPr>
            </w:pPr>
            <w:r>
              <w:rPr>
                <w:noProof/>
              </w:rPr>
              <w:t>135</w:t>
            </w:r>
          </w:p>
        </w:tc>
        <w:tc>
          <w:tcPr>
            <w:tcW w:w="851" w:type="dxa"/>
            <w:shd w:val="clear" w:color="auto" w:fill="C6EFCE"/>
            <w:noWrap/>
          </w:tcPr>
          <w:p w14:paraId="662347B1" w14:textId="77777777" w:rsidR="003E1D81" w:rsidRDefault="00EB481C">
            <w:pPr>
              <w:pStyle w:val="P68B1DB1-Normal13"/>
              <w:spacing w:after="0" w:line="240" w:lineRule="auto"/>
              <w:jc w:val="center"/>
              <w:rPr>
                <w:rFonts w:cs="Times New Roman"/>
                <w:noProof/>
              </w:rPr>
            </w:pPr>
            <w:r>
              <w:rPr>
                <w:noProof/>
              </w:rPr>
              <w:t>C9.I1</w:t>
            </w:r>
          </w:p>
        </w:tc>
        <w:tc>
          <w:tcPr>
            <w:tcW w:w="850" w:type="dxa"/>
            <w:shd w:val="clear" w:color="auto" w:fill="C6EFCE"/>
            <w:noWrap/>
          </w:tcPr>
          <w:p w14:paraId="3330C96E" w14:textId="77777777" w:rsidR="003E1D81" w:rsidRDefault="00EB481C">
            <w:pPr>
              <w:pStyle w:val="P68B1DB1-Normal13"/>
              <w:spacing w:after="0" w:line="240" w:lineRule="auto"/>
              <w:jc w:val="center"/>
              <w:rPr>
                <w:rFonts w:cs="Times New Roman"/>
                <w:noProof/>
              </w:rPr>
            </w:pPr>
            <w:r>
              <w:rPr>
                <w:noProof/>
              </w:rPr>
              <w:t>T</w:t>
            </w:r>
          </w:p>
        </w:tc>
        <w:tc>
          <w:tcPr>
            <w:tcW w:w="1560" w:type="dxa"/>
            <w:shd w:val="clear" w:color="auto" w:fill="C6EFCE"/>
            <w:noWrap/>
          </w:tcPr>
          <w:p w14:paraId="447F5240" w14:textId="77777777" w:rsidR="003E1D81" w:rsidRDefault="00EB481C">
            <w:pPr>
              <w:pStyle w:val="P68B1DB1-Normal13"/>
              <w:spacing w:after="0" w:line="240" w:lineRule="auto"/>
              <w:jc w:val="both"/>
              <w:rPr>
                <w:rFonts w:cs="Times New Roman"/>
                <w:noProof/>
              </w:rPr>
            </w:pPr>
            <w:r>
              <w:rPr>
                <w:noProof/>
              </w:rPr>
              <w:t>Vizsgálati létesítmények vagy új gyártósorok.</w:t>
            </w:r>
          </w:p>
        </w:tc>
        <w:tc>
          <w:tcPr>
            <w:tcW w:w="1275" w:type="dxa"/>
            <w:shd w:val="clear" w:color="auto" w:fill="C6EFCE"/>
            <w:noWrap/>
          </w:tcPr>
          <w:p w14:paraId="5220BBB2" w14:textId="77777777" w:rsidR="003E1D81" w:rsidRDefault="003E1D81">
            <w:pPr>
              <w:spacing w:after="0" w:line="240" w:lineRule="auto"/>
              <w:jc w:val="center"/>
              <w:rPr>
                <w:rFonts w:ascii="Times New Roman" w:hAnsi="Times New Roman" w:cs="Times New Roman"/>
                <w:noProof/>
                <w:sz w:val="18"/>
              </w:rPr>
            </w:pPr>
          </w:p>
        </w:tc>
        <w:tc>
          <w:tcPr>
            <w:tcW w:w="851" w:type="dxa"/>
            <w:shd w:val="clear" w:color="auto" w:fill="C6EFCE"/>
            <w:noWrap/>
          </w:tcPr>
          <w:p w14:paraId="0AFFA88C" w14:textId="77777777" w:rsidR="003E1D81" w:rsidRDefault="00EB481C">
            <w:pPr>
              <w:pStyle w:val="P68B1DB1-Normal13"/>
              <w:spacing w:after="0" w:line="240" w:lineRule="auto"/>
              <w:jc w:val="center"/>
              <w:rPr>
                <w:rFonts w:cs="Times New Roman"/>
                <w:noProof/>
              </w:rPr>
            </w:pPr>
            <w:r>
              <w:rPr>
                <w:noProof/>
              </w:rPr>
              <w:t>Szám</w:t>
            </w:r>
          </w:p>
        </w:tc>
        <w:tc>
          <w:tcPr>
            <w:tcW w:w="567" w:type="dxa"/>
            <w:shd w:val="clear" w:color="auto" w:fill="C6EFCE"/>
            <w:noWrap/>
          </w:tcPr>
          <w:p w14:paraId="26EE7DBF" w14:textId="77777777" w:rsidR="003E1D81" w:rsidRDefault="00EB481C">
            <w:pPr>
              <w:pStyle w:val="P68B1DB1-Normal13"/>
              <w:spacing w:after="0" w:line="240" w:lineRule="auto"/>
              <w:jc w:val="center"/>
              <w:rPr>
                <w:rFonts w:cs="Times New Roman"/>
                <w:noProof/>
              </w:rPr>
            </w:pPr>
            <w:r>
              <w:rPr>
                <w:noProof/>
              </w:rPr>
              <w:t>0</w:t>
            </w:r>
          </w:p>
        </w:tc>
        <w:tc>
          <w:tcPr>
            <w:tcW w:w="567" w:type="dxa"/>
            <w:shd w:val="clear" w:color="auto" w:fill="C6EFCE"/>
            <w:noWrap/>
          </w:tcPr>
          <w:p w14:paraId="31830EAB" w14:textId="77777777" w:rsidR="003E1D81" w:rsidRDefault="00EB481C">
            <w:pPr>
              <w:pStyle w:val="P68B1DB1-Normal13"/>
              <w:spacing w:after="0" w:line="240" w:lineRule="auto"/>
              <w:jc w:val="center"/>
              <w:rPr>
                <w:rFonts w:cs="Times New Roman"/>
                <w:noProof/>
              </w:rPr>
            </w:pPr>
            <w:r>
              <w:rPr>
                <w:noProof/>
              </w:rPr>
              <w:t>10</w:t>
            </w:r>
          </w:p>
        </w:tc>
        <w:tc>
          <w:tcPr>
            <w:tcW w:w="425" w:type="dxa"/>
            <w:shd w:val="clear" w:color="auto" w:fill="C6EFCE"/>
            <w:noWrap/>
          </w:tcPr>
          <w:p w14:paraId="2B258E0F"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53ECD6F9" w14:textId="77777777" w:rsidR="003E1D81" w:rsidRDefault="00EB481C">
            <w:pPr>
              <w:pStyle w:val="P68B1DB1-Normal13"/>
              <w:spacing w:after="0" w:line="240" w:lineRule="auto"/>
              <w:jc w:val="center"/>
              <w:rPr>
                <w:rFonts w:cs="Times New Roman"/>
                <w:noProof/>
              </w:rPr>
            </w:pPr>
            <w:r>
              <w:rPr>
                <w:noProof/>
              </w:rPr>
              <w:t>2023</w:t>
            </w:r>
          </w:p>
        </w:tc>
        <w:tc>
          <w:tcPr>
            <w:tcW w:w="7088" w:type="dxa"/>
            <w:shd w:val="clear" w:color="auto" w:fill="C6EFCE"/>
            <w:noWrap/>
          </w:tcPr>
          <w:p w14:paraId="56CF1166" w14:textId="77777777" w:rsidR="003E1D81" w:rsidRDefault="00EB481C">
            <w:pPr>
              <w:pStyle w:val="P68B1DB1-Normal13"/>
              <w:spacing w:after="0" w:line="240" w:lineRule="auto"/>
              <w:jc w:val="both"/>
              <w:rPr>
                <w:rFonts w:cs="Times New Roman"/>
                <w:noProof/>
              </w:rPr>
            </w:pPr>
            <w:r>
              <w:rPr>
                <w:noProof/>
              </w:rPr>
              <w:t xml:space="preserve">Legalább tíz finanszírozott beavatkozás, amelyek a vizsgálati létesítmények fejlesztésére vagy új gyártósorok bevezetésére irányulnak. A beavatkozásoknak:  1) a K+F+I-hez kapcsolódó vizsgálólétesítmények vagy laboratóriumok és/vagy kapcsolódó berendezések </w:t>
            </w:r>
            <w:r>
              <w:rPr>
                <w:noProof/>
              </w:rPr>
              <w:t>fejlesztése; vagy 2) a hidrogénnel és üzemanyagcellával kapcsolatos rendszerek, berendezések vagy alkatrészek gyártására szolgáló létesítmények és/vagy új berendezések (például szerszámgépek) vagy technikák beszerzésének javítása.</w:t>
            </w:r>
          </w:p>
        </w:tc>
      </w:tr>
      <w:tr w:rsidR="003E1D81" w14:paraId="6FC9F33E" w14:textId="77777777">
        <w:trPr>
          <w:trHeight w:val="309"/>
        </w:trPr>
        <w:tc>
          <w:tcPr>
            <w:tcW w:w="709" w:type="dxa"/>
            <w:shd w:val="clear" w:color="auto" w:fill="C6EFCE"/>
            <w:noWrap/>
          </w:tcPr>
          <w:p w14:paraId="01BB90B5" w14:textId="77777777" w:rsidR="003E1D81" w:rsidRDefault="00EB481C">
            <w:pPr>
              <w:pStyle w:val="P68B1DB1-Normal13"/>
              <w:spacing w:after="0" w:line="240" w:lineRule="auto"/>
              <w:jc w:val="center"/>
              <w:rPr>
                <w:rFonts w:cs="Times New Roman"/>
                <w:noProof/>
              </w:rPr>
            </w:pPr>
            <w:r>
              <w:rPr>
                <w:noProof/>
              </w:rPr>
              <w:t>136</w:t>
            </w:r>
          </w:p>
        </w:tc>
        <w:tc>
          <w:tcPr>
            <w:tcW w:w="851" w:type="dxa"/>
            <w:shd w:val="clear" w:color="auto" w:fill="C6EFCE"/>
            <w:noWrap/>
          </w:tcPr>
          <w:p w14:paraId="69297731" w14:textId="77777777" w:rsidR="003E1D81" w:rsidRDefault="00EB481C">
            <w:pPr>
              <w:pStyle w:val="P68B1DB1-Normal13"/>
              <w:spacing w:after="0" w:line="240" w:lineRule="auto"/>
              <w:jc w:val="center"/>
              <w:rPr>
                <w:rFonts w:cs="Times New Roman"/>
                <w:noProof/>
              </w:rPr>
            </w:pPr>
            <w:r>
              <w:rPr>
                <w:noProof/>
              </w:rPr>
              <w:t>C9.I1</w:t>
            </w:r>
          </w:p>
        </w:tc>
        <w:tc>
          <w:tcPr>
            <w:tcW w:w="850" w:type="dxa"/>
            <w:shd w:val="clear" w:color="auto" w:fill="C6EFCE"/>
            <w:noWrap/>
          </w:tcPr>
          <w:p w14:paraId="49FACFB9" w14:textId="77777777" w:rsidR="003E1D81" w:rsidRDefault="00EB481C">
            <w:pPr>
              <w:pStyle w:val="P68B1DB1-Normal13"/>
              <w:spacing w:after="0" w:line="240" w:lineRule="auto"/>
              <w:jc w:val="center"/>
              <w:rPr>
                <w:rFonts w:cs="Times New Roman"/>
                <w:noProof/>
              </w:rPr>
            </w:pPr>
            <w:r>
              <w:rPr>
                <w:noProof/>
              </w:rPr>
              <w:t>T</w:t>
            </w:r>
          </w:p>
        </w:tc>
        <w:tc>
          <w:tcPr>
            <w:tcW w:w="1560" w:type="dxa"/>
            <w:shd w:val="clear" w:color="auto" w:fill="C6EFCE"/>
            <w:noWrap/>
          </w:tcPr>
          <w:p w14:paraId="3E33FC8F" w14:textId="77777777" w:rsidR="003E1D81" w:rsidRDefault="00EB481C">
            <w:pPr>
              <w:pStyle w:val="P68B1DB1-Normal13"/>
              <w:spacing w:after="0" w:line="240" w:lineRule="auto"/>
              <w:jc w:val="both"/>
              <w:rPr>
                <w:rFonts w:cs="Times New Roman"/>
                <w:noProof/>
              </w:rPr>
            </w:pPr>
            <w:r>
              <w:rPr>
                <w:noProof/>
              </w:rPr>
              <w:t>Engedélyezett elektrolizátor-kapacitás</w:t>
            </w:r>
          </w:p>
        </w:tc>
        <w:tc>
          <w:tcPr>
            <w:tcW w:w="1275" w:type="dxa"/>
            <w:shd w:val="clear" w:color="auto" w:fill="C6EFCE"/>
            <w:noWrap/>
          </w:tcPr>
          <w:p w14:paraId="13CB595B" w14:textId="77777777" w:rsidR="003E1D81" w:rsidRDefault="003E1D81">
            <w:pPr>
              <w:spacing w:after="0" w:line="240" w:lineRule="auto"/>
              <w:jc w:val="center"/>
              <w:rPr>
                <w:rFonts w:ascii="Times New Roman" w:hAnsi="Times New Roman" w:cs="Times New Roman"/>
                <w:noProof/>
                <w:sz w:val="18"/>
              </w:rPr>
            </w:pPr>
          </w:p>
        </w:tc>
        <w:tc>
          <w:tcPr>
            <w:tcW w:w="851" w:type="dxa"/>
            <w:shd w:val="clear" w:color="auto" w:fill="C6EFCE"/>
            <w:noWrap/>
          </w:tcPr>
          <w:p w14:paraId="541F1B07" w14:textId="77777777" w:rsidR="003E1D81" w:rsidRDefault="00EB481C">
            <w:pPr>
              <w:pStyle w:val="P68B1DB1-Normal13"/>
              <w:spacing w:after="0" w:line="240" w:lineRule="auto"/>
              <w:jc w:val="center"/>
              <w:rPr>
                <w:rFonts w:cs="Times New Roman"/>
                <w:noProof/>
              </w:rPr>
            </w:pPr>
            <w:r>
              <w:rPr>
                <w:noProof/>
              </w:rPr>
              <w:t>Szám</w:t>
            </w:r>
          </w:p>
          <w:p w14:paraId="5F8575A9" w14:textId="77777777" w:rsidR="003E1D81" w:rsidRDefault="00EB481C">
            <w:pPr>
              <w:pStyle w:val="P68B1DB1-Normal13"/>
              <w:spacing w:after="0" w:line="240" w:lineRule="auto"/>
              <w:jc w:val="center"/>
              <w:rPr>
                <w:rFonts w:cs="Times New Roman"/>
                <w:noProof/>
              </w:rPr>
            </w:pPr>
            <w:r>
              <w:rPr>
                <w:noProof/>
              </w:rPr>
              <w:t>(MW)</w:t>
            </w:r>
          </w:p>
        </w:tc>
        <w:tc>
          <w:tcPr>
            <w:tcW w:w="567" w:type="dxa"/>
            <w:shd w:val="clear" w:color="auto" w:fill="C6EFCE"/>
            <w:noWrap/>
          </w:tcPr>
          <w:p w14:paraId="5C0A68D0" w14:textId="77777777" w:rsidR="003E1D81" w:rsidRDefault="00EB481C">
            <w:pPr>
              <w:pStyle w:val="P68B1DB1-Normal13"/>
              <w:spacing w:after="0" w:line="240" w:lineRule="auto"/>
              <w:jc w:val="center"/>
              <w:rPr>
                <w:rFonts w:cs="Times New Roman"/>
                <w:noProof/>
              </w:rPr>
            </w:pPr>
            <w:r>
              <w:rPr>
                <w:noProof/>
              </w:rPr>
              <w:t>0</w:t>
            </w:r>
          </w:p>
        </w:tc>
        <w:tc>
          <w:tcPr>
            <w:tcW w:w="567" w:type="dxa"/>
            <w:shd w:val="clear" w:color="auto" w:fill="C6EFCE"/>
            <w:noWrap/>
          </w:tcPr>
          <w:p w14:paraId="11BB722B" w14:textId="41471449" w:rsidR="003E1D81" w:rsidRDefault="00EB481C">
            <w:pPr>
              <w:pStyle w:val="P68B1DB1-Normal13"/>
              <w:spacing w:after="0" w:line="240" w:lineRule="auto"/>
              <w:jc w:val="center"/>
              <w:rPr>
                <w:rFonts w:cs="Times New Roman"/>
                <w:noProof/>
              </w:rPr>
            </w:pPr>
            <w:r>
              <w:rPr>
                <w:noProof/>
              </w:rPr>
              <w:t>700</w:t>
            </w:r>
          </w:p>
        </w:tc>
        <w:tc>
          <w:tcPr>
            <w:tcW w:w="425" w:type="dxa"/>
            <w:shd w:val="clear" w:color="auto" w:fill="C6EFCE"/>
            <w:noWrap/>
          </w:tcPr>
          <w:p w14:paraId="7EBA18D0"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2EF6E9DD" w14:textId="77777777" w:rsidR="003E1D81" w:rsidRDefault="00EB481C">
            <w:pPr>
              <w:pStyle w:val="P68B1DB1-Normal13"/>
              <w:spacing w:after="0" w:line="240" w:lineRule="auto"/>
              <w:jc w:val="center"/>
              <w:rPr>
                <w:rFonts w:cs="Times New Roman"/>
                <w:noProof/>
              </w:rPr>
            </w:pPr>
            <w:r>
              <w:rPr>
                <w:noProof/>
              </w:rPr>
              <w:t>2026</w:t>
            </w:r>
          </w:p>
        </w:tc>
        <w:tc>
          <w:tcPr>
            <w:tcW w:w="7088" w:type="dxa"/>
            <w:shd w:val="clear" w:color="auto" w:fill="C6EFCE"/>
            <w:noWrap/>
          </w:tcPr>
          <w:p w14:paraId="1AE03AEF" w14:textId="5EE20C7C" w:rsidR="003E1D81" w:rsidRDefault="00EB481C">
            <w:pPr>
              <w:pStyle w:val="P68B1DB1-Normal13"/>
              <w:spacing w:after="0" w:line="240" w:lineRule="auto"/>
              <w:jc w:val="both"/>
              <w:rPr>
                <w:rFonts w:cs="Times New Roman"/>
                <w:noProof/>
              </w:rPr>
            </w:pPr>
            <w:r>
              <w:rPr>
                <w:noProof/>
              </w:rPr>
              <w:t>Legalább 700 MW engedélyezett elektrolizátor-kapacitás, beleértve a kiegészítő infrastruktúrát is. Akkreditáció a következő három eszköz valamelyikével: a megújuló gázok eredetére vonatkoz</w:t>
            </w:r>
            <w:r>
              <w:rPr>
                <w:noProof/>
              </w:rPr>
              <w:t>ó nemzeti garanciarendszer vagy a létesítmény illetékes szerv által kiadott hatósági engedélye vagy a kedvezményezett által megadott végleges beruházási határozat (FID) bejegyzése a nyilvántartásba.</w:t>
            </w:r>
          </w:p>
        </w:tc>
      </w:tr>
    </w:tbl>
    <w:p w14:paraId="6D9C8D39" w14:textId="77777777" w:rsidR="003E1D81" w:rsidRDefault="003E1D81">
      <w:pPr>
        <w:spacing w:before="120" w:after="120" w:line="240" w:lineRule="auto"/>
        <w:ind w:left="709"/>
        <w:jc w:val="both"/>
        <w:rPr>
          <w:rFonts w:ascii="Times New Roman" w:hAnsi="Times New Roman" w:cs="Times New Roman"/>
          <w:noProof/>
          <w:sz w:val="24"/>
        </w:rPr>
      </w:pPr>
    </w:p>
    <w:p w14:paraId="675E05EE" w14:textId="77777777" w:rsidR="003E1D81" w:rsidRDefault="003E1D81">
      <w:pPr>
        <w:spacing w:before="120" w:after="120" w:line="240" w:lineRule="auto"/>
        <w:ind w:left="709"/>
        <w:jc w:val="both"/>
        <w:rPr>
          <w:rFonts w:ascii="Times New Roman" w:hAnsi="Times New Roman" w:cs="Times New Roman"/>
          <w:noProof/>
          <w:sz w:val="24"/>
        </w:rPr>
        <w:sectPr w:rsidR="003E1D81" w:rsidSect="00EB7CC8">
          <w:headerReference w:type="even" r:id="rId204"/>
          <w:headerReference w:type="default" r:id="rId205"/>
          <w:footerReference w:type="even" r:id="rId206"/>
          <w:footerReference w:type="default" r:id="rId207"/>
          <w:headerReference w:type="first" r:id="rId208"/>
          <w:footerReference w:type="first" r:id="rId209"/>
          <w:pgSz w:w="16839" w:h="11907" w:orient="landscape"/>
          <w:pgMar w:top="1417" w:right="1134" w:bottom="1417" w:left="1134" w:header="709" w:footer="709" w:gutter="0"/>
          <w:cols w:space="720"/>
          <w:docGrid w:linePitch="360"/>
        </w:sectPr>
      </w:pPr>
    </w:p>
    <w:p w14:paraId="5B1C3E22" w14:textId="5F2EDB9B" w:rsidR="003E1D81" w:rsidRDefault="00EB481C">
      <w:pPr>
        <w:pStyle w:val="P68B1DB1-Heading12"/>
        <w:rPr>
          <w:rFonts w:cs="Times New Roman"/>
          <w:noProof/>
        </w:rPr>
      </w:pPr>
      <w:r>
        <w:rPr>
          <w:noProof/>
        </w:rPr>
        <w:t>J. 10. ÖSSZETEVŐ: Igazságos átmenet</w:t>
      </w:r>
    </w:p>
    <w:p w14:paraId="5BB6F28A" w14:textId="77777777" w:rsidR="003E1D81" w:rsidRDefault="00EB481C">
      <w:pPr>
        <w:pStyle w:val="P68B1DB1-Normal22"/>
        <w:spacing w:before="120" w:after="120" w:line="240" w:lineRule="auto"/>
        <w:jc w:val="both"/>
        <w:rPr>
          <w:rFonts w:cs="Times New Roman"/>
          <w:noProof/>
        </w:rPr>
      </w:pPr>
      <w:r>
        <w:rPr>
          <w:noProof/>
        </w:rPr>
        <w:t>A spanyol helyreállítási és rezilienciaépítési terv e komponense a szénbányák és a széntüzelésű/atomerőművek bezárása által érintett földrajzi területeken jelentkező gazdasági és társadalmi hatá</w:t>
      </w:r>
      <w:r>
        <w:rPr>
          <w:noProof/>
        </w:rPr>
        <w:t>sokkal foglalkozik, amelyeket tovább súlyosbított a Covid-világjárvány hatása és a hőerőművek bezárása. További cél a termelési modell megváltoztatása és az átalakulás ösztönzése a területek jövőbeli reziliensebb gazdasági és társadalmi modelljének támogat</w:t>
      </w:r>
      <w:r>
        <w:rPr>
          <w:noProof/>
        </w:rPr>
        <w:t>ása érdekében. A stratégiát a Méltányos Átállást Támogató Alap (IÁA) spanyol területi tervével párhuzamosan alakították ki, amelynek célja, hogy szélesebb hatókörű, hosszabb időtartamra szóljon, és stratégiaibb módon összpontosítson a vállalkozásfejlesztés</w:t>
      </w:r>
      <w:r>
        <w:rPr>
          <w:noProof/>
        </w:rPr>
        <w:t>re és -támogatásra.</w:t>
      </w:r>
    </w:p>
    <w:p w14:paraId="6C066958" w14:textId="77777777" w:rsidR="003E1D81" w:rsidRDefault="00EB481C">
      <w:pPr>
        <w:pStyle w:val="P68B1DB1-Normal4"/>
        <w:spacing w:before="120" w:after="120" w:line="240" w:lineRule="auto"/>
        <w:jc w:val="both"/>
        <w:rPr>
          <w:rFonts w:cs="Times New Roman"/>
          <w:noProof/>
        </w:rPr>
      </w:pPr>
      <w:r>
        <w:rPr>
          <w:noProof/>
        </w:rPr>
        <w:t>A komponens hozzájárul a foglalkoztatás támogatásához kapcsolódó országspecifikus ajánlások megvalósításához a munkahelyek megőrzését célzó intézkedések, a munkaerő-felvétel hatékony ösztönzése és a készségfejlesztés révén (2020. évi 2.</w:t>
      </w:r>
      <w:r>
        <w:rPr>
          <w:noProof/>
        </w:rPr>
        <w:t xml:space="preserve"> országspecifikus ajánlás); a zöld átállást előmozdító köz- és magánberuházások előmozdítása (2020. évi 3. országspecifikus ajánlás); valamint a kormányzati szintek közötti együttműködés megerősítése (2019. évi 4. országspecifikus ajánlás).</w:t>
      </w:r>
    </w:p>
    <w:p w14:paraId="4A870DE6" w14:textId="77777777" w:rsidR="003E1D81" w:rsidRDefault="00EB481C">
      <w:pPr>
        <w:pStyle w:val="P68B1DB1-Normal4"/>
        <w:spacing w:before="120" w:after="120" w:line="240" w:lineRule="auto"/>
        <w:jc w:val="both"/>
        <w:rPr>
          <w:rFonts w:cs="Times New Roman"/>
          <w:noProof/>
          <w:shd w:val="clear" w:color="auto" w:fill="FFFFFF"/>
        </w:rPr>
      </w:pPr>
      <w:r>
        <w:rPr>
          <w:noProof/>
        </w:rPr>
        <w:t>A jelentős káro</w:t>
      </w:r>
      <w:r>
        <w:rPr>
          <w:noProof/>
        </w:rPr>
        <w:t>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w:t>
      </w:r>
      <w:r>
        <w:rPr>
          <w:noProof/>
        </w:rPr>
        <w:t>gyelembe véve ebben a komponensben várhatóan egyetlen intézkedés sem sérti jelentős mértékben az (EU) 2020/852 rendelet 17. cikke szerinti környezeti célkitűzéseket.</w:t>
      </w:r>
    </w:p>
    <w:p w14:paraId="42759D05" w14:textId="77777777" w:rsidR="003E1D81" w:rsidRDefault="00EB481C">
      <w:pPr>
        <w:pStyle w:val="P68B1DB1-Normal5"/>
        <w:spacing w:before="120" w:after="120" w:line="240" w:lineRule="auto"/>
        <w:ind w:left="709"/>
        <w:jc w:val="both"/>
        <w:rPr>
          <w:rFonts w:cs="Times New Roman"/>
          <w:i/>
          <w:noProof/>
        </w:rPr>
      </w:pPr>
      <w:r>
        <w:rPr>
          <w:noProof/>
        </w:rPr>
        <w:t xml:space="preserve">J.1. </w:t>
      </w:r>
      <w:r>
        <w:rPr>
          <w:noProof/>
        </w:rPr>
        <w:tab/>
        <w:t>Vissza nem térítendő pénzügyi támogatás – a reformok és beruházások ismertetése</w:t>
      </w:r>
    </w:p>
    <w:p w14:paraId="7BF9F8E3" w14:textId="77777777" w:rsidR="003E1D81" w:rsidRDefault="00EB481C">
      <w:pPr>
        <w:pStyle w:val="P68B1DB1-Normal23"/>
        <w:spacing w:before="120" w:after="120" w:line="240" w:lineRule="auto"/>
        <w:jc w:val="both"/>
        <w:rPr>
          <w:rFonts w:cs="Times New Roman"/>
          <w:noProof/>
        </w:rPr>
      </w:pPr>
      <w:r>
        <w:rPr>
          <w:noProof/>
        </w:rPr>
        <w:t>Refo</w:t>
      </w:r>
      <w:r>
        <w:rPr>
          <w:noProof/>
        </w:rPr>
        <w:t>rm (C10.R1) – A méltányos átmenetről szóló jegyzőkönyvek</w:t>
      </w:r>
    </w:p>
    <w:p w14:paraId="71CB9634" w14:textId="77777777" w:rsidR="003E1D81" w:rsidRDefault="00EB481C">
      <w:pPr>
        <w:pStyle w:val="P68B1DB1-Normal22"/>
        <w:spacing w:before="120" w:after="120" w:line="240" w:lineRule="auto"/>
        <w:jc w:val="both"/>
        <w:rPr>
          <w:rFonts w:cs="Times New Roman"/>
          <w:noProof/>
        </w:rPr>
      </w:pPr>
      <w:r>
        <w:rPr>
          <w:noProof/>
        </w:rPr>
        <w:t>2020 februárjában a kormány jóváhagyta a méltányos átállásra vonatkozó stratégiát, amelyet a nemzeti energia- és klímaterv is tükröz. E stratégia keretében, valamint a spanyol helyreállítási és rezil</w:t>
      </w:r>
      <w:r>
        <w:rPr>
          <w:noProof/>
        </w:rPr>
        <w:t>ienciaépítési terv keretében ez a reform 12 igazságos átmenetről szóló jegyzőkönyvet hoz létre, amelyek a szénbányák és a széntüzelésű erőművek bezárása által érintett valamennyi területre kiterjednek. A Méltányos Átállást Támogató Alapok mindegyikének leg</w:t>
      </w:r>
      <w:r>
        <w:rPr>
          <w:noProof/>
        </w:rPr>
        <w:t xml:space="preserve">alább egy, a széntüzelésű erőmű bezárása által érintett területre ki kell terjednie. A jegyzőkönyvek átfogó és részletes területi cselekvési terveket határoznak meg az érintett területek környezeti, gazdasági és társadalmi fenntarthatóságának eszközeként. </w:t>
      </w:r>
      <w:r>
        <w:rPr>
          <w:noProof/>
        </w:rPr>
        <w:t xml:space="preserve">A középpontban </w:t>
      </w:r>
      <w:r>
        <w:rPr>
          <w:i/>
          <w:noProof/>
        </w:rPr>
        <w:t>többek között</w:t>
      </w:r>
      <w:r>
        <w:rPr>
          <w:noProof/>
        </w:rPr>
        <w:t xml:space="preserve"> a munkahelyek fenntartása és létrehozása, a diverzifikáció és a szakosodás előmozdítása, a területek vonzerejének növelése az elnéptelenedés elleni küzdelem, valamint a földterületek környezeti helyreállítása áll. Ezek a jegyző</w:t>
      </w:r>
      <w:r>
        <w:rPr>
          <w:noProof/>
        </w:rPr>
        <w:t xml:space="preserve">könyvek magukban foglalják az érintett helyi szereplők (állami és magánszereplők, köztük a vállalkozások, a szociális partnerek, az oktatási ágazat, a nem kormányzati szervezetek stb.) együttműködését. </w:t>
      </w:r>
    </w:p>
    <w:p w14:paraId="4B3369C9" w14:textId="77777777" w:rsidR="003E1D81" w:rsidRDefault="00EB481C">
      <w:pPr>
        <w:pStyle w:val="P68B1DB1-Normal22"/>
        <w:spacing w:before="120" w:after="120" w:line="240" w:lineRule="auto"/>
        <w:jc w:val="both"/>
        <w:rPr>
          <w:rFonts w:cs="Times New Roman"/>
          <w:noProof/>
        </w:rPr>
      </w:pPr>
      <w:r>
        <w:rPr>
          <w:noProof/>
        </w:rPr>
        <w:t>Ez a reform magában foglalja a Méltányos Átállást Tám</w:t>
      </w:r>
      <w:r>
        <w:rPr>
          <w:noProof/>
        </w:rPr>
        <w:t xml:space="preserve">ogató Intézet létrehozását is. Az Intézet célja olyan intézkedések azonosítása és elfogadása, amelyek garantálják az alacsony szén-dioxid-kibocsátású gazdaságra való átállás által érintett munkavállalókkal és területekkel szembeni méltányos bánásmódot, az </w:t>
      </w:r>
      <w:r>
        <w:rPr>
          <w:noProof/>
        </w:rPr>
        <w:t>e területek foglalkoztatására és lakosságára gyakorolt negatív hatások minimalizálását, valamint az átalakítási folyamat lehetőségeinek optimalizálását. Az Intézet fő feladatai közé tartozik az iparpolitika kialakításának, a kutatás-fejlesztésnek, a gazdas</w:t>
      </w:r>
      <w:r>
        <w:rPr>
          <w:noProof/>
        </w:rPr>
        <w:t xml:space="preserve">ági tevékenység, a foglalkoztatásnak és a szakmai képzésnek az előmozdítása. </w:t>
      </w:r>
    </w:p>
    <w:p w14:paraId="12C249A7" w14:textId="77777777" w:rsidR="003E1D81" w:rsidRDefault="00EB481C">
      <w:pPr>
        <w:pStyle w:val="P68B1DB1-Normal22"/>
        <w:spacing w:before="120" w:after="120" w:line="240" w:lineRule="auto"/>
        <w:jc w:val="both"/>
        <w:rPr>
          <w:rFonts w:cs="Times New Roman"/>
          <w:noProof/>
        </w:rPr>
      </w:pPr>
      <w:r>
        <w:rPr>
          <w:noProof/>
        </w:rPr>
        <w:t>Az intézkedésnek magában kell foglalnia egy tanácsadó testület létrehozását is, amely miniszteri hivatalok képviselőiből, valamint a helyi és regionális önkormányzatok képviselői</w:t>
      </w:r>
      <w:r>
        <w:rPr>
          <w:noProof/>
        </w:rPr>
        <w:t xml:space="preserve">ből áll, és amely tanácsot ad és értékeli a méltányos átállással kapcsolatos politikák hatását. </w:t>
      </w:r>
    </w:p>
    <w:p w14:paraId="36F54EEC" w14:textId="77777777" w:rsidR="003E1D81" w:rsidRDefault="00EB481C">
      <w:pPr>
        <w:pStyle w:val="P68B1DB1-Normal22"/>
        <w:spacing w:before="120" w:after="120" w:line="240" w:lineRule="auto"/>
        <w:jc w:val="both"/>
        <w:rPr>
          <w:rFonts w:cs="Times New Roman"/>
          <w:noProof/>
        </w:rPr>
      </w:pPr>
      <w:r>
        <w:rPr>
          <w:noProof/>
        </w:rPr>
        <w:t>Az intézkedés végrehajtását 2023. június 30-ig be kell fejezni.</w:t>
      </w:r>
    </w:p>
    <w:p w14:paraId="209E9848" w14:textId="77777777" w:rsidR="003E1D81" w:rsidRDefault="00EB481C">
      <w:pPr>
        <w:pStyle w:val="P68B1DB1-Normal23"/>
        <w:spacing w:before="120" w:after="120" w:line="240" w:lineRule="auto"/>
        <w:jc w:val="both"/>
        <w:rPr>
          <w:rFonts w:cs="Times New Roman"/>
          <w:noProof/>
        </w:rPr>
      </w:pPr>
      <w:r>
        <w:rPr>
          <w:noProof/>
        </w:rPr>
        <w:t>Beruházás (C10.I1) – Igazságos átállásba történő beruházás</w:t>
      </w:r>
    </w:p>
    <w:p w14:paraId="121B1291" w14:textId="77777777" w:rsidR="003E1D81" w:rsidRDefault="00EB481C">
      <w:pPr>
        <w:pStyle w:val="P68B1DB1-Normal22"/>
        <w:spacing w:before="120" w:after="120" w:line="240" w:lineRule="auto"/>
        <w:jc w:val="both"/>
        <w:rPr>
          <w:rFonts w:cs="Times New Roman"/>
          <w:noProof/>
        </w:rPr>
      </w:pPr>
      <w:r>
        <w:rPr>
          <w:noProof/>
        </w:rPr>
        <w:t>A méltányos átállásról szóló jegyzők</w:t>
      </w:r>
      <w:r>
        <w:rPr>
          <w:noProof/>
        </w:rPr>
        <w:t xml:space="preserve">önyveket a területeken végrehajtott beruházásoknak kell kísérniük annak érdekében, hogy: </w:t>
      </w:r>
    </w:p>
    <w:p w14:paraId="3F06503D" w14:textId="77777777" w:rsidR="003E1D81" w:rsidRDefault="00EB481C">
      <w:pPr>
        <w:pStyle w:val="P68B1DB1-Normal22"/>
        <w:numPr>
          <w:ilvl w:val="0"/>
          <w:numId w:val="105"/>
        </w:numPr>
        <w:spacing w:before="120" w:after="120" w:line="240" w:lineRule="auto"/>
        <w:jc w:val="both"/>
        <w:rPr>
          <w:rFonts w:cs="Times New Roman"/>
          <w:noProof/>
        </w:rPr>
      </w:pPr>
      <w:r>
        <w:rPr>
          <w:noProof/>
        </w:rPr>
        <w:t xml:space="preserve">munkahelyteremtés és a rövid távú tevékenységek támogatása; </w:t>
      </w:r>
    </w:p>
    <w:p w14:paraId="3E748B07" w14:textId="77777777" w:rsidR="003E1D81" w:rsidRDefault="00EB481C">
      <w:pPr>
        <w:pStyle w:val="P68B1DB1-Normal22"/>
        <w:numPr>
          <w:ilvl w:val="0"/>
          <w:numId w:val="105"/>
        </w:numPr>
        <w:spacing w:before="120" w:after="120" w:line="240" w:lineRule="auto"/>
        <w:jc w:val="both"/>
        <w:rPr>
          <w:rFonts w:cs="Times New Roman"/>
          <w:noProof/>
        </w:rPr>
      </w:pPr>
      <w:r>
        <w:rPr>
          <w:noProof/>
        </w:rPr>
        <w:t>gyorsítsa fel a változást azáltal, hogy olyan kisebb léptékű kísérleti projektekre összpontosít, amelyeke</w:t>
      </w:r>
      <w:r>
        <w:rPr>
          <w:noProof/>
        </w:rPr>
        <w:t>t – ha sikeresnek tekintenének – a MÁTA keretében fokoznák; és</w:t>
      </w:r>
    </w:p>
    <w:p w14:paraId="15A0C0C7" w14:textId="77777777" w:rsidR="003E1D81" w:rsidRDefault="00EB481C">
      <w:pPr>
        <w:pStyle w:val="P68B1DB1-Normal22"/>
        <w:numPr>
          <w:ilvl w:val="0"/>
          <w:numId w:val="105"/>
        </w:numPr>
        <w:spacing w:before="120" w:after="120" w:line="240" w:lineRule="auto"/>
        <w:jc w:val="both"/>
        <w:rPr>
          <w:rFonts w:cs="Times New Roman"/>
          <w:noProof/>
        </w:rPr>
      </w:pPr>
      <w:r>
        <w:rPr>
          <w:noProof/>
        </w:rPr>
        <w:t xml:space="preserve">a gazdasági fejlődés fellendítése, hozzájárulva a társadalmi és területi kohézióhoz. </w:t>
      </w:r>
    </w:p>
    <w:p w14:paraId="0C490A71" w14:textId="77777777" w:rsidR="003E1D81" w:rsidRDefault="00EB481C">
      <w:pPr>
        <w:pStyle w:val="P68B1DB1-Normal22"/>
        <w:spacing w:before="120" w:after="120" w:line="240" w:lineRule="auto"/>
        <w:jc w:val="both"/>
        <w:rPr>
          <w:rFonts w:cs="Times New Roman"/>
          <w:noProof/>
        </w:rPr>
      </w:pPr>
      <w:r>
        <w:rPr>
          <w:noProof/>
        </w:rPr>
        <w:t xml:space="preserve">A projektek négy konkrét területet céloznak meg: </w:t>
      </w:r>
    </w:p>
    <w:p w14:paraId="0952D290" w14:textId="77777777" w:rsidR="003E1D81" w:rsidRDefault="00EB481C">
      <w:pPr>
        <w:pStyle w:val="P68B1DB1-Normal4"/>
        <w:numPr>
          <w:ilvl w:val="0"/>
          <w:numId w:val="104"/>
        </w:numPr>
        <w:spacing w:before="120" w:after="120" w:line="240" w:lineRule="auto"/>
        <w:jc w:val="both"/>
        <w:rPr>
          <w:rFonts w:cs="Times New Roman"/>
          <w:noProof/>
          <w:shd w:val="clear" w:color="auto" w:fill="FFFFFF"/>
        </w:rPr>
      </w:pPr>
      <w:r>
        <w:rPr>
          <w:noProof/>
          <w:shd w:val="clear" w:color="auto" w:fill="FFFFFF"/>
        </w:rPr>
        <w:t xml:space="preserve">Környezet-helyreállítási tervek ( </w:t>
      </w:r>
      <w:r>
        <w:rPr>
          <w:noProof/>
        </w:rPr>
        <w:t xml:space="preserve">pl. újraerdősítés vagy </w:t>
      </w:r>
      <w:r>
        <w:rPr>
          <w:noProof/>
        </w:rPr>
        <w:t>újratelepítés) a</w:t>
      </w:r>
      <w:r>
        <w:rPr>
          <w:noProof/>
          <w:shd w:val="clear" w:color="auto" w:fill="FFFFFF"/>
        </w:rPr>
        <w:t xml:space="preserve"> bezárt vagy elhagyott bányatelepekre és a termikus vagy atomerőművekkel szomszédos leromlott földterületekre vonatkozóan, amelyek legalább 2000 hektár rehabilitált földterületre terjednek ki.</w:t>
      </w:r>
      <w:r>
        <w:rPr>
          <w:noProof/>
        </w:rPr>
        <w:t xml:space="preserve"> </w:t>
      </w:r>
      <w:r>
        <w:rPr>
          <w:noProof/>
          <w:shd w:val="clear" w:color="auto" w:fill="FFFFFF"/>
        </w:rPr>
        <w:t xml:space="preserve"> E tervek részeként a telepeket és bányászati létesítményeket le kell szerelni, a talajt pedig rehabilitálni kell, és újraerdősítési vagy újratelepítési folyamatoknak, megújulóenergia-létesítményeknek vagy ökoalternatív gazdasági fejlődésnek kell alávetni;</w:t>
      </w:r>
    </w:p>
    <w:p w14:paraId="700ACC35" w14:textId="77AF67D7" w:rsidR="003E1D81" w:rsidRDefault="00EB481C">
      <w:pPr>
        <w:pStyle w:val="P68B1DB1-Normal4"/>
        <w:numPr>
          <w:ilvl w:val="0"/>
          <w:numId w:val="104"/>
        </w:numPr>
        <w:spacing w:before="120" w:after="120" w:line="240" w:lineRule="auto"/>
        <w:jc w:val="both"/>
        <w:rPr>
          <w:rFonts w:cs="Times New Roman"/>
          <w:noProof/>
        </w:rPr>
      </w:pPr>
      <w:r>
        <w:rPr>
          <w:noProof/>
          <w:shd w:val="clear" w:color="auto" w:fill="FFFFFF"/>
        </w:rPr>
        <w:t xml:space="preserve">Legalább </w:t>
      </w:r>
      <w:r>
        <w:rPr>
          <w:noProof/>
        </w:rPr>
        <w:t>130</w:t>
      </w:r>
      <w:r>
        <w:rPr>
          <w:noProof/>
          <w:shd w:val="clear" w:color="auto" w:fill="FFFFFF"/>
        </w:rPr>
        <w:t xml:space="preserve"> környezeti, digitális és szociális infrastrukturális projekt az alacsony szén-dioxid-kibocsátású gazdaságra átállított településeken és területeken, összesen legalább 102 000 000 EUR összegű pénzügyi befektetéssel. A projekteknek számos terül</w:t>
      </w:r>
      <w:r>
        <w:rPr>
          <w:noProof/>
          <w:shd w:val="clear" w:color="auto" w:fill="FFFFFF"/>
        </w:rPr>
        <w:t>etre ki kell terjedniük, többek között a következőkre: az infrastruktúra és a középületek</w:t>
      </w:r>
      <w:r>
        <w:rPr>
          <w:noProof/>
        </w:rPr>
        <w:t>rehabilitációja; a települések vagy elszigetelt népességű területek közötti, fenntartható mobilitási megoldásokon és a meglévő közlekedési infrastruktúra helyreállítás</w:t>
      </w:r>
      <w:r>
        <w:rPr>
          <w:noProof/>
        </w:rPr>
        <w:t>án és alternatív használatán alapuló innovatív kommunikációs projektek; a körforgásos gazdaságot támogató állami infrastruktúra rehabilitációja, beleértve a közösségi összeszerelő üzemeket, a hulladékgazdálkodási központokat; környezetvédelmi projektek a k</w:t>
      </w:r>
      <w:r>
        <w:rPr>
          <w:noProof/>
        </w:rPr>
        <w:t>öztulajdonban lévő területek (például tartalékok, folyópályák vagy rakpartok és természetértelmezési területek) rehabilitációjára és fejlesztésére; digitális infrastruktúra és szolgáltatások ökológiai termékek szövetkezeteinek vagy közös internetes vásárlá</w:t>
      </w:r>
      <w:r>
        <w:rPr>
          <w:noProof/>
        </w:rPr>
        <w:t>si és értékesítési közösségi rendszereinek fejlesztéséhez.</w:t>
      </w:r>
    </w:p>
    <w:p w14:paraId="68A2ED79" w14:textId="5A105EE8" w:rsidR="003E1D81" w:rsidRDefault="00EB481C">
      <w:pPr>
        <w:pStyle w:val="P68B1DB1-Normal4"/>
        <w:numPr>
          <w:ilvl w:val="0"/>
          <w:numId w:val="104"/>
        </w:numPr>
        <w:spacing w:before="120" w:after="120" w:line="240" w:lineRule="auto"/>
        <w:jc w:val="both"/>
        <w:rPr>
          <w:rFonts w:cs="Times New Roman"/>
          <w:noProof/>
          <w:shd w:val="clear" w:color="auto" w:fill="FFFFFF"/>
        </w:rPr>
      </w:pPr>
      <w:r>
        <w:rPr>
          <w:noProof/>
          <w:shd w:val="clear" w:color="auto" w:fill="FFFFFF"/>
        </w:rPr>
        <w:t>Két K+F+I projekt támogatása az energiatárolás és a zöld hidrogén területén</w:t>
      </w:r>
      <w:r>
        <w:rPr>
          <w:noProof/>
        </w:rPr>
        <w:t>. A projekteknek át kell alakítaniuk a CIUDEN (</w:t>
      </w:r>
      <w:r>
        <w:rPr>
          <w:i/>
          <w:noProof/>
        </w:rPr>
        <w:t xml:space="preserve">Ciudad de la Energía) </w:t>
      </w:r>
      <w:r>
        <w:rPr>
          <w:noProof/>
        </w:rPr>
        <w:t>létesítményeit és laboratóriumait – a Bierzo-ban (Leó</w:t>
      </w:r>
      <w:r>
        <w:rPr>
          <w:noProof/>
        </w:rPr>
        <w:t>n) létrehozott, az ökológiai átállásért és a demográfiai kihívásokért felelős minisztériumtól függően működő kormányzati K+F+I alapítvány – létesítményeit és laboratóriumait a zöld hidrogén előállítására és az energiatárolásra irányuló két K+F+I projekthez</w:t>
      </w:r>
      <w:r>
        <w:rPr>
          <w:noProof/>
        </w:rPr>
        <w:t>; és</w:t>
      </w:r>
    </w:p>
    <w:p w14:paraId="30266114" w14:textId="43BD2763" w:rsidR="003E1D81" w:rsidRDefault="00EB481C">
      <w:pPr>
        <w:pStyle w:val="P68B1DB1-Normal4"/>
        <w:numPr>
          <w:ilvl w:val="0"/>
          <w:numId w:val="104"/>
        </w:numPr>
        <w:spacing w:before="120" w:after="120" w:line="240" w:lineRule="auto"/>
        <w:jc w:val="both"/>
        <w:rPr>
          <w:rFonts w:cs="Times New Roman"/>
          <w:noProof/>
          <w:shd w:val="clear" w:color="auto" w:fill="FFFFFF"/>
        </w:rPr>
      </w:pPr>
      <w:r>
        <w:rPr>
          <w:noProof/>
          <w:shd w:val="clear" w:color="auto" w:fill="FFFFFF"/>
        </w:rPr>
        <w:t xml:space="preserve">Támogatás az alacsony szén-dioxid-kibocsátású gazdaságra való átállás által érintett munkavállalók és személyek átképzéséhez és foglalkoztathatóságának javításához, legalább </w:t>
      </w:r>
      <w:r>
        <w:rPr>
          <w:noProof/>
        </w:rPr>
        <w:t>840</w:t>
      </w:r>
      <w:r>
        <w:rPr>
          <w:noProof/>
          <w:shd w:val="clear" w:color="auto" w:fill="FFFFFF"/>
        </w:rPr>
        <w:t xml:space="preserve"> személy részesül személyre szabott álláskeresési támogatásban és</w:t>
      </w:r>
      <w:r>
        <w:rPr>
          <w:noProof/>
        </w:rPr>
        <w:t>/vagy</w:t>
      </w:r>
      <w:r>
        <w:rPr>
          <w:noProof/>
          <w:shd w:val="clear" w:color="auto" w:fill="FFFFFF"/>
        </w:rPr>
        <w:t xml:space="preserve"> átk</w:t>
      </w:r>
      <w:r>
        <w:rPr>
          <w:noProof/>
          <w:shd w:val="clear" w:color="auto" w:fill="FFFFFF"/>
        </w:rPr>
        <w:t>épzési pályán. Az átképzési támogatásnak legalább a következő területekre kell kiterjednie: megújuló energia ( szél- és fotovoltaikus energia) telepítése és fenntartása, helyreállítás és környezetgazdálkodás, és/vagy a lakások integrált és energetikai reha</w:t>
      </w:r>
      <w:r>
        <w:rPr>
          <w:noProof/>
          <w:shd w:val="clear" w:color="auto" w:fill="FFFFFF"/>
        </w:rPr>
        <w:t xml:space="preserve">bilitációja. </w:t>
      </w:r>
    </w:p>
    <w:p w14:paraId="0E19EE43" w14:textId="77777777" w:rsidR="003E1D81" w:rsidRDefault="00EB481C">
      <w:pPr>
        <w:pStyle w:val="P68B1DB1-Normal4"/>
        <w:spacing w:before="120" w:after="120" w:line="240" w:lineRule="auto"/>
        <w:jc w:val="both"/>
        <w:rPr>
          <w:rFonts w:cs="Times New Roman"/>
          <w:b/>
          <w:noProof/>
          <w:u w:val="single"/>
        </w:rPr>
      </w:pPr>
      <w:r>
        <w:rPr>
          <w:noProof/>
        </w:rPr>
        <w:t>A beruházás végrehajtását 2026. június 30-ig be kell fejezni.</w:t>
      </w:r>
    </w:p>
    <w:p w14:paraId="12C670DD" w14:textId="77777777" w:rsidR="003E1D81" w:rsidRDefault="00EB481C">
      <w:pPr>
        <w:pStyle w:val="P68B1DB1-Normal5"/>
        <w:spacing w:before="120" w:after="120" w:line="240" w:lineRule="auto"/>
        <w:ind w:left="709"/>
        <w:jc w:val="both"/>
        <w:rPr>
          <w:rFonts w:cs="Times New Roman"/>
          <w:noProof/>
        </w:rPr>
      </w:pPr>
      <w:r>
        <w:rPr>
          <w:noProof/>
        </w:rPr>
        <w:t xml:space="preserve">J.2. </w:t>
      </w:r>
      <w:r>
        <w:rPr>
          <w:noProof/>
        </w:rPr>
        <w:tab/>
        <w:t>Vissza nem térítendő pénzügyi támogatás – a végrehajtáshoz és a nyomon követéshez kapcsolódó mérföldkövek, célok, mutatók és ütemterv</w:t>
      </w:r>
    </w:p>
    <w:p w14:paraId="20264558" w14:textId="77777777" w:rsidR="003E1D81" w:rsidRDefault="00EB481C">
      <w:pPr>
        <w:pStyle w:val="P68B1DB1-Normal4"/>
        <w:spacing w:before="120" w:after="120" w:line="240" w:lineRule="auto"/>
        <w:rPr>
          <w:rFonts w:cs="Times New Roman"/>
          <w:noProof/>
        </w:rPr>
        <w:sectPr w:rsidR="003E1D81" w:rsidSect="00EB7CC8">
          <w:headerReference w:type="even" r:id="rId210"/>
          <w:headerReference w:type="default" r:id="rId211"/>
          <w:footerReference w:type="even" r:id="rId212"/>
          <w:footerReference w:type="default" r:id="rId213"/>
          <w:headerReference w:type="first" r:id="rId214"/>
          <w:footerReference w:type="first" r:id="rId215"/>
          <w:pgSz w:w="11907" w:h="16839"/>
          <w:pgMar w:top="1134" w:right="1417" w:bottom="1134" w:left="1417" w:header="709" w:footer="709" w:gutter="0"/>
          <w:cols w:space="720"/>
          <w:docGrid w:linePitch="360"/>
        </w:sectPr>
      </w:pPr>
      <w:r>
        <w:rPr>
          <w:i/>
          <w:noProof/>
        </w:rPr>
        <w:t>Táblázat alább.</w:t>
      </w:r>
      <w:r>
        <w:rPr>
          <w:noProof/>
        </w:rPr>
        <w:t xml:space="preserve"> </w:t>
      </w:r>
      <w:r>
        <w:rPr>
          <w:i/>
          <w:noProof/>
        </w:rPr>
        <w:t>Az alapforgatókönyv valamennyi mutató esetében 2020. február 1-je, kivéve, ha az intézkedés leírása másként jelzi. A táblázatban szereplő összegek nem tartalmazzák a héát.</w:t>
      </w: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3261"/>
        <w:gridCol w:w="992"/>
        <w:gridCol w:w="850"/>
        <w:gridCol w:w="567"/>
        <w:gridCol w:w="709"/>
        <w:gridCol w:w="425"/>
        <w:gridCol w:w="567"/>
        <w:gridCol w:w="5529"/>
      </w:tblGrid>
      <w:tr w:rsidR="003E1D81" w14:paraId="7C0B19A3" w14:textId="77777777">
        <w:trPr>
          <w:trHeight w:val="309"/>
          <w:tblHeader/>
        </w:trPr>
        <w:tc>
          <w:tcPr>
            <w:tcW w:w="709" w:type="dxa"/>
            <w:tcBorders>
              <w:bottom w:val="nil"/>
            </w:tcBorders>
            <w:shd w:val="clear" w:color="auto" w:fill="C6D9F1" w:themeFill="text2" w:themeFillTint="33"/>
            <w:noWrap/>
            <w:vAlign w:val="center"/>
          </w:tcPr>
          <w:p w14:paraId="47810258"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7A8A3BC4"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0E73BAB9"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3261" w:type="dxa"/>
            <w:tcBorders>
              <w:bottom w:val="nil"/>
            </w:tcBorders>
            <w:shd w:val="clear" w:color="auto" w:fill="C6D9F1" w:themeFill="text2" w:themeFillTint="33"/>
            <w:noWrap/>
            <w:vAlign w:val="center"/>
          </w:tcPr>
          <w:p w14:paraId="0100A987" w14:textId="77777777" w:rsidR="003E1D81" w:rsidRDefault="00EB481C">
            <w:pPr>
              <w:pStyle w:val="P68B1DB1-Normal12"/>
              <w:spacing w:after="0" w:line="240" w:lineRule="auto"/>
              <w:jc w:val="center"/>
              <w:rPr>
                <w:rFonts w:cs="Times New Roman"/>
                <w:noProof/>
              </w:rPr>
            </w:pPr>
            <w:r>
              <w:rPr>
                <w:noProof/>
              </w:rPr>
              <w:t>Név</w:t>
            </w:r>
          </w:p>
        </w:tc>
        <w:tc>
          <w:tcPr>
            <w:tcW w:w="992" w:type="dxa"/>
            <w:tcBorders>
              <w:bottom w:val="nil"/>
            </w:tcBorders>
            <w:shd w:val="clear" w:color="auto" w:fill="C6D9F1" w:themeFill="text2" w:themeFillTint="33"/>
            <w:noWrap/>
            <w:vAlign w:val="center"/>
          </w:tcPr>
          <w:p w14:paraId="32563B3D" w14:textId="77777777" w:rsidR="003E1D81" w:rsidRDefault="00EB481C">
            <w:pPr>
              <w:pStyle w:val="P68B1DB1-Normal12"/>
              <w:spacing w:after="0" w:line="240" w:lineRule="auto"/>
              <w:jc w:val="center"/>
              <w:rPr>
                <w:rFonts w:cs="Times New Roman"/>
                <w:noProof/>
              </w:rPr>
            </w:pPr>
            <w:r>
              <w:rPr>
                <w:noProof/>
              </w:rPr>
              <w:t xml:space="preserve">A </w:t>
            </w:r>
            <w:r>
              <w:rPr>
                <w:noProof/>
              </w:rPr>
              <w:t>mérföldkövek minőségi mutatója</w:t>
            </w:r>
          </w:p>
        </w:tc>
        <w:tc>
          <w:tcPr>
            <w:tcW w:w="2126" w:type="dxa"/>
            <w:gridSpan w:val="3"/>
            <w:shd w:val="clear" w:color="auto" w:fill="C6D9F1" w:themeFill="text2" w:themeFillTint="33"/>
            <w:noWrap/>
            <w:vAlign w:val="center"/>
          </w:tcPr>
          <w:p w14:paraId="0DB55535"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92" w:type="dxa"/>
            <w:gridSpan w:val="2"/>
            <w:shd w:val="clear" w:color="auto" w:fill="C6D9F1" w:themeFill="text2" w:themeFillTint="33"/>
            <w:noWrap/>
            <w:vAlign w:val="center"/>
          </w:tcPr>
          <w:p w14:paraId="4793D532" w14:textId="77777777" w:rsidR="003E1D81" w:rsidRDefault="00EB481C">
            <w:pPr>
              <w:pStyle w:val="P68B1DB1-Normal12"/>
              <w:spacing w:after="0" w:line="240" w:lineRule="auto"/>
              <w:jc w:val="center"/>
              <w:rPr>
                <w:rFonts w:cs="Times New Roman"/>
                <w:noProof/>
              </w:rPr>
            </w:pPr>
            <w:r>
              <w:rPr>
                <w:noProof/>
              </w:rPr>
              <w:t>Idő</w:t>
            </w:r>
          </w:p>
        </w:tc>
        <w:tc>
          <w:tcPr>
            <w:tcW w:w="5529" w:type="dxa"/>
            <w:tcBorders>
              <w:bottom w:val="nil"/>
            </w:tcBorders>
            <w:shd w:val="clear" w:color="auto" w:fill="C6D9F1" w:themeFill="text2" w:themeFillTint="33"/>
            <w:noWrap/>
            <w:vAlign w:val="center"/>
          </w:tcPr>
          <w:p w14:paraId="1FA168C9"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7A0970B9" w14:textId="77777777">
        <w:trPr>
          <w:trHeight w:val="309"/>
          <w:tblHeader/>
        </w:trPr>
        <w:tc>
          <w:tcPr>
            <w:tcW w:w="709" w:type="dxa"/>
            <w:tcBorders>
              <w:top w:val="nil"/>
            </w:tcBorders>
            <w:shd w:val="clear" w:color="auto" w:fill="C6D9F1" w:themeFill="text2" w:themeFillTint="33"/>
            <w:noWrap/>
          </w:tcPr>
          <w:p w14:paraId="2FC17F8B"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0A4F7224"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5AE48A43" w14:textId="77777777" w:rsidR="003E1D81" w:rsidRDefault="003E1D81">
            <w:pPr>
              <w:spacing w:after="0" w:line="240" w:lineRule="auto"/>
              <w:jc w:val="center"/>
              <w:rPr>
                <w:rFonts w:ascii="Times New Roman" w:hAnsi="Times New Roman" w:cs="Times New Roman"/>
                <w:b/>
                <w:noProof/>
                <w:sz w:val="18"/>
              </w:rPr>
            </w:pPr>
          </w:p>
        </w:tc>
        <w:tc>
          <w:tcPr>
            <w:tcW w:w="3261" w:type="dxa"/>
            <w:tcBorders>
              <w:top w:val="nil"/>
            </w:tcBorders>
            <w:shd w:val="clear" w:color="auto" w:fill="C6D9F1" w:themeFill="text2" w:themeFillTint="33"/>
            <w:noWrap/>
          </w:tcPr>
          <w:p w14:paraId="50F40DEB" w14:textId="77777777" w:rsidR="003E1D81" w:rsidRDefault="003E1D81">
            <w:pPr>
              <w:spacing w:after="0" w:line="240" w:lineRule="auto"/>
              <w:rPr>
                <w:rFonts w:ascii="Times New Roman" w:hAnsi="Times New Roman" w:cs="Times New Roman"/>
                <w:b/>
                <w:noProof/>
                <w:sz w:val="18"/>
              </w:rPr>
            </w:pPr>
          </w:p>
        </w:tc>
        <w:tc>
          <w:tcPr>
            <w:tcW w:w="992" w:type="dxa"/>
            <w:tcBorders>
              <w:top w:val="nil"/>
            </w:tcBorders>
            <w:shd w:val="clear" w:color="auto" w:fill="C6D9F1" w:themeFill="text2" w:themeFillTint="33"/>
            <w:noWrap/>
          </w:tcPr>
          <w:p w14:paraId="77A52294" w14:textId="77777777" w:rsidR="003E1D81" w:rsidRDefault="003E1D81">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524FBEBB" w14:textId="77777777" w:rsidR="003E1D81" w:rsidRDefault="00EB481C">
            <w:pPr>
              <w:pStyle w:val="P68B1DB1-Normal12"/>
              <w:spacing w:after="0" w:line="240" w:lineRule="auto"/>
              <w:jc w:val="center"/>
              <w:rPr>
                <w:rFonts w:cs="Times New Roman"/>
                <w:noProof/>
              </w:rPr>
            </w:pPr>
            <w:r>
              <w:rPr>
                <w:noProof/>
              </w:rPr>
              <w:t>Egység</w:t>
            </w:r>
          </w:p>
        </w:tc>
        <w:tc>
          <w:tcPr>
            <w:tcW w:w="567" w:type="dxa"/>
            <w:shd w:val="clear" w:color="auto" w:fill="C6D9F1" w:themeFill="text2" w:themeFillTint="33"/>
            <w:noWrap/>
          </w:tcPr>
          <w:p w14:paraId="774C8C57" w14:textId="77777777" w:rsidR="003E1D81" w:rsidRDefault="00EB481C">
            <w:pPr>
              <w:pStyle w:val="P68B1DB1-Normal12"/>
              <w:spacing w:after="0" w:line="240" w:lineRule="auto"/>
              <w:jc w:val="center"/>
              <w:rPr>
                <w:rFonts w:cs="Times New Roman"/>
                <w:noProof/>
              </w:rPr>
            </w:pPr>
            <w:r>
              <w:rPr>
                <w:noProof/>
              </w:rPr>
              <w:t>Alapérték</w:t>
            </w:r>
          </w:p>
        </w:tc>
        <w:tc>
          <w:tcPr>
            <w:tcW w:w="709" w:type="dxa"/>
            <w:shd w:val="clear" w:color="auto" w:fill="C6D9F1" w:themeFill="text2" w:themeFillTint="33"/>
            <w:noWrap/>
          </w:tcPr>
          <w:p w14:paraId="498E2A4F" w14:textId="77777777" w:rsidR="003E1D81" w:rsidRDefault="00EB481C">
            <w:pPr>
              <w:pStyle w:val="P68B1DB1-Normal12"/>
              <w:spacing w:after="0" w:line="240" w:lineRule="auto"/>
              <w:jc w:val="center"/>
              <w:rPr>
                <w:rFonts w:cs="Times New Roman"/>
                <w:noProof/>
              </w:rPr>
            </w:pPr>
            <w:r>
              <w:rPr>
                <w:noProof/>
              </w:rPr>
              <w:t>Cél</w:t>
            </w:r>
          </w:p>
        </w:tc>
        <w:tc>
          <w:tcPr>
            <w:tcW w:w="425" w:type="dxa"/>
            <w:shd w:val="clear" w:color="auto" w:fill="C6D9F1" w:themeFill="text2" w:themeFillTint="33"/>
            <w:noWrap/>
          </w:tcPr>
          <w:p w14:paraId="394D9DAB"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6A32D50D" w14:textId="77777777" w:rsidR="003E1D81" w:rsidRDefault="00EB481C">
            <w:pPr>
              <w:pStyle w:val="P68B1DB1-Normal12"/>
              <w:spacing w:after="0" w:line="240" w:lineRule="auto"/>
              <w:jc w:val="center"/>
              <w:rPr>
                <w:rFonts w:cs="Times New Roman"/>
                <w:noProof/>
              </w:rPr>
            </w:pPr>
            <w:r>
              <w:rPr>
                <w:noProof/>
              </w:rPr>
              <w:t>Éve</w:t>
            </w:r>
          </w:p>
        </w:tc>
        <w:tc>
          <w:tcPr>
            <w:tcW w:w="5529" w:type="dxa"/>
            <w:tcBorders>
              <w:top w:val="nil"/>
            </w:tcBorders>
            <w:shd w:val="clear" w:color="auto" w:fill="C6D9F1" w:themeFill="text2" w:themeFillTint="33"/>
            <w:noWrap/>
          </w:tcPr>
          <w:p w14:paraId="007DCDA8" w14:textId="77777777" w:rsidR="003E1D81" w:rsidRDefault="003E1D81">
            <w:pPr>
              <w:spacing w:after="0" w:line="240" w:lineRule="auto"/>
              <w:rPr>
                <w:rFonts w:ascii="Times New Roman" w:hAnsi="Times New Roman" w:cs="Times New Roman"/>
                <w:b/>
                <w:noProof/>
                <w:sz w:val="18"/>
              </w:rPr>
            </w:pPr>
          </w:p>
        </w:tc>
      </w:tr>
      <w:tr w:rsidR="003E1D81" w14:paraId="6BC71F45" w14:textId="77777777">
        <w:trPr>
          <w:trHeight w:val="309"/>
        </w:trPr>
        <w:tc>
          <w:tcPr>
            <w:tcW w:w="709" w:type="dxa"/>
            <w:shd w:val="clear" w:color="auto" w:fill="C6EFCE"/>
            <w:noWrap/>
          </w:tcPr>
          <w:p w14:paraId="41E5CE6F" w14:textId="77777777" w:rsidR="003E1D81" w:rsidRDefault="00EB481C">
            <w:pPr>
              <w:pStyle w:val="P68B1DB1-Normal13"/>
              <w:spacing w:after="0" w:line="240" w:lineRule="auto"/>
              <w:jc w:val="center"/>
              <w:rPr>
                <w:rFonts w:eastAsia="Symbol" w:cs="Times New Roman"/>
                <w:noProof/>
              </w:rPr>
            </w:pPr>
            <w:r>
              <w:rPr>
                <w:noProof/>
              </w:rPr>
              <w:t>137</w:t>
            </w:r>
          </w:p>
        </w:tc>
        <w:tc>
          <w:tcPr>
            <w:tcW w:w="851" w:type="dxa"/>
            <w:shd w:val="clear" w:color="auto" w:fill="C6EFCE"/>
            <w:noWrap/>
          </w:tcPr>
          <w:p w14:paraId="79F6A2C5" w14:textId="77777777" w:rsidR="003E1D81" w:rsidRDefault="00EB481C">
            <w:pPr>
              <w:pStyle w:val="P68B1DB1-Normal13"/>
              <w:spacing w:after="0" w:line="240" w:lineRule="auto"/>
              <w:jc w:val="center"/>
              <w:rPr>
                <w:rFonts w:eastAsia="Symbol" w:cs="Times New Roman"/>
                <w:noProof/>
              </w:rPr>
            </w:pPr>
            <w:r>
              <w:rPr>
                <w:noProof/>
              </w:rPr>
              <w:t>C10.R1</w:t>
            </w:r>
          </w:p>
        </w:tc>
        <w:tc>
          <w:tcPr>
            <w:tcW w:w="850" w:type="dxa"/>
            <w:shd w:val="clear" w:color="auto" w:fill="C6EFCE"/>
            <w:noWrap/>
          </w:tcPr>
          <w:p w14:paraId="720AF5AC" w14:textId="77777777" w:rsidR="003E1D81" w:rsidRDefault="00EB481C">
            <w:pPr>
              <w:pStyle w:val="P68B1DB1-Normal13"/>
              <w:spacing w:after="0" w:line="240" w:lineRule="auto"/>
              <w:jc w:val="center"/>
              <w:rPr>
                <w:rFonts w:eastAsia="Symbol" w:cs="Times New Roman"/>
                <w:noProof/>
              </w:rPr>
            </w:pPr>
            <w:r>
              <w:rPr>
                <w:noProof/>
              </w:rPr>
              <w:t>M</w:t>
            </w:r>
          </w:p>
        </w:tc>
        <w:tc>
          <w:tcPr>
            <w:tcW w:w="3261" w:type="dxa"/>
            <w:shd w:val="clear" w:color="auto" w:fill="C6EFCE"/>
            <w:noWrap/>
          </w:tcPr>
          <w:p w14:paraId="7932CEC1" w14:textId="77777777" w:rsidR="003E1D81" w:rsidRDefault="00EB481C">
            <w:pPr>
              <w:pStyle w:val="P68B1DB1-Normal13"/>
              <w:spacing w:after="0" w:line="240" w:lineRule="auto"/>
              <w:rPr>
                <w:rFonts w:eastAsia="Symbol" w:cs="Times New Roman"/>
                <w:noProof/>
              </w:rPr>
            </w:pPr>
            <w:r>
              <w:rPr>
                <w:noProof/>
              </w:rPr>
              <w:t xml:space="preserve">A Méltányos Átállást Támogató Alap Intézetének létrehozása </w:t>
            </w:r>
          </w:p>
        </w:tc>
        <w:tc>
          <w:tcPr>
            <w:tcW w:w="992" w:type="dxa"/>
            <w:shd w:val="clear" w:color="auto" w:fill="C6EFCE"/>
            <w:noWrap/>
          </w:tcPr>
          <w:p w14:paraId="713B5DF0" w14:textId="77777777" w:rsidR="003E1D81" w:rsidRDefault="00EB481C">
            <w:pPr>
              <w:pStyle w:val="P68B1DB1-Normal13"/>
              <w:spacing w:after="0" w:line="240" w:lineRule="auto"/>
              <w:jc w:val="center"/>
              <w:rPr>
                <w:rFonts w:eastAsia="Symbol" w:cs="Times New Roman"/>
                <w:noProof/>
              </w:rPr>
            </w:pPr>
            <w:r>
              <w:rPr>
                <w:noProof/>
              </w:rPr>
              <w:t>Közzététel a HL-ben</w:t>
            </w:r>
          </w:p>
        </w:tc>
        <w:tc>
          <w:tcPr>
            <w:tcW w:w="850" w:type="dxa"/>
            <w:shd w:val="clear" w:color="auto" w:fill="C6EFCE"/>
            <w:noWrap/>
          </w:tcPr>
          <w:p w14:paraId="606C22D1"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3079E7C0"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709" w:type="dxa"/>
            <w:shd w:val="clear" w:color="auto" w:fill="C6EFCE"/>
            <w:noWrap/>
          </w:tcPr>
          <w:p w14:paraId="7C9FA973"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425" w:type="dxa"/>
            <w:shd w:val="clear" w:color="auto" w:fill="C6EFCE"/>
            <w:noWrap/>
          </w:tcPr>
          <w:p w14:paraId="013C9489"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69044F9D" w14:textId="77777777" w:rsidR="003E1D81" w:rsidRDefault="00EB481C">
            <w:pPr>
              <w:pStyle w:val="P68B1DB1-Normal13"/>
              <w:spacing w:after="0" w:line="240" w:lineRule="auto"/>
              <w:jc w:val="center"/>
              <w:rPr>
                <w:rFonts w:eastAsia="Symbol" w:cs="Times New Roman"/>
                <w:noProof/>
              </w:rPr>
            </w:pPr>
            <w:r>
              <w:rPr>
                <w:noProof/>
              </w:rPr>
              <w:t>2020</w:t>
            </w:r>
          </w:p>
        </w:tc>
        <w:tc>
          <w:tcPr>
            <w:tcW w:w="5529" w:type="dxa"/>
            <w:shd w:val="clear" w:color="auto" w:fill="C6EFCE"/>
            <w:noWrap/>
          </w:tcPr>
          <w:p w14:paraId="6A19AC23" w14:textId="77777777" w:rsidR="003E1D81" w:rsidRDefault="00EB481C">
            <w:pPr>
              <w:pStyle w:val="P68B1DB1-Normal13"/>
              <w:spacing w:after="0" w:line="240" w:lineRule="auto"/>
              <w:rPr>
                <w:rFonts w:eastAsia="Symbol" w:cs="Times New Roman"/>
                <w:noProof/>
              </w:rPr>
            </w:pPr>
            <w:r>
              <w:rPr>
                <w:noProof/>
              </w:rPr>
              <w:t>A Méltányos Átállást Támogató Alap Intézetének létrehozásáról szóló 500/2020. sz. királyi rendelettel. Az Intézet célja olyan, szolidaritáson alapuló intézkedések azonosítása és elfogadása, amelyek garantálják az alacsony szén-dioxid-kibocsátású gazda</w:t>
            </w:r>
            <w:r>
              <w:rPr>
                <w:noProof/>
              </w:rPr>
              <w:t>ságra való átállás által érintett munkavállalókkal és területekkel szembeni méltányos bánásmódot, az e területek foglalkoztatására és lakosságára gyakorolt negatív hatások minimalizálását, valamint az átalakítási folyamat lehetőségeinek optimalizálását.</w:t>
            </w:r>
          </w:p>
        </w:tc>
      </w:tr>
      <w:tr w:rsidR="003E1D81" w14:paraId="114CF053" w14:textId="77777777">
        <w:trPr>
          <w:trHeight w:val="309"/>
        </w:trPr>
        <w:tc>
          <w:tcPr>
            <w:tcW w:w="709" w:type="dxa"/>
            <w:shd w:val="clear" w:color="auto" w:fill="C6EFCE"/>
            <w:noWrap/>
          </w:tcPr>
          <w:p w14:paraId="651B9F2F" w14:textId="77777777" w:rsidR="003E1D81" w:rsidRDefault="00EB481C">
            <w:pPr>
              <w:pStyle w:val="P68B1DB1-Normal13"/>
              <w:spacing w:after="0" w:line="240" w:lineRule="auto"/>
              <w:jc w:val="center"/>
              <w:rPr>
                <w:rFonts w:eastAsia="Symbol" w:cs="Times New Roman"/>
                <w:noProof/>
              </w:rPr>
            </w:pPr>
            <w:r>
              <w:rPr>
                <w:noProof/>
              </w:rPr>
              <w:t>138</w:t>
            </w:r>
          </w:p>
        </w:tc>
        <w:tc>
          <w:tcPr>
            <w:tcW w:w="851" w:type="dxa"/>
            <w:shd w:val="clear" w:color="auto" w:fill="C6EFCE"/>
            <w:noWrap/>
          </w:tcPr>
          <w:p w14:paraId="0D72D8D7" w14:textId="77777777" w:rsidR="003E1D81" w:rsidRDefault="00EB481C">
            <w:pPr>
              <w:pStyle w:val="P68B1DB1-Normal13"/>
              <w:spacing w:after="0" w:line="240" w:lineRule="auto"/>
              <w:jc w:val="center"/>
              <w:rPr>
                <w:rFonts w:eastAsia="Symbol" w:cs="Times New Roman"/>
                <w:noProof/>
              </w:rPr>
            </w:pPr>
            <w:r>
              <w:rPr>
                <w:noProof/>
              </w:rPr>
              <w:t>C10.R1</w:t>
            </w:r>
          </w:p>
        </w:tc>
        <w:tc>
          <w:tcPr>
            <w:tcW w:w="850" w:type="dxa"/>
            <w:shd w:val="clear" w:color="auto" w:fill="C6EFCE"/>
            <w:noWrap/>
          </w:tcPr>
          <w:p w14:paraId="673FD059" w14:textId="77777777" w:rsidR="003E1D81" w:rsidRDefault="00EB481C">
            <w:pPr>
              <w:pStyle w:val="P68B1DB1-Normal13"/>
              <w:spacing w:after="0" w:line="240" w:lineRule="auto"/>
              <w:jc w:val="center"/>
              <w:rPr>
                <w:rFonts w:eastAsia="Symbol" w:cs="Times New Roman"/>
                <w:noProof/>
              </w:rPr>
            </w:pPr>
            <w:r>
              <w:rPr>
                <w:noProof/>
              </w:rPr>
              <w:t>T</w:t>
            </w:r>
          </w:p>
        </w:tc>
        <w:tc>
          <w:tcPr>
            <w:tcW w:w="3261" w:type="dxa"/>
            <w:shd w:val="clear" w:color="auto" w:fill="C6EFCE"/>
            <w:noWrap/>
          </w:tcPr>
          <w:p w14:paraId="38CB7F22" w14:textId="62151F91" w:rsidR="003E1D81" w:rsidRDefault="00EB481C">
            <w:pPr>
              <w:pStyle w:val="P68B1DB1-Normal13"/>
              <w:spacing w:after="0" w:line="240" w:lineRule="auto"/>
              <w:rPr>
                <w:rFonts w:eastAsia="Symbol" w:cs="Times New Roman"/>
                <w:noProof/>
              </w:rPr>
            </w:pPr>
            <w:r>
              <w:rPr>
                <w:noProof/>
              </w:rPr>
              <w:t xml:space="preserve">Az igazságos átmenetről szóló jegyzőkönyvek és tanácsadó testület </w:t>
            </w:r>
          </w:p>
        </w:tc>
        <w:tc>
          <w:tcPr>
            <w:tcW w:w="992" w:type="dxa"/>
            <w:shd w:val="clear" w:color="auto" w:fill="C6EFCE"/>
            <w:noWrap/>
          </w:tcPr>
          <w:p w14:paraId="1E3FF041" w14:textId="77777777" w:rsidR="003E1D81" w:rsidRDefault="00EB481C">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44D3D206" w14:textId="77777777" w:rsidR="003E1D81" w:rsidRDefault="00EB481C">
            <w:pPr>
              <w:pStyle w:val="P68B1DB1-Normal13"/>
              <w:spacing w:after="0" w:line="240" w:lineRule="auto"/>
              <w:jc w:val="right"/>
              <w:rPr>
                <w:rFonts w:eastAsia="Symbol" w:cs="Times New Roman"/>
                <w:noProof/>
              </w:rPr>
            </w:pPr>
            <w:r>
              <w:rPr>
                <w:noProof/>
              </w:rPr>
              <w:t>Szám</w:t>
            </w:r>
          </w:p>
        </w:tc>
        <w:tc>
          <w:tcPr>
            <w:tcW w:w="567" w:type="dxa"/>
            <w:shd w:val="clear" w:color="auto" w:fill="C6EFCE"/>
            <w:noWrap/>
          </w:tcPr>
          <w:p w14:paraId="139BF1F3" w14:textId="77777777" w:rsidR="003E1D81" w:rsidRDefault="00EB481C">
            <w:pPr>
              <w:pStyle w:val="P68B1DB1-Normal13"/>
              <w:spacing w:after="0" w:line="240" w:lineRule="auto"/>
              <w:jc w:val="right"/>
              <w:rPr>
                <w:rFonts w:eastAsia="Symbol" w:cs="Times New Roman"/>
                <w:noProof/>
              </w:rPr>
            </w:pPr>
            <w:r>
              <w:rPr>
                <w:noProof/>
              </w:rPr>
              <w:t>0</w:t>
            </w:r>
          </w:p>
        </w:tc>
        <w:tc>
          <w:tcPr>
            <w:tcW w:w="709" w:type="dxa"/>
            <w:shd w:val="clear" w:color="auto" w:fill="C6EFCE"/>
            <w:noWrap/>
          </w:tcPr>
          <w:p w14:paraId="394C502F" w14:textId="77777777" w:rsidR="003E1D81" w:rsidRDefault="00EB481C">
            <w:pPr>
              <w:pStyle w:val="P68B1DB1-Normal13"/>
              <w:spacing w:after="0" w:line="240" w:lineRule="auto"/>
              <w:jc w:val="right"/>
              <w:rPr>
                <w:rFonts w:eastAsia="Symbol" w:cs="Times New Roman"/>
                <w:noProof/>
              </w:rPr>
            </w:pPr>
            <w:r>
              <w:rPr>
                <w:noProof/>
              </w:rPr>
              <w:t>12</w:t>
            </w:r>
          </w:p>
        </w:tc>
        <w:tc>
          <w:tcPr>
            <w:tcW w:w="425" w:type="dxa"/>
            <w:shd w:val="clear" w:color="auto" w:fill="C6EFCE"/>
            <w:noWrap/>
          </w:tcPr>
          <w:p w14:paraId="5B76DFD6" w14:textId="77777777" w:rsidR="003E1D81" w:rsidRDefault="00EB481C">
            <w:pPr>
              <w:pStyle w:val="P68B1DB1-Normal13"/>
              <w:spacing w:after="0" w:line="240" w:lineRule="auto"/>
              <w:jc w:val="center"/>
              <w:rPr>
                <w:rFonts w:eastAsia="Symbol" w:cs="Times New Roman"/>
                <w:noProof/>
              </w:rPr>
            </w:pPr>
            <w:r>
              <w:rPr>
                <w:noProof/>
              </w:rPr>
              <w:t>KÉRDÉS</w:t>
            </w:r>
          </w:p>
        </w:tc>
        <w:tc>
          <w:tcPr>
            <w:tcW w:w="567" w:type="dxa"/>
            <w:shd w:val="clear" w:color="auto" w:fill="C6EFCE"/>
            <w:noWrap/>
          </w:tcPr>
          <w:p w14:paraId="761C5FC8" w14:textId="77777777" w:rsidR="003E1D81" w:rsidRDefault="00EB481C">
            <w:pPr>
              <w:pStyle w:val="P68B1DB1-Normal13"/>
              <w:spacing w:after="0" w:line="240" w:lineRule="auto"/>
              <w:jc w:val="center"/>
              <w:rPr>
                <w:rFonts w:eastAsia="Symbol" w:cs="Times New Roman"/>
                <w:noProof/>
              </w:rPr>
            </w:pPr>
            <w:r>
              <w:rPr>
                <w:noProof/>
              </w:rPr>
              <w:t>2023</w:t>
            </w:r>
          </w:p>
        </w:tc>
        <w:tc>
          <w:tcPr>
            <w:tcW w:w="5529" w:type="dxa"/>
            <w:shd w:val="clear" w:color="auto" w:fill="C6EFCE"/>
            <w:noWrap/>
          </w:tcPr>
          <w:p w14:paraId="0D390D59" w14:textId="77777777" w:rsidR="003E1D81" w:rsidRDefault="00EB481C">
            <w:pPr>
              <w:pStyle w:val="P68B1DB1-Normal13"/>
              <w:spacing w:after="0" w:line="240" w:lineRule="auto"/>
              <w:rPr>
                <w:rFonts w:cs="Times New Roman"/>
                <w:noProof/>
              </w:rPr>
            </w:pPr>
            <w:r>
              <w:rPr>
                <w:noProof/>
              </w:rPr>
              <w:t>Részvételen alapuló folyamatot követően a méltányos átállásról szóló 12 protokoll közzététele a méltányos átállásról szóló honlapon, amelyek 12 érintett</w:t>
            </w:r>
            <w:r>
              <w:rPr>
                <w:noProof/>
              </w:rPr>
              <w:t xml:space="preserve"> terület helyi lakosságának foglalkoztatására, környezeti helyreállítására, valamint gazdasági és társadalmi fejlődésére vonatkozó kötelezettségvállalásokat tartalmaznak. A Méltányos Átállást Támogató Alapok mindegyikének legalább egy olyan területre ki ke</w:t>
            </w:r>
            <w:r>
              <w:rPr>
                <w:noProof/>
              </w:rPr>
              <w:t>ll terjednie, amelyet a széntüzelésű erőmű bezárása érint.</w:t>
            </w:r>
          </w:p>
          <w:p w14:paraId="196B4BAC" w14:textId="6A30B9A8" w:rsidR="003E1D81" w:rsidRDefault="00EB481C">
            <w:pPr>
              <w:pStyle w:val="P68B1DB1-Normal13"/>
              <w:spacing w:after="0" w:line="240" w:lineRule="auto"/>
              <w:rPr>
                <w:rFonts w:cs="Times New Roman"/>
                <w:noProof/>
              </w:rPr>
            </w:pPr>
            <w:r>
              <w:rPr>
                <w:noProof/>
              </w:rPr>
              <w:t>A miniszteri osztályok képviselőiből, valamint a helyi és regionális önkormányzatok képviselőiből álló tanácsadó testület létrehozása, amely tanácsot ad és értékeli a méltányos átállással kapcsolat</w:t>
            </w:r>
            <w:r>
              <w:rPr>
                <w:noProof/>
              </w:rPr>
              <w:t>os politikák hatását</w:t>
            </w:r>
          </w:p>
        </w:tc>
      </w:tr>
      <w:tr w:rsidR="003E1D81" w14:paraId="63438F36" w14:textId="77777777">
        <w:trPr>
          <w:trHeight w:val="309"/>
        </w:trPr>
        <w:tc>
          <w:tcPr>
            <w:tcW w:w="709" w:type="dxa"/>
            <w:shd w:val="clear" w:color="auto" w:fill="C6EFCE"/>
            <w:noWrap/>
          </w:tcPr>
          <w:p w14:paraId="09E31CEC" w14:textId="77777777" w:rsidR="003E1D81" w:rsidRDefault="00EB481C">
            <w:pPr>
              <w:pStyle w:val="P68B1DB1-Normal13"/>
              <w:spacing w:after="0" w:line="240" w:lineRule="auto"/>
              <w:jc w:val="center"/>
              <w:rPr>
                <w:rFonts w:eastAsia="Symbol" w:cs="Times New Roman"/>
                <w:noProof/>
              </w:rPr>
            </w:pPr>
            <w:r>
              <w:rPr>
                <w:noProof/>
              </w:rPr>
              <w:t>139</w:t>
            </w:r>
          </w:p>
        </w:tc>
        <w:tc>
          <w:tcPr>
            <w:tcW w:w="851" w:type="dxa"/>
            <w:shd w:val="clear" w:color="auto" w:fill="C6EFCE"/>
            <w:noWrap/>
          </w:tcPr>
          <w:p w14:paraId="1AAD5B4E" w14:textId="77777777" w:rsidR="003E1D81" w:rsidRDefault="00EB481C">
            <w:pPr>
              <w:pStyle w:val="P68B1DB1-Normal13"/>
              <w:spacing w:after="0" w:line="240" w:lineRule="auto"/>
              <w:jc w:val="center"/>
              <w:rPr>
                <w:rFonts w:eastAsia="Symbol" w:cs="Times New Roman"/>
                <w:noProof/>
              </w:rPr>
            </w:pPr>
            <w:r>
              <w:rPr>
                <w:noProof/>
              </w:rPr>
              <w:t>C10.I1</w:t>
            </w:r>
          </w:p>
        </w:tc>
        <w:tc>
          <w:tcPr>
            <w:tcW w:w="850" w:type="dxa"/>
            <w:shd w:val="clear" w:color="auto" w:fill="C6EFCE"/>
            <w:noWrap/>
          </w:tcPr>
          <w:p w14:paraId="059DBB28" w14:textId="77777777" w:rsidR="003E1D81" w:rsidRDefault="00EB481C">
            <w:pPr>
              <w:pStyle w:val="P68B1DB1-Normal13"/>
              <w:spacing w:after="0" w:line="240" w:lineRule="auto"/>
              <w:jc w:val="center"/>
              <w:rPr>
                <w:rFonts w:eastAsia="Symbol" w:cs="Times New Roman"/>
                <w:noProof/>
              </w:rPr>
            </w:pPr>
            <w:r>
              <w:rPr>
                <w:noProof/>
              </w:rPr>
              <w:t>M</w:t>
            </w:r>
          </w:p>
        </w:tc>
        <w:tc>
          <w:tcPr>
            <w:tcW w:w="3261" w:type="dxa"/>
            <w:shd w:val="clear" w:color="auto" w:fill="C6EFCE"/>
            <w:noWrap/>
          </w:tcPr>
          <w:p w14:paraId="5AA61149" w14:textId="77777777" w:rsidR="003E1D81" w:rsidRDefault="00EB481C">
            <w:pPr>
              <w:pStyle w:val="P68B1DB1-Normal13"/>
              <w:spacing w:after="0" w:line="240" w:lineRule="auto"/>
              <w:rPr>
                <w:rFonts w:eastAsia="Symbol" w:cs="Times New Roman"/>
                <w:noProof/>
              </w:rPr>
            </w:pPr>
            <w:r>
              <w:rPr>
                <w:noProof/>
              </w:rPr>
              <w:t>„Igazságos átmenet” képzési támogatási program és támogatás nyújtása a méltányos átállási területek gazdasági fejlődéséhez</w:t>
            </w:r>
          </w:p>
        </w:tc>
        <w:tc>
          <w:tcPr>
            <w:tcW w:w="992" w:type="dxa"/>
            <w:shd w:val="clear" w:color="auto" w:fill="C6EFCE"/>
            <w:noWrap/>
          </w:tcPr>
          <w:p w14:paraId="27F4B882" w14:textId="77777777" w:rsidR="003E1D81" w:rsidRDefault="00EB481C">
            <w:pPr>
              <w:pStyle w:val="P68B1DB1-Normal13"/>
              <w:spacing w:after="0" w:line="240" w:lineRule="auto"/>
              <w:jc w:val="center"/>
              <w:rPr>
                <w:rFonts w:eastAsia="Symbol" w:cs="Times New Roman"/>
                <w:noProof/>
              </w:rPr>
            </w:pPr>
            <w:r>
              <w:rPr>
                <w:noProof/>
              </w:rPr>
              <w:t>Közzététel a HL-ben</w:t>
            </w:r>
          </w:p>
        </w:tc>
        <w:tc>
          <w:tcPr>
            <w:tcW w:w="850" w:type="dxa"/>
            <w:shd w:val="clear" w:color="auto" w:fill="C6EFCE"/>
            <w:noWrap/>
          </w:tcPr>
          <w:p w14:paraId="672EDC33"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685F511E"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709" w:type="dxa"/>
            <w:shd w:val="clear" w:color="auto" w:fill="C6EFCE"/>
            <w:noWrap/>
          </w:tcPr>
          <w:p w14:paraId="030C1E12" w14:textId="77777777" w:rsidR="003E1D81" w:rsidRDefault="00EB481C">
            <w:pPr>
              <w:pStyle w:val="P68B1DB1-Normal13"/>
              <w:spacing w:after="0" w:line="240" w:lineRule="auto"/>
              <w:jc w:val="right"/>
              <w:rPr>
                <w:rFonts w:eastAsia="Symbol" w:cs="Times New Roman"/>
                <w:noProof/>
              </w:rPr>
            </w:pPr>
            <w:r>
              <w:rPr>
                <w:noProof/>
              </w:rPr>
              <w:t xml:space="preserve"> </w:t>
            </w:r>
          </w:p>
        </w:tc>
        <w:tc>
          <w:tcPr>
            <w:tcW w:w="425" w:type="dxa"/>
            <w:shd w:val="clear" w:color="auto" w:fill="C6EFCE"/>
            <w:noWrap/>
          </w:tcPr>
          <w:p w14:paraId="32FC2616"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025EA925" w14:textId="77777777" w:rsidR="003E1D81" w:rsidRDefault="00EB481C">
            <w:pPr>
              <w:pStyle w:val="P68B1DB1-Normal13"/>
              <w:spacing w:after="0" w:line="240" w:lineRule="auto"/>
              <w:jc w:val="center"/>
              <w:rPr>
                <w:rFonts w:eastAsia="Symbol" w:cs="Times New Roman"/>
                <w:noProof/>
              </w:rPr>
            </w:pPr>
            <w:r>
              <w:rPr>
                <w:noProof/>
              </w:rPr>
              <w:t>2021</w:t>
            </w:r>
          </w:p>
        </w:tc>
        <w:tc>
          <w:tcPr>
            <w:tcW w:w="5529" w:type="dxa"/>
            <w:shd w:val="clear" w:color="auto" w:fill="C6EFCE"/>
            <w:noWrap/>
          </w:tcPr>
          <w:p w14:paraId="7024E496" w14:textId="77777777" w:rsidR="003E1D81" w:rsidRDefault="00EB481C">
            <w:pPr>
              <w:pStyle w:val="P68B1DB1-Normal13"/>
              <w:spacing w:after="0" w:line="240" w:lineRule="auto"/>
              <w:rPr>
                <w:rFonts w:eastAsia="Symbol" w:cs="Times New Roman"/>
                <w:noProof/>
              </w:rPr>
            </w:pPr>
            <w:r>
              <w:rPr>
                <w:noProof/>
              </w:rPr>
              <w:t xml:space="preserve">Közzététel a Hivatalos Lapban: az „igazságos átmenet” </w:t>
            </w:r>
            <w:r>
              <w:rPr>
                <w:noProof/>
              </w:rPr>
              <w:t>képzési támogatási program szabályozási keretének jóváhagyásáról szóló rendelet, amely meghatározza az alacsony szén-dioxid-kibocsátású gazdaságra való átállás által érintett munkavállalók és személyek szakképzésének és munkaerőpiaci integrációjának támoga</w:t>
            </w:r>
            <w:r>
              <w:rPr>
                <w:noProof/>
              </w:rPr>
              <w:t>tási tervét; valamint b) rendelet, amely meghatározza a méltányos átállási területek gazdasági fejlődéséhez nyújtott támogatás szabályozási alapjait az alacsony szén-dioxid-kibocsátású gazdaságra átállított települések és területek környezeti, digitális és</w:t>
            </w:r>
            <w:r>
              <w:rPr>
                <w:noProof/>
              </w:rPr>
              <w:t xml:space="preserve"> szociális infrastruktúrájának fejlesztése révén.</w:t>
            </w:r>
          </w:p>
        </w:tc>
      </w:tr>
      <w:tr w:rsidR="003E1D81" w14:paraId="738A00D3" w14:textId="77777777">
        <w:trPr>
          <w:trHeight w:val="309"/>
        </w:trPr>
        <w:tc>
          <w:tcPr>
            <w:tcW w:w="709" w:type="dxa"/>
            <w:shd w:val="clear" w:color="auto" w:fill="C6EFCE"/>
            <w:noWrap/>
          </w:tcPr>
          <w:p w14:paraId="7705F89A" w14:textId="502F7CF1" w:rsidR="003E1D81" w:rsidRDefault="00EB481C">
            <w:pPr>
              <w:pStyle w:val="P68B1DB1-Normal13"/>
              <w:spacing w:after="0" w:line="240" w:lineRule="auto"/>
              <w:jc w:val="center"/>
              <w:rPr>
                <w:rFonts w:eastAsia="Symbol" w:cs="Times New Roman"/>
                <w:noProof/>
              </w:rPr>
            </w:pPr>
            <w:r>
              <w:rPr>
                <w:noProof/>
              </w:rPr>
              <w:t>140</w:t>
            </w:r>
          </w:p>
        </w:tc>
        <w:tc>
          <w:tcPr>
            <w:tcW w:w="851" w:type="dxa"/>
            <w:shd w:val="clear" w:color="auto" w:fill="C6EFCE"/>
            <w:noWrap/>
          </w:tcPr>
          <w:p w14:paraId="1BB5EA0F" w14:textId="77777777" w:rsidR="003E1D81" w:rsidRDefault="00EB481C">
            <w:pPr>
              <w:pStyle w:val="P68B1DB1-Normal13"/>
              <w:spacing w:after="0" w:line="240" w:lineRule="auto"/>
              <w:jc w:val="center"/>
              <w:rPr>
                <w:rFonts w:eastAsia="Symbol" w:cs="Times New Roman"/>
                <w:noProof/>
              </w:rPr>
            </w:pPr>
            <w:r>
              <w:rPr>
                <w:noProof/>
              </w:rPr>
              <w:t>C10.I1</w:t>
            </w:r>
          </w:p>
        </w:tc>
        <w:tc>
          <w:tcPr>
            <w:tcW w:w="850" w:type="dxa"/>
            <w:shd w:val="clear" w:color="auto" w:fill="C6EFCE"/>
            <w:noWrap/>
          </w:tcPr>
          <w:p w14:paraId="1D3A1DC5" w14:textId="77777777" w:rsidR="003E1D81" w:rsidRDefault="00EB481C">
            <w:pPr>
              <w:pStyle w:val="P68B1DB1-Normal13"/>
              <w:spacing w:after="0" w:line="240" w:lineRule="auto"/>
              <w:jc w:val="center"/>
              <w:rPr>
                <w:rFonts w:eastAsia="Symbol" w:cs="Times New Roman"/>
                <w:noProof/>
              </w:rPr>
            </w:pPr>
            <w:r>
              <w:rPr>
                <w:noProof/>
              </w:rPr>
              <w:t>T</w:t>
            </w:r>
          </w:p>
        </w:tc>
        <w:tc>
          <w:tcPr>
            <w:tcW w:w="3261" w:type="dxa"/>
            <w:shd w:val="clear" w:color="auto" w:fill="C6EFCE"/>
            <w:noWrap/>
          </w:tcPr>
          <w:p w14:paraId="68494D80" w14:textId="77777777" w:rsidR="003E1D81" w:rsidRDefault="00EB481C">
            <w:pPr>
              <w:pStyle w:val="P68B1DB1-Normal13"/>
              <w:spacing w:after="0" w:line="240" w:lineRule="auto"/>
              <w:rPr>
                <w:rFonts w:eastAsia="Symbol" w:cs="Times New Roman"/>
                <w:noProof/>
              </w:rPr>
            </w:pPr>
            <w:r>
              <w:rPr>
                <w:noProof/>
              </w:rPr>
              <w:t>Környezetvédelmi, digitális és szociális infrastrukturális projektek támogatása.</w:t>
            </w:r>
          </w:p>
        </w:tc>
        <w:tc>
          <w:tcPr>
            <w:tcW w:w="992" w:type="dxa"/>
            <w:shd w:val="clear" w:color="auto" w:fill="C6EFCE"/>
            <w:noWrap/>
          </w:tcPr>
          <w:p w14:paraId="1096122A" w14:textId="77777777" w:rsidR="003E1D81" w:rsidRDefault="00EB481C">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633A5A00" w14:textId="77777777" w:rsidR="003E1D81" w:rsidRDefault="00EB481C">
            <w:pPr>
              <w:pStyle w:val="P68B1DB1-Normal13"/>
              <w:spacing w:after="0" w:line="240" w:lineRule="auto"/>
              <w:jc w:val="right"/>
              <w:rPr>
                <w:rFonts w:eastAsia="Symbol" w:cs="Times New Roman"/>
                <w:noProof/>
              </w:rPr>
            </w:pPr>
            <w:r>
              <w:rPr>
                <w:noProof/>
              </w:rPr>
              <w:t>Szám</w:t>
            </w:r>
          </w:p>
        </w:tc>
        <w:tc>
          <w:tcPr>
            <w:tcW w:w="567" w:type="dxa"/>
            <w:shd w:val="clear" w:color="auto" w:fill="C6EFCE"/>
            <w:noWrap/>
          </w:tcPr>
          <w:p w14:paraId="03E3A27B" w14:textId="77777777" w:rsidR="003E1D81" w:rsidRDefault="00EB481C">
            <w:pPr>
              <w:pStyle w:val="P68B1DB1-Normal13"/>
              <w:spacing w:after="0" w:line="240" w:lineRule="auto"/>
              <w:jc w:val="right"/>
              <w:rPr>
                <w:rFonts w:eastAsia="Symbol" w:cs="Times New Roman"/>
                <w:noProof/>
              </w:rPr>
            </w:pPr>
            <w:r>
              <w:rPr>
                <w:noProof/>
              </w:rPr>
              <w:t>0</w:t>
            </w:r>
          </w:p>
        </w:tc>
        <w:tc>
          <w:tcPr>
            <w:tcW w:w="709" w:type="dxa"/>
            <w:shd w:val="clear" w:color="auto" w:fill="C6EFCE"/>
            <w:noWrap/>
          </w:tcPr>
          <w:p w14:paraId="60525613" w14:textId="4A86C0D9" w:rsidR="003E1D81" w:rsidRDefault="00EB481C">
            <w:pPr>
              <w:pStyle w:val="P68B1DB1-Normal13"/>
              <w:spacing w:after="0" w:line="240" w:lineRule="auto"/>
              <w:jc w:val="right"/>
              <w:rPr>
                <w:rFonts w:eastAsia="Symbol" w:cs="Times New Roman"/>
                <w:noProof/>
              </w:rPr>
            </w:pPr>
            <w:r>
              <w:rPr>
                <w:noProof/>
              </w:rPr>
              <w:t>100</w:t>
            </w:r>
          </w:p>
        </w:tc>
        <w:tc>
          <w:tcPr>
            <w:tcW w:w="425" w:type="dxa"/>
            <w:shd w:val="clear" w:color="auto" w:fill="C6EFCE"/>
            <w:noWrap/>
          </w:tcPr>
          <w:p w14:paraId="3702CC88"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51542F09" w14:textId="79C847BA" w:rsidR="003E1D81" w:rsidRDefault="00EB481C">
            <w:pPr>
              <w:pStyle w:val="P68B1DB1-Normal13"/>
              <w:spacing w:after="0" w:line="240" w:lineRule="auto"/>
              <w:jc w:val="center"/>
              <w:rPr>
                <w:rFonts w:eastAsia="Symbol" w:cs="Times New Roman"/>
                <w:noProof/>
              </w:rPr>
            </w:pPr>
            <w:r>
              <w:rPr>
                <w:noProof/>
              </w:rPr>
              <w:t>2022</w:t>
            </w:r>
          </w:p>
        </w:tc>
        <w:tc>
          <w:tcPr>
            <w:tcW w:w="5529" w:type="dxa"/>
            <w:shd w:val="clear" w:color="auto" w:fill="C6EFCE"/>
            <w:noWrap/>
          </w:tcPr>
          <w:p w14:paraId="66A409B3" w14:textId="65F7362F" w:rsidR="003E1D81" w:rsidRDefault="00EB481C">
            <w:pPr>
              <w:pStyle w:val="P68B1DB1-Normal13"/>
              <w:spacing w:after="0" w:line="240" w:lineRule="auto"/>
              <w:rPr>
                <w:rFonts w:eastAsia="Symbol" w:cs="Times New Roman"/>
                <w:noProof/>
              </w:rPr>
            </w:pPr>
            <w:r>
              <w:rPr>
                <w:noProof/>
              </w:rPr>
              <w:t>Legalább 91 000 000 EUR odaítélésének közzététele a Hivatalos Lapban legalább 100 környezetvédelmi, digitális és szociális infrastrukturális projektre az alacsony szén-dioxid-kibocsátású gazdaságra való átállásban lévő településeken és területeken. A 100 k</w:t>
            </w:r>
            <w:r>
              <w:rPr>
                <w:noProof/>
              </w:rPr>
              <w:t xml:space="preserve">örnyezetvédelmi, digitális és szociális infrastrukturális projektet a méltányos átállási területeken található településeken és területeken kell megvalósítani. </w:t>
            </w:r>
          </w:p>
        </w:tc>
      </w:tr>
      <w:tr w:rsidR="003E1D81" w14:paraId="27329DFB" w14:textId="77777777">
        <w:trPr>
          <w:trHeight w:val="309"/>
        </w:trPr>
        <w:tc>
          <w:tcPr>
            <w:tcW w:w="709" w:type="dxa"/>
            <w:shd w:val="clear" w:color="auto" w:fill="C6EFCE"/>
            <w:noWrap/>
          </w:tcPr>
          <w:p w14:paraId="16263622" w14:textId="2C3ED561" w:rsidR="003E1D81" w:rsidRDefault="00EB481C">
            <w:pPr>
              <w:pStyle w:val="P68B1DB1-Normal13"/>
              <w:spacing w:after="0" w:line="240" w:lineRule="auto"/>
              <w:jc w:val="center"/>
              <w:rPr>
                <w:rFonts w:cs="Times New Roman"/>
                <w:noProof/>
              </w:rPr>
            </w:pPr>
            <w:r>
              <w:rPr>
                <w:noProof/>
              </w:rPr>
              <w:t>431</w:t>
            </w:r>
          </w:p>
        </w:tc>
        <w:tc>
          <w:tcPr>
            <w:tcW w:w="851" w:type="dxa"/>
            <w:shd w:val="clear" w:color="auto" w:fill="C6EFCE"/>
            <w:noWrap/>
          </w:tcPr>
          <w:p w14:paraId="52F76B2D" w14:textId="4B3610F0" w:rsidR="003E1D81" w:rsidRDefault="00EB481C">
            <w:pPr>
              <w:pStyle w:val="P68B1DB1-Normal13"/>
              <w:spacing w:after="0" w:line="240" w:lineRule="auto"/>
              <w:jc w:val="center"/>
              <w:rPr>
                <w:rFonts w:cs="Times New Roman"/>
                <w:noProof/>
              </w:rPr>
            </w:pPr>
            <w:r>
              <w:rPr>
                <w:noProof/>
              </w:rPr>
              <w:t>C10.I1</w:t>
            </w:r>
          </w:p>
        </w:tc>
        <w:tc>
          <w:tcPr>
            <w:tcW w:w="850" w:type="dxa"/>
            <w:shd w:val="clear" w:color="auto" w:fill="C6EFCE"/>
            <w:noWrap/>
          </w:tcPr>
          <w:p w14:paraId="78D7795B" w14:textId="0620911D" w:rsidR="003E1D81" w:rsidRDefault="00EB481C">
            <w:pPr>
              <w:pStyle w:val="P68B1DB1-Normal13"/>
              <w:spacing w:after="0" w:line="240" w:lineRule="auto"/>
              <w:jc w:val="center"/>
              <w:rPr>
                <w:rFonts w:cs="Times New Roman"/>
                <w:noProof/>
              </w:rPr>
            </w:pPr>
            <w:r>
              <w:rPr>
                <w:noProof/>
              </w:rPr>
              <w:t>T</w:t>
            </w:r>
          </w:p>
        </w:tc>
        <w:tc>
          <w:tcPr>
            <w:tcW w:w="3261" w:type="dxa"/>
            <w:shd w:val="clear" w:color="auto" w:fill="C6EFCE"/>
            <w:noWrap/>
          </w:tcPr>
          <w:p w14:paraId="7D579A5B" w14:textId="0881060C" w:rsidR="003E1D81" w:rsidRDefault="00EB481C">
            <w:pPr>
              <w:pStyle w:val="P68B1DB1-Normal13"/>
              <w:spacing w:after="0" w:line="240" w:lineRule="auto"/>
              <w:rPr>
                <w:rFonts w:cs="Times New Roman"/>
                <w:noProof/>
              </w:rPr>
            </w:pPr>
            <w:r>
              <w:rPr>
                <w:noProof/>
              </w:rPr>
              <w:t>Környezetvédelmi, digitális és szociális infrastrukturális projektek támogatása</w:t>
            </w:r>
          </w:p>
        </w:tc>
        <w:tc>
          <w:tcPr>
            <w:tcW w:w="992" w:type="dxa"/>
            <w:shd w:val="clear" w:color="auto" w:fill="C6EFCE"/>
            <w:noWrap/>
          </w:tcPr>
          <w:p w14:paraId="24C99078"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63B8055D" w14:textId="4A10BF69" w:rsidR="003E1D81" w:rsidRDefault="00EB481C">
            <w:pPr>
              <w:pStyle w:val="P68B1DB1-Normal13"/>
              <w:spacing w:after="0" w:line="240" w:lineRule="auto"/>
              <w:jc w:val="right"/>
              <w:rPr>
                <w:rFonts w:cs="Times New Roman"/>
                <w:noProof/>
              </w:rPr>
            </w:pPr>
            <w:r>
              <w:rPr>
                <w:noProof/>
              </w:rPr>
              <w:t>Szám</w:t>
            </w:r>
          </w:p>
        </w:tc>
        <w:tc>
          <w:tcPr>
            <w:tcW w:w="567" w:type="dxa"/>
            <w:shd w:val="clear" w:color="auto" w:fill="C6EFCE"/>
            <w:noWrap/>
          </w:tcPr>
          <w:p w14:paraId="25B29C59" w14:textId="31F604E7" w:rsidR="003E1D81" w:rsidRDefault="00EB481C">
            <w:pPr>
              <w:pStyle w:val="P68B1DB1-Normal13"/>
              <w:spacing w:after="0" w:line="240" w:lineRule="auto"/>
              <w:jc w:val="right"/>
              <w:rPr>
                <w:rFonts w:cs="Times New Roman"/>
                <w:noProof/>
              </w:rPr>
            </w:pPr>
            <w:r>
              <w:rPr>
                <w:noProof/>
              </w:rPr>
              <w:t>100</w:t>
            </w:r>
          </w:p>
        </w:tc>
        <w:tc>
          <w:tcPr>
            <w:tcW w:w="709" w:type="dxa"/>
            <w:shd w:val="clear" w:color="auto" w:fill="C6EFCE"/>
            <w:noWrap/>
          </w:tcPr>
          <w:p w14:paraId="5024DAD2" w14:textId="34A1F977" w:rsidR="003E1D81" w:rsidRDefault="00EB481C">
            <w:pPr>
              <w:pStyle w:val="P68B1DB1-Normal13"/>
              <w:spacing w:after="0" w:line="240" w:lineRule="auto"/>
              <w:jc w:val="right"/>
              <w:rPr>
                <w:rFonts w:cs="Times New Roman"/>
                <w:noProof/>
              </w:rPr>
            </w:pPr>
            <w:r>
              <w:rPr>
                <w:noProof/>
              </w:rPr>
              <w:t>130</w:t>
            </w:r>
          </w:p>
        </w:tc>
        <w:tc>
          <w:tcPr>
            <w:tcW w:w="425" w:type="dxa"/>
            <w:shd w:val="clear" w:color="auto" w:fill="C6EFCE"/>
            <w:noWrap/>
          </w:tcPr>
          <w:p w14:paraId="30EB97FC" w14:textId="06725543"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59327563" w14:textId="4F4EECBF" w:rsidR="003E1D81" w:rsidRDefault="00EB481C">
            <w:pPr>
              <w:pStyle w:val="P68B1DB1-Normal13"/>
              <w:spacing w:after="0" w:line="240" w:lineRule="auto"/>
              <w:jc w:val="center"/>
              <w:rPr>
                <w:rFonts w:cs="Times New Roman"/>
                <w:noProof/>
              </w:rPr>
            </w:pPr>
            <w:r>
              <w:rPr>
                <w:noProof/>
              </w:rPr>
              <w:t>2024</w:t>
            </w:r>
          </w:p>
        </w:tc>
        <w:tc>
          <w:tcPr>
            <w:tcW w:w="5529" w:type="dxa"/>
            <w:shd w:val="clear" w:color="auto" w:fill="C6EFCE"/>
            <w:noWrap/>
          </w:tcPr>
          <w:p w14:paraId="7FCE44CE" w14:textId="6132AFDA" w:rsidR="003E1D81" w:rsidRDefault="00EB481C">
            <w:pPr>
              <w:pStyle w:val="P68B1DB1-Normal13"/>
              <w:spacing w:after="0" w:line="240" w:lineRule="auto"/>
              <w:rPr>
                <w:rFonts w:cs="Times New Roman"/>
                <w:noProof/>
              </w:rPr>
            </w:pPr>
            <w:r>
              <w:rPr>
                <w:noProof/>
              </w:rPr>
              <w:t>Legalább 11 000 000 EUR odaítélésének közzététele a Hivatalos Lapban az alacsony szén-dioxid-kibocsátású gazdaságra átállított települések és területek legalább 30 környezetvédelmi, digitális és szociális infrastrukturális projek</w:t>
            </w:r>
            <w:r>
              <w:rPr>
                <w:noProof/>
              </w:rPr>
              <w:t>tje számára. A környezeti, digitális és szociális infrastrukturális projekteket a méltányos átállási területeken található településeken és területeken kell megvalósítani. (Alapforgatókönyv: 2022. december 31.)</w:t>
            </w:r>
          </w:p>
        </w:tc>
      </w:tr>
      <w:tr w:rsidR="003E1D81" w14:paraId="160D48AB" w14:textId="77777777">
        <w:trPr>
          <w:trHeight w:val="309"/>
        </w:trPr>
        <w:tc>
          <w:tcPr>
            <w:tcW w:w="709" w:type="dxa"/>
            <w:shd w:val="clear" w:color="auto" w:fill="C6EFCE"/>
            <w:noWrap/>
          </w:tcPr>
          <w:p w14:paraId="6F5909ED" w14:textId="48D8F886" w:rsidR="003E1D81" w:rsidRDefault="00EB481C">
            <w:pPr>
              <w:pStyle w:val="P68B1DB1-Normal13"/>
              <w:spacing w:after="0" w:line="240" w:lineRule="auto"/>
              <w:jc w:val="center"/>
              <w:rPr>
                <w:rFonts w:eastAsia="Symbol" w:cs="Times New Roman"/>
                <w:noProof/>
              </w:rPr>
            </w:pPr>
            <w:r>
              <w:rPr>
                <w:noProof/>
              </w:rPr>
              <w:t>141</w:t>
            </w:r>
          </w:p>
        </w:tc>
        <w:tc>
          <w:tcPr>
            <w:tcW w:w="851" w:type="dxa"/>
            <w:shd w:val="clear" w:color="auto" w:fill="C6EFCE"/>
            <w:noWrap/>
          </w:tcPr>
          <w:p w14:paraId="60E11A76" w14:textId="77777777" w:rsidR="003E1D81" w:rsidRDefault="00EB481C">
            <w:pPr>
              <w:pStyle w:val="P68B1DB1-Normal13"/>
              <w:spacing w:after="0" w:line="240" w:lineRule="auto"/>
              <w:jc w:val="center"/>
              <w:rPr>
                <w:rFonts w:eastAsia="Symbol" w:cs="Times New Roman"/>
                <w:noProof/>
              </w:rPr>
            </w:pPr>
            <w:r>
              <w:rPr>
                <w:noProof/>
              </w:rPr>
              <w:t>C10.I1</w:t>
            </w:r>
          </w:p>
        </w:tc>
        <w:tc>
          <w:tcPr>
            <w:tcW w:w="850" w:type="dxa"/>
            <w:shd w:val="clear" w:color="auto" w:fill="C6EFCE"/>
            <w:noWrap/>
          </w:tcPr>
          <w:p w14:paraId="481B80B2" w14:textId="77777777" w:rsidR="003E1D81" w:rsidRDefault="00EB481C">
            <w:pPr>
              <w:pStyle w:val="P68B1DB1-Normal13"/>
              <w:spacing w:after="0" w:line="240" w:lineRule="auto"/>
              <w:jc w:val="center"/>
              <w:rPr>
                <w:rFonts w:eastAsia="Symbol" w:cs="Times New Roman"/>
                <w:noProof/>
              </w:rPr>
            </w:pPr>
            <w:r>
              <w:rPr>
                <w:noProof/>
              </w:rPr>
              <w:t>T</w:t>
            </w:r>
          </w:p>
        </w:tc>
        <w:tc>
          <w:tcPr>
            <w:tcW w:w="3261" w:type="dxa"/>
            <w:shd w:val="clear" w:color="auto" w:fill="C6EFCE"/>
            <w:noWrap/>
          </w:tcPr>
          <w:p w14:paraId="1F395B26" w14:textId="77777777" w:rsidR="003E1D81" w:rsidRDefault="00EB481C">
            <w:pPr>
              <w:pStyle w:val="P68B1DB1-Normal13"/>
              <w:spacing w:after="0" w:line="240" w:lineRule="auto"/>
              <w:rPr>
                <w:rFonts w:eastAsia="Symbol" w:cs="Times New Roman"/>
                <w:noProof/>
              </w:rPr>
            </w:pPr>
            <w:r>
              <w:rPr>
                <w:noProof/>
              </w:rPr>
              <w:t xml:space="preserve">Álláskereséshez nyújtott segítség és átképzés a munkanélküliek számára </w:t>
            </w:r>
          </w:p>
        </w:tc>
        <w:tc>
          <w:tcPr>
            <w:tcW w:w="992" w:type="dxa"/>
            <w:shd w:val="clear" w:color="auto" w:fill="C6EFCE"/>
            <w:noWrap/>
          </w:tcPr>
          <w:p w14:paraId="48F00459" w14:textId="77777777" w:rsidR="003E1D81" w:rsidRDefault="00EB481C">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196FD2E5" w14:textId="77777777" w:rsidR="003E1D81" w:rsidRDefault="00EB481C">
            <w:pPr>
              <w:pStyle w:val="P68B1DB1-Normal13"/>
              <w:spacing w:after="0" w:line="240" w:lineRule="auto"/>
              <w:jc w:val="right"/>
              <w:rPr>
                <w:rFonts w:eastAsia="Symbol" w:cs="Times New Roman"/>
                <w:noProof/>
              </w:rPr>
            </w:pPr>
            <w:r>
              <w:rPr>
                <w:noProof/>
              </w:rPr>
              <w:t>Szám</w:t>
            </w:r>
          </w:p>
        </w:tc>
        <w:tc>
          <w:tcPr>
            <w:tcW w:w="567" w:type="dxa"/>
            <w:shd w:val="clear" w:color="auto" w:fill="C6EFCE"/>
            <w:noWrap/>
          </w:tcPr>
          <w:p w14:paraId="769908A7" w14:textId="77777777" w:rsidR="003E1D81" w:rsidRDefault="00EB481C">
            <w:pPr>
              <w:pStyle w:val="P68B1DB1-Normal13"/>
              <w:spacing w:after="0" w:line="240" w:lineRule="auto"/>
              <w:jc w:val="right"/>
              <w:rPr>
                <w:rFonts w:eastAsia="Symbol" w:cs="Times New Roman"/>
                <w:noProof/>
              </w:rPr>
            </w:pPr>
            <w:r>
              <w:rPr>
                <w:noProof/>
              </w:rPr>
              <w:t>0</w:t>
            </w:r>
          </w:p>
        </w:tc>
        <w:tc>
          <w:tcPr>
            <w:tcW w:w="709" w:type="dxa"/>
            <w:shd w:val="clear" w:color="auto" w:fill="C6EFCE"/>
            <w:noWrap/>
          </w:tcPr>
          <w:p w14:paraId="2F9D5B7A" w14:textId="4A9CD569" w:rsidR="003E1D81" w:rsidRDefault="00EB481C">
            <w:pPr>
              <w:pStyle w:val="P68B1DB1-Normal13"/>
              <w:spacing w:after="0" w:line="240" w:lineRule="auto"/>
              <w:jc w:val="right"/>
              <w:rPr>
                <w:rFonts w:eastAsia="Symbol" w:cs="Times New Roman"/>
                <w:noProof/>
              </w:rPr>
            </w:pPr>
            <w:r>
              <w:rPr>
                <w:noProof/>
              </w:rPr>
              <w:t xml:space="preserve">840 </w:t>
            </w:r>
          </w:p>
        </w:tc>
        <w:tc>
          <w:tcPr>
            <w:tcW w:w="425" w:type="dxa"/>
            <w:shd w:val="clear" w:color="auto" w:fill="C6EFCE"/>
            <w:noWrap/>
          </w:tcPr>
          <w:p w14:paraId="409A1D4A" w14:textId="7DB3EBD1"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32553CA6" w14:textId="7A6AA67C" w:rsidR="003E1D81" w:rsidRDefault="00EB481C">
            <w:pPr>
              <w:pStyle w:val="P68B1DB1-Normal13"/>
              <w:spacing w:after="0" w:line="240" w:lineRule="auto"/>
              <w:jc w:val="center"/>
              <w:rPr>
                <w:rFonts w:eastAsia="Symbol" w:cs="Times New Roman"/>
                <w:noProof/>
              </w:rPr>
            </w:pPr>
            <w:r>
              <w:rPr>
                <w:noProof/>
              </w:rPr>
              <w:t>2025</w:t>
            </w:r>
          </w:p>
        </w:tc>
        <w:tc>
          <w:tcPr>
            <w:tcW w:w="5529" w:type="dxa"/>
            <w:shd w:val="clear" w:color="auto" w:fill="C6EFCE"/>
            <w:noWrap/>
          </w:tcPr>
          <w:p w14:paraId="5260A411" w14:textId="38CC4637" w:rsidR="003E1D81" w:rsidRDefault="00EB481C">
            <w:pPr>
              <w:pStyle w:val="P68B1DB1-Normal13"/>
              <w:spacing w:after="0" w:line="240" w:lineRule="auto"/>
              <w:rPr>
                <w:rFonts w:eastAsia="Symbol" w:cs="Times New Roman"/>
                <w:noProof/>
              </w:rPr>
            </w:pPr>
            <w:r>
              <w:rPr>
                <w:noProof/>
              </w:rPr>
              <w:t>Legalább 840 személy részesült személyes álláskeresési segítségben és/vagy egyéni átképzési pályán a méltányos átállási területeken élő munkanélküliek számá</w:t>
            </w:r>
            <w:r>
              <w:rPr>
                <w:noProof/>
              </w:rPr>
              <w:t>ra. Az átképzési útvonalaknak legalább a következő területekre kell kiterjedniük: megújuló energia (szél- és fotovoltaikus energia) telepítése és fenntartása, helyreállítás és környezetgazdálkodás, és/vagy a lakások integrált és energetikai rehabilitációja</w:t>
            </w:r>
            <w:r>
              <w:rPr>
                <w:noProof/>
              </w:rPr>
              <w:t>.</w:t>
            </w:r>
          </w:p>
        </w:tc>
      </w:tr>
      <w:tr w:rsidR="003E1D81" w14:paraId="31D214C2" w14:textId="77777777">
        <w:trPr>
          <w:trHeight w:val="309"/>
        </w:trPr>
        <w:tc>
          <w:tcPr>
            <w:tcW w:w="709" w:type="dxa"/>
            <w:shd w:val="clear" w:color="auto" w:fill="C6EFCE"/>
            <w:noWrap/>
          </w:tcPr>
          <w:p w14:paraId="0AD4F915" w14:textId="77777777" w:rsidR="003E1D81" w:rsidRDefault="00EB481C">
            <w:pPr>
              <w:pStyle w:val="P68B1DB1-Normal13"/>
              <w:spacing w:after="0" w:line="240" w:lineRule="auto"/>
              <w:jc w:val="center"/>
              <w:rPr>
                <w:rFonts w:eastAsia="Symbol" w:cs="Times New Roman"/>
                <w:noProof/>
              </w:rPr>
            </w:pPr>
            <w:r>
              <w:rPr>
                <w:noProof/>
              </w:rPr>
              <w:t>142</w:t>
            </w:r>
          </w:p>
        </w:tc>
        <w:tc>
          <w:tcPr>
            <w:tcW w:w="851" w:type="dxa"/>
            <w:shd w:val="clear" w:color="auto" w:fill="C6EFCE"/>
            <w:noWrap/>
          </w:tcPr>
          <w:p w14:paraId="4B81512C" w14:textId="77777777" w:rsidR="003E1D81" w:rsidRDefault="00EB481C">
            <w:pPr>
              <w:pStyle w:val="P68B1DB1-Normal13"/>
              <w:spacing w:after="0" w:line="240" w:lineRule="auto"/>
              <w:jc w:val="center"/>
              <w:rPr>
                <w:rFonts w:eastAsia="Symbol" w:cs="Times New Roman"/>
                <w:noProof/>
              </w:rPr>
            </w:pPr>
            <w:r>
              <w:rPr>
                <w:noProof/>
              </w:rPr>
              <w:t>C10.I1</w:t>
            </w:r>
          </w:p>
        </w:tc>
        <w:tc>
          <w:tcPr>
            <w:tcW w:w="850" w:type="dxa"/>
            <w:shd w:val="clear" w:color="auto" w:fill="C6EFCE"/>
            <w:noWrap/>
          </w:tcPr>
          <w:p w14:paraId="49C56718" w14:textId="77777777" w:rsidR="003E1D81" w:rsidRDefault="00EB481C">
            <w:pPr>
              <w:pStyle w:val="P68B1DB1-Normal13"/>
              <w:spacing w:after="0" w:line="240" w:lineRule="auto"/>
              <w:jc w:val="center"/>
              <w:rPr>
                <w:rFonts w:eastAsia="Symbol" w:cs="Times New Roman"/>
                <w:noProof/>
              </w:rPr>
            </w:pPr>
            <w:r>
              <w:rPr>
                <w:noProof/>
              </w:rPr>
              <w:t>T</w:t>
            </w:r>
          </w:p>
        </w:tc>
        <w:tc>
          <w:tcPr>
            <w:tcW w:w="3261" w:type="dxa"/>
            <w:shd w:val="clear" w:color="auto" w:fill="C6EFCE"/>
            <w:noWrap/>
          </w:tcPr>
          <w:p w14:paraId="1EC9E7CC" w14:textId="77777777" w:rsidR="003E1D81" w:rsidRDefault="00EB481C">
            <w:pPr>
              <w:pStyle w:val="P68B1DB1-Normal13"/>
              <w:spacing w:after="0" w:line="240" w:lineRule="auto"/>
              <w:rPr>
                <w:rFonts w:eastAsia="Symbol" w:cs="Times New Roman"/>
                <w:noProof/>
              </w:rPr>
            </w:pPr>
            <w:r>
              <w:rPr>
                <w:noProof/>
              </w:rPr>
              <w:t>Az ipari létesítmények zöld hidrogénnel és energiatárolással kapcsolatos átalakítását célzó beruházási projektek.</w:t>
            </w:r>
          </w:p>
        </w:tc>
        <w:tc>
          <w:tcPr>
            <w:tcW w:w="992" w:type="dxa"/>
            <w:shd w:val="clear" w:color="auto" w:fill="C6EFCE"/>
            <w:noWrap/>
          </w:tcPr>
          <w:p w14:paraId="60D9EF91" w14:textId="77777777" w:rsidR="003E1D81" w:rsidRDefault="00EB481C">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34AF7EF2" w14:textId="77777777" w:rsidR="003E1D81" w:rsidRDefault="00EB481C">
            <w:pPr>
              <w:pStyle w:val="P68B1DB1-Normal13"/>
              <w:spacing w:after="0" w:line="240" w:lineRule="auto"/>
              <w:jc w:val="right"/>
              <w:rPr>
                <w:rFonts w:eastAsia="Symbol" w:cs="Times New Roman"/>
                <w:noProof/>
              </w:rPr>
            </w:pPr>
            <w:r>
              <w:rPr>
                <w:noProof/>
              </w:rPr>
              <w:t>Szám</w:t>
            </w:r>
          </w:p>
        </w:tc>
        <w:tc>
          <w:tcPr>
            <w:tcW w:w="567" w:type="dxa"/>
            <w:shd w:val="clear" w:color="auto" w:fill="C6EFCE"/>
            <w:noWrap/>
          </w:tcPr>
          <w:p w14:paraId="7E83114B" w14:textId="77777777" w:rsidR="003E1D81" w:rsidRDefault="00EB481C">
            <w:pPr>
              <w:pStyle w:val="P68B1DB1-Normal13"/>
              <w:spacing w:after="0" w:line="240" w:lineRule="auto"/>
              <w:jc w:val="right"/>
              <w:rPr>
                <w:rFonts w:eastAsia="Symbol" w:cs="Times New Roman"/>
                <w:noProof/>
              </w:rPr>
            </w:pPr>
            <w:r>
              <w:rPr>
                <w:noProof/>
              </w:rPr>
              <w:t>0</w:t>
            </w:r>
          </w:p>
        </w:tc>
        <w:tc>
          <w:tcPr>
            <w:tcW w:w="709" w:type="dxa"/>
            <w:shd w:val="clear" w:color="auto" w:fill="C6EFCE"/>
            <w:noWrap/>
          </w:tcPr>
          <w:p w14:paraId="7842F596" w14:textId="77777777" w:rsidR="003E1D81" w:rsidRDefault="00EB481C">
            <w:pPr>
              <w:pStyle w:val="P68B1DB1-Normal13"/>
              <w:spacing w:after="0" w:line="240" w:lineRule="auto"/>
              <w:jc w:val="right"/>
              <w:rPr>
                <w:rFonts w:eastAsia="Symbol" w:cs="Times New Roman"/>
                <w:noProof/>
              </w:rPr>
            </w:pPr>
            <w:r>
              <w:rPr>
                <w:noProof/>
              </w:rPr>
              <w:t>2</w:t>
            </w:r>
          </w:p>
        </w:tc>
        <w:tc>
          <w:tcPr>
            <w:tcW w:w="425" w:type="dxa"/>
            <w:shd w:val="clear" w:color="auto" w:fill="C6EFCE"/>
            <w:noWrap/>
          </w:tcPr>
          <w:p w14:paraId="3BF43DB5" w14:textId="77777777" w:rsidR="003E1D81" w:rsidRDefault="00EB481C">
            <w:pPr>
              <w:pStyle w:val="P68B1DB1-Normal13"/>
              <w:spacing w:after="0" w:line="240" w:lineRule="auto"/>
              <w:jc w:val="center"/>
              <w:rPr>
                <w:rFonts w:eastAsia="Symbol" w:cs="Times New Roman"/>
                <w:noProof/>
              </w:rPr>
            </w:pPr>
            <w:r>
              <w:rPr>
                <w:noProof/>
              </w:rPr>
              <w:t>NEGYEDÉV</w:t>
            </w:r>
          </w:p>
        </w:tc>
        <w:tc>
          <w:tcPr>
            <w:tcW w:w="567" w:type="dxa"/>
            <w:shd w:val="clear" w:color="auto" w:fill="C6EFCE"/>
            <w:noWrap/>
          </w:tcPr>
          <w:p w14:paraId="1636D221" w14:textId="0FAE7557" w:rsidR="003E1D81" w:rsidRDefault="00EB481C">
            <w:pPr>
              <w:pStyle w:val="P68B1DB1-Normal13"/>
              <w:spacing w:after="0" w:line="240" w:lineRule="auto"/>
              <w:jc w:val="center"/>
              <w:rPr>
                <w:rFonts w:eastAsia="Symbol" w:cs="Times New Roman"/>
                <w:noProof/>
              </w:rPr>
            </w:pPr>
            <w:r>
              <w:rPr>
                <w:noProof/>
              </w:rPr>
              <w:t>2025</w:t>
            </w:r>
          </w:p>
        </w:tc>
        <w:tc>
          <w:tcPr>
            <w:tcW w:w="5529" w:type="dxa"/>
            <w:shd w:val="clear" w:color="auto" w:fill="C6EFCE"/>
            <w:noWrap/>
          </w:tcPr>
          <w:p w14:paraId="60DC99EA" w14:textId="77777777" w:rsidR="003E1D81" w:rsidRDefault="00EB481C">
            <w:pPr>
              <w:pStyle w:val="P68B1DB1-Normal13"/>
              <w:spacing w:after="0" w:line="240" w:lineRule="auto"/>
              <w:rPr>
                <w:rFonts w:eastAsia="Symbol" w:cs="Times New Roman"/>
                <w:noProof/>
              </w:rPr>
            </w:pPr>
            <w:r>
              <w:rPr>
                <w:noProof/>
              </w:rPr>
              <w:t xml:space="preserve">Két olyan beruházási projekt lezárása, amelyek célja az ipari létesítmények jövőbeli </w:t>
            </w:r>
            <w:r>
              <w:rPr>
                <w:i/>
                <w:noProof/>
              </w:rPr>
              <w:t xml:space="preserve">Infraestructura </w:t>
            </w:r>
            <w:r>
              <w:rPr>
                <w:i/>
                <w:noProof/>
              </w:rPr>
              <w:t>Científica y Técnica Singular</w:t>
            </w:r>
            <w:r>
              <w:rPr>
                <w:noProof/>
              </w:rPr>
              <w:t xml:space="preserve"> (ICTP) átalakítása a zöldhidrogén-termelés és az energiatárolás validálása érdekében. A projektek a Ciudad de la Energía (CIUDEN) létesítményeit és laboratóriumait a zöld hidrogén előállítására és az energiatárolásra irányuló </w:t>
            </w:r>
            <w:r>
              <w:rPr>
                <w:noProof/>
              </w:rPr>
              <w:t>két K+F+I projekthez igazítják.</w:t>
            </w:r>
          </w:p>
        </w:tc>
      </w:tr>
      <w:tr w:rsidR="003E1D81" w14:paraId="26CCBD48" w14:textId="77777777">
        <w:trPr>
          <w:trHeight w:val="309"/>
        </w:trPr>
        <w:tc>
          <w:tcPr>
            <w:tcW w:w="709" w:type="dxa"/>
            <w:shd w:val="clear" w:color="auto" w:fill="C6EFCE"/>
            <w:noWrap/>
          </w:tcPr>
          <w:p w14:paraId="642DAC0B" w14:textId="77777777" w:rsidR="003E1D81" w:rsidRDefault="00EB481C">
            <w:pPr>
              <w:pStyle w:val="P68B1DB1-Normal13"/>
              <w:spacing w:after="0" w:line="240" w:lineRule="auto"/>
              <w:jc w:val="center"/>
              <w:rPr>
                <w:rFonts w:eastAsia="Symbol" w:cs="Times New Roman"/>
                <w:noProof/>
              </w:rPr>
            </w:pPr>
            <w:r>
              <w:rPr>
                <w:noProof/>
              </w:rPr>
              <w:t>143</w:t>
            </w:r>
          </w:p>
        </w:tc>
        <w:tc>
          <w:tcPr>
            <w:tcW w:w="851" w:type="dxa"/>
            <w:shd w:val="clear" w:color="auto" w:fill="C6EFCE"/>
            <w:noWrap/>
          </w:tcPr>
          <w:p w14:paraId="30B38E23" w14:textId="77777777" w:rsidR="003E1D81" w:rsidRDefault="00EB481C">
            <w:pPr>
              <w:pStyle w:val="P68B1DB1-Normal13"/>
              <w:spacing w:after="0" w:line="240" w:lineRule="auto"/>
              <w:jc w:val="center"/>
              <w:rPr>
                <w:rFonts w:eastAsia="Symbol" w:cs="Times New Roman"/>
                <w:noProof/>
              </w:rPr>
            </w:pPr>
            <w:r>
              <w:rPr>
                <w:noProof/>
              </w:rPr>
              <w:t>C10.I1</w:t>
            </w:r>
          </w:p>
        </w:tc>
        <w:tc>
          <w:tcPr>
            <w:tcW w:w="850" w:type="dxa"/>
            <w:shd w:val="clear" w:color="auto" w:fill="C6EFCE"/>
            <w:noWrap/>
          </w:tcPr>
          <w:p w14:paraId="1BBCB446" w14:textId="77777777" w:rsidR="003E1D81" w:rsidRDefault="00EB481C">
            <w:pPr>
              <w:pStyle w:val="P68B1DB1-Normal13"/>
              <w:spacing w:after="0" w:line="240" w:lineRule="auto"/>
              <w:jc w:val="center"/>
              <w:rPr>
                <w:rFonts w:eastAsia="Symbol" w:cs="Times New Roman"/>
                <w:noProof/>
              </w:rPr>
            </w:pPr>
            <w:r>
              <w:rPr>
                <w:noProof/>
              </w:rPr>
              <w:t>T</w:t>
            </w:r>
          </w:p>
        </w:tc>
        <w:tc>
          <w:tcPr>
            <w:tcW w:w="3261" w:type="dxa"/>
            <w:shd w:val="clear" w:color="auto" w:fill="C6EFCE"/>
            <w:noWrap/>
          </w:tcPr>
          <w:p w14:paraId="7A067092" w14:textId="77777777" w:rsidR="003E1D81" w:rsidRDefault="00EB481C">
            <w:pPr>
              <w:pStyle w:val="P68B1DB1-Normal13"/>
              <w:spacing w:after="0" w:line="240" w:lineRule="auto"/>
              <w:rPr>
                <w:rFonts w:eastAsia="Symbol" w:cs="Times New Roman"/>
                <w:noProof/>
              </w:rPr>
            </w:pPr>
            <w:r>
              <w:rPr>
                <w:noProof/>
              </w:rPr>
              <w:t>Bezárt szénbányákban vagy erőművekkel szomszédos területeken lévő rehabilitációs területek.</w:t>
            </w:r>
          </w:p>
        </w:tc>
        <w:tc>
          <w:tcPr>
            <w:tcW w:w="992" w:type="dxa"/>
            <w:shd w:val="clear" w:color="auto" w:fill="C6EFCE"/>
            <w:noWrap/>
          </w:tcPr>
          <w:p w14:paraId="0812ED9E" w14:textId="77777777" w:rsidR="003E1D81" w:rsidRDefault="00EB481C">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06982734" w14:textId="77777777" w:rsidR="003E1D81" w:rsidRDefault="00EB481C">
            <w:pPr>
              <w:pStyle w:val="P68B1DB1-Normal13"/>
              <w:spacing w:after="0" w:line="240" w:lineRule="auto"/>
              <w:jc w:val="right"/>
              <w:rPr>
                <w:rFonts w:eastAsia="Symbol" w:cs="Times New Roman"/>
                <w:noProof/>
              </w:rPr>
            </w:pPr>
            <w:r>
              <w:rPr>
                <w:noProof/>
              </w:rPr>
              <w:t>Szám (hektárok)</w:t>
            </w:r>
          </w:p>
        </w:tc>
        <w:tc>
          <w:tcPr>
            <w:tcW w:w="567" w:type="dxa"/>
            <w:shd w:val="clear" w:color="auto" w:fill="C6EFCE"/>
            <w:noWrap/>
          </w:tcPr>
          <w:p w14:paraId="28EA6124" w14:textId="77777777" w:rsidR="003E1D81" w:rsidRDefault="00EB481C">
            <w:pPr>
              <w:pStyle w:val="P68B1DB1-Normal13"/>
              <w:spacing w:after="0" w:line="240" w:lineRule="auto"/>
              <w:jc w:val="right"/>
              <w:rPr>
                <w:rFonts w:eastAsia="Symbol" w:cs="Times New Roman"/>
                <w:noProof/>
              </w:rPr>
            </w:pPr>
            <w:r>
              <w:rPr>
                <w:noProof/>
              </w:rPr>
              <w:t>0</w:t>
            </w:r>
          </w:p>
        </w:tc>
        <w:tc>
          <w:tcPr>
            <w:tcW w:w="709" w:type="dxa"/>
            <w:shd w:val="clear" w:color="auto" w:fill="C6EFCE"/>
            <w:noWrap/>
          </w:tcPr>
          <w:p w14:paraId="1DCF5F40" w14:textId="77777777" w:rsidR="003E1D81" w:rsidRDefault="00EB481C">
            <w:pPr>
              <w:pStyle w:val="P68B1DB1-Normal13"/>
              <w:spacing w:after="0" w:line="240" w:lineRule="auto"/>
              <w:jc w:val="right"/>
              <w:rPr>
                <w:rFonts w:eastAsia="Symbol" w:cs="Times New Roman"/>
                <w:noProof/>
              </w:rPr>
            </w:pPr>
            <w:r>
              <w:rPr>
                <w:noProof/>
              </w:rPr>
              <w:t>2 000</w:t>
            </w:r>
          </w:p>
        </w:tc>
        <w:tc>
          <w:tcPr>
            <w:tcW w:w="425" w:type="dxa"/>
            <w:shd w:val="clear" w:color="auto" w:fill="C6EFCE"/>
            <w:noWrap/>
          </w:tcPr>
          <w:p w14:paraId="684BA9D8" w14:textId="77777777" w:rsidR="003E1D81" w:rsidRDefault="00EB481C">
            <w:pPr>
              <w:pStyle w:val="P68B1DB1-Normal13"/>
              <w:spacing w:after="0" w:line="240" w:lineRule="auto"/>
              <w:jc w:val="center"/>
              <w:rPr>
                <w:rFonts w:eastAsia="Symbol" w:cs="Times New Roman"/>
                <w:noProof/>
              </w:rPr>
            </w:pPr>
            <w:r>
              <w:rPr>
                <w:noProof/>
              </w:rPr>
              <w:t>KÉRDÉS</w:t>
            </w:r>
          </w:p>
        </w:tc>
        <w:tc>
          <w:tcPr>
            <w:tcW w:w="567" w:type="dxa"/>
            <w:shd w:val="clear" w:color="auto" w:fill="C6EFCE"/>
            <w:noWrap/>
          </w:tcPr>
          <w:p w14:paraId="5B397BA1" w14:textId="77777777" w:rsidR="003E1D81" w:rsidRDefault="00EB481C">
            <w:pPr>
              <w:pStyle w:val="P68B1DB1-Normal13"/>
              <w:spacing w:after="0" w:line="240" w:lineRule="auto"/>
              <w:jc w:val="center"/>
              <w:rPr>
                <w:rFonts w:eastAsia="Symbol" w:cs="Times New Roman"/>
                <w:noProof/>
              </w:rPr>
            </w:pPr>
            <w:r>
              <w:rPr>
                <w:noProof/>
              </w:rPr>
              <w:t>2026</w:t>
            </w:r>
          </w:p>
        </w:tc>
        <w:tc>
          <w:tcPr>
            <w:tcW w:w="5529" w:type="dxa"/>
            <w:shd w:val="clear" w:color="auto" w:fill="C6EFCE"/>
            <w:noWrap/>
          </w:tcPr>
          <w:p w14:paraId="5AEEA7F3" w14:textId="77777777" w:rsidR="003E1D81" w:rsidRDefault="00EB481C">
            <w:pPr>
              <w:pStyle w:val="P68B1DB1-Normal13"/>
              <w:spacing w:after="0" w:line="240" w:lineRule="auto"/>
              <w:rPr>
                <w:rFonts w:eastAsia="Symbol" w:cs="Times New Roman"/>
                <w:noProof/>
              </w:rPr>
            </w:pPr>
            <w:r>
              <w:rPr>
                <w:noProof/>
              </w:rPr>
              <w:t xml:space="preserve">Legalább 2000 hektár rehabilitált terület zárt szénbányákban vagy hő- vagy </w:t>
            </w:r>
            <w:r>
              <w:rPr>
                <w:noProof/>
              </w:rPr>
              <w:t>atomerőművekkel szomszédos területeken. Szennyezett területeken, különösen szénbányákban vagy termikus erőművekkel vagy atomerőművekkel határos földterületek rehabilitált területéhez, ahol a talajt rehabilitálják és újraerdősítési vagy újratelepítési folya</w:t>
            </w:r>
            <w:r>
              <w:rPr>
                <w:noProof/>
              </w:rPr>
              <w:t>matoknak, megújuló energiaforrásokat hasznosító létesítményeknek vagy ökoalternatív gazdasági fejlődésnek vetik alá.</w:t>
            </w:r>
          </w:p>
        </w:tc>
      </w:tr>
    </w:tbl>
    <w:p w14:paraId="386B8F08" w14:textId="32D8376A" w:rsidR="003E1D81" w:rsidRDefault="003E1D81">
      <w:pPr>
        <w:tabs>
          <w:tab w:val="left" w:pos="2370"/>
        </w:tabs>
        <w:rPr>
          <w:rFonts w:ascii="Times New Roman" w:hAnsi="Times New Roman" w:cs="Times New Roman"/>
          <w:noProof/>
          <w:sz w:val="24"/>
        </w:rPr>
        <w:sectPr w:rsidR="003E1D81" w:rsidSect="00EB7CC8">
          <w:headerReference w:type="even" r:id="rId216"/>
          <w:headerReference w:type="default" r:id="rId217"/>
          <w:footerReference w:type="even" r:id="rId218"/>
          <w:footerReference w:type="default" r:id="rId219"/>
          <w:headerReference w:type="first" r:id="rId220"/>
          <w:footerReference w:type="first" r:id="rId221"/>
          <w:pgSz w:w="16839" w:h="11907" w:orient="landscape"/>
          <w:pgMar w:top="1417" w:right="1134" w:bottom="1417" w:left="1134" w:header="709" w:footer="709" w:gutter="0"/>
          <w:cols w:space="720"/>
          <w:docGrid w:linePitch="360"/>
        </w:sectPr>
      </w:pPr>
    </w:p>
    <w:p w14:paraId="6A7F6ABC" w14:textId="77777777" w:rsidR="003E1D81" w:rsidRDefault="00EB481C">
      <w:pPr>
        <w:pStyle w:val="P68B1DB1-Heading12"/>
        <w:rPr>
          <w:rFonts w:cs="Times New Roman"/>
          <w:noProof/>
        </w:rPr>
      </w:pPr>
      <w:r>
        <w:rPr>
          <w:noProof/>
        </w:rPr>
        <w:t>K. 11. ELEM: A közigazgatások korszerűsítése</w:t>
      </w:r>
    </w:p>
    <w:p w14:paraId="352E93FA" w14:textId="77777777" w:rsidR="003E1D81" w:rsidRDefault="00EB481C">
      <w:pPr>
        <w:pStyle w:val="P68B1DB1-Normal4"/>
        <w:spacing w:before="120" w:after="120" w:line="240" w:lineRule="auto"/>
        <w:jc w:val="both"/>
        <w:rPr>
          <w:rFonts w:cs="Times New Roman"/>
          <w:noProof/>
        </w:rPr>
      </w:pPr>
      <w:r>
        <w:rPr>
          <w:noProof/>
        </w:rPr>
        <w:t xml:space="preserve">A spanyol helyreállítási és </w:t>
      </w:r>
      <w:r>
        <w:rPr>
          <w:noProof/>
        </w:rPr>
        <w:t>rezilienciaépítési terv e komponense foglalkozik a közigazgatást érintő kihívásokkal, beleértve az igazságszolgáltatási rendszer hatékonyságát, a közigazgatási kapacitást és a különböző kormányzati szintek közötti együttműködést. Célja a spanyol közigazgat</w:t>
      </w:r>
      <w:r>
        <w:rPr>
          <w:noProof/>
        </w:rPr>
        <w:t>ás modernizálása a közigazgatási folyamatok, a közbeszerzés, az igazságszolgáltatás és a közfoglalkoztatás reformja révén, beleértve a humánerőforrás-politikákat is; a közszolgáltatások hozzáférhetőségének és hatékonyságának növelése azok további digitaliz</w:t>
      </w:r>
      <w:r>
        <w:rPr>
          <w:noProof/>
        </w:rPr>
        <w:t xml:space="preserve">álása révén; az energiamegtakarítás, a megújuló energia középületekben és -infrastruktúrákban való használatának előmozdítása, a köztisztviselők fenntartható mobilitásának fokozása; valamint a közigazgatási szervek közigazgatási kapacitásának megerősítése </w:t>
      </w:r>
      <w:r>
        <w:rPr>
          <w:noProof/>
        </w:rPr>
        <w:t>a közpolitikák nyomon követése, ellenőrzése és végrehajtása érdekében. Az e célok eléréséhez szükséges legfontosabb intézkedések a következők:</w:t>
      </w:r>
    </w:p>
    <w:p w14:paraId="56EFA3F4" w14:textId="77777777" w:rsidR="003E1D81" w:rsidRDefault="00EB481C">
      <w:pPr>
        <w:pStyle w:val="P68B1DB1-Normal4"/>
        <w:numPr>
          <w:ilvl w:val="0"/>
          <w:numId w:val="106"/>
        </w:numPr>
        <w:spacing w:before="120" w:after="120" w:line="240" w:lineRule="auto"/>
        <w:ind w:left="714" w:hanging="357"/>
        <w:contextualSpacing/>
        <w:jc w:val="both"/>
        <w:rPr>
          <w:rFonts w:cs="Times New Roman"/>
          <w:noProof/>
        </w:rPr>
      </w:pPr>
      <w:r>
        <w:rPr>
          <w:noProof/>
        </w:rPr>
        <w:t>A központi, regionális és helyi közigazgatás reformja a közöttük lévő együttműködés javítása, a közbeszerzési ker</w:t>
      </w:r>
      <w:r>
        <w:rPr>
          <w:noProof/>
        </w:rPr>
        <w:t>et megerősítése, a közpolitikák értékelése és a határozatlan idejű munkaszerződésekre való áttérés előmozdítása révén;</w:t>
      </w:r>
    </w:p>
    <w:p w14:paraId="4271A214" w14:textId="77777777" w:rsidR="003E1D81" w:rsidRDefault="00EB481C">
      <w:pPr>
        <w:pStyle w:val="P68B1DB1-Normal4"/>
        <w:numPr>
          <w:ilvl w:val="0"/>
          <w:numId w:val="106"/>
        </w:numPr>
        <w:spacing w:before="120" w:after="120" w:line="240" w:lineRule="auto"/>
        <w:ind w:left="714" w:hanging="357"/>
        <w:contextualSpacing/>
        <w:jc w:val="both"/>
        <w:rPr>
          <w:rFonts w:cs="Times New Roman"/>
          <w:noProof/>
        </w:rPr>
      </w:pPr>
      <w:r>
        <w:rPr>
          <w:noProof/>
        </w:rPr>
        <w:t>A közigazgatások és folyamatok digitalizálása öt kiemelt projekttel a stratégiai területeken: igazságszolgáltatás, állami foglalkoztatási</w:t>
      </w:r>
      <w:r>
        <w:rPr>
          <w:noProof/>
        </w:rPr>
        <w:t xml:space="preserve"> szolgálatok, közegészségügyi adatok, konzulátusok igazgatása és területi igazgatás;</w:t>
      </w:r>
    </w:p>
    <w:p w14:paraId="1C63BC53" w14:textId="77777777" w:rsidR="003E1D81" w:rsidRDefault="00EB481C">
      <w:pPr>
        <w:pStyle w:val="P68B1DB1-Normal4"/>
        <w:numPr>
          <w:ilvl w:val="0"/>
          <w:numId w:val="106"/>
        </w:numPr>
        <w:spacing w:before="120" w:after="120" w:line="240" w:lineRule="auto"/>
        <w:ind w:left="714" w:hanging="357"/>
        <w:contextualSpacing/>
        <w:jc w:val="both"/>
        <w:rPr>
          <w:rFonts w:cs="Times New Roman"/>
          <w:noProof/>
        </w:rPr>
      </w:pPr>
      <w:r>
        <w:rPr>
          <w:noProof/>
        </w:rPr>
        <w:t>A központi kormányzat energetikai átállási terve;</w:t>
      </w:r>
    </w:p>
    <w:p w14:paraId="393C7493" w14:textId="77777777" w:rsidR="003E1D81" w:rsidRDefault="00EB481C">
      <w:pPr>
        <w:pStyle w:val="P68B1DB1-Normal4"/>
        <w:numPr>
          <w:ilvl w:val="0"/>
          <w:numId w:val="106"/>
        </w:numPr>
        <w:spacing w:before="120" w:after="120" w:line="240" w:lineRule="auto"/>
        <w:ind w:left="714" w:hanging="357"/>
        <w:contextualSpacing/>
        <w:jc w:val="both"/>
        <w:rPr>
          <w:rFonts w:cs="Times New Roman"/>
          <w:noProof/>
        </w:rPr>
      </w:pPr>
      <w:r>
        <w:rPr>
          <w:noProof/>
        </w:rPr>
        <w:t>Az igazgatási kapacitások megerősítése.</w:t>
      </w:r>
    </w:p>
    <w:p w14:paraId="5F50FC9F" w14:textId="4115D13C" w:rsidR="003E1D81" w:rsidRDefault="00EB481C">
      <w:pPr>
        <w:pStyle w:val="P68B1DB1-Normal4"/>
        <w:spacing w:before="120" w:after="120" w:line="240" w:lineRule="auto"/>
        <w:jc w:val="both"/>
        <w:rPr>
          <w:rFonts w:cs="Times New Roman"/>
          <w:noProof/>
        </w:rPr>
      </w:pPr>
      <w:r>
        <w:rPr>
          <w:noProof/>
        </w:rPr>
        <w:t>A spanyol helyreállítási és rezilienciaépítési terv e komponense a következő orsz</w:t>
      </w:r>
      <w:r>
        <w:rPr>
          <w:noProof/>
        </w:rPr>
        <w:t>ágspecifikus ajánlásokkal foglalkozik: a közbeszerzési keret megerősítése (2019. és 4. országspecifikus ajánlás), a határozatlan idejű szerződésekre való átállás előmozdítása (2019. évi 2. országspecifikus ajánlás), a közberuházások előreütemezése, valamin</w:t>
      </w:r>
      <w:r>
        <w:rPr>
          <w:noProof/>
        </w:rPr>
        <w:t>t a beruházásoknak a zöld és digitális átállásra való összpontosítása (3., 3., 2020., 2022. és 1. 2023. évi országspecifikus ajánlás), valamint a közigazgatások közötti együttműködés javítása (2019. és 2020. évi 4. országspecifikus ajánlás).</w:t>
      </w:r>
    </w:p>
    <w:p w14:paraId="40F85C11" w14:textId="77777777" w:rsidR="003E1D81" w:rsidRDefault="00EB481C">
      <w:pPr>
        <w:pStyle w:val="P68B1DB1-Normal4"/>
        <w:spacing w:before="120" w:after="120" w:line="240" w:lineRule="auto"/>
        <w:jc w:val="both"/>
        <w:rPr>
          <w:rFonts w:cs="Times New Roman"/>
          <w:noProof/>
        </w:rPr>
      </w:pPr>
      <w:r>
        <w:rPr>
          <w:noProof/>
        </w:rPr>
        <w:t>A jelentős kár</w:t>
      </w:r>
      <w:r>
        <w:rPr>
          <w:noProof/>
        </w:rPr>
        <w:t>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w:t>
      </w:r>
      <w:r>
        <w:rPr>
          <w:noProof/>
        </w:rPr>
        <w:t>igyelembe véve ebben a komponensben várhatóan egyetlen intézkedés sem sérti jelentős mértékben az (EU) 2020/852 rendelet 17. cikke szerinti környezeti célkitűzéseket.</w:t>
      </w:r>
    </w:p>
    <w:p w14:paraId="12F0DF21" w14:textId="77777777" w:rsidR="003E1D81" w:rsidRDefault="00EB481C">
      <w:pPr>
        <w:pStyle w:val="P68B1DB1-Normal5"/>
        <w:spacing w:before="120" w:after="120" w:line="240" w:lineRule="auto"/>
        <w:jc w:val="both"/>
        <w:rPr>
          <w:rFonts w:cs="Times New Roman"/>
          <w:i/>
          <w:noProof/>
        </w:rPr>
      </w:pPr>
      <w:r>
        <w:rPr>
          <w:noProof/>
        </w:rPr>
        <w:t xml:space="preserve">K.1. </w:t>
      </w:r>
      <w:r>
        <w:rPr>
          <w:noProof/>
        </w:rPr>
        <w:tab/>
        <w:t>Vissza nem térítendő pénzügyi támogatás – a reformok és beruházások ismertetése</w:t>
      </w:r>
    </w:p>
    <w:p w14:paraId="3DACBE7E" w14:textId="77777777" w:rsidR="003E1D81" w:rsidRDefault="00EB481C">
      <w:pPr>
        <w:pStyle w:val="P68B1DB1-Normal6"/>
        <w:spacing w:before="120" w:after="120" w:line="240" w:lineRule="auto"/>
        <w:jc w:val="both"/>
        <w:rPr>
          <w:rFonts w:cs="Times New Roman"/>
          <w:noProof/>
        </w:rPr>
      </w:pPr>
      <w:r>
        <w:rPr>
          <w:noProof/>
        </w:rPr>
        <w:t>Ref</w:t>
      </w:r>
      <w:r>
        <w:rPr>
          <w:noProof/>
        </w:rPr>
        <w:t xml:space="preserve">orm (C11.R1) – Az igazgatás korszerűsítésére és digitalizációjára irányuló reform </w:t>
      </w:r>
    </w:p>
    <w:p w14:paraId="2714C8E2" w14:textId="77777777" w:rsidR="003E1D81" w:rsidRDefault="00EB481C">
      <w:pPr>
        <w:pStyle w:val="P68B1DB1-Normal4"/>
        <w:spacing w:before="120" w:after="120" w:line="240" w:lineRule="auto"/>
        <w:jc w:val="both"/>
        <w:rPr>
          <w:rFonts w:cs="Times New Roman"/>
          <w:noProof/>
        </w:rPr>
      </w:pPr>
      <w:r>
        <w:rPr>
          <w:noProof/>
        </w:rPr>
        <w:t>Ezt az intézkedést több cselekvési irányvonalba kell foglalni a közigazgatás foglalkoztatáspolitikai hiányosságainak kezelése, a különböző kormányzati szintek közötti együtt</w:t>
      </w:r>
      <w:r>
        <w:rPr>
          <w:noProof/>
        </w:rPr>
        <w:t>működés és koordináció megerősítése, valamint a központi kormányzat közpolitikák végrehajtásának javítása érdekében. Ami a foglalkoztatáspolitikákat illeti, a cél a közigazgatásban az ideiglenes alkalmazottak arányának csökkentése és az állami foglalkoztat</w:t>
      </w:r>
      <w:r>
        <w:rPr>
          <w:noProof/>
        </w:rPr>
        <w:t>ási kapacitások megerősítése egy kompetenciaalapú emberierőforrás-modell felé történő elmozdulás révén, többek között munkaerő-felvétel céljából is. A második cselekvési irányvonal az előzetes szakpolitikai értékelés továbbfejlesztése, valamint az átláthat</w:t>
      </w:r>
      <w:r>
        <w:rPr>
          <w:noProof/>
        </w:rPr>
        <w:t>óság és a polgárok közpolitikai döntéshozatalban való részvételének növelése, beleértve az érdekcsoportok tevékenységeinek átláthatóságáról és integritásáról szóló új törvényt is.</w:t>
      </w:r>
      <w:r>
        <w:rPr>
          <w:noProof/>
          <w:shd w:val="clear" w:color="auto" w:fill="FFFFFF" w:themeFill="background1"/>
        </w:rPr>
        <w:t xml:space="preserve"> Végezetül a reform</w:t>
      </w:r>
      <w:r>
        <w:rPr>
          <w:noProof/>
        </w:rPr>
        <w:t xml:space="preserve"> megerősíti a Spanyolország különböző kormányzati szintjei</w:t>
      </w:r>
      <w:r>
        <w:rPr>
          <w:noProof/>
        </w:rPr>
        <w:t xml:space="preserve"> közötti együttműködés meglévő eszközeit. Ez megerősíti az ágazati konferenciák – a régiókkal való együttműködés meglévő szervei – szerepét azáltal, hogy egyértelművé teszi, hogy mikor köthetnek kötelező megfelelési megállapodásokat. A reform megerősíti az</w:t>
      </w:r>
      <w:r>
        <w:rPr>
          <w:noProof/>
        </w:rPr>
        <w:t xml:space="preserve"> Elnökök Értekezletét is (ahol a miniszterelnök és az autonóm közösségek elnökei a legmagasabb szinten üléseznek). A reform olyan eszközöket is érint, amelyek révén lehetséges a közigazgatási szervek közötti együttműködés, létre kell hozni a központi és re</w:t>
      </w:r>
      <w:r>
        <w:rPr>
          <w:noProof/>
        </w:rPr>
        <w:t xml:space="preserve">gionális kormányzati informatikai platformok közötti digitális adminisztratív összeköttetéseket és </w:t>
      </w:r>
      <w:r>
        <w:rPr>
          <w:noProof/>
          <w:shd w:val="clear" w:color="auto" w:fill="FFFFFF" w:themeFill="background1"/>
        </w:rPr>
        <w:t xml:space="preserve">interoperabilitást. </w:t>
      </w:r>
      <w:r>
        <w:rPr>
          <w:noProof/>
        </w:rPr>
        <w:t>A reformnak aktualizálnia kell a nemzetbiztonsági keretet is.</w:t>
      </w:r>
    </w:p>
    <w:p w14:paraId="636B4929" w14:textId="77777777" w:rsidR="003E1D81" w:rsidRDefault="00EB481C">
      <w:pPr>
        <w:pStyle w:val="P68B1DB1-Normal4"/>
        <w:spacing w:before="120" w:after="120" w:line="240" w:lineRule="auto"/>
        <w:jc w:val="both"/>
        <w:rPr>
          <w:rFonts w:cs="Times New Roman"/>
          <w:noProof/>
        </w:rPr>
      </w:pPr>
      <w:r>
        <w:rPr>
          <w:noProof/>
        </w:rPr>
        <w:t>Ezen intézkedés végrehajtását 2024. december 31-ig be kell fejezni.</w:t>
      </w:r>
    </w:p>
    <w:p w14:paraId="25E2998A" w14:textId="77777777" w:rsidR="003E1D81" w:rsidRDefault="00EB481C">
      <w:pPr>
        <w:pStyle w:val="P68B1DB1-Normal6"/>
        <w:keepNext/>
        <w:spacing w:before="120" w:after="120" w:line="240" w:lineRule="auto"/>
        <w:jc w:val="both"/>
        <w:rPr>
          <w:rFonts w:cs="Times New Roman"/>
          <w:noProof/>
        </w:rPr>
      </w:pPr>
      <w:r>
        <w:rPr>
          <w:noProof/>
        </w:rPr>
        <w:t xml:space="preserve">Reform </w:t>
      </w:r>
      <w:r>
        <w:rPr>
          <w:noProof/>
        </w:rPr>
        <w:t>(C11.R2) – A jogállamiság és az igazságszolgáltatási rendszer hatékonyságának fokozását célzó reform</w:t>
      </w:r>
    </w:p>
    <w:p w14:paraId="01290F57" w14:textId="77777777" w:rsidR="003E1D81" w:rsidRDefault="00EB481C">
      <w:pPr>
        <w:pStyle w:val="P68B1DB1-Normal4"/>
        <w:keepNext/>
        <w:spacing w:before="120" w:after="120" w:line="240" w:lineRule="auto"/>
        <w:jc w:val="both"/>
        <w:rPr>
          <w:rFonts w:cs="Times New Roman"/>
          <w:noProof/>
        </w:rPr>
      </w:pPr>
      <w:r>
        <w:rPr>
          <w:noProof/>
        </w:rPr>
        <w:t>A szeptember 18-i 3/2020. sz. törvény és a Jogérvényesülés 2030 program ütemtervet határoz meg a spanyolországi igazságszolgáltatás reformjára. Ebben az ös</w:t>
      </w:r>
      <w:r>
        <w:rPr>
          <w:noProof/>
        </w:rPr>
        <w:t>szefüggésben ez az intézkedés a hatálybalépésig korszerűsíti az igazságszolgáltatási rendszert (figyelembe véve az egyes jogszabályokban megállapított „</w:t>
      </w:r>
      <w:r>
        <w:rPr>
          <w:i/>
          <w:noProof/>
        </w:rPr>
        <w:t>vacatio legis</w:t>
      </w:r>
      <w:r>
        <w:rPr>
          <w:noProof/>
        </w:rPr>
        <w:t xml:space="preserve">”-t),  </w:t>
      </w:r>
    </w:p>
    <w:p w14:paraId="1F3E25AB" w14:textId="77777777" w:rsidR="003E1D81" w:rsidRDefault="00EB481C">
      <w:pPr>
        <w:pStyle w:val="P68B1DB1-Normal4"/>
        <w:spacing w:before="120" w:after="120" w:line="240" w:lineRule="auto"/>
        <w:jc w:val="both"/>
        <w:rPr>
          <w:rFonts w:cs="Times New Roman"/>
          <w:noProof/>
        </w:rPr>
      </w:pPr>
      <w:r>
        <w:rPr>
          <w:noProof/>
        </w:rPr>
        <w:t>2022. december 31-ig:</w:t>
      </w:r>
    </w:p>
    <w:p w14:paraId="2E37D948" w14:textId="6B89FDCF" w:rsidR="003E1D81" w:rsidRDefault="00EB481C">
      <w:pPr>
        <w:pStyle w:val="P68B1DB1-Normal4"/>
        <w:numPr>
          <w:ilvl w:val="0"/>
          <w:numId w:val="109"/>
        </w:numPr>
        <w:spacing w:before="120" w:after="120" w:line="240" w:lineRule="auto"/>
        <w:jc w:val="both"/>
        <w:rPr>
          <w:rFonts w:cs="Times New Roman"/>
          <w:noProof/>
        </w:rPr>
      </w:pPr>
      <w:r>
        <w:rPr>
          <w:noProof/>
        </w:rPr>
        <w:t xml:space="preserve">Az eljárások hatékonyságáról szóló királyi törvényerejű </w:t>
      </w:r>
      <w:r>
        <w:rPr>
          <w:noProof/>
        </w:rPr>
        <w:t>rendelet, amely valamennyi joghatóságban lerövidíti az eljárások hosszát, ugyanakkor megőrzi a polgárok eljárási garanciáit;</w:t>
      </w:r>
    </w:p>
    <w:p w14:paraId="2F975B10" w14:textId="27DAE543" w:rsidR="003E1D81" w:rsidRDefault="00EB481C">
      <w:pPr>
        <w:pStyle w:val="P68B1DB1-Normal4"/>
        <w:numPr>
          <w:ilvl w:val="0"/>
          <w:numId w:val="109"/>
        </w:numPr>
        <w:spacing w:before="120" w:after="120" w:line="240" w:lineRule="auto"/>
        <w:jc w:val="both"/>
        <w:rPr>
          <w:rFonts w:cs="Times New Roman"/>
          <w:noProof/>
        </w:rPr>
      </w:pPr>
      <w:r>
        <w:rPr>
          <w:noProof/>
        </w:rPr>
        <w:t>A digitális hatékonyságról szóló királyi törvényerejű rendelet, amely előmozdítja az információkezelés adatvezérelt architektúráját</w:t>
      </w:r>
      <w:r>
        <w:rPr>
          <w:noProof/>
        </w:rPr>
        <w:t>.</w:t>
      </w:r>
    </w:p>
    <w:p w14:paraId="5C8D43F9" w14:textId="18DD97C7" w:rsidR="003E1D81" w:rsidRDefault="00EB481C">
      <w:pPr>
        <w:pStyle w:val="P68B1DB1-Normal4"/>
        <w:spacing w:before="120" w:after="120" w:line="240" w:lineRule="auto"/>
        <w:jc w:val="both"/>
        <w:rPr>
          <w:rFonts w:cs="Times New Roman"/>
          <w:noProof/>
        </w:rPr>
      </w:pPr>
      <w:r>
        <w:rPr>
          <w:noProof/>
        </w:rPr>
        <w:t>2024. december 31-ig:</w:t>
      </w:r>
    </w:p>
    <w:p w14:paraId="633FA789" w14:textId="417AC4CB" w:rsidR="003E1D81" w:rsidRDefault="00EB481C">
      <w:pPr>
        <w:pStyle w:val="P68B1DB1-Normal4"/>
        <w:numPr>
          <w:ilvl w:val="0"/>
          <w:numId w:val="109"/>
        </w:numPr>
        <w:spacing w:before="120" w:after="120" w:line="240" w:lineRule="auto"/>
        <w:jc w:val="both"/>
        <w:rPr>
          <w:rFonts w:cs="Times New Roman"/>
          <w:noProof/>
        </w:rPr>
      </w:pPr>
      <w:r>
        <w:rPr>
          <w:noProof/>
        </w:rPr>
        <w:t>Az igazságszolgáltatási rendszer szervezeti és eljárási hatékonyságáról szóló törvény, amely módosítja az igazságszolgáltatási térkép felépítését és alternatív vitarendezési eszközöket hoz létre. Ez a törvény az egyszemélyes elsőfok</w:t>
      </w:r>
      <w:r>
        <w:rPr>
          <w:noProof/>
        </w:rPr>
        <w:t>ú bíróságok magas számát 431 testülettel (</w:t>
      </w:r>
      <w:r>
        <w:rPr>
          <w:i/>
          <w:noProof/>
        </w:rPr>
        <w:t>Tribunales de Instancia</w:t>
      </w:r>
      <w:r>
        <w:rPr>
          <w:noProof/>
        </w:rPr>
        <w:t>) váltja fel, és végrehajtja a Bírósági Hivatalt.</w:t>
      </w:r>
    </w:p>
    <w:p w14:paraId="1C0B2809" w14:textId="778A1BB0" w:rsidR="003E1D81" w:rsidRDefault="00EB481C">
      <w:pPr>
        <w:pStyle w:val="P68B1DB1-Normal4"/>
        <w:numPr>
          <w:ilvl w:val="0"/>
          <w:numId w:val="109"/>
        </w:numPr>
        <w:spacing w:before="120" w:after="120" w:line="240" w:lineRule="auto"/>
        <w:jc w:val="both"/>
        <w:rPr>
          <w:rFonts w:cs="Times New Roman"/>
          <w:noProof/>
        </w:rPr>
      </w:pPr>
      <w:r>
        <w:rPr>
          <w:noProof/>
        </w:rPr>
        <w:t>A védelemhez való jogról szóló törvény, amely fejleszti és megerősíti a tisztességes eljáráshoz való alapvető jogot, és végső soron hozzájáru</w:t>
      </w:r>
      <w:r>
        <w:rPr>
          <w:noProof/>
        </w:rPr>
        <w:t>l a jogállamiság megerősítéséhez.</w:t>
      </w:r>
    </w:p>
    <w:p w14:paraId="730B9F02" w14:textId="0FE2A1FA" w:rsidR="003E1D81" w:rsidRDefault="00EB481C">
      <w:pPr>
        <w:pStyle w:val="P68B1DB1-Normal4"/>
        <w:spacing w:before="120" w:after="120" w:line="240" w:lineRule="auto"/>
        <w:jc w:val="both"/>
        <w:rPr>
          <w:rFonts w:cs="Times New Roman"/>
          <w:noProof/>
          <w:u w:val="single"/>
        </w:rPr>
      </w:pPr>
      <w:r>
        <w:rPr>
          <w:noProof/>
        </w:rPr>
        <w:t>Az intézkedés végrehajtását 2024. december 31-ig be kell fejezni.</w:t>
      </w:r>
    </w:p>
    <w:p w14:paraId="1FE00358" w14:textId="77777777" w:rsidR="003E1D81" w:rsidRDefault="00EB481C">
      <w:pPr>
        <w:pStyle w:val="P68B1DB1-Normal6"/>
        <w:spacing w:before="120" w:after="120" w:line="240" w:lineRule="auto"/>
        <w:jc w:val="both"/>
        <w:rPr>
          <w:rFonts w:cs="Times New Roman"/>
          <w:noProof/>
        </w:rPr>
      </w:pPr>
      <w:r>
        <w:rPr>
          <w:noProof/>
        </w:rPr>
        <w:t>Reform (C11.R3) – A gazdasági kormányzás intézményi struktúrájának korszerűsítését célzó reform</w:t>
      </w:r>
    </w:p>
    <w:p w14:paraId="6FED04EF" w14:textId="77777777" w:rsidR="003E1D81" w:rsidRDefault="00EB481C">
      <w:pPr>
        <w:pStyle w:val="P68B1DB1-Normal4"/>
        <w:shd w:val="clear" w:color="auto" w:fill="FFFFFF" w:themeFill="background1"/>
        <w:spacing w:before="120" w:after="120" w:line="240" w:lineRule="auto"/>
        <w:jc w:val="both"/>
        <w:rPr>
          <w:rFonts w:cs="Times New Roman"/>
          <w:noProof/>
        </w:rPr>
      </w:pPr>
      <w:r>
        <w:rPr>
          <w:noProof/>
        </w:rPr>
        <w:t>Ez az intézkedés megreformálja az intézményi gazdaságirányít</w:t>
      </w:r>
      <w:r>
        <w:rPr>
          <w:noProof/>
        </w:rPr>
        <w:t xml:space="preserve">ási keret szempontjait, többek között a folyamatok digitalizálásának felgyorsítása és előmozdítása révén. Ez tartalmazza: a </w:t>
      </w:r>
      <w:r>
        <w:rPr>
          <w:i/>
          <w:noProof/>
        </w:rPr>
        <w:t>Caja General de Depósitos</w:t>
      </w:r>
      <w:r>
        <w:rPr>
          <w:noProof/>
        </w:rPr>
        <w:t xml:space="preserve"> (általános betétbiztosítási alap) garanciakezelési módjának reformja annak érdekében, hogy azokat elektron</w:t>
      </w:r>
      <w:r>
        <w:rPr>
          <w:noProof/>
        </w:rPr>
        <w:t>ikussá tegyék; a Pénzügyi Ügyfélvédelmi Hatóság létrehozása a pénzügyi ügyfelek jogainak biztosítása érdekében; a pénzügyi intézmények szanálásához szükséges intézményi keret javítása a jelenlegi intézményi szanálási keretet módosító törvény révén; és d) k</w:t>
      </w:r>
      <w:r>
        <w:rPr>
          <w:noProof/>
        </w:rPr>
        <w:t>orszerűsítse a pénzügyi és ellenőrzési területek felügyeletét az általános számviteli terv és a könyvvizsgálatról szóló rendelet reformja révén.</w:t>
      </w:r>
    </w:p>
    <w:p w14:paraId="72E326FA" w14:textId="77777777" w:rsidR="003E1D81" w:rsidRDefault="00EB481C">
      <w:pPr>
        <w:pStyle w:val="P68B1DB1-Normal4"/>
        <w:shd w:val="clear" w:color="auto" w:fill="FFFFFF" w:themeFill="background1"/>
        <w:spacing w:before="120" w:after="120" w:line="240" w:lineRule="auto"/>
        <w:jc w:val="both"/>
        <w:rPr>
          <w:rFonts w:cs="Times New Roman"/>
          <w:noProof/>
        </w:rPr>
      </w:pPr>
      <w:r>
        <w:rPr>
          <w:noProof/>
        </w:rPr>
        <w:t>A reformnak ki kell terjednie továbbá a) az ügyfélszolgáltatásokra (beleértve a pénzügyi szolgáltatásokat is) v</w:t>
      </w:r>
      <w:r>
        <w:rPr>
          <w:noProof/>
        </w:rPr>
        <w:t>onatkozó jogszabályra, amely minőségi előírásokat állapít meg, és hatékonyabb szolgáltatást biztosít az ügyfeleknek; valamint b) zöld könyv kiadása a fenntartható pénzügyek előmozdítása érdekében Spanyolországban.</w:t>
      </w:r>
    </w:p>
    <w:p w14:paraId="0F5B433A" w14:textId="77777777" w:rsidR="003E1D81" w:rsidRDefault="00EB481C">
      <w:pPr>
        <w:pStyle w:val="P68B1DB1-Normal4"/>
        <w:shd w:val="clear" w:color="auto" w:fill="FFFFFF" w:themeFill="background1"/>
        <w:spacing w:before="120" w:after="120" w:line="240" w:lineRule="auto"/>
        <w:jc w:val="both"/>
        <w:rPr>
          <w:rFonts w:cs="Times New Roman"/>
          <w:noProof/>
        </w:rPr>
      </w:pPr>
      <w:r>
        <w:rPr>
          <w:noProof/>
        </w:rPr>
        <w:t>Az intézkedés végrehajtását 2024. december</w:t>
      </w:r>
      <w:r>
        <w:rPr>
          <w:noProof/>
        </w:rPr>
        <w:t xml:space="preserve"> 31-ig be kell fejezni.</w:t>
      </w:r>
    </w:p>
    <w:p w14:paraId="3B2ECC08" w14:textId="77777777" w:rsidR="003E1D81" w:rsidRDefault="00EB481C">
      <w:pPr>
        <w:pStyle w:val="P68B1DB1-Normal6"/>
        <w:spacing w:before="120" w:after="120" w:line="240" w:lineRule="auto"/>
        <w:jc w:val="both"/>
        <w:rPr>
          <w:rFonts w:cs="Times New Roman"/>
          <w:noProof/>
        </w:rPr>
      </w:pPr>
      <w:r>
        <w:rPr>
          <w:noProof/>
        </w:rPr>
        <w:t xml:space="preserve">Reform (C11.R4) – Nemzeti közbeszerzési stratégia </w:t>
      </w:r>
    </w:p>
    <w:p w14:paraId="0D561F15" w14:textId="77777777" w:rsidR="003E1D81" w:rsidRDefault="00EB481C">
      <w:pPr>
        <w:pStyle w:val="P68B1DB1-Normal4"/>
        <w:spacing w:before="120" w:after="120" w:line="240" w:lineRule="auto"/>
        <w:jc w:val="both"/>
        <w:rPr>
          <w:rFonts w:cs="Times New Roman"/>
          <w:noProof/>
        </w:rPr>
      </w:pPr>
      <w:r>
        <w:rPr>
          <w:noProof/>
        </w:rPr>
        <w:t>Ez a reform véglegesíti a közbeszerzésről szóló 9/2017. sz. törvényben előírt közbeszerzési reform végrehajtását (a közbeszerzésről és a 2004/18/EK irányelv hatályon kívül helyezésé</w:t>
      </w:r>
      <w:r>
        <w:rPr>
          <w:noProof/>
        </w:rPr>
        <w:t>ről szóló, 2014. február 26-i 2014/24/EU európai parlamenti és tanácsi irányelv (EGT-vonatkozású szöveg) átültetésének fő jogi aktusaként). Ez irányítási struktúrát hoz létre a következetes közbeszerzési keret iránti igény kielégítése érdekében, amely bizt</w:t>
      </w:r>
      <w:r>
        <w:rPr>
          <w:noProof/>
        </w:rPr>
        <w:t>osítja az átláthatóságot, a hatékony ellenőrzési mechanizmusokat, a közbeszerzési adatbázisoknak a kormányzat valamennyi szintje közötti összekapcsolását és a kormányzati szintek közötti koordinációt annak érdekében, hogy: a Nemzeti Értékelő Iroda teljes k</w:t>
      </w:r>
      <w:r>
        <w:rPr>
          <w:noProof/>
        </w:rPr>
        <w:t xml:space="preserve">örű működőképessé tétele és ii. a Nemzeti Közbeszerzési Stratégia elfogadása. </w:t>
      </w:r>
    </w:p>
    <w:p w14:paraId="3BF329BE" w14:textId="77777777" w:rsidR="003E1D81" w:rsidRDefault="00EB481C">
      <w:pPr>
        <w:pStyle w:val="P68B1DB1-Normal4"/>
        <w:spacing w:before="120" w:after="120" w:line="240" w:lineRule="auto"/>
        <w:jc w:val="both"/>
        <w:rPr>
          <w:rFonts w:cs="Times New Roman"/>
          <w:noProof/>
        </w:rPr>
      </w:pPr>
      <w:r>
        <w:rPr>
          <w:noProof/>
        </w:rPr>
        <w:t>Spanyolország már létrehozta a közbeszerzés szabályozásával és felügyeletével foglalkozó független hivatalt és a Nemzeti Értékelési Hivatalt. Ez a reform a közbeszerzési informá</w:t>
      </w:r>
      <w:r>
        <w:rPr>
          <w:noProof/>
        </w:rPr>
        <w:t>ciók és adatbázisok korlátozott rendelkezésre bocsátásával kapcsolatos problémákkal, valamint a közbeszerzési szerződések szerkezetének hiányosságaival is foglalkozik. E célból a reform: a közbeszerzés hatékonyságának javítása (folyamatok, eredmények, adat</w:t>
      </w:r>
      <w:r>
        <w:rPr>
          <w:noProof/>
        </w:rPr>
        <w:t>ok és információk); a szereplők professzionalizálásának előmozdítása (a Bizottság 2017. októberi ajánlásával összhangban); a kkv-k hozzáférésének javítása; és d) a digitális közbeszerzés jogi keretének megerősítése.</w:t>
      </w:r>
    </w:p>
    <w:p w14:paraId="7A9531F1" w14:textId="77777777" w:rsidR="003E1D81" w:rsidRDefault="00EB481C">
      <w:pPr>
        <w:pStyle w:val="P68B1DB1-Normal4"/>
        <w:spacing w:before="120" w:after="120" w:line="240" w:lineRule="auto"/>
        <w:jc w:val="both"/>
        <w:rPr>
          <w:rFonts w:cs="Times New Roman"/>
          <w:noProof/>
        </w:rPr>
      </w:pPr>
      <w:r>
        <w:rPr>
          <w:noProof/>
        </w:rPr>
        <w:t>Az intézkedés végrehajtását 2022. decemb</w:t>
      </w:r>
      <w:r>
        <w:rPr>
          <w:noProof/>
        </w:rPr>
        <w:t>er 31-ig be kell fejezni.</w:t>
      </w:r>
    </w:p>
    <w:p w14:paraId="48A9D52C" w14:textId="77777777" w:rsidR="003E1D81" w:rsidRDefault="00EB481C">
      <w:pPr>
        <w:pStyle w:val="P68B1DB1-Normal6"/>
        <w:keepNext/>
        <w:spacing w:before="120" w:after="120" w:line="240" w:lineRule="auto"/>
        <w:jc w:val="both"/>
        <w:rPr>
          <w:rFonts w:cs="Times New Roman"/>
          <w:noProof/>
        </w:rPr>
      </w:pPr>
      <w:r>
        <w:rPr>
          <w:noProof/>
        </w:rPr>
        <w:t xml:space="preserve">Reform (C11.R5) – Igazgatási kapacitás </w:t>
      </w:r>
    </w:p>
    <w:p w14:paraId="3663E51B" w14:textId="77777777" w:rsidR="003E1D81" w:rsidRDefault="00EB481C">
      <w:pPr>
        <w:pStyle w:val="P68B1DB1-Normal4"/>
        <w:spacing w:before="120" w:after="120" w:line="240" w:lineRule="auto"/>
        <w:jc w:val="both"/>
        <w:rPr>
          <w:rFonts w:cs="Times New Roman"/>
          <w:noProof/>
        </w:rPr>
      </w:pPr>
      <w:r>
        <w:rPr>
          <w:noProof/>
        </w:rPr>
        <w:t>Ez a reform korszerűsíti a közigazgatás belső működését a spanyol helyreállítási és rezilienciaépítési terv végrehajtásának javítása érdekében, azzal a céllal, hogy hosszú távú hatást gyakoroljon a jövőbeli reformok és beruházások spanyol közigazgatás álta</w:t>
      </w:r>
      <w:r>
        <w:rPr>
          <w:noProof/>
        </w:rPr>
        <w:t>li végrehajtására. Összességében az 5. beruházással együtt meg kell reformálnia a közigazgatás kapacitását a helyreállítási és rezilienciaépítési terv megfelelő végrehajtásának biztosítása érdekében. Ez integrált információs és irányítási rendszer létrehoz</w:t>
      </w:r>
      <w:r>
        <w:rPr>
          <w:noProof/>
        </w:rPr>
        <w:t>ását jelenti; képzési tevékenységeket dolgoz ki a helyreállítási és rezilienciaépítési tervben részt vevők számára; valamint kommunikációs tevékenységek indítása a helyreállítási és rezilienciaépítési terv potenciális résztvevőinek és kedvezményezettjeinek</w:t>
      </w:r>
      <w:r>
        <w:rPr>
          <w:noProof/>
        </w:rPr>
        <w:t xml:space="preserve">, valamint általában a vállalkozásoknak és a háztartásoknak a megszólítása érdekében, hogy megismerjék a helyreállítási és rezilienciaépítési terv által kínált lehetőségeket. </w:t>
      </w:r>
    </w:p>
    <w:p w14:paraId="31591AC5" w14:textId="77777777" w:rsidR="003E1D81" w:rsidRDefault="00EB481C">
      <w:pPr>
        <w:pStyle w:val="P68B1DB1-Normal4"/>
        <w:spacing w:before="120" w:after="120" w:line="240" w:lineRule="auto"/>
        <w:jc w:val="both"/>
        <w:rPr>
          <w:rFonts w:cs="Times New Roman"/>
          <w:noProof/>
        </w:rPr>
      </w:pPr>
      <w:r>
        <w:rPr>
          <w:noProof/>
        </w:rPr>
        <w:t>A helyreállítási és rezilienciaépítési tervben foglalt intézkedések irányítását,</w:t>
      </w:r>
      <w:r>
        <w:rPr>
          <w:noProof/>
        </w:rPr>
        <w:t xml:space="preserve"> jelentését és nyomon követését az igazgatási és pénzgazdálkodás új modelljén keresztül kell megvalósítani a helyreállítási és rezilienciaépítési tervben meghatározott intézkedések megfelelő végrehajtásának biztosítása érdekében. Ezt az egységes modellt az</w:t>
      </w:r>
      <w:r>
        <w:rPr>
          <w:noProof/>
        </w:rPr>
        <w:t xml:space="preserve"> Európai Alapok Főtitkárságán belül kell központosítani, és a jelentéstevő minisztériumokhoz, azok megfelelő IKT-egységeihez és adott esetben a régiók (autonóközösségek) hasonló közigazgatási szerveihez kell alkalmazni. E célból a központi kormány elfogadt</w:t>
      </w:r>
      <w:r>
        <w:rPr>
          <w:noProof/>
        </w:rPr>
        <w:t>a a 36/2020. sz. királyi törvényerejű rendeletet.</w:t>
      </w:r>
    </w:p>
    <w:p w14:paraId="4264C8DD" w14:textId="77777777" w:rsidR="003E1D81" w:rsidRDefault="00EB481C">
      <w:pPr>
        <w:pStyle w:val="P68B1DB1-Normal4"/>
        <w:spacing w:before="120" w:after="120" w:line="240" w:lineRule="auto"/>
        <w:jc w:val="both"/>
        <w:rPr>
          <w:rFonts w:cs="Times New Roman"/>
          <w:noProof/>
        </w:rPr>
      </w:pPr>
      <w:r>
        <w:rPr>
          <w:noProof/>
        </w:rPr>
        <w:t>Az intézkedés végrehajtását 2021. szeptember 30-ig be kell fejezni.</w:t>
      </w:r>
    </w:p>
    <w:p w14:paraId="2F7AA333" w14:textId="77777777" w:rsidR="003E1D81" w:rsidRDefault="00EB481C">
      <w:pPr>
        <w:pStyle w:val="P68B1DB1-Normal6"/>
        <w:spacing w:before="120" w:after="120" w:line="240" w:lineRule="auto"/>
        <w:jc w:val="both"/>
        <w:rPr>
          <w:rFonts w:cs="Times New Roman"/>
          <w:noProof/>
        </w:rPr>
      </w:pPr>
      <w:r>
        <w:rPr>
          <w:noProof/>
        </w:rPr>
        <w:t>Beruházás (C11.I1) – Az államigazgatás korszerűsítése</w:t>
      </w:r>
    </w:p>
    <w:p w14:paraId="0ED397FF" w14:textId="77777777" w:rsidR="003E1D81" w:rsidRDefault="00EB481C">
      <w:pPr>
        <w:pStyle w:val="P68B1DB1-Normal4"/>
        <w:spacing w:before="120" w:after="120" w:line="240" w:lineRule="auto"/>
        <w:jc w:val="both"/>
        <w:rPr>
          <w:rFonts w:cs="Times New Roman"/>
          <w:noProof/>
        </w:rPr>
      </w:pPr>
      <w:r>
        <w:rPr>
          <w:noProof/>
        </w:rPr>
        <w:t>A C11.I.1. és a C11.I.3. pontban szereplő beruházások keretében végrehajtott intézke</w:t>
      </w:r>
      <w:r>
        <w:rPr>
          <w:noProof/>
        </w:rPr>
        <w:t>dések kidolgozása ugyanezen elvek szerint történik, az I1 a központi kormányzatra, az I3 pedig a regionális és helyi önkormányzatokra irányul. Mindezen szervezetek esetében a következőket kell vállalni:</w:t>
      </w:r>
    </w:p>
    <w:p w14:paraId="667ADB84" w14:textId="77777777" w:rsidR="003E1D81" w:rsidRDefault="00EB481C">
      <w:pPr>
        <w:pStyle w:val="P68B1DB1-Normal4"/>
        <w:numPr>
          <w:ilvl w:val="0"/>
          <w:numId w:val="107"/>
        </w:numPr>
        <w:spacing w:before="120" w:after="120" w:line="240" w:lineRule="auto"/>
        <w:jc w:val="both"/>
        <w:rPr>
          <w:rFonts w:cs="Times New Roman"/>
          <w:noProof/>
        </w:rPr>
      </w:pPr>
      <w:r>
        <w:rPr>
          <w:noProof/>
        </w:rPr>
        <w:t xml:space="preserve">Polgárközpontú közigazgatás, a polgároknak és a </w:t>
      </w:r>
      <w:r>
        <w:rPr>
          <w:noProof/>
        </w:rPr>
        <w:t>vállalkozásoknak nyújtott digitális közszolgáltatások javítása, valamint a 2025-ig tartó időszakra szóló spanyol digitális menetrenddel összhangban lévő intézkedések végrehajtása;</w:t>
      </w:r>
    </w:p>
    <w:p w14:paraId="1244348B" w14:textId="77777777" w:rsidR="003E1D81" w:rsidRDefault="00EB481C">
      <w:pPr>
        <w:pStyle w:val="P68B1DB1-Normal4"/>
        <w:numPr>
          <w:ilvl w:val="0"/>
          <w:numId w:val="107"/>
        </w:numPr>
        <w:spacing w:before="120" w:after="120" w:line="240" w:lineRule="auto"/>
        <w:jc w:val="both"/>
        <w:rPr>
          <w:rFonts w:cs="Times New Roman"/>
          <w:noProof/>
        </w:rPr>
      </w:pPr>
      <w:r>
        <w:rPr>
          <w:noProof/>
        </w:rPr>
        <w:t>Intelligens műveletek és adatkormányzás, a közigazgatási szolgáltatások irán</w:t>
      </w:r>
      <w:r>
        <w:rPr>
          <w:noProof/>
        </w:rPr>
        <w:t>yításának (azaz a közbeszerzés) minőségének és hatékonyságának javítása, beleértve az adatáramlást is, intelligens automatizálási technológiák és digitális infrastruktúrák használata révén;</w:t>
      </w:r>
    </w:p>
    <w:p w14:paraId="5DA066F3" w14:textId="77777777" w:rsidR="003E1D81" w:rsidRDefault="00EB481C">
      <w:pPr>
        <w:pStyle w:val="P68B1DB1-Normal4"/>
        <w:numPr>
          <w:ilvl w:val="0"/>
          <w:numId w:val="107"/>
        </w:numPr>
        <w:spacing w:before="120" w:after="120" w:line="240" w:lineRule="auto"/>
        <w:jc w:val="both"/>
        <w:rPr>
          <w:rFonts w:cs="Times New Roman"/>
          <w:noProof/>
        </w:rPr>
      </w:pPr>
      <w:r>
        <w:rPr>
          <w:noProof/>
        </w:rPr>
        <w:t>Digitális infrastruktúrák és kiberbiztonság, amelyek célja a spany</w:t>
      </w:r>
      <w:r>
        <w:rPr>
          <w:noProof/>
        </w:rPr>
        <w:t>ol közigazgatás modernizálásához szükséges technológiai infrastruktúra biztosítása</w:t>
      </w:r>
      <w:r>
        <w:rPr>
          <w:b/>
          <w:noProof/>
        </w:rPr>
        <w:t>. A kiberbiztonság</w:t>
      </w:r>
      <w:r>
        <w:rPr>
          <w:noProof/>
        </w:rPr>
        <w:t>tekintetében ez az intézkedés a teljes általános államigazgatás és annak közigazgatási szervei számára kiberbiztonsági műveleti központot hoz létre a kiberb</w:t>
      </w:r>
      <w:r>
        <w:rPr>
          <w:noProof/>
        </w:rPr>
        <w:t>iztonsági fenyegetésekkel szembeni védelem érdekében;</w:t>
      </w:r>
    </w:p>
    <w:p w14:paraId="57D971B4" w14:textId="046CA3A1" w:rsidR="003E1D81" w:rsidRDefault="00EB481C">
      <w:pPr>
        <w:pStyle w:val="P68B1DB1-Normal4"/>
        <w:spacing w:before="120" w:after="120" w:line="240" w:lineRule="auto"/>
        <w:jc w:val="both"/>
        <w:rPr>
          <w:rFonts w:cs="Times New Roman"/>
          <w:noProof/>
        </w:rPr>
      </w:pPr>
      <w:r>
        <w:rPr>
          <w:noProof/>
        </w:rPr>
        <w:t xml:space="preserve">A beruházás végrehajtását 2025. december 31-ig be kell fejezni. </w:t>
      </w:r>
    </w:p>
    <w:p w14:paraId="4BEBE207" w14:textId="77777777" w:rsidR="003E1D81" w:rsidRDefault="00EB481C">
      <w:pPr>
        <w:pStyle w:val="P68B1DB1-Normal6"/>
        <w:spacing w:before="120" w:after="120" w:line="240" w:lineRule="auto"/>
        <w:jc w:val="both"/>
        <w:rPr>
          <w:rFonts w:cs="Times New Roman"/>
          <w:noProof/>
        </w:rPr>
      </w:pPr>
      <w:r>
        <w:rPr>
          <w:noProof/>
        </w:rPr>
        <w:t>Beruházás (C11.I2) – A központi kormányzat digitalizálására irányuló egyedi projektek</w:t>
      </w:r>
    </w:p>
    <w:p w14:paraId="334B0601" w14:textId="77777777" w:rsidR="003E1D81" w:rsidRDefault="00EB481C">
      <w:pPr>
        <w:pStyle w:val="P68B1DB1-Normal4"/>
        <w:spacing w:after="0" w:line="240" w:lineRule="auto"/>
        <w:jc w:val="both"/>
        <w:rPr>
          <w:rFonts w:cs="Times New Roman"/>
          <w:noProof/>
        </w:rPr>
      </w:pPr>
      <w:r>
        <w:rPr>
          <w:noProof/>
        </w:rPr>
        <w:t>Ez a beruházás a digitalizáció általánosabb elfogad</w:t>
      </w:r>
      <w:r>
        <w:rPr>
          <w:noProof/>
        </w:rPr>
        <w:t>ásához és a digitális szolgáltatások fejlesztéséhez vezet a közigazgatásban. A digitális átalakulás megvalósításának szakpolitikai területei a következők:</w:t>
      </w:r>
    </w:p>
    <w:p w14:paraId="60321793" w14:textId="77777777" w:rsidR="003E1D81" w:rsidRDefault="00EB481C">
      <w:pPr>
        <w:pStyle w:val="P68B1DB1-Normal4"/>
        <w:numPr>
          <w:ilvl w:val="0"/>
          <w:numId w:val="108"/>
        </w:numPr>
        <w:spacing w:before="120" w:after="0" w:line="240" w:lineRule="auto"/>
        <w:contextualSpacing/>
        <w:jc w:val="both"/>
        <w:rPr>
          <w:rFonts w:cs="Times New Roman"/>
          <w:noProof/>
        </w:rPr>
      </w:pPr>
      <w:r>
        <w:rPr>
          <w:noProof/>
        </w:rPr>
        <w:t>Kórházi szolgálathoz lehet fordulni. A beruházás javítja a központi kormányzat és az autonóm közösség</w:t>
      </w:r>
      <w:r>
        <w:rPr>
          <w:noProof/>
        </w:rPr>
        <w:t>ek közötti interoperabilitást, valamint előmozdítja az adatelemzést;</w:t>
      </w:r>
    </w:p>
    <w:p w14:paraId="7CBF399E" w14:textId="77777777" w:rsidR="003E1D81" w:rsidRDefault="00EB481C">
      <w:pPr>
        <w:pStyle w:val="P68B1DB1-Normal4"/>
        <w:numPr>
          <w:ilvl w:val="0"/>
          <w:numId w:val="108"/>
        </w:numPr>
        <w:spacing w:before="120" w:after="0" w:line="240" w:lineRule="auto"/>
        <w:contextualSpacing/>
        <w:jc w:val="both"/>
        <w:rPr>
          <w:rFonts w:cs="Times New Roman"/>
          <w:noProof/>
        </w:rPr>
      </w:pPr>
      <w:r>
        <w:rPr>
          <w:noProof/>
        </w:rPr>
        <w:t>Igazságszolgáltatási rendszer. A beruházás digitális eszközöket biztosít a polgárok és a jogi szereplők számára az igazságszolgáltatással való kapcsolatuk jobb kezeléséhez;</w:t>
      </w:r>
    </w:p>
    <w:p w14:paraId="4F124CB9" w14:textId="77777777" w:rsidR="003E1D81" w:rsidRDefault="00EB481C">
      <w:pPr>
        <w:pStyle w:val="P68B1DB1-Normal4"/>
        <w:numPr>
          <w:ilvl w:val="0"/>
          <w:numId w:val="108"/>
        </w:numPr>
        <w:spacing w:before="120" w:after="0" w:line="240" w:lineRule="auto"/>
        <w:contextualSpacing/>
        <w:jc w:val="both"/>
        <w:rPr>
          <w:rFonts w:cs="Times New Roman"/>
          <w:noProof/>
        </w:rPr>
      </w:pPr>
      <w:r>
        <w:rPr>
          <w:noProof/>
        </w:rPr>
        <w:t>Állami foglalk</w:t>
      </w:r>
      <w:r>
        <w:rPr>
          <w:noProof/>
        </w:rPr>
        <w:t>oztatási szolgálatok. A beruházásnak frissítenie kell az aktív munkaerő-piaci politikák irányítását alátámasztó informatikai rendszereket;</w:t>
      </w:r>
    </w:p>
    <w:p w14:paraId="0C162575" w14:textId="77777777" w:rsidR="003E1D81" w:rsidRDefault="00EB481C">
      <w:pPr>
        <w:pStyle w:val="P68B1DB1-Normal4"/>
        <w:numPr>
          <w:ilvl w:val="0"/>
          <w:numId w:val="108"/>
        </w:numPr>
        <w:spacing w:before="120" w:after="0" w:line="240" w:lineRule="auto"/>
        <w:contextualSpacing/>
        <w:jc w:val="both"/>
        <w:rPr>
          <w:rFonts w:cs="Times New Roman"/>
          <w:noProof/>
        </w:rPr>
      </w:pPr>
      <w:r>
        <w:rPr>
          <w:noProof/>
        </w:rPr>
        <w:t>Befogadás, szociális biztonság és migráció. A beruházásnak olyan digitális eszközökkel kell ellátnia az illetékes min</w:t>
      </w:r>
      <w:r>
        <w:rPr>
          <w:noProof/>
        </w:rPr>
        <w:t>isztériumot, amelyek megkönnyítik a leghátrányosabb helyzetű csoportokra vonatkozó szakpolitikák végrehajtását, valamint a további korrekciós vagy enyhítő intézkedések kidolgozásához szükséges információk felhasználását;</w:t>
      </w:r>
    </w:p>
    <w:p w14:paraId="48A7C196" w14:textId="77777777" w:rsidR="003E1D81" w:rsidRDefault="00EB481C">
      <w:pPr>
        <w:pStyle w:val="P68B1DB1-Normal4"/>
        <w:numPr>
          <w:ilvl w:val="0"/>
          <w:numId w:val="108"/>
        </w:numPr>
        <w:spacing w:before="120" w:after="0" w:line="240" w:lineRule="auto"/>
        <w:contextualSpacing/>
        <w:jc w:val="both"/>
        <w:rPr>
          <w:rFonts w:cs="Times New Roman"/>
          <w:noProof/>
        </w:rPr>
      </w:pPr>
      <w:r>
        <w:rPr>
          <w:noProof/>
        </w:rPr>
        <w:t>Konzuli szolgáltatások. A beruházás</w:t>
      </w:r>
      <w:r>
        <w:rPr>
          <w:noProof/>
        </w:rPr>
        <w:t>nak javítania kell a spanyol közigazgatás digitális szolgáltatásaihoz való hozzáférést mind a külföldön lakóhellyel rendelkező spanyolok, mind a Spanyolországban élő külföldi állampolgárok számára;</w:t>
      </w:r>
    </w:p>
    <w:p w14:paraId="66BA674A" w14:textId="77777777" w:rsidR="003E1D81" w:rsidRDefault="00EB481C">
      <w:pPr>
        <w:pStyle w:val="P68B1DB1-Normal4"/>
        <w:numPr>
          <w:ilvl w:val="0"/>
          <w:numId w:val="108"/>
        </w:numPr>
        <w:spacing w:before="120" w:after="0" w:line="240" w:lineRule="auto"/>
        <w:contextualSpacing/>
        <w:jc w:val="both"/>
        <w:rPr>
          <w:rFonts w:cs="Times New Roman"/>
          <w:noProof/>
        </w:rPr>
      </w:pPr>
      <w:r>
        <w:rPr>
          <w:noProof/>
        </w:rPr>
        <w:t>Kísérleti kezdeményezések a biztonság és a mezőgazdaság te</w:t>
      </w:r>
      <w:r>
        <w:rPr>
          <w:noProof/>
        </w:rPr>
        <w:t>rületén.</w:t>
      </w:r>
    </w:p>
    <w:p w14:paraId="18196CE2" w14:textId="77777777" w:rsidR="003E1D81" w:rsidRDefault="00EB481C">
      <w:pPr>
        <w:pStyle w:val="P68B1DB1-Normal4"/>
        <w:spacing w:before="120" w:after="120" w:line="240" w:lineRule="auto"/>
        <w:jc w:val="both"/>
        <w:rPr>
          <w:rFonts w:cs="Times New Roman"/>
          <w:noProof/>
          <w:u w:val="single"/>
        </w:rPr>
      </w:pPr>
      <w:r>
        <w:rPr>
          <w:noProof/>
        </w:rPr>
        <w:t xml:space="preserve">A beruházás végrehajtását 2025. december 31-ig be kell fejezni. </w:t>
      </w:r>
    </w:p>
    <w:p w14:paraId="2272DC44" w14:textId="56CE069E" w:rsidR="003E1D81" w:rsidRDefault="00EB481C">
      <w:pPr>
        <w:pStyle w:val="P68B1DB1-Normal6"/>
        <w:spacing w:before="120" w:after="120" w:line="240" w:lineRule="auto"/>
        <w:jc w:val="both"/>
        <w:rPr>
          <w:rFonts w:cs="Times New Roman"/>
          <w:noProof/>
        </w:rPr>
      </w:pPr>
      <w:r>
        <w:rPr>
          <w:noProof/>
        </w:rPr>
        <w:t>Beruházás (C11.I3) – A Területpolitikai Minisztérium és a Polgári Védelem Minisztériumának, a Nemzeti Egészségügyi Szolgálatnak, valamint</w:t>
      </w:r>
      <w:r>
        <w:rPr>
          <w:noProof/>
          <w:shd w:val="clear" w:color="auto" w:fill="FFFFFF" w:themeFill="background1"/>
        </w:rPr>
        <w:t>az</w:t>
      </w:r>
      <w:r>
        <w:rPr>
          <w:noProof/>
        </w:rPr>
        <w:t xml:space="preserve"> autonóm közösségek és a helyi önkormányzat</w:t>
      </w:r>
      <w:r>
        <w:rPr>
          <w:noProof/>
        </w:rPr>
        <w:t xml:space="preserve">ok igazgatásának digitális átalakítása és korszerűsítése </w:t>
      </w:r>
    </w:p>
    <w:p w14:paraId="2B78DF17" w14:textId="77777777" w:rsidR="003E1D81" w:rsidRDefault="00EB481C">
      <w:pPr>
        <w:pStyle w:val="P68B1DB1-Normal4"/>
        <w:spacing w:before="120" w:after="120" w:line="240" w:lineRule="auto"/>
        <w:jc w:val="both"/>
        <w:rPr>
          <w:rFonts w:cs="Times New Roman"/>
          <w:noProof/>
        </w:rPr>
      </w:pPr>
      <w:r>
        <w:rPr>
          <w:noProof/>
        </w:rPr>
        <w:t xml:space="preserve">Az e beruházás keretében végrehajtott intézkedések a C11.I.1. pontban leírt, a regionális és helyi önkormányzatokat célzó elveket követik. </w:t>
      </w:r>
    </w:p>
    <w:p w14:paraId="57134CA5" w14:textId="77777777" w:rsidR="003E1D81" w:rsidRDefault="00EB481C">
      <w:pPr>
        <w:pStyle w:val="P68B1DB1-Normal4"/>
        <w:spacing w:before="120" w:after="120" w:line="240" w:lineRule="auto"/>
        <w:jc w:val="both"/>
        <w:rPr>
          <w:rFonts w:cs="Times New Roman"/>
          <w:noProof/>
        </w:rPr>
      </w:pPr>
      <w:r>
        <w:rPr>
          <w:noProof/>
        </w:rPr>
        <w:t>A beruházás végrehajtását 2026. június 30-ig be kell fejez</w:t>
      </w:r>
      <w:r>
        <w:rPr>
          <w:noProof/>
        </w:rPr>
        <w:t>ni.</w:t>
      </w:r>
    </w:p>
    <w:p w14:paraId="1A70473C" w14:textId="77777777" w:rsidR="003E1D81" w:rsidRDefault="00EB481C">
      <w:pPr>
        <w:pStyle w:val="P68B1DB1-Normal6"/>
        <w:spacing w:before="120" w:after="120" w:line="240" w:lineRule="auto"/>
        <w:jc w:val="both"/>
        <w:rPr>
          <w:rFonts w:cs="Times New Roman"/>
          <w:noProof/>
        </w:rPr>
      </w:pPr>
      <w:r>
        <w:rPr>
          <w:noProof/>
        </w:rPr>
        <w:t>Beruházás (C11.I4) – Az állami közigazgatás energetikai átállási terve</w:t>
      </w:r>
    </w:p>
    <w:p w14:paraId="606994D9" w14:textId="77777777" w:rsidR="003E1D81" w:rsidRDefault="00EB481C">
      <w:pPr>
        <w:pStyle w:val="P68B1DB1-Normal4"/>
        <w:spacing w:before="120" w:after="120" w:line="240" w:lineRule="auto"/>
        <w:jc w:val="both"/>
        <w:rPr>
          <w:rFonts w:cs="Times New Roman"/>
          <w:noProof/>
        </w:rPr>
      </w:pPr>
      <w:r>
        <w:rPr>
          <w:noProof/>
        </w:rPr>
        <w:t>Az intézkedésnek elő kell mozdítania az energiamegtakarítást és -hatékonyságot a központi kormányzat épületeiben és infrastruktúrájában. Az intézkedésnek átlagosan legalább 30%-os p</w:t>
      </w:r>
      <w:r>
        <w:rPr>
          <w:noProof/>
        </w:rPr>
        <w:t>rimerenergia-igénycsökkenést kell elérnie, amelyet energiahatékonysági tanúsítványokkal kell ellenőrizni. A beruházásnak hozzá kell járulnia az épületek alapterületének felújításához a magas energiateljesítményű létesítmények és különösen a közel nulla ene</w:t>
      </w:r>
      <w:r>
        <w:rPr>
          <w:noProof/>
        </w:rPr>
        <w:t>rgiaigényű épületek számának növelése érdekében. A beruházásnak elő kell mozdítania továbbá a fotovoltaikus napenergia-rendszerek vagy más megújuló energiák bevezetését a központi kormányzat létesítményeiben. Az intézkedésnek ösztönöznie kell továbbá a köz</w:t>
      </w:r>
      <w:r>
        <w:rPr>
          <w:noProof/>
        </w:rPr>
        <w:t>tulajdonú járművek járműállományának a kibocsátásmentes vagy alacsony kibocsátású járművekké történő átalakítását</w:t>
      </w:r>
      <w:r>
        <w:rPr>
          <w:noProof/>
        </w:rPr>
        <w:footnoteReference w:id="19"/>
      </w:r>
      <w:r>
        <w:rPr>
          <w:noProof/>
        </w:rPr>
        <w:t xml:space="preserve">. </w:t>
      </w:r>
    </w:p>
    <w:p w14:paraId="4D8030AF" w14:textId="77777777" w:rsidR="003E1D81" w:rsidRDefault="00EB481C">
      <w:pPr>
        <w:pStyle w:val="P68B1DB1-Normal4"/>
        <w:spacing w:before="120" w:after="120" w:line="240" w:lineRule="auto"/>
        <w:jc w:val="both"/>
        <w:rPr>
          <w:rFonts w:cs="Times New Roman"/>
          <w:noProof/>
        </w:rPr>
      </w:pPr>
      <w:r>
        <w:rPr>
          <w:noProof/>
        </w:rPr>
        <w:t xml:space="preserve">Az intézkedés várhatóan nem sérti jelentősen az (EU) 2020/852 rendelet 17. cikke szerinti környezetvédelmi célkitűzéseket, figyelembe véve </w:t>
      </w:r>
      <w:r>
        <w:rPr>
          <w:noProof/>
        </w:rPr>
        <w:t xml:space="preserve">az intézkedés leírását és a helyreállítási és rezilienciaépítési tervben meghatározott enyhítő lépéseket a jelentős károkozás elkerülését célzó elvről szóló technikai iránymutatásnak (2021/C58/01) megfelelően. Különösen a közjárművekből álló járműállomány </w:t>
      </w:r>
      <w:r>
        <w:rPr>
          <w:noProof/>
        </w:rPr>
        <w:t>átalakítása csak a kibocsátásmentes vagy alacsony kibocsátású</w:t>
      </w:r>
      <w:r>
        <w:rPr>
          <w:noProof/>
        </w:rPr>
        <w:footnoteReference w:id="20"/>
      </w:r>
      <w:r>
        <w:rPr>
          <w:noProof/>
        </w:rPr>
        <w:t xml:space="preserve"> járműveket támogathatja.</w:t>
      </w:r>
    </w:p>
    <w:p w14:paraId="49D879F9" w14:textId="77777777" w:rsidR="003E1D81" w:rsidRDefault="00EB481C">
      <w:pPr>
        <w:pStyle w:val="P68B1DB1-Normal4"/>
        <w:spacing w:before="120" w:after="120" w:line="240" w:lineRule="auto"/>
        <w:jc w:val="both"/>
        <w:rPr>
          <w:rFonts w:cs="Times New Roman"/>
          <w:noProof/>
        </w:rPr>
      </w:pPr>
      <w:r>
        <w:rPr>
          <w:noProof/>
        </w:rPr>
        <w:t>A beruházás magában foglalja az állóeszközökbe (infrastruktúrába és középületekbe) és a természeti tőkébe történő beruházásokat (valamennyi intézkedés hozzájárul az üve</w:t>
      </w:r>
      <w:r>
        <w:rPr>
          <w:noProof/>
        </w:rPr>
        <w:t>gházhatásúgáz-kibocsátás csökkentéséhez).</w:t>
      </w:r>
    </w:p>
    <w:p w14:paraId="10CC1B7A" w14:textId="77777777" w:rsidR="003E1D81" w:rsidRDefault="00EB481C">
      <w:pPr>
        <w:pStyle w:val="P68B1DB1-Normal4"/>
        <w:spacing w:before="120" w:after="120" w:line="240" w:lineRule="auto"/>
        <w:jc w:val="both"/>
        <w:rPr>
          <w:rFonts w:cs="Times New Roman"/>
          <w:noProof/>
        </w:rPr>
      </w:pPr>
      <w:r>
        <w:rPr>
          <w:noProof/>
        </w:rPr>
        <w:t>A beruházás végrehajtását 2026. június 30-ig be kell fejezni.</w:t>
      </w:r>
    </w:p>
    <w:p w14:paraId="0146DEE2" w14:textId="77777777" w:rsidR="003E1D81" w:rsidRDefault="00EB481C">
      <w:pPr>
        <w:pStyle w:val="P68B1DB1-Normal6"/>
        <w:spacing w:before="120" w:after="120" w:line="240" w:lineRule="auto"/>
        <w:jc w:val="both"/>
        <w:rPr>
          <w:rFonts w:cs="Times New Roman"/>
          <w:noProof/>
        </w:rPr>
      </w:pPr>
      <w:r>
        <w:rPr>
          <w:noProof/>
        </w:rPr>
        <w:t>Beruházás (C11.I5) – A közigazgatás átalakítása a spanyol helyreállítási és rezilienciaépítési terv végrehajtása érdekében</w:t>
      </w:r>
    </w:p>
    <w:p w14:paraId="16E12320" w14:textId="77777777" w:rsidR="003E1D81" w:rsidRDefault="00EB481C">
      <w:pPr>
        <w:pStyle w:val="P68B1DB1-Normal4"/>
        <w:spacing w:before="120" w:after="120" w:line="240" w:lineRule="auto"/>
        <w:jc w:val="both"/>
        <w:rPr>
          <w:rFonts w:cs="Times New Roman"/>
          <w:noProof/>
        </w:rPr>
      </w:pPr>
      <w:r>
        <w:rPr>
          <w:noProof/>
        </w:rPr>
        <w:t xml:space="preserve">Ez a beruházás kapcsolódik </w:t>
      </w:r>
      <w:r>
        <w:rPr>
          <w:noProof/>
        </w:rPr>
        <w:t>ezen komponens R5 reformjához. Úgy kell kiigazítania a közigazgatás működését, hogy megfeleljen a helyreállítási és rezilienciaépítési terv végrehajtásából és nyomon követéséből eredő kihívásoknak. Az intézkedés korszerűsíti az információs rendszert és a k</w:t>
      </w:r>
      <w:r>
        <w:rPr>
          <w:noProof/>
        </w:rPr>
        <w:t>ommunikációs csatornákat a kormányzati szintek közötti, valamint a polgárokkal, a vállalkozásokkal és a potenciális kedvezményezettekkel való információmegosztás érdekében. Az intézkedésnek a helyreállítási és rezilienciaépítési terv végrehajtása során a b</w:t>
      </w:r>
      <w:r>
        <w:rPr>
          <w:noProof/>
        </w:rPr>
        <w:t>ecslések szerint legalább 3150 főt elérő általános közigazgatási személyzet számára nyújtott célzott képzéseket is tartalmaznia kell.</w:t>
      </w:r>
    </w:p>
    <w:p w14:paraId="560D3DBE" w14:textId="77777777" w:rsidR="003E1D81" w:rsidRDefault="00EB481C">
      <w:pPr>
        <w:pStyle w:val="P68B1DB1-Normal4"/>
        <w:spacing w:before="120" w:after="120" w:line="240" w:lineRule="auto"/>
        <w:jc w:val="both"/>
        <w:rPr>
          <w:rFonts w:cs="Times New Roman"/>
          <w:b/>
          <w:noProof/>
          <w:u w:val="single"/>
        </w:rPr>
      </w:pPr>
      <w:r>
        <w:rPr>
          <w:noProof/>
        </w:rPr>
        <w:t xml:space="preserve">A beruházás végrehajtását 2026. augusztus 31-ig be kell fejezni. </w:t>
      </w:r>
    </w:p>
    <w:p w14:paraId="5506936D" w14:textId="77777777" w:rsidR="003E1D81" w:rsidRDefault="00EB481C">
      <w:pPr>
        <w:pStyle w:val="P68B1DB1-Normal5"/>
        <w:keepNext/>
        <w:spacing w:before="120" w:after="120" w:line="240" w:lineRule="auto"/>
        <w:jc w:val="both"/>
        <w:rPr>
          <w:rFonts w:cs="Times New Roman"/>
          <w:noProof/>
        </w:rPr>
      </w:pPr>
      <w:r>
        <w:rPr>
          <w:noProof/>
        </w:rPr>
        <w:t xml:space="preserve">K.2. </w:t>
      </w:r>
      <w:r>
        <w:rPr>
          <w:noProof/>
        </w:rPr>
        <w:tab/>
        <w:t>Vissza nem térítendő pénzügyi támogatás – a végreh</w:t>
      </w:r>
      <w:r>
        <w:rPr>
          <w:noProof/>
        </w:rPr>
        <w:t>ajtáshoz és a nyomon követéshez kapcsolódó mérföldkövek, célok, mutatók és ütemterv</w:t>
      </w:r>
    </w:p>
    <w:p w14:paraId="7852A63E" w14:textId="77777777" w:rsidR="003E1D81" w:rsidRDefault="00EB481C">
      <w:pPr>
        <w:pStyle w:val="P68B1DB1-Normal4"/>
        <w:keepNext/>
        <w:spacing w:before="120" w:after="120" w:line="240" w:lineRule="auto"/>
        <w:rPr>
          <w:rFonts w:cs="Times New Roman"/>
          <w:i/>
          <w:noProof/>
        </w:rPr>
        <w:sectPr w:rsidR="003E1D81" w:rsidSect="00B90E2C">
          <w:headerReference w:type="even" r:id="rId222"/>
          <w:headerReference w:type="default" r:id="rId223"/>
          <w:footerReference w:type="even" r:id="rId224"/>
          <w:footerReference w:type="default" r:id="rId225"/>
          <w:headerReference w:type="first" r:id="rId226"/>
          <w:footerReference w:type="first" r:id="rId227"/>
          <w:pgSz w:w="11907" w:h="16839"/>
          <w:pgMar w:top="1134" w:right="1417" w:bottom="1134" w:left="1417" w:header="709" w:footer="709" w:gutter="0"/>
          <w:cols w:space="720"/>
          <w:docGrid w:linePitch="360"/>
        </w:sectPr>
      </w:pPr>
      <w:r>
        <w:rPr>
          <w:i/>
          <w:noProof/>
        </w:rPr>
        <w:t>Táblázat alább.</w:t>
      </w:r>
      <w:r>
        <w:rPr>
          <w:noProof/>
        </w:rPr>
        <w:t xml:space="preserve"> </w:t>
      </w:r>
      <w:r>
        <w:rPr>
          <w:i/>
          <w:noProof/>
        </w:rPr>
        <w:t xml:space="preserve">Az alapforgatókönyv valamennyi mutató esetében 2020. február 1-je, kivéve, ha az intézkedés </w:t>
      </w:r>
      <w:r>
        <w:rPr>
          <w:i/>
          <w:noProof/>
        </w:rPr>
        <w:t>leírása másként jelzi. A táblázatban szereplő összegek nem tartalmazzák a héát.</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1448"/>
        <w:gridCol w:w="966"/>
        <w:gridCol w:w="1631"/>
        <w:gridCol w:w="1442"/>
        <w:gridCol w:w="1082"/>
        <w:gridCol w:w="708"/>
        <w:gridCol w:w="709"/>
        <w:gridCol w:w="567"/>
        <w:gridCol w:w="822"/>
        <w:gridCol w:w="3998"/>
      </w:tblGrid>
      <w:tr w:rsidR="003E1D81" w14:paraId="73E2C7DE" w14:textId="77777777">
        <w:trPr>
          <w:trHeight w:val="978"/>
          <w:tblHeader/>
        </w:trPr>
        <w:tc>
          <w:tcPr>
            <w:tcW w:w="1223" w:type="dxa"/>
            <w:vMerge w:val="restart"/>
            <w:shd w:val="clear" w:color="auto" w:fill="C6D9F1" w:themeFill="text2" w:themeFillTint="33"/>
            <w:vAlign w:val="center"/>
          </w:tcPr>
          <w:p w14:paraId="15C09D13" w14:textId="77777777" w:rsidR="003E1D81" w:rsidRDefault="00EB481C">
            <w:pPr>
              <w:pStyle w:val="P68B1DB1-Normal12"/>
              <w:jc w:val="center"/>
              <w:rPr>
                <w:rFonts w:cs="Times New Roman"/>
                <w:noProof/>
              </w:rPr>
            </w:pPr>
            <w:r>
              <w:rPr>
                <w:noProof/>
              </w:rPr>
              <w:t>Szám</w:t>
            </w:r>
          </w:p>
        </w:tc>
        <w:tc>
          <w:tcPr>
            <w:tcW w:w="1448" w:type="dxa"/>
            <w:vMerge w:val="restart"/>
            <w:shd w:val="clear" w:color="auto" w:fill="C6D9F1" w:themeFill="text2" w:themeFillTint="33"/>
            <w:vAlign w:val="center"/>
          </w:tcPr>
          <w:p w14:paraId="1956A1D2" w14:textId="77777777" w:rsidR="003E1D81" w:rsidRDefault="00EB481C">
            <w:pPr>
              <w:pStyle w:val="P68B1DB1-Normal12"/>
              <w:jc w:val="center"/>
              <w:rPr>
                <w:rFonts w:cs="Times New Roman"/>
                <w:noProof/>
              </w:rPr>
            </w:pPr>
            <w:r>
              <w:rPr>
                <w:noProof/>
              </w:rPr>
              <w:t>Intézkedés</w:t>
            </w:r>
          </w:p>
        </w:tc>
        <w:tc>
          <w:tcPr>
            <w:tcW w:w="966" w:type="dxa"/>
            <w:vMerge w:val="restart"/>
            <w:shd w:val="clear" w:color="auto" w:fill="C6D9F1" w:themeFill="text2" w:themeFillTint="33"/>
            <w:vAlign w:val="center"/>
          </w:tcPr>
          <w:p w14:paraId="2B8AA672" w14:textId="77777777" w:rsidR="003E1D81" w:rsidRDefault="00EB481C">
            <w:pPr>
              <w:pStyle w:val="P68B1DB1-Normal12"/>
              <w:jc w:val="center"/>
              <w:rPr>
                <w:rFonts w:cs="Times New Roman"/>
                <w:noProof/>
              </w:rPr>
            </w:pPr>
            <w:r>
              <w:rPr>
                <w:noProof/>
              </w:rPr>
              <w:t>Mérföldkő</w:t>
            </w:r>
            <w:r>
              <w:rPr>
                <w:noProof/>
              </w:rPr>
              <w:br/>
              <w:t xml:space="preserve"> /Cél</w:t>
            </w:r>
          </w:p>
        </w:tc>
        <w:tc>
          <w:tcPr>
            <w:tcW w:w="1631" w:type="dxa"/>
            <w:tcBorders>
              <w:bottom w:val="nil"/>
            </w:tcBorders>
            <w:shd w:val="clear" w:color="auto" w:fill="C6D9F1" w:themeFill="text2" w:themeFillTint="33"/>
            <w:vAlign w:val="center"/>
          </w:tcPr>
          <w:p w14:paraId="01201CE3" w14:textId="77777777" w:rsidR="003E1D81" w:rsidRDefault="00EB481C">
            <w:pPr>
              <w:pStyle w:val="P68B1DB1-Normal12"/>
              <w:jc w:val="center"/>
              <w:rPr>
                <w:rFonts w:cs="Times New Roman"/>
                <w:noProof/>
              </w:rPr>
            </w:pPr>
            <w:r>
              <w:rPr>
                <w:noProof/>
              </w:rPr>
              <w:t>Név</w:t>
            </w:r>
          </w:p>
        </w:tc>
        <w:tc>
          <w:tcPr>
            <w:tcW w:w="1442" w:type="dxa"/>
            <w:vMerge w:val="restart"/>
            <w:shd w:val="clear" w:color="auto" w:fill="C6D9F1" w:themeFill="text2" w:themeFillTint="33"/>
            <w:vAlign w:val="center"/>
          </w:tcPr>
          <w:p w14:paraId="4800F027" w14:textId="77777777" w:rsidR="003E1D81" w:rsidRDefault="00EB481C">
            <w:pPr>
              <w:pStyle w:val="P68B1DB1-Normal12"/>
              <w:jc w:val="center"/>
              <w:rPr>
                <w:rFonts w:cs="Times New Roman"/>
                <w:noProof/>
              </w:rPr>
            </w:pPr>
            <w:r>
              <w:rPr>
                <w:noProof/>
              </w:rPr>
              <w:t>A mérföldkövek minőségi mutatója</w:t>
            </w:r>
          </w:p>
        </w:tc>
        <w:tc>
          <w:tcPr>
            <w:tcW w:w="2499" w:type="dxa"/>
            <w:gridSpan w:val="3"/>
            <w:shd w:val="clear" w:color="auto" w:fill="C6D9F1" w:themeFill="text2" w:themeFillTint="33"/>
            <w:vAlign w:val="center"/>
          </w:tcPr>
          <w:p w14:paraId="6709F124" w14:textId="77777777" w:rsidR="003E1D81" w:rsidRDefault="00EB481C">
            <w:pPr>
              <w:pStyle w:val="P68B1DB1-Normal12"/>
              <w:jc w:val="center"/>
              <w:rPr>
                <w:rFonts w:cs="Times New Roman"/>
                <w:noProof/>
              </w:rPr>
            </w:pPr>
            <w:r>
              <w:rPr>
                <w:noProof/>
              </w:rPr>
              <w:t>A célérték mennyiségi mutatója</w:t>
            </w:r>
          </w:p>
        </w:tc>
        <w:tc>
          <w:tcPr>
            <w:tcW w:w="1389" w:type="dxa"/>
            <w:gridSpan w:val="2"/>
            <w:shd w:val="clear" w:color="auto" w:fill="C6D9F1" w:themeFill="text2" w:themeFillTint="33"/>
            <w:vAlign w:val="center"/>
          </w:tcPr>
          <w:p w14:paraId="0374E9BE" w14:textId="7AD23C41" w:rsidR="003E1D81" w:rsidRDefault="00EB481C">
            <w:pPr>
              <w:pStyle w:val="P68B1DB1-Normal12"/>
              <w:jc w:val="center"/>
              <w:rPr>
                <w:rFonts w:cs="Times New Roman"/>
                <w:noProof/>
              </w:rPr>
            </w:pPr>
            <w:r>
              <w:rPr>
                <w:noProof/>
              </w:rPr>
              <w:t>Idő</w:t>
            </w:r>
          </w:p>
        </w:tc>
        <w:tc>
          <w:tcPr>
            <w:tcW w:w="3998" w:type="dxa"/>
            <w:tcBorders>
              <w:bottom w:val="nil"/>
            </w:tcBorders>
            <w:shd w:val="clear" w:color="auto" w:fill="C6D9F1" w:themeFill="text2" w:themeFillTint="33"/>
            <w:vAlign w:val="center"/>
          </w:tcPr>
          <w:p w14:paraId="3737D492" w14:textId="77777777" w:rsidR="003E1D81" w:rsidRDefault="00EB481C">
            <w:pPr>
              <w:pStyle w:val="P68B1DB1-Normal12"/>
              <w:jc w:val="center"/>
              <w:rPr>
                <w:rFonts w:cs="Times New Roman"/>
                <w:noProof/>
              </w:rPr>
            </w:pPr>
            <w:r>
              <w:rPr>
                <w:noProof/>
              </w:rPr>
              <w:t>Az egyes mérföldkövek és célértékek leírása</w:t>
            </w:r>
          </w:p>
        </w:tc>
      </w:tr>
      <w:tr w:rsidR="003E1D81" w14:paraId="23A90F92" w14:textId="77777777">
        <w:trPr>
          <w:trHeight w:val="411"/>
          <w:tblHeader/>
        </w:trPr>
        <w:tc>
          <w:tcPr>
            <w:tcW w:w="1223" w:type="dxa"/>
            <w:vMerge/>
            <w:shd w:val="clear" w:color="auto" w:fill="C6D9F1" w:themeFill="text2" w:themeFillTint="33"/>
            <w:vAlign w:val="center"/>
          </w:tcPr>
          <w:p w14:paraId="5E1A7FE4" w14:textId="77777777" w:rsidR="003E1D81" w:rsidRDefault="003E1D81">
            <w:pPr>
              <w:jc w:val="center"/>
              <w:rPr>
                <w:rFonts w:ascii="Times New Roman" w:hAnsi="Times New Roman" w:cs="Times New Roman"/>
                <w:b/>
                <w:noProof/>
                <w:sz w:val="18"/>
              </w:rPr>
            </w:pPr>
          </w:p>
        </w:tc>
        <w:tc>
          <w:tcPr>
            <w:tcW w:w="1448" w:type="dxa"/>
            <w:vMerge/>
            <w:shd w:val="clear" w:color="auto" w:fill="C6D9F1" w:themeFill="text2" w:themeFillTint="33"/>
            <w:vAlign w:val="center"/>
          </w:tcPr>
          <w:p w14:paraId="39A92B90" w14:textId="77777777" w:rsidR="003E1D81" w:rsidRDefault="003E1D81">
            <w:pPr>
              <w:jc w:val="center"/>
              <w:rPr>
                <w:rFonts w:ascii="Times New Roman" w:hAnsi="Times New Roman" w:cs="Times New Roman"/>
                <w:b/>
                <w:noProof/>
                <w:sz w:val="18"/>
              </w:rPr>
            </w:pPr>
          </w:p>
        </w:tc>
        <w:tc>
          <w:tcPr>
            <w:tcW w:w="966" w:type="dxa"/>
            <w:vMerge/>
            <w:shd w:val="clear" w:color="auto" w:fill="C6D9F1" w:themeFill="text2" w:themeFillTint="33"/>
            <w:vAlign w:val="center"/>
          </w:tcPr>
          <w:p w14:paraId="29F91612" w14:textId="77777777" w:rsidR="003E1D81" w:rsidRDefault="003E1D81">
            <w:pPr>
              <w:jc w:val="center"/>
              <w:rPr>
                <w:rFonts w:ascii="Times New Roman" w:hAnsi="Times New Roman" w:cs="Times New Roman"/>
                <w:b/>
                <w:noProof/>
                <w:sz w:val="18"/>
              </w:rPr>
            </w:pPr>
          </w:p>
        </w:tc>
        <w:tc>
          <w:tcPr>
            <w:tcW w:w="1631" w:type="dxa"/>
            <w:tcBorders>
              <w:top w:val="nil"/>
            </w:tcBorders>
            <w:shd w:val="clear" w:color="auto" w:fill="C6D9F1" w:themeFill="text2" w:themeFillTint="33"/>
            <w:vAlign w:val="center"/>
          </w:tcPr>
          <w:p w14:paraId="53D07373" w14:textId="77777777" w:rsidR="003E1D81" w:rsidRDefault="003E1D81">
            <w:pPr>
              <w:rPr>
                <w:rFonts w:ascii="Times New Roman" w:hAnsi="Times New Roman" w:cs="Times New Roman"/>
                <w:b/>
                <w:noProof/>
                <w:sz w:val="18"/>
              </w:rPr>
            </w:pPr>
          </w:p>
        </w:tc>
        <w:tc>
          <w:tcPr>
            <w:tcW w:w="1442" w:type="dxa"/>
            <w:vMerge/>
            <w:shd w:val="clear" w:color="auto" w:fill="C6D9F1" w:themeFill="text2" w:themeFillTint="33"/>
            <w:vAlign w:val="center"/>
          </w:tcPr>
          <w:p w14:paraId="7EE9E47B" w14:textId="77777777" w:rsidR="003E1D81" w:rsidRDefault="003E1D81">
            <w:pPr>
              <w:jc w:val="center"/>
              <w:rPr>
                <w:rFonts w:ascii="Times New Roman" w:hAnsi="Times New Roman" w:cs="Times New Roman"/>
                <w:b/>
                <w:noProof/>
                <w:sz w:val="18"/>
              </w:rPr>
            </w:pPr>
          </w:p>
        </w:tc>
        <w:tc>
          <w:tcPr>
            <w:tcW w:w="1082" w:type="dxa"/>
            <w:shd w:val="clear" w:color="auto" w:fill="C6D9F1" w:themeFill="text2" w:themeFillTint="33"/>
            <w:vAlign w:val="center"/>
          </w:tcPr>
          <w:p w14:paraId="6DEF3D7D" w14:textId="77777777" w:rsidR="003E1D81" w:rsidRDefault="00EB481C">
            <w:pPr>
              <w:pStyle w:val="P68B1DB1-Normal12"/>
              <w:jc w:val="center"/>
              <w:rPr>
                <w:rFonts w:cs="Times New Roman"/>
                <w:noProof/>
              </w:rPr>
            </w:pPr>
            <w:r>
              <w:rPr>
                <w:noProof/>
              </w:rPr>
              <w:t>Egység</w:t>
            </w:r>
          </w:p>
        </w:tc>
        <w:tc>
          <w:tcPr>
            <w:tcW w:w="708" w:type="dxa"/>
            <w:shd w:val="clear" w:color="auto" w:fill="C6D9F1" w:themeFill="text2" w:themeFillTint="33"/>
            <w:vAlign w:val="center"/>
          </w:tcPr>
          <w:p w14:paraId="0E16D987" w14:textId="77777777" w:rsidR="003E1D81" w:rsidRDefault="00EB481C">
            <w:pPr>
              <w:pStyle w:val="P68B1DB1-Normal12"/>
              <w:jc w:val="center"/>
              <w:rPr>
                <w:rFonts w:cs="Times New Roman"/>
                <w:noProof/>
              </w:rPr>
            </w:pPr>
            <w:r>
              <w:rPr>
                <w:noProof/>
              </w:rPr>
              <w:t>Alapérték</w:t>
            </w:r>
          </w:p>
        </w:tc>
        <w:tc>
          <w:tcPr>
            <w:tcW w:w="709" w:type="dxa"/>
            <w:shd w:val="clear" w:color="auto" w:fill="C6D9F1" w:themeFill="text2" w:themeFillTint="33"/>
            <w:vAlign w:val="center"/>
          </w:tcPr>
          <w:p w14:paraId="1DA3BFED" w14:textId="77777777" w:rsidR="003E1D81" w:rsidRDefault="00EB481C">
            <w:pPr>
              <w:pStyle w:val="P68B1DB1-Normal12"/>
              <w:jc w:val="center"/>
              <w:rPr>
                <w:rFonts w:cs="Times New Roman"/>
                <w:noProof/>
              </w:rPr>
            </w:pPr>
            <w:r>
              <w:rPr>
                <w:noProof/>
              </w:rPr>
              <w:t>Cél</w:t>
            </w:r>
          </w:p>
        </w:tc>
        <w:tc>
          <w:tcPr>
            <w:tcW w:w="567" w:type="dxa"/>
            <w:shd w:val="clear" w:color="auto" w:fill="C6D9F1" w:themeFill="text2" w:themeFillTint="33"/>
            <w:vAlign w:val="center"/>
          </w:tcPr>
          <w:p w14:paraId="2E069D33" w14:textId="77777777" w:rsidR="003E1D81" w:rsidRDefault="00EB481C">
            <w:pPr>
              <w:pStyle w:val="P68B1DB1-Normal12"/>
              <w:jc w:val="center"/>
              <w:rPr>
                <w:rFonts w:cs="Times New Roman"/>
                <w:noProof/>
              </w:rPr>
            </w:pPr>
            <w:r>
              <w:rPr>
                <w:noProof/>
              </w:rPr>
              <w:t>Q</w:t>
            </w:r>
          </w:p>
        </w:tc>
        <w:tc>
          <w:tcPr>
            <w:tcW w:w="822" w:type="dxa"/>
            <w:shd w:val="clear" w:color="auto" w:fill="C6D9F1" w:themeFill="text2" w:themeFillTint="33"/>
            <w:vAlign w:val="center"/>
          </w:tcPr>
          <w:p w14:paraId="4EC9668C" w14:textId="77777777" w:rsidR="003E1D81" w:rsidRDefault="00EB481C">
            <w:pPr>
              <w:pStyle w:val="P68B1DB1-Normal12"/>
              <w:jc w:val="center"/>
              <w:rPr>
                <w:rFonts w:cs="Times New Roman"/>
                <w:noProof/>
              </w:rPr>
            </w:pPr>
            <w:r>
              <w:rPr>
                <w:noProof/>
              </w:rPr>
              <w:t>Éve</w:t>
            </w:r>
          </w:p>
        </w:tc>
        <w:tc>
          <w:tcPr>
            <w:tcW w:w="3998" w:type="dxa"/>
            <w:tcBorders>
              <w:top w:val="nil"/>
            </w:tcBorders>
            <w:shd w:val="clear" w:color="auto" w:fill="C6D9F1" w:themeFill="text2" w:themeFillTint="33"/>
            <w:vAlign w:val="center"/>
          </w:tcPr>
          <w:p w14:paraId="1F6FEB78" w14:textId="77777777" w:rsidR="003E1D81" w:rsidRDefault="003E1D81">
            <w:pPr>
              <w:jc w:val="center"/>
              <w:rPr>
                <w:rFonts w:ascii="Times New Roman" w:hAnsi="Times New Roman" w:cs="Times New Roman"/>
                <w:b/>
                <w:noProof/>
                <w:sz w:val="18"/>
              </w:rPr>
            </w:pPr>
          </w:p>
        </w:tc>
      </w:tr>
      <w:tr w:rsidR="003E1D81" w14:paraId="40C2344B" w14:textId="77777777">
        <w:trPr>
          <w:trHeight w:val="309"/>
        </w:trPr>
        <w:tc>
          <w:tcPr>
            <w:tcW w:w="1223" w:type="dxa"/>
            <w:shd w:val="clear" w:color="auto" w:fill="C6EFCE"/>
          </w:tcPr>
          <w:p w14:paraId="27C717A0" w14:textId="77777777" w:rsidR="003E1D81" w:rsidRDefault="00EB481C">
            <w:pPr>
              <w:pStyle w:val="P68B1DB1-Normal13"/>
              <w:jc w:val="center"/>
              <w:rPr>
                <w:rFonts w:eastAsia="Times New Roman" w:cs="Times New Roman"/>
                <w:noProof/>
              </w:rPr>
            </w:pPr>
            <w:r>
              <w:rPr>
                <w:noProof/>
              </w:rPr>
              <w:t>144</w:t>
            </w:r>
          </w:p>
        </w:tc>
        <w:tc>
          <w:tcPr>
            <w:tcW w:w="1448" w:type="dxa"/>
            <w:shd w:val="clear" w:color="auto" w:fill="C6EFCE"/>
          </w:tcPr>
          <w:p w14:paraId="1BE228D3" w14:textId="77777777" w:rsidR="003E1D81" w:rsidRDefault="00EB481C">
            <w:pPr>
              <w:pStyle w:val="P68B1DB1-Normal13"/>
              <w:jc w:val="center"/>
              <w:rPr>
                <w:rFonts w:eastAsia="Times New Roman" w:cs="Times New Roman"/>
                <w:noProof/>
              </w:rPr>
            </w:pPr>
            <w:r>
              <w:rPr>
                <w:noProof/>
              </w:rPr>
              <w:t>C11.R1</w:t>
            </w:r>
          </w:p>
        </w:tc>
        <w:tc>
          <w:tcPr>
            <w:tcW w:w="966" w:type="dxa"/>
            <w:shd w:val="clear" w:color="auto" w:fill="C6EFCE"/>
          </w:tcPr>
          <w:p w14:paraId="4E44D602" w14:textId="77777777" w:rsidR="003E1D81" w:rsidRDefault="00EB481C">
            <w:pPr>
              <w:pStyle w:val="P68B1DB1-Normal13"/>
              <w:jc w:val="center"/>
              <w:rPr>
                <w:rFonts w:eastAsia="Times New Roman" w:cs="Times New Roman"/>
                <w:noProof/>
              </w:rPr>
            </w:pPr>
            <w:r>
              <w:rPr>
                <w:noProof/>
              </w:rPr>
              <w:t>M</w:t>
            </w:r>
          </w:p>
        </w:tc>
        <w:tc>
          <w:tcPr>
            <w:tcW w:w="1631" w:type="dxa"/>
            <w:shd w:val="clear" w:color="auto" w:fill="C6EFCE"/>
          </w:tcPr>
          <w:p w14:paraId="41D2DCC6" w14:textId="77777777" w:rsidR="003E1D81" w:rsidRDefault="00EB481C">
            <w:pPr>
              <w:pStyle w:val="P68B1DB1-Normal13"/>
              <w:rPr>
                <w:rFonts w:eastAsia="Times New Roman" w:cs="Times New Roman"/>
                <w:noProof/>
              </w:rPr>
            </w:pPr>
            <w:r>
              <w:rPr>
                <w:noProof/>
              </w:rPr>
              <w:t>A közigazgatásban az ideiglenes foglalkoztatás csökkentését célzó jogalkotási aktus hatálybalépése</w:t>
            </w:r>
          </w:p>
        </w:tc>
        <w:tc>
          <w:tcPr>
            <w:tcW w:w="1442" w:type="dxa"/>
            <w:shd w:val="clear" w:color="auto" w:fill="C6EFCE"/>
          </w:tcPr>
          <w:p w14:paraId="516C6DCC" w14:textId="77777777" w:rsidR="003E1D81" w:rsidRDefault="00EB481C">
            <w:pPr>
              <w:pStyle w:val="P68B1DB1-Normal13"/>
              <w:jc w:val="center"/>
              <w:rPr>
                <w:rFonts w:eastAsia="Times New Roman" w:cs="Times New Roman"/>
                <w:noProof/>
              </w:rPr>
            </w:pPr>
            <w:r>
              <w:rPr>
                <w:noProof/>
              </w:rPr>
              <w:t>A jogalkotási aktus hatálybalépésére vonatkozó rendelkezés</w:t>
            </w:r>
          </w:p>
        </w:tc>
        <w:tc>
          <w:tcPr>
            <w:tcW w:w="1082" w:type="dxa"/>
            <w:shd w:val="clear" w:color="auto" w:fill="C6EFCE"/>
          </w:tcPr>
          <w:p w14:paraId="47BD0B18" w14:textId="77777777" w:rsidR="003E1D81" w:rsidRDefault="00EB481C">
            <w:pPr>
              <w:pStyle w:val="P68B1DB1-Normal13"/>
              <w:jc w:val="right"/>
              <w:rPr>
                <w:rFonts w:eastAsia="Times New Roman" w:cs="Times New Roman"/>
                <w:noProof/>
              </w:rPr>
            </w:pPr>
            <w:r>
              <w:rPr>
                <w:noProof/>
              </w:rPr>
              <w:t xml:space="preserve"> </w:t>
            </w:r>
          </w:p>
        </w:tc>
        <w:tc>
          <w:tcPr>
            <w:tcW w:w="708" w:type="dxa"/>
            <w:shd w:val="clear" w:color="auto" w:fill="C6EFCE"/>
          </w:tcPr>
          <w:p w14:paraId="3A5F6558" w14:textId="77777777" w:rsidR="003E1D81" w:rsidRDefault="00EB481C">
            <w:pPr>
              <w:pStyle w:val="P68B1DB1-Normal13"/>
              <w:jc w:val="right"/>
              <w:rPr>
                <w:rFonts w:eastAsia="Times New Roman" w:cs="Times New Roman"/>
                <w:noProof/>
              </w:rPr>
            </w:pPr>
            <w:r>
              <w:rPr>
                <w:noProof/>
              </w:rPr>
              <w:t xml:space="preserve"> </w:t>
            </w:r>
          </w:p>
        </w:tc>
        <w:tc>
          <w:tcPr>
            <w:tcW w:w="709" w:type="dxa"/>
            <w:shd w:val="clear" w:color="auto" w:fill="C6EFCE"/>
          </w:tcPr>
          <w:p w14:paraId="78BFC1B3" w14:textId="77777777" w:rsidR="003E1D81" w:rsidRDefault="00EB481C">
            <w:pPr>
              <w:pStyle w:val="P68B1DB1-Normal13"/>
              <w:jc w:val="right"/>
              <w:rPr>
                <w:rFonts w:eastAsia="Times New Roman" w:cs="Times New Roman"/>
                <w:noProof/>
              </w:rPr>
            </w:pPr>
            <w:r>
              <w:rPr>
                <w:noProof/>
              </w:rPr>
              <w:t xml:space="preserve"> </w:t>
            </w:r>
          </w:p>
        </w:tc>
        <w:tc>
          <w:tcPr>
            <w:tcW w:w="567" w:type="dxa"/>
            <w:shd w:val="clear" w:color="auto" w:fill="C6EFCE"/>
          </w:tcPr>
          <w:p w14:paraId="6F76DCF8" w14:textId="77777777" w:rsidR="003E1D81" w:rsidRDefault="00EB481C">
            <w:pPr>
              <w:pStyle w:val="P68B1DB1-Normal13"/>
              <w:jc w:val="center"/>
              <w:rPr>
                <w:rFonts w:eastAsia="Times New Roman" w:cs="Times New Roman"/>
                <w:noProof/>
              </w:rPr>
            </w:pPr>
            <w:r>
              <w:rPr>
                <w:noProof/>
              </w:rPr>
              <w:t>KÉRDÉS</w:t>
            </w:r>
          </w:p>
        </w:tc>
        <w:tc>
          <w:tcPr>
            <w:tcW w:w="822" w:type="dxa"/>
            <w:shd w:val="clear" w:color="auto" w:fill="C6EFCE"/>
          </w:tcPr>
          <w:p w14:paraId="3E081A7E" w14:textId="77777777" w:rsidR="003E1D81" w:rsidRDefault="00EB481C">
            <w:pPr>
              <w:pStyle w:val="P68B1DB1-Normal13"/>
              <w:jc w:val="center"/>
              <w:rPr>
                <w:rFonts w:eastAsia="Times New Roman" w:cs="Times New Roman"/>
                <w:noProof/>
              </w:rPr>
            </w:pPr>
            <w:r>
              <w:rPr>
                <w:noProof/>
              </w:rPr>
              <w:t>2021</w:t>
            </w:r>
          </w:p>
        </w:tc>
        <w:tc>
          <w:tcPr>
            <w:tcW w:w="3998" w:type="dxa"/>
            <w:shd w:val="clear" w:color="auto" w:fill="C6EFCE"/>
          </w:tcPr>
          <w:p w14:paraId="57ED2C1D" w14:textId="77777777" w:rsidR="003E1D81" w:rsidRDefault="00EB481C">
            <w:pPr>
              <w:pStyle w:val="P68B1DB1-Normal13"/>
              <w:rPr>
                <w:rFonts w:eastAsia="Times New Roman" w:cs="Times New Roman"/>
                <w:noProof/>
              </w:rPr>
            </w:pPr>
            <w:r>
              <w:rPr>
                <w:noProof/>
              </w:rPr>
              <w:t xml:space="preserve">A közalkalmazottak ideiglenes foglalkoztatásának </w:t>
            </w:r>
            <w:r>
              <w:rPr>
                <w:noProof/>
              </w:rPr>
              <w:t>csökkentésére irányuló intézkedéseket előíró jogalkotási aktus hatálybalépése, valamint a visszaélések megelőzését és szankcionálását célzó hatékony rendelkezések, beleértve azt a kötelezettséget is, hogy 2022. december 31-ig közzé kell tenni az ideiglenes</w:t>
            </w:r>
            <w:r>
              <w:rPr>
                <w:noProof/>
              </w:rPr>
              <w:t xml:space="preserve"> alkalmazottak stabilizációs eljárásaira vonatkozó valamennyi felhívást. Ezt a jogalkotási aktust az állami, regionális és helyi közigazgatási szervekre kell alkalmazni.</w:t>
            </w:r>
          </w:p>
        </w:tc>
      </w:tr>
      <w:tr w:rsidR="003E1D81" w14:paraId="4ABE1BBE" w14:textId="77777777">
        <w:trPr>
          <w:trHeight w:val="309"/>
        </w:trPr>
        <w:tc>
          <w:tcPr>
            <w:tcW w:w="1223" w:type="dxa"/>
            <w:shd w:val="clear" w:color="auto" w:fill="C6EFCE"/>
          </w:tcPr>
          <w:p w14:paraId="755D0054" w14:textId="77777777" w:rsidR="003E1D81" w:rsidRDefault="00EB481C">
            <w:pPr>
              <w:pStyle w:val="P68B1DB1-Normal13"/>
              <w:jc w:val="center"/>
              <w:rPr>
                <w:rFonts w:cs="Times New Roman"/>
                <w:noProof/>
              </w:rPr>
            </w:pPr>
            <w:r>
              <w:rPr>
                <w:noProof/>
              </w:rPr>
              <w:t>145</w:t>
            </w:r>
          </w:p>
        </w:tc>
        <w:tc>
          <w:tcPr>
            <w:tcW w:w="1448" w:type="dxa"/>
            <w:shd w:val="clear" w:color="auto" w:fill="C6EFCE"/>
          </w:tcPr>
          <w:p w14:paraId="0BE2839D" w14:textId="77777777" w:rsidR="003E1D81" w:rsidRDefault="00EB481C">
            <w:pPr>
              <w:pStyle w:val="P68B1DB1-Normal13"/>
              <w:jc w:val="center"/>
              <w:rPr>
                <w:rFonts w:cs="Times New Roman"/>
                <w:noProof/>
              </w:rPr>
            </w:pPr>
            <w:r>
              <w:rPr>
                <w:noProof/>
              </w:rPr>
              <w:t>C11.R1</w:t>
            </w:r>
          </w:p>
        </w:tc>
        <w:tc>
          <w:tcPr>
            <w:tcW w:w="966" w:type="dxa"/>
            <w:shd w:val="clear" w:color="auto" w:fill="C6EFCE"/>
          </w:tcPr>
          <w:p w14:paraId="0BDFE37F"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2727413A" w14:textId="38E0BEE7" w:rsidR="003E1D81" w:rsidRDefault="00EB481C">
            <w:pPr>
              <w:pStyle w:val="P68B1DB1-Normal13"/>
              <w:rPr>
                <w:rFonts w:cs="Times New Roman"/>
                <w:noProof/>
              </w:rPr>
            </w:pPr>
            <w:r>
              <w:rPr>
                <w:noProof/>
              </w:rPr>
              <w:t xml:space="preserve">A 40/2015. sz. törvény módosításának és a területek közötti </w:t>
            </w:r>
            <w:r>
              <w:rPr>
                <w:noProof/>
              </w:rPr>
              <w:t>együttműködést erősítő miniszteri rendeleteknek a hatálybalépése</w:t>
            </w:r>
          </w:p>
        </w:tc>
        <w:tc>
          <w:tcPr>
            <w:tcW w:w="1442" w:type="dxa"/>
            <w:shd w:val="clear" w:color="auto" w:fill="C6EFCE"/>
          </w:tcPr>
          <w:p w14:paraId="27FE097E" w14:textId="5FB0B6D2" w:rsidR="003E1D81" w:rsidRDefault="00EB481C">
            <w:pPr>
              <w:pStyle w:val="P68B1DB1-Normal13"/>
              <w:jc w:val="center"/>
              <w:rPr>
                <w:rFonts w:cs="Times New Roman"/>
                <w:noProof/>
              </w:rPr>
            </w:pPr>
            <w:r>
              <w:rPr>
                <w:noProof/>
              </w:rPr>
              <w:t xml:space="preserve">A törvény és a miniszteri rendeletek hatálybalépésére vonatkozó rendelkezés </w:t>
            </w:r>
          </w:p>
        </w:tc>
        <w:tc>
          <w:tcPr>
            <w:tcW w:w="1082" w:type="dxa"/>
            <w:shd w:val="clear" w:color="auto" w:fill="C6EFCE"/>
          </w:tcPr>
          <w:p w14:paraId="57BEDBD2"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5003F835" w14:textId="77777777" w:rsidR="003E1D81" w:rsidRDefault="00EB481C">
            <w:pPr>
              <w:pStyle w:val="P68B1DB1-Normal13"/>
              <w:jc w:val="right"/>
              <w:rPr>
                <w:rFonts w:cs="Times New Roman"/>
                <w:noProof/>
              </w:rPr>
            </w:pPr>
            <w:r>
              <w:rPr>
                <w:noProof/>
              </w:rPr>
              <w:t xml:space="preserve"> </w:t>
            </w:r>
          </w:p>
        </w:tc>
        <w:tc>
          <w:tcPr>
            <w:tcW w:w="709" w:type="dxa"/>
            <w:shd w:val="clear" w:color="auto" w:fill="C6EFCE"/>
          </w:tcPr>
          <w:p w14:paraId="4355D8D4" w14:textId="77777777" w:rsidR="003E1D81" w:rsidRDefault="00EB481C">
            <w:pPr>
              <w:pStyle w:val="P68B1DB1-Normal13"/>
              <w:jc w:val="right"/>
              <w:rPr>
                <w:rFonts w:cs="Times New Roman"/>
                <w:noProof/>
              </w:rPr>
            </w:pPr>
            <w:r>
              <w:rPr>
                <w:noProof/>
              </w:rPr>
              <w:t xml:space="preserve"> </w:t>
            </w:r>
          </w:p>
        </w:tc>
        <w:tc>
          <w:tcPr>
            <w:tcW w:w="567" w:type="dxa"/>
            <w:shd w:val="clear" w:color="auto" w:fill="C6EFCE"/>
          </w:tcPr>
          <w:p w14:paraId="4F6C131C"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0025E7B3" w14:textId="77777777" w:rsidR="003E1D81" w:rsidRDefault="00EB481C">
            <w:pPr>
              <w:pStyle w:val="P68B1DB1-Normal13"/>
              <w:jc w:val="center"/>
              <w:rPr>
                <w:rFonts w:cs="Times New Roman"/>
                <w:noProof/>
              </w:rPr>
            </w:pPr>
            <w:r>
              <w:rPr>
                <w:noProof/>
              </w:rPr>
              <w:t>2022</w:t>
            </w:r>
          </w:p>
        </w:tc>
        <w:tc>
          <w:tcPr>
            <w:tcW w:w="3998" w:type="dxa"/>
            <w:shd w:val="clear" w:color="auto" w:fill="C6EFCE"/>
          </w:tcPr>
          <w:p w14:paraId="49367F4A" w14:textId="5C92B568" w:rsidR="003E1D81" w:rsidRDefault="00EB481C">
            <w:pPr>
              <w:pStyle w:val="P68B1DB1-Normal13"/>
              <w:rPr>
                <w:rFonts w:cs="Times New Roman"/>
                <w:noProof/>
              </w:rPr>
            </w:pPr>
            <w:r>
              <w:rPr>
                <w:noProof/>
              </w:rPr>
              <w:t>A 40/2015. sz. törvény módosításának és a területek közötti együttműködés megerősítésére irányuló miniszteri rendeleteknek a hatálybalépése, amelyek a következő elemekre terjednek ki: több ágazatra kiterjedő konferenciák létrehozásának lehetővé tétele, ii.</w:t>
            </w:r>
            <w:r>
              <w:rPr>
                <w:noProof/>
              </w:rPr>
              <w:t xml:space="preserve"> döntéshozatali eljárások meghatározása az ágazati konferenciákon, beleértve azt az esetet is, amikor azok kötelező megfelelési megállapodásokat eredményeznek; az Elnökök Értekezletének megerősítése egy állandó titkárság létrehozásával; a többéves szakpoli</w:t>
            </w:r>
            <w:r>
              <w:rPr>
                <w:noProof/>
              </w:rPr>
              <w:t>tikai célkitűzések és eredménymutatók kötelező előkészítésének, jóváhagyásának és közzétételének, valamint a nyomon követés és értékelés átlátható mechanizmusainak előírása; valamint v. a központi és regionális kormányzati informatikai platformok közötti d</w:t>
            </w:r>
            <w:r>
              <w:rPr>
                <w:noProof/>
              </w:rPr>
              <w:t xml:space="preserve">igitális adminisztratív kapcsolatok és interoperabilitás kialakítása. Az i., ii. és iv. célkitűzés tekintetében a miniszteri rendeleteket részvételen alapuló, inkluzív és átlátható eljárás keretében egyeztetni kell az autonóm közösségekkel. </w:t>
            </w:r>
          </w:p>
        </w:tc>
      </w:tr>
      <w:tr w:rsidR="003E1D81" w14:paraId="3ACB5FEF" w14:textId="77777777">
        <w:trPr>
          <w:trHeight w:val="309"/>
        </w:trPr>
        <w:tc>
          <w:tcPr>
            <w:tcW w:w="1223" w:type="dxa"/>
            <w:shd w:val="clear" w:color="auto" w:fill="C6EFCE"/>
          </w:tcPr>
          <w:p w14:paraId="7A3B126D" w14:textId="77777777" w:rsidR="003E1D81" w:rsidRDefault="00EB481C">
            <w:pPr>
              <w:pStyle w:val="P68B1DB1-Normal13"/>
              <w:jc w:val="center"/>
              <w:rPr>
                <w:rFonts w:cs="Times New Roman"/>
                <w:noProof/>
              </w:rPr>
            </w:pPr>
            <w:r>
              <w:rPr>
                <w:noProof/>
              </w:rPr>
              <w:t>146</w:t>
            </w:r>
          </w:p>
        </w:tc>
        <w:tc>
          <w:tcPr>
            <w:tcW w:w="1448" w:type="dxa"/>
            <w:shd w:val="clear" w:color="auto" w:fill="C6EFCE"/>
          </w:tcPr>
          <w:p w14:paraId="473EC799" w14:textId="77777777" w:rsidR="003E1D81" w:rsidRDefault="00EB481C">
            <w:pPr>
              <w:pStyle w:val="P68B1DB1-Normal13"/>
              <w:jc w:val="center"/>
              <w:rPr>
                <w:rFonts w:cs="Times New Roman"/>
                <w:noProof/>
              </w:rPr>
            </w:pPr>
            <w:r>
              <w:rPr>
                <w:noProof/>
              </w:rPr>
              <w:t>C11.R1</w:t>
            </w:r>
          </w:p>
        </w:tc>
        <w:tc>
          <w:tcPr>
            <w:tcW w:w="966" w:type="dxa"/>
            <w:shd w:val="clear" w:color="auto" w:fill="C6EFCE"/>
          </w:tcPr>
          <w:p w14:paraId="4E7C16EB"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09880326" w14:textId="77777777" w:rsidR="003E1D81" w:rsidRDefault="00EB481C">
            <w:pPr>
              <w:pStyle w:val="P68B1DB1-Normal13"/>
              <w:rPr>
                <w:rFonts w:cs="Times New Roman"/>
                <w:noProof/>
              </w:rPr>
            </w:pPr>
            <w:r>
              <w:rPr>
                <w:noProof/>
              </w:rPr>
              <w:t>A közpolitikák értékelésének megerősítését célzó törvény hatálybalépése</w:t>
            </w:r>
          </w:p>
        </w:tc>
        <w:tc>
          <w:tcPr>
            <w:tcW w:w="1442" w:type="dxa"/>
            <w:shd w:val="clear" w:color="auto" w:fill="C6EFCE"/>
          </w:tcPr>
          <w:p w14:paraId="41ED911C" w14:textId="77777777" w:rsidR="003E1D81" w:rsidRDefault="00EB481C">
            <w:pPr>
              <w:pStyle w:val="P68B1DB1-Normal13"/>
              <w:jc w:val="center"/>
              <w:rPr>
                <w:rFonts w:cs="Times New Roman"/>
                <w:noProof/>
              </w:rPr>
            </w:pPr>
            <w:r>
              <w:rPr>
                <w:noProof/>
              </w:rPr>
              <w:t>A törvény hatálybalépésére vonatkozó jogszabályi rendelkezés</w:t>
            </w:r>
          </w:p>
        </w:tc>
        <w:tc>
          <w:tcPr>
            <w:tcW w:w="1082" w:type="dxa"/>
            <w:shd w:val="clear" w:color="auto" w:fill="C6EFCE"/>
          </w:tcPr>
          <w:p w14:paraId="51E4C3E0"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503B4702" w14:textId="77777777" w:rsidR="003E1D81" w:rsidRDefault="00EB481C">
            <w:pPr>
              <w:pStyle w:val="P68B1DB1-Normal13"/>
              <w:jc w:val="right"/>
              <w:rPr>
                <w:rFonts w:cs="Times New Roman"/>
                <w:noProof/>
              </w:rPr>
            </w:pPr>
            <w:r>
              <w:rPr>
                <w:noProof/>
              </w:rPr>
              <w:t xml:space="preserve"> </w:t>
            </w:r>
          </w:p>
        </w:tc>
        <w:tc>
          <w:tcPr>
            <w:tcW w:w="709" w:type="dxa"/>
            <w:shd w:val="clear" w:color="auto" w:fill="C6EFCE"/>
          </w:tcPr>
          <w:p w14:paraId="0D200161" w14:textId="77777777" w:rsidR="003E1D81" w:rsidRDefault="00EB481C">
            <w:pPr>
              <w:pStyle w:val="P68B1DB1-Normal13"/>
              <w:jc w:val="right"/>
              <w:rPr>
                <w:rFonts w:cs="Times New Roman"/>
                <w:noProof/>
              </w:rPr>
            </w:pPr>
            <w:r>
              <w:rPr>
                <w:noProof/>
              </w:rPr>
              <w:t xml:space="preserve"> </w:t>
            </w:r>
          </w:p>
        </w:tc>
        <w:tc>
          <w:tcPr>
            <w:tcW w:w="567" w:type="dxa"/>
            <w:shd w:val="clear" w:color="auto" w:fill="C6EFCE"/>
          </w:tcPr>
          <w:p w14:paraId="1FE19E10"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2D798BA7" w14:textId="77777777" w:rsidR="003E1D81" w:rsidRDefault="00EB481C">
            <w:pPr>
              <w:pStyle w:val="P68B1DB1-Normal13"/>
              <w:jc w:val="center"/>
              <w:rPr>
                <w:rFonts w:cs="Times New Roman"/>
                <w:noProof/>
              </w:rPr>
            </w:pPr>
            <w:r>
              <w:rPr>
                <w:noProof/>
              </w:rPr>
              <w:t>2022</w:t>
            </w:r>
          </w:p>
        </w:tc>
        <w:tc>
          <w:tcPr>
            <w:tcW w:w="3998" w:type="dxa"/>
            <w:shd w:val="clear" w:color="auto" w:fill="C6EFCE"/>
          </w:tcPr>
          <w:p w14:paraId="2AEF5638" w14:textId="77777777" w:rsidR="003E1D81" w:rsidRDefault="00EB481C">
            <w:pPr>
              <w:pStyle w:val="P68B1DB1-Normal13"/>
              <w:rPr>
                <w:rFonts w:cs="Times New Roman"/>
                <w:noProof/>
              </w:rPr>
            </w:pPr>
            <w:r>
              <w:rPr>
                <w:noProof/>
              </w:rPr>
              <w:t xml:space="preserve">Az értékelési törvény hatálybalépése, amely az előzetes értékelésen alapuló közpolitikák megerősítését </w:t>
            </w:r>
            <w:r>
              <w:rPr>
                <w:noProof/>
              </w:rPr>
              <w:t>célzó intézkedéseket tartalmaz. A célkitűzések: a jelenlegi Nemzeti Értékelési Intézet (Instituto de Evaluación de Políticas Públicas) rendszerének megerősítése szervezeti és működési függetlenségének biztosítása érdekében; az Intézet feladatainak ellátásá</w:t>
            </w:r>
            <w:r>
              <w:rPr>
                <w:noProof/>
              </w:rPr>
              <w:t>hoz szükséges kapacitás és eszközök biztosítása az intézet számára; beleértve a politikák szisztematikus előzetes értékelésének elvét; és iv. az egyéb szervek és ügynökségek, köztük az AIReF megbízatásának megőrzése.</w:t>
            </w:r>
          </w:p>
        </w:tc>
      </w:tr>
      <w:tr w:rsidR="003E1D81" w14:paraId="00FAF26C" w14:textId="77777777">
        <w:trPr>
          <w:trHeight w:val="309"/>
        </w:trPr>
        <w:tc>
          <w:tcPr>
            <w:tcW w:w="1223" w:type="dxa"/>
            <w:shd w:val="clear" w:color="auto" w:fill="C6EFCE"/>
          </w:tcPr>
          <w:p w14:paraId="272C3981" w14:textId="77777777" w:rsidR="003E1D81" w:rsidRDefault="00EB481C">
            <w:pPr>
              <w:pStyle w:val="P68B1DB1-Normal13"/>
              <w:jc w:val="center"/>
              <w:rPr>
                <w:rFonts w:cs="Times New Roman"/>
                <w:noProof/>
              </w:rPr>
            </w:pPr>
            <w:r>
              <w:rPr>
                <w:noProof/>
              </w:rPr>
              <w:t>147</w:t>
            </w:r>
          </w:p>
        </w:tc>
        <w:tc>
          <w:tcPr>
            <w:tcW w:w="1448" w:type="dxa"/>
            <w:shd w:val="clear" w:color="auto" w:fill="C6EFCE"/>
          </w:tcPr>
          <w:p w14:paraId="66A6CFFE" w14:textId="77777777" w:rsidR="003E1D81" w:rsidRDefault="00EB481C">
            <w:pPr>
              <w:pStyle w:val="P68B1DB1-Normal13"/>
              <w:jc w:val="center"/>
              <w:rPr>
                <w:rFonts w:cs="Times New Roman"/>
                <w:noProof/>
              </w:rPr>
            </w:pPr>
            <w:r>
              <w:rPr>
                <w:noProof/>
              </w:rPr>
              <w:t>C11.R1</w:t>
            </w:r>
          </w:p>
        </w:tc>
        <w:tc>
          <w:tcPr>
            <w:tcW w:w="966" w:type="dxa"/>
            <w:shd w:val="clear" w:color="auto" w:fill="C6EFCE"/>
          </w:tcPr>
          <w:p w14:paraId="28864414"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41EE6FF5" w14:textId="21720083" w:rsidR="003E1D81" w:rsidRDefault="00EB481C">
            <w:pPr>
              <w:pStyle w:val="P68B1DB1-Normal13"/>
              <w:rPr>
                <w:rFonts w:cs="Times New Roman"/>
                <w:noProof/>
              </w:rPr>
            </w:pPr>
            <w:r>
              <w:rPr>
                <w:noProof/>
              </w:rPr>
              <w:t>A helyi közigazgatási rendszerekről szóló 7/1985. sz. törvény reformjának, valamint a helyi közigazgatási egységek népesség- és területi elhatárolásáról szóló rendeletet jóváhagyó, július 11-i 1690/1986. sz. királyi rendelet módosításának hatálybalépése</w:t>
            </w:r>
          </w:p>
        </w:tc>
        <w:tc>
          <w:tcPr>
            <w:tcW w:w="1442" w:type="dxa"/>
            <w:shd w:val="clear" w:color="auto" w:fill="C6EFCE"/>
          </w:tcPr>
          <w:p w14:paraId="7349E8C9" w14:textId="2D8A6973" w:rsidR="003E1D81" w:rsidRDefault="00EB481C">
            <w:pPr>
              <w:pStyle w:val="P68B1DB1-Normal13"/>
              <w:jc w:val="center"/>
              <w:rPr>
                <w:rFonts w:cs="Times New Roman"/>
                <w:noProof/>
              </w:rPr>
            </w:pPr>
            <w:r>
              <w:rPr>
                <w:noProof/>
              </w:rPr>
              <w:t xml:space="preserve">A törvény rendelkezése és a reformok végrehajtásáról szóló királyi rendelet hatálybalépése </w:t>
            </w:r>
          </w:p>
        </w:tc>
        <w:tc>
          <w:tcPr>
            <w:tcW w:w="1082" w:type="dxa"/>
            <w:shd w:val="clear" w:color="auto" w:fill="C6EFCE"/>
          </w:tcPr>
          <w:p w14:paraId="75745E9A"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0C5E3641" w14:textId="77777777" w:rsidR="003E1D81" w:rsidRDefault="00EB481C">
            <w:pPr>
              <w:pStyle w:val="P68B1DB1-Normal13"/>
              <w:jc w:val="right"/>
              <w:rPr>
                <w:rFonts w:cs="Times New Roman"/>
                <w:noProof/>
              </w:rPr>
            </w:pPr>
            <w:r>
              <w:rPr>
                <w:noProof/>
              </w:rPr>
              <w:t xml:space="preserve"> </w:t>
            </w:r>
          </w:p>
        </w:tc>
        <w:tc>
          <w:tcPr>
            <w:tcW w:w="709" w:type="dxa"/>
            <w:shd w:val="clear" w:color="auto" w:fill="C6EFCE"/>
          </w:tcPr>
          <w:p w14:paraId="15541C48" w14:textId="77777777" w:rsidR="003E1D81" w:rsidRDefault="00EB481C">
            <w:pPr>
              <w:pStyle w:val="P68B1DB1-Normal13"/>
              <w:jc w:val="right"/>
              <w:rPr>
                <w:rFonts w:cs="Times New Roman"/>
                <w:noProof/>
              </w:rPr>
            </w:pPr>
            <w:r>
              <w:rPr>
                <w:noProof/>
              </w:rPr>
              <w:t xml:space="preserve"> </w:t>
            </w:r>
          </w:p>
        </w:tc>
        <w:tc>
          <w:tcPr>
            <w:tcW w:w="567" w:type="dxa"/>
            <w:shd w:val="clear" w:color="auto" w:fill="C6EFCE"/>
          </w:tcPr>
          <w:p w14:paraId="56CDA044"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298A2DB1" w14:textId="77777777" w:rsidR="003E1D81" w:rsidRDefault="00EB481C">
            <w:pPr>
              <w:pStyle w:val="P68B1DB1-Normal13"/>
              <w:jc w:val="center"/>
              <w:rPr>
                <w:rFonts w:cs="Times New Roman"/>
                <w:noProof/>
              </w:rPr>
            </w:pPr>
            <w:r>
              <w:rPr>
                <w:noProof/>
              </w:rPr>
              <w:t>2022</w:t>
            </w:r>
          </w:p>
        </w:tc>
        <w:tc>
          <w:tcPr>
            <w:tcW w:w="3998" w:type="dxa"/>
            <w:shd w:val="clear" w:color="auto" w:fill="C6EFCE"/>
          </w:tcPr>
          <w:p w14:paraId="3507A2BD" w14:textId="366E6416" w:rsidR="003E1D81" w:rsidRDefault="00EB481C">
            <w:pPr>
              <w:pStyle w:val="P68B1DB1-Normal13"/>
              <w:rPr>
                <w:rFonts w:cs="Times New Roman"/>
                <w:noProof/>
              </w:rPr>
            </w:pPr>
            <w:r>
              <w:rPr>
                <w:noProof/>
              </w:rPr>
              <w:t>A helyi közigazgatási rendszerek szabályozásáról szóló 7/1985. sz. törvény módosításának, valamint a helyi közigazgatási egységek népesség- és t</w:t>
            </w:r>
            <w:r>
              <w:rPr>
                <w:noProof/>
              </w:rPr>
              <w:t>erületi elhatárolásáról szóló rendeletet jóváhagyó, július 11-i 1690/1986. sz. királyi rendelet módosításának hatálybalépése. A helyi közigazgatási rendszerek szabályozásáról szóló 7/1985. sz. törvény módosítása hozzájárul: a helyi közszolgáltatások kiépít</w:t>
            </w:r>
            <w:r>
              <w:rPr>
                <w:noProof/>
              </w:rPr>
              <w:t>ésének felgyorsítása és bővítése, többek között digitális eszközök, például alkalmazások révén, valamint ii. a kisvárosok támogatása a közszolgáltatások nyújtásában. A helyi gazdálkodó egységek népesedéséről és területi elhatárolásáról szóló rendeletet jóv</w:t>
            </w:r>
            <w:r>
              <w:rPr>
                <w:noProof/>
              </w:rPr>
              <w:t>áhagyó, július 11-i 1690/1986. sz. királyi rendelet módosítása aktualizálja és javítja az önkormányzatok által kezelt népesség-számlálást. A reformokat hatásvizsgálatnak kell kísérnie, amely kiterjed a költségvetési fenntarthatóság szempontjaira is.</w:t>
            </w:r>
          </w:p>
        </w:tc>
      </w:tr>
      <w:tr w:rsidR="003E1D81" w14:paraId="29BBF8D8" w14:textId="77777777">
        <w:trPr>
          <w:trHeight w:val="309"/>
        </w:trPr>
        <w:tc>
          <w:tcPr>
            <w:tcW w:w="1223" w:type="dxa"/>
            <w:shd w:val="clear" w:color="auto" w:fill="C6EFCE"/>
          </w:tcPr>
          <w:p w14:paraId="3632D0D5" w14:textId="77777777" w:rsidR="003E1D81" w:rsidRDefault="00EB481C">
            <w:pPr>
              <w:pStyle w:val="P68B1DB1-Normal13"/>
              <w:jc w:val="center"/>
              <w:rPr>
                <w:rFonts w:cs="Times New Roman"/>
                <w:noProof/>
              </w:rPr>
            </w:pPr>
            <w:r>
              <w:rPr>
                <w:noProof/>
              </w:rPr>
              <w:t>148</w:t>
            </w:r>
          </w:p>
        </w:tc>
        <w:tc>
          <w:tcPr>
            <w:tcW w:w="1448" w:type="dxa"/>
            <w:shd w:val="clear" w:color="auto" w:fill="C6EFCE"/>
          </w:tcPr>
          <w:p w14:paraId="56824CAD" w14:textId="77777777" w:rsidR="003E1D81" w:rsidRDefault="00EB481C">
            <w:pPr>
              <w:pStyle w:val="P68B1DB1-Normal13"/>
              <w:jc w:val="center"/>
              <w:rPr>
                <w:rFonts w:cs="Times New Roman"/>
                <w:noProof/>
              </w:rPr>
            </w:pPr>
            <w:r>
              <w:rPr>
                <w:noProof/>
              </w:rPr>
              <w:t>C11.R1</w:t>
            </w:r>
          </w:p>
        </w:tc>
        <w:tc>
          <w:tcPr>
            <w:tcW w:w="966" w:type="dxa"/>
            <w:shd w:val="clear" w:color="auto" w:fill="C6EFCE"/>
          </w:tcPr>
          <w:p w14:paraId="5FC47139"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0E387286" w14:textId="3D9414CA" w:rsidR="003E1D81" w:rsidRDefault="00EB481C">
            <w:pPr>
              <w:pStyle w:val="P68B1DB1-Normal13"/>
              <w:rPr>
                <w:rFonts w:cs="Times New Roman"/>
                <w:noProof/>
              </w:rPr>
            </w:pPr>
            <w:r>
              <w:rPr>
                <w:noProof/>
              </w:rPr>
              <w:t>Az állami közigazgatás közszolgálatára vonatkozó szabályozási intézkedések hatálybalépése</w:t>
            </w:r>
          </w:p>
        </w:tc>
        <w:tc>
          <w:tcPr>
            <w:tcW w:w="1442" w:type="dxa"/>
            <w:shd w:val="clear" w:color="auto" w:fill="C6EFCE"/>
          </w:tcPr>
          <w:p w14:paraId="268E37DA" w14:textId="44026CF2" w:rsidR="003E1D81" w:rsidRDefault="00EB481C">
            <w:pPr>
              <w:pStyle w:val="P68B1DB1-Normal13"/>
              <w:jc w:val="center"/>
              <w:rPr>
                <w:rFonts w:cs="Times New Roman"/>
                <w:noProof/>
              </w:rPr>
            </w:pPr>
            <w:r>
              <w:rPr>
                <w:noProof/>
              </w:rPr>
              <w:t xml:space="preserve">A reform elemeit végrehajtó királyi rendelet(ek)ben és miniszteri rendelet(ek)ben foglalt, hatálybalépésüket jelző rendelkezés </w:t>
            </w:r>
          </w:p>
        </w:tc>
        <w:tc>
          <w:tcPr>
            <w:tcW w:w="1082" w:type="dxa"/>
            <w:shd w:val="clear" w:color="auto" w:fill="C6EFCE"/>
          </w:tcPr>
          <w:p w14:paraId="39017060"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0740E5F9" w14:textId="77777777" w:rsidR="003E1D81" w:rsidRDefault="00EB481C">
            <w:pPr>
              <w:pStyle w:val="P68B1DB1-Normal13"/>
              <w:jc w:val="right"/>
              <w:rPr>
                <w:rFonts w:cs="Times New Roman"/>
                <w:noProof/>
              </w:rPr>
            </w:pPr>
            <w:r>
              <w:rPr>
                <w:noProof/>
              </w:rPr>
              <w:t xml:space="preserve"> </w:t>
            </w:r>
          </w:p>
        </w:tc>
        <w:tc>
          <w:tcPr>
            <w:tcW w:w="709" w:type="dxa"/>
            <w:shd w:val="clear" w:color="auto" w:fill="C6EFCE"/>
          </w:tcPr>
          <w:p w14:paraId="5FC345CA" w14:textId="77777777" w:rsidR="003E1D81" w:rsidRDefault="00EB481C">
            <w:pPr>
              <w:pStyle w:val="P68B1DB1-Normal13"/>
              <w:jc w:val="right"/>
              <w:rPr>
                <w:rFonts w:cs="Times New Roman"/>
                <w:noProof/>
              </w:rPr>
            </w:pPr>
            <w:r>
              <w:rPr>
                <w:noProof/>
              </w:rPr>
              <w:t xml:space="preserve"> </w:t>
            </w:r>
          </w:p>
        </w:tc>
        <w:tc>
          <w:tcPr>
            <w:tcW w:w="567" w:type="dxa"/>
            <w:shd w:val="clear" w:color="auto" w:fill="C6EFCE"/>
          </w:tcPr>
          <w:p w14:paraId="61594965"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3961A0ED" w14:textId="77777777" w:rsidR="003E1D81" w:rsidRDefault="00EB481C">
            <w:pPr>
              <w:pStyle w:val="P68B1DB1-Normal13"/>
              <w:jc w:val="center"/>
              <w:rPr>
                <w:rFonts w:cs="Times New Roman"/>
                <w:noProof/>
              </w:rPr>
            </w:pPr>
            <w:r>
              <w:rPr>
                <w:noProof/>
              </w:rPr>
              <w:t>2022</w:t>
            </w:r>
          </w:p>
        </w:tc>
        <w:tc>
          <w:tcPr>
            <w:tcW w:w="3998" w:type="dxa"/>
            <w:shd w:val="clear" w:color="auto" w:fill="C6EFCE"/>
          </w:tcPr>
          <w:p w14:paraId="716779E3" w14:textId="1B02DE47" w:rsidR="003E1D81" w:rsidRDefault="00EB481C">
            <w:pPr>
              <w:pStyle w:val="P68B1DB1-Normal13"/>
              <w:rPr>
                <w:rFonts w:cs="Times New Roman"/>
                <w:noProof/>
              </w:rPr>
            </w:pPr>
            <w:r>
              <w:rPr>
                <w:noProof/>
              </w:rPr>
              <w:t xml:space="preserve">Az állami közigazgatás közszolgálatára vonatkozó szabályozási intézkedések hatálybalépése. Az intézkedéseknek meg kell erősíteniük az adminisztráció azon képességét, hogy vonzza és megtartsa a jelenlegi feladatai ellátásához szükséges tehetségeket, többek </w:t>
            </w:r>
            <w:r>
              <w:rPr>
                <w:noProof/>
              </w:rPr>
              <w:t>között az információs és távközlési területeken. Az intézkedések a következő elemeket tartalmazzák: az emberi erőforrások tervezésére, szervezésére és kezelésére szolgáló eszközök újjáélesztése; az egyenlőség, az érdemek és a hozzáférési képesség elve haté</w:t>
            </w:r>
            <w:r>
              <w:rPr>
                <w:noProof/>
              </w:rPr>
              <w:t>konyságának, valamint a kiválasztási eljárások átláthatóságának és gyorsaságának biztosítása; az értékelés és a teljesítmény kompetenciaalapú keret szerinti szabályozása, beleértve az új munkaerő-felvételt is; valamint iv. a vezető beosztású tisztviselők á</w:t>
            </w:r>
            <w:r>
              <w:rPr>
                <w:noProof/>
              </w:rPr>
              <w:t xml:space="preserve">lláshelyeihez (nevezetesen általános aligazgatókhoz </w:t>
            </w:r>
            <w:r>
              <w:rPr>
                <w:i/>
                <w:noProof/>
              </w:rPr>
              <w:t>és hasonló</w:t>
            </w:r>
            <w:r>
              <w:rPr>
                <w:noProof/>
              </w:rPr>
              <w:t xml:space="preserve"> álláshelyekhez) való hozzáférés érdemek és versenyvizsga alapján. A szabályozási intézkedések a ii. és a iii. elemre vonatkozó királyi törvényerejű rendelet formáját öltik; valamint az i. és iv</w:t>
            </w:r>
            <w:r>
              <w:rPr>
                <w:noProof/>
              </w:rPr>
              <w:t>. elemre vonatkozó miniszteri rendelet(ek)et.</w:t>
            </w:r>
          </w:p>
        </w:tc>
      </w:tr>
      <w:tr w:rsidR="003E1D81" w14:paraId="370A0D81" w14:textId="77777777">
        <w:trPr>
          <w:trHeight w:val="309"/>
        </w:trPr>
        <w:tc>
          <w:tcPr>
            <w:tcW w:w="1223" w:type="dxa"/>
            <w:shd w:val="clear" w:color="auto" w:fill="C6EFCE"/>
          </w:tcPr>
          <w:p w14:paraId="2B464838" w14:textId="77777777" w:rsidR="003E1D81" w:rsidRDefault="00EB481C">
            <w:pPr>
              <w:pStyle w:val="P68B1DB1-Normal13"/>
              <w:jc w:val="center"/>
              <w:rPr>
                <w:rFonts w:cs="Times New Roman"/>
                <w:noProof/>
              </w:rPr>
            </w:pPr>
            <w:r>
              <w:rPr>
                <w:noProof/>
              </w:rPr>
              <w:t>149</w:t>
            </w:r>
          </w:p>
        </w:tc>
        <w:tc>
          <w:tcPr>
            <w:tcW w:w="1448" w:type="dxa"/>
            <w:shd w:val="clear" w:color="auto" w:fill="C6EFCE"/>
          </w:tcPr>
          <w:p w14:paraId="424D4657" w14:textId="77777777" w:rsidR="003E1D81" w:rsidRDefault="00EB481C">
            <w:pPr>
              <w:pStyle w:val="P68B1DB1-Normal13"/>
              <w:jc w:val="center"/>
              <w:rPr>
                <w:rFonts w:cs="Times New Roman"/>
                <w:noProof/>
              </w:rPr>
            </w:pPr>
            <w:r>
              <w:rPr>
                <w:noProof/>
              </w:rPr>
              <w:t>C11.R1</w:t>
            </w:r>
          </w:p>
        </w:tc>
        <w:tc>
          <w:tcPr>
            <w:tcW w:w="966" w:type="dxa"/>
            <w:shd w:val="clear" w:color="auto" w:fill="C6EFCE"/>
          </w:tcPr>
          <w:p w14:paraId="299041B6"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1E35AF3F" w14:textId="77777777" w:rsidR="003E1D81" w:rsidRDefault="00EB481C">
            <w:pPr>
              <w:pStyle w:val="P68B1DB1-Normal13"/>
              <w:rPr>
                <w:rFonts w:cs="Times New Roman"/>
                <w:noProof/>
              </w:rPr>
            </w:pPr>
            <w:r>
              <w:rPr>
                <w:noProof/>
              </w:rPr>
              <w:t>Az értékelést végző új közintézmény alapszabálya</w:t>
            </w:r>
          </w:p>
        </w:tc>
        <w:tc>
          <w:tcPr>
            <w:tcW w:w="1442" w:type="dxa"/>
            <w:shd w:val="clear" w:color="auto" w:fill="C6EFCE"/>
          </w:tcPr>
          <w:p w14:paraId="0C90CC59" w14:textId="77777777" w:rsidR="003E1D81" w:rsidRDefault="00EB481C">
            <w:pPr>
              <w:pStyle w:val="P68B1DB1-Normal13"/>
              <w:jc w:val="center"/>
              <w:rPr>
                <w:rFonts w:cs="Times New Roman"/>
                <w:noProof/>
              </w:rPr>
            </w:pPr>
            <w:r>
              <w:rPr>
                <w:noProof/>
              </w:rPr>
              <w:t xml:space="preserve">A királyi rendelet hatálybalépésére vonatkozó rendelkezése </w:t>
            </w:r>
          </w:p>
        </w:tc>
        <w:tc>
          <w:tcPr>
            <w:tcW w:w="1082" w:type="dxa"/>
            <w:shd w:val="clear" w:color="auto" w:fill="C6EFCE"/>
          </w:tcPr>
          <w:p w14:paraId="29FC183F"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473AFF47" w14:textId="77777777" w:rsidR="003E1D81" w:rsidRDefault="00EB481C">
            <w:pPr>
              <w:pStyle w:val="P68B1DB1-Normal13"/>
              <w:jc w:val="right"/>
              <w:rPr>
                <w:rFonts w:cs="Times New Roman"/>
                <w:noProof/>
              </w:rPr>
            </w:pPr>
            <w:r>
              <w:rPr>
                <w:noProof/>
              </w:rPr>
              <w:t xml:space="preserve"> </w:t>
            </w:r>
          </w:p>
        </w:tc>
        <w:tc>
          <w:tcPr>
            <w:tcW w:w="709" w:type="dxa"/>
            <w:shd w:val="clear" w:color="auto" w:fill="C6EFCE"/>
          </w:tcPr>
          <w:p w14:paraId="3D603131" w14:textId="77777777" w:rsidR="003E1D81" w:rsidRDefault="00EB481C">
            <w:pPr>
              <w:pStyle w:val="P68B1DB1-Normal13"/>
              <w:jc w:val="right"/>
              <w:rPr>
                <w:rFonts w:cs="Times New Roman"/>
                <w:noProof/>
              </w:rPr>
            </w:pPr>
            <w:r>
              <w:rPr>
                <w:noProof/>
              </w:rPr>
              <w:t xml:space="preserve"> </w:t>
            </w:r>
          </w:p>
        </w:tc>
        <w:tc>
          <w:tcPr>
            <w:tcW w:w="567" w:type="dxa"/>
            <w:shd w:val="clear" w:color="auto" w:fill="C6EFCE"/>
          </w:tcPr>
          <w:p w14:paraId="2E4BFBF2"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340D2FE8" w14:textId="77777777" w:rsidR="003E1D81" w:rsidRDefault="00EB481C">
            <w:pPr>
              <w:pStyle w:val="P68B1DB1-Normal13"/>
              <w:jc w:val="center"/>
              <w:rPr>
                <w:rFonts w:cs="Times New Roman"/>
                <w:noProof/>
              </w:rPr>
            </w:pPr>
            <w:r>
              <w:rPr>
                <w:noProof/>
              </w:rPr>
              <w:t>2023</w:t>
            </w:r>
          </w:p>
        </w:tc>
        <w:tc>
          <w:tcPr>
            <w:tcW w:w="3998" w:type="dxa"/>
            <w:shd w:val="clear" w:color="auto" w:fill="C6EFCE"/>
          </w:tcPr>
          <w:p w14:paraId="78F3AB93" w14:textId="77777777" w:rsidR="003E1D81" w:rsidRDefault="00EB481C">
            <w:pPr>
              <w:pStyle w:val="P68B1DB1-Normal13"/>
              <w:rPr>
                <w:rFonts w:cs="Times New Roman"/>
                <w:noProof/>
              </w:rPr>
            </w:pPr>
            <w:r>
              <w:rPr>
                <w:noProof/>
              </w:rPr>
              <w:t xml:space="preserve">Az új nemzeti értékelő állami szerv alapszabályáról szóló királyi </w:t>
            </w:r>
            <w:r>
              <w:rPr>
                <w:noProof/>
              </w:rPr>
              <w:t>rendelet hatálybalépése. E királyi rendelet céljai a következők: a nemzeti értékelő állami szerv számára a közpolitikák előzetes értékelésére szolgáló módszertani szabványosítással kapcsolatos feladatainak ellátásához szükséges kapacitás és eszközök biztos</w:t>
            </w:r>
            <w:r>
              <w:rPr>
                <w:noProof/>
              </w:rPr>
              <w:t>ítása; közpolitikai értékelések végzése; és iii. beleértve a szisztematikus előzetes politikai értékelés elvét, a törvényben meghatározott kivételekkel.</w:t>
            </w:r>
          </w:p>
        </w:tc>
      </w:tr>
      <w:tr w:rsidR="003E1D81" w14:paraId="594099FE" w14:textId="77777777">
        <w:trPr>
          <w:trHeight w:val="309"/>
        </w:trPr>
        <w:tc>
          <w:tcPr>
            <w:tcW w:w="1223" w:type="dxa"/>
            <w:shd w:val="clear" w:color="auto" w:fill="C6EFCE"/>
          </w:tcPr>
          <w:p w14:paraId="3F22E7E6" w14:textId="7B8D20F9" w:rsidR="003E1D81" w:rsidRDefault="00EB481C">
            <w:pPr>
              <w:pStyle w:val="P68B1DB1-Normal13"/>
              <w:jc w:val="center"/>
              <w:rPr>
                <w:rFonts w:cs="Times New Roman"/>
                <w:noProof/>
              </w:rPr>
            </w:pPr>
            <w:r>
              <w:rPr>
                <w:noProof/>
              </w:rPr>
              <w:t>150</w:t>
            </w:r>
          </w:p>
        </w:tc>
        <w:tc>
          <w:tcPr>
            <w:tcW w:w="1448" w:type="dxa"/>
            <w:shd w:val="clear" w:color="auto" w:fill="C6EFCE"/>
          </w:tcPr>
          <w:p w14:paraId="39274323" w14:textId="1F729C9E" w:rsidR="003E1D81" w:rsidRDefault="00EB481C">
            <w:pPr>
              <w:pStyle w:val="P68B1DB1-Normal13"/>
              <w:jc w:val="center"/>
              <w:rPr>
                <w:rFonts w:cs="Times New Roman"/>
                <w:noProof/>
              </w:rPr>
            </w:pPr>
            <w:r>
              <w:rPr>
                <w:noProof/>
              </w:rPr>
              <w:t>C11.R1</w:t>
            </w:r>
          </w:p>
        </w:tc>
        <w:tc>
          <w:tcPr>
            <w:tcW w:w="966" w:type="dxa"/>
            <w:shd w:val="clear" w:color="auto" w:fill="C6EFCE"/>
          </w:tcPr>
          <w:p w14:paraId="324774BA" w14:textId="0AEF0C26" w:rsidR="003E1D81" w:rsidRDefault="00EB481C">
            <w:pPr>
              <w:pStyle w:val="P68B1DB1-Normal13"/>
              <w:jc w:val="center"/>
              <w:rPr>
                <w:rFonts w:cs="Times New Roman"/>
                <w:noProof/>
              </w:rPr>
            </w:pPr>
            <w:r>
              <w:rPr>
                <w:noProof/>
              </w:rPr>
              <w:t>T</w:t>
            </w:r>
          </w:p>
        </w:tc>
        <w:tc>
          <w:tcPr>
            <w:tcW w:w="1631" w:type="dxa"/>
            <w:shd w:val="clear" w:color="auto" w:fill="C6EFCE"/>
          </w:tcPr>
          <w:p w14:paraId="7A55C355" w14:textId="367C5167" w:rsidR="003E1D81" w:rsidRDefault="00EB481C">
            <w:pPr>
              <w:pStyle w:val="P68B1DB1-Normal13"/>
              <w:rPr>
                <w:rFonts w:cs="Times New Roman"/>
                <w:noProof/>
              </w:rPr>
            </w:pPr>
            <w:r>
              <w:rPr>
                <w:noProof/>
              </w:rPr>
              <w:t>Az állami foglalkoztatás stabilizálása</w:t>
            </w:r>
          </w:p>
        </w:tc>
        <w:tc>
          <w:tcPr>
            <w:tcW w:w="1442" w:type="dxa"/>
            <w:shd w:val="clear" w:color="auto" w:fill="C6EFCE"/>
          </w:tcPr>
          <w:p w14:paraId="473383D2" w14:textId="77777777" w:rsidR="003E1D81" w:rsidRDefault="003E1D81">
            <w:pPr>
              <w:jc w:val="center"/>
              <w:rPr>
                <w:rFonts w:ascii="Times New Roman" w:hAnsi="Times New Roman" w:cs="Times New Roman"/>
                <w:noProof/>
                <w:sz w:val="18"/>
              </w:rPr>
            </w:pPr>
          </w:p>
        </w:tc>
        <w:tc>
          <w:tcPr>
            <w:tcW w:w="1082" w:type="dxa"/>
            <w:shd w:val="clear" w:color="auto" w:fill="C6EFCE"/>
          </w:tcPr>
          <w:p w14:paraId="1E54F784" w14:textId="7E9293D1" w:rsidR="003E1D81" w:rsidRDefault="00EB481C">
            <w:pPr>
              <w:pStyle w:val="P68B1DB1-Normal13"/>
              <w:jc w:val="right"/>
              <w:rPr>
                <w:rFonts w:cs="Times New Roman"/>
                <w:noProof/>
              </w:rPr>
            </w:pPr>
            <w:r>
              <w:rPr>
                <w:noProof/>
              </w:rPr>
              <w:t>Szám</w:t>
            </w:r>
          </w:p>
        </w:tc>
        <w:tc>
          <w:tcPr>
            <w:tcW w:w="708" w:type="dxa"/>
            <w:shd w:val="clear" w:color="auto" w:fill="C6EFCE"/>
          </w:tcPr>
          <w:p w14:paraId="3CA84FD5" w14:textId="583DB036" w:rsidR="003E1D81" w:rsidRDefault="00EB481C">
            <w:pPr>
              <w:pStyle w:val="P68B1DB1-Normal13"/>
              <w:jc w:val="right"/>
              <w:rPr>
                <w:rFonts w:cs="Times New Roman"/>
                <w:noProof/>
              </w:rPr>
            </w:pPr>
            <w:r>
              <w:rPr>
                <w:noProof/>
              </w:rPr>
              <w:t>0</w:t>
            </w:r>
          </w:p>
        </w:tc>
        <w:tc>
          <w:tcPr>
            <w:tcW w:w="709" w:type="dxa"/>
            <w:shd w:val="clear" w:color="auto" w:fill="C6EFCE"/>
          </w:tcPr>
          <w:p w14:paraId="200B5FCB" w14:textId="18582A6B" w:rsidR="003E1D81" w:rsidRDefault="00EB481C">
            <w:pPr>
              <w:pStyle w:val="P68B1DB1-Normal13"/>
              <w:jc w:val="right"/>
              <w:rPr>
                <w:rFonts w:cs="Times New Roman"/>
                <w:noProof/>
              </w:rPr>
            </w:pPr>
            <w:r>
              <w:rPr>
                <w:noProof/>
              </w:rPr>
              <w:t>300 000</w:t>
            </w:r>
          </w:p>
        </w:tc>
        <w:tc>
          <w:tcPr>
            <w:tcW w:w="567" w:type="dxa"/>
            <w:shd w:val="clear" w:color="auto" w:fill="C6EFCE"/>
          </w:tcPr>
          <w:p w14:paraId="6F66B82C" w14:textId="77D85D2A" w:rsidR="003E1D81" w:rsidRDefault="00EB481C">
            <w:pPr>
              <w:pStyle w:val="P68B1DB1-Normal13"/>
              <w:jc w:val="center"/>
              <w:rPr>
                <w:rFonts w:cs="Times New Roman"/>
                <w:noProof/>
              </w:rPr>
            </w:pPr>
            <w:r>
              <w:rPr>
                <w:noProof/>
              </w:rPr>
              <w:t>NEGYEDÉV</w:t>
            </w:r>
          </w:p>
        </w:tc>
        <w:tc>
          <w:tcPr>
            <w:tcW w:w="822" w:type="dxa"/>
            <w:shd w:val="clear" w:color="auto" w:fill="C6EFCE"/>
          </w:tcPr>
          <w:p w14:paraId="52B4707C" w14:textId="090EEAC4" w:rsidR="003E1D81" w:rsidRDefault="00EB481C">
            <w:pPr>
              <w:pStyle w:val="P68B1DB1-Normal13"/>
              <w:jc w:val="center"/>
              <w:rPr>
                <w:rFonts w:cs="Times New Roman"/>
                <w:noProof/>
              </w:rPr>
            </w:pPr>
            <w:r>
              <w:rPr>
                <w:noProof/>
              </w:rPr>
              <w:t>2024</w:t>
            </w:r>
          </w:p>
        </w:tc>
        <w:tc>
          <w:tcPr>
            <w:tcW w:w="3998" w:type="dxa"/>
            <w:shd w:val="clear" w:color="auto" w:fill="C6EFCE"/>
          </w:tcPr>
          <w:p w14:paraId="6F4C32AA" w14:textId="7503A672" w:rsidR="003E1D81" w:rsidRDefault="00EB481C">
            <w:pPr>
              <w:pStyle w:val="P68B1DB1-Normal13"/>
              <w:rPr>
                <w:rFonts w:cs="Times New Roman"/>
                <w:noProof/>
              </w:rPr>
            </w:pPr>
            <w:r>
              <w:rPr>
                <w:noProof/>
              </w:rPr>
              <w:t xml:space="preserve">A foglalkoztatás </w:t>
            </w:r>
            <w:r>
              <w:rPr>
                <w:noProof/>
              </w:rPr>
              <w:t>stabilizálását célzó felvételi eljárások lezárása (határozatlan idejű szerződések vagy személyzeti szabályzat hatálya alá tartozó álláshelyek révén), amelyek legalább 300000 álláshelyet foglalnak magukban (beleértve a 2017-es és a 2918 stabilizációs eljárá</w:t>
            </w:r>
            <w:r>
              <w:rPr>
                <w:noProof/>
              </w:rPr>
              <w:t>st is)</w:t>
            </w:r>
          </w:p>
        </w:tc>
      </w:tr>
      <w:tr w:rsidR="003E1D81" w14:paraId="000DB73A" w14:textId="77777777">
        <w:trPr>
          <w:trHeight w:val="309"/>
        </w:trPr>
        <w:tc>
          <w:tcPr>
            <w:tcW w:w="1223" w:type="dxa"/>
            <w:shd w:val="clear" w:color="auto" w:fill="C6EFCE"/>
          </w:tcPr>
          <w:p w14:paraId="3B58C1C2" w14:textId="7C903BFA" w:rsidR="003E1D81" w:rsidRDefault="00EB481C">
            <w:pPr>
              <w:pStyle w:val="P68B1DB1-Normal13"/>
              <w:jc w:val="center"/>
              <w:rPr>
                <w:rFonts w:cs="Times New Roman"/>
                <w:noProof/>
              </w:rPr>
            </w:pPr>
            <w:r>
              <w:rPr>
                <w:noProof/>
              </w:rPr>
              <w:t>432</w:t>
            </w:r>
          </w:p>
        </w:tc>
        <w:tc>
          <w:tcPr>
            <w:tcW w:w="1448" w:type="dxa"/>
            <w:shd w:val="clear" w:color="auto" w:fill="C6EFCE"/>
          </w:tcPr>
          <w:p w14:paraId="570DFF20" w14:textId="4459DE15" w:rsidR="003E1D81" w:rsidRDefault="00EB481C">
            <w:pPr>
              <w:pStyle w:val="P68B1DB1-Normal13"/>
              <w:jc w:val="center"/>
              <w:rPr>
                <w:rFonts w:cs="Times New Roman"/>
                <w:noProof/>
              </w:rPr>
            </w:pPr>
            <w:r>
              <w:rPr>
                <w:noProof/>
              </w:rPr>
              <w:t>C11.R1</w:t>
            </w:r>
          </w:p>
        </w:tc>
        <w:tc>
          <w:tcPr>
            <w:tcW w:w="966" w:type="dxa"/>
            <w:shd w:val="clear" w:color="auto" w:fill="C6EFCE"/>
          </w:tcPr>
          <w:p w14:paraId="4F014BAF" w14:textId="46A993A3" w:rsidR="003E1D81" w:rsidRDefault="00EB481C">
            <w:pPr>
              <w:pStyle w:val="P68B1DB1-Normal13"/>
              <w:jc w:val="center"/>
              <w:rPr>
                <w:rFonts w:cs="Times New Roman"/>
                <w:noProof/>
              </w:rPr>
            </w:pPr>
            <w:r>
              <w:rPr>
                <w:noProof/>
              </w:rPr>
              <w:t>M</w:t>
            </w:r>
          </w:p>
        </w:tc>
        <w:tc>
          <w:tcPr>
            <w:tcW w:w="1631" w:type="dxa"/>
            <w:shd w:val="clear" w:color="auto" w:fill="C6EFCE"/>
          </w:tcPr>
          <w:p w14:paraId="7FC16956" w14:textId="72919D0B" w:rsidR="003E1D81" w:rsidRDefault="00EB481C">
            <w:pPr>
              <w:pStyle w:val="P68B1DB1-Normal13"/>
              <w:rPr>
                <w:rFonts w:cs="Times New Roman"/>
                <w:noProof/>
              </w:rPr>
            </w:pPr>
            <w:r>
              <w:rPr>
                <w:noProof/>
              </w:rPr>
              <w:t xml:space="preserve">Az érdekcsoportok tevékenységeinek átláthatóságáról és integritásáról szóló törvény </w:t>
            </w:r>
          </w:p>
        </w:tc>
        <w:tc>
          <w:tcPr>
            <w:tcW w:w="1442" w:type="dxa"/>
            <w:shd w:val="clear" w:color="auto" w:fill="C6EFCE"/>
          </w:tcPr>
          <w:p w14:paraId="39F3169B" w14:textId="57429E1D" w:rsidR="003E1D81" w:rsidRDefault="00EB481C">
            <w:pPr>
              <w:pStyle w:val="P68B1DB1-Normal13"/>
              <w:jc w:val="center"/>
              <w:rPr>
                <w:rFonts w:cs="Times New Roman"/>
                <w:noProof/>
              </w:rPr>
            </w:pPr>
            <w:r>
              <w:rPr>
                <w:noProof/>
              </w:rPr>
              <w:t xml:space="preserve">A törvény hatálybalépésére és a nyilvántartás működését ellenőrző informatikai ellenőrzésre vonatkozó rendelkezés  </w:t>
            </w:r>
          </w:p>
        </w:tc>
        <w:tc>
          <w:tcPr>
            <w:tcW w:w="1082" w:type="dxa"/>
            <w:shd w:val="clear" w:color="auto" w:fill="C6EFCE"/>
          </w:tcPr>
          <w:p w14:paraId="3DB716A5" w14:textId="77777777" w:rsidR="003E1D81" w:rsidRDefault="003E1D81">
            <w:pPr>
              <w:jc w:val="right"/>
              <w:rPr>
                <w:rFonts w:ascii="Times New Roman" w:hAnsi="Times New Roman" w:cs="Times New Roman"/>
                <w:noProof/>
                <w:sz w:val="18"/>
              </w:rPr>
            </w:pPr>
          </w:p>
        </w:tc>
        <w:tc>
          <w:tcPr>
            <w:tcW w:w="708" w:type="dxa"/>
            <w:shd w:val="clear" w:color="auto" w:fill="C6EFCE"/>
          </w:tcPr>
          <w:p w14:paraId="33EC85B8" w14:textId="77777777" w:rsidR="003E1D81" w:rsidRDefault="003E1D81">
            <w:pPr>
              <w:jc w:val="right"/>
              <w:rPr>
                <w:rFonts w:ascii="Times New Roman" w:hAnsi="Times New Roman" w:cs="Times New Roman"/>
                <w:noProof/>
                <w:sz w:val="18"/>
              </w:rPr>
            </w:pPr>
          </w:p>
        </w:tc>
        <w:tc>
          <w:tcPr>
            <w:tcW w:w="709" w:type="dxa"/>
            <w:shd w:val="clear" w:color="auto" w:fill="C6EFCE"/>
          </w:tcPr>
          <w:p w14:paraId="13D2AC27" w14:textId="77777777" w:rsidR="003E1D81" w:rsidRDefault="003E1D81">
            <w:pPr>
              <w:jc w:val="right"/>
              <w:rPr>
                <w:rFonts w:ascii="Times New Roman" w:hAnsi="Times New Roman" w:cs="Times New Roman"/>
                <w:noProof/>
                <w:sz w:val="18"/>
              </w:rPr>
            </w:pPr>
          </w:p>
        </w:tc>
        <w:tc>
          <w:tcPr>
            <w:tcW w:w="567" w:type="dxa"/>
            <w:shd w:val="clear" w:color="auto" w:fill="C6EFCE"/>
          </w:tcPr>
          <w:p w14:paraId="14231283" w14:textId="31B8A6C3" w:rsidR="003E1D81" w:rsidRDefault="00EB481C">
            <w:pPr>
              <w:pStyle w:val="P68B1DB1-Normal13"/>
              <w:jc w:val="center"/>
              <w:rPr>
                <w:rFonts w:cs="Times New Roman"/>
                <w:noProof/>
              </w:rPr>
            </w:pPr>
            <w:r>
              <w:rPr>
                <w:noProof/>
              </w:rPr>
              <w:t>NEGYEDÉV</w:t>
            </w:r>
          </w:p>
        </w:tc>
        <w:tc>
          <w:tcPr>
            <w:tcW w:w="822" w:type="dxa"/>
            <w:shd w:val="clear" w:color="auto" w:fill="C6EFCE"/>
          </w:tcPr>
          <w:p w14:paraId="2089E3DD" w14:textId="13E253B8" w:rsidR="003E1D81" w:rsidRDefault="00EB481C">
            <w:pPr>
              <w:pStyle w:val="P68B1DB1-Normal13"/>
              <w:jc w:val="center"/>
              <w:rPr>
                <w:rFonts w:cs="Times New Roman"/>
                <w:noProof/>
              </w:rPr>
            </w:pPr>
            <w:r>
              <w:rPr>
                <w:noProof/>
              </w:rPr>
              <w:t>2024</w:t>
            </w:r>
          </w:p>
        </w:tc>
        <w:tc>
          <w:tcPr>
            <w:tcW w:w="3998" w:type="dxa"/>
            <w:shd w:val="clear" w:color="auto" w:fill="C6EFCE"/>
          </w:tcPr>
          <w:p w14:paraId="64F75892" w14:textId="6CB27B41" w:rsidR="003E1D81" w:rsidRDefault="00EB481C">
            <w:pPr>
              <w:pStyle w:val="P68B1DB1-Normal13"/>
              <w:rPr>
                <w:rFonts w:cs="Times New Roman"/>
                <w:noProof/>
              </w:rPr>
            </w:pPr>
            <w:r>
              <w:rPr>
                <w:noProof/>
              </w:rPr>
              <w:t>A lobbisták (ideértve a nem kormányzati szervezeteket, az agytrösztöket, a szakmai szövetségeket, a profitorientált és nonprofit egyesületeket, a szakszervezeteket, az üzleti szervezeteket és az ügyvédeket, amennyiben céljuk a politika befolyásolása, nem p</w:t>
            </w:r>
            <w:r>
              <w:rPr>
                <w:noProof/>
              </w:rPr>
              <w:t>edig jogi segítségnyújtás) és a közszféra közötti kapcsolatokat szabályozó törvény hatálybalépése. A törvény létrehozza az érdekcsoportok nyilvános és kötelező nyilvántartását, amelyet független, kapacitásokkal és eszközökkel (emberi, pénzügyi és technikai</w:t>
            </w:r>
            <w:r>
              <w:rPr>
                <w:noProof/>
              </w:rPr>
              <w:t xml:space="preserve"> erőforrásokkal), valamint felügyeleti és szankcionálási hatáskörrel rendelkező szerv ellenőriz. A törvény rendelkezik továbbá az új nyilvántartásnak az érdekcsoportok meglévő regionális nyilvántartásaival való összekapcsolásáról. A nyilvántartásnak működő</w:t>
            </w:r>
            <w:r>
              <w:rPr>
                <w:noProof/>
              </w:rPr>
              <w:t>képesnek kell lennie, többek között a fent említett összekapcsolhatóság tekintetében is. A működés ellenőrzése céljából informatikai ellenőrzést kell végezni.</w:t>
            </w:r>
          </w:p>
        </w:tc>
      </w:tr>
      <w:tr w:rsidR="003E1D81" w14:paraId="3113AC41" w14:textId="77777777">
        <w:trPr>
          <w:trHeight w:val="309"/>
        </w:trPr>
        <w:tc>
          <w:tcPr>
            <w:tcW w:w="1223" w:type="dxa"/>
            <w:shd w:val="clear" w:color="auto" w:fill="C6EFCE"/>
          </w:tcPr>
          <w:p w14:paraId="17B4E54F" w14:textId="31F8DBEC" w:rsidR="003E1D81" w:rsidRDefault="00EB481C">
            <w:pPr>
              <w:pStyle w:val="P68B1DB1-Normal13"/>
              <w:jc w:val="center"/>
              <w:rPr>
                <w:rFonts w:cs="Times New Roman"/>
                <w:noProof/>
              </w:rPr>
            </w:pPr>
            <w:r>
              <w:rPr>
                <w:noProof/>
              </w:rPr>
              <w:t>433</w:t>
            </w:r>
          </w:p>
        </w:tc>
        <w:tc>
          <w:tcPr>
            <w:tcW w:w="1448" w:type="dxa"/>
            <w:shd w:val="clear" w:color="auto" w:fill="C6EFCE"/>
          </w:tcPr>
          <w:p w14:paraId="11CDBA34" w14:textId="77777777" w:rsidR="003E1D81" w:rsidRDefault="00EB481C">
            <w:pPr>
              <w:pStyle w:val="P68B1DB1-Normal13"/>
              <w:jc w:val="center"/>
              <w:rPr>
                <w:rFonts w:cs="Times New Roman"/>
                <w:noProof/>
              </w:rPr>
            </w:pPr>
            <w:r>
              <w:rPr>
                <w:noProof/>
              </w:rPr>
              <w:t>C11.R1</w:t>
            </w:r>
          </w:p>
        </w:tc>
        <w:tc>
          <w:tcPr>
            <w:tcW w:w="966" w:type="dxa"/>
            <w:shd w:val="clear" w:color="auto" w:fill="C6EFCE"/>
          </w:tcPr>
          <w:p w14:paraId="1C6D20B4" w14:textId="52BFF1FB" w:rsidR="003E1D81" w:rsidRDefault="00EB481C">
            <w:pPr>
              <w:pStyle w:val="P68B1DB1-Normal13"/>
              <w:jc w:val="center"/>
              <w:rPr>
                <w:rFonts w:cs="Times New Roman"/>
                <w:noProof/>
              </w:rPr>
            </w:pPr>
            <w:r>
              <w:rPr>
                <w:noProof/>
              </w:rPr>
              <w:t>M</w:t>
            </w:r>
          </w:p>
        </w:tc>
        <w:tc>
          <w:tcPr>
            <w:tcW w:w="1631" w:type="dxa"/>
            <w:shd w:val="clear" w:color="auto" w:fill="C6EFCE"/>
          </w:tcPr>
          <w:p w14:paraId="218C5BA1" w14:textId="797FAB63" w:rsidR="003E1D81" w:rsidRDefault="00EB481C">
            <w:pPr>
              <w:pStyle w:val="P68B1DB1-Normal13"/>
              <w:rPr>
                <w:rFonts w:cs="Times New Roman"/>
                <w:noProof/>
              </w:rPr>
            </w:pPr>
            <w:r>
              <w:rPr>
                <w:noProof/>
              </w:rPr>
              <w:t>A nemzetbiztonsági keret aktualizálása</w:t>
            </w:r>
          </w:p>
        </w:tc>
        <w:tc>
          <w:tcPr>
            <w:tcW w:w="1442" w:type="dxa"/>
            <w:shd w:val="clear" w:color="auto" w:fill="C6EFCE"/>
          </w:tcPr>
          <w:p w14:paraId="20A3F8D8" w14:textId="5195A29C" w:rsidR="003E1D81" w:rsidRDefault="00EB481C">
            <w:pPr>
              <w:pStyle w:val="P68B1DB1-Normal13"/>
              <w:jc w:val="center"/>
              <w:rPr>
                <w:rFonts w:cs="Times New Roman"/>
                <w:noProof/>
              </w:rPr>
            </w:pPr>
            <w:r>
              <w:rPr>
                <w:noProof/>
              </w:rPr>
              <w:t xml:space="preserve">A királyi rendelet hatálybalépésére </w:t>
            </w:r>
            <w:r>
              <w:rPr>
                <w:noProof/>
              </w:rPr>
              <w:t>vonatkozó rendelkezése</w:t>
            </w:r>
          </w:p>
        </w:tc>
        <w:tc>
          <w:tcPr>
            <w:tcW w:w="1082" w:type="dxa"/>
            <w:shd w:val="clear" w:color="auto" w:fill="C6EFCE"/>
          </w:tcPr>
          <w:p w14:paraId="4D8E49A3" w14:textId="748C2B36" w:rsidR="003E1D81" w:rsidRDefault="003E1D81">
            <w:pPr>
              <w:jc w:val="right"/>
              <w:rPr>
                <w:rFonts w:ascii="Times New Roman" w:hAnsi="Times New Roman" w:cs="Times New Roman"/>
                <w:noProof/>
                <w:sz w:val="18"/>
              </w:rPr>
            </w:pPr>
          </w:p>
        </w:tc>
        <w:tc>
          <w:tcPr>
            <w:tcW w:w="708" w:type="dxa"/>
            <w:shd w:val="clear" w:color="auto" w:fill="C6EFCE"/>
          </w:tcPr>
          <w:p w14:paraId="66ABE3E1" w14:textId="4062B014" w:rsidR="003E1D81" w:rsidRDefault="003E1D81">
            <w:pPr>
              <w:jc w:val="right"/>
              <w:rPr>
                <w:rFonts w:ascii="Times New Roman" w:hAnsi="Times New Roman" w:cs="Times New Roman"/>
                <w:noProof/>
                <w:sz w:val="18"/>
              </w:rPr>
            </w:pPr>
          </w:p>
        </w:tc>
        <w:tc>
          <w:tcPr>
            <w:tcW w:w="709" w:type="dxa"/>
            <w:shd w:val="clear" w:color="auto" w:fill="C6EFCE"/>
          </w:tcPr>
          <w:p w14:paraId="6B521DA1" w14:textId="2509B3AD" w:rsidR="003E1D81" w:rsidRDefault="003E1D81">
            <w:pPr>
              <w:jc w:val="right"/>
              <w:rPr>
                <w:rFonts w:ascii="Times New Roman" w:hAnsi="Times New Roman" w:cs="Times New Roman"/>
                <w:noProof/>
                <w:sz w:val="18"/>
              </w:rPr>
            </w:pPr>
          </w:p>
        </w:tc>
        <w:tc>
          <w:tcPr>
            <w:tcW w:w="567" w:type="dxa"/>
            <w:shd w:val="clear" w:color="auto" w:fill="C6EFCE"/>
          </w:tcPr>
          <w:p w14:paraId="4847A319" w14:textId="5815FB05" w:rsidR="003E1D81" w:rsidRDefault="00EB481C">
            <w:pPr>
              <w:pStyle w:val="P68B1DB1-Normal13"/>
              <w:jc w:val="center"/>
              <w:rPr>
                <w:rFonts w:cs="Times New Roman"/>
                <w:noProof/>
              </w:rPr>
            </w:pPr>
            <w:r>
              <w:rPr>
                <w:noProof/>
              </w:rPr>
              <w:t>KÉRDÉS</w:t>
            </w:r>
          </w:p>
        </w:tc>
        <w:tc>
          <w:tcPr>
            <w:tcW w:w="822" w:type="dxa"/>
            <w:shd w:val="clear" w:color="auto" w:fill="C6EFCE"/>
          </w:tcPr>
          <w:p w14:paraId="7F48C86D" w14:textId="5E4BD59E" w:rsidR="003E1D81" w:rsidRDefault="00EB481C">
            <w:pPr>
              <w:pStyle w:val="P68B1DB1-Normal13"/>
              <w:jc w:val="center"/>
              <w:rPr>
                <w:rFonts w:cs="Times New Roman"/>
                <w:noProof/>
              </w:rPr>
            </w:pPr>
            <w:r>
              <w:rPr>
                <w:noProof/>
              </w:rPr>
              <w:t>2023</w:t>
            </w:r>
          </w:p>
        </w:tc>
        <w:tc>
          <w:tcPr>
            <w:tcW w:w="3998" w:type="dxa"/>
            <w:shd w:val="clear" w:color="auto" w:fill="C6EFCE"/>
          </w:tcPr>
          <w:p w14:paraId="263DEF57" w14:textId="5B27F8DE" w:rsidR="003E1D81" w:rsidRDefault="00EB481C">
            <w:pPr>
              <w:pStyle w:val="P68B1DB1-Normal13"/>
              <w:rPr>
                <w:rFonts w:cs="Times New Roman"/>
                <w:noProof/>
              </w:rPr>
            </w:pPr>
            <w:r>
              <w:rPr>
                <w:noProof/>
              </w:rPr>
              <w:t>A nemzetbiztonsági keretrendszert aktualizáló királyi rendelet hatálybalépése. A királyi rendelet: a nemzeti biztonsági keret követelményeinek hozzáigazítása a rendszerek bizonyos csoportjainak vagy típusainak valóságá</w:t>
            </w:r>
            <w:r>
              <w:rPr>
                <w:noProof/>
              </w:rPr>
              <w:t>hoz, bevezetve a „specifikus megfelelési profil” fogalmát; a nemzeti biztonsági keret összehangolása a szabályozási kerettel és a stratégiai környezettel a digitális közigazgatás biztonságának garantálása érdekében, a 2019. évi nemzeti kiberbiztonsági stra</w:t>
            </w:r>
            <w:r>
              <w:rPr>
                <w:noProof/>
              </w:rPr>
              <w:t>tégiával és a nemzeti kiberbiztonsági tervvel összhangban; valamint iii. a kiberbiztonsági tendenciákra való jobb reagálás elősegítése, a sebezhetőségek csökkentése és a folyamatos éberség előmozdítása az alapelvek, a minimumkövetelmények és a biztonsági i</w:t>
            </w:r>
            <w:r>
              <w:rPr>
                <w:noProof/>
              </w:rPr>
              <w:t xml:space="preserve">ntézkedések felülvizsgálata révén. </w:t>
            </w:r>
          </w:p>
        </w:tc>
      </w:tr>
      <w:tr w:rsidR="003E1D81" w14:paraId="41EB67C2" w14:textId="77777777">
        <w:trPr>
          <w:trHeight w:val="309"/>
        </w:trPr>
        <w:tc>
          <w:tcPr>
            <w:tcW w:w="1223" w:type="dxa"/>
            <w:shd w:val="clear" w:color="auto" w:fill="C6EFCE"/>
          </w:tcPr>
          <w:p w14:paraId="5AC416AC" w14:textId="77777777" w:rsidR="003E1D81" w:rsidRDefault="00EB481C">
            <w:pPr>
              <w:pStyle w:val="P68B1DB1-Normal13"/>
              <w:jc w:val="center"/>
              <w:rPr>
                <w:rFonts w:cs="Times New Roman"/>
                <w:noProof/>
              </w:rPr>
            </w:pPr>
            <w:r>
              <w:rPr>
                <w:noProof/>
              </w:rPr>
              <w:t>151</w:t>
            </w:r>
          </w:p>
        </w:tc>
        <w:tc>
          <w:tcPr>
            <w:tcW w:w="1448" w:type="dxa"/>
            <w:shd w:val="clear" w:color="auto" w:fill="C6EFCE"/>
          </w:tcPr>
          <w:p w14:paraId="2FA6B541" w14:textId="77777777" w:rsidR="003E1D81" w:rsidRDefault="00EB481C">
            <w:pPr>
              <w:pStyle w:val="P68B1DB1-Normal13"/>
              <w:jc w:val="center"/>
              <w:rPr>
                <w:rFonts w:cs="Times New Roman"/>
                <w:noProof/>
              </w:rPr>
            </w:pPr>
            <w:r>
              <w:rPr>
                <w:noProof/>
              </w:rPr>
              <w:t>C11.R2</w:t>
            </w:r>
          </w:p>
        </w:tc>
        <w:tc>
          <w:tcPr>
            <w:tcW w:w="966" w:type="dxa"/>
            <w:shd w:val="clear" w:color="auto" w:fill="C6EFCE"/>
          </w:tcPr>
          <w:p w14:paraId="29844041"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51A1B595" w14:textId="77777777" w:rsidR="003E1D81" w:rsidRDefault="00EB481C">
            <w:pPr>
              <w:pStyle w:val="P68B1DB1-Normal13"/>
              <w:rPr>
                <w:rFonts w:cs="Times New Roman"/>
                <w:noProof/>
              </w:rPr>
            </w:pPr>
            <w:r>
              <w:rPr>
                <w:noProof/>
              </w:rPr>
              <w:t>Az igazságügy területére vonatkozó eljárási és szervezeti intézkedésekről szóló 3/2020. sz. törvény hatálybalépése</w:t>
            </w:r>
          </w:p>
        </w:tc>
        <w:tc>
          <w:tcPr>
            <w:tcW w:w="1442" w:type="dxa"/>
            <w:shd w:val="clear" w:color="auto" w:fill="C6EFCE"/>
          </w:tcPr>
          <w:p w14:paraId="43C00945" w14:textId="77777777" w:rsidR="003E1D81" w:rsidRDefault="00EB481C">
            <w:pPr>
              <w:pStyle w:val="P68B1DB1-Normal13"/>
              <w:jc w:val="center"/>
              <w:rPr>
                <w:rFonts w:cs="Times New Roman"/>
                <w:noProof/>
              </w:rPr>
            </w:pPr>
            <w:r>
              <w:rPr>
                <w:noProof/>
              </w:rPr>
              <w:t>A törvény hatálybalépésére vonatkozó jogszabályi rendelkezés</w:t>
            </w:r>
          </w:p>
        </w:tc>
        <w:tc>
          <w:tcPr>
            <w:tcW w:w="1082" w:type="dxa"/>
            <w:shd w:val="clear" w:color="auto" w:fill="C6EFCE"/>
          </w:tcPr>
          <w:p w14:paraId="3930645F"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10877538" w14:textId="77777777" w:rsidR="003E1D81" w:rsidRDefault="00EB481C">
            <w:pPr>
              <w:pStyle w:val="P68B1DB1-Normal13"/>
              <w:jc w:val="right"/>
              <w:rPr>
                <w:rFonts w:cs="Times New Roman"/>
                <w:noProof/>
              </w:rPr>
            </w:pPr>
            <w:r>
              <w:rPr>
                <w:noProof/>
              </w:rPr>
              <w:t xml:space="preserve"> </w:t>
            </w:r>
          </w:p>
        </w:tc>
        <w:tc>
          <w:tcPr>
            <w:tcW w:w="709" w:type="dxa"/>
            <w:shd w:val="clear" w:color="auto" w:fill="C6EFCE"/>
          </w:tcPr>
          <w:p w14:paraId="37A89D9E" w14:textId="77777777" w:rsidR="003E1D81" w:rsidRDefault="00EB481C">
            <w:pPr>
              <w:pStyle w:val="P68B1DB1-Normal13"/>
              <w:jc w:val="right"/>
              <w:rPr>
                <w:rFonts w:cs="Times New Roman"/>
                <w:noProof/>
              </w:rPr>
            </w:pPr>
            <w:r>
              <w:rPr>
                <w:noProof/>
              </w:rPr>
              <w:t xml:space="preserve"> </w:t>
            </w:r>
          </w:p>
        </w:tc>
        <w:tc>
          <w:tcPr>
            <w:tcW w:w="567" w:type="dxa"/>
            <w:shd w:val="clear" w:color="auto" w:fill="C6EFCE"/>
          </w:tcPr>
          <w:p w14:paraId="5AB379AF"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32500CC3" w14:textId="77777777" w:rsidR="003E1D81" w:rsidRDefault="00EB481C">
            <w:pPr>
              <w:pStyle w:val="P68B1DB1-Normal13"/>
              <w:jc w:val="center"/>
              <w:rPr>
                <w:rFonts w:cs="Times New Roman"/>
                <w:noProof/>
              </w:rPr>
            </w:pPr>
            <w:r>
              <w:rPr>
                <w:noProof/>
              </w:rPr>
              <w:t>2020</w:t>
            </w:r>
          </w:p>
        </w:tc>
        <w:tc>
          <w:tcPr>
            <w:tcW w:w="3998" w:type="dxa"/>
            <w:shd w:val="clear" w:color="auto" w:fill="C6EFCE"/>
          </w:tcPr>
          <w:p w14:paraId="440654AE" w14:textId="77777777" w:rsidR="003E1D81" w:rsidRDefault="00EB481C">
            <w:pPr>
              <w:pStyle w:val="P68B1DB1-Normal13"/>
              <w:rPr>
                <w:rFonts w:cs="Times New Roman"/>
                <w:noProof/>
              </w:rPr>
            </w:pPr>
            <w:r>
              <w:rPr>
                <w:noProof/>
              </w:rPr>
              <w:t xml:space="preserve">A Covid19 igazságszolgáltatás területén történő kezelésére vonatkozó eljárási és szervezési intézkedésekről szóló, szeptember 18-i 3/2020. sz. törvény hatálybalépése. </w:t>
            </w:r>
          </w:p>
        </w:tc>
      </w:tr>
      <w:tr w:rsidR="003E1D81" w14:paraId="5B6AD35D" w14:textId="77777777">
        <w:trPr>
          <w:trHeight w:val="309"/>
        </w:trPr>
        <w:tc>
          <w:tcPr>
            <w:tcW w:w="1223" w:type="dxa"/>
            <w:shd w:val="clear" w:color="auto" w:fill="C6EFCE"/>
          </w:tcPr>
          <w:p w14:paraId="7EF8616D" w14:textId="77777777" w:rsidR="003E1D81" w:rsidRDefault="00EB481C">
            <w:pPr>
              <w:pStyle w:val="P68B1DB1-Normal13"/>
              <w:jc w:val="center"/>
              <w:rPr>
                <w:rFonts w:cs="Times New Roman"/>
                <w:noProof/>
              </w:rPr>
            </w:pPr>
            <w:r>
              <w:rPr>
                <w:noProof/>
              </w:rPr>
              <w:t>152</w:t>
            </w:r>
          </w:p>
        </w:tc>
        <w:tc>
          <w:tcPr>
            <w:tcW w:w="1448" w:type="dxa"/>
            <w:shd w:val="clear" w:color="auto" w:fill="C6EFCE"/>
          </w:tcPr>
          <w:p w14:paraId="19BE9EA4" w14:textId="77777777" w:rsidR="003E1D81" w:rsidRDefault="00EB481C">
            <w:pPr>
              <w:pStyle w:val="P68B1DB1-Normal13"/>
              <w:jc w:val="center"/>
              <w:rPr>
                <w:rFonts w:cs="Times New Roman"/>
                <w:noProof/>
              </w:rPr>
            </w:pPr>
            <w:r>
              <w:rPr>
                <w:noProof/>
              </w:rPr>
              <w:t>C11.R2</w:t>
            </w:r>
          </w:p>
        </w:tc>
        <w:tc>
          <w:tcPr>
            <w:tcW w:w="966" w:type="dxa"/>
            <w:shd w:val="clear" w:color="auto" w:fill="C6EFCE"/>
          </w:tcPr>
          <w:p w14:paraId="40D8BFC9"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5642636D" w14:textId="334504AA" w:rsidR="003E1D81" w:rsidRDefault="00EB481C">
            <w:pPr>
              <w:pStyle w:val="P68B1DB1-Normal13"/>
              <w:rPr>
                <w:rFonts w:cs="Times New Roman"/>
                <w:noProof/>
              </w:rPr>
            </w:pPr>
            <w:r>
              <w:rPr>
                <w:noProof/>
              </w:rPr>
              <w:t>A bírósági eljárások hatékonyságát javító királyi törvényerejű rendelet és</w:t>
            </w:r>
            <w:r>
              <w:rPr>
                <w:noProof/>
              </w:rPr>
              <w:t xml:space="preserve"> a digitális hatékonyságról szóló királyi törvényerejű rendelet hatálybalépése</w:t>
            </w:r>
          </w:p>
        </w:tc>
        <w:tc>
          <w:tcPr>
            <w:tcW w:w="1442" w:type="dxa"/>
            <w:shd w:val="clear" w:color="auto" w:fill="C6EFCE"/>
          </w:tcPr>
          <w:p w14:paraId="4BED2B88" w14:textId="79D0C2CC" w:rsidR="003E1D81" w:rsidRDefault="00EB481C">
            <w:pPr>
              <w:pStyle w:val="P68B1DB1-Normal13"/>
              <w:jc w:val="center"/>
              <w:rPr>
                <w:rFonts w:cs="Times New Roman"/>
                <w:noProof/>
              </w:rPr>
            </w:pPr>
            <w:r>
              <w:rPr>
                <w:noProof/>
              </w:rPr>
              <w:t xml:space="preserve">Jogszabály(ok) hatálybalépésére utaló rendelkezés(ek) </w:t>
            </w:r>
          </w:p>
        </w:tc>
        <w:tc>
          <w:tcPr>
            <w:tcW w:w="1082" w:type="dxa"/>
            <w:shd w:val="clear" w:color="auto" w:fill="C6EFCE"/>
          </w:tcPr>
          <w:p w14:paraId="64ABDF90"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30AC8B61" w14:textId="77777777" w:rsidR="003E1D81" w:rsidRDefault="00EB481C">
            <w:pPr>
              <w:pStyle w:val="P68B1DB1-Normal13"/>
              <w:jc w:val="right"/>
              <w:rPr>
                <w:rFonts w:cs="Times New Roman"/>
                <w:noProof/>
              </w:rPr>
            </w:pPr>
            <w:r>
              <w:rPr>
                <w:noProof/>
              </w:rPr>
              <w:t xml:space="preserve"> </w:t>
            </w:r>
          </w:p>
        </w:tc>
        <w:tc>
          <w:tcPr>
            <w:tcW w:w="709" w:type="dxa"/>
            <w:shd w:val="clear" w:color="auto" w:fill="C6EFCE"/>
          </w:tcPr>
          <w:p w14:paraId="666BC993" w14:textId="77777777" w:rsidR="003E1D81" w:rsidRDefault="00EB481C">
            <w:pPr>
              <w:pStyle w:val="P68B1DB1-Normal13"/>
              <w:jc w:val="right"/>
              <w:rPr>
                <w:rFonts w:cs="Times New Roman"/>
                <w:noProof/>
              </w:rPr>
            </w:pPr>
            <w:r>
              <w:rPr>
                <w:noProof/>
              </w:rPr>
              <w:t xml:space="preserve"> </w:t>
            </w:r>
          </w:p>
        </w:tc>
        <w:tc>
          <w:tcPr>
            <w:tcW w:w="567" w:type="dxa"/>
            <w:shd w:val="clear" w:color="auto" w:fill="C6EFCE"/>
          </w:tcPr>
          <w:p w14:paraId="5020F53A"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1B6C9055" w14:textId="77777777" w:rsidR="003E1D81" w:rsidRDefault="00EB481C">
            <w:pPr>
              <w:pStyle w:val="P68B1DB1-Normal13"/>
              <w:jc w:val="center"/>
              <w:rPr>
                <w:rFonts w:cs="Times New Roman"/>
                <w:noProof/>
              </w:rPr>
            </w:pPr>
            <w:r>
              <w:rPr>
                <w:noProof/>
              </w:rPr>
              <w:t>2022</w:t>
            </w:r>
          </w:p>
        </w:tc>
        <w:tc>
          <w:tcPr>
            <w:tcW w:w="3998" w:type="dxa"/>
            <w:shd w:val="clear" w:color="auto" w:fill="C6EFCE"/>
          </w:tcPr>
          <w:p w14:paraId="2EE9D3B0" w14:textId="5E44A524" w:rsidR="003E1D81" w:rsidRDefault="00EB481C">
            <w:pPr>
              <w:pStyle w:val="P68B1DB1-Normal13"/>
              <w:rPr>
                <w:rFonts w:cs="Times New Roman"/>
                <w:noProof/>
              </w:rPr>
            </w:pPr>
            <w:r>
              <w:rPr>
                <w:noProof/>
              </w:rPr>
              <w:t xml:space="preserve">A nemzeti igazságszolgáltatási rendszer eljárásainak hatékonyságát javító királyi törvényerejű </w:t>
            </w:r>
            <w:r>
              <w:rPr>
                <w:noProof/>
              </w:rPr>
              <w:t>rendelet és a digitális hatékonyságról szóló királyi törvényerejű rendelet hatálybalépése, amely:  a technológia intenzívebb felhasználása a hatékony és magas színvonalú közszolgáltatás biztosítása érdekében; eljárási jogi reformok bevezetése a közigazgatá</w:t>
            </w:r>
            <w:r>
              <w:rPr>
                <w:noProof/>
              </w:rPr>
              <w:t>si és szociális joghatóságok eljárásainak felgyorsítása érdekében; és ii. a fellebbezési eljárások módosítása („</w:t>
            </w:r>
            <w:r>
              <w:rPr>
                <w:i/>
                <w:noProof/>
              </w:rPr>
              <w:t>procesos de casación”</w:t>
            </w:r>
            <w:r>
              <w:rPr>
                <w:noProof/>
              </w:rPr>
              <w:t xml:space="preserve">) az indokolatlan késedelmek elkerülése érdekében. </w:t>
            </w:r>
          </w:p>
        </w:tc>
      </w:tr>
      <w:tr w:rsidR="003E1D81" w14:paraId="1844C472" w14:textId="77777777">
        <w:trPr>
          <w:trHeight w:val="309"/>
        </w:trPr>
        <w:tc>
          <w:tcPr>
            <w:tcW w:w="1223" w:type="dxa"/>
            <w:shd w:val="clear" w:color="auto" w:fill="C6EFCE"/>
          </w:tcPr>
          <w:p w14:paraId="163845D3" w14:textId="201CF894" w:rsidR="003E1D81" w:rsidRDefault="00EB481C">
            <w:pPr>
              <w:pStyle w:val="P68B1DB1-Normal13"/>
              <w:jc w:val="center"/>
              <w:rPr>
                <w:rFonts w:cs="Times New Roman"/>
                <w:noProof/>
              </w:rPr>
            </w:pPr>
            <w:r>
              <w:rPr>
                <w:noProof/>
              </w:rPr>
              <w:t>434</w:t>
            </w:r>
          </w:p>
        </w:tc>
        <w:tc>
          <w:tcPr>
            <w:tcW w:w="1448" w:type="dxa"/>
            <w:shd w:val="clear" w:color="auto" w:fill="C6EFCE"/>
          </w:tcPr>
          <w:p w14:paraId="07DB7A96" w14:textId="12791677" w:rsidR="003E1D81" w:rsidRDefault="00EB481C">
            <w:pPr>
              <w:pStyle w:val="P68B1DB1-Normal13"/>
              <w:jc w:val="center"/>
              <w:rPr>
                <w:rFonts w:cs="Times New Roman"/>
                <w:noProof/>
              </w:rPr>
            </w:pPr>
            <w:r>
              <w:rPr>
                <w:noProof/>
              </w:rPr>
              <w:t>C11.R2</w:t>
            </w:r>
          </w:p>
        </w:tc>
        <w:tc>
          <w:tcPr>
            <w:tcW w:w="966" w:type="dxa"/>
            <w:shd w:val="clear" w:color="auto" w:fill="C6EFCE"/>
          </w:tcPr>
          <w:p w14:paraId="09FA722F" w14:textId="4A5F9EC2" w:rsidR="003E1D81" w:rsidRDefault="00EB481C">
            <w:pPr>
              <w:pStyle w:val="P68B1DB1-Normal13"/>
              <w:jc w:val="center"/>
              <w:rPr>
                <w:rFonts w:cs="Times New Roman"/>
                <w:noProof/>
              </w:rPr>
            </w:pPr>
            <w:r>
              <w:rPr>
                <w:noProof/>
              </w:rPr>
              <w:t>M</w:t>
            </w:r>
          </w:p>
        </w:tc>
        <w:tc>
          <w:tcPr>
            <w:tcW w:w="1631" w:type="dxa"/>
            <w:shd w:val="clear" w:color="auto" w:fill="C6EFCE"/>
          </w:tcPr>
          <w:p w14:paraId="67FB368F" w14:textId="515A55E9" w:rsidR="003E1D81" w:rsidRDefault="00EB481C">
            <w:pPr>
              <w:pStyle w:val="P68B1DB1-Normal13"/>
              <w:rPr>
                <w:rFonts w:cs="Times New Roman"/>
                <w:noProof/>
              </w:rPr>
            </w:pPr>
            <w:r>
              <w:rPr>
                <w:noProof/>
              </w:rPr>
              <w:t xml:space="preserve">A szervezeti és eljárási hatékonyságról szóló törvény </w:t>
            </w:r>
            <w:r>
              <w:rPr>
                <w:noProof/>
              </w:rPr>
              <w:t>hatálybalépése</w:t>
            </w:r>
          </w:p>
        </w:tc>
        <w:tc>
          <w:tcPr>
            <w:tcW w:w="1442" w:type="dxa"/>
            <w:shd w:val="clear" w:color="auto" w:fill="C6EFCE"/>
          </w:tcPr>
          <w:p w14:paraId="2B6902B6" w14:textId="119EB8E5" w:rsidR="003E1D81" w:rsidRDefault="00EB481C">
            <w:pPr>
              <w:pStyle w:val="P68B1DB1-Normal13"/>
              <w:jc w:val="center"/>
              <w:rPr>
                <w:rFonts w:cs="Times New Roman"/>
                <w:noProof/>
              </w:rPr>
            </w:pPr>
            <w:r>
              <w:rPr>
                <w:noProof/>
              </w:rPr>
              <w:t>A törvény hatálybalépésére vonatkozó rendelkezés</w:t>
            </w:r>
          </w:p>
        </w:tc>
        <w:tc>
          <w:tcPr>
            <w:tcW w:w="1082" w:type="dxa"/>
            <w:shd w:val="clear" w:color="auto" w:fill="C6EFCE"/>
          </w:tcPr>
          <w:p w14:paraId="7699D622" w14:textId="77777777" w:rsidR="003E1D81" w:rsidRDefault="003E1D81">
            <w:pPr>
              <w:jc w:val="right"/>
              <w:rPr>
                <w:rFonts w:ascii="Times New Roman" w:hAnsi="Times New Roman" w:cs="Times New Roman"/>
                <w:noProof/>
                <w:sz w:val="18"/>
              </w:rPr>
            </w:pPr>
          </w:p>
        </w:tc>
        <w:tc>
          <w:tcPr>
            <w:tcW w:w="708" w:type="dxa"/>
            <w:shd w:val="clear" w:color="auto" w:fill="C6EFCE"/>
          </w:tcPr>
          <w:p w14:paraId="06B8C446" w14:textId="77777777" w:rsidR="003E1D81" w:rsidRDefault="003E1D81">
            <w:pPr>
              <w:jc w:val="right"/>
              <w:rPr>
                <w:rFonts w:ascii="Times New Roman" w:hAnsi="Times New Roman" w:cs="Times New Roman"/>
                <w:noProof/>
                <w:sz w:val="18"/>
              </w:rPr>
            </w:pPr>
          </w:p>
        </w:tc>
        <w:tc>
          <w:tcPr>
            <w:tcW w:w="709" w:type="dxa"/>
            <w:shd w:val="clear" w:color="auto" w:fill="C6EFCE"/>
          </w:tcPr>
          <w:p w14:paraId="794E76E3" w14:textId="77777777" w:rsidR="003E1D81" w:rsidRDefault="003E1D81">
            <w:pPr>
              <w:jc w:val="right"/>
              <w:rPr>
                <w:rFonts w:ascii="Times New Roman" w:hAnsi="Times New Roman" w:cs="Times New Roman"/>
                <w:noProof/>
                <w:sz w:val="18"/>
              </w:rPr>
            </w:pPr>
          </w:p>
        </w:tc>
        <w:tc>
          <w:tcPr>
            <w:tcW w:w="567" w:type="dxa"/>
            <w:shd w:val="clear" w:color="auto" w:fill="C6EFCE"/>
          </w:tcPr>
          <w:p w14:paraId="5233CAEA" w14:textId="1127D63A" w:rsidR="003E1D81" w:rsidRDefault="00EB481C">
            <w:pPr>
              <w:pStyle w:val="P68B1DB1-Normal13"/>
              <w:jc w:val="center"/>
              <w:rPr>
                <w:rFonts w:cs="Times New Roman"/>
                <w:noProof/>
              </w:rPr>
            </w:pPr>
            <w:r>
              <w:rPr>
                <w:noProof/>
              </w:rPr>
              <w:t>NEGYEDÉV</w:t>
            </w:r>
          </w:p>
        </w:tc>
        <w:tc>
          <w:tcPr>
            <w:tcW w:w="822" w:type="dxa"/>
            <w:shd w:val="clear" w:color="auto" w:fill="C6EFCE"/>
          </w:tcPr>
          <w:p w14:paraId="27FC54F1" w14:textId="405228EA" w:rsidR="003E1D81" w:rsidRDefault="00EB481C">
            <w:pPr>
              <w:pStyle w:val="P68B1DB1-Normal13"/>
              <w:jc w:val="center"/>
              <w:rPr>
                <w:rFonts w:cs="Times New Roman"/>
                <w:noProof/>
              </w:rPr>
            </w:pPr>
            <w:r>
              <w:rPr>
                <w:noProof/>
              </w:rPr>
              <w:t>2024</w:t>
            </w:r>
          </w:p>
        </w:tc>
        <w:tc>
          <w:tcPr>
            <w:tcW w:w="3998" w:type="dxa"/>
            <w:shd w:val="clear" w:color="auto" w:fill="C6EFCE"/>
          </w:tcPr>
          <w:p w14:paraId="1653648A" w14:textId="2AF87B8A" w:rsidR="003E1D81" w:rsidRDefault="00EB481C">
            <w:pPr>
              <w:pStyle w:val="P68B1DB1-Normal13"/>
              <w:rPr>
                <w:rFonts w:cs="Times New Roman"/>
                <w:noProof/>
              </w:rPr>
            </w:pPr>
            <w:r>
              <w:rPr>
                <w:noProof/>
              </w:rPr>
              <w:t xml:space="preserve">A szervezeti és eljárási hatékonyságról szóló törvény hatálybalépése az igazságügyi térkép felépítésének az intézkedés leírásával összhangban történő módosítása és az </w:t>
            </w:r>
            <w:r>
              <w:rPr>
                <w:noProof/>
              </w:rPr>
              <w:t>igazságszolgáltatási rendszer eljárási hatékonyságának további javítása érdekében az alábbiak révén: eljárási jogi reformok bevezetése az eljárások gyorsaságának növelése érdekében a 152. mérföldkő hatálya alá nem tartozó joghatóságokban; ii. alternatív vi</w:t>
            </w:r>
            <w:r>
              <w:rPr>
                <w:noProof/>
              </w:rPr>
              <w:t>tarendezési eszközök bevezetése; az eljárásjog olyan reformjának bevezetése, amely a jogvitákat a bírósághoz fordulás előtt rendezi; a hatékonyabb irányítás és a polgárok és a vállalkozások igényeire való gyorsabb reagálás további megvalósítása; és v. össz</w:t>
            </w:r>
            <w:r>
              <w:rPr>
                <w:noProof/>
              </w:rPr>
              <w:t>ességében agilisebb, hatékonyabb, polgárbarátabb, fenntarthatóbb és átláthatóbb igazságszolgáltatás megvalósítása.</w:t>
            </w:r>
          </w:p>
        </w:tc>
      </w:tr>
      <w:tr w:rsidR="003E1D81" w14:paraId="0991F572" w14:textId="77777777">
        <w:trPr>
          <w:trHeight w:val="309"/>
        </w:trPr>
        <w:tc>
          <w:tcPr>
            <w:tcW w:w="1223" w:type="dxa"/>
            <w:shd w:val="clear" w:color="auto" w:fill="C6EFCE"/>
          </w:tcPr>
          <w:p w14:paraId="6AC988E3" w14:textId="19A83181" w:rsidR="003E1D81" w:rsidRDefault="00EB481C">
            <w:pPr>
              <w:pStyle w:val="P68B1DB1-Normal13"/>
              <w:jc w:val="center"/>
              <w:rPr>
                <w:rFonts w:cs="Times New Roman"/>
                <w:noProof/>
              </w:rPr>
            </w:pPr>
            <w:r>
              <w:rPr>
                <w:noProof/>
              </w:rPr>
              <w:t>435</w:t>
            </w:r>
          </w:p>
        </w:tc>
        <w:tc>
          <w:tcPr>
            <w:tcW w:w="1448" w:type="dxa"/>
            <w:shd w:val="clear" w:color="auto" w:fill="C6EFCE"/>
          </w:tcPr>
          <w:p w14:paraId="50956061" w14:textId="647FE991" w:rsidR="003E1D81" w:rsidRDefault="00EB481C">
            <w:pPr>
              <w:pStyle w:val="P68B1DB1-Normal13"/>
              <w:jc w:val="center"/>
              <w:rPr>
                <w:rFonts w:cs="Times New Roman"/>
                <w:noProof/>
              </w:rPr>
            </w:pPr>
            <w:r>
              <w:rPr>
                <w:noProof/>
              </w:rPr>
              <w:t>C11.R2</w:t>
            </w:r>
          </w:p>
        </w:tc>
        <w:tc>
          <w:tcPr>
            <w:tcW w:w="966" w:type="dxa"/>
            <w:shd w:val="clear" w:color="auto" w:fill="C6EFCE"/>
          </w:tcPr>
          <w:p w14:paraId="0D9F4315" w14:textId="1A30595D" w:rsidR="003E1D81" w:rsidRDefault="00EB481C">
            <w:pPr>
              <w:pStyle w:val="P68B1DB1-Normal13"/>
              <w:jc w:val="center"/>
              <w:rPr>
                <w:rFonts w:cs="Times New Roman"/>
                <w:noProof/>
              </w:rPr>
            </w:pPr>
            <w:r>
              <w:rPr>
                <w:noProof/>
              </w:rPr>
              <w:t>M</w:t>
            </w:r>
          </w:p>
        </w:tc>
        <w:tc>
          <w:tcPr>
            <w:tcW w:w="1631" w:type="dxa"/>
            <w:shd w:val="clear" w:color="auto" w:fill="C6EFCE"/>
          </w:tcPr>
          <w:p w14:paraId="31DD27F0" w14:textId="4BE0F7A9" w:rsidR="003E1D81" w:rsidRDefault="00EB481C">
            <w:pPr>
              <w:pStyle w:val="P68B1DB1-Normal13"/>
              <w:rPr>
                <w:rFonts w:cs="Times New Roman"/>
                <w:noProof/>
              </w:rPr>
            </w:pPr>
            <w:r>
              <w:rPr>
                <w:noProof/>
              </w:rPr>
              <w:t>A védelemhez való jogról szóló törvény hatálybalépése</w:t>
            </w:r>
          </w:p>
        </w:tc>
        <w:tc>
          <w:tcPr>
            <w:tcW w:w="1442" w:type="dxa"/>
            <w:shd w:val="clear" w:color="auto" w:fill="C6EFCE"/>
          </w:tcPr>
          <w:p w14:paraId="0C51FB95" w14:textId="1089F50D" w:rsidR="003E1D81" w:rsidRDefault="00EB481C">
            <w:pPr>
              <w:pStyle w:val="P68B1DB1-Normal13"/>
              <w:jc w:val="center"/>
              <w:rPr>
                <w:rFonts w:cs="Times New Roman"/>
                <w:noProof/>
              </w:rPr>
            </w:pPr>
            <w:r>
              <w:rPr>
                <w:noProof/>
              </w:rPr>
              <w:t>A törvény hatálybalépésére vonatkozó rendelkezés</w:t>
            </w:r>
          </w:p>
        </w:tc>
        <w:tc>
          <w:tcPr>
            <w:tcW w:w="1082" w:type="dxa"/>
            <w:shd w:val="clear" w:color="auto" w:fill="C6EFCE"/>
          </w:tcPr>
          <w:p w14:paraId="402D2AFE" w14:textId="77777777" w:rsidR="003E1D81" w:rsidRDefault="003E1D81">
            <w:pPr>
              <w:jc w:val="right"/>
              <w:rPr>
                <w:rFonts w:ascii="Times New Roman" w:hAnsi="Times New Roman" w:cs="Times New Roman"/>
                <w:noProof/>
                <w:sz w:val="18"/>
              </w:rPr>
            </w:pPr>
          </w:p>
        </w:tc>
        <w:tc>
          <w:tcPr>
            <w:tcW w:w="708" w:type="dxa"/>
            <w:shd w:val="clear" w:color="auto" w:fill="C6EFCE"/>
          </w:tcPr>
          <w:p w14:paraId="1FD71E07" w14:textId="77777777" w:rsidR="003E1D81" w:rsidRDefault="003E1D81">
            <w:pPr>
              <w:jc w:val="right"/>
              <w:rPr>
                <w:rFonts w:ascii="Times New Roman" w:hAnsi="Times New Roman" w:cs="Times New Roman"/>
                <w:noProof/>
                <w:sz w:val="18"/>
              </w:rPr>
            </w:pPr>
          </w:p>
        </w:tc>
        <w:tc>
          <w:tcPr>
            <w:tcW w:w="709" w:type="dxa"/>
            <w:shd w:val="clear" w:color="auto" w:fill="C6EFCE"/>
          </w:tcPr>
          <w:p w14:paraId="1AA7BE86" w14:textId="77777777" w:rsidR="003E1D81" w:rsidRDefault="003E1D81">
            <w:pPr>
              <w:jc w:val="right"/>
              <w:rPr>
                <w:rFonts w:ascii="Times New Roman" w:hAnsi="Times New Roman" w:cs="Times New Roman"/>
                <w:noProof/>
                <w:sz w:val="18"/>
              </w:rPr>
            </w:pPr>
          </w:p>
        </w:tc>
        <w:tc>
          <w:tcPr>
            <w:tcW w:w="567" w:type="dxa"/>
            <w:shd w:val="clear" w:color="auto" w:fill="C6EFCE"/>
          </w:tcPr>
          <w:p w14:paraId="3044D533" w14:textId="178AA15B" w:rsidR="003E1D81" w:rsidRDefault="00EB481C">
            <w:pPr>
              <w:pStyle w:val="P68B1DB1-Normal13"/>
              <w:jc w:val="center"/>
              <w:rPr>
                <w:rFonts w:cs="Times New Roman"/>
                <w:noProof/>
              </w:rPr>
            </w:pPr>
            <w:r>
              <w:rPr>
                <w:noProof/>
              </w:rPr>
              <w:t>NEGYEDÉV</w:t>
            </w:r>
          </w:p>
        </w:tc>
        <w:tc>
          <w:tcPr>
            <w:tcW w:w="822" w:type="dxa"/>
            <w:shd w:val="clear" w:color="auto" w:fill="C6EFCE"/>
          </w:tcPr>
          <w:p w14:paraId="5BB3DA0C" w14:textId="3C5CEB4A" w:rsidR="003E1D81" w:rsidRDefault="00EB481C">
            <w:pPr>
              <w:pStyle w:val="P68B1DB1-Normal13"/>
              <w:jc w:val="center"/>
              <w:rPr>
                <w:rFonts w:cs="Times New Roman"/>
                <w:noProof/>
              </w:rPr>
            </w:pPr>
            <w:r>
              <w:rPr>
                <w:noProof/>
              </w:rPr>
              <w:t>2024</w:t>
            </w:r>
          </w:p>
        </w:tc>
        <w:tc>
          <w:tcPr>
            <w:tcW w:w="3998" w:type="dxa"/>
            <w:shd w:val="clear" w:color="auto" w:fill="C6EFCE"/>
          </w:tcPr>
          <w:p w14:paraId="1DC0D401" w14:textId="53BB3772" w:rsidR="003E1D81" w:rsidRDefault="00EB481C">
            <w:pPr>
              <w:pStyle w:val="P68B1DB1-Normal13"/>
              <w:rPr>
                <w:rFonts w:cs="Times New Roman"/>
                <w:noProof/>
              </w:rPr>
            </w:pPr>
            <w:r>
              <w:rPr>
                <w:noProof/>
              </w:rPr>
              <w:t xml:space="preserve">A </w:t>
            </w:r>
            <w:r>
              <w:rPr>
                <w:noProof/>
              </w:rPr>
              <w:t>védelemhez való jogról szóló törvény hatálybalépése a tisztességes eljáráshoz való alapvető jog fejlesztése és megerősítése érdekében.</w:t>
            </w:r>
          </w:p>
        </w:tc>
      </w:tr>
      <w:tr w:rsidR="003E1D81" w14:paraId="4B2DCC21" w14:textId="77777777">
        <w:trPr>
          <w:trHeight w:val="309"/>
        </w:trPr>
        <w:tc>
          <w:tcPr>
            <w:tcW w:w="1223" w:type="dxa"/>
            <w:shd w:val="clear" w:color="auto" w:fill="C6EFCE"/>
          </w:tcPr>
          <w:p w14:paraId="2C3B7B1E" w14:textId="77777777" w:rsidR="003E1D81" w:rsidRDefault="00EB481C">
            <w:pPr>
              <w:pStyle w:val="P68B1DB1-Normal13"/>
              <w:jc w:val="center"/>
              <w:rPr>
                <w:rFonts w:cs="Times New Roman"/>
                <w:noProof/>
              </w:rPr>
            </w:pPr>
            <w:r>
              <w:rPr>
                <w:noProof/>
              </w:rPr>
              <w:t>153</w:t>
            </w:r>
          </w:p>
        </w:tc>
        <w:tc>
          <w:tcPr>
            <w:tcW w:w="1448" w:type="dxa"/>
            <w:shd w:val="clear" w:color="auto" w:fill="C6EFCE"/>
          </w:tcPr>
          <w:p w14:paraId="00EEE9B2" w14:textId="77777777" w:rsidR="003E1D81" w:rsidRDefault="00EB481C">
            <w:pPr>
              <w:pStyle w:val="P68B1DB1-Normal13"/>
              <w:jc w:val="center"/>
              <w:rPr>
                <w:rFonts w:cs="Times New Roman"/>
                <w:noProof/>
              </w:rPr>
            </w:pPr>
            <w:r>
              <w:rPr>
                <w:noProof/>
              </w:rPr>
              <w:t>C11.R3</w:t>
            </w:r>
          </w:p>
        </w:tc>
        <w:tc>
          <w:tcPr>
            <w:tcW w:w="966" w:type="dxa"/>
            <w:shd w:val="clear" w:color="auto" w:fill="C6EFCE"/>
          </w:tcPr>
          <w:p w14:paraId="68880331"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44EF4B1D" w14:textId="77777777" w:rsidR="003E1D81" w:rsidRDefault="00EB481C">
            <w:pPr>
              <w:pStyle w:val="P68B1DB1-Normal13"/>
              <w:rPr>
                <w:rFonts w:cs="Times New Roman"/>
                <w:noProof/>
              </w:rPr>
            </w:pPr>
            <w:r>
              <w:rPr>
                <w:noProof/>
              </w:rPr>
              <w:t>A Caja General de Depósitosról szóló 937/2020. sz. királyi rendelet hatálybalépése</w:t>
            </w:r>
          </w:p>
        </w:tc>
        <w:tc>
          <w:tcPr>
            <w:tcW w:w="1442" w:type="dxa"/>
            <w:shd w:val="clear" w:color="auto" w:fill="C6EFCE"/>
          </w:tcPr>
          <w:p w14:paraId="2B217473" w14:textId="77777777" w:rsidR="003E1D81" w:rsidRDefault="00EB481C">
            <w:pPr>
              <w:pStyle w:val="P68B1DB1-Normal13"/>
              <w:jc w:val="center"/>
              <w:rPr>
                <w:rFonts w:cs="Times New Roman"/>
                <w:noProof/>
              </w:rPr>
            </w:pPr>
            <w:r>
              <w:rPr>
                <w:noProof/>
              </w:rPr>
              <w:t xml:space="preserve">A rendelet </w:t>
            </w:r>
            <w:r>
              <w:rPr>
                <w:noProof/>
              </w:rPr>
              <w:t>hatálybalépésére vonatkozó rendelkezés</w:t>
            </w:r>
          </w:p>
        </w:tc>
        <w:tc>
          <w:tcPr>
            <w:tcW w:w="1082" w:type="dxa"/>
            <w:shd w:val="clear" w:color="auto" w:fill="C6EFCE"/>
          </w:tcPr>
          <w:p w14:paraId="3D7D1C3F"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03B166C5" w14:textId="77777777" w:rsidR="003E1D81" w:rsidRDefault="00EB481C">
            <w:pPr>
              <w:pStyle w:val="P68B1DB1-Normal13"/>
              <w:jc w:val="right"/>
              <w:rPr>
                <w:rFonts w:cs="Times New Roman"/>
                <w:noProof/>
              </w:rPr>
            </w:pPr>
            <w:r>
              <w:rPr>
                <w:noProof/>
              </w:rPr>
              <w:t xml:space="preserve"> </w:t>
            </w:r>
          </w:p>
        </w:tc>
        <w:tc>
          <w:tcPr>
            <w:tcW w:w="709" w:type="dxa"/>
            <w:shd w:val="clear" w:color="auto" w:fill="C6EFCE"/>
          </w:tcPr>
          <w:p w14:paraId="47C04ACA" w14:textId="77777777" w:rsidR="003E1D81" w:rsidRDefault="00EB481C">
            <w:pPr>
              <w:pStyle w:val="P68B1DB1-Normal13"/>
              <w:jc w:val="right"/>
              <w:rPr>
                <w:rFonts w:cs="Times New Roman"/>
                <w:noProof/>
              </w:rPr>
            </w:pPr>
            <w:r>
              <w:rPr>
                <w:noProof/>
              </w:rPr>
              <w:t xml:space="preserve"> </w:t>
            </w:r>
          </w:p>
        </w:tc>
        <w:tc>
          <w:tcPr>
            <w:tcW w:w="567" w:type="dxa"/>
            <w:shd w:val="clear" w:color="auto" w:fill="C6EFCE"/>
          </w:tcPr>
          <w:p w14:paraId="3701FC34"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6235220B" w14:textId="77777777" w:rsidR="003E1D81" w:rsidRDefault="00EB481C">
            <w:pPr>
              <w:pStyle w:val="P68B1DB1-Normal13"/>
              <w:jc w:val="center"/>
              <w:rPr>
                <w:rFonts w:cs="Times New Roman"/>
                <w:noProof/>
              </w:rPr>
            </w:pPr>
            <w:r>
              <w:rPr>
                <w:noProof/>
              </w:rPr>
              <w:t>2020</w:t>
            </w:r>
          </w:p>
        </w:tc>
        <w:tc>
          <w:tcPr>
            <w:tcW w:w="3998" w:type="dxa"/>
            <w:shd w:val="clear" w:color="auto" w:fill="C6EFCE"/>
          </w:tcPr>
          <w:p w14:paraId="2B67E0F4" w14:textId="77777777" w:rsidR="003E1D81" w:rsidRDefault="00EB481C">
            <w:pPr>
              <w:pStyle w:val="P68B1DB1-Normal13"/>
              <w:rPr>
                <w:rFonts w:cs="Times New Roman"/>
                <w:noProof/>
              </w:rPr>
            </w:pPr>
            <w:r>
              <w:rPr>
                <w:noProof/>
              </w:rPr>
              <w:t>A Caja General de Depósitos Caja General de Depósitos rendeletének jóváhagyásáról szóló, október 27-i 937/2020. sz. királyi rendelet hatálybalépése a Caja részére nyújtott garanciák és betétek digi</w:t>
            </w:r>
            <w:r>
              <w:rPr>
                <w:noProof/>
              </w:rPr>
              <w:t>tális kezelésének megvalósítása érdekében, megszüntetve a fizikai dokumentációt. A királyi rendelet naprakésszé teszi a Cajában letétbe helyezett garanciák és készpénzrészletek alapítására, törlésére és végrehajtására vonatkozó eljárást. Emellett az elektr</w:t>
            </w:r>
            <w:r>
              <w:rPr>
                <w:noProof/>
              </w:rPr>
              <w:t>onikus dokumentumok benyújtására vonatkozó szabályok és csatornák meghatározása révén előmozdítja az elektronikus eljárások bevezetését a Cajában, és biztosítja az eljárás digitalizálásához szükséges jogi keretet.</w:t>
            </w:r>
          </w:p>
        </w:tc>
      </w:tr>
      <w:tr w:rsidR="003E1D81" w14:paraId="5134B0F4" w14:textId="77777777">
        <w:trPr>
          <w:trHeight w:val="309"/>
        </w:trPr>
        <w:tc>
          <w:tcPr>
            <w:tcW w:w="1223" w:type="dxa"/>
            <w:shd w:val="clear" w:color="auto" w:fill="C6EFCE"/>
          </w:tcPr>
          <w:p w14:paraId="36FCDF83" w14:textId="77777777" w:rsidR="003E1D81" w:rsidRDefault="00EB481C">
            <w:pPr>
              <w:pStyle w:val="P68B1DB1-Normal13"/>
              <w:jc w:val="center"/>
              <w:rPr>
                <w:rFonts w:cs="Times New Roman"/>
                <w:noProof/>
              </w:rPr>
            </w:pPr>
            <w:r>
              <w:rPr>
                <w:noProof/>
              </w:rPr>
              <w:t>154</w:t>
            </w:r>
          </w:p>
        </w:tc>
        <w:tc>
          <w:tcPr>
            <w:tcW w:w="1448" w:type="dxa"/>
            <w:shd w:val="clear" w:color="auto" w:fill="C6EFCE"/>
          </w:tcPr>
          <w:p w14:paraId="1E17700C" w14:textId="77777777" w:rsidR="003E1D81" w:rsidRDefault="00EB481C">
            <w:pPr>
              <w:pStyle w:val="P68B1DB1-Normal13"/>
              <w:jc w:val="center"/>
              <w:rPr>
                <w:rFonts w:cs="Times New Roman"/>
                <w:noProof/>
              </w:rPr>
            </w:pPr>
            <w:r>
              <w:rPr>
                <w:noProof/>
              </w:rPr>
              <w:t>C11.R3</w:t>
            </w:r>
          </w:p>
        </w:tc>
        <w:tc>
          <w:tcPr>
            <w:tcW w:w="966" w:type="dxa"/>
            <w:shd w:val="clear" w:color="auto" w:fill="C6EFCE"/>
          </w:tcPr>
          <w:p w14:paraId="04322C78"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13E09C3D" w14:textId="77777777" w:rsidR="003E1D81" w:rsidRDefault="00EB481C">
            <w:pPr>
              <w:pStyle w:val="P68B1DB1-Normal13"/>
              <w:rPr>
                <w:rFonts w:cs="Times New Roman"/>
                <w:noProof/>
              </w:rPr>
            </w:pPr>
            <w:r>
              <w:rPr>
                <w:noProof/>
              </w:rPr>
              <w:t xml:space="preserve">Az elszámolások </w:t>
            </w:r>
            <w:r>
              <w:rPr>
                <w:noProof/>
              </w:rPr>
              <w:t>ellenőrzéséről szóló, július 20-i 22/2015. sz. törvény végrehajtásáról szóló rendelet jóváhagyásáról szóló királyi rendelet hatálybalépése</w:t>
            </w:r>
          </w:p>
        </w:tc>
        <w:tc>
          <w:tcPr>
            <w:tcW w:w="1442" w:type="dxa"/>
            <w:shd w:val="clear" w:color="auto" w:fill="C6EFCE"/>
          </w:tcPr>
          <w:p w14:paraId="2AD67CD2" w14:textId="77777777" w:rsidR="003E1D81" w:rsidRDefault="00EB481C">
            <w:pPr>
              <w:pStyle w:val="P68B1DB1-Normal13"/>
              <w:jc w:val="center"/>
              <w:rPr>
                <w:rFonts w:cs="Times New Roman"/>
                <w:noProof/>
              </w:rPr>
            </w:pPr>
            <w:r>
              <w:rPr>
                <w:noProof/>
              </w:rPr>
              <w:t>A királyi rendelet hatálybalépésére vonatkozó rendelkezése</w:t>
            </w:r>
          </w:p>
        </w:tc>
        <w:tc>
          <w:tcPr>
            <w:tcW w:w="1082" w:type="dxa"/>
            <w:shd w:val="clear" w:color="auto" w:fill="C6EFCE"/>
          </w:tcPr>
          <w:p w14:paraId="017F41A9"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0A069ACF" w14:textId="77777777" w:rsidR="003E1D81" w:rsidRDefault="00EB481C">
            <w:pPr>
              <w:pStyle w:val="P68B1DB1-Normal13"/>
              <w:jc w:val="right"/>
              <w:rPr>
                <w:rFonts w:cs="Times New Roman"/>
                <w:noProof/>
              </w:rPr>
            </w:pPr>
            <w:r>
              <w:rPr>
                <w:noProof/>
              </w:rPr>
              <w:t xml:space="preserve"> </w:t>
            </w:r>
          </w:p>
        </w:tc>
        <w:tc>
          <w:tcPr>
            <w:tcW w:w="709" w:type="dxa"/>
            <w:shd w:val="clear" w:color="auto" w:fill="C6EFCE"/>
          </w:tcPr>
          <w:p w14:paraId="3A6DA355" w14:textId="77777777" w:rsidR="003E1D81" w:rsidRDefault="00EB481C">
            <w:pPr>
              <w:pStyle w:val="P68B1DB1-Normal13"/>
              <w:jc w:val="right"/>
              <w:rPr>
                <w:rFonts w:cs="Times New Roman"/>
                <w:noProof/>
              </w:rPr>
            </w:pPr>
            <w:r>
              <w:rPr>
                <w:noProof/>
              </w:rPr>
              <w:t xml:space="preserve"> </w:t>
            </w:r>
          </w:p>
        </w:tc>
        <w:tc>
          <w:tcPr>
            <w:tcW w:w="567" w:type="dxa"/>
            <w:shd w:val="clear" w:color="auto" w:fill="C6EFCE"/>
          </w:tcPr>
          <w:p w14:paraId="1B1FD8B3"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2FC8FA88" w14:textId="77777777" w:rsidR="003E1D81" w:rsidRDefault="00EB481C">
            <w:pPr>
              <w:pStyle w:val="P68B1DB1-Normal13"/>
              <w:jc w:val="center"/>
              <w:rPr>
                <w:rFonts w:cs="Times New Roman"/>
                <w:noProof/>
              </w:rPr>
            </w:pPr>
            <w:r>
              <w:rPr>
                <w:noProof/>
              </w:rPr>
              <w:t>2021</w:t>
            </w:r>
          </w:p>
        </w:tc>
        <w:tc>
          <w:tcPr>
            <w:tcW w:w="3998" w:type="dxa"/>
            <w:shd w:val="clear" w:color="auto" w:fill="C6EFCE"/>
          </w:tcPr>
          <w:p w14:paraId="4C401364" w14:textId="77777777" w:rsidR="003E1D81" w:rsidRDefault="00EB481C">
            <w:pPr>
              <w:pStyle w:val="P68B1DB1-Normal13"/>
              <w:rPr>
                <w:rFonts w:cs="Times New Roman"/>
                <w:noProof/>
              </w:rPr>
            </w:pPr>
            <w:r>
              <w:rPr>
                <w:noProof/>
              </w:rPr>
              <w:t xml:space="preserve">A számlák ellenőrzéséről szóló, 2015. </w:t>
            </w:r>
            <w:r>
              <w:rPr>
                <w:noProof/>
              </w:rPr>
              <w:t>július 20-i 22/2015. sz. törvény végrehajtásáról szóló rendeletet jóváhagyó királyi rendelet hatálybalépése. E reform célja, hogy az ellenőrzési tevékenység megfelelő minőségének elérése érdekében nagyobb jogbiztonságot nyújtó jogi keretet biztosítson az e</w:t>
            </w:r>
            <w:r>
              <w:rPr>
                <w:noProof/>
              </w:rPr>
              <w:t>llenőrzési tevékenység számára. A könyvvizsgálók, könyvvizsgáló cégek és az e rendelet által érintett valamennyi jogalany ezért nagyobb garanciát és biztonságot kap a könyvvizsgálatról szóló törvény rendelkezéseinek értelmezése és alkalmazása során, ami eg</w:t>
            </w:r>
            <w:r>
              <w:rPr>
                <w:noProof/>
              </w:rPr>
              <w:t>yúttal az ellenőrzések jobb elvégzését és a jogszabályokban foglalt kötelezettségek teljesítését eredményezi.</w:t>
            </w:r>
          </w:p>
        </w:tc>
      </w:tr>
      <w:tr w:rsidR="003E1D81" w14:paraId="130E21AF" w14:textId="77777777">
        <w:trPr>
          <w:trHeight w:val="309"/>
        </w:trPr>
        <w:tc>
          <w:tcPr>
            <w:tcW w:w="1223" w:type="dxa"/>
            <w:shd w:val="clear" w:color="auto" w:fill="C6EFCE"/>
          </w:tcPr>
          <w:p w14:paraId="36E3C197" w14:textId="0105E20B" w:rsidR="003E1D81" w:rsidRDefault="00EB481C">
            <w:pPr>
              <w:pStyle w:val="P68B1DB1-Normal13"/>
              <w:jc w:val="center"/>
              <w:rPr>
                <w:rFonts w:cs="Times New Roman"/>
                <w:noProof/>
              </w:rPr>
            </w:pPr>
            <w:r>
              <w:rPr>
                <w:noProof/>
              </w:rPr>
              <w:t>437</w:t>
            </w:r>
          </w:p>
        </w:tc>
        <w:tc>
          <w:tcPr>
            <w:tcW w:w="1448" w:type="dxa"/>
            <w:shd w:val="clear" w:color="auto" w:fill="C6EFCE"/>
          </w:tcPr>
          <w:p w14:paraId="5A867F31" w14:textId="59BD8082" w:rsidR="003E1D81" w:rsidRDefault="00EB481C">
            <w:pPr>
              <w:pStyle w:val="P68B1DB1-Normal13"/>
              <w:jc w:val="center"/>
              <w:rPr>
                <w:rFonts w:cs="Times New Roman"/>
                <w:noProof/>
              </w:rPr>
            </w:pPr>
            <w:r>
              <w:rPr>
                <w:noProof/>
              </w:rPr>
              <w:t>C11.R3</w:t>
            </w:r>
          </w:p>
        </w:tc>
        <w:tc>
          <w:tcPr>
            <w:tcW w:w="966" w:type="dxa"/>
            <w:shd w:val="clear" w:color="auto" w:fill="C6EFCE"/>
          </w:tcPr>
          <w:p w14:paraId="74CA639F" w14:textId="55F7E420" w:rsidR="003E1D81" w:rsidRDefault="00EB481C">
            <w:pPr>
              <w:pStyle w:val="P68B1DB1-Normal13"/>
              <w:jc w:val="center"/>
              <w:rPr>
                <w:rFonts w:cs="Times New Roman"/>
                <w:noProof/>
              </w:rPr>
            </w:pPr>
            <w:r>
              <w:rPr>
                <w:noProof/>
              </w:rPr>
              <w:t>M</w:t>
            </w:r>
          </w:p>
        </w:tc>
        <w:tc>
          <w:tcPr>
            <w:tcW w:w="1631" w:type="dxa"/>
            <w:shd w:val="clear" w:color="auto" w:fill="C6EFCE"/>
          </w:tcPr>
          <w:p w14:paraId="135CCF63" w14:textId="21F79052" w:rsidR="003E1D81" w:rsidRDefault="00EB481C">
            <w:pPr>
              <w:pStyle w:val="P68B1DB1-Normal13"/>
              <w:rPr>
                <w:rFonts w:cs="Times New Roman"/>
                <w:noProof/>
              </w:rPr>
            </w:pPr>
            <w:r>
              <w:rPr>
                <w:noProof/>
              </w:rPr>
              <w:t xml:space="preserve">A pénzügyi rendszerre vonatkozó, az éghajlatváltozással kapcsolatos kockázatokról szóló kétéves jelentés közzététele és a </w:t>
            </w:r>
            <w:r>
              <w:rPr>
                <w:noProof/>
              </w:rPr>
              <w:t>Fenntartható Pénzügyi Tanács létrehozása</w:t>
            </w:r>
          </w:p>
        </w:tc>
        <w:tc>
          <w:tcPr>
            <w:tcW w:w="1442" w:type="dxa"/>
            <w:shd w:val="clear" w:color="auto" w:fill="C6EFCE"/>
          </w:tcPr>
          <w:p w14:paraId="6A8CCFEB" w14:textId="31685476" w:rsidR="003E1D81" w:rsidRDefault="00EB481C">
            <w:pPr>
              <w:pStyle w:val="P68B1DB1-Normal13"/>
              <w:jc w:val="center"/>
              <w:rPr>
                <w:rFonts w:cs="Times New Roman"/>
                <w:noProof/>
              </w:rPr>
            </w:pPr>
            <w:r>
              <w:rPr>
                <w:noProof/>
              </w:rPr>
              <w:t>A jelentés és a cselekvési terv közzététele a Tanács számára</w:t>
            </w:r>
          </w:p>
        </w:tc>
        <w:tc>
          <w:tcPr>
            <w:tcW w:w="1082" w:type="dxa"/>
            <w:shd w:val="clear" w:color="auto" w:fill="C6EFCE"/>
          </w:tcPr>
          <w:p w14:paraId="37116B19" w14:textId="77777777" w:rsidR="003E1D81" w:rsidRDefault="003E1D81">
            <w:pPr>
              <w:jc w:val="right"/>
              <w:rPr>
                <w:rFonts w:ascii="Times New Roman" w:hAnsi="Times New Roman" w:cs="Times New Roman"/>
                <w:noProof/>
                <w:sz w:val="18"/>
              </w:rPr>
            </w:pPr>
          </w:p>
        </w:tc>
        <w:tc>
          <w:tcPr>
            <w:tcW w:w="708" w:type="dxa"/>
            <w:shd w:val="clear" w:color="auto" w:fill="C6EFCE"/>
          </w:tcPr>
          <w:p w14:paraId="32467A2C" w14:textId="77777777" w:rsidR="003E1D81" w:rsidRDefault="003E1D81">
            <w:pPr>
              <w:jc w:val="right"/>
              <w:rPr>
                <w:rFonts w:ascii="Times New Roman" w:hAnsi="Times New Roman" w:cs="Times New Roman"/>
                <w:noProof/>
                <w:sz w:val="18"/>
              </w:rPr>
            </w:pPr>
          </w:p>
        </w:tc>
        <w:tc>
          <w:tcPr>
            <w:tcW w:w="709" w:type="dxa"/>
            <w:shd w:val="clear" w:color="auto" w:fill="C6EFCE"/>
          </w:tcPr>
          <w:p w14:paraId="54C9A687" w14:textId="77777777" w:rsidR="003E1D81" w:rsidRDefault="003E1D81">
            <w:pPr>
              <w:jc w:val="right"/>
              <w:rPr>
                <w:rFonts w:ascii="Times New Roman" w:hAnsi="Times New Roman" w:cs="Times New Roman"/>
                <w:noProof/>
                <w:sz w:val="18"/>
              </w:rPr>
            </w:pPr>
          </w:p>
        </w:tc>
        <w:tc>
          <w:tcPr>
            <w:tcW w:w="567" w:type="dxa"/>
            <w:shd w:val="clear" w:color="auto" w:fill="C6EFCE"/>
          </w:tcPr>
          <w:p w14:paraId="570659E4" w14:textId="0A7CEEF7" w:rsidR="003E1D81" w:rsidRDefault="00EB481C">
            <w:pPr>
              <w:pStyle w:val="P68B1DB1-Normal13"/>
              <w:jc w:val="center"/>
              <w:rPr>
                <w:rFonts w:cs="Times New Roman"/>
                <w:noProof/>
              </w:rPr>
            </w:pPr>
            <w:r>
              <w:rPr>
                <w:noProof/>
              </w:rPr>
              <w:t>NEGYEDÉV</w:t>
            </w:r>
          </w:p>
        </w:tc>
        <w:tc>
          <w:tcPr>
            <w:tcW w:w="822" w:type="dxa"/>
            <w:shd w:val="clear" w:color="auto" w:fill="C6EFCE"/>
          </w:tcPr>
          <w:p w14:paraId="29B3594B" w14:textId="75E820C4" w:rsidR="003E1D81" w:rsidRDefault="00EB481C">
            <w:pPr>
              <w:pStyle w:val="P68B1DB1-Normal13"/>
              <w:jc w:val="center"/>
              <w:rPr>
                <w:rFonts w:cs="Times New Roman"/>
                <w:noProof/>
              </w:rPr>
            </w:pPr>
            <w:r>
              <w:rPr>
                <w:noProof/>
              </w:rPr>
              <w:t>2023</w:t>
            </w:r>
          </w:p>
        </w:tc>
        <w:tc>
          <w:tcPr>
            <w:tcW w:w="3998" w:type="dxa"/>
            <w:shd w:val="clear" w:color="auto" w:fill="C6EFCE"/>
          </w:tcPr>
          <w:p w14:paraId="60756770" w14:textId="653DF164" w:rsidR="003E1D81" w:rsidRDefault="00EB481C">
            <w:pPr>
              <w:pStyle w:val="P68B1DB1-Normal13"/>
              <w:rPr>
                <w:rFonts w:cs="Times New Roman"/>
                <w:noProof/>
              </w:rPr>
            </w:pPr>
            <w:r>
              <w:rPr>
                <w:noProof/>
              </w:rPr>
              <w:t>A hatóságok zöld könyvet tesznek közzé a fenntartható finanszírozás előmozdítása érdekében. Ezen túlmenően a következő két intézkedést kell végrehajtani: a pénzügyi rendszert érintő éghajlatváltozási kockázatokról szóló kétéves jelentés közzététele a makro</w:t>
            </w:r>
            <w:r>
              <w:rPr>
                <w:noProof/>
              </w:rPr>
              <w:t>prudenciális hatóság Pénzügyi Stabilitási Tanácsának (AMCESFI) honlapján, az éghajlatváltozásról és az energetikai átállásról szóló, május 20-i 7/2021. sz. törvény 33. cikkével összhangban; valamint ii. a fenntartható finanszírozás területén a köz- és magá</w:t>
            </w:r>
            <w:r>
              <w:rPr>
                <w:noProof/>
              </w:rPr>
              <w:t>nszféra közötti együttműködés előmozdítását szolgáló fórum létrehozása és működésbe lépése (beleértve a közigazgatás, a pénzügyi felügyeletek és a magánszektor képviselőit). A Tanács az első ülésén cselekvési tervet hagy jóvá, amely tartalmazza az ütemterv</w:t>
            </w:r>
            <w:r>
              <w:rPr>
                <w:noProof/>
              </w:rPr>
              <w:t>et és az elérendő célokat.</w:t>
            </w:r>
          </w:p>
        </w:tc>
      </w:tr>
      <w:tr w:rsidR="003E1D81" w14:paraId="57839DEC" w14:textId="77777777">
        <w:trPr>
          <w:trHeight w:val="309"/>
        </w:trPr>
        <w:tc>
          <w:tcPr>
            <w:tcW w:w="1223" w:type="dxa"/>
            <w:shd w:val="clear" w:color="auto" w:fill="C6EFCE"/>
          </w:tcPr>
          <w:p w14:paraId="21434385" w14:textId="65ADA631" w:rsidR="003E1D81" w:rsidRDefault="00EB481C">
            <w:pPr>
              <w:pStyle w:val="P68B1DB1-Normal13"/>
              <w:jc w:val="center"/>
              <w:rPr>
                <w:rFonts w:cs="Times New Roman"/>
                <w:noProof/>
              </w:rPr>
            </w:pPr>
            <w:r>
              <w:rPr>
                <w:noProof/>
              </w:rPr>
              <w:t>436</w:t>
            </w:r>
          </w:p>
        </w:tc>
        <w:tc>
          <w:tcPr>
            <w:tcW w:w="1448" w:type="dxa"/>
            <w:shd w:val="clear" w:color="auto" w:fill="C6EFCE"/>
          </w:tcPr>
          <w:p w14:paraId="2C8202D6" w14:textId="51CD83AF" w:rsidR="003E1D81" w:rsidRDefault="00EB481C">
            <w:pPr>
              <w:pStyle w:val="P68B1DB1-Normal13"/>
              <w:jc w:val="center"/>
              <w:rPr>
                <w:rFonts w:cs="Times New Roman"/>
                <w:noProof/>
              </w:rPr>
            </w:pPr>
            <w:r>
              <w:rPr>
                <w:noProof/>
              </w:rPr>
              <w:t>C11.R3</w:t>
            </w:r>
          </w:p>
        </w:tc>
        <w:tc>
          <w:tcPr>
            <w:tcW w:w="966" w:type="dxa"/>
            <w:shd w:val="clear" w:color="auto" w:fill="C6EFCE"/>
          </w:tcPr>
          <w:p w14:paraId="12B38417" w14:textId="5441C144" w:rsidR="003E1D81" w:rsidRDefault="00EB481C">
            <w:pPr>
              <w:pStyle w:val="P68B1DB1-Normal13"/>
              <w:jc w:val="center"/>
              <w:rPr>
                <w:rFonts w:cs="Times New Roman"/>
                <w:noProof/>
              </w:rPr>
            </w:pPr>
            <w:r>
              <w:rPr>
                <w:noProof/>
              </w:rPr>
              <w:t>M</w:t>
            </w:r>
          </w:p>
        </w:tc>
        <w:tc>
          <w:tcPr>
            <w:tcW w:w="1631" w:type="dxa"/>
            <w:shd w:val="clear" w:color="auto" w:fill="C6EFCE"/>
          </w:tcPr>
          <w:p w14:paraId="0BDF309D" w14:textId="79A02EBB" w:rsidR="003E1D81" w:rsidRDefault="00EB481C">
            <w:pPr>
              <w:pStyle w:val="P68B1DB1-Normal13"/>
              <w:rPr>
                <w:rFonts w:cs="Times New Roman"/>
                <w:noProof/>
              </w:rPr>
            </w:pPr>
            <w:r>
              <w:rPr>
                <w:noProof/>
              </w:rPr>
              <w:t>Az ügyfélszolgálatról szóló törvény és a Pénzügyi Ügyfélvédelmi Hatóság létrehozásáról szóló törvény hatálybalépése</w:t>
            </w:r>
          </w:p>
        </w:tc>
        <w:tc>
          <w:tcPr>
            <w:tcW w:w="1442" w:type="dxa"/>
            <w:shd w:val="clear" w:color="auto" w:fill="C6EFCE"/>
          </w:tcPr>
          <w:p w14:paraId="0C58AABD" w14:textId="112DC4C1" w:rsidR="003E1D81" w:rsidRDefault="00EB481C">
            <w:pPr>
              <w:pStyle w:val="P68B1DB1-Normal13"/>
              <w:jc w:val="center"/>
              <w:rPr>
                <w:rFonts w:cs="Times New Roman"/>
                <w:noProof/>
              </w:rPr>
            </w:pPr>
            <w:r>
              <w:rPr>
                <w:noProof/>
              </w:rPr>
              <w:t>A jogszabály(ok) hatálybalépésére utaló rendelkezés(ek)</w:t>
            </w:r>
          </w:p>
        </w:tc>
        <w:tc>
          <w:tcPr>
            <w:tcW w:w="1082" w:type="dxa"/>
            <w:shd w:val="clear" w:color="auto" w:fill="C6EFCE"/>
          </w:tcPr>
          <w:p w14:paraId="409AD4E0" w14:textId="77777777" w:rsidR="003E1D81" w:rsidRDefault="003E1D81">
            <w:pPr>
              <w:jc w:val="right"/>
              <w:rPr>
                <w:rFonts w:ascii="Times New Roman" w:hAnsi="Times New Roman" w:cs="Times New Roman"/>
                <w:noProof/>
                <w:sz w:val="18"/>
              </w:rPr>
            </w:pPr>
          </w:p>
        </w:tc>
        <w:tc>
          <w:tcPr>
            <w:tcW w:w="708" w:type="dxa"/>
            <w:shd w:val="clear" w:color="auto" w:fill="C6EFCE"/>
          </w:tcPr>
          <w:p w14:paraId="0EE56268" w14:textId="77777777" w:rsidR="003E1D81" w:rsidRDefault="003E1D81">
            <w:pPr>
              <w:jc w:val="right"/>
              <w:rPr>
                <w:rFonts w:ascii="Times New Roman" w:hAnsi="Times New Roman" w:cs="Times New Roman"/>
                <w:noProof/>
                <w:sz w:val="18"/>
              </w:rPr>
            </w:pPr>
          </w:p>
        </w:tc>
        <w:tc>
          <w:tcPr>
            <w:tcW w:w="709" w:type="dxa"/>
            <w:shd w:val="clear" w:color="auto" w:fill="C6EFCE"/>
          </w:tcPr>
          <w:p w14:paraId="10FCD8C5" w14:textId="77777777" w:rsidR="003E1D81" w:rsidRDefault="003E1D81">
            <w:pPr>
              <w:jc w:val="right"/>
              <w:rPr>
                <w:rFonts w:ascii="Times New Roman" w:hAnsi="Times New Roman" w:cs="Times New Roman"/>
                <w:noProof/>
                <w:sz w:val="18"/>
              </w:rPr>
            </w:pPr>
          </w:p>
        </w:tc>
        <w:tc>
          <w:tcPr>
            <w:tcW w:w="567" w:type="dxa"/>
            <w:shd w:val="clear" w:color="auto" w:fill="C6EFCE"/>
          </w:tcPr>
          <w:p w14:paraId="4F14BEC1" w14:textId="23E1EDAB" w:rsidR="003E1D81" w:rsidRDefault="00EB481C">
            <w:pPr>
              <w:pStyle w:val="P68B1DB1-Normal13"/>
              <w:jc w:val="center"/>
              <w:rPr>
                <w:rFonts w:cs="Times New Roman"/>
                <w:noProof/>
              </w:rPr>
            </w:pPr>
            <w:r>
              <w:rPr>
                <w:noProof/>
              </w:rPr>
              <w:t>NEGYEDÉV</w:t>
            </w:r>
          </w:p>
        </w:tc>
        <w:tc>
          <w:tcPr>
            <w:tcW w:w="822" w:type="dxa"/>
            <w:shd w:val="clear" w:color="auto" w:fill="C6EFCE"/>
          </w:tcPr>
          <w:p w14:paraId="69E6CD00" w14:textId="2D676C86" w:rsidR="003E1D81" w:rsidRDefault="00EB481C">
            <w:pPr>
              <w:pStyle w:val="P68B1DB1-Normal13"/>
              <w:jc w:val="center"/>
              <w:rPr>
                <w:rFonts w:cs="Times New Roman"/>
                <w:noProof/>
              </w:rPr>
            </w:pPr>
            <w:r>
              <w:rPr>
                <w:noProof/>
              </w:rPr>
              <w:t>2024</w:t>
            </w:r>
          </w:p>
        </w:tc>
        <w:tc>
          <w:tcPr>
            <w:tcW w:w="3998" w:type="dxa"/>
            <w:shd w:val="clear" w:color="auto" w:fill="C6EFCE"/>
          </w:tcPr>
          <w:p w14:paraId="56535F80" w14:textId="73BB1B61" w:rsidR="003E1D81" w:rsidRDefault="00EB481C">
            <w:pPr>
              <w:pStyle w:val="P68B1DB1-Normal13"/>
              <w:rPr>
                <w:rFonts w:cs="Times New Roman"/>
                <w:noProof/>
              </w:rPr>
            </w:pPr>
            <w:r>
              <w:rPr>
                <w:noProof/>
              </w:rPr>
              <w:t xml:space="preserve">I. az </w:t>
            </w:r>
            <w:r>
              <w:rPr>
                <w:noProof/>
              </w:rPr>
              <w:t>ügyfélszolgáltatásokról szóló törvény és b) a Pénzügyi Ügyfélvédelmi Hatóság létrehozásáról szóló törvény hatálybalépése. A fogyasztói szolgáltatásokról szóló új törvény meghatározza azokat az intézkedéseket, amelyek garantálják a fogyasztók számára az alá</w:t>
            </w:r>
            <w:r>
              <w:rPr>
                <w:noProof/>
              </w:rPr>
              <w:t>írt szerződésekkel kapcsolatos jogaik gyakorlását, valamint minőségi előírásokat és ellenőrzési vagy ellenőrzési követelményeket állapít meg a fent említett intézkedések végrehajtásának ellenőrzése céljából.</w:t>
            </w:r>
          </w:p>
        </w:tc>
      </w:tr>
      <w:tr w:rsidR="003E1D81" w14:paraId="5A7D8430" w14:textId="77777777">
        <w:trPr>
          <w:trHeight w:val="309"/>
        </w:trPr>
        <w:tc>
          <w:tcPr>
            <w:tcW w:w="1223" w:type="dxa"/>
            <w:shd w:val="clear" w:color="auto" w:fill="C6EFCE"/>
          </w:tcPr>
          <w:p w14:paraId="6D75615F" w14:textId="77777777" w:rsidR="003E1D81" w:rsidRDefault="00EB481C">
            <w:pPr>
              <w:pStyle w:val="P68B1DB1-Normal13"/>
              <w:jc w:val="center"/>
              <w:rPr>
                <w:rFonts w:cs="Times New Roman"/>
                <w:noProof/>
              </w:rPr>
            </w:pPr>
            <w:r>
              <w:rPr>
                <w:noProof/>
              </w:rPr>
              <w:t>155</w:t>
            </w:r>
          </w:p>
        </w:tc>
        <w:tc>
          <w:tcPr>
            <w:tcW w:w="1448" w:type="dxa"/>
            <w:shd w:val="clear" w:color="auto" w:fill="C6EFCE"/>
          </w:tcPr>
          <w:p w14:paraId="4B256675" w14:textId="77777777" w:rsidR="003E1D81" w:rsidRDefault="00EB481C">
            <w:pPr>
              <w:pStyle w:val="P68B1DB1-Normal13"/>
              <w:jc w:val="center"/>
              <w:rPr>
                <w:rFonts w:cs="Times New Roman"/>
                <w:noProof/>
              </w:rPr>
            </w:pPr>
            <w:r>
              <w:rPr>
                <w:noProof/>
              </w:rPr>
              <w:t>C11.R4</w:t>
            </w:r>
          </w:p>
        </w:tc>
        <w:tc>
          <w:tcPr>
            <w:tcW w:w="966" w:type="dxa"/>
            <w:shd w:val="clear" w:color="auto" w:fill="C6EFCE"/>
          </w:tcPr>
          <w:p w14:paraId="74D87489"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2EFBAA66" w14:textId="77777777" w:rsidR="003E1D81" w:rsidRDefault="00EB481C">
            <w:pPr>
              <w:pStyle w:val="P68B1DB1-Normal13"/>
              <w:rPr>
                <w:rFonts w:cs="Times New Roman"/>
                <w:noProof/>
              </w:rPr>
            </w:pPr>
            <w:r>
              <w:rPr>
                <w:noProof/>
              </w:rPr>
              <w:t xml:space="preserve">A Nemzeti Értékelési Hivatal </w:t>
            </w:r>
            <w:r>
              <w:rPr>
                <w:noProof/>
              </w:rPr>
              <w:t xml:space="preserve">létrehozásáról szóló miniszteri rendelet hatálybalépése </w:t>
            </w:r>
          </w:p>
        </w:tc>
        <w:tc>
          <w:tcPr>
            <w:tcW w:w="1442" w:type="dxa"/>
            <w:shd w:val="clear" w:color="auto" w:fill="C6EFCE"/>
          </w:tcPr>
          <w:p w14:paraId="07C4E400" w14:textId="77777777" w:rsidR="003E1D81" w:rsidRDefault="00EB481C">
            <w:pPr>
              <w:pStyle w:val="P68B1DB1-Normal13"/>
              <w:jc w:val="center"/>
              <w:rPr>
                <w:rFonts w:cs="Times New Roman"/>
                <w:noProof/>
              </w:rPr>
            </w:pPr>
            <w:r>
              <w:rPr>
                <w:noProof/>
              </w:rPr>
              <w:t xml:space="preserve">A miniszteri rendeletben szereplő, a rendelet hatálybalépését feltüntető rendelkezés </w:t>
            </w:r>
          </w:p>
        </w:tc>
        <w:tc>
          <w:tcPr>
            <w:tcW w:w="1082" w:type="dxa"/>
            <w:shd w:val="clear" w:color="auto" w:fill="C6EFCE"/>
          </w:tcPr>
          <w:p w14:paraId="276B786B"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60F75EFC" w14:textId="77777777" w:rsidR="003E1D81" w:rsidRDefault="00EB481C">
            <w:pPr>
              <w:pStyle w:val="P68B1DB1-Normal13"/>
              <w:jc w:val="right"/>
              <w:rPr>
                <w:rFonts w:cs="Times New Roman"/>
                <w:noProof/>
              </w:rPr>
            </w:pPr>
            <w:r>
              <w:rPr>
                <w:noProof/>
              </w:rPr>
              <w:t xml:space="preserve"> </w:t>
            </w:r>
          </w:p>
        </w:tc>
        <w:tc>
          <w:tcPr>
            <w:tcW w:w="709" w:type="dxa"/>
            <w:shd w:val="clear" w:color="auto" w:fill="C6EFCE"/>
          </w:tcPr>
          <w:p w14:paraId="0D03D9A5" w14:textId="77777777" w:rsidR="003E1D81" w:rsidRDefault="00EB481C">
            <w:pPr>
              <w:pStyle w:val="P68B1DB1-Normal13"/>
              <w:jc w:val="right"/>
              <w:rPr>
                <w:rFonts w:cs="Times New Roman"/>
                <w:noProof/>
              </w:rPr>
            </w:pPr>
            <w:r>
              <w:rPr>
                <w:noProof/>
              </w:rPr>
              <w:t xml:space="preserve"> </w:t>
            </w:r>
          </w:p>
        </w:tc>
        <w:tc>
          <w:tcPr>
            <w:tcW w:w="567" w:type="dxa"/>
            <w:shd w:val="clear" w:color="auto" w:fill="C6EFCE"/>
          </w:tcPr>
          <w:p w14:paraId="67C1383A"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7A96E621" w14:textId="77777777" w:rsidR="003E1D81" w:rsidRDefault="00EB481C">
            <w:pPr>
              <w:pStyle w:val="P68B1DB1-Normal13"/>
              <w:jc w:val="center"/>
              <w:rPr>
                <w:rFonts w:cs="Times New Roman"/>
                <w:noProof/>
              </w:rPr>
            </w:pPr>
            <w:r>
              <w:rPr>
                <w:noProof/>
              </w:rPr>
              <w:t>2021</w:t>
            </w:r>
          </w:p>
        </w:tc>
        <w:tc>
          <w:tcPr>
            <w:tcW w:w="3998" w:type="dxa"/>
            <w:shd w:val="clear" w:color="auto" w:fill="C6EFCE"/>
          </w:tcPr>
          <w:p w14:paraId="0A0770C2" w14:textId="77777777" w:rsidR="003E1D81" w:rsidRDefault="00EB481C">
            <w:pPr>
              <w:pStyle w:val="P68B1DB1-Normal13"/>
              <w:rPr>
                <w:rFonts w:cs="Times New Roman"/>
                <w:noProof/>
              </w:rPr>
            </w:pPr>
            <w:r>
              <w:rPr>
                <w:noProof/>
              </w:rPr>
              <w:t>A közbeszerzések szabályozásával és felügyeletével foglalkozó független hivatalon (OIReScon) belül a Nemzeti Értékelési Hivatal (</w:t>
            </w:r>
            <w:r>
              <w:rPr>
                <w:i/>
                <w:noProof/>
              </w:rPr>
              <w:t>Oficina Nacional de Evaluación</w:t>
            </w:r>
            <w:r>
              <w:rPr>
                <w:noProof/>
              </w:rPr>
              <w:t>) létrehozásáról szóló miniszteri rendelet hatálybalépése. A közbeszerzésről szóló 9/2017. sz. tö</w:t>
            </w:r>
            <w:r>
              <w:rPr>
                <w:noProof/>
              </w:rPr>
              <w:t>rvény 333. cikkével összhangban ez a hivatal értékeli a koncessziós szerződések pénzügyi fenntarthatóságát a közbeszerzésről szóló 9/2017. sz. törvény 14. és 15. cikkében meghatározottak szerint. A miniszteri rendelet felruházza a Hivatalt a feladatai ellá</w:t>
            </w:r>
            <w:r>
              <w:rPr>
                <w:noProof/>
              </w:rPr>
              <w:t>tásához szükséges kapacitással és eszközökkel.</w:t>
            </w:r>
          </w:p>
        </w:tc>
      </w:tr>
      <w:tr w:rsidR="003E1D81" w14:paraId="22BF9568" w14:textId="77777777">
        <w:trPr>
          <w:trHeight w:val="309"/>
        </w:trPr>
        <w:tc>
          <w:tcPr>
            <w:tcW w:w="1223" w:type="dxa"/>
            <w:shd w:val="clear" w:color="auto" w:fill="C6EFCE"/>
          </w:tcPr>
          <w:p w14:paraId="1C450ABE" w14:textId="77777777" w:rsidR="003E1D81" w:rsidRDefault="00EB481C">
            <w:pPr>
              <w:pStyle w:val="P68B1DB1-Normal13"/>
              <w:jc w:val="center"/>
              <w:rPr>
                <w:rFonts w:cs="Times New Roman"/>
                <w:noProof/>
              </w:rPr>
            </w:pPr>
            <w:r>
              <w:rPr>
                <w:noProof/>
              </w:rPr>
              <w:t>156</w:t>
            </w:r>
          </w:p>
        </w:tc>
        <w:tc>
          <w:tcPr>
            <w:tcW w:w="1448" w:type="dxa"/>
            <w:shd w:val="clear" w:color="auto" w:fill="C6EFCE"/>
          </w:tcPr>
          <w:p w14:paraId="1FB9E4AE" w14:textId="77777777" w:rsidR="003E1D81" w:rsidRDefault="00EB481C">
            <w:pPr>
              <w:pStyle w:val="P68B1DB1-Normal13"/>
              <w:jc w:val="center"/>
              <w:rPr>
                <w:rFonts w:cs="Times New Roman"/>
                <w:noProof/>
              </w:rPr>
            </w:pPr>
            <w:r>
              <w:rPr>
                <w:noProof/>
              </w:rPr>
              <w:t>C11.R4</w:t>
            </w:r>
          </w:p>
        </w:tc>
        <w:tc>
          <w:tcPr>
            <w:tcW w:w="966" w:type="dxa"/>
            <w:shd w:val="clear" w:color="auto" w:fill="C6EFCE"/>
          </w:tcPr>
          <w:p w14:paraId="3986AFE4"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7F169F02" w14:textId="77777777" w:rsidR="003E1D81" w:rsidRDefault="00EB481C">
            <w:pPr>
              <w:pStyle w:val="P68B1DB1-Normal13"/>
              <w:rPr>
                <w:rFonts w:cs="Times New Roman"/>
                <w:noProof/>
              </w:rPr>
            </w:pPr>
            <w:r>
              <w:rPr>
                <w:noProof/>
              </w:rPr>
              <w:t>Nemzeti közbeszerzési stratégia</w:t>
            </w:r>
          </w:p>
        </w:tc>
        <w:tc>
          <w:tcPr>
            <w:tcW w:w="1442" w:type="dxa"/>
            <w:shd w:val="clear" w:color="auto" w:fill="C6EFCE"/>
          </w:tcPr>
          <w:p w14:paraId="21DF001F" w14:textId="77777777" w:rsidR="003E1D81" w:rsidRDefault="00EB481C">
            <w:pPr>
              <w:pStyle w:val="P68B1DB1-Normal13"/>
              <w:jc w:val="center"/>
              <w:rPr>
                <w:rFonts w:cs="Times New Roman"/>
                <w:noProof/>
              </w:rPr>
            </w:pPr>
            <w:r>
              <w:rPr>
                <w:noProof/>
              </w:rPr>
              <w:t>A közbeszerzés szabályozásával és felügyeletével foglalkozó független hivatal által elfogadott nemzeti közbeszerzési stratégia</w:t>
            </w:r>
          </w:p>
        </w:tc>
        <w:tc>
          <w:tcPr>
            <w:tcW w:w="1082" w:type="dxa"/>
            <w:shd w:val="clear" w:color="auto" w:fill="C6EFCE"/>
          </w:tcPr>
          <w:p w14:paraId="03146A6D"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41437DD0" w14:textId="77777777" w:rsidR="003E1D81" w:rsidRDefault="00EB481C">
            <w:pPr>
              <w:pStyle w:val="P68B1DB1-Normal13"/>
              <w:jc w:val="right"/>
              <w:rPr>
                <w:rFonts w:cs="Times New Roman"/>
                <w:noProof/>
              </w:rPr>
            </w:pPr>
            <w:r>
              <w:rPr>
                <w:noProof/>
              </w:rPr>
              <w:t xml:space="preserve"> </w:t>
            </w:r>
          </w:p>
        </w:tc>
        <w:tc>
          <w:tcPr>
            <w:tcW w:w="709" w:type="dxa"/>
            <w:shd w:val="clear" w:color="auto" w:fill="C6EFCE"/>
          </w:tcPr>
          <w:p w14:paraId="553E6077" w14:textId="77777777" w:rsidR="003E1D81" w:rsidRDefault="00EB481C">
            <w:pPr>
              <w:pStyle w:val="P68B1DB1-Normal13"/>
              <w:jc w:val="right"/>
              <w:rPr>
                <w:rFonts w:cs="Times New Roman"/>
                <w:noProof/>
              </w:rPr>
            </w:pPr>
            <w:r>
              <w:rPr>
                <w:noProof/>
              </w:rPr>
              <w:t xml:space="preserve"> </w:t>
            </w:r>
          </w:p>
        </w:tc>
        <w:tc>
          <w:tcPr>
            <w:tcW w:w="567" w:type="dxa"/>
            <w:shd w:val="clear" w:color="auto" w:fill="C6EFCE"/>
          </w:tcPr>
          <w:p w14:paraId="5507A625"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217DCF61" w14:textId="77777777" w:rsidR="003E1D81" w:rsidRDefault="00EB481C">
            <w:pPr>
              <w:pStyle w:val="P68B1DB1-Normal13"/>
              <w:jc w:val="center"/>
              <w:rPr>
                <w:rFonts w:cs="Times New Roman"/>
                <w:noProof/>
              </w:rPr>
            </w:pPr>
            <w:r>
              <w:rPr>
                <w:noProof/>
              </w:rPr>
              <w:t>2022</w:t>
            </w:r>
          </w:p>
        </w:tc>
        <w:tc>
          <w:tcPr>
            <w:tcW w:w="3998" w:type="dxa"/>
            <w:shd w:val="clear" w:color="auto" w:fill="C6EFCE"/>
          </w:tcPr>
          <w:p w14:paraId="72899254" w14:textId="77777777" w:rsidR="003E1D81" w:rsidRDefault="00EB481C">
            <w:pPr>
              <w:pStyle w:val="P68B1DB1-Normal13"/>
              <w:rPr>
                <w:rFonts w:cs="Times New Roman"/>
                <w:noProof/>
              </w:rPr>
            </w:pPr>
            <w:r>
              <w:rPr>
                <w:noProof/>
              </w:rPr>
              <w:t>A 9/2017. sz. Ley 334. cikkében foglalt követelményekkel összhangban a nemzeti közbeszerzési stratégia célja a közbeszerzés hatékonyságának és fenntarthatóságának javítása. A stratégia a következő elemeket tartalmazza: a stratégiai közbeszerzés előmozdítás</w:t>
            </w:r>
            <w:r>
              <w:rPr>
                <w:noProof/>
              </w:rPr>
              <w:t>a; professzionalizálás; a kkv-k közbeszerzéshez való hozzáférésének megkönnyítése; a rendelkezésre álló adatok javítása; a közbeszerzés hatékonyságának előmozdítása; a közbeszerzés teljes digitális átalakítása; a jogbiztonság fokozása; a közbeszerzés felüg</w:t>
            </w:r>
            <w:r>
              <w:rPr>
                <w:noProof/>
              </w:rPr>
              <w:t xml:space="preserve">yeletének és ellenőrzésének javítása, beleértve a korrupció megelőzését az azonosított kockázatok térképe alapján. </w:t>
            </w:r>
          </w:p>
        </w:tc>
      </w:tr>
      <w:tr w:rsidR="003E1D81" w14:paraId="176C6745" w14:textId="77777777">
        <w:trPr>
          <w:trHeight w:val="309"/>
        </w:trPr>
        <w:tc>
          <w:tcPr>
            <w:tcW w:w="1223" w:type="dxa"/>
            <w:shd w:val="clear" w:color="auto" w:fill="C6EFCE"/>
          </w:tcPr>
          <w:p w14:paraId="2AD3780C" w14:textId="77777777" w:rsidR="003E1D81" w:rsidRDefault="00EB481C">
            <w:pPr>
              <w:pStyle w:val="P68B1DB1-Normal13"/>
              <w:jc w:val="center"/>
              <w:rPr>
                <w:rFonts w:cs="Times New Roman"/>
                <w:noProof/>
              </w:rPr>
            </w:pPr>
            <w:r>
              <w:rPr>
                <w:noProof/>
              </w:rPr>
              <w:t>157</w:t>
            </w:r>
          </w:p>
        </w:tc>
        <w:tc>
          <w:tcPr>
            <w:tcW w:w="1448" w:type="dxa"/>
            <w:shd w:val="clear" w:color="auto" w:fill="C6EFCE"/>
          </w:tcPr>
          <w:p w14:paraId="0DB11FDB" w14:textId="77777777" w:rsidR="003E1D81" w:rsidRDefault="00EB481C">
            <w:pPr>
              <w:pStyle w:val="P68B1DB1-Normal13"/>
              <w:jc w:val="center"/>
              <w:rPr>
                <w:rFonts w:cs="Times New Roman"/>
                <w:noProof/>
              </w:rPr>
            </w:pPr>
            <w:r>
              <w:rPr>
                <w:noProof/>
              </w:rPr>
              <w:t>C11.R5</w:t>
            </w:r>
          </w:p>
        </w:tc>
        <w:tc>
          <w:tcPr>
            <w:tcW w:w="966" w:type="dxa"/>
            <w:shd w:val="clear" w:color="auto" w:fill="C6EFCE"/>
          </w:tcPr>
          <w:p w14:paraId="5F1FD093"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62918432" w14:textId="77777777" w:rsidR="003E1D81" w:rsidRDefault="00EB481C">
            <w:pPr>
              <w:pStyle w:val="P68B1DB1-Normal13"/>
              <w:rPr>
                <w:rFonts w:cs="Times New Roman"/>
                <w:noProof/>
              </w:rPr>
            </w:pPr>
            <w:r>
              <w:rPr>
                <w:noProof/>
              </w:rPr>
              <w:t xml:space="preserve">A helyreállítási, átalakítási és rezilienciaépítési terv végrehajtásáról szóló 36/2020. sz. királyi törvényerejű rendelet </w:t>
            </w:r>
            <w:r>
              <w:rPr>
                <w:noProof/>
              </w:rPr>
              <w:t>hatálybalépése</w:t>
            </w:r>
          </w:p>
        </w:tc>
        <w:tc>
          <w:tcPr>
            <w:tcW w:w="1442" w:type="dxa"/>
            <w:shd w:val="clear" w:color="auto" w:fill="C6EFCE"/>
          </w:tcPr>
          <w:p w14:paraId="0389687B" w14:textId="77777777" w:rsidR="003E1D81" w:rsidRDefault="00EB481C">
            <w:pPr>
              <w:pStyle w:val="P68B1DB1-Normal13"/>
              <w:jc w:val="center"/>
              <w:rPr>
                <w:rFonts w:cs="Times New Roman"/>
                <w:noProof/>
              </w:rPr>
            </w:pPr>
            <w:r>
              <w:rPr>
                <w:noProof/>
              </w:rPr>
              <w:t>A királyi rendelet hatálybalépésére vonatkozó rendelkezése</w:t>
            </w:r>
          </w:p>
        </w:tc>
        <w:tc>
          <w:tcPr>
            <w:tcW w:w="1082" w:type="dxa"/>
            <w:shd w:val="clear" w:color="auto" w:fill="C6EFCE"/>
          </w:tcPr>
          <w:p w14:paraId="4979E2E4"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6402251C" w14:textId="77777777" w:rsidR="003E1D81" w:rsidRDefault="00EB481C">
            <w:pPr>
              <w:pStyle w:val="P68B1DB1-Normal13"/>
              <w:jc w:val="right"/>
              <w:rPr>
                <w:rFonts w:cs="Times New Roman"/>
                <w:noProof/>
              </w:rPr>
            </w:pPr>
            <w:r>
              <w:rPr>
                <w:noProof/>
              </w:rPr>
              <w:t xml:space="preserve"> </w:t>
            </w:r>
          </w:p>
        </w:tc>
        <w:tc>
          <w:tcPr>
            <w:tcW w:w="709" w:type="dxa"/>
            <w:shd w:val="clear" w:color="auto" w:fill="C6EFCE"/>
          </w:tcPr>
          <w:p w14:paraId="41568CAC" w14:textId="77777777" w:rsidR="003E1D81" w:rsidRDefault="00EB481C">
            <w:pPr>
              <w:pStyle w:val="P68B1DB1-Normal13"/>
              <w:jc w:val="right"/>
              <w:rPr>
                <w:rFonts w:cs="Times New Roman"/>
                <w:noProof/>
              </w:rPr>
            </w:pPr>
            <w:r>
              <w:rPr>
                <w:noProof/>
              </w:rPr>
              <w:t xml:space="preserve"> </w:t>
            </w:r>
          </w:p>
        </w:tc>
        <w:tc>
          <w:tcPr>
            <w:tcW w:w="567" w:type="dxa"/>
            <w:shd w:val="clear" w:color="auto" w:fill="C6EFCE"/>
          </w:tcPr>
          <w:p w14:paraId="305F72BC"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58C15E60" w14:textId="77777777" w:rsidR="003E1D81" w:rsidRDefault="00EB481C">
            <w:pPr>
              <w:pStyle w:val="P68B1DB1-Normal13"/>
              <w:jc w:val="center"/>
              <w:rPr>
                <w:rFonts w:cs="Times New Roman"/>
                <w:noProof/>
              </w:rPr>
            </w:pPr>
            <w:r>
              <w:rPr>
                <w:noProof/>
              </w:rPr>
              <w:t>2021</w:t>
            </w:r>
          </w:p>
        </w:tc>
        <w:tc>
          <w:tcPr>
            <w:tcW w:w="3998" w:type="dxa"/>
            <w:shd w:val="clear" w:color="auto" w:fill="C6EFCE"/>
          </w:tcPr>
          <w:p w14:paraId="0D4E7F0A" w14:textId="77777777" w:rsidR="003E1D81" w:rsidRDefault="00EB481C">
            <w:pPr>
              <w:pStyle w:val="P68B1DB1-Normal13"/>
              <w:rPr>
                <w:rFonts w:cs="Times New Roman"/>
                <w:noProof/>
              </w:rPr>
            </w:pPr>
            <w:r>
              <w:rPr>
                <w:noProof/>
              </w:rPr>
              <w:t xml:space="preserve">A közigazgatás korszerűsítésére, valamint a spanyol helyreállítási és rezilienciaépítési terv végrehajtására irányuló sürgős intézkedések jóváhagyásáról szóló, </w:t>
            </w:r>
            <w:r>
              <w:rPr>
                <w:noProof/>
              </w:rPr>
              <w:t xml:space="preserve">december 30-i 36/2020. sz. királyi törvényerejű rendelet hatálybalépése, amely eszközöket – többek között jogi eszközöket – biztosít Spanyolország közigazgatási szervei számára a helyreállítási és rezilienciaépítési terv időben történő és az uniós joggal, </w:t>
            </w:r>
            <w:r>
              <w:rPr>
                <w:noProof/>
              </w:rPr>
              <w:t>többek között a Helyreállítási és Rezilienciaépítési Eszközről szóló rendelettel összhangban történő végrehajtásához. A királyi törvényerejű rendelet olyan szabályozási reformokat vezet be, amelyek felgyorsítják a projektek végrehajtását és nagyobb hatékon</w:t>
            </w:r>
            <w:r>
              <w:rPr>
                <w:noProof/>
              </w:rPr>
              <w:t>yságot tesznek lehetővé a közkiadások terén, mindenkor fenntartva az uniós szabályozási keret által előírt garanciákat és ellenőrzéseket.</w:t>
            </w:r>
          </w:p>
        </w:tc>
      </w:tr>
      <w:tr w:rsidR="003E1D81" w14:paraId="1021F9E9" w14:textId="77777777">
        <w:trPr>
          <w:trHeight w:val="309"/>
        </w:trPr>
        <w:tc>
          <w:tcPr>
            <w:tcW w:w="1223" w:type="dxa"/>
            <w:shd w:val="clear" w:color="auto" w:fill="C6EFCE"/>
          </w:tcPr>
          <w:p w14:paraId="34C2843B" w14:textId="77777777" w:rsidR="003E1D81" w:rsidRDefault="00EB481C">
            <w:pPr>
              <w:pStyle w:val="P68B1DB1-Normal13"/>
              <w:jc w:val="center"/>
              <w:rPr>
                <w:rFonts w:cs="Times New Roman"/>
                <w:noProof/>
              </w:rPr>
            </w:pPr>
            <w:r>
              <w:rPr>
                <w:noProof/>
              </w:rPr>
              <w:t>158</w:t>
            </w:r>
          </w:p>
        </w:tc>
        <w:tc>
          <w:tcPr>
            <w:tcW w:w="1448" w:type="dxa"/>
            <w:shd w:val="clear" w:color="auto" w:fill="C6EFCE"/>
          </w:tcPr>
          <w:p w14:paraId="25578DD2" w14:textId="77777777" w:rsidR="003E1D81" w:rsidRDefault="00EB481C">
            <w:pPr>
              <w:pStyle w:val="P68B1DB1-Normal13"/>
              <w:jc w:val="center"/>
              <w:rPr>
                <w:rFonts w:cs="Times New Roman"/>
                <w:noProof/>
              </w:rPr>
            </w:pPr>
            <w:r>
              <w:rPr>
                <w:noProof/>
              </w:rPr>
              <w:t>C11.R5</w:t>
            </w:r>
          </w:p>
        </w:tc>
        <w:tc>
          <w:tcPr>
            <w:tcW w:w="966" w:type="dxa"/>
            <w:shd w:val="clear" w:color="auto" w:fill="C6EFCE"/>
          </w:tcPr>
          <w:p w14:paraId="2AE88895"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35CC870F" w14:textId="77777777" w:rsidR="003E1D81" w:rsidRDefault="00EB481C">
            <w:pPr>
              <w:pStyle w:val="P68B1DB1-Normal13"/>
              <w:rPr>
                <w:rFonts w:cs="Times New Roman"/>
                <w:noProof/>
              </w:rPr>
            </w:pPr>
            <w:r>
              <w:rPr>
                <w:noProof/>
              </w:rPr>
              <w:t xml:space="preserve">Új szervek létrehozása a központi kormányzaton belül a terv végrehajtásának, ellenőrzésének és </w:t>
            </w:r>
            <w:r>
              <w:rPr>
                <w:noProof/>
              </w:rPr>
              <w:t>ellenőrzésének nyomon követésére.</w:t>
            </w:r>
          </w:p>
        </w:tc>
        <w:tc>
          <w:tcPr>
            <w:tcW w:w="1442" w:type="dxa"/>
            <w:shd w:val="clear" w:color="auto" w:fill="C6EFCE"/>
          </w:tcPr>
          <w:p w14:paraId="02661681" w14:textId="77777777" w:rsidR="003E1D81" w:rsidRDefault="00EB481C">
            <w:pPr>
              <w:pStyle w:val="P68B1DB1-Normal13"/>
              <w:jc w:val="center"/>
              <w:rPr>
                <w:rFonts w:cs="Times New Roman"/>
                <w:noProof/>
              </w:rPr>
            </w:pPr>
            <w:r>
              <w:rPr>
                <w:noProof/>
              </w:rPr>
              <w:t>Közzététel a HL-ben</w:t>
            </w:r>
          </w:p>
        </w:tc>
        <w:tc>
          <w:tcPr>
            <w:tcW w:w="1082" w:type="dxa"/>
            <w:shd w:val="clear" w:color="auto" w:fill="C6EFCE"/>
          </w:tcPr>
          <w:p w14:paraId="217A145A" w14:textId="77777777" w:rsidR="003E1D81" w:rsidRDefault="00EB481C">
            <w:pPr>
              <w:pStyle w:val="P68B1DB1-Normal13"/>
              <w:jc w:val="right"/>
              <w:rPr>
                <w:rFonts w:cs="Times New Roman"/>
                <w:noProof/>
              </w:rPr>
            </w:pPr>
            <w:r>
              <w:rPr>
                <w:noProof/>
              </w:rPr>
              <w:t> </w:t>
            </w:r>
          </w:p>
        </w:tc>
        <w:tc>
          <w:tcPr>
            <w:tcW w:w="708" w:type="dxa"/>
            <w:shd w:val="clear" w:color="auto" w:fill="C6EFCE"/>
          </w:tcPr>
          <w:p w14:paraId="636B9118" w14:textId="77777777" w:rsidR="003E1D81" w:rsidRDefault="00EB481C">
            <w:pPr>
              <w:pStyle w:val="P68B1DB1-Normal13"/>
              <w:jc w:val="right"/>
              <w:rPr>
                <w:rFonts w:cs="Times New Roman"/>
                <w:noProof/>
              </w:rPr>
            </w:pPr>
            <w:r>
              <w:rPr>
                <w:noProof/>
              </w:rPr>
              <w:t> </w:t>
            </w:r>
          </w:p>
        </w:tc>
        <w:tc>
          <w:tcPr>
            <w:tcW w:w="709" w:type="dxa"/>
            <w:shd w:val="clear" w:color="auto" w:fill="C6EFCE"/>
          </w:tcPr>
          <w:p w14:paraId="30AA32BE" w14:textId="77777777" w:rsidR="003E1D81" w:rsidRDefault="00EB481C">
            <w:pPr>
              <w:pStyle w:val="P68B1DB1-Normal13"/>
              <w:jc w:val="right"/>
              <w:rPr>
                <w:rFonts w:cs="Times New Roman"/>
                <w:noProof/>
              </w:rPr>
            </w:pPr>
            <w:r>
              <w:rPr>
                <w:noProof/>
              </w:rPr>
              <w:t> </w:t>
            </w:r>
          </w:p>
        </w:tc>
        <w:tc>
          <w:tcPr>
            <w:tcW w:w="567" w:type="dxa"/>
            <w:shd w:val="clear" w:color="auto" w:fill="C6EFCE"/>
          </w:tcPr>
          <w:p w14:paraId="0C696184" w14:textId="77777777" w:rsidR="003E1D81" w:rsidRDefault="00EB481C">
            <w:pPr>
              <w:pStyle w:val="P68B1DB1-Normal13"/>
              <w:jc w:val="center"/>
              <w:rPr>
                <w:rFonts w:cs="Times New Roman"/>
                <w:noProof/>
              </w:rPr>
            </w:pPr>
            <w:r>
              <w:rPr>
                <w:noProof/>
              </w:rPr>
              <w:t>KÉRDÉS</w:t>
            </w:r>
          </w:p>
        </w:tc>
        <w:tc>
          <w:tcPr>
            <w:tcW w:w="822" w:type="dxa"/>
            <w:shd w:val="clear" w:color="auto" w:fill="C6EFCE"/>
          </w:tcPr>
          <w:p w14:paraId="41CECB29" w14:textId="77777777" w:rsidR="003E1D81" w:rsidRDefault="00EB481C">
            <w:pPr>
              <w:pStyle w:val="P68B1DB1-Normal13"/>
              <w:jc w:val="center"/>
              <w:rPr>
                <w:rFonts w:cs="Times New Roman"/>
                <w:noProof/>
              </w:rPr>
            </w:pPr>
            <w:r>
              <w:rPr>
                <w:noProof/>
              </w:rPr>
              <w:t>2021</w:t>
            </w:r>
          </w:p>
        </w:tc>
        <w:tc>
          <w:tcPr>
            <w:tcW w:w="3998" w:type="dxa"/>
            <w:shd w:val="clear" w:color="auto" w:fill="C6EFCE"/>
          </w:tcPr>
          <w:p w14:paraId="3554C54D" w14:textId="77777777" w:rsidR="003E1D81" w:rsidRDefault="00EB481C">
            <w:pPr>
              <w:pStyle w:val="P68B1DB1-Normal13"/>
              <w:rPr>
                <w:rFonts w:cs="Times New Roman"/>
                <w:noProof/>
              </w:rPr>
            </w:pPr>
            <w:r>
              <w:rPr>
                <w:noProof/>
              </w:rPr>
              <w:t xml:space="preserve">Az európai alapok főtitkárának (Secretaría General de Fondos Europeos) létrehozása, valamint a Költségvetési Informática Presupuestaria (Oficina de Informática Presupuestaria) és az Államigazgatási Főszámvevőszék (Intervención General de la Administración </w:t>
            </w:r>
            <w:r>
              <w:rPr>
                <w:noProof/>
              </w:rPr>
              <w:t xml:space="preserve">del Estado) Nemzeti Számvevőszéke (Oficina de Informática Presupuestaria) új részlegeinek létrehozása a hosszú távú, teljesítményalapú tervezés és ellenőrzés előmozdítása érdekében, a terv irányítása és ellenőrzése terén szerzett tapasztalatok révén és az </w:t>
            </w:r>
            <w:r>
              <w:rPr>
                <w:noProof/>
              </w:rPr>
              <w:t>1182/2020. sz. királyi rendelet rendelkezéseivel összhangban.</w:t>
            </w:r>
          </w:p>
        </w:tc>
      </w:tr>
      <w:tr w:rsidR="003E1D81" w14:paraId="5F77562F" w14:textId="77777777">
        <w:trPr>
          <w:trHeight w:val="309"/>
        </w:trPr>
        <w:tc>
          <w:tcPr>
            <w:tcW w:w="1223" w:type="dxa"/>
            <w:shd w:val="clear" w:color="auto" w:fill="C6EFCE"/>
          </w:tcPr>
          <w:p w14:paraId="027D1872" w14:textId="77777777" w:rsidR="003E1D81" w:rsidRDefault="00EB481C">
            <w:pPr>
              <w:pStyle w:val="P68B1DB1-Normal13"/>
              <w:jc w:val="center"/>
              <w:rPr>
                <w:rFonts w:cs="Times New Roman"/>
                <w:noProof/>
              </w:rPr>
            </w:pPr>
            <w:r>
              <w:rPr>
                <w:noProof/>
              </w:rPr>
              <w:t>159</w:t>
            </w:r>
          </w:p>
        </w:tc>
        <w:tc>
          <w:tcPr>
            <w:tcW w:w="1448" w:type="dxa"/>
            <w:shd w:val="clear" w:color="auto" w:fill="C6EFCE"/>
          </w:tcPr>
          <w:p w14:paraId="141F74C1" w14:textId="77777777" w:rsidR="003E1D81" w:rsidRDefault="00EB481C">
            <w:pPr>
              <w:pStyle w:val="P68B1DB1-Normal13"/>
              <w:jc w:val="center"/>
              <w:rPr>
                <w:rFonts w:cs="Times New Roman"/>
                <w:noProof/>
              </w:rPr>
            </w:pPr>
            <w:r>
              <w:rPr>
                <w:noProof/>
              </w:rPr>
              <w:t>C11.R5</w:t>
            </w:r>
          </w:p>
        </w:tc>
        <w:tc>
          <w:tcPr>
            <w:tcW w:w="966" w:type="dxa"/>
            <w:shd w:val="clear" w:color="auto" w:fill="C6EFCE"/>
          </w:tcPr>
          <w:p w14:paraId="15CED175"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3A46289B" w14:textId="77777777" w:rsidR="003E1D81" w:rsidRDefault="00EB481C">
            <w:pPr>
              <w:pStyle w:val="P68B1DB1-Normal13"/>
              <w:rPr>
                <w:rFonts w:cs="Times New Roman"/>
                <w:noProof/>
              </w:rPr>
            </w:pPr>
            <w:r>
              <w:rPr>
                <w:noProof/>
              </w:rPr>
              <w:t xml:space="preserve">A helyreállítási és rezilienciaépítési terv nyomon követése és a kiadások számviteli végrehajtásának nyomon követése céljából megosztandó információk formátumát és eljárásait </w:t>
            </w:r>
            <w:r>
              <w:rPr>
                <w:noProof/>
              </w:rPr>
              <w:t>meghatározó sorrend</w:t>
            </w:r>
          </w:p>
        </w:tc>
        <w:tc>
          <w:tcPr>
            <w:tcW w:w="1442" w:type="dxa"/>
            <w:shd w:val="clear" w:color="auto" w:fill="C6EFCE"/>
          </w:tcPr>
          <w:p w14:paraId="30909781" w14:textId="77777777" w:rsidR="003E1D81" w:rsidRDefault="00EB481C">
            <w:pPr>
              <w:pStyle w:val="P68B1DB1-Normal13"/>
              <w:jc w:val="center"/>
              <w:rPr>
                <w:rFonts w:cs="Times New Roman"/>
                <w:noProof/>
              </w:rPr>
            </w:pPr>
            <w:r>
              <w:rPr>
                <w:noProof/>
              </w:rPr>
              <w:t>A végzés hatálybalépésének sorrendjében szereplő rendelkezés</w:t>
            </w:r>
          </w:p>
        </w:tc>
        <w:tc>
          <w:tcPr>
            <w:tcW w:w="1082" w:type="dxa"/>
            <w:shd w:val="clear" w:color="auto" w:fill="C6EFCE"/>
          </w:tcPr>
          <w:p w14:paraId="3610F77F" w14:textId="77777777" w:rsidR="003E1D81" w:rsidRDefault="00EB481C">
            <w:pPr>
              <w:pStyle w:val="P68B1DB1-Normal13"/>
              <w:jc w:val="right"/>
              <w:rPr>
                <w:rFonts w:cs="Times New Roman"/>
                <w:noProof/>
              </w:rPr>
            </w:pPr>
            <w:r>
              <w:rPr>
                <w:noProof/>
              </w:rPr>
              <w:t> </w:t>
            </w:r>
          </w:p>
        </w:tc>
        <w:tc>
          <w:tcPr>
            <w:tcW w:w="708" w:type="dxa"/>
            <w:shd w:val="clear" w:color="auto" w:fill="C6EFCE"/>
          </w:tcPr>
          <w:p w14:paraId="43F38F7D" w14:textId="77777777" w:rsidR="003E1D81" w:rsidRDefault="00EB481C">
            <w:pPr>
              <w:pStyle w:val="P68B1DB1-Normal13"/>
              <w:jc w:val="right"/>
              <w:rPr>
                <w:rFonts w:cs="Times New Roman"/>
                <w:noProof/>
              </w:rPr>
            </w:pPr>
            <w:r>
              <w:rPr>
                <w:noProof/>
              </w:rPr>
              <w:t> </w:t>
            </w:r>
          </w:p>
        </w:tc>
        <w:tc>
          <w:tcPr>
            <w:tcW w:w="709" w:type="dxa"/>
            <w:shd w:val="clear" w:color="auto" w:fill="C6EFCE"/>
          </w:tcPr>
          <w:p w14:paraId="71D48BC5" w14:textId="77777777" w:rsidR="003E1D81" w:rsidRDefault="00EB481C">
            <w:pPr>
              <w:pStyle w:val="P68B1DB1-Normal13"/>
              <w:jc w:val="right"/>
              <w:rPr>
                <w:rFonts w:cs="Times New Roman"/>
                <w:noProof/>
              </w:rPr>
            </w:pPr>
            <w:r>
              <w:rPr>
                <w:noProof/>
              </w:rPr>
              <w:t> </w:t>
            </w:r>
          </w:p>
        </w:tc>
        <w:tc>
          <w:tcPr>
            <w:tcW w:w="567" w:type="dxa"/>
            <w:shd w:val="clear" w:color="auto" w:fill="C6EFCE"/>
          </w:tcPr>
          <w:p w14:paraId="0202EAD9"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44F8380F" w14:textId="77777777" w:rsidR="003E1D81" w:rsidRDefault="00EB481C">
            <w:pPr>
              <w:pStyle w:val="P68B1DB1-Normal13"/>
              <w:jc w:val="center"/>
              <w:rPr>
                <w:rFonts w:cs="Times New Roman"/>
                <w:noProof/>
              </w:rPr>
            </w:pPr>
            <w:r>
              <w:rPr>
                <w:noProof/>
              </w:rPr>
              <w:t>2021</w:t>
            </w:r>
          </w:p>
        </w:tc>
        <w:tc>
          <w:tcPr>
            <w:tcW w:w="3998" w:type="dxa"/>
            <w:shd w:val="clear" w:color="auto" w:fill="C6EFCE"/>
          </w:tcPr>
          <w:p w14:paraId="018B7E42" w14:textId="77777777" w:rsidR="003E1D81" w:rsidRDefault="00EB481C">
            <w:pPr>
              <w:pStyle w:val="P68B1DB1-Normal13"/>
              <w:rPr>
                <w:rFonts w:cs="Times New Roman"/>
                <w:noProof/>
              </w:rPr>
            </w:pPr>
            <w:r>
              <w:rPr>
                <w:noProof/>
              </w:rPr>
              <w:t xml:space="preserve">A helyreállítási és rezilienciaépítési terv nyomon követése és a kiadások számviteli végrehajtásának nyomon követése céljából megosztandó információk </w:t>
            </w:r>
            <w:r>
              <w:rPr>
                <w:noProof/>
              </w:rPr>
              <w:t>formátumát és eljárásait meghatározó rendelet hatálybalépése</w:t>
            </w:r>
          </w:p>
        </w:tc>
      </w:tr>
      <w:tr w:rsidR="003E1D81" w14:paraId="54A913DA" w14:textId="77777777">
        <w:trPr>
          <w:trHeight w:val="309"/>
        </w:trPr>
        <w:tc>
          <w:tcPr>
            <w:tcW w:w="1223" w:type="dxa"/>
            <w:shd w:val="clear" w:color="auto" w:fill="C6EFCE"/>
          </w:tcPr>
          <w:p w14:paraId="0032295D" w14:textId="77777777" w:rsidR="003E1D81" w:rsidRDefault="00EB481C">
            <w:pPr>
              <w:pStyle w:val="P68B1DB1-Normal13"/>
              <w:jc w:val="center"/>
              <w:rPr>
                <w:rFonts w:cs="Times New Roman"/>
                <w:noProof/>
              </w:rPr>
            </w:pPr>
            <w:r>
              <w:rPr>
                <w:noProof/>
              </w:rPr>
              <w:t>160</w:t>
            </w:r>
          </w:p>
        </w:tc>
        <w:tc>
          <w:tcPr>
            <w:tcW w:w="1448" w:type="dxa"/>
            <w:shd w:val="clear" w:color="auto" w:fill="C6EFCE"/>
          </w:tcPr>
          <w:p w14:paraId="1F697D06" w14:textId="77777777" w:rsidR="003E1D81" w:rsidRDefault="00EB481C">
            <w:pPr>
              <w:pStyle w:val="P68B1DB1-Normal13"/>
              <w:jc w:val="center"/>
              <w:rPr>
                <w:rFonts w:cs="Times New Roman"/>
                <w:noProof/>
              </w:rPr>
            </w:pPr>
            <w:r>
              <w:rPr>
                <w:noProof/>
              </w:rPr>
              <w:t>C11.I1</w:t>
            </w:r>
          </w:p>
        </w:tc>
        <w:tc>
          <w:tcPr>
            <w:tcW w:w="966" w:type="dxa"/>
            <w:shd w:val="clear" w:color="auto" w:fill="C6EFCE"/>
          </w:tcPr>
          <w:p w14:paraId="2CEE176A"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45050344" w14:textId="77777777" w:rsidR="003E1D81" w:rsidRDefault="00EB481C">
            <w:pPr>
              <w:pStyle w:val="P68B1DB1-Normal13"/>
              <w:rPr>
                <w:rFonts w:cs="Times New Roman"/>
                <w:noProof/>
              </w:rPr>
            </w:pPr>
            <w:r>
              <w:rPr>
                <w:noProof/>
              </w:rPr>
              <w:t>A nemzeti közbeszerzési platformok összekapcsolása</w:t>
            </w:r>
          </w:p>
        </w:tc>
        <w:tc>
          <w:tcPr>
            <w:tcW w:w="1442" w:type="dxa"/>
            <w:shd w:val="clear" w:color="auto" w:fill="C6EFCE"/>
          </w:tcPr>
          <w:p w14:paraId="6C5B25A9" w14:textId="77777777" w:rsidR="003E1D81" w:rsidRDefault="00EB481C">
            <w:pPr>
              <w:pStyle w:val="P68B1DB1-Normal13"/>
              <w:jc w:val="center"/>
              <w:rPr>
                <w:rFonts w:cs="Times New Roman"/>
                <w:noProof/>
              </w:rPr>
            </w:pPr>
            <w:r>
              <w:rPr>
                <w:noProof/>
              </w:rPr>
              <w:t xml:space="preserve">A központi és regionális közigazgatási szervek aláírt tanúsítványokkal igazolják a platform működését </w:t>
            </w:r>
          </w:p>
        </w:tc>
        <w:tc>
          <w:tcPr>
            <w:tcW w:w="1082" w:type="dxa"/>
            <w:shd w:val="clear" w:color="auto" w:fill="C6EFCE"/>
          </w:tcPr>
          <w:p w14:paraId="7FC0BC0D"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1FFB4213" w14:textId="77777777" w:rsidR="003E1D81" w:rsidRDefault="00EB481C">
            <w:pPr>
              <w:pStyle w:val="P68B1DB1-Normal13"/>
              <w:jc w:val="right"/>
              <w:rPr>
                <w:rFonts w:cs="Times New Roman"/>
                <w:noProof/>
              </w:rPr>
            </w:pPr>
            <w:r>
              <w:rPr>
                <w:noProof/>
              </w:rPr>
              <w:t> </w:t>
            </w:r>
          </w:p>
        </w:tc>
        <w:tc>
          <w:tcPr>
            <w:tcW w:w="709" w:type="dxa"/>
            <w:shd w:val="clear" w:color="auto" w:fill="C6EFCE"/>
          </w:tcPr>
          <w:p w14:paraId="0522966B" w14:textId="77777777" w:rsidR="003E1D81" w:rsidRDefault="00EB481C">
            <w:pPr>
              <w:pStyle w:val="P68B1DB1-Normal13"/>
              <w:jc w:val="right"/>
              <w:rPr>
                <w:rFonts w:cs="Times New Roman"/>
                <w:noProof/>
              </w:rPr>
            </w:pPr>
            <w:r>
              <w:rPr>
                <w:noProof/>
              </w:rPr>
              <w:t> </w:t>
            </w:r>
          </w:p>
        </w:tc>
        <w:tc>
          <w:tcPr>
            <w:tcW w:w="567" w:type="dxa"/>
            <w:shd w:val="clear" w:color="auto" w:fill="C6EFCE"/>
          </w:tcPr>
          <w:p w14:paraId="1AF12D3D"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316130A3" w14:textId="77777777" w:rsidR="003E1D81" w:rsidRDefault="00EB481C">
            <w:pPr>
              <w:pStyle w:val="P68B1DB1-Normal13"/>
              <w:jc w:val="center"/>
              <w:rPr>
                <w:rFonts w:cs="Times New Roman"/>
                <w:noProof/>
              </w:rPr>
            </w:pPr>
            <w:r>
              <w:rPr>
                <w:noProof/>
              </w:rPr>
              <w:t>2023</w:t>
            </w:r>
          </w:p>
        </w:tc>
        <w:tc>
          <w:tcPr>
            <w:tcW w:w="3998" w:type="dxa"/>
            <w:shd w:val="clear" w:color="auto" w:fill="C6EFCE"/>
          </w:tcPr>
          <w:p w14:paraId="7893AEE2" w14:textId="77777777" w:rsidR="003E1D81" w:rsidRDefault="00EB481C">
            <w:pPr>
              <w:pStyle w:val="P68B1DB1-Normal13"/>
              <w:rPr>
                <w:rFonts w:cs="Times New Roman"/>
                <w:noProof/>
              </w:rPr>
            </w:pPr>
            <w:r>
              <w:rPr>
                <w:noProof/>
              </w:rPr>
              <w:t xml:space="preserve">További összekapcsolás (adatcsere) valamennyi meglévő közbeszerzési platform között (központi és regionális kormányzat): legalább 142 nyílt adatmező és 52 összesített adat a központi kormányzati platformon. </w:t>
            </w:r>
            <w:r>
              <w:rPr>
                <w:noProof/>
              </w:rPr>
              <w:br/>
              <w:t>A központi kormányzati platform nyílt adatmezőin</w:t>
            </w:r>
            <w:r>
              <w:rPr>
                <w:noProof/>
              </w:rPr>
              <w:t>ek száma 2021 januárjában: 119</w:t>
            </w:r>
            <w:r>
              <w:rPr>
                <w:noProof/>
              </w:rPr>
              <w:br/>
              <w:t>Az összesített adatok száma a központi kormányzati platformon 2021 januárjában: 43</w:t>
            </w:r>
          </w:p>
        </w:tc>
      </w:tr>
      <w:tr w:rsidR="003E1D81" w14:paraId="53019A9A" w14:textId="77777777">
        <w:trPr>
          <w:trHeight w:val="309"/>
        </w:trPr>
        <w:tc>
          <w:tcPr>
            <w:tcW w:w="1223" w:type="dxa"/>
            <w:shd w:val="clear" w:color="auto" w:fill="C6EFCE"/>
          </w:tcPr>
          <w:p w14:paraId="756B86DB" w14:textId="77777777" w:rsidR="003E1D81" w:rsidRDefault="00EB481C">
            <w:pPr>
              <w:pStyle w:val="P68B1DB1-Normal13"/>
              <w:jc w:val="center"/>
              <w:rPr>
                <w:rFonts w:cs="Times New Roman"/>
                <w:noProof/>
              </w:rPr>
            </w:pPr>
            <w:r>
              <w:rPr>
                <w:noProof/>
              </w:rPr>
              <w:t>161</w:t>
            </w:r>
          </w:p>
        </w:tc>
        <w:tc>
          <w:tcPr>
            <w:tcW w:w="1448" w:type="dxa"/>
            <w:shd w:val="clear" w:color="auto" w:fill="C6EFCE"/>
          </w:tcPr>
          <w:p w14:paraId="392178A5" w14:textId="77777777" w:rsidR="003E1D81" w:rsidRDefault="00EB481C">
            <w:pPr>
              <w:pStyle w:val="P68B1DB1-Normal13"/>
              <w:jc w:val="center"/>
              <w:rPr>
                <w:rFonts w:cs="Times New Roman"/>
                <w:noProof/>
              </w:rPr>
            </w:pPr>
            <w:r>
              <w:rPr>
                <w:noProof/>
              </w:rPr>
              <w:t>C11.I1</w:t>
            </w:r>
          </w:p>
        </w:tc>
        <w:tc>
          <w:tcPr>
            <w:tcW w:w="966" w:type="dxa"/>
            <w:shd w:val="clear" w:color="auto" w:fill="C6EFCE"/>
          </w:tcPr>
          <w:p w14:paraId="541E19CC" w14:textId="77777777" w:rsidR="003E1D81" w:rsidRDefault="00EB481C">
            <w:pPr>
              <w:pStyle w:val="P68B1DB1-Normal13"/>
              <w:jc w:val="center"/>
              <w:rPr>
                <w:rFonts w:cs="Times New Roman"/>
                <w:noProof/>
              </w:rPr>
            </w:pPr>
            <w:r>
              <w:rPr>
                <w:noProof/>
              </w:rPr>
              <w:t>T</w:t>
            </w:r>
          </w:p>
        </w:tc>
        <w:tc>
          <w:tcPr>
            <w:tcW w:w="1631" w:type="dxa"/>
            <w:shd w:val="clear" w:color="auto" w:fill="C6EFCE"/>
          </w:tcPr>
          <w:p w14:paraId="21D0885E" w14:textId="77777777" w:rsidR="003E1D81" w:rsidRDefault="00EB481C">
            <w:pPr>
              <w:pStyle w:val="P68B1DB1-Normal13"/>
              <w:rPr>
                <w:rFonts w:cs="Times New Roman"/>
                <w:noProof/>
              </w:rPr>
            </w:pPr>
            <w:r>
              <w:rPr>
                <w:noProof/>
              </w:rPr>
              <w:t>A központi közigazgatás digitális átalakítását támogató projektek odaítélése</w:t>
            </w:r>
          </w:p>
        </w:tc>
        <w:tc>
          <w:tcPr>
            <w:tcW w:w="1442" w:type="dxa"/>
            <w:shd w:val="clear" w:color="auto" w:fill="C6EFCE"/>
          </w:tcPr>
          <w:p w14:paraId="580C4F25" w14:textId="77777777" w:rsidR="003E1D81" w:rsidRDefault="00EB481C">
            <w:pPr>
              <w:pStyle w:val="P68B1DB1-Normal13"/>
              <w:jc w:val="center"/>
              <w:rPr>
                <w:rFonts w:cs="Times New Roman"/>
                <w:noProof/>
              </w:rPr>
            </w:pPr>
            <w:r>
              <w:rPr>
                <w:noProof/>
              </w:rPr>
              <w:t> </w:t>
            </w:r>
          </w:p>
        </w:tc>
        <w:tc>
          <w:tcPr>
            <w:tcW w:w="1082" w:type="dxa"/>
            <w:shd w:val="clear" w:color="auto" w:fill="C6EFCE"/>
          </w:tcPr>
          <w:p w14:paraId="6B4525D7" w14:textId="77777777" w:rsidR="003E1D81" w:rsidRDefault="00EB481C">
            <w:pPr>
              <w:pStyle w:val="P68B1DB1-Normal13"/>
              <w:jc w:val="right"/>
              <w:rPr>
                <w:rFonts w:cs="Times New Roman"/>
                <w:noProof/>
              </w:rPr>
            </w:pPr>
            <w:r>
              <w:rPr>
                <w:noProof/>
              </w:rPr>
              <w:t>Millió EUR</w:t>
            </w:r>
          </w:p>
        </w:tc>
        <w:tc>
          <w:tcPr>
            <w:tcW w:w="708" w:type="dxa"/>
            <w:shd w:val="clear" w:color="auto" w:fill="C6EFCE"/>
          </w:tcPr>
          <w:p w14:paraId="56C99C6B" w14:textId="77777777" w:rsidR="003E1D81" w:rsidRDefault="00EB481C">
            <w:pPr>
              <w:pStyle w:val="P68B1DB1-Normal13"/>
              <w:jc w:val="right"/>
              <w:rPr>
                <w:rFonts w:cs="Times New Roman"/>
                <w:noProof/>
              </w:rPr>
            </w:pPr>
            <w:r>
              <w:rPr>
                <w:noProof/>
              </w:rPr>
              <w:t>0</w:t>
            </w:r>
          </w:p>
        </w:tc>
        <w:tc>
          <w:tcPr>
            <w:tcW w:w="709" w:type="dxa"/>
            <w:shd w:val="clear" w:color="auto" w:fill="C6EFCE"/>
          </w:tcPr>
          <w:p w14:paraId="0F82A3B1" w14:textId="77777777" w:rsidR="003E1D81" w:rsidRDefault="00EB481C">
            <w:pPr>
              <w:pStyle w:val="P68B1DB1-Normal13"/>
              <w:jc w:val="right"/>
              <w:rPr>
                <w:rFonts w:cs="Times New Roman"/>
                <w:noProof/>
              </w:rPr>
            </w:pPr>
            <w:r>
              <w:rPr>
                <w:noProof/>
              </w:rPr>
              <w:t>960</w:t>
            </w:r>
          </w:p>
        </w:tc>
        <w:tc>
          <w:tcPr>
            <w:tcW w:w="567" w:type="dxa"/>
            <w:shd w:val="clear" w:color="auto" w:fill="C6EFCE"/>
          </w:tcPr>
          <w:p w14:paraId="21CE8994"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0B80C929" w14:textId="77777777" w:rsidR="003E1D81" w:rsidRDefault="00EB481C">
            <w:pPr>
              <w:pStyle w:val="P68B1DB1-Normal13"/>
              <w:jc w:val="center"/>
              <w:rPr>
                <w:rFonts w:cs="Times New Roman"/>
                <w:noProof/>
              </w:rPr>
            </w:pPr>
            <w:r>
              <w:rPr>
                <w:noProof/>
              </w:rPr>
              <w:t>2023</w:t>
            </w:r>
          </w:p>
        </w:tc>
        <w:tc>
          <w:tcPr>
            <w:tcW w:w="3998" w:type="dxa"/>
            <w:shd w:val="clear" w:color="auto" w:fill="C6EFCE"/>
          </w:tcPr>
          <w:p w14:paraId="66B1EDED" w14:textId="77777777" w:rsidR="003E1D81" w:rsidRDefault="00EB481C">
            <w:pPr>
              <w:pStyle w:val="P68B1DB1-Normal13"/>
              <w:rPr>
                <w:rFonts w:cs="Times New Roman"/>
                <w:noProof/>
              </w:rPr>
            </w:pPr>
            <w:r>
              <w:rPr>
                <w:noProof/>
              </w:rPr>
              <w:t xml:space="preserve">Legalább 960 000 000 EUR odaítélésének közzététele a Hivatalos Lapban vagy a közbeszerzési platformon olyan projektekben, amelyek a következő területeket fedik le: </w:t>
            </w:r>
            <w:r>
              <w:rPr>
                <w:noProof/>
              </w:rPr>
              <w:br/>
              <w:t>Digitális átalakulás a proaktivitás, a mobilitás és a felhasználói élmény tekintetében;</w:t>
            </w:r>
            <w:r>
              <w:rPr>
                <w:noProof/>
              </w:rPr>
              <w:br/>
              <w:t>Dig</w:t>
            </w:r>
            <w:r>
              <w:rPr>
                <w:noProof/>
              </w:rPr>
              <w:t>itális átalakulás az automatizálás és az adatközpontú közigazgatás tekintetében;</w:t>
            </w:r>
            <w:r>
              <w:rPr>
                <w:noProof/>
              </w:rPr>
              <w:br/>
              <w:t>Digitális átalakulás a fizikai, logikai infrastruktúrák és szoftverek tekintetében;</w:t>
            </w:r>
            <w:r>
              <w:rPr>
                <w:noProof/>
              </w:rPr>
              <w:br/>
              <w:t>Digitális átalakulás a kiberbiztonság terén.</w:t>
            </w:r>
          </w:p>
        </w:tc>
      </w:tr>
      <w:tr w:rsidR="003E1D81" w14:paraId="142D29EA" w14:textId="77777777">
        <w:trPr>
          <w:trHeight w:val="309"/>
        </w:trPr>
        <w:tc>
          <w:tcPr>
            <w:tcW w:w="1223" w:type="dxa"/>
            <w:shd w:val="clear" w:color="auto" w:fill="C6EFCE"/>
          </w:tcPr>
          <w:p w14:paraId="7F94E94C" w14:textId="77777777" w:rsidR="003E1D81" w:rsidRDefault="00EB481C">
            <w:pPr>
              <w:pStyle w:val="P68B1DB1-Normal13"/>
              <w:jc w:val="center"/>
              <w:rPr>
                <w:rFonts w:cs="Times New Roman"/>
                <w:noProof/>
              </w:rPr>
            </w:pPr>
            <w:r>
              <w:rPr>
                <w:noProof/>
              </w:rPr>
              <w:t>162</w:t>
            </w:r>
          </w:p>
        </w:tc>
        <w:tc>
          <w:tcPr>
            <w:tcW w:w="1448" w:type="dxa"/>
            <w:shd w:val="clear" w:color="auto" w:fill="C6EFCE"/>
          </w:tcPr>
          <w:p w14:paraId="0EC70345" w14:textId="77777777" w:rsidR="003E1D81" w:rsidRDefault="00EB481C">
            <w:pPr>
              <w:pStyle w:val="P68B1DB1-Normal13"/>
              <w:jc w:val="center"/>
              <w:rPr>
                <w:rFonts w:cs="Times New Roman"/>
                <w:noProof/>
              </w:rPr>
            </w:pPr>
            <w:r>
              <w:rPr>
                <w:noProof/>
              </w:rPr>
              <w:t>C11.I1</w:t>
            </w:r>
          </w:p>
        </w:tc>
        <w:tc>
          <w:tcPr>
            <w:tcW w:w="966" w:type="dxa"/>
            <w:shd w:val="clear" w:color="auto" w:fill="C6EFCE"/>
          </w:tcPr>
          <w:p w14:paraId="03D52EE2"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24744C26" w14:textId="77777777" w:rsidR="003E1D81" w:rsidRDefault="00EB481C">
            <w:pPr>
              <w:pStyle w:val="P68B1DB1-Normal13"/>
              <w:rPr>
                <w:rFonts w:cs="Times New Roman"/>
                <w:noProof/>
              </w:rPr>
            </w:pPr>
            <w:r>
              <w:rPr>
                <w:noProof/>
              </w:rPr>
              <w:t xml:space="preserve">A központi közigazgatás </w:t>
            </w:r>
            <w:r>
              <w:rPr>
                <w:noProof/>
              </w:rPr>
              <w:t>digitális átalakítását támogató projektek lezárása</w:t>
            </w:r>
          </w:p>
        </w:tc>
        <w:tc>
          <w:tcPr>
            <w:tcW w:w="1442" w:type="dxa"/>
            <w:shd w:val="clear" w:color="auto" w:fill="C6EFCE"/>
          </w:tcPr>
          <w:p w14:paraId="1C9A228D" w14:textId="77777777" w:rsidR="003E1D81" w:rsidRDefault="00EB481C">
            <w:pPr>
              <w:pStyle w:val="P68B1DB1-Normal13"/>
              <w:jc w:val="center"/>
              <w:rPr>
                <w:rFonts w:cs="Times New Roman"/>
                <w:noProof/>
              </w:rPr>
            </w:pPr>
            <w:r>
              <w:rPr>
                <w:noProof/>
              </w:rPr>
              <w:t>Az illetékes hatóság által aláírt, a projektek befejezését és működőképességét igazoló tanúsítványok</w:t>
            </w:r>
          </w:p>
        </w:tc>
        <w:tc>
          <w:tcPr>
            <w:tcW w:w="1082" w:type="dxa"/>
            <w:shd w:val="clear" w:color="auto" w:fill="C6EFCE"/>
          </w:tcPr>
          <w:p w14:paraId="602C3F68" w14:textId="77777777" w:rsidR="003E1D81" w:rsidRDefault="00EB481C">
            <w:pPr>
              <w:pStyle w:val="P68B1DB1-Normal13"/>
              <w:jc w:val="right"/>
              <w:rPr>
                <w:rFonts w:cs="Times New Roman"/>
                <w:noProof/>
              </w:rPr>
            </w:pPr>
            <w:r>
              <w:rPr>
                <w:noProof/>
              </w:rPr>
              <w:t> </w:t>
            </w:r>
          </w:p>
        </w:tc>
        <w:tc>
          <w:tcPr>
            <w:tcW w:w="708" w:type="dxa"/>
            <w:shd w:val="clear" w:color="auto" w:fill="C6EFCE"/>
          </w:tcPr>
          <w:p w14:paraId="1C895DDD" w14:textId="77777777" w:rsidR="003E1D81" w:rsidRDefault="00EB481C">
            <w:pPr>
              <w:pStyle w:val="P68B1DB1-Normal13"/>
              <w:jc w:val="right"/>
              <w:rPr>
                <w:rFonts w:cs="Times New Roman"/>
                <w:noProof/>
              </w:rPr>
            </w:pPr>
            <w:r>
              <w:rPr>
                <w:noProof/>
              </w:rPr>
              <w:t> </w:t>
            </w:r>
          </w:p>
        </w:tc>
        <w:tc>
          <w:tcPr>
            <w:tcW w:w="709" w:type="dxa"/>
            <w:shd w:val="clear" w:color="auto" w:fill="C6EFCE"/>
          </w:tcPr>
          <w:p w14:paraId="5CE29C09" w14:textId="77777777" w:rsidR="003E1D81" w:rsidRDefault="00EB481C">
            <w:pPr>
              <w:pStyle w:val="P68B1DB1-Normal13"/>
              <w:jc w:val="right"/>
              <w:rPr>
                <w:rFonts w:cs="Times New Roman"/>
                <w:noProof/>
              </w:rPr>
            </w:pPr>
            <w:r>
              <w:rPr>
                <w:noProof/>
              </w:rPr>
              <w:t> </w:t>
            </w:r>
          </w:p>
        </w:tc>
        <w:tc>
          <w:tcPr>
            <w:tcW w:w="567" w:type="dxa"/>
            <w:shd w:val="clear" w:color="auto" w:fill="C6EFCE"/>
          </w:tcPr>
          <w:p w14:paraId="7C88DA4F"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292C0F1F" w14:textId="77777777" w:rsidR="003E1D81" w:rsidRDefault="00EB481C">
            <w:pPr>
              <w:pStyle w:val="P68B1DB1-Normal13"/>
              <w:jc w:val="center"/>
              <w:rPr>
                <w:rFonts w:cs="Times New Roman"/>
                <w:noProof/>
              </w:rPr>
            </w:pPr>
            <w:r>
              <w:rPr>
                <w:noProof/>
              </w:rPr>
              <w:t>2025</w:t>
            </w:r>
          </w:p>
        </w:tc>
        <w:tc>
          <w:tcPr>
            <w:tcW w:w="3998" w:type="dxa"/>
            <w:shd w:val="clear" w:color="auto" w:fill="C6EFCE"/>
          </w:tcPr>
          <w:p w14:paraId="1A4CED02" w14:textId="77777777" w:rsidR="003E1D81" w:rsidRDefault="00EB481C">
            <w:pPr>
              <w:pStyle w:val="P68B1DB1-Normal13"/>
              <w:rPr>
                <w:rFonts w:cs="Times New Roman"/>
                <w:noProof/>
              </w:rPr>
            </w:pPr>
            <w:r>
              <w:rPr>
                <w:noProof/>
              </w:rPr>
              <w:t>A(z) #161 célkitűzéssel összhangban odaítélt projektek lezárása</w:t>
            </w:r>
          </w:p>
        </w:tc>
      </w:tr>
      <w:tr w:rsidR="003E1D81" w14:paraId="48E255C1" w14:textId="77777777">
        <w:trPr>
          <w:trHeight w:val="309"/>
        </w:trPr>
        <w:tc>
          <w:tcPr>
            <w:tcW w:w="1223" w:type="dxa"/>
            <w:shd w:val="clear" w:color="auto" w:fill="C6EFCE"/>
          </w:tcPr>
          <w:p w14:paraId="23ADB4BA" w14:textId="77777777" w:rsidR="003E1D81" w:rsidRDefault="00EB481C">
            <w:pPr>
              <w:pStyle w:val="P68B1DB1-Normal13"/>
              <w:jc w:val="center"/>
              <w:rPr>
                <w:rFonts w:cs="Times New Roman"/>
                <w:noProof/>
              </w:rPr>
            </w:pPr>
            <w:r>
              <w:rPr>
                <w:noProof/>
              </w:rPr>
              <w:t>163</w:t>
            </w:r>
          </w:p>
        </w:tc>
        <w:tc>
          <w:tcPr>
            <w:tcW w:w="1448" w:type="dxa"/>
            <w:shd w:val="clear" w:color="auto" w:fill="C6EFCE"/>
          </w:tcPr>
          <w:p w14:paraId="59FAF852" w14:textId="77777777" w:rsidR="003E1D81" w:rsidRDefault="00EB481C">
            <w:pPr>
              <w:pStyle w:val="P68B1DB1-Normal13"/>
              <w:jc w:val="center"/>
              <w:rPr>
                <w:rFonts w:cs="Times New Roman"/>
                <w:noProof/>
              </w:rPr>
            </w:pPr>
            <w:r>
              <w:rPr>
                <w:noProof/>
              </w:rPr>
              <w:t>C11.I2</w:t>
            </w:r>
          </w:p>
        </w:tc>
        <w:tc>
          <w:tcPr>
            <w:tcW w:w="966" w:type="dxa"/>
            <w:shd w:val="clear" w:color="auto" w:fill="C6EFCE"/>
          </w:tcPr>
          <w:p w14:paraId="0C1536D6"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24E56970" w14:textId="77777777" w:rsidR="003E1D81" w:rsidRDefault="00EB481C">
            <w:pPr>
              <w:pStyle w:val="P68B1DB1-Normal13"/>
              <w:rPr>
                <w:rFonts w:cs="Times New Roman"/>
                <w:noProof/>
              </w:rPr>
            </w:pPr>
            <w:r>
              <w:rPr>
                <w:noProof/>
              </w:rPr>
              <w:t>Interoperábilis platformok a társadalombiztosítási és egészségügyi adatok cseréjére</w:t>
            </w:r>
          </w:p>
        </w:tc>
        <w:tc>
          <w:tcPr>
            <w:tcW w:w="1442" w:type="dxa"/>
            <w:shd w:val="clear" w:color="auto" w:fill="C6EFCE"/>
          </w:tcPr>
          <w:p w14:paraId="100AC249" w14:textId="77777777" w:rsidR="003E1D81" w:rsidRDefault="00EB481C">
            <w:pPr>
              <w:pStyle w:val="P68B1DB1-Normal13"/>
              <w:jc w:val="center"/>
              <w:rPr>
                <w:rFonts w:cs="Times New Roman"/>
                <w:noProof/>
              </w:rPr>
            </w:pPr>
            <w:r>
              <w:rPr>
                <w:noProof/>
              </w:rPr>
              <w:t>A központi és regionális társadalombiztosítási szervek aláírt igazolásokkal igazolják a platform működését</w:t>
            </w:r>
          </w:p>
        </w:tc>
        <w:tc>
          <w:tcPr>
            <w:tcW w:w="1082" w:type="dxa"/>
            <w:shd w:val="clear" w:color="auto" w:fill="C6EFCE"/>
          </w:tcPr>
          <w:p w14:paraId="07CC20C5"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3D11EC86" w14:textId="77777777" w:rsidR="003E1D81" w:rsidRDefault="00EB481C">
            <w:pPr>
              <w:pStyle w:val="P68B1DB1-Normal13"/>
              <w:jc w:val="right"/>
              <w:rPr>
                <w:rFonts w:cs="Times New Roman"/>
                <w:noProof/>
              </w:rPr>
            </w:pPr>
            <w:r>
              <w:rPr>
                <w:noProof/>
              </w:rPr>
              <w:t> </w:t>
            </w:r>
          </w:p>
        </w:tc>
        <w:tc>
          <w:tcPr>
            <w:tcW w:w="709" w:type="dxa"/>
            <w:shd w:val="clear" w:color="auto" w:fill="C6EFCE"/>
          </w:tcPr>
          <w:p w14:paraId="73ABAB0A" w14:textId="77777777" w:rsidR="003E1D81" w:rsidRDefault="00EB481C">
            <w:pPr>
              <w:pStyle w:val="P68B1DB1-Normal13"/>
              <w:jc w:val="right"/>
              <w:rPr>
                <w:rFonts w:cs="Times New Roman"/>
                <w:noProof/>
              </w:rPr>
            </w:pPr>
            <w:r>
              <w:rPr>
                <w:noProof/>
              </w:rPr>
              <w:t> </w:t>
            </w:r>
          </w:p>
        </w:tc>
        <w:tc>
          <w:tcPr>
            <w:tcW w:w="567" w:type="dxa"/>
            <w:shd w:val="clear" w:color="auto" w:fill="C6EFCE"/>
          </w:tcPr>
          <w:p w14:paraId="1BCDA116"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3AA9859C" w14:textId="77777777" w:rsidR="003E1D81" w:rsidRDefault="00EB481C">
            <w:pPr>
              <w:pStyle w:val="P68B1DB1-Normal13"/>
              <w:jc w:val="center"/>
              <w:rPr>
                <w:rFonts w:cs="Times New Roman"/>
                <w:noProof/>
              </w:rPr>
            </w:pPr>
            <w:r>
              <w:rPr>
                <w:noProof/>
              </w:rPr>
              <w:t>2023</w:t>
            </w:r>
          </w:p>
        </w:tc>
        <w:tc>
          <w:tcPr>
            <w:tcW w:w="3998" w:type="dxa"/>
            <w:shd w:val="clear" w:color="auto" w:fill="C6EFCE"/>
          </w:tcPr>
          <w:p w14:paraId="1477897E" w14:textId="77777777" w:rsidR="003E1D81" w:rsidRDefault="00EB481C">
            <w:pPr>
              <w:pStyle w:val="P68B1DB1-Normal13"/>
              <w:rPr>
                <w:rFonts w:cs="Times New Roman"/>
                <w:noProof/>
              </w:rPr>
            </w:pPr>
            <w:r>
              <w:rPr>
                <w:noProof/>
              </w:rPr>
              <w:t xml:space="preserve">A központi közigazgatásnak és a régióknak </w:t>
            </w:r>
            <w:r>
              <w:rPr>
                <w:noProof/>
              </w:rPr>
              <w:t>teljes mértékben interoperábilis platformokkal kell rendelkezniük, amelyek lehetővé teszik a társadalombiztosítási adatok és információk cseréjét a következő területeken: i. alapellátás, ii. kórházi ellátás, iii. egészségügyi szakemberek, gyógyszerrendelés</w:t>
            </w:r>
            <w:r>
              <w:rPr>
                <w:noProof/>
              </w:rPr>
              <w:t>/kiadás</w:t>
            </w:r>
          </w:p>
        </w:tc>
      </w:tr>
      <w:tr w:rsidR="003E1D81" w14:paraId="4B26C5BC" w14:textId="77777777">
        <w:trPr>
          <w:trHeight w:val="309"/>
        </w:trPr>
        <w:tc>
          <w:tcPr>
            <w:tcW w:w="1223" w:type="dxa"/>
            <w:shd w:val="clear" w:color="auto" w:fill="C6EFCE"/>
          </w:tcPr>
          <w:p w14:paraId="2E00A2AF" w14:textId="77777777" w:rsidR="003E1D81" w:rsidRDefault="00EB481C">
            <w:pPr>
              <w:pStyle w:val="P68B1DB1-Normal13"/>
              <w:jc w:val="center"/>
              <w:rPr>
                <w:rFonts w:cs="Times New Roman"/>
                <w:noProof/>
              </w:rPr>
            </w:pPr>
            <w:r>
              <w:rPr>
                <w:noProof/>
              </w:rPr>
              <w:t>164</w:t>
            </w:r>
          </w:p>
        </w:tc>
        <w:tc>
          <w:tcPr>
            <w:tcW w:w="1448" w:type="dxa"/>
            <w:shd w:val="clear" w:color="auto" w:fill="C6EFCE"/>
          </w:tcPr>
          <w:p w14:paraId="696DD7AF" w14:textId="77777777" w:rsidR="003E1D81" w:rsidRDefault="00EB481C">
            <w:pPr>
              <w:pStyle w:val="P68B1DB1-Normal13"/>
              <w:jc w:val="center"/>
              <w:rPr>
                <w:rFonts w:cs="Times New Roman"/>
                <w:noProof/>
              </w:rPr>
            </w:pPr>
            <w:r>
              <w:rPr>
                <w:noProof/>
              </w:rPr>
              <w:t>C11.I2</w:t>
            </w:r>
          </w:p>
        </w:tc>
        <w:tc>
          <w:tcPr>
            <w:tcW w:w="966" w:type="dxa"/>
            <w:shd w:val="clear" w:color="auto" w:fill="C6EFCE"/>
          </w:tcPr>
          <w:p w14:paraId="35F832AF" w14:textId="77777777" w:rsidR="003E1D81" w:rsidRDefault="00EB481C">
            <w:pPr>
              <w:pStyle w:val="P68B1DB1-Normal13"/>
              <w:jc w:val="center"/>
              <w:rPr>
                <w:rFonts w:cs="Times New Roman"/>
                <w:noProof/>
              </w:rPr>
            </w:pPr>
            <w:r>
              <w:rPr>
                <w:noProof/>
              </w:rPr>
              <w:t>T</w:t>
            </w:r>
          </w:p>
        </w:tc>
        <w:tc>
          <w:tcPr>
            <w:tcW w:w="1631" w:type="dxa"/>
            <w:shd w:val="clear" w:color="auto" w:fill="C6EFCE"/>
          </w:tcPr>
          <w:p w14:paraId="0DBD42D0" w14:textId="77777777" w:rsidR="003E1D81" w:rsidRDefault="00EB481C">
            <w:pPr>
              <w:pStyle w:val="P68B1DB1-Normal13"/>
              <w:rPr>
                <w:rFonts w:cs="Times New Roman"/>
                <w:noProof/>
              </w:rPr>
            </w:pPr>
            <w:r>
              <w:rPr>
                <w:noProof/>
              </w:rPr>
              <w:t>Elektronikusan lefolytatandó bírósági eljárás</w:t>
            </w:r>
          </w:p>
        </w:tc>
        <w:tc>
          <w:tcPr>
            <w:tcW w:w="1442" w:type="dxa"/>
            <w:shd w:val="clear" w:color="auto" w:fill="C6EFCE"/>
          </w:tcPr>
          <w:p w14:paraId="30B8D3DF" w14:textId="77777777" w:rsidR="003E1D81" w:rsidRDefault="00EB481C">
            <w:pPr>
              <w:pStyle w:val="P68B1DB1-Normal13"/>
              <w:jc w:val="center"/>
              <w:rPr>
                <w:rFonts w:cs="Times New Roman"/>
                <w:noProof/>
              </w:rPr>
            </w:pPr>
            <w:r>
              <w:rPr>
                <w:noProof/>
              </w:rPr>
              <w:t> </w:t>
            </w:r>
          </w:p>
        </w:tc>
        <w:tc>
          <w:tcPr>
            <w:tcW w:w="1082" w:type="dxa"/>
            <w:shd w:val="clear" w:color="auto" w:fill="C6EFCE"/>
          </w:tcPr>
          <w:p w14:paraId="3DA4CF3B"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76AECD44" w14:textId="77777777" w:rsidR="003E1D81" w:rsidRDefault="00EB481C">
            <w:pPr>
              <w:pStyle w:val="P68B1DB1-Normal13"/>
              <w:jc w:val="right"/>
              <w:rPr>
                <w:rFonts w:cs="Times New Roman"/>
                <w:noProof/>
              </w:rPr>
            </w:pPr>
            <w:r>
              <w:rPr>
                <w:noProof/>
              </w:rPr>
              <w:t>0</w:t>
            </w:r>
          </w:p>
        </w:tc>
        <w:tc>
          <w:tcPr>
            <w:tcW w:w="709" w:type="dxa"/>
            <w:shd w:val="clear" w:color="auto" w:fill="C6EFCE"/>
          </w:tcPr>
          <w:p w14:paraId="2B05AACE" w14:textId="77777777" w:rsidR="003E1D81" w:rsidRDefault="00EB481C">
            <w:pPr>
              <w:pStyle w:val="P68B1DB1-Normal13"/>
              <w:jc w:val="right"/>
              <w:rPr>
                <w:rFonts w:cs="Times New Roman"/>
                <w:noProof/>
              </w:rPr>
            </w:pPr>
            <w:r>
              <w:rPr>
                <w:noProof/>
              </w:rPr>
              <w:t>70</w:t>
            </w:r>
          </w:p>
        </w:tc>
        <w:tc>
          <w:tcPr>
            <w:tcW w:w="567" w:type="dxa"/>
            <w:shd w:val="clear" w:color="auto" w:fill="C6EFCE"/>
          </w:tcPr>
          <w:p w14:paraId="1376797B"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431F1297" w14:textId="3CA06F1A" w:rsidR="003E1D81" w:rsidRDefault="00EB481C">
            <w:pPr>
              <w:pStyle w:val="P68B1DB1-Normal13"/>
              <w:jc w:val="center"/>
              <w:rPr>
                <w:rFonts w:cs="Times New Roman"/>
                <w:noProof/>
              </w:rPr>
            </w:pPr>
            <w:r>
              <w:rPr>
                <w:noProof/>
              </w:rPr>
              <w:t>2022</w:t>
            </w:r>
          </w:p>
        </w:tc>
        <w:tc>
          <w:tcPr>
            <w:tcW w:w="3998" w:type="dxa"/>
            <w:shd w:val="clear" w:color="auto" w:fill="C6EFCE"/>
          </w:tcPr>
          <w:p w14:paraId="1A18F975" w14:textId="77777777" w:rsidR="003E1D81" w:rsidRDefault="00EB481C">
            <w:pPr>
              <w:pStyle w:val="P68B1DB1-Normal13"/>
              <w:rPr>
                <w:rFonts w:cs="Times New Roman"/>
                <w:noProof/>
              </w:rPr>
            </w:pPr>
            <w:r>
              <w:rPr>
                <w:noProof/>
              </w:rPr>
              <w:t>A meglévő 4056 bírósági szerv legalább 70%-ának rendelkeznie kell az ahhoz szükséges infrastruktúrával, hogy az eljárások legalább 30%-át elektronikus úton lehessen</w:t>
            </w:r>
            <w:r>
              <w:rPr>
                <w:noProof/>
              </w:rPr>
              <w:t xml:space="preserve"> lebonyolítani. Ez azt jelenti, hogy telematikai bírósági eljárásokat kell végrehajtani a különböző igazságszolgáltatási szervekben, teljes jogbiztonság mellett. E cél elérése érdekében minden résztvevőnek képesnek kell lennie arra, hogy videokonferencia ú</w:t>
            </w:r>
            <w:r>
              <w:rPr>
                <w:noProof/>
              </w:rPr>
              <w:t>tján hozzáférjen a tárgyalótermekhez. Ezenkívül lehetővé teszi teljesen virtuális tárgyalótermek létrehozását, amelyekhez minden résztvevő videokonferencia útján hozzáférhet. Azonnali platformot kell létrehozni a nem személyes kapcsolatok és feldolgozás új</w:t>
            </w:r>
            <w:r>
              <w:rPr>
                <w:noProof/>
              </w:rPr>
              <w:t xml:space="preserve"> modelljeinek létrehozására. Ez javítja a polgárok távoli hozzáférését a közigazgatás által nyújtott szolgáltatásokhoz.</w:t>
            </w:r>
          </w:p>
        </w:tc>
      </w:tr>
      <w:tr w:rsidR="003E1D81" w14:paraId="599998E8" w14:textId="77777777">
        <w:trPr>
          <w:trHeight w:val="343"/>
        </w:trPr>
        <w:tc>
          <w:tcPr>
            <w:tcW w:w="1223" w:type="dxa"/>
            <w:tcBorders>
              <w:top w:val="single" w:sz="4" w:space="0" w:color="auto"/>
              <w:left w:val="single" w:sz="4" w:space="0" w:color="auto"/>
              <w:bottom w:val="single" w:sz="4" w:space="0" w:color="auto"/>
              <w:right w:val="single" w:sz="4" w:space="0" w:color="auto"/>
            </w:tcBorders>
            <w:shd w:val="clear" w:color="auto" w:fill="C6EFCE"/>
          </w:tcPr>
          <w:p w14:paraId="297C9B09" w14:textId="77777777" w:rsidR="003E1D81" w:rsidRDefault="00EB481C">
            <w:pPr>
              <w:pStyle w:val="P68B1DB1-Normal13"/>
              <w:jc w:val="center"/>
              <w:rPr>
                <w:rFonts w:cs="Times New Roman"/>
                <w:noProof/>
              </w:rPr>
            </w:pPr>
            <w:r>
              <w:rPr>
                <w:noProof/>
              </w:rPr>
              <w:t>165</w:t>
            </w:r>
          </w:p>
        </w:tc>
        <w:tc>
          <w:tcPr>
            <w:tcW w:w="1448" w:type="dxa"/>
            <w:tcBorders>
              <w:top w:val="single" w:sz="4" w:space="0" w:color="auto"/>
              <w:left w:val="single" w:sz="4" w:space="0" w:color="auto"/>
              <w:bottom w:val="single" w:sz="4" w:space="0" w:color="auto"/>
              <w:right w:val="single" w:sz="4" w:space="0" w:color="auto"/>
            </w:tcBorders>
            <w:shd w:val="clear" w:color="auto" w:fill="C6EFCE"/>
          </w:tcPr>
          <w:p w14:paraId="2C5464AA" w14:textId="77777777" w:rsidR="003E1D81" w:rsidRDefault="00EB481C">
            <w:pPr>
              <w:pStyle w:val="P68B1DB1-Normal13"/>
              <w:jc w:val="center"/>
              <w:rPr>
                <w:rFonts w:cs="Times New Roman"/>
                <w:noProof/>
              </w:rPr>
            </w:pPr>
            <w:r>
              <w:rPr>
                <w:noProof/>
              </w:rPr>
              <w:t>C11.I2</w:t>
            </w:r>
          </w:p>
        </w:tc>
        <w:tc>
          <w:tcPr>
            <w:tcW w:w="966" w:type="dxa"/>
            <w:tcBorders>
              <w:top w:val="single" w:sz="4" w:space="0" w:color="auto"/>
              <w:left w:val="single" w:sz="4" w:space="0" w:color="auto"/>
              <w:bottom w:val="single" w:sz="4" w:space="0" w:color="auto"/>
              <w:right w:val="single" w:sz="4" w:space="0" w:color="auto"/>
            </w:tcBorders>
            <w:shd w:val="clear" w:color="auto" w:fill="C6EFCE"/>
          </w:tcPr>
          <w:p w14:paraId="3CA690AB" w14:textId="77777777" w:rsidR="003E1D81" w:rsidRDefault="00EB481C">
            <w:pPr>
              <w:pStyle w:val="P68B1DB1-Normal13"/>
              <w:jc w:val="center"/>
              <w:rPr>
                <w:rFonts w:cs="Times New Roman"/>
                <w:noProof/>
              </w:rPr>
            </w:pPr>
            <w:r>
              <w:rPr>
                <w:noProof/>
              </w:rPr>
              <w:t>T</w:t>
            </w:r>
          </w:p>
        </w:tc>
        <w:tc>
          <w:tcPr>
            <w:tcW w:w="1631" w:type="dxa"/>
            <w:tcBorders>
              <w:top w:val="single" w:sz="4" w:space="0" w:color="auto"/>
              <w:left w:val="single" w:sz="4" w:space="0" w:color="auto"/>
              <w:bottom w:val="single" w:sz="4" w:space="0" w:color="auto"/>
              <w:right w:val="single" w:sz="4" w:space="0" w:color="auto"/>
            </w:tcBorders>
            <w:shd w:val="clear" w:color="auto" w:fill="C6EFCE"/>
          </w:tcPr>
          <w:p w14:paraId="5D08D1D3" w14:textId="77777777" w:rsidR="003E1D81" w:rsidRDefault="00EB481C">
            <w:pPr>
              <w:pStyle w:val="P68B1DB1-Normal13"/>
              <w:rPr>
                <w:rFonts w:cs="Times New Roman"/>
                <w:noProof/>
              </w:rPr>
            </w:pPr>
            <w:r>
              <w:rPr>
                <w:noProof/>
              </w:rPr>
              <w:t>A központi közigazgatás digitalizációt ösztönző projektjeit támogató projektek odaítélése</w:t>
            </w:r>
          </w:p>
        </w:tc>
        <w:tc>
          <w:tcPr>
            <w:tcW w:w="1442" w:type="dxa"/>
            <w:tcBorders>
              <w:top w:val="single" w:sz="4" w:space="0" w:color="auto"/>
              <w:left w:val="single" w:sz="4" w:space="0" w:color="auto"/>
              <w:bottom w:val="single" w:sz="4" w:space="0" w:color="auto"/>
              <w:right w:val="single" w:sz="4" w:space="0" w:color="auto"/>
            </w:tcBorders>
            <w:shd w:val="clear" w:color="auto" w:fill="C6EFCE"/>
          </w:tcPr>
          <w:p w14:paraId="36668676" w14:textId="77777777" w:rsidR="003E1D81" w:rsidRDefault="00EB481C">
            <w:pPr>
              <w:pStyle w:val="P68B1DB1-Normal13"/>
              <w:jc w:val="center"/>
              <w:rPr>
                <w:rFonts w:cs="Times New Roman"/>
                <w:noProof/>
              </w:rPr>
            </w:pPr>
            <w:r>
              <w:rPr>
                <w:noProof/>
              </w:rPr>
              <w:t> </w:t>
            </w:r>
          </w:p>
        </w:tc>
        <w:tc>
          <w:tcPr>
            <w:tcW w:w="1082" w:type="dxa"/>
            <w:tcBorders>
              <w:top w:val="single" w:sz="4" w:space="0" w:color="auto"/>
              <w:left w:val="single" w:sz="4" w:space="0" w:color="auto"/>
              <w:bottom w:val="single" w:sz="4" w:space="0" w:color="auto"/>
              <w:right w:val="single" w:sz="4" w:space="0" w:color="auto"/>
            </w:tcBorders>
            <w:shd w:val="clear" w:color="auto" w:fill="C6EFCE"/>
          </w:tcPr>
          <w:p w14:paraId="16412B8B" w14:textId="77777777" w:rsidR="003E1D81" w:rsidRDefault="00EB481C">
            <w:pPr>
              <w:pStyle w:val="P68B1DB1-Normal13"/>
              <w:jc w:val="right"/>
              <w:rPr>
                <w:rFonts w:cs="Times New Roman"/>
                <w:noProof/>
              </w:rPr>
            </w:pPr>
            <w:r>
              <w:rPr>
                <w:noProof/>
              </w:rPr>
              <w:t>Millió EUR</w:t>
            </w:r>
          </w:p>
        </w:tc>
        <w:tc>
          <w:tcPr>
            <w:tcW w:w="708" w:type="dxa"/>
            <w:tcBorders>
              <w:top w:val="single" w:sz="4" w:space="0" w:color="auto"/>
              <w:left w:val="single" w:sz="4" w:space="0" w:color="auto"/>
              <w:bottom w:val="single" w:sz="4" w:space="0" w:color="auto"/>
              <w:right w:val="single" w:sz="4" w:space="0" w:color="auto"/>
            </w:tcBorders>
            <w:shd w:val="clear" w:color="auto" w:fill="C6EFCE"/>
          </w:tcPr>
          <w:p w14:paraId="5D3042B2" w14:textId="77777777" w:rsidR="003E1D81" w:rsidRDefault="00EB481C">
            <w:pPr>
              <w:pStyle w:val="P68B1DB1-Normal13"/>
              <w:jc w:val="right"/>
              <w:rPr>
                <w:rFonts w:cs="Times New Roman"/>
                <w:noProof/>
              </w:rPr>
            </w:pPr>
            <w:r>
              <w:rPr>
                <w:noProof/>
              </w:rPr>
              <w:t>0</w:t>
            </w:r>
          </w:p>
        </w:tc>
        <w:tc>
          <w:tcPr>
            <w:tcW w:w="709" w:type="dxa"/>
            <w:tcBorders>
              <w:top w:val="single" w:sz="4" w:space="0" w:color="auto"/>
              <w:left w:val="single" w:sz="4" w:space="0" w:color="auto"/>
              <w:bottom w:val="single" w:sz="4" w:space="0" w:color="auto"/>
              <w:right w:val="single" w:sz="4" w:space="0" w:color="auto"/>
            </w:tcBorders>
            <w:shd w:val="clear" w:color="auto" w:fill="C6EFCE"/>
          </w:tcPr>
          <w:p w14:paraId="1F7B8048" w14:textId="77777777" w:rsidR="003E1D81" w:rsidRDefault="00EB481C">
            <w:pPr>
              <w:pStyle w:val="P68B1DB1-Normal13"/>
              <w:jc w:val="right"/>
              <w:rPr>
                <w:rFonts w:cs="Times New Roman"/>
                <w:noProof/>
              </w:rPr>
            </w:pPr>
            <w:r>
              <w:rPr>
                <w:noProof/>
              </w:rPr>
              <w:t>1 205</w:t>
            </w:r>
          </w:p>
        </w:tc>
        <w:tc>
          <w:tcPr>
            <w:tcW w:w="567" w:type="dxa"/>
            <w:tcBorders>
              <w:top w:val="single" w:sz="4" w:space="0" w:color="auto"/>
              <w:left w:val="single" w:sz="4" w:space="0" w:color="auto"/>
              <w:bottom w:val="single" w:sz="4" w:space="0" w:color="auto"/>
              <w:right w:val="single" w:sz="4" w:space="0" w:color="auto"/>
            </w:tcBorders>
            <w:shd w:val="clear" w:color="auto" w:fill="C6EFCE"/>
          </w:tcPr>
          <w:p w14:paraId="5FF506EC" w14:textId="77777777" w:rsidR="003E1D81" w:rsidRDefault="00EB481C">
            <w:pPr>
              <w:pStyle w:val="P68B1DB1-Normal13"/>
              <w:jc w:val="center"/>
              <w:rPr>
                <w:rFonts w:cs="Times New Roman"/>
                <w:noProof/>
              </w:rPr>
            </w:pPr>
            <w:r>
              <w:rPr>
                <w:noProof/>
              </w:rPr>
              <w:t>NEGYEDÉV</w:t>
            </w:r>
          </w:p>
        </w:tc>
        <w:tc>
          <w:tcPr>
            <w:tcW w:w="822" w:type="dxa"/>
            <w:tcBorders>
              <w:top w:val="single" w:sz="4" w:space="0" w:color="auto"/>
              <w:left w:val="single" w:sz="4" w:space="0" w:color="auto"/>
              <w:bottom w:val="single" w:sz="4" w:space="0" w:color="auto"/>
              <w:right w:val="single" w:sz="4" w:space="0" w:color="auto"/>
            </w:tcBorders>
            <w:shd w:val="clear" w:color="auto" w:fill="C6EFCE"/>
          </w:tcPr>
          <w:p w14:paraId="5617717C" w14:textId="77777777" w:rsidR="003E1D81" w:rsidRDefault="00EB481C">
            <w:pPr>
              <w:pStyle w:val="P68B1DB1-Normal13"/>
              <w:jc w:val="center"/>
              <w:rPr>
                <w:rFonts w:cs="Times New Roman"/>
                <w:noProof/>
              </w:rPr>
            </w:pPr>
            <w:r>
              <w:rPr>
                <w:noProof/>
              </w:rPr>
              <w:t>2023</w:t>
            </w:r>
          </w:p>
        </w:tc>
        <w:tc>
          <w:tcPr>
            <w:tcW w:w="3998" w:type="dxa"/>
            <w:tcBorders>
              <w:top w:val="single" w:sz="4" w:space="0" w:color="auto"/>
              <w:left w:val="single" w:sz="4" w:space="0" w:color="auto"/>
              <w:bottom w:val="single" w:sz="4" w:space="0" w:color="auto"/>
              <w:right w:val="single" w:sz="4" w:space="0" w:color="auto"/>
            </w:tcBorders>
            <w:shd w:val="clear" w:color="auto" w:fill="C6EFCE"/>
          </w:tcPr>
          <w:p w14:paraId="5C699583" w14:textId="77777777" w:rsidR="003E1D81" w:rsidRDefault="00EB481C">
            <w:pPr>
              <w:pStyle w:val="P68B1DB1-Normal13"/>
              <w:rPr>
                <w:rFonts w:cs="Times New Roman"/>
                <w:noProof/>
              </w:rPr>
            </w:pPr>
            <w:r>
              <w:rPr>
                <w:noProof/>
              </w:rPr>
              <w:t>A következő területekre kiterjedő projektek odaítélésének közzététele a Hivatalos Lapban vagy a közbeszerzési platformon:</w:t>
            </w:r>
            <w:r>
              <w:rPr>
                <w:noProof/>
              </w:rPr>
              <w:br/>
              <w:t>Digitális átalakulás az egészségügyi ágazatban;</w:t>
            </w:r>
            <w:r>
              <w:rPr>
                <w:noProof/>
              </w:rPr>
              <w:br/>
              <w:t>Az igazságszolgáltatás digitális átalakulása;</w:t>
            </w:r>
            <w:r>
              <w:rPr>
                <w:noProof/>
              </w:rPr>
              <w:br/>
              <w:t>Digitális átalakulás a foglalkoztat</w:t>
            </w:r>
            <w:r>
              <w:rPr>
                <w:noProof/>
              </w:rPr>
              <w:t>ás tekintetében;</w:t>
            </w:r>
            <w:r>
              <w:rPr>
                <w:noProof/>
              </w:rPr>
              <w:br/>
              <w:t>Digitális átalakulás a befogadás, a szociális biztonság és a migráció tekintetében;</w:t>
            </w:r>
            <w:r>
              <w:rPr>
                <w:noProof/>
              </w:rPr>
              <w:br/>
              <w:t>Konzuli digitalizálási terv;</w:t>
            </w:r>
            <w:r>
              <w:rPr>
                <w:noProof/>
              </w:rPr>
              <w:br/>
              <w:t>Digitális átalakulás az államigazgatás más területein.</w:t>
            </w:r>
          </w:p>
        </w:tc>
      </w:tr>
      <w:tr w:rsidR="003E1D81" w14:paraId="30C22732" w14:textId="77777777">
        <w:trPr>
          <w:trHeight w:val="309"/>
        </w:trPr>
        <w:tc>
          <w:tcPr>
            <w:tcW w:w="1223" w:type="dxa"/>
            <w:shd w:val="clear" w:color="auto" w:fill="C6EFCE"/>
          </w:tcPr>
          <w:p w14:paraId="748BDFB5" w14:textId="77777777" w:rsidR="003E1D81" w:rsidRDefault="00EB481C">
            <w:pPr>
              <w:pStyle w:val="P68B1DB1-Normal13"/>
              <w:jc w:val="center"/>
              <w:rPr>
                <w:rFonts w:cs="Times New Roman"/>
                <w:noProof/>
              </w:rPr>
            </w:pPr>
            <w:r>
              <w:rPr>
                <w:noProof/>
              </w:rPr>
              <w:t>166</w:t>
            </w:r>
          </w:p>
        </w:tc>
        <w:tc>
          <w:tcPr>
            <w:tcW w:w="1448" w:type="dxa"/>
            <w:shd w:val="clear" w:color="auto" w:fill="C6EFCE"/>
          </w:tcPr>
          <w:p w14:paraId="35122461" w14:textId="77777777" w:rsidR="003E1D81" w:rsidRDefault="00EB481C">
            <w:pPr>
              <w:pStyle w:val="P68B1DB1-Normal13"/>
              <w:jc w:val="center"/>
              <w:rPr>
                <w:rFonts w:cs="Times New Roman"/>
                <w:noProof/>
              </w:rPr>
            </w:pPr>
            <w:r>
              <w:rPr>
                <w:noProof/>
              </w:rPr>
              <w:t>C11.I2</w:t>
            </w:r>
          </w:p>
        </w:tc>
        <w:tc>
          <w:tcPr>
            <w:tcW w:w="966" w:type="dxa"/>
            <w:shd w:val="clear" w:color="auto" w:fill="C6EFCE"/>
          </w:tcPr>
          <w:p w14:paraId="140A805F"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71EB7BE6" w14:textId="77777777" w:rsidR="003E1D81" w:rsidRDefault="00EB481C">
            <w:pPr>
              <w:pStyle w:val="P68B1DB1-Normal13"/>
              <w:rPr>
                <w:rFonts w:cs="Times New Roman"/>
                <w:noProof/>
              </w:rPr>
            </w:pPr>
            <w:r>
              <w:rPr>
                <w:noProof/>
              </w:rPr>
              <w:t xml:space="preserve">A központi közigazgatás digitalizációt ösztönző </w:t>
            </w:r>
            <w:r>
              <w:rPr>
                <w:noProof/>
              </w:rPr>
              <w:t>projektjeit támogató projektek lezárása</w:t>
            </w:r>
          </w:p>
        </w:tc>
        <w:tc>
          <w:tcPr>
            <w:tcW w:w="1442" w:type="dxa"/>
            <w:shd w:val="clear" w:color="auto" w:fill="C6EFCE"/>
          </w:tcPr>
          <w:p w14:paraId="71FD1A04" w14:textId="77777777" w:rsidR="003E1D81" w:rsidRDefault="00EB481C">
            <w:pPr>
              <w:pStyle w:val="P68B1DB1-Normal13"/>
              <w:jc w:val="center"/>
              <w:rPr>
                <w:rFonts w:cs="Times New Roman"/>
                <w:noProof/>
              </w:rPr>
            </w:pPr>
            <w:r>
              <w:rPr>
                <w:noProof/>
              </w:rPr>
              <w:t>Az illetékes hatóság által aláírt, a projektek befejezését és működőképességét igazoló tanúsítványok</w:t>
            </w:r>
          </w:p>
        </w:tc>
        <w:tc>
          <w:tcPr>
            <w:tcW w:w="1082" w:type="dxa"/>
            <w:shd w:val="clear" w:color="auto" w:fill="C6EFCE"/>
          </w:tcPr>
          <w:p w14:paraId="15DC0836" w14:textId="77777777" w:rsidR="003E1D81" w:rsidRDefault="00EB481C">
            <w:pPr>
              <w:pStyle w:val="P68B1DB1-Normal13"/>
              <w:jc w:val="right"/>
              <w:rPr>
                <w:rFonts w:cs="Times New Roman"/>
                <w:noProof/>
              </w:rPr>
            </w:pPr>
            <w:r>
              <w:rPr>
                <w:noProof/>
              </w:rPr>
              <w:t> </w:t>
            </w:r>
          </w:p>
        </w:tc>
        <w:tc>
          <w:tcPr>
            <w:tcW w:w="708" w:type="dxa"/>
            <w:shd w:val="clear" w:color="auto" w:fill="C6EFCE"/>
          </w:tcPr>
          <w:p w14:paraId="3533C3BA" w14:textId="77777777" w:rsidR="003E1D81" w:rsidRDefault="00EB481C">
            <w:pPr>
              <w:pStyle w:val="P68B1DB1-Normal13"/>
              <w:jc w:val="right"/>
              <w:rPr>
                <w:rFonts w:cs="Times New Roman"/>
                <w:noProof/>
              </w:rPr>
            </w:pPr>
            <w:r>
              <w:rPr>
                <w:noProof/>
              </w:rPr>
              <w:t> </w:t>
            </w:r>
          </w:p>
        </w:tc>
        <w:tc>
          <w:tcPr>
            <w:tcW w:w="709" w:type="dxa"/>
            <w:shd w:val="clear" w:color="auto" w:fill="C6EFCE"/>
          </w:tcPr>
          <w:p w14:paraId="1DE894AF" w14:textId="77777777" w:rsidR="003E1D81" w:rsidRDefault="00EB481C">
            <w:pPr>
              <w:pStyle w:val="P68B1DB1-Normal13"/>
              <w:jc w:val="right"/>
              <w:rPr>
                <w:rFonts w:cs="Times New Roman"/>
                <w:noProof/>
              </w:rPr>
            </w:pPr>
            <w:r>
              <w:rPr>
                <w:noProof/>
              </w:rPr>
              <w:t> </w:t>
            </w:r>
          </w:p>
        </w:tc>
        <w:tc>
          <w:tcPr>
            <w:tcW w:w="567" w:type="dxa"/>
            <w:shd w:val="clear" w:color="auto" w:fill="C6EFCE"/>
          </w:tcPr>
          <w:p w14:paraId="7E9CB671"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5D100815" w14:textId="77777777" w:rsidR="003E1D81" w:rsidRDefault="00EB481C">
            <w:pPr>
              <w:pStyle w:val="P68B1DB1-Normal13"/>
              <w:jc w:val="center"/>
              <w:rPr>
                <w:rFonts w:cs="Times New Roman"/>
                <w:noProof/>
              </w:rPr>
            </w:pPr>
            <w:r>
              <w:rPr>
                <w:noProof/>
              </w:rPr>
              <w:t>2025</w:t>
            </w:r>
          </w:p>
        </w:tc>
        <w:tc>
          <w:tcPr>
            <w:tcW w:w="3998" w:type="dxa"/>
            <w:shd w:val="clear" w:color="auto" w:fill="C6EFCE"/>
          </w:tcPr>
          <w:p w14:paraId="4B12F15C" w14:textId="77777777" w:rsidR="003E1D81" w:rsidRDefault="00EB481C">
            <w:pPr>
              <w:pStyle w:val="P68B1DB1-Normal13"/>
              <w:rPr>
                <w:rFonts w:cs="Times New Roman"/>
                <w:noProof/>
              </w:rPr>
            </w:pPr>
            <w:r>
              <w:rPr>
                <w:noProof/>
              </w:rPr>
              <w:t>A(z) #165 célkitűzéssel összhangban odaítélt projektek lezárása</w:t>
            </w:r>
          </w:p>
        </w:tc>
      </w:tr>
      <w:tr w:rsidR="003E1D81" w14:paraId="1F8EC9B7" w14:textId="77777777">
        <w:trPr>
          <w:trHeight w:val="309"/>
        </w:trPr>
        <w:tc>
          <w:tcPr>
            <w:tcW w:w="1223" w:type="dxa"/>
            <w:shd w:val="clear" w:color="auto" w:fill="C6EFCE"/>
          </w:tcPr>
          <w:p w14:paraId="23667BAA" w14:textId="77777777" w:rsidR="003E1D81" w:rsidRDefault="00EB481C">
            <w:pPr>
              <w:pStyle w:val="P68B1DB1-Normal13"/>
              <w:jc w:val="center"/>
              <w:rPr>
                <w:rFonts w:cs="Times New Roman"/>
                <w:noProof/>
              </w:rPr>
            </w:pPr>
            <w:r>
              <w:rPr>
                <w:noProof/>
              </w:rPr>
              <w:t>167</w:t>
            </w:r>
          </w:p>
        </w:tc>
        <w:tc>
          <w:tcPr>
            <w:tcW w:w="1448" w:type="dxa"/>
            <w:shd w:val="clear" w:color="auto" w:fill="C6EFCE"/>
          </w:tcPr>
          <w:p w14:paraId="2DA2DBB6" w14:textId="77777777" w:rsidR="003E1D81" w:rsidRDefault="00EB481C">
            <w:pPr>
              <w:pStyle w:val="P68B1DB1-Normal13"/>
              <w:jc w:val="center"/>
              <w:rPr>
                <w:rFonts w:cs="Times New Roman"/>
                <w:noProof/>
              </w:rPr>
            </w:pPr>
            <w:r>
              <w:rPr>
                <w:noProof/>
              </w:rPr>
              <w:t>C11.I3</w:t>
            </w:r>
          </w:p>
        </w:tc>
        <w:tc>
          <w:tcPr>
            <w:tcW w:w="966" w:type="dxa"/>
            <w:shd w:val="clear" w:color="auto" w:fill="C6EFCE"/>
          </w:tcPr>
          <w:p w14:paraId="5BD39C5F"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6022DEBF" w14:textId="77777777" w:rsidR="003E1D81" w:rsidRDefault="00EB481C">
            <w:pPr>
              <w:pStyle w:val="P68B1DB1-Normal13"/>
              <w:rPr>
                <w:rFonts w:cs="Times New Roman"/>
                <w:noProof/>
              </w:rPr>
            </w:pPr>
            <w:r>
              <w:rPr>
                <w:noProof/>
              </w:rPr>
              <w:t xml:space="preserve">A regionális és </w:t>
            </w:r>
            <w:r>
              <w:rPr>
                <w:noProof/>
              </w:rPr>
              <w:t>helyi szervezetek digitalizációja</w:t>
            </w:r>
          </w:p>
        </w:tc>
        <w:tc>
          <w:tcPr>
            <w:tcW w:w="1442" w:type="dxa"/>
            <w:shd w:val="clear" w:color="auto" w:fill="C6EFCE"/>
          </w:tcPr>
          <w:p w14:paraId="34C8375B" w14:textId="77777777" w:rsidR="003E1D81" w:rsidRDefault="00EB481C">
            <w:pPr>
              <w:pStyle w:val="P68B1DB1-Normal13"/>
              <w:jc w:val="center"/>
              <w:rPr>
                <w:rFonts w:cs="Times New Roman"/>
                <w:noProof/>
              </w:rPr>
            </w:pPr>
            <w:r>
              <w:rPr>
                <w:noProof/>
              </w:rPr>
              <w:t>A Területpolitikai és Közszolgálati Minisztérium aláírt igazolást ad ki arról, hogy a cél teljesült</w:t>
            </w:r>
          </w:p>
        </w:tc>
        <w:tc>
          <w:tcPr>
            <w:tcW w:w="1082" w:type="dxa"/>
            <w:shd w:val="clear" w:color="auto" w:fill="C6EFCE"/>
          </w:tcPr>
          <w:p w14:paraId="00005C1A" w14:textId="77777777" w:rsidR="003E1D81" w:rsidRDefault="00EB481C">
            <w:pPr>
              <w:pStyle w:val="P68B1DB1-Normal13"/>
              <w:jc w:val="right"/>
              <w:rPr>
                <w:rFonts w:cs="Times New Roman"/>
                <w:noProof/>
              </w:rPr>
            </w:pPr>
            <w:r>
              <w:rPr>
                <w:noProof/>
              </w:rPr>
              <w:t> </w:t>
            </w:r>
          </w:p>
        </w:tc>
        <w:tc>
          <w:tcPr>
            <w:tcW w:w="708" w:type="dxa"/>
            <w:shd w:val="clear" w:color="auto" w:fill="C6EFCE"/>
          </w:tcPr>
          <w:p w14:paraId="28DA1435" w14:textId="77777777" w:rsidR="003E1D81" w:rsidRDefault="00EB481C">
            <w:pPr>
              <w:pStyle w:val="P68B1DB1-Normal13"/>
              <w:jc w:val="right"/>
              <w:rPr>
                <w:rFonts w:cs="Times New Roman"/>
                <w:noProof/>
              </w:rPr>
            </w:pPr>
            <w:r>
              <w:rPr>
                <w:noProof/>
              </w:rPr>
              <w:t> </w:t>
            </w:r>
          </w:p>
        </w:tc>
        <w:tc>
          <w:tcPr>
            <w:tcW w:w="709" w:type="dxa"/>
            <w:shd w:val="clear" w:color="auto" w:fill="C6EFCE"/>
          </w:tcPr>
          <w:p w14:paraId="51460906" w14:textId="77777777" w:rsidR="003E1D81" w:rsidRDefault="00EB481C">
            <w:pPr>
              <w:pStyle w:val="P68B1DB1-Normal13"/>
              <w:jc w:val="right"/>
              <w:rPr>
                <w:rFonts w:cs="Times New Roman"/>
                <w:noProof/>
              </w:rPr>
            </w:pPr>
            <w:r>
              <w:rPr>
                <w:noProof/>
              </w:rPr>
              <w:t> </w:t>
            </w:r>
          </w:p>
        </w:tc>
        <w:tc>
          <w:tcPr>
            <w:tcW w:w="567" w:type="dxa"/>
            <w:shd w:val="clear" w:color="auto" w:fill="C6EFCE"/>
          </w:tcPr>
          <w:p w14:paraId="06D515A8"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37AC85C7" w14:textId="77777777" w:rsidR="003E1D81" w:rsidRDefault="00EB481C">
            <w:pPr>
              <w:pStyle w:val="P68B1DB1-Normal13"/>
              <w:jc w:val="center"/>
              <w:rPr>
                <w:rFonts w:cs="Times New Roman"/>
                <w:noProof/>
              </w:rPr>
            </w:pPr>
            <w:r>
              <w:rPr>
                <w:noProof/>
              </w:rPr>
              <w:t>2023</w:t>
            </w:r>
          </w:p>
        </w:tc>
        <w:tc>
          <w:tcPr>
            <w:tcW w:w="3998" w:type="dxa"/>
            <w:shd w:val="clear" w:color="auto" w:fill="C6EFCE"/>
          </w:tcPr>
          <w:p w14:paraId="70950286" w14:textId="77777777" w:rsidR="003E1D81" w:rsidRDefault="00EB481C">
            <w:pPr>
              <w:pStyle w:val="P68B1DB1-Normal13"/>
              <w:rPr>
                <w:rFonts w:cs="Times New Roman"/>
                <w:noProof/>
              </w:rPr>
            </w:pPr>
            <w:r>
              <w:rPr>
                <w:noProof/>
              </w:rPr>
              <w:t>Az autonóm közösségek és a helyi önkormányzatok a 2025-ig tartó időszakra szóló digitális stratégia, a közigazgatások digitalizációs terve, valamint a közszféra számára tervezett modernizációs intézkedések többi része stratégiai irányvonalaiba tartozó proj</w:t>
            </w:r>
            <w:r>
              <w:rPr>
                <w:noProof/>
              </w:rPr>
              <w:t>ekteket hajtottak végre. Konkrétabban: a) Minden autonóm közösség legalább egy projektet végrehajtott az öt stratégiai vonal egyikén belül (1.). Polgárokra összpontosító igazgatás, 2. Intelligens műveletek, 3. Adatkormány, 4. Digitális infrastruktúrák és/v</w:t>
            </w:r>
            <w:r>
              <w:rPr>
                <w:noProof/>
              </w:rPr>
              <w:t>agy 5. Kiberbiztonság); a regionális közigazgatások digitális eljárásainak (</w:t>
            </w:r>
            <w:r>
              <w:rPr>
                <w:i/>
                <w:noProof/>
              </w:rPr>
              <w:t>Comunidades Autónomas</w:t>
            </w:r>
            <w:r>
              <w:rPr>
                <w:noProof/>
              </w:rPr>
              <w:t xml:space="preserve">) 60%-a lehetővé teszi azok mobil használatát (jelenleg: 48%. </w:t>
            </w:r>
          </w:p>
        </w:tc>
      </w:tr>
      <w:tr w:rsidR="003E1D81" w14:paraId="29457D88" w14:textId="77777777">
        <w:trPr>
          <w:trHeight w:val="309"/>
        </w:trPr>
        <w:tc>
          <w:tcPr>
            <w:tcW w:w="1223" w:type="dxa"/>
            <w:shd w:val="clear" w:color="auto" w:fill="C6EFCE"/>
          </w:tcPr>
          <w:p w14:paraId="43DD2ED9" w14:textId="77777777" w:rsidR="003E1D81" w:rsidRDefault="00EB481C">
            <w:pPr>
              <w:pStyle w:val="P68B1DB1-Normal13"/>
              <w:jc w:val="center"/>
              <w:rPr>
                <w:rFonts w:cs="Times New Roman"/>
                <w:noProof/>
              </w:rPr>
            </w:pPr>
            <w:r>
              <w:rPr>
                <w:noProof/>
              </w:rPr>
              <w:t>168</w:t>
            </w:r>
          </w:p>
        </w:tc>
        <w:tc>
          <w:tcPr>
            <w:tcW w:w="1448" w:type="dxa"/>
            <w:shd w:val="clear" w:color="auto" w:fill="C6EFCE"/>
          </w:tcPr>
          <w:p w14:paraId="175B0B9C" w14:textId="77777777" w:rsidR="003E1D81" w:rsidRDefault="00EB481C">
            <w:pPr>
              <w:pStyle w:val="P68B1DB1-Normal13"/>
              <w:jc w:val="center"/>
              <w:rPr>
                <w:rFonts w:cs="Times New Roman"/>
                <w:noProof/>
              </w:rPr>
            </w:pPr>
            <w:r>
              <w:rPr>
                <w:noProof/>
              </w:rPr>
              <w:t>C11.I3</w:t>
            </w:r>
          </w:p>
        </w:tc>
        <w:tc>
          <w:tcPr>
            <w:tcW w:w="966" w:type="dxa"/>
            <w:shd w:val="clear" w:color="auto" w:fill="C6EFCE"/>
          </w:tcPr>
          <w:p w14:paraId="1AD90BCF" w14:textId="77777777" w:rsidR="003E1D81" w:rsidRDefault="00EB481C">
            <w:pPr>
              <w:pStyle w:val="P68B1DB1-Normal13"/>
              <w:jc w:val="center"/>
              <w:rPr>
                <w:rFonts w:cs="Times New Roman"/>
                <w:noProof/>
              </w:rPr>
            </w:pPr>
            <w:r>
              <w:rPr>
                <w:noProof/>
              </w:rPr>
              <w:t>T</w:t>
            </w:r>
          </w:p>
        </w:tc>
        <w:tc>
          <w:tcPr>
            <w:tcW w:w="1631" w:type="dxa"/>
            <w:shd w:val="clear" w:color="auto" w:fill="C6EFCE"/>
          </w:tcPr>
          <w:p w14:paraId="13A6B727" w14:textId="77777777" w:rsidR="003E1D81" w:rsidRDefault="00EB481C">
            <w:pPr>
              <w:pStyle w:val="P68B1DB1-Normal13"/>
              <w:rPr>
                <w:rFonts w:cs="Times New Roman"/>
                <w:noProof/>
              </w:rPr>
            </w:pPr>
            <w:r>
              <w:rPr>
                <w:noProof/>
              </w:rPr>
              <w:t>A regionális és helyi közigazgatások, valamint a Területpolitikai és Közigazgatási</w:t>
            </w:r>
            <w:r>
              <w:rPr>
                <w:noProof/>
              </w:rPr>
              <w:t xml:space="preserve"> Minisztérium digitális átalakulását támogató projektek odaítélése</w:t>
            </w:r>
          </w:p>
        </w:tc>
        <w:tc>
          <w:tcPr>
            <w:tcW w:w="1442" w:type="dxa"/>
            <w:shd w:val="clear" w:color="auto" w:fill="C6EFCE"/>
          </w:tcPr>
          <w:p w14:paraId="7DCD1A6C" w14:textId="77777777" w:rsidR="003E1D81" w:rsidRDefault="00EB481C">
            <w:pPr>
              <w:pStyle w:val="P68B1DB1-Normal13"/>
              <w:jc w:val="center"/>
              <w:rPr>
                <w:rFonts w:cs="Times New Roman"/>
                <w:noProof/>
              </w:rPr>
            </w:pPr>
            <w:r>
              <w:rPr>
                <w:noProof/>
              </w:rPr>
              <w:t> </w:t>
            </w:r>
          </w:p>
        </w:tc>
        <w:tc>
          <w:tcPr>
            <w:tcW w:w="1082" w:type="dxa"/>
            <w:shd w:val="clear" w:color="auto" w:fill="C6EFCE"/>
          </w:tcPr>
          <w:p w14:paraId="407B9779" w14:textId="77777777" w:rsidR="003E1D81" w:rsidRDefault="00EB481C">
            <w:pPr>
              <w:pStyle w:val="P68B1DB1-Normal13"/>
              <w:jc w:val="right"/>
              <w:rPr>
                <w:rFonts w:cs="Times New Roman"/>
                <w:noProof/>
              </w:rPr>
            </w:pPr>
            <w:r>
              <w:rPr>
                <w:noProof/>
              </w:rPr>
              <w:t>Millió EUR</w:t>
            </w:r>
          </w:p>
        </w:tc>
        <w:tc>
          <w:tcPr>
            <w:tcW w:w="708" w:type="dxa"/>
            <w:shd w:val="clear" w:color="auto" w:fill="C6EFCE"/>
          </w:tcPr>
          <w:p w14:paraId="606EC8B5" w14:textId="77777777" w:rsidR="003E1D81" w:rsidRDefault="00EB481C">
            <w:pPr>
              <w:pStyle w:val="P68B1DB1-Normal13"/>
              <w:jc w:val="right"/>
              <w:rPr>
                <w:rFonts w:cs="Times New Roman"/>
                <w:noProof/>
              </w:rPr>
            </w:pPr>
            <w:r>
              <w:rPr>
                <w:noProof/>
              </w:rPr>
              <w:t>0</w:t>
            </w:r>
          </w:p>
        </w:tc>
        <w:tc>
          <w:tcPr>
            <w:tcW w:w="709" w:type="dxa"/>
            <w:shd w:val="clear" w:color="auto" w:fill="C6EFCE"/>
          </w:tcPr>
          <w:p w14:paraId="1516BA19" w14:textId="77777777" w:rsidR="003E1D81" w:rsidRDefault="00EB481C">
            <w:pPr>
              <w:pStyle w:val="P68B1DB1-Normal13"/>
              <w:jc w:val="right"/>
              <w:rPr>
                <w:rFonts w:cs="Times New Roman"/>
                <w:noProof/>
              </w:rPr>
            </w:pPr>
            <w:r>
              <w:rPr>
                <w:noProof/>
              </w:rPr>
              <w:t>1 000</w:t>
            </w:r>
          </w:p>
        </w:tc>
        <w:tc>
          <w:tcPr>
            <w:tcW w:w="567" w:type="dxa"/>
            <w:shd w:val="clear" w:color="auto" w:fill="C6EFCE"/>
          </w:tcPr>
          <w:p w14:paraId="23EE0B9A" w14:textId="77777777" w:rsidR="003E1D81" w:rsidRDefault="00EB481C">
            <w:pPr>
              <w:pStyle w:val="P68B1DB1-Normal13"/>
              <w:jc w:val="center"/>
              <w:rPr>
                <w:rFonts w:cs="Times New Roman"/>
                <w:noProof/>
              </w:rPr>
            </w:pPr>
            <w:r>
              <w:rPr>
                <w:noProof/>
              </w:rPr>
              <w:t>KÉRDÉS</w:t>
            </w:r>
          </w:p>
        </w:tc>
        <w:tc>
          <w:tcPr>
            <w:tcW w:w="822" w:type="dxa"/>
            <w:shd w:val="clear" w:color="auto" w:fill="C6EFCE"/>
          </w:tcPr>
          <w:p w14:paraId="7E3FE776" w14:textId="77777777" w:rsidR="003E1D81" w:rsidRDefault="00EB481C">
            <w:pPr>
              <w:pStyle w:val="P68B1DB1-Normal13"/>
              <w:jc w:val="center"/>
              <w:rPr>
                <w:rFonts w:cs="Times New Roman"/>
                <w:noProof/>
              </w:rPr>
            </w:pPr>
            <w:r>
              <w:rPr>
                <w:noProof/>
              </w:rPr>
              <w:t>2025</w:t>
            </w:r>
          </w:p>
        </w:tc>
        <w:tc>
          <w:tcPr>
            <w:tcW w:w="3998" w:type="dxa"/>
            <w:shd w:val="clear" w:color="auto" w:fill="C6EFCE"/>
          </w:tcPr>
          <w:p w14:paraId="749F95DF" w14:textId="77777777" w:rsidR="003E1D81" w:rsidRDefault="00EB481C">
            <w:pPr>
              <w:pStyle w:val="P68B1DB1-Normal13"/>
              <w:rPr>
                <w:rFonts w:cs="Times New Roman"/>
                <w:noProof/>
              </w:rPr>
            </w:pPr>
            <w:r>
              <w:rPr>
                <w:noProof/>
              </w:rPr>
              <w:t xml:space="preserve">A következő területekre kiterjedő projektek odaítélésének közzététele a Hivatalos Lapban vagy a közbeszerzési platformon: </w:t>
            </w:r>
            <w:r>
              <w:rPr>
                <w:noProof/>
              </w:rPr>
              <w:br/>
              <w:t xml:space="preserve">Digitális átalakulás a </w:t>
            </w:r>
            <w:r>
              <w:rPr>
                <w:noProof/>
              </w:rPr>
              <w:t>proaktivitás, a mobilitás és a felhasználói élmény tekintetében;</w:t>
            </w:r>
            <w:r>
              <w:rPr>
                <w:noProof/>
              </w:rPr>
              <w:br/>
              <w:t>Digitális átalakulás az automatizálás és az adatközpontú közigazgatás tekintetében;</w:t>
            </w:r>
            <w:r>
              <w:rPr>
                <w:noProof/>
              </w:rPr>
              <w:br/>
              <w:t>Digitális átalakulás a fizikai, logikai infrastruktúrák és szoftverek tekintetében;</w:t>
            </w:r>
            <w:r>
              <w:rPr>
                <w:noProof/>
              </w:rPr>
              <w:br/>
              <w:t xml:space="preserve">Digitális átalakulás a </w:t>
            </w:r>
            <w:r>
              <w:rPr>
                <w:noProof/>
              </w:rPr>
              <w:t>kiberbiztonság terén.</w:t>
            </w:r>
          </w:p>
        </w:tc>
      </w:tr>
      <w:tr w:rsidR="003E1D81" w14:paraId="70646FC0" w14:textId="77777777">
        <w:trPr>
          <w:trHeight w:val="309"/>
        </w:trPr>
        <w:tc>
          <w:tcPr>
            <w:tcW w:w="1223" w:type="dxa"/>
            <w:shd w:val="clear" w:color="auto" w:fill="C6EFCE"/>
          </w:tcPr>
          <w:p w14:paraId="69ED8513" w14:textId="77777777" w:rsidR="003E1D81" w:rsidRDefault="00EB481C">
            <w:pPr>
              <w:pStyle w:val="P68B1DB1-Normal13"/>
              <w:jc w:val="center"/>
              <w:rPr>
                <w:rFonts w:cs="Times New Roman"/>
                <w:noProof/>
              </w:rPr>
            </w:pPr>
            <w:r>
              <w:rPr>
                <w:noProof/>
              </w:rPr>
              <w:t>169</w:t>
            </w:r>
          </w:p>
        </w:tc>
        <w:tc>
          <w:tcPr>
            <w:tcW w:w="1448" w:type="dxa"/>
            <w:shd w:val="clear" w:color="auto" w:fill="C6EFCE"/>
          </w:tcPr>
          <w:p w14:paraId="58170C5B" w14:textId="77777777" w:rsidR="003E1D81" w:rsidRDefault="00EB481C">
            <w:pPr>
              <w:pStyle w:val="P68B1DB1-Normal13"/>
              <w:jc w:val="center"/>
              <w:rPr>
                <w:rFonts w:cs="Times New Roman"/>
                <w:noProof/>
              </w:rPr>
            </w:pPr>
            <w:r>
              <w:rPr>
                <w:noProof/>
              </w:rPr>
              <w:t>C11.I3</w:t>
            </w:r>
          </w:p>
        </w:tc>
        <w:tc>
          <w:tcPr>
            <w:tcW w:w="966" w:type="dxa"/>
            <w:shd w:val="clear" w:color="auto" w:fill="C6EFCE"/>
          </w:tcPr>
          <w:p w14:paraId="0741F2D4"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080D547C" w14:textId="77777777" w:rsidR="003E1D81" w:rsidRDefault="00EB481C">
            <w:pPr>
              <w:pStyle w:val="P68B1DB1-Normal13"/>
              <w:rPr>
                <w:rFonts w:cs="Times New Roman"/>
                <w:noProof/>
              </w:rPr>
            </w:pPr>
            <w:r>
              <w:rPr>
                <w:noProof/>
              </w:rPr>
              <w:t>A regionális és helyi közigazgatások, valamint a Területpolitikai és Közigazgatási Minisztérium digitális átalakulását támogató valamennyi projekt lezárása</w:t>
            </w:r>
          </w:p>
        </w:tc>
        <w:tc>
          <w:tcPr>
            <w:tcW w:w="1442" w:type="dxa"/>
            <w:shd w:val="clear" w:color="auto" w:fill="C6EFCE"/>
          </w:tcPr>
          <w:p w14:paraId="026EC5A2" w14:textId="77777777" w:rsidR="003E1D81" w:rsidRDefault="00EB481C">
            <w:pPr>
              <w:pStyle w:val="P68B1DB1-Normal13"/>
              <w:jc w:val="center"/>
              <w:rPr>
                <w:rFonts w:cs="Times New Roman"/>
                <w:noProof/>
              </w:rPr>
            </w:pPr>
            <w:r>
              <w:rPr>
                <w:noProof/>
              </w:rPr>
              <w:t xml:space="preserve">Az illetékes hatóság által aláírt, a projektek befejezését és </w:t>
            </w:r>
            <w:r>
              <w:rPr>
                <w:noProof/>
              </w:rPr>
              <w:t>működőképességét igazoló tanúsítványok</w:t>
            </w:r>
          </w:p>
        </w:tc>
        <w:tc>
          <w:tcPr>
            <w:tcW w:w="1082" w:type="dxa"/>
            <w:shd w:val="clear" w:color="auto" w:fill="C6EFCE"/>
          </w:tcPr>
          <w:p w14:paraId="6EA08E3F" w14:textId="77777777" w:rsidR="003E1D81" w:rsidRDefault="00EB481C">
            <w:pPr>
              <w:pStyle w:val="P68B1DB1-Normal13"/>
              <w:jc w:val="right"/>
              <w:rPr>
                <w:rFonts w:cs="Times New Roman"/>
                <w:noProof/>
              </w:rPr>
            </w:pPr>
            <w:r>
              <w:rPr>
                <w:noProof/>
              </w:rPr>
              <w:t> </w:t>
            </w:r>
          </w:p>
        </w:tc>
        <w:tc>
          <w:tcPr>
            <w:tcW w:w="708" w:type="dxa"/>
            <w:shd w:val="clear" w:color="auto" w:fill="C6EFCE"/>
          </w:tcPr>
          <w:p w14:paraId="207E0226" w14:textId="77777777" w:rsidR="003E1D81" w:rsidRDefault="00EB481C">
            <w:pPr>
              <w:pStyle w:val="P68B1DB1-Normal13"/>
              <w:jc w:val="right"/>
              <w:rPr>
                <w:rFonts w:cs="Times New Roman"/>
                <w:noProof/>
              </w:rPr>
            </w:pPr>
            <w:r>
              <w:rPr>
                <w:noProof/>
              </w:rPr>
              <w:t> </w:t>
            </w:r>
          </w:p>
        </w:tc>
        <w:tc>
          <w:tcPr>
            <w:tcW w:w="709" w:type="dxa"/>
            <w:shd w:val="clear" w:color="auto" w:fill="C6EFCE"/>
          </w:tcPr>
          <w:p w14:paraId="1D252E91" w14:textId="77777777" w:rsidR="003E1D81" w:rsidRDefault="00EB481C">
            <w:pPr>
              <w:pStyle w:val="P68B1DB1-Normal13"/>
              <w:jc w:val="right"/>
              <w:rPr>
                <w:rFonts w:cs="Times New Roman"/>
                <w:noProof/>
              </w:rPr>
            </w:pPr>
            <w:r>
              <w:rPr>
                <w:noProof/>
              </w:rPr>
              <w:t> </w:t>
            </w:r>
          </w:p>
        </w:tc>
        <w:tc>
          <w:tcPr>
            <w:tcW w:w="567" w:type="dxa"/>
            <w:shd w:val="clear" w:color="auto" w:fill="C6EFCE"/>
          </w:tcPr>
          <w:p w14:paraId="36784472" w14:textId="77777777" w:rsidR="003E1D81" w:rsidRDefault="00EB481C">
            <w:pPr>
              <w:pStyle w:val="P68B1DB1-Normal13"/>
              <w:jc w:val="center"/>
              <w:rPr>
                <w:rFonts w:cs="Times New Roman"/>
                <w:noProof/>
              </w:rPr>
            </w:pPr>
            <w:r>
              <w:rPr>
                <w:noProof/>
              </w:rPr>
              <w:t>KÉRDÉS</w:t>
            </w:r>
          </w:p>
        </w:tc>
        <w:tc>
          <w:tcPr>
            <w:tcW w:w="822" w:type="dxa"/>
            <w:shd w:val="clear" w:color="auto" w:fill="C6EFCE"/>
          </w:tcPr>
          <w:p w14:paraId="3EE6A61A" w14:textId="77777777" w:rsidR="003E1D81" w:rsidRDefault="00EB481C">
            <w:pPr>
              <w:pStyle w:val="P68B1DB1-Normal13"/>
              <w:jc w:val="center"/>
              <w:rPr>
                <w:rFonts w:cs="Times New Roman"/>
                <w:noProof/>
              </w:rPr>
            </w:pPr>
            <w:r>
              <w:rPr>
                <w:noProof/>
              </w:rPr>
              <w:t>2026</w:t>
            </w:r>
          </w:p>
        </w:tc>
        <w:tc>
          <w:tcPr>
            <w:tcW w:w="3998" w:type="dxa"/>
            <w:shd w:val="clear" w:color="auto" w:fill="C6EFCE"/>
          </w:tcPr>
          <w:p w14:paraId="317F015F" w14:textId="77777777" w:rsidR="003E1D81" w:rsidRDefault="00EB481C">
            <w:pPr>
              <w:pStyle w:val="P68B1DB1-Normal13"/>
              <w:rPr>
                <w:rFonts w:cs="Times New Roman"/>
                <w:noProof/>
              </w:rPr>
            </w:pPr>
            <w:r>
              <w:rPr>
                <w:noProof/>
              </w:rPr>
              <w:t>A következő területeket lefedő összes projekt lezárása (a #168. számú célkitűzéssel összhangban)</w:t>
            </w:r>
            <w:r>
              <w:rPr>
                <w:noProof/>
              </w:rPr>
              <w:br/>
              <w:t xml:space="preserve">Digitális átalakulás a proaktivitás, a mobilitás és a felhasználói élmény tekintetében </w:t>
            </w:r>
            <w:r>
              <w:rPr>
                <w:noProof/>
              </w:rPr>
              <w:br/>
              <w:t>Digitális átal</w:t>
            </w:r>
            <w:r>
              <w:rPr>
                <w:noProof/>
              </w:rPr>
              <w:t xml:space="preserve">akulás az automatizálás és az adatközpontú közigazgatás tekintetében </w:t>
            </w:r>
            <w:r>
              <w:rPr>
                <w:noProof/>
              </w:rPr>
              <w:br/>
              <w:t>Digitális átalakulás a fizikai, logikai infrastruktúrák és szoftverek tekintetében.</w:t>
            </w:r>
            <w:r>
              <w:rPr>
                <w:noProof/>
              </w:rPr>
              <w:br/>
              <w:t>Digitális átalakulás a kiberbiztonság terén.</w:t>
            </w:r>
          </w:p>
        </w:tc>
      </w:tr>
      <w:tr w:rsidR="003E1D81" w14:paraId="6A151996" w14:textId="77777777">
        <w:trPr>
          <w:trHeight w:val="309"/>
        </w:trPr>
        <w:tc>
          <w:tcPr>
            <w:tcW w:w="1223" w:type="dxa"/>
            <w:shd w:val="clear" w:color="auto" w:fill="C6EFCE"/>
          </w:tcPr>
          <w:p w14:paraId="211C1731" w14:textId="70CDA916" w:rsidR="003E1D81" w:rsidRDefault="00EB481C">
            <w:pPr>
              <w:pStyle w:val="P68B1DB1-Normal13"/>
              <w:jc w:val="center"/>
              <w:rPr>
                <w:rFonts w:cs="Times New Roman"/>
                <w:noProof/>
              </w:rPr>
            </w:pPr>
            <w:r>
              <w:rPr>
                <w:noProof/>
              </w:rPr>
              <w:t>438</w:t>
            </w:r>
          </w:p>
        </w:tc>
        <w:tc>
          <w:tcPr>
            <w:tcW w:w="1448" w:type="dxa"/>
            <w:shd w:val="clear" w:color="auto" w:fill="C6EFCE"/>
          </w:tcPr>
          <w:p w14:paraId="4DB2848C" w14:textId="1CDC9673" w:rsidR="003E1D81" w:rsidRDefault="00EB481C">
            <w:pPr>
              <w:pStyle w:val="P68B1DB1-Normal13"/>
              <w:jc w:val="center"/>
              <w:rPr>
                <w:rFonts w:cs="Times New Roman"/>
                <w:noProof/>
              </w:rPr>
            </w:pPr>
            <w:r>
              <w:rPr>
                <w:noProof/>
              </w:rPr>
              <w:t>C11.I3</w:t>
            </w:r>
          </w:p>
        </w:tc>
        <w:tc>
          <w:tcPr>
            <w:tcW w:w="966" w:type="dxa"/>
            <w:shd w:val="clear" w:color="auto" w:fill="C6EFCE"/>
          </w:tcPr>
          <w:p w14:paraId="5493CF37" w14:textId="55846B27" w:rsidR="003E1D81" w:rsidRDefault="00EB481C">
            <w:pPr>
              <w:pStyle w:val="P68B1DB1-Normal13"/>
              <w:jc w:val="center"/>
              <w:rPr>
                <w:rFonts w:cs="Times New Roman"/>
                <w:noProof/>
              </w:rPr>
            </w:pPr>
            <w:r>
              <w:rPr>
                <w:noProof/>
              </w:rPr>
              <w:t>T</w:t>
            </w:r>
          </w:p>
        </w:tc>
        <w:tc>
          <w:tcPr>
            <w:tcW w:w="1631" w:type="dxa"/>
            <w:shd w:val="clear" w:color="auto" w:fill="C6EFCE"/>
          </w:tcPr>
          <w:p w14:paraId="45816173" w14:textId="540FABE8" w:rsidR="003E1D81" w:rsidRDefault="00EB481C">
            <w:pPr>
              <w:pStyle w:val="P68B1DB1-Normal13"/>
              <w:rPr>
                <w:rFonts w:cs="Times New Roman"/>
                <w:noProof/>
              </w:rPr>
            </w:pPr>
            <w:r>
              <w:rPr>
                <w:noProof/>
              </w:rPr>
              <w:t xml:space="preserve">A személyes digitális ápolási-gondozási </w:t>
            </w:r>
            <w:r>
              <w:rPr>
                <w:noProof/>
              </w:rPr>
              <w:t>terv végrehajtása</w:t>
            </w:r>
          </w:p>
        </w:tc>
        <w:tc>
          <w:tcPr>
            <w:tcW w:w="1442" w:type="dxa"/>
            <w:shd w:val="clear" w:color="auto" w:fill="C6EFCE"/>
          </w:tcPr>
          <w:p w14:paraId="0F8444E8" w14:textId="7842BCF8" w:rsidR="003E1D81" w:rsidRDefault="00EB481C">
            <w:pPr>
              <w:pStyle w:val="P68B1DB1-Normal13"/>
              <w:jc w:val="center"/>
              <w:rPr>
                <w:rFonts w:cs="Times New Roman"/>
                <w:noProof/>
              </w:rPr>
            </w:pPr>
            <w:r>
              <w:rPr>
                <w:noProof/>
              </w:rPr>
              <w:t xml:space="preserve"> </w:t>
            </w:r>
          </w:p>
        </w:tc>
        <w:tc>
          <w:tcPr>
            <w:tcW w:w="1082" w:type="dxa"/>
            <w:shd w:val="clear" w:color="auto" w:fill="C6EFCE"/>
          </w:tcPr>
          <w:p w14:paraId="605440BC" w14:textId="33586031" w:rsidR="003E1D81" w:rsidRDefault="00EB481C">
            <w:pPr>
              <w:pStyle w:val="P68B1DB1-Normal13"/>
              <w:jc w:val="right"/>
              <w:rPr>
                <w:rFonts w:cs="Times New Roman"/>
                <w:noProof/>
              </w:rPr>
            </w:pPr>
            <w:r>
              <w:rPr>
                <w:noProof/>
              </w:rPr>
              <w:t>Szám</w:t>
            </w:r>
          </w:p>
        </w:tc>
        <w:tc>
          <w:tcPr>
            <w:tcW w:w="708" w:type="dxa"/>
            <w:shd w:val="clear" w:color="auto" w:fill="C6EFCE"/>
          </w:tcPr>
          <w:p w14:paraId="1B445EF1" w14:textId="606F196E" w:rsidR="003E1D81" w:rsidRDefault="00EB481C">
            <w:pPr>
              <w:pStyle w:val="P68B1DB1-Normal13"/>
              <w:jc w:val="right"/>
              <w:rPr>
                <w:rFonts w:cs="Times New Roman"/>
                <w:noProof/>
              </w:rPr>
            </w:pPr>
            <w:r>
              <w:rPr>
                <w:noProof/>
              </w:rPr>
              <w:t>0</w:t>
            </w:r>
          </w:p>
        </w:tc>
        <w:tc>
          <w:tcPr>
            <w:tcW w:w="709" w:type="dxa"/>
            <w:shd w:val="clear" w:color="auto" w:fill="C6EFCE"/>
          </w:tcPr>
          <w:p w14:paraId="28FAF395" w14:textId="212F84CD" w:rsidR="003E1D81" w:rsidRDefault="00EB481C">
            <w:pPr>
              <w:pStyle w:val="P68B1DB1-Normal13"/>
              <w:jc w:val="right"/>
              <w:rPr>
                <w:rFonts w:cs="Times New Roman"/>
                <w:noProof/>
              </w:rPr>
            </w:pPr>
            <w:r>
              <w:rPr>
                <w:noProof/>
              </w:rPr>
              <w:t>17</w:t>
            </w:r>
          </w:p>
        </w:tc>
        <w:tc>
          <w:tcPr>
            <w:tcW w:w="567" w:type="dxa"/>
            <w:shd w:val="clear" w:color="auto" w:fill="C6EFCE"/>
          </w:tcPr>
          <w:p w14:paraId="3E5F5F2A" w14:textId="37067F45" w:rsidR="003E1D81" w:rsidRDefault="00EB481C">
            <w:pPr>
              <w:pStyle w:val="P68B1DB1-Normal13"/>
              <w:jc w:val="center"/>
              <w:rPr>
                <w:rFonts w:cs="Times New Roman"/>
                <w:noProof/>
              </w:rPr>
            </w:pPr>
            <w:r>
              <w:rPr>
                <w:noProof/>
              </w:rPr>
              <w:t>KÉRDÉS</w:t>
            </w:r>
          </w:p>
        </w:tc>
        <w:tc>
          <w:tcPr>
            <w:tcW w:w="822" w:type="dxa"/>
            <w:shd w:val="clear" w:color="auto" w:fill="C6EFCE"/>
          </w:tcPr>
          <w:p w14:paraId="6BD2A566" w14:textId="0F4D48E5" w:rsidR="003E1D81" w:rsidRDefault="00EB481C">
            <w:pPr>
              <w:pStyle w:val="P68B1DB1-Normal13"/>
              <w:jc w:val="center"/>
              <w:rPr>
                <w:rFonts w:cs="Times New Roman"/>
                <w:noProof/>
              </w:rPr>
            </w:pPr>
            <w:r>
              <w:rPr>
                <w:noProof/>
              </w:rPr>
              <w:t>2026</w:t>
            </w:r>
          </w:p>
        </w:tc>
        <w:tc>
          <w:tcPr>
            <w:tcW w:w="3998" w:type="dxa"/>
            <w:shd w:val="clear" w:color="auto" w:fill="C6EFCE"/>
          </w:tcPr>
          <w:p w14:paraId="22F22FF7" w14:textId="77777777" w:rsidR="003E1D81" w:rsidRDefault="00EB481C">
            <w:pPr>
              <w:pStyle w:val="P68B1DB1-Normal13"/>
              <w:rPr>
                <w:rFonts w:cs="Times New Roman"/>
                <w:noProof/>
              </w:rPr>
            </w:pPr>
            <w:r>
              <w:rPr>
                <w:noProof/>
              </w:rPr>
              <w:t xml:space="preserve">A személyes digitális gondozási terv keretében legalább 17 kísérleti projekt lezárása, amelyek előmozdítják a 2025-ig tartó időszakra szóló spanyol digitális menetrend célkitűzését, hogy előmozdítsák a polgárok </w:t>
            </w:r>
            <w:r>
              <w:rPr>
                <w:noProof/>
              </w:rPr>
              <w:t>igényeinek megfelelő, személyre szabott ellátást. A projektek a digitalizáció révén a következő területek legalább egyikét érintik:</w:t>
            </w:r>
          </w:p>
          <w:p w14:paraId="4026E81A" w14:textId="77777777" w:rsidR="003E1D81" w:rsidRDefault="00EB481C">
            <w:pPr>
              <w:pStyle w:val="P68B1DB1-Normal13"/>
              <w:rPr>
                <w:rFonts w:cs="Times New Roman"/>
                <w:noProof/>
              </w:rPr>
            </w:pPr>
            <w:r>
              <w:rPr>
                <w:noProof/>
              </w:rPr>
              <w:t>Adatrögzítés: a betegadatok rögzítésére, tárolására és értelmezésére szolgáló informatikai megoldások tesztelése</w:t>
            </w:r>
          </w:p>
          <w:p w14:paraId="2FA31153" w14:textId="77777777" w:rsidR="003E1D81" w:rsidRDefault="00EB481C">
            <w:pPr>
              <w:pStyle w:val="P68B1DB1-Normal13"/>
              <w:rPr>
                <w:rFonts w:cs="Times New Roman"/>
                <w:noProof/>
              </w:rPr>
            </w:pPr>
            <w:r>
              <w:rPr>
                <w:noProof/>
              </w:rPr>
              <w:t>Személyre s</w:t>
            </w:r>
            <w:r>
              <w:rPr>
                <w:noProof/>
              </w:rPr>
              <w:t>zabott digitális ellátás: a személyre szabott digitális ellátást biztosító eszközök és/vagy közüzemi szolgáltatások tesztelése</w:t>
            </w:r>
          </w:p>
          <w:p w14:paraId="1DDC7BDD" w14:textId="77777777" w:rsidR="003E1D81" w:rsidRDefault="00EB481C">
            <w:pPr>
              <w:pStyle w:val="P68B1DB1-Normal13"/>
              <w:rPr>
                <w:rFonts w:cs="Times New Roman"/>
                <w:noProof/>
              </w:rPr>
            </w:pPr>
            <w:r>
              <w:rPr>
                <w:noProof/>
              </w:rPr>
              <w:t>Olyan eszközök és/vagy közüzemi eszközök információgenerációs tesztelése, amelyek a betegadatok alapján segítik a szakembereket a</w:t>
            </w:r>
            <w:r>
              <w:rPr>
                <w:noProof/>
              </w:rPr>
              <w:t xml:space="preserve"> betegek diagnosztizálásában vagy nyomon követésében.</w:t>
            </w:r>
          </w:p>
          <w:p w14:paraId="0B201D6A" w14:textId="2E88978A" w:rsidR="003E1D81" w:rsidRDefault="00EB481C">
            <w:pPr>
              <w:pStyle w:val="P68B1DB1-Normal13"/>
              <w:rPr>
                <w:rFonts w:cs="Times New Roman"/>
                <w:noProof/>
              </w:rPr>
            </w:pPr>
            <w:r>
              <w:rPr>
                <w:noProof/>
              </w:rPr>
              <w:t>A kísérleti projektek befejezését követően előzetes értékelést kell közzétenni, amely értékeli a kísérleti projektek hatékonyságát és az egészségügyi szolgáltatások javítására gyakorolt hatásukat, és ko</w:t>
            </w:r>
            <w:r>
              <w:rPr>
                <w:noProof/>
              </w:rPr>
              <w:t>nkrét ajánlásokat fogalmaz meg hiányosságok vagy gyengeségek feltárása esetén.</w:t>
            </w:r>
          </w:p>
        </w:tc>
      </w:tr>
      <w:tr w:rsidR="003E1D81" w14:paraId="2EC2DAE2" w14:textId="77777777">
        <w:trPr>
          <w:trHeight w:val="309"/>
        </w:trPr>
        <w:tc>
          <w:tcPr>
            <w:tcW w:w="1223" w:type="dxa"/>
            <w:shd w:val="clear" w:color="auto" w:fill="C6EFCE"/>
          </w:tcPr>
          <w:p w14:paraId="58201B93" w14:textId="77777777" w:rsidR="003E1D81" w:rsidRDefault="00EB481C">
            <w:pPr>
              <w:pStyle w:val="P68B1DB1-Normal13"/>
              <w:jc w:val="center"/>
              <w:rPr>
                <w:rFonts w:cs="Times New Roman"/>
                <w:noProof/>
              </w:rPr>
            </w:pPr>
            <w:r>
              <w:rPr>
                <w:noProof/>
              </w:rPr>
              <w:t>170</w:t>
            </w:r>
          </w:p>
        </w:tc>
        <w:tc>
          <w:tcPr>
            <w:tcW w:w="1448" w:type="dxa"/>
            <w:shd w:val="clear" w:color="auto" w:fill="C6EFCE"/>
          </w:tcPr>
          <w:p w14:paraId="62CEB5EF" w14:textId="77777777" w:rsidR="003E1D81" w:rsidRDefault="00EB481C">
            <w:pPr>
              <w:pStyle w:val="P68B1DB1-Normal13"/>
              <w:jc w:val="center"/>
              <w:rPr>
                <w:rFonts w:cs="Times New Roman"/>
                <w:noProof/>
              </w:rPr>
            </w:pPr>
            <w:r>
              <w:rPr>
                <w:noProof/>
              </w:rPr>
              <w:t>C11.I4</w:t>
            </w:r>
          </w:p>
        </w:tc>
        <w:tc>
          <w:tcPr>
            <w:tcW w:w="966" w:type="dxa"/>
            <w:shd w:val="clear" w:color="auto" w:fill="C6EFCE"/>
          </w:tcPr>
          <w:p w14:paraId="2F26825E" w14:textId="77777777" w:rsidR="003E1D81" w:rsidRDefault="00EB481C">
            <w:pPr>
              <w:pStyle w:val="P68B1DB1-Normal13"/>
              <w:jc w:val="center"/>
              <w:rPr>
                <w:rFonts w:cs="Times New Roman"/>
                <w:noProof/>
              </w:rPr>
            </w:pPr>
            <w:r>
              <w:rPr>
                <w:noProof/>
              </w:rPr>
              <w:t>T</w:t>
            </w:r>
          </w:p>
        </w:tc>
        <w:tc>
          <w:tcPr>
            <w:tcW w:w="1631" w:type="dxa"/>
            <w:shd w:val="clear" w:color="auto" w:fill="C6EFCE"/>
          </w:tcPr>
          <w:p w14:paraId="7364233E" w14:textId="77777777" w:rsidR="003E1D81" w:rsidRDefault="00EB481C">
            <w:pPr>
              <w:pStyle w:val="P68B1DB1-Normal13"/>
              <w:rPr>
                <w:rFonts w:cs="Times New Roman"/>
                <w:noProof/>
              </w:rPr>
            </w:pPr>
            <w:r>
              <w:rPr>
                <w:noProof/>
              </w:rPr>
              <w:t>Járművek felújítása a közigazgatásban</w:t>
            </w:r>
          </w:p>
        </w:tc>
        <w:tc>
          <w:tcPr>
            <w:tcW w:w="1442" w:type="dxa"/>
            <w:shd w:val="clear" w:color="auto" w:fill="C6EFCE"/>
          </w:tcPr>
          <w:p w14:paraId="63A8EC38" w14:textId="77777777" w:rsidR="003E1D81" w:rsidRDefault="00EB481C">
            <w:pPr>
              <w:pStyle w:val="P68B1DB1-Normal13"/>
              <w:jc w:val="center"/>
              <w:rPr>
                <w:rFonts w:cs="Times New Roman"/>
                <w:noProof/>
              </w:rPr>
            </w:pPr>
            <w:r>
              <w:rPr>
                <w:noProof/>
              </w:rPr>
              <w:t> </w:t>
            </w:r>
          </w:p>
        </w:tc>
        <w:tc>
          <w:tcPr>
            <w:tcW w:w="1082" w:type="dxa"/>
            <w:shd w:val="clear" w:color="auto" w:fill="C6EFCE"/>
          </w:tcPr>
          <w:p w14:paraId="627B135B" w14:textId="77777777" w:rsidR="003E1D81" w:rsidRDefault="00EB481C">
            <w:pPr>
              <w:pStyle w:val="P68B1DB1-Normal13"/>
              <w:jc w:val="right"/>
              <w:rPr>
                <w:rFonts w:cs="Times New Roman"/>
                <w:noProof/>
              </w:rPr>
            </w:pPr>
            <w:r>
              <w:rPr>
                <w:noProof/>
              </w:rPr>
              <w:t>Szám</w:t>
            </w:r>
          </w:p>
        </w:tc>
        <w:tc>
          <w:tcPr>
            <w:tcW w:w="708" w:type="dxa"/>
            <w:shd w:val="clear" w:color="auto" w:fill="C6EFCE"/>
          </w:tcPr>
          <w:p w14:paraId="26A2834B" w14:textId="77777777" w:rsidR="003E1D81" w:rsidRDefault="00EB481C">
            <w:pPr>
              <w:pStyle w:val="P68B1DB1-Normal13"/>
              <w:jc w:val="right"/>
              <w:rPr>
                <w:rFonts w:cs="Times New Roman"/>
                <w:noProof/>
              </w:rPr>
            </w:pPr>
            <w:r>
              <w:rPr>
                <w:noProof/>
              </w:rPr>
              <w:t>0</w:t>
            </w:r>
          </w:p>
        </w:tc>
        <w:tc>
          <w:tcPr>
            <w:tcW w:w="709" w:type="dxa"/>
            <w:shd w:val="clear" w:color="auto" w:fill="C6EFCE"/>
          </w:tcPr>
          <w:p w14:paraId="4393AA0A" w14:textId="49FE25DB" w:rsidR="003E1D81" w:rsidRDefault="00EB481C">
            <w:pPr>
              <w:pStyle w:val="P68B1DB1-Normal13"/>
              <w:jc w:val="right"/>
              <w:rPr>
                <w:rFonts w:cs="Times New Roman"/>
                <w:noProof/>
              </w:rPr>
            </w:pPr>
            <w:r>
              <w:rPr>
                <w:noProof/>
              </w:rPr>
              <w:t>5 500</w:t>
            </w:r>
          </w:p>
        </w:tc>
        <w:tc>
          <w:tcPr>
            <w:tcW w:w="567" w:type="dxa"/>
            <w:shd w:val="clear" w:color="auto" w:fill="C6EFCE"/>
          </w:tcPr>
          <w:p w14:paraId="12EF1AA7" w14:textId="35FF11E9" w:rsidR="003E1D81" w:rsidRDefault="00EB481C">
            <w:pPr>
              <w:pStyle w:val="P68B1DB1-Normal13"/>
              <w:jc w:val="center"/>
              <w:rPr>
                <w:rFonts w:cs="Times New Roman"/>
                <w:noProof/>
              </w:rPr>
            </w:pPr>
            <w:r>
              <w:rPr>
                <w:noProof/>
              </w:rPr>
              <w:t>NEGYEDÉV</w:t>
            </w:r>
          </w:p>
        </w:tc>
        <w:tc>
          <w:tcPr>
            <w:tcW w:w="822" w:type="dxa"/>
            <w:shd w:val="clear" w:color="auto" w:fill="C6EFCE"/>
          </w:tcPr>
          <w:p w14:paraId="79DE240C" w14:textId="77777777" w:rsidR="003E1D81" w:rsidRDefault="00EB481C">
            <w:pPr>
              <w:pStyle w:val="P68B1DB1-Normal13"/>
              <w:jc w:val="center"/>
              <w:rPr>
                <w:rFonts w:cs="Times New Roman"/>
                <w:noProof/>
              </w:rPr>
            </w:pPr>
            <w:r>
              <w:rPr>
                <w:noProof/>
              </w:rPr>
              <w:t>2024</w:t>
            </w:r>
          </w:p>
        </w:tc>
        <w:tc>
          <w:tcPr>
            <w:tcW w:w="3998" w:type="dxa"/>
            <w:shd w:val="clear" w:color="auto" w:fill="C6EFCE"/>
          </w:tcPr>
          <w:p w14:paraId="5A19E714" w14:textId="72B13E44" w:rsidR="003E1D81" w:rsidRDefault="00EB481C">
            <w:pPr>
              <w:pStyle w:val="P68B1DB1-Normal13"/>
              <w:rPr>
                <w:rFonts w:cs="Times New Roman"/>
                <w:noProof/>
              </w:rPr>
            </w:pPr>
            <w:r>
              <w:rPr>
                <w:noProof/>
              </w:rPr>
              <w:t xml:space="preserve">Legalább 5500 nulla vagy alacsony szén-dioxid-kibocsátású jármű (BEV, REEV, PHEV, FCEV), amely a közigazgatásban használt fosszilis tüzelőanyagokon alapuló járműveket helyettesíti. </w:t>
            </w:r>
          </w:p>
        </w:tc>
      </w:tr>
      <w:tr w:rsidR="003E1D81" w14:paraId="61842A22" w14:textId="77777777">
        <w:trPr>
          <w:trHeight w:val="309"/>
        </w:trPr>
        <w:tc>
          <w:tcPr>
            <w:tcW w:w="1223" w:type="dxa"/>
            <w:shd w:val="clear" w:color="auto" w:fill="C6EFCE"/>
          </w:tcPr>
          <w:p w14:paraId="0453EA2B" w14:textId="77777777" w:rsidR="003E1D81" w:rsidRDefault="00EB481C">
            <w:pPr>
              <w:pStyle w:val="P68B1DB1-Normal13"/>
              <w:jc w:val="center"/>
              <w:rPr>
                <w:rFonts w:cs="Times New Roman"/>
                <w:noProof/>
              </w:rPr>
            </w:pPr>
            <w:r>
              <w:rPr>
                <w:noProof/>
              </w:rPr>
              <w:t>171</w:t>
            </w:r>
          </w:p>
        </w:tc>
        <w:tc>
          <w:tcPr>
            <w:tcW w:w="1448" w:type="dxa"/>
            <w:shd w:val="clear" w:color="auto" w:fill="C6EFCE"/>
          </w:tcPr>
          <w:p w14:paraId="224B33D6" w14:textId="77777777" w:rsidR="003E1D81" w:rsidRDefault="00EB481C">
            <w:pPr>
              <w:pStyle w:val="P68B1DB1-Normal13"/>
              <w:jc w:val="center"/>
              <w:rPr>
                <w:rFonts w:cs="Times New Roman"/>
                <w:noProof/>
              </w:rPr>
            </w:pPr>
            <w:r>
              <w:rPr>
                <w:noProof/>
              </w:rPr>
              <w:t>C11.I4</w:t>
            </w:r>
          </w:p>
        </w:tc>
        <w:tc>
          <w:tcPr>
            <w:tcW w:w="966" w:type="dxa"/>
            <w:shd w:val="clear" w:color="auto" w:fill="C6EFCE"/>
          </w:tcPr>
          <w:p w14:paraId="3A1065C5" w14:textId="77777777" w:rsidR="003E1D81" w:rsidRDefault="00EB481C">
            <w:pPr>
              <w:pStyle w:val="P68B1DB1-Normal13"/>
              <w:jc w:val="center"/>
              <w:rPr>
                <w:rFonts w:cs="Times New Roman"/>
                <w:noProof/>
              </w:rPr>
            </w:pPr>
            <w:r>
              <w:rPr>
                <w:noProof/>
              </w:rPr>
              <w:t>T</w:t>
            </w:r>
          </w:p>
        </w:tc>
        <w:tc>
          <w:tcPr>
            <w:tcW w:w="1631" w:type="dxa"/>
            <w:shd w:val="clear" w:color="auto" w:fill="C6EFCE"/>
          </w:tcPr>
          <w:p w14:paraId="221D05EB" w14:textId="77777777" w:rsidR="003E1D81" w:rsidRDefault="00EB481C">
            <w:pPr>
              <w:pStyle w:val="P68B1DB1-Normal13"/>
              <w:rPr>
                <w:rFonts w:cs="Times New Roman"/>
                <w:noProof/>
              </w:rPr>
            </w:pPr>
            <w:r>
              <w:rPr>
                <w:noProof/>
              </w:rPr>
              <w:t>Középületek energetikai felújítása (140 000 m 2</w:t>
            </w:r>
            <w:r>
              <w:rPr>
                <w:noProof/>
                <w:vertAlign w:val="superscript"/>
              </w:rPr>
              <w:t>)</w:t>
            </w:r>
          </w:p>
        </w:tc>
        <w:tc>
          <w:tcPr>
            <w:tcW w:w="1442" w:type="dxa"/>
            <w:shd w:val="clear" w:color="auto" w:fill="C6EFCE"/>
          </w:tcPr>
          <w:p w14:paraId="4E78C98F" w14:textId="77777777" w:rsidR="003E1D81" w:rsidRDefault="00EB481C">
            <w:pPr>
              <w:pStyle w:val="P68B1DB1-Normal13"/>
              <w:jc w:val="center"/>
              <w:rPr>
                <w:rFonts w:cs="Times New Roman"/>
                <w:noProof/>
              </w:rPr>
            </w:pPr>
            <w:r>
              <w:rPr>
                <w:noProof/>
              </w:rPr>
              <w:t> </w:t>
            </w:r>
          </w:p>
        </w:tc>
        <w:tc>
          <w:tcPr>
            <w:tcW w:w="1082" w:type="dxa"/>
            <w:shd w:val="clear" w:color="auto" w:fill="C6EFCE"/>
          </w:tcPr>
          <w:p w14:paraId="0AD94DD7" w14:textId="77777777" w:rsidR="003E1D81" w:rsidRDefault="00EB481C">
            <w:pPr>
              <w:pStyle w:val="P68B1DB1-Normal13"/>
              <w:jc w:val="right"/>
              <w:rPr>
                <w:rFonts w:cs="Times New Roman"/>
                <w:noProof/>
              </w:rPr>
            </w:pPr>
            <w:r>
              <w:rPr>
                <w:noProof/>
              </w:rPr>
              <w:t>Szám (m</w:t>
            </w:r>
            <w:r>
              <w:rPr>
                <w:noProof/>
                <w:vertAlign w:val="superscript"/>
              </w:rPr>
              <w:t>2</w:t>
            </w:r>
            <w:r>
              <w:rPr>
                <w:noProof/>
              </w:rPr>
              <w:t>)</w:t>
            </w:r>
          </w:p>
        </w:tc>
        <w:tc>
          <w:tcPr>
            <w:tcW w:w="708" w:type="dxa"/>
            <w:shd w:val="clear" w:color="auto" w:fill="C6EFCE"/>
          </w:tcPr>
          <w:p w14:paraId="4D8BF13E" w14:textId="77777777" w:rsidR="003E1D81" w:rsidRDefault="00EB481C">
            <w:pPr>
              <w:pStyle w:val="P68B1DB1-Normal13"/>
              <w:jc w:val="right"/>
              <w:rPr>
                <w:rFonts w:cs="Times New Roman"/>
                <w:noProof/>
              </w:rPr>
            </w:pPr>
            <w:r>
              <w:rPr>
                <w:noProof/>
              </w:rPr>
              <w:t>0</w:t>
            </w:r>
          </w:p>
        </w:tc>
        <w:tc>
          <w:tcPr>
            <w:tcW w:w="709" w:type="dxa"/>
            <w:shd w:val="clear" w:color="auto" w:fill="C6EFCE"/>
          </w:tcPr>
          <w:p w14:paraId="0CB2C3F3" w14:textId="77777777" w:rsidR="003E1D81" w:rsidRDefault="00EB481C">
            <w:pPr>
              <w:pStyle w:val="P68B1DB1-Normal13"/>
              <w:jc w:val="right"/>
              <w:rPr>
                <w:rFonts w:cs="Times New Roman"/>
                <w:noProof/>
              </w:rPr>
            </w:pPr>
            <w:r>
              <w:rPr>
                <w:noProof/>
              </w:rPr>
              <w:t>140 000</w:t>
            </w:r>
          </w:p>
        </w:tc>
        <w:tc>
          <w:tcPr>
            <w:tcW w:w="567" w:type="dxa"/>
            <w:shd w:val="clear" w:color="auto" w:fill="C6EFCE"/>
          </w:tcPr>
          <w:p w14:paraId="4113EE62"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34AD0CC7" w14:textId="77777777" w:rsidR="003E1D81" w:rsidRDefault="00EB481C">
            <w:pPr>
              <w:pStyle w:val="P68B1DB1-Normal13"/>
              <w:jc w:val="center"/>
              <w:rPr>
                <w:rFonts w:cs="Times New Roman"/>
                <w:noProof/>
              </w:rPr>
            </w:pPr>
            <w:r>
              <w:rPr>
                <w:noProof/>
              </w:rPr>
              <w:t>2024</w:t>
            </w:r>
          </w:p>
        </w:tc>
        <w:tc>
          <w:tcPr>
            <w:tcW w:w="3998" w:type="dxa"/>
            <w:shd w:val="clear" w:color="auto" w:fill="C6EFCE"/>
          </w:tcPr>
          <w:p w14:paraId="6DD00CB3" w14:textId="77777777" w:rsidR="003E1D81" w:rsidRDefault="00EB481C">
            <w:pPr>
              <w:pStyle w:val="P68B1DB1-Normal13"/>
              <w:rPr>
                <w:rFonts w:cs="Times New Roman"/>
                <w:noProof/>
              </w:rPr>
            </w:pPr>
            <w:r>
              <w:rPr>
                <w:noProof/>
              </w:rPr>
              <w:t>Legalább 140 000 m²</w:t>
            </w:r>
            <w:r>
              <w:rPr>
                <w:noProof/>
                <w:vertAlign w:val="superscript"/>
              </w:rPr>
              <w:t>a középületeken</w:t>
            </w:r>
            <w:r>
              <w:rPr>
                <w:noProof/>
              </w:rPr>
              <w:t xml:space="preserve"> befejezett energetikai felújításokból, amelyek átlagosan legalább 30%-os primerenergia-igénycsökkenést érnek el. </w:t>
            </w:r>
          </w:p>
        </w:tc>
      </w:tr>
      <w:tr w:rsidR="003E1D81" w14:paraId="0ECAD83F" w14:textId="77777777">
        <w:trPr>
          <w:trHeight w:val="309"/>
        </w:trPr>
        <w:tc>
          <w:tcPr>
            <w:tcW w:w="1223" w:type="dxa"/>
            <w:shd w:val="clear" w:color="auto" w:fill="C6EFCE"/>
          </w:tcPr>
          <w:p w14:paraId="265144FA" w14:textId="77777777" w:rsidR="003E1D81" w:rsidRDefault="00EB481C">
            <w:pPr>
              <w:pStyle w:val="P68B1DB1-Normal13"/>
              <w:jc w:val="center"/>
              <w:rPr>
                <w:rFonts w:cs="Times New Roman"/>
                <w:noProof/>
              </w:rPr>
            </w:pPr>
            <w:r>
              <w:rPr>
                <w:noProof/>
              </w:rPr>
              <w:t>172</w:t>
            </w:r>
          </w:p>
        </w:tc>
        <w:tc>
          <w:tcPr>
            <w:tcW w:w="1448" w:type="dxa"/>
            <w:shd w:val="clear" w:color="auto" w:fill="C6EFCE"/>
          </w:tcPr>
          <w:p w14:paraId="16CFF082" w14:textId="77777777" w:rsidR="003E1D81" w:rsidRDefault="00EB481C">
            <w:pPr>
              <w:pStyle w:val="P68B1DB1-Normal13"/>
              <w:jc w:val="center"/>
              <w:rPr>
                <w:rFonts w:cs="Times New Roman"/>
                <w:noProof/>
              </w:rPr>
            </w:pPr>
            <w:r>
              <w:rPr>
                <w:noProof/>
              </w:rPr>
              <w:t>C11.I4</w:t>
            </w:r>
          </w:p>
        </w:tc>
        <w:tc>
          <w:tcPr>
            <w:tcW w:w="966" w:type="dxa"/>
            <w:shd w:val="clear" w:color="auto" w:fill="C6EFCE"/>
          </w:tcPr>
          <w:p w14:paraId="424A5BDB" w14:textId="77777777" w:rsidR="003E1D81" w:rsidRDefault="00EB481C">
            <w:pPr>
              <w:pStyle w:val="P68B1DB1-Normal13"/>
              <w:jc w:val="center"/>
              <w:rPr>
                <w:rFonts w:cs="Times New Roman"/>
                <w:noProof/>
              </w:rPr>
            </w:pPr>
            <w:r>
              <w:rPr>
                <w:noProof/>
              </w:rPr>
              <w:t>T</w:t>
            </w:r>
          </w:p>
        </w:tc>
        <w:tc>
          <w:tcPr>
            <w:tcW w:w="1631" w:type="dxa"/>
            <w:shd w:val="clear" w:color="auto" w:fill="C6EFCE"/>
          </w:tcPr>
          <w:p w14:paraId="39B2B5FA" w14:textId="14AE9D35" w:rsidR="003E1D81" w:rsidRDefault="00EB481C">
            <w:pPr>
              <w:pStyle w:val="P68B1DB1-Normal13"/>
              <w:rPr>
                <w:rFonts w:cs="Times New Roman"/>
                <w:noProof/>
              </w:rPr>
            </w:pPr>
            <w:r>
              <w:rPr>
                <w:noProof/>
              </w:rPr>
              <w:t>Középületek energetikai felújítása (1 050 000 m 2)</w:t>
            </w:r>
          </w:p>
        </w:tc>
        <w:tc>
          <w:tcPr>
            <w:tcW w:w="1442" w:type="dxa"/>
            <w:shd w:val="clear" w:color="auto" w:fill="C6EFCE"/>
          </w:tcPr>
          <w:p w14:paraId="17FC145C" w14:textId="77777777" w:rsidR="003E1D81" w:rsidRDefault="00EB481C">
            <w:pPr>
              <w:pStyle w:val="P68B1DB1-Normal13"/>
              <w:jc w:val="center"/>
              <w:rPr>
                <w:rFonts w:cs="Times New Roman"/>
                <w:noProof/>
              </w:rPr>
            </w:pPr>
            <w:r>
              <w:rPr>
                <w:noProof/>
              </w:rPr>
              <w:t> </w:t>
            </w:r>
          </w:p>
        </w:tc>
        <w:tc>
          <w:tcPr>
            <w:tcW w:w="1082" w:type="dxa"/>
            <w:shd w:val="clear" w:color="auto" w:fill="C6EFCE"/>
          </w:tcPr>
          <w:p w14:paraId="3CA5CD69" w14:textId="77777777" w:rsidR="003E1D81" w:rsidRDefault="00EB481C">
            <w:pPr>
              <w:pStyle w:val="P68B1DB1-Normal13"/>
              <w:jc w:val="right"/>
              <w:rPr>
                <w:rFonts w:cs="Times New Roman"/>
                <w:noProof/>
              </w:rPr>
            </w:pPr>
            <w:r>
              <w:rPr>
                <w:noProof/>
              </w:rPr>
              <w:t>Szám (m</w:t>
            </w:r>
            <w:r>
              <w:rPr>
                <w:noProof/>
                <w:vertAlign w:val="superscript"/>
              </w:rPr>
              <w:t>2</w:t>
            </w:r>
            <w:r>
              <w:rPr>
                <w:noProof/>
              </w:rPr>
              <w:t>)</w:t>
            </w:r>
          </w:p>
        </w:tc>
        <w:tc>
          <w:tcPr>
            <w:tcW w:w="708" w:type="dxa"/>
            <w:shd w:val="clear" w:color="auto" w:fill="C6EFCE"/>
          </w:tcPr>
          <w:p w14:paraId="3FC613A1" w14:textId="77777777" w:rsidR="003E1D81" w:rsidRDefault="00EB481C">
            <w:pPr>
              <w:pStyle w:val="P68B1DB1-Normal13"/>
              <w:jc w:val="right"/>
              <w:rPr>
                <w:rFonts w:cs="Times New Roman"/>
                <w:noProof/>
              </w:rPr>
            </w:pPr>
            <w:r>
              <w:rPr>
                <w:noProof/>
              </w:rPr>
              <w:t>140 000</w:t>
            </w:r>
          </w:p>
        </w:tc>
        <w:tc>
          <w:tcPr>
            <w:tcW w:w="709" w:type="dxa"/>
            <w:shd w:val="clear" w:color="auto" w:fill="C6EFCE"/>
          </w:tcPr>
          <w:p w14:paraId="2CEBE334" w14:textId="09D1C051" w:rsidR="003E1D81" w:rsidRDefault="00EB481C">
            <w:pPr>
              <w:pStyle w:val="P68B1DB1-Normal13"/>
              <w:jc w:val="right"/>
              <w:rPr>
                <w:rFonts w:cs="Times New Roman"/>
                <w:noProof/>
              </w:rPr>
            </w:pPr>
            <w:r>
              <w:rPr>
                <w:noProof/>
              </w:rPr>
              <w:t>1 050 000</w:t>
            </w:r>
          </w:p>
        </w:tc>
        <w:tc>
          <w:tcPr>
            <w:tcW w:w="567" w:type="dxa"/>
            <w:shd w:val="clear" w:color="auto" w:fill="C6EFCE"/>
          </w:tcPr>
          <w:p w14:paraId="707801F4" w14:textId="77777777" w:rsidR="003E1D81" w:rsidRDefault="00EB481C">
            <w:pPr>
              <w:pStyle w:val="P68B1DB1-Normal13"/>
              <w:jc w:val="center"/>
              <w:rPr>
                <w:rFonts w:cs="Times New Roman"/>
                <w:noProof/>
              </w:rPr>
            </w:pPr>
            <w:r>
              <w:rPr>
                <w:noProof/>
              </w:rPr>
              <w:t>KÉRDÉS</w:t>
            </w:r>
          </w:p>
        </w:tc>
        <w:tc>
          <w:tcPr>
            <w:tcW w:w="822" w:type="dxa"/>
            <w:shd w:val="clear" w:color="auto" w:fill="C6EFCE"/>
          </w:tcPr>
          <w:p w14:paraId="46EFD318" w14:textId="77777777" w:rsidR="003E1D81" w:rsidRDefault="00EB481C">
            <w:pPr>
              <w:pStyle w:val="P68B1DB1-Normal13"/>
              <w:jc w:val="center"/>
              <w:rPr>
                <w:rFonts w:cs="Times New Roman"/>
                <w:noProof/>
              </w:rPr>
            </w:pPr>
            <w:r>
              <w:rPr>
                <w:noProof/>
              </w:rPr>
              <w:t>2026</w:t>
            </w:r>
          </w:p>
        </w:tc>
        <w:tc>
          <w:tcPr>
            <w:tcW w:w="3998" w:type="dxa"/>
            <w:shd w:val="clear" w:color="auto" w:fill="C6EFCE"/>
          </w:tcPr>
          <w:p w14:paraId="79821775" w14:textId="4ECB9088" w:rsidR="003E1D81" w:rsidRDefault="00EB481C">
            <w:pPr>
              <w:pStyle w:val="P68B1DB1-Normal13"/>
              <w:rPr>
                <w:rFonts w:cs="Times New Roman"/>
                <w:noProof/>
              </w:rPr>
            </w:pPr>
            <w:r>
              <w:rPr>
                <w:noProof/>
              </w:rPr>
              <w:t>Legalább 1 050 000 m 2 a</w:t>
            </w:r>
            <w:r>
              <w:rPr>
                <w:noProof/>
                <w:vertAlign w:val="superscript"/>
              </w:rPr>
              <w:t>középületekben befejezett energetikai</w:t>
            </w:r>
            <w:r>
              <w:rPr>
                <w:noProof/>
              </w:rPr>
              <w:t xml:space="preserve"> felújításokból, amelyek átlagosan legalább 30%-os primerenergia-igénycsökkenést érnek el. (alapforgatókönyv: 2024. december 31.)</w:t>
            </w:r>
          </w:p>
        </w:tc>
      </w:tr>
      <w:tr w:rsidR="003E1D81" w14:paraId="1A19CA85" w14:textId="77777777">
        <w:trPr>
          <w:trHeight w:val="309"/>
        </w:trPr>
        <w:tc>
          <w:tcPr>
            <w:tcW w:w="1223" w:type="dxa"/>
            <w:shd w:val="clear" w:color="auto" w:fill="C6EFCE"/>
          </w:tcPr>
          <w:p w14:paraId="266C876D" w14:textId="1CED3F3D" w:rsidR="003E1D81" w:rsidRDefault="00EB481C">
            <w:pPr>
              <w:pStyle w:val="P68B1DB1-Normal13"/>
              <w:jc w:val="center"/>
              <w:rPr>
                <w:rFonts w:cs="Times New Roman"/>
                <w:noProof/>
              </w:rPr>
            </w:pPr>
            <w:r>
              <w:rPr>
                <w:noProof/>
              </w:rPr>
              <w:t>439</w:t>
            </w:r>
          </w:p>
        </w:tc>
        <w:tc>
          <w:tcPr>
            <w:tcW w:w="1448" w:type="dxa"/>
            <w:shd w:val="clear" w:color="auto" w:fill="C6EFCE"/>
          </w:tcPr>
          <w:p w14:paraId="2C941AE5" w14:textId="549FD562" w:rsidR="003E1D81" w:rsidRDefault="00EB481C">
            <w:pPr>
              <w:pStyle w:val="P68B1DB1-Normal13"/>
              <w:jc w:val="center"/>
              <w:rPr>
                <w:rFonts w:cs="Times New Roman"/>
                <w:noProof/>
              </w:rPr>
            </w:pPr>
            <w:r>
              <w:rPr>
                <w:noProof/>
              </w:rPr>
              <w:t>C11.I4</w:t>
            </w:r>
          </w:p>
        </w:tc>
        <w:tc>
          <w:tcPr>
            <w:tcW w:w="966" w:type="dxa"/>
            <w:shd w:val="clear" w:color="auto" w:fill="C6EFCE"/>
          </w:tcPr>
          <w:p w14:paraId="48D882CE" w14:textId="12CA02B8" w:rsidR="003E1D81" w:rsidRDefault="00EB481C">
            <w:pPr>
              <w:pStyle w:val="P68B1DB1-Normal13"/>
              <w:jc w:val="center"/>
              <w:rPr>
                <w:rFonts w:cs="Times New Roman"/>
                <w:noProof/>
              </w:rPr>
            </w:pPr>
            <w:r>
              <w:rPr>
                <w:noProof/>
              </w:rPr>
              <w:t>T</w:t>
            </w:r>
          </w:p>
        </w:tc>
        <w:tc>
          <w:tcPr>
            <w:tcW w:w="1631" w:type="dxa"/>
            <w:shd w:val="clear" w:color="auto" w:fill="C6EFCE"/>
          </w:tcPr>
          <w:p w14:paraId="351EFAD8" w14:textId="6AD718D2" w:rsidR="003E1D81" w:rsidRDefault="00EB481C">
            <w:pPr>
              <w:pStyle w:val="P68B1DB1-Normal13"/>
              <w:rPr>
                <w:rFonts w:cs="Times New Roman"/>
                <w:noProof/>
              </w:rPr>
            </w:pPr>
            <w:r>
              <w:rPr>
                <w:noProof/>
              </w:rPr>
              <w:t xml:space="preserve">Fotovoltaikus </w:t>
            </w:r>
            <w:r>
              <w:rPr>
                <w:noProof/>
              </w:rPr>
              <w:t>napenergia-rendszerek vagy egyéb megújuló energiák bevezetése a központi kormányzat létesítményeiben</w:t>
            </w:r>
          </w:p>
        </w:tc>
        <w:tc>
          <w:tcPr>
            <w:tcW w:w="1442" w:type="dxa"/>
            <w:shd w:val="clear" w:color="auto" w:fill="C6EFCE"/>
          </w:tcPr>
          <w:p w14:paraId="0089FA6D" w14:textId="77777777" w:rsidR="003E1D81" w:rsidRDefault="003E1D81">
            <w:pPr>
              <w:jc w:val="center"/>
              <w:rPr>
                <w:rFonts w:ascii="Times New Roman" w:hAnsi="Times New Roman" w:cs="Times New Roman"/>
                <w:noProof/>
                <w:sz w:val="18"/>
              </w:rPr>
            </w:pPr>
          </w:p>
        </w:tc>
        <w:tc>
          <w:tcPr>
            <w:tcW w:w="1082" w:type="dxa"/>
            <w:shd w:val="clear" w:color="auto" w:fill="C6EFCE"/>
          </w:tcPr>
          <w:p w14:paraId="4858E5CA" w14:textId="58E0112C" w:rsidR="003E1D81" w:rsidRDefault="00EB481C">
            <w:pPr>
              <w:pStyle w:val="P68B1DB1-Normal13"/>
              <w:jc w:val="right"/>
              <w:rPr>
                <w:rFonts w:cs="Times New Roman"/>
                <w:noProof/>
              </w:rPr>
            </w:pPr>
            <w:r>
              <w:rPr>
                <w:noProof/>
              </w:rPr>
              <w:t xml:space="preserve"> Millió EUR</w:t>
            </w:r>
          </w:p>
        </w:tc>
        <w:tc>
          <w:tcPr>
            <w:tcW w:w="708" w:type="dxa"/>
            <w:shd w:val="clear" w:color="auto" w:fill="C6EFCE"/>
          </w:tcPr>
          <w:p w14:paraId="15744716" w14:textId="26FF9995" w:rsidR="003E1D81" w:rsidRDefault="00EB481C">
            <w:pPr>
              <w:pStyle w:val="P68B1DB1-Normal13"/>
              <w:jc w:val="right"/>
              <w:rPr>
                <w:rFonts w:cs="Times New Roman"/>
                <w:noProof/>
              </w:rPr>
            </w:pPr>
            <w:r>
              <w:rPr>
                <w:noProof/>
              </w:rPr>
              <w:t>0</w:t>
            </w:r>
          </w:p>
        </w:tc>
        <w:tc>
          <w:tcPr>
            <w:tcW w:w="709" w:type="dxa"/>
            <w:shd w:val="clear" w:color="auto" w:fill="C6EFCE"/>
          </w:tcPr>
          <w:p w14:paraId="28D7C79F" w14:textId="36B39F61" w:rsidR="003E1D81" w:rsidRDefault="00EB481C">
            <w:pPr>
              <w:pStyle w:val="P68B1DB1-Normal13"/>
              <w:jc w:val="right"/>
              <w:rPr>
                <w:rFonts w:cs="Times New Roman"/>
                <w:noProof/>
              </w:rPr>
            </w:pPr>
            <w:r>
              <w:rPr>
                <w:noProof/>
              </w:rPr>
              <w:t>80</w:t>
            </w:r>
          </w:p>
        </w:tc>
        <w:tc>
          <w:tcPr>
            <w:tcW w:w="567" w:type="dxa"/>
            <w:shd w:val="clear" w:color="auto" w:fill="C6EFCE"/>
          </w:tcPr>
          <w:p w14:paraId="7911F42D" w14:textId="23F61333" w:rsidR="003E1D81" w:rsidRDefault="00EB481C">
            <w:pPr>
              <w:pStyle w:val="P68B1DB1-Normal13"/>
              <w:jc w:val="center"/>
              <w:rPr>
                <w:rFonts w:cs="Times New Roman"/>
                <w:noProof/>
              </w:rPr>
            </w:pPr>
            <w:r>
              <w:rPr>
                <w:noProof/>
              </w:rPr>
              <w:t>KÉRDÉS</w:t>
            </w:r>
          </w:p>
        </w:tc>
        <w:tc>
          <w:tcPr>
            <w:tcW w:w="822" w:type="dxa"/>
            <w:shd w:val="clear" w:color="auto" w:fill="C6EFCE"/>
          </w:tcPr>
          <w:p w14:paraId="40D1653F" w14:textId="324B3F87" w:rsidR="003E1D81" w:rsidRDefault="00EB481C">
            <w:pPr>
              <w:pStyle w:val="P68B1DB1-Normal13"/>
              <w:jc w:val="center"/>
              <w:rPr>
                <w:rFonts w:cs="Times New Roman"/>
                <w:noProof/>
              </w:rPr>
            </w:pPr>
            <w:r>
              <w:rPr>
                <w:noProof/>
              </w:rPr>
              <w:t>2026</w:t>
            </w:r>
          </w:p>
        </w:tc>
        <w:tc>
          <w:tcPr>
            <w:tcW w:w="3998" w:type="dxa"/>
            <w:shd w:val="clear" w:color="auto" w:fill="C6EFCE"/>
          </w:tcPr>
          <w:p w14:paraId="3C260850" w14:textId="0BD0FA22" w:rsidR="003E1D81" w:rsidRDefault="00EB481C">
            <w:pPr>
              <w:pStyle w:val="P68B1DB1-Normal13"/>
              <w:rPr>
                <w:rFonts w:cs="Times New Roman"/>
                <w:noProof/>
              </w:rPr>
            </w:pPr>
            <w:r>
              <w:rPr>
                <w:noProof/>
              </w:rPr>
              <w:t xml:space="preserve">A fotovoltaikus napenergia-rendszereknek vagy más megújuló energiáknak a központi kormányzat létesítményeiben történő </w:t>
            </w:r>
            <w:r>
              <w:rPr>
                <w:noProof/>
              </w:rPr>
              <w:t>megvalósítására irányuló projektek befejezése legalább 80 000 000 EUR értékben.</w:t>
            </w:r>
          </w:p>
        </w:tc>
      </w:tr>
      <w:tr w:rsidR="003E1D81" w14:paraId="51420AED" w14:textId="77777777">
        <w:trPr>
          <w:trHeight w:val="309"/>
        </w:trPr>
        <w:tc>
          <w:tcPr>
            <w:tcW w:w="1223" w:type="dxa"/>
            <w:shd w:val="clear" w:color="auto" w:fill="C6EFCE"/>
          </w:tcPr>
          <w:p w14:paraId="16D69C5E" w14:textId="77777777" w:rsidR="003E1D81" w:rsidRDefault="00EB481C">
            <w:pPr>
              <w:pStyle w:val="P68B1DB1-Normal13"/>
              <w:jc w:val="center"/>
              <w:rPr>
                <w:rFonts w:cs="Times New Roman"/>
                <w:noProof/>
              </w:rPr>
            </w:pPr>
            <w:r>
              <w:rPr>
                <w:noProof/>
              </w:rPr>
              <w:t>173</w:t>
            </w:r>
          </w:p>
        </w:tc>
        <w:tc>
          <w:tcPr>
            <w:tcW w:w="1448" w:type="dxa"/>
            <w:shd w:val="clear" w:color="auto" w:fill="C6EFCE"/>
          </w:tcPr>
          <w:p w14:paraId="42396D75" w14:textId="77777777" w:rsidR="003E1D81" w:rsidRDefault="00EB481C">
            <w:pPr>
              <w:pStyle w:val="P68B1DB1-Normal13"/>
              <w:jc w:val="center"/>
              <w:rPr>
                <w:rFonts w:cs="Times New Roman"/>
                <w:noProof/>
              </w:rPr>
            </w:pPr>
            <w:r>
              <w:rPr>
                <w:noProof/>
              </w:rPr>
              <w:t>C11.I5</w:t>
            </w:r>
          </w:p>
        </w:tc>
        <w:tc>
          <w:tcPr>
            <w:tcW w:w="966" w:type="dxa"/>
            <w:shd w:val="clear" w:color="auto" w:fill="C6EFCE"/>
          </w:tcPr>
          <w:p w14:paraId="3028FAE5" w14:textId="77777777" w:rsidR="003E1D81" w:rsidRDefault="00EB481C">
            <w:pPr>
              <w:pStyle w:val="P68B1DB1-Normal13"/>
              <w:jc w:val="center"/>
              <w:rPr>
                <w:rFonts w:cs="Times New Roman"/>
                <w:noProof/>
              </w:rPr>
            </w:pPr>
            <w:r>
              <w:rPr>
                <w:noProof/>
              </w:rPr>
              <w:t>M</w:t>
            </w:r>
          </w:p>
        </w:tc>
        <w:tc>
          <w:tcPr>
            <w:tcW w:w="1631" w:type="dxa"/>
            <w:shd w:val="clear" w:color="auto" w:fill="C6EFCE"/>
          </w:tcPr>
          <w:p w14:paraId="2F2DF16B" w14:textId="77777777" w:rsidR="003E1D81" w:rsidRDefault="00EB481C">
            <w:pPr>
              <w:pStyle w:val="P68B1DB1-Normal13"/>
              <w:rPr>
                <w:rFonts w:cs="Times New Roman"/>
                <w:noProof/>
              </w:rPr>
            </w:pPr>
            <w:r>
              <w:rPr>
                <w:noProof/>
              </w:rPr>
              <w:t>A Helyreállítási és Rezilienciaépítési Eszköz integrált információs rendszere</w:t>
            </w:r>
          </w:p>
        </w:tc>
        <w:tc>
          <w:tcPr>
            <w:tcW w:w="1442" w:type="dxa"/>
            <w:shd w:val="clear" w:color="auto" w:fill="C6EFCE"/>
          </w:tcPr>
          <w:p w14:paraId="109361A0" w14:textId="77777777" w:rsidR="003E1D81" w:rsidRDefault="00EB481C">
            <w:pPr>
              <w:pStyle w:val="P68B1DB1-Normal13"/>
              <w:jc w:val="center"/>
              <w:rPr>
                <w:rFonts w:cs="Times New Roman"/>
                <w:noProof/>
              </w:rPr>
            </w:pPr>
            <w:r>
              <w:rPr>
                <w:noProof/>
              </w:rPr>
              <w:t>Ellenőrzési jelentés</w:t>
            </w:r>
          </w:p>
        </w:tc>
        <w:tc>
          <w:tcPr>
            <w:tcW w:w="1082" w:type="dxa"/>
            <w:shd w:val="clear" w:color="auto" w:fill="C6EFCE"/>
          </w:tcPr>
          <w:p w14:paraId="0115031B" w14:textId="77777777" w:rsidR="003E1D81" w:rsidRDefault="00EB481C">
            <w:pPr>
              <w:pStyle w:val="P68B1DB1-Normal13"/>
              <w:jc w:val="right"/>
              <w:rPr>
                <w:rFonts w:cs="Times New Roman"/>
                <w:noProof/>
              </w:rPr>
            </w:pPr>
            <w:r>
              <w:rPr>
                <w:noProof/>
              </w:rPr>
              <w:t xml:space="preserve"> </w:t>
            </w:r>
          </w:p>
        </w:tc>
        <w:tc>
          <w:tcPr>
            <w:tcW w:w="708" w:type="dxa"/>
            <w:shd w:val="clear" w:color="auto" w:fill="C6EFCE"/>
          </w:tcPr>
          <w:p w14:paraId="1E24DD54" w14:textId="77777777" w:rsidR="003E1D81" w:rsidRDefault="00EB481C">
            <w:pPr>
              <w:pStyle w:val="P68B1DB1-Normal13"/>
              <w:jc w:val="right"/>
              <w:rPr>
                <w:rFonts w:cs="Times New Roman"/>
                <w:noProof/>
              </w:rPr>
            </w:pPr>
            <w:r>
              <w:rPr>
                <w:noProof/>
              </w:rPr>
              <w:t xml:space="preserve"> </w:t>
            </w:r>
          </w:p>
        </w:tc>
        <w:tc>
          <w:tcPr>
            <w:tcW w:w="709" w:type="dxa"/>
            <w:shd w:val="clear" w:color="auto" w:fill="C6EFCE"/>
          </w:tcPr>
          <w:p w14:paraId="074BB40A" w14:textId="77777777" w:rsidR="003E1D81" w:rsidRDefault="00EB481C">
            <w:pPr>
              <w:pStyle w:val="P68B1DB1-Normal13"/>
              <w:jc w:val="right"/>
              <w:rPr>
                <w:rFonts w:cs="Times New Roman"/>
                <w:noProof/>
              </w:rPr>
            </w:pPr>
            <w:r>
              <w:rPr>
                <w:noProof/>
              </w:rPr>
              <w:t xml:space="preserve"> </w:t>
            </w:r>
          </w:p>
        </w:tc>
        <w:tc>
          <w:tcPr>
            <w:tcW w:w="567" w:type="dxa"/>
            <w:shd w:val="clear" w:color="auto" w:fill="C6EFCE"/>
          </w:tcPr>
          <w:p w14:paraId="7E469E69"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7638223B" w14:textId="77777777" w:rsidR="003E1D81" w:rsidRDefault="00EB481C">
            <w:pPr>
              <w:pStyle w:val="P68B1DB1-Normal13"/>
              <w:jc w:val="center"/>
              <w:rPr>
                <w:rFonts w:cs="Times New Roman"/>
                <w:noProof/>
              </w:rPr>
            </w:pPr>
            <w:r>
              <w:rPr>
                <w:noProof/>
              </w:rPr>
              <w:t>2021</w:t>
            </w:r>
          </w:p>
        </w:tc>
        <w:tc>
          <w:tcPr>
            <w:tcW w:w="3998" w:type="dxa"/>
            <w:shd w:val="clear" w:color="auto" w:fill="C6EFCE"/>
          </w:tcPr>
          <w:p w14:paraId="6286323C" w14:textId="77777777" w:rsidR="003E1D81" w:rsidRDefault="00EB481C">
            <w:pPr>
              <w:pStyle w:val="P68B1DB1-Normal13"/>
              <w:rPr>
                <w:rFonts w:cs="Times New Roman"/>
                <w:noProof/>
              </w:rPr>
            </w:pPr>
            <w:r>
              <w:rPr>
                <w:noProof/>
              </w:rPr>
              <w:t xml:space="preserve">Olyan rendszer bevezetése, amely lehetővé </w:t>
            </w:r>
            <w:r>
              <w:rPr>
                <w:noProof/>
              </w:rPr>
              <w:t>teszi a) a helyreállítási és rezilienciaépítési terv, valamint a mérföldkövek és célok elérésére vonatkozó végrehajtási és nyomonkövetési információk feltöltését; a vezetői nyilatkozatok és az ellenőrzési összefoglaló, valamint a kifizetési kérelmek elkész</w:t>
            </w:r>
            <w:r>
              <w:rPr>
                <w:noProof/>
              </w:rPr>
              <w:t>ítése, valamint c) a kedvezményezettekre, vállalkozókra, alvállalkozókra és tényleges tulajdonosokra vonatkozó adatok gyűjtése és tárolása a Helyreállítási és Rezilienciaépítési Eszközről szóló rendelet 22. cikkével összhangban. A használt rendszerről külö</w:t>
            </w:r>
            <w:r>
              <w:rPr>
                <w:noProof/>
              </w:rPr>
              <w:t>n ellenőrzési jelentést kell készíteni. Amennyiben a jelentés hiányosságokat tár fel, az ellenőrzési jelentésnek korrekciós intézkedéseket kell javasolnia.</w:t>
            </w:r>
          </w:p>
        </w:tc>
      </w:tr>
      <w:tr w:rsidR="003E1D81" w14:paraId="3D6B6EB3" w14:textId="77777777">
        <w:trPr>
          <w:trHeight w:val="309"/>
        </w:trPr>
        <w:tc>
          <w:tcPr>
            <w:tcW w:w="1223" w:type="dxa"/>
            <w:shd w:val="clear" w:color="auto" w:fill="C6EFCE"/>
          </w:tcPr>
          <w:p w14:paraId="6DAA0BD9" w14:textId="77777777" w:rsidR="003E1D81" w:rsidRDefault="00EB481C">
            <w:pPr>
              <w:pStyle w:val="P68B1DB1-Normal13"/>
              <w:jc w:val="center"/>
              <w:rPr>
                <w:rFonts w:cs="Times New Roman"/>
                <w:noProof/>
              </w:rPr>
            </w:pPr>
            <w:r>
              <w:rPr>
                <w:noProof/>
              </w:rPr>
              <w:t>174</w:t>
            </w:r>
          </w:p>
        </w:tc>
        <w:tc>
          <w:tcPr>
            <w:tcW w:w="1448" w:type="dxa"/>
            <w:shd w:val="clear" w:color="auto" w:fill="C6EFCE"/>
          </w:tcPr>
          <w:p w14:paraId="2F95774C" w14:textId="77777777" w:rsidR="003E1D81" w:rsidRDefault="00EB481C">
            <w:pPr>
              <w:pStyle w:val="P68B1DB1-Normal13"/>
              <w:jc w:val="center"/>
              <w:rPr>
                <w:rFonts w:cs="Times New Roman"/>
                <w:noProof/>
              </w:rPr>
            </w:pPr>
            <w:r>
              <w:rPr>
                <w:noProof/>
              </w:rPr>
              <w:t>C11.I5</w:t>
            </w:r>
          </w:p>
        </w:tc>
        <w:tc>
          <w:tcPr>
            <w:tcW w:w="966" w:type="dxa"/>
            <w:shd w:val="clear" w:color="auto" w:fill="C6EFCE"/>
          </w:tcPr>
          <w:p w14:paraId="140E7501" w14:textId="77777777" w:rsidR="003E1D81" w:rsidRDefault="00EB481C">
            <w:pPr>
              <w:pStyle w:val="P68B1DB1-Normal13"/>
              <w:jc w:val="center"/>
              <w:rPr>
                <w:rFonts w:cs="Times New Roman"/>
                <w:noProof/>
              </w:rPr>
            </w:pPr>
            <w:r>
              <w:rPr>
                <w:noProof/>
              </w:rPr>
              <w:t>T</w:t>
            </w:r>
          </w:p>
        </w:tc>
        <w:tc>
          <w:tcPr>
            <w:tcW w:w="1631" w:type="dxa"/>
            <w:shd w:val="clear" w:color="auto" w:fill="C6EFCE"/>
          </w:tcPr>
          <w:p w14:paraId="09AB6B67" w14:textId="77777777" w:rsidR="003E1D81" w:rsidRDefault="00EB481C">
            <w:pPr>
              <w:pStyle w:val="P68B1DB1-Normal13"/>
              <w:rPr>
                <w:rFonts w:cs="Times New Roman"/>
                <w:noProof/>
              </w:rPr>
            </w:pPr>
            <w:r>
              <w:rPr>
                <w:noProof/>
              </w:rPr>
              <w:t>Új kommunikációs eszközök és tevékenységek</w:t>
            </w:r>
          </w:p>
        </w:tc>
        <w:tc>
          <w:tcPr>
            <w:tcW w:w="1442" w:type="dxa"/>
            <w:shd w:val="clear" w:color="auto" w:fill="C6EFCE"/>
          </w:tcPr>
          <w:p w14:paraId="1043FF33" w14:textId="77777777" w:rsidR="003E1D81" w:rsidRDefault="00EB481C">
            <w:pPr>
              <w:pStyle w:val="P68B1DB1-Normal13"/>
              <w:jc w:val="center"/>
              <w:rPr>
                <w:rFonts w:cs="Times New Roman"/>
                <w:noProof/>
              </w:rPr>
            </w:pPr>
            <w:r>
              <w:rPr>
                <w:noProof/>
              </w:rPr>
              <w:t> </w:t>
            </w:r>
          </w:p>
        </w:tc>
        <w:tc>
          <w:tcPr>
            <w:tcW w:w="1082" w:type="dxa"/>
            <w:shd w:val="clear" w:color="auto" w:fill="C6EFCE"/>
          </w:tcPr>
          <w:p w14:paraId="1BA20486" w14:textId="77777777" w:rsidR="003E1D81" w:rsidRDefault="00EB481C">
            <w:pPr>
              <w:pStyle w:val="P68B1DB1-Normal13"/>
              <w:jc w:val="right"/>
              <w:rPr>
                <w:rFonts w:cs="Times New Roman"/>
                <w:noProof/>
              </w:rPr>
            </w:pPr>
            <w:r>
              <w:rPr>
                <w:noProof/>
              </w:rPr>
              <w:t>Szám</w:t>
            </w:r>
          </w:p>
        </w:tc>
        <w:tc>
          <w:tcPr>
            <w:tcW w:w="708" w:type="dxa"/>
            <w:shd w:val="clear" w:color="auto" w:fill="C6EFCE"/>
          </w:tcPr>
          <w:p w14:paraId="3194369D" w14:textId="77777777" w:rsidR="003E1D81" w:rsidRDefault="00EB481C">
            <w:pPr>
              <w:pStyle w:val="P68B1DB1-Normal13"/>
              <w:jc w:val="right"/>
              <w:rPr>
                <w:rFonts w:cs="Times New Roman"/>
                <w:noProof/>
              </w:rPr>
            </w:pPr>
            <w:r>
              <w:rPr>
                <w:noProof/>
              </w:rPr>
              <w:t>0</w:t>
            </w:r>
          </w:p>
        </w:tc>
        <w:tc>
          <w:tcPr>
            <w:tcW w:w="709" w:type="dxa"/>
            <w:shd w:val="clear" w:color="auto" w:fill="C6EFCE"/>
          </w:tcPr>
          <w:p w14:paraId="1DFFE5C7" w14:textId="77777777" w:rsidR="003E1D81" w:rsidRDefault="00EB481C">
            <w:pPr>
              <w:pStyle w:val="P68B1DB1-Normal13"/>
              <w:jc w:val="right"/>
              <w:rPr>
                <w:rFonts w:cs="Times New Roman"/>
                <w:noProof/>
              </w:rPr>
            </w:pPr>
            <w:r>
              <w:rPr>
                <w:noProof/>
              </w:rPr>
              <w:t>4</w:t>
            </w:r>
          </w:p>
        </w:tc>
        <w:tc>
          <w:tcPr>
            <w:tcW w:w="567" w:type="dxa"/>
            <w:shd w:val="clear" w:color="auto" w:fill="C6EFCE"/>
          </w:tcPr>
          <w:p w14:paraId="7D1EB45E"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1DFA7961" w14:textId="77777777" w:rsidR="003E1D81" w:rsidRDefault="00EB481C">
            <w:pPr>
              <w:pStyle w:val="P68B1DB1-Normal13"/>
              <w:jc w:val="center"/>
              <w:rPr>
                <w:rFonts w:cs="Times New Roman"/>
                <w:noProof/>
              </w:rPr>
            </w:pPr>
            <w:r>
              <w:rPr>
                <w:noProof/>
              </w:rPr>
              <w:t>2022</w:t>
            </w:r>
          </w:p>
        </w:tc>
        <w:tc>
          <w:tcPr>
            <w:tcW w:w="3998" w:type="dxa"/>
            <w:shd w:val="clear" w:color="auto" w:fill="C6EFCE"/>
          </w:tcPr>
          <w:p w14:paraId="2D0F4233" w14:textId="77777777" w:rsidR="003E1D81" w:rsidRDefault="00EB481C">
            <w:pPr>
              <w:pStyle w:val="P68B1DB1-Normal13"/>
              <w:rPr>
                <w:rFonts w:cs="Times New Roman"/>
                <w:noProof/>
              </w:rPr>
            </w:pPr>
            <w:r>
              <w:rPr>
                <w:noProof/>
              </w:rPr>
              <w:t xml:space="preserve">Legalább két </w:t>
            </w:r>
            <w:r>
              <w:rPr>
                <w:noProof/>
              </w:rPr>
              <w:t>közösségi vezetőt vettek fel a közösségi médiában való jelenlét növelése érdekében, növelve a terv potenciális résztvevőinek és kedvezményezettjeinek számát annak érdekében, hogy megismerjék a terv által kínált lehetőségeket; 2 olyan weboldal működik, amel</w:t>
            </w:r>
            <w:r>
              <w:rPr>
                <w:noProof/>
              </w:rPr>
              <w:t>y hozzájárul az erőforrások felhasználásának maximalizálásához.</w:t>
            </w:r>
          </w:p>
        </w:tc>
      </w:tr>
      <w:tr w:rsidR="003E1D81" w14:paraId="2692D9E7" w14:textId="77777777">
        <w:trPr>
          <w:trHeight w:val="309"/>
        </w:trPr>
        <w:tc>
          <w:tcPr>
            <w:tcW w:w="1223" w:type="dxa"/>
            <w:shd w:val="clear" w:color="auto" w:fill="C6EFCE"/>
          </w:tcPr>
          <w:p w14:paraId="5D82B080" w14:textId="77777777" w:rsidR="003E1D81" w:rsidRDefault="00EB481C">
            <w:pPr>
              <w:pStyle w:val="P68B1DB1-Normal13"/>
              <w:jc w:val="center"/>
              <w:rPr>
                <w:rFonts w:cs="Times New Roman"/>
                <w:noProof/>
              </w:rPr>
            </w:pPr>
            <w:r>
              <w:rPr>
                <w:noProof/>
              </w:rPr>
              <w:t>175</w:t>
            </w:r>
          </w:p>
        </w:tc>
        <w:tc>
          <w:tcPr>
            <w:tcW w:w="1448" w:type="dxa"/>
            <w:shd w:val="clear" w:color="auto" w:fill="C6EFCE"/>
          </w:tcPr>
          <w:p w14:paraId="79BA18C8" w14:textId="77777777" w:rsidR="003E1D81" w:rsidRDefault="00EB481C">
            <w:pPr>
              <w:pStyle w:val="P68B1DB1-Normal13"/>
              <w:jc w:val="center"/>
              <w:rPr>
                <w:rFonts w:cs="Times New Roman"/>
                <w:noProof/>
              </w:rPr>
            </w:pPr>
            <w:r>
              <w:rPr>
                <w:noProof/>
              </w:rPr>
              <w:t>C11.I5</w:t>
            </w:r>
          </w:p>
        </w:tc>
        <w:tc>
          <w:tcPr>
            <w:tcW w:w="966" w:type="dxa"/>
            <w:shd w:val="clear" w:color="auto" w:fill="C6EFCE"/>
          </w:tcPr>
          <w:p w14:paraId="73559B47" w14:textId="77777777" w:rsidR="003E1D81" w:rsidRDefault="00EB481C">
            <w:pPr>
              <w:pStyle w:val="P68B1DB1-Normal13"/>
              <w:jc w:val="center"/>
              <w:rPr>
                <w:rFonts w:cs="Times New Roman"/>
                <w:noProof/>
              </w:rPr>
            </w:pPr>
            <w:r>
              <w:rPr>
                <w:noProof/>
              </w:rPr>
              <w:t>T</w:t>
            </w:r>
          </w:p>
        </w:tc>
        <w:tc>
          <w:tcPr>
            <w:tcW w:w="1631" w:type="dxa"/>
            <w:shd w:val="clear" w:color="auto" w:fill="C6EFCE"/>
          </w:tcPr>
          <w:p w14:paraId="3632DEEA" w14:textId="77777777" w:rsidR="003E1D81" w:rsidRDefault="00EB481C">
            <w:pPr>
              <w:pStyle w:val="P68B1DB1-Normal13"/>
              <w:rPr>
                <w:rFonts w:cs="Times New Roman"/>
                <w:noProof/>
              </w:rPr>
            </w:pPr>
            <w:r>
              <w:rPr>
                <w:noProof/>
              </w:rPr>
              <w:t xml:space="preserve">A közigazgatás képzett személyzete </w:t>
            </w:r>
          </w:p>
        </w:tc>
        <w:tc>
          <w:tcPr>
            <w:tcW w:w="1442" w:type="dxa"/>
            <w:shd w:val="clear" w:color="auto" w:fill="C6EFCE"/>
          </w:tcPr>
          <w:p w14:paraId="589E950B" w14:textId="77777777" w:rsidR="003E1D81" w:rsidRDefault="00EB481C">
            <w:pPr>
              <w:pStyle w:val="P68B1DB1-Normal13"/>
              <w:jc w:val="center"/>
              <w:rPr>
                <w:rFonts w:cs="Times New Roman"/>
                <w:noProof/>
              </w:rPr>
            </w:pPr>
            <w:r>
              <w:rPr>
                <w:noProof/>
              </w:rPr>
              <w:t> </w:t>
            </w:r>
          </w:p>
        </w:tc>
        <w:tc>
          <w:tcPr>
            <w:tcW w:w="1082" w:type="dxa"/>
            <w:shd w:val="clear" w:color="auto" w:fill="C6EFCE"/>
          </w:tcPr>
          <w:p w14:paraId="56C89F43" w14:textId="77777777" w:rsidR="003E1D81" w:rsidRDefault="00EB481C">
            <w:pPr>
              <w:pStyle w:val="P68B1DB1-Normal13"/>
              <w:jc w:val="right"/>
              <w:rPr>
                <w:rFonts w:cs="Times New Roman"/>
                <w:noProof/>
              </w:rPr>
            </w:pPr>
            <w:r>
              <w:rPr>
                <w:noProof/>
              </w:rPr>
              <w:t>Szám</w:t>
            </w:r>
          </w:p>
        </w:tc>
        <w:tc>
          <w:tcPr>
            <w:tcW w:w="708" w:type="dxa"/>
            <w:shd w:val="clear" w:color="auto" w:fill="C6EFCE"/>
          </w:tcPr>
          <w:p w14:paraId="6992A621" w14:textId="77777777" w:rsidR="003E1D81" w:rsidRDefault="00EB481C">
            <w:pPr>
              <w:pStyle w:val="P68B1DB1-Normal13"/>
              <w:jc w:val="right"/>
              <w:rPr>
                <w:rFonts w:cs="Times New Roman"/>
                <w:noProof/>
              </w:rPr>
            </w:pPr>
            <w:r>
              <w:rPr>
                <w:noProof/>
              </w:rPr>
              <w:t>0</w:t>
            </w:r>
          </w:p>
        </w:tc>
        <w:tc>
          <w:tcPr>
            <w:tcW w:w="709" w:type="dxa"/>
            <w:shd w:val="clear" w:color="auto" w:fill="C6EFCE"/>
          </w:tcPr>
          <w:p w14:paraId="39FC2332" w14:textId="77777777" w:rsidR="003E1D81" w:rsidRDefault="00EB481C">
            <w:pPr>
              <w:pStyle w:val="P68B1DB1-Normal13"/>
              <w:jc w:val="right"/>
              <w:rPr>
                <w:rFonts w:cs="Times New Roman"/>
                <w:noProof/>
              </w:rPr>
            </w:pPr>
            <w:r>
              <w:rPr>
                <w:noProof/>
              </w:rPr>
              <w:t>3 150</w:t>
            </w:r>
          </w:p>
        </w:tc>
        <w:tc>
          <w:tcPr>
            <w:tcW w:w="567" w:type="dxa"/>
            <w:shd w:val="clear" w:color="auto" w:fill="C6EFCE"/>
          </w:tcPr>
          <w:p w14:paraId="18DEFB86" w14:textId="77777777" w:rsidR="003E1D81" w:rsidRDefault="00EB481C">
            <w:pPr>
              <w:pStyle w:val="P68B1DB1-Normal13"/>
              <w:jc w:val="center"/>
              <w:rPr>
                <w:rFonts w:cs="Times New Roman"/>
                <w:noProof/>
              </w:rPr>
            </w:pPr>
            <w:r>
              <w:rPr>
                <w:noProof/>
              </w:rPr>
              <w:t>NEGYEDÉV</w:t>
            </w:r>
          </w:p>
        </w:tc>
        <w:tc>
          <w:tcPr>
            <w:tcW w:w="822" w:type="dxa"/>
            <w:shd w:val="clear" w:color="auto" w:fill="C6EFCE"/>
          </w:tcPr>
          <w:p w14:paraId="3D640CA9" w14:textId="77777777" w:rsidR="003E1D81" w:rsidRDefault="00EB481C">
            <w:pPr>
              <w:pStyle w:val="P68B1DB1-Normal13"/>
              <w:jc w:val="center"/>
              <w:rPr>
                <w:rFonts w:cs="Times New Roman"/>
                <w:noProof/>
              </w:rPr>
            </w:pPr>
            <w:r>
              <w:rPr>
                <w:noProof/>
              </w:rPr>
              <w:t>2026</w:t>
            </w:r>
          </w:p>
        </w:tc>
        <w:tc>
          <w:tcPr>
            <w:tcW w:w="3998" w:type="dxa"/>
            <w:shd w:val="clear" w:color="auto" w:fill="C6EFCE"/>
          </w:tcPr>
          <w:p w14:paraId="42468616" w14:textId="77777777" w:rsidR="003E1D81" w:rsidRDefault="00EB481C">
            <w:pPr>
              <w:pStyle w:val="P68B1DB1-Normal13"/>
              <w:rPr>
                <w:rFonts w:cs="Times New Roman"/>
                <w:noProof/>
              </w:rPr>
            </w:pPr>
            <w:r>
              <w:rPr>
                <w:noProof/>
              </w:rPr>
              <w:t xml:space="preserve">A közigazgatás legalább 3150 alkalmazottja részesült képzésben a helyreállítási és rezilienciaépítési terv végrehajtásával, ellenőrzésével és ellenőrzésével kapcsolatos területeken. </w:t>
            </w:r>
          </w:p>
        </w:tc>
      </w:tr>
    </w:tbl>
    <w:p w14:paraId="000C812F" w14:textId="77777777" w:rsidR="003E1D81" w:rsidRDefault="003E1D81">
      <w:pPr>
        <w:spacing w:before="120" w:after="120" w:line="240" w:lineRule="auto"/>
        <w:ind w:left="709"/>
        <w:jc w:val="both"/>
        <w:rPr>
          <w:rFonts w:ascii="Times New Roman" w:hAnsi="Times New Roman" w:cs="Times New Roman"/>
          <w:noProof/>
          <w:sz w:val="24"/>
        </w:rPr>
        <w:sectPr w:rsidR="003E1D81" w:rsidSect="00EB7CC8">
          <w:headerReference w:type="even" r:id="rId228"/>
          <w:headerReference w:type="default" r:id="rId229"/>
          <w:footerReference w:type="even" r:id="rId230"/>
          <w:footerReference w:type="default" r:id="rId231"/>
          <w:headerReference w:type="first" r:id="rId232"/>
          <w:footerReference w:type="first" r:id="rId233"/>
          <w:pgSz w:w="16839" w:h="11907" w:orient="landscape"/>
          <w:pgMar w:top="1417" w:right="1134" w:bottom="1417" w:left="1134" w:header="709" w:footer="709" w:gutter="0"/>
          <w:cols w:space="720"/>
          <w:docGrid w:linePitch="360"/>
        </w:sectPr>
      </w:pPr>
    </w:p>
    <w:p w14:paraId="7AC49A7F" w14:textId="77777777" w:rsidR="003E1D81" w:rsidRDefault="00EB481C">
      <w:pPr>
        <w:spacing w:before="120" w:after="120" w:line="240" w:lineRule="auto"/>
        <w:jc w:val="both"/>
        <w:rPr>
          <w:rStyle w:val="eop"/>
          <w:rFonts w:ascii="Times New Roman" w:hAnsi="Times New Roman" w:cs="Times New Roman"/>
          <w:noProof/>
          <w:sz w:val="24"/>
          <w:shd w:val="clear" w:color="auto" w:fill="FFFFFF"/>
        </w:rPr>
      </w:pPr>
      <w:r>
        <w:rPr>
          <w:rStyle w:val="normaltextrun"/>
          <w:rFonts w:ascii="Times New Roman" w:hAnsi="Times New Roman"/>
          <w:b/>
          <w:noProof/>
          <w:sz w:val="24"/>
          <w:u w:val="single"/>
          <w:shd w:val="clear" w:color="auto" w:fill="FFFFFF"/>
        </w:rPr>
        <w:t xml:space="preserve">K.3. A </w:t>
      </w:r>
      <w:r>
        <w:rPr>
          <w:rStyle w:val="normaltextrun"/>
          <w:rFonts w:ascii="Times New Roman" w:hAnsi="Times New Roman"/>
          <w:b/>
          <w:noProof/>
          <w:sz w:val="24"/>
          <w:u w:val="single"/>
          <w:shd w:val="clear" w:color="auto" w:fill="FFFFFF"/>
        </w:rPr>
        <w:t>hiteltámogatással kapcsolatos reformok és beruházások ismertetése</w:t>
      </w:r>
    </w:p>
    <w:p w14:paraId="28630AE6" w14:textId="77777777" w:rsidR="003E1D81" w:rsidRDefault="00EB481C">
      <w:pPr>
        <w:pStyle w:val="P68B1DB1-Normal6"/>
        <w:spacing w:before="120" w:after="120" w:line="240" w:lineRule="auto"/>
        <w:jc w:val="both"/>
        <w:rPr>
          <w:rFonts w:cs="Times New Roman"/>
          <w:noProof/>
        </w:rPr>
      </w:pPr>
      <w:r>
        <w:rPr>
          <w:noProof/>
        </w:rPr>
        <w:t>Beruházás (C11.I6) – Kiberbiztonsági, reziliencia- és biztonsági eszközök</w:t>
      </w:r>
    </w:p>
    <w:p w14:paraId="7AA5F2B7" w14:textId="77777777" w:rsidR="003E1D81" w:rsidRDefault="00EB481C">
      <w:pPr>
        <w:pStyle w:val="P68B1DB1-Normal4"/>
        <w:spacing w:before="120" w:after="120" w:line="240" w:lineRule="auto"/>
        <w:jc w:val="both"/>
        <w:rPr>
          <w:rFonts w:eastAsia="Times New Roman" w:cs="Times New Roman"/>
          <w:noProof/>
        </w:rPr>
      </w:pPr>
      <w:r>
        <w:rPr>
          <w:noProof/>
        </w:rPr>
        <w:t>Ez az intézkedés két fő beruházást foglal magában: a „kiberbiztonsági program” a közigazgatás kiberbiztonsági képess</w:t>
      </w:r>
      <w:r>
        <w:rPr>
          <w:noProof/>
        </w:rPr>
        <w:t>égeinek megerősítése érdekében a kiberfenyegetések megelőzése, védelme, felderítése és az azokra való reagálás terén; valamint ii. a „Reziliencia és Biztonsági Alap” a termelőberuházások és a termelési kapacitás növelése érdekében Spanyolország területén a</w:t>
      </w:r>
      <w:r>
        <w:rPr>
          <w:noProof/>
        </w:rPr>
        <w:t xml:space="preserve"> biztonsági, védelmi, repüléstechnikai és űrágazatokban.</w:t>
      </w:r>
    </w:p>
    <w:p w14:paraId="4B5D5C87" w14:textId="77777777" w:rsidR="003E1D81" w:rsidRDefault="00EB481C">
      <w:pPr>
        <w:pStyle w:val="P68B1DB1-Normal18"/>
        <w:rPr>
          <w:rFonts w:cs="Times New Roman"/>
          <w:noProof/>
        </w:rPr>
      </w:pPr>
      <w:r>
        <w:rPr>
          <w:noProof/>
        </w:rPr>
        <w:t>Kiberbiztonsági program</w:t>
      </w:r>
    </w:p>
    <w:p w14:paraId="57B37F3C" w14:textId="64869168" w:rsidR="003E1D81" w:rsidRDefault="00EB481C">
      <w:pPr>
        <w:pStyle w:val="P68B1DB1-Normal4"/>
        <w:spacing w:before="120" w:after="120" w:line="240" w:lineRule="auto"/>
        <w:jc w:val="both"/>
        <w:rPr>
          <w:rFonts w:eastAsia="Times New Roman" w:cs="Times New Roman"/>
          <w:noProof/>
        </w:rPr>
      </w:pPr>
      <w:r>
        <w:rPr>
          <w:noProof/>
        </w:rPr>
        <w:t>Az intézkedés ezen eleme a kiberbiztonsági program keretében megvalósuló projektek végrehajtásából áll, amelyek hozzájárulnak a következőkhöz: kapacitásépítés a kiberfenyegeté</w:t>
      </w:r>
      <w:r>
        <w:rPr>
          <w:noProof/>
        </w:rPr>
        <w:t>sekre való reagáláshoz; a stratégiai eszközök biztonságának és rezilienciájának biztosítása; a kiberbűnözéssel kapcsolatos nyomozási és büntetőeljárási kapacitások megerősítése; a kiberbiztonság fokozása a polgárok és a vállalkozások számára; a kiberbizton</w:t>
      </w:r>
      <w:r>
        <w:rPr>
          <w:noProof/>
        </w:rPr>
        <w:t>sági ágazat fellendítése; és vi. kiberbiztonsági kultúra kialakítása.</w:t>
      </w:r>
    </w:p>
    <w:p w14:paraId="5532C259" w14:textId="6F6CC342" w:rsidR="003E1D81" w:rsidRDefault="00EB481C">
      <w:pPr>
        <w:pStyle w:val="P68B1DB1-Normal4"/>
        <w:spacing w:before="120" w:after="120" w:line="240" w:lineRule="auto"/>
        <w:jc w:val="both"/>
        <w:rPr>
          <w:rFonts w:eastAsia="Times New Roman" w:cs="Times New Roman"/>
          <w:noProof/>
        </w:rPr>
      </w:pPr>
      <w:r>
        <w:rPr>
          <w:noProof/>
        </w:rPr>
        <w:t>A kiberbiztonsági program végrehajtását 2026. június 30-ig be kell fejezni.</w:t>
      </w:r>
    </w:p>
    <w:p w14:paraId="1C24F29F" w14:textId="77777777" w:rsidR="003E1D81" w:rsidRDefault="00EB481C">
      <w:pPr>
        <w:pStyle w:val="P68B1DB1-Normal18"/>
        <w:rPr>
          <w:rFonts w:eastAsia="Times New Roman" w:cs="Times New Roman"/>
          <w:noProof/>
        </w:rPr>
      </w:pPr>
      <w:r>
        <w:rPr>
          <w:noProof/>
        </w:rPr>
        <w:t>Biztonsági és Rezilienciaépítési Alap</w:t>
      </w:r>
    </w:p>
    <w:p w14:paraId="507C7EB9" w14:textId="7B87C380" w:rsidR="003E1D81" w:rsidRDefault="00EB481C">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Az intézkedés ezen eleme az eszközbe, a Biztonsági és Rezilienciaépítési</w:t>
      </w:r>
      <w:r>
        <w:rPr>
          <w:rStyle w:val="normaltextrun"/>
          <w:rFonts w:ascii="Times New Roman" w:hAnsi="Times New Roman"/>
          <w:noProof/>
          <w:sz w:val="24"/>
          <w:shd w:val="clear" w:color="auto" w:fill="FFFFFF"/>
        </w:rPr>
        <w:t xml:space="preserve"> Alapba történő közberuházásokból áll annak érdekében, hogy </w:t>
      </w:r>
      <w:bookmarkStart w:id="18" w:name="_Hlk145601028"/>
      <w:r>
        <w:rPr>
          <w:rStyle w:val="normaltextrun"/>
          <w:rFonts w:ascii="Times New Roman" w:hAnsi="Times New Roman"/>
          <w:noProof/>
          <w:sz w:val="24"/>
          <w:shd w:val="clear" w:color="auto" w:fill="FFFFFF"/>
        </w:rPr>
        <w:t xml:space="preserve">ösztönözze a magánberuházásokat és javítsa a finanszírozáshoz való hozzáférést </w:t>
      </w:r>
      <w:bookmarkEnd w:id="18"/>
      <w:r>
        <w:rPr>
          <w:rStyle w:val="normaltextrun"/>
          <w:rFonts w:ascii="Times New Roman" w:hAnsi="Times New Roman"/>
          <w:noProof/>
          <w:sz w:val="24"/>
          <w:shd w:val="clear" w:color="auto" w:fill="FFFFFF"/>
        </w:rPr>
        <w:t>Spanyolország biztonsági</w:t>
      </w:r>
      <w:r>
        <w:rPr>
          <w:rFonts w:ascii="Times New Roman" w:hAnsi="Times New Roman"/>
          <w:noProof/>
          <w:sz w:val="24"/>
        </w:rPr>
        <w:t xml:space="preserve">, védelmi, repüléstechnikai és űrágazatában, valamint </w:t>
      </w:r>
      <w:r>
        <w:rPr>
          <w:rStyle w:val="normaltextrun"/>
          <w:rFonts w:ascii="Times New Roman" w:hAnsi="Times New Roman"/>
          <w:noProof/>
          <w:sz w:val="24"/>
          <w:shd w:val="clear" w:color="auto" w:fill="FFFFFF"/>
        </w:rPr>
        <w:t xml:space="preserve">hogy ezeken a területeken tőkepiacokat </w:t>
      </w:r>
      <w:r>
        <w:rPr>
          <w:rStyle w:val="normaltextrun"/>
          <w:rFonts w:ascii="Times New Roman" w:hAnsi="Times New Roman"/>
          <w:noProof/>
          <w:sz w:val="24"/>
          <w:shd w:val="clear" w:color="auto" w:fill="FFFFFF"/>
        </w:rPr>
        <w:t xml:space="preserve">alakítson ki. A hitelezési eszköz közvetlenül vagy közvetítőkön keresztül kölcsönöket, sajáttőke-befektetéseket és kvázisajáttőke-befektetéseket nyújt a magánszektornak és a hasonló tevékenységeket folytató közszektorbeli intézményeknek.  A Helyreállítási </w:t>
      </w:r>
      <w:r>
        <w:rPr>
          <w:rStyle w:val="normaltextrun"/>
          <w:rFonts w:ascii="Times New Roman" w:hAnsi="Times New Roman"/>
          <w:noProof/>
          <w:sz w:val="24"/>
          <w:shd w:val="clear" w:color="auto" w:fill="FFFFFF"/>
        </w:rPr>
        <w:t>és Rezilienciaépítési Eszköz beruházásai alapján az eszköz célja kezdetben legalább 1 000 000 000 EUR összegű finanszírozás biztosítása.</w:t>
      </w:r>
    </w:p>
    <w:p w14:paraId="53166B8D" w14:textId="4ED87A3F" w:rsidR="003E1D81" w:rsidRDefault="00EB481C">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Az eszközt végrehajtó partnerként a Sociedad Estatal de Participaciones Industriales Desarrollo Empresarial (SEPIDES) i</w:t>
      </w:r>
      <w:r>
        <w:rPr>
          <w:rStyle w:val="normaltextrun"/>
          <w:rFonts w:ascii="Times New Roman" w:hAnsi="Times New Roman"/>
          <w:noProof/>
          <w:sz w:val="24"/>
          <w:shd w:val="clear" w:color="auto" w:fill="FFFFFF"/>
        </w:rPr>
        <w:t xml:space="preserve">rányítja. Az eszköz a következő két terméksort foglalja magában: </w:t>
      </w:r>
    </w:p>
    <w:p w14:paraId="1E28F317" w14:textId="23405C19" w:rsidR="003E1D81" w:rsidRDefault="00EB481C">
      <w:pPr>
        <w:pStyle w:val="P68B1DB1-ListParagraph7"/>
        <w:numPr>
          <w:ilvl w:val="0"/>
          <w:numId w:val="447"/>
        </w:numPr>
        <w:spacing w:before="120" w:after="120" w:line="240" w:lineRule="auto"/>
        <w:jc w:val="both"/>
        <w:rPr>
          <w:rStyle w:val="normaltextrun"/>
          <w:rFonts w:eastAsia="Times New Roman" w:cs="Times New Roman"/>
          <w:noProof/>
        </w:rPr>
      </w:pPr>
      <w:r>
        <w:rPr>
          <w:noProof/>
        </w:rPr>
        <w:t>Közvetlen vezeték: A hitelezési eszköz közvetlenül olyan vállalatokba ruház be, amelyek kötelezettséget vállaltak arra, hogy a megcélzott ágazatokban új projekteket hajtanak végre, beleértve</w:t>
      </w:r>
      <w:r>
        <w:rPr>
          <w:noProof/>
        </w:rPr>
        <w:t xml:space="preserve"> a folyamatban lévő fejlesztési programokon belüli új projekteket is.  A Békekeretnek képesnek kell lennie hitel-, sajáttőke- és kvázisajáttőke-eszközök felhasználásával befektetni. Az Alap tőkebefektetései nem eredményezhetik azt, hogy a köztulajdonban lé</w:t>
      </w:r>
      <w:r>
        <w:rPr>
          <w:noProof/>
        </w:rPr>
        <w:t>vő saját tőke részesedése a végső kedvezményezettben meghaladja a teljes saját tőke 49%-át.</w:t>
      </w:r>
    </w:p>
    <w:p w14:paraId="24F7DD89" w14:textId="03462FBA" w:rsidR="003E1D81" w:rsidRDefault="00EB481C">
      <w:pPr>
        <w:pStyle w:val="ListParagraph"/>
        <w:numPr>
          <w:ilvl w:val="0"/>
          <w:numId w:val="614"/>
        </w:numPr>
        <w:rPr>
          <w:rFonts w:ascii="Times New Roman" w:hAnsi="Times New Roman" w:cs="Times New Roman"/>
          <w:noProof/>
          <w:sz w:val="24"/>
        </w:rPr>
      </w:pPr>
      <w:r>
        <w:rPr>
          <w:rFonts w:ascii="Times New Roman" w:hAnsi="Times New Roman"/>
          <w:noProof/>
          <w:sz w:val="24"/>
        </w:rPr>
        <w:t>Közvetett vonal: Az eszköz olyan meglévő alapokba fektet be, amelyek az eszköz által megcélzott ágazatokba fektetnek be. A Keret maximális részvétele nem haladhatja</w:t>
      </w:r>
      <w:r>
        <w:rPr>
          <w:rFonts w:ascii="Times New Roman" w:hAnsi="Times New Roman"/>
          <w:noProof/>
          <w:sz w:val="24"/>
        </w:rPr>
        <w:t xml:space="preserve"> meg az alapok vagy egyéb befektetési eszközök 49%-át.</w:t>
      </w:r>
      <w:r>
        <w:rPr>
          <w:noProof/>
        </w:rPr>
        <w:t xml:space="preserve"> </w:t>
      </w:r>
      <w:r>
        <w:rPr>
          <w:rFonts w:ascii="Times New Roman" w:hAnsi="Times New Roman"/>
          <w:noProof/>
          <w:sz w:val="24"/>
        </w:rPr>
        <w:t>Az alapok sajáttőke-befektetései nem eredményezhetik azt, hogy a köztulajdonban lévő saját tőke részesedése egy alapban vagy befektetési eszközben meghaladja a teljes saját tőke 49%-át.</w:t>
      </w:r>
    </w:p>
    <w:p w14:paraId="0EB3BAEC" w14:textId="531C94A7" w:rsidR="003E1D81" w:rsidRDefault="00EB481C">
      <w:pPr>
        <w:pStyle w:val="P68B1DB1-Normal4"/>
        <w:spacing w:before="120" w:after="120" w:line="240" w:lineRule="auto"/>
        <w:jc w:val="both"/>
        <w:rPr>
          <w:rFonts w:eastAsia="Times New Roman" w:cs="Times New Roman"/>
          <w:noProof/>
        </w:rPr>
      </w:pPr>
      <w:r>
        <w:rPr>
          <w:noProof/>
        </w:rPr>
        <w:t>A Békekeretbe t</w:t>
      </w:r>
      <w:r>
        <w:rPr>
          <w:noProof/>
        </w:rPr>
        <w:t xml:space="preserve">örténő beruházás végrehajtása érdekében Spanyolországnak jóvá kell hagynia a Békekeret létrehozására és kezelésére vonatkozó rendeletet és minden kapcsolódó dokumentumot, amely a következő tartalommal rendelkezik:  </w:t>
      </w:r>
    </w:p>
    <w:p w14:paraId="6E600765" w14:textId="38BE4A50" w:rsidR="003E1D81" w:rsidRDefault="00EB481C">
      <w:pPr>
        <w:pStyle w:val="P68B1DB1-ListParagraph7"/>
        <w:numPr>
          <w:ilvl w:val="0"/>
          <w:numId w:val="734"/>
        </w:numPr>
        <w:spacing w:line="240" w:lineRule="auto"/>
        <w:contextualSpacing w:val="0"/>
        <w:jc w:val="both"/>
        <w:rPr>
          <w:rFonts w:eastAsia="Times New Roman" w:cs="Times New Roman"/>
          <w:noProof/>
        </w:rPr>
      </w:pPr>
      <w:r>
        <w:rPr>
          <w:noProof/>
        </w:rPr>
        <w:t>Az eszköz döntéshozatali folyamatának le</w:t>
      </w:r>
      <w:r>
        <w:rPr>
          <w:noProof/>
        </w:rPr>
        <w:t>írása:  A Keret kezdeti beruházási döntését beruházási bizottság vagy más, ezzel egyenértékű irányító testület hozza meg, és azt a spanyol kormánytól független tagok szavazatainak többségével kell jóváhagyni. A Békekeret végleges beruházási döntése a beruh</w:t>
      </w:r>
      <w:r>
        <w:rPr>
          <w:noProof/>
        </w:rPr>
        <w:t xml:space="preserve">ázási bizottság vagy azzal egyenértékű irányító testület által javasolt beruházási döntéssel kapcsolatos vétójog (módosítás nélküli) jóváhagyására vagy gyakorlására korlátozódik. A közvetített befektetések esetében a végső befektetési döntést a közvetítők </w:t>
      </w:r>
      <w:r>
        <w:rPr>
          <w:noProof/>
        </w:rPr>
        <w:t>hozzák meg. A közvetítő által javasolt befektetési döntéssel kapcsolatos vétójog nemzetbiztonsági okokból gyakorolható.</w:t>
      </w:r>
    </w:p>
    <w:p w14:paraId="49221D99" w14:textId="16873181" w:rsidR="003E1D81" w:rsidRDefault="00EB481C">
      <w:pPr>
        <w:pStyle w:val="P68B1DB1-ListParagraph7"/>
        <w:numPr>
          <w:ilvl w:val="0"/>
          <w:numId w:val="734"/>
        </w:numPr>
        <w:spacing w:line="240" w:lineRule="auto"/>
        <w:jc w:val="both"/>
        <w:rPr>
          <w:rFonts w:eastAsia="Times New Roman" w:cs="Times New Roman"/>
          <w:noProof/>
        </w:rPr>
      </w:pPr>
      <w:r>
        <w:rPr>
          <w:noProof/>
        </w:rPr>
        <w:t>A kapcsolódó befektetési politika fő követelményei, amelyek a következőket foglalják magukban:</w:t>
      </w:r>
    </w:p>
    <w:p w14:paraId="205E8354" w14:textId="36A196FD" w:rsidR="003E1D81" w:rsidRDefault="00EB481C">
      <w:pPr>
        <w:pStyle w:val="ListParagraph"/>
        <w:numPr>
          <w:ilvl w:val="1"/>
          <w:numId w:val="734"/>
        </w:numPr>
        <w:spacing w:line="240" w:lineRule="auto"/>
        <w:jc w:val="both"/>
        <w:rPr>
          <w:rFonts w:ascii="Times New Roman" w:eastAsia="Times New Roman" w:hAnsi="Times New Roman" w:cs="Times New Roman"/>
          <w:noProof/>
          <w:sz w:val="24"/>
        </w:rPr>
      </w:pPr>
      <w:r>
        <w:rPr>
          <w:rFonts w:ascii="Times New Roman" w:hAnsi="Times New Roman"/>
          <w:noProof/>
          <w:sz w:val="24"/>
        </w:rPr>
        <w:t xml:space="preserve">A pénzügyi termékek és a támogatható </w:t>
      </w:r>
      <w:r>
        <w:rPr>
          <w:rFonts w:ascii="Times New Roman" w:hAnsi="Times New Roman"/>
          <w:noProof/>
          <w:sz w:val="24"/>
        </w:rPr>
        <w:t>végső kedvezményezettek leírása az intézkedés leírásával összhangban.  Stratégiai beruházások, azaz az Európai Védelmi Alap éves munkaprogramjában meghatározott védelmi technológiákba és termékekbe történő beruházások; űrberuházások atomórába, stratégiai h</w:t>
      </w:r>
      <w:r>
        <w:rPr>
          <w:rFonts w:ascii="Times New Roman" w:hAnsi="Times New Roman"/>
          <w:noProof/>
          <w:sz w:val="24"/>
        </w:rPr>
        <w:t>ordozórakétákba; és űripari termékek;  valamint a kizárólag kiberbiztonsági eszközök és megoldások fejlesztésére és alkalmazására összpontosító beruházások, beleértve azokat az eseteket is, amikor ezek a digitális hálózatok és adatinfrastruktúra kiépítésén</w:t>
      </w:r>
      <w:r>
        <w:rPr>
          <w:rFonts w:ascii="Times New Roman" w:hAnsi="Times New Roman"/>
          <w:noProof/>
          <w:sz w:val="24"/>
        </w:rPr>
        <w:t>ek vagy korszerűsítésének részét képezik; a végső kedvezményezettek nem lehetnek harmadik ország vagy harmadik országbeli szervezet ellenőrzése alatt, és ügyvezetésük az Unióban van, kivéve a 10 000 000 EUR alatti beruházásokat. Amennyiben a végső kedvezmé</w:t>
      </w:r>
      <w:r>
        <w:rPr>
          <w:rFonts w:ascii="Times New Roman" w:hAnsi="Times New Roman"/>
          <w:noProof/>
          <w:sz w:val="24"/>
        </w:rPr>
        <w:t>nyezett stratégiai beruházásban vesz részt az 5G konnektivitás területén, az 5G kiberbiztonsági eszköztár szerinti intézkedések és kockázatcsökkentési tervek a beszállítóira is</w:t>
      </w:r>
      <w:r>
        <w:rPr>
          <w:rStyle w:val="FootnoteReference"/>
          <w:rFonts w:ascii="Times New Roman" w:eastAsia="Times New Roman" w:hAnsi="Times New Roman" w:cs="Times New Roman"/>
          <w:noProof/>
          <w:sz w:val="24"/>
        </w:rPr>
        <w:footnoteReference w:id="21"/>
      </w:r>
      <w:r>
        <w:rPr>
          <w:rFonts w:ascii="Times New Roman" w:hAnsi="Times New Roman"/>
          <w:noProof/>
          <w:sz w:val="24"/>
        </w:rPr>
        <w:t xml:space="preserve"> alkalmazandók. E beszállítók közé tartoznak a távközlési berendezések gyártóin</w:t>
      </w:r>
      <w:r>
        <w:rPr>
          <w:rFonts w:ascii="Times New Roman" w:hAnsi="Times New Roman"/>
          <w:noProof/>
          <w:sz w:val="24"/>
        </w:rPr>
        <w:t>ak értékesítési partnerei és az egyéb harmadik fél beszállítók, így például a felhőalapú infrastruktúrák szolgáltatói, a bérelt szolgáltatást nyújtók (managed service providers), a rendszerintegrátorok, a biztonsággal és karbantartással foglalkozó vállalko</w:t>
      </w:r>
      <w:r>
        <w:rPr>
          <w:rFonts w:ascii="Times New Roman" w:hAnsi="Times New Roman"/>
          <w:noProof/>
          <w:sz w:val="24"/>
        </w:rPr>
        <w:t>zók és az átviteli berendezések gyártói. Amennyiben a végső kedvezményezett stratégiai védelmi beruházásban vesz részt, ez a korlátozás a beszállítóira és alvállalkozóira is vonatkozik. A harmadik ország vagy harmadik országbeli szervezet általi ellenőrzés</w:t>
      </w:r>
      <w:r>
        <w:rPr>
          <w:rFonts w:ascii="Times New Roman" w:hAnsi="Times New Roman"/>
          <w:noProof/>
          <w:sz w:val="24"/>
        </w:rPr>
        <w:t xml:space="preserve"> hiányára vonatkozó, a fenti három bekezdésben meghatározott korlátozások nem alkalmazandók egy adott finanszírozási és beruházási műveletre, amennyiben a végső kedvezményezett bizonyítani tudja, hogy olyan jogalanyról van szó, amelyre vonatkozóan a székhe</w:t>
      </w:r>
      <w:r>
        <w:rPr>
          <w:rFonts w:ascii="Times New Roman" w:hAnsi="Times New Roman"/>
          <w:noProof/>
          <w:sz w:val="24"/>
        </w:rPr>
        <w:t>lye szerinti tagállam az Európai Védelmi Alapról (EDF) szóló rendelet vonatkozó rendelkezéseiben meghatározott, a támogatható szervezetekre vonatkozó elvekkel összhangban garanciát hagyott jóvá,</w:t>
      </w:r>
      <w:r>
        <w:rPr>
          <w:rStyle w:val="FootnoteReference"/>
          <w:rFonts w:ascii="Times New Roman" w:eastAsia="Times New Roman" w:hAnsi="Times New Roman" w:cs="Times New Roman"/>
          <w:noProof/>
          <w:sz w:val="24"/>
        </w:rPr>
        <w:footnoteReference w:id="22"/>
      </w:r>
      <w:r>
        <w:rPr>
          <w:rFonts w:ascii="Times New Roman" w:hAnsi="Times New Roman"/>
          <w:noProof/>
          <w:sz w:val="24"/>
        </w:rPr>
        <w:t xml:space="preserve"> vagy a Bizottság mentességet adott a jogosult szervezetekre </w:t>
      </w:r>
      <w:r>
        <w:rPr>
          <w:rFonts w:ascii="Times New Roman" w:hAnsi="Times New Roman"/>
          <w:noProof/>
          <w:sz w:val="24"/>
        </w:rPr>
        <w:t>vonatkozóan az űrrendelet vonatkozó rendelkezéseiben meghatározott elveknek megfelelően</w:t>
      </w:r>
      <w:r>
        <w:rPr>
          <w:rStyle w:val="FootnoteReference"/>
          <w:rFonts w:ascii="Times New Roman" w:eastAsia="Times New Roman" w:hAnsi="Times New Roman" w:cs="Times New Roman"/>
          <w:noProof/>
          <w:sz w:val="24"/>
        </w:rPr>
        <w:footnoteReference w:id="23"/>
      </w:r>
      <w:r>
        <w:rPr>
          <w:rFonts w:ascii="Times New Roman" w:hAnsi="Times New Roman"/>
          <w:noProof/>
          <w:sz w:val="24"/>
        </w:rPr>
        <w:t xml:space="preserve">. A végrehajtó partnernek értesítenie kell a kormányt a korlátozásoktól való bármely eltérésről.   </w:t>
      </w:r>
    </w:p>
    <w:p w14:paraId="2EFD2C81" w14:textId="51BC5F71" w:rsidR="003E1D81" w:rsidRDefault="00EB481C">
      <w:pPr>
        <w:pStyle w:val="P68B1DB1-ListParagraph7"/>
        <w:numPr>
          <w:ilvl w:val="1"/>
          <w:numId w:val="734"/>
        </w:numPr>
        <w:spacing w:line="240" w:lineRule="auto"/>
        <w:jc w:val="both"/>
        <w:rPr>
          <w:rFonts w:eastAsia="Times New Roman" w:cs="Times New Roman"/>
          <w:noProof/>
        </w:rPr>
      </w:pPr>
      <w:r>
        <w:rPr>
          <w:noProof/>
        </w:rPr>
        <w:t>Az a követelmény, hogy minden támogatott beruházás gazdaságilag élet</w:t>
      </w:r>
      <w:r>
        <w:rPr>
          <w:noProof/>
        </w:rPr>
        <w:t>képes legyen.</w:t>
      </w:r>
    </w:p>
    <w:p w14:paraId="563AF7F0" w14:textId="0EB49510" w:rsidR="003E1D81" w:rsidRDefault="00EB481C">
      <w:pPr>
        <w:pStyle w:val="P68B1DB1-ListParagraph7"/>
        <w:numPr>
          <w:ilvl w:val="1"/>
          <w:numId w:val="734"/>
        </w:numPr>
        <w:spacing w:line="240" w:lineRule="auto"/>
        <w:jc w:val="both"/>
        <w:rPr>
          <w:rFonts w:eastAsia="Times New Roman" w:cs="Times New Roman"/>
          <w:noProof/>
        </w:rPr>
      </w:pPr>
      <w:r>
        <w:rPr>
          <w:noProof/>
        </w:rPr>
        <w:t xml:space="preserve">A kinnlevő hitelek refinanszírozásának tilalma.  </w:t>
      </w:r>
    </w:p>
    <w:p w14:paraId="0A322070" w14:textId="022667E5" w:rsidR="003E1D81" w:rsidRDefault="00EB481C">
      <w:pPr>
        <w:pStyle w:val="P68B1DB1-ListParagraph7"/>
        <w:numPr>
          <w:ilvl w:val="1"/>
          <w:numId w:val="734"/>
        </w:numPr>
        <w:spacing w:line="240" w:lineRule="auto"/>
        <w:jc w:val="both"/>
        <w:rPr>
          <w:rFonts w:eastAsia="Times New Roman" w:cs="Times New Roman"/>
          <w:noProof/>
        </w:rPr>
      </w:pPr>
      <w:r>
        <w:rPr>
          <w:noProof/>
        </w:rPr>
        <w:t xml:space="preserve">A jelentős károkozás elkerülését célzó elvnek való megfelelés követelménye a DNSH technikai iránymutatásban (2021/C58/01) meghatározottak szerint, különösen: </w:t>
      </w:r>
      <w:bookmarkStart w:id="19" w:name="_Hlk145599269"/>
    </w:p>
    <w:p w14:paraId="257C51EC" w14:textId="41476553" w:rsidR="003E1D81" w:rsidRDefault="00EB481C">
      <w:pPr>
        <w:pStyle w:val="ListParagraph"/>
        <w:numPr>
          <w:ilvl w:val="2"/>
          <w:numId w:val="734"/>
        </w:numPr>
        <w:jc w:val="both"/>
        <w:rPr>
          <w:rFonts w:ascii="Times New Roman" w:eastAsia="Times New Roman" w:hAnsi="Times New Roman" w:cs="Times New Roman"/>
          <w:noProof/>
          <w:sz w:val="24"/>
        </w:rPr>
      </w:pPr>
      <w:r>
        <w:rPr>
          <w:rFonts w:ascii="Times New Roman" w:hAnsi="Times New Roman"/>
          <w:noProof/>
          <w:sz w:val="24"/>
        </w:rPr>
        <w:t xml:space="preserve">Kölcsönök, projektkötvények vagy </w:t>
      </w:r>
      <w:r>
        <w:rPr>
          <w:rFonts w:ascii="Times New Roman" w:hAnsi="Times New Roman"/>
          <w:noProof/>
          <w:sz w:val="24"/>
        </w:rPr>
        <w:t>azokkal egyenértékű eszközök esetében: a befektetési politika kizárja a tevékenységek és eszközök alábbi listáját a támogathatóság köréből: i. a fosszilis tüzelőanyagokhoz kapcsolódó tevékenységek és eszközök, beleértve a továbbfelhasználást is, ii. az uni</w:t>
      </w:r>
      <w:r>
        <w:rPr>
          <w:rFonts w:ascii="Times New Roman" w:hAnsi="Times New Roman"/>
          <w:noProof/>
          <w:sz w:val="24"/>
        </w:rPr>
        <w:t>ós kibocsátáskereskedelmi rendszer (ETS) keretében</w:t>
      </w:r>
      <w:r>
        <w:rPr>
          <w:rStyle w:val="FootnoteReference"/>
          <w:rFonts w:ascii="Times New Roman" w:eastAsia="Times New Roman" w:hAnsi="Times New Roman" w:cs="Times New Roman"/>
          <w:noProof/>
          <w:sz w:val="24"/>
        </w:rPr>
        <w:footnoteReference w:id="24"/>
      </w:r>
      <w:r>
        <w:rPr>
          <w:rFonts w:ascii="Times New Roman" w:hAnsi="Times New Roman"/>
          <w:noProof/>
          <w:sz w:val="24"/>
        </w:rPr>
        <w:t>végzett tevékenységek és eszközök, amelyek a vonatkozó referenciaértékeknél nem alacsonyabb várható üvegházhatásúgáz-kibocsátást érnek el; iii. hulladéklerakókkal, hulladékégetőkkel és mechanikai-biológiai</w:t>
      </w:r>
      <w:r>
        <w:rPr>
          <w:rFonts w:ascii="Times New Roman" w:hAnsi="Times New Roman"/>
          <w:noProof/>
          <w:sz w:val="24"/>
        </w:rPr>
        <w:t xml:space="preserve"> </w:t>
      </w:r>
      <w:r>
        <w:rPr>
          <w:rFonts w:ascii="Times New Roman" w:hAnsi="Times New Roman"/>
          <w:noProof/>
        </w:rPr>
        <w:t>szennyvíztisztító telepekkel kapcsolatos</w:t>
      </w:r>
      <w:r>
        <w:rPr>
          <w:rStyle w:val="FootnoteReference"/>
          <w:rFonts w:ascii="Times New Roman" w:eastAsia="Times New Roman" w:hAnsi="Times New Roman" w:cs="Times New Roman"/>
          <w:noProof/>
          <w:sz w:val="24"/>
        </w:rPr>
        <w:footnoteReference w:id="25"/>
      </w:r>
      <w:r>
        <w:rPr>
          <w:rFonts w:ascii="Times New Roman" w:hAnsi="Times New Roman"/>
          <w:noProof/>
        </w:rPr>
        <w:t xml:space="preserve"> </w:t>
      </w:r>
      <w:bookmarkStart w:id="20" w:name="_Hlk145696282"/>
      <w:r>
        <w:rPr>
          <w:rFonts w:ascii="Times New Roman" w:hAnsi="Times New Roman"/>
          <w:noProof/>
        </w:rPr>
        <w:t>tevékenységek</w:t>
      </w:r>
      <w:r>
        <w:rPr>
          <w:rStyle w:val="FootnoteReference"/>
          <w:rFonts w:ascii="Times New Roman" w:eastAsia="Times New Roman" w:hAnsi="Times New Roman" w:cs="Times New Roman"/>
          <w:noProof/>
          <w:sz w:val="24"/>
        </w:rPr>
        <w:footnoteReference w:id="26"/>
      </w:r>
      <w:r>
        <w:rPr>
          <w:rFonts w:ascii="Times New Roman" w:hAnsi="Times New Roman"/>
          <w:noProof/>
        </w:rPr>
        <w:t xml:space="preserve"> és eszközök</w:t>
      </w:r>
      <w:r>
        <w:rPr>
          <w:rStyle w:val="FootnoteReference"/>
          <w:rFonts w:ascii="Times New Roman" w:hAnsi="Times New Roman" w:cs="Times New Roman"/>
          <w:noProof/>
        </w:rPr>
        <w:footnoteReference w:id="27"/>
      </w:r>
      <w:r>
        <w:rPr>
          <w:rFonts w:ascii="Times New Roman" w:hAnsi="Times New Roman"/>
          <w:noProof/>
        </w:rPr>
        <w:t xml:space="preserve">. </w:t>
      </w:r>
      <w:bookmarkEnd w:id="20"/>
    </w:p>
    <w:p w14:paraId="62379C76" w14:textId="3AE7FE1B" w:rsidR="003E1D81" w:rsidRDefault="00EB481C">
      <w:pPr>
        <w:pStyle w:val="ListParagraph"/>
        <w:numPr>
          <w:ilvl w:val="2"/>
          <w:numId w:val="734"/>
        </w:numPr>
        <w:jc w:val="both"/>
        <w:rPr>
          <w:rFonts w:ascii="Times New Roman" w:eastAsia="Times New Roman" w:hAnsi="Times New Roman" w:cs="Times New Roman"/>
          <w:noProof/>
          <w:sz w:val="24"/>
        </w:rPr>
      </w:pPr>
      <w:bookmarkStart w:id="21" w:name="_Hlk145612965"/>
      <w:r>
        <w:rPr>
          <w:rFonts w:ascii="Times New Roman" w:hAnsi="Times New Roman"/>
          <w:noProof/>
          <w:sz w:val="24"/>
        </w:rPr>
        <w:t>Saját tőke, kvázi-sajáttőke, vállalati kötvények vagy ezekkel egyenértékű eszközök esetében: a befektetési politikának elő kell írnia a vállalkozások számára, hogy a 2013/34/EU iránye</w:t>
      </w:r>
      <w:r>
        <w:rPr>
          <w:rFonts w:ascii="Times New Roman" w:hAnsi="Times New Roman"/>
          <w:noProof/>
          <w:sz w:val="24"/>
        </w:rPr>
        <w:t>lv 19a. cikke (2) bekezdése a) pontjának iii. alpontjában foglalt fogalommeghatározással összhangban zöld átállási terveket fogadjanak el,</w:t>
      </w:r>
      <w:r>
        <w:rPr>
          <w:rStyle w:val="FootnoteReference"/>
          <w:rFonts w:ascii="Times New Roman" w:eastAsia="Times New Roman" w:hAnsi="Times New Roman" w:cs="Times New Roman"/>
          <w:noProof/>
          <w:sz w:val="24"/>
        </w:rPr>
        <w:footnoteReference w:id="28"/>
      </w:r>
      <w:r>
        <w:rPr>
          <w:rFonts w:ascii="Times New Roman" w:hAnsi="Times New Roman"/>
          <w:noProof/>
          <w:sz w:val="24"/>
        </w:rPr>
        <w:t xml:space="preserve"> amennyiben az előző pénzügyi év közvetlen bevételeinek több mint 50%-a a tevékenységek és eszközök alábbi listájából</w:t>
      </w:r>
      <w:r>
        <w:rPr>
          <w:rFonts w:ascii="Times New Roman" w:hAnsi="Times New Roman"/>
          <w:noProof/>
          <w:sz w:val="24"/>
        </w:rPr>
        <w:t xml:space="preserve"> származik: i. a fosszilis tüzelőanyagokhoz kapcsolódó tevékenységek és eszközök, beleértve a továbbfelhasználást is, ii. az uniós kibocsátáskereskedelmi rendszer (ETS) keretében</w:t>
      </w:r>
      <w:r>
        <w:rPr>
          <w:rStyle w:val="FootnoteReference"/>
          <w:rFonts w:ascii="Times New Roman" w:eastAsia="Times New Roman" w:hAnsi="Times New Roman" w:cs="Times New Roman"/>
          <w:noProof/>
          <w:sz w:val="24"/>
        </w:rPr>
        <w:footnoteReference w:id="29"/>
      </w:r>
      <w:r>
        <w:rPr>
          <w:rFonts w:ascii="Times New Roman" w:hAnsi="Times New Roman"/>
          <w:noProof/>
          <w:sz w:val="24"/>
        </w:rPr>
        <w:t>végzett tevékenységek és eszközök, amelyek a vonatkozó referenciaértékeknél n</w:t>
      </w:r>
      <w:r>
        <w:rPr>
          <w:rFonts w:ascii="Times New Roman" w:hAnsi="Times New Roman"/>
          <w:noProof/>
          <w:sz w:val="24"/>
        </w:rPr>
        <w:t>em alacsonyabb várható üvegházhatásúgáz-kibocsátást érnek el; iii. hulladéklerakókkal, hulladékégetőkkel és mechanikai-biológiai szennyvíztisztító telepekkel kapcsolatos</w:t>
      </w:r>
      <w:r>
        <w:rPr>
          <w:rStyle w:val="FootnoteReference"/>
          <w:rFonts w:ascii="Times New Roman" w:eastAsia="Times New Roman" w:hAnsi="Times New Roman" w:cs="Times New Roman"/>
          <w:noProof/>
          <w:sz w:val="24"/>
        </w:rPr>
        <w:footnoteReference w:id="30"/>
      </w:r>
      <w:r>
        <w:rPr>
          <w:rFonts w:ascii="Times New Roman" w:hAnsi="Times New Roman"/>
          <w:noProof/>
          <w:sz w:val="24"/>
        </w:rPr>
        <w:t>tevékenységek</w:t>
      </w:r>
      <w:r>
        <w:rPr>
          <w:rStyle w:val="FootnoteReference"/>
          <w:rFonts w:ascii="Times New Roman" w:eastAsia="Times New Roman" w:hAnsi="Times New Roman" w:cs="Times New Roman"/>
          <w:noProof/>
          <w:sz w:val="24"/>
        </w:rPr>
        <w:footnoteReference w:id="31"/>
      </w:r>
      <w:r>
        <w:rPr>
          <w:rFonts w:ascii="Times New Roman" w:hAnsi="Times New Roman"/>
          <w:noProof/>
          <w:sz w:val="24"/>
        </w:rPr>
        <w:t xml:space="preserve"> és eszközök</w:t>
      </w:r>
      <w:r>
        <w:rPr>
          <w:rStyle w:val="FootnoteReference"/>
          <w:rFonts w:ascii="Times New Roman" w:eastAsia="Times New Roman" w:hAnsi="Times New Roman" w:cs="Times New Roman"/>
          <w:noProof/>
          <w:sz w:val="24"/>
        </w:rPr>
        <w:footnoteReference w:id="32"/>
      </w:r>
      <w:r>
        <w:rPr>
          <w:rFonts w:ascii="Times New Roman" w:hAnsi="Times New Roman"/>
          <w:noProof/>
          <w:sz w:val="24"/>
        </w:rPr>
        <w:t xml:space="preserve">. </w:t>
      </w:r>
    </w:p>
    <w:bookmarkEnd w:id="21"/>
    <w:p w14:paraId="77963A6E" w14:textId="2BC8F4B7" w:rsidR="003E1D81" w:rsidRDefault="00EB481C">
      <w:pPr>
        <w:pStyle w:val="P68B1DB1-ListParagraph7"/>
        <w:numPr>
          <w:ilvl w:val="2"/>
          <w:numId w:val="734"/>
        </w:numPr>
        <w:rPr>
          <w:rFonts w:eastAsia="Times New Roman" w:cs="Times New Roman"/>
          <w:noProof/>
        </w:rPr>
      </w:pPr>
      <w:r>
        <w:rPr>
          <w:noProof/>
        </w:rPr>
        <w:t>A beruházási politikának továbbá elő kell írnia, hogy az</w:t>
      </w:r>
      <w:r>
        <w:rPr>
          <w:noProof/>
        </w:rPr>
        <w:t xml:space="preserve"> eszköz végső kedvezményezettjei megfeleljenek a vonatkozó uniós és nemzeti környezetvédelmi jogszabályoknak.</w:t>
      </w:r>
    </w:p>
    <w:p w14:paraId="5AFDB985" w14:textId="2BC8F4B7" w:rsidR="003E1D81" w:rsidRDefault="00EB481C">
      <w:pPr>
        <w:pStyle w:val="P68B1DB1-ListParagraph7"/>
        <w:numPr>
          <w:ilvl w:val="1"/>
          <w:numId w:val="734"/>
        </w:numPr>
        <w:rPr>
          <w:rFonts w:eastAsia="Times New Roman" w:cs="Times New Roman"/>
          <w:noProof/>
        </w:rPr>
      </w:pPr>
      <w:r>
        <w:rPr>
          <w:noProof/>
        </w:rPr>
        <w:t>Az a követelmény, hogy a hitelezési eszköz végső kedvezményezettjei nem részesülhetnek támogatásban más uniós eszközökből ugyanazon költségek fede</w:t>
      </w:r>
      <w:r>
        <w:rPr>
          <w:noProof/>
        </w:rPr>
        <w:t>zésére.</w:t>
      </w:r>
    </w:p>
    <w:p w14:paraId="412A05D5" w14:textId="50E0CC3A" w:rsidR="003E1D81" w:rsidRDefault="00EB481C">
      <w:pPr>
        <w:pStyle w:val="P68B1DB1-ListParagraph7"/>
        <w:numPr>
          <w:ilvl w:val="0"/>
          <w:numId w:val="734"/>
        </w:numPr>
        <w:rPr>
          <w:rFonts w:eastAsia="Times New Roman" w:cs="Times New Roman"/>
          <w:noProof/>
        </w:rPr>
      </w:pPr>
      <w:r>
        <w:rPr>
          <w:noProof/>
        </w:rPr>
        <w:t>A rendelet és az eszközt létrehozó bármely kapcsolódó dokumentum hatálya alá tartozó összeg, a végrehajtó partner díjstruktúrája, valamint a visszaáramló bevételeknek az eszköz beruházási politikája szerinti újbóli befektetésére vonatkozó követelmé</w:t>
      </w:r>
      <w:r>
        <w:rPr>
          <w:noProof/>
        </w:rPr>
        <w:t>ny, kivéve, ha azokat a Helyreállítási és Rezilienciaépítési Eszköz hiteltörlesztéseinek teljesítésére használják fel.</w:t>
      </w:r>
    </w:p>
    <w:p w14:paraId="042E9FE3" w14:textId="2BC8F4B7" w:rsidR="003E1D81" w:rsidRDefault="00EB481C">
      <w:pPr>
        <w:pStyle w:val="P68B1DB1-ListParagraph7"/>
        <w:numPr>
          <w:ilvl w:val="0"/>
          <w:numId w:val="734"/>
        </w:numPr>
        <w:rPr>
          <w:rFonts w:eastAsia="Times New Roman" w:cs="Times New Roman"/>
          <w:noProof/>
        </w:rPr>
      </w:pPr>
      <w:r>
        <w:rPr>
          <w:noProof/>
        </w:rPr>
        <w:t>Nyomonkövetési, ellenőrzési és ellenőrzési követelmények, beleértve a következőket:</w:t>
      </w:r>
    </w:p>
    <w:p w14:paraId="0BB88356" w14:textId="2BC8F4B7" w:rsidR="003E1D81" w:rsidRDefault="00EB481C">
      <w:pPr>
        <w:pStyle w:val="P68B1DB1-ListParagraph7"/>
        <w:numPr>
          <w:ilvl w:val="1"/>
          <w:numId w:val="734"/>
        </w:numPr>
        <w:rPr>
          <w:rFonts w:eastAsia="Times New Roman" w:cs="Times New Roman"/>
          <w:noProof/>
        </w:rPr>
      </w:pPr>
      <w:r>
        <w:rPr>
          <w:noProof/>
        </w:rPr>
        <w:t>A végrehajtó partner által a mozgósított beruházásról</w:t>
      </w:r>
      <w:r>
        <w:rPr>
          <w:noProof/>
        </w:rPr>
        <w:t xml:space="preserve"> való jelentéstételre szolgáló nyomonkövetési rendszer leírása.</w:t>
      </w:r>
    </w:p>
    <w:p w14:paraId="409332BD" w14:textId="1D181889" w:rsidR="003E1D81" w:rsidRDefault="00EB481C">
      <w:pPr>
        <w:pStyle w:val="P68B1DB1-ListParagraph7"/>
        <w:numPr>
          <w:ilvl w:val="1"/>
          <w:numId w:val="734"/>
        </w:numPr>
        <w:rPr>
          <w:rFonts w:eastAsia="Times New Roman" w:cs="Times New Roman"/>
          <w:noProof/>
        </w:rPr>
      </w:pPr>
      <w:r>
        <w:rPr>
          <w:noProof/>
        </w:rPr>
        <w:t xml:space="preserve">A végrehajtó partner azon eljárásainak leírása, amelyek biztosítják a csalás, a korrupció és az összeférhetetlenség megelőzését, feltárását és korrekcióját. </w:t>
      </w:r>
    </w:p>
    <w:p w14:paraId="6A0E54D9" w14:textId="2BC8F4B7" w:rsidR="003E1D81" w:rsidRDefault="00EB481C">
      <w:pPr>
        <w:pStyle w:val="P68B1DB1-ListParagraph7"/>
        <w:numPr>
          <w:ilvl w:val="1"/>
          <w:numId w:val="734"/>
        </w:numPr>
        <w:rPr>
          <w:rFonts w:eastAsia="Times New Roman" w:cs="Times New Roman"/>
          <w:noProof/>
        </w:rPr>
      </w:pPr>
      <w:r>
        <w:rPr>
          <w:noProof/>
        </w:rPr>
        <w:t>Az egyes műveletek támogathatóságá</w:t>
      </w:r>
      <w:r>
        <w:rPr>
          <w:noProof/>
        </w:rPr>
        <w:t>nak a végrehajtási megállapodásban meghatározott követelményekkel összhangban történő ellenőrzésére vonatkozó kötelezettség, mielőtt kötelezettséget vállalnának valamely művelet finanszírozására.</w:t>
      </w:r>
    </w:p>
    <w:p w14:paraId="42DA0104" w14:textId="56D387C0" w:rsidR="003E1D81" w:rsidRDefault="00EB481C">
      <w:pPr>
        <w:pStyle w:val="P68B1DB1-ListParagraph7"/>
        <w:numPr>
          <w:ilvl w:val="1"/>
          <w:numId w:val="734"/>
        </w:numPr>
        <w:rPr>
          <w:rFonts w:eastAsia="Times New Roman" w:cs="Times New Roman"/>
          <w:noProof/>
        </w:rPr>
      </w:pPr>
      <w:r>
        <w:rPr>
          <w:noProof/>
        </w:rPr>
        <w:t>A kockázatalapú utólagos ellenőrzéseknek a SEPIDES ellenőrzé</w:t>
      </w:r>
      <w:r>
        <w:rPr>
          <w:noProof/>
        </w:rPr>
        <w:t>si tervével összhangban történő elvégzésére vonatkozó kötelezettség. Ezek az ellenőrzések azt vizsgálják, hogy i. a kontrollrendszerek hatékonyak-e, beleértve a csalás, a korrupció és az összeférhetetlenség feltárását; a DNSH-elvnek, az állami támogatási s</w:t>
      </w:r>
      <w:r>
        <w:rPr>
          <w:noProof/>
        </w:rPr>
        <w:t>zabályoknak, valamint az éghajlat-politikai és digitális célkitűzésekre vonatkozó követelményeknek való megfelelés; és iii. teljesül az a követelmény, amely szerint a közvetítőnek ellenőriznie kell, hogy a végső kedvezményezett felelősségteljes nyilatkozat</w:t>
      </w:r>
      <w:r>
        <w:rPr>
          <w:noProof/>
        </w:rPr>
        <w:t>ot nyújt-e be annak ellenőrzésére, hogy ugyanazt a költséget egy másik uniós eszköz fedezi-e.   Az ellenőrzéseknek azt is ellenőrizniük kell, hogy az ügyletek jogszerűek-e, valamint hogy betartják-e a Békekeretet és a finanszírozási megállapodásokat létreh</w:t>
      </w:r>
      <w:r>
        <w:rPr>
          <w:noProof/>
        </w:rPr>
        <w:t xml:space="preserve">ozó rendeletben és kapcsolódó dokumentumokban foglalt feltételeket. </w:t>
      </w:r>
    </w:p>
    <w:p w14:paraId="76700374" w14:textId="3A118CB2" w:rsidR="003E1D81" w:rsidRDefault="00EB481C">
      <w:pPr>
        <w:pStyle w:val="P68B1DB1-ListParagraph7"/>
        <w:numPr>
          <w:ilvl w:val="0"/>
          <w:numId w:val="734"/>
        </w:numPr>
        <w:rPr>
          <w:rFonts w:eastAsia="Times New Roman" w:cs="Times New Roman"/>
          <w:noProof/>
        </w:rPr>
      </w:pPr>
      <w:r>
        <w:rPr>
          <w:noProof/>
        </w:rPr>
        <w:t>A pénzügyi közvetítők kiválasztására vonatkozó követelmények: A SEPIDES nyílt, átlátható és megkülönböztetésmentes módon választja ki a pénzügyi közvetítőket. A pénzügyi közvetítőket érin</w:t>
      </w:r>
      <w:r>
        <w:rPr>
          <w:noProof/>
        </w:rPr>
        <w:t xml:space="preserve">tő összeférhetetlenség hiányát előzetesen ellenőrizni kell, és minden érintett pénzügyi szereplő esetében olyan informatikai rendszeren keresztül kell elvégezni, mint a Minerva.  </w:t>
      </w:r>
    </w:p>
    <w:p w14:paraId="64409DA5" w14:textId="4096CEFE" w:rsidR="003E1D81" w:rsidRDefault="00EB481C">
      <w:pPr>
        <w:pStyle w:val="P68B1DB1-ListParagraph7"/>
        <w:numPr>
          <w:ilvl w:val="0"/>
          <w:numId w:val="734"/>
        </w:numPr>
        <w:rPr>
          <w:rFonts w:eastAsia="Times New Roman" w:cs="Times New Roman"/>
          <w:noProof/>
        </w:rPr>
      </w:pPr>
      <w:r>
        <w:rPr>
          <w:noProof/>
        </w:rPr>
        <w:t xml:space="preserve">Finanszírozási megállapodások aláírásának kötelezettsége: </w:t>
      </w:r>
      <w:bookmarkStart w:id="22" w:name="_Hlk145660075"/>
      <w:r>
        <w:rPr>
          <w:noProof/>
        </w:rPr>
        <w:t>A SEPIDES finanszí</w:t>
      </w:r>
      <w:r>
        <w:rPr>
          <w:noProof/>
        </w:rPr>
        <w:t>rozási megállapodásokat ír alá a pénzügyi közvetítőkkel, összhangban a Békekeretet létrehozó kapcsolódó dokumentumok részeként benyújtandó kulcsfontosságú követelményekkel.</w:t>
      </w:r>
      <w:bookmarkEnd w:id="22"/>
      <w:r>
        <w:rPr>
          <w:noProof/>
        </w:rPr>
        <w:t xml:space="preserve"> A finanszírozási megállapodás fő követelményei magukban foglalják mindazokat a köve</w:t>
      </w:r>
      <w:r>
        <w:rPr>
          <w:noProof/>
        </w:rPr>
        <w:t xml:space="preserve">telményeket, amelyek alapján a Békekeret működik, beleértve a következőket:  </w:t>
      </w:r>
    </w:p>
    <w:p w14:paraId="1989935B" w14:textId="2BC8F4B7" w:rsidR="003E1D81" w:rsidRDefault="00EB481C">
      <w:pPr>
        <w:pStyle w:val="P68B1DB1-ListParagraph7"/>
        <w:numPr>
          <w:ilvl w:val="1"/>
          <w:numId w:val="734"/>
        </w:numPr>
        <w:rPr>
          <w:rFonts w:eastAsia="Times New Roman" w:cs="Times New Roman"/>
          <w:noProof/>
        </w:rPr>
      </w:pPr>
      <w:r>
        <w:rPr>
          <w:noProof/>
        </w:rPr>
        <w:t xml:space="preserve">A pénzügyi közvetítő azon kötelezettsége, hogy döntéseit </w:t>
      </w:r>
      <w:r>
        <w:rPr>
          <w:i/>
          <w:noProof/>
        </w:rPr>
        <w:t>értelemszerűen</w:t>
      </w:r>
      <w:r>
        <w:rPr>
          <w:noProof/>
        </w:rPr>
        <w:t xml:space="preserve"> a fent meghatározott döntéshozatali és befektetési politikai követelményeknek megfelelően hozza meg, beleértve a DNSH-elv tiszteletben tartásával kapcsolatosakat is. </w:t>
      </w:r>
    </w:p>
    <w:p w14:paraId="6539DE4B" w14:textId="2BC8F4B7" w:rsidR="003E1D81" w:rsidRDefault="00EB481C">
      <w:pPr>
        <w:pStyle w:val="P68B1DB1-ListParagraph7"/>
        <w:numPr>
          <w:ilvl w:val="1"/>
          <w:numId w:val="734"/>
        </w:numPr>
        <w:rPr>
          <w:rFonts w:eastAsia="Times New Roman" w:cs="Times New Roman"/>
          <w:noProof/>
        </w:rPr>
      </w:pPr>
      <w:r>
        <w:rPr>
          <w:noProof/>
        </w:rPr>
        <w:t>A pénzügyi közvetítő által létrehozandó monitoring-, audit- és kontrollkeret leírása, am</w:t>
      </w:r>
      <w:r>
        <w:rPr>
          <w:noProof/>
        </w:rPr>
        <w:t xml:space="preserve">elyre </w:t>
      </w:r>
      <w:r>
        <w:rPr>
          <w:i/>
          <w:noProof/>
        </w:rPr>
        <w:t>értelemszerűen</w:t>
      </w:r>
      <w:r>
        <w:rPr>
          <w:noProof/>
        </w:rPr>
        <w:t xml:space="preserve"> a fent meghatározott valamennyi nyomonkövetési, ellenőrzési és kontrollkövetelmény vonatkozik.  </w:t>
      </w:r>
    </w:p>
    <w:p w14:paraId="41DA3C74" w14:textId="544F9D56" w:rsidR="003E1D81" w:rsidRDefault="00EB481C">
      <w:pPr>
        <w:pStyle w:val="P68B1DB1-ListParagraph7"/>
        <w:ind w:left="0"/>
        <w:rPr>
          <w:rFonts w:eastAsia="Times New Roman" w:cs="Times New Roman"/>
          <w:noProof/>
        </w:rPr>
      </w:pPr>
      <w:r>
        <w:rPr>
          <w:noProof/>
        </w:rPr>
        <w:t>Az intézkedés végrehajtását 2026. augusztus 31-ig be kell fejezni.</w:t>
      </w:r>
    </w:p>
    <w:bookmarkEnd w:id="19"/>
    <w:p w14:paraId="524E8F38" w14:textId="77777777" w:rsidR="003E1D81" w:rsidRDefault="00EB481C">
      <w:pPr>
        <w:pStyle w:val="P68B1DB1-Normal5"/>
        <w:spacing w:line="240" w:lineRule="auto"/>
        <w:ind w:left="720"/>
        <w:rPr>
          <w:rFonts w:cs="Times New Roman"/>
          <w:noProof/>
        </w:rPr>
      </w:pPr>
      <w:r>
        <w:rPr>
          <w:noProof/>
        </w:rPr>
        <w:t xml:space="preserve">K.4. </w:t>
      </w:r>
      <w:r>
        <w:rPr>
          <w:noProof/>
        </w:rPr>
        <w:tab/>
        <w:t>A hiteltámogatás nyomon követésének és végrehajtásának mérföldköv</w:t>
      </w:r>
      <w:r>
        <w:rPr>
          <w:noProof/>
        </w:rPr>
        <w:t>ei, céljai, mutatói és ütemterve</w:t>
      </w:r>
    </w:p>
    <w:p w14:paraId="2AD937C7" w14:textId="418509D2" w:rsidR="003E1D81" w:rsidRDefault="00EB481C">
      <w:pPr>
        <w:pStyle w:val="P68B1DB1-Normal18"/>
        <w:spacing w:line="240" w:lineRule="auto"/>
        <w:rPr>
          <w:rFonts w:cs="Times New Roman"/>
          <w:noProof/>
        </w:rPr>
      </w:pPr>
      <w:r>
        <w:rPr>
          <w:noProof/>
        </w:rPr>
        <w:t xml:space="preserve">Táblázat alább. Az alapforgatókönyv valamennyi mutató esetében 2020. február 1-je, kivéve, ha az intézkedés leírása másként jelzi. A táblázatban a 17. tételhez kapcsolódó összegek nem tartalmazzák a héát. </w:t>
      </w:r>
    </w:p>
    <w:p w14:paraId="6A3D9E5D" w14:textId="77777777" w:rsidR="003E1D81" w:rsidRDefault="003E1D81">
      <w:pPr>
        <w:spacing w:before="120" w:after="120" w:line="240" w:lineRule="auto"/>
        <w:jc w:val="both"/>
        <w:rPr>
          <w:rStyle w:val="eop"/>
          <w:rFonts w:ascii="Times New Roman" w:hAnsi="Times New Roman" w:cs="Times New Roman"/>
          <w:noProof/>
          <w:shd w:val="clear" w:color="auto" w:fill="FFFFFF"/>
        </w:rPr>
        <w:sectPr w:rsidR="003E1D81" w:rsidSect="00EB7CC8">
          <w:headerReference w:type="even" r:id="rId234"/>
          <w:headerReference w:type="default" r:id="rId235"/>
          <w:footerReference w:type="even" r:id="rId236"/>
          <w:footerReference w:type="default" r:id="rId237"/>
          <w:headerReference w:type="first" r:id="rId238"/>
          <w:footerReference w:type="first" r:id="rId239"/>
          <w:pgSz w:w="11907" w:h="16839"/>
          <w:pgMar w:top="1134" w:right="1417" w:bottom="1134" w:left="1417" w:header="709" w:footer="709" w:gutter="0"/>
          <w:cols w:space="720"/>
          <w:docGrid w:linePitch="360"/>
        </w:sectPr>
      </w:pPr>
    </w:p>
    <w:tbl>
      <w:tblPr>
        <w:tblW w:w="1527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7"/>
        <w:gridCol w:w="837"/>
        <w:gridCol w:w="836"/>
        <w:gridCol w:w="2685"/>
        <w:gridCol w:w="1358"/>
        <w:gridCol w:w="698"/>
        <w:gridCol w:w="698"/>
        <w:gridCol w:w="913"/>
        <w:gridCol w:w="419"/>
        <w:gridCol w:w="827"/>
        <w:gridCol w:w="5165"/>
      </w:tblGrid>
      <w:tr w:rsidR="003E1D81" w14:paraId="2616F5E1" w14:textId="77777777">
        <w:trPr>
          <w:trHeight w:val="309"/>
          <w:tblHeader/>
        </w:trPr>
        <w:tc>
          <w:tcPr>
            <w:tcW w:w="837" w:type="dxa"/>
            <w:vMerge w:val="restart"/>
            <w:shd w:val="clear" w:color="auto" w:fill="C6D9F1" w:themeFill="text2" w:themeFillTint="33"/>
            <w:noWrap/>
            <w:vAlign w:val="center"/>
          </w:tcPr>
          <w:p w14:paraId="3AD07B5D" w14:textId="77777777" w:rsidR="003E1D81" w:rsidRDefault="00EB481C">
            <w:pPr>
              <w:pStyle w:val="P68B1DB1-Normal12"/>
              <w:spacing w:after="0" w:line="240" w:lineRule="auto"/>
              <w:jc w:val="center"/>
              <w:rPr>
                <w:rFonts w:cs="Times New Roman"/>
                <w:noProof/>
              </w:rPr>
            </w:pPr>
            <w:r>
              <w:rPr>
                <w:noProof/>
              </w:rPr>
              <w:t>Szám</w:t>
            </w:r>
          </w:p>
        </w:tc>
        <w:tc>
          <w:tcPr>
            <w:tcW w:w="837" w:type="dxa"/>
            <w:vMerge w:val="restart"/>
            <w:shd w:val="clear" w:color="auto" w:fill="C6D9F1" w:themeFill="text2" w:themeFillTint="33"/>
            <w:noWrap/>
            <w:vAlign w:val="center"/>
          </w:tcPr>
          <w:p w14:paraId="6B19678A" w14:textId="77777777" w:rsidR="003E1D81" w:rsidRDefault="00EB481C">
            <w:pPr>
              <w:pStyle w:val="P68B1DB1-Normal12"/>
              <w:spacing w:after="0" w:line="240" w:lineRule="auto"/>
              <w:jc w:val="center"/>
              <w:rPr>
                <w:rFonts w:cs="Times New Roman"/>
                <w:noProof/>
              </w:rPr>
            </w:pPr>
            <w:r>
              <w:rPr>
                <w:noProof/>
              </w:rPr>
              <w:t>Intézkedés</w:t>
            </w:r>
          </w:p>
        </w:tc>
        <w:tc>
          <w:tcPr>
            <w:tcW w:w="836" w:type="dxa"/>
            <w:vMerge w:val="restart"/>
            <w:shd w:val="clear" w:color="auto" w:fill="C6D9F1" w:themeFill="text2" w:themeFillTint="33"/>
            <w:noWrap/>
            <w:vAlign w:val="center"/>
          </w:tcPr>
          <w:p w14:paraId="48A60148" w14:textId="77777777" w:rsidR="003E1D81" w:rsidRDefault="00EB481C">
            <w:pPr>
              <w:pStyle w:val="P68B1DB1-Normal13"/>
              <w:spacing w:after="0" w:line="240" w:lineRule="auto"/>
              <w:jc w:val="center"/>
              <w:rPr>
                <w:rFonts w:cs="Times New Roman"/>
                <w:b/>
                <w:noProof/>
              </w:rPr>
            </w:pPr>
            <w:r>
              <w:rPr>
                <w:b/>
                <w:noProof/>
              </w:rPr>
              <w:t>Mérföldkő</w:t>
            </w:r>
            <w:r>
              <w:rPr>
                <w:noProof/>
              </w:rPr>
              <w:br/>
            </w:r>
            <w:r>
              <w:rPr>
                <w:b/>
                <w:noProof/>
              </w:rPr>
              <w:t xml:space="preserve"> /Cél</w:t>
            </w:r>
          </w:p>
        </w:tc>
        <w:tc>
          <w:tcPr>
            <w:tcW w:w="2685" w:type="dxa"/>
            <w:vMerge w:val="restart"/>
            <w:shd w:val="clear" w:color="auto" w:fill="C6D9F1" w:themeFill="text2" w:themeFillTint="33"/>
            <w:noWrap/>
            <w:vAlign w:val="center"/>
          </w:tcPr>
          <w:p w14:paraId="238C1394" w14:textId="77777777" w:rsidR="003E1D81" w:rsidRDefault="00EB481C">
            <w:pPr>
              <w:pStyle w:val="P68B1DB1-Normal12"/>
              <w:spacing w:after="0" w:line="240" w:lineRule="auto"/>
              <w:jc w:val="center"/>
              <w:rPr>
                <w:rFonts w:cs="Times New Roman"/>
                <w:noProof/>
              </w:rPr>
            </w:pPr>
            <w:r>
              <w:rPr>
                <w:noProof/>
              </w:rPr>
              <w:t>Név</w:t>
            </w:r>
          </w:p>
        </w:tc>
        <w:tc>
          <w:tcPr>
            <w:tcW w:w="1358" w:type="dxa"/>
            <w:vMerge w:val="restart"/>
            <w:shd w:val="clear" w:color="auto" w:fill="C6D9F1" w:themeFill="text2" w:themeFillTint="33"/>
            <w:noWrap/>
            <w:vAlign w:val="center"/>
          </w:tcPr>
          <w:p w14:paraId="4FD7E83C"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2309" w:type="dxa"/>
            <w:gridSpan w:val="3"/>
            <w:shd w:val="clear" w:color="auto" w:fill="C6D9F1" w:themeFill="text2" w:themeFillTint="33"/>
            <w:noWrap/>
            <w:vAlign w:val="center"/>
          </w:tcPr>
          <w:p w14:paraId="28F52CFA"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1246" w:type="dxa"/>
            <w:gridSpan w:val="2"/>
            <w:shd w:val="clear" w:color="auto" w:fill="C6D9F1" w:themeFill="text2" w:themeFillTint="33"/>
            <w:noWrap/>
            <w:vAlign w:val="center"/>
          </w:tcPr>
          <w:p w14:paraId="60CB2ADD" w14:textId="77777777" w:rsidR="003E1D81" w:rsidRDefault="00EB481C">
            <w:pPr>
              <w:pStyle w:val="P68B1DB1-Normal12"/>
              <w:spacing w:after="0" w:line="240" w:lineRule="auto"/>
              <w:jc w:val="center"/>
              <w:rPr>
                <w:rFonts w:cs="Times New Roman"/>
                <w:noProof/>
              </w:rPr>
            </w:pPr>
            <w:r>
              <w:rPr>
                <w:noProof/>
              </w:rPr>
              <w:t>Idő</w:t>
            </w:r>
          </w:p>
        </w:tc>
        <w:tc>
          <w:tcPr>
            <w:tcW w:w="5165" w:type="dxa"/>
            <w:vMerge w:val="restart"/>
            <w:shd w:val="clear" w:color="auto" w:fill="C6D9F1" w:themeFill="text2" w:themeFillTint="33"/>
            <w:noWrap/>
            <w:vAlign w:val="center"/>
          </w:tcPr>
          <w:p w14:paraId="6D385B64"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6E7F24D4" w14:textId="77777777">
        <w:trPr>
          <w:trHeight w:val="309"/>
          <w:tblHeader/>
        </w:trPr>
        <w:tc>
          <w:tcPr>
            <w:tcW w:w="837" w:type="dxa"/>
            <w:vMerge/>
            <w:shd w:val="clear" w:color="auto" w:fill="C6D9F1" w:themeFill="text2" w:themeFillTint="33"/>
            <w:noWrap/>
          </w:tcPr>
          <w:p w14:paraId="59E3779A" w14:textId="77777777" w:rsidR="003E1D81" w:rsidRDefault="003E1D81">
            <w:pPr>
              <w:spacing w:after="0" w:line="240" w:lineRule="auto"/>
              <w:jc w:val="center"/>
              <w:rPr>
                <w:rFonts w:ascii="Times New Roman" w:hAnsi="Times New Roman" w:cs="Times New Roman"/>
                <w:b/>
                <w:noProof/>
                <w:sz w:val="18"/>
              </w:rPr>
            </w:pPr>
          </w:p>
        </w:tc>
        <w:tc>
          <w:tcPr>
            <w:tcW w:w="837" w:type="dxa"/>
            <w:vMerge/>
            <w:shd w:val="clear" w:color="auto" w:fill="C6D9F1" w:themeFill="text2" w:themeFillTint="33"/>
            <w:noWrap/>
          </w:tcPr>
          <w:p w14:paraId="06703800" w14:textId="77777777" w:rsidR="003E1D81" w:rsidRDefault="003E1D81">
            <w:pPr>
              <w:spacing w:after="0" w:line="240" w:lineRule="auto"/>
              <w:jc w:val="center"/>
              <w:rPr>
                <w:rFonts w:ascii="Times New Roman" w:hAnsi="Times New Roman" w:cs="Times New Roman"/>
                <w:b/>
                <w:noProof/>
                <w:sz w:val="18"/>
              </w:rPr>
            </w:pPr>
          </w:p>
        </w:tc>
        <w:tc>
          <w:tcPr>
            <w:tcW w:w="836" w:type="dxa"/>
            <w:vMerge/>
            <w:shd w:val="clear" w:color="auto" w:fill="C6D9F1" w:themeFill="text2" w:themeFillTint="33"/>
            <w:noWrap/>
          </w:tcPr>
          <w:p w14:paraId="1A20FE71" w14:textId="77777777" w:rsidR="003E1D81" w:rsidRDefault="003E1D81">
            <w:pPr>
              <w:spacing w:after="0" w:line="240" w:lineRule="auto"/>
              <w:jc w:val="center"/>
              <w:rPr>
                <w:rFonts w:ascii="Times New Roman" w:hAnsi="Times New Roman" w:cs="Times New Roman"/>
                <w:b/>
                <w:noProof/>
                <w:sz w:val="18"/>
              </w:rPr>
            </w:pPr>
          </w:p>
        </w:tc>
        <w:tc>
          <w:tcPr>
            <w:tcW w:w="2685" w:type="dxa"/>
            <w:vMerge/>
            <w:shd w:val="clear" w:color="auto" w:fill="C6D9F1" w:themeFill="text2" w:themeFillTint="33"/>
            <w:noWrap/>
          </w:tcPr>
          <w:p w14:paraId="7ECDEF7E" w14:textId="77777777" w:rsidR="003E1D81" w:rsidRDefault="003E1D81">
            <w:pPr>
              <w:spacing w:after="0" w:line="240" w:lineRule="auto"/>
              <w:rPr>
                <w:rFonts w:ascii="Times New Roman" w:hAnsi="Times New Roman" w:cs="Times New Roman"/>
                <w:b/>
                <w:noProof/>
                <w:sz w:val="18"/>
              </w:rPr>
            </w:pPr>
          </w:p>
        </w:tc>
        <w:tc>
          <w:tcPr>
            <w:tcW w:w="1358" w:type="dxa"/>
            <w:vMerge/>
            <w:shd w:val="clear" w:color="auto" w:fill="C6D9F1" w:themeFill="text2" w:themeFillTint="33"/>
            <w:noWrap/>
          </w:tcPr>
          <w:p w14:paraId="3D69A8B0" w14:textId="77777777" w:rsidR="003E1D81" w:rsidRDefault="003E1D81">
            <w:pPr>
              <w:spacing w:after="0" w:line="240" w:lineRule="auto"/>
              <w:jc w:val="center"/>
              <w:rPr>
                <w:rFonts w:ascii="Times New Roman" w:hAnsi="Times New Roman" w:cs="Times New Roman"/>
                <w:b/>
                <w:noProof/>
                <w:sz w:val="18"/>
              </w:rPr>
            </w:pPr>
          </w:p>
        </w:tc>
        <w:tc>
          <w:tcPr>
            <w:tcW w:w="698" w:type="dxa"/>
            <w:shd w:val="clear" w:color="auto" w:fill="C6D9F1" w:themeFill="text2" w:themeFillTint="33"/>
            <w:noWrap/>
            <w:vAlign w:val="center"/>
          </w:tcPr>
          <w:p w14:paraId="197941C7" w14:textId="77777777" w:rsidR="003E1D81" w:rsidRDefault="00EB481C">
            <w:pPr>
              <w:pStyle w:val="P68B1DB1-Normal12"/>
              <w:spacing w:after="0" w:line="240" w:lineRule="auto"/>
              <w:jc w:val="center"/>
              <w:rPr>
                <w:rFonts w:cs="Times New Roman"/>
                <w:noProof/>
              </w:rPr>
            </w:pPr>
            <w:r>
              <w:rPr>
                <w:noProof/>
              </w:rPr>
              <w:t>Egység</w:t>
            </w:r>
          </w:p>
        </w:tc>
        <w:tc>
          <w:tcPr>
            <w:tcW w:w="698" w:type="dxa"/>
            <w:shd w:val="clear" w:color="auto" w:fill="C6D9F1" w:themeFill="text2" w:themeFillTint="33"/>
            <w:noWrap/>
            <w:vAlign w:val="center"/>
          </w:tcPr>
          <w:p w14:paraId="5BDD40F7" w14:textId="77777777" w:rsidR="003E1D81" w:rsidRDefault="00EB481C">
            <w:pPr>
              <w:pStyle w:val="P68B1DB1-Normal12"/>
              <w:spacing w:after="0" w:line="240" w:lineRule="auto"/>
              <w:jc w:val="center"/>
              <w:rPr>
                <w:rFonts w:cs="Times New Roman"/>
                <w:noProof/>
              </w:rPr>
            </w:pPr>
            <w:r>
              <w:rPr>
                <w:noProof/>
              </w:rPr>
              <w:t>Alapérték</w:t>
            </w:r>
          </w:p>
        </w:tc>
        <w:tc>
          <w:tcPr>
            <w:tcW w:w="913" w:type="dxa"/>
            <w:shd w:val="clear" w:color="auto" w:fill="C6D9F1" w:themeFill="text2" w:themeFillTint="33"/>
            <w:noWrap/>
            <w:vAlign w:val="center"/>
          </w:tcPr>
          <w:p w14:paraId="52121D1F" w14:textId="77777777" w:rsidR="003E1D81" w:rsidRDefault="00EB481C">
            <w:pPr>
              <w:pStyle w:val="P68B1DB1-Normal12"/>
              <w:spacing w:after="0" w:line="240" w:lineRule="auto"/>
              <w:jc w:val="center"/>
              <w:rPr>
                <w:rFonts w:cs="Times New Roman"/>
                <w:noProof/>
              </w:rPr>
            </w:pPr>
            <w:r>
              <w:rPr>
                <w:noProof/>
              </w:rPr>
              <w:t>Cél</w:t>
            </w:r>
          </w:p>
        </w:tc>
        <w:tc>
          <w:tcPr>
            <w:tcW w:w="419" w:type="dxa"/>
            <w:shd w:val="clear" w:color="auto" w:fill="C6D9F1" w:themeFill="text2" w:themeFillTint="33"/>
            <w:noWrap/>
            <w:vAlign w:val="center"/>
          </w:tcPr>
          <w:p w14:paraId="1BF3FC7D" w14:textId="77777777" w:rsidR="003E1D81" w:rsidRDefault="00EB481C">
            <w:pPr>
              <w:pStyle w:val="P68B1DB1-Normal12"/>
              <w:spacing w:after="0" w:line="240" w:lineRule="auto"/>
              <w:jc w:val="center"/>
              <w:rPr>
                <w:rFonts w:cs="Times New Roman"/>
                <w:noProof/>
              </w:rPr>
            </w:pPr>
            <w:r>
              <w:rPr>
                <w:noProof/>
              </w:rPr>
              <w:t>Q</w:t>
            </w:r>
          </w:p>
        </w:tc>
        <w:tc>
          <w:tcPr>
            <w:tcW w:w="827" w:type="dxa"/>
            <w:shd w:val="clear" w:color="auto" w:fill="C6D9F1" w:themeFill="text2" w:themeFillTint="33"/>
            <w:noWrap/>
            <w:vAlign w:val="center"/>
          </w:tcPr>
          <w:p w14:paraId="7A2A1329" w14:textId="77777777" w:rsidR="003E1D81" w:rsidRDefault="00EB481C">
            <w:pPr>
              <w:pStyle w:val="P68B1DB1-Normal12"/>
              <w:spacing w:after="0" w:line="240" w:lineRule="auto"/>
              <w:jc w:val="center"/>
              <w:rPr>
                <w:rFonts w:cs="Times New Roman"/>
                <w:noProof/>
              </w:rPr>
            </w:pPr>
            <w:r>
              <w:rPr>
                <w:noProof/>
              </w:rPr>
              <w:t>Éve</w:t>
            </w:r>
          </w:p>
        </w:tc>
        <w:tc>
          <w:tcPr>
            <w:tcW w:w="5165" w:type="dxa"/>
            <w:vMerge/>
            <w:shd w:val="clear" w:color="auto" w:fill="C6D9F1" w:themeFill="text2" w:themeFillTint="33"/>
            <w:noWrap/>
          </w:tcPr>
          <w:p w14:paraId="3B2DFE3C" w14:textId="77777777" w:rsidR="003E1D81" w:rsidRDefault="003E1D81">
            <w:pPr>
              <w:spacing w:after="0" w:line="240" w:lineRule="auto"/>
              <w:rPr>
                <w:rFonts w:ascii="Times New Roman" w:hAnsi="Times New Roman" w:cs="Times New Roman"/>
                <w:b/>
                <w:noProof/>
                <w:sz w:val="18"/>
              </w:rPr>
            </w:pPr>
          </w:p>
        </w:tc>
      </w:tr>
      <w:tr w:rsidR="003E1D81" w14:paraId="563278B1" w14:textId="77777777">
        <w:trPr>
          <w:trHeight w:val="309"/>
        </w:trPr>
        <w:tc>
          <w:tcPr>
            <w:tcW w:w="837" w:type="dxa"/>
            <w:shd w:val="clear" w:color="auto" w:fill="C6EFCE"/>
            <w:noWrap/>
          </w:tcPr>
          <w:p w14:paraId="1EB4BB79" w14:textId="69640D2E" w:rsidR="003E1D81" w:rsidRDefault="00EB481C">
            <w:pPr>
              <w:pStyle w:val="P68B1DB1-Normal13"/>
              <w:spacing w:after="0" w:line="240" w:lineRule="auto"/>
              <w:jc w:val="center"/>
              <w:rPr>
                <w:rFonts w:eastAsia="Times New Roman" w:cs="Times New Roman"/>
                <w:noProof/>
              </w:rPr>
            </w:pPr>
            <w:r>
              <w:rPr>
                <w:noProof/>
              </w:rPr>
              <w:t>L89</w:t>
            </w:r>
          </w:p>
        </w:tc>
        <w:tc>
          <w:tcPr>
            <w:tcW w:w="837" w:type="dxa"/>
            <w:shd w:val="clear" w:color="auto" w:fill="C6EFCE"/>
            <w:noWrap/>
          </w:tcPr>
          <w:p w14:paraId="1688DE83" w14:textId="3E5A978B" w:rsidR="003E1D81" w:rsidRDefault="00EB481C">
            <w:pPr>
              <w:pStyle w:val="P68B1DB1-Normal13"/>
              <w:spacing w:after="0" w:line="240" w:lineRule="auto"/>
              <w:jc w:val="center"/>
              <w:rPr>
                <w:rFonts w:eastAsia="Times New Roman" w:cs="Times New Roman"/>
                <w:noProof/>
              </w:rPr>
            </w:pPr>
            <w:r>
              <w:rPr>
                <w:noProof/>
              </w:rPr>
              <w:t>C11.I6</w:t>
            </w:r>
          </w:p>
        </w:tc>
        <w:tc>
          <w:tcPr>
            <w:tcW w:w="836" w:type="dxa"/>
            <w:shd w:val="clear" w:color="auto" w:fill="C6EFCE"/>
            <w:noWrap/>
          </w:tcPr>
          <w:p w14:paraId="1BCCFAFE" w14:textId="347496AC" w:rsidR="003E1D81" w:rsidRDefault="00EB481C">
            <w:pPr>
              <w:pStyle w:val="P68B1DB1-Normal13"/>
              <w:spacing w:after="0" w:line="240" w:lineRule="auto"/>
              <w:jc w:val="center"/>
              <w:rPr>
                <w:rFonts w:eastAsia="Times New Roman" w:cs="Times New Roman"/>
                <w:noProof/>
              </w:rPr>
            </w:pPr>
            <w:r>
              <w:rPr>
                <w:noProof/>
              </w:rPr>
              <w:t>T</w:t>
            </w:r>
          </w:p>
        </w:tc>
        <w:tc>
          <w:tcPr>
            <w:tcW w:w="2685" w:type="dxa"/>
            <w:shd w:val="clear" w:color="auto" w:fill="C6EFCE"/>
            <w:noWrap/>
          </w:tcPr>
          <w:p w14:paraId="21C5ACFB" w14:textId="77C522E4" w:rsidR="003E1D81" w:rsidRDefault="00EB481C">
            <w:pPr>
              <w:pStyle w:val="P68B1DB1-Normal13"/>
              <w:spacing w:after="0" w:line="240" w:lineRule="auto"/>
              <w:rPr>
                <w:rFonts w:eastAsia="Times New Roman" w:cs="Times New Roman"/>
                <w:noProof/>
              </w:rPr>
            </w:pPr>
            <w:r>
              <w:rPr>
                <w:noProof/>
              </w:rPr>
              <w:t>Projektek odaítélése a közigazgatás kiberbiztonsági képességeinek megerősítésére a kiberfenyegetések megelőzése, védelme, felderítése és az azokra való reagálás területén (kiberbiztonsági program)</w:t>
            </w:r>
          </w:p>
        </w:tc>
        <w:tc>
          <w:tcPr>
            <w:tcW w:w="1358" w:type="dxa"/>
            <w:shd w:val="clear" w:color="auto" w:fill="C6EFCE"/>
            <w:noWrap/>
          </w:tcPr>
          <w:p w14:paraId="3789D055" w14:textId="055709F3" w:rsidR="003E1D81" w:rsidRDefault="00EB481C">
            <w:pPr>
              <w:pStyle w:val="P68B1DB1-Normal13"/>
              <w:spacing w:after="0" w:line="240" w:lineRule="auto"/>
              <w:jc w:val="center"/>
              <w:rPr>
                <w:rFonts w:eastAsia="Times New Roman" w:cs="Times New Roman"/>
                <w:noProof/>
              </w:rPr>
            </w:pPr>
            <w:r>
              <w:rPr>
                <w:noProof/>
              </w:rPr>
              <w:t xml:space="preserve">Közzététel a hivatalos közlönyben vagy a közbeszerzési </w:t>
            </w:r>
            <w:r>
              <w:rPr>
                <w:noProof/>
              </w:rPr>
              <w:t>platformon</w:t>
            </w:r>
          </w:p>
        </w:tc>
        <w:tc>
          <w:tcPr>
            <w:tcW w:w="698" w:type="dxa"/>
            <w:shd w:val="clear" w:color="auto" w:fill="C6EFCE"/>
            <w:noWrap/>
          </w:tcPr>
          <w:p w14:paraId="3D0A1ABB" w14:textId="77256AEB" w:rsidR="003E1D81" w:rsidRDefault="00EB481C">
            <w:pPr>
              <w:pStyle w:val="P68B1DB1-Normal13"/>
              <w:spacing w:after="0" w:line="240" w:lineRule="auto"/>
              <w:jc w:val="right"/>
              <w:rPr>
                <w:rFonts w:eastAsia="Times New Roman" w:cs="Times New Roman"/>
                <w:noProof/>
              </w:rPr>
            </w:pPr>
            <w:r>
              <w:rPr>
                <w:noProof/>
              </w:rPr>
              <w:t>Millió EUR</w:t>
            </w:r>
          </w:p>
        </w:tc>
        <w:tc>
          <w:tcPr>
            <w:tcW w:w="698" w:type="dxa"/>
            <w:shd w:val="clear" w:color="auto" w:fill="C6EFCE"/>
            <w:noWrap/>
          </w:tcPr>
          <w:p w14:paraId="47B04735" w14:textId="7183A9B0" w:rsidR="003E1D81" w:rsidRDefault="00EB481C">
            <w:pPr>
              <w:pStyle w:val="P68B1DB1-Normal13"/>
              <w:spacing w:after="0" w:line="240" w:lineRule="auto"/>
              <w:jc w:val="right"/>
              <w:rPr>
                <w:rFonts w:eastAsia="Times New Roman" w:cs="Times New Roman"/>
                <w:noProof/>
              </w:rPr>
            </w:pPr>
            <w:r>
              <w:rPr>
                <w:noProof/>
              </w:rPr>
              <w:t>0</w:t>
            </w:r>
          </w:p>
        </w:tc>
        <w:tc>
          <w:tcPr>
            <w:tcW w:w="913" w:type="dxa"/>
            <w:shd w:val="clear" w:color="auto" w:fill="C6EFCE"/>
            <w:noWrap/>
          </w:tcPr>
          <w:p w14:paraId="50A89CD6" w14:textId="71D776DD" w:rsidR="003E1D81" w:rsidRDefault="00EB481C">
            <w:pPr>
              <w:pStyle w:val="P68B1DB1-Normal13"/>
              <w:spacing w:after="0" w:line="240" w:lineRule="auto"/>
              <w:jc w:val="right"/>
              <w:rPr>
                <w:rFonts w:eastAsia="Times New Roman" w:cs="Times New Roman"/>
                <w:noProof/>
              </w:rPr>
            </w:pPr>
            <w:r>
              <w:rPr>
                <w:noProof/>
              </w:rPr>
              <w:t>1 041</w:t>
            </w:r>
          </w:p>
        </w:tc>
        <w:tc>
          <w:tcPr>
            <w:tcW w:w="419" w:type="dxa"/>
            <w:shd w:val="clear" w:color="auto" w:fill="C6EFCE"/>
            <w:noWrap/>
          </w:tcPr>
          <w:p w14:paraId="6F959CC0" w14:textId="37A2F76B" w:rsidR="003E1D81" w:rsidRDefault="00EB481C">
            <w:pPr>
              <w:pStyle w:val="P68B1DB1-Normal13"/>
              <w:spacing w:after="0" w:line="240" w:lineRule="auto"/>
              <w:jc w:val="center"/>
              <w:rPr>
                <w:rFonts w:eastAsia="Times New Roman" w:cs="Times New Roman"/>
                <w:noProof/>
              </w:rPr>
            </w:pPr>
            <w:r>
              <w:rPr>
                <w:noProof/>
              </w:rPr>
              <w:t>KÉRDÉS</w:t>
            </w:r>
          </w:p>
        </w:tc>
        <w:tc>
          <w:tcPr>
            <w:tcW w:w="827" w:type="dxa"/>
            <w:shd w:val="clear" w:color="auto" w:fill="C6EFCE"/>
            <w:noWrap/>
          </w:tcPr>
          <w:p w14:paraId="59AB57E0" w14:textId="01FA9240" w:rsidR="003E1D81" w:rsidRDefault="00EB481C">
            <w:pPr>
              <w:pStyle w:val="P68B1DB1-Normal13"/>
              <w:spacing w:after="0" w:line="240" w:lineRule="auto"/>
              <w:jc w:val="center"/>
              <w:rPr>
                <w:rFonts w:eastAsia="Times New Roman" w:cs="Times New Roman"/>
                <w:noProof/>
              </w:rPr>
            </w:pPr>
            <w:r>
              <w:rPr>
                <w:noProof/>
              </w:rPr>
              <w:t>2025</w:t>
            </w:r>
          </w:p>
        </w:tc>
        <w:tc>
          <w:tcPr>
            <w:tcW w:w="5165" w:type="dxa"/>
            <w:shd w:val="clear" w:color="auto" w:fill="C6EFCE"/>
            <w:noWrap/>
          </w:tcPr>
          <w:p w14:paraId="31E9175F" w14:textId="10028EF8" w:rsidR="003E1D81" w:rsidRDefault="00EB481C">
            <w:pPr>
              <w:pStyle w:val="P68B1DB1-Normal13"/>
              <w:spacing w:after="0" w:line="240" w:lineRule="auto"/>
              <w:rPr>
                <w:rFonts w:eastAsia="Times New Roman" w:cs="Times New Roman"/>
                <w:noProof/>
              </w:rPr>
            </w:pPr>
            <w:r>
              <w:rPr>
                <w:noProof/>
              </w:rPr>
              <w:t>Legalább 1 041 525 000 EUR odaítélésének közzététele a Hivatalos Lapban vagy a közbeszerzési platformon olyan projektek keretében, amelyek célja a közigazgatás kiberbiztonsági képességeinek megerősítése a kiberfeny</w:t>
            </w:r>
            <w:r>
              <w:rPr>
                <w:noProof/>
              </w:rPr>
              <w:t xml:space="preserve">egetések megelőzése, védelme, felderítése és az azokra való reagálás terén. E projekteknek hozzá kell járulniuk a következő célkitűzések közül egyhez vagy többhöz: kapacitásépítés a kiberfenyegetésekre való reagáláshoz; a stratégiai eszközök biztonságának </w:t>
            </w:r>
            <w:r>
              <w:rPr>
                <w:noProof/>
              </w:rPr>
              <w:t>és rezilienciájának biztosítása; a kiberbűnözéssel kapcsolatos nyomozási és büntetőeljárási kapacitások megerősítése; a kiberbiztonság fokozása a polgárok és a vállalkozások számára; a kiberbiztonsági ágazat fellendítése; és vi. kiberbiztonsági kultúra kia</w:t>
            </w:r>
            <w:r>
              <w:rPr>
                <w:noProof/>
              </w:rPr>
              <w:t>lakítása.</w:t>
            </w:r>
          </w:p>
        </w:tc>
      </w:tr>
      <w:tr w:rsidR="003E1D81" w14:paraId="748067CB" w14:textId="77777777">
        <w:trPr>
          <w:trHeight w:val="309"/>
        </w:trPr>
        <w:tc>
          <w:tcPr>
            <w:tcW w:w="837" w:type="dxa"/>
            <w:shd w:val="clear" w:color="auto" w:fill="C6EFCE"/>
            <w:noWrap/>
          </w:tcPr>
          <w:p w14:paraId="30DF82E4" w14:textId="143F7966" w:rsidR="003E1D81" w:rsidRDefault="00EB481C">
            <w:pPr>
              <w:pStyle w:val="P68B1DB1-Normal13"/>
              <w:spacing w:after="0" w:line="240" w:lineRule="auto"/>
              <w:jc w:val="center"/>
              <w:rPr>
                <w:rFonts w:eastAsia="Times New Roman" w:cs="Times New Roman"/>
                <w:noProof/>
              </w:rPr>
            </w:pPr>
            <w:r>
              <w:rPr>
                <w:noProof/>
              </w:rPr>
              <w:t>L17</w:t>
            </w:r>
          </w:p>
        </w:tc>
        <w:tc>
          <w:tcPr>
            <w:tcW w:w="837" w:type="dxa"/>
            <w:shd w:val="clear" w:color="auto" w:fill="C6EFCE"/>
            <w:noWrap/>
          </w:tcPr>
          <w:p w14:paraId="09AD2858" w14:textId="6220FCC5" w:rsidR="003E1D81" w:rsidRDefault="00EB481C">
            <w:pPr>
              <w:pStyle w:val="P68B1DB1-Normal13"/>
              <w:spacing w:after="0" w:line="240" w:lineRule="auto"/>
              <w:jc w:val="center"/>
              <w:rPr>
                <w:rFonts w:eastAsia="Times New Roman" w:cs="Times New Roman"/>
                <w:noProof/>
              </w:rPr>
            </w:pPr>
            <w:r>
              <w:rPr>
                <w:noProof/>
              </w:rPr>
              <w:t>C11.I6</w:t>
            </w:r>
          </w:p>
        </w:tc>
        <w:tc>
          <w:tcPr>
            <w:tcW w:w="836" w:type="dxa"/>
            <w:shd w:val="clear" w:color="auto" w:fill="C6EFCE"/>
            <w:noWrap/>
          </w:tcPr>
          <w:p w14:paraId="52F15E55" w14:textId="268DECAE" w:rsidR="003E1D81" w:rsidRDefault="00EB481C">
            <w:pPr>
              <w:pStyle w:val="P68B1DB1-Normal13"/>
              <w:spacing w:after="0" w:line="240" w:lineRule="auto"/>
              <w:jc w:val="center"/>
              <w:rPr>
                <w:rFonts w:eastAsia="Times New Roman" w:cs="Times New Roman"/>
                <w:noProof/>
              </w:rPr>
            </w:pPr>
            <w:r>
              <w:rPr>
                <w:noProof/>
              </w:rPr>
              <w:t>T</w:t>
            </w:r>
          </w:p>
        </w:tc>
        <w:tc>
          <w:tcPr>
            <w:tcW w:w="2685" w:type="dxa"/>
            <w:shd w:val="clear" w:color="auto" w:fill="C6EFCE"/>
            <w:noWrap/>
          </w:tcPr>
          <w:p w14:paraId="10BCBCB9" w14:textId="2DBDA442" w:rsidR="003E1D81" w:rsidRDefault="00EB481C">
            <w:pPr>
              <w:pStyle w:val="P68B1DB1-Normal13"/>
              <w:spacing w:after="0" w:line="240" w:lineRule="auto"/>
              <w:rPr>
                <w:rFonts w:eastAsia="Times New Roman" w:cs="Times New Roman"/>
                <w:noProof/>
              </w:rPr>
            </w:pPr>
            <w:r>
              <w:rPr>
                <w:noProof/>
              </w:rPr>
              <w:t>A közigazgatás kiberbiztonsági képességeinek megerősítésére irányuló projektek lezárása a kiberfenyegetések megelőzése, védelme, felderítése és az azokra való reagálás területén (kiberbiztonsági program)</w:t>
            </w:r>
          </w:p>
        </w:tc>
        <w:tc>
          <w:tcPr>
            <w:tcW w:w="1358" w:type="dxa"/>
            <w:shd w:val="clear" w:color="auto" w:fill="C6EFCE"/>
            <w:noWrap/>
          </w:tcPr>
          <w:p w14:paraId="33A0B084" w14:textId="77777777" w:rsidR="003E1D81" w:rsidRDefault="003E1D81">
            <w:pPr>
              <w:spacing w:after="0" w:line="240" w:lineRule="auto"/>
              <w:jc w:val="center"/>
              <w:rPr>
                <w:rFonts w:ascii="Times New Roman" w:eastAsia="Times New Roman" w:hAnsi="Times New Roman" w:cs="Times New Roman"/>
                <w:noProof/>
                <w:sz w:val="18"/>
              </w:rPr>
            </w:pPr>
          </w:p>
        </w:tc>
        <w:tc>
          <w:tcPr>
            <w:tcW w:w="698" w:type="dxa"/>
            <w:shd w:val="clear" w:color="auto" w:fill="C6EFCE"/>
            <w:noWrap/>
          </w:tcPr>
          <w:p w14:paraId="36A09158" w14:textId="5F5331AB" w:rsidR="003E1D81" w:rsidRDefault="00EB481C">
            <w:pPr>
              <w:pStyle w:val="P68B1DB1-Normal13"/>
              <w:spacing w:after="0" w:line="240" w:lineRule="auto"/>
              <w:jc w:val="right"/>
              <w:rPr>
                <w:rFonts w:eastAsia="Times New Roman" w:cs="Times New Roman"/>
                <w:noProof/>
              </w:rPr>
            </w:pPr>
            <w:r>
              <w:rPr>
                <w:noProof/>
              </w:rPr>
              <w:t>Millió EUR</w:t>
            </w:r>
          </w:p>
        </w:tc>
        <w:tc>
          <w:tcPr>
            <w:tcW w:w="698" w:type="dxa"/>
            <w:shd w:val="clear" w:color="auto" w:fill="C6EFCE"/>
            <w:noWrap/>
          </w:tcPr>
          <w:p w14:paraId="48F4AB32" w14:textId="15A56815" w:rsidR="003E1D81" w:rsidRDefault="00EB481C">
            <w:pPr>
              <w:pStyle w:val="P68B1DB1-Normal13"/>
              <w:spacing w:after="0" w:line="240" w:lineRule="auto"/>
              <w:jc w:val="right"/>
              <w:rPr>
                <w:rFonts w:eastAsia="Times New Roman" w:cs="Times New Roman"/>
                <w:noProof/>
              </w:rPr>
            </w:pPr>
            <w:r>
              <w:rPr>
                <w:noProof/>
              </w:rPr>
              <w:t>0</w:t>
            </w:r>
          </w:p>
        </w:tc>
        <w:tc>
          <w:tcPr>
            <w:tcW w:w="913" w:type="dxa"/>
            <w:shd w:val="clear" w:color="auto" w:fill="C6EFCE"/>
            <w:noWrap/>
          </w:tcPr>
          <w:p w14:paraId="6D5868EA" w14:textId="3E874266" w:rsidR="003E1D81" w:rsidRDefault="00EB481C">
            <w:pPr>
              <w:pStyle w:val="P68B1DB1-Normal13"/>
              <w:spacing w:after="0" w:line="240" w:lineRule="auto"/>
              <w:jc w:val="right"/>
              <w:rPr>
                <w:rFonts w:eastAsia="Times New Roman" w:cs="Times New Roman"/>
                <w:noProof/>
              </w:rPr>
            </w:pPr>
            <w:r>
              <w:rPr>
                <w:noProof/>
              </w:rPr>
              <w:t>1 041</w:t>
            </w:r>
          </w:p>
        </w:tc>
        <w:tc>
          <w:tcPr>
            <w:tcW w:w="419" w:type="dxa"/>
            <w:shd w:val="clear" w:color="auto" w:fill="C6EFCE"/>
            <w:noWrap/>
          </w:tcPr>
          <w:p w14:paraId="73BDCB58" w14:textId="7F19B5B1" w:rsidR="003E1D81" w:rsidRDefault="00EB481C">
            <w:pPr>
              <w:pStyle w:val="P68B1DB1-Normal13"/>
              <w:spacing w:after="0" w:line="240" w:lineRule="auto"/>
              <w:jc w:val="center"/>
              <w:rPr>
                <w:rFonts w:eastAsia="Times New Roman" w:cs="Times New Roman"/>
                <w:noProof/>
              </w:rPr>
            </w:pPr>
            <w:r>
              <w:rPr>
                <w:noProof/>
              </w:rPr>
              <w:t>KÉRDÉS</w:t>
            </w:r>
          </w:p>
        </w:tc>
        <w:tc>
          <w:tcPr>
            <w:tcW w:w="827" w:type="dxa"/>
            <w:shd w:val="clear" w:color="auto" w:fill="C6EFCE"/>
            <w:noWrap/>
          </w:tcPr>
          <w:p w14:paraId="532EF65D" w14:textId="185C4808" w:rsidR="003E1D81" w:rsidRDefault="00EB481C">
            <w:pPr>
              <w:pStyle w:val="P68B1DB1-Normal13"/>
              <w:spacing w:after="0" w:line="240" w:lineRule="auto"/>
              <w:jc w:val="center"/>
              <w:rPr>
                <w:rFonts w:eastAsia="Times New Roman" w:cs="Times New Roman"/>
                <w:noProof/>
              </w:rPr>
            </w:pPr>
            <w:r>
              <w:rPr>
                <w:noProof/>
              </w:rPr>
              <w:t>2026</w:t>
            </w:r>
          </w:p>
        </w:tc>
        <w:tc>
          <w:tcPr>
            <w:tcW w:w="5165" w:type="dxa"/>
            <w:shd w:val="clear" w:color="auto" w:fill="C6EFCE"/>
            <w:noWrap/>
          </w:tcPr>
          <w:p w14:paraId="274410C8" w14:textId="77777777" w:rsidR="003E1D81" w:rsidRDefault="00EB481C">
            <w:pPr>
              <w:pStyle w:val="P68B1DB1-Normal13"/>
              <w:spacing w:after="0" w:line="240" w:lineRule="auto"/>
              <w:rPr>
                <w:rFonts w:eastAsia="Times New Roman" w:cs="Times New Roman"/>
                <w:noProof/>
              </w:rPr>
            </w:pPr>
            <w:r>
              <w:rPr>
                <w:noProof/>
              </w:rPr>
              <w:t>A közigazgatás kiberbiztonsági képességeinek megerősítésére irányuló projektek lezárása a kiberfenyegetések megelőzése, védelme, felderítése és az azokra való reagálás terén, legalább 1 041 525 000 EUR értékben. E projekteknek hozzá kell járulniuk a k</w:t>
            </w:r>
            <w:r>
              <w:rPr>
                <w:noProof/>
              </w:rPr>
              <w:t>övetkező célkitűzések közül egyhez vagy többhöz: kapacitásépítés a kiberfenyegetésekre való reagáláshoz; a stratégiai eszközök biztonságának és rezilienciájának biztosítása; a kiberbűnözéssel kapcsolatos nyomozási és büntetőeljárási kapacitások megerősítés</w:t>
            </w:r>
            <w:r>
              <w:rPr>
                <w:noProof/>
              </w:rPr>
              <w:t>e; a kiberbiztonság fokozása a polgárok és a vállalkozások számára; a kiberbiztonsági ágazat fellendítése; és vi. kiberbiztonsági kultúra kialakítása.</w:t>
            </w:r>
          </w:p>
          <w:p w14:paraId="4BAE3051" w14:textId="77777777" w:rsidR="003E1D81" w:rsidRDefault="003E1D81">
            <w:pPr>
              <w:spacing w:after="0" w:line="240" w:lineRule="auto"/>
              <w:rPr>
                <w:rFonts w:ascii="Times New Roman" w:eastAsia="Times New Roman" w:hAnsi="Times New Roman" w:cs="Times New Roman"/>
                <w:noProof/>
                <w:sz w:val="18"/>
              </w:rPr>
            </w:pPr>
          </w:p>
        </w:tc>
      </w:tr>
      <w:tr w:rsidR="003E1D81" w14:paraId="300EF90E" w14:textId="77777777">
        <w:trPr>
          <w:trHeight w:val="309"/>
        </w:trPr>
        <w:tc>
          <w:tcPr>
            <w:tcW w:w="837" w:type="dxa"/>
            <w:shd w:val="clear" w:color="auto" w:fill="C6EFCE"/>
            <w:noWrap/>
          </w:tcPr>
          <w:p w14:paraId="694D0EB1" w14:textId="1628BA02" w:rsidR="003E1D81" w:rsidRDefault="00EB481C">
            <w:pPr>
              <w:pStyle w:val="P68B1DB1-Normal13"/>
              <w:spacing w:after="0" w:line="240" w:lineRule="auto"/>
              <w:jc w:val="center"/>
              <w:rPr>
                <w:rFonts w:eastAsia="Times New Roman" w:cs="Times New Roman"/>
                <w:noProof/>
              </w:rPr>
            </w:pPr>
            <w:r>
              <w:rPr>
                <w:noProof/>
              </w:rPr>
              <w:t>L18</w:t>
            </w:r>
          </w:p>
        </w:tc>
        <w:tc>
          <w:tcPr>
            <w:tcW w:w="837" w:type="dxa"/>
            <w:shd w:val="clear" w:color="auto" w:fill="C6EFCE"/>
            <w:noWrap/>
          </w:tcPr>
          <w:p w14:paraId="4C3987D3" w14:textId="77777777" w:rsidR="003E1D81" w:rsidRDefault="00EB481C">
            <w:pPr>
              <w:pStyle w:val="P68B1DB1-Normal13"/>
              <w:spacing w:after="0" w:line="240" w:lineRule="auto"/>
              <w:jc w:val="center"/>
              <w:rPr>
                <w:rFonts w:eastAsia="Times New Roman" w:cs="Times New Roman"/>
                <w:noProof/>
              </w:rPr>
            </w:pPr>
            <w:r>
              <w:rPr>
                <w:noProof/>
              </w:rPr>
              <w:t>C11.I6</w:t>
            </w:r>
          </w:p>
        </w:tc>
        <w:tc>
          <w:tcPr>
            <w:tcW w:w="836" w:type="dxa"/>
            <w:shd w:val="clear" w:color="auto" w:fill="C6EFCE"/>
            <w:noWrap/>
          </w:tcPr>
          <w:p w14:paraId="561C763A" w14:textId="77777777" w:rsidR="003E1D81" w:rsidRDefault="00EB481C">
            <w:pPr>
              <w:pStyle w:val="P68B1DB1-Normal13"/>
              <w:spacing w:after="0" w:line="240" w:lineRule="auto"/>
              <w:jc w:val="center"/>
              <w:rPr>
                <w:rFonts w:eastAsia="Times New Roman" w:cs="Times New Roman"/>
                <w:noProof/>
              </w:rPr>
            </w:pPr>
            <w:r>
              <w:rPr>
                <w:noProof/>
              </w:rPr>
              <w:t>M</w:t>
            </w:r>
          </w:p>
        </w:tc>
        <w:tc>
          <w:tcPr>
            <w:tcW w:w="2685" w:type="dxa"/>
            <w:shd w:val="clear" w:color="auto" w:fill="C6EFCE"/>
            <w:noWrap/>
          </w:tcPr>
          <w:p w14:paraId="1CF08157" w14:textId="18A48FCA" w:rsidR="003E1D81" w:rsidRDefault="00EB481C">
            <w:pPr>
              <w:pStyle w:val="P68B1DB1-Normal13"/>
              <w:spacing w:after="0" w:line="240" w:lineRule="auto"/>
              <w:rPr>
                <w:rFonts w:eastAsia="Times New Roman" w:cs="Times New Roman"/>
                <w:noProof/>
              </w:rPr>
            </w:pPr>
            <w:r>
              <w:rPr>
                <w:noProof/>
              </w:rPr>
              <w:t>Rendelet a Biztonsági és Rezilienciaépítési Alap létrehozásáról </w:t>
            </w:r>
          </w:p>
        </w:tc>
        <w:tc>
          <w:tcPr>
            <w:tcW w:w="1358" w:type="dxa"/>
            <w:shd w:val="clear" w:color="auto" w:fill="C6EFCE"/>
            <w:noWrap/>
          </w:tcPr>
          <w:p w14:paraId="2250FE67" w14:textId="72E0A992" w:rsidR="003E1D81" w:rsidRDefault="00EB481C">
            <w:pPr>
              <w:pStyle w:val="P68B1DB1-Normal13"/>
              <w:spacing w:after="0" w:line="240" w:lineRule="auto"/>
              <w:jc w:val="center"/>
              <w:rPr>
                <w:rFonts w:eastAsia="Times New Roman" w:cs="Times New Roman"/>
                <w:noProof/>
              </w:rPr>
            </w:pPr>
            <w:r>
              <w:rPr>
                <w:noProof/>
              </w:rPr>
              <w:t>A rendelet hatálybalépése</w:t>
            </w:r>
          </w:p>
          <w:p w14:paraId="519E9A28" w14:textId="7D0E2291" w:rsidR="003E1D81" w:rsidRDefault="003E1D81">
            <w:pPr>
              <w:spacing w:after="0" w:line="240" w:lineRule="auto"/>
              <w:jc w:val="center"/>
              <w:rPr>
                <w:rFonts w:ascii="Times New Roman" w:eastAsia="Times New Roman" w:hAnsi="Times New Roman" w:cs="Times New Roman"/>
                <w:noProof/>
                <w:sz w:val="18"/>
              </w:rPr>
            </w:pPr>
          </w:p>
        </w:tc>
        <w:tc>
          <w:tcPr>
            <w:tcW w:w="698" w:type="dxa"/>
            <w:shd w:val="clear" w:color="auto" w:fill="C6EFCE"/>
            <w:noWrap/>
          </w:tcPr>
          <w:p w14:paraId="4C8CC92C" w14:textId="77777777" w:rsidR="003E1D81" w:rsidRDefault="00EB481C">
            <w:pPr>
              <w:pStyle w:val="P68B1DB1-Normal13"/>
              <w:spacing w:after="0" w:line="240" w:lineRule="auto"/>
              <w:jc w:val="right"/>
              <w:rPr>
                <w:rFonts w:eastAsia="Times New Roman" w:cs="Times New Roman"/>
                <w:noProof/>
              </w:rPr>
            </w:pPr>
            <w:r>
              <w:rPr>
                <w:noProof/>
              </w:rPr>
              <w:t>  </w:t>
            </w:r>
          </w:p>
        </w:tc>
        <w:tc>
          <w:tcPr>
            <w:tcW w:w="698" w:type="dxa"/>
            <w:shd w:val="clear" w:color="auto" w:fill="C6EFCE"/>
            <w:noWrap/>
          </w:tcPr>
          <w:p w14:paraId="500E7241" w14:textId="77777777" w:rsidR="003E1D81" w:rsidRDefault="00EB481C">
            <w:pPr>
              <w:pStyle w:val="P68B1DB1-Normal13"/>
              <w:spacing w:after="0" w:line="240" w:lineRule="auto"/>
              <w:jc w:val="right"/>
              <w:rPr>
                <w:rFonts w:eastAsia="Times New Roman" w:cs="Times New Roman"/>
                <w:noProof/>
              </w:rPr>
            </w:pPr>
            <w:r>
              <w:rPr>
                <w:noProof/>
              </w:rPr>
              <w:t>  </w:t>
            </w:r>
          </w:p>
        </w:tc>
        <w:tc>
          <w:tcPr>
            <w:tcW w:w="913" w:type="dxa"/>
            <w:shd w:val="clear" w:color="auto" w:fill="C6EFCE"/>
            <w:noWrap/>
          </w:tcPr>
          <w:p w14:paraId="5541F636" w14:textId="77777777" w:rsidR="003E1D81" w:rsidRDefault="00EB481C">
            <w:pPr>
              <w:pStyle w:val="P68B1DB1-Normal13"/>
              <w:spacing w:after="0" w:line="240" w:lineRule="auto"/>
              <w:jc w:val="right"/>
              <w:rPr>
                <w:rFonts w:eastAsia="Times New Roman" w:cs="Times New Roman"/>
                <w:noProof/>
              </w:rPr>
            </w:pPr>
            <w:r>
              <w:rPr>
                <w:noProof/>
              </w:rPr>
              <w:t>  </w:t>
            </w:r>
          </w:p>
        </w:tc>
        <w:tc>
          <w:tcPr>
            <w:tcW w:w="419" w:type="dxa"/>
            <w:shd w:val="clear" w:color="auto" w:fill="C6EFCE"/>
            <w:noWrap/>
          </w:tcPr>
          <w:p w14:paraId="5E8F6436" w14:textId="7537AC60" w:rsidR="003E1D81" w:rsidRDefault="00EB481C">
            <w:pPr>
              <w:pStyle w:val="P68B1DB1-Normal13"/>
              <w:spacing w:after="0" w:line="240" w:lineRule="auto"/>
              <w:jc w:val="center"/>
              <w:rPr>
                <w:rFonts w:eastAsia="Times New Roman" w:cs="Times New Roman"/>
                <w:noProof/>
              </w:rPr>
            </w:pPr>
            <w:r>
              <w:rPr>
                <w:noProof/>
              </w:rPr>
              <w:t>KÉRDÉS </w:t>
            </w:r>
          </w:p>
        </w:tc>
        <w:tc>
          <w:tcPr>
            <w:tcW w:w="827" w:type="dxa"/>
            <w:shd w:val="clear" w:color="auto" w:fill="C6EFCE"/>
            <w:noWrap/>
          </w:tcPr>
          <w:p w14:paraId="3E04495A" w14:textId="73DCC945" w:rsidR="003E1D81" w:rsidRDefault="00EB481C">
            <w:pPr>
              <w:pStyle w:val="P68B1DB1-Normal13"/>
              <w:spacing w:after="0" w:line="240" w:lineRule="auto"/>
              <w:jc w:val="center"/>
              <w:rPr>
                <w:rFonts w:eastAsia="Times New Roman" w:cs="Times New Roman"/>
                <w:noProof/>
              </w:rPr>
            </w:pPr>
            <w:r>
              <w:rPr>
                <w:noProof/>
              </w:rPr>
              <w:t>2024</w:t>
            </w:r>
          </w:p>
        </w:tc>
        <w:tc>
          <w:tcPr>
            <w:tcW w:w="5165" w:type="dxa"/>
            <w:shd w:val="clear" w:color="auto" w:fill="C6EFCE"/>
            <w:noWrap/>
          </w:tcPr>
          <w:p w14:paraId="457EE473" w14:textId="3E1B2FB3" w:rsidR="003E1D81" w:rsidRDefault="00EB481C">
            <w:pPr>
              <w:pStyle w:val="P68B1DB1-Normal13"/>
              <w:spacing w:after="0" w:line="240" w:lineRule="auto"/>
              <w:rPr>
                <w:rFonts w:eastAsia="Times New Roman" w:cs="Times New Roman"/>
                <w:noProof/>
              </w:rPr>
            </w:pPr>
            <w:r>
              <w:rPr>
                <w:noProof/>
              </w:rPr>
              <w:t>Az eszközt létrehozó rendelet és az ahhoz kapcsolódó dokumentumok hatálybalépése.</w:t>
            </w:r>
          </w:p>
        </w:tc>
      </w:tr>
      <w:tr w:rsidR="003E1D81" w14:paraId="5298DA75" w14:textId="77777777">
        <w:trPr>
          <w:trHeight w:val="309"/>
        </w:trPr>
        <w:tc>
          <w:tcPr>
            <w:tcW w:w="837" w:type="dxa"/>
            <w:shd w:val="clear" w:color="auto" w:fill="C6EFCE"/>
            <w:noWrap/>
          </w:tcPr>
          <w:p w14:paraId="4975496E" w14:textId="7B7A06DD" w:rsidR="003E1D81" w:rsidRDefault="00EB481C">
            <w:pPr>
              <w:pStyle w:val="P68B1DB1-Normal13"/>
              <w:spacing w:after="0" w:line="240" w:lineRule="auto"/>
              <w:jc w:val="center"/>
              <w:rPr>
                <w:rFonts w:cs="Times New Roman"/>
                <w:noProof/>
              </w:rPr>
            </w:pPr>
            <w:r>
              <w:rPr>
                <w:noProof/>
              </w:rPr>
              <w:t>L19</w:t>
            </w:r>
          </w:p>
        </w:tc>
        <w:tc>
          <w:tcPr>
            <w:tcW w:w="837" w:type="dxa"/>
            <w:shd w:val="clear" w:color="auto" w:fill="C6EFCE"/>
            <w:noWrap/>
          </w:tcPr>
          <w:p w14:paraId="338ED568" w14:textId="77777777" w:rsidR="003E1D81" w:rsidRDefault="00EB481C">
            <w:pPr>
              <w:pStyle w:val="P68B1DB1-Normal13"/>
              <w:spacing w:after="0" w:line="240" w:lineRule="auto"/>
              <w:jc w:val="center"/>
              <w:rPr>
                <w:rFonts w:cs="Times New Roman"/>
                <w:noProof/>
              </w:rPr>
            </w:pPr>
            <w:r>
              <w:rPr>
                <w:noProof/>
              </w:rPr>
              <w:t>C11.I6</w:t>
            </w:r>
          </w:p>
        </w:tc>
        <w:tc>
          <w:tcPr>
            <w:tcW w:w="836" w:type="dxa"/>
            <w:shd w:val="clear" w:color="auto" w:fill="C6EFCE"/>
            <w:noWrap/>
          </w:tcPr>
          <w:p w14:paraId="099DC576" w14:textId="77777777" w:rsidR="003E1D81" w:rsidRDefault="00EB481C">
            <w:pPr>
              <w:pStyle w:val="P68B1DB1-Normal13"/>
              <w:spacing w:after="0" w:line="240" w:lineRule="auto"/>
              <w:jc w:val="center"/>
              <w:rPr>
                <w:rFonts w:cs="Times New Roman"/>
                <w:noProof/>
              </w:rPr>
            </w:pPr>
            <w:r>
              <w:rPr>
                <w:noProof/>
              </w:rPr>
              <w:t>T</w:t>
            </w:r>
          </w:p>
        </w:tc>
        <w:tc>
          <w:tcPr>
            <w:tcW w:w="2685" w:type="dxa"/>
            <w:shd w:val="clear" w:color="auto" w:fill="C6EFCE"/>
            <w:noWrap/>
          </w:tcPr>
          <w:p w14:paraId="04ACE8B5" w14:textId="4B2C7BE1" w:rsidR="003E1D81" w:rsidRDefault="00EB481C">
            <w:pPr>
              <w:pStyle w:val="P68B1DB1-Normal13"/>
              <w:spacing w:after="0" w:line="240" w:lineRule="auto"/>
              <w:rPr>
                <w:rFonts w:eastAsia="Times New Roman" w:cs="Times New Roman"/>
                <w:noProof/>
              </w:rPr>
            </w:pPr>
            <w:r>
              <w:rPr>
                <w:noProof/>
              </w:rPr>
              <w:t xml:space="preserve">Biztonsági és Rezilienciaépítési Alap: A végső kedvezményezettekkel aláírt jogi finanszírozási megállapodások (beleértve a tőkealapokat </w:t>
            </w:r>
            <w:r>
              <w:rPr>
                <w:noProof/>
              </w:rPr>
              <w:t>is) (I)</w:t>
            </w:r>
          </w:p>
        </w:tc>
        <w:tc>
          <w:tcPr>
            <w:tcW w:w="1358" w:type="dxa"/>
            <w:shd w:val="clear" w:color="auto" w:fill="C6EFCE"/>
            <w:noWrap/>
          </w:tcPr>
          <w:p w14:paraId="78681B00" w14:textId="13ECC24E" w:rsidR="003E1D81" w:rsidRDefault="003E1D81">
            <w:pPr>
              <w:spacing w:after="0" w:line="240" w:lineRule="auto"/>
              <w:jc w:val="center"/>
              <w:rPr>
                <w:rFonts w:ascii="Times New Roman" w:hAnsi="Times New Roman" w:cs="Times New Roman"/>
                <w:noProof/>
                <w:sz w:val="18"/>
              </w:rPr>
            </w:pPr>
          </w:p>
        </w:tc>
        <w:tc>
          <w:tcPr>
            <w:tcW w:w="698" w:type="dxa"/>
            <w:shd w:val="clear" w:color="auto" w:fill="C6EFCE"/>
            <w:noWrap/>
          </w:tcPr>
          <w:p w14:paraId="4CE0D87E" w14:textId="49602E9D" w:rsidR="003E1D81" w:rsidRDefault="003E1D81">
            <w:pPr>
              <w:spacing w:after="0" w:line="240" w:lineRule="auto"/>
              <w:jc w:val="right"/>
              <w:rPr>
                <w:rFonts w:ascii="Times New Roman" w:hAnsi="Times New Roman" w:cs="Times New Roman"/>
                <w:noProof/>
                <w:sz w:val="18"/>
              </w:rPr>
            </w:pPr>
          </w:p>
        </w:tc>
        <w:tc>
          <w:tcPr>
            <w:tcW w:w="698" w:type="dxa"/>
            <w:shd w:val="clear" w:color="auto" w:fill="C6EFCE"/>
            <w:noWrap/>
          </w:tcPr>
          <w:p w14:paraId="68DE3F99" w14:textId="58EED0E9" w:rsidR="003E1D81" w:rsidRDefault="003E1D81">
            <w:pPr>
              <w:spacing w:after="0" w:line="240" w:lineRule="auto"/>
              <w:jc w:val="right"/>
              <w:rPr>
                <w:rFonts w:ascii="Times New Roman" w:hAnsi="Times New Roman" w:cs="Times New Roman"/>
                <w:noProof/>
                <w:sz w:val="18"/>
              </w:rPr>
            </w:pPr>
          </w:p>
        </w:tc>
        <w:tc>
          <w:tcPr>
            <w:tcW w:w="913" w:type="dxa"/>
            <w:shd w:val="clear" w:color="auto" w:fill="C6EFCE"/>
            <w:noWrap/>
          </w:tcPr>
          <w:p w14:paraId="313ACB04" w14:textId="1DE92BFA" w:rsidR="003E1D81" w:rsidRDefault="00EB481C">
            <w:pPr>
              <w:pStyle w:val="P68B1DB1-Normal13"/>
              <w:spacing w:after="0" w:line="240" w:lineRule="auto"/>
              <w:jc w:val="right"/>
              <w:rPr>
                <w:rFonts w:cs="Times New Roman"/>
                <w:noProof/>
              </w:rPr>
            </w:pPr>
            <w:r>
              <w:rPr>
                <w:noProof/>
              </w:rPr>
              <w:t>35%</w:t>
            </w:r>
          </w:p>
        </w:tc>
        <w:tc>
          <w:tcPr>
            <w:tcW w:w="419" w:type="dxa"/>
            <w:shd w:val="clear" w:color="auto" w:fill="C6EFCE"/>
            <w:noWrap/>
          </w:tcPr>
          <w:p w14:paraId="378B2AA6" w14:textId="77777777" w:rsidR="003E1D81" w:rsidRDefault="00EB481C">
            <w:pPr>
              <w:pStyle w:val="P68B1DB1-Normal13"/>
              <w:spacing w:after="0" w:line="240" w:lineRule="auto"/>
              <w:jc w:val="center"/>
              <w:rPr>
                <w:rFonts w:cs="Times New Roman"/>
                <w:noProof/>
              </w:rPr>
            </w:pPr>
            <w:r>
              <w:rPr>
                <w:noProof/>
              </w:rPr>
              <w:t>KÉRDÉS</w:t>
            </w:r>
          </w:p>
        </w:tc>
        <w:tc>
          <w:tcPr>
            <w:tcW w:w="827" w:type="dxa"/>
            <w:shd w:val="clear" w:color="auto" w:fill="C6EFCE"/>
            <w:noWrap/>
          </w:tcPr>
          <w:p w14:paraId="70F0061B" w14:textId="77777777" w:rsidR="003E1D81" w:rsidRDefault="00EB481C">
            <w:pPr>
              <w:pStyle w:val="P68B1DB1-Normal13"/>
              <w:spacing w:after="0" w:line="240" w:lineRule="auto"/>
              <w:jc w:val="center"/>
              <w:rPr>
                <w:rFonts w:cs="Times New Roman"/>
                <w:noProof/>
              </w:rPr>
            </w:pPr>
            <w:r>
              <w:rPr>
                <w:noProof/>
              </w:rPr>
              <w:t>2025</w:t>
            </w:r>
          </w:p>
        </w:tc>
        <w:tc>
          <w:tcPr>
            <w:tcW w:w="5165" w:type="dxa"/>
            <w:shd w:val="clear" w:color="auto" w:fill="C6EFCE"/>
            <w:noWrap/>
          </w:tcPr>
          <w:p w14:paraId="432737EA" w14:textId="27FA2BC2" w:rsidR="003E1D81" w:rsidRDefault="00EB481C">
            <w:pPr>
              <w:pStyle w:val="P68B1DB1-Normal13"/>
              <w:spacing w:after="0" w:line="240" w:lineRule="auto"/>
              <w:rPr>
                <w:rFonts w:cs="Times New Roman"/>
                <w:noProof/>
              </w:rPr>
            </w:pPr>
            <w:r>
              <w:rPr>
                <w:noProof/>
              </w:rPr>
              <w:t>Az eszköznek és a SEPIDES által kiválasztott közvetítőknek jogi finanszírozási megállapodásokat kell kötniük a végső kedvezményezettekkel (beleértve a tőkealapokat is) a Helyreállítási és Rezilienciaépítési Eszközbe történő beruh</w:t>
            </w:r>
            <w:r>
              <w:rPr>
                <w:noProof/>
              </w:rPr>
              <w:t>ázás legalább 35%-ának az eszközbe történő felhasználásához szükséges összegre (figyelembe véve az irányítási díjakat). A finanszírozás legalább 10%-ának a tőkealapokkal aláírt finanszírozási megállapodásoknak, legalább 40%-ának pedig a végső kedvezményeze</w:t>
            </w:r>
            <w:r>
              <w:rPr>
                <w:noProof/>
              </w:rPr>
              <w:t>ttekkel kötött finanszírozási megállapodásoknak kell megfelelnie az összes többi befektetési termék tekintetében (beleértve a végrehajtó partner közvetlen tőkebefektetéseit is).</w:t>
            </w:r>
          </w:p>
        </w:tc>
      </w:tr>
      <w:tr w:rsidR="003E1D81" w14:paraId="03767160" w14:textId="77777777">
        <w:trPr>
          <w:trHeight w:val="309"/>
        </w:trPr>
        <w:tc>
          <w:tcPr>
            <w:tcW w:w="837" w:type="dxa"/>
            <w:shd w:val="clear" w:color="auto" w:fill="C6EFCE"/>
            <w:noWrap/>
          </w:tcPr>
          <w:p w14:paraId="4D019B29" w14:textId="6F85AC87" w:rsidR="003E1D81" w:rsidRDefault="00EB481C">
            <w:pPr>
              <w:pStyle w:val="P68B1DB1-Normal13"/>
              <w:spacing w:after="0" w:line="240" w:lineRule="auto"/>
              <w:jc w:val="center"/>
              <w:rPr>
                <w:rFonts w:eastAsia="Times New Roman" w:cs="Times New Roman"/>
                <w:noProof/>
              </w:rPr>
            </w:pPr>
            <w:r>
              <w:rPr>
                <w:noProof/>
              </w:rPr>
              <w:t>L20</w:t>
            </w:r>
          </w:p>
        </w:tc>
        <w:tc>
          <w:tcPr>
            <w:tcW w:w="837" w:type="dxa"/>
            <w:shd w:val="clear" w:color="auto" w:fill="C6EFCE"/>
            <w:noWrap/>
          </w:tcPr>
          <w:p w14:paraId="51AA59DF" w14:textId="77777777" w:rsidR="003E1D81" w:rsidRDefault="00EB481C">
            <w:pPr>
              <w:pStyle w:val="P68B1DB1-Normal13"/>
              <w:spacing w:after="0" w:line="240" w:lineRule="auto"/>
              <w:jc w:val="center"/>
              <w:rPr>
                <w:rFonts w:cs="Times New Roman"/>
                <w:noProof/>
              </w:rPr>
            </w:pPr>
            <w:r>
              <w:rPr>
                <w:noProof/>
              </w:rPr>
              <w:t>C11.I6</w:t>
            </w:r>
          </w:p>
        </w:tc>
        <w:tc>
          <w:tcPr>
            <w:tcW w:w="836" w:type="dxa"/>
            <w:shd w:val="clear" w:color="auto" w:fill="C6EFCE"/>
            <w:noWrap/>
          </w:tcPr>
          <w:p w14:paraId="0F46A205" w14:textId="77777777" w:rsidR="003E1D81" w:rsidRDefault="00EB481C">
            <w:pPr>
              <w:pStyle w:val="P68B1DB1-Normal13"/>
              <w:spacing w:after="0" w:line="240" w:lineRule="auto"/>
              <w:jc w:val="center"/>
              <w:rPr>
                <w:rFonts w:cs="Times New Roman"/>
                <w:noProof/>
              </w:rPr>
            </w:pPr>
            <w:r>
              <w:rPr>
                <w:noProof/>
              </w:rPr>
              <w:t>T</w:t>
            </w:r>
          </w:p>
        </w:tc>
        <w:tc>
          <w:tcPr>
            <w:tcW w:w="2685" w:type="dxa"/>
            <w:shd w:val="clear" w:color="auto" w:fill="C6EFCE"/>
            <w:noWrap/>
          </w:tcPr>
          <w:p w14:paraId="23C263C6" w14:textId="34B4572C" w:rsidR="003E1D81" w:rsidRDefault="00EB481C">
            <w:pPr>
              <w:pStyle w:val="P68B1DB1-Normal13"/>
              <w:spacing w:after="0" w:line="240" w:lineRule="auto"/>
              <w:rPr>
                <w:rFonts w:eastAsia="Times New Roman" w:cs="Times New Roman"/>
                <w:noProof/>
              </w:rPr>
            </w:pPr>
            <w:r>
              <w:rPr>
                <w:noProof/>
              </w:rPr>
              <w:t xml:space="preserve">Biztonsági és Rezilienciaépítési Alap: A végső </w:t>
            </w:r>
            <w:r>
              <w:rPr>
                <w:noProof/>
              </w:rPr>
              <w:t>kedvezményezettekkel aláírt jogi finanszírozási megállapodások (beleértve a tőkealapokat is) (II)</w:t>
            </w:r>
          </w:p>
        </w:tc>
        <w:tc>
          <w:tcPr>
            <w:tcW w:w="1358" w:type="dxa"/>
            <w:shd w:val="clear" w:color="auto" w:fill="C6EFCE"/>
            <w:noWrap/>
          </w:tcPr>
          <w:p w14:paraId="737A611E" w14:textId="0662E0A0" w:rsidR="003E1D81" w:rsidRDefault="003E1D81">
            <w:pPr>
              <w:spacing w:after="0" w:line="240" w:lineRule="auto"/>
              <w:jc w:val="center"/>
              <w:rPr>
                <w:rFonts w:ascii="Times New Roman" w:hAnsi="Times New Roman" w:cs="Times New Roman"/>
                <w:noProof/>
                <w:sz w:val="18"/>
              </w:rPr>
            </w:pPr>
          </w:p>
        </w:tc>
        <w:tc>
          <w:tcPr>
            <w:tcW w:w="698" w:type="dxa"/>
            <w:shd w:val="clear" w:color="auto" w:fill="C6EFCE"/>
            <w:noWrap/>
          </w:tcPr>
          <w:p w14:paraId="38ECB2F6" w14:textId="6BDE6811" w:rsidR="003E1D81" w:rsidRDefault="003E1D81">
            <w:pPr>
              <w:spacing w:after="0" w:line="240" w:lineRule="auto"/>
              <w:jc w:val="right"/>
              <w:rPr>
                <w:rFonts w:ascii="Times New Roman" w:hAnsi="Times New Roman" w:cs="Times New Roman"/>
                <w:noProof/>
                <w:sz w:val="18"/>
              </w:rPr>
            </w:pPr>
          </w:p>
        </w:tc>
        <w:tc>
          <w:tcPr>
            <w:tcW w:w="698" w:type="dxa"/>
            <w:shd w:val="clear" w:color="auto" w:fill="C6EFCE"/>
            <w:noWrap/>
          </w:tcPr>
          <w:p w14:paraId="6B9A52F8" w14:textId="1F37611B" w:rsidR="003E1D81" w:rsidRDefault="003E1D81">
            <w:pPr>
              <w:spacing w:after="0" w:line="240" w:lineRule="auto"/>
              <w:jc w:val="right"/>
              <w:rPr>
                <w:rFonts w:ascii="Times New Roman" w:eastAsia="Times New Roman" w:hAnsi="Times New Roman" w:cs="Times New Roman"/>
                <w:noProof/>
                <w:sz w:val="18"/>
              </w:rPr>
            </w:pPr>
          </w:p>
        </w:tc>
        <w:tc>
          <w:tcPr>
            <w:tcW w:w="913" w:type="dxa"/>
            <w:shd w:val="clear" w:color="auto" w:fill="C6EFCE"/>
            <w:noWrap/>
          </w:tcPr>
          <w:p w14:paraId="03176944" w14:textId="13FDD322" w:rsidR="003E1D81" w:rsidRDefault="00EB481C">
            <w:pPr>
              <w:pStyle w:val="P68B1DB1-Normal13"/>
              <w:spacing w:after="0" w:line="240" w:lineRule="auto"/>
              <w:jc w:val="right"/>
              <w:rPr>
                <w:rFonts w:eastAsia="Times New Roman" w:cs="Times New Roman"/>
                <w:noProof/>
              </w:rPr>
            </w:pPr>
            <w:r>
              <w:rPr>
                <w:noProof/>
              </w:rPr>
              <w:t>100%-OS</w:t>
            </w:r>
          </w:p>
        </w:tc>
        <w:tc>
          <w:tcPr>
            <w:tcW w:w="419" w:type="dxa"/>
            <w:shd w:val="clear" w:color="auto" w:fill="C6EFCE"/>
            <w:noWrap/>
          </w:tcPr>
          <w:p w14:paraId="342E031C" w14:textId="086BA1AB" w:rsidR="003E1D81" w:rsidRDefault="00EB481C">
            <w:pPr>
              <w:pStyle w:val="P68B1DB1-Normal13"/>
              <w:spacing w:after="0" w:line="240" w:lineRule="auto"/>
              <w:jc w:val="center"/>
              <w:rPr>
                <w:rFonts w:eastAsia="Times New Roman" w:cs="Times New Roman"/>
                <w:noProof/>
              </w:rPr>
            </w:pPr>
            <w:r>
              <w:rPr>
                <w:noProof/>
              </w:rPr>
              <w:t>NEGYEDÉV</w:t>
            </w:r>
          </w:p>
        </w:tc>
        <w:tc>
          <w:tcPr>
            <w:tcW w:w="827" w:type="dxa"/>
            <w:shd w:val="clear" w:color="auto" w:fill="C6EFCE"/>
            <w:noWrap/>
          </w:tcPr>
          <w:p w14:paraId="643A25DC" w14:textId="77777777" w:rsidR="003E1D81" w:rsidRDefault="00EB481C">
            <w:pPr>
              <w:pStyle w:val="P68B1DB1-Normal13"/>
              <w:spacing w:after="0" w:line="240" w:lineRule="auto"/>
              <w:jc w:val="center"/>
              <w:rPr>
                <w:rFonts w:eastAsia="Times New Roman" w:cs="Times New Roman"/>
                <w:noProof/>
              </w:rPr>
            </w:pPr>
            <w:r>
              <w:rPr>
                <w:noProof/>
              </w:rPr>
              <w:t>2026</w:t>
            </w:r>
          </w:p>
        </w:tc>
        <w:tc>
          <w:tcPr>
            <w:tcW w:w="5165" w:type="dxa"/>
            <w:shd w:val="clear" w:color="auto" w:fill="C6EFCE"/>
            <w:noWrap/>
          </w:tcPr>
          <w:p w14:paraId="25CB4DDA" w14:textId="0D8B68F6" w:rsidR="003E1D81" w:rsidRDefault="00EB481C">
            <w:pPr>
              <w:pStyle w:val="P68B1DB1-Normal13"/>
              <w:spacing w:after="0" w:line="240" w:lineRule="auto"/>
              <w:rPr>
                <w:rFonts w:eastAsia="Times New Roman" w:cs="Times New Roman"/>
                <w:noProof/>
              </w:rPr>
            </w:pPr>
            <w:r>
              <w:rPr>
                <w:noProof/>
              </w:rPr>
              <w:t>Az eszköz és a SEPIDES által kiválasztott bármely közvetítő jogi finanszírozási megállapodást kötött a végső kedvezményezettekkel (be</w:t>
            </w:r>
            <w:r>
              <w:rPr>
                <w:noProof/>
              </w:rPr>
              <w:t>leértve a tőkealapokat is) a Helyreállítási és Rezilienciaépítési Eszközből az eszközbe történő beruházás 100%-ának felhasználásához szükséges összegre (figyelembe véve az irányítási díjakat). A finanszírozás legalább 10%-ának a tőkealapokkal aláírt finans</w:t>
            </w:r>
            <w:r>
              <w:rPr>
                <w:noProof/>
              </w:rPr>
              <w:t>zírozási megállapodásoknak, legalább 40%-ának pedig a végső kedvezményezettekkel kötött finanszírozási megállapodásoknak kell megfelelnie az összes többi befektetési termék tekintetében (beleértve a végrehajtó partner közvetlen tőkebefektetéseit is).</w:t>
            </w:r>
          </w:p>
        </w:tc>
      </w:tr>
      <w:tr w:rsidR="003E1D81" w14:paraId="43BFD388" w14:textId="77777777">
        <w:trPr>
          <w:trHeight w:val="309"/>
        </w:trPr>
        <w:tc>
          <w:tcPr>
            <w:tcW w:w="837" w:type="dxa"/>
            <w:shd w:val="clear" w:color="auto" w:fill="C6EFCE"/>
            <w:noWrap/>
          </w:tcPr>
          <w:p w14:paraId="71E826CB" w14:textId="6FDBF7F5" w:rsidR="003E1D81" w:rsidRDefault="00EB481C">
            <w:pPr>
              <w:pStyle w:val="P68B1DB1-Normal13"/>
              <w:spacing w:after="0" w:line="240" w:lineRule="auto"/>
              <w:jc w:val="center"/>
              <w:rPr>
                <w:rFonts w:eastAsia="Times New Roman" w:cs="Times New Roman"/>
                <w:noProof/>
              </w:rPr>
            </w:pPr>
            <w:r>
              <w:rPr>
                <w:noProof/>
              </w:rPr>
              <w:t>L21</w:t>
            </w:r>
          </w:p>
        </w:tc>
        <w:tc>
          <w:tcPr>
            <w:tcW w:w="837" w:type="dxa"/>
            <w:shd w:val="clear" w:color="auto" w:fill="C6EFCE"/>
            <w:noWrap/>
          </w:tcPr>
          <w:p w14:paraId="72253F6A" w14:textId="77777777" w:rsidR="003E1D81" w:rsidRDefault="00EB481C">
            <w:pPr>
              <w:pStyle w:val="P68B1DB1-Normal13"/>
              <w:spacing w:after="0" w:line="240" w:lineRule="auto"/>
              <w:jc w:val="center"/>
              <w:rPr>
                <w:rFonts w:cs="Times New Roman"/>
                <w:noProof/>
              </w:rPr>
            </w:pPr>
            <w:r>
              <w:rPr>
                <w:noProof/>
              </w:rPr>
              <w:t>C11.I6</w:t>
            </w:r>
          </w:p>
        </w:tc>
        <w:tc>
          <w:tcPr>
            <w:tcW w:w="836" w:type="dxa"/>
            <w:shd w:val="clear" w:color="auto" w:fill="C6EFCE"/>
            <w:noWrap/>
          </w:tcPr>
          <w:p w14:paraId="19FEC783" w14:textId="69F4304C" w:rsidR="003E1D81" w:rsidRDefault="00EB481C">
            <w:pPr>
              <w:pStyle w:val="P68B1DB1-Normal13"/>
              <w:spacing w:after="0" w:line="240" w:lineRule="auto"/>
              <w:jc w:val="center"/>
              <w:rPr>
                <w:rFonts w:cs="Times New Roman"/>
                <w:noProof/>
              </w:rPr>
            </w:pPr>
            <w:r>
              <w:rPr>
                <w:noProof/>
              </w:rPr>
              <w:t>M</w:t>
            </w:r>
          </w:p>
        </w:tc>
        <w:tc>
          <w:tcPr>
            <w:tcW w:w="2685" w:type="dxa"/>
            <w:shd w:val="clear" w:color="auto" w:fill="C6EFCE"/>
            <w:noWrap/>
          </w:tcPr>
          <w:p w14:paraId="5E38A5C2" w14:textId="26CAFEB0" w:rsidR="003E1D81" w:rsidRDefault="00EB481C">
            <w:pPr>
              <w:pStyle w:val="P68B1DB1-Normal13"/>
              <w:spacing w:after="0" w:line="240" w:lineRule="auto"/>
              <w:rPr>
                <w:rFonts w:eastAsia="Times New Roman" w:cs="Times New Roman"/>
                <w:noProof/>
              </w:rPr>
            </w:pPr>
            <w:r>
              <w:rPr>
                <w:noProof/>
              </w:rPr>
              <w:t>Biztonsági és Rezilienciaépítési Alap: A minisztérium befejezte a beruházást</w:t>
            </w:r>
          </w:p>
        </w:tc>
        <w:tc>
          <w:tcPr>
            <w:tcW w:w="1358" w:type="dxa"/>
            <w:shd w:val="clear" w:color="auto" w:fill="C6EFCE"/>
            <w:noWrap/>
          </w:tcPr>
          <w:p w14:paraId="3E3BF405" w14:textId="737AC62E" w:rsidR="003E1D81" w:rsidRDefault="00EB481C">
            <w:pPr>
              <w:pStyle w:val="P68B1DB1-Normal13"/>
              <w:spacing w:after="0" w:line="240" w:lineRule="auto"/>
              <w:jc w:val="center"/>
              <w:rPr>
                <w:rFonts w:cs="Times New Roman"/>
                <w:noProof/>
              </w:rPr>
            </w:pPr>
            <w:r>
              <w:rPr>
                <w:noProof/>
              </w:rPr>
              <w:t>Átadási igazolás</w:t>
            </w:r>
          </w:p>
        </w:tc>
        <w:tc>
          <w:tcPr>
            <w:tcW w:w="698" w:type="dxa"/>
            <w:shd w:val="clear" w:color="auto" w:fill="C6EFCE"/>
            <w:noWrap/>
          </w:tcPr>
          <w:p w14:paraId="1D0D36EA" w14:textId="58AF3D04" w:rsidR="003E1D81" w:rsidRDefault="003E1D81">
            <w:pPr>
              <w:spacing w:after="0" w:line="240" w:lineRule="auto"/>
              <w:jc w:val="right"/>
              <w:rPr>
                <w:rFonts w:ascii="Times New Roman" w:hAnsi="Times New Roman" w:cs="Times New Roman"/>
                <w:noProof/>
                <w:sz w:val="18"/>
              </w:rPr>
            </w:pPr>
          </w:p>
        </w:tc>
        <w:tc>
          <w:tcPr>
            <w:tcW w:w="698" w:type="dxa"/>
            <w:shd w:val="clear" w:color="auto" w:fill="C6EFCE"/>
            <w:noWrap/>
          </w:tcPr>
          <w:p w14:paraId="1F007358" w14:textId="411739BF" w:rsidR="003E1D81" w:rsidRDefault="003E1D81">
            <w:pPr>
              <w:spacing w:after="0" w:line="240" w:lineRule="auto"/>
              <w:jc w:val="right"/>
              <w:rPr>
                <w:rFonts w:ascii="Times New Roman" w:eastAsia="Times New Roman" w:hAnsi="Times New Roman" w:cs="Times New Roman"/>
                <w:noProof/>
                <w:sz w:val="18"/>
              </w:rPr>
            </w:pPr>
          </w:p>
        </w:tc>
        <w:tc>
          <w:tcPr>
            <w:tcW w:w="913" w:type="dxa"/>
            <w:shd w:val="clear" w:color="auto" w:fill="C6EFCE"/>
            <w:noWrap/>
          </w:tcPr>
          <w:p w14:paraId="6F55C39E" w14:textId="1D41CAA6" w:rsidR="003E1D81" w:rsidRDefault="003E1D81">
            <w:pPr>
              <w:spacing w:after="0" w:line="240" w:lineRule="auto"/>
              <w:jc w:val="right"/>
              <w:rPr>
                <w:rFonts w:ascii="Times New Roman" w:eastAsia="Times New Roman" w:hAnsi="Times New Roman" w:cs="Times New Roman"/>
                <w:noProof/>
                <w:sz w:val="18"/>
              </w:rPr>
            </w:pPr>
          </w:p>
        </w:tc>
        <w:tc>
          <w:tcPr>
            <w:tcW w:w="419" w:type="dxa"/>
            <w:shd w:val="clear" w:color="auto" w:fill="C6EFCE"/>
            <w:noWrap/>
          </w:tcPr>
          <w:p w14:paraId="483E7DA2" w14:textId="2425D8D7" w:rsidR="003E1D81" w:rsidRDefault="00EB481C">
            <w:pPr>
              <w:pStyle w:val="P68B1DB1-Normal13"/>
              <w:spacing w:after="0" w:line="240" w:lineRule="auto"/>
              <w:jc w:val="center"/>
              <w:rPr>
                <w:rFonts w:eastAsia="Times New Roman" w:cs="Times New Roman"/>
                <w:noProof/>
              </w:rPr>
            </w:pPr>
            <w:r>
              <w:rPr>
                <w:noProof/>
              </w:rPr>
              <w:t>NEGYEDÉV</w:t>
            </w:r>
          </w:p>
        </w:tc>
        <w:tc>
          <w:tcPr>
            <w:tcW w:w="827" w:type="dxa"/>
            <w:shd w:val="clear" w:color="auto" w:fill="C6EFCE"/>
            <w:noWrap/>
          </w:tcPr>
          <w:p w14:paraId="206685CC" w14:textId="77777777" w:rsidR="003E1D81" w:rsidRDefault="00EB481C">
            <w:pPr>
              <w:pStyle w:val="P68B1DB1-Normal13"/>
              <w:spacing w:after="0" w:line="240" w:lineRule="auto"/>
              <w:jc w:val="center"/>
              <w:rPr>
                <w:rFonts w:eastAsia="Times New Roman" w:cs="Times New Roman"/>
                <w:noProof/>
              </w:rPr>
            </w:pPr>
            <w:r>
              <w:rPr>
                <w:noProof/>
              </w:rPr>
              <w:t>2026</w:t>
            </w:r>
          </w:p>
        </w:tc>
        <w:tc>
          <w:tcPr>
            <w:tcW w:w="5165" w:type="dxa"/>
            <w:shd w:val="clear" w:color="auto" w:fill="C6EFCE"/>
            <w:noWrap/>
          </w:tcPr>
          <w:p w14:paraId="1827A3B3" w14:textId="7A7DC374" w:rsidR="003E1D81" w:rsidRDefault="00EB481C">
            <w:pPr>
              <w:pStyle w:val="P68B1DB1-Normal13"/>
              <w:spacing w:after="0" w:line="240" w:lineRule="auto"/>
              <w:rPr>
                <w:rFonts w:eastAsia="Times New Roman" w:cs="Times New Roman"/>
                <w:noProof/>
              </w:rPr>
            </w:pPr>
            <w:r>
              <w:rPr>
                <w:noProof/>
              </w:rPr>
              <w:t>Spanyolország 1 000 000 000 EUR-t csoportosít át a Békekeretbe.</w:t>
            </w:r>
          </w:p>
        </w:tc>
      </w:tr>
    </w:tbl>
    <w:p w14:paraId="23653004" w14:textId="77777777" w:rsidR="003E1D81" w:rsidRDefault="003E1D81">
      <w:pPr>
        <w:pStyle w:val="Heading1"/>
        <w:jc w:val="left"/>
        <w:rPr>
          <w:rFonts w:ascii="Times New Roman" w:hAnsi="Times New Roman" w:cs="Times New Roman"/>
          <w:noProof/>
          <w:sz w:val="24"/>
        </w:rPr>
        <w:sectPr w:rsidR="003E1D81" w:rsidSect="00EB7CC8">
          <w:headerReference w:type="even" r:id="rId240"/>
          <w:headerReference w:type="default" r:id="rId241"/>
          <w:footerReference w:type="even" r:id="rId242"/>
          <w:footerReference w:type="default" r:id="rId243"/>
          <w:headerReference w:type="first" r:id="rId244"/>
          <w:footerReference w:type="first" r:id="rId245"/>
          <w:pgSz w:w="16839" w:h="11907" w:orient="landscape"/>
          <w:pgMar w:top="1417" w:right="1134" w:bottom="1417" w:left="1134" w:header="709" w:footer="709" w:gutter="0"/>
          <w:cols w:space="720"/>
          <w:docGrid w:linePitch="360"/>
        </w:sectPr>
      </w:pPr>
    </w:p>
    <w:p w14:paraId="3A744280" w14:textId="77777777" w:rsidR="003E1D81" w:rsidRDefault="00EB481C">
      <w:pPr>
        <w:pStyle w:val="P68B1DB1-Heading12"/>
        <w:rPr>
          <w:rFonts w:cs="Times New Roman"/>
          <w:noProof/>
        </w:rPr>
      </w:pPr>
      <w:r>
        <w:rPr>
          <w:noProof/>
        </w:rPr>
        <w:t xml:space="preserve">L. 12. </w:t>
      </w:r>
      <w:r>
        <w:rPr>
          <w:noProof/>
        </w:rPr>
        <w:t>ÖSSZETEVŐ: Iparpolitika</w:t>
      </w:r>
    </w:p>
    <w:p w14:paraId="1927F800" w14:textId="77777777" w:rsidR="003E1D81" w:rsidRDefault="00EB481C">
      <w:pPr>
        <w:pStyle w:val="P68B1DB1-Normal4"/>
        <w:spacing w:before="120" w:after="120" w:line="240" w:lineRule="auto"/>
        <w:jc w:val="both"/>
        <w:rPr>
          <w:rFonts w:cs="Times New Roman"/>
          <w:noProof/>
        </w:rPr>
      </w:pPr>
      <w:r>
        <w:rPr>
          <w:noProof/>
        </w:rPr>
        <w:t>A spanyol helyreállítási és rezilienciaépítési terv 12. komponensének célja, hogy a digitális és zöld átállás gyorsabb elfogadása révén fokozza a spanyol ipar-szolgáltatási ökoszisztéma korszerűsítését és termelékenységét.</w:t>
      </w:r>
    </w:p>
    <w:p w14:paraId="2D61E720" w14:textId="751A43F5" w:rsidR="003E1D81" w:rsidRDefault="00EB481C">
      <w:pPr>
        <w:spacing w:before="120" w:after="120" w:line="240" w:lineRule="auto"/>
        <w:jc w:val="both"/>
        <w:rPr>
          <w:rFonts w:ascii="Times New Roman" w:hAnsi="Times New Roman" w:cs="Times New Roman"/>
          <w:noProof/>
          <w:sz w:val="24"/>
        </w:rPr>
      </w:pPr>
      <w:r>
        <w:rPr>
          <w:rFonts w:ascii="Times New Roman" w:hAnsi="Times New Roman"/>
          <w:noProof/>
          <w:sz w:val="24"/>
        </w:rPr>
        <w:t>A spanyol</w:t>
      </w:r>
      <w:r>
        <w:rPr>
          <w:rFonts w:ascii="Times New Roman" w:hAnsi="Times New Roman"/>
          <w:noProof/>
          <w:sz w:val="24"/>
        </w:rPr>
        <w:t xml:space="preserve"> helyreállítási és rezilienciaépítési terv ezen komponense hozzájárul az innovációba és az energiahatékonyságba történő beruházások előmozdításáról szóló 2019. évi 3. országspecifikus ajánlás végrehajtásához. Összhangban van a 2020. évi 3. országspecifikus</w:t>
      </w:r>
      <w:r>
        <w:rPr>
          <w:rFonts w:ascii="Times New Roman" w:hAnsi="Times New Roman"/>
          <w:noProof/>
          <w:sz w:val="24"/>
        </w:rPr>
        <w:t xml:space="preserve"> ajánlással is (a köz- és magánberuházások előmozdítása és a zöld átállás előmozdítása révén). A komponens hozzájárul továbbá a vállalkozások és az oktatás közötti együttműködésnek a munkaerőpiac szempontjából releváns készségek biztosítása érdekében törté</w:t>
      </w:r>
      <w:r>
        <w:rPr>
          <w:rFonts w:ascii="Times New Roman" w:hAnsi="Times New Roman"/>
          <w:noProof/>
          <w:sz w:val="24"/>
        </w:rPr>
        <w:t>nő előmozdításáról szóló 2019. évi 2. országspecifikus ajánlás és az egészségügyi rendszer rezilienciájának megerősítéséről szóló, 2020. évi 1. országspecifikus ajánlás végrehajtásához. A komponens hozzájárul továbbá az újrafeldolgozási arányoknak az uniós</w:t>
      </w:r>
      <w:r>
        <w:rPr>
          <w:rFonts w:ascii="Times New Roman" w:hAnsi="Times New Roman"/>
          <w:noProof/>
          <w:sz w:val="24"/>
        </w:rPr>
        <w:t xml:space="preserve"> célok elérése és a körforgásos gazdaság előmozdítása érdekében történő növeléséről szóló 2022. évi 3. országspecifikus ajánlás végrehajtásához is azáltal, hogy fokozza az összes kormányzati szint közötti koordinációt, és további beruházásokat hajt végre a</w:t>
      </w:r>
      <w:r>
        <w:rPr>
          <w:rFonts w:ascii="Times New Roman" w:hAnsi="Times New Roman"/>
          <w:noProof/>
          <w:sz w:val="24"/>
        </w:rPr>
        <w:t>z elkülönített hulladékgyűjtés és az újrafeldolgozási kötelezettségek teljesítése érdekében.</w:t>
      </w:r>
      <w:r>
        <w:rPr>
          <w:noProof/>
        </w:rPr>
        <w:t xml:space="preserve"> </w:t>
      </w:r>
      <w:r>
        <w:rPr>
          <w:rFonts w:ascii="Times New Roman" w:hAnsi="Times New Roman"/>
          <w:noProof/>
          <w:sz w:val="24"/>
        </w:rPr>
        <w:t xml:space="preserve">A komponens hozzájárul a 2023. évi 3. országspecifikus ajánlás végrehajtásához is, amelynek célja a fosszilis tüzelőanyagoktól való függés csökkentése, a megújuló </w:t>
      </w:r>
      <w:r>
        <w:rPr>
          <w:rFonts w:ascii="Times New Roman" w:hAnsi="Times New Roman"/>
          <w:noProof/>
          <w:sz w:val="24"/>
        </w:rPr>
        <w:t>energia elterjedésének felgyorsítása és az elektromobilitás térnyerése.</w:t>
      </w:r>
    </w:p>
    <w:p w14:paraId="1FEC8946" w14:textId="69A8A817" w:rsidR="003E1D81" w:rsidRDefault="00EB481C">
      <w:pPr>
        <w:pStyle w:val="P68B1DB1-Normal4"/>
        <w:spacing w:before="120" w:after="120" w:line="240" w:lineRule="auto"/>
        <w:jc w:val="both"/>
        <w:rPr>
          <w:rFonts w:cs="Times New Roman"/>
          <w:noProof/>
        </w:rPr>
      </w:pPr>
      <w:r>
        <w:rPr>
          <w:noProof/>
        </w:rPr>
        <w:t>A komponensben foglalt intézkedések egyik célja, hogy megkönnyítsék a spanyol cégek részvételét egy közös európai érdeket szolgáló fontos projektben (IPCEI).</w:t>
      </w:r>
    </w:p>
    <w:p w14:paraId="505B0351" w14:textId="77777777" w:rsidR="003E1D81" w:rsidRDefault="00EB481C">
      <w:pPr>
        <w:pStyle w:val="P68B1DB1-Normal4"/>
        <w:spacing w:before="120" w:after="120" w:line="240" w:lineRule="auto"/>
        <w:jc w:val="both"/>
        <w:rPr>
          <w:rFonts w:cs="Times New Roman"/>
          <w:noProof/>
        </w:rPr>
      </w:pPr>
      <w:r>
        <w:rPr>
          <w:noProof/>
        </w:rPr>
        <w:t>A jelentős károkozás elker</w:t>
      </w:r>
      <w:r>
        <w:rPr>
          <w:noProof/>
        </w:rPr>
        <w:t>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w:t>
      </w:r>
      <w:r>
        <w:rPr>
          <w:noProof/>
        </w:rPr>
        <w:t>ve ebben a komponensben várhatóan egyetlen intézkedés sem sérti jelentős mértékben az (EU) 2020/852 rendelet 17. cikke szerinti környezeti célkitűzéseket.</w:t>
      </w:r>
    </w:p>
    <w:p w14:paraId="4E9B1FCE" w14:textId="77777777" w:rsidR="003E1D81" w:rsidRDefault="00EB481C">
      <w:pPr>
        <w:pStyle w:val="P68B1DB1-Normal5"/>
        <w:spacing w:before="120" w:after="120" w:line="240" w:lineRule="auto"/>
        <w:ind w:left="720"/>
        <w:jc w:val="both"/>
        <w:rPr>
          <w:rFonts w:cs="Times New Roman"/>
          <w:i/>
          <w:noProof/>
        </w:rPr>
      </w:pPr>
      <w:r>
        <w:rPr>
          <w:noProof/>
        </w:rPr>
        <w:t xml:space="preserve">L.1. </w:t>
      </w:r>
      <w:r>
        <w:rPr>
          <w:noProof/>
        </w:rPr>
        <w:tab/>
        <w:t>Vissza nem térítendő pénzügyi támogatás – a reformok és beruházások ismertetése</w:t>
      </w:r>
    </w:p>
    <w:p w14:paraId="301FF276" w14:textId="77777777" w:rsidR="003E1D81" w:rsidRDefault="00EB481C">
      <w:pPr>
        <w:pStyle w:val="P68B1DB1-Normal6"/>
        <w:spacing w:before="120" w:after="120" w:line="240" w:lineRule="auto"/>
        <w:jc w:val="both"/>
        <w:rPr>
          <w:rFonts w:cs="Times New Roman"/>
          <w:noProof/>
        </w:rPr>
      </w:pPr>
      <w:r>
        <w:rPr>
          <w:noProof/>
        </w:rPr>
        <w:t>Reform (C12.R1)</w:t>
      </w:r>
      <w:r>
        <w:rPr>
          <w:noProof/>
        </w:rPr>
        <w:t xml:space="preserve"> – A 2030-ig tartó időszakra vonatkozó spanyol iparélénkítő stratégia</w:t>
      </w:r>
    </w:p>
    <w:p w14:paraId="54A55D6D" w14:textId="77777777" w:rsidR="003E1D81" w:rsidRDefault="00EB481C">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Az ipar 2030-ig történő fellendítésére irányuló spanyol stratégia célja a szabályozási keret kiigazítása annak érdekében, hogy segítse az ipart a szolgáltatásnyújtás, a digitalizáció, a </w:t>
      </w:r>
      <w:r>
        <w:rPr>
          <w:rFonts w:ascii="Times New Roman" w:hAnsi="Times New Roman"/>
          <w:noProof/>
          <w:sz w:val="24"/>
        </w:rPr>
        <w:t>környezeti fenntarthatóság és a körforgásos gazdaság kihívásainak kezelésében. A stratégia magában foglalja különösen az 1992-es ipari törvény reformját. Az intézkedés célja a különböző kormányzati szintek közötti koordinációs mechanizmusok javítása az ipa</w:t>
      </w:r>
      <w:r>
        <w:rPr>
          <w:rFonts w:ascii="Times New Roman" w:hAnsi="Times New Roman"/>
          <w:noProof/>
          <w:sz w:val="24"/>
        </w:rPr>
        <w:t xml:space="preserve">rpolitika terén, valamint az ipari minőség és biztonság javítása megerősített piacfelügyeleti rendszer révén, a piacfelügyeletről és a termékek megfelelőségéről, valamint a 2004/42/EK irányelv, továbbá a 765/2008/EK és a 305/2011/EU rendelet módosításáról </w:t>
      </w:r>
      <w:r>
        <w:rPr>
          <w:rFonts w:ascii="Times New Roman" w:hAnsi="Times New Roman"/>
          <w:noProof/>
          <w:sz w:val="24"/>
        </w:rPr>
        <w:t>szóló, 2019. június 20-i (EU) 2019/1020 európai parlamenti és tanácsi rendelettel[</w:t>
      </w:r>
      <w:r>
        <w:rPr>
          <w:rStyle w:val="FootnoteReference"/>
          <w:rFonts w:ascii="Times New Roman" w:hAnsi="Times New Roman" w:cs="Times New Roman"/>
          <w:noProof/>
          <w:sz w:val="24"/>
        </w:rPr>
        <w:footnoteReference w:id="33"/>
      </w:r>
      <w:r>
        <w:rPr>
          <w:rFonts w:ascii="Times New Roman" w:hAnsi="Times New Roman"/>
          <w:noProof/>
          <w:sz w:val="24"/>
        </w:rPr>
        <w:t>]. Végezetül felül kell vizsgálni az iparpolitikai jogsértések fogalommeghatározását, és naprakésszé kell tenni az alkalmazható szankciók szintjét.</w:t>
      </w:r>
    </w:p>
    <w:p w14:paraId="66FE0027" w14:textId="52714F8C" w:rsidR="003E1D81" w:rsidRDefault="00EB481C">
      <w:pPr>
        <w:pStyle w:val="P68B1DB1-Normal4"/>
        <w:spacing w:before="120" w:after="120" w:line="240" w:lineRule="auto"/>
        <w:jc w:val="both"/>
        <w:rPr>
          <w:rFonts w:cs="Times New Roman"/>
          <w:noProof/>
        </w:rPr>
      </w:pPr>
      <w:r>
        <w:rPr>
          <w:noProof/>
        </w:rPr>
        <w:t xml:space="preserve">Az intézkedés </w:t>
      </w:r>
      <w:r>
        <w:rPr>
          <w:noProof/>
        </w:rPr>
        <w:t>végrehajtását 2023. december 31-ig be kell fejezni.</w:t>
      </w:r>
    </w:p>
    <w:p w14:paraId="3958C50A" w14:textId="77777777" w:rsidR="003E1D81" w:rsidRDefault="00EB481C">
      <w:pPr>
        <w:pStyle w:val="P68B1DB1-Normal6"/>
        <w:spacing w:before="120" w:after="120" w:line="240" w:lineRule="auto"/>
        <w:jc w:val="both"/>
        <w:rPr>
          <w:rFonts w:cs="Times New Roman"/>
          <w:noProof/>
        </w:rPr>
      </w:pPr>
      <w:r>
        <w:rPr>
          <w:noProof/>
        </w:rPr>
        <w:t>Reform (C12.R2) – Hulladékpolitika és a körforgásos gazdaság fellendítése</w:t>
      </w:r>
    </w:p>
    <w:p w14:paraId="1D8BE78D" w14:textId="77777777" w:rsidR="003E1D81" w:rsidRDefault="00EB481C">
      <w:pPr>
        <w:pStyle w:val="P68B1DB1-Normal4"/>
        <w:spacing w:before="120" w:after="120" w:line="240" w:lineRule="auto"/>
        <w:jc w:val="both"/>
        <w:rPr>
          <w:rFonts w:cs="Times New Roman"/>
          <w:noProof/>
        </w:rPr>
      </w:pPr>
      <w:r>
        <w:rPr>
          <w:noProof/>
        </w:rPr>
        <w:t>Az intézkedés célja olyan termelési és fogyasztási modellek előmozdítása, amelyek a lehető leghosszabb ideig megőrzik a termékeket</w:t>
      </w:r>
      <w:r>
        <w:rPr>
          <w:noProof/>
        </w:rPr>
        <w:t xml:space="preserve">, anyagokat és természeti erőforrásokat a gazdaságban. A cél a hulladékkeletkezés minimálisra csökkentése, valamint a nem elkerülhető hulladék teljes körű hasznosításának biztosítása. Ez a reform magában foglalja a körforgásos gazdaságra vonatkozó spanyol </w:t>
      </w:r>
      <w:r>
        <w:rPr>
          <w:noProof/>
        </w:rPr>
        <w:t>stratégia 2020 júniusában történő jóváhagyását, összhangban a körforgásos gazdaságra vonatkozó uniós cselekvési tervekkel.</w:t>
      </w:r>
    </w:p>
    <w:p w14:paraId="1B3EDAAD" w14:textId="77777777" w:rsidR="003E1D81" w:rsidRDefault="00EB481C">
      <w:pPr>
        <w:pStyle w:val="P68B1DB1-Normal4"/>
        <w:spacing w:before="120" w:after="120" w:line="240" w:lineRule="auto"/>
        <w:jc w:val="both"/>
        <w:rPr>
          <w:rFonts w:cs="Times New Roman"/>
          <w:noProof/>
        </w:rPr>
      </w:pPr>
      <w:r>
        <w:rPr>
          <w:noProof/>
        </w:rPr>
        <w:t>Az intézkedésnek tartalmaznia kell továbbá a körforgásos gazdaságra vonatkozó intézkedéscsomagot, amely szabályozza a hulladékszállít</w:t>
      </w:r>
      <w:r>
        <w:rPr>
          <w:noProof/>
        </w:rPr>
        <w:t>ást és -ártalmatlanítást, valamint az elhasználódott gumiabroncsok kezelését, valamint az elhasználódott járművekre vonatkozó intézkedéseket. E célból jóváhagyták a 2020. június 2-i 553/2020., a 2020. július 7-i 646/2020. és a 2020. augusztus 4-i 731/2020.</w:t>
      </w:r>
      <w:r>
        <w:rPr>
          <w:noProof/>
        </w:rPr>
        <w:t xml:space="preserve"> sz. királyi rendeletet, valamint a január 19-i 27/2021. és az április 13-i 265/2021. sz. királyi rendeletet. Emellett a reformnak magában kell foglalnia a csomagolásra és a csomagolási hulladékra vonatkozó szabályozási intézkedéseknek a Miniszterek Tanács</w:t>
      </w:r>
      <w:r>
        <w:rPr>
          <w:noProof/>
        </w:rPr>
        <w:t>a általi jóváhagyását 2022-ben.</w:t>
      </w:r>
    </w:p>
    <w:p w14:paraId="5557D924" w14:textId="46C75789" w:rsidR="003E1D81" w:rsidRDefault="00EB481C">
      <w:pPr>
        <w:pStyle w:val="P68B1DB1-Normal4"/>
        <w:spacing w:before="120" w:after="120" w:line="240" w:lineRule="auto"/>
        <w:jc w:val="both"/>
        <w:rPr>
          <w:rFonts w:cs="Times New Roman"/>
          <w:noProof/>
        </w:rPr>
      </w:pPr>
      <w:r>
        <w:rPr>
          <w:noProof/>
        </w:rPr>
        <w:t xml:space="preserve">Ezen túlmenően az intézkedés magában foglalja a hulladékról és a szennyezett talajról szóló új törvény 2022. december 31-ig történő hatálybalépését. A törvény a következőket tartalmazza: </w:t>
      </w:r>
    </w:p>
    <w:p w14:paraId="2632200F" w14:textId="77777777" w:rsidR="003E1D81" w:rsidRDefault="00EB481C">
      <w:pPr>
        <w:pStyle w:val="P68B1DB1-Normal4"/>
        <w:numPr>
          <w:ilvl w:val="0"/>
          <w:numId w:val="110"/>
        </w:numPr>
        <w:spacing w:before="120" w:after="120" w:line="240" w:lineRule="auto"/>
        <w:jc w:val="both"/>
        <w:rPr>
          <w:rFonts w:cs="Times New Roman"/>
          <w:noProof/>
        </w:rPr>
      </w:pPr>
      <w:r>
        <w:rPr>
          <w:noProof/>
        </w:rPr>
        <w:t xml:space="preserve">A hulladékokról szóló keretirányelv </w:t>
      </w:r>
      <w:r>
        <w:rPr>
          <w:noProof/>
        </w:rPr>
        <w:t xml:space="preserve">és az egyszer használatos műanyagokról szóló irányelv végrehajtása, valamint a spanyol szabályozás kiigazítása az elmúlt tíz év tapasztalatainak fényében; </w:t>
      </w:r>
    </w:p>
    <w:p w14:paraId="6C049B17" w14:textId="77777777" w:rsidR="003E1D81" w:rsidRDefault="00EB481C">
      <w:pPr>
        <w:pStyle w:val="P68B1DB1-Normal4"/>
        <w:numPr>
          <w:ilvl w:val="0"/>
          <w:numId w:val="110"/>
        </w:numPr>
        <w:spacing w:before="120" w:after="120" w:line="240" w:lineRule="auto"/>
        <w:jc w:val="both"/>
        <w:rPr>
          <w:rFonts w:cs="Times New Roman"/>
          <w:noProof/>
        </w:rPr>
      </w:pPr>
      <w:r>
        <w:rPr>
          <w:noProof/>
        </w:rPr>
        <w:t>A hulladékkal kapcsolatos uniós célkitűzések és az uniós szabályozásból eredő, az elkülönített gyűjt</w:t>
      </w:r>
      <w:r>
        <w:rPr>
          <w:noProof/>
        </w:rPr>
        <w:t xml:space="preserve">ésre vonatkozó kötelezettségek bevezetése, előre jelezve azok végrehajtását a több mint 5000 lakosú településeken a biohulladékban. Az intézkedésnek továbbá olyan elkülönített gyűjtési kötelezettségeket kell bevezetnie, amelyek túlmutatnak az uniós jogban </w:t>
      </w:r>
      <w:r>
        <w:rPr>
          <w:noProof/>
        </w:rPr>
        <w:t>meghatározott követelményeken;</w:t>
      </w:r>
    </w:p>
    <w:p w14:paraId="07BEB1AD" w14:textId="77777777" w:rsidR="003E1D81" w:rsidRDefault="00EB481C">
      <w:pPr>
        <w:pStyle w:val="P68B1DB1-Normal4"/>
        <w:numPr>
          <w:ilvl w:val="0"/>
          <w:numId w:val="110"/>
        </w:numPr>
        <w:spacing w:before="120" w:after="120" w:line="240" w:lineRule="auto"/>
        <w:jc w:val="both"/>
        <w:rPr>
          <w:rFonts w:cs="Times New Roman"/>
          <w:noProof/>
        </w:rPr>
      </w:pPr>
      <w:r>
        <w:rPr>
          <w:noProof/>
        </w:rPr>
        <w:t>A kiterjesztett gyártói felelősség szabályozásának felülvizsgálata, új szabályozási keret létrehozása (amelyet uniós és további rendeletek írnak elő); és</w:t>
      </w:r>
    </w:p>
    <w:p w14:paraId="39B2F81D" w14:textId="77777777" w:rsidR="003E1D81" w:rsidRDefault="00EB481C">
      <w:pPr>
        <w:pStyle w:val="P68B1DB1-Normal4"/>
        <w:numPr>
          <w:ilvl w:val="0"/>
          <w:numId w:val="110"/>
        </w:numPr>
        <w:spacing w:before="120" w:after="120" w:line="240" w:lineRule="auto"/>
        <w:jc w:val="both"/>
        <w:rPr>
          <w:rFonts w:cs="Times New Roman"/>
          <w:noProof/>
        </w:rPr>
      </w:pPr>
      <w:r>
        <w:rPr>
          <w:noProof/>
        </w:rPr>
        <w:t>A hulladékra vonatkozó állami adók bevezetése (ideértve a hulladéklerak</w:t>
      </w:r>
      <w:r>
        <w:rPr>
          <w:noProof/>
        </w:rPr>
        <w:t>ókban való elhelyezést, az égetést és az együttégetést, valamint az egyszer használatos műanyag tárolóedényeket).</w:t>
      </w:r>
    </w:p>
    <w:p w14:paraId="21E54834" w14:textId="77777777" w:rsidR="003E1D81" w:rsidRDefault="00EB481C">
      <w:pPr>
        <w:pStyle w:val="P68B1DB1-Normal4"/>
        <w:spacing w:line="240" w:lineRule="auto"/>
        <w:jc w:val="both"/>
        <w:rPr>
          <w:rFonts w:eastAsia="Times New Roman" w:cs="Times New Roman"/>
          <w:noProof/>
        </w:rPr>
      </w:pPr>
      <w:r>
        <w:rPr>
          <w:noProof/>
        </w:rPr>
        <w:t>Végezetül, a reformnak elő kell mozdítania a hulladékgazdálkodás különböző szervezeti és kompetenciaszintjei közötti koordinációt a jogszabályok végrehajtásának javítása és végső soron a hulladékkeletkezés csökkentése, valamint az olyan hulladékgazdálkodás</w:t>
      </w:r>
      <w:r>
        <w:rPr>
          <w:noProof/>
        </w:rPr>
        <w:t xml:space="preserve"> javítása érdekében, amelynek keletkezése nem kerülhető el az újrahasználatra való előkészítésre és az újrafeldolgozásra való előkészítésre vonatkozó célkitűzések elérése érdekében. </w:t>
      </w:r>
    </w:p>
    <w:p w14:paraId="740FBA4B" w14:textId="77777777" w:rsidR="003E1D81" w:rsidRDefault="00EB481C">
      <w:pPr>
        <w:pStyle w:val="P68B1DB1-Normal4"/>
        <w:spacing w:line="240" w:lineRule="auto"/>
        <w:jc w:val="both"/>
        <w:rPr>
          <w:rFonts w:eastAsia="Times New Roman" w:cs="Times New Roman"/>
          <w:noProof/>
        </w:rPr>
      </w:pPr>
      <w:r>
        <w:rPr>
          <w:noProof/>
        </w:rPr>
        <w:t>E célból ez a reform a következőket foglalja magában:</w:t>
      </w:r>
    </w:p>
    <w:p w14:paraId="1A6AD36C" w14:textId="6C8AD484" w:rsidR="003E1D81" w:rsidRDefault="00EB481C">
      <w:pPr>
        <w:pStyle w:val="P68B1DB1-ListParagraph24"/>
        <w:numPr>
          <w:ilvl w:val="0"/>
          <w:numId w:val="332"/>
        </w:numPr>
        <w:spacing w:line="240" w:lineRule="auto"/>
        <w:jc w:val="both"/>
        <w:rPr>
          <w:rFonts w:eastAsia="Times New Roman" w:cs="Times New Roman"/>
          <w:noProof/>
          <w:sz w:val="24"/>
        </w:rPr>
      </w:pPr>
      <w:r>
        <w:rPr>
          <w:noProof/>
          <w:sz w:val="24"/>
        </w:rPr>
        <w:t>Munkacsoport létreh</w:t>
      </w:r>
      <w:r>
        <w:rPr>
          <w:noProof/>
          <w:sz w:val="24"/>
        </w:rPr>
        <w:t>ozása a hulladékkoordinációs bizottságon belül a hulladékokkal kapcsolatos jogszabályok végrehajtásának nyomon követésére, valamint konkrét intézkedések elfogadása</w:t>
      </w:r>
      <w:r>
        <w:rPr>
          <w:noProof/>
        </w:rPr>
        <w:t xml:space="preserve"> a harmonizált nemzeti hulladékgazdálkodási jogszabályoknak való megfelelés </w:t>
      </w:r>
      <w:r>
        <w:rPr>
          <w:noProof/>
          <w:sz w:val="24"/>
        </w:rPr>
        <w:t>megkönnyítése érd</w:t>
      </w:r>
      <w:r>
        <w:rPr>
          <w:noProof/>
          <w:sz w:val="24"/>
        </w:rPr>
        <w:t xml:space="preserve">ekében. Az elfogadott intézkedéseket közzéteszik a minisztérium honlapján. </w:t>
      </w:r>
    </w:p>
    <w:p w14:paraId="0F3D9999" w14:textId="062F2E1C" w:rsidR="003E1D81" w:rsidRDefault="00EB481C">
      <w:pPr>
        <w:pStyle w:val="P68B1DB1-ListParagraph7"/>
        <w:numPr>
          <w:ilvl w:val="0"/>
          <w:numId w:val="332"/>
        </w:numPr>
        <w:spacing w:line="240" w:lineRule="auto"/>
        <w:jc w:val="both"/>
        <w:rPr>
          <w:rFonts w:eastAsia="Times New Roman" w:cs="Times New Roman"/>
          <w:noProof/>
        </w:rPr>
      </w:pPr>
      <w:r>
        <w:rPr>
          <w:noProof/>
        </w:rPr>
        <w:t>A körforgásos gazdaságra vonatkozó szabályozási aktusok második csomagjának elfogadása, amely a következő szempontokat hajtja végre:</w:t>
      </w:r>
    </w:p>
    <w:p w14:paraId="493A415F" w14:textId="68964B62" w:rsidR="003E1D81" w:rsidRDefault="00EB481C">
      <w:pPr>
        <w:pStyle w:val="P68B1DB1-ListParagraph7"/>
        <w:numPr>
          <w:ilvl w:val="1"/>
          <w:numId w:val="332"/>
        </w:numPr>
        <w:spacing w:line="240" w:lineRule="auto"/>
        <w:jc w:val="both"/>
        <w:rPr>
          <w:rFonts w:eastAsia="Times New Roman" w:cs="Times New Roman"/>
          <w:noProof/>
        </w:rPr>
      </w:pPr>
      <w:r>
        <w:rPr>
          <w:noProof/>
        </w:rPr>
        <w:t>Rendelet az egyes termelők és hulladékkezelők s</w:t>
      </w:r>
      <w:r>
        <w:rPr>
          <w:noProof/>
        </w:rPr>
        <w:t xml:space="preserve">zámára előírt pénzügyi biztosítékokról annak érdekében, hogy e garanciák kiszámítása valamennyi régióban azonos kritériumok alapján történjen. </w:t>
      </w:r>
    </w:p>
    <w:p w14:paraId="5AEABB97" w14:textId="23EDEF5E" w:rsidR="003E1D81" w:rsidRDefault="00EB481C">
      <w:pPr>
        <w:pStyle w:val="P68B1DB1-ListParagraph7"/>
        <w:numPr>
          <w:ilvl w:val="1"/>
          <w:numId w:val="332"/>
        </w:numPr>
        <w:spacing w:line="240" w:lineRule="auto"/>
        <w:jc w:val="both"/>
        <w:rPr>
          <w:rFonts w:eastAsia="Times New Roman" w:cs="Times New Roman"/>
          <w:noProof/>
        </w:rPr>
      </w:pPr>
      <w:r>
        <w:rPr>
          <w:noProof/>
        </w:rPr>
        <w:t xml:space="preserve">A szűrőket tartalmazó dohánytermékekről és a dohánytermékekkel való együttes használatra forgalmazott szűrőkről </w:t>
      </w:r>
      <w:r>
        <w:rPr>
          <w:noProof/>
        </w:rPr>
        <w:t>szóló rendelet.</w:t>
      </w:r>
      <w:bookmarkStart w:id="23" w:name="_Hlk141089476"/>
      <w:r>
        <w:rPr>
          <w:noProof/>
        </w:rPr>
        <w:t xml:space="preserve"> A rendelet különösen:</w:t>
      </w:r>
    </w:p>
    <w:p w14:paraId="7A2B8723" w14:textId="63C8439F" w:rsidR="003E1D81" w:rsidRDefault="00EB481C">
      <w:pPr>
        <w:pStyle w:val="P68B1DB1-ListParagraph7"/>
        <w:numPr>
          <w:ilvl w:val="2"/>
          <w:numId w:val="332"/>
        </w:numPr>
        <w:spacing w:line="240" w:lineRule="auto"/>
        <w:jc w:val="both"/>
        <w:rPr>
          <w:rFonts w:eastAsia="Times New Roman" w:cs="Times New Roman"/>
          <w:noProof/>
        </w:rPr>
      </w:pPr>
      <w:r>
        <w:rPr>
          <w:noProof/>
        </w:rPr>
        <w:t xml:space="preserve">A nemzeti piacon bizonyos mennyiségű terméket forgalomba hozó termelők számára megelőzési programok készítésének kötelezettsége; </w:t>
      </w:r>
    </w:p>
    <w:p w14:paraId="72EC5082" w14:textId="685C1BD7" w:rsidR="003E1D81" w:rsidRDefault="00EB481C">
      <w:pPr>
        <w:pStyle w:val="P68B1DB1-ListParagraph7"/>
        <w:numPr>
          <w:ilvl w:val="2"/>
          <w:numId w:val="332"/>
        </w:numPr>
        <w:spacing w:line="240" w:lineRule="auto"/>
        <w:jc w:val="both"/>
        <w:rPr>
          <w:rFonts w:eastAsia="Times New Roman" w:cs="Times New Roman"/>
          <w:noProof/>
        </w:rPr>
      </w:pPr>
      <w:r>
        <w:rPr>
          <w:noProof/>
        </w:rPr>
        <w:t>A nyilvános gyűjtőrendszerek részét képező tartályokra vonatkozó kötelezettség, valamint</w:t>
      </w:r>
      <w:r>
        <w:rPr>
          <w:noProof/>
        </w:rPr>
        <w:t xml:space="preserve"> a dohánytermék-hulladék szűrőkkel és szűrőkkel történő elkülönített gyűjtését lehetővé tevő különleges infrastruktúra kialakítása; </w:t>
      </w:r>
    </w:p>
    <w:p w14:paraId="6ED982BC" w14:textId="46230736" w:rsidR="003E1D81" w:rsidRDefault="00EB481C">
      <w:pPr>
        <w:pStyle w:val="P68B1DB1-ListParagraph7"/>
        <w:numPr>
          <w:ilvl w:val="2"/>
          <w:numId w:val="332"/>
        </w:numPr>
        <w:spacing w:line="240" w:lineRule="auto"/>
        <w:jc w:val="both"/>
        <w:rPr>
          <w:rFonts w:eastAsia="Times New Roman" w:cs="Times New Roman"/>
          <w:noProof/>
        </w:rPr>
      </w:pPr>
      <w:r>
        <w:rPr>
          <w:noProof/>
        </w:rPr>
        <w:t>Tartalmazza annak lehetőségét, hogy az elért eredményeknek megfelelően megelőzési és elkülönített gyűjtési célkitűzéseket h</w:t>
      </w:r>
      <w:r>
        <w:rPr>
          <w:noProof/>
        </w:rPr>
        <w:t>atározzanak meg;</w:t>
      </w:r>
    </w:p>
    <w:p w14:paraId="29795BB6" w14:textId="7A04C05D" w:rsidR="003E1D81" w:rsidRDefault="00EB481C">
      <w:pPr>
        <w:pStyle w:val="P68B1DB1-ListParagraph7"/>
        <w:numPr>
          <w:ilvl w:val="2"/>
          <w:numId w:val="332"/>
        </w:numPr>
        <w:spacing w:line="240" w:lineRule="auto"/>
        <w:jc w:val="both"/>
        <w:rPr>
          <w:rFonts w:eastAsia="Times New Roman" w:cs="Times New Roman"/>
          <w:noProof/>
        </w:rPr>
      </w:pPr>
      <w:r>
        <w:rPr>
          <w:noProof/>
        </w:rPr>
        <w:t>Létrehozza a szűrőket és szűrőket tartalmazó dohánytermékek gyártóinak nyilvántartását;</w:t>
      </w:r>
      <w:bookmarkEnd w:id="23"/>
    </w:p>
    <w:p w14:paraId="2FC020DF" w14:textId="4EEAEDF5" w:rsidR="003E1D81" w:rsidRDefault="00EB481C">
      <w:pPr>
        <w:pStyle w:val="P68B1DB1-ListParagraph7"/>
        <w:numPr>
          <w:ilvl w:val="1"/>
          <w:numId w:val="332"/>
        </w:numPr>
        <w:spacing w:line="240" w:lineRule="auto"/>
        <w:jc w:val="both"/>
        <w:rPr>
          <w:rFonts w:eastAsia="Times New Roman" w:cs="Times New Roman"/>
          <w:noProof/>
        </w:rPr>
      </w:pPr>
      <w:r>
        <w:rPr>
          <w:noProof/>
        </w:rPr>
        <w:t xml:space="preserve">Az ipari hulladékolajokról szóló rendelet annak érdekében, hogy a szabályozási keret összhangba kerüljön az új hulladéktörvény rendelkezéseivel, amely </w:t>
      </w:r>
      <w:r>
        <w:rPr>
          <w:noProof/>
        </w:rPr>
        <w:t>az ipari hulladékolajokra vonatkozó rendelkezést is tartalmaz;</w:t>
      </w:r>
    </w:p>
    <w:p w14:paraId="78B9D6FC" w14:textId="598CA2E2" w:rsidR="003E1D81" w:rsidRDefault="00EB481C">
      <w:pPr>
        <w:pStyle w:val="P68B1DB1-ListParagraph7"/>
        <w:numPr>
          <w:ilvl w:val="1"/>
          <w:numId w:val="332"/>
        </w:numPr>
        <w:spacing w:line="240" w:lineRule="auto"/>
        <w:jc w:val="both"/>
        <w:rPr>
          <w:rFonts w:eastAsia="Times New Roman" w:cs="Times New Roman"/>
          <w:noProof/>
        </w:rPr>
      </w:pPr>
      <w:r>
        <w:rPr>
          <w:noProof/>
        </w:rPr>
        <w:t>Az elhasználódott gumiabroncsokról szóló rendelet, a jelenlegi szabvány 2020-ban elvégzett részleges és időben történő felülvizsgálatán túl; és</w:t>
      </w:r>
    </w:p>
    <w:p w14:paraId="0C7988CC" w14:textId="0351A93F" w:rsidR="003E1D81" w:rsidRDefault="00EB481C">
      <w:pPr>
        <w:pStyle w:val="P68B1DB1-ListParagraph7"/>
        <w:numPr>
          <w:ilvl w:val="1"/>
          <w:numId w:val="332"/>
        </w:numPr>
        <w:spacing w:line="240" w:lineRule="auto"/>
        <w:jc w:val="both"/>
        <w:rPr>
          <w:rFonts w:eastAsia="Times New Roman" w:cs="Times New Roman"/>
          <w:noProof/>
        </w:rPr>
      </w:pPr>
      <w:r>
        <w:rPr>
          <w:noProof/>
        </w:rPr>
        <w:t>Miniszteri rendelet a települési hulladék hulladé</w:t>
      </w:r>
      <w:r>
        <w:rPr>
          <w:noProof/>
        </w:rPr>
        <w:t>klerakókban való elhelyezést megelőző kezelésének minimumkövetelményeiről.</w:t>
      </w:r>
    </w:p>
    <w:p w14:paraId="2D81A857" w14:textId="77777777" w:rsidR="003E1D81" w:rsidRDefault="00EB481C">
      <w:pPr>
        <w:pStyle w:val="P68B1DB1-Normal4"/>
        <w:spacing w:before="120" w:after="120" w:line="240" w:lineRule="auto"/>
        <w:jc w:val="both"/>
        <w:rPr>
          <w:rFonts w:eastAsia="Times New Roman" w:cs="Times New Roman"/>
          <w:noProof/>
        </w:rPr>
      </w:pPr>
      <w:r>
        <w:rPr>
          <w:noProof/>
        </w:rPr>
        <w:t xml:space="preserve">Ezek a rendeletek biztosítják az összehangolt irányítást a régiókban, valamint a kiterjesztett gyártói felelősségi rendszer végrehajtását. </w:t>
      </w:r>
    </w:p>
    <w:p w14:paraId="6223EE37" w14:textId="77777777" w:rsidR="003E1D81" w:rsidRDefault="00EB481C">
      <w:pPr>
        <w:pStyle w:val="P68B1DB1-Normal4"/>
        <w:spacing w:before="120" w:after="120" w:line="240" w:lineRule="auto"/>
        <w:jc w:val="both"/>
        <w:rPr>
          <w:rFonts w:eastAsia="Times New Roman" w:cs="Times New Roman"/>
          <w:noProof/>
          <w:shd w:val="clear" w:color="auto" w:fill="E6E6E6"/>
        </w:rPr>
      </w:pPr>
      <w:r>
        <w:rPr>
          <w:noProof/>
        </w:rPr>
        <w:t>Emellett a reformnak magában kell foglaln</w:t>
      </w:r>
      <w:r>
        <w:rPr>
          <w:noProof/>
        </w:rPr>
        <w:t>ia a körforgásos gazdaságra vonatkozó második cselekvési terv elfogadását, amelyet a körforgásos gazdaságra vonatkozó spanyol stratégia részeként a 2024–2026-os időszakban kell végrehajtani. A második cselekvési terv foglalkozik az első terv végrehajtása s</w:t>
      </w:r>
      <w:r>
        <w:rPr>
          <w:noProof/>
        </w:rPr>
        <w:t>orán azonosított kérdésekkel, valamint azokkal az ágazatokkal, ahol a kezdeményezéseket állami szinten kell összpontosítani.</w:t>
      </w:r>
    </w:p>
    <w:p w14:paraId="1776A14E" w14:textId="75E6A396" w:rsidR="003E1D81" w:rsidRDefault="00EB481C">
      <w:pPr>
        <w:pStyle w:val="P68B1DB1-Normal4"/>
        <w:spacing w:before="120" w:after="120" w:line="240" w:lineRule="auto"/>
        <w:jc w:val="both"/>
        <w:rPr>
          <w:rFonts w:cs="Times New Roman"/>
          <w:noProof/>
        </w:rPr>
      </w:pPr>
      <w:r>
        <w:rPr>
          <w:noProof/>
        </w:rPr>
        <w:t>Az intézkedés végrehajtását 2025. december 31-ig be kell fejezni.</w:t>
      </w:r>
    </w:p>
    <w:p w14:paraId="3D16E156" w14:textId="77777777" w:rsidR="003E1D81" w:rsidRDefault="00EB481C">
      <w:pPr>
        <w:pStyle w:val="P68B1DB1-Normal6"/>
        <w:spacing w:before="120" w:after="120" w:line="240" w:lineRule="auto"/>
        <w:jc w:val="both"/>
        <w:rPr>
          <w:rFonts w:cs="Times New Roman"/>
          <w:noProof/>
        </w:rPr>
      </w:pPr>
      <w:r>
        <w:rPr>
          <w:noProof/>
        </w:rPr>
        <w:t>Beruházás (C12.I1) – Ágazati adatterek a stratégiai termelési ága</w:t>
      </w:r>
      <w:r>
        <w:rPr>
          <w:noProof/>
        </w:rPr>
        <w:t xml:space="preserve">zatok digitalizálása érdekében </w:t>
      </w:r>
    </w:p>
    <w:p w14:paraId="31CF7C55" w14:textId="77777777" w:rsidR="003E1D81" w:rsidRDefault="00EB481C">
      <w:pPr>
        <w:pStyle w:val="P68B1DB1-Normal4"/>
        <w:spacing w:before="120" w:after="120" w:line="240" w:lineRule="auto"/>
        <w:jc w:val="both"/>
        <w:rPr>
          <w:rFonts w:cs="Times New Roman"/>
          <w:noProof/>
        </w:rPr>
      </w:pPr>
      <w:r>
        <w:rPr>
          <w:noProof/>
        </w:rPr>
        <w:t>Ezen intézkedés célja, hogy biztonságos és nagy adattereket hozzon létre az olyan stratégiai ipari ágazatokban, mint az agrár-élelmiszeripari, a fenntartható mobilitás, az egészségügy és a kereskedelmi ágazat. Az innovációt,</w:t>
      </w:r>
      <w:r>
        <w:rPr>
          <w:noProof/>
        </w:rPr>
        <w:t xml:space="preserve"> a hatékonyságot és a méretgazdaságosságot a közös alkotóelemek (építőelemek) fejlesztése, valamint a közös infrastruktúrák és adatok (felhőplatformok, szuper-számítástechnikai és tárolóhálózatok, nagy adathalmazok elemzése és mesterséges intelligencia) me</w:t>
      </w:r>
      <w:r>
        <w:rPr>
          <w:noProof/>
        </w:rPr>
        <w:t xml:space="preserve">gosztása révén kell előmozdítani. </w:t>
      </w:r>
    </w:p>
    <w:p w14:paraId="7FE1856B" w14:textId="1A0E4136" w:rsidR="003E1D81" w:rsidRDefault="00EB481C">
      <w:pPr>
        <w:spacing w:before="120" w:after="120" w:line="240" w:lineRule="auto"/>
        <w:jc w:val="both"/>
        <w:rPr>
          <w:rFonts w:ascii="Times New Roman" w:hAnsi="Times New Roman" w:cs="Times New Roman"/>
          <w:noProof/>
          <w:sz w:val="24"/>
        </w:rPr>
      </w:pPr>
      <w:r>
        <w:rPr>
          <w:rFonts w:ascii="Times New Roman" w:hAnsi="Times New Roman"/>
          <w:noProof/>
          <w:sz w:val="24"/>
        </w:rPr>
        <w:t>Meg kell erősíteni az irányítási struktúrákat az adatterek fejlesztése terén a köz- és magánszféra közötti együttműködés kialakítása érdekében. Ezenkívül meg kell határozni az interoperabilitást biztosító mechanizmusokat,</w:t>
      </w:r>
      <w:r>
        <w:rPr>
          <w:rFonts w:ascii="Times New Roman" w:hAnsi="Times New Roman"/>
          <w:noProof/>
          <w:sz w:val="24"/>
        </w:rPr>
        <w:t xml:space="preserve"> és megfelelő szabályokat és mechanizmusokat kell kidolgozni a vállalatok közötti adatmegosztás előmozdítása érdekében. A beruházást az Európai Bizottság „Európai adatstratégia” című közleményével</w:t>
      </w:r>
      <w:r>
        <w:rPr>
          <w:rStyle w:val="FootnoteReference"/>
          <w:rFonts w:ascii="Times New Roman" w:hAnsi="Times New Roman" w:cs="Times New Roman"/>
          <w:noProof/>
          <w:sz w:val="24"/>
        </w:rPr>
        <w:footnoteReference w:id="34"/>
      </w:r>
      <w:r>
        <w:rPr>
          <w:rFonts w:ascii="Times New Roman" w:hAnsi="Times New Roman"/>
          <w:noProof/>
          <w:sz w:val="24"/>
        </w:rPr>
        <w:t xml:space="preserve"> és az abban előirányzott intézkedésekkel, különösen a küsz</w:t>
      </w:r>
      <w:r>
        <w:rPr>
          <w:rFonts w:ascii="Times New Roman" w:hAnsi="Times New Roman"/>
          <w:noProof/>
          <w:sz w:val="24"/>
        </w:rPr>
        <w:t>öbön álló adatrendelettel és az adatkormányzási rendelettel, valamint az EU számításifelhő-szövetségével</w:t>
      </w:r>
      <w:r>
        <w:rPr>
          <w:rStyle w:val="FootnoteReference"/>
          <w:rFonts w:ascii="Times New Roman" w:hAnsi="Times New Roman" w:cs="Times New Roman"/>
          <w:noProof/>
          <w:sz w:val="24"/>
        </w:rPr>
        <w:footnoteReference w:id="35"/>
      </w:r>
      <w:r>
        <w:rPr>
          <w:rFonts w:ascii="Times New Roman" w:hAnsi="Times New Roman"/>
          <w:noProof/>
          <w:sz w:val="24"/>
        </w:rPr>
        <w:t>összhangban kell végrehajtani. A szinergiáknak biztosítaniuk kell a Digitális Európa programmal való kiegészítő jelleget</w:t>
      </w:r>
      <w:r>
        <w:rPr>
          <w:rStyle w:val="FootnoteReference"/>
          <w:rFonts w:ascii="Times New Roman" w:hAnsi="Times New Roman" w:cs="Times New Roman"/>
          <w:noProof/>
          <w:sz w:val="24"/>
        </w:rPr>
        <w:footnoteReference w:id="36"/>
      </w:r>
      <w:r>
        <w:rPr>
          <w:rFonts w:ascii="Times New Roman" w:hAnsi="Times New Roman"/>
          <w:noProof/>
          <w:sz w:val="24"/>
        </w:rPr>
        <w:t>. A beruházást össze kell hang</w:t>
      </w:r>
      <w:r>
        <w:rPr>
          <w:rFonts w:ascii="Times New Roman" w:hAnsi="Times New Roman"/>
          <w:noProof/>
          <w:sz w:val="24"/>
        </w:rPr>
        <w:t>olni a fő hivatkozásokkal és szabványokkal is, például a Nemzetközi Adatterek Szövetsége (IDS) által támogatottakkal.</w:t>
      </w:r>
    </w:p>
    <w:p w14:paraId="09C85116" w14:textId="77777777" w:rsidR="003E1D81" w:rsidRDefault="00EB481C">
      <w:pPr>
        <w:pStyle w:val="P68B1DB1-Normal4"/>
        <w:spacing w:before="120" w:after="120" w:line="240" w:lineRule="auto"/>
        <w:jc w:val="both"/>
        <w:rPr>
          <w:rFonts w:cs="Times New Roman"/>
          <w:noProof/>
        </w:rPr>
      </w:pPr>
      <w:r>
        <w:rPr>
          <w:noProof/>
        </w:rPr>
        <w:t xml:space="preserve">2023. december 31-ig legalább négy nagy értékű ágazati és interoperábilis adatteret kell támogatni az agrár-élelmiszeripari ágazatban, a </w:t>
      </w:r>
      <w:r>
        <w:rPr>
          <w:noProof/>
        </w:rPr>
        <w:t>fenntartható mobilitási ágazatban, az egészségügyi ágazatban és a kereskedelmi ágazatban.</w:t>
      </w:r>
    </w:p>
    <w:p w14:paraId="64DB6C2B" w14:textId="77777777" w:rsidR="003E1D81" w:rsidRDefault="00EB481C">
      <w:pPr>
        <w:pStyle w:val="P68B1DB1-Normal4"/>
        <w:spacing w:before="120" w:after="120" w:line="240" w:lineRule="auto"/>
        <w:jc w:val="both"/>
        <w:rPr>
          <w:rFonts w:cs="Times New Roman"/>
          <w:noProof/>
        </w:rPr>
      </w:pPr>
      <w:r>
        <w:rPr>
          <w:noProof/>
        </w:rPr>
        <w:t xml:space="preserve">A beruházás végrehajtását 2026. június 30-ig be kell fejezni. </w:t>
      </w:r>
    </w:p>
    <w:p w14:paraId="50D189C8" w14:textId="77777777" w:rsidR="003E1D81" w:rsidRDefault="00EB481C">
      <w:pPr>
        <w:pStyle w:val="P68B1DB1-Normal6"/>
        <w:keepNext/>
        <w:spacing w:before="120" w:after="120" w:line="240" w:lineRule="auto"/>
        <w:jc w:val="both"/>
        <w:rPr>
          <w:rFonts w:cs="Times New Roman"/>
          <w:noProof/>
        </w:rPr>
      </w:pPr>
      <w:r>
        <w:rPr>
          <w:noProof/>
        </w:rPr>
        <w:t xml:space="preserve">Beruházás (C12.I2) – A versenyképességet és az ipari fenntarthatóságot ösztönző program </w:t>
      </w:r>
    </w:p>
    <w:p w14:paraId="119FA788" w14:textId="77777777" w:rsidR="003E1D81" w:rsidRDefault="00EB481C">
      <w:pPr>
        <w:pStyle w:val="P68B1DB1-Normal4"/>
        <w:keepNext/>
        <w:spacing w:before="120" w:after="120" w:line="240" w:lineRule="auto"/>
        <w:jc w:val="both"/>
        <w:rPr>
          <w:rFonts w:cs="Times New Roman"/>
          <w:noProof/>
        </w:rPr>
      </w:pPr>
      <w:r>
        <w:rPr>
          <w:noProof/>
        </w:rPr>
        <w:t>Ezen intézkedé</w:t>
      </w:r>
      <w:r>
        <w:rPr>
          <w:noProof/>
        </w:rPr>
        <w:t>s célja a Spanyolország ipari átalakulása szempontjából kulcsfontosságú stratégiai ágazatok – például a gépjárműipar és az elektromos járművek, az agrár-élelmiszeripari, az egészségügyi, a repüléstechnikai és a haditengerészeti ágazat, a megújuló energiákh</w:t>
      </w:r>
      <w:r>
        <w:rPr>
          <w:noProof/>
        </w:rPr>
        <w:t>oz kapcsolódó ipari ágazatok, valamint a processzorok és félvezető technológiák tervezési és gyártási képességei – átalakításának előmozdítása. E fellépés keretében legalább három nagy stratégiai projektet (az úgynevezett PERTE-ket) kell támogatni, amelyek</w:t>
      </w:r>
      <w:r>
        <w:rPr>
          <w:noProof/>
        </w:rPr>
        <w:t xml:space="preserve"> az érintett ágazat teljes értékláncát felölelik, beleértve a kkv-k támogatását is. </w:t>
      </w:r>
    </w:p>
    <w:p w14:paraId="34EAD922" w14:textId="77777777" w:rsidR="003E1D81" w:rsidRDefault="00EB481C">
      <w:pPr>
        <w:pStyle w:val="P68B1DB1-Normal4"/>
        <w:spacing w:before="120" w:after="120" w:line="240" w:lineRule="auto"/>
        <w:jc w:val="both"/>
        <w:rPr>
          <w:rFonts w:cs="Times New Roman"/>
          <w:noProof/>
        </w:rPr>
      </w:pPr>
      <w:r>
        <w:rPr>
          <w:noProof/>
        </w:rPr>
        <w:t xml:space="preserve">Ez az intézkedés kisebb léptékű projekteket is finanszíroz, mint például az ipari szimuláció, a fejlett anyagok, a virtuális valóság, valamint az együttműködésen alapuló </w:t>
      </w:r>
      <w:r>
        <w:rPr>
          <w:noProof/>
        </w:rPr>
        <w:t>és kognitív robotika. Az intézkedésnek továbbra is támogatnia kell a fenntartható ipari infrastruktúrákat, például az ipari parkokat vagy a logisztikai területeket. Az intézkedés ezen elemének részeként a spanyol helyreállítási és rezilienciaépítési terv l</w:t>
      </w:r>
      <w:r>
        <w:rPr>
          <w:noProof/>
        </w:rPr>
        <w:t>egalább 78 olyan innovatív projektet finanszíroz, amelyek jelentős ipari átalakulással járnak az energiahatékonyság, a fenntarthatóság és a digitális transzformáció tekintetében.</w:t>
      </w:r>
    </w:p>
    <w:p w14:paraId="3098C731" w14:textId="77777777" w:rsidR="003E1D81" w:rsidRDefault="00EB481C">
      <w:pPr>
        <w:pStyle w:val="P68B1DB1-Normal4"/>
        <w:spacing w:before="120" w:after="120" w:line="240" w:lineRule="auto"/>
        <w:jc w:val="both"/>
        <w:rPr>
          <w:rFonts w:cs="Times New Roman"/>
          <w:noProof/>
        </w:rPr>
      </w:pPr>
      <w:r>
        <w:rPr>
          <w:noProof/>
        </w:rPr>
        <w:t xml:space="preserve">Miután a Miniszterek Tanácsa jóváhagyta a PERTE-t, az illetékes minisztérium </w:t>
      </w:r>
      <w:r>
        <w:rPr>
          <w:noProof/>
        </w:rPr>
        <w:t xml:space="preserve">versenyfelhívást indít azzal a céllal, hogy megkapja a jóváhagyott PERTE keretében kidolgozandó konkrét javaslatokat. Az olyan támogatási intézkedések végrehajtására, amelyek az EUMSZ 107. cikkével összhangban állami támogatásnak minősülhetnek, és amelyek </w:t>
      </w:r>
      <w:r>
        <w:rPr>
          <w:noProof/>
        </w:rPr>
        <w:t xml:space="preserve">a Bizottság előzetes értesítését tehetik szükségessé, nem kerülhet sor addig, amíg Spanyolország meg nem kapta az állami támogatás Bizottság általi jóváhagyását. </w:t>
      </w:r>
    </w:p>
    <w:p w14:paraId="701E7478" w14:textId="77777777" w:rsidR="003E1D81" w:rsidRDefault="00EB481C">
      <w:pPr>
        <w:pStyle w:val="Text1"/>
        <w:ind w:left="0"/>
        <w:rPr>
          <w:rFonts w:ascii="Times New Roman" w:hAnsi="Times New Roman" w:cs="Times New Roman"/>
          <w:noProof/>
        </w:rPr>
      </w:pPr>
      <w:r>
        <w:rPr>
          <w:rFonts w:ascii="Times New Roman" w:hAnsi="Times New Roman"/>
          <w:noProof/>
        </w:rPr>
        <w:t>A Miniszterek Tanácsának a PERTE jóváhagyásáról szóló határozata részletes kiválasztási krité</w:t>
      </w:r>
      <w:r>
        <w:rPr>
          <w:rFonts w:ascii="Times New Roman" w:hAnsi="Times New Roman"/>
          <w:noProof/>
        </w:rPr>
        <w:t>riumokat tartalmaz a jelentős károkozás elkerülését célzó technikai iránymutatásnak (2021/C58/01) való megfelelés biztosítása érdekében. Annak biztosítása érdekében, hogy az intézkedés megfeleljen a jelentős károkozás elkerülését célzó elvről szóló technik</w:t>
      </w:r>
      <w:r>
        <w:rPr>
          <w:rFonts w:ascii="Times New Roman" w:hAnsi="Times New Roman"/>
          <w:noProof/>
        </w:rPr>
        <w:t>ai iránymutatásnak (2021/C58/01), a soron következő pályázati felhívásokra vonatkozó feladatmeghatározásban szereplő támogathatósági kritériumok nem tartalmazzák a tevékenységek alábbi listáját: a fosszilis tüzelőanyagokhoz kapcsolódó tevékenységek, beleér</w:t>
      </w:r>
      <w:r>
        <w:rPr>
          <w:rFonts w:ascii="Times New Roman" w:hAnsi="Times New Roman"/>
          <w:noProof/>
        </w:rPr>
        <w:t>tve a továbbfelhasználást is</w:t>
      </w:r>
      <w:r>
        <w:rPr>
          <w:rStyle w:val="FootnoteReference"/>
          <w:rFonts w:ascii="Times New Roman" w:hAnsi="Times New Roman" w:cs="Times New Roman"/>
          <w:noProof/>
        </w:rPr>
        <w:footnoteReference w:id="37"/>
      </w:r>
      <w:r>
        <w:rPr>
          <w:rFonts w:ascii="Times New Roman" w:hAnsi="Times New Roman"/>
          <w:noProof/>
        </w:rPr>
        <w:t>; az uniós kibocsátáskereskedelmi rendszer (ETS) keretében végzett tevékenységek, amelyek a vonatkozó referenciaértékeknél nem alacsonyabb várható üvegházhatásúgáz-kibocsátást érnek el</w:t>
      </w:r>
      <w:r>
        <w:rPr>
          <w:rStyle w:val="FootnoteReference"/>
          <w:rFonts w:ascii="Times New Roman" w:hAnsi="Times New Roman" w:cs="Times New Roman"/>
          <w:noProof/>
        </w:rPr>
        <w:footnoteReference w:id="38"/>
      </w:r>
      <w:r>
        <w:rPr>
          <w:rFonts w:ascii="Times New Roman" w:hAnsi="Times New Roman"/>
          <w:noProof/>
        </w:rPr>
        <w:t>; a kibocsátáskereskedelmi rendszer közvet</w:t>
      </w:r>
      <w:r>
        <w:rPr>
          <w:rFonts w:ascii="Times New Roman" w:hAnsi="Times New Roman"/>
          <w:noProof/>
        </w:rPr>
        <w:t>ett költségeinek ellentételezése; hulladéklerakókkal, hulladékégetőkkel</w:t>
      </w:r>
      <w:r>
        <w:rPr>
          <w:rStyle w:val="FootnoteReference"/>
          <w:rFonts w:ascii="Times New Roman" w:hAnsi="Times New Roman" w:cs="Times New Roman"/>
          <w:noProof/>
        </w:rPr>
        <w:footnoteReference w:id="39"/>
      </w:r>
      <w:r>
        <w:rPr>
          <w:rFonts w:ascii="Times New Roman" w:hAnsi="Times New Roman"/>
          <w:noProof/>
        </w:rPr>
        <w:t xml:space="preserve"> és mechanikai-biológiai szennyvíztisztító telepekkel kapcsolatos tevékenységek</w:t>
      </w:r>
      <w:r>
        <w:rPr>
          <w:rStyle w:val="FootnoteReference"/>
          <w:rFonts w:ascii="Times New Roman" w:hAnsi="Times New Roman" w:cs="Times New Roman"/>
          <w:noProof/>
        </w:rPr>
        <w:footnoteReference w:id="40"/>
      </w:r>
      <w:r>
        <w:rPr>
          <w:rFonts w:ascii="Times New Roman" w:hAnsi="Times New Roman"/>
          <w:noProof/>
        </w:rPr>
        <w:t>; és v. olyan tevékenységek, amelyek esetében a hulladék hosszú távú ártalmatlanítása károsíthatja a kör</w:t>
      </w:r>
      <w:r>
        <w:rPr>
          <w:rFonts w:ascii="Times New Roman" w:hAnsi="Times New Roman"/>
          <w:noProof/>
        </w:rPr>
        <w:t xml:space="preserve">nyezetet. A feladatmeghatározás emellett előírja, hogy csak a vonatkozó uniós és nemzeti környezetvédelmi jogszabályoknak megfelelő tevékenységek választhatók ki. </w:t>
      </w:r>
    </w:p>
    <w:p w14:paraId="5B671F58" w14:textId="77777777" w:rsidR="003E1D81" w:rsidRDefault="00EB481C">
      <w:pPr>
        <w:pStyle w:val="P68B1DB1-Text119"/>
        <w:ind w:left="0"/>
        <w:rPr>
          <w:rFonts w:cs="Times New Roman"/>
          <w:noProof/>
          <w:highlight w:val="green"/>
        </w:rPr>
      </w:pPr>
      <w:r>
        <w:rPr>
          <w:noProof/>
        </w:rPr>
        <w:t>Az e beruházás keretében végrehajtott alábbi K+F+I-intézkedéseket úgy kell tekinteni, hogy m</w:t>
      </w:r>
      <w:r>
        <w:rPr>
          <w:noProof/>
        </w:rPr>
        <w:t>egfelelnek a jelentős károkozás elkerülését célzó elvről szóló technikai iránymutatásnak (2021/C58/01): E beruházás keretében a vállalatok környezeti fenntarthatóságának jelentős növelésére irányuló K+F+I tevékenységek (például dekarbonizáció, a szennyezés</w:t>
      </w:r>
      <w:r>
        <w:rPr>
          <w:noProof/>
        </w:rPr>
        <w:t xml:space="preserve"> csökkentése és a körforgásos gazdaság), amennyiben az e beruházás keretében megvalósuló K+F+I tevékenységek elsősorban az ágazatban a lehető legkisebb környezeti hatással járó alternatívák kidolgozására vagy kiigazítására irányulnak.</w:t>
      </w:r>
    </w:p>
    <w:p w14:paraId="1E2A67A2" w14:textId="052CED05" w:rsidR="003E1D81" w:rsidRDefault="00EB481C">
      <w:pPr>
        <w:spacing w:before="120" w:after="120" w:line="240" w:lineRule="auto"/>
        <w:jc w:val="both"/>
        <w:rPr>
          <w:rFonts w:ascii="Times New Roman" w:hAnsi="Times New Roman" w:cs="Times New Roman"/>
          <w:noProof/>
          <w:sz w:val="24"/>
        </w:rPr>
      </w:pPr>
      <w:r>
        <w:rPr>
          <w:rFonts w:ascii="Times New Roman" w:hAnsi="Times New Roman"/>
          <w:noProof/>
          <w:sz w:val="24"/>
        </w:rPr>
        <w:t>A kiválasztási kritér</w:t>
      </w:r>
      <w:r>
        <w:rPr>
          <w:rFonts w:ascii="Times New Roman" w:hAnsi="Times New Roman"/>
          <w:noProof/>
          <w:sz w:val="24"/>
        </w:rPr>
        <w:t>iumoknak biztosítaniuk kell, hogy a Helyreállítási és Rezilienciaépítési Eszköz létrehozásáról szóló, 2021. február 12-i (EU) 2021/241 európai parlamenti és tanácsi rendelet [] VI. mellékletével összhangban legalább 455 000 000 EUR 100%-os éghajlati együtt</w:t>
      </w:r>
      <w:r>
        <w:rPr>
          <w:rFonts w:ascii="Times New Roman" w:hAnsi="Times New Roman"/>
          <w:noProof/>
          <w:sz w:val="24"/>
        </w:rPr>
        <w:t>hatóval és legalább 1 500 000 000 EUR-val és 40%-os éghajlati együtthatóval járuljanak hozzá az éghajlatváltozással kapcsolatos célkitűzésekhez.</w:t>
      </w:r>
      <w:r>
        <w:rPr>
          <w:rStyle w:val="FootnoteReference"/>
          <w:rFonts w:ascii="Times New Roman" w:hAnsi="Times New Roman" w:cs="Times New Roman"/>
          <w:noProof/>
          <w:sz w:val="24"/>
        </w:rPr>
        <w:footnoteReference w:id="41"/>
      </w:r>
      <w:r>
        <w:rPr>
          <w:rFonts w:ascii="Times New Roman" w:hAnsi="Times New Roman"/>
          <w:noProof/>
          <w:sz w:val="24"/>
        </w:rPr>
        <w:t xml:space="preserve"> Alternatív megoldásként, ha az alternatív megközelítés esetleges nem megvalósíthatóságának indoklásával kellőe</w:t>
      </w:r>
      <w:r>
        <w:rPr>
          <w:rFonts w:ascii="Times New Roman" w:hAnsi="Times New Roman"/>
          <w:noProof/>
          <w:sz w:val="24"/>
        </w:rPr>
        <w:t>n indokolt, a kiválasztási kritériumoknak biztosítaniuk kell, hogy az (EU) 2021/241 rendelet VI. mellékletével összhangban legalább 2 531 500 000 EUR átlagosan legalább 40%-os éghajlati együtthatóval</w:t>
      </w:r>
      <w:r>
        <w:rPr>
          <w:rFonts w:ascii="Times New Roman" w:hAnsi="Times New Roman"/>
          <w:noProof/>
          <w:sz w:val="24"/>
          <w:shd w:val="clear" w:color="auto" w:fill="E6E6E6"/>
        </w:rPr>
        <w:t xml:space="preserve"> </w:t>
      </w:r>
      <w:r>
        <w:rPr>
          <w:rFonts w:ascii="Times New Roman" w:hAnsi="Times New Roman"/>
          <w:noProof/>
          <w:sz w:val="24"/>
        </w:rPr>
        <w:t>járuljon hozzá az éghajlatváltozással kapcsolatos célkit</w:t>
      </w:r>
      <w:r>
        <w:rPr>
          <w:rFonts w:ascii="Times New Roman" w:hAnsi="Times New Roman"/>
          <w:noProof/>
          <w:sz w:val="24"/>
        </w:rPr>
        <w:t>űzésekhez.</w:t>
      </w:r>
    </w:p>
    <w:p w14:paraId="5BD68492" w14:textId="77777777" w:rsidR="003E1D81" w:rsidRDefault="00EB481C">
      <w:pPr>
        <w:pStyle w:val="P68B1DB1-Normal4"/>
        <w:spacing w:before="120" w:after="120" w:line="240" w:lineRule="auto"/>
        <w:jc w:val="both"/>
        <w:rPr>
          <w:rFonts w:cs="Times New Roman"/>
          <w:noProof/>
        </w:rPr>
      </w:pPr>
      <w:r>
        <w:rPr>
          <w:noProof/>
        </w:rPr>
        <w:t xml:space="preserve">A beruházás végrehajtását 2026. június 30-ig be kell fejezni. </w:t>
      </w:r>
    </w:p>
    <w:p w14:paraId="4FA8C342" w14:textId="77777777" w:rsidR="003E1D81" w:rsidRDefault="00EB481C">
      <w:pPr>
        <w:pStyle w:val="P68B1DB1-Normal6"/>
        <w:keepNext/>
        <w:spacing w:before="120" w:after="120" w:line="240" w:lineRule="auto"/>
        <w:jc w:val="both"/>
        <w:rPr>
          <w:rFonts w:cs="Times New Roman"/>
          <w:noProof/>
        </w:rPr>
      </w:pPr>
      <w:r>
        <w:rPr>
          <w:noProof/>
        </w:rPr>
        <w:t>Beruházás (C12.I3) – A hulladékokról szóló jogszabályok végrehajtását és a körforgásos gazdaság előmozdítását támogató terv</w:t>
      </w:r>
    </w:p>
    <w:p w14:paraId="18579C3C" w14:textId="77777777" w:rsidR="003E1D81" w:rsidRDefault="00EB481C">
      <w:pPr>
        <w:pStyle w:val="P68B1DB1-Normal4"/>
        <w:keepNext/>
        <w:spacing w:before="120" w:after="120" w:line="240" w:lineRule="auto"/>
        <w:jc w:val="both"/>
        <w:rPr>
          <w:rFonts w:cs="Times New Roman"/>
          <w:noProof/>
        </w:rPr>
      </w:pPr>
      <w:r>
        <w:rPr>
          <w:noProof/>
        </w:rPr>
        <w:t>Ezen intézkedés célja, hogy elősegítse a körforgásos gazda</w:t>
      </w:r>
      <w:r>
        <w:rPr>
          <w:noProof/>
        </w:rPr>
        <w:t>ság előmozdítását Spanyolországban a nemzeti hulladékszabályozási keret végrehajtására és a hulladékra vonatkozó uniós célkitűzések elérésére irányuló projektek, valamint a körforgásos gazdaságra való átállás megkönnyítését célzó, a magánszektorban a körfo</w:t>
      </w:r>
      <w:r>
        <w:rPr>
          <w:noProof/>
        </w:rPr>
        <w:t xml:space="preserve">rgásos gazdasággal kapcsolatos innovatív projektek finanszírozása révén.  </w:t>
      </w:r>
    </w:p>
    <w:p w14:paraId="74117ACB" w14:textId="77777777" w:rsidR="003E1D81" w:rsidRDefault="00EB481C">
      <w:pPr>
        <w:pStyle w:val="P68B1DB1-Normal4"/>
        <w:spacing w:before="120" w:after="120" w:line="240" w:lineRule="auto"/>
        <w:jc w:val="both"/>
        <w:rPr>
          <w:rFonts w:cs="Times New Roman"/>
          <w:noProof/>
        </w:rPr>
      </w:pPr>
      <w:r>
        <w:rPr>
          <w:noProof/>
        </w:rPr>
        <w:t>Az intézkedésnek támogatnia kell a meglévő elkülönített hulladékgyűjtő rendszerek korszerűsítését, valamint a gyűjtőhelyekre irányuló beruházásokat az újrafeldolgozás fokozása érdek</w:t>
      </w:r>
      <w:r>
        <w:rPr>
          <w:noProof/>
        </w:rPr>
        <w:t xml:space="preserve">ében, új hulladékkezelő üzemek építését és a meglévő mechanikai-biológiai szennyvíztisztító telepek erőforrás-hatékonyságának növelését anélkül, hogy azok élettartama vagy kapacitása növekedne (üzemi szinten ellenőrizendő). Az intézkedés célkitűzésének ki </w:t>
      </w:r>
      <w:r>
        <w:rPr>
          <w:noProof/>
        </w:rPr>
        <w:t>kell terjednie a területen alkalmazott digitális megoldásokra és a körforgásos gazdaság vállalati szintű előmozdítására is. A javasolt cél az, hogy a tervezett projektekből legalább 30 projekt befejeződjön. Az intézkedésnek a 2008/98/EK irányelvvel összhan</w:t>
      </w:r>
      <w:r>
        <w:rPr>
          <w:noProof/>
        </w:rPr>
        <w:t xml:space="preserve">gban 2024-ben el kell érnie az elkülönítetten gyűjtött települési hulladék legalább 30%-át az összes települési hulladék arányában (2024 adat 2026-ban). </w:t>
      </w:r>
    </w:p>
    <w:p w14:paraId="5DA0A525" w14:textId="2980A241" w:rsidR="003E1D81" w:rsidRDefault="00EB481C">
      <w:pPr>
        <w:pStyle w:val="P68B1DB1-Normal4"/>
        <w:spacing w:before="120" w:after="120" w:line="240" w:lineRule="auto"/>
        <w:jc w:val="both"/>
        <w:rPr>
          <w:rFonts w:cs="Times New Roman"/>
          <w:noProof/>
        </w:rPr>
      </w:pPr>
      <w:r>
        <w:rPr>
          <w:noProof/>
        </w:rPr>
        <w:t xml:space="preserve">Az intézkedés magában foglalja továbbá a hulladékokra vonatkozó jogszabályokat végrehajtó projektekre </w:t>
      </w:r>
      <w:r>
        <w:rPr>
          <w:noProof/>
        </w:rPr>
        <w:t>szánt források elosztását az autonóm közösségek között, amelyeket 2024 végéig ágazati konferencián kell elfogadni és jóváhagyni, vagy a támogatásokról szóló 38/2003. sz. általános törvénnyel összhangban közvetlen támogatás formájában.</w:t>
      </w:r>
    </w:p>
    <w:p w14:paraId="76EC6FC1" w14:textId="77777777" w:rsidR="003E1D81" w:rsidRDefault="00EB481C">
      <w:pPr>
        <w:pStyle w:val="Text1"/>
        <w:ind w:left="0"/>
        <w:rPr>
          <w:rFonts w:ascii="Times New Roman" w:hAnsi="Times New Roman" w:cs="Times New Roman"/>
          <w:noProof/>
          <w:highlight w:val="green"/>
        </w:rPr>
      </w:pPr>
      <w:r>
        <w:rPr>
          <w:rFonts w:ascii="Times New Roman" w:hAnsi="Times New Roman"/>
          <w:noProof/>
        </w:rPr>
        <w:t>Annak biztosítása érd</w:t>
      </w:r>
      <w:r>
        <w:rPr>
          <w:rFonts w:ascii="Times New Roman" w:hAnsi="Times New Roman"/>
          <w:noProof/>
        </w:rPr>
        <w:t>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w:t>
      </w:r>
      <w:r>
        <w:rPr>
          <w:rFonts w:ascii="Times New Roman" w:hAnsi="Times New Roman"/>
          <w:noProof/>
        </w:rPr>
        <w:t>zák a tevékenységek alábbi listáját: a fosszilis tüzelőanyagokhoz kapcsolódó tevékenységek, beleértve a továbbfelhasználást is</w:t>
      </w:r>
      <w:r>
        <w:rPr>
          <w:rStyle w:val="FootnoteReference"/>
          <w:rFonts w:ascii="Times New Roman" w:hAnsi="Times New Roman" w:cs="Times New Roman"/>
          <w:noProof/>
        </w:rPr>
        <w:footnoteReference w:id="42"/>
      </w:r>
      <w:r>
        <w:rPr>
          <w:rFonts w:ascii="Times New Roman" w:hAnsi="Times New Roman"/>
          <w:noProof/>
        </w:rPr>
        <w:t>; az uniós kibocsátáskereskedelmi rendszer (ETS) keretében végzett tevékenységek, amelyek a vonatkozó referenciaértékeknél nem al</w:t>
      </w:r>
      <w:r>
        <w:rPr>
          <w:rFonts w:ascii="Times New Roman" w:hAnsi="Times New Roman"/>
          <w:noProof/>
        </w:rPr>
        <w:t>acsonyabb várható üvegházhatásúgáz-kibocsátást érnek el</w:t>
      </w:r>
      <w:r>
        <w:rPr>
          <w:rStyle w:val="FootnoteReference"/>
          <w:rFonts w:ascii="Times New Roman" w:hAnsi="Times New Roman" w:cs="Times New Roman"/>
          <w:noProof/>
        </w:rPr>
        <w:footnoteReference w:id="43"/>
      </w:r>
      <w:r>
        <w:rPr>
          <w:rFonts w:ascii="Times New Roman" w:hAnsi="Times New Roman"/>
          <w:noProof/>
        </w:rPr>
        <w:t>; hulladéklerakókkal, hulladékégetőkkel</w:t>
      </w:r>
      <w:r>
        <w:rPr>
          <w:rStyle w:val="FootnoteReference"/>
          <w:rFonts w:ascii="Times New Roman" w:hAnsi="Times New Roman" w:cs="Times New Roman"/>
          <w:noProof/>
        </w:rPr>
        <w:footnoteReference w:id="44"/>
      </w:r>
      <w:r>
        <w:rPr>
          <w:rFonts w:ascii="Times New Roman" w:hAnsi="Times New Roman"/>
          <w:noProof/>
        </w:rPr>
        <w:t xml:space="preserve"> és mechanikai-biológiai szennyvíztisztító telepekkel kapcsolatos tevékenységek</w:t>
      </w:r>
      <w:r>
        <w:rPr>
          <w:rStyle w:val="FootnoteReference"/>
          <w:rFonts w:ascii="Times New Roman" w:hAnsi="Times New Roman" w:cs="Times New Roman"/>
          <w:noProof/>
        </w:rPr>
        <w:footnoteReference w:id="45"/>
      </w:r>
      <w:r>
        <w:rPr>
          <w:rFonts w:ascii="Times New Roman" w:hAnsi="Times New Roman"/>
          <w:noProof/>
        </w:rPr>
        <w:t>; és iv. olyan tevékenységek, amelyek esetében a hulladék hosszú távú ártalmatla</w:t>
      </w:r>
      <w:r>
        <w:rPr>
          <w:rFonts w:ascii="Times New Roman" w:hAnsi="Times New Roman"/>
          <w:noProof/>
        </w:rPr>
        <w:t>nítása károsíthatja a környezetet. A feladatmeghatározás emellett előírja, hogy csak a vonatkozó uniós és nemzeti környezetvédelmi jogszabályoknak megfelelő tevékenységek választhatók ki.</w:t>
      </w:r>
    </w:p>
    <w:p w14:paraId="67882DDB" w14:textId="2988A829" w:rsidR="003E1D81" w:rsidRDefault="00EB481C">
      <w:pPr>
        <w:pStyle w:val="P68B1DB1-Normal4"/>
        <w:spacing w:before="120" w:after="120" w:line="240" w:lineRule="auto"/>
        <w:jc w:val="both"/>
        <w:rPr>
          <w:rFonts w:cs="Times New Roman"/>
          <w:noProof/>
        </w:rPr>
      </w:pPr>
      <w:r>
        <w:rPr>
          <w:noProof/>
        </w:rPr>
        <w:t xml:space="preserve">A beruházás végrehajtását 2026. június 30-ig be kell fejezni. </w:t>
      </w:r>
    </w:p>
    <w:p w14:paraId="6E541661" w14:textId="34B2B521" w:rsidR="003E1D81" w:rsidRDefault="00EB481C">
      <w:pPr>
        <w:pStyle w:val="P68B1DB1-Normal6"/>
        <w:spacing w:before="120" w:after="120" w:line="240" w:lineRule="auto"/>
        <w:jc w:val="both"/>
        <w:rPr>
          <w:rFonts w:cs="Times New Roman"/>
          <w:noProof/>
        </w:rPr>
      </w:pPr>
      <w:r>
        <w:rPr>
          <w:noProof/>
        </w:rPr>
        <w:t>Beruh</w:t>
      </w:r>
      <w:r>
        <w:rPr>
          <w:noProof/>
        </w:rPr>
        <w:t>ázás (C12.I4) – A félvezető-értéklánc iparának megerősítése</w:t>
      </w:r>
    </w:p>
    <w:p w14:paraId="2AEB6FB1" w14:textId="7BF88EAA" w:rsidR="003E1D81" w:rsidRDefault="00EB481C">
      <w:pPr>
        <w:pStyle w:val="P68B1DB1-Normal4"/>
        <w:spacing w:before="120" w:after="120" w:line="240" w:lineRule="auto"/>
        <w:jc w:val="both"/>
        <w:rPr>
          <w:rFonts w:eastAsia="Times New Roman" w:cs="Times New Roman"/>
          <w:noProof/>
        </w:rPr>
      </w:pPr>
      <w:r>
        <w:rPr>
          <w:noProof/>
        </w:rPr>
        <w:t>A beruházás célja, hogy vissza nem térítendő támogatások révén támogatást nyújtson a félvezető-értéklánccal kapcsolatos projektekhez a nemzeti mikroelektronikai ökoszisztéma megerősítése és a span</w:t>
      </w:r>
      <w:r>
        <w:rPr>
          <w:noProof/>
        </w:rPr>
        <w:t xml:space="preserve">yol vállalatok mikroelektronikai és kommunikációs technológiákra (IPCEI ME-TC) való részvétele hatásának kiterjesztése érdekében. Ez a támogatás fokozza a spanyolországi félvezetőipar tervezési és gyártási kapacitását. </w:t>
      </w:r>
    </w:p>
    <w:p w14:paraId="252894DF" w14:textId="22BBE09C" w:rsidR="003E1D81" w:rsidRDefault="00EB481C">
      <w:pPr>
        <w:pStyle w:val="P68B1DB1-Normal4"/>
        <w:spacing w:before="120" w:after="120" w:line="240" w:lineRule="auto"/>
        <w:jc w:val="both"/>
        <w:rPr>
          <w:rFonts w:eastAsia="Times New Roman" w:cs="Times New Roman"/>
          <w:noProof/>
        </w:rPr>
      </w:pPr>
      <w:r>
        <w:rPr>
          <w:noProof/>
        </w:rPr>
        <w:t>Ezen intézkedés végrehajtása kétféle</w:t>
      </w:r>
      <w:r>
        <w:rPr>
          <w:noProof/>
        </w:rPr>
        <w:t xml:space="preserve"> eszköz segítségével történik:</w:t>
      </w:r>
    </w:p>
    <w:p w14:paraId="20E3F200" w14:textId="098613EF" w:rsidR="003E1D81" w:rsidRDefault="00EB481C">
      <w:pPr>
        <w:pStyle w:val="P68B1DB1-ListParagraph7"/>
        <w:numPr>
          <w:ilvl w:val="0"/>
          <w:numId w:val="306"/>
        </w:numPr>
        <w:spacing w:after="0" w:line="240" w:lineRule="auto"/>
        <w:jc w:val="both"/>
        <w:rPr>
          <w:rFonts w:eastAsia="Times New Roman" w:cs="Times New Roman"/>
          <w:noProof/>
        </w:rPr>
      </w:pPr>
      <w:r>
        <w:rPr>
          <w:noProof/>
        </w:rPr>
        <w:t>Az első a spanyol vállalkozásoknak az Európai Bizottság által jóváhagyott IPCEI-MCE-ben való részvételének támogatásához szükséges finanszírozás kiegészítése.</w:t>
      </w:r>
    </w:p>
    <w:p w14:paraId="7E2A4962" w14:textId="1A1CEB12" w:rsidR="003E1D81" w:rsidRDefault="00EB481C">
      <w:pPr>
        <w:pStyle w:val="P68B1DB1-ListParagraph7"/>
        <w:numPr>
          <w:ilvl w:val="0"/>
          <w:numId w:val="306"/>
        </w:numPr>
        <w:spacing w:after="0" w:line="240" w:lineRule="auto"/>
        <w:jc w:val="both"/>
        <w:rPr>
          <w:rFonts w:eastAsia="Times New Roman" w:cs="Times New Roman"/>
          <w:noProof/>
        </w:rPr>
      </w:pPr>
      <w:r>
        <w:rPr>
          <w:noProof/>
        </w:rPr>
        <w:t xml:space="preserve">A másodiknak, a nemzeti felhívásnak a félvezetőipar értékláncában </w:t>
      </w:r>
      <w:r>
        <w:rPr>
          <w:noProof/>
        </w:rPr>
        <w:t>működő vállalkozások által kidolgozott egyéb projektek finanszírozására kell összpontosítania.</w:t>
      </w:r>
    </w:p>
    <w:p w14:paraId="374E2A04" w14:textId="77777777" w:rsidR="003E1D81" w:rsidRDefault="00EB481C">
      <w:pPr>
        <w:pStyle w:val="P68B1DB1-Normal4"/>
        <w:spacing w:before="120" w:after="120" w:line="240" w:lineRule="auto"/>
        <w:jc w:val="both"/>
        <w:rPr>
          <w:rFonts w:cs="Times New Roman"/>
          <w:noProof/>
        </w:rPr>
      </w:pPr>
      <w:r>
        <w:rPr>
          <w:noProof/>
        </w:rPr>
        <w:t>A beruházást 2026. augusztus 31-ig be kell fejezni.</w:t>
      </w:r>
    </w:p>
    <w:p w14:paraId="6351683B" w14:textId="43F82796" w:rsidR="003E1D81" w:rsidRDefault="00EB481C">
      <w:pPr>
        <w:pStyle w:val="P68B1DB1-Normal6"/>
        <w:spacing w:before="120" w:after="120" w:line="240" w:lineRule="auto"/>
        <w:jc w:val="both"/>
        <w:rPr>
          <w:rFonts w:cs="Times New Roman"/>
          <w:noProof/>
        </w:rPr>
      </w:pPr>
      <w:r>
        <w:rPr>
          <w:noProof/>
        </w:rPr>
        <w:t>Beruházás (C12.I5) – A körforgásos gazdaságot támogató támogatási program</w:t>
      </w:r>
    </w:p>
    <w:p w14:paraId="45188051" w14:textId="77B77B2F" w:rsidR="003E1D81" w:rsidRDefault="00EB481C">
      <w:pPr>
        <w:spacing w:before="120" w:after="120" w:line="240" w:lineRule="auto"/>
        <w:jc w:val="both"/>
        <w:textAlignment w:val="baseline"/>
        <w:rPr>
          <w:rFonts w:ascii="Times New Roman" w:hAnsi="Times New Roman" w:cs="Times New Roman"/>
          <w:noProof/>
        </w:rPr>
      </w:pPr>
      <w:bookmarkStart w:id="24" w:name="_Hlk145498671"/>
      <w:r>
        <w:rPr>
          <w:rStyle w:val="normaltextrun"/>
          <w:rFonts w:ascii="Times New Roman" w:hAnsi="Times New Roman"/>
          <w:noProof/>
          <w:sz w:val="24"/>
        </w:rPr>
        <w:t>Ez az intézkedés egy támogatási ren</w:t>
      </w:r>
      <w:r>
        <w:rPr>
          <w:rStyle w:val="normaltextrun"/>
          <w:rFonts w:ascii="Times New Roman" w:hAnsi="Times New Roman"/>
          <w:noProof/>
          <w:sz w:val="24"/>
        </w:rPr>
        <w:t>dszerbe történő állami beruházásból áll, amelynek célja a magánberuházások ösztönzése és a körforgásos gazdaság vállalati szintű előmozdításának támogatása a spanyol gazdaság számára három kulcsfontosságú ágazatban: textil- és divat-, műanyag- és megújulóe</w:t>
      </w:r>
      <w:r>
        <w:rPr>
          <w:rStyle w:val="normaltextrun"/>
          <w:rFonts w:ascii="Times New Roman" w:hAnsi="Times New Roman"/>
          <w:noProof/>
          <w:sz w:val="24"/>
        </w:rPr>
        <w:t>nergia-berendezések. A program a magánszektornak nyújtott vissza nem térítendő támogatások vagy tőkebefektetések – többek között kockázatitőke- és részvényalapok – révén nyújtott pénzügyi ösztönzők révén működik. A Helyreállítási és Rezilienciaépítési Eszk</w:t>
      </w:r>
      <w:r>
        <w:rPr>
          <w:rStyle w:val="normaltextrun"/>
          <w:rFonts w:ascii="Times New Roman" w:hAnsi="Times New Roman"/>
          <w:noProof/>
          <w:sz w:val="24"/>
        </w:rPr>
        <w:t xml:space="preserve">öz beruházásai alapján a program célja kezdetben legalább 300 millió EUR összegű finanszírozás biztosítása. </w:t>
      </w:r>
    </w:p>
    <w:p w14:paraId="1118D082" w14:textId="5851DD68" w:rsidR="003E1D81" w:rsidRDefault="00EB481C">
      <w:pPr>
        <w:pStyle w:val="paragraph"/>
        <w:spacing w:before="0" w:beforeAutospacing="0" w:after="0" w:afterAutospacing="0"/>
        <w:jc w:val="both"/>
        <w:textAlignment w:val="baseline"/>
        <w:rPr>
          <w:rFonts w:ascii="Times New Roman" w:hAnsi="Times New Roman" w:cs="Times New Roman"/>
          <w:noProof/>
        </w:rPr>
      </w:pPr>
      <w:r>
        <w:rPr>
          <w:rStyle w:val="normaltextrun"/>
          <w:rFonts w:ascii="Times New Roman" w:hAnsi="Times New Roman"/>
          <w:noProof/>
        </w:rPr>
        <w:t xml:space="preserve">A programot végrehajtó partnerekként az Instituto de Diversificación y Ahorro de la Energía (IDAE) és a Fundacion Biodiversidad irányítja. A </w:t>
      </w:r>
      <w:r>
        <w:rPr>
          <w:rStyle w:val="normaltextrun"/>
          <w:rFonts w:ascii="Times New Roman" w:hAnsi="Times New Roman"/>
          <w:noProof/>
        </w:rPr>
        <w:t>programba történő befektetés végrehajtása érdekében a kormány egy vagy több jogi eszközt fogad el</w:t>
      </w:r>
      <w:r>
        <w:rPr>
          <w:noProof/>
        </w:rPr>
        <w:t></w:t>
      </w:r>
      <w:r>
        <w:rPr>
          <w:rStyle w:val="normaltextrun"/>
          <w:rFonts w:ascii="Times New Roman" w:hAnsi="Times New Roman"/>
          <w:noProof/>
        </w:rPr>
        <w:t>(tőkebefektetések esetében ez az eszköz az IDAE által jóváhagyandó befektetési politika lenne), létrehozva a rendszert, amely a következő elemeket tartalmazza</w:t>
      </w:r>
      <w:r>
        <w:rPr>
          <w:rStyle w:val="normaltextrun"/>
          <w:rFonts w:ascii="Times New Roman" w:hAnsi="Times New Roman"/>
          <w:noProof/>
        </w:rPr>
        <w:t>:</w:t>
      </w:r>
    </w:p>
    <w:p w14:paraId="5707E25A" w14:textId="77777777" w:rsidR="003E1D81" w:rsidRDefault="003E1D81">
      <w:pPr>
        <w:pStyle w:val="paragraph"/>
        <w:spacing w:before="0" w:beforeAutospacing="0" w:after="0" w:afterAutospacing="0"/>
        <w:jc w:val="both"/>
        <w:textAlignment w:val="baseline"/>
        <w:rPr>
          <w:rStyle w:val="normaltextrun"/>
          <w:rFonts w:ascii="Times New Roman" w:eastAsiaTheme="majorEastAsia" w:hAnsi="Times New Roman" w:cs="Times New Roman"/>
          <w:noProof/>
        </w:rPr>
      </w:pPr>
    </w:p>
    <w:p w14:paraId="1739F3C2" w14:textId="6ED69400" w:rsidR="003E1D81" w:rsidRDefault="00EB481C">
      <w:pPr>
        <w:pStyle w:val="P68B1DB1-paragraph25"/>
        <w:numPr>
          <w:ilvl w:val="0"/>
          <w:numId w:val="726"/>
        </w:numPr>
        <w:spacing w:before="0" w:beforeAutospacing="0" w:after="0" w:afterAutospacing="0"/>
        <w:jc w:val="both"/>
        <w:textAlignment w:val="baseline"/>
        <w:rPr>
          <w:rFonts w:cs="Times New Roman"/>
          <w:noProof/>
        </w:rPr>
      </w:pPr>
      <w:r>
        <w:rPr>
          <w:noProof/>
        </w:rPr>
        <w:t>A program döntéshozatali folyamatának leírása. A pályázatok értékelését és a támogatás odaítéléséről szóló végső határozatokban vagy a beruházási határozatokban szerepeltetendő kedvezményezettek kiválasztását egy értékelő testület végzi, amelyet a spany</w:t>
      </w:r>
      <w:r>
        <w:rPr>
          <w:noProof/>
        </w:rPr>
        <w:t>ol kormánytól független tagok szavazatainak többségével kell jóváhagyni, azaz a végrehajtó partnerek által alkalmazott személyzetnek és/vagy más független szakértőknek kell lenniük. A rendszer végleges beruházási döntése a beruházási bizottság vagy azzal e</w:t>
      </w:r>
      <w:r>
        <w:rPr>
          <w:noProof/>
        </w:rPr>
        <w:t>gyenértékű irányító testület által javasolt befektetési döntéssel kapcsolatos vétójog (módosítás nélküli) jóváhagyására vagy gyakorlására korlátozódik. Abban az esetben, ha az IDAE bármelyik pályázója részt vesz, és e felhívás költségvetése nem elegendő az</w:t>
      </w:r>
      <w:r>
        <w:rPr>
          <w:noProof/>
        </w:rPr>
        <w:t xml:space="preserve"> összes beérkezett pályázat fedezésére, az értékelési folyamatot az IDAE „Plan de Mitigación de potenciales Confictos de Interés en Sociedades Participadas” című kiadványában előirányzottak szerint külső ellenőrzésnek kell alávetni.</w:t>
      </w:r>
    </w:p>
    <w:p w14:paraId="71B3B126" w14:textId="4AE06E6F" w:rsidR="003E1D81" w:rsidRDefault="00EB481C">
      <w:pPr>
        <w:pStyle w:val="P68B1DB1-paragraph25"/>
        <w:numPr>
          <w:ilvl w:val="0"/>
          <w:numId w:val="726"/>
        </w:numPr>
        <w:spacing w:before="0" w:beforeAutospacing="0" w:after="0" w:afterAutospacing="0"/>
        <w:jc w:val="both"/>
        <w:textAlignment w:val="baseline"/>
        <w:rPr>
          <w:rFonts w:cs="Times New Roman"/>
          <w:noProof/>
        </w:rPr>
      </w:pPr>
      <w:r>
        <w:rPr>
          <w:noProof/>
        </w:rPr>
        <w:t>A támogatható tevékenys</w:t>
      </w:r>
      <w:r>
        <w:rPr>
          <w:noProof/>
        </w:rPr>
        <w:t xml:space="preserve">égek listája, amelyek a következők: </w:t>
      </w:r>
    </w:p>
    <w:p w14:paraId="66B23614" w14:textId="2F82F780" w:rsidR="003E1D81" w:rsidRDefault="00EB481C">
      <w:pPr>
        <w:pStyle w:val="paragraph"/>
        <w:numPr>
          <w:ilvl w:val="1"/>
          <w:numId w:val="726"/>
        </w:numPr>
        <w:spacing w:before="0" w:beforeAutospacing="0" w:after="0" w:afterAutospacing="0"/>
        <w:jc w:val="both"/>
        <w:textAlignment w:val="baseline"/>
        <w:rPr>
          <w:rStyle w:val="normaltextrun"/>
          <w:rFonts w:ascii="Times New Roman" w:eastAsiaTheme="minorHAnsi" w:hAnsi="Times New Roman" w:cs="Times New Roman"/>
          <w:noProof/>
          <w:sz w:val="22"/>
        </w:rPr>
      </w:pPr>
      <w:r>
        <w:rPr>
          <w:rStyle w:val="normaltextrun"/>
          <w:rFonts w:ascii="Times New Roman" w:hAnsi="Times New Roman"/>
          <w:noProof/>
        </w:rPr>
        <w:t>Textíliák, divat és műanyagok (legalább 200 000 000 EUR, amelyet a Fundación Biodiversidad kezel): infrastrukturális, technológiai és K+F+I-beruházások az anyagok csökkentésének, újrafelhasználásának, újrafeldolgozásána</w:t>
      </w:r>
      <w:r>
        <w:rPr>
          <w:rStyle w:val="normaltextrun"/>
          <w:rFonts w:ascii="Times New Roman" w:hAnsi="Times New Roman"/>
          <w:noProof/>
        </w:rPr>
        <w:t>k és/vagy újraértékelésének elősegítése érdekében.</w:t>
      </w:r>
    </w:p>
    <w:p w14:paraId="5DD17CA6" w14:textId="77777777" w:rsidR="003E1D81" w:rsidRDefault="00EB481C">
      <w:pPr>
        <w:pStyle w:val="paragraph"/>
        <w:numPr>
          <w:ilvl w:val="1"/>
          <w:numId w:val="726"/>
        </w:numPr>
        <w:spacing w:before="0" w:beforeAutospacing="0" w:after="0" w:afterAutospacing="0"/>
        <w:jc w:val="both"/>
        <w:textAlignment w:val="baseline"/>
        <w:rPr>
          <w:rStyle w:val="normaltextrun"/>
          <w:rFonts w:ascii="Times New Roman" w:hAnsi="Times New Roman" w:cs="Times New Roman"/>
          <w:noProof/>
        </w:rPr>
      </w:pPr>
      <w:r>
        <w:rPr>
          <w:rStyle w:val="normaltextrun"/>
          <w:rFonts w:ascii="Times New Roman" w:hAnsi="Times New Roman"/>
          <w:noProof/>
        </w:rPr>
        <w:t>Megújuló energiát hasznosító berendezések (legalább 100 000 000 EUR-t az IDAE kezel): a környezettudatos tervezésbe, az infrastruktúrába, a technológiákba, a K+F+I-be, valamint az anyagok csökkentését, újr</w:t>
      </w:r>
      <w:r>
        <w:rPr>
          <w:rStyle w:val="normaltextrun"/>
          <w:rFonts w:ascii="Times New Roman" w:hAnsi="Times New Roman"/>
          <w:noProof/>
        </w:rPr>
        <w:t>afelhasználását, újrafeldolgozását és/vagy újraértékelését elősegítő létesítmények és rendszerek fejlesztésébe történő beruházások.</w:t>
      </w:r>
    </w:p>
    <w:p w14:paraId="2B1296E5" w14:textId="702A2607" w:rsidR="003E1D81" w:rsidRDefault="00EB481C">
      <w:pPr>
        <w:pStyle w:val="paragraph"/>
        <w:numPr>
          <w:ilvl w:val="0"/>
          <w:numId w:val="726"/>
        </w:numPr>
        <w:spacing w:before="0" w:beforeAutospacing="0" w:after="0" w:afterAutospacing="0"/>
        <w:jc w:val="both"/>
        <w:textAlignment w:val="baseline"/>
        <w:rPr>
          <w:rFonts w:ascii="Times New Roman" w:eastAsiaTheme="majorEastAsia" w:hAnsi="Times New Roman" w:cs="Times New Roman"/>
          <w:noProof/>
        </w:rPr>
      </w:pPr>
      <w:bookmarkStart w:id="25" w:name="_Hlk145500540"/>
      <w:r>
        <w:rPr>
          <w:rStyle w:val="normaltextrun"/>
          <w:rFonts w:ascii="Times New Roman" w:hAnsi="Times New Roman"/>
          <w:noProof/>
        </w:rPr>
        <w:t>A jelentős károkozás elkerülését célzó elvnek való megfelelés követelménye a Helyreállítási és Rezilienciaépítési Eszköz ker</w:t>
      </w:r>
      <w:r>
        <w:rPr>
          <w:rStyle w:val="normaltextrun"/>
          <w:rFonts w:ascii="Times New Roman" w:hAnsi="Times New Roman"/>
          <w:noProof/>
        </w:rPr>
        <w:t>etében, a DNSH technikai iránymutatásában (2021/C58/01) meghatározottak szerint. A jogi eszköz(ök)ből különösen ki kell zárni a tevékenységek alábbi felsorolását: a fosszilis tüzelőanyagokhoz kapcsolódó tevékenységek, beleértve a továbbfelhasználást is</w:t>
      </w:r>
      <w:r>
        <w:rPr>
          <w:rStyle w:val="FootnoteReference"/>
          <w:rFonts w:ascii="Times New Roman" w:eastAsiaTheme="minorHAnsi" w:hAnsi="Times New Roman" w:cs="Times New Roman"/>
          <w:noProof/>
        </w:rPr>
        <w:footnoteReference w:id="46"/>
      </w:r>
      <w:r>
        <w:rPr>
          <w:rFonts w:ascii="Times New Roman" w:hAnsi="Times New Roman"/>
          <w:noProof/>
        </w:rPr>
        <w:t>; a</w:t>
      </w:r>
      <w:r>
        <w:rPr>
          <w:rFonts w:ascii="Times New Roman" w:hAnsi="Times New Roman"/>
          <w:noProof/>
        </w:rPr>
        <w:t>z uniós kibocsátáskereskedelmi rendszer (ETS) keretében végzett tevékenységek, amelyek a vonatkozó referenciaértékeknél nem alacsonyabb várható üvegházhatásúgáz-kibocsátást érnek el</w:t>
      </w:r>
      <w:r>
        <w:rPr>
          <w:rStyle w:val="FootnoteReference"/>
          <w:rFonts w:ascii="Times New Roman" w:eastAsiaTheme="minorHAnsi" w:hAnsi="Times New Roman" w:cs="Times New Roman"/>
          <w:noProof/>
        </w:rPr>
        <w:footnoteReference w:id="47"/>
      </w:r>
      <w:r>
        <w:rPr>
          <w:rFonts w:ascii="Times New Roman" w:hAnsi="Times New Roman"/>
          <w:noProof/>
        </w:rPr>
        <w:t>; és iii. hulladéklerakókkal, hulladékégetőkkel</w:t>
      </w:r>
      <w:r>
        <w:rPr>
          <w:rStyle w:val="FootnoteReference"/>
          <w:rFonts w:ascii="Times New Roman" w:eastAsiaTheme="minorHAnsi" w:hAnsi="Times New Roman" w:cs="Times New Roman"/>
          <w:noProof/>
        </w:rPr>
        <w:footnoteReference w:id="48"/>
      </w:r>
      <w:r>
        <w:rPr>
          <w:rFonts w:ascii="Times New Roman" w:hAnsi="Times New Roman"/>
          <w:noProof/>
        </w:rPr>
        <w:t xml:space="preserve"> és mechanikai-biológiai s</w:t>
      </w:r>
      <w:r>
        <w:rPr>
          <w:rFonts w:ascii="Times New Roman" w:hAnsi="Times New Roman"/>
          <w:noProof/>
        </w:rPr>
        <w:t>zennyvíztisztító telepekkel kapcsolatos tevékenységek</w:t>
      </w:r>
      <w:r>
        <w:rPr>
          <w:rStyle w:val="FootnoteReference"/>
          <w:rFonts w:ascii="Times New Roman" w:eastAsiaTheme="minorHAnsi" w:hAnsi="Times New Roman" w:cs="Times New Roman"/>
          <w:noProof/>
        </w:rPr>
        <w:footnoteReference w:id="49"/>
      </w:r>
      <w:r>
        <w:rPr>
          <w:rFonts w:ascii="Times New Roman" w:hAnsi="Times New Roman"/>
          <w:noProof/>
        </w:rPr>
        <w:t>. A vállalatoknak nyújtott általános támogatás (beleértve a saját tőkét és a kockázati tőkét is) esetében a jogi eszköz(ök)ből ki kell zárni azokat a vállalatokat, amelyek jelentős hangsúlyt</w:t>
      </w:r>
      <w:r>
        <w:rPr>
          <w:rFonts w:ascii="Times New Roman" w:hAnsi="Times New Roman"/>
          <w:noProof/>
        </w:rPr>
        <w:footnoteReference w:id="50"/>
      </w:r>
      <w:r>
        <w:rPr>
          <w:rFonts w:ascii="Times New Roman" w:hAnsi="Times New Roman"/>
          <w:noProof/>
        </w:rPr>
        <w:t xml:space="preserve"> fektetnek </w:t>
      </w:r>
      <w:r>
        <w:rPr>
          <w:rFonts w:ascii="Times New Roman" w:hAnsi="Times New Roman"/>
          <w:noProof/>
        </w:rPr>
        <w:t>a következő ágazatokra: fosszilis tüzelőanyagokon alapuló energiatermelés és kapcsolódó tevékenységek</w:t>
      </w:r>
      <w:r>
        <w:rPr>
          <w:rFonts w:ascii="Times New Roman" w:hAnsi="Times New Roman"/>
          <w:noProof/>
        </w:rPr>
        <w:footnoteReference w:id="51"/>
      </w:r>
      <w:r>
        <w:rPr>
          <w:rFonts w:ascii="Times New Roman" w:hAnsi="Times New Roman"/>
          <w:noProof/>
        </w:rPr>
        <w:t>; energiaigényes és/vagy magas szén-dioxid-kibocsátású iparágak</w:t>
      </w:r>
      <w:r>
        <w:rPr>
          <w:rFonts w:ascii="Times New Roman" w:hAnsi="Times New Roman"/>
          <w:noProof/>
        </w:rPr>
        <w:footnoteReference w:id="52"/>
      </w:r>
      <w:r>
        <w:rPr>
          <w:rFonts w:ascii="Times New Roman" w:hAnsi="Times New Roman"/>
          <w:noProof/>
        </w:rPr>
        <w:t>; szennyező járművek gyártása, bérlése vagy értékesítése</w:t>
      </w:r>
      <w:r>
        <w:rPr>
          <w:rFonts w:ascii="Times New Roman" w:hAnsi="Times New Roman"/>
          <w:noProof/>
        </w:rPr>
        <w:footnoteReference w:id="53"/>
      </w:r>
      <w:r>
        <w:rPr>
          <w:rFonts w:ascii="Times New Roman" w:hAnsi="Times New Roman"/>
          <w:noProof/>
        </w:rPr>
        <w:t>; hulladékgyűjtés, hulladékkezelé</w:t>
      </w:r>
      <w:r>
        <w:rPr>
          <w:rFonts w:ascii="Times New Roman" w:hAnsi="Times New Roman"/>
          <w:noProof/>
        </w:rPr>
        <w:t>s és -ártalmatlanítás</w:t>
      </w:r>
      <w:r>
        <w:rPr>
          <w:rFonts w:ascii="Times New Roman" w:hAnsi="Times New Roman"/>
          <w:noProof/>
        </w:rPr>
        <w:footnoteReference w:id="54"/>
      </w:r>
      <w:r>
        <w:rPr>
          <w:rFonts w:ascii="Times New Roman" w:hAnsi="Times New Roman"/>
          <w:noProof/>
        </w:rPr>
        <w:t>, v. nukleáris fűtőanyag feldolgozása, atomenergia előállítása. Ezen túlmenően a jogi eszköz(ök)nek meg kell követelniük a támogatási rendszerek végső kedvezményezettjeinek a vonatkozó uniós és nemzeti környezetvédelmi jogszabályoknak</w:t>
      </w:r>
      <w:r>
        <w:rPr>
          <w:rFonts w:ascii="Times New Roman" w:hAnsi="Times New Roman"/>
          <w:noProof/>
        </w:rPr>
        <w:t xml:space="preserve"> való megfelelést.</w:t>
      </w:r>
    </w:p>
    <w:p w14:paraId="60464F34" w14:textId="66B7E8FD" w:rsidR="003E1D81" w:rsidRDefault="00EB481C">
      <w:pPr>
        <w:pStyle w:val="P68B1DB1-paragraph25"/>
        <w:numPr>
          <w:ilvl w:val="0"/>
          <w:numId w:val="726"/>
        </w:numPr>
        <w:spacing w:before="0" w:beforeAutospacing="0" w:after="0" w:afterAutospacing="0"/>
        <w:jc w:val="both"/>
        <w:textAlignment w:val="baseline"/>
        <w:rPr>
          <w:rStyle w:val="normaltextrun"/>
          <w:rFonts w:eastAsiaTheme="majorEastAsia" w:cs="Times New Roman"/>
          <w:noProof/>
          <w:sz w:val="22"/>
        </w:rPr>
      </w:pPr>
      <w:bookmarkStart w:id="26" w:name="_Hlk145500550"/>
      <w:bookmarkEnd w:id="25"/>
      <w:r>
        <w:rPr>
          <w:noProof/>
        </w:rPr>
        <w:t>Az a követelmény, hogy a támogatási rendszerek végső kedvezményezettjei nem részesülhetnek támogatásban más uniós eszközökből ugyanazon költségek fedezésére</w:t>
      </w:r>
      <w:bookmarkEnd w:id="26"/>
      <w:r>
        <w:rPr>
          <w:noProof/>
        </w:rPr>
        <w:t>.</w:t>
      </w:r>
    </w:p>
    <w:p w14:paraId="7CC63F0B" w14:textId="389D6619" w:rsidR="003E1D81" w:rsidRDefault="00EB481C">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A program hatálya alá tartozó összeg, valamint az a követelmény, hogy a támogat</w:t>
      </w:r>
      <w:r>
        <w:rPr>
          <w:rStyle w:val="normaltextrun"/>
          <w:rFonts w:ascii="Times New Roman" w:hAnsi="Times New Roman"/>
          <w:noProof/>
          <w:sz w:val="24"/>
        </w:rPr>
        <w:t>ási programból származó fel nem használt bevételeket újra be kell fektetni a fent felsorolt tevékenységekbe, beleértve a 2026 utáni tevékenységeket is.</w:t>
      </w:r>
    </w:p>
    <w:p w14:paraId="6CFD6B63" w14:textId="7190A871" w:rsidR="003E1D81" w:rsidRDefault="00EB481C">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A támogatási rendszerek éghajlatváltozással kapcsolatos beruházásaira vonatkozó jelentéstételi követelmé</w:t>
      </w:r>
      <w:r>
        <w:rPr>
          <w:rStyle w:val="normaltextrun"/>
          <w:rFonts w:ascii="Times New Roman" w:hAnsi="Times New Roman"/>
          <w:noProof/>
          <w:sz w:val="24"/>
        </w:rPr>
        <w:t>nyek</w:t>
      </w:r>
      <w:r>
        <w:rPr>
          <w:rStyle w:val="FootnoteReference"/>
          <w:rFonts w:ascii="Times New Roman" w:eastAsiaTheme="majorEastAsia" w:hAnsi="Times New Roman" w:cs="Times New Roman"/>
          <w:noProof/>
          <w:sz w:val="24"/>
        </w:rPr>
        <w:footnoteReference w:id="55"/>
      </w:r>
      <w:r>
        <w:rPr>
          <w:rStyle w:val="normaltextrun"/>
          <w:rFonts w:ascii="Times New Roman" w:hAnsi="Times New Roman"/>
          <w:noProof/>
          <w:sz w:val="24"/>
        </w:rPr>
        <w:t>.</w:t>
      </w:r>
    </w:p>
    <w:p w14:paraId="228CA13B" w14:textId="6D76C95E" w:rsidR="003E1D81" w:rsidRDefault="00EB481C">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A tőkebefektetések – beleértve a kockázati tőkét is – esetében a befektetési politika fő követelményei a következők:  </w:t>
      </w:r>
    </w:p>
    <w:p w14:paraId="0812194C" w14:textId="6D76C95E" w:rsidR="003E1D81" w:rsidRDefault="00EB481C">
      <w:pPr>
        <w:pStyle w:val="ListParagraph"/>
        <w:numPr>
          <w:ilvl w:val="1"/>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A pénzügyi termék(ek) sorainak és a támogatható végső kedvezményezetteknek a leírása </w:t>
      </w:r>
    </w:p>
    <w:p w14:paraId="39612950" w14:textId="5E85E411" w:rsidR="003E1D81" w:rsidRDefault="00EB481C">
      <w:pPr>
        <w:pStyle w:val="ListParagraph"/>
        <w:numPr>
          <w:ilvl w:val="1"/>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Az a követelmény, hogy minden támogatott beruházás gazdaságilag életképes legyen.  </w:t>
      </w:r>
    </w:p>
    <w:p w14:paraId="3735BC1C" w14:textId="0610D4D4" w:rsidR="003E1D81" w:rsidRDefault="00EB481C">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Tőkebefektetések esetében, beleértve a kockázati tőkét is, a következő nyomonkövetési, ellenőrzési és ellenőrzési követelmények, beleértve a következőket: </w:t>
      </w:r>
    </w:p>
    <w:p w14:paraId="5813F73D" w14:textId="21990745" w:rsidR="003E1D81" w:rsidRDefault="00EB481C">
      <w:pPr>
        <w:pStyle w:val="P68B1DB1-Normal4"/>
        <w:numPr>
          <w:ilvl w:val="1"/>
          <w:numId w:val="726"/>
        </w:numPr>
        <w:spacing w:after="0" w:line="240" w:lineRule="auto"/>
        <w:jc w:val="both"/>
        <w:rPr>
          <w:rFonts w:cs="Times New Roman"/>
          <w:noProof/>
        </w:rPr>
      </w:pPr>
      <w:r>
        <w:rPr>
          <w:noProof/>
        </w:rPr>
        <w:t>Az IDAE nyomonkö</w:t>
      </w:r>
      <w:r>
        <w:rPr>
          <w:noProof/>
        </w:rPr>
        <w:t>vetési rendszerének leírása a mozgósított beruházásokról való jelentéstétel céljából.</w:t>
      </w:r>
    </w:p>
    <w:p w14:paraId="530565DC" w14:textId="77278F4C" w:rsidR="003E1D81" w:rsidRDefault="00EB481C">
      <w:pPr>
        <w:pStyle w:val="P68B1DB1-paragraph25"/>
        <w:numPr>
          <w:ilvl w:val="1"/>
          <w:numId w:val="726"/>
        </w:numPr>
        <w:spacing w:before="0" w:beforeAutospacing="0" w:after="0" w:afterAutospacing="0"/>
        <w:jc w:val="both"/>
        <w:textAlignment w:val="baseline"/>
        <w:rPr>
          <w:rFonts w:eastAsiaTheme="majorEastAsia" w:cs="Times New Roman"/>
          <w:noProof/>
        </w:rPr>
      </w:pPr>
      <w:r>
        <w:rPr>
          <w:noProof/>
        </w:rPr>
        <w:t>Az IDAE azon eljárásainak leírása, amelyek biztosítják a csalás, a korrupció és az összeférhetetlenség megelőzését, feltárását és korrekcióját.</w:t>
      </w:r>
    </w:p>
    <w:p w14:paraId="6576DF5B" w14:textId="18EBFB24" w:rsidR="003E1D81" w:rsidRDefault="00EB481C">
      <w:pPr>
        <w:pStyle w:val="ListParagraph"/>
        <w:numPr>
          <w:ilvl w:val="1"/>
          <w:numId w:val="726"/>
        </w:numPr>
        <w:rPr>
          <w:rStyle w:val="normaltextrun"/>
          <w:rFonts w:ascii="Times New Roman" w:eastAsiaTheme="majorEastAsia" w:hAnsi="Times New Roman" w:cs="Times New Roman"/>
          <w:noProof/>
          <w:sz w:val="24"/>
        </w:rPr>
      </w:pPr>
      <w:r>
        <w:rPr>
          <w:rStyle w:val="normaltextrun"/>
          <w:rFonts w:ascii="Times New Roman" w:hAnsi="Times New Roman"/>
          <w:noProof/>
          <w:sz w:val="24"/>
        </w:rPr>
        <w:t>Az egyes műveletek támogat</w:t>
      </w:r>
      <w:r>
        <w:rPr>
          <w:rStyle w:val="normaltextrun"/>
          <w:rFonts w:ascii="Times New Roman" w:hAnsi="Times New Roman"/>
          <w:noProof/>
          <w:sz w:val="24"/>
        </w:rPr>
        <w:t>hatóságának a végrehajtási megállapodásban meghatározott követelményekkel összhangban történő ellenőrzésére vonatkozó kötelezettség, mielőtt kötelezettséget vállalnának valamely művelet finanszírozására.</w:t>
      </w:r>
    </w:p>
    <w:p w14:paraId="68FA448A" w14:textId="1F736C94" w:rsidR="003E1D81" w:rsidRDefault="00EB481C">
      <w:pPr>
        <w:pStyle w:val="ListParagraph"/>
        <w:numPr>
          <w:ilvl w:val="1"/>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A kockázatalapú utólagos ellenőrzéseknek az IDAE ell</w:t>
      </w:r>
      <w:r>
        <w:rPr>
          <w:rStyle w:val="normaltextrun"/>
          <w:rFonts w:ascii="Times New Roman" w:hAnsi="Times New Roman"/>
          <w:noProof/>
          <w:sz w:val="24"/>
        </w:rPr>
        <w:t>enőrzési tervével összhangban történő elvégzésére vonatkozó kötelezettség. Ezek az ellenőrzések azt vizsgálják, hogy i. a kontrollrendszerek hatékonyak-e, beleértve a csalás, a korrupció és az összeférhetetlenség feltárását; a DNSH-elvnek, az állami támoga</w:t>
      </w:r>
      <w:r>
        <w:rPr>
          <w:rStyle w:val="normaltextrun"/>
          <w:rFonts w:ascii="Times New Roman" w:hAnsi="Times New Roman"/>
          <w:noProof/>
          <w:sz w:val="24"/>
        </w:rPr>
        <w:t>tási szabályoknak és az éghajlat-politikai célkitűzésekre vonatkozó követelményeknek való megfelelés; és iii. tiszteletben tartják azt a követelményt, hogy az IDEA-nak ellenőriznie kell, hogy a végső kedvezményezett felelősségteljes nyilatkozatot nyújt-e b</w:t>
      </w:r>
      <w:r>
        <w:rPr>
          <w:rStyle w:val="normaltextrun"/>
          <w:rFonts w:ascii="Times New Roman" w:hAnsi="Times New Roman"/>
          <w:noProof/>
          <w:sz w:val="24"/>
        </w:rPr>
        <w:t>e annak ellenőrzésére, hogy ugyanazt a költséget egy másik uniós eszköz fedezi-e. Az auditok azt is ellenőrzik, hogy az ügyletek jogszerűek-e, és hogy a rendszert létrehozó alkalmazandó jogi eszköz(ök) vagy beruházási politika feltételei teljesülnek-e.</w:t>
      </w:r>
    </w:p>
    <w:p w14:paraId="2DF7F196" w14:textId="4A64BF29" w:rsidR="003E1D81" w:rsidRDefault="00EB481C">
      <w:pPr>
        <w:pStyle w:val="P68B1DB1-paragraph25"/>
        <w:spacing w:before="120" w:beforeAutospacing="0" w:after="120" w:afterAutospacing="0"/>
        <w:jc w:val="both"/>
        <w:textAlignment w:val="baseline"/>
        <w:rPr>
          <w:rFonts w:cs="Times New Roman"/>
          <w:noProof/>
        </w:rPr>
      </w:pPr>
      <w:bookmarkStart w:id="27" w:name="_Hlk145498759"/>
      <w:bookmarkEnd w:id="24"/>
      <w:r>
        <w:rPr>
          <w:noProof/>
        </w:rPr>
        <w:t>A b</w:t>
      </w:r>
      <w:r>
        <w:rPr>
          <w:noProof/>
        </w:rPr>
        <w:t xml:space="preserve">eruházás végrehajtását 2026. augusztus 31-ig be kell fejezni. </w:t>
      </w:r>
      <w:bookmarkEnd w:id="27"/>
    </w:p>
    <w:p w14:paraId="2B161184" w14:textId="2BD7C09D" w:rsidR="003E1D81" w:rsidRDefault="00EB481C">
      <w:pPr>
        <w:pStyle w:val="P68B1DB1-paragraph26"/>
        <w:spacing w:before="120" w:after="120"/>
        <w:jc w:val="both"/>
        <w:textAlignment w:val="baseline"/>
        <w:rPr>
          <w:rFonts w:cs="Times New Roman"/>
          <w:noProof/>
        </w:rPr>
      </w:pPr>
      <w:r>
        <w:rPr>
          <w:noProof/>
        </w:rPr>
        <w:t>Beruházás (C12.I6) – Az elektromos autók értékláncában megvalósuló stratégiai projekteket támogató támogatási program (támogatások)</w:t>
      </w:r>
    </w:p>
    <w:p w14:paraId="08AAB58C" w14:textId="4985C9D0" w:rsidR="003E1D81" w:rsidRDefault="00EB481C">
      <w:pPr>
        <w:pStyle w:val="P68B1DB1-paragraph25"/>
        <w:spacing w:before="120" w:after="120"/>
        <w:jc w:val="both"/>
        <w:textAlignment w:val="baseline"/>
        <w:rPr>
          <w:rFonts w:cs="Times New Roman"/>
          <w:noProof/>
        </w:rPr>
      </w:pPr>
      <w:r>
        <w:rPr>
          <w:noProof/>
        </w:rPr>
        <w:t>Ez az intézkedés egy támogatási rendszerbe történő állami ber</w:t>
      </w:r>
      <w:r>
        <w:rPr>
          <w:noProof/>
        </w:rPr>
        <w:t>uházásból áll, amelynek célja, hogy vissza nem térítendő támogatások révén ösztönözze a magánberuházásokat az elektromos autók értékláncába. A programnak elő kell mozdítania az olyan stratégiai ágazatok átalakítását, mint a gépjárműipar és az elektromos já</w:t>
      </w:r>
      <w:r>
        <w:rPr>
          <w:noProof/>
        </w:rPr>
        <w:t>rművek a magánszektornak nyújtott támogatások révén, a Miniszterek Tanácsa által jóváhagyott stratégiai projektek vagy PERTE-k keretében. A Helyreállítási és Rezilienciaépítési Eszköz beruházásai alapján a támogatási program célja kezdetben legalább 250 00</w:t>
      </w:r>
      <w:r>
        <w:rPr>
          <w:noProof/>
        </w:rPr>
        <w:t>0 000 EUR összegű finanszírozás biztosítása.</w:t>
      </w:r>
    </w:p>
    <w:p w14:paraId="18037602" w14:textId="2A50611B" w:rsidR="003E1D81" w:rsidRDefault="00EB481C">
      <w:pPr>
        <w:pStyle w:val="P68B1DB1-paragraph25"/>
        <w:spacing w:before="120" w:after="120"/>
        <w:jc w:val="both"/>
        <w:textAlignment w:val="baseline"/>
        <w:rPr>
          <w:rFonts w:cs="Times New Roman"/>
          <w:noProof/>
        </w:rPr>
      </w:pPr>
      <w:r>
        <w:rPr>
          <w:noProof/>
        </w:rPr>
        <w:t>A rendszert végrehajtó partnerként az ENISA irányítja. A vonatkozó jogi aktusnak az ENISA-t közvállalkozássá kell átalakítania e beruházás végrehajtása érdekében (ez mérföldkövet jelent Spanyolország helyreállít</w:t>
      </w:r>
      <w:r>
        <w:rPr>
          <w:noProof/>
        </w:rPr>
        <w:t>ási és rezilienciaépítési terve 31. komponensének 6. beruházása keretében).</w:t>
      </w:r>
    </w:p>
    <w:p w14:paraId="57D2DC67" w14:textId="4241956F" w:rsidR="003E1D81" w:rsidRDefault="00EB481C">
      <w:pPr>
        <w:pStyle w:val="P68B1DB1-paragraph25"/>
        <w:spacing w:before="120" w:after="120"/>
        <w:jc w:val="both"/>
        <w:textAlignment w:val="baseline"/>
        <w:rPr>
          <w:rFonts w:cs="Times New Roman"/>
          <w:noProof/>
        </w:rPr>
      </w:pPr>
      <w:r>
        <w:rPr>
          <w:noProof/>
        </w:rPr>
        <w:t xml:space="preserve">A programba történő beruházás végrehajtása érdekében a kormány a programot létrehozó egy vagy több jogi eszközt fogad el, amelyek a következő elemeket tartalmazzák:  </w:t>
      </w:r>
    </w:p>
    <w:p w14:paraId="71E4313C" w14:textId="0974C1F7" w:rsidR="003E1D81" w:rsidRDefault="00EB481C">
      <w:pPr>
        <w:pStyle w:val="P68B1DB1-paragraph25"/>
        <w:numPr>
          <w:ilvl w:val="0"/>
          <w:numId w:val="763"/>
        </w:numPr>
        <w:spacing w:before="120" w:after="120"/>
        <w:jc w:val="both"/>
        <w:textAlignment w:val="baseline"/>
        <w:rPr>
          <w:rFonts w:cs="Times New Roman"/>
          <w:noProof/>
        </w:rPr>
      </w:pPr>
      <w:r>
        <w:rPr>
          <w:noProof/>
        </w:rPr>
        <w:t>A programra v</w:t>
      </w:r>
      <w:r>
        <w:rPr>
          <w:noProof/>
        </w:rPr>
        <w:t xml:space="preserve">onatkozó döntéshozatali eljárás leírása: A pályázatok értékelését és a végső odaítélési határozatokban vagy a beruházási határozatokban szerepeltetendő kedvezményezettek kiválasztását értékelő bizottság vagy más, ezzel egyenértékű irányító testület végzi, </w:t>
      </w:r>
      <w:r>
        <w:rPr>
          <w:noProof/>
        </w:rPr>
        <w:t>és azt a spanyol kormánytól független tagok szavazatainak többségével kell jóváhagyni, ami azt jelenti, hogy a kedvezményezetteknek vagy az ENISA által alkalmazott személyzetnek és/vagy más független szakértőknek kell lenniük. A program végleges beruházási</w:t>
      </w:r>
      <w:r>
        <w:rPr>
          <w:noProof/>
        </w:rPr>
        <w:t xml:space="preserve"> döntése az értékelő bizottság vagy azzal egyenértékű irányító testület által javasolt beruházási döntéssel kapcsolatos vétójog (módosítás nélküli) jóváhagyására vagy gyakorlására korlátozódik.</w:t>
      </w:r>
    </w:p>
    <w:p w14:paraId="70E00AA1" w14:textId="48F9DA2C" w:rsidR="003E1D81" w:rsidRDefault="00EB481C">
      <w:pPr>
        <w:pStyle w:val="P68B1DB1-paragraph25"/>
        <w:numPr>
          <w:ilvl w:val="0"/>
          <w:numId w:val="763"/>
        </w:numPr>
        <w:spacing w:before="120" w:after="120"/>
        <w:jc w:val="both"/>
        <w:textAlignment w:val="baseline"/>
        <w:rPr>
          <w:rFonts w:cs="Times New Roman"/>
          <w:noProof/>
        </w:rPr>
      </w:pPr>
      <w:r>
        <w:rPr>
          <w:noProof/>
        </w:rPr>
        <w:t>Az ágazat zöld és digitális átalakulását célzó, támogatásra jo</w:t>
      </w:r>
      <w:r>
        <w:rPr>
          <w:noProof/>
        </w:rPr>
        <w:t>gosult tevékenységek listája, amelynek összege legalább 250 000 000 EUR. Az intézkedés olyan innovatív projekteket támogat, amelyek jelentős ipari átalakulást foglalnak magukban az energiahatékonyság, a fenntarthatóság és az ágazat digitális átalakulása te</w:t>
      </w:r>
      <w:r>
        <w:rPr>
          <w:noProof/>
        </w:rPr>
        <w:t>kintetében.</w:t>
      </w:r>
    </w:p>
    <w:p w14:paraId="68E02A32" w14:textId="55F7B6E0" w:rsidR="003E1D81" w:rsidRDefault="00EB481C">
      <w:pPr>
        <w:pStyle w:val="paragraph"/>
        <w:numPr>
          <w:ilvl w:val="0"/>
          <w:numId w:val="763"/>
        </w:numPr>
        <w:spacing w:before="120" w:after="120"/>
        <w:jc w:val="both"/>
        <w:textAlignment w:val="baseline"/>
        <w:rPr>
          <w:rFonts w:ascii="Times New Roman" w:hAnsi="Times New Roman" w:cs="Times New Roman"/>
          <w:noProof/>
        </w:rPr>
      </w:pPr>
      <w:r>
        <w:rPr>
          <w:rFonts w:ascii="Times New Roman" w:hAnsi="Times New Roman"/>
          <w:noProof/>
        </w:rPr>
        <w:t xml:space="preserve">A jelentős károkozás elkerülését célzó elvnek való megfelelés követelménye a Helyreállítási és Rezilienciaépítési Eszköz keretében, a DNSH technikai iránymutatásában (2021/C58/01) meghatározottak szerint. A jogi eszköz(ök)ből különösen ki kell </w:t>
      </w:r>
      <w:r>
        <w:rPr>
          <w:rFonts w:ascii="Times New Roman" w:hAnsi="Times New Roman"/>
          <w:noProof/>
        </w:rPr>
        <w:t>zárni a tevékenységek alábbi felsorolását: a fosszilis tüzelőanyagokhoz kapcsolódó tevékenységek, beleértve a továbbfelhasználást is</w:t>
      </w:r>
      <w:r>
        <w:rPr>
          <w:rStyle w:val="FootnoteReference"/>
          <w:rFonts w:ascii="Times New Roman" w:eastAsiaTheme="minorHAnsi" w:hAnsi="Times New Roman" w:cs="Times New Roman"/>
          <w:noProof/>
        </w:rPr>
        <w:footnoteReference w:id="56"/>
      </w:r>
      <w:r>
        <w:rPr>
          <w:rFonts w:ascii="Times New Roman" w:hAnsi="Times New Roman"/>
          <w:noProof/>
        </w:rPr>
        <w:t xml:space="preserve">; az uniós kibocsátáskereskedelmi rendszer (ETS) keretében végzett tevékenységek, amelyek a vonatkozó referenciaértékeknél </w:t>
      </w:r>
      <w:r>
        <w:rPr>
          <w:rFonts w:ascii="Times New Roman" w:hAnsi="Times New Roman"/>
          <w:noProof/>
        </w:rPr>
        <w:t>nem alacsonyabb várható üvegházhatásúgáz-kibocsátást érnek el</w:t>
      </w:r>
      <w:r>
        <w:rPr>
          <w:rStyle w:val="FootnoteReference"/>
          <w:rFonts w:ascii="Times New Roman" w:eastAsiaTheme="minorHAnsi" w:hAnsi="Times New Roman" w:cs="Times New Roman"/>
          <w:noProof/>
        </w:rPr>
        <w:footnoteReference w:id="57"/>
      </w:r>
      <w:r>
        <w:rPr>
          <w:rFonts w:ascii="Times New Roman" w:hAnsi="Times New Roman"/>
          <w:noProof/>
        </w:rPr>
        <w:t>; és iii. hulladéklerakókkal, hulladékégetőkkel</w:t>
      </w:r>
      <w:r>
        <w:rPr>
          <w:rStyle w:val="FootnoteReference"/>
          <w:rFonts w:ascii="Times New Roman" w:eastAsiaTheme="minorHAnsi" w:hAnsi="Times New Roman" w:cs="Times New Roman"/>
          <w:noProof/>
        </w:rPr>
        <w:footnoteReference w:id="58"/>
      </w:r>
      <w:r>
        <w:rPr>
          <w:rFonts w:ascii="Times New Roman" w:hAnsi="Times New Roman"/>
          <w:noProof/>
        </w:rPr>
        <w:t xml:space="preserve"> és mechanikai-biológiai szennyvíztisztító telepekkel kapcsolatos tevékenységek</w:t>
      </w:r>
      <w:r>
        <w:rPr>
          <w:rStyle w:val="FootnoteReference"/>
          <w:rFonts w:ascii="Times New Roman" w:eastAsiaTheme="minorHAnsi" w:hAnsi="Times New Roman" w:cs="Times New Roman"/>
          <w:noProof/>
        </w:rPr>
        <w:footnoteReference w:id="59"/>
      </w:r>
      <w:r>
        <w:rPr>
          <w:rFonts w:ascii="Times New Roman" w:hAnsi="Times New Roman"/>
          <w:noProof/>
        </w:rPr>
        <w:t>.  Ezen túlmenően a jogi eszköz(ök)nek meg kell követelniük a támo</w:t>
      </w:r>
      <w:r>
        <w:rPr>
          <w:rFonts w:ascii="Times New Roman" w:hAnsi="Times New Roman"/>
          <w:noProof/>
        </w:rPr>
        <w:t>gatási rendszerek végső kedvezményezettjeinek a vonatkozó uniós és nemzeti környezetvédelmi jogszabályoknak való megfelelést. Az e beruházás keretében végrehajtott alábbi K+F+I-intézkedéseket úgy kell tekinteni, hogy megfelelnek a jelentős károkozás elkerü</w:t>
      </w:r>
      <w:r>
        <w:rPr>
          <w:rFonts w:ascii="Times New Roman" w:hAnsi="Times New Roman"/>
          <w:noProof/>
        </w:rPr>
        <w:t>lését célzó elvről szóló technikai iránymutatásnak (2021/C58/01): E beruházás keretében a vállalatok környezeti fenntarthatóságának jelentős növelésére irányuló K+F+I tevékenységek (például dekarbonizáció, a szennyezés csökkentése és a körforgásos gazdaság</w:t>
      </w:r>
      <w:r>
        <w:rPr>
          <w:rFonts w:ascii="Times New Roman" w:hAnsi="Times New Roman"/>
          <w:noProof/>
        </w:rPr>
        <w:t xml:space="preserve">), amennyiben az e beruházás keretében megvalósuló K+F+I tevékenységek elsősorban az ágazatban a lehető legkisebb környezeti hatással járó alternatívák kidolgozására vagy kiigazítására irányulnak.   </w:t>
      </w:r>
    </w:p>
    <w:p w14:paraId="59D67AB0" w14:textId="4EC401CB" w:rsidR="003E1D81" w:rsidRDefault="00EB481C">
      <w:pPr>
        <w:pStyle w:val="paragraph"/>
        <w:numPr>
          <w:ilvl w:val="0"/>
          <w:numId w:val="763"/>
        </w:numPr>
        <w:spacing w:before="120" w:after="120"/>
        <w:jc w:val="both"/>
        <w:textAlignment w:val="baseline"/>
        <w:rPr>
          <w:rFonts w:ascii="Times New Roman" w:hAnsi="Times New Roman" w:cs="Times New Roman"/>
          <w:noProof/>
        </w:rPr>
      </w:pPr>
      <w:r>
        <w:rPr>
          <w:rFonts w:ascii="Times New Roman" w:hAnsi="Times New Roman"/>
          <w:noProof/>
        </w:rPr>
        <w:t xml:space="preserve">Az ENISA által végrehajtott éghajlat-politikai </w:t>
      </w:r>
      <w:r>
        <w:rPr>
          <w:rFonts w:ascii="Times New Roman" w:hAnsi="Times New Roman"/>
          <w:noProof/>
        </w:rPr>
        <w:t>beruházásokra vonatkozó követelmények: a Helyreállítási és Rezilienciaépítési Eszközből a rendszerbe történő beruházásból legalább 100 000 000 EUR-nak hozzá kell járulnia az éghajlatváltozással kapcsolatos célkitűzésekhez a Helyreállítási és Rezilienciaépí</w:t>
      </w:r>
      <w:r>
        <w:rPr>
          <w:rFonts w:ascii="Times New Roman" w:hAnsi="Times New Roman"/>
          <w:noProof/>
        </w:rPr>
        <w:t>tési Eszközről szóló rendelet VI. mellékletével összhangban.</w:t>
      </w:r>
      <w:r>
        <w:rPr>
          <w:rStyle w:val="FootnoteReference"/>
          <w:rFonts w:ascii="Times New Roman" w:hAnsi="Times New Roman" w:cs="Times New Roman"/>
          <w:noProof/>
        </w:rPr>
        <w:footnoteReference w:id="60"/>
      </w:r>
      <w:r>
        <w:rPr>
          <w:rFonts w:ascii="Times New Roman" w:hAnsi="Times New Roman"/>
          <w:noProof/>
        </w:rPr>
        <w:t xml:space="preserve"> </w:t>
      </w:r>
    </w:p>
    <w:p w14:paraId="4F5E45AA" w14:textId="7FBD7822" w:rsidR="003E1D81" w:rsidRDefault="00EB481C">
      <w:pPr>
        <w:pStyle w:val="P68B1DB1-paragraph25"/>
        <w:numPr>
          <w:ilvl w:val="0"/>
          <w:numId w:val="763"/>
        </w:numPr>
        <w:spacing w:before="120" w:after="120"/>
        <w:jc w:val="both"/>
        <w:textAlignment w:val="baseline"/>
        <w:rPr>
          <w:rFonts w:cs="Times New Roman"/>
          <w:noProof/>
        </w:rPr>
      </w:pPr>
      <w:r>
        <w:rPr>
          <w:noProof/>
        </w:rPr>
        <w:t>Az a követelmény, hogy a támogatási rendszer végső kedvezményezettjei nem részesülhetnek támogatásban más uniós eszközökből ugyanazon költségek fedezésére.</w:t>
      </w:r>
    </w:p>
    <w:p w14:paraId="61C4B048" w14:textId="6D76C95E" w:rsidR="003E1D81" w:rsidRDefault="00EB481C">
      <w:pPr>
        <w:pStyle w:val="P68B1DB1-paragraph25"/>
        <w:numPr>
          <w:ilvl w:val="0"/>
          <w:numId w:val="763"/>
        </w:numPr>
        <w:spacing w:before="120" w:after="120"/>
        <w:jc w:val="both"/>
        <w:textAlignment w:val="baseline"/>
        <w:rPr>
          <w:rFonts w:cs="Times New Roman"/>
          <w:noProof/>
        </w:rPr>
      </w:pPr>
      <w:r>
        <w:rPr>
          <w:noProof/>
        </w:rPr>
        <w:t>A program hatálya alá tartozó összeg,</w:t>
      </w:r>
      <w:r>
        <w:rPr>
          <w:noProof/>
        </w:rPr>
        <w:t xml:space="preserve"> valamint az a követelmény, hogy a támogatási programból származó fel nem használt bevételeket újra be kell fektetni a fent felsorolt tevékenységekbe, beleértve a 2026 utáni tevékenységeket is.</w:t>
      </w:r>
    </w:p>
    <w:p w14:paraId="30FD7CD7" w14:textId="36DF14D3" w:rsidR="003E1D81" w:rsidRDefault="00EB481C">
      <w:pPr>
        <w:pStyle w:val="P68B1DB1-paragraph25"/>
        <w:spacing w:before="120" w:beforeAutospacing="0" w:after="120" w:afterAutospacing="0"/>
        <w:jc w:val="both"/>
        <w:textAlignment w:val="baseline"/>
        <w:rPr>
          <w:rFonts w:cs="Times New Roman"/>
          <w:noProof/>
        </w:rPr>
      </w:pPr>
      <w:r>
        <w:rPr>
          <w:noProof/>
        </w:rPr>
        <w:t>A beruházás végrehajtását 2026. augusztus 31-ig be kell fejezn</w:t>
      </w:r>
      <w:r>
        <w:rPr>
          <w:noProof/>
        </w:rPr>
        <w:t>i.</w:t>
      </w:r>
    </w:p>
    <w:p w14:paraId="6F9695D0" w14:textId="77777777" w:rsidR="003E1D81" w:rsidRDefault="003E1D81">
      <w:pPr>
        <w:spacing w:before="120" w:after="120" w:line="240" w:lineRule="auto"/>
        <w:jc w:val="both"/>
        <w:rPr>
          <w:rFonts w:ascii="Times New Roman" w:hAnsi="Times New Roman" w:cs="Times New Roman"/>
          <w:noProof/>
          <w:sz w:val="24"/>
        </w:rPr>
      </w:pPr>
    </w:p>
    <w:p w14:paraId="7EFE469E" w14:textId="77777777" w:rsidR="003E1D81" w:rsidRDefault="00EB481C">
      <w:pPr>
        <w:pStyle w:val="P68B1DB1-Normal5"/>
        <w:spacing w:before="120" w:after="120" w:line="240" w:lineRule="auto"/>
        <w:ind w:left="709"/>
        <w:jc w:val="both"/>
        <w:rPr>
          <w:rFonts w:cs="Times New Roman"/>
          <w:noProof/>
        </w:rPr>
      </w:pPr>
      <w:r>
        <w:rPr>
          <w:noProof/>
        </w:rPr>
        <w:t xml:space="preserve">L.2. </w:t>
      </w:r>
      <w:r>
        <w:rPr>
          <w:noProof/>
        </w:rPr>
        <w:tab/>
        <w:t>Vissza nem térítendő pénzügyi támogatás – a végrehajtáshoz és a nyomon követéshez kapcsolódó mérföldkövek, célok, mutatók és ütemterv</w:t>
      </w:r>
    </w:p>
    <w:p w14:paraId="7BE8178D" w14:textId="554A4523" w:rsidR="003E1D81" w:rsidRDefault="00EB481C">
      <w:pPr>
        <w:pStyle w:val="P68B1DB1-Normal4"/>
        <w:spacing w:before="120" w:after="120" w:line="240" w:lineRule="auto"/>
        <w:jc w:val="both"/>
        <w:rPr>
          <w:rFonts w:cs="Times New Roman"/>
          <w:noProof/>
          <w:u w:val="single"/>
        </w:rPr>
      </w:pPr>
      <w:r>
        <w:rPr>
          <w:i/>
          <w:noProof/>
        </w:rPr>
        <w:t>Táblázat alább.</w:t>
      </w:r>
      <w:r>
        <w:rPr>
          <w:noProof/>
        </w:rPr>
        <w:t xml:space="preserve"> </w:t>
      </w:r>
      <w:r>
        <w:rPr>
          <w:i/>
          <w:noProof/>
        </w:rPr>
        <w:t>Az alapforgatókönyv valamennyi mutató esetében 2020. február 1-je, kivéve, ha az intézkedés leír</w:t>
      </w:r>
      <w:r>
        <w:rPr>
          <w:i/>
          <w:noProof/>
        </w:rPr>
        <w:t>ása másként jelzi. A táblázatban szereplő összegek nem tartalmazzák a héát.</w:t>
      </w:r>
    </w:p>
    <w:p w14:paraId="11DC7BAE" w14:textId="77777777" w:rsidR="003E1D81" w:rsidRDefault="003E1D81">
      <w:pPr>
        <w:spacing w:before="120" w:after="120" w:line="240" w:lineRule="auto"/>
        <w:ind w:left="709"/>
        <w:jc w:val="both"/>
        <w:rPr>
          <w:rFonts w:ascii="Times New Roman" w:hAnsi="Times New Roman" w:cs="Times New Roman"/>
          <w:noProof/>
          <w:sz w:val="24"/>
        </w:rPr>
      </w:pPr>
    </w:p>
    <w:p w14:paraId="67D31997" w14:textId="77777777" w:rsidR="003E1D81" w:rsidRDefault="003E1D81">
      <w:pPr>
        <w:spacing w:after="0" w:line="240" w:lineRule="auto"/>
        <w:jc w:val="both"/>
        <w:rPr>
          <w:rFonts w:ascii="Times New Roman" w:hAnsi="Times New Roman" w:cs="Times New Roman"/>
          <w:noProof/>
          <w:sz w:val="24"/>
        </w:rPr>
        <w:sectPr w:rsidR="003E1D81" w:rsidSect="00EB7CC8">
          <w:headerReference w:type="even" r:id="rId246"/>
          <w:headerReference w:type="default" r:id="rId247"/>
          <w:footerReference w:type="even" r:id="rId248"/>
          <w:footerReference w:type="default" r:id="rId249"/>
          <w:headerReference w:type="first" r:id="rId250"/>
          <w:footerReference w:type="first" r:id="rId251"/>
          <w:pgSz w:w="11907" w:h="16839"/>
          <w:pgMar w:top="1134" w:right="1417" w:bottom="1134" w:left="1417" w:header="709" w:footer="709" w:gutter="0"/>
          <w:cols w:space="720"/>
          <w:docGrid w:linePitch="360"/>
        </w:sect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9"/>
        <w:gridCol w:w="826"/>
        <w:gridCol w:w="824"/>
        <w:gridCol w:w="1281"/>
        <w:gridCol w:w="1053"/>
        <w:gridCol w:w="828"/>
        <w:gridCol w:w="638"/>
        <w:gridCol w:w="551"/>
        <w:gridCol w:w="413"/>
        <w:gridCol w:w="551"/>
        <w:gridCol w:w="7344"/>
      </w:tblGrid>
      <w:tr w:rsidR="003E1D81" w14:paraId="393CB269" w14:textId="77777777">
        <w:trPr>
          <w:trHeight w:val="309"/>
          <w:tblHeader/>
        </w:trPr>
        <w:tc>
          <w:tcPr>
            <w:tcW w:w="859"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43936C38" w14:textId="77777777" w:rsidR="003E1D81" w:rsidRDefault="00EB481C">
            <w:pPr>
              <w:pStyle w:val="P68B1DB1-Normal12"/>
              <w:spacing w:after="0" w:line="240" w:lineRule="auto"/>
              <w:jc w:val="both"/>
              <w:rPr>
                <w:rFonts w:cs="Times New Roman"/>
                <w:noProof/>
              </w:rPr>
            </w:pPr>
            <w:r>
              <w:rPr>
                <w:noProof/>
              </w:rPr>
              <w:t>Szám</w:t>
            </w:r>
          </w:p>
        </w:tc>
        <w:tc>
          <w:tcPr>
            <w:tcW w:w="826"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9AB8041" w14:textId="77777777" w:rsidR="003E1D81" w:rsidRDefault="00EB481C">
            <w:pPr>
              <w:pStyle w:val="P68B1DB1-Normal12"/>
              <w:spacing w:after="0" w:line="240" w:lineRule="auto"/>
              <w:jc w:val="center"/>
              <w:rPr>
                <w:rFonts w:cs="Times New Roman"/>
                <w:noProof/>
              </w:rPr>
            </w:pPr>
            <w:r>
              <w:rPr>
                <w:noProof/>
              </w:rPr>
              <w:t>Intézkedés</w:t>
            </w:r>
          </w:p>
        </w:tc>
        <w:tc>
          <w:tcPr>
            <w:tcW w:w="824"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13640446"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1281"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7F04AFEB" w14:textId="77777777" w:rsidR="003E1D81" w:rsidRDefault="00EB481C">
            <w:pPr>
              <w:pStyle w:val="P68B1DB1-Normal12"/>
              <w:spacing w:after="0" w:line="240" w:lineRule="auto"/>
              <w:jc w:val="center"/>
              <w:rPr>
                <w:rFonts w:cs="Times New Roman"/>
                <w:noProof/>
              </w:rPr>
            </w:pPr>
            <w:r>
              <w:rPr>
                <w:noProof/>
              </w:rPr>
              <w:t>Név</w:t>
            </w:r>
          </w:p>
        </w:tc>
        <w:tc>
          <w:tcPr>
            <w:tcW w:w="1053"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71DDB6F1"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20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1C01D08"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6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226A1E3" w14:textId="77777777" w:rsidR="003E1D81" w:rsidRDefault="00EB481C">
            <w:pPr>
              <w:pStyle w:val="P68B1DB1-Normal12"/>
              <w:spacing w:after="0" w:line="240" w:lineRule="auto"/>
              <w:jc w:val="center"/>
              <w:rPr>
                <w:rFonts w:cs="Times New Roman"/>
                <w:noProof/>
              </w:rPr>
            </w:pPr>
            <w:r>
              <w:rPr>
                <w:noProof/>
              </w:rPr>
              <w:t>Idő</w:t>
            </w:r>
          </w:p>
        </w:tc>
        <w:tc>
          <w:tcPr>
            <w:tcW w:w="7344"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3F1D3D1C" w14:textId="77777777" w:rsidR="003E1D81" w:rsidRDefault="003E1D81">
            <w:pPr>
              <w:spacing w:after="0" w:line="240" w:lineRule="auto"/>
              <w:jc w:val="center"/>
              <w:rPr>
                <w:rFonts w:ascii="Times New Roman" w:hAnsi="Times New Roman" w:cs="Times New Roman"/>
                <w:noProof/>
                <w:sz w:val="18"/>
              </w:rPr>
            </w:pPr>
          </w:p>
          <w:p w14:paraId="5FBE2520" w14:textId="77777777" w:rsidR="003E1D81" w:rsidRDefault="00EB481C">
            <w:pPr>
              <w:pStyle w:val="P68B1DB1-Normal12"/>
              <w:spacing w:after="0" w:line="240" w:lineRule="auto"/>
              <w:jc w:val="center"/>
              <w:rPr>
                <w:rFonts w:cs="Times New Roman"/>
                <w:noProof/>
              </w:rPr>
            </w:pPr>
            <w:r>
              <w:rPr>
                <w:noProof/>
              </w:rPr>
              <w:t xml:space="preserve">Az egyes </w:t>
            </w:r>
            <w:r>
              <w:rPr>
                <w:noProof/>
              </w:rPr>
              <w:t>mérföldkövek és célértékek leírása</w:t>
            </w:r>
          </w:p>
          <w:p w14:paraId="1CA3212E" w14:textId="77777777" w:rsidR="003E1D81" w:rsidRDefault="00EB481C">
            <w:pPr>
              <w:pStyle w:val="P68B1DB1-Normal13"/>
              <w:tabs>
                <w:tab w:val="left" w:pos="737"/>
              </w:tabs>
              <w:spacing w:after="0" w:line="240" w:lineRule="auto"/>
              <w:rPr>
                <w:rFonts w:cs="Times New Roman"/>
                <w:noProof/>
              </w:rPr>
            </w:pPr>
            <w:r>
              <w:rPr>
                <w:noProof/>
              </w:rPr>
              <w:tab/>
            </w:r>
          </w:p>
        </w:tc>
      </w:tr>
      <w:tr w:rsidR="003E1D81" w14:paraId="78B59B52" w14:textId="77777777">
        <w:trPr>
          <w:trHeight w:val="309"/>
          <w:tblHeader/>
        </w:trPr>
        <w:tc>
          <w:tcPr>
            <w:tcW w:w="859" w:type="dxa"/>
            <w:vMerge/>
            <w:noWrap/>
          </w:tcPr>
          <w:p w14:paraId="689531AC" w14:textId="77777777" w:rsidR="003E1D81" w:rsidRDefault="003E1D81">
            <w:pPr>
              <w:spacing w:after="0" w:line="240" w:lineRule="auto"/>
              <w:jc w:val="center"/>
              <w:rPr>
                <w:rFonts w:ascii="Times New Roman" w:hAnsi="Times New Roman" w:cs="Times New Roman"/>
                <w:noProof/>
                <w:sz w:val="18"/>
              </w:rPr>
            </w:pPr>
          </w:p>
        </w:tc>
        <w:tc>
          <w:tcPr>
            <w:tcW w:w="826" w:type="dxa"/>
            <w:vMerge/>
            <w:noWrap/>
          </w:tcPr>
          <w:p w14:paraId="3E9F70EC" w14:textId="77777777" w:rsidR="003E1D81" w:rsidRDefault="003E1D81">
            <w:pPr>
              <w:spacing w:after="0" w:line="240" w:lineRule="auto"/>
              <w:jc w:val="center"/>
              <w:rPr>
                <w:rFonts w:ascii="Times New Roman" w:hAnsi="Times New Roman" w:cs="Times New Roman"/>
                <w:noProof/>
                <w:sz w:val="18"/>
              </w:rPr>
            </w:pPr>
          </w:p>
        </w:tc>
        <w:tc>
          <w:tcPr>
            <w:tcW w:w="824" w:type="dxa"/>
            <w:vMerge/>
            <w:noWrap/>
          </w:tcPr>
          <w:p w14:paraId="05BBD49F" w14:textId="77777777" w:rsidR="003E1D81" w:rsidRDefault="003E1D81">
            <w:pPr>
              <w:spacing w:after="0" w:line="240" w:lineRule="auto"/>
              <w:jc w:val="center"/>
              <w:rPr>
                <w:rFonts w:ascii="Times New Roman" w:hAnsi="Times New Roman" w:cs="Times New Roman"/>
                <w:noProof/>
                <w:sz w:val="18"/>
              </w:rPr>
            </w:pPr>
          </w:p>
        </w:tc>
        <w:tc>
          <w:tcPr>
            <w:tcW w:w="1281" w:type="dxa"/>
            <w:vMerge/>
            <w:noWrap/>
          </w:tcPr>
          <w:p w14:paraId="11D884CC" w14:textId="77777777" w:rsidR="003E1D81" w:rsidRDefault="003E1D81">
            <w:pPr>
              <w:spacing w:after="0" w:line="240" w:lineRule="auto"/>
              <w:jc w:val="center"/>
              <w:rPr>
                <w:rFonts w:ascii="Times New Roman" w:hAnsi="Times New Roman" w:cs="Times New Roman"/>
                <w:noProof/>
                <w:sz w:val="18"/>
              </w:rPr>
            </w:pPr>
          </w:p>
        </w:tc>
        <w:tc>
          <w:tcPr>
            <w:tcW w:w="1053" w:type="dxa"/>
            <w:vMerge/>
            <w:noWrap/>
            <w:vAlign w:val="center"/>
          </w:tcPr>
          <w:p w14:paraId="3A6B3FF4" w14:textId="77777777" w:rsidR="003E1D81" w:rsidRDefault="003E1D81">
            <w:pPr>
              <w:spacing w:after="0" w:line="240" w:lineRule="auto"/>
              <w:jc w:val="center"/>
              <w:rPr>
                <w:rFonts w:ascii="Times New Roman" w:hAnsi="Times New Roman" w:cs="Times New Roman"/>
                <w:noProof/>
                <w:sz w:val="18"/>
              </w:rPr>
            </w:pPr>
          </w:p>
        </w:tc>
        <w:tc>
          <w:tcPr>
            <w:tcW w:w="82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F81562C" w14:textId="77777777" w:rsidR="003E1D81" w:rsidRDefault="00EB481C">
            <w:pPr>
              <w:pStyle w:val="P68B1DB1-Normal12"/>
              <w:spacing w:after="0" w:line="240" w:lineRule="auto"/>
              <w:jc w:val="center"/>
              <w:rPr>
                <w:rFonts w:cs="Times New Roman"/>
                <w:noProof/>
              </w:rPr>
            </w:pPr>
            <w:r>
              <w:rPr>
                <w:noProof/>
              </w:rPr>
              <w:t>Egység</w:t>
            </w:r>
          </w:p>
        </w:tc>
        <w:tc>
          <w:tcPr>
            <w:tcW w:w="63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FD3AA5A" w14:textId="77777777" w:rsidR="003E1D81" w:rsidRDefault="00EB481C">
            <w:pPr>
              <w:pStyle w:val="P68B1DB1-Normal12"/>
              <w:spacing w:after="0" w:line="240" w:lineRule="auto"/>
              <w:jc w:val="center"/>
              <w:rPr>
                <w:rFonts w:cs="Times New Roman"/>
                <w:noProof/>
              </w:rPr>
            </w:pPr>
            <w:r>
              <w:rPr>
                <w:noProof/>
              </w:rPr>
              <w:t>Alapérték</w:t>
            </w:r>
          </w:p>
        </w:tc>
        <w:tc>
          <w:tcPr>
            <w:tcW w:w="55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3B2CC4" w14:textId="77777777" w:rsidR="003E1D81" w:rsidRDefault="00EB481C">
            <w:pPr>
              <w:pStyle w:val="P68B1DB1-Normal12"/>
              <w:spacing w:after="0" w:line="240" w:lineRule="auto"/>
              <w:jc w:val="center"/>
              <w:rPr>
                <w:rFonts w:cs="Times New Roman"/>
                <w:noProof/>
              </w:rPr>
            </w:pPr>
            <w:r>
              <w:rPr>
                <w:noProof/>
              </w:rPr>
              <w:t>Cél</w:t>
            </w:r>
          </w:p>
        </w:tc>
        <w:tc>
          <w:tcPr>
            <w:tcW w:w="4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7312E86" w14:textId="77777777" w:rsidR="003E1D81" w:rsidRDefault="00EB481C">
            <w:pPr>
              <w:pStyle w:val="P68B1DB1-Normal12"/>
              <w:spacing w:after="0" w:line="240" w:lineRule="auto"/>
              <w:jc w:val="center"/>
              <w:rPr>
                <w:rFonts w:cs="Times New Roman"/>
                <w:noProof/>
              </w:rPr>
            </w:pPr>
            <w:r>
              <w:rPr>
                <w:noProof/>
              </w:rPr>
              <w:t>Q</w:t>
            </w:r>
          </w:p>
        </w:tc>
        <w:tc>
          <w:tcPr>
            <w:tcW w:w="55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4D2A3EB" w14:textId="77777777" w:rsidR="003E1D81" w:rsidRDefault="00EB481C">
            <w:pPr>
              <w:pStyle w:val="P68B1DB1-Normal12"/>
              <w:spacing w:after="0" w:line="240" w:lineRule="auto"/>
              <w:jc w:val="center"/>
              <w:rPr>
                <w:rFonts w:cs="Times New Roman"/>
                <w:noProof/>
              </w:rPr>
            </w:pPr>
            <w:r>
              <w:rPr>
                <w:noProof/>
              </w:rPr>
              <w:t>Éve</w:t>
            </w:r>
          </w:p>
        </w:tc>
        <w:tc>
          <w:tcPr>
            <w:tcW w:w="7344" w:type="dxa"/>
            <w:vMerge/>
            <w:noWrap/>
          </w:tcPr>
          <w:p w14:paraId="4FE75506" w14:textId="77777777" w:rsidR="003E1D81" w:rsidRDefault="003E1D81">
            <w:pPr>
              <w:tabs>
                <w:tab w:val="left" w:pos="737"/>
              </w:tabs>
              <w:spacing w:after="0" w:line="240" w:lineRule="auto"/>
              <w:rPr>
                <w:rFonts w:ascii="Times New Roman" w:hAnsi="Times New Roman" w:cs="Times New Roman"/>
                <w:noProof/>
                <w:sz w:val="18"/>
              </w:rPr>
            </w:pPr>
          </w:p>
        </w:tc>
      </w:tr>
      <w:tr w:rsidR="003E1D81" w14:paraId="31788039"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A149851" w14:textId="77777777" w:rsidR="003E1D81" w:rsidRDefault="00EB481C">
            <w:pPr>
              <w:pStyle w:val="P68B1DB1-Normal13"/>
              <w:spacing w:after="0" w:line="240" w:lineRule="auto"/>
              <w:jc w:val="center"/>
              <w:rPr>
                <w:rFonts w:cs="Times New Roman"/>
                <w:noProof/>
              </w:rPr>
            </w:pPr>
            <w:r>
              <w:rPr>
                <w:noProof/>
              </w:rPr>
              <w:t>176</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3243B43" w14:textId="77777777" w:rsidR="003E1D81" w:rsidRDefault="00EB481C">
            <w:pPr>
              <w:pStyle w:val="P68B1DB1-Normal13"/>
              <w:spacing w:after="0" w:line="240" w:lineRule="auto"/>
              <w:jc w:val="center"/>
              <w:rPr>
                <w:rFonts w:cs="Times New Roman"/>
                <w:noProof/>
              </w:rPr>
            </w:pPr>
            <w:r>
              <w:rPr>
                <w:noProof/>
              </w:rPr>
              <w:t>C12.R1</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0023908" w14:textId="77777777" w:rsidR="003E1D81" w:rsidRDefault="00EB481C">
            <w:pPr>
              <w:pStyle w:val="P68B1DB1-Normal13"/>
              <w:spacing w:after="0" w:line="240" w:lineRule="auto"/>
              <w:jc w:val="center"/>
              <w:rPr>
                <w:rFonts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052AA85" w14:textId="67BB68E8" w:rsidR="003E1D81" w:rsidRDefault="00EB481C">
            <w:pPr>
              <w:pStyle w:val="P68B1DB1-Normal13"/>
              <w:spacing w:after="0" w:line="240" w:lineRule="auto"/>
              <w:rPr>
                <w:rFonts w:cs="Times New Roman"/>
                <w:noProof/>
              </w:rPr>
            </w:pPr>
            <w:r>
              <w:rPr>
                <w:noProof/>
              </w:rPr>
              <w:t>Az ipari törvény hatálybalépése</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3E647626" w14:textId="77777777" w:rsidR="003E1D81" w:rsidRDefault="00EB481C">
            <w:pPr>
              <w:pStyle w:val="P68B1DB1-Normal13"/>
              <w:spacing w:after="0" w:line="240" w:lineRule="auto"/>
              <w:jc w:val="center"/>
              <w:rPr>
                <w:rFonts w:cs="Times New Roman"/>
                <w:noProof/>
              </w:rPr>
            </w:pPr>
            <w:r>
              <w:rPr>
                <w:noProof/>
              </w:rPr>
              <w:t>A törvény hatálybalépésére vonatkozó jogszabályi rendelkezés</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F1574BC" w14:textId="77777777" w:rsidR="003E1D81" w:rsidRDefault="00EB481C">
            <w:pPr>
              <w:pStyle w:val="P68B1DB1-Normal13"/>
              <w:spacing w:after="0" w:line="240" w:lineRule="auto"/>
              <w:jc w:val="right"/>
              <w:rPr>
                <w:rFonts w:cs="Times New Roman"/>
                <w:noProof/>
              </w:rPr>
            </w:pPr>
            <w:r>
              <w:rPr>
                <w:noProof/>
              </w:rPr>
              <w:t>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52C1D79" w14:textId="77777777" w:rsidR="003E1D81" w:rsidRDefault="00EB481C">
            <w:pPr>
              <w:pStyle w:val="P68B1DB1-Normal13"/>
              <w:spacing w:after="0" w:line="240" w:lineRule="auto"/>
              <w:jc w:val="right"/>
              <w:rPr>
                <w:rFonts w:cs="Times New Roman"/>
                <w:noProof/>
              </w:rPr>
            </w:pPr>
            <w:r>
              <w:rPr>
                <w:noProof/>
              </w:rPr>
              <w:t>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873883E" w14:textId="77777777" w:rsidR="003E1D81" w:rsidRDefault="00EB481C">
            <w:pPr>
              <w:pStyle w:val="P68B1DB1-Normal13"/>
              <w:spacing w:after="0" w:line="240" w:lineRule="auto"/>
              <w:jc w:val="right"/>
              <w:rPr>
                <w:rFonts w:cs="Times New Roman"/>
                <w:noProof/>
              </w:rPr>
            </w:pPr>
            <w:r>
              <w:rPr>
                <w:noProof/>
              </w:rPr>
              <w:t>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33E91D5" w14:textId="77777777" w:rsidR="003E1D81" w:rsidRDefault="00EB481C">
            <w:pPr>
              <w:pStyle w:val="P68B1DB1-Normal13"/>
              <w:spacing w:after="0" w:line="240" w:lineRule="auto"/>
              <w:jc w:val="center"/>
              <w:rPr>
                <w:rFonts w:cs="Times New Roman"/>
                <w:noProof/>
              </w:rPr>
            </w:pPr>
            <w:r>
              <w:rPr>
                <w:noProof/>
              </w:rPr>
              <w:t>NEGYEDÉV</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26D7405" w14:textId="2047E901" w:rsidR="003E1D81" w:rsidRDefault="00EB481C">
            <w:pPr>
              <w:pStyle w:val="P68B1DB1-Normal13"/>
              <w:spacing w:after="0" w:line="240" w:lineRule="auto"/>
              <w:jc w:val="center"/>
              <w:rPr>
                <w:rFonts w:cs="Times New Roman"/>
                <w:noProof/>
              </w:rPr>
            </w:pPr>
            <w:r>
              <w:rPr>
                <w:noProof/>
              </w:rPr>
              <w:t>2023</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3C089CEA" w14:textId="401E2416" w:rsidR="003E1D81" w:rsidRDefault="00EB481C">
            <w:pPr>
              <w:pStyle w:val="P68B1DB1-Normal13"/>
              <w:spacing w:after="0" w:line="240" w:lineRule="auto"/>
              <w:rPr>
                <w:rFonts w:cs="Times New Roman"/>
                <w:noProof/>
              </w:rPr>
            </w:pPr>
            <w:r>
              <w:rPr>
                <w:noProof/>
              </w:rPr>
              <w:t xml:space="preserve">A törvény célja, hogy a piacfelügyeletről és a termékek </w:t>
            </w:r>
            <w:r>
              <w:rPr>
                <w:noProof/>
              </w:rPr>
              <w:t>megfelelőségéről, valamint a 2004/42/EK irányelv, továbbá a 765/2008/EK és a 305/2011/EU rendelet módosításáról szóló, 2019. június 20-i (EU) 2019/1020 európai parlamenti és tanácsi rendelettel összhangban javítsa a különböző kormányzati szintek közötti ko</w:t>
            </w:r>
            <w:r>
              <w:rPr>
                <w:noProof/>
              </w:rPr>
              <w:t>ordinációs mechanizmusokat az iparpolitika terén, valamint javítsa az ipari minőséget és biztonságot egy megerősített piacfelügyeleti rendszer révén. Végezetül felül kell vizsgálni a területen elkövetett jogsértések fogalommeghatározását, és aktualizálni k</w:t>
            </w:r>
            <w:r>
              <w:rPr>
                <w:noProof/>
              </w:rPr>
              <w:t>ell az alkalmazható szankciók szintjét.</w:t>
            </w:r>
          </w:p>
        </w:tc>
      </w:tr>
      <w:tr w:rsidR="003E1D81" w14:paraId="30E8B3C3"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6DBD28F" w14:textId="77777777" w:rsidR="003E1D81" w:rsidRDefault="00EB481C">
            <w:pPr>
              <w:pStyle w:val="P68B1DB1-Normal13"/>
              <w:spacing w:after="0" w:line="240" w:lineRule="auto"/>
              <w:jc w:val="center"/>
              <w:rPr>
                <w:rFonts w:eastAsia="Times New Roman" w:cs="Times New Roman"/>
                <w:noProof/>
              </w:rPr>
            </w:pPr>
            <w:r>
              <w:rPr>
                <w:noProof/>
              </w:rPr>
              <w:t>177</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A29BF91" w14:textId="77777777" w:rsidR="003E1D81" w:rsidRDefault="00EB481C">
            <w:pPr>
              <w:pStyle w:val="P68B1DB1-Normal13"/>
              <w:spacing w:after="0" w:line="240" w:lineRule="auto"/>
              <w:jc w:val="center"/>
              <w:rPr>
                <w:rFonts w:eastAsia="Times New Roman" w:cs="Times New Roman"/>
                <w:noProof/>
              </w:rPr>
            </w:pPr>
            <w:r>
              <w:rPr>
                <w:noProof/>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EA7152F" w14:textId="77777777" w:rsidR="003E1D81" w:rsidRDefault="00EB481C">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AE4A169" w14:textId="77777777" w:rsidR="003E1D81" w:rsidRDefault="00EB481C">
            <w:pPr>
              <w:pStyle w:val="P68B1DB1-Normal13"/>
              <w:spacing w:after="0" w:line="240" w:lineRule="auto"/>
              <w:rPr>
                <w:rFonts w:eastAsia="Times New Roman" w:cs="Times New Roman"/>
                <w:noProof/>
              </w:rPr>
            </w:pPr>
            <w:r>
              <w:rPr>
                <w:noProof/>
              </w:rPr>
              <w:t>A körforgásos gazdaságra vonatkozó spanyol stratégia</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0112438" w14:textId="77777777" w:rsidR="003E1D81" w:rsidRDefault="00EB481C">
            <w:pPr>
              <w:pStyle w:val="P68B1DB1-Normal13"/>
              <w:spacing w:after="0" w:line="240" w:lineRule="auto"/>
              <w:jc w:val="center"/>
              <w:rPr>
                <w:rFonts w:eastAsia="Times New Roman" w:cs="Times New Roman"/>
                <w:noProof/>
              </w:rPr>
            </w:pPr>
            <w:r>
              <w:rPr>
                <w:noProof/>
              </w:rPr>
              <w:t>A Miniszterek Tanácsának jóváhagyása</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CA74179"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787A395"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99B893B"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EEC912C"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48A1EAD" w14:textId="77777777" w:rsidR="003E1D81" w:rsidRDefault="00EB481C">
            <w:pPr>
              <w:pStyle w:val="P68B1DB1-Normal13"/>
              <w:spacing w:after="0" w:line="240" w:lineRule="auto"/>
              <w:jc w:val="center"/>
              <w:rPr>
                <w:rFonts w:eastAsia="Times New Roman" w:cs="Times New Roman"/>
                <w:noProof/>
              </w:rPr>
            </w:pPr>
            <w:r>
              <w:rPr>
                <w:noProof/>
              </w:rPr>
              <w:t>2020</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11C79696" w14:textId="77777777" w:rsidR="003E1D81" w:rsidRDefault="00EB481C">
            <w:pPr>
              <w:pStyle w:val="P68B1DB1-Normal13"/>
              <w:spacing w:after="0" w:line="240" w:lineRule="auto"/>
              <w:rPr>
                <w:rFonts w:eastAsia="Times New Roman" w:cs="Times New Roman"/>
                <w:noProof/>
              </w:rPr>
            </w:pPr>
            <w:r>
              <w:rPr>
                <w:noProof/>
              </w:rPr>
              <w:t xml:space="preserve">A körforgásos gazdaságra vonatkozó spanyol stratégia jóváhagyása. Megteremti az alapot egy </w:t>
            </w:r>
            <w:r>
              <w:rPr>
                <w:noProof/>
              </w:rPr>
              <w:t>olyan új termelési és fogyasztási modell előmozdításához, amelyben a termékek, anyagok és erőforrások értékét a lehető leghosszabb ideig megőrzik, és amelyben minimálisra csökkentik a hulladékkeletkezést és a nem elkerülhető hulladékot teljes mértékben kia</w:t>
            </w:r>
            <w:r>
              <w:rPr>
                <w:noProof/>
              </w:rPr>
              <w:t>knázzák.</w:t>
            </w:r>
          </w:p>
        </w:tc>
      </w:tr>
      <w:tr w:rsidR="003E1D81" w14:paraId="7EF1EA25"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A450D50" w14:textId="77777777" w:rsidR="003E1D81" w:rsidRDefault="00EB481C">
            <w:pPr>
              <w:pStyle w:val="P68B1DB1-Normal13"/>
              <w:spacing w:after="0" w:line="240" w:lineRule="auto"/>
              <w:jc w:val="center"/>
              <w:rPr>
                <w:rFonts w:eastAsia="Times New Roman" w:cs="Times New Roman"/>
                <w:noProof/>
              </w:rPr>
            </w:pPr>
            <w:r>
              <w:rPr>
                <w:noProof/>
              </w:rPr>
              <w:t>178</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761CAF38" w14:textId="77777777" w:rsidR="003E1D81" w:rsidRDefault="00EB481C">
            <w:pPr>
              <w:pStyle w:val="P68B1DB1-Normal13"/>
              <w:spacing w:after="0" w:line="240" w:lineRule="auto"/>
              <w:jc w:val="center"/>
              <w:rPr>
                <w:rFonts w:eastAsia="Times New Roman" w:cs="Times New Roman"/>
                <w:noProof/>
              </w:rPr>
            </w:pPr>
            <w:r>
              <w:rPr>
                <w:noProof/>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457AEC88" w14:textId="77777777" w:rsidR="003E1D81" w:rsidRDefault="00EB481C">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7D0FA8B" w14:textId="77777777" w:rsidR="003E1D81" w:rsidRDefault="00EB481C">
            <w:pPr>
              <w:pStyle w:val="P68B1DB1-Normal13"/>
              <w:spacing w:after="0" w:line="240" w:lineRule="auto"/>
              <w:rPr>
                <w:rFonts w:eastAsia="Times New Roman" w:cs="Times New Roman"/>
                <w:noProof/>
              </w:rPr>
            </w:pPr>
            <w:r>
              <w:rPr>
                <w:noProof/>
              </w:rPr>
              <w:t>A körforgásos gazdaságra vonatkozó szakpolitikai csomag részét képező jogi aktusok hatálybalépése</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72877DE" w14:textId="77777777" w:rsidR="003E1D81" w:rsidRDefault="00EB481C">
            <w:pPr>
              <w:pStyle w:val="P68B1DB1-Normal13"/>
              <w:spacing w:after="0" w:line="240" w:lineRule="auto"/>
              <w:jc w:val="center"/>
              <w:rPr>
                <w:rFonts w:eastAsia="Times New Roman" w:cs="Times New Roman"/>
                <w:noProof/>
              </w:rPr>
            </w:pPr>
            <w:r>
              <w:rPr>
                <w:noProof/>
              </w:rPr>
              <w:t>A királyi rendeleteknek a törvények hatálybalépésére vonatkozó rendelkezései</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768B6386"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5C7610C0"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86D865E"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CC89E36"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76A6432" w14:textId="77777777" w:rsidR="003E1D81" w:rsidRDefault="00EB481C">
            <w:pPr>
              <w:pStyle w:val="P68B1DB1-Normal13"/>
              <w:spacing w:after="0" w:line="240" w:lineRule="auto"/>
              <w:jc w:val="center"/>
              <w:rPr>
                <w:rFonts w:eastAsia="Times New Roman" w:cs="Times New Roman"/>
                <w:noProof/>
              </w:rPr>
            </w:pPr>
            <w:r>
              <w:rPr>
                <w:noProof/>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67929F30" w14:textId="77777777" w:rsidR="003E1D81" w:rsidRDefault="00EB481C">
            <w:pPr>
              <w:pStyle w:val="P68B1DB1-Normal13"/>
              <w:spacing w:after="0" w:line="240" w:lineRule="auto"/>
              <w:rPr>
                <w:rFonts w:eastAsia="Times New Roman" w:cs="Times New Roman"/>
                <w:noProof/>
              </w:rPr>
            </w:pPr>
            <w:r>
              <w:rPr>
                <w:noProof/>
              </w:rPr>
              <w:t xml:space="preserve">A körforgásos gazdaságra vonatkozó </w:t>
            </w:r>
            <w:r>
              <w:rPr>
                <w:noProof/>
              </w:rPr>
              <w:t>szakpolitikai csomag a következőket tartalmazza:</w:t>
            </w:r>
            <w:r>
              <w:rPr>
                <w:noProof/>
              </w:rPr>
              <w:br/>
              <w:t>Az elhasználódott gumiabroncsok kezeléséről szóló, december 30-i 1619/2005. sz. királyi rendelet módosításáról szóló, augusztus 4-i 731/2020. sz. királyi rendelet.</w:t>
            </w:r>
            <w:r>
              <w:rPr>
                <w:noProof/>
              </w:rPr>
              <w:br/>
              <w:t>A hulladékok hulladéklerakókban történő árt</w:t>
            </w:r>
            <w:r>
              <w:rPr>
                <w:noProof/>
              </w:rPr>
              <w:t>almatlanításáról szóló, július 7-i 646/2020. sz. királyi rendelet.</w:t>
            </w:r>
            <w:r>
              <w:rPr>
                <w:noProof/>
              </w:rPr>
              <w:br/>
              <w:t>Az állam területén történő hulladékszállítás szabályozásáról szóló, június 2-i 553/2020. sz. királyi rendelet.</w:t>
            </w:r>
            <w:r>
              <w:rPr>
                <w:noProof/>
              </w:rPr>
              <w:br/>
              <w:t>27/2021. sz. királyi rendelet, január 19. és 265/2021. sz. királyi rendelet, á</w:t>
            </w:r>
            <w:r>
              <w:rPr>
                <w:noProof/>
              </w:rPr>
              <w:t>prilis 13.</w:t>
            </w:r>
            <w:r>
              <w:rPr>
                <w:noProof/>
              </w:rPr>
              <w:br/>
              <w:t>A csomagolásra és a csomagolási hulladékra vonatkozó szabályozási intézkedéseknek a Miniszterek Tanácsa általi, a közeljövőben, 2022 folyamán történő jóváhagyása.</w:t>
            </w:r>
          </w:p>
        </w:tc>
      </w:tr>
      <w:tr w:rsidR="003E1D81" w14:paraId="11D87B12"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1B09B5C" w14:textId="77777777" w:rsidR="003E1D81" w:rsidRDefault="00EB481C">
            <w:pPr>
              <w:pStyle w:val="P68B1DB1-Normal13"/>
              <w:spacing w:after="0" w:line="240" w:lineRule="auto"/>
              <w:jc w:val="center"/>
              <w:rPr>
                <w:rFonts w:eastAsia="Times New Roman" w:cs="Times New Roman"/>
                <w:noProof/>
              </w:rPr>
            </w:pPr>
            <w:r>
              <w:rPr>
                <w:noProof/>
              </w:rPr>
              <w:t>179</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0F44CD1A" w14:textId="77777777" w:rsidR="003E1D81" w:rsidRDefault="00EB481C">
            <w:pPr>
              <w:pStyle w:val="P68B1DB1-Normal13"/>
              <w:spacing w:after="0" w:line="240" w:lineRule="auto"/>
              <w:jc w:val="center"/>
              <w:rPr>
                <w:rFonts w:eastAsia="Times New Roman" w:cs="Times New Roman"/>
                <w:noProof/>
              </w:rPr>
            </w:pPr>
            <w:r>
              <w:rPr>
                <w:noProof/>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D7D0628" w14:textId="77777777" w:rsidR="003E1D81" w:rsidRDefault="00EB481C">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206210B6" w14:textId="77777777" w:rsidR="003E1D81" w:rsidRDefault="00EB481C">
            <w:pPr>
              <w:pStyle w:val="P68B1DB1-Normal13"/>
              <w:spacing w:after="0" w:line="240" w:lineRule="auto"/>
              <w:rPr>
                <w:rFonts w:eastAsia="Times New Roman" w:cs="Times New Roman"/>
                <w:noProof/>
              </w:rPr>
            </w:pPr>
            <w:r>
              <w:rPr>
                <w:noProof/>
              </w:rPr>
              <w:t xml:space="preserve">A hulladékról és a szennyezett talajról szóló törvény hatálybalépése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6D27EA56" w14:textId="77777777" w:rsidR="003E1D81" w:rsidRDefault="00EB481C">
            <w:pPr>
              <w:pStyle w:val="P68B1DB1-Normal13"/>
              <w:spacing w:after="0" w:line="240" w:lineRule="auto"/>
              <w:jc w:val="center"/>
              <w:rPr>
                <w:rFonts w:eastAsia="Times New Roman" w:cs="Times New Roman"/>
                <w:noProof/>
              </w:rPr>
            </w:pPr>
            <w:r>
              <w:rPr>
                <w:noProof/>
              </w:rPr>
              <w:t xml:space="preserve"> A törvény hatálybalépésére vonatkozó jogszabályi rendelkezés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F55C560" w14:textId="77777777" w:rsidR="003E1D81" w:rsidRDefault="00EB481C">
            <w:pPr>
              <w:pStyle w:val="P68B1DB1-Normal13"/>
              <w:spacing w:after="0" w:line="240" w:lineRule="auto"/>
              <w:jc w:val="right"/>
              <w:rPr>
                <w:rFonts w:eastAsia="Times New Roman" w:cs="Times New Roman"/>
                <w:noProof/>
              </w:rPr>
            </w:pPr>
            <w:r>
              <w:rPr>
                <w:noProof/>
              </w:rPr>
              <w:t>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0881CF84" w14:textId="77777777" w:rsidR="003E1D81" w:rsidRDefault="00EB481C">
            <w:pPr>
              <w:pStyle w:val="P68B1DB1-Normal13"/>
              <w:spacing w:after="0" w:line="240" w:lineRule="auto"/>
              <w:jc w:val="right"/>
              <w:rPr>
                <w:rFonts w:eastAsia="Times New Roman" w:cs="Times New Roman"/>
                <w:noProof/>
              </w:rPr>
            </w:pPr>
            <w:r>
              <w:rPr>
                <w:noProof/>
              </w:rPr>
              <w:t>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702B40C" w14:textId="77777777" w:rsidR="003E1D81" w:rsidRDefault="00EB481C">
            <w:pPr>
              <w:pStyle w:val="P68B1DB1-Normal13"/>
              <w:spacing w:after="0" w:line="240" w:lineRule="auto"/>
              <w:jc w:val="right"/>
              <w:rPr>
                <w:rFonts w:eastAsia="Times New Roman" w:cs="Times New Roman"/>
                <w:noProof/>
              </w:rPr>
            </w:pPr>
            <w:r>
              <w:rPr>
                <w:noProof/>
              </w:rPr>
              <w:t>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DC219EF"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A69BD1D" w14:textId="77777777" w:rsidR="003E1D81" w:rsidRDefault="00EB481C">
            <w:pPr>
              <w:pStyle w:val="P68B1DB1-Normal13"/>
              <w:spacing w:after="0" w:line="240" w:lineRule="auto"/>
              <w:jc w:val="center"/>
              <w:rPr>
                <w:rFonts w:eastAsia="Times New Roman" w:cs="Times New Roman"/>
                <w:noProof/>
              </w:rPr>
            </w:pPr>
            <w:r>
              <w:rPr>
                <w:noProof/>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2588F2D4" w14:textId="77777777" w:rsidR="003E1D81" w:rsidRDefault="00EB481C">
            <w:pPr>
              <w:pStyle w:val="P68B1DB1-Normal13"/>
              <w:spacing w:after="0" w:line="240" w:lineRule="auto"/>
              <w:rPr>
                <w:rFonts w:cs="Times New Roman"/>
                <w:noProof/>
              </w:rPr>
            </w:pPr>
            <w:r>
              <w:rPr>
                <w:noProof/>
              </w:rPr>
              <w:t xml:space="preserve">A törvény a következőket tartalmazza: </w:t>
            </w:r>
            <w:r>
              <w:rPr>
                <w:noProof/>
              </w:rPr>
              <w:br/>
              <w:t>a hulladékokról szóló keretirányelv és az egyszer használatos mű</w:t>
            </w:r>
            <w:r>
              <w:rPr>
                <w:noProof/>
              </w:rPr>
              <w:t xml:space="preserve">anyagokról szóló irányelv végrehajtása, valamint a spanyol szabályozás naprakésszé tétele az elmúlt tíz év tapasztalatainak fényében; </w:t>
            </w:r>
            <w:r>
              <w:rPr>
                <w:noProof/>
              </w:rPr>
              <w:br/>
              <w:t>a hulladékkal kapcsolatos uniós célkitűzések és az uniós szabályozásból eredő, az elkülönített gyűjtésre vonatkozó kötele</w:t>
            </w:r>
            <w:r>
              <w:rPr>
                <w:noProof/>
              </w:rPr>
              <w:t>zettségek bevezetése, előre jelezve azoknak az 5000 lakosnál több lakosú településeken történő alkalmazását a biohulladékban.  Az intézkedésnek továbbá olyan elkülönített gyűjtési kötelezettségeket kell bevezetnie, amelyek túlmutatnak az uniós jogban megha</w:t>
            </w:r>
            <w:r>
              <w:rPr>
                <w:noProof/>
              </w:rPr>
              <w:t>tározott követelményeken;</w:t>
            </w:r>
            <w:r>
              <w:rPr>
                <w:noProof/>
              </w:rPr>
              <w:br/>
              <w:t>a kiterjesztett gyártói felelősség szabályozásának felülvizsgálata, olyan újak létrehozása révén, amelyek túlmutatnak az uniós jog által előírtakon;</w:t>
            </w:r>
            <w:r>
              <w:rPr>
                <w:noProof/>
              </w:rPr>
              <w:br/>
              <w:t>a hulladékra (beleértve a hulladéklerakókat, az égetést és az együttégetést, vala</w:t>
            </w:r>
            <w:r>
              <w:rPr>
                <w:noProof/>
              </w:rPr>
              <w:t>mint az egyszer használatos műanyag tárolóedényeket) vonatkozó állami adók bevezetése.</w:t>
            </w:r>
          </w:p>
        </w:tc>
      </w:tr>
      <w:tr w:rsidR="003E1D81" w14:paraId="36D9C0F6"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38F62307" w14:textId="77777777" w:rsidR="003E1D81" w:rsidRDefault="00EB481C">
            <w:pPr>
              <w:pStyle w:val="P68B1DB1-Normal13"/>
              <w:spacing w:after="0" w:line="240" w:lineRule="auto"/>
              <w:jc w:val="center"/>
              <w:rPr>
                <w:rFonts w:eastAsia="Times New Roman" w:cs="Times New Roman"/>
                <w:noProof/>
              </w:rPr>
            </w:pPr>
            <w:r>
              <w:rPr>
                <w:noProof/>
              </w:rPr>
              <w:t>180</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5AA93F1" w14:textId="77777777" w:rsidR="003E1D81" w:rsidRDefault="00EB481C">
            <w:pPr>
              <w:pStyle w:val="P68B1DB1-Normal13"/>
              <w:spacing w:after="0" w:line="240" w:lineRule="auto"/>
              <w:jc w:val="center"/>
              <w:rPr>
                <w:rFonts w:eastAsia="Times New Roman" w:cs="Times New Roman"/>
                <w:noProof/>
              </w:rPr>
            </w:pPr>
            <w:r>
              <w:rPr>
                <w:noProof/>
              </w:rPr>
              <w:t>C12.I1</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0BFA5A92" w14:textId="77777777" w:rsidR="003E1D81" w:rsidRDefault="00EB481C">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E715A99" w14:textId="77777777" w:rsidR="003E1D81" w:rsidRDefault="00EB481C">
            <w:pPr>
              <w:pStyle w:val="P68B1DB1-Normal13"/>
              <w:spacing w:after="0" w:line="240" w:lineRule="auto"/>
              <w:rPr>
                <w:rFonts w:eastAsia="Times New Roman" w:cs="Times New Roman"/>
                <w:noProof/>
              </w:rPr>
            </w:pPr>
            <w:r>
              <w:rPr>
                <w:noProof/>
              </w:rPr>
              <w:t>Nagy értékű ágazati és interoperábilis adatterek</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7DAD64F6" w14:textId="77777777" w:rsidR="003E1D81" w:rsidRDefault="00EB481C">
            <w:pPr>
              <w:pStyle w:val="P68B1DB1-Normal13"/>
              <w:spacing w:after="0" w:line="240" w:lineRule="auto"/>
              <w:jc w:val="center"/>
              <w:rPr>
                <w:rFonts w:eastAsia="Times New Roman"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0073937" w14:textId="77777777" w:rsidR="003E1D81" w:rsidRDefault="00EB481C">
            <w:pPr>
              <w:pStyle w:val="P68B1DB1-Normal13"/>
              <w:spacing w:after="0" w:line="240" w:lineRule="auto"/>
              <w:jc w:val="right"/>
              <w:rPr>
                <w:rFonts w:eastAsia="Times New Roman" w:cs="Times New Roman"/>
                <w:noProof/>
              </w:rPr>
            </w:pPr>
            <w:r>
              <w:rPr>
                <w:noProof/>
              </w:rPr>
              <w:t>Szám</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02AB299" w14:textId="77777777" w:rsidR="003E1D81" w:rsidRDefault="00EB481C">
            <w:pPr>
              <w:pStyle w:val="P68B1DB1-Normal13"/>
              <w:spacing w:after="0" w:line="240" w:lineRule="auto"/>
              <w:jc w:val="right"/>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1125339" w14:textId="77777777" w:rsidR="003E1D81" w:rsidRDefault="00EB481C">
            <w:pPr>
              <w:pStyle w:val="P68B1DB1-Normal13"/>
              <w:spacing w:after="0" w:line="240" w:lineRule="auto"/>
              <w:jc w:val="right"/>
              <w:rPr>
                <w:rFonts w:eastAsia="Times New Roman" w:cs="Times New Roman"/>
                <w:noProof/>
              </w:rPr>
            </w:pPr>
            <w:r>
              <w:rPr>
                <w:noProof/>
              </w:rPr>
              <w:t>4</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70FAFA9"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FD2CD45" w14:textId="77777777" w:rsidR="003E1D81" w:rsidRDefault="00EB481C">
            <w:pPr>
              <w:pStyle w:val="P68B1DB1-Normal13"/>
              <w:spacing w:after="0" w:line="240" w:lineRule="auto"/>
              <w:jc w:val="center"/>
              <w:rPr>
                <w:rFonts w:eastAsia="Times New Roman"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3519B8F8" w14:textId="77777777" w:rsidR="003E1D81" w:rsidRDefault="00EB481C">
            <w:pPr>
              <w:pStyle w:val="P68B1DB1-Normal13"/>
              <w:spacing w:after="0" w:line="240" w:lineRule="auto"/>
              <w:rPr>
                <w:rFonts w:eastAsia="Times New Roman" w:cs="Times New Roman"/>
                <w:noProof/>
              </w:rPr>
            </w:pPr>
            <w:r>
              <w:rPr>
                <w:noProof/>
              </w:rPr>
              <w:t xml:space="preserve">A stratégiai ágazatokban létrehozott nagy értékű, nagy értékű ágazati és interoperábilis adatterek. Legalább négyet az agrár-élelmiszeripari ágazatban, a fenntartható mobilitási ágazatban, az egészségügyi ágazatban és a kereskedelmi ágazatban, összhangban </w:t>
            </w:r>
            <w:r>
              <w:rPr>
                <w:noProof/>
              </w:rPr>
              <w:t>a jelentős károkozás elkerülését célzó elvről szóló technikai iránymutatással (2021/C58/01) a kizárási lista és a vonatkozó uniós és nemzeti környezetvédelmi jogszabályoknak való megfelelés követelménye révén. Az erre a célra igénybe vett költségvetés végr</w:t>
            </w:r>
            <w:r>
              <w:rPr>
                <w:noProof/>
              </w:rPr>
              <w:t xml:space="preserve">ehajtása legalább 400 000 000 EUR. </w:t>
            </w:r>
          </w:p>
        </w:tc>
      </w:tr>
      <w:tr w:rsidR="003E1D81" w14:paraId="49B378B6"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5ACC600D" w14:textId="77777777" w:rsidR="003E1D81" w:rsidRDefault="00EB481C">
            <w:pPr>
              <w:pStyle w:val="P68B1DB1-Normal13"/>
              <w:spacing w:after="0" w:line="240" w:lineRule="auto"/>
              <w:jc w:val="center"/>
              <w:rPr>
                <w:rFonts w:eastAsia="Times New Roman" w:cs="Times New Roman"/>
                <w:noProof/>
              </w:rPr>
            </w:pPr>
            <w:r>
              <w:rPr>
                <w:noProof/>
              </w:rPr>
              <w:t>181</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D8DC5E3" w14:textId="77777777" w:rsidR="003E1D81" w:rsidRDefault="00EB481C">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72ED7645" w14:textId="77777777" w:rsidR="003E1D81" w:rsidRDefault="00EB481C">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ADF28FC" w14:textId="77777777" w:rsidR="003E1D81" w:rsidRDefault="00EB481C">
            <w:pPr>
              <w:pStyle w:val="P68B1DB1-Normal13"/>
              <w:spacing w:after="0" w:line="240" w:lineRule="auto"/>
              <w:rPr>
                <w:rFonts w:eastAsia="Times New Roman" w:cs="Times New Roman"/>
                <w:noProof/>
              </w:rPr>
            </w:pPr>
            <w:r>
              <w:rPr>
                <w:noProof/>
              </w:rPr>
              <w:t>Terv a gépjárműipar értékláncának fellendítésére a fenntartható és összekapcsolt mobilitás felé</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7E33FF05" w14:textId="77777777" w:rsidR="003E1D81" w:rsidRDefault="00EB481C">
            <w:pPr>
              <w:pStyle w:val="P68B1DB1-Normal13"/>
              <w:spacing w:after="0" w:line="240" w:lineRule="auto"/>
              <w:jc w:val="center"/>
              <w:rPr>
                <w:rFonts w:eastAsia="Times New Roman" w:cs="Times New Roman"/>
                <w:noProof/>
              </w:rPr>
            </w:pPr>
            <w:r>
              <w:rPr>
                <w:noProof/>
              </w:rPr>
              <w:t>A Miniszterek Tanácsának jóváhagyása</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BCB5ADA"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36936BC"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665A675"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4AFC060"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57415F7" w14:textId="77777777" w:rsidR="003E1D81" w:rsidRDefault="00EB481C">
            <w:pPr>
              <w:pStyle w:val="P68B1DB1-Normal13"/>
              <w:spacing w:after="0" w:line="240" w:lineRule="auto"/>
              <w:jc w:val="center"/>
              <w:rPr>
                <w:rFonts w:eastAsia="Times New Roman" w:cs="Times New Roman"/>
                <w:noProof/>
              </w:rPr>
            </w:pPr>
            <w:r>
              <w:rPr>
                <w:noProof/>
              </w:rPr>
              <w:t>2020</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117B7E93" w14:textId="77777777" w:rsidR="003E1D81" w:rsidRDefault="00EB481C">
            <w:pPr>
              <w:pStyle w:val="P68B1DB1-Normal13"/>
              <w:spacing w:after="0" w:line="240" w:lineRule="auto"/>
              <w:rPr>
                <w:rFonts w:eastAsia="Times New Roman" w:cs="Times New Roman"/>
                <w:noProof/>
              </w:rPr>
            </w:pPr>
            <w:r>
              <w:rPr>
                <w:noProof/>
              </w:rPr>
              <w:t xml:space="preserve">A gépjárműipar értékláncának a fenntartható és összekapcsolt mobilitás felé történő fellendítésére irányuló terv minisztertanács általi jóváhagyása. </w:t>
            </w:r>
          </w:p>
        </w:tc>
      </w:tr>
      <w:tr w:rsidR="003E1D81" w14:paraId="17F7E0DC"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052AB783" w14:textId="77777777" w:rsidR="003E1D81" w:rsidRDefault="00EB481C">
            <w:pPr>
              <w:pStyle w:val="P68B1DB1-Normal13"/>
              <w:spacing w:after="0" w:line="240" w:lineRule="auto"/>
              <w:jc w:val="center"/>
              <w:rPr>
                <w:rFonts w:eastAsia="Times New Roman" w:cs="Times New Roman"/>
                <w:noProof/>
              </w:rPr>
            </w:pPr>
            <w:r>
              <w:rPr>
                <w:noProof/>
              </w:rPr>
              <w:t>182</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2CEC473" w14:textId="77777777" w:rsidR="003E1D81" w:rsidRDefault="00EB481C">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615361E4" w14:textId="77777777" w:rsidR="003E1D81" w:rsidRDefault="00EB481C">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56DF5A2B" w14:textId="77777777" w:rsidR="003E1D81" w:rsidRDefault="00EB481C">
            <w:pPr>
              <w:pStyle w:val="P68B1DB1-Normal13"/>
              <w:spacing w:after="0" w:line="240" w:lineRule="auto"/>
              <w:rPr>
                <w:rFonts w:eastAsia="Times New Roman" w:cs="Times New Roman"/>
                <w:noProof/>
              </w:rPr>
            </w:pPr>
            <w:r>
              <w:rPr>
                <w:noProof/>
              </w:rPr>
              <w:t>PERTE az elektromos járművek területén</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1930481" w14:textId="77777777" w:rsidR="003E1D81" w:rsidRDefault="00EB481C">
            <w:pPr>
              <w:pStyle w:val="P68B1DB1-Normal13"/>
              <w:spacing w:after="0" w:line="240" w:lineRule="auto"/>
              <w:jc w:val="center"/>
              <w:rPr>
                <w:rFonts w:eastAsia="Times New Roman" w:cs="Times New Roman"/>
                <w:noProof/>
              </w:rPr>
            </w:pPr>
            <w:r>
              <w:rPr>
                <w:noProof/>
              </w:rPr>
              <w:t>A Miniszterek Tanácsának jóváhagyása</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10209D63"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E428E3E" w14:textId="77777777" w:rsidR="003E1D81" w:rsidRDefault="003E1D81">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A57D1F6" w14:textId="77777777" w:rsidR="003E1D81" w:rsidRDefault="003E1D81">
            <w:pPr>
              <w:spacing w:after="0" w:line="240" w:lineRule="auto"/>
              <w:jc w:val="center"/>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61ECAB8"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653D474" w14:textId="77777777" w:rsidR="003E1D81" w:rsidRDefault="00EB481C">
            <w:pPr>
              <w:pStyle w:val="P68B1DB1-Normal13"/>
              <w:spacing w:after="0" w:line="240" w:lineRule="auto"/>
              <w:jc w:val="center"/>
              <w:rPr>
                <w:rFonts w:eastAsia="Times New Roman" w:cs="Times New Roman"/>
                <w:noProof/>
              </w:rPr>
            </w:pPr>
            <w:r>
              <w:rPr>
                <w:noProof/>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90A3749" w14:textId="77777777" w:rsidR="003E1D81" w:rsidRDefault="00EB481C">
            <w:pPr>
              <w:pStyle w:val="P68B1DB1-Normal13"/>
              <w:spacing w:after="0" w:line="240" w:lineRule="auto"/>
              <w:rPr>
                <w:rFonts w:eastAsia="Times New Roman" w:cs="Times New Roman"/>
                <w:noProof/>
              </w:rPr>
            </w:pPr>
            <w:r>
              <w:rPr>
                <w:noProof/>
              </w:rPr>
              <w:t>Az elektromos járművek stratégiai területén a gazdasági fellendülést és átalakítást célzó stratégiai projekt (PERTE) Miniszterek Tanácsa általi jóváhagyása, valamint legalább 400 000 000 EUR összegű támogatás elkülönítése. A PERTE jóváhagyó határozatá</w:t>
            </w:r>
            <w:r>
              <w:rPr>
                <w:noProof/>
              </w:rPr>
              <w:t>nak részletes kiválasztási kritériumokat kell tartalmaznia a jelentős károkozás elkerülését célzó technikai iránymutatásnak (2021/C58/01) való megfelelés biztosítása érdekében, a kizárási lista és a vonatkozó uniós és nemzeti környezetvédelmi jogszabályokn</w:t>
            </w:r>
            <w:r>
              <w:rPr>
                <w:noProof/>
              </w:rPr>
              <w:t>ak való megfelelés követelménye révén. A kiválasztási kritériumoknak emellett tükrözniük kell az éghajlatváltozással kapcsolatos célkitűzések tekintetében alkalmazandó beavatkozási területek követelményeit, a Helyreállítási és Rezilienciaépítési Eszköz lét</w:t>
            </w:r>
            <w:r>
              <w:rPr>
                <w:noProof/>
              </w:rPr>
              <w:t>rehozásáról szóló, 2021. február 12-i (EU) 2021/241 európai parlamenti és tanácsi rendelet VI. mellékletével összhangban.</w:t>
            </w:r>
          </w:p>
        </w:tc>
      </w:tr>
      <w:tr w:rsidR="003E1D81" w14:paraId="1FF85CB4"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B7A1CC9" w14:textId="1D4B45E1" w:rsidR="003E1D81" w:rsidRDefault="00EB481C">
            <w:pPr>
              <w:pStyle w:val="P68B1DB1-Normal13"/>
              <w:spacing w:after="0" w:line="240" w:lineRule="auto"/>
              <w:jc w:val="center"/>
              <w:rPr>
                <w:rFonts w:eastAsia="Times New Roman" w:cs="Times New Roman"/>
                <w:noProof/>
              </w:rPr>
            </w:pPr>
            <w:r>
              <w:rPr>
                <w:noProof/>
              </w:rPr>
              <w:t>183</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6AEFBB9" w14:textId="77777777" w:rsidR="003E1D81" w:rsidRDefault="00EB481C">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71FBC497" w14:textId="77777777" w:rsidR="003E1D81" w:rsidRDefault="00EB481C">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62B1D3A2" w14:textId="77777777" w:rsidR="003E1D81" w:rsidRDefault="00EB481C">
            <w:pPr>
              <w:pStyle w:val="P68B1DB1-Normal13"/>
              <w:spacing w:after="0" w:line="240" w:lineRule="auto"/>
              <w:rPr>
                <w:rFonts w:eastAsia="Times New Roman" w:cs="Times New Roman"/>
                <w:noProof/>
              </w:rPr>
            </w:pPr>
            <w:r>
              <w:rPr>
                <w:noProof/>
              </w:rPr>
              <w:t xml:space="preserve">PERTE-k a tervben meghatározott stratégiai területeken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B10D494" w14:textId="77777777" w:rsidR="003E1D81" w:rsidRDefault="00EB481C">
            <w:pPr>
              <w:pStyle w:val="P68B1DB1-Normal13"/>
              <w:spacing w:after="0" w:line="240" w:lineRule="auto"/>
              <w:jc w:val="center"/>
              <w:rPr>
                <w:rFonts w:eastAsia="Times New Roman" w:cs="Times New Roman"/>
                <w:noProof/>
              </w:rPr>
            </w:pPr>
            <w:r>
              <w:rPr>
                <w:noProof/>
              </w:rPr>
              <w:t>A Miniszterek Tanácsának jóváhagyása</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FB80CBB"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2CD290A" w14:textId="77777777" w:rsidR="003E1D81" w:rsidRDefault="003E1D81">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3AC4CEF" w14:textId="77777777" w:rsidR="003E1D81" w:rsidRDefault="003E1D81">
            <w:pPr>
              <w:spacing w:after="0" w:line="240" w:lineRule="auto"/>
              <w:jc w:val="center"/>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141040AC"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E8DC3C6" w14:textId="77777777" w:rsidR="003E1D81" w:rsidRDefault="00EB481C">
            <w:pPr>
              <w:pStyle w:val="P68B1DB1-Normal13"/>
              <w:spacing w:after="0" w:line="240" w:lineRule="auto"/>
              <w:jc w:val="center"/>
              <w:rPr>
                <w:rFonts w:eastAsia="Times New Roman" w:cs="Times New Roman"/>
                <w:noProof/>
              </w:rPr>
            </w:pPr>
            <w:r>
              <w:rPr>
                <w:noProof/>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2F9C7319" w14:textId="18272EC8" w:rsidR="003E1D81" w:rsidRDefault="00EB481C">
            <w:pPr>
              <w:pStyle w:val="P68B1DB1-Normal13"/>
              <w:spacing w:after="0" w:line="240" w:lineRule="auto"/>
              <w:rPr>
                <w:rFonts w:eastAsia="Times New Roman" w:cs="Times New Roman"/>
                <w:noProof/>
              </w:rPr>
            </w:pPr>
            <w:r>
              <w:rPr>
                <w:noProof/>
              </w:rPr>
              <w:t>Legalább két PERTE-nek a Miniszterek Tanácsa általi jóváhagyása és összesen legalább 800 000 000 EUR összegű támogatás elkülönítése egyéb stratégiai területeken, például az agrár-élelmiszeriparban, az egészségügyben, a repüléstechnikai és a haditengerészet</w:t>
            </w:r>
            <w:r>
              <w:rPr>
                <w:noProof/>
              </w:rPr>
              <w:t>i ágazatban, valamint a megújuló energiákhoz kapcsolódó ipari ágazatokban, valamint a processzorok és félvezető technológiák tervezési és gyártási képességeiben. A PERTE jóváhagyó határozatának részletes kiválasztási kritériumokat kell tartalmaznia a jelen</w:t>
            </w:r>
            <w:r>
              <w:rPr>
                <w:noProof/>
              </w:rPr>
              <w:t>tős károkozás elkerülését célzó technikai iránymutatásnak (2021/C58/01) való megfelelés biztosítása érdekében, a kizárási lista és a vonatkozó uniós és nemzeti környezetvédelmi jogszabályoknak való megfelelés követelménye révén. A kiválasztási kritériumokn</w:t>
            </w:r>
            <w:r>
              <w:rPr>
                <w:noProof/>
              </w:rPr>
              <w:t>ak emellett tükrözniük kell az éghajlatváltozással kapcsolatos célkitűzések tekintetében alkalmazandó beavatkozási területek követelményeit, a Helyreállítási és Rezilienciaépítési Eszköz létrehozásáról szóló, 2021. február 12-i (EU) 2021/241 európai parlam</w:t>
            </w:r>
            <w:r>
              <w:rPr>
                <w:noProof/>
              </w:rPr>
              <w:t xml:space="preserve">enti és tanácsi rendelet VI. mellékletével összhangban. </w:t>
            </w:r>
          </w:p>
        </w:tc>
      </w:tr>
      <w:tr w:rsidR="003E1D81" w14:paraId="466C1B6D"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60917F8" w14:textId="77777777" w:rsidR="003E1D81" w:rsidRDefault="00EB481C">
            <w:pPr>
              <w:pStyle w:val="P68B1DB1-Normal13"/>
              <w:spacing w:after="0" w:line="240" w:lineRule="auto"/>
              <w:jc w:val="center"/>
              <w:rPr>
                <w:rFonts w:eastAsia="Times New Roman" w:cs="Times New Roman"/>
                <w:noProof/>
              </w:rPr>
            </w:pPr>
            <w:r>
              <w:rPr>
                <w:noProof/>
              </w:rPr>
              <w:t>184</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75E94FDF" w14:textId="77777777" w:rsidR="003E1D81" w:rsidRDefault="00EB481C">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2AA027E" w14:textId="77777777" w:rsidR="003E1D81" w:rsidRDefault="00EB481C">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F2E6595" w14:textId="77777777" w:rsidR="003E1D81" w:rsidRDefault="00EB481C">
            <w:pPr>
              <w:pStyle w:val="P68B1DB1-Normal13"/>
              <w:spacing w:after="0" w:line="240" w:lineRule="auto"/>
              <w:rPr>
                <w:rFonts w:eastAsia="Times New Roman" w:cs="Times New Roman"/>
                <w:noProof/>
              </w:rPr>
            </w:pPr>
            <w:r>
              <w:rPr>
                <w:noProof/>
              </w:rPr>
              <w:t xml:space="preserve">Innovatív projektek az ipar átalakítására az energiahatékonyság, a fenntarthatóság és a digitalizáció szempontjából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1FBB562" w14:textId="77777777" w:rsidR="003E1D81" w:rsidRDefault="00EB481C">
            <w:pPr>
              <w:pStyle w:val="P68B1DB1-Normal13"/>
              <w:spacing w:after="0" w:line="240" w:lineRule="auto"/>
              <w:jc w:val="center"/>
              <w:rPr>
                <w:rFonts w:eastAsia="Times New Roman"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406A498B" w14:textId="77777777" w:rsidR="003E1D81" w:rsidRDefault="00EB481C">
            <w:pPr>
              <w:pStyle w:val="P68B1DB1-Normal13"/>
              <w:spacing w:after="0" w:line="240" w:lineRule="auto"/>
              <w:jc w:val="right"/>
              <w:rPr>
                <w:rFonts w:eastAsia="Times New Roman" w:cs="Times New Roman"/>
                <w:noProof/>
              </w:rPr>
            </w:pPr>
            <w:r>
              <w:rPr>
                <w:noProof/>
              </w:rPr>
              <w:t>Szám</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8942446" w14:textId="77777777" w:rsidR="003E1D81" w:rsidRDefault="00EB481C">
            <w:pPr>
              <w:pStyle w:val="P68B1DB1-Normal13"/>
              <w:spacing w:after="0" w:line="240" w:lineRule="auto"/>
              <w:jc w:val="center"/>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64075E8" w14:textId="77777777" w:rsidR="003E1D81" w:rsidRDefault="00EB481C">
            <w:pPr>
              <w:pStyle w:val="P68B1DB1-Normal13"/>
              <w:spacing w:after="0" w:line="240" w:lineRule="auto"/>
              <w:jc w:val="center"/>
              <w:rPr>
                <w:rFonts w:eastAsia="Times New Roman" w:cs="Times New Roman"/>
                <w:noProof/>
              </w:rPr>
            </w:pPr>
            <w:r>
              <w:rPr>
                <w:noProof/>
              </w:rPr>
              <w:t>78</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21F83560"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A247386" w14:textId="10E74AB4" w:rsidR="003E1D81" w:rsidRDefault="00EB481C">
            <w:pPr>
              <w:pStyle w:val="P68B1DB1-Normal13"/>
              <w:spacing w:after="0" w:line="240" w:lineRule="auto"/>
              <w:jc w:val="center"/>
              <w:rPr>
                <w:rFonts w:eastAsia="Times New Roman" w:cs="Times New Roman"/>
                <w:noProof/>
              </w:rPr>
            </w:pPr>
            <w:r>
              <w:rPr>
                <w:noProof/>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370B8BD" w14:textId="77777777" w:rsidR="003E1D81" w:rsidRDefault="00EB481C">
            <w:pPr>
              <w:pStyle w:val="P68B1DB1-Normal13"/>
              <w:spacing w:after="0" w:line="240" w:lineRule="auto"/>
              <w:rPr>
                <w:rFonts w:eastAsia="Times New Roman" w:cs="Times New Roman"/>
                <w:noProof/>
              </w:rPr>
            </w:pPr>
            <w:r>
              <w:rPr>
                <w:noProof/>
              </w:rPr>
              <w:t>Az ipari miniszter legalább 1 200 000 000 EUR-t ítél oda legalább 78 innovatív projektnek, beleértve a jóváhagyott PERTE-projektekhez kapcsolódó projekteket (legalább 3), amelyek az energiahatékonyság, a fenntarthatóság és a digitális átalakulás szempontjá</w:t>
            </w:r>
            <w:r>
              <w:rPr>
                <w:noProof/>
              </w:rPr>
              <w:t>ból jelentős ipari átalakulást foglalnak magukban. Projektek kiválasztása a Hivatalos Lapban közzétett felhívás alapján, a jelentős károkozás elkerülését célzó technikai iránymutatásnak (2021/C58/01) való megfelelés kiválasztási kritériumai alapján, kizárá</w:t>
            </w:r>
            <w:r>
              <w:rPr>
                <w:noProof/>
              </w:rPr>
              <w:t>si lista és a vonatkozó uniós és nemzeti környezetvédelmi jogszabályoknak való megfelelés követelménye révén. A kiválasztási kritériumoknak emellett tükrözniük kell az éghajlatváltozással kapcsolatos célkitűzések tekintetében alkalmazandó beavatkozási terü</w:t>
            </w:r>
            <w:r>
              <w:rPr>
                <w:noProof/>
              </w:rPr>
              <w:t xml:space="preserve">letek követelményeit, a Helyreállítási és Rezilienciaépítési Eszköz létrehozásáról szóló, 2021. február 12-i (EU) 2021/241 európai parlamenti és tanácsi rendelet VI. mellékletével összhangban. </w:t>
            </w:r>
          </w:p>
        </w:tc>
      </w:tr>
      <w:tr w:rsidR="003E1D81" w14:paraId="52430A1A"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3C650CAC" w14:textId="77777777" w:rsidR="003E1D81" w:rsidRDefault="00EB481C">
            <w:pPr>
              <w:pStyle w:val="P68B1DB1-Normal13"/>
              <w:spacing w:after="0" w:line="240" w:lineRule="auto"/>
              <w:jc w:val="center"/>
              <w:rPr>
                <w:rFonts w:eastAsia="Times New Roman" w:cs="Times New Roman"/>
                <w:noProof/>
              </w:rPr>
            </w:pPr>
            <w:r>
              <w:rPr>
                <w:noProof/>
              </w:rPr>
              <w:t>185</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0BA407CA" w14:textId="01C286EF" w:rsidR="003E1D81" w:rsidRDefault="00EB481C">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2ECB9A0A" w14:textId="77777777" w:rsidR="003E1D81" w:rsidRDefault="00EB481C">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53E13A50" w14:textId="77777777" w:rsidR="003E1D81" w:rsidRDefault="00EB481C">
            <w:pPr>
              <w:pStyle w:val="P68B1DB1-Normal13"/>
              <w:spacing w:after="0" w:line="240" w:lineRule="auto"/>
              <w:rPr>
                <w:rFonts w:eastAsia="Times New Roman" w:cs="Times New Roman"/>
                <w:noProof/>
              </w:rPr>
            </w:pPr>
            <w:r>
              <w:rPr>
                <w:noProof/>
              </w:rPr>
              <w:t xml:space="preserve">A PERTE-k és az ipar átalakítására irányuló innovatív projektek költségvetésének végrehajtása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286F040" w14:textId="77777777" w:rsidR="003E1D81" w:rsidRDefault="00EB481C">
            <w:pPr>
              <w:pStyle w:val="P68B1DB1-Normal13"/>
              <w:spacing w:after="0" w:line="240" w:lineRule="auto"/>
              <w:jc w:val="center"/>
              <w:rPr>
                <w:rFonts w:eastAsia="Times New Roman"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DBB6AEB" w14:textId="77777777" w:rsidR="003E1D81" w:rsidRDefault="00EB481C">
            <w:pPr>
              <w:pStyle w:val="P68B1DB1-Normal13"/>
              <w:spacing w:after="0" w:line="240" w:lineRule="auto"/>
              <w:jc w:val="right"/>
              <w:rPr>
                <w:rFonts w:eastAsia="Times New Roman" w:cs="Times New Roman"/>
                <w:noProof/>
              </w:rPr>
            </w:pPr>
            <w:r>
              <w:rPr>
                <w:noProof/>
              </w:rPr>
              <w:t xml:space="preserve">EUR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A017E88" w14:textId="77777777" w:rsidR="003E1D81" w:rsidRDefault="00EB481C">
            <w:pPr>
              <w:pStyle w:val="P68B1DB1-Normal13"/>
              <w:spacing w:after="0" w:line="240" w:lineRule="auto"/>
              <w:jc w:val="center"/>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6600AFC" w14:textId="1EBF41D0" w:rsidR="003E1D81" w:rsidRDefault="00EB481C">
            <w:pPr>
              <w:pStyle w:val="P68B1DB1-Normal13"/>
              <w:spacing w:after="0" w:line="240" w:lineRule="auto"/>
              <w:jc w:val="center"/>
              <w:rPr>
                <w:rFonts w:eastAsia="Times New Roman" w:cs="Times New Roman"/>
                <w:noProof/>
              </w:rPr>
            </w:pPr>
            <w:r>
              <w:rPr>
                <w:noProof/>
              </w:rPr>
              <w:t>2 531 500 000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D924EBF"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0E3D020" w14:textId="77777777" w:rsidR="003E1D81" w:rsidRDefault="00EB481C">
            <w:pPr>
              <w:pStyle w:val="P68B1DB1-Normal13"/>
              <w:spacing w:after="0" w:line="240" w:lineRule="auto"/>
              <w:jc w:val="center"/>
              <w:rPr>
                <w:rFonts w:eastAsia="Times New Roman" w:cs="Times New Roman"/>
                <w:noProof/>
              </w:rPr>
            </w:pPr>
            <w:r>
              <w:rPr>
                <w:noProof/>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2EB43431" w14:textId="5FF42028" w:rsidR="003E1D81" w:rsidRDefault="00EB481C">
            <w:pPr>
              <w:pStyle w:val="P68B1DB1-Normal13"/>
              <w:spacing w:after="0" w:line="240" w:lineRule="auto"/>
              <w:rPr>
                <w:rFonts w:eastAsia="Times New Roman" w:cs="Times New Roman"/>
                <w:noProof/>
              </w:rPr>
            </w:pPr>
            <w:r>
              <w:rPr>
                <w:noProof/>
              </w:rPr>
              <w:t>Legalább 2 531 500 000 EUR összegű költségvetés-végrehajtás mozgósítása legalább 210 innovatív projekt keretében, beleértve</w:t>
            </w:r>
            <w:r>
              <w:rPr>
                <w:noProof/>
              </w:rPr>
              <w:t xml:space="preserve"> a jóváhagyott PERTE-projektekhez kapcsolódókat is (legalább 3), amelyek az iparnak az energiahatékonyság, a fenntarthatóság és a digitális átalakulás szempontjából történő valódi átalakításával járnak, összhangban a jelentős károkozás elkerülését célzó te</w:t>
            </w:r>
            <w:r>
              <w:rPr>
                <w:noProof/>
              </w:rPr>
              <w:t>chnikai iránymutatással (2021/C58/01) összhangban, kizárási lista és a vonatkozó uniós és nemzeti környezetvédelmi jogszabályoknak való megfelelés követelménye révén. A kiválasztási kritériumoknak biztosítaniuk kell, hogy a Helyreállítási és Rezilienciaépí</w:t>
            </w:r>
            <w:r>
              <w:rPr>
                <w:noProof/>
              </w:rPr>
              <w:t>tési Eszköz létrehozásáról szóló, 2021. február 12-i (EU) 2021/241 európai parlamenti és tanácsi rendelet VI. mellékletével összhangban legalább 455 000 000 EUR 100</w:t>
            </w:r>
            <w:r>
              <w:rPr>
                <w:noProof/>
                <w:shd w:val="clear" w:color="auto" w:fill="E6E6E6"/>
              </w:rPr>
              <w:t>%-os éghajlati együtthatóval és legalább 1 500 0 00 000 EUR-val és 40%</w:t>
            </w:r>
            <w:r>
              <w:rPr>
                <w:noProof/>
              </w:rPr>
              <w:t>-os éghajlati együttha</w:t>
            </w:r>
            <w:r>
              <w:rPr>
                <w:noProof/>
              </w:rPr>
              <w:t xml:space="preserve">tóval járuljanak hozzá az éghajlatváltozással kapcsolatos célkitűzésekhez. Alternatív megoldásként, ha az alternatív megközelítés esetlegesen nem megvalósíthatóságának indoklásával kellően indokolt, a kiválasztási kritériumoknak biztosítaniuk kell, hogy a </w:t>
            </w:r>
            <w:r>
              <w:rPr>
                <w:noProof/>
              </w:rPr>
              <w:t>Helyreállítási és Rezilienciaépítési Eszköz létrehozásáról szóló, 2021. február 12-i (EU) 2021/241 európai parlamenti és tanácsi rendelet VI. mellékletével összhangban legalább 2 531 500 000 EUR átlagosan legalább 40%-os éghajlati együtthatóval járuljon ho</w:t>
            </w:r>
            <w:r>
              <w:rPr>
                <w:noProof/>
              </w:rPr>
              <w:t xml:space="preserve">zzá az éghajlatváltozással kapcsolatos célkitűzésekhez. A Helyreállítási </w:t>
            </w:r>
            <w:r>
              <w:rPr>
                <w:noProof/>
                <w:shd w:val="clear" w:color="auto" w:fill="E6E6E6"/>
              </w:rPr>
              <w:t>és Rezilienciaépítési Eszköz forrásaiból legalább 3 800 000 000 EUR összegű magánberuházásokat</w:t>
            </w:r>
            <w:r>
              <w:rPr>
                <w:noProof/>
              </w:rPr>
              <w:t xml:space="preserve"> kell mozgósítani, többek között a jelentős károkozás elkerülését célzó elvről szóló tech</w:t>
            </w:r>
            <w:r>
              <w:rPr>
                <w:noProof/>
              </w:rPr>
              <w:t>nikai iránymutatással (2021/C58/01) összhangban, kizárási lista és a vonatkozó uniós és nemzeti környezetvédelmi jogszabályoknak való megfelelés követelménye révén. Ez a célkitűzés nem tekinthető teljesítettnek abban az esetben, ha bármely olyan intézkedés</w:t>
            </w:r>
            <w:r>
              <w:rPr>
                <w:noProof/>
              </w:rPr>
              <w:t>, amelyre a költségvetést lekötötték, az EUMSZ 107. cikkével összhangban állami támogatásnak minősül, amelyet be kell jelenteni a Bizottságnak, és 2024. december 31-ig nem kapta meg a Bizottság jóváhagyását.</w:t>
            </w:r>
          </w:p>
        </w:tc>
      </w:tr>
      <w:tr w:rsidR="003E1D81" w14:paraId="07D1830A"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0E75A2A" w14:textId="77777777" w:rsidR="003E1D81" w:rsidRDefault="00EB481C">
            <w:pPr>
              <w:pStyle w:val="P68B1DB1-Normal13"/>
              <w:spacing w:after="0" w:line="240" w:lineRule="auto"/>
              <w:jc w:val="center"/>
              <w:rPr>
                <w:rFonts w:eastAsia="Times New Roman" w:cs="Times New Roman"/>
                <w:noProof/>
              </w:rPr>
            </w:pPr>
            <w:r>
              <w:rPr>
                <w:noProof/>
              </w:rPr>
              <w:t>186</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767AEB79" w14:textId="77777777" w:rsidR="003E1D81" w:rsidRDefault="00EB481C">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64A888A6" w14:textId="77777777" w:rsidR="003E1D81" w:rsidRDefault="00EB481C">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308F46B6" w14:textId="77777777" w:rsidR="003E1D81" w:rsidRDefault="00EB481C">
            <w:pPr>
              <w:pStyle w:val="P68B1DB1-Normal13"/>
              <w:spacing w:after="0" w:line="240" w:lineRule="auto"/>
              <w:rPr>
                <w:rFonts w:eastAsia="Times New Roman" w:cs="Times New Roman"/>
                <w:noProof/>
              </w:rPr>
            </w:pPr>
            <w:r>
              <w:rPr>
                <w:noProof/>
              </w:rPr>
              <w:t xml:space="preserve">Az ipar átalakítására irányuló </w:t>
            </w:r>
            <w:r>
              <w:rPr>
                <w:noProof/>
              </w:rPr>
              <w:t>PERTE- és innovatív projektek lezárása</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3987802" w14:textId="77777777" w:rsidR="003E1D81" w:rsidRDefault="00EB481C">
            <w:pPr>
              <w:pStyle w:val="P68B1DB1-Normal13"/>
              <w:spacing w:after="0" w:line="240" w:lineRule="auto"/>
              <w:jc w:val="center"/>
              <w:rPr>
                <w:rFonts w:eastAsia="Times New Roman"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B408792" w14:textId="77777777" w:rsidR="003E1D81" w:rsidRDefault="00EB481C">
            <w:pPr>
              <w:pStyle w:val="P68B1DB1-Normal13"/>
              <w:spacing w:after="0" w:line="240" w:lineRule="auto"/>
              <w:jc w:val="right"/>
              <w:rPr>
                <w:rFonts w:eastAsia="Times New Roman" w:cs="Times New Roman"/>
                <w:noProof/>
              </w:rPr>
            </w:pPr>
            <w:r>
              <w:rPr>
                <w:noProof/>
              </w:rPr>
              <w:t xml:space="preserve">Szám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59DB146" w14:textId="77777777" w:rsidR="003E1D81" w:rsidRDefault="00EB481C">
            <w:pPr>
              <w:pStyle w:val="P68B1DB1-Normal13"/>
              <w:spacing w:after="0" w:line="240" w:lineRule="auto"/>
              <w:jc w:val="center"/>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DA69DF9" w14:textId="77777777" w:rsidR="003E1D81" w:rsidRDefault="00EB481C">
            <w:pPr>
              <w:pStyle w:val="P68B1DB1-Normal13"/>
              <w:spacing w:after="0" w:line="240" w:lineRule="auto"/>
              <w:jc w:val="center"/>
              <w:rPr>
                <w:rFonts w:eastAsia="Times New Roman" w:cs="Times New Roman"/>
                <w:noProof/>
              </w:rPr>
            </w:pPr>
            <w:r>
              <w:rPr>
                <w:noProof/>
              </w:rPr>
              <w:t>3</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C07479B"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E52B93D" w14:textId="77777777" w:rsidR="003E1D81" w:rsidRDefault="00EB481C">
            <w:pPr>
              <w:pStyle w:val="P68B1DB1-Normal13"/>
              <w:spacing w:after="0" w:line="240" w:lineRule="auto"/>
              <w:jc w:val="center"/>
              <w:rPr>
                <w:rFonts w:eastAsia="Times New Roman"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169907EB" w14:textId="61EA1AC6" w:rsidR="003E1D81" w:rsidRDefault="00EB481C">
            <w:pPr>
              <w:pStyle w:val="P68B1DB1-Normal13"/>
              <w:spacing w:after="0" w:line="240" w:lineRule="auto"/>
              <w:rPr>
                <w:rFonts w:eastAsia="Times New Roman" w:cs="Times New Roman"/>
                <w:noProof/>
              </w:rPr>
            </w:pPr>
            <w:r>
              <w:rPr>
                <w:noProof/>
              </w:rPr>
              <w:t>Legalább 210 innovatív projekt lezárása, beleértve a jóváhagyott PERTE-khoz kapcsolódókat is (legalább három), amelyek az iparnak az energiahatékonyság, a fenntarthatóság és a digitális átalaku</w:t>
            </w:r>
            <w:r>
              <w:rPr>
                <w:noProof/>
              </w:rPr>
              <w:t>lás szempontjából történő tényleges átalakításával járnak, összhangban a jelentős károkozás elkerülését célzó technikai iránymutatással (2021/C58/01) egy kizárási lista és a vonatkozó uniós és nemzeti környezetvédelmi jogszabályoknak való megfelelés követe</w:t>
            </w:r>
            <w:r>
              <w:rPr>
                <w:noProof/>
              </w:rPr>
              <w:t>lménye révén.</w:t>
            </w:r>
          </w:p>
        </w:tc>
      </w:tr>
      <w:tr w:rsidR="003E1D81" w14:paraId="5ACA68BD"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0B9CC0BF" w14:textId="77777777" w:rsidR="003E1D81" w:rsidRDefault="00EB481C">
            <w:pPr>
              <w:pStyle w:val="P68B1DB1-Normal13"/>
              <w:spacing w:after="0" w:line="240" w:lineRule="auto"/>
              <w:jc w:val="center"/>
              <w:rPr>
                <w:rFonts w:eastAsia="Times New Roman" w:cs="Times New Roman"/>
                <w:noProof/>
              </w:rPr>
            </w:pPr>
            <w:r>
              <w:rPr>
                <w:noProof/>
              </w:rPr>
              <w:t>187</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179B1603" w14:textId="77777777" w:rsidR="003E1D81" w:rsidRDefault="00EB481C">
            <w:pPr>
              <w:pStyle w:val="P68B1DB1-Normal13"/>
              <w:spacing w:after="0" w:line="240" w:lineRule="auto"/>
              <w:jc w:val="center"/>
              <w:rPr>
                <w:rFonts w:eastAsia="Times New Roman" w:cs="Times New Roman"/>
                <w:noProof/>
              </w:rPr>
            </w:pPr>
            <w:r>
              <w:rPr>
                <w:noProof/>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33A83487" w14:textId="77777777" w:rsidR="003E1D81" w:rsidRDefault="00EB481C">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56F3E4CD" w14:textId="77777777" w:rsidR="003E1D81" w:rsidRDefault="00EB481C">
            <w:pPr>
              <w:pStyle w:val="P68B1DB1-Normal13"/>
              <w:spacing w:after="0" w:line="240" w:lineRule="auto"/>
              <w:rPr>
                <w:rFonts w:eastAsia="Times New Roman" w:cs="Times New Roman"/>
                <w:noProof/>
              </w:rPr>
            </w:pPr>
            <w:r>
              <w:rPr>
                <w:noProof/>
              </w:rPr>
              <w:t>A hulladékokkal kapcsolatos jogszabályok végrehajtását támogató és a körforgásos gazdaság vállalkozáson belüli előmozdítását célzó projektek lezárása</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659D6A6E" w14:textId="77777777" w:rsidR="003E1D81" w:rsidRDefault="00EB481C">
            <w:pPr>
              <w:pStyle w:val="P68B1DB1-Normal13"/>
              <w:spacing w:after="0" w:line="240" w:lineRule="auto"/>
              <w:jc w:val="center"/>
              <w:rPr>
                <w:rFonts w:eastAsia="Times New Roman"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308F59F" w14:textId="77777777" w:rsidR="003E1D81" w:rsidRDefault="00EB481C">
            <w:pPr>
              <w:pStyle w:val="P68B1DB1-Normal13"/>
              <w:spacing w:after="0" w:line="240" w:lineRule="auto"/>
              <w:jc w:val="right"/>
              <w:rPr>
                <w:rFonts w:eastAsia="Times New Roman" w:cs="Times New Roman"/>
                <w:noProof/>
              </w:rPr>
            </w:pPr>
            <w:r>
              <w:rPr>
                <w:noProof/>
              </w:rPr>
              <w:t>Szám</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9C3B1AC" w14:textId="77777777" w:rsidR="003E1D81" w:rsidRDefault="00EB481C">
            <w:pPr>
              <w:pStyle w:val="P68B1DB1-Normal13"/>
              <w:spacing w:after="0" w:line="240" w:lineRule="auto"/>
              <w:jc w:val="center"/>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383F651" w14:textId="77777777" w:rsidR="003E1D81" w:rsidRDefault="00EB481C">
            <w:pPr>
              <w:pStyle w:val="P68B1DB1-Normal13"/>
              <w:spacing w:after="0" w:line="240" w:lineRule="auto"/>
              <w:jc w:val="center"/>
              <w:rPr>
                <w:rFonts w:eastAsia="Times New Roman" w:cs="Times New Roman"/>
                <w:noProof/>
              </w:rPr>
            </w:pPr>
            <w:r>
              <w:rPr>
                <w:noProof/>
              </w:rPr>
              <w:t>30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88D4B4E"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F8ECCEB" w14:textId="77777777" w:rsidR="003E1D81" w:rsidRDefault="00EB481C">
            <w:pPr>
              <w:pStyle w:val="P68B1DB1-Normal13"/>
              <w:spacing w:after="0" w:line="240" w:lineRule="auto"/>
              <w:jc w:val="center"/>
              <w:rPr>
                <w:rFonts w:eastAsia="Times New Roman" w:cs="Times New Roman"/>
                <w:noProof/>
              </w:rPr>
            </w:pPr>
            <w:r>
              <w:rPr>
                <w:noProof/>
              </w:rPr>
              <w:t>2023</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4584E8D" w14:textId="77777777" w:rsidR="003E1D81" w:rsidRDefault="00EB481C">
            <w:pPr>
              <w:pStyle w:val="P68B1DB1-Normal13"/>
              <w:spacing w:after="0" w:line="240" w:lineRule="auto"/>
              <w:rPr>
                <w:rFonts w:eastAsia="Times New Roman" w:cs="Times New Roman"/>
                <w:noProof/>
              </w:rPr>
            </w:pPr>
            <w:r>
              <w:rPr>
                <w:noProof/>
              </w:rPr>
              <w:t>A MITERD által jóváhagyott legalább 30 projekt lezárása a hulladékokkal kapcsolatos jogszabályok végrehajtásának támogatása és a körforgásos gazdaság előmozdítása érdekében, összhangban a jelentős károkozás elkerülését célzó technikai iránymutatással (2021</w:t>
            </w:r>
            <w:r>
              <w:rPr>
                <w:noProof/>
              </w:rPr>
              <w:t>/C58/01) a kizárási lista és a vonatkozó uniós és nemzeti környezetvédelmi jogszabályoknak való megfelelés követelménye révén. E beruházás keretében a mechanikai-biológiai szennyvíztisztító telepekkel kapcsolatos intézkedésekre csak meglévő mechanikus-biol</w:t>
            </w:r>
            <w:r>
              <w:rPr>
                <w:noProof/>
              </w:rPr>
              <w:t>ógiai szennyvíztisztító telepeken kerülhet sor, amennyiben az e beruházás keretében végrehajtott intézkedések célja az erőforrás-hatékonyság növelése vagy a szétválasztott hulladék komposzt biohulladékká történő újrafeldolgozási műveleteinek utólagos átala</w:t>
            </w:r>
            <w:r>
              <w:rPr>
                <w:noProof/>
              </w:rPr>
              <w:t>kítása, valamint a biohulladék anaerob lebontása, feltéve, hogy az ilyen beruházások keretében végrehajtott ilyen intézkedések nem eredményezik az üzemek hulladékfeldolgozási kapacitásának növekedését vagy az üzemek üzemi szinten ellenőrzött élettartamának</w:t>
            </w:r>
            <w:r>
              <w:rPr>
                <w:noProof/>
              </w:rPr>
              <w:t xml:space="preserve"> meghosszabbítását. </w:t>
            </w:r>
          </w:p>
        </w:tc>
      </w:tr>
      <w:tr w:rsidR="003E1D81" w14:paraId="41CA6781"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220FB9F" w14:textId="77777777" w:rsidR="003E1D81" w:rsidRDefault="00EB481C">
            <w:pPr>
              <w:pStyle w:val="P68B1DB1-Normal13"/>
              <w:spacing w:after="0" w:line="240" w:lineRule="auto"/>
              <w:jc w:val="center"/>
              <w:rPr>
                <w:rFonts w:cs="Times New Roman"/>
                <w:noProof/>
              </w:rPr>
            </w:pPr>
            <w:r>
              <w:rPr>
                <w:noProof/>
              </w:rPr>
              <w:t>188</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661B7E2" w14:textId="77777777" w:rsidR="003E1D81" w:rsidRDefault="00EB481C">
            <w:pPr>
              <w:pStyle w:val="P68B1DB1-Normal13"/>
              <w:spacing w:after="0" w:line="240" w:lineRule="auto"/>
              <w:jc w:val="center"/>
              <w:rPr>
                <w:rFonts w:cs="Times New Roman"/>
                <w:noProof/>
              </w:rPr>
            </w:pPr>
            <w:r>
              <w:rPr>
                <w:noProof/>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4DD850FC" w14:textId="77777777" w:rsidR="003E1D81" w:rsidRDefault="00EB481C">
            <w:pPr>
              <w:pStyle w:val="P68B1DB1-Normal13"/>
              <w:spacing w:after="0" w:line="240" w:lineRule="auto"/>
              <w:jc w:val="center"/>
              <w:rPr>
                <w:rFonts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EA7C55C" w14:textId="77777777" w:rsidR="003E1D81" w:rsidRDefault="00EB481C">
            <w:pPr>
              <w:pStyle w:val="P68B1DB1-Normal13"/>
              <w:spacing w:after="0" w:line="240" w:lineRule="auto"/>
              <w:rPr>
                <w:rFonts w:cs="Times New Roman"/>
                <w:noProof/>
              </w:rPr>
            </w:pPr>
            <w:r>
              <w:rPr>
                <w:noProof/>
              </w:rPr>
              <w:t>Az elkülönítetten gyűjtött települési hulladék növelése</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54B5742" w14:textId="77777777" w:rsidR="003E1D81" w:rsidRDefault="00EB481C">
            <w:pPr>
              <w:pStyle w:val="P68B1DB1-Normal13"/>
              <w:spacing w:after="0" w:line="240" w:lineRule="auto"/>
              <w:jc w:val="center"/>
              <w:rPr>
                <w:rFonts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365F23C4" w14:textId="77777777" w:rsidR="003E1D81" w:rsidRDefault="00EB481C">
            <w:pPr>
              <w:pStyle w:val="P68B1DB1-Normal13"/>
              <w:spacing w:after="0" w:line="240" w:lineRule="auto"/>
              <w:jc w:val="center"/>
              <w:rPr>
                <w:rFonts w:cs="Times New Roman"/>
                <w:noProof/>
              </w:rPr>
            </w:pPr>
            <w:r>
              <w:rPr>
                <w:noProof/>
              </w:rPr>
              <w:t>az elkülönítetten gyűjtött települési hulladék %-ában</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7AEBF728" w14:textId="77777777" w:rsidR="003E1D81" w:rsidRDefault="00EB481C">
            <w:pPr>
              <w:pStyle w:val="P68B1DB1-Normal13"/>
              <w:spacing w:after="0" w:line="240" w:lineRule="auto"/>
              <w:jc w:val="center"/>
              <w:rPr>
                <w:rFonts w:cs="Times New Roman"/>
                <w:noProof/>
              </w:rPr>
            </w:pPr>
            <w:r>
              <w:rPr>
                <w:noProof/>
              </w:rPr>
              <w:t>21</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975BB62" w14:textId="77777777" w:rsidR="003E1D81" w:rsidRDefault="00EB481C">
            <w:pPr>
              <w:pStyle w:val="P68B1DB1-Normal13"/>
              <w:spacing w:after="0" w:line="240" w:lineRule="auto"/>
              <w:jc w:val="center"/>
              <w:rPr>
                <w:rFonts w:cs="Times New Roman"/>
                <w:noProof/>
              </w:rPr>
            </w:pPr>
            <w:r>
              <w:rPr>
                <w:noProof/>
              </w:rPr>
              <w:t>30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4A27033" w14:textId="77777777" w:rsidR="003E1D81" w:rsidRDefault="00EB481C">
            <w:pPr>
              <w:pStyle w:val="P68B1DB1-Normal13"/>
              <w:spacing w:after="0" w:line="240" w:lineRule="auto"/>
              <w:jc w:val="center"/>
              <w:rPr>
                <w:rFonts w:cs="Times New Roman"/>
                <w:noProof/>
              </w:rPr>
            </w:pPr>
            <w:r>
              <w:rPr>
                <w:noProof/>
              </w:rPr>
              <w:t>KÉRDÉS</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6B726F3" w14:textId="77777777" w:rsidR="003E1D81" w:rsidRDefault="00EB481C">
            <w:pPr>
              <w:pStyle w:val="P68B1DB1-Normal13"/>
              <w:spacing w:after="0" w:line="240" w:lineRule="auto"/>
              <w:jc w:val="center"/>
              <w:rPr>
                <w:rFonts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B5E0A9F" w14:textId="77777777" w:rsidR="003E1D81" w:rsidRDefault="00EB481C">
            <w:pPr>
              <w:pStyle w:val="P68B1DB1-Normal13"/>
              <w:spacing w:after="0" w:line="240" w:lineRule="auto"/>
              <w:rPr>
                <w:rFonts w:cs="Times New Roman"/>
                <w:noProof/>
              </w:rPr>
            </w:pPr>
            <w:r>
              <w:rPr>
                <w:noProof/>
              </w:rPr>
              <w:t>2024-ben az elkülönítetten gyűjtött települési hulladéknak az összes települési hulladékhoz</w:t>
            </w:r>
            <w:r>
              <w:rPr>
                <w:noProof/>
              </w:rPr>
              <w:t xml:space="preserve"> viszonyított aránya legalább 30%-ának elérése (2024 adat 2026-ban), a 2008/98/EK irányelvvel összhangban. Elkülönített gyűjtés: olyan gyűjtés, amelynek során a hulladékáramot típus és jelleg szerint elkülönítetten kell tárolni egy adott kezelés megkönnyít</w:t>
            </w:r>
            <w:r>
              <w:rPr>
                <w:noProof/>
              </w:rPr>
              <w:t>ése érdekében. Az adatokat a 019/1004/EK bizottsági végrehajtási határozat V. melléklete szerinti anyag szerinti bontásban kell gyűjteni. (Alapforgatókönyv: 2018. december 31.)</w:t>
            </w:r>
          </w:p>
        </w:tc>
      </w:tr>
      <w:tr w:rsidR="003E1D81" w14:paraId="25B72405"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0CF18F5E" w14:textId="1599D404" w:rsidR="003E1D81" w:rsidRDefault="00EB481C">
            <w:pPr>
              <w:pStyle w:val="P68B1DB1-Normal13"/>
              <w:spacing w:after="0" w:line="240" w:lineRule="auto"/>
              <w:jc w:val="center"/>
              <w:rPr>
                <w:rFonts w:cs="Times New Roman"/>
                <w:noProof/>
              </w:rPr>
            </w:pPr>
            <w:r>
              <w:rPr>
                <w:noProof/>
              </w:rPr>
              <w:t>440</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2A15B1E9" w14:textId="77777777" w:rsidR="003E1D81" w:rsidRDefault="00EB481C">
            <w:pPr>
              <w:pStyle w:val="P68B1DB1-Normal13"/>
              <w:spacing w:after="0" w:line="240" w:lineRule="auto"/>
              <w:jc w:val="center"/>
              <w:rPr>
                <w:rFonts w:cs="Times New Roman"/>
                <w:noProof/>
              </w:rPr>
            </w:pPr>
            <w:r>
              <w:rPr>
                <w:noProof/>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D570A4B" w14:textId="2370C530" w:rsidR="003E1D81" w:rsidRDefault="00EB481C">
            <w:pPr>
              <w:pStyle w:val="P68B1DB1-Normal13"/>
              <w:spacing w:after="0" w:line="240" w:lineRule="auto"/>
              <w:jc w:val="center"/>
              <w:rPr>
                <w:rFonts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2F32A023" w14:textId="384998FB" w:rsidR="003E1D81" w:rsidRDefault="00EB481C">
            <w:pPr>
              <w:pStyle w:val="P68B1DB1-Normal13"/>
              <w:spacing w:after="0" w:line="240" w:lineRule="auto"/>
              <w:rPr>
                <w:rFonts w:cs="Times New Roman"/>
                <w:noProof/>
              </w:rPr>
            </w:pPr>
            <w:r>
              <w:rPr>
                <w:noProof/>
              </w:rPr>
              <w:t>A hulladékkoordinációs bizottság hulladékokkal kapcsolatos jogszabályok betartásának nyomon követésével foglalkozó munkacsoportja</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4361DBB" w14:textId="4F5C2FF6" w:rsidR="003E1D81" w:rsidRDefault="00EB481C">
            <w:pPr>
              <w:pStyle w:val="P68B1DB1-Normal13"/>
              <w:spacing w:after="0" w:line="240" w:lineRule="auto"/>
              <w:jc w:val="center"/>
              <w:rPr>
                <w:rFonts w:cs="Times New Roman"/>
                <w:noProof/>
              </w:rPr>
            </w:pPr>
            <w:r>
              <w:rPr>
                <w:noProof/>
              </w:rPr>
              <w:t>A hulladékkoordinációs bizottság jóváhagyása</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B1F5F8E" w14:textId="77777777" w:rsidR="003E1D81" w:rsidRDefault="00EB481C">
            <w:pPr>
              <w:pStyle w:val="P68B1DB1-Normal13"/>
              <w:spacing w:after="0" w:line="240" w:lineRule="auto"/>
              <w:jc w:val="center"/>
              <w:rPr>
                <w:rFonts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DA1B583" w14:textId="77777777" w:rsidR="003E1D81" w:rsidRDefault="00EB481C">
            <w:pPr>
              <w:pStyle w:val="P68B1DB1-Normal13"/>
              <w:spacing w:after="0" w:line="240" w:lineRule="auto"/>
              <w:jc w:val="center"/>
              <w:rPr>
                <w:rFonts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FBD1DDC" w14:textId="77777777" w:rsidR="003E1D81" w:rsidRDefault="00EB481C">
            <w:pPr>
              <w:pStyle w:val="P68B1DB1-Normal13"/>
              <w:spacing w:after="0" w:line="240" w:lineRule="auto"/>
              <w:jc w:val="center"/>
              <w:rPr>
                <w:rFonts w:cs="Times New Roman"/>
                <w:noProof/>
              </w:rPr>
            </w:pPr>
            <w:r>
              <w:rPr>
                <w:noProof/>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52F4E67" w14:textId="67DF786E" w:rsidR="003E1D81" w:rsidRDefault="00EB481C">
            <w:pPr>
              <w:pStyle w:val="P68B1DB1-Normal13"/>
              <w:spacing w:after="0" w:line="240" w:lineRule="auto"/>
              <w:jc w:val="center"/>
              <w:rPr>
                <w:rFonts w:cs="Times New Roman"/>
                <w:noProof/>
              </w:rPr>
            </w:pPr>
            <w:r>
              <w:rPr>
                <w:noProof/>
              </w:rPr>
              <w:t>KÉRDÉS</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2DF71DB" w14:textId="77777777" w:rsidR="003E1D81" w:rsidRDefault="00EB481C">
            <w:pPr>
              <w:pStyle w:val="P68B1DB1-Normal13"/>
              <w:spacing w:after="0" w:line="240" w:lineRule="auto"/>
              <w:jc w:val="center"/>
              <w:rPr>
                <w:rFonts w:cs="Times New Roman"/>
                <w:noProof/>
              </w:rPr>
            </w:pPr>
            <w:r>
              <w:rPr>
                <w:noProof/>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11F8705" w14:textId="77777777" w:rsidR="003E1D81" w:rsidRDefault="00EB481C">
            <w:pPr>
              <w:pStyle w:val="P68B1DB1-Normal13"/>
              <w:rPr>
                <w:rFonts w:eastAsia="Times New Roman" w:cs="Times New Roman"/>
                <w:noProof/>
              </w:rPr>
            </w:pPr>
            <w:r>
              <w:rPr>
                <w:noProof/>
              </w:rPr>
              <w:t xml:space="preserve">A hulladékkoordinációs bizottság jóváhagyja egy külön </w:t>
            </w:r>
            <w:r>
              <w:rPr>
                <w:noProof/>
              </w:rPr>
              <w:t>munkacsoport létrehozását a hulladékra vonatkozó jogszabályoknak való megfelelés nyomon követésére, a megfelelés kritériumainak harmonizálására, valamint az ezt elősegítő intézkedések elfogadására.</w:t>
            </w:r>
          </w:p>
          <w:p w14:paraId="418BA7F4" w14:textId="77777777" w:rsidR="003E1D81" w:rsidRDefault="003E1D81">
            <w:pPr>
              <w:spacing w:after="0" w:line="240" w:lineRule="auto"/>
              <w:rPr>
                <w:rFonts w:ascii="Times New Roman" w:hAnsi="Times New Roman" w:cs="Times New Roman"/>
                <w:noProof/>
                <w:sz w:val="18"/>
              </w:rPr>
            </w:pPr>
          </w:p>
        </w:tc>
      </w:tr>
      <w:tr w:rsidR="003E1D81" w14:paraId="07072F30"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DED8843" w14:textId="4A07E80A" w:rsidR="003E1D81" w:rsidRDefault="00EB481C">
            <w:pPr>
              <w:pStyle w:val="P68B1DB1-Normal13"/>
              <w:spacing w:after="0" w:line="240" w:lineRule="auto"/>
              <w:jc w:val="center"/>
              <w:rPr>
                <w:rFonts w:cs="Times New Roman"/>
                <w:noProof/>
              </w:rPr>
            </w:pPr>
            <w:r>
              <w:rPr>
                <w:noProof/>
              </w:rPr>
              <w:t>441</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1C91783D" w14:textId="77777777" w:rsidR="003E1D81" w:rsidRDefault="00EB481C">
            <w:pPr>
              <w:pStyle w:val="P68B1DB1-Normal13"/>
              <w:spacing w:after="0" w:line="240" w:lineRule="auto"/>
              <w:jc w:val="center"/>
              <w:rPr>
                <w:rFonts w:cs="Times New Roman"/>
                <w:noProof/>
              </w:rPr>
            </w:pPr>
            <w:r>
              <w:rPr>
                <w:noProof/>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3BE866B" w14:textId="630B514C" w:rsidR="003E1D81" w:rsidRDefault="00EB481C">
            <w:pPr>
              <w:pStyle w:val="P68B1DB1-Normal13"/>
              <w:spacing w:after="0" w:line="240" w:lineRule="auto"/>
              <w:jc w:val="center"/>
              <w:rPr>
                <w:rFonts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0F376A93" w14:textId="77777777" w:rsidR="003E1D81" w:rsidRDefault="00EB481C">
            <w:pPr>
              <w:pStyle w:val="P68B1DB1-Normal13"/>
              <w:spacing w:after="0" w:line="240" w:lineRule="auto"/>
              <w:rPr>
                <w:rFonts w:cs="Times New Roman"/>
                <w:noProof/>
              </w:rPr>
            </w:pPr>
            <w:r>
              <w:rPr>
                <w:noProof/>
              </w:rPr>
              <w:t xml:space="preserve">A körforgásos gazdaságra vonatkozó második </w:t>
            </w:r>
            <w:r>
              <w:rPr>
                <w:noProof/>
              </w:rPr>
              <w:t>csomag részét képező jogi aktusok hatálybalépése</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C00499D" w14:textId="77777777" w:rsidR="003E1D81" w:rsidRDefault="00EB481C">
            <w:pPr>
              <w:pStyle w:val="P68B1DB1-Normal13"/>
              <w:spacing w:after="0" w:line="240" w:lineRule="auto"/>
              <w:jc w:val="center"/>
              <w:rPr>
                <w:rFonts w:cs="Times New Roman"/>
                <w:noProof/>
              </w:rPr>
            </w:pPr>
            <w:r>
              <w:rPr>
                <w:noProof/>
              </w:rPr>
              <w:t>A törvények hatályba lépését előíró királyi rendeletek rendelkezései</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1214FF6E" w14:textId="77777777" w:rsidR="003E1D81" w:rsidRDefault="00EB481C">
            <w:pPr>
              <w:pStyle w:val="P68B1DB1-Normal13"/>
              <w:spacing w:after="0" w:line="240" w:lineRule="auto"/>
              <w:jc w:val="center"/>
              <w:rPr>
                <w:rFonts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A97C7F2" w14:textId="77777777" w:rsidR="003E1D81" w:rsidRDefault="00EB481C">
            <w:pPr>
              <w:pStyle w:val="P68B1DB1-Normal13"/>
              <w:spacing w:after="0" w:line="240" w:lineRule="auto"/>
              <w:jc w:val="center"/>
              <w:rPr>
                <w:rFonts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BDE7677" w14:textId="77777777" w:rsidR="003E1D81" w:rsidRDefault="00EB481C">
            <w:pPr>
              <w:pStyle w:val="P68B1DB1-Normal13"/>
              <w:spacing w:after="0" w:line="240" w:lineRule="auto"/>
              <w:jc w:val="center"/>
              <w:rPr>
                <w:rFonts w:cs="Times New Roman"/>
                <w:noProof/>
              </w:rPr>
            </w:pPr>
            <w:r>
              <w:rPr>
                <w:noProof/>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0738E1E" w14:textId="443AB0BF" w:rsidR="003E1D81" w:rsidRDefault="00EB481C">
            <w:pPr>
              <w:pStyle w:val="P68B1DB1-Normal13"/>
              <w:spacing w:after="0" w:line="240" w:lineRule="auto"/>
              <w:jc w:val="center"/>
              <w:rPr>
                <w:rFonts w:cs="Times New Roman"/>
                <w:noProof/>
              </w:rPr>
            </w:pPr>
            <w:r>
              <w:rPr>
                <w:noProof/>
              </w:rPr>
              <w:t>NEGYEDÉV</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C1FFB66" w14:textId="77777777" w:rsidR="003E1D81" w:rsidRDefault="00EB481C">
            <w:pPr>
              <w:pStyle w:val="P68B1DB1-Normal13"/>
              <w:spacing w:after="0" w:line="240" w:lineRule="auto"/>
              <w:jc w:val="center"/>
              <w:rPr>
                <w:rFonts w:cs="Times New Roman"/>
                <w:noProof/>
              </w:rPr>
            </w:pPr>
            <w:r>
              <w:rPr>
                <w:noProof/>
              </w:rPr>
              <w:t>2025</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01FC647B" w14:textId="1A9B5B97" w:rsidR="003E1D81" w:rsidRDefault="00EB481C">
            <w:pPr>
              <w:pStyle w:val="P68B1DB1-Normal13"/>
              <w:spacing w:after="0"/>
              <w:rPr>
                <w:rFonts w:eastAsia="Times New Roman" w:cs="Times New Roman"/>
                <w:noProof/>
              </w:rPr>
            </w:pPr>
            <w:r>
              <w:rPr>
                <w:noProof/>
              </w:rPr>
              <w:t xml:space="preserve">A körforgásos gazdaságra vonatkozó második szabályozási csomag a következőket tartalmazza: </w:t>
            </w:r>
          </w:p>
          <w:p w14:paraId="4AA76FCA" w14:textId="55157F47" w:rsidR="003E1D81" w:rsidRDefault="00EB481C">
            <w:pPr>
              <w:pStyle w:val="P68B1DB1-ListParagraph14"/>
              <w:numPr>
                <w:ilvl w:val="0"/>
                <w:numId w:val="318"/>
              </w:numPr>
              <w:spacing w:after="0"/>
              <w:rPr>
                <w:rFonts w:eastAsia="Times New Roman" w:cs="Times New Roman"/>
                <w:noProof/>
              </w:rPr>
            </w:pPr>
            <w:r>
              <w:rPr>
                <w:noProof/>
              </w:rPr>
              <w:t>Királyi rendelet a hulladé</w:t>
            </w:r>
            <w:r>
              <w:rPr>
                <w:noProof/>
              </w:rPr>
              <w:t>ktermelőkkel és hulladékkezelőkkel szembeni pénzügyi biztosítékokról</w:t>
            </w:r>
          </w:p>
          <w:p w14:paraId="14787F90" w14:textId="77777777" w:rsidR="003E1D81" w:rsidRDefault="00EB481C">
            <w:pPr>
              <w:pStyle w:val="P68B1DB1-ListParagraph14"/>
              <w:numPr>
                <w:ilvl w:val="0"/>
                <w:numId w:val="318"/>
              </w:numPr>
              <w:spacing w:after="0"/>
              <w:rPr>
                <w:rFonts w:eastAsia="Times New Roman" w:cs="Times New Roman"/>
                <w:noProof/>
              </w:rPr>
            </w:pPr>
            <w:r>
              <w:rPr>
                <w:noProof/>
              </w:rPr>
              <w:t>Királyi rendelet a szűrőket tartalmazó dohánytermékekből és a dohánytermékekkel való együttes használat céljából forgalmazott szűrőkből származó hulladék kezeléséről</w:t>
            </w:r>
          </w:p>
          <w:p w14:paraId="6DC2865C" w14:textId="77777777" w:rsidR="003E1D81" w:rsidRDefault="00EB481C">
            <w:pPr>
              <w:pStyle w:val="P68B1DB1-ListParagraph14"/>
              <w:numPr>
                <w:ilvl w:val="0"/>
                <w:numId w:val="318"/>
              </w:numPr>
              <w:rPr>
                <w:rFonts w:eastAsia="Times New Roman" w:cs="Times New Roman"/>
                <w:noProof/>
              </w:rPr>
            </w:pPr>
            <w:r>
              <w:rPr>
                <w:noProof/>
              </w:rPr>
              <w:t>Királyi rendelet az i</w:t>
            </w:r>
            <w:r>
              <w:rPr>
                <w:noProof/>
              </w:rPr>
              <w:t>pari hulladékolajok kezeléséről</w:t>
            </w:r>
          </w:p>
          <w:p w14:paraId="5AA96976" w14:textId="77777777" w:rsidR="003E1D81" w:rsidRDefault="00EB481C">
            <w:pPr>
              <w:pStyle w:val="P68B1DB1-ListParagraph14"/>
              <w:numPr>
                <w:ilvl w:val="0"/>
                <w:numId w:val="318"/>
              </w:numPr>
              <w:rPr>
                <w:rFonts w:eastAsia="Times New Roman" w:cs="Times New Roman"/>
                <w:noProof/>
              </w:rPr>
            </w:pPr>
            <w:r>
              <w:rPr>
                <w:noProof/>
              </w:rPr>
              <w:t xml:space="preserve">Királyi rendelet az elhasználódott gumiabroncsok kezeléséről. </w:t>
            </w:r>
          </w:p>
          <w:p w14:paraId="303FBF64" w14:textId="77777777" w:rsidR="003E1D81" w:rsidRDefault="00EB481C">
            <w:pPr>
              <w:pStyle w:val="P68B1DB1-ListParagraph14"/>
              <w:numPr>
                <w:ilvl w:val="0"/>
                <w:numId w:val="318"/>
              </w:numPr>
              <w:rPr>
                <w:rFonts w:eastAsia="Times New Roman" w:cs="Times New Roman"/>
                <w:noProof/>
              </w:rPr>
            </w:pPr>
            <w:r>
              <w:rPr>
                <w:noProof/>
              </w:rPr>
              <w:t>Miniszteri rendelet a települési hulladék hulladéklerakókban való elhelyezését megelőző kezelésére vonatkozó minimumkövetelményekről</w:t>
            </w:r>
          </w:p>
          <w:p w14:paraId="189E2BE8" w14:textId="77777777" w:rsidR="003E1D81" w:rsidRDefault="00EB481C">
            <w:pPr>
              <w:pStyle w:val="P68B1DB1-ListParagraph14"/>
              <w:numPr>
                <w:ilvl w:val="0"/>
                <w:numId w:val="318"/>
              </w:numPr>
              <w:rPr>
                <w:rFonts w:cs="Times New Roman"/>
                <w:noProof/>
              </w:rPr>
            </w:pPr>
            <w:r>
              <w:rPr>
                <w:noProof/>
              </w:rPr>
              <w:t>A körforgásos gazdaságra von</w:t>
            </w:r>
            <w:r>
              <w:rPr>
                <w:noProof/>
              </w:rPr>
              <w:t>atkozó második cselekvési terv elfogadása</w:t>
            </w:r>
          </w:p>
        </w:tc>
      </w:tr>
      <w:tr w:rsidR="003E1D81" w14:paraId="5164B366"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39A9F7FD" w14:textId="6480BBFD" w:rsidR="003E1D81" w:rsidRDefault="00EB481C">
            <w:pPr>
              <w:pStyle w:val="P68B1DB1-Normal13"/>
              <w:spacing w:after="0" w:line="240" w:lineRule="auto"/>
              <w:jc w:val="center"/>
              <w:rPr>
                <w:rFonts w:eastAsia="Times New Roman" w:cs="Times New Roman"/>
                <w:noProof/>
              </w:rPr>
            </w:pPr>
            <w:r>
              <w:rPr>
                <w:noProof/>
              </w:rPr>
              <w:t>442</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489B7D8D" w14:textId="77777777" w:rsidR="003E1D81" w:rsidRDefault="00EB481C">
            <w:pPr>
              <w:pStyle w:val="P68B1DB1-Normal13"/>
              <w:spacing w:after="0" w:line="240" w:lineRule="auto"/>
              <w:jc w:val="center"/>
              <w:rPr>
                <w:rFonts w:eastAsia="Times New Roman" w:cs="Times New Roman"/>
                <w:noProof/>
              </w:rPr>
            </w:pPr>
            <w:r>
              <w:rPr>
                <w:noProof/>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02C5F7F" w14:textId="5E726FE4" w:rsidR="003E1D81" w:rsidRDefault="00EB481C">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1583360" w14:textId="77777777" w:rsidR="003E1D81" w:rsidRDefault="00EB481C">
            <w:pPr>
              <w:pStyle w:val="P68B1DB1-Normal13"/>
              <w:spacing w:after="0" w:line="240" w:lineRule="auto"/>
              <w:rPr>
                <w:rFonts w:eastAsia="Times New Roman" w:cs="Times New Roman"/>
                <w:noProof/>
              </w:rPr>
            </w:pPr>
            <w:r>
              <w:rPr>
                <w:noProof/>
              </w:rPr>
              <w:t>A hulladékgazdálkodási projektek végrehajtásához nyújtott támogatások elosztása.</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7FB7B21A" w14:textId="77777777" w:rsidR="003E1D81" w:rsidRDefault="003E1D81">
            <w:pPr>
              <w:spacing w:after="0" w:line="240" w:lineRule="auto"/>
              <w:jc w:val="center"/>
              <w:rPr>
                <w:rFonts w:ascii="Times New Roman" w:eastAsia="Times New Roman" w:hAnsi="Times New Roman" w:cs="Times New Roman"/>
                <w:noProof/>
                <w:sz w:val="18"/>
              </w:rPr>
            </w:pP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42754665" w14:textId="0803C52A" w:rsidR="003E1D81" w:rsidRDefault="00EB481C">
            <w:pPr>
              <w:pStyle w:val="P68B1DB1-Normal13"/>
              <w:spacing w:after="0" w:line="240" w:lineRule="auto"/>
              <w:jc w:val="center"/>
              <w:rPr>
                <w:rFonts w:eastAsia="Times New Roman" w:cs="Times New Roman"/>
                <w:noProof/>
              </w:rPr>
            </w:pPr>
            <w:r>
              <w:rPr>
                <w:noProof/>
              </w:rPr>
              <w:t>Millió EUR</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81A6E47" w14:textId="77777777" w:rsidR="003E1D81" w:rsidRDefault="00EB481C">
            <w:pPr>
              <w:pStyle w:val="P68B1DB1-Normal13"/>
              <w:spacing w:after="0" w:line="240" w:lineRule="auto"/>
              <w:jc w:val="center"/>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9056E9D" w14:textId="77777777" w:rsidR="003E1D81" w:rsidRDefault="00EB481C">
            <w:pPr>
              <w:pStyle w:val="P68B1DB1-Normal13"/>
              <w:spacing w:after="0" w:line="240" w:lineRule="auto"/>
              <w:jc w:val="center"/>
              <w:rPr>
                <w:rFonts w:eastAsia="Times New Roman" w:cs="Times New Roman"/>
                <w:noProof/>
              </w:rPr>
            </w:pPr>
            <w:r>
              <w:rPr>
                <w:noProof/>
              </w:rPr>
              <w:t>300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0714831"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4EB3A66" w14:textId="77777777" w:rsidR="003E1D81" w:rsidRDefault="00EB481C">
            <w:pPr>
              <w:pStyle w:val="P68B1DB1-Normal13"/>
              <w:spacing w:after="0" w:line="240" w:lineRule="auto"/>
              <w:jc w:val="center"/>
              <w:rPr>
                <w:rFonts w:eastAsia="Times New Roman" w:cs="Times New Roman"/>
                <w:noProof/>
              </w:rPr>
            </w:pPr>
            <w:r>
              <w:rPr>
                <w:noProof/>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87591BB" w14:textId="1429A1AD" w:rsidR="003E1D81" w:rsidRDefault="00EB481C">
            <w:pPr>
              <w:pStyle w:val="P68B1DB1-Normal13"/>
              <w:spacing w:after="0" w:line="240" w:lineRule="auto"/>
              <w:rPr>
                <w:rFonts w:eastAsia="Times New Roman" w:cs="Times New Roman"/>
                <w:noProof/>
              </w:rPr>
            </w:pPr>
            <w:r>
              <w:rPr>
                <w:noProof/>
              </w:rPr>
              <w:t xml:space="preserve">A hulladékokkal kapcsolatos nemzeti szabályozási keret végrehajtását és az uniós </w:t>
            </w:r>
            <w:r>
              <w:rPr>
                <w:noProof/>
              </w:rPr>
              <w:t>célkitűzések elérését célzó projektek finanszírozására vonatkozó 2024-es tervre vonatkozó, a hulladékokkal kapcsolatos jogszabályok végrehajtásának támogatására irányuló tervre vonatkozó, a támogatások elosztási kritériumait és területi elosztását jóváhagy</w:t>
            </w:r>
            <w:r>
              <w:rPr>
                <w:noProof/>
              </w:rPr>
              <w:t>ó ágazati konferencia megállapodásának jóváhagyása, vagy a közvetlen támogatások jóváhagyása a támogatásokról szóló 28/2003. sz. általános törvénnyel összhangban.  A projektek a szelektív hulladékgyűjtési rendszerek megvalósítására és javítására irányuló i</w:t>
            </w:r>
            <w:r>
              <w:rPr>
                <w:noProof/>
              </w:rPr>
              <w:t>ntézkedésekből, az újrafeldolgozás javítását célzó gyűjtőhelyekre irányuló beruházásokból, valamint új, elkülönítetten gyűjtött hulladékkezelő üzem építéséből állnak.</w:t>
            </w:r>
          </w:p>
        </w:tc>
      </w:tr>
      <w:tr w:rsidR="003E1D81" w14:paraId="7C60E430"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F43270C" w14:textId="7273D458" w:rsidR="003E1D81" w:rsidRDefault="00EB481C">
            <w:pPr>
              <w:pStyle w:val="P68B1DB1-Normal13"/>
              <w:spacing w:after="0" w:line="240" w:lineRule="auto"/>
              <w:jc w:val="center"/>
              <w:rPr>
                <w:rFonts w:eastAsia="Times New Roman" w:cs="Times New Roman"/>
                <w:noProof/>
              </w:rPr>
            </w:pPr>
            <w:r>
              <w:rPr>
                <w:noProof/>
              </w:rPr>
              <w:t>443</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E3DCCC6" w14:textId="77777777" w:rsidR="003E1D81" w:rsidRDefault="00EB481C">
            <w:pPr>
              <w:pStyle w:val="P68B1DB1-Normal13"/>
              <w:spacing w:after="0" w:line="240" w:lineRule="auto"/>
              <w:jc w:val="center"/>
              <w:rPr>
                <w:rFonts w:eastAsia="Times New Roman" w:cs="Times New Roman"/>
                <w:noProof/>
              </w:rPr>
            </w:pPr>
            <w:r>
              <w:rPr>
                <w:noProof/>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3E5CAD4" w14:textId="77777777" w:rsidR="003E1D81" w:rsidRDefault="00EB481C">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31A30D72" w14:textId="77777777" w:rsidR="003E1D81" w:rsidRDefault="00EB481C">
            <w:pPr>
              <w:pStyle w:val="P68B1DB1-Normal13"/>
              <w:spacing w:after="0" w:line="240" w:lineRule="auto"/>
              <w:rPr>
                <w:rFonts w:eastAsia="Times New Roman" w:cs="Times New Roman"/>
                <w:noProof/>
              </w:rPr>
            </w:pPr>
            <w:r>
              <w:rPr>
                <w:noProof/>
              </w:rPr>
              <w:t>A hulladékgazdálkodási projektek lezárása</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7478D81" w14:textId="77777777" w:rsidR="003E1D81" w:rsidRDefault="003E1D81">
            <w:pPr>
              <w:spacing w:after="0" w:line="240" w:lineRule="auto"/>
              <w:jc w:val="center"/>
              <w:rPr>
                <w:rFonts w:ascii="Times New Roman" w:eastAsia="Times New Roman" w:hAnsi="Times New Roman" w:cs="Times New Roman"/>
                <w:noProof/>
                <w:sz w:val="18"/>
              </w:rPr>
            </w:pP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F0C6574" w14:textId="77777777" w:rsidR="003E1D81" w:rsidRDefault="00EB481C">
            <w:pPr>
              <w:pStyle w:val="P68B1DB1-Normal13"/>
              <w:spacing w:after="0" w:line="240" w:lineRule="auto"/>
              <w:jc w:val="center"/>
              <w:rPr>
                <w:rFonts w:eastAsia="Times New Roman" w:cs="Times New Roman"/>
                <w:noProof/>
              </w:rPr>
            </w:pPr>
            <w:r>
              <w:rPr>
                <w:noProof/>
              </w:rPr>
              <w:t xml:space="preserve">Millió EUR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99CF9F1" w14:textId="77777777" w:rsidR="003E1D81" w:rsidRDefault="003E1D81">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62D747C" w14:textId="77777777" w:rsidR="003E1D81" w:rsidRDefault="00EB481C">
            <w:pPr>
              <w:pStyle w:val="P68B1DB1-Normal13"/>
              <w:spacing w:after="0" w:line="240" w:lineRule="auto"/>
              <w:jc w:val="center"/>
              <w:rPr>
                <w:rFonts w:eastAsia="Times New Roman" w:cs="Times New Roman"/>
                <w:noProof/>
              </w:rPr>
            </w:pPr>
            <w:r>
              <w:rPr>
                <w:noProof/>
              </w:rPr>
              <w:t>270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8DA7C09"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0D52795" w14:textId="77777777" w:rsidR="003E1D81" w:rsidRDefault="00EB481C">
            <w:pPr>
              <w:pStyle w:val="P68B1DB1-Normal13"/>
              <w:spacing w:after="0" w:line="240" w:lineRule="auto"/>
              <w:jc w:val="center"/>
              <w:rPr>
                <w:rFonts w:eastAsia="Times New Roman"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C5C4F73" w14:textId="7E7E143E" w:rsidR="003E1D81" w:rsidRDefault="00EB481C">
            <w:pPr>
              <w:pStyle w:val="P68B1DB1-Normal13"/>
              <w:spacing w:after="0" w:line="240" w:lineRule="auto"/>
              <w:rPr>
                <w:rFonts w:eastAsia="Times New Roman" w:cs="Times New Roman"/>
                <w:noProof/>
              </w:rPr>
            </w:pPr>
            <w:r>
              <w:rPr>
                <w:noProof/>
              </w:rPr>
              <w:t xml:space="preserve">Az </w:t>
            </w:r>
            <w:r>
              <w:rPr>
                <w:noProof/>
              </w:rPr>
              <w:t>elkülönített hulladékgyűjtési rendszerek megvalósítására és fejlesztésére odaítélt, legalább 270 000 000 EUR összegű projektek befejezése, az újrafeldolgozás javítását célzó gyűjtőhelyekre irányuló beruházások, valamint új, elkülönítetten gyűjtött hulladék</w:t>
            </w:r>
            <w:r>
              <w:rPr>
                <w:noProof/>
              </w:rPr>
              <w:t>kezelő üzemek építése.</w:t>
            </w:r>
          </w:p>
        </w:tc>
      </w:tr>
      <w:tr w:rsidR="003E1D81" w14:paraId="758C3169"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C1EF78E" w14:textId="4C0041F2" w:rsidR="003E1D81" w:rsidRDefault="00EB481C">
            <w:pPr>
              <w:pStyle w:val="P68B1DB1-Normal13"/>
              <w:spacing w:after="0" w:line="240" w:lineRule="auto"/>
              <w:jc w:val="center"/>
              <w:rPr>
                <w:rFonts w:eastAsia="Times New Roman" w:cs="Times New Roman"/>
                <w:noProof/>
              </w:rPr>
            </w:pPr>
            <w:r>
              <w:rPr>
                <w:noProof/>
              </w:rPr>
              <w:t>444</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B0BCEA4" w14:textId="77777777" w:rsidR="003E1D81" w:rsidRDefault="00EB481C">
            <w:pPr>
              <w:pStyle w:val="P68B1DB1-Normal13"/>
              <w:spacing w:after="0" w:line="240" w:lineRule="auto"/>
              <w:jc w:val="center"/>
              <w:rPr>
                <w:rFonts w:eastAsia="Times New Roman" w:cs="Times New Roman"/>
                <w:noProof/>
              </w:rPr>
            </w:pPr>
            <w:r>
              <w:rPr>
                <w:noProof/>
              </w:rPr>
              <w:t>C12.I4</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4F032B11" w14:textId="77777777" w:rsidR="003E1D81" w:rsidRDefault="00EB481C">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797FB93" w14:textId="77777777" w:rsidR="003E1D81" w:rsidRDefault="00EB481C">
            <w:pPr>
              <w:pStyle w:val="P68B1DB1-Normal13"/>
              <w:spacing w:after="0" w:line="240" w:lineRule="auto"/>
              <w:rPr>
                <w:rFonts w:eastAsia="Times New Roman" w:cs="Times New Roman"/>
                <w:noProof/>
              </w:rPr>
            </w:pPr>
            <w:r>
              <w:rPr>
                <w:noProof/>
              </w:rPr>
              <w:t xml:space="preserve">PERTE CHIP. A félvezetők értékláncának megerősítése.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2C9B0C6C" w14:textId="77777777" w:rsidR="003E1D81" w:rsidRDefault="00EB481C">
            <w:pPr>
              <w:pStyle w:val="P68B1DB1-Normal13"/>
              <w:spacing w:after="0" w:line="240" w:lineRule="auto"/>
              <w:jc w:val="center"/>
              <w:rPr>
                <w:rFonts w:eastAsia="Times New Roman" w:cs="Times New Roman"/>
                <w:noProof/>
              </w:rPr>
            </w:pPr>
            <w:r>
              <w:rPr>
                <w:noProof/>
              </w:rPr>
              <w:t xml:space="preserve">Közzététel a Hivatalos Lapban vagy a hivatalos honlapon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533852CA" w14:textId="77777777" w:rsidR="003E1D81" w:rsidRDefault="00EB481C">
            <w:pPr>
              <w:pStyle w:val="P68B1DB1-Normal13"/>
              <w:spacing w:after="0" w:line="240" w:lineRule="auto"/>
              <w:jc w:val="center"/>
              <w:rPr>
                <w:rFonts w:eastAsia="Times New Roman" w:cs="Times New Roman"/>
                <w:noProof/>
              </w:rPr>
            </w:pPr>
            <w:r>
              <w:rPr>
                <w:noProof/>
              </w:rPr>
              <w:t xml:space="preserve">Millió EUR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2CCFB21"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CCB0277" w14:textId="77777777" w:rsidR="003E1D81" w:rsidRDefault="00EB481C">
            <w:pPr>
              <w:pStyle w:val="P68B1DB1-Normal13"/>
              <w:spacing w:after="0" w:line="240" w:lineRule="auto"/>
              <w:jc w:val="center"/>
              <w:rPr>
                <w:rFonts w:eastAsia="Times New Roman" w:cs="Times New Roman"/>
                <w:noProof/>
              </w:rPr>
            </w:pPr>
            <w:r>
              <w:rPr>
                <w:noProof/>
              </w:rPr>
              <w:t xml:space="preserve">200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132A9B80"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49C322C" w14:textId="77777777" w:rsidR="003E1D81" w:rsidRDefault="00EB481C">
            <w:pPr>
              <w:pStyle w:val="P68B1DB1-Normal13"/>
              <w:spacing w:after="0" w:line="240" w:lineRule="auto"/>
              <w:jc w:val="center"/>
              <w:rPr>
                <w:rFonts w:eastAsia="Times New Roman" w:cs="Times New Roman"/>
                <w:noProof/>
              </w:rPr>
            </w:pPr>
            <w:r>
              <w:rPr>
                <w:noProof/>
              </w:rPr>
              <w:t>2025</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73DB66C" w14:textId="77777777" w:rsidR="003E1D81" w:rsidRDefault="00EB481C">
            <w:pPr>
              <w:pStyle w:val="P68B1DB1-Normal13"/>
              <w:spacing w:after="0" w:line="240" w:lineRule="auto"/>
              <w:rPr>
                <w:rFonts w:eastAsia="Times New Roman" w:cs="Times New Roman"/>
                <w:noProof/>
              </w:rPr>
            </w:pPr>
            <w:r>
              <w:rPr>
                <w:noProof/>
              </w:rPr>
              <w:t>200 000 000 EUR összegű jogi kötelezettségvállalás a közös európai érdeket szolgáló fontos projektek – mikroelektronika és konnektivitás – végső kedvezményezettjei, valamint a spanyol félvezető-ökoszisztéma számára a kutatási, fejlesztési és innovációs (K+</w:t>
            </w:r>
            <w:r>
              <w:rPr>
                <w:noProof/>
              </w:rPr>
              <w:t xml:space="preserve">F+I) szakaszban és az első ipari bevezetési szakaszban támogatásban részesülő végső kedvezményezettek számára, a tömegtermelés és a kereskedelmi tevékenységek kizárásával. </w:t>
            </w:r>
          </w:p>
        </w:tc>
      </w:tr>
      <w:tr w:rsidR="003E1D81" w14:paraId="63434339"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E5083BB" w14:textId="403B4173" w:rsidR="003E1D81" w:rsidRDefault="00EB481C">
            <w:pPr>
              <w:pStyle w:val="P68B1DB1-Normal13"/>
              <w:spacing w:after="0" w:line="240" w:lineRule="auto"/>
              <w:jc w:val="center"/>
              <w:rPr>
                <w:rFonts w:eastAsia="Times New Roman" w:cs="Times New Roman"/>
                <w:noProof/>
              </w:rPr>
            </w:pPr>
            <w:r>
              <w:rPr>
                <w:noProof/>
              </w:rPr>
              <w:t>445</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11DA56B5" w14:textId="77777777" w:rsidR="003E1D81" w:rsidRDefault="00EB481C">
            <w:pPr>
              <w:pStyle w:val="P68B1DB1-Normal13"/>
              <w:spacing w:after="0" w:line="240" w:lineRule="auto"/>
              <w:jc w:val="center"/>
              <w:rPr>
                <w:rFonts w:eastAsia="Times New Roman" w:cs="Times New Roman"/>
                <w:noProof/>
              </w:rPr>
            </w:pPr>
            <w:r>
              <w:rPr>
                <w:noProof/>
              </w:rPr>
              <w:t>C12.I4</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003D12F5" w14:textId="77777777" w:rsidR="003E1D81" w:rsidRDefault="00EB481C">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20CF322" w14:textId="77777777" w:rsidR="003E1D81" w:rsidRDefault="00EB481C">
            <w:pPr>
              <w:pStyle w:val="P68B1DB1-Normal13"/>
              <w:spacing w:after="0" w:line="240" w:lineRule="auto"/>
              <w:rPr>
                <w:rFonts w:eastAsia="Times New Roman" w:cs="Times New Roman"/>
                <w:noProof/>
              </w:rPr>
            </w:pPr>
            <w:r>
              <w:rPr>
                <w:noProof/>
              </w:rPr>
              <w:t xml:space="preserve">PERTE CHIP. A félvezetők értékláncának megerősítése (II).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5D826B0"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5050ECCD" w14:textId="77777777" w:rsidR="003E1D81" w:rsidRDefault="00EB481C">
            <w:pPr>
              <w:pStyle w:val="P68B1DB1-Normal13"/>
              <w:spacing w:after="0" w:line="240" w:lineRule="auto"/>
              <w:jc w:val="center"/>
              <w:rPr>
                <w:rFonts w:eastAsia="Times New Roman" w:cs="Times New Roman"/>
                <w:noProof/>
              </w:rPr>
            </w:pPr>
            <w:r>
              <w:rPr>
                <w:noProof/>
              </w:rPr>
              <w:t>Millió</w:t>
            </w:r>
            <w:r>
              <w:rPr>
                <w:noProof/>
              </w:rPr>
              <w:t xml:space="preserve"> EUR</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B995D86" w14:textId="0A07AF81" w:rsidR="003E1D81" w:rsidRDefault="003E1D81">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5A5AA7B" w14:textId="77777777" w:rsidR="003E1D81" w:rsidRDefault="00EB481C">
            <w:pPr>
              <w:pStyle w:val="P68B1DB1-Normal13"/>
              <w:spacing w:after="0" w:line="240" w:lineRule="auto"/>
              <w:jc w:val="center"/>
              <w:rPr>
                <w:rFonts w:eastAsia="Times New Roman" w:cs="Times New Roman"/>
                <w:noProof/>
              </w:rPr>
            </w:pPr>
            <w:r>
              <w:rPr>
                <w:noProof/>
              </w:rPr>
              <w:t>180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F8A117E"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ECDDC52" w14:textId="77777777" w:rsidR="003E1D81" w:rsidRDefault="00EB481C">
            <w:pPr>
              <w:pStyle w:val="P68B1DB1-Normal13"/>
              <w:spacing w:after="0" w:line="240" w:lineRule="auto"/>
              <w:jc w:val="center"/>
              <w:rPr>
                <w:rFonts w:eastAsia="Times New Roman"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3A8A35EB" w14:textId="2D13C318" w:rsidR="003E1D81" w:rsidRDefault="00EB481C">
            <w:pPr>
              <w:pStyle w:val="P68B1DB1-Normal13"/>
              <w:spacing w:after="0" w:line="240" w:lineRule="auto"/>
              <w:rPr>
                <w:rFonts w:eastAsia="Times New Roman" w:cs="Times New Roman"/>
                <w:noProof/>
              </w:rPr>
            </w:pPr>
            <w:r>
              <w:rPr>
                <w:noProof/>
              </w:rPr>
              <w:t>Legalább 180 000 000 EUR-t folyósítottak a közös európai érdeket szolgáló fontos projektek – mikroelektronika és konnektivitás – végső kedvezményezettjei, valamint a spanyol félvezető-ökoszisztéma számára a kutatási, fejlesztési és in</w:t>
            </w:r>
            <w:r>
              <w:rPr>
                <w:noProof/>
              </w:rPr>
              <w:t>novációs (K+F+I) szakaszban és az első ipari bevezetési szakaszban támogatásban részesülő végső kedvezményezettek számára, a tömegtermelés és a kereskedelmi tevékenységek kizárásával.</w:t>
            </w:r>
          </w:p>
        </w:tc>
      </w:tr>
      <w:tr w:rsidR="003E1D81" w14:paraId="724F5035"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F711D7D" w14:textId="667B4A08" w:rsidR="003E1D81" w:rsidRDefault="00EB481C">
            <w:pPr>
              <w:pStyle w:val="P68B1DB1-Normal13"/>
              <w:spacing w:after="0" w:line="240" w:lineRule="auto"/>
              <w:jc w:val="center"/>
              <w:rPr>
                <w:rFonts w:eastAsia="Times New Roman" w:cs="Times New Roman"/>
                <w:noProof/>
              </w:rPr>
            </w:pPr>
            <w:r>
              <w:rPr>
                <w:noProof/>
              </w:rPr>
              <w:t>448</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185066C" w14:textId="22D3FDA8" w:rsidR="003E1D81" w:rsidRDefault="00EB481C">
            <w:pPr>
              <w:pStyle w:val="P68B1DB1-Normal13"/>
              <w:spacing w:after="0" w:line="240" w:lineRule="auto"/>
              <w:jc w:val="center"/>
              <w:rPr>
                <w:rFonts w:eastAsia="Times New Roman" w:cs="Times New Roman"/>
                <w:noProof/>
              </w:rPr>
            </w:pPr>
            <w:r>
              <w:rPr>
                <w:noProof/>
              </w:rPr>
              <w:t>C12.I5</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7754380B" w14:textId="39B6ED53" w:rsidR="003E1D81" w:rsidRDefault="00EB481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M </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4F703E4" w14:textId="39BB5415" w:rsidR="003E1D81" w:rsidRDefault="00EB481C">
            <w:pPr>
              <w:pStyle w:val="P68B1DB1-Normal13"/>
              <w:spacing w:after="0" w:line="240" w:lineRule="auto"/>
              <w:rPr>
                <w:rFonts w:eastAsia="Times New Roman" w:cs="Times New Roman"/>
                <w:noProof/>
              </w:rPr>
            </w:pPr>
            <w:r>
              <w:rPr>
                <w:noProof/>
              </w:rPr>
              <w:t xml:space="preserve">A körforgásos gazdaságot támogató támogatási rendszer: A </w:t>
            </w:r>
            <w:r>
              <w:rPr>
                <w:noProof/>
              </w:rPr>
              <w:t>minisztérium befejezte a beruházást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35D3272" w14:textId="629575AE" w:rsidR="003E1D81" w:rsidRDefault="00EB481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Kifizetési igazolás a végrehajtó partner részére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965198D" w14:textId="77777777" w:rsidR="003E1D81" w:rsidRDefault="003E1D81">
            <w:pPr>
              <w:spacing w:after="0" w:line="240" w:lineRule="auto"/>
              <w:jc w:val="center"/>
              <w:rPr>
                <w:rFonts w:ascii="Times New Roman" w:eastAsia="Times New Roman" w:hAnsi="Times New Roman" w:cs="Times New Roman"/>
                <w:noProof/>
                <w:sz w:val="18"/>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69223C4" w14:textId="77777777" w:rsidR="003E1D81" w:rsidRDefault="003E1D81">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F73057A" w14:textId="77777777" w:rsidR="003E1D81" w:rsidRDefault="003E1D81">
            <w:pPr>
              <w:spacing w:after="0" w:line="240" w:lineRule="auto"/>
              <w:jc w:val="center"/>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AA5C2AE" w14:textId="47B7DDDA" w:rsidR="003E1D81" w:rsidRDefault="00EB481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KÉRDÉS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42A713D" w14:textId="73C6D30D" w:rsidR="003E1D81" w:rsidRDefault="00EB481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2024 </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B471DCE" w14:textId="2D9B9847" w:rsidR="003E1D81" w:rsidRDefault="00EB481C">
            <w:pPr>
              <w:spacing w:after="0" w:line="240" w:lineRule="auto"/>
              <w:rPr>
                <w:rFonts w:ascii="Times New Roman" w:eastAsia="Times New Roman" w:hAnsi="Times New Roman" w:cs="Times New Roman"/>
                <w:noProof/>
                <w:sz w:val="18"/>
              </w:rPr>
            </w:pPr>
            <w:r>
              <w:rPr>
                <w:rStyle w:val="normaltextrun"/>
                <w:rFonts w:ascii="Times New Roman" w:hAnsi="Times New Roman"/>
                <w:noProof/>
                <w:sz w:val="18"/>
              </w:rPr>
              <w:t>Spanyolország 100 000 000 EUR-t utal át az IDAE-nek és 200 000 000 EUR-t a Fundación Biodiversidad részére a program céljaira.</w:t>
            </w:r>
          </w:p>
        </w:tc>
      </w:tr>
      <w:tr w:rsidR="003E1D81" w14:paraId="6192F824"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676CD28" w14:textId="423B2F14" w:rsidR="003E1D81" w:rsidRDefault="00EB481C">
            <w:pPr>
              <w:pStyle w:val="P68B1DB1-Normal13"/>
              <w:spacing w:after="0" w:line="240" w:lineRule="auto"/>
              <w:jc w:val="center"/>
              <w:rPr>
                <w:rFonts w:eastAsia="Times New Roman" w:cs="Times New Roman"/>
                <w:noProof/>
              </w:rPr>
            </w:pPr>
            <w:r>
              <w:rPr>
                <w:noProof/>
              </w:rPr>
              <w:t>446</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6A93D24" w14:textId="77777777" w:rsidR="003E1D81" w:rsidRDefault="00EB481C">
            <w:pPr>
              <w:pStyle w:val="P68B1DB1-Normal13"/>
              <w:spacing w:after="0" w:line="240" w:lineRule="auto"/>
              <w:jc w:val="center"/>
              <w:rPr>
                <w:rFonts w:eastAsia="Times New Roman" w:cs="Times New Roman"/>
                <w:noProof/>
              </w:rPr>
            </w:pPr>
            <w:r>
              <w:rPr>
                <w:noProof/>
              </w:rPr>
              <w:t>C12.I5</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59B5E1B" w14:textId="77777777" w:rsidR="003E1D81" w:rsidRDefault="00EB481C">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0475E4FD" w14:textId="45DB8A9B" w:rsidR="003E1D81" w:rsidRDefault="00EB481C">
            <w:pPr>
              <w:pStyle w:val="P68B1DB1-Normal13"/>
              <w:spacing w:after="0" w:line="240" w:lineRule="auto"/>
              <w:rPr>
                <w:rFonts w:eastAsia="Times New Roman" w:cs="Times New Roman"/>
                <w:noProof/>
              </w:rPr>
            </w:pPr>
            <w:r>
              <w:rPr>
                <w:noProof/>
              </w:rPr>
              <w:t xml:space="preserve">A </w:t>
            </w:r>
            <w:r>
              <w:rPr>
                <w:noProof/>
              </w:rPr>
              <w:t>körforgásos gazdaságot támogató támogatási rendszer: A támogatási rendszer létrehozása</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39DE73B6" w14:textId="12612E5C" w:rsidR="003E1D81" w:rsidRDefault="00EB481C">
            <w:pPr>
              <w:pStyle w:val="P68B1DB1-Normal13"/>
              <w:spacing w:after="0" w:line="240" w:lineRule="auto"/>
              <w:jc w:val="center"/>
              <w:rPr>
                <w:rFonts w:eastAsia="Times New Roman" w:cs="Times New Roman"/>
                <w:noProof/>
              </w:rPr>
            </w:pPr>
            <w:r>
              <w:rPr>
                <w:noProof/>
              </w:rPr>
              <w:t>A vonatkozó jogi eszköz(ök) hatálybalépése</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609D0A1" w14:textId="77777777" w:rsidR="003E1D81" w:rsidRDefault="003E1D81">
            <w:pPr>
              <w:spacing w:after="0" w:line="240" w:lineRule="auto"/>
              <w:jc w:val="center"/>
              <w:rPr>
                <w:rFonts w:ascii="Times New Roman" w:eastAsia="Times New Roman" w:hAnsi="Times New Roman" w:cs="Times New Roman"/>
                <w:noProof/>
                <w:sz w:val="18"/>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1957D37" w14:textId="77777777" w:rsidR="003E1D81" w:rsidRDefault="003E1D81">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EF180D2" w14:textId="77777777" w:rsidR="003E1D81" w:rsidRDefault="003E1D81">
            <w:pPr>
              <w:spacing w:after="0" w:line="240" w:lineRule="auto"/>
              <w:jc w:val="center"/>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1E7C9F6" w14:textId="77777777" w:rsidR="003E1D81" w:rsidRDefault="00EB481C">
            <w:pPr>
              <w:pStyle w:val="P68B1DB1-Normal13"/>
              <w:spacing w:after="0" w:line="240" w:lineRule="auto"/>
              <w:jc w:val="center"/>
              <w:rPr>
                <w:rFonts w:eastAsia="Times New Roman" w:cs="Times New Roman"/>
                <w:noProof/>
              </w:rPr>
            </w:pPr>
            <w:r>
              <w:rPr>
                <w:noProof/>
              </w:rPr>
              <w:t>NEGYEDÉV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43BBBC2" w14:textId="77777777" w:rsidR="003E1D81" w:rsidRDefault="00EB481C">
            <w:pPr>
              <w:pStyle w:val="P68B1DB1-Normal13"/>
              <w:spacing w:after="0" w:line="240" w:lineRule="auto"/>
              <w:jc w:val="center"/>
              <w:rPr>
                <w:rFonts w:eastAsia="Times New Roman" w:cs="Times New Roman"/>
                <w:noProof/>
              </w:rPr>
            </w:pPr>
            <w:r>
              <w:rPr>
                <w:noProof/>
              </w:rPr>
              <w:t>2024 </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429ECFB4" w14:textId="36B26541" w:rsidR="003E1D81" w:rsidRDefault="00EB481C">
            <w:pPr>
              <w:pStyle w:val="P68B1DB1-Normal13"/>
              <w:spacing w:after="0" w:line="240" w:lineRule="auto"/>
              <w:rPr>
                <w:rFonts w:eastAsia="Times New Roman" w:cs="Times New Roman"/>
                <w:noProof/>
              </w:rPr>
            </w:pPr>
            <w:r>
              <w:rPr>
                <w:noProof/>
              </w:rPr>
              <w:t>A programot létrehozó jogi eszköz(ök) hatálybalépése az intézkedés leírásában meghatározott követelményekke</w:t>
            </w:r>
            <w:r>
              <w:rPr>
                <w:noProof/>
              </w:rPr>
              <w:t>l összhangban.</w:t>
            </w:r>
          </w:p>
        </w:tc>
      </w:tr>
      <w:tr w:rsidR="003E1D81" w14:paraId="193E4360"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5E466F6B" w14:textId="39519970" w:rsidR="003E1D81" w:rsidRDefault="00EB481C">
            <w:pPr>
              <w:pStyle w:val="P68B1DB1-Normal13"/>
              <w:spacing w:after="0" w:line="240" w:lineRule="auto"/>
              <w:jc w:val="center"/>
              <w:rPr>
                <w:rFonts w:eastAsia="Times New Roman" w:cs="Times New Roman"/>
                <w:noProof/>
              </w:rPr>
            </w:pPr>
            <w:r>
              <w:rPr>
                <w:noProof/>
              </w:rPr>
              <w:t>447</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4F2D3CC1" w14:textId="77777777" w:rsidR="003E1D81" w:rsidRDefault="00EB481C">
            <w:pPr>
              <w:pStyle w:val="P68B1DB1-Normal13"/>
              <w:spacing w:after="0" w:line="240" w:lineRule="auto"/>
              <w:jc w:val="center"/>
              <w:rPr>
                <w:rFonts w:eastAsia="Times New Roman" w:cs="Times New Roman"/>
                <w:noProof/>
              </w:rPr>
            </w:pPr>
            <w:r>
              <w:rPr>
                <w:noProof/>
              </w:rPr>
              <w:t>C12.I5</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5808CA3" w14:textId="77777777" w:rsidR="003E1D81" w:rsidRDefault="00EB481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T </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F9FF87E" w14:textId="0E0CF4A4" w:rsidR="003E1D81" w:rsidRDefault="00EB481C">
            <w:pPr>
              <w:pStyle w:val="P68B1DB1-Normal13"/>
              <w:spacing w:after="0" w:line="240" w:lineRule="auto"/>
              <w:rPr>
                <w:rFonts w:eastAsia="Times New Roman" w:cs="Times New Roman"/>
                <w:noProof/>
              </w:rPr>
            </w:pPr>
            <w:r>
              <w:rPr>
                <w:noProof/>
              </w:rPr>
              <w:t>A körforgásos gazdaságot támogató támogatási rendszer: A végső kedvezményezettekkel aláírt jogi megállapodások vagy a végső odaítélési határozatok közzététele</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370CEB37" w14:textId="4F67CFEA" w:rsidR="003E1D81" w:rsidRDefault="00EB481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A jogi finanszírozási megállapodások vagy jogerős odaítélési </w:t>
            </w:r>
            <w:r>
              <w:rPr>
                <w:rStyle w:val="normaltextrun"/>
                <w:rFonts w:ascii="Times New Roman" w:hAnsi="Times New Roman"/>
                <w:noProof/>
                <w:sz w:val="18"/>
              </w:rPr>
              <w:t>határozatok hatálybalépése</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5A87720" w14:textId="77777777" w:rsidR="003E1D81" w:rsidRDefault="00EB481C">
            <w:pPr>
              <w:spacing w:after="0" w:line="240" w:lineRule="auto"/>
              <w:jc w:val="center"/>
              <w:rPr>
                <w:rFonts w:ascii="Times New Roman" w:eastAsia="Times New Roman" w:hAnsi="Times New Roman" w:cs="Times New Roman"/>
                <w:noProof/>
                <w:sz w:val="18"/>
              </w:rPr>
            </w:pPr>
            <w:r>
              <w:rPr>
                <w:rStyle w:val="eop"/>
                <w:rFonts w:ascii="Times New Roman" w:hAnsi="Times New Roman"/>
                <w:noProof/>
                <w:sz w:val="18"/>
              </w:rPr>
              <w:t>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AEEA772" w14:textId="77777777" w:rsidR="003E1D81" w:rsidRDefault="00EB481C">
            <w:pPr>
              <w:spacing w:after="0" w:line="240" w:lineRule="auto"/>
              <w:jc w:val="center"/>
              <w:rPr>
                <w:rFonts w:ascii="Times New Roman" w:eastAsia="Times New Roman" w:hAnsi="Times New Roman" w:cs="Times New Roman"/>
                <w:noProof/>
                <w:sz w:val="18"/>
              </w:rPr>
            </w:pPr>
            <w:r>
              <w:rPr>
                <w:rStyle w:val="eop"/>
                <w:rFonts w:ascii="Times New Roman" w:hAnsi="Times New Roman"/>
                <w:noProof/>
                <w:sz w:val="18"/>
              </w:rPr>
              <w:t>0%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09A8952" w14:textId="77777777" w:rsidR="003E1D81" w:rsidRDefault="00EB481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100%-OS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392DE83" w14:textId="77777777" w:rsidR="003E1D81" w:rsidRDefault="00EB481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NEGYEDÉV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46F2B9F" w14:textId="77777777" w:rsidR="003E1D81" w:rsidRDefault="00EB481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2025 </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07E9390C" w14:textId="1C2C2BDD" w:rsidR="003E1D81" w:rsidRDefault="00EB481C">
            <w:pPr>
              <w:spacing w:after="0" w:line="240" w:lineRule="auto"/>
              <w:rPr>
                <w:rFonts w:ascii="Times New Roman" w:eastAsia="Times New Roman" w:hAnsi="Times New Roman" w:cs="Times New Roman"/>
                <w:noProof/>
                <w:sz w:val="18"/>
              </w:rPr>
            </w:pPr>
            <w:r>
              <w:rPr>
                <w:rStyle w:val="normaltextrun"/>
                <w:rFonts w:ascii="Times New Roman" w:hAnsi="Times New Roman"/>
                <w:noProof/>
                <w:sz w:val="18"/>
              </w:rPr>
              <w:t>Az IDAE és a Fundación Biodiversidad közzétette az odaítélésről szóló végleges határozatokat, vagy jogi finanszírozási megállapodásokat kötött a végső kedvezményezettekkel a Helyreállítási és Rezili</w:t>
            </w:r>
            <w:r>
              <w:rPr>
                <w:rStyle w:val="normaltextrun"/>
                <w:rFonts w:ascii="Times New Roman" w:hAnsi="Times New Roman"/>
                <w:noProof/>
                <w:sz w:val="18"/>
              </w:rPr>
              <w:t>enciaépítési Eszköz beruházásai (beleértve a közvetett költségeket is) 100%-ának a rendszerbe történő felhasználásához szükséges összegről.</w:t>
            </w:r>
          </w:p>
        </w:tc>
      </w:tr>
      <w:tr w:rsidR="003E1D81" w14:paraId="35C50EBE"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971327F" w14:textId="42D5F40F" w:rsidR="003E1D81" w:rsidRDefault="00EB481C">
            <w:pPr>
              <w:pStyle w:val="P68B1DB1-Normal13"/>
              <w:spacing w:after="0" w:line="240" w:lineRule="auto"/>
              <w:jc w:val="center"/>
              <w:rPr>
                <w:rFonts w:eastAsia="Times New Roman" w:cs="Times New Roman"/>
                <w:noProof/>
              </w:rPr>
            </w:pPr>
            <w:r>
              <w:rPr>
                <w:noProof/>
              </w:rPr>
              <w:t>448a.</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6AB2A2C" w14:textId="42733C92" w:rsidR="003E1D81" w:rsidRDefault="00EB481C">
            <w:pPr>
              <w:pStyle w:val="P68B1DB1-Normal13"/>
              <w:spacing w:after="0" w:line="240" w:lineRule="auto"/>
              <w:jc w:val="center"/>
              <w:rPr>
                <w:rFonts w:cs="Times New Roman"/>
                <w:noProof/>
              </w:rPr>
            </w:pPr>
            <w:r>
              <w:rPr>
                <w:noProof/>
              </w:rPr>
              <w:t>C12.I6</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F7DB35F" w14:textId="59E78DFF" w:rsidR="003E1D81" w:rsidRDefault="00EB481C">
            <w:pPr>
              <w:pStyle w:val="P68B1DB1-Normal13"/>
              <w:spacing w:after="0" w:line="240" w:lineRule="auto"/>
              <w:jc w:val="center"/>
              <w:rPr>
                <w:rFonts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4573819" w14:textId="233F4B20" w:rsidR="003E1D81" w:rsidRDefault="00EB481C">
            <w:pPr>
              <w:pStyle w:val="P68B1DB1-Normal13"/>
              <w:spacing w:after="0" w:line="240" w:lineRule="auto"/>
              <w:rPr>
                <w:rFonts w:cs="Times New Roman"/>
                <w:noProof/>
              </w:rPr>
            </w:pPr>
            <w:r>
              <w:rPr>
                <w:noProof/>
              </w:rPr>
              <w:t xml:space="preserve">Az elektromos járművek ágazatára vonatkozó támogatási program (támogatások): A minisztérium </w:t>
            </w:r>
            <w:r>
              <w:rPr>
                <w:noProof/>
              </w:rPr>
              <w:t>befejezte a beruházást</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1100932" w14:textId="4E31DC25" w:rsidR="003E1D81" w:rsidRDefault="00EB481C">
            <w:pPr>
              <w:pStyle w:val="P68B1DB1-Normal13"/>
              <w:spacing w:after="0" w:line="240" w:lineRule="auto"/>
              <w:jc w:val="center"/>
              <w:rPr>
                <w:rFonts w:cs="Times New Roman"/>
                <w:noProof/>
              </w:rPr>
            </w:pPr>
            <w:r>
              <w:rPr>
                <w:noProof/>
              </w:rPr>
              <w:t>Folyósítási igazolás az ENISA-nak</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F3DB594" w14:textId="77777777" w:rsidR="003E1D81" w:rsidRDefault="003E1D81">
            <w:pPr>
              <w:spacing w:after="0" w:line="240" w:lineRule="auto"/>
              <w:jc w:val="center"/>
              <w:rPr>
                <w:rStyle w:val="eop"/>
                <w:rFonts w:ascii="Times New Roman" w:hAnsi="Times New Roman" w:cs="Times New Roman"/>
                <w:noProof/>
                <w:sz w:val="18"/>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D6BD69E" w14:textId="77777777" w:rsidR="003E1D81" w:rsidRDefault="003E1D81">
            <w:pPr>
              <w:spacing w:after="0" w:line="240" w:lineRule="auto"/>
              <w:jc w:val="center"/>
              <w:rPr>
                <w:rStyle w:val="eop"/>
                <w:rFonts w:ascii="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D153BF3" w14:textId="77777777" w:rsidR="003E1D81" w:rsidRDefault="003E1D81">
            <w:pPr>
              <w:spacing w:after="0" w:line="240" w:lineRule="auto"/>
              <w:jc w:val="center"/>
              <w:rPr>
                <w:rStyle w:val="eop"/>
                <w:rFonts w:ascii="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2A996DE" w14:textId="69D76941" w:rsidR="003E1D81" w:rsidRDefault="00EB481C">
            <w:pPr>
              <w:pStyle w:val="P68B1DB1-Normal13"/>
              <w:spacing w:after="0" w:line="240" w:lineRule="auto"/>
              <w:jc w:val="center"/>
              <w:rPr>
                <w:rFonts w:cs="Times New Roman"/>
                <w:noProof/>
              </w:rPr>
            </w:pPr>
            <w:r>
              <w:rPr>
                <w:noProof/>
              </w:rPr>
              <w:t>KÉRDÉS</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F0DA853" w14:textId="07EDDF73" w:rsidR="003E1D81" w:rsidRDefault="00EB481C">
            <w:pPr>
              <w:pStyle w:val="P68B1DB1-Normal13"/>
              <w:spacing w:after="0" w:line="240" w:lineRule="auto"/>
              <w:jc w:val="center"/>
              <w:rPr>
                <w:rFonts w:cs="Times New Roman"/>
                <w:noProof/>
              </w:rPr>
            </w:pPr>
            <w:r>
              <w:rPr>
                <w:noProof/>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9FF64A6" w14:textId="17CEBB80" w:rsidR="003E1D81" w:rsidRDefault="00EB481C">
            <w:pPr>
              <w:pStyle w:val="P68B1DB1-Normal13"/>
              <w:spacing w:after="0" w:line="240" w:lineRule="auto"/>
              <w:rPr>
                <w:rFonts w:cs="Times New Roman"/>
                <w:noProof/>
              </w:rPr>
            </w:pPr>
            <w:r>
              <w:rPr>
                <w:noProof/>
              </w:rPr>
              <w:t>Spanyolország 250 000 000 EUR-t utal át a program céljára az ENISA-nak.</w:t>
            </w:r>
          </w:p>
        </w:tc>
      </w:tr>
      <w:tr w:rsidR="003E1D81" w14:paraId="0CF77885"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5AA4BA2" w14:textId="22E462F7" w:rsidR="003E1D81" w:rsidRDefault="00EB481C">
            <w:pPr>
              <w:pStyle w:val="P68B1DB1-Normal13"/>
              <w:spacing w:after="0" w:line="240" w:lineRule="auto"/>
              <w:jc w:val="center"/>
              <w:rPr>
                <w:rFonts w:eastAsia="Times New Roman" w:cs="Times New Roman"/>
                <w:noProof/>
              </w:rPr>
            </w:pPr>
            <w:r>
              <w:rPr>
                <w:noProof/>
              </w:rPr>
              <w:t>448b</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12484DB" w14:textId="7EF1C065" w:rsidR="003E1D81" w:rsidRDefault="00EB481C">
            <w:pPr>
              <w:pStyle w:val="P68B1DB1-Normal13"/>
              <w:spacing w:after="0" w:line="240" w:lineRule="auto"/>
              <w:jc w:val="center"/>
              <w:rPr>
                <w:rFonts w:eastAsia="Times New Roman" w:cs="Times New Roman"/>
                <w:noProof/>
              </w:rPr>
            </w:pPr>
            <w:r>
              <w:rPr>
                <w:noProof/>
              </w:rPr>
              <w:t>C12.I6</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01099AD5" w14:textId="1B6EE572" w:rsidR="003E1D81" w:rsidRDefault="00EB481C">
            <w:pPr>
              <w:pStyle w:val="P68B1DB1-Normal13"/>
              <w:spacing w:after="0" w:line="240" w:lineRule="auto"/>
              <w:jc w:val="center"/>
              <w:rPr>
                <w:rStyle w:val="normaltextrun"/>
                <w:rFonts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6885859D" w14:textId="43B2C672" w:rsidR="003E1D81" w:rsidRDefault="00EB481C">
            <w:pPr>
              <w:pStyle w:val="P68B1DB1-Normal13"/>
              <w:spacing w:after="0" w:line="240" w:lineRule="auto"/>
              <w:rPr>
                <w:rStyle w:val="normaltextrun"/>
                <w:rFonts w:cs="Times New Roman"/>
                <w:noProof/>
              </w:rPr>
            </w:pPr>
            <w:r>
              <w:rPr>
                <w:noProof/>
              </w:rPr>
              <w:t xml:space="preserve">Az elektromosjármű-ágazatra vonatkozó támogatási program (támogatások); A támogatási rendszer </w:t>
            </w:r>
            <w:r>
              <w:rPr>
                <w:noProof/>
              </w:rPr>
              <w:t>létrehozása</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6563C6A1" w14:textId="3C73E426" w:rsidR="003E1D81" w:rsidRDefault="00EB481C">
            <w:pPr>
              <w:pStyle w:val="P68B1DB1-Normal13"/>
              <w:spacing w:after="0" w:line="240" w:lineRule="auto"/>
              <w:jc w:val="center"/>
              <w:rPr>
                <w:rStyle w:val="normaltextrun"/>
                <w:rFonts w:cs="Times New Roman"/>
                <w:noProof/>
              </w:rPr>
            </w:pPr>
            <w:r>
              <w:rPr>
                <w:noProof/>
              </w:rPr>
              <w:t>A vonatkozó jogi eszköz(ök) hatálybalépése</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3FC7F7B0" w14:textId="77777777" w:rsidR="003E1D81" w:rsidRDefault="003E1D81">
            <w:pPr>
              <w:spacing w:after="0" w:line="240" w:lineRule="auto"/>
              <w:jc w:val="center"/>
              <w:rPr>
                <w:rStyle w:val="eop"/>
                <w:rFonts w:ascii="Times New Roman" w:hAnsi="Times New Roman" w:cs="Times New Roman"/>
                <w:noProof/>
                <w:sz w:val="18"/>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7575F5AC" w14:textId="77777777" w:rsidR="003E1D81" w:rsidRDefault="003E1D81">
            <w:pPr>
              <w:spacing w:after="0" w:line="240" w:lineRule="auto"/>
              <w:jc w:val="center"/>
              <w:rPr>
                <w:rStyle w:val="eop"/>
                <w:rFonts w:ascii="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95EC66A" w14:textId="77777777" w:rsidR="003E1D81" w:rsidRDefault="003E1D81">
            <w:pPr>
              <w:spacing w:after="0" w:line="240" w:lineRule="auto"/>
              <w:jc w:val="center"/>
              <w:rPr>
                <w:rStyle w:val="eop"/>
                <w:rFonts w:ascii="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3EE9EF5" w14:textId="1DC2A2DC" w:rsidR="003E1D81" w:rsidRDefault="00EB481C">
            <w:pPr>
              <w:pStyle w:val="P68B1DB1-Normal13"/>
              <w:spacing w:after="0" w:line="240" w:lineRule="auto"/>
              <w:jc w:val="center"/>
              <w:rPr>
                <w:rStyle w:val="normaltextrun"/>
                <w:rFonts w:cs="Times New Roman"/>
                <w:noProof/>
              </w:rPr>
            </w:pPr>
            <w:r>
              <w:rPr>
                <w:noProof/>
              </w:rPr>
              <w:t>NEGYEDÉV</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454FDAA" w14:textId="4EEE9967" w:rsidR="003E1D81" w:rsidRDefault="00EB481C">
            <w:pPr>
              <w:pStyle w:val="P68B1DB1-Normal13"/>
              <w:spacing w:after="0" w:line="240" w:lineRule="auto"/>
              <w:jc w:val="center"/>
              <w:rPr>
                <w:rStyle w:val="normaltextrun"/>
                <w:rFonts w:cs="Times New Roman"/>
                <w:noProof/>
              </w:rPr>
            </w:pPr>
            <w:r>
              <w:rPr>
                <w:noProof/>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4B94225F" w14:textId="1504E8B4" w:rsidR="003E1D81" w:rsidRDefault="00EB481C">
            <w:pPr>
              <w:pStyle w:val="P68B1DB1-Normal13"/>
              <w:spacing w:after="0" w:line="240" w:lineRule="auto"/>
              <w:rPr>
                <w:rStyle w:val="normaltextrun"/>
                <w:rFonts w:cs="Times New Roman"/>
                <w:noProof/>
              </w:rPr>
            </w:pPr>
            <w:r>
              <w:rPr>
                <w:noProof/>
              </w:rPr>
              <w:t>A támogatási programot létrehozó jogi eszköz(ök) hatálybalépése az intézkedés leírásában meghatározott követelményekkel összhangban.</w:t>
            </w:r>
          </w:p>
        </w:tc>
      </w:tr>
      <w:tr w:rsidR="003E1D81" w14:paraId="023D9E75"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7A2BA75" w14:textId="2A830409" w:rsidR="003E1D81" w:rsidRDefault="00EB481C">
            <w:pPr>
              <w:pStyle w:val="P68B1DB1-Normal13"/>
              <w:spacing w:after="0" w:line="240" w:lineRule="auto"/>
              <w:jc w:val="center"/>
              <w:rPr>
                <w:rFonts w:eastAsia="Times New Roman" w:cs="Times New Roman"/>
                <w:noProof/>
              </w:rPr>
            </w:pPr>
            <w:r>
              <w:rPr>
                <w:noProof/>
              </w:rPr>
              <w:t>448c</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8D8026E" w14:textId="623BE091" w:rsidR="003E1D81" w:rsidRDefault="00EB481C">
            <w:pPr>
              <w:pStyle w:val="P68B1DB1-Normal13"/>
              <w:spacing w:after="0" w:line="240" w:lineRule="auto"/>
              <w:jc w:val="center"/>
              <w:rPr>
                <w:rFonts w:eastAsia="Times New Roman" w:cs="Times New Roman"/>
                <w:noProof/>
              </w:rPr>
            </w:pPr>
            <w:r>
              <w:rPr>
                <w:noProof/>
              </w:rPr>
              <w:t>C12.I6</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1E20D67" w14:textId="2E230453" w:rsidR="003E1D81" w:rsidRDefault="00EB481C">
            <w:pPr>
              <w:pStyle w:val="P68B1DB1-Normal13"/>
              <w:spacing w:after="0" w:line="240" w:lineRule="auto"/>
              <w:jc w:val="center"/>
              <w:rPr>
                <w:rStyle w:val="normaltextrun"/>
                <w:rFonts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68290148" w14:textId="5B5E7DB6" w:rsidR="003E1D81" w:rsidRDefault="00EB481C">
            <w:pPr>
              <w:pStyle w:val="P68B1DB1-Normal13"/>
              <w:spacing w:after="0" w:line="240" w:lineRule="auto"/>
              <w:rPr>
                <w:rStyle w:val="normaltextrun"/>
                <w:rFonts w:cs="Times New Roman"/>
                <w:noProof/>
              </w:rPr>
            </w:pPr>
            <w:r>
              <w:rPr>
                <w:noProof/>
              </w:rPr>
              <w:t>Az elektromos járművek ágazatára vonatkozó támogatási program (támogatások): A végső kedvezményezettekkel aláírt jogi megállapodások vagy a végső odaítélési határozatok közzététele</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8231155" w14:textId="53099192" w:rsidR="003E1D81" w:rsidRDefault="00EB481C">
            <w:pPr>
              <w:spacing w:after="0" w:line="240" w:lineRule="auto"/>
              <w:jc w:val="center"/>
              <w:rPr>
                <w:rStyle w:val="normaltextrun"/>
                <w:rFonts w:ascii="Times New Roman" w:hAnsi="Times New Roman" w:cs="Times New Roman"/>
                <w:noProof/>
                <w:sz w:val="18"/>
              </w:rPr>
            </w:pPr>
            <w:r>
              <w:rPr>
                <w:rStyle w:val="normaltextrun"/>
                <w:rFonts w:ascii="Times New Roman" w:hAnsi="Times New Roman"/>
                <w:noProof/>
                <w:sz w:val="18"/>
              </w:rPr>
              <w:t>A jogi finanszírozási megállapodások vagy jogerős odaítélési határozatok ha</w:t>
            </w:r>
            <w:r>
              <w:rPr>
                <w:rStyle w:val="normaltextrun"/>
                <w:rFonts w:ascii="Times New Roman" w:hAnsi="Times New Roman"/>
                <w:noProof/>
                <w:sz w:val="18"/>
              </w:rPr>
              <w:t>tálybalépése</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445CAC1E" w14:textId="43AFC18F" w:rsidR="003E1D81" w:rsidRDefault="003E1D81">
            <w:pPr>
              <w:spacing w:after="0" w:line="240" w:lineRule="auto"/>
              <w:jc w:val="center"/>
              <w:rPr>
                <w:rStyle w:val="eop"/>
                <w:rFonts w:ascii="Times New Roman" w:hAnsi="Times New Roman" w:cs="Times New Roman"/>
                <w:noProof/>
                <w:sz w:val="18"/>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243C441" w14:textId="04508D53" w:rsidR="003E1D81" w:rsidRDefault="00EB481C">
            <w:pPr>
              <w:pStyle w:val="P68B1DB1-Normal13"/>
              <w:spacing w:after="0" w:line="240" w:lineRule="auto"/>
              <w:jc w:val="center"/>
              <w:rPr>
                <w:rStyle w:val="eop"/>
                <w:rFonts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CCCC4C8" w14:textId="6A85DB45" w:rsidR="003E1D81" w:rsidRDefault="00EB481C">
            <w:pPr>
              <w:pStyle w:val="P68B1DB1-Normal13"/>
              <w:spacing w:after="0" w:line="240" w:lineRule="auto"/>
              <w:jc w:val="center"/>
              <w:rPr>
                <w:rStyle w:val="eop"/>
                <w:rFonts w:cs="Times New Roman"/>
                <w:noProof/>
              </w:rPr>
            </w:pPr>
            <w:r>
              <w:rPr>
                <w:noProof/>
              </w:rPr>
              <w:t>100%-OS</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6A61E54" w14:textId="3E9C4978" w:rsidR="003E1D81" w:rsidRDefault="00EB481C">
            <w:pPr>
              <w:pStyle w:val="P68B1DB1-Normal13"/>
              <w:spacing w:after="0" w:line="240" w:lineRule="auto"/>
              <w:jc w:val="center"/>
              <w:rPr>
                <w:rStyle w:val="normaltextrun"/>
                <w:rFonts w:cs="Times New Roman"/>
                <w:noProof/>
              </w:rPr>
            </w:pPr>
            <w:r>
              <w:rPr>
                <w:noProof/>
              </w:rPr>
              <w:t>KÉRDÉS</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DE61EC2" w14:textId="0CBB52CB" w:rsidR="003E1D81" w:rsidRDefault="00EB481C">
            <w:pPr>
              <w:pStyle w:val="P68B1DB1-Normal13"/>
              <w:spacing w:after="0" w:line="240" w:lineRule="auto"/>
              <w:jc w:val="center"/>
              <w:rPr>
                <w:rStyle w:val="normaltextrun"/>
                <w:rFonts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036D2B0" w14:textId="0A86B2AA" w:rsidR="003E1D81" w:rsidRDefault="00EB481C">
            <w:pPr>
              <w:pStyle w:val="P68B1DB1-Normal13"/>
              <w:spacing w:after="0" w:line="240" w:lineRule="auto"/>
              <w:rPr>
                <w:rStyle w:val="normaltextrun"/>
                <w:rFonts w:cs="Times New Roman"/>
                <w:noProof/>
              </w:rPr>
            </w:pPr>
            <w:r>
              <w:rPr>
                <w:noProof/>
              </w:rPr>
              <w:t>Az ENISA jogerős odaítélési határozatokat tett közzé, vagy jogi finanszírozási megállapodásokat kötött a végső kedvezményezettekkel a Helyreállítási és Rezilienciaépítési Eszköz beruházásainak (beleértve a közvetett költségeket is) 100%-ának a rendszerbe t</w:t>
            </w:r>
            <w:r>
              <w:rPr>
                <w:noProof/>
              </w:rPr>
              <w:t>örténő felhasználásához szükséges összegről. Az ENISA-nak biztosítania kell, hogy e finanszírozás legalább 40%-a a Helyreállítási és Rezilienciaépítési Eszközről szóló rendelet VI. mellékletében foglalt módszertan alkalmazásával hozzájáruljon az éghajlat-p</w:t>
            </w:r>
            <w:r>
              <w:rPr>
                <w:noProof/>
              </w:rPr>
              <w:t xml:space="preserve">olitikai célkitűzésekhez.  </w:t>
            </w:r>
          </w:p>
        </w:tc>
      </w:tr>
    </w:tbl>
    <w:p w14:paraId="1606A7E5" w14:textId="36D91D00" w:rsidR="003E1D81" w:rsidRDefault="00EB481C">
      <w:pPr>
        <w:rPr>
          <w:rFonts w:ascii="Times New Roman" w:hAnsi="Times New Roman" w:cs="Times New Roman"/>
          <w:noProof/>
          <w:sz w:val="24"/>
        </w:rPr>
        <w:sectPr w:rsidR="003E1D81" w:rsidSect="00EB7CC8">
          <w:headerReference w:type="even" r:id="rId252"/>
          <w:headerReference w:type="default" r:id="rId253"/>
          <w:footerReference w:type="even" r:id="rId254"/>
          <w:footerReference w:type="default" r:id="rId255"/>
          <w:headerReference w:type="first" r:id="rId256"/>
          <w:footerReference w:type="first" r:id="rId257"/>
          <w:pgSz w:w="16839" w:h="11907" w:orient="landscape"/>
          <w:pgMar w:top="1417" w:right="1134" w:bottom="1417" w:left="1134" w:header="709" w:footer="709" w:gutter="0"/>
          <w:cols w:space="720"/>
          <w:docGrid w:linePitch="360"/>
        </w:sectPr>
      </w:pPr>
      <w:r>
        <w:rPr>
          <w:noProof/>
        </w:rPr>
        <w:br w:type="page"/>
      </w:r>
    </w:p>
    <w:p w14:paraId="1863B4FD" w14:textId="77777777" w:rsidR="003E1D81" w:rsidRDefault="003E1D81">
      <w:pPr>
        <w:rPr>
          <w:rFonts w:ascii="Times New Roman" w:hAnsi="Times New Roman" w:cs="Times New Roman"/>
          <w:noProof/>
          <w:sz w:val="24"/>
        </w:rPr>
      </w:pPr>
    </w:p>
    <w:p w14:paraId="44231B9C" w14:textId="77777777" w:rsidR="003E1D81" w:rsidRDefault="00EB481C">
      <w:pPr>
        <w:pStyle w:val="P68B1DB1-Normal5"/>
        <w:ind w:firstLine="720"/>
        <w:rPr>
          <w:rFonts w:cs="Times New Roman"/>
          <w:noProof/>
        </w:rPr>
      </w:pPr>
      <w:r>
        <w:rPr>
          <w:noProof/>
        </w:rPr>
        <w:t xml:space="preserve">I.3. </w:t>
      </w:r>
      <w:r>
        <w:rPr>
          <w:noProof/>
        </w:rPr>
        <w:tab/>
        <w:t xml:space="preserve">A hiteltámogatással kapcsolatos reformok és beruházások ismertetése  </w:t>
      </w:r>
    </w:p>
    <w:p w14:paraId="11E71760" w14:textId="4032C121" w:rsidR="003E1D81" w:rsidRDefault="00EB481C">
      <w:pPr>
        <w:spacing w:before="120" w:after="120" w:line="240" w:lineRule="auto"/>
        <w:jc w:val="both"/>
        <w:rPr>
          <w:rStyle w:val="normaltextrun"/>
          <w:rFonts w:ascii="Times New Roman" w:hAnsi="Times New Roman" w:cs="Times New Roman"/>
          <w:noProof/>
          <w:sz w:val="24"/>
          <w:u w:val="single"/>
        </w:rPr>
      </w:pPr>
      <w:r>
        <w:rPr>
          <w:rStyle w:val="normaltextrun"/>
          <w:rFonts w:ascii="Times New Roman" w:hAnsi="Times New Roman"/>
          <w:noProof/>
          <w:sz w:val="24"/>
          <w:u w:val="single"/>
        </w:rPr>
        <w:t xml:space="preserve">Beruházás (C12.I7) – Az elektromos autók és az agrár-élelmiszeripari értéklánc stratégiai projektjeinek támogatási programja (kölcsönök)  </w:t>
      </w:r>
    </w:p>
    <w:p w14:paraId="2D7B7ECE" w14:textId="617414B4" w:rsidR="003E1D81" w:rsidRDefault="00EB481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Ez az intézkedés egy olyan támogatási rendszerbe történő állami beruházásból áll, amely kölcsönök révén ösztönzi az e</w:t>
      </w:r>
      <w:r>
        <w:rPr>
          <w:rStyle w:val="normaltextrun"/>
          <w:rFonts w:ascii="Times New Roman" w:hAnsi="Times New Roman"/>
          <w:noProof/>
          <w:sz w:val="24"/>
        </w:rPr>
        <w:t>lektromos autók és az agrár-élelmiszeripar értékláncába történő magánberuházásokat. A programnak elő kell mozdítania az olyan stratégiai ágazatok átalakítását, mint a gépjárműipar és az elektromos járművek, valamint az agrár-élelmiszeripari ágazat a magáns</w:t>
      </w:r>
      <w:r>
        <w:rPr>
          <w:rStyle w:val="normaltextrun"/>
          <w:rFonts w:ascii="Times New Roman" w:hAnsi="Times New Roman"/>
          <w:noProof/>
          <w:sz w:val="24"/>
        </w:rPr>
        <w:t>zektornak nyújtott hitelek révén, a Miniszterek Tanácsa által jóváhagyott stratégiai projektek vagy PERTE-k keretében. A Helyreállítási és Rezilienciaépítési Eszköz beruházásai alapján a program célja kezdetben legalább 1 200 000 000 EUR összegű finanszíro</w:t>
      </w:r>
      <w:r>
        <w:rPr>
          <w:rStyle w:val="normaltextrun"/>
          <w:rFonts w:ascii="Times New Roman" w:hAnsi="Times New Roman"/>
          <w:noProof/>
          <w:sz w:val="24"/>
        </w:rPr>
        <w:t>zás biztosítása.</w:t>
      </w:r>
    </w:p>
    <w:p w14:paraId="75BC80EB" w14:textId="61EBECE1" w:rsidR="003E1D81" w:rsidRDefault="00EB481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 rendszert végrehajtó partnerként az ENISA irányítja. A vonatkozó jogi aktusnak az ENISA-t közvállalkozássá kell átalakítania e beruházás végrehajtása érdekében (ez mérföldkövet jelent Spanyolország helyreállítási és rezilienciaépítési te</w:t>
      </w:r>
      <w:r>
        <w:rPr>
          <w:rStyle w:val="normaltextrun"/>
          <w:rFonts w:ascii="Times New Roman" w:hAnsi="Times New Roman"/>
          <w:noProof/>
          <w:sz w:val="24"/>
        </w:rPr>
        <w:t>rve 31. komponensének 6. beruházása keretében).</w:t>
      </w:r>
    </w:p>
    <w:p w14:paraId="5BAAC0A3" w14:textId="2CAC0404" w:rsidR="003E1D81" w:rsidRDefault="00EB481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A programba történő beruházás végrehajtása érdekében a kormány egy vagy több, a hitelprogramot létrehozó jogi eszközt fogad el, amely a következő elemeket tartalmazza:  </w:t>
      </w:r>
    </w:p>
    <w:p w14:paraId="40AD246D" w14:textId="080791A1" w:rsidR="003E1D81" w:rsidRDefault="00EB481C">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 programra vonatkozó döntéshozatali e</w:t>
      </w:r>
      <w:r>
        <w:rPr>
          <w:rStyle w:val="normaltextrun"/>
          <w:rFonts w:ascii="Times New Roman" w:hAnsi="Times New Roman"/>
          <w:noProof/>
          <w:sz w:val="24"/>
        </w:rPr>
        <w:t>ljárás leírása: A pályázatok értékelését és a végső odaítélési határozatokban vagy a beruházási határozatokban szerepeltetendő kedvezményezettek kiválasztását beruházási bizottság vagy más, ezzel egyenértékű irányító testület végzi, és azt a spanyol kormán</w:t>
      </w:r>
      <w:r>
        <w:rPr>
          <w:rStyle w:val="normaltextrun"/>
          <w:rFonts w:ascii="Times New Roman" w:hAnsi="Times New Roman"/>
          <w:noProof/>
          <w:sz w:val="24"/>
        </w:rPr>
        <w:t xml:space="preserve">ytól független tagok szavazatainak többségével kell jóváhagyni, ami azt jelenti, hogy a kedvezményezetteknek vagy az ENISA által alkalmazott személyzetnek és/vagy más független szakértőknek kell lenniük. A rendszer végleges beruházási döntése a beruházási </w:t>
      </w:r>
      <w:r>
        <w:rPr>
          <w:rStyle w:val="normaltextrun"/>
          <w:rFonts w:ascii="Times New Roman" w:hAnsi="Times New Roman"/>
          <w:noProof/>
          <w:sz w:val="24"/>
        </w:rPr>
        <w:t>bizottság vagy azzal egyenértékű irányító testület által javasolt befektetési döntéssel kapcsolatos vétójog (módosítás nélküli) jóváhagyására vagy gyakorlására korlátozódik.</w:t>
      </w:r>
    </w:p>
    <w:p w14:paraId="4D5B4310" w14:textId="7026476A" w:rsidR="003E1D81" w:rsidRDefault="00EB481C">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Az ágazat zöld és digitális átalakulását célzó, támogatásra jogosult tevékenységek</w:t>
      </w:r>
      <w:r>
        <w:rPr>
          <w:rStyle w:val="normaltextrun"/>
          <w:rFonts w:ascii="Times New Roman" w:hAnsi="Times New Roman"/>
          <w:noProof/>
          <w:sz w:val="24"/>
        </w:rPr>
        <w:t xml:space="preserve"> listája, amelynek összege legalább 1 200 000 000 EUR. Az intézkedés olyan innovatív projekteket támogat, amelyek jelentős ipari átalakulást foglalnak magukban az energiahatékonyság, a fenntarthatóság és az ágazat digitális átalakulása tekintetében.</w:t>
      </w:r>
    </w:p>
    <w:p w14:paraId="4C761E5C" w14:textId="58DF97DE" w:rsidR="003E1D81" w:rsidRDefault="00EB481C">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 jele</w:t>
      </w:r>
      <w:r>
        <w:rPr>
          <w:rStyle w:val="normaltextrun"/>
          <w:rFonts w:ascii="Times New Roman" w:hAnsi="Times New Roman"/>
          <w:noProof/>
          <w:sz w:val="24"/>
        </w:rPr>
        <w:t xml:space="preserve">ntős károkozás elkerülését célzó elvnek való megfelelés követelménye a Helyreállítási és Rezilienciaépítési Eszköz keretében, a DNSH technikai iránymutatásában (2021/C58/01) meghatározottak szerint: i. a fosszilis tüzelőanyagokhoz kapcsolódó tevékenységek </w:t>
      </w:r>
      <w:r>
        <w:rPr>
          <w:rStyle w:val="normaltextrun"/>
          <w:rFonts w:ascii="Times New Roman" w:hAnsi="Times New Roman"/>
          <w:noProof/>
          <w:sz w:val="24"/>
        </w:rPr>
        <w:t>és eszközök, beleértve a továbbfelhasználást is, ii. az uniós kibocsátáskereskedelmi rendszer (ETS) keretében</w:t>
      </w:r>
      <w:r>
        <w:rPr>
          <w:rStyle w:val="FootnoteReference"/>
          <w:rFonts w:ascii="Times New Roman" w:hAnsi="Times New Roman" w:cs="Times New Roman"/>
          <w:noProof/>
          <w:sz w:val="24"/>
        </w:rPr>
        <w:footnoteReference w:id="61"/>
      </w:r>
      <w:r>
        <w:rPr>
          <w:rFonts w:ascii="Times New Roman" w:hAnsi="Times New Roman"/>
          <w:noProof/>
          <w:sz w:val="24"/>
        </w:rPr>
        <w:t>végzett tevékenységek és eszközök, amelyek a vonatkozó referenciaértékeknél nem alacsonyabb várható üvegházhatásúgáz-kibocsátást érnek el; iii. hu</w:t>
      </w:r>
      <w:r>
        <w:rPr>
          <w:rFonts w:ascii="Times New Roman" w:hAnsi="Times New Roman"/>
          <w:noProof/>
          <w:sz w:val="24"/>
        </w:rPr>
        <w:t>lladéklerakókkal, hulladékégetőkkel és mechanikai-biológiai szennyvíztisztító telepekkel kapcsolatos</w:t>
      </w:r>
      <w:r>
        <w:rPr>
          <w:rStyle w:val="FootnoteReference"/>
          <w:rFonts w:ascii="Times New Roman" w:hAnsi="Times New Roman" w:cs="Times New Roman"/>
          <w:noProof/>
          <w:sz w:val="24"/>
        </w:rPr>
        <w:footnoteReference w:id="62"/>
      </w:r>
      <w:r>
        <w:rPr>
          <w:rFonts w:ascii="Times New Roman" w:hAnsi="Times New Roman"/>
          <w:noProof/>
          <w:sz w:val="24"/>
        </w:rPr>
        <w:t>tevékenységek</w:t>
      </w:r>
      <w:r>
        <w:rPr>
          <w:rStyle w:val="FootnoteReference"/>
          <w:rFonts w:ascii="Times New Roman" w:hAnsi="Times New Roman" w:cs="Times New Roman"/>
          <w:noProof/>
          <w:sz w:val="24"/>
        </w:rPr>
        <w:footnoteReference w:id="63"/>
      </w:r>
      <w:r>
        <w:rPr>
          <w:rFonts w:ascii="Times New Roman" w:hAnsi="Times New Roman"/>
          <w:noProof/>
          <w:sz w:val="24"/>
        </w:rPr>
        <w:t xml:space="preserve"> és eszközök</w:t>
      </w:r>
      <w:r>
        <w:rPr>
          <w:rStyle w:val="FootnoteReference"/>
          <w:rFonts w:ascii="Times New Roman" w:hAnsi="Times New Roman" w:cs="Times New Roman"/>
          <w:noProof/>
          <w:sz w:val="24"/>
        </w:rPr>
        <w:footnoteReference w:id="64"/>
      </w:r>
      <w:r>
        <w:rPr>
          <w:rFonts w:ascii="Times New Roman" w:hAnsi="Times New Roman"/>
          <w:noProof/>
          <w:sz w:val="24"/>
        </w:rPr>
        <w:t xml:space="preserve">. Ezen túlmenően a jogi eszköz(ök)nek meg kell követelniük a hitelkonstrukciók végső kedvezményezettjeinek a vonatkozó uniós és </w:t>
      </w:r>
      <w:r>
        <w:rPr>
          <w:rFonts w:ascii="Times New Roman" w:hAnsi="Times New Roman"/>
          <w:noProof/>
          <w:sz w:val="24"/>
        </w:rPr>
        <w:t>nemzeti környezetvédelmi jogszabályoknak való megfelelést. Az e beruházás keretében végrehajtott alábbi K+F+I-intézkedéseket úgy kell tekinteni, hogy megfelelnek a jelentős károkozás elkerülését célzó elvről szóló technikai iránymutatásnak (2021/C58/01): E</w:t>
      </w:r>
      <w:r>
        <w:rPr>
          <w:rFonts w:ascii="Times New Roman" w:hAnsi="Times New Roman"/>
          <w:noProof/>
          <w:sz w:val="24"/>
        </w:rPr>
        <w:t xml:space="preserve"> beruházás keretében a vállalatok környezeti fenntarthatóságának jelentős növelésére irányuló K+F+I tevékenységek (például dekarbonizáció, a szennyezés csökkentése és a körforgásos gazdaság), amennyiben az e beruházás keretében megvalósuló K+F+I tevékenysé</w:t>
      </w:r>
      <w:r>
        <w:rPr>
          <w:rFonts w:ascii="Times New Roman" w:hAnsi="Times New Roman"/>
          <w:noProof/>
          <w:sz w:val="24"/>
        </w:rPr>
        <w:t xml:space="preserve">gek elsősorban az ágazatban a lehető legkisebb környezeti hatással járó alternatívák kidolgozására vagy kiigazítására irányulnak. </w:t>
      </w:r>
    </w:p>
    <w:p w14:paraId="6A777BC6" w14:textId="28F287E0" w:rsidR="003E1D81" w:rsidRDefault="00EB481C">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Az ENISA által végrehajtott éghajlat-politikai beruházásokra vonatkozó követelmények: a Helyreállítási és Rezilienciaépítési </w:t>
      </w:r>
      <w:r>
        <w:rPr>
          <w:rStyle w:val="normaltextrun"/>
          <w:rFonts w:ascii="Times New Roman" w:hAnsi="Times New Roman"/>
          <w:noProof/>
          <w:sz w:val="24"/>
        </w:rPr>
        <w:t>Eszközből a rendszerbe történő beruházásból legalább 480 000 000 EUR-nak hozzá kell járulnia az éghajlatváltozással kapcsolatos célkitűzésekhez a Helyreállítási és Rezilienciaépítési Eszközről szóló rendelet VI. mellékletével összhangban.</w:t>
      </w:r>
      <w:r>
        <w:rPr>
          <w:rStyle w:val="FootnoteReference"/>
          <w:rFonts w:ascii="Times New Roman" w:hAnsi="Times New Roman" w:cs="Times New Roman"/>
          <w:noProof/>
          <w:sz w:val="24"/>
        </w:rPr>
        <w:footnoteReference w:id="65"/>
      </w:r>
    </w:p>
    <w:p w14:paraId="04D4384B" w14:textId="0238DFEC" w:rsidR="003E1D81" w:rsidRDefault="00EB481C">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Az a követelmény</w:t>
      </w:r>
      <w:r>
        <w:rPr>
          <w:rStyle w:val="normaltextrun"/>
          <w:rFonts w:ascii="Times New Roman" w:hAnsi="Times New Roman"/>
          <w:noProof/>
          <w:sz w:val="24"/>
        </w:rPr>
        <w:t>, hogy a hitelprogram végső kedvezményezettjei nem részesülhetnek támogatásban más uniós eszközökből ugyanazon költségek fedezésére.</w:t>
      </w:r>
    </w:p>
    <w:p w14:paraId="5C805529" w14:textId="4B42B69B" w:rsidR="003E1D81" w:rsidRDefault="00EB481C">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 program hatálya alá tartozó összeg, valamint az a követelmény, hogy a hitelprogramból származó fel nem használt bevételek</w:t>
      </w:r>
      <w:r>
        <w:rPr>
          <w:rStyle w:val="normaltextrun"/>
          <w:rFonts w:ascii="Times New Roman" w:hAnsi="Times New Roman"/>
          <w:noProof/>
          <w:sz w:val="24"/>
        </w:rPr>
        <w:t>et újra be kell fektetni a fent felsorolt tevékenységekbe, beleértve a 2026 utáni tevékenységeket is.</w:t>
      </w:r>
    </w:p>
    <w:p w14:paraId="58DF67AB" w14:textId="77777777" w:rsidR="003E1D81" w:rsidRDefault="00EB481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 beruházás végrehajtását 2026. augusztus 31-ig be kell fejezni.</w:t>
      </w:r>
    </w:p>
    <w:p w14:paraId="6117EFB0" w14:textId="77777777" w:rsidR="003E1D81" w:rsidRDefault="00EB481C">
      <w:pPr>
        <w:pStyle w:val="P68B1DB1-Normal15"/>
        <w:spacing w:before="120" w:after="120" w:line="240" w:lineRule="auto"/>
        <w:ind w:left="720"/>
        <w:jc w:val="both"/>
        <w:rPr>
          <w:rFonts w:cs="Times New Roman"/>
          <w:b/>
          <w:noProof/>
          <w:sz w:val="24"/>
        </w:rPr>
      </w:pPr>
      <w:r>
        <w:rPr>
          <w:b/>
          <w:noProof/>
          <w:sz w:val="24"/>
        </w:rPr>
        <w:t xml:space="preserve">L.4. </w:t>
      </w:r>
      <w:r>
        <w:rPr>
          <w:noProof/>
        </w:rPr>
        <w:tab/>
      </w:r>
      <w:r>
        <w:rPr>
          <w:b/>
          <w:noProof/>
          <w:sz w:val="24"/>
        </w:rPr>
        <w:t xml:space="preserve">A hiteltámogatás nyomon követésének és végrehajtásának mérföldkövei, céljai, </w:t>
      </w:r>
      <w:r>
        <w:rPr>
          <w:b/>
          <w:noProof/>
          <w:sz w:val="24"/>
        </w:rPr>
        <w:t>mutatói és ütemterve</w:t>
      </w:r>
    </w:p>
    <w:p w14:paraId="6E53268D" w14:textId="77777777" w:rsidR="003E1D81" w:rsidRDefault="00EB481C">
      <w:pPr>
        <w:pStyle w:val="P68B1DB1-Normal8"/>
        <w:rPr>
          <w:rFonts w:cs="Times New Roman"/>
          <w:noProof/>
        </w:rPr>
      </w:pPr>
      <w:r>
        <w:rPr>
          <w:i/>
          <w:noProof/>
          <w:sz w:val="24"/>
        </w:rPr>
        <w:t>Táblázat alább.</w:t>
      </w:r>
      <w:r>
        <w:rPr>
          <w:noProof/>
          <w:sz w:val="24"/>
        </w:rPr>
        <w:t xml:space="preserve"> </w:t>
      </w:r>
      <w:r>
        <w:rPr>
          <w:i/>
          <w:noProof/>
          <w:sz w:val="24"/>
        </w:rPr>
        <w:t>Az alapforgatókönyv valamennyi mutató esetében 2020. február 1-je, kivéve, ha az intézkedés leírása másként jelzi. A táblázatban szereplő összegek nem tartalmazzák a héát.</w:t>
      </w:r>
      <w:r>
        <w:rPr>
          <w:noProof/>
        </w:rPr>
        <w:br w:type="page"/>
      </w:r>
    </w:p>
    <w:p w14:paraId="06FAD37B" w14:textId="77777777" w:rsidR="003E1D81" w:rsidRDefault="003E1D81">
      <w:pPr>
        <w:spacing w:before="120" w:after="120" w:line="240" w:lineRule="auto"/>
        <w:jc w:val="both"/>
        <w:rPr>
          <w:rFonts w:ascii="Times New Roman" w:hAnsi="Times New Roman" w:cs="Times New Roman"/>
          <w:b/>
          <w:noProof/>
          <w:sz w:val="24"/>
          <w:u w:val="single"/>
        </w:rPr>
        <w:sectPr w:rsidR="003E1D81" w:rsidSect="00EB7CC8">
          <w:headerReference w:type="even" r:id="rId258"/>
          <w:headerReference w:type="default" r:id="rId259"/>
          <w:footerReference w:type="even" r:id="rId260"/>
          <w:footerReference w:type="default" r:id="rId261"/>
          <w:headerReference w:type="first" r:id="rId262"/>
          <w:footerReference w:type="first" r:id="rId263"/>
          <w:pgSz w:w="11907" w:h="16839"/>
          <w:pgMar w:top="1134" w:right="1417" w:bottom="1134" w:left="1418" w:header="709" w:footer="709" w:gutter="0"/>
          <w:cols w:space="720"/>
          <w:docGrid w:linePitch="360"/>
        </w:sectPr>
      </w:pPr>
    </w:p>
    <w:p w14:paraId="5F8FCAA8" w14:textId="77777777" w:rsidR="003E1D81" w:rsidRDefault="003E1D81">
      <w:pPr>
        <w:spacing w:before="120" w:after="120" w:line="240" w:lineRule="auto"/>
        <w:jc w:val="both"/>
        <w:rPr>
          <w:rFonts w:ascii="Times New Roman" w:hAnsi="Times New Roman" w:cs="Times New Roman"/>
          <w:i/>
          <w:noProof/>
          <w:sz w:val="24"/>
        </w:rPr>
      </w:pP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5"/>
        <w:gridCol w:w="850"/>
        <w:gridCol w:w="849"/>
        <w:gridCol w:w="1275"/>
        <w:gridCol w:w="1133"/>
        <w:gridCol w:w="709"/>
        <w:gridCol w:w="567"/>
        <w:gridCol w:w="572"/>
        <w:gridCol w:w="425"/>
        <w:gridCol w:w="567"/>
        <w:gridCol w:w="7649"/>
      </w:tblGrid>
      <w:tr w:rsidR="003E1D81" w14:paraId="59E9ABC6" w14:textId="77777777">
        <w:trPr>
          <w:trHeight w:val="309"/>
          <w:tblHeader/>
        </w:trPr>
        <w:tc>
          <w:tcPr>
            <w:tcW w:w="85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2A5E78FB" w14:textId="77777777" w:rsidR="003E1D81" w:rsidRDefault="00EB481C">
            <w:pPr>
              <w:pStyle w:val="P68B1DB1-Normal12"/>
              <w:spacing w:after="0" w:line="240" w:lineRule="auto"/>
              <w:jc w:val="both"/>
              <w:rPr>
                <w:rFonts w:cs="Times New Roman"/>
                <w:noProof/>
              </w:rPr>
            </w:pPr>
            <w:r>
              <w:rPr>
                <w:noProof/>
              </w:rPr>
              <w:t>Szám</w:t>
            </w:r>
          </w:p>
        </w:tc>
        <w:tc>
          <w:tcPr>
            <w:tcW w:w="850"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55408E2" w14:textId="77777777" w:rsidR="003E1D81" w:rsidRDefault="00EB481C">
            <w:pPr>
              <w:pStyle w:val="P68B1DB1-Normal12"/>
              <w:spacing w:after="0" w:line="240" w:lineRule="auto"/>
              <w:jc w:val="center"/>
              <w:rPr>
                <w:rFonts w:cs="Times New Roman"/>
                <w:noProof/>
              </w:rPr>
            </w:pPr>
            <w:r>
              <w:rPr>
                <w:noProof/>
              </w:rPr>
              <w:t>Intézkedés</w:t>
            </w:r>
          </w:p>
        </w:tc>
        <w:tc>
          <w:tcPr>
            <w:tcW w:w="849"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3E57576"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127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14D7DB8E" w14:textId="77777777" w:rsidR="003E1D81" w:rsidRDefault="00EB481C">
            <w:pPr>
              <w:pStyle w:val="P68B1DB1-Normal12"/>
              <w:spacing w:after="0" w:line="240" w:lineRule="auto"/>
              <w:jc w:val="center"/>
              <w:rPr>
                <w:rFonts w:cs="Times New Roman"/>
                <w:noProof/>
              </w:rPr>
            </w:pPr>
            <w:r>
              <w:rPr>
                <w:noProof/>
              </w:rPr>
              <w:t>Név</w:t>
            </w:r>
          </w:p>
        </w:tc>
        <w:tc>
          <w:tcPr>
            <w:tcW w:w="113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80E8617" w14:textId="77777777" w:rsidR="003E1D81" w:rsidRDefault="003E1D81">
            <w:pPr>
              <w:spacing w:after="0" w:line="240" w:lineRule="auto"/>
              <w:jc w:val="center"/>
              <w:rPr>
                <w:rFonts w:ascii="Times New Roman" w:hAnsi="Times New Roman" w:cs="Times New Roman"/>
                <w:noProof/>
                <w:sz w:val="18"/>
              </w:rPr>
            </w:pPr>
          </w:p>
        </w:tc>
        <w:tc>
          <w:tcPr>
            <w:tcW w:w="184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03B0057"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9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288D73C" w14:textId="77777777" w:rsidR="003E1D81" w:rsidRDefault="00EB481C">
            <w:pPr>
              <w:pStyle w:val="P68B1DB1-Normal12"/>
              <w:spacing w:after="0" w:line="240" w:lineRule="auto"/>
              <w:jc w:val="center"/>
              <w:rPr>
                <w:rFonts w:cs="Times New Roman"/>
                <w:noProof/>
              </w:rPr>
            </w:pPr>
            <w:r>
              <w:rPr>
                <w:noProof/>
              </w:rPr>
              <w:t>Idő</w:t>
            </w:r>
          </w:p>
        </w:tc>
        <w:tc>
          <w:tcPr>
            <w:tcW w:w="7649"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26B5D32B" w14:textId="77777777" w:rsidR="003E1D81" w:rsidRDefault="003E1D81">
            <w:pPr>
              <w:spacing w:after="0" w:line="240" w:lineRule="auto"/>
              <w:jc w:val="center"/>
              <w:rPr>
                <w:rFonts w:ascii="Times New Roman" w:hAnsi="Times New Roman" w:cs="Times New Roman"/>
                <w:noProof/>
                <w:sz w:val="18"/>
              </w:rPr>
            </w:pPr>
          </w:p>
          <w:p w14:paraId="2872DF35"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11B8C6DE" w14:textId="77777777">
        <w:trPr>
          <w:trHeight w:val="309"/>
          <w:tblHeader/>
        </w:trPr>
        <w:tc>
          <w:tcPr>
            <w:tcW w:w="855" w:type="dxa"/>
            <w:vMerge/>
            <w:noWrap/>
          </w:tcPr>
          <w:p w14:paraId="746FBB9E" w14:textId="77777777" w:rsidR="003E1D81" w:rsidRDefault="003E1D81">
            <w:pPr>
              <w:spacing w:after="0" w:line="240" w:lineRule="auto"/>
              <w:jc w:val="center"/>
              <w:rPr>
                <w:rFonts w:ascii="Times New Roman" w:hAnsi="Times New Roman" w:cs="Times New Roman"/>
                <w:noProof/>
                <w:sz w:val="18"/>
              </w:rPr>
            </w:pPr>
          </w:p>
        </w:tc>
        <w:tc>
          <w:tcPr>
            <w:tcW w:w="850" w:type="dxa"/>
            <w:vMerge/>
            <w:noWrap/>
          </w:tcPr>
          <w:p w14:paraId="7D7DA3CA" w14:textId="77777777" w:rsidR="003E1D81" w:rsidRDefault="003E1D81">
            <w:pPr>
              <w:spacing w:after="0" w:line="240" w:lineRule="auto"/>
              <w:jc w:val="center"/>
              <w:rPr>
                <w:rFonts w:ascii="Times New Roman" w:hAnsi="Times New Roman" w:cs="Times New Roman"/>
                <w:noProof/>
                <w:sz w:val="18"/>
              </w:rPr>
            </w:pPr>
          </w:p>
        </w:tc>
        <w:tc>
          <w:tcPr>
            <w:tcW w:w="849" w:type="dxa"/>
            <w:vMerge/>
            <w:noWrap/>
          </w:tcPr>
          <w:p w14:paraId="58018547" w14:textId="77777777" w:rsidR="003E1D81" w:rsidRDefault="003E1D81">
            <w:pPr>
              <w:spacing w:after="0" w:line="240" w:lineRule="auto"/>
              <w:jc w:val="center"/>
              <w:rPr>
                <w:rFonts w:ascii="Times New Roman" w:hAnsi="Times New Roman" w:cs="Times New Roman"/>
                <w:noProof/>
                <w:sz w:val="18"/>
              </w:rPr>
            </w:pPr>
          </w:p>
        </w:tc>
        <w:tc>
          <w:tcPr>
            <w:tcW w:w="1275" w:type="dxa"/>
            <w:vMerge/>
            <w:noWrap/>
          </w:tcPr>
          <w:p w14:paraId="4D62C93D" w14:textId="77777777" w:rsidR="003E1D81" w:rsidRDefault="003E1D81">
            <w:pPr>
              <w:spacing w:after="0" w:line="240" w:lineRule="auto"/>
              <w:jc w:val="center"/>
              <w:rPr>
                <w:rFonts w:ascii="Times New Roman" w:hAnsi="Times New Roman" w:cs="Times New Roman"/>
                <w:noProof/>
                <w:sz w:val="18"/>
              </w:rPr>
            </w:pPr>
          </w:p>
        </w:tc>
        <w:tc>
          <w:tcPr>
            <w:tcW w:w="113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1CEF7D5"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C069BF1" w14:textId="77777777" w:rsidR="003E1D81" w:rsidRDefault="00EB481C">
            <w:pPr>
              <w:pStyle w:val="P68B1DB1-Normal12"/>
              <w:spacing w:after="0" w:line="240" w:lineRule="auto"/>
              <w:jc w:val="center"/>
              <w:rPr>
                <w:rFonts w:cs="Times New Roman"/>
                <w:noProof/>
              </w:rPr>
            </w:pPr>
            <w:r>
              <w:rPr>
                <w:noProof/>
              </w:rPr>
              <w:t>Egység</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499462B" w14:textId="77777777" w:rsidR="003E1D81" w:rsidRDefault="00EB481C">
            <w:pPr>
              <w:pStyle w:val="P68B1DB1-Normal12"/>
              <w:spacing w:after="0" w:line="240" w:lineRule="auto"/>
              <w:jc w:val="center"/>
              <w:rPr>
                <w:rFonts w:cs="Times New Roman"/>
                <w:noProof/>
              </w:rPr>
            </w:pPr>
            <w:r>
              <w:rPr>
                <w:noProof/>
              </w:rPr>
              <w:t>Alapérték</w:t>
            </w:r>
          </w:p>
        </w:tc>
        <w:tc>
          <w:tcPr>
            <w:tcW w:w="57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7259C64" w14:textId="77777777" w:rsidR="003E1D81" w:rsidRDefault="00EB481C">
            <w:pPr>
              <w:pStyle w:val="P68B1DB1-Normal12"/>
              <w:spacing w:after="0" w:line="240" w:lineRule="auto"/>
              <w:jc w:val="center"/>
              <w:rPr>
                <w:rFonts w:cs="Times New Roman"/>
                <w:noProof/>
              </w:rPr>
            </w:pPr>
            <w:r>
              <w:rPr>
                <w:noProof/>
              </w:rPr>
              <w:t>Cél</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8ED67B8" w14:textId="77777777" w:rsidR="003E1D81" w:rsidRDefault="00EB481C">
            <w:pPr>
              <w:pStyle w:val="P68B1DB1-Normal12"/>
              <w:spacing w:after="0" w:line="240" w:lineRule="auto"/>
              <w:jc w:val="center"/>
              <w:rPr>
                <w:rFonts w:cs="Times New Roman"/>
                <w:noProof/>
              </w:rPr>
            </w:pPr>
            <w:r>
              <w:rPr>
                <w:noProof/>
              </w:rPr>
              <w:t>Q</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B0CAF2" w14:textId="77777777" w:rsidR="003E1D81" w:rsidRDefault="00EB481C">
            <w:pPr>
              <w:pStyle w:val="P68B1DB1-Normal12"/>
              <w:spacing w:after="0" w:line="240" w:lineRule="auto"/>
              <w:jc w:val="center"/>
              <w:rPr>
                <w:rFonts w:cs="Times New Roman"/>
                <w:noProof/>
              </w:rPr>
            </w:pPr>
            <w:r>
              <w:rPr>
                <w:noProof/>
              </w:rPr>
              <w:t>Éve</w:t>
            </w:r>
          </w:p>
        </w:tc>
        <w:tc>
          <w:tcPr>
            <w:tcW w:w="7649" w:type="dxa"/>
            <w:vMerge/>
            <w:noWrap/>
          </w:tcPr>
          <w:p w14:paraId="57667C3B" w14:textId="77777777" w:rsidR="003E1D81" w:rsidRDefault="003E1D81">
            <w:pPr>
              <w:spacing w:after="0" w:line="240" w:lineRule="auto"/>
              <w:jc w:val="center"/>
              <w:rPr>
                <w:rFonts w:ascii="Times New Roman" w:hAnsi="Times New Roman" w:cs="Times New Roman"/>
                <w:noProof/>
                <w:sz w:val="18"/>
              </w:rPr>
            </w:pPr>
          </w:p>
        </w:tc>
      </w:tr>
      <w:tr w:rsidR="003E1D81" w14:paraId="7244BAFA" w14:textId="77777777">
        <w:trPr>
          <w:trHeight w:val="309"/>
        </w:trPr>
        <w:tc>
          <w:tcPr>
            <w:tcW w:w="855" w:type="dxa"/>
            <w:tcBorders>
              <w:top w:val="single" w:sz="4" w:space="0" w:color="auto"/>
              <w:left w:val="single" w:sz="4" w:space="0" w:color="auto"/>
              <w:bottom w:val="single" w:sz="4" w:space="0" w:color="auto"/>
              <w:right w:val="single" w:sz="4" w:space="0" w:color="auto"/>
            </w:tcBorders>
            <w:shd w:val="clear" w:color="auto" w:fill="C6EFCE"/>
            <w:noWrap/>
          </w:tcPr>
          <w:p w14:paraId="499C7A10" w14:textId="4ABABD5B" w:rsidR="003E1D81" w:rsidRDefault="00EB481C">
            <w:pPr>
              <w:pStyle w:val="P68B1DB1-Normal13"/>
              <w:spacing w:line="240" w:lineRule="auto"/>
              <w:jc w:val="center"/>
              <w:rPr>
                <w:rFonts w:cs="Times New Roman"/>
                <w:noProof/>
              </w:rPr>
            </w:pPr>
            <w:r>
              <w:rPr>
                <w:noProof/>
              </w:rPr>
              <w:t>L22.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303A5BC" w14:textId="60AABD70" w:rsidR="003E1D81" w:rsidRDefault="00EB481C">
            <w:pPr>
              <w:pStyle w:val="P68B1DB1-Normal13"/>
              <w:spacing w:line="240" w:lineRule="auto"/>
              <w:jc w:val="center"/>
              <w:rPr>
                <w:rFonts w:cs="Times New Roman"/>
                <w:noProof/>
              </w:rPr>
            </w:pPr>
            <w:r>
              <w:rPr>
                <w:noProof/>
              </w:rPr>
              <w:t>C12.I7</w:t>
            </w:r>
          </w:p>
        </w:tc>
        <w:tc>
          <w:tcPr>
            <w:tcW w:w="849" w:type="dxa"/>
            <w:tcBorders>
              <w:top w:val="single" w:sz="4" w:space="0" w:color="auto"/>
              <w:left w:val="single" w:sz="4" w:space="0" w:color="auto"/>
              <w:bottom w:val="single" w:sz="4" w:space="0" w:color="auto"/>
              <w:right w:val="single" w:sz="4" w:space="0" w:color="auto"/>
            </w:tcBorders>
            <w:shd w:val="clear" w:color="auto" w:fill="C6EFCE"/>
            <w:noWrap/>
          </w:tcPr>
          <w:p w14:paraId="0DF9E2AF" w14:textId="11324D7A" w:rsidR="003E1D81" w:rsidRDefault="00EB481C">
            <w:pPr>
              <w:pStyle w:val="P68B1DB1-Normal13"/>
              <w:spacing w:line="240" w:lineRule="auto"/>
              <w:jc w:val="center"/>
              <w:rPr>
                <w:rFonts w:cs="Times New Roman"/>
                <w:noProof/>
              </w:rPr>
            </w:pPr>
            <w:r>
              <w:rPr>
                <w:noProof/>
              </w:rPr>
              <w:t>M</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67A0EB1" w14:textId="51D3085A" w:rsidR="003E1D81" w:rsidRDefault="00EB481C">
            <w:pPr>
              <w:pStyle w:val="P68B1DB1-Normal13"/>
              <w:spacing w:line="240" w:lineRule="auto"/>
              <w:rPr>
                <w:rFonts w:cs="Times New Roman"/>
                <w:noProof/>
              </w:rPr>
            </w:pPr>
            <w:r>
              <w:rPr>
                <w:noProof/>
              </w:rPr>
              <w:t xml:space="preserve">Az elektromos autók és az </w:t>
            </w:r>
            <w:r>
              <w:rPr>
                <w:noProof/>
              </w:rPr>
              <w:t>agrár-élelmiszeripar értékláncában megvalósuló stratégiai projektek (kölcsönök) támogatási rendszere: A minisztérium befejezte a beruházást</w:t>
            </w:r>
          </w:p>
        </w:tc>
        <w:tc>
          <w:tcPr>
            <w:tcW w:w="1133" w:type="dxa"/>
            <w:tcBorders>
              <w:top w:val="single" w:sz="4" w:space="0" w:color="auto"/>
              <w:left w:val="single" w:sz="4" w:space="0" w:color="auto"/>
              <w:bottom w:val="single" w:sz="4" w:space="0" w:color="auto"/>
              <w:right w:val="single" w:sz="4" w:space="0" w:color="auto"/>
            </w:tcBorders>
            <w:shd w:val="clear" w:color="auto" w:fill="C6EFCE"/>
            <w:noWrap/>
          </w:tcPr>
          <w:p w14:paraId="53928234" w14:textId="27F44607" w:rsidR="003E1D81" w:rsidRDefault="00EB481C">
            <w:pPr>
              <w:pStyle w:val="P68B1DB1-Normal13"/>
              <w:spacing w:line="240" w:lineRule="auto"/>
              <w:jc w:val="center"/>
              <w:rPr>
                <w:rFonts w:cs="Times New Roman"/>
                <w:noProof/>
              </w:rPr>
            </w:pPr>
            <w:r>
              <w:rPr>
                <w:noProof/>
              </w:rPr>
              <w:t>Folyósítási igazolás az ENISA-nak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699DFEE" w14:textId="77777777" w:rsidR="003E1D81" w:rsidRDefault="003E1D81">
            <w:pPr>
              <w:spacing w:line="240" w:lineRule="auto"/>
              <w:jc w:val="right"/>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8307B89" w14:textId="77777777" w:rsidR="003E1D81" w:rsidRDefault="003E1D81">
            <w:pPr>
              <w:spacing w:line="240" w:lineRule="auto"/>
              <w:jc w:val="right"/>
              <w:rPr>
                <w:rFonts w:ascii="Times New Roman" w:hAnsi="Times New Roman" w:cs="Times New Roman"/>
                <w:noProof/>
                <w:sz w:val="18"/>
              </w:rPr>
            </w:pPr>
          </w:p>
        </w:tc>
        <w:tc>
          <w:tcPr>
            <w:tcW w:w="572" w:type="dxa"/>
            <w:tcBorders>
              <w:top w:val="single" w:sz="4" w:space="0" w:color="auto"/>
              <w:left w:val="single" w:sz="4" w:space="0" w:color="auto"/>
              <w:bottom w:val="single" w:sz="4" w:space="0" w:color="auto"/>
              <w:right w:val="single" w:sz="4" w:space="0" w:color="auto"/>
            </w:tcBorders>
            <w:shd w:val="clear" w:color="auto" w:fill="C6EFCE"/>
            <w:noWrap/>
          </w:tcPr>
          <w:p w14:paraId="07001AF4" w14:textId="77777777" w:rsidR="003E1D81" w:rsidRDefault="003E1D81">
            <w:pPr>
              <w:spacing w:line="240" w:lineRule="auto"/>
              <w:jc w:val="right"/>
              <w:rPr>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2A16B080" w14:textId="612F5282" w:rsidR="003E1D81" w:rsidRDefault="00EB481C">
            <w:pPr>
              <w:pStyle w:val="P68B1DB1-Normal13"/>
              <w:spacing w:line="240" w:lineRule="auto"/>
              <w:jc w:val="center"/>
              <w:rPr>
                <w:rFonts w:cs="Times New Roman"/>
                <w:noProof/>
              </w:rPr>
            </w:pPr>
            <w:r>
              <w:rPr>
                <w:noProof/>
              </w:rPr>
              <w:t>KÉRDÉS</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37DD845" w14:textId="6F7D2881" w:rsidR="003E1D81" w:rsidRDefault="00EB481C">
            <w:pPr>
              <w:pStyle w:val="P68B1DB1-Normal13"/>
              <w:spacing w:line="240" w:lineRule="auto"/>
              <w:jc w:val="center"/>
              <w:rPr>
                <w:rFonts w:cs="Times New Roman"/>
                <w:noProof/>
              </w:rPr>
            </w:pPr>
            <w:r>
              <w:rPr>
                <w:noProof/>
              </w:rPr>
              <w:t>2024</w:t>
            </w:r>
          </w:p>
        </w:tc>
        <w:tc>
          <w:tcPr>
            <w:tcW w:w="7649" w:type="dxa"/>
            <w:tcBorders>
              <w:top w:val="single" w:sz="4" w:space="0" w:color="auto"/>
              <w:left w:val="single" w:sz="4" w:space="0" w:color="auto"/>
              <w:bottom w:val="single" w:sz="4" w:space="0" w:color="auto"/>
              <w:right w:val="single" w:sz="4" w:space="0" w:color="auto"/>
            </w:tcBorders>
            <w:shd w:val="clear" w:color="auto" w:fill="C6EFCE"/>
            <w:noWrap/>
          </w:tcPr>
          <w:p w14:paraId="4DDEAAA1" w14:textId="688F06D1" w:rsidR="003E1D81" w:rsidRDefault="00EB481C">
            <w:pPr>
              <w:pStyle w:val="P68B1DB1-Normal13"/>
              <w:spacing w:line="240" w:lineRule="auto"/>
              <w:rPr>
                <w:rFonts w:cs="Times New Roman"/>
                <w:noProof/>
              </w:rPr>
            </w:pPr>
            <w:r>
              <w:rPr>
                <w:noProof/>
              </w:rPr>
              <w:t>Spanyolország 1 200 000 000 EUR-t utal át a program céljára az ENIS</w:t>
            </w:r>
            <w:r>
              <w:rPr>
                <w:noProof/>
              </w:rPr>
              <w:t>A-nak.</w:t>
            </w:r>
          </w:p>
        </w:tc>
      </w:tr>
      <w:tr w:rsidR="003E1D81" w14:paraId="623D914A" w14:textId="77777777">
        <w:trPr>
          <w:trHeight w:val="309"/>
        </w:trPr>
        <w:tc>
          <w:tcPr>
            <w:tcW w:w="855" w:type="dxa"/>
            <w:tcBorders>
              <w:top w:val="single" w:sz="4" w:space="0" w:color="auto"/>
              <w:left w:val="single" w:sz="4" w:space="0" w:color="auto"/>
              <w:bottom w:val="single" w:sz="4" w:space="0" w:color="auto"/>
              <w:right w:val="single" w:sz="4" w:space="0" w:color="auto"/>
            </w:tcBorders>
            <w:shd w:val="clear" w:color="auto" w:fill="C6EFCE"/>
            <w:noWrap/>
          </w:tcPr>
          <w:p w14:paraId="78B1E78B" w14:textId="6D48B3B7" w:rsidR="003E1D81" w:rsidRDefault="00EB481C">
            <w:pPr>
              <w:pStyle w:val="P68B1DB1-Normal13"/>
              <w:spacing w:line="240" w:lineRule="auto"/>
              <w:jc w:val="center"/>
              <w:rPr>
                <w:rFonts w:cs="Times New Roman"/>
                <w:noProof/>
              </w:rPr>
            </w:pPr>
            <w:r>
              <w:rPr>
                <w:noProof/>
              </w:rPr>
              <w:t>L23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C0CC8D7" w14:textId="1745E8A6" w:rsidR="003E1D81" w:rsidRDefault="00EB481C">
            <w:pPr>
              <w:pStyle w:val="P68B1DB1-Normal13"/>
              <w:spacing w:line="240" w:lineRule="auto"/>
              <w:jc w:val="center"/>
              <w:rPr>
                <w:rFonts w:cs="Times New Roman"/>
                <w:noProof/>
              </w:rPr>
            </w:pPr>
            <w:r>
              <w:rPr>
                <w:noProof/>
              </w:rPr>
              <w:t>C12.I7</w:t>
            </w:r>
          </w:p>
        </w:tc>
        <w:tc>
          <w:tcPr>
            <w:tcW w:w="849" w:type="dxa"/>
            <w:tcBorders>
              <w:top w:val="single" w:sz="4" w:space="0" w:color="auto"/>
              <w:left w:val="single" w:sz="4" w:space="0" w:color="auto"/>
              <w:bottom w:val="single" w:sz="4" w:space="0" w:color="auto"/>
              <w:right w:val="single" w:sz="4" w:space="0" w:color="auto"/>
            </w:tcBorders>
            <w:shd w:val="clear" w:color="auto" w:fill="C6EFCE"/>
            <w:noWrap/>
          </w:tcPr>
          <w:p w14:paraId="7181B7FE" w14:textId="77777777" w:rsidR="003E1D81" w:rsidRDefault="00EB481C">
            <w:pPr>
              <w:pStyle w:val="P68B1DB1-Normal13"/>
              <w:spacing w:line="240" w:lineRule="auto"/>
              <w:jc w:val="center"/>
              <w:rPr>
                <w:rFonts w:cs="Times New Roman"/>
                <w:noProof/>
              </w:rPr>
            </w:pPr>
            <w:r>
              <w:rPr>
                <w:noProof/>
              </w:rPr>
              <w:t>M</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87C8DF3" w14:textId="44A54ACF" w:rsidR="003E1D81" w:rsidRDefault="00EB481C">
            <w:pPr>
              <w:pStyle w:val="P68B1DB1-Normal13"/>
              <w:spacing w:line="240" w:lineRule="auto"/>
              <w:rPr>
                <w:rFonts w:cs="Times New Roman"/>
                <w:noProof/>
              </w:rPr>
            </w:pPr>
            <w:r>
              <w:rPr>
                <w:noProof/>
              </w:rPr>
              <w:t>Az elektromos autók és az agrár-élelmiszeripar értékláncában megvalósuló stratégiai projektek (kölcsönök) támogatási rendszere: A rendszer létrehozása</w:t>
            </w:r>
          </w:p>
        </w:tc>
        <w:tc>
          <w:tcPr>
            <w:tcW w:w="1133" w:type="dxa"/>
            <w:tcBorders>
              <w:top w:val="single" w:sz="4" w:space="0" w:color="auto"/>
              <w:left w:val="single" w:sz="4" w:space="0" w:color="auto"/>
              <w:bottom w:val="single" w:sz="4" w:space="0" w:color="auto"/>
              <w:right w:val="single" w:sz="4" w:space="0" w:color="auto"/>
            </w:tcBorders>
            <w:shd w:val="clear" w:color="auto" w:fill="C6EFCE"/>
            <w:noWrap/>
          </w:tcPr>
          <w:p w14:paraId="7D5E74B9" w14:textId="1433AF49" w:rsidR="003E1D81" w:rsidRDefault="00EB481C">
            <w:pPr>
              <w:pStyle w:val="P68B1DB1-Normal13"/>
              <w:spacing w:line="240" w:lineRule="auto"/>
              <w:jc w:val="center"/>
              <w:rPr>
                <w:rFonts w:cs="Times New Roman"/>
                <w:noProof/>
              </w:rPr>
            </w:pPr>
            <w:r>
              <w:rPr>
                <w:noProof/>
              </w:rPr>
              <w:t>A vonatkozó jogi eszköz(ök) hatálybalépése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BB0C80E" w14:textId="77777777" w:rsidR="003E1D81" w:rsidRDefault="003E1D81">
            <w:pPr>
              <w:spacing w:line="240" w:lineRule="auto"/>
              <w:jc w:val="right"/>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7F79BD3" w14:textId="77777777" w:rsidR="003E1D81" w:rsidRDefault="003E1D81">
            <w:pPr>
              <w:spacing w:line="240" w:lineRule="auto"/>
              <w:jc w:val="right"/>
              <w:rPr>
                <w:rFonts w:ascii="Times New Roman" w:hAnsi="Times New Roman" w:cs="Times New Roman"/>
                <w:noProof/>
                <w:sz w:val="18"/>
              </w:rPr>
            </w:pPr>
          </w:p>
        </w:tc>
        <w:tc>
          <w:tcPr>
            <w:tcW w:w="572" w:type="dxa"/>
            <w:tcBorders>
              <w:top w:val="single" w:sz="4" w:space="0" w:color="auto"/>
              <w:left w:val="single" w:sz="4" w:space="0" w:color="auto"/>
              <w:bottom w:val="single" w:sz="4" w:space="0" w:color="auto"/>
              <w:right w:val="single" w:sz="4" w:space="0" w:color="auto"/>
            </w:tcBorders>
            <w:shd w:val="clear" w:color="auto" w:fill="C6EFCE"/>
            <w:noWrap/>
          </w:tcPr>
          <w:p w14:paraId="3121C638" w14:textId="77777777" w:rsidR="003E1D81" w:rsidRDefault="003E1D81">
            <w:pPr>
              <w:spacing w:line="240" w:lineRule="auto"/>
              <w:jc w:val="right"/>
              <w:rPr>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77BE20A4" w14:textId="77777777" w:rsidR="003E1D81" w:rsidRDefault="00EB481C">
            <w:pPr>
              <w:pStyle w:val="P68B1DB1-Normal13"/>
              <w:spacing w:line="240" w:lineRule="auto"/>
              <w:jc w:val="center"/>
              <w:rPr>
                <w:rFonts w:cs="Times New Roman"/>
                <w:noProof/>
              </w:rPr>
            </w:pPr>
            <w:r>
              <w:rPr>
                <w:noProof/>
              </w:rPr>
              <w:t>NEGYEDÉV</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3F72CA9" w14:textId="77777777" w:rsidR="003E1D81" w:rsidRDefault="00EB481C">
            <w:pPr>
              <w:pStyle w:val="P68B1DB1-Normal13"/>
              <w:spacing w:line="240" w:lineRule="auto"/>
              <w:jc w:val="center"/>
              <w:rPr>
                <w:rFonts w:cs="Times New Roman"/>
                <w:noProof/>
              </w:rPr>
            </w:pPr>
            <w:r>
              <w:rPr>
                <w:noProof/>
              </w:rPr>
              <w:t>2024</w:t>
            </w:r>
          </w:p>
        </w:tc>
        <w:tc>
          <w:tcPr>
            <w:tcW w:w="7649" w:type="dxa"/>
            <w:tcBorders>
              <w:top w:val="single" w:sz="4" w:space="0" w:color="auto"/>
              <w:left w:val="single" w:sz="4" w:space="0" w:color="auto"/>
              <w:bottom w:val="single" w:sz="4" w:space="0" w:color="auto"/>
              <w:right w:val="single" w:sz="4" w:space="0" w:color="auto"/>
            </w:tcBorders>
            <w:shd w:val="clear" w:color="auto" w:fill="C6EFCE"/>
            <w:noWrap/>
          </w:tcPr>
          <w:p w14:paraId="4C793D9D" w14:textId="2F9790BE" w:rsidR="003E1D81" w:rsidRDefault="00EB481C">
            <w:pPr>
              <w:pStyle w:val="P68B1DB1-Normal13"/>
              <w:spacing w:line="240" w:lineRule="auto"/>
              <w:rPr>
                <w:rFonts w:cs="Times New Roman"/>
                <w:noProof/>
              </w:rPr>
            </w:pPr>
            <w:r>
              <w:rPr>
                <w:noProof/>
              </w:rPr>
              <w:t xml:space="preserve">A hitelkonstrukciót </w:t>
            </w:r>
            <w:r>
              <w:rPr>
                <w:noProof/>
              </w:rPr>
              <w:t>létrehozó jogi eszköz(ök) hatálybalépése a</w:t>
            </w:r>
          </w:p>
        </w:tc>
      </w:tr>
      <w:tr w:rsidR="003E1D81" w14:paraId="50F64876" w14:textId="77777777">
        <w:trPr>
          <w:trHeight w:val="309"/>
        </w:trPr>
        <w:tc>
          <w:tcPr>
            <w:tcW w:w="855" w:type="dxa"/>
            <w:tcBorders>
              <w:top w:val="single" w:sz="4" w:space="0" w:color="auto"/>
              <w:left w:val="single" w:sz="4" w:space="0" w:color="auto"/>
              <w:bottom w:val="single" w:sz="4" w:space="0" w:color="auto"/>
              <w:right w:val="single" w:sz="4" w:space="0" w:color="auto"/>
            </w:tcBorders>
            <w:shd w:val="clear" w:color="auto" w:fill="C6EFCE"/>
            <w:noWrap/>
          </w:tcPr>
          <w:p w14:paraId="6EFBBB3E" w14:textId="16E9D7B5" w:rsidR="003E1D81" w:rsidRDefault="00EB481C">
            <w:pPr>
              <w:pStyle w:val="P68B1DB1-Normal13"/>
              <w:spacing w:line="240" w:lineRule="auto"/>
              <w:jc w:val="center"/>
              <w:rPr>
                <w:rFonts w:cs="Times New Roman"/>
                <w:noProof/>
              </w:rPr>
            </w:pPr>
            <w:r>
              <w:rPr>
                <w:noProof/>
              </w:rPr>
              <w:t>L24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4A4B20ED" w14:textId="64988B68" w:rsidR="003E1D81" w:rsidRDefault="00EB481C">
            <w:pPr>
              <w:pStyle w:val="P68B1DB1-Normal13"/>
              <w:spacing w:line="240" w:lineRule="auto"/>
              <w:jc w:val="center"/>
              <w:rPr>
                <w:rFonts w:cs="Times New Roman"/>
                <w:noProof/>
              </w:rPr>
            </w:pPr>
            <w:r>
              <w:rPr>
                <w:noProof/>
              </w:rPr>
              <w:t>C12.I7</w:t>
            </w:r>
          </w:p>
        </w:tc>
        <w:tc>
          <w:tcPr>
            <w:tcW w:w="849" w:type="dxa"/>
            <w:tcBorders>
              <w:top w:val="single" w:sz="4" w:space="0" w:color="auto"/>
              <w:left w:val="single" w:sz="4" w:space="0" w:color="auto"/>
              <w:bottom w:val="single" w:sz="4" w:space="0" w:color="auto"/>
              <w:right w:val="single" w:sz="4" w:space="0" w:color="auto"/>
            </w:tcBorders>
            <w:shd w:val="clear" w:color="auto" w:fill="C6EFCE"/>
            <w:noWrap/>
          </w:tcPr>
          <w:p w14:paraId="3F3AF10D" w14:textId="77777777" w:rsidR="003E1D81" w:rsidRDefault="00EB481C">
            <w:pPr>
              <w:pStyle w:val="P68B1DB1-Normal13"/>
              <w:spacing w:line="240" w:lineRule="auto"/>
              <w:jc w:val="center"/>
              <w:rPr>
                <w:rFonts w:cs="Times New Roman"/>
                <w:noProof/>
              </w:rPr>
            </w:pPr>
            <w:r>
              <w:rPr>
                <w:noProof/>
              </w:rPr>
              <w:t>T</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33E481A" w14:textId="4B291270" w:rsidR="003E1D81" w:rsidRDefault="00EB481C">
            <w:pPr>
              <w:spacing w:line="240" w:lineRule="auto"/>
              <w:rPr>
                <w:rFonts w:ascii="Times New Roman" w:hAnsi="Times New Roman" w:cs="Times New Roman"/>
                <w:noProof/>
                <w:sz w:val="18"/>
              </w:rPr>
            </w:pPr>
            <w:r>
              <w:rPr>
                <w:rStyle w:val="normaltextrun"/>
                <w:rFonts w:ascii="Times New Roman" w:hAnsi="Times New Roman"/>
                <w:noProof/>
                <w:sz w:val="18"/>
              </w:rPr>
              <w:t xml:space="preserve">Az elektromos autók és az agrár-élelmiszeripar értékláncában megvalósuló stratégiai projektek (kölcsönök) támogatási rendszere: A végső kedvezményezettekkel aláírt jogi megállapodások vagy a végső </w:t>
            </w:r>
            <w:r>
              <w:rPr>
                <w:rStyle w:val="normaltextrun"/>
                <w:rFonts w:ascii="Times New Roman" w:hAnsi="Times New Roman"/>
                <w:noProof/>
                <w:sz w:val="18"/>
              </w:rPr>
              <w:t>odaítélési határozatok közzététele</w:t>
            </w:r>
          </w:p>
        </w:tc>
        <w:tc>
          <w:tcPr>
            <w:tcW w:w="1133" w:type="dxa"/>
            <w:tcBorders>
              <w:top w:val="single" w:sz="4" w:space="0" w:color="auto"/>
              <w:left w:val="single" w:sz="4" w:space="0" w:color="auto"/>
              <w:bottom w:val="single" w:sz="4" w:space="0" w:color="auto"/>
              <w:right w:val="single" w:sz="4" w:space="0" w:color="auto"/>
            </w:tcBorders>
            <w:shd w:val="clear" w:color="auto" w:fill="C6EFCE"/>
            <w:noWrap/>
          </w:tcPr>
          <w:p w14:paraId="1760F91F" w14:textId="01B51D9F" w:rsidR="003E1D81" w:rsidRDefault="00EB481C">
            <w:pPr>
              <w:spacing w:line="240" w:lineRule="auto"/>
              <w:jc w:val="center"/>
              <w:rPr>
                <w:rFonts w:ascii="Times New Roman" w:hAnsi="Times New Roman" w:cs="Times New Roman"/>
                <w:noProof/>
                <w:sz w:val="18"/>
              </w:rPr>
            </w:pPr>
            <w:r>
              <w:rPr>
                <w:rStyle w:val="normaltextrun"/>
                <w:rFonts w:ascii="Times New Roman" w:hAnsi="Times New Roman"/>
                <w:noProof/>
                <w:sz w:val="18"/>
              </w:rPr>
              <w:t>A jogi finanszírozási megállapodások vagy jogerős odaítélési határozatok hatálybalépése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E41CE69" w14:textId="0920F352" w:rsidR="003E1D81" w:rsidRDefault="003E1D81">
            <w:pPr>
              <w:spacing w:line="240" w:lineRule="auto"/>
              <w:jc w:val="right"/>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D987C2B" w14:textId="77777777" w:rsidR="003E1D81" w:rsidRDefault="00EB481C">
            <w:pPr>
              <w:pStyle w:val="P68B1DB1-Normal13"/>
              <w:spacing w:line="240" w:lineRule="auto"/>
              <w:jc w:val="right"/>
              <w:rPr>
                <w:rFonts w:cs="Times New Roman"/>
                <w:noProof/>
              </w:rPr>
            </w:pPr>
            <w:r>
              <w:rPr>
                <w:noProof/>
              </w:rPr>
              <w:t>0</w:t>
            </w:r>
          </w:p>
        </w:tc>
        <w:tc>
          <w:tcPr>
            <w:tcW w:w="572" w:type="dxa"/>
            <w:tcBorders>
              <w:top w:val="single" w:sz="4" w:space="0" w:color="auto"/>
              <w:left w:val="single" w:sz="4" w:space="0" w:color="auto"/>
              <w:bottom w:val="single" w:sz="4" w:space="0" w:color="auto"/>
              <w:right w:val="single" w:sz="4" w:space="0" w:color="auto"/>
            </w:tcBorders>
            <w:shd w:val="clear" w:color="auto" w:fill="C6EFCE"/>
            <w:noWrap/>
          </w:tcPr>
          <w:p w14:paraId="1DE0585D" w14:textId="47A557C4" w:rsidR="003E1D81" w:rsidRDefault="00EB481C">
            <w:pPr>
              <w:pStyle w:val="P68B1DB1-Normal13"/>
              <w:spacing w:line="240" w:lineRule="auto"/>
              <w:jc w:val="right"/>
              <w:rPr>
                <w:rFonts w:cs="Times New Roman"/>
                <w:noProof/>
              </w:rPr>
            </w:pPr>
            <w:r>
              <w:rPr>
                <w:noProof/>
              </w:rPr>
              <w:t>100%-OS</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2AA99FD" w14:textId="77777777" w:rsidR="003E1D81" w:rsidRDefault="00EB481C">
            <w:pPr>
              <w:pStyle w:val="P68B1DB1-Normal13"/>
              <w:spacing w:line="240" w:lineRule="auto"/>
              <w:jc w:val="center"/>
              <w:rPr>
                <w:rFonts w:cs="Times New Roman"/>
                <w:noProof/>
              </w:rPr>
            </w:pPr>
            <w:r>
              <w:rPr>
                <w:noProof/>
              </w:rPr>
              <w:t>KÉRDÉS</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5E24D36" w14:textId="77777777" w:rsidR="003E1D81" w:rsidRDefault="00EB481C">
            <w:pPr>
              <w:pStyle w:val="P68B1DB1-Normal13"/>
              <w:spacing w:line="240" w:lineRule="auto"/>
              <w:jc w:val="center"/>
              <w:rPr>
                <w:rFonts w:cs="Times New Roman"/>
                <w:noProof/>
              </w:rPr>
            </w:pPr>
            <w:r>
              <w:rPr>
                <w:noProof/>
              </w:rPr>
              <w:t>2026</w:t>
            </w:r>
          </w:p>
        </w:tc>
        <w:tc>
          <w:tcPr>
            <w:tcW w:w="7649" w:type="dxa"/>
            <w:tcBorders>
              <w:top w:val="single" w:sz="4" w:space="0" w:color="auto"/>
              <w:left w:val="single" w:sz="4" w:space="0" w:color="auto"/>
              <w:bottom w:val="single" w:sz="4" w:space="0" w:color="auto"/>
              <w:right w:val="single" w:sz="4" w:space="0" w:color="auto"/>
            </w:tcBorders>
            <w:shd w:val="clear" w:color="auto" w:fill="C6EFCE"/>
            <w:noWrap/>
          </w:tcPr>
          <w:p w14:paraId="75B8E356" w14:textId="607350E3" w:rsidR="003E1D81" w:rsidRDefault="00EB481C">
            <w:pPr>
              <w:pStyle w:val="P68B1DB1-Normal13"/>
              <w:spacing w:line="240" w:lineRule="auto"/>
              <w:rPr>
                <w:rFonts w:cs="Times New Roman"/>
                <w:noProof/>
              </w:rPr>
            </w:pPr>
            <w:r>
              <w:rPr>
                <w:noProof/>
              </w:rPr>
              <w:t>Az ENISA jogerős odaítélési határozatokat tett közzé, vagy jogi finanszírozási megállapodásokat kötött a végső</w:t>
            </w:r>
            <w:r>
              <w:rPr>
                <w:noProof/>
              </w:rPr>
              <w:t xml:space="preserve"> kedvezményezettekkel a Helyreállítási és Rezilienciaépítési Eszköz beruházásainak (beleértve a közvetett költségeket is) 100%-ának a rendszerbe történő felhasználásához szükséges összegről. Az ENISA-nak biztosítania kell, hogy e finanszírozás legalább 40%</w:t>
            </w:r>
            <w:r>
              <w:rPr>
                <w:noProof/>
              </w:rPr>
              <w:t xml:space="preserve">-a a Helyreállítási és Rezilienciaépítési Eszközről szóló rendelet VI. mellékletében foglalt módszertan alkalmazásával hozzájáruljon az éghajlat-politikai célkitűzésekhez.  </w:t>
            </w:r>
          </w:p>
        </w:tc>
      </w:tr>
    </w:tbl>
    <w:p w14:paraId="61B83AA7" w14:textId="77777777" w:rsidR="003E1D81" w:rsidRDefault="003E1D81">
      <w:pPr>
        <w:rPr>
          <w:rFonts w:ascii="Times New Roman" w:hAnsi="Times New Roman" w:cs="Times New Roman"/>
          <w:noProof/>
        </w:rPr>
      </w:pPr>
    </w:p>
    <w:p w14:paraId="73AF0456" w14:textId="77777777" w:rsidR="003E1D81" w:rsidRDefault="003E1D81">
      <w:pPr>
        <w:spacing w:before="120" w:after="120" w:line="240" w:lineRule="auto"/>
        <w:jc w:val="both"/>
        <w:rPr>
          <w:rFonts w:ascii="Times New Roman" w:hAnsi="Times New Roman" w:cs="Times New Roman"/>
          <w:noProof/>
          <w:sz w:val="24"/>
          <w:u w:val="single"/>
        </w:rPr>
      </w:pPr>
    </w:p>
    <w:p w14:paraId="1C46581F" w14:textId="77777777" w:rsidR="003E1D81" w:rsidRDefault="003E1D81">
      <w:pPr>
        <w:spacing w:before="120" w:after="120" w:line="240" w:lineRule="auto"/>
        <w:jc w:val="both"/>
        <w:rPr>
          <w:rFonts w:ascii="Times New Roman" w:hAnsi="Times New Roman" w:cs="Times New Roman"/>
          <w:noProof/>
          <w:sz w:val="24"/>
        </w:rPr>
      </w:pPr>
    </w:p>
    <w:p w14:paraId="51AF60EC" w14:textId="77777777" w:rsidR="003E1D81" w:rsidRDefault="003E1D81">
      <w:pPr>
        <w:spacing w:before="120" w:after="120" w:line="240" w:lineRule="auto"/>
        <w:ind w:left="709"/>
        <w:jc w:val="both"/>
        <w:rPr>
          <w:rFonts w:ascii="Times New Roman" w:hAnsi="Times New Roman" w:cs="Times New Roman"/>
          <w:noProof/>
          <w:sz w:val="24"/>
        </w:rPr>
      </w:pPr>
    </w:p>
    <w:p w14:paraId="50261866" w14:textId="77777777" w:rsidR="003E1D81" w:rsidRDefault="003E1D81">
      <w:pPr>
        <w:spacing w:before="120" w:after="120" w:line="240" w:lineRule="auto"/>
        <w:ind w:left="709"/>
        <w:jc w:val="both"/>
        <w:rPr>
          <w:rFonts w:ascii="Times New Roman" w:hAnsi="Times New Roman" w:cs="Times New Roman"/>
          <w:noProof/>
          <w:sz w:val="24"/>
        </w:rPr>
        <w:sectPr w:rsidR="003E1D81" w:rsidSect="00EB7CC8">
          <w:headerReference w:type="even" r:id="rId264"/>
          <w:headerReference w:type="default" r:id="rId265"/>
          <w:footerReference w:type="even" r:id="rId266"/>
          <w:footerReference w:type="default" r:id="rId267"/>
          <w:headerReference w:type="first" r:id="rId268"/>
          <w:footerReference w:type="first" r:id="rId269"/>
          <w:pgSz w:w="16839" w:h="11907" w:orient="landscape"/>
          <w:pgMar w:top="1417" w:right="1134" w:bottom="1417" w:left="1134" w:header="709" w:footer="709" w:gutter="0"/>
          <w:cols w:space="720"/>
          <w:docGrid w:linePitch="360"/>
        </w:sectPr>
      </w:pPr>
    </w:p>
    <w:p w14:paraId="6082D2A6" w14:textId="77777777" w:rsidR="003E1D81" w:rsidRDefault="00EB481C">
      <w:pPr>
        <w:pStyle w:val="P68B1DB1-Heading12"/>
        <w:rPr>
          <w:rFonts w:cs="Times New Roman"/>
          <w:noProof/>
        </w:rPr>
      </w:pPr>
      <w:r>
        <w:rPr>
          <w:noProof/>
        </w:rPr>
        <w:t xml:space="preserve">M. 13. ELEM: Kkv-knak nyújtott támogatás  </w:t>
      </w:r>
    </w:p>
    <w:p w14:paraId="15D82318" w14:textId="1EB0591F" w:rsidR="003E1D81" w:rsidRDefault="00EB481C">
      <w:pPr>
        <w:pStyle w:val="P68B1DB1-Text119"/>
        <w:ind w:left="0"/>
        <w:rPr>
          <w:rFonts w:cs="Times New Roman"/>
          <w:noProof/>
        </w:rPr>
      </w:pPr>
      <w:r>
        <w:rPr>
          <w:noProof/>
        </w:rPr>
        <w:t>A kis- és középvállalkozások (kkv-k) kulcsszerepet játszanak az EU és Spanyolország gazdaságában, különösen ott, ahol a kkv-k nagyobb mértékben járulnak hozzá a nemzeti GDP-hez, és ahol a vállalkozások átlagos mér</w:t>
      </w:r>
      <w:r>
        <w:rPr>
          <w:noProof/>
        </w:rPr>
        <w:t xml:space="preserve">ete kisebb az uniós átlagnál. </w:t>
      </w:r>
    </w:p>
    <w:p w14:paraId="1FC6FBB4" w14:textId="0C4D676D" w:rsidR="003E1D81" w:rsidRDefault="00EB481C">
      <w:pPr>
        <w:pStyle w:val="Text1"/>
        <w:ind w:left="0"/>
        <w:rPr>
          <w:rFonts w:ascii="Times New Roman" w:hAnsi="Times New Roman" w:cs="Times New Roman"/>
          <w:noProof/>
        </w:rPr>
      </w:pPr>
      <w:r>
        <w:rPr>
          <w:rFonts w:ascii="Times New Roman" w:hAnsi="Times New Roman"/>
          <w:noProof/>
        </w:rPr>
        <w:t xml:space="preserve">A </w:t>
      </w:r>
      <w:r>
        <w:rPr>
          <w:rStyle w:val="IntenseEmphasis"/>
          <w:rFonts w:ascii="Times New Roman" w:hAnsi="Times New Roman"/>
          <w:i w:val="0"/>
          <w:noProof/>
          <w:color w:val="auto"/>
        </w:rPr>
        <w:t>spanyol helyreállítási és rezilienciaépítési terv</w:t>
      </w:r>
      <w:r>
        <w:rPr>
          <w:rFonts w:ascii="Times New Roman" w:hAnsi="Times New Roman"/>
          <w:noProof/>
        </w:rPr>
        <w:t>e komponense a kis- és középvállalkozások (kkv-k) (köztük az önfoglalkoztatók) előtt álló kihívásokkal</w:t>
      </w:r>
      <w:r>
        <w:rPr>
          <w:rStyle w:val="IntenseEmphasis"/>
          <w:rFonts w:ascii="Times New Roman" w:hAnsi="Times New Roman"/>
          <w:noProof/>
          <w:color w:val="auto"/>
        </w:rPr>
        <w:t xml:space="preserve"> </w:t>
      </w:r>
      <w:r>
        <w:rPr>
          <w:rFonts w:ascii="Times New Roman" w:hAnsi="Times New Roman"/>
          <w:noProof/>
        </w:rPr>
        <w:t>foglalkozik a spanyol gazdaság versenyképességének fokozása, valamint a</w:t>
      </w:r>
      <w:r>
        <w:rPr>
          <w:rFonts w:ascii="Times New Roman" w:hAnsi="Times New Roman"/>
          <w:noProof/>
        </w:rPr>
        <w:t xml:space="preserve"> növekedés és a foglalkoztatás előmozdítása érdekében. Ezek a kihívások a következők: a vállalkozások, a vállalkozások növekedése és az innováció finanszírozáshoz való nehéz hozzáférése; a digitális készségek hiánya és a kkv-k termelékenységét és versenyké</w:t>
      </w:r>
      <w:r>
        <w:rPr>
          <w:rFonts w:ascii="Times New Roman" w:hAnsi="Times New Roman"/>
          <w:noProof/>
        </w:rPr>
        <w:t>pességét akadályozó digitális technológiák bevezetésének hiánya; a vállalkozások kis mérete, ami akadályozza a méretgazdaságosság és a nemzetközivé válás kihasználását; valamint a külső sokkhatásoknak való nagyfokú kiszolgáltatottság és az alacsony méretga</w:t>
      </w:r>
      <w:r>
        <w:rPr>
          <w:rFonts w:ascii="Times New Roman" w:hAnsi="Times New Roman"/>
          <w:noProof/>
        </w:rPr>
        <w:t>zdaságosság, ami akadályozza a beruházásokat és az innovációt.</w:t>
      </w:r>
    </w:p>
    <w:p w14:paraId="2FB2F3C5" w14:textId="77777777" w:rsidR="003E1D81" w:rsidRDefault="00EB481C">
      <w:pPr>
        <w:pStyle w:val="P68B1DB1-Text119"/>
        <w:ind w:left="0"/>
        <w:rPr>
          <w:rFonts w:cs="Times New Roman"/>
          <w:noProof/>
        </w:rPr>
      </w:pPr>
      <w:r>
        <w:rPr>
          <w:noProof/>
        </w:rPr>
        <w:t>E komponens célja olyan reformok és beruházások bevezetése, amelyek célja a vállalkozások létrehozásának, növekedésének és szerkezetátalakításának megkönnyítése, az üzleti környezet javítása (k</w:t>
      </w:r>
      <w:r>
        <w:rPr>
          <w:noProof/>
        </w:rPr>
        <w:t>ülönösen a spanyol belső piac működésének megerősítése révén), valamint a termelékenységnövekedés fontos folyamatainak további fellendítése a digitalizáció, az innováció és a nemzetközivé válás révén. Ez a komponens jelentős mértékben a digitalizációra öss</w:t>
      </w:r>
      <w:r>
        <w:rPr>
          <w:noProof/>
        </w:rPr>
        <w:t>zpontosít, horizontális megközelítéssel, amely alapvető digitalizálási csomagot biztosít a kkv-k jelentős hányada számára, valamint vertikális megközelítést alkalmaz a folyamatok digitalizálásának és a technológiai innovációnak bizonyos kkv-kban történő fe</w:t>
      </w:r>
      <w:r>
        <w:rPr>
          <w:noProof/>
        </w:rPr>
        <w:t>llendítésére.</w:t>
      </w:r>
    </w:p>
    <w:p w14:paraId="7F3E9C10" w14:textId="4DE96ECE" w:rsidR="003E1D81" w:rsidRDefault="00EB481C">
      <w:pPr>
        <w:pStyle w:val="P68B1DB1-Text119"/>
        <w:ind w:left="0"/>
        <w:rPr>
          <w:rFonts w:cs="Times New Roman"/>
          <w:noProof/>
        </w:rPr>
      </w:pPr>
      <w:r>
        <w:rPr>
          <w:noProof/>
        </w:rPr>
        <w:t>Ez a komponens részben foglalkozik a piaci egységről szóló törvény végrehajtása terén elért eredményekről szóló országspecifikus ajánlásokkal (2019. évi 4. országspecifikus ajánlás), valamint a kkv-k és az önfoglalkoztatók likviditásának bizt</w:t>
      </w:r>
      <w:r>
        <w:rPr>
          <w:noProof/>
        </w:rPr>
        <w:t>osítását célzó intézkedések hatékony végrehajtásának biztosításáról szóló országspecifikus ajánlásokkal, különösen a késedelmes kifizetések elkerülésével (2020. évi 3. országspecifikus ajánlás). Foglalkozik továbbá a beruházásoknak a digitális átállásra va</w:t>
      </w:r>
      <w:r>
        <w:rPr>
          <w:noProof/>
        </w:rPr>
        <w:t>ló összpontosítására (2020. évi 3. országspecifikus ajánlás) és a digitális tanuláshoz való hozzáférés javítására (2020. évi 2. országspecifikus ajánlás) vonatkozó országspecifikus ajánlásokkal is. Ösztönzi továbbá a zöld átállásba történő beruházásokat (2</w:t>
      </w:r>
      <w:r>
        <w:rPr>
          <w:noProof/>
        </w:rPr>
        <w:t xml:space="preserve">023. és 1. országspecifikus ajánlás). </w:t>
      </w:r>
    </w:p>
    <w:p w14:paraId="1FF6074D" w14:textId="77777777" w:rsidR="003E1D81" w:rsidRDefault="00EB481C">
      <w:pPr>
        <w:pStyle w:val="P68B1DB1-Text119"/>
        <w:ind w:left="0"/>
        <w:rPr>
          <w:rFonts w:cs="Times New Roman"/>
          <w:noProof/>
        </w:rPr>
      </w:pPr>
      <w:r>
        <w:rPr>
          <w:noProof/>
        </w:rPr>
        <w:t>A jelentős károkozás elkerülését célzó elvről szóló technikai iránymutatásnak (2021/C58/01) megfelelően a helyreállítási és rezilienciaépítési tervben meghatározott intézkedések leírását és a helyreállítási és rezilie</w:t>
      </w:r>
      <w:r>
        <w:rPr>
          <w:noProof/>
        </w:rPr>
        <w:t xml:space="preserve">nciaépítési tervben meghatározott enyhítő lépéseket figyelembe véve ebben a komponensben várhatóan egyetlen intézkedés sem sérti jelentős mértékben az (EU) 2020/852 rendelet 17. cikke szerinti környezeti célkitűzéseket. </w:t>
      </w:r>
    </w:p>
    <w:p w14:paraId="3C82E79E" w14:textId="77777777" w:rsidR="003E1D81" w:rsidRDefault="00EB481C">
      <w:pPr>
        <w:pStyle w:val="P68B1DB1-Normal5"/>
        <w:ind w:left="720"/>
        <w:rPr>
          <w:rFonts w:cs="Times New Roman"/>
          <w:noProof/>
        </w:rPr>
      </w:pPr>
      <w:r>
        <w:rPr>
          <w:noProof/>
        </w:rPr>
        <w:t xml:space="preserve">M.1. </w:t>
      </w:r>
      <w:r>
        <w:rPr>
          <w:noProof/>
        </w:rPr>
        <w:tab/>
        <w:t>Vissza nem térítendő pénzügyi</w:t>
      </w:r>
      <w:r>
        <w:rPr>
          <w:noProof/>
        </w:rPr>
        <w:t xml:space="preserve"> támogatás – a reformok és beruházások ismertetése</w:t>
      </w:r>
    </w:p>
    <w:p w14:paraId="04FC7FA7" w14:textId="77777777" w:rsidR="003E1D81" w:rsidRDefault="00EB481C">
      <w:pPr>
        <w:pStyle w:val="P68B1DB1-Text120"/>
        <w:ind w:left="0"/>
        <w:rPr>
          <w:rFonts w:cs="Times New Roman"/>
          <w:noProof/>
        </w:rPr>
      </w:pPr>
      <w:r>
        <w:rPr>
          <w:noProof/>
        </w:rPr>
        <w:t>Reform (C13.R1) – Az üzleti szabályozás és az éghajlat-politika javítása</w:t>
      </w:r>
    </w:p>
    <w:p w14:paraId="65B9E8AE" w14:textId="77777777" w:rsidR="003E1D81" w:rsidRDefault="00EB481C">
      <w:pPr>
        <w:pStyle w:val="P68B1DB1-Text119"/>
        <w:ind w:left="0"/>
        <w:rPr>
          <w:rFonts w:cs="Times New Roman"/>
          <w:noProof/>
        </w:rPr>
      </w:pPr>
      <w:r>
        <w:rPr>
          <w:noProof/>
        </w:rPr>
        <w:t>A reform célja, hogy javítsa a gazdasági tevékenység keretét azáltal, hogy több intézkedés elfogadása révén jobb szabályozást és üzl</w:t>
      </w:r>
      <w:r>
        <w:rPr>
          <w:noProof/>
        </w:rPr>
        <w:t xml:space="preserve">eti környezetet biztosít, amely elősegíti a vállalkozások létrehozását és növekedését, valamint szükség esetén szerkezetátalakításukat. </w:t>
      </w:r>
    </w:p>
    <w:p w14:paraId="28205233" w14:textId="5B09D706" w:rsidR="003E1D81" w:rsidRDefault="00EB481C">
      <w:pPr>
        <w:pStyle w:val="P68B1DB1-Text119"/>
        <w:ind w:left="0"/>
        <w:rPr>
          <w:rFonts w:cs="Times New Roman"/>
          <w:noProof/>
        </w:rPr>
      </w:pPr>
      <w:r>
        <w:rPr>
          <w:noProof/>
        </w:rPr>
        <w:t>A reform a következőkből áll:</w:t>
      </w:r>
    </w:p>
    <w:p w14:paraId="7AFE3315" w14:textId="77777777" w:rsidR="003E1D81" w:rsidRDefault="00EB481C">
      <w:pPr>
        <w:pStyle w:val="P68B1DB1-Text119"/>
        <w:numPr>
          <w:ilvl w:val="0"/>
          <w:numId w:val="111"/>
        </w:numPr>
        <w:rPr>
          <w:rFonts w:cs="Times New Roman"/>
          <w:noProof/>
        </w:rPr>
      </w:pPr>
      <w:r>
        <w:rPr>
          <w:noProof/>
        </w:rPr>
        <w:t>A vállalkozásalapításról és a növekedésről szóló törvény elfogadása. E jogszabály célja:</w:t>
      </w:r>
    </w:p>
    <w:p w14:paraId="04FAB48E" w14:textId="77777777" w:rsidR="003E1D81" w:rsidRDefault="00EB481C">
      <w:pPr>
        <w:pStyle w:val="P68B1DB1-Text119"/>
        <w:numPr>
          <w:ilvl w:val="1"/>
          <w:numId w:val="111"/>
        </w:numPr>
        <w:rPr>
          <w:rFonts w:cs="Times New Roman"/>
          <w:noProof/>
        </w:rPr>
      </w:pPr>
      <w:r>
        <w:rPr>
          <w:noProof/>
        </w:rPr>
        <w:t xml:space="preserve">A vállalkozásalapítási eljárások egyszerűsítése. Ezt a vállalkozásalapításhoz szükséges minimális tőkekövetelmény csökkentésével, valamint a közösségi finanszírozási platformok és más állami finanszírozási eszközök megerősítésével kell elérni; </w:t>
      </w:r>
    </w:p>
    <w:p w14:paraId="20ED4BE2" w14:textId="77777777" w:rsidR="003E1D81" w:rsidRDefault="00EB481C">
      <w:pPr>
        <w:pStyle w:val="P68B1DB1-Text119"/>
        <w:numPr>
          <w:ilvl w:val="1"/>
          <w:numId w:val="111"/>
        </w:numPr>
        <w:rPr>
          <w:rFonts w:cs="Times New Roman"/>
          <w:noProof/>
        </w:rPr>
      </w:pPr>
      <w:r>
        <w:rPr>
          <w:noProof/>
        </w:rPr>
        <w:t>A korai fiz</w:t>
      </w:r>
      <w:r>
        <w:rPr>
          <w:noProof/>
        </w:rPr>
        <w:t>etési kultúra előmozdítását célzó jogi intézkedések. Ez a törvény javítja a kereskedelmi ügyletekhez kapcsolódó késedelmes fizetések elleni fellépésről szóló 2011/7/EU irányelv végrehajtásának hatékonyságát. A törvény várhatóan csökkenti az átlagos fizetés</w:t>
      </w:r>
      <w:r>
        <w:rPr>
          <w:noProof/>
        </w:rPr>
        <w:t>i határidőket a kereskedelmi ügyletek esetében. Ez segítene kezelni azokat a likviditási kihívásokat, amelyekkel a hitelező kkv-k szembesülnek, amelyek nem kapnak kellő időben fizetést, ami pozitív továbbgyűrűző hatást gyakorolna tevékenységükre és növeked</w:t>
      </w:r>
      <w:r>
        <w:rPr>
          <w:noProof/>
        </w:rPr>
        <w:t>ésükre. A korai fizetési kultúra előmozdítása érdekében végrehajtandó intézkedések közé tartoznak például a fizetési határidők nyilvánosságára és átláthatóságára vonatkozó iránymutatások, a bevált üzleti gyakorlatok és a jobb végrehajtást szolgáló mechaniz</w:t>
      </w:r>
      <w:r>
        <w:rPr>
          <w:noProof/>
        </w:rPr>
        <w:t>musok, például a peren kívüli vitarendezési rendszer;</w:t>
      </w:r>
    </w:p>
    <w:p w14:paraId="4A84DB97" w14:textId="77777777" w:rsidR="003E1D81" w:rsidRDefault="00EB481C">
      <w:pPr>
        <w:pStyle w:val="P68B1DB1-Text119"/>
        <w:numPr>
          <w:ilvl w:val="1"/>
          <w:numId w:val="111"/>
        </w:numPr>
        <w:rPr>
          <w:rFonts w:cs="Times New Roman"/>
          <w:noProof/>
        </w:rPr>
      </w:pPr>
      <w:r>
        <w:rPr>
          <w:noProof/>
        </w:rPr>
        <w:t xml:space="preserve">Módosítsa a piaci egységről szóló törvény egyes rendelkezéseit, hogy egyértelműbbé tegye azokat a területeket, ahol a kétértelműség végrehajtási problémákhoz vezetett. A piacegységről szóló törvény </w:t>
      </w:r>
      <w:r>
        <w:rPr>
          <w:noProof/>
        </w:rPr>
        <w:t>célja a gazdasági tevékenységekhez való hozzáférés és azok gyakorlása, valamint a letelepedés szabadsága előtt álló szükségtelen, aránytalan vagy diszkriminatív akadályok felszámolása az egész területen. E reform célja továbbá a piacegységről szóló törvény</w:t>
      </w:r>
      <w:r>
        <w:rPr>
          <w:noProof/>
        </w:rPr>
        <w:t>ben előírt mechanizmusok hatékonyságának és átláthatóságának fokozása azon gazdasági szereplők védelme érdekében, akiknek a tevékenységét a közigazgatás által előírt akadályok érintik. Emellett a reformnak meg kell erősítenie az együttműködést annak érdeké</w:t>
      </w:r>
      <w:r>
        <w:rPr>
          <w:noProof/>
        </w:rPr>
        <w:t>ben, hogy országszerte előmozdítsa a jobb szabályozást;</w:t>
      </w:r>
    </w:p>
    <w:p w14:paraId="65E91C6D" w14:textId="77777777" w:rsidR="003E1D81" w:rsidRDefault="00EB481C">
      <w:pPr>
        <w:pStyle w:val="P68B1DB1-Text119"/>
        <w:numPr>
          <w:ilvl w:val="0"/>
          <w:numId w:val="111"/>
        </w:numPr>
        <w:rPr>
          <w:rFonts w:cs="Times New Roman"/>
          <w:noProof/>
        </w:rPr>
      </w:pPr>
      <w:r>
        <w:rPr>
          <w:noProof/>
        </w:rPr>
        <w:t>Új ágazati konferenciát kell létrehozni a szabályozás javítása és az üzleti éghajlatváltozás témájában. Célja, hogy megkönnyítse a helyes szabályozás elveinek valamennyi közigazgatási szerv általi hel</w:t>
      </w:r>
      <w:r>
        <w:rPr>
          <w:noProof/>
        </w:rPr>
        <w:t>yes alkalmazását, és biztosítsa a különböző közigazgatási szervek közötti optimális koordinációt, beleértve a helyreállítást kísérő intézkedéseket is. Az ágazati konferencia az egyéb ágazati konferenciák keretében végzett munkát is nyomon követi, ami lehet</w:t>
      </w:r>
      <w:r>
        <w:rPr>
          <w:noProof/>
        </w:rPr>
        <w:t>ővé teszi a jobb koordinációt, nyomon követést és a jobb szabályozás előmozdítását, horizontális és ágazati szempontból egyaránt;</w:t>
      </w:r>
    </w:p>
    <w:p w14:paraId="3AF46301" w14:textId="77777777" w:rsidR="003E1D81" w:rsidRDefault="00EB481C">
      <w:pPr>
        <w:pStyle w:val="P68B1DB1-Text119"/>
        <w:numPr>
          <w:ilvl w:val="0"/>
          <w:numId w:val="111"/>
        </w:numPr>
        <w:rPr>
          <w:rFonts w:cs="Times New Roman"/>
          <w:noProof/>
        </w:rPr>
      </w:pPr>
      <w:r>
        <w:rPr>
          <w:noProof/>
        </w:rPr>
        <w:t>A fizetésképtelenségi törvény reformja a megelőző szerkezetátalakítási keretekről, az adósság alóli mentesítésről és az eltilt</w:t>
      </w:r>
      <w:r>
        <w:rPr>
          <w:noProof/>
        </w:rPr>
        <w:t>ásokról, a fizetésképtelenségi eljárások hatékonyságának növelését célzó intézkedésekről, valamint az (EU) 2017/1132 irányelv (a szerkezetátalakításról és a fizetésképtelenségről szóló irányelv) módosításáról szóló (EU) 2019/1023 irányelv átültetése érdeké</w:t>
      </w:r>
      <w:r>
        <w:rPr>
          <w:noProof/>
        </w:rPr>
        <w:t>ben. A reform magában foglalja a természetes személyek számára a második esélyre vonatkozó hatékonyabb eljárás létrehozását, amely lehetővé teszi az adósságrendezést a fizetésképtelen fél vagyonának előzetes felszámolása nélkül. Emellett a fizetésképtelens</w:t>
      </w:r>
      <w:r>
        <w:rPr>
          <w:noProof/>
        </w:rPr>
        <w:t>égi eljárásról szóló (EU) 2019/1023 irányelvben előírt szerkezetátalakítási terveket olyan új, fizetésképtelenséget megelőző eszközként kell bevezetni, amely a fizetésképtelenség és az azt követő csőd megelőzése érdekében javítja a jelenleg alkalmazandó, f</w:t>
      </w:r>
      <w:r>
        <w:rPr>
          <w:noProof/>
        </w:rPr>
        <w:t>izetésképtelenséget megelőző eszközök hatékonyságát. A folyamat időtartamának és költségeinek csökkentése érdekében külön eljárást kell bevezetni a mikro-kkv-k számára, amelyet teljes mértékben elektronikus úton kell feldolgozni.</w:t>
      </w:r>
    </w:p>
    <w:p w14:paraId="4C86FC4C" w14:textId="1AE05236" w:rsidR="003E1D81" w:rsidRDefault="00EB481C">
      <w:pPr>
        <w:pStyle w:val="P68B1DB1-Text119"/>
        <w:numPr>
          <w:ilvl w:val="0"/>
          <w:numId w:val="111"/>
        </w:numPr>
        <w:rPr>
          <w:rFonts w:cs="Times New Roman"/>
          <w:noProof/>
        </w:rPr>
      </w:pPr>
      <w:r>
        <w:rPr>
          <w:noProof/>
        </w:rPr>
        <w:t>Ez a reform három jogszabá</w:t>
      </w:r>
      <w:r>
        <w:rPr>
          <w:noProof/>
        </w:rPr>
        <w:t xml:space="preserve">ly – különösen a 34/2006. sz. törvény – módosításáról szóló törvény elfogadását is magában </w:t>
      </w:r>
      <w:r>
        <w:rPr>
          <w:i/>
          <w:noProof/>
        </w:rPr>
        <w:t>foglalja</w:t>
      </w:r>
      <w:r>
        <w:rPr>
          <w:noProof/>
        </w:rPr>
        <w:t xml:space="preserve">. Az új rendszer egységes hozzáférést biztosít az ügyvédi és a </w:t>
      </w:r>
      <w:r>
        <w:rPr>
          <w:i/>
          <w:noProof/>
        </w:rPr>
        <w:t>perbeli</w:t>
      </w:r>
      <w:r>
        <w:rPr>
          <w:noProof/>
        </w:rPr>
        <w:t xml:space="preserve"> szakma gyakorlásához, mivel ugyanaz a képesítés mindkét szakma gyakorlására jogosít. A</w:t>
      </w:r>
      <w:r>
        <w:rPr>
          <w:noProof/>
        </w:rPr>
        <w:t xml:space="preserve"> multidiszciplináris szakmai társaságok számára lehetővé kell tenni, hogy közösen nyújtsanak jogi védelmi és bírósági képviseleti szolgáltatásokat. A </w:t>
      </w:r>
      <w:r>
        <w:rPr>
          <w:i/>
          <w:noProof/>
        </w:rPr>
        <w:t>perbeli képviselők</w:t>
      </w:r>
      <w:r>
        <w:rPr>
          <w:noProof/>
        </w:rPr>
        <w:t xml:space="preserve"> szolgáltatásaira alkalmazandó díjszabási rendszer szintén módosul: meg kell határozni a</w:t>
      </w:r>
      <w:r>
        <w:rPr>
          <w:noProof/>
        </w:rPr>
        <w:t xml:space="preserve"> maximális díjakat, de nem kell minimális díjakat megállapítani annak biztosítása érdekében, hogy a szolgáltatás igénybe vevője versenyképes áron férhessen hozzá a kínált szolgáltatásokhoz. E reformmal Spanyolország biztosítja, hogy az e területre vonatkoz</w:t>
      </w:r>
      <w:r>
        <w:rPr>
          <w:noProof/>
        </w:rPr>
        <w:t>ó jogszabályok összhangban legyenek a belső piaci szolgáltatásokról szóló 2006/123/EK európai parlamenti és tanácsi irányelv 15., 16. és 25. cikkével, valamint az Európai Unió működéséről szóló szerződés 49. és 56. cikkével. E reform tekintetében a Miniszt</w:t>
      </w:r>
      <w:r>
        <w:rPr>
          <w:noProof/>
        </w:rPr>
        <w:t>erek Tanácsa 2020 szeptemberében jóváhagyta a fent említett jogalkotási javaslattervezeteket.</w:t>
      </w:r>
    </w:p>
    <w:p w14:paraId="7189CEC4" w14:textId="659B71BC" w:rsidR="003E1D81" w:rsidRDefault="00EB481C">
      <w:pPr>
        <w:pStyle w:val="P68B1DB1-Text119"/>
        <w:numPr>
          <w:ilvl w:val="0"/>
          <w:numId w:val="111"/>
        </w:numPr>
        <w:rPr>
          <w:rFonts w:cs="Times New Roman"/>
          <w:noProof/>
        </w:rPr>
      </w:pPr>
      <w:r>
        <w:rPr>
          <w:noProof/>
        </w:rPr>
        <w:t>A versenyjog (a verseny védelméről szóló 15/2007. sz. törvény) és rendeleteinek (a verseny védelméről szóló rendeletek jóváhagyásáról szóló, 2007. február 22-i 26</w:t>
      </w:r>
      <w:r>
        <w:rPr>
          <w:noProof/>
        </w:rPr>
        <w:t xml:space="preserve">1/2008. sz. királyi rendelet) módosítása, az eljárások egyszerűsítése és az ország antitröszt-szabályozási keretének megerősítése a nemzetközi bevált gyakorlatokkal összhangban a hatékony verseny biztosítása érdekében. A módosítás rendelkezik a versenyjog </w:t>
      </w:r>
      <w:r>
        <w:rPr>
          <w:noProof/>
        </w:rPr>
        <w:t>1. cikke (összejátszásra irányuló magatartás), 2. cikke (erőfölénnyel való visszaélés) és 3. cikke (a szabad verseny tisztességtelen cselekmények általi torzítása) szerinti antitrösztügyekre vonatkozó vitarendezési eljárás bevezetéséről. A módosítás emelle</w:t>
      </w:r>
      <w:r>
        <w:rPr>
          <w:noProof/>
        </w:rPr>
        <w:t>tt kiegészítő jogi rendelkezéseket vezet be az (EU) 2022/1925 rendelethez (a digitális piacokról szóló jogszabály) annak érdekében, hogy az illetékes spanyol hatóság hatáskörrel rendelkezzen arra, hogy a nemzeti kereten belül vizsgálatokat folytasson, egys</w:t>
      </w:r>
      <w:r>
        <w:rPr>
          <w:noProof/>
        </w:rPr>
        <w:t>zerűsítse az eljárások rendezésére rendelkezésre álló időszakot és csökkentse a vállalatok adminisztratív terheit, valamint rendelkezzen a szankciórendszer javításáról, többek között a jogsértések engedélyezésének ösztönzése és a természetes személyekre (a</w:t>
      </w:r>
      <w:r>
        <w:rPr>
          <w:noProof/>
        </w:rPr>
        <w:t>zaz a vezetőkre) vonatkozó szankciók növelése révén.</w:t>
      </w:r>
    </w:p>
    <w:p w14:paraId="5611FD7A" w14:textId="2ABEAE92" w:rsidR="003E1D81" w:rsidRDefault="00EB481C">
      <w:pPr>
        <w:pStyle w:val="P68B1DB1-Text119"/>
        <w:ind w:left="0"/>
        <w:rPr>
          <w:rFonts w:cs="Times New Roman"/>
          <w:noProof/>
        </w:rPr>
      </w:pPr>
      <w:r>
        <w:rPr>
          <w:noProof/>
        </w:rPr>
        <w:t>Az intézkedés végrehajtását 2025. december 31-ig be kell fejezni.</w:t>
      </w:r>
    </w:p>
    <w:p w14:paraId="0B36211E" w14:textId="77777777" w:rsidR="003E1D81" w:rsidRDefault="00EB481C">
      <w:pPr>
        <w:pStyle w:val="P68B1DB1-Text120"/>
        <w:keepNext/>
        <w:ind w:left="0"/>
        <w:rPr>
          <w:rFonts w:cs="Times New Roman"/>
          <w:noProof/>
        </w:rPr>
      </w:pPr>
      <w:r>
        <w:rPr>
          <w:noProof/>
        </w:rPr>
        <w:t>Reform (C13.R2) – Stratégia Spanyolország vállalkozói nemzete</w:t>
      </w:r>
    </w:p>
    <w:p w14:paraId="36A12FAD" w14:textId="2999754B" w:rsidR="003E1D81" w:rsidRDefault="00EB481C">
      <w:pPr>
        <w:pStyle w:val="P68B1DB1-Text119"/>
        <w:keepNext/>
        <w:ind w:left="0"/>
        <w:rPr>
          <w:rFonts w:cs="Times New Roman"/>
          <w:noProof/>
        </w:rPr>
      </w:pPr>
      <w:r>
        <w:rPr>
          <w:noProof/>
        </w:rPr>
        <w:t>Az intézkedés célja a spanyol vállalkozási stratégia előmozdítása. A reform</w:t>
      </w:r>
      <w:r>
        <w:rPr>
          <w:noProof/>
        </w:rPr>
        <w:t xml:space="preserve"> a következőkből áll: induló vállalkozásokról szóló törvény elfogadása, kedvező keret létrehozása a rendkívül innovatív induló vállalkozások létrehozásához és növekedéséhez, NEXT-TECH köz-magán alap létrehozása a forradalmi technológiák terén induló innova</w:t>
      </w:r>
      <w:r>
        <w:rPr>
          <w:noProof/>
        </w:rPr>
        <w:t>tív vállalkozások felfuttatása érdekében, valamint a munkavállalókra vonatkozó migrációs rendszer felülvizsgálata a tehetségek vonzása és a szakemberhiány kezelése érdekében.</w:t>
      </w:r>
    </w:p>
    <w:p w14:paraId="60AEC707" w14:textId="77777777" w:rsidR="003E1D81" w:rsidRDefault="00EB481C">
      <w:pPr>
        <w:pStyle w:val="P68B1DB1-Text119"/>
        <w:ind w:left="0"/>
        <w:rPr>
          <w:rFonts w:cs="Times New Roman"/>
          <w:noProof/>
        </w:rPr>
      </w:pPr>
      <w:r>
        <w:rPr>
          <w:noProof/>
        </w:rPr>
        <w:t>Az induló vállalkozásokról szóló törvény 2022 végéig történő elfogadása: az indul</w:t>
      </w:r>
      <w:r>
        <w:rPr>
          <w:noProof/>
        </w:rPr>
        <w:t>ó vállalkozások jogi meghatározása; adóösztönzők azonosítása a létrehozásuk előmozdítása és a tehetségek odavonzása érdekében; intézkedéseket határoz meg a külföldi befektetők és vállalkozók vonzerejének megkönnyítésére; valamint olyan mechanizmusok elfoga</w:t>
      </w:r>
      <w:r>
        <w:rPr>
          <w:noProof/>
        </w:rPr>
        <w:t>dása, amelyek megkönnyítik a jogszabály végrehajtását és a digitális vállalkozói ökoszisztémával kapcsolatos intézkedésekkel való kapcsolatát.</w:t>
      </w:r>
    </w:p>
    <w:p w14:paraId="49F3CA66" w14:textId="772966A9" w:rsidR="003E1D81" w:rsidRDefault="00EB481C">
      <w:pPr>
        <w:pStyle w:val="P68B1DB1-Text119"/>
        <w:ind w:left="0"/>
        <w:rPr>
          <w:rFonts w:cs="Times New Roman"/>
          <w:noProof/>
        </w:rPr>
      </w:pPr>
      <w:r>
        <w:rPr>
          <w:noProof/>
        </w:rPr>
        <w:t>A reform magában foglalja továbbá a Spanyolországban tartózkodó külföldiek jogairól és szabadságairól, valamint t</w:t>
      </w:r>
      <w:r>
        <w:rPr>
          <w:noProof/>
        </w:rPr>
        <w:t>ársadalmi integrációjukról szóló, január 11-i 4/2000. sz. sarkalatos törvény, valamint a vállalkozók támogatásáról és nemzetközivé válásáról szóló, szeptember 27-i 14/2013. sz. törvény rendeletének módosítását.</w:t>
      </w:r>
    </w:p>
    <w:p w14:paraId="2C1646D0" w14:textId="00462CD9" w:rsidR="003E1D81" w:rsidRDefault="00EB481C">
      <w:pPr>
        <w:pStyle w:val="P68B1DB1-Text119"/>
        <w:ind w:left="0"/>
        <w:rPr>
          <w:rFonts w:cs="Times New Roman"/>
          <w:noProof/>
        </w:rPr>
      </w:pPr>
      <w:r>
        <w:rPr>
          <w:noProof/>
        </w:rPr>
        <w:t>A Spanyolországban tartózkodó külföldiek joga</w:t>
      </w:r>
      <w:r>
        <w:rPr>
          <w:noProof/>
        </w:rPr>
        <w:t>iról és szabadságairól, valamint társadalmi integrációjukról szóló, 2007. január 11-i 4/2000. sz. sarkalatos törvény rendeletének módosítása egyszerűsíti a migrációval kapcsolatos közigazgatási eljárásokat, többek között az engedélyek számának csökkentésév</w:t>
      </w:r>
      <w:r>
        <w:rPr>
          <w:noProof/>
        </w:rPr>
        <w:t>el és érvényességének meghosszabbításával, az eljárások felgyorsításával, a harmadik országbeli állampolgárok munkaerőpiachoz való hozzáférésének megkönnyítésével, valamint a forrásnál történő foglalkoztatás rendszerének javításával. A módosítások különöse</w:t>
      </w:r>
      <w:r>
        <w:rPr>
          <w:noProof/>
        </w:rPr>
        <w:t>n rugalmasabb hozzáférést biztosítanak a diákok számára a munkaerőpiachoz, többéves körkörös migrációs rendszert vezetnek be az idénymunkások számára, új szabályokat vezetnek be a nemzeti foglalkoztatási helyzet értékelésére, és új igazgatási egységet (UTE</w:t>
      </w:r>
      <w:r>
        <w:rPr>
          <w:noProof/>
        </w:rPr>
        <w:t>X) hoznak létre a külföldi állampolgárok aktáinak feldolgozásának javítása érdekében.</w:t>
      </w:r>
    </w:p>
    <w:p w14:paraId="4A7EF98C" w14:textId="1F332FAA" w:rsidR="003E1D81" w:rsidRDefault="00EB481C">
      <w:pPr>
        <w:pStyle w:val="P68B1DB1-Text119"/>
        <w:ind w:left="0"/>
        <w:rPr>
          <w:rFonts w:cs="Times New Roman"/>
          <w:noProof/>
        </w:rPr>
      </w:pPr>
      <w:r>
        <w:rPr>
          <w:noProof/>
        </w:rPr>
        <w:t>A vállalkozók támogatásáról és nemzetközivé válásukról szóló, szeptember 27-i 14/2013. sz. törvény módosítása megkönnyíti a nagyon speciális készségekkel és kompetenciákk</w:t>
      </w:r>
      <w:r>
        <w:rPr>
          <w:noProof/>
        </w:rPr>
        <w:t>al rendelkező külföldi állampolgárok toborzását a 4/2000. sz. sarkalatos törvényben meghatározottnál egyszerűbb és rugalmasabb eljárás révén. A 14/2013. sz. törvény módosítása új migrációs rendszert vezet be a digitális nomádokra vonatkozóan, új innovációs</w:t>
      </w:r>
      <w:r>
        <w:rPr>
          <w:noProof/>
        </w:rPr>
        <w:t xml:space="preserve"> kritériumokat vezet be a vállalkozók tartózkodási és munkavállalási engedélyei tekintetében, kiterjeszti a magasan képzett szakemberekre vonatkozó nemzeti migrációs rendszer hatályát a kkv-kra és a magasabb szintű szakképzési bizonyítvánnyal rendelkezőkre</w:t>
      </w:r>
      <w:r>
        <w:rPr>
          <w:noProof/>
        </w:rPr>
        <w:t>, valamint hosszabb érvényességi időt vezet be, valamint egyszerűsíti a tartózkodási és munkavállalási engedélyekre vonatkozó eljárásokat a módosítás előtti 14/2013. sz. törvényben foglaltakhoz képest.</w:t>
      </w:r>
    </w:p>
    <w:p w14:paraId="3D4CCDDD" w14:textId="7089989E" w:rsidR="003E1D81" w:rsidRDefault="00EB481C">
      <w:pPr>
        <w:pStyle w:val="P68B1DB1-Text119"/>
        <w:ind w:left="0"/>
        <w:rPr>
          <w:rFonts w:cs="Times New Roman"/>
          <w:noProof/>
        </w:rPr>
      </w:pPr>
      <w:r>
        <w:rPr>
          <w:noProof/>
        </w:rPr>
        <w:t>Az intézkedés végrehajtását 2023. december 31-ig be ke</w:t>
      </w:r>
      <w:r>
        <w:rPr>
          <w:noProof/>
        </w:rPr>
        <w:t>ll fejezni.</w:t>
      </w:r>
    </w:p>
    <w:p w14:paraId="46827732" w14:textId="77777777" w:rsidR="003E1D81" w:rsidRDefault="00EB481C">
      <w:pPr>
        <w:pStyle w:val="P68B1DB1-Normal6"/>
        <w:spacing w:before="120" w:after="120"/>
        <w:jc w:val="both"/>
        <w:rPr>
          <w:rFonts w:eastAsiaTheme="minorEastAsia" w:cs="Times New Roman"/>
          <w:noProof/>
        </w:rPr>
      </w:pPr>
      <w:r>
        <w:rPr>
          <w:noProof/>
        </w:rPr>
        <w:t>Reform (C13.R3) – Az értékpapír-piacokról és a befektetési szolgáltatásokról szóló törvény felülvizsgálata</w:t>
      </w:r>
    </w:p>
    <w:p w14:paraId="6CA34C5A" w14:textId="1BB6826B" w:rsidR="003E1D81" w:rsidRDefault="00EB481C">
      <w:pPr>
        <w:pStyle w:val="P68B1DB1-Normal4"/>
        <w:spacing w:before="120" w:after="120"/>
        <w:jc w:val="both"/>
        <w:rPr>
          <w:rFonts w:eastAsiaTheme="minorEastAsia" w:cs="Times New Roman"/>
          <w:noProof/>
        </w:rPr>
      </w:pPr>
      <w:r>
        <w:rPr>
          <w:noProof/>
        </w:rPr>
        <w:t>E reform célja az értékpapír-piaci szabályozás javítása annak érdekében, hogy a spanyolországi értékpapírpiacot és befektetési szolgáltat</w:t>
      </w:r>
      <w:r>
        <w:rPr>
          <w:noProof/>
        </w:rPr>
        <w:t xml:space="preserve">ásokat szabályozó 6/2023. sz. törvény jóváhagyása révén javuljon a finanszírozáshoz való hozzáférés, különösen a kkv-k számára. </w:t>
      </w:r>
    </w:p>
    <w:p w14:paraId="4FB51AEC" w14:textId="4666EF74" w:rsidR="003E1D81" w:rsidRDefault="00EB481C">
      <w:pPr>
        <w:pStyle w:val="P68B1DB1-Normal4"/>
        <w:spacing w:before="120" w:after="120"/>
        <w:jc w:val="both"/>
        <w:rPr>
          <w:rFonts w:cs="Times New Roman"/>
          <w:noProof/>
        </w:rPr>
      </w:pPr>
      <w:r>
        <w:rPr>
          <w:noProof/>
        </w:rPr>
        <w:t xml:space="preserve"> A 6/2023. sz. törvény:</w:t>
      </w:r>
    </w:p>
    <w:p w14:paraId="71D69DE2" w14:textId="77777777" w:rsidR="003E1D81" w:rsidRDefault="00EB481C">
      <w:pPr>
        <w:pStyle w:val="P68B1DB1-ListParagraph7"/>
        <w:numPr>
          <w:ilvl w:val="0"/>
          <w:numId w:val="621"/>
        </w:numPr>
        <w:spacing w:after="0"/>
        <w:jc w:val="both"/>
        <w:rPr>
          <w:rFonts w:cs="Times New Roman"/>
          <w:noProof/>
        </w:rPr>
      </w:pPr>
      <w:r>
        <w:rPr>
          <w:noProof/>
        </w:rPr>
        <w:t>a rögzített kamatozású értékpapírok szabályozott piacra történő bevezetésének egyszerűsítése;</w:t>
      </w:r>
    </w:p>
    <w:p w14:paraId="5173D240" w14:textId="77777777" w:rsidR="003E1D81" w:rsidRDefault="00EB481C">
      <w:pPr>
        <w:pStyle w:val="P68B1DB1-ListParagraph7"/>
        <w:numPr>
          <w:ilvl w:val="0"/>
          <w:numId w:val="621"/>
        </w:numPr>
        <w:spacing w:after="0"/>
        <w:jc w:val="both"/>
        <w:rPr>
          <w:rFonts w:eastAsiaTheme="minorEastAsia" w:cs="Times New Roman"/>
          <w:noProof/>
        </w:rPr>
      </w:pPr>
      <w:r>
        <w:rPr>
          <w:noProof/>
        </w:rPr>
        <w:t xml:space="preserve">a BME </w:t>
      </w:r>
      <w:r>
        <w:rPr>
          <w:noProof/>
        </w:rPr>
        <w:t>Growth-hez (a kkv-k BME tőzsdei piacához) való hozzáférés kiterjesztése;</w:t>
      </w:r>
    </w:p>
    <w:p w14:paraId="6355B17F" w14:textId="77777777" w:rsidR="003E1D81" w:rsidRDefault="00EB481C">
      <w:pPr>
        <w:pStyle w:val="P68B1DB1-ListParagraph7"/>
        <w:numPr>
          <w:ilvl w:val="0"/>
          <w:numId w:val="621"/>
        </w:numPr>
        <w:spacing w:after="0"/>
        <w:jc w:val="both"/>
        <w:rPr>
          <w:rFonts w:eastAsiaTheme="minorEastAsia" w:cs="Times New Roman"/>
          <w:noProof/>
        </w:rPr>
      </w:pPr>
      <w:r>
        <w:rPr>
          <w:noProof/>
        </w:rPr>
        <w:t xml:space="preserve">a kötelező nyilvános vételi ajánlatokat a szabályozott piacokon kereskedett értékpapírokon túl kiterjesszék az MTF-eken kereskedett értékpapírokra (beleértve azok uniós növekvő piaci </w:t>
      </w:r>
      <w:r>
        <w:rPr>
          <w:noProof/>
        </w:rPr>
        <w:t xml:space="preserve">szegmenseit is); és </w:t>
      </w:r>
    </w:p>
    <w:p w14:paraId="69874394" w14:textId="77777777" w:rsidR="003E1D81" w:rsidRDefault="00EB481C">
      <w:pPr>
        <w:pStyle w:val="P68B1DB1-ListParagraph7"/>
        <w:numPr>
          <w:ilvl w:val="0"/>
          <w:numId w:val="621"/>
        </w:numPr>
        <w:spacing w:after="0"/>
        <w:jc w:val="both"/>
        <w:rPr>
          <w:rFonts w:eastAsiaTheme="minorEastAsia" w:cs="Times New Roman"/>
          <w:noProof/>
        </w:rPr>
      </w:pPr>
      <w:r>
        <w:rPr>
          <w:noProof/>
        </w:rPr>
        <w:t>a pénzügyi piacokra való belépés akadályainak csökkentése az értékpapírok elszámolásának, elszámolásának és nyilvántartásba vételének nyomon követésére szolgáló információs rendszer (kereskedés utáni interfész) eltörlésével a törvénybe</w:t>
      </w:r>
      <w:r>
        <w:rPr>
          <w:noProof/>
        </w:rPr>
        <w:t>n előirányzott átmeneti időszakban.</w:t>
      </w:r>
    </w:p>
    <w:p w14:paraId="05387AEE" w14:textId="77777777" w:rsidR="003E1D81" w:rsidRDefault="00EB481C">
      <w:pPr>
        <w:pStyle w:val="P68B1DB1-Normal4"/>
        <w:spacing w:before="120" w:after="120"/>
        <w:jc w:val="both"/>
        <w:rPr>
          <w:rFonts w:cs="Times New Roman"/>
          <w:noProof/>
        </w:rPr>
      </w:pPr>
      <w:r>
        <w:rPr>
          <w:noProof/>
        </w:rPr>
        <w:t>Az intézkedés végrehajtását 2024. június 30-ig be kell fejezni.</w:t>
      </w:r>
    </w:p>
    <w:p w14:paraId="7D8C9E3E" w14:textId="77777777" w:rsidR="003E1D81" w:rsidRDefault="003E1D81">
      <w:pPr>
        <w:pStyle w:val="Text1"/>
        <w:ind w:left="0"/>
        <w:rPr>
          <w:rFonts w:ascii="Times New Roman" w:hAnsi="Times New Roman" w:cs="Times New Roman"/>
          <w:noProof/>
        </w:rPr>
      </w:pPr>
    </w:p>
    <w:p w14:paraId="169F9947" w14:textId="77777777" w:rsidR="003E1D81" w:rsidRDefault="00EB481C">
      <w:pPr>
        <w:pStyle w:val="P68B1DB1-Normal6"/>
        <w:spacing w:before="120" w:after="120"/>
        <w:jc w:val="both"/>
        <w:rPr>
          <w:rFonts w:eastAsiaTheme="minorEastAsia" w:cs="Times New Roman"/>
          <w:noProof/>
        </w:rPr>
      </w:pPr>
      <w:r>
        <w:rPr>
          <w:noProof/>
        </w:rPr>
        <w:t xml:space="preserve">Beruházás (C13.I1) – Vállalkozás </w:t>
      </w:r>
    </w:p>
    <w:p w14:paraId="03C7E9E0" w14:textId="77777777" w:rsidR="003E1D81" w:rsidRDefault="00EB481C">
      <w:pPr>
        <w:pStyle w:val="P68B1DB1-Text119"/>
        <w:ind w:left="0"/>
        <w:rPr>
          <w:rFonts w:cs="Times New Roman"/>
          <w:noProof/>
        </w:rPr>
      </w:pPr>
      <w:r>
        <w:rPr>
          <w:noProof/>
        </w:rPr>
        <w:t xml:space="preserve">A beruházás célja a vállalkozói ökoszisztéma fellendítése annak érdekében, hogy az ellenállóbbá és versenyképesebbé </w:t>
      </w:r>
      <w:r>
        <w:rPr>
          <w:noProof/>
        </w:rPr>
        <w:t>váljon, kezelve a zöld és digitális átállás kihívásait.</w:t>
      </w:r>
    </w:p>
    <w:p w14:paraId="2763E8E1" w14:textId="77777777" w:rsidR="003E1D81" w:rsidRDefault="00EB481C">
      <w:pPr>
        <w:pStyle w:val="P68B1DB1-Text119"/>
        <w:ind w:left="0"/>
        <w:rPr>
          <w:rFonts w:cs="Times New Roman"/>
          <w:noProof/>
        </w:rPr>
      </w:pPr>
      <w:r>
        <w:rPr>
          <w:noProof/>
        </w:rPr>
        <w:t>A beruházás négy fő intézkedésből áll:</w:t>
      </w:r>
    </w:p>
    <w:p w14:paraId="3EE9C38C" w14:textId="1B85A1C1" w:rsidR="003E1D81" w:rsidRDefault="00EB481C">
      <w:pPr>
        <w:pStyle w:val="Text1"/>
        <w:ind w:left="0"/>
        <w:rPr>
          <w:rFonts w:ascii="Times New Roman" w:hAnsi="Times New Roman" w:cs="Times New Roman"/>
          <w:noProof/>
        </w:rPr>
      </w:pPr>
      <w:r>
        <w:rPr>
          <w:rFonts w:ascii="Times New Roman" w:hAnsi="Times New Roman"/>
          <w:noProof/>
        </w:rPr>
        <w:t>A vállalkozói készségek megerősítése, beleértve a készségfejlesztést és az átképzést, valamint a vállalkozók támogatását a zöld és digitális átállással kapcsolat</w:t>
      </w:r>
      <w:r>
        <w:rPr>
          <w:rFonts w:ascii="Times New Roman" w:hAnsi="Times New Roman"/>
          <w:noProof/>
        </w:rPr>
        <w:t>os uniós prioritásokkal összhangban. E fellépés részeként legalább 6900 vállalkozónak végre kell hajtania a vállalkozói ökoszisztéma megerősítését célzó programot. A vállalkozói készségek programja keretében 6100 vállalkozót (ebből 1200 nő) és 800 női váll</w:t>
      </w:r>
      <w:r>
        <w:rPr>
          <w:rFonts w:ascii="Times New Roman" w:hAnsi="Times New Roman"/>
          <w:noProof/>
        </w:rPr>
        <w:t>alkozót kell támogatni a női tehetséggondozási programon keresztül.</w:t>
      </w:r>
      <w:r>
        <w:rPr>
          <w:rFonts w:ascii="Times New Roman" w:hAnsi="Times New Roman"/>
          <w:noProof/>
          <w:shd w:val="clear" w:color="auto" w:fill="E6E6E6"/>
        </w:rPr>
        <w:t xml:space="preserve"> </w:t>
      </w:r>
    </w:p>
    <w:p w14:paraId="28FFBA76" w14:textId="77777777" w:rsidR="003E1D81" w:rsidRDefault="00EB481C">
      <w:pPr>
        <w:pStyle w:val="P68B1DB1-Text119"/>
        <w:ind w:left="0"/>
        <w:rPr>
          <w:rFonts w:cs="Times New Roman"/>
          <w:noProof/>
        </w:rPr>
      </w:pPr>
      <w:r>
        <w:rPr>
          <w:noProof/>
        </w:rPr>
        <w:t>A vállalkozásalapítás és a vállalkozásirányítás támogatására, valamint a kkv-k megerősítésére szolgáló eszközök biztosítása, beleértve legalább 12000 aktív felhasználó támogatását a Kkv-p</w:t>
      </w:r>
      <w:r>
        <w:rPr>
          <w:noProof/>
        </w:rPr>
        <w:t>olitika 2030-ig tartó időszakra vonatkozó stratégiai keretének, a spanyol vállalkozási stratégiának és a 2025-ig tartó időszakra vonatkozó spanyolországi digitális menetrendnek a keretében;</w:t>
      </w:r>
    </w:p>
    <w:p w14:paraId="75A10A38" w14:textId="77777777" w:rsidR="003E1D81" w:rsidRDefault="00EB481C">
      <w:pPr>
        <w:pStyle w:val="P68B1DB1-Text119"/>
        <w:ind w:left="0"/>
        <w:rPr>
          <w:rFonts w:cs="Times New Roman"/>
          <w:noProof/>
        </w:rPr>
      </w:pPr>
      <w:r>
        <w:rPr>
          <w:noProof/>
        </w:rPr>
        <w:t>Terjesztési és kommunikációs kampányok az innovatív vállalatokra ö</w:t>
      </w:r>
      <w:r>
        <w:rPr>
          <w:noProof/>
        </w:rPr>
        <w:t>sszpontosító nemzetközi rendezvények és a tehetséges nők vonzására irányuló program létrehozása, fejlesztése vagy Spanyolországba vonzása érdekében. Ez magában foglal legalább 20, a „lobogóprogram” keretében kidolgozott vállalkozói tevékenységet; és legalá</w:t>
      </w:r>
      <w:r>
        <w:rPr>
          <w:noProof/>
        </w:rPr>
        <w:t>bb 260 kommunikációs tevékenység (200 médiamegjelenés és 60 rendezvény) a „Brand Spain Entrepreneurship Nation” keretében; és</w:t>
      </w:r>
    </w:p>
    <w:p w14:paraId="3E11FFE1" w14:textId="77777777" w:rsidR="003E1D81" w:rsidRDefault="00EB481C">
      <w:pPr>
        <w:pStyle w:val="P68B1DB1-Normal4"/>
        <w:spacing w:line="240" w:lineRule="auto"/>
        <w:jc w:val="both"/>
        <w:rPr>
          <w:rFonts w:cs="Times New Roman"/>
          <w:noProof/>
        </w:rPr>
      </w:pPr>
      <w:r>
        <w:rPr>
          <w:noProof/>
        </w:rPr>
        <w:t>A vállalkozói szellemet és a kis- és középvállalkozásokat támogató sor finanszírozása a nők vállalkozói tevékenységét támogató pro</w:t>
      </w:r>
      <w:r>
        <w:rPr>
          <w:noProof/>
        </w:rPr>
        <w:t xml:space="preserve">gramon keresztül. Ez magában foglalja legalább 200 női vállalkozó támogatását az </w:t>
      </w:r>
      <w:r>
        <w:rPr>
          <w:i/>
          <w:noProof/>
        </w:rPr>
        <w:t>Empresa Nacional de Innovación, S.A. által nyújtott, részvételen alapuló kölcsönök révén</w:t>
      </w:r>
      <w:r>
        <w:rPr>
          <w:noProof/>
        </w:rPr>
        <w:t xml:space="preserve">. </w:t>
      </w:r>
    </w:p>
    <w:p w14:paraId="53922631" w14:textId="77777777" w:rsidR="003E1D81" w:rsidRDefault="00EB481C">
      <w:pPr>
        <w:pStyle w:val="P68B1DB1-Text119"/>
        <w:ind w:left="0"/>
        <w:rPr>
          <w:rFonts w:cs="Times New Roman"/>
          <w:noProof/>
        </w:rPr>
      </w:pPr>
      <w:r>
        <w:rPr>
          <w:noProof/>
        </w:rPr>
        <w:t>A pénzügyi eszközök esetében annak biztosítása érdekében, hogy az intézkedés megfele</w:t>
      </w:r>
      <w:r>
        <w:rPr>
          <w:noProof/>
        </w:rPr>
        <w:t>ljen a jelentős károkozás elkerülését célzó elvről szóló technikai iránymutatásnak (2021/C58/01), a spanyol hatóságok és a pénzügyi eszközért felelős megbízott szervezet vagy pénzügyi közvetítő közötti jogi megállapodás és a pénzügyi eszköz ezt követő befe</w:t>
      </w:r>
      <w:r>
        <w:rPr>
          <w:noProof/>
        </w:rPr>
        <w:t xml:space="preserve">ktetési politikája: </w:t>
      </w:r>
    </w:p>
    <w:p w14:paraId="28CFFC45" w14:textId="709B2534" w:rsidR="003E1D81" w:rsidRDefault="00EB481C">
      <w:pPr>
        <w:pStyle w:val="P68B1DB1-Text119"/>
        <w:numPr>
          <w:ilvl w:val="0"/>
          <w:numId w:val="197"/>
        </w:numPr>
        <w:rPr>
          <w:rFonts w:cs="Times New Roman"/>
          <w:noProof/>
        </w:rPr>
      </w:pPr>
      <w:r>
        <w:rPr>
          <w:noProof/>
        </w:rPr>
        <w:t>a fenntarthatósági vizsgálatról szóló bizottsági technikai iránymutatás alkalmazásának előírása az InvestEU Alap tekintetében</w:t>
      </w:r>
    </w:p>
    <w:p w14:paraId="4E0DAE12" w14:textId="77777777" w:rsidR="003E1D81" w:rsidRDefault="00EB481C">
      <w:pPr>
        <w:pStyle w:val="P68B1DB1-Text119"/>
        <w:numPr>
          <w:ilvl w:val="0"/>
          <w:numId w:val="197"/>
        </w:numPr>
        <w:rPr>
          <w:rFonts w:cs="Times New Roman"/>
          <w:noProof/>
        </w:rPr>
      </w:pPr>
      <w:r>
        <w:rPr>
          <w:noProof/>
        </w:rPr>
        <w:t>a tevékenységek és eszközök alábbi listájának kizárása a támogathatóságból: a fosszilis tüzelőanyagokhoz kapc</w:t>
      </w:r>
      <w:r>
        <w:rPr>
          <w:noProof/>
        </w:rPr>
        <w:t>solódó tevékenységek és eszközök, beleértve a downstream felhasználást is</w:t>
      </w:r>
      <w:r>
        <w:rPr>
          <w:noProof/>
        </w:rPr>
        <w:footnoteReference w:id="66"/>
      </w:r>
      <w:r>
        <w:rPr>
          <w:noProof/>
        </w:rPr>
        <w:t>; az uniós kibocsátáskereskedelmi rendszer (ETS) keretében végzett tevékenységek és eszközök, amelyek a vonatkozó referenciaértékeknél nem alacsonyabb várható üvegházhatásúgáz-kibocs</w:t>
      </w:r>
      <w:r>
        <w:rPr>
          <w:noProof/>
        </w:rPr>
        <w:t>átást érnek el</w:t>
      </w:r>
      <w:r>
        <w:rPr>
          <w:noProof/>
        </w:rPr>
        <w:footnoteReference w:id="67"/>
      </w:r>
      <w:r>
        <w:rPr>
          <w:noProof/>
        </w:rPr>
        <w:t>; hulladéklerakókkal, hulladékégetőkkel és mechanikai-biológiai szennyvíztisztító telepekkel kapcsolatos tevékenységek</w:t>
      </w:r>
      <w:r>
        <w:rPr>
          <w:noProof/>
        </w:rPr>
        <w:footnoteReference w:id="68"/>
      </w:r>
      <w:r>
        <w:rPr>
          <w:noProof/>
        </w:rPr>
        <w:t xml:space="preserve"> és eszközök</w:t>
      </w:r>
      <w:r>
        <w:rPr>
          <w:noProof/>
        </w:rPr>
        <w:footnoteReference w:id="69"/>
      </w:r>
      <w:r>
        <w:rPr>
          <w:noProof/>
        </w:rPr>
        <w:t>; és iv. olyan tevékenységek és eszközök, amelyek esetében a hulladék hosszú távú ártalmatlanítása károsíthat</w:t>
      </w:r>
      <w:r>
        <w:rPr>
          <w:noProof/>
        </w:rPr>
        <w:t>ja a környezetet; és</w:t>
      </w:r>
    </w:p>
    <w:p w14:paraId="7DDBBB8E" w14:textId="77777777" w:rsidR="003E1D81" w:rsidRDefault="00EB481C">
      <w:pPr>
        <w:pStyle w:val="P68B1DB1-Text119"/>
        <w:numPr>
          <w:ilvl w:val="0"/>
          <w:numId w:val="197"/>
        </w:numPr>
        <w:rPr>
          <w:rFonts w:cs="Times New Roman"/>
          <w:noProof/>
        </w:rPr>
      </w:pPr>
      <w:r>
        <w:rPr>
          <w:noProof/>
        </w:rPr>
        <w:t>előírja a megbízott szervezet/pénzügyi közvetítő számára annak ellenőrzését, hogy a projektek megfelelnek-e a vonatkozó uniós és nemzeti környezetvédelmi jogszabályoknak, minden ügylet tekintetében, beleértve a fenntarthatósági vizsgál</w:t>
      </w:r>
      <w:r>
        <w:rPr>
          <w:noProof/>
        </w:rPr>
        <w:t>at alól mentesített ügyleteket is.</w:t>
      </w:r>
    </w:p>
    <w:p w14:paraId="71B740AD" w14:textId="77777777" w:rsidR="003E1D81" w:rsidRDefault="00EB481C">
      <w:pPr>
        <w:pStyle w:val="Text1"/>
        <w:ind w:left="0"/>
        <w:rPr>
          <w:rFonts w:ascii="Times New Roman" w:hAnsi="Times New Roman" w:cs="Times New Roman"/>
          <w:noProof/>
          <w:highlight w:val="green"/>
        </w:rPr>
      </w:pPr>
      <w:r>
        <w:rPr>
          <w:rFonts w:ascii="Times New Roman" w:hAnsi="Times New Roman"/>
          <w:noProof/>
        </w:rPr>
        <w:t>Az ajánlatok esetében annak biztosítása érdekében, hogy az intézkedés megfeleljen a jelentős károkozás elkerülését célzó elvről szóló technikai iránymutatásnak (2021/C58/01) a soron következő pályázati felhívásokra vonatk</w:t>
      </w:r>
      <w:r>
        <w:rPr>
          <w:rFonts w:ascii="Times New Roman" w:hAnsi="Times New Roman"/>
          <w:noProof/>
        </w:rPr>
        <w:t>ozó feladatmeghatározásban foglalt támogathatósági kritériumokból ki kell zárni a tevékenységek alábbi listáját: a fosszilis tüzelőanyagokhoz kapcsolódó tevékenységek, beleértve a továbbfelhasználást is</w:t>
      </w:r>
      <w:r>
        <w:rPr>
          <w:rStyle w:val="FootnoteReference"/>
          <w:rFonts w:ascii="Times New Roman" w:hAnsi="Times New Roman" w:cs="Times New Roman"/>
          <w:noProof/>
        </w:rPr>
        <w:footnoteReference w:id="70"/>
      </w:r>
      <w:r>
        <w:rPr>
          <w:rFonts w:ascii="Times New Roman" w:hAnsi="Times New Roman"/>
          <w:noProof/>
        </w:rPr>
        <w:t>; az uniós kibocsátáskereskedelmi rendszer (ETS) kere</w:t>
      </w:r>
      <w:r>
        <w:rPr>
          <w:rFonts w:ascii="Times New Roman" w:hAnsi="Times New Roman"/>
          <w:noProof/>
        </w:rPr>
        <w:t>tében végzett tevékenységek, amelyek a vonatkozó referenciaértékeknél nem alacsonyabb várható üvegházhatásúgáz-kibocsátást érnek el</w:t>
      </w:r>
      <w:r>
        <w:rPr>
          <w:rStyle w:val="FootnoteReference"/>
          <w:rFonts w:ascii="Times New Roman" w:hAnsi="Times New Roman" w:cs="Times New Roman"/>
          <w:noProof/>
        </w:rPr>
        <w:footnoteReference w:id="71"/>
      </w:r>
      <w:r>
        <w:rPr>
          <w:rFonts w:ascii="Times New Roman" w:hAnsi="Times New Roman"/>
          <w:noProof/>
        </w:rPr>
        <w:t>; hulladéklerakókkal, hulladékégetőkkel</w:t>
      </w:r>
      <w:r>
        <w:rPr>
          <w:rStyle w:val="FootnoteReference"/>
          <w:rFonts w:ascii="Times New Roman" w:hAnsi="Times New Roman" w:cs="Times New Roman"/>
          <w:noProof/>
        </w:rPr>
        <w:footnoteReference w:id="72"/>
      </w:r>
      <w:r>
        <w:rPr>
          <w:rFonts w:ascii="Times New Roman" w:hAnsi="Times New Roman"/>
          <w:noProof/>
        </w:rPr>
        <w:t xml:space="preserve"> és mechanikai-biológiai szennyvíztisztító telepekkel kapcsolatos tevékenységek</w:t>
      </w:r>
      <w:r>
        <w:rPr>
          <w:rStyle w:val="FootnoteReference"/>
          <w:rFonts w:ascii="Times New Roman" w:hAnsi="Times New Roman" w:cs="Times New Roman"/>
          <w:noProof/>
        </w:rPr>
        <w:footnoteReference w:id="73"/>
      </w:r>
      <w:r>
        <w:rPr>
          <w:rFonts w:ascii="Times New Roman" w:hAnsi="Times New Roman"/>
          <w:noProof/>
        </w:rPr>
        <w:t>; és</w:t>
      </w:r>
      <w:r>
        <w:rPr>
          <w:rFonts w:ascii="Times New Roman" w:hAnsi="Times New Roman"/>
          <w:noProof/>
        </w:rPr>
        <w:t xml:space="preserve"> iv. olyan tevékenységek, amelyek esetében a hulladék hosszú távú ártalmatlanítása károsíthatja a környezetet. A feladatmeghatározás emellett előírja, hogy csak a vonatkozó uniós és nemzeti környezetvédelmi jogszabályoknak megfelelő tevékenységek választha</w:t>
      </w:r>
      <w:r>
        <w:rPr>
          <w:rFonts w:ascii="Times New Roman" w:hAnsi="Times New Roman"/>
          <w:noProof/>
        </w:rPr>
        <w:t>tók ki.</w:t>
      </w:r>
    </w:p>
    <w:p w14:paraId="1E392410" w14:textId="0AEF2FA9" w:rsidR="003E1D81" w:rsidRDefault="00EB481C">
      <w:pPr>
        <w:pStyle w:val="P68B1DB1-Normal4"/>
        <w:spacing w:line="240" w:lineRule="auto"/>
        <w:jc w:val="both"/>
        <w:rPr>
          <w:rFonts w:cs="Times New Roman"/>
          <w:noProof/>
        </w:rPr>
      </w:pPr>
      <w:r>
        <w:rPr>
          <w:noProof/>
        </w:rPr>
        <w:t xml:space="preserve">A beruházás végrehajtását 2025. december 31-ig be kell fejezni. </w:t>
      </w:r>
    </w:p>
    <w:p w14:paraId="11292CFE" w14:textId="77777777" w:rsidR="003E1D81" w:rsidRDefault="00EB481C">
      <w:pPr>
        <w:pStyle w:val="P68B1DB1-Text120"/>
        <w:ind w:left="0"/>
        <w:rPr>
          <w:rFonts w:cs="Times New Roman"/>
          <w:noProof/>
        </w:rPr>
      </w:pPr>
      <w:r>
        <w:rPr>
          <w:noProof/>
        </w:rPr>
        <w:t xml:space="preserve">Beruházás (C13.I2) – Növekedés </w:t>
      </w:r>
    </w:p>
    <w:p w14:paraId="73AFC212" w14:textId="77777777" w:rsidR="003E1D81" w:rsidRDefault="00EB481C">
      <w:pPr>
        <w:pStyle w:val="P68B1DB1-Text119"/>
        <w:ind w:left="0"/>
        <w:rPr>
          <w:rFonts w:cs="Times New Roman"/>
          <w:noProof/>
        </w:rPr>
      </w:pPr>
      <w:r>
        <w:rPr>
          <w:noProof/>
        </w:rPr>
        <w:t xml:space="preserve">Az intézkedés célja a kkv-k növekedésének előmozdítása. </w:t>
      </w:r>
    </w:p>
    <w:p w14:paraId="38B5166A" w14:textId="77777777" w:rsidR="003E1D81" w:rsidRDefault="00EB481C">
      <w:pPr>
        <w:pStyle w:val="P68B1DB1-Text119"/>
        <w:ind w:left="0"/>
        <w:rPr>
          <w:rFonts w:cs="Times New Roman"/>
          <w:noProof/>
        </w:rPr>
      </w:pPr>
      <w:r>
        <w:rPr>
          <w:noProof/>
        </w:rPr>
        <w:t>A beruházás a következőkre irányuló fellépésekből áll:</w:t>
      </w:r>
    </w:p>
    <w:p w14:paraId="1629AD50" w14:textId="77777777" w:rsidR="003E1D81" w:rsidRDefault="00EB481C">
      <w:pPr>
        <w:pStyle w:val="P68B1DB1-Text119"/>
        <w:ind w:left="0"/>
        <w:rPr>
          <w:rFonts w:cs="Times New Roman"/>
          <w:noProof/>
        </w:rPr>
      </w:pPr>
      <w:r>
        <w:rPr>
          <w:noProof/>
        </w:rPr>
        <w:t xml:space="preserve">Támogatás (11000) egyedi kkv-k számára </w:t>
      </w:r>
      <w:r>
        <w:rPr>
          <w:noProof/>
        </w:rPr>
        <w:t>a „Kkv-növekedéshez szükséges készségek” program keretében. E program célja, hogy biztosítsa a vállalatok számára a növekedéshez és a versenyképesebbé váláshoz szükséges készségeket, megváltoztatva üzleti modelljeiket és hozzájárulva a kettős átálláshoz;</w:t>
      </w:r>
    </w:p>
    <w:p w14:paraId="57EA9081" w14:textId="77777777" w:rsidR="003E1D81" w:rsidRDefault="00EB481C">
      <w:pPr>
        <w:pStyle w:val="P68B1DB1-Text119"/>
        <w:ind w:left="0"/>
        <w:rPr>
          <w:rFonts w:cs="Times New Roman"/>
          <w:noProof/>
        </w:rPr>
      </w:pPr>
      <w:r>
        <w:rPr>
          <w:noProof/>
        </w:rPr>
        <w:t>A</w:t>
      </w:r>
      <w:r>
        <w:rPr>
          <w:noProof/>
        </w:rPr>
        <w:t xml:space="preserve"> kkv-k által kidolgozott ipari projektek (1500) hosszú távú pénzügyi támogatása az új ipari létesítményekbe történő beruházás vagy a meglévő létesítmények bővítése keretében végrehajtott intézkedésekhez, figyelembe véve az éghajlatváltozás mérsékléséhez va</w:t>
      </w:r>
      <w:r>
        <w:rPr>
          <w:noProof/>
        </w:rPr>
        <w:t>ló hozzájárulás lehetőségét.</w:t>
      </w:r>
    </w:p>
    <w:p w14:paraId="5CB698C7" w14:textId="77777777" w:rsidR="003E1D81" w:rsidRDefault="00EB481C">
      <w:pPr>
        <w:pStyle w:val="P68B1DB1-Text119"/>
        <w:ind w:left="0"/>
        <w:rPr>
          <w:rFonts w:cs="Times New Roman"/>
          <w:noProof/>
        </w:rPr>
      </w:pPr>
      <w:r>
        <w:rPr>
          <w:noProof/>
        </w:rPr>
        <w:t xml:space="preserve">A kkv-k finanszírozáshoz való hozzáférésének javítása pénzügyi, kereskedelmi és technikai garanciák formájában nyújtott támogatással a </w:t>
      </w:r>
      <w:r>
        <w:rPr>
          <w:i/>
          <w:noProof/>
        </w:rPr>
        <w:t>Compañia Española de Reafianzamiento SME S.A. (</w:t>
      </w:r>
      <w:r>
        <w:rPr>
          <w:noProof/>
        </w:rPr>
        <w:t xml:space="preserve"> CERSA) megerősítése révén, a Helyreállítási </w:t>
      </w:r>
      <w:r>
        <w:rPr>
          <w:noProof/>
        </w:rPr>
        <w:t>és Rezilienciaépítési Eszközről szóló rendelet támogathatósági kritériumaival összhangban, a 2021. január 21-i iránymutatásban meghatározottak szerint. E cselekvési irányvonal részeként a CERSA viszontgarancia-fedezetén keresztül hosszú távú támogatást nyú</w:t>
      </w:r>
      <w:r>
        <w:rPr>
          <w:noProof/>
        </w:rPr>
        <w:t>jt a regionális kölcsönös garanciavállaló társaságoknak, fedezve az általuk viselt kockázatot. A CERSA-nak elő kell mozdítania a kkv-k versenyképességét és rezilienciáját három új, célzott költségvetési sor révén is, amelyek lehetővé teszik a hosszú távú f</w:t>
      </w:r>
      <w:r>
        <w:rPr>
          <w:noProof/>
        </w:rPr>
        <w:t>inanszírozási és működőtőke-műveletekhez való hozzáférést az e beruházás keretében a következő területeken végrehajtott fellépések számára: digitalizáció; fenntarthatóság; növekedés és helyreállítás (a reziliencia megerősítése, főként a Covid19-világjárván</w:t>
      </w:r>
      <w:r>
        <w:rPr>
          <w:noProof/>
        </w:rPr>
        <w:t xml:space="preserve">y által érintett kkv-k számára, amelyek készek jelentős átalakítási és növekedési terveket készíteni). </w:t>
      </w:r>
    </w:p>
    <w:p w14:paraId="640FE40E" w14:textId="77777777" w:rsidR="003E1D81" w:rsidRDefault="00EB481C">
      <w:pPr>
        <w:pStyle w:val="P68B1DB1-Text119"/>
        <w:ind w:left="0"/>
        <w:rPr>
          <w:rFonts w:cs="Times New Roman"/>
          <w:noProof/>
        </w:rPr>
      </w:pPr>
      <w:r>
        <w:rPr>
          <w:noProof/>
        </w:rPr>
        <w:t>Ezenkívül a pénzügyi garanciaeszköz végrehajtása érdekében megállapodást kell kötni a beruházásért felelős minisztérium és a végrehajtó partner vagy a m</w:t>
      </w:r>
      <w:r>
        <w:rPr>
          <w:noProof/>
        </w:rPr>
        <w:t>egbízott szervezet között. A megállapodásnak kötelezettségek formájában kell megjelenítenie a helyreállítási és rezilienciaépítési tervben foglalt információkat. Továbbá a pénzügyi eszközhöz kapcsolódó minden visszaáramlást (azaz a kölcsön kamatait, a tőke</w:t>
      </w:r>
      <w:r>
        <w:rPr>
          <w:noProof/>
        </w:rPr>
        <w:t>arányos jövedelmezőséget vagy a visszafizetett tőkeösszeget, mínusz a kapcsolódó költségeket) ugyanazon szakpolitikai célkitűzések érdekében kell újra befektetni, 2026 után is. Annak biztosítása érdekében, hogy az intézkedés megfeleljen a jelentős károkozá</w:t>
      </w:r>
      <w:r>
        <w:rPr>
          <w:noProof/>
        </w:rPr>
        <w:t xml:space="preserve">s elkerülését célzó elvről szóló technikai iránymutatásnak (2021/C58/01), a spanyol hatóságok és a pénzügyi eszközért felelős megbízott szervezet vagy pénzügyi közvetítő közötti jogi megállapodás és a pénzügyi eszköz ezt követő befektetési politikája </w:t>
      </w:r>
    </w:p>
    <w:p w14:paraId="50ACDE27" w14:textId="77777777" w:rsidR="003E1D81" w:rsidRDefault="00EB481C">
      <w:pPr>
        <w:pStyle w:val="P68B1DB1-Text119"/>
        <w:numPr>
          <w:ilvl w:val="0"/>
          <w:numId w:val="199"/>
        </w:numPr>
        <w:rPr>
          <w:rFonts w:cs="Times New Roman"/>
          <w:noProof/>
        </w:rPr>
      </w:pPr>
      <w:r>
        <w:rPr>
          <w:noProof/>
        </w:rPr>
        <w:t>előírja az InvestEU Alap fenntarthatósági vizsgálatáról szóló bizottsági technikai iránymutatás alkalmazását;</w:t>
      </w:r>
    </w:p>
    <w:p w14:paraId="12D35BAE" w14:textId="77777777" w:rsidR="003E1D81" w:rsidRDefault="00EB481C">
      <w:pPr>
        <w:pStyle w:val="P68B1DB1-Text119"/>
        <w:numPr>
          <w:ilvl w:val="0"/>
          <w:numId w:val="199"/>
        </w:numPr>
        <w:rPr>
          <w:rFonts w:cs="Times New Roman"/>
          <w:noProof/>
        </w:rPr>
      </w:pPr>
      <w:r>
        <w:rPr>
          <w:noProof/>
        </w:rPr>
        <w:t>a tevékenységek és eszközök alábbi listájának kizárása a támogathatóságból: a fosszilis tüzelőanyagokhoz kapcsolódó tevékenységek és eszközök, bel</w:t>
      </w:r>
      <w:r>
        <w:rPr>
          <w:noProof/>
        </w:rPr>
        <w:t>eértve a downstream felhasználást is</w:t>
      </w:r>
      <w:r>
        <w:rPr>
          <w:noProof/>
        </w:rPr>
        <w:footnoteReference w:id="74"/>
      </w:r>
      <w:r>
        <w:rPr>
          <w:noProof/>
        </w:rPr>
        <w:t>; az uniós kibocsátáskereskedelmi rendszer (ETS) keretében végzett tevékenységek és eszközök, amelyek a vonatkozó referenciaértékeknél nem alacsonyabb várható üvegházhatásúgáz-kibocsátást érnek el</w:t>
      </w:r>
      <w:r>
        <w:rPr>
          <w:noProof/>
        </w:rPr>
        <w:footnoteReference w:id="75"/>
      </w:r>
      <w:r>
        <w:rPr>
          <w:noProof/>
        </w:rPr>
        <w:t xml:space="preserve">; hulladéklerakókkal, </w:t>
      </w:r>
      <w:r>
        <w:rPr>
          <w:noProof/>
        </w:rPr>
        <w:t>hulladékégetőkkel és mechanikai-biológiai szennyvíztisztító telepekkel kapcsolatos tevékenységek</w:t>
      </w:r>
      <w:r>
        <w:rPr>
          <w:noProof/>
        </w:rPr>
        <w:footnoteReference w:id="76"/>
      </w:r>
      <w:r>
        <w:rPr>
          <w:noProof/>
        </w:rPr>
        <w:t xml:space="preserve"> és eszközök</w:t>
      </w:r>
      <w:r>
        <w:rPr>
          <w:noProof/>
        </w:rPr>
        <w:footnoteReference w:id="77"/>
      </w:r>
      <w:r>
        <w:rPr>
          <w:noProof/>
        </w:rPr>
        <w:t>; és iv. olyan tevékenységek és eszközök, amelyek esetében a hulladék hosszú távú ártalmatlanítása károsíthatja a környezetet; és</w:t>
      </w:r>
    </w:p>
    <w:p w14:paraId="5170F010" w14:textId="77777777" w:rsidR="003E1D81" w:rsidRDefault="00EB481C">
      <w:pPr>
        <w:pStyle w:val="P68B1DB1-Text119"/>
        <w:numPr>
          <w:ilvl w:val="0"/>
          <w:numId w:val="199"/>
        </w:numPr>
        <w:rPr>
          <w:rFonts w:cs="Times New Roman"/>
          <w:noProof/>
        </w:rPr>
      </w:pPr>
      <w:r>
        <w:rPr>
          <w:noProof/>
        </w:rPr>
        <w:t>előírja a megbíz</w:t>
      </w:r>
      <w:r>
        <w:rPr>
          <w:noProof/>
        </w:rPr>
        <w:t>ott szervezet/pénzügyi közvetítő számára annak ellenőrzését, hogy a projektek megfelelnek-e a vonatkozó uniós és nemzeti környezetvédelmi jogszabályoknak, minden ügylet tekintetében, beleértve a fenntarthatósági vizsgálat alól mentesített ügyleteket is.</w:t>
      </w:r>
    </w:p>
    <w:p w14:paraId="74B66515" w14:textId="77777777" w:rsidR="003E1D81" w:rsidRDefault="00EB481C">
      <w:pPr>
        <w:pStyle w:val="Text1"/>
        <w:ind w:left="0"/>
        <w:rPr>
          <w:rFonts w:ascii="Times New Roman" w:hAnsi="Times New Roman" w:cs="Times New Roman"/>
          <w:noProof/>
          <w:highlight w:val="green"/>
        </w:rPr>
      </w:pPr>
      <w:r>
        <w:rPr>
          <w:rFonts w:ascii="Times New Roman" w:hAnsi="Times New Roman"/>
          <w:noProof/>
        </w:rPr>
        <w:t>Az</w:t>
      </w:r>
      <w:r>
        <w:rPr>
          <w:rFonts w:ascii="Times New Roman" w:hAnsi="Times New Roman"/>
          <w:noProof/>
        </w:rPr>
        <w:t xml:space="preserve"> ajánlatok esetében annak biztosítása érdekében, hogy az intézkedés megfeleljen a jelentős károkozás elkerülését célzó elvről szóló technikai iránymutatásnak (2021/C58/01) a soron következő pályázati felhívásokra vonatkozó feladatmeghatározásban foglalt tá</w:t>
      </w:r>
      <w:r>
        <w:rPr>
          <w:rFonts w:ascii="Times New Roman" w:hAnsi="Times New Roman"/>
          <w:noProof/>
        </w:rPr>
        <w:t>mogathatósági kritériumokból ki kell zárni a tevékenységek alábbi listáját: a fosszilis tüzelőanyagokhoz kapcsolódó tevékenységek, beleértve a továbbfelhasználást is</w:t>
      </w:r>
      <w:r>
        <w:rPr>
          <w:rStyle w:val="FootnoteReference"/>
          <w:rFonts w:ascii="Times New Roman" w:hAnsi="Times New Roman" w:cs="Times New Roman"/>
          <w:noProof/>
        </w:rPr>
        <w:footnoteReference w:id="78"/>
      </w:r>
      <w:r>
        <w:rPr>
          <w:rFonts w:ascii="Times New Roman" w:hAnsi="Times New Roman"/>
          <w:noProof/>
        </w:rPr>
        <w:t xml:space="preserve">; az uniós kibocsátáskereskedelmi rendszer (ETS) keretében végzett tevékenységek, amelyek </w:t>
      </w:r>
      <w:r>
        <w:rPr>
          <w:rFonts w:ascii="Times New Roman" w:hAnsi="Times New Roman"/>
          <w:noProof/>
        </w:rPr>
        <w:t>a vonatkozó referenciaértékeknél nem alacsonyabb várható üvegházhatásúgáz-kibocsátást érnek el</w:t>
      </w:r>
      <w:r>
        <w:rPr>
          <w:rStyle w:val="FootnoteReference"/>
          <w:rFonts w:ascii="Times New Roman" w:hAnsi="Times New Roman" w:cs="Times New Roman"/>
          <w:noProof/>
        </w:rPr>
        <w:footnoteReference w:id="79"/>
      </w:r>
      <w:r>
        <w:rPr>
          <w:rFonts w:ascii="Times New Roman" w:hAnsi="Times New Roman"/>
          <w:noProof/>
        </w:rPr>
        <w:t>; hulladéklerakókkal, hulladékégetőkkel</w:t>
      </w:r>
      <w:r>
        <w:rPr>
          <w:rStyle w:val="FootnoteReference"/>
          <w:rFonts w:ascii="Times New Roman" w:hAnsi="Times New Roman" w:cs="Times New Roman"/>
          <w:noProof/>
        </w:rPr>
        <w:footnoteReference w:id="80"/>
      </w:r>
      <w:r>
        <w:rPr>
          <w:rFonts w:ascii="Times New Roman" w:hAnsi="Times New Roman"/>
          <w:noProof/>
        </w:rPr>
        <w:t xml:space="preserve"> és mechanikai-biológiai szennyvíztisztító telepekkel kapcsolatos tevékenységek</w:t>
      </w:r>
      <w:r>
        <w:rPr>
          <w:rStyle w:val="FootnoteReference"/>
          <w:rFonts w:ascii="Times New Roman" w:hAnsi="Times New Roman" w:cs="Times New Roman"/>
          <w:noProof/>
        </w:rPr>
        <w:footnoteReference w:id="81"/>
      </w:r>
      <w:r>
        <w:rPr>
          <w:rFonts w:ascii="Times New Roman" w:hAnsi="Times New Roman"/>
          <w:noProof/>
        </w:rPr>
        <w:t>; és iv. olyan tevékenységek, amelyek ese</w:t>
      </w:r>
      <w:r>
        <w:rPr>
          <w:rFonts w:ascii="Times New Roman" w:hAnsi="Times New Roman"/>
          <w:noProof/>
        </w:rPr>
        <w:t>tében a hulladék hosszú távú ártalmatlanítása károsíthatja a környezetet. A feladatmeghatározás emellett előírja, hogy csak a vonatkozó uniós és nemzeti környezetvédelmi jogszabályoknak megfelelő tevékenységek választhatók ki.</w:t>
      </w:r>
    </w:p>
    <w:p w14:paraId="1450DD94" w14:textId="15040BF0" w:rsidR="003E1D81" w:rsidRDefault="00EB481C">
      <w:pPr>
        <w:pStyle w:val="P68B1DB1-Normal4"/>
        <w:spacing w:line="240" w:lineRule="auto"/>
        <w:jc w:val="both"/>
        <w:rPr>
          <w:rFonts w:cs="Times New Roman"/>
          <w:noProof/>
        </w:rPr>
      </w:pPr>
      <w:r>
        <w:rPr>
          <w:noProof/>
        </w:rPr>
        <w:t xml:space="preserve">A beruházás végrehajtását </w:t>
      </w:r>
      <w:r>
        <w:rPr>
          <w:noProof/>
        </w:rPr>
        <w:t>2024. december 31-ig be kell fejezni.</w:t>
      </w:r>
    </w:p>
    <w:p w14:paraId="7D512F7C" w14:textId="77777777" w:rsidR="003E1D81" w:rsidRDefault="00EB481C">
      <w:pPr>
        <w:pStyle w:val="P68B1DB1-Text120"/>
        <w:ind w:left="0"/>
        <w:rPr>
          <w:rFonts w:cs="Times New Roman"/>
          <w:noProof/>
        </w:rPr>
      </w:pPr>
      <w:r>
        <w:rPr>
          <w:noProof/>
        </w:rPr>
        <w:t xml:space="preserve">Beruházás (C13.I3) Digitalizáció és innováció </w:t>
      </w:r>
    </w:p>
    <w:p w14:paraId="2E979525" w14:textId="77777777" w:rsidR="003E1D81" w:rsidRDefault="00EB481C">
      <w:pPr>
        <w:pStyle w:val="P68B1DB1-Text119"/>
        <w:ind w:left="0"/>
        <w:rPr>
          <w:rFonts w:cs="Times New Roman"/>
          <w:noProof/>
        </w:rPr>
      </w:pPr>
      <w:r>
        <w:rPr>
          <w:noProof/>
        </w:rPr>
        <w:t>E beruházás célja, hogy felvértezze a kkv-kat a digitális átálláshoz való hozzájáruláshoz és az abból eredő kihívások kezeléséhez szükséges készségekkel és eszközökkel. Ös</w:t>
      </w:r>
      <w:r>
        <w:rPr>
          <w:noProof/>
        </w:rPr>
        <w:t>szhangban van a 2025-ig tartó időszakra vonatkozó spanyolországi digitális menetrenddel, és a konnektivitásról szóló 15. elemben és a digitális készségekről szóló 19. komponensben foglalt intézkedések egészítik ki.</w:t>
      </w:r>
    </w:p>
    <w:p w14:paraId="084171E7" w14:textId="77777777" w:rsidR="003E1D81" w:rsidRDefault="00EB481C">
      <w:pPr>
        <w:pStyle w:val="P68B1DB1-Text119"/>
        <w:ind w:left="0"/>
        <w:rPr>
          <w:rFonts w:cs="Times New Roman"/>
          <w:noProof/>
        </w:rPr>
      </w:pPr>
      <w:r>
        <w:rPr>
          <w:noProof/>
        </w:rPr>
        <w:t>A beruházásnak a következő különböző inté</w:t>
      </w:r>
      <w:r>
        <w:rPr>
          <w:noProof/>
        </w:rPr>
        <w:t>zkedésekre kell összpontosítania:</w:t>
      </w:r>
    </w:p>
    <w:p w14:paraId="51BB6D01" w14:textId="6F6D0FDA" w:rsidR="003E1D81" w:rsidRDefault="00EB481C">
      <w:pPr>
        <w:pStyle w:val="P68B1DB1-Text119"/>
        <w:ind w:left="0"/>
        <w:rPr>
          <w:rFonts w:cs="Times New Roman"/>
          <w:noProof/>
        </w:rPr>
      </w:pPr>
      <w:r>
        <w:rPr>
          <w:noProof/>
          <w:u w:val="single"/>
        </w:rPr>
        <w:t>Digitális eszköztár:</w:t>
      </w:r>
      <w:r>
        <w:rPr>
          <w:noProof/>
        </w:rPr>
        <w:t xml:space="preserve"> Ez a fő intézkedés ezen intézkedés keretében, amely bármely gazdasági ágazatban ösztönzi a kis- és középvállalkozások (tíztől 250-ig terjedő alkalmazott), a mikrovállalkozások (egy-kilenc alkalmazott) </w:t>
      </w:r>
      <w:r>
        <w:rPr>
          <w:noProof/>
        </w:rPr>
        <w:t>és az önfoglalkoztatók digitalizációját, növelve digitális érettségi szintjüket. A program olyan vissza nem térítendő támogatásokon alapul, amelyek támogatják a digitális technológia integrációját az e-kereskedelem hatékony bevezetése, a közigazgatással és</w:t>
      </w:r>
      <w:r>
        <w:rPr>
          <w:noProof/>
        </w:rPr>
        <w:t xml:space="preserve"> az ügyfelekkel fenntartott kapcsolatok digitalizálása, a belső digitális folyamatok fejlesztése, valamint az e-számlázás és a digitális marketing bevezetése érdekében; különösen a szolgáltatásorientált megoldások előmozdítása. A program részben támogatja </w:t>
      </w:r>
      <w:r>
        <w:rPr>
          <w:noProof/>
        </w:rPr>
        <w:t>az olyan alapvető digitális megoldásokból álló csomagok elfogadásának költségeit, mint például az internetes jelenlét, az e-értékesítés, a felhőalapú iroda, a digitális munkahely, a digitalizáció alapvető folyamatai, az ügyfélkezelés, a digitális marketing</w:t>
      </w:r>
      <w:r>
        <w:rPr>
          <w:noProof/>
        </w:rPr>
        <w:t>, a kiberbiztonság. Minden DTK digitalizálási csomaghoz rögzített támogatási összeget kell rendelni, amelyet minden pályázati felhívásban a vállalkozás méretének és a tevékenységi ágazatnak megfelelően kell meghatározni.</w:t>
      </w:r>
    </w:p>
    <w:p w14:paraId="1E51A126" w14:textId="77777777" w:rsidR="003E1D81" w:rsidRDefault="00EB481C">
      <w:pPr>
        <w:pStyle w:val="P68B1DB1-Text119"/>
        <w:ind w:left="0"/>
        <w:rPr>
          <w:rFonts w:cs="Times New Roman"/>
          <w:noProof/>
        </w:rPr>
      </w:pPr>
      <w:r>
        <w:rPr>
          <w:noProof/>
          <w:u w:val="single"/>
        </w:rPr>
        <w:t>A „Változók szereplői” program</w:t>
      </w:r>
      <w:r>
        <w:rPr>
          <w:noProof/>
        </w:rPr>
        <w:t xml:space="preserve">: ez </w:t>
      </w:r>
      <w:r>
        <w:rPr>
          <w:noProof/>
        </w:rPr>
        <w:t>a program legalább 15000 kis- és középvállalkozást (tíz-249 alkalmazottat) támogat a digitális transzformációs folyamatokban.</w:t>
      </w:r>
    </w:p>
    <w:p w14:paraId="3C9FE3DB" w14:textId="77777777" w:rsidR="003E1D81" w:rsidRDefault="00EB481C">
      <w:pPr>
        <w:pStyle w:val="P68B1DB1-Text119"/>
        <w:ind w:left="0"/>
        <w:rPr>
          <w:rFonts w:cs="Times New Roman"/>
          <w:noProof/>
        </w:rPr>
      </w:pPr>
      <w:r>
        <w:rPr>
          <w:noProof/>
        </w:rPr>
        <w:t>„</w:t>
      </w:r>
      <w:r>
        <w:rPr>
          <w:noProof/>
          <w:u w:val="single"/>
        </w:rPr>
        <w:t>Kkv 2.0 akcelerátorok” program</w:t>
      </w:r>
      <w:r>
        <w:rPr>
          <w:noProof/>
        </w:rPr>
        <w:t>: e beruházás keretében ez egy olyan intézkedés, amely tanácsadási és képzési szolgáltatásokkal bőv</w:t>
      </w:r>
      <w:r>
        <w:rPr>
          <w:noProof/>
        </w:rPr>
        <w:t>íti a kkv-k digitalizációját támogató infrastruktúrát.</w:t>
      </w:r>
    </w:p>
    <w:p w14:paraId="5CF5131C" w14:textId="77777777" w:rsidR="003E1D81" w:rsidRDefault="00EB481C">
      <w:pPr>
        <w:pStyle w:val="P68B1DB1-Text119"/>
        <w:ind w:left="0"/>
        <w:rPr>
          <w:rFonts w:cs="Times New Roman"/>
          <w:noProof/>
        </w:rPr>
      </w:pPr>
      <w:r>
        <w:rPr>
          <w:noProof/>
        </w:rPr>
        <w:t>5) „</w:t>
      </w:r>
      <w:r>
        <w:rPr>
          <w:noProof/>
          <w:u w:val="single"/>
        </w:rPr>
        <w:t>Innovatív üzleti klasztertámogatás” program</w:t>
      </w:r>
      <w:r>
        <w:rPr>
          <w:noProof/>
        </w:rPr>
        <w:t>: ez az intézkedés támogatja a különböző ipari ágazatok értékláncának digitalizálására irányuló projekteket azzal a céllal, hogy korszerűsítsék azokat, és</w:t>
      </w:r>
      <w:r>
        <w:rPr>
          <w:noProof/>
        </w:rPr>
        <w:t xml:space="preserve"> bevonják a kkv-kat az értékláncba.</w:t>
      </w:r>
    </w:p>
    <w:p w14:paraId="40EB0F1C" w14:textId="77777777" w:rsidR="003E1D81" w:rsidRDefault="00EB481C">
      <w:pPr>
        <w:pStyle w:val="P68B1DB1-Text119"/>
        <w:ind w:left="0"/>
        <w:rPr>
          <w:rFonts w:cs="Times New Roman"/>
          <w:noProof/>
        </w:rPr>
      </w:pPr>
      <w:r>
        <w:rPr>
          <w:noProof/>
        </w:rPr>
        <w:t>„</w:t>
      </w:r>
      <w:r>
        <w:rPr>
          <w:noProof/>
          <w:u w:val="single"/>
        </w:rPr>
        <w:t>Digitális innovációs központok” (DIH) program</w:t>
      </w:r>
      <w:r>
        <w:rPr>
          <w:noProof/>
        </w:rPr>
        <w:t>: ez a program támogatja a digitális innovációs központok fejlesztését Spanyolországban. A digitális innovációs központok olyan struktúrák, amelyek segítik a vállalatokat a d</w:t>
      </w:r>
      <w:r>
        <w:rPr>
          <w:noProof/>
        </w:rPr>
        <w:t>igitális kihívásokra való reagálásban és abban, hogy a digitális technológiák intenzív használata révén javítsák üzleti és termelési folyamataikat. E 25. alintézkedés részeként támogatni kell a digitális innovációs központokat.</w:t>
      </w:r>
    </w:p>
    <w:p w14:paraId="14AF7B44" w14:textId="77777777" w:rsidR="003E1D81" w:rsidRDefault="00EB481C">
      <w:pPr>
        <w:pStyle w:val="Text1"/>
        <w:ind w:left="0"/>
        <w:rPr>
          <w:rFonts w:ascii="Times New Roman" w:hAnsi="Times New Roman" w:cs="Times New Roman"/>
          <w:noProof/>
          <w:highlight w:val="green"/>
        </w:rPr>
      </w:pPr>
      <w:r>
        <w:rPr>
          <w:rFonts w:ascii="Times New Roman" w:hAnsi="Times New Roman"/>
          <w:noProof/>
        </w:rPr>
        <w:t>Annak biztosítása érdekében,</w:t>
      </w:r>
      <w:r>
        <w:rPr>
          <w:rFonts w:ascii="Times New Roman" w:hAnsi="Times New Roman"/>
          <w:noProof/>
        </w:rPr>
        <w:t xml:space="preserve">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w:t>
      </w:r>
      <w:r>
        <w:rPr>
          <w:rFonts w:ascii="Times New Roman" w:hAnsi="Times New Roman"/>
          <w:noProof/>
        </w:rPr>
        <w:t>evékenységek alábbi listáját: a fosszilis tüzelőanyagokhoz kapcsolódó tevékenységek, beleértve a továbbfelhasználást is</w:t>
      </w:r>
      <w:r>
        <w:rPr>
          <w:rStyle w:val="FootnoteReference"/>
          <w:rFonts w:ascii="Times New Roman" w:hAnsi="Times New Roman" w:cs="Times New Roman"/>
          <w:noProof/>
        </w:rPr>
        <w:footnoteReference w:id="82"/>
      </w:r>
      <w:r>
        <w:rPr>
          <w:rFonts w:ascii="Times New Roman" w:hAnsi="Times New Roman"/>
          <w:noProof/>
        </w:rPr>
        <w:t>; az uniós kibocsátáskereskedelmi rendszer (ETS) keretében végzett tevékenységek, amelyek a vonatkozó referenciaértékeknél nem alacsonya</w:t>
      </w:r>
      <w:r>
        <w:rPr>
          <w:rFonts w:ascii="Times New Roman" w:hAnsi="Times New Roman"/>
          <w:noProof/>
        </w:rPr>
        <w:t>bb várható üvegházhatásúgáz-kibocsátást érnek el</w:t>
      </w:r>
      <w:r>
        <w:rPr>
          <w:rStyle w:val="FootnoteReference"/>
          <w:rFonts w:ascii="Times New Roman" w:hAnsi="Times New Roman" w:cs="Times New Roman"/>
          <w:noProof/>
        </w:rPr>
        <w:footnoteReference w:id="83"/>
      </w:r>
      <w:r>
        <w:rPr>
          <w:rFonts w:ascii="Times New Roman" w:hAnsi="Times New Roman"/>
          <w:noProof/>
        </w:rPr>
        <w:t>; hulladéklerakókkal, hulladékégetőkkel</w:t>
      </w:r>
      <w:r>
        <w:rPr>
          <w:rStyle w:val="FootnoteReference"/>
          <w:rFonts w:ascii="Times New Roman" w:hAnsi="Times New Roman" w:cs="Times New Roman"/>
          <w:noProof/>
        </w:rPr>
        <w:footnoteReference w:id="84"/>
      </w:r>
      <w:r>
        <w:rPr>
          <w:rFonts w:ascii="Times New Roman" w:hAnsi="Times New Roman"/>
          <w:noProof/>
        </w:rPr>
        <w:t xml:space="preserve"> és mechanikai-biológiai szennyvíztisztító telepekkel kapcsolatos tevékenységek</w:t>
      </w:r>
      <w:r>
        <w:rPr>
          <w:rStyle w:val="FootnoteReference"/>
          <w:rFonts w:ascii="Times New Roman" w:hAnsi="Times New Roman" w:cs="Times New Roman"/>
          <w:noProof/>
        </w:rPr>
        <w:footnoteReference w:id="85"/>
      </w:r>
      <w:r>
        <w:rPr>
          <w:rFonts w:ascii="Times New Roman" w:hAnsi="Times New Roman"/>
          <w:noProof/>
        </w:rPr>
        <w:t xml:space="preserve">; és iv. olyan tevékenységek, amelyek esetében a hulladék hosszú távú ártalmatlanítása </w:t>
      </w:r>
      <w:r>
        <w:rPr>
          <w:rFonts w:ascii="Times New Roman" w:hAnsi="Times New Roman"/>
          <w:noProof/>
        </w:rPr>
        <w:t>károsíthatja a környezetet. A feladatmeghatározás emellett előírja, hogy csak a vonatkozó uniós és nemzeti környezetvédelmi jogszabályoknak megfelelő tevékenységek választhatók ki.</w:t>
      </w:r>
    </w:p>
    <w:p w14:paraId="2B18AE3B" w14:textId="677E1B25" w:rsidR="003E1D81" w:rsidRDefault="00EB481C">
      <w:pPr>
        <w:pStyle w:val="P68B1DB1-Normal4"/>
        <w:spacing w:line="240" w:lineRule="auto"/>
        <w:jc w:val="both"/>
        <w:rPr>
          <w:rFonts w:cs="Times New Roman"/>
          <w:noProof/>
        </w:rPr>
      </w:pPr>
      <w:r>
        <w:rPr>
          <w:noProof/>
        </w:rPr>
        <w:t>A beruházás végrehajtását 2026. június 30-ig be kell fejezni.</w:t>
      </w:r>
    </w:p>
    <w:p w14:paraId="6CE0CEB2" w14:textId="77777777" w:rsidR="003E1D81" w:rsidRDefault="00EB481C">
      <w:pPr>
        <w:pStyle w:val="P68B1DB1-Text120"/>
        <w:ind w:left="0"/>
        <w:rPr>
          <w:rFonts w:cs="Times New Roman"/>
          <w:noProof/>
        </w:rPr>
      </w:pPr>
      <w:r>
        <w:rPr>
          <w:noProof/>
        </w:rPr>
        <w:t>Beruházás (C1</w:t>
      </w:r>
      <w:r>
        <w:rPr>
          <w:noProof/>
        </w:rPr>
        <w:t xml:space="preserve">3.I4) A kereskedelem támogatása </w:t>
      </w:r>
    </w:p>
    <w:p w14:paraId="07666486" w14:textId="77777777" w:rsidR="003E1D81" w:rsidRDefault="00EB481C">
      <w:pPr>
        <w:pStyle w:val="P68B1DB1-Text119"/>
        <w:ind w:left="0"/>
        <w:rPr>
          <w:rFonts w:cs="Times New Roman"/>
          <w:noProof/>
        </w:rPr>
      </w:pPr>
      <w:r>
        <w:rPr>
          <w:noProof/>
        </w:rPr>
        <w:t xml:space="preserve">Az intézkedés célja, hogy segítse a kisvállalkozásokat a kereskedelmi ágazat digitalizációjához és a megváltozott fogyasztói magatartáshoz való alkalmazkodásban. </w:t>
      </w:r>
    </w:p>
    <w:p w14:paraId="7E2B24D8" w14:textId="77777777" w:rsidR="003E1D81" w:rsidRDefault="00EB481C">
      <w:pPr>
        <w:pStyle w:val="P68B1DB1-Text119"/>
        <w:ind w:left="0"/>
        <w:rPr>
          <w:rFonts w:cs="Times New Roman"/>
          <w:noProof/>
        </w:rPr>
      </w:pPr>
      <w:r>
        <w:rPr>
          <w:noProof/>
        </w:rPr>
        <w:t>A beruházásnak két fő cselekvési irányvonalat kell követnie.</w:t>
      </w:r>
    </w:p>
    <w:p w14:paraId="58316D33" w14:textId="77777777" w:rsidR="003E1D81" w:rsidRDefault="00EB481C">
      <w:pPr>
        <w:pStyle w:val="P68B1DB1-Text119"/>
        <w:numPr>
          <w:ilvl w:val="0"/>
          <w:numId w:val="179"/>
        </w:numPr>
        <w:rPr>
          <w:rFonts w:cs="Times New Roman"/>
          <w:noProof/>
        </w:rPr>
      </w:pPr>
      <w:r>
        <w:rPr>
          <w:noProof/>
        </w:rPr>
        <w:t>A kiskereskedelmi ágazat projektjei, amelyek célja olyan új technológiák beépítése, amelyek lehetővé teszik a helyi kereskedelem számára, hogy az új fogyasztási szokásokra reagáljon, a Technológiai Alap keretében (200 projekt). Az alap keretében támogatha</w:t>
      </w:r>
      <w:r>
        <w:rPr>
          <w:noProof/>
        </w:rPr>
        <w:t>tó projektek közé tartoznak a következők:</w:t>
      </w:r>
    </w:p>
    <w:p w14:paraId="7B372BBE" w14:textId="77777777" w:rsidR="003E1D81" w:rsidRDefault="00EB481C">
      <w:pPr>
        <w:pStyle w:val="P68B1DB1-Text119"/>
        <w:numPr>
          <w:ilvl w:val="1"/>
          <w:numId w:val="179"/>
        </w:numPr>
        <w:rPr>
          <w:rFonts w:cs="Times New Roman"/>
          <w:noProof/>
        </w:rPr>
      </w:pPr>
      <w:r>
        <w:rPr>
          <w:noProof/>
        </w:rPr>
        <w:t>Az online kereskedelmi és kommunikációs stratégia, üzleti modellek vagy vásárlási élmény javítását célzó új technológiákkal kapcsolatos projektek;</w:t>
      </w:r>
    </w:p>
    <w:p w14:paraId="0E961FA6" w14:textId="77777777" w:rsidR="003E1D81" w:rsidRDefault="00EB481C">
      <w:pPr>
        <w:pStyle w:val="P68B1DB1-Text119"/>
        <w:numPr>
          <w:ilvl w:val="1"/>
          <w:numId w:val="179"/>
        </w:numPr>
        <w:rPr>
          <w:rFonts w:cs="Times New Roman"/>
          <w:noProof/>
        </w:rPr>
      </w:pPr>
      <w:r>
        <w:rPr>
          <w:noProof/>
        </w:rPr>
        <w:t>A fizikai vásárlási élménynek az új fogyasztói igényekhez és szokás</w:t>
      </w:r>
      <w:r>
        <w:rPr>
          <w:noProof/>
        </w:rPr>
        <w:t>okhoz, valamint az új irányítási modellekhez való hozzáigazítására irányuló új technológiákra irányuló projektek;</w:t>
      </w:r>
    </w:p>
    <w:p w14:paraId="3048CE17" w14:textId="77777777" w:rsidR="003E1D81" w:rsidRDefault="00EB481C">
      <w:pPr>
        <w:pStyle w:val="P68B1DB1-Text119"/>
        <w:numPr>
          <w:ilvl w:val="1"/>
          <w:numId w:val="179"/>
        </w:numPr>
        <w:rPr>
          <w:rFonts w:cs="Times New Roman"/>
          <w:noProof/>
        </w:rPr>
      </w:pPr>
      <w:r>
        <w:rPr>
          <w:noProof/>
        </w:rPr>
        <w:t>Az utolsó kilométeres logisztika hatékonyságának és fenntarthatóságának javítását célzó technológiai megoldásokkal kapcsolatos projektek;</w:t>
      </w:r>
    </w:p>
    <w:p w14:paraId="74171754" w14:textId="77777777" w:rsidR="003E1D81" w:rsidRDefault="00EB481C">
      <w:pPr>
        <w:pStyle w:val="P68B1DB1-Text119"/>
        <w:numPr>
          <w:ilvl w:val="1"/>
          <w:numId w:val="179"/>
        </w:numPr>
        <w:rPr>
          <w:rFonts w:cs="Times New Roman"/>
          <w:noProof/>
        </w:rPr>
      </w:pPr>
      <w:r>
        <w:rPr>
          <w:noProof/>
        </w:rPr>
        <w:t>Az e</w:t>
      </w:r>
      <w:r>
        <w:rPr>
          <w:noProof/>
        </w:rPr>
        <w:t xml:space="preserve">nergia- és erőforrás-hatékonyság javítását célzó technológiai megoldások végrehajtására irányuló projektek. </w:t>
      </w:r>
    </w:p>
    <w:p w14:paraId="34E6DC97" w14:textId="77777777" w:rsidR="003E1D81" w:rsidRDefault="00EB481C">
      <w:pPr>
        <w:pStyle w:val="P68B1DB1-Text119"/>
        <w:ind w:left="0"/>
        <w:rPr>
          <w:rFonts w:cs="Times New Roman"/>
          <w:noProof/>
        </w:rPr>
      </w:pPr>
      <w:r>
        <w:rPr>
          <w:noProof/>
        </w:rPr>
        <w:t>A beruházást egy digitális platform (</w:t>
      </w:r>
      <w:r>
        <w:rPr>
          <w:i/>
          <w:noProof/>
        </w:rPr>
        <w:t>Plataforma Comercio Conectado)</w:t>
      </w:r>
      <w:r>
        <w:rPr>
          <w:noProof/>
        </w:rPr>
        <w:t>létrehozásával kell kiegészíteni az ágazat digitalizációjának előmozdítása érdek</w:t>
      </w:r>
      <w:r>
        <w:rPr>
          <w:noProof/>
        </w:rPr>
        <w:t xml:space="preserve">ében. </w:t>
      </w:r>
    </w:p>
    <w:p w14:paraId="17A95610" w14:textId="77777777" w:rsidR="003E1D81" w:rsidRDefault="00EB481C">
      <w:pPr>
        <w:pStyle w:val="P68B1DB1-Text119"/>
        <w:numPr>
          <w:ilvl w:val="0"/>
          <w:numId w:val="179"/>
        </w:numPr>
        <w:rPr>
          <w:rFonts w:cs="Times New Roman"/>
          <w:noProof/>
        </w:rPr>
      </w:pPr>
      <w:r>
        <w:rPr>
          <w:noProof/>
        </w:rPr>
        <w:t>A helyi hatóságok által benyújtott projektek a „Fenntartható piacok” program keretében az önkormányzati piacok, a kereskedelmi területek, a nem helyhez kötött értékesítési piacok és a rövid értékesítési csatornák korszerűsítésének javítására (130 pr</w:t>
      </w:r>
      <w:r>
        <w:rPr>
          <w:noProof/>
        </w:rPr>
        <w:t xml:space="preserve">ojekt). Az e program keretében támogatható projektek a következőket foglalják magukban: </w:t>
      </w:r>
    </w:p>
    <w:p w14:paraId="5657690C" w14:textId="77777777" w:rsidR="003E1D81" w:rsidRDefault="00EB481C">
      <w:pPr>
        <w:pStyle w:val="P68B1DB1-Text119"/>
        <w:numPr>
          <w:ilvl w:val="1"/>
          <w:numId w:val="179"/>
        </w:numPr>
        <w:rPr>
          <w:rFonts w:cs="Times New Roman"/>
          <w:noProof/>
        </w:rPr>
      </w:pPr>
      <w:r>
        <w:rPr>
          <w:noProof/>
        </w:rPr>
        <w:t>Nagy adathalmazokon vagy más technológiákon alapuló ügyfélmegfigyelési eszközök bevezetésére irányuló projektek;</w:t>
      </w:r>
    </w:p>
    <w:p w14:paraId="7265C4E7" w14:textId="77777777" w:rsidR="003E1D81" w:rsidRDefault="00EB481C">
      <w:pPr>
        <w:pStyle w:val="P68B1DB1-Text119"/>
        <w:numPr>
          <w:ilvl w:val="1"/>
          <w:numId w:val="179"/>
        </w:numPr>
        <w:rPr>
          <w:rFonts w:cs="Times New Roman"/>
          <w:noProof/>
        </w:rPr>
      </w:pPr>
      <w:r>
        <w:rPr>
          <w:noProof/>
        </w:rPr>
        <w:t xml:space="preserve">A piacok digitális átalakításával kapcsolatos </w:t>
      </w:r>
      <w:r>
        <w:rPr>
          <w:noProof/>
        </w:rPr>
        <w:t>projektek, amelyek javítják a teljes csatorna piacterét és a vásárlási élményt;</w:t>
      </w:r>
    </w:p>
    <w:p w14:paraId="453FC010" w14:textId="77777777" w:rsidR="003E1D81" w:rsidRDefault="00EB481C">
      <w:pPr>
        <w:pStyle w:val="P68B1DB1-Text119"/>
        <w:numPr>
          <w:ilvl w:val="1"/>
          <w:numId w:val="179"/>
        </w:numPr>
        <w:rPr>
          <w:rFonts w:cs="Times New Roman"/>
          <w:noProof/>
        </w:rPr>
      </w:pPr>
      <w:r>
        <w:rPr>
          <w:noProof/>
        </w:rPr>
        <w:t>Az utcai kereskedelem és a rövid értékesítési csatornák digitális átalakítását célzó projektek;</w:t>
      </w:r>
    </w:p>
    <w:p w14:paraId="39B80040" w14:textId="77777777" w:rsidR="003E1D81" w:rsidRDefault="00EB481C">
      <w:pPr>
        <w:pStyle w:val="P68B1DB1-Text119"/>
        <w:numPr>
          <w:ilvl w:val="1"/>
          <w:numId w:val="179"/>
        </w:numPr>
        <w:rPr>
          <w:rFonts w:cs="Times New Roman"/>
          <w:noProof/>
        </w:rPr>
      </w:pPr>
      <w:r>
        <w:rPr>
          <w:noProof/>
        </w:rPr>
        <w:t>Építési és felújítási projektek a létesítmények, azok hozzáférhetősége, felszere</w:t>
      </w:r>
      <w:r>
        <w:rPr>
          <w:noProof/>
        </w:rPr>
        <w:t>lése és az önkormányzati piacok, a kereskedelmi területek és a nem helyhez kötött piacok, valamint a velük szomszédos területek megfelelőségének javítása érdekében;</w:t>
      </w:r>
    </w:p>
    <w:p w14:paraId="62EE7A4E" w14:textId="77777777" w:rsidR="003E1D81" w:rsidRDefault="00EB481C">
      <w:pPr>
        <w:pStyle w:val="P68B1DB1-Text119"/>
        <w:numPr>
          <w:ilvl w:val="1"/>
          <w:numId w:val="179"/>
        </w:numPr>
        <w:rPr>
          <w:rFonts w:cs="Times New Roman"/>
          <w:noProof/>
        </w:rPr>
      </w:pPr>
      <w:r>
        <w:rPr>
          <w:noProof/>
        </w:rPr>
        <w:t xml:space="preserve">Az inputok kereskedelmi célú fogyasztásának csökkentésére és környezetbarát alternatívák </w:t>
      </w:r>
      <w:r>
        <w:rPr>
          <w:noProof/>
        </w:rPr>
        <w:t>helyettesítésére irányuló projektek;</w:t>
      </w:r>
    </w:p>
    <w:p w14:paraId="71D6E11E" w14:textId="77777777" w:rsidR="003E1D81" w:rsidRDefault="00EB481C">
      <w:pPr>
        <w:pStyle w:val="P68B1DB1-Text119"/>
        <w:numPr>
          <w:ilvl w:val="1"/>
          <w:numId w:val="179"/>
        </w:numPr>
        <w:rPr>
          <w:rFonts w:cs="Times New Roman"/>
          <w:noProof/>
        </w:rPr>
      </w:pPr>
      <w:r>
        <w:rPr>
          <w:noProof/>
        </w:rPr>
        <w:t>Intelligens teljesítési pontok létesítése;</w:t>
      </w:r>
    </w:p>
    <w:p w14:paraId="5B87337C" w14:textId="77777777" w:rsidR="003E1D81" w:rsidRDefault="00EB481C">
      <w:pPr>
        <w:pStyle w:val="P68B1DB1-Text119"/>
        <w:numPr>
          <w:ilvl w:val="1"/>
          <w:numId w:val="179"/>
        </w:numPr>
        <w:rPr>
          <w:rFonts w:cs="Times New Roman"/>
          <w:noProof/>
        </w:rPr>
      </w:pPr>
      <w:r>
        <w:rPr>
          <w:noProof/>
        </w:rPr>
        <w:t>Az energiahatékonyság javítását célzó projektek;</w:t>
      </w:r>
    </w:p>
    <w:p w14:paraId="6CCEF1FD" w14:textId="77777777" w:rsidR="003E1D81" w:rsidRDefault="00EB481C">
      <w:pPr>
        <w:pStyle w:val="P68B1DB1-Text119"/>
        <w:numPr>
          <w:ilvl w:val="1"/>
          <w:numId w:val="179"/>
        </w:numPr>
        <w:rPr>
          <w:rFonts w:cs="Times New Roman"/>
          <w:noProof/>
        </w:rPr>
      </w:pPr>
      <w:r>
        <w:rPr>
          <w:noProof/>
        </w:rPr>
        <w:t>A hulladék újrafeldolgozását vagy újrafelhasználását előmozdító intézkedések;</w:t>
      </w:r>
    </w:p>
    <w:p w14:paraId="5A265DDC" w14:textId="77777777" w:rsidR="003E1D81" w:rsidRDefault="00EB481C">
      <w:pPr>
        <w:pStyle w:val="P68B1DB1-Text119"/>
        <w:numPr>
          <w:ilvl w:val="1"/>
          <w:numId w:val="179"/>
        </w:numPr>
        <w:rPr>
          <w:rFonts w:cs="Times New Roman"/>
          <w:noProof/>
        </w:rPr>
      </w:pPr>
      <w:r>
        <w:rPr>
          <w:noProof/>
        </w:rPr>
        <w:t>A technológiai készségekkel kapcsolatos figyelemf</w:t>
      </w:r>
      <w:r>
        <w:rPr>
          <w:noProof/>
        </w:rPr>
        <w:t>elkeltés és képzés.</w:t>
      </w:r>
    </w:p>
    <w:p w14:paraId="0CEBB0F1" w14:textId="77777777" w:rsidR="003E1D81" w:rsidRDefault="00EB481C">
      <w:pPr>
        <w:pStyle w:val="Text1"/>
        <w:ind w:left="0"/>
        <w:rPr>
          <w:rFonts w:ascii="Times New Roman" w:hAnsi="Times New Roman" w:cs="Times New Roman"/>
          <w:noProof/>
          <w:highlight w:val="green"/>
        </w:rPr>
      </w:pPr>
      <w:r>
        <w:rPr>
          <w:rFonts w:ascii="Times New Roman" w:hAnsi="Times New Roman"/>
          <w:noProof/>
        </w:rPr>
        <w:t xml:space="preserve">Annak biztosítása érdekében, hogy az intézkedés megfeleljen a jelentős károkozás elkerülését célzó elvről szóló technikai iránymutatásnak (2021/C58/01), a soron következő pályázati felhívásokra vonatkozó feladatmeghatározásban szereplő </w:t>
      </w:r>
      <w:r>
        <w:rPr>
          <w:rFonts w:ascii="Times New Roman" w:hAnsi="Times New Roman"/>
          <w:noProof/>
        </w:rPr>
        <w:t>támogathatósági kritériumok nem tartalmazzák a tevékenységek alábbi listáját: a fosszilis tüzelőanyagokhoz kapcsolódó tevékenységek, beleértve a továbbfelhasználást is</w:t>
      </w:r>
      <w:r>
        <w:rPr>
          <w:rStyle w:val="FootnoteReference"/>
          <w:rFonts w:ascii="Times New Roman" w:hAnsi="Times New Roman" w:cs="Times New Roman"/>
          <w:noProof/>
        </w:rPr>
        <w:footnoteReference w:id="86"/>
      </w:r>
      <w:r>
        <w:rPr>
          <w:rFonts w:ascii="Times New Roman" w:hAnsi="Times New Roman"/>
          <w:noProof/>
        </w:rPr>
        <w:t>; az uniós kibocsátáskereskedelmi rendszer (ETS) keretében végzett tevékenységek, amelye</w:t>
      </w:r>
      <w:r>
        <w:rPr>
          <w:rFonts w:ascii="Times New Roman" w:hAnsi="Times New Roman"/>
          <w:noProof/>
        </w:rPr>
        <w:t>k a vonatkozó referenciaértékeknél nem alacsonyabb várható üvegházhatásúgáz-kibocsátást érnek el</w:t>
      </w:r>
      <w:r>
        <w:rPr>
          <w:rStyle w:val="FootnoteReference"/>
          <w:rFonts w:ascii="Times New Roman" w:hAnsi="Times New Roman" w:cs="Times New Roman"/>
          <w:noProof/>
        </w:rPr>
        <w:footnoteReference w:id="87"/>
      </w:r>
      <w:r>
        <w:rPr>
          <w:rFonts w:ascii="Times New Roman" w:hAnsi="Times New Roman"/>
          <w:noProof/>
        </w:rPr>
        <w:t>; hulladéklerakókkal, hulladékégetőkkel</w:t>
      </w:r>
      <w:r>
        <w:rPr>
          <w:rStyle w:val="FootnoteReference"/>
          <w:rFonts w:ascii="Times New Roman" w:hAnsi="Times New Roman" w:cs="Times New Roman"/>
          <w:noProof/>
        </w:rPr>
        <w:footnoteReference w:id="88"/>
      </w:r>
      <w:r>
        <w:rPr>
          <w:rFonts w:ascii="Times New Roman" w:hAnsi="Times New Roman"/>
          <w:noProof/>
        </w:rPr>
        <w:t xml:space="preserve"> és mechanikai-biológiai szennyvíztisztító telepekkel kapcsolatos tevékenységek</w:t>
      </w:r>
      <w:r>
        <w:rPr>
          <w:rStyle w:val="FootnoteReference"/>
          <w:rFonts w:ascii="Times New Roman" w:hAnsi="Times New Roman" w:cs="Times New Roman"/>
          <w:noProof/>
        </w:rPr>
        <w:footnoteReference w:id="89"/>
      </w:r>
      <w:r>
        <w:rPr>
          <w:rFonts w:ascii="Times New Roman" w:hAnsi="Times New Roman"/>
          <w:noProof/>
        </w:rPr>
        <w:t>; és iv. olyan tevékenységek, amelyek e</w:t>
      </w:r>
      <w:r>
        <w:rPr>
          <w:rFonts w:ascii="Times New Roman" w:hAnsi="Times New Roman"/>
          <w:noProof/>
        </w:rPr>
        <w:t>setében a hulladék hosszú távú ártalmatlanítása károsíthatja a környezetet. A feladatmeghatározás emellett előírja, hogy csak a vonatkozó uniós és nemzeti környezetvédelmi jogszabályoknak megfelelő tevékenységek választhatók ki.</w:t>
      </w:r>
    </w:p>
    <w:p w14:paraId="48EFD63B" w14:textId="77777777" w:rsidR="003E1D81" w:rsidRDefault="00EB481C">
      <w:pPr>
        <w:pStyle w:val="P68B1DB1-Normal4"/>
        <w:spacing w:line="240" w:lineRule="auto"/>
        <w:jc w:val="both"/>
        <w:rPr>
          <w:rFonts w:cs="Times New Roman"/>
          <w:noProof/>
        </w:rPr>
      </w:pPr>
      <w:r>
        <w:rPr>
          <w:noProof/>
        </w:rPr>
        <w:t>A beruházás végrehajtását 2</w:t>
      </w:r>
      <w:r>
        <w:rPr>
          <w:noProof/>
        </w:rPr>
        <w:t>024. december 31-ig be kell fejezni.</w:t>
      </w:r>
    </w:p>
    <w:p w14:paraId="33FA769E" w14:textId="77777777" w:rsidR="003E1D81" w:rsidRDefault="00EB481C">
      <w:pPr>
        <w:pStyle w:val="P68B1DB1-Text120"/>
        <w:ind w:left="0"/>
        <w:rPr>
          <w:rFonts w:cs="Times New Roman"/>
          <w:noProof/>
        </w:rPr>
      </w:pPr>
      <w:r>
        <w:rPr>
          <w:noProof/>
        </w:rPr>
        <w:t xml:space="preserve">Beruházás (C13.I5) Nemzetköziesítés </w:t>
      </w:r>
    </w:p>
    <w:p w14:paraId="2AA5556E" w14:textId="77777777" w:rsidR="003E1D81" w:rsidRDefault="00EB481C">
      <w:pPr>
        <w:pStyle w:val="P68B1DB1-Text119"/>
        <w:ind w:left="0"/>
        <w:rPr>
          <w:rFonts w:cs="Times New Roman"/>
          <w:noProof/>
        </w:rPr>
      </w:pPr>
      <w:r>
        <w:rPr>
          <w:noProof/>
        </w:rPr>
        <w:t>Az intézkedés célja a spanyol exporttámogatási, nemzetköziesítési és külföldi beruházási rendszer kapacitásainak és eszközeinek megerősítése.</w:t>
      </w:r>
    </w:p>
    <w:p w14:paraId="23CB221F" w14:textId="77777777" w:rsidR="003E1D81" w:rsidRDefault="00EB481C">
      <w:pPr>
        <w:pStyle w:val="P68B1DB1-Text119"/>
        <w:ind w:left="0"/>
        <w:rPr>
          <w:rFonts w:cs="Times New Roman"/>
          <w:noProof/>
        </w:rPr>
      </w:pPr>
      <w:r>
        <w:rPr>
          <w:noProof/>
        </w:rPr>
        <w:t>A beruházás 11 intézkedésből áll, az alá</w:t>
      </w:r>
      <w:r>
        <w:rPr>
          <w:noProof/>
        </w:rPr>
        <w:t>bbiak szerint:</w:t>
      </w:r>
    </w:p>
    <w:p w14:paraId="42E8CBD7" w14:textId="77777777" w:rsidR="003E1D81" w:rsidRDefault="00EB481C">
      <w:pPr>
        <w:pStyle w:val="P68B1DB1-Text119"/>
        <w:numPr>
          <w:ilvl w:val="0"/>
          <w:numId w:val="180"/>
        </w:numPr>
        <w:rPr>
          <w:rFonts w:cs="Times New Roman"/>
          <w:noProof/>
        </w:rPr>
      </w:pPr>
      <w:r>
        <w:rPr>
          <w:noProof/>
        </w:rPr>
        <w:t>A megvalósíthatóságra, a megvalósíthatóságra, az előzetes megvalósíthatóságra, valamint az ágazati és intézményi modernizációs tanulmányokra vonatkozó finanszírozási sor;</w:t>
      </w:r>
    </w:p>
    <w:p w14:paraId="77E0C301" w14:textId="77777777" w:rsidR="003E1D81" w:rsidRDefault="00EB481C">
      <w:pPr>
        <w:pStyle w:val="P68B1DB1-Text119"/>
        <w:numPr>
          <w:ilvl w:val="0"/>
          <w:numId w:val="180"/>
        </w:numPr>
        <w:rPr>
          <w:rFonts w:cs="Times New Roman"/>
          <w:noProof/>
        </w:rPr>
      </w:pPr>
      <w:r>
        <w:rPr>
          <w:noProof/>
        </w:rPr>
        <w:t>Az INNOVA Invest program a K+F-be történő külföldi befektetések támoga</w:t>
      </w:r>
      <w:r>
        <w:rPr>
          <w:noProof/>
        </w:rPr>
        <w:t>tására;</w:t>
      </w:r>
    </w:p>
    <w:p w14:paraId="04A5FDA5" w14:textId="77777777" w:rsidR="003E1D81" w:rsidRDefault="00EB481C">
      <w:pPr>
        <w:pStyle w:val="P68B1DB1-Text119"/>
        <w:numPr>
          <w:ilvl w:val="0"/>
          <w:numId w:val="180"/>
        </w:numPr>
        <w:rPr>
          <w:rFonts w:cs="Times New Roman"/>
          <w:noProof/>
        </w:rPr>
      </w:pPr>
      <w:r>
        <w:rPr>
          <w:noProof/>
        </w:rPr>
        <w:t>A VIVES program, amely pénzügyi támogatást nyújt az exporttevékenységekben részt vevő vállalatoknál gyakornokok felvételéhez;</w:t>
      </w:r>
    </w:p>
    <w:p w14:paraId="6F005537" w14:textId="77777777" w:rsidR="003E1D81" w:rsidRDefault="00EB481C">
      <w:pPr>
        <w:pStyle w:val="P68B1DB1-Text119"/>
        <w:numPr>
          <w:ilvl w:val="0"/>
          <w:numId w:val="180"/>
        </w:numPr>
        <w:rPr>
          <w:rFonts w:cs="Times New Roman"/>
          <w:noProof/>
        </w:rPr>
      </w:pPr>
      <w:r>
        <w:rPr>
          <w:noProof/>
        </w:rPr>
        <w:t>A nemzetközi mentorálási képzési program;</w:t>
      </w:r>
    </w:p>
    <w:p w14:paraId="7AD21A9C" w14:textId="77777777" w:rsidR="003E1D81" w:rsidRDefault="00EB481C">
      <w:pPr>
        <w:pStyle w:val="P68B1DB1-Text119"/>
        <w:numPr>
          <w:ilvl w:val="0"/>
          <w:numId w:val="180"/>
        </w:numPr>
        <w:rPr>
          <w:rFonts w:cs="Times New Roman"/>
          <w:noProof/>
        </w:rPr>
      </w:pPr>
      <w:r>
        <w:rPr>
          <w:noProof/>
        </w:rPr>
        <w:t>Az exportszövetségek, az exportszövetségek, a spanyol kereskedelmi kamarák és sz</w:t>
      </w:r>
      <w:r>
        <w:rPr>
          <w:noProof/>
        </w:rPr>
        <w:t>övetségeik kommunikációs rendszereinek, telematikai szolgáltatásainak és digitalizálásának megerősítésére irányuló program;</w:t>
      </w:r>
    </w:p>
    <w:p w14:paraId="6953C7C8" w14:textId="77777777" w:rsidR="003E1D81" w:rsidRDefault="00EB481C">
      <w:pPr>
        <w:pStyle w:val="P68B1DB1-Text119"/>
        <w:numPr>
          <w:ilvl w:val="0"/>
          <w:numId w:val="180"/>
        </w:numPr>
        <w:rPr>
          <w:rFonts w:cs="Times New Roman"/>
          <w:noProof/>
        </w:rPr>
      </w:pPr>
      <w:r>
        <w:rPr>
          <w:noProof/>
        </w:rPr>
        <w:t>Az exportalap-bővítési program, amely személyre szabott tanácsadást biztosít a vállalkozások és különösen a kkv-k nemzetközivé válás</w:t>
      </w:r>
      <w:r>
        <w:rPr>
          <w:noProof/>
        </w:rPr>
        <w:t>a számára;</w:t>
      </w:r>
    </w:p>
    <w:p w14:paraId="4E244043" w14:textId="77777777" w:rsidR="003E1D81" w:rsidRDefault="00EB481C">
      <w:pPr>
        <w:pStyle w:val="P68B1DB1-Text119"/>
        <w:numPr>
          <w:ilvl w:val="0"/>
          <w:numId w:val="180"/>
        </w:numPr>
        <w:rPr>
          <w:rFonts w:cs="Times New Roman"/>
          <w:noProof/>
        </w:rPr>
      </w:pPr>
      <w:r>
        <w:rPr>
          <w:noProof/>
        </w:rPr>
        <w:t>A spanyol gyorsan növekvő vállalkozások ökoszisztémájának megerősítésére irányuló program;</w:t>
      </w:r>
    </w:p>
    <w:p w14:paraId="5FC226CD" w14:textId="77777777" w:rsidR="003E1D81" w:rsidRDefault="00EB481C">
      <w:pPr>
        <w:pStyle w:val="P68B1DB1-Text119"/>
        <w:numPr>
          <w:ilvl w:val="0"/>
          <w:numId w:val="180"/>
        </w:numPr>
        <w:rPr>
          <w:rFonts w:cs="Times New Roman"/>
          <w:noProof/>
        </w:rPr>
      </w:pPr>
      <w:r>
        <w:rPr>
          <w:noProof/>
        </w:rPr>
        <w:t>A piacok megnyitásához és konszolidációjához nyújtott támogatás a harmadik országok hatóságainak vizsgálataival és ellenőrzésével kapcsolatos kiadások, va</w:t>
      </w:r>
      <w:r>
        <w:rPr>
          <w:noProof/>
        </w:rPr>
        <w:t>lamint a piacvédelmi jogi és tanácsadási kiadások támogatása révén;</w:t>
      </w:r>
    </w:p>
    <w:p w14:paraId="365765DB" w14:textId="77777777" w:rsidR="003E1D81" w:rsidRDefault="00EB481C">
      <w:pPr>
        <w:pStyle w:val="P68B1DB1-ListParagraph7"/>
        <w:numPr>
          <w:ilvl w:val="0"/>
          <w:numId w:val="180"/>
        </w:numPr>
        <w:rPr>
          <w:rFonts w:cs="Times New Roman"/>
          <w:noProof/>
        </w:rPr>
      </w:pPr>
      <w:r>
        <w:rPr>
          <w:noProof/>
        </w:rPr>
        <w:t>A COFIDES (állami tulajdonban lévő pénzügyi intézmény, amely közép- és hosszú távú finanszírozást nyújt vállalkozások nemzetköziesítési beruházási projektjeinek támogatásához) pénzügyi ösz</w:t>
      </w:r>
      <w:r>
        <w:rPr>
          <w:noProof/>
        </w:rPr>
        <w:t>tönző programja a hatásberuházások előmozdítása érdekében. Fő célja, hogy pénzügyi megtérülés mellett mérhető, társadalmi és/vagy környezeti hatást gyakoroljon;</w:t>
      </w:r>
    </w:p>
    <w:p w14:paraId="51EB652A" w14:textId="77777777" w:rsidR="003E1D81" w:rsidRDefault="00EB481C">
      <w:pPr>
        <w:pStyle w:val="P68B1DB1-Text119"/>
        <w:numPr>
          <w:ilvl w:val="0"/>
          <w:numId w:val="180"/>
        </w:numPr>
        <w:rPr>
          <w:rFonts w:cs="Times New Roman"/>
          <w:noProof/>
        </w:rPr>
      </w:pPr>
      <w:r>
        <w:rPr>
          <w:noProof/>
        </w:rPr>
        <w:t>A kormányzati szolgáltatások digitalizációjának fellendítése a nemzetközivé válás támogatása ér</w:t>
      </w:r>
      <w:r>
        <w:rPr>
          <w:noProof/>
        </w:rPr>
        <w:t>dekében;</w:t>
      </w:r>
    </w:p>
    <w:p w14:paraId="4E94D798" w14:textId="77777777" w:rsidR="003E1D81" w:rsidRDefault="00EB481C">
      <w:pPr>
        <w:pStyle w:val="P68B1DB1-Text119"/>
        <w:numPr>
          <w:ilvl w:val="0"/>
          <w:numId w:val="180"/>
        </w:numPr>
        <w:rPr>
          <w:rFonts w:cs="Times New Roman"/>
          <w:noProof/>
        </w:rPr>
      </w:pPr>
      <w:r>
        <w:rPr>
          <w:noProof/>
        </w:rPr>
        <w:t>Az ICEX (a spanyol vállalkozások nemzetközivé válását előmozdító nemzeti közvállalkozás) digitalizálása.</w:t>
      </w:r>
    </w:p>
    <w:p w14:paraId="3F1FCC2B" w14:textId="77777777" w:rsidR="003E1D81" w:rsidRDefault="00EB481C">
      <w:pPr>
        <w:pStyle w:val="Text1"/>
        <w:ind w:left="0"/>
        <w:rPr>
          <w:rFonts w:ascii="Times New Roman" w:hAnsi="Times New Roman" w:cs="Times New Roman"/>
          <w:noProof/>
          <w:highlight w:val="green"/>
        </w:rPr>
      </w:pPr>
      <w:r>
        <w:rPr>
          <w:rFonts w:ascii="Times New Roman" w:hAnsi="Times New Roman"/>
          <w:noProof/>
        </w:rPr>
        <w:t>Annak biztosítása érdekében, hogy az intézkedés megfeleljen a jelentős károkozás elkerülését célzó elvről szóló technikai iránymutatásnak (202</w:t>
      </w:r>
      <w:r>
        <w:rPr>
          <w:rFonts w:ascii="Times New Roman" w:hAnsi="Times New Roman"/>
          <w:noProof/>
        </w:rPr>
        <w:t>1/C58/01), a soron következő pályázati felhívásokra vonatkozó feladatmeghatározásban szereplő támogathatósági kritériumok nem tartalmazzák a tevékenységek alábbi listáját: a fosszilis tüzelőanyagokhoz kapcsolódó tevékenységek, beleértve a továbbfelhasználá</w:t>
      </w:r>
      <w:r>
        <w:rPr>
          <w:rFonts w:ascii="Times New Roman" w:hAnsi="Times New Roman"/>
          <w:noProof/>
        </w:rPr>
        <w:t>st is</w:t>
      </w:r>
      <w:r>
        <w:rPr>
          <w:rStyle w:val="FootnoteReference"/>
          <w:rFonts w:ascii="Times New Roman" w:hAnsi="Times New Roman" w:cs="Times New Roman"/>
          <w:noProof/>
        </w:rPr>
        <w:footnoteReference w:id="90"/>
      </w:r>
      <w:r>
        <w:rPr>
          <w:rFonts w:ascii="Times New Roman" w:hAnsi="Times New Roman"/>
          <w:noProof/>
        </w:rPr>
        <w:t>; az uniós kibocsátáskereskedelmi rendszer (ETS) keretében végzett tevékenységek, amelyek a vonatkozó referenciaértékeknél nem alacsonyabb várható üvegházhatásúgáz-kibocsátást érnek el</w:t>
      </w:r>
      <w:r>
        <w:rPr>
          <w:rStyle w:val="FootnoteReference"/>
          <w:rFonts w:ascii="Times New Roman" w:hAnsi="Times New Roman" w:cs="Times New Roman"/>
          <w:noProof/>
        </w:rPr>
        <w:footnoteReference w:id="91"/>
      </w:r>
      <w:r>
        <w:rPr>
          <w:rFonts w:ascii="Times New Roman" w:hAnsi="Times New Roman"/>
          <w:noProof/>
        </w:rPr>
        <w:t>; hulladéklerakókkal, hulladékégetőkkel</w:t>
      </w:r>
      <w:r>
        <w:rPr>
          <w:rStyle w:val="FootnoteReference"/>
          <w:rFonts w:ascii="Times New Roman" w:hAnsi="Times New Roman" w:cs="Times New Roman"/>
          <w:noProof/>
        </w:rPr>
        <w:footnoteReference w:id="92"/>
      </w:r>
      <w:r>
        <w:rPr>
          <w:rFonts w:ascii="Times New Roman" w:hAnsi="Times New Roman"/>
          <w:noProof/>
        </w:rPr>
        <w:t xml:space="preserve"> és mechanikai-biológiai </w:t>
      </w:r>
      <w:r>
        <w:rPr>
          <w:rFonts w:ascii="Times New Roman" w:hAnsi="Times New Roman"/>
          <w:noProof/>
        </w:rPr>
        <w:t>szennyvíztisztító telepekkel kapcsolatos tevékenységek</w:t>
      </w:r>
      <w:r>
        <w:rPr>
          <w:rStyle w:val="FootnoteReference"/>
          <w:rFonts w:ascii="Times New Roman" w:hAnsi="Times New Roman" w:cs="Times New Roman"/>
          <w:noProof/>
        </w:rPr>
        <w:footnoteReference w:id="93"/>
      </w:r>
      <w:r>
        <w:rPr>
          <w:rFonts w:ascii="Times New Roman" w:hAnsi="Times New Roman"/>
          <w:noProof/>
        </w:rPr>
        <w:t>; és iv. olyan tevékenységek, amelyek esetében a hulladék hosszú távú ártalmatlanítása károsíthatja a környezetet. A feladatmeghatározás emellett előírja, hogy csak a vonatkozó uniós és nemzeti környez</w:t>
      </w:r>
      <w:r>
        <w:rPr>
          <w:rFonts w:ascii="Times New Roman" w:hAnsi="Times New Roman"/>
          <w:noProof/>
        </w:rPr>
        <w:t>etvédelmi jogszabályoknak megfelelő tevékenységek választhatók ki.</w:t>
      </w:r>
    </w:p>
    <w:p w14:paraId="41E86151" w14:textId="77777777" w:rsidR="003E1D81" w:rsidRDefault="00EB481C">
      <w:pPr>
        <w:pStyle w:val="P68B1DB1-Text119"/>
        <w:ind w:left="0"/>
        <w:rPr>
          <w:rFonts w:cs="Times New Roman"/>
          <w:noProof/>
        </w:rPr>
      </w:pPr>
      <w:r>
        <w:rPr>
          <w:noProof/>
        </w:rPr>
        <w:t>A pénzügyi eszközök esetében annak biztosítása érdekében, hogy az intézkedés megfeleljen a jelentős károkozás elkerülését célzó elvről szóló technikai iránymutatásnak (2021/C58/01), a spany</w:t>
      </w:r>
      <w:r>
        <w:rPr>
          <w:noProof/>
        </w:rPr>
        <w:t xml:space="preserve">ol hatóságok és a pénzügyi eszközért felelős megbízott szervezet vagy pénzügyi közvetítő közötti jogi megállapodás és a pénzügyi eszköz ezt követő befektetési politikája </w:t>
      </w:r>
    </w:p>
    <w:p w14:paraId="0AEA3626" w14:textId="77777777" w:rsidR="003E1D81" w:rsidRDefault="00EB481C">
      <w:pPr>
        <w:pStyle w:val="P68B1DB1-Text119"/>
        <w:numPr>
          <w:ilvl w:val="0"/>
          <w:numId w:val="221"/>
        </w:numPr>
        <w:rPr>
          <w:rFonts w:cs="Times New Roman"/>
          <w:noProof/>
        </w:rPr>
      </w:pPr>
      <w:r>
        <w:rPr>
          <w:noProof/>
        </w:rPr>
        <w:t>előírja az InvestEU Alap fenntarthatósági vizsgálatáról szóló bizottsági technikai ir</w:t>
      </w:r>
      <w:r>
        <w:rPr>
          <w:noProof/>
        </w:rPr>
        <w:t>ánymutatás alkalmazását; és</w:t>
      </w:r>
    </w:p>
    <w:p w14:paraId="562BFB7D" w14:textId="77777777" w:rsidR="003E1D81" w:rsidRDefault="00EB481C">
      <w:pPr>
        <w:pStyle w:val="P68B1DB1-Text119"/>
        <w:numPr>
          <w:ilvl w:val="0"/>
          <w:numId w:val="221"/>
        </w:numPr>
        <w:rPr>
          <w:rFonts w:cs="Times New Roman"/>
          <w:noProof/>
        </w:rPr>
      </w:pPr>
      <w:r>
        <w:rPr>
          <w:noProof/>
        </w:rPr>
        <w:t>a tevékenységek és eszközök alábbi listájának kizárása a támogathatóságból: a fosszilis tüzelőanyagokhoz kapcsolódó tevékenységek és eszközök, beleértve a downstream felhasználást is</w:t>
      </w:r>
      <w:r>
        <w:rPr>
          <w:noProof/>
        </w:rPr>
        <w:footnoteReference w:id="94"/>
      </w:r>
      <w:r>
        <w:rPr>
          <w:noProof/>
        </w:rPr>
        <w:t xml:space="preserve">; az uniós kibocsátáskereskedelmi rendszer </w:t>
      </w:r>
      <w:r>
        <w:rPr>
          <w:noProof/>
        </w:rPr>
        <w:t>(ETS) keretében végzett tevékenységek és eszközök, amelyek a vonatkozó referenciaértékeknél nem alacsonyabb várható üvegházhatásúgáz-kibocsátást érnek el</w:t>
      </w:r>
      <w:r>
        <w:rPr>
          <w:noProof/>
        </w:rPr>
        <w:footnoteReference w:id="95"/>
      </w:r>
      <w:r>
        <w:rPr>
          <w:noProof/>
        </w:rPr>
        <w:t>; hulladéklerakókkal, hulladékégetőkkel és mechanikai-biológiai szennyvíztisztító telepekkel kapcsolat</w:t>
      </w:r>
      <w:r>
        <w:rPr>
          <w:noProof/>
        </w:rPr>
        <w:t>os tevékenységek</w:t>
      </w:r>
      <w:r>
        <w:rPr>
          <w:noProof/>
        </w:rPr>
        <w:footnoteReference w:id="96"/>
      </w:r>
      <w:r>
        <w:rPr>
          <w:noProof/>
        </w:rPr>
        <w:t xml:space="preserve"> és eszközök</w:t>
      </w:r>
      <w:r>
        <w:rPr>
          <w:noProof/>
        </w:rPr>
        <w:footnoteReference w:id="97"/>
      </w:r>
      <w:r>
        <w:rPr>
          <w:noProof/>
        </w:rPr>
        <w:t>; és iv. olyan tevékenységek és eszközök, amelyek esetében a hulladék hosszú távú ártalmatlanítása károsíthatja a környezetet; és</w:t>
      </w:r>
    </w:p>
    <w:p w14:paraId="705BC046" w14:textId="77777777" w:rsidR="003E1D81" w:rsidRDefault="00EB481C">
      <w:pPr>
        <w:pStyle w:val="P68B1DB1-Text119"/>
        <w:numPr>
          <w:ilvl w:val="0"/>
          <w:numId w:val="221"/>
        </w:numPr>
        <w:rPr>
          <w:rFonts w:cs="Times New Roman"/>
          <w:noProof/>
        </w:rPr>
      </w:pPr>
      <w:r>
        <w:rPr>
          <w:noProof/>
        </w:rPr>
        <w:t>előírja a megbízott szervezet/pénzügyi közvetítő számára annak ellenőrzését, hogy a projektek me</w:t>
      </w:r>
      <w:r>
        <w:rPr>
          <w:noProof/>
        </w:rPr>
        <w:t>gfelelnek-e a vonatkozó uniós és nemzeti környezetvédelmi jogszabályoknak, minden ügylet tekintetében, beleértve a fenntarthatósági vizsgálat alól mentesített ügyleteket is.</w:t>
      </w:r>
    </w:p>
    <w:p w14:paraId="0AEC43C8" w14:textId="77777777" w:rsidR="003E1D81" w:rsidRDefault="00EB481C">
      <w:pPr>
        <w:pStyle w:val="P68B1DB1-Normal4"/>
        <w:spacing w:line="240" w:lineRule="auto"/>
        <w:jc w:val="both"/>
        <w:rPr>
          <w:rFonts w:cs="Times New Roman"/>
          <w:noProof/>
        </w:rPr>
      </w:pPr>
      <w:r>
        <w:rPr>
          <w:noProof/>
        </w:rPr>
        <w:t>A beruházás végrehajtását 2024. december 31-ig be kell fejezni.</w:t>
      </w:r>
    </w:p>
    <w:p w14:paraId="24F0F6FF" w14:textId="10857EA4" w:rsidR="003E1D81" w:rsidRDefault="00EB481C">
      <w:pPr>
        <w:pStyle w:val="P68B1DB1-Heading227"/>
        <w:numPr>
          <w:ilvl w:val="0"/>
          <w:numId w:val="0"/>
        </w:numPr>
        <w:ind w:left="850"/>
        <w:rPr>
          <w:rFonts w:cs="Times New Roman"/>
          <w:noProof/>
        </w:rPr>
      </w:pPr>
      <w:r>
        <w:rPr>
          <w:noProof/>
        </w:rPr>
        <w:t xml:space="preserve">M.2. </w:t>
      </w:r>
      <w:r>
        <w:rPr>
          <w:noProof/>
        </w:rPr>
        <w:tab/>
        <w:t>Vissza nem t</w:t>
      </w:r>
      <w:r>
        <w:rPr>
          <w:noProof/>
        </w:rPr>
        <w:t>érítendő pénzügyi támogatás – a végrehajtáshoz és a nyomon követéshez kapcsolódó mérföldkövek, célok, mutatók és ütemterv</w:t>
      </w:r>
    </w:p>
    <w:p w14:paraId="4B4055F9" w14:textId="77777777" w:rsidR="003E1D81" w:rsidRDefault="00EB481C">
      <w:pPr>
        <w:pStyle w:val="P68B1DB1-Normal4"/>
        <w:spacing w:before="120" w:after="120" w:line="240" w:lineRule="auto"/>
        <w:jc w:val="both"/>
        <w:rPr>
          <w:rFonts w:cs="Times New Roman"/>
          <w:b/>
          <w:noProof/>
          <w:u w:val="single"/>
        </w:rPr>
      </w:pPr>
      <w:r>
        <w:rPr>
          <w:i/>
          <w:noProof/>
        </w:rPr>
        <w:t>Táblázat alább.</w:t>
      </w:r>
      <w:r>
        <w:rPr>
          <w:noProof/>
        </w:rPr>
        <w:t xml:space="preserve"> </w:t>
      </w:r>
      <w:r>
        <w:rPr>
          <w:i/>
          <w:noProof/>
        </w:rPr>
        <w:t xml:space="preserve">Az alapforgatókönyv valamennyi mutató esetében 2020. február 1-je, kivéve, ha az intézkedés leírása másként jelzi. A </w:t>
      </w:r>
      <w:r>
        <w:rPr>
          <w:i/>
          <w:noProof/>
        </w:rPr>
        <w:t>táblázatban szereplő összegek nem tartalmazzák a héát.</w:t>
      </w:r>
    </w:p>
    <w:p w14:paraId="7E2F1A47" w14:textId="77777777" w:rsidR="003E1D81" w:rsidRDefault="003E1D81">
      <w:pPr>
        <w:spacing w:before="120" w:after="120" w:line="240" w:lineRule="auto"/>
        <w:ind w:left="709"/>
        <w:jc w:val="both"/>
        <w:rPr>
          <w:rFonts w:ascii="Times New Roman" w:hAnsi="Times New Roman" w:cs="Times New Roman"/>
          <w:noProof/>
          <w:sz w:val="24"/>
        </w:rPr>
      </w:pPr>
    </w:p>
    <w:p w14:paraId="70101A6A" w14:textId="77777777" w:rsidR="003E1D81" w:rsidRDefault="003E1D81">
      <w:pPr>
        <w:spacing w:before="120" w:after="120" w:line="240" w:lineRule="auto"/>
        <w:ind w:left="709"/>
        <w:jc w:val="both"/>
        <w:rPr>
          <w:rFonts w:ascii="Times New Roman" w:hAnsi="Times New Roman" w:cs="Times New Roman"/>
          <w:noProof/>
          <w:sz w:val="24"/>
        </w:rPr>
        <w:sectPr w:rsidR="003E1D81" w:rsidSect="00EB7CC8">
          <w:headerReference w:type="even" r:id="rId270"/>
          <w:headerReference w:type="default" r:id="rId271"/>
          <w:footerReference w:type="even" r:id="rId272"/>
          <w:footerReference w:type="default" r:id="rId273"/>
          <w:headerReference w:type="first" r:id="rId274"/>
          <w:footerReference w:type="first" r:id="rId275"/>
          <w:pgSz w:w="11907" w:h="16839"/>
          <w:pgMar w:top="1134" w:right="1417" w:bottom="1134" w:left="1417" w:header="709" w:footer="709" w:gutter="0"/>
          <w:cols w:space="720"/>
          <w:docGrid w:linePitch="360"/>
        </w:sectPr>
      </w:pP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985"/>
        <w:gridCol w:w="1134"/>
        <w:gridCol w:w="709"/>
        <w:gridCol w:w="708"/>
        <w:gridCol w:w="709"/>
        <w:gridCol w:w="567"/>
        <w:gridCol w:w="567"/>
        <w:gridCol w:w="6662"/>
      </w:tblGrid>
      <w:tr w:rsidR="003E1D81" w14:paraId="60CFCA36" w14:textId="77777777">
        <w:trPr>
          <w:trHeight w:val="309"/>
          <w:tblHeader/>
        </w:trPr>
        <w:tc>
          <w:tcPr>
            <w:tcW w:w="709" w:type="dxa"/>
            <w:tcBorders>
              <w:bottom w:val="nil"/>
            </w:tcBorders>
            <w:shd w:val="clear" w:color="auto" w:fill="C6D9F1" w:themeFill="text2" w:themeFillTint="33"/>
            <w:noWrap/>
            <w:vAlign w:val="center"/>
          </w:tcPr>
          <w:p w14:paraId="34D241D4"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01343C75"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4C001132"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1985" w:type="dxa"/>
            <w:tcBorders>
              <w:bottom w:val="nil"/>
            </w:tcBorders>
            <w:shd w:val="clear" w:color="auto" w:fill="C6D9F1" w:themeFill="text2" w:themeFillTint="33"/>
            <w:noWrap/>
            <w:vAlign w:val="center"/>
          </w:tcPr>
          <w:p w14:paraId="39A089F3" w14:textId="77777777" w:rsidR="003E1D81" w:rsidRDefault="00EB481C">
            <w:pPr>
              <w:pStyle w:val="P68B1DB1-Normal12"/>
              <w:spacing w:after="0" w:line="240" w:lineRule="auto"/>
              <w:jc w:val="center"/>
              <w:rPr>
                <w:rFonts w:cs="Times New Roman"/>
                <w:noProof/>
              </w:rPr>
            </w:pPr>
            <w:r>
              <w:rPr>
                <w:noProof/>
              </w:rPr>
              <w:t>Név</w:t>
            </w:r>
          </w:p>
        </w:tc>
        <w:tc>
          <w:tcPr>
            <w:tcW w:w="1134" w:type="dxa"/>
            <w:tcBorders>
              <w:bottom w:val="nil"/>
            </w:tcBorders>
            <w:shd w:val="clear" w:color="auto" w:fill="C6D9F1" w:themeFill="text2" w:themeFillTint="33"/>
            <w:noWrap/>
            <w:vAlign w:val="center"/>
          </w:tcPr>
          <w:p w14:paraId="5ED90BF6"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2126" w:type="dxa"/>
            <w:gridSpan w:val="3"/>
            <w:shd w:val="clear" w:color="auto" w:fill="C6D9F1" w:themeFill="text2" w:themeFillTint="33"/>
            <w:noWrap/>
            <w:vAlign w:val="center"/>
          </w:tcPr>
          <w:p w14:paraId="47ACD0A8"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1134" w:type="dxa"/>
            <w:gridSpan w:val="2"/>
            <w:shd w:val="clear" w:color="auto" w:fill="C6D9F1" w:themeFill="text2" w:themeFillTint="33"/>
            <w:noWrap/>
            <w:vAlign w:val="center"/>
          </w:tcPr>
          <w:p w14:paraId="4BCD9346" w14:textId="77777777" w:rsidR="003E1D81" w:rsidRDefault="00EB481C">
            <w:pPr>
              <w:pStyle w:val="P68B1DB1-Normal12"/>
              <w:spacing w:after="0" w:line="240" w:lineRule="auto"/>
              <w:jc w:val="center"/>
              <w:rPr>
                <w:rFonts w:cs="Times New Roman"/>
                <w:noProof/>
              </w:rPr>
            </w:pPr>
            <w:r>
              <w:rPr>
                <w:noProof/>
              </w:rPr>
              <w:t>Idő</w:t>
            </w:r>
          </w:p>
        </w:tc>
        <w:tc>
          <w:tcPr>
            <w:tcW w:w="6662" w:type="dxa"/>
            <w:tcBorders>
              <w:bottom w:val="nil"/>
            </w:tcBorders>
            <w:shd w:val="clear" w:color="auto" w:fill="C6D9F1" w:themeFill="text2" w:themeFillTint="33"/>
            <w:noWrap/>
            <w:vAlign w:val="center"/>
          </w:tcPr>
          <w:p w14:paraId="2897C0E5" w14:textId="77777777" w:rsidR="003E1D81" w:rsidRDefault="00EB481C">
            <w:pPr>
              <w:pStyle w:val="P68B1DB1-Normal12"/>
              <w:spacing w:after="0" w:line="240" w:lineRule="auto"/>
              <w:jc w:val="center"/>
              <w:rPr>
                <w:rFonts w:cs="Times New Roman"/>
                <w:noProof/>
              </w:rPr>
            </w:pPr>
            <w:r>
              <w:rPr>
                <w:noProof/>
              </w:rPr>
              <w:t>Az egyes mérföldkövek és célértékek</w:t>
            </w:r>
            <w:r>
              <w:rPr>
                <w:noProof/>
              </w:rPr>
              <w:t xml:space="preserve"> leírása</w:t>
            </w:r>
          </w:p>
        </w:tc>
      </w:tr>
      <w:tr w:rsidR="003E1D81" w14:paraId="35C15B1F" w14:textId="77777777">
        <w:trPr>
          <w:trHeight w:val="309"/>
          <w:tblHeader/>
        </w:trPr>
        <w:tc>
          <w:tcPr>
            <w:tcW w:w="709" w:type="dxa"/>
            <w:tcBorders>
              <w:top w:val="nil"/>
            </w:tcBorders>
            <w:shd w:val="clear" w:color="auto" w:fill="C6D9F1" w:themeFill="text2" w:themeFillTint="33"/>
            <w:noWrap/>
          </w:tcPr>
          <w:p w14:paraId="1E8D5C3A"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3017D20C"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1CE1D9F2" w14:textId="77777777" w:rsidR="003E1D81" w:rsidRDefault="003E1D81">
            <w:pPr>
              <w:spacing w:after="0" w:line="240" w:lineRule="auto"/>
              <w:jc w:val="center"/>
              <w:rPr>
                <w:rFonts w:ascii="Times New Roman" w:hAnsi="Times New Roman" w:cs="Times New Roman"/>
                <w:b/>
                <w:noProof/>
                <w:sz w:val="18"/>
              </w:rPr>
            </w:pPr>
          </w:p>
        </w:tc>
        <w:tc>
          <w:tcPr>
            <w:tcW w:w="1985" w:type="dxa"/>
            <w:tcBorders>
              <w:top w:val="nil"/>
            </w:tcBorders>
            <w:shd w:val="clear" w:color="auto" w:fill="C6D9F1" w:themeFill="text2" w:themeFillTint="33"/>
            <w:noWrap/>
          </w:tcPr>
          <w:p w14:paraId="1F72EC9C" w14:textId="77777777" w:rsidR="003E1D81" w:rsidRDefault="003E1D81">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16EBF265" w14:textId="77777777" w:rsidR="003E1D81" w:rsidRDefault="003E1D81">
            <w:pPr>
              <w:spacing w:after="0" w:line="240" w:lineRule="auto"/>
              <w:jc w:val="center"/>
              <w:rPr>
                <w:rFonts w:ascii="Times New Roman" w:hAnsi="Times New Roman" w:cs="Times New Roman"/>
                <w:b/>
                <w:noProof/>
                <w:sz w:val="18"/>
              </w:rPr>
            </w:pPr>
          </w:p>
        </w:tc>
        <w:tc>
          <w:tcPr>
            <w:tcW w:w="709" w:type="dxa"/>
            <w:shd w:val="clear" w:color="auto" w:fill="C6D9F1" w:themeFill="text2" w:themeFillTint="33"/>
            <w:noWrap/>
          </w:tcPr>
          <w:p w14:paraId="74BEB85F" w14:textId="77777777" w:rsidR="003E1D81" w:rsidRDefault="00EB481C">
            <w:pPr>
              <w:pStyle w:val="P68B1DB1-Normal12"/>
              <w:spacing w:after="0" w:line="240" w:lineRule="auto"/>
              <w:jc w:val="center"/>
              <w:rPr>
                <w:rFonts w:cs="Times New Roman"/>
                <w:noProof/>
              </w:rPr>
            </w:pPr>
            <w:r>
              <w:rPr>
                <w:noProof/>
              </w:rPr>
              <w:t>Egység</w:t>
            </w:r>
          </w:p>
        </w:tc>
        <w:tc>
          <w:tcPr>
            <w:tcW w:w="708" w:type="dxa"/>
            <w:shd w:val="clear" w:color="auto" w:fill="C6D9F1" w:themeFill="text2" w:themeFillTint="33"/>
            <w:noWrap/>
          </w:tcPr>
          <w:p w14:paraId="53B410BE" w14:textId="77777777" w:rsidR="003E1D81" w:rsidRDefault="00EB481C">
            <w:pPr>
              <w:pStyle w:val="P68B1DB1-Normal12"/>
              <w:spacing w:after="0" w:line="240" w:lineRule="auto"/>
              <w:jc w:val="center"/>
              <w:rPr>
                <w:rFonts w:cs="Times New Roman"/>
                <w:noProof/>
              </w:rPr>
            </w:pPr>
            <w:r>
              <w:rPr>
                <w:noProof/>
              </w:rPr>
              <w:t>Alapérték</w:t>
            </w:r>
          </w:p>
        </w:tc>
        <w:tc>
          <w:tcPr>
            <w:tcW w:w="709" w:type="dxa"/>
            <w:shd w:val="clear" w:color="auto" w:fill="C6D9F1" w:themeFill="text2" w:themeFillTint="33"/>
            <w:noWrap/>
          </w:tcPr>
          <w:p w14:paraId="3DF32928" w14:textId="77777777" w:rsidR="003E1D81" w:rsidRDefault="00EB481C">
            <w:pPr>
              <w:pStyle w:val="P68B1DB1-Normal12"/>
              <w:spacing w:after="0" w:line="240" w:lineRule="auto"/>
              <w:jc w:val="center"/>
              <w:rPr>
                <w:rFonts w:cs="Times New Roman"/>
                <w:noProof/>
              </w:rPr>
            </w:pPr>
            <w:r>
              <w:rPr>
                <w:noProof/>
              </w:rPr>
              <w:t>Cél</w:t>
            </w:r>
          </w:p>
        </w:tc>
        <w:tc>
          <w:tcPr>
            <w:tcW w:w="567" w:type="dxa"/>
            <w:shd w:val="clear" w:color="auto" w:fill="C6D9F1" w:themeFill="text2" w:themeFillTint="33"/>
            <w:noWrap/>
          </w:tcPr>
          <w:p w14:paraId="347EBF18"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7D75D435" w14:textId="77777777" w:rsidR="003E1D81" w:rsidRDefault="00EB481C">
            <w:pPr>
              <w:pStyle w:val="P68B1DB1-Normal12"/>
              <w:spacing w:after="0" w:line="240" w:lineRule="auto"/>
              <w:jc w:val="center"/>
              <w:rPr>
                <w:rFonts w:cs="Times New Roman"/>
                <w:noProof/>
              </w:rPr>
            </w:pPr>
            <w:r>
              <w:rPr>
                <w:noProof/>
              </w:rPr>
              <w:t>Éve</w:t>
            </w:r>
          </w:p>
        </w:tc>
        <w:tc>
          <w:tcPr>
            <w:tcW w:w="6662" w:type="dxa"/>
            <w:tcBorders>
              <w:top w:val="nil"/>
            </w:tcBorders>
            <w:shd w:val="clear" w:color="auto" w:fill="C6D9F1" w:themeFill="text2" w:themeFillTint="33"/>
            <w:noWrap/>
          </w:tcPr>
          <w:p w14:paraId="2C5AE2F3" w14:textId="77777777" w:rsidR="003E1D81" w:rsidRDefault="003E1D81">
            <w:pPr>
              <w:spacing w:after="0" w:line="240" w:lineRule="auto"/>
              <w:rPr>
                <w:rFonts w:ascii="Times New Roman" w:hAnsi="Times New Roman" w:cs="Times New Roman"/>
                <w:b/>
                <w:noProof/>
                <w:sz w:val="18"/>
              </w:rPr>
            </w:pPr>
          </w:p>
        </w:tc>
      </w:tr>
      <w:tr w:rsidR="003E1D81" w14:paraId="5ECF8F23" w14:textId="77777777">
        <w:trPr>
          <w:trHeight w:val="309"/>
        </w:trPr>
        <w:tc>
          <w:tcPr>
            <w:tcW w:w="709" w:type="dxa"/>
            <w:shd w:val="clear" w:color="auto" w:fill="C6EFCE"/>
            <w:noWrap/>
          </w:tcPr>
          <w:p w14:paraId="55D17BBE" w14:textId="77777777" w:rsidR="003E1D81" w:rsidRDefault="00EB481C">
            <w:pPr>
              <w:pStyle w:val="P68B1DB1-Normal13"/>
              <w:spacing w:after="0" w:line="240" w:lineRule="auto"/>
              <w:jc w:val="center"/>
              <w:rPr>
                <w:rFonts w:eastAsia="Times New Roman" w:cs="Times New Roman"/>
                <w:noProof/>
              </w:rPr>
            </w:pPr>
            <w:r>
              <w:rPr>
                <w:noProof/>
              </w:rPr>
              <w:t>189</w:t>
            </w:r>
          </w:p>
        </w:tc>
        <w:tc>
          <w:tcPr>
            <w:tcW w:w="851" w:type="dxa"/>
            <w:shd w:val="clear" w:color="auto" w:fill="C6EFCE"/>
            <w:noWrap/>
          </w:tcPr>
          <w:p w14:paraId="60850CCD" w14:textId="77777777" w:rsidR="003E1D81" w:rsidRDefault="00EB481C">
            <w:pPr>
              <w:pStyle w:val="P68B1DB1-Normal13"/>
              <w:spacing w:after="0" w:line="240" w:lineRule="auto"/>
              <w:jc w:val="center"/>
              <w:rPr>
                <w:rFonts w:eastAsia="Times New Roman" w:cs="Times New Roman"/>
                <w:noProof/>
              </w:rPr>
            </w:pPr>
            <w:r>
              <w:rPr>
                <w:noProof/>
              </w:rPr>
              <w:t>C13.R1</w:t>
            </w:r>
          </w:p>
        </w:tc>
        <w:tc>
          <w:tcPr>
            <w:tcW w:w="850" w:type="dxa"/>
            <w:shd w:val="clear" w:color="auto" w:fill="C6EFCE"/>
            <w:noWrap/>
          </w:tcPr>
          <w:p w14:paraId="6B48FA13" w14:textId="77777777" w:rsidR="003E1D81" w:rsidRDefault="00EB481C">
            <w:pPr>
              <w:pStyle w:val="P68B1DB1-Normal13"/>
              <w:spacing w:after="0" w:line="240" w:lineRule="auto"/>
              <w:jc w:val="center"/>
              <w:rPr>
                <w:rFonts w:eastAsia="Times New Roman" w:cs="Times New Roman"/>
                <w:noProof/>
              </w:rPr>
            </w:pPr>
            <w:r>
              <w:rPr>
                <w:noProof/>
              </w:rPr>
              <w:t>M</w:t>
            </w:r>
          </w:p>
        </w:tc>
        <w:tc>
          <w:tcPr>
            <w:tcW w:w="1985" w:type="dxa"/>
            <w:shd w:val="clear" w:color="auto" w:fill="C6EFCE"/>
            <w:noWrap/>
          </w:tcPr>
          <w:p w14:paraId="69AE906E" w14:textId="77777777" w:rsidR="003E1D81" w:rsidRDefault="00EB481C">
            <w:pPr>
              <w:pStyle w:val="P68B1DB1-Normal13"/>
              <w:spacing w:after="0" w:line="240" w:lineRule="auto"/>
              <w:rPr>
                <w:rFonts w:eastAsia="Times New Roman" w:cs="Times New Roman"/>
                <w:noProof/>
              </w:rPr>
            </w:pPr>
            <w:r>
              <w:rPr>
                <w:noProof/>
              </w:rPr>
              <w:t xml:space="preserve">Az ügyvédi és ügyvédi hivatás gyakorlásának megkezdéséről szóló 34/2006. sz. törvény módosításáról szóló törvény hatálybalépése   </w:t>
            </w:r>
          </w:p>
        </w:tc>
        <w:tc>
          <w:tcPr>
            <w:tcW w:w="1134" w:type="dxa"/>
            <w:shd w:val="clear" w:color="auto" w:fill="C6EFCE"/>
            <w:noWrap/>
          </w:tcPr>
          <w:p w14:paraId="68E7AA98" w14:textId="77777777" w:rsidR="003E1D81" w:rsidRDefault="00EB481C">
            <w:pPr>
              <w:pStyle w:val="P68B1DB1-Normal13"/>
              <w:spacing w:after="0" w:line="240" w:lineRule="auto"/>
              <w:jc w:val="center"/>
              <w:rPr>
                <w:rFonts w:cs="Times New Roman"/>
                <w:noProof/>
              </w:rPr>
            </w:pPr>
            <w:r>
              <w:rPr>
                <w:noProof/>
              </w:rPr>
              <w:t xml:space="preserve">A törvény hatálybalépésére vonatkozó jogszabályi rendelkezés </w:t>
            </w:r>
          </w:p>
        </w:tc>
        <w:tc>
          <w:tcPr>
            <w:tcW w:w="709" w:type="dxa"/>
            <w:shd w:val="clear" w:color="auto" w:fill="C6EFCE"/>
            <w:noWrap/>
          </w:tcPr>
          <w:p w14:paraId="1A8872DF" w14:textId="77777777" w:rsidR="003E1D81" w:rsidRDefault="00EB481C">
            <w:pPr>
              <w:pStyle w:val="P68B1DB1-Normal13"/>
              <w:spacing w:after="0" w:line="240" w:lineRule="auto"/>
              <w:jc w:val="center"/>
              <w:rPr>
                <w:rFonts w:eastAsia="Times New Roman" w:cs="Times New Roman"/>
                <w:noProof/>
              </w:rPr>
            </w:pPr>
            <w:r>
              <w:rPr>
                <w:noProof/>
              </w:rPr>
              <w:t> </w:t>
            </w:r>
          </w:p>
        </w:tc>
        <w:tc>
          <w:tcPr>
            <w:tcW w:w="708" w:type="dxa"/>
            <w:shd w:val="clear" w:color="auto" w:fill="C6EFCE"/>
            <w:noWrap/>
          </w:tcPr>
          <w:p w14:paraId="7FAB8CD4"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346AD94"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97DFDAC"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7179B9E0" w14:textId="77777777" w:rsidR="003E1D81" w:rsidRDefault="00EB481C">
            <w:pPr>
              <w:pStyle w:val="P68B1DB1-Normal13"/>
              <w:spacing w:after="0" w:line="240" w:lineRule="auto"/>
              <w:jc w:val="center"/>
              <w:rPr>
                <w:rFonts w:eastAsia="Times New Roman" w:cs="Times New Roman"/>
                <w:noProof/>
              </w:rPr>
            </w:pPr>
            <w:r>
              <w:rPr>
                <w:noProof/>
              </w:rPr>
              <w:t>2021</w:t>
            </w:r>
          </w:p>
        </w:tc>
        <w:tc>
          <w:tcPr>
            <w:tcW w:w="6662" w:type="dxa"/>
            <w:shd w:val="clear" w:color="auto" w:fill="C6EFCE"/>
            <w:noWrap/>
          </w:tcPr>
          <w:p w14:paraId="65DCB318" w14:textId="77777777" w:rsidR="003E1D81" w:rsidRDefault="00EB481C">
            <w:pPr>
              <w:pStyle w:val="P68B1DB1-Normal13"/>
              <w:spacing w:after="0"/>
              <w:rPr>
                <w:rFonts w:eastAsia="Times New Roman" w:cs="Times New Roman"/>
                <w:noProof/>
              </w:rPr>
            </w:pPr>
            <w:r>
              <w:rPr>
                <w:noProof/>
              </w:rPr>
              <w:t xml:space="preserve">Az ügyvédi és ügyvédi hivatás gyakorlásának megkezdéséről szóló 34/2006. sz. törvény módosításáról szóló </w:t>
            </w:r>
            <w:r>
              <w:rPr>
                <w:i/>
                <w:noProof/>
              </w:rPr>
              <w:t>törvény</w:t>
            </w:r>
            <w:r>
              <w:rPr>
                <w:noProof/>
              </w:rPr>
              <w:t xml:space="preserve"> hatálybalépése:</w:t>
            </w:r>
            <w:r>
              <w:rPr>
                <w:noProof/>
              </w:rPr>
              <w:br/>
              <w:t>– A jelenlegi minimumdíjrendszer átalakítása maximális díjak rendszerévé, valamint a költségbecslésnek az ügyféln</w:t>
            </w:r>
            <w:r>
              <w:rPr>
                <w:noProof/>
              </w:rPr>
              <w:t>ek tanácsadás céljából történő benyújtására vonatkozó új kötelezettséggé.</w:t>
            </w:r>
            <w:r>
              <w:rPr>
                <w:noProof/>
              </w:rPr>
              <w:br/>
              <w:t xml:space="preserve">Lehetővé teszi az ügyvédi és </w:t>
            </w:r>
            <w:r>
              <w:rPr>
                <w:i/>
                <w:noProof/>
              </w:rPr>
              <w:t>perbeli</w:t>
            </w:r>
            <w:r>
              <w:rPr>
                <w:noProof/>
              </w:rPr>
              <w:t xml:space="preserve"> szakma multidiszciplináris tevékenységét ugyanazon jogi személyen belül </w:t>
            </w:r>
            <w:r>
              <w:rPr>
                <w:noProof/>
              </w:rPr>
              <w:br/>
              <w:t xml:space="preserve">Az ügyvédi és </w:t>
            </w:r>
            <w:r>
              <w:rPr>
                <w:i/>
                <w:noProof/>
              </w:rPr>
              <w:t>procuradores</w:t>
            </w:r>
            <w:r>
              <w:rPr>
                <w:noProof/>
              </w:rPr>
              <w:t xml:space="preserve"> -szakmához való egyszeri hozzáférés.</w:t>
            </w:r>
          </w:p>
        </w:tc>
      </w:tr>
      <w:tr w:rsidR="003E1D81" w14:paraId="765E1C0D" w14:textId="77777777">
        <w:trPr>
          <w:trHeight w:val="309"/>
        </w:trPr>
        <w:tc>
          <w:tcPr>
            <w:tcW w:w="709" w:type="dxa"/>
            <w:shd w:val="clear" w:color="auto" w:fill="C6EFCE"/>
            <w:noWrap/>
          </w:tcPr>
          <w:p w14:paraId="5BB30F60" w14:textId="77777777" w:rsidR="003E1D81" w:rsidRDefault="00EB481C">
            <w:pPr>
              <w:pStyle w:val="P68B1DB1-Normal13"/>
              <w:spacing w:after="0" w:line="240" w:lineRule="auto"/>
              <w:jc w:val="center"/>
              <w:rPr>
                <w:rFonts w:eastAsia="Times New Roman" w:cs="Times New Roman"/>
                <w:noProof/>
              </w:rPr>
            </w:pPr>
            <w:r>
              <w:rPr>
                <w:noProof/>
              </w:rPr>
              <w:t>190</w:t>
            </w:r>
          </w:p>
        </w:tc>
        <w:tc>
          <w:tcPr>
            <w:tcW w:w="851" w:type="dxa"/>
            <w:shd w:val="clear" w:color="auto" w:fill="C6EFCE"/>
            <w:noWrap/>
          </w:tcPr>
          <w:p w14:paraId="7F61B1A9" w14:textId="77777777" w:rsidR="003E1D81" w:rsidRDefault="00EB481C">
            <w:pPr>
              <w:pStyle w:val="P68B1DB1-Normal13"/>
              <w:spacing w:after="0" w:line="240" w:lineRule="auto"/>
              <w:jc w:val="center"/>
              <w:rPr>
                <w:rFonts w:eastAsia="Times New Roman" w:cs="Times New Roman"/>
                <w:noProof/>
              </w:rPr>
            </w:pPr>
            <w:r>
              <w:rPr>
                <w:noProof/>
              </w:rPr>
              <w:t>C13.R1</w:t>
            </w:r>
          </w:p>
        </w:tc>
        <w:tc>
          <w:tcPr>
            <w:tcW w:w="850" w:type="dxa"/>
            <w:shd w:val="clear" w:color="auto" w:fill="C6EFCE"/>
            <w:noWrap/>
          </w:tcPr>
          <w:p w14:paraId="61E98DCA" w14:textId="77777777" w:rsidR="003E1D81" w:rsidRDefault="00EB481C">
            <w:pPr>
              <w:pStyle w:val="P68B1DB1-Normal13"/>
              <w:spacing w:after="0" w:line="240" w:lineRule="auto"/>
              <w:jc w:val="center"/>
              <w:rPr>
                <w:rFonts w:eastAsia="Times New Roman" w:cs="Times New Roman"/>
                <w:noProof/>
              </w:rPr>
            </w:pPr>
            <w:r>
              <w:rPr>
                <w:noProof/>
              </w:rPr>
              <w:t>M</w:t>
            </w:r>
          </w:p>
        </w:tc>
        <w:tc>
          <w:tcPr>
            <w:tcW w:w="1985" w:type="dxa"/>
            <w:shd w:val="clear" w:color="auto" w:fill="C6EFCE"/>
            <w:noWrap/>
          </w:tcPr>
          <w:p w14:paraId="57F15FB7" w14:textId="77777777" w:rsidR="003E1D81" w:rsidRDefault="00EB481C">
            <w:pPr>
              <w:pStyle w:val="P68B1DB1-Normal13"/>
              <w:spacing w:after="0" w:line="240" w:lineRule="auto"/>
              <w:rPr>
                <w:rFonts w:eastAsia="Times New Roman" w:cs="Times New Roman"/>
                <w:noProof/>
              </w:rPr>
            </w:pPr>
            <w:r>
              <w:rPr>
                <w:noProof/>
              </w:rPr>
              <w:t>A fizetésképtelenségi törvény reformjáról szóló törvény hatálybalépése</w:t>
            </w:r>
          </w:p>
        </w:tc>
        <w:tc>
          <w:tcPr>
            <w:tcW w:w="1134" w:type="dxa"/>
            <w:shd w:val="clear" w:color="auto" w:fill="C6EFCE"/>
            <w:noWrap/>
          </w:tcPr>
          <w:p w14:paraId="61F1C772" w14:textId="77777777" w:rsidR="003E1D81" w:rsidRDefault="00EB481C">
            <w:pPr>
              <w:pStyle w:val="P68B1DB1-Normal13"/>
              <w:spacing w:after="0" w:line="240" w:lineRule="auto"/>
              <w:jc w:val="center"/>
              <w:rPr>
                <w:rFonts w:eastAsia="Times New Roman" w:cs="Times New Roman"/>
                <w:noProof/>
              </w:rPr>
            </w:pPr>
            <w:r>
              <w:rPr>
                <w:noProof/>
              </w:rPr>
              <w:t xml:space="preserve">A törvény hatálybalépésére vonatkozó jogszabályi rendelkezés </w:t>
            </w:r>
          </w:p>
        </w:tc>
        <w:tc>
          <w:tcPr>
            <w:tcW w:w="709" w:type="dxa"/>
            <w:shd w:val="clear" w:color="auto" w:fill="C6EFCE"/>
            <w:noWrap/>
          </w:tcPr>
          <w:p w14:paraId="137D43B2" w14:textId="77777777" w:rsidR="003E1D81" w:rsidRDefault="00EB481C">
            <w:pPr>
              <w:pStyle w:val="P68B1DB1-Normal13"/>
              <w:spacing w:after="0" w:line="240" w:lineRule="auto"/>
              <w:jc w:val="center"/>
              <w:rPr>
                <w:rFonts w:eastAsia="Times New Roman" w:cs="Times New Roman"/>
                <w:noProof/>
              </w:rPr>
            </w:pPr>
            <w:r>
              <w:rPr>
                <w:noProof/>
              </w:rPr>
              <w:t> </w:t>
            </w:r>
          </w:p>
        </w:tc>
        <w:tc>
          <w:tcPr>
            <w:tcW w:w="708" w:type="dxa"/>
            <w:shd w:val="clear" w:color="auto" w:fill="C6EFCE"/>
            <w:noWrap/>
          </w:tcPr>
          <w:p w14:paraId="479AD0FD"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9506523"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3C44A06B"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567" w:type="dxa"/>
            <w:shd w:val="clear" w:color="auto" w:fill="C6EFCE"/>
            <w:noWrap/>
          </w:tcPr>
          <w:p w14:paraId="2FCB0542" w14:textId="77777777" w:rsidR="003E1D81" w:rsidRDefault="00EB481C">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1A958D65" w14:textId="77777777" w:rsidR="003E1D81" w:rsidRDefault="00EB481C">
            <w:pPr>
              <w:pStyle w:val="P68B1DB1-Normal13"/>
              <w:spacing w:after="0" w:line="240" w:lineRule="auto"/>
              <w:rPr>
                <w:rFonts w:eastAsia="Times New Roman" w:cs="Times New Roman"/>
                <w:noProof/>
              </w:rPr>
            </w:pPr>
            <w:r>
              <w:rPr>
                <w:noProof/>
              </w:rPr>
              <w:t xml:space="preserve">A fizetésképtelenségi törvény reformjának hatálybalépése. </w:t>
            </w:r>
            <w:r>
              <w:rPr>
                <w:noProof/>
              </w:rPr>
              <w:br/>
              <w:t xml:space="preserve">A fizetésképtelenségi törvénynek az </w:t>
            </w:r>
            <w:r>
              <w:rPr>
                <w:noProof/>
              </w:rPr>
              <w:t>irányelv követelményein túlmutató reformja:</w:t>
            </w:r>
            <w:r>
              <w:rPr>
                <w:noProof/>
              </w:rPr>
              <w:br/>
              <w:t xml:space="preserve">a természetes személyek számára hatékonyabb második esélyt biztosító eljárást kell kialakítani, amely lehetővé teszi az adósságrendezést a fizetésképtelen fél vagyonának előzetes felszámolása nélkül, </w:t>
            </w:r>
            <w:r>
              <w:rPr>
                <w:noProof/>
              </w:rPr>
              <w:br/>
              <w:t xml:space="preserve">különleges </w:t>
            </w:r>
            <w:r>
              <w:rPr>
                <w:noProof/>
              </w:rPr>
              <w:t>eljárás létrehozása a mikro-kkv-k számára, amely csökkenti az időtartamot és a költségeket, és amelyet teljes mértékben elektronikus úton fognak feldolgozni.</w:t>
            </w:r>
          </w:p>
        </w:tc>
      </w:tr>
      <w:tr w:rsidR="003E1D81" w14:paraId="0E7B4115" w14:textId="77777777">
        <w:trPr>
          <w:trHeight w:val="309"/>
        </w:trPr>
        <w:tc>
          <w:tcPr>
            <w:tcW w:w="709" w:type="dxa"/>
            <w:shd w:val="clear" w:color="auto" w:fill="C6EFCE"/>
            <w:noWrap/>
          </w:tcPr>
          <w:p w14:paraId="1367200D" w14:textId="77777777" w:rsidR="003E1D81" w:rsidRDefault="00EB481C">
            <w:pPr>
              <w:pStyle w:val="P68B1DB1-Normal13"/>
              <w:spacing w:after="0" w:line="240" w:lineRule="auto"/>
              <w:jc w:val="center"/>
              <w:rPr>
                <w:rFonts w:eastAsia="Times New Roman" w:cs="Times New Roman"/>
                <w:noProof/>
              </w:rPr>
            </w:pPr>
            <w:r>
              <w:rPr>
                <w:noProof/>
              </w:rPr>
              <w:t>191</w:t>
            </w:r>
          </w:p>
        </w:tc>
        <w:tc>
          <w:tcPr>
            <w:tcW w:w="851" w:type="dxa"/>
            <w:shd w:val="clear" w:color="auto" w:fill="C6EFCE"/>
            <w:noWrap/>
          </w:tcPr>
          <w:p w14:paraId="764559FA" w14:textId="77777777" w:rsidR="003E1D81" w:rsidRDefault="00EB481C">
            <w:pPr>
              <w:pStyle w:val="P68B1DB1-Normal13"/>
              <w:spacing w:after="0" w:line="240" w:lineRule="auto"/>
              <w:jc w:val="center"/>
              <w:rPr>
                <w:rFonts w:eastAsia="Times New Roman" w:cs="Times New Roman"/>
                <w:noProof/>
              </w:rPr>
            </w:pPr>
            <w:r>
              <w:rPr>
                <w:noProof/>
              </w:rPr>
              <w:t>C13.R1</w:t>
            </w:r>
          </w:p>
        </w:tc>
        <w:tc>
          <w:tcPr>
            <w:tcW w:w="850" w:type="dxa"/>
            <w:shd w:val="clear" w:color="auto" w:fill="C6EFCE"/>
            <w:noWrap/>
          </w:tcPr>
          <w:p w14:paraId="5D99C20E" w14:textId="77777777" w:rsidR="003E1D81" w:rsidRDefault="00EB481C">
            <w:pPr>
              <w:pStyle w:val="P68B1DB1-Normal13"/>
              <w:spacing w:after="0" w:line="240" w:lineRule="auto"/>
              <w:jc w:val="center"/>
              <w:rPr>
                <w:rFonts w:eastAsia="Times New Roman" w:cs="Times New Roman"/>
                <w:noProof/>
              </w:rPr>
            </w:pPr>
            <w:r>
              <w:rPr>
                <w:noProof/>
              </w:rPr>
              <w:t>M</w:t>
            </w:r>
          </w:p>
        </w:tc>
        <w:tc>
          <w:tcPr>
            <w:tcW w:w="1985" w:type="dxa"/>
            <w:shd w:val="clear" w:color="auto" w:fill="C6EFCE"/>
            <w:noWrap/>
          </w:tcPr>
          <w:p w14:paraId="6EB68533" w14:textId="77777777" w:rsidR="003E1D81" w:rsidRDefault="00EB481C">
            <w:pPr>
              <w:pStyle w:val="P68B1DB1-Normal13"/>
              <w:spacing w:after="0" w:line="240" w:lineRule="auto"/>
              <w:rPr>
                <w:rFonts w:eastAsia="Times New Roman" w:cs="Times New Roman"/>
                <w:noProof/>
              </w:rPr>
            </w:pPr>
            <w:r>
              <w:rPr>
                <w:noProof/>
              </w:rPr>
              <w:t>Az üzleti vállalkozások alapításáról és növekedéséről szóló törvény hatálybalépése</w:t>
            </w:r>
          </w:p>
        </w:tc>
        <w:tc>
          <w:tcPr>
            <w:tcW w:w="1134" w:type="dxa"/>
            <w:shd w:val="clear" w:color="auto" w:fill="C6EFCE"/>
            <w:noWrap/>
          </w:tcPr>
          <w:p w14:paraId="6B20E7DE" w14:textId="77777777" w:rsidR="003E1D81" w:rsidRDefault="00EB481C">
            <w:pPr>
              <w:pStyle w:val="P68B1DB1-Normal13"/>
              <w:spacing w:after="0" w:line="240" w:lineRule="auto"/>
              <w:jc w:val="center"/>
              <w:rPr>
                <w:rFonts w:eastAsia="Times New Roman" w:cs="Times New Roman"/>
                <w:noProof/>
              </w:rPr>
            </w:pPr>
            <w:r>
              <w:rPr>
                <w:noProof/>
              </w:rPr>
              <w:t xml:space="preserve">A törvény hatálybalépésére vonatkozó jogszabályi rendelkezés </w:t>
            </w:r>
          </w:p>
        </w:tc>
        <w:tc>
          <w:tcPr>
            <w:tcW w:w="709" w:type="dxa"/>
            <w:shd w:val="clear" w:color="auto" w:fill="C6EFCE"/>
            <w:noWrap/>
          </w:tcPr>
          <w:p w14:paraId="686C10AE" w14:textId="77777777" w:rsidR="003E1D81" w:rsidRDefault="00EB481C">
            <w:pPr>
              <w:pStyle w:val="P68B1DB1-Normal13"/>
              <w:spacing w:after="0" w:line="240" w:lineRule="auto"/>
              <w:jc w:val="center"/>
              <w:rPr>
                <w:rFonts w:eastAsia="Times New Roman" w:cs="Times New Roman"/>
                <w:noProof/>
              </w:rPr>
            </w:pPr>
            <w:r>
              <w:rPr>
                <w:noProof/>
              </w:rPr>
              <w:t> </w:t>
            </w:r>
          </w:p>
        </w:tc>
        <w:tc>
          <w:tcPr>
            <w:tcW w:w="708" w:type="dxa"/>
            <w:shd w:val="clear" w:color="auto" w:fill="C6EFCE"/>
            <w:noWrap/>
          </w:tcPr>
          <w:p w14:paraId="14C8C5BF"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556DE64"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09E9066"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7E166C72" w14:textId="77777777" w:rsidR="003E1D81" w:rsidRDefault="00EB481C">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3D4B57FC" w14:textId="77777777" w:rsidR="003E1D81" w:rsidRDefault="00EB481C">
            <w:pPr>
              <w:pStyle w:val="P68B1DB1-Normal13"/>
              <w:spacing w:after="0" w:line="240" w:lineRule="auto"/>
              <w:rPr>
                <w:rFonts w:eastAsia="Times New Roman" w:cs="Times New Roman"/>
                <w:noProof/>
              </w:rPr>
            </w:pPr>
            <w:r>
              <w:rPr>
                <w:noProof/>
              </w:rPr>
              <w:t>A vállalkozások alapításáról és növekedéséről szóló új törvény hatálybalépése a vállalkozásalapítási eljárások egyszerűsítése és a vállalkozások növekedésének diverzifikált f</w:t>
            </w:r>
            <w:r>
              <w:rPr>
                <w:noProof/>
              </w:rPr>
              <w:t>inanszírozási forrásainak előmozdítása érdekében. Az üzleti vállalkozások alapításáról és növekedéséről szóló törvénynek tartalmaznia kell a korai fizetési kultúra előmozdítását célzó intézkedéseket is, nevezetesen a kkv-k és az önfoglalkoztatók likviditás</w:t>
            </w:r>
            <w:r>
              <w:rPr>
                <w:noProof/>
              </w:rPr>
              <w:t>ának a késedelmes fizetések elkerülése révén történő biztosítását. A korai fizetési kultúra előmozdítása érdekében végrehajtandó intézkedések közé tartoznak a fizetési határidők nyilvánosságára és átláthatóságára vonatkozó iránymutatások, a bevált üzleti g</w:t>
            </w:r>
            <w:r>
              <w:rPr>
                <w:noProof/>
              </w:rPr>
              <w:t>yakorlatok és a jobb végrehajtást szolgáló mechanizmusok, például a peren kívüli vitarendezési rendszer. Az üzleti vállalkozások alapításáról és növekedéséről szóló törvénynek tartalmaznia kell a „piaci egységről szóló törvény” módosításait is annak érdeké</w:t>
            </w:r>
            <w:r>
              <w:rPr>
                <w:noProof/>
              </w:rPr>
              <w:t xml:space="preserve">ben, hogy megkönnyítse annak végrehajtását, és megerősítse a piaci akadályok által érintett piaci szereplők rendelkezésére álló mechanizmusokat. Új ágazati konferenciát kell létrehozni a szabályozás javítása és az üzleti klíma témájában, hogy megkönnyítse </w:t>
            </w:r>
            <w:r>
              <w:rPr>
                <w:noProof/>
              </w:rPr>
              <w:t xml:space="preserve">a helyes szabályozás elveinek valamennyi közigazgatási szerv általi helyes alkalmazását, és biztosítsa a különböző közigazgatási szervek optimális koordinációját. </w:t>
            </w:r>
          </w:p>
        </w:tc>
      </w:tr>
      <w:tr w:rsidR="003E1D81" w14:paraId="248732C2" w14:textId="77777777">
        <w:trPr>
          <w:trHeight w:val="309"/>
        </w:trPr>
        <w:tc>
          <w:tcPr>
            <w:tcW w:w="709" w:type="dxa"/>
            <w:shd w:val="clear" w:color="auto" w:fill="C6EFCE"/>
            <w:noWrap/>
          </w:tcPr>
          <w:p w14:paraId="297C70A3" w14:textId="4BCC95D8" w:rsidR="003E1D81" w:rsidRDefault="00EB481C">
            <w:pPr>
              <w:pStyle w:val="P68B1DB1-Normal13"/>
              <w:spacing w:after="0" w:line="240" w:lineRule="auto"/>
              <w:jc w:val="center"/>
              <w:rPr>
                <w:rFonts w:cs="Times New Roman"/>
                <w:noProof/>
              </w:rPr>
            </w:pPr>
            <w:r>
              <w:rPr>
                <w:noProof/>
              </w:rPr>
              <w:t>449</w:t>
            </w:r>
          </w:p>
        </w:tc>
        <w:tc>
          <w:tcPr>
            <w:tcW w:w="851" w:type="dxa"/>
            <w:shd w:val="clear" w:color="auto" w:fill="C6EFCE"/>
            <w:noWrap/>
          </w:tcPr>
          <w:p w14:paraId="25F9E4EC" w14:textId="77777777" w:rsidR="003E1D81" w:rsidRDefault="00EB481C">
            <w:pPr>
              <w:pStyle w:val="P68B1DB1-Normal13"/>
              <w:spacing w:after="0" w:line="240" w:lineRule="auto"/>
              <w:jc w:val="center"/>
              <w:rPr>
                <w:rFonts w:cs="Times New Roman"/>
                <w:noProof/>
              </w:rPr>
            </w:pPr>
            <w:r>
              <w:rPr>
                <w:noProof/>
              </w:rPr>
              <w:t>C13.R1</w:t>
            </w:r>
          </w:p>
        </w:tc>
        <w:tc>
          <w:tcPr>
            <w:tcW w:w="850" w:type="dxa"/>
            <w:shd w:val="clear" w:color="auto" w:fill="C6EFCE"/>
            <w:noWrap/>
          </w:tcPr>
          <w:p w14:paraId="7ED0050D" w14:textId="77777777" w:rsidR="003E1D81" w:rsidRDefault="00EB481C">
            <w:pPr>
              <w:pStyle w:val="P68B1DB1-Normal13"/>
              <w:spacing w:after="0" w:line="240" w:lineRule="auto"/>
              <w:jc w:val="center"/>
              <w:rPr>
                <w:rFonts w:cs="Times New Roman"/>
                <w:noProof/>
              </w:rPr>
            </w:pPr>
            <w:r>
              <w:rPr>
                <w:noProof/>
              </w:rPr>
              <w:t>M </w:t>
            </w:r>
          </w:p>
        </w:tc>
        <w:tc>
          <w:tcPr>
            <w:tcW w:w="1985" w:type="dxa"/>
            <w:shd w:val="clear" w:color="auto" w:fill="C6EFCE"/>
            <w:noWrap/>
          </w:tcPr>
          <w:p w14:paraId="0D5EC354" w14:textId="77777777" w:rsidR="003E1D81" w:rsidRDefault="00EB481C">
            <w:pPr>
              <w:pStyle w:val="P68B1DB1-Normal13"/>
              <w:spacing w:after="0" w:line="240" w:lineRule="auto"/>
              <w:rPr>
                <w:rFonts w:cs="Times New Roman"/>
                <w:noProof/>
              </w:rPr>
            </w:pPr>
            <w:r>
              <w:rPr>
                <w:noProof/>
              </w:rPr>
              <w:t xml:space="preserve">A verseny védelméről szóló törvény és annak rendeletei módosításainak </w:t>
            </w:r>
            <w:r>
              <w:rPr>
                <w:noProof/>
              </w:rPr>
              <w:t>hatálybalépése</w:t>
            </w:r>
          </w:p>
        </w:tc>
        <w:tc>
          <w:tcPr>
            <w:tcW w:w="1134" w:type="dxa"/>
            <w:shd w:val="clear" w:color="auto" w:fill="C6EFCE"/>
            <w:noWrap/>
          </w:tcPr>
          <w:p w14:paraId="07782DE2" w14:textId="77777777" w:rsidR="003E1D81" w:rsidRDefault="00EB481C">
            <w:pPr>
              <w:pStyle w:val="P68B1DB1-Normal13"/>
              <w:spacing w:after="0" w:line="240" w:lineRule="auto"/>
              <w:jc w:val="center"/>
              <w:rPr>
                <w:rFonts w:cs="Times New Roman"/>
                <w:noProof/>
              </w:rPr>
            </w:pPr>
            <w:r>
              <w:rPr>
                <w:noProof/>
              </w:rPr>
              <w:t>A törvény és annak rendeletei módosításainak hatálybalépésére vonatkozó rendelkezés</w:t>
            </w:r>
          </w:p>
        </w:tc>
        <w:tc>
          <w:tcPr>
            <w:tcW w:w="709" w:type="dxa"/>
            <w:shd w:val="clear" w:color="auto" w:fill="C6EFCE"/>
            <w:noWrap/>
          </w:tcPr>
          <w:p w14:paraId="2884EBB4" w14:textId="77777777" w:rsidR="003E1D81" w:rsidRDefault="00EB481C">
            <w:pPr>
              <w:pStyle w:val="P68B1DB1-Normal13"/>
              <w:spacing w:after="0" w:line="240" w:lineRule="auto"/>
              <w:jc w:val="center"/>
              <w:rPr>
                <w:rFonts w:cs="Times New Roman"/>
                <w:noProof/>
              </w:rPr>
            </w:pPr>
            <w:r>
              <w:rPr>
                <w:noProof/>
              </w:rPr>
              <w:t> </w:t>
            </w:r>
          </w:p>
        </w:tc>
        <w:tc>
          <w:tcPr>
            <w:tcW w:w="708" w:type="dxa"/>
            <w:shd w:val="clear" w:color="auto" w:fill="C6EFCE"/>
            <w:noWrap/>
          </w:tcPr>
          <w:p w14:paraId="0E531F80" w14:textId="77777777" w:rsidR="003E1D81" w:rsidRDefault="00EB481C">
            <w:pPr>
              <w:pStyle w:val="P68B1DB1-Normal13"/>
              <w:spacing w:after="0" w:line="240" w:lineRule="auto"/>
              <w:jc w:val="right"/>
              <w:rPr>
                <w:rFonts w:cs="Times New Roman"/>
                <w:noProof/>
              </w:rPr>
            </w:pPr>
            <w:r>
              <w:rPr>
                <w:noProof/>
              </w:rPr>
              <w:t> </w:t>
            </w:r>
          </w:p>
        </w:tc>
        <w:tc>
          <w:tcPr>
            <w:tcW w:w="709" w:type="dxa"/>
            <w:shd w:val="clear" w:color="auto" w:fill="C6EFCE"/>
            <w:noWrap/>
          </w:tcPr>
          <w:p w14:paraId="25EC3370" w14:textId="77777777" w:rsidR="003E1D81" w:rsidRDefault="00EB481C">
            <w:pPr>
              <w:pStyle w:val="P68B1DB1-Normal13"/>
              <w:spacing w:after="0" w:line="240" w:lineRule="auto"/>
              <w:jc w:val="right"/>
              <w:rPr>
                <w:rFonts w:cs="Times New Roman"/>
                <w:noProof/>
              </w:rPr>
            </w:pPr>
            <w:r>
              <w:rPr>
                <w:noProof/>
              </w:rPr>
              <w:t> </w:t>
            </w:r>
          </w:p>
        </w:tc>
        <w:tc>
          <w:tcPr>
            <w:tcW w:w="567" w:type="dxa"/>
            <w:shd w:val="clear" w:color="auto" w:fill="C6EFCE"/>
            <w:noWrap/>
          </w:tcPr>
          <w:p w14:paraId="717E2388"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0F25FC10" w14:textId="77777777" w:rsidR="003E1D81" w:rsidRDefault="00EB481C">
            <w:pPr>
              <w:pStyle w:val="P68B1DB1-Normal13"/>
              <w:spacing w:after="0" w:line="240" w:lineRule="auto"/>
              <w:jc w:val="center"/>
              <w:rPr>
                <w:rFonts w:cs="Times New Roman"/>
                <w:noProof/>
              </w:rPr>
            </w:pPr>
            <w:r>
              <w:rPr>
                <w:noProof/>
              </w:rPr>
              <w:t>2025</w:t>
            </w:r>
          </w:p>
        </w:tc>
        <w:tc>
          <w:tcPr>
            <w:tcW w:w="6662" w:type="dxa"/>
            <w:shd w:val="clear" w:color="auto" w:fill="C6EFCE"/>
            <w:noWrap/>
          </w:tcPr>
          <w:p w14:paraId="3F43BBC4" w14:textId="77777777" w:rsidR="003E1D81" w:rsidRDefault="00EB481C">
            <w:pPr>
              <w:pStyle w:val="P68B1DB1-Normal13"/>
              <w:spacing w:after="0" w:line="240" w:lineRule="auto"/>
              <w:rPr>
                <w:rFonts w:eastAsia="Times New Roman" w:cs="Times New Roman"/>
                <w:noProof/>
              </w:rPr>
            </w:pPr>
            <w:r>
              <w:rPr>
                <w:noProof/>
              </w:rPr>
              <w:t>A verseny védelméről szóló törvény és annak rendeletei módosításainak hatálybalépése.</w:t>
            </w:r>
          </w:p>
        </w:tc>
      </w:tr>
      <w:tr w:rsidR="003E1D81" w14:paraId="7DB6EB05" w14:textId="77777777">
        <w:trPr>
          <w:trHeight w:val="309"/>
        </w:trPr>
        <w:tc>
          <w:tcPr>
            <w:tcW w:w="709" w:type="dxa"/>
            <w:shd w:val="clear" w:color="auto" w:fill="C6EFCE"/>
            <w:noWrap/>
          </w:tcPr>
          <w:p w14:paraId="2D973C8D" w14:textId="73945A9B" w:rsidR="003E1D81" w:rsidRDefault="00EB481C">
            <w:pPr>
              <w:pStyle w:val="P68B1DB1-Normal13"/>
              <w:spacing w:after="0" w:line="240" w:lineRule="auto"/>
              <w:jc w:val="center"/>
              <w:rPr>
                <w:rFonts w:cs="Times New Roman"/>
                <w:noProof/>
              </w:rPr>
            </w:pPr>
            <w:r>
              <w:rPr>
                <w:noProof/>
              </w:rPr>
              <w:t>450</w:t>
            </w:r>
          </w:p>
        </w:tc>
        <w:tc>
          <w:tcPr>
            <w:tcW w:w="851" w:type="dxa"/>
            <w:shd w:val="clear" w:color="auto" w:fill="C6EFCE"/>
            <w:noWrap/>
          </w:tcPr>
          <w:p w14:paraId="1DFAC27E" w14:textId="1D64EE03" w:rsidR="003E1D81" w:rsidRDefault="00EB481C">
            <w:pPr>
              <w:pStyle w:val="P68B1DB1-Normal13"/>
              <w:spacing w:after="0" w:line="240" w:lineRule="auto"/>
              <w:jc w:val="center"/>
              <w:rPr>
                <w:rFonts w:cs="Times New Roman"/>
                <w:noProof/>
              </w:rPr>
            </w:pPr>
            <w:r>
              <w:rPr>
                <w:noProof/>
              </w:rPr>
              <w:t>C13.R2</w:t>
            </w:r>
          </w:p>
        </w:tc>
        <w:tc>
          <w:tcPr>
            <w:tcW w:w="850" w:type="dxa"/>
            <w:shd w:val="clear" w:color="auto" w:fill="C6EFCE"/>
            <w:noWrap/>
          </w:tcPr>
          <w:p w14:paraId="38042A60" w14:textId="440BACC0" w:rsidR="003E1D81" w:rsidRDefault="00EB481C">
            <w:pPr>
              <w:pStyle w:val="P68B1DB1-Normal13"/>
              <w:spacing w:after="0" w:line="240" w:lineRule="auto"/>
              <w:jc w:val="center"/>
              <w:rPr>
                <w:rFonts w:cs="Times New Roman"/>
                <w:noProof/>
              </w:rPr>
            </w:pPr>
            <w:r>
              <w:rPr>
                <w:noProof/>
              </w:rPr>
              <w:t>M</w:t>
            </w:r>
          </w:p>
        </w:tc>
        <w:tc>
          <w:tcPr>
            <w:tcW w:w="1985" w:type="dxa"/>
            <w:shd w:val="clear" w:color="auto" w:fill="C6EFCE"/>
            <w:noWrap/>
          </w:tcPr>
          <w:p w14:paraId="12DA6D1C" w14:textId="0EEF1C6B" w:rsidR="003E1D81" w:rsidRDefault="00EB481C">
            <w:pPr>
              <w:pStyle w:val="P68B1DB1-Normal13"/>
              <w:spacing w:after="0" w:line="240" w:lineRule="auto"/>
              <w:rPr>
                <w:rFonts w:cs="Times New Roman"/>
                <w:noProof/>
              </w:rPr>
            </w:pPr>
            <w:r>
              <w:rPr>
                <w:noProof/>
              </w:rPr>
              <w:t xml:space="preserve">A Spanyolországban tartózkodó </w:t>
            </w:r>
            <w:r>
              <w:rPr>
                <w:noProof/>
              </w:rPr>
              <w:t>külföldiek jogairól és szabadságairól, valamint társadalmi integrációjukról szóló 4/2000. sz. sarkalatos törvény módosításáról szóló, július 26-i 629/2022. sz. királyi rendelet hatálybalépése</w:t>
            </w:r>
          </w:p>
        </w:tc>
        <w:tc>
          <w:tcPr>
            <w:tcW w:w="1134" w:type="dxa"/>
            <w:shd w:val="clear" w:color="auto" w:fill="C6EFCE"/>
            <w:noWrap/>
          </w:tcPr>
          <w:p w14:paraId="6098828B" w14:textId="485D5F35" w:rsidR="003E1D81" w:rsidRDefault="00EB481C">
            <w:pPr>
              <w:pStyle w:val="P68B1DB1-Normal13"/>
              <w:spacing w:after="0" w:line="240" w:lineRule="auto"/>
              <w:jc w:val="center"/>
              <w:rPr>
                <w:rFonts w:cs="Times New Roman"/>
                <w:noProof/>
              </w:rPr>
            </w:pPr>
            <w:r>
              <w:rPr>
                <w:noProof/>
              </w:rPr>
              <w:t>A királyi rendelet vonatkozó rendelkezések hatálybalépésére vona</w:t>
            </w:r>
            <w:r>
              <w:rPr>
                <w:noProof/>
              </w:rPr>
              <w:t>tkozó rendelkezése</w:t>
            </w:r>
          </w:p>
        </w:tc>
        <w:tc>
          <w:tcPr>
            <w:tcW w:w="709" w:type="dxa"/>
            <w:shd w:val="clear" w:color="auto" w:fill="C6EFCE"/>
            <w:noWrap/>
          </w:tcPr>
          <w:p w14:paraId="55D4F140" w14:textId="77777777" w:rsidR="003E1D81" w:rsidRDefault="003E1D81">
            <w:pPr>
              <w:spacing w:after="0" w:line="240" w:lineRule="auto"/>
              <w:jc w:val="center"/>
              <w:rPr>
                <w:rFonts w:ascii="Times New Roman" w:hAnsi="Times New Roman" w:cs="Times New Roman"/>
                <w:noProof/>
                <w:sz w:val="18"/>
              </w:rPr>
            </w:pPr>
          </w:p>
        </w:tc>
        <w:tc>
          <w:tcPr>
            <w:tcW w:w="708" w:type="dxa"/>
            <w:shd w:val="clear" w:color="auto" w:fill="C6EFCE"/>
            <w:noWrap/>
          </w:tcPr>
          <w:p w14:paraId="65380D86" w14:textId="77777777" w:rsidR="003E1D81" w:rsidRDefault="003E1D81">
            <w:pPr>
              <w:spacing w:after="0" w:line="240" w:lineRule="auto"/>
              <w:jc w:val="right"/>
              <w:rPr>
                <w:rFonts w:ascii="Times New Roman" w:hAnsi="Times New Roman" w:cs="Times New Roman"/>
                <w:noProof/>
                <w:sz w:val="18"/>
              </w:rPr>
            </w:pPr>
          </w:p>
        </w:tc>
        <w:tc>
          <w:tcPr>
            <w:tcW w:w="709" w:type="dxa"/>
            <w:shd w:val="clear" w:color="auto" w:fill="C6EFCE"/>
            <w:noWrap/>
          </w:tcPr>
          <w:p w14:paraId="326BAF63" w14:textId="77777777" w:rsidR="003E1D81" w:rsidRDefault="003E1D81">
            <w:pPr>
              <w:spacing w:after="0" w:line="240" w:lineRule="auto"/>
              <w:jc w:val="right"/>
              <w:rPr>
                <w:rFonts w:ascii="Times New Roman" w:hAnsi="Times New Roman" w:cs="Times New Roman"/>
                <w:noProof/>
                <w:sz w:val="18"/>
              </w:rPr>
            </w:pPr>
          </w:p>
        </w:tc>
        <w:tc>
          <w:tcPr>
            <w:tcW w:w="567" w:type="dxa"/>
            <w:shd w:val="clear" w:color="auto" w:fill="C6EFCE"/>
            <w:noWrap/>
          </w:tcPr>
          <w:p w14:paraId="68343D68" w14:textId="411A585C"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3724B3D2" w14:textId="2ABC8EAD" w:rsidR="003E1D81" w:rsidRDefault="00EB481C">
            <w:pPr>
              <w:pStyle w:val="P68B1DB1-Normal13"/>
              <w:spacing w:after="0" w:line="240" w:lineRule="auto"/>
              <w:jc w:val="center"/>
              <w:rPr>
                <w:rFonts w:cs="Times New Roman"/>
                <w:noProof/>
              </w:rPr>
            </w:pPr>
            <w:r>
              <w:rPr>
                <w:noProof/>
              </w:rPr>
              <w:t>2022</w:t>
            </w:r>
          </w:p>
        </w:tc>
        <w:tc>
          <w:tcPr>
            <w:tcW w:w="6662" w:type="dxa"/>
            <w:shd w:val="clear" w:color="auto" w:fill="C6EFCE"/>
            <w:noWrap/>
          </w:tcPr>
          <w:p w14:paraId="16134E7E" w14:textId="1EBA40BE" w:rsidR="003E1D81" w:rsidRDefault="00EB481C">
            <w:pPr>
              <w:pStyle w:val="P68B1DB1-Normal13"/>
              <w:spacing w:after="0" w:line="240" w:lineRule="auto"/>
              <w:rPr>
                <w:rFonts w:cs="Times New Roman"/>
                <w:noProof/>
              </w:rPr>
            </w:pPr>
            <w:r>
              <w:rPr>
                <w:noProof/>
              </w:rPr>
              <w:t>A külföldiek jogairól és szabadságairól, valamint társadalmi integrációjukról szóló 4/2000. sz. sarkalatos törvénynek az intézkedés leírásával összhangban történő módosításáról szóló, július 26-i 629/2022. sz. királyi re</w:t>
            </w:r>
            <w:r>
              <w:rPr>
                <w:noProof/>
              </w:rPr>
              <w:t>ndelet vonatkozó rendelkezéseinek hatálybalépése.</w:t>
            </w:r>
          </w:p>
        </w:tc>
      </w:tr>
      <w:tr w:rsidR="003E1D81" w14:paraId="7668D217" w14:textId="77777777">
        <w:trPr>
          <w:trHeight w:val="309"/>
        </w:trPr>
        <w:tc>
          <w:tcPr>
            <w:tcW w:w="709" w:type="dxa"/>
            <w:shd w:val="clear" w:color="auto" w:fill="C6EFCE"/>
            <w:noWrap/>
          </w:tcPr>
          <w:p w14:paraId="71B30D2C" w14:textId="77777777" w:rsidR="003E1D81" w:rsidRDefault="00EB481C">
            <w:pPr>
              <w:pStyle w:val="P68B1DB1-Normal13"/>
              <w:spacing w:after="0" w:line="240" w:lineRule="auto"/>
              <w:jc w:val="center"/>
              <w:rPr>
                <w:rFonts w:eastAsia="Times New Roman" w:cs="Times New Roman"/>
                <w:noProof/>
              </w:rPr>
            </w:pPr>
            <w:r>
              <w:rPr>
                <w:noProof/>
              </w:rPr>
              <w:t>192</w:t>
            </w:r>
          </w:p>
        </w:tc>
        <w:tc>
          <w:tcPr>
            <w:tcW w:w="851" w:type="dxa"/>
            <w:shd w:val="clear" w:color="auto" w:fill="C6EFCE"/>
            <w:noWrap/>
          </w:tcPr>
          <w:p w14:paraId="7D0D42DF" w14:textId="77777777" w:rsidR="003E1D81" w:rsidRDefault="00EB481C">
            <w:pPr>
              <w:pStyle w:val="P68B1DB1-Normal13"/>
              <w:spacing w:after="0" w:line="240" w:lineRule="auto"/>
              <w:jc w:val="center"/>
              <w:rPr>
                <w:rFonts w:eastAsia="Times New Roman" w:cs="Times New Roman"/>
                <w:noProof/>
              </w:rPr>
            </w:pPr>
            <w:r>
              <w:rPr>
                <w:noProof/>
              </w:rPr>
              <w:t>C13.R2</w:t>
            </w:r>
          </w:p>
        </w:tc>
        <w:tc>
          <w:tcPr>
            <w:tcW w:w="850" w:type="dxa"/>
            <w:shd w:val="clear" w:color="auto" w:fill="C6EFCE"/>
            <w:noWrap/>
          </w:tcPr>
          <w:p w14:paraId="00CB68D1" w14:textId="77777777" w:rsidR="003E1D81" w:rsidRDefault="00EB481C">
            <w:pPr>
              <w:pStyle w:val="P68B1DB1-Normal13"/>
              <w:spacing w:after="0" w:line="240" w:lineRule="auto"/>
              <w:jc w:val="center"/>
              <w:rPr>
                <w:rFonts w:eastAsia="Times New Roman" w:cs="Times New Roman"/>
                <w:noProof/>
              </w:rPr>
            </w:pPr>
            <w:r>
              <w:rPr>
                <w:noProof/>
              </w:rPr>
              <w:t>M</w:t>
            </w:r>
          </w:p>
        </w:tc>
        <w:tc>
          <w:tcPr>
            <w:tcW w:w="1985" w:type="dxa"/>
            <w:shd w:val="clear" w:color="auto" w:fill="C6EFCE"/>
            <w:noWrap/>
          </w:tcPr>
          <w:p w14:paraId="1680BA86" w14:textId="77777777" w:rsidR="003E1D81" w:rsidRDefault="00EB481C">
            <w:pPr>
              <w:pStyle w:val="P68B1DB1-Normal13"/>
              <w:spacing w:after="0" w:line="240" w:lineRule="auto"/>
              <w:rPr>
                <w:rFonts w:eastAsia="Times New Roman" w:cs="Times New Roman"/>
                <w:noProof/>
              </w:rPr>
            </w:pPr>
            <w:r>
              <w:rPr>
                <w:noProof/>
              </w:rPr>
              <w:t>Az induló vállalkozásokról szóló törvény hatálybalépése</w:t>
            </w:r>
          </w:p>
        </w:tc>
        <w:tc>
          <w:tcPr>
            <w:tcW w:w="1134" w:type="dxa"/>
            <w:shd w:val="clear" w:color="auto" w:fill="C6EFCE"/>
            <w:noWrap/>
          </w:tcPr>
          <w:p w14:paraId="63805AAE" w14:textId="77777777" w:rsidR="003E1D81" w:rsidRDefault="00EB481C">
            <w:pPr>
              <w:pStyle w:val="P68B1DB1-Normal13"/>
              <w:spacing w:after="0" w:line="240" w:lineRule="auto"/>
              <w:jc w:val="center"/>
              <w:rPr>
                <w:rFonts w:eastAsia="Times New Roman" w:cs="Times New Roman"/>
                <w:noProof/>
              </w:rPr>
            </w:pPr>
            <w:r>
              <w:rPr>
                <w:noProof/>
              </w:rPr>
              <w:t xml:space="preserve">A törvény hatálybalépésére vonatkozó jogszabályi rendelkezés </w:t>
            </w:r>
          </w:p>
        </w:tc>
        <w:tc>
          <w:tcPr>
            <w:tcW w:w="709" w:type="dxa"/>
            <w:shd w:val="clear" w:color="auto" w:fill="C6EFCE"/>
            <w:noWrap/>
          </w:tcPr>
          <w:p w14:paraId="4E23ACCC" w14:textId="77777777" w:rsidR="003E1D81" w:rsidRDefault="00EB481C">
            <w:pPr>
              <w:pStyle w:val="P68B1DB1-Normal13"/>
              <w:spacing w:after="0" w:line="240" w:lineRule="auto"/>
              <w:jc w:val="center"/>
              <w:rPr>
                <w:rFonts w:eastAsia="Times New Roman" w:cs="Times New Roman"/>
                <w:noProof/>
              </w:rPr>
            </w:pPr>
            <w:r>
              <w:rPr>
                <w:noProof/>
              </w:rPr>
              <w:t> </w:t>
            </w:r>
          </w:p>
        </w:tc>
        <w:tc>
          <w:tcPr>
            <w:tcW w:w="708" w:type="dxa"/>
            <w:shd w:val="clear" w:color="auto" w:fill="C6EFCE"/>
            <w:noWrap/>
          </w:tcPr>
          <w:p w14:paraId="49A8FFB3"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3665DF3"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392F3102"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6277EBC5" w14:textId="77777777" w:rsidR="003E1D81" w:rsidRDefault="00EB481C">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2D9CE0CD" w14:textId="77777777" w:rsidR="003E1D81" w:rsidRDefault="00EB481C">
            <w:pPr>
              <w:pStyle w:val="P68B1DB1-Normal13"/>
              <w:spacing w:after="0" w:line="240" w:lineRule="auto"/>
              <w:rPr>
                <w:rFonts w:eastAsia="Times New Roman" w:cs="Times New Roman"/>
                <w:noProof/>
              </w:rPr>
            </w:pPr>
            <w:r>
              <w:rPr>
                <w:noProof/>
              </w:rPr>
              <w:t xml:space="preserve">Az induló vállalkozásokról szóló törvény </w:t>
            </w:r>
            <w:r>
              <w:rPr>
                <w:noProof/>
              </w:rPr>
              <w:t>hatálybalépése, amely kedvező keretet teremt a rendkívül innovatív induló vállalkozások létrehozásához és növekedéséhez. Az induló vállalkozásokról szóló törvény – a költségvetési konszolidáció célkitűzéseivel összhangban – az induló vállalkozások fejlődés</w:t>
            </w:r>
            <w:r>
              <w:rPr>
                <w:noProof/>
              </w:rPr>
              <w:t>ének, valamint a külföldi vállalkozók és befektetők vonzerejének ösztönzésére és megkönnyítésére irányuló ösztönzők formájában bevezeti az adóhozzájárulások reformját. Az induló vállalkozásokról szóló törvénynek olyan mechanizmusokat is el kell fogadnia, a</w:t>
            </w:r>
            <w:r>
              <w:rPr>
                <w:noProof/>
              </w:rPr>
              <w:t>melyek megkönnyítik annak végrehajtását és a digitális vállalkozói ökoszisztémával kapcsolatos intézkedésekkel való kapcsolatát.</w:t>
            </w:r>
          </w:p>
        </w:tc>
      </w:tr>
      <w:tr w:rsidR="003E1D81" w14:paraId="1E6EB94D" w14:textId="77777777">
        <w:trPr>
          <w:trHeight w:val="309"/>
        </w:trPr>
        <w:tc>
          <w:tcPr>
            <w:tcW w:w="709" w:type="dxa"/>
            <w:shd w:val="clear" w:color="auto" w:fill="C6EFCE"/>
            <w:noWrap/>
          </w:tcPr>
          <w:p w14:paraId="318F0EB5" w14:textId="613F4F07" w:rsidR="003E1D81" w:rsidRDefault="00EB481C">
            <w:pPr>
              <w:pStyle w:val="P68B1DB1-Normal13"/>
              <w:spacing w:after="0" w:line="240" w:lineRule="auto"/>
              <w:jc w:val="center"/>
              <w:rPr>
                <w:rFonts w:cs="Times New Roman"/>
                <w:noProof/>
              </w:rPr>
            </w:pPr>
            <w:r>
              <w:rPr>
                <w:noProof/>
              </w:rPr>
              <w:t>451</w:t>
            </w:r>
          </w:p>
        </w:tc>
        <w:tc>
          <w:tcPr>
            <w:tcW w:w="851" w:type="dxa"/>
            <w:shd w:val="clear" w:color="auto" w:fill="C6EFCE"/>
            <w:noWrap/>
          </w:tcPr>
          <w:p w14:paraId="5833FDD5" w14:textId="77777777" w:rsidR="003E1D81" w:rsidRDefault="00EB481C">
            <w:pPr>
              <w:pStyle w:val="P68B1DB1-Normal13"/>
              <w:spacing w:after="0" w:line="240" w:lineRule="auto"/>
              <w:jc w:val="center"/>
              <w:rPr>
                <w:rFonts w:cs="Times New Roman"/>
                <w:noProof/>
              </w:rPr>
            </w:pPr>
            <w:r>
              <w:rPr>
                <w:noProof/>
              </w:rPr>
              <w:t>C13.R2</w:t>
            </w:r>
          </w:p>
        </w:tc>
        <w:tc>
          <w:tcPr>
            <w:tcW w:w="850" w:type="dxa"/>
            <w:shd w:val="clear" w:color="auto" w:fill="C6EFCE"/>
            <w:noWrap/>
          </w:tcPr>
          <w:p w14:paraId="5D9DCA8A" w14:textId="77777777" w:rsidR="003E1D81" w:rsidRDefault="00EB481C">
            <w:pPr>
              <w:pStyle w:val="P68B1DB1-Normal13"/>
              <w:spacing w:after="0" w:line="240" w:lineRule="auto"/>
              <w:jc w:val="center"/>
              <w:rPr>
                <w:rFonts w:cs="Times New Roman"/>
                <w:noProof/>
              </w:rPr>
            </w:pPr>
            <w:r>
              <w:rPr>
                <w:noProof/>
              </w:rPr>
              <w:t>M</w:t>
            </w:r>
          </w:p>
        </w:tc>
        <w:tc>
          <w:tcPr>
            <w:tcW w:w="1985" w:type="dxa"/>
            <w:shd w:val="clear" w:color="auto" w:fill="C6EFCE"/>
            <w:noWrap/>
          </w:tcPr>
          <w:p w14:paraId="096FFB22" w14:textId="77777777" w:rsidR="003E1D81" w:rsidRDefault="00EB481C">
            <w:pPr>
              <w:pStyle w:val="P68B1DB1-Normal13"/>
              <w:spacing w:after="0" w:line="240" w:lineRule="auto"/>
              <w:rPr>
                <w:rFonts w:cs="Times New Roman"/>
                <w:noProof/>
              </w:rPr>
            </w:pPr>
            <w:r>
              <w:rPr>
                <w:noProof/>
              </w:rPr>
              <w:t xml:space="preserve">A vállalkozók támogatásáról és nemzetközivé válásáról szóló, szeptember 27-i 14/2013. sz. törvény módosításának </w:t>
            </w:r>
            <w:r>
              <w:rPr>
                <w:noProof/>
              </w:rPr>
              <w:t>hatálybalépése</w:t>
            </w:r>
          </w:p>
        </w:tc>
        <w:tc>
          <w:tcPr>
            <w:tcW w:w="1134" w:type="dxa"/>
            <w:shd w:val="clear" w:color="auto" w:fill="C6EFCE"/>
            <w:noWrap/>
          </w:tcPr>
          <w:p w14:paraId="28020984" w14:textId="56A043DE" w:rsidR="003E1D81" w:rsidRDefault="00EB481C">
            <w:pPr>
              <w:pStyle w:val="P68B1DB1-Normal13"/>
              <w:spacing w:after="0" w:line="240" w:lineRule="auto"/>
              <w:jc w:val="center"/>
              <w:rPr>
                <w:rFonts w:cs="Times New Roman"/>
                <w:noProof/>
              </w:rPr>
            </w:pPr>
            <w:r>
              <w:rPr>
                <w:noProof/>
              </w:rPr>
              <w:t>A törvénymódosításban szereplő, a vonatkozó rendelkezések hatálybalépésére utaló rendelkezés</w:t>
            </w:r>
          </w:p>
        </w:tc>
        <w:tc>
          <w:tcPr>
            <w:tcW w:w="709" w:type="dxa"/>
            <w:shd w:val="clear" w:color="auto" w:fill="C6EFCE"/>
            <w:noWrap/>
          </w:tcPr>
          <w:p w14:paraId="7133CF56" w14:textId="77777777" w:rsidR="003E1D81" w:rsidRDefault="003E1D81">
            <w:pPr>
              <w:spacing w:after="0" w:line="240" w:lineRule="auto"/>
              <w:jc w:val="center"/>
              <w:rPr>
                <w:rFonts w:ascii="Times New Roman" w:hAnsi="Times New Roman" w:cs="Times New Roman"/>
                <w:noProof/>
                <w:sz w:val="18"/>
              </w:rPr>
            </w:pPr>
          </w:p>
        </w:tc>
        <w:tc>
          <w:tcPr>
            <w:tcW w:w="708" w:type="dxa"/>
            <w:shd w:val="clear" w:color="auto" w:fill="C6EFCE"/>
            <w:noWrap/>
          </w:tcPr>
          <w:p w14:paraId="6BA613E5" w14:textId="77777777" w:rsidR="003E1D81" w:rsidRDefault="003E1D81">
            <w:pPr>
              <w:spacing w:after="0" w:line="240" w:lineRule="auto"/>
              <w:jc w:val="right"/>
              <w:rPr>
                <w:rFonts w:ascii="Times New Roman" w:hAnsi="Times New Roman" w:cs="Times New Roman"/>
                <w:noProof/>
                <w:sz w:val="18"/>
              </w:rPr>
            </w:pPr>
          </w:p>
        </w:tc>
        <w:tc>
          <w:tcPr>
            <w:tcW w:w="709" w:type="dxa"/>
            <w:shd w:val="clear" w:color="auto" w:fill="C6EFCE"/>
            <w:noWrap/>
          </w:tcPr>
          <w:p w14:paraId="5D56298E" w14:textId="77777777" w:rsidR="003E1D81" w:rsidRDefault="003E1D81">
            <w:pPr>
              <w:spacing w:after="0" w:line="240" w:lineRule="auto"/>
              <w:jc w:val="right"/>
              <w:rPr>
                <w:rFonts w:ascii="Times New Roman" w:hAnsi="Times New Roman" w:cs="Times New Roman"/>
                <w:noProof/>
                <w:sz w:val="18"/>
              </w:rPr>
            </w:pPr>
          </w:p>
        </w:tc>
        <w:tc>
          <w:tcPr>
            <w:tcW w:w="567" w:type="dxa"/>
            <w:shd w:val="clear" w:color="auto" w:fill="C6EFCE"/>
            <w:noWrap/>
          </w:tcPr>
          <w:p w14:paraId="4D85260B"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08115EB3" w14:textId="77777777" w:rsidR="003E1D81" w:rsidRDefault="00EB481C">
            <w:pPr>
              <w:pStyle w:val="P68B1DB1-Normal13"/>
              <w:spacing w:after="0" w:line="240" w:lineRule="auto"/>
              <w:jc w:val="center"/>
              <w:rPr>
                <w:rFonts w:cs="Times New Roman"/>
                <w:noProof/>
              </w:rPr>
            </w:pPr>
            <w:r>
              <w:rPr>
                <w:noProof/>
              </w:rPr>
              <w:t>2023</w:t>
            </w:r>
          </w:p>
        </w:tc>
        <w:tc>
          <w:tcPr>
            <w:tcW w:w="6662" w:type="dxa"/>
            <w:shd w:val="clear" w:color="auto" w:fill="C6EFCE"/>
            <w:noWrap/>
          </w:tcPr>
          <w:p w14:paraId="1D6A9F51" w14:textId="77777777" w:rsidR="003E1D81" w:rsidRDefault="00EB481C">
            <w:pPr>
              <w:pStyle w:val="P68B1DB1-Normal13"/>
              <w:spacing w:after="0" w:line="240" w:lineRule="auto"/>
              <w:rPr>
                <w:rFonts w:cs="Times New Roman"/>
                <w:noProof/>
              </w:rPr>
            </w:pPr>
            <w:r>
              <w:rPr>
                <w:noProof/>
              </w:rPr>
              <w:t>A vállalkozók támogatásáról és nemzetközivé válásáról szóló, szeptember 27-i 14/2013. sz. törvény módosítása vonatkozó rendelkezése</w:t>
            </w:r>
            <w:r>
              <w:rPr>
                <w:noProof/>
              </w:rPr>
              <w:t>inek hatálybalépése az intézkedés leírásával összhangban.</w:t>
            </w:r>
          </w:p>
        </w:tc>
      </w:tr>
      <w:tr w:rsidR="003E1D81" w14:paraId="407FE735" w14:textId="77777777">
        <w:trPr>
          <w:trHeight w:val="309"/>
        </w:trPr>
        <w:tc>
          <w:tcPr>
            <w:tcW w:w="709" w:type="dxa"/>
            <w:shd w:val="clear" w:color="auto" w:fill="C6EFCE"/>
            <w:noWrap/>
          </w:tcPr>
          <w:p w14:paraId="18C76E68" w14:textId="6ABC1D27" w:rsidR="003E1D81" w:rsidRDefault="00EB481C">
            <w:pPr>
              <w:pStyle w:val="P68B1DB1-Normal13"/>
              <w:spacing w:line="240" w:lineRule="auto"/>
              <w:jc w:val="center"/>
              <w:rPr>
                <w:rFonts w:cs="Times New Roman"/>
                <w:noProof/>
              </w:rPr>
            </w:pPr>
            <w:r>
              <w:rPr>
                <w:noProof/>
              </w:rPr>
              <w:t>452</w:t>
            </w:r>
          </w:p>
        </w:tc>
        <w:tc>
          <w:tcPr>
            <w:tcW w:w="851" w:type="dxa"/>
            <w:shd w:val="clear" w:color="auto" w:fill="C6EFCE"/>
            <w:noWrap/>
          </w:tcPr>
          <w:p w14:paraId="35E33E6F" w14:textId="77777777" w:rsidR="003E1D81" w:rsidRDefault="00EB481C">
            <w:pPr>
              <w:pStyle w:val="P68B1DB1-Normal13"/>
              <w:spacing w:line="240" w:lineRule="auto"/>
              <w:jc w:val="center"/>
              <w:rPr>
                <w:rFonts w:cs="Times New Roman"/>
                <w:noProof/>
              </w:rPr>
            </w:pPr>
            <w:r>
              <w:rPr>
                <w:noProof/>
              </w:rPr>
              <w:t>C13.R3</w:t>
            </w:r>
          </w:p>
        </w:tc>
        <w:tc>
          <w:tcPr>
            <w:tcW w:w="850" w:type="dxa"/>
            <w:shd w:val="clear" w:color="auto" w:fill="C6EFCE"/>
            <w:noWrap/>
          </w:tcPr>
          <w:p w14:paraId="69DEFA12" w14:textId="77777777" w:rsidR="003E1D81" w:rsidRDefault="00EB481C">
            <w:pPr>
              <w:pStyle w:val="P68B1DB1-Normal13"/>
              <w:spacing w:after="0" w:line="240" w:lineRule="auto"/>
              <w:jc w:val="center"/>
              <w:rPr>
                <w:rFonts w:cs="Times New Roman"/>
                <w:noProof/>
              </w:rPr>
            </w:pPr>
            <w:r>
              <w:rPr>
                <w:noProof/>
              </w:rPr>
              <w:t>M</w:t>
            </w:r>
          </w:p>
        </w:tc>
        <w:tc>
          <w:tcPr>
            <w:tcW w:w="1985" w:type="dxa"/>
            <w:shd w:val="clear" w:color="auto" w:fill="C6EFCE"/>
            <w:noWrap/>
          </w:tcPr>
          <w:p w14:paraId="2A2C64E6" w14:textId="77777777" w:rsidR="003E1D81" w:rsidRDefault="00EB481C">
            <w:pPr>
              <w:pStyle w:val="P68B1DB1-Normal13"/>
              <w:spacing w:after="0" w:line="240" w:lineRule="auto"/>
              <w:rPr>
                <w:rFonts w:cs="Times New Roman"/>
                <w:noProof/>
              </w:rPr>
            </w:pPr>
            <w:r>
              <w:rPr>
                <w:noProof/>
              </w:rPr>
              <w:t>A kkv-k finanszírozáshoz való hozzáférésének javítására irányuló intézkedések a 2023. március 17-i 6/2023. sz. törvény módosításai révén.</w:t>
            </w:r>
          </w:p>
        </w:tc>
        <w:tc>
          <w:tcPr>
            <w:tcW w:w="1134" w:type="dxa"/>
            <w:shd w:val="clear" w:color="auto" w:fill="C6EFCE"/>
            <w:noWrap/>
          </w:tcPr>
          <w:p w14:paraId="042795AA" w14:textId="77777777" w:rsidR="003E1D81" w:rsidRDefault="00EB481C">
            <w:pPr>
              <w:pStyle w:val="P68B1DB1-Normal13"/>
              <w:spacing w:after="0" w:line="240" w:lineRule="auto"/>
              <w:jc w:val="center"/>
              <w:rPr>
                <w:rFonts w:cs="Times New Roman"/>
                <w:noProof/>
              </w:rPr>
            </w:pPr>
            <w:r>
              <w:rPr>
                <w:noProof/>
              </w:rPr>
              <w:t xml:space="preserve">A törvény hatálybalépésére vonatkozó </w:t>
            </w:r>
            <w:r>
              <w:rPr>
                <w:noProof/>
              </w:rPr>
              <w:t>jogszabályi rendelkezés</w:t>
            </w:r>
          </w:p>
        </w:tc>
        <w:tc>
          <w:tcPr>
            <w:tcW w:w="709" w:type="dxa"/>
            <w:shd w:val="clear" w:color="auto" w:fill="C6EFCE"/>
            <w:noWrap/>
          </w:tcPr>
          <w:p w14:paraId="7DA54085" w14:textId="77777777" w:rsidR="003E1D81" w:rsidRDefault="003E1D81">
            <w:pPr>
              <w:spacing w:line="240" w:lineRule="auto"/>
              <w:jc w:val="center"/>
              <w:rPr>
                <w:rFonts w:ascii="Times New Roman" w:hAnsi="Times New Roman" w:cs="Times New Roman"/>
                <w:noProof/>
                <w:sz w:val="18"/>
              </w:rPr>
            </w:pPr>
          </w:p>
        </w:tc>
        <w:tc>
          <w:tcPr>
            <w:tcW w:w="708" w:type="dxa"/>
            <w:shd w:val="clear" w:color="auto" w:fill="C6EFCE"/>
            <w:noWrap/>
          </w:tcPr>
          <w:p w14:paraId="47A91D23" w14:textId="77777777" w:rsidR="003E1D81" w:rsidRDefault="003E1D81">
            <w:pPr>
              <w:spacing w:line="240" w:lineRule="auto"/>
              <w:jc w:val="right"/>
              <w:rPr>
                <w:rFonts w:ascii="Times New Roman" w:hAnsi="Times New Roman" w:cs="Times New Roman"/>
                <w:noProof/>
                <w:sz w:val="18"/>
              </w:rPr>
            </w:pPr>
          </w:p>
        </w:tc>
        <w:tc>
          <w:tcPr>
            <w:tcW w:w="709" w:type="dxa"/>
            <w:shd w:val="clear" w:color="auto" w:fill="C6EFCE"/>
            <w:noWrap/>
          </w:tcPr>
          <w:p w14:paraId="3DCF9411" w14:textId="77777777" w:rsidR="003E1D81" w:rsidRDefault="003E1D81">
            <w:pPr>
              <w:spacing w:line="240" w:lineRule="auto"/>
              <w:jc w:val="right"/>
              <w:rPr>
                <w:rFonts w:ascii="Times New Roman" w:hAnsi="Times New Roman" w:cs="Times New Roman"/>
                <w:noProof/>
                <w:sz w:val="18"/>
              </w:rPr>
            </w:pPr>
          </w:p>
        </w:tc>
        <w:tc>
          <w:tcPr>
            <w:tcW w:w="567" w:type="dxa"/>
            <w:shd w:val="clear" w:color="auto" w:fill="C6EFCE"/>
            <w:noWrap/>
          </w:tcPr>
          <w:p w14:paraId="5F702D89" w14:textId="77777777" w:rsidR="003E1D81" w:rsidRDefault="00EB481C">
            <w:pPr>
              <w:pStyle w:val="P68B1DB1-Normal13"/>
              <w:spacing w:line="240" w:lineRule="auto"/>
              <w:jc w:val="center"/>
              <w:rPr>
                <w:rFonts w:cs="Times New Roman"/>
                <w:noProof/>
              </w:rPr>
            </w:pPr>
            <w:r>
              <w:rPr>
                <w:noProof/>
              </w:rPr>
              <w:t>KÉRDÉS</w:t>
            </w:r>
          </w:p>
        </w:tc>
        <w:tc>
          <w:tcPr>
            <w:tcW w:w="567" w:type="dxa"/>
            <w:shd w:val="clear" w:color="auto" w:fill="C6EFCE"/>
            <w:noWrap/>
          </w:tcPr>
          <w:p w14:paraId="6D8FC70B" w14:textId="77777777" w:rsidR="003E1D81" w:rsidRDefault="00EB481C">
            <w:pPr>
              <w:pStyle w:val="P68B1DB1-Normal13"/>
              <w:spacing w:line="240" w:lineRule="auto"/>
              <w:jc w:val="center"/>
              <w:rPr>
                <w:rFonts w:cs="Times New Roman"/>
                <w:noProof/>
              </w:rPr>
            </w:pPr>
            <w:r>
              <w:rPr>
                <w:noProof/>
              </w:rPr>
              <w:t>2024</w:t>
            </w:r>
          </w:p>
        </w:tc>
        <w:tc>
          <w:tcPr>
            <w:tcW w:w="6662" w:type="dxa"/>
            <w:shd w:val="clear" w:color="auto" w:fill="C6EFCE"/>
            <w:noWrap/>
          </w:tcPr>
          <w:p w14:paraId="3FD3EEE0" w14:textId="77777777" w:rsidR="003E1D81" w:rsidRDefault="00EB481C">
            <w:pPr>
              <w:pStyle w:val="P68B1DB1-Normal13"/>
              <w:spacing w:line="240" w:lineRule="auto"/>
              <w:rPr>
                <w:rFonts w:cs="Times New Roman"/>
                <w:noProof/>
              </w:rPr>
            </w:pPr>
            <w:r>
              <w:rPr>
                <w:noProof/>
              </w:rPr>
              <w:t xml:space="preserve">Az értékpapír-piacokról és a befektetési szolgáltatásokról szóló törvény hatálybalépése. Egyszerűsíti a fix kamatozású értékpapírok szabályozott piacra történő bevezetésének folyamatát, kiterjeszti a BME-növekedéshez </w:t>
            </w:r>
            <w:r>
              <w:rPr>
                <w:noProof/>
              </w:rPr>
              <w:t>való hozzáférést, kiterjeszti a kötelező nyilvános vételi ajánlatokat a szabályozott piacokon kereskedett értékpapírokon túl az MTF-eken kereskedett értékpapírokra, és csökkenti a pénzügyi piacokra való belépés akadályait azáltal, hogy megszünteti az érték</w:t>
            </w:r>
            <w:r>
              <w:rPr>
                <w:noProof/>
              </w:rPr>
              <w:t>papírok elszámolásának, elszámolásának és nyilvántartásba vételének nyomon követésére szolgáló információs rendszert (az úgynevezett kereskedés utáni interfészt).</w:t>
            </w:r>
          </w:p>
        </w:tc>
      </w:tr>
      <w:tr w:rsidR="003E1D81" w14:paraId="17D6ADC8" w14:textId="77777777">
        <w:trPr>
          <w:trHeight w:val="309"/>
        </w:trPr>
        <w:tc>
          <w:tcPr>
            <w:tcW w:w="709" w:type="dxa"/>
            <w:shd w:val="clear" w:color="auto" w:fill="C6EFCE"/>
            <w:noWrap/>
          </w:tcPr>
          <w:p w14:paraId="05D5C24F" w14:textId="77777777" w:rsidR="003E1D81" w:rsidRDefault="00EB481C">
            <w:pPr>
              <w:pStyle w:val="P68B1DB1-Normal13"/>
              <w:spacing w:after="0" w:line="240" w:lineRule="auto"/>
              <w:jc w:val="center"/>
              <w:rPr>
                <w:rFonts w:eastAsia="Times New Roman" w:cs="Times New Roman"/>
                <w:noProof/>
              </w:rPr>
            </w:pPr>
            <w:r>
              <w:rPr>
                <w:noProof/>
              </w:rPr>
              <w:t>193</w:t>
            </w:r>
          </w:p>
        </w:tc>
        <w:tc>
          <w:tcPr>
            <w:tcW w:w="851" w:type="dxa"/>
            <w:shd w:val="clear" w:color="auto" w:fill="C6EFCE"/>
            <w:noWrap/>
          </w:tcPr>
          <w:p w14:paraId="748C134F" w14:textId="77777777" w:rsidR="003E1D81" w:rsidRDefault="00EB481C">
            <w:pPr>
              <w:pStyle w:val="P68B1DB1-Normal13"/>
              <w:spacing w:after="0" w:line="240" w:lineRule="auto"/>
              <w:jc w:val="center"/>
              <w:rPr>
                <w:rFonts w:eastAsia="Times New Roman" w:cs="Times New Roman"/>
                <w:noProof/>
              </w:rPr>
            </w:pPr>
            <w:r>
              <w:rPr>
                <w:noProof/>
              </w:rPr>
              <w:t>C13.I1</w:t>
            </w:r>
          </w:p>
        </w:tc>
        <w:tc>
          <w:tcPr>
            <w:tcW w:w="850" w:type="dxa"/>
            <w:shd w:val="clear" w:color="auto" w:fill="C6EFCE"/>
            <w:noWrap/>
          </w:tcPr>
          <w:p w14:paraId="3CCDA9E5"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38FB9B1F" w14:textId="77777777" w:rsidR="003E1D81" w:rsidRDefault="00EB481C">
            <w:pPr>
              <w:pStyle w:val="P68B1DB1-Normal13"/>
              <w:spacing w:after="0" w:line="240" w:lineRule="auto"/>
              <w:rPr>
                <w:rFonts w:eastAsia="Times New Roman" w:cs="Times New Roman"/>
                <w:noProof/>
              </w:rPr>
            </w:pPr>
            <w:r>
              <w:rPr>
                <w:noProof/>
              </w:rPr>
              <w:t xml:space="preserve">A vállalkozói ökoszisztéma fellendítését célzó intézkedések előnyeit élvező </w:t>
            </w:r>
            <w:r>
              <w:rPr>
                <w:noProof/>
              </w:rPr>
              <w:t>vállalkozók vagy kkv-k</w:t>
            </w:r>
          </w:p>
        </w:tc>
        <w:tc>
          <w:tcPr>
            <w:tcW w:w="1134" w:type="dxa"/>
            <w:shd w:val="clear" w:color="auto" w:fill="C6EFCE"/>
            <w:noWrap/>
          </w:tcPr>
          <w:p w14:paraId="277AC171"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2B5BC2FA"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8" w:type="dxa"/>
            <w:shd w:val="clear" w:color="auto" w:fill="C6EFCE"/>
            <w:noWrap/>
          </w:tcPr>
          <w:p w14:paraId="7A53A9C3"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76A49FD6" w14:textId="77777777" w:rsidR="003E1D81" w:rsidRDefault="00EB481C">
            <w:pPr>
              <w:pStyle w:val="P68B1DB1-Normal13"/>
              <w:spacing w:after="0" w:line="240" w:lineRule="auto"/>
              <w:jc w:val="right"/>
              <w:rPr>
                <w:rFonts w:eastAsia="Times New Roman" w:cs="Times New Roman"/>
                <w:noProof/>
              </w:rPr>
            </w:pPr>
            <w:r>
              <w:rPr>
                <w:noProof/>
              </w:rPr>
              <w:t>6 900</w:t>
            </w:r>
          </w:p>
        </w:tc>
        <w:tc>
          <w:tcPr>
            <w:tcW w:w="567" w:type="dxa"/>
            <w:shd w:val="clear" w:color="auto" w:fill="C6EFCE"/>
            <w:noWrap/>
          </w:tcPr>
          <w:p w14:paraId="2494DAA4"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7D948FD4" w14:textId="5D588B4A" w:rsidR="003E1D81" w:rsidRDefault="00EB481C">
            <w:pPr>
              <w:pStyle w:val="P68B1DB1-Normal13"/>
              <w:spacing w:after="0" w:line="240" w:lineRule="auto"/>
              <w:jc w:val="center"/>
              <w:rPr>
                <w:rFonts w:eastAsia="Times New Roman" w:cs="Times New Roman"/>
                <w:noProof/>
              </w:rPr>
            </w:pPr>
            <w:r>
              <w:rPr>
                <w:noProof/>
              </w:rPr>
              <w:t>202</w:t>
            </w:r>
            <w:r>
              <w:rPr>
                <w:noProof/>
                <w:shd w:val="clear" w:color="auto" w:fill="E6E6E6"/>
              </w:rPr>
              <w:t>4</w:t>
            </w:r>
          </w:p>
        </w:tc>
        <w:tc>
          <w:tcPr>
            <w:tcW w:w="6662" w:type="dxa"/>
            <w:shd w:val="clear" w:color="auto" w:fill="C6EFCE"/>
            <w:noWrap/>
          </w:tcPr>
          <w:p w14:paraId="475EB871" w14:textId="09B85465" w:rsidR="003E1D81" w:rsidRDefault="00EB481C">
            <w:pPr>
              <w:pStyle w:val="P68B1DB1-Normal13"/>
              <w:spacing w:after="0" w:line="240" w:lineRule="auto"/>
              <w:rPr>
                <w:rFonts w:eastAsia="Times New Roman" w:cs="Times New Roman"/>
                <w:noProof/>
              </w:rPr>
            </w:pPr>
            <w:r>
              <w:rPr>
                <w:noProof/>
              </w:rPr>
              <w:t>Legalább 6900 vállalkozó vagy kkv, aki vagy amely a 2030-ig tartó időszakra vonatkozó kkv-politika stratégiai keretének, a spanyol vállalkozási stratégiának és a 2025-ig tartó időszakra vonatkozó spanyolo</w:t>
            </w:r>
            <w:r>
              <w:rPr>
                <w:noProof/>
              </w:rPr>
              <w:t>rszági digitális menetrendnek a égisze alatt végrehajtott, a vállalkozói ökoszisztéma fellendítését célzó programot hajtott végre, beleértve legalább 2000 női vállalkozót/kkv-t, akiket nők vezetnek vagy vettek részt. A vállalkozói készségfejlesztési progra</w:t>
            </w:r>
            <w:r>
              <w:rPr>
                <w:noProof/>
              </w:rPr>
              <w:t>mban (amelyből 1200 nő) 6100 vállalkozót és 800 női vállalkozót kell támogatni a női tehetséggondozási programon keresztül, valamint a jelentős károkozás elkerülését célzó technikai iránymutatásnak (2021/C58/01) megfelelően, kizárási lista használatával, v</w:t>
            </w:r>
            <w:r>
              <w:rPr>
                <w:noProof/>
              </w:rPr>
              <w:t>alamint a vonatkozó uniós és nemzeti környezetvédelmi jogszabályoknak való megfelelés követelményével összhangban.</w:t>
            </w:r>
          </w:p>
        </w:tc>
      </w:tr>
      <w:tr w:rsidR="003E1D81" w14:paraId="3CA897A7" w14:textId="77777777">
        <w:trPr>
          <w:trHeight w:val="309"/>
        </w:trPr>
        <w:tc>
          <w:tcPr>
            <w:tcW w:w="709" w:type="dxa"/>
            <w:shd w:val="clear" w:color="auto" w:fill="C6EFCE"/>
            <w:noWrap/>
          </w:tcPr>
          <w:p w14:paraId="21D58642" w14:textId="77777777" w:rsidR="003E1D81" w:rsidRDefault="00EB481C">
            <w:pPr>
              <w:pStyle w:val="P68B1DB1-Normal13"/>
              <w:spacing w:after="0" w:line="240" w:lineRule="auto"/>
              <w:jc w:val="center"/>
              <w:rPr>
                <w:rFonts w:eastAsia="Times New Roman" w:cs="Times New Roman"/>
                <w:noProof/>
              </w:rPr>
            </w:pPr>
            <w:r>
              <w:rPr>
                <w:noProof/>
              </w:rPr>
              <w:t>194</w:t>
            </w:r>
          </w:p>
        </w:tc>
        <w:tc>
          <w:tcPr>
            <w:tcW w:w="851" w:type="dxa"/>
            <w:shd w:val="clear" w:color="auto" w:fill="C6EFCE"/>
            <w:noWrap/>
          </w:tcPr>
          <w:p w14:paraId="178C5916" w14:textId="77777777" w:rsidR="003E1D81" w:rsidRDefault="00EB481C">
            <w:pPr>
              <w:pStyle w:val="P68B1DB1-Normal13"/>
              <w:spacing w:after="0" w:line="240" w:lineRule="auto"/>
              <w:jc w:val="center"/>
              <w:rPr>
                <w:rFonts w:eastAsia="Times New Roman" w:cs="Times New Roman"/>
                <w:noProof/>
              </w:rPr>
            </w:pPr>
            <w:r>
              <w:rPr>
                <w:noProof/>
              </w:rPr>
              <w:t>C13.I1</w:t>
            </w:r>
          </w:p>
        </w:tc>
        <w:tc>
          <w:tcPr>
            <w:tcW w:w="850" w:type="dxa"/>
            <w:shd w:val="clear" w:color="auto" w:fill="C6EFCE"/>
            <w:noWrap/>
          </w:tcPr>
          <w:p w14:paraId="7E4262ED"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53DA184E" w14:textId="77777777" w:rsidR="003E1D81" w:rsidRDefault="00EB481C">
            <w:pPr>
              <w:pStyle w:val="P68B1DB1-Normal13"/>
              <w:spacing w:after="0" w:line="240" w:lineRule="auto"/>
              <w:rPr>
                <w:rFonts w:eastAsia="Times New Roman" w:cs="Times New Roman"/>
                <w:noProof/>
              </w:rPr>
            </w:pPr>
            <w:r>
              <w:rPr>
                <w:noProof/>
              </w:rPr>
              <w:t>A vállalkozói ökoszisztéma fellendítését célzó intézkedések előnyeit élvező felhasználók</w:t>
            </w:r>
          </w:p>
        </w:tc>
        <w:tc>
          <w:tcPr>
            <w:tcW w:w="1134" w:type="dxa"/>
            <w:shd w:val="clear" w:color="auto" w:fill="C6EFCE"/>
            <w:noWrap/>
          </w:tcPr>
          <w:p w14:paraId="70E34C10"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5AE9F8F2"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8" w:type="dxa"/>
            <w:shd w:val="clear" w:color="auto" w:fill="C6EFCE"/>
            <w:noWrap/>
          </w:tcPr>
          <w:p w14:paraId="5D0054EC"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70C6C8FC" w14:textId="77777777" w:rsidR="003E1D81" w:rsidRDefault="00EB481C">
            <w:pPr>
              <w:pStyle w:val="P68B1DB1-Normal13"/>
              <w:spacing w:after="0" w:line="240" w:lineRule="auto"/>
              <w:jc w:val="right"/>
              <w:rPr>
                <w:rFonts w:eastAsia="Times New Roman" w:cs="Times New Roman"/>
                <w:noProof/>
              </w:rPr>
            </w:pPr>
            <w:r>
              <w:rPr>
                <w:noProof/>
              </w:rPr>
              <w:t>12 000</w:t>
            </w:r>
          </w:p>
        </w:tc>
        <w:tc>
          <w:tcPr>
            <w:tcW w:w="567" w:type="dxa"/>
            <w:shd w:val="clear" w:color="auto" w:fill="C6EFCE"/>
            <w:noWrap/>
          </w:tcPr>
          <w:p w14:paraId="151950EE"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074264CD" w14:textId="77777777" w:rsidR="003E1D81" w:rsidRDefault="00EB481C">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1921B1A4" w14:textId="0A0A590F" w:rsidR="003E1D81" w:rsidRDefault="00EB481C">
            <w:pPr>
              <w:pStyle w:val="P68B1DB1-Normal8"/>
              <w:spacing w:after="0" w:line="240" w:lineRule="auto"/>
              <w:rPr>
                <w:rFonts w:eastAsia="Times New Roman" w:cs="Times New Roman"/>
                <w:noProof/>
                <w:sz w:val="18"/>
              </w:rPr>
            </w:pPr>
            <w:r>
              <w:rPr>
                <w:noProof/>
                <w:sz w:val="18"/>
              </w:rPr>
              <w:t>Legalább</w:t>
            </w:r>
            <w:r>
              <w:rPr>
                <w:noProof/>
                <w:sz w:val="18"/>
              </w:rPr>
              <w:t xml:space="preserve"> 12000 felhasználó részesül a vállalkozói ökoszisztéma fellendítését célzó intézkedések előnyeiből a 2030-ig tartó időszakra vonatkozó kkv-politika stratégiai keretének, a spanyol vállalkozási stratégiának és a 2025-ig tartó időszakra vonatkozó spanyolorsz</w:t>
            </w:r>
            <w:r>
              <w:rPr>
                <w:noProof/>
                <w:sz w:val="18"/>
              </w:rPr>
              <w:t>ági digitális menetrendnek a égisze alatt; valamint a jelentős károkozás elkerülését célzó elvről szóló technikai iránymutatásnak (2021/C58/01) megfelelően, a kizárási lista és a vonatkozó uniós és nemzeti környezetvédelmi jogszabályoknak való megfelelés k</w:t>
            </w:r>
            <w:r>
              <w:rPr>
                <w:noProof/>
                <w:sz w:val="18"/>
              </w:rPr>
              <w:t>övetelménye révén.</w:t>
            </w:r>
          </w:p>
        </w:tc>
      </w:tr>
      <w:tr w:rsidR="003E1D81" w14:paraId="00F9D5E0" w14:textId="77777777">
        <w:trPr>
          <w:trHeight w:val="309"/>
        </w:trPr>
        <w:tc>
          <w:tcPr>
            <w:tcW w:w="709" w:type="dxa"/>
            <w:shd w:val="clear" w:color="auto" w:fill="C6EFCE"/>
            <w:noWrap/>
          </w:tcPr>
          <w:p w14:paraId="2ACEA88D" w14:textId="77777777" w:rsidR="003E1D81" w:rsidRDefault="00EB481C">
            <w:pPr>
              <w:pStyle w:val="P68B1DB1-Normal13"/>
              <w:spacing w:after="0" w:line="240" w:lineRule="auto"/>
              <w:jc w:val="center"/>
              <w:rPr>
                <w:rFonts w:eastAsia="Times New Roman" w:cs="Times New Roman"/>
                <w:noProof/>
              </w:rPr>
            </w:pPr>
            <w:r>
              <w:rPr>
                <w:noProof/>
              </w:rPr>
              <w:t>195</w:t>
            </w:r>
          </w:p>
        </w:tc>
        <w:tc>
          <w:tcPr>
            <w:tcW w:w="851" w:type="dxa"/>
            <w:shd w:val="clear" w:color="auto" w:fill="C6EFCE"/>
            <w:noWrap/>
          </w:tcPr>
          <w:p w14:paraId="5524FC9E" w14:textId="77777777" w:rsidR="003E1D81" w:rsidRDefault="00EB481C">
            <w:pPr>
              <w:pStyle w:val="P68B1DB1-Normal13"/>
              <w:spacing w:after="0" w:line="240" w:lineRule="auto"/>
              <w:jc w:val="center"/>
              <w:rPr>
                <w:rFonts w:eastAsia="Times New Roman" w:cs="Times New Roman"/>
                <w:noProof/>
              </w:rPr>
            </w:pPr>
            <w:r>
              <w:rPr>
                <w:noProof/>
              </w:rPr>
              <w:t>C13.I1</w:t>
            </w:r>
          </w:p>
        </w:tc>
        <w:tc>
          <w:tcPr>
            <w:tcW w:w="850" w:type="dxa"/>
            <w:shd w:val="clear" w:color="auto" w:fill="C6EFCE"/>
            <w:noWrap/>
          </w:tcPr>
          <w:p w14:paraId="06FC199C"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106F31D8" w14:textId="77777777" w:rsidR="003E1D81" w:rsidRDefault="00EB481C">
            <w:pPr>
              <w:pStyle w:val="P68B1DB1-Normal13"/>
              <w:spacing w:after="0" w:line="240" w:lineRule="auto"/>
              <w:rPr>
                <w:rFonts w:eastAsia="Times New Roman" w:cs="Times New Roman"/>
                <w:noProof/>
              </w:rPr>
            </w:pPr>
            <w:r>
              <w:rPr>
                <w:noProof/>
              </w:rPr>
              <w:t>Egyéb tevékenységek terjesztése, kommunikáció és finanszírozás</w:t>
            </w:r>
          </w:p>
        </w:tc>
        <w:tc>
          <w:tcPr>
            <w:tcW w:w="1134" w:type="dxa"/>
            <w:shd w:val="clear" w:color="auto" w:fill="C6EFCE"/>
            <w:noWrap/>
          </w:tcPr>
          <w:p w14:paraId="14D7D97A"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37BEE507"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8" w:type="dxa"/>
            <w:shd w:val="clear" w:color="auto" w:fill="C6EFCE"/>
            <w:noWrap/>
          </w:tcPr>
          <w:p w14:paraId="316510DD"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0D44C787" w14:textId="77777777" w:rsidR="003E1D81" w:rsidRDefault="00EB481C">
            <w:pPr>
              <w:pStyle w:val="P68B1DB1-Normal13"/>
              <w:spacing w:after="0" w:line="240" w:lineRule="auto"/>
              <w:jc w:val="right"/>
              <w:rPr>
                <w:rFonts w:eastAsia="Times New Roman" w:cs="Times New Roman"/>
                <w:noProof/>
              </w:rPr>
            </w:pPr>
            <w:r>
              <w:rPr>
                <w:noProof/>
              </w:rPr>
              <w:t>480</w:t>
            </w:r>
          </w:p>
        </w:tc>
        <w:tc>
          <w:tcPr>
            <w:tcW w:w="567" w:type="dxa"/>
            <w:shd w:val="clear" w:color="auto" w:fill="C6EFCE"/>
            <w:noWrap/>
          </w:tcPr>
          <w:p w14:paraId="22A74655"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0641FEE1" w14:textId="4A074EF8" w:rsidR="003E1D81" w:rsidRDefault="00EB481C">
            <w:pPr>
              <w:pStyle w:val="P68B1DB1-Normal13"/>
              <w:spacing w:after="0" w:line="240" w:lineRule="auto"/>
              <w:jc w:val="center"/>
              <w:rPr>
                <w:rFonts w:eastAsia="Times New Roman" w:cs="Times New Roman"/>
                <w:noProof/>
              </w:rPr>
            </w:pPr>
            <w:r>
              <w:rPr>
                <w:noProof/>
              </w:rPr>
              <w:t>202</w:t>
            </w:r>
            <w:r>
              <w:rPr>
                <w:noProof/>
                <w:shd w:val="clear" w:color="auto" w:fill="E6E6E6"/>
              </w:rPr>
              <w:t>4</w:t>
            </w:r>
          </w:p>
        </w:tc>
        <w:tc>
          <w:tcPr>
            <w:tcW w:w="6662" w:type="dxa"/>
            <w:shd w:val="clear" w:color="auto" w:fill="C6EFCE"/>
            <w:noWrap/>
          </w:tcPr>
          <w:p w14:paraId="2CDBA29B" w14:textId="77777777" w:rsidR="003E1D81" w:rsidRDefault="00EB481C">
            <w:pPr>
              <w:pStyle w:val="P68B1DB1-Normal13"/>
              <w:spacing w:after="0" w:line="240" w:lineRule="auto"/>
              <w:rPr>
                <w:rFonts w:eastAsia="Times New Roman" w:cs="Times New Roman"/>
                <w:noProof/>
              </w:rPr>
            </w:pPr>
            <w:r>
              <w:rPr>
                <w:noProof/>
              </w:rPr>
              <w:t>Legalább 480 fellépés valósult meg olyan terjesztési és kommunikációs kampányokra, amelyek célja az innovatív vállalatokra összpontosító nemzetközi rendezvények létrehozása, fejlesztése vagy Spanyolországba vonzása a tehetséges nők számára. Ez magában fogl</w:t>
            </w:r>
            <w:r>
              <w:rPr>
                <w:noProof/>
              </w:rPr>
              <w:t>al legalább 20, a „lobogóprogram” keretében kidolgozott vállalkozói tevékenységet; és legalább 260 kommunikációs tevékenység (200 médiamegjelenés és 60 rendezvény) a „Brand Spain Entrepreneurship Nation” keretében.</w:t>
            </w:r>
            <w:r>
              <w:rPr>
                <w:noProof/>
              </w:rPr>
              <w:br/>
              <w:t>A vállalkozói készséget és a kis- és közé</w:t>
            </w:r>
            <w:r>
              <w:rPr>
                <w:noProof/>
              </w:rPr>
              <w:t>pvállalkozásokat támogató költségvetési sor finanszírozása a nők vállalkozói készségét támogató programon keresztül. Ez magában foglalja legalább 200 női vállalkozó támogatását az Empresa Nacional de Innovación, S.A. által nyújtott, a jelentős károkozás el</w:t>
            </w:r>
            <w:r>
              <w:rPr>
                <w:noProof/>
              </w:rPr>
              <w:t>kerülését célzó technikai iránymutatással (2021/C58/01) összhangban az ezen intézkedés keretében támogatott ügyletek fenntarthatósági vizsgálat, kizárási lista használata, valamint a vonatkozó uniós és nemzeti környezetvédelmi jogszabályoknak való megfelel</w:t>
            </w:r>
            <w:r>
              <w:rPr>
                <w:noProof/>
              </w:rPr>
              <w:t>és követelménye révén.</w:t>
            </w:r>
          </w:p>
        </w:tc>
      </w:tr>
      <w:tr w:rsidR="003E1D81" w14:paraId="7C8C54B0" w14:textId="77777777">
        <w:trPr>
          <w:trHeight w:val="309"/>
        </w:trPr>
        <w:tc>
          <w:tcPr>
            <w:tcW w:w="709" w:type="dxa"/>
            <w:shd w:val="clear" w:color="auto" w:fill="C6EFCE"/>
            <w:noWrap/>
          </w:tcPr>
          <w:p w14:paraId="0B8EA362" w14:textId="77777777" w:rsidR="003E1D81" w:rsidRDefault="00EB481C">
            <w:pPr>
              <w:pStyle w:val="P68B1DB1-Normal13"/>
              <w:spacing w:after="0" w:line="240" w:lineRule="auto"/>
              <w:jc w:val="center"/>
              <w:rPr>
                <w:rFonts w:eastAsia="Times New Roman" w:cs="Times New Roman"/>
                <w:noProof/>
              </w:rPr>
            </w:pPr>
            <w:r>
              <w:rPr>
                <w:noProof/>
              </w:rPr>
              <w:t>196</w:t>
            </w:r>
          </w:p>
        </w:tc>
        <w:tc>
          <w:tcPr>
            <w:tcW w:w="851" w:type="dxa"/>
            <w:shd w:val="clear" w:color="auto" w:fill="C6EFCE"/>
            <w:noWrap/>
          </w:tcPr>
          <w:p w14:paraId="7A1E9222" w14:textId="77777777" w:rsidR="003E1D81" w:rsidRDefault="00EB481C">
            <w:pPr>
              <w:pStyle w:val="P68B1DB1-Normal13"/>
              <w:spacing w:after="0" w:line="240" w:lineRule="auto"/>
              <w:jc w:val="center"/>
              <w:rPr>
                <w:rFonts w:eastAsia="Times New Roman" w:cs="Times New Roman"/>
                <w:noProof/>
              </w:rPr>
            </w:pPr>
            <w:r>
              <w:rPr>
                <w:noProof/>
              </w:rPr>
              <w:t>C13.I2</w:t>
            </w:r>
          </w:p>
        </w:tc>
        <w:tc>
          <w:tcPr>
            <w:tcW w:w="850" w:type="dxa"/>
            <w:shd w:val="clear" w:color="auto" w:fill="C6EFCE"/>
            <w:noWrap/>
          </w:tcPr>
          <w:p w14:paraId="01D91C27"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0119AE5B" w14:textId="77777777" w:rsidR="003E1D81" w:rsidRDefault="00EB481C">
            <w:pPr>
              <w:pStyle w:val="P68B1DB1-Normal13"/>
              <w:spacing w:after="0" w:line="240" w:lineRule="auto"/>
              <w:rPr>
                <w:rFonts w:eastAsia="Times New Roman" w:cs="Times New Roman"/>
                <w:noProof/>
              </w:rPr>
            </w:pPr>
            <w:r>
              <w:rPr>
                <w:noProof/>
              </w:rPr>
              <w:t>CERSA-garancia</w:t>
            </w:r>
          </w:p>
        </w:tc>
        <w:tc>
          <w:tcPr>
            <w:tcW w:w="1134" w:type="dxa"/>
            <w:shd w:val="clear" w:color="auto" w:fill="C6EFCE"/>
            <w:noWrap/>
          </w:tcPr>
          <w:p w14:paraId="514296A7"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029A5AFC" w14:textId="77777777" w:rsidR="003E1D81" w:rsidRDefault="00EB481C">
            <w:pPr>
              <w:pStyle w:val="P68B1DB1-Normal13"/>
              <w:spacing w:after="0" w:line="240" w:lineRule="auto"/>
              <w:jc w:val="center"/>
              <w:rPr>
                <w:rFonts w:eastAsia="Times New Roman" w:cs="Times New Roman"/>
                <w:noProof/>
              </w:rPr>
            </w:pPr>
            <w:r>
              <w:rPr>
                <w:noProof/>
              </w:rPr>
              <w:t xml:space="preserve">Millió EUR </w:t>
            </w:r>
          </w:p>
        </w:tc>
        <w:tc>
          <w:tcPr>
            <w:tcW w:w="708" w:type="dxa"/>
            <w:shd w:val="clear" w:color="auto" w:fill="C6EFCE"/>
            <w:noWrap/>
          </w:tcPr>
          <w:p w14:paraId="76A11F81"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1E428D48" w14:textId="77777777" w:rsidR="003E1D81" w:rsidRDefault="00EB481C">
            <w:pPr>
              <w:pStyle w:val="P68B1DB1-Normal13"/>
              <w:spacing w:after="0" w:line="240" w:lineRule="auto"/>
              <w:jc w:val="right"/>
              <w:rPr>
                <w:rFonts w:eastAsia="Times New Roman" w:cs="Times New Roman"/>
                <w:noProof/>
              </w:rPr>
            </w:pPr>
            <w:r>
              <w:rPr>
                <w:noProof/>
              </w:rPr>
              <w:t>1 000</w:t>
            </w:r>
          </w:p>
        </w:tc>
        <w:tc>
          <w:tcPr>
            <w:tcW w:w="567" w:type="dxa"/>
            <w:shd w:val="clear" w:color="auto" w:fill="C6EFCE"/>
            <w:noWrap/>
          </w:tcPr>
          <w:p w14:paraId="7A32BF78"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07E86744" w14:textId="77777777" w:rsidR="003E1D81" w:rsidRDefault="00EB481C">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79CE5B2A" w14:textId="77777777" w:rsidR="003E1D81" w:rsidRDefault="00EB481C">
            <w:pPr>
              <w:pStyle w:val="P68B1DB1-Normal13"/>
              <w:spacing w:after="0" w:line="240" w:lineRule="auto"/>
              <w:rPr>
                <w:rFonts w:eastAsia="Times New Roman" w:cs="Times New Roman"/>
                <w:noProof/>
              </w:rPr>
            </w:pPr>
            <w:r>
              <w:rPr>
                <w:noProof/>
              </w:rPr>
              <w:t>CERSA-garancia: Legalább 1 000 000 000 EUR összegű, a CERSA által nyújtott garancia, amely lehetővé teszi a kkv-k számára, hogy hosszú távú befektetésekhez és működő tőkéhez jussanak. A kiválasztási kritériumoknak fenntarthatósági vizsgálat, kizárási lista</w:t>
            </w:r>
            <w:r>
              <w:rPr>
                <w:noProof/>
              </w:rPr>
              <w:t xml:space="preserve"> használata, valamint a vonatkozó uniós és nemzeti környezetvédelmi jogszabályoknak való megfelelés követelménye révén biztosítaniuk kell az ezen intézkedés keretében támogatott ügyletekre vonatkozó, a jelentős károkozás elkerülését célzó elvről szóló tech</w:t>
            </w:r>
            <w:r>
              <w:rPr>
                <w:noProof/>
              </w:rPr>
              <w:t xml:space="preserve">nikai iránymutatásnak (2021/C58/01) való megfelelést. </w:t>
            </w:r>
          </w:p>
        </w:tc>
      </w:tr>
      <w:tr w:rsidR="003E1D81" w14:paraId="321DC7FB" w14:textId="77777777">
        <w:trPr>
          <w:trHeight w:val="309"/>
        </w:trPr>
        <w:tc>
          <w:tcPr>
            <w:tcW w:w="709" w:type="dxa"/>
            <w:shd w:val="clear" w:color="auto" w:fill="C6EFCE"/>
            <w:noWrap/>
          </w:tcPr>
          <w:p w14:paraId="2E99DCA6" w14:textId="77777777" w:rsidR="003E1D81" w:rsidRDefault="00EB481C">
            <w:pPr>
              <w:pStyle w:val="P68B1DB1-Normal13"/>
              <w:spacing w:after="0" w:line="240" w:lineRule="auto"/>
              <w:jc w:val="center"/>
              <w:rPr>
                <w:rFonts w:eastAsia="Times New Roman" w:cs="Times New Roman"/>
                <w:noProof/>
              </w:rPr>
            </w:pPr>
            <w:r>
              <w:rPr>
                <w:noProof/>
              </w:rPr>
              <w:t>197</w:t>
            </w:r>
          </w:p>
        </w:tc>
        <w:tc>
          <w:tcPr>
            <w:tcW w:w="851" w:type="dxa"/>
            <w:shd w:val="clear" w:color="auto" w:fill="C6EFCE"/>
            <w:noWrap/>
          </w:tcPr>
          <w:p w14:paraId="5FB297C2" w14:textId="77777777" w:rsidR="003E1D81" w:rsidRDefault="00EB481C">
            <w:pPr>
              <w:pStyle w:val="P68B1DB1-Normal13"/>
              <w:spacing w:after="0" w:line="240" w:lineRule="auto"/>
              <w:jc w:val="center"/>
              <w:rPr>
                <w:rFonts w:eastAsia="Times New Roman" w:cs="Times New Roman"/>
                <w:noProof/>
              </w:rPr>
            </w:pPr>
            <w:r>
              <w:rPr>
                <w:noProof/>
              </w:rPr>
              <w:t>C13.I2</w:t>
            </w:r>
          </w:p>
        </w:tc>
        <w:tc>
          <w:tcPr>
            <w:tcW w:w="850" w:type="dxa"/>
            <w:shd w:val="clear" w:color="auto" w:fill="C6EFCE"/>
            <w:noWrap/>
          </w:tcPr>
          <w:p w14:paraId="6174C3F1"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578DE5EB" w14:textId="77777777" w:rsidR="003E1D81" w:rsidRDefault="00EB481C">
            <w:pPr>
              <w:pStyle w:val="P68B1DB1-Normal13"/>
              <w:spacing w:after="0" w:line="240" w:lineRule="auto"/>
              <w:rPr>
                <w:rFonts w:eastAsia="Times New Roman" w:cs="Times New Roman"/>
                <w:noProof/>
              </w:rPr>
            </w:pPr>
            <w:r>
              <w:rPr>
                <w:noProof/>
              </w:rPr>
              <w:t>A „Skills for SME Growth” program által támogatott kkv-k</w:t>
            </w:r>
          </w:p>
        </w:tc>
        <w:tc>
          <w:tcPr>
            <w:tcW w:w="1134" w:type="dxa"/>
            <w:shd w:val="clear" w:color="auto" w:fill="C6EFCE"/>
            <w:noWrap/>
          </w:tcPr>
          <w:p w14:paraId="79BA3B63"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8854F0E"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8" w:type="dxa"/>
            <w:shd w:val="clear" w:color="auto" w:fill="C6EFCE"/>
            <w:noWrap/>
          </w:tcPr>
          <w:p w14:paraId="2D36C34C"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28EF1427" w14:textId="77777777" w:rsidR="003E1D81" w:rsidRDefault="00EB481C">
            <w:pPr>
              <w:pStyle w:val="P68B1DB1-Normal13"/>
              <w:spacing w:after="0" w:line="240" w:lineRule="auto"/>
              <w:jc w:val="right"/>
              <w:rPr>
                <w:rFonts w:eastAsia="Times New Roman" w:cs="Times New Roman"/>
                <w:noProof/>
              </w:rPr>
            </w:pPr>
            <w:r>
              <w:rPr>
                <w:noProof/>
              </w:rPr>
              <w:t>11 000</w:t>
            </w:r>
          </w:p>
        </w:tc>
        <w:tc>
          <w:tcPr>
            <w:tcW w:w="567" w:type="dxa"/>
            <w:shd w:val="clear" w:color="auto" w:fill="C6EFCE"/>
            <w:noWrap/>
          </w:tcPr>
          <w:p w14:paraId="76E4D1F7"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4357DA9B" w14:textId="156D549E" w:rsidR="003E1D81" w:rsidRDefault="00EB481C">
            <w:pPr>
              <w:pStyle w:val="P68B1DB1-Normal13"/>
              <w:spacing w:after="0" w:line="240" w:lineRule="auto"/>
              <w:jc w:val="center"/>
              <w:rPr>
                <w:rFonts w:eastAsia="Times New Roman" w:cs="Times New Roman"/>
                <w:noProof/>
              </w:rPr>
            </w:pPr>
            <w:r>
              <w:rPr>
                <w:noProof/>
              </w:rPr>
              <w:t>2024</w:t>
            </w:r>
          </w:p>
        </w:tc>
        <w:tc>
          <w:tcPr>
            <w:tcW w:w="6662" w:type="dxa"/>
            <w:shd w:val="clear" w:color="auto" w:fill="C6EFCE"/>
            <w:noWrap/>
          </w:tcPr>
          <w:p w14:paraId="1C6A391D" w14:textId="12DF3E4B" w:rsidR="003E1D81" w:rsidRDefault="00EB481C">
            <w:pPr>
              <w:pStyle w:val="P68B1DB1-Normal13"/>
              <w:spacing w:after="0" w:line="240" w:lineRule="auto"/>
              <w:rPr>
                <w:rFonts w:eastAsia="Times New Roman" w:cs="Times New Roman"/>
                <w:noProof/>
              </w:rPr>
            </w:pPr>
            <w:r>
              <w:rPr>
                <w:noProof/>
              </w:rPr>
              <w:t xml:space="preserve">Legalább 11000 kkv, amely teljesítette a „Skills for SME Growth” programot. A kiválasztási </w:t>
            </w:r>
            <w:r>
              <w:rPr>
                <w:noProof/>
              </w:rPr>
              <w:t xml:space="preserve">kritériumoknak biztosítaniuk kell a jelentős károkozás elkerülését célzó elvről szóló technikai iránymutatásnak (2021/C58/01) való megfelelést egy kizárási lista használata révén, valamint a vonatkozó uniós és nemzeti környezetvédelmi jogszabályoknak való </w:t>
            </w:r>
            <w:r>
              <w:rPr>
                <w:noProof/>
              </w:rPr>
              <w:t>megfelelés követelményét.</w:t>
            </w:r>
          </w:p>
        </w:tc>
      </w:tr>
      <w:tr w:rsidR="003E1D81" w14:paraId="410A7318" w14:textId="77777777">
        <w:trPr>
          <w:trHeight w:val="309"/>
        </w:trPr>
        <w:tc>
          <w:tcPr>
            <w:tcW w:w="709" w:type="dxa"/>
            <w:shd w:val="clear" w:color="auto" w:fill="C6EFCE"/>
            <w:noWrap/>
          </w:tcPr>
          <w:p w14:paraId="3B8DB5BC" w14:textId="77777777" w:rsidR="003E1D81" w:rsidRDefault="00EB481C">
            <w:pPr>
              <w:pStyle w:val="P68B1DB1-Normal13"/>
              <w:spacing w:after="0" w:line="240" w:lineRule="auto"/>
              <w:jc w:val="center"/>
              <w:rPr>
                <w:rFonts w:eastAsia="Times New Roman" w:cs="Times New Roman"/>
                <w:noProof/>
              </w:rPr>
            </w:pPr>
            <w:r>
              <w:rPr>
                <w:noProof/>
              </w:rPr>
              <w:t>198</w:t>
            </w:r>
          </w:p>
        </w:tc>
        <w:tc>
          <w:tcPr>
            <w:tcW w:w="851" w:type="dxa"/>
            <w:shd w:val="clear" w:color="auto" w:fill="C6EFCE"/>
            <w:noWrap/>
          </w:tcPr>
          <w:p w14:paraId="4681C710" w14:textId="77777777" w:rsidR="003E1D81" w:rsidRDefault="00EB481C">
            <w:pPr>
              <w:pStyle w:val="P68B1DB1-Normal13"/>
              <w:spacing w:after="0" w:line="240" w:lineRule="auto"/>
              <w:jc w:val="center"/>
              <w:rPr>
                <w:rFonts w:eastAsia="Times New Roman" w:cs="Times New Roman"/>
                <w:noProof/>
              </w:rPr>
            </w:pPr>
            <w:r>
              <w:rPr>
                <w:noProof/>
              </w:rPr>
              <w:t>C13.I2</w:t>
            </w:r>
          </w:p>
        </w:tc>
        <w:tc>
          <w:tcPr>
            <w:tcW w:w="850" w:type="dxa"/>
            <w:shd w:val="clear" w:color="auto" w:fill="C6EFCE"/>
            <w:noWrap/>
          </w:tcPr>
          <w:p w14:paraId="7BBE7B83"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55955476" w14:textId="77777777" w:rsidR="003E1D81" w:rsidRDefault="00EB481C">
            <w:pPr>
              <w:pStyle w:val="P68B1DB1-Normal13"/>
              <w:spacing w:after="0" w:line="240" w:lineRule="auto"/>
              <w:rPr>
                <w:rFonts w:eastAsia="Times New Roman" w:cs="Times New Roman"/>
                <w:noProof/>
              </w:rPr>
            </w:pPr>
            <w:r>
              <w:rPr>
                <w:noProof/>
              </w:rPr>
              <w:t>Az ipari vállalkozástámogatási program által támogatott vállalkozók és kkv-k</w:t>
            </w:r>
          </w:p>
        </w:tc>
        <w:tc>
          <w:tcPr>
            <w:tcW w:w="1134" w:type="dxa"/>
            <w:shd w:val="clear" w:color="auto" w:fill="C6EFCE"/>
            <w:noWrap/>
          </w:tcPr>
          <w:p w14:paraId="5CD62714"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1EA61FE8"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8" w:type="dxa"/>
            <w:shd w:val="clear" w:color="auto" w:fill="C6EFCE"/>
            <w:noWrap/>
          </w:tcPr>
          <w:p w14:paraId="6622C180"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5E662A82" w14:textId="77777777" w:rsidR="003E1D81" w:rsidRDefault="00EB481C">
            <w:pPr>
              <w:pStyle w:val="P68B1DB1-Normal13"/>
              <w:spacing w:after="0" w:line="240" w:lineRule="auto"/>
              <w:jc w:val="right"/>
              <w:rPr>
                <w:rFonts w:eastAsia="Times New Roman" w:cs="Times New Roman"/>
                <w:noProof/>
              </w:rPr>
            </w:pPr>
            <w:r>
              <w:rPr>
                <w:noProof/>
              </w:rPr>
              <w:t>1 500</w:t>
            </w:r>
          </w:p>
        </w:tc>
        <w:tc>
          <w:tcPr>
            <w:tcW w:w="567" w:type="dxa"/>
            <w:shd w:val="clear" w:color="auto" w:fill="C6EFCE"/>
            <w:noWrap/>
          </w:tcPr>
          <w:p w14:paraId="1079A35B"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257CA3A4" w14:textId="77777777" w:rsidR="003E1D81" w:rsidRDefault="00EB481C">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399E8C4A" w14:textId="66690E79" w:rsidR="003E1D81" w:rsidRDefault="00EB481C">
            <w:pPr>
              <w:pStyle w:val="P68B1DB1-Normal13"/>
              <w:spacing w:after="0" w:line="240" w:lineRule="auto"/>
              <w:rPr>
                <w:rFonts w:cs="Times New Roman"/>
                <w:noProof/>
              </w:rPr>
            </w:pPr>
            <w:r>
              <w:rPr>
                <w:noProof/>
              </w:rPr>
              <w:t>Az ipari vállalkozást támogató program keretében a vállalkozók és a kkv-k hosszú távú finanszírozást kapnak az</w:t>
            </w:r>
            <w:r>
              <w:rPr>
                <w:noProof/>
              </w:rPr>
              <w:t xml:space="preserve"> ipari beruházási projektekhez. Finanszírozást kell biztosítani ipari vállalkozások létrehozásához vagy a meglévő létesítmények bővítéséhez.</w:t>
            </w:r>
            <w:r>
              <w:rPr>
                <w:noProof/>
              </w:rPr>
              <w:br/>
              <w:t>Legalább 1500 művelet, amelyek 2021. január 1. és 2023. december 31. között finanszírozásban részesültek. A kiválas</w:t>
            </w:r>
            <w:r>
              <w:rPr>
                <w:noProof/>
              </w:rPr>
              <w:t>ztási kritériumoknak biztosítaniuk kell a jelentős károkozás elkerülését célzó elvről szóló technikai iránymutatásnak (2021/C58/01) való megfelelést egy kizárási lista használata révén, valamint a vonatkozó uniós és nemzeti környezetvédelmi jogszabályoknak</w:t>
            </w:r>
            <w:r>
              <w:rPr>
                <w:noProof/>
              </w:rPr>
              <w:t xml:space="preserve"> való megfelelés követelményét.</w:t>
            </w:r>
          </w:p>
          <w:p w14:paraId="1278D830" w14:textId="77777777" w:rsidR="003E1D81" w:rsidRDefault="00EB481C">
            <w:pPr>
              <w:pStyle w:val="P68B1DB1-Normal13"/>
              <w:spacing w:after="0" w:line="240" w:lineRule="auto"/>
              <w:rPr>
                <w:rFonts w:eastAsia="Times New Roman" w:cs="Times New Roman"/>
                <w:noProof/>
              </w:rPr>
            </w:pPr>
            <w:r>
              <w:rPr>
                <w:noProof/>
              </w:rPr>
              <w:t>(Alapforgatókönyv: 2021. január 1.)</w:t>
            </w:r>
          </w:p>
        </w:tc>
      </w:tr>
      <w:tr w:rsidR="003E1D81" w14:paraId="10D7EEA5" w14:textId="77777777">
        <w:trPr>
          <w:trHeight w:val="309"/>
        </w:trPr>
        <w:tc>
          <w:tcPr>
            <w:tcW w:w="709" w:type="dxa"/>
            <w:shd w:val="clear" w:color="auto" w:fill="C6EFCE"/>
            <w:noWrap/>
          </w:tcPr>
          <w:p w14:paraId="48EE2866" w14:textId="77777777" w:rsidR="003E1D81" w:rsidRDefault="00EB481C">
            <w:pPr>
              <w:pStyle w:val="P68B1DB1-Normal13"/>
              <w:spacing w:after="0" w:line="240" w:lineRule="auto"/>
              <w:jc w:val="center"/>
              <w:rPr>
                <w:rFonts w:eastAsia="Times New Roman" w:cs="Times New Roman"/>
                <w:noProof/>
              </w:rPr>
            </w:pPr>
            <w:r>
              <w:rPr>
                <w:noProof/>
              </w:rPr>
              <w:t>199</w:t>
            </w:r>
          </w:p>
        </w:tc>
        <w:tc>
          <w:tcPr>
            <w:tcW w:w="851" w:type="dxa"/>
            <w:shd w:val="clear" w:color="auto" w:fill="C6EFCE"/>
            <w:noWrap/>
          </w:tcPr>
          <w:p w14:paraId="7390B23C" w14:textId="77777777" w:rsidR="003E1D81" w:rsidRDefault="00EB481C">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11129831" w14:textId="77777777" w:rsidR="003E1D81" w:rsidRDefault="00EB481C">
            <w:pPr>
              <w:pStyle w:val="P68B1DB1-Normal13"/>
              <w:spacing w:after="0" w:line="240" w:lineRule="auto"/>
              <w:jc w:val="center"/>
              <w:rPr>
                <w:rFonts w:eastAsia="Times New Roman" w:cs="Times New Roman"/>
                <w:noProof/>
              </w:rPr>
            </w:pPr>
            <w:r>
              <w:rPr>
                <w:noProof/>
              </w:rPr>
              <w:t>M</w:t>
            </w:r>
          </w:p>
        </w:tc>
        <w:tc>
          <w:tcPr>
            <w:tcW w:w="1985" w:type="dxa"/>
            <w:shd w:val="clear" w:color="auto" w:fill="C6EFCE"/>
            <w:noWrap/>
          </w:tcPr>
          <w:p w14:paraId="116554F6" w14:textId="77777777" w:rsidR="003E1D81" w:rsidRDefault="00EB481C">
            <w:pPr>
              <w:pStyle w:val="P68B1DB1-Normal13"/>
              <w:spacing w:after="0" w:line="240" w:lineRule="auto"/>
              <w:rPr>
                <w:rFonts w:eastAsia="Times New Roman" w:cs="Times New Roman"/>
                <w:noProof/>
              </w:rPr>
            </w:pPr>
            <w:r>
              <w:rPr>
                <w:noProof/>
              </w:rPr>
              <w:t>A kkv-k digitalizációjára vonatkozó terv (2021–2025)</w:t>
            </w:r>
          </w:p>
        </w:tc>
        <w:tc>
          <w:tcPr>
            <w:tcW w:w="1134" w:type="dxa"/>
            <w:shd w:val="clear" w:color="auto" w:fill="C6EFCE"/>
            <w:noWrap/>
          </w:tcPr>
          <w:p w14:paraId="77792DF1" w14:textId="77777777" w:rsidR="003E1D81" w:rsidRDefault="00EB481C">
            <w:pPr>
              <w:pStyle w:val="P68B1DB1-Normal13"/>
              <w:spacing w:after="0" w:line="240" w:lineRule="auto"/>
              <w:jc w:val="center"/>
              <w:rPr>
                <w:rFonts w:eastAsia="Times New Roman" w:cs="Times New Roman"/>
                <w:noProof/>
              </w:rPr>
            </w:pPr>
            <w:r>
              <w:rPr>
                <w:noProof/>
              </w:rPr>
              <w:t>Közzététel</w:t>
            </w:r>
          </w:p>
        </w:tc>
        <w:tc>
          <w:tcPr>
            <w:tcW w:w="709" w:type="dxa"/>
            <w:shd w:val="clear" w:color="auto" w:fill="C6EFCE"/>
            <w:noWrap/>
          </w:tcPr>
          <w:p w14:paraId="7EE468D0" w14:textId="77777777" w:rsidR="003E1D81" w:rsidRDefault="00EB481C">
            <w:pPr>
              <w:pStyle w:val="P68B1DB1-Normal13"/>
              <w:spacing w:after="0" w:line="240" w:lineRule="auto"/>
              <w:jc w:val="center"/>
              <w:rPr>
                <w:rFonts w:eastAsia="Times New Roman" w:cs="Times New Roman"/>
                <w:noProof/>
              </w:rPr>
            </w:pPr>
            <w:r>
              <w:rPr>
                <w:noProof/>
              </w:rPr>
              <w:t> </w:t>
            </w:r>
          </w:p>
        </w:tc>
        <w:tc>
          <w:tcPr>
            <w:tcW w:w="708" w:type="dxa"/>
            <w:shd w:val="clear" w:color="auto" w:fill="C6EFCE"/>
            <w:noWrap/>
          </w:tcPr>
          <w:p w14:paraId="1B95F3EB"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62BB37B0"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4354596B"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15F728BA" w14:textId="77777777" w:rsidR="003E1D81" w:rsidRDefault="00EB481C">
            <w:pPr>
              <w:pStyle w:val="P68B1DB1-Normal13"/>
              <w:spacing w:after="0" w:line="240" w:lineRule="auto"/>
              <w:jc w:val="center"/>
              <w:rPr>
                <w:rFonts w:eastAsia="Times New Roman" w:cs="Times New Roman"/>
                <w:noProof/>
              </w:rPr>
            </w:pPr>
            <w:r>
              <w:rPr>
                <w:noProof/>
              </w:rPr>
              <w:t>2021</w:t>
            </w:r>
          </w:p>
        </w:tc>
        <w:tc>
          <w:tcPr>
            <w:tcW w:w="6662" w:type="dxa"/>
            <w:shd w:val="clear" w:color="auto" w:fill="C6EFCE"/>
            <w:noWrap/>
          </w:tcPr>
          <w:p w14:paraId="45E22CA7" w14:textId="77777777" w:rsidR="003E1D81" w:rsidRDefault="00EB481C">
            <w:pPr>
              <w:pStyle w:val="P68B1DB1-Normal13"/>
              <w:spacing w:after="0" w:line="240" w:lineRule="auto"/>
              <w:rPr>
                <w:rFonts w:eastAsia="Times New Roman" w:cs="Times New Roman"/>
                <w:noProof/>
              </w:rPr>
            </w:pPr>
            <w:r>
              <w:rPr>
                <w:noProof/>
              </w:rPr>
              <w:t xml:space="preserve">A Minisztertanács jóváhagyta a 2021–2025-ös időszakra szóló, a kkv-k digitalizációjára </w:t>
            </w:r>
            <w:r>
              <w:rPr>
                <w:noProof/>
              </w:rPr>
              <w:t>vonatkozó tervet, amely egy sor olyan eszközről rendelkezik, amelyek beépítik a mikro- és autonóm vállalkozásokba a már rendelkezésre álló digitális eszközöket, ösztönzik a kisvállalkozások digitalizálását és előmozdítják a technológiai innovációt</w:t>
            </w:r>
          </w:p>
        </w:tc>
      </w:tr>
      <w:tr w:rsidR="003E1D81" w14:paraId="3D1C9641" w14:textId="77777777">
        <w:trPr>
          <w:trHeight w:val="309"/>
        </w:trPr>
        <w:tc>
          <w:tcPr>
            <w:tcW w:w="709" w:type="dxa"/>
            <w:shd w:val="clear" w:color="auto" w:fill="C6EFCE"/>
            <w:noWrap/>
          </w:tcPr>
          <w:p w14:paraId="46EAD99A" w14:textId="77777777" w:rsidR="003E1D81" w:rsidRDefault="00EB481C">
            <w:pPr>
              <w:pStyle w:val="P68B1DB1-Normal13"/>
              <w:spacing w:after="0" w:line="240" w:lineRule="auto"/>
              <w:jc w:val="center"/>
              <w:rPr>
                <w:rFonts w:eastAsia="Times New Roman" w:cs="Times New Roman"/>
                <w:noProof/>
              </w:rPr>
            </w:pPr>
            <w:r>
              <w:rPr>
                <w:noProof/>
              </w:rPr>
              <w:t>200</w:t>
            </w:r>
          </w:p>
        </w:tc>
        <w:tc>
          <w:tcPr>
            <w:tcW w:w="851" w:type="dxa"/>
            <w:shd w:val="clear" w:color="auto" w:fill="C6EFCE"/>
            <w:noWrap/>
          </w:tcPr>
          <w:p w14:paraId="3AAAC27C" w14:textId="77777777" w:rsidR="003E1D81" w:rsidRDefault="00EB481C">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43F3EB35"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7F933A20" w14:textId="77777777" w:rsidR="003E1D81" w:rsidRDefault="00EB481C">
            <w:pPr>
              <w:pStyle w:val="P68B1DB1-Normal13"/>
              <w:spacing w:after="0" w:line="240" w:lineRule="auto"/>
              <w:rPr>
                <w:rFonts w:eastAsia="Times New Roman" w:cs="Times New Roman"/>
                <w:noProof/>
              </w:rPr>
            </w:pPr>
            <w:r>
              <w:rPr>
                <w:noProof/>
              </w:rPr>
              <w:t>A digitális eszköztár program számára lekötött költségvetés</w:t>
            </w:r>
          </w:p>
        </w:tc>
        <w:tc>
          <w:tcPr>
            <w:tcW w:w="1134" w:type="dxa"/>
            <w:shd w:val="clear" w:color="auto" w:fill="C6EFCE"/>
            <w:noWrap/>
          </w:tcPr>
          <w:p w14:paraId="4E29D0B7"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3538D652"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6082D976"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16DD5D42" w14:textId="77777777" w:rsidR="003E1D81" w:rsidRDefault="00EB481C">
            <w:pPr>
              <w:pStyle w:val="P68B1DB1-Normal13"/>
              <w:spacing w:after="0" w:line="240" w:lineRule="auto"/>
              <w:jc w:val="right"/>
              <w:rPr>
                <w:rFonts w:eastAsia="Times New Roman" w:cs="Times New Roman"/>
                <w:noProof/>
              </w:rPr>
            </w:pPr>
            <w:r>
              <w:rPr>
                <w:noProof/>
              </w:rPr>
              <w:t>30</w:t>
            </w:r>
          </w:p>
        </w:tc>
        <w:tc>
          <w:tcPr>
            <w:tcW w:w="567" w:type="dxa"/>
            <w:shd w:val="clear" w:color="auto" w:fill="C6EFCE"/>
            <w:noWrap/>
          </w:tcPr>
          <w:p w14:paraId="454F7B34"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153645A5" w14:textId="77777777" w:rsidR="003E1D81" w:rsidRDefault="00EB481C">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5E1A96EB" w14:textId="77777777" w:rsidR="003E1D81" w:rsidRDefault="00EB481C">
            <w:pPr>
              <w:pStyle w:val="P68B1DB1-Normal13"/>
              <w:spacing w:after="0" w:line="240" w:lineRule="auto"/>
              <w:rPr>
                <w:rFonts w:eastAsia="Times New Roman" w:cs="Times New Roman"/>
                <w:noProof/>
              </w:rPr>
            </w:pPr>
            <w:r>
              <w:rPr>
                <w:noProof/>
              </w:rPr>
              <w:t xml:space="preserve">A lekötött 3 067 000 000 EUR költségvetés legalább 30%-a, amelyet a kkv-k digitális eszköztáron keresztül történő digitalizálására fordítanak, összhangban a </w:t>
            </w:r>
            <w:r>
              <w:rPr>
                <w:noProof/>
              </w:rPr>
              <w:t>jelentős károkozás elkerülését célzó technikai iránymutatással (2021/C58/01) a kizárási lista és a vonatkozó uniós és nemzeti környezetvédelmi jogszabályoknak való megfelelés követelménye révén.</w:t>
            </w:r>
          </w:p>
        </w:tc>
      </w:tr>
      <w:tr w:rsidR="003E1D81" w14:paraId="004A4664" w14:textId="77777777">
        <w:trPr>
          <w:trHeight w:val="309"/>
        </w:trPr>
        <w:tc>
          <w:tcPr>
            <w:tcW w:w="709" w:type="dxa"/>
            <w:shd w:val="clear" w:color="auto" w:fill="C6EFCE"/>
            <w:noWrap/>
          </w:tcPr>
          <w:p w14:paraId="0CBD1023" w14:textId="77777777" w:rsidR="003E1D81" w:rsidRDefault="00EB481C">
            <w:pPr>
              <w:pStyle w:val="P68B1DB1-Normal13"/>
              <w:spacing w:after="0" w:line="240" w:lineRule="auto"/>
              <w:jc w:val="center"/>
              <w:rPr>
                <w:rFonts w:eastAsia="Times New Roman" w:cs="Times New Roman"/>
                <w:noProof/>
              </w:rPr>
            </w:pPr>
            <w:r>
              <w:rPr>
                <w:noProof/>
              </w:rPr>
              <w:t>201</w:t>
            </w:r>
          </w:p>
        </w:tc>
        <w:tc>
          <w:tcPr>
            <w:tcW w:w="851" w:type="dxa"/>
            <w:shd w:val="clear" w:color="auto" w:fill="C6EFCE"/>
            <w:noWrap/>
          </w:tcPr>
          <w:p w14:paraId="4C20BDFF" w14:textId="77777777" w:rsidR="003E1D81" w:rsidRDefault="00EB481C">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1F25AAB8"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03130879" w14:textId="77777777" w:rsidR="003E1D81" w:rsidRDefault="00EB481C">
            <w:pPr>
              <w:pStyle w:val="P68B1DB1-Normal13"/>
              <w:spacing w:after="0" w:line="240" w:lineRule="auto"/>
              <w:rPr>
                <w:rFonts w:eastAsia="Times New Roman" w:cs="Times New Roman"/>
                <w:noProof/>
              </w:rPr>
            </w:pPr>
            <w:r>
              <w:rPr>
                <w:noProof/>
              </w:rPr>
              <w:t>A Változtatási Program alkalmazottaira lekötött</w:t>
            </w:r>
            <w:r>
              <w:rPr>
                <w:noProof/>
              </w:rPr>
              <w:t xml:space="preserve"> költségvetés</w:t>
            </w:r>
          </w:p>
        </w:tc>
        <w:tc>
          <w:tcPr>
            <w:tcW w:w="1134" w:type="dxa"/>
            <w:shd w:val="clear" w:color="auto" w:fill="C6EFCE"/>
            <w:noWrap/>
          </w:tcPr>
          <w:p w14:paraId="0C38C335"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8A5730A"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7E3B2C99"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3F2AE2BE" w14:textId="77777777" w:rsidR="003E1D81" w:rsidRDefault="00EB481C">
            <w:pPr>
              <w:pStyle w:val="P68B1DB1-Normal13"/>
              <w:spacing w:after="0" w:line="240" w:lineRule="auto"/>
              <w:jc w:val="right"/>
              <w:rPr>
                <w:rFonts w:eastAsia="Times New Roman" w:cs="Times New Roman"/>
                <w:noProof/>
              </w:rPr>
            </w:pPr>
            <w:r>
              <w:rPr>
                <w:noProof/>
              </w:rPr>
              <w:t>30</w:t>
            </w:r>
          </w:p>
        </w:tc>
        <w:tc>
          <w:tcPr>
            <w:tcW w:w="567" w:type="dxa"/>
            <w:shd w:val="clear" w:color="auto" w:fill="C6EFCE"/>
            <w:noWrap/>
          </w:tcPr>
          <w:p w14:paraId="6B4961EC"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793E7ED6" w14:textId="77777777" w:rsidR="003E1D81" w:rsidRDefault="00EB481C">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6D94CB5B" w14:textId="77777777" w:rsidR="003E1D81" w:rsidRDefault="00EB481C">
            <w:pPr>
              <w:pStyle w:val="P68B1DB1-Normal13"/>
              <w:spacing w:after="0" w:line="240" w:lineRule="auto"/>
              <w:rPr>
                <w:rFonts w:eastAsia="Times New Roman" w:cs="Times New Roman"/>
                <w:noProof/>
              </w:rPr>
            </w:pPr>
            <w:r>
              <w:rPr>
                <w:noProof/>
              </w:rPr>
              <w:t>A költségvetés legalább 30%-át a „Változtatók” program keretében a kkv-kra fordították, 300 000 000 EUR-t. A feladatmeghatározással ellátott pályázati felhívásoknak olyan támogathatósági kritériumokat kell tartalmazniu</w:t>
            </w:r>
            <w:r>
              <w:rPr>
                <w:noProof/>
              </w:rPr>
              <w:t>k, amelyek egy kizárási lista és a vonatkozó uniós és nemzeti környezetvédelmi jogszabályoknak való megfelelés követelménye révén biztosítják, hogy a kiválasztott projektek megfeleljenek a jelentős károkozás elkerülését célzó elvről szóló technikai iránymu</w:t>
            </w:r>
            <w:r>
              <w:rPr>
                <w:noProof/>
              </w:rPr>
              <w:t>tatásnak (2021/C58/01).</w:t>
            </w:r>
          </w:p>
        </w:tc>
      </w:tr>
      <w:tr w:rsidR="003E1D81" w14:paraId="0845524F" w14:textId="77777777">
        <w:trPr>
          <w:trHeight w:val="309"/>
        </w:trPr>
        <w:tc>
          <w:tcPr>
            <w:tcW w:w="709" w:type="dxa"/>
            <w:shd w:val="clear" w:color="auto" w:fill="C6EFCE"/>
            <w:noWrap/>
          </w:tcPr>
          <w:p w14:paraId="3C7B2632" w14:textId="77777777" w:rsidR="003E1D81" w:rsidRDefault="00EB481C">
            <w:pPr>
              <w:pStyle w:val="P68B1DB1-Normal13"/>
              <w:spacing w:after="0" w:line="240" w:lineRule="auto"/>
              <w:jc w:val="center"/>
              <w:rPr>
                <w:rFonts w:eastAsia="Times New Roman" w:cs="Times New Roman"/>
                <w:noProof/>
              </w:rPr>
            </w:pPr>
            <w:r>
              <w:rPr>
                <w:noProof/>
              </w:rPr>
              <w:t>202</w:t>
            </w:r>
          </w:p>
        </w:tc>
        <w:tc>
          <w:tcPr>
            <w:tcW w:w="851" w:type="dxa"/>
            <w:shd w:val="clear" w:color="auto" w:fill="C6EFCE"/>
            <w:noWrap/>
          </w:tcPr>
          <w:p w14:paraId="5B752B06" w14:textId="77777777" w:rsidR="003E1D81" w:rsidRDefault="00EB481C">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39006BC2"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6032BE80" w14:textId="77777777" w:rsidR="003E1D81" w:rsidRDefault="00EB481C">
            <w:pPr>
              <w:pStyle w:val="P68B1DB1-Normal13"/>
              <w:spacing w:after="0" w:line="240" w:lineRule="auto"/>
              <w:rPr>
                <w:rFonts w:eastAsia="Times New Roman" w:cs="Times New Roman"/>
                <w:noProof/>
              </w:rPr>
            </w:pPr>
            <w:r>
              <w:rPr>
                <w:noProof/>
              </w:rPr>
              <w:t>Az Innovatív Üzleti Klaszter támogatási programra lekötött költségvetés</w:t>
            </w:r>
          </w:p>
        </w:tc>
        <w:tc>
          <w:tcPr>
            <w:tcW w:w="1134" w:type="dxa"/>
            <w:shd w:val="clear" w:color="auto" w:fill="C6EFCE"/>
            <w:noWrap/>
          </w:tcPr>
          <w:p w14:paraId="15C32A37"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B37412A"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11CBE983"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56CA06CD" w14:textId="77777777" w:rsidR="003E1D81" w:rsidRDefault="00EB481C">
            <w:pPr>
              <w:pStyle w:val="P68B1DB1-Normal13"/>
              <w:spacing w:after="0" w:line="240" w:lineRule="auto"/>
              <w:jc w:val="right"/>
              <w:rPr>
                <w:rFonts w:eastAsia="Times New Roman" w:cs="Times New Roman"/>
                <w:noProof/>
              </w:rPr>
            </w:pPr>
            <w:r>
              <w:rPr>
                <w:noProof/>
              </w:rPr>
              <w:t>30</w:t>
            </w:r>
          </w:p>
        </w:tc>
        <w:tc>
          <w:tcPr>
            <w:tcW w:w="567" w:type="dxa"/>
            <w:shd w:val="clear" w:color="auto" w:fill="C6EFCE"/>
            <w:noWrap/>
          </w:tcPr>
          <w:p w14:paraId="1F73D9DD"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3A79C2A3" w14:textId="77777777" w:rsidR="003E1D81" w:rsidRDefault="00EB481C">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6C2CA866" w14:textId="77777777" w:rsidR="003E1D81" w:rsidRDefault="00EB481C">
            <w:pPr>
              <w:pStyle w:val="P68B1DB1-Normal13"/>
              <w:spacing w:after="0" w:line="240" w:lineRule="auto"/>
              <w:rPr>
                <w:rFonts w:eastAsia="Times New Roman" w:cs="Times New Roman"/>
                <w:noProof/>
              </w:rPr>
            </w:pPr>
            <w:r>
              <w:rPr>
                <w:noProof/>
              </w:rPr>
              <w:t>A költségvetés legalább 30%-a az „Innovatív üzleti klaszterek támogatási programja” keretében a kkv-k számára elkülönített</w:t>
            </w:r>
            <w:r>
              <w:rPr>
                <w:noProof/>
              </w:rPr>
              <w:t xml:space="preserve"> 115 000 000 EUR. A feladatmeghatározással ellátott pályázati felhívásoknak olyan támogathatósági kritériumokat kell tartalmazniuk, amelyek egy kizárási lista és a vonatkozó uniós és nemzeti környezetvédelmi jogszabályoknak való megfelelés követelménye rév</w:t>
            </w:r>
            <w:r>
              <w:rPr>
                <w:noProof/>
              </w:rPr>
              <w:t>én biztosítják, hogy a kiválasztott projektek megfeleljenek a jelentős károkozás elkerülését célzó elvről szóló technikai iránymutatásnak (2021/C58/01).</w:t>
            </w:r>
          </w:p>
        </w:tc>
      </w:tr>
      <w:tr w:rsidR="003E1D81" w14:paraId="645E62E2" w14:textId="77777777">
        <w:trPr>
          <w:trHeight w:val="309"/>
        </w:trPr>
        <w:tc>
          <w:tcPr>
            <w:tcW w:w="709" w:type="dxa"/>
            <w:shd w:val="clear" w:color="auto" w:fill="C6EFCE"/>
            <w:noWrap/>
          </w:tcPr>
          <w:p w14:paraId="667360E9" w14:textId="77777777" w:rsidR="003E1D81" w:rsidRDefault="00EB481C">
            <w:pPr>
              <w:pStyle w:val="P68B1DB1-Normal13"/>
              <w:spacing w:after="0" w:line="240" w:lineRule="auto"/>
              <w:jc w:val="center"/>
              <w:rPr>
                <w:rFonts w:eastAsia="Times New Roman" w:cs="Times New Roman"/>
                <w:noProof/>
              </w:rPr>
            </w:pPr>
            <w:r>
              <w:rPr>
                <w:noProof/>
              </w:rPr>
              <w:t>203</w:t>
            </w:r>
          </w:p>
        </w:tc>
        <w:tc>
          <w:tcPr>
            <w:tcW w:w="851" w:type="dxa"/>
            <w:shd w:val="clear" w:color="auto" w:fill="C6EFCE"/>
            <w:noWrap/>
          </w:tcPr>
          <w:p w14:paraId="7359BE08" w14:textId="77777777" w:rsidR="003E1D81" w:rsidRDefault="00EB481C">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54DC2E9E"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1DF54B07" w14:textId="77777777" w:rsidR="003E1D81" w:rsidRDefault="00EB481C">
            <w:pPr>
              <w:pStyle w:val="P68B1DB1-Normal13"/>
              <w:spacing w:after="0" w:line="240" w:lineRule="auto"/>
              <w:rPr>
                <w:rFonts w:eastAsia="Times New Roman" w:cs="Times New Roman"/>
                <w:noProof/>
              </w:rPr>
            </w:pPr>
            <w:r>
              <w:rPr>
                <w:noProof/>
              </w:rPr>
              <w:t>A digitális innovációs központok programjára lekötött költségvetés</w:t>
            </w:r>
          </w:p>
        </w:tc>
        <w:tc>
          <w:tcPr>
            <w:tcW w:w="1134" w:type="dxa"/>
            <w:shd w:val="clear" w:color="auto" w:fill="C6EFCE"/>
            <w:noWrap/>
          </w:tcPr>
          <w:p w14:paraId="664C0709"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0DB6C6A7"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37EFBB1A"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02E9A466" w14:textId="77777777" w:rsidR="003E1D81" w:rsidRDefault="00EB481C">
            <w:pPr>
              <w:pStyle w:val="P68B1DB1-Normal13"/>
              <w:spacing w:after="0" w:line="240" w:lineRule="auto"/>
              <w:jc w:val="right"/>
              <w:rPr>
                <w:rFonts w:eastAsia="Times New Roman" w:cs="Times New Roman"/>
                <w:noProof/>
              </w:rPr>
            </w:pPr>
            <w:r>
              <w:rPr>
                <w:noProof/>
              </w:rPr>
              <w:t>30</w:t>
            </w:r>
          </w:p>
        </w:tc>
        <w:tc>
          <w:tcPr>
            <w:tcW w:w="567" w:type="dxa"/>
            <w:shd w:val="clear" w:color="auto" w:fill="C6EFCE"/>
            <w:noWrap/>
          </w:tcPr>
          <w:p w14:paraId="58548943"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3E22AFA0" w14:textId="77777777" w:rsidR="003E1D81" w:rsidRDefault="00EB481C">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53B86743" w14:textId="77777777" w:rsidR="003E1D81" w:rsidRDefault="00EB481C">
            <w:pPr>
              <w:pStyle w:val="P68B1DB1-Normal13"/>
              <w:spacing w:after="0" w:line="240" w:lineRule="auto"/>
              <w:rPr>
                <w:rFonts w:eastAsia="Times New Roman" w:cs="Times New Roman"/>
                <w:noProof/>
              </w:rPr>
            </w:pPr>
            <w:r>
              <w:rPr>
                <w:noProof/>
              </w:rPr>
              <w:t xml:space="preserve">A lekötött 37 590 000 EUR költségvetés legalább 30%-át a „Digitális innovációs központok” program keretében a kkv-kra fordítják. A feladatmeghatározással ellátott pályázati felhívásoknak olyan támogathatósági kritériumokat kell tartalmazniuk, amelyek </w:t>
            </w:r>
            <w:r>
              <w:rPr>
                <w:noProof/>
              </w:rPr>
              <w:t>egy kizárási lista és a vonatkozó uniós és nemzeti környezetvédelmi jogszabályoknak való megfelelés követelménye révén biztosítják, hogy a kiválasztott projektek megfeleljenek a jelentős károkozás elkerülését célzó elvről szóló technikai iránymutatásnak (2</w:t>
            </w:r>
            <w:r>
              <w:rPr>
                <w:noProof/>
              </w:rPr>
              <w:t>021/C58/01).</w:t>
            </w:r>
          </w:p>
        </w:tc>
      </w:tr>
      <w:tr w:rsidR="003E1D81" w14:paraId="302AD6EC" w14:textId="77777777">
        <w:trPr>
          <w:trHeight w:val="309"/>
        </w:trPr>
        <w:tc>
          <w:tcPr>
            <w:tcW w:w="709" w:type="dxa"/>
            <w:shd w:val="clear" w:color="auto" w:fill="C6EFCE"/>
            <w:noWrap/>
          </w:tcPr>
          <w:p w14:paraId="14046760" w14:textId="77777777" w:rsidR="003E1D81" w:rsidRDefault="00EB481C">
            <w:pPr>
              <w:pStyle w:val="P68B1DB1-Normal13"/>
              <w:spacing w:after="0" w:line="240" w:lineRule="auto"/>
              <w:jc w:val="center"/>
              <w:rPr>
                <w:rFonts w:eastAsia="Times New Roman" w:cs="Times New Roman"/>
                <w:noProof/>
              </w:rPr>
            </w:pPr>
            <w:r>
              <w:rPr>
                <w:noProof/>
              </w:rPr>
              <w:t>204</w:t>
            </w:r>
          </w:p>
        </w:tc>
        <w:tc>
          <w:tcPr>
            <w:tcW w:w="851" w:type="dxa"/>
            <w:shd w:val="clear" w:color="auto" w:fill="C6EFCE"/>
            <w:noWrap/>
          </w:tcPr>
          <w:p w14:paraId="07FE773D" w14:textId="77777777" w:rsidR="003E1D81" w:rsidRDefault="00EB481C">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48311CD3"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1F2BB74D" w14:textId="77777777" w:rsidR="003E1D81" w:rsidRDefault="00EB481C">
            <w:pPr>
              <w:pStyle w:val="P68B1DB1-Normal13"/>
              <w:spacing w:after="0" w:line="240" w:lineRule="auto"/>
              <w:rPr>
                <w:rFonts w:eastAsia="Times New Roman" w:cs="Times New Roman"/>
                <w:noProof/>
              </w:rPr>
            </w:pPr>
            <w:r>
              <w:rPr>
                <w:noProof/>
              </w:rPr>
              <w:t>A digitális eszköztár program által támogatott kkv-k</w:t>
            </w:r>
          </w:p>
        </w:tc>
        <w:tc>
          <w:tcPr>
            <w:tcW w:w="1134" w:type="dxa"/>
            <w:shd w:val="clear" w:color="auto" w:fill="C6EFCE"/>
            <w:noWrap/>
          </w:tcPr>
          <w:p w14:paraId="6B23C6FB"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56958C5C"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8" w:type="dxa"/>
            <w:shd w:val="clear" w:color="auto" w:fill="C6EFCE"/>
            <w:noWrap/>
          </w:tcPr>
          <w:p w14:paraId="423684F5"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4097752F" w14:textId="3CB92CE9" w:rsidR="003E1D81" w:rsidRDefault="00EB481C">
            <w:pPr>
              <w:pStyle w:val="P68B1DB1-Normal13"/>
              <w:spacing w:after="0" w:line="240" w:lineRule="auto"/>
              <w:jc w:val="right"/>
              <w:rPr>
                <w:rFonts w:eastAsia="Times New Roman" w:cs="Times New Roman"/>
                <w:noProof/>
              </w:rPr>
            </w:pPr>
            <w:r>
              <w:rPr>
                <w:noProof/>
                <w:shd w:val="clear" w:color="auto" w:fill="E6E6E6"/>
              </w:rPr>
              <w:t>5</w:t>
            </w:r>
            <w:r>
              <w:rPr>
                <w:noProof/>
              </w:rPr>
              <w:t>00 000</w:t>
            </w:r>
          </w:p>
        </w:tc>
        <w:tc>
          <w:tcPr>
            <w:tcW w:w="567" w:type="dxa"/>
            <w:shd w:val="clear" w:color="auto" w:fill="C6EFCE"/>
            <w:noWrap/>
          </w:tcPr>
          <w:p w14:paraId="0D775F2C"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378ADF52" w14:textId="26FCB59F" w:rsidR="003E1D81" w:rsidRDefault="00EB481C">
            <w:pPr>
              <w:pStyle w:val="P68B1DB1-Normal13"/>
              <w:spacing w:after="0" w:line="240" w:lineRule="auto"/>
              <w:jc w:val="center"/>
              <w:rPr>
                <w:rFonts w:eastAsia="Times New Roman" w:cs="Times New Roman"/>
                <w:noProof/>
              </w:rPr>
            </w:pPr>
            <w:r>
              <w:rPr>
                <w:noProof/>
              </w:rPr>
              <w:t>202</w:t>
            </w:r>
            <w:r>
              <w:rPr>
                <w:noProof/>
                <w:shd w:val="clear" w:color="auto" w:fill="E6E6E6"/>
              </w:rPr>
              <w:t>4</w:t>
            </w:r>
          </w:p>
        </w:tc>
        <w:tc>
          <w:tcPr>
            <w:tcW w:w="6662" w:type="dxa"/>
            <w:shd w:val="clear" w:color="auto" w:fill="C6EFCE"/>
            <w:noWrap/>
          </w:tcPr>
          <w:p w14:paraId="65A61970" w14:textId="47D05979" w:rsidR="003E1D81" w:rsidRDefault="00EB481C">
            <w:pPr>
              <w:pStyle w:val="P68B1DB1-Normal13"/>
              <w:spacing w:after="0" w:line="240" w:lineRule="auto"/>
              <w:rPr>
                <w:rFonts w:eastAsia="Times New Roman" w:cs="Times New Roman"/>
                <w:noProof/>
              </w:rPr>
            </w:pPr>
            <w:r>
              <w:rPr>
                <w:noProof/>
              </w:rPr>
              <w:t xml:space="preserve">A jelentős károkozás elkerülését célzó technikai iránymutatással (2021/C58/01) összhangban legalább 500000 kkv vagy önfoglalkoztató részesült </w:t>
            </w:r>
            <w:r>
              <w:rPr>
                <w:noProof/>
              </w:rPr>
              <w:t>támogatásban a „Digitális eszköztár” programból egy kizárási lista és a vonatkozó uniós és nemzeti környezetvédelmi jogszabályoknak való megfelelés követelménye révén.</w:t>
            </w:r>
          </w:p>
        </w:tc>
      </w:tr>
      <w:tr w:rsidR="003E1D81" w14:paraId="6E883AD5" w14:textId="77777777">
        <w:trPr>
          <w:trHeight w:val="309"/>
        </w:trPr>
        <w:tc>
          <w:tcPr>
            <w:tcW w:w="709" w:type="dxa"/>
            <w:shd w:val="clear" w:color="auto" w:fill="C6EFCE"/>
            <w:noWrap/>
          </w:tcPr>
          <w:p w14:paraId="7683F186" w14:textId="77777777" w:rsidR="003E1D81" w:rsidRDefault="00EB481C">
            <w:pPr>
              <w:pStyle w:val="P68B1DB1-Normal13"/>
              <w:spacing w:after="0" w:line="240" w:lineRule="auto"/>
              <w:jc w:val="center"/>
              <w:rPr>
                <w:rFonts w:eastAsia="Times New Roman" w:cs="Times New Roman"/>
                <w:noProof/>
              </w:rPr>
            </w:pPr>
            <w:r>
              <w:rPr>
                <w:noProof/>
              </w:rPr>
              <w:t>205</w:t>
            </w:r>
          </w:p>
        </w:tc>
        <w:tc>
          <w:tcPr>
            <w:tcW w:w="851" w:type="dxa"/>
            <w:shd w:val="clear" w:color="auto" w:fill="C6EFCE"/>
            <w:noWrap/>
          </w:tcPr>
          <w:p w14:paraId="3ED5A10F" w14:textId="77777777" w:rsidR="003E1D81" w:rsidRDefault="00EB481C">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24908E33"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58ABF485" w14:textId="77777777" w:rsidR="003E1D81" w:rsidRDefault="00EB481C">
            <w:pPr>
              <w:pStyle w:val="P68B1DB1-Normal13"/>
              <w:spacing w:after="0" w:line="240" w:lineRule="auto"/>
              <w:rPr>
                <w:rFonts w:eastAsia="Times New Roman" w:cs="Times New Roman"/>
                <w:noProof/>
              </w:rPr>
            </w:pPr>
            <w:r>
              <w:rPr>
                <w:noProof/>
              </w:rPr>
              <w:t>A Változtatási Program megbízottjainak költségvetés-végrehajtása</w:t>
            </w:r>
          </w:p>
        </w:tc>
        <w:tc>
          <w:tcPr>
            <w:tcW w:w="1134" w:type="dxa"/>
            <w:shd w:val="clear" w:color="auto" w:fill="C6EFCE"/>
            <w:noWrap/>
          </w:tcPr>
          <w:p w14:paraId="57D082C8"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5362525"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393BEB43" w14:textId="77777777" w:rsidR="003E1D81" w:rsidRDefault="00EB481C">
            <w:pPr>
              <w:pStyle w:val="P68B1DB1-Normal13"/>
              <w:spacing w:after="0" w:line="240" w:lineRule="auto"/>
              <w:jc w:val="right"/>
              <w:rPr>
                <w:rFonts w:eastAsia="Times New Roman" w:cs="Times New Roman"/>
                <w:noProof/>
              </w:rPr>
            </w:pPr>
            <w:r>
              <w:rPr>
                <w:noProof/>
              </w:rPr>
              <w:t>30</w:t>
            </w:r>
          </w:p>
        </w:tc>
        <w:tc>
          <w:tcPr>
            <w:tcW w:w="709" w:type="dxa"/>
            <w:shd w:val="clear" w:color="auto" w:fill="C6EFCE"/>
            <w:noWrap/>
          </w:tcPr>
          <w:p w14:paraId="4ABD35B1" w14:textId="77777777" w:rsidR="003E1D81" w:rsidRDefault="00EB481C">
            <w:pPr>
              <w:pStyle w:val="P68B1DB1-Normal13"/>
              <w:spacing w:after="0" w:line="240" w:lineRule="auto"/>
              <w:jc w:val="right"/>
              <w:rPr>
                <w:rFonts w:eastAsia="Times New Roman" w:cs="Times New Roman"/>
                <w:noProof/>
              </w:rPr>
            </w:pPr>
            <w:r>
              <w:rPr>
                <w:noProof/>
              </w:rPr>
              <w:t>100</w:t>
            </w:r>
          </w:p>
        </w:tc>
        <w:tc>
          <w:tcPr>
            <w:tcW w:w="567" w:type="dxa"/>
            <w:shd w:val="clear" w:color="auto" w:fill="C6EFCE"/>
            <w:noWrap/>
          </w:tcPr>
          <w:p w14:paraId="57C1A4A9"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3AD6CDAC" w14:textId="77777777" w:rsidR="003E1D81" w:rsidRDefault="00EB481C">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5D9D1700" w14:textId="1F054017" w:rsidR="003E1D81" w:rsidRDefault="00EB481C">
            <w:pPr>
              <w:pStyle w:val="P68B1DB1-Normal13"/>
              <w:spacing w:after="0" w:line="240" w:lineRule="auto"/>
              <w:rPr>
                <w:rFonts w:eastAsia="Times New Roman" w:cs="Times New Roman"/>
                <w:noProof/>
              </w:rPr>
            </w:pPr>
            <w:r>
              <w:rPr>
                <w:noProof/>
              </w:rPr>
              <w:t>A lekötött 300 000 000 EUR költségvetés 100%-a, amelyet a „Változó ügynökök” program keretében a kkv-k számára különítettek el. Ez a program legalább 15000 kis- és középvállalkozás (10–249 alkalmazott) támogatását célozza a digitális tran</w:t>
            </w:r>
            <w:r>
              <w:rPr>
                <w:noProof/>
              </w:rPr>
              <w:t>szformációs folyamatokban. A kiválasztási kritériumoknak egy kizárási lista és a vonatkozó uniós és nemzeti környezetvédelmi jogszabályoknak való megfelelés követelménye révén biztosítaniuk kell a jelentős károkozás elkerülését célzó technikai iránymutatás</w:t>
            </w:r>
            <w:r>
              <w:rPr>
                <w:noProof/>
              </w:rPr>
              <w:t>nak (2021/C58/01) való megfelelést. (alapforgatókönyv: 2022. december 31.).</w:t>
            </w:r>
          </w:p>
        </w:tc>
      </w:tr>
      <w:tr w:rsidR="003E1D81" w14:paraId="30FF7304" w14:textId="77777777">
        <w:trPr>
          <w:trHeight w:val="309"/>
        </w:trPr>
        <w:tc>
          <w:tcPr>
            <w:tcW w:w="709" w:type="dxa"/>
            <w:shd w:val="clear" w:color="auto" w:fill="C6EFCE"/>
            <w:noWrap/>
          </w:tcPr>
          <w:p w14:paraId="7B45E36E" w14:textId="77777777" w:rsidR="003E1D81" w:rsidRDefault="00EB481C">
            <w:pPr>
              <w:pStyle w:val="P68B1DB1-Normal13"/>
              <w:spacing w:after="0" w:line="240" w:lineRule="auto"/>
              <w:jc w:val="center"/>
              <w:rPr>
                <w:rFonts w:eastAsia="Times New Roman" w:cs="Times New Roman"/>
                <w:noProof/>
              </w:rPr>
            </w:pPr>
            <w:r>
              <w:rPr>
                <w:noProof/>
              </w:rPr>
              <w:t>206</w:t>
            </w:r>
          </w:p>
        </w:tc>
        <w:tc>
          <w:tcPr>
            <w:tcW w:w="851" w:type="dxa"/>
            <w:shd w:val="clear" w:color="auto" w:fill="C6EFCE"/>
            <w:noWrap/>
          </w:tcPr>
          <w:p w14:paraId="4332DC16" w14:textId="77777777" w:rsidR="003E1D81" w:rsidRDefault="00EB481C">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11320BD7"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47FCF466" w14:textId="77777777" w:rsidR="003E1D81" w:rsidRDefault="00EB481C">
            <w:pPr>
              <w:pStyle w:val="P68B1DB1-Normal13"/>
              <w:spacing w:after="0" w:line="240" w:lineRule="auto"/>
              <w:rPr>
                <w:rFonts w:eastAsia="Times New Roman" w:cs="Times New Roman"/>
                <w:noProof/>
              </w:rPr>
            </w:pPr>
            <w:r>
              <w:rPr>
                <w:noProof/>
              </w:rPr>
              <w:t xml:space="preserve">Az Innovatív Üzleti Klaszter támogatási program költségvetésének végrehajtása </w:t>
            </w:r>
          </w:p>
        </w:tc>
        <w:tc>
          <w:tcPr>
            <w:tcW w:w="1134" w:type="dxa"/>
            <w:shd w:val="clear" w:color="auto" w:fill="C6EFCE"/>
            <w:noWrap/>
          </w:tcPr>
          <w:p w14:paraId="4E38B6DC"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0CBEC89"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5A3E4312" w14:textId="77777777" w:rsidR="003E1D81" w:rsidRDefault="00EB481C">
            <w:pPr>
              <w:pStyle w:val="P68B1DB1-Normal13"/>
              <w:spacing w:after="0" w:line="240" w:lineRule="auto"/>
              <w:jc w:val="right"/>
              <w:rPr>
                <w:rFonts w:eastAsia="Times New Roman" w:cs="Times New Roman"/>
                <w:noProof/>
              </w:rPr>
            </w:pPr>
            <w:r>
              <w:rPr>
                <w:noProof/>
              </w:rPr>
              <w:t>30</w:t>
            </w:r>
          </w:p>
        </w:tc>
        <w:tc>
          <w:tcPr>
            <w:tcW w:w="709" w:type="dxa"/>
            <w:shd w:val="clear" w:color="auto" w:fill="C6EFCE"/>
            <w:noWrap/>
          </w:tcPr>
          <w:p w14:paraId="219FFAC2" w14:textId="77777777" w:rsidR="003E1D81" w:rsidRDefault="00EB481C">
            <w:pPr>
              <w:pStyle w:val="P68B1DB1-Normal13"/>
              <w:spacing w:after="0" w:line="240" w:lineRule="auto"/>
              <w:jc w:val="right"/>
              <w:rPr>
                <w:rFonts w:eastAsia="Times New Roman" w:cs="Times New Roman"/>
                <w:noProof/>
              </w:rPr>
            </w:pPr>
            <w:r>
              <w:rPr>
                <w:noProof/>
              </w:rPr>
              <w:t>100</w:t>
            </w:r>
          </w:p>
        </w:tc>
        <w:tc>
          <w:tcPr>
            <w:tcW w:w="567" w:type="dxa"/>
            <w:shd w:val="clear" w:color="auto" w:fill="C6EFCE"/>
            <w:noWrap/>
          </w:tcPr>
          <w:p w14:paraId="1163A990"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376CBEEC" w14:textId="77777777" w:rsidR="003E1D81" w:rsidRDefault="00EB481C">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61E533C2" w14:textId="77777777" w:rsidR="003E1D81" w:rsidRDefault="00EB481C">
            <w:pPr>
              <w:pStyle w:val="P68B1DB1-Normal13"/>
              <w:spacing w:after="0" w:line="240" w:lineRule="auto"/>
              <w:rPr>
                <w:rFonts w:eastAsia="Times New Roman" w:cs="Times New Roman"/>
                <w:noProof/>
              </w:rPr>
            </w:pPr>
            <w:r>
              <w:rPr>
                <w:noProof/>
              </w:rPr>
              <w:t>Az „Innovatív Üzleti Klaszter támogatási program” keretében a</w:t>
            </w:r>
            <w:r>
              <w:rPr>
                <w:noProof/>
              </w:rPr>
              <w:t xml:space="preserve"> kkv-k számára lekötött 115 000 000 EUR költségvetés 100%-a. Ezen intézkedés célja a különböző ipari ágazatok értékláncának digitalizálására irányuló projektek támogatása azok korszerűsítése és a kkv-k értékláncba való bevonása céljából. A feladatmeghatáro</w:t>
            </w:r>
            <w:r>
              <w:rPr>
                <w:noProof/>
              </w:rPr>
              <w:t xml:space="preserve">zással ellátott pályázati felhívásoknak olyan támogathatósági kritériumokat kell tartalmazniuk, amelyek egy kizárási lista és a vonatkozó uniós és nemzeti környezetvédelmi jogszabályoknak való megfelelés követelménye révén biztosítják, hogy a kiválasztott </w:t>
            </w:r>
            <w:r>
              <w:rPr>
                <w:noProof/>
              </w:rPr>
              <w:t>projektek megfeleljenek a jelentős károkozás elkerülését célzó elvről szóló technikai iránymutatásnak (2021/C58/01). (alapforgatókönyv: 2022. december 31.).</w:t>
            </w:r>
          </w:p>
        </w:tc>
      </w:tr>
      <w:tr w:rsidR="003E1D81" w14:paraId="5F723A55" w14:textId="77777777">
        <w:trPr>
          <w:trHeight w:val="309"/>
        </w:trPr>
        <w:tc>
          <w:tcPr>
            <w:tcW w:w="709" w:type="dxa"/>
            <w:shd w:val="clear" w:color="auto" w:fill="C6EFCE"/>
            <w:noWrap/>
          </w:tcPr>
          <w:p w14:paraId="52EC3C9D" w14:textId="77777777" w:rsidR="003E1D81" w:rsidRDefault="00EB481C">
            <w:pPr>
              <w:pStyle w:val="P68B1DB1-Normal13"/>
              <w:spacing w:after="0" w:line="240" w:lineRule="auto"/>
              <w:jc w:val="center"/>
              <w:rPr>
                <w:rFonts w:eastAsia="Times New Roman" w:cs="Times New Roman"/>
                <w:noProof/>
              </w:rPr>
            </w:pPr>
            <w:r>
              <w:rPr>
                <w:noProof/>
              </w:rPr>
              <w:t>207</w:t>
            </w:r>
          </w:p>
        </w:tc>
        <w:tc>
          <w:tcPr>
            <w:tcW w:w="851" w:type="dxa"/>
            <w:shd w:val="clear" w:color="auto" w:fill="C6EFCE"/>
            <w:noWrap/>
          </w:tcPr>
          <w:p w14:paraId="4BDE3CE9" w14:textId="77777777" w:rsidR="003E1D81" w:rsidRDefault="00EB481C">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27D3835F"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7863AD59" w14:textId="77777777" w:rsidR="003E1D81" w:rsidRDefault="00EB481C">
            <w:pPr>
              <w:pStyle w:val="P68B1DB1-Normal13"/>
              <w:spacing w:after="0" w:line="240" w:lineRule="auto"/>
              <w:rPr>
                <w:rFonts w:eastAsia="Times New Roman" w:cs="Times New Roman"/>
                <w:noProof/>
              </w:rPr>
            </w:pPr>
            <w:r>
              <w:rPr>
                <w:noProof/>
              </w:rPr>
              <w:t>A digitális innovációs központok programjának költségvetési végrehajtása</w:t>
            </w:r>
          </w:p>
        </w:tc>
        <w:tc>
          <w:tcPr>
            <w:tcW w:w="1134" w:type="dxa"/>
            <w:shd w:val="clear" w:color="auto" w:fill="C6EFCE"/>
            <w:noWrap/>
          </w:tcPr>
          <w:p w14:paraId="22FE275F"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0B391AB1" w14:textId="77777777" w:rsidR="003E1D81" w:rsidRDefault="00EB481C">
            <w:pPr>
              <w:pStyle w:val="P68B1DB1-Normal13"/>
              <w:spacing w:after="0" w:line="240" w:lineRule="auto"/>
              <w:jc w:val="center"/>
              <w:rPr>
                <w:rFonts w:eastAsia="Times New Roman" w:cs="Times New Roman"/>
                <w:noProof/>
              </w:rPr>
            </w:pPr>
            <w:r>
              <w:rPr>
                <w:noProof/>
              </w:rPr>
              <w:t>%</w:t>
            </w:r>
          </w:p>
        </w:tc>
        <w:tc>
          <w:tcPr>
            <w:tcW w:w="708" w:type="dxa"/>
            <w:shd w:val="clear" w:color="auto" w:fill="C6EFCE"/>
            <w:noWrap/>
          </w:tcPr>
          <w:p w14:paraId="28C1AE1A" w14:textId="77777777" w:rsidR="003E1D81" w:rsidRDefault="00EB481C">
            <w:pPr>
              <w:pStyle w:val="P68B1DB1-Normal13"/>
              <w:spacing w:after="0" w:line="240" w:lineRule="auto"/>
              <w:jc w:val="right"/>
              <w:rPr>
                <w:rFonts w:eastAsia="Times New Roman" w:cs="Times New Roman"/>
                <w:noProof/>
              </w:rPr>
            </w:pPr>
            <w:r>
              <w:rPr>
                <w:noProof/>
              </w:rPr>
              <w:t>30</w:t>
            </w:r>
          </w:p>
        </w:tc>
        <w:tc>
          <w:tcPr>
            <w:tcW w:w="709" w:type="dxa"/>
            <w:shd w:val="clear" w:color="auto" w:fill="C6EFCE"/>
            <w:noWrap/>
          </w:tcPr>
          <w:p w14:paraId="2940DEF5" w14:textId="77777777" w:rsidR="003E1D81" w:rsidRDefault="00EB481C">
            <w:pPr>
              <w:pStyle w:val="P68B1DB1-Normal13"/>
              <w:spacing w:after="0" w:line="240" w:lineRule="auto"/>
              <w:jc w:val="right"/>
              <w:rPr>
                <w:rFonts w:eastAsia="Times New Roman" w:cs="Times New Roman"/>
                <w:noProof/>
              </w:rPr>
            </w:pPr>
            <w:r>
              <w:rPr>
                <w:noProof/>
              </w:rPr>
              <w:t>100</w:t>
            </w:r>
          </w:p>
        </w:tc>
        <w:tc>
          <w:tcPr>
            <w:tcW w:w="567" w:type="dxa"/>
            <w:shd w:val="clear" w:color="auto" w:fill="C6EFCE"/>
            <w:noWrap/>
          </w:tcPr>
          <w:p w14:paraId="38B629BB"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3F6BC4C6" w14:textId="77777777" w:rsidR="003E1D81" w:rsidRDefault="00EB481C">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2468B19B" w14:textId="2778709F" w:rsidR="003E1D81" w:rsidRDefault="00EB481C">
            <w:pPr>
              <w:pStyle w:val="P68B1DB1-Normal13"/>
              <w:spacing w:after="0" w:line="240" w:lineRule="auto"/>
              <w:rPr>
                <w:rFonts w:eastAsia="Times New Roman" w:cs="Times New Roman"/>
                <w:noProof/>
              </w:rPr>
            </w:pPr>
            <w:r>
              <w:rPr>
                <w:noProof/>
              </w:rPr>
              <w:t>A lekötött 37 590 000 EUR költségvetés 100%-a, amelyet a „Digitális innovációs központok” program keretében a kkv-kra fordítottak. Ez a program segíti a vállalatokat abban, hogy a digitális technológiák intenzív használata révén javítsák üzle</w:t>
            </w:r>
            <w:r>
              <w:rPr>
                <w:noProof/>
              </w:rPr>
              <w:t>ti és termelési folyamataikat. Ennek az alintézkedésnek a részeként támogatni kell a digitális innovációs központokat. A feladatmeghatározással ellátott pályázati felhívásoknak olyan támogathatósági kritériumokat kell tartalmazniuk, amelyek egy kizárási li</w:t>
            </w:r>
            <w:r>
              <w:rPr>
                <w:noProof/>
              </w:rPr>
              <w:t>sta és a vonatkozó uniós és nemzeti környezetvédelmi jogszabályoknak való megfelelés követelménye révén biztosítják, hogy a kiválasztott projektek megfeleljenek a jelentős károkozás elkerülését célzó elvről szóló technikai iránymutatásnak (2021/C58/01). (a</w:t>
            </w:r>
            <w:r>
              <w:rPr>
                <w:noProof/>
              </w:rPr>
              <w:t>lapforgatókönyv: 2022. december 31.).</w:t>
            </w:r>
          </w:p>
        </w:tc>
      </w:tr>
      <w:tr w:rsidR="003E1D81" w14:paraId="365AC1AB" w14:textId="77777777">
        <w:trPr>
          <w:trHeight w:val="309"/>
        </w:trPr>
        <w:tc>
          <w:tcPr>
            <w:tcW w:w="709" w:type="dxa"/>
            <w:shd w:val="clear" w:color="auto" w:fill="C6EFCE"/>
            <w:noWrap/>
          </w:tcPr>
          <w:p w14:paraId="3C34C378" w14:textId="77777777" w:rsidR="003E1D81" w:rsidRDefault="00EB481C">
            <w:pPr>
              <w:pStyle w:val="P68B1DB1-Normal13"/>
              <w:spacing w:after="0" w:line="240" w:lineRule="auto"/>
              <w:jc w:val="center"/>
              <w:rPr>
                <w:rFonts w:eastAsia="Times New Roman" w:cs="Times New Roman"/>
                <w:noProof/>
              </w:rPr>
            </w:pPr>
            <w:r>
              <w:rPr>
                <w:noProof/>
              </w:rPr>
              <w:t>208</w:t>
            </w:r>
          </w:p>
        </w:tc>
        <w:tc>
          <w:tcPr>
            <w:tcW w:w="851" w:type="dxa"/>
            <w:shd w:val="clear" w:color="auto" w:fill="C6EFCE"/>
            <w:noWrap/>
          </w:tcPr>
          <w:p w14:paraId="4F3B9E58" w14:textId="77777777" w:rsidR="003E1D81" w:rsidRDefault="00EB481C">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3D36884F"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70181F94" w14:textId="77777777" w:rsidR="003E1D81" w:rsidRDefault="00EB481C">
            <w:pPr>
              <w:pStyle w:val="P68B1DB1-Normal13"/>
              <w:spacing w:after="0" w:line="240" w:lineRule="auto"/>
              <w:rPr>
                <w:rFonts w:eastAsia="Times New Roman" w:cs="Times New Roman"/>
                <w:noProof/>
              </w:rPr>
            </w:pPr>
            <w:r>
              <w:rPr>
                <w:noProof/>
              </w:rPr>
              <w:t>A digitális eszköztár program lezárása</w:t>
            </w:r>
          </w:p>
        </w:tc>
        <w:tc>
          <w:tcPr>
            <w:tcW w:w="1134" w:type="dxa"/>
            <w:shd w:val="clear" w:color="auto" w:fill="C6EFCE"/>
            <w:noWrap/>
          </w:tcPr>
          <w:p w14:paraId="68806BA5"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21AE94F3"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8" w:type="dxa"/>
            <w:shd w:val="clear" w:color="auto" w:fill="C6EFCE"/>
            <w:noWrap/>
          </w:tcPr>
          <w:p w14:paraId="4194F95B" w14:textId="52855B6D" w:rsidR="003E1D81" w:rsidRDefault="00EB481C">
            <w:pPr>
              <w:pStyle w:val="P68B1DB1-Normal13"/>
              <w:rPr>
                <w:rFonts w:cs="Times New Roman"/>
                <w:noProof/>
              </w:rPr>
            </w:pPr>
            <w:r>
              <w:rPr>
                <w:noProof/>
              </w:rPr>
              <w:t>500 000</w:t>
            </w:r>
          </w:p>
        </w:tc>
        <w:tc>
          <w:tcPr>
            <w:tcW w:w="709" w:type="dxa"/>
            <w:shd w:val="clear" w:color="auto" w:fill="C6EFCE"/>
            <w:noWrap/>
          </w:tcPr>
          <w:p w14:paraId="0B2EF20D" w14:textId="6111525E" w:rsidR="003E1D81" w:rsidRDefault="00EB481C">
            <w:pPr>
              <w:pStyle w:val="P68B1DB1-Normal13"/>
              <w:rPr>
                <w:rFonts w:cs="Times New Roman"/>
                <w:noProof/>
              </w:rPr>
            </w:pPr>
            <w:r>
              <w:rPr>
                <w:noProof/>
              </w:rPr>
              <w:t>676 000</w:t>
            </w:r>
          </w:p>
        </w:tc>
        <w:tc>
          <w:tcPr>
            <w:tcW w:w="567" w:type="dxa"/>
            <w:shd w:val="clear" w:color="auto" w:fill="C6EFCE"/>
            <w:noWrap/>
          </w:tcPr>
          <w:p w14:paraId="230895F8"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1B6E1C3E" w14:textId="7091BDF5" w:rsidR="003E1D81" w:rsidRDefault="00EB481C">
            <w:pPr>
              <w:pStyle w:val="P68B1DB1-Normal13"/>
              <w:spacing w:after="0" w:line="240" w:lineRule="auto"/>
              <w:jc w:val="center"/>
              <w:rPr>
                <w:rFonts w:eastAsia="Times New Roman" w:cs="Times New Roman"/>
                <w:noProof/>
              </w:rPr>
            </w:pPr>
            <w:r>
              <w:rPr>
                <w:noProof/>
              </w:rPr>
              <w:t>202</w:t>
            </w:r>
            <w:r>
              <w:rPr>
                <w:noProof/>
                <w:shd w:val="clear" w:color="auto" w:fill="E6E6E6"/>
              </w:rPr>
              <w:t>5</w:t>
            </w:r>
          </w:p>
        </w:tc>
        <w:tc>
          <w:tcPr>
            <w:tcW w:w="6662" w:type="dxa"/>
            <w:shd w:val="clear" w:color="auto" w:fill="C6EFCE"/>
            <w:noWrap/>
          </w:tcPr>
          <w:p w14:paraId="6A3E457F" w14:textId="57E649CC" w:rsidR="003E1D81" w:rsidRDefault="00EB481C">
            <w:pPr>
              <w:pStyle w:val="P68B1DB1-Normal13"/>
              <w:spacing w:after="120" w:line="240" w:lineRule="auto"/>
              <w:rPr>
                <w:rFonts w:cs="Times New Roman"/>
                <w:noProof/>
              </w:rPr>
            </w:pPr>
            <w:r>
              <w:rPr>
                <w:noProof/>
              </w:rPr>
              <w:t>A jelentős károkozás elkerülését célzó technikai iránymutatással (2021/C58/01) összhangban legalább 676000 kkv vagy önfoglalkoztató részesült támogatásban a „Digitális eszköztár” programból egy kizárási lista és a vonatkozó uniós és nemzeti környezetvédelm</w:t>
            </w:r>
            <w:r>
              <w:rPr>
                <w:noProof/>
              </w:rPr>
              <w:t>i jogszabályoknak való megfelelés követelménye révén. A program olyan vissza nem térítendő támogatásokon alapul, amelyek támogatják a digitális technológia integrációját az e-kereskedelem hatékony bevezetése, az igazgatással és az ügyfelekkel fenntartott k</w:t>
            </w:r>
            <w:r>
              <w:rPr>
                <w:noProof/>
              </w:rPr>
              <w:t>apcsolatok digitalizálása, a belső digitális folyamatok fejlesztése, valamint az e-számlázás és a digitális marketing bevezetése érdekében; különösen a szolgáltatásorientált megoldások előmozdítása. A program részben támogatja az olyan alapvető digitális m</w:t>
            </w:r>
            <w:r>
              <w:rPr>
                <w:noProof/>
              </w:rPr>
              <w:t>egoldásokból álló csomagok elfogadásának költségeit, mint az internetes jelenlét, az e-értékesítés, a felhőalapú iroda, a digitális munkahely, a digitalizáció alapvető folyamatai, az ügyfélkezelés, a digitális marketing és a kiberbiztonság. (alapforgatókön</w:t>
            </w:r>
            <w:r>
              <w:rPr>
                <w:noProof/>
              </w:rPr>
              <w:t>yv: 2023. december 31.).</w:t>
            </w:r>
          </w:p>
          <w:p w14:paraId="71FD0435" w14:textId="77777777" w:rsidR="003E1D81" w:rsidRDefault="00EB481C">
            <w:pPr>
              <w:pStyle w:val="P68B1DB1-Normal13"/>
              <w:spacing w:after="120" w:line="240" w:lineRule="auto"/>
              <w:rPr>
                <w:rFonts w:cs="Times New Roman"/>
                <w:noProof/>
              </w:rPr>
            </w:pPr>
            <w:r>
              <w:rPr>
                <w:noProof/>
              </w:rPr>
              <w:t>A legalább 676000 kkv-ra vagy önálló vállalkozóra vonatkozó végső célkitűzésből:</w:t>
            </w:r>
          </w:p>
          <w:p w14:paraId="129754C0" w14:textId="77777777" w:rsidR="003E1D81" w:rsidRDefault="00EB481C">
            <w:pPr>
              <w:pStyle w:val="P68B1DB1-ListParagraph14"/>
              <w:numPr>
                <w:ilvl w:val="0"/>
                <w:numId w:val="630"/>
              </w:numPr>
              <w:spacing w:after="120" w:line="240" w:lineRule="auto"/>
              <w:rPr>
                <w:rFonts w:cs="Times New Roman"/>
                <w:noProof/>
              </w:rPr>
            </w:pPr>
            <w:r>
              <w:rPr>
                <w:noProof/>
              </w:rPr>
              <w:t>Legalább 629000, 50 alkalmazottnál kevesebbet foglalkoztató kkv vagy önálló vállalkozó számára legalább 2 000 EUR, de legfeljebb 12 000 EUR összegű ut</w:t>
            </w:r>
            <w:r>
              <w:rPr>
                <w:noProof/>
              </w:rPr>
              <w:t>alványt kell biztosítani.</w:t>
            </w:r>
          </w:p>
          <w:p w14:paraId="208F591F" w14:textId="798904E1" w:rsidR="003E1D81" w:rsidRDefault="00EB481C">
            <w:pPr>
              <w:pStyle w:val="P68B1DB1-ListParagraph14"/>
              <w:numPr>
                <w:ilvl w:val="0"/>
                <w:numId w:val="630"/>
              </w:numPr>
              <w:spacing w:after="120" w:line="240" w:lineRule="auto"/>
              <w:rPr>
                <w:rFonts w:cs="Times New Roman"/>
                <w:noProof/>
              </w:rPr>
            </w:pPr>
            <w:r>
              <w:rPr>
                <w:noProof/>
              </w:rPr>
              <w:t>Legalább 12100, legalább 50 és 250 főnél kevesebb alkalmazottat foglalkoztató kkv számára legalább 25000–29000 EUR összegű utalványt kell biztosítani.</w:t>
            </w:r>
          </w:p>
        </w:tc>
      </w:tr>
      <w:tr w:rsidR="003E1D81" w14:paraId="7BE0ECEC" w14:textId="77777777">
        <w:trPr>
          <w:trHeight w:val="309"/>
        </w:trPr>
        <w:tc>
          <w:tcPr>
            <w:tcW w:w="709" w:type="dxa"/>
            <w:shd w:val="clear" w:color="auto" w:fill="C6EFCE"/>
            <w:noWrap/>
          </w:tcPr>
          <w:p w14:paraId="52C49AEE" w14:textId="77777777" w:rsidR="003E1D81" w:rsidRDefault="00EB481C">
            <w:pPr>
              <w:pStyle w:val="P68B1DB1-Normal13"/>
              <w:spacing w:after="0" w:line="240" w:lineRule="auto"/>
              <w:jc w:val="center"/>
              <w:rPr>
                <w:rFonts w:eastAsia="Times New Roman" w:cs="Times New Roman"/>
                <w:noProof/>
              </w:rPr>
            </w:pPr>
            <w:r>
              <w:rPr>
                <w:noProof/>
              </w:rPr>
              <w:t>209</w:t>
            </w:r>
          </w:p>
        </w:tc>
        <w:tc>
          <w:tcPr>
            <w:tcW w:w="851" w:type="dxa"/>
            <w:shd w:val="clear" w:color="auto" w:fill="C6EFCE"/>
            <w:noWrap/>
          </w:tcPr>
          <w:p w14:paraId="5B78862F" w14:textId="77777777" w:rsidR="003E1D81" w:rsidRDefault="00EB481C">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39C09E3A"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2D82F927" w14:textId="77777777" w:rsidR="003E1D81" w:rsidRDefault="00EB481C">
            <w:pPr>
              <w:pStyle w:val="P68B1DB1-Normal13"/>
              <w:spacing w:after="0" w:line="240" w:lineRule="auto"/>
              <w:rPr>
                <w:rFonts w:eastAsia="Times New Roman" w:cs="Times New Roman"/>
                <w:noProof/>
              </w:rPr>
            </w:pPr>
            <w:r>
              <w:rPr>
                <w:noProof/>
              </w:rPr>
              <w:t xml:space="preserve">A digitális technológiák használatának növelését célzó </w:t>
            </w:r>
            <w:r>
              <w:rPr>
                <w:noProof/>
              </w:rPr>
              <w:t>intézkedéseket végrehajtó kkv-k (a digitális eszköztár kivételével)</w:t>
            </w:r>
          </w:p>
        </w:tc>
        <w:tc>
          <w:tcPr>
            <w:tcW w:w="1134" w:type="dxa"/>
            <w:shd w:val="clear" w:color="auto" w:fill="C6EFCE"/>
            <w:noWrap/>
          </w:tcPr>
          <w:p w14:paraId="149D1E18"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6A9838C9"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8" w:type="dxa"/>
            <w:shd w:val="clear" w:color="auto" w:fill="C6EFCE"/>
            <w:noWrap/>
          </w:tcPr>
          <w:p w14:paraId="6CC76E74"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39E54683" w14:textId="77777777" w:rsidR="003E1D81" w:rsidRDefault="00EB481C">
            <w:pPr>
              <w:pStyle w:val="P68B1DB1-Normal13"/>
              <w:spacing w:after="0" w:line="240" w:lineRule="auto"/>
              <w:jc w:val="right"/>
              <w:rPr>
                <w:rFonts w:eastAsia="Times New Roman" w:cs="Times New Roman"/>
                <w:noProof/>
              </w:rPr>
            </w:pPr>
            <w:r>
              <w:rPr>
                <w:noProof/>
              </w:rPr>
              <w:t>171 000</w:t>
            </w:r>
          </w:p>
        </w:tc>
        <w:tc>
          <w:tcPr>
            <w:tcW w:w="567" w:type="dxa"/>
            <w:shd w:val="clear" w:color="auto" w:fill="C6EFCE"/>
            <w:noWrap/>
          </w:tcPr>
          <w:p w14:paraId="2BCED87F"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39544FDC" w14:textId="77777777" w:rsidR="003E1D81" w:rsidRDefault="00EB481C">
            <w:pPr>
              <w:pStyle w:val="P68B1DB1-Normal13"/>
              <w:spacing w:after="0" w:line="240" w:lineRule="auto"/>
              <w:jc w:val="center"/>
              <w:rPr>
                <w:rFonts w:eastAsia="Times New Roman" w:cs="Times New Roman"/>
                <w:noProof/>
              </w:rPr>
            </w:pPr>
            <w:r>
              <w:rPr>
                <w:noProof/>
              </w:rPr>
              <w:t>2025</w:t>
            </w:r>
          </w:p>
        </w:tc>
        <w:tc>
          <w:tcPr>
            <w:tcW w:w="6662" w:type="dxa"/>
            <w:shd w:val="clear" w:color="auto" w:fill="C6EFCE"/>
            <w:noWrap/>
          </w:tcPr>
          <w:p w14:paraId="72888EF3" w14:textId="77777777" w:rsidR="003E1D81" w:rsidRDefault="00EB481C">
            <w:pPr>
              <w:pStyle w:val="P68B1DB1-Text128"/>
              <w:spacing w:before="0"/>
              <w:ind w:left="0"/>
              <w:jc w:val="left"/>
              <w:rPr>
                <w:rFonts w:cs="Times New Roman"/>
                <w:noProof/>
              </w:rPr>
            </w:pPr>
            <w:r>
              <w:rPr>
                <w:noProof/>
              </w:rPr>
              <w:t>Legalább 171000 kkv, amelyek a digitális technológiák használatának növelését célzó intézkedéseket hajtottak végre, és amelyeket a következő programok támogatnak: „Programszereplők a változásért”, „SME 2.0 gyorsítók”; „Innovatív üzleti klasztertámogatási p</w:t>
            </w:r>
            <w:r>
              <w:rPr>
                <w:noProof/>
              </w:rPr>
              <w:t>rogram” és „Digitális innovációs központok programja”. A feladatmeghatározással ellátott pályázati felhívásoknak olyan támogathatósági kritériumokat kell tartalmazniuk, amelyek egy kizárási lista és a vonatkozó uniós és nemzeti környezetvédelmi jogszabályo</w:t>
            </w:r>
            <w:r>
              <w:rPr>
                <w:noProof/>
              </w:rPr>
              <w:t xml:space="preserve">knak való megfelelés követelménye révén biztosítják, hogy a kiválasztott projektek megfeleljenek a jelentős károkozás elkerülését célzó elvről szóló technikai iránymutatásnak (2021/C58/01). </w:t>
            </w:r>
            <w:r>
              <w:rPr>
                <w:noProof/>
              </w:rPr>
              <w:br/>
              <w:t xml:space="preserve">A „Változók szereplői” program: ez a program legalább 15000 kis- </w:t>
            </w:r>
            <w:r>
              <w:rPr>
                <w:noProof/>
              </w:rPr>
              <w:t>és középvállalkozást (tíz-249 alkalmazottat) támogat a digitális transzformációs folyamatokban.</w:t>
            </w:r>
            <w:r>
              <w:rPr>
                <w:noProof/>
              </w:rPr>
              <w:br/>
              <w:t xml:space="preserve">„Kkv 2.0 gyorsító” program: ez a beruházás keretébe tartozó intézkedés, amely tanácsadási és képzési szolgáltatásokkal bővíti a kkv-k digitalizációját támogató </w:t>
            </w:r>
            <w:r>
              <w:rPr>
                <w:noProof/>
              </w:rPr>
              <w:t>infrastruktúrát.</w:t>
            </w:r>
            <w:r>
              <w:rPr>
                <w:noProof/>
              </w:rPr>
              <w:br/>
              <w:t>„Innovatív üzleti klasztertámogatás” program: ez támogatja a különböző ipari ágazatok értékláncának digitalizálására irányuló projekteket azzal a céllal, hogy korszerűsítsék azokat, és bevonják a kkv-kat az értékláncba.</w:t>
            </w:r>
            <w:r>
              <w:rPr>
                <w:noProof/>
              </w:rPr>
              <w:br/>
              <w:t>„Digitális innováci</w:t>
            </w:r>
            <w:r>
              <w:rPr>
                <w:noProof/>
              </w:rPr>
              <w:t>ós központok” (DIH) program: ez a program segíti a vállalatokat abban, hogy a digitális technológiák intenzív használata révén javítsák üzleti és termelési folyamataikat.</w:t>
            </w:r>
          </w:p>
        </w:tc>
      </w:tr>
      <w:tr w:rsidR="003E1D81" w14:paraId="7B45DF80" w14:textId="77777777">
        <w:trPr>
          <w:trHeight w:val="309"/>
        </w:trPr>
        <w:tc>
          <w:tcPr>
            <w:tcW w:w="709" w:type="dxa"/>
            <w:shd w:val="clear" w:color="auto" w:fill="C6EFCE"/>
            <w:noWrap/>
          </w:tcPr>
          <w:p w14:paraId="7EEE0241" w14:textId="77777777" w:rsidR="003E1D81" w:rsidRDefault="00EB481C">
            <w:pPr>
              <w:pStyle w:val="P68B1DB1-Normal13"/>
              <w:spacing w:after="0" w:line="240" w:lineRule="auto"/>
              <w:jc w:val="center"/>
              <w:rPr>
                <w:rFonts w:eastAsia="Times New Roman" w:cs="Times New Roman"/>
                <w:noProof/>
              </w:rPr>
            </w:pPr>
            <w:r>
              <w:rPr>
                <w:noProof/>
              </w:rPr>
              <w:t>210</w:t>
            </w:r>
          </w:p>
        </w:tc>
        <w:tc>
          <w:tcPr>
            <w:tcW w:w="851" w:type="dxa"/>
            <w:shd w:val="clear" w:color="auto" w:fill="C6EFCE"/>
            <w:noWrap/>
          </w:tcPr>
          <w:p w14:paraId="0BD986CE" w14:textId="77777777" w:rsidR="003E1D81" w:rsidRDefault="00EB481C">
            <w:pPr>
              <w:pStyle w:val="P68B1DB1-Normal13"/>
              <w:spacing w:after="0" w:line="240" w:lineRule="auto"/>
              <w:jc w:val="center"/>
              <w:rPr>
                <w:rFonts w:eastAsia="Times New Roman" w:cs="Times New Roman"/>
                <w:noProof/>
              </w:rPr>
            </w:pPr>
            <w:r>
              <w:rPr>
                <w:noProof/>
              </w:rPr>
              <w:t>C13.I4</w:t>
            </w:r>
          </w:p>
        </w:tc>
        <w:tc>
          <w:tcPr>
            <w:tcW w:w="850" w:type="dxa"/>
            <w:shd w:val="clear" w:color="auto" w:fill="C6EFCE"/>
            <w:noWrap/>
          </w:tcPr>
          <w:p w14:paraId="331544CF"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51FD86F9" w14:textId="77777777" w:rsidR="003E1D81" w:rsidRDefault="00EB481C">
            <w:pPr>
              <w:pStyle w:val="P68B1DB1-Normal13"/>
              <w:spacing w:after="0" w:line="240" w:lineRule="auto"/>
              <w:rPr>
                <w:rFonts w:eastAsia="Times New Roman" w:cs="Times New Roman"/>
                <w:noProof/>
              </w:rPr>
            </w:pPr>
            <w:r>
              <w:rPr>
                <w:noProof/>
              </w:rPr>
              <w:t xml:space="preserve">A Technológiai Alapból támogatásban részesülő kkv-k és vállalkozói </w:t>
            </w:r>
            <w:r>
              <w:rPr>
                <w:noProof/>
              </w:rPr>
              <w:t>szövetségek</w:t>
            </w:r>
          </w:p>
        </w:tc>
        <w:tc>
          <w:tcPr>
            <w:tcW w:w="1134" w:type="dxa"/>
            <w:shd w:val="clear" w:color="auto" w:fill="C6EFCE"/>
            <w:noWrap/>
          </w:tcPr>
          <w:p w14:paraId="062FED21"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7A8C953"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8" w:type="dxa"/>
            <w:shd w:val="clear" w:color="auto" w:fill="C6EFCE"/>
            <w:noWrap/>
          </w:tcPr>
          <w:p w14:paraId="21407A27"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419AED87" w14:textId="77777777" w:rsidR="003E1D81" w:rsidRDefault="00EB481C">
            <w:pPr>
              <w:pStyle w:val="P68B1DB1-Normal13"/>
              <w:spacing w:after="0" w:line="240" w:lineRule="auto"/>
              <w:jc w:val="right"/>
              <w:rPr>
                <w:rFonts w:eastAsia="Times New Roman" w:cs="Times New Roman"/>
                <w:noProof/>
              </w:rPr>
            </w:pPr>
            <w:r>
              <w:rPr>
                <w:noProof/>
              </w:rPr>
              <w:t>200</w:t>
            </w:r>
          </w:p>
        </w:tc>
        <w:tc>
          <w:tcPr>
            <w:tcW w:w="567" w:type="dxa"/>
            <w:shd w:val="clear" w:color="auto" w:fill="C6EFCE"/>
            <w:noWrap/>
          </w:tcPr>
          <w:p w14:paraId="6F973932"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177A153F" w14:textId="77777777" w:rsidR="003E1D81" w:rsidRDefault="00EB481C">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418DE2E2" w14:textId="38AA0029" w:rsidR="003E1D81" w:rsidRDefault="00EB481C">
            <w:pPr>
              <w:pStyle w:val="P68B1DB1-Normal13"/>
              <w:spacing w:after="0" w:line="240" w:lineRule="auto"/>
              <w:rPr>
                <w:rFonts w:cs="Times New Roman"/>
                <w:noProof/>
              </w:rPr>
            </w:pPr>
            <w:r>
              <w:rPr>
                <w:noProof/>
              </w:rPr>
              <w:t>A jelentős károkozás elkerülését célzó technikai iránymutatásnak (2021/C58/01) megfelelően a technológiai alapból támogatásban részesült legalább 200 kkv vagy vállalkozói szövetség a kizárási lista és a vonatkozó unió</w:t>
            </w:r>
            <w:r>
              <w:rPr>
                <w:noProof/>
              </w:rPr>
              <w:t xml:space="preserve">s és nemzeti környezetvédelmi jogszabályoknak való megfelelés követelménye révén. </w:t>
            </w:r>
            <w:r>
              <w:rPr>
                <w:noProof/>
              </w:rPr>
              <w:br/>
              <w:t>A kiskereskedelmi ágazat projektjei, amelyek célja olyan új technológiák beépítése, amelyek lehetővé teszik a helyi kereskedelem számára, hogy az új fogyasztási szokásokra r</w:t>
            </w:r>
            <w:r>
              <w:rPr>
                <w:noProof/>
              </w:rPr>
              <w:t>eagáljon, a Technológiai Alap keretében (200 projekt). Az alap keretében támogatható projektek közé tartoznak a következők:</w:t>
            </w:r>
            <w:r>
              <w:rPr>
                <w:noProof/>
              </w:rPr>
              <w:br/>
              <w:t>új technológiákkal kapcsolatos projektek, amelyek célja az online kereskedelmi és kommunikációs stratégia, üzleti modellek vagy vásá</w:t>
            </w:r>
            <w:r>
              <w:rPr>
                <w:noProof/>
              </w:rPr>
              <w:t xml:space="preserve">rlási élmény javítása. </w:t>
            </w:r>
            <w:r>
              <w:rPr>
                <w:noProof/>
              </w:rPr>
              <w:br/>
              <w:t xml:space="preserve">a fizikai vásárlási élménynek az új fogyasztói igényekhez és szokásokhoz, valamint az új irányítási modellekhez való hozzáigazítására irányuló új technológiákra irányuló projektek. </w:t>
            </w:r>
            <w:r>
              <w:rPr>
                <w:noProof/>
              </w:rPr>
              <w:br/>
              <w:t>C. Az utolsó kilométeres logisztika hatékonyságána</w:t>
            </w:r>
            <w:r>
              <w:rPr>
                <w:noProof/>
              </w:rPr>
              <w:t xml:space="preserve">k és fenntarthatóságának javítását célzó technológiai megoldásokkal kapcsolatos projektek. </w:t>
            </w:r>
            <w:r>
              <w:rPr>
                <w:noProof/>
              </w:rPr>
              <w:br/>
              <w:t xml:space="preserve">D. Az energia- és erőforrás-hatékonyság javítását célzó technológiai megoldások végrehajtására irányuló projektek. </w:t>
            </w:r>
            <w:r>
              <w:rPr>
                <w:noProof/>
              </w:rPr>
              <w:br/>
              <w:t>A beruházást egy digitális platform (</w:t>
            </w:r>
            <w:r>
              <w:rPr>
                <w:i/>
                <w:noProof/>
              </w:rPr>
              <w:t xml:space="preserve">Plataforma </w:t>
            </w:r>
            <w:r>
              <w:rPr>
                <w:i/>
                <w:noProof/>
              </w:rPr>
              <w:t>Comercio Conectado)</w:t>
            </w:r>
            <w:r>
              <w:rPr>
                <w:noProof/>
              </w:rPr>
              <w:t xml:space="preserve">létrehozásával kell kiegészíteni az ágazat digitalizációjának előmozdítása érdekében. </w:t>
            </w:r>
          </w:p>
        </w:tc>
      </w:tr>
      <w:tr w:rsidR="003E1D81" w14:paraId="008B24B2" w14:textId="77777777">
        <w:trPr>
          <w:trHeight w:val="309"/>
        </w:trPr>
        <w:tc>
          <w:tcPr>
            <w:tcW w:w="709" w:type="dxa"/>
            <w:shd w:val="clear" w:color="auto" w:fill="C6EFCE"/>
            <w:noWrap/>
          </w:tcPr>
          <w:p w14:paraId="429C24D1" w14:textId="77777777" w:rsidR="003E1D81" w:rsidRDefault="00EB481C">
            <w:pPr>
              <w:pStyle w:val="P68B1DB1-Normal13"/>
              <w:spacing w:after="0" w:line="240" w:lineRule="auto"/>
              <w:jc w:val="center"/>
              <w:rPr>
                <w:rFonts w:eastAsia="Times New Roman" w:cs="Times New Roman"/>
                <w:noProof/>
              </w:rPr>
            </w:pPr>
            <w:r>
              <w:rPr>
                <w:noProof/>
              </w:rPr>
              <w:t>211</w:t>
            </w:r>
          </w:p>
        </w:tc>
        <w:tc>
          <w:tcPr>
            <w:tcW w:w="851" w:type="dxa"/>
            <w:shd w:val="clear" w:color="auto" w:fill="C6EFCE"/>
            <w:noWrap/>
          </w:tcPr>
          <w:p w14:paraId="7B3D2E61" w14:textId="77777777" w:rsidR="003E1D81" w:rsidRDefault="00EB481C">
            <w:pPr>
              <w:pStyle w:val="P68B1DB1-Normal13"/>
              <w:spacing w:after="0" w:line="240" w:lineRule="auto"/>
              <w:jc w:val="center"/>
              <w:rPr>
                <w:rFonts w:eastAsia="Times New Roman" w:cs="Times New Roman"/>
                <w:noProof/>
              </w:rPr>
            </w:pPr>
            <w:r>
              <w:rPr>
                <w:noProof/>
              </w:rPr>
              <w:t>C13.I4</w:t>
            </w:r>
          </w:p>
        </w:tc>
        <w:tc>
          <w:tcPr>
            <w:tcW w:w="850" w:type="dxa"/>
            <w:shd w:val="clear" w:color="auto" w:fill="C6EFCE"/>
            <w:noWrap/>
          </w:tcPr>
          <w:p w14:paraId="752931E0"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486B5B48" w14:textId="77777777" w:rsidR="003E1D81" w:rsidRDefault="00EB481C">
            <w:pPr>
              <w:pStyle w:val="P68B1DB1-Normal13"/>
              <w:spacing w:after="0" w:line="240" w:lineRule="auto"/>
              <w:rPr>
                <w:rFonts w:eastAsia="Times New Roman" w:cs="Times New Roman"/>
                <w:noProof/>
              </w:rPr>
            </w:pPr>
            <w:r>
              <w:rPr>
                <w:noProof/>
              </w:rPr>
              <w:t>Korszerűsítési intézkedések a települési piacokon vagy kereskedelmi területeken</w:t>
            </w:r>
          </w:p>
        </w:tc>
        <w:tc>
          <w:tcPr>
            <w:tcW w:w="1134" w:type="dxa"/>
            <w:shd w:val="clear" w:color="auto" w:fill="C6EFCE"/>
            <w:noWrap/>
          </w:tcPr>
          <w:p w14:paraId="5999AB34"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749BFC1"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8" w:type="dxa"/>
            <w:shd w:val="clear" w:color="auto" w:fill="C6EFCE"/>
            <w:noWrap/>
          </w:tcPr>
          <w:p w14:paraId="634E5575"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4F315D91" w14:textId="77777777" w:rsidR="003E1D81" w:rsidRDefault="00EB481C">
            <w:pPr>
              <w:pStyle w:val="P68B1DB1-Normal13"/>
              <w:spacing w:after="0" w:line="240" w:lineRule="auto"/>
              <w:jc w:val="right"/>
              <w:rPr>
                <w:rFonts w:eastAsia="Times New Roman" w:cs="Times New Roman"/>
                <w:noProof/>
              </w:rPr>
            </w:pPr>
            <w:r>
              <w:rPr>
                <w:noProof/>
              </w:rPr>
              <w:t>30</w:t>
            </w:r>
          </w:p>
        </w:tc>
        <w:tc>
          <w:tcPr>
            <w:tcW w:w="567" w:type="dxa"/>
            <w:shd w:val="clear" w:color="auto" w:fill="C6EFCE"/>
            <w:noWrap/>
          </w:tcPr>
          <w:p w14:paraId="33DF6B61"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1D272AB4" w14:textId="77777777" w:rsidR="003E1D81" w:rsidRDefault="00EB481C">
            <w:pPr>
              <w:pStyle w:val="P68B1DB1-Normal13"/>
              <w:spacing w:after="0" w:line="240" w:lineRule="auto"/>
              <w:jc w:val="center"/>
              <w:rPr>
                <w:rFonts w:eastAsia="Times New Roman" w:cs="Times New Roman"/>
                <w:noProof/>
              </w:rPr>
            </w:pPr>
            <w:r>
              <w:rPr>
                <w:noProof/>
              </w:rPr>
              <w:t>2024</w:t>
            </w:r>
          </w:p>
        </w:tc>
        <w:tc>
          <w:tcPr>
            <w:tcW w:w="6662" w:type="dxa"/>
            <w:shd w:val="clear" w:color="auto" w:fill="C6EFCE"/>
            <w:noWrap/>
          </w:tcPr>
          <w:p w14:paraId="029DF34B" w14:textId="77777777" w:rsidR="003E1D81" w:rsidRDefault="00EB481C">
            <w:pPr>
              <w:pStyle w:val="P68B1DB1-Normal13"/>
              <w:spacing w:after="0" w:line="240" w:lineRule="auto"/>
              <w:rPr>
                <w:rFonts w:cs="Times New Roman"/>
                <w:noProof/>
              </w:rPr>
            </w:pPr>
            <w:r>
              <w:rPr>
                <w:noProof/>
              </w:rPr>
              <w:t xml:space="preserve">Legalább 30 korszerűsítési </w:t>
            </w:r>
            <w:r>
              <w:rPr>
                <w:noProof/>
              </w:rPr>
              <w:t>intézkedés a települési piacokon vagy kereskedelmi területeken, a jelentős károkozás elkerülését célzó technikai iránymutatásnak (2021/C58/01) megfelelően, kizárási lista és a vonatkozó uniós és nemzeti környezetvédelmi jogszabályoknak való megfelelés köve</w:t>
            </w:r>
            <w:r>
              <w:rPr>
                <w:noProof/>
              </w:rPr>
              <w:t>telménye révén.</w:t>
            </w:r>
            <w:r>
              <w:rPr>
                <w:noProof/>
              </w:rPr>
              <w:br/>
              <w:t>A „Fenntartható piacok” program keretében a helyi önkormányzatok által benyújtott projektek az önkormányzati piacok, a kereskedelmi területek, a nem helyhez kötött értékesítési piacok és a rövid értékesítési csatornák korszerűsítésének javí</w:t>
            </w:r>
            <w:r>
              <w:rPr>
                <w:noProof/>
              </w:rPr>
              <w:t xml:space="preserve">tására (30 projekt). A program keretében támogatható projektek közé tartoznak a következők: </w:t>
            </w:r>
            <w:r>
              <w:rPr>
                <w:noProof/>
              </w:rPr>
              <w:br/>
              <w:t>a. Nagy adathalmazokon vagy más technológiákon alapuló ügyfélmegfigyelési eszközök bevezetésére irányuló projektek.</w:t>
            </w:r>
            <w:r>
              <w:rPr>
                <w:noProof/>
              </w:rPr>
              <w:br/>
              <w:t xml:space="preserve"> b. A piacok digitális átalakításával kapcsolat</w:t>
            </w:r>
            <w:r>
              <w:rPr>
                <w:noProof/>
              </w:rPr>
              <w:t>os projektek, amelyek javítják az omnicsatornás piacteret és a vásárlási élményt.</w:t>
            </w:r>
            <w:r>
              <w:rPr>
                <w:noProof/>
              </w:rPr>
              <w:br/>
              <w:t xml:space="preserve"> c. Az utcai kereskedelem és a rövid értékesítési csatornák digitális átalakítását célzó projektek.</w:t>
            </w:r>
            <w:r>
              <w:rPr>
                <w:noProof/>
              </w:rPr>
              <w:br/>
              <w:t xml:space="preserve"> D. Építési és felújítási projektek a létesítmények, azok hozzáférhetősége</w:t>
            </w:r>
            <w:r>
              <w:rPr>
                <w:noProof/>
              </w:rPr>
              <w:t>, felszerelése és az önkormányzati piacok, a kereskedelmi területek és a nem helyhez kötött piacok, valamint a velük szomszédos területek megfelelőségének javítása érdekében.</w:t>
            </w:r>
            <w:r>
              <w:rPr>
                <w:noProof/>
              </w:rPr>
              <w:br/>
              <w:t xml:space="preserve"> e. Az inputok kereskedelmi célú felhasználásának csökkentésére és azok környezet</w:t>
            </w:r>
            <w:r>
              <w:rPr>
                <w:noProof/>
              </w:rPr>
              <w:t>barát alternatívákkal való helyettesítésére irányuló projektek.</w:t>
            </w:r>
            <w:r>
              <w:rPr>
                <w:noProof/>
              </w:rPr>
              <w:br/>
              <w:t xml:space="preserve"> F. Intelligens teljesítési pontok telepítése.</w:t>
            </w:r>
            <w:r>
              <w:rPr>
                <w:noProof/>
              </w:rPr>
              <w:br/>
              <w:t xml:space="preserve"> g. Az önkormányzati piacok, a kereskedelmi területek és a nem állandó értékesítési piacok energiahatékonyságának javítását célzó projektek.</w:t>
            </w:r>
            <w:r>
              <w:rPr>
                <w:noProof/>
              </w:rPr>
              <w:br/>
              <w:t xml:space="preserve"> H. </w:t>
            </w:r>
            <w:r>
              <w:rPr>
                <w:noProof/>
              </w:rPr>
              <w:t>A hulladék újrafeldolgozását vagy újrafelhasználását előmozdító intézkedések.</w:t>
            </w:r>
            <w:r>
              <w:rPr>
                <w:noProof/>
              </w:rPr>
              <w:br/>
              <w:t xml:space="preserve"> I. Az önkormányzati piacok, a kereskedelmi területek és a nem helyhez kötött értékesítési piacok technológiai készségeinek tudatosítása és képzése.</w:t>
            </w:r>
          </w:p>
        </w:tc>
      </w:tr>
      <w:tr w:rsidR="003E1D81" w14:paraId="039FAF56" w14:textId="77777777">
        <w:trPr>
          <w:trHeight w:val="309"/>
        </w:trPr>
        <w:tc>
          <w:tcPr>
            <w:tcW w:w="709" w:type="dxa"/>
            <w:shd w:val="clear" w:color="auto" w:fill="C6EFCE"/>
            <w:noWrap/>
          </w:tcPr>
          <w:p w14:paraId="750B66BA" w14:textId="77777777" w:rsidR="003E1D81" w:rsidRDefault="00EB481C">
            <w:pPr>
              <w:pStyle w:val="P68B1DB1-Normal13"/>
              <w:spacing w:after="0" w:line="240" w:lineRule="auto"/>
              <w:jc w:val="center"/>
              <w:rPr>
                <w:rFonts w:eastAsia="Times New Roman" w:cs="Times New Roman"/>
                <w:noProof/>
              </w:rPr>
            </w:pPr>
            <w:r>
              <w:rPr>
                <w:noProof/>
              </w:rPr>
              <w:t>212</w:t>
            </w:r>
          </w:p>
        </w:tc>
        <w:tc>
          <w:tcPr>
            <w:tcW w:w="851" w:type="dxa"/>
            <w:shd w:val="clear" w:color="auto" w:fill="C6EFCE"/>
            <w:noWrap/>
          </w:tcPr>
          <w:p w14:paraId="5170E8E5" w14:textId="77777777" w:rsidR="003E1D81" w:rsidRDefault="00EB481C">
            <w:pPr>
              <w:pStyle w:val="P68B1DB1-Normal13"/>
              <w:spacing w:after="0" w:line="240" w:lineRule="auto"/>
              <w:jc w:val="center"/>
              <w:rPr>
                <w:rFonts w:eastAsia="Times New Roman" w:cs="Times New Roman"/>
                <w:noProof/>
              </w:rPr>
            </w:pPr>
            <w:r>
              <w:rPr>
                <w:noProof/>
              </w:rPr>
              <w:t>C13.I4</w:t>
            </w:r>
          </w:p>
        </w:tc>
        <w:tc>
          <w:tcPr>
            <w:tcW w:w="850" w:type="dxa"/>
            <w:shd w:val="clear" w:color="auto" w:fill="C6EFCE"/>
            <w:noWrap/>
          </w:tcPr>
          <w:p w14:paraId="73A3859C"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6349AB81" w14:textId="77777777" w:rsidR="003E1D81" w:rsidRDefault="00EB481C">
            <w:pPr>
              <w:pStyle w:val="P68B1DB1-Normal13"/>
              <w:spacing w:after="0" w:line="240" w:lineRule="auto"/>
              <w:rPr>
                <w:rFonts w:eastAsia="Times New Roman" w:cs="Times New Roman"/>
                <w:noProof/>
              </w:rPr>
            </w:pPr>
            <w:r>
              <w:rPr>
                <w:noProof/>
              </w:rPr>
              <w:t xml:space="preserve">A piaci </w:t>
            </w:r>
            <w:r>
              <w:rPr>
                <w:noProof/>
              </w:rPr>
              <w:t>infrastruktúra korszerűsítése kistelepüléseken</w:t>
            </w:r>
          </w:p>
        </w:tc>
        <w:tc>
          <w:tcPr>
            <w:tcW w:w="1134" w:type="dxa"/>
            <w:shd w:val="clear" w:color="auto" w:fill="C6EFCE"/>
            <w:noWrap/>
          </w:tcPr>
          <w:p w14:paraId="1C455B31"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2BC82CC9"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8" w:type="dxa"/>
            <w:shd w:val="clear" w:color="auto" w:fill="C6EFCE"/>
            <w:noWrap/>
          </w:tcPr>
          <w:p w14:paraId="396AE786"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5540C49D" w14:textId="77777777" w:rsidR="003E1D81" w:rsidRDefault="00EB481C">
            <w:pPr>
              <w:pStyle w:val="P68B1DB1-Normal13"/>
              <w:spacing w:after="0" w:line="240" w:lineRule="auto"/>
              <w:jc w:val="right"/>
              <w:rPr>
                <w:rFonts w:eastAsia="Times New Roman" w:cs="Times New Roman"/>
                <w:noProof/>
              </w:rPr>
            </w:pPr>
            <w:r>
              <w:rPr>
                <w:noProof/>
              </w:rPr>
              <w:t>100</w:t>
            </w:r>
          </w:p>
        </w:tc>
        <w:tc>
          <w:tcPr>
            <w:tcW w:w="567" w:type="dxa"/>
            <w:shd w:val="clear" w:color="auto" w:fill="C6EFCE"/>
            <w:noWrap/>
          </w:tcPr>
          <w:p w14:paraId="30C39912"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5AD41FCE" w14:textId="77777777" w:rsidR="003E1D81" w:rsidRDefault="00EB481C">
            <w:pPr>
              <w:pStyle w:val="P68B1DB1-Normal13"/>
              <w:spacing w:after="0" w:line="240" w:lineRule="auto"/>
              <w:jc w:val="center"/>
              <w:rPr>
                <w:rFonts w:eastAsia="Times New Roman" w:cs="Times New Roman"/>
                <w:noProof/>
              </w:rPr>
            </w:pPr>
            <w:r>
              <w:rPr>
                <w:noProof/>
              </w:rPr>
              <w:t>2024</w:t>
            </w:r>
          </w:p>
        </w:tc>
        <w:tc>
          <w:tcPr>
            <w:tcW w:w="6662" w:type="dxa"/>
            <w:shd w:val="clear" w:color="auto" w:fill="C6EFCE"/>
            <w:noWrap/>
          </w:tcPr>
          <w:p w14:paraId="16D4FAA1" w14:textId="4F896182" w:rsidR="003E1D81" w:rsidRDefault="00EB481C">
            <w:pPr>
              <w:pStyle w:val="P68B1DB1-Normal13"/>
              <w:spacing w:after="0" w:line="240" w:lineRule="auto"/>
              <w:rPr>
                <w:rFonts w:eastAsia="Times New Roman" w:cs="Times New Roman"/>
                <w:noProof/>
              </w:rPr>
            </w:pPr>
            <w:r>
              <w:rPr>
                <w:noProof/>
              </w:rPr>
              <w:t>A jelentős károkozás elkerülését célzó technikai iránymutatással (2021/C58/01) összhangban legalább 100 jóváhagyott és kezdeményezett, a piaci infrastruktúra korszerűsítésére irányul</w:t>
            </w:r>
            <w:r>
              <w:rPr>
                <w:noProof/>
              </w:rPr>
              <w:t>ó, jóváhagyott és kezdeményezett intézkedés a kizárási lista és a vonatkozó uniós és nemzeti környezetvédelmi jogszabályoknak való megfelelés követelménye révén.</w:t>
            </w:r>
            <w:r>
              <w:rPr>
                <w:noProof/>
              </w:rPr>
              <w:br/>
              <w:t xml:space="preserve">A program keretében támogatható projektek közé tartoznak a következők: </w:t>
            </w:r>
            <w:r>
              <w:rPr>
                <w:noProof/>
              </w:rPr>
              <w:br/>
              <w:t xml:space="preserve"> a. Nagy adathalmazoko</w:t>
            </w:r>
            <w:r>
              <w:rPr>
                <w:noProof/>
              </w:rPr>
              <w:t>n vagy más technológiákon alapuló ügyfélmegfigyelési eszközök bevezetésére irányuló projektek.</w:t>
            </w:r>
            <w:r>
              <w:rPr>
                <w:noProof/>
              </w:rPr>
              <w:br/>
              <w:t xml:space="preserve"> b. A piacok digitális átalakításával kapcsolatos projektek, amelyek javítják az omnicsatornás piacteret és a vásárlási élményt.</w:t>
            </w:r>
            <w:r>
              <w:rPr>
                <w:noProof/>
              </w:rPr>
              <w:br/>
              <w:t xml:space="preserve"> c. Az utcai kereskedelem és a r</w:t>
            </w:r>
            <w:r>
              <w:rPr>
                <w:noProof/>
              </w:rPr>
              <w:t>övid értékesítési csatornák digitális átalakítását célzó projektek.</w:t>
            </w:r>
            <w:r>
              <w:rPr>
                <w:noProof/>
              </w:rPr>
              <w:br/>
              <w:t xml:space="preserve"> D. Építési és felújítási projektek a létesítmények, azok hozzáférhetősége, felszerelése és az önkormányzati piacok, a kereskedelmi területek és a nem helyhez kötött piacok, valamint a vel</w:t>
            </w:r>
            <w:r>
              <w:rPr>
                <w:noProof/>
              </w:rPr>
              <w:t>ük szomszédos területek megfelelőségének javítása érdekében.</w:t>
            </w:r>
            <w:r>
              <w:rPr>
                <w:noProof/>
              </w:rPr>
              <w:br/>
              <w:t xml:space="preserve"> e. Az inputok kereskedelmi célú felhasználásának csökkentésére és azok környezetbarát alternatívákkal való helyettesítésére irányuló projektek.</w:t>
            </w:r>
            <w:r>
              <w:rPr>
                <w:noProof/>
              </w:rPr>
              <w:br/>
              <w:t xml:space="preserve"> F. Intelligens teljesítési pontok telepítése.</w:t>
            </w:r>
            <w:r>
              <w:rPr>
                <w:noProof/>
              </w:rPr>
              <w:br/>
              <w:t xml:space="preserve"> g.</w:t>
            </w:r>
            <w:r>
              <w:rPr>
                <w:noProof/>
              </w:rPr>
              <w:t xml:space="preserve"> Az önkormányzati piacok, a kereskedelmi területek és a nem állandó értékesítési piacok energiahatékonyságának javítását célzó projektek.</w:t>
            </w:r>
            <w:r>
              <w:rPr>
                <w:noProof/>
              </w:rPr>
              <w:br/>
              <w:t xml:space="preserve"> H. A hulladék újrafeldolgozását vagy újrafelhasználását előmozdító intézkedések.</w:t>
            </w:r>
            <w:r>
              <w:rPr>
                <w:noProof/>
              </w:rPr>
              <w:br/>
              <w:t xml:space="preserve"> I. Az önkormányzati piacok, a keres</w:t>
            </w:r>
            <w:r>
              <w:rPr>
                <w:noProof/>
              </w:rPr>
              <w:t>kedelmi területek és a nem helyhez kötött értékesítési piacok technológiai készségeinek tudatosítása és képzése.</w:t>
            </w:r>
          </w:p>
        </w:tc>
      </w:tr>
      <w:tr w:rsidR="003E1D81" w14:paraId="61292C9B" w14:textId="77777777">
        <w:trPr>
          <w:trHeight w:val="309"/>
        </w:trPr>
        <w:tc>
          <w:tcPr>
            <w:tcW w:w="709" w:type="dxa"/>
            <w:shd w:val="clear" w:color="auto" w:fill="C6EFCE"/>
            <w:noWrap/>
          </w:tcPr>
          <w:p w14:paraId="2016163D" w14:textId="77777777" w:rsidR="003E1D81" w:rsidRDefault="00EB481C">
            <w:pPr>
              <w:pStyle w:val="P68B1DB1-Normal13"/>
              <w:spacing w:after="0" w:line="240" w:lineRule="auto"/>
              <w:jc w:val="center"/>
              <w:rPr>
                <w:rFonts w:eastAsia="Times New Roman" w:cs="Times New Roman"/>
                <w:noProof/>
              </w:rPr>
            </w:pPr>
            <w:r>
              <w:rPr>
                <w:noProof/>
              </w:rPr>
              <w:t>213</w:t>
            </w:r>
          </w:p>
        </w:tc>
        <w:tc>
          <w:tcPr>
            <w:tcW w:w="851" w:type="dxa"/>
            <w:shd w:val="clear" w:color="auto" w:fill="C6EFCE"/>
            <w:noWrap/>
          </w:tcPr>
          <w:p w14:paraId="0A5FEB25" w14:textId="77777777" w:rsidR="003E1D81" w:rsidRDefault="00EB481C">
            <w:pPr>
              <w:pStyle w:val="P68B1DB1-Normal13"/>
              <w:spacing w:after="0" w:line="240" w:lineRule="auto"/>
              <w:jc w:val="center"/>
              <w:rPr>
                <w:rFonts w:eastAsia="Times New Roman" w:cs="Times New Roman"/>
                <w:noProof/>
              </w:rPr>
            </w:pPr>
            <w:r>
              <w:rPr>
                <w:noProof/>
              </w:rPr>
              <w:t>C13.I5</w:t>
            </w:r>
          </w:p>
        </w:tc>
        <w:tc>
          <w:tcPr>
            <w:tcW w:w="850" w:type="dxa"/>
            <w:shd w:val="clear" w:color="auto" w:fill="C6EFCE"/>
            <w:noWrap/>
          </w:tcPr>
          <w:p w14:paraId="1CCC9AC6" w14:textId="77777777" w:rsidR="003E1D81" w:rsidRDefault="00EB481C">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705A5779" w14:textId="77777777" w:rsidR="003E1D81" w:rsidRDefault="00EB481C">
            <w:pPr>
              <w:pStyle w:val="P68B1DB1-Normal13"/>
              <w:spacing w:after="0" w:line="240" w:lineRule="auto"/>
              <w:rPr>
                <w:rFonts w:eastAsia="Times New Roman" w:cs="Times New Roman"/>
                <w:noProof/>
              </w:rPr>
            </w:pPr>
            <w:r>
              <w:rPr>
                <w:noProof/>
              </w:rPr>
              <w:t>Nemzetközivé válásukat támogató projektekben részt vevő vállalatok</w:t>
            </w:r>
          </w:p>
        </w:tc>
        <w:tc>
          <w:tcPr>
            <w:tcW w:w="1134" w:type="dxa"/>
            <w:shd w:val="clear" w:color="auto" w:fill="C6EFCE"/>
            <w:noWrap/>
          </w:tcPr>
          <w:p w14:paraId="54DAA9FA"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63B7C0BF"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8" w:type="dxa"/>
            <w:shd w:val="clear" w:color="auto" w:fill="C6EFCE"/>
            <w:noWrap/>
          </w:tcPr>
          <w:p w14:paraId="1B6A52EE"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58FC2B62" w14:textId="77777777" w:rsidR="003E1D81" w:rsidRDefault="00EB481C">
            <w:pPr>
              <w:pStyle w:val="P68B1DB1-Normal13"/>
              <w:spacing w:after="0" w:line="240" w:lineRule="auto"/>
              <w:jc w:val="right"/>
              <w:rPr>
                <w:rFonts w:eastAsia="Times New Roman" w:cs="Times New Roman"/>
                <w:noProof/>
              </w:rPr>
            </w:pPr>
            <w:r>
              <w:rPr>
                <w:noProof/>
              </w:rPr>
              <w:t>3 000</w:t>
            </w:r>
          </w:p>
        </w:tc>
        <w:tc>
          <w:tcPr>
            <w:tcW w:w="567" w:type="dxa"/>
            <w:shd w:val="clear" w:color="auto" w:fill="C6EFCE"/>
            <w:noWrap/>
          </w:tcPr>
          <w:p w14:paraId="5D192DE9"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2A031F49" w14:textId="77777777" w:rsidR="003E1D81" w:rsidRDefault="00EB481C">
            <w:pPr>
              <w:pStyle w:val="P68B1DB1-Normal13"/>
              <w:spacing w:after="0" w:line="240" w:lineRule="auto"/>
              <w:jc w:val="center"/>
              <w:rPr>
                <w:rFonts w:eastAsia="Times New Roman" w:cs="Times New Roman"/>
                <w:noProof/>
              </w:rPr>
            </w:pPr>
            <w:r>
              <w:rPr>
                <w:noProof/>
              </w:rPr>
              <w:t>2024</w:t>
            </w:r>
          </w:p>
        </w:tc>
        <w:tc>
          <w:tcPr>
            <w:tcW w:w="6662" w:type="dxa"/>
            <w:shd w:val="clear" w:color="auto" w:fill="C6EFCE"/>
            <w:noWrap/>
          </w:tcPr>
          <w:p w14:paraId="54D3EC9D" w14:textId="77777777" w:rsidR="003E1D81" w:rsidRDefault="00EB481C">
            <w:pPr>
              <w:pStyle w:val="P68B1DB1-Normal13"/>
              <w:spacing w:after="0" w:line="240" w:lineRule="auto"/>
              <w:rPr>
                <w:rFonts w:eastAsia="Times New Roman" w:cs="Times New Roman"/>
                <w:noProof/>
              </w:rPr>
            </w:pPr>
            <w:r>
              <w:rPr>
                <w:noProof/>
              </w:rPr>
              <w:t>Legalább 3000 vállalat, köztük legalább 2500 kkv, amelyek a 2021–2022-es és a 2023–2024-es nemzetköziesítési cselekvési tervek keretében részt vettek és végrehajtottak nemzetközivé válásukat támogató projekteket. Az exportszövetségek, a kereskedelmi kamará</w:t>
            </w:r>
            <w:r>
              <w:rPr>
                <w:noProof/>
              </w:rPr>
              <w:t>k és a közigazgatási szolgálatok digitalizálását támogató horizontális intézkedéseknek valamennyi exportőr javát kell szolgálniuk, és elő kell mozdítaniuk az új vállalatok nemzetközivé válását, összhangban a jelentős károkozás elkerülését célzó technikai i</w:t>
            </w:r>
            <w:r>
              <w:rPr>
                <w:noProof/>
              </w:rPr>
              <w:t xml:space="preserve">ránymutatással (2021/C58/01) a kizárási lista és a vonatkozó uniós és nemzeti környezetvédelmi jogszabályoknak való megfelelés követelménye révén. </w:t>
            </w:r>
            <w:r>
              <w:rPr>
                <w:noProof/>
              </w:rPr>
              <w:br/>
              <w:t>A beruházás keretébe tartozó intézkedéseket a projektek/területek alábbi listájából kell kiválasztani:</w:t>
            </w:r>
            <w:r>
              <w:rPr>
                <w:noProof/>
              </w:rPr>
              <w:br/>
              <w:t xml:space="preserve">1. A </w:t>
            </w:r>
            <w:r>
              <w:rPr>
                <w:noProof/>
              </w:rPr>
              <w:t>megvalósíthatóság, a megvalósíthatóság, az előzetes megvalósíthatóság, valamint az ágazati és intézményi modernizációs tanulmányok finanszírozására szolgáló költségvetési sor.</w:t>
            </w:r>
            <w:r>
              <w:rPr>
                <w:noProof/>
              </w:rPr>
              <w:br/>
              <w:t>2. Az INNOVA Invest program a K+F-be történő külföldi befektetések támogatására.</w:t>
            </w:r>
            <w:r>
              <w:rPr>
                <w:noProof/>
              </w:rPr>
              <w:t xml:space="preserve"> </w:t>
            </w:r>
            <w:r>
              <w:rPr>
                <w:noProof/>
              </w:rPr>
              <w:br/>
              <w:t>3. A VIVES program pénzügyi támogatást nyújt az exporttevékenységekben részt vevő vállalatok gyakornokainak foglalkoztatásához.</w:t>
            </w:r>
            <w:r>
              <w:rPr>
                <w:noProof/>
              </w:rPr>
              <w:br/>
              <w:t>4. Nemzetköziesítési mentorálási és képzési program.</w:t>
            </w:r>
            <w:r>
              <w:rPr>
                <w:noProof/>
              </w:rPr>
              <w:br/>
              <w:t>5. Az exportszövetségek, a spanyol kereskedelmi kamarák és szövetségeik k</w:t>
            </w:r>
            <w:r>
              <w:rPr>
                <w:noProof/>
              </w:rPr>
              <w:t>ommunikációs rendszereinek, telematikai szolgáltatásainak és digitalizálásának megerősítésére irányuló program.</w:t>
            </w:r>
            <w:r>
              <w:rPr>
                <w:noProof/>
              </w:rPr>
              <w:br/>
              <w:t>6. Az exportalap-bővítési program, amely személyre szabott tanácsadást biztosít a vállalkozások és különösen a kkv-k nemzetközivé válása számára</w:t>
            </w:r>
            <w:r>
              <w:rPr>
                <w:noProof/>
              </w:rPr>
              <w:t>.</w:t>
            </w:r>
            <w:r>
              <w:rPr>
                <w:noProof/>
              </w:rPr>
              <w:br/>
              <w:t>7. A spanyol gyorsan növekvő vállalkozások ökoszisztémájának megerősítését célzó program.</w:t>
            </w:r>
            <w:r>
              <w:rPr>
                <w:noProof/>
              </w:rPr>
              <w:br/>
              <w:t xml:space="preserve">8. A piacok megnyitásához és konszolidációjához nyújtott támogatás a harmadik országok hatóságainak vizsgálataival és ellenőrzésével kapcsolatos kiadások, valamint </w:t>
            </w:r>
            <w:r>
              <w:rPr>
                <w:noProof/>
              </w:rPr>
              <w:t>a piacvédelmi jogi és tanácsadási kiadások támogatása révén.</w:t>
            </w:r>
            <w:r>
              <w:rPr>
                <w:noProof/>
              </w:rPr>
              <w:br/>
              <w:t>9. A COFIDES (állami tulajdonban lévő pénzügyi intézmény, amely közép- és hosszú távú finanszírozást nyújt vállalkozások nemzetköziesítési beruházási projektjeinek támogatásához) pénzügyi ösztönz</w:t>
            </w:r>
            <w:r>
              <w:rPr>
                <w:noProof/>
              </w:rPr>
              <w:t xml:space="preserve">ő programja a hatásberuházások előmozdítása érdekében. </w:t>
            </w:r>
            <w:r>
              <w:rPr>
                <w:noProof/>
              </w:rPr>
              <w:br/>
              <w:t>10. A kormányzati szolgáltatások digitalizációjának fellendítése a nemzetközivé válás támogatása érdekében.</w:t>
            </w:r>
            <w:r>
              <w:rPr>
                <w:noProof/>
              </w:rPr>
              <w:br/>
              <w:t>11. Az ICEX (a spanyol vállalkozások nemzetközivé válását előmozdító nemzeti közvállalkozás)</w:t>
            </w:r>
            <w:r>
              <w:rPr>
                <w:noProof/>
              </w:rPr>
              <w:t xml:space="preserve"> digitalizálása és virtuális campus létrehozása.</w:t>
            </w:r>
            <w:r>
              <w:rPr>
                <w:noProof/>
              </w:rPr>
              <w:br/>
              <w:t>A kiválasztási kritériumoknak fenntarthatósági vizsgálat, kizárási lista használata, valamint a vonatkozó uniós és nemzeti környezetvédelmi jogszabályoknak való megfelelés követelménye révén biztosítaniuk ke</w:t>
            </w:r>
            <w:r>
              <w:rPr>
                <w:noProof/>
              </w:rPr>
              <w:t xml:space="preserve">ll az ezen intézkedés keretében támogatott ügyletekre vonatkozó, a jelentős károkozás elkerülését célzó elvről szóló technikai iránymutatásnak (2021/C58/01) való megfelelést. </w:t>
            </w:r>
          </w:p>
        </w:tc>
      </w:tr>
    </w:tbl>
    <w:p w14:paraId="03A133E4" w14:textId="77777777" w:rsidR="003E1D81" w:rsidRDefault="003E1D81">
      <w:pPr>
        <w:spacing w:before="120" w:after="120" w:line="240" w:lineRule="auto"/>
        <w:ind w:left="709"/>
        <w:jc w:val="both"/>
        <w:rPr>
          <w:rFonts w:ascii="Times New Roman" w:hAnsi="Times New Roman" w:cs="Times New Roman"/>
          <w:noProof/>
          <w:sz w:val="24"/>
        </w:rPr>
      </w:pPr>
    </w:p>
    <w:p w14:paraId="5BC3968E" w14:textId="77777777" w:rsidR="003E1D81" w:rsidRDefault="00EB481C">
      <w:pPr>
        <w:spacing w:before="120" w:after="120" w:line="240" w:lineRule="auto"/>
        <w:ind w:left="709"/>
        <w:jc w:val="both"/>
        <w:rPr>
          <w:rFonts w:ascii="Times New Roman" w:hAnsi="Times New Roman" w:cs="Times New Roman"/>
          <w:noProof/>
          <w:sz w:val="24"/>
        </w:rPr>
        <w:sectPr w:rsidR="003E1D81" w:rsidSect="00EB7CC8">
          <w:headerReference w:type="even" r:id="rId276"/>
          <w:headerReference w:type="default" r:id="rId277"/>
          <w:footerReference w:type="even" r:id="rId278"/>
          <w:footerReference w:type="default" r:id="rId279"/>
          <w:headerReference w:type="first" r:id="rId280"/>
          <w:footerReference w:type="first" r:id="rId281"/>
          <w:pgSz w:w="16839" w:h="11907" w:orient="landscape"/>
          <w:pgMar w:top="1417" w:right="1134" w:bottom="1417" w:left="1134" w:header="709" w:footer="709" w:gutter="0"/>
          <w:cols w:space="720"/>
          <w:docGrid w:linePitch="360"/>
        </w:sectPr>
      </w:pPr>
      <w:r>
        <w:rPr>
          <w:noProof/>
        </w:rPr>
        <w:br w:type="page"/>
      </w:r>
    </w:p>
    <w:p w14:paraId="7973AD0F" w14:textId="20CFE205" w:rsidR="003E1D81" w:rsidRDefault="00EB481C">
      <w:pPr>
        <w:pStyle w:val="P68B1DB1-Normal5"/>
        <w:ind w:firstLine="720"/>
        <w:rPr>
          <w:rFonts w:cs="Times New Roman"/>
          <w:noProof/>
        </w:rPr>
      </w:pPr>
      <w:r>
        <w:rPr>
          <w:noProof/>
        </w:rPr>
        <w:t xml:space="preserve">M.3. A </w:t>
      </w:r>
      <w:r>
        <w:rPr>
          <w:noProof/>
        </w:rPr>
        <w:t>hiteltámogatással kapcsolatos reformok és beruházások ismertetése</w:t>
      </w:r>
    </w:p>
    <w:p w14:paraId="07B27A8F" w14:textId="723F2FBA" w:rsidR="003E1D81" w:rsidRDefault="00EB481C">
      <w:pPr>
        <w:pStyle w:val="P68B1DB1-Normal6"/>
        <w:rPr>
          <w:rFonts w:cs="Times New Roman"/>
          <w:noProof/>
        </w:rPr>
      </w:pPr>
      <w:r>
        <w:rPr>
          <w:noProof/>
        </w:rPr>
        <w:t>Beruházás (C13.I6)– Az ICO zöld vonala, valamint a vállalkozások és vállalkozók vonala</w:t>
      </w:r>
    </w:p>
    <w:p w14:paraId="651485A1" w14:textId="5AF5E694" w:rsidR="003E1D81" w:rsidRDefault="00EB481C">
      <w:pPr>
        <w:pStyle w:val="P68B1DB1-Normal4"/>
        <w:spacing w:line="240" w:lineRule="auto"/>
        <w:jc w:val="both"/>
        <w:rPr>
          <w:rFonts w:cs="Times New Roman"/>
          <w:noProof/>
        </w:rPr>
      </w:pPr>
      <w:r>
        <w:rPr>
          <w:noProof/>
        </w:rPr>
        <w:t xml:space="preserve">Ez az intézkedés két pénzügyi sorba történő befektetésből áll: az ICO zöld vonal és az ICO Vállalkozói </w:t>
      </w:r>
      <w:r>
        <w:rPr>
          <w:noProof/>
        </w:rPr>
        <w:t>és Vállalkozói Keret.</w:t>
      </w:r>
    </w:p>
    <w:p w14:paraId="5F576ED7" w14:textId="7E236BB9" w:rsidR="003E1D81" w:rsidRDefault="00EB481C">
      <w:pPr>
        <w:pStyle w:val="P68B1DB1-Normal18"/>
        <w:rPr>
          <w:rFonts w:cs="Times New Roman"/>
          <w:noProof/>
        </w:rPr>
      </w:pPr>
      <w:r>
        <w:rPr>
          <w:noProof/>
        </w:rPr>
        <w:t>ICO zöld vonal</w:t>
      </w:r>
    </w:p>
    <w:p w14:paraId="4825AEBB" w14:textId="1F539370" w:rsidR="003E1D81" w:rsidRDefault="00EB481C">
      <w:pPr>
        <w:pStyle w:val="P68B1DB1-Normal4"/>
        <w:spacing w:line="240" w:lineRule="auto"/>
        <w:jc w:val="both"/>
        <w:rPr>
          <w:rFonts w:cs="Times New Roman"/>
          <w:noProof/>
        </w:rPr>
      </w:pPr>
      <w:bookmarkStart w:id="28" w:name="_Hlk145872780"/>
      <w:r>
        <w:rPr>
          <w:noProof/>
        </w:rPr>
        <w:t>Ezen intézkedés ezen eleme egy eszközbe, az ICO zöld vonalába történő közberuházásokból áll, amelynek célja a magánberuházások ösztönzése és a finanszírozáshoz való hozzáférés javítása Spanyolország zöld ágazataiban, va</w:t>
      </w:r>
      <w:r>
        <w:rPr>
          <w:noProof/>
        </w:rPr>
        <w:t xml:space="preserve">lamint a tőkepiacok fejlesztése ezen a területen, különösen hét különböző területre kiterjedően: fenntartható közlekedés, beleértve a vasúti közlekedést is; energiahatékonyság; megújuló energia, beleértve az energiatárolást és a villamosenergia-hálózatot; </w:t>
      </w:r>
      <w:r>
        <w:rPr>
          <w:noProof/>
        </w:rPr>
        <w:t>az energetikai átálláshoz kapcsolódó ipari dekarbonizáció és alacsony szén-dioxid-kibocsátású ipari értékláncok; vízgazdálkodás; körforgásos gazdaság; az éghajlatváltozáshoz való alkalmazkodás</w:t>
      </w:r>
      <w:bookmarkStart w:id="29" w:name="_Hlk145872817"/>
      <w:r>
        <w:rPr>
          <w:noProof/>
        </w:rPr>
        <w:t xml:space="preserve">. </w:t>
      </w:r>
      <w:bookmarkEnd w:id="28"/>
      <w:bookmarkEnd w:id="29"/>
      <w:r>
        <w:rPr>
          <w:noProof/>
        </w:rPr>
        <w:t>A hitelezési eszköz közvetlen finanszírozást, vállalatikötvény</w:t>
      </w:r>
      <w:r>
        <w:rPr>
          <w:noProof/>
        </w:rPr>
        <w:t>-vásárlásokat, valamint sajáttőke- és kvázisajáttőke-befektetéseket biztosít közvetlenül vagy közvetítőkön keresztül a magánszektor és a háztartások, valamint a hasonló tevékenységeket folytató közszektorbeli intézmények számára. A Helyreállítási és Rezili</w:t>
      </w:r>
      <w:r>
        <w:rPr>
          <w:noProof/>
        </w:rPr>
        <w:t>enciaépítési Eszköz beruházásai alapján az eszköz célja kezdetben legalább 22 000 000 000 EUR összegű finanszírozás biztosítása.</w:t>
      </w:r>
    </w:p>
    <w:p w14:paraId="6F778440" w14:textId="15C6A539" w:rsidR="003E1D81" w:rsidRDefault="00EB481C">
      <w:pPr>
        <w:pStyle w:val="P68B1DB1-Normal4"/>
        <w:spacing w:line="240" w:lineRule="auto"/>
        <w:jc w:val="both"/>
        <w:rPr>
          <w:rFonts w:cs="Times New Roman"/>
          <w:noProof/>
        </w:rPr>
      </w:pPr>
      <w:r>
        <w:rPr>
          <w:noProof/>
        </w:rPr>
        <w:t>Az eszközt végrehajtó partnerekként az Instituto de Crédito Oficial (ICO) és az Axis (az ICO kockázatitőke-/magántőke-kezelője)</w:t>
      </w:r>
      <w:r>
        <w:rPr>
          <w:noProof/>
        </w:rPr>
        <w:t xml:space="preserve"> irányítja. A hitelezési eszköz a következő terméksorokat tartalmazza:</w:t>
      </w:r>
    </w:p>
    <w:p w14:paraId="335641C8" w14:textId="2307009F" w:rsidR="003E1D81" w:rsidRDefault="00EB481C">
      <w:pPr>
        <w:pStyle w:val="P68B1DB1-ListParagraph7"/>
        <w:numPr>
          <w:ilvl w:val="0"/>
          <w:numId w:val="754"/>
        </w:numPr>
        <w:spacing w:line="240" w:lineRule="auto"/>
        <w:jc w:val="both"/>
        <w:rPr>
          <w:rFonts w:cs="Times New Roman"/>
          <w:noProof/>
        </w:rPr>
      </w:pPr>
      <w:r>
        <w:rPr>
          <w:noProof/>
        </w:rPr>
        <w:t>Közvetítési irányvonal: a közvetítői eljárás az ICO által kereskedelmi bankoknak nyújtott hitelekből áll, amelyek viszont hiteleket ítélnek oda a végső kedvezményezetteknek zöld projekt</w:t>
      </w:r>
      <w:r>
        <w:rPr>
          <w:noProof/>
        </w:rPr>
        <w:t xml:space="preserve">ek finanszírozására. A végső kedvezményezettek magánvállalkozások (például kkv-k, kis méretű, közepes piaci tőkeértékű vállalatok, nagyvállalatok vagy vállalkozók) és háztartások. </w:t>
      </w:r>
    </w:p>
    <w:p w14:paraId="50365F2E" w14:textId="2E0A6386" w:rsidR="003E1D81" w:rsidRDefault="00EB481C">
      <w:pPr>
        <w:pStyle w:val="P68B1DB1-ListParagraph7"/>
        <w:numPr>
          <w:ilvl w:val="0"/>
          <w:numId w:val="754"/>
        </w:numPr>
        <w:spacing w:line="240" w:lineRule="auto"/>
        <w:jc w:val="both"/>
        <w:rPr>
          <w:rFonts w:cs="Times New Roman"/>
          <w:noProof/>
        </w:rPr>
      </w:pPr>
      <w:r>
        <w:rPr>
          <w:noProof/>
        </w:rPr>
        <w:t>Az ICO közvetlen finanszírozása: ez a költségvetési sor közvetlen kölcsönök</w:t>
      </w:r>
      <w:r>
        <w:rPr>
          <w:noProof/>
        </w:rPr>
        <w:t>et biztosít magánvállalatoknak (például közepes piaci tőkeértékű vállalatoknak) és állami vállalatoknak zöld projektek finanszírozására. A kölcsönöket közvetlenül az ICO nyújtja, és az egyes projekteket egy harmadik fél magánbefektető(k) társfinanszírozza.</w:t>
      </w:r>
      <w:r>
        <w:rPr>
          <w:noProof/>
        </w:rPr>
        <w:t xml:space="preserve"> Az ICO által biztosított források a beruházáshoz nyújtott támogatás teljes összegének legfeljebb 70%-át tehetik ki. A magánbefektetők a beruházási támogatás teljes összegének legalább 30%-át fedezik. </w:t>
      </w:r>
    </w:p>
    <w:p w14:paraId="50EE436C" w14:textId="5F98DC61" w:rsidR="003E1D81" w:rsidRDefault="00EB481C">
      <w:pPr>
        <w:pStyle w:val="P68B1DB1-ListParagraph7"/>
        <w:numPr>
          <w:ilvl w:val="0"/>
          <w:numId w:val="754"/>
        </w:numPr>
        <w:spacing w:line="240" w:lineRule="auto"/>
        <w:jc w:val="both"/>
        <w:rPr>
          <w:rFonts w:cs="Times New Roman"/>
          <w:noProof/>
        </w:rPr>
      </w:pPr>
      <w:r>
        <w:rPr>
          <w:noProof/>
        </w:rPr>
        <w:t>Vállalatikötvény-vásárlások: e sor alapján az ICO a sz</w:t>
      </w:r>
      <w:r>
        <w:rPr>
          <w:noProof/>
        </w:rPr>
        <w:t>ervezett másodlagos piacokon (például az alternatív fix hozamú piacon (MARF) vagy a Pénzügyi Eszközök Közvetítőinek Szövetsége (AIAF)) által kibocsátott közép- és hosszú lejáratú, előresorolt kamatozású értékpapírokat vásárol. Az értékpapírokat az értékpap</w:t>
      </w:r>
      <w:r>
        <w:rPr>
          <w:noProof/>
        </w:rPr>
        <w:t xml:space="preserve">írt kibocsátó társaság konkrét zöld beruházási projektjéhez kell kötni. </w:t>
      </w:r>
    </w:p>
    <w:p w14:paraId="00BD4451" w14:textId="1372F4F0" w:rsidR="003E1D81" w:rsidRDefault="00EB481C">
      <w:pPr>
        <w:pStyle w:val="P68B1DB1-ListParagraph7"/>
        <w:numPr>
          <w:ilvl w:val="0"/>
          <w:numId w:val="754"/>
        </w:numPr>
        <w:spacing w:line="240" w:lineRule="auto"/>
        <w:jc w:val="both"/>
        <w:rPr>
          <w:rFonts w:cs="Times New Roman"/>
          <w:noProof/>
        </w:rPr>
      </w:pPr>
      <w:r>
        <w:rPr>
          <w:noProof/>
        </w:rPr>
        <w:t>Sajáttőke- és kvázisajáttőke-befektetések: ez a költségvetési sor a tengelyen (az ICO kockázatitőke-/magántőke-kezelőjén) keresztül történő közvetlen tőkebefektetésekből és/vagy pénze</w:t>
      </w:r>
      <w:r>
        <w:rPr>
          <w:noProof/>
        </w:rPr>
        <w:t>szközök átruházásából áll olyan magán pénzügyi közvetítők által kezelt tőkealapoknak vagy egyéb befektetési eszközöknek, amelyek zöld projekteket végrehajtó vállalatokban tőkebefektetési műveleteket hajtanak végre. A költségvetési sor maximális részesedése</w:t>
      </w:r>
      <w:r>
        <w:rPr>
          <w:noProof/>
        </w:rPr>
        <w:t xml:space="preserve"> nem haladhatja meg a befektetésieszköz-alapok 49%-át. A zöld vonal tőkebefektetései nem eredményezhetik azt, hogy a köztulajdonban lévő saját tőke részesedése a végső kedvezményezettben meghaladja a teljes saját tőke 49%-át.</w:t>
      </w:r>
    </w:p>
    <w:p w14:paraId="10EE6958" w14:textId="7CE6A57A" w:rsidR="003E1D81" w:rsidRDefault="00EB481C">
      <w:pPr>
        <w:pStyle w:val="P68B1DB1-Normal4"/>
        <w:spacing w:line="240" w:lineRule="auto"/>
        <w:jc w:val="both"/>
        <w:rPr>
          <w:rFonts w:cs="Times New Roman"/>
          <w:noProof/>
        </w:rPr>
      </w:pPr>
      <w:r>
        <w:rPr>
          <w:noProof/>
        </w:rPr>
        <w:t>A Békekeretbe történő beruházá</w:t>
      </w:r>
      <w:r>
        <w:rPr>
          <w:noProof/>
        </w:rPr>
        <w:t>s végrehajtása érdekében Spanyolország és az ICO végrehajtási megállapodást ír alá, amely a következőket tartalmazza:</w:t>
      </w:r>
    </w:p>
    <w:p w14:paraId="1D74E591" w14:textId="604C7896" w:rsidR="003E1D81" w:rsidRDefault="00EB481C">
      <w:pPr>
        <w:pStyle w:val="P68B1DB1-LegalNumPar29"/>
        <w:numPr>
          <w:ilvl w:val="0"/>
          <w:numId w:val="740"/>
        </w:numPr>
        <w:jc w:val="both"/>
        <w:rPr>
          <w:rFonts w:eastAsia="Times New Roman" w:cs="Times New Roman"/>
          <w:noProof/>
        </w:rPr>
      </w:pPr>
      <w:r>
        <w:rPr>
          <w:noProof/>
        </w:rPr>
        <w:t>Az eszköz döntéshozatali folyamatának leírása: A Békekeret végleges beruházási határozatát beruházási bizottság vagy más, ezzel egyenérték</w:t>
      </w:r>
      <w:r>
        <w:rPr>
          <w:noProof/>
        </w:rPr>
        <w:t xml:space="preserve">ű irányító testület hozza meg, és azt a spanyol kormánytól független tagok szavazatainak többségével kell jóváhagyni. Közvetített befektetések esetében a végső befektetési döntést közvetítőknek kell meghozniuk. </w:t>
      </w:r>
    </w:p>
    <w:p w14:paraId="2897BDA6" w14:textId="77777777" w:rsidR="003E1D81" w:rsidRDefault="00EB481C">
      <w:pPr>
        <w:pStyle w:val="P68B1DB1-LegalNumPar29"/>
        <w:numPr>
          <w:ilvl w:val="0"/>
          <w:numId w:val="740"/>
        </w:numPr>
        <w:jc w:val="both"/>
        <w:rPr>
          <w:rFonts w:cs="Times New Roman"/>
          <w:noProof/>
        </w:rPr>
      </w:pPr>
      <w:r>
        <w:rPr>
          <w:noProof/>
        </w:rPr>
        <w:t>A kapcsolódó befektetési politika fő követel</w:t>
      </w:r>
      <w:r>
        <w:rPr>
          <w:noProof/>
        </w:rPr>
        <w:t>ményei,</w:t>
      </w:r>
      <w:r>
        <w:rPr>
          <w:b/>
          <w:noProof/>
        </w:rPr>
        <w:t xml:space="preserve"> </w:t>
      </w:r>
      <w:r>
        <w:rPr>
          <w:noProof/>
        </w:rPr>
        <w:t>amelyek a következőket foglalják magukban:</w:t>
      </w:r>
    </w:p>
    <w:p w14:paraId="60535834" w14:textId="77777777" w:rsidR="003E1D81" w:rsidRDefault="00EB481C">
      <w:pPr>
        <w:pStyle w:val="P68B1DB1-LegalNumPar230"/>
        <w:numPr>
          <w:ilvl w:val="1"/>
          <w:numId w:val="741"/>
        </w:numPr>
        <w:jc w:val="both"/>
        <w:rPr>
          <w:rFonts w:cs="Times New Roman"/>
          <w:noProof/>
        </w:rPr>
      </w:pPr>
      <w:r>
        <w:rPr>
          <w:noProof/>
        </w:rPr>
        <w:t xml:space="preserve">A pénzügyi termék(ek) és a támogatható végső kedvezményezettek leírása az intézkedés leírásával összhangban.   </w:t>
      </w:r>
    </w:p>
    <w:p w14:paraId="786BA6FE" w14:textId="77777777" w:rsidR="003E1D81" w:rsidRDefault="00EB481C">
      <w:pPr>
        <w:pStyle w:val="P68B1DB1-LegalNumPar230"/>
        <w:numPr>
          <w:ilvl w:val="1"/>
          <w:numId w:val="741"/>
        </w:numPr>
        <w:jc w:val="both"/>
        <w:rPr>
          <w:rFonts w:cs="Times New Roman"/>
          <w:noProof/>
        </w:rPr>
      </w:pPr>
      <w:r>
        <w:rPr>
          <w:noProof/>
        </w:rPr>
        <w:t>Az a követelmény, hogy minden támogatott beruházás gazdaságilag életképes legyen</w:t>
      </w:r>
      <w:r>
        <w:rPr>
          <w:b/>
          <w:noProof/>
        </w:rPr>
        <w:t>.</w:t>
      </w:r>
    </w:p>
    <w:p w14:paraId="54F251E3" w14:textId="77777777" w:rsidR="003E1D81" w:rsidRDefault="00EB481C">
      <w:pPr>
        <w:pStyle w:val="P68B1DB1-LegalNumPar230"/>
        <w:numPr>
          <w:ilvl w:val="1"/>
          <w:numId w:val="741"/>
        </w:numPr>
        <w:jc w:val="both"/>
        <w:rPr>
          <w:rFonts w:cs="Times New Roman"/>
          <w:noProof/>
        </w:rPr>
      </w:pPr>
      <w:r>
        <w:rPr>
          <w:noProof/>
        </w:rPr>
        <w:t xml:space="preserve">A kinnlevő </w:t>
      </w:r>
      <w:r>
        <w:rPr>
          <w:noProof/>
        </w:rPr>
        <w:t>hitelek refinanszírozásának tilalma.</w:t>
      </w:r>
    </w:p>
    <w:p w14:paraId="09A6066A" w14:textId="722FCB9B" w:rsidR="003E1D81" w:rsidRDefault="00EB481C">
      <w:pPr>
        <w:pStyle w:val="P68B1DB1-LegalNumPar230"/>
        <w:numPr>
          <w:ilvl w:val="1"/>
          <w:numId w:val="741"/>
        </w:numPr>
        <w:jc w:val="both"/>
        <w:rPr>
          <w:rFonts w:cs="Times New Roman"/>
          <w:noProof/>
        </w:rPr>
      </w:pPr>
      <w:r>
        <w:rPr>
          <w:noProof/>
        </w:rPr>
        <w:t xml:space="preserve">A jelentős károkozás elkerülését célzó elvnek való megfelelés követelménye a DNSH technikai iránymutatásban (2021/C58/01) meghatározottak szerint, különösen: </w:t>
      </w:r>
    </w:p>
    <w:p w14:paraId="4150B5D3" w14:textId="52680E44" w:rsidR="003E1D81" w:rsidRDefault="00EB481C">
      <w:pPr>
        <w:pStyle w:val="ListParagraph"/>
        <w:numPr>
          <w:ilvl w:val="0"/>
          <w:numId w:val="742"/>
        </w:numPr>
        <w:spacing w:line="240" w:lineRule="auto"/>
        <w:jc w:val="both"/>
        <w:rPr>
          <w:rFonts w:ascii="Times New Roman" w:hAnsi="Times New Roman" w:cs="Times New Roman"/>
          <w:noProof/>
          <w:sz w:val="24"/>
        </w:rPr>
      </w:pPr>
      <w:r>
        <w:rPr>
          <w:rFonts w:ascii="Times New Roman" w:hAnsi="Times New Roman"/>
          <w:noProof/>
          <w:sz w:val="24"/>
        </w:rPr>
        <w:t xml:space="preserve">Kölcsönök, projektkötvények vagy azokkal egyenértékű </w:t>
      </w:r>
      <w:r>
        <w:rPr>
          <w:rFonts w:ascii="Times New Roman" w:hAnsi="Times New Roman"/>
          <w:noProof/>
          <w:sz w:val="24"/>
        </w:rPr>
        <w:t>eszközök esetében: a befektetési politika kizárja a tevékenységek és eszközök alábbi listáját a támogathatóság köréből: i. a fosszilis tüzelőanyagokhoz kapcsolódó tevékenységek és eszközök, beleértve a továbbfelhasználást is, ii. az uniós kibocsátáskereske</w:t>
      </w:r>
      <w:r>
        <w:rPr>
          <w:rFonts w:ascii="Times New Roman" w:hAnsi="Times New Roman"/>
          <w:noProof/>
          <w:sz w:val="24"/>
        </w:rPr>
        <w:t>delmi rendszer (ETS) keretében</w:t>
      </w:r>
      <w:r>
        <w:rPr>
          <w:rStyle w:val="FootnoteReference"/>
          <w:rFonts w:ascii="Times New Roman" w:hAnsi="Times New Roman" w:cs="Times New Roman"/>
          <w:noProof/>
          <w:sz w:val="24"/>
        </w:rPr>
        <w:footnoteReference w:id="98"/>
      </w:r>
      <w:r>
        <w:rPr>
          <w:rFonts w:ascii="Times New Roman" w:hAnsi="Times New Roman"/>
          <w:noProof/>
          <w:sz w:val="24"/>
        </w:rPr>
        <w:t>végzett tevékenységek és eszközök, amelyek a vonatkozó referenciaértékeknél nem alacsonyabb várható üvegházhatásúgáz-kibocsátást érnek el; iii. hulladéklerakókkal, hulladékégetőkkel és mechanikai-biológiai szennyvíztisztító t</w:t>
      </w:r>
      <w:r>
        <w:rPr>
          <w:rFonts w:ascii="Times New Roman" w:hAnsi="Times New Roman"/>
          <w:noProof/>
          <w:sz w:val="24"/>
        </w:rPr>
        <w:t>elepekkel kapcsolatos</w:t>
      </w:r>
      <w:r>
        <w:rPr>
          <w:rStyle w:val="FootnoteReference"/>
          <w:rFonts w:ascii="Times New Roman" w:hAnsi="Times New Roman" w:cs="Times New Roman"/>
          <w:noProof/>
          <w:sz w:val="24"/>
        </w:rPr>
        <w:footnoteReference w:id="99"/>
      </w:r>
      <w:r>
        <w:rPr>
          <w:rFonts w:ascii="Times New Roman" w:hAnsi="Times New Roman"/>
          <w:noProof/>
          <w:sz w:val="24"/>
        </w:rPr>
        <w:t>tevékenységek</w:t>
      </w:r>
      <w:r>
        <w:rPr>
          <w:rStyle w:val="FootnoteReference"/>
          <w:rFonts w:ascii="Times New Roman" w:hAnsi="Times New Roman" w:cs="Times New Roman"/>
          <w:noProof/>
          <w:sz w:val="24"/>
        </w:rPr>
        <w:footnoteReference w:id="100"/>
      </w:r>
      <w:r>
        <w:rPr>
          <w:rFonts w:ascii="Times New Roman" w:hAnsi="Times New Roman"/>
          <w:noProof/>
          <w:sz w:val="24"/>
        </w:rPr>
        <w:t xml:space="preserve"> és eszközök</w:t>
      </w:r>
      <w:r>
        <w:rPr>
          <w:rStyle w:val="FootnoteReference"/>
          <w:rFonts w:ascii="Times New Roman" w:hAnsi="Times New Roman" w:cs="Times New Roman"/>
          <w:noProof/>
          <w:sz w:val="24"/>
        </w:rPr>
        <w:footnoteReference w:id="101"/>
      </w:r>
      <w:r>
        <w:rPr>
          <w:rFonts w:ascii="Times New Roman" w:hAnsi="Times New Roman"/>
          <w:noProof/>
          <w:sz w:val="24"/>
        </w:rPr>
        <w:t>.</w:t>
      </w:r>
    </w:p>
    <w:p w14:paraId="33782BF6" w14:textId="280FA2AB" w:rsidR="003E1D81" w:rsidRDefault="00EB481C">
      <w:pPr>
        <w:pStyle w:val="ListParagraph"/>
        <w:numPr>
          <w:ilvl w:val="0"/>
          <w:numId w:val="742"/>
        </w:numPr>
        <w:jc w:val="both"/>
        <w:rPr>
          <w:rFonts w:ascii="Times New Roman" w:hAnsi="Times New Roman" w:cs="Times New Roman"/>
          <w:noProof/>
          <w:sz w:val="24"/>
        </w:rPr>
      </w:pPr>
      <w:r>
        <w:rPr>
          <w:rFonts w:ascii="Times New Roman" w:hAnsi="Times New Roman"/>
          <w:noProof/>
          <w:sz w:val="24"/>
        </w:rPr>
        <w:t>Saját tőke, kvázi-sajáttőke, vállalati kötvények vagy ezekkel egyenértékű eszközök esetében: a befektetési politikának elő kell írnia a vállalkozások számára, hogy a 2013/34/EU irányelv 19a. cikke (2) beke</w:t>
      </w:r>
      <w:r>
        <w:rPr>
          <w:rFonts w:ascii="Times New Roman" w:hAnsi="Times New Roman"/>
          <w:noProof/>
          <w:sz w:val="24"/>
        </w:rPr>
        <w:t>zdése a) pontjának iii. alpontjában foglalt fogalommeghatározással összhangban zöld átállási terveket fogadjanak el,</w:t>
      </w:r>
      <w:r>
        <w:rPr>
          <w:rStyle w:val="FootnoteReference"/>
          <w:rFonts w:ascii="Times New Roman" w:hAnsi="Times New Roman" w:cs="Times New Roman"/>
          <w:noProof/>
          <w:sz w:val="24"/>
        </w:rPr>
        <w:footnoteReference w:id="102"/>
      </w:r>
      <w:r>
        <w:rPr>
          <w:rFonts w:ascii="Times New Roman" w:hAnsi="Times New Roman"/>
          <w:noProof/>
          <w:sz w:val="24"/>
        </w:rPr>
        <w:t xml:space="preserve"> amennyiben az előző pénzügyi év közvetlen bevételeinek több mint 50%-a a tevékenységek és eszközök alábbi listájából származik: i. a fossz</w:t>
      </w:r>
      <w:r>
        <w:rPr>
          <w:rFonts w:ascii="Times New Roman" w:hAnsi="Times New Roman"/>
          <w:noProof/>
          <w:sz w:val="24"/>
        </w:rPr>
        <w:t>ilis tüzelőanyagokhoz kapcsolódó tevékenységek és eszközök, beleértve a továbbfelhasználást is, ii. az uniós kibocsátáskereskedelmi rendszer (ETS) keretében</w:t>
      </w:r>
      <w:r>
        <w:rPr>
          <w:rStyle w:val="FootnoteReference"/>
          <w:rFonts w:ascii="Times New Roman" w:hAnsi="Times New Roman" w:cs="Times New Roman"/>
          <w:noProof/>
          <w:sz w:val="24"/>
        </w:rPr>
        <w:footnoteReference w:id="103"/>
      </w:r>
      <w:r>
        <w:rPr>
          <w:rFonts w:ascii="Times New Roman" w:hAnsi="Times New Roman"/>
          <w:noProof/>
          <w:sz w:val="24"/>
        </w:rPr>
        <w:t>végzett tevékenységek és eszközök, amelyek a vonatkozó referenciaértékeknél nem alacsonyabb várható</w:t>
      </w:r>
      <w:r>
        <w:rPr>
          <w:rFonts w:ascii="Times New Roman" w:hAnsi="Times New Roman"/>
          <w:noProof/>
          <w:sz w:val="24"/>
        </w:rPr>
        <w:t xml:space="preserve"> üvegházhatásúgáz-kibocsátást érnek el; iii. hulladéklerakókkal, hulladékégetőkkel és mechanikai-biológiai szennyvíztisztító telepekkel kapcsolatos</w:t>
      </w:r>
      <w:r>
        <w:rPr>
          <w:rStyle w:val="FootnoteReference"/>
          <w:rFonts w:ascii="Times New Roman" w:hAnsi="Times New Roman" w:cs="Times New Roman"/>
          <w:noProof/>
          <w:sz w:val="24"/>
        </w:rPr>
        <w:footnoteReference w:id="104"/>
      </w:r>
      <w:r>
        <w:rPr>
          <w:rFonts w:ascii="Times New Roman" w:hAnsi="Times New Roman"/>
          <w:noProof/>
          <w:sz w:val="24"/>
        </w:rPr>
        <w:t>tevékenységek</w:t>
      </w:r>
      <w:r>
        <w:rPr>
          <w:rStyle w:val="FootnoteReference"/>
          <w:rFonts w:ascii="Times New Roman" w:hAnsi="Times New Roman" w:cs="Times New Roman"/>
          <w:noProof/>
          <w:sz w:val="24"/>
        </w:rPr>
        <w:footnoteReference w:id="105"/>
      </w:r>
      <w:r>
        <w:rPr>
          <w:rFonts w:ascii="Times New Roman" w:hAnsi="Times New Roman"/>
          <w:noProof/>
          <w:sz w:val="24"/>
        </w:rPr>
        <w:t xml:space="preserve"> és eszközök</w:t>
      </w:r>
      <w:r>
        <w:rPr>
          <w:rStyle w:val="FootnoteReference"/>
          <w:rFonts w:ascii="Times New Roman" w:hAnsi="Times New Roman" w:cs="Times New Roman"/>
          <w:noProof/>
          <w:sz w:val="24"/>
        </w:rPr>
        <w:footnoteReference w:id="106"/>
      </w:r>
      <w:r>
        <w:rPr>
          <w:rFonts w:ascii="Times New Roman" w:hAnsi="Times New Roman"/>
          <w:noProof/>
          <w:sz w:val="24"/>
        </w:rPr>
        <w:t xml:space="preserve">.  </w:t>
      </w:r>
    </w:p>
    <w:p w14:paraId="243B4054" w14:textId="77777777" w:rsidR="003E1D81" w:rsidRDefault="00EB481C">
      <w:pPr>
        <w:pStyle w:val="P68B1DB1-ListParagraph7"/>
        <w:numPr>
          <w:ilvl w:val="0"/>
          <w:numId w:val="742"/>
        </w:numPr>
        <w:jc w:val="both"/>
        <w:rPr>
          <w:rFonts w:cs="Times New Roman"/>
          <w:noProof/>
        </w:rPr>
      </w:pPr>
      <w:r>
        <w:rPr>
          <w:noProof/>
        </w:rPr>
        <w:t xml:space="preserve">A beruházási politikának továbbá elő kell írnia, hogy az eszköz végső </w:t>
      </w:r>
      <w:r>
        <w:rPr>
          <w:noProof/>
        </w:rPr>
        <w:t>kedvezményezettjei megfeleljenek a vonatkozó uniós és nemzeti környezetvédelmi jogszabályoknak.</w:t>
      </w:r>
    </w:p>
    <w:p w14:paraId="101FA6B1" w14:textId="77777777" w:rsidR="003E1D81" w:rsidRDefault="00EB481C">
      <w:pPr>
        <w:pStyle w:val="P68B1DB1-ListParagraph7"/>
        <w:numPr>
          <w:ilvl w:val="1"/>
          <w:numId w:val="741"/>
        </w:numPr>
        <w:spacing w:line="240" w:lineRule="auto"/>
        <w:jc w:val="both"/>
        <w:rPr>
          <w:rFonts w:cs="Times New Roman"/>
          <w:noProof/>
        </w:rPr>
      </w:pPr>
      <w:r>
        <w:rPr>
          <w:noProof/>
        </w:rPr>
        <w:t>Az a követelmény, hogy a hitelezési eszköz végső kedvezményezettjei nem részesülhetnek támogatásban más uniós eszközökből ugyanazon költségek fedezésére.</w:t>
      </w:r>
    </w:p>
    <w:p w14:paraId="294A956A" w14:textId="5298560B" w:rsidR="003E1D81" w:rsidRDefault="00EB481C">
      <w:pPr>
        <w:pStyle w:val="P68B1DB1-LegalNumPar29"/>
        <w:numPr>
          <w:ilvl w:val="0"/>
          <w:numId w:val="740"/>
        </w:numPr>
        <w:jc w:val="both"/>
        <w:rPr>
          <w:rFonts w:cs="Times New Roman"/>
          <w:noProof/>
        </w:rPr>
      </w:pPr>
      <w:r>
        <w:rPr>
          <w:noProof/>
        </w:rPr>
        <w:t>A végr</w:t>
      </w:r>
      <w:r>
        <w:rPr>
          <w:noProof/>
        </w:rPr>
        <w:t>ehajtási megállapodás hatálya alá tartozó összeg, a végrehajtó partner díjstruktúrája, valamint az eszköz beruházási politikája szerinti visszaáramlások újbóli befektetésére vonatkozó követelmény, kivéve, ha azokat a Helyreállítási és Rezilienciaépítési Es</w:t>
      </w:r>
      <w:r>
        <w:rPr>
          <w:noProof/>
        </w:rPr>
        <w:t>zköz hiteltörlesztésének teljesítésére használják fel.</w:t>
      </w:r>
    </w:p>
    <w:p w14:paraId="2D52D76E" w14:textId="77777777" w:rsidR="003E1D81" w:rsidRDefault="00EB481C">
      <w:pPr>
        <w:pStyle w:val="P68B1DB1-ListParagraph7"/>
        <w:numPr>
          <w:ilvl w:val="0"/>
          <w:numId w:val="740"/>
        </w:numPr>
        <w:spacing w:line="240" w:lineRule="auto"/>
        <w:jc w:val="both"/>
        <w:rPr>
          <w:rFonts w:cs="Times New Roman"/>
          <w:noProof/>
        </w:rPr>
      </w:pPr>
      <w:r>
        <w:rPr>
          <w:noProof/>
        </w:rPr>
        <w:t>Nyomonkövetési, ellenőrzési és ellenőrzési követelmények, beleértve a következőket:</w:t>
      </w:r>
    </w:p>
    <w:p w14:paraId="5E1F5B38" w14:textId="7191556F" w:rsidR="003E1D81" w:rsidRDefault="00EB481C">
      <w:pPr>
        <w:pStyle w:val="P68B1DB1-ListParagraph7"/>
        <w:numPr>
          <w:ilvl w:val="1"/>
          <w:numId w:val="743"/>
        </w:numPr>
        <w:spacing w:line="240" w:lineRule="auto"/>
        <w:jc w:val="both"/>
        <w:rPr>
          <w:rFonts w:cs="Times New Roman"/>
          <w:noProof/>
        </w:rPr>
      </w:pPr>
      <w:r>
        <w:rPr>
          <w:noProof/>
        </w:rPr>
        <w:t>A végrehajtó partner által a mozgósított beruházásról való jelentéstételre szolgáló nyomonkövetési rendszer leírása.</w:t>
      </w:r>
    </w:p>
    <w:p w14:paraId="73FB5F63" w14:textId="6828617C" w:rsidR="003E1D81" w:rsidRDefault="00EB481C">
      <w:pPr>
        <w:pStyle w:val="P68B1DB1-ListParagraph7"/>
        <w:numPr>
          <w:ilvl w:val="1"/>
          <w:numId w:val="743"/>
        </w:numPr>
        <w:spacing w:line="240" w:lineRule="auto"/>
        <w:jc w:val="both"/>
        <w:rPr>
          <w:rFonts w:cs="Times New Roman"/>
          <w:noProof/>
        </w:rPr>
      </w:pPr>
      <w:r>
        <w:rPr>
          <w:noProof/>
        </w:rPr>
        <w:t>A végrehajtó partner azon eljárásainak leírása, amelyek biztosítják a csalás, a korrupció és az összeférhetetlenség megelőzését, feltárását és korrekcióját.</w:t>
      </w:r>
    </w:p>
    <w:p w14:paraId="0D875653" w14:textId="7390CB07" w:rsidR="003E1D81" w:rsidRDefault="00EB481C">
      <w:pPr>
        <w:pStyle w:val="P68B1DB1-ListParagraph7"/>
        <w:numPr>
          <w:ilvl w:val="1"/>
          <w:numId w:val="743"/>
        </w:numPr>
        <w:spacing w:line="240" w:lineRule="auto"/>
        <w:jc w:val="both"/>
        <w:rPr>
          <w:rFonts w:cs="Times New Roman"/>
          <w:noProof/>
        </w:rPr>
      </w:pPr>
      <w:r>
        <w:rPr>
          <w:noProof/>
        </w:rPr>
        <w:t>Minden művelet támogathatóságának a végrehajtási megállapodásban meghatározott követelményekkel öss</w:t>
      </w:r>
      <w:r>
        <w:rPr>
          <w:noProof/>
        </w:rPr>
        <w:t>zhangban történő ellenőrzésére vonatkozó kötelezettség, többek között pozitív nyilatkozatok listájának és/vagy a 10 000 000 EUR-t el nem érő műveletekre vonatkozó önbevallásnak a használatával, mielőtt kötelezettséget vállalnának egy művelet finanszírozásá</w:t>
      </w:r>
      <w:r>
        <w:rPr>
          <w:noProof/>
        </w:rPr>
        <w:t>ra.</w:t>
      </w:r>
    </w:p>
    <w:p w14:paraId="1C075D49" w14:textId="0E3B02E8" w:rsidR="003E1D81" w:rsidRDefault="00EB481C">
      <w:pPr>
        <w:pStyle w:val="P68B1DB1-ListParagraph7"/>
        <w:numPr>
          <w:ilvl w:val="1"/>
          <w:numId w:val="743"/>
        </w:numPr>
        <w:spacing w:line="240" w:lineRule="auto"/>
        <w:jc w:val="both"/>
        <w:rPr>
          <w:rFonts w:cs="Times New Roman"/>
          <w:noProof/>
        </w:rPr>
      </w:pPr>
      <w:r>
        <w:rPr>
          <w:noProof/>
        </w:rPr>
        <w:t>A kockázatalapú utólagos ellenőrzéseknek az ICO ellenőrzési tervével összhangban történő elvégzésére vonatkozó kötelezettség. Ezek az ellenőrzések azt vizsgálják, hogy i. a kontrollrendszerek hatékonyak-e, beleértve a csalás, a korrupció és az összefér</w:t>
      </w:r>
      <w:r>
        <w:rPr>
          <w:noProof/>
        </w:rPr>
        <w:t>hetetlenség feltárását; a DNSH-elvnek, az állami támogatási szabályoknak és az éghajlat-politikai célkitűzésekre vonatkozó követelményeknek való megfelelés; és iii. teljesül az a követelmény, amely szerint a közvetítőnek ellenőriznie kell, hogy a végső ked</w:t>
      </w:r>
      <w:r>
        <w:rPr>
          <w:noProof/>
        </w:rPr>
        <w:t>vezményezett felelősségteljes nyilatkozatot nyújt-e be annak ellenőrzésére, hogy ugyanazt a költséget egy másik uniós eszköz fedezi-e. Az ellenőrzések során ellenőrizni kell továbbá az ügyletek jogszerűségét, valamint az alkalmazandó végrehajtási megállapo</w:t>
      </w:r>
      <w:r>
        <w:rPr>
          <w:noProof/>
        </w:rPr>
        <w:t>dásban és finanszírozási megállapodásokban foglalt feltételek betartását, többek között a 10 000 000 EUR-t el nem érő műveletekre vonatkozó pozitív nyilatkozatok és/vagy önbevallások használata révén, mielőtt kötelezettséget vállalnának egy művelet finansz</w:t>
      </w:r>
      <w:r>
        <w:rPr>
          <w:noProof/>
        </w:rPr>
        <w:t>írozására.</w:t>
      </w:r>
    </w:p>
    <w:p w14:paraId="619276A9" w14:textId="3B972D0B" w:rsidR="003E1D81" w:rsidRDefault="00EB481C">
      <w:pPr>
        <w:pStyle w:val="ListParagraph"/>
        <w:numPr>
          <w:ilvl w:val="0"/>
          <w:numId w:val="740"/>
        </w:numPr>
        <w:spacing w:line="240" w:lineRule="auto"/>
        <w:jc w:val="both"/>
        <w:rPr>
          <w:rFonts w:ascii="Times New Roman" w:hAnsi="Times New Roman" w:cs="Times New Roman"/>
          <w:noProof/>
          <w:sz w:val="24"/>
        </w:rPr>
      </w:pPr>
      <w:r>
        <w:rPr>
          <w:rFonts w:ascii="Times New Roman" w:hAnsi="Times New Roman"/>
          <w:noProof/>
          <w:sz w:val="24"/>
        </w:rPr>
        <w:t>A végrehajtó partner által végrehajtott éghajlat-politikai beruházásokra vonatkozó követelmények: az eszközbe irányuló Helyreállítási és Rezilienciaépítési Eszközből legalább 17 800 000 000 EUR összegű beruházásnak hozzá kell járulnia az éghajla</w:t>
      </w:r>
      <w:r>
        <w:rPr>
          <w:rFonts w:ascii="Times New Roman" w:hAnsi="Times New Roman"/>
          <w:noProof/>
          <w:sz w:val="24"/>
        </w:rPr>
        <w:t>t-politikai célkitűzésekhez a Helyreállítási és Rezilienciaépítési Eszközről szóló rendelet VI. mellékletével összhangban.</w:t>
      </w:r>
      <w:r>
        <w:rPr>
          <w:rStyle w:val="FootnoteReference"/>
          <w:rFonts w:ascii="Times New Roman" w:hAnsi="Times New Roman" w:cs="Times New Roman"/>
          <w:noProof/>
          <w:sz w:val="24"/>
        </w:rPr>
        <w:footnoteReference w:id="107"/>
      </w:r>
    </w:p>
    <w:p w14:paraId="4ADF13A0" w14:textId="0D5F5C6D" w:rsidR="003E1D81" w:rsidRDefault="00EB481C">
      <w:pPr>
        <w:pStyle w:val="P68B1DB1-ListParagraph7"/>
        <w:numPr>
          <w:ilvl w:val="0"/>
          <w:numId w:val="740"/>
        </w:numPr>
        <w:rPr>
          <w:rFonts w:cs="Times New Roman"/>
          <w:noProof/>
        </w:rPr>
      </w:pPr>
      <w:r>
        <w:rPr>
          <w:noProof/>
        </w:rPr>
        <w:t>A pénzügyi közvetítők kiválasztására vonatkozó követelmények: Az ICO nyílt, átlátható és megkülönböztetésmentes mó</w:t>
      </w:r>
      <w:r w:rsidR="00FB7BF6">
        <w:rPr>
          <w:noProof/>
        </w:rPr>
        <w:t>d</w:t>
      </w:r>
      <w:r>
        <w:rPr>
          <w:noProof/>
        </w:rPr>
        <w:t>on választja ki a</w:t>
      </w:r>
      <w:r>
        <w:rPr>
          <w:noProof/>
        </w:rPr>
        <w:t xml:space="preserve"> pénzügyi közvetítőket. A pénzügyi közvetítőket érintő összeférhetetlenség hiányát előzetesen ellenőrizni kell, és minden érintett pénzügyi szereplő esetében olyan informatikai rendszeren keresztül kell elvégezni, mint a Minerva. </w:t>
      </w:r>
    </w:p>
    <w:p w14:paraId="6B00BFFB" w14:textId="77777777" w:rsidR="003E1D81" w:rsidRDefault="00EB481C">
      <w:pPr>
        <w:pStyle w:val="P68B1DB1-ListParagraph7"/>
        <w:numPr>
          <w:ilvl w:val="0"/>
          <w:numId w:val="740"/>
        </w:numPr>
        <w:spacing w:line="240" w:lineRule="auto"/>
        <w:jc w:val="both"/>
        <w:rPr>
          <w:rFonts w:cs="Times New Roman"/>
          <w:noProof/>
        </w:rPr>
      </w:pPr>
      <w:r>
        <w:rPr>
          <w:noProof/>
        </w:rPr>
        <w:t>Finanszírozási megállapod</w:t>
      </w:r>
      <w:r>
        <w:rPr>
          <w:noProof/>
        </w:rPr>
        <w:t>ások aláírásának kötelezettsége: Az ICO finanszírozási megállapodásokat ír alá a pénzügyi közvetítőkkel a végrehajtási megállapodás mellékleteként benyújtandó kulcsfontosságú követelményeknek megfelelően. A finanszírozási megállapodás fő követelményei magu</w:t>
      </w:r>
      <w:r>
        <w:rPr>
          <w:noProof/>
        </w:rPr>
        <w:t xml:space="preserve">kban foglalják mindazokat a követelményeket, amelyek alapján a Békekeret működik, beleértve a következőket: </w:t>
      </w:r>
    </w:p>
    <w:p w14:paraId="16D1FEBE" w14:textId="77777777" w:rsidR="003E1D81" w:rsidRDefault="00EB481C">
      <w:pPr>
        <w:pStyle w:val="P68B1DB1-Normal4"/>
        <w:numPr>
          <w:ilvl w:val="0"/>
          <w:numId w:val="744"/>
        </w:numPr>
        <w:spacing w:after="160" w:line="240" w:lineRule="auto"/>
        <w:jc w:val="both"/>
        <w:rPr>
          <w:rFonts w:cs="Times New Roman"/>
          <w:noProof/>
        </w:rPr>
      </w:pPr>
      <w:r>
        <w:rPr>
          <w:noProof/>
        </w:rPr>
        <w:t xml:space="preserve">A pénzügyi közvetítő azon kötelezettsége, hogy döntéseit </w:t>
      </w:r>
      <w:r>
        <w:rPr>
          <w:i/>
          <w:noProof/>
        </w:rPr>
        <w:t>értelemszerűen</w:t>
      </w:r>
      <w:r>
        <w:rPr>
          <w:noProof/>
        </w:rPr>
        <w:t xml:space="preserve"> a fent meghatározott döntéshozatali és befektetési politikai követelményekn</w:t>
      </w:r>
      <w:r>
        <w:rPr>
          <w:noProof/>
        </w:rPr>
        <w:t>ek megfelelően hozza meg, beleértve a DNSH-elv tiszteletben tartásával kapcsolatosakat is.</w:t>
      </w:r>
    </w:p>
    <w:p w14:paraId="3CEEEB74" w14:textId="0F25D43E" w:rsidR="003E1D81" w:rsidRDefault="00EB481C">
      <w:pPr>
        <w:pStyle w:val="P68B1DB1-Normal4"/>
        <w:numPr>
          <w:ilvl w:val="0"/>
          <w:numId w:val="744"/>
        </w:numPr>
        <w:spacing w:after="160" w:line="240" w:lineRule="auto"/>
        <w:jc w:val="both"/>
        <w:rPr>
          <w:rFonts w:cs="Times New Roman"/>
          <w:noProof/>
        </w:rPr>
      </w:pPr>
      <w:r>
        <w:rPr>
          <w:noProof/>
        </w:rPr>
        <w:t xml:space="preserve">A pénzügyi közvetítő által létrehozandó monitoring-, audit- és kontrollkeret leírása, amelyre </w:t>
      </w:r>
      <w:r>
        <w:rPr>
          <w:i/>
          <w:noProof/>
        </w:rPr>
        <w:t>értelemszerűen</w:t>
      </w:r>
      <w:r>
        <w:rPr>
          <w:noProof/>
        </w:rPr>
        <w:t xml:space="preserve"> a fent meghatározott valamennyi nyomonkövetési, ellenőrz</w:t>
      </w:r>
      <w:r>
        <w:rPr>
          <w:noProof/>
        </w:rPr>
        <w:t xml:space="preserve">ési és kontrollkövetelmény vonatkozik. </w:t>
      </w:r>
    </w:p>
    <w:p w14:paraId="28406941" w14:textId="77777777" w:rsidR="003E1D81" w:rsidRDefault="00EB481C">
      <w:pPr>
        <w:pStyle w:val="P68B1DB1-Normal4"/>
        <w:spacing w:line="240" w:lineRule="auto"/>
        <w:rPr>
          <w:rFonts w:eastAsia="Times New Roman" w:cs="Times New Roman"/>
          <w:noProof/>
        </w:rPr>
      </w:pPr>
      <w:r>
        <w:rPr>
          <w:noProof/>
        </w:rPr>
        <w:t>Az intézkedés végrehajtását 2026. augusztus 31-ig be kell fejezni.</w:t>
      </w:r>
    </w:p>
    <w:p w14:paraId="4A12B21D" w14:textId="7C864473" w:rsidR="003E1D81" w:rsidRDefault="00EB481C">
      <w:pPr>
        <w:pStyle w:val="P68B1DB1-Normal18"/>
        <w:rPr>
          <w:rFonts w:cs="Times New Roman"/>
          <w:noProof/>
        </w:rPr>
      </w:pPr>
      <w:r>
        <w:rPr>
          <w:noProof/>
        </w:rPr>
        <w:t>ICO Enterprises and Entrepreneurs Line (Vállalkozások és Vállalkozók)</w:t>
      </w:r>
    </w:p>
    <w:p w14:paraId="301F8344" w14:textId="78C41B9F" w:rsidR="003E1D81" w:rsidRDefault="00EB481C">
      <w:pPr>
        <w:pStyle w:val="P68B1DB1-LegalNumPar230"/>
        <w:numPr>
          <w:ilvl w:val="1"/>
          <w:numId w:val="0"/>
        </w:numPr>
        <w:spacing w:line="240" w:lineRule="auto"/>
        <w:jc w:val="both"/>
        <w:rPr>
          <w:rFonts w:cs="Times New Roman"/>
          <w:noProof/>
        </w:rPr>
      </w:pPr>
      <w:bookmarkStart w:id="30" w:name="_Hlk145873324"/>
      <w:r>
        <w:rPr>
          <w:noProof/>
        </w:rPr>
        <w:t>Az intézkedés ezen eleme a következőkből áll: egy eszközbe, a Vállalkozások és Vállalkozók ICO-vonalába történő állami beruházás, amelynek célja a magánberuházások ösztönzése és a finanszírozáshoz való hozzáférés javítása a vállalkozás gazdasági tevékenysé</w:t>
      </w:r>
      <w:r>
        <w:rPr>
          <w:noProof/>
        </w:rPr>
        <w:t xml:space="preserve">géhez kapcsolódó ágazatokban, valamint tőkepiacok kialakítása ezeken a területeken, a köz- és magánegyetemek digitalizációjával kapcsolatos projektek a PERTE New Economy of Language (NEL) részeként, valamint az </w:t>
      </w:r>
      <w:bookmarkEnd w:id="30"/>
      <w:r>
        <w:rPr>
          <w:noProof/>
        </w:rPr>
        <w:t>idegenforgalmi ágazat vállalatainak a fenntar</w:t>
      </w:r>
      <w:r>
        <w:rPr>
          <w:noProof/>
        </w:rPr>
        <w:t>thatósággal, a digitalizációval, az emberi erőforrásokra és berendezésekre vonatkozó továbbképzési programokkal, valamint versenyképességének és rezilienciájának megerősítésével kapcsolatos projektjei. [A vonal a forgótőke-szükséglet fedezésére is szolgál,</w:t>
      </w:r>
      <w:r>
        <w:rPr>
          <w:noProof/>
        </w:rPr>
        <w:t xml:space="preserve"> amely lehetővé teszi a vállalatok számára a fent említett célkitűzések teljesítését]. A Békekeret közvetlen finanszírozással, vállalatikötvény-vásárlásokkal, valamint sajáttőke- és kvázisajáttőke-befektetésekkel működik közvetlenül vagy közvetítőkön keres</w:t>
      </w:r>
      <w:r>
        <w:rPr>
          <w:noProof/>
        </w:rPr>
        <w:t xml:space="preserve">ztül a magánszektor, valamint a hasonló tevékenységet folytató közszektorbeli intézmények számára. A Helyreállítási és Rezilienciaépítési Eszköz beruházása alapján az eszköz célja kezdetben legalább 815 000 000 EUR összegű finanszírozás biztosítása. </w:t>
      </w:r>
    </w:p>
    <w:p w14:paraId="43FB884B" w14:textId="3EE89197" w:rsidR="003E1D81" w:rsidRDefault="00EB481C">
      <w:pPr>
        <w:pStyle w:val="P68B1DB1-Normal4"/>
        <w:spacing w:line="240" w:lineRule="auto"/>
        <w:jc w:val="both"/>
        <w:rPr>
          <w:rFonts w:cs="Times New Roman"/>
          <w:noProof/>
        </w:rPr>
      </w:pPr>
      <w:r>
        <w:rPr>
          <w:noProof/>
        </w:rPr>
        <w:t>Az es</w:t>
      </w:r>
      <w:r>
        <w:rPr>
          <w:noProof/>
        </w:rPr>
        <w:t>zközt végrehajtó partnerekként az Instituto de Crédito Oficial (ICO) és az Axis (az ICO kockázatitőke-/magántőke-kezelője) irányítja. A hitelezési eszköz a következő terméksorokat tartalmazza:</w:t>
      </w:r>
    </w:p>
    <w:p w14:paraId="683E4DE2" w14:textId="77777777" w:rsidR="003E1D81" w:rsidRDefault="00EB481C">
      <w:pPr>
        <w:pStyle w:val="P68B1DB1-ListParagraph7"/>
        <w:numPr>
          <w:ilvl w:val="0"/>
          <w:numId w:val="352"/>
        </w:numPr>
        <w:jc w:val="both"/>
        <w:rPr>
          <w:rFonts w:eastAsia="Times New Roman" w:cs="Times New Roman"/>
          <w:noProof/>
        </w:rPr>
      </w:pPr>
      <w:r>
        <w:rPr>
          <w:noProof/>
        </w:rPr>
        <w:t>Közvetítési irányvonal: a közvetítői eljárás az ICO által keres</w:t>
      </w:r>
      <w:r>
        <w:rPr>
          <w:noProof/>
        </w:rPr>
        <w:t xml:space="preserve">kedelmi bankoknak nyújtott hitelekből áll, amelyek viszont hiteleket ítélnek oda a végső kedvezményezetteknek a gazdasági tevékenységükkel kapcsolatos projektek finanszírozására; digitalizáció és mesterséges intelligencia az egyetemek számára; valamint az </w:t>
      </w:r>
      <w:r>
        <w:rPr>
          <w:noProof/>
        </w:rPr>
        <w:t>emberi erőforrásokra és berendezésekre vonatkozó fenntarthatósági, digitalizációs, átképzési és továbbképzési programok, valamint az idegenforgalmi ágazat versenyképességének és rezilienciájának megerősítését célzó projektek. A végső kedvezményezettek magá</w:t>
      </w:r>
      <w:r>
        <w:rPr>
          <w:noProof/>
        </w:rPr>
        <w:t xml:space="preserve">nvállalkozások (például önfoglalkoztatók, kkv-k, kis méretű, közepes piaci tőkeértékű vállalatok, nagyvállalatok vagy vállalkozók) és hasonló tevékenységet folytató közjogi szervezetek. </w:t>
      </w:r>
    </w:p>
    <w:p w14:paraId="393EBC7B" w14:textId="77777777" w:rsidR="003E1D81" w:rsidRDefault="00EB481C">
      <w:pPr>
        <w:pStyle w:val="P68B1DB1-ListParagraph7"/>
        <w:numPr>
          <w:ilvl w:val="0"/>
          <w:numId w:val="352"/>
        </w:numPr>
        <w:jc w:val="both"/>
        <w:rPr>
          <w:rFonts w:eastAsia="Times New Roman" w:cs="Times New Roman"/>
          <w:noProof/>
        </w:rPr>
      </w:pPr>
      <w:r>
        <w:rPr>
          <w:noProof/>
        </w:rPr>
        <w:t>Az ICO közvetlen finanszírozása: ez a költségvetési sor közvetlen köl</w:t>
      </w:r>
      <w:r>
        <w:rPr>
          <w:noProof/>
        </w:rPr>
        <w:t>csönöket nyújt magánvállalatoknak (például közepes piaci tőkeértékű vállalatoknak és nagyvállalatoknak) és állami vállalatoknak a gazdasági tevékenységükkel kapcsolatos projektek finanszírozására. A kölcsönöket közvetlenül az ICO nyújtja, és az egyes proje</w:t>
      </w:r>
      <w:r>
        <w:rPr>
          <w:noProof/>
        </w:rPr>
        <w:t>kteket egy harmadik fél magánbefektető(k) társfinanszírozza. Az ICO által biztosított források a beruházáshoz nyújtott támogatás teljes összegének legfeljebb 70%-át tehetik ki. A magánbefektetők a beruházási támogatás teljes összegének legalább 30%-át fede</w:t>
      </w:r>
      <w:r>
        <w:rPr>
          <w:noProof/>
        </w:rPr>
        <w:t xml:space="preserve">zik. </w:t>
      </w:r>
    </w:p>
    <w:p w14:paraId="36D18B4F" w14:textId="77777777" w:rsidR="003E1D81" w:rsidRDefault="00EB481C">
      <w:pPr>
        <w:pStyle w:val="P68B1DB1-ListParagraph7"/>
        <w:numPr>
          <w:ilvl w:val="0"/>
          <w:numId w:val="352"/>
        </w:numPr>
        <w:jc w:val="both"/>
        <w:rPr>
          <w:rFonts w:eastAsia="Times New Roman" w:cs="Times New Roman"/>
          <w:noProof/>
        </w:rPr>
      </w:pPr>
      <w:r>
        <w:rPr>
          <w:noProof/>
        </w:rPr>
        <w:t>Vállalatikötvény-vásárlások: e sor alapján az ICO a szervezett másodlagos piacokon (például az alternatív fix hozamú piacon (MARF) vagy a Pénzügyi Eszközök Közvetítőinek Szövetsége (AIAF)) által kibocsátott közép- és hosszú lejáratú, előresorolt kama</w:t>
      </w:r>
      <w:r>
        <w:rPr>
          <w:noProof/>
        </w:rPr>
        <w:t xml:space="preserve">tozású értékpapírokat vásárol. Az értékpapíroknak az értékpapírt kibocsátó társaság konkrét befektetési projektjéhez kell kapcsolódniuk. </w:t>
      </w:r>
    </w:p>
    <w:p w14:paraId="1FDA1A43" w14:textId="3E6AFF88" w:rsidR="003E1D81" w:rsidRDefault="00EB481C">
      <w:pPr>
        <w:pStyle w:val="P68B1DB1-ListParagraph7"/>
        <w:numPr>
          <w:ilvl w:val="0"/>
          <w:numId w:val="352"/>
        </w:numPr>
        <w:jc w:val="both"/>
        <w:rPr>
          <w:rFonts w:eastAsia="Times New Roman" w:cs="Times New Roman"/>
          <w:noProof/>
        </w:rPr>
      </w:pPr>
      <w:r>
        <w:rPr>
          <w:noProof/>
        </w:rPr>
        <w:t>Sajáttőke- és kvázisajáttőke-befektetések: ez a sor magában foglalja a közvetlen tőkebefektetések nyújtását a tengelye</w:t>
      </w:r>
      <w:r>
        <w:rPr>
          <w:noProof/>
        </w:rPr>
        <w:t xml:space="preserve">n keresztül (az ICO kockázatitőke-/magántőke-kezelője) és/vagy pénzeszközöknek a vállalatokban (induló innovatív vállalkozások, kkv-k, közepes piaci tőkeértékű vállalatok és nagyvállalatok) tőkebefektetési műveleteket végző magán pénzügyi közvetítők által </w:t>
      </w:r>
      <w:r>
        <w:rPr>
          <w:noProof/>
        </w:rPr>
        <w:t>kezelt tőkealapokba vagy egyéb befektetési eszközökbe történő átutalásából. A költségvetési sor maximális részesedése nem haladhatja meg a befektetésieszköz-alapok 49%-át. A zöld vonal tőkebefektetései nem eredményezhetik azt, hogy a köztulajdonban lévő sa</w:t>
      </w:r>
      <w:r>
        <w:rPr>
          <w:noProof/>
        </w:rPr>
        <w:t>ját tőke részesedése a végső kedvezményezettben meghaladja a teljes saját tőke 49%-át.</w:t>
      </w:r>
    </w:p>
    <w:p w14:paraId="55E4C3C3" w14:textId="21F94008" w:rsidR="003E1D81" w:rsidRDefault="00EB481C">
      <w:pPr>
        <w:pStyle w:val="P68B1DB1-Normal4"/>
        <w:spacing w:line="240" w:lineRule="auto"/>
        <w:jc w:val="both"/>
        <w:rPr>
          <w:rFonts w:cs="Times New Roman"/>
          <w:noProof/>
        </w:rPr>
      </w:pPr>
      <w:r>
        <w:rPr>
          <w:noProof/>
        </w:rPr>
        <w:t>A Békekeretbe történő beruházás végrehajtása érdekében Spanyolország és az ICO végrehajtási megállapodást ír alá, amely a következőket tartalmazza:</w:t>
      </w:r>
    </w:p>
    <w:p w14:paraId="53A5EF28" w14:textId="725F3D04" w:rsidR="003E1D81" w:rsidRDefault="00EB481C">
      <w:pPr>
        <w:pStyle w:val="P68B1DB1-LegalNumPar29"/>
        <w:numPr>
          <w:ilvl w:val="0"/>
          <w:numId w:val="773"/>
        </w:numPr>
        <w:jc w:val="both"/>
        <w:rPr>
          <w:rFonts w:eastAsia="Times New Roman" w:cs="Times New Roman"/>
          <w:noProof/>
        </w:rPr>
      </w:pPr>
      <w:bookmarkStart w:id="31" w:name="_Hlk145601400"/>
      <w:r>
        <w:rPr>
          <w:noProof/>
        </w:rPr>
        <w:t>Az eszköz döntéshozat</w:t>
      </w:r>
      <w:r>
        <w:rPr>
          <w:noProof/>
        </w:rPr>
        <w:t>ali folyamatának leírása: A Békekeret végleges beruházási döntését beruházási bizottság vagy más, ezzel egyenértékű irányító testület hozza meg, és azt a kormánytól független tagok szavazatainak többségével kell jóváhagyni. Közvetített befektetések esetébe</w:t>
      </w:r>
      <w:r>
        <w:rPr>
          <w:noProof/>
        </w:rPr>
        <w:t>n a végső befektetési döntést közvetítőknek kell meghozniuk.</w:t>
      </w:r>
    </w:p>
    <w:bookmarkEnd w:id="31"/>
    <w:p w14:paraId="1FD4C11A" w14:textId="77777777" w:rsidR="003E1D81" w:rsidRDefault="00EB481C">
      <w:pPr>
        <w:pStyle w:val="P68B1DB1-LegalNumPar29"/>
        <w:numPr>
          <w:ilvl w:val="0"/>
          <w:numId w:val="773"/>
        </w:numPr>
        <w:jc w:val="both"/>
        <w:rPr>
          <w:rFonts w:cs="Times New Roman"/>
          <w:noProof/>
        </w:rPr>
      </w:pPr>
      <w:r>
        <w:rPr>
          <w:noProof/>
        </w:rPr>
        <w:t>A kapcsolódó befektetési politika fő követelményei,</w:t>
      </w:r>
      <w:r>
        <w:rPr>
          <w:b/>
          <w:noProof/>
        </w:rPr>
        <w:t xml:space="preserve"> </w:t>
      </w:r>
      <w:r>
        <w:rPr>
          <w:noProof/>
        </w:rPr>
        <w:t>amelyek a következőket foglalják magukban:</w:t>
      </w:r>
    </w:p>
    <w:p w14:paraId="4000C7AE" w14:textId="245DDE76" w:rsidR="003E1D81" w:rsidRDefault="00EB481C">
      <w:pPr>
        <w:pStyle w:val="P68B1DB1-LegalNumPar230"/>
        <w:numPr>
          <w:ilvl w:val="0"/>
          <w:numId w:val="774"/>
        </w:numPr>
        <w:jc w:val="both"/>
        <w:rPr>
          <w:rFonts w:cs="Times New Roman"/>
          <w:noProof/>
        </w:rPr>
      </w:pPr>
      <w:r>
        <w:rPr>
          <w:noProof/>
        </w:rPr>
        <w:t>A pénzügyi termék(ek) és a támogatható végső kedvezményezettek leírása az intézkedés leírásával össz</w:t>
      </w:r>
      <w:r>
        <w:rPr>
          <w:noProof/>
        </w:rPr>
        <w:t xml:space="preserve">hangban.   </w:t>
      </w:r>
    </w:p>
    <w:p w14:paraId="651DD390" w14:textId="77777777" w:rsidR="003E1D81" w:rsidRDefault="00EB481C">
      <w:pPr>
        <w:pStyle w:val="P68B1DB1-LegalNumPar230"/>
        <w:numPr>
          <w:ilvl w:val="0"/>
          <w:numId w:val="774"/>
        </w:numPr>
        <w:jc w:val="both"/>
        <w:rPr>
          <w:rFonts w:cs="Times New Roman"/>
          <w:noProof/>
        </w:rPr>
      </w:pPr>
      <w:r>
        <w:rPr>
          <w:noProof/>
        </w:rPr>
        <w:t>Az a követelmény, hogy minden támogatott beruházás gazdaságilag életképes legyen</w:t>
      </w:r>
      <w:r>
        <w:rPr>
          <w:b/>
          <w:noProof/>
        </w:rPr>
        <w:t>.</w:t>
      </w:r>
    </w:p>
    <w:p w14:paraId="0AF6A743" w14:textId="77777777" w:rsidR="003E1D81" w:rsidRDefault="00EB481C">
      <w:pPr>
        <w:pStyle w:val="P68B1DB1-LegalNumPar230"/>
        <w:numPr>
          <w:ilvl w:val="0"/>
          <w:numId w:val="774"/>
        </w:numPr>
        <w:jc w:val="both"/>
        <w:rPr>
          <w:rFonts w:cs="Times New Roman"/>
          <w:noProof/>
        </w:rPr>
      </w:pPr>
      <w:r>
        <w:rPr>
          <w:noProof/>
        </w:rPr>
        <w:t>A kinnlevő hitelek refinanszírozásának tilalma.</w:t>
      </w:r>
    </w:p>
    <w:p w14:paraId="444A2BA1" w14:textId="3CF710F2" w:rsidR="003E1D81" w:rsidRDefault="00EB481C">
      <w:pPr>
        <w:pStyle w:val="P68B1DB1-LegalNumPar230"/>
        <w:numPr>
          <w:ilvl w:val="0"/>
          <w:numId w:val="774"/>
        </w:numPr>
        <w:jc w:val="both"/>
        <w:rPr>
          <w:rFonts w:cs="Times New Roman"/>
          <w:noProof/>
        </w:rPr>
      </w:pPr>
      <w:r>
        <w:rPr>
          <w:noProof/>
        </w:rPr>
        <w:t>A jelentős károkozás elkerülését célzó elvnek való megfelelés követelménye a DNSH technikai iránymutatásban (2021/</w:t>
      </w:r>
      <w:r>
        <w:rPr>
          <w:noProof/>
        </w:rPr>
        <w:t xml:space="preserve">C58/01) meghatározottak szerint, különösen: </w:t>
      </w:r>
    </w:p>
    <w:p w14:paraId="6C78A40A" w14:textId="1A390A71" w:rsidR="003E1D81" w:rsidRDefault="00EB481C">
      <w:pPr>
        <w:pStyle w:val="ListParagraph"/>
        <w:numPr>
          <w:ilvl w:val="0"/>
          <w:numId w:val="775"/>
        </w:numPr>
        <w:spacing w:line="240" w:lineRule="auto"/>
        <w:jc w:val="both"/>
        <w:rPr>
          <w:rFonts w:ascii="Times New Roman" w:hAnsi="Times New Roman" w:cs="Times New Roman"/>
          <w:noProof/>
          <w:sz w:val="24"/>
        </w:rPr>
      </w:pPr>
      <w:r>
        <w:rPr>
          <w:rFonts w:ascii="Times New Roman" w:hAnsi="Times New Roman"/>
          <w:noProof/>
          <w:sz w:val="24"/>
        </w:rPr>
        <w:t>Kölcsönök, projektkötvények vagy azokkal egyenértékű eszközök esetében: a befektetési politika kizárja a tevékenységek és eszközök alábbi listáját a támogathatóság köréből: i. a fosszilis tüzelőanyagokhoz kapcso</w:t>
      </w:r>
      <w:r>
        <w:rPr>
          <w:rFonts w:ascii="Times New Roman" w:hAnsi="Times New Roman"/>
          <w:noProof/>
          <w:sz w:val="24"/>
        </w:rPr>
        <w:t>lódó tevékenységek és eszközök, beleértve a továbbfelhasználást is, ii. az uniós kibocsátáskereskedelmi rendszer (ETS) keretében</w:t>
      </w:r>
      <w:r>
        <w:rPr>
          <w:rStyle w:val="FootnoteReference"/>
          <w:rFonts w:ascii="Times New Roman" w:hAnsi="Times New Roman" w:cs="Times New Roman"/>
          <w:noProof/>
          <w:sz w:val="24"/>
        </w:rPr>
        <w:footnoteReference w:id="108"/>
      </w:r>
      <w:r>
        <w:rPr>
          <w:rFonts w:ascii="Times New Roman" w:hAnsi="Times New Roman"/>
          <w:noProof/>
          <w:sz w:val="24"/>
        </w:rPr>
        <w:t>végzett tevékenységek és eszközök, amelyek a vonatkozó referenciaértékeknél nem alacsonyabb várható üvegházhatásúgáz-kibocsátás</w:t>
      </w:r>
      <w:r>
        <w:rPr>
          <w:rFonts w:ascii="Times New Roman" w:hAnsi="Times New Roman"/>
          <w:noProof/>
          <w:sz w:val="24"/>
        </w:rPr>
        <w:t>t érnek el; iii. hulladéklerakókkal, hulladékégetőkkel és mechanikai-biológiai szennyvíztisztító telepekkel kapcsolatos</w:t>
      </w:r>
      <w:r>
        <w:rPr>
          <w:rStyle w:val="FootnoteReference"/>
          <w:rFonts w:ascii="Times New Roman" w:hAnsi="Times New Roman" w:cs="Times New Roman"/>
          <w:noProof/>
          <w:sz w:val="24"/>
        </w:rPr>
        <w:footnoteReference w:id="109"/>
      </w:r>
      <w:r>
        <w:rPr>
          <w:rFonts w:ascii="Times New Roman" w:hAnsi="Times New Roman"/>
          <w:noProof/>
          <w:sz w:val="24"/>
        </w:rPr>
        <w:t>tevékenységek</w:t>
      </w:r>
      <w:r>
        <w:rPr>
          <w:rStyle w:val="FootnoteReference"/>
          <w:rFonts w:ascii="Times New Roman" w:hAnsi="Times New Roman" w:cs="Times New Roman"/>
          <w:noProof/>
          <w:sz w:val="24"/>
        </w:rPr>
        <w:footnoteReference w:id="110"/>
      </w:r>
      <w:r>
        <w:rPr>
          <w:rFonts w:ascii="Times New Roman" w:hAnsi="Times New Roman"/>
          <w:noProof/>
          <w:sz w:val="24"/>
        </w:rPr>
        <w:t xml:space="preserve"> és eszközök</w:t>
      </w:r>
      <w:r>
        <w:rPr>
          <w:rStyle w:val="FootnoteReference"/>
          <w:rFonts w:ascii="Times New Roman" w:hAnsi="Times New Roman" w:cs="Times New Roman"/>
          <w:noProof/>
          <w:sz w:val="24"/>
        </w:rPr>
        <w:footnoteReference w:id="111"/>
      </w:r>
      <w:r>
        <w:rPr>
          <w:rFonts w:ascii="Times New Roman" w:hAnsi="Times New Roman"/>
          <w:noProof/>
          <w:sz w:val="24"/>
        </w:rPr>
        <w:t xml:space="preserve">. </w:t>
      </w:r>
    </w:p>
    <w:p w14:paraId="210FD2C8" w14:textId="049D1AE6" w:rsidR="003E1D81" w:rsidRDefault="00EB481C">
      <w:pPr>
        <w:pStyle w:val="ListParagraph"/>
        <w:numPr>
          <w:ilvl w:val="0"/>
          <w:numId w:val="775"/>
        </w:numPr>
        <w:jc w:val="both"/>
        <w:rPr>
          <w:rFonts w:ascii="Times New Roman" w:hAnsi="Times New Roman" w:cs="Times New Roman"/>
          <w:noProof/>
          <w:sz w:val="24"/>
        </w:rPr>
      </w:pPr>
      <w:r>
        <w:rPr>
          <w:rFonts w:ascii="Times New Roman" w:hAnsi="Times New Roman"/>
          <w:noProof/>
          <w:sz w:val="24"/>
        </w:rPr>
        <w:t>Saját tőke, kvázi-sajáttőke, vállalati kötvények vagy ezekkel egyenértékű eszközök esetében: a befektetési</w:t>
      </w:r>
      <w:r>
        <w:rPr>
          <w:rFonts w:ascii="Times New Roman" w:hAnsi="Times New Roman"/>
          <w:noProof/>
          <w:sz w:val="24"/>
        </w:rPr>
        <w:t xml:space="preserve"> politikának elő kell írnia a vállalkozások számára, hogy a 2013/34/EU irányelv 19a. cikke (2) bekezdése a) pontjának iii. alpontjában foglalt fogalommeghatározással összhangban zöld átállási terveket fogadjanak el,</w:t>
      </w:r>
      <w:r>
        <w:rPr>
          <w:rStyle w:val="FootnoteReference"/>
          <w:rFonts w:ascii="Times New Roman" w:hAnsi="Times New Roman" w:cs="Times New Roman"/>
          <w:noProof/>
          <w:sz w:val="24"/>
        </w:rPr>
        <w:footnoteReference w:id="112"/>
      </w:r>
      <w:r>
        <w:rPr>
          <w:rFonts w:ascii="Times New Roman" w:hAnsi="Times New Roman"/>
          <w:noProof/>
          <w:sz w:val="24"/>
        </w:rPr>
        <w:t xml:space="preserve"> amennyiben az előző pénzügyi év közvetl</w:t>
      </w:r>
      <w:r>
        <w:rPr>
          <w:rFonts w:ascii="Times New Roman" w:hAnsi="Times New Roman"/>
          <w:noProof/>
          <w:sz w:val="24"/>
        </w:rPr>
        <w:t>en bevételeinek több mint 50%-a a tevékenységek és eszközök alábbi listájából származik: i. a fosszilis tüzelőanyagokhoz kapcsolódó tevékenységek és eszközök, beleértve a továbbfelhasználást is, ii. az uniós kibocsátáskereskedelmi rendszer (ETS) keretében</w:t>
      </w:r>
      <w:r>
        <w:rPr>
          <w:rStyle w:val="FootnoteReference"/>
          <w:rFonts w:ascii="Times New Roman" w:hAnsi="Times New Roman" w:cs="Times New Roman"/>
          <w:noProof/>
          <w:sz w:val="24"/>
        </w:rPr>
        <w:footnoteReference w:id="113"/>
      </w:r>
      <w:r>
        <w:rPr>
          <w:rFonts w:ascii="Times New Roman" w:hAnsi="Times New Roman"/>
          <w:noProof/>
          <w:sz w:val="24"/>
        </w:rPr>
        <w:t>végzett tevékenységek és eszközök, amelyek a vonatkozó referenciaértékeknél nem alacsonyabb várható üvegházhatásúgáz-kibocsátást érnek el; iii. hulladéklerakókkal, hulladékégetőkkel és mechanikai-biológiai szennyvíztisztító telepekkel kapcsolatos</w:t>
      </w:r>
      <w:r>
        <w:rPr>
          <w:rStyle w:val="FootnoteReference"/>
          <w:rFonts w:ascii="Times New Roman" w:hAnsi="Times New Roman" w:cs="Times New Roman"/>
          <w:noProof/>
          <w:sz w:val="24"/>
        </w:rPr>
        <w:footnoteReference w:id="114"/>
      </w:r>
      <w:r>
        <w:rPr>
          <w:rFonts w:ascii="Times New Roman" w:hAnsi="Times New Roman"/>
          <w:noProof/>
          <w:sz w:val="24"/>
        </w:rPr>
        <w:t>tevékenys</w:t>
      </w:r>
      <w:r>
        <w:rPr>
          <w:rFonts w:ascii="Times New Roman" w:hAnsi="Times New Roman"/>
          <w:noProof/>
          <w:sz w:val="24"/>
        </w:rPr>
        <w:t>égek</w:t>
      </w:r>
      <w:r>
        <w:rPr>
          <w:rStyle w:val="FootnoteReference"/>
          <w:rFonts w:ascii="Times New Roman" w:hAnsi="Times New Roman" w:cs="Times New Roman"/>
          <w:noProof/>
          <w:sz w:val="24"/>
        </w:rPr>
        <w:footnoteReference w:id="115"/>
      </w:r>
      <w:r>
        <w:rPr>
          <w:rFonts w:ascii="Times New Roman" w:hAnsi="Times New Roman"/>
          <w:noProof/>
          <w:sz w:val="24"/>
        </w:rPr>
        <w:t xml:space="preserve"> és eszközök</w:t>
      </w:r>
      <w:r>
        <w:rPr>
          <w:rStyle w:val="FootnoteReference"/>
          <w:rFonts w:ascii="Times New Roman" w:hAnsi="Times New Roman" w:cs="Times New Roman"/>
          <w:noProof/>
          <w:sz w:val="24"/>
        </w:rPr>
        <w:footnoteReference w:id="116"/>
      </w:r>
      <w:r>
        <w:rPr>
          <w:rFonts w:ascii="Times New Roman" w:hAnsi="Times New Roman"/>
          <w:noProof/>
          <w:sz w:val="24"/>
        </w:rPr>
        <w:t xml:space="preserve">.  </w:t>
      </w:r>
    </w:p>
    <w:p w14:paraId="173B651D" w14:textId="77777777" w:rsidR="003E1D81" w:rsidRDefault="00EB481C">
      <w:pPr>
        <w:pStyle w:val="P68B1DB1-ListParagraph7"/>
        <w:numPr>
          <w:ilvl w:val="0"/>
          <w:numId w:val="775"/>
        </w:numPr>
        <w:jc w:val="both"/>
        <w:rPr>
          <w:rFonts w:cs="Times New Roman"/>
          <w:noProof/>
        </w:rPr>
      </w:pPr>
      <w:r>
        <w:rPr>
          <w:noProof/>
        </w:rPr>
        <w:t>A beruházási politikának továbbá elő kell írnia, hogy az eszköz végső kedvezményezettjei megfeleljenek a vonatkozó uniós és nemzeti környezetvédelmi jogszabályoknak.</w:t>
      </w:r>
    </w:p>
    <w:p w14:paraId="2A73A449" w14:textId="009DF5DE" w:rsidR="003E1D81" w:rsidRDefault="00EB481C">
      <w:pPr>
        <w:pStyle w:val="P68B1DB1-ListParagraph7"/>
        <w:numPr>
          <w:ilvl w:val="0"/>
          <w:numId w:val="774"/>
        </w:numPr>
        <w:spacing w:line="240" w:lineRule="auto"/>
        <w:jc w:val="both"/>
        <w:rPr>
          <w:rFonts w:cs="Times New Roman"/>
          <w:noProof/>
        </w:rPr>
      </w:pPr>
      <w:r>
        <w:rPr>
          <w:noProof/>
        </w:rPr>
        <w:t xml:space="preserve">Az a követelmény, hogy a hitelezési eszköz végső kedvezményezettjei </w:t>
      </w:r>
      <w:r>
        <w:rPr>
          <w:noProof/>
        </w:rPr>
        <w:t>nem részesülhetnek támogatásban más uniós eszközökből ugyanazon költségek fedezésére.</w:t>
      </w:r>
    </w:p>
    <w:p w14:paraId="73052689" w14:textId="7E01235C" w:rsidR="003E1D81" w:rsidRDefault="00EB481C">
      <w:pPr>
        <w:pStyle w:val="P68B1DB1-LegalNumPar29"/>
        <w:numPr>
          <w:ilvl w:val="0"/>
          <w:numId w:val="773"/>
        </w:numPr>
        <w:jc w:val="both"/>
        <w:rPr>
          <w:rFonts w:cs="Times New Roman"/>
          <w:noProof/>
        </w:rPr>
      </w:pPr>
      <w:r>
        <w:rPr>
          <w:noProof/>
        </w:rPr>
        <w:t xml:space="preserve">A végrehajtási megállapodás hatálya alá tartozó összeg, a végrehajtó partner díjstruktúrája, valamint az eszköz beruházási politikája szerinti visszaáramlások újbóli </w:t>
      </w:r>
      <w:r>
        <w:rPr>
          <w:noProof/>
        </w:rPr>
        <w:t>befektetésére vonatkozó követelmény, kivéve, ha azokat a Helyreállítási és Rezilienciaépítési Eszköz hiteltörlesztésének teljesítésére használják fel.</w:t>
      </w:r>
    </w:p>
    <w:p w14:paraId="1C13B238" w14:textId="77777777" w:rsidR="003E1D81" w:rsidRDefault="00EB481C">
      <w:pPr>
        <w:pStyle w:val="P68B1DB1-ListParagraph7"/>
        <w:numPr>
          <w:ilvl w:val="0"/>
          <w:numId w:val="773"/>
        </w:numPr>
        <w:spacing w:line="240" w:lineRule="auto"/>
        <w:jc w:val="both"/>
        <w:rPr>
          <w:rFonts w:cs="Times New Roman"/>
          <w:noProof/>
        </w:rPr>
      </w:pPr>
      <w:r>
        <w:rPr>
          <w:noProof/>
        </w:rPr>
        <w:t>Nyomonkövetési, ellenőrzési és ellenőrzési követelmények, beleértve a következőket:</w:t>
      </w:r>
    </w:p>
    <w:p w14:paraId="3AA8D0CE" w14:textId="0CB66D85" w:rsidR="003E1D81" w:rsidRDefault="00EB481C">
      <w:pPr>
        <w:pStyle w:val="P68B1DB1-ListParagraph7"/>
        <w:numPr>
          <w:ilvl w:val="0"/>
          <w:numId w:val="776"/>
        </w:numPr>
        <w:spacing w:line="240" w:lineRule="auto"/>
        <w:jc w:val="both"/>
        <w:rPr>
          <w:rFonts w:cs="Times New Roman"/>
          <w:noProof/>
        </w:rPr>
      </w:pPr>
      <w:r>
        <w:rPr>
          <w:noProof/>
        </w:rPr>
        <w:t xml:space="preserve">A végrehajtó partner </w:t>
      </w:r>
      <w:r>
        <w:rPr>
          <w:noProof/>
        </w:rPr>
        <w:t>által a mozgósított beruházásról való jelentéstételre szolgáló nyomonkövetési rendszer leírása.</w:t>
      </w:r>
    </w:p>
    <w:p w14:paraId="795F4D18" w14:textId="4D944CC6" w:rsidR="003E1D81" w:rsidRDefault="00EB481C">
      <w:pPr>
        <w:pStyle w:val="P68B1DB1-ListParagraph7"/>
        <w:numPr>
          <w:ilvl w:val="0"/>
          <w:numId w:val="776"/>
        </w:numPr>
        <w:spacing w:line="240" w:lineRule="auto"/>
        <w:jc w:val="both"/>
        <w:rPr>
          <w:rFonts w:cs="Times New Roman"/>
          <w:noProof/>
        </w:rPr>
      </w:pPr>
      <w:r>
        <w:rPr>
          <w:noProof/>
        </w:rPr>
        <w:t xml:space="preserve">A végrehajtó partner azon eljárásainak leírása, amelyek biztosítják a csalás, a korrupció és az összeférhetetlenség megelőzését, feltárását és korrekcióját. </w:t>
      </w:r>
    </w:p>
    <w:p w14:paraId="581D7EE3" w14:textId="4D523061" w:rsidR="003E1D81" w:rsidRDefault="00EB481C">
      <w:pPr>
        <w:pStyle w:val="P68B1DB1-ListParagraph7"/>
        <w:numPr>
          <w:ilvl w:val="0"/>
          <w:numId w:val="776"/>
        </w:numPr>
        <w:spacing w:line="240" w:lineRule="auto"/>
        <w:jc w:val="both"/>
        <w:rPr>
          <w:rFonts w:cs="Times New Roman"/>
          <w:noProof/>
        </w:rPr>
      </w:pPr>
      <w:bookmarkStart w:id="32" w:name="_Hlk145681811"/>
      <w:r>
        <w:rPr>
          <w:noProof/>
        </w:rPr>
        <w:t>Mi</w:t>
      </w:r>
      <w:r>
        <w:rPr>
          <w:noProof/>
        </w:rPr>
        <w:t>nden művelet támogathatóságának a végrehajtási megállapodásban meghatározott követelményekkel összhangban történő ellenőrzésére vonatkozó kötelezettség, többek között a 10 000 000 EUR-t el nem érő műveletekre vonatkozó saját nyilatkozat használatával, miel</w:t>
      </w:r>
      <w:r>
        <w:rPr>
          <w:noProof/>
        </w:rPr>
        <w:t>őtt kötelezettséget vállalnának egy művelet finanszírozására.</w:t>
      </w:r>
    </w:p>
    <w:bookmarkEnd w:id="32"/>
    <w:p w14:paraId="7E99BD54" w14:textId="4CB77C30" w:rsidR="003E1D81" w:rsidRDefault="00EB481C">
      <w:pPr>
        <w:pStyle w:val="ListParagraph"/>
        <w:numPr>
          <w:ilvl w:val="0"/>
          <w:numId w:val="776"/>
        </w:numPr>
        <w:spacing w:line="240" w:lineRule="auto"/>
        <w:jc w:val="both"/>
        <w:rPr>
          <w:rFonts w:ascii="Times New Roman" w:hAnsi="Times New Roman" w:cs="Times New Roman"/>
          <w:noProof/>
          <w:sz w:val="24"/>
        </w:rPr>
      </w:pPr>
      <w:r>
        <w:rPr>
          <w:rFonts w:ascii="Times New Roman" w:hAnsi="Times New Roman"/>
          <w:noProof/>
          <w:sz w:val="24"/>
        </w:rPr>
        <w:t>A kockázatalapú utólagos ellenőrzéseknek az ICO ellenőrzési tervével összhangban történő elvégzésére vonatkozó kötelezettség. Ezek az ellenőrzések azt vizsgálják, hogy i. a kontrollrendszerek ha</w:t>
      </w:r>
      <w:r>
        <w:rPr>
          <w:rFonts w:ascii="Times New Roman" w:hAnsi="Times New Roman"/>
          <w:noProof/>
          <w:sz w:val="24"/>
        </w:rPr>
        <w:t>tékonyak-e, beleértve a csalás, a korrupció és az összeférhetetlenség feltárását; a DNSH-elvnek, az állami támogatási szabályoknak és a digitális célkövetelményeknek való megfelelés; és iii. teljesül az a követelmény, amely szerint a közvetítőnek ellenőriz</w:t>
      </w:r>
      <w:r>
        <w:rPr>
          <w:rFonts w:ascii="Times New Roman" w:hAnsi="Times New Roman"/>
          <w:noProof/>
          <w:sz w:val="24"/>
        </w:rPr>
        <w:t>nie kell, hogy a végső kedvezményezett felelősségteljes nyilatkozatot nyújt-e be annak ellenőrzésére, hogy ugyanazt a költséget egy másik uniós eszköz fedezi-e.  Az ellenőrzéseknek azt is ellenőrizniük kell, hogy az ügyletek jogszerűek-e, valamint hogy tel</w:t>
      </w:r>
      <w:r>
        <w:rPr>
          <w:rFonts w:ascii="Times New Roman" w:hAnsi="Times New Roman"/>
          <w:noProof/>
          <w:sz w:val="24"/>
        </w:rPr>
        <w:t>jesülnek-e az alkalmazandó végrehajtási megállapodásban és finanszírozási megállapodásokban foglalt feltételek,</w:t>
      </w:r>
      <w:r>
        <w:rPr>
          <w:noProof/>
        </w:rPr>
        <w:t xml:space="preserve"> többek között a 10 000 000 EUR-t el nem érő műveletekre vonatkozó önbevallások használata révén, mielőtt kötelezettséget vállalnának egy művelet</w:t>
      </w:r>
      <w:r>
        <w:rPr>
          <w:noProof/>
        </w:rPr>
        <w:t xml:space="preserve"> finanszírozására. </w:t>
      </w:r>
    </w:p>
    <w:p w14:paraId="46EDF36E" w14:textId="7F08766F" w:rsidR="003E1D81" w:rsidRDefault="00EB481C">
      <w:pPr>
        <w:pStyle w:val="ListParagraph"/>
        <w:numPr>
          <w:ilvl w:val="0"/>
          <w:numId w:val="773"/>
        </w:numPr>
        <w:spacing w:line="240" w:lineRule="auto"/>
        <w:jc w:val="both"/>
        <w:rPr>
          <w:rFonts w:ascii="Times New Roman" w:hAnsi="Times New Roman" w:cs="Times New Roman"/>
          <w:noProof/>
          <w:sz w:val="24"/>
        </w:rPr>
      </w:pPr>
      <w:r>
        <w:rPr>
          <w:rFonts w:ascii="Times New Roman" w:hAnsi="Times New Roman"/>
          <w:noProof/>
          <w:sz w:val="24"/>
        </w:rPr>
        <w:t>A végrehajtó partner által végrehajtott digitális beruházásokra vonatkozó követelmények: az eszközbe irányuló Helyreállítási és Rezilienciaépítési Eszközből legalább 150 000 000 EUR összegű beruházásnak hozzá kell járulnia a digitális c</w:t>
      </w:r>
      <w:r>
        <w:rPr>
          <w:rFonts w:ascii="Times New Roman" w:hAnsi="Times New Roman"/>
          <w:noProof/>
          <w:sz w:val="24"/>
        </w:rPr>
        <w:t>élkitűzésekhez a Helyreállítási és Rezilienciaépítési Eszközről szóló rendelet VII. mellékletével összhangban.</w:t>
      </w:r>
      <w:r>
        <w:rPr>
          <w:rStyle w:val="FootnoteReference"/>
          <w:rFonts w:ascii="Times New Roman" w:hAnsi="Times New Roman" w:cs="Times New Roman"/>
          <w:noProof/>
          <w:sz w:val="24"/>
        </w:rPr>
        <w:footnoteReference w:id="117"/>
      </w:r>
    </w:p>
    <w:p w14:paraId="73ED57F1" w14:textId="62856346" w:rsidR="003E1D81" w:rsidRDefault="00EB481C">
      <w:pPr>
        <w:pStyle w:val="P68B1DB1-ListParagraph7"/>
        <w:numPr>
          <w:ilvl w:val="0"/>
          <w:numId w:val="773"/>
        </w:numPr>
        <w:jc w:val="both"/>
        <w:rPr>
          <w:rFonts w:cs="Times New Roman"/>
          <w:noProof/>
        </w:rPr>
      </w:pPr>
      <w:r>
        <w:rPr>
          <w:noProof/>
        </w:rPr>
        <w:t>A pénzügyi közvetítők kiválasztására vonatkozó követelmények: Az ICO nyílt, átlátható és megkülönböztetésmentes módon választja ki a pénzügyi kö</w:t>
      </w:r>
      <w:r>
        <w:rPr>
          <w:noProof/>
        </w:rPr>
        <w:t xml:space="preserve">zvetítőket. A pénzügyi közvetítőket érintő összeférhetetlenség hiányát előzetesen ellenőrizni kell, és minden érintett pénzügyi szereplő esetében olyan informatikai rendszeren keresztül kell elvégezni, mint a Minerva. </w:t>
      </w:r>
    </w:p>
    <w:p w14:paraId="28D7ED99" w14:textId="30EF4715" w:rsidR="003E1D81" w:rsidRDefault="00EB481C">
      <w:pPr>
        <w:pStyle w:val="P68B1DB1-ListParagraph7"/>
        <w:numPr>
          <w:ilvl w:val="0"/>
          <w:numId w:val="773"/>
        </w:numPr>
        <w:spacing w:line="240" w:lineRule="auto"/>
        <w:jc w:val="both"/>
        <w:rPr>
          <w:rFonts w:cs="Times New Roman"/>
          <w:noProof/>
        </w:rPr>
      </w:pPr>
      <w:r>
        <w:rPr>
          <w:noProof/>
        </w:rPr>
        <w:t>Finanszírozási megállapodások aláírás</w:t>
      </w:r>
      <w:r>
        <w:rPr>
          <w:noProof/>
        </w:rPr>
        <w:t>ának kötelezettsége: Az ICO finanszírozási megállapodásokat ír alá a pénzügyi közvetítőkkel a végrehajtási megállapodás mellékleteként benyújtandó kulcsfontosságú követelményeknek megfelelően. A finanszírozási megállapodás fő követelményei magukban foglalj</w:t>
      </w:r>
      <w:r>
        <w:rPr>
          <w:noProof/>
        </w:rPr>
        <w:t xml:space="preserve">ák mindazokat a követelményeket, amelyek alapján a Békekeret működik, beleértve a következőket: </w:t>
      </w:r>
    </w:p>
    <w:p w14:paraId="7EC2D567" w14:textId="77777777" w:rsidR="003E1D81" w:rsidRDefault="00EB481C">
      <w:pPr>
        <w:pStyle w:val="P68B1DB1-Normal4"/>
        <w:numPr>
          <w:ilvl w:val="0"/>
          <w:numId w:val="744"/>
        </w:numPr>
        <w:spacing w:after="160" w:line="240" w:lineRule="auto"/>
        <w:jc w:val="both"/>
        <w:rPr>
          <w:rFonts w:cs="Times New Roman"/>
          <w:noProof/>
        </w:rPr>
      </w:pPr>
      <w:r>
        <w:rPr>
          <w:noProof/>
        </w:rPr>
        <w:t xml:space="preserve">A pénzügyi közvetítő azon kötelezettsége, hogy döntéseit </w:t>
      </w:r>
      <w:r>
        <w:rPr>
          <w:i/>
          <w:noProof/>
        </w:rPr>
        <w:t>értelemszerűen</w:t>
      </w:r>
      <w:r>
        <w:rPr>
          <w:noProof/>
        </w:rPr>
        <w:t xml:space="preserve"> a fent meghatározott döntéshozatali és befektetési politikai követelményeknek megfelelő</w:t>
      </w:r>
      <w:r>
        <w:rPr>
          <w:noProof/>
        </w:rPr>
        <w:t>en hozza meg, beleértve a DNSH-elv tiszteletben tartásával kapcsolatosakat is.</w:t>
      </w:r>
    </w:p>
    <w:p w14:paraId="1381D3EC" w14:textId="77777777" w:rsidR="003E1D81" w:rsidRDefault="00EB481C">
      <w:pPr>
        <w:pStyle w:val="P68B1DB1-Normal4"/>
        <w:numPr>
          <w:ilvl w:val="0"/>
          <w:numId w:val="744"/>
        </w:numPr>
        <w:spacing w:after="160" w:line="240" w:lineRule="auto"/>
        <w:jc w:val="both"/>
        <w:rPr>
          <w:rFonts w:cs="Times New Roman"/>
          <w:noProof/>
        </w:rPr>
      </w:pPr>
      <w:r>
        <w:rPr>
          <w:noProof/>
        </w:rPr>
        <w:t xml:space="preserve">A pénzügyi közvetítő által létrehozandó monitoring-, audit- és kontrollkeret leírása, amelyre </w:t>
      </w:r>
      <w:r>
        <w:rPr>
          <w:i/>
          <w:noProof/>
        </w:rPr>
        <w:t>értelemszerűen</w:t>
      </w:r>
      <w:r>
        <w:rPr>
          <w:noProof/>
        </w:rPr>
        <w:t xml:space="preserve"> a fent meghatározott valamennyi nyomonkövetési, ellenőrzési és kontr</w:t>
      </w:r>
      <w:r>
        <w:rPr>
          <w:noProof/>
        </w:rPr>
        <w:t xml:space="preserve">ollkövetelmény vonatkozik. </w:t>
      </w:r>
    </w:p>
    <w:p w14:paraId="3EFDD5CC" w14:textId="77777777" w:rsidR="003E1D81" w:rsidRDefault="00EB481C">
      <w:pPr>
        <w:pStyle w:val="P68B1DB1-Normal4"/>
        <w:spacing w:before="120" w:after="120" w:line="240" w:lineRule="auto"/>
        <w:jc w:val="both"/>
        <w:rPr>
          <w:rFonts w:eastAsia="Times New Roman" w:cs="Times New Roman"/>
          <w:noProof/>
        </w:rPr>
      </w:pPr>
      <w:r>
        <w:rPr>
          <w:noProof/>
        </w:rPr>
        <w:t>Az intézkedés végrehajtását 2026. augusztus 31-ig be kell fejezni.</w:t>
      </w:r>
    </w:p>
    <w:p w14:paraId="2AFFB725" w14:textId="77777777" w:rsidR="003E1D81" w:rsidRDefault="00EB481C">
      <w:pPr>
        <w:pStyle w:val="P68B1DB1-Normal6"/>
        <w:rPr>
          <w:rFonts w:cs="Times New Roman"/>
          <w:noProof/>
        </w:rPr>
      </w:pPr>
      <w:r>
        <w:rPr>
          <w:noProof/>
        </w:rPr>
        <w:t>Beruházás (C13.I7) – ICO Next Tech Alap</w:t>
      </w:r>
    </w:p>
    <w:p w14:paraId="358C72D6" w14:textId="323E53E4" w:rsidR="003E1D81" w:rsidRDefault="00EB481C">
      <w:pPr>
        <w:pStyle w:val="P68B1DB1-LegalNumPar230"/>
        <w:numPr>
          <w:ilvl w:val="1"/>
          <w:numId w:val="0"/>
        </w:numPr>
        <w:spacing w:line="240" w:lineRule="auto"/>
        <w:jc w:val="both"/>
        <w:rPr>
          <w:rFonts w:cs="Times New Roman"/>
          <w:noProof/>
        </w:rPr>
      </w:pPr>
      <w:bookmarkStart w:id="33" w:name="_Hlk140650645"/>
      <w:r>
        <w:rPr>
          <w:noProof/>
        </w:rPr>
        <w:t xml:space="preserve">Ez az intézkedés </w:t>
      </w:r>
      <w:bookmarkEnd w:id="33"/>
      <w:r>
        <w:rPr>
          <w:noProof/>
        </w:rPr>
        <w:t>egy eszközbe, az ICO Next Tech alapjába történő állami beruházásból áll, amelynek célja a magánberuházás</w:t>
      </w:r>
      <w:r>
        <w:rPr>
          <w:noProof/>
        </w:rPr>
        <w:t>ok ösztönzése és a finanszírozáshoz való hozzáférés javítása Spanyolországnak a digitális átálláshoz kapcsolódó stratégiai ágazataiban, valamint a tőkepiacok e területen történő fejlesztése. A hitelezési eszköz pénzügyi ösztönzőket biztosít más alapokkal v</w:t>
      </w:r>
      <w:r>
        <w:rPr>
          <w:noProof/>
        </w:rPr>
        <w:t>aló társberuházás révén, közvetlenül vagy a magánszektor, valamint a hasonló tevékenységeket folytató közszektorbeli intézmények közvetítői révén. A Helyreállítási és Rezilienciaépítési Eszköz beruházásai alapján az eszköz célja kezdetben legalább 4 000 00</w:t>
      </w:r>
      <w:r>
        <w:rPr>
          <w:noProof/>
        </w:rPr>
        <w:t xml:space="preserve">0 000 EUR összegű finanszírozás biztosítása. </w:t>
      </w:r>
    </w:p>
    <w:p w14:paraId="69A5E882" w14:textId="754DE619" w:rsidR="003E1D81" w:rsidRDefault="00EB481C">
      <w:pPr>
        <w:pStyle w:val="P68B1DB1-LegalNumPar230"/>
        <w:numPr>
          <w:ilvl w:val="1"/>
          <w:numId w:val="0"/>
        </w:numPr>
        <w:spacing w:line="240" w:lineRule="auto"/>
        <w:jc w:val="both"/>
        <w:rPr>
          <w:rFonts w:cs="Times New Roman"/>
          <w:noProof/>
        </w:rPr>
      </w:pPr>
      <w:r>
        <w:rPr>
          <w:noProof/>
        </w:rPr>
        <w:t>Az eszközt végrehajtó partnerként az Axis (az ICO kockázatitőke-/magántőke-kezelője) irányítja. A hitelezési eszköz a következő terméksorokat tartalmazza:</w:t>
      </w:r>
    </w:p>
    <w:p w14:paraId="15D3E958" w14:textId="3C30DF7B" w:rsidR="003E1D81" w:rsidRDefault="00EB481C">
      <w:pPr>
        <w:pStyle w:val="P68B1DB1-ListParagraph7"/>
        <w:numPr>
          <w:ilvl w:val="0"/>
          <w:numId w:val="352"/>
        </w:numPr>
        <w:jc w:val="both"/>
        <w:rPr>
          <w:rFonts w:eastAsia="Times New Roman" w:cs="Times New Roman"/>
          <w:noProof/>
        </w:rPr>
      </w:pPr>
      <w:r>
        <w:rPr>
          <w:noProof/>
        </w:rPr>
        <w:t>Közvetlen vezeték: ez a tétel az ICO kockázatitőke-/mag</w:t>
      </w:r>
      <w:r>
        <w:rPr>
          <w:noProof/>
        </w:rPr>
        <w:t>ántőke-kezelője, az AXIS-en keresztül közvetlen sajáttőke- vagy kvázisajáttőke-befektetéseket biztosít Spanyolországban bejegyzett társaságok számára, függetlenül azok méretétől és tőketulajdonától, amelyek új technológiai projektek megvalósítására vállaln</w:t>
      </w:r>
      <w:r>
        <w:rPr>
          <w:noProof/>
        </w:rPr>
        <w:t>ak kötelezettséget. Az Alap tőkebefektetései nem eredményezhetik azt, hogy a köztulajdonban lévő saját tőke részesedése a végső kedvezményezettben meghaladja a teljes saját tőke 49%-át.</w:t>
      </w:r>
    </w:p>
    <w:p w14:paraId="7DAB95B4" w14:textId="0342F73A" w:rsidR="003E1D81" w:rsidRDefault="00EB481C">
      <w:pPr>
        <w:pStyle w:val="P68B1DB1-ListParagraph7"/>
        <w:numPr>
          <w:ilvl w:val="0"/>
          <w:numId w:val="352"/>
        </w:numPr>
        <w:jc w:val="both"/>
        <w:rPr>
          <w:rFonts w:eastAsia="Times New Roman" w:cs="Times New Roman"/>
          <w:noProof/>
        </w:rPr>
      </w:pPr>
      <w:r>
        <w:rPr>
          <w:noProof/>
        </w:rPr>
        <w:t>Közvetett vonal: ez a tétel a pénzeszközöknek az Alap által megcélzott</w:t>
      </w:r>
      <w:r>
        <w:rPr>
          <w:noProof/>
        </w:rPr>
        <w:t xml:space="preserve"> technológiai területeken sajáttőke-befektetési műveleteket végző magán pénzügyi közvetítők – köztük kockázatitőke-alapok – által kezelt, meglévő befektetési eszközökre történő átruházásából áll. Az Alap maximális részvétele nem haladhatja meg a befektetés</w:t>
      </w:r>
      <w:r>
        <w:rPr>
          <w:noProof/>
        </w:rPr>
        <w:t>i eszköz alap 49%-át.</w:t>
      </w:r>
    </w:p>
    <w:p w14:paraId="3A9B1832" w14:textId="0262FC3D" w:rsidR="003E1D81" w:rsidRDefault="00EB481C">
      <w:pPr>
        <w:pStyle w:val="P68B1DB1-ListParagraph7"/>
        <w:numPr>
          <w:ilvl w:val="0"/>
          <w:numId w:val="352"/>
        </w:numPr>
        <w:jc w:val="both"/>
        <w:rPr>
          <w:rFonts w:cs="Times New Roman"/>
          <w:noProof/>
        </w:rPr>
      </w:pPr>
      <w:r>
        <w:rPr>
          <w:noProof/>
        </w:rPr>
        <w:t>Európai technológiai bajnokság kezdeményezés (ETCI): ez a tétel Spanyolország által legfeljebb 1 milliárd EUR összegű pénzeszközöket csoportosít át az ETCI-hez, az Európai Beruházási Alap (EBA) által kezelt alapok alapjához, amely a késői szakaszban lévő n</w:t>
      </w:r>
      <w:r>
        <w:rPr>
          <w:noProof/>
        </w:rPr>
        <w:t xml:space="preserve">övekedési tőkét juttat az ígéretes európai innovátorokhoz.  </w:t>
      </w:r>
    </w:p>
    <w:p w14:paraId="2B91A638" w14:textId="77777777" w:rsidR="003E1D81" w:rsidRDefault="00EB481C">
      <w:pPr>
        <w:pStyle w:val="P68B1DB1-Normal4"/>
        <w:spacing w:line="240" w:lineRule="auto"/>
        <w:jc w:val="both"/>
        <w:rPr>
          <w:rFonts w:cs="Times New Roman"/>
          <w:noProof/>
        </w:rPr>
      </w:pPr>
      <w:r>
        <w:rPr>
          <w:noProof/>
        </w:rPr>
        <w:t>A Békekeretbe történő beruházás végrehajtása érdekében Spanyolország és a tengely végrehajtási megállapodást ír alá, amely a következőket tartalmazza:</w:t>
      </w:r>
    </w:p>
    <w:p w14:paraId="16740221" w14:textId="728E4441" w:rsidR="003E1D81" w:rsidRDefault="00EB481C">
      <w:pPr>
        <w:pStyle w:val="P68B1DB1-ListParagraph7"/>
        <w:numPr>
          <w:ilvl w:val="0"/>
          <w:numId w:val="766"/>
        </w:numPr>
        <w:jc w:val="both"/>
        <w:rPr>
          <w:rFonts w:cs="Times New Roman"/>
          <w:noProof/>
        </w:rPr>
      </w:pPr>
      <w:r>
        <w:rPr>
          <w:noProof/>
        </w:rPr>
        <w:t>Az eszköz döntéshozatali folyamatának leírás</w:t>
      </w:r>
      <w:r>
        <w:rPr>
          <w:noProof/>
        </w:rPr>
        <w:t>a: A Békekeret végleges beruházási határozatát beruházási bizottság vagy más, ezzel egyenértékű irányító testület hozza meg, és azt a spanyol kormánytól független tagok szavazatainak többségével kell jóváhagyni. Közvetített befektetések esetében a végső be</w:t>
      </w:r>
      <w:r>
        <w:rPr>
          <w:noProof/>
        </w:rPr>
        <w:t>fektetési döntést közvetítőknek kell meghozniuk.</w:t>
      </w:r>
    </w:p>
    <w:p w14:paraId="0E765F69" w14:textId="77777777" w:rsidR="003E1D81" w:rsidRDefault="00EB481C">
      <w:pPr>
        <w:pStyle w:val="P68B1DB1-LegalNumPar29"/>
        <w:numPr>
          <w:ilvl w:val="0"/>
          <w:numId w:val="766"/>
        </w:numPr>
        <w:jc w:val="both"/>
        <w:rPr>
          <w:rFonts w:cs="Times New Roman"/>
          <w:noProof/>
        </w:rPr>
      </w:pPr>
      <w:r>
        <w:rPr>
          <w:noProof/>
        </w:rPr>
        <w:t>A kapcsolódó befektetési politika fő követelményei,</w:t>
      </w:r>
      <w:r>
        <w:rPr>
          <w:b/>
          <w:noProof/>
        </w:rPr>
        <w:t xml:space="preserve"> </w:t>
      </w:r>
      <w:r>
        <w:rPr>
          <w:noProof/>
        </w:rPr>
        <w:t>amelyek a következőket foglalják magukban:</w:t>
      </w:r>
    </w:p>
    <w:p w14:paraId="54A323D4" w14:textId="77777777" w:rsidR="003E1D81" w:rsidRDefault="00EB481C">
      <w:pPr>
        <w:pStyle w:val="P68B1DB1-LegalNumPar29"/>
        <w:numPr>
          <w:ilvl w:val="1"/>
          <w:numId w:val="780"/>
        </w:numPr>
        <w:jc w:val="both"/>
        <w:rPr>
          <w:rFonts w:cs="Times New Roman"/>
          <w:noProof/>
        </w:rPr>
      </w:pPr>
      <w:r>
        <w:rPr>
          <w:noProof/>
        </w:rPr>
        <w:t xml:space="preserve">A pénzügyi termék(ek) és a támogatható végső kedvezményezettek leírása az intézkedés leírásával összhangban.   </w:t>
      </w:r>
    </w:p>
    <w:p w14:paraId="11A25243" w14:textId="77777777" w:rsidR="003E1D81" w:rsidRDefault="00EB481C">
      <w:pPr>
        <w:pStyle w:val="P68B1DB1-LegalNumPar29"/>
        <w:numPr>
          <w:ilvl w:val="1"/>
          <w:numId w:val="780"/>
        </w:numPr>
        <w:jc w:val="both"/>
        <w:rPr>
          <w:rFonts w:cs="Times New Roman"/>
          <w:noProof/>
        </w:rPr>
      </w:pPr>
      <w:r>
        <w:rPr>
          <w:noProof/>
        </w:rPr>
        <w:t>Az a követelmény, hogy minden támogatott beruházás gazdaságilag életképes legyen.</w:t>
      </w:r>
    </w:p>
    <w:p w14:paraId="1B3A8A71" w14:textId="77777777" w:rsidR="003E1D81" w:rsidRDefault="00EB481C">
      <w:pPr>
        <w:pStyle w:val="P68B1DB1-LegalNumPar29"/>
        <w:numPr>
          <w:ilvl w:val="1"/>
          <w:numId w:val="780"/>
        </w:numPr>
        <w:jc w:val="both"/>
        <w:rPr>
          <w:rFonts w:cs="Times New Roman"/>
          <w:noProof/>
        </w:rPr>
      </w:pPr>
      <w:r>
        <w:rPr>
          <w:noProof/>
        </w:rPr>
        <w:t>A kinnlevő hitelek refinanszírozásának tilalma.</w:t>
      </w:r>
    </w:p>
    <w:p w14:paraId="5B86B0AC" w14:textId="784E47DB" w:rsidR="003E1D81" w:rsidRDefault="00EB481C">
      <w:pPr>
        <w:pStyle w:val="P68B1DB1-LegalNumPar29"/>
        <w:numPr>
          <w:ilvl w:val="1"/>
          <w:numId w:val="780"/>
        </w:numPr>
        <w:jc w:val="both"/>
        <w:rPr>
          <w:rFonts w:eastAsia="Times New Roman" w:cs="Times New Roman"/>
          <w:noProof/>
        </w:rPr>
      </w:pPr>
      <w:r>
        <w:rPr>
          <w:noProof/>
        </w:rPr>
        <w:t>A jelentős károkozás elkerülését célzó elvnek való megfelelés követelménye a DNSH technikai iránymutatásban (2021/C58/01) megh</w:t>
      </w:r>
      <w:r>
        <w:rPr>
          <w:noProof/>
        </w:rPr>
        <w:t xml:space="preserve">atározottak szerint, különösen: </w:t>
      </w:r>
    </w:p>
    <w:p w14:paraId="5934AFCB" w14:textId="6E278741" w:rsidR="003E1D81" w:rsidRDefault="00EB481C">
      <w:pPr>
        <w:pStyle w:val="LegalNumPar3"/>
        <w:numPr>
          <w:ilvl w:val="2"/>
          <w:numId w:val="766"/>
        </w:numPr>
        <w:spacing w:line="240" w:lineRule="auto"/>
        <w:jc w:val="both"/>
        <w:rPr>
          <w:rStyle w:val="normaltextrun"/>
          <w:rFonts w:ascii="Times New Roman" w:eastAsiaTheme="minorEastAsia" w:hAnsi="Times New Roman" w:cs="Times New Roman"/>
          <w:noProof/>
          <w:sz w:val="24"/>
        </w:rPr>
      </w:pPr>
      <w:bookmarkStart w:id="34" w:name="_Hlk145663647"/>
      <w:r>
        <w:rPr>
          <w:rFonts w:ascii="Times New Roman" w:hAnsi="Times New Roman"/>
          <w:noProof/>
          <w:sz w:val="24"/>
        </w:rPr>
        <w:t>Saját tőke, kvázi-sajáttőke, vállalati kötvények vagy ezekkel egyenértékű eszközök</w:t>
      </w:r>
      <w:r>
        <w:rPr>
          <w:rStyle w:val="normaltextrun"/>
          <w:rFonts w:ascii="Times New Roman" w:hAnsi="Times New Roman"/>
          <w:noProof/>
          <w:sz w:val="24"/>
        </w:rPr>
        <w:t>esetében: a befektetési politikának elő kell írnia a vállalkozások számára, hogy a 2013/34/EU irányelv 19a. cikke (2) bekezdése a) pontjának iii. alpontjában foglalt fogalommeghatározással összhangban zöld átállási terveket fogadjanak el,</w:t>
      </w:r>
      <w:r>
        <w:rPr>
          <w:rStyle w:val="FootnoteReference"/>
          <w:rFonts w:ascii="Times New Roman" w:eastAsiaTheme="minorEastAsia" w:hAnsi="Times New Roman" w:cs="Times New Roman"/>
          <w:noProof/>
          <w:sz w:val="24"/>
        </w:rPr>
        <w:footnoteReference w:id="118"/>
      </w:r>
      <w:r>
        <w:rPr>
          <w:rFonts w:ascii="Times New Roman" w:hAnsi="Times New Roman"/>
          <w:noProof/>
          <w:sz w:val="24"/>
        </w:rPr>
        <w:t xml:space="preserve"> amennyiben az el</w:t>
      </w:r>
      <w:r>
        <w:rPr>
          <w:rFonts w:ascii="Times New Roman" w:hAnsi="Times New Roman"/>
          <w:noProof/>
          <w:sz w:val="24"/>
        </w:rPr>
        <w:t>őző pénzügyi év közvetlen bevételeinek több mint 50%-a a tevékenységek és eszközök alábbi listájából származik: i. a fosszilis tüzelőanyagokhoz kapcsolódó tevékenységek és eszközök, beleértve a továbbfelhasználást is, ii. az uniós kibocsátáskereskedelmi re</w:t>
      </w:r>
      <w:r>
        <w:rPr>
          <w:rFonts w:ascii="Times New Roman" w:hAnsi="Times New Roman"/>
          <w:noProof/>
          <w:sz w:val="24"/>
        </w:rPr>
        <w:t>ndszer (ETS) keretében</w:t>
      </w:r>
      <w:r>
        <w:rPr>
          <w:rStyle w:val="FootnoteReference"/>
          <w:rFonts w:ascii="Times New Roman" w:eastAsiaTheme="minorEastAsia" w:hAnsi="Times New Roman" w:cs="Times New Roman"/>
          <w:noProof/>
          <w:sz w:val="24"/>
        </w:rPr>
        <w:footnoteReference w:id="119"/>
      </w:r>
      <w:r>
        <w:rPr>
          <w:rFonts w:ascii="Times New Roman" w:hAnsi="Times New Roman"/>
          <w:noProof/>
          <w:sz w:val="24"/>
        </w:rPr>
        <w:t>végzett tevékenységek és eszközök, amelyek a vonatkozó referenciaértékeknél nem alacsonyabb várható üvegházhatásúgáz-kibocsátást érnek el; iii.</w:t>
      </w:r>
      <w:r>
        <w:rPr>
          <w:rStyle w:val="normaltextrun"/>
          <w:rFonts w:ascii="Times New Roman" w:hAnsi="Times New Roman"/>
          <w:noProof/>
          <w:sz w:val="24"/>
        </w:rPr>
        <w:t>hulladéklerakókkal, hulladékégetőkkel és mechanikai-biológiai szennyvíztisztító telepekkel</w:t>
      </w:r>
      <w:r>
        <w:rPr>
          <w:rStyle w:val="normaltextrun"/>
          <w:rFonts w:ascii="Times New Roman" w:hAnsi="Times New Roman"/>
          <w:noProof/>
          <w:sz w:val="24"/>
        </w:rPr>
        <w:t xml:space="preserve"> kapcsolatos</w:t>
      </w:r>
      <w:r>
        <w:rPr>
          <w:rStyle w:val="FootnoteReference"/>
          <w:rFonts w:ascii="Times New Roman" w:eastAsiaTheme="minorEastAsia" w:hAnsi="Times New Roman" w:cs="Times New Roman"/>
          <w:noProof/>
          <w:sz w:val="24"/>
        </w:rPr>
        <w:footnoteReference w:id="120"/>
      </w:r>
      <w:r>
        <w:rPr>
          <w:rStyle w:val="normaltextrun"/>
          <w:rFonts w:ascii="Times New Roman" w:hAnsi="Times New Roman"/>
          <w:noProof/>
          <w:sz w:val="24"/>
        </w:rPr>
        <w:t>tevékenységek</w:t>
      </w:r>
      <w:r>
        <w:rPr>
          <w:rStyle w:val="FootnoteReference"/>
          <w:rFonts w:ascii="Times New Roman" w:eastAsiaTheme="minorEastAsia" w:hAnsi="Times New Roman" w:cs="Times New Roman"/>
          <w:noProof/>
          <w:sz w:val="24"/>
        </w:rPr>
        <w:footnoteReference w:id="121"/>
      </w:r>
      <w:r>
        <w:rPr>
          <w:rStyle w:val="normaltextrun"/>
          <w:rFonts w:ascii="Times New Roman" w:hAnsi="Times New Roman"/>
          <w:noProof/>
          <w:sz w:val="24"/>
        </w:rPr>
        <w:t xml:space="preserve"> és eszközök</w:t>
      </w:r>
      <w:r>
        <w:rPr>
          <w:rStyle w:val="FootnoteReference"/>
          <w:rFonts w:ascii="Times New Roman" w:eastAsiaTheme="minorEastAsia" w:hAnsi="Times New Roman" w:cs="Times New Roman"/>
          <w:noProof/>
          <w:sz w:val="24"/>
        </w:rPr>
        <w:footnoteReference w:id="122"/>
      </w:r>
      <w:r>
        <w:rPr>
          <w:rStyle w:val="normaltextrun"/>
          <w:rFonts w:ascii="Times New Roman" w:hAnsi="Times New Roman"/>
          <w:noProof/>
          <w:sz w:val="24"/>
        </w:rPr>
        <w:t>.</w:t>
      </w:r>
      <w:r>
        <w:rPr>
          <w:rStyle w:val="FootnoteReference"/>
          <w:rFonts w:ascii="Times New Roman" w:hAnsi="Times New Roman"/>
          <w:noProof/>
          <w:sz w:val="24"/>
        </w:rPr>
        <w:t xml:space="preserve"> </w:t>
      </w:r>
      <w:r>
        <w:rPr>
          <w:rFonts w:ascii="Times New Roman" w:hAnsi="Times New Roman"/>
          <w:noProof/>
          <w:sz w:val="24"/>
        </w:rPr>
        <w:t xml:space="preserve"> </w:t>
      </w:r>
    </w:p>
    <w:bookmarkEnd w:id="34"/>
    <w:p w14:paraId="5BF6741F" w14:textId="77777777" w:rsidR="003E1D81" w:rsidRDefault="00EB481C">
      <w:pPr>
        <w:pStyle w:val="P68B1DB1-LegalNumPar317"/>
        <w:numPr>
          <w:ilvl w:val="2"/>
          <w:numId w:val="766"/>
        </w:numPr>
        <w:spacing w:line="240" w:lineRule="auto"/>
        <w:rPr>
          <w:rFonts w:cs="Times New Roman"/>
          <w:noProof/>
        </w:rPr>
      </w:pPr>
      <w:r>
        <w:rPr>
          <w:noProof/>
        </w:rPr>
        <w:t>A beruházási politikának továbbá elő kell írnia, hogy az eszköz végső kedvezményezettjei megfeleljenek a vonatkozó uniós és nemzeti környezetvédelmi jogszabályoknak.</w:t>
      </w:r>
    </w:p>
    <w:p w14:paraId="54798F0F" w14:textId="77777777" w:rsidR="003E1D81" w:rsidRDefault="00EB481C">
      <w:pPr>
        <w:pStyle w:val="P68B1DB1-LegalNumPar29"/>
        <w:numPr>
          <w:ilvl w:val="1"/>
          <w:numId w:val="780"/>
        </w:numPr>
        <w:spacing w:line="240" w:lineRule="auto"/>
        <w:jc w:val="both"/>
        <w:rPr>
          <w:rFonts w:cs="Times New Roman"/>
          <w:noProof/>
        </w:rPr>
      </w:pPr>
      <w:r>
        <w:rPr>
          <w:noProof/>
        </w:rPr>
        <w:t>Az a követelmény, hogy a hitelezési eszköz vég</w:t>
      </w:r>
      <w:r>
        <w:rPr>
          <w:noProof/>
        </w:rPr>
        <w:t>ső kedvezményezettjei nem részesülhetnek támogatásban más uniós eszközökből ugyanazon költségek fedezésére.</w:t>
      </w:r>
    </w:p>
    <w:p w14:paraId="184D6B7B" w14:textId="1BC2B2B2" w:rsidR="003E1D81" w:rsidRDefault="00EB481C">
      <w:pPr>
        <w:pStyle w:val="P68B1DB1-LegalNumPar29"/>
        <w:numPr>
          <w:ilvl w:val="0"/>
          <w:numId w:val="766"/>
        </w:numPr>
        <w:spacing w:line="240" w:lineRule="auto"/>
        <w:jc w:val="both"/>
        <w:rPr>
          <w:rFonts w:cs="Times New Roman"/>
          <w:noProof/>
        </w:rPr>
      </w:pPr>
      <w:r>
        <w:rPr>
          <w:noProof/>
        </w:rPr>
        <w:t>A végrehajtási megállapodás hatálya alá tartozó összeg, a végrehajtó partner díjstruktúrája, valamint az eszköz beruházási politikája szerinti vissz</w:t>
      </w:r>
      <w:r>
        <w:rPr>
          <w:noProof/>
        </w:rPr>
        <w:t>aáramlások újbóli befektetésére vonatkozó követelmény, kivéve, ha azokat a Helyreállítási és Rezilienciaépítési Eszköz hiteltörlesztésének teljesítésére használják fel.</w:t>
      </w:r>
    </w:p>
    <w:p w14:paraId="50AE8E30" w14:textId="216C3656" w:rsidR="003E1D81" w:rsidRDefault="00EB481C">
      <w:pPr>
        <w:pStyle w:val="P68B1DB1-ListParagraph7"/>
        <w:numPr>
          <w:ilvl w:val="0"/>
          <w:numId w:val="766"/>
        </w:numPr>
        <w:spacing w:line="240" w:lineRule="auto"/>
        <w:jc w:val="both"/>
        <w:rPr>
          <w:rFonts w:cs="Times New Roman"/>
          <w:noProof/>
        </w:rPr>
      </w:pPr>
      <w:r>
        <w:rPr>
          <w:noProof/>
        </w:rPr>
        <w:t xml:space="preserve">Nyomonkövetési, ellenőrzési és ellenőrzési követelmények, beleértve a következőket: </w:t>
      </w:r>
    </w:p>
    <w:p w14:paraId="0DE7F897" w14:textId="290BEAA4" w:rsidR="003E1D81" w:rsidRDefault="00EB481C">
      <w:pPr>
        <w:pStyle w:val="P68B1DB1-ListParagraph7"/>
        <w:numPr>
          <w:ilvl w:val="1"/>
          <w:numId w:val="781"/>
        </w:numPr>
        <w:spacing w:line="240" w:lineRule="auto"/>
        <w:jc w:val="both"/>
        <w:rPr>
          <w:rFonts w:cs="Times New Roman"/>
          <w:noProof/>
        </w:rPr>
      </w:pPr>
      <w:r>
        <w:rPr>
          <w:noProof/>
        </w:rPr>
        <w:t xml:space="preserve">A </w:t>
      </w:r>
      <w:r>
        <w:rPr>
          <w:noProof/>
        </w:rPr>
        <w:t>végrehajtó partner által a mozgósított beruházásról való jelentéstételre szolgáló nyomonkövetési rendszer leírása.</w:t>
      </w:r>
    </w:p>
    <w:p w14:paraId="70CB4626" w14:textId="7D7CBBA0" w:rsidR="003E1D81" w:rsidRDefault="00EB481C">
      <w:pPr>
        <w:pStyle w:val="P68B1DB1-Normal4"/>
        <w:numPr>
          <w:ilvl w:val="1"/>
          <w:numId w:val="781"/>
        </w:numPr>
        <w:spacing w:after="160" w:line="240" w:lineRule="auto"/>
        <w:jc w:val="both"/>
        <w:rPr>
          <w:rFonts w:cs="Times New Roman"/>
          <w:noProof/>
        </w:rPr>
      </w:pPr>
      <w:r>
        <w:rPr>
          <w:noProof/>
        </w:rPr>
        <w:t>A végrehajtó partner azon eljárásainak leírása, amelyek biztosítják a csalás, a korrupció és az összeférhetetlenség megelőzését, feltárását é</w:t>
      </w:r>
      <w:r>
        <w:rPr>
          <w:noProof/>
        </w:rPr>
        <w:t xml:space="preserve">s korrekcióját. </w:t>
      </w:r>
    </w:p>
    <w:p w14:paraId="414F081B" w14:textId="3CF341EB" w:rsidR="003E1D81" w:rsidRDefault="00EB481C">
      <w:pPr>
        <w:pStyle w:val="P68B1DB1-Normal4"/>
        <w:numPr>
          <w:ilvl w:val="1"/>
          <w:numId w:val="781"/>
        </w:numPr>
        <w:spacing w:after="160" w:line="240" w:lineRule="auto"/>
        <w:jc w:val="both"/>
        <w:rPr>
          <w:rFonts w:cs="Times New Roman"/>
          <w:noProof/>
        </w:rPr>
      </w:pPr>
      <w:r>
        <w:rPr>
          <w:noProof/>
        </w:rPr>
        <w:t>Az egyes műveletek támogathatóságának a végrehajtási megállapodásban meghatározott követelményekkel összhangban történő ellenőrzésére vonatkozó kötelezettség, többek között a 10 000 000 EUR-t el nem érő műveletekre vonatkozó önbevallás has</w:t>
      </w:r>
      <w:r>
        <w:rPr>
          <w:noProof/>
        </w:rPr>
        <w:t>ználatával, mielőtt kötelezettséget vállalnának egy művelet finanszírozására, mielőtt kötelezettséget vállalnának egy művelet finanszírozására.</w:t>
      </w:r>
    </w:p>
    <w:p w14:paraId="19D89E60" w14:textId="2F4BC095" w:rsidR="003E1D81" w:rsidRDefault="00EB481C">
      <w:pPr>
        <w:pStyle w:val="P68B1DB1-Normal4"/>
        <w:numPr>
          <w:ilvl w:val="1"/>
          <w:numId w:val="781"/>
        </w:numPr>
        <w:spacing w:line="240" w:lineRule="auto"/>
        <w:jc w:val="both"/>
        <w:rPr>
          <w:rFonts w:cs="Times New Roman"/>
          <w:noProof/>
        </w:rPr>
      </w:pPr>
      <w:r>
        <w:rPr>
          <w:noProof/>
        </w:rPr>
        <w:t xml:space="preserve">A kockázatalapú utólagos ellenőrzéseknek az ICO ellenőrzési tervével összhangban történő elvégzésére vonatkozó </w:t>
      </w:r>
      <w:r>
        <w:rPr>
          <w:noProof/>
        </w:rPr>
        <w:t>kötelezettség. Ezek az ellenőrzések azt vizsgálják, hogy i. a kontrollrendszerek hatékonyak-e, beleértve a csalás, a korrupció és az összeférhetetlenség feltárását; a DNSH-elvnek, az állami támogatási szabályoknak és az éghajlat-politikai célkitűzésekre vo</w:t>
      </w:r>
      <w:r>
        <w:rPr>
          <w:noProof/>
        </w:rPr>
        <w:t>natkozó követelményeknek való megfelelés; és iii. teljesül az a követelmény, amely szerint a közvetítőnek ellenőriznie kell, hogy a végső kedvezményezett felelősségteljes nyilatkozatot nyújt-e be annak ellenőrzésére, hogy ugyanazt a költséget egy másik uni</w:t>
      </w:r>
      <w:r>
        <w:rPr>
          <w:noProof/>
        </w:rPr>
        <w:t>ós eszköz fedezi-e. Az ellenőrzéseknek azt is ellenőrizniük kell, hogy az ügyletek jogszerűek-e, valamint hogy teljesülnek-e az alkalmazandó végrehajtási megállapodásban és finanszírozási megállapodásokban foglalt feltételek, többek között a 10 000 000 EUR</w:t>
      </w:r>
      <w:r>
        <w:rPr>
          <w:noProof/>
        </w:rPr>
        <w:t>-t el nem érő műveletekre vonatkozó önbevallások használata révén, mielőtt kötelezettséget vállalnának egy művelet finanszírozására.</w:t>
      </w:r>
    </w:p>
    <w:p w14:paraId="27C1B162" w14:textId="0827D70B" w:rsidR="003E1D81" w:rsidRDefault="00EB481C">
      <w:pPr>
        <w:numPr>
          <w:ilvl w:val="0"/>
          <w:numId w:val="766"/>
        </w:numPr>
        <w:spacing w:after="160" w:line="240" w:lineRule="auto"/>
        <w:jc w:val="both"/>
        <w:rPr>
          <w:rFonts w:ascii="Times New Roman" w:hAnsi="Times New Roman" w:cs="Times New Roman"/>
          <w:noProof/>
          <w:sz w:val="24"/>
        </w:rPr>
      </w:pPr>
      <w:r>
        <w:rPr>
          <w:rFonts w:ascii="Times New Roman" w:hAnsi="Times New Roman"/>
          <w:noProof/>
          <w:sz w:val="24"/>
        </w:rPr>
        <w:t>A végrehajtó partner által végrehajtott digitális beruházásokra vonatkozó követelmények: az eszközbe irányuló Helyreállítás</w:t>
      </w:r>
      <w:r>
        <w:rPr>
          <w:rFonts w:ascii="Times New Roman" w:hAnsi="Times New Roman"/>
          <w:noProof/>
          <w:sz w:val="24"/>
        </w:rPr>
        <w:t>i és Rezilienciaépítési Eszközből legalább 4 000 000 000 EUR összegű beruházásnak hozzá kell járulnia a digitális átállási célkitűzésekhez a Helyreállítási és Rezilienciaépítési Eszközről szóló rendelet VII. mellékletével összhangban.</w:t>
      </w:r>
      <w:r>
        <w:rPr>
          <w:rStyle w:val="FootnoteReference"/>
          <w:rFonts w:ascii="Times New Roman" w:hAnsi="Times New Roman" w:cs="Times New Roman"/>
          <w:noProof/>
          <w:sz w:val="24"/>
        </w:rPr>
        <w:footnoteReference w:id="123"/>
      </w:r>
      <w:r>
        <w:rPr>
          <w:rFonts w:ascii="Times New Roman" w:hAnsi="Times New Roman"/>
          <w:noProof/>
          <w:sz w:val="24"/>
        </w:rPr>
        <w:t xml:space="preserve"> </w:t>
      </w:r>
    </w:p>
    <w:p w14:paraId="347335BE" w14:textId="7DF526FE" w:rsidR="003E1D81" w:rsidRDefault="00EB481C">
      <w:pPr>
        <w:pStyle w:val="P68B1DB1-ListParagraph7"/>
        <w:numPr>
          <w:ilvl w:val="0"/>
          <w:numId w:val="766"/>
        </w:numPr>
        <w:jc w:val="both"/>
        <w:rPr>
          <w:rFonts w:cs="Times New Roman"/>
          <w:noProof/>
        </w:rPr>
      </w:pPr>
      <w:r>
        <w:rPr>
          <w:noProof/>
        </w:rPr>
        <w:t>A pénzügyi közvetít</w:t>
      </w:r>
      <w:r>
        <w:rPr>
          <w:noProof/>
        </w:rPr>
        <w:t>ők kiválasztására vonatkozó követelmények: Az ICO nyílt, átlátható és megkülönböztetésmentes módon választja ki a pénzügyi közvetítőket. A pénzügyi közvetítőket érintő összeférhetetlenség hiányát előzetesen ellenőrizni kell, és minden érintett pénzügyi sze</w:t>
      </w:r>
      <w:r>
        <w:rPr>
          <w:noProof/>
        </w:rPr>
        <w:t xml:space="preserve">replő esetében olyan informatikai rendszeren keresztül kell elvégezni, mint a Minerva. </w:t>
      </w:r>
    </w:p>
    <w:p w14:paraId="6AC5F13F" w14:textId="1599992A" w:rsidR="003E1D81" w:rsidRDefault="00EB481C">
      <w:pPr>
        <w:pStyle w:val="P68B1DB1-Normal4"/>
        <w:numPr>
          <w:ilvl w:val="0"/>
          <w:numId w:val="766"/>
        </w:numPr>
        <w:spacing w:after="160" w:line="240" w:lineRule="auto"/>
        <w:jc w:val="both"/>
        <w:rPr>
          <w:rFonts w:cs="Times New Roman"/>
          <w:noProof/>
        </w:rPr>
      </w:pPr>
      <w:r>
        <w:rPr>
          <w:noProof/>
        </w:rPr>
        <w:t>Finanszírozási megállapodások aláírásának kötelezettsége: A tengely finanszírozási megállapodásokat ír alá a pénzügyi közvetítőkkel a végrehajtási megállapodás mellékle</w:t>
      </w:r>
      <w:r>
        <w:rPr>
          <w:noProof/>
        </w:rPr>
        <w:t xml:space="preserve">teként benyújtandó kulcsfontosságú követelményeknek megfelelően. A finanszírozási megállapodás fő követelményei magukban foglalják mindazokat a követelményeket, amelyek alapján a Békekeret működik, beleértve a következőket: </w:t>
      </w:r>
    </w:p>
    <w:p w14:paraId="46C4FBEB" w14:textId="409595C2" w:rsidR="003E1D81" w:rsidRDefault="00EB481C">
      <w:pPr>
        <w:pStyle w:val="P68B1DB1-Normal4"/>
        <w:numPr>
          <w:ilvl w:val="1"/>
          <w:numId w:val="766"/>
        </w:numPr>
        <w:spacing w:after="160" w:line="240" w:lineRule="auto"/>
        <w:jc w:val="both"/>
        <w:rPr>
          <w:rFonts w:cs="Times New Roman"/>
          <w:noProof/>
        </w:rPr>
      </w:pPr>
      <w:r>
        <w:rPr>
          <w:noProof/>
        </w:rPr>
        <w:t>A pénzügyi közvetítő azon kötel</w:t>
      </w:r>
      <w:r>
        <w:rPr>
          <w:noProof/>
        </w:rPr>
        <w:t>ezettsége, hogy döntéseit értelemszerűen a fent meghatározott döntéshozatali és befektetési politikai követelményeknek megfelelően hozza meg, beleértve a DNSH-elv tiszteletben tartásával kapcsolatosakat is.</w:t>
      </w:r>
    </w:p>
    <w:p w14:paraId="5E4BC8D8" w14:textId="63FFD13C" w:rsidR="003E1D81" w:rsidRDefault="00EB481C">
      <w:pPr>
        <w:pStyle w:val="P68B1DB1-Normal4"/>
        <w:numPr>
          <w:ilvl w:val="1"/>
          <w:numId w:val="766"/>
        </w:numPr>
        <w:spacing w:after="160" w:line="240" w:lineRule="auto"/>
        <w:jc w:val="both"/>
        <w:rPr>
          <w:rFonts w:eastAsia="Times New Roman" w:cs="Times New Roman"/>
          <w:noProof/>
        </w:rPr>
      </w:pPr>
      <w:r>
        <w:rPr>
          <w:noProof/>
        </w:rPr>
        <w:t>A pénzügyi közvetítő által létrehozandó monitorin</w:t>
      </w:r>
      <w:r>
        <w:rPr>
          <w:noProof/>
        </w:rPr>
        <w:t xml:space="preserve">g-, audit- és kontrollkeret leírása, amelyre értelemszerűen a fent meghatározott valamennyi nyomonkövetési, ellenőrzési és kontrollkövetelmény vonatkozik. </w:t>
      </w:r>
    </w:p>
    <w:p w14:paraId="1C64E7F4" w14:textId="77777777" w:rsidR="003E1D81" w:rsidRDefault="00EB481C">
      <w:pPr>
        <w:pStyle w:val="P68B1DB1-Normal4"/>
        <w:jc w:val="both"/>
        <w:rPr>
          <w:rFonts w:eastAsia="Times New Roman" w:cs="Times New Roman"/>
          <w:noProof/>
        </w:rPr>
      </w:pPr>
      <w:r>
        <w:rPr>
          <w:noProof/>
        </w:rPr>
        <w:t>Az intézkedés végrehajtását 2026. augusztus 31-ig be kell fejezni.</w:t>
      </w:r>
    </w:p>
    <w:p w14:paraId="66233B2E" w14:textId="0466CC2F" w:rsidR="003E1D81" w:rsidRDefault="00EB481C">
      <w:pPr>
        <w:pStyle w:val="P68B1DB1-Normal6"/>
        <w:tabs>
          <w:tab w:val="left" w:pos="7280"/>
        </w:tabs>
        <w:rPr>
          <w:rFonts w:cs="Times New Roman"/>
          <w:noProof/>
        </w:rPr>
      </w:pPr>
      <w:r>
        <w:rPr>
          <w:noProof/>
        </w:rPr>
        <w:t xml:space="preserve">Beruházás </w:t>
      </w:r>
      <w:bookmarkStart w:id="35" w:name="_Hlk141289356"/>
      <w:r>
        <w:rPr>
          <w:noProof/>
        </w:rPr>
        <w:t>(C13.I8) – Társbefektet</w:t>
      </w:r>
      <w:r>
        <w:rPr>
          <w:noProof/>
        </w:rPr>
        <w:t>ési Alap (FOCO)</w:t>
      </w:r>
      <w:bookmarkEnd w:id="35"/>
    </w:p>
    <w:p w14:paraId="70A22EBF" w14:textId="152CC236" w:rsidR="003E1D81" w:rsidRDefault="00EB481C">
      <w:pPr>
        <w:spacing w:line="240" w:lineRule="auto"/>
        <w:jc w:val="both"/>
        <w:rPr>
          <w:rStyle w:val="normaltextrun"/>
          <w:rFonts w:ascii="Times New Roman" w:eastAsia="Times New Roman" w:hAnsi="Times New Roman" w:cs="Times New Roman"/>
          <w:noProof/>
          <w:sz w:val="24"/>
          <w:shd w:val="clear" w:color="auto" w:fill="FFFFFF"/>
        </w:rPr>
      </w:pPr>
      <w:bookmarkStart w:id="36" w:name="_Hlk140753831"/>
      <w:r>
        <w:rPr>
          <w:rStyle w:val="normaltextrun"/>
          <w:rFonts w:ascii="Times New Roman" w:hAnsi="Times New Roman"/>
          <w:noProof/>
          <w:sz w:val="24"/>
          <w:shd w:val="clear" w:color="auto" w:fill="FFFFFF"/>
        </w:rPr>
        <w:t>Ez az intézkedés egy eszközbe, a társbefektetési alapba történő közberuházásokból áll, amelyek célja a magánberuházások ösztönzése és a finanszírozáshoz való hozzáférés javítása Spanyolország stratégiai ágazataiban, különösen a zöld és digi</w:t>
      </w:r>
      <w:r>
        <w:rPr>
          <w:rStyle w:val="normaltextrun"/>
          <w:rFonts w:ascii="Times New Roman" w:hAnsi="Times New Roman"/>
          <w:noProof/>
          <w:sz w:val="24"/>
          <w:shd w:val="clear" w:color="auto" w:fill="FFFFFF"/>
        </w:rPr>
        <w:t>tális átálláshoz és a PERTE-khez kapcsolódó ágazatokban, valamint a tőkepiacok ezeken a területeken történő fejlesztése. Az eszköz hiteleket, saját tőkét és kvázisajáttőke-befektetéseket biztosít harmadik fél külföldi és multilaterális intézményi befektető</w:t>
      </w:r>
      <w:r>
        <w:rPr>
          <w:rStyle w:val="normaltextrun"/>
          <w:rFonts w:ascii="Times New Roman" w:hAnsi="Times New Roman"/>
          <w:noProof/>
          <w:sz w:val="24"/>
          <w:shd w:val="clear" w:color="auto" w:fill="FFFFFF"/>
        </w:rPr>
        <w:t>kkel közösen, közvetlenül vagy a magánszektor számára közvetítőkön keresztül. A Helyreállítási és Rezilienciaépítési Eszköz beruházásai alapján az eszköz célja kezdetben legalább 2 000 000 000 EUR összegű finanszírozás biztosítása.</w:t>
      </w:r>
    </w:p>
    <w:p w14:paraId="18E849D4" w14:textId="339B9B0A" w:rsidR="003E1D81" w:rsidRDefault="00EB481C">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Az eszközt végrehajtó partnerként a Compañía Española de Financiación del Desarrollo (COFIDES) irányítja. Az eszköz a következő terméksorokat foglalja magában: </w:t>
      </w:r>
    </w:p>
    <w:bookmarkEnd w:id="36"/>
    <w:p w14:paraId="2F08DC91" w14:textId="1D0A116A" w:rsidR="003E1D81" w:rsidRDefault="00EB481C">
      <w:pPr>
        <w:pStyle w:val="P68B1DB1-ListParagraph7"/>
        <w:numPr>
          <w:ilvl w:val="0"/>
          <w:numId w:val="614"/>
        </w:numPr>
        <w:jc w:val="both"/>
        <w:rPr>
          <w:rFonts w:cs="Times New Roman"/>
          <w:noProof/>
        </w:rPr>
      </w:pPr>
      <w:r>
        <w:rPr>
          <w:noProof/>
        </w:rPr>
        <w:t>Közvetlen vezeték: A hitelezési eszköz harmadik fél külföldi intézményi befektetőkkel közvetlen</w:t>
      </w:r>
      <w:r>
        <w:rPr>
          <w:noProof/>
        </w:rPr>
        <w:t>ül társbefektetéseket hajt végre olyan vállalatokba, amelyek kötelezettséget vállaltak arra, hogy új projekteket hajtanak végre Spanyolország stratégiai gazdasági ágazataiban, beleértve a zöld és digitális átálláshoz és a PERTE-hez kapcsolódókat is. A Béke</w:t>
      </w:r>
      <w:r>
        <w:rPr>
          <w:noProof/>
        </w:rPr>
        <w:t>keretnek képesnek kell lennie hitel-, sajáttőke- és kvázisajáttőke-eszközök felhasználásával befektetni. Az Alap tőkebefektetései nem eredményezhetik azt, hogy a köztulajdonban lévő saját tőke részesedése a végső kedvezményezettben meghaladja a teljes sajá</w:t>
      </w:r>
      <w:r>
        <w:rPr>
          <w:noProof/>
        </w:rPr>
        <w:t>t tőke 49%-át.</w:t>
      </w:r>
    </w:p>
    <w:p w14:paraId="18F00A58" w14:textId="5694BED6" w:rsidR="003E1D81" w:rsidRDefault="00EB481C">
      <w:pPr>
        <w:pStyle w:val="P68B1DB1-ListParagraph7"/>
        <w:numPr>
          <w:ilvl w:val="0"/>
          <w:numId w:val="614"/>
        </w:numPr>
        <w:jc w:val="both"/>
        <w:rPr>
          <w:rFonts w:cs="Times New Roman"/>
          <w:noProof/>
        </w:rPr>
      </w:pPr>
      <w:r>
        <w:rPr>
          <w:noProof/>
        </w:rPr>
        <w:t>Közvetett vonal: A hitelezési eszköz olyan meglévő alapokba fektet be, amelyek az eszköz által megcélzott ágazatokba fektetnek be, és képesnek kell lennie arra, hogy személyre szabott finanszírozási eszközöket hozzon létre ugyanazon ágazatok</w:t>
      </w:r>
      <w:r>
        <w:rPr>
          <w:noProof/>
        </w:rPr>
        <w:t xml:space="preserve"> számára. A Békekeret maximális részesedése nem haladhatja meg az alapok vagy egyéb befektetési eszközök 49%-át, és nem eredményezheti azt, hogy a köztulajdonban lévő tőke részesedése az alapban vagy befektetési eszközben meghaladja a teljes saját tőke 49%</w:t>
      </w:r>
      <w:r>
        <w:rPr>
          <w:noProof/>
        </w:rPr>
        <w:t xml:space="preserve">-át. </w:t>
      </w:r>
    </w:p>
    <w:p w14:paraId="4BC9837F" w14:textId="2369EFA3" w:rsidR="003E1D81" w:rsidRDefault="00EB481C">
      <w:pPr>
        <w:spacing w:line="240" w:lineRule="auto"/>
        <w:jc w:val="both"/>
        <w:rPr>
          <w:rStyle w:val="normaltextrun"/>
          <w:rFonts w:ascii="Times New Roman" w:eastAsia="Times New Roman" w:hAnsi="Times New Roman" w:cs="Times New Roman"/>
          <w:noProof/>
          <w:sz w:val="24"/>
          <w:shd w:val="clear" w:color="auto" w:fill="FFFFFF"/>
        </w:rPr>
      </w:pPr>
      <w:bookmarkStart w:id="37" w:name="_Hlk140753801"/>
      <w:r>
        <w:rPr>
          <w:rStyle w:val="normaltextrun"/>
          <w:rFonts w:ascii="Times New Roman" w:hAnsi="Times New Roman"/>
          <w:noProof/>
          <w:sz w:val="24"/>
          <w:shd w:val="clear" w:color="auto" w:fill="FFFFFF"/>
        </w:rPr>
        <w:t>A harmadik fél befektetők általi társbefektetésnek legalább egyenértékűnek kell lennie a Békekeret hozzájárulásával, és egyenlő feltételek mellett kell befektetnie. A harmadik fél társbefektetők többek között a következőket foglalhatják magukban:</w:t>
      </w:r>
    </w:p>
    <w:p w14:paraId="357ABC3A" w14:textId="1E36AF4D" w:rsidR="003E1D81" w:rsidRDefault="00EB481C">
      <w:pPr>
        <w:pStyle w:val="P68B1DB1-ListParagraph7"/>
        <w:numPr>
          <w:ilvl w:val="0"/>
          <w:numId w:val="614"/>
        </w:numPr>
        <w:jc w:val="both"/>
        <w:rPr>
          <w:rFonts w:cs="Times New Roman"/>
          <w:noProof/>
        </w:rPr>
      </w:pPr>
      <w:r>
        <w:rPr>
          <w:noProof/>
        </w:rPr>
        <w:t>Kül</w:t>
      </w:r>
      <w:r>
        <w:rPr>
          <w:noProof/>
        </w:rPr>
        <w:t xml:space="preserve">földi közintézmények, például állami nyugdíjalapok, állami és alsóbb szintű állami alapok, magántőkepiacokba befektető multilaterális intézmények (például az Európai Beruházási Alap). </w:t>
      </w:r>
    </w:p>
    <w:p w14:paraId="7F753F2C" w14:textId="295DC384" w:rsidR="003E1D81" w:rsidRDefault="00EB481C">
      <w:pPr>
        <w:pStyle w:val="P68B1DB1-ListParagraph7"/>
        <w:numPr>
          <w:ilvl w:val="0"/>
          <w:numId w:val="614"/>
        </w:numPr>
        <w:jc w:val="both"/>
        <w:rPr>
          <w:rFonts w:cs="Times New Roman"/>
          <w:noProof/>
        </w:rPr>
      </w:pPr>
      <w:r>
        <w:rPr>
          <w:noProof/>
        </w:rPr>
        <w:t>Külföldi hosszú távú intézményi befektetők, például befektetési alapok,</w:t>
      </w:r>
      <w:r>
        <w:rPr>
          <w:noProof/>
        </w:rPr>
        <w:t xml:space="preserve"> nyugdíjalapok vagy biztosítók. </w:t>
      </w:r>
    </w:p>
    <w:p w14:paraId="7B0C2C5C" w14:textId="0D226C0F" w:rsidR="003E1D81" w:rsidRDefault="00EB481C">
      <w:pPr>
        <w:pStyle w:val="P68B1DB1-ListParagraph7"/>
        <w:numPr>
          <w:ilvl w:val="0"/>
          <w:numId w:val="614"/>
        </w:numPr>
        <w:jc w:val="both"/>
        <w:rPr>
          <w:rFonts w:cs="Times New Roman"/>
          <w:noProof/>
        </w:rPr>
      </w:pPr>
      <w:r>
        <w:rPr>
          <w:noProof/>
        </w:rPr>
        <w:t>Belföldi magánbefektetési eszközök és szervezetek, feltéve, hogy külföldi magánbefektetőktől pénzügyi forrásokat mozgósítanak.</w:t>
      </w:r>
    </w:p>
    <w:p w14:paraId="1D0EBDC2" w14:textId="6D957821" w:rsidR="003E1D81" w:rsidRDefault="00EB481C">
      <w:pPr>
        <w:pStyle w:val="P68B1DB1-ListParagraph7"/>
        <w:numPr>
          <w:ilvl w:val="0"/>
          <w:numId w:val="614"/>
        </w:numPr>
        <w:jc w:val="both"/>
        <w:rPr>
          <w:rFonts w:cs="Times New Roman"/>
          <w:noProof/>
        </w:rPr>
      </w:pPr>
      <w:r>
        <w:rPr>
          <w:noProof/>
        </w:rPr>
        <w:t>A spanyolországi vállalati számadatokban részt vevő külföldi tőketársaságok olyan beruházási pro</w:t>
      </w:r>
      <w:r>
        <w:rPr>
          <w:noProof/>
        </w:rPr>
        <w:t>jektek és termelő tevékenységek végrehajtása céljából, amelyeket az alap támogathatna.</w:t>
      </w:r>
    </w:p>
    <w:p w14:paraId="59928A86" w14:textId="1BBF7AFF" w:rsidR="003E1D81" w:rsidRDefault="00EB481C">
      <w:pPr>
        <w:pStyle w:val="P68B1DB1-Normal4"/>
        <w:spacing w:line="240" w:lineRule="auto"/>
        <w:jc w:val="both"/>
        <w:rPr>
          <w:rFonts w:eastAsia="Times New Roman" w:cs="Times New Roman"/>
          <w:noProof/>
        </w:rPr>
      </w:pPr>
      <w:bookmarkStart w:id="38" w:name="_Hlk145620018"/>
      <w:r>
        <w:rPr>
          <w:noProof/>
        </w:rPr>
        <w:t>A Békekeretbe történő beruházás végrehajtása érdekében Spanyolországnak jóvá kell hagynia a Békekeret létrehozására és kezelésére vonatkozó rendeletet és minden kapcsoló</w:t>
      </w:r>
      <w:r>
        <w:rPr>
          <w:noProof/>
        </w:rPr>
        <w:t xml:space="preserve">dó dokumentumot, amely a következő tartalommal rendelkezik: </w:t>
      </w:r>
    </w:p>
    <w:bookmarkEnd w:id="38"/>
    <w:p w14:paraId="51770341" w14:textId="02C8A9BD" w:rsidR="003E1D81" w:rsidRDefault="00EB481C">
      <w:pPr>
        <w:pStyle w:val="P68B1DB1-ListParagraph7"/>
        <w:numPr>
          <w:ilvl w:val="0"/>
          <w:numId w:val="745"/>
        </w:numPr>
        <w:spacing w:line="240" w:lineRule="auto"/>
        <w:contextualSpacing w:val="0"/>
        <w:jc w:val="both"/>
        <w:rPr>
          <w:rFonts w:eastAsia="Times New Roman" w:cs="Times New Roman"/>
          <w:noProof/>
        </w:rPr>
      </w:pPr>
      <w:r>
        <w:rPr>
          <w:noProof/>
        </w:rPr>
        <w:t xml:space="preserve">Az eszköz döntéshozatali folyamatának leírása:  A Keret kezdeti beruházási döntését beruházási bizottság vagy más, ezzel egyenértékű irányító testület hozza meg, és azt a spanyol kormánytól </w:t>
      </w:r>
      <w:r>
        <w:rPr>
          <w:noProof/>
        </w:rPr>
        <w:t>független tagok szavazatainak többségével kell jóváhagyni. A Békekeret végleges beruházási döntése a beruházási bizottság vagy azzal egyenértékű irányító testület által javasolt beruházási döntéssel kapcsolatos vétójog (módosítás nélküli) jóváhagyására vag</w:t>
      </w:r>
      <w:r>
        <w:rPr>
          <w:noProof/>
        </w:rPr>
        <w:t>y gyakorlására korlátozódik. Közvetített befektetések esetében a végső befektetési döntést a közvetítők hozzák meg.</w:t>
      </w:r>
    </w:p>
    <w:p w14:paraId="5DC4A5C2" w14:textId="77777777" w:rsidR="003E1D81" w:rsidRDefault="00EB481C">
      <w:pPr>
        <w:pStyle w:val="P68B1DB1-ListParagraph7"/>
        <w:numPr>
          <w:ilvl w:val="0"/>
          <w:numId w:val="745"/>
        </w:numPr>
        <w:spacing w:line="240" w:lineRule="auto"/>
        <w:jc w:val="both"/>
        <w:rPr>
          <w:rFonts w:eastAsia="Times New Roman" w:cs="Times New Roman"/>
          <w:noProof/>
        </w:rPr>
      </w:pPr>
      <w:r>
        <w:rPr>
          <w:noProof/>
        </w:rPr>
        <w:t>A kapcsolódó befektetési politika fő követelményei, amelyek a következőket foglalják magukban:</w:t>
      </w:r>
    </w:p>
    <w:p w14:paraId="5C17F8D0" w14:textId="6C581C56" w:rsidR="003E1D81" w:rsidRDefault="00EB481C">
      <w:pPr>
        <w:pStyle w:val="ListParagraph"/>
        <w:numPr>
          <w:ilvl w:val="1"/>
          <w:numId w:val="745"/>
        </w:numPr>
        <w:spacing w:line="240" w:lineRule="auto"/>
        <w:jc w:val="both"/>
        <w:rPr>
          <w:rFonts w:ascii="Times New Roman" w:eastAsia="Times New Roman" w:hAnsi="Times New Roman" w:cs="Times New Roman"/>
          <w:noProof/>
          <w:sz w:val="24"/>
        </w:rPr>
      </w:pPr>
      <w:r>
        <w:rPr>
          <w:rFonts w:ascii="Times New Roman" w:hAnsi="Times New Roman"/>
          <w:noProof/>
          <w:sz w:val="24"/>
        </w:rPr>
        <w:t>A pénzügyi termékek és a támogatható végső ke</w:t>
      </w:r>
      <w:r>
        <w:rPr>
          <w:rFonts w:ascii="Times New Roman" w:hAnsi="Times New Roman"/>
          <w:noProof/>
          <w:sz w:val="24"/>
        </w:rPr>
        <w:t>dvezményezettek leírása az intézkedés leírásával összhangban. Stratégiai beruházások, azaz az Európai Védelmi Alap éves munkaprogramjában meghatározott védelmi technológiákba és termékekbe történő beruházások; űrberuházások atomórába, stratégiai hordozórak</w:t>
      </w:r>
      <w:r>
        <w:rPr>
          <w:rFonts w:ascii="Times New Roman" w:hAnsi="Times New Roman"/>
          <w:noProof/>
          <w:sz w:val="24"/>
        </w:rPr>
        <w:t>étákba; és űripari termékek;  valamint a kizárólag kiberbiztonsági eszközök és megoldások fejlesztésére és alkalmazására összpontosító beruházások, beleértve azokat az eseteket is, amikor ezek a digitális hálózatok és adatinfrastruktúra kiépítésének vagy k</w:t>
      </w:r>
      <w:r>
        <w:rPr>
          <w:rFonts w:ascii="Times New Roman" w:hAnsi="Times New Roman"/>
          <w:noProof/>
          <w:sz w:val="24"/>
        </w:rPr>
        <w:t>orszerűsítésének részét képezik; a végső kedvezményezettek nem lehetnek harmadik ország vagy harmadik országbeli szervezet ellenőrzése alatt, és ügyvezetésük az Unióban van, kivéve a 10 000 000 EUR alatti beruházásokat. Amennyiben a végső kedvezményezett s</w:t>
      </w:r>
      <w:r>
        <w:rPr>
          <w:rFonts w:ascii="Times New Roman" w:hAnsi="Times New Roman"/>
          <w:noProof/>
          <w:sz w:val="24"/>
        </w:rPr>
        <w:t>tratégiai beruházásban vesz részt az 5G konnektivitás területén, az 5G kiberbiztonsági eszköztár szerinti intézkedések és kockázatcsökkentési tervek a beszállítóira is</w:t>
      </w:r>
      <w:r>
        <w:rPr>
          <w:rStyle w:val="FootnoteReference"/>
          <w:rFonts w:ascii="Times New Roman" w:eastAsia="Times New Roman" w:hAnsi="Times New Roman" w:cs="Times New Roman"/>
          <w:noProof/>
          <w:sz w:val="24"/>
        </w:rPr>
        <w:footnoteReference w:id="124"/>
      </w:r>
      <w:r>
        <w:rPr>
          <w:rFonts w:ascii="Times New Roman" w:hAnsi="Times New Roman"/>
          <w:noProof/>
          <w:sz w:val="24"/>
        </w:rPr>
        <w:t xml:space="preserve"> alkalmazandók. E beszállítók közé tartoznak a távközlési berendezések gyártóinak értéke</w:t>
      </w:r>
      <w:r>
        <w:rPr>
          <w:rFonts w:ascii="Times New Roman" w:hAnsi="Times New Roman"/>
          <w:noProof/>
          <w:sz w:val="24"/>
        </w:rPr>
        <w:t>sítési partnerei és az egyéb harmadik fél beszállítók, így például a felhőalapú infrastruktúrák szolgáltatói, a bérelt szolgáltatást nyújtók (managed service providers), a rendszerintegrátorok, a biztonsággal és karbantartással foglalkozó vállalkozók és az</w:t>
      </w:r>
      <w:r>
        <w:rPr>
          <w:rFonts w:ascii="Times New Roman" w:hAnsi="Times New Roman"/>
          <w:noProof/>
          <w:sz w:val="24"/>
        </w:rPr>
        <w:t xml:space="preserve"> átviteli berendezések gyártói. Amennyiben a végső kedvezményezett stratégiai védelmi beruházásban vesz részt, ez a korlátozás a beszállítóira és alvállalkozóira is vonatkozik. A harmadik ország vagy harmadik országbeli szervezet általi ellenőrzés hiányára</w:t>
      </w:r>
      <w:r>
        <w:rPr>
          <w:rFonts w:ascii="Times New Roman" w:hAnsi="Times New Roman"/>
          <w:noProof/>
          <w:sz w:val="24"/>
        </w:rPr>
        <w:t xml:space="preserve"> vonatkozó, a fenti három bekezdésben meghatározott korlátozások nem alkalmazandók egy adott finanszírozási és beruházási műveletre, amennyiben a végső kedvezményezett bizonyítani tudja, hogy olyan jogalanyról van szó, amelyre vonatkozóan a székhelye szeri</w:t>
      </w:r>
      <w:r>
        <w:rPr>
          <w:rFonts w:ascii="Times New Roman" w:hAnsi="Times New Roman"/>
          <w:noProof/>
          <w:sz w:val="24"/>
        </w:rPr>
        <w:t>nti tagállam az Európai Védelmi Alapról (EDF) szóló rendelet vonatkozó rendelkezéseiben meghatározott, a támogatható szervezetekre vonatkozó elvekkel összhangban garanciát hagyott jóvá,</w:t>
      </w:r>
      <w:r>
        <w:rPr>
          <w:rStyle w:val="FootnoteReference"/>
          <w:rFonts w:ascii="Times New Roman" w:eastAsia="Times New Roman" w:hAnsi="Times New Roman" w:cs="Times New Roman"/>
          <w:noProof/>
          <w:sz w:val="24"/>
        </w:rPr>
        <w:footnoteReference w:id="125"/>
      </w:r>
      <w:r>
        <w:rPr>
          <w:rFonts w:ascii="Times New Roman" w:hAnsi="Times New Roman"/>
          <w:noProof/>
          <w:sz w:val="24"/>
        </w:rPr>
        <w:t xml:space="preserve"> vagy a Bizottság mentességet adott a jogosult szervezetekre vonatkozó</w:t>
      </w:r>
      <w:r>
        <w:rPr>
          <w:rFonts w:ascii="Times New Roman" w:hAnsi="Times New Roman"/>
          <w:noProof/>
          <w:sz w:val="24"/>
        </w:rPr>
        <w:t>an az űrrendelet vonatkozó rendelkezéseiben meghatározott elveknek megfelelően</w:t>
      </w:r>
      <w:r>
        <w:rPr>
          <w:rStyle w:val="FootnoteReference"/>
          <w:rFonts w:ascii="Times New Roman" w:eastAsia="Times New Roman" w:hAnsi="Times New Roman" w:cs="Times New Roman"/>
          <w:noProof/>
          <w:sz w:val="24"/>
        </w:rPr>
        <w:footnoteReference w:id="126"/>
      </w:r>
      <w:r>
        <w:rPr>
          <w:rFonts w:ascii="Times New Roman" w:hAnsi="Times New Roman"/>
          <w:noProof/>
          <w:sz w:val="24"/>
        </w:rPr>
        <w:t xml:space="preserve">. A végrehajtó partnernek értesítenie kell a kormányt a korlátozásoktól való bármely eltérésről.   </w:t>
      </w:r>
    </w:p>
    <w:p w14:paraId="1EB12EA3" w14:textId="77777777" w:rsidR="003E1D81" w:rsidRDefault="00EB481C">
      <w:pPr>
        <w:pStyle w:val="P68B1DB1-ListParagraph7"/>
        <w:numPr>
          <w:ilvl w:val="1"/>
          <w:numId w:val="745"/>
        </w:numPr>
        <w:spacing w:line="240" w:lineRule="auto"/>
        <w:jc w:val="both"/>
        <w:rPr>
          <w:rFonts w:eastAsia="Times New Roman" w:cs="Times New Roman"/>
          <w:noProof/>
        </w:rPr>
      </w:pPr>
      <w:r>
        <w:rPr>
          <w:noProof/>
        </w:rPr>
        <w:t>Az a követelmény, hogy minden támogatott beruházás gazdaságilag életképes leg</w:t>
      </w:r>
      <w:r>
        <w:rPr>
          <w:noProof/>
        </w:rPr>
        <w:t>yen.</w:t>
      </w:r>
    </w:p>
    <w:p w14:paraId="0E56EC59" w14:textId="77777777" w:rsidR="003E1D81" w:rsidRDefault="00EB481C">
      <w:pPr>
        <w:pStyle w:val="P68B1DB1-ListParagraph7"/>
        <w:numPr>
          <w:ilvl w:val="1"/>
          <w:numId w:val="745"/>
        </w:numPr>
        <w:spacing w:line="240" w:lineRule="auto"/>
        <w:jc w:val="both"/>
        <w:rPr>
          <w:rFonts w:eastAsia="Times New Roman" w:cs="Times New Roman"/>
          <w:noProof/>
        </w:rPr>
      </w:pPr>
      <w:r>
        <w:rPr>
          <w:noProof/>
        </w:rPr>
        <w:t xml:space="preserve">A kinnlevő hitelek refinanszírozásának tilalma.  </w:t>
      </w:r>
    </w:p>
    <w:p w14:paraId="37B5D099" w14:textId="77777777" w:rsidR="003E1D81" w:rsidRDefault="00EB481C">
      <w:pPr>
        <w:pStyle w:val="P68B1DB1-ListParagraph7"/>
        <w:numPr>
          <w:ilvl w:val="1"/>
          <w:numId w:val="745"/>
        </w:numPr>
        <w:spacing w:line="240" w:lineRule="auto"/>
        <w:jc w:val="both"/>
        <w:rPr>
          <w:rFonts w:eastAsia="Times New Roman" w:cs="Times New Roman"/>
          <w:noProof/>
        </w:rPr>
      </w:pPr>
      <w:r>
        <w:rPr>
          <w:noProof/>
        </w:rPr>
        <w:t xml:space="preserve">A jelentős károkozás elkerülését célzó elvnek való megfelelés követelménye a DNSH technikai iránymutatásban (2021/C58/01) meghatározottak szerint, különösen: </w:t>
      </w:r>
    </w:p>
    <w:p w14:paraId="6CF4F264" w14:textId="6D012AC6" w:rsidR="003E1D81" w:rsidRDefault="00EB481C">
      <w:pPr>
        <w:pStyle w:val="ListParagraph"/>
        <w:numPr>
          <w:ilvl w:val="2"/>
          <w:numId w:val="745"/>
        </w:numPr>
        <w:jc w:val="both"/>
        <w:rPr>
          <w:rFonts w:ascii="Times New Roman" w:eastAsia="Times New Roman" w:hAnsi="Times New Roman" w:cs="Times New Roman"/>
          <w:noProof/>
          <w:sz w:val="24"/>
        </w:rPr>
      </w:pPr>
      <w:r>
        <w:rPr>
          <w:rFonts w:ascii="Times New Roman" w:hAnsi="Times New Roman"/>
          <w:noProof/>
          <w:sz w:val="24"/>
        </w:rPr>
        <w:t>Kölcsönök, projektkötvények vagy azokkal e</w:t>
      </w:r>
      <w:r>
        <w:rPr>
          <w:rFonts w:ascii="Times New Roman" w:hAnsi="Times New Roman"/>
          <w:noProof/>
          <w:sz w:val="24"/>
        </w:rPr>
        <w:t>gyenértékű eszközök esetében: a befektetési politika kizárja a tevékenységek és eszközök alábbi listáját a támogathatóság köréből: i. a fosszilis tüzelőanyagokhoz kapcsolódó tevékenységek és eszközök, beleértve a továbbfelhasználást is, ii. az uniós kibocs</w:t>
      </w:r>
      <w:r>
        <w:rPr>
          <w:rFonts w:ascii="Times New Roman" w:hAnsi="Times New Roman"/>
          <w:noProof/>
          <w:sz w:val="24"/>
        </w:rPr>
        <w:t>átáskereskedelmi rendszer (ETS) keretében</w:t>
      </w:r>
      <w:r>
        <w:rPr>
          <w:rStyle w:val="FootnoteReference"/>
          <w:rFonts w:ascii="Times New Roman" w:eastAsia="Times New Roman" w:hAnsi="Times New Roman" w:cs="Times New Roman"/>
          <w:noProof/>
          <w:sz w:val="24"/>
        </w:rPr>
        <w:footnoteReference w:id="127"/>
      </w:r>
      <w:r>
        <w:rPr>
          <w:rFonts w:ascii="Times New Roman" w:hAnsi="Times New Roman"/>
          <w:noProof/>
          <w:sz w:val="24"/>
        </w:rPr>
        <w:t>végzett tevékenységek és eszközök, amelyek a vonatkozó referenciaértékeknél nem alacsonyabb várható üvegházhatásúgáz-kibocsátást érnek el; iii. hulladéklerakókkal, hulladékégetőkkel és mechanikai-biológiai szennyví</w:t>
      </w:r>
      <w:r>
        <w:rPr>
          <w:rFonts w:ascii="Times New Roman" w:hAnsi="Times New Roman"/>
          <w:noProof/>
          <w:sz w:val="24"/>
        </w:rPr>
        <w:t>ztisztító telepekkel kapcsolatos</w:t>
      </w:r>
      <w:r>
        <w:rPr>
          <w:rStyle w:val="FootnoteReference"/>
          <w:rFonts w:ascii="Times New Roman" w:eastAsia="Times New Roman" w:hAnsi="Times New Roman" w:cs="Times New Roman"/>
          <w:noProof/>
          <w:sz w:val="24"/>
        </w:rPr>
        <w:footnoteReference w:id="128"/>
      </w:r>
      <w:r>
        <w:rPr>
          <w:rFonts w:ascii="Times New Roman" w:hAnsi="Times New Roman"/>
          <w:noProof/>
          <w:sz w:val="24"/>
        </w:rPr>
        <w:t xml:space="preserve"> tevékenységek</w:t>
      </w:r>
      <w:r>
        <w:rPr>
          <w:rStyle w:val="FootnoteReference"/>
          <w:rFonts w:ascii="Times New Roman" w:hAnsi="Times New Roman" w:cs="Times New Roman"/>
          <w:noProof/>
          <w:sz w:val="24"/>
        </w:rPr>
        <w:footnoteReference w:id="129"/>
      </w:r>
      <w:r>
        <w:rPr>
          <w:rFonts w:ascii="Times New Roman" w:hAnsi="Times New Roman"/>
          <w:noProof/>
          <w:sz w:val="24"/>
        </w:rPr>
        <w:t xml:space="preserve"> és eszközök</w:t>
      </w:r>
      <w:r>
        <w:rPr>
          <w:rStyle w:val="FootnoteReference"/>
          <w:rFonts w:ascii="Times New Roman" w:hAnsi="Times New Roman" w:cs="Times New Roman"/>
          <w:noProof/>
          <w:sz w:val="24"/>
        </w:rPr>
        <w:footnoteReference w:id="130"/>
      </w:r>
      <w:r>
        <w:rPr>
          <w:rFonts w:ascii="Times New Roman" w:hAnsi="Times New Roman"/>
          <w:noProof/>
          <w:sz w:val="24"/>
        </w:rPr>
        <w:t>.  Saját tőke, kvázi-sajáttőke, vállalati kötvények vagy ezekkel egyenértékű eszközök esetében:  a befektetési politika nem terjed ki azokra a vállalkozásokra, amelyek jelentős hangsúlyt</w:t>
      </w:r>
      <w:r>
        <w:rPr>
          <w:rStyle w:val="FootnoteReference"/>
          <w:rFonts w:ascii="Times New Roman" w:eastAsia="Times New Roman" w:hAnsi="Times New Roman" w:cs="Times New Roman"/>
          <w:noProof/>
          <w:sz w:val="24"/>
        </w:rPr>
        <w:footnoteReference w:id="131"/>
      </w:r>
      <w:r>
        <w:rPr>
          <w:rFonts w:ascii="Times New Roman" w:hAnsi="Times New Roman"/>
          <w:noProof/>
          <w:sz w:val="24"/>
        </w:rPr>
        <w:t xml:space="preserve"> fektetn</w:t>
      </w:r>
      <w:r>
        <w:rPr>
          <w:rFonts w:ascii="Times New Roman" w:hAnsi="Times New Roman"/>
          <w:noProof/>
          <w:sz w:val="24"/>
        </w:rPr>
        <w:t>ek a következő ágazatokra: fosszilis tüzelőanyagokon alapuló energiatermelés és kapcsolódó tevékenységek</w:t>
      </w:r>
      <w:r>
        <w:rPr>
          <w:rStyle w:val="FootnoteReference"/>
          <w:rFonts w:ascii="Times New Roman" w:eastAsia="Times New Roman" w:hAnsi="Times New Roman" w:cs="Times New Roman"/>
          <w:noProof/>
          <w:sz w:val="24"/>
        </w:rPr>
        <w:footnoteReference w:id="132"/>
      </w:r>
      <w:r>
        <w:rPr>
          <w:rFonts w:ascii="Times New Roman" w:hAnsi="Times New Roman"/>
          <w:noProof/>
          <w:sz w:val="24"/>
        </w:rPr>
        <w:t>; energiaigényes és/vagy magas szén-dioxid-kibocsátású iparágak</w:t>
      </w:r>
      <w:r>
        <w:rPr>
          <w:rStyle w:val="FootnoteReference"/>
          <w:rFonts w:ascii="Times New Roman" w:eastAsia="Times New Roman" w:hAnsi="Times New Roman" w:cs="Times New Roman"/>
          <w:noProof/>
          <w:sz w:val="24"/>
        </w:rPr>
        <w:footnoteReference w:id="133"/>
      </w:r>
      <w:r>
        <w:rPr>
          <w:rFonts w:ascii="Times New Roman" w:hAnsi="Times New Roman"/>
          <w:noProof/>
          <w:sz w:val="24"/>
        </w:rPr>
        <w:t>; szennyező járművek gyártása, bérlése vagy értékesítése</w:t>
      </w:r>
      <w:r>
        <w:rPr>
          <w:rStyle w:val="FootnoteReference"/>
          <w:rFonts w:ascii="Times New Roman" w:eastAsia="Times New Roman" w:hAnsi="Times New Roman" w:cs="Times New Roman"/>
          <w:noProof/>
          <w:sz w:val="24"/>
        </w:rPr>
        <w:footnoteReference w:id="134"/>
      </w:r>
      <w:r>
        <w:rPr>
          <w:rFonts w:ascii="Times New Roman" w:hAnsi="Times New Roman"/>
          <w:noProof/>
          <w:sz w:val="24"/>
        </w:rPr>
        <w:t>; hulladékgyűjtés, hulladékkez</w:t>
      </w:r>
      <w:r>
        <w:rPr>
          <w:rFonts w:ascii="Times New Roman" w:hAnsi="Times New Roman"/>
          <w:noProof/>
          <w:sz w:val="24"/>
        </w:rPr>
        <w:t>elés és -ártalmatlanítás</w:t>
      </w:r>
      <w:r>
        <w:rPr>
          <w:rStyle w:val="FootnoteReference"/>
          <w:rFonts w:ascii="Times New Roman" w:eastAsia="Times New Roman" w:hAnsi="Times New Roman" w:cs="Times New Roman"/>
          <w:noProof/>
          <w:sz w:val="24"/>
        </w:rPr>
        <w:footnoteReference w:id="135"/>
      </w:r>
      <w:r>
        <w:rPr>
          <w:rFonts w:ascii="Times New Roman" w:hAnsi="Times New Roman"/>
          <w:noProof/>
          <w:sz w:val="24"/>
        </w:rPr>
        <w:t>, v. nukleáris fűtőanyag feldolgozása, atomenergia előállítása.</w:t>
      </w:r>
    </w:p>
    <w:p w14:paraId="07CDEDD8" w14:textId="77777777" w:rsidR="003E1D81" w:rsidRDefault="00EB481C">
      <w:pPr>
        <w:pStyle w:val="P68B1DB1-ListParagraph7"/>
        <w:numPr>
          <w:ilvl w:val="2"/>
          <w:numId w:val="745"/>
        </w:numPr>
        <w:jc w:val="both"/>
        <w:rPr>
          <w:rFonts w:eastAsia="Times New Roman" w:cs="Times New Roman"/>
          <w:noProof/>
        </w:rPr>
      </w:pPr>
      <w:r>
        <w:rPr>
          <w:noProof/>
        </w:rPr>
        <w:t>A beruházási politikának továbbá elő kell írnia, hogy az eszköz végső kedvezményezettjei megfeleljenek a vonatkozó uniós és nemzeti környezetvédelmi jogszabályoknak.</w:t>
      </w:r>
    </w:p>
    <w:p w14:paraId="022A3AD5" w14:textId="77777777" w:rsidR="003E1D81" w:rsidRDefault="00EB481C">
      <w:pPr>
        <w:pStyle w:val="P68B1DB1-ListParagraph7"/>
        <w:numPr>
          <w:ilvl w:val="1"/>
          <w:numId w:val="745"/>
        </w:numPr>
        <w:jc w:val="both"/>
        <w:rPr>
          <w:rFonts w:eastAsia="Times New Roman" w:cs="Times New Roman"/>
          <w:noProof/>
        </w:rPr>
      </w:pPr>
      <w:r>
        <w:rPr>
          <w:noProof/>
        </w:rPr>
        <w:t>A</w:t>
      </w:r>
      <w:r>
        <w:rPr>
          <w:noProof/>
        </w:rPr>
        <w:t>z a követelmény, hogy a hitelezési eszköz végső kedvezményezettjei nem részesülhetnek támogatásban más uniós eszközökből ugyanazon költségek fedezésére.</w:t>
      </w:r>
    </w:p>
    <w:p w14:paraId="291FBC2C" w14:textId="54BBCD14" w:rsidR="003E1D81" w:rsidRDefault="00EB481C">
      <w:pPr>
        <w:pStyle w:val="P68B1DB1-ListParagraph7"/>
        <w:numPr>
          <w:ilvl w:val="0"/>
          <w:numId w:val="745"/>
        </w:numPr>
        <w:jc w:val="both"/>
        <w:rPr>
          <w:rFonts w:eastAsia="Times New Roman" w:cs="Times New Roman"/>
          <w:noProof/>
        </w:rPr>
      </w:pPr>
      <w:r>
        <w:rPr>
          <w:noProof/>
        </w:rPr>
        <w:t xml:space="preserve">Az eszközt létrehozó rendeletek és bármely kapcsolódó dokumentum hatálya alá tartozó összeg, a </w:t>
      </w:r>
      <w:r>
        <w:rPr>
          <w:noProof/>
        </w:rPr>
        <w:t>végrehajtó partner díjstruktúrája, valamint a visszaáramlások újbóli befektetésére vonatkozó követelmény az eszköz beruházási politikájának megfelelően, kivéve, ha azokat a Helyreállítási és Rezilienciaépítési Eszköz hiteltörlesztéseinek teljesítésére hasz</w:t>
      </w:r>
      <w:r>
        <w:rPr>
          <w:noProof/>
        </w:rPr>
        <w:t>nálják fel.</w:t>
      </w:r>
    </w:p>
    <w:p w14:paraId="41829FB4" w14:textId="77777777" w:rsidR="003E1D81" w:rsidRDefault="00EB481C">
      <w:pPr>
        <w:pStyle w:val="P68B1DB1-ListParagraph7"/>
        <w:numPr>
          <w:ilvl w:val="0"/>
          <w:numId w:val="745"/>
        </w:numPr>
        <w:jc w:val="both"/>
        <w:rPr>
          <w:rFonts w:eastAsia="Times New Roman" w:cs="Times New Roman"/>
          <w:noProof/>
        </w:rPr>
      </w:pPr>
      <w:r>
        <w:rPr>
          <w:noProof/>
        </w:rPr>
        <w:t>Nyomonkövetési, ellenőrzési és ellenőrzési követelmények, beleértve a következőket:</w:t>
      </w:r>
    </w:p>
    <w:p w14:paraId="4B35A451" w14:textId="77777777" w:rsidR="003E1D81" w:rsidRDefault="00EB481C">
      <w:pPr>
        <w:pStyle w:val="P68B1DB1-ListParagraph7"/>
        <w:numPr>
          <w:ilvl w:val="1"/>
          <w:numId w:val="745"/>
        </w:numPr>
        <w:jc w:val="both"/>
        <w:rPr>
          <w:rFonts w:eastAsia="Times New Roman" w:cs="Times New Roman"/>
          <w:noProof/>
        </w:rPr>
      </w:pPr>
      <w:r>
        <w:rPr>
          <w:noProof/>
        </w:rPr>
        <w:t>A végrehajtó partner által a mozgósított beruházásról való jelentéstételre szolgáló nyomonkövetési rendszer leírása.</w:t>
      </w:r>
    </w:p>
    <w:p w14:paraId="63ED8ECA" w14:textId="77777777" w:rsidR="003E1D81" w:rsidRDefault="00EB481C">
      <w:pPr>
        <w:pStyle w:val="P68B1DB1-ListParagraph7"/>
        <w:numPr>
          <w:ilvl w:val="1"/>
          <w:numId w:val="745"/>
        </w:numPr>
        <w:jc w:val="both"/>
        <w:rPr>
          <w:rFonts w:eastAsia="Times New Roman" w:cs="Times New Roman"/>
          <w:noProof/>
        </w:rPr>
      </w:pPr>
      <w:r>
        <w:rPr>
          <w:noProof/>
        </w:rPr>
        <w:t>A végrehajtó partner azon eljárásainak leír</w:t>
      </w:r>
      <w:r>
        <w:rPr>
          <w:noProof/>
        </w:rPr>
        <w:t xml:space="preserve">ása, amelyek biztosítják a csalás, a korrupció és az összeférhetetlenség megelőzését, feltárását és korrekcióját. </w:t>
      </w:r>
    </w:p>
    <w:p w14:paraId="2B8BD3A5" w14:textId="507378C4" w:rsidR="003E1D81" w:rsidRDefault="00EB481C">
      <w:pPr>
        <w:pStyle w:val="P68B1DB1-ListParagraph7"/>
        <w:numPr>
          <w:ilvl w:val="1"/>
          <w:numId w:val="745"/>
        </w:numPr>
        <w:jc w:val="both"/>
        <w:rPr>
          <w:rFonts w:eastAsia="Times New Roman" w:cs="Times New Roman"/>
          <w:noProof/>
        </w:rPr>
      </w:pPr>
      <w:r>
        <w:rPr>
          <w:noProof/>
        </w:rPr>
        <w:t>Minden művelet támogathatóságának a Békekeretet létrehozó rendeletekben meghatározott követelményekkel összhangban történő ellenőrzésére vona</w:t>
      </w:r>
      <w:r>
        <w:rPr>
          <w:noProof/>
        </w:rPr>
        <w:t>tkozó kötelezettség, mielőtt kötelezettséget vállalnának egy művelet finanszírozására.</w:t>
      </w:r>
    </w:p>
    <w:p w14:paraId="2E4328E0" w14:textId="5D1F4667" w:rsidR="003E1D81" w:rsidRDefault="00EB481C">
      <w:pPr>
        <w:pStyle w:val="P68B1DB1-ListParagraph7"/>
        <w:numPr>
          <w:ilvl w:val="1"/>
          <w:numId w:val="745"/>
        </w:numPr>
        <w:jc w:val="both"/>
        <w:rPr>
          <w:rFonts w:eastAsia="Times New Roman" w:cs="Times New Roman"/>
          <w:noProof/>
        </w:rPr>
      </w:pPr>
      <w:r>
        <w:rPr>
          <w:noProof/>
        </w:rPr>
        <w:t>A kockázatalapú utólagos ellenőrzéseknek a COFIDES ellenőrzési tervével összhangban történő elvégzésére vonatkozó kötelezettség. Ezek az ellenőrzések azt vizsgálják, hog</w:t>
      </w:r>
      <w:r>
        <w:rPr>
          <w:noProof/>
        </w:rPr>
        <w:t>y i. a kontrollrendszerek hatékonyak-e, beleértve a csalás, a korrupció és az összeférhetetlenség feltárását; a DNSH-elvnek, az állami támogatási szabályoknak, valamint az éghajlat-politikai és digitális célkitűzésekre vonatkozó követelményeknek való megfe</w:t>
      </w:r>
      <w:r>
        <w:rPr>
          <w:noProof/>
        </w:rPr>
        <w:t>lelés; és iii. teljesül az a követelmény, amely szerint a közvetítőnek ellenőriznie kell, hogy a végső kedvezményezett felelősségteljes nyilatkozatot nyújt-e be annak ellenőrzésére, hogy ugyanazt a költséget egy másik uniós eszköz fedezi-e. Az ellenőrzések</w:t>
      </w:r>
      <w:r>
        <w:rPr>
          <w:noProof/>
        </w:rPr>
        <w:t xml:space="preserve">nek azt is ellenőrizniük kell, hogy az ügyletek jogszerűek-e, valamint hogy betartják-e az alkalmazandó rendeletben, valamint a Békekeretet és a finanszírozási megállapodásokat létrehozó kapcsolódó dokumentumokban foglalt feltételeket. </w:t>
      </w:r>
    </w:p>
    <w:p w14:paraId="6183DB3C" w14:textId="1785D899" w:rsidR="003E1D81" w:rsidRDefault="00EB481C">
      <w:pPr>
        <w:pStyle w:val="P68B1DB1-ListParagraph7"/>
        <w:numPr>
          <w:ilvl w:val="0"/>
          <w:numId w:val="745"/>
        </w:numPr>
        <w:jc w:val="both"/>
        <w:rPr>
          <w:rFonts w:eastAsia="Times New Roman" w:cs="Times New Roman"/>
          <w:noProof/>
        </w:rPr>
      </w:pPr>
      <w:r>
        <w:rPr>
          <w:noProof/>
        </w:rPr>
        <w:t>A pénzügyi közvetít</w:t>
      </w:r>
      <w:r>
        <w:rPr>
          <w:noProof/>
        </w:rPr>
        <w:t xml:space="preserve">ők kiválasztására vonatkozó követelmények: A COFIDES nyílt, átlátható és megkülönböztetésmentes módon választja ki a pénzügyi közvetítőket. A pénzügyi közvetítőket érintő összeférhetetlenség hiányát előzetesen ellenőrizni kell, és minden érintett pénzügyi </w:t>
      </w:r>
      <w:r>
        <w:rPr>
          <w:noProof/>
        </w:rPr>
        <w:t xml:space="preserve">szereplő esetében olyan informatikai rendszeren keresztül kell elvégezni, mint a Minerva.  </w:t>
      </w:r>
    </w:p>
    <w:p w14:paraId="1A7E800A" w14:textId="373DEF41" w:rsidR="003E1D81" w:rsidRDefault="00EB481C">
      <w:pPr>
        <w:pStyle w:val="P68B1DB1-ListParagraph7"/>
        <w:numPr>
          <w:ilvl w:val="0"/>
          <w:numId w:val="745"/>
        </w:numPr>
        <w:jc w:val="both"/>
        <w:rPr>
          <w:rFonts w:eastAsia="Times New Roman" w:cs="Times New Roman"/>
          <w:noProof/>
        </w:rPr>
      </w:pPr>
      <w:r>
        <w:rPr>
          <w:noProof/>
        </w:rPr>
        <w:t>Finanszírozási megállapodások aláírásának kötelezettsége: A COFIDES finanszírozási megállapodásokat ír alá a pénzügyi közvetítőkkel, összhangban az eszközt létrehoz</w:t>
      </w:r>
      <w:r>
        <w:rPr>
          <w:noProof/>
        </w:rPr>
        <w:t xml:space="preserve">ó kapcsolódó dokumentumok részeként benyújtandó kulcsfontosságú követelményekkel. A finanszírozási megállapodás fő követelményei magukban foglalják mindazokat a követelményeket, amelyek alapján a Békekeret működik, beleértve a következőket:  </w:t>
      </w:r>
    </w:p>
    <w:p w14:paraId="7FAEF67A" w14:textId="211B2007" w:rsidR="003E1D81" w:rsidRDefault="00EB481C">
      <w:pPr>
        <w:pStyle w:val="P68B1DB1-ListParagraph7"/>
        <w:numPr>
          <w:ilvl w:val="1"/>
          <w:numId w:val="745"/>
        </w:numPr>
        <w:jc w:val="both"/>
        <w:rPr>
          <w:rFonts w:cs="Times New Roman"/>
          <w:noProof/>
        </w:rPr>
      </w:pPr>
      <w:r>
        <w:rPr>
          <w:noProof/>
        </w:rPr>
        <w:t xml:space="preserve">A </w:t>
      </w:r>
      <w:bookmarkStart w:id="39" w:name="_Hlk139304194"/>
      <w:r>
        <w:rPr>
          <w:noProof/>
        </w:rPr>
        <w:t>pénzügyi kö</w:t>
      </w:r>
      <w:r>
        <w:rPr>
          <w:noProof/>
        </w:rPr>
        <w:t xml:space="preserve">zvetítő azon kötelezettsége, hogy döntéseit </w:t>
      </w:r>
      <w:r>
        <w:rPr>
          <w:i/>
          <w:noProof/>
        </w:rPr>
        <w:t>értelemszerűen</w:t>
      </w:r>
      <w:r>
        <w:rPr>
          <w:noProof/>
        </w:rPr>
        <w:t xml:space="preserve"> a fent meghatározott döntéshozatali és befektetési politikai követelményeknek megfelelően hozza meg, beleértve a DNSH-elv tiszteletben tartásával kapcsolatosakat is. </w:t>
      </w:r>
    </w:p>
    <w:p w14:paraId="7632968F" w14:textId="28A85F92" w:rsidR="003E1D81" w:rsidRDefault="00EB481C">
      <w:pPr>
        <w:pStyle w:val="P68B1DB1-ListParagraph7"/>
        <w:numPr>
          <w:ilvl w:val="1"/>
          <w:numId w:val="745"/>
        </w:numPr>
        <w:jc w:val="both"/>
        <w:rPr>
          <w:rFonts w:cs="Times New Roman"/>
          <w:noProof/>
        </w:rPr>
      </w:pPr>
      <w:r>
        <w:rPr>
          <w:noProof/>
        </w:rPr>
        <w:t>A pénzügyi közvetítő által lét</w:t>
      </w:r>
      <w:r>
        <w:rPr>
          <w:noProof/>
        </w:rPr>
        <w:t xml:space="preserve">rehozandó monitoring-, audit- és kontrollkeret leírása, amelyre </w:t>
      </w:r>
      <w:r>
        <w:rPr>
          <w:i/>
          <w:noProof/>
        </w:rPr>
        <w:t>értelemszerűen</w:t>
      </w:r>
      <w:r>
        <w:rPr>
          <w:noProof/>
        </w:rPr>
        <w:t xml:space="preserve"> a fent meghatározott valamennyi nyomonkövetési, ellenőrzési és kontrollkövetelmény vonatkozik.  </w:t>
      </w:r>
    </w:p>
    <w:bookmarkEnd w:id="37"/>
    <w:p w14:paraId="0DC6F00D" w14:textId="77777777" w:rsidR="003E1D81" w:rsidRDefault="00EB481C">
      <w:pPr>
        <w:pStyle w:val="P68B1DB1-Normal4"/>
        <w:spacing w:line="240" w:lineRule="auto"/>
        <w:jc w:val="both"/>
        <w:rPr>
          <w:rFonts w:eastAsia="Times New Roman" w:cs="Times New Roman"/>
          <w:noProof/>
        </w:rPr>
      </w:pPr>
      <w:r>
        <w:rPr>
          <w:noProof/>
        </w:rPr>
        <w:t>Az intézkedés végrehajtását 2026. augusztus 31-ig be kell fejezni.</w:t>
      </w:r>
    </w:p>
    <w:bookmarkEnd w:id="39"/>
    <w:p w14:paraId="23F3DF31" w14:textId="790E6F5B" w:rsidR="003E1D81" w:rsidRDefault="00EB481C">
      <w:pPr>
        <w:pStyle w:val="P68B1DB1-Normal6"/>
        <w:spacing w:line="240" w:lineRule="auto"/>
        <w:jc w:val="both"/>
        <w:rPr>
          <w:rFonts w:cs="Times New Roman"/>
          <w:noProof/>
        </w:rPr>
      </w:pPr>
      <w:r>
        <w:rPr>
          <w:noProof/>
        </w:rPr>
        <w:t xml:space="preserve">Beruházás </w:t>
      </w:r>
      <w:r>
        <w:rPr>
          <w:noProof/>
        </w:rPr>
        <w:t>(C13.I9) – Stratégiai vállalkozások Fizetőképesség-támogatási Alap (FASEE)</w:t>
      </w:r>
    </w:p>
    <w:p w14:paraId="5DC624AE" w14:textId="0DEAAB55" w:rsidR="003E1D81" w:rsidRDefault="00EB481C">
      <w:pPr>
        <w:pStyle w:val="P68B1DB1-Normal4"/>
        <w:spacing w:line="240" w:lineRule="auto"/>
        <w:jc w:val="both"/>
        <w:rPr>
          <w:rFonts w:cs="Times New Roman"/>
          <w:noProof/>
        </w:rPr>
      </w:pPr>
      <w:r>
        <w:rPr>
          <w:noProof/>
        </w:rPr>
        <w:t>Ez a beruházás a Stratégiai Vállalkozások Fizetőképesség-támogatási Alapjából áll, amely ideiglenes fizetőképességi támogatást nyújt a Covid19-világjárvány által érintett gazdaságil</w:t>
      </w:r>
      <w:r>
        <w:rPr>
          <w:noProof/>
        </w:rPr>
        <w:t>ag stratégiai ágazatokban működő életképes és stratégiai vállalatoknak. Ez a beruházás csak azokra a műveletekre terjedhet ki, amelyek megfelelnek a DNSH-elvnek, az állami támogatási szabályoknak, az összeférhetetlenség hiányának és a kettős finanszírozásn</w:t>
      </w:r>
      <w:r>
        <w:rPr>
          <w:noProof/>
        </w:rPr>
        <w:t xml:space="preserve">ak. E követelmények teljesítésének, valamint a Helyreállítási és Rezilienciaépítési Eszközről szóló rendelet 22. cikkében meghatározott adatgyűjtésnek az ellenőrzése céljából független ellenőr által végzett utólagos ellenőrzést kell végezni. </w:t>
      </w:r>
    </w:p>
    <w:p w14:paraId="3D70B6E5" w14:textId="5FFDBA70" w:rsidR="003E1D81" w:rsidRDefault="00EB481C">
      <w:pPr>
        <w:pStyle w:val="P68B1DB1-Normal4"/>
        <w:spacing w:line="240" w:lineRule="auto"/>
        <w:jc w:val="both"/>
        <w:rPr>
          <w:rFonts w:eastAsia="Times New Roman" w:cs="Times New Roman"/>
          <w:noProof/>
        </w:rPr>
      </w:pPr>
      <w:r>
        <w:rPr>
          <w:noProof/>
        </w:rPr>
        <w:t>Az Alap művel</w:t>
      </w:r>
      <w:r>
        <w:rPr>
          <w:noProof/>
        </w:rPr>
        <w:t>eteihez kapcsolódó minden visszaáramlást hasonló módon kell befektetni mindaddig, amíg azokat a Helyreállítási és Rezilienciaépítési Eszköz hiteltörlesztéseinek teljesítésére használják fel.</w:t>
      </w:r>
    </w:p>
    <w:p w14:paraId="3FD64375" w14:textId="3F0A0ED4" w:rsidR="003E1D81" w:rsidRDefault="00EB481C">
      <w:pPr>
        <w:pStyle w:val="P68B1DB1-Normal4"/>
        <w:spacing w:line="240" w:lineRule="auto"/>
        <w:jc w:val="both"/>
        <w:rPr>
          <w:rFonts w:eastAsia="Times New Roman" w:cs="Times New Roman"/>
          <w:noProof/>
        </w:rPr>
      </w:pPr>
      <w:r>
        <w:rPr>
          <w:noProof/>
        </w:rPr>
        <w:t>Az intézkedés végrehajtását 2024. június 30-ig be kell fejezni.</w:t>
      </w:r>
    </w:p>
    <w:p w14:paraId="0516DAEF" w14:textId="13F6AB23" w:rsidR="003E1D81" w:rsidRDefault="00EB481C">
      <w:pPr>
        <w:pStyle w:val="P68B1DB1-Normal6"/>
        <w:spacing w:line="240" w:lineRule="auto"/>
        <w:jc w:val="both"/>
        <w:rPr>
          <w:rFonts w:cs="Times New Roman"/>
          <w:noProof/>
        </w:rPr>
      </w:pPr>
      <w:r>
        <w:rPr>
          <w:noProof/>
        </w:rPr>
        <w:t>B</w:t>
      </w:r>
      <w:r>
        <w:rPr>
          <w:noProof/>
        </w:rPr>
        <w:t>eruházás (C13.I10) – A Covid19-cel kapcsolatos üzleti feltőkésítési alap (FONREC)</w:t>
      </w:r>
    </w:p>
    <w:p w14:paraId="58D9A79D" w14:textId="629A39B2" w:rsidR="003E1D81" w:rsidRDefault="00EB481C">
      <w:pPr>
        <w:pStyle w:val="P68B1DB1-Normal4"/>
        <w:spacing w:line="240" w:lineRule="auto"/>
        <w:jc w:val="both"/>
        <w:rPr>
          <w:rFonts w:eastAsia="Times New Roman" w:cs="Times New Roman"/>
          <w:noProof/>
        </w:rPr>
      </w:pPr>
      <w:r>
        <w:rPr>
          <w:noProof/>
        </w:rPr>
        <w:t>Ez a beruházás egy Covid19-cel kapcsolatos üzleti feltőkésítési alapból áll, amely ideiglenes fizetőképességi támogatást nyújt a Covid19-világjárvány által érintett életképes</w:t>
      </w:r>
      <w:r>
        <w:rPr>
          <w:noProof/>
        </w:rPr>
        <w:t xml:space="preserve"> középvállalkozásoknak (10 millió EUR és 400 millió EUR közötti forgalom). Ez a beruházás csak azokra a műveletekre terjedhet ki, amelyek megfelelnek a DNSH-elvnek, az állami támogatási szabályoknak, az összeférhetetlenség hiányának és a kettős finanszíroz</w:t>
      </w:r>
      <w:r>
        <w:rPr>
          <w:noProof/>
        </w:rPr>
        <w:t xml:space="preserve">ásnak. E követelmények teljesítésének, valamint a Helyreállítási és Rezilienciaépítési Eszközről szóló rendelet 22. cikkében meghatározott adatgyűjtésnek az ellenőrzése céljából független ellenőr által végzett utólagos ellenőrzést kell végezni. </w:t>
      </w:r>
    </w:p>
    <w:p w14:paraId="028BA1F7" w14:textId="23E64E01" w:rsidR="003E1D81" w:rsidRDefault="00EB481C">
      <w:pPr>
        <w:pStyle w:val="P68B1DB1-Normal4"/>
        <w:spacing w:line="240" w:lineRule="auto"/>
        <w:jc w:val="both"/>
        <w:rPr>
          <w:rFonts w:eastAsia="Times New Roman" w:cs="Times New Roman"/>
          <w:noProof/>
        </w:rPr>
      </w:pPr>
      <w:r>
        <w:rPr>
          <w:noProof/>
        </w:rPr>
        <w:t>Az Alap mű</w:t>
      </w:r>
      <w:r>
        <w:rPr>
          <w:noProof/>
        </w:rPr>
        <w:t>veleteihez kapcsolódó minden visszaáramlást hasonló módon kell befektetni mindaddig, amíg azokat a Helyreállítási és Rezilienciaépítési Eszköz hiteltörlesztéseinek teljesítésére használják fel.</w:t>
      </w:r>
    </w:p>
    <w:p w14:paraId="00630E32" w14:textId="3A62C748" w:rsidR="003E1D81" w:rsidRDefault="00EB481C">
      <w:pPr>
        <w:pStyle w:val="P68B1DB1-Normal4"/>
        <w:spacing w:line="240" w:lineRule="auto"/>
        <w:jc w:val="both"/>
        <w:rPr>
          <w:rFonts w:eastAsia="Times New Roman" w:cs="Times New Roman"/>
          <w:noProof/>
        </w:rPr>
      </w:pPr>
      <w:r>
        <w:rPr>
          <w:noProof/>
        </w:rPr>
        <w:t>Az intézkedés végrehajtását 2025. június 30-ig be kell fejezni</w:t>
      </w:r>
      <w:r>
        <w:rPr>
          <w:noProof/>
        </w:rPr>
        <w:t>.</w:t>
      </w:r>
    </w:p>
    <w:p w14:paraId="6AE575C2" w14:textId="77777777" w:rsidR="003E1D81" w:rsidRDefault="00EB481C">
      <w:pPr>
        <w:pStyle w:val="P68B1DB1-Normal6"/>
        <w:spacing w:line="240" w:lineRule="auto"/>
        <w:jc w:val="both"/>
        <w:rPr>
          <w:rFonts w:cs="Times New Roman"/>
          <w:noProof/>
        </w:rPr>
      </w:pPr>
      <w:r>
        <w:rPr>
          <w:noProof/>
        </w:rPr>
        <w:t>Beruházás (C13.I11) – Garanciaeszköz SGR-CERSA</w:t>
      </w:r>
    </w:p>
    <w:p w14:paraId="7FE38B5C" w14:textId="6E240A57" w:rsidR="003E1D81" w:rsidRDefault="00EB481C">
      <w:pPr>
        <w:pStyle w:val="P68B1DB1-Normal4"/>
        <w:spacing w:line="240" w:lineRule="auto"/>
        <w:jc w:val="both"/>
        <w:rPr>
          <w:rFonts w:cs="Times New Roman"/>
          <w:noProof/>
        </w:rPr>
      </w:pPr>
      <w:r>
        <w:rPr>
          <w:noProof/>
        </w:rPr>
        <w:t xml:space="preserve">E beruházás célja a C13.I2. intézkedés kiegészítése. Javítja a kkv-k és a közepes piaci tőkeértékű vállalatok finanszírozáshoz való hozzáférését azáltal, hogy a Compañia Española de Reafianzamiento SME S.A. </w:t>
      </w:r>
      <w:r>
        <w:rPr>
          <w:noProof/>
        </w:rPr>
        <w:t>(CERSA) megerősítése révén pénzügyi, kereskedelmi és technikai garanciák formájában nyújt támogatást. E cselekvési irányvonal részeként a CERSA viszontgarancia-fedezetén keresztül hosszú távú támogatást nyújt a regionális kölcsönös garanciavállaló társaság</w:t>
      </w:r>
      <w:r>
        <w:rPr>
          <w:noProof/>
        </w:rPr>
        <w:t>oknak, fedezve az általuk viselt kockázatot. A CERSA-nak elő kell mozdítania a kkv-k és a közepes piaci tőkeértékű vállalatok versenyképességét és rezilienciáját, többek között három új, célzott költségvetési sor révén, amelyek lehetővé teszik a hosszú táv</w:t>
      </w:r>
      <w:r>
        <w:rPr>
          <w:noProof/>
        </w:rPr>
        <w:t xml:space="preserve">ú finanszírozási és működőtőke-műveletekhez való hozzáférést az e beruházás keretében a következő területeken végrehajtott fellépésekhez: digitalizáció; fenntarthatóság; növekedés és helyreállítás (a reziliencia megerősítése, főként a Covid19-világjárvány </w:t>
      </w:r>
      <w:r>
        <w:rPr>
          <w:noProof/>
        </w:rPr>
        <w:t>által érintett kkv-k számára, amelyek készek jelentős átalakítási és növekedési terveket készíteni). A digitális innovációs központoknak és más kezdeményezéseknek elő kell mozdítaniuk a CERSA és a SGR keretében nyújtott garanciákat, hogy tájékoztassák a vá</w:t>
      </w:r>
      <w:r>
        <w:rPr>
          <w:noProof/>
        </w:rPr>
        <w:t>llalkozásokat a digitalizáció rendelkezésre álló támogatásáról.</w:t>
      </w:r>
    </w:p>
    <w:p w14:paraId="214C2E76" w14:textId="2A00B354" w:rsidR="003E1D81" w:rsidRDefault="00EB481C">
      <w:pPr>
        <w:pStyle w:val="P68B1DB1-Normal4"/>
        <w:spacing w:line="240" w:lineRule="auto"/>
        <w:jc w:val="both"/>
        <w:rPr>
          <w:rFonts w:cs="Times New Roman"/>
          <w:noProof/>
        </w:rPr>
      </w:pPr>
      <w:r>
        <w:rPr>
          <w:noProof/>
        </w:rPr>
        <w:t>A Helyreállítási és Rezilienciaépítési Eszköz 630 000 000 EUR összegű beruházása alapján a CERSA célja kezdetben legalább 2 100 000 000 EUR összegű finanszírozás biztosítása.</w:t>
      </w:r>
    </w:p>
    <w:p w14:paraId="58BE6325" w14:textId="77777777" w:rsidR="003E1D81" w:rsidRDefault="00EB481C">
      <w:pPr>
        <w:pStyle w:val="P68B1DB1-Normal4"/>
        <w:spacing w:line="240" w:lineRule="auto"/>
        <w:jc w:val="both"/>
        <w:rPr>
          <w:rFonts w:eastAsia="Times New Roman" w:cs="Times New Roman"/>
          <w:noProof/>
        </w:rPr>
      </w:pPr>
      <w:r>
        <w:rPr>
          <w:noProof/>
        </w:rPr>
        <w:t>Az intézkedés vég</w:t>
      </w:r>
      <w:r>
        <w:rPr>
          <w:noProof/>
        </w:rPr>
        <w:t>rehajtását 2026. augusztus 31-ig be kell fejezni.</w:t>
      </w:r>
    </w:p>
    <w:p w14:paraId="57663A3D" w14:textId="77777777" w:rsidR="003E1D81" w:rsidRDefault="00EB481C">
      <w:pPr>
        <w:pStyle w:val="P68B1DB1-Normal6"/>
        <w:spacing w:line="240" w:lineRule="auto"/>
        <w:rPr>
          <w:rFonts w:cs="Times New Roman"/>
          <w:noProof/>
        </w:rPr>
      </w:pPr>
      <w:r>
        <w:rPr>
          <w:noProof/>
        </w:rPr>
        <w:t>Beruházás (C13.I12</w:t>
      </w:r>
      <w:bookmarkStart w:id="40" w:name="_Hlk141289377"/>
      <w:r>
        <w:rPr>
          <w:noProof/>
        </w:rPr>
        <w:t>) – ENISA Vállalkozói és Kkv-alap</w:t>
      </w:r>
      <w:bookmarkEnd w:id="40"/>
    </w:p>
    <w:p w14:paraId="1ACF6A29" w14:textId="76ABBE32" w:rsidR="003E1D81" w:rsidRDefault="00EB481C">
      <w:pPr>
        <w:pStyle w:val="P68B1DB1-Normal4"/>
        <w:jc w:val="both"/>
        <w:rPr>
          <w:rFonts w:cs="Times New Roman"/>
          <w:noProof/>
        </w:rPr>
      </w:pPr>
      <w:r>
        <w:rPr>
          <w:noProof/>
        </w:rPr>
        <w:t>Ez az intézkedés egy eszközbe, az ENISA vállalkozási és kkv-alapjába történő közberuházásból áll annak érdekében, hogy ösztönözze a magánberuházásokat, és</w:t>
      </w:r>
      <w:r>
        <w:rPr>
          <w:noProof/>
        </w:rPr>
        <w:t xml:space="preserve"> javítsa a kis- és középvállalkozások (kkv-k) finanszírozáshoz jutását a PERTE New Economy of Language (NEL) részeként életképes és innovatív projektekbe és a nyelvtechnológiával kapcsolatos projektekbe való beruházás céljából. A hitelezési eszköz közvetle</w:t>
      </w:r>
      <w:r>
        <w:rPr>
          <w:noProof/>
        </w:rPr>
        <w:t>nül a magánszektornak, valamint a hasonló tevékenységet folytató közszektorbeli intézményeknek nyújtott részesedésszerzési célú hitelek révén működik. A Helyreállítási és Rezilienciaépítési Eszköz beruházásai alapján az eszköz célja kezdetben legalább 303 </w:t>
      </w:r>
      <w:r>
        <w:rPr>
          <w:noProof/>
        </w:rPr>
        <w:t>000 000 EUR összegű finanszírozás biztosítása.</w:t>
      </w:r>
    </w:p>
    <w:p w14:paraId="439990B7" w14:textId="77777777" w:rsidR="003E1D81" w:rsidRDefault="00EB481C">
      <w:pPr>
        <w:pStyle w:val="P68B1DB1-LegalNumPar230"/>
        <w:numPr>
          <w:ilvl w:val="1"/>
          <w:numId w:val="0"/>
        </w:numPr>
        <w:spacing w:line="240" w:lineRule="auto"/>
        <w:jc w:val="both"/>
        <w:rPr>
          <w:rFonts w:cs="Times New Roman"/>
          <w:noProof/>
        </w:rPr>
      </w:pPr>
      <w:r>
        <w:rPr>
          <w:noProof/>
        </w:rPr>
        <w:t xml:space="preserve">Az eszközt végrehajtó partnerként az Állami Innovációs Vállalat (Empresa Nacional de Innovación, SA – ENISA) kezeli. </w:t>
      </w:r>
    </w:p>
    <w:p w14:paraId="75519CE9" w14:textId="1DC569E6" w:rsidR="003E1D81" w:rsidRDefault="00EB481C">
      <w:pPr>
        <w:pStyle w:val="P68B1DB1-LegalNumPar230"/>
        <w:numPr>
          <w:ilvl w:val="1"/>
          <w:numId w:val="0"/>
        </w:numPr>
        <w:spacing w:line="240" w:lineRule="auto"/>
        <w:jc w:val="both"/>
        <w:rPr>
          <w:rFonts w:cs="Times New Roman"/>
          <w:noProof/>
        </w:rPr>
      </w:pPr>
      <w:r>
        <w:rPr>
          <w:noProof/>
        </w:rPr>
        <w:t>Az eszközbe történő beruházás végrehajtása érdekében Spanyolországnak és az ENISA-nak végre</w:t>
      </w:r>
      <w:r>
        <w:rPr>
          <w:noProof/>
        </w:rPr>
        <w:t>hajtási megállapodást kell aláírnia, amely a következő tartalommal rendelkezik:</w:t>
      </w:r>
    </w:p>
    <w:p w14:paraId="1B9FEF74" w14:textId="650190A0" w:rsidR="003E1D81" w:rsidRDefault="00EB481C">
      <w:pPr>
        <w:pStyle w:val="P68B1DB1-LegalNumPar29"/>
        <w:numPr>
          <w:ilvl w:val="0"/>
          <w:numId w:val="777"/>
        </w:numPr>
        <w:jc w:val="both"/>
        <w:rPr>
          <w:rFonts w:eastAsia="Times New Roman" w:cs="Times New Roman"/>
          <w:noProof/>
        </w:rPr>
      </w:pPr>
      <w:r>
        <w:rPr>
          <w:noProof/>
        </w:rPr>
        <w:t>Az eszköz döntéshozatali folyamatának leírása: A Keret kezdeti beruházási döntését beruházási bizottság hozza meg, és azt a spanyol kormánytól független tagok szavazatainak töb</w:t>
      </w:r>
      <w:r>
        <w:rPr>
          <w:noProof/>
        </w:rPr>
        <w:t>bségével kell jóváhagyni. Az ENISA esetében a beruházási bizottságot az ENISA személyzetének tagjai (akik függetlenek a kormánytól). A Békekeret végleges beruházási döntése a beruházási bizottság vagy azzal egyenértékű irányító testület által javasolt beru</w:t>
      </w:r>
      <w:r>
        <w:rPr>
          <w:noProof/>
        </w:rPr>
        <w:t>házási döntéssel kapcsolatos vétójog (módosítás nélküli) jóváhagyására vagy gyakorlására korlátozódik. </w:t>
      </w:r>
    </w:p>
    <w:p w14:paraId="1A8676AB" w14:textId="77777777" w:rsidR="003E1D81" w:rsidRDefault="00EB481C">
      <w:pPr>
        <w:pStyle w:val="P68B1DB1-LegalNumPar29"/>
        <w:numPr>
          <w:ilvl w:val="0"/>
          <w:numId w:val="777"/>
        </w:numPr>
        <w:jc w:val="both"/>
        <w:rPr>
          <w:rFonts w:cs="Times New Roman"/>
          <w:noProof/>
        </w:rPr>
      </w:pPr>
      <w:r>
        <w:rPr>
          <w:noProof/>
        </w:rPr>
        <w:t>A kapcsolódó befektetési politika fő követelményei,</w:t>
      </w:r>
      <w:r>
        <w:rPr>
          <w:b/>
          <w:noProof/>
        </w:rPr>
        <w:t xml:space="preserve"> </w:t>
      </w:r>
      <w:r>
        <w:rPr>
          <w:noProof/>
        </w:rPr>
        <w:t>amelyek a következőket foglalják magukban:</w:t>
      </w:r>
    </w:p>
    <w:p w14:paraId="53167A26" w14:textId="77777777" w:rsidR="003E1D81" w:rsidRDefault="00EB481C">
      <w:pPr>
        <w:pStyle w:val="P68B1DB1-LegalNumPar230"/>
        <w:numPr>
          <w:ilvl w:val="1"/>
          <w:numId w:val="777"/>
        </w:numPr>
        <w:rPr>
          <w:rFonts w:cs="Times New Roman"/>
          <w:noProof/>
        </w:rPr>
      </w:pPr>
      <w:r>
        <w:rPr>
          <w:noProof/>
        </w:rPr>
        <w:t>A pénzügyi termék és a támogatható végső kedvezményezette</w:t>
      </w:r>
      <w:r>
        <w:rPr>
          <w:noProof/>
        </w:rPr>
        <w:t xml:space="preserve">k leírása az intézkedés leírásával összhangban.   </w:t>
      </w:r>
    </w:p>
    <w:p w14:paraId="2058F386" w14:textId="77777777" w:rsidR="003E1D81" w:rsidRDefault="00EB481C">
      <w:pPr>
        <w:pStyle w:val="P68B1DB1-LegalNumPar230"/>
        <w:numPr>
          <w:ilvl w:val="1"/>
          <w:numId w:val="777"/>
        </w:numPr>
        <w:rPr>
          <w:rFonts w:cs="Times New Roman"/>
          <w:noProof/>
        </w:rPr>
      </w:pPr>
      <w:r>
        <w:rPr>
          <w:noProof/>
        </w:rPr>
        <w:t>Az a követelmény, hogy minden támogatott beruházás gazdaságilag életképes legyen</w:t>
      </w:r>
      <w:r>
        <w:rPr>
          <w:b/>
          <w:noProof/>
        </w:rPr>
        <w:t>.</w:t>
      </w:r>
    </w:p>
    <w:p w14:paraId="0F832EDA" w14:textId="77777777" w:rsidR="003E1D81" w:rsidRDefault="00EB481C">
      <w:pPr>
        <w:pStyle w:val="P68B1DB1-LegalNumPar230"/>
        <w:numPr>
          <w:ilvl w:val="1"/>
          <w:numId w:val="777"/>
        </w:numPr>
        <w:rPr>
          <w:rFonts w:cs="Times New Roman"/>
          <w:noProof/>
        </w:rPr>
      </w:pPr>
      <w:r>
        <w:rPr>
          <w:noProof/>
        </w:rPr>
        <w:t>A kinnlevő hitelek refinanszírozásának tilalma.</w:t>
      </w:r>
    </w:p>
    <w:p w14:paraId="36A92C80" w14:textId="77777777" w:rsidR="003E1D81" w:rsidRDefault="00EB481C">
      <w:pPr>
        <w:pStyle w:val="P68B1DB1-LegalNumPar230"/>
        <w:numPr>
          <w:ilvl w:val="1"/>
          <w:numId w:val="777"/>
        </w:numPr>
        <w:rPr>
          <w:rFonts w:cs="Times New Roman"/>
          <w:noProof/>
        </w:rPr>
      </w:pPr>
      <w:r>
        <w:rPr>
          <w:noProof/>
        </w:rPr>
        <w:t xml:space="preserve">A jelentős károkozás elkerülését célzó elvnek való megfelelés követelménye </w:t>
      </w:r>
      <w:r>
        <w:rPr>
          <w:noProof/>
        </w:rPr>
        <w:t xml:space="preserve">a DNSH technikai iránymutatásban (2021/C58/01) meghatározottak szerint, különösen: </w:t>
      </w:r>
    </w:p>
    <w:p w14:paraId="7796D9D1" w14:textId="08163042" w:rsidR="003E1D81" w:rsidRDefault="00EB481C">
      <w:pPr>
        <w:pStyle w:val="LegalNumPar2"/>
        <w:numPr>
          <w:ilvl w:val="2"/>
          <w:numId w:val="777"/>
        </w:numPr>
        <w:spacing w:line="240" w:lineRule="auto"/>
        <w:jc w:val="both"/>
        <w:rPr>
          <w:rFonts w:ascii="Times New Roman" w:hAnsi="Times New Roman" w:cs="Times New Roman"/>
          <w:noProof/>
          <w:sz w:val="24"/>
        </w:rPr>
      </w:pPr>
      <w:r>
        <w:rPr>
          <w:rFonts w:ascii="Times New Roman" w:hAnsi="Times New Roman"/>
          <w:noProof/>
          <w:sz w:val="24"/>
        </w:rPr>
        <w:t xml:space="preserve">a befektetési politika kizárja a tevékenységek és eszközök alábbi listáját a támogathatóság köréből: i. a fosszilis tüzelőanyagokhoz kapcsolódó tevékenységek és eszközök, </w:t>
      </w:r>
      <w:r>
        <w:rPr>
          <w:rFonts w:ascii="Times New Roman" w:hAnsi="Times New Roman"/>
          <w:noProof/>
          <w:sz w:val="24"/>
        </w:rPr>
        <w:t>beleértve a továbbfelhasználást is, ii. az uniós kibocsátáskereskedelmi rendszer (ETS) keretében</w:t>
      </w:r>
      <w:r>
        <w:rPr>
          <w:rStyle w:val="FootnoteReference"/>
          <w:rFonts w:ascii="Times New Roman" w:hAnsi="Times New Roman" w:cs="Times New Roman"/>
          <w:noProof/>
          <w:sz w:val="24"/>
        </w:rPr>
        <w:footnoteReference w:id="136"/>
      </w:r>
      <w:r>
        <w:rPr>
          <w:rFonts w:ascii="Times New Roman" w:hAnsi="Times New Roman"/>
          <w:noProof/>
          <w:sz w:val="24"/>
        </w:rPr>
        <w:t>végzett tevékenységek és eszközök, amelyek a vonatkozó referenciaértékeknél nem alacsonyabb várható üvegházhatásúgáz-kibocsátást érnek el; iii. hulladéklerakók</w:t>
      </w:r>
      <w:r>
        <w:rPr>
          <w:rFonts w:ascii="Times New Roman" w:hAnsi="Times New Roman"/>
          <w:noProof/>
          <w:sz w:val="24"/>
        </w:rPr>
        <w:t>kal, hulladékégetőkkel és mechanikai-biológiai szennyvíztisztító telepekkel kapcsolatos</w:t>
      </w:r>
      <w:r>
        <w:rPr>
          <w:rStyle w:val="FootnoteReference"/>
          <w:rFonts w:ascii="Times New Roman" w:hAnsi="Times New Roman" w:cs="Times New Roman"/>
          <w:noProof/>
          <w:sz w:val="24"/>
        </w:rPr>
        <w:footnoteReference w:id="137"/>
      </w:r>
      <w:r>
        <w:rPr>
          <w:rFonts w:ascii="Times New Roman" w:hAnsi="Times New Roman"/>
          <w:noProof/>
          <w:sz w:val="24"/>
        </w:rPr>
        <w:t xml:space="preserve">tevékenységek és eszközök. </w:t>
      </w:r>
    </w:p>
    <w:p w14:paraId="712F106C" w14:textId="5645F731" w:rsidR="003E1D81" w:rsidRDefault="00EB481C">
      <w:pPr>
        <w:pStyle w:val="P68B1DB1-LegalNumPar230"/>
        <w:numPr>
          <w:ilvl w:val="2"/>
          <w:numId w:val="777"/>
        </w:numPr>
        <w:spacing w:line="240" w:lineRule="auto"/>
        <w:jc w:val="both"/>
        <w:rPr>
          <w:rFonts w:cs="Times New Roman"/>
          <w:noProof/>
        </w:rPr>
      </w:pPr>
      <w:r>
        <w:rPr>
          <w:noProof/>
        </w:rPr>
        <w:t>a beruházási politikának elő kell írnia, hogy a Békekeret végső kedvezményezettjei megfeleljenek a vonatkozó uniós és nemzeti környezetvédel</w:t>
      </w:r>
      <w:r>
        <w:rPr>
          <w:noProof/>
        </w:rPr>
        <w:t>mi jogszabályoknak.</w:t>
      </w:r>
    </w:p>
    <w:p w14:paraId="51AB1F5E" w14:textId="77777777" w:rsidR="003E1D81" w:rsidRDefault="00EB481C">
      <w:pPr>
        <w:pStyle w:val="P68B1DB1-ListParagraph7"/>
        <w:numPr>
          <w:ilvl w:val="1"/>
          <w:numId w:val="777"/>
        </w:numPr>
        <w:rPr>
          <w:rFonts w:cs="Times New Roman"/>
          <w:noProof/>
        </w:rPr>
      </w:pPr>
      <w:r>
        <w:rPr>
          <w:noProof/>
        </w:rPr>
        <w:t>Az a követelmény, hogy a hitelezési eszköz végső kedvezményezettjei nem részesülhetnek támogatásban más uniós eszközökből ugyanazon költségek fedezésére.</w:t>
      </w:r>
    </w:p>
    <w:p w14:paraId="0B9EDD04" w14:textId="202D48AE" w:rsidR="003E1D81" w:rsidRDefault="00EB481C">
      <w:pPr>
        <w:pStyle w:val="P68B1DB1-LegalNumPar29"/>
        <w:numPr>
          <w:ilvl w:val="0"/>
          <w:numId w:val="777"/>
        </w:numPr>
        <w:jc w:val="both"/>
        <w:rPr>
          <w:rFonts w:cs="Times New Roman"/>
          <w:noProof/>
        </w:rPr>
      </w:pPr>
      <w:r>
        <w:rPr>
          <w:noProof/>
        </w:rPr>
        <w:t xml:space="preserve">A végrehajtási megállapodás hatálya alá tartozó összeg, a végrehajtó partner </w:t>
      </w:r>
      <w:r>
        <w:rPr>
          <w:noProof/>
        </w:rPr>
        <w:t>díjstruktúrája, valamint az eszköz beruházási politikája szerinti visszaáramlások újbóli befektetésére vonatkozó követelmény, kivéve, ha azokat a Helyreállítási és Rezilienciaépítési Eszköz hiteltörlesztésének teljesítésére használják fel.</w:t>
      </w:r>
    </w:p>
    <w:p w14:paraId="241C198C" w14:textId="77777777" w:rsidR="003E1D81" w:rsidRDefault="00EB481C">
      <w:pPr>
        <w:pStyle w:val="P68B1DB1-LegalNumPar29"/>
        <w:numPr>
          <w:ilvl w:val="0"/>
          <w:numId w:val="777"/>
        </w:numPr>
        <w:jc w:val="both"/>
        <w:rPr>
          <w:rFonts w:cs="Times New Roman"/>
          <w:noProof/>
        </w:rPr>
      </w:pPr>
      <w:r>
        <w:rPr>
          <w:noProof/>
        </w:rPr>
        <w:t xml:space="preserve">Nyomonkövetési, </w:t>
      </w:r>
      <w:r>
        <w:rPr>
          <w:noProof/>
        </w:rPr>
        <w:t>ellenőrzési és ellenőrzési követelmények, beleértve a következőket:</w:t>
      </w:r>
    </w:p>
    <w:p w14:paraId="7B5D7055" w14:textId="77777777" w:rsidR="003E1D81" w:rsidRDefault="00EB481C">
      <w:pPr>
        <w:pStyle w:val="P68B1DB1-Normal4"/>
        <w:numPr>
          <w:ilvl w:val="1"/>
          <w:numId w:val="777"/>
        </w:numPr>
        <w:spacing w:after="160" w:line="240" w:lineRule="auto"/>
        <w:jc w:val="both"/>
        <w:rPr>
          <w:rFonts w:cs="Times New Roman"/>
          <w:noProof/>
        </w:rPr>
      </w:pPr>
      <w:bookmarkStart w:id="41" w:name="_Hlk139218377"/>
      <w:r>
        <w:rPr>
          <w:noProof/>
        </w:rPr>
        <w:t>A végrehajtó partner által a mozgósított beruházásról való jelentéstételre szolgáló nyomonkövetési rendszer leírása.</w:t>
      </w:r>
    </w:p>
    <w:p w14:paraId="4AAB5BEC" w14:textId="77777777" w:rsidR="003E1D81" w:rsidRDefault="00EB481C">
      <w:pPr>
        <w:pStyle w:val="P68B1DB1-Normal4"/>
        <w:numPr>
          <w:ilvl w:val="1"/>
          <w:numId w:val="777"/>
        </w:numPr>
        <w:spacing w:after="160" w:line="259" w:lineRule="auto"/>
        <w:jc w:val="both"/>
        <w:rPr>
          <w:rFonts w:cs="Times New Roman"/>
          <w:noProof/>
        </w:rPr>
      </w:pPr>
      <w:r>
        <w:rPr>
          <w:noProof/>
        </w:rPr>
        <w:t>A végrehajtó partner azon eljárásainak leírása, amelyek biztosítják a c</w:t>
      </w:r>
      <w:r>
        <w:rPr>
          <w:noProof/>
        </w:rPr>
        <w:t xml:space="preserve">salás, a korrupció és az összeférhetetlenség megelőzését, feltárását és korrekcióját. </w:t>
      </w:r>
    </w:p>
    <w:p w14:paraId="2AF24E11" w14:textId="77777777" w:rsidR="003E1D81" w:rsidRDefault="00EB481C">
      <w:pPr>
        <w:pStyle w:val="P68B1DB1-Normal4"/>
        <w:numPr>
          <w:ilvl w:val="1"/>
          <w:numId w:val="777"/>
        </w:numPr>
        <w:spacing w:after="160" w:line="259" w:lineRule="auto"/>
        <w:jc w:val="both"/>
        <w:rPr>
          <w:rFonts w:cs="Times New Roman"/>
          <w:noProof/>
        </w:rPr>
      </w:pPr>
      <w:r>
        <w:rPr>
          <w:noProof/>
        </w:rPr>
        <w:t>Az egyes műveletek támogathatóságának a végrehajtási megállapodásban meghatározott követelményekkel összhangban történő ellenőrzésére vonatkozó kötelezettség, mielőtt kö</w:t>
      </w:r>
      <w:r>
        <w:rPr>
          <w:noProof/>
        </w:rPr>
        <w:t>telezettséget vállalnának valamely művelet finanszírozására.</w:t>
      </w:r>
    </w:p>
    <w:p w14:paraId="2CA9BA25" w14:textId="044A04DF" w:rsidR="003E1D81" w:rsidRDefault="00EB481C">
      <w:pPr>
        <w:pStyle w:val="P68B1DB1-Normal4"/>
        <w:numPr>
          <w:ilvl w:val="1"/>
          <w:numId w:val="777"/>
        </w:numPr>
        <w:spacing w:after="160" w:line="240" w:lineRule="auto"/>
        <w:jc w:val="both"/>
        <w:rPr>
          <w:rFonts w:cs="Times New Roman"/>
          <w:noProof/>
        </w:rPr>
      </w:pPr>
      <w:bookmarkStart w:id="42" w:name="_Hlk145675948"/>
      <w:bookmarkEnd w:id="41"/>
      <w:r>
        <w:rPr>
          <w:noProof/>
        </w:rPr>
        <w:t>A kockázatalapú utólagos ellenőrzéseknek az ENISA ellenőrzési tervével</w:t>
      </w:r>
      <w:bookmarkEnd w:id="42"/>
      <w:r>
        <w:rPr>
          <w:noProof/>
        </w:rPr>
        <w:t xml:space="preserve"> összhangban történő elvégzésére vonatkozó kötelezettség. Ezek az ellenőrzések azt vizsgálják, hogy i. a kontrollrendszerek h</w:t>
      </w:r>
      <w:r>
        <w:rPr>
          <w:noProof/>
        </w:rPr>
        <w:t>atékonyak-e, beleértve a csalás, a korrupció és az összeférhetetlenség feltárását; a DNSH-elvnek, az állami támogatási szabályoknak és a digitális célkövetelményeknek való megfelelés; és iii. teljesül az a követelmény, amely szerint a közvetítőnek ellenőri</w:t>
      </w:r>
      <w:r>
        <w:rPr>
          <w:noProof/>
        </w:rPr>
        <w:t>znie kell, hogy a végső kedvezményezett felelősségteljes nyilatkozatot nyújt-e be annak ellenőrzésére, hogy ugyanazt a költséget egy másik uniós eszköz fedezi-e. Az auditok azt is ellenőrzik, hogy az ügyletek jogszerűek-e, valamint hogy az alkalmazandó vég</w:t>
      </w:r>
      <w:r>
        <w:rPr>
          <w:noProof/>
        </w:rPr>
        <w:t xml:space="preserve">rehajtási megállapodásban és finanszírozási megállapodásokban foglalt feltételeket betartják-e. </w:t>
      </w:r>
    </w:p>
    <w:p w14:paraId="7D1D5A8A" w14:textId="36DDAC75" w:rsidR="003E1D81" w:rsidRDefault="00EB481C">
      <w:pPr>
        <w:numPr>
          <w:ilvl w:val="0"/>
          <w:numId w:val="777"/>
        </w:numPr>
        <w:spacing w:after="160" w:line="240" w:lineRule="auto"/>
        <w:jc w:val="both"/>
        <w:rPr>
          <w:rFonts w:ascii="Times New Roman" w:hAnsi="Times New Roman" w:cs="Times New Roman"/>
          <w:noProof/>
          <w:sz w:val="24"/>
        </w:rPr>
      </w:pPr>
      <w:r>
        <w:rPr>
          <w:rFonts w:ascii="Times New Roman" w:hAnsi="Times New Roman"/>
          <w:noProof/>
          <w:sz w:val="24"/>
        </w:rPr>
        <w:t>A végrehajtó partner által végrehajtott digitális beruházásokra vonatkozó követelmények: az eszközbe irányuló Helyreállítási és Rezilienciaépítési Eszközből le</w:t>
      </w:r>
      <w:r>
        <w:rPr>
          <w:rFonts w:ascii="Times New Roman" w:hAnsi="Times New Roman"/>
          <w:noProof/>
          <w:sz w:val="24"/>
        </w:rPr>
        <w:t>galább 20 000 000 EUR összegű beruházásnak hozzá kell járulnia a digitális célkitűzésekhez a Helyreállítási és Rezilienciaépítési Eszközről szóló rendelet VII. mellékletével összhangban.</w:t>
      </w:r>
    </w:p>
    <w:p w14:paraId="22285CFF" w14:textId="77777777" w:rsidR="003E1D81" w:rsidRDefault="00EB481C">
      <w:pPr>
        <w:pStyle w:val="P68B1DB1-Normal4"/>
        <w:rPr>
          <w:rFonts w:cs="Times New Roman"/>
          <w:noProof/>
        </w:rPr>
      </w:pPr>
      <w:r>
        <w:rPr>
          <w:noProof/>
        </w:rPr>
        <w:t>Az intézkedés végrehajtását 2026. augusztus 31-ig be kell fejezni.</w:t>
      </w:r>
    </w:p>
    <w:p w14:paraId="01845BA9" w14:textId="77777777" w:rsidR="003E1D81" w:rsidRDefault="00EB481C">
      <w:pPr>
        <w:pStyle w:val="P68B1DB1-Normal6"/>
        <w:rPr>
          <w:rFonts w:cs="Times New Roman"/>
          <w:noProof/>
        </w:rPr>
      </w:pPr>
      <w:bookmarkStart w:id="43" w:name="_Hlk141697321"/>
      <w:r>
        <w:rPr>
          <w:noProof/>
        </w:rPr>
        <w:t>Be</w:t>
      </w:r>
      <w:r>
        <w:rPr>
          <w:noProof/>
        </w:rPr>
        <w:t>ruházás (C13.I13) – Regionális Rezilienciaépítési Alap (FRA)</w:t>
      </w:r>
    </w:p>
    <w:p w14:paraId="1757DEF3" w14:textId="77777777" w:rsidR="003E1D81" w:rsidRDefault="00EB481C">
      <w:pPr>
        <w:pStyle w:val="P68B1DB1-Normal4"/>
        <w:spacing w:before="160" w:after="0" w:line="240" w:lineRule="auto"/>
        <w:jc w:val="both"/>
        <w:rPr>
          <w:rFonts w:eastAsia="@MS Mincho" w:cs="Times New Roman"/>
          <w:noProof/>
        </w:rPr>
      </w:pPr>
      <w:bookmarkStart w:id="44" w:name="_Hlk138428161"/>
      <w:r>
        <w:rPr>
          <w:noProof/>
        </w:rPr>
        <w:t>Ez az intézkedés az InvestEU tagállami komponensébe és az eszközbe, a Regionális Rezilienciaépítési Alapba történő közberuházásokból áll annak érdekében, hogy ösztönözze a magánberuházásokat és j</w:t>
      </w:r>
      <w:r>
        <w:rPr>
          <w:noProof/>
        </w:rPr>
        <w:t>avítsa a finanszírozáshoz való hozzáférést a spanyol autonóm közösségekben a következő kiemelt területeken: szociális és megfizethető lakhatás és városrehabilitáció; fenntartható közlekedés; az ipar és a kkv-k versenyképessége; kutatás, fejlesztés és innov</w:t>
      </w:r>
      <w:r>
        <w:rPr>
          <w:noProof/>
        </w:rPr>
        <w:t xml:space="preserve">áció; fenntartható turizmus; ápolási-gondozási gazdaság; víz- és hulladékgazdálkodás; és energetikai átállás; valamint a tőkepiacok fejlesztése ezeken a területeken. </w:t>
      </w:r>
    </w:p>
    <w:p w14:paraId="4DBD1EA3" w14:textId="62FBFDEC" w:rsidR="003E1D81" w:rsidRDefault="00EB481C">
      <w:pPr>
        <w:pStyle w:val="P68B1DB1-Normal4"/>
        <w:spacing w:before="160" w:after="0" w:line="240" w:lineRule="auto"/>
        <w:jc w:val="both"/>
        <w:rPr>
          <w:rFonts w:cs="Times New Roman"/>
          <w:noProof/>
        </w:rPr>
      </w:pPr>
      <w:r>
        <w:rPr>
          <w:noProof/>
        </w:rPr>
        <w:t>A hitelezési eszköz közvetlenül vagy közvetítőkön keresztül finanszírozást nyújt a magáns</w:t>
      </w:r>
      <w:r>
        <w:rPr>
          <w:noProof/>
        </w:rPr>
        <w:t>zektornak, a hasonló tevékenységeket folytató közszektorbeli intézményeknek és az állami intézményeknek, például a regionális és helyi önkormányzatoknak. A Helyreállítási és Rezilienciaépítési Eszköz beruházásai alapján az eszköz célja, hogy legalább 19 50</w:t>
      </w:r>
      <w:r>
        <w:rPr>
          <w:noProof/>
        </w:rPr>
        <w:t>0 000 000 EUR összegű finanszírozást biztosítson. További 500 000 000 EUR hozzájárulás az InvestEU tagállami komponenséhez.</w:t>
      </w:r>
    </w:p>
    <w:p w14:paraId="62C4CD55" w14:textId="13EEB42C" w:rsidR="003E1D81" w:rsidRDefault="00EB481C">
      <w:pPr>
        <w:pStyle w:val="P68B1DB1-Normal4"/>
        <w:spacing w:before="160" w:after="0" w:line="240" w:lineRule="auto"/>
        <w:jc w:val="both"/>
        <w:rPr>
          <w:rFonts w:cs="Times New Roman"/>
          <w:noProof/>
        </w:rPr>
      </w:pPr>
      <w:r>
        <w:rPr>
          <w:noProof/>
        </w:rPr>
        <w:t>Az eszközt végrehajtó partnerként az EBB csoport kezeli. Az eszköz a következő terméksorokat foglalja magában:</w:t>
      </w:r>
    </w:p>
    <w:p w14:paraId="2BA9E56C" w14:textId="4A743B87" w:rsidR="003E1D81" w:rsidRDefault="00EB481C">
      <w:pPr>
        <w:pStyle w:val="P68B1DB1-ListParagraph7"/>
        <w:numPr>
          <w:ilvl w:val="0"/>
          <w:numId w:val="483"/>
        </w:numPr>
        <w:spacing w:before="160" w:after="0"/>
        <w:ind w:left="714" w:hanging="357"/>
        <w:jc w:val="both"/>
        <w:rPr>
          <w:rFonts w:cs="Times New Roman"/>
          <w:noProof/>
        </w:rPr>
      </w:pPr>
      <w:r>
        <w:rPr>
          <w:noProof/>
        </w:rPr>
        <w:t>Közvetlen nyilvános v</w:t>
      </w:r>
      <w:r>
        <w:rPr>
          <w:noProof/>
        </w:rPr>
        <w:t>onal (3 500 000 000 EUR): Közvetlen társfinanszírozási hiteleszköz állami szervek, például regionális és helyi önkormányzatok projektjeinek finanszírozására.</w:t>
      </w:r>
    </w:p>
    <w:p w14:paraId="2FD334C1" w14:textId="5D6913B9" w:rsidR="003E1D81" w:rsidRDefault="00EB481C">
      <w:pPr>
        <w:pStyle w:val="P68B1DB1-ListParagraph7"/>
        <w:numPr>
          <w:ilvl w:val="0"/>
          <w:numId w:val="483"/>
        </w:numPr>
        <w:spacing w:before="160" w:after="0"/>
        <w:ind w:left="714" w:hanging="357"/>
        <w:jc w:val="both"/>
        <w:rPr>
          <w:rFonts w:cs="Times New Roman"/>
          <w:noProof/>
        </w:rPr>
      </w:pPr>
      <w:r>
        <w:rPr>
          <w:noProof/>
        </w:rPr>
        <w:t xml:space="preserve">Egyéb költségvetési sorok (16 000 000 000 EUR): A hasonló tevékenységeket folytató magán- vagy </w:t>
      </w:r>
      <w:r>
        <w:rPr>
          <w:noProof/>
        </w:rPr>
        <w:t>közjogi jogalanyokat célzó vonalak, különösen:</w:t>
      </w:r>
    </w:p>
    <w:p w14:paraId="549BA5C1" w14:textId="4782C26B" w:rsidR="003E1D81" w:rsidRDefault="00EB481C">
      <w:pPr>
        <w:pStyle w:val="P68B1DB1-ListParagraph7"/>
        <w:numPr>
          <w:ilvl w:val="1"/>
          <w:numId w:val="483"/>
        </w:numPr>
        <w:spacing w:before="160" w:after="0"/>
        <w:ind w:left="1434" w:hanging="357"/>
        <w:jc w:val="both"/>
        <w:rPr>
          <w:rFonts w:cs="Times New Roman"/>
          <w:noProof/>
        </w:rPr>
      </w:pPr>
      <w:r>
        <w:rPr>
          <w:noProof/>
        </w:rPr>
        <w:t>Közvetlen társfinanszírozási eszköz a projektek hiteleken, eszközök megszerzésén vagy projektfinanszírozásban való részvételen keresztül történő finanszírozására.</w:t>
      </w:r>
    </w:p>
    <w:p w14:paraId="7232CE8D" w14:textId="053F98AB" w:rsidR="003E1D81" w:rsidRDefault="00EB481C">
      <w:pPr>
        <w:pStyle w:val="P68B1DB1-ListParagraph7"/>
        <w:numPr>
          <w:ilvl w:val="1"/>
          <w:numId w:val="483"/>
        </w:numPr>
        <w:spacing w:before="160" w:after="0"/>
        <w:ind w:left="1434" w:hanging="357"/>
        <w:jc w:val="both"/>
        <w:rPr>
          <w:rFonts w:cs="Times New Roman"/>
          <w:noProof/>
        </w:rPr>
      </w:pPr>
      <w:r>
        <w:rPr>
          <w:noProof/>
        </w:rPr>
        <w:t>Közvetített finanszírozás kkv-k, közepes piaci</w:t>
      </w:r>
      <w:r>
        <w:rPr>
          <w:noProof/>
        </w:rPr>
        <w:t xml:space="preserve"> tőkeértékű vállalatok és magánszemélyek számára, többek között tőkebefektetések, kvázisajáttőke-befektetések, garanciák és meglévő hitelportfóliók eszközfedezetű értékpapírosítása, előresorolt magánhitelek, valamint új elfogadható hitelportfóliót létrehoz</w:t>
      </w:r>
      <w:r>
        <w:rPr>
          <w:noProof/>
        </w:rPr>
        <w:t>ó pénzügyi szervezetek által kibocsátott zöldkötvények vásárlása révén.</w:t>
      </w:r>
    </w:p>
    <w:p w14:paraId="7D5D4DF7" w14:textId="2B516A66" w:rsidR="003E1D81" w:rsidRDefault="00EB481C">
      <w:pPr>
        <w:pStyle w:val="P68B1DB1-Normal4"/>
        <w:spacing w:before="160" w:after="0" w:line="240" w:lineRule="auto"/>
        <w:jc w:val="both"/>
        <w:rPr>
          <w:rFonts w:cs="Times New Roman"/>
          <w:noProof/>
        </w:rPr>
      </w:pPr>
      <w:r>
        <w:rPr>
          <w:noProof/>
        </w:rPr>
        <w:t>A hitelezési eszközbe történő beruházás végrehajtása érdekében Spanyolország és az EBB csoport végrehajtási megállapodást ír alá, amely a következőket tartalmazza:</w:t>
      </w:r>
    </w:p>
    <w:p w14:paraId="3C6F4765" w14:textId="78492C8F" w:rsidR="003E1D81" w:rsidRDefault="00EB481C">
      <w:pPr>
        <w:pStyle w:val="P68B1DB1-ListParagraph7"/>
        <w:numPr>
          <w:ilvl w:val="0"/>
          <w:numId w:val="755"/>
        </w:numPr>
        <w:spacing w:before="160" w:after="0" w:line="240" w:lineRule="auto"/>
        <w:jc w:val="both"/>
        <w:rPr>
          <w:rFonts w:cs="Times New Roman"/>
          <w:noProof/>
        </w:rPr>
      </w:pPr>
      <w:r>
        <w:rPr>
          <w:noProof/>
        </w:rPr>
        <w:t xml:space="preserve">A hitelezési eszköz </w:t>
      </w:r>
      <w:r>
        <w:rPr>
          <w:noProof/>
        </w:rPr>
        <w:t>kezdeti beruházási döntését az EBB csoport a spanyol kormánytól függetlenül hozza meg. A Békekeret végleges beruházási döntése a beruházási bizottság vagy azzal egyenértékű irányító testület által javasolt beruházási döntéssel kapcsolatos vétójog (módosítá</w:t>
      </w:r>
      <w:r>
        <w:rPr>
          <w:noProof/>
        </w:rPr>
        <w:t>s nélküli) jóváhagyására vagy gyakorlására korlátozódik.   A közvetített befektetések esetében a végső befektetési döntést a közvetítők hozzák meg.</w:t>
      </w:r>
    </w:p>
    <w:p w14:paraId="6068387E" w14:textId="77777777" w:rsidR="003E1D81" w:rsidRDefault="00EB481C">
      <w:pPr>
        <w:pStyle w:val="P68B1DB1-ListParagraph7"/>
        <w:numPr>
          <w:ilvl w:val="0"/>
          <w:numId w:val="755"/>
        </w:numPr>
        <w:spacing w:line="240" w:lineRule="auto"/>
        <w:jc w:val="both"/>
        <w:rPr>
          <w:rFonts w:eastAsia="Times New Roman" w:cs="Times New Roman"/>
          <w:noProof/>
        </w:rPr>
      </w:pPr>
      <w:r>
        <w:rPr>
          <w:noProof/>
        </w:rPr>
        <w:t>A kapcsolódó befektetési politika fő követelményei, amelyek a következőket foglalják magukban:</w:t>
      </w:r>
    </w:p>
    <w:p w14:paraId="194C34BC" w14:textId="77777777" w:rsidR="003E1D81" w:rsidRDefault="00EB481C">
      <w:pPr>
        <w:pStyle w:val="P68B1DB1-ListParagraph7"/>
        <w:numPr>
          <w:ilvl w:val="1"/>
          <w:numId w:val="755"/>
        </w:numPr>
        <w:spacing w:line="240" w:lineRule="auto"/>
        <w:jc w:val="both"/>
        <w:rPr>
          <w:rFonts w:eastAsia="Times New Roman" w:cs="Times New Roman"/>
          <w:noProof/>
        </w:rPr>
      </w:pPr>
      <w:r>
        <w:rPr>
          <w:noProof/>
        </w:rPr>
        <w:t>A pénzügyi te</w:t>
      </w:r>
      <w:r>
        <w:rPr>
          <w:noProof/>
        </w:rPr>
        <w:t xml:space="preserve">rmékek és a támogatható végső kedvezményezettek leírása az intézkedés leírásával összhangban.     </w:t>
      </w:r>
    </w:p>
    <w:p w14:paraId="1B8FC68C" w14:textId="77777777" w:rsidR="003E1D81" w:rsidRDefault="00EB481C">
      <w:pPr>
        <w:pStyle w:val="P68B1DB1-ListParagraph7"/>
        <w:numPr>
          <w:ilvl w:val="1"/>
          <w:numId w:val="755"/>
        </w:numPr>
        <w:spacing w:line="240" w:lineRule="auto"/>
        <w:jc w:val="both"/>
        <w:rPr>
          <w:rFonts w:eastAsia="Times New Roman" w:cs="Times New Roman"/>
          <w:noProof/>
        </w:rPr>
      </w:pPr>
      <w:r>
        <w:rPr>
          <w:noProof/>
        </w:rPr>
        <w:t>Az a követelmény, hogy minden támogatott beruházás gazdaságilag életképes legyen.</w:t>
      </w:r>
    </w:p>
    <w:p w14:paraId="75C0AFD0" w14:textId="77777777" w:rsidR="003E1D81" w:rsidRDefault="00EB481C">
      <w:pPr>
        <w:pStyle w:val="P68B1DB1-ListParagraph7"/>
        <w:numPr>
          <w:ilvl w:val="1"/>
          <w:numId w:val="755"/>
        </w:numPr>
        <w:spacing w:line="240" w:lineRule="auto"/>
        <w:jc w:val="both"/>
        <w:rPr>
          <w:rFonts w:eastAsia="Times New Roman" w:cs="Times New Roman"/>
          <w:noProof/>
        </w:rPr>
      </w:pPr>
      <w:r>
        <w:rPr>
          <w:noProof/>
        </w:rPr>
        <w:t xml:space="preserve">A kinnlevő hitelek refinanszírozásának tilalma.  </w:t>
      </w:r>
    </w:p>
    <w:p w14:paraId="7C25BF49" w14:textId="77777777" w:rsidR="003E1D81" w:rsidRDefault="00EB481C">
      <w:pPr>
        <w:pStyle w:val="P68B1DB1-ListParagraph7"/>
        <w:numPr>
          <w:ilvl w:val="1"/>
          <w:numId w:val="755"/>
        </w:numPr>
        <w:spacing w:line="240" w:lineRule="auto"/>
        <w:jc w:val="both"/>
        <w:rPr>
          <w:rFonts w:eastAsia="Times New Roman" w:cs="Times New Roman"/>
          <w:noProof/>
        </w:rPr>
      </w:pPr>
      <w:r>
        <w:rPr>
          <w:noProof/>
        </w:rPr>
        <w:t>A jelentős károkozás elke</w:t>
      </w:r>
      <w:r>
        <w:rPr>
          <w:noProof/>
        </w:rPr>
        <w:t xml:space="preserve">rülését célzó elvnek való megfelelés követelménye a DNSH technikai iránymutatásban (2021/C58/01) meghatározottak szerint, különösen: </w:t>
      </w:r>
    </w:p>
    <w:p w14:paraId="4F28561E" w14:textId="011EFE25" w:rsidR="003E1D81" w:rsidRDefault="00EB481C">
      <w:pPr>
        <w:pStyle w:val="ListParagraph"/>
        <w:numPr>
          <w:ilvl w:val="2"/>
          <w:numId w:val="755"/>
        </w:numPr>
        <w:jc w:val="both"/>
        <w:rPr>
          <w:rFonts w:ascii="Times New Roman" w:eastAsia="Times New Roman" w:hAnsi="Times New Roman" w:cs="Times New Roman"/>
          <w:noProof/>
          <w:sz w:val="24"/>
        </w:rPr>
      </w:pPr>
      <w:r>
        <w:rPr>
          <w:rFonts w:ascii="Times New Roman" w:hAnsi="Times New Roman"/>
          <w:noProof/>
          <w:sz w:val="24"/>
        </w:rPr>
        <w:t xml:space="preserve">Kölcsönök, projektkötvények vagy azokkal egyenértékű eszközök esetében: a befektetési politika kizárja a tevékenységek és </w:t>
      </w:r>
      <w:r>
        <w:rPr>
          <w:rFonts w:ascii="Times New Roman" w:hAnsi="Times New Roman"/>
          <w:noProof/>
          <w:sz w:val="24"/>
        </w:rPr>
        <w:t>eszközök alábbi listáját a támogathatóság köréből: i. a fosszilis tüzelőanyagokhoz kapcsolódó tevékenységek és eszközök, beleértve a továbbfelhasználást is, ii. az uniós kibocsátáskereskedelmi rendszer (ETS) keretében</w:t>
      </w:r>
      <w:r>
        <w:rPr>
          <w:rStyle w:val="FootnoteReference"/>
          <w:rFonts w:ascii="Times New Roman" w:eastAsia="Times New Roman" w:hAnsi="Times New Roman" w:cs="Times New Roman"/>
          <w:noProof/>
          <w:sz w:val="24"/>
        </w:rPr>
        <w:footnoteReference w:id="138"/>
      </w:r>
      <w:r>
        <w:rPr>
          <w:rFonts w:ascii="Times New Roman" w:hAnsi="Times New Roman"/>
          <w:noProof/>
          <w:sz w:val="24"/>
        </w:rPr>
        <w:t>végzett tevékenységek és eszközök, ame</w:t>
      </w:r>
      <w:r>
        <w:rPr>
          <w:rFonts w:ascii="Times New Roman" w:hAnsi="Times New Roman"/>
          <w:noProof/>
          <w:sz w:val="24"/>
        </w:rPr>
        <w:t>lyek a vonatkozó referenciaértékeknél nem alacsonyabb várható üvegházhatásúgáz-kibocsátást érnek el; iii. hulladéklerakókkal, hulladékégetőkkel és mechanikai-biológiai szennyvíztisztító telepekkel kapcsolatos</w:t>
      </w:r>
      <w:r>
        <w:rPr>
          <w:rStyle w:val="FootnoteReference"/>
          <w:rFonts w:ascii="Times New Roman" w:eastAsia="Times New Roman" w:hAnsi="Times New Roman" w:cs="Times New Roman"/>
          <w:noProof/>
          <w:sz w:val="24"/>
        </w:rPr>
        <w:footnoteReference w:id="139"/>
      </w:r>
      <w:r>
        <w:rPr>
          <w:rFonts w:ascii="Times New Roman" w:hAnsi="Times New Roman"/>
          <w:noProof/>
          <w:sz w:val="24"/>
        </w:rPr>
        <w:t>tevékenységek</w:t>
      </w:r>
      <w:r>
        <w:rPr>
          <w:rStyle w:val="FootnoteReference"/>
          <w:rFonts w:ascii="Times New Roman" w:hAnsi="Times New Roman" w:cs="Times New Roman"/>
          <w:noProof/>
          <w:sz w:val="24"/>
        </w:rPr>
        <w:footnoteReference w:id="140"/>
      </w:r>
      <w:r>
        <w:rPr>
          <w:rFonts w:ascii="Times New Roman" w:hAnsi="Times New Roman"/>
          <w:noProof/>
          <w:sz w:val="24"/>
        </w:rPr>
        <w:t xml:space="preserve"> és eszközök</w:t>
      </w:r>
      <w:r>
        <w:rPr>
          <w:rStyle w:val="FootnoteReference"/>
          <w:rFonts w:ascii="Times New Roman" w:hAnsi="Times New Roman" w:cs="Times New Roman"/>
          <w:noProof/>
          <w:sz w:val="24"/>
        </w:rPr>
        <w:footnoteReference w:id="141"/>
      </w:r>
      <w:r>
        <w:rPr>
          <w:rFonts w:ascii="Times New Roman" w:hAnsi="Times New Roman"/>
          <w:noProof/>
          <w:sz w:val="24"/>
        </w:rPr>
        <w:t xml:space="preserve">.  </w:t>
      </w:r>
    </w:p>
    <w:p w14:paraId="16C8C54F" w14:textId="1AD523F7" w:rsidR="003E1D81" w:rsidRDefault="00EB481C">
      <w:pPr>
        <w:pStyle w:val="ListParagraph"/>
        <w:numPr>
          <w:ilvl w:val="2"/>
          <w:numId w:val="755"/>
        </w:numPr>
        <w:jc w:val="both"/>
        <w:rPr>
          <w:rFonts w:ascii="Times New Roman" w:eastAsia="Times New Roman" w:hAnsi="Times New Roman" w:cs="Times New Roman"/>
          <w:noProof/>
          <w:sz w:val="24"/>
        </w:rPr>
      </w:pPr>
      <w:r>
        <w:rPr>
          <w:rFonts w:ascii="Times New Roman" w:hAnsi="Times New Roman"/>
          <w:noProof/>
          <w:sz w:val="24"/>
        </w:rPr>
        <w:t>Saját tőke, kváz</w:t>
      </w:r>
      <w:r>
        <w:rPr>
          <w:rFonts w:ascii="Times New Roman" w:hAnsi="Times New Roman"/>
          <w:noProof/>
          <w:sz w:val="24"/>
        </w:rPr>
        <w:t xml:space="preserve">i-sajáttőke, vállalati kötvények vagy ezekkel egyenértékű eszközök esetében: a befektetési politikának elő kell írnia a vállalkozások számára, hogy a 2013/34/EU irányelv 19a. cikke (2) bekezdése a) pontjának iii. alpontjában foglalt fogalommeghatározással </w:t>
      </w:r>
      <w:r>
        <w:rPr>
          <w:rFonts w:ascii="Times New Roman" w:hAnsi="Times New Roman"/>
          <w:noProof/>
          <w:sz w:val="24"/>
        </w:rPr>
        <w:t>összhangban zöld átállási terveket fogadjanak el,</w:t>
      </w:r>
      <w:r>
        <w:rPr>
          <w:rStyle w:val="FootnoteReference"/>
          <w:rFonts w:ascii="Times New Roman" w:eastAsia="Times New Roman" w:hAnsi="Times New Roman" w:cs="Times New Roman"/>
          <w:noProof/>
          <w:sz w:val="24"/>
        </w:rPr>
        <w:footnoteReference w:id="142"/>
      </w:r>
      <w:r>
        <w:rPr>
          <w:rFonts w:ascii="Times New Roman" w:hAnsi="Times New Roman"/>
          <w:noProof/>
          <w:sz w:val="24"/>
        </w:rPr>
        <w:t xml:space="preserve"> amennyiben az előző pénzügyi év közvetlen bevételeinek több mint 50%-a a tevékenységek és eszközök alábbi listájából származik: i. a fosszilis tüzelőanyagokhoz kapcsolódó tevékenységek és eszközök, beleért</w:t>
      </w:r>
      <w:r>
        <w:rPr>
          <w:rFonts w:ascii="Times New Roman" w:hAnsi="Times New Roman"/>
          <w:noProof/>
          <w:sz w:val="24"/>
        </w:rPr>
        <w:t>ve a továbbfelhasználást is, ii. az uniós kibocsátáskereskedelmi rendszer (ETS) keretében</w:t>
      </w:r>
      <w:r>
        <w:rPr>
          <w:rStyle w:val="FootnoteReference"/>
          <w:rFonts w:ascii="Times New Roman" w:eastAsia="Times New Roman" w:hAnsi="Times New Roman" w:cs="Times New Roman"/>
          <w:noProof/>
          <w:sz w:val="24"/>
        </w:rPr>
        <w:footnoteReference w:id="143"/>
      </w:r>
      <w:r>
        <w:rPr>
          <w:rFonts w:ascii="Times New Roman" w:hAnsi="Times New Roman"/>
          <w:noProof/>
          <w:sz w:val="24"/>
        </w:rPr>
        <w:t>végzett tevékenységek és eszközök, amelyek a vonatkozó referenciaértékeknél nem alacsonyabb várható üvegházhatásúgáz-kibocsátást érnek el; iii. hulladéklerakókkal, hu</w:t>
      </w:r>
      <w:r>
        <w:rPr>
          <w:rFonts w:ascii="Times New Roman" w:hAnsi="Times New Roman"/>
          <w:noProof/>
          <w:sz w:val="24"/>
        </w:rPr>
        <w:t>lladékégetőkkel és mechanikai-biológiai szennyvíztisztító telepekkel kapcsolatos</w:t>
      </w:r>
      <w:r>
        <w:rPr>
          <w:rStyle w:val="FootnoteReference"/>
          <w:rFonts w:ascii="Times New Roman" w:eastAsia="Times New Roman" w:hAnsi="Times New Roman" w:cs="Times New Roman"/>
          <w:noProof/>
          <w:sz w:val="24"/>
        </w:rPr>
        <w:footnoteReference w:id="144"/>
      </w:r>
      <w:r>
        <w:rPr>
          <w:rFonts w:ascii="Times New Roman" w:hAnsi="Times New Roman"/>
          <w:noProof/>
          <w:sz w:val="24"/>
        </w:rPr>
        <w:t>tevékenységek</w:t>
      </w:r>
      <w:r>
        <w:rPr>
          <w:rStyle w:val="FootnoteReference"/>
          <w:rFonts w:ascii="Times New Roman" w:eastAsia="Times New Roman" w:hAnsi="Times New Roman" w:cs="Times New Roman"/>
          <w:noProof/>
          <w:sz w:val="24"/>
        </w:rPr>
        <w:footnoteReference w:id="145"/>
      </w:r>
      <w:r>
        <w:rPr>
          <w:rFonts w:ascii="Times New Roman" w:hAnsi="Times New Roman"/>
          <w:noProof/>
          <w:sz w:val="24"/>
        </w:rPr>
        <w:t xml:space="preserve"> és eszközök</w:t>
      </w:r>
      <w:r>
        <w:rPr>
          <w:rStyle w:val="FootnoteReference"/>
          <w:rFonts w:ascii="Times New Roman" w:eastAsia="Times New Roman" w:hAnsi="Times New Roman" w:cs="Times New Roman"/>
          <w:noProof/>
          <w:sz w:val="24"/>
        </w:rPr>
        <w:footnoteReference w:id="146"/>
      </w:r>
      <w:r>
        <w:rPr>
          <w:rFonts w:ascii="Times New Roman" w:hAnsi="Times New Roman"/>
          <w:noProof/>
          <w:sz w:val="24"/>
        </w:rPr>
        <w:t xml:space="preserve">. </w:t>
      </w:r>
    </w:p>
    <w:p w14:paraId="1F24FA81" w14:textId="77777777" w:rsidR="003E1D81" w:rsidRDefault="00EB481C">
      <w:pPr>
        <w:pStyle w:val="P68B1DB1-ListParagraph7"/>
        <w:numPr>
          <w:ilvl w:val="2"/>
          <w:numId w:val="755"/>
        </w:numPr>
        <w:rPr>
          <w:rFonts w:eastAsia="Times New Roman" w:cs="Times New Roman"/>
          <w:noProof/>
        </w:rPr>
      </w:pPr>
      <w:r>
        <w:rPr>
          <w:noProof/>
        </w:rPr>
        <w:t xml:space="preserve">A beruházási politikának továbbá elő kell írnia, hogy az eszköz végső kedvezményezettjei megfeleljenek a vonatkozó uniós és nemzeti </w:t>
      </w:r>
      <w:r>
        <w:rPr>
          <w:noProof/>
        </w:rPr>
        <w:t>környezetvédelmi jogszabályoknak.</w:t>
      </w:r>
    </w:p>
    <w:p w14:paraId="68AAD697" w14:textId="77777777" w:rsidR="003E1D81" w:rsidRDefault="00EB481C">
      <w:pPr>
        <w:pStyle w:val="P68B1DB1-ListParagraph7"/>
        <w:numPr>
          <w:ilvl w:val="1"/>
          <w:numId w:val="755"/>
        </w:numPr>
        <w:rPr>
          <w:rFonts w:eastAsia="Times New Roman" w:cs="Times New Roman"/>
          <w:noProof/>
        </w:rPr>
      </w:pPr>
      <w:r>
        <w:rPr>
          <w:noProof/>
        </w:rPr>
        <w:t>Az a követelmény, hogy a hitelezési eszköz végső kedvezményezettjei nem részesülhetnek támogatásban más uniós eszközökből ugyanazon költségek fedezésére.</w:t>
      </w:r>
    </w:p>
    <w:p w14:paraId="7CF753BD" w14:textId="4346533E" w:rsidR="003E1D81" w:rsidRDefault="00EB481C">
      <w:pPr>
        <w:pStyle w:val="P68B1DB1-ListParagraph7"/>
        <w:numPr>
          <w:ilvl w:val="0"/>
          <w:numId w:val="755"/>
        </w:numPr>
        <w:jc w:val="both"/>
        <w:rPr>
          <w:rFonts w:eastAsia="Times New Roman" w:cs="Times New Roman"/>
          <w:noProof/>
        </w:rPr>
      </w:pPr>
      <w:r>
        <w:rPr>
          <w:noProof/>
        </w:rPr>
        <w:t>A végrehajtási megállapodás hatálya alá tartozó összeg, a végrehajtó</w:t>
      </w:r>
      <w:r>
        <w:rPr>
          <w:noProof/>
        </w:rPr>
        <w:t xml:space="preserve"> partner díjstruktúrája, valamint az eszköz beruházási politikája szerinti visszaáramlások újbóli befektetésére vonatkozó követelmény, kivéve, ha azokat a Helyreállítási és Rezilienciaépítési Eszköz hiteltörlesztésének teljesítésére használják fel.</w:t>
      </w:r>
    </w:p>
    <w:p w14:paraId="375487A6" w14:textId="77777777" w:rsidR="003E1D81" w:rsidRDefault="00EB481C">
      <w:pPr>
        <w:pStyle w:val="P68B1DB1-ListParagraph7"/>
        <w:numPr>
          <w:ilvl w:val="0"/>
          <w:numId w:val="755"/>
        </w:numPr>
        <w:jc w:val="both"/>
        <w:rPr>
          <w:rFonts w:eastAsia="Times New Roman" w:cs="Times New Roman"/>
          <w:noProof/>
        </w:rPr>
      </w:pPr>
      <w:r>
        <w:rPr>
          <w:noProof/>
        </w:rPr>
        <w:t>Nyomonk</w:t>
      </w:r>
      <w:r>
        <w:rPr>
          <w:noProof/>
        </w:rPr>
        <w:t>övetési, ellenőrzési és ellenőrzési követelmények, beleértve a következőket:</w:t>
      </w:r>
    </w:p>
    <w:p w14:paraId="044F541F" w14:textId="77777777" w:rsidR="003E1D81" w:rsidRDefault="00EB481C">
      <w:pPr>
        <w:pStyle w:val="P68B1DB1-ListParagraph7"/>
        <w:numPr>
          <w:ilvl w:val="1"/>
          <w:numId w:val="755"/>
        </w:numPr>
        <w:jc w:val="both"/>
        <w:rPr>
          <w:rFonts w:eastAsia="Times New Roman" w:cs="Times New Roman"/>
          <w:noProof/>
        </w:rPr>
      </w:pPr>
      <w:r>
        <w:rPr>
          <w:noProof/>
        </w:rPr>
        <w:t xml:space="preserve">Minden művelet támogathatóságának a Békekeretet létrehozó rendeletekben meghatározott követelményekkel összhangban történő ellenőrzésére vonatkozó kötelezettség, mielőtt </w:t>
      </w:r>
      <w:r>
        <w:rPr>
          <w:noProof/>
        </w:rPr>
        <w:t>kötelezettséget vállalnának egy művelet finanszírozására.</w:t>
      </w:r>
    </w:p>
    <w:p w14:paraId="725AD338" w14:textId="6F276A3B" w:rsidR="003E1D81" w:rsidRDefault="00EB481C">
      <w:pPr>
        <w:pStyle w:val="P68B1DB1-ListParagraph7"/>
        <w:numPr>
          <w:ilvl w:val="1"/>
          <w:numId w:val="755"/>
        </w:numPr>
        <w:jc w:val="both"/>
        <w:rPr>
          <w:rFonts w:eastAsia="Times New Roman" w:cs="Times New Roman"/>
          <w:noProof/>
        </w:rPr>
      </w:pPr>
      <w:r>
        <w:rPr>
          <w:noProof/>
        </w:rPr>
        <w:t>A kockázatalapú utólagos ellenőrzéseknek az EBB csoport ellenőrzési tervével összhangban történő elvégzésére vonatkozó kötelezettség. Ezek az ellenőrzések azt vizsgálják, hogy i. a kontrollrendszere</w:t>
      </w:r>
      <w:r>
        <w:rPr>
          <w:noProof/>
        </w:rPr>
        <w:t xml:space="preserve">k hatékonyak-e, beleértve a csalás, a korrupció és az összeférhetetlenség feltárását; a DNSH-elvnek, az állami támogatási szabályoknak, valamint az éghajlat-politikai és digitális célkitűzésekre vonatkozó követelményeknek való megfelelés; és iii. teljesül </w:t>
      </w:r>
      <w:r>
        <w:rPr>
          <w:noProof/>
        </w:rPr>
        <w:t xml:space="preserve">az a követelmény, amely szerint a közvetítőnek ellenőriznie kell, hogy a végső kedvezményezett felelősségteljes nyilatkozatot nyújt-e be annak ellenőrzésére, hogy ugyanazt a költséget egy másik uniós eszköz fedezi-e.  Az auditok azt is ellenőrzik, hogy az </w:t>
      </w:r>
      <w:r>
        <w:rPr>
          <w:noProof/>
        </w:rPr>
        <w:t xml:space="preserve">ügyletek jogszerűek-e, valamint hogy az alkalmazandó végrehajtási megállapodásban és finanszírozási megállapodásokban foglalt feltételeket betartják-e. </w:t>
      </w:r>
    </w:p>
    <w:p w14:paraId="618D5455" w14:textId="76DF3653" w:rsidR="003E1D81" w:rsidRDefault="00EB481C">
      <w:pPr>
        <w:pStyle w:val="P68B1DB1-ListParagraph7"/>
        <w:numPr>
          <w:ilvl w:val="1"/>
          <w:numId w:val="755"/>
        </w:numPr>
        <w:jc w:val="both"/>
        <w:rPr>
          <w:rFonts w:eastAsia="Times New Roman" w:cs="Times New Roman"/>
          <w:noProof/>
        </w:rPr>
      </w:pPr>
      <w:r>
        <w:rPr>
          <w:noProof/>
        </w:rPr>
        <w:t>Az EBB csoport azon kötelezettsége, hogy a központi kormányzat általános ellenőre (IGAE) rendelkezésére</w:t>
      </w:r>
      <w:r>
        <w:rPr>
          <w:noProof/>
        </w:rPr>
        <w:t xml:space="preserve"> bocsássa a külső könyvvizsgálóik által készített éves ellenőrzési jelentést.</w:t>
      </w:r>
    </w:p>
    <w:p w14:paraId="557E207F" w14:textId="5CFAD5F2" w:rsidR="003E1D81" w:rsidRDefault="00EB481C">
      <w:pPr>
        <w:pStyle w:val="ListParagraph"/>
        <w:numPr>
          <w:ilvl w:val="0"/>
          <w:numId w:val="755"/>
        </w:numPr>
        <w:jc w:val="both"/>
        <w:rPr>
          <w:rFonts w:ascii="Times New Roman" w:eastAsia="Times New Roman" w:hAnsi="Times New Roman" w:cs="Times New Roman"/>
          <w:noProof/>
          <w:sz w:val="24"/>
        </w:rPr>
      </w:pPr>
      <w:r>
        <w:rPr>
          <w:rFonts w:ascii="Times New Roman" w:hAnsi="Times New Roman"/>
          <w:noProof/>
          <w:sz w:val="24"/>
        </w:rPr>
        <w:t>A végrehajtó partner által végrehajtott éghajlat-politikai beruházásokra vonatkozó követelmények: az eszközbe irányuló Helyreállítási és Rezilienciaépítési Eszközből legalább 9 7</w:t>
      </w:r>
      <w:r>
        <w:rPr>
          <w:rFonts w:ascii="Times New Roman" w:hAnsi="Times New Roman"/>
          <w:noProof/>
          <w:sz w:val="24"/>
        </w:rPr>
        <w:t>50 000 000 EUR összegű beruházásnak hozzá kell járulnia az éghajlatváltozással kapcsolatos célkitűzésekhez a Helyreállítási és Rezilienciaépítési Eszközről szóló rendelet VI. mellékletével összhangban.</w:t>
      </w:r>
      <w:r>
        <w:rPr>
          <w:rStyle w:val="FootnoteReference"/>
          <w:rFonts w:ascii="Times New Roman" w:hAnsi="Times New Roman" w:cs="Times New Roman"/>
          <w:noProof/>
          <w:sz w:val="24"/>
        </w:rPr>
        <w:footnoteReference w:id="147"/>
      </w:r>
    </w:p>
    <w:p w14:paraId="216600C2" w14:textId="1EE967AA" w:rsidR="003E1D81" w:rsidRDefault="00EB481C">
      <w:pPr>
        <w:pStyle w:val="P68B1DB1-ListParagraph7"/>
        <w:numPr>
          <w:ilvl w:val="0"/>
          <w:numId w:val="755"/>
        </w:numPr>
        <w:jc w:val="both"/>
        <w:rPr>
          <w:rFonts w:eastAsia="Times New Roman" w:cs="Times New Roman"/>
          <w:noProof/>
        </w:rPr>
      </w:pPr>
      <w:r>
        <w:rPr>
          <w:noProof/>
        </w:rPr>
        <w:t>A pénzügyi közvetítők kiválasztására vonatkozó követe</w:t>
      </w:r>
      <w:r>
        <w:rPr>
          <w:noProof/>
        </w:rPr>
        <w:t>lmények: Az EBB csoport nyílt, átlátható és megkülönböztetésmentes módon választja ki a pénzügyi közvetítőket. A pénzügyi közvetítőket érintő összeférhetetlenség hiányát előzetesen ellenőrizni kell, és azt valamennyi érintett pénzügyi szereplő esetében elő</w:t>
      </w:r>
      <w:r>
        <w:rPr>
          <w:noProof/>
        </w:rPr>
        <w:t xml:space="preserve">zetesen el kell végezni.  </w:t>
      </w:r>
    </w:p>
    <w:p w14:paraId="6137DE3A" w14:textId="15766C8D" w:rsidR="003E1D81" w:rsidRDefault="00EB481C">
      <w:pPr>
        <w:pStyle w:val="P68B1DB1-ListParagraph7"/>
        <w:numPr>
          <w:ilvl w:val="0"/>
          <w:numId w:val="755"/>
        </w:numPr>
        <w:jc w:val="both"/>
        <w:rPr>
          <w:rFonts w:eastAsia="Times New Roman" w:cs="Times New Roman"/>
          <w:noProof/>
        </w:rPr>
      </w:pPr>
      <w:r>
        <w:rPr>
          <w:noProof/>
        </w:rPr>
        <w:t>Finanszírozási megállapodások aláírásának kötelezettsége: Az EBB csoport finanszírozási megállapodásokat ír alá a pénzügyi közvetítőkkel a végrehajtási megállapodás mellékleteként benyújtandó kulcsfontosságú követelményeknek megf</w:t>
      </w:r>
      <w:r>
        <w:rPr>
          <w:noProof/>
        </w:rPr>
        <w:t xml:space="preserve">elelően. A finanszírozási megállapodás fő követelményei magukban foglalják mindazokat a követelményeket, amelyek alapján a Békekeret működik, beleértve a következőket:  </w:t>
      </w:r>
    </w:p>
    <w:p w14:paraId="5DEE2206" w14:textId="77777777" w:rsidR="003E1D81" w:rsidRDefault="00EB481C">
      <w:pPr>
        <w:pStyle w:val="P68B1DB1-ListParagraph7"/>
        <w:numPr>
          <w:ilvl w:val="1"/>
          <w:numId w:val="755"/>
        </w:numPr>
        <w:rPr>
          <w:rFonts w:cs="Times New Roman"/>
          <w:noProof/>
        </w:rPr>
      </w:pPr>
      <w:r>
        <w:rPr>
          <w:noProof/>
        </w:rPr>
        <w:t xml:space="preserve">A pénzügyi közvetítő azon kötelezettsége, hogy döntéseit </w:t>
      </w:r>
      <w:r>
        <w:rPr>
          <w:i/>
          <w:noProof/>
        </w:rPr>
        <w:t>értelemszerűen</w:t>
      </w:r>
      <w:r>
        <w:rPr>
          <w:noProof/>
        </w:rPr>
        <w:t xml:space="preserve"> a fent meghatá</w:t>
      </w:r>
      <w:r>
        <w:rPr>
          <w:noProof/>
        </w:rPr>
        <w:t xml:space="preserve">rozott döntéshozatali és befektetési politikai követelményeknek megfelelően hozza meg, beleértve a DNSH-elv tiszteletben tartásával kapcsolatosakat is. </w:t>
      </w:r>
    </w:p>
    <w:p w14:paraId="139C3B11" w14:textId="77777777" w:rsidR="003E1D81" w:rsidRDefault="00EB481C">
      <w:pPr>
        <w:pStyle w:val="P68B1DB1-ListParagraph7"/>
        <w:numPr>
          <w:ilvl w:val="1"/>
          <w:numId w:val="755"/>
        </w:numPr>
        <w:rPr>
          <w:rFonts w:cs="Times New Roman"/>
          <w:noProof/>
        </w:rPr>
      </w:pPr>
      <w:r>
        <w:rPr>
          <w:noProof/>
        </w:rPr>
        <w:t xml:space="preserve">A pénzügyi közvetítő által létrehozandó monitoring-, audit- és kontrollkeret leírása, amelyre </w:t>
      </w:r>
      <w:r>
        <w:rPr>
          <w:i/>
          <w:noProof/>
        </w:rPr>
        <w:t>értelemsz</w:t>
      </w:r>
      <w:r>
        <w:rPr>
          <w:i/>
          <w:noProof/>
        </w:rPr>
        <w:t>erűen</w:t>
      </w:r>
      <w:r>
        <w:rPr>
          <w:noProof/>
        </w:rPr>
        <w:t xml:space="preserve"> a fent meghatározott valamennyi nyomonkövetési, ellenőrzési és kontrollkövetelmény vonatkozik.  </w:t>
      </w:r>
    </w:p>
    <w:p w14:paraId="1FF0C1AA" w14:textId="373609A2" w:rsidR="003E1D81" w:rsidRDefault="00EB481C">
      <w:pPr>
        <w:pStyle w:val="P68B1DB1-Normal4"/>
        <w:spacing w:before="160" w:after="0" w:line="240" w:lineRule="auto"/>
        <w:jc w:val="both"/>
        <w:rPr>
          <w:rFonts w:eastAsia="Times New Roman" w:cs="Times New Roman"/>
          <w:noProof/>
        </w:rPr>
      </w:pPr>
      <w:r>
        <w:rPr>
          <w:noProof/>
        </w:rPr>
        <w:t>Az InvestEU tagállami komponenséhez való hozzájárulást (500 000 000 EUR)</w:t>
      </w:r>
      <w:r>
        <w:rPr>
          <w:b/>
          <w:noProof/>
        </w:rPr>
        <w:t xml:space="preserve"> </w:t>
      </w:r>
      <w:r>
        <w:rPr>
          <w:noProof/>
        </w:rPr>
        <w:t>kkv-k, közepes piaci tőkeértékű vállalatok és magánszemélyek finanszírozására ke</w:t>
      </w:r>
      <w:r>
        <w:rPr>
          <w:noProof/>
        </w:rPr>
        <w:t>ll felhasználni, többek között kötvények, hitelek, lízing, alárendelt kölcsön, faktoring, bankgaranciák vagy kereskedelemfinanszírozás révén.</w:t>
      </w:r>
    </w:p>
    <w:p w14:paraId="7242546C" w14:textId="160DC2FB" w:rsidR="003E1D81" w:rsidRDefault="00EB481C">
      <w:pPr>
        <w:pStyle w:val="P68B1DB1-Normal4"/>
        <w:spacing w:before="160" w:after="0" w:line="240" w:lineRule="auto"/>
        <w:jc w:val="both"/>
        <w:rPr>
          <w:rFonts w:eastAsia="Times New Roman" w:cs="Times New Roman"/>
          <w:noProof/>
        </w:rPr>
      </w:pPr>
      <w:r>
        <w:rPr>
          <w:noProof/>
        </w:rPr>
        <w:t xml:space="preserve">Hatályba lép a Bizottság és az InvestEU program létrehozásáról és az (EU) 2015/1017 rendelet módosításáról szóló, </w:t>
      </w:r>
      <w:r>
        <w:rPr>
          <w:noProof/>
        </w:rPr>
        <w:t>2021. március 24-i (EU) 2021/523 európai parlamenti és tanácsi rendelet vonatkozó rendelkezéseivel összhangban kiválasztott végrehajtó partner közötti garanciamegállapodás. Spanyolország az intézkedés végrehajtása céljából az EBA-t javasolta végrehajtó par</w:t>
      </w:r>
      <w:r>
        <w:rPr>
          <w:noProof/>
        </w:rPr>
        <w:t>tnernek.</w:t>
      </w:r>
    </w:p>
    <w:p w14:paraId="75AD9FE1" w14:textId="37B3A716" w:rsidR="003E1D81" w:rsidRDefault="00EB481C">
      <w:pPr>
        <w:pStyle w:val="P68B1DB1-Normal4"/>
        <w:spacing w:before="160" w:after="0" w:line="240" w:lineRule="auto"/>
        <w:jc w:val="both"/>
        <w:rPr>
          <w:rFonts w:eastAsia="Times New Roman" w:cs="Times New Roman"/>
          <w:noProof/>
        </w:rPr>
      </w:pPr>
      <w:r>
        <w:rPr>
          <w:noProof/>
        </w:rPr>
        <w:t xml:space="preserve">Spanyolország hozzájárulási megállapodást ír alá az Európai Bizottsággal, amely a következőket tartalmazza: </w:t>
      </w:r>
    </w:p>
    <w:p w14:paraId="20DB6344" w14:textId="77777777" w:rsidR="003E1D81" w:rsidRDefault="00EB481C">
      <w:pPr>
        <w:pStyle w:val="P68B1DB1-ListParagraph7"/>
        <w:numPr>
          <w:ilvl w:val="0"/>
          <w:numId w:val="719"/>
        </w:numPr>
        <w:spacing w:before="160" w:after="0" w:line="240" w:lineRule="auto"/>
        <w:jc w:val="both"/>
        <w:rPr>
          <w:rFonts w:eastAsia="Times New Roman" w:cs="Times New Roman"/>
          <w:noProof/>
        </w:rPr>
      </w:pPr>
      <w:r>
        <w:rPr>
          <w:noProof/>
        </w:rPr>
        <w:t xml:space="preserve">A javasolt végrehajtó partner. </w:t>
      </w:r>
    </w:p>
    <w:p w14:paraId="13495C88" w14:textId="22C269EB" w:rsidR="003E1D81" w:rsidRDefault="00EB481C">
      <w:pPr>
        <w:pStyle w:val="ListParagraph"/>
        <w:numPr>
          <w:ilvl w:val="0"/>
          <w:numId w:val="719"/>
        </w:numPr>
        <w:spacing w:before="160" w:after="0" w:line="240" w:lineRule="auto"/>
        <w:jc w:val="both"/>
        <w:rPr>
          <w:rFonts w:ascii="Times New Roman" w:eastAsia="Times New Roman" w:hAnsi="Times New Roman" w:cs="Times New Roman"/>
          <w:noProof/>
          <w:sz w:val="24"/>
        </w:rPr>
      </w:pPr>
      <w:r>
        <w:rPr>
          <w:rFonts w:ascii="Times New Roman" w:hAnsi="Times New Roman"/>
          <w:noProof/>
          <w:sz w:val="24"/>
        </w:rPr>
        <w:t>A DNSH technikai iránymutatásnak (2021/C58/01) való megfelelés követelménye. Szükség esetén a garanciamegá</w:t>
      </w:r>
      <w:r>
        <w:rPr>
          <w:rFonts w:ascii="Times New Roman" w:hAnsi="Times New Roman"/>
          <w:noProof/>
          <w:sz w:val="24"/>
        </w:rPr>
        <w:t>llapodás kizárja a tevékenységek és eszközök alábbi listáját az elfogadhatóság köréből: a fosszilis tüzelőanyagokhoz kapcsolódó tevékenységek és eszközök, beleértve a downstream felhasználást is</w:t>
      </w:r>
      <w:r>
        <w:rPr>
          <w:rStyle w:val="FootnoteReference"/>
          <w:rFonts w:ascii="Times New Roman" w:eastAsia="Times New Roman" w:hAnsi="Times New Roman" w:cs="Times New Roman"/>
          <w:noProof/>
          <w:sz w:val="24"/>
        </w:rPr>
        <w:footnoteReference w:id="148"/>
      </w:r>
      <w:r>
        <w:rPr>
          <w:rFonts w:ascii="Times New Roman" w:hAnsi="Times New Roman"/>
          <w:noProof/>
          <w:sz w:val="24"/>
        </w:rPr>
        <w:t>; az uniós kibocsátáskereskedelmi rendszer (ETS) keretében vé</w:t>
      </w:r>
      <w:r>
        <w:rPr>
          <w:rFonts w:ascii="Times New Roman" w:hAnsi="Times New Roman"/>
          <w:noProof/>
          <w:sz w:val="24"/>
        </w:rPr>
        <w:t>gzett tevékenységek és eszközök, amelyek a vonatkozó referenciaértékeknél nem alacsonyabb várható üvegházhatásúgáz-kibocsátást érnek el</w:t>
      </w:r>
      <w:r>
        <w:rPr>
          <w:rStyle w:val="FootnoteReference"/>
          <w:rFonts w:ascii="Times New Roman" w:eastAsia="Times New Roman" w:hAnsi="Times New Roman" w:cs="Times New Roman"/>
          <w:noProof/>
          <w:sz w:val="24"/>
        </w:rPr>
        <w:footnoteReference w:id="149"/>
      </w:r>
      <w:r>
        <w:rPr>
          <w:rFonts w:ascii="Times New Roman" w:hAnsi="Times New Roman"/>
          <w:noProof/>
          <w:sz w:val="24"/>
        </w:rPr>
        <w:t>; hulladéklerakókkal, hulladékégetőkkel és mechanikai-biológiai szennyvíztisztító telepekkel kapcsolatos tevékenységek</w:t>
      </w:r>
      <w:r>
        <w:rPr>
          <w:rStyle w:val="FootnoteReference"/>
          <w:rFonts w:ascii="Times New Roman" w:eastAsia="Times New Roman" w:hAnsi="Times New Roman" w:cs="Times New Roman"/>
          <w:noProof/>
          <w:sz w:val="24"/>
        </w:rPr>
        <w:footnoteReference w:id="150"/>
      </w:r>
      <w:r>
        <w:rPr>
          <w:rFonts w:ascii="Times New Roman" w:hAnsi="Times New Roman"/>
          <w:noProof/>
          <w:sz w:val="24"/>
        </w:rPr>
        <w:t xml:space="preserve"> </w:t>
      </w:r>
      <w:r>
        <w:rPr>
          <w:rFonts w:ascii="Times New Roman" w:hAnsi="Times New Roman"/>
          <w:noProof/>
          <w:sz w:val="24"/>
        </w:rPr>
        <w:t>és eszközök</w:t>
      </w:r>
      <w:r>
        <w:rPr>
          <w:rStyle w:val="FootnoteReference"/>
          <w:rFonts w:ascii="Times New Roman" w:eastAsia="Times New Roman" w:hAnsi="Times New Roman" w:cs="Times New Roman"/>
          <w:noProof/>
          <w:sz w:val="24"/>
        </w:rPr>
        <w:footnoteReference w:id="151"/>
      </w:r>
      <w:r>
        <w:rPr>
          <w:rFonts w:ascii="Times New Roman" w:hAnsi="Times New Roman"/>
          <w:noProof/>
          <w:sz w:val="24"/>
        </w:rPr>
        <w:t>.</w:t>
      </w:r>
    </w:p>
    <w:p w14:paraId="600CE2FF" w14:textId="0CCDA3A4" w:rsidR="003E1D81" w:rsidRDefault="00EB481C">
      <w:pPr>
        <w:pStyle w:val="P68B1DB1-Normal4"/>
        <w:rPr>
          <w:rFonts w:eastAsia="Times New Roman" w:cs="Times New Roman"/>
          <w:noProof/>
        </w:rPr>
      </w:pPr>
      <w:r>
        <w:rPr>
          <w:noProof/>
        </w:rPr>
        <w:t>Az intézkedés végrehajtását 2026. augusztus 31-ig be kell fejezni.</w:t>
      </w:r>
    </w:p>
    <w:bookmarkEnd w:id="43"/>
    <w:bookmarkEnd w:id="44"/>
    <w:p w14:paraId="63516851" w14:textId="5495836A" w:rsidR="003E1D81" w:rsidRDefault="00EB481C">
      <w:pPr>
        <w:pStyle w:val="P68B1DB1-paragraph31"/>
        <w:spacing w:before="0" w:beforeAutospacing="0" w:after="0" w:afterAutospacing="0"/>
        <w:ind w:left="720"/>
        <w:jc w:val="both"/>
        <w:textAlignment w:val="baseline"/>
        <w:rPr>
          <w:rFonts w:cs="Times New Roman"/>
          <w:noProof/>
        </w:rPr>
      </w:pPr>
      <w:r>
        <w:rPr>
          <w:noProof/>
        </w:rPr>
        <w:t xml:space="preserve">M.4. </w:t>
      </w:r>
      <w:r>
        <w:rPr>
          <w:noProof/>
        </w:rPr>
        <w:tab/>
        <w:t>A hiteltámogatás nyomon követésének és végrehajtásának mérföldkövei, céljai, mutatói és ütemterve</w:t>
      </w:r>
    </w:p>
    <w:p w14:paraId="06DF55F9" w14:textId="3E7724DF" w:rsidR="003E1D81" w:rsidRDefault="003E1D81">
      <w:pPr>
        <w:pStyle w:val="paragraph"/>
        <w:spacing w:before="0" w:beforeAutospacing="0" w:after="0" w:afterAutospacing="0"/>
        <w:jc w:val="both"/>
        <w:textAlignment w:val="baseline"/>
        <w:rPr>
          <w:rFonts w:ascii="Times New Roman" w:hAnsi="Times New Roman" w:cs="Times New Roman"/>
          <w:b/>
          <w:noProof/>
          <w:u w:val="single"/>
        </w:rPr>
      </w:pPr>
    </w:p>
    <w:p w14:paraId="7BCE618A" w14:textId="59223A2F" w:rsidR="003E1D81" w:rsidRDefault="00EB481C">
      <w:pPr>
        <w:pStyle w:val="P68B1DB1-paragraph25"/>
        <w:spacing w:before="0" w:beforeAutospacing="0" w:after="0" w:afterAutospacing="0"/>
        <w:jc w:val="both"/>
        <w:textAlignment w:val="baseline"/>
        <w:rPr>
          <w:rFonts w:cs="Times New Roman"/>
          <w:b/>
          <w:noProof/>
          <w:u w:val="single"/>
        </w:rPr>
      </w:pPr>
      <w:r>
        <w:rPr>
          <w:i/>
          <w:noProof/>
        </w:rPr>
        <w:t>Táblázat alább.</w:t>
      </w:r>
      <w:r>
        <w:rPr>
          <w:noProof/>
        </w:rPr>
        <w:t xml:space="preserve"> </w:t>
      </w:r>
      <w:r>
        <w:rPr>
          <w:i/>
          <w:noProof/>
        </w:rPr>
        <w:t xml:space="preserve">Az alapforgatókönyv valamennyi mutató esetében 2020. </w:t>
      </w:r>
      <w:r>
        <w:rPr>
          <w:i/>
          <w:noProof/>
        </w:rPr>
        <w:t>február 1-je, kivéve, ha az intézkedés leírása másként jelzi.</w:t>
      </w:r>
    </w:p>
    <w:p w14:paraId="1DAFA8BA" w14:textId="77777777" w:rsidR="003E1D81" w:rsidRDefault="003E1D81">
      <w:pPr>
        <w:rPr>
          <w:rFonts w:ascii="Times New Roman" w:hAnsi="Times New Roman" w:cs="Times New Roman"/>
          <w:noProof/>
          <w:sz w:val="24"/>
        </w:rPr>
        <w:sectPr w:rsidR="003E1D81" w:rsidSect="00EB7CC8">
          <w:headerReference w:type="even" r:id="rId282"/>
          <w:headerReference w:type="default" r:id="rId283"/>
          <w:footerReference w:type="even" r:id="rId284"/>
          <w:footerReference w:type="default" r:id="rId285"/>
          <w:headerReference w:type="first" r:id="rId286"/>
          <w:footerReference w:type="first" r:id="rId287"/>
          <w:pgSz w:w="11907" w:h="16839"/>
          <w:pgMar w:top="1134" w:right="1417" w:bottom="1134" w:left="1417" w:header="709" w:footer="709" w:gutter="0"/>
          <w:cols w:space="720"/>
          <w:docGrid w:linePitch="360"/>
        </w:sectPr>
      </w:pPr>
    </w:p>
    <w:tbl>
      <w:tblPr>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850"/>
        <w:gridCol w:w="851"/>
        <w:gridCol w:w="2268"/>
        <w:gridCol w:w="1134"/>
        <w:gridCol w:w="709"/>
        <w:gridCol w:w="708"/>
        <w:gridCol w:w="709"/>
        <w:gridCol w:w="709"/>
        <w:gridCol w:w="709"/>
        <w:gridCol w:w="4958"/>
      </w:tblGrid>
      <w:tr w:rsidR="003E1D81" w14:paraId="009AA642" w14:textId="77777777">
        <w:trPr>
          <w:trHeight w:val="300"/>
          <w:tblHeader/>
        </w:trPr>
        <w:tc>
          <w:tcPr>
            <w:tcW w:w="846" w:type="dxa"/>
            <w:vMerge w:val="restart"/>
            <w:shd w:val="clear" w:color="auto" w:fill="C6D9F1" w:themeFill="text2" w:themeFillTint="33"/>
            <w:vAlign w:val="center"/>
            <w:hideMark/>
          </w:tcPr>
          <w:p w14:paraId="228A799E" w14:textId="77777777" w:rsidR="003E1D81" w:rsidRDefault="00EB481C">
            <w:pPr>
              <w:pStyle w:val="P68B1DB1-Normal13"/>
              <w:spacing w:after="0" w:line="240" w:lineRule="auto"/>
              <w:jc w:val="center"/>
              <w:textAlignment w:val="baseline"/>
              <w:rPr>
                <w:rFonts w:eastAsia="Times New Roman" w:cs="Times New Roman"/>
                <w:noProof/>
              </w:rPr>
            </w:pPr>
            <w:r>
              <w:rPr>
                <w:b/>
                <w:noProof/>
              </w:rPr>
              <w:t>Szám</w:t>
            </w:r>
            <w:r>
              <w:rPr>
                <w:noProof/>
              </w:rPr>
              <w:t> </w:t>
            </w:r>
          </w:p>
          <w:p w14:paraId="54770E32" w14:textId="35686B28" w:rsidR="003E1D81" w:rsidRDefault="00EB481C">
            <w:pPr>
              <w:pStyle w:val="P68B1DB1-Normal13"/>
              <w:spacing w:after="0" w:line="240" w:lineRule="auto"/>
              <w:jc w:val="center"/>
              <w:textAlignment w:val="baseline"/>
              <w:rPr>
                <w:rFonts w:eastAsia="Times New Roman" w:cs="Times New Roman"/>
                <w:noProof/>
              </w:rPr>
            </w:pPr>
            <w:r>
              <w:rPr>
                <w:noProof/>
              </w:rPr>
              <w:t> </w:t>
            </w:r>
          </w:p>
        </w:tc>
        <w:tc>
          <w:tcPr>
            <w:tcW w:w="850" w:type="dxa"/>
            <w:vMerge w:val="restart"/>
            <w:shd w:val="clear" w:color="auto" w:fill="C6D9F1" w:themeFill="text2" w:themeFillTint="33"/>
            <w:vAlign w:val="center"/>
            <w:hideMark/>
          </w:tcPr>
          <w:p w14:paraId="16242CC3" w14:textId="77777777" w:rsidR="003E1D81" w:rsidRDefault="00EB481C">
            <w:pPr>
              <w:pStyle w:val="P68B1DB1-Normal13"/>
              <w:spacing w:after="0" w:line="240" w:lineRule="auto"/>
              <w:jc w:val="center"/>
              <w:textAlignment w:val="baseline"/>
              <w:rPr>
                <w:rFonts w:eastAsia="Times New Roman" w:cs="Times New Roman"/>
                <w:noProof/>
              </w:rPr>
            </w:pPr>
            <w:r>
              <w:rPr>
                <w:b/>
                <w:noProof/>
              </w:rPr>
              <w:t>Intézkedés</w:t>
            </w:r>
            <w:r>
              <w:rPr>
                <w:noProof/>
              </w:rPr>
              <w:t> </w:t>
            </w:r>
          </w:p>
          <w:p w14:paraId="76686C5A" w14:textId="04D5F8CE" w:rsidR="003E1D81" w:rsidRDefault="00EB481C">
            <w:pPr>
              <w:pStyle w:val="P68B1DB1-Normal13"/>
              <w:spacing w:after="0" w:line="240" w:lineRule="auto"/>
              <w:jc w:val="center"/>
              <w:textAlignment w:val="baseline"/>
              <w:rPr>
                <w:rFonts w:eastAsia="Times New Roman" w:cs="Times New Roman"/>
                <w:noProof/>
              </w:rPr>
            </w:pPr>
            <w:r>
              <w:rPr>
                <w:noProof/>
              </w:rPr>
              <w:t> </w:t>
            </w:r>
          </w:p>
        </w:tc>
        <w:tc>
          <w:tcPr>
            <w:tcW w:w="851" w:type="dxa"/>
            <w:vMerge w:val="restart"/>
            <w:shd w:val="clear" w:color="auto" w:fill="C6D9F1" w:themeFill="text2" w:themeFillTint="33"/>
            <w:vAlign w:val="center"/>
            <w:hideMark/>
          </w:tcPr>
          <w:p w14:paraId="4C2BB3AE" w14:textId="77777777" w:rsidR="003E1D81" w:rsidRDefault="00EB481C">
            <w:pPr>
              <w:pStyle w:val="P68B1DB1-Normal8"/>
              <w:spacing w:after="0" w:line="240" w:lineRule="auto"/>
              <w:jc w:val="center"/>
              <w:textAlignment w:val="baseline"/>
              <w:rPr>
                <w:rFonts w:eastAsia="Times New Roman" w:cs="Times New Roman"/>
                <w:noProof/>
                <w:sz w:val="18"/>
              </w:rPr>
            </w:pPr>
            <w:r>
              <w:rPr>
                <w:b/>
                <w:noProof/>
                <w:sz w:val="18"/>
              </w:rPr>
              <w:t>Mérföldkő</w:t>
            </w:r>
            <w:r>
              <w:rPr>
                <w:noProof/>
                <w:sz w:val="18"/>
              </w:rPr>
              <w:t xml:space="preserve"> </w:t>
            </w:r>
            <w:r>
              <w:rPr>
                <w:noProof/>
                <w:shd w:val="clear" w:color="auto" w:fill="E6E6E6"/>
              </w:rPr>
              <w:br/>
            </w:r>
            <w:r>
              <w:rPr>
                <w:b/>
                <w:noProof/>
                <w:sz w:val="18"/>
              </w:rPr>
              <w:t>/Cél</w:t>
            </w:r>
            <w:r>
              <w:rPr>
                <w:noProof/>
                <w:sz w:val="18"/>
              </w:rPr>
              <w:t> </w:t>
            </w:r>
          </w:p>
          <w:p w14:paraId="1F11B0E2" w14:textId="43990835" w:rsidR="003E1D81" w:rsidRDefault="00EB481C">
            <w:pPr>
              <w:pStyle w:val="P68B1DB1-Normal13"/>
              <w:spacing w:after="0" w:line="240" w:lineRule="auto"/>
              <w:jc w:val="center"/>
              <w:textAlignment w:val="baseline"/>
              <w:rPr>
                <w:rFonts w:eastAsia="Times New Roman" w:cs="Times New Roman"/>
                <w:noProof/>
              </w:rPr>
            </w:pPr>
            <w:r>
              <w:rPr>
                <w:noProof/>
              </w:rPr>
              <w:t> </w:t>
            </w:r>
          </w:p>
        </w:tc>
        <w:tc>
          <w:tcPr>
            <w:tcW w:w="2268" w:type="dxa"/>
            <w:vMerge w:val="restart"/>
            <w:shd w:val="clear" w:color="auto" w:fill="C6D9F1" w:themeFill="text2" w:themeFillTint="33"/>
            <w:vAlign w:val="center"/>
            <w:hideMark/>
          </w:tcPr>
          <w:p w14:paraId="67F7FFCD" w14:textId="77777777" w:rsidR="003E1D81" w:rsidRDefault="00EB481C">
            <w:pPr>
              <w:pStyle w:val="P68B1DB1-Normal13"/>
              <w:spacing w:after="0" w:line="240" w:lineRule="auto"/>
              <w:jc w:val="center"/>
              <w:textAlignment w:val="baseline"/>
              <w:rPr>
                <w:rFonts w:eastAsia="Times New Roman" w:cs="Times New Roman"/>
                <w:noProof/>
              </w:rPr>
            </w:pPr>
            <w:r>
              <w:rPr>
                <w:b/>
                <w:noProof/>
              </w:rPr>
              <w:t>Név</w:t>
            </w:r>
            <w:r>
              <w:rPr>
                <w:noProof/>
              </w:rPr>
              <w:t> </w:t>
            </w:r>
          </w:p>
          <w:p w14:paraId="04BB8F11" w14:textId="301D47E5" w:rsidR="003E1D81" w:rsidRDefault="00EB481C">
            <w:pPr>
              <w:pStyle w:val="P68B1DB1-Normal13"/>
              <w:spacing w:after="0" w:line="240" w:lineRule="auto"/>
              <w:textAlignment w:val="baseline"/>
              <w:rPr>
                <w:rFonts w:eastAsia="Times New Roman" w:cs="Times New Roman"/>
                <w:noProof/>
              </w:rPr>
            </w:pPr>
            <w:r>
              <w:rPr>
                <w:noProof/>
              </w:rPr>
              <w:t> </w:t>
            </w:r>
          </w:p>
        </w:tc>
        <w:tc>
          <w:tcPr>
            <w:tcW w:w="1134" w:type="dxa"/>
            <w:vMerge w:val="restart"/>
            <w:shd w:val="clear" w:color="auto" w:fill="C6D9F1" w:themeFill="text2" w:themeFillTint="33"/>
            <w:vAlign w:val="center"/>
            <w:hideMark/>
          </w:tcPr>
          <w:p w14:paraId="1FD58E81" w14:textId="77777777" w:rsidR="003E1D81" w:rsidRDefault="00EB481C">
            <w:pPr>
              <w:pStyle w:val="P68B1DB1-Normal13"/>
              <w:spacing w:after="0" w:line="240" w:lineRule="auto"/>
              <w:jc w:val="center"/>
              <w:textAlignment w:val="baseline"/>
              <w:rPr>
                <w:rFonts w:eastAsia="Times New Roman" w:cs="Times New Roman"/>
                <w:noProof/>
              </w:rPr>
            </w:pPr>
            <w:r>
              <w:rPr>
                <w:b/>
                <w:noProof/>
              </w:rPr>
              <w:t>A mérföldkövek minőségi mutatója</w:t>
            </w:r>
            <w:r>
              <w:rPr>
                <w:noProof/>
              </w:rPr>
              <w:t> </w:t>
            </w:r>
          </w:p>
          <w:p w14:paraId="2A6C4529" w14:textId="5EC89C64" w:rsidR="003E1D81" w:rsidRDefault="00EB481C">
            <w:pPr>
              <w:pStyle w:val="P68B1DB1-Normal13"/>
              <w:spacing w:after="0" w:line="240" w:lineRule="auto"/>
              <w:jc w:val="center"/>
              <w:textAlignment w:val="baseline"/>
              <w:rPr>
                <w:rFonts w:eastAsia="Times New Roman" w:cs="Times New Roman"/>
                <w:noProof/>
              </w:rPr>
            </w:pPr>
            <w:r>
              <w:rPr>
                <w:noProof/>
              </w:rPr>
              <w:t> </w:t>
            </w:r>
          </w:p>
        </w:tc>
        <w:tc>
          <w:tcPr>
            <w:tcW w:w="2126" w:type="dxa"/>
            <w:gridSpan w:val="3"/>
            <w:shd w:val="clear" w:color="auto" w:fill="C6D9F1" w:themeFill="text2" w:themeFillTint="33"/>
            <w:vAlign w:val="center"/>
            <w:hideMark/>
          </w:tcPr>
          <w:p w14:paraId="16A60266" w14:textId="77777777" w:rsidR="003E1D81" w:rsidRDefault="00EB481C">
            <w:pPr>
              <w:pStyle w:val="P68B1DB1-Normal13"/>
              <w:spacing w:after="0" w:line="240" w:lineRule="auto"/>
              <w:jc w:val="center"/>
              <w:textAlignment w:val="baseline"/>
              <w:rPr>
                <w:rFonts w:eastAsia="Times New Roman" w:cs="Times New Roman"/>
                <w:noProof/>
              </w:rPr>
            </w:pPr>
            <w:r>
              <w:rPr>
                <w:b/>
                <w:noProof/>
              </w:rPr>
              <w:t>A célérték mennyiségi mutatója</w:t>
            </w:r>
            <w:r>
              <w:rPr>
                <w:noProof/>
              </w:rPr>
              <w:t> </w:t>
            </w:r>
          </w:p>
        </w:tc>
        <w:tc>
          <w:tcPr>
            <w:tcW w:w="1418" w:type="dxa"/>
            <w:gridSpan w:val="2"/>
            <w:shd w:val="clear" w:color="auto" w:fill="C6D9F1" w:themeFill="text2" w:themeFillTint="33"/>
            <w:vAlign w:val="center"/>
            <w:hideMark/>
          </w:tcPr>
          <w:p w14:paraId="79B6C7FC" w14:textId="77777777" w:rsidR="003E1D81" w:rsidRDefault="00EB481C">
            <w:pPr>
              <w:pStyle w:val="P68B1DB1-Normal13"/>
              <w:spacing w:after="0" w:line="240" w:lineRule="auto"/>
              <w:jc w:val="center"/>
              <w:textAlignment w:val="baseline"/>
              <w:rPr>
                <w:rFonts w:eastAsia="Times New Roman" w:cs="Times New Roman"/>
                <w:noProof/>
              </w:rPr>
            </w:pPr>
            <w:r>
              <w:rPr>
                <w:b/>
                <w:noProof/>
              </w:rPr>
              <w:t>Idő</w:t>
            </w:r>
            <w:r>
              <w:rPr>
                <w:noProof/>
              </w:rPr>
              <w:t> </w:t>
            </w:r>
          </w:p>
        </w:tc>
        <w:tc>
          <w:tcPr>
            <w:tcW w:w="4958" w:type="dxa"/>
            <w:vMerge w:val="restart"/>
            <w:shd w:val="clear" w:color="auto" w:fill="C6D9F1" w:themeFill="text2" w:themeFillTint="33"/>
            <w:vAlign w:val="center"/>
            <w:hideMark/>
          </w:tcPr>
          <w:p w14:paraId="76717449" w14:textId="77777777" w:rsidR="003E1D81" w:rsidRDefault="00EB481C">
            <w:pPr>
              <w:pStyle w:val="P68B1DB1-Normal13"/>
              <w:spacing w:after="0" w:line="240" w:lineRule="auto"/>
              <w:jc w:val="center"/>
              <w:textAlignment w:val="baseline"/>
              <w:rPr>
                <w:rFonts w:eastAsia="Times New Roman" w:cs="Times New Roman"/>
                <w:noProof/>
              </w:rPr>
            </w:pPr>
            <w:r>
              <w:rPr>
                <w:b/>
                <w:noProof/>
              </w:rPr>
              <w:t xml:space="preserve">Az egyes </w:t>
            </w:r>
            <w:r>
              <w:rPr>
                <w:b/>
                <w:noProof/>
              </w:rPr>
              <w:t>mérföldkövek és célértékek leírása</w:t>
            </w:r>
            <w:r>
              <w:rPr>
                <w:noProof/>
              </w:rPr>
              <w:t> </w:t>
            </w:r>
          </w:p>
          <w:p w14:paraId="742312F1" w14:textId="79871565" w:rsidR="003E1D81" w:rsidRDefault="00EB481C">
            <w:pPr>
              <w:pStyle w:val="P68B1DB1-Normal13"/>
              <w:spacing w:after="0" w:line="240" w:lineRule="auto"/>
              <w:textAlignment w:val="baseline"/>
              <w:rPr>
                <w:rFonts w:eastAsia="Times New Roman" w:cs="Times New Roman"/>
                <w:noProof/>
              </w:rPr>
            </w:pPr>
            <w:r>
              <w:rPr>
                <w:noProof/>
              </w:rPr>
              <w:t> </w:t>
            </w:r>
          </w:p>
        </w:tc>
      </w:tr>
      <w:tr w:rsidR="003E1D81" w14:paraId="65A4F62D" w14:textId="77777777">
        <w:trPr>
          <w:trHeight w:val="495"/>
          <w:tblHeader/>
        </w:trPr>
        <w:tc>
          <w:tcPr>
            <w:tcW w:w="846" w:type="dxa"/>
            <w:vMerge/>
            <w:shd w:val="clear" w:color="auto" w:fill="C6D9F1" w:themeFill="text2" w:themeFillTint="33"/>
            <w:hideMark/>
          </w:tcPr>
          <w:p w14:paraId="47E8EB72" w14:textId="3890B55D"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850" w:type="dxa"/>
            <w:vMerge/>
            <w:shd w:val="clear" w:color="auto" w:fill="C6D9F1" w:themeFill="text2" w:themeFillTint="33"/>
            <w:hideMark/>
          </w:tcPr>
          <w:p w14:paraId="4D9D5A78" w14:textId="6C04FB28"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851" w:type="dxa"/>
            <w:vMerge/>
            <w:shd w:val="clear" w:color="auto" w:fill="C6D9F1" w:themeFill="text2" w:themeFillTint="33"/>
            <w:hideMark/>
          </w:tcPr>
          <w:p w14:paraId="28A47BAC" w14:textId="3B79D6A1"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2268" w:type="dxa"/>
            <w:vMerge/>
            <w:shd w:val="clear" w:color="auto" w:fill="C6D9F1" w:themeFill="text2" w:themeFillTint="33"/>
            <w:hideMark/>
          </w:tcPr>
          <w:p w14:paraId="4929334D" w14:textId="7F2FCDD2" w:rsidR="003E1D81" w:rsidRDefault="003E1D81">
            <w:pPr>
              <w:spacing w:after="0" w:line="240" w:lineRule="auto"/>
              <w:textAlignment w:val="baseline"/>
              <w:rPr>
                <w:rFonts w:ascii="Times New Roman" w:eastAsia="Times New Roman" w:hAnsi="Times New Roman" w:cs="Times New Roman"/>
                <w:noProof/>
                <w:sz w:val="18"/>
              </w:rPr>
            </w:pPr>
          </w:p>
        </w:tc>
        <w:tc>
          <w:tcPr>
            <w:tcW w:w="1134" w:type="dxa"/>
            <w:vMerge/>
            <w:shd w:val="clear" w:color="auto" w:fill="C6D9F1" w:themeFill="text2" w:themeFillTint="33"/>
            <w:hideMark/>
          </w:tcPr>
          <w:p w14:paraId="4CA1E531" w14:textId="522CE838"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D9F1" w:themeFill="text2" w:themeFillTint="33"/>
            <w:vAlign w:val="center"/>
            <w:hideMark/>
          </w:tcPr>
          <w:p w14:paraId="79E268EE" w14:textId="77777777" w:rsidR="003E1D81" w:rsidRDefault="00EB481C">
            <w:pPr>
              <w:pStyle w:val="P68B1DB1-Normal13"/>
              <w:spacing w:after="0" w:line="240" w:lineRule="auto"/>
              <w:jc w:val="center"/>
              <w:textAlignment w:val="baseline"/>
              <w:rPr>
                <w:rFonts w:eastAsia="Times New Roman" w:cs="Times New Roman"/>
                <w:noProof/>
              </w:rPr>
            </w:pPr>
            <w:r>
              <w:rPr>
                <w:b/>
                <w:noProof/>
              </w:rPr>
              <w:t>Egység</w:t>
            </w:r>
            <w:r>
              <w:rPr>
                <w:noProof/>
              </w:rPr>
              <w:t> </w:t>
            </w:r>
          </w:p>
        </w:tc>
        <w:tc>
          <w:tcPr>
            <w:tcW w:w="708" w:type="dxa"/>
            <w:shd w:val="clear" w:color="auto" w:fill="C6D9F1" w:themeFill="text2" w:themeFillTint="33"/>
            <w:vAlign w:val="center"/>
            <w:hideMark/>
          </w:tcPr>
          <w:p w14:paraId="7DE07462" w14:textId="7B033F9A" w:rsidR="003E1D81" w:rsidRDefault="00EB481C">
            <w:pPr>
              <w:pStyle w:val="P68B1DB1-Normal13"/>
              <w:spacing w:after="0" w:line="240" w:lineRule="auto"/>
              <w:jc w:val="center"/>
              <w:textAlignment w:val="baseline"/>
              <w:rPr>
                <w:rFonts w:eastAsia="Times New Roman" w:cs="Times New Roman"/>
                <w:noProof/>
              </w:rPr>
            </w:pPr>
            <w:r>
              <w:rPr>
                <w:b/>
                <w:noProof/>
              </w:rPr>
              <w:t>Alapérték</w:t>
            </w:r>
            <w:r>
              <w:rPr>
                <w:noProof/>
              </w:rPr>
              <w:t> </w:t>
            </w:r>
          </w:p>
        </w:tc>
        <w:tc>
          <w:tcPr>
            <w:tcW w:w="709" w:type="dxa"/>
            <w:shd w:val="clear" w:color="auto" w:fill="C6D9F1" w:themeFill="text2" w:themeFillTint="33"/>
            <w:vAlign w:val="center"/>
            <w:hideMark/>
          </w:tcPr>
          <w:p w14:paraId="26DDD29B" w14:textId="77777777" w:rsidR="003E1D81" w:rsidRDefault="00EB481C">
            <w:pPr>
              <w:pStyle w:val="P68B1DB1-Normal13"/>
              <w:spacing w:after="0" w:line="240" w:lineRule="auto"/>
              <w:jc w:val="center"/>
              <w:textAlignment w:val="baseline"/>
              <w:rPr>
                <w:rFonts w:eastAsia="Times New Roman" w:cs="Times New Roman"/>
                <w:noProof/>
              </w:rPr>
            </w:pPr>
            <w:r>
              <w:rPr>
                <w:b/>
                <w:noProof/>
              </w:rPr>
              <w:t>Cél</w:t>
            </w:r>
            <w:r>
              <w:rPr>
                <w:noProof/>
              </w:rPr>
              <w:t> </w:t>
            </w:r>
          </w:p>
        </w:tc>
        <w:tc>
          <w:tcPr>
            <w:tcW w:w="709" w:type="dxa"/>
            <w:shd w:val="clear" w:color="auto" w:fill="C6D9F1" w:themeFill="text2" w:themeFillTint="33"/>
            <w:vAlign w:val="center"/>
            <w:hideMark/>
          </w:tcPr>
          <w:p w14:paraId="26E559A7" w14:textId="77777777" w:rsidR="003E1D81" w:rsidRDefault="00EB481C">
            <w:pPr>
              <w:pStyle w:val="P68B1DB1-Normal13"/>
              <w:spacing w:after="0" w:line="240" w:lineRule="auto"/>
              <w:jc w:val="center"/>
              <w:textAlignment w:val="baseline"/>
              <w:rPr>
                <w:rFonts w:eastAsia="Times New Roman" w:cs="Times New Roman"/>
                <w:noProof/>
              </w:rPr>
            </w:pPr>
            <w:r>
              <w:rPr>
                <w:b/>
                <w:noProof/>
              </w:rPr>
              <w:t>Q</w:t>
            </w:r>
            <w:r>
              <w:rPr>
                <w:noProof/>
              </w:rPr>
              <w:t> </w:t>
            </w:r>
          </w:p>
        </w:tc>
        <w:tc>
          <w:tcPr>
            <w:tcW w:w="709" w:type="dxa"/>
            <w:shd w:val="clear" w:color="auto" w:fill="C6D9F1" w:themeFill="text2" w:themeFillTint="33"/>
            <w:vAlign w:val="center"/>
            <w:hideMark/>
          </w:tcPr>
          <w:p w14:paraId="47AD313C" w14:textId="77777777" w:rsidR="003E1D81" w:rsidRDefault="00EB481C">
            <w:pPr>
              <w:pStyle w:val="P68B1DB1-Normal13"/>
              <w:spacing w:after="0" w:line="240" w:lineRule="auto"/>
              <w:jc w:val="center"/>
              <w:textAlignment w:val="baseline"/>
              <w:rPr>
                <w:rFonts w:eastAsia="Times New Roman" w:cs="Times New Roman"/>
                <w:noProof/>
              </w:rPr>
            </w:pPr>
            <w:r>
              <w:rPr>
                <w:b/>
                <w:noProof/>
              </w:rPr>
              <w:t>Éve</w:t>
            </w:r>
            <w:r>
              <w:rPr>
                <w:noProof/>
              </w:rPr>
              <w:t> </w:t>
            </w:r>
          </w:p>
        </w:tc>
        <w:tc>
          <w:tcPr>
            <w:tcW w:w="4958" w:type="dxa"/>
            <w:vMerge/>
            <w:shd w:val="clear" w:color="auto" w:fill="C6D9F1" w:themeFill="text2" w:themeFillTint="33"/>
            <w:hideMark/>
          </w:tcPr>
          <w:p w14:paraId="5A46B545" w14:textId="0E052537" w:rsidR="003E1D81" w:rsidRDefault="003E1D81">
            <w:pPr>
              <w:spacing w:after="0" w:line="240" w:lineRule="auto"/>
              <w:textAlignment w:val="baseline"/>
              <w:rPr>
                <w:rFonts w:ascii="Times New Roman" w:eastAsia="Times New Roman" w:hAnsi="Times New Roman" w:cs="Times New Roman"/>
                <w:noProof/>
                <w:sz w:val="18"/>
              </w:rPr>
            </w:pPr>
          </w:p>
        </w:tc>
      </w:tr>
      <w:tr w:rsidR="003E1D81" w14:paraId="38DD0C1A" w14:textId="77777777">
        <w:trPr>
          <w:trHeight w:val="300"/>
        </w:trPr>
        <w:tc>
          <w:tcPr>
            <w:tcW w:w="846" w:type="dxa"/>
            <w:shd w:val="clear" w:color="auto" w:fill="C6EFCE"/>
            <w:hideMark/>
          </w:tcPr>
          <w:p w14:paraId="0484FB96" w14:textId="43DAF472" w:rsidR="003E1D81" w:rsidRDefault="00EB481C">
            <w:pPr>
              <w:pStyle w:val="P68B1DB1-Normal13"/>
              <w:spacing w:after="0" w:line="240" w:lineRule="auto"/>
              <w:jc w:val="center"/>
              <w:textAlignment w:val="baseline"/>
              <w:rPr>
                <w:rFonts w:eastAsia="Times New Roman" w:cs="Times New Roman"/>
                <w:noProof/>
              </w:rPr>
            </w:pPr>
            <w:r>
              <w:rPr>
                <w:noProof/>
              </w:rPr>
              <w:t xml:space="preserve">L25 </w:t>
            </w:r>
          </w:p>
        </w:tc>
        <w:tc>
          <w:tcPr>
            <w:tcW w:w="850" w:type="dxa"/>
            <w:shd w:val="clear" w:color="auto" w:fill="C6EFCE"/>
            <w:hideMark/>
          </w:tcPr>
          <w:p w14:paraId="7CB457CB" w14:textId="77777777" w:rsidR="003E1D81" w:rsidRDefault="00EB481C">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hideMark/>
          </w:tcPr>
          <w:p w14:paraId="2D9910B1" w14:textId="77777777" w:rsidR="003E1D81" w:rsidRDefault="00EB481C">
            <w:pPr>
              <w:pStyle w:val="P68B1DB1-Normal13"/>
              <w:spacing w:after="0" w:line="240" w:lineRule="auto"/>
              <w:jc w:val="center"/>
              <w:textAlignment w:val="baseline"/>
              <w:rPr>
                <w:rFonts w:eastAsia="Times New Roman" w:cs="Times New Roman"/>
                <w:noProof/>
              </w:rPr>
            </w:pPr>
            <w:r>
              <w:rPr>
                <w:noProof/>
              </w:rPr>
              <w:t>M </w:t>
            </w:r>
          </w:p>
        </w:tc>
        <w:tc>
          <w:tcPr>
            <w:tcW w:w="2268" w:type="dxa"/>
            <w:shd w:val="clear" w:color="auto" w:fill="C6EFCE"/>
            <w:hideMark/>
          </w:tcPr>
          <w:p w14:paraId="64221936" w14:textId="34F95960" w:rsidR="003E1D81" w:rsidRDefault="00EB481C">
            <w:pPr>
              <w:pStyle w:val="P68B1DB1-Normal13"/>
              <w:spacing w:after="0" w:line="240" w:lineRule="auto"/>
              <w:textAlignment w:val="baseline"/>
              <w:rPr>
                <w:rFonts w:eastAsia="Times New Roman" w:cs="Times New Roman"/>
                <w:noProof/>
              </w:rPr>
            </w:pPr>
            <w:r>
              <w:rPr>
                <w:noProof/>
              </w:rPr>
              <w:t>Végrehajtási megállapodás az ICO zöld vonaláról az ICO-val</w:t>
            </w:r>
          </w:p>
        </w:tc>
        <w:tc>
          <w:tcPr>
            <w:tcW w:w="1134" w:type="dxa"/>
            <w:shd w:val="clear" w:color="auto" w:fill="C6EFCE"/>
            <w:hideMark/>
          </w:tcPr>
          <w:p w14:paraId="0B2E0E54" w14:textId="3DD972FE" w:rsidR="003E1D81" w:rsidRDefault="00EB481C">
            <w:pPr>
              <w:pStyle w:val="P68B1DB1-Normal13"/>
              <w:spacing w:after="0" w:line="240" w:lineRule="auto"/>
              <w:jc w:val="center"/>
              <w:textAlignment w:val="baseline"/>
              <w:rPr>
                <w:rFonts w:eastAsia="Times New Roman" w:cs="Times New Roman"/>
                <w:noProof/>
              </w:rPr>
            </w:pPr>
            <w:r>
              <w:rPr>
                <w:noProof/>
              </w:rPr>
              <w:t>A végrehajtási megállapodás hatálybalépése </w:t>
            </w:r>
          </w:p>
        </w:tc>
        <w:tc>
          <w:tcPr>
            <w:tcW w:w="709" w:type="dxa"/>
            <w:shd w:val="clear" w:color="auto" w:fill="C6EFCE"/>
            <w:hideMark/>
          </w:tcPr>
          <w:p w14:paraId="00E85A9A" w14:textId="77777777" w:rsidR="003E1D81" w:rsidRDefault="00EB481C">
            <w:pPr>
              <w:pStyle w:val="P68B1DB1-Normal13"/>
              <w:spacing w:after="0" w:line="240" w:lineRule="auto"/>
              <w:jc w:val="center"/>
              <w:textAlignment w:val="baseline"/>
              <w:rPr>
                <w:rFonts w:eastAsia="Times New Roman" w:cs="Times New Roman"/>
                <w:noProof/>
              </w:rPr>
            </w:pPr>
            <w:r>
              <w:rPr>
                <w:noProof/>
              </w:rPr>
              <w:t>  </w:t>
            </w:r>
          </w:p>
        </w:tc>
        <w:tc>
          <w:tcPr>
            <w:tcW w:w="708" w:type="dxa"/>
            <w:shd w:val="clear" w:color="auto" w:fill="C6EFCE"/>
            <w:hideMark/>
          </w:tcPr>
          <w:p w14:paraId="6CE86E41" w14:textId="77777777" w:rsidR="003E1D81" w:rsidRDefault="00EB481C">
            <w:pPr>
              <w:pStyle w:val="P68B1DB1-Normal13"/>
              <w:spacing w:after="0" w:line="240" w:lineRule="auto"/>
              <w:jc w:val="right"/>
              <w:textAlignment w:val="baseline"/>
              <w:rPr>
                <w:rFonts w:eastAsia="Times New Roman" w:cs="Times New Roman"/>
                <w:noProof/>
              </w:rPr>
            </w:pPr>
            <w:r>
              <w:rPr>
                <w:noProof/>
              </w:rPr>
              <w:t>  </w:t>
            </w:r>
          </w:p>
        </w:tc>
        <w:tc>
          <w:tcPr>
            <w:tcW w:w="709" w:type="dxa"/>
            <w:shd w:val="clear" w:color="auto" w:fill="C6EFCE"/>
            <w:hideMark/>
          </w:tcPr>
          <w:p w14:paraId="2BDAA92E" w14:textId="77777777" w:rsidR="003E1D81" w:rsidRDefault="00EB481C">
            <w:pPr>
              <w:pStyle w:val="P68B1DB1-Normal13"/>
              <w:spacing w:after="0" w:line="240" w:lineRule="auto"/>
              <w:jc w:val="right"/>
              <w:textAlignment w:val="baseline"/>
              <w:rPr>
                <w:rFonts w:eastAsia="Times New Roman" w:cs="Times New Roman"/>
                <w:noProof/>
              </w:rPr>
            </w:pPr>
            <w:r>
              <w:rPr>
                <w:noProof/>
              </w:rPr>
              <w:t>  </w:t>
            </w:r>
          </w:p>
        </w:tc>
        <w:tc>
          <w:tcPr>
            <w:tcW w:w="709" w:type="dxa"/>
            <w:shd w:val="clear" w:color="auto" w:fill="C6EFCE"/>
            <w:hideMark/>
          </w:tcPr>
          <w:p w14:paraId="7E990893" w14:textId="77777777" w:rsidR="003E1D81" w:rsidRDefault="00EB481C">
            <w:pPr>
              <w:pStyle w:val="P68B1DB1-Normal13"/>
              <w:spacing w:after="0" w:line="240" w:lineRule="auto"/>
              <w:jc w:val="center"/>
              <w:textAlignment w:val="baseline"/>
              <w:rPr>
                <w:rFonts w:eastAsia="Times New Roman" w:cs="Times New Roman"/>
                <w:noProof/>
              </w:rPr>
            </w:pPr>
            <w:r>
              <w:rPr>
                <w:noProof/>
              </w:rPr>
              <w:t>NEGYEDÉV </w:t>
            </w:r>
          </w:p>
        </w:tc>
        <w:tc>
          <w:tcPr>
            <w:tcW w:w="709" w:type="dxa"/>
            <w:shd w:val="clear" w:color="auto" w:fill="C6EFCE"/>
            <w:hideMark/>
          </w:tcPr>
          <w:p w14:paraId="4FEAD874" w14:textId="77777777" w:rsidR="003E1D81" w:rsidRDefault="00EB481C">
            <w:pPr>
              <w:pStyle w:val="P68B1DB1-Normal13"/>
              <w:spacing w:after="0" w:line="240" w:lineRule="auto"/>
              <w:jc w:val="center"/>
              <w:textAlignment w:val="baseline"/>
              <w:rPr>
                <w:rFonts w:eastAsia="Times New Roman" w:cs="Times New Roman"/>
                <w:noProof/>
              </w:rPr>
            </w:pPr>
            <w:r>
              <w:rPr>
                <w:noProof/>
              </w:rPr>
              <w:t>2023 </w:t>
            </w:r>
          </w:p>
        </w:tc>
        <w:tc>
          <w:tcPr>
            <w:tcW w:w="4958" w:type="dxa"/>
            <w:shd w:val="clear" w:color="auto" w:fill="C6EFCE"/>
            <w:hideMark/>
          </w:tcPr>
          <w:p w14:paraId="7F7EA717" w14:textId="799CAC09" w:rsidR="003E1D81" w:rsidRDefault="00EB481C">
            <w:pPr>
              <w:pStyle w:val="P68B1DB1-Normal13"/>
              <w:spacing w:after="0" w:line="240" w:lineRule="auto"/>
              <w:textAlignment w:val="baseline"/>
              <w:rPr>
                <w:rFonts w:eastAsia="Times New Roman" w:cs="Times New Roman"/>
                <w:noProof/>
              </w:rPr>
            </w:pPr>
            <w:r>
              <w:rPr>
                <w:noProof/>
              </w:rPr>
              <w:t xml:space="preserve">A végrehajtási megállapodás </w:t>
            </w:r>
            <w:r>
              <w:rPr>
                <w:noProof/>
              </w:rPr>
              <w:t>hatálybalépése.</w:t>
            </w:r>
          </w:p>
        </w:tc>
      </w:tr>
      <w:tr w:rsidR="003E1D81" w14:paraId="58AE24B1" w14:textId="77777777">
        <w:trPr>
          <w:trHeight w:val="300"/>
        </w:trPr>
        <w:tc>
          <w:tcPr>
            <w:tcW w:w="846" w:type="dxa"/>
            <w:shd w:val="clear" w:color="auto" w:fill="C6EFCE"/>
          </w:tcPr>
          <w:p w14:paraId="3E5F2996" w14:textId="7B963C64" w:rsidR="003E1D81" w:rsidRDefault="00EB481C">
            <w:pPr>
              <w:pStyle w:val="P68B1DB1-Normal13"/>
              <w:spacing w:after="0" w:line="240" w:lineRule="auto"/>
              <w:jc w:val="center"/>
              <w:textAlignment w:val="baseline"/>
              <w:rPr>
                <w:rFonts w:eastAsia="Times New Roman" w:cs="Times New Roman"/>
                <w:noProof/>
              </w:rPr>
            </w:pPr>
            <w:r>
              <w:rPr>
                <w:noProof/>
              </w:rPr>
              <w:t>L25a</w:t>
            </w:r>
          </w:p>
        </w:tc>
        <w:tc>
          <w:tcPr>
            <w:tcW w:w="850" w:type="dxa"/>
            <w:shd w:val="clear" w:color="auto" w:fill="C6EFCE"/>
          </w:tcPr>
          <w:p w14:paraId="63CB3941" w14:textId="08A2DD43" w:rsidR="003E1D81" w:rsidRDefault="00EB481C">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066063AF" w14:textId="6B0F0504"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3ADCE7B9" w14:textId="2F5A5236" w:rsidR="003E1D81" w:rsidRDefault="00EB481C">
            <w:pPr>
              <w:pStyle w:val="P68B1DB1-Normal13"/>
              <w:spacing w:after="0" w:line="240" w:lineRule="auto"/>
              <w:textAlignment w:val="baseline"/>
              <w:rPr>
                <w:rFonts w:eastAsia="Times New Roman" w:cs="Times New Roman"/>
                <w:noProof/>
              </w:rPr>
            </w:pPr>
            <w:r>
              <w:rPr>
                <w:noProof/>
              </w:rPr>
              <w:t>ICO zöld vonal – A végső kedvezményezettekkel (beleértve a tőkealapokat is) aláírt jogi megállapodások (I)</w:t>
            </w:r>
          </w:p>
        </w:tc>
        <w:tc>
          <w:tcPr>
            <w:tcW w:w="1134" w:type="dxa"/>
            <w:shd w:val="clear" w:color="auto" w:fill="C6EFCE"/>
          </w:tcPr>
          <w:p w14:paraId="47B2720F"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3CE78BA" w14:textId="50FE46BF" w:rsidR="003E1D81" w:rsidRDefault="00EB481C">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42FA31CA" w14:textId="45ECE08F" w:rsidR="003E1D81" w:rsidRDefault="00EB481C">
            <w:pPr>
              <w:pStyle w:val="P68B1DB1-Normal13"/>
              <w:spacing w:after="0" w:line="240" w:lineRule="auto"/>
              <w:jc w:val="right"/>
              <w:textAlignment w:val="baseline"/>
              <w:rPr>
                <w:rFonts w:eastAsia="Times New Roman" w:cs="Times New Roman"/>
                <w:noProof/>
              </w:rPr>
            </w:pPr>
            <w:r>
              <w:rPr>
                <w:noProof/>
              </w:rPr>
              <w:t>0%</w:t>
            </w:r>
          </w:p>
        </w:tc>
        <w:tc>
          <w:tcPr>
            <w:tcW w:w="709" w:type="dxa"/>
            <w:shd w:val="clear" w:color="auto" w:fill="C6EFCE"/>
          </w:tcPr>
          <w:p w14:paraId="2B6F9941" w14:textId="77777777" w:rsidR="003E1D81" w:rsidRDefault="00EB481C">
            <w:pPr>
              <w:pStyle w:val="P68B1DB1-Normal13"/>
              <w:spacing w:after="0" w:line="240" w:lineRule="auto"/>
              <w:jc w:val="right"/>
              <w:textAlignment w:val="baseline"/>
              <w:rPr>
                <w:rFonts w:eastAsia="Times New Roman" w:cs="Times New Roman"/>
                <w:noProof/>
              </w:rPr>
            </w:pPr>
            <w:r>
              <w:rPr>
                <w:noProof/>
              </w:rPr>
              <w:t xml:space="preserve">15% </w:t>
            </w:r>
          </w:p>
          <w:p w14:paraId="1354F165"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CBD6F75" w14:textId="37109EAF"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4A69A515" w14:textId="13A47AD7" w:rsidR="003E1D81" w:rsidRDefault="00EB481C">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51EEFEB4" w14:textId="2E1A8B49" w:rsidR="003E1D81" w:rsidRDefault="00EB481C">
            <w:pPr>
              <w:pStyle w:val="P68B1DB1-Normal13"/>
              <w:spacing w:after="0" w:line="240" w:lineRule="auto"/>
              <w:textAlignment w:val="baseline"/>
              <w:rPr>
                <w:rFonts w:eastAsia="Times New Roman" w:cs="Times New Roman"/>
                <w:noProof/>
              </w:rPr>
            </w:pPr>
            <w:r>
              <w:rPr>
                <w:noProof/>
              </w:rPr>
              <w:t>Az ICO/Axis, valamint az ICO által kiválasztott közvetítők jogi finanszírozási megállapodásokat kötöttek a végső kedvezményezettekkel (beleértve a tőkealapokat is) a Helyreállítási és Rezilienciaépítési Eszközbe történő beruházás legalább 15%-ának az eszkö</w:t>
            </w:r>
            <w:r>
              <w:rPr>
                <w:noProof/>
              </w:rPr>
              <w:t xml:space="preserve">zbe történő felhasználásához szükséges összegre (figyelembe véve az irányítási díjakat). A finanszírozás legalább 2,5%-ának a tőkealapokkal aláírt finanszírozási megállapodásoknak, legalább 50%-ának pedig a végső kedvezményezettekkel kötött finanszírozási </w:t>
            </w:r>
            <w:r>
              <w:rPr>
                <w:noProof/>
              </w:rPr>
              <w:t xml:space="preserve">megállapodásoknak kell megfelelnie az összes többi befektetési termék tekintetében (beleértve a végrehajtó partner közvetlen tőkebefektetéseit is). Az ICO a Helyreállítási és Rezilienciaépítési Eszközről szóló rendelet VI. mellékletében foglalt módszertan </w:t>
            </w:r>
            <w:r>
              <w:rPr>
                <w:noProof/>
              </w:rPr>
              <w:t xml:space="preserve">alkalmazásával jelentést készít, amelyben részletezi e finanszírozásnak az éghajlat-politikai célkitűzésekhez való hozzájárulását. </w:t>
            </w:r>
          </w:p>
        </w:tc>
      </w:tr>
      <w:tr w:rsidR="003E1D81" w14:paraId="3DE10BF1" w14:textId="77777777">
        <w:trPr>
          <w:trHeight w:val="300"/>
        </w:trPr>
        <w:tc>
          <w:tcPr>
            <w:tcW w:w="846" w:type="dxa"/>
            <w:shd w:val="clear" w:color="auto" w:fill="C6EFCE"/>
          </w:tcPr>
          <w:p w14:paraId="132606E8" w14:textId="3028137B" w:rsidR="003E1D81" w:rsidRDefault="00EB481C">
            <w:pPr>
              <w:pStyle w:val="P68B1DB1-Normal13"/>
              <w:spacing w:after="0" w:line="240" w:lineRule="auto"/>
              <w:jc w:val="center"/>
              <w:textAlignment w:val="baseline"/>
              <w:rPr>
                <w:rFonts w:eastAsia="Times New Roman" w:cs="Times New Roman"/>
                <w:noProof/>
              </w:rPr>
            </w:pPr>
            <w:r>
              <w:rPr>
                <w:noProof/>
              </w:rPr>
              <w:t>L26</w:t>
            </w:r>
          </w:p>
        </w:tc>
        <w:tc>
          <w:tcPr>
            <w:tcW w:w="850" w:type="dxa"/>
            <w:shd w:val="clear" w:color="auto" w:fill="C6EFCE"/>
          </w:tcPr>
          <w:p w14:paraId="34E3B45E" w14:textId="77777777" w:rsidR="003E1D81" w:rsidRDefault="00EB481C">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1E8B5BEF"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635294DF" w14:textId="280946B9" w:rsidR="003E1D81" w:rsidRDefault="00EB481C">
            <w:pPr>
              <w:pStyle w:val="P68B1DB1-Normal13"/>
              <w:spacing w:after="0" w:line="240" w:lineRule="auto"/>
              <w:textAlignment w:val="baseline"/>
              <w:rPr>
                <w:rFonts w:eastAsia="Times New Roman" w:cs="Times New Roman"/>
                <w:noProof/>
              </w:rPr>
            </w:pPr>
            <w:r>
              <w:rPr>
                <w:noProof/>
              </w:rPr>
              <w:t>ICO zöld vonal – A végső kedvezményezettekkel (beleértve a tőkealapokat is) aláírt jogi megállapodások (II)</w:t>
            </w:r>
          </w:p>
        </w:tc>
        <w:tc>
          <w:tcPr>
            <w:tcW w:w="1134" w:type="dxa"/>
            <w:shd w:val="clear" w:color="auto" w:fill="C6EFCE"/>
          </w:tcPr>
          <w:p w14:paraId="72261FED" w14:textId="6022DB30"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397D884" w14:textId="256A234F" w:rsidR="003E1D81" w:rsidRDefault="00EB481C">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4359F60D" w14:textId="0C8D1C03" w:rsidR="003E1D81" w:rsidRDefault="00EB481C">
            <w:pPr>
              <w:pStyle w:val="P68B1DB1-Normal13"/>
              <w:spacing w:after="0" w:line="240" w:lineRule="auto"/>
              <w:jc w:val="center"/>
              <w:textAlignment w:val="baseline"/>
              <w:rPr>
                <w:rFonts w:eastAsia="Times New Roman" w:cs="Times New Roman"/>
                <w:noProof/>
              </w:rPr>
            </w:pPr>
            <w:r>
              <w:rPr>
                <w:noProof/>
              </w:rPr>
              <w:t>15%</w:t>
            </w:r>
          </w:p>
        </w:tc>
        <w:tc>
          <w:tcPr>
            <w:tcW w:w="709" w:type="dxa"/>
            <w:shd w:val="clear" w:color="auto" w:fill="C6EFCE"/>
          </w:tcPr>
          <w:p w14:paraId="6D41301B" w14:textId="6D99ABAC" w:rsidR="003E1D81" w:rsidRDefault="00EB481C">
            <w:pPr>
              <w:pStyle w:val="P68B1DB1-Normal13"/>
              <w:spacing w:after="0" w:line="240" w:lineRule="auto"/>
              <w:jc w:val="right"/>
              <w:textAlignment w:val="baseline"/>
              <w:rPr>
                <w:rFonts w:eastAsia="Times New Roman" w:cs="Times New Roman"/>
                <w:noProof/>
              </w:rPr>
            </w:pPr>
            <w:r>
              <w:rPr>
                <w:noProof/>
              </w:rPr>
              <w:t xml:space="preserve">50% </w:t>
            </w:r>
          </w:p>
          <w:p w14:paraId="78DF5E69" w14:textId="1C4D9A76"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C35E3D9" w14:textId="77777777" w:rsidR="003E1D81" w:rsidRDefault="00EB481C">
            <w:pPr>
              <w:pStyle w:val="P68B1DB1-Normal13"/>
              <w:spacing w:after="0" w:line="240" w:lineRule="auto"/>
              <w:jc w:val="center"/>
              <w:textAlignment w:val="baseline"/>
              <w:rPr>
                <w:rFonts w:eastAsia="Times New Roman" w:cs="Times New Roman"/>
                <w:noProof/>
              </w:rPr>
            </w:pPr>
            <w:r>
              <w:rPr>
                <w:noProof/>
              </w:rPr>
              <w:t>KÉRDÉS</w:t>
            </w:r>
          </w:p>
        </w:tc>
        <w:tc>
          <w:tcPr>
            <w:tcW w:w="709" w:type="dxa"/>
            <w:shd w:val="clear" w:color="auto" w:fill="C6EFCE"/>
          </w:tcPr>
          <w:p w14:paraId="2A72BF7E" w14:textId="77777777" w:rsidR="003E1D81" w:rsidRDefault="00EB481C">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37A7DD49" w14:textId="4A3390E4" w:rsidR="003E1D81" w:rsidRDefault="00EB481C">
            <w:pPr>
              <w:pStyle w:val="P68B1DB1-Normal13"/>
              <w:spacing w:after="0" w:line="240" w:lineRule="auto"/>
              <w:textAlignment w:val="baseline"/>
              <w:rPr>
                <w:rFonts w:eastAsia="Times New Roman" w:cs="Times New Roman"/>
                <w:b/>
                <w:noProof/>
              </w:rPr>
            </w:pPr>
            <w:r>
              <w:rPr>
                <w:noProof/>
              </w:rPr>
              <w:t>Az ICO/Axis, valamint az ICO által kiválasztott közvetítők jogi finanszírozási megállapodásokat kötöttek a végső kedvezményezettekkel (beleértve a tőkealapokat is) a Helyreállítási és Rezilienciaépítési Eszközbe történő beruházás leg</w:t>
            </w:r>
            <w:r>
              <w:rPr>
                <w:noProof/>
              </w:rPr>
              <w:t>alább 50%-ának az eszközbe történő felhasználásához szükséges összegre (figyelembe véve az irányítási díjakat). A finanszírozás legalább 2,5%-ának a tőkealapokkal aláírt finanszírozási megállapodásoknak, legalább 50%-ának pedig a végső kedvezményezettekkel</w:t>
            </w:r>
            <w:r>
              <w:rPr>
                <w:noProof/>
              </w:rPr>
              <w:t xml:space="preserve"> kötött finanszírozási megállapodásoknak kell megfelelnie az összes többi befektetési termék tekintetében (beleértve a végrehajtó partner közvetlen tőkebefektetéseit is). Az ICO a Helyreállítási és Rezilienciaépítési Eszközről szóló rendelet VI. mellékleté</w:t>
            </w:r>
            <w:r>
              <w:rPr>
                <w:noProof/>
              </w:rPr>
              <w:t xml:space="preserve">ben foglalt módszertan alkalmazásával jelentést készít, amelyben részletezi e finanszírozásnak az éghajlat-politikai célkitűzésekhez való hozzájárulását. </w:t>
            </w:r>
          </w:p>
        </w:tc>
      </w:tr>
      <w:tr w:rsidR="003E1D81" w14:paraId="0DFCD043" w14:textId="77777777">
        <w:trPr>
          <w:trHeight w:val="300"/>
        </w:trPr>
        <w:tc>
          <w:tcPr>
            <w:tcW w:w="846" w:type="dxa"/>
            <w:shd w:val="clear" w:color="auto" w:fill="C6EFCE"/>
          </w:tcPr>
          <w:p w14:paraId="7D93EEE5" w14:textId="34DF8E06" w:rsidR="003E1D81" w:rsidRDefault="00EB481C">
            <w:pPr>
              <w:pStyle w:val="P68B1DB1-Normal13"/>
              <w:spacing w:after="0" w:line="240" w:lineRule="auto"/>
              <w:jc w:val="center"/>
              <w:textAlignment w:val="baseline"/>
              <w:rPr>
                <w:rFonts w:eastAsia="Times New Roman" w:cs="Times New Roman"/>
                <w:noProof/>
              </w:rPr>
            </w:pPr>
            <w:r>
              <w:rPr>
                <w:noProof/>
              </w:rPr>
              <w:t>L27</w:t>
            </w:r>
          </w:p>
        </w:tc>
        <w:tc>
          <w:tcPr>
            <w:tcW w:w="850" w:type="dxa"/>
            <w:shd w:val="clear" w:color="auto" w:fill="C6EFCE"/>
          </w:tcPr>
          <w:p w14:paraId="2F40B8EF" w14:textId="77777777" w:rsidR="003E1D81" w:rsidRDefault="00EB481C">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61037879"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5D319704" w14:textId="619F48DE" w:rsidR="003E1D81" w:rsidRDefault="00EB481C">
            <w:pPr>
              <w:pStyle w:val="P68B1DB1-Normal13"/>
              <w:spacing w:after="0" w:line="240" w:lineRule="auto"/>
              <w:textAlignment w:val="baseline"/>
              <w:rPr>
                <w:rFonts w:eastAsia="Times New Roman" w:cs="Times New Roman"/>
                <w:noProof/>
              </w:rPr>
            </w:pPr>
            <w:r>
              <w:rPr>
                <w:noProof/>
              </w:rPr>
              <w:t>ICO zöld vonal – A végső kedvezményezettekkel (beleértve a tőkealapokat is) aláírt jogi</w:t>
            </w:r>
            <w:r>
              <w:rPr>
                <w:noProof/>
              </w:rPr>
              <w:t xml:space="preserve"> megállapodások (III)</w:t>
            </w:r>
          </w:p>
        </w:tc>
        <w:tc>
          <w:tcPr>
            <w:tcW w:w="1134" w:type="dxa"/>
            <w:shd w:val="clear" w:color="auto" w:fill="C6EFCE"/>
          </w:tcPr>
          <w:p w14:paraId="527B6538" w14:textId="24D80566"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291F74D" w14:textId="06576BD1" w:rsidR="003E1D81" w:rsidRDefault="00EB481C">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44C9391D" w14:textId="796F0FE5" w:rsidR="003E1D81" w:rsidRDefault="00EB481C">
            <w:pPr>
              <w:pStyle w:val="P68B1DB1-Normal13"/>
              <w:spacing w:after="0" w:line="240" w:lineRule="auto"/>
              <w:jc w:val="right"/>
              <w:textAlignment w:val="baseline"/>
              <w:rPr>
                <w:rFonts w:eastAsia="Times New Roman" w:cs="Times New Roman"/>
                <w:noProof/>
              </w:rPr>
            </w:pPr>
            <w:r>
              <w:rPr>
                <w:noProof/>
              </w:rPr>
              <w:t xml:space="preserve">50% </w:t>
            </w:r>
          </w:p>
        </w:tc>
        <w:tc>
          <w:tcPr>
            <w:tcW w:w="709" w:type="dxa"/>
            <w:shd w:val="clear" w:color="auto" w:fill="C6EFCE"/>
          </w:tcPr>
          <w:p w14:paraId="76A0D5D7" w14:textId="1F3298FB" w:rsidR="003E1D81" w:rsidRDefault="00EB481C">
            <w:pPr>
              <w:pStyle w:val="P68B1DB1-Normal13"/>
              <w:spacing w:after="0" w:line="240" w:lineRule="auto"/>
              <w:jc w:val="right"/>
              <w:textAlignment w:val="baseline"/>
              <w:rPr>
                <w:rFonts w:eastAsia="Times New Roman" w:cs="Times New Roman"/>
                <w:noProof/>
              </w:rPr>
            </w:pPr>
            <w:r>
              <w:rPr>
                <w:noProof/>
              </w:rPr>
              <w:t xml:space="preserve">75% </w:t>
            </w:r>
          </w:p>
          <w:p w14:paraId="13387DD0" w14:textId="77777777" w:rsidR="003E1D81" w:rsidRDefault="003E1D81">
            <w:pPr>
              <w:rPr>
                <w:rFonts w:ascii="Times New Roman" w:eastAsia="Times New Roman" w:hAnsi="Times New Roman" w:cs="Times New Roman"/>
                <w:noProof/>
                <w:sz w:val="18"/>
              </w:rPr>
            </w:pPr>
          </w:p>
        </w:tc>
        <w:tc>
          <w:tcPr>
            <w:tcW w:w="709" w:type="dxa"/>
            <w:shd w:val="clear" w:color="auto" w:fill="C6EFCE"/>
          </w:tcPr>
          <w:p w14:paraId="793F4CD5" w14:textId="62CFE6A6"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0C737108" w14:textId="77777777" w:rsidR="003E1D81" w:rsidRDefault="00EB481C">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50094083" w14:textId="52824E20" w:rsidR="003E1D81" w:rsidRDefault="00EB481C">
            <w:pPr>
              <w:pStyle w:val="P68B1DB1-paragraph32"/>
              <w:spacing w:before="0" w:beforeAutospacing="0" w:after="0" w:afterAutospacing="0"/>
              <w:textAlignment w:val="baseline"/>
              <w:rPr>
                <w:noProof/>
              </w:rPr>
            </w:pPr>
            <w:r>
              <w:rPr>
                <w:noProof/>
              </w:rPr>
              <w:t>Az ICO/Axis, valamint az ICO által kiválasztott közvetítők jogi finanszírozási megállapodásokat kötöttek a végső kedvezményezettekkel (beleértve a tőkealapokat is) a Helyreállítási és Rezilienciaépítési Esz</w:t>
            </w:r>
            <w:r>
              <w:rPr>
                <w:noProof/>
              </w:rPr>
              <w:t>közbe történő beruházás legalább 75%-ának az eszközbe történő felhasználásához szükséges összegre (figyelembe véve az irányítási díjakat). A finanszírozás legalább 7,5%-ának a tőkealapokkal aláírt finanszírozási megállapodásoknak, legalább 50%-ának pedig a</w:t>
            </w:r>
            <w:r>
              <w:rPr>
                <w:noProof/>
              </w:rPr>
              <w:t xml:space="preserve"> végső kedvezményezettekkel kötött finanszírozási megállapodásoknak kell megfelelnie az összes többi befektetési termék tekintetében (beleértve a végrehajtó partner közvetlen tőkebefektetéseit is). Az ICO a Helyreállítási és Rezilienciaépítési Eszközről sz</w:t>
            </w:r>
            <w:r>
              <w:rPr>
                <w:noProof/>
              </w:rPr>
              <w:t xml:space="preserve">óló rendelet VI. mellékletében foglalt módszertan alkalmazásával jelentést készít, amelyben részletezi e finanszírozásnak az éghajlat-politikai célkitűzésekhez való hozzájárulását. </w:t>
            </w:r>
          </w:p>
        </w:tc>
      </w:tr>
      <w:tr w:rsidR="003E1D81" w14:paraId="430E365D" w14:textId="77777777">
        <w:trPr>
          <w:trHeight w:val="300"/>
        </w:trPr>
        <w:tc>
          <w:tcPr>
            <w:tcW w:w="846" w:type="dxa"/>
            <w:shd w:val="clear" w:color="auto" w:fill="C6EFCE"/>
          </w:tcPr>
          <w:p w14:paraId="36CE58AE" w14:textId="12159273" w:rsidR="003E1D81" w:rsidRDefault="00EB481C">
            <w:pPr>
              <w:pStyle w:val="P68B1DB1-Normal13"/>
              <w:spacing w:after="0" w:line="240" w:lineRule="auto"/>
              <w:jc w:val="center"/>
              <w:textAlignment w:val="baseline"/>
              <w:rPr>
                <w:rFonts w:eastAsia="Times New Roman" w:cs="Times New Roman"/>
                <w:noProof/>
              </w:rPr>
            </w:pPr>
            <w:r>
              <w:rPr>
                <w:noProof/>
              </w:rPr>
              <w:t>L28</w:t>
            </w:r>
          </w:p>
        </w:tc>
        <w:tc>
          <w:tcPr>
            <w:tcW w:w="850" w:type="dxa"/>
            <w:shd w:val="clear" w:color="auto" w:fill="C6EFCE"/>
          </w:tcPr>
          <w:p w14:paraId="252CE9D9" w14:textId="77777777" w:rsidR="003E1D81" w:rsidRDefault="00EB481C">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4713ED1E"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627C7615" w14:textId="6BFC11B7" w:rsidR="003E1D81" w:rsidRDefault="00EB481C">
            <w:pPr>
              <w:pStyle w:val="P68B1DB1-Normal13"/>
              <w:spacing w:after="0" w:line="240" w:lineRule="auto"/>
              <w:textAlignment w:val="baseline"/>
              <w:rPr>
                <w:rFonts w:eastAsia="Times New Roman" w:cs="Times New Roman"/>
                <w:noProof/>
              </w:rPr>
            </w:pPr>
            <w:r>
              <w:rPr>
                <w:noProof/>
              </w:rPr>
              <w:t xml:space="preserve">ICO zöld vonal – A végső kedvezményezettekkel (beleértve a </w:t>
            </w:r>
            <w:r>
              <w:rPr>
                <w:noProof/>
              </w:rPr>
              <w:t>tőkealapokat is) aláírt jogi megállapodások (IV)</w:t>
            </w:r>
          </w:p>
        </w:tc>
        <w:tc>
          <w:tcPr>
            <w:tcW w:w="1134" w:type="dxa"/>
            <w:shd w:val="clear" w:color="auto" w:fill="C6EFCE"/>
          </w:tcPr>
          <w:p w14:paraId="5BCAE9D4" w14:textId="5F241F01"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588480D" w14:textId="1C2801A5" w:rsidR="003E1D81" w:rsidRDefault="00EB481C">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68410066" w14:textId="6362BB91" w:rsidR="003E1D81" w:rsidRDefault="00EB481C">
            <w:pPr>
              <w:pStyle w:val="P68B1DB1-Normal13"/>
              <w:spacing w:after="0" w:line="240" w:lineRule="auto"/>
              <w:jc w:val="right"/>
              <w:textAlignment w:val="baseline"/>
              <w:rPr>
                <w:rFonts w:eastAsia="Times New Roman" w:cs="Times New Roman"/>
                <w:noProof/>
              </w:rPr>
            </w:pPr>
            <w:r>
              <w:rPr>
                <w:noProof/>
              </w:rPr>
              <w:t xml:space="preserve">75% </w:t>
            </w:r>
          </w:p>
        </w:tc>
        <w:tc>
          <w:tcPr>
            <w:tcW w:w="709" w:type="dxa"/>
            <w:shd w:val="clear" w:color="auto" w:fill="C6EFCE"/>
          </w:tcPr>
          <w:p w14:paraId="20B9358E" w14:textId="46F5D92C" w:rsidR="003E1D81" w:rsidRDefault="00EB481C">
            <w:pPr>
              <w:pStyle w:val="P68B1DB1-Normal13"/>
              <w:spacing w:after="0" w:line="240" w:lineRule="auto"/>
              <w:jc w:val="right"/>
              <w:textAlignment w:val="baseline"/>
              <w:rPr>
                <w:rFonts w:eastAsia="Times New Roman" w:cs="Times New Roman"/>
                <w:noProof/>
              </w:rPr>
            </w:pPr>
            <w:r>
              <w:rPr>
                <w:noProof/>
              </w:rPr>
              <w:t xml:space="preserve">100%-OS  </w:t>
            </w:r>
          </w:p>
        </w:tc>
        <w:tc>
          <w:tcPr>
            <w:tcW w:w="709" w:type="dxa"/>
            <w:shd w:val="clear" w:color="auto" w:fill="C6EFCE"/>
          </w:tcPr>
          <w:p w14:paraId="7C483CA8" w14:textId="40408F7E"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7A4C0272" w14:textId="77777777"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E1B295B" w14:textId="5174B537" w:rsidR="003E1D81" w:rsidRDefault="00EB481C">
            <w:pPr>
              <w:pStyle w:val="P68B1DB1-paragraph32"/>
              <w:spacing w:before="0" w:beforeAutospacing="0" w:after="0" w:afterAutospacing="0"/>
              <w:textAlignment w:val="baseline"/>
              <w:rPr>
                <w:noProof/>
              </w:rPr>
            </w:pPr>
            <w:r>
              <w:rPr>
                <w:noProof/>
              </w:rPr>
              <w:t>Az ICO/Axis, valamint az ICO által kiválasztott közvetítők jogi finanszírozási megállapodásokat kötöttek a végső kedvezményezettekkel (beleértve a tőkealapokat is) a Helyreáll</w:t>
            </w:r>
            <w:r>
              <w:rPr>
                <w:noProof/>
              </w:rPr>
              <w:t>ítási és Rezilienciaépítési Eszközbe történő beruházás 100%-ának felhasználásához szükséges összegre (figyelembe véve az irányítási díjakat). A finanszírozás legalább 10%-ának a tőkealapokkal aláírt finanszírozási megállapodásoknak, legalább 50%-ának pedig</w:t>
            </w:r>
            <w:r>
              <w:rPr>
                <w:noProof/>
              </w:rPr>
              <w:t xml:space="preserve"> a végső kedvezményezettekkel kötött finanszírozási megállapodásoknak kell megfelelnie az összes többi befektetési termék tekintetében (beleértve a végrehajtó partner közvetlen tőkebefektetéseit is). E finanszírozás legalább 80,9%-ának a Helyreállítási és </w:t>
            </w:r>
            <w:r>
              <w:rPr>
                <w:noProof/>
              </w:rPr>
              <w:t xml:space="preserve">Rezilienciaépítési Eszközről szóló rendelet VI. mellékletében foglalt módszertan alkalmazásával kell hozzájárulnia az éghajlat-politikai célkitűzésekhez. </w:t>
            </w:r>
          </w:p>
        </w:tc>
      </w:tr>
      <w:tr w:rsidR="003E1D81" w14:paraId="65E01684" w14:textId="77777777">
        <w:trPr>
          <w:trHeight w:val="300"/>
        </w:trPr>
        <w:tc>
          <w:tcPr>
            <w:tcW w:w="846" w:type="dxa"/>
            <w:shd w:val="clear" w:color="auto" w:fill="C6EFCE"/>
          </w:tcPr>
          <w:p w14:paraId="1348715E" w14:textId="3C6DD476" w:rsidR="003E1D81" w:rsidRDefault="00EB481C">
            <w:pPr>
              <w:pStyle w:val="P68B1DB1-Normal13"/>
              <w:spacing w:after="0" w:line="240" w:lineRule="auto"/>
              <w:jc w:val="center"/>
              <w:textAlignment w:val="baseline"/>
              <w:rPr>
                <w:rFonts w:eastAsia="Times New Roman" w:cs="Times New Roman"/>
                <w:noProof/>
              </w:rPr>
            </w:pPr>
            <w:r>
              <w:rPr>
                <w:noProof/>
              </w:rPr>
              <w:t>L29</w:t>
            </w:r>
          </w:p>
        </w:tc>
        <w:tc>
          <w:tcPr>
            <w:tcW w:w="850" w:type="dxa"/>
            <w:shd w:val="clear" w:color="auto" w:fill="C6EFCE"/>
          </w:tcPr>
          <w:p w14:paraId="5D31E5FC" w14:textId="77777777" w:rsidR="003E1D81" w:rsidRDefault="00EB481C">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5E50CF49" w14:textId="7A34ECF2"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5D2CFC15" w14:textId="606E27FF" w:rsidR="003E1D81" w:rsidRDefault="00EB481C">
            <w:pPr>
              <w:pStyle w:val="P68B1DB1-Normal13"/>
              <w:spacing w:after="0" w:line="240" w:lineRule="auto"/>
              <w:textAlignment w:val="baseline"/>
              <w:rPr>
                <w:rFonts w:eastAsia="Times New Roman" w:cs="Times New Roman"/>
                <w:noProof/>
              </w:rPr>
            </w:pPr>
            <w:r>
              <w:rPr>
                <w:noProof/>
              </w:rPr>
              <w:t>ICO zöld vonal – a minisztérium befejezte a beruházást</w:t>
            </w:r>
          </w:p>
        </w:tc>
        <w:tc>
          <w:tcPr>
            <w:tcW w:w="1134" w:type="dxa"/>
            <w:shd w:val="clear" w:color="auto" w:fill="C6EFCE"/>
          </w:tcPr>
          <w:p w14:paraId="21CFA64B" w14:textId="6AD11D01" w:rsidR="003E1D81" w:rsidRDefault="00EB481C">
            <w:pPr>
              <w:pStyle w:val="P68B1DB1-Normal13"/>
              <w:spacing w:after="0" w:line="240" w:lineRule="auto"/>
              <w:jc w:val="center"/>
              <w:textAlignment w:val="baseline"/>
              <w:rPr>
                <w:rFonts w:eastAsia="Times New Roman" w:cs="Times New Roman"/>
                <w:noProof/>
              </w:rPr>
            </w:pPr>
            <w:r>
              <w:rPr>
                <w:noProof/>
              </w:rPr>
              <w:t>Átadási igazolás</w:t>
            </w:r>
          </w:p>
        </w:tc>
        <w:tc>
          <w:tcPr>
            <w:tcW w:w="709" w:type="dxa"/>
            <w:shd w:val="clear" w:color="auto" w:fill="C6EFCE"/>
          </w:tcPr>
          <w:p w14:paraId="38C0BAF3" w14:textId="5BFB7EFC"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54D0DD89"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BCFA1C4" w14:textId="3EA6823C" w:rsidR="003E1D81" w:rsidRDefault="00EB481C">
            <w:pPr>
              <w:pStyle w:val="P68B1DB1-Normal13"/>
              <w:spacing w:after="0" w:line="240" w:lineRule="auto"/>
              <w:jc w:val="right"/>
              <w:textAlignment w:val="baseline"/>
              <w:rPr>
                <w:rFonts w:eastAsia="Times New Roman" w:cs="Times New Roman"/>
                <w:noProof/>
              </w:rPr>
            </w:pPr>
            <w:r>
              <w:rPr>
                <w:noProof/>
              </w:rPr>
              <w:t xml:space="preserve"> </w:t>
            </w:r>
          </w:p>
        </w:tc>
        <w:tc>
          <w:tcPr>
            <w:tcW w:w="709" w:type="dxa"/>
            <w:shd w:val="clear" w:color="auto" w:fill="C6EFCE"/>
          </w:tcPr>
          <w:p w14:paraId="177DC39B" w14:textId="07CDB1EA"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4EC5DE42" w14:textId="77777777"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17EC78B9" w14:textId="7D014BE2" w:rsidR="003E1D81" w:rsidRDefault="00EB481C">
            <w:pPr>
              <w:pStyle w:val="P68B1DB1-Normal13"/>
              <w:spacing w:after="0" w:line="240" w:lineRule="auto"/>
              <w:textAlignment w:val="baseline"/>
              <w:rPr>
                <w:rFonts w:eastAsia="Times New Roman" w:cs="Times New Roman"/>
                <w:noProof/>
              </w:rPr>
            </w:pPr>
            <w:r>
              <w:rPr>
                <w:noProof/>
              </w:rPr>
              <w:t xml:space="preserve">Spanyolország 22 000 000 000 EUR-t utal át az ICO-nak a Békekeretre. </w:t>
            </w:r>
          </w:p>
        </w:tc>
      </w:tr>
      <w:tr w:rsidR="003E1D81" w14:paraId="5B976FA9" w14:textId="77777777">
        <w:trPr>
          <w:trHeight w:val="300"/>
        </w:trPr>
        <w:tc>
          <w:tcPr>
            <w:tcW w:w="846" w:type="dxa"/>
            <w:shd w:val="clear" w:color="auto" w:fill="C6EFCE"/>
          </w:tcPr>
          <w:p w14:paraId="60CCA077" w14:textId="64714839" w:rsidR="003E1D81" w:rsidRDefault="00EB481C">
            <w:pPr>
              <w:pStyle w:val="P68B1DB1-Normal13"/>
              <w:spacing w:after="0" w:line="240" w:lineRule="auto"/>
              <w:jc w:val="center"/>
              <w:textAlignment w:val="baseline"/>
              <w:rPr>
                <w:rFonts w:eastAsia="Times New Roman" w:cs="Times New Roman"/>
                <w:noProof/>
              </w:rPr>
            </w:pPr>
            <w:r>
              <w:rPr>
                <w:noProof/>
              </w:rPr>
              <w:t>L30.</w:t>
            </w:r>
          </w:p>
        </w:tc>
        <w:tc>
          <w:tcPr>
            <w:tcW w:w="850" w:type="dxa"/>
            <w:shd w:val="clear" w:color="auto" w:fill="C6EFCE"/>
          </w:tcPr>
          <w:p w14:paraId="2534DF42" w14:textId="77777777" w:rsidR="003E1D81" w:rsidRDefault="00EB481C">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78659B46" w14:textId="77777777" w:rsidR="003E1D81" w:rsidRDefault="00EB481C">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6D02C463" w14:textId="1C79C256" w:rsidR="003E1D81" w:rsidRDefault="00EB481C">
            <w:pPr>
              <w:pStyle w:val="P68B1DB1-Normal13"/>
              <w:spacing w:after="0" w:line="240" w:lineRule="auto"/>
              <w:textAlignment w:val="baseline"/>
              <w:rPr>
                <w:rFonts w:eastAsia="Times New Roman" w:cs="Times New Roman"/>
                <w:noProof/>
              </w:rPr>
            </w:pPr>
            <w:r>
              <w:rPr>
                <w:noProof/>
              </w:rPr>
              <w:t xml:space="preserve">Az ICO Vállalkozói és Vállalkozói Keretére vonatkozó végrehajtási megállapodás </w:t>
            </w:r>
          </w:p>
        </w:tc>
        <w:tc>
          <w:tcPr>
            <w:tcW w:w="1134" w:type="dxa"/>
            <w:shd w:val="clear" w:color="auto" w:fill="C6EFCE"/>
          </w:tcPr>
          <w:p w14:paraId="1E3502D4" w14:textId="40958563" w:rsidR="003E1D81" w:rsidRDefault="00EB481C">
            <w:pPr>
              <w:pStyle w:val="P68B1DB1-Normal13"/>
              <w:spacing w:after="0" w:line="240" w:lineRule="auto"/>
              <w:jc w:val="center"/>
              <w:textAlignment w:val="baseline"/>
              <w:rPr>
                <w:rFonts w:eastAsia="Times New Roman" w:cs="Times New Roman"/>
                <w:noProof/>
              </w:rPr>
            </w:pPr>
            <w:r>
              <w:rPr>
                <w:noProof/>
              </w:rPr>
              <w:t>A végrehajtási megállapodás hatálybalépése </w:t>
            </w:r>
          </w:p>
        </w:tc>
        <w:tc>
          <w:tcPr>
            <w:tcW w:w="709" w:type="dxa"/>
            <w:shd w:val="clear" w:color="auto" w:fill="C6EFCE"/>
          </w:tcPr>
          <w:p w14:paraId="72BA320A"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6C1E9E38" w14:textId="62944D50"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DA8BC75"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7D52C6EA" w14:textId="77777777" w:rsidR="003E1D81" w:rsidRDefault="00EB481C">
            <w:pPr>
              <w:pStyle w:val="P68B1DB1-Normal13"/>
              <w:spacing w:after="0" w:line="240" w:lineRule="auto"/>
              <w:jc w:val="center"/>
              <w:textAlignment w:val="baseline"/>
              <w:rPr>
                <w:rFonts w:eastAsia="Times New Roman" w:cs="Times New Roman"/>
                <w:noProof/>
              </w:rPr>
            </w:pPr>
            <w:r>
              <w:rPr>
                <w:noProof/>
              </w:rPr>
              <w:t xml:space="preserve">NEGYEDÉV </w:t>
            </w:r>
          </w:p>
        </w:tc>
        <w:tc>
          <w:tcPr>
            <w:tcW w:w="709" w:type="dxa"/>
            <w:shd w:val="clear" w:color="auto" w:fill="C6EFCE"/>
          </w:tcPr>
          <w:p w14:paraId="6BA60D4B" w14:textId="77777777" w:rsidR="003E1D81" w:rsidRDefault="00EB481C">
            <w:pPr>
              <w:pStyle w:val="P68B1DB1-Normal13"/>
              <w:spacing w:after="0" w:line="240" w:lineRule="auto"/>
              <w:jc w:val="center"/>
              <w:textAlignment w:val="baseline"/>
              <w:rPr>
                <w:rFonts w:eastAsia="Times New Roman" w:cs="Times New Roman"/>
                <w:noProof/>
              </w:rPr>
            </w:pPr>
            <w:r>
              <w:rPr>
                <w:noProof/>
              </w:rPr>
              <w:t>2023</w:t>
            </w:r>
          </w:p>
        </w:tc>
        <w:tc>
          <w:tcPr>
            <w:tcW w:w="4958" w:type="dxa"/>
            <w:shd w:val="clear" w:color="auto" w:fill="C6EFCE"/>
          </w:tcPr>
          <w:p w14:paraId="5C58F40D" w14:textId="144A278F" w:rsidR="003E1D81" w:rsidRDefault="00EB481C">
            <w:pPr>
              <w:pStyle w:val="P68B1DB1-paragraph32"/>
              <w:spacing w:before="0" w:beforeAutospacing="0" w:after="0" w:afterAutospacing="0"/>
              <w:textAlignment w:val="baseline"/>
              <w:rPr>
                <w:rFonts w:cs="Times New Roman"/>
                <w:noProof/>
              </w:rPr>
            </w:pPr>
            <w:r>
              <w:rPr>
                <w:noProof/>
              </w:rPr>
              <w:t xml:space="preserve">A végrehajtási </w:t>
            </w:r>
            <w:r>
              <w:rPr>
                <w:noProof/>
              </w:rPr>
              <w:t>megállapodás hatálybalépése.</w:t>
            </w:r>
          </w:p>
        </w:tc>
      </w:tr>
      <w:tr w:rsidR="003E1D81" w14:paraId="42C2B01A" w14:textId="77777777">
        <w:trPr>
          <w:trHeight w:val="300"/>
        </w:trPr>
        <w:tc>
          <w:tcPr>
            <w:tcW w:w="846" w:type="dxa"/>
            <w:shd w:val="clear" w:color="auto" w:fill="C6EFCE"/>
          </w:tcPr>
          <w:p w14:paraId="5BA39789" w14:textId="20179638" w:rsidR="003E1D81" w:rsidRDefault="00EB481C">
            <w:pPr>
              <w:pStyle w:val="P68B1DB1-Normal13"/>
              <w:spacing w:after="0" w:line="240" w:lineRule="auto"/>
              <w:jc w:val="center"/>
              <w:textAlignment w:val="baseline"/>
              <w:rPr>
                <w:rFonts w:eastAsia="Times New Roman" w:cs="Times New Roman"/>
                <w:noProof/>
              </w:rPr>
            </w:pPr>
            <w:r>
              <w:rPr>
                <w:noProof/>
              </w:rPr>
              <w:t>L31</w:t>
            </w:r>
          </w:p>
        </w:tc>
        <w:tc>
          <w:tcPr>
            <w:tcW w:w="850" w:type="dxa"/>
            <w:shd w:val="clear" w:color="auto" w:fill="C6EFCE"/>
          </w:tcPr>
          <w:p w14:paraId="2DF94740" w14:textId="77777777" w:rsidR="003E1D81" w:rsidRDefault="00EB481C">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4F2F2BFB"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5FB70BD5" w14:textId="79DD556A" w:rsidR="003E1D81" w:rsidRDefault="00EB481C">
            <w:pPr>
              <w:pStyle w:val="P68B1DB1-Normal13"/>
              <w:spacing w:after="0" w:line="240" w:lineRule="auto"/>
              <w:textAlignment w:val="baseline"/>
              <w:rPr>
                <w:rFonts w:eastAsia="Times New Roman" w:cs="Times New Roman"/>
                <w:noProof/>
              </w:rPr>
            </w:pPr>
            <w:r>
              <w:rPr>
                <w:noProof/>
              </w:rPr>
              <w:t>ICO Enterprises and Entrepreneurs Line – A végső kedvezményezettekkel (beleértve a tőkealapokat is) aláírt jogi megállapodások (I)</w:t>
            </w:r>
          </w:p>
        </w:tc>
        <w:tc>
          <w:tcPr>
            <w:tcW w:w="1134" w:type="dxa"/>
            <w:shd w:val="clear" w:color="auto" w:fill="C6EFCE"/>
          </w:tcPr>
          <w:p w14:paraId="0C4DC771" w14:textId="2B7CD62E" w:rsidR="003E1D81" w:rsidRDefault="00EB481C">
            <w:pPr>
              <w:pStyle w:val="P68B1DB1-Normal13"/>
              <w:spacing w:after="0" w:line="240" w:lineRule="auto"/>
              <w:jc w:val="center"/>
              <w:textAlignment w:val="baseline"/>
              <w:rPr>
                <w:rFonts w:eastAsia="Times New Roman" w:cs="Times New Roman"/>
                <w:noProof/>
              </w:rPr>
            </w:pPr>
            <w:r>
              <w:rPr>
                <w:noProof/>
              </w:rPr>
              <w:t xml:space="preserve"> </w:t>
            </w:r>
          </w:p>
        </w:tc>
        <w:tc>
          <w:tcPr>
            <w:tcW w:w="709" w:type="dxa"/>
            <w:shd w:val="clear" w:color="auto" w:fill="C6EFCE"/>
          </w:tcPr>
          <w:p w14:paraId="1EE90475" w14:textId="35C90CAC" w:rsidR="003E1D81" w:rsidRDefault="00EB481C">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6C5CBE24" w14:textId="0A385553" w:rsidR="003E1D81" w:rsidRDefault="00EB481C">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3CF7496A" w14:textId="451036C1" w:rsidR="003E1D81" w:rsidRDefault="00EB481C">
            <w:pPr>
              <w:pStyle w:val="P68B1DB1-Normal13"/>
              <w:spacing w:after="0" w:line="240" w:lineRule="auto"/>
              <w:jc w:val="right"/>
              <w:textAlignment w:val="baseline"/>
              <w:rPr>
                <w:rFonts w:eastAsia="Times New Roman" w:cs="Times New Roman"/>
                <w:noProof/>
              </w:rPr>
            </w:pPr>
            <w:r>
              <w:rPr>
                <w:noProof/>
              </w:rPr>
              <w:t xml:space="preserve">50% </w:t>
            </w:r>
          </w:p>
        </w:tc>
        <w:tc>
          <w:tcPr>
            <w:tcW w:w="709" w:type="dxa"/>
            <w:shd w:val="clear" w:color="auto" w:fill="C6EFCE"/>
          </w:tcPr>
          <w:p w14:paraId="75C8355B" w14:textId="77777777" w:rsidR="003E1D81" w:rsidRDefault="00EB481C">
            <w:pPr>
              <w:pStyle w:val="P68B1DB1-Normal13"/>
              <w:spacing w:after="0" w:line="240" w:lineRule="auto"/>
              <w:jc w:val="center"/>
              <w:textAlignment w:val="baseline"/>
              <w:rPr>
                <w:rFonts w:eastAsia="Times New Roman" w:cs="Times New Roman"/>
                <w:noProof/>
              </w:rPr>
            </w:pPr>
            <w:r>
              <w:rPr>
                <w:noProof/>
              </w:rPr>
              <w:t>KÉRDÉS</w:t>
            </w:r>
          </w:p>
        </w:tc>
        <w:tc>
          <w:tcPr>
            <w:tcW w:w="709" w:type="dxa"/>
            <w:shd w:val="clear" w:color="auto" w:fill="C6EFCE"/>
          </w:tcPr>
          <w:p w14:paraId="1CB3D9B3" w14:textId="77777777" w:rsidR="003E1D81" w:rsidRDefault="00EB481C">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0ED2A9A4" w14:textId="58E129A9" w:rsidR="003E1D81" w:rsidRDefault="00EB481C">
            <w:pPr>
              <w:pStyle w:val="P68B1DB1-paragraph32"/>
              <w:spacing w:before="0" w:beforeAutospacing="0" w:after="0" w:afterAutospacing="0"/>
              <w:textAlignment w:val="baseline"/>
              <w:rPr>
                <w:rStyle w:val="normaltextrun"/>
                <w:rFonts w:eastAsiaTheme="minorHAnsi" w:cs="Times New Roman"/>
                <w:noProof/>
                <w:u w:val="single"/>
              </w:rPr>
            </w:pPr>
            <w:r>
              <w:rPr>
                <w:noProof/>
              </w:rPr>
              <w:t>Az ICO/Axis, valamint az ICO által kiválasztott közvetítők</w:t>
            </w:r>
            <w:r>
              <w:rPr>
                <w:noProof/>
              </w:rPr>
              <w:t xml:space="preserve"> jogi finanszírozási megállapodásokat kötöttek a végső kedvezményezettekkel (beleértve a tőkealapokat is) a Helyreállítási és Rezilienciaépítési Eszközbe történő beruházás legalább 50%-ának az eszközbe történő felhasználásához szükséges összegre (figyelemb</w:t>
            </w:r>
            <w:r>
              <w:rPr>
                <w:noProof/>
              </w:rPr>
              <w:t>e véve az irányítási díjakat). A finanszírozás legalább 2,5%-ának a tőkealapokkal aláírt finanszírozási megállapodásoknak, legalább 50%-ának pedig a végső kedvezményezettekkel kötött finanszírozási megállapodásoknak kell megfelelnie az összes többi befekte</w:t>
            </w:r>
            <w:r>
              <w:rPr>
                <w:noProof/>
              </w:rPr>
              <w:t>tési termék tekintetében (beleértve a végrehajtó partner közvetlen tőkebefektetéseit is).</w:t>
            </w:r>
          </w:p>
        </w:tc>
      </w:tr>
      <w:tr w:rsidR="003E1D81" w14:paraId="680EF42C" w14:textId="77777777">
        <w:trPr>
          <w:trHeight w:val="300"/>
        </w:trPr>
        <w:tc>
          <w:tcPr>
            <w:tcW w:w="846" w:type="dxa"/>
            <w:shd w:val="clear" w:color="auto" w:fill="C6EFCE"/>
          </w:tcPr>
          <w:p w14:paraId="41EA9FC6" w14:textId="28DEC1A9" w:rsidR="003E1D81" w:rsidRDefault="00EB481C">
            <w:pPr>
              <w:pStyle w:val="P68B1DB1-Normal13"/>
              <w:spacing w:after="0" w:line="240" w:lineRule="auto"/>
              <w:jc w:val="center"/>
              <w:textAlignment w:val="baseline"/>
              <w:rPr>
                <w:rFonts w:eastAsia="Times New Roman" w:cs="Times New Roman"/>
                <w:noProof/>
              </w:rPr>
            </w:pPr>
            <w:r>
              <w:rPr>
                <w:noProof/>
              </w:rPr>
              <w:t>L32.</w:t>
            </w:r>
          </w:p>
        </w:tc>
        <w:tc>
          <w:tcPr>
            <w:tcW w:w="850" w:type="dxa"/>
            <w:shd w:val="clear" w:color="auto" w:fill="C6EFCE"/>
          </w:tcPr>
          <w:p w14:paraId="61004FF6" w14:textId="77777777" w:rsidR="003E1D81" w:rsidRDefault="00EB481C">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640872D2"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3329D60E" w14:textId="06EAFF07" w:rsidR="003E1D81" w:rsidRDefault="00EB481C">
            <w:pPr>
              <w:pStyle w:val="P68B1DB1-Normal13"/>
              <w:spacing w:after="0" w:line="240" w:lineRule="auto"/>
              <w:textAlignment w:val="baseline"/>
              <w:rPr>
                <w:rFonts w:eastAsia="Times New Roman" w:cs="Times New Roman"/>
                <w:noProof/>
              </w:rPr>
            </w:pPr>
            <w:r>
              <w:rPr>
                <w:noProof/>
              </w:rPr>
              <w:t>ICO Enterprises and Entrepreneurs Line – A végső kedvezményezettekkel (beleértve a tőkealapokat is) aláírt jogi megállapodások (II)</w:t>
            </w:r>
          </w:p>
        </w:tc>
        <w:tc>
          <w:tcPr>
            <w:tcW w:w="1134" w:type="dxa"/>
            <w:shd w:val="clear" w:color="auto" w:fill="C6EFCE"/>
          </w:tcPr>
          <w:p w14:paraId="6705A2E9" w14:textId="1D274F3E"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E47BDF4" w14:textId="004F984A" w:rsidR="003E1D81" w:rsidRDefault="00EB481C">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014F1668" w14:textId="6E2E8268" w:rsidR="003E1D81" w:rsidRDefault="00EB481C">
            <w:pPr>
              <w:pStyle w:val="P68B1DB1-Normal13"/>
              <w:spacing w:after="0" w:line="240" w:lineRule="auto"/>
              <w:jc w:val="right"/>
              <w:textAlignment w:val="baseline"/>
              <w:rPr>
                <w:rFonts w:eastAsia="Times New Roman" w:cs="Times New Roman"/>
                <w:noProof/>
              </w:rPr>
            </w:pPr>
            <w:r>
              <w:rPr>
                <w:noProof/>
              </w:rPr>
              <w:t xml:space="preserve">50% </w:t>
            </w:r>
          </w:p>
        </w:tc>
        <w:tc>
          <w:tcPr>
            <w:tcW w:w="709" w:type="dxa"/>
            <w:shd w:val="clear" w:color="auto" w:fill="C6EFCE"/>
          </w:tcPr>
          <w:p w14:paraId="521B4250" w14:textId="66A66A9F" w:rsidR="003E1D81" w:rsidRDefault="00EB481C">
            <w:pPr>
              <w:pStyle w:val="P68B1DB1-Normal13"/>
              <w:spacing w:after="0" w:line="240" w:lineRule="auto"/>
              <w:jc w:val="right"/>
              <w:textAlignment w:val="baseline"/>
              <w:rPr>
                <w:rFonts w:eastAsia="Times New Roman" w:cs="Times New Roman"/>
                <w:noProof/>
              </w:rPr>
            </w:pPr>
            <w:r>
              <w:rPr>
                <w:noProof/>
              </w:rPr>
              <w:t xml:space="preserve">75%  </w:t>
            </w:r>
          </w:p>
        </w:tc>
        <w:tc>
          <w:tcPr>
            <w:tcW w:w="709" w:type="dxa"/>
            <w:shd w:val="clear" w:color="auto" w:fill="C6EFCE"/>
          </w:tcPr>
          <w:p w14:paraId="7ACBC92F" w14:textId="77777777"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76F1F85F" w14:textId="77777777" w:rsidR="003E1D81" w:rsidRDefault="00EB481C">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0E22CC94" w14:textId="3E48EBFB" w:rsidR="003E1D81" w:rsidRDefault="00EB481C">
            <w:pPr>
              <w:pStyle w:val="P68B1DB1-paragraph32"/>
              <w:spacing w:before="0" w:beforeAutospacing="0" w:after="0" w:afterAutospacing="0"/>
              <w:textAlignment w:val="baseline"/>
              <w:rPr>
                <w:rStyle w:val="normaltextrun"/>
                <w:rFonts w:eastAsiaTheme="minorEastAsia" w:cs="Times New Roman"/>
                <w:noProof/>
              </w:rPr>
            </w:pPr>
            <w:r>
              <w:rPr>
                <w:noProof/>
              </w:rPr>
              <w:t>Az ICO/Axis, valamint az ICO által kiválasztott közvetítők jogi finanszírozási megállapodásokat kötöttek a végső kedvezményezettekkel (beleértve a tőkealapokat is) a Helyreállítási és Rezilienciaépítési Eszközbe történő beruházás legalább 75%</w:t>
            </w:r>
            <w:r>
              <w:rPr>
                <w:noProof/>
              </w:rPr>
              <w:t>-ának az eszközbe történő felhasználásához szükséges összegre (figyelembe véve az irányítási díjakat). A finanszírozás legalább 7,5%-ának a tőkealapokkal aláírt finanszírozási megállapodásoknak, legalább 50%-ának pedig a végső kedvezményezettekkel kötött f</w:t>
            </w:r>
            <w:r>
              <w:rPr>
                <w:noProof/>
              </w:rPr>
              <w:t xml:space="preserve">inanszírozási megállapodásoknak kell megfelelnie az összes többi befektetési termék tekintetében (beleértve a végrehajtó partner közvetlen tőkebefektetéseit is). </w:t>
            </w:r>
          </w:p>
        </w:tc>
      </w:tr>
      <w:tr w:rsidR="003E1D81" w14:paraId="3AA7BE6B" w14:textId="77777777">
        <w:trPr>
          <w:trHeight w:val="300"/>
        </w:trPr>
        <w:tc>
          <w:tcPr>
            <w:tcW w:w="846" w:type="dxa"/>
            <w:shd w:val="clear" w:color="auto" w:fill="C6EFCE"/>
          </w:tcPr>
          <w:p w14:paraId="20BA34D9" w14:textId="74A64304" w:rsidR="003E1D81" w:rsidRDefault="00EB481C">
            <w:pPr>
              <w:pStyle w:val="P68B1DB1-Normal13"/>
              <w:spacing w:after="0" w:line="240" w:lineRule="auto"/>
              <w:jc w:val="center"/>
              <w:textAlignment w:val="baseline"/>
              <w:rPr>
                <w:rFonts w:eastAsia="Times New Roman" w:cs="Times New Roman"/>
                <w:noProof/>
              </w:rPr>
            </w:pPr>
            <w:r>
              <w:rPr>
                <w:noProof/>
              </w:rPr>
              <w:t>L33</w:t>
            </w:r>
          </w:p>
        </w:tc>
        <w:tc>
          <w:tcPr>
            <w:tcW w:w="850" w:type="dxa"/>
            <w:shd w:val="clear" w:color="auto" w:fill="C6EFCE"/>
          </w:tcPr>
          <w:p w14:paraId="228A1BC9" w14:textId="77777777" w:rsidR="003E1D81" w:rsidRDefault="00EB481C">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2758B547"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112F34AB" w14:textId="00465E87" w:rsidR="003E1D81" w:rsidRDefault="00EB481C">
            <w:pPr>
              <w:pStyle w:val="P68B1DB1-Normal13"/>
              <w:spacing w:after="0" w:line="240" w:lineRule="auto"/>
              <w:textAlignment w:val="baseline"/>
              <w:rPr>
                <w:rFonts w:eastAsia="Times New Roman" w:cs="Times New Roman"/>
                <w:noProof/>
              </w:rPr>
            </w:pPr>
            <w:r>
              <w:rPr>
                <w:noProof/>
              </w:rPr>
              <w:t xml:space="preserve">ICO Enterprises and Entrepreneurs Line – A végső kedvezményezettekkel </w:t>
            </w:r>
            <w:r>
              <w:rPr>
                <w:noProof/>
              </w:rPr>
              <w:t>(beleértve a tőkealapokat is) aláírt jogi megállapodások (III)</w:t>
            </w:r>
          </w:p>
        </w:tc>
        <w:tc>
          <w:tcPr>
            <w:tcW w:w="1134" w:type="dxa"/>
            <w:shd w:val="clear" w:color="auto" w:fill="C6EFCE"/>
          </w:tcPr>
          <w:p w14:paraId="5B044FB9" w14:textId="12E53D49" w:rsidR="003E1D81" w:rsidRDefault="00EB481C">
            <w:pPr>
              <w:pStyle w:val="P68B1DB1-Normal13"/>
              <w:spacing w:after="0" w:line="240" w:lineRule="auto"/>
              <w:jc w:val="center"/>
              <w:textAlignment w:val="baseline"/>
              <w:rPr>
                <w:rFonts w:eastAsia="Times New Roman" w:cs="Times New Roman"/>
                <w:noProof/>
              </w:rPr>
            </w:pPr>
            <w:r>
              <w:rPr>
                <w:noProof/>
              </w:rPr>
              <w:t xml:space="preserve"> </w:t>
            </w:r>
          </w:p>
        </w:tc>
        <w:tc>
          <w:tcPr>
            <w:tcW w:w="709" w:type="dxa"/>
            <w:shd w:val="clear" w:color="auto" w:fill="C6EFCE"/>
          </w:tcPr>
          <w:p w14:paraId="4F73509C" w14:textId="35C98BE7" w:rsidR="003E1D81" w:rsidRDefault="00EB481C">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15E859CD" w14:textId="40231C8F" w:rsidR="003E1D81" w:rsidRDefault="00EB481C">
            <w:pPr>
              <w:pStyle w:val="P68B1DB1-Normal13"/>
              <w:spacing w:after="0" w:line="240" w:lineRule="auto"/>
              <w:jc w:val="right"/>
              <w:textAlignment w:val="baseline"/>
              <w:rPr>
                <w:rFonts w:eastAsia="Times New Roman" w:cs="Times New Roman"/>
                <w:noProof/>
              </w:rPr>
            </w:pPr>
            <w:r>
              <w:rPr>
                <w:noProof/>
              </w:rPr>
              <w:t xml:space="preserve">75% </w:t>
            </w:r>
          </w:p>
        </w:tc>
        <w:tc>
          <w:tcPr>
            <w:tcW w:w="709" w:type="dxa"/>
            <w:shd w:val="clear" w:color="auto" w:fill="C6EFCE"/>
          </w:tcPr>
          <w:p w14:paraId="0DC9BAE2" w14:textId="0980F094" w:rsidR="003E1D81" w:rsidRDefault="00EB481C">
            <w:pPr>
              <w:pStyle w:val="P68B1DB1-Normal13"/>
              <w:spacing w:after="0" w:line="240" w:lineRule="auto"/>
              <w:jc w:val="right"/>
              <w:textAlignment w:val="baseline"/>
              <w:rPr>
                <w:rFonts w:eastAsia="Times New Roman" w:cs="Times New Roman"/>
                <w:noProof/>
              </w:rPr>
            </w:pPr>
            <w:r>
              <w:rPr>
                <w:noProof/>
              </w:rPr>
              <w:t xml:space="preserve">100%-OS </w:t>
            </w:r>
          </w:p>
        </w:tc>
        <w:tc>
          <w:tcPr>
            <w:tcW w:w="709" w:type="dxa"/>
            <w:shd w:val="clear" w:color="auto" w:fill="C6EFCE"/>
          </w:tcPr>
          <w:p w14:paraId="0F13266E" w14:textId="0E91D221"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6CB5F185" w14:textId="77777777"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55A87545" w14:textId="691A5EE9" w:rsidR="003E1D81" w:rsidRDefault="00EB481C">
            <w:pPr>
              <w:pStyle w:val="P68B1DB1-paragraph32"/>
              <w:spacing w:before="0" w:beforeAutospacing="0" w:after="0" w:afterAutospacing="0"/>
              <w:textAlignment w:val="baseline"/>
              <w:rPr>
                <w:rStyle w:val="normaltextrun"/>
                <w:rFonts w:eastAsiaTheme="minorEastAsia" w:cs="Times New Roman"/>
                <w:noProof/>
                <w:u w:val="single"/>
              </w:rPr>
            </w:pPr>
            <w:r>
              <w:rPr>
                <w:noProof/>
              </w:rPr>
              <w:t>Az ICO/Axis, valamint az ICO által kiválasztott közvetítők jogi finanszírozási megállapodásokat kötöttek a végső kedvezményezettekkel (beleértve a tőkealapokat i</w:t>
            </w:r>
            <w:r>
              <w:rPr>
                <w:noProof/>
              </w:rPr>
              <w:t xml:space="preserve">s) a Helyreállítási és Rezilienciaépítési Eszközbe történő beruházás 100%-ának felhasználásához szükséges összegre (figyelembe véve az irányítási díjakat). A finanszírozás legalább 10%-ának a tőkealapokkal aláírt finanszírozási megállapodásoknak, legalább </w:t>
            </w:r>
            <w:r>
              <w:rPr>
                <w:noProof/>
              </w:rPr>
              <w:t>50%-ának pedig a végső kedvezményezettekkel kötött finanszírozási megállapodásoknak kell megfelelnie az összes többi befektetési termék tekintetében (beleértve a végrehajtó partner közvetlen tőkebefektetéseit is). E finanszírozás legalább 1,84%-ának a Hely</w:t>
            </w:r>
            <w:r>
              <w:rPr>
                <w:noProof/>
              </w:rPr>
              <w:t xml:space="preserve">reállítási és Rezilienciaépítési Eszközről szóló rendelet VII. mellékletében szereplő módszertan alkalmazásával kell hozzájárulnia a digitális célkitűzésekhez. </w:t>
            </w:r>
          </w:p>
        </w:tc>
      </w:tr>
      <w:tr w:rsidR="003E1D81" w14:paraId="326480BC" w14:textId="77777777">
        <w:trPr>
          <w:trHeight w:val="300"/>
        </w:trPr>
        <w:tc>
          <w:tcPr>
            <w:tcW w:w="846" w:type="dxa"/>
            <w:shd w:val="clear" w:color="auto" w:fill="C6EFCE"/>
          </w:tcPr>
          <w:p w14:paraId="5040ED5B" w14:textId="08B036AA" w:rsidR="003E1D81" w:rsidRDefault="00EB481C">
            <w:pPr>
              <w:pStyle w:val="P68B1DB1-Normal13"/>
              <w:spacing w:after="0" w:line="240" w:lineRule="auto"/>
              <w:jc w:val="center"/>
              <w:textAlignment w:val="baseline"/>
              <w:rPr>
                <w:rFonts w:eastAsia="Times New Roman" w:cs="Times New Roman"/>
                <w:noProof/>
              </w:rPr>
            </w:pPr>
            <w:r>
              <w:rPr>
                <w:noProof/>
              </w:rPr>
              <w:t>L34</w:t>
            </w:r>
          </w:p>
        </w:tc>
        <w:tc>
          <w:tcPr>
            <w:tcW w:w="850" w:type="dxa"/>
            <w:shd w:val="clear" w:color="auto" w:fill="C6EFCE"/>
          </w:tcPr>
          <w:p w14:paraId="65DE97C5" w14:textId="77777777" w:rsidR="003E1D81" w:rsidRDefault="00EB481C">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277146FF" w14:textId="77777777" w:rsidR="003E1D81" w:rsidRDefault="00EB481C">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3FBD63BA" w14:textId="26A51040" w:rsidR="003E1D81" w:rsidRDefault="00EB481C">
            <w:pPr>
              <w:pStyle w:val="P68B1DB1-Normal13"/>
              <w:spacing w:after="0" w:line="240" w:lineRule="auto"/>
              <w:textAlignment w:val="baseline"/>
              <w:rPr>
                <w:rFonts w:eastAsia="Times New Roman" w:cs="Times New Roman"/>
                <w:noProof/>
              </w:rPr>
            </w:pPr>
            <w:r>
              <w:rPr>
                <w:noProof/>
              </w:rPr>
              <w:t xml:space="preserve">Az ICO Enterprises and Entrepreneurs Line – a minisztérium befejezte a </w:t>
            </w:r>
            <w:r>
              <w:rPr>
                <w:noProof/>
              </w:rPr>
              <w:t>beruházást.</w:t>
            </w:r>
          </w:p>
        </w:tc>
        <w:tc>
          <w:tcPr>
            <w:tcW w:w="1134" w:type="dxa"/>
            <w:shd w:val="clear" w:color="auto" w:fill="C6EFCE"/>
          </w:tcPr>
          <w:p w14:paraId="5FA7AE29" w14:textId="4AF971AC" w:rsidR="003E1D81" w:rsidRDefault="00EB481C">
            <w:pPr>
              <w:pStyle w:val="P68B1DB1-Normal13"/>
              <w:spacing w:after="0" w:line="240" w:lineRule="auto"/>
              <w:jc w:val="center"/>
              <w:textAlignment w:val="baseline"/>
              <w:rPr>
                <w:rFonts w:eastAsia="Times New Roman" w:cs="Times New Roman"/>
                <w:noProof/>
              </w:rPr>
            </w:pPr>
            <w:r>
              <w:rPr>
                <w:noProof/>
              </w:rPr>
              <w:t>Átadási igazolás</w:t>
            </w:r>
          </w:p>
        </w:tc>
        <w:tc>
          <w:tcPr>
            <w:tcW w:w="709" w:type="dxa"/>
            <w:shd w:val="clear" w:color="auto" w:fill="C6EFCE"/>
          </w:tcPr>
          <w:p w14:paraId="3ED141B2"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7CD22B98"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5DF4F92"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02FC5681" w14:textId="11ACCF2D"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258F4AC3" w14:textId="77777777"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533E1A7" w14:textId="5E8DB829" w:rsidR="003E1D81" w:rsidRDefault="00EB481C">
            <w:pPr>
              <w:pStyle w:val="P68B1DB1-Normal13"/>
              <w:spacing w:after="0" w:line="240" w:lineRule="auto"/>
              <w:textAlignment w:val="baseline"/>
              <w:rPr>
                <w:rFonts w:eastAsia="Times New Roman" w:cs="Times New Roman"/>
                <w:noProof/>
              </w:rPr>
            </w:pPr>
            <w:r>
              <w:rPr>
                <w:noProof/>
              </w:rPr>
              <w:t>Spanyolország 8 150 000 000 EUR-t utal át az ICO-nak a Békekeretre.</w:t>
            </w:r>
          </w:p>
        </w:tc>
      </w:tr>
      <w:tr w:rsidR="003E1D81" w14:paraId="4FC8E8BF" w14:textId="77777777">
        <w:trPr>
          <w:trHeight w:val="677"/>
        </w:trPr>
        <w:tc>
          <w:tcPr>
            <w:tcW w:w="846" w:type="dxa"/>
            <w:shd w:val="clear" w:color="auto" w:fill="C6EFCE"/>
          </w:tcPr>
          <w:p w14:paraId="54AB878F" w14:textId="43BD63A3" w:rsidR="003E1D81" w:rsidRDefault="00EB481C">
            <w:pPr>
              <w:pStyle w:val="P68B1DB1-Normal13"/>
              <w:spacing w:after="0" w:line="240" w:lineRule="auto"/>
              <w:jc w:val="center"/>
              <w:textAlignment w:val="baseline"/>
              <w:rPr>
                <w:rFonts w:eastAsia="Times New Roman" w:cs="Times New Roman"/>
                <w:noProof/>
              </w:rPr>
            </w:pPr>
            <w:r>
              <w:rPr>
                <w:noProof/>
              </w:rPr>
              <w:t>L35</w:t>
            </w:r>
          </w:p>
        </w:tc>
        <w:tc>
          <w:tcPr>
            <w:tcW w:w="850" w:type="dxa"/>
            <w:shd w:val="clear" w:color="auto" w:fill="C6EFCE"/>
          </w:tcPr>
          <w:p w14:paraId="537C5BEE" w14:textId="77777777" w:rsidR="003E1D81" w:rsidRDefault="00EB481C">
            <w:pPr>
              <w:pStyle w:val="P68B1DB1-Normal13"/>
              <w:spacing w:after="0" w:line="240" w:lineRule="auto"/>
              <w:jc w:val="center"/>
              <w:rPr>
                <w:rFonts w:eastAsia="Times New Roman" w:cs="Times New Roman"/>
                <w:noProof/>
              </w:rPr>
            </w:pPr>
            <w:r>
              <w:rPr>
                <w:noProof/>
              </w:rPr>
              <w:t>C13.I7</w:t>
            </w:r>
          </w:p>
        </w:tc>
        <w:tc>
          <w:tcPr>
            <w:tcW w:w="851" w:type="dxa"/>
            <w:shd w:val="clear" w:color="auto" w:fill="C6EFCE"/>
          </w:tcPr>
          <w:p w14:paraId="64DF9146" w14:textId="77777777" w:rsidR="003E1D81" w:rsidRDefault="00EB481C">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6FD52622" w14:textId="256D2B5D" w:rsidR="003E1D81" w:rsidRDefault="00EB481C">
            <w:pPr>
              <w:pStyle w:val="P68B1DB1-Normal13"/>
              <w:spacing w:after="0" w:line="240" w:lineRule="auto"/>
              <w:textAlignment w:val="baseline"/>
              <w:rPr>
                <w:rFonts w:eastAsia="Times New Roman" w:cs="Times New Roman"/>
                <w:noProof/>
              </w:rPr>
            </w:pPr>
            <w:r>
              <w:rPr>
                <w:noProof/>
              </w:rPr>
              <w:t xml:space="preserve">Következő technológiai alap – Végrehajtási megállapodás a tengelysel </w:t>
            </w:r>
          </w:p>
        </w:tc>
        <w:tc>
          <w:tcPr>
            <w:tcW w:w="1134" w:type="dxa"/>
            <w:shd w:val="clear" w:color="auto" w:fill="C6EFCE"/>
          </w:tcPr>
          <w:p w14:paraId="5F24E248" w14:textId="77777777" w:rsidR="003E1D81" w:rsidRDefault="00EB481C">
            <w:pPr>
              <w:pStyle w:val="P68B1DB1-Normal13"/>
              <w:spacing w:after="0" w:line="240" w:lineRule="auto"/>
              <w:jc w:val="center"/>
              <w:textAlignment w:val="baseline"/>
              <w:rPr>
                <w:rFonts w:eastAsia="Times New Roman" w:cs="Times New Roman"/>
                <w:noProof/>
              </w:rPr>
            </w:pPr>
            <w:r>
              <w:rPr>
                <w:noProof/>
              </w:rPr>
              <w:t>A módosított végrehajtási megállapodás aláírása</w:t>
            </w:r>
          </w:p>
        </w:tc>
        <w:tc>
          <w:tcPr>
            <w:tcW w:w="709" w:type="dxa"/>
            <w:shd w:val="clear" w:color="auto" w:fill="C6EFCE"/>
          </w:tcPr>
          <w:p w14:paraId="2509CEC8"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044E9458"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559DA499"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1BC05701" w14:textId="77777777"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3CD67789" w14:textId="77777777" w:rsidR="003E1D81" w:rsidRDefault="00EB481C">
            <w:pPr>
              <w:pStyle w:val="P68B1DB1-Normal13"/>
              <w:spacing w:after="0" w:line="240" w:lineRule="auto"/>
              <w:jc w:val="center"/>
              <w:textAlignment w:val="baseline"/>
              <w:rPr>
                <w:rFonts w:eastAsia="Times New Roman" w:cs="Times New Roman"/>
                <w:noProof/>
              </w:rPr>
            </w:pPr>
            <w:r>
              <w:rPr>
                <w:noProof/>
              </w:rPr>
              <w:t>2023</w:t>
            </w:r>
          </w:p>
        </w:tc>
        <w:tc>
          <w:tcPr>
            <w:tcW w:w="4958" w:type="dxa"/>
            <w:shd w:val="clear" w:color="auto" w:fill="C6EFCE"/>
          </w:tcPr>
          <w:p w14:paraId="0AB4A920" w14:textId="13C39BAB" w:rsidR="003E1D81" w:rsidRDefault="00EB481C">
            <w:pPr>
              <w:pStyle w:val="paragraph"/>
              <w:spacing w:before="0" w:beforeAutospacing="0" w:after="0" w:afterAutospacing="0"/>
              <w:textAlignment w:val="baseline"/>
              <w:rPr>
                <w:rFonts w:ascii="Times New Roman" w:hAnsi="Times New Roman" w:cs="Times New Roman"/>
                <w:noProof/>
                <w:sz w:val="18"/>
              </w:rPr>
            </w:pPr>
            <w:r>
              <w:rPr>
                <w:rStyle w:val="normaltextrun"/>
                <w:rFonts w:ascii="Times New Roman" w:hAnsi="Times New Roman"/>
                <w:noProof/>
                <w:sz w:val="18"/>
              </w:rPr>
              <w:t xml:space="preserve">A végrehajtási megállapodás hatálybalépése </w:t>
            </w:r>
          </w:p>
        </w:tc>
      </w:tr>
      <w:tr w:rsidR="003E1D81" w14:paraId="6E488E46" w14:textId="77777777">
        <w:trPr>
          <w:trHeight w:val="300"/>
        </w:trPr>
        <w:tc>
          <w:tcPr>
            <w:tcW w:w="846" w:type="dxa"/>
            <w:shd w:val="clear" w:color="auto" w:fill="C6EFCE"/>
          </w:tcPr>
          <w:p w14:paraId="6995C319" w14:textId="1FBC5C27" w:rsidR="003E1D81" w:rsidRDefault="00EB481C">
            <w:pPr>
              <w:pStyle w:val="P68B1DB1-Normal13"/>
              <w:spacing w:after="0" w:line="240" w:lineRule="auto"/>
              <w:jc w:val="center"/>
              <w:textAlignment w:val="baseline"/>
              <w:rPr>
                <w:rFonts w:eastAsia="Times New Roman" w:cs="Times New Roman"/>
                <w:noProof/>
              </w:rPr>
            </w:pPr>
            <w:r>
              <w:rPr>
                <w:noProof/>
              </w:rPr>
              <w:t>L36.</w:t>
            </w:r>
          </w:p>
        </w:tc>
        <w:tc>
          <w:tcPr>
            <w:tcW w:w="850" w:type="dxa"/>
            <w:shd w:val="clear" w:color="auto" w:fill="C6EFCE"/>
          </w:tcPr>
          <w:p w14:paraId="316A7C83" w14:textId="77777777" w:rsidR="003E1D81" w:rsidRDefault="00EB481C">
            <w:pPr>
              <w:pStyle w:val="P68B1DB1-Normal13"/>
              <w:spacing w:after="0" w:line="240" w:lineRule="auto"/>
              <w:jc w:val="center"/>
              <w:textAlignment w:val="baseline"/>
              <w:rPr>
                <w:rFonts w:eastAsia="Times New Roman" w:cs="Times New Roman"/>
                <w:noProof/>
              </w:rPr>
            </w:pPr>
            <w:r>
              <w:rPr>
                <w:noProof/>
              </w:rPr>
              <w:t>C13.I7</w:t>
            </w:r>
          </w:p>
        </w:tc>
        <w:tc>
          <w:tcPr>
            <w:tcW w:w="851" w:type="dxa"/>
            <w:shd w:val="clear" w:color="auto" w:fill="C6EFCE"/>
          </w:tcPr>
          <w:p w14:paraId="5D376CAE"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325126CE" w14:textId="682554EA" w:rsidR="003E1D81" w:rsidRDefault="00EB481C">
            <w:pPr>
              <w:pStyle w:val="P68B1DB1-Normal13"/>
              <w:spacing w:after="0" w:line="240" w:lineRule="auto"/>
              <w:textAlignment w:val="baseline"/>
              <w:rPr>
                <w:rFonts w:eastAsia="Times New Roman" w:cs="Times New Roman"/>
                <w:noProof/>
              </w:rPr>
            </w:pPr>
            <w:r>
              <w:rPr>
                <w:noProof/>
              </w:rPr>
              <w:t>Következő technikai technológia – A végső kedvezményezettekkel és tőkealapokkal aláírt jogi megállapodások (I)</w:t>
            </w:r>
          </w:p>
        </w:tc>
        <w:tc>
          <w:tcPr>
            <w:tcW w:w="1134" w:type="dxa"/>
            <w:shd w:val="clear" w:color="auto" w:fill="C6EFCE"/>
          </w:tcPr>
          <w:p w14:paraId="6E4A6D46" w14:textId="216F8E54"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84EF85D" w14:textId="25CCB4B8" w:rsidR="003E1D81" w:rsidRDefault="00EB481C">
            <w:pPr>
              <w:pStyle w:val="P68B1DB1-Normal13"/>
              <w:spacing w:after="0" w:line="360" w:lineRule="auto"/>
              <w:jc w:val="center"/>
              <w:textAlignment w:val="baseline"/>
              <w:rPr>
                <w:rFonts w:eastAsia="Times New Roman" w:cs="Times New Roman"/>
                <w:noProof/>
              </w:rPr>
            </w:pPr>
            <w:r>
              <w:rPr>
                <w:noProof/>
              </w:rPr>
              <w:t>%</w:t>
            </w:r>
          </w:p>
        </w:tc>
        <w:tc>
          <w:tcPr>
            <w:tcW w:w="708" w:type="dxa"/>
            <w:shd w:val="clear" w:color="auto" w:fill="C6EFCE"/>
          </w:tcPr>
          <w:p w14:paraId="489ACAD9" w14:textId="391305EC" w:rsidR="003E1D81" w:rsidRDefault="00EB481C">
            <w:pPr>
              <w:pStyle w:val="P68B1DB1-Normal13"/>
              <w:spacing w:after="0" w:line="240" w:lineRule="auto"/>
              <w:jc w:val="right"/>
              <w:textAlignment w:val="baseline"/>
              <w:rPr>
                <w:rFonts w:eastAsia="Times New Roman" w:cs="Times New Roman"/>
                <w:noProof/>
              </w:rPr>
            </w:pPr>
            <w:r>
              <w:rPr>
                <w:noProof/>
              </w:rPr>
              <w:t>0%</w:t>
            </w:r>
          </w:p>
        </w:tc>
        <w:tc>
          <w:tcPr>
            <w:tcW w:w="709" w:type="dxa"/>
            <w:shd w:val="clear" w:color="auto" w:fill="C6EFCE"/>
          </w:tcPr>
          <w:p w14:paraId="7564B01C" w14:textId="6038F89D" w:rsidR="003E1D81" w:rsidRDefault="00EB481C">
            <w:pPr>
              <w:pStyle w:val="P68B1DB1-Normal13"/>
              <w:spacing w:after="0" w:line="240" w:lineRule="auto"/>
              <w:jc w:val="right"/>
              <w:textAlignment w:val="baseline"/>
              <w:rPr>
                <w:rFonts w:eastAsia="Times New Roman" w:cs="Times New Roman"/>
                <w:noProof/>
              </w:rPr>
            </w:pPr>
            <w:r>
              <w:rPr>
                <w:noProof/>
              </w:rPr>
              <w:t>50%</w:t>
            </w:r>
          </w:p>
        </w:tc>
        <w:tc>
          <w:tcPr>
            <w:tcW w:w="709" w:type="dxa"/>
            <w:shd w:val="clear" w:color="auto" w:fill="C6EFCE"/>
          </w:tcPr>
          <w:p w14:paraId="32C514BD" w14:textId="77777777" w:rsidR="003E1D81" w:rsidRDefault="00EB481C">
            <w:pPr>
              <w:pStyle w:val="P68B1DB1-Normal13"/>
              <w:spacing w:after="0" w:line="240" w:lineRule="auto"/>
              <w:jc w:val="center"/>
              <w:textAlignment w:val="baseline"/>
              <w:rPr>
                <w:rFonts w:eastAsia="Times New Roman" w:cs="Times New Roman"/>
                <w:noProof/>
              </w:rPr>
            </w:pPr>
            <w:r>
              <w:rPr>
                <w:noProof/>
              </w:rPr>
              <w:t>KÉRDÉS</w:t>
            </w:r>
          </w:p>
        </w:tc>
        <w:tc>
          <w:tcPr>
            <w:tcW w:w="709" w:type="dxa"/>
            <w:shd w:val="clear" w:color="auto" w:fill="C6EFCE"/>
          </w:tcPr>
          <w:p w14:paraId="4DB96629" w14:textId="77777777" w:rsidR="003E1D81" w:rsidRDefault="00EB481C">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2D0D321F" w14:textId="0E04BA48" w:rsidR="003E1D81" w:rsidRDefault="00EB481C">
            <w:pPr>
              <w:pStyle w:val="P68B1DB1-Normal13"/>
              <w:spacing w:after="0" w:line="240" w:lineRule="auto"/>
              <w:textAlignment w:val="baseline"/>
              <w:rPr>
                <w:rFonts w:eastAsia="Times New Roman" w:cs="Times New Roman"/>
                <w:noProof/>
              </w:rPr>
            </w:pPr>
            <w:r>
              <w:rPr>
                <w:noProof/>
              </w:rPr>
              <w:t>A tengely és az általa kiválasztott közvetítők jogi finanszírozási megállapodást kötöttek a végső kedvezményezettekkel és tőkealapokkal a Helyreállítási és Rezilienciaépítési Eszközbe történő beruházás legalább 50%-ának az eszközbe történő felhasználásához</w:t>
            </w:r>
            <w:r>
              <w:rPr>
                <w:noProof/>
              </w:rPr>
              <w:t xml:space="preserve"> szükséges összegre (figyelembe véve az irányítási díjakat). A tengelynek a Helyreállítási és Rezilienciaépítési Eszközről szóló rendelet VII. mellékletében foglalt módszertan alkalmazásával jelentést kell készítenie, amelyben részletezi e finanszírozás az</w:t>
            </w:r>
            <w:r>
              <w:rPr>
                <w:noProof/>
              </w:rPr>
              <w:t xml:space="preserve">on arányát, amely hozzájárul a digitális célkitűzésekhez. </w:t>
            </w:r>
          </w:p>
        </w:tc>
      </w:tr>
      <w:tr w:rsidR="003E1D81" w14:paraId="4597898A" w14:textId="77777777">
        <w:trPr>
          <w:trHeight w:val="300"/>
        </w:trPr>
        <w:tc>
          <w:tcPr>
            <w:tcW w:w="846" w:type="dxa"/>
            <w:shd w:val="clear" w:color="auto" w:fill="C6EFCE"/>
          </w:tcPr>
          <w:p w14:paraId="70870A6A" w14:textId="13F3C568" w:rsidR="003E1D81" w:rsidRDefault="00EB481C">
            <w:pPr>
              <w:pStyle w:val="P68B1DB1-Normal13"/>
              <w:spacing w:after="0" w:line="240" w:lineRule="auto"/>
              <w:jc w:val="center"/>
              <w:textAlignment w:val="baseline"/>
              <w:rPr>
                <w:rFonts w:eastAsia="Times New Roman" w:cs="Times New Roman"/>
                <w:noProof/>
              </w:rPr>
            </w:pPr>
            <w:r>
              <w:rPr>
                <w:noProof/>
              </w:rPr>
              <w:t>L37.</w:t>
            </w:r>
          </w:p>
        </w:tc>
        <w:tc>
          <w:tcPr>
            <w:tcW w:w="850" w:type="dxa"/>
            <w:shd w:val="clear" w:color="auto" w:fill="C6EFCE"/>
          </w:tcPr>
          <w:p w14:paraId="07A76F6F" w14:textId="77777777" w:rsidR="003E1D81" w:rsidRDefault="00EB481C">
            <w:pPr>
              <w:pStyle w:val="P68B1DB1-Normal13"/>
              <w:spacing w:after="0" w:line="240" w:lineRule="auto"/>
              <w:jc w:val="center"/>
              <w:textAlignment w:val="baseline"/>
              <w:rPr>
                <w:rFonts w:eastAsia="Times New Roman" w:cs="Times New Roman"/>
                <w:noProof/>
              </w:rPr>
            </w:pPr>
            <w:r>
              <w:rPr>
                <w:noProof/>
              </w:rPr>
              <w:t>C13.I7</w:t>
            </w:r>
          </w:p>
          <w:p w14:paraId="3D6AB098"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851" w:type="dxa"/>
            <w:shd w:val="clear" w:color="auto" w:fill="C6EFCE"/>
          </w:tcPr>
          <w:p w14:paraId="410584B2"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0BC07377" w14:textId="7B3795CE" w:rsidR="003E1D81" w:rsidRDefault="00EB481C">
            <w:pPr>
              <w:pStyle w:val="P68B1DB1-Normal13"/>
              <w:spacing w:after="0" w:line="240" w:lineRule="auto"/>
              <w:textAlignment w:val="baseline"/>
              <w:rPr>
                <w:rFonts w:eastAsia="Times New Roman" w:cs="Times New Roman"/>
                <w:noProof/>
              </w:rPr>
            </w:pPr>
            <w:r>
              <w:rPr>
                <w:noProof/>
              </w:rPr>
              <w:t>Következő technikai technológia – A végső kedvezményezettekkel és tőkealapokkal aláírt jogi megállapodások (II)</w:t>
            </w:r>
          </w:p>
        </w:tc>
        <w:tc>
          <w:tcPr>
            <w:tcW w:w="1134" w:type="dxa"/>
            <w:shd w:val="clear" w:color="auto" w:fill="C6EFCE"/>
          </w:tcPr>
          <w:p w14:paraId="711A44B0" w14:textId="275B0298"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7CA1770" w14:textId="3C7A8A00" w:rsidR="003E1D81" w:rsidRDefault="00EB481C">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3EF1F523" w14:textId="30DE1D69" w:rsidR="003E1D81" w:rsidRDefault="00EB481C">
            <w:pPr>
              <w:pStyle w:val="P68B1DB1-Normal13"/>
              <w:spacing w:after="0" w:line="240" w:lineRule="auto"/>
              <w:jc w:val="right"/>
              <w:textAlignment w:val="baseline"/>
              <w:rPr>
                <w:rFonts w:eastAsia="Times New Roman" w:cs="Times New Roman"/>
                <w:noProof/>
              </w:rPr>
            </w:pPr>
            <w:r>
              <w:rPr>
                <w:noProof/>
              </w:rPr>
              <w:t>50%</w:t>
            </w:r>
          </w:p>
        </w:tc>
        <w:tc>
          <w:tcPr>
            <w:tcW w:w="709" w:type="dxa"/>
            <w:shd w:val="clear" w:color="auto" w:fill="C6EFCE"/>
          </w:tcPr>
          <w:p w14:paraId="63560433" w14:textId="7BE776E1" w:rsidR="003E1D81" w:rsidRDefault="00EB481C">
            <w:pPr>
              <w:pStyle w:val="P68B1DB1-Normal13"/>
              <w:spacing w:after="0" w:line="240" w:lineRule="auto"/>
              <w:jc w:val="right"/>
              <w:textAlignment w:val="baseline"/>
              <w:rPr>
                <w:rFonts w:eastAsia="Times New Roman" w:cs="Times New Roman"/>
                <w:noProof/>
              </w:rPr>
            </w:pPr>
            <w:r>
              <w:rPr>
                <w:noProof/>
              </w:rPr>
              <w:t>75%</w:t>
            </w:r>
          </w:p>
        </w:tc>
        <w:tc>
          <w:tcPr>
            <w:tcW w:w="709" w:type="dxa"/>
            <w:shd w:val="clear" w:color="auto" w:fill="C6EFCE"/>
          </w:tcPr>
          <w:p w14:paraId="75EBF31D" w14:textId="77777777"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77DA9086" w14:textId="77777777" w:rsidR="003E1D81" w:rsidRDefault="00EB481C">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16E76197" w14:textId="53BF8B2E" w:rsidR="003E1D81" w:rsidRDefault="00EB481C">
            <w:pPr>
              <w:pStyle w:val="P68B1DB1-Normal13"/>
              <w:spacing w:after="0" w:line="240" w:lineRule="auto"/>
              <w:textAlignment w:val="baseline"/>
              <w:rPr>
                <w:rFonts w:eastAsia="Times New Roman" w:cs="Times New Roman"/>
                <w:noProof/>
              </w:rPr>
            </w:pPr>
            <w:r>
              <w:rPr>
                <w:noProof/>
              </w:rPr>
              <w:t>A tengely és az általa kiválasztott közvetítők jogi finanszírozási megállapodást kötöttek a végső kedvezményezettekkel és tőkealapokkal a Helyreállítási és Rezilienciaépítési Eszközbe történő beruházás legalább 75%-ának az eszközbe történő felhasználásához</w:t>
            </w:r>
            <w:r>
              <w:rPr>
                <w:noProof/>
              </w:rPr>
              <w:t xml:space="preserve"> szükséges összegről (figyelembe véve az irányítási díjakat). A tengelynek a Helyreállítási és Rezilienciaépítési Eszközről szóló rendelet VII. mellékletében foglalt módszertan alkalmazásával jelentést kell készítenie, amelyben részletezi e finanszírozás a</w:t>
            </w:r>
            <w:r>
              <w:rPr>
                <w:noProof/>
              </w:rPr>
              <w:t xml:space="preserve">zon arányát, amely hozzájárul a digitális célkitűzésekhez. </w:t>
            </w:r>
          </w:p>
        </w:tc>
      </w:tr>
      <w:tr w:rsidR="003E1D81" w14:paraId="277B94BD" w14:textId="77777777">
        <w:trPr>
          <w:trHeight w:val="300"/>
        </w:trPr>
        <w:tc>
          <w:tcPr>
            <w:tcW w:w="846" w:type="dxa"/>
            <w:shd w:val="clear" w:color="auto" w:fill="C6EFCE"/>
          </w:tcPr>
          <w:p w14:paraId="61844900" w14:textId="52F53057" w:rsidR="003E1D81" w:rsidRDefault="00EB481C">
            <w:pPr>
              <w:pStyle w:val="P68B1DB1-Normal13"/>
              <w:spacing w:after="0" w:line="240" w:lineRule="auto"/>
              <w:jc w:val="center"/>
              <w:textAlignment w:val="baseline"/>
              <w:rPr>
                <w:rFonts w:eastAsia="Times New Roman" w:cs="Times New Roman"/>
                <w:noProof/>
              </w:rPr>
            </w:pPr>
            <w:r>
              <w:rPr>
                <w:noProof/>
              </w:rPr>
              <w:t>L38</w:t>
            </w:r>
          </w:p>
        </w:tc>
        <w:tc>
          <w:tcPr>
            <w:tcW w:w="850" w:type="dxa"/>
            <w:shd w:val="clear" w:color="auto" w:fill="C6EFCE"/>
          </w:tcPr>
          <w:p w14:paraId="2AF164FC" w14:textId="77777777" w:rsidR="003E1D81" w:rsidRDefault="00EB481C">
            <w:pPr>
              <w:pStyle w:val="P68B1DB1-Normal13"/>
              <w:spacing w:after="0" w:line="240" w:lineRule="auto"/>
              <w:jc w:val="center"/>
              <w:textAlignment w:val="baseline"/>
              <w:rPr>
                <w:rFonts w:eastAsia="Times New Roman" w:cs="Times New Roman"/>
                <w:noProof/>
              </w:rPr>
            </w:pPr>
            <w:r>
              <w:rPr>
                <w:noProof/>
              </w:rPr>
              <w:t>C13.I7</w:t>
            </w:r>
          </w:p>
        </w:tc>
        <w:tc>
          <w:tcPr>
            <w:tcW w:w="851" w:type="dxa"/>
            <w:shd w:val="clear" w:color="auto" w:fill="C6EFCE"/>
          </w:tcPr>
          <w:p w14:paraId="09BBE52D"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0853A9B8" w14:textId="1E7B0942" w:rsidR="003E1D81" w:rsidRDefault="00EB481C">
            <w:pPr>
              <w:pStyle w:val="P68B1DB1-Normal13"/>
              <w:spacing w:after="0" w:line="240" w:lineRule="auto"/>
              <w:textAlignment w:val="baseline"/>
              <w:rPr>
                <w:rFonts w:eastAsia="Times New Roman" w:cs="Times New Roman"/>
                <w:noProof/>
              </w:rPr>
            </w:pPr>
            <w:r>
              <w:rPr>
                <w:noProof/>
              </w:rPr>
              <w:t>Következő technikai technológia – A végső kedvezményezettekkel és tőkealapokkal aláírt jogi megállapodások (II)</w:t>
            </w:r>
          </w:p>
        </w:tc>
        <w:tc>
          <w:tcPr>
            <w:tcW w:w="1134" w:type="dxa"/>
            <w:shd w:val="clear" w:color="auto" w:fill="C6EFCE"/>
          </w:tcPr>
          <w:p w14:paraId="0CA2BE6E" w14:textId="056C9211"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A70397B" w14:textId="764B4723" w:rsidR="003E1D81" w:rsidRDefault="00EB481C">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1E5A1461" w14:textId="61C4BED3" w:rsidR="003E1D81" w:rsidRDefault="00EB481C">
            <w:pPr>
              <w:pStyle w:val="P68B1DB1-Normal13"/>
              <w:spacing w:after="0" w:line="240" w:lineRule="auto"/>
              <w:jc w:val="right"/>
              <w:textAlignment w:val="baseline"/>
              <w:rPr>
                <w:rFonts w:eastAsia="Times New Roman" w:cs="Times New Roman"/>
                <w:noProof/>
              </w:rPr>
            </w:pPr>
            <w:r>
              <w:rPr>
                <w:noProof/>
              </w:rPr>
              <w:t>75%</w:t>
            </w:r>
          </w:p>
        </w:tc>
        <w:tc>
          <w:tcPr>
            <w:tcW w:w="709" w:type="dxa"/>
            <w:shd w:val="clear" w:color="auto" w:fill="C6EFCE"/>
          </w:tcPr>
          <w:p w14:paraId="00CC87E9" w14:textId="2EB5FF72" w:rsidR="003E1D81" w:rsidRDefault="00EB481C">
            <w:pPr>
              <w:pStyle w:val="P68B1DB1-Normal13"/>
              <w:spacing w:after="0" w:line="240" w:lineRule="auto"/>
              <w:jc w:val="right"/>
              <w:textAlignment w:val="baseline"/>
              <w:rPr>
                <w:rFonts w:eastAsia="Times New Roman" w:cs="Times New Roman"/>
                <w:noProof/>
              </w:rPr>
            </w:pPr>
            <w:r>
              <w:rPr>
                <w:noProof/>
              </w:rPr>
              <w:t>100%-OS</w:t>
            </w:r>
          </w:p>
        </w:tc>
        <w:tc>
          <w:tcPr>
            <w:tcW w:w="709" w:type="dxa"/>
            <w:shd w:val="clear" w:color="auto" w:fill="C6EFCE"/>
          </w:tcPr>
          <w:p w14:paraId="4186B1BD" w14:textId="2D94B469"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675D6D0F" w14:textId="77777777"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62DD61C" w14:textId="3597952C" w:rsidR="003E1D81" w:rsidRDefault="00EB481C">
            <w:pPr>
              <w:pStyle w:val="P68B1DB1-Normal13"/>
              <w:spacing w:after="0" w:line="240" w:lineRule="auto"/>
              <w:textAlignment w:val="baseline"/>
              <w:rPr>
                <w:rFonts w:eastAsia="Times New Roman" w:cs="Times New Roman"/>
                <w:noProof/>
              </w:rPr>
            </w:pPr>
            <w:r>
              <w:rPr>
                <w:noProof/>
              </w:rPr>
              <w:t>A tengely és az általa kiválasztott közvetítők jogi finanszírozási megállapodást kötöttek a végső kedvezményezettekkel és tőkealapokkal a Helyreállítási és Rezilienciaépítési Eszközbe történő beruházás 100%-ának felhasználásához szükséges összegről (figyel</w:t>
            </w:r>
            <w:r>
              <w:rPr>
                <w:noProof/>
              </w:rPr>
              <w:t xml:space="preserve">embe véve az irányítási díjakat). E finanszírozás 100%-ának a Helyreállítási és Rezilienciaépítési Eszközről szóló rendelet VII. mellékletében foglalt módszertan alkalmazásával kell hozzájárulnia a digitális célkitűzésekhez. </w:t>
            </w:r>
          </w:p>
        </w:tc>
      </w:tr>
      <w:tr w:rsidR="003E1D81" w14:paraId="62E7A379" w14:textId="77777777">
        <w:trPr>
          <w:trHeight w:val="300"/>
        </w:trPr>
        <w:tc>
          <w:tcPr>
            <w:tcW w:w="846" w:type="dxa"/>
            <w:shd w:val="clear" w:color="auto" w:fill="C6EFCE"/>
          </w:tcPr>
          <w:p w14:paraId="4B05E2B6" w14:textId="382D6228" w:rsidR="003E1D81" w:rsidRDefault="00EB481C">
            <w:pPr>
              <w:pStyle w:val="P68B1DB1-Normal13"/>
              <w:spacing w:after="0" w:line="240" w:lineRule="auto"/>
              <w:jc w:val="center"/>
              <w:textAlignment w:val="baseline"/>
              <w:rPr>
                <w:rFonts w:eastAsia="Times New Roman" w:cs="Times New Roman"/>
                <w:noProof/>
              </w:rPr>
            </w:pPr>
            <w:r>
              <w:rPr>
                <w:noProof/>
              </w:rPr>
              <w:t>L39.</w:t>
            </w:r>
          </w:p>
        </w:tc>
        <w:tc>
          <w:tcPr>
            <w:tcW w:w="850" w:type="dxa"/>
            <w:shd w:val="clear" w:color="auto" w:fill="C6EFCE"/>
          </w:tcPr>
          <w:p w14:paraId="3BD747F8" w14:textId="77777777" w:rsidR="003E1D81" w:rsidRDefault="00EB481C">
            <w:pPr>
              <w:pStyle w:val="P68B1DB1-Normal13"/>
              <w:spacing w:after="0" w:line="240" w:lineRule="auto"/>
              <w:jc w:val="center"/>
              <w:textAlignment w:val="baseline"/>
              <w:rPr>
                <w:rFonts w:eastAsia="Times New Roman" w:cs="Times New Roman"/>
                <w:noProof/>
              </w:rPr>
            </w:pPr>
            <w:r>
              <w:rPr>
                <w:noProof/>
              </w:rPr>
              <w:t>C13.I7</w:t>
            </w:r>
          </w:p>
        </w:tc>
        <w:tc>
          <w:tcPr>
            <w:tcW w:w="851" w:type="dxa"/>
            <w:shd w:val="clear" w:color="auto" w:fill="C6EFCE"/>
          </w:tcPr>
          <w:p w14:paraId="4CF0C57E" w14:textId="77777777" w:rsidR="003E1D81" w:rsidRDefault="00EB481C">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4BD548CA" w14:textId="711EE18B" w:rsidR="003E1D81" w:rsidRDefault="00EB481C">
            <w:pPr>
              <w:pStyle w:val="P68B1DB1-Normal13"/>
              <w:spacing w:after="0" w:line="240" w:lineRule="auto"/>
              <w:textAlignment w:val="baseline"/>
              <w:rPr>
                <w:rFonts w:eastAsia="Times New Roman" w:cs="Times New Roman"/>
                <w:noProof/>
              </w:rPr>
            </w:pPr>
            <w:r>
              <w:rPr>
                <w:noProof/>
              </w:rPr>
              <w:t xml:space="preserve">A következő technológia – a minisztérium befejezte a beruházást. </w:t>
            </w:r>
          </w:p>
        </w:tc>
        <w:tc>
          <w:tcPr>
            <w:tcW w:w="1134" w:type="dxa"/>
            <w:shd w:val="clear" w:color="auto" w:fill="C6EFCE"/>
          </w:tcPr>
          <w:p w14:paraId="50565B4D" w14:textId="01BB337C" w:rsidR="003E1D81" w:rsidRDefault="00EB481C">
            <w:pPr>
              <w:pStyle w:val="P68B1DB1-Normal13"/>
              <w:spacing w:after="0" w:line="240" w:lineRule="auto"/>
              <w:jc w:val="center"/>
              <w:textAlignment w:val="baseline"/>
              <w:rPr>
                <w:rFonts w:eastAsia="Times New Roman" w:cs="Times New Roman"/>
                <w:noProof/>
              </w:rPr>
            </w:pPr>
            <w:r>
              <w:rPr>
                <w:noProof/>
              </w:rPr>
              <w:t>Átadási igazolás</w:t>
            </w:r>
          </w:p>
        </w:tc>
        <w:tc>
          <w:tcPr>
            <w:tcW w:w="709" w:type="dxa"/>
            <w:shd w:val="clear" w:color="auto" w:fill="C6EFCE"/>
          </w:tcPr>
          <w:p w14:paraId="1BF984B9" w14:textId="7509B215"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4E656853"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3601E0F" w14:textId="1001B4B6"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96DDA20" w14:textId="3CD9E96D"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4655CBB3" w14:textId="77777777"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64747634" w14:textId="11E345AE" w:rsidR="003E1D81" w:rsidRDefault="00EB481C">
            <w:pPr>
              <w:pStyle w:val="P68B1DB1-Normal13"/>
              <w:spacing w:after="0" w:line="240" w:lineRule="auto"/>
              <w:textAlignment w:val="baseline"/>
              <w:rPr>
                <w:rFonts w:eastAsia="Times New Roman" w:cs="Times New Roman"/>
                <w:noProof/>
              </w:rPr>
            </w:pPr>
            <w:r>
              <w:rPr>
                <w:noProof/>
              </w:rPr>
              <w:t>Spanyolország 4 000 000 000 EUR-t utal át az ICO-nak a Békekeretre.</w:t>
            </w:r>
          </w:p>
        </w:tc>
      </w:tr>
      <w:tr w:rsidR="003E1D81" w14:paraId="4E31ADCE" w14:textId="77777777">
        <w:trPr>
          <w:trHeight w:val="300"/>
        </w:trPr>
        <w:tc>
          <w:tcPr>
            <w:tcW w:w="846" w:type="dxa"/>
            <w:shd w:val="clear" w:color="auto" w:fill="C6EFCE"/>
          </w:tcPr>
          <w:p w14:paraId="6B773916" w14:textId="2C35DE84" w:rsidR="003E1D81" w:rsidRDefault="00EB481C">
            <w:pPr>
              <w:pStyle w:val="P68B1DB1-Normal13"/>
              <w:spacing w:after="0" w:line="240" w:lineRule="auto"/>
              <w:jc w:val="center"/>
              <w:textAlignment w:val="baseline"/>
              <w:rPr>
                <w:rFonts w:eastAsia="Times New Roman" w:cs="Times New Roman"/>
                <w:noProof/>
              </w:rPr>
            </w:pPr>
            <w:r>
              <w:rPr>
                <w:noProof/>
              </w:rPr>
              <w:t>L40</w:t>
            </w:r>
          </w:p>
        </w:tc>
        <w:tc>
          <w:tcPr>
            <w:tcW w:w="850" w:type="dxa"/>
            <w:shd w:val="clear" w:color="auto" w:fill="C6EFCE"/>
          </w:tcPr>
          <w:p w14:paraId="57D602EB" w14:textId="77777777" w:rsidR="003E1D81" w:rsidRDefault="00EB481C">
            <w:pPr>
              <w:pStyle w:val="P68B1DB1-Normal13"/>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483ACA03" w14:textId="77777777" w:rsidR="003E1D81" w:rsidRDefault="00EB481C">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1264AA5D" w14:textId="48BF9705" w:rsidR="003E1D81" w:rsidRDefault="00EB481C">
            <w:pPr>
              <w:pStyle w:val="P68B1DB1-Normal13"/>
              <w:spacing w:after="0" w:line="240" w:lineRule="auto"/>
              <w:textAlignment w:val="baseline"/>
              <w:rPr>
                <w:rFonts w:eastAsia="Times New Roman" w:cs="Times New Roman"/>
                <w:noProof/>
              </w:rPr>
            </w:pPr>
            <w:r>
              <w:rPr>
                <w:noProof/>
              </w:rPr>
              <w:t>Foco – Az Alapot létrehozó rendeletek</w:t>
            </w:r>
          </w:p>
        </w:tc>
        <w:tc>
          <w:tcPr>
            <w:tcW w:w="1134" w:type="dxa"/>
            <w:shd w:val="clear" w:color="auto" w:fill="C6EFCE"/>
          </w:tcPr>
          <w:p w14:paraId="3AE85A06" w14:textId="2FE3DBE9" w:rsidR="003E1D81" w:rsidRDefault="00EB481C">
            <w:pPr>
              <w:pStyle w:val="P68B1DB1-Normal13"/>
              <w:spacing w:after="0" w:line="240" w:lineRule="auto"/>
              <w:jc w:val="center"/>
              <w:textAlignment w:val="baseline"/>
              <w:rPr>
                <w:rFonts w:eastAsia="Times New Roman" w:cs="Times New Roman"/>
                <w:noProof/>
              </w:rPr>
            </w:pPr>
            <w:r>
              <w:rPr>
                <w:noProof/>
              </w:rPr>
              <w:t xml:space="preserve">Az eszközt létrehozó rendeletek </w:t>
            </w:r>
            <w:r>
              <w:rPr>
                <w:noProof/>
              </w:rPr>
              <w:t>hatálybalépése</w:t>
            </w:r>
          </w:p>
        </w:tc>
        <w:tc>
          <w:tcPr>
            <w:tcW w:w="709" w:type="dxa"/>
            <w:shd w:val="clear" w:color="auto" w:fill="C6EFCE"/>
          </w:tcPr>
          <w:p w14:paraId="7ED26068"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67C979E1"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7558F92"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8719DEB" w14:textId="2C7E5EF1"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69C41DF4" w14:textId="070D1F91" w:rsidR="003E1D81" w:rsidRDefault="00EB481C">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23BE14D3" w14:textId="6F9411AC" w:rsidR="003E1D81" w:rsidRDefault="00EB481C">
            <w:pPr>
              <w:pStyle w:val="P68B1DB1-Normal13"/>
              <w:spacing w:after="0" w:line="240" w:lineRule="auto"/>
              <w:textAlignment w:val="baseline"/>
              <w:rPr>
                <w:rFonts w:eastAsia="Times New Roman" w:cs="Times New Roman"/>
                <w:noProof/>
              </w:rPr>
            </w:pPr>
            <w:r>
              <w:rPr>
                <w:noProof/>
              </w:rPr>
              <w:t xml:space="preserve">Az eszközt létrehozó rendelet és az ahhoz kapcsolódó dokumentumok hatálybalépése. </w:t>
            </w:r>
          </w:p>
        </w:tc>
      </w:tr>
      <w:tr w:rsidR="003E1D81" w14:paraId="388D8E24" w14:textId="77777777">
        <w:trPr>
          <w:trHeight w:val="300"/>
        </w:trPr>
        <w:tc>
          <w:tcPr>
            <w:tcW w:w="846" w:type="dxa"/>
            <w:shd w:val="clear" w:color="auto" w:fill="C6EFCE"/>
          </w:tcPr>
          <w:p w14:paraId="62E598CB" w14:textId="2303095C" w:rsidR="003E1D81" w:rsidRDefault="00EB481C">
            <w:pPr>
              <w:pStyle w:val="P68B1DB1-Normal13"/>
              <w:spacing w:after="0" w:line="240" w:lineRule="auto"/>
              <w:jc w:val="center"/>
              <w:textAlignment w:val="baseline"/>
              <w:rPr>
                <w:rFonts w:eastAsia="Times New Roman" w:cs="Times New Roman"/>
                <w:noProof/>
              </w:rPr>
            </w:pPr>
            <w:r>
              <w:rPr>
                <w:noProof/>
              </w:rPr>
              <w:t>L41</w:t>
            </w:r>
          </w:p>
        </w:tc>
        <w:tc>
          <w:tcPr>
            <w:tcW w:w="850" w:type="dxa"/>
            <w:shd w:val="clear" w:color="auto" w:fill="C6EFCE"/>
          </w:tcPr>
          <w:p w14:paraId="1D237F3C" w14:textId="77777777" w:rsidR="003E1D81" w:rsidRDefault="00EB481C">
            <w:pPr>
              <w:pStyle w:val="P68B1DB1-Normal13"/>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75D4F251"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0560FF3F" w14:textId="791168AA" w:rsidR="003E1D81" w:rsidRDefault="00EB481C">
            <w:pPr>
              <w:pStyle w:val="P68B1DB1-Normal13"/>
              <w:spacing w:after="0" w:line="240" w:lineRule="auto"/>
              <w:textAlignment w:val="baseline"/>
              <w:rPr>
                <w:rFonts w:eastAsia="Times New Roman" w:cs="Times New Roman"/>
                <w:noProof/>
              </w:rPr>
            </w:pPr>
            <w:r>
              <w:rPr>
                <w:noProof/>
              </w:rPr>
              <w:t>Foco – A végső kedvezményezettekkel (beleértve a tőkealapokat is) aláírt jogi megállapodások (I)</w:t>
            </w:r>
          </w:p>
        </w:tc>
        <w:tc>
          <w:tcPr>
            <w:tcW w:w="1134" w:type="dxa"/>
            <w:shd w:val="clear" w:color="auto" w:fill="C6EFCE"/>
          </w:tcPr>
          <w:p w14:paraId="752CC410" w14:textId="1E76E501"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16A9226" w14:textId="104F94C9" w:rsidR="003E1D81" w:rsidRDefault="00EB481C">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00758ADC" w14:textId="77777777" w:rsidR="003E1D81" w:rsidRDefault="00EB481C">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385CBF3D" w14:textId="580B9033" w:rsidR="003E1D81" w:rsidRDefault="00EB481C">
            <w:pPr>
              <w:pStyle w:val="P68B1DB1-Normal13"/>
              <w:spacing w:after="0" w:line="240" w:lineRule="auto"/>
              <w:jc w:val="right"/>
              <w:textAlignment w:val="baseline"/>
              <w:rPr>
                <w:rFonts w:eastAsia="Times New Roman" w:cs="Times New Roman"/>
                <w:noProof/>
              </w:rPr>
            </w:pPr>
            <w:r>
              <w:rPr>
                <w:noProof/>
              </w:rPr>
              <w:t>50%</w:t>
            </w:r>
          </w:p>
          <w:p w14:paraId="59214C2B"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D73FE16" w14:textId="77777777" w:rsidR="003E1D81" w:rsidRDefault="00EB481C">
            <w:pPr>
              <w:pStyle w:val="P68B1DB1-Normal13"/>
              <w:spacing w:after="0" w:line="240" w:lineRule="auto"/>
              <w:jc w:val="center"/>
              <w:textAlignment w:val="baseline"/>
              <w:rPr>
                <w:rFonts w:eastAsia="Times New Roman" w:cs="Times New Roman"/>
                <w:noProof/>
              </w:rPr>
            </w:pPr>
            <w:r>
              <w:rPr>
                <w:noProof/>
              </w:rPr>
              <w:t>KÉRDÉS</w:t>
            </w:r>
          </w:p>
        </w:tc>
        <w:tc>
          <w:tcPr>
            <w:tcW w:w="709" w:type="dxa"/>
            <w:shd w:val="clear" w:color="auto" w:fill="C6EFCE"/>
          </w:tcPr>
          <w:p w14:paraId="15E7847C" w14:textId="77777777" w:rsidR="003E1D81" w:rsidRDefault="00EB481C">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6DD25180" w14:textId="7177FB58" w:rsidR="003E1D81" w:rsidRDefault="00EB481C">
            <w:pPr>
              <w:pStyle w:val="P68B1DB1-Normal13"/>
              <w:spacing w:after="0" w:line="240" w:lineRule="auto"/>
              <w:textAlignment w:val="baseline"/>
              <w:rPr>
                <w:rFonts w:eastAsia="Times New Roman" w:cs="Times New Roman"/>
                <w:noProof/>
              </w:rPr>
            </w:pPr>
            <w:r>
              <w:rPr>
                <w:noProof/>
              </w:rPr>
              <w:t xml:space="preserve">Az </w:t>
            </w:r>
            <w:r>
              <w:rPr>
                <w:noProof/>
              </w:rPr>
              <w:t>eszköznek és a COFIDES által kiválasztott közvetítőknek jogi finanszírozási megállapodásokat kell kötniük a végső kedvezményezettekkel (beleértve a tőkealapokat is) a Helyreállítási és Rezilienciaépítési Eszközbe történő beruházás legalább 50%-ának az eszk</w:t>
            </w:r>
            <w:r>
              <w:rPr>
                <w:noProof/>
              </w:rPr>
              <w:t xml:space="preserve">özbe történő felhasználásához szükséges összegre (figyelembe véve az irányítási díjakat). A finanszírozás legalább 20%-ának a tőkealapokkal aláírt finanszírozási megállapodásoknak, legalább 20%-ának pedig a végső kedvezményezettekkel kötött finanszírozási </w:t>
            </w:r>
            <w:r>
              <w:rPr>
                <w:noProof/>
              </w:rPr>
              <w:t>megállapodásoknak kell megfelelnie az összes többi befektetési termék (beleértve a Békekeret közvetlen tőkebefektetéseit is) tekintetében.</w:t>
            </w:r>
          </w:p>
        </w:tc>
      </w:tr>
      <w:tr w:rsidR="003E1D81" w14:paraId="4DE1B9BD" w14:textId="77777777">
        <w:trPr>
          <w:trHeight w:val="300"/>
        </w:trPr>
        <w:tc>
          <w:tcPr>
            <w:tcW w:w="846" w:type="dxa"/>
            <w:shd w:val="clear" w:color="auto" w:fill="C6EFCE"/>
          </w:tcPr>
          <w:p w14:paraId="2992D19F" w14:textId="3844CEEA" w:rsidR="003E1D81" w:rsidRDefault="00EB481C">
            <w:pPr>
              <w:pStyle w:val="P68B1DB1-Normal13"/>
              <w:spacing w:after="0" w:line="240" w:lineRule="auto"/>
              <w:jc w:val="center"/>
              <w:textAlignment w:val="baseline"/>
              <w:rPr>
                <w:rFonts w:eastAsia="Times New Roman" w:cs="Times New Roman"/>
                <w:noProof/>
              </w:rPr>
            </w:pPr>
            <w:r>
              <w:rPr>
                <w:noProof/>
              </w:rPr>
              <w:t>L42</w:t>
            </w:r>
          </w:p>
        </w:tc>
        <w:tc>
          <w:tcPr>
            <w:tcW w:w="850" w:type="dxa"/>
            <w:shd w:val="clear" w:color="auto" w:fill="C6EFCE"/>
          </w:tcPr>
          <w:p w14:paraId="008092BD" w14:textId="77777777" w:rsidR="003E1D81" w:rsidRDefault="00EB481C">
            <w:pPr>
              <w:pStyle w:val="P68B1DB1-Normal13"/>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5F8A0532"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4CF63345" w14:textId="2BE93766" w:rsidR="003E1D81" w:rsidRDefault="00EB481C">
            <w:pPr>
              <w:pStyle w:val="P68B1DB1-Normal13"/>
              <w:spacing w:after="0" w:line="240" w:lineRule="auto"/>
              <w:textAlignment w:val="baseline"/>
              <w:rPr>
                <w:rFonts w:eastAsia="Times New Roman" w:cs="Times New Roman"/>
                <w:noProof/>
              </w:rPr>
            </w:pPr>
            <w:r>
              <w:rPr>
                <w:noProof/>
              </w:rPr>
              <w:t>Foco – A végső kedvezményezettekkel (beleértve a tőkealapokat is) aláírt jogi megállapodások (II)</w:t>
            </w:r>
          </w:p>
        </w:tc>
        <w:tc>
          <w:tcPr>
            <w:tcW w:w="1134" w:type="dxa"/>
            <w:shd w:val="clear" w:color="auto" w:fill="C6EFCE"/>
          </w:tcPr>
          <w:p w14:paraId="1C19B6C9" w14:textId="11CE6039"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185F2E5" w14:textId="354E27A0" w:rsidR="003E1D81" w:rsidRDefault="00EB481C">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2AC405AC" w14:textId="1252F274" w:rsidR="003E1D81" w:rsidRDefault="00EB481C">
            <w:pPr>
              <w:pStyle w:val="P68B1DB1-Normal13"/>
              <w:spacing w:after="0" w:line="240" w:lineRule="auto"/>
              <w:jc w:val="center"/>
              <w:textAlignment w:val="baseline"/>
              <w:rPr>
                <w:rFonts w:eastAsia="Times New Roman" w:cs="Times New Roman"/>
                <w:noProof/>
              </w:rPr>
            </w:pPr>
            <w:r>
              <w:rPr>
                <w:noProof/>
              </w:rPr>
              <w:t>50%</w:t>
            </w:r>
          </w:p>
        </w:tc>
        <w:tc>
          <w:tcPr>
            <w:tcW w:w="709" w:type="dxa"/>
            <w:shd w:val="clear" w:color="auto" w:fill="C6EFCE"/>
          </w:tcPr>
          <w:p w14:paraId="3D1A6017" w14:textId="0F9BBE4D" w:rsidR="003E1D81" w:rsidRDefault="00EB481C">
            <w:pPr>
              <w:pStyle w:val="P68B1DB1-Normal13"/>
              <w:spacing w:after="0" w:line="240" w:lineRule="auto"/>
              <w:jc w:val="right"/>
              <w:textAlignment w:val="baseline"/>
              <w:rPr>
                <w:rFonts w:eastAsia="Times New Roman" w:cs="Times New Roman"/>
                <w:noProof/>
              </w:rPr>
            </w:pPr>
            <w:r>
              <w:rPr>
                <w:noProof/>
              </w:rPr>
              <w:t>100%-OS</w:t>
            </w:r>
          </w:p>
        </w:tc>
        <w:tc>
          <w:tcPr>
            <w:tcW w:w="709" w:type="dxa"/>
            <w:shd w:val="clear" w:color="auto" w:fill="C6EFCE"/>
          </w:tcPr>
          <w:p w14:paraId="37E52C92" w14:textId="0EDCC6CE"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6DEBAB30" w14:textId="77777777"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5133B97" w14:textId="2D09A65B" w:rsidR="003E1D81" w:rsidRDefault="00EB481C">
            <w:pPr>
              <w:pStyle w:val="P68B1DB1-Normal13"/>
              <w:spacing w:after="0" w:line="240" w:lineRule="auto"/>
              <w:textAlignment w:val="baseline"/>
              <w:rPr>
                <w:rFonts w:eastAsia="Times New Roman" w:cs="Times New Roman"/>
                <w:noProof/>
              </w:rPr>
            </w:pPr>
            <w:r>
              <w:rPr>
                <w:noProof/>
              </w:rPr>
              <w:t>Az eszköznek és a COFIDES által kiválasztott közvetítőknek jogi finanszírozási megállapodásokat kell kötniük a végső kedvezményezettekkel (beleértve a tőkealapokat is) a Helyreállítási és Rezilienciaépítési Eszközbe történő beruhá</w:t>
            </w:r>
            <w:r>
              <w:rPr>
                <w:noProof/>
              </w:rPr>
              <w:t>zás 100%-ának az eszközbe történő felhasználásához szükséges összegre (figyelembe véve az irányítási díjakat is). A finanszírozás legalább 20%-ának a tőkealapokkal aláírt finanszírozási megállapodásoknak, legalább 20%-ának pedig a végső kedvezményezettekke</w:t>
            </w:r>
            <w:r>
              <w:rPr>
                <w:noProof/>
              </w:rPr>
              <w:t>l kötött finanszírozási megállapodásoknak kell megfelelnie az összes többi befektetési termék (beleértve a Békekeret közvetlen tőkebefektetéseit is) tekintetében.</w:t>
            </w:r>
          </w:p>
        </w:tc>
      </w:tr>
      <w:tr w:rsidR="003E1D81" w14:paraId="413858E2" w14:textId="77777777">
        <w:trPr>
          <w:trHeight w:val="300"/>
        </w:trPr>
        <w:tc>
          <w:tcPr>
            <w:tcW w:w="846" w:type="dxa"/>
            <w:shd w:val="clear" w:color="auto" w:fill="C6EFCE"/>
          </w:tcPr>
          <w:p w14:paraId="679F761A" w14:textId="72994404" w:rsidR="003E1D81" w:rsidRDefault="00EB481C">
            <w:pPr>
              <w:pStyle w:val="P68B1DB1-Normal13"/>
              <w:spacing w:after="0" w:line="240" w:lineRule="auto"/>
              <w:jc w:val="center"/>
              <w:textAlignment w:val="baseline"/>
              <w:rPr>
                <w:rFonts w:eastAsia="Times New Roman" w:cs="Times New Roman"/>
                <w:noProof/>
              </w:rPr>
            </w:pPr>
            <w:r>
              <w:rPr>
                <w:noProof/>
              </w:rPr>
              <w:t>L43</w:t>
            </w:r>
          </w:p>
        </w:tc>
        <w:tc>
          <w:tcPr>
            <w:tcW w:w="850" w:type="dxa"/>
            <w:shd w:val="clear" w:color="auto" w:fill="C6EFCE"/>
          </w:tcPr>
          <w:p w14:paraId="6B82B99B" w14:textId="77777777" w:rsidR="003E1D81" w:rsidRDefault="00EB481C">
            <w:pPr>
              <w:pStyle w:val="P68B1DB1-Normal13"/>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11175A4F"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47F04ADC" w14:textId="2CFEFE6D" w:rsidR="003E1D81" w:rsidRDefault="00EB481C">
            <w:pPr>
              <w:pStyle w:val="P68B1DB1-Normal13"/>
              <w:spacing w:after="0" w:line="240" w:lineRule="auto"/>
              <w:textAlignment w:val="baseline"/>
              <w:rPr>
                <w:rFonts w:eastAsia="Times New Roman" w:cs="Times New Roman"/>
                <w:noProof/>
              </w:rPr>
            </w:pPr>
            <w:r>
              <w:rPr>
                <w:noProof/>
              </w:rPr>
              <w:t>Foco – a minisztérium befejezte a beruházást.</w:t>
            </w:r>
          </w:p>
        </w:tc>
        <w:tc>
          <w:tcPr>
            <w:tcW w:w="1134" w:type="dxa"/>
            <w:shd w:val="clear" w:color="auto" w:fill="C6EFCE"/>
          </w:tcPr>
          <w:p w14:paraId="6874C2AB" w14:textId="5F59CDA8" w:rsidR="003E1D81" w:rsidRDefault="00EB481C">
            <w:pPr>
              <w:pStyle w:val="P68B1DB1-Normal13"/>
              <w:spacing w:after="0" w:line="240" w:lineRule="auto"/>
              <w:jc w:val="center"/>
              <w:textAlignment w:val="baseline"/>
              <w:rPr>
                <w:rFonts w:eastAsia="Times New Roman" w:cs="Times New Roman"/>
                <w:noProof/>
              </w:rPr>
            </w:pPr>
            <w:r>
              <w:rPr>
                <w:noProof/>
              </w:rPr>
              <w:t>Átadási igazolás</w:t>
            </w:r>
          </w:p>
        </w:tc>
        <w:tc>
          <w:tcPr>
            <w:tcW w:w="709" w:type="dxa"/>
            <w:shd w:val="clear" w:color="auto" w:fill="C6EFCE"/>
          </w:tcPr>
          <w:p w14:paraId="625D17C6" w14:textId="6FFA06D2"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2865F839"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AF06EC2" w14:textId="65E4AC7C"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4D5F054" w14:textId="46C375E6"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3E719710" w14:textId="77777777"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26BD24C5" w14:textId="01188F1C" w:rsidR="003E1D81" w:rsidRDefault="00EB481C">
            <w:pPr>
              <w:pStyle w:val="P68B1DB1-Normal13"/>
              <w:spacing w:after="0" w:line="240" w:lineRule="auto"/>
              <w:textAlignment w:val="baseline"/>
              <w:rPr>
                <w:rFonts w:eastAsia="Times New Roman" w:cs="Times New Roman"/>
                <w:noProof/>
              </w:rPr>
            </w:pPr>
            <w:r>
              <w:rPr>
                <w:noProof/>
              </w:rPr>
              <w:t>Spanyolország 2 000 000 000 EUR-t csoportosít át a Békekeretbe.</w:t>
            </w:r>
          </w:p>
        </w:tc>
      </w:tr>
      <w:tr w:rsidR="003E1D81" w14:paraId="674A0CA5" w14:textId="77777777">
        <w:trPr>
          <w:trHeight w:val="1829"/>
        </w:trPr>
        <w:tc>
          <w:tcPr>
            <w:tcW w:w="846" w:type="dxa"/>
            <w:shd w:val="clear" w:color="auto" w:fill="C6EFCE"/>
          </w:tcPr>
          <w:p w14:paraId="29B69C3C" w14:textId="35DF434C" w:rsidR="003E1D81" w:rsidRDefault="00EB481C">
            <w:pPr>
              <w:pStyle w:val="P68B1DB1-Normal13"/>
              <w:spacing w:after="0" w:line="240" w:lineRule="auto"/>
              <w:jc w:val="center"/>
              <w:textAlignment w:val="baseline"/>
              <w:rPr>
                <w:rFonts w:eastAsia="Times New Roman" w:cs="Times New Roman"/>
                <w:noProof/>
              </w:rPr>
            </w:pPr>
            <w:bookmarkStart w:id="45" w:name="_Hlk144798525"/>
            <w:r>
              <w:rPr>
                <w:noProof/>
              </w:rPr>
              <w:t>L44.</w:t>
            </w:r>
          </w:p>
        </w:tc>
        <w:tc>
          <w:tcPr>
            <w:tcW w:w="850" w:type="dxa"/>
            <w:shd w:val="clear" w:color="auto" w:fill="C6EFCE"/>
          </w:tcPr>
          <w:p w14:paraId="5D94843C" w14:textId="77777777" w:rsidR="003E1D81" w:rsidRDefault="00EB481C">
            <w:pPr>
              <w:pStyle w:val="P68B1DB1-Normal13"/>
              <w:spacing w:after="0" w:line="240" w:lineRule="auto"/>
              <w:jc w:val="center"/>
              <w:textAlignment w:val="baseline"/>
              <w:rPr>
                <w:rFonts w:eastAsia="Times New Roman" w:cs="Times New Roman"/>
                <w:noProof/>
              </w:rPr>
            </w:pPr>
            <w:r>
              <w:rPr>
                <w:noProof/>
              </w:rPr>
              <w:t>C13.I9</w:t>
            </w:r>
          </w:p>
        </w:tc>
        <w:tc>
          <w:tcPr>
            <w:tcW w:w="851" w:type="dxa"/>
            <w:shd w:val="clear" w:color="auto" w:fill="C6EFCE"/>
          </w:tcPr>
          <w:p w14:paraId="25A1D4DB"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4C6F8DFB" w14:textId="77777777" w:rsidR="003E1D81" w:rsidRDefault="00EB481C">
            <w:pPr>
              <w:pStyle w:val="P68B1DB1-Normal13"/>
              <w:spacing w:after="0" w:line="240" w:lineRule="auto"/>
              <w:textAlignment w:val="baseline"/>
              <w:rPr>
                <w:rFonts w:eastAsia="Times New Roman" w:cs="Times New Roman"/>
                <w:noProof/>
              </w:rPr>
            </w:pPr>
            <w:r>
              <w:rPr>
                <w:noProof/>
              </w:rPr>
              <w:t>Fizetőképesség-támogatási Alap a stratégiai vállalkozások számára</w:t>
            </w:r>
          </w:p>
        </w:tc>
        <w:tc>
          <w:tcPr>
            <w:tcW w:w="1134" w:type="dxa"/>
            <w:shd w:val="clear" w:color="auto" w:fill="C6EFCE"/>
          </w:tcPr>
          <w:p w14:paraId="6EA6A767"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0A7116BA" w14:textId="77777777" w:rsidR="003E1D81" w:rsidRDefault="00EB481C">
            <w:pPr>
              <w:pStyle w:val="P68B1DB1-Normal13"/>
              <w:spacing w:after="0" w:line="240" w:lineRule="auto"/>
              <w:jc w:val="center"/>
              <w:textAlignment w:val="baseline"/>
              <w:rPr>
                <w:rFonts w:eastAsia="Times New Roman" w:cs="Times New Roman"/>
                <w:noProof/>
              </w:rPr>
            </w:pPr>
            <w:r>
              <w:rPr>
                <w:noProof/>
              </w:rPr>
              <w:t>Millió EUR</w:t>
            </w:r>
          </w:p>
        </w:tc>
        <w:tc>
          <w:tcPr>
            <w:tcW w:w="708" w:type="dxa"/>
            <w:shd w:val="clear" w:color="auto" w:fill="C6EFCE"/>
          </w:tcPr>
          <w:p w14:paraId="2F819E3C" w14:textId="77777777" w:rsidR="003E1D81" w:rsidRDefault="00EB481C">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1AA03446" w14:textId="77777777" w:rsidR="003E1D81" w:rsidRDefault="00EB481C">
            <w:pPr>
              <w:pStyle w:val="P68B1DB1-Normal13"/>
              <w:spacing w:after="0" w:line="240" w:lineRule="auto"/>
              <w:jc w:val="right"/>
              <w:textAlignment w:val="baseline"/>
              <w:rPr>
                <w:rFonts w:eastAsia="Times New Roman" w:cs="Times New Roman"/>
                <w:noProof/>
              </w:rPr>
            </w:pPr>
            <w:r>
              <w:rPr>
                <w:noProof/>
              </w:rPr>
              <w:t>563</w:t>
            </w:r>
          </w:p>
        </w:tc>
        <w:tc>
          <w:tcPr>
            <w:tcW w:w="709" w:type="dxa"/>
            <w:shd w:val="clear" w:color="auto" w:fill="C6EFCE"/>
          </w:tcPr>
          <w:p w14:paraId="0F02180E" w14:textId="77777777" w:rsidR="003E1D81" w:rsidRDefault="00EB481C">
            <w:pPr>
              <w:pStyle w:val="P68B1DB1-Normal13"/>
              <w:spacing w:after="0" w:line="240" w:lineRule="auto"/>
              <w:jc w:val="center"/>
              <w:textAlignment w:val="baseline"/>
              <w:rPr>
                <w:rFonts w:eastAsia="Times New Roman" w:cs="Times New Roman"/>
                <w:noProof/>
              </w:rPr>
            </w:pPr>
            <w:r>
              <w:rPr>
                <w:noProof/>
              </w:rPr>
              <w:t>KÉRDÉS</w:t>
            </w:r>
          </w:p>
        </w:tc>
        <w:tc>
          <w:tcPr>
            <w:tcW w:w="709" w:type="dxa"/>
            <w:shd w:val="clear" w:color="auto" w:fill="C6EFCE"/>
          </w:tcPr>
          <w:p w14:paraId="5E619485" w14:textId="77777777" w:rsidR="003E1D81" w:rsidRDefault="00EB481C">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608B9E70" w14:textId="751A3453" w:rsidR="003E1D81" w:rsidRDefault="00EB481C">
            <w:pPr>
              <w:pStyle w:val="P68B1DB1-Normal13"/>
              <w:spacing w:line="240" w:lineRule="auto"/>
              <w:rPr>
                <w:rFonts w:eastAsia="Times New Roman" w:cs="Times New Roman"/>
                <w:noProof/>
              </w:rPr>
            </w:pPr>
            <w:r>
              <w:rPr>
                <w:noProof/>
              </w:rPr>
              <w:t>A FASEE keretében a Helyreállítási és Rezilienciaépítési Eszköz keretében támogatható műveletekből legalább 563 300 000 EUR-t folyósítottak a végső kedvezményezetteknek. Egy független ellenőr által végzett utólagos ellenőrzésnek meg kell erősítenie legaláb</w:t>
            </w:r>
            <w:r>
              <w:rPr>
                <w:noProof/>
              </w:rPr>
              <w:t>b a DNSH-nak, az állami támogatási szabályoknak, a csalás, a korrupció, az összeférhetetlenség és a kettős finanszírozás hiányának, valamint a Helyreállítási és Rezilienciaépítési Eszköz 22. cikkében meghatározott adatgyűjtésnek való megfelelést. Az utólag</w:t>
            </w:r>
            <w:r>
              <w:rPr>
                <w:noProof/>
              </w:rPr>
              <w:t xml:space="preserve">os ellenőrzés során ellenőrizni kell, hogy csak olyan vállalkozások részesültek támogatásban, amelyek a támogatás odaítélésének időpontjában életképesek és stratégiaiak voltak a nemzeti vagy regionális termelési szerkezet szempontjából. </w:t>
            </w:r>
          </w:p>
        </w:tc>
      </w:tr>
      <w:tr w:rsidR="003E1D81" w14:paraId="3973BF9B" w14:textId="77777777">
        <w:trPr>
          <w:trHeight w:val="300"/>
        </w:trPr>
        <w:tc>
          <w:tcPr>
            <w:tcW w:w="846" w:type="dxa"/>
            <w:shd w:val="clear" w:color="auto" w:fill="C6EFCE"/>
          </w:tcPr>
          <w:p w14:paraId="1ED40D9B" w14:textId="0F2A4A88" w:rsidR="003E1D81" w:rsidRDefault="00EB481C">
            <w:pPr>
              <w:pStyle w:val="P68B1DB1-Normal13"/>
              <w:spacing w:after="0" w:line="240" w:lineRule="auto"/>
              <w:jc w:val="center"/>
              <w:textAlignment w:val="baseline"/>
              <w:rPr>
                <w:rFonts w:eastAsia="Times New Roman" w:cs="Times New Roman"/>
                <w:noProof/>
              </w:rPr>
            </w:pPr>
            <w:r>
              <w:rPr>
                <w:noProof/>
              </w:rPr>
              <w:t>L45</w:t>
            </w:r>
          </w:p>
        </w:tc>
        <w:tc>
          <w:tcPr>
            <w:tcW w:w="850" w:type="dxa"/>
            <w:shd w:val="clear" w:color="auto" w:fill="C6EFCE"/>
          </w:tcPr>
          <w:p w14:paraId="481AA9DB" w14:textId="77777777" w:rsidR="003E1D81" w:rsidRDefault="00EB481C">
            <w:pPr>
              <w:pStyle w:val="P68B1DB1-Normal13"/>
              <w:spacing w:after="0" w:line="240" w:lineRule="auto"/>
              <w:jc w:val="center"/>
              <w:textAlignment w:val="baseline"/>
              <w:rPr>
                <w:rFonts w:eastAsia="Times New Roman" w:cs="Times New Roman"/>
                <w:noProof/>
              </w:rPr>
            </w:pPr>
            <w:r>
              <w:rPr>
                <w:noProof/>
              </w:rPr>
              <w:t>C13.I10</w:t>
            </w:r>
          </w:p>
        </w:tc>
        <w:tc>
          <w:tcPr>
            <w:tcW w:w="851" w:type="dxa"/>
            <w:shd w:val="clear" w:color="auto" w:fill="C6EFCE"/>
          </w:tcPr>
          <w:p w14:paraId="41F31964"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2621DB36" w14:textId="77777777" w:rsidR="003E1D81" w:rsidRDefault="00EB481C">
            <w:pPr>
              <w:pStyle w:val="P68B1DB1-Normal13"/>
              <w:spacing w:after="0" w:line="240" w:lineRule="auto"/>
              <w:textAlignment w:val="baseline"/>
              <w:rPr>
                <w:rFonts w:eastAsia="Times New Roman" w:cs="Times New Roman"/>
                <w:noProof/>
              </w:rPr>
            </w:pPr>
            <w:r>
              <w:rPr>
                <w:noProof/>
              </w:rPr>
              <w:t>FONREC</w:t>
            </w:r>
          </w:p>
        </w:tc>
        <w:tc>
          <w:tcPr>
            <w:tcW w:w="1134" w:type="dxa"/>
            <w:shd w:val="clear" w:color="auto" w:fill="C6EFCE"/>
          </w:tcPr>
          <w:p w14:paraId="7BE35DD6"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C93D5EC" w14:textId="77777777" w:rsidR="003E1D81" w:rsidRDefault="00EB481C">
            <w:pPr>
              <w:pStyle w:val="P68B1DB1-Normal13"/>
              <w:spacing w:after="0" w:line="240" w:lineRule="auto"/>
              <w:jc w:val="center"/>
              <w:textAlignment w:val="baseline"/>
              <w:rPr>
                <w:rFonts w:eastAsia="Times New Roman" w:cs="Times New Roman"/>
                <w:noProof/>
              </w:rPr>
            </w:pPr>
            <w:r>
              <w:rPr>
                <w:noProof/>
              </w:rPr>
              <w:t>Millió EUR</w:t>
            </w:r>
          </w:p>
        </w:tc>
        <w:tc>
          <w:tcPr>
            <w:tcW w:w="708" w:type="dxa"/>
            <w:shd w:val="clear" w:color="auto" w:fill="C6EFCE"/>
          </w:tcPr>
          <w:p w14:paraId="2E82B041" w14:textId="77777777" w:rsidR="003E1D81" w:rsidRDefault="00EB481C">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66B06835" w14:textId="538EC0B6" w:rsidR="003E1D81" w:rsidRDefault="00EB481C">
            <w:pPr>
              <w:pStyle w:val="P68B1DB1-Normal13"/>
              <w:spacing w:after="0" w:line="240" w:lineRule="auto"/>
              <w:jc w:val="right"/>
              <w:textAlignment w:val="baseline"/>
              <w:rPr>
                <w:rFonts w:eastAsia="Times New Roman" w:cs="Times New Roman"/>
                <w:noProof/>
              </w:rPr>
            </w:pPr>
            <w:r>
              <w:rPr>
                <w:noProof/>
              </w:rPr>
              <w:t>457,01</w:t>
            </w:r>
          </w:p>
        </w:tc>
        <w:tc>
          <w:tcPr>
            <w:tcW w:w="709" w:type="dxa"/>
            <w:shd w:val="clear" w:color="auto" w:fill="C6EFCE"/>
          </w:tcPr>
          <w:p w14:paraId="189A94BE" w14:textId="77777777" w:rsidR="003E1D81" w:rsidRDefault="00EB481C">
            <w:pPr>
              <w:pStyle w:val="P68B1DB1-Normal13"/>
              <w:spacing w:after="0" w:line="240" w:lineRule="auto"/>
              <w:jc w:val="center"/>
              <w:textAlignment w:val="baseline"/>
              <w:rPr>
                <w:rFonts w:eastAsia="Times New Roman" w:cs="Times New Roman"/>
                <w:noProof/>
              </w:rPr>
            </w:pPr>
            <w:r>
              <w:rPr>
                <w:noProof/>
              </w:rPr>
              <w:t>KÉRDÉS</w:t>
            </w:r>
          </w:p>
        </w:tc>
        <w:tc>
          <w:tcPr>
            <w:tcW w:w="709" w:type="dxa"/>
            <w:shd w:val="clear" w:color="auto" w:fill="C6EFCE"/>
          </w:tcPr>
          <w:p w14:paraId="7D490E8B" w14:textId="369B1A9E" w:rsidR="003E1D81" w:rsidRDefault="00EB481C">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76BFDC4F" w14:textId="2BBDB0FB" w:rsidR="003E1D81" w:rsidRDefault="00EB481C">
            <w:pPr>
              <w:pStyle w:val="P68B1DB1-Normal13"/>
              <w:spacing w:after="0" w:line="240" w:lineRule="auto"/>
              <w:textAlignment w:val="baseline"/>
              <w:rPr>
                <w:rFonts w:eastAsia="Times New Roman" w:cs="Times New Roman"/>
                <w:noProof/>
              </w:rPr>
            </w:pPr>
            <w:r>
              <w:rPr>
                <w:noProof/>
              </w:rPr>
              <w:t xml:space="preserve">A FONREC keretében a Helyreállítási és Rezilienciaépítési Eszköz keretében támogatható műveletekből legalább 457 010 000 EUR-t folyósítottak a végső kedvezményezetteknek. Egy független ellenőr által végzett utólagos </w:t>
            </w:r>
            <w:r>
              <w:rPr>
                <w:noProof/>
              </w:rPr>
              <w:t>ellenőrzésnek meg kell erősítenie legalább a DNSH-nak, az állami támogatási szabályoknak, a csalás, a korrupció, az összeférhetetlenség és a kettős finanszírozás hiányának, valamint a Helyreállítási és Rezilienciaépítési Eszköz 22. cikkében meghatározott a</w:t>
            </w:r>
            <w:r>
              <w:rPr>
                <w:noProof/>
              </w:rPr>
              <w:t>datgyűjtésnek való megfelelést. Az utólagos ellenőrzés során ellenőrizni kell, hogy csak az eszköz jogi kerete alapján támogatásra jogosult vállalkozások részesültek-e támogatásban.</w:t>
            </w:r>
          </w:p>
        </w:tc>
      </w:tr>
      <w:bookmarkEnd w:id="45"/>
      <w:tr w:rsidR="003E1D81" w14:paraId="6C5071F8" w14:textId="77777777">
        <w:trPr>
          <w:trHeight w:val="300"/>
        </w:trPr>
        <w:tc>
          <w:tcPr>
            <w:tcW w:w="846" w:type="dxa"/>
            <w:shd w:val="clear" w:color="auto" w:fill="C6EFCE"/>
          </w:tcPr>
          <w:p w14:paraId="288A6F5B" w14:textId="49A414C5" w:rsidR="003E1D81" w:rsidRDefault="00EB481C">
            <w:pPr>
              <w:pStyle w:val="P68B1DB1-Normal13"/>
              <w:spacing w:after="0" w:line="240" w:lineRule="auto"/>
              <w:jc w:val="center"/>
              <w:textAlignment w:val="baseline"/>
              <w:rPr>
                <w:rFonts w:eastAsia="Times New Roman" w:cs="Times New Roman"/>
                <w:noProof/>
              </w:rPr>
            </w:pPr>
            <w:r>
              <w:rPr>
                <w:noProof/>
              </w:rPr>
              <w:t>L46</w:t>
            </w:r>
          </w:p>
        </w:tc>
        <w:tc>
          <w:tcPr>
            <w:tcW w:w="850" w:type="dxa"/>
            <w:shd w:val="clear" w:color="auto" w:fill="C6EFCE"/>
          </w:tcPr>
          <w:p w14:paraId="61DECBED" w14:textId="77777777" w:rsidR="003E1D81" w:rsidRDefault="00EB481C">
            <w:pPr>
              <w:pStyle w:val="P68B1DB1-Normal13"/>
              <w:spacing w:after="0" w:line="240" w:lineRule="auto"/>
              <w:jc w:val="center"/>
              <w:textAlignment w:val="baseline"/>
              <w:rPr>
                <w:rFonts w:eastAsia="Times New Roman" w:cs="Times New Roman"/>
                <w:noProof/>
              </w:rPr>
            </w:pPr>
            <w:r>
              <w:rPr>
                <w:noProof/>
              </w:rPr>
              <w:t>C13.I11</w:t>
            </w:r>
          </w:p>
        </w:tc>
        <w:tc>
          <w:tcPr>
            <w:tcW w:w="851" w:type="dxa"/>
            <w:shd w:val="clear" w:color="auto" w:fill="C6EFCE"/>
          </w:tcPr>
          <w:p w14:paraId="3B422315"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7348AA40" w14:textId="77777777" w:rsidR="003E1D81" w:rsidRDefault="00EB481C">
            <w:pPr>
              <w:pStyle w:val="P68B1DB1-Normal13"/>
              <w:spacing w:after="0" w:line="240" w:lineRule="auto"/>
              <w:textAlignment w:val="baseline"/>
              <w:rPr>
                <w:rFonts w:eastAsia="Times New Roman" w:cs="Times New Roman"/>
                <w:noProof/>
              </w:rPr>
            </w:pPr>
            <w:r>
              <w:rPr>
                <w:noProof/>
              </w:rPr>
              <w:t>CERSA</w:t>
            </w:r>
          </w:p>
        </w:tc>
        <w:tc>
          <w:tcPr>
            <w:tcW w:w="1134" w:type="dxa"/>
            <w:shd w:val="clear" w:color="auto" w:fill="C6EFCE"/>
          </w:tcPr>
          <w:p w14:paraId="45B86058"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D54FCFD" w14:textId="77777777" w:rsidR="003E1D81" w:rsidRDefault="00EB481C">
            <w:pPr>
              <w:pStyle w:val="P68B1DB1-Normal13"/>
              <w:spacing w:after="0" w:line="240" w:lineRule="auto"/>
              <w:jc w:val="center"/>
              <w:textAlignment w:val="baseline"/>
              <w:rPr>
                <w:rFonts w:eastAsia="Times New Roman" w:cs="Times New Roman"/>
                <w:noProof/>
              </w:rPr>
            </w:pPr>
            <w:r>
              <w:rPr>
                <w:noProof/>
              </w:rPr>
              <w:t>Millió EUR</w:t>
            </w:r>
          </w:p>
        </w:tc>
        <w:tc>
          <w:tcPr>
            <w:tcW w:w="708" w:type="dxa"/>
            <w:shd w:val="clear" w:color="auto" w:fill="C6EFCE"/>
          </w:tcPr>
          <w:p w14:paraId="507A5AC3" w14:textId="77777777" w:rsidR="003E1D81" w:rsidRDefault="00EB481C">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00F8D76A" w14:textId="1E69D12F" w:rsidR="003E1D81" w:rsidRDefault="00EB481C">
            <w:pPr>
              <w:pStyle w:val="P68B1DB1-Normal13"/>
              <w:spacing w:after="0" w:line="240" w:lineRule="auto"/>
              <w:jc w:val="right"/>
              <w:textAlignment w:val="baseline"/>
              <w:rPr>
                <w:rFonts w:eastAsia="Times New Roman" w:cs="Times New Roman"/>
                <w:noProof/>
              </w:rPr>
            </w:pPr>
            <w:r>
              <w:rPr>
                <w:noProof/>
              </w:rPr>
              <w:t>2 100</w:t>
            </w:r>
          </w:p>
        </w:tc>
        <w:tc>
          <w:tcPr>
            <w:tcW w:w="709" w:type="dxa"/>
            <w:shd w:val="clear" w:color="auto" w:fill="C6EFCE"/>
          </w:tcPr>
          <w:p w14:paraId="656CB88D" w14:textId="61A4346F"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16F0D829" w14:textId="77777777"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3A190137" w14:textId="6C56AE2C" w:rsidR="003E1D81" w:rsidRDefault="00EB481C">
            <w:pPr>
              <w:pStyle w:val="P68B1DB1-Normal13"/>
              <w:spacing w:after="0" w:line="240" w:lineRule="auto"/>
              <w:rPr>
                <w:rFonts w:eastAsia="Times New Roman" w:cs="Times New Roman"/>
                <w:noProof/>
              </w:rPr>
            </w:pPr>
            <w:r>
              <w:rPr>
                <w:noProof/>
              </w:rPr>
              <w:t xml:space="preserve">CERSA-garancia: A </w:t>
            </w:r>
            <w:r>
              <w:rPr>
                <w:noProof/>
              </w:rPr>
              <w:t>CERSA által 2023. július 1-jétől nyújtott legalább 2 100 000 000 EUR összegű garancia, amely lehetővé teszi a kkv-k és a közepes piaci tőkeértékű vállalatok számára, hogy hosszú távú befektetésekhez és működő tőkéhez, valamint pénzügyi, kereskedelmi és tec</w:t>
            </w:r>
            <w:r>
              <w:rPr>
                <w:noProof/>
              </w:rPr>
              <w:t xml:space="preserve">hnikai garanciákhoz jussanak. A kiválasztási kritériumoknak biztosítaniuk kell az ezen intézkedés keretében támogatott ügyletekre vonatkozó, a jelentős károkozás elkerülését célzó technikai iránymutatásnak (2021/C58/01) való megfelelést egy kizárási lista </w:t>
            </w:r>
            <w:r>
              <w:rPr>
                <w:noProof/>
              </w:rPr>
              <w:t>használata révén, valamint a vonatkozó uniós és nemzeti környezetvédelmi jogszabályoknak való megfelelés követelményét.</w:t>
            </w:r>
          </w:p>
        </w:tc>
      </w:tr>
      <w:tr w:rsidR="003E1D81" w14:paraId="5214E48A" w14:textId="77777777">
        <w:trPr>
          <w:trHeight w:val="300"/>
        </w:trPr>
        <w:tc>
          <w:tcPr>
            <w:tcW w:w="846" w:type="dxa"/>
            <w:shd w:val="clear" w:color="auto" w:fill="C6EFCE"/>
          </w:tcPr>
          <w:p w14:paraId="653132E0" w14:textId="4FDE57AF" w:rsidR="003E1D81" w:rsidRDefault="00EB481C">
            <w:pPr>
              <w:pStyle w:val="P68B1DB1-Normal13"/>
              <w:spacing w:after="0" w:line="240" w:lineRule="auto"/>
              <w:jc w:val="center"/>
              <w:textAlignment w:val="baseline"/>
              <w:rPr>
                <w:rFonts w:eastAsia="Times New Roman" w:cs="Times New Roman"/>
                <w:noProof/>
              </w:rPr>
            </w:pPr>
            <w:r>
              <w:rPr>
                <w:noProof/>
              </w:rPr>
              <w:t>L47.</w:t>
            </w:r>
          </w:p>
        </w:tc>
        <w:tc>
          <w:tcPr>
            <w:tcW w:w="850" w:type="dxa"/>
            <w:shd w:val="clear" w:color="auto" w:fill="C6EFCE"/>
          </w:tcPr>
          <w:p w14:paraId="2B7997EA" w14:textId="77777777" w:rsidR="003E1D81" w:rsidRDefault="00EB481C">
            <w:pPr>
              <w:pStyle w:val="P68B1DB1-Normal13"/>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72C5ABFE" w14:textId="77777777" w:rsidR="003E1D81" w:rsidRDefault="00EB481C">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24643420" w14:textId="56F46F61" w:rsidR="003E1D81" w:rsidRDefault="00EB481C">
            <w:pPr>
              <w:pStyle w:val="P68B1DB1-Normal13"/>
              <w:spacing w:after="0" w:line="240" w:lineRule="auto"/>
              <w:textAlignment w:val="baseline"/>
              <w:rPr>
                <w:rFonts w:eastAsia="Times New Roman" w:cs="Times New Roman"/>
                <w:noProof/>
              </w:rPr>
            </w:pPr>
            <w:r>
              <w:rPr>
                <w:noProof/>
              </w:rPr>
              <w:t>ENISA Vállalkozói és Kkv-alap – Végrehajtási megállapodás</w:t>
            </w:r>
          </w:p>
        </w:tc>
        <w:tc>
          <w:tcPr>
            <w:tcW w:w="1134" w:type="dxa"/>
            <w:shd w:val="clear" w:color="auto" w:fill="C6EFCE"/>
          </w:tcPr>
          <w:p w14:paraId="3330650D" w14:textId="6E61FA20" w:rsidR="003E1D81" w:rsidRDefault="00EB481C">
            <w:pPr>
              <w:pStyle w:val="P68B1DB1-Normal13"/>
              <w:spacing w:after="0" w:line="240" w:lineRule="auto"/>
              <w:jc w:val="center"/>
              <w:textAlignment w:val="baseline"/>
              <w:rPr>
                <w:rFonts w:eastAsia="Times New Roman" w:cs="Times New Roman"/>
                <w:noProof/>
              </w:rPr>
            </w:pPr>
            <w:r>
              <w:rPr>
                <w:noProof/>
              </w:rPr>
              <w:t>A végrehajtási megállapodás hatálybalépése</w:t>
            </w:r>
          </w:p>
        </w:tc>
        <w:tc>
          <w:tcPr>
            <w:tcW w:w="709" w:type="dxa"/>
            <w:shd w:val="clear" w:color="auto" w:fill="C6EFCE"/>
          </w:tcPr>
          <w:p w14:paraId="62A16AC1"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65894F71"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FB9A061"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F4A8C84" w14:textId="737C7CC8" w:rsidR="003E1D81" w:rsidRDefault="00EB481C">
            <w:pPr>
              <w:pStyle w:val="P68B1DB1-Normal13"/>
              <w:spacing w:after="0" w:line="240" w:lineRule="auto"/>
              <w:jc w:val="center"/>
              <w:textAlignment w:val="baseline"/>
              <w:rPr>
                <w:rFonts w:eastAsia="Times New Roman" w:cs="Times New Roman"/>
                <w:noProof/>
              </w:rPr>
            </w:pPr>
            <w:r>
              <w:rPr>
                <w:noProof/>
              </w:rPr>
              <w:t>KÉRDÉS</w:t>
            </w:r>
          </w:p>
        </w:tc>
        <w:tc>
          <w:tcPr>
            <w:tcW w:w="709" w:type="dxa"/>
            <w:shd w:val="clear" w:color="auto" w:fill="C6EFCE"/>
          </w:tcPr>
          <w:p w14:paraId="19FD97A5" w14:textId="09CC0B88" w:rsidR="003E1D81" w:rsidRDefault="00EB481C">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30AF59CD" w14:textId="73FAF2A6" w:rsidR="003E1D81" w:rsidRDefault="00EB481C">
            <w:pPr>
              <w:pStyle w:val="P68B1DB1-Normal13"/>
              <w:spacing w:line="240" w:lineRule="auto"/>
              <w:rPr>
                <w:rFonts w:cs="Times New Roman"/>
                <w:noProof/>
              </w:rPr>
            </w:pPr>
            <w:r>
              <w:rPr>
                <w:noProof/>
              </w:rPr>
              <w:t xml:space="preserve">A </w:t>
            </w:r>
            <w:r>
              <w:rPr>
                <w:noProof/>
              </w:rPr>
              <w:t>végrehajtási megállapodás hatálybalépése.</w:t>
            </w:r>
          </w:p>
        </w:tc>
      </w:tr>
      <w:tr w:rsidR="003E1D81" w14:paraId="3A5852ED" w14:textId="77777777">
        <w:trPr>
          <w:trHeight w:val="300"/>
        </w:trPr>
        <w:tc>
          <w:tcPr>
            <w:tcW w:w="846" w:type="dxa"/>
            <w:shd w:val="clear" w:color="auto" w:fill="C6EFCE"/>
          </w:tcPr>
          <w:p w14:paraId="06905E86" w14:textId="312CD56D" w:rsidR="003E1D81" w:rsidRDefault="00EB481C">
            <w:pPr>
              <w:pStyle w:val="P68B1DB1-Normal13"/>
              <w:spacing w:after="0" w:line="240" w:lineRule="auto"/>
              <w:jc w:val="center"/>
              <w:textAlignment w:val="baseline"/>
              <w:rPr>
                <w:rFonts w:eastAsia="Times New Roman" w:cs="Times New Roman"/>
                <w:noProof/>
              </w:rPr>
            </w:pPr>
            <w:r>
              <w:rPr>
                <w:noProof/>
              </w:rPr>
              <w:t>L48.</w:t>
            </w:r>
          </w:p>
        </w:tc>
        <w:tc>
          <w:tcPr>
            <w:tcW w:w="850" w:type="dxa"/>
            <w:shd w:val="clear" w:color="auto" w:fill="C6EFCE"/>
          </w:tcPr>
          <w:p w14:paraId="6B86ECBB" w14:textId="77777777" w:rsidR="003E1D81" w:rsidRDefault="00EB481C">
            <w:pPr>
              <w:pStyle w:val="P68B1DB1-Normal13"/>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3234A8A9"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2937366F" w14:textId="1400C1EE" w:rsidR="003E1D81" w:rsidRDefault="00EB481C">
            <w:pPr>
              <w:pStyle w:val="P68B1DB1-Normal13"/>
              <w:spacing w:after="0" w:line="240" w:lineRule="auto"/>
              <w:textAlignment w:val="baseline"/>
              <w:rPr>
                <w:rFonts w:eastAsia="Times New Roman" w:cs="Times New Roman"/>
                <w:noProof/>
              </w:rPr>
            </w:pPr>
            <w:r>
              <w:rPr>
                <w:noProof/>
              </w:rPr>
              <w:t>ENISA Vállalkozói és Kkv-alap – A végső kedvezményezettekkel aláírt jogi megállapodások</w:t>
            </w:r>
          </w:p>
        </w:tc>
        <w:tc>
          <w:tcPr>
            <w:tcW w:w="1134" w:type="dxa"/>
            <w:shd w:val="clear" w:color="auto" w:fill="C6EFCE"/>
          </w:tcPr>
          <w:p w14:paraId="46300E66"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CA5433C"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2B112905" w14:textId="77777777" w:rsidR="003E1D81" w:rsidRDefault="00EB481C">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4C5F5E96" w14:textId="77777777" w:rsidR="003E1D81" w:rsidRDefault="00EB481C">
            <w:pPr>
              <w:pStyle w:val="P68B1DB1-Normal13"/>
              <w:spacing w:after="0" w:line="240" w:lineRule="auto"/>
              <w:jc w:val="right"/>
              <w:textAlignment w:val="baseline"/>
              <w:rPr>
                <w:rFonts w:eastAsia="Times New Roman" w:cs="Times New Roman"/>
                <w:noProof/>
              </w:rPr>
            </w:pPr>
            <w:r>
              <w:rPr>
                <w:noProof/>
              </w:rPr>
              <w:t>50%</w:t>
            </w:r>
          </w:p>
        </w:tc>
        <w:tc>
          <w:tcPr>
            <w:tcW w:w="709" w:type="dxa"/>
            <w:shd w:val="clear" w:color="auto" w:fill="C6EFCE"/>
          </w:tcPr>
          <w:p w14:paraId="01BC7C0F" w14:textId="77777777" w:rsidR="003E1D81" w:rsidRDefault="00EB481C">
            <w:pPr>
              <w:pStyle w:val="P68B1DB1-Normal13"/>
              <w:spacing w:after="0" w:line="240" w:lineRule="auto"/>
              <w:jc w:val="center"/>
              <w:textAlignment w:val="baseline"/>
              <w:rPr>
                <w:rFonts w:eastAsia="Times New Roman" w:cs="Times New Roman"/>
                <w:noProof/>
              </w:rPr>
            </w:pPr>
            <w:r>
              <w:rPr>
                <w:noProof/>
              </w:rPr>
              <w:t>KÉRDÉS</w:t>
            </w:r>
          </w:p>
        </w:tc>
        <w:tc>
          <w:tcPr>
            <w:tcW w:w="709" w:type="dxa"/>
            <w:shd w:val="clear" w:color="auto" w:fill="C6EFCE"/>
          </w:tcPr>
          <w:p w14:paraId="36EFFD94" w14:textId="77777777" w:rsidR="003E1D81" w:rsidRDefault="00EB481C">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2FDFDE1A" w14:textId="168CD4F7" w:rsidR="003E1D81" w:rsidRDefault="00EB481C">
            <w:pPr>
              <w:pStyle w:val="P68B1DB1-Normal13"/>
              <w:spacing w:after="0" w:line="240" w:lineRule="auto"/>
              <w:textAlignment w:val="baseline"/>
              <w:rPr>
                <w:rFonts w:eastAsia="Times New Roman" w:cs="Times New Roman"/>
                <w:noProof/>
              </w:rPr>
            </w:pPr>
            <w:r>
              <w:rPr>
                <w:noProof/>
              </w:rPr>
              <w:t>Az ENISA-nak jogi finanszírozási megállapodásokat kell kötnie a végső kedvezményezettekkel</w:t>
            </w:r>
            <w:r>
              <w:rPr>
                <w:noProof/>
              </w:rPr>
              <w:t xml:space="preserve"> a Helyreállítási és Rezilienciaépítési Eszközbe történő beruházás legalább 50%-ának az eszközbe történő felhasználásához szükséges összegről (figyelembe véve az irányítási díjakat).</w:t>
            </w:r>
          </w:p>
        </w:tc>
      </w:tr>
      <w:tr w:rsidR="003E1D81" w14:paraId="5CF5B340" w14:textId="77777777">
        <w:trPr>
          <w:trHeight w:val="300"/>
        </w:trPr>
        <w:tc>
          <w:tcPr>
            <w:tcW w:w="846" w:type="dxa"/>
            <w:shd w:val="clear" w:color="auto" w:fill="C6EFCE"/>
          </w:tcPr>
          <w:p w14:paraId="697232E0" w14:textId="08C37CC3" w:rsidR="003E1D81" w:rsidRDefault="00EB481C">
            <w:pPr>
              <w:pStyle w:val="P68B1DB1-Normal13"/>
              <w:spacing w:after="0" w:line="240" w:lineRule="auto"/>
              <w:jc w:val="center"/>
              <w:textAlignment w:val="baseline"/>
              <w:rPr>
                <w:rFonts w:eastAsia="Times New Roman" w:cs="Times New Roman"/>
                <w:noProof/>
              </w:rPr>
            </w:pPr>
            <w:r>
              <w:rPr>
                <w:noProof/>
              </w:rPr>
              <w:t>L49</w:t>
            </w:r>
          </w:p>
        </w:tc>
        <w:tc>
          <w:tcPr>
            <w:tcW w:w="850" w:type="dxa"/>
            <w:shd w:val="clear" w:color="auto" w:fill="C6EFCE"/>
          </w:tcPr>
          <w:p w14:paraId="5D16A0FA" w14:textId="77777777" w:rsidR="003E1D81" w:rsidRDefault="00EB481C">
            <w:pPr>
              <w:pStyle w:val="P68B1DB1-Normal13"/>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482A7C59"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20F140E5" w14:textId="2DF67F0A" w:rsidR="003E1D81" w:rsidRDefault="00EB481C">
            <w:pPr>
              <w:pStyle w:val="P68B1DB1-Normal13"/>
              <w:spacing w:after="0" w:line="240" w:lineRule="auto"/>
              <w:textAlignment w:val="baseline"/>
              <w:rPr>
                <w:rFonts w:eastAsia="Times New Roman" w:cs="Times New Roman"/>
                <w:noProof/>
              </w:rPr>
            </w:pPr>
            <w:r>
              <w:rPr>
                <w:noProof/>
              </w:rPr>
              <w:t xml:space="preserve">ENISA Vállalkozói és Kkv-alap – A végső </w:t>
            </w:r>
            <w:r>
              <w:rPr>
                <w:noProof/>
              </w:rPr>
              <w:t>kedvezményezettekkel aláírt jogi megállapodások</w:t>
            </w:r>
          </w:p>
        </w:tc>
        <w:tc>
          <w:tcPr>
            <w:tcW w:w="1134" w:type="dxa"/>
            <w:shd w:val="clear" w:color="auto" w:fill="C6EFCE"/>
          </w:tcPr>
          <w:p w14:paraId="62534D82"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0D15689"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69F1853B" w14:textId="77777777" w:rsidR="003E1D81" w:rsidRDefault="00EB481C">
            <w:pPr>
              <w:pStyle w:val="P68B1DB1-Normal13"/>
              <w:spacing w:after="0" w:line="240" w:lineRule="auto"/>
              <w:jc w:val="right"/>
              <w:textAlignment w:val="baseline"/>
              <w:rPr>
                <w:rFonts w:eastAsia="Times New Roman" w:cs="Times New Roman"/>
                <w:noProof/>
              </w:rPr>
            </w:pPr>
            <w:r>
              <w:rPr>
                <w:noProof/>
              </w:rPr>
              <w:t>50%</w:t>
            </w:r>
          </w:p>
        </w:tc>
        <w:tc>
          <w:tcPr>
            <w:tcW w:w="709" w:type="dxa"/>
            <w:shd w:val="clear" w:color="auto" w:fill="C6EFCE"/>
          </w:tcPr>
          <w:p w14:paraId="719122DD" w14:textId="77777777" w:rsidR="003E1D81" w:rsidRDefault="00EB481C">
            <w:pPr>
              <w:pStyle w:val="P68B1DB1-Normal13"/>
              <w:spacing w:after="0" w:line="240" w:lineRule="auto"/>
              <w:jc w:val="right"/>
              <w:textAlignment w:val="baseline"/>
              <w:rPr>
                <w:rFonts w:eastAsia="Times New Roman" w:cs="Times New Roman"/>
                <w:noProof/>
              </w:rPr>
            </w:pPr>
            <w:r>
              <w:rPr>
                <w:noProof/>
              </w:rPr>
              <w:t>100%-OS</w:t>
            </w:r>
          </w:p>
        </w:tc>
        <w:tc>
          <w:tcPr>
            <w:tcW w:w="709" w:type="dxa"/>
            <w:shd w:val="clear" w:color="auto" w:fill="C6EFCE"/>
          </w:tcPr>
          <w:p w14:paraId="67F370D8" w14:textId="73E31215"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013CF25A" w14:textId="77777777"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1A2A1F0B" w14:textId="5DC84A80" w:rsidR="003E1D81" w:rsidRDefault="00EB481C">
            <w:pPr>
              <w:pStyle w:val="P68B1DB1-Normal13"/>
              <w:spacing w:after="0" w:line="240" w:lineRule="auto"/>
              <w:textAlignment w:val="baseline"/>
              <w:rPr>
                <w:rFonts w:eastAsia="Times New Roman" w:cs="Times New Roman"/>
                <w:noProof/>
              </w:rPr>
            </w:pPr>
            <w:r>
              <w:rPr>
                <w:noProof/>
              </w:rPr>
              <w:t>Az ENISA-nak jogi finanszírozási megállapodásokat kell kötnie a végső kedvezményezettekkel a Helyreállítási és Rezilienciaépítési Eszközbe történő beruházás 100%-ának felhasználásá</w:t>
            </w:r>
            <w:r>
              <w:rPr>
                <w:noProof/>
              </w:rPr>
              <w:t>hoz szükséges összegről (figyelembe véve az irányítási díjakat). E finanszírozás legalább 6,6%-ának a Helyreállítási és Rezilienciaépítési Eszközről szóló rendelet VII. mellékletében foglalt módszertan alkalmazásával kell hozzájárulnia a digitális célkitűz</w:t>
            </w:r>
            <w:r>
              <w:rPr>
                <w:noProof/>
              </w:rPr>
              <w:t>ésekhez.</w:t>
            </w:r>
          </w:p>
        </w:tc>
      </w:tr>
      <w:tr w:rsidR="003E1D81" w14:paraId="349E1D53" w14:textId="77777777">
        <w:trPr>
          <w:trHeight w:val="300"/>
        </w:trPr>
        <w:tc>
          <w:tcPr>
            <w:tcW w:w="846" w:type="dxa"/>
            <w:shd w:val="clear" w:color="auto" w:fill="C6EFCE"/>
          </w:tcPr>
          <w:p w14:paraId="58EA83D0" w14:textId="3FA7A21E" w:rsidR="003E1D81" w:rsidRDefault="00EB481C">
            <w:pPr>
              <w:pStyle w:val="P68B1DB1-Normal13"/>
              <w:spacing w:after="0" w:line="240" w:lineRule="auto"/>
              <w:jc w:val="center"/>
              <w:textAlignment w:val="baseline"/>
              <w:rPr>
                <w:rFonts w:eastAsia="Times New Roman" w:cs="Times New Roman"/>
                <w:noProof/>
              </w:rPr>
            </w:pPr>
            <w:r>
              <w:rPr>
                <w:noProof/>
              </w:rPr>
              <w:t>L50</w:t>
            </w:r>
          </w:p>
        </w:tc>
        <w:tc>
          <w:tcPr>
            <w:tcW w:w="850" w:type="dxa"/>
            <w:shd w:val="clear" w:color="auto" w:fill="C6EFCE"/>
          </w:tcPr>
          <w:p w14:paraId="37CFB7C0" w14:textId="77777777" w:rsidR="003E1D81" w:rsidRDefault="00EB481C">
            <w:pPr>
              <w:pStyle w:val="P68B1DB1-Normal13"/>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36C91DE3" w14:textId="77777777" w:rsidR="003E1D81" w:rsidRDefault="00EB481C">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5C8C5ED6" w14:textId="67DEF979" w:rsidR="003E1D81" w:rsidRDefault="00EB481C">
            <w:pPr>
              <w:pStyle w:val="P68B1DB1-Normal13"/>
              <w:spacing w:after="0" w:line="240" w:lineRule="auto"/>
              <w:textAlignment w:val="baseline"/>
              <w:rPr>
                <w:rFonts w:eastAsia="Times New Roman" w:cs="Times New Roman"/>
                <w:noProof/>
              </w:rPr>
            </w:pPr>
            <w:r>
              <w:rPr>
                <w:noProof/>
              </w:rPr>
              <w:t xml:space="preserve">ENISA Vállalkozói és Kkv-alap – a minisztérium befejezte a beruházásokat. </w:t>
            </w:r>
          </w:p>
        </w:tc>
        <w:tc>
          <w:tcPr>
            <w:tcW w:w="1134" w:type="dxa"/>
            <w:shd w:val="clear" w:color="auto" w:fill="C6EFCE"/>
          </w:tcPr>
          <w:p w14:paraId="101F1BA0" w14:textId="111AE4F7" w:rsidR="003E1D81" w:rsidRDefault="00EB481C">
            <w:pPr>
              <w:pStyle w:val="P68B1DB1-Normal13"/>
              <w:spacing w:after="0" w:line="240" w:lineRule="auto"/>
              <w:jc w:val="center"/>
              <w:textAlignment w:val="baseline"/>
              <w:rPr>
                <w:rFonts w:eastAsia="Times New Roman" w:cs="Times New Roman"/>
                <w:noProof/>
              </w:rPr>
            </w:pPr>
            <w:r>
              <w:rPr>
                <w:noProof/>
              </w:rPr>
              <w:t>Átadási igazolás</w:t>
            </w:r>
          </w:p>
        </w:tc>
        <w:tc>
          <w:tcPr>
            <w:tcW w:w="709" w:type="dxa"/>
            <w:shd w:val="clear" w:color="auto" w:fill="C6EFCE"/>
          </w:tcPr>
          <w:p w14:paraId="14738179" w14:textId="1A7183F3"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2E3AC936" w14:textId="2F0C0CD1"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045F6AF" w14:textId="6E7444D0"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71557CA" w14:textId="693999E0"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48D5AD69" w14:textId="77777777"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486A647E" w14:textId="70158327" w:rsidR="003E1D81" w:rsidRDefault="00EB481C">
            <w:pPr>
              <w:pStyle w:val="P68B1DB1-Normal13"/>
              <w:spacing w:after="0" w:line="240" w:lineRule="auto"/>
              <w:textAlignment w:val="baseline"/>
              <w:rPr>
                <w:rFonts w:eastAsia="Times New Roman" w:cs="Times New Roman"/>
                <w:noProof/>
              </w:rPr>
            </w:pPr>
            <w:r>
              <w:rPr>
                <w:noProof/>
              </w:rPr>
              <w:t xml:space="preserve">Spanyolország 303 000 000 EUR-t utal át az ENISA-nak az eszköz céljára. </w:t>
            </w:r>
          </w:p>
        </w:tc>
      </w:tr>
      <w:tr w:rsidR="003E1D81" w14:paraId="2F9F6FDF" w14:textId="77777777">
        <w:trPr>
          <w:trHeight w:val="300"/>
        </w:trPr>
        <w:tc>
          <w:tcPr>
            <w:tcW w:w="846" w:type="dxa"/>
            <w:shd w:val="clear" w:color="auto" w:fill="C6EFCE"/>
          </w:tcPr>
          <w:p w14:paraId="30D7D40B" w14:textId="7A0947B4" w:rsidR="003E1D81" w:rsidRDefault="00EB481C">
            <w:pPr>
              <w:pStyle w:val="P68B1DB1-Normal13"/>
              <w:spacing w:after="0" w:line="240" w:lineRule="auto"/>
              <w:jc w:val="center"/>
              <w:textAlignment w:val="baseline"/>
              <w:rPr>
                <w:rFonts w:eastAsia="Times New Roman" w:cs="Times New Roman"/>
                <w:noProof/>
              </w:rPr>
            </w:pPr>
            <w:r>
              <w:rPr>
                <w:noProof/>
              </w:rPr>
              <w:t>L51.</w:t>
            </w:r>
          </w:p>
        </w:tc>
        <w:tc>
          <w:tcPr>
            <w:tcW w:w="850" w:type="dxa"/>
            <w:shd w:val="clear" w:color="auto" w:fill="C6EFCE"/>
          </w:tcPr>
          <w:p w14:paraId="62EE6A22" w14:textId="77777777" w:rsidR="003E1D81" w:rsidRDefault="00EB481C">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6F6A86C5" w14:textId="77777777" w:rsidR="003E1D81" w:rsidRDefault="00EB481C">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64C12D66" w14:textId="77777777" w:rsidR="003E1D81" w:rsidRDefault="00EB481C">
            <w:pPr>
              <w:pStyle w:val="P68B1DB1-Normal13"/>
              <w:spacing w:after="0" w:line="240" w:lineRule="auto"/>
              <w:textAlignment w:val="baseline"/>
              <w:rPr>
                <w:rFonts w:eastAsia="Times New Roman" w:cs="Times New Roman"/>
                <w:noProof/>
              </w:rPr>
            </w:pPr>
            <w:r>
              <w:rPr>
                <w:noProof/>
              </w:rPr>
              <w:t>Regionális Rezilienciaépítési Alap</w:t>
            </w:r>
            <w:r>
              <w:rPr>
                <w:noProof/>
              </w:rPr>
              <w:t xml:space="preserve"> – InvestEU: A spanyol kormány és az Európai Bizottság közötti hozzájárulási megállapodás aláírása</w:t>
            </w:r>
          </w:p>
        </w:tc>
        <w:tc>
          <w:tcPr>
            <w:tcW w:w="1134" w:type="dxa"/>
            <w:shd w:val="clear" w:color="auto" w:fill="C6EFCE"/>
          </w:tcPr>
          <w:p w14:paraId="61F78961" w14:textId="77777777" w:rsidR="003E1D81" w:rsidRDefault="00EB481C">
            <w:pPr>
              <w:pStyle w:val="P68B1DB1-Normal13"/>
              <w:spacing w:after="0" w:line="240" w:lineRule="auto"/>
              <w:jc w:val="center"/>
              <w:textAlignment w:val="baseline"/>
              <w:rPr>
                <w:rFonts w:eastAsia="Times New Roman" w:cs="Times New Roman"/>
                <w:noProof/>
              </w:rPr>
            </w:pPr>
            <w:r>
              <w:rPr>
                <w:noProof/>
              </w:rPr>
              <w:t>A hozzájárulási megállapodás aláírása</w:t>
            </w:r>
          </w:p>
        </w:tc>
        <w:tc>
          <w:tcPr>
            <w:tcW w:w="709" w:type="dxa"/>
            <w:shd w:val="clear" w:color="auto" w:fill="C6EFCE"/>
          </w:tcPr>
          <w:p w14:paraId="705E3A95"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69FA58FE"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4434F3A5"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E73E5F2" w14:textId="77777777"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7F49490E" w14:textId="77777777" w:rsidR="003E1D81" w:rsidRDefault="00EB481C">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39849D9D" w14:textId="3C8A757A" w:rsidR="003E1D81" w:rsidRDefault="00EB481C">
            <w:pPr>
              <w:pStyle w:val="P68B1DB1-Normal13"/>
              <w:spacing w:after="0" w:line="240" w:lineRule="auto"/>
              <w:textAlignment w:val="baseline"/>
              <w:rPr>
                <w:rFonts w:eastAsia="Times New Roman" w:cs="Times New Roman"/>
                <w:noProof/>
              </w:rPr>
            </w:pPr>
            <w:r>
              <w:rPr>
                <w:noProof/>
              </w:rPr>
              <w:t>A Spanyolország kormánya és az Európai Bizottság közötti, 500 000 000 EUR összegű hozzájárulási megáll</w:t>
            </w:r>
            <w:r>
              <w:rPr>
                <w:noProof/>
              </w:rPr>
              <w:t>apodás aláírása.</w:t>
            </w:r>
          </w:p>
        </w:tc>
      </w:tr>
      <w:tr w:rsidR="003E1D81" w14:paraId="77C8E513" w14:textId="77777777">
        <w:trPr>
          <w:trHeight w:val="300"/>
        </w:trPr>
        <w:tc>
          <w:tcPr>
            <w:tcW w:w="846" w:type="dxa"/>
            <w:shd w:val="clear" w:color="auto" w:fill="C6EFCE"/>
          </w:tcPr>
          <w:p w14:paraId="12937DB4" w14:textId="2F1CF206" w:rsidR="003E1D81" w:rsidRDefault="00EB481C">
            <w:pPr>
              <w:pStyle w:val="P68B1DB1-Normal13"/>
              <w:spacing w:after="0" w:line="240" w:lineRule="auto"/>
              <w:jc w:val="center"/>
              <w:textAlignment w:val="baseline"/>
              <w:rPr>
                <w:rFonts w:eastAsia="Times New Roman" w:cs="Times New Roman"/>
                <w:noProof/>
              </w:rPr>
            </w:pPr>
            <w:r>
              <w:rPr>
                <w:noProof/>
              </w:rPr>
              <w:t>L52.</w:t>
            </w:r>
          </w:p>
        </w:tc>
        <w:tc>
          <w:tcPr>
            <w:tcW w:w="850" w:type="dxa"/>
            <w:shd w:val="clear" w:color="auto" w:fill="C6EFCE"/>
          </w:tcPr>
          <w:p w14:paraId="3F4A2501" w14:textId="6B565761" w:rsidR="003E1D81" w:rsidRDefault="00EB481C">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1A7A5D33" w14:textId="0DFC98BA"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63562C17" w14:textId="0E3EEB6A" w:rsidR="003E1D81" w:rsidRDefault="00EB481C">
            <w:pPr>
              <w:pStyle w:val="P68B1DB1-Normal13"/>
              <w:spacing w:after="0" w:line="240" w:lineRule="auto"/>
              <w:textAlignment w:val="baseline"/>
              <w:rPr>
                <w:rFonts w:eastAsia="Times New Roman" w:cs="Times New Roman"/>
                <w:noProof/>
              </w:rPr>
            </w:pPr>
            <w:r>
              <w:rPr>
                <w:noProof/>
              </w:rPr>
              <w:t>Regionális Rezilienciaépítési Alap – InvestEU: Az InvestEU Beruházási Bizottság által jóváhagyott eszközhöz rendelt legalább 500 millió EUR összegű finanszírozási vagy beruházási műveletek.</w:t>
            </w:r>
          </w:p>
        </w:tc>
        <w:tc>
          <w:tcPr>
            <w:tcW w:w="1134" w:type="dxa"/>
            <w:shd w:val="clear" w:color="auto" w:fill="C6EFCE"/>
          </w:tcPr>
          <w:p w14:paraId="7BE661E4"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0466B7A" w14:textId="0EC3724E"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389606B4" w14:textId="2805ABA1" w:rsidR="003E1D81" w:rsidRDefault="00EB481C">
            <w:pPr>
              <w:pStyle w:val="P68B1DB1-Normal13"/>
              <w:spacing w:after="0" w:line="240" w:lineRule="auto"/>
              <w:jc w:val="right"/>
              <w:textAlignment w:val="baseline"/>
              <w:rPr>
                <w:rFonts w:eastAsia="Times New Roman" w:cs="Times New Roman"/>
                <w:noProof/>
              </w:rPr>
            </w:pPr>
            <w:r>
              <w:rPr>
                <w:noProof/>
              </w:rPr>
              <w:t>0</w:t>
            </w:r>
          </w:p>
        </w:tc>
        <w:tc>
          <w:tcPr>
            <w:tcW w:w="709" w:type="dxa"/>
            <w:shd w:val="clear" w:color="auto" w:fill="C6EFCE"/>
          </w:tcPr>
          <w:p w14:paraId="6E8C09FE" w14:textId="75923D23" w:rsidR="003E1D81" w:rsidRDefault="00EB481C">
            <w:pPr>
              <w:pStyle w:val="P68B1DB1-Normal13"/>
              <w:spacing w:after="0" w:line="240" w:lineRule="auto"/>
              <w:jc w:val="right"/>
              <w:textAlignment w:val="baseline"/>
              <w:rPr>
                <w:rFonts w:eastAsia="Times New Roman" w:cs="Times New Roman"/>
                <w:noProof/>
              </w:rPr>
            </w:pPr>
            <w:r>
              <w:rPr>
                <w:noProof/>
              </w:rPr>
              <w:t>100%-OS</w:t>
            </w:r>
          </w:p>
        </w:tc>
        <w:tc>
          <w:tcPr>
            <w:tcW w:w="709" w:type="dxa"/>
            <w:shd w:val="clear" w:color="auto" w:fill="C6EFCE"/>
          </w:tcPr>
          <w:p w14:paraId="0D6856FA" w14:textId="61D11617"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76DD787A" w14:textId="77777777"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2963E159" w14:textId="1ED9FB34" w:rsidR="003E1D81" w:rsidRDefault="00EB481C">
            <w:pPr>
              <w:pStyle w:val="P68B1DB1-Normal13"/>
              <w:spacing w:after="0" w:line="240" w:lineRule="auto"/>
              <w:textAlignment w:val="baseline"/>
              <w:rPr>
                <w:rFonts w:eastAsia="Times New Roman" w:cs="Times New Roman"/>
                <w:noProof/>
              </w:rPr>
            </w:pPr>
            <w:r>
              <w:rPr>
                <w:noProof/>
              </w:rPr>
              <w:t xml:space="preserve">A </w:t>
            </w:r>
            <w:r>
              <w:rPr>
                <w:noProof/>
              </w:rPr>
              <w:t>Helyreállítási és Rezilienciaépítési Eszközből az eszközhöz allokált források teljes összegének 100%-át kitevő finanszírozási vagy beruházási műveleteket az InvestEU beruházási bizottságnak jóvá kell hagynia.</w:t>
            </w:r>
          </w:p>
        </w:tc>
      </w:tr>
      <w:tr w:rsidR="003E1D81" w14:paraId="3B3C7B6B" w14:textId="77777777">
        <w:trPr>
          <w:trHeight w:val="1085"/>
        </w:trPr>
        <w:tc>
          <w:tcPr>
            <w:tcW w:w="846" w:type="dxa"/>
            <w:shd w:val="clear" w:color="auto" w:fill="C6EFCE"/>
          </w:tcPr>
          <w:p w14:paraId="7109109F" w14:textId="58AD46B8" w:rsidR="003E1D81" w:rsidRDefault="00EB481C">
            <w:pPr>
              <w:pStyle w:val="P68B1DB1-Normal13"/>
              <w:spacing w:after="0" w:line="240" w:lineRule="auto"/>
              <w:jc w:val="center"/>
              <w:textAlignment w:val="baseline"/>
              <w:rPr>
                <w:rFonts w:eastAsia="Times New Roman" w:cs="Times New Roman"/>
                <w:noProof/>
              </w:rPr>
            </w:pPr>
            <w:bookmarkStart w:id="46" w:name="_Hlk141708313"/>
            <w:r>
              <w:rPr>
                <w:noProof/>
              </w:rPr>
              <w:t>L53</w:t>
            </w:r>
          </w:p>
        </w:tc>
        <w:tc>
          <w:tcPr>
            <w:tcW w:w="850" w:type="dxa"/>
            <w:shd w:val="clear" w:color="auto" w:fill="C6EFCE"/>
          </w:tcPr>
          <w:p w14:paraId="03CF9462" w14:textId="77777777" w:rsidR="003E1D81" w:rsidRDefault="00EB481C">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4D7C2760" w14:textId="77777777" w:rsidR="003E1D81" w:rsidRDefault="00EB481C">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2EFF7B6C" w14:textId="0F4FFA0A" w:rsidR="003E1D81" w:rsidRDefault="00EB481C">
            <w:pPr>
              <w:pStyle w:val="P68B1DB1-Normal13"/>
              <w:spacing w:after="0" w:line="240" w:lineRule="auto"/>
              <w:textAlignment w:val="baseline"/>
              <w:rPr>
                <w:rFonts w:eastAsia="Times New Roman" w:cs="Times New Roman"/>
                <w:noProof/>
              </w:rPr>
            </w:pPr>
            <w:r>
              <w:rPr>
                <w:noProof/>
              </w:rPr>
              <w:t xml:space="preserve">Regionális Rezilienciaépítési Alap: Végrehajtási megállapodás </w:t>
            </w:r>
          </w:p>
        </w:tc>
        <w:tc>
          <w:tcPr>
            <w:tcW w:w="1134" w:type="dxa"/>
            <w:shd w:val="clear" w:color="auto" w:fill="C6EFCE"/>
          </w:tcPr>
          <w:p w14:paraId="1A2EA724" w14:textId="0A3815AC" w:rsidR="003E1D81" w:rsidRDefault="00EB481C">
            <w:pPr>
              <w:pStyle w:val="P68B1DB1-Normal13"/>
              <w:spacing w:after="0" w:line="240" w:lineRule="auto"/>
              <w:jc w:val="center"/>
              <w:textAlignment w:val="baseline"/>
              <w:rPr>
                <w:rFonts w:eastAsia="Times New Roman" w:cs="Times New Roman"/>
                <w:noProof/>
              </w:rPr>
            </w:pPr>
            <w:r>
              <w:rPr>
                <w:noProof/>
              </w:rPr>
              <w:t>A végrehajtási megállapodás hatálybalépése</w:t>
            </w:r>
          </w:p>
        </w:tc>
        <w:tc>
          <w:tcPr>
            <w:tcW w:w="709" w:type="dxa"/>
            <w:shd w:val="clear" w:color="auto" w:fill="C6EFCE"/>
          </w:tcPr>
          <w:p w14:paraId="0ACEDFCE" w14:textId="77777777" w:rsidR="003E1D81" w:rsidRDefault="00EB481C">
            <w:pPr>
              <w:pStyle w:val="P68B1DB1-Normal13"/>
              <w:spacing w:after="0" w:line="240" w:lineRule="auto"/>
              <w:jc w:val="center"/>
              <w:textAlignment w:val="baseline"/>
              <w:rPr>
                <w:rFonts w:eastAsia="Times New Roman" w:cs="Times New Roman"/>
                <w:noProof/>
              </w:rPr>
            </w:pPr>
            <w:r>
              <w:rPr>
                <w:noProof/>
              </w:rPr>
              <w:t xml:space="preserve"> </w:t>
            </w:r>
          </w:p>
        </w:tc>
        <w:tc>
          <w:tcPr>
            <w:tcW w:w="708" w:type="dxa"/>
            <w:shd w:val="clear" w:color="auto" w:fill="C6EFCE"/>
          </w:tcPr>
          <w:p w14:paraId="3D6C9F81" w14:textId="77777777" w:rsidR="003E1D81" w:rsidRDefault="00EB481C">
            <w:pPr>
              <w:pStyle w:val="P68B1DB1-Normal13"/>
              <w:spacing w:after="0" w:line="240" w:lineRule="auto"/>
              <w:jc w:val="right"/>
              <w:textAlignment w:val="baseline"/>
              <w:rPr>
                <w:rFonts w:eastAsia="Times New Roman" w:cs="Times New Roman"/>
                <w:noProof/>
              </w:rPr>
            </w:pPr>
            <w:r>
              <w:rPr>
                <w:noProof/>
              </w:rPr>
              <w:t xml:space="preserve"> </w:t>
            </w:r>
          </w:p>
        </w:tc>
        <w:tc>
          <w:tcPr>
            <w:tcW w:w="709" w:type="dxa"/>
            <w:shd w:val="clear" w:color="auto" w:fill="C6EFCE"/>
          </w:tcPr>
          <w:p w14:paraId="0B2FDE26" w14:textId="77777777" w:rsidR="003E1D81" w:rsidRDefault="00EB481C">
            <w:pPr>
              <w:pStyle w:val="P68B1DB1-Normal13"/>
              <w:spacing w:after="0" w:line="240" w:lineRule="auto"/>
              <w:jc w:val="right"/>
              <w:textAlignment w:val="baseline"/>
              <w:rPr>
                <w:rFonts w:eastAsia="Times New Roman" w:cs="Times New Roman"/>
                <w:noProof/>
              </w:rPr>
            </w:pPr>
            <w:r>
              <w:rPr>
                <w:noProof/>
              </w:rPr>
              <w:t xml:space="preserve"> </w:t>
            </w:r>
          </w:p>
        </w:tc>
        <w:tc>
          <w:tcPr>
            <w:tcW w:w="709" w:type="dxa"/>
            <w:shd w:val="clear" w:color="auto" w:fill="C6EFCE"/>
          </w:tcPr>
          <w:p w14:paraId="466A19D1" w14:textId="77777777"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6F6D41BC" w14:textId="77777777" w:rsidR="003E1D81" w:rsidRDefault="00EB481C">
            <w:pPr>
              <w:pStyle w:val="P68B1DB1-Normal13"/>
              <w:spacing w:after="0" w:line="240" w:lineRule="auto"/>
              <w:jc w:val="center"/>
              <w:textAlignment w:val="baseline"/>
              <w:rPr>
                <w:rFonts w:eastAsia="Times New Roman" w:cs="Times New Roman"/>
                <w:noProof/>
              </w:rPr>
            </w:pPr>
            <w:r>
              <w:rPr>
                <w:noProof/>
              </w:rPr>
              <w:t>2023</w:t>
            </w:r>
          </w:p>
        </w:tc>
        <w:tc>
          <w:tcPr>
            <w:tcW w:w="4958" w:type="dxa"/>
            <w:shd w:val="clear" w:color="auto" w:fill="C6EFCE"/>
          </w:tcPr>
          <w:p w14:paraId="4D7FCF31" w14:textId="533498A4" w:rsidR="003E1D81" w:rsidRDefault="00EB481C">
            <w:pPr>
              <w:pStyle w:val="P68B1DB1-Normal13"/>
              <w:spacing w:after="0" w:line="240" w:lineRule="auto"/>
              <w:textAlignment w:val="baseline"/>
              <w:rPr>
                <w:rFonts w:eastAsia="Times New Roman" w:cs="Times New Roman"/>
                <w:noProof/>
              </w:rPr>
            </w:pPr>
            <w:r>
              <w:rPr>
                <w:noProof/>
              </w:rPr>
              <w:t xml:space="preserve">A végrehajtási megállapodás hatálybalépése </w:t>
            </w:r>
          </w:p>
        </w:tc>
      </w:tr>
      <w:tr w:rsidR="003E1D81" w14:paraId="362638EB" w14:textId="77777777">
        <w:trPr>
          <w:trHeight w:val="300"/>
        </w:trPr>
        <w:tc>
          <w:tcPr>
            <w:tcW w:w="846" w:type="dxa"/>
            <w:shd w:val="clear" w:color="auto" w:fill="C6EFCE"/>
          </w:tcPr>
          <w:p w14:paraId="1A5791F0" w14:textId="4751708F" w:rsidR="003E1D81" w:rsidRDefault="00EB481C">
            <w:pPr>
              <w:pStyle w:val="P68B1DB1-Normal13"/>
              <w:spacing w:after="0" w:line="240" w:lineRule="auto"/>
              <w:jc w:val="center"/>
              <w:textAlignment w:val="baseline"/>
              <w:rPr>
                <w:rFonts w:eastAsia="Times New Roman" w:cs="Times New Roman"/>
                <w:noProof/>
              </w:rPr>
            </w:pPr>
            <w:r>
              <w:rPr>
                <w:noProof/>
              </w:rPr>
              <w:t>L54.</w:t>
            </w:r>
          </w:p>
        </w:tc>
        <w:tc>
          <w:tcPr>
            <w:tcW w:w="850" w:type="dxa"/>
            <w:shd w:val="clear" w:color="auto" w:fill="C6EFCE"/>
          </w:tcPr>
          <w:p w14:paraId="2C866467" w14:textId="77777777" w:rsidR="003E1D81" w:rsidRDefault="00EB481C">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3AC69072"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6EA034C3" w14:textId="186093BA" w:rsidR="003E1D81" w:rsidRDefault="00EB481C">
            <w:pPr>
              <w:pStyle w:val="P68B1DB1-Normal13"/>
              <w:spacing w:after="0" w:line="240" w:lineRule="auto"/>
              <w:textAlignment w:val="baseline"/>
              <w:rPr>
                <w:rFonts w:eastAsia="Times New Roman" w:cs="Times New Roman"/>
                <w:noProof/>
              </w:rPr>
            </w:pPr>
            <w:r>
              <w:rPr>
                <w:noProof/>
              </w:rPr>
              <w:t xml:space="preserve">Regionális Rezilienciaépítési Alap – Egyéb költségvetési sorok: A </w:t>
            </w:r>
            <w:r>
              <w:rPr>
                <w:noProof/>
              </w:rPr>
              <w:t>végső kedvezményezettekkel (beleértve a tőkealapokat is) aláírt jogi megállapodások (I)</w:t>
            </w:r>
          </w:p>
        </w:tc>
        <w:tc>
          <w:tcPr>
            <w:tcW w:w="1134" w:type="dxa"/>
            <w:shd w:val="clear" w:color="auto" w:fill="C6EFCE"/>
          </w:tcPr>
          <w:p w14:paraId="13150465" w14:textId="0CF651EC"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8564B5E" w14:textId="6DC0F5AF"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1196233A" w14:textId="77777777" w:rsidR="003E1D81" w:rsidRDefault="00EB481C">
            <w:pPr>
              <w:pStyle w:val="P68B1DB1-Normal13"/>
              <w:spacing w:after="0" w:line="240" w:lineRule="auto"/>
              <w:jc w:val="right"/>
              <w:textAlignment w:val="baseline"/>
              <w:rPr>
                <w:rFonts w:eastAsia="Times New Roman" w:cs="Times New Roman"/>
                <w:noProof/>
              </w:rPr>
            </w:pPr>
            <w:r>
              <w:rPr>
                <w:noProof/>
              </w:rPr>
              <w:t>0</w:t>
            </w:r>
          </w:p>
        </w:tc>
        <w:tc>
          <w:tcPr>
            <w:tcW w:w="709" w:type="dxa"/>
            <w:shd w:val="clear" w:color="auto" w:fill="C6EFCE"/>
          </w:tcPr>
          <w:p w14:paraId="47D225E3" w14:textId="2D4969E4" w:rsidR="003E1D81" w:rsidRDefault="00EB481C">
            <w:pPr>
              <w:pStyle w:val="P68B1DB1-Normal13"/>
              <w:spacing w:after="0" w:line="240" w:lineRule="auto"/>
              <w:jc w:val="right"/>
              <w:textAlignment w:val="baseline"/>
              <w:rPr>
                <w:rFonts w:eastAsia="Times New Roman" w:cs="Times New Roman"/>
                <w:noProof/>
              </w:rPr>
            </w:pPr>
            <w:r>
              <w:rPr>
                <w:noProof/>
              </w:rPr>
              <w:t>15%</w:t>
            </w:r>
          </w:p>
        </w:tc>
        <w:tc>
          <w:tcPr>
            <w:tcW w:w="709" w:type="dxa"/>
            <w:shd w:val="clear" w:color="auto" w:fill="C6EFCE"/>
          </w:tcPr>
          <w:p w14:paraId="640449AF" w14:textId="77777777"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138B9EB6" w14:textId="77777777" w:rsidR="003E1D81" w:rsidRDefault="00EB481C">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6E546150" w14:textId="5EC48BFA" w:rsidR="003E1D81" w:rsidRDefault="00EB481C">
            <w:pPr>
              <w:pStyle w:val="P68B1DB1-Normal13"/>
              <w:spacing w:after="0" w:line="240" w:lineRule="auto"/>
              <w:textAlignment w:val="baseline"/>
              <w:rPr>
                <w:rFonts w:eastAsia="Times New Roman" w:cs="Times New Roman"/>
                <w:noProof/>
              </w:rPr>
            </w:pPr>
            <w:r>
              <w:rPr>
                <w:noProof/>
              </w:rPr>
              <w:t>Az EBB csoportnak és az EBB csoport által kiválasztott közvetítőknek jogi finanszírozási megállapodásokat kell kötniük a végső kedvezményezettekke</w:t>
            </w:r>
            <w:r>
              <w:rPr>
                <w:noProof/>
              </w:rPr>
              <w:t>l (beleértve a tőkealapokat is) a Helyreállítási és Rezilienciaépítési Eszközből származó beruházások legalább 25%-ának az egyéb költségvetési sorokba történő felhasználásához szükséges összegre (figyelembe véve az irányítási díjakat). A finanszírozás lega</w:t>
            </w:r>
            <w:r>
              <w:rPr>
                <w:noProof/>
              </w:rPr>
              <w:t>lább 2,5%-ának a tőkealapokkal aláírt finanszírozási megállapodásoknak, legalább 60%-ának pedig a végső kedvezményezettekkel kötött finanszírozási megállapodásoknak kell megfelelnie az összes többi befektetési termék tekintetében (beleértve a Békekeret köz</w:t>
            </w:r>
            <w:r>
              <w:rPr>
                <w:noProof/>
              </w:rPr>
              <w:t>vetlen tőkebefektetéseit is). Az EBB csoport a Helyreállítási és Rezilienciaépítési Eszközről szóló rendelet VI. mellékletében foglalt módszertan alkalmazásával jelentést készít, amelyben részletezi e finanszírozás azon százalékos arányát, amely hozzájárul</w:t>
            </w:r>
            <w:r>
              <w:rPr>
                <w:noProof/>
              </w:rPr>
              <w:t xml:space="preserve"> az éghajlat-politikai célkitűzésekhez.</w:t>
            </w:r>
          </w:p>
        </w:tc>
      </w:tr>
      <w:tr w:rsidR="003E1D81" w14:paraId="4292062F" w14:textId="77777777">
        <w:trPr>
          <w:trHeight w:val="300"/>
        </w:trPr>
        <w:tc>
          <w:tcPr>
            <w:tcW w:w="846" w:type="dxa"/>
            <w:shd w:val="clear" w:color="auto" w:fill="C6EFCE"/>
          </w:tcPr>
          <w:p w14:paraId="736256C6" w14:textId="6899A111" w:rsidR="003E1D81" w:rsidRDefault="00EB481C">
            <w:pPr>
              <w:pStyle w:val="P68B1DB1-Normal13"/>
              <w:spacing w:after="0" w:line="240" w:lineRule="auto"/>
              <w:jc w:val="center"/>
              <w:textAlignment w:val="baseline"/>
              <w:rPr>
                <w:rFonts w:eastAsia="Times New Roman" w:cs="Times New Roman"/>
                <w:noProof/>
              </w:rPr>
            </w:pPr>
            <w:r>
              <w:rPr>
                <w:noProof/>
              </w:rPr>
              <w:t>L55</w:t>
            </w:r>
          </w:p>
        </w:tc>
        <w:tc>
          <w:tcPr>
            <w:tcW w:w="850" w:type="dxa"/>
            <w:shd w:val="clear" w:color="auto" w:fill="C6EFCE"/>
          </w:tcPr>
          <w:p w14:paraId="1EA7EE1B" w14:textId="77777777" w:rsidR="003E1D81" w:rsidRDefault="00EB481C">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2B66452C"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0D7867C7" w14:textId="6286EFE1" w:rsidR="003E1D81" w:rsidRDefault="00EB481C">
            <w:pPr>
              <w:pStyle w:val="P68B1DB1-Normal13"/>
              <w:spacing w:after="0" w:line="240" w:lineRule="auto"/>
              <w:textAlignment w:val="baseline"/>
              <w:rPr>
                <w:rFonts w:eastAsia="Times New Roman" w:cs="Times New Roman"/>
                <w:noProof/>
              </w:rPr>
            </w:pPr>
            <w:r>
              <w:rPr>
                <w:noProof/>
              </w:rPr>
              <w:t>Regionális Rezilienciaépítési Alap – Egyéb költségvetési sorok: A végső kedvezményezettekkel (beleértve a tőkealapokat is) aláírt jogi megállapodások (II)</w:t>
            </w:r>
          </w:p>
        </w:tc>
        <w:tc>
          <w:tcPr>
            <w:tcW w:w="1134" w:type="dxa"/>
            <w:shd w:val="clear" w:color="auto" w:fill="C6EFCE"/>
          </w:tcPr>
          <w:p w14:paraId="5F31F902" w14:textId="06DB7B15"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B2AB904" w14:textId="2D0D8A21"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51088886" w14:textId="74701B21" w:rsidR="003E1D81" w:rsidRDefault="00EB481C">
            <w:pPr>
              <w:pStyle w:val="P68B1DB1-Normal13"/>
              <w:spacing w:after="0" w:line="240" w:lineRule="auto"/>
              <w:jc w:val="right"/>
              <w:textAlignment w:val="baseline"/>
              <w:rPr>
                <w:rFonts w:eastAsia="Times New Roman" w:cs="Times New Roman"/>
                <w:noProof/>
              </w:rPr>
            </w:pPr>
            <w:r>
              <w:rPr>
                <w:noProof/>
              </w:rPr>
              <w:t>15%</w:t>
            </w:r>
          </w:p>
        </w:tc>
        <w:tc>
          <w:tcPr>
            <w:tcW w:w="709" w:type="dxa"/>
            <w:shd w:val="clear" w:color="auto" w:fill="C6EFCE"/>
          </w:tcPr>
          <w:p w14:paraId="4F6A4DC0" w14:textId="37FA3D77" w:rsidR="003E1D81" w:rsidRDefault="00EB481C">
            <w:pPr>
              <w:pStyle w:val="P68B1DB1-Normal13"/>
              <w:spacing w:after="0" w:line="240" w:lineRule="auto"/>
              <w:jc w:val="right"/>
              <w:textAlignment w:val="baseline"/>
              <w:rPr>
                <w:rFonts w:eastAsia="Times New Roman" w:cs="Times New Roman"/>
                <w:noProof/>
              </w:rPr>
            </w:pPr>
            <w:r>
              <w:rPr>
                <w:noProof/>
              </w:rPr>
              <w:t>50%</w:t>
            </w:r>
          </w:p>
        </w:tc>
        <w:tc>
          <w:tcPr>
            <w:tcW w:w="709" w:type="dxa"/>
            <w:shd w:val="clear" w:color="auto" w:fill="C6EFCE"/>
          </w:tcPr>
          <w:p w14:paraId="3C35AD1F" w14:textId="77777777" w:rsidR="003E1D81" w:rsidRDefault="00EB481C">
            <w:pPr>
              <w:pStyle w:val="P68B1DB1-Normal13"/>
              <w:spacing w:after="0" w:line="240" w:lineRule="auto"/>
              <w:jc w:val="center"/>
              <w:textAlignment w:val="baseline"/>
              <w:rPr>
                <w:rFonts w:eastAsia="Times New Roman" w:cs="Times New Roman"/>
                <w:noProof/>
              </w:rPr>
            </w:pPr>
            <w:r>
              <w:rPr>
                <w:noProof/>
              </w:rPr>
              <w:t>KÉRDÉS</w:t>
            </w:r>
          </w:p>
        </w:tc>
        <w:tc>
          <w:tcPr>
            <w:tcW w:w="709" w:type="dxa"/>
            <w:shd w:val="clear" w:color="auto" w:fill="C6EFCE"/>
          </w:tcPr>
          <w:p w14:paraId="723F4717" w14:textId="77777777" w:rsidR="003E1D81" w:rsidRDefault="00EB481C">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00972C7A" w14:textId="2F98D166" w:rsidR="003E1D81" w:rsidRDefault="00EB481C">
            <w:pPr>
              <w:pStyle w:val="P68B1DB1-Normal13"/>
              <w:spacing w:after="0" w:line="240" w:lineRule="auto"/>
              <w:textAlignment w:val="baseline"/>
              <w:rPr>
                <w:rFonts w:eastAsia="Times New Roman" w:cs="Times New Roman"/>
                <w:noProof/>
              </w:rPr>
            </w:pPr>
            <w:r>
              <w:rPr>
                <w:noProof/>
              </w:rPr>
              <w:t xml:space="preserve">Az EBB csoportnak és az </w:t>
            </w:r>
            <w:r>
              <w:rPr>
                <w:noProof/>
              </w:rPr>
              <w:t>EBB csoport által kiválasztott közvetítőknek jogi finanszírozási megállapodásokat kell kötniük a végső kedvezményezettekkel (beleértve a tőkealapokat is) a Helyreállítási és Rezilienciaépítési Eszközből származó beruházások legalább 50%-ának az egyéb költs</w:t>
            </w:r>
            <w:r>
              <w:rPr>
                <w:noProof/>
              </w:rPr>
              <w:t>égvetési sorokba történő felhasználásához szükséges összegre (figyelembe véve az irányítási díjakat is). A finanszírozás legalább 2,5%-ának a tőkealapokkal aláírt finanszírozási megállapodásoknak, legalább 60%-ának pedig a végső kedvezményezettekkel kötött</w:t>
            </w:r>
            <w:r>
              <w:rPr>
                <w:noProof/>
              </w:rPr>
              <w:t xml:space="preserve"> finanszírozási megállapodásoknak kell megfelelnie az összes többi befektetési termék tekintetében (beleértve a Békekeret közvetlen tőkebefektetéseit is). Az EBB csoport a Helyreállítási és Rezilienciaépítési Eszközről szóló rendelet VI. mellékletében fogl</w:t>
            </w:r>
            <w:r>
              <w:rPr>
                <w:noProof/>
              </w:rPr>
              <w:t>alt módszertan alkalmazásával jelentést készít, amelyben részletezi e finanszírozás azon százalékos arányát, amely hozzájárul az éghajlat-politikai célkitűzésekhez.</w:t>
            </w:r>
          </w:p>
        </w:tc>
      </w:tr>
      <w:tr w:rsidR="003E1D81" w14:paraId="791776F7" w14:textId="77777777">
        <w:trPr>
          <w:trHeight w:val="300"/>
        </w:trPr>
        <w:tc>
          <w:tcPr>
            <w:tcW w:w="846" w:type="dxa"/>
            <w:shd w:val="clear" w:color="auto" w:fill="C6EFCE"/>
          </w:tcPr>
          <w:p w14:paraId="770405F3" w14:textId="6E55B292" w:rsidR="003E1D81" w:rsidRDefault="00EB481C">
            <w:pPr>
              <w:pStyle w:val="P68B1DB1-Normal13"/>
              <w:spacing w:after="0" w:line="240" w:lineRule="auto"/>
              <w:jc w:val="center"/>
              <w:textAlignment w:val="baseline"/>
              <w:rPr>
                <w:rFonts w:eastAsia="Times New Roman" w:cs="Times New Roman"/>
                <w:noProof/>
              </w:rPr>
            </w:pPr>
            <w:r>
              <w:rPr>
                <w:noProof/>
              </w:rPr>
              <w:t>L56</w:t>
            </w:r>
          </w:p>
        </w:tc>
        <w:tc>
          <w:tcPr>
            <w:tcW w:w="850" w:type="dxa"/>
            <w:shd w:val="clear" w:color="auto" w:fill="C6EFCE"/>
          </w:tcPr>
          <w:p w14:paraId="70652E84" w14:textId="77777777" w:rsidR="003E1D81" w:rsidRDefault="00EB481C">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74B665E0"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146F402F" w14:textId="36A8DFCD" w:rsidR="003E1D81" w:rsidRDefault="00EB481C">
            <w:pPr>
              <w:pStyle w:val="P68B1DB1-Normal13"/>
              <w:spacing w:after="0" w:line="240" w:lineRule="auto"/>
              <w:textAlignment w:val="baseline"/>
              <w:rPr>
                <w:rFonts w:eastAsia="Times New Roman" w:cs="Times New Roman"/>
                <w:noProof/>
              </w:rPr>
            </w:pPr>
            <w:r>
              <w:rPr>
                <w:noProof/>
              </w:rPr>
              <w:t xml:space="preserve">Regionális Rezilienciaépítési Alap – Egyéb költségvetési sorok: A végső </w:t>
            </w:r>
            <w:r>
              <w:rPr>
                <w:noProof/>
              </w:rPr>
              <w:t>kedvezményezettekkel (beleértve a tőkealapokat is) aláírt jogi megállapodások (III)</w:t>
            </w:r>
          </w:p>
        </w:tc>
        <w:tc>
          <w:tcPr>
            <w:tcW w:w="1134" w:type="dxa"/>
            <w:shd w:val="clear" w:color="auto" w:fill="C6EFCE"/>
          </w:tcPr>
          <w:p w14:paraId="0AFDFDA8" w14:textId="172C6FB3"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CF8BA72" w14:textId="1EC5ED4A"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7D158BE4" w14:textId="2A2CE4E5" w:rsidR="003E1D81" w:rsidRDefault="00EB481C">
            <w:pPr>
              <w:pStyle w:val="P68B1DB1-Normal13"/>
              <w:spacing w:after="0" w:line="240" w:lineRule="auto"/>
              <w:jc w:val="right"/>
              <w:textAlignment w:val="baseline"/>
              <w:rPr>
                <w:rFonts w:eastAsia="Times New Roman" w:cs="Times New Roman"/>
                <w:noProof/>
              </w:rPr>
            </w:pPr>
            <w:r>
              <w:rPr>
                <w:noProof/>
              </w:rPr>
              <w:t>50%</w:t>
            </w:r>
          </w:p>
        </w:tc>
        <w:tc>
          <w:tcPr>
            <w:tcW w:w="709" w:type="dxa"/>
            <w:shd w:val="clear" w:color="auto" w:fill="C6EFCE"/>
          </w:tcPr>
          <w:p w14:paraId="3EA499EC" w14:textId="593576DE" w:rsidR="003E1D81" w:rsidRDefault="00EB481C">
            <w:pPr>
              <w:pStyle w:val="P68B1DB1-Normal13"/>
              <w:spacing w:after="0" w:line="240" w:lineRule="auto"/>
              <w:jc w:val="right"/>
              <w:textAlignment w:val="baseline"/>
              <w:rPr>
                <w:rFonts w:eastAsia="Times New Roman" w:cs="Times New Roman"/>
                <w:noProof/>
              </w:rPr>
            </w:pPr>
            <w:r>
              <w:rPr>
                <w:noProof/>
              </w:rPr>
              <w:t>75%</w:t>
            </w:r>
          </w:p>
        </w:tc>
        <w:tc>
          <w:tcPr>
            <w:tcW w:w="709" w:type="dxa"/>
            <w:shd w:val="clear" w:color="auto" w:fill="C6EFCE"/>
          </w:tcPr>
          <w:p w14:paraId="4BB1C262" w14:textId="77777777"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7D7B06A9" w14:textId="77777777" w:rsidR="003E1D81" w:rsidRDefault="00EB481C">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73BB7229" w14:textId="40FBFE87" w:rsidR="003E1D81" w:rsidRDefault="00EB481C">
            <w:pPr>
              <w:pStyle w:val="P68B1DB1-Normal13"/>
              <w:spacing w:after="0" w:line="240" w:lineRule="auto"/>
              <w:textAlignment w:val="baseline"/>
              <w:rPr>
                <w:rFonts w:eastAsia="Times New Roman" w:cs="Times New Roman"/>
                <w:noProof/>
              </w:rPr>
            </w:pPr>
            <w:r>
              <w:rPr>
                <w:noProof/>
              </w:rPr>
              <w:t xml:space="preserve">Az EBB csoportnak és az EBB csoport által kiválasztott közvetítőknek jogi finanszírozási megállapodásokat kell kötniük a végső kedvezményezettekkel </w:t>
            </w:r>
            <w:r>
              <w:rPr>
                <w:noProof/>
              </w:rPr>
              <w:t>(beleértve a tőkealapokat is) a Helyreállítási és Rezilienciaépítési Eszköz beruházásai legalább 75%-ának az egyéb költségvetési sorokba történő felhasználásához szükséges összegre (figyelembe véve az irányítási díjakat). A finanszírozás legalább 2,5%-ának</w:t>
            </w:r>
            <w:r>
              <w:rPr>
                <w:noProof/>
              </w:rPr>
              <w:t xml:space="preserve"> a tőkealapokkal aláírt finanszírozási megállapodásoknak, legalább 60%-ának pedig a végső kedvezményezettekkel kötött finanszírozási megállapodásoknak kell megfelelnie az összes többi befektetési termék tekintetében (beleértve a Békekeret közvetlen tőkebef</w:t>
            </w:r>
            <w:r>
              <w:rPr>
                <w:noProof/>
              </w:rPr>
              <w:t>ektetéseit is).  Az EBB csoport a Helyreállítási és Rezilienciaépítési Eszközről szóló rendelet VI. mellékletében foglalt módszertan alkalmazásával jelentést készít, amelyben részletezi e finanszírozás azon százalékos arányát, amely hozzájárul az éghajlat-</w:t>
            </w:r>
            <w:r>
              <w:rPr>
                <w:noProof/>
              </w:rPr>
              <w:t>politikai célkitűzésekhez.</w:t>
            </w:r>
          </w:p>
        </w:tc>
      </w:tr>
      <w:tr w:rsidR="003E1D81" w14:paraId="05D9E365" w14:textId="77777777">
        <w:trPr>
          <w:trHeight w:val="300"/>
        </w:trPr>
        <w:tc>
          <w:tcPr>
            <w:tcW w:w="846" w:type="dxa"/>
            <w:shd w:val="clear" w:color="auto" w:fill="C6EFCE"/>
          </w:tcPr>
          <w:p w14:paraId="143BED7A" w14:textId="3590908E" w:rsidR="003E1D81" w:rsidRDefault="00EB481C">
            <w:pPr>
              <w:pStyle w:val="P68B1DB1-Normal13"/>
              <w:spacing w:after="0" w:line="240" w:lineRule="auto"/>
              <w:jc w:val="center"/>
              <w:textAlignment w:val="baseline"/>
              <w:rPr>
                <w:rFonts w:eastAsia="Times New Roman" w:cs="Times New Roman"/>
                <w:noProof/>
              </w:rPr>
            </w:pPr>
            <w:r>
              <w:rPr>
                <w:noProof/>
              </w:rPr>
              <w:t>L57.</w:t>
            </w:r>
          </w:p>
        </w:tc>
        <w:tc>
          <w:tcPr>
            <w:tcW w:w="850" w:type="dxa"/>
            <w:shd w:val="clear" w:color="auto" w:fill="C6EFCE"/>
          </w:tcPr>
          <w:p w14:paraId="5A120BA7" w14:textId="77777777" w:rsidR="003E1D81" w:rsidRDefault="00EB481C">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0155F790"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5A070662" w14:textId="184B347B" w:rsidR="003E1D81" w:rsidRDefault="00EB481C">
            <w:pPr>
              <w:pStyle w:val="P68B1DB1-Normal13"/>
              <w:spacing w:after="0" w:line="240" w:lineRule="auto"/>
              <w:textAlignment w:val="baseline"/>
              <w:rPr>
                <w:rFonts w:eastAsia="Times New Roman" w:cs="Times New Roman"/>
                <w:noProof/>
              </w:rPr>
            </w:pPr>
            <w:r>
              <w:rPr>
                <w:noProof/>
              </w:rPr>
              <w:t>Regionális Rezilienciaépítési Alap – Egyéb költségvetési sorok: A végső kedvezményezettekkel (beleértve a tőkealapokat is) aláírt jogi megállapodások (IV)</w:t>
            </w:r>
          </w:p>
        </w:tc>
        <w:tc>
          <w:tcPr>
            <w:tcW w:w="1134" w:type="dxa"/>
            <w:shd w:val="clear" w:color="auto" w:fill="C6EFCE"/>
          </w:tcPr>
          <w:p w14:paraId="5A8CCAD9" w14:textId="7E8BD2A5"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664EC5B0" w14:textId="551D045F"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7702EF7D" w14:textId="553D87CD" w:rsidR="003E1D81" w:rsidRDefault="00EB481C">
            <w:pPr>
              <w:pStyle w:val="P68B1DB1-Normal13"/>
              <w:spacing w:after="0" w:line="240" w:lineRule="auto"/>
              <w:jc w:val="right"/>
              <w:textAlignment w:val="baseline"/>
              <w:rPr>
                <w:rFonts w:eastAsia="Times New Roman" w:cs="Times New Roman"/>
                <w:noProof/>
              </w:rPr>
            </w:pPr>
            <w:r>
              <w:rPr>
                <w:noProof/>
              </w:rPr>
              <w:t>75%</w:t>
            </w:r>
          </w:p>
        </w:tc>
        <w:tc>
          <w:tcPr>
            <w:tcW w:w="709" w:type="dxa"/>
            <w:shd w:val="clear" w:color="auto" w:fill="C6EFCE"/>
          </w:tcPr>
          <w:p w14:paraId="46AA8698" w14:textId="3B25FE1D" w:rsidR="003E1D81" w:rsidRDefault="00EB481C">
            <w:pPr>
              <w:pStyle w:val="P68B1DB1-Normal13"/>
              <w:spacing w:after="0" w:line="240" w:lineRule="auto"/>
              <w:jc w:val="right"/>
              <w:textAlignment w:val="baseline"/>
              <w:rPr>
                <w:rFonts w:eastAsia="Times New Roman" w:cs="Times New Roman"/>
                <w:noProof/>
              </w:rPr>
            </w:pPr>
            <w:r>
              <w:rPr>
                <w:noProof/>
              </w:rPr>
              <w:t>100%-OS</w:t>
            </w:r>
          </w:p>
        </w:tc>
        <w:tc>
          <w:tcPr>
            <w:tcW w:w="709" w:type="dxa"/>
            <w:shd w:val="clear" w:color="auto" w:fill="C6EFCE"/>
          </w:tcPr>
          <w:p w14:paraId="16FA5C8C" w14:textId="0BCDAFE3"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1DBD2CD8" w14:textId="77777777"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7D6E26F8" w14:textId="13BB85B1" w:rsidR="003E1D81" w:rsidRDefault="00EB481C">
            <w:pPr>
              <w:pStyle w:val="P68B1DB1-Normal13"/>
              <w:spacing w:after="0" w:line="240" w:lineRule="auto"/>
              <w:textAlignment w:val="baseline"/>
              <w:rPr>
                <w:rFonts w:eastAsia="Times New Roman" w:cs="Times New Roman"/>
                <w:noProof/>
              </w:rPr>
            </w:pPr>
            <w:r>
              <w:rPr>
                <w:noProof/>
              </w:rPr>
              <w:t xml:space="preserve">Az EBB csoportnak és az EBB </w:t>
            </w:r>
            <w:r>
              <w:rPr>
                <w:noProof/>
              </w:rPr>
              <w:t>csoport által kiválasztott közvetítőknek jogi finanszírozási megállapodásokat kell kötniük a végső kedvezményezettekkel (beleértve a tőkealapokat is) a Helyreállítási és Rezilienciaépítési Eszköz beruházásai 100%-ának az egyéb költségvetési sorokba történő</w:t>
            </w:r>
            <w:r>
              <w:rPr>
                <w:noProof/>
              </w:rPr>
              <w:t xml:space="preserve"> felhasználásához szükséges összegre (figyelembe véve az irányítási díjakat). A finanszírozás legalább 2,5%-ának a tőkealapokkal aláírt finanszírozási megállapodásoknak, legalább 60%-ának pedig a végső kedvezményezettekkel kötött finanszírozási megállapodá</w:t>
            </w:r>
            <w:r>
              <w:rPr>
                <w:noProof/>
              </w:rPr>
              <w:t>soknak kell megfelelnie az összes többi befektetési termék tekintetében (beleértve a Békekeret közvetlen tőkebefektetéseit is). Az EBB csoport a Helyreállítási és Rezilienciaépítési Eszközről szóló rendelet VI. mellékletében foglalt módszertan alkalmazásáv</w:t>
            </w:r>
            <w:r>
              <w:rPr>
                <w:noProof/>
              </w:rPr>
              <w:t>al jelentést készít, amelyben részletezi e finanszírozás azon százalékos arányát, amely hozzájárul az éghajlat-politikai célkitűzésekhez.</w:t>
            </w:r>
          </w:p>
        </w:tc>
      </w:tr>
      <w:tr w:rsidR="003E1D81" w14:paraId="06A35F8D" w14:textId="77777777">
        <w:trPr>
          <w:trHeight w:val="417"/>
        </w:trPr>
        <w:tc>
          <w:tcPr>
            <w:tcW w:w="846" w:type="dxa"/>
            <w:shd w:val="clear" w:color="auto" w:fill="C6EFCE"/>
          </w:tcPr>
          <w:p w14:paraId="12F5515E" w14:textId="01698D97" w:rsidR="003E1D81" w:rsidRDefault="00EB481C">
            <w:pPr>
              <w:pStyle w:val="P68B1DB1-Normal13"/>
              <w:spacing w:after="0" w:line="240" w:lineRule="auto"/>
              <w:jc w:val="center"/>
              <w:textAlignment w:val="baseline"/>
              <w:rPr>
                <w:rFonts w:eastAsia="Times New Roman" w:cs="Times New Roman"/>
                <w:noProof/>
              </w:rPr>
            </w:pPr>
            <w:r>
              <w:rPr>
                <w:noProof/>
              </w:rPr>
              <w:t>L58.</w:t>
            </w:r>
          </w:p>
        </w:tc>
        <w:tc>
          <w:tcPr>
            <w:tcW w:w="850" w:type="dxa"/>
            <w:shd w:val="clear" w:color="auto" w:fill="C6EFCE"/>
          </w:tcPr>
          <w:p w14:paraId="683F350C" w14:textId="77777777" w:rsidR="003E1D81" w:rsidRDefault="00EB481C">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5BE30C83"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3063E0CC" w14:textId="6EC4301B" w:rsidR="003E1D81" w:rsidRDefault="00EB481C">
            <w:pPr>
              <w:pStyle w:val="P68B1DB1-Normal13"/>
              <w:spacing w:after="0" w:line="240" w:lineRule="auto"/>
              <w:textAlignment w:val="baseline"/>
              <w:rPr>
                <w:rFonts w:eastAsia="Times New Roman" w:cs="Times New Roman"/>
                <w:noProof/>
              </w:rPr>
            </w:pPr>
            <w:r>
              <w:rPr>
                <w:noProof/>
              </w:rPr>
              <w:t xml:space="preserve">Regionális Rezilienciaépítési Alap – Közvetlen állami irányvonal: A végső kedvezményezettekkel aláírt </w:t>
            </w:r>
            <w:r>
              <w:rPr>
                <w:noProof/>
              </w:rPr>
              <w:t>jogi megállapodások (I)</w:t>
            </w:r>
          </w:p>
        </w:tc>
        <w:tc>
          <w:tcPr>
            <w:tcW w:w="1134" w:type="dxa"/>
            <w:shd w:val="clear" w:color="auto" w:fill="C6EFCE"/>
          </w:tcPr>
          <w:p w14:paraId="02B3B879" w14:textId="391F8EEA"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3B89C93" w14:textId="6D36023C"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1C5B8A19" w14:textId="77777777" w:rsidR="003E1D81" w:rsidRDefault="00EB481C">
            <w:pPr>
              <w:pStyle w:val="P68B1DB1-Normal13"/>
              <w:spacing w:after="0" w:line="240" w:lineRule="auto"/>
              <w:jc w:val="right"/>
              <w:textAlignment w:val="baseline"/>
              <w:rPr>
                <w:rFonts w:eastAsia="Times New Roman" w:cs="Times New Roman"/>
                <w:noProof/>
              </w:rPr>
            </w:pPr>
            <w:r>
              <w:rPr>
                <w:noProof/>
              </w:rPr>
              <w:t>0</w:t>
            </w:r>
          </w:p>
        </w:tc>
        <w:tc>
          <w:tcPr>
            <w:tcW w:w="709" w:type="dxa"/>
            <w:shd w:val="clear" w:color="auto" w:fill="C6EFCE"/>
          </w:tcPr>
          <w:p w14:paraId="7ECDB1A0" w14:textId="53352305" w:rsidR="003E1D81" w:rsidRDefault="00EB481C">
            <w:pPr>
              <w:pStyle w:val="P68B1DB1-Normal13"/>
              <w:spacing w:after="0" w:line="240" w:lineRule="auto"/>
              <w:jc w:val="right"/>
              <w:textAlignment w:val="baseline"/>
              <w:rPr>
                <w:rFonts w:eastAsia="Times New Roman" w:cs="Times New Roman"/>
                <w:noProof/>
              </w:rPr>
            </w:pPr>
            <w:r>
              <w:rPr>
                <w:noProof/>
              </w:rPr>
              <w:t>50%</w:t>
            </w:r>
          </w:p>
        </w:tc>
        <w:tc>
          <w:tcPr>
            <w:tcW w:w="709" w:type="dxa"/>
            <w:shd w:val="clear" w:color="auto" w:fill="C6EFCE"/>
          </w:tcPr>
          <w:p w14:paraId="34245172" w14:textId="77777777"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705541E0" w14:textId="77777777" w:rsidR="003E1D81" w:rsidRDefault="00EB481C">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11CD28D0" w14:textId="1D461C85" w:rsidR="003E1D81" w:rsidRDefault="00EB481C">
            <w:pPr>
              <w:pStyle w:val="P68B1DB1-Normal13"/>
              <w:spacing w:after="0" w:line="240" w:lineRule="auto"/>
              <w:textAlignment w:val="baseline"/>
              <w:rPr>
                <w:rFonts w:eastAsia="Times New Roman" w:cs="Times New Roman"/>
                <w:noProof/>
              </w:rPr>
            </w:pPr>
            <w:r>
              <w:rPr>
                <w:noProof/>
              </w:rPr>
              <w:t>Az EBB csoportnak és az EBB csoport által kiválasztott közvetítőknek jogi finanszírozási megállapodásokat kell kötniük a végső kedvezményezettekkel a Helyreállítási és Rezilienciaépítési Eszközből történő beruh</w:t>
            </w:r>
            <w:r>
              <w:rPr>
                <w:noProof/>
              </w:rPr>
              <w:t>ázás legalább 50%-ának a közvetlen közvonalba történő felhasználásához szükséges összegre (figyelembe véve az irányítási díjakat). Az EBB csoport a Helyreállítási és Rezilienciaépítési Eszközről szóló rendelet VI. mellékletében foglalt módszertan alkalmazá</w:t>
            </w:r>
            <w:r>
              <w:rPr>
                <w:noProof/>
              </w:rPr>
              <w:t>sával jelentést készít, amelyben részletezi e finanszírozás azon százalékos arányát, amely hozzájárul az éghajlat-politikai célkitűzésekhez.</w:t>
            </w:r>
          </w:p>
        </w:tc>
      </w:tr>
      <w:tr w:rsidR="003E1D81" w14:paraId="63E8570F" w14:textId="77777777">
        <w:trPr>
          <w:trHeight w:val="417"/>
        </w:trPr>
        <w:tc>
          <w:tcPr>
            <w:tcW w:w="846" w:type="dxa"/>
            <w:shd w:val="clear" w:color="auto" w:fill="C6EFCE"/>
          </w:tcPr>
          <w:p w14:paraId="4495493D" w14:textId="6672C7F9" w:rsidR="003E1D81" w:rsidRDefault="00EB481C">
            <w:pPr>
              <w:pStyle w:val="P68B1DB1-Normal13"/>
              <w:spacing w:after="0" w:line="240" w:lineRule="auto"/>
              <w:jc w:val="center"/>
              <w:textAlignment w:val="baseline"/>
              <w:rPr>
                <w:rFonts w:eastAsia="Times New Roman" w:cs="Times New Roman"/>
                <w:noProof/>
              </w:rPr>
            </w:pPr>
            <w:r>
              <w:rPr>
                <w:noProof/>
              </w:rPr>
              <w:t>L59</w:t>
            </w:r>
          </w:p>
        </w:tc>
        <w:tc>
          <w:tcPr>
            <w:tcW w:w="850" w:type="dxa"/>
            <w:shd w:val="clear" w:color="auto" w:fill="C6EFCE"/>
          </w:tcPr>
          <w:p w14:paraId="2E2778A9" w14:textId="77777777" w:rsidR="003E1D81" w:rsidRDefault="00EB481C">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3B4CBA85" w14:textId="77777777" w:rsidR="003E1D81" w:rsidRDefault="00EB481C">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099C52F7" w14:textId="370CF6B6" w:rsidR="003E1D81" w:rsidRDefault="00EB481C">
            <w:pPr>
              <w:pStyle w:val="P68B1DB1-Normal13"/>
              <w:spacing w:after="0" w:line="240" w:lineRule="auto"/>
              <w:textAlignment w:val="baseline"/>
              <w:rPr>
                <w:rFonts w:eastAsia="Times New Roman" w:cs="Times New Roman"/>
                <w:noProof/>
              </w:rPr>
            </w:pPr>
            <w:r>
              <w:rPr>
                <w:noProof/>
              </w:rPr>
              <w:t xml:space="preserve">Regionális Rezilienciaépítési Alap – Közvetlen állami irányvonal: A végső kedvezményezettekkel </w:t>
            </w:r>
            <w:r>
              <w:rPr>
                <w:noProof/>
              </w:rPr>
              <w:t>aláírt jogi megállapodások (II)</w:t>
            </w:r>
          </w:p>
        </w:tc>
        <w:tc>
          <w:tcPr>
            <w:tcW w:w="1134" w:type="dxa"/>
            <w:shd w:val="clear" w:color="auto" w:fill="C6EFCE"/>
          </w:tcPr>
          <w:p w14:paraId="4D278E9E" w14:textId="0BACD6D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019728C8" w14:textId="00BA9B33"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1F042AEB" w14:textId="04DA191A" w:rsidR="003E1D81" w:rsidRDefault="00EB481C">
            <w:pPr>
              <w:pStyle w:val="P68B1DB1-Normal13"/>
              <w:spacing w:after="0" w:line="240" w:lineRule="auto"/>
              <w:jc w:val="right"/>
              <w:textAlignment w:val="baseline"/>
              <w:rPr>
                <w:rFonts w:eastAsia="Times New Roman" w:cs="Times New Roman"/>
                <w:noProof/>
              </w:rPr>
            </w:pPr>
            <w:r>
              <w:rPr>
                <w:noProof/>
              </w:rPr>
              <w:t>50%</w:t>
            </w:r>
          </w:p>
        </w:tc>
        <w:tc>
          <w:tcPr>
            <w:tcW w:w="709" w:type="dxa"/>
            <w:shd w:val="clear" w:color="auto" w:fill="C6EFCE"/>
          </w:tcPr>
          <w:p w14:paraId="7DEF3DEE" w14:textId="7267021C" w:rsidR="003E1D81" w:rsidRDefault="00EB481C">
            <w:pPr>
              <w:pStyle w:val="P68B1DB1-Normal13"/>
              <w:spacing w:after="0" w:line="240" w:lineRule="auto"/>
              <w:jc w:val="right"/>
              <w:textAlignment w:val="baseline"/>
              <w:rPr>
                <w:rFonts w:eastAsia="Times New Roman" w:cs="Times New Roman"/>
                <w:noProof/>
              </w:rPr>
            </w:pPr>
            <w:r>
              <w:rPr>
                <w:noProof/>
              </w:rPr>
              <w:t>100%-OS</w:t>
            </w:r>
          </w:p>
        </w:tc>
        <w:tc>
          <w:tcPr>
            <w:tcW w:w="709" w:type="dxa"/>
            <w:shd w:val="clear" w:color="auto" w:fill="C6EFCE"/>
          </w:tcPr>
          <w:p w14:paraId="5E27C084" w14:textId="77777777" w:rsidR="003E1D81" w:rsidRDefault="00EB481C">
            <w:pPr>
              <w:pStyle w:val="P68B1DB1-Normal13"/>
              <w:spacing w:after="0" w:line="240" w:lineRule="auto"/>
              <w:jc w:val="center"/>
              <w:textAlignment w:val="baseline"/>
              <w:rPr>
                <w:rFonts w:eastAsia="Times New Roman" w:cs="Times New Roman"/>
                <w:noProof/>
              </w:rPr>
            </w:pPr>
            <w:r>
              <w:rPr>
                <w:noProof/>
              </w:rPr>
              <w:t>KÉRDÉS</w:t>
            </w:r>
          </w:p>
        </w:tc>
        <w:tc>
          <w:tcPr>
            <w:tcW w:w="709" w:type="dxa"/>
            <w:shd w:val="clear" w:color="auto" w:fill="C6EFCE"/>
          </w:tcPr>
          <w:p w14:paraId="36118383" w14:textId="77777777" w:rsidR="003E1D81" w:rsidRDefault="00EB481C">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58EF0038" w14:textId="1238F812" w:rsidR="003E1D81" w:rsidRDefault="00EB481C">
            <w:pPr>
              <w:pStyle w:val="P68B1DB1-Normal13"/>
              <w:spacing w:after="0" w:line="240" w:lineRule="auto"/>
              <w:textAlignment w:val="baseline"/>
              <w:rPr>
                <w:rFonts w:eastAsia="Times New Roman" w:cs="Times New Roman"/>
                <w:noProof/>
              </w:rPr>
            </w:pPr>
            <w:r>
              <w:rPr>
                <w:noProof/>
              </w:rPr>
              <w:t>Az EBB csoportnak és az EBB csoport által kiválasztott közvetítőknek jogi finanszírozási megállapodásokat kell kötniük a végső kedvezményezettekkel a Helyreállítási és Rezilienciaépítési Eszköz beru</w:t>
            </w:r>
            <w:r>
              <w:rPr>
                <w:noProof/>
              </w:rPr>
              <w:t xml:space="preserve">házásai 100%-ának a közvetlen közvonalba történő felhasználásához szükséges összegről (figyelembe véve az irányítási díjakat). </w:t>
            </w:r>
            <w:bookmarkStart w:id="47" w:name="_Hlk145696936"/>
            <w:r>
              <w:rPr>
                <w:noProof/>
              </w:rPr>
              <w:t>Az EBB csoport a Helyreállítási és Rezilienciaépítési Eszközről szóló rendelet VI. mellékletében foglalt módszertan alkalmazásáva</w:t>
            </w:r>
            <w:r>
              <w:rPr>
                <w:noProof/>
              </w:rPr>
              <w:t>l jelentést készít, amelyben részletezi e finanszírozás azon százalékos arányát, amely hozzájárul az éghajlat-politikai célkitűzésekhez.</w:t>
            </w:r>
            <w:bookmarkEnd w:id="47"/>
          </w:p>
        </w:tc>
      </w:tr>
      <w:tr w:rsidR="003E1D81" w14:paraId="03FB41D9" w14:textId="77777777">
        <w:trPr>
          <w:trHeight w:val="417"/>
        </w:trPr>
        <w:tc>
          <w:tcPr>
            <w:tcW w:w="846" w:type="dxa"/>
            <w:shd w:val="clear" w:color="auto" w:fill="C6EFCE"/>
          </w:tcPr>
          <w:p w14:paraId="01FCDD23" w14:textId="44738A29" w:rsidR="003E1D81" w:rsidRDefault="00EB481C">
            <w:pPr>
              <w:pStyle w:val="P68B1DB1-Normal13"/>
              <w:spacing w:after="0" w:line="240" w:lineRule="auto"/>
              <w:jc w:val="center"/>
              <w:textAlignment w:val="baseline"/>
              <w:rPr>
                <w:rFonts w:eastAsia="Times New Roman" w:cs="Times New Roman"/>
                <w:noProof/>
              </w:rPr>
            </w:pPr>
            <w:r>
              <w:rPr>
                <w:noProof/>
              </w:rPr>
              <w:t>L60</w:t>
            </w:r>
          </w:p>
        </w:tc>
        <w:tc>
          <w:tcPr>
            <w:tcW w:w="850" w:type="dxa"/>
            <w:shd w:val="clear" w:color="auto" w:fill="C6EFCE"/>
          </w:tcPr>
          <w:p w14:paraId="5CBC3798" w14:textId="3C89253C" w:rsidR="003E1D81" w:rsidRDefault="00EB481C">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3BAD9EAF" w14:textId="74664483" w:rsidR="003E1D81" w:rsidRDefault="00EB481C">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0EAD6F9A" w14:textId="125F4E01" w:rsidR="003E1D81" w:rsidRDefault="00EB481C">
            <w:pPr>
              <w:pStyle w:val="P68B1DB1-Normal13"/>
              <w:spacing w:after="0" w:line="240" w:lineRule="auto"/>
              <w:textAlignment w:val="baseline"/>
              <w:rPr>
                <w:rFonts w:eastAsia="Times New Roman" w:cs="Times New Roman"/>
                <w:noProof/>
              </w:rPr>
            </w:pPr>
            <w:r>
              <w:rPr>
                <w:noProof/>
              </w:rPr>
              <w:t>Regionális Rezilienciaépítési Alap – éghajlat-politikai hozzájárulás</w:t>
            </w:r>
          </w:p>
        </w:tc>
        <w:tc>
          <w:tcPr>
            <w:tcW w:w="1134" w:type="dxa"/>
            <w:shd w:val="clear" w:color="auto" w:fill="C6EFCE"/>
          </w:tcPr>
          <w:p w14:paraId="2E9F1A1F"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8B9F36D"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00BC601D"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55BFDEE6"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CD6F765" w14:textId="6CE14458"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1DDDBAD4" w14:textId="51E2A380"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5E552863" w14:textId="2E918D87" w:rsidR="003E1D81" w:rsidRDefault="00EB481C">
            <w:pPr>
              <w:pStyle w:val="P68B1DB1-Normal13"/>
              <w:spacing w:after="0" w:line="240" w:lineRule="auto"/>
              <w:textAlignment w:val="baseline"/>
              <w:rPr>
                <w:rFonts w:eastAsia="Times New Roman" w:cs="Times New Roman"/>
                <w:noProof/>
              </w:rPr>
            </w:pPr>
            <w:r>
              <w:rPr>
                <w:noProof/>
              </w:rPr>
              <w:t xml:space="preserve">A közvetlen </w:t>
            </w:r>
            <w:r>
              <w:rPr>
                <w:noProof/>
              </w:rPr>
              <w:t>állami és egyéb költségvetési sorok finanszírozásának legalább 50%-a a Helyreállítási és Rezilienciaépítési Eszközről szóló rendelet VI. mellékletében foglalt módszertan alkalmazásával járul hozzá az éghajlat-politikai célkitűzésekhez.</w:t>
            </w:r>
          </w:p>
        </w:tc>
      </w:tr>
      <w:tr w:rsidR="003E1D81" w14:paraId="21EB8F1D" w14:textId="77777777">
        <w:trPr>
          <w:trHeight w:val="300"/>
        </w:trPr>
        <w:tc>
          <w:tcPr>
            <w:tcW w:w="846" w:type="dxa"/>
            <w:shd w:val="clear" w:color="auto" w:fill="C6EFCE"/>
          </w:tcPr>
          <w:p w14:paraId="72699A00" w14:textId="079AEF25" w:rsidR="003E1D81" w:rsidRDefault="00EB481C">
            <w:pPr>
              <w:pStyle w:val="P68B1DB1-Normal13"/>
              <w:spacing w:after="0" w:line="240" w:lineRule="auto"/>
              <w:jc w:val="center"/>
              <w:textAlignment w:val="baseline"/>
              <w:rPr>
                <w:rFonts w:eastAsia="Times New Roman" w:cs="Times New Roman"/>
                <w:noProof/>
              </w:rPr>
            </w:pPr>
            <w:r>
              <w:rPr>
                <w:noProof/>
              </w:rPr>
              <w:t>L61.</w:t>
            </w:r>
          </w:p>
        </w:tc>
        <w:tc>
          <w:tcPr>
            <w:tcW w:w="850" w:type="dxa"/>
            <w:shd w:val="clear" w:color="auto" w:fill="C6EFCE"/>
          </w:tcPr>
          <w:p w14:paraId="5845E936" w14:textId="77777777" w:rsidR="003E1D81" w:rsidRDefault="00EB481C">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0D109629" w14:textId="49F3C68C" w:rsidR="003E1D81" w:rsidRDefault="00EB481C">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505D58B1" w14:textId="5F4AF18F" w:rsidR="003E1D81" w:rsidRDefault="00EB481C">
            <w:pPr>
              <w:pStyle w:val="P68B1DB1-Normal13"/>
              <w:spacing w:after="0" w:line="240" w:lineRule="auto"/>
              <w:textAlignment w:val="baseline"/>
              <w:rPr>
                <w:rFonts w:eastAsia="Times New Roman" w:cs="Times New Roman"/>
                <w:noProof/>
              </w:rPr>
            </w:pPr>
            <w:r>
              <w:rPr>
                <w:noProof/>
              </w:rPr>
              <w:t>Regionális Rezilienciaépítési Alap – Közvetlen állami irányvonal: A projektek közjogi intézmények általi befejezése</w:t>
            </w:r>
          </w:p>
        </w:tc>
        <w:tc>
          <w:tcPr>
            <w:tcW w:w="1134" w:type="dxa"/>
            <w:shd w:val="clear" w:color="auto" w:fill="C6EFCE"/>
          </w:tcPr>
          <w:p w14:paraId="2820682D" w14:textId="40F98DA1"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7E495312" w14:textId="2B6037AD"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5E04D9BD"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729A8EC" w14:textId="40BB2BFC" w:rsidR="003E1D81" w:rsidRDefault="003E1D81">
            <w:pPr>
              <w:jc w:val="right"/>
              <w:rPr>
                <w:rFonts w:ascii="Times New Roman" w:eastAsia="Times New Roman" w:hAnsi="Times New Roman" w:cs="Times New Roman"/>
                <w:noProof/>
                <w:sz w:val="18"/>
              </w:rPr>
            </w:pPr>
          </w:p>
        </w:tc>
        <w:tc>
          <w:tcPr>
            <w:tcW w:w="709" w:type="dxa"/>
            <w:shd w:val="clear" w:color="auto" w:fill="C6EFCE"/>
          </w:tcPr>
          <w:p w14:paraId="4442565A" w14:textId="1907DC9B"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3FF794C2" w14:textId="77777777"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1812BD0E" w14:textId="66C1961E" w:rsidR="003E1D81" w:rsidRDefault="00EB481C">
            <w:pPr>
              <w:pStyle w:val="P68B1DB1-Normal13"/>
              <w:spacing w:after="0" w:line="240" w:lineRule="auto"/>
              <w:textAlignment w:val="baseline"/>
              <w:rPr>
                <w:rFonts w:eastAsia="Times New Roman" w:cs="Times New Roman"/>
                <w:noProof/>
              </w:rPr>
            </w:pPr>
            <w:r>
              <w:rPr>
                <w:noProof/>
              </w:rPr>
              <w:t>A közigazgatási szervek projektjeinek befejezése, amelyek összege a közvetlen közvonalban legalább 3 150 000 000 EUR-t tes</w:t>
            </w:r>
            <w:r>
              <w:rPr>
                <w:noProof/>
              </w:rPr>
              <w:t>z ki (beleértve a kezelési díjakat is).</w:t>
            </w:r>
            <w:r>
              <w:rPr>
                <w:noProof/>
                <w:highlight w:val="yellow"/>
              </w:rPr>
              <w:t xml:space="preserve"> </w:t>
            </w:r>
          </w:p>
        </w:tc>
      </w:tr>
      <w:tr w:rsidR="003E1D81" w14:paraId="16180596" w14:textId="77777777">
        <w:trPr>
          <w:trHeight w:val="300"/>
        </w:trPr>
        <w:tc>
          <w:tcPr>
            <w:tcW w:w="846" w:type="dxa"/>
            <w:shd w:val="clear" w:color="auto" w:fill="C6EFCE"/>
          </w:tcPr>
          <w:p w14:paraId="64DE1AE2" w14:textId="7B5AB5C3" w:rsidR="003E1D81" w:rsidRDefault="00EB481C">
            <w:pPr>
              <w:pStyle w:val="P68B1DB1-Normal13"/>
              <w:spacing w:after="0" w:line="240" w:lineRule="auto"/>
              <w:jc w:val="center"/>
              <w:textAlignment w:val="baseline"/>
              <w:rPr>
                <w:rFonts w:eastAsia="Times New Roman" w:cs="Times New Roman"/>
                <w:noProof/>
              </w:rPr>
            </w:pPr>
            <w:r>
              <w:rPr>
                <w:noProof/>
              </w:rPr>
              <w:t>L62</w:t>
            </w:r>
          </w:p>
        </w:tc>
        <w:tc>
          <w:tcPr>
            <w:tcW w:w="850" w:type="dxa"/>
            <w:shd w:val="clear" w:color="auto" w:fill="C6EFCE"/>
          </w:tcPr>
          <w:p w14:paraId="37BA37A7" w14:textId="77777777" w:rsidR="003E1D81" w:rsidRDefault="00EB481C">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7DF5DC8D" w14:textId="77777777" w:rsidR="003E1D81" w:rsidRDefault="00EB481C">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5C1B1A16" w14:textId="539CE86A" w:rsidR="003E1D81" w:rsidRDefault="00EB481C">
            <w:pPr>
              <w:pStyle w:val="P68B1DB1-Normal13"/>
              <w:spacing w:after="0" w:line="240" w:lineRule="auto"/>
              <w:textAlignment w:val="baseline"/>
              <w:rPr>
                <w:rFonts w:eastAsia="Times New Roman" w:cs="Times New Roman"/>
                <w:noProof/>
              </w:rPr>
            </w:pPr>
            <w:r>
              <w:rPr>
                <w:noProof/>
              </w:rPr>
              <w:t>Regionális Rezilienciaépítési Alap – A gazdasági ügyekért és a digitális átállásért felelős minisztérium befejezte a beruházást</w:t>
            </w:r>
          </w:p>
        </w:tc>
        <w:tc>
          <w:tcPr>
            <w:tcW w:w="1134" w:type="dxa"/>
            <w:shd w:val="clear" w:color="auto" w:fill="C6EFCE"/>
          </w:tcPr>
          <w:p w14:paraId="16C4AA6B" w14:textId="77777777" w:rsidR="003E1D81" w:rsidRDefault="00EB481C">
            <w:pPr>
              <w:pStyle w:val="P68B1DB1-Normal13"/>
              <w:spacing w:after="0" w:line="240" w:lineRule="auto"/>
              <w:jc w:val="center"/>
              <w:textAlignment w:val="baseline"/>
              <w:rPr>
                <w:rFonts w:eastAsia="Times New Roman" w:cs="Times New Roman"/>
                <w:noProof/>
              </w:rPr>
            </w:pPr>
            <w:r>
              <w:rPr>
                <w:noProof/>
              </w:rPr>
              <w:t>Igazolás az Alap részére történő folyósításról</w:t>
            </w:r>
          </w:p>
        </w:tc>
        <w:tc>
          <w:tcPr>
            <w:tcW w:w="709" w:type="dxa"/>
            <w:shd w:val="clear" w:color="auto" w:fill="C6EFCE"/>
          </w:tcPr>
          <w:p w14:paraId="11CA77FB" w14:textId="56F495F6" w:rsidR="003E1D81" w:rsidRDefault="003E1D81">
            <w:pPr>
              <w:spacing w:after="0" w:line="240" w:lineRule="auto"/>
              <w:jc w:val="center"/>
              <w:textAlignment w:val="baseline"/>
              <w:rPr>
                <w:rFonts w:ascii="Times New Roman" w:eastAsia="Times New Roman" w:hAnsi="Times New Roman" w:cs="Times New Roman"/>
                <w:noProof/>
                <w:sz w:val="18"/>
              </w:rPr>
            </w:pPr>
          </w:p>
          <w:p w14:paraId="1F699900" w14:textId="77777777" w:rsidR="003E1D81" w:rsidRDefault="003E1D81">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311F4D0C"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18DB9A1B" w14:textId="0029E818" w:rsidR="003E1D81" w:rsidRDefault="003E1D81">
            <w:pPr>
              <w:spacing w:after="0" w:line="240" w:lineRule="auto"/>
              <w:jc w:val="right"/>
              <w:textAlignment w:val="baseline"/>
              <w:rPr>
                <w:rFonts w:ascii="Times New Roman" w:eastAsia="Times New Roman" w:hAnsi="Times New Roman" w:cs="Times New Roman"/>
                <w:noProof/>
                <w:sz w:val="18"/>
              </w:rPr>
            </w:pPr>
          </w:p>
          <w:p w14:paraId="3BB3C1FE" w14:textId="77777777" w:rsidR="003E1D81" w:rsidRDefault="003E1D81">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7A261259" w14:textId="5DA6EADE" w:rsidR="003E1D81" w:rsidRDefault="00EB481C">
            <w:pPr>
              <w:pStyle w:val="P68B1DB1-Normal13"/>
              <w:spacing w:after="0" w:line="240" w:lineRule="auto"/>
              <w:jc w:val="center"/>
              <w:textAlignment w:val="baseline"/>
              <w:rPr>
                <w:rFonts w:eastAsia="Times New Roman" w:cs="Times New Roman"/>
                <w:noProof/>
              </w:rPr>
            </w:pPr>
            <w:r>
              <w:rPr>
                <w:noProof/>
              </w:rPr>
              <w:t>NEGYEDÉV</w:t>
            </w:r>
          </w:p>
        </w:tc>
        <w:tc>
          <w:tcPr>
            <w:tcW w:w="709" w:type="dxa"/>
            <w:shd w:val="clear" w:color="auto" w:fill="C6EFCE"/>
          </w:tcPr>
          <w:p w14:paraId="219AE1CF" w14:textId="77777777" w:rsidR="003E1D81" w:rsidRDefault="00EB481C">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4DD5973E" w14:textId="70BFECC3" w:rsidR="003E1D81" w:rsidRDefault="00EB481C">
            <w:pPr>
              <w:pStyle w:val="P68B1DB1-Normal13"/>
              <w:spacing w:after="0" w:line="240" w:lineRule="auto"/>
              <w:textAlignment w:val="baseline"/>
              <w:rPr>
                <w:rFonts w:eastAsia="Times New Roman" w:cs="Times New Roman"/>
                <w:noProof/>
              </w:rPr>
            </w:pPr>
            <w:r>
              <w:rPr>
                <w:noProof/>
              </w:rPr>
              <w:t>Spanyolország a hitelezési eszköz céljára 19 500 000 000 EUR-t utal át az EBB csoportnak.</w:t>
            </w:r>
          </w:p>
        </w:tc>
      </w:tr>
      <w:bookmarkEnd w:id="46"/>
    </w:tbl>
    <w:p w14:paraId="7E6B0AD1" w14:textId="19B8E0ED" w:rsidR="003E1D81" w:rsidRDefault="00EB481C">
      <w:pPr>
        <w:rPr>
          <w:rFonts w:ascii="Times New Roman" w:hAnsi="Times New Roman" w:cs="Times New Roman"/>
          <w:noProof/>
          <w:sz w:val="24"/>
        </w:rPr>
      </w:pPr>
      <w:r>
        <w:rPr>
          <w:noProof/>
        </w:rPr>
        <w:br w:type="page"/>
      </w:r>
    </w:p>
    <w:p w14:paraId="6B8AE13E" w14:textId="77777777" w:rsidR="003E1D81" w:rsidRDefault="003E1D81">
      <w:pPr>
        <w:rPr>
          <w:rFonts w:ascii="Times New Roman" w:hAnsi="Times New Roman" w:cs="Times New Roman"/>
          <w:noProof/>
          <w:sz w:val="24"/>
        </w:rPr>
        <w:sectPr w:rsidR="003E1D81" w:rsidSect="00EB7CC8">
          <w:headerReference w:type="even" r:id="rId288"/>
          <w:headerReference w:type="default" r:id="rId289"/>
          <w:footerReference w:type="even" r:id="rId290"/>
          <w:footerReference w:type="default" r:id="rId291"/>
          <w:headerReference w:type="first" r:id="rId292"/>
          <w:footerReference w:type="first" r:id="rId293"/>
          <w:pgSz w:w="16839" w:h="11907" w:orient="landscape"/>
          <w:pgMar w:top="1417" w:right="1134" w:bottom="1417" w:left="1134" w:header="709" w:footer="709" w:gutter="0"/>
          <w:cols w:space="720"/>
          <w:docGrid w:linePitch="360"/>
        </w:sectPr>
      </w:pPr>
    </w:p>
    <w:p w14:paraId="49F00853" w14:textId="77777777" w:rsidR="003E1D81" w:rsidRDefault="00EB481C">
      <w:pPr>
        <w:pStyle w:val="P68B1DB1-Heading12"/>
        <w:rPr>
          <w:rFonts w:cs="Times New Roman"/>
          <w:noProof/>
        </w:rPr>
      </w:pPr>
      <w:r>
        <w:rPr>
          <w:noProof/>
        </w:rPr>
        <w:t>N. 14. ÖSSZETEVŐ: Turizmus</w:t>
      </w:r>
    </w:p>
    <w:p w14:paraId="187C3B49" w14:textId="77777777" w:rsidR="003E1D81" w:rsidRDefault="00EB481C">
      <w:pPr>
        <w:pStyle w:val="maintext"/>
        <w:rPr>
          <w:b/>
          <w:smallCaps/>
          <w:noProof/>
          <w:sz w:val="28"/>
        </w:rPr>
      </w:pPr>
      <w:r>
        <w:rPr>
          <w:noProof/>
        </w:rPr>
        <w:t xml:space="preserve">A spanyol helyreállítási és rezilienciaépítési terv komponense a </w:t>
      </w:r>
      <w:r>
        <w:rPr>
          <w:noProof/>
        </w:rPr>
        <w:t>következő kihívásokkal foglalkozik:</w:t>
      </w:r>
    </w:p>
    <w:p w14:paraId="70FB1EE8" w14:textId="77777777" w:rsidR="003E1D81" w:rsidRDefault="00EB481C">
      <w:pPr>
        <w:pStyle w:val="P68B1DB1-ListParagraph7"/>
        <w:numPr>
          <w:ilvl w:val="0"/>
          <w:numId w:val="720"/>
        </w:numPr>
        <w:spacing w:before="120" w:line="240" w:lineRule="auto"/>
        <w:jc w:val="both"/>
        <w:rPr>
          <w:rFonts w:cs="Times New Roman"/>
          <w:noProof/>
        </w:rPr>
      </w:pPr>
      <w:r>
        <w:rPr>
          <w:noProof/>
        </w:rPr>
        <w:t xml:space="preserve">A spanyol idegenforgalmi ágazat a Covid19-világjárvány által kiváltott válság miatt rendkívül kényes helyzettel néz szembe, és sürgős fellépésre van szükség fenntarthatóságának és versenyképességének növelése érdekében. </w:t>
      </w:r>
    </w:p>
    <w:p w14:paraId="6CDD9DBE" w14:textId="77777777" w:rsidR="003E1D81" w:rsidRDefault="00EB481C">
      <w:pPr>
        <w:pStyle w:val="P68B1DB1-ListParagraph7"/>
        <w:numPr>
          <w:ilvl w:val="0"/>
          <w:numId w:val="720"/>
        </w:numPr>
        <w:spacing w:before="120" w:after="120" w:line="240" w:lineRule="auto"/>
        <w:jc w:val="both"/>
        <w:rPr>
          <w:rFonts w:cs="Times New Roman"/>
          <w:noProof/>
        </w:rPr>
      </w:pPr>
      <w:r>
        <w:rPr>
          <w:noProof/>
        </w:rPr>
        <w:t>A Kanári-szigeteknek és a Baleár-szigeteknek, amelyek a spanyol idegenforgalmi ágazat motorjai, különleges intézkedésekre van szükségük az externáliák és az üdülési tevékenységtől való nagyfokú függésük csökkentése érdekében.</w:t>
      </w:r>
    </w:p>
    <w:p w14:paraId="0CF97EC8" w14:textId="77777777" w:rsidR="003E1D81" w:rsidRDefault="00EB481C">
      <w:pPr>
        <w:pStyle w:val="P68B1DB1-ListParagraph7"/>
        <w:numPr>
          <w:ilvl w:val="0"/>
          <w:numId w:val="720"/>
        </w:numPr>
        <w:spacing w:before="120" w:after="120" w:line="240" w:lineRule="auto"/>
        <w:jc w:val="both"/>
        <w:rPr>
          <w:rFonts w:cs="Times New Roman"/>
          <w:noProof/>
        </w:rPr>
      </w:pPr>
      <w:r>
        <w:rPr>
          <w:noProof/>
        </w:rPr>
        <w:t xml:space="preserve">Spanyolország az információs </w:t>
      </w:r>
      <w:r>
        <w:rPr>
          <w:noProof/>
        </w:rPr>
        <w:t xml:space="preserve">és kommunikációs technológia terén a 27. helyen áll, és a Világgazdasági Fórum turisztikai versenyképességi jelentése szerint készen áll. Emellett a K+F-be történő köz- és magánberuházások viszonylag alacsonyak. Emellett számos jelentés rámutat arra, hogy </w:t>
      </w:r>
      <w:r>
        <w:rPr>
          <w:noProof/>
        </w:rPr>
        <w:t>az utazási ágazat a legnagyobb potenciállal rendelkezik a mesterséges intelligencia előnyeinek kihasználására (a tevékenység hozzáadott értékének 288%-os növekedése MI-alkalmazás révén).</w:t>
      </w:r>
    </w:p>
    <w:p w14:paraId="5A8182C4" w14:textId="77777777" w:rsidR="003E1D81" w:rsidRDefault="00EB481C">
      <w:pPr>
        <w:pStyle w:val="P68B1DB1-Normal4"/>
        <w:spacing w:before="120" w:after="120" w:line="240" w:lineRule="auto"/>
        <w:jc w:val="both"/>
        <w:rPr>
          <w:rFonts w:cs="Times New Roman"/>
          <w:noProof/>
        </w:rPr>
      </w:pPr>
      <w:r>
        <w:rPr>
          <w:noProof/>
        </w:rPr>
        <w:t>Ennek az összetevőnek az a célja, hogy versenyképességének és ellenál</w:t>
      </w:r>
      <w:r>
        <w:rPr>
          <w:noProof/>
        </w:rPr>
        <w:t>ló képességének növelése révén átalakítsa és korszerűsítse a spanyol idegenforgalmi ágazatot.</w:t>
      </w:r>
    </w:p>
    <w:p w14:paraId="35827750" w14:textId="77777777" w:rsidR="003E1D81" w:rsidRDefault="00EB481C">
      <w:pPr>
        <w:pStyle w:val="P68B1DB1-Normal4"/>
        <w:spacing w:before="120" w:after="120" w:line="240" w:lineRule="auto"/>
        <w:jc w:val="both"/>
        <w:rPr>
          <w:rFonts w:cs="Times New Roman"/>
          <w:noProof/>
        </w:rPr>
      </w:pPr>
      <w:r>
        <w:rPr>
          <w:noProof/>
        </w:rPr>
        <w:t>A komponens az innovációba és az energiahatékonyságba történő beruházások előmozdításáról, a kutatást és innovációt támogató szakpolitikák eredményességének fokoz</w:t>
      </w:r>
      <w:r>
        <w:rPr>
          <w:noProof/>
        </w:rPr>
        <w:t>ásáról (2019. évi 3. országspecifikus ajánlás), a gazdaság fenntartásáról (2020. évi 1. országspecifikus ajánlás), a foglalkoztatás támogatásáról a munkahelyek és a készségfejlesztés megőrzését és a digitális tanuláshoz való hozzáférés javítását célzó inté</w:t>
      </w:r>
      <w:r>
        <w:rPr>
          <w:noProof/>
        </w:rPr>
        <w:t>zkedésekkel (2020. évi 2. országspecifikus ajánlás), a köz- és magánberuházások ösztönzéséről, valamint a zöld és digitális átállás előmozdításáról szóló országspecifikus ajánlásokkal foglalkozik (2020. évi 3. országspecifikus ajánlás), valamint a közigazg</w:t>
      </w:r>
      <w:r>
        <w:rPr>
          <w:noProof/>
        </w:rPr>
        <w:t>atás különböző szintjei közötti koordináció javításával (2020. évi 4. országspecifikus ajánlás).</w:t>
      </w:r>
    </w:p>
    <w:p w14:paraId="6928174B" w14:textId="77777777" w:rsidR="003E1D81" w:rsidRDefault="00EB481C">
      <w:pPr>
        <w:pStyle w:val="P68B1DB1-Normal4"/>
        <w:spacing w:before="120" w:after="120" w:line="240" w:lineRule="auto"/>
        <w:ind w:left="11"/>
        <w:jc w:val="both"/>
        <w:rPr>
          <w:rFonts w:cs="Times New Roman"/>
          <w:noProof/>
        </w:rPr>
      </w:pPr>
      <w:r>
        <w:rPr>
          <w:noProof/>
        </w:rPr>
        <w:t>A jelentős károkozás elkerülését célzó elvről szóló technikai iránymutatásnak (2021/C58/01) megfelelően a helyreállítási és rezilienciaépítési tervben meghatár</w:t>
      </w:r>
      <w:r>
        <w:rPr>
          <w:noProof/>
        </w:rPr>
        <w:t>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w:t>
      </w:r>
      <w:r>
        <w:rPr>
          <w:noProof/>
        </w:rPr>
        <w:t xml:space="preserve">ezeti célkitűzéseket.  </w:t>
      </w:r>
    </w:p>
    <w:p w14:paraId="42129347" w14:textId="77777777" w:rsidR="003E1D81" w:rsidRDefault="00EB481C">
      <w:pPr>
        <w:pStyle w:val="P68B1DB1-Normal5"/>
        <w:spacing w:before="120" w:after="120" w:line="240" w:lineRule="auto"/>
        <w:ind w:left="720"/>
        <w:jc w:val="both"/>
        <w:rPr>
          <w:rFonts w:cs="Times New Roman"/>
          <w:i/>
          <w:noProof/>
        </w:rPr>
      </w:pPr>
      <w:r>
        <w:rPr>
          <w:noProof/>
        </w:rPr>
        <w:t xml:space="preserve">N.1. </w:t>
      </w:r>
      <w:r>
        <w:rPr>
          <w:noProof/>
        </w:rPr>
        <w:tab/>
        <w:t>Vissza nem térítendő pénzügyi támogatás – a reformok és beruházások ismertetése</w:t>
      </w:r>
    </w:p>
    <w:p w14:paraId="5DA8EE5F" w14:textId="77777777" w:rsidR="003E1D81" w:rsidRDefault="00EB481C">
      <w:pPr>
        <w:pStyle w:val="P68B1DB1-Normal6"/>
        <w:spacing w:before="120" w:after="120" w:line="240" w:lineRule="auto"/>
        <w:jc w:val="both"/>
        <w:rPr>
          <w:rFonts w:cs="Times New Roman"/>
          <w:noProof/>
        </w:rPr>
      </w:pPr>
      <w:r>
        <w:rPr>
          <w:noProof/>
        </w:rPr>
        <w:t>Reform (C14.R1) – Az idegenforgalom versenyképességét szolgáló állami pénzügyi alap (FOCIT) végrehajtásáról szóló királyi rendelet</w:t>
      </w:r>
    </w:p>
    <w:p w14:paraId="34CD9BB6" w14:textId="77777777" w:rsidR="003E1D81" w:rsidRDefault="00EB481C">
      <w:pPr>
        <w:pStyle w:val="P68B1DB1-Normal4"/>
        <w:spacing w:before="120" w:after="120" w:line="240" w:lineRule="auto"/>
        <w:jc w:val="both"/>
        <w:rPr>
          <w:rFonts w:cs="Times New Roman"/>
          <w:noProof/>
        </w:rPr>
      </w:pPr>
      <w:r>
        <w:rPr>
          <w:noProof/>
        </w:rPr>
        <w:t xml:space="preserve">A reform célja </w:t>
      </w:r>
      <w:r>
        <w:rPr>
          <w:noProof/>
        </w:rPr>
        <w:t xml:space="preserve">az idegenforgalmi ágazat versenyképességének javítása az innováció előmozdítása, valamint az energiahatékonyság és a körforgásos gazdaság támogatása révén. </w:t>
      </w:r>
    </w:p>
    <w:p w14:paraId="4EDB6FDB" w14:textId="77777777" w:rsidR="003E1D81" w:rsidRDefault="00EB481C">
      <w:pPr>
        <w:pStyle w:val="P68B1DB1-Normal4"/>
        <w:spacing w:before="120" w:after="120" w:line="240" w:lineRule="auto"/>
        <w:jc w:val="both"/>
        <w:rPr>
          <w:rFonts w:cs="Times New Roman"/>
          <w:noProof/>
        </w:rPr>
      </w:pPr>
      <w:r>
        <w:rPr>
          <w:noProof/>
        </w:rPr>
        <w:t>A reform módosítja a turisztikai versenyképességet szolgáló állami pénzügyi alap célkitűzéseit, jel</w:t>
      </w:r>
      <w:r>
        <w:rPr>
          <w:noProof/>
        </w:rPr>
        <w:t xml:space="preserve">legét, műveleteit és támogatható projektjeit szabályozó meglévő jogi aktusokat.  </w:t>
      </w:r>
    </w:p>
    <w:p w14:paraId="535EFD1F" w14:textId="77777777" w:rsidR="003E1D81" w:rsidRDefault="00EB481C">
      <w:pPr>
        <w:pStyle w:val="P68B1DB1-Normal4"/>
        <w:spacing w:before="120" w:after="120" w:line="240" w:lineRule="auto"/>
        <w:jc w:val="both"/>
        <w:rPr>
          <w:rFonts w:cs="Times New Roman"/>
          <w:noProof/>
        </w:rPr>
      </w:pPr>
      <w:r>
        <w:rPr>
          <w:noProof/>
        </w:rPr>
        <w:t>A módosított jogszabály lehetővé teszi a turizmus versenyképességét szolgáló állami pénzügyi alap számára, hogy finanszírozza az idegenforgalmi vállalkozásokat az energiahaté</w:t>
      </w:r>
      <w:r>
        <w:rPr>
          <w:noProof/>
        </w:rPr>
        <w:t>konyság javítása, az erőforrás-felhasználás és a hulladéktermelés szintjének csökkentése, valamint a hulladék újrafelhasználásának és újrafeldolgozásának fokozása érdekében. Az energiahatékonyság és a körforgásos gazdaság területén az Alap innovációs proje</w:t>
      </w:r>
      <w:r>
        <w:rPr>
          <w:noProof/>
        </w:rPr>
        <w:t>kteket finanszíroz.</w:t>
      </w:r>
    </w:p>
    <w:p w14:paraId="7E2182EC" w14:textId="77777777" w:rsidR="003E1D81" w:rsidRDefault="00EB481C">
      <w:pPr>
        <w:pStyle w:val="P68B1DB1-Normal4"/>
        <w:spacing w:before="120" w:after="120" w:line="240" w:lineRule="auto"/>
        <w:jc w:val="both"/>
        <w:rPr>
          <w:rFonts w:cs="Times New Roman"/>
          <w:noProof/>
        </w:rPr>
      </w:pPr>
      <w:r>
        <w:rPr>
          <w:noProof/>
        </w:rPr>
        <w:t>A finanszírozási eszköz a hiteleket más típusú támogatásokkal ötvöző vegyes finanszírozási rendszereket is alkalmazhat. Az eszközt a nemzeti költségvetésből kell finanszírozni.</w:t>
      </w:r>
    </w:p>
    <w:p w14:paraId="66A890D1" w14:textId="77777777" w:rsidR="003E1D81" w:rsidRDefault="00EB481C">
      <w:pPr>
        <w:pStyle w:val="P68B1DB1-Normal4"/>
        <w:spacing w:before="120" w:after="120" w:line="240" w:lineRule="auto"/>
        <w:jc w:val="both"/>
        <w:rPr>
          <w:rFonts w:cs="Times New Roman"/>
          <w:noProof/>
        </w:rPr>
      </w:pPr>
      <w:r>
        <w:rPr>
          <w:noProof/>
        </w:rPr>
        <w:t>A reformnak a következő egyedi intézkedéseket is tartalmazn</w:t>
      </w:r>
      <w:r>
        <w:rPr>
          <w:noProof/>
        </w:rPr>
        <w:t xml:space="preserve">ia kell: </w:t>
      </w:r>
    </w:p>
    <w:p w14:paraId="6BC89025" w14:textId="77777777" w:rsidR="003E1D81" w:rsidRDefault="00EB481C">
      <w:pPr>
        <w:pStyle w:val="P68B1DB1-ListParagraph24"/>
        <w:numPr>
          <w:ilvl w:val="0"/>
          <w:numId w:val="723"/>
        </w:numPr>
        <w:spacing w:before="120" w:after="120" w:line="240" w:lineRule="auto"/>
        <w:jc w:val="both"/>
        <w:rPr>
          <w:rFonts w:cs="Times New Roman"/>
          <w:noProof/>
          <w:sz w:val="24"/>
        </w:rPr>
      </w:pPr>
      <w:r>
        <w:rPr>
          <w:noProof/>
          <w:sz w:val="24"/>
        </w:rPr>
        <w:t xml:space="preserve">az idegenforgalmi ágazat támogatásárairányuló terv, amelyben ismertetik az idegenforgalmi ágazat fellendítését célzó intézkedéseket, és meghatározzák az idegenforgalommal kapcsolatos intézkedések végrehajtásának keretét. </w:t>
      </w:r>
    </w:p>
    <w:p w14:paraId="084EBCB4" w14:textId="77777777" w:rsidR="003E1D81" w:rsidRDefault="00EB481C">
      <w:pPr>
        <w:pStyle w:val="P68B1DB1-ListParagraph7"/>
        <w:numPr>
          <w:ilvl w:val="0"/>
          <w:numId w:val="723"/>
        </w:numPr>
        <w:spacing w:line="240" w:lineRule="auto"/>
        <w:rPr>
          <w:rFonts w:cs="Times New Roman"/>
          <w:noProof/>
        </w:rPr>
      </w:pPr>
      <w:r>
        <w:rPr>
          <w:noProof/>
        </w:rPr>
        <w:t xml:space="preserve">a turisztikai statisztikák különböző forrásaiból, többek között az INE-ből, a Turespaña-ból, a spanyol nemzeti bankból, az AENA-ból és a RENFE </w:t>
      </w:r>
      <w:r>
        <w:rPr>
          <w:i/>
          <w:noProof/>
        </w:rPr>
        <w:t>-</w:t>
      </w:r>
      <w:r>
        <w:rPr>
          <w:noProof/>
        </w:rPr>
        <w:t xml:space="preserve"> ből származó adatokat gyűjtő weboldal elindítása. </w:t>
      </w:r>
    </w:p>
    <w:p w14:paraId="4FA9F02D" w14:textId="77777777" w:rsidR="003E1D81" w:rsidRDefault="00EB481C">
      <w:pPr>
        <w:pStyle w:val="P68B1DB1-Normal4"/>
        <w:spacing w:before="120" w:after="120" w:line="240" w:lineRule="auto"/>
        <w:jc w:val="both"/>
        <w:rPr>
          <w:rFonts w:cs="Times New Roman"/>
          <w:noProof/>
        </w:rPr>
      </w:pPr>
      <w:r>
        <w:rPr>
          <w:noProof/>
        </w:rPr>
        <w:t>A reform végrehajtását 2021. december 31-ig be kell fejezni.</w:t>
      </w:r>
    </w:p>
    <w:p w14:paraId="456FBD52" w14:textId="77777777" w:rsidR="003E1D81" w:rsidRDefault="00EB481C">
      <w:pPr>
        <w:pStyle w:val="P68B1DB1-Normal6"/>
        <w:keepNext/>
        <w:spacing w:before="120" w:after="120" w:line="240" w:lineRule="auto"/>
        <w:jc w:val="both"/>
        <w:rPr>
          <w:rFonts w:cs="Times New Roman"/>
          <w:noProof/>
        </w:rPr>
      </w:pPr>
      <w:r>
        <w:rPr>
          <w:noProof/>
        </w:rPr>
        <w:t>Beruházás (C14.I1) – Az idegenforgalmi modell átalakítása a fenntarthatóság irányába</w:t>
      </w:r>
    </w:p>
    <w:p w14:paraId="6ABEDDDC" w14:textId="77777777" w:rsidR="003E1D81" w:rsidRDefault="00EB481C">
      <w:pPr>
        <w:pStyle w:val="P68B1DB1-Normal4"/>
        <w:keepNext/>
        <w:spacing w:before="120" w:after="120" w:line="240" w:lineRule="auto"/>
        <w:jc w:val="both"/>
        <w:rPr>
          <w:rFonts w:cs="Times New Roman"/>
          <w:noProof/>
        </w:rPr>
      </w:pPr>
      <w:r>
        <w:rPr>
          <w:noProof/>
        </w:rPr>
        <w:t>A beruházás célja az idegenforgalom környezeti, társadalmi-gazdasági és területi fenntarthatóságának erősítése, és a turisztikai célpontokra, a szociális partnerekre és a</w:t>
      </w:r>
      <w:r>
        <w:rPr>
          <w:noProof/>
        </w:rPr>
        <w:t xml:space="preserve">z ágazat magánszereplőire irányul. </w:t>
      </w:r>
    </w:p>
    <w:p w14:paraId="3752306B" w14:textId="77777777" w:rsidR="003E1D81" w:rsidRDefault="00EB481C">
      <w:pPr>
        <w:pStyle w:val="P68B1DB1-Normal4"/>
        <w:spacing w:before="120" w:after="120" w:line="240" w:lineRule="auto"/>
        <w:jc w:val="both"/>
        <w:rPr>
          <w:rFonts w:cs="Times New Roman"/>
          <w:noProof/>
        </w:rPr>
      </w:pPr>
      <w:r>
        <w:rPr>
          <w:noProof/>
        </w:rPr>
        <w:t xml:space="preserve">A beruházás négy alintézkedésből áll: </w:t>
      </w:r>
    </w:p>
    <w:p w14:paraId="67183722" w14:textId="77777777" w:rsidR="003E1D81" w:rsidRDefault="00EB481C">
      <w:pPr>
        <w:pStyle w:val="P68B1DB1-Normal4"/>
        <w:numPr>
          <w:ilvl w:val="0"/>
          <w:numId w:val="114"/>
        </w:numPr>
        <w:spacing w:before="120" w:after="160" w:line="240" w:lineRule="auto"/>
        <w:ind w:left="360"/>
        <w:contextualSpacing/>
        <w:jc w:val="both"/>
        <w:rPr>
          <w:rFonts w:cs="Times New Roman"/>
          <w:noProof/>
        </w:rPr>
      </w:pPr>
      <w:r>
        <w:rPr>
          <w:noProof/>
        </w:rPr>
        <w:t>A 2030-ig tartó időszakra vonatkozó fenntartható turisztikai stratégia előkészítése, amely az ágazat előtt álló kihívások közép- és hosszú távú kezelését célzó nemzeti idegenforgalm</w:t>
      </w:r>
      <w:r>
        <w:rPr>
          <w:noProof/>
        </w:rPr>
        <w:t>i menetrendet alkot, megerősítve a fenntarthatóság három pillérét: társadalmi-gazdasági, környezeti és területi;</w:t>
      </w:r>
    </w:p>
    <w:p w14:paraId="27081162" w14:textId="77777777" w:rsidR="003E1D81" w:rsidRDefault="00EB481C">
      <w:pPr>
        <w:pStyle w:val="P68B1DB1-Normal4"/>
        <w:numPr>
          <w:ilvl w:val="0"/>
          <w:numId w:val="114"/>
        </w:numPr>
        <w:spacing w:before="120" w:after="160" w:line="240" w:lineRule="auto"/>
        <w:ind w:left="360"/>
        <w:contextualSpacing/>
        <w:jc w:val="both"/>
        <w:rPr>
          <w:rFonts w:cs="Times New Roman"/>
          <w:noProof/>
        </w:rPr>
      </w:pPr>
      <w:r>
        <w:rPr>
          <w:noProof/>
        </w:rPr>
        <w:t>A turisztikai fenntarthatósági tervek a célállomásokon: Ezeket az alintézkedéseket a következő sorrendben kell végrehajtani:</w:t>
      </w:r>
    </w:p>
    <w:p w14:paraId="7B8FA401" w14:textId="77777777" w:rsidR="003E1D81" w:rsidRDefault="00EB481C">
      <w:pPr>
        <w:pStyle w:val="P68B1DB1-Normal4"/>
        <w:numPr>
          <w:ilvl w:val="0"/>
          <w:numId w:val="116"/>
        </w:numPr>
        <w:spacing w:before="120" w:after="160" w:line="240" w:lineRule="auto"/>
        <w:ind w:left="1069"/>
        <w:contextualSpacing/>
        <w:jc w:val="both"/>
        <w:rPr>
          <w:rFonts w:cs="Times New Roman"/>
          <w:noProof/>
        </w:rPr>
      </w:pPr>
      <w:r>
        <w:rPr>
          <w:noProof/>
        </w:rPr>
        <w:t>A turisztikai fenn</w:t>
      </w:r>
      <w:r>
        <w:rPr>
          <w:noProof/>
        </w:rPr>
        <w:t>tarthatósági stratégia előkészítése a rendeltetési helyen, amely alapul szolgál az idegenforgalmi közigazgatásnak a turisztikai célpontok átalakítására irányuló intézkedéseinek strukturálásához, tervezéséhez, kidolgozásához és értékeléséhez, a fenntartható</w:t>
      </w:r>
      <w:r>
        <w:rPr>
          <w:noProof/>
        </w:rPr>
        <w:t xml:space="preserve"> kritériumok alapján és a 2030-ig tartó időszakra vonatkozó fenntartható fejlesztési menetrend fenntartható fejlesztési céljaival összhangban.</w:t>
      </w:r>
    </w:p>
    <w:p w14:paraId="5093BE89" w14:textId="77777777" w:rsidR="003E1D81" w:rsidRDefault="00EB481C">
      <w:pPr>
        <w:pStyle w:val="P68B1DB1-Normal4"/>
        <w:numPr>
          <w:ilvl w:val="0"/>
          <w:numId w:val="116"/>
        </w:numPr>
        <w:spacing w:before="120" w:after="160" w:line="240" w:lineRule="auto"/>
        <w:ind w:left="1069"/>
        <w:contextualSpacing/>
        <w:jc w:val="both"/>
        <w:rPr>
          <w:rFonts w:cs="Times New Roman"/>
          <w:noProof/>
        </w:rPr>
      </w:pPr>
      <w:r>
        <w:rPr>
          <w:noProof/>
        </w:rPr>
        <w:t>A desztinációra vonatkozó turisztikai fenntarthatósági terv elkészítése. Ez a program meghatározza az autonóm köz</w:t>
      </w:r>
      <w:r>
        <w:rPr>
          <w:noProof/>
        </w:rPr>
        <w:t xml:space="preserve">össégek és a helyi hatóságok részvételének feltételeit, alkalmazási körét, a minimális beruházási küszöbértékeket, a pályázatok benyújtására vonatkozó eljárást, valamint a javaslatok jóváhagyására, végrehajtására és indokolására vonatkozó szabályokat. </w:t>
      </w:r>
    </w:p>
    <w:p w14:paraId="4F01777E" w14:textId="77777777" w:rsidR="003E1D81" w:rsidRDefault="00EB481C">
      <w:pPr>
        <w:pStyle w:val="P68B1DB1-Normal4"/>
        <w:numPr>
          <w:ilvl w:val="0"/>
          <w:numId w:val="116"/>
        </w:numPr>
        <w:spacing w:before="160" w:after="160" w:line="240" w:lineRule="auto"/>
        <w:ind w:left="1069"/>
        <w:contextualSpacing/>
        <w:jc w:val="both"/>
        <w:rPr>
          <w:rFonts w:cs="Times New Roman"/>
          <w:noProof/>
        </w:rPr>
      </w:pPr>
      <w:r>
        <w:rPr>
          <w:noProof/>
        </w:rPr>
        <w:t>A t</w:t>
      </w:r>
      <w:r>
        <w:rPr>
          <w:noProof/>
        </w:rPr>
        <w:t xml:space="preserve">urisztikai fenntarthatóságra vonatkozó területi tervek elkészítése és végrehajtása a célállomásokon. Ezeket a három illetékes közigazgatási szerv és az úti cél turisztikai ökoszisztémájának különböző állami és magánszereplői közötti részvételen alapuló és </w:t>
      </w:r>
      <w:r>
        <w:rPr>
          <w:noProof/>
        </w:rPr>
        <w:t>együttműködésen alapuló folyamat keretében kell kidolgozni. Lehetővé kell tenniük az egyes területek és célállomások számára, hogy turizmustervezési hatáskörük gyakorlása során és a spanyol kormány által jóváhagyott, a célállomásra vonatkozó turisztikai fe</w:t>
      </w:r>
      <w:r>
        <w:rPr>
          <w:noProof/>
        </w:rPr>
        <w:t>nntarthatósági stratégia keretében reagáljanak az idegenforgalom fenntarthatóságával kapcsolatos kihívásokra. Ezek a tervek a következő területeken végzett fellépésekből állnak:</w:t>
      </w:r>
    </w:p>
    <w:p w14:paraId="065201EE" w14:textId="77777777" w:rsidR="003E1D81" w:rsidRDefault="00EB481C">
      <w:pPr>
        <w:pStyle w:val="P68B1DB1-ListParagraph7"/>
        <w:numPr>
          <w:ilvl w:val="1"/>
          <w:numId w:val="117"/>
        </w:numPr>
        <w:spacing w:before="160" w:line="240" w:lineRule="auto"/>
        <w:ind w:left="1786" w:hanging="357"/>
        <w:rPr>
          <w:rFonts w:cs="Times New Roman"/>
          <w:noProof/>
        </w:rPr>
      </w:pPr>
      <w:r>
        <w:rPr>
          <w:noProof/>
        </w:rPr>
        <w:t>Zöld átállás, beleértve az e beruházás keretében a környezet helyreállítására,</w:t>
      </w:r>
      <w:r>
        <w:rPr>
          <w:noProof/>
        </w:rPr>
        <w:t xml:space="preserve"> a védett természeti területeken történő közhasználat kezelésére, az idegenforgalmi tanúsítási rendszerek végrehajtására, a körforgásos gazdaságra vonatkozó intézkedések végrehajtására a közszolgáltatások terén, valamint a ciklikus/gyalogos vidéki útvonala</w:t>
      </w:r>
      <w:r>
        <w:rPr>
          <w:noProof/>
        </w:rPr>
        <w:t>k építésére irányuló intézkedéseket.</w:t>
      </w:r>
    </w:p>
    <w:p w14:paraId="1320C32F" w14:textId="77777777" w:rsidR="003E1D81" w:rsidRDefault="00EB481C">
      <w:pPr>
        <w:pStyle w:val="P68B1DB1-Normal4"/>
        <w:numPr>
          <w:ilvl w:val="1"/>
          <w:numId w:val="117"/>
        </w:numPr>
        <w:spacing w:before="160" w:after="160" w:line="240" w:lineRule="auto"/>
        <w:ind w:left="1789"/>
        <w:contextualSpacing/>
        <w:jc w:val="both"/>
        <w:rPr>
          <w:rFonts w:cs="Times New Roman"/>
          <w:noProof/>
        </w:rPr>
      </w:pPr>
      <w:r>
        <w:rPr>
          <w:noProof/>
        </w:rPr>
        <w:t xml:space="preserve">Energiahatékonyság, beleértve az épületek, a közinfrastruktúrák és a szolgáltatások szén-dioxid-kibocsátásának csökkentésére, az éghajlatváltozás mérséklésére, a környezetvédelmi technológiák bevezetésére, a </w:t>
      </w:r>
      <w:r>
        <w:rPr>
          <w:noProof/>
        </w:rPr>
        <w:t>szén-dioxid-mentesítésre és a fenntartható mobilitás előmozdítására, illetve a városi környezet javítására irányuló, e beruházás keretében végrehajtott intézkedéseket is.</w:t>
      </w:r>
    </w:p>
    <w:p w14:paraId="6AEC8CA2" w14:textId="77777777" w:rsidR="003E1D81" w:rsidRDefault="00EB481C">
      <w:pPr>
        <w:pStyle w:val="P68B1DB1-Normal8"/>
        <w:numPr>
          <w:ilvl w:val="1"/>
          <w:numId w:val="117"/>
        </w:numPr>
        <w:spacing w:before="160" w:after="160" w:line="240" w:lineRule="auto"/>
        <w:ind w:left="1789"/>
        <w:contextualSpacing/>
        <w:jc w:val="both"/>
        <w:rPr>
          <w:rFonts w:cs="Times New Roman"/>
          <w:noProof/>
          <w:sz w:val="24"/>
        </w:rPr>
      </w:pPr>
      <w:r>
        <w:rPr>
          <w:noProof/>
          <w:sz w:val="24"/>
        </w:rPr>
        <w:t>Digitális átalakulás, beleértve az e beruházás keretében a turistáknak nyújtott szolg</w:t>
      </w:r>
      <w:r>
        <w:rPr>
          <w:noProof/>
          <w:sz w:val="24"/>
        </w:rPr>
        <w:t>áltatások turisztikai célpontokon történő digitalizálására, az úti cél digitális lábnyomának fejlesztésére, vagy a piaci hírszerzésre és a turisztikai kereslet kezelésére irányuló intézkedéseket is</w:t>
      </w:r>
      <w:r>
        <w:rPr>
          <w:noProof/>
          <w:sz w:val="18"/>
        </w:rPr>
        <w:t xml:space="preserve">. </w:t>
      </w:r>
    </w:p>
    <w:p w14:paraId="0FDC034A" w14:textId="77777777" w:rsidR="003E1D81" w:rsidRDefault="00EB481C">
      <w:pPr>
        <w:pStyle w:val="P68B1DB1-Normal4"/>
        <w:numPr>
          <w:ilvl w:val="1"/>
          <w:numId w:val="117"/>
        </w:numPr>
        <w:spacing w:before="160" w:after="160" w:line="240" w:lineRule="auto"/>
        <w:ind w:left="1789"/>
        <w:contextualSpacing/>
        <w:jc w:val="both"/>
        <w:rPr>
          <w:rFonts w:cs="Times New Roman"/>
          <w:noProof/>
        </w:rPr>
      </w:pPr>
      <w:r>
        <w:rPr>
          <w:noProof/>
        </w:rPr>
        <w:t xml:space="preserve">A versenyképesség átalakítása, beleértve az e beruházás </w:t>
      </w:r>
      <w:r>
        <w:rPr>
          <w:noProof/>
        </w:rPr>
        <w:t>keretében végrehajtott olyan intézkedéseket is, amelyek célja az úti célon keresztüli hozzáférhetőség kiterjesztése, a helyi turisztikai infrastruktúrák javítása, illetve a munkahelyteremtés előmozdítása új turisztikai termékek – például kulturális, termés</w:t>
      </w:r>
      <w:r>
        <w:rPr>
          <w:noProof/>
        </w:rPr>
        <w:t>zet, gasztronómia vagy hagyományos kézművesség és ipar – kifejlesztése révén.</w:t>
      </w:r>
    </w:p>
    <w:p w14:paraId="0676D8AC" w14:textId="77777777" w:rsidR="003E1D81" w:rsidRDefault="00EB481C">
      <w:pPr>
        <w:pStyle w:val="P68B1DB1-Normal4"/>
        <w:numPr>
          <w:ilvl w:val="0"/>
          <w:numId w:val="114"/>
        </w:numPr>
        <w:spacing w:before="160" w:after="160" w:line="240" w:lineRule="auto"/>
        <w:ind w:left="360"/>
        <w:contextualSpacing/>
        <w:jc w:val="both"/>
        <w:rPr>
          <w:rFonts w:cs="Times New Roman"/>
          <w:noProof/>
        </w:rPr>
      </w:pPr>
      <w:r>
        <w:rPr>
          <w:noProof/>
        </w:rPr>
        <w:t>Az idegenforgalmi ágazat társadalmi fenntarthatósági terve.</w:t>
      </w:r>
    </w:p>
    <w:p w14:paraId="1862E719" w14:textId="77777777" w:rsidR="003E1D81" w:rsidRDefault="00EB481C">
      <w:pPr>
        <w:pStyle w:val="P68B1DB1-Normal4"/>
        <w:numPr>
          <w:ilvl w:val="0"/>
          <w:numId w:val="114"/>
        </w:numPr>
        <w:spacing w:before="120" w:after="120" w:line="240" w:lineRule="auto"/>
        <w:ind w:left="360"/>
        <w:contextualSpacing/>
        <w:jc w:val="both"/>
        <w:rPr>
          <w:rFonts w:cs="Times New Roman"/>
          <w:noProof/>
        </w:rPr>
      </w:pPr>
      <w:r>
        <w:rPr>
          <w:noProof/>
        </w:rPr>
        <w:t>A turisztikai célpontok meglévő spanyol minőségi rendszerének (SICTED) átalakítása a turisztikai célpontok átfogó turi</w:t>
      </w:r>
      <w:r>
        <w:rPr>
          <w:noProof/>
        </w:rPr>
        <w:t>sztikai fenntarthatósági rendszerévé. Ez magában foglalja az új folyamat és iránymutatás kidolgozását, a meglévő informatikai platform korszerűsítését, a turizmus fenntarthatóságával foglalkozó új szereplők képzését, valamint a spanyolországi turisztikai l</w:t>
      </w:r>
      <w:r>
        <w:rPr>
          <w:noProof/>
        </w:rPr>
        <w:t>akáspiac elemzését és nyomon követését szolgáló adatösszesítési mechanizmus kidolgozását.</w:t>
      </w:r>
    </w:p>
    <w:p w14:paraId="25486ECB" w14:textId="77777777" w:rsidR="003E1D81" w:rsidRDefault="00EB481C">
      <w:pPr>
        <w:pStyle w:val="P68B1DB1-Normal4"/>
        <w:spacing w:before="120" w:after="120" w:line="240" w:lineRule="auto"/>
        <w:jc w:val="both"/>
        <w:rPr>
          <w:rFonts w:cs="Times New Roman"/>
          <w:noProof/>
        </w:rPr>
      </w:pPr>
      <w:r>
        <w:rPr>
          <w:noProof/>
        </w:rPr>
        <w:t xml:space="preserve">Az e beruházás keretében megvalósuló intézkedésekre 2021. január 1. és 2026. június 30. között kerül sor, a helyi hatóságok részére 2021. január 1. és 2023. december </w:t>
      </w:r>
      <w:r>
        <w:rPr>
          <w:noProof/>
        </w:rPr>
        <w:t xml:space="preserve">31. között folyósítandó kifizetésekkel, 2026-ig történő végrehajtással. Az e beruházás keretében a turisztikai célpontok fenntarthatóságát előmozdító projekteket 2026. június 30-ig be kell fejezni. </w:t>
      </w:r>
    </w:p>
    <w:p w14:paraId="66CF2AE0" w14:textId="173CF646" w:rsidR="003E1D81" w:rsidRDefault="00EB481C">
      <w:pPr>
        <w:pStyle w:val="Text1"/>
        <w:ind w:left="0"/>
        <w:rPr>
          <w:rFonts w:ascii="Times New Roman" w:hAnsi="Times New Roman" w:cs="Times New Roman"/>
          <w:noProof/>
          <w:highlight w:val="green"/>
        </w:rPr>
      </w:pPr>
      <w:r>
        <w:rPr>
          <w:rFonts w:ascii="Times New Roman" w:hAnsi="Times New Roman"/>
          <w:noProof/>
        </w:rPr>
        <w:t>Annak biztosítása érdekében, hogy az intézkedés megfelelj</w:t>
      </w:r>
      <w:r>
        <w:rPr>
          <w:rFonts w:ascii="Times New Roman" w:hAnsi="Times New Roman"/>
          <w:noProof/>
        </w:rPr>
        <w:t>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w:t>
      </w:r>
      <w:r>
        <w:rPr>
          <w:rFonts w:ascii="Times New Roman" w:hAnsi="Times New Roman"/>
          <w:noProof/>
        </w:rPr>
        <w:t xml:space="preserve"> a fosszilis tüzelőanyagokhoz kapcsolódó tevékenységek, beleértve a továbbfelhasználást is</w:t>
      </w:r>
      <w:r>
        <w:rPr>
          <w:rStyle w:val="FootnoteReference"/>
          <w:rFonts w:ascii="Times New Roman" w:hAnsi="Times New Roman" w:cs="Times New Roman"/>
          <w:noProof/>
        </w:rPr>
        <w:footnoteReference w:id="152"/>
      </w:r>
      <w:r>
        <w:rPr>
          <w:rFonts w:ascii="Times New Roman" w:hAnsi="Times New Roman"/>
          <w:noProof/>
        </w:rPr>
        <w:t>; az uniós kibocsátáskereskedelmi rendszer (ETS) keretében végzett tevékenységek, amelyek a vonatkozó referenciaértékeknél nem alacsonyabb várható üvegházhatásúgáz-k</w:t>
      </w:r>
      <w:r>
        <w:rPr>
          <w:rFonts w:ascii="Times New Roman" w:hAnsi="Times New Roman"/>
          <w:noProof/>
        </w:rPr>
        <w:t>ibocsátást érnek el</w:t>
      </w:r>
      <w:r>
        <w:rPr>
          <w:rStyle w:val="FootnoteReference"/>
          <w:rFonts w:ascii="Times New Roman" w:hAnsi="Times New Roman" w:cs="Times New Roman"/>
          <w:noProof/>
        </w:rPr>
        <w:footnoteReference w:id="153"/>
      </w:r>
      <w:r>
        <w:rPr>
          <w:rFonts w:ascii="Times New Roman" w:hAnsi="Times New Roman"/>
          <w:noProof/>
        </w:rPr>
        <w:t>; hulladéklerakókkal, hulladékégetőkkel</w:t>
      </w:r>
      <w:r>
        <w:rPr>
          <w:rStyle w:val="FootnoteReference"/>
          <w:rFonts w:ascii="Times New Roman" w:hAnsi="Times New Roman" w:cs="Times New Roman"/>
          <w:noProof/>
        </w:rPr>
        <w:footnoteReference w:id="154"/>
      </w:r>
      <w:r>
        <w:rPr>
          <w:rFonts w:ascii="Times New Roman" w:hAnsi="Times New Roman"/>
          <w:noProof/>
        </w:rPr>
        <w:t xml:space="preserve"> és mechanikai-biológiai szennyvíztisztító telepekkel kapcsolatos tevékenységek</w:t>
      </w:r>
      <w:r>
        <w:rPr>
          <w:rStyle w:val="FootnoteReference"/>
          <w:rFonts w:ascii="Times New Roman" w:hAnsi="Times New Roman" w:cs="Times New Roman"/>
          <w:noProof/>
        </w:rPr>
        <w:footnoteReference w:id="155"/>
      </w:r>
      <w:r>
        <w:rPr>
          <w:rFonts w:ascii="Times New Roman" w:hAnsi="Times New Roman"/>
          <w:noProof/>
        </w:rPr>
        <w:t>; és iv. olyan tevékenységek, amelyek esetében a hulladék hosszú távú ártalmatlanítása károsíthatja a környezetet. A</w:t>
      </w:r>
      <w:r>
        <w:rPr>
          <w:rFonts w:ascii="Times New Roman" w:hAnsi="Times New Roman"/>
          <w:noProof/>
        </w:rPr>
        <w:t xml:space="preserve"> feladatmeghatározás emellett előírja, hogy csak a vonatkozó uniós és nemzeti környezetvédelmi jogszabályoknak megfelelő tevékenységek választhatók ki. A kiválasztási kritériumoknak biztosítaniuk kell továbbá, hogy csak a vonatkozó uniós és nemzeti környez</w:t>
      </w:r>
      <w:r>
        <w:rPr>
          <w:rFonts w:ascii="Times New Roman" w:hAnsi="Times New Roman"/>
          <w:noProof/>
        </w:rPr>
        <w:t>etvédelmi jogszabályoknak megfelelő tevékenységek támogathatók. A kiválasztási kritériumoknak biztosítaniuk kell, hogy a Helyreállítási és Rezilienciaépítési Eszközről szóló (EU) 2021/241 rendelet VI. mellékletével összhangban legalább 359 millió EUR 100%-</w:t>
      </w:r>
      <w:r>
        <w:rPr>
          <w:rFonts w:ascii="Times New Roman" w:hAnsi="Times New Roman"/>
          <w:noProof/>
        </w:rPr>
        <w:t>os éghajlati együtthatóval, legalább 519 millió EUR-val és 40%-os éghajlati együtthatóval járuljanak hozzá az éghajlatváltozással kapcsolatos célkitűzésekhez. Alternatív megoldásként a kiválasztási kritériumoknak biztosítaniuk kell, hogy az (EU) 2021/241 e</w:t>
      </w:r>
      <w:r>
        <w:rPr>
          <w:rFonts w:ascii="Times New Roman" w:hAnsi="Times New Roman"/>
          <w:noProof/>
        </w:rPr>
        <w:t>urópai parlamenti és tanácsi rendelet VI. mellékletével összhangban legalább 1 788,6 millió EUR átlagosan legalább 31,7%-os éghajlati együtthatóval járuljon hozzá az éghajlatváltozással kapcsolatos célkitűzésekhez. Ez az átlagos hozzájárulási arány az (EU)</w:t>
      </w:r>
      <w:r>
        <w:rPr>
          <w:rFonts w:ascii="Times New Roman" w:hAnsi="Times New Roman"/>
          <w:noProof/>
        </w:rPr>
        <w:t xml:space="preserve"> 2021/241 rendelet VI. mellékletében meghatározott beavatkozási területek teljes körének felhasználásával érhető el.</w:t>
      </w:r>
    </w:p>
    <w:p w14:paraId="34ACB801" w14:textId="77777777" w:rsidR="003E1D81" w:rsidRDefault="00EB481C">
      <w:pPr>
        <w:pStyle w:val="P68B1DB1-Normal4"/>
        <w:spacing w:before="120" w:after="120" w:line="240" w:lineRule="auto"/>
        <w:jc w:val="both"/>
        <w:rPr>
          <w:rFonts w:cs="Times New Roman"/>
          <w:noProof/>
        </w:rPr>
      </w:pPr>
      <w:r>
        <w:rPr>
          <w:noProof/>
        </w:rPr>
        <w:t>A beruházás végrehajtását 2026. június 30-ig be kell fejezni.</w:t>
      </w:r>
    </w:p>
    <w:p w14:paraId="611BD607" w14:textId="77777777" w:rsidR="003E1D81" w:rsidRDefault="00EB481C">
      <w:pPr>
        <w:pStyle w:val="P68B1DB1-Normal6"/>
        <w:keepNext/>
        <w:spacing w:before="120" w:after="120" w:line="240" w:lineRule="auto"/>
        <w:jc w:val="both"/>
        <w:rPr>
          <w:rFonts w:cs="Times New Roman"/>
          <w:noProof/>
        </w:rPr>
      </w:pPr>
      <w:r>
        <w:rPr>
          <w:noProof/>
        </w:rPr>
        <w:t>Beruházás (C14.I2) – Digitalizációs és hírszerzési program a turisztikai célp</w:t>
      </w:r>
      <w:r>
        <w:rPr>
          <w:noProof/>
        </w:rPr>
        <w:t>ontok és az idegenforgalmi ágazat számára</w:t>
      </w:r>
    </w:p>
    <w:p w14:paraId="03EEB851" w14:textId="77777777" w:rsidR="003E1D81" w:rsidRDefault="00EB481C">
      <w:pPr>
        <w:pStyle w:val="P68B1DB1-Normal4"/>
        <w:keepNext/>
        <w:spacing w:before="120" w:after="120" w:line="240" w:lineRule="auto"/>
        <w:jc w:val="both"/>
        <w:rPr>
          <w:rFonts w:cs="Times New Roman"/>
          <w:noProof/>
        </w:rPr>
      </w:pPr>
      <w:r>
        <w:rPr>
          <w:noProof/>
        </w:rPr>
        <w:t>Az e beruházás keretében megvalósuló intézkedések célja egy intelligens úti célplatform kialakítása, amely interoperábilis köz- és magánszolgáltatásokat biztosít a turisták számára.  Ezt ki kell egészíteni a turisz</w:t>
      </w:r>
      <w:r>
        <w:rPr>
          <w:noProof/>
        </w:rPr>
        <w:t xml:space="preserve">tikai információs rendszer fejlesztésével és az intelligens úti célok spanyol hálózatának fellendítését célzó kezdeményezésekkel. Az e beruházás keretében végrehajtott intézkedéseknek támogatniuk kell a mesterséges intelligencián és más alaptechnológiákon </w:t>
      </w:r>
      <w:r>
        <w:rPr>
          <w:noProof/>
        </w:rPr>
        <w:t xml:space="preserve">alapuló digitális megoldásokat is az idegenforgalmi ágazatban működő vállalkozásokban, valamint finanszírozást kell biztosítaniuk az ipari adatterek fejlesztéséhez és a digitális innováció előmozdításához az idegenforgalmi ágazatban. </w:t>
      </w:r>
    </w:p>
    <w:p w14:paraId="7821B2DF" w14:textId="77777777" w:rsidR="003E1D81" w:rsidRDefault="00EB481C">
      <w:pPr>
        <w:pStyle w:val="P68B1DB1-Normal4"/>
        <w:spacing w:before="120" w:after="120" w:line="240" w:lineRule="auto"/>
        <w:jc w:val="both"/>
        <w:rPr>
          <w:rFonts w:cs="Times New Roman"/>
          <w:noProof/>
        </w:rPr>
      </w:pPr>
      <w:r>
        <w:rPr>
          <w:noProof/>
        </w:rPr>
        <w:t>Az e beruházás kereté</w:t>
      </w:r>
      <w:r>
        <w:rPr>
          <w:noProof/>
        </w:rPr>
        <w:t>ben végrehajtott intézkedések pályázati felhívások és közvetlen befektetések útján valósulnak meg. Legalább 1000 vállalat vagy klaszter részesült finanszírozásban a mesterséges intelligenciával és más alaptechnológiákkal kapcsolatos beruházási projektekből</w:t>
      </w:r>
      <w:r>
        <w:rPr>
          <w:noProof/>
        </w:rPr>
        <w:t>, és 2025. június 30-ig létre kell hozni egy intelligens úti célt szolgáló platformot.</w:t>
      </w:r>
    </w:p>
    <w:p w14:paraId="3FD7FEBC" w14:textId="77777777" w:rsidR="003E1D81" w:rsidRDefault="00EB481C">
      <w:pPr>
        <w:pStyle w:val="P68B1DB1-Normal4"/>
        <w:spacing w:before="120" w:after="120" w:line="240" w:lineRule="auto"/>
        <w:jc w:val="both"/>
        <w:rPr>
          <w:rFonts w:cs="Times New Roman"/>
          <w:noProof/>
        </w:rPr>
      </w:pPr>
      <w:r>
        <w:rPr>
          <w:noProof/>
        </w:rPr>
        <w:t>A beruházás végrehajtását 2025. június 30-ig be kell fejezni.</w:t>
      </w:r>
    </w:p>
    <w:p w14:paraId="5C545786" w14:textId="77777777" w:rsidR="003E1D81" w:rsidRDefault="00EB481C">
      <w:pPr>
        <w:pStyle w:val="P68B1DB1-Normal6"/>
        <w:spacing w:before="120" w:after="120" w:line="240" w:lineRule="auto"/>
        <w:jc w:val="both"/>
        <w:rPr>
          <w:rFonts w:cs="Times New Roman"/>
          <w:noProof/>
        </w:rPr>
      </w:pPr>
      <w:r>
        <w:rPr>
          <w:noProof/>
        </w:rPr>
        <w:t>Beruházás (C14.I3) – Az idegenforgalom rezilienciájára irányuló stratégiák a félszigeten kívüli területeken</w:t>
      </w:r>
    </w:p>
    <w:p w14:paraId="2AAE98BB" w14:textId="77777777" w:rsidR="003E1D81" w:rsidRDefault="00EB481C">
      <w:pPr>
        <w:pStyle w:val="P68B1DB1-Normal4"/>
        <w:spacing w:before="120" w:after="120" w:line="240" w:lineRule="auto"/>
        <w:jc w:val="both"/>
        <w:rPr>
          <w:rFonts w:cs="Times New Roman"/>
          <w:noProof/>
        </w:rPr>
      </w:pPr>
      <w:r>
        <w:rPr>
          <w:noProof/>
        </w:rPr>
        <w:t xml:space="preserve">A beruházás a Baleár-szigetekre, a Kanári-szigetekre, Ceutára és Melillára irányul azzal a céllal, hogy kezelje az idegenforgalmi ágazat előtt álló sajátos kihívásokat ezeken a területeken. Az intézkedések javítják e területek versenyképességét és a </w:t>
      </w:r>
      <w:r>
        <w:rPr>
          <w:noProof/>
        </w:rPr>
        <w:t>nemzetközi piacok változásaihoz való alkalmazkodási képességét, és a következőkből állnak:</w:t>
      </w:r>
    </w:p>
    <w:p w14:paraId="07260ABD" w14:textId="77777777" w:rsidR="003E1D81" w:rsidRDefault="00EB481C">
      <w:pPr>
        <w:pStyle w:val="P68B1DB1-ListParagraph7"/>
        <w:numPr>
          <w:ilvl w:val="0"/>
          <w:numId w:val="721"/>
        </w:numPr>
        <w:spacing w:before="120" w:line="240" w:lineRule="auto"/>
        <w:jc w:val="both"/>
        <w:rPr>
          <w:rFonts w:cs="Times New Roman"/>
          <w:noProof/>
        </w:rPr>
      </w:pPr>
      <w:r>
        <w:rPr>
          <w:noProof/>
        </w:rPr>
        <w:t>állami infrastruktúra, különös tekintettel a közterületek fejlesztésére a turizmus, a környezetgazdálkodás és a hulladékkezelés előmozdítása érdekében, valamint az e</w:t>
      </w:r>
      <w:r>
        <w:rPr>
          <w:noProof/>
        </w:rPr>
        <w:t>lavult turisztikai infrastruktúra átminősítésére;</w:t>
      </w:r>
    </w:p>
    <w:p w14:paraId="5976AF1A" w14:textId="77777777" w:rsidR="003E1D81" w:rsidRDefault="00EB481C">
      <w:pPr>
        <w:pStyle w:val="P68B1DB1-ListParagraph7"/>
        <w:numPr>
          <w:ilvl w:val="0"/>
          <w:numId w:val="721"/>
        </w:numPr>
        <w:spacing w:before="120" w:line="240" w:lineRule="auto"/>
        <w:jc w:val="both"/>
        <w:rPr>
          <w:rFonts w:cs="Times New Roman"/>
          <w:noProof/>
        </w:rPr>
      </w:pPr>
      <w:r>
        <w:rPr>
          <w:noProof/>
        </w:rPr>
        <w:t>a közszolgáltatások megerősítése a különleges turisztikai befolyással bíró területeken: adminisztratív, biztonsági és egészségügyi szolgáltatások;</w:t>
      </w:r>
    </w:p>
    <w:p w14:paraId="39286C5C" w14:textId="77777777" w:rsidR="003E1D81" w:rsidRDefault="00EB481C">
      <w:pPr>
        <w:pStyle w:val="P68B1DB1-ListParagraph7"/>
        <w:numPr>
          <w:ilvl w:val="0"/>
          <w:numId w:val="721"/>
        </w:numPr>
        <w:spacing w:before="120" w:line="240" w:lineRule="auto"/>
        <w:jc w:val="both"/>
        <w:rPr>
          <w:rFonts w:cs="Times New Roman"/>
          <w:noProof/>
        </w:rPr>
      </w:pPr>
      <w:r>
        <w:rPr>
          <w:noProof/>
        </w:rPr>
        <w:t>képzés, különös tekintettel az idegenforgalmi ágazathoz kap</w:t>
      </w:r>
      <w:r>
        <w:rPr>
          <w:noProof/>
        </w:rPr>
        <w:t>csolódó ifjúsági képzésre;</w:t>
      </w:r>
    </w:p>
    <w:p w14:paraId="5ED1DF2F" w14:textId="77777777" w:rsidR="003E1D81" w:rsidRDefault="00EB481C">
      <w:pPr>
        <w:pStyle w:val="P68B1DB1-ListParagraph7"/>
        <w:numPr>
          <w:ilvl w:val="0"/>
          <w:numId w:val="721"/>
        </w:numPr>
        <w:spacing w:before="120" w:line="240" w:lineRule="auto"/>
        <w:jc w:val="both"/>
        <w:rPr>
          <w:rFonts w:cs="Times New Roman"/>
          <w:noProof/>
        </w:rPr>
      </w:pPr>
      <w:r>
        <w:rPr>
          <w:noProof/>
        </w:rPr>
        <w:t>alternatív turisztikai termékek kifejlesztése és az idegenforgalmi kínálat korszerűsítése;</w:t>
      </w:r>
    </w:p>
    <w:p w14:paraId="346BFF24" w14:textId="77777777" w:rsidR="003E1D81" w:rsidRDefault="00EB481C">
      <w:pPr>
        <w:pStyle w:val="P68B1DB1-ListParagraph7"/>
        <w:numPr>
          <w:ilvl w:val="0"/>
          <w:numId w:val="721"/>
        </w:numPr>
        <w:spacing w:before="120" w:line="240" w:lineRule="auto"/>
        <w:jc w:val="both"/>
        <w:rPr>
          <w:rFonts w:cs="Times New Roman"/>
          <w:noProof/>
        </w:rPr>
      </w:pPr>
      <w:r>
        <w:rPr>
          <w:noProof/>
        </w:rPr>
        <w:t>ösztönzők a területekkel való összeköttetés megkönnyítésére és az idegenforgalmi vállalatok főszezonon kívüli működésére;</w:t>
      </w:r>
    </w:p>
    <w:p w14:paraId="2E27E597" w14:textId="77777777" w:rsidR="003E1D81" w:rsidRDefault="00EB481C">
      <w:pPr>
        <w:pStyle w:val="P68B1DB1-ListParagraph7"/>
        <w:numPr>
          <w:ilvl w:val="0"/>
          <w:numId w:val="721"/>
        </w:numPr>
        <w:spacing w:before="120" w:line="240" w:lineRule="auto"/>
        <w:jc w:val="both"/>
        <w:rPr>
          <w:rFonts w:cs="Times New Roman"/>
          <w:noProof/>
        </w:rPr>
      </w:pPr>
      <w:r>
        <w:rPr>
          <w:noProof/>
        </w:rPr>
        <w:t>a nemzeti és nem</w:t>
      </w:r>
      <w:r>
        <w:rPr>
          <w:noProof/>
        </w:rPr>
        <w:t>zetközi félszigeten kívüli területek mint történelmi kulturális jelentőségű turisztikai célpontok népszerűsítése; és</w:t>
      </w:r>
    </w:p>
    <w:p w14:paraId="4B9F9FB5" w14:textId="77777777" w:rsidR="003E1D81" w:rsidRDefault="00EB481C">
      <w:pPr>
        <w:pStyle w:val="P68B1DB1-ListParagraph7"/>
        <w:numPr>
          <w:ilvl w:val="0"/>
          <w:numId w:val="721"/>
        </w:numPr>
        <w:spacing w:before="120" w:line="240" w:lineRule="auto"/>
        <w:jc w:val="both"/>
        <w:rPr>
          <w:rFonts w:cs="Times New Roman"/>
          <w:noProof/>
        </w:rPr>
      </w:pPr>
      <w:r>
        <w:rPr>
          <w:noProof/>
        </w:rPr>
        <w:t>szezonálisan kiigazított stratégiai promóciók, különös tekintettel az online marketingstratégiákra, a nyelvi hozzáférhetőségre, a multimédi</w:t>
      </w:r>
      <w:r>
        <w:rPr>
          <w:noProof/>
        </w:rPr>
        <w:t>ás eszközök proaktív kapacitására és az intézményi ügyfélkapcsolatok kezelésére.</w:t>
      </w:r>
    </w:p>
    <w:p w14:paraId="45BEB207" w14:textId="77777777" w:rsidR="003E1D81" w:rsidRDefault="00EB481C">
      <w:pPr>
        <w:pStyle w:val="P68B1DB1-Normal4"/>
        <w:spacing w:before="120" w:after="120" w:line="240" w:lineRule="auto"/>
        <w:jc w:val="both"/>
        <w:rPr>
          <w:rFonts w:cs="Times New Roman"/>
          <w:noProof/>
        </w:rPr>
      </w:pPr>
      <w:r>
        <w:rPr>
          <w:noProof/>
        </w:rPr>
        <w:t>2025 júniusáig legalább 400 gazdasági és társadalmi szereplő részesült volna a félszigeten kívüli régiókban végrehajtott beruházások előnyeiből.</w:t>
      </w:r>
    </w:p>
    <w:p w14:paraId="3FC09720" w14:textId="77777777" w:rsidR="003E1D81" w:rsidRDefault="00EB481C">
      <w:pPr>
        <w:pStyle w:val="P68B1DB1-Normal4"/>
        <w:spacing w:before="120" w:after="120" w:line="240" w:lineRule="auto"/>
        <w:jc w:val="both"/>
        <w:rPr>
          <w:rFonts w:cs="Times New Roman"/>
          <w:noProof/>
        </w:rPr>
      </w:pPr>
      <w:r>
        <w:rPr>
          <w:noProof/>
        </w:rPr>
        <w:t>A beruházás végrehajtását 2025</w:t>
      </w:r>
      <w:r>
        <w:rPr>
          <w:noProof/>
        </w:rPr>
        <w:t>. június 30-ig be kell fejezni.</w:t>
      </w:r>
    </w:p>
    <w:p w14:paraId="5A7285A2" w14:textId="77777777" w:rsidR="003E1D81" w:rsidRDefault="00EB481C">
      <w:pPr>
        <w:pStyle w:val="P68B1DB1-Normal6"/>
        <w:spacing w:before="120" w:after="120" w:line="240" w:lineRule="auto"/>
        <w:jc w:val="both"/>
        <w:rPr>
          <w:rFonts w:cs="Times New Roman"/>
          <w:noProof/>
        </w:rPr>
      </w:pPr>
      <w:r>
        <w:rPr>
          <w:noProof/>
        </w:rPr>
        <w:t>Beruházás (C14.I4) – Különleges intézkedések a versenyképesség területén</w:t>
      </w:r>
    </w:p>
    <w:p w14:paraId="767D7DFA" w14:textId="77777777" w:rsidR="003E1D81" w:rsidRDefault="00EB481C">
      <w:pPr>
        <w:pStyle w:val="P68B1DB1-Normal4"/>
        <w:spacing w:before="120" w:after="120" w:line="240" w:lineRule="auto"/>
        <w:jc w:val="both"/>
        <w:rPr>
          <w:rFonts w:cs="Times New Roman"/>
          <w:noProof/>
        </w:rPr>
      </w:pPr>
      <w:r>
        <w:rPr>
          <w:noProof/>
        </w:rPr>
        <w:t>A beruházás egy sor olyan intézkedést tartalmaz, amelyek célja az idegenforgalmi ágazat versenyképességének javítása. Az e beruházás keretében támogata</w:t>
      </w:r>
      <w:r>
        <w:rPr>
          <w:noProof/>
        </w:rPr>
        <w:t>ndó egyedi intézkedések a következőket foglalják magukban:</w:t>
      </w:r>
    </w:p>
    <w:p w14:paraId="4756CFC3" w14:textId="77777777" w:rsidR="003E1D81" w:rsidRDefault="00EB481C">
      <w:pPr>
        <w:pStyle w:val="P68B1DB1-ListParagraph7"/>
        <w:numPr>
          <w:ilvl w:val="0"/>
          <w:numId w:val="722"/>
        </w:numPr>
        <w:spacing w:before="120" w:line="240" w:lineRule="auto"/>
        <w:jc w:val="both"/>
        <w:rPr>
          <w:rFonts w:cs="Times New Roman"/>
          <w:noProof/>
        </w:rPr>
      </w:pPr>
      <w:r>
        <w:rPr>
          <w:noProof/>
        </w:rPr>
        <w:t>turisztikai termékek fejlesztése a fenntartható turisztikai termékfejlesztési stratégiával összhangban, többek között a következő indikatív kategóriákra kiterjedően: gasztronómiai turizmus, kulturá</w:t>
      </w:r>
      <w:r>
        <w:rPr>
          <w:noProof/>
        </w:rPr>
        <w:t>lis turizmus, városi turizmus, ökoturizmus, üzleti turizmus, sportturizmus, például kerékpáros, örökségi és vallási turizmus;</w:t>
      </w:r>
    </w:p>
    <w:p w14:paraId="686D5410" w14:textId="77777777" w:rsidR="003E1D81" w:rsidRDefault="00EB481C">
      <w:pPr>
        <w:pStyle w:val="P68B1DB1-ListParagraph7"/>
        <w:numPr>
          <w:ilvl w:val="0"/>
          <w:numId w:val="722"/>
        </w:numPr>
        <w:spacing w:before="120" w:after="120" w:line="240" w:lineRule="auto"/>
        <w:jc w:val="both"/>
        <w:rPr>
          <w:rFonts w:cs="Times New Roman"/>
          <w:noProof/>
        </w:rPr>
      </w:pPr>
      <w:r>
        <w:rPr>
          <w:noProof/>
        </w:rPr>
        <w:t>a turisztikai létesítmények éves hulladék- vagy energiafogyasztásának csökkentését célzó projektek. Az energiafogyasztás csökkenté</w:t>
      </w:r>
      <w:r>
        <w:rPr>
          <w:noProof/>
        </w:rPr>
        <w:t>se érdekében az egyedi intézkedések közé tartozik az energiafogyasztás nyomon követésére és optimalizálására szolgáló érzékelők telepítése, az energiagazdálkodási rendszerek (például az ISO 500001 tanúsítvánnyal rendelkező rendszerek) használatának előmozd</w:t>
      </w:r>
      <w:r>
        <w:rPr>
          <w:noProof/>
        </w:rPr>
        <w:t>ítása, a hőhatékony anyagok használata, az energiahatékony technológiák használata, valamint külső elemek, például árnyalatok vagy kertek használata. A hulladék csökkentésére irányuló konkrét intézkedések közé tartoznak a hulladéknak a keletkezés helyén tö</w:t>
      </w:r>
      <w:r>
        <w:rPr>
          <w:noProof/>
        </w:rPr>
        <w:t>rténő elkülönítésére vonatkozó tervek, valamint a hulladék újrahasználatának és újrafeldolgozásának előmozdítását célzó intézkedések. A további intézkedések közé tartoznak a turisztikai létesítmények személyzete számára az energiahatékonysággal és a hullad</w:t>
      </w:r>
      <w:r>
        <w:rPr>
          <w:noProof/>
        </w:rPr>
        <w:t xml:space="preserve">ékgazdálkodással kapcsolatos tudatosságnövelő kampányok és képzések, valamint a helyi készletek előállításának és beszerzésének előmozdítása; </w:t>
      </w:r>
    </w:p>
    <w:p w14:paraId="453EDD0D" w14:textId="77777777" w:rsidR="003E1D81" w:rsidRDefault="00EB481C">
      <w:pPr>
        <w:pStyle w:val="P68B1DB1-ListParagraph7"/>
        <w:numPr>
          <w:ilvl w:val="0"/>
          <w:numId w:val="722"/>
        </w:numPr>
        <w:spacing w:before="120" w:after="120" w:line="240" w:lineRule="auto"/>
        <w:jc w:val="both"/>
        <w:rPr>
          <w:rFonts w:cs="Times New Roman"/>
          <w:noProof/>
        </w:rPr>
      </w:pPr>
      <w:r>
        <w:rPr>
          <w:noProof/>
        </w:rPr>
        <w:t>a történelmi turisztikai örökségi helyszínek regenerálása és rehabilitációja, beleértve i. a szénlábnyom csökkent</w:t>
      </w:r>
      <w:r>
        <w:rPr>
          <w:noProof/>
        </w:rPr>
        <w:t>ését és kompenzálását az üvegházhatást okozó gázok kibocsátásának csökkentésére irányuló cselekvési tervek kidolgozása révén, ii. a helyszínek öko-rehabilitációját, iii. az energiahatékonyság javítását a dízel- vagy tüzelőanyag-kazánok földgázkazánokkal va</w:t>
      </w:r>
      <w:r>
        <w:rPr>
          <w:noProof/>
        </w:rPr>
        <w:t>ló felváltása révén, iv. az éghajlatváltozáshoz való alkalmazkodást célzó intézkedések, v. a szürkevíz-kezelő rendszerek fejlesztése, vii. a hulladékgazdálkodási rendszerek korszerűsítése, vii. a területek rehabilitációja és használata intelligens technoló</w:t>
      </w:r>
      <w:r>
        <w:rPr>
          <w:noProof/>
        </w:rPr>
        <w:t>giákkal, valamint viii. az energia- és vízfogyasztás csökkentésére irányuló intézkedések; és</w:t>
      </w:r>
    </w:p>
    <w:p w14:paraId="17B32380" w14:textId="77777777" w:rsidR="003E1D81" w:rsidRDefault="00EB481C">
      <w:pPr>
        <w:pStyle w:val="P68B1DB1-ListParagraph7"/>
        <w:numPr>
          <w:ilvl w:val="0"/>
          <w:numId w:val="722"/>
        </w:numPr>
        <w:spacing w:before="120" w:after="120" w:line="240" w:lineRule="auto"/>
        <w:jc w:val="both"/>
        <w:rPr>
          <w:rFonts w:cs="Times New Roman"/>
          <w:noProof/>
        </w:rPr>
      </w:pPr>
      <w:r>
        <w:rPr>
          <w:noProof/>
        </w:rPr>
        <w:t>a kereskedelmi területek fejlesztése a nagy idegenforgalmi beáramlású helyi területeken, beleértve az új technológiákba való beruházás keretében végrehajtott intéz</w:t>
      </w:r>
      <w:r>
        <w:rPr>
          <w:noProof/>
        </w:rPr>
        <w:t>kedéseket is; technológiai megoldások alkalmazása az energiahatékonyság javítása érdekében; ökohatékony eljárások, valamint a hulladék újrafeldolgozása és újrafelhasználása; munkaerő képzése;  a külföldi látogatók igényeihez igazított integrált digitális a</w:t>
      </w:r>
      <w:r>
        <w:rPr>
          <w:noProof/>
        </w:rPr>
        <w:t xml:space="preserve">láírás; valamint a nyilvános terek átalakítása a hozzáférhetőség és a mobilitás javítása érdekében. </w:t>
      </w:r>
    </w:p>
    <w:p w14:paraId="4E65AEEE" w14:textId="77777777" w:rsidR="003E1D81" w:rsidRDefault="003E1D81">
      <w:pPr>
        <w:spacing w:before="120" w:after="120" w:line="240" w:lineRule="auto"/>
        <w:ind w:left="360"/>
        <w:contextualSpacing/>
        <w:jc w:val="both"/>
        <w:rPr>
          <w:rFonts w:ascii="Times New Roman" w:hAnsi="Times New Roman" w:cs="Times New Roman"/>
          <w:noProof/>
          <w:sz w:val="24"/>
        </w:rPr>
      </w:pPr>
    </w:p>
    <w:p w14:paraId="2DF4BA9A" w14:textId="77777777" w:rsidR="003E1D81" w:rsidRDefault="00EB481C">
      <w:pPr>
        <w:pStyle w:val="P68B1DB1-Normal4"/>
        <w:spacing w:before="120" w:after="120" w:line="240" w:lineRule="auto"/>
        <w:jc w:val="both"/>
        <w:rPr>
          <w:rFonts w:cs="Times New Roman"/>
          <w:noProof/>
        </w:rPr>
      </w:pPr>
      <w:r>
        <w:rPr>
          <w:noProof/>
        </w:rPr>
        <w:t>2024. december 31-ig legalább 60 projektet kell befejezni a nagy idegenforgalmi beáramlású helyi területeken található kereskedelmi területeken. A 2025. j</w:t>
      </w:r>
      <w:r>
        <w:rPr>
          <w:noProof/>
        </w:rPr>
        <w:t xml:space="preserve">únius 30-ig végrehajtott beruházások eredményeként: i. legalább 45 új turisztikai termék áll rendelkezésre, és ii. legalább 3400 turisztikai létesítménynek be kell fejeznie az éves hulladék- vagy energiafogyasztás csökkentésére irányuló projekteket. 2026. </w:t>
      </w:r>
      <w:r>
        <w:rPr>
          <w:noProof/>
        </w:rPr>
        <w:t xml:space="preserve">június 30-ig legalább 50, történelmi turisztikai örökségi helyszínekre irányuló projektet kell befejezni. </w:t>
      </w:r>
    </w:p>
    <w:p w14:paraId="20A76D21" w14:textId="77777777" w:rsidR="003E1D81" w:rsidRDefault="00EB481C">
      <w:pPr>
        <w:pStyle w:val="Text1"/>
        <w:ind w:left="0"/>
        <w:rPr>
          <w:rFonts w:ascii="Times New Roman" w:hAnsi="Times New Roman" w:cs="Times New Roman"/>
          <w:noProof/>
        </w:rPr>
      </w:pPr>
      <w:r>
        <w:rPr>
          <w:rFonts w:ascii="Times New Roman" w:hAnsi="Times New Roman"/>
          <w:noProof/>
        </w:rPr>
        <w:t>Annak biztosítása érdekében, hogy az intézkedés megfeleljen a jelentős károkozás elkerülését célzó elvről szóló technikai iránymutatásnak (2021/C58/0</w:t>
      </w:r>
      <w:r>
        <w:rPr>
          <w:rFonts w:ascii="Times New Roman" w:hAnsi="Times New Roman"/>
          <w:noProof/>
        </w:rPr>
        <w:t>1), a soron következő pályázati felhívásokra vonatkozó feladatmeghatározásban szereplő támogathatósági kritériumok nem tartalmazzák a tevékenységek alábbi listáját: a fosszilis tüzelőanyagokhoz kapcsolódó tevékenységek, beleértve a továbbfelhasználást is</w:t>
      </w:r>
      <w:r>
        <w:rPr>
          <w:rStyle w:val="FootnoteReference"/>
          <w:rFonts w:ascii="Times New Roman" w:hAnsi="Times New Roman" w:cs="Times New Roman"/>
          <w:noProof/>
        </w:rPr>
        <w:footnoteReference w:id="156"/>
      </w:r>
      <w:r>
        <w:rPr>
          <w:rFonts w:ascii="Times New Roman" w:hAnsi="Times New Roman"/>
          <w:noProof/>
        </w:rPr>
        <w:t>;</w:t>
      </w:r>
      <w:r>
        <w:rPr>
          <w:rFonts w:ascii="Times New Roman" w:hAnsi="Times New Roman"/>
          <w:noProof/>
        </w:rPr>
        <w:t xml:space="preserve"> az uniós kibocsátáskereskedelmi rendszer (ETS) keretében végzett tevékenységek, amelyek a vonatkozó referenciaértékeknél nem alacsonyabb várható üvegházhatásúgáz-kibocsátást érnek el</w:t>
      </w:r>
      <w:r>
        <w:rPr>
          <w:rStyle w:val="FootnoteReference"/>
          <w:rFonts w:ascii="Times New Roman" w:hAnsi="Times New Roman" w:cs="Times New Roman"/>
          <w:noProof/>
        </w:rPr>
        <w:footnoteReference w:id="157"/>
      </w:r>
      <w:r>
        <w:rPr>
          <w:rFonts w:ascii="Times New Roman" w:hAnsi="Times New Roman"/>
          <w:noProof/>
        </w:rPr>
        <w:t>; hulladéklerakókkal, hulladékégetőkkel</w:t>
      </w:r>
      <w:r>
        <w:rPr>
          <w:rStyle w:val="FootnoteReference"/>
          <w:rFonts w:ascii="Times New Roman" w:hAnsi="Times New Roman" w:cs="Times New Roman"/>
          <w:noProof/>
        </w:rPr>
        <w:footnoteReference w:id="158"/>
      </w:r>
      <w:r>
        <w:rPr>
          <w:rFonts w:ascii="Times New Roman" w:hAnsi="Times New Roman"/>
          <w:noProof/>
        </w:rPr>
        <w:t xml:space="preserve"> és mechanikai-biológiai szennyvíztisztító telepekkel kapcsolatos tevékenységek</w:t>
      </w:r>
      <w:r>
        <w:rPr>
          <w:rStyle w:val="FootnoteReference"/>
          <w:rFonts w:ascii="Times New Roman" w:hAnsi="Times New Roman" w:cs="Times New Roman"/>
          <w:noProof/>
        </w:rPr>
        <w:footnoteReference w:id="159"/>
      </w:r>
      <w:r>
        <w:rPr>
          <w:rFonts w:ascii="Times New Roman" w:hAnsi="Times New Roman"/>
          <w:noProof/>
        </w:rPr>
        <w:t>; és iv. olyan tevékenységek, amelyek esetében a hulladék hosszú távú ártalmatlanítása károsíthatja a környezetet. A feladatmeghatározás emellett előírja, hogy csak a vonatkozó</w:t>
      </w:r>
      <w:r>
        <w:rPr>
          <w:rFonts w:ascii="Times New Roman" w:hAnsi="Times New Roman"/>
          <w:noProof/>
        </w:rPr>
        <w:t xml:space="preserve"> uniós és nemzeti környezetvédelmi jogszabályoknak megfelelő tevékenységek választhatók ki.</w:t>
      </w:r>
    </w:p>
    <w:p w14:paraId="521253E5" w14:textId="77777777" w:rsidR="003E1D81" w:rsidRDefault="00EB481C">
      <w:pPr>
        <w:pStyle w:val="P68B1DB1-Text119"/>
        <w:ind w:left="0"/>
        <w:rPr>
          <w:rFonts w:eastAsia="Calibri" w:cs="Times New Roman"/>
          <w:noProof/>
        </w:rPr>
      </w:pPr>
      <w:r>
        <w:rPr>
          <w:noProof/>
        </w:rPr>
        <w:t>A beruházás végrehajtását 2026. június 30-ig be kell fejezni.</w:t>
      </w:r>
    </w:p>
    <w:p w14:paraId="242947EB" w14:textId="77777777" w:rsidR="003E1D81" w:rsidRDefault="003E1D81">
      <w:pPr>
        <w:pStyle w:val="Text1"/>
        <w:ind w:left="0"/>
        <w:rPr>
          <w:rFonts w:ascii="Times New Roman" w:eastAsia="Calibri" w:hAnsi="Times New Roman" w:cs="Times New Roman"/>
          <w:noProof/>
        </w:rPr>
      </w:pPr>
    </w:p>
    <w:p w14:paraId="5EB8C009" w14:textId="77777777" w:rsidR="003E1D81" w:rsidRDefault="00EB481C">
      <w:pPr>
        <w:pStyle w:val="P68B1DB1-Normal5"/>
        <w:keepNext/>
        <w:spacing w:before="120" w:after="120" w:line="240" w:lineRule="auto"/>
        <w:ind w:left="709"/>
        <w:jc w:val="both"/>
        <w:rPr>
          <w:rFonts w:cs="Times New Roman"/>
          <w:noProof/>
        </w:rPr>
      </w:pPr>
      <w:r>
        <w:rPr>
          <w:noProof/>
        </w:rPr>
        <w:t xml:space="preserve">N.2. </w:t>
      </w:r>
      <w:r>
        <w:rPr>
          <w:noProof/>
        </w:rPr>
        <w:tab/>
        <w:t xml:space="preserve">Vissza nem térítendő pénzügyi támogatás – a végrehajtáshoz és a nyomon követéshez kapcsolódó </w:t>
      </w:r>
      <w:r>
        <w:rPr>
          <w:noProof/>
        </w:rPr>
        <w:t>mérföldkövek, célok, mutatók és ütemterv</w:t>
      </w:r>
    </w:p>
    <w:p w14:paraId="70AC05EA" w14:textId="77777777" w:rsidR="003E1D81" w:rsidRDefault="00EB481C">
      <w:pPr>
        <w:pStyle w:val="P68B1DB1-Normal4"/>
        <w:keepNext/>
        <w:spacing w:before="120" w:after="120" w:line="240" w:lineRule="auto"/>
        <w:jc w:val="both"/>
        <w:rPr>
          <w:rFonts w:cs="Times New Roman"/>
          <w:noProof/>
        </w:rPr>
      </w:pPr>
      <w:r>
        <w:rPr>
          <w:i/>
          <w:noProof/>
        </w:rPr>
        <w:t>Táblázat alább.</w:t>
      </w:r>
      <w:r>
        <w:rPr>
          <w:noProof/>
        </w:rPr>
        <w:t xml:space="preserve"> </w:t>
      </w:r>
      <w:r>
        <w:rPr>
          <w:i/>
          <w:noProof/>
        </w:rPr>
        <w:t>Az alapforgatókönyv valamennyi mutató esetében 2020. február 1-je, kivéve, ha az intézkedés leírása másként jelzi. A táblázatban szereplő összegek nem tartalmazzák a héát.</w:t>
      </w:r>
    </w:p>
    <w:p w14:paraId="126BCA63" w14:textId="77777777" w:rsidR="003E1D81" w:rsidRDefault="003E1D81">
      <w:pPr>
        <w:spacing w:before="120" w:after="120" w:line="240" w:lineRule="auto"/>
        <w:jc w:val="both"/>
        <w:rPr>
          <w:rFonts w:ascii="Times New Roman" w:hAnsi="Times New Roman" w:cs="Times New Roman"/>
          <w:b/>
          <w:noProof/>
          <w:sz w:val="24"/>
          <w:u w:val="single"/>
        </w:rPr>
      </w:pPr>
    </w:p>
    <w:p w14:paraId="4C3FEC7D" w14:textId="77777777" w:rsidR="003E1D81" w:rsidRDefault="003E1D81">
      <w:pPr>
        <w:spacing w:before="120" w:after="120" w:line="240" w:lineRule="auto"/>
        <w:ind w:left="709"/>
        <w:jc w:val="both"/>
        <w:rPr>
          <w:rFonts w:ascii="Times New Roman" w:hAnsi="Times New Roman" w:cs="Times New Roman"/>
          <w:noProof/>
          <w:sz w:val="24"/>
        </w:rPr>
      </w:pPr>
    </w:p>
    <w:p w14:paraId="4B605DE9" w14:textId="77777777" w:rsidR="003E1D81" w:rsidRDefault="003E1D81">
      <w:pPr>
        <w:spacing w:before="120" w:after="120" w:line="240" w:lineRule="auto"/>
        <w:ind w:left="709"/>
        <w:jc w:val="both"/>
        <w:rPr>
          <w:rFonts w:ascii="Times New Roman" w:hAnsi="Times New Roman" w:cs="Times New Roman"/>
          <w:noProof/>
          <w:sz w:val="24"/>
        </w:rPr>
        <w:sectPr w:rsidR="003E1D81" w:rsidSect="00EB7CC8">
          <w:headerReference w:type="even" r:id="rId294"/>
          <w:headerReference w:type="default" r:id="rId295"/>
          <w:footerReference w:type="even" r:id="rId296"/>
          <w:footerReference w:type="default" r:id="rId297"/>
          <w:headerReference w:type="first" r:id="rId298"/>
          <w:footerReference w:type="first" r:id="rId299"/>
          <w:pgSz w:w="11907" w:h="16839"/>
          <w:pgMar w:top="1134" w:right="1417" w:bottom="1134" w:left="1417" w:header="709" w:footer="709" w:gutter="0"/>
          <w:cols w:space="720"/>
          <w:docGrid w:linePitch="360"/>
        </w:sectPr>
      </w:pPr>
    </w:p>
    <w:tbl>
      <w:tblPr>
        <w:tblW w:w="1488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418"/>
        <w:gridCol w:w="1276"/>
        <w:gridCol w:w="850"/>
        <w:gridCol w:w="992"/>
        <w:gridCol w:w="567"/>
        <w:gridCol w:w="426"/>
        <w:gridCol w:w="708"/>
        <w:gridCol w:w="6237"/>
      </w:tblGrid>
      <w:tr w:rsidR="003E1D81" w14:paraId="063DFD46" w14:textId="77777777">
        <w:trPr>
          <w:trHeight w:val="309"/>
          <w:tblHeader/>
        </w:trPr>
        <w:tc>
          <w:tcPr>
            <w:tcW w:w="709" w:type="dxa"/>
            <w:tcBorders>
              <w:bottom w:val="nil"/>
            </w:tcBorders>
            <w:shd w:val="clear" w:color="auto" w:fill="C6D9F1" w:themeFill="text2" w:themeFillTint="33"/>
            <w:noWrap/>
            <w:vAlign w:val="center"/>
          </w:tcPr>
          <w:p w14:paraId="4AFFA011"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4BAC7FA5"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33A9C41E" w14:textId="77777777" w:rsidR="003E1D81" w:rsidRDefault="00EB481C">
            <w:pPr>
              <w:pStyle w:val="P68B1DB1-Normal13"/>
              <w:spacing w:after="0" w:line="240" w:lineRule="auto"/>
              <w:jc w:val="center"/>
              <w:rPr>
                <w:rFonts w:cs="Times New Roman"/>
                <w:b/>
                <w:noProof/>
              </w:rPr>
            </w:pPr>
            <w:r>
              <w:rPr>
                <w:b/>
                <w:noProof/>
              </w:rPr>
              <w:t>Mérföldkő</w:t>
            </w:r>
            <w:r>
              <w:rPr>
                <w:noProof/>
              </w:rPr>
              <w:br/>
            </w:r>
            <w:r>
              <w:rPr>
                <w:b/>
                <w:noProof/>
              </w:rPr>
              <w:t xml:space="preserve"> /Cél</w:t>
            </w:r>
          </w:p>
        </w:tc>
        <w:tc>
          <w:tcPr>
            <w:tcW w:w="1418" w:type="dxa"/>
            <w:vMerge w:val="restart"/>
            <w:shd w:val="clear" w:color="auto" w:fill="C6D9F1" w:themeFill="text2" w:themeFillTint="33"/>
            <w:noWrap/>
            <w:vAlign w:val="center"/>
          </w:tcPr>
          <w:p w14:paraId="12D59150" w14:textId="77777777" w:rsidR="003E1D81" w:rsidRDefault="00EB481C">
            <w:pPr>
              <w:pStyle w:val="P68B1DB1-Normal12"/>
              <w:spacing w:after="0" w:line="240" w:lineRule="auto"/>
              <w:jc w:val="center"/>
              <w:rPr>
                <w:rFonts w:cs="Times New Roman"/>
                <w:noProof/>
              </w:rPr>
            </w:pPr>
            <w:r>
              <w:rPr>
                <w:noProof/>
              </w:rPr>
              <w:t>Név</w:t>
            </w:r>
          </w:p>
        </w:tc>
        <w:tc>
          <w:tcPr>
            <w:tcW w:w="1276" w:type="dxa"/>
            <w:vMerge w:val="restart"/>
            <w:shd w:val="clear" w:color="auto" w:fill="C6D9F1" w:themeFill="text2" w:themeFillTint="33"/>
            <w:noWrap/>
            <w:vAlign w:val="center"/>
          </w:tcPr>
          <w:p w14:paraId="26345872"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2409" w:type="dxa"/>
            <w:gridSpan w:val="3"/>
            <w:shd w:val="clear" w:color="auto" w:fill="C6D9F1" w:themeFill="text2" w:themeFillTint="33"/>
            <w:noWrap/>
            <w:vAlign w:val="center"/>
          </w:tcPr>
          <w:p w14:paraId="4131D199"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1134" w:type="dxa"/>
            <w:gridSpan w:val="2"/>
            <w:shd w:val="clear" w:color="auto" w:fill="C6D9F1" w:themeFill="text2" w:themeFillTint="33"/>
            <w:noWrap/>
            <w:vAlign w:val="center"/>
          </w:tcPr>
          <w:p w14:paraId="2F42BFA9" w14:textId="77777777" w:rsidR="003E1D81" w:rsidRDefault="00EB481C">
            <w:pPr>
              <w:pStyle w:val="P68B1DB1-Normal12"/>
              <w:spacing w:after="0" w:line="240" w:lineRule="auto"/>
              <w:jc w:val="center"/>
              <w:rPr>
                <w:rFonts w:cs="Times New Roman"/>
                <w:noProof/>
              </w:rPr>
            </w:pPr>
            <w:r>
              <w:rPr>
                <w:noProof/>
              </w:rPr>
              <w:t>Idő</w:t>
            </w:r>
          </w:p>
        </w:tc>
        <w:tc>
          <w:tcPr>
            <w:tcW w:w="6237" w:type="dxa"/>
            <w:vMerge w:val="restart"/>
            <w:shd w:val="clear" w:color="auto" w:fill="C6D9F1" w:themeFill="text2" w:themeFillTint="33"/>
            <w:noWrap/>
            <w:vAlign w:val="center"/>
          </w:tcPr>
          <w:p w14:paraId="2EBF9182"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4688A0EE" w14:textId="77777777">
        <w:trPr>
          <w:trHeight w:val="309"/>
          <w:tblHeader/>
        </w:trPr>
        <w:tc>
          <w:tcPr>
            <w:tcW w:w="709" w:type="dxa"/>
            <w:tcBorders>
              <w:top w:val="nil"/>
            </w:tcBorders>
            <w:shd w:val="clear" w:color="auto" w:fill="C6D9F1" w:themeFill="text2" w:themeFillTint="33"/>
            <w:noWrap/>
          </w:tcPr>
          <w:p w14:paraId="132A2021"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521F4038"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13EF80F5" w14:textId="77777777" w:rsidR="003E1D81" w:rsidRDefault="003E1D81">
            <w:pPr>
              <w:spacing w:after="0" w:line="240" w:lineRule="auto"/>
              <w:jc w:val="center"/>
              <w:rPr>
                <w:rFonts w:ascii="Times New Roman" w:hAnsi="Times New Roman" w:cs="Times New Roman"/>
                <w:b/>
                <w:noProof/>
                <w:sz w:val="18"/>
              </w:rPr>
            </w:pPr>
          </w:p>
        </w:tc>
        <w:tc>
          <w:tcPr>
            <w:tcW w:w="1418" w:type="dxa"/>
            <w:vMerge/>
            <w:noWrap/>
          </w:tcPr>
          <w:p w14:paraId="6632FDF6" w14:textId="77777777" w:rsidR="003E1D81" w:rsidRDefault="003E1D81">
            <w:pPr>
              <w:spacing w:after="0" w:line="240" w:lineRule="auto"/>
              <w:rPr>
                <w:rFonts w:ascii="Times New Roman" w:hAnsi="Times New Roman" w:cs="Times New Roman"/>
                <w:b/>
                <w:noProof/>
                <w:sz w:val="18"/>
              </w:rPr>
            </w:pPr>
          </w:p>
        </w:tc>
        <w:tc>
          <w:tcPr>
            <w:tcW w:w="1276" w:type="dxa"/>
            <w:vMerge/>
            <w:noWrap/>
          </w:tcPr>
          <w:p w14:paraId="4D45A0BB" w14:textId="77777777" w:rsidR="003E1D81" w:rsidRDefault="003E1D81">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628B78D6" w14:textId="77777777" w:rsidR="003E1D81" w:rsidRDefault="00EB481C">
            <w:pPr>
              <w:pStyle w:val="P68B1DB1-Normal12"/>
              <w:spacing w:after="0" w:line="240" w:lineRule="auto"/>
              <w:jc w:val="center"/>
              <w:rPr>
                <w:rFonts w:cs="Times New Roman"/>
                <w:noProof/>
              </w:rPr>
            </w:pPr>
            <w:r>
              <w:rPr>
                <w:noProof/>
              </w:rPr>
              <w:t>Egység</w:t>
            </w:r>
          </w:p>
          <w:p w14:paraId="03340206" w14:textId="385CFE10" w:rsidR="003E1D81" w:rsidRDefault="003E1D81">
            <w:pPr>
              <w:spacing w:after="0" w:line="240" w:lineRule="auto"/>
              <w:jc w:val="center"/>
              <w:rPr>
                <w:rFonts w:ascii="Times New Roman" w:hAnsi="Times New Roman" w:cs="Times New Roman"/>
                <w:b/>
                <w:noProof/>
                <w:sz w:val="18"/>
              </w:rPr>
            </w:pPr>
          </w:p>
        </w:tc>
        <w:tc>
          <w:tcPr>
            <w:tcW w:w="992" w:type="dxa"/>
            <w:shd w:val="clear" w:color="auto" w:fill="C6D9F1" w:themeFill="text2" w:themeFillTint="33"/>
            <w:noWrap/>
            <w:vAlign w:val="center"/>
          </w:tcPr>
          <w:p w14:paraId="00041F81" w14:textId="77777777" w:rsidR="003E1D81" w:rsidRDefault="00EB481C">
            <w:pPr>
              <w:pStyle w:val="P68B1DB1-Normal12"/>
              <w:spacing w:after="0" w:line="240" w:lineRule="auto"/>
              <w:jc w:val="center"/>
              <w:rPr>
                <w:rFonts w:cs="Times New Roman"/>
                <w:noProof/>
              </w:rPr>
            </w:pPr>
            <w:r>
              <w:rPr>
                <w:noProof/>
              </w:rPr>
              <w:t>Alapérték</w:t>
            </w:r>
          </w:p>
          <w:p w14:paraId="7D3E5CB8" w14:textId="496D4530" w:rsidR="003E1D81" w:rsidRDefault="003E1D81">
            <w:pPr>
              <w:spacing w:after="0" w:line="240" w:lineRule="auto"/>
              <w:jc w:val="center"/>
              <w:rPr>
                <w:rFonts w:ascii="Times New Roman" w:hAnsi="Times New Roman" w:cs="Times New Roman"/>
                <w:b/>
                <w:noProof/>
                <w:sz w:val="18"/>
              </w:rPr>
            </w:pPr>
          </w:p>
        </w:tc>
        <w:tc>
          <w:tcPr>
            <w:tcW w:w="567" w:type="dxa"/>
            <w:shd w:val="clear" w:color="auto" w:fill="C6D9F1" w:themeFill="text2" w:themeFillTint="33"/>
            <w:noWrap/>
            <w:vAlign w:val="center"/>
          </w:tcPr>
          <w:p w14:paraId="5E7A485D" w14:textId="77777777" w:rsidR="003E1D81" w:rsidRDefault="00EB481C">
            <w:pPr>
              <w:pStyle w:val="P68B1DB1-Normal12"/>
              <w:spacing w:after="0" w:line="240" w:lineRule="auto"/>
              <w:jc w:val="center"/>
              <w:rPr>
                <w:rFonts w:cs="Times New Roman"/>
                <w:noProof/>
              </w:rPr>
            </w:pPr>
            <w:r>
              <w:rPr>
                <w:noProof/>
              </w:rPr>
              <w:t>Cél</w:t>
            </w:r>
          </w:p>
          <w:p w14:paraId="5C77F60E" w14:textId="68715297" w:rsidR="003E1D81" w:rsidRDefault="003E1D81">
            <w:pPr>
              <w:spacing w:after="0" w:line="240" w:lineRule="auto"/>
              <w:jc w:val="center"/>
              <w:rPr>
                <w:rFonts w:ascii="Times New Roman" w:hAnsi="Times New Roman" w:cs="Times New Roman"/>
                <w:b/>
                <w:noProof/>
                <w:sz w:val="18"/>
              </w:rPr>
            </w:pPr>
          </w:p>
        </w:tc>
        <w:tc>
          <w:tcPr>
            <w:tcW w:w="426" w:type="dxa"/>
            <w:shd w:val="clear" w:color="auto" w:fill="C6D9F1" w:themeFill="text2" w:themeFillTint="33"/>
            <w:noWrap/>
            <w:vAlign w:val="center"/>
          </w:tcPr>
          <w:p w14:paraId="4617389F" w14:textId="77777777" w:rsidR="003E1D81" w:rsidRDefault="00EB481C">
            <w:pPr>
              <w:pStyle w:val="P68B1DB1-Normal12"/>
              <w:spacing w:after="0" w:line="240" w:lineRule="auto"/>
              <w:jc w:val="center"/>
              <w:rPr>
                <w:rFonts w:cs="Times New Roman"/>
                <w:noProof/>
              </w:rPr>
            </w:pPr>
            <w:r>
              <w:rPr>
                <w:noProof/>
              </w:rPr>
              <w:t>Q</w:t>
            </w:r>
          </w:p>
          <w:p w14:paraId="0127678F" w14:textId="7FDC6B8F" w:rsidR="003E1D81" w:rsidRDefault="003E1D81">
            <w:pPr>
              <w:spacing w:after="0" w:line="240" w:lineRule="auto"/>
              <w:jc w:val="center"/>
              <w:rPr>
                <w:rFonts w:ascii="Times New Roman" w:hAnsi="Times New Roman" w:cs="Times New Roman"/>
                <w:b/>
                <w:noProof/>
                <w:sz w:val="18"/>
              </w:rPr>
            </w:pPr>
          </w:p>
        </w:tc>
        <w:tc>
          <w:tcPr>
            <w:tcW w:w="708" w:type="dxa"/>
            <w:shd w:val="clear" w:color="auto" w:fill="C6D9F1" w:themeFill="text2" w:themeFillTint="33"/>
            <w:noWrap/>
            <w:vAlign w:val="center"/>
          </w:tcPr>
          <w:p w14:paraId="0FBB54C7" w14:textId="77777777" w:rsidR="003E1D81" w:rsidRDefault="00EB481C">
            <w:pPr>
              <w:pStyle w:val="P68B1DB1-Normal12"/>
              <w:spacing w:after="0" w:line="240" w:lineRule="auto"/>
              <w:jc w:val="center"/>
              <w:rPr>
                <w:rFonts w:cs="Times New Roman"/>
                <w:noProof/>
              </w:rPr>
            </w:pPr>
            <w:r>
              <w:rPr>
                <w:noProof/>
              </w:rPr>
              <w:t>Éve</w:t>
            </w:r>
          </w:p>
          <w:p w14:paraId="5FBC7EB6" w14:textId="3BF060B8" w:rsidR="003E1D81" w:rsidRDefault="003E1D81">
            <w:pPr>
              <w:spacing w:after="0" w:line="240" w:lineRule="auto"/>
              <w:jc w:val="center"/>
              <w:rPr>
                <w:rFonts w:ascii="Times New Roman" w:hAnsi="Times New Roman" w:cs="Times New Roman"/>
                <w:b/>
                <w:noProof/>
                <w:sz w:val="18"/>
              </w:rPr>
            </w:pPr>
          </w:p>
        </w:tc>
        <w:tc>
          <w:tcPr>
            <w:tcW w:w="6237" w:type="dxa"/>
            <w:vMerge/>
            <w:noWrap/>
          </w:tcPr>
          <w:p w14:paraId="5D55FAF0" w14:textId="77777777" w:rsidR="003E1D81" w:rsidRDefault="003E1D81">
            <w:pPr>
              <w:spacing w:after="0" w:line="240" w:lineRule="auto"/>
              <w:rPr>
                <w:rFonts w:ascii="Times New Roman" w:hAnsi="Times New Roman" w:cs="Times New Roman"/>
                <w:b/>
                <w:noProof/>
                <w:sz w:val="18"/>
              </w:rPr>
            </w:pPr>
          </w:p>
        </w:tc>
      </w:tr>
      <w:tr w:rsidR="003E1D81" w14:paraId="0BC17027" w14:textId="77777777">
        <w:trPr>
          <w:trHeight w:val="309"/>
        </w:trPr>
        <w:tc>
          <w:tcPr>
            <w:tcW w:w="709" w:type="dxa"/>
            <w:shd w:val="clear" w:color="auto" w:fill="C6EFCE"/>
            <w:noWrap/>
          </w:tcPr>
          <w:p w14:paraId="029298D7" w14:textId="77777777" w:rsidR="003E1D81" w:rsidRDefault="00EB481C">
            <w:pPr>
              <w:pStyle w:val="P68B1DB1-Normal13"/>
              <w:spacing w:after="0" w:line="240" w:lineRule="auto"/>
              <w:jc w:val="center"/>
              <w:rPr>
                <w:rFonts w:eastAsia="Times New Roman" w:cs="Times New Roman"/>
                <w:noProof/>
              </w:rPr>
            </w:pPr>
            <w:r>
              <w:rPr>
                <w:noProof/>
              </w:rPr>
              <w:t>214</w:t>
            </w:r>
          </w:p>
        </w:tc>
        <w:tc>
          <w:tcPr>
            <w:tcW w:w="851" w:type="dxa"/>
            <w:shd w:val="clear" w:color="auto" w:fill="C6EFCE"/>
            <w:noWrap/>
          </w:tcPr>
          <w:p w14:paraId="4CFE236E" w14:textId="77777777" w:rsidR="003E1D81" w:rsidRDefault="00EB481C">
            <w:pPr>
              <w:pStyle w:val="P68B1DB1-Normal13"/>
              <w:spacing w:after="0" w:line="240" w:lineRule="auto"/>
              <w:jc w:val="center"/>
              <w:rPr>
                <w:rFonts w:eastAsia="Times New Roman" w:cs="Times New Roman"/>
                <w:noProof/>
              </w:rPr>
            </w:pPr>
            <w:r>
              <w:rPr>
                <w:noProof/>
              </w:rPr>
              <w:t>C14.R1</w:t>
            </w:r>
          </w:p>
        </w:tc>
        <w:tc>
          <w:tcPr>
            <w:tcW w:w="850" w:type="dxa"/>
            <w:shd w:val="clear" w:color="auto" w:fill="C6EFCE"/>
            <w:noWrap/>
          </w:tcPr>
          <w:p w14:paraId="4CA21D10" w14:textId="77777777" w:rsidR="003E1D81" w:rsidRDefault="00EB481C">
            <w:pPr>
              <w:pStyle w:val="P68B1DB1-Normal13"/>
              <w:spacing w:after="0" w:line="240" w:lineRule="auto"/>
              <w:jc w:val="center"/>
              <w:rPr>
                <w:rFonts w:eastAsia="Times New Roman" w:cs="Times New Roman"/>
                <w:noProof/>
              </w:rPr>
            </w:pPr>
            <w:r>
              <w:rPr>
                <w:noProof/>
              </w:rPr>
              <w:t>M</w:t>
            </w:r>
          </w:p>
        </w:tc>
        <w:tc>
          <w:tcPr>
            <w:tcW w:w="1418" w:type="dxa"/>
            <w:shd w:val="clear" w:color="auto" w:fill="C6EFCE"/>
            <w:noWrap/>
          </w:tcPr>
          <w:p w14:paraId="0241C116" w14:textId="77777777" w:rsidR="003E1D81" w:rsidRDefault="00EB481C">
            <w:pPr>
              <w:pStyle w:val="P68B1DB1-Normal13"/>
              <w:spacing w:after="0" w:line="240" w:lineRule="auto"/>
              <w:rPr>
                <w:rFonts w:eastAsia="Times New Roman" w:cs="Times New Roman"/>
                <w:noProof/>
              </w:rPr>
            </w:pPr>
            <w:r>
              <w:rPr>
                <w:noProof/>
              </w:rPr>
              <w:t xml:space="preserve">Terv az </w:t>
            </w:r>
            <w:r>
              <w:rPr>
                <w:noProof/>
              </w:rPr>
              <w:t>idegenforgalmi ágazat előmozdítására</w:t>
            </w:r>
          </w:p>
        </w:tc>
        <w:tc>
          <w:tcPr>
            <w:tcW w:w="1276" w:type="dxa"/>
            <w:shd w:val="clear" w:color="auto" w:fill="C6EFCE"/>
            <w:noWrap/>
          </w:tcPr>
          <w:p w14:paraId="2F992D67" w14:textId="77777777" w:rsidR="003E1D81" w:rsidRDefault="00EB481C">
            <w:pPr>
              <w:pStyle w:val="P68B1DB1-Normal13"/>
              <w:spacing w:after="0" w:line="240" w:lineRule="auto"/>
              <w:jc w:val="center"/>
              <w:rPr>
                <w:rFonts w:eastAsia="Times New Roman" w:cs="Times New Roman"/>
                <w:noProof/>
              </w:rPr>
            </w:pPr>
            <w:r>
              <w:rPr>
                <w:noProof/>
              </w:rPr>
              <w:t>A kiadvány weboldala</w:t>
            </w:r>
          </w:p>
        </w:tc>
        <w:tc>
          <w:tcPr>
            <w:tcW w:w="850" w:type="dxa"/>
            <w:shd w:val="clear" w:color="auto" w:fill="C6EFCE"/>
            <w:noWrap/>
          </w:tcPr>
          <w:p w14:paraId="226F9C0B"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992" w:type="dxa"/>
            <w:shd w:val="clear" w:color="auto" w:fill="C6EFCE"/>
            <w:noWrap/>
          </w:tcPr>
          <w:p w14:paraId="2EC21163"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6621D010"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426" w:type="dxa"/>
            <w:shd w:val="clear" w:color="auto" w:fill="C6EFCE"/>
            <w:noWrap/>
          </w:tcPr>
          <w:p w14:paraId="3A37F27E"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708" w:type="dxa"/>
            <w:shd w:val="clear" w:color="auto" w:fill="C6EFCE"/>
            <w:noWrap/>
          </w:tcPr>
          <w:p w14:paraId="0F5EAF35" w14:textId="77777777" w:rsidR="003E1D81" w:rsidRDefault="00EB481C">
            <w:pPr>
              <w:pStyle w:val="P68B1DB1-Normal13"/>
              <w:spacing w:after="0" w:line="240" w:lineRule="auto"/>
              <w:jc w:val="center"/>
              <w:rPr>
                <w:rFonts w:eastAsia="Times New Roman" w:cs="Times New Roman"/>
                <w:noProof/>
              </w:rPr>
            </w:pPr>
            <w:r>
              <w:rPr>
                <w:noProof/>
              </w:rPr>
              <w:t>2020</w:t>
            </w:r>
          </w:p>
        </w:tc>
        <w:tc>
          <w:tcPr>
            <w:tcW w:w="6237" w:type="dxa"/>
            <w:shd w:val="clear" w:color="auto" w:fill="C6EFCE"/>
            <w:noWrap/>
          </w:tcPr>
          <w:p w14:paraId="3E743927" w14:textId="77777777" w:rsidR="003E1D81" w:rsidRDefault="00EB481C">
            <w:pPr>
              <w:pStyle w:val="P68B1DB1-Normal13"/>
              <w:spacing w:after="0" w:line="240" w:lineRule="auto"/>
              <w:rPr>
                <w:rFonts w:eastAsia="Times New Roman" w:cs="Times New Roman"/>
                <w:noProof/>
              </w:rPr>
            </w:pPr>
            <w:r>
              <w:rPr>
                <w:noProof/>
              </w:rPr>
              <w:t>A tervnek ismertetnie kell az idegenforgalmi ágazat fellendítését célzó intézkedéseket, és meg kell határoznia az idegenforgalommal kapcsolatos intézkedések végrehajtásának keretét</w:t>
            </w:r>
            <w:r>
              <w:rPr>
                <w:noProof/>
              </w:rPr>
              <w:t>.</w:t>
            </w:r>
          </w:p>
        </w:tc>
      </w:tr>
      <w:tr w:rsidR="003E1D81" w14:paraId="256CED81" w14:textId="77777777">
        <w:trPr>
          <w:trHeight w:val="881"/>
        </w:trPr>
        <w:tc>
          <w:tcPr>
            <w:tcW w:w="709" w:type="dxa"/>
            <w:shd w:val="clear" w:color="auto" w:fill="C6EFCE"/>
            <w:noWrap/>
          </w:tcPr>
          <w:p w14:paraId="16F839A0" w14:textId="77777777" w:rsidR="003E1D81" w:rsidRDefault="00EB481C">
            <w:pPr>
              <w:pStyle w:val="P68B1DB1-Normal13"/>
              <w:spacing w:after="0" w:line="240" w:lineRule="auto"/>
              <w:jc w:val="center"/>
              <w:rPr>
                <w:rFonts w:eastAsia="Times New Roman" w:cs="Times New Roman"/>
                <w:noProof/>
              </w:rPr>
            </w:pPr>
            <w:r>
              <w:rPr>
                <w:noProof/>
              </w:rPr>
              <w:t>215</w:t>
            </w:r>
          </w:p>
        </w:tc>
        <w:tc>
          <w:tcPr>
            <w:tcW w:w="851" w:type="dxa"/>
            <w:shd w:val="clear" w:color="auto" w:fill="C6EFCE"/>
            <w:noWrap/>
          </w:tcPr>
          <w:p w14:paraId="4BC75E1B" w14:textId="77777777" w:rsidR="003E1D81" w:rsidRDefault="00EB481C">
            <w:pPr>
              <w:pStyle w:val="P68B1DB1-Normal13"/>
              <w:spacing w:after="0" w:line="240" w:lineRule="auto"/>
              <w:jc w:val="center"/>
              <w:rPr>
                <w:rFonts w:eastAsia="Times New Roman" w:cs="Times New Roman"/>
                <w:noProof/>
              </w:rPr>
            </w:pPr>
            <w:r>
              <w:rPr>
                <w:noProof/>
              </w:rPr>
              <w:t>C14.R1</w:t>
            </w:r>
          </w:p>
        </w:tc>
        <w:tc>
          <w:tcPr>
            <w:tcW w:w="850" w:type="dxa"/>
            <w:shd w:val="clear" w:color="auto" w:fill="C6EFCE"/>
            <w:noWrap/>
          </w:tcPr>
          <w:p w14:paraId="3A720761" w14:textId="77777777" w:rsidR="003E1D81" w:rsidRDefault="00EB481C">
            <w:pPr>
              <w:pStyle w:val="P68B1DB1-Normal13"/>
              <w:spacing w:after="0" w:line="240" w:lineRule="auto"/>
              <w:jc w:val="center"/>
              <w:rPr>
                <w:rFonts w:eastAsia="Times New Roman" w:cs="Times New Roman"/>
                <w:noProof/>
              </w:rPr>
            </w:pPr>
            <w:r>
              <w:rPr>
                <w:noProof/>
              </w:rPr>
              <w:t>M</w:t>
            </w:r>
          </w:p>
        </w:tc>
        <w:tc>
          <w:tcPr>
            <w:tcW w:w="1418" w:type="dxa"/>
            <w:shd w:val="clear" w:color="auto" w:fill="C6EFCE"/>
            <w:noWrap/>
          </w:tcPr>
          <w:p w14:paraId="4391D859" w14:textId="77777777" w:rsidR="003E1D81" w:rsidRDefault="00EB481C">
            <w:pPr>
              <w:pStyle w:val="P68B1DB1-Normal13"/>
              <w:spacing w:after="0" w:line="240" w:lineRule="auto"/>
              <w:rPr>
                <w:rFonts w:eastAsia="Times New Roman" w:cs="Times New Roman"/>
                <w:noProof/>
              </w:rPr>
            </w:pPr>
            <w:r>
              <w:rPr>
                <w:noProof/>
              </w:rPr>
              <w:t>A turizmussal kapcsolatos adatokat gyűjtő „DATAESTUR” weboldal elindítása</w:t>
            </w:r>
          </w:p>
        </w:tc>
        <w:tc>
          <w:tcPr>
            <w:tcW w:w="1276" w:type="dxa"/>
            <w:shd w:val="clear" w:color="auto" w:fill="C6EFCE"/>
            <w:noWrap/>
          </w:tcPr>
          <w:p w14:paraId="4D25AC71" w14:textId="77777777" w:rsidR="003E1D81" w:rsidRDefault="00EB481C">
            <w:pPr>
              <w:pStyle w:val="P68B1DB1-Normal13"/>
              <w:spacing w:after="0" w:line="240" w:lineRule="auto"/>
              <w:jc w:val="center"/>
              <w:rPr>
                <w:rFonts w:eastAsia="Times New Roman" w:cs="Times New Roman"/>
                <w:noProof/>
              </w:rPr>
            </w:pPr>
            <w:r>
              <w:rPr>
                <w:noProof/>
              </w:rPr>
              <w:t>A DATAESTUR honlapjára mutató link</w:t>
            </w:r>
          </w:p>
        </w:tc>
        <w:tc>
          <w:tcPr>
            <w:tcW w:w="850" w:type="dxa"/>
            <w:shd w:val="clear" w:color="auto" w:fill="C6EFCE"/>
            <w:noWrap/>
          </w:tcPr>
          <w:p w14:paraId="39554A49"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992" w:type="dxa"/>
            <w:shd w:val="clear" w:color="auto" w:fill="C6EFCE"/>
            <w:noWrap/>
          </w:tcPr>
          <w:p w14:paraId="180FA731"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B8DC005"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426" w:type="dxa"/>
            <w:shd w:val="clear" w:color="auto" w:fill="C6EFCE"/>
            <w:noWrap/>
          </w:tcPr>
          <w:p w14:paraId="780C42A6"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708" w:type="dxa"/>
            <w:shd w:val="clear" w:color="auto" w:fill="C6EFCE"/>
            <w:noWrap/>
          </w:tcPr>
          <w:p w14:paraId="0965DB69" w14:textId="77777777" w:rsidR="003E1D81" w:rsidRDefault="00EB481C">
            <w:pPr>
              <w:pStyle w:val="P68B1DB1-Normal13"/>
              <w:spacing w:after="0" w:line="240" w:lineRule="auto"/>
              <w:jc w:val="center"/>
              <w:rPr>
                <w:rFonts w:eastAsia="Times New Roman" w:cs="Times New Roman"/>
                <w:noProof/>
              </w:rPr>
            </w:pPr>
            <w:r>
              <w:rPr>
                <w:noProof/>
              </w:rPr>
              <w:t>2020</w:t>
            </w:r>
          </w:p>
        </w:tc>
        <w:tc>
          <w:tcPr>
            <w:tcW w:w="6237" w:type="dxa"/>
            <w:shd w:val="clear" w:color="auto" w:fill="C6EFCE"/>
            <w:noWrap/>
          </w:tcPr>
          <w:p w14:paraId="239EFD6C" w14:textId="77777777" w:rsidR="003E1D81" w:rsidRDefault="00EB481C">
            <w:pPr>
              <w:pStyle w:val="P68B1DB1-Normal13"/>
              <w:spacing w:after="0" w:line="240" w:lineRule="auto"/>
              <w:rPr>
                <w:rFonts w:eastAsia="Times New Roman" w:cs="Times New Roman"/>
                <w:noProof/>
              </w:rPr>
            </w:pPr>
            <w:r>
              <w:rPr>
                <w:noProof/>
              </w:rPr>
              <w:t xml:space="preserve">A honlapnak adatokat kell gyűjtenie a spanyolországi turizmusról a turisztikai statisztikák különböző </w:t>
            </w:r>
            <w:r>
              <w:rPr>
                <w:noProof/>
              </w:rPr>
              <w:t>forrásaiból, többek között olyan köz- és magánszervezetekből, mint az INE, a Turespaña, a spanyol nemzeti bank, az AENA vagy a RENFE, és működőképesnek kell lennie.</w:t>
            </w:r>
          </w:p>
        </w:tc>
      </w:tr>
      <w:tr w:rsidR="003E1D81" w14:paraId="5FF511CA" w14:textId="77777777">
        <w:trPr>
          <w:trHeight w:val="881"/>
        </w:trPr>
        <w:tc>
          <w:tcPr>
            <w:tcW w:w="709" w:type="dxa"/>
            <w:shd w:val="clear" w:color="auto" w:fill="C6EFCE"/>
            <w:noWrap/>
          </w:tcPr>
          <w:p w14:paraId="5EE03C76" w14:textId="77777777" w:rsidR="003E1D81" w:rsidRDefault="00EB481C">
            <w:pPr>
              <w:pStyle w:val="P68B1DB1-Normal13"/>
              <w:spacing w:after="0" w:line="240" w:lineRule="auto"/>
              <w:jc w:val="center"/>
              <w:rPr>
                <w:rFonts w:cs="Times New Roman"/>
                <w:noProof/>
              </w:rPr>
            </w:pPr>
            <w:r>
              <w:rPr>
                <w:noProof/>
              </w:rPr>
              <w:t>216</w:t>
            </w:r>
          </w:p>
        </w:tc>
        <w:tc>
          <w:tcPr>
            <w:tcW w:w="851" w:type="dxa"/>
            <w:shd w:val="clear" w:color="auto" w:fill="C6EFCE"/>
            <w:noWrap/>
          </w:tcPr>
          <w:p w14:paraId="5B7C6976" w14:textId="77777777" w:rsidR="003E1D81" w:rsidRDefault="00EB481C">
            <w:pPr>
              <w:pStyle w:val="P68B1DB1-Normal13"/>
              <w:spacing w:after="0" w:line="240" w:lineRule="auto"/>
              <w:jc w:val="center"/>
              <w:rPr>
                <w:rFonts w:cs="Times New Roman"/>
                <w:noProof/>
              </w:rPr>
            </w:pPr>
            <w:r>
              <w:rPr>
                <w:noProof/>
              </w:rPr>
              <w:t>C14.R1</w:t>
            </w:r>
          </w:p>
        </w:tc>
        <w:tc>
          <w:tcPr>
            <w:tcW w:w="850" w:type="dxa"/>
            <w:shd w:val="clear" w:color="auto" w:fill="C6EFCE"/>
            <w:noWrap/>
          </w:tcPr>
          <w:p w14:paraId="4EE6B19A" w14:textId="77777777" w:rsidR="003E1D81" w:rsidRDefault="00EB481C">
            <w:pPr>
              <w:pStyle w:val="P68B1DB1-Normal13"/>
              <w:spacing w:after="0" w:line="240" w:lineRule="auto"/>
              <w:jc w:val="center"/>
              <w:rPr>
                <w:rFonts w:cs="Times New Roman"/>
                <w:noProof/>
              </w:rPr>
            </w:pPr>
            <w:r>
              <w:rPr>
                <w:noProof/>
              </w:rPr>
              <w:t>M</w:t>
            </w:r>
          </w:p>
        </w:tc>
        <w:tc>
          <w:tcPr>
            <w:tcW w:w="1418" w:type="dxa"/>
            <w:shd w:val="clear" w:color="auto" w:fill="C6EFCE"/>
            <w:noWrap/>
          </w:tcPr>
          <w:p w14:paraId="033843B4" w14:textId="77777777" w:rsidR="003E1D81" w:rsidRDefault="00EB481C">
            <w:pPr>
              <w:pStyle w:val="P68B1DB1-Normal13"/>
              <w:spacing w:after="0" w:line="240" w:lineRule="auto"/>
              <w:rPr>
                <w:rFonts w:cs="Times New Roman"/>
                <w:noProof/>
              </w:rPr>
            </w:pPr>
            <w:r>
              <w:rPr>
                <w:noProof/>
              </w:rPr>
              <w:t xml:space="preserve">Az idegenforgalom versenyképességét szolgáló állami pénzügyi alap végrehajtásáról szóló királyi rendelet hatálybalépése </w:t>
            </w:r>
          </w:p>
        </w:tc>
        <w:tc>
          <w:tcPr>
            <w:tcW w:w="1276" w:type="dxa"/>
            <w:shd w:val="clear" w:color="auto" w:fill="C6EFCE"/>
            <w:noWrap/>
          </w:tcPr>
          <w:p w14:paraId="208A134E" w14:textId="77777777" w:rsidR="003E1D81" w:rsidRDefault="00EB481C">
            <w:pPr>
              <w:pStyle w:val="P68B1DB1-Normal13"/>
              <w:spacing w:after="0" w:line="240" w:lineRule="auto"/>
              <w:jc w:val="center"/>
              <w:rPr>
                <w:rFonts w:cs="Times New Roman"/>
                <w:noProof/>
              </w:rPr>
            </w:pPr>
            <w:r>
              <w:rPr>
                <w:noProof/>
              </w:rPr>
              <w:t>A királyi rendeletnek a törvény hatálybalépésére vonatkozó rendelkezése</w:t>
            </w:r>
          </w:p>
        </w:tc>
        <w:tc>
          <w:tcPr>
            <w:tcW w:w="850" w:type="dxa"/>
            <w:shd w:val="clear" w:color="auto" w:fill="C6EFCE"/>
            <w:noWrap/>
          </w:tcPr>
          <w:p w14:paraId="6C1352AE" w14:textId="77777777" w:rsidR="003E1D81" w:rsidRDefault="00EB481C">
            <w:pPr>
              <w:pStyle w:val="P68B1DB1-Normal13"/>
              <w:spacing w:after="0" w:line="240" w:lineRule="auto"/>
              <w:jc w:val="right"/>
              <w:rPr>
                <w:rFonts w:cs="Times New Roman"/>
                <w:noProof/>
              </w:rPr>
            </w:pPr>
            <w:r>
              <w:rPr>
                <w:noProof/>
              </w:rPr>
              <w:t xml:space="preserve"> </w:t>
            </w:r>
          </w:p>
        </w:tc>
        <w:tc>
          <w:tcPr>
            <w:tcW w:w="992" w:type="dxa"/>
            <w:shd w:val="clear" w:color="auto" w:fill="C6EFCE"/>
            <w:noWrap/>
          </w:tcPr>
          <w:p w14:paraId="3C57C8A9" w14:textId="77777777" w:rsidR="003E1D81" w:rsidRDefault="00EB481C">
            <w:pPr>
              <w:pStyle w:val="P68B1DB1-Normal13"/>
              <w:spacing w:after="0" w:line="240" w:lineRule="auto"/>
              <w:jc w:val="right"/>
              <w:rPr>
                <w:rFonts w:cs="Times New Roman"/>
                <w:noProof/>
              </w:rPr>
            </w:pPr>
            <w:r>
              <w:rPr>
                <w:noProof/>
              </w:rPr>
              <w:t xml:space="preserve"> </w:t>
            </w:r>
          </w:p>
        </w:tc>
        <w:tc>
          <w:tcPr>
            <w:tcW w:w="567" w:type="dxa"/>
            <w:shd w:val="clear" w:color="auto" w:fill="C6EFCE"/>
            <w:noWrap/>
          </w:tcPr>
          <w:p w14:paraId="0EB9C128" w14:textId="77777777" w:rsidR="003E1D81" w:rsidRDefault="00EB481C">
            <w:pPr>
              <w:pStyle w:val="P68B1DB1-Normal13"/>
              <w:spacing w:after="0" w:line="240" w:lineRule="auto"/>
              <w:jc w:val="right"/>
              <w:rPr>
                <w:rFonts w:cs="Times New Roman"/>
                <w:noProof/>
              </w:rPr>
            </w:pPr>
            <w:r>
              <w:rPr>
                <w:noProof/>
              </w:rPr>
              <w:t xml:space="preserve"> </w:t>
            </w:r>
          </w:p>
        </w:tc>
        <w:tc>
          <w:tcPr>
            <w:tcW w:w="426" w:type="dxa"/>
            <w:shd w:val="clear" w:color="auto" w:fill="C6EFCE"/>
            <w:noWrap/>
          </w:tcPr>
          <w:p w14:paraId="0733D322" w14:textId="77777777" w:rsidR="003E1D81" w:rsidRDefault="00EB481C">
            <w:pPr>
              <w:pStyle w:val="P68B1DB1-Normal13"/>
              <w:spacing w:after="0" w:line="240" w:lineRule="auto"/>
              <w:jc w:val="center"/>
              <w:rPr>
                <w:rFonts w:cs="Times New Roman"/>
                <w:noProof/>
              </w:rPr>
            </w:pPr>
            <w:r>
              <w:rPr>
                <w:noProof/>
              </w:rPr>
              <w:t>NEGYEDÉV</w:t>
            </w:r>
          </w:p>
        </w:tc>
        <w:tc>
          <w:tcPr>
            <w:tcW w:w="708" w:type="dxa"/>
            <w:shd w:val="clear" w:color="auto" w:fill="C6EFCE"/>
            <w:noWrap/>
          </w:tcPr>
          <w:p w14:paraId="6A376A49" w14:textId="77777777" w:rsidR="003E1D81" w:rsidRDefault="00EB481C">
            <w:pPr>
              <w:pStyle w:val="P68B1DB1-Normal13"/>
              <w:spacing w:after="0" w:line="240" w:lineRule="auto"/>
              <w:jc w:val="center"/>
              <w:rPr>
                <w:rFonts w:cs="Times New Roman"/>
                <w:noProof/>
              </w:rPr>
            </w:pPr>
            <w:r>
              <w:rPr>
                <w:noProof/>
              </w:rPr>
              <w:t>2021</w:t>
            </w:r>
          </w:p>
        </w:tc>
        <w:tc>
          <w:tcPr>
            <w:tcW w:w="6237" w:type="dxa"/>
            <w:shd w:val="clear" w:color="auto" w:fill="C6EFCE"/>
            <w:noWrap/>
          </w:tcPr>
          <w:p w14:paraId="6AF54F6E" w14:textId="77777777" w:rsidR="003E1D81" w:rsidRDefault="00EB481C">
            <w:pPr>
              <w:pStyle w:val="P68B1DB1-Normal13"/>
              <w:spacing w:after="0" w:line="240" w:lineRule="auto"/>
              <w:rPr>
                <w:rFonts w:cs="Times New Roman"/>
                <w:noProof/>
              </w:rPr>
            </w:pPr>
            <w:r>
              <w:rPr>
                <w:noProof/>
              </w:rPr>
              <w:t>A turizmus versenyképességét szolgáló állam</w:t>
            </w:r>
            <w:r>
              <w:rPr>
                <w:noProof/>
              </w:rPr>
              <w:t xml:space="preserve">i pénzügyi alap végrehajtásáról szóló királyi rendelet javítja a vállalkozások állami finanszírozáshoz való hozzáférését a körforgásos gazdaság és az energiahatékonyság területén. </w:t>
            </w:r>
          </w:p>
        </w:tc>
      </w:tr>
      <w:tr w:rsidR="003E1D81" w14:paraId="5F4ACDC5" w14:textId="77777777">
        <w:trPr>
          <w:trHeight w:val="881"/>
        </w:trPr>
        <w:tc>
          <w:tcPr>
            <w:tcW w:w="709" w:type="dxa"/>
            <w:shd w:val="clear" w:color="auto" w:fill="C6EFCE"/>
            <w:noWrap/>
          </w:tcPr>
          <w:p w14:paraId="57B862B3" w14:textId="77777777" w:rsidR="003E1D81" w:rsidRDefault="00EB481C">
            <w:pPr>
              <w:pStyle w:val="P68B1DB1-Normal13"/>
              <w:spacing w:after="0" w:line="240" w:lineRule="auto"/>
              <w:jc w:val="center"/>
              <w:rPr>
                <w:rFonts w:cs="Times New Roman"/>
                <w:noProof/>
              </w:rPr>
            </w:pPr>
            <w:r>
              <w:rPr>
                <w:noProof/>
              </w:rPr>
              <w:t>217</w:t>
            </w:r>
          </w:p>
        </w:tc>
        <w:tc>
          <w:tcPr>
            <w:tcW w:w="851" w:type="dxa"/>
            <w:shd w:val="clear" w:color="auto" w:fill="C6EFCE"/>
            <w:noWrap/>
          </w:tcPr>
          <w:p w14:paraId="57AF5194" w14:textId="77777777" w:rsidR="003E1D81" w:rsidRDefault="00EB481C">
            <w:pPr>
              <w:pStyle w:val="P68B1DB1-Normal13"/>
              <w:spacing w:after="0" w:line="240" w:lineRule="auto"/>
              <w:jc w:val="center"/>
              <w:rPr>
                <w:rFonts w:cs="Times New Roman"/>
                <w:noProof/>
              </w:rPr>
            </w:pPr>
            <w:r>
              <w:rPr>
                <w:noProof/>
              </w:rPr>
              <w:t>C14.I1</w:t>
            </w:r>
          </w:p>
        </w:tc>
        <w:tc>
          <w:tcPr>
            <w:tcW w:w="850" w:type="dxa"/>
            <w:shd w:val="clear" w:color="auto" w:fill="C6EFCE"/>
            <w:noWrap/>
          </w:tcPr>
          <w:p w14:paraId="7BD991D3" w14:textId="77777777" w:rsidR="003E1D81" w:rsidRDefault="00EB481C">
            <w:pPr>
              <w:pStyle w:val="P68B1DB1-Normal13"/>
              <w:spacing w:after="0" w:line="240" w:lineRule="auto"/>
              <w:jc w:val="center"/>
              <w:rPr>
                <w:rFonts w:cs="Times New Roman"/>
                <w:noProof/>
              </w:rPr>
            </w:pPr>
            <w:r>
              <w:rPr>
                <w:noProof/>
              </w:rPr>
              <w:t>T</w:t>
            </w:r>
          </w:p>
        </w:tc>
        <w:tc>
          <w:tcPr>
            <w:tcW w:w="1418" w:type="dxa"/>
            <w:shd w:val="clear" w:color="auto" w:fill="C6EFCE"/>
            <w:noWrap/>
          </w:tcPr>
          <w:p w14:paraId="64BC3D8B" w14:textId="77777777" w:rsidR="003E1D81" w:rsidRDefault="00EB481C">
            <w:pPr>
              <w:pStyle w:val="P68B1DB1-Normal13"/>
              <w:spacing w:after="0" w:line="240" w:lineRule="auto"/>
              <w:rPr>
                <w:rFonts w:cs="Times New Roman"/>
                <w:noProof/>
              </w:rPr>
            </w:pPr>
            <w:r>
              <w:rPr>
                <w:noProof/>
              </w:rPr>
              <w:t xml:space="preserve">Az idegenforgalom fenntarthatóságát a célállomásukon </w:t>
            </w:r>
            <w:r>
              <w:rPr>
                <w:noProof/>
              </w:rPr>
              <w:t>előmozdító tervek költségvetésének odaítélése</w:t>
            </w:r>
          </w:p>
        </w:tc>
        <w:tc>
          <w:tcPr>
            <w:tcW w:w="1276" w:type="dxa"/>
            <w:shd w:val="clear" w:color="auto" w:fill="C6EFCE"/>
            <w:noWrap/>
          </w:tcPr>
          <w:p w14:paraId="2491DAEF" w14:textId="77777777" w:rsidR="003E1D81" w:rsidRDefault="00EB481C">
            <w:pPr>
              <w:pStyle w:val="P68B1DB1-Normal13"/>
              <w:spacing w:after="0" w:line="240" w:lineRule="auto"/>
              <w:jc w:val="center"/>
              <w:rPr>
                <w:rFonts w:cs="Times New Roman"/>
                <w:noProof/>
              </w:rPr>
            </w:pPr>
            <w:r>
              <w:rPr>
                <w:noProof/>
              </w:rPr>
              <w:t>–</w:t>
            </w:r>
          </w:p>
        </w:tc>
        <w:tc>
          <w:tcPr>
            <w:tcW w:w="850" w:type="dxa"/>
            <w:shd w:val="clear" w:color="auto" w:fill="C6EFCE"/>
            <w:noWrap/>
          </w:tcPr>
          <w:p w14:paraId="0A88C9B6" w14:textId="77777777" w:rsidR="003E1D81" w:rsidRDefault="00EB481C">
            <w:pPr>
              <w:pStyle w:val="P68B1DB1-Normal13"/>
              <w:spacing w:after="0" w:line="240" w:lineRule="auto"/>
              <w:jc w:val="right"/>
              <w:rPr>
                <w:rFonts w:cs="Times New Roman"/>
                <w:noProof/>
              </w:rPr>
            </w:pPr>
            <w:r>
              <w:rPr>
                <w:noProof/>
              </w:rPr>
              <w:t>Millió EUR</w:t>
            </w:r>
          </w:p>
        </w:tc>
        <w:tc>
          <w:tcPr>
            <w:tcW w:w="992" w:type="dxa"/>
            <w:shd w:val="clear" w:color="auto" w:fill="C6EFCE"/>
            <w:noWrap/>
          </w:tcPr>
          <w:p w14:paraId="3CAEF826" w14:textId="77777777" w:rsidR="003E1D81" w:rsidRDefault="00EB481C">
            <w:pPr>
              <w:pStyle w:val="P68B1DB1-Normal13"/>
              <w:spacing w:after="0" w:line="240" w:lineRule="auto"/>
              <w:jc w:val="right"/>
              <w:rPr>
                <w:rFonts w:cs="Times New Roman"/>
                <w:noProof/>
              </w:rPr>
            </w:pPr>
            <w:r>
              <w:rPr>
                <w:noProof/>
              </w:rPr>
              <w:t>0</w:t>
            </w:r>
          </w:p>
        </w:tc>
        <w:tc>
          <w:tcPr>
            <w:tcW w:w="567" w:type="dxa"/>
            <w:shd w:val="clear" w:color="auto" w:fill="C6EFCE"/>
            <w:noWrap/>
          </w:tcPr>
          <w:p w14:paraId="1F72AA04" w14:textId="77777777" w:rsidR="003E1D81" w:rsidRDefault="00EB481C">
            <w:pPr>
              <w:pStyle w:val="P68B1DB1-Normal13"/>
              <w:spacing w:after="0" w:line="240" w:lineRule="auto"/>
              <w:jc w:val="right"/>
              <w:rPr>
                <w:rFonts w:cs="Times New Roman"/>
                <w:noProof/>
              </w:rPr>
            </w:pPr>
            <w:r>
              <w:rPr>
                <w:noProof/>
              </w:rPr>
              <w:t>561</w:t>
            </w:r>
          </w:p>
        </w:tc>
        <w:tc>
          <w:tcPr>
            <w:tcW w:w="426" w:type="dxa"/>
            <w:shd w:val="clear" w:color="auto" w:fill="C6EFCE"/>
            <w:noWrap/>
          </w:tcPr>
          <w:p w14:paraId="0CF117A0" w14:textId="77777777" w:rsidR="003E1D81" w:rsidRDefault="00EB481C">
            <w:pPr>
              <w:pStyle w:val="P68B1DB1-Normal13"/>
              <w:spacing w:after="0" w:line="240" w:lineRule="auto"/>
              <w:jc w:val="center"/>
              <w:rPr>
                <w:rFonts w:cs="Times New Roman"/>
                <w:noProof/>
              </w:rPr>
            </w:pPr>
            <w:r>
              <w:rPr>
                <w:noProof/>
              </w:rPr>
              <w:t>NEGYEDÉV</w:t>
            </w:r>
          </w:p>
        </w:tc>
        <w:tc>
          <w:tcPr>
            <w:tcW w:w="708" w:type="dxa"/>
            <w:shd w:val="clear" w:color="auto" w:fill="C6EFCE"/>
            <w:noWrap/>
          </w:tcPr>
          <w:p w14:paraId="18240322" w14:textId="77777777" w:rsidR="003E1D81" w:rsidRDefault="00EB481C">
            <w:pPr>
              <w:pStyle w:val="P68B1DB1-Normal13"/>
              <w:spacing w:after="0" w:line="240" w:lineRule="auto"/>
              <w:jc w:val="center"/>
              <w:rPr>
                <w:rFonts w:cs="Times New Roman"/>
                <w:noProof/>
              </w:rPr>
            </w:pPr>
            <w:r>
              <w:rPr>
                <w:noProof/>
              </w:rPr>
              <w:t>2021</w:t>
            </w:r>
          </w:p>
        </w:tc>
        <w:tc>
          <w:tcPr>
            <w:tcW w:w="6237" w:type="dxa"/>
            <w:shd w:val="clear" w:color="auto" w:fill="C6EFCE"/>
            <w:noWrap/>
          </w:tcPr>
          <w:p w14:paraId="3898F70F" w14:textId="349978F6" w:rsidR="003E1D81" w:rsidRDefault="00EB481C">
            <w:pPr>
              <w:pStyle w:val="P68B1DB1-Normal13"/>
              <w:spacing w:after="0" w:line="240" w:lineRule="auto"/>
              <w:rPr>
                <w:rFonts w:cs="Times New Roman"/>
                <w:noProof/>
              </w:rPr>
            </w:pPr>
            <w:r>
              <w:rPr>
                <w:noProof/>
              </w:rPr>
              <w:t>A helyi hatóságoknak a „Területi tervek a rendeltetési helyen történő turizmus fenntarthatóságát célzó területi tervek” végrehajtásához nyújtott támogatás közzététele a Hivatalos Lapban legalább 561 000 000 EUR összegben, a források 35%-át pedig a zöld átá</w:t>
            </w:r>
            <w:r>
              <w:rPr>
                <w:noProof/>
              </w:rPr>
              <w:t xml:space="preserve">llással, a fenntarthatósággal és az energiahatékonysággal/elektromobilitással kapcsolatos intézkedésekre fordítják. A kiválasztási kritériumok egy kizárási lista és a vonatkozó uniós és nemzeti környezetvédelmi jogszabályoknak való megfelelés követelménye </w:t>
            </w:r>
            <w:r>
              <w:rPr>
                <w:noProof/>
              </w:rPr>
              <w:t>révén biztosítják a jelentős károkozás elkerülését célzó elvről szóló technikai iránymutatásnak (2021/C58/01) való megfelelést. A kiválasztási kritériumoknak biztosítaniuk kell, hogy az intézkedésre odaítélt végleges teljes költségvetésből az intézkedésből</w:t>
            </w:r>
            <w:r>
              <w:rPr>
                <w:noProof/>
              </w:rPr>
              <w:t xml:space="preserve"> legalább 359 000 000 EUR 100%-os éghajlati együtthatóval, legalább 519 000 000 EUR pedig 40%-os éghajlati együtthatóval járuljon hozzá az éghajlatváltozással kapcsolatos célkitűzésekhez, összhangban a Helyreállítási és Rezilienciaépítési Eszközről szóló (</w:t>
            </w:r>
            <w:r>
              <w:rPr>
                <w:noProof/>
              </w:rPr>
              <w:t>EU) 2021/241 rendelet VI. mellékletével. Alternatív megoldásként a kiválasztási kritériumoknak biztosítaniuk kell, hogy az (EU) 2021/241 európai parlamenti és tanácsi rendelet VI. mellékletével összhangban legalább 1 788,6 millió EUR átlagosan legalább 31,</w:t>
            </w:r>
            <w:r>
              <w:rPr>
                <w:noProof/>
              </w:rPr>
              <w:t>7%-os éghajlati együtthatóval járuljon hozzá az éghajlatváltozással kapcsolatos célkitűzésekhez. Ez az átlagos hozzájárulási arány az (EU) 2021/241 rendelet VI. mellékletében meghatározott beavatkozási területek alapján érhető el.</w:t>
            </w:r>
          </w:p>
        </w:tc>
      </w:tr>
      <w:tr w:rsidR="003E1D81" w14:paraId="3A49E1E8" w14:textId="77777777">
        <w:trPr>
          <w:trHeight w:val="881"/>
        </w:trPr>
        <w:tc>
          <w:tcPr>
            <w:tcW w:w="709" w:type="dxa"/>
            <w:shd w:val="clear" w:color="auto" w:fill="C6EFCE"/>
            <w:noWrap/>
          </w:tcPr>
          <w:p w14:paraId="53C4D7CE" w14:textId="77777777" w:rsidR="003E1D81" w:rsidRDefault="00EB481C">
            <w:pPr>
              <w:pStyle w:val="P68B1DB1-Normal13"/>
              <w:spacing w:after="0" w:line="240" w:lineRule="auto"/>
              <w:jc w:val="center"/>
              <w:rPr>
                <w:rFonts w:cs="Times New Roman"/>
                <w:noProof/>
              </w:rPr>
            </w:pPr>
            <w:r>
              <w:rPr>
                <w:noProof/>
              </w:rPr>
              <w:t>218</w:t>
            </w:r>
          </w:p>
        </w:tc>
        <w:tc>
          <w:tcPr>
            <w:tcW w:w="851" w:type="dxa"/>
            <w:shd w:val="clear" w:color="auto" w:fill="C6EFCE"/>
            <w:noWrap/>
          </w:tcPr>
          <w:p w14:paraId="4197E07D" w14:textId="77777777" w:rsidR="003E1D81" w:rsidRDefault="00EB481C">
            <w:pPr>
              <w:pStyle w:val="P68B1DB1-Normal13"/>
              <w:spacing w:after="0" w:line="240" w:lineRule="auto"/>
              <w:jc w:val="center"/>
              <w:rPr>
                <w:rFonts w:cs="Times New Roman"/>
                <w:noProof/>
              </w:rPr>
            </w:pPr>
            <w:r>
              <w:rPr>
                <w:noProof/>
              </w:rPr>
              <w:t>C14.I1</w:t>
            </w:r>
          </w:p>
        </w:tc>
        <w:tc>
          <w:tcPr>
            <w:tcW w:w="850" w:type="dxa"/>
            <w:shd w:val="clear" w:color="auto" w:fill="C6EFCE"/>
            <w:noWrap/>
          </w:tcPr>
          <w:p w14:paraId="7A8BEF67" w14:textId="77777777" w:rsidR="003E1D81" w:rsidRDefault="00EB481C">
            <w:pPr>
              <w:pStyle w:val="P68B1DB1-Normal13"/>
              <w:spacing w:after="0" w:line="240" w:lineRule="auto"/>
              <w:jc w:val="center"/>
              <w:rPr>
                <w:rFonts w:cs="Times New Roman"/>
                <w:noProof/>
              </w:rPr>
            </w:pPr>
            <w:r>
              <w:rPr>
                <w:noProof/>
              </w:rPr>
              <w:t>T</w:t>
            </w:r>
          </w:p>
        </w:tc>
        <w:tc>
          <w:tcPr>
            <w:tcW w:w="1418" w:type="dxa"/>
            <w:shd w:val="clear" w:color="auto" w:fill="C6EFCE"/>
            <w:noWrap/>
          </w:tcPr>
          <w:p w14:paraId="656C3402" w14:textId="77777777" w:rsidR="003E1D81" w:rsidRDefault="00EB481C">
            <w:pPr>
              <w:pStyle w:val="P68B1DB1-Normal13"/>
              <w:spacing w:after="0" w:line="240" w:lineRule="auto"/>
              <w:rPr>
                <w:rFonts w:cs="Times New Roman"/>
                <w:noProof/>
              </w:rPr>
            </w:pPr>
            <w:r>
              <w:rPr>
                <w:noProof/>
              </w:rPr>
              <w:t xml:space="preserve">Az </w:t>
            </w:r>
            <w:r>
              <w:rPr>
                <w:noProof/>
              </w:rPr>
              <w:t>idegenforgalom fenntarthatóságát a célállomásukon előmozdító tervek költségvetésének odaítélése</w:t>
            </w:r>
          </w:p>
        </w:tc>
        <w:tc>
          <w:tcPr>
            <w:tcW w:w="1276" w:type="dxa"/>
            <w:shd w:val="clear" w:color="auto" w:fill="C6EFCE"/>
            <w:noWrap/>
          </w:tcPr>
          <w:p w14:paraId="031418A8" w14:textId="77777777" w:rsidR="003E1D81" w:rsidRDefault="00EB481C">
            <w:pPr>
              <w:pStyle w:val="P68B1DB1-Normal13"/>
              <w:spacing w:after="0" w:line="240" w:lineRule="auto"/>
              <w:jc w:val="center"/>
              <w:rPr>
                <w:rFonts w:cs="Times New Roman"/>
                <w:noProof/>
              </w:rPr>
            </w:pPr>
            <w:r>
              <w:rPr>
                <w:noProof/>
              </w:rPr>
              <w:t>–</w:t>
            </w:r>
          </w:p>
        </w:tc>
        <w:tc>
          <w:tcPr>
            <w:tcW w:w="850" w:type="dxa"/>
            <w:shd w:val="clear" w:color="auto" w:fill="C6EFCE"/>
            <w:noWrap/>
          </w:tcPr>
          <w:p w14:paraId="35029609" w14:textId="77777777" w:rsidR="003E1D81" w:rsidRDefault="00EB481C">
            <w:pPr>
              <w:pStyle w:val="P68B1DB1-Normal13"/>
              <w:spacing w:after="0" w:line="240" w:lineRule="auto"/>
              <w:jc w:val="right"/>
              <w:rPr>
                <w:rFonts w:cs="Times New Roman"/>
                <w:noProof/>
              </w:rPr>
            </w:pPr>
            <w:r>
              <w:rPr>
                <w:noProof/>
              </w:rPr>
              <w:t>Millió EUR</w:t>
            </w:r>
          </w:p>
        </w:tc>
        <w:tc>
          <w:tcPr>
            <w:tcW w:w="992" w:type="dxa"/>
            <w:shd w:val="clear" w:color="auto" w:fill="C6EFCE"/>
            <w:noWrap/>
          </w:tcPr>
          <w:p w14:paraId="3F42A92B" w14:textId="77777777" w:rsidR="003E1D81" w:rsidRDefault="00EB481C">
            <w:pPr>
              <w:pStyle w:val="P68B1DB1-Normal13"/>
              <w:spacing w:after="0" w:line="240" w:lineRule="auto"/>
              <w:jc w:val="right"/>
              <w:rPr>
                <w:rFonts w:cs="Times New Roman"/>
                <w:noProof/>
              </w:rPr>
            </w:pPr>
            <w:r>
              <w:rPr>
                <w:noProof/>
              </w:rPr>
              <w:t>561</w:t>
            </w:r>
          </w:p>
        </w:tc>
        <w:tc>
          <w:tcPr>
            <w:tcW w:w="567" w:type="dxa"/>
            <w:shd w:val="clear" w:color="auto" w:fill="C6EFCE"/>
            <w:noWrap/>
          </w:tcPr>
          <w:p w14:paraId="7B60B58D" w14:textId="77777777" w:rsidR="003E1D81" w:rsidRDefault="00EB481C">
            <w:pPr>
              <w:pStyle w:val="P68B1DB1-Normal13"/>
              <w:spacing w:after="0" w:line="240" w:lineRule="auto"/>
              <w:jc w:val="right"/>
              <w:rPr>
                <w:rFonts w:cs="Times New Roman"/>
                <w:noProof/>
              </w:rPr>
            </w:pPr>
            <w:r>
              <w:rPr>
                <w:noProof/>
              </w:rPr>
              <w:t>1 173</w:t>
            </w:r>
          </w:p>
        </w:tc>
        <w:tc>
          <w:tcPr>
            <w:tcW w:w="426" w:type="dxa"/>
            <w:shd w:val="clear" w:color="auto" w:fill="C6EFCE"/>
            <w:noWrap/>
          </w:tcPr>
          <w:p w14:paraId="4821E7BF" w14:textId="77777777" w:rsidR="003E1D81" w:rsidRDefault="00EB481C">
            <w:pPr>
              <w:pStyle w:val="P68B1DB1-Normal13"/>
              <w:spacing w:after="0" w:line="240" w:lineRule="auto"/>
              <w:jc w:val="center"/>
              <w:rPr>
                <w:rFonts w:cs="Times New Roman"/>
                <w:noProof/>
              </w:rPr>
            </w:pPr>
            <w:r>
              <w:rPr>
                <w:noProof/>
              </w:rPr>
              <w:t>NEGYEDÉV</w:t>
            </w:r>
          </w:p>
        </w:tc>
        <w:tc>
          <w:tcPr>
            <w:tcW w:w="708" w:type="dxa"/>
            <w:shd w:val="clear" w:color="auto" w:fill="C6EFCE"/>
            <w:noWrap/>
          </w:tcPr>
          <w:p w14:paraId="57C4583C" w14:textId="77777777" w:rsidR="003E1D81" w:rsidRDefault="00EB481C">
            <w:pPr>
              <w:pStyle w:val="P68B1DB1-Normal13"/>
              <w:spacing w:after="0" w:line="240" w:lineRule="auto"/>
              <w:jc w:val="center"/>
              <w:rPr>
                <w:rFonts w:cs="Times New Roman"/>
                <w:noProof/>
              </w:rPr>
            </w:pPr>
            <w:r>
              <w:rPr>
                <w:noProof/>
              </w:rPr>
              <w:t>2022</w:t>
            </w:r>
          </w:p>
        </w:tc>
        <w:tc>
          <w:tcPr>
            <w:tcW w:w="6237" w:type="dxa"/>
            <w:shd w:val="clear" w:color="auto" w:fill="C6EFCE"/>
            <w:noWrap/>
          </w:tcPr>
          <w:p w14:paraId="2279EB70" w14:textId="7195F2AA" w:rsidR="003E1D81" w:rsidRDefault="00EB481C">
            <w:pPr>
              <w:pStyle w:val="P68B1DB1-Normal13"/>
              <w:spacing w:after="0" w:line="240" w:lineRule="auto"/>
              <w:rPr>
                <w:rFonts w:cs="Times New Roman"/>
                <w:noProof/>
              </w:rPr>
            </w:pPr>
            <w:r>
              <w:rPr>
                <w:noProof/>
              </w:rPr>
              <w:t xml:space="preserve">A „Területi tervek a rendeltetési helyen történő idegenforgalom fenntarthatóságát célzó területi tervek” végrehajtásához a </w:t>
            </w:r>
            <w:r>
              <w:rPr>
                <w:noProof/>
              </w:rPr>
              <w:t>helyi hatóságoknak odaítélt támogatás közzététele a Hivatalos Lapban, legalább 1 173 000 000 EUR összegben (alapforgatókönyv: 2021. december 31.) és a források 35%-át a zöld átállással, a fenntarthatósággal és az energiahatékonysággal/elektromobilitással k</w:t>
            </w:r>
            <w:r>
              <w:rPr>
                <w:noProof/>
              </w:rPr>
              <w:t>apcsolatos intézkedésekre fordítják a célállomásokon. A kiválasztási kritériumoknak biztosítaniuk kell a jelentős károkozás elkerülését célzó elvről szóló technikai iránymutatásnak (2021/C58/01) való megfelelést a kizárási lista és a vonatkozó uniós és nem</w:t>
            </w:r>
            <w:r>
              <w:rPr>
                <w:noProof/>
              </w:rPr>
              <w:t>zeti környezetvédelmi jogszabályoknak való megfelelés követelménye révén. A kiválasztási kritériumoknak biztosítaniuk kell, hogy az intézkedésre odaítélt végleges teljes költségvetésből az intézkedésből legalább 359 000 000 EUR 100%-os éghajlati együttható</w:t>
            </w:r>
            <w:r>
              <w:rPr>
                <w:noProof/>
              </w:rPr>
              <w:t>val, legalább 519 000 000 EUR pedig 40%-os éghajlati együtthatóval járuljon hozzá az éghajlatváltozással kapcsolatos célkitűzésekhez, összhangban a Helyreállítási és Rezilienciaépítési Eszközről szóló (EU) 2021/241 rendelet VI. mellékletével.</w:t>
            </w:r>
            <w:r>
              <w:rPr>
                <w:noProof/>
                <w:shd w:val="clear" w:color="auto" w:fill="E6E6E6"/>
              </w:rPr>
              <w:t xml:space="preserve"> </w:t>
            </w:r>
            <w:r>
              <w:rPr>
                <w:noProof/>
              </w:rPr>
              <w:t xml:space="preserve"> Alternatív m</w:t>
            </w:r>
            <w:r>
              <w:rPr>
                <w:noProof/>
              </w:rPr>
              <w:t>egoldásként a kiválasztási kritériumoknak biztosítaniuk kell, hogy az (EU) 2021/241 európai parlamenti és tanácsi rendelet VI. mellékletével összhangban legalább 1 788,6 millió EUR átlagosan legalább 31,7%-os éghajlati együtthatóval járuljon hozzá az éghaj</w:t>
            </w:r>
            <w:r>
              <w:rPr>
                <w:noProof/>
              </w:rPr>
              <w:t>latváltozással kapcsolatos célkitűzésekhez. Ez az átlagos hozzájárulási arány az (EU) 2021/241 rendelet VI. mellékletében meghatározott beavatkozási területek alapján érhető el.</w:t>
            </w:r>
          </w:p>
        </w:tc>
      </w:tr>
      <w:tr w:rsidR="003E1D81" w14:paraId="7E2C0B03" w14:textId="77777777">
        <w:trPr>
          <w:trHeight w:val="881"/>
        </w:trPr>
        <w:tc>
          <w:tcPr>
            <w:tcW w:w="709" w:type="dxa"/>
            <w:shd w:val="clear" w:color="auto" w:fill="C6EFCE"/>
            <w:noWrap/>
          </w:tcPr>
          <w:p w14:paraId="3F6C604A" w14:textId="77777777" w:rsidR="003E1D81" w:rsidRDefault="00EB481C">
            <w:pPr>
              <w:pStyle w:val="P68B1DB1-Normal13"/>
              <w:spacing w:after="0" w:line="240" w:lineRule="auto"/>
              <w:jc w:val="center"/>
              <w:rPr>
                <w:rFonts w:cs="Times New Roman"/>
                <w:noProof/>
              </w:rPr>
            </w:pPr>
            <w:r>
              <w:rPr>
                <w:noProof/>
              </w:rPr>
              <w:t>219</w:t>
            </w:r>
          </w:p>
        </w:tc>
        <w:tc>
          <w:tcPr>
            <w:tcW w:w="851" w:type="dxa"/>
            <w:shd w:val="clear" w:color="auto" w:fill="C6EFCE"/>
            <w:noWrap/>
          </w:tcPr>
          <w:p w14:paraId="3BB6DD03" w14:textId="77777777" w:rsidR="003E1D81" w:rsidRDefault="00EB481C">
            <w:pPr>
              <w:pStyle w:val="P68B1DB1-Normal13"/>
              <w:spacing w:after="0" w:line="240" w:lineRule="auto"/>
              <w:jc w:val="center"/>
              <w:rPr>
                <w:rFonts w:cs="Times New Roman"/>
                <w:noProof/>
              </w:rPr>
            </w:pPr>
            <w:r>
              <w:rPr>
                <w:noProof/>
              </w:rPr>
              <w:t>C14.I1</w:t>
            </w:r>
          </w:p>
        </w:tc>
        <w:tc>
          <w:tcPr>
            <w:tcW w:w="850" w:type="dxa"/>
            <w:shd w:val="clear" w:color="auto" w:fill="C6EFCE"/>
            <w:noWrap/>
          </w:tcPr>
          <w:p w14:paraId="714985AB" w14:textId="77777777" w:rsidR="003E1D81" w:rsidRDefault="00EB481C">
            <w:pPr>
              <w:pStyle w:val="P68B1DB1-Normal13"/>
              <w:spacing w:after="0" w:line="240" w:lineRule="auto"/>
              <w:jc w:val="center"/>
              <w:rPr>
                <w:rFonts w:cs="Times New Roman"/>
                <w:noProof/>
              </w:rPr>
            </w:pPr>
            <w:r>
              <w:rPr>
                <w:noProof/>
              </w:rPr>
              <w:t>T</w:t>
            </w:r>
          </w:p>
        </w:tc>
        <w:tc>
          <w:tcPr>
            <w:tcW w:w="1418" w:type="dxa"/>
            <w:shd w:val="clear" w:color="auto" w:fill="C6EFCE"/>
            <w:noWrap/>
          </w:tcPr>
          <w:p w14:paraId="2C99D933" w14:textId="77777777" w:rsidR="003E1D81" w:rsidRDefault="00EB481C">
            <w:pPr>
              <w:pStyle w:val="P68B1DB1-Normal13"/>
              <w:spacing w:after="0" w:line="240" w:lineRule="auto"/>
              <w:rPr>
                <w:rFonts w:cs="Times New Roman"/>
                <w:noProof/>
              </w:rPr>
            </w:pPr>
            <w:r>
              <w:rPr>
                <w:noProof/>
              </w:rPr>
              <w:t xml:space="preserve">Az idegenforgalom fenntarthatóságát a célállomásukon előmozdító </w:t>
            </w:r>
            <w:r>
              <w:rPr>
                <w:noProof/>
              </w:rPr>
              <w:t>tervek költségvetésének odaítélése</w:t>
            </w:r>
          </w:p>
        </w:tc>
        <w:tc>
          <w:tcPr>
            <w:tcW w:w="1276" w:type="dxa"/>
            <w:shd w:val="clear" w:color="auto" w:fill="C6EFCE"/>
            <w:noWrap/>
          </w:tcPr>
          <w:p w14:paraId="252E388B" w14:textId="77777777" w:rsidR="003E1D81" w:rsidRDefault="00EB481C">
            <w:pPr>
              <w:pStyle w:val="P68B1DB1-Normal13"/>
              <w:spacing w:after="0" w:line="240" w:lineRule="auto"/>
              <w:jc w:val="center"/>
              <w:rPr>
                <w:rFonts w:cs="Times New Roman"/>
                <w:noProof/>
              </w:rPr>
            </w:pPr>
            <w:r>
              <w:rPr>
                <w:noProof/>
              </w:rPr>
              <w:t>–</w:t>
            </w:r>
          </w:p>
        </w:tc>
        <w:tc>
          <w:tcPr>
            <w:tcW w:w="850" w:type="dxa"/>
            <w:shd w:val="clear" w:color="auto" w:fill="C6EFCE"/>
            <w:noWrap/>
          </w:tcPr>
          <w:p w14:paraId="793BFD1E" w14:textId="77777777" w:rsidR="003E1D81" w:rsidRDefault="00EB481C">
            <w:pPr>
              <w:pStyle w:val="P68B1DB1-Normal13"/>
              <w:spacing w:after="0" w:line="240" w:lineRule="auto"/>
              <w:jc w:val="right"/>
              <w:rPr>
                <w:rFonts w:cs="Times New Roman"/>
                <w:noProof/>
              </w:rPr>
            </w:pPr>
            <w:r>
              <w:rPr>
                <w:noProof/>
              </w:rPr>
              <w:t>Millió EUR</w:t>
            </w:r>
          </w:p>
        </w:tc>
        <w:tc>
          <w:tcPr>
            <w:tcW w:w="992" w:type="dxa"/>
            <w:shd w:val="clear" w:color="auto" w:fill="C6EFCE"/>
            <w:noWrap/>
          </w:tcPr>
          <w:p w14:paraId="0D6A52D3" w14:textId="77777777" w:rsidR="003E1D81" w:rsidRDefault="00EB481C">
            <w:pPr>
              <w:pStyle w:val="P68B1DB1-Normal13"/>
              <w:spacing w:after="0" w:line="240" w:lineRule="auto"/>
              <w:jc w:val="right"/>
              <w:rPr>
                <w:rFonts w:cs="Times New Roman"/>
                <w:noProof/>
              </w:rPr>
            </w:pPr>
            <w:r>
              <w:rPr>
                <w:noProof/>
              </w:rPr>
              <w:t>1 173</w:t>
            </w:r>
          </w:p>
        </w:tc>
        <w:tc>
          <w:tcPr>
            <w:tcW w:w="567" w:type="dxa"/>
            <w:shd w:val="clear" w:color="auto" w:fill="C6EFCE"/>
            <w:noWrap/>
          </w:tcPr>
          <w:p w14:paraId="42F823EC" w14:textId="77777777" w:rsidR="003E1D81" w:rsidRDefault="00EB481C">
            <w:pPr>
              <w:pStyle w:val="P68B1DB1-Normal13"/>
              <w:spacing w:after="0" w:line="240" w:lineRule="auto"/>
              <w:jc w:val="right"/>
              <w:rPr>
                <w:rFonts w:cs="Times New Roman"/>
                <w:noProof/>
              </w:rPr>
            </w:pPr>
            <w:r>
              <w:rPr>
                <w:noProof/>
              </w:rPr>
              <w:t xml:space="preserve">1 788,6 </w:t>
            </w:r>
          </w:p>
        </w:tc>
        <w:tc>
          <w:tcPr>
            <w:tcW w:w="426" w:type="dxa"/>
            <w:shd w:val="clear" w:color="auto" w:fill="C6EFCE"/>
            <w:noWrap/>
          </w:tcPr>
          <w:p w14:paraId="4486E236" w14:textId="77777777" w:rsidR="003E1D81" w:rsidRDefault="00EB481C">
            <w:pPr>
              <w:pStyle w:val="P68B1DB1-Normal13"/>
              <w:spacing w:after="0" w:line="240" w:lineRule="auto"/>
              <w:jc w:val="center"/>
              <w:rPr>
                <w:rFonts w:cs="Times New Roman"/>
                <w:noProof/>
              </w:rPr>
            </w:pPr>
            <w:r>
              <w:rPr>
                <w:noProof/>
              </w:rPr>
              <w:t>NEGYEDÉV</w:t>
            </w:r>
          </w:p>
        </w:tc>
        <w:tc>
          <w:tcPr>
            <w:tcW w:w="708" w:type="dxa"/>
            <w:shd w:val="clear" w:color="auto" w:fill="C6EFCE"/>
            <w:noWrap/>
          </w:tcPr>
          <w:p w14:paraId="05A1046B" w14:textId="77777777" w:rsidR="003E1D81" w:rsidRDefault="00EB481C">
            <w:pPr>
              <w:pStyle w:val="P68B1DB1-Normal13"/>
              <w:spacing w:after="0" w:line="240" w:lineRule="auto"/>
              <w:jc w:val="center"/>
              <w:rPr>
                <w:rFonts w:cs="Times New Roman"/>
                <w:noProof/>
              </w:rPr>
            </w:pPr>
            <w:r>
              <w:rPr>
                <w:noProof/>
              </w:rPr>
              <w:t>2023</w:t>
            </w:r>
          </w:p>
        </w:tc>
        <w:tc>
          <w:tcPr>
            <w:tcW w:w="6237" w:type="dxa"/>
            <w:shd w:val="clear" w:color="auto" w:fill="C6EFCE"/>
            <w:noWrap/>
          </w:tcPr>
          <w:p w14:paraId="0D332556" w14:textId="1CDFA346" w:rsidR="003E1D81" w:rsidRDefault="00EB481C">
            <w:pPr>
              <w:pStyle w:val="P68B1DB1-Normal13"/>
              <w:spacing w:after="0" w:line="240" w:lineRule="auto"/>
              <w:rPr>
                <w:rFonts w:cs="Times New Roman"/>
                <w:noProof/>
              </w:rPr>
            </w:pPr>
            <w:r>
              <w:rPr>
                <w:noProof/>
              </w:rPr>
              <w:t>A helyi hatóságoknak odaítélt támogatás közzététele a Hivatalos Lapban legalább 1 788 600 000 EUR értékben (alapforgatókönyv: 2022. december 31.) és a források 35%-át a zöld átáll</w:t>
            </w:r>
            <w:r>
              <w:rPr>
                <w:noProof/>
              </w:rPr>
              <w:t>ással, a fenntarthatósággal és az energiahatékonysággal/elektromobilitással foglalkozó intézkedéseknek kell elszámolniuk a célállomásokon. A kiválasztási kritériumoknak biztosítaniuk kell a jelentős károkozás elkerülését célzó elvről szóló technikai iránym</w:t>
            </w:r>
            <w:r>
              <w:rPr>
                <w:noProof/>
              </w:rPr>
              <w:t>utatásnak (2021/C58/01) való megfelelést a kizárási lista és a vonatkozó uniós és nemzeti környezetvédelmi jogszabályoknak való megfelelés követelménye révén. A kiválasztási kritériumoknak biztosítaniuk kell, hogy az intézkedésre odaítélt végleges teljes k</w:t>
            </w:r>
            <w:r>
              <w:rPr>
                <w:noProof/>
              </w:rPr>
              <w:t>öltségvetésből az intézkedésből legalább 359 000 000 EUR 100%-os éghajlati együtthatóval, legalább 519 000 000 EUR pedig 40%-os éghajlati együtthatóval járuljon hozzá az éghajlatváltozással kapcsolatos célkitűzésekhez, összhangban a Helyreállítási és Rezil</w:t>
            </w:r>
            <w:r>
              <w:rPr>
                <w:noProof/>
              </w:rPr>
              <w:t>ienciaépítési Eszközről szóló (EU) 2021/241 rendelet VI. mellékletével. Alternatív megoldásként a kiválasztási kritériumoknak biztosítaniuk kell, hogy az (EU) 2021/241 európai parlamenti és tanácsi rendelet VI. mellékletével összhangban legalább 1 788,6 mi</w:t>
            </w:r>
            <w:r>
              <w:rPr>
                <w:noProof/>
              </w:rPr>
              <w:t>llió EUR átlagosan legalább 31,7%-os éghajlati együtthatóval járuljon hozzá az éghajlatváltozással kapcsolatos célkitűzésekhez. Ez az átlagos hozzájárulási arány az (EU) 2021/241 rendelet VI. mellékletében meghatározott beavatkozási területek alapján érhet</w:t>
            </w:r>
            <w:r>
              <w:rPr>
                <w:noProof/>
              </w:rPr>
              <w:t>ő el.</w:t>
            </w:r>
          </w:p>
        </w:tc>
      </w:tr>
      <w:tr w:rsidR="003E1D81" w14:paraId="12DD52FC" w14:textId="77777777">
        <w:trPr>
          <w:trHeight w:val="881"/>
        </w:trPr>
        <w:tc>
          <w:tcPr>
            <w:tcW w:w="709" w:type="dxa"/>
            <w:shd w:val="clear" w:color="auto" w:fill="C6EFCE"/>
            <w:noWrap/>
          </w:tcPr>
          <w:p w14:paraId="7AAF69D2" w14:textId="77777777" w:rsidR="003E1D81" w:rsidRDefault="00EB481C">
            <w:pPr>
              <w:pStyle w:val="P68B1DB1-Normal13"/>
              <w:spacing w:after="0" w:line="240" w:lineRule="auto"/>
              <w:jc w:val="center"/>
              <w:rPr>
                <w:rFonts w:cs="Times New Roman"/>
                <w:noProof/>
              </w:rPr>
            </w:pPr>
            <w:r>
              <w:rPr>
                <w:noProof/>
              </w:rPr>
              <w:t>220</w:t>
            </w:r>
          </w:p>
        </w:tc>
        <w:tc>
          <w:tcPr>
            <w:tcW w:w="851" w:type="dxa"/>
            <w:shd w:val="clear" w:color="auto" w:fill="C6EFCE"/>
            <w:noWrap/>
          </w:tcPr>
          <w:p w14:paraId="367BA7AF" w14:textId="77777777" w:rsidR="003E1D81" w:rsidRDefault="00EB481C">
            <w:pPr>
              <w:pStyle w:val="P68B1DB1-Normal13"/>
              <w:spacing w:after="0" w:line="240" w:lineRule="auto"/>
              <w:jc w:val="center"/>
              <w:rPr>
                <w:rFonts w:cs="Times New Roman"/>
                <w:noProof/>
              </w:rPr>
            </w:pPr>
            <w:r>
              <w:rPr>
                <w:noProof/>
              </w:rPr>
              <w:t>C14.I1</w:t>
            </w:r>
          </w:p>
        </w:tc>
        <w:tc>
          <w:tcPr>
            <w:tcW w:w="850" w:type="dxa"/>
            <w:shd w:val="clear" w:color="auto" w:fill="C6EFCE"/>
            <w:noWrap/>
          </w:tcPr>
          <w:p w14:paraId="40DCAAEF" w14:textId="77777777" w:rsidR="003E1D81" w:rsidRDefault="00EB481C">
            <w:pPr>
              <w:pStyle w:val="P68B1DB1-Normal13"/>
              <w:spacing w:after="0" w:line="240" w:lineRule="auto"/>
              <w:jc w:val="center"/>
              <w:rPr>
                <w:rFonts w:cs="Times New Roman"/>
                <w:noProof/>
              </w:rPr>
            </w:pPr>
            <w:r>
              <w:rPr>
                <w:noProof/>
              </w:rPr>
              <w:t>M</w:t>
            </w:r>
          </w:p>
        </w:tc>
        <w:tc>
          <w:tcPr>
            <w:tcW w:w="1418" w:type="dxa"/>
            <w:shd w:val="clear" w:color="auto" w:fill="C6EFCE"/>
            <w:noWrap/>
          </w:tcPr>
          <w:p w14:paraId="6C965BCD" w14:textId="77777777" w:rsidR="003E1D81" w:rsidRDefault="00EB481C">
            <w:pPr>
              <w:pStyle w:val="P68B1DB1-Normal13"/>
              <w:spacing w:after="0" w:line="240" w:lineRule="auto"/>
              <w:rPr>
                <w:rFonts w:cs="Times New Roman"/>
                <w:noProof/>
              </w:rPr>
            </w:pPr>
            <w:r>
              <w:rPr>
                <w:noProof/>
              </w:rPr>
              <w:t>Az idegenforgalom fenntarthatóságát a célállomásukon előmozdító tervek lezárása</w:t>
            </w:r>
          </w:p>
        </w:tc>
        <w:tc>
          <w:tcPr>
            <w:tcW w:w="1276" w:type="dxa"/>
            <w:shd w:val="clear" w:color="auto" w:fill="C6EFCE"/>
            <w:noWrap/>
          </w:tcPr>
          <w:p w14:paraId="5F4CC487" w14:textId="77777777" w:rsidR="003E1D81" w:rsidRDefault="00EB481C">
            <w:pPr>
              <w:pStyle w:val="P68B1DB1-Normal13"/>
              <w:spacing w:after="0" w:line="240" w:lineRule="auto"/>
              <w:jc w:val="center"/>
              <w:rPr>
                <w:rFonts w:cs="Times New Roman"/>
                <w:noProof/>
              </w:rPr>
            </w:pPr>
            <w:r>
              <w:rPr>
                <w:noProof/>
              </w:rPr>
              <w:t>A monitoringbizottság jelentése az előrehaladási küszöbérték validálásáról</w:t>
            </w:r>
          </w:p>
        </w:tc>
        <w:tc>
          <w:tcPr>
            <w:tcW w:w="850" w:type="dxa"/>
            <w:shd w:val="clear" w:color="auto" w:fill="C6EFCE"/>
            <w:noWrap/>
          </w:tcPr>
          <w:p w14:paraId="1F1C4F07" w14:textId="77777777" w:rsidR="003E1D81" w:rsidRDefault="00EB481C">
            <w:pPr>
              <w:pStyle w:val="P68B1DB1-Normal13"/>
              <w:spacing w:after="0" w:line="240" w:lineRule="auto"/>
              <w:jc w:val="right"/>
              <w:rPr>
                <w:rFonts w:cs="Times New Roman"/>
                <w:noProof/>
              </w:rPr>
            </w:pPr>
            <w:r>
              <w:rPr>
                <w:noProof/>
              </w:rPr>
              <w:t> </w:t>
            </w:r>
          </w:p>
        </w:tc>
        <w:tc>
          <w:tcPr>
            <w:tcW w:w="992" w:type="dxa"/>
            <w:shd w:val="clear" w:color="auto" w:fill="C6EFCE"/>
            <w:noWrap/>
          </w:tcPr>
          <w:p w14:paraId="1C108D2C" w14:textId="77777777" w:rsidR="003E1D81" w:rsidRDefault="00EB481C">
            <w:pPr>
              <w:pStyle w:val="P68B1DB1-Normal13"/>
              <w:spacing w:after="0" w:line="240" w:lineRule="auto"/>
              <w:jc w:val="right"/>
              <w:rPr>
                <w:rFonts w:cs="Times New Roman"/>
                <w:noProof/>
              </w:rPr>
            </w:pPr>
            <w:r>
              <w:rPr>
                <w:noProof/>
              </w:rPr>
              <w:t> </w:t>
            </w:r>
          </w:p>
        </w:tc>
        <w:tc>
          <w:tcPr>
            <w:tcW w:w="567" w:type="dxa"/>
            <w:shd w:val="clear" w:color="auto" w:fill="C6EFCE"/>
            <w:noWrap/>
          </w:tcPr>
          <w:p w14:paraId="42048B5B" w14:textId="77777777" w:rsidR="003E1D81" w:rsidRDefault="00EB481C">
            <w:pPr>
              <w:pStyle w:val="P68B1DB1-Normal13"/>
              <w:spacing w:after="0" w:line="240" w:lineRule="auto"/>
              <w:jc w:val="right"/>
              <w:rPr>
                <w:rFonts w:cs="Times New Roman"/>
                <w:noProof/>
              </w:rPr>
            </w:pPr>
            <w:r>
              <w:rPr>
                <w:noProof/>
              </w:rPr>
              <w:t> </w:t>
            </w:r>
          </w:p>
        </w:tc>
        <w:tc>
          <w:tcPr>
            <w:tcW w:w="426" w:type="dxa"/>
            <w:shd w:val="clear" w:color="auto" w:fill="C6EFCE"/>
            <w:noWrap/>
          </w:tcPr>
          <w:p w14:paraId="4362E8A4" w14:textId="77777777" w:rsidR="003E1D81" w:rsidRDefault="00EB481C">
            <w:pPr>
              <w:pStyle w:val="P68B1DB1-Normal13"/>
              <w:spacing w:after="0" w:line="240" w:lineRule="auto"/>
              <w:jc w:val="center"/>
              <w:rPr>
                <w:rFonts w:cs="Times New Roman"/>
                <w:noProof/>
              </w:rPr>
            </w:pPr>
            <w:r>
              <w:rPr>
                <w:noProof/>
              </w:rPr>
              <w:t>NEGYEDÉV</w:t>
            </w:r>
          </w:p>
        </w:tc>
        <w:tc>
          <w:tcPr>
            <w:tcW w:w="708" w:type="dxa"/>
            <w:shd w:val="clear" w:color="auto" w:fill="C6EFCE"/>
            <w:noWrap/>
          </w:tcPr>
          <w:p w14:paraId="4483B977" w14:textId="77777777" w:rsidR="003E1D81" w:rsidRDefault="00EB481C">
            <w:pPr>
              <w:pStyle w:val="P68B1DB1-Normal13"/>
              <w:spacing w:after="0" w:line="240" w:lineRule="auto"/>
              <w:jc w:val="center"/>
              <w:rPr>
                <w:rFonts w:cs="Times New Roman"/>
                <w:noProof/>
              </w:rPr>
            </w:pPr>
            <w:r>
              <w:rPr>
                <w:noProof/>
              </w:rPr>
              <w:t>2024</w:t>
            </w:r>
          </w:p>
        </w:tc>
        <w:tc>
          <w:tcPr>
            <w:tcW w:w="6237" w:type="dxa"/>
            <w:shd w:val="clear" w:color="auto" w:fill="C6EFCE"/>
            <w:noWrap/>
          </w:tcPr>
          <w:p w14:paraId="0C6ED490" w14:textId="44A442C3" w:rsidR="003E1D81" w:rsidRDefault="00EB481C">
            <w:pPr>
              <w:pStyle w:val="P68B1DB1-Normal13"/>
              <w:spacing w:after="0" w:line="240" w:lineRule="auto"/>
              <w:rPr>
                <w:rFonts w:cs="Times New Roman"/>
                <w:noProof/>
              </w:rPr>
            </w:pPr>
            <w:r>
              <w:rPr>
                <w:noProof/>
              </w:rPr>
              <w:t xml:space="preserve">A monitoringbizottság biztosítja, hogy valamennyi odaítélt </w:t>
            </w:r>
            <w:r>
              <w:rPr>
                <w:noProof/>
              </w:rPr>
              <w:t>úti cél teljesítse az egyes turisztikai fenntarthatósági tervek végrehajtási szintjének legalább a következő százalékarányát:</w:t>
            </w:r>
            <w:r>
              <w:rPr>
                <w:noProof/>
              </w:rPr>
              <w:br/>
            </w:r>
            <w:bookmarkStart w:id="48" w:name="_Hlk139826696"/>
            <w:r>
              <w:rPr>
                <w:noProof/>
              </w:rPr>
              <w:t>A 2021-ben odaítélt célállomások esetében 50%-os teljesítés.</w:t>
            </w:r>
            <w:r>
              <w:rPr>
                <w:noProof/>
              </w:rPr>
              <w:br/>
              <w:t xml:space="preserve">A 2022-ben odaítélt célállomások esetében 30%-os teljesítés. </w:t>
            </w:r>
            <w:r>
              <w:rPr>
                <w:noProof/>
              </w:rPr>
              <w:br/>
              <w:t xml:space="preserve">–15% a </w:t>
            </w:r>
            <w:r>
              <w:rPr>
                <w:noProof/>
              </w:rPr>
              <w:t xml:space="preserve">2023-ban odaítélt rendeltetési helyek esetében. </w:t>
            </w:r>
            <w:bookmarkEnd w:id="48"/>
          </w:p>
        </w:tc>
      </w:tr>
      <w:tr w:rsidR="003E1D81" w14:paraId="0501667D" w14:textId="77777777">
        <w:trPr>
          <w:trHeight w:val="881"/>
        </w:trPr>
        <w:tc>
          <w:tcPr>
            <w:tcW w:w="709" w:type="dxa"/>
            <w:shd w:val="clear" w:color="auto" w:fill="C6EFCE"/>
            <w:noWrap/>
          </w:tcPr>
          <w:p w14:paraId="4FC549A4" w14:textId="77777777" w:rsidR="003E1D81" w:rsidRDefault="00EB481C">
            <w:pPr>
              <w:pStyle w:val="P68B1DB1-Normal13"/>
              <w:spacing w:after="0" w:line="240" w:lineRule="auto"/>
              <w:jc w:val="center"/>
              <w:rPr>
                <w:rFonts w:cs="Times New Roman"/>
                <w:noProof/>
              </w:rPr>
            </w:pPr>
            <w:r>
              <w:rPr>
                <w:noProof/>
              </w:rPr>
              <w:t>221</w:t>
            </w:r>
          </w:p>
        </w:tc>
        <w:tc>
          <w:tcPr>
            <w:tcW w:w="851" w:type="dxa"/>
            <w:shd w:val="clear" w:color="auto" w:fill="C6EFCE"/>
            <w:noWrap/>
          </w:tcPr>
          <w:p w14:paraId="5EA6E5FA" w14:textId="77777777" w:rsidR="003E1D81" w:rsidRDefault="00EB481C">
            <w:pPr>
              <w:pStyle w:val="P68B1DB1-Normal13"/>
              <w:spacing w:after="0" w:line="240" w:lineRule="auto"/>
              <w:jc w:val="center"/>
              <w:rPr>
                <w:rFonts w:cs="Times New Roman"/>
                <w:noProof/>
              </w:rPr>
            </w:pPr>
            <w:r>
              <w:rPr>
                <w:noProof/>
              </w:rPr>
              <w:t>C14.I1</w:t>
            </w:r>
          </w:p>
        </w:tc>
        <w:tc>
          <w:tcPr>
            <w:tcW w:w="850" w:type="dxa"/>
            <w:shd w:val="clear" w:color="auto" w:fill="C6EFCE"/>
            <w:noWrap/>
          </w:tcPr>
          <w:p w14:paraId="43D19A03" w14:textId="77777777" w:rsidR="003E1D81" w:rsidRDefault="00EB481C">
            <w:pPr>
              <w:pStyle w:val="P68B1DB1-Normal13"/>
              <w:spacing w:after="0" w:line="240" w:lineRule="auto"/>
              <w:jc w:val="center"/>
              <w:rPr>
                <w:rFonts w:cs="Times New Roman"/>
                <w:noProof/>
              </w:rPr>
            </w:pPr>
            <w:r>
              <w:rPr>
                <w:noProof/>
              </w:rPr>
              <w:t>M</w:t>
            </w:r>
          </w:p>
        </w:tc>
        <w:tc>
          <w:tcPr>
            <w:tcW w:w="1418" w:type="dxa"/>
            <w:shd w:val="clear" w:color="auto" w:fill="C6EFCE"/>
            <w:noWrap/>
          </w:tcPr>
          <w:p w14:paraId="5B0E3809" w14:textId="77777777" w:rsidR="003E1D81" w:rsidRDefault="00EB481C">
            <w:pPr>
              <w:pStyle w:val="P68B1DB1-Normal13"/>
              <w:spacing w:after="0" w:line="240" w:lineRule="auto"/>
              <w:rPr>
                <w:rFonts w:cs="Times New Roman"/>
                <w:noProof/>
              </w:rPr>
            </w:pPr>
            <w:r>
              <w:rPr>
                <w:noProof/>
              </w:rPr>
              <w:t xml:space="preserve">A turisztikai célpontok fenntarthatóságát előmozdító projektek lezárása </w:t>
            </w:r>
          </w:p>
        </w:tc>
        <w:tc>
          <w:tcPr>
            <w:tcW w:w="1276" w:type="dxa"/>
            <w:shd w:val="clear" w:color="auto" w:fill="C6EFCE"/>
            <w:noWrap/>
          </w:tcPr>
          <w:p w14:paraId="4B888E08" w14:textId="77777777" w:rsidR="003E1D81" w:rsidRDefault="00EB481C">
            <w:pPr>
              <w:pStyle w:val="P68B1DB1-Normal13"/>
              <w:spacing w:after="0" w:line="240" w:lineRule="auto"/>
              <w:jc w:val="center"/>
              <w:rPr>
                <w:rFonts w:cs="Times New Roman"/>
                <w:noProof/>
              </w:rPr>
            </w:pPr>
            <w:r>
              <w:rPr>
                <w:noProof/>
              </w:rPr>
              <w:t>Teljesítési igazolás</w:t>
            </w:r>
          </w:p>
        </w:tc>
        <w:tc>
          <w:tcPr>
            <w:tcW w:w="850" w:type="dxa"/>
            <w:shd w:val="clear" w:color="auto" w:fill="C6EFCE"/>
            <w:noWrap/>
          </w:tcPr>
          <w:p w14:paraId="50BD9DCD" w14:textId="77777777" w:rsidR="003E1D81" w:rsidRDefault="00EB481C">
            <w:pPr>
              <w:pStyle w:val="P68B1DB1-Normal13"/>
              <w:spacing w:after="0" w:line="240" w:lineRule="auto"/>
              <w:jc w:val="right"/>
              <w:rPr>
                <w:rFonts w:cs="Times New Roman"/>
                <w:noProof/>
              </w:rPr>
            </w:pPr>
            <w:r>
              <w:rPr>
                <w:noProof/>
              </w:rPr>
              <w:t> </w:t>
            </w:r>
          </w:p>
        </w:tc>
        <w:tc>
          <w:tcPr>
            <w:tcW w:w="992" w:type="dxa"/>
            <w:shd w:val="clear" w:color="auto" w:fill="C6EFCE"/>
            <w:noWrap/>
          </w:tcPr>
          <w:p w14:paraId="155B9399" w14:textId="77777777" w:rsidR="003E1D81" w:rsidRDefault="00EB481C">
            <w:pPr>
              <w:pStyle w:val="P68B1DB1-Normal13"/>
              <w:spacing w:after="0" w:line="240" w:lineRule="auto"/>
              <w:jc w:val="right"/>
              <w:rPr>
                <w:rFonts w:cs="Times New Roman"/>
                <w:noProof/>
              </w:rPr>
            </w:pPr>
            <w:r>
              <w:rPr>
                <w:noProof/>
              </w:rPr>
              <w:t> </w:t>
            </w:r>
          </w:p>
        </w:tc>
        <w:tc>
          <w:tcPr>
            <w:tcW w:w="567" w:type="dxa"/>
            <w:shd w:val="clear" w:color="auto" w:fill="C6EFCE"/>
            <w:noWrap/>
          </w:tcPr>
          <w:p w14:paraId="753A0B0D" w14:textId="77777777" w:rsidR="003E1D81" w:rsidRDefault="00EB481C">
            <w:pPr>
              <w:pStyle w:val="P68B1DB1-Normal13"/>
              <w:spacing w:after="0" w:line="240" w:lineRule="auto"/>
              <w:jc w:val="right"/>
              <w:rPr>
                <w:rFonts w:cs="Times New Roman"/>
                <w:noProof/>
              </w:rPr>
            </w:pPr>
            <w:r>
              <w:rPr>
                <w:noProof/>
              </w:rPr>
              <w:t> </w:t>
            </w:r>
          </w:p>
        </w:tc>
        <w:tc>
          <w:tcPr>
            <w:tcW w:w="426" w:type="dxa"/>
            <w:shd w:val="clear" w:color="auto" w:fill="C6EFCE"/>
            <w:noWrap/>
          </w:tcPr>
          <w:p w14:paraId="4EC6F3F3" w14:textId="77777777" w:rsidR="003E1D81" w:rsidRDefault="00EB481C">
            <w:pPr>
              <w:pStyle w:val="P68B1DB1-Normal13"/>
              <w:spacing w:after="0" w:line="240" w:lineRule="auto"/>
              <w:jc w:val="center"/>
              <w:rPr>
                <w:rFonts w:cs="Times New Roman"/>
                <w:noProof/>
              </w:rPr>
            </w:pPr>
            <w:r>
              <w:rPr>
                <w:noProof/>
              </w:rPr>
              <w:t>KÉRDÉS</w:t>
            </w:r>
          </w:p>
        </w:tc>
        <w:tc>
          <w:tcPr>
            <w:tcW w:w="708" w:type="dxa"/>
            <w:shd w:val="clear" w:color="auto" w:fill="C6EFCE"/>
            <w:noWrap/>
          </w:tcPr>
          <w:p w14:paraId="41897F6E" w14:textId="77777777" w:rsidR="003E1D81" w:rsidRDefault="00EB481C">
            <w:pPr>
              <w:pStyle w:val="P68B1DB1-Normal13"/>
              <w:spacing w:after="0" w:line="240" w:lineRule="auto"/>
              <w:jc w:val="center"/>
              <w:rPr>
                <w:rFonts w:cs="Times New Roman"/>
                <w:noProof/>
              </w:rPr>
            </w:pPr>
            <w:r>
              <w:rPr>
                <w:noProof/>
              </w:rPr>
              <w:t>2026</w:t>
            </w:r>
          </w:p>
        </w:tc>
        <w:tc>
          <w:tcPr>
            <w:tcW w:w="6237" w:type="dxa"/>
            <w:shd w:val="clear" w:color="auto" w:fill="C6EFCE"/>
            <w:noWrap/>
          </w:tcPr>
          <w:p w14:paraId="52EA63BF" w14:textId="2DB8A0CF" w:rsidR="003E1D81" w:rsidRDefault="00EB481C">
            <w:pPr>
              <w:pStyle w:val="P68B1DB1-Normal13"/>
              <w:spacing w:after="0" w:line="240" w:lineRule="auto"/>
              <w:rPr>
                <w:rFonts w:cs="Times New Roman"/>
                <w:noProof/>
              </w:rPr>
            </w:pPr>
            <w:r>
              <w:rPr>
                <w:noProof/>
              </w:rPr>
              <w:t xml:space="preserve">A „Területi tervek az idegenforgalom úticélnál való fenntarthatóságáért” című </w:t>
            </w:r>
            <w:r>
              <w:rPr>
                <w:noProof/>
              </w:rPr>
              <w:t>dokumentumban szereplő és a 217., 218. és 219. célkitűzéssel összhangban odaítélt valamennyi projekt lezárása, a források 35%-át a zöld átállással, a fenntarthatósággal és az energiahatékonysággal/elektromobilitással foglalkozó intézkedések figyelembevétel</w:t>
            </w:r>
            <w:r>
              <w:rPr>
                <w:noProof/>
              </w:rPr>
              <w:t>ével, összhangban a jelentős károkozás elkerülését célzó technikai iránymutatással (2021/C58/01) a kizárási lista és a vonatkozó uniós és nemzeti környezetvédelmi jogszabályoknak való megfelelés követelménye révén.</w:t>
            </w:r>
          </w:p>
        </w:tc>
      </w:tr>
      <w:tr w:rsidR="003E1D81" w14:paraId="7C571586" w14:textId="77777777">
        <w:trPr>
          <w:trHeight w:val="881"/>
        </w:trPr>
        <w:tc>
          <w:tcPr>
            <w:tcW w:w="709" w:type="dxa"/>
            <w:shd w:val="clear" w:color="auto" w:fill="C6EFCE"/>
            <w:noWrap/>
          </w:tcPr>
          <w:p w14:paraId="21C5838F" w14:textId="77777777" w:rsidR="003E1D81" w:rsidRDefault="00EB481C">
            <w:pPr>
              <w:pStyle w:val="P68B1DB1-Normal13"/>
              <w:spacing w:after="0" w:line="240" w:lineRule="auto"/>
              <w:jc w:val="center"/>
              <w:rPr>
                <w:rFonts w:cs="Times New Roman"/>
                <w:noProof/>
              </w:rPr>
            </w:pPr>
            <w:r>
              <w:rPr>
                <w:noProof/>
              </w:rPr>
              <w:t>222</w:t>
            </w:r>
          </w:p>
        </w:tc>
        <w:tc>
          <w:tcPr>
            <w:tcW w:w="851" w:type="dxa"/>
            <w:shd w:val="clear" w:color="auto" w:fill="C6EFCE"/>
            <w:noWrap/>
          </w:tcPr>
          <w:p w14:paraId="3154B6A1" w14:textId="77777777" w:rsidR="003E1D81" w:rsidRDefault="00EB481C">
            <w:pPr>
              <w:pStyle w:val="P68B1DB1-Normal13"/>
              <w:spacing w:after="0" w:line="240" w:lineRule="auto"/>
              <w:jc w:val="center"/>
              <w:rPr>
                <w:rFonts w:cs="Times New Roman"/>
                <w:noProof/>
              </w:rPr>
            </w:pPr>
            <w:r>
              <w:rPr>
                <w:noProof/>
              </w:rPr>
              <w:t>C14.I2</w:t>
            </w:r>
          </w:p>
        </w:tc>
        <w:tc>
          <w:tcPr>
            <w:tcW w:w="850" w:type="dxa"/>
            <w:shd w:val="clear" w:color="auto" w:fill="C6EFCE"/>
            <w:noWrap/>
          </w:tcPr>
          <w:p w14:paraId="19EF0260" w14:textId="77777777" w:rsidR="003E1D81" w:rsidRDefault="00EB481C">
            <w:pPr>
              <w:pStyle w:val="P68B1DB1-Normal13"/>
              <w:spacing w:after="0" w:line="240" w:lineRule="auto"/>
              <w:jc w:val="center"/>
              <w:rPr>
                <w:rFonts w:cs="Times New Roman"/>
                <w:noProof/>
              </w:rPr>
            </w:pPr>
            <w:r>
              <w:rPr>
                <w:noProof/>
              </w:rPr>
              <w:t>M</w:t>
            </w:r>
          </w:p>
        </w:tc>
        <w:tc>
          <w:tcPr>
            <w:tcW w:w="1418" w:type="dxa"/>
            <w:shd w:val="clear" w:color="auto" w:fill="C6EFCE"/>
            <w:noWrap/>
          </w:tcPr>
          <w:p w14:paraId="013AE616" w14:textId="77777777" w:rsidR="003E1D81" w:rsidRDefault="00EB481C">
            <w:pPr>
              <w:pStyle w:val="P68B1DB1-Normal13"/>
              <w:spacing w:after="0" w:line="240" w:lineRule="auto"/>
              <w:rPr>
                <w:rFonts w:cs="Times New Roman"/>
                <w:noProof/>
              </w:rPr>
            </w:pPr>
            <w:r>
              <w:rPr>
                <w:noProof/>
              </w:rPr>
              <w:t xml:space="preserve">Az idegenforgalmi ágazat </w:t>
            </w:r>
            <w:r>
              <w:rPr>
                <w:noProof/>
              </w:rPr>
              <w:t>intelligens úti célját szolgáló platformjának elindítása.</w:t>
            </w:r>
          </w:p>
        </w:tc>
        <w:tc>
          <w:tcPr>
            <w:tcW w:w="1276" w:type="dxa"/>
            <w:shd w:val="clear" w:color="auto" w:fill="C6EFCE"/>
            <w:noWrap/>
          </w:tcPr>
          <w:p w14:paraId="4B9978DD" w14:textId="77777777" w:rsidR="003E1D81" w:rsidRDefault="00EB481C">
            <w:pPr>
              <w:pStyle w:val="P68B1DB1-Normal13"/>
              <w:spacing w:after="0" w:line="240" w:lineRule="auto"/>
              <w:jc w:val="center"/>
              <w:rPr>
                <w:rFonts w:cs="Times New Roman"/>
                <w:noProof/>
              </w:rPr>
            </w:pPr>
            <w:r>
              <w:rPr>
                <w:noProof/>
              </w:rPr>
              <w:t>Link a platformhoz</w:t>
            </w:r>
          </w:p>
        </w:tc>
        <w:tc>
          <w:tcPr>
            <w:tcW w:w="850" w:type="dxa"/>
            <w:shd w:val="clear" w:color="auto" w:fill="C6EFCE"/>
            <w:noWrap/>
          </w:tcPr>
          <w:p w14:paraId="59BE89D5" w14:textId="77777777" w:rsidR="003E1D81" w:rsidRDefault="00EB481C">
            <w:pPr>
              <w:pStyle w:val="P68B1DB1-Normal13"/>
              <w:spacing w:after="0" w:line="240" w:lineRule="auto"/>
              <w:jc w:val="right"/>
              <w:rPr>
                <w:rFonts w:cs="Times New Roman"/>
                <w:noProof/>
              </w:rPr>
            </w:pPr>
            <w:r>
              <w:rPr>
                <w:noProof/>
              </w:rPr>
              <w:t> </w:t>
            </w:r>
          </w:p>
        </w:tc>
        <w:tc>
          <w:tcPr>
            <w:tcW w:w="992" w:type="dxa"/>
            <w:shd w:val="clear" w:color="auto" w:fill="C6EFCE"/>
            <w:noWrap/>
          </w:tcPr>
          <w:p w14:paraId="7DBA839F" w14:textId="77777777" w:rsidR="003E1D81" w:rsidRDefault="00EB481C">
            <w:pPr>
              <w:pStyle w:val="P68B1DB1-Normal13"/>
              <w:spacing w:after="0" w:line="240" w:lineRule="auto"/>
              <w:jc w:val="right"/>
              <w:rPr>
                <w:rFonts w:cs="Times New Roman"/>
                <w:noProof/>
              </w:rPr>
            </w:pPr>
            <w:r>
              <w:rPr>
                <w:noProof/>
              </w:rPr>
              <w:t> </w:t>
            </w:r>
          </w:p>
        </w:tc>
        <w:tc>
          <w:tcPr>
            <w:tcW w:w="567" w:type="dxa"/>
            <w:shd w:val="clear" w:color="auto" w:fill="C6EFCE"/>
            <w:noWrap/>
          </w:tcPr>
          <w:p w14:paraId="77586365" w14:textId="77777777" w:rsidR="003E1D81" w:rsidRDefault="00EB481C">
            <w:pPr>
              <w:pStyle w:val="P68B1DB1-Normal13"/>
              <w:spacing w:after="0" w:line="240" w:lineRule="auto"/>
              <w:jc w:val="right"/>
              <w:rPr>
                <w:rFonts w:cs="Times New Roman"/>
                <w:noProof/>
              </w:rPr>
            </w:pPr>
            <w:r>
              <w:rPr>
                <w:noProof/>
              </w:rPr>
              <w:t> </w:t>
            </w:r>
          </w:p>
        </w:tc>
        <w:tc>
          <w:tcPr>
            <w:tcW w:w="426" w:type="dxa"/>
            <w:shd w:val="clear" w:color="auto" w:fill="C6EFCE"/>
            <w:noWrap/>
          </w:tcPr>
          <w:p w14:paraId="14EA049E" w14:textId="77777777" w:rsidR="003E1D81" w:rsidRDefault="00EB481C">
            <w:pPr>
              <w:pStyle w:val="P68B1DB1-Normal13"/>
              <w:spacing w:after="0" w:line="240" w:lineRule="auto"/>
              <w:jc w:val="center"/>
              <w:rPr>
                <w:rFonts w:cs="Times New Roman"/>
                <w:noProof/>
              </w:rPr>
            </w:pPr>
            <w:r>
              <w:rPr>
                <w:noProof/>
              </w:rPr>
              <w:t>KÉRDÉS</w:t>
            </w:r>
          </w:p>
        </w:tc>
        <w:tc>
          <w:tcPr>
            <w:tcW w:w="708" w:type="dxa"/>
            <w:shd w:val="clear" w:color="auto" w:fill="C6EFCE"/>
            <w:noWrap/>
          </w:tcPr>
          <w:p w14:paraId="70BFDCAA" w14:textId="77777777" w:rsidR="003E1D81" w:rsidRDefault="00EB481C">
            <w:pPr>
              <w:pStyle w:val="P68B1DB1-Normal13"/>
              <w:spacing w:after="0" w:line="240" w:lineRule="auto"/>
              <w:jc w:val="center"/>
              <w:rPr>
                <w:rFonts w:cs="Times New Roman"/>
                <w:noProof/>
              </w:rPr>
            </w:pPr>
            <w:r>
              <w:rPr>
                <w:noProof/>
              </w:rPr>
              <w:t>2025</w:t>
            </w:r>
          </w:p>
        </w:tc>
        <w:tc>
          <w:tcPr>
            <w:tcW w:w="6237" w:type="dxa"/>
            <w:shd w:val="clear" w:color="auto" w:fill="C6EFCE"/>
            <w:noWrap/>
          </w:tcPr>
          <w:p w14:paraId="0B81599A" w14:textId="77777777" w:rsidR="003E1D81" w:rsidRDefault="00EB481C">
            <w:pPr>
              <w:pStyle w:val="P68B1DB1-Normal13"/>
              <w:spacing w:after="0" w:line="240" w:lineRule="auto"/>
              <w:rPr>
                <w:rFonts w:cs="Times New Roman"/>
                <w:noProof/>
              </w:rPr>
            </w:pPr>
            <w:r>
              <w:rPr>
                <w:noProof/>
              </w:rPr>
              <w:t>Egy teljesen működőképes intelligens úti célplatform megvalósítása és elindítása. A platform interoperábilis köz- és magánszolgáltatásokat bocsát a turisták rend</w:t>
            </w:r>
            <w:r>
              <w:rPr>
                <w:noProof/>
              </w:rPr>
              <w:t>elkezésére.</w:t>
            </w:r>
          </w:p>
        </w:tc>
      </w:tr>
      <w:tr w:rsidR="003E1D81" w14:paraId="4C4443DE" w14:textId="77777777">
        <w:trPr>
          <w:trHeight w:val="171"/>
        </w:trPr>
        <w:tc>
          <w:tcPr>
            <w:tcW w:w="709" w:type="dxa"/>
            <w:shd w:val="clear" w:color="auto" w:fill="C6EFCE"/>
            <w:noWrap/>
          </w:tcPr>
          <w:p w14:paraId="33E1B8CE" w14:textId="77777777" w:rsidR="003E1D81" w:rsidRDefault="00EB481C">
            <w:pPr>
              <w:pStyle w:val="P68B1DB1-Normal13"/>
              <w:spacing w:after="0" w:line="240" w:lineRule="auto"/>
              <w:jc w:val="center"/>
              <w:rPr>
                <w:rFonts w:cs="Times New Roman"/>
                <w:noProof/>
              </w:rPr>
            </w:pPr>
            <w:r>
              <w:rPr>
                <w:noProof/>
              </w:rPr>
              <w:t>223</w:t>
            </w:r>
          </w:p>
        </w:tc>
        <w:tc>
          <w:tcPr>
            <w:tcW w:w="851" w:type="dxa"/>
            <w:shd w:val="clear" w:color="auto" w:fill="C6EFCE"/>
            <w:noWrap/>
          </w:tcPr>
          <w:p w14:paraId="757B8BE0" w14:textId="77777777" w:rsidR="003E1D81" w:rsidRDefault="00EB481C">
            <w:pPr>
              <w:pStyle w:val="P68B1DB1-Normal13"/>
              <w:spacing w:after="0" w:line="240" w:lineRule="auto"/>
              <w:jc w:val="center"/>
              <w:rPr>
                <w:rFonts w:cs="Times New Roman"/>
                <w:noProof/>
              </w:rPr>
            </w:pPr>
            <w:r>
              <w:rPr>
                <w:noProof/>
              </w:rPr>
              <w:t>C14.I2</w:t>
            </w:r>
          </w:p>
        </w:tc>
        <w:tc>
          <w:tcPr>
            <w:tcW w:w="850" w:type="dxa"/>
            <w:shd w:val="clear" w:color="auto" w:fill="C6EFCE"/>
            <w:noWrap/>
          </w:tcPr>
          <w:p w14:paraId="1FB216CC" w14:textId="77777777" w:rsidR="003E1D81" w:rsidRDefault="00EB481C">
            <w:pPr>
              <w:pStyle w:val="P68B1DB1-Normal13"/>
              <w:spacing w:after="0" w:line="240" w:lineRule="auto"/>
              <w:jc w:val="center"/>
              <w:rPr>
                <w:rFonts w:cs="Times New Roman"/>
                <w:noProof/>
              </w:rPr>
            </w:pPr>
            <w:r>
              <w:rPr>
                <w:noProof/>
              </w:rPr>
              <w:t>T</w:t>
            </w:r>
          </w:p>
        </w:tc>
        <w:tc>
          <w:tcPr>
            <w:tcW w:w="1418" w:type="dxa"/>
            <w:shd w:val="clear" w:color="auto" w:fill="C6EFCE"/>
            <w:noWrap/>
          </w:tcPr>
          <w:p w14:paraId="0E2164DB" w14:textId="77777777" w:rsidR="003E1D81" w:rsidRDefault="00EB481C">
            <w:pPr>
              <w:pStyle w:val="P68B1DB1-Normal13"/>
              <w:spacing w:after="0" w:line="240" w:lineRule="auto"/>
              <w:rPr>
                <w:rFonts w:cs="Times New Roman"/>
                <w:noProof/>
              </w:rPr>
            </w:pPr>
            <w:r>
              <w:rPr>
                <w:noProof/>
              </w:rPr>
              <w:t>A mesterséges intelligenciával és más alaptechnológiákkal kapcsolatos innovatív technológiaalapú projektek kedvezményezettjei</w:t>
            </w:r>
          </w:p>
        </w:tc>
        <w:tc>
          <w:tcPr>
            <w:tcW w:w="1276" w:type="dxa"/>
            <w:shd w:val="clear" w:color="auto" w:fill="C6EFCE"/>
            <w:noWrap/>
          </w:tcPr>
          <w:p w14:paraId="3226E9BF" w14:textId="77777777" w:rsidR="003E1D81" w:rsidRDefault="00EB481C">
            <w:pPr>
              <w:pStyle w:val="P68B1DB1-Normal13"/>
              <w:spacing w:after="0" w:line="240" w:lineRule="auto"/>
              <w:jc w:val="center"/>
              <w:rPr>
                <w:rFonts w:cs="Times New Roman"/>
                <w:noProof/>
              </w:rPr>
            </w:pPr>
            <w:r>
              <w:rPr>
                <w:noProof/>
              </w:rPr>
              <w:t>–</w:t>
            </w:r>
          </w:p>
        </w:tc>
        <w:tc>
          <w:tcPr>
            <w:tcW w:w="850" w:type="dxa"/>
            <w:shd w:val="clear" w:color="auto" w:fill="C6EFCE"/>
            <w:noWrap/>
          </w:tcPr>
          <w:p w14:paraId="19E2031B" w14:textId="77777777" w:rsidR="003E1D81" w:rsidRDefault="00EB481C">
            <w:pPr>
              <w:pStyle w:val="P68B1DB1-Normal13"/>
              <w:spacing w:after="0" w:line="240" w:lineRule="auto"/>
              <w:jc w:val="right"/>
              <w:rPr>
                <w:rFonts w:cs="Times New Roman"/>
                <w:noProof/>
              </w:rPr>
            </w:pPr>
            <w:r>
              <w:rPr>
                <w:noProof/>
              </w:rPr>
              <w:t>Szám</w:t>
            </w:r>
          </w:p>
        </w:tc>
        <w:tc>
          <w:tcPr>
            <w:tcW w:w="992" w:type="dxa"/>
            <w:shd w:val="clear" w:color="auto" w:fill="C6EFCE"/>
            <w:noWrap/>
          </w:tcPr>
          <w:p w14:paraId="0E9DD790" w14:textId="77777777" w:rsidR="003E1D81" w:rsidRDefault="00EB481C">
            <w:pPr>
              <w:pStyle w:val="P68B1DB1-Normal13"/>
              <w:spacing w:after="0" w:line="240" w:lineRule="auto"/>
              <w:jc w:val="right"/>
              <w:rPr>
                <w:rFonts w:cs="Times New Roman"/>
                <w:noProof/>
              </w:rPr>
            </w:pPr>
            <w:r>
              <w:rPr>
                <w:noProof/>
              </w:rPr>
              <w:t>0</w:t>
            </w:r>
          </w:p>
        </w:tc>
        <w:tc>
          <w:tcPr>
            <w:tcW w:w="567" w:type="dxa"/>
            <w:shd w:val="clear" w:color="auto" w:fill="C6EFCE"/>
            <w:noWrap/>
          </w:tcPr>
          <w:p w14:paraId="58635DFE" w14:textId="77777777" w:rsidR="003E1D81" w:rsidRDefault="00EB481C">
            <w:pPr>
              <w:pStyle w:val="P68B1DB1-Normal13"/>
              <w:spacing w:after="0" w:line="240" w:lineRule="auto"/>
              <w:jc w:val="right"/>
              <w:rPr>
                <w:rFonts w:cs="Times New Roman"/>
                <w:noProof/>
              </w:rPr>
            </w:pPr>
            <w:r>
              <w:rPr>
                <w:noProof/>
              </w:rPr>
              <w:t>1 000</w:t>
            </w:r>
          </w:p>
        </w:tc>
        <w:tc>
          <w:tcPr>
            <w:tcW w:w="426" w:type="dxa"/>
            <w:shd w:val="clear" w:color="auto" w:fill="C6EFCE"/>
            <w:noWrap/>
          </w:tcPr>
          <w:p w14:paraId="7719B954" w14:textId="77777777" w:rsidR="003E1D81" w:rsidRDefault="00EB481C">
            <w:pPr>
              <w:pStyle w:val="P68B1DB1-Normal13"/>
              <w:spacing w:after="0" w:line="240" w:lineRule="auto"/>
              <w:jc w:val="center"/>
              <w:rPr>
                <w:rFonts w:cs="Times New Roman"/>
                <w:noProof/>
              </w:rPr>
            </w:pPr>
            <w:r>
              <w:rPr>
                <w:noProof/>
              </w:rPr>
              <w:t>KÉRDÉS</w:t>
            </w:r>
          </w:p>
        </w:tc>
        <w:tc>
          <w:tcPr>
            <w:tcW w:w="708" w:type="dxa"/>
            <w:shd w:val="clear" w:color="auto" w:fill="C6EFCE"/>
            <w:noWrap/>
          </w:tcPr>
          <w:p w14:paraId="30E7C679" w14:textId="77777777" w:rsidR="003E1D81" w:rsidRDefault="00EB481C">
            <w:pPr>
              <w:pStyle w:val="P68B1DB1-Normal13"/>
              <w:spacing w:after="0" w:line="240" w:lineRule="auto"/>
              <w:jc w:val="center"/>
              <w:rPr>
                <w:rFonts w:cs="Times New Roman"/>
                <w:noProof/>
              </w:rPr>
            </w:pPr>
            <w:r>
              <w:rPr>
                <w:noProof/>
              </w:rPr>
              <w:t>2025</w:t>
            </w:r>
          </w:p>
        </w:tc>
        <w:tc>
          <w:tcPr>
            <w:tcW w:w="6237" w:type="dxa"/>
            <w:shd w:val="clear" w:color="auto" w:fill="C6EFCE"/>
            <w:noWrap/>
          </w:tcPr>
          <w:p w14:paraId="46B5ECA5" w14:textId="77777777" w:rsidR="003E1D81" w:rsidRDefault="00EB481C">
            <w:pPr>
              <w:pStyle w:val="P68B1DB1-Normal13"/>
              <w:spacing w:after="0" w:line="240" w:lineRule="auto"/>
              <w:rPr>
                <w:rFonts w:cs="Times New Roman"/>
                <w:noProof/>
              </w:rPr>
            </w:pPr>
            <w:r>
              <w:rPr>
                <w:noProof/>
              </w:rPr>
              <w:t>Legalább 1000 kedvezményezett (vállalatok vagy klaszterek), akik a turisztikai ágazatban a mesterséges intelligenciával és más alaptechnológiákkal – például a dolgok internetével, az 5G-vel, a nagy adathalmazokkal, a kiberbiztonsággal, a mobilalkalmazásokk</w:t>
            </w:r>
            <w:r>
              <w:rPr>
                <w:noProof/>
              </w:rPr>
              <w:t xml:space="preserve">al – kapcsolatos innovatív technológiai projekteket hajtottak végre. </w:t>
            </w:r>
          </w:p>
        </w:tc>
      </w:tr>
      <w:tr w:rsidR="003E1D81" w14:paraId="0767E8E7" w14:textId="77777777">
        <w:trPr>
          <w:trHeight w:val="881"/>
        </w:trPr>
        <w:tc>
          <w:tcPr>
            <w:tcW w:w="709" w:type="dxa"/>
            <w:shd w:val="clear" w:color="auto" w:fill="C6EFCE"/>
            <w:noWrap/>
          </w:tcPr>
          <w:p w14:paraId="71EC71E3" w14:textId="77777777" w:rsidR="003E1D81" w:rsidRDefault="00EB481C">
            <w:pPr>
              <w:pStyle w:val="P68B1DB1-Normal13"/>
              <w:spacing w:after="0" w:line="240" w:lineRule="auto"/>
              <w:jc w:val="center"/>
              <w:rPr>
                <w:rFonts w:cs="Times New Roman"/>
                <w:noProof/>
              </w:rPr>
            </w:pPr>
            <w:r>
              <w:rPr>
                <w:noProof/>
              </w:rPr>
              <w:t>224</w:t>
            </w:r>
          </w:p>
        </w:tc>
        <w:tc>
          <w:tcPr>
            <w:tcW w:w="851" w:type="dxa"/>
            <w:shd w:val="clear" w:color="auto" w:fill="C6EFCE"/>
            <w:noWrap/>
          </w:tcPr>
          <w:p w14:paraId="16DA144B" w14:textId="77777777" w:rsidR="003E1D81" w:rsidRDefault="00EB481C">
            <w:pPr>
              <w:pStyle w:val="P68B1DB1-Normal13"/>
              <w:spacing w:after="0" w:line="240" w:lineRule="auto"/>
              <w:jc w:val="center"/>
              <w:rPr>
                <w:rFonts w:cs="Times New Roman"/>
                <w:noProof/>
              </w:rPr>
            </w:pPr>
            <w:r>
              <w:rPr>
                <w:noProof/>
              </w:rPr>
              <w:t>C14.I3</w:t>
            </w:r>
          </w:p>
        </w:tc>
        <w:tc>
          <w:tcPr>
            <w:tcW w:w="850" w:type="dxa"/>
            <w:shd w:val="clear" w:color="auto" w:fill="C6EFCE"/>
            <w:noWrap/>
          </w:tcPr>
          <w:p w14:paraId="47493A6B" w14:textId="77777777" w:rsidR="003E1D81" w:rsidRDefault="00EB481C">
            <w:pPr>
              <w:pStyle w:val="P68B1DB1-Normal13"/>
              <w:spacing w:after="0" w:line="240" w:lineRule="auto"/>
              <w:jc w:val="center"/>
              <w:rPr>
                <w:rFonts w:cs="Times New Roman"/>
                <w:noProof/>
              </w:rPr>
            </w:pPr>
            <w:r>
              <w:rPr>
                <w:noProof/>
              </w:rPr>
              <w:t>T</w:t>
            </w:r>
          </w:p>
        </w:tc>
        <w:tc>
          <w:tcPr>
            <w:tcW w:w="1418" w:type="dxa"/>
            <w:shd w:val="clear" w:color="auto" w:fill="C6EFCE"/>
            <w:noWrap/>
          </w:tcPr>
          <w:p w14:paraId="5F52E50C" w14:textId="77777777" w:rsidR="003E1D81" w:rsidRDefault="00EB481C">
            <w:pPr>
              <w:pStyle w:val="P68B1DB1-Normal13"/>
              <w:spacing w:after="0" w:line="240" w:lineRule="auto"/>
              <w:rPr>
                <w:rFonts w:cs="Times New Roman"/>
                <w:noProof/>
              </w:rPr>
            </w:pPr>
            <w:r>
              <w:rPr>
                <w:noProof/>
              </w:rPr>
              <w:t xml:space="preserve">A félszigeten kívüli régiókban olyan kedvezményezettek, amelyek versenyképességük és a nemzetközi piacok változásaihoz való alkalmazkodási képességük javítására irányuló </w:t>
            </w:r>
            <w:r>
              <w:rPr>
                <w:noProof/>
              </w:rPr>
              <w:t>projekteket hajtottak végre</w:t>
            </w:r>
          </w:p>
        </w:tc>
        <w:tc>
          <w:tcPr>
            <w:tcW w:w="1276" w:type="dxa"/>
            <w:shd w:val="clear" w:color="auto" w:fill="C6EFCE"/>
            <w:noWrap/>
          </w:tcPr>
          <w:p w14:paraId="0A29F6D2" w14:textId="77777777" w:rsidR="003E1D81" w:rsidRDefault="00EB481C">
            <w:pPr>
              <w:pStyle w:val="P68B1DB1-Normal13"/>
              <w:spacing w:after="0" w:line="240" w:lineRule="auto"/>
              <w:jc w:val="center"/>
              <w:rPr>
                <w:rFonts w:cs="Times New Roman"/>
                <w:noProof/>
              </w:rPr>
            </w:pPr>
            <w:r>
              <w:rPr>
                <w:noProof/>
              </w:rPr>
              <w:t>–</w:t>
            </w:r>
          </w:p>
        </w:tc>
        <w:tc>
          <w:tcPr>
            <w:tcW w:w="850" w:type="dxa"/>
            <w:shd w:val="clear" w:color="auto" w:fill="C6EFCE"/>
            <w:noWrap/>
          </w:tcPr>
          <w:p w14:paraId="06EE9AA1" w14:textId="77777777" w:rsidR="003E1D81" w:rsidRDefault="00EB481C">
            <w:pPr>
              <w:pStyle w:val="P68B1DB1-Normal13"/>
              <w:spacing w:after="0" w:line="240" w:lineRule="auto"/>
              <w:jc w:val="right"/>
              <w:rPr>
                <w:rFonts w:cs="Times New Roman"/>
                <w:noProof/>
              </w:rPr>
            </w:pPr>
            <w:r>
              <w:rPr>
                <w:noProof/>
              </w:rPr>
              <w:t>Szám</w:t>
            </w:r>
          </w:p>
        </w:tc>
        <w:tc>
          <w:tcPr>
            <w:tcW w:w="992" w:type="dxa"/>
            <w:shd w:val="clear" w:color="auto" w:fill="C6EFCE"/>
            <w:noWrap/>
          </w:tcPr>
          <w:p w14:paraId="0AAEB8C8" w14:textId="77777777" w:rsidR="003E1D81" w:rsidRDefault="00EB481C">
            <w:pPr>
              <w:pStyle w:val="P68B1DB1-Normal13"/>
              <w:spacing w:after="0" w:line="240" w:lineRule="auto"/>
              <w:jc w:val="right"/>
              <w:rPr>
                <w:rFonts w:cs="Times New Roman"/>
                <w:noProof/>
              </w:rPr>
            </w:pPr>
            <w:r>
              <w:rPr>
                <w:noProof/>
              </w:rPr>
              <w:t>0</w:t>
            </w:r>
          </w:p>
        </w:tc>
        <w:tc>
          <w:tcPr>
            <w:tcW w:w="567" w:type="dxa"/>
            <w:shd w:val="clear" w:color="auto" w:fill="C6EFCE"/>
            <w:noWrap/>
          </w:tcPr>
          <w:p w14:paraId="6BF37D29" w14:textId="77777777" w:rsidR="003E1D81" w:rsidRDefault="00EB481C">
            <w:pPr>
              <w:pStyle w:val="P68B1DB1-Normal13"/>
              <w:spacing w:after="0" w:line="240" w:lineRule="auto"/>
              <w:jc w:val="right"/>
              <w:rPr>
                <w:rFonts w:cs="Times New Roman"/>
                <w:noProof/>
              </w:rPr>
            </w:pPr>
            <w:r>
              <w:rPr>
                <w:noProof/>
              </w:rPr>
              <w:t>400</w:t>
            </w:r>
          </w:p>
        </w:tc>
        <w:tc>
          <w:tcPr>
            <w:tcW w:w="426" w:type="dxa"/>
            <w:shd w:val="clear" w:color="auto" w:fill="C6EFCE"/>
            <w:noWrap/>
          </w:tcPr>
          <w:p w14:paraId="77158A0C" w14:textId="77777777" w:rsidR="003E1D81" w:rsidRDefault="00EB481C">
            <w:pPr>
              <w:pStyle w:val="P68B1DB1-Normal13"/>
              <w:spacing w:after="0" w:line="240" w:lineRule="auto"/>
              <w:jc w:val="center"/>
              <w:rPr>
                <w:rFonts w:cs="Times New Roman"/>
                <w:noProof/>
              </w:rPr>
            </w:pPr>
            <w:r>
              <w:rPr>
                <w:noProof/>
              </w:rPr>
              <w:t>KÉRDÉS</w:t>
            </w:r>
          </w:p>
        </w:tc>
        <w:tc>
          <w:tcPr>
            <w:tcW w:w="708" w:type="dxa"/>
            <w:shd w:val="clear" w:color="auto" w:fill="C6EFCE"/>
            <w:noWrap/>
          </w:tcPr>
          <w:p w14:paraId="105DEDD1" w14:textId="77777777" w:rsidR="003E1D81" w:rsidRDefault="00EB481C">
            <w:pPr>
              <w:pStyle w:val="P68B1DB1-Normal13"/>
              <w:spacing w:after="0" w:line="240" w:lineRule="auto"/>
              <w:jc w:val="center"/>
              <w:rPr>
                <w:rFonts w:cs="Times New Roman"/>
                <w:noProof/>
              </w:rPr>
            </w:pPr>
            <w:r>
              <w:rPr>
                <w:noProof/>
              </w:rPr>
              <w:t>2025</w:t>
            </w:r>
          </w:p>
        </w:tc>
        <w:tc>
          <w:tcPr>
            <w:tcW w:w="6237" w:type="dxa"/>
            <w:shd w:val="clear" w:color="auto" w:fill="C6EFCE"/>
            <w:noWrap/>
          </w:tcPr>
          <w:p w14:paraId="7E791D59" w14:textId="77777777" w:rsidR="003E1D81" w:rsidRDefault="00EB481C">
            <w:pPr>
              <w:pStyle w:val="P68B1DB1-Normal13"/>
              <w:spacing w:after="0" w:line="240" w:lineRule="auto"/>
              <w:rPr>
                <w:rFonts w:cs="Times New Roman"/>
                <w:noProof/>
              </w:rPr>
            </w:pPr>
            <w:r>
              <w:rPr>
                <w:noProof/>
              </w:rPr>
              <w:t>Legalább 400 kedvezményezett a félszigeten kívüli régiókban (Baleár-szigetek, Kanári-szigetek, Ceuta és Melilla), amelyek versenyképességük és a nemzetközi piacok változásaihoz való alkalmazkodási képess</w:t>
            </w:r>
            <w:r>
              <w:rPr>
                <w:noProof/>
              </w:rPr>
              <w:t>égük javítására irányuló projekteket hajtottak végre.</w:t>
            </w:r>
          </w:p>
        </w:tc>
      </w:tr>
      <w:tr w:rsidR="003E1D81" w14:paraId="7F8EA3C9" w14:textId="77777777">
        <w:trPr>
          <w:trHeight w:val="881"/>
        </w:trPr>
        <w:tc>
          <w:tcPr>
            <w:tcW w:w="709" w:type="dxa"/>
            <w:shd w:val="clear" w:color="auto" w:fill="C6EFCE"/>
            <w:noWrap/>
          </w:tcPr>
          <w:p w14:paraId="385EAC47" w14:textId="77777777" w:rsidR="003E1D81" w:rsidRDefault="00EB481C">
            <w:pPr>
              <w:pStyle w:val="P68B1DB1-Normal13"/>
              <w:spacing w:after="0" w:line="240" w:lineRule="auto"/>
              <w:jc w:val="center"/>
              <w:rPr>
                <w:rFonts w:cs="Times New Roman"/>
                <w:noProof/>
              </w:rPr>
            </w:pPr>
            <w:r>
              <w:rPr>
                <w:noProof/>
              </w:rPr>
              <w:t>225</w:t>
            </w:r>
          </w:p>
        </w:tc>
        <w:tc>
          <w:tcPr>
            <w:tcW w:w="851" w:type="dxa"/>
            <w:shd w:val="clear" w:color="auto" w:fill="C6EFCE"/>
            <w:noWrap/>
          </w:tcPr>
          <w:p w14:paraId="2303E8C6" w14:textId="77777777" w:rsidR="003E1D81" w:rsidRDefault="00EB481C">
            <w:pPr>
              <w:pStyle w:val="P68B1DB1-Normal13"/>
              <w:spacing w:after="0" w:line="240" w:lineRule="auto"/>
              <w:jc w:val="center"/>
              <w:rPr>
                <w:rFonts w:cs="Times New Roman"/>
                <w:noProof/>
              </w:rPr>
            </w:pPr>
            <w:r>
              <w:rPr>
                <w:noProof/>
              </w:rPr>
              <w:t>C14.I4</w:t>
            </w:r>
          </w:p>
        </w:tc>
        <w:tc>
          <w:tcPr>
            <w:tcW w:w="850" w:type="dxa"/>
            <w:shd w:val="clear" w:color="auto" w:fill="C6EFCE"/>
            <w:noWrap/>
          </w:tcPr>
          <w:p w14:paraId="6805CA9F" w14:textId="77777777" w:rsidR="003E1D81" w:rsidRDefault="00EB481C">
            <w:pPr>
              <w:pStyle w:val="P68B1DB1-Normal13"/>
              <w:spacing w:after="0" w:line="240" w:lineRule="auto"/>
              <w:jc w:val="center"/>
              <w:rPr>
                <w:rFonts w:cs="Times New Roman"/>
                <w:noProof/>
              </w:rPr>
            </w:pPr>
            <w:r>
              <w:rPr>
                <w:noProof/>
              </w:rPr>
              <w:t>T</w:t>
            </w:r>
          </w:p>
        </w:tc>
        <w:tc>
          <w:tcPr>
            <w:tcW w:w="1418" w:type="dxa"/>
            <w:shd w:val="clear" w:color="auto" w:fill="C6EFCE"/>
            <w:noWrap/>
          </w:tcPr>
          <w:p w14:paraId="413B15AC" w14:textId="77777777" w:rsidR="003E1D81" w:rsidRDefault="00EB481C">
            <w:pPr>
              <w:pStyle w:val="P68B1DB1-Normal13"/>
              <w:spacing w:after="0" w:line="240" w:lineRule="auto"/>
              <w:rPr>
                <w:rFonts w:cs="Times New Roman"/>
                <w:noProof/>
              </w:rPr>
            </w:pPr>
            <w:r>
              <w:rPr>
                <w:noProof/>
              </w:rPr>
              <w:t>Nagy turisztikai beáramlású helyi területeken található kereskedelmi területekre irányuló projektek</w:t>
            </w:r>
          </w:p>
        </w:tc>
        <w:tc>
          <w:tcPr>
            <w:tcW w:w="1276" w:type="dxa"/>
            <w:shd w:val="clear" w:color="auto" w:fill="C6EFCE"/>
            <w:noWrap/>
          </w:tcPr>
          <w:p w14:paraId="12BB2E25" w14:textId="77777777" w:rsidR="003E1D81" w:rsidRDefault="00EB481C">
            <w:pPr>
              <w:pStyle w:val="P68B1DB1-Normal13"/>
              <w:spacing w:after="0" w:line="240" w:lineRule="auto"/>
              <w:jc w:val="center"/>
              <w:rPr>
                <w:rFonts w:cs="Times New Roman"/>
                <w:noProof/>
              </w:rPr>
            </w:pPr>
            <w:r>
              <w:rPr>
                <w:noProof/>
              </w:rPr>
              <w:t> </w:t>
            </w:r>
          </w:p>
        </w:tc>
        <w:tc>
          <w:tcPr>
            <w:tcW w:w="850" w:type="dxa"/>
            <w:shd w:val="clear" w:color="auto" w:fill="C6EFCE"/>
            <w:noWrap/>
          </w:tcPr>
          <w:p w14:paraId="31E5FFEF" w14:textId="77777777" w:rsidR="003E1D81" w:rsidRDefault="00EB481C">
            <w:pPr>
              <w:pStyle w:val="P68B1DB1-Normal13"/>
              <w:spacing w:after="0" w:line="240" w:lineRule="auto"/>
              <w:jc w:val="right"/>
              <w:rPr>
                <w:rFonts w:cs="Times New Roman"/>
                <w:noProof/>
              </w:rPr>
            </w:pPr>
            <w:r>
              <w:rPr>
                <w:noProof/>
              </w:rPr>
              <w:t>Szám</w:t>
            </w:r>
          </w:p>
        </w:tc>
        <w:tc>
          <w:tcPr>
            <w:tcW w:w="992" w:type="dxa"/>
            <w:shd w:val="clear" w:color="auto" w:fill="C6EFCE"/>
            <w:noWrap/>
          </w:tcPr>
          <w:p w14:paraId="5F983A08" w14:textId="77777777" w:rsidR="003E1D81" w:rsidRDefault="00EB481C">
            <w:pPr>
              <w:pStyle w:val="P68B1DB1-Normal13"/>
              <w:spacing w:after="0" w:line="240" w:lineRule="auto"/>
              <w:jc w:val="right"/>
              <w:rPr>
                <w:rFonts w:cs="Times New Roman"/>
                <w:noProof/>
              </w:rPr>
            </w:pPr>
            <w:r>
              <w:rPr>
                <w:noProof/>
              </w:rPr>
              <w:t>0</w:t>
            </w:r>
          </w:p>
        </w:tc>
        <w:tc>
          <w:tcPr>
            <w:tcW w:w="567" w:type="dxa"/>
            <w:shd w:val="clear" w:color="auto" w:fill="C6EFCE"/>
            <w:noWrap/>
          </w:tcPr>
          <w:p w14:paraId="6DF72650" w14:textId="77777777" w:rsidR="003E1D81" w:rsidRDefault="00EB481C">
            <w:pPr>
              <w:pStyle w:val="P68B1DB1-Normal13"/>
              <w:spacing w:after="0" w:line="240" w:lineRule="auto"/>
              <w:jc w:val="right"/>
              <w:rPr>
                <w:rFonts w:cs="Times New Roman"/>
                <w:noProof/>
              </w:rPr>
            </w:pPr>
            <w:r>
              <w:rPr>
                <w:noProof/>
              </w:rPr>
              <w:t>60</w:t>
            </w:r>
          </w:p>
        </w:tc>
        <w:tc>
          <w:tcPr>
            <w:tcW w:w="426" w:type="dxa"/>
            <w:shd w:val="clear" w:color="auto" w:fill="C6EFCE"/>
            <w:noWrap/>
          </w:tcPr>
          <w:p w14:paraId="3D85A9FF" w14:textId="77777777" w:rsidR="003E1D81" w:rsidRDefault="00EB481C">
            <w:pPr>
              <w:pStyle w:val="P68B1DB1-Normal13"/>
              <w:spacing w:after="0" w:line="240" w:lineRule="auto"/>
              <w:jc w:val="center"/>
              <w:rPr>
                <w:rFonts w:cs="Times New Roman"/>
                <w:noProof/>
              </w:rPr>
            </w:pPr>
            <w:r>
              <w:rPr>
                <w:noProof/>
              </w:rPr>
              <w:t>NEGYEDÉV</w:t>
            </w:r>
          </w:p>
        </w:tc>
        <w:tc>
          <w:tcPr>
            <w:tcW w:w="708" w:type="dxa"/>
            <w:shd w:val="clear" w:color="auto" w:fill="C6EFCE"/>
            <w:noWrap/>
          </w:tcPr>
          <w:p w14:paraId="4BD77ADF" w14:textId="77777777" w:rsidR="003E1D81" w:rsidRDefault="00EB481C">
            <w:pPr>
              <w:pStyle w:val="P68B1DB1-Normal13"/>
              <w:spacing w:after="0" w:line="240" w:lineRule="auto"/>
              <w:jc w:val="center"/>
              <w:rPr>
                <w:rFonts w:cs="Times New Roman"/>
                <w:noProof/>
              </w:rPr>
            </w:pPr>
            <w:r>
              <w:rPr>
                <w:noProof/>
              </w:rPr>
              <w:t>2024</w:t>
            </w:r>
          </w:p>
        </w:tc>
        <w:tc>
          <w:tcPr>
            <w:tcW w:w="6237" w:type="dxa"/>
            <w:shd w:val="clear" w:color="auto" w:fill="C6EFCE"/>
            <w:noWrap/>
          </w:tcPr>
          <w:p w14:paraId="249191AF" w14:textId="77777777" w:rsidR="003E1D81" w:rsidRDefault="00EB481C">
            <w:pPr>
              <w:pStyle w:val="P68B1DB1-Normal13"/>
              <w:spacing w:after="0" w:line="240" w:lineRule="auto"/>
              <w:rPr>
                <w:rFonts w:cs="Times New Roman"/>
                <w:noProof/>
              </w:rPr>
            </w:pPr>
            <w:r>
              <w:rPr>
                <w:noProof/>
              </w:rPr>
              <w:t xml:space="preserve">A jelentős idegenforgalmi beáramlású helyi területeken </w:t>
            </w:r>
            <w:r>
              <w:rPr>
                <w:noProof/>
              </w:rPr>
              <w:t>található kereskedelmi területekre irányuló legalább 60 projekt lezárult, összhangban a jelentős károkozás elkerülését célzó technikai iránymutatással (2021/C58/01) a kizárási lista és a vonatkozó uniós és nemzeti környezetvédelmi jogszabályoknak való megf</w:t>
            </w:r>
            <w:r>
              <w:rPr>
                <w:noProof/>
              </w:rPr>
              <w:t>elelés követelménye révén.</w:t>
            </w:r>
          </w:p>
        </w:tc>
      </w:tr>
      <w:tr w:rsidR="003E1D81" w14:paraId="16C4192C" w14:textId="77777777">
        <w:trPr>
          <w:trHeight w:val="881"/>
        </w:trPr>
        <w:tc>
          <w:tcPr>
            <w:tcW w:w="709" w:type="dxa"/>
            <w:shd w:val="clear" w:color="auto" w:fill="C6EFCE"/>
            <w:noWrap/>
          </w:tcPr>
          <w:p w14:paraId="1E2E6596" w14:textId="77777777" w:rsidR="003E1D81" w:rsidRDefault="00EB481C">
            <w:pPr>
              <w:pStyle w:val="P68B1DB1-Normal13"/>
              <w:spacing w:after="0" w:line="240" w:lineRule="auto"/>
              <w:jc w:val="center"/>
              <w:rPr>
                <w:rFonts w:cs="Times New Roman"/>
                <w:noProof/>
              </w:rPr>
            </w:pPr>
            <w:r>
              <w:rPr>
                <w:noProof/>
              </w:rPr>
              <w:t>226</w:t>
            </w:r>
          </w:p>
        </w:tc>
        <w:tc>
          <w:tcPr>
            <w:tcW w:w="851" w:type="dxa"/>
            <w:shd w:val="clear" w:color="auto" w:fill="C6EFCE"/>
            <w:noWrap/>
          </w:tcPr>
          <w:p w14:paraId="74FBDFDD" w14:textId="77777777" w:rsidR="003E1D81" w:rsidRDefault="00EB481C">
            <w:pPr>
              <w:pStyle w:val="P68B1DB1-Normal13"/>
              <w:spacing w:after="0" w:line="240" w:lineRule="auto"/>
              <w:jc w:val="center"/>
              <w:rPr>
                <w:rFonts w:cs="Times New Roman"/>
                <w:noProof/>
              </w:rPr>
            </w:pPr>
            <w:r>
              <w:rPr>
                <w:noProof/>
              </w:rPr>
              <w:t>C14.I4</w:t>
            </w:r>
          </w:p>
        </w:tc>
        <w:tc>
          <w:tcPr>
            <w:tcW w:w="850" w:type="dxa"/>
            <w:shd w:val="clear" w:color="auto" w:fill="C6EFCE"/>
            <w:noWrap/>
          </w:tcPr>
          <w:p w14:paraId="7DC82036" w14:textId="77777777" w:rsidR="003E1D81" w:rsidRDefault="00EB481C">
            <w:pPr>
              <w:pStyle w:val="P68B1DB1-Normal13"/>
              <w:spacing w:after="0" w:line="240" w:lineRule="auto"/>
              <w:jc w:val="center"/>
              <w:rPr>
                <w:rFonts w:cs="Times New Roman"/>
                <w:noProof/>
              </w:rPr>
            </w:pPr>
            <w:r>
              <w:rPr>
                <w:noProof/>
              </w:rPr>
              <w:t>T</w:t>
            </w:r>
          </w:p>
        </w:tc>
        <w:tc>
          <w:tcPr>
            <w:tcW w:w="1418" w:type="dxa"/>
            <w:shd w:val="clear" w:color="auto" w:fill="C6EFCE"/>
            <w:noWrap/>
          </w:tcPr>
          <w:p w14:paraId="0188AC6F" w14:textId="77777777" w:rsidR="003E1D81" w:rsidRDefault="00EB481C">
            <w:pPr>
              <w:pStyle w:val="P68B1DB1-Normal13"/>
              <w:spacing w:after="0" w:line="240" w:lineRule="auto"/>
              <w:rPr>
                <w:rFonts w:cs="Times New Roman"/>
                <w:noProof/>
              </w:rPr>
            </w:pPr>
            <w:r>
              <w:rPr>
                <w:noProof/>
              </w:rPr>
              <w:t xml:space="preserve">Az idegenforgalmi stratégiával összhangban szállított turisztikai termékek </w:t>
            </w:r>
          </w:p>
        </w:tc>
        <w:tc>
          <w:tcPr>
            <w:tcW w:w="1276" w:type="dxa"/>
            <w:shd w:val="clear" w:color="auto" w:fill="C6EFCE"/>
            <w:noWrap/>
          </w:tcPr>
          <w:p w14:paraId="734BD8B1" w14:textId="77777777" w:rsidR="003E1D81" w:rsidRDefault="00EB481C">
            <w:pPr>
              <w:pStyle w:val="P68B1DB1-Normal13"/>
              <w:spacing w:after="0" w:line="240" w:lineRule="auto"/>
              <w:jc w:val="center"/>
              <w:rPr>
                <w:rFonts w:cs="Times New Roman"/>
                <w:noProof/>
              </w:rPr>
            </w:pPr>
            <w:r>
              <w:rPr>
                <w:noProof/>
              </w:rPr>
              <w:t>–</w:t>
            </w:r>
          </w:p>
        </w:tc>
        <w:tc>
          <w:tcPr>
            <w:tcW w:w="850" w:type="dxa"/>
            <w:shd w:val="clear" w:color="auto" w:fill="C6EFCE"/>
            <w:noWrap/>
          </w:tcPr>
          <w:p w14:paraId="3FC4EB3F" w14:textId="77777777" w:rsidR="003E1D81" w:rsidRDefault="00EB481C">
            <w:pPr>
              <w:pStyle w:val="P68B1DB1-Normal13"/>
              <w:spacing w:after="0" w:line="240" w:lineRule="auto"/>
              <w:jc w:val="right"/>
              <w:rPr>
                <w:rFonts w:cs="Times New Roman"/>
                <w:noProof/>
              </w:rPr>
            </w:pPr>
            <w:r>
              <w:rPr>
                <w:noProof/>
              </w:rPr>
              <w:t>Szám</w:t>
            </w:r>
          </w:p>
        </w:tc>
        <w:tc>
          <w:tcPr>
            <w:tcW w:w="992" w:type="dxa"/>
            <w:shd w:val="clear" w:color="auto" w:fill="C6EFCE"/>
            <w:noWrap/>
          </w:tcPr>
          <w:p w14:paraId="0081B951" w14:textId="77777777" w:rsidR="003E1D81" w:rsidRDefault="00EB481C">
            <w:pPr>
              <w:pStyle w:val="P68B1DB1-Normal13"/>
              <w:spacing w:after="0" w:line="240" w:lineRule="auto"/>
              <w:jc w:val="right"/>
              <w:rPr>
                <w:rFonts w:cs="Times New Roman"/>
                <w:noProof/>
              </w:rPr>
            </w:pPr>
            <w:r>
              <w:rPr>
                <w:noProof/>
              </w:rPr>
              <w:t>0</w:t>
            </w:r>
          </w:p>
        </w:tc>
        <w:tc>
          <w:tcPr>
            <w:tcW w:w="567" w:type="dxa"/>
            <w:shd w:val="clear" w:color="auto" w:fill="C6EFCE"/>
            <w:noWrap/>
          </w:tcPr>
          <w:p w14:paraId="0BAEFB59" w14:textId="77777777" w:rsidR="003E1D81" w:rsidRDefault="00EB481C">
            <w:pPr>
              <w:pStyle w:val="P68B1DB1-Normal13"/>
              <w:spacing w:after="0" w:line="240" w:lineRule="auto"/>
              <w:jc w:val="right"/>
              <w:rPr>
                <w:rFonts w:cs="Times New Roman"/>
                <w:noProof/>
              </w:rPr>
            </w:pPr>
            <w:r>
              <w:rPr>
                <w:noProof/>
              </w:rPr>
              <w:t>45</w:t>
            </w:r>
          </w:p>
        </w:tc>
        <w:tc>
          <w:tcPr>
            <w:tcW w:w="426" w:type="dxa"/>
            <w:shd w:val="clear" w:color="auto" w:fill="C6EFCE"/>
            <w:noWrap/>
          </w:tcPr>
          <w:p w14:paraId="52ED2B2C" w14:textId="77777777" w:rsidR="003E1D81" w:rsidRDefault="00EB481C">
            <w:pPr>
              <w:pStyle w:val="P68B1DB1-Normal13"/>
              <w:spacing w:after="0" w:line="240" w:lineRule="auto"/>
              <w:jc w:val="center"/>
              <w:rPr>
                <w:rFonts w:cs="Times New Roman"/>
                <w:noProof/>
              </w:rPr>
            </w:pPr>
            <w:r>
              <w:rPr>
                <w:noProof/>
              </w:rPr>
              <w:t>KÉRDÉS</w:t>
            </w:r>
          </w:p>
        </w:tc>
        <w:tc>
          <w:tcPr>
            <w:tcW w:w="708" w:type="dxa"/>
            <w:shd w:val="clear" w:color="auto" w:fill="C6EFCE"/>
            <w:noWrap/>
          </w:tcPr>
          <w:p w14:paraId="6F9E11E8" w14:textId="77777777" w:rsidR="003E1D81" w:rsidRDefault="00EB481C">
            <w:pPr>
              <w:pStyle w:val="P68B1DB1-Normal13"/>
              <w:spacing w:after="0" w:line="240" w:lineRule="auto"/>
              <w:jc w:val="center"/>
              <w:rPr>
                <w:rFonts w:cs="Times New Roman"/>
                <w:noProof/>
              </w:rPr>
            </w:pPr>
            <w:r>
              <w:rPr>
                <w:noProof/>
              </w:rPr>
              <w:t>2025</w:t>
            </w:r>
          </w:p>
        </w:tc>
        <w:tc>
          <w:tcPr>
            <w:tcW w:w="6237" w:type="dxa"/>
            <w:shd w:val="clear" w:color="auto" w:fill="C6EFCE"/>
            <w:noWrap/>
          </w:tcPr>
          <w:p w14:paraId="1E21EE6A" w14:textId="77777777" w:rsidR="003E1D81" w:rsidRDefault="00EB481C">
            <w:pPr>
              <w:pStyle w:val="P68B1DB1-Normal13"/>
              <w:spacing w:after="0" w:line="240" w:lineRule="auto"/>
              <w:rPr>
                <w:rFonts w:cs="Times New Roman"/>
                <w:noProof/>
              </w:rPr>
            </w:pPr>
            <w:r>
              <w:rPr>
                <w:noProof/>
              </w:rPr>
              <w:t>Legalább 45 új turisztikai termék értékesítése a fenntartható turisztikai termékfejlesztési stratégiával összhangban, a jelentős károkozás elkerülését célzó technikai iránymutatással (2021/C58/01) összhangban, kizárási lista és a vonatkozó uniós és nemzeti</w:t>
            </w:r>
            <w:r>
              <w:rPr>
                <w:noProof/>
              </w:rPr>
              <w:t xml:space="preserve"> környezetvédelmi jogszabályoknak való megfelelés követelménye révén. </w:t>
            </w:r>
          </w:p>
        </w:tc>
      </w:tr>
      <w:tr w:rsidR="003E1D81" w14:paraId="1C686068" w14:textId="77777777">
        <w:trPr>
          <w:trHeight w:val="881"/>
        </w:trPr>
        <w:tc>
          <w:tcPr>
            <w:tcW w:w="709" w:type="dxa"/>
            <w:shd w:val="clear" w:color="auto" w:fill="C6EFCE"/>
            <w:noWrap/>
          </w:tcPr>
          <w:p w14:paraId="7C067D74" w14:textId="77777777" w:rsidR="003E1D81" w:rsidRDefault="00EB481C">
            <w:pPr>
              <w:pStyle w:val="P68B1DB1-Normal13"/>
              <w:spacing w:after="0" w:line="240" w:lineRule="auto"/>
              <w:jc w:val="center"/>
              <w:rPr>
                <w:rFonts w:cs="Times New Roman"/>
                <w:noProof/>
              </w:rPr>
            </w:pPr>
            <w:r>
              <w:rPr>
                <w:noProof/>
              </w:rPr>
              <w:t>227</w:t>
            </w:r>
          </w:p>
        </w:tc>
        <w:tc>
          <w:tcPr>
            <w:tcW w:w="851" w:type="dxa"/>
            <w:shd w:val="clear" w:color="auto" w:fill="C6EFCE"/>
            <w:noWrap/>
          </w:tcPr>
          <w:p w14:paraId="2007CE7E" w14:textId="77777777" w:rsidR="003E1D81" w:rsidRDefault="00EB481C">
            <w:pPr>
              <w:pStyle w:val="P68B1DB1-Normal13"/>
              <w:spacing w:after="0" w:line="240" w:lineRule="auto"/>
              <w:jc w:val="center"/>
              <w:rPr>
                <w:rFonts w:cs="Times New Roman"/>
                <w:noProof/>
              </w:rPr>
            </w:pPr>
            <w:r>
              <w:rPr>
                <w:noProof/>
              </w:rPr>
              <w:t>C14.I4</w:t>
            </w:r>
          </w:p>
        </w:tc>
        <w:tc>
          <w:tcPr>
            <w:tcW w:w="850" w:type="dxa"/>
            <w:shd w:val="clear" w:color="auto" w:fill="C6EFCE"/>
            <w:noWrap/>
          </w:tcPr>
          <w:p w14:paraId="66897B48" w14:textId="77777777" w:rsidR="003E1D81" w:rsidRDefault="00EB481C">
            <w:pPr>
              <w:pStyle w:val="P68B1DB1-Normal13"/>
              <w:spacing w:after="0" w:line="240" w:lineRule="auto"/>
              <w:jc w:val="center"/>
              <w:rPr>
                <w:rFonts w:cs="Times New Roman"/>
                <w:noProof/>
              </w:rPr>
            </w:pPr>
            <w:r>
              <w:rPr>
                <w:noProof/>
              </w:rPr>
              <w:t>T</w:t>
            </w:r>
          </w:p>
        </w:tc>
        <w:tc>
          <w:tcPr>
            <w:tcW w:w="1418" w:type="dxa"/>
            <w:shd w:val="clear" w:color="auto" w:fill="C6EFCE"/>
            <w:noWrap/>
          </w:tcPr>
          <w:p w14:paraId="434B6C3F" w14:textId="77777777" w:rsidR="003E1D81" w:rsidRDefault="00EB481C">
            <w:pPr>
              <w:pStyle w:val="P68B1DB1-Normal13"/>
              <w:spacing w:after="0" w:line="240" w:lineRule="auto"/>
              <w:rPr>
                <w:rFonts w:cs="Times New Roman"/>
                <w:noProof/>
              </w:rPr>
            </w:pPr>
            <w:r>
              <w:rPr>
                <w:noProof/>
              </w:rPr>
              <w:t>Az éves hulladék- vagy energiafogyasztásukat csökkentő turisztikai létesítmények</w:t>
            </w:r>
          </w:p>
        </w:tc>
        <w:tc>
          <w:tcPr>
            <w:tcW w:w="1276" w:type="dxa"/>
            <w:shd w:val="clear" w:color="auto" w:fill="C6EFCE"/>
            <w:noWrap/>
          </w:tcPr>
          <w:p w14:paraId="3F8486BA" w14:textId="77777777" w:rsidR="003E1D81" w:rsidRDefault="00EB481C">
            <w:pPr>
              <w:pStyle w:val="P68B1DB1-Normal13"/>
              <w:spacing w:after="0" w:line="240" w:lineRule="auto"/>
              <w:jc w:val="center"/>
              <w:rPr>
                <w:rFonts w:cs="Times New Roman"/>
                <w:noProof/>
              </w:rPr>
            </w:pPr>
            <w:r>
              <w:rPr>
                <w:noProof/>
              </w:rPr>
              <w:t>–</w:t>
            </w:r>
          </w:p>
        </w:tc>
        <w:tc>
          <w:tcPr>
            <w:tcW w:w="850" w:type="dxa"/>
            <w:shd w:val="clear" w:color="auto" w:fill="C6EFCE"/>
            <w:noWrap/>
          </w:tcPr>
          <w:p w14:paraId="5A315F3E" w14:textId="77777777" w:rsidR="003E1D81" w:rsidRDefault="00EB481C">
            <w:pPr>
              <w:pStyle w:val="P68B1DB1-Normal13"/>
              <w:spacing w:after="0" w:line="240" w:lineRule="auto"/>
              <w:jc w:val="right"/>
              <w:rPr>
                <w:rFonts w:cs="Times New Roman"/>
                <w:noProof/>
              </w:rPr>
            </w:pPr>
            <w:r>
              <w:rPr>
                <w:noProof/>
              </w:rPr>
              <w:t>Szám</w:t>
            </w:r>
          </w:p>
        </w:tc>
        <w:tc>
          <w:tcPr>
            <w:tcW w:w="992" w:type="dxa"/>
            <w:shd w:val="clear" w:color="auto" w:fill="C6EFCE"/>
            <w:noWrap/>
          </w:tcPr>
          <w:p w14:paraId="331FA6EA" w14:textId="77777777" w:rsidR="003E1D81" w:rsidRDefault="00EB481C">
            <w:pPr>
              <w:pStyle w:val="P68B1DB1-Normal13"/>
              <w:spacing w:after="0" w:line="240" w:lineRule="auto"/>
              <w:jc w:val="right"/>
              <w:rPr>
                <w:rFonts w:cs="Times New Roman"/>
                <w:noProof/>
              </w:rPr>
            </w:pPr>
            <w:r>
              <w:rPr>
                <w:noProof/>
              </w:rPr>
              <w:t>0</w:t>
            </w:r>
          </w:p>
        </w:tc>
        <w:tc>
          <w:tcPr>
            <w:tcW w:w="567" w:type="dxa"/>
            <w:shd w:val="clear" w:color="auto" w:fill="C6EFCE"/>
            <w:noWrap/>
          </w:tcPr>
          <w:p w14:paraId="60532D3B" w14:textId="77777777" w:rsidR="003E1D81" w:rsidRDefault="00EB481C">
            <w:pPr>
              <w:pStyle w:val="P68B1DB1-Normal13"/>
              <w:spacing w:after="0" w:line="240" w:lineRule="auto"/>
              <w:jc w:val="right"/>
              <w:rPr>
                <w:rFonts w:cs="Times New Roman"/>
                <w:noProof/>
              </w:rPr>
            </w:pPr>
            <w:r>
              <w:rPr>
                <w:noProof/>
              </w:rPr>
              <w:t>3 400</w:t>
            </w:r>
          </w:p>
        </w:tc>
        <w:tc>
          <w:tcPr>
            <w:tcW w:w="426" w:type="dxa"/>
            <w:shd w:val="clear" w:color="auto" w:fill="C6EFCE"/>
            <w:noWrap/>
          </w:tcPr>
          <w:p w14:paraId="71FB228C" w14:textId="77777777" w:rsidR="003E1D81" w:rsidRDefault="00EB481C">
            <w:pPr>
              <w:pStyle w:val="P68B1DB1-Normal13"/>
              <w:spacing w:after="0" w:line="240" w:lineRule="auto"/>
              <w:jc w:val="center"/>
              <w:rPr>
                <w:rFonts w:cs="Times New Roman"/>
                <w:noProof/>
              </w:rPr>
            </w:pPr>
            <w:r>
              <w:rPr>
                <w:noProof/>
              </w:rPr>
              <w:t>KÉRDÉS</w:t>
            </w:r>
          </w:p>
        </w:tc>
        <w:tc>
          <w:tcPr>
            <w:tcW w:w="708" w:type="dxa"/>
            <w:shd w:val="clear" w:color="auto" w:fill="C6EFCE"/>
            <w:noWrap/>
          </w:tcPr>
          <w:p w14:paraId="4A694733" w14:textId="77777777" w:rsidR="003E1D81" w:rsidRDefault="00EB481C">
            <w:pPr>
              <w:pStyle w:val="P68B1DB1-Normal13"/>
              <w:spacing w:after="0" w:line="240" w:lineRule="auto"/>
              <w:jc w:val="center"/>
              <w:rPr>
                <w:rFonts w:cs="Times New Roman"/>
                <w:noProof/>
              </w:rPr>
            </w:pPr>
            <w:r>
              <w:rPr>
                <w:noProof/>
              </w:rPr>
              <w:t>2025</w:t>
            </w:r>
          </w:p>
        </w:tc>
        <w:tc>
          <w:tcPr>
            <w:tcW w:w="6237" w:type="dxa"/>
            <w:shd w:val="clear" w:color="auto" w:fill="C6EFCE"/>
            <w:noWrap/>
          </w:tcPr>
          <w:p w14:paraId="43DD508F" w14:textId="77777777" w:rsidR="003E1D81" w:rsidRDefault="00EB481C">
            <w:pPr>
              <w:pStyle w:val="P68B1DB1-Normal13"/>
              <w:spacing w:after="0" w:line="240" w:lineRule="auto"/>
              <w:rPr>
                <w:rFonts w:cs="Times New Roman"/>
                <w:noProof/>
              </w:rPr>
            </w:pPr>
            <w:r>
              <w:rPr>
                <w:noProof/>
              </w:rPr>
              <w:t xml:space="preserve">Legalább 3400 turisztikai létesítmény hajtott végre olyan </w:t>
            </w:r>
            <w:r>
              <w:rPr>
                <w:noProof/>
              </w:rPr>
              <w:t>projekteket, amelyek célja éves hulladék- vagy energiafogyasztásuk csökkentése a jelentős károkozás elkerülését célzó technikai iránymutatásnak (2021/C58/01) megfelelően, egy kizárási lista és a vonatkozó uniós és nemzeti környezetvédelmi jogszabályoknak v</w:t>
            </w:r>
            <w:r>
              <w:rPr>
                <w:noProof/>
              </w:rPr>
              <w:t>aló megfelelés követelménye révén.</w:t>
            </w:r>
          </w:p>
        </w:tc>
      </w:tr>
      <w:tr w:rsidR="003E1D81" w14:paraId="5599F7AA" w14:textId="77777777">
        <w:trPr>
          <w:trHeight w:val="881"/>
        </w:trPr>
        <w:tc>
          <w:tcPr>
            <w:tcW w:w="709" w:type="dxa"/>
            <w:shd w:val="clear" w:color="auto" w:fill="C6EFCE"/>
            <w:noWrap/>
          </w:tcPr>
          <w:p w14:paraId="6B47432E" w14:textId="77777777" w:rsidR="003E1D81" w:rsidRDefault="00EB481C">
            <w:pPr>
              <w:pStyle w:val="P68B1DB1-Normal13"/>
              <w:spacing w:after="0" w:line="240" w:lineRule="auto"/>
              <w:jc w:val="center"/>
              <w:rPr>
                <w:rFonts w:cs="Times New Roman"/>
                <w:noProof/>
              </w:rPr>
            </w:pPr>
            <w:r>
              <w:rPr>
                <w:noProof/>
              </w:rPr>
              <w:t>228</w:t>
            </w:r>
          </w:p>
        </w:tc>
        <w:tc>
          <w:tcPr>
            <w:tcW w:w="851" w:type="dxa"/>
            <w:shd w:val="clear" w:color="auto" w:fill="C6EFCE"/>
            <w:noWrap/>
          </w:tcPr>
          <w:p w14:paraId="27E92DE7" w14:textId="77777777" w:rsidR="003E1D81" w:rsidRDefault="00EB481C">
            <w:pPr>
              <w:pStyle w:val="P68B1DB1-Normal13"/>
              <w:spacing w:after="0" w:line="240" w:lineRule="auto"/>
              <w:jc w:val="center"/>
              <w:rPr>
                <w:rFonts w:cs="Times New Roman"/>
                <w:noProof/>
              </w:rPr>
            </w:pPr>
            <w:r>
              <w:rPr>
                <w:noProof/>
              </w:rPr>
              <w:t>C14.I4</w:t>
            </w:r>
          </w:p>
        </w:tc>
        <w:tc>
          <w:tcPr>
            <w:tcW w:w="850" w:type="dxa"/>
            <w:shd w:val="clear" w:color="auto" w:fill="C6EFCE"/>
            <w:noWrap/>
          </w:tcPr>
          <w:p w14:paraId="3792C9DD" w14:textId="77777777" w:rsidR="003E1D81" w:rsidRDefault="00EB481C">
            <w:pPr>
              <w:pStyle w:val="P68B1DB1-Normal13"/>
              <w:spacing w:after="0" w:line="240" w:lineRule="auto"/>
              <w:jc w:val="center"/>
              <w:rPr>
                <w:rFonts w:cs="Times New Roman"/>
                <w:noProof/>
              </w:rPr>
            </w:pPr>
            <w:r>
              <w:rPr>
                <w:noProof/>
              </w:rPr>
              <w:t>T</w:t>
            </w:r>
          </w:p>
        </w:tc>
        <w:tc>
          <w:tcPr>
            <w:tcW w:w="1418" w:type="dxa"/>
            <w:shd w:val="clear" w:color="auto" w:fill="C6EFCE"/>
            <w:noWrap/>
          </w:tcPr>
          <w:p w14:paraId="1557000D" w14:textId="77777777" w:rsidR="003E1D81" w:rsidRDefault="00EB481C">
            <w:pPr>
              <w:pStyle w:val="P68B1DB1-Normal13"/>
              <w:spacing w:after="0" w:line="240" w:lineRule="auto"/>
              <w:rPr>
                <w:rFonts w:cs="Times New Roman"/>
                <w:noProof/>
              </w:rPr>
            </w:pPr>
            <w:r>
              <w:rPr>
                <w:noProof/>
              </w:rPr>
              <w:t>Történelmi örökségi helyszínek jelenlegi vagy jövőbeli turisztikai célú regenerálására irányuló projektek</w:t>
            </w:r>
          </w:p>
        </w:tc>
        <w:tc>
          <w:tcPr>
            <w:tcW w:w="1276" w:type="dxa"/>
            <w:shd w:val="clear" w:color="auto" w:fill="C6EFCE"/>
            <w:noWrap/>
          </w:tcPr>
          <w:p w14:paraId="45A9A141" w14:textId="77777777" w:rsidR="003E1D81" w:rsidRDefault="00EB481C">
            <w:pPr>
              <w:pStyle w:val="P68B1DB1-Normal13"/>
              <w:spacing w:after="0" w:line="240" w:lineRule="auto"/>
              <w:jc w:val="center"/>
              <w:rPr>
                <w:rFonts w:cs="Times New Roman"/>
                <w:noProof/>
              </w:rPr>
            </w:pPr>
            <w:r>
              <w:rPr>
                <w:noProof/>
              </w:rPr>
              <w:t>–</w:t>
            </w:r>
          </w:p>
        </w:tc>
        <w:tc>
          <w:tcPr>
            <w:tcW w:w="850" w:type="dxa"/>
            <w:shd w:val="clear" w:color="auto" w:fill="C6EFCE"/>
            <w:noWrap/>
          </w:tcPr>
          <w:p w14:paraId="179C0CBD" w14:textId="77777777" w:rsidR="003E1D81" w:rsidRDefault="00EB481C">
            <w:pPr>
              <w:pStyle w:val="P68B1DB1-Normal13"/>
              <w:spacing w:after="0" w:line="240" w:lineRule="auto"/>
              <w:jc w:val="right"/>
              <w:rPr>
                <w:rFonts w:cs="Times New Roman"/>
                <w:noProof/>
              </w:rPr>
            </w:pPr>
            <w:r>
              <w:rPr>
                <w:noProof/>
              </w:rPr>
              <w:t>Szám</w:t>
            </w:r>
          </w:p>
        </w:tc>
        <w:tc>
          <w:tcPr>
            <w:tcW w:w="992" w:type="dxa"/>
            <w:shd w:val="clear" w:color="auto" w:fill="C6EFCE"/>
            <w:noWrap/>
          </w:tcPr>
          <w:p w14:paraId="58A16522" w14:textId="77777777" w:rsidR="003E1D81" w:rsidRDefault="00EB481C">
            <w:pPr>
              <w:pStyle w:val="P68B1DB1-Normal13"/>
              <w:spacing w:after="0" w:line="240" w:lineRule="auto"/>
              <w:jc w:val="right"/>
              <w:rPr>
                <w:rFonts w:cs="Times New Roman"/>
                <w:noProof/>
              </w:rPr>
            </w:pPr>
            <w:r>
              <w:rPr>
                <w:noProof/>
              </w:rPr>
              <w:t>0</w:t>
            </w:r>
          </w:p>
        </w:tc>
        <w:tc>
          <w:tcPr>
            <w:tcW w:w="567" w:type="dxa"/>
            <w:shd w:val="clear" w:color="auto" w:fill="C6EFCE"/>
            <w:noWrap/>
          </w:tcPr>
          <w:p w14:paraId="42B1A537" w14:textId="77777777" w:rsidR="003E1D81" w:rsidRDefault="00EB481C">
            <w:pPr>
              <w:pStyle w:val="P68B1DB1-Normal13"/>
              <w:spacing w:after="0" w:line="240" w:lineRule="auto"/>
              <w:jc w:val="right"/>
              <w:rPr>
                <w:rFonts w:cs="Times New Roman"/>
                <w:noProof/>
              </w:rPr>
            </w:pPr>
            <w:r>
              <w:rPr>
                <w:noProof/>
              </w:rPr>
              <w:t>50</w:t>
            </w:r>
          </w:p>
        </w:tc>
        <w:tc>
          <w:tcPr>
            <w:tcW w:w="426" w:type="dxa"/>
            <w:shd w:val="clear" w:color="auto" w:fill="C6EFCE"/>
            <w:noWrap/>
          </w:tcPr>
          <w:p w14:paraId="341BFCFB" w14:textId="77777777" w:rsidR="003E1D81" w:rsidRDefault="00EB481C">
            <w:pPr>
              <w:pStyle w:val="P68B1DB1-Normal13"/>
              <w:spacing w:after="0" w:line="240" w:lineRule="auto"/>
              <w:jc w:val="center"/>
              <w:rPr>
                <w:rFonts w:cs="Times New Roman"/>
                <w:noProof/>
              </w:rPr>
            </w:pPr>
            <w:r>
              <w:rPr>
                <w:noProof/>
              </w:rPr>
              <w:t>KÉRDÉS</w:t>
            </w:r>
          </w:p>
        </w:tc>
        <w:tc>
          <w:tcPr>
            <w:tcW w:w="708" w:type="dxa"/>
            <w:shd w:val="clear" w:color="auto" w:fill="C6EFCE"/>
            <w:noWrap/>
          </w:tcPr>
          <w:p w14:paraId="30C50665" w14:textId="77777777" w:rsidR="003E1D81" w:rsidRDefault="00EB481C">
            <w:pPr>
              <w:pStyle w:val="P68B1DB1-Normal13"/>
              <w:spacing w:after="0" w:line="240" w:lineRule="auto"/>
              <w:jc w:val="center"/>
              <w:rPr>
                <w:rFonts w:cs="Times New Roman"/>
                <w:noProof/>
              </w:rPr>
            </w:pPr>
            <w:r>
              <w:rPr>
                <w:noProof/>
              </w:rPr>
              <w:t>2026</w:t>
            </w:r>
          </w:p>
        </w:tc>
        <w:tc>
          <w:tcPr>
            <w:tcW w:w="6237" w:type="dxa"/>
            <w:shd w:val="clear" w:color="auto" w:fill="C6EFCE"/>
            <w:noWrap/>
          </w:tcPr>
          <w:p w14:paraId="11932909" w14:textId="77777777" w:rsidR="003E1D81" w:rsidRDefault="00EB481C">
            <w:pPr>
              <w:pStyle w:val="P68B1DB1-Normal13"/>
              <w:spacing w:after="0" w:line="240" w:lineRule="auto"/>
              <w:rPr>
                <w:rFonts w:cs="Times New Roman"/>
                <w:noProof/>
              </w:rPr>
            </w:pPr>
            <w:r>
              <w:rPr>
                <w:noProof/>
              </w:rPr>
              <w:t>A jelentős károkozás elkerülését célzó technikai iránymutatásnak (2021/C58/01) megfelelően a történelmi örökségi helyszínek regenerálására irányuló legalább 50 intézkedés végrehajtása kizárási lista és a vonatkozó uniós és nemzeti környezetvédelmi jogszabá</w:t>
            </w:r>
            <w:r>
              <w:rPr>
                <w:noProof/>
              </w:rPr>
              <w:t xml:space="preserve">lyoknak való megfelelés követelménye révén. </w:t>
            </w:r>
          </w:p>
        </w:tc>
      </w:tr>
    </w:tbl>
    <w:p w14:paraId="0EBF13D8" w14:textId="77777777" w:rsidR="003E1D81" w:rsidRDefault="003E1D81">
      <w:pPr>
        <w:spacing w:before="120" w:after="120" w:line="240" w:lineRule="auto"/>
        <w:ind w:left="709"/>
        <w:jc w:val="both"/>
        <w:rPr>
          <w:rFonts w:ascii="Times New Roman" w:hAnsi="Times New Roman" w:cs="Times New Roman"/>
          <w:noProof/>
          <w:sz w:val="24"/>
        </w:rPr>
      </w:pPr>
    </w:p>
    <w:p w14:paraId="53690C33" w14:textId="77777777" w:rsidR="003E1D81" w:rsidRDefault="003E1D81">
      <w:pPr>
        <w:spacing w:before="120" w:after="120" w:line="240" w:lineRule="auto"/>
        <w:jc w:val="both"/>
        <w:rPr>
          <w:rFonts w:ascii="Times New Roman" w:hAnsi="Times New Roman" w:cs="Times New Roman"/>
          <w:noProof/>
          <w:sz w:val="24"/>
        </w:rPr>
        <w:sectPr w:rsidR="003E1D81" w:rsidSect="00EB7CC8">
          <w:headerReference w:type="even" r:id="rId300"/>
          <w:headerReference w:type="default" r:id="rId301"/>
          <w:footerReference w:type="even" r:id="rId302"/>
          <w:footerReference w:type="default" r:id="rId303"/>
          <w:headerReference w:type="first" r:id="rId304"/>
          <w:footerReference w:type="first" r:id="rId305"/>
          <w:pgSz w:w="16839" w:h="11907" w:orient="landscape"/>
          <w:pgMar w:top="1417" w:right="1134" w:bottom="1417" w:left="1134" w:header="709" w:footer="709" w:gutter="0"/>
          <w:cols w:space="720"/>
          <w:docGrid w:linePitch="360"/>
        </w:sectPr>
      </w:pPr>
    </w:p>
    <w:p w14:paraId="0005EC5A" w14:textId="77777777" w:rsidR="003E1D81" w:rsidRDefault="00EB481C">
      <w:pPr>
        <w:pStyle w:val="P68B1DB1-Heading12"/>
        <w:rPr>
          <w:rFonts w:cs="Times New Roman"/>
          <w:noProof/>
        </w:rPr>
      </w:pPr>
      <w:r>
        <w:rPr>
          <w:noProof/>
        </w:rPr>
        <w:t>O. 15. ELEM: Digitális konnektivitás</w:t>
      </w:r>
    </w:p>
    <w:p w14:paraId="7E48FAC7" w14:textId="77777777" w:rsidR="003E1D81" w:rsidRDefault="00EB481C">
      <w:pPr>
        <w:pStyle w:val="P68B1DB1-Normal4"/>
        <w:spacing w:before="120" w:after="120" w:line="240" w:lineRule="auto"/>
        <w:jc w:val="both"/>
        <w:rPr>
          <w:rFonts w:cs="Times New Roman"/>
          <w:noProof/>
        </w:rPr>
      </w:pPr>
      <w:r>
        <w:rPr>
          <w:noProof/>
        </w:rPr>
        <w:t xml:space="preserve">A digitális konnektivitás kulcsfontosságú tényező a gazdasági tevékenység fejlődése, a termelékenység </w:t>
      </w:r>
      <w:r>
        <w:rPr>
          <w:noProof/>
        </w:rPr>
        <w:t>növelése, az innováció fellendítése, valamint a területi és társadalmi kohézió szempontjából. A digitális hálózatokhoz való hozzáférés egyre inkább szükséges a közszolgáltatásokhoz való hozzáférés, a gazdasági tevékenységek fejlesztése és a társadalomban v</w:t>
      </w:r>
      <w:r>
        <w:rPr>
          <w:noProof/>
        </w:rPr>
        <w:t>aló aktív részvétel érdekében.</w:t>
      </w:r>
    </w:p>
    <w:p w14:paraId="50C9AC70" w14:textId="77777777" w:rsidR="003E1D81" w:rsidRDefault="00EB481C">
      <w:pPr>
        <w:pStyle w:val="P68B1DB1-Normal4"/>
        <w:spacing w:before="120" w:after="120" w:line="240" w:lineRule="auto"/>
        <w:jc w:val="both"/>
        <w:rPr>
          <w:rFonts w:eastAsia="Calibri" w:cs="Times New Roman"/>
          <w:noProof/>
        </w:rPr>
      </w:pPr>
      <w:r>
        <w:rPr>
          <w:noProof/>
        </w:rPr>
        <w:t>A spanyol helyreállítási és rezilienciaépítési terv e komponense a több mint 100 Mbps/s sebességű, szupergyors vezetékes hálózatok és az 5G lefedettségének Spanyolországban és különösen a vidéki területeken és a kulcsfontossá</w:t>
      </w:r>
      <w:r>
        <w:rPr>
          <w:noProof/>
        </w:rPr>
        <w:t xml:space="preserve">gú, határokon átnyúló közlekedési folyosókon való lefedettségével kapcsolatos kihívásokkal foglalkozik. Kiberbiztonsági szempontból a komponens által kezelt fő kihívás egy olyan megbízható és biztonságos környezet kialakítása a polgárok és a vállalkozások </w:t>
      </w:r>
      <w:r>
        <w:rPr>
          <w:noProof/>
        </w:rPr>
        <w:t>számára, amely hozzájárul az 5G bevezetéséhez és az e technológiával járó szolgáltatásokhoz, például a dolgok internetéhez (IoT) kapcsolódó digitalizációs és hiperkonnektivitási folyamathoz.</w:t>
      </w:r>
    </w:p>
    <w:p w14:paraId="63E92DF6" w14:textId="77777777" w:rsidR="003E1D81" w:rsidRDefault="00EB481C">
      <w:pPr>
        <w:pStyle w:val="P68B1DB1-Normal4"/>
        <w:spacing w:before="120" w:after="120" w:line="240" w:lineRule="auto"/>
        <w:jc w:val="both"/>
        <w:rPr>
          <w:rFonts w:eastAsia="Calibri" w:cs="Times New Roman"/>
          <w:noProof/>
        </w:rPr>
      </w:pPr>
      <w:r>
        <w:rPr>
          <w:noProof/>
        </w:rPr>
        <w:t>Ennek a komponensnek a célja, hogy a távközlési ágazatot összhang</w:t>
      </w:r>
      <w:r>
        <w:rPr>
          <w:noProof/>
        </w:rPr>
        <w:t>ba hozza az európai digitális stratégia követelményeivel, és megerősítse a gazdasági, társadalmi és területi kohéziót a digitális szakadékok megszüntetése és az ország egész területén a szupergyors lefedettséghez való hozzáférés javítása révén. A komponens</w:t>
      </w:r>
      <w:r>
        <w:rPr>
          <w:noProof/>
        </w:rPr>
        <w:t xml:space="preserve"> támogatja az 5G technológia gyorsított bevezetését az alábbiak révén: 1) a szükséges spektrumerőforrások rendelkezésre bocsátása az 5G elsőbbségi sávokban; 2) megbízható és biztonságos telepítési környezet kialakítása és 3) az 5G technológiai alkalmazások</w:t>
      </w:r>
      <w:r>
        <w:rPr>
          <w:noProof/>
        </w:rPr>
        <w:t xml:space="preserve"> fejlesztésének előmozdítása. Célja továbbá, hogy támogassa a fenntartható kiberbiztonsági kultúrát a polgárok és a vállalkozások számára.</w:t>
      </w:r>
    </w:p>
    <w:p w14:paraId="03951814" w14:textId="76FFEAA9" w:rsidR="003E1D81" w:rsidRDefault="00EB481C">
      <w:pPr>
        <w:pStyle w:val="P68B1DB1-Normal4"/>
        <w:spacing w:before="120" w:after="120" w:line="240" w:lineRule="auto"/>
        <w:jc w:val="both"/>
        <w:rPr>
          <w:rFonts w:eastAsia="Calibri" w:cs="Times New Roman"/>
          <w:noProof/>
        </w:rPr>
      </w:pPr>
      <w:r>
        <w:rPr>
          <w:noProof/>
        </w:rPr>
        <w:t>A komponens a beruházási gazdaságpolitikának az innováció előmozdítására való összpontosítására (2019. évi 3. országs</w:t>
      </w:r>
      <w:r>
        <w:rPr>
          <w:noProof/>
        </w:rPr>
        <w:t>pecifikus ajánlás), valamint a kiforrott közberuházási projektek előreütemezésére és a beruházásoknak a digitális átállásra való összpontosítására vonatkozó országspecifikus ajánlásokkal foglalkozik (2020., 2022., 1., 2023. évi országspecifikus ajánlás).</w:t>
      </w:r>
    </w:p>
    <w:p w14:paraId="09C9655A" w14:textId="77777777" w:rsidR="003E1D81" w:rsidRDefault="00EB481C">
      <w:pPr>
        <w:pStyle w:val="P68B1DB1-Normal4"/>
        <w:spacing w:before="120" w:after="120" w:line="240" w:lineRule="auto"/>
        <w:jc w:val="both"/>
        <w:rPr>
          <w:rFonts w:eastAsia="Calibri" w:cs="Times New Roman"/>
          <w:noProof/>
        </w:rPr>
      </w:pPr>
      <w:r>
        <w:rPr>
          <w:noProof/>
        </w:rPr>
        <w:t>A</w:t>
      </w:r>
      <w:r>
        <w:rPr>
          <w:noProof/>
        </w:rPr>
        <w:t xml:space="preserve">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w:t>
      </w:r>
      <w:r>
        <w:rPr>
          <w:noProof/>
        </w:rPr>
        <w:t>ő lépéseket figyelembe véve ebben a komponensben várhatóan egyetlen intézkedés sem sérti jelentős mértékben az (EU) 2020/852 rendelet 17. cikke szerinti környezeti célkitűzéseket.</w:t>
      </w:r>
    </w:p>
    <w:p w14:paraId="0E41D603" w14:textId="77777777" w:rsidR="003E1D81" w:rsidRDefault="00EB481C">
      <w:pPr>
        <w:pStyle w:val="P68B1DB1-Normal33"/>
        <w:ind w:left="720"/>
        <w:rPr>
          <w:rFonts w:cs="Times New Roman"/>
          <w:noProof/>
        </w:rPr>
      </w:pPr>
      <w:r>
        <w:rPr>
          <w:noProof/>
        </w:rPr>
        <w:t>O</w:t>
      </w:r>
      <w:r>
        <w:rPr>
          <w:noProof/>
          <w:sz w:val="24"/>
        </w:rPr>
        <w:t xml:space="preserve">1. </w:t>
      </w:r>
      <w:r>
        <w:rPr>
          <w:noProof/>
          <w:sz w:val="24"/>
        </w:rPr>
        <w:tab/>
        <w:t>Vissza nem térítendő pénzügyi támogatás – a reformok és beruházások ism</w:t>
      </w:r>
      <w:r>
        <w:rPr>
          <w:noProof/>
          <w:sz w:val="24"/>
        </w:rPr>
        <w:t>ertetése</w:t>
      </w:r>
    </w:p>
    <w:p w14:paraId="0EBBD9EE" w14:textId="77777777" w:rsidR="003E1D81" w:rsidRDefault="00EB481C">
      <w:pPr>
        <w:pStyle w:val="P68B1DB1-Normal6"/>
        <w:spacing w:before="120" w:after="120" w:line="240" w:lineRule="auto"/>
        <w:jc w:val="both"/>
        <w:rPr>
          <w:rFonts w:cs="Times New Roman"/>
          <w:noProof/>
        </w:rPr>
      </w:pPr>
      <w:r>
        <w:rPr>
          <w:noProof/>
        </w:rPr>
        <w:t>Reform (C15.R1) – A távközlési szabályozási keret reformja: Általános jog, szabályozási eszközök és végrehajtási eszközök</w:t>
      </w:r>
    </w:p>
    <w:p w14:paraId="57A432B6" w14:textId="77777777" w:rsidR="003E1D81" w:rsidRDefault="00EB481C">
      <w:pPr>
        <w:pStyle w:val="P68B1DB1-Normal4"/>
        <w:spacing w:before="120" w:after="120" w:line="240" w:lineRule="auto"/>
        <w:jc w:val="both"/>
        <w:rPr>
          <w:rFonts w:cs="Times New Roman"/>
          <w:noProof/>
        </w:rPr>
      </w:pPr>
      <w:r>
        <w:rPr>
          <w:noProof/>
        </w:rPr>
        <w:t xml:space="preserve">Az intézkedés célja az Európai Elektronikus Hírközlési Kódexről szóló (EU) 2018/1972 irányelv átültetése, a nagy kapacitású, </w:t>
      </w:r>
      <w:r>
        <w:rPr>
          <w:noProof/>
        </w:rPr>
        <w:t>valamint az 5G helyhez kötött és mobil hálózatok kiépítésére vonatkozó bevált gyakorlatok kidolgozása, valamint a konnektivitásról szóló C(2020) 6270 európai bizottsági ajánlásból eredő eszköztár nemzeti keretben történő végrehajtásához szükséges intézkedé</w:t>
      </w:r>
      <w:r>
        <w:rPr>
          <w:noProof/>
        </w:rPr>
        <w:t>sek kidolgozása.</w:t>
      </w:r>
    </w:p>
    <w:p w14:paraId="513A533F" w14:textId="77777777" w:rsidR="003E1D81" w:rsidRDefault="00EB481C">
      <w:pPr>
        <w:pStyle w:val="P68B1DB1-Normal4"/>
        <w:spacing w:before="120" w:after="120" w:line="240" w:lineRule="auto"/>
        <w:jc w:val="both"/>
        <w:rPr>
          <w:rFonts w:eastAsia="Calibri" w:cs="Times New Roman"/>
          <w:noProof/>
        </w:rPr>
      </w:pPr>
      <w:r>
        <w:rPr>
          <w:noProof/>
        </w:rPr>
        <w:t xml:space="preserve">A konnektivitásról szóló C(2020) 6270 európai bizottsági ajánlás végrehajtásából eredő eszköztárat be kell építeni a spanyol jogi keretbe az általános távközlési jogon belül azokban az elemekben, amelyek jogi státuszt igényelnek. </w:t>
      </w:r>
    </w:p>
    <w:p w14:paraId="45987DA4" w14:textId="77777777" w:rsidR="003E1D81" w:rsidRDefault="00EB481C">
      <w:pPr>
        <w:pStyle w:val="P68B1DB1-Normal8"/>
        <w:autoSpaceDE w:val="0"/>
        <w:autoSpaceDN w:val="0"/>
        <w:spacing w:before="40" w:after="40" w:line="240" w:lineRule="auto"/>
        <w:jc w:val="both"/>
        <w:rPr>
          <w:rFonts w:eastAsia="Calibri" w:cs="Times New Roman"/>
          <w:noProof/>
        </w:rPr>
      </w:pPr>
      <w:r>
        <w:rPr>
          <w:noProof/>
          <w:sz w:val="24"/>
        </w:rPr>
        <w:t>Az intéz</w:t>
      </w:r>
      <w:r>
        <w:rPr>
          <w:noProof/>
          <w:sz w:val="24"/>
        </w:rPr>
        <w:t>kedés végrehajtását 2022. június 30-ig be kell fejezni.</w:t>
      </w:r>
      <w:r>
        <w:rPr>
          <w:noProof/>
          <w:sz w:val="20"/>
        </w:rPr>
        <w:t xml:space="preserve"> </w:t>
      </w:r>
    </w:p>
    <w:p w14:paraId="0618C9AF" w14:textId="77777777" w:rsidR="003E1D81" w:rsidRDefault="00EB481C">
      <w:pPr>
        <w:pStyle w:val="P68B1DB1-Normal6"/>
        <w:keepNext/>
        <w:spacing w:before="120" w:after="120" w:line="240" w:lineRule="auto"/>
        <w:jc w:val="both"/>
        <w:rPr>
          <w:rFonts w:cs="Times New Roman"/>
          <w:noProof/>
        </w:rPr>
      </w:pPr>
      <w:r>
        <w:rPr>
          <w:noProof/>
        </w:rPr>
        <w:t>Reform (C15.R2) – 5G ütemterv: Frekvenciagazdálkodás és -kijelölés, a telepítési terhek csökkentése, az 5G kiberbiztonsági jogszabály és a helyi önkormányzatok támogatása</w:t>
      </w:r>
    </w:p>
    <w:p w14:paraId="7FFDEE86" w14:textId="77777777" w:rsidR="003E1D81" w:rsidRDefault="00EB481C">
      <w:pPr>
        <w:pStyle w:val="P68B1DB1-Normal4"/>
        <w:keepNext/>
        <w:spacing w:before="120" w:after="120" w:line="240" w:lineRule="auto"/>
        <w:jc w:val="both"/>
        <w:rPr>
          <w:rFonts w:cs="Times New Roman"/>
          <w:noProof/>
        </w:rPr>
      </w:pPr>
      <w:r>
        <w:rPr>
          <w:noProof/>
        </w:rPr>
        <w:t>Az intézkedés célkitűzései a</w:t>
      </w:r>
      <w:r>
        <w:rPr>
          <w:noProof/>
        </w:rPr>
        <w:t xml:space="preserve"> következők: 1) a 700 MHz-es frekvenciasávra és a 26 GHz-es frekvenciasávra vonatkozó „második digitális hozadék” és az aukciós eljárás befejezése; Az 5G kiépítésének felgyorsítása érdekében a távközlési szolgáltatók 2022-ra és 2023-ra vonatkozó spektrumad</w:t>
      </w:r>
      <w:r>
        <w:rPr>
          <w:noProof/>
        </w:rPr>
        <w:t>ójának ideiglenes csökkentése; Az 5G kiberbiztonságra vonatkozó uniós eszköztár beépítése a nemzeti jogszabályokba; valamint 4) a távközléssel és a várostervezéssel kapcsolatos bevált gyakorlatok terjesztése a helyi közigazgatási szervek körében.</w:t>
      </w:r>
    </w:p>
    <w:p w14:paraId="4BB49479" w14:textId="77777777" w:rsidR="003E1D81" w:rsidRDefault="00EB481C">
      <w:pPr>
        <w:pStyle w:val="P68B1DB1-Normal4"/>
        <w:spacing w:before="120" w:after="120" w:line="240" w:lineRule="auto"/>
        <w:jc w:val="both"/>
        <w:rPr>
          <w:rFonts w:cs="Times New Roman"/>
          <w:noProof/>
        </w:rPr>
      </w:pPr>
      <w:r>
        <w:rPr>
          <w:noProof/>
        </w:rPr>
        <w:t>A végreha</w:t>
      </w:r>
      <w:r>
        <w:rPr>
          <w:noProof/>
        </w:rPr>
        <w:t>jtás tekintetében a következő lépések kerültek meghatározásra:</w:t>
      </w:r>
    </w:p>
    <w:p w14:paraId="69B0C14B" w14:textId="77777777" w:rsidR="003E1D81" w:rsidRDefault="00EB481C">
      <w:pPr>
        <w:pStyle w:val="P68B1DB1-Normal4"/>
        <w:numPr>
          <w:ilvl w:val="0"/>
          <w:numId w:val="724"/>
        </w:numPr>
        <w:spacing w:before="120" w:after="160" w:line="256" w:lineRule="auto"/>
        <w:contextualSpacing/>
        <w:jc w:val="both"/>
        <w:rPr>
          <w:rFonts w:cs="Times New Roman"/>
          <w:noProof/>
        </w:rPr>
      </w:pPr>
      <w:r>
        <w:rPr>
          <w:noProof/>
        </w:rPr>
        <w:t>A „második digitális hozadék” befejezése</w:t>
      </w:r>
    </w:p>
    <w:p w14:paraId="3CF44432" w14:textId="77777777" w:rsidR="003E1D81" w:rsidRDefault="00EB481C">
      <w:pPr>
        <w:pStyle w:val="P68B1DB1-Normal4"/>
        <w:numPr>
          <w:ilvl w:val="0"/>
          <w:numId w:val="724"/>
        </w:numPr>
        <w:spacing w:before="120" w:after="160" w:line="256" w:lineRule="auto"/>
        <w:contextualSpacing/>
        <w:jc w:val="both"/>
        <w:rPr>
          <w:rFonts w:cs="Times New Roman"/>
          <w:noProof/>
        </w:rPr>
      </w:pPr>
      <w:r>
        <w:rPr>
          <w:noProof/>
        </w:rPr>
        <w:t>Az 5G technológia előmozdítására irányuló stratégia</w:t>
      </w:r>
    </w:p>
    <w:p w14:paraId="01E905DD" w14:textId="77777777" w:rsidR="003E1D81" w:rsidRDefault="00EB481C">
      <w:pPr>
        <w:pStyle w:val="P68B1DB1-Normal4"/>
        <w:numPr>
          <w:ilvl w:val="0"/>
          <w:numId w:val="724"/>
        </w:numPr>
        <w:spacing w:before="120" w:after="160" w:line="256" w:lineRule="auto"/>
        <w:contextualSpacing/>
        <w:jc w:val="both"/>
        <w:rPr>
          <w:rFonts w:cs="Times New Roman"/>
          <w:noProof/>
        </w:rPr>
      </w:pPr>
      <w:r>
        <w:rPr>
          <w:noProof/>
        </w:rPr>
        <w:t xml:space="preserve">A 700 MHz-es sáv árverése </w:t>
      </w:r>
    </w:p>
    <w:p w14:paraId="63929EA3" w14:textId="77777777" w:rsidR="003E1D81" w:rsidRDefault="00EB481C">
      <w:pPr>
        <w:pStyle w:val="P68B1DB1-Normal4"/>
        <w:numPr>
          <w:ilvl w:val="0"/>
          <w:numId w:val="724"/>
        </w:numPr>
        <w:spacing w:before="120" w:after="160" w:line="256" w:lineRule="auto"/>
        <w:contextualSpacing/>
        <w:jc w:val="both"/>
        <w:rPr>
          <w:rFonts w:cs="Times New Roman"/>
          <w:noProof/>
        </w:rPr>
      </w:pPr>
      <w:r>
        <w:rPr>
          <w:noProof/>
        </w:rPr>
        <w:t>Ajánlati felhívás a 26 GHz-es frekvenciasávra</w:t>
      </w:r>
    </w:p>
    <w:p w14:paraId="0ADCCBA1" w14:textId="77777777" w:rsidR="003E1D81" w:rsidRDefault="00EB481C">
      <w:pPr>
        <w:pStyle w:val="P68B1DB1-Normal4"/>
        <w:numPr>
          <w:ilvl w:val="0"/>
          <w:numId w:val="724"/>
        </w:numPr>
        <w:spacing w:before="120" w:after="160" w:line="256" w:lineRule="auto"/>
        <w:contextualSpacing/>
        <w:jc w:val="both"/>
        <w:rPr>
          <w:rFonts w:cs="Times New Roman"/>
          <w:noProof/>
        </w:rPr>
      </w:pPr>
      <w:r>
        <w:rPr>
          <w:noProof/>
        </w:rPr>
        <w:t>A spektrumadó ideiglenes cs</w:t>
      </w:r>
      <w:r>
        <w:rPr>
          <w:noProof/>
        </w:rPr>
        <w:t>ökkentése</w:t>
      </w:r>
    </w:p>
    <w:p w14:paraId="537CA5FF" w14:textId="77777777" w:rsidR="003E1D81" w:rsidRDefault="00EB481C">
      <w:pPr>
        <w:pStyle w:val="P68B1DB1-Normal4"/>
        <w:numPr>
          <w:ilvl w:val="0"/>
          <w:numId w:val="724"/>
        </w:numPr>
        <w:spacing w:before="120" w:after="160" w:line="256" w:lineRule="auto"/>
        <w:contextualSpacing/>
        <w:jc w:val="both"/>
        <w:rPr>
          <w:rFonts w:cs="Times New Roman"/>
          <w:noProof/>
        </w:rPr>
      </w:pPr>
      <w:r>
        <w:rPr>
          <w:noProof/>
        </w:rPr>
        <w:t>Az 5G kiberbiztonsági törvény</w:t>
      </w:r>
    </w:p>
    <w:p w14:paraId="6FF8FE8D" w14:textId="77777777" w:rsidR="003E1D81" w:rsidRDefault="00EB481C">
      <w:pPr>
        <w:pStyle w:val="P68B1DB1-Normal8"/>
        <w:autoSpaceDE w:val="0"/>
        <w:autoSpaceDN w:val="0"/>
        <w:spacing w:before="40" w:after="40" w:line="240" w:lineRule="auto"/>
        <w:jc w:val="both"/>
        <w:rPr>
          <w:rFonts w:eastAsia="Calibri" w:cs="Times New Roman"/>
          <w:noProof/>
        </w:rPr>
      </w:pPr>
      <w:r>
        <w:rPr>
          <w:noProof/>
          <w:sz w:val="24"/>
        </w:rPr>
        <w:t>Az intézkedés végrehajtását 2022. december 31-ig be kell fejezni.</w:t>
      </w:r>
      <w:r>
        <w:rPr>
          <w:noProof/>
          <w:sz w:val="20"/>
        </w:rPr>
        <w:t xml:space="preserve"> </w:t>
      </w:r>
    </w:p>
    <w:p w14:paraId="3E4A5C09" w14:textId="77777777" w:rsidR="003E1D81" w:rsidRDefault="00EB481C">
      <w:pPr>
        <w:pStyle w:val="P68B1DB1-Normal6"/>
        <w:spacing w:before="120" w:after="120" w:line="240" w:lineRule="auto"/>
        <w:jc w:val="both"/>
        <w:rPr>
          <w:rFonts w:cs="Times New Roman"/>
          <w:noProof/>
        </w:rPr>
      </w:pPr>
      <w:r>
        <w:rPr>
          <w:noProof/>
        </w:rPr>
        <w:t>Beruházás (C15.I1) – A területi kohézió előmozdítása hálózatok kiépítése révén: Szupergyors széles sávú hálózatbővítés</w:t>
      </w:r>
    </w:p>
    <w:p w14:paraId="45B9A600" w14:textId="77777777" w:rsidR="003E1D81" w:rsidRDefault="00EB481C">
      <w:pPr>
        <w:pStyle w:val="P68B1DB1-Normal4"/>
        <w:spacing w:before="120" w:after="120" w:line="240" w:lineRule="auto"/>
        <w:jc w:val="both"/>
        <w:rPr>
          <w:rFonts w:cs="Times New Roman"/>
          <w:noProof/>
        </w:rPr>
      </w:pPr>
      <w:r>
        <w:rPr>
          <w:noProof/>
        </w:rPr>
        <w:t>Az intézkedés célkitűzései a k</w:t>
      </w:r>
      <w:r>
        <w:rPr>
          <w:noProof/>
        </w:rPr>
        <w:t xml:space="preserve">övetkezők: A szupergyors széles sávú hozzáférési hálózatok lefedettségének elmélyítése azokon a területeken, ahol ez hiányzik, a lakosság 100%-ának elérése érdekében; és 2) konkrét intézkedések végrehajtása a fehérterület-státusú történelmi városközpontok </w:t>
      </w:r>
      <w:r>
        <w:rPr>
          <w:noProof/>
        </w:rPr>
        <w:t xml:space="preserve">lefedettségének kiterjesztése érdekében. </w:t>
      </w:r>
    </w:p>
    <w:p w14:paraId="7E223AF1" w14:textId="77777777" w:rsidR="003E1D81" w:rsidRDefault="00EB481C">
      <w:pPr>
        <w:pStyle w:val="P68B1DB1-Normal4"/>
        <w:spacing w:before="120" w:after="120" w:line="240" w:lineRule="auto"/>
        <w:jc w:val="both"/>
        <w:rPr>
          <w:rFonts w:cs="Times New Roman"/>
          <w:noProof/>
        </w:rPr>
      </w:pPr>
      <w:r>
        <w:rPr>
          <w:noProof/>
        </w:rPr>
        <w:t>A beruházásnak ki kell terjednie az ultragyors (100 Mbps feletti) széles sávú kapcsolat biztosítására azon területek számára, főként vidéki területek és történelmi értékkel rendelkező területek számára, amelyek jel</w:t>
      </w:r>
      <w:r>
        <w:rPr>
          <w:noProof/>
        </w:rPr>
        <w:t>enleg nem rendelkeznek ilyen internetkapcsolattal. 2021 végéig részletes végrehajtható tervet kell elfogadni, és a költségvetés 100%-át 2023 végéig kell odaítélni. A tervnek meg kell határoznia az elérendő végső célokat is (az egységekben kifejezett tovább</w:t>
      </w:r>
      <w:r>
        <w:rPr>
          <w:noProof/>
        </w:rPr>
        <w:t xml:space="preserve">i lefedettség tekintetében), és biztosítania kell a technológiasemlegességet, valamint a piaci verseny mechanizmusainak fenntartását és az összes üzemeltető számára a kiépített infrastruktúrához való hozzáférést. A beavatkozási területeket ebben a tervben </w:t>
      </w:r>
      <w:r>
        <w:rPr>
          <w:noProof/>
        </w:rPr>
        <w:t xml:space="preserve">kell meghatározni. A végrehajtási tervben meg kell határozni továbbá a szükséges jogi és szabályozási lépéseket, beleértve azokat is, amelyeket a vonatkozó uniós állami támogatási szabályoknak való megfelelés biztosítása érdekében kell megtenni. A cél 300 </w:t>
      </w:r>
      <w:r>
        <w:rPr>
          <w:noProof/>
        </w:rPr>
        <w:t>Mbps szimmetrikus sebesség biztosítása, amely a fehér és a szürke területeken 1 Gbps szimmetrikus (gigabit/másodperc) értékre fejleszthető.</w:t>
      </w:r>
    </w:p>
    <w:p w14:paraId="023C33CE" w14:textId="77777777" w:rsidR="003E1D81" w:rsidRDefault="00EB481C">
      <w:pPr>
        <w:pStyle w:val="P68B1DB1-Normal4"/>
        <w:spacing w:before="120" w:after="120" w:line="240" w:lineRule="auto"/>
        <w:jc w:val="both"/>
        <w:rPr>
          <w:rFonts w:cs="Times New Roman"/>
          <w:noProof/>
        </w:rPr>
      </w:pPr>
      <w:r>
        <w:rPr>
          <w:noProof/>
        </w:rPr>
        <w:t xml:space="preserve">A beruházás végrehajtását 2025. december 31-ig be kell fejezni. </w:t>
      </w:r>
    </w:p>
    <w:p w14:paraId="5A9C09E0" w14:textId="77777777" w:rsidR="003E1D81" w:rsidRDefault="00EB481C">
      <w:pPr>
        <w:pStyle w:val="P68B1DB1-Normal6"/>
        <w:spacing w:before="120" w:after="120" w:line="240" w:lineRule="auto"/>
        <w:jc w:val="both"/>
        <w:rPr>
          <w:rFonts w:cs="Times New Roman"/>
          <w:noProof/>
        </w:rPr>
      </w:pPr>
      <w:r>
        <w:rPr>
          <w:noProof/>
        </w:rPr>
        <w:t>Beruházás (C15.I2) A konnektivitás megerősítése a r</w:t>
      </w:r>
      <w:r>
        <w:rPr>
          <w:noProof/>
        </w:rPr>
        <w:t>eferenciaközpontokban, a társadalmi-gazdasági mozgatórugók és az ágazati digitalizációs projektek</w:t>
      </w:r>
    </w:p>
    <w:p w14:paraId="2F33BE61" w14:textId="77777777" w:rsidR="003E1D81" w:rsidRDefault="00EB481C">
      <w:pPr>
        <w:pStyle w:val="P68B1DB1-Normal4"/>
        <w:spacing w:before="120" w:after="120" w:line="240" w:lineRule="auto"/>
        <w:jc w:val="both"/>
        <w:rPr>
          <w:rFonts w:cs="Times New Roman"/>
          <w:noProof/>
        </w:rPr>
      </w:pPr>
      <w:r>
        <w:rPr>
          <w:noProof/>
        </w:rPr>
        <w:t>Az intézkedés célkitűzései a következők: 1) az alapvető ellátáshoz és a szociális szolgáltatásokhoz való hozzáférést biztosító központok, például kórházak, eg</w:t>
      </w:r>
      <w:r>
        <w:rPr>
          <w:noProof/>
        </w:rPr>
        <w:t>észségügyi központok, oktatási és képzési központok összekapcsoltságának és felszerelésének javítása; valamint 2) ultrakonnektivitás biztosítása az ország és a nagy kapacitásigényű területek (technológiai szigetek) fő társadalmi-gazdasági mozgatórugóiban.</w:t>
      </w:r>
    </w:p>
    <w:p w14:paraId="6F1B5E36" w14:textId="77777777" w:rsidR="003E1D81" w:rsidRDefault="00EB481C">
      <w:pPr>
        <w:pStyle w:val="P68B1DB1-Normal4"/>
        <w:spacing w:before="120" w:after="120" w:line="240" w:lineRule="auto"/>
        <w:jc w:val="both"/>
        <w:rPr>
          <w:rFonts w:cs="Times New Roman"/>
          <w:noProof/>
        </w:rPr>
      </w:pPr>
      <w:r>
        <w:rPr>
          <w:noProof/>
        </w:rPr>
        <w:t>A beruházás az 1-gigabites összeköttetésnek az ország társadalmi és gazdasági tevékenységének fő központjaira való kiterjesztéséből áll. A kiválasztott helyszínek magukban foglalják az ipari telephelyeket, az adatközpontokat, az agráripari telephelyeket, a</w:t>
      </w:r>
      <w:r>
        <w:rPr>
          <w:noProof/>
        </w:rPr>
        <w:t xml:space="preserve"> kutatóközpontokat, a közlekedési csomópontokat, a logisztikai csomópontokat vagy a nagy adatigényű vállalkozásokat, valamint az egészségügyi központokat, például kórházakat, képzési központokat és egészségügyi központokat.</w:t>
      </w:r>
    </w:p>
    <w:p w14:paraId="07FA28B2" w14:textId="77777777" w:rsidR="003E1D81" w:rsidRDefault="00EB481C">
      <w:pPr>
        <w:pStyle w:val="P68B1DB1-Normal4"/>
        <w:spacing w:before="120" w:after="120" w:line="240" w:lineRule="auto"/>
        <w:jc w:val="both"/>
        <w:rPr>
          <w:rFonts w:eastAsia="Calibri" w:cs="Times New Roman"/>
          <w:noProof/>
        </w:rPr>
      </w:pPr>
      <w:r>
        <w:rPr>
          <w:noProof/>
        </w:rPr>
        <w:t>Az egyedi intézkedések a követke</w:t>
      </w:r>
      <w:r>
        <w:rPr>
          <w:noProof/>
        </w:rPr>
        <w:t>zőket foglalják magukban: a fókuszpontokon és a közszolgáltatásokon belüli összeköttetések megerősítését célzó projektek; az 1 gigabites konnektivitással kapcsolatos projektek és a kulcsfontosságú ágazatok támogatása, beleértve az innovatív ágazati digital</w:t>
      </w:r>
      <w:r>
        <w:rPr>
          <w:noProof/>
        </w:rPr>
        <w:t>izálási projekteket (egészségügy, agrár-élelmiszeripar, mobilitás, idegenforgalom, ipar, kereskedelem stb.), valamint a fehér/szürke területeken található ipari és üzleti birtokok összeköttetési projektjeit.</w:t>
      </w:r>
    </w:p>
    <w:p w14:paraId="22F7D782" w14:textId="0C2BEDFD" w:rsidR="003E1D81" w:rsidRDefault="00EB481C">
      <w:pPr>
        <w:pStyle w:val="P68B1DB1-Normal4"/>
        <w:spacing w:before="120" w:after="120" w:line="240" w:lineRule="auto"/>
        <w:jc w:val="both"/>
        <w:rPr>
          <w:rFonts w:eastAsia="Calibri" w:cs="Times New Roman"/>
          <w:noProof/>
        </w:rPr>
      </w:pPr>
      <w:r>
        <w:rPr>
          <w:noProof/>
        </w:rPr>
        <w:t>A beruházást 2024. december 31-ig be kell fejezn</w:t>
      </w:r>
      <w:r>
        <w:rPr>
          <w:noProof/>
        </w:rPr>
        <w:t>i.</w:t>
      </w:r>
    </w:p>
    <w:p w14:paraId="19135B77" w14:textId="77777777" w:rsidR="003E1D81" w:rsidRDefault="00EB481C">
      <w:pPr>
        <w:pStyle w:val="P68B1DB1-Normal6"/>
        <w:spacing w:before="120" w:after="120" w:line="240" w:lineRule="auto"/>
        <w:jc w:val="both"/>
        <w:rPr>
          <w:rFonts w:cs="Times New Roman"/>
          <w:noProof/>
        </w:rPr>
      </w:pPr>
      <w:r>
        <w:rPr>
          <w:noProof/>
        </w:rPr>
        <w:t>Beruházás (C15.I3) – Kapcsoltsági utalványok kkv-k és kiszolgáltatott csoportok számára</w:t>
      </w:r>
    </w:p>
    <w:p w14:paraId="16A8916A" w14:textId="77777777" w:rsidR="003E1D81" w:rsidRDefault="00EB481C">
      <w:pPr>
        <w:pStyle w:val="P68B1DB1-Normal4"/>
        <w:spacing w:before="120" w:after="120" w:line="240" w:lineRule="auto"/>
        <w:jc w:val="both"/>
        <w:rPr>
          <w:rFonts w:cs="Times New Roman"/>
          <w:noProof/>
        </w:rPr>
      </w:pPr>
      <w:r>
        <w:rPr>
          <w:noProof/>
        </w:rPr>
        <w:t xml:space="preserve">A beruházás a következőkből áll: </w:t>
      </w:r>
    </w:p>
    <w:p w14:paraId="5BDF574A" w14:textId="77777777" w:rsidR="003E1D81" w:rsidRDefault="00EB481C">
      <w:pPr>
        <w:pStyle w:val="P68B1DB1-Normal4"/>
        <w:numPr>
          <w:ilvl w:val="0"/>
          <w:numId w:val="725"/>
        </w:numPr>
        <w:spacing w:before="120" w:after="120" w:line="240" w:lineRule="auto"/>
        <w:jc w:val="both"/>
        <w:rPr>
          <w:rFonts w:cs="Times New Roman"/>
          <w:noProof/>
        </w:rPr>
      </w:pPr>
      <w:r>
        <w:rPr>
          <w:noProof/>
        </w:rPr>
        <w:t xml:space="preserve">Utalványok a kkv-k számára a konnektivitási beruházások finanszírozására (beleértve a legalább 100 Mbps sebességű alapszintű </w:t>
      </w:r>
      <w:r>
        <w:rPr>
          <w:noProof/>
        </w:rPr>
        <w:t>összeköttetést és a hozzáadott értéket képviselő szolgáltatásokat, például a VPN-t és a kiberbiztonságot); és</w:t>
      </w:r>
    </w:p>
    <w:p w14:paraId="22248C2C" w14:textId="77777777" w:rsidR="003E1D81" w:rsidRDefault="00EB481C">
      <w:pPr>
        <w:pStyle w:val="P68B1DB1-Normal4"/>
        <w:numPr>
          <w:ilvl w:val="0"/>
          <w:numId w:val="725"/>
        </w:numPr>
        <w:spacing w:before="120" w:after="120" w:line="240" w:lineRule="auto"/>
        <w:jc w:val="both"/>
        <w:rPr>
          <w:rFonts w:cs="Times New Roman"/>
          <w:noProof/>
        </w:rPr>
      </w:pPr>
      <w:r>
        <w:rPr>
          <w:noProof/>
        </w:rPr>
        <w:t>A kiszolgáltatott helyzetben lévő egyéneknek vagy családoknak szóló utalványok a legmegfelelőbb technológiával működő széles sávú csatlakozási cso</w:t>
      </w:r>
      <w:r>
        <w:rPr>
          <w:noProof/>
        </w:rPr>
        <w:t xml:space="preserve">magok finanszírozására. </w:t>
      </w:r>
    </w:p>
    <w:p w14:paraId="6F22491A" w14:textId="4EAD4C5C" w:rsidR="003E1D81" w:rsidRDefault="00EB481C">
      <w:pPr>
        <w:pStyle w:val="P68B1DB1-Normal4"/>
        <w:spacing w:before="120" w:after="120" w:line="240" w:lineRule="auto"/>
        <w:jc w:val="both"/>
        <w:rPr>
          <w:rFonts w:cs="Times New Roman"/>
          <w:noProof/>
        </w:rPr>
      </w:pPr>
      <w:r>
        <w:rPr>
          <w:noProof/>
        </w:rPr>
        <w:t xml:space="preserve">A beruházást 2024. december 31-ig be kell fejezni. </w:t>
      </w:r>
    </w:p>
    <w:p w14:paraId="115B517A" w14:textId="77777777" w:rsidR="003E1D81" w:rsidRDefault="00EB481C">
      <w:pPr>
        <w:pStyle w:val="P68B1DB1-Normal6"/>
        <w:spacing w:before="120" w:after="120" w:line="240" w:lineRule="auto"/>
        <w:jc w:val="both"/>
        <w:rPr>
          <w:rFonts w:cs="Times New Roman"/>
          <w:noProof/>
        </w:rPr>
      </w:pPr>
      <w:r>
        <w:rPr>
          <w:noProof/>
        </w:rPr>
        <w:t>Beruházás (C15.I4) – Az infrastruktúra megújítása és fenntarthatósága</w:t>
      </w:r>
    </w:p>
    <w:p w14:paraId="07C9BBD2" w14:textId="1BE44B56" w:rsidR="003E1D81" w:rsidRDefault="00EB481C">
      <w:pPr>
        <w:pStyle w:val="P68B1DB1-Normal4"/>
        <w:spacing w:before="120" w:after="120" w:line="240" w:lineRule="auto"/>
        <w:jc w:val="both"/>
        <w:rPr>
          <w:rFonts w:eastAsia="Calibri" w:cs="Times New Roman"/>
          <w:noProof/>
        </w:rPr>
      </w:pPr>
      <w:r>
        <w:rPr>
          <w:noProof/>
        </w:rPr>
        <w:t>A beruházás a meglévő épületállomány egy részének olyan infrastruktúrával való felszereléséből áll, amely meg</w:t>
      </w:r>
      <w:r>
        <w:rPr>
          <w:noProof/>
        </w:rPr>
        <w:t>könnyíti a nagyon nagy kapacitású hálózatok optimális kiépítését a hozzáférés utolsó mérföldjében. Ez a beruházás – amellett, hogy fenntartható módon koordinálja és optimalizálja az új generációs hozzáférési hálózatok kiépítését – várhatóan optimalizálni f</w:t>
      </w:r>
      <w:r>
        <w:rPr>
          <w:noProof/>
        </w:rPr>
        <w:t>ogja a kiépített hálózatok energiafogyasztását. A beruházást 2024. december 31-ig be kell fejezni.</w:t>
      </w:r>
    </w:p>
    <w:p w14:paraId="613726C0" w14:textId="77777777" w:rsidR="003E1D81" w:rsidRDefault="00EB481C">
      <w:pPr>
        <w:pStyle w:val="P68B1DB1-Normal6"/>
        <w:spacing w:before="120" w:after="120" w:line="240" w:lineRule="auto"/>
        <w:jc w:val="both"/>
        <w:rPr>
          <w:rFonts w:cs="Times New Roman"/>
          <w:noProof/>
        </w:rPr>
      </w:pPr>
      <w:r>
        <w:rPr>
          <w:noProof/>
        </w:rPr>
        <w:t>Beruházás (C15.I5) – Határokon átnyúló digitális infrastruktúra kiépítése</w:t>
      </w:r>
    </w:p>
    <w:p w14:paraId="1BD68E2F" w14:textId="77777777" w:rsidR="003E1D81" w:rsidRDefault="00EB481C">
      <w:pPr>
        <w:pStyle w:val="P68B1DB1-Normal4"/>
        <w:spacing w:before="120" w:after="120" w:line="240" w:lineRule="auto"/>
        <w:jc w:val="both"/>
        <w:rPr>
          <w:rFonts w:cs="Times New Roman"/>
          <w:noProof/>
        </w:rPr>
      </w:pPr>
      <w:r>
        <w:rPr>
          <w:noProof/>
        </w:rPr>
        <w:t>A beruházás három projektből áll.</w:t>
      </w:r>
    </w:p>
    <w:p w14:paraId="11197346" w14:textId="77777777" w:rsidR="003E1D81" w:rsidRDefault="00EB481C">
      <w:pPr>
        <w:pStyle w:val="P68B1DB1-Normal4"/>
        <w:spacing w:before="120" w:after="120" w:line="240" w:lineRule="auto"/>
        <w:ind w:left="709"/>
        <w:jc w:val="both"/>
        <w:rPr>
          <w:rFonts w:cs="Times New Roman"/>
          <w:noProof/>
        </w:rPr>
      </w:pPr>
      <w:r>
        <w:rPr>
          <w:noProof/>
        </w:rPr>
        <w:t>Az összekapcsoltság javítása határokon átnyúló di</w:t>
      </w:r>
      <w:r>
        <w:rPr>
          <w:noProof/>
        </w:rPr>
        <w:t>gitális infrastruktúra: Ez azt jelentené, hogy a spanyol vállalatok részt vennének az Európai Hálózatfinanszírozási Eszköz (CEF2 Digital) és az új általános csoportmentességi rendelet adatinfrastruktúra-összeköttetéseire és tenger alatti kábeleire irányuló</w:t>
      </w:r>
      <w:r>
        <w:rPr>
          <w:noProof/>
        </w:rPr>
        <w:t xml:space="preserve"> projektekben részt vevő vállalkozások konzorciumaiban. </w:t>
      </w:r>
    </w:p>
    <w:p w14:paraId="186801E0" w14:textId="08BEAE9C" w:rsidR="003E1D81" w:rsidRDefault="00EB481C">
      <w:pPr>
        <w:pStyle w:val="P68B1DB1-Normal4"/>
        <w:spacing w:before="120" w:after="120" w:line="240" w:lineRule="auto"/>
        <w:ind w:left="709"/>
        <w:jc w:val="both"/>
        <w:rPr>
          <w:rFonts w:cs="Times New Roman"/>
          <w:noProof/>
        </w:rPr>
      </w:pPr>
      <w:r>
        <w:rPr>
          <w:noProof/>
        </w:rPr>
        <w:t xml:space="preserve">Részvétel digitális infrastrukturális projektekben:  a javasolt projektek az új generációs számításifelhő- és Edge-infrastruktúrához és -szolgáltatásokhoz kapcsolódnának; valamint fejlett processzor </w:t>
      </w:r>
      <w:r>
        <w:rPr>
          <w:noProof/>
        </w:rPr>
        <w:t xml:space="preserve">és félvezető. </w:t>
      </w:r>
    </w:p>
    <w:p w14:paraId="691C9FC0" w14:textId="77777777" w:rsidR="003E1D81" w:rsidRDefault="00EB481C">
      <w:pPr>
        <w:pStyle w:val="P68B1DB1-Normal4"/>
        <w:spacing w:before="120" w:after="120" w:line="240" w:lineRule="auto"/>
        <w:ind w:left="709"/>
        <w:jc w:val="both"/>
        <w:rPr>
          <w:rFonts w:cs="Times New Roman"/>
          <w:noProof/>
        </w:rPr>
      </w:pPr>
      <w:r>
        <w:rPr>
          <w:noProof/>
        </w:rPr>
        <w:t xml:space="preserve">Egyéb, határokon átnyúló digitális infrastrukturális K+F+I projektek, beleértve a műholdas kommunikációs rendszerekbe történő beruházásokat és a kvantumkommunikációs képességek fejlesztését. </w:t>
      </w:r>
    </w:p>
    <w:p w14:paraId="0A297D7E" w14:textId="7EC24370" w:rsidR="003E1D81" w:rsidRDefault="00EB481C">
      <w:pPr>
        <w:pStyle w:val="P68B1DB1-Normal4"/>
        <w:spacing w:before="120" w:after="120" w:line="240" w:lineRule="auto"/>
        <w:jc w:val="both"/>
        <w:rPr>
          <w:rFonts w:eastAsia="Calibri" w:cs="Times New Roman"/>
          <w:noProof/>
        </w:rPr>
      </w:pPr>
      <w:r>
        <w:rPr>
          <w:noProof/>
        </w:rPr>
        <w:t xml:space="preserve">E beruházásokra vonatkozóan 2022. december 31-ig részletes végrehajtható tervet kell benyújtani a kiválasztott projektek egyértelmű meghatározása céljából.  </w:t>
      </w:r>
    </w:p>
    <w:p w14:paraId="0483EF2F" w14:textId="5CBEDFBF" w:rsidR="003E1D81" w:rsidRDefault="00EB481C">
      <w:pPr>
        <w:pStyle w:val="P68B1DB1-Normal4"/>
        <w:spacing w:before="120" w:after="120" w:line="240" w:lineRule="auto"/>
        <w:jc w:val="both"/>
        <w:rPr>
          <w:rFonts w:cs="Times New Roman"/>
          <w:noProof/>
        </w:rPr>
      </w:pPr>
      <w:r>
        <w:rPr>
          <w:noProof/>
        </w:rPr>
        <w:t xml:space="preserve">A tervnek ismertetnie kell a technikai kritériumokat (a projektek és a kedvezményezettek alapvető </w:t>
      </w:r>
      <w:r>
        <w:rPr>
          <w:noProof/>
        </w:rPr>
        <w:t xml:space="preserve">jellemzői), valamint a szükséges jogi és szabályozási lépéseket, beleértve az állami támogatások ellenőrzésének való megfeleléshez szükséges lépéseket is. A beruházást 2026. június 30-ig be kell fejezni. </w:t>
      </w:r>
    </w:p>
    <w:p w14:paraId="547B9957" w14:textId="77777777" w:rsidR="003E1D81" w:rsidRDefault="00EB481C">
      <w:pPr>
        <w:pStyle w:val="P68B1DB1-Normal6"/>
        <w:spacing w:before="120" w:after="120" w:line="240" w:lineRule="auto"/>
        <w:jc w:val="both"/>
        <w:rPr>
          <w:rFonts w:cs="Times New Roman"/>
          <w:noProof/>
        </w:rPr>
      </w:pPr>
      <w:r>
        <w:rPr>
          <w:noProof/>
        </w:rPr>
        <w:t>Beruházás (C15.I6) – 5G kiépítés: hálózatok, techno</w:t>
      </w:r>
      <w:r>
        <w:rPr>
          <w:noProof/>
        </w:rPr>
        <w:t>lógiai változás és innováció</w:t>
      </w:r>
    </w:p>
    <w:p w14:paraId="24B69272" w14:textId="77777777" w:rsidR="003E1D81" w:rsidRDefault="00EB481C">
      <w:pPr>
        <w:pStyle w:val="P68B1DB1-Normal4"/>
        <w:spacing w:before="120" w:after="120" w:line="240" w:lineRule="auto"/>
        <w:jc w:val="both"/>
        <w:rPr>
          <w:rFonts w:cs="Times New Roman"/>
          <w:noProof/>
        </w:rPr>
      </w:pPr>
      <w:r>
        <w:rPr>
          <w:noProof/>
        </w:rPr>
        <w:t>A beruházás négy különböző alprojektből áll:</w:t>
      </w:r>
    </w:p>
    <w:p w14:paraId="0B1CF237" w14:textId="0C6641AD" w:rsidR="003E1D81" w:rsidRDefault="00EB481C">
      <w:pPr>
        <w:pStyle w:val="P68B1DB1-Normal4"/>
        <w:spacing w:before="120" w:after="120" w:line="240" w:lineRule="auto"/>
        <w:ind w:left="709"/>
        <w:jc w:val="both"/>
        <w:rPr>
          <w:rFonts w:eastAsia="Calibri" w:cs="Times New Roman"/>
          <w:noProof/>
        </w:rPr>
      </w:pPr>
      <w:r>
        <w:rPr>
          <w:noProof/>
        </w:rPr>
        <w:t>Fel kell gyorsítani és fel kell gyorsítani az 5G kiépítését a fő közlekedési folyosókon (közutak és vasutak), mind nemzeti (bizonyos területeken másodlagos folyosók), mind pedig hatá</w:t>
      </w:r>
      <w:r>
        <w:rPr>
          <w:noProof/>
        </w:rPr>
        <w:t xml:space="preserve">rokon átnyúló (elsődleges folyosók). Ez a kezdeményezés összhangban van az Európai Bizottság által meghatározott 5G folyosókkal, és a Spanyolország és Portugália, valamint Spanyolország és Franciaország közötti folyosókat összesen legalább 4000 helyszínen </w:t>
      </w:r>
      <w:r>
        <w:rPr>
          <w:noProof/>
        </w:rPr>
        <w:t>bővíti, beleértve a felhordó összeköttetéseket is. Ez az intézkedés azokra a másodlagos útvonalakra vonatkozik, amelyekre nem vonatkoznak a spektrumpályázatokban előírt kötelezettségek.</w:t>
      </w:r>
    </w:p>
    <w:p w14:paraId="7084D070" w14:textId="3F4BE6DB" w:rsidR="003E1D81" w:rsidRDefault="00EB481C">
      <w:pPr>
        <w:pStyle w:val="P68B1DB1-Normal4"/>
        <w:spacing w:before="120" w:after="120" w:line="240" w:lineRule="auto"/>
        <w:ind w:left="709"/>
        <w:jc w:val="both"/>
        <w:rPr>
          <w:rFonts w:cs="Times New Roman"/>
          <w:noProof/>
        </w:rPr>
      </w:pPr>
      <w:r>
        <w:rPr>
          <w:noProof/>
        </w:rPr>
        <w:t>Az 5G telepítése bizonyos területeken azzal a céllal, hogy 2025. decem</w:t>
      </w:r>
      <w:r>
        <w:rPr>
          <w:noProof/>
        </w:rPr>
        <w:t>ber 31-ig 75%-os népességi lefedettség valósuljon meg az 5G preferenciasávokban. E kiépítés megkönnyítése érdekében intézkedéseket kell hozni a meglévő hálózat kapacitásának növelésére is annak érdekében, hogy képes legyen reagálni a nagy sávszélesség-igén</w:t>
      </w:r>
      <w:r>
        <w:rPr>
          <w:noProof/>
        </w:rPr>
        <w:t>yre és a bázisállomások sűrűségére, ami szükségessé teszi az 5G kiépítését (legalább 7000 új vagy meglévő helyszín új 5G berendezéssel; és legalább 4000 meglévő helyszín a felhordó hálózat kapacitásának növelését célzó intézkedésekkel). Ez az intézkedés az</w:t>
      </w:r>
      <w:r>
        <w:rPr>
          <w:noProof/>
        </w:rPr>
        <w:t>okra a területekre terjed ki, amelyekre nem vonatkoznak a frekvenciapályázatokban előírt kötelezettségek.</w:t>
      </w:r>
    </w:p>
    <w:p w14:paraId="323D5C30" w14:textId="77777777" w:rsidR="003E1D81" w:rsidRDefault="00EB481C">
      <w:pPr>
        <w:pStyle w:val="P68B1DB1-Normal4"/>
        <w:spacing w:before="120" w:after="120" w:line="240" w:lineRule="auto"/>
        <w:ind w:left="709"/>
        <w:jc w:val="both"/>
        <w:rPr>
          <w:rFonts w:cs="Times New Roman"/>
          <w:noProof/>
        </w:rPr>
      </w:pPr>
      <w:r>
        <w:rPr>
          <w:noProof/>
        </w:rPr>
        <w:t xml:space="preserve">5G bevezetése kulcsfontosságú gazdasági tevékenységekben (ipari termelési környezet egyes kulcsfontosságú és nagy hatású termelési ágazatokban működő </w:t>
      </w:r>
      <w:r>
        <w:rPr>
          <w:noProof/>
        </w:rPr>
        <w:t>stratégiai vállalatoknál) és az alapvető szolgáltatásokban (termelési környezet az oktatási, ápolási-gondozási és társadalmi-egészségügyi területeken). Legalább 43 konnektivitási projekt várható.</w:t>
      </w:r>
    </w:p>
    <w:p w14:paraId="77066EE2" w14:textId="77777777" w:rsidR="003E1D81" w:rsidRDefault="00EB481C">
      <w:pPr>
        <w:pStyle w:val="P68B1DB1-Normal4"/>
        <w:spacing w:before="120" w:after="120" w:line="240" w:lineRule="auto"/>
        <w:ind w:left="709"/>
        <w:jc w:val="both"/>
        <w:rPr>
          <w:rFonts w:cs="Times New Roman"/>
          <w:noProof/>
        </w:rPr>
      </w:pPr>
      <w:r>
        <w:rPr>
          <w:noProof/>
        </w:rPr>
        <w:t>Az 5G-hez és a 6G-hez kapcsolódó K+F támogatása innovációs ö</w:t>
      </w:r>
      <w:r>
        <w:rPr>
          <w:noProof/>
        </w:rPr>
        <w:t>koszisztémák (legalább 200 projekt) és 5G kiberbiztonsági ökoszisztémák (körülbelül 300 mérnök befogadására képes központ létrehozása az 5G kiberbiztonság érdekében, az építési/felújítási munkálatokkal kapcsolatos költségek nélkül).</w:t>
      </w:r>
    </w:p>
    <w:p w14:paraId="4CD8BEF3" w14:textId="53DF9795" w:rsidR="003E1D81" w:rsidRDefault="00EB481C">
      <w:pPr>
        <w:pStyle w:val="P68B1DB1-Normal4"/>
        <w:spacing w:before="120" w:after="120" w:line="240" w:lineRule="auto"/>
        <w:jc w:val="both"/>
        <w:rPr>
          <w:rFonts w:eastAsia="Calibri" w:cs="Times New Roman"/>
          <w:noProof/>
        </w:rPr>
      </w:pPr>
      <w:r>
        <w:rPr>
          <w:noProof/>
        </w:rPr>
        <w:t>A fenti projektek minde</w:t>
      </w:r>
      <w:r>
        <w:rPr>
          <w:noProof/>
        </w:rPr>
        <w:t>gyike esetében 2022. június 30-ig részletes végrehajtható tervet kell benyújtani, amelynek célja a kiválasztott projektek egyértelmű meghatározása és a költségvetés 100%-ának 2024. december 31-ig történő odaítélése, valamint a projekt 2025. június 30-ig tö</w:t>
      </w:r>
      <w:r>
        <w:rPr>
          <w:noProof/>
        </w:rPr>
        <w:t xml:space="preserve">rténő befejezése. </w:t>
      </w:r>
    </w:p>
    <w:p w14:paraId="32224B04" w14:textId="77777777" w:rsidR="003E1D81" w:rsidRDefault="00EB481C">
      <w:pPr>
        <w:pStyle w:val="P68B1DB1-Normal4"/>
        <w:spacing w:before="120" w:after="120" w:line="240" w:lineRule="auto"/>
        <w:jc w:val="both"/>
        <w:rPr>
          <w:rFonts w:eastAsia="Calibri" w:cs="Times New Roman"/>
          <w:noProof/>
        </w:rPr>
      </w:pPr>
      <w:r>
        <w:rPr>
          <w:noProof/>
        </w:rPr>
        <w:t>A tervnek tartalmaznia kell az 5G telepítésére vonatkozó végrehajtási tervet, amely a következő területeken tartalmaz intézkedéseket: 1) 5G folyosók; 5G hozzáférési hálózatok és mobil felhordók kiépítése más területeken; 5G telepítési pr</w:t>
      </w:r>
      <w:r>
        <w:rPr>
          <w:noProof/>
        </w:rPr>
        <w:t>ojektek a kulcsfontosságú gazdasági tevékenységek és alapvető szolgáltatások összekapcsoltsága és digitalizálása érdekében; valamint 4) az 5G és 6G ökoszisztéma innovatív alkalmazásainak támogatása. A tervnek tartalmaznia kell továbbá a technikai kritérium</w:t>
      </w:r>
      <w:r>
        <w:rPr>
          <w:noProof/>
        </w:rPr>
        <w:t xml:space="preserve">okat (adott esetben a projektek és az érintett területek fő jellemzői), valamint a szükséges jogi és szabályozási lépéseket, beleértve a vonatkozó uniós állami támogatási szabályoknak való megfeleléshez szükséges lépéseket is. A tervben meg kell határozni </w:t>
      </w:r>
      <w:r>
        <w:rPr>
          <w:noProof/>
        </w:rPr>
        <w:t xml:space="preserve">a 2025. december 31-ig elérendő végleges célokat is. </w:t>
      </w:r>
    </w:p>
    <w:p w14:paraId="68A4B104" w14:textId="1F2FF1E5" w:rsidR="003E1D81" w:rsidRDefault="00EB481C">
      <w:pPr>
        <w:pStyle w:val="P68B1DB1-Normal4"/>
        <w:spacing w:before="120" w:after="120" w:line="240" w:lineRule="auto"/>
        <w:jc w:val="both"/>
        <w:rPr>
          <w:rFonts w:eastAsia="Calibri" w:cs="Times New Roman"/>
          <w:noProof/>
        </w:rPr>
      </w:pPr>
      <w:r>
        <w:rPr>
          <w:noProof/>
        </w:rPr>
        <w:t>A beruházást 2026. június 30-ig be kell fejezni.</w:t>
      </w:r>
    </w:p>
    <w:p w14:paraId="1127DB1F" w14:textId="77777777" w:rsidR="003E1D81" w:rsidRDefault="00EB481C">
      <w:pPr>
        <w:pStyle w:val="P68B1DB1-Normal6"/>
        <w:spacing w:before="120" w:after="120" w:line="240" w:lineRule="auto"/>
        <w:jc w:val="both"/>
        <w:rPr>
          <w:rFonts w:cs="Times New Roman"/>
          <w:noProof/>
        </w:rPr>
      </w:pPr>
      <w:r>
        <w:rPr>
          <w:noProof/>
        </w:rPr>
        <w:t>Beruházás (C15.I7) Kiberbiztonság: A polgárok, a kkv-k és a szakemberek kapacitásainak megerősítése; az ágazat ökoszisztémájának javítása</w:t>
      </w:r>
    </w:p>
    <w:p w14:paraId="410DE09F" w14:textId="77777777" w:rsidR="003E1D81" w:rsidRDefault="00EB481C">
      <w:pPr>
        <w:pStyle w:val="P68B1DB1-Normal4"/>
        <w:spacing w:before="120" w:after="120" w:line="240" w:lineRule="auto"/>
        <w:jc w:val="both"/>
        <w:rPr>
          <w:rFonts w:cs="Times New Roman"/>
          <w:noProof/>
        </w:rPr>
      </w:pPr>
      <w:r>
        <w:rPr>
          <w:noProof/>
        </w:rPr>
        <w:t xml:space="preserve">A beruházásnak </w:t>
      </w:r>
      <w:r>
        <w:rPr>
          <w:noProof/>
        </w:rPr>
        <w:t xml:space="preserve">számos olyan intézkedésből kell állnia, amelyek célja mind a polgárok, mind a vállalkozások kiberbiztonsági kapacitásainak fejlesztése, valamint a spanyol kiberbiztonsági ökoszisztéma fellendítése. Az intézkedések három tengely köré csoportosulnak: </w:t>
      </w:r>
    </w:p>
    <w:p w14:paraId="4C6EFB9E" w14:textId="77777777" w:rsidR="003E1D81" w:rsidRDefault="00EB481C">
      <w:pPr>
        <w:pStyle w:val="P68B1DB1-Normal4"/>
        <w:spacing w:before="120" w:after="120" w:line="240" w:lineRule="auto"/>
        <w:ind w:left="709"/>
        <w:jc w:val="both"/>
        <w:rPr>
          <w:rFonts w:cs="Times New Roman"/>
          <w:noProof/>
        </w:rPr>
      </w:pPr>
      <w:r>
        <w:rPr>
          <w:noProof/>
        </w:rPr>
        <w:t xml:space="preserve">A </w:t>
      </w:r>
      <w:r>
        <w:rPr>
          <w:noProof/>
        </w:rPr>
        <w:t>polgárok, a kkv-k és a szakemberek kiberbiztonsági kapacitásainak megerősítése. A polgárok és a vállalkozások, különösen a kkv-k felvértezése a digitális technológiák mindennapi használata során felmerülő kockázatok azonosításához szükséges készségekkel. A</w:t>
      </w:r>
      <w:r>
        <w:rPr>
          <w:noProof/>
        </w:rPr>
        <w:t>z e területre vonatkozó programok között szerepel egy figyelemfelhívó kampány, amely várhatóan a lehető legtöbb embert megszólítja kommunikációs kampányok, közelséghez kapcsolódó fellépések, valamint e célból külön források kidolgozása révén. Ez magában fo</w:t>
      </w:r>
      <w:r>
        <w:rPr>
          <w:noProof/>
        </w:rPr>
        <w:t>glalja a reagálási mechanizmusok koordinált reagálási szolgáltatások és fellépések – például a kiberbiztonsági segélyvonal – révén történő növelését is, amely havonta 20000 felhívásra növeli kapacitását.</w:t>
      </w:r>
    </w:p>
    <w:p w14:paraId="58B7BDA7" w14:textId="77777777" w:rsidR="003E1D81" w:rsidRDefault="00EB481C">
      <w:pPr>
        <w:pStyle w:val="P68B1DB1-Normal4"/>
        <w:spacing w:before="120" w:after="120" w:line="240" w:lineRule="auto"/>
        <w:ind w:left="709"/>
        <w:jc w:val="both"/>
        <w:rPr>
          <w:rFonts w:eastAsia="Calibri" w:cs="Times New Roman"/>
          <w:noProof/>
        </w:rPr>
      </w:pPr>
      <w:r>
        <w:rPr>
          <w:noProof/>
        </w:rPr>
        <w:t>A kiberbiztonsági ipari ökoszisztéma fellendítése. A</w:t>
      </w:r>
      <w:r>
        <w:rPr>
          <w:noProof/>
        </w:rPr>
        <w:t>z intézkedés e része a következőkre vonatkozó egyedi fellépéseket tartalmaz: a nemzeti kiberbiztonsági ipart, hogy új vállalkozások jelenjenek meg, növekedjenek és fejlődjenek ebben az ágazatban; kiberbiztonsági K+F+I, amely lehetővé teszi magas hozzáadott</w:t>
      </w:r>
      <w:r>
        <w:rPr>
          <w:noProof/>
        </w:rPr>
        <w:t xml:space="preserve"> értékű megoldások és szolgáltatások kifejlesztését; a tehetségek képzése és fejlesztése az ágazat szakemberei iránti kielégítetlen kereslet kielégítése érdekében. Rendelkeznie kell továbbá egy demonstrációs központ létrehozásáról a kiberbiztonsági infrast</w:t>
      </w:r>
      <w:r>
        <w:rPr>
          <w:noProof/>
        </w:rPr>
        <w:t>ruktúra fejlesztése és új kiberbiztonsági szolgáltatások – többek között tesztlaboratóriumok és kiberbiztonsági támadásszimulátorok – létrehozása, valamint a kiberbiztonsági címke tanúsításának kidolgozása érdekében. Nemzetközi kiberbiztonsági központ létr</w:t>
      </w:r>
      <w:r>
        <w:rPr>
          <w:noProof/>
        </w:rPr>
        <w:t>ehozása az európai ágazat fellendítése érdekében a kiberbiztonsági központok európai hálózatában való aktív részvétel révén. Ez magában foglalja az Európai Kompetenciaközpont (ERCC) tükörközpontjának elindítását is.</w:t>
      </w:r>
    </w:p>
    <w:p w14:paraId="1BF3A708" w14:textId="77777777" w:rsidR="003E1D81" w:rsidRDefault="00EB481C">
      <w:pPr>
        <w:pStyle w:val="P68B1DB1-Normal4"/>
        <w:spacing w:after="0" w:line="240" w:lineRule="auto"/>
        <w:rPr>
          <w:rFonts w:eastAsia="Calibri" w:cs="Times New Roman"/>
          <w:noProof/>
        </w:rPr>
      </w:pPr>
      <w:r>
        <w:rPr>
          <w:noProof/>
        </w:rPr>
        <w:t>A beruházás végrehajtását 2026. június 3</w:t>
      </w:r>
      <w:r>
        <w:rPr>
          <w:noProof/>
        </w:rPr>
        <w:t xml:space="preserve">0-ig be kell fejezni. </w:t>
      </w:r>
    </w:p>
    <w:p w14:paraId="6EED76DD" w14:textId="77777777" w:rsidR="003E1D81" w:rsidRDefault="00EB481C">
      <w:pPr>
        <w:pStyle w:val="P68B1DB1-Normal6"/>
        <w:spacing w:before="120" w:after="120" w:line="240" w:lineRule="auto"/>
        <w:jc w:val="both"/>
        <w:rPr>
          <w:rFonts w:cs="Times New Roman"/>
          <w:noProof/>
        </w:rPr>
      </w:pPr>
      <w:r>
        <w:rPr>
          <w:noProof/>
        </w:rPr>
        <w:t>Beruházás (C15.I8) – PERTE Chip: A tudományos és technológiai ökoszisztéma megerősítése. Megnövelt tervezési képességek</w:t>
      </w:r>
    </w:p>
    <w:p w14:paraId="26F5EB1B" w14:textId="137DA6B5" w:rsidR="003E1D81" w:rsidRDefault="00EB481C">
      <w:pPr>
        <w:pStyle w:val="P68B1DB1-Normal4"/>
        <w:spacing w:before="120" w:after="120" w:line="240" w:lineRule="auto"/>
        <w:jc w:val="both"/>
        <w:rPr>
          <w:rFonts w:cs="Times New Roman"/>
          <w:noProof/>
        </w:rPr>
      </w:pPr>
      <w:r>
        <w:rPr>
          <w:noProof/>
        </w:rPr>
        <w:t>Ez az intézkedés a PERTE Chip stratégiai kezdeményezés részét képezi, amelynek célja a spanyolországi mikroelektr</w:t>
      </w:r>
      <w:r>
        <w:rPr>
          <w:noProof/>
        </w:rPr>
        <w:t xml:space="preserve">onikai és félvezető-ipar tudományos, tervezési és gyártási kapacitásainak fejlesztése. E beruházásnak meg kell erősítenie a félvezetőipar tudományos és technológiai ökoszisztémáját, az ágazat egészében a kutatás, a fejlesztés és az innováció fejlesztésére </w:t>
      </w:r>
      <w:r>
        <w:rPr>
          <w:noProof/>
        </w:rPr>
        <w:t>összpontosítva, beleértve a tisztaszobás infrastruktúra létrehozását és fejlesztését, a tehetségek generációját és vonzását, vagy bizonyos területek, például az integrált fotonika vagy a RISC-V megerősítését.</w:t>
      </w:r>
    </w:p>
    <w:p w14:paraId="43493729" w14:textId="52D4B4C3" w:rsidR="003E1D81" w:rsidRDefault="00EB481C">
      <w:pPr>
        <w:pStyle w:val="P68B1DB1-Normal4"/>
        <w:spacing w:before="120" w:after="120" w:line="240" w:lineRule="auto"/>
        <w:jc w:val="both"/>
        <w:rPr>
          <w:rFonts w:cs="Times New Roman"/>
          <w:noProof/>
        </w:rPr>
      </w:pPr>
      <w:r>
        <w:rPr>
          <w:noProof/>
        </w:rPr>
        <w:t>Az e beruházás keretében támogatott projektekne</w:t>
      </w:r>
      <w:r>
        <w:rPr>
          <w:noProof/>
        </w:rPr>
        <w:t>k legalább részben hozzá kell járulniuk a következő cselekvési irányvonalak közül egyhez vagy többhöz:</w:t>
      </w:r>
    </w:p>
    <w:p w14:paraId="6AD5FD41" w14:textId="77777777" w:rsidR="003E1D81" w:rsidRDefault="00EB481C">
      <w:pPr>
        <w:pStyle w:val="P68B1DB1-ListParagraph7"/>
        <w:numPr>
          <w:ilvl w:val="0"/>
          <w:numId w:val="631"/>
        </w:numPr>
        <w:spacing w:before="120" w:after="120" w:line="240" w:lineRule="auto"/>
        <w:rPr>
          <w:rFonts w:cs="Times New Roman"/>
          <w:noProof/>
        </w:rPr>
      </w:pPr>
      <w:r>
        <w:rPr>
          <w:noProof/>
        </w:rPr>
        <w:t>Fellépés Az élvonalbeli mikroprocesszorokkal és alternatív architektúrákkal kapcsolatos K+F+I fejlesztése.</w:t>
      </w:r>
    </w:p>
    <w:p w14:paraId="2E618CE4" w14:textId="77777777" w:rsidR="003E1D81" w:rsidRDefault="00EB481C">
      <w:pPr>
        <w:pStyle w:val="P68B1DB1-ListParagraph7"/>
        <w:numPr>
          <w:ilvl w:val="0"/>
          <w:numId w:val="631"/>
        </w:numPr>
        <w:spacing w:before="120" w:after="120" w:line="240" w:lineRule="auto"/>
        <w:rPr>
          <w:rFonts w:cs="Times New Roman"/>
          <w:noProof/>
        </w:rPr>
      </w:pPr>
      <w:r>
        <w:rPr>
          <w:noProof/>
        </w:rPr>
        <w:t>Fellépés Fotonika K+F+I fejlesztése</w:t>
      </w:r>
    </w:p>
    <w:p w14:paraId="6F66DE6B" w14:textId="77777777" w:rsidR="003E1D81" w:rsidRDefault="00EB481C">
      <w:pPr>
        <w:pStyle w:val="P68B1DB1-ListParagraph7"/>
        <w:numPr>
          <w:ilvl w:val="0"/>
          <w:numId w:val="631"/>
        </w:numPr>
        <w:spacing w:before="120" w:after="120" w:line="240" w:lineRule="auto"/>
        <w:rPr>
          <w:rFonts w:cs="Times New Roman"/>
          <w:noProof/>
        </w:rPr>
      </w:pPr>
      <w:r>
        <w:rPr>
          <w:noProof/>
        </w:rPr>
        <w:t>Fellépés A</w:t>
      </w:r>
      <w:r>
        <w:rPr>
          <w:noProof/>
        </w:rPr>
        <w:t xml:space="preserve"> mikroelektronika és kommunikációs technológiák (IPCEI) finanszírozására szolgáló költségvetési sor (IPCEI ME-TC)</w:t>
      </w:r>
    </w:p>
    <w:p w14:paraId="586F95AC" w14:textId="77777777" w:rsidR="003E1D81" w:rsidRDefault="00EB481C">
      <w:pPr>
        <w:pStyle w:val="P68B1DB1-ListParagraph7"/>
        <w:numPr>
          <w:ilvl w:val="0"/>
          <w:numId w:val="631"/>
        </w:numPr>
        <w:spacing w:before="120" w:after="120" w:line="240" w:lineRule="auto"/>
        <w:rPr>
          <w:rFonts w:cs="Times New Roman"/>
          <w:noProof/>
        </w:rPr>
      </w:pPr>
      <w:r>
        <w:rPr>
          <w:noProof/>
        </w:rPr>
        <w:t>Fellépés Kábelcégek létrehozása élvonalbeli mikroprocesszorok és alternatív architektúrák tervezésére.</w:t>
      </w:r>
    </w:p>
    <w:p w14:paraId="4BCDC96A" w14:textId="77777777" w:rsidR="003E1D81" w:rsidRDefault="00EB481C">
      <w:pPr>
        <w:pStyle w:val="P68B1DB1-ListParagraph7"/>
        <w:numPr>
          <w:ilvl w:val="0"/>
          <w:numId w:val="631"/>
        </w:numPr>
        <w:spacing w:before="120" w:after="120" w:line="240" w:lineRule="auto"/>
        <w:rPr>
          <w:rFonts w:cs="Times New Roman"/>
          <w:noProof/>
        </w:rPr>
      </w:pPr>
      <w:r>
        <w:rPr>
          <w:noProof/>
        </w:rPr>
        <w:t>Fellépés. Kísérleti tesztsorok létrehoz</w:t>
      </w:r>
      <w:r>
        <w:rPr>
          <w:noProof/>
        </w:rPr>
        <w:t>ása.</w:t>
      </w:r>
    </w:p>
    <w:p w14:paraId="30B4D0DC" w14:textId="77777777" w:rsidR="003E1D81" w:rsidRDefault="00EB481C">
      <w:pPr>
        <w:pStyle w:val="P68B1DB1-ListParagraph7"/>
        <w:numPr>
          <w:ilvl w:val="0"/>
          <w:numId w:val="631"/>
        </w:numPr>
        <w:spacing w:before="120" w:after="120" w:line="240" w:lineRule="auto"/>
        <w:rPr>
          <w:rFonts w:cs="Times New Roman"/>
          <w:noProof/>
        </w:rPr>
      </w:pPr>
      <w:r>
        <w:rPr>
          <w:noProof/>
        </w:rPr>
        <w:t>Fellépés. A félvezetőkkel foglalkozó oktatási, képzési és képzési hálózat létrehozása</w:t>
      </w:r>
    </w:p>
    <w:p w14:paraId="23BD4A3C" w14:textId="77777777" w:rsidR="003E1D81" w:rsidRDefault="00EB481C">
      <w:pPr>
        <w:pStyle w:val="P68B1DB1-ListParagraph7"/>
        <w:numPr>
          <w:ilvl w:val="0"/>
          <w:numId w:val="631"/>
        </w:numPr>
        <w:spacing w:before="120" w:after="120" w:line="240" w:lineRule="auto"/>
        <w:rPr>
          <w:rFonts w:cs="Times New Roman"/>
          <w:noProof/>
        </w:rPr>
      </w:pPr>
      <w:r>
        <w:rPr>
          <w:noProof/>
        </w:rPr>
        <w:t xml:space="preserve">Kezdeményezés: Gyártási kapacitása 5 nm alatt van </w:t>
      </w:r>
    </w:p>
    <w:p w14:paraId="2FD5B01F" w14:textId="77777777" w:rsidR="003E1D81" w:rsidRDefault="00EB481C">
      <w:pPr>
        <w:pStyle w:val="P68B1DB1-ListParagraph7"/>
        <w:numPr>
          <w:ilvl w:val="0"/>
          <w:numId w:val="631"/>
        </w:numPr>
        <w:spacing w:before="120" w:after="120" w:line="240" w:lineRule="auto"/>
        <w:rPr>
          <w:rFonts w:cs="Times New Roman"/>
          <w:noProof/>
        </w:rPr>
      </w:pPr>
      <w:r>
        <w:rPr>
          <w:noProof/>
        </w:rPr>
        <w:t xml:space="preserve">Fellépés. Gyártási kapacitása meghaladja az 5 nm-t </w:t>
      </w:r>
    </w:p>
    <w:p w14:paraId="33D26450" w14:textId="77777777" w:rsidR="003E1D81" w:rsidRDefault="00EB481C">
      <w:pPr>
        <w:pStyle w:val="P68B1DB1-ListParagraph7"/>
        <w:numPr>
          <w:ilvl w:val="0"/>
          <w:numId w:val="631"/>
        </w:numPr>
        <w:spacing w:before="120" w:after="120" w:line="240" w:lineRule="auto"/>
        <w:rPr>
          <w:rFonts w:cs="Times New Roman"/>
          <w:noProof/>
        </w:rPr>
      </w:pPr>
      <w:r>
        <w:rPr>
          <w:noProof/>
        </w:rPr>
        <w:t>Fellépés. IKT gyártásösztönzési rendszer</w:t>
      </w:r>
    </w:p>
    <w:p w14:paraId="40DE6A08" w14:textId="77777777" w:rsidR="003E1D81" w:rsidRDefault="00EB481C">
      <w:pPr>
        <w:pStyle w:val="P68B1DB1-Normal4"/>
        <w:spacing w:before="120" w:after="120" w:line="240" w:lineRule="auto"/>
        <w:rPr>
          <w:rFonts w:cs="Times New Roman"/>
          <w:noProof/>
        </w:rPr>
      </w:pPr>
      <w:r>
        <w:rPr>
          <w:noProof/>
        </w:rPr>
        <w:t>A beruházás végrehajt</w:t>
      </w:r>
      <w:r>
        <w:rPr>
          <w:noProof/>
        </w:rPr>
        <w:t xml:space="preserve">ását 2026. június 30-ig be kell fejezni. </w:t>
      </w:r>
    </w:p>
    <w:p w14:paraId="2F9699E9" w14:textId="5DE423BE" w:rsidR="003E1D81" w:rsidRDefault="00EB481C">
      <w:pPr>
        <w:pStyle w:val="P68B1DB1-Normal5"/>
        <w:ind w:left="720"/>
        <w:rPr>
          <w:rFonts w:cs="Times New Roman"/>
          <w:noProof/>
        </w:rPr>
      </w:pPr>
      <w:r>
        <w:rPr>
          <w:noProof/>
        </w:rPr>
        <w:t xml:space="preserve">O.2. </w:t>
      </w:r>
      <w:r>
        <w:rPr>
          <w:noProof/>
        </w:rPr>
        <w:tab/>
        <w:t>Vissza nem térítendő pénzügyi támogatás – a végrehajtáshoz és a nyomon követéshez kapcsolódó mérföldkövek, célok, mutatók és ütemterv</w:t>
      </w:r>
    </w:p>
    <w:p w14:paraId="3F9B53CA" w14:textId="77777777"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Az alapforgatókönyv valamennyi mutató esetében 2020. febru</w:t>
      </w:r>
      <w:r>
        <w:rPr>
          <w:i/>
          <w:noProof/>
        </w:rPr>
        <w:t>ár 1-je, kivéve, ha az intézkedés leírása másként jelzi. A táblázatban szereplő összegek nem tartalmazzák a héát.</w:t>
      </w:r>
    </w:p>
    <w:p w14:paraId="44EA458C" w14:textId="77777777" w:rsidR="003E1D81" w:rsidRDefault="003E1D81">
      <w:pPr>
        <w:spacing w:before="120" w:after="120" w:line="240" w:lineRule="auto"/>
        <w:jc w:val="both"/>
        <w:rPr>
          <w:rFonts w:ascii="Times New Roman" w:hAnsi="Times New Roman" w:cs="Times New Roman"/>
          <w:b/>
          <w:noProof/>
          <w:sz w:val="24"/>
          <w:u w:val="single"/>
        </w:rPr>
      </w:pPr>
    </w:p>
    <w:p w14:paraId="6A7AEB8A" w14:textId="77777777" w:rsidR="003E1D81" w:rsidRDefault="003E1D81">
      <w:pPr>
        <w:spacing w:before="120" w:after="120" w:line="240" w:lineRule="auto"/>
        <w:ind w:left="709"/>
        <w:jc w:val="both"/>
        <w:rPr>
          <w:rFonts w:ascii="Times New Roman" w:hAnsi="Times New Roman" w:cs="Times New Roman"/>
          <w:noProof/>
          <w:sz w:val="24"/>
        </w:rPr>
      </w:pPr>
    </w:p>
    <w:p w14:paraId="08AB0B9E" w14:textId="77777777" w:rsidR="003E1D81" w:rsidRDefault="003E1D81">
      <w:pPr>
        <w:spacing w:before="120" w:after="120" w:line="240" w:lineRule="auto"/>
        <w:ind w:left="709"/>
        <w:jc w:val="both"/>
        <w:rPr>
          <w:rFonts w:ascii="Times New Roman" w:hAnsi="Times New Roman" w:cs="Times New Roman"/>
          <w:noProof/>
          <w:sz w:val="24"/>
        </w:rPr>
        <w:sectPr w:rsidR="003E1D81" w:rsidSect="00EB7CC8">
          <w:headerReference w:type="even" r:id="rId306"/>
          <w:headerReference w:type="default" r:id="rId307"/>
          <w:footerReference w:type="even" r:id="rId308"/>
          <w:footerReference w:type="default" r:id="rId309"/>
          <w:headerReference w:type="first" r:id="rId310"/>
          <w:footerReference w:type="first" r:id="rId311"/>
          <w:pgSz w:w="11907" w:h="16839"/>
          <w:pgMar w:top="1134" w:right="1417" w:bottom="1134" w:left="1417" w:header="709" w:footer="709" w:gutter="0"/>
          <w:cols w:space="720"/>
          <w:docGrid w:linePitch="360"/>
        </w:sectPr>
      </w:pPr>
    </w:p>
    <w:tbl>
      <w:tblPr>
        <w:tblpPr w:leftFromText="180" w:rightFromText="180" w:vertAnchor="text" w:tblpXSpec="right" w:tblpY="1"/>
        <w:tblOverlap w:val="neve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4"/>
        <w:gridCol w:w="969"/>
        <w:gridCol w:w="833"/>
        <w:gridCol w:w="2451"/>
        <w:gridCol w:w="1275"/>
        <w:gridCol w:w="709"/>
        <w:gridCol w:w="709"/>
        <w:gridCol w:w="776"/>
        <w:gridCol w:w="500"/>
        <w:gridCol w:w="708"/>
        <w:gridCol w:w="5670"/>
        <w:gridCol w:w="6"/>
      </w:tblGrid>
      <w:tr w:rsidR="003E1D81" w14:paraId="7A0188BB" w14:textId="77777777">
        <w:trPr>
          <w:trHeight w:val="309"/>
          <w:tblHeader/>
        </w:trPr>
        <w:tc>
          <w:tcPr>
            <w:tcW w:w="704"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24E950E4" w14:textId="77777777" w:rsidR="003E1D81" w:rsidRDefault="00EB481C">
            <w:pPr>
              <w:pStyle w:val="P68B1DB1-Normal12"/>
              <w:spacing w:after="0"/>
              <w:jc w:val="center"/>
              <w:rPr>
                <w:rFonts w:cs="Times New Roman"/>
                <w:noProof/>
              </w:rPr>
            </w:pPr>
            <w:r>
              <w:rPr>
                <w:noProof/>
              </w:rPr>
              <w:t>Szám</w:t>
            </w:r>
          </w:p>
        </w:tc>
        <w:tc>
          <w:tcPr>
            <w:tcW w:w="969"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25D0FFEA" w14:textId="77777777" w:rsidR="003E1D81" w:rsidRDefault="00EB481C">
            <w:pPr>
              <w:pStyle w:val="P68B1DB1-Normal12"/>
              <w:spacing w:after="0"/>
              <w:jc w:val="center"/>
              <w:rPr>
                <w:rFonts w:cs="Times New Roman"/>
                <w:noProof/>
              </w:rPr>
            </w:pPr>
            <w:r>
              <w:rPr>
                <w:noProof/>
              </w:rPr>
              <w:t>Intézkedés</w:t>
            </w:r>
          </w:p>
        </w:tc>
        <w:tc>
          <w:tcPr>
            <w:tcW w:w="833"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DF6799D" w14:textId="77777777" w:rsidR="003E1D81" w:rsidRDefault="00EB481C">
            <w:pPr>
              <w:pStyle w:val="P68B1DB1-Normal13"/>
              <w:spacing w:after="0"/>
              <w:jc w:val="center"/>
              <w:rPr>
                <w:rFonts w:cs="Times New Roman"/>
                <w:b/>
                <w:noProof/>
              </w:rPr>
            </w:pPr>
            <w:r>
              <w:rPr>
                <w:b/>
                <w:noProof/>
              </w:rPr>
              <w:t>Mérföldkő</w:t>
            </w:r>
            <w:r>
              <w:rPr>
                <w:noProof/>
              </w:rPr>
              <w:br/>
            </w:r>
            <w:r>
              <w:rPr>
                <w:b/>
                <w:noProof/>
              </w:rPr>
              <w:t xml:space="preserve"> /Cél</w:t>
            </w:r>
          </w:p>
        </w:tc>
        <w:tc>
          <w:tcPr>
            <w:tcW w:w="2451"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3A4726C" w14:textId="77777777" w:rsidR="003E1D81" w:rsidRDefault="00EB481C">
            <w:pPr>
              <w:pStyle w:val="P68B1DB1-Normal12"/>
              <w:spacing w:after="0"/>
              <w:jc w:val="center"/>
              <w:rPr>
                <w:rFonts w:cs="Times New Roman"/>
                <w:noProof/>
              </w:rPr>
            </w:pPr>
            <w:r>
              <w:rPr>
                <w:noProof/>
              </w:rPr>
              <w:t>Név</w:t>
            </w:r>
          </w:p>
        </w:tc>
        <w:tc>
          <w:tcPr>
            <w:tcW w:w="1275"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66C672C6" w14:textId="77777777" w:rsidR="003E1D81" w:rsidRDefault="00EB481C">
            <w:pPr>
              <w:pStyle w:val="P68B1DB1-Normal12"/>
              <w:spacing w:after="0"/>
              <w:jc w:val="center"/>
              <w:rPr>
                <w:rFonts w:cs="Times New Roman"/>
                <w:noProof/>
              </w:rPr>
            </w:pPr>
            <w:r>
              <w:rPr>
                <w:noProof/>
              </w:rPr>
              <w:t>A mérföldkövek minőségi mutatója</w:t>
            </w:r>
          </w:p>
        </w:tc>
        <w:tc>
          <w:tcPr>
            <w:tcW w:w="219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62DF217" w14:textId="77777777" w:rsidR="003E1D81" w:rsidRDefault="00EB481C">
            <w:pPr>
              <w:pStyle w:val="P68B1DB1-Normal12"/>
              <w:spacing w:after="0"/>
              <w:jc w:val="center"/>
              <w:rPr>
                <w:rFonts w:cs="Times New Roman"/>
                <w:noProof/>
              </w:rPr>
            </w:pPr>
            <w:r>
              <w:rPr>
                <w:noProof/>
              </w:rPr>
              <w:t>A célérték</w:t>
            </w:r>
            <w:r>
              <w:rPr>
                <w:noProof/>
              </w:rPr>
              <w:t xml:space="preserve"> mennyiségi mutatója</w:t>
            </w:r>
          </w:p>
        </w:tc>
        <w:tc>
          <w:tcPr>
            <w:tcW w:w="120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BAD463C" w14:textId="77777777" w:rsidR="003E1D81" w:rsidRDefault="00EB481C">
            <w:pPr>
              <w:pStyle w:val="P68B1DB1-Normal12"/>
              <w:spacing w:after="0"/>
              <w:jc w:val="center"/>
              <w:rPr>
                <w:rFonts w:cs="Times New Roman"/>
                <w:noProof/>
              </w:rPr>
            </w:pPr>
            <w:r>
              <w:rPr>
                <w:noProof/>
              </w:rPr>
              <w:t>Idő</w:t>
            </w:r>
          </w:p>
        </w:tc>
        <w:tc>
          <w:tcPr>
            <w:tcW w:w="5676" w:type="dxa"/>
            <w:gridSpan w:val="2"/>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116C122A" w14:textId="77777777" w:rsidR="003E1D81" w:rsidRDefault="00EB481C">
            <w:pPr>
              <w:pStyle w:val="P68B1DB1-Normal12"/>
              <w:spacing w:after="0"/>
              <w:jc w:val="center"/>
              <w:rPr>
                <w:rFonts w:cs="Times New Roman"/>
                <w:noProof/>
              </w:rPr>
            </w:pPr>
            <w:r>
              <w:rPr>
                <w:noProof/>
              </w:rPr>
              <w:t>Az egyes mérföldkövek és célértékek leírása</w:t>
            </w:r>
          </w:p>
        </w:tc>
      </w:tr>
      <w:tr w:rsidR="003E1D81" w14:paraId="4067725C" w14:textId="77777777">
        <w:trPr>
          <w:trHeight w:val="309"/>
          <w:tblHeader/>
        </w:trPr>
        <w:tc>
          <w:tcPr>
            <w:tcW w:w="704" w:type="dxa"/>
            <w:tcBorders>
              <w:top w:val="nil"/>
              <w:left w:val="single" w:sz="4" w:space="0" w:color="auto"/>
              <w:bottom w:val="single" w:sz="4" w:space="0" w:color="auto"/>
              <w:right w:val="single" w:sz="4" w:space="0" w:color="auto"/>
            </w:tcBorders>
            <w:shd w:val="clear" w:color="auto" w:fill="C6D9F1" w:themeFill="text2" w:themeFillTint="33"/>
            <w:noWrap/>
          </w:tcPr>
          <w:p w14:paraId="27E765F8" w14:textId="77777777" w:rsidR="003E1D81" w:rsidRDefault="003E1D81">
            <w:pPr>
              <w:spacing w:after="0"/>
              <w:jc w:val="center"/>
              <w:rPr>
                <w:rFonts w:ascii="Times New Roman" w:hAnsi="Times New Roman" w:cs="Times New Roman"/>
                <w:b/>
                <w:noProof/>
                <w:sz w:val="18"/>
              </w:rPr>
            </w:pPr>
          </w:p>
        </w:tc>
        <w:tc>
          <w:tcPr>
            <w:tcW w:w="969" w:type="dxa"/>
            <w:tcBorders>
              <w:top w:val="nil"/>
              <w:left w:val="single" w:sz="4" w:space="0" w:color="auto"/>
              <w:bottom w:val="single" w:sz="4" w:space="0" w:color="auto"/>
              <w:right w:val="single" w:sz="4" w:space="0" w:color="auto"/>
            </w:tcBorders>
            <w:shd w:val="clear" w:color="auto" w:fill="C6D9F1" w:themeFill="text2" w:themeFillTint="33"/>
            <w:noWrap/>
          </w:tcPr>
          <w:p w14:paraId="733FB4A1" w14:textId="77777777" w:rsidR="003E1D81" w:rsidRDefault="003E1D81">
            <w:pPr>
              <w:spacing w:after="0"/>
              <w:jc w:val="center"/>
              <w:rPr>
                <w:rFonts w:ascii="Times New Roman" w:hAnsi="Times New Roman" w:cs="Times New Roman"/>
                <w:b/>
                <w:noProof/>
                <w:sz w:val="18"/>
              </w:rPr>
            </w:pPr>
          </w:p>
        </w:tc>
        <w:tc>
          <w:tcPr>
            <w:tcW w:w="833" w:type="dxa"/>
            <w:tcBorders>
              <w:top w:val="nil"/>
              <w:left w:val="single" w:sz="4" w:space="0" w:color="auto"/>
              <w:bottom w:val="single" w:sz="4" w:space="0" w:color="auto"/>
              <w:right w:val="single" w:sz="4" w:space="0" w:color="auto"/>
            </w:tcBorders>
            <w:shd w:val="clear" w:color="auto" w:fill="C6D9F1" w:themeFill="text2" w:themeFillTint="33"/>
            <w:noWrap/>
          </w:tcPr>
          <w:p w14:paraId="6E018703" w14:textId="77777777" w:rsidR="003E1D81" w:rsidRDefault="003E1D81">
            <w:pPr>
              <w:spacing w:after="0"/>
              <w:jc w:val="center"/>
              <w:rPr>
                <w:rFonts w:ascii="Times New Roman" w:hAnsi="Times New Roman" w:cs="Times New Roman"/>
                <w:b/>
                <w:noProof/>
                <w:sz w:val="18"/>
              </w:rPr>
            </w:pPr>
          </w:p>
        </w:tc>
        <w:tc>
          <w:tcPr>
            <w:tcW w:w="2451" w:type="dxa"/>
            <w:tcBorders>
              <w:top w:val="nil"/>
              <w:left w:val="single" w:sz="4" w:space="0" w:color="auto"/>
              <w:bottom w:val="single" w:sz="4" w:space="0" w:color="auto"/>
              <w:right w:val="single" w:sz="4" w:space="0" w:color="auto"/>
            </w:tcBorders>
            <w:shd w:val="clear" w:color="auto" w:fill="C6D9F1" w:themeFill="text2" w:themeFillTint="33"/>
            <w:noWrap/>
          </w:tcPr>
          <w:p w14:paraId="4BA5681D" w14:textId="77777777" w:rsidR="003E1D81" w:rsidRDefault="003E1D81">
            <w:pPr>
              <w:spacing w:after="0"/>
              <w:rPr>
                <w:rFonts w:ascii="Times New Roman" w:hAnsi="Times New Roman" w:cs="Times New Roman"/>
                <w:b/>
                <w:noProof/>
                <w:sz w:val="18"/>
              </w:rPr>
            </w:pPr>
          </w:p>
        </w:tc>
        <w:tc>
          <w:tcPr>
            <w:tcW w:w="1275" w:type="dxa"/>
            <w:tcBorders>
              <w:top w:val="nil"/>
              <w:left w:val="single" w:sz="4" w:space="0" w:color="auto"/>
              <w:bottom w:val="single" w:sz="4" w:space="0" w:color="auto"/>
              <w:right w:val="single" w:sz="4" w:space="0" w:color="auto"/>
            </w:tcBorders>
            <w:shd w:val="clear" w:color="auto" w:fill="C6D9F1" w:themeFill="text2" w:themeFillTint="33"/>
            <w:noWrap/>
          </w:tcPr>
          <w:p w14:paraId="2397FB46" w14:textId="77777777" w:rsidR="003E1D81" w:rsidRDefault="003E1D81">
            <w:pPr>
              <w:spacing w:after="0"/>
              <w:jc w:val="center"/>
              <w:rPr>
                <w:rFonts w:ascii="Times New Roman" w:hAnsi="Times New Roman" w:cs="Times New Roman"/>
                <w:b/>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188F84FF" w14:textId="77777777" w:rsidR="003E1D81" w:rsidRDefault="00EB481C">
            <w:pPr>
              <w:pStyle w:val="P68B1DB1-Normal12"/>
              <w:spacing w:after="0"/>
              <w:jc w:val="center"/>
              <w:rPr>
                <w:rFonts w:cs="Times New Roman"/>
                <w:noProof/>
              </w:rPr>
            </w:pPr>
            <w:r>
              <w:rPr>
                <w:noProof/>
              </w:rPr>
              <w:t>Egység</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4EDF8F0" w14:textId="77777777" w:rsidR="003E1D81" w:rsidRDefault="00EB481C">
            <w:pPr>
              <w:pStyle w:val="P68B1DB1-Normal12"/>
              <w:spacing w:after="0"/>
              <w:jc w:val="center"/>
              <w:rPr>
                <w:rFonts w:cs="Times New Roman"/>
                <w:noProof/>
              </w:rPr>
            </w:pPr>
            <w:r>
              <w:rPr>
                <w:noProof/>
              </w:rPr>
              <w:t>Alapérték</w:t>
            </w:r>
          </w:p>
        </w:tc>
        <w:tc>
          <w:tcPr>
            <w:tcW w:w="7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873E1E8" w14:textId="77777777" w:rsidR="003E1D81" w:rsidRDefault="00EB481C">
            <w:pPr>
              <w:pStyle w:val="P68B1DB1-Normal12"/>
              <w:spacing w:after="0"/>
              <w:jc w:val="center"/>
              <w:rPr>
                <w:rFonts w:cs="Times New Roman"/>
                <w:noProof/>
              </w:rPr>
            </w:pPr>
            <w:r>
              <w:rPr>
                <w:noProof/>
              </w:rPr>
              <w:t>Cél</w:t>
            </w:r>
          </w:p>
        </w:tc>
        <w:tc>
          <w:tcPr>
            <w:tcW w:w="5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20AE6F81" w14:textId="77777777" w:rsidR="003E1D81" w:rsidRDefault="00EB481C">
            <w:pPr>
              <w:pStyle w:val="P68B1DB1-Normal12"/>
              <w:spacing w:after="0"/>
              <w:jc w:val="center"/>
              <w:rPr>
                <w:rFonts w:cs="Times New Roman"/>
                <w:noProof/>
              </w:rPr>
            </w:pPr>
            <w:r>
              <w:rPr>
                <w:noProof/>
              </w:rPr>
              <w:t>Q</w:t>
            </w:r>
          </w:p>
        </w:tc>
        <w:tc>
          <w:tcPr>
            <w:tcW w:w="708"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EF862C1" w14:textId="77777777" w:rsidR="003E1D81" w:rsidRDefault="00EB481C">
            <w:pPr>
              <w:pStyle w:val="P68B1DB1-Normal12"/>
              <w:spacing w:after="0"/>
              <w:jc w:val="center"/>
              <w:rPr>
                <w:rFonts w:cs="Times New Roman"/>
                <w:noProof/>
              </w:rPr>
            </w:pPr>
            <w:r>
              <w:rPr>
                <w:noProof/>
              </w:rPr>
              <w:t>Éve</w:t>
            </w:r>
          </w:p>
        </w:tc>
        <w:tc>
          <w:tcPr>
            <w:tcW w:w="5676" w:type="dxa"/>
            <w:gridSpan w:val="2"/>
            <w:tcBorders>
              <w:top w:val="nil"/>
              <w:left w:val="single" w:sz="4" w:space="0" w:color="auto"/>
              <w:bottom w:val="single" w:sz="4" w:space="0" w:color="auto"/>
              <w:right w:val="single" w:sz="4" w:space="0" w:color="auto"/>
            </w:tcBorders>
            <w:shd w:val="clear" w:color="auto" w:fill="C6D9F1" w:themeFill="text2" w:themeFillTint="33"/>
            <w:noWrap/>
          </w:tcPr>
          <w:p w14:paraId="79F17D79" w14:textId="77777777" w:rsidR="003E1D81" w:rsidRDefault="003E1D81">
            <w:pPr>
              <w:spacing w:after="0"/>
              <w:rPr>
                <w:rFonts w:ascii="Times New Roman" w:hAnsi="Times New Roman" w:cs="Times New Roman"/>
                <w:b/>
                <w:noProof/>
                <w:sz w:val="18"/>
              </w:rPr>
            </w:pPr>
          </w:p>
        </w:tc>
      </w:tr>
      <w:tr w:rsidR="003E1D81" w14:paraId="1A64BBD6"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B9B005F" w14:textId="77777777" w:rsidR="003E1D81" w:rsidRDefault="00EB481C">
            <w:pPr>
              <w:pStyle w:val="P68B1DB1-Normal13"/>
              <w:spacing w:after="0"/>
              <w:jc w:val="center"/>
              <w:rPr>
                <w:rFonts w:eastAsia="Times New Roman" w:cs="Times New Roman"/>
                <w:noProof/>
              </w:rPr>
            </w:pPr>
            <w:r>
              <w:rPr>
                <w:noProof/>
              </w:rPr>
              <w:t>229</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46A2B41" w14:textId="77777777" w:rsidR="003E1D81" w:rsidRDefault="00EB481C">
            <w:pPr>
              <w:pStyle w:val="P68B1DB1-Normal13"/>
              <w:spacing w:after="0"/>
              <w:jc w:val="center"/>
              <w:rPr>
                <w:rFonts w:eastAsia="Times New Roman" w:cs="Times New Roman"/>
                <w:noProof/>
              </w:rPr>
            </w:pPr>
            <w:r>
              <w:rPr>
                <w:noProof/>
              </w:rPr>
              <w:t>C15</w:t>
            </w:r>
            <w:r>
              <w:rPr>
                <w:noProof/>
              </w:rPr>
              <w:t>.R1</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80A4849" w14:textId="77777777" w:rsidR="003E1D81" w:rsidRDefault="00EB481C">
            <w:pPr>
              <w:pStyle w:val="P68B1DB1-Normal13"/>
              <w:spacing w:after="0"/>
              <w:jc w:val="center"/>
              <w:rPr>
                <w:rFonts w:eastAsia="Times New Roman"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D83F309" w14:textId="77777777" w:rsidR="003E1D81" w:rsidRDefault="00EB481C">
            <w:pPr>
              <w:pStyle w:val="P68B1DB1-Normal13"/>
              <w:spacing w:after="0"/>
              <w:rPr>
                <w:rFonts w:eastAsia="Times New Roman" w:cs="Times New Roman"/>
                <w:noProof/>
              </w:rPr>
            </w:pPr>
            <w:r>
              <w:rPr>
                <w:noProof/>
              </w:rPr>
              <w:t>A távközlésről szóló törvény hatálybalépése</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A0F63ED" w14:textId="77777777" w:rsidR="003E1D81" w:rsidRDefault="00EB481C">
            <w:pPr>
              <w:pStyle w:val="P68B1DB1-Normal13"/>
              <w:spacing w:after="0"/>
              <w:jc w:val="center"/>
              <w:rPr>
                <w:rFonts w:eastAsia="Times New Roman" w:cs="Times New Roman"/>
                <w:noProof/>
              </w:rPr>
            </w:pPr>
            <w:r>
              <w:rPr>
                <w:noProof/>
              </w:rPr>
              <w:t xml:space="preserve">A törvény hatálybalépésére vonatkozó jogszabályi rendelkezés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B797C1F" w14:textId="77777777" w:rsidR="003E1D81" w:rsidRDefault="00EB481C">
            <w:pPr>
              <w:pStyle w:val="P68B1DB1-Normal13"/>
              <w:spacing w:after="0"/>
              <w:jc w:val="center"/>
              <w:rPr>
                <w:rFonts w:eastAsia="Times New Roman"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E9BA939" w14:textId="77777777" w:rsidR="003E1D81" w:rsidRDefault="00EB481C">
            <w:pPr>
              <w:pStyle w:val="P68B1DB1-Normal13"/>
              <w:spacing w:after="0"/>
              <w:jc w:val="right"/>
              <w:rPr>
                <w:rFonts w:eastAsia="Times New Roman"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24B7C234" w14:textId="77777777" w:rsidR="003E1D81" w:rsidRDefault="00EB481C">
            <w:pPr>
              <w:pStyle w:val="P68B1DB1-Normal13"/>
              <w:spacing w:after="0"/>
              <w:jc w:val="right"/>
              <w:rPr>
                <w:rFonts w:eastAsia="Times New Roman"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8A21E35" w14:textId="77777777" w:rsidR="003E1D81" w:rsidRDefault="00EB481C">
            <w:pPr>
              <w:pStyle w:val="P68B1DB1-Normal13"/>
              <w:spacing w:after="0"/>
              <w:jc w:val="center"/>
              <w:rPr>
                <w:rFonts w:eastAsia="Times New Roman" w:cs="Times New Roman"/>
                <w:noProof/>
              </w:rPr>
            </w:pPr>
            <w:r>
              <w:rPr>
                <w:noProof/>
              </w:rPr>
              <w:t>KÉRDÉS</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E6D9E83" w14:textId="77777777" w:rsidR="003E1D81" w:rsidRDefault="00EB481C">
            <w:pPr>
              <w:pStyle w:val="P68B1DB1-Normal13"/>
              <w:spacing w:after="0"/>
              <w:jc w:val="center"/>
              <w:rPr>
                <w:rFonts w:eastAsia="Times New Roman" w:cs="Times New Roman"/>
                <w:noProof/>
              </w:rPr>
            </w:pPr>
            <w:r>
              <w:rPr>
                <w:noProof/>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0E66D777" w14:textId="77777777" w:rsidR="003E1D81" w:rsidRDefault="00EB481C">
            <w:pPr>
              <w:pStyle w:val="P68B1DB1-Normal13"/>
              <w:spacing w:after="0"/>
              <w:rPr>
                <w:rFonts w:eastAsia="Times New Roman" w:cs="Times New Roman"/>
                <w:noProof/>
              </w:rPr>
            </w:pPr>
            <w:r>
              <w:rPr>
                <w:noProof/>
              </w:rPr>
              <w:t>Az Európai Elektronikus Hírközlési Kódexről szóló 2018/1972 irányelvet a távközlésről szóló törvénynek is át kell ültetnie.  A</w:t>
            </w:r>
            <w:r>
              <w:rPr>
                <w:noProof/>
              </w:rPr>
              <w:t xml:space="preserve"> törvénynek tartalmaznia kell az uniós konnektivitási eszköztárra vonatkozó ajánlásokat is, amelyeknek a spanyol jogi kerettel összhangban jogszabályban kell szerepelniük. Az Európai Elektronikus Hírközlési Kódexről szóló (EU) 2018/1972 irányelv átültetésé</w:t>
            </w:r>
            <w:r>
              <w:rPr>
                <w:noProof/>
              </w:rPr>
              <w:t>n túl a törvény a következőket tartalmazza: a tenger alatti kábelek és az IXP/adatközpontok nyilvántartására vonatkozó rendelkezések; valamint a hálózatkiépítésre kivetett helyi adók egyszerűsített adózási rendszere; és iii. egyablakos ügyintézési pont lét</w:t>
            </w:r>
            <w:r>
              <w:rPr>
                <w:noProof/>
              </w:rPr>
              <w:t>rehozása a különböző kormányzati szintek által a hálózatok kiépítésére megadott engedélyek és engedélyek alkalmazása céljából.</w:t>
            </w:r>
          </w:p>
        </w:tc>
      </w:tr>
      <w:tr w:rsidR="003E1D81" w14:paraId="7BB81DD8"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586BEC9" w14:textId="77777777" w:rsidR="003E1D81" w:rsidRDefault="00EB481C">
            <w:pPr>
              <w:pStyle w:val="P68B1DB1-Normal13"/>
              <w:spacing w:after="0"/>
              <w:jc w:val="center"/>
              <w:rPr>
                <w:rFonts w:eastAsia="Times New Roman" w:cs="Times New Roman"/>
                <w:noProof/>
              </w:rPr>
            </w:pPr>
            <w:r>
              <w:rPr>
                <w:noProof/>
              </w:rPr>
              <w:t>230</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3D51E7C8" w14:textId="77777777" w:rsidR="003E1D81" w:rsidRDefault="00EB481C">
            <w:pPr>
              <w:pStyle w:val="P68B1DB1-Normal13"/>
              <w:spacing w:after="0"/>
              <w:jc w:val="center"/>
              <w:rPr>
                <w:rFonts w:eastAsia="Times New Roman"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A35B76E" w14:textId="77777777" w:rsidR="003E1D81" w:rsidRDefault="00EB481C">
            <w:pPr>
              <w:pStyle w:val="P68B1DB1-Normal13"/>
              <w:spacing w:after="0"/>
              <w:jc w:val="center"/>
              <w:rPr>
                <w:rFonts w:eastAsia="Times New Roman"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9CAAD49" w14:textId="77777777" w:rsidR="003E1D81" w:rsidRDefault="00EB481C">
            <w:pPr>
              <w:pStyle w:val="P68B1DB1-Normal13"/>
              <w:spacing w:after="0"/>
              <w:rPr>
                <w:rFonts w:eastAsia="Times New Roman" w:cs="Times New Roman"/>
                <w:noProof/>
              </w:rPr>
            </w:pPr>
            <w:r>
              <w:rPr>
                <w:noProof/>
              </w:rPr>
              <w:t>Digitális Spanyolország terve és stratégiája az 5G technológia előmozdítására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7F669771" w14:textId="77777777" w:rsidR="003E1D81" w:rsidRDefault="00EB481C">
            <w:pPr>
              <w:pStyle w:val="P68B1DB1-Normal13"/>
              <w:spacing w:after="0"/>
              <w:jc w:val="center"/>
              <w:rPr>
                <w:rFonts w:eastAsia="Times New Roman" w:cs="Times New Roman"/>
                <w:noProof/>
              </w:rPr>
            </w:pPr>
            <w:r>
              <w:rPr>
                <w:noProof/>
              </w:rPr>
              <w:t>Közzététel</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DCCC6A9" w14:textId="77777777" w:rsidR="003E1D81" w:rsidRDefault="00EB481C">
            <w:pPr>
              <w:pStyle w:val="P68B1DB1-Normal13"/>
              <w:spacing w:after="0"/>
              <w:jc w:val="center"/>
              <w:rPr>
                <w:rFonts w:eastAsia="Times New Roman"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3EDF791" w14:textId="77777777" w:rsidR="003E1D81" w:rsidRDefault="00EB481C">
            <w:pPr>
              <w:pStyle w:val="P68B1DB1-Normal13"/>
              <w:spacing w:after="0"/>
              <w:jc w:val="right"/>
              <w:rPr>
                <w:rFonts w:eastAsia="Times New Roman"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6B3F5C07" w14:textId="77777777" w:rsidR="003E1D81" w:rsidRDefault="00EB481C">
            <w:pPr>
              <w:pStyle w:val="P68B1DB1-Normal13"/>
              <w:spacing w:after="0"/>
              <w:jc w:val="right"/>
              <w:rPr>
                <w:rFonts w:eastAsia="Times New Roman"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8BA5706" w14:textId="77777777" w:rsidR="003E1D81" w:rsidRDefault="00EB481C">
            <w:pPr>
              <w:pStyle w:val="P68B1DB1-Normal13"/>
              <w:spacing w:after="0"/>
              <w:jc w:val="center"/>
              <w:rPr>
                <w:rFonts w:eastAsia="Times New Roman" w:cs="Times New Roman"/>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FA98355" w14:textId="77777777" w:rsidR="003E1D81" w:rsidRDefault="00EB481C">
            <w:pPr>
              <w:pStyle w:val="P68B1DB1-Normal13"/>
              <w:spacing w:after="0"/>
              <w:jc w:val="center"/>
              <w:rPr>
                <w:rFonts w:eastAsia="Times New Roman" w:cs="Times New Roman"/>
                <w:noProof/>
              </w:rPr>
            </w:pPr>
            <w:r>
              <w:rPr>
                <w:noProof/>
              </w:rPr>
              <w:t>2020</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45201AFC" w14:textId="49F236F4" w:rsidR="003E1D81" w:rsidRDefault="00EB481C">
            <w:pPr>
              <w:pStyle w:val="P68B1DB1-Normal13"/>
              <w:spacing w:after="0"/>
              <w:rPr>
                <w:rFonts w:eastAsia="Times New Roman" w:cs="Times New Roman"/>
                <w:noProof/>
              </w:rPr>
            </w:pPr>
            <w:r>
              <w:rPr>
                <w:noProof/>
              </w:rPr>
              <w:t xml:space="preserve">A </w:t>
            </w:r>
            <w:r>
              <w:rPr>
                <w:noProof/>
              </w:rPr>
              <w:t>2025-ös digitális terv közzététele Spanyolországban és a Miniszterek Tanácsának jóváhagyása az 5G technológia előmozdítására irányuló stratégiáról</w:t>
            </w:r>
          </w:p>
        </w:tc>
      </w:tr>
      <w:tr w:rsidR="003E1D81" w14:paraId="36906E23"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15DE1AD" w14:textId="77777777" w:rsidR="003E1D81" w:rsidRDefault="00EB481C">
            <w:pPr>
              <w:pStyle w:val="P68B1DB1-Normal13"/>
              <w:spacing w:after="0"/>
              <w:jc w:val="center"/>
              <w:rPr>
                <w:rFonts w:eastAsia="Times New Roman" w:cs="Times New Roman"/>
                <w:noProof/>
              </w:rPr>
            </w:pPr>
            <w:r>
              <w:rPr>
                <w:noProof/>
              </w:rPr>
              <w:t>231</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9A78D93" w14:textId="77777777" w:rsidR="003E1D81" w:rsidRDefault="00EB481C">
            <w:pPr>
              <w:pStyle w:val="P68B1DB1-Normal13"/>
              <w:spacing w:after="0"/>
              <w:jc w:val="center"/>
              <w:rPr>
                <w:rFonts w:eastAsia="Times New Roman"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BEF3789" w14:textId="77777777" w:rsidR="003E1D81" w:rsidRDefault="00EB481C">
            <w:pPr>
              <w:pStyle w:val="P68B1DB1-Normal13"/>
              <w:spacing w:after="0"/>
              <w:jc w:val="center"/>
              <w:rPr>
                <w:rFonts w:eastAsia="Times New Roman"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3327BA2" w14:textId="77777777" w:rsidR="003E1D81" w:rsidRDefault="00EB481C">
            <w:pPr>
              <w:pStyle w:val="P68B1DB1-Normal13"/>
              <w:spacing w:after="0"/>
              <w:rPr>
                <w:rFonts w:eastAsia="Times New Roman" w:cs="Times New Roman"/>
                <w:noProof/>
              </w:rPr>
            </w:pPr>
            <w:r>
              <w:rPr>
                <w:noProof/>
              </w:rPr>
              <w:t>A 700 MHz-es frekvenciasáv felszabadítása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2BDA8CE" w14:textId="77777777" w:rsidR="003E1D81" w:rsidRDefault="00EB481C">
            <w:pPr>
              <w:pStyle w:val="P68B1DB1-Normal13"/>
              <w:spacing w:after="0"/>
              <w:jc w:val="center"/>
              <w:rPr>
                <w:rFonts w:eastAsia="Times New Roman" w:cs="Times New Roman"/>
                <w:noProof/>
              </w:rPr>
            </w:pPr>
            <w:r>
              <w:rPr>
                <w:noProof/>
              </w:rPr>
              <w:t>Az Európai Bizottság értesítése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101AE19" w14:textId="77777777" w:rsidR="003E1D81" w:rsidRDefault="00EB481C">
            <w:pPr>
              <w:pStyle w:val="P68B1DB1-Normal13"/>
              <w:spacing w:after="0"/>
              <w:jc w:val="center"/>
              <w:rPr>
                <w:rFonts w:eastAsia="Times New Roman"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880B599" w14:textId="77777777" w:rsidR="003E1D81" w:rsidRDefault="00EB481C">
            <w:pPr>
              <w:pStyle w:val="P68B1DB1-Normal13"/>
              <w:spacing w:after="0"/>
              <w:jc w:val="right"/>
              <w:rPr>
                <w:rFonts w:eastAsia="Times New Roman"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3CC3711F" w14:textId="77777777" w:rsidR="003E1D81" w:rsidRDefault="00EB481C">
            <w:pPr>
              <w:pStyle w:val="P68B1DB1-Normal13"/>
              <w:spacing w:after="0"/>
              <w:jc w:val="right"/>
              <w:rPr>
                <w:rFonts w:eastAsia="Times New Roman"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0D77C98" w14:textId="77777777" w:rsidR="003E1D81" w:rsidRDefault="00EB481C">
            <w:pPr>
              <w:pStyle w:val="P68B1DB1-Normal13"/>
              <w:spacing w:after="0"/>
              <w:jc w:val="center"/>
              <w:rPr>
                <w:rFonts w:eastAsia="Times New Roman" w:cs="Times New Roman"/>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5D38DE3" w14:textId="77777777" w:rsidR="003E1D81" w:rsidRDefault="00EB481C">
            <w:pPr>
              <w:pStyle w:val="P68B1DB1-Normal13"/>
              <w:spacing w:after="0"/>
              <w:jc w:val="center"/>
              <w:rPr>
                <w:rFonts w:eastAsia="Times New Roman" w:cs="Times New Roman"/>
                <w:noProof/>
              </w:rPr>
            </w:pPr>
            <w:r>
              <w:rPr>
                <w:noProof/>
              </w:rPr>
              <w:t>2020</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FF71FEC" w14:textId="77777777" w:rsidR="003E1D81" w:rsidRDefault="00EB481C">
            <w:pPr>
              <w:pStyle w:val="P68B1DB1-Normal13"/>
              <w:spacing w:after="0"/>
              <w:rPr>
                <w:rFonts w:eastAsia="Times New Roman" w:cs="Times New Roman"/>
                <w:noProof/>
              </w:rPr>
            </w:pPr>
            <w:r>
              <w:rPr>
                <w:noProof/>
              </w:rPr>
              <w:t>A</w:t>
            </w:r>
            <w:r>
              <w:rPr>
                <w:noProof/>
              </w:rPr>
              <w:t xml:space="preserve"> 700 MHz-es frekvenciasáv felszabadítására irányuló folyamat lezárása a 470–790 MHz-es frekvenciasáv Unión belüli használatáról szóló, 2017. május 17-i (EU) 2017/899 európai parlamenti és tanácsi határozattal összhangban</w:t>
            </w:r>
          </w:p>
        </w:tc>
      </w:tr>
      <w:tr w:rsidR="003E1D81" w14:paraId="07A1718C"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DDE008A" w14:textId="77777777" w:rsidR="003E1D81" w:rsidRDefault="00EB481C">
            <w:pPr>
              <w:pStyle w:val="P68B1DB1-Normal13"/>
              <w:spacing w:after="0"/>
              <w:jc w:val="center"/>
              <w:rPr>
                <w:rFonts w:eastAsia="Times New Roman" w:cs="Times New Roman"/>
                <w:noProof/>
              </w:rPr>
            </w:pPr>
            <w:r>
              <w:rPr>
                <w:noProof/>
              </w:rPr>
              <w:t>232</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28C7A772" w14:textId="77777777" w:rsidR="003E1D81" w:rsidRDefault="00EB481C">
            <w:pPr>
              <w:pStyle w:val="P68B1DB1-Normal13"/>
              <w:spacing w:after="0"/>
              <w:jc w:val="center"/>
              <w:rPr>
                <w:rFonts w:eastAsia="Times New Roman"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E6F76D1" w14:textId="77777777" w:rsidR="003E1D81" w:rsidRDefault="00EB481C">
            <w:pPr>
              <w:pStyle w:val="P68B1DB1-Normal13"/>
              <w:spacing w:after="0"/>
              <w:jc w:val="center"/>
              <w:rPr>
                <w:rFonts w:eastAsia="Times New Roman"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52DDE74" w14:textId="77777777" w:rsidR="003E1D81" w:rsidRDefault="00EB481C">
            <w:pPr>
              <w:pStyle w:val="P68B1DB1-Normal13"/>
              <w:spacing w:after="0"/>
              <w:rPr>
                <w:rFonts w:eastAsia="Times New Roman" w:cs="Times New Roman"/>
                <w:noProof/>
              </w:rPr>
            </w:pPr>
            <w:r>
              <w:rPr>
                <w:noProof/>
              </w:rPr>
              <w:t xml:space="preserve">A 700 MHz-es </w:t>
            </w:r>
            <w:r>
              <w:rPr>
                <w:noProof/>
              </w:rPr>
              <w:t>frekvenciasáv kiosztása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2BBC00A0" w14:textId="77777777" w:rsidR="003E1D81" w:rsidRDefault="00EB481C">
            <w:pPr>
              <w:pStyle w:val="P68B1DB1-Normal13"/>
              <w:spacing w:after="0"/>
              <w:jc w:val="center"/>
              <w:rPr>
                <w:rFonts w:eastAsia="Times New Roman" w:cs="Times New Roman"/>
                <w:noProof/>
              </w:rPr>
            </w:pPr>
            <w:r>
              <w:rPr>
                <w:noProof/>
              </w:rPr>
              <w:t>Közzététel a Hivatalos Lapban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670D6F6" w14:textId="77777777" w:rsidR="003E1D81" w:rsidRDefault="00EB481C">
            <w:pPr>
              <w:pStyle w:val="P68B1DB1-Normal13"/>
              <w:spacing w:after="0"/>
              <w:jc w:val="center"/>
              <w:rPr>
                <w:rFonts w:eastAsia="Times New Roman"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1F3773B" w14:textId="77777777" w:rsidR="003E1D81" w:rsidRDefault="00EB481C">
            <w:pPr>
              <w:pStyle w:val="P68B1DB1-Normal13"/>
              <w:spacing w:after="0"/>
              <w:jc w:val="right"/>
              <w:rPr>
                <w:rFonts w:eastAsia="Times New Roman"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4431E06F" w14:textId="77777777" w:rsidR="003E1D81" w:rsidRDefault="00EB481C">
            <w:pPr>
              <w:pStyle w:val="P68B1DB1-Normal13"/>
              <w:spacing w:after="0"/>
              <w:jc w:val="right"/>
              <w:rPr>
                <w:rFonts w:eastAsia="Times New Roman"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487BDF89" w14:textId="77777777" w:rsidR="003E1D81" w:rsidRDefault="00EB481C">
            <w:pPr>
              <w:pStyle w:val="P68B1DB1-Normal13"/>
              <w:spacing w:after="0"/>
              <w:jc w:val="center"/>
              <w:rPr>
                <w:rFonts w:eastAsia="Times New Roman" w:cs="Times New Roman"/>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33B631C" w14:textId="77777777" w:rsidR="003E1D81" w:rsidRDefault="00EB481C">
            <w:pPr>
              <w:pStyle w:val="P68B1DB1-Normal13"/>
              <w:spacing w:after="0"/>
              <w:jc w:val="center"/>
              <w:rPr>
                <w:rFonts w:eastAsia="Times New Roman" w:cs="Times New Roman"/>
                <w:noProof/>
              </w:rPr>
            </w:pPr>
            <w:r>
              <w:rPr>
                <w:noProof/>
              </w:rPr>
              <w:t>2021</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85608EF" w14:textId="77777777" w:rsidR="003E1D81" w:rsidRDefault="00EB481C">
            <w:pPr>
              <w:pStyle w:val="P68B1DB1-Normal13"/>
              <w:spacing w:after="0"/>
              <w:rPr>
                <w:rFonts w:eastAsia="Times New Roman" w:cs="Times New Roman"/>
                <w:noProof/>
              </w:rPr>
            </w:pPr>
            <w:r>
              <w:rPr>
                <w:noProof/>
              </w:rPr>
              <w:t xml:space="preserve">A 700 MHz-es frekvenciasáv árverés útján történő odaítélésének közzététele a Hivatalos Lapban </w:t>
            </w:r>
          </w:p>
        </w:tc>
      </w:tr>
      <w:tr w:rsidR="003E1D81" w14:paraId="0983D9D3"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78DCE97" w14:textId="77777777" w:rsidR="003E1D81" w:rsidRDefault="00EB481C">
            <w:pPr>
              <w:pStyle w:val="P68B1DB1-Normal13"/>
              <w:spacing w:after="0"/>
              <w:jc w:val="center"/>
              <w:rPr>
                <w:rFonts w:eastAsia="Times New Roman" w:cs="Times New Roman"/>
                <w:noProof/>
              </w:rPr>
            </w:pPr>
            <w:r>
              <w:rPr>
                <w:noProof/>
              </w:rPr>
              <w:t>233</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763B62AD" w14:textId="77777777" w:rsidR="003E1D81" w:rsidRDefault="00EB481C">
            <w:pPr>
              <w:pStyle w:val="P68B1DB1-Normal13"/>
              <w:spacing w:after="0"/>
              <w:jc w:val="center"/>
              <w:rPr>
                <w:rFonts w:eastAsia="Times New Roman"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F456F4C" w14:textId="77777777" w:rsidR="003E1D81" w:rsidRDefault="00EB481C">
            <w:pPr>
              <w:pStyle w:val="P68B1DB1-Normal13"/>
              <w:spacing w:after="0"/>
              <w:jc w:val="center"/>
              <w:rPr>
                <w:rFonts w:eastAsia="Times New Roman"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5CB988B" w14:textId="77777777" w:rsidR="003E1D81" w:rsidRDefault="00EB481C">
            <w:pPr>
              <w:pStyle w:val="P68B1DB1-Normal13"/>
              <w:spacing w:after="0"/>
              <w:rPr>
                <w:rFonts w:eastAsia="Times New Roman" w:cs="Times New Roman"/>
                <w:noProof/>
              </w:rPr>
            </w:pPr>
            <w:r>
              <w:rPr>
                <w:noProof/>
              </w:rPr>
              <w:t>Az 5G spektrumadó csökkentéséről szóló jogi aktus hatálybalépése</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EA7CF7B" w14:textId="77777777" w:rsidR="003E1D81" w:rsidRDefault="00EB481C">
            <w:pPr>
              <w:pStyle w:val="P68B1DB1-Normal13"/>
              <w:spacing w:after="0"/>
              <w:jc w:val="center"/>
              <w:rPr>
                <w:rFonts w:eastAsia="Times New Roman" w:cs="Times New Roman"/>
                <w:noProof/>
              </w:rPr>
            </w:pPr>
            <w:r>
              <w:rPr>
                <w:noProof/>
              </w:rPr>
              <w:t xml:space="preserve">A jogi </w:t>
            </w:r>
            <w:r>
              <w:rPr>
                <w:noProof/>
              </w:rPr>
              <w:t>aktus hatályba lépésre vonatkozó rendelkezése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6CF8A5C" w14:textId="77777777" w:rsidR="003E1D81" w:rsidRDefault="00EB481C">
            <w:pPr>
              <w:pStyle w:val="P68B1DB1-Normal13"/>
              <w:spacing w:after="0"/>
              <w:jc w:val="center"/>
              <w:rPr>
                <w:rFonts w:eastAsia="Times New Roman"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2FBBBD2" w14:textId="77777777" w:rsidR="003E1D81" w:rsidRDefault="00EB481C">
            <w:pPr>
              <w:pStyle w:val="P68B1DB1-Normal13"/>
              <w:spacing w:after="0"/>
              <w:jc w:val="right"/>
              <w:rPr>
                <w:rFonts w:eastAsia="Times New Roman" w:cs="Times New Roman"/>
                <w:noProof/>
              </w:rPr>
            </w:pPr>
            <w:r>
              <w:rPr>
                <w:noProof/>
              </w:rPr>
              <w:t>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1E613D4F" w14:textId="77777777" w:rsidR="003E1D81" w:rsidRDefault="00EB481C">
            <w:pPr>
              <w:pStyle w:val="P68B1DB1-Normal13"/>
              <w:spacing w:after="0"/>
              <w:jc w:val="right"/>
              <w:rPr>
                <w:rFonts w:eastAsia="Times New Roman" w:cs="Times New Roman"/>
                <w:noProof/>
              </w:rPr>
            </w:pPr>
            <w:r>
              <w:rPr>
                <w:noProof/>
              </w:rPr>
              <w:t>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1379C742" w14:textId="77777777" w:rsidR="003E1D81" w:rsidRDefault="00EB481C">
            <w:pPr>
              <w:pStyle w:val="P68B1DB1-Normal13"/>
              <w:spacing w:after="0"/>
              <w:jc w:val="center"/>
              <w:rPr>
                <w:rFonts w:eastAsia="Times New Roman" w:cs="Times New Roman"/>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1DDF45C" w14:textId="77777777" w:rsidR="003E1D81" w:rsidRDefault="00EB481C">
            <w:pPr>
              <w:pStyle w:val="P68B1DB1-Normal13"/>
              <w:spacing w:after="0"/>
              <w:jc w:val="center"/>
              <w:rPr>
                <w:rFonts w:eastAsia="Times New Roman" w:cs="Times New Roman"/>
                <w:noProof/>
              </w:rPr>
            </w:pPr>
            <w:r>
              <w:rPr>
                <w:noProof/>
              </w:rPr>
              <w:t>2021</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AF44EE6" w14:textId="77777777" w:rsidR="003E1D81" w:rsidRDefault="00EB481C">
            <w:pPr>
              <w:pStyle w:val="P68B1DB1-Normal13"/>
              <w:spacing w:after="0"/>
              <w:rPr>
                <w:rFonts w:eastAsia="Times New Roman" w:cs="Times New Roman"/>
                <w:noProof/>
              </w:rPr>
            </w:pPr>
            <w:r>
              <w:rPr>
                <w:noProof/>
              </w:rPr>
              <w:t>Jogi aktus elfogadása az 5G spektrumadó csökkentéséről az 5G kiépítésének felgyorsítása érdekében, meghatározva az 5G kiépítésének az egyes kedvezményezettektől elvárt megfelelő felgyorsítás</w:t>
            </w:r>
            <w:r>
              <w:rPr>
                <w:noProof/>
              </w:rPr>
              <w:t>át. A jogi aktus meghatározza a projekt megvalósításához szükséges jogi és szabályozási lépéseket. </w:t>
            </w:r>
          </w:p>
        </w:tc>
      </w:tr>
      <w:tr w:rsidR="003E1D81" w14:paraId="63723CF5"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2482854" w14:textId="77777777" w:rsidR="003E1D81" w:rsidRDefault="00EB481C">
            <w:pPr>
              <w:pStyle w:val="P68B1DB1-Normal13"/>
              <w:spacing w:after="0"/>
              <w:jc w:val="center"/>
              <w:rPr>
                <w:rFonts w:cs="Times New Roman"/>
                <w:noProof/>
              </w:rPr>
            </w:pPr>
            <w:r>
              <w:rPr>
                <w:noProof/>
              </w:rPr>
              <w:t>234</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453FEC97" w14:textId="77777777" w:rsidR="003E1D81" w:rsidRDefault="00EB481C">
            <w:pPr>
              <w:pStyle w:val="P68B1DB1-Normal13"/>
              <w:spacing w:after="0"/>
              <w:jc w:val="center"/>
              <w:rPr>
                <w:rFonts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40644109" w14:textId="77777777" w:rsidR="003E1D81" w:rsidRDefault="00EB481C">
            <w:pPr>
              <w:pStyle w:val="P68B1DB1-Normal13"/>
              <w:spacing w:after="0"/>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11FCA7D" w14:textId="77777777" w:rsidR="003E1D81" w:rsidRDefault="00EB481C">
            <w:pPr>
              <w:pStyle w:val="P68B1DB1-Normal13"/>
              <w:spacing w:after="0"/>
              <w:rPr>
                <w:rFonts w:cs="Times New Roman"/>
                <w:noProof/>
              </w:rPr>
            </w:pPr>
            <w:r>
              <w:rPr>
                <w:noProof/>
              </w:rPr>
              <w:t>A 26 GHz-es frekvenciasáv kiosztása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BA7FD8C" w14:textId="77777777" w:rsidR="003E1D81" w:rsidRDefault="00EB481C">
            <w:pPr>
              <w:pStyle w:val="P68B1DB1-Normal13"/>
              <w:spacing w:after="0"/>
              <w:jc w:val="center"/>
              <w:rPr>
                <w:rFonts w:cs="Times New Roman"/>
                <w:noProof/>
              </w:rPr>
            </w:pPr>
            <w:r>
              <w:rPr>
                <w:noProof/>
              </w:rPr>
              <w:t>Közzététel a Hivatalos Lapban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6B69910" w14:textId="77777777" w:rsidR="003E1D81" w:rsidRDefault="00EB481C">
            <w:pPr>
              <w:pStyle w:val="P68B1DB1-Normal13"/>
              <w:spacing w:after="0"/>
              <w:jc w:val="center"/>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61AACF0" w14:textId="77777777" w:rsidR="003E1D81" w:rsidRDefault="00EB481C">
            <w:pPr>
              <w:pStyle w:val="P68B1DB1-Normal13"/>
              <w:spacing w:after="0"/>
              <w:jc w:val="right"/>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86960E1" w14:textId="77777777" w:rsidR="003E1D81" w:rsidRDefault="00EB481C">
            <w:pPr>
              <w:pStyle w:val="P68B1DB1-Normal13"/>
              <w:spacing w:after="0"/>
              <w:jc w:val="right"/>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DB694F1" w14:textId="77777777" w:rsidR="003E1D81" w:rsidRDefault="00EB481C">
            <w:pPr>
              <w:pStyle w:val="P68B1DB1-Normal13"/>
              <w:spacing w:after="0"/>
              <w:jc w:val="center"/>
              <w:rPr>
                <w:rFonts w:cs="Times New Roman"/>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607CCF78" w14:textId="77777777" w:rsidR="003E1D81" w:rsidRDefault="00EB481C">
            <w:pPr>
              <w:pStyle w:val="P68B1DB1-Normal13"/>
              <w:spacing w:after="0"/>
              <w:jc w:val="center"/>
              <w:rPr>
                <w:rFonts w:cs="Times New Roman"/>
                <w:noProof/>
              </w:rPr>
            </w:pPr>
            <w:r>
              <w:rPr>
                <w:noProof/>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F301A6B" w14:textId="77777777" w:rsidR="003E1D81" w:rsidRDefault="00EB481C">
            <w:pPr>
              <w:pStyle w:val="P68B1DB1-Normal13"/>
              <w:spacing w:after="0" w:line="256" w:lineRule="auto"/>
              <w:rPr>
                <w:rFonts w:cs="Times New Roman"/>
                <w:noProof/>
              </w:rPr>
            </w:pPr>
            <w:r>
              <w:rPr>
                <w:noProof/>
              </w:rPr>
              <w:t xml:space="preserve">A 26 GHz-es frekvenciasáv árverés útján történő odaítélésének közzététele a Hivatalos Lapban </w:t>
            </w:r>
          </w:p>
        </w:tc>
      </w:tr>
      <w:tr w:rsidR="003E1D81" w14:paraId="63A9F233"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309964C9" w14:textId="77777777" w:rsidR="003E1D81" w:rsidRDefault="00EB481C">
            <w:pPr>
              <w:pStyle w:val="P68B1DB1-Normal13"/>
              <w:spacing w:after="0"/>
              <w:jc w:val="center"/>
              <w:rPr>
                <w:rFonts w:cs="Times New Roman"/>
                <w:noProof/>
              </w:rPr>
            </w:pPr>
            <w:r>
              <w:rPr>
                <w:noProof/>
              </w:rPr>
              <w:t>235</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07BC4E70" w14:textId="77777777" w:rsidR="003E1D81" w:rsidRDefault="00EB481C">
            <w:pPr>
              <w:pStyle w:val="P68B1DB1-Normal13"/>
              <w:spacing w:after="0"/>
              <w:jc w:val="center"/>
              <w:rPr>
                <w:rFonts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E19C2E0" w14:textId="77777777" w:rsidR="003E1D81" w:rsidRDefault="00EB481C">
            <w:pPr>
              <w:pStyle w:val="P68B1DB1-Normal13"/>
              <w:spacing w:after="0"/>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D560151" w14:textId="77777777" w:rsidR="003E1D81" w:rsidRDefault="00EB481C">
            <w:pPr>
              <w:pStyle w:val="P68B1DB1-Normal13"/>
              <w:spacing w:after="0"/>
              <w:rPr>
                <w:rFonts w:cs="Times New Roman"/>
                <w:noProof/>
              </w:rPr>
            </w:pPr>
            <w:r>
              <w:rPr>
                <w:noProof/>
              </w:rPr>
              <w:t xml:space="preserve">Az 5G kiberbiztonságról szóló törvény hatálybalépése </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77D3029" w14:textId="77777777" w:rsidR="003E1D81" w:rsidRDefault="00EB481C">
            <w:pPr>
              <w:pStyle w:val="P68B1DB1-Normal13"/>
              <w:spacing w:after="0"/>
              <w:jc w:val="center"/>
              <w:rPr>
                <w:rFonts w:cs="Times New Roman"/>
                <w:noProof/>
              </w:rPr>
            </w:pPr>
            <w:r>
              <w:rPr>
                <w:noProof/>
              </w:rPr>
              <w:t xml:space="preserve">Az 5G kiberbiztonságról szóló törvény hatálybalépésére vonatkozó rendelkezés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8AD3D0E" w14:textId="77777777" w:rsidR="003E1D81" w:rsidRDefault="00EB481C">
            <w:pPr>
              <w:pStyle w:val="P68B1DB1-Normal13"/>
              <w:spacing w:after="0"/>
              <w:jc w:val="center"/>
              <w:rPr>
                <w:rFonts w:cs="Times New Roman"/>
                <w:noProof/>
              </w:rPr>
            </w:pPr>
            <w:r>
              <w:rPr>
                <w:noProof/>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90C29B6" w14:textId="77777777" w:rsidR="003E1D81" w:rsidRDefault="00EB481C">
            <w:pPr>
              <w:pStyle w:val="P68B1DB1-Normal13"/>
              <w:spacing w:after="0"/>
              <w:jc w:val="right"/>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42A90CF9" w14:textId="77777777" w:rsidR="003E1D81" w:rsidRDefault="00EB481C">
            <w:pPr>
              <w:pStyle w:val="P68B1DB1-Normal13"/>
              <w:spacing w:after="0"/>
              <w:jc w:val="right"/>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6A638ED6" w14:textId="77777777" w:rsidR="003E1D81" w:rsidRDefault="00EB481C">
            <w:pPr>
              <w:pStyle w:val="P68B1DB1-Normal13"/>
              <w:spacing w:after="0"/>
              <w:jc w:val="center"/>
              <w:rPr>
                <w:rFonts w:cs="Times New Roman"/>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86B948B" w14:textId="77777777" w:rsidR="003E1D81" w:rsidRDefault="00EB481C">
            <w:pPr>
              <w:pStyle w:val="P68B1DB1-Normal13"/>
              <w:spacing w:after="0"/>
              <w:jc w:val="center"/>
              <w:rPr>
                <w:rFonts w:cs="Times New Roman"/>
                <w:noProof/>
              </w:rPr>
            </w:pPr>
            <w:r>
              <w:rPr>
                <w:noProof/>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22E4215" w14:textId="77777777" w:rsidR="003E1D81" w:rsidRDefault="00EB481C">
            <w:pPr>
              <w:pStyle w:val="P68B1DB1-Normal13"/>
              <w:spacing w:after="0" w:line="256" w:lineRule="auto"/>
              <w:rPr>
                <w:rFonts w:cs="Times New Roman"/>
                <w:noProof/>
              </w:rPr>
            </w:pPr>
            <w:r>
              <w:rPr>
                <w:noProof/>
              </w:rPr>
              <w:t>Az 5G kiberbiztonságról szóló törvény magában foglalja és végrehajtja az 5G kiberbiztonságra vonatkozó uniós eszköztárról szóló ajánlást</w:t>
            </w:r>
          </w:p>
        </w:tc>
      </w:tr>
      <w:tr w:rsidR="003E1D81" w14:paraId="5E7774A0"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09BD6ED0" w14:textId="77777777" w:rsidR="003E1D81" w:rsidRDefault="00EB481C">
            <w:pPr>
              <w:pStyle w:val="P68B1DB1-Normal13"/>
              <w:spacing w:after="0"/>
              <w:jc w:val="center"/>
              <w:rPr>
                <w:rFonts w:cs="Times New Roman"/>
                <w:noProof/>
              </w:rPr>
            </w:pPr>
            <w:r>
              <w:rPr>
                <w:noProof/>
              </w:rPr>
              <w:t>236</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4350E4B3" w14:textId="77777777" w:rsidR="003E1D81" w:rsidRDefault="00EB481C">
            <w:pPr>
              <w:pStyle w:val="P68B1DB1-Normal13"/>
              <w:spacing w:after="0"/>
              <w:jc w:val="center"/>
              <w:rPr>
                <w:rFonts w:cs="Times New Roman"/>
                <w:noProof/>
              </w:rPr>
            </w:pPr>
            <w:r>
              <w:rPr>
                <w:noProof/>
              </w:rPr>
              <w:t>C15.I1</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1627747" w14:textId="77777777" w:rsidR="003E1D81" w:rsidRDefault="00EB481C">
            <w:pPr>
              <w:pStyle w:val="P68B1DB1-Normal13"/>
              <w:spacing w:after="0"/>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986A6E1" w14:textId="77777777" w:rsidR="003E1D81" w:rsidRDefault="00EB481C">
            <w:pPr>
              <w:pStyle w:val="P68B1DB1-Normal13"/>
              <w:spacing w:after="0"/>
              <w:rPr>
                <w:rFonts w:cs="Times New Roman"/>
                <w:noProof/>
              </w:rPr>
            </w:pPr>
            <w:r>
              <w:rPr>
                <w:noProof/>
              </w:rPr>
              <w:t>Szupergyors széles sávú hálózat kiépítése: díj</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DBCAF2D" w14:textId="77777777" w:rsidR="003E1D81" w:rsidRDefault="00EB481C">
            <w:pPr>
              <w:pStyle w:val="P68B1DB1-Normal13"/>
              <w:spacing w:after="0"/>
              <w:jc w:val="center"/>
              <w:rPr>
                <w:rFonts w:cs="Times New Roman"/>
                <w:noProof/>
              </w:rPr>
            </w:pPr>
            <w:r>
              <w:rPr>
                <w:noProof/>
              </w:rPr>
              <w:t>A projektek odaítélése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A9915FC" w14:textId="77777777" w:rsidR="003E1D81" w:rsidRDefault="00EB481C">
            <w:pPr>
              <w:pStyle w:val="P68B1DB1-Normal13"/>
              <w:spacing w:after="0"/>
              <w:jc w:val="center"/>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DED26B5" w14:textId="77777777" w:rsidR="003E1D81" w:rsidRDefault="00EB481C">
            <w:pPr>
              <w:pStyle w:val="P68B1DB1-Normal13"/>
              <w:spacing w:after="0"/>
              <w:jc w:val="right"/>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0DF2D682" w14:textId="77777777" w:rsidR="003E1D81" w:rsidRDefault="00EB481C">
            <w:pPr>
              <w:pStyle w:val="P68B1DB1-Normal13"/>
              <w:spacing w:after="0"/>
              <w:jc w:val="right"/>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81BEA4E" w14:textId="77777777" w:rsidR="003E1D81" w:rsidRDefault="00EB481C">
            <w:pPr>
              <w:pStyle w:val="P68B1DB1-Normal13"/>
              <w:spacing w:after="0"/>
              <w:jc w:val="center"/>
              <w:rPr>
                <w:rFonts w:cs="Times New Roman"/>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1F88B34" w14:textId="77777777" w:rsidR="003E1D81" w:rsidRDefault="00EB481C">
            <w:pPr>
              <w:pStyle w:val="P68B1DB1-Normal13"/>
              <w:spacing w:after="0"/>
              <w:jc w:val="center"/>
              <w:rPr>
                <w:rFonts w:cs="Times New Roman"/>
                <w:noProof/>
              </w:rPr>
            </w:pPr>
            <w:r>
              <w:rPr>
                <w:noProof/>
              </w:rPr>
              <w:t>2023</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57010DB3" w14:textId="45276CA3" w:rsidR="003E1D81" w:rsidRDefault="00EB481C">
            <w:pPr>
              <w:pStyle w:val="P68B1DB1-Normal13"/>
              <w:spacing w:after="0" w:line="256" w:lineRule="auto"/>
              <w:rPr>
                <w:rFonts w:cs="Times New Roman"/>
                <w:noProof/>
              </w:rPr>
            </w:pPr>
            <w:r>
              <w:rPr>
                <w:noProof/>
              </w:rPr>
              <w:t xml:space="preserve">Az összes </w:t>
            </w:r>
            <w:r>
              <w:rPr>
                <w:noProof/>
              </w:rPr>
              <w:t>szerződés és vissza nem térítendő támogatás odaítélése (teljes költségvetés: 752 000 000 EUR), valamint</w:t>
            </w:r>
            <w:r>
              <w:rPr>
                <w:noProof/>
                <w:shd w:val="clear" w:color="auto" w:fill="E6E6E6"/>
              </w:rPr>
              <w:t xml:space="preserve"> </w:t>
            </w:r>
            <w:r>
              <w:rPr>
                <w:noProof/>
              </w:rPr>
              <w:t>pénzeszközök átcsoportosítása a fehér és szürke területeken 300 Mbps szimmetrikus, 1 Gbps-ra fejleszthető, szupergyors széles sávú kapcsolat biztosításá</w:t>
            </w:r>
            <w:r>
              <w:rPr>
                <w:noProof/>
              </w:rPr>
              <w:t>ra irányuló intézkedések végrehajtása céljából, kivéve a távoli vidéki területeket, amelyek esetében egyedi projektekre van szükség, ahol legalább 100 Mbps garantált lenne.</w:t>
            </w:r>
          </w:p>
        </w:tc>
      </w:tr>
      <w:tr w:rsidR="003E1D81" w14:paraId="4B8434B3"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7C20DD8" w14:textId="77777777" w:rsidR="003E1D81" w:rsidRDefault="00EB481C">
            <w:pPr>
              <w:pStyle w:val="P68B1DB1-Normal13"/>
              <w:spacing w:after="0"/>
              <w:jc w:val="center"/>
              <w:rPr>
                <w:rFonts w:cs="Times New Roman"/>
                <w:noProof/>
              </w:rPr>
            </w:pPr>
            <w:r>
              <w:rPr>
                <w:noProof/>
              </w:rPr>
              <w:t>237</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A99EAA3" w14:textId="77777777" w:rsidR="003E1D81" w:rsidRDefault="00EB481C">
            <w:pPr>
              <w:pStyle w:val="P68B1DB1-Normal13"/>
              <w:spacing w:after="0"/>
              <w:jc w:val="center"/>
              <w:rPr>
                <w:rFonts w:cs="Times New Roman"/>
                <w:noProof/>
              </w:rPr>
            </w:pPr>
            <w:r>
              <w:rPr>
                <w:noProof/>
              </w:rPr>
              <w:t>C15.I1</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DCB60E1" w14:textId="77777777" w:rsidR="003E1D81" w:rsidRDefault="00EB481C">
            <w:pPr>
              <w:pStyle w:val="P68B1DB1-Normal13"/>
              <w:spacing w:after="0"/>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5E5086A1" w14:textId="77777777" w:rsidR="003E1D81" w:rsidRDefault="00EB481C">
            <w:pPr>
              <w:pStyle w:val="P68B1DB1-Normal13"/>
              <w:spacing w:after="0"/>
              <w:rPr>
                <w:rFonts w:cs="Times New Roman"/>
                <w:noProof/>
              </w:rPr>
            </w:pPr>
            <w:r>
              <w:rPr>
                <w:noProof/>
              </w:rPr>
              <w:t>Szupergyors széles sávú hálózat kiépítése: A projekt lezárása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249C819" w14:textId="77777777" w:rsidR="003E1D81" w:rsidRDefault="00EB481C">
            <w:pPr>
              <w:pStyle w:val="P68B1DB1-Normal13"/>
              <w:spacing w:after="0"/>
              <w:jc w:val="center"/>
              <w:rPr>
                <w:rFonts w:cs="Times New Roman"/>
                <w:noProof/>
              </w:rPr>
            </w:pPr>
            <w:r>
              <w:rPr>
                <w:noProof/>
              </w:rPr>
              <w:t xml:space="preserve">Az </w:t>
            </w:r>
            <w:r>
              <w:rPr>
                <w:noProof/>
              </w:rPr>
              <w:t>odaítélt projektek lezárása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38E395A" w14:textId="77777777" w:rsidR="003E1D81" w:rsidRDefault="00EB481C">
            <w:pPr>
              <w:pStyle w:val="P68B1DB1-Normal13"/>
              <w:spacing w:after="0"/>
              <w:jc w:val="center"/>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23B1C78" w14:textId="77777777" w:rsidR="003E1D81" w:rsidRDefault="00EB481C">
            <w:pPr>
              <w:pStyle w:val="P68B1DB1-Normal13"/>
              <w:spacing w:after="0"/>
              <w:jc w:val="right"/>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20BFFB4A" w14:textId="77777777" w:rsidR="003E1D81" w:rsidRDefault="00EB481C">
            <w:pPr>
              <w:pStyle w:val="P68B1DB1-Normal13"/>
              <w:spacing w:after="0"/>
              <w:jc w:val="right"/>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00181B9B" w14:textId="77777777" w:rsidR="003E1D81" w:rsidRDefault="00EB481C">
            <w:pPr>
              <w:pStyle w:val="P68B1DB1-Normal13"/>
              <w:spacing w:after="0"/>
              <w:jc w:val="center"/>
              <w:rPr>
                <w:rFonts w:cs="Times New Roman"/>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7E7B4FE" w14:textId="77777777" w:rsidR="003E1D81" w:rsidRDefault="00EB481C">
            <w:pPr>
              <w:pStyle w:val="P68B1DB1-Normal13"/>
              <w:spacing w:after="0"/>
              <w:jc w:val="center"/>
              <w:rPr>
                <w:rFonts w:cs="Times New Roman"/>
                <w:noProof/>
              </w:rPr>
            </w:pPr>
            <w:r>
              <w:rPr>
                <w:noProof/>
              </w:rPr>
              <w:t>2025</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4F174A24" w14:textId="77777777" w:rsidR="003E1D81" w:rsidRDefault="00EB481C">
            <w:pPr>
              <w:pStyle w:val="P68B1DB1-Normal13"/>
              <w:spacing w:after="0" w:line="256" w:lineRule="auto"/>
              <w:rPr>
                <w:rFonts w:cs="Times New Roman"/>
                <w:noProof/>
              </w:rPr>
            </w:pPr>
            <w:r>
              <w:rPr>
                <w:noProof/>
              </w:rPr>
              <w:t>A szupergyors széles sávú hálózatok kiépítésére irányuló projektek lezárása a program odaítélésében meghatározott kritériumokkal összhangban (#236. mérföldkő).</w:t>
            </w:r>
          </w:p>
        </w:tc>
      </w:tr>
      <w:tr w:rsidR="003E1D81" w14:paraId="11EB6E5C"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9E686E7" w14:textId="77777777" w:rsidR="003E1D81" w:rsidRDefault="00EB481C">
            <w:pPr>
              <w:pStyle w:val="P68B1DB1-Normal13"/>
              <w:spacing w:after="0" w:line="256" w:lineRule="auto"/>
              <w:jc w:val="center"/>
              <w:rPr>
                <w:rFonts w:cs="Times New Roman"/>
                <w:noProof/>
              </w:rPr>
            </w:pPr>
            <w:r>
              <w:rPr>
                <w:noProof/>
              </w:rPr>
              <w:t>238</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0BD21786" w14:textId="77777777" w:rsidR="003E1D81" w:rsidRDefault="00EB481C">
            <w:pPr>
              <w:pStyle w:val="P68B1DB1-Normal13"/>
              <w:spacing w:after="0" w:line="256" w:lineRule="auto"/>
              <w:jc w:val="center"/>
              <w:rPr>
                <w:rFonts w:cs="Times New Roman"/>
                <w:noProof/>
              </w:rPr>
            </w:pPr>
            <w:r>
              <w:rPr>
                <w:noProof/>
              </w:rPr>
              <w:t>C15.I2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5DD2DB9" w14:textId="77777777" w:rsidR="003E1D81" w:rsidRDefault="00EB481C">
            <w:pPr>
              <w:pStyle w:val="P68B1DB1-Normal13"/>
              <w:spacing w:after="0" w:line="256" w:lineRule="auto"/>
              <w:jc w:val="center"/>
              <w:rPr>
                <w:rFonts w:cs="Times New Roman"/>
                <w:noProof/>
              </w:rPr>
            </w:pPr>
            <w:r>
              <w:rPr>
                <w:noProof/>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12FD4F7" w14:textId="77777777" w:rsidR="003E1D81" w:rsidRDefault="00EB481C">
            <w:pPr>
              <w:pStyle w:val="P68B1DB1-Normal13"/>
              <w:spacing w:after="0" w:line="256" w:lineRule="auto"/>
              <w:rPr>
                <w:rFonts w:cs="Times New Roman"/>
                <w:noProof/>
              </w:rPr>
            </w:pPr>
            <w:r>
              <w:rPr>
                <w:noProof/>
              </w:rPr>
              <w:t xml:space="preserve">Az összekapcsoltság javítása a kulcsfontosságú központokban és ágazatokban </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30A01DE" w14:textId="77777777" w:rsidR="003E1D81" w:rsidRDefault="00EB481C">
            <w:pPr>
              <w:pStyle w:val="P68B1DB1-Normal13"/>
              <w:spacing w:after="0" w:line="256" w:lineRule="auto"/>
              <w:jc w:val="center"/>
              <w:rPr>
                <w:rFonts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1F657F9" w14:textId="77777777" w:rsidR="003E1D81" w:rsidRDefault="00EB481C">
            <w:pPr>
              <w:pStyle w:val="P68B1DB1-Normal13"/>
              <w:spacing w:after="0" w:line="256" w:lineRule="auto"/>
              <w:jc w:val="center"/>
              <w:rPr>
                <w:rFonts w:cs="Times New Roman"/>
                <w:noProof/>
              </w:rPr>
            </w:pPr>
            <w:r>
              <w:rPr>
                <w:noProof/>
              </w:rPr>
              <w:t>Szám</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299B962" w14:textId="77777777" w:rsidR="003E1D81" w:rsidRDefault="00EB481C">
            <w:pPr>
              <w:pStyle w:val="P68B1DB1-Normal13"/>
              <w:spacing w:after="0" w:line="256" w:lineRule="auto"/>
              <w:jc w:val="center"/>
              <w:rPr>
                <w:rFonts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6E69D1D8" w14:textId="77777777" w:rsidR="003E1D81" w:rsidRDefault="00EB481C">
            <w:pPr>
              <w:pStyle w:val="P68B1DB1-Normal13"/>
              <w:spacing w:after="0" w:line="256" w:lineRule="auto"/>
              <w:jc w:val="center"/>
              <w:rPr>
                <w:rFonts w:cs="Times New Roman"/>
                <w:noProof/>
              </w:rPr>
            </w:pPr>
            <w:r>
              <w:rPr>
                <w:noProof/>
              </w:rPr>
              <w:t>16 100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6CA4453A" w14:textId="77777777" w:rsidR="003E1D81" w:rsidRDefault="00EB481C">
            <w:pPr>
              <w:pStyle w:val="P68B1DB1-Normal13"/>
              <w:spacing w:after="0" w:line="256" w:lineRule="auto"/>
              <w:jc w:val="center"/>
              <w:rPr>
                <w:rFonts w:cs="Times New Roman"/>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500A25A" w14:textId="77777777" w:rsidR="003E1D81" w:rsidRDefault="00EB481C">
            <w:pPr>
              <w:pStyle w:val="P68B1DB1-Normal13"/>
              <w:spacing w:after="0" w:line="256" w:lineRule="auto"/>
              <w:jc w:val="center"/>
              <w:rPr>
                <w:rFonts w:cs="Times New Roman"/>
                <w:noProof/>
              </w:rPr>
            </w:pPr>
            <w:r>
              <w:rPr>
                <w:noProof/>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34614045" w14:textId="147F9437" w:rsidR="003E1D81" w:rsidRDefault="00EB481C">
            <w:pPr>
              <w:pStyle w:val="P68B1DB1-Normal13"/>
              <w:spacing w:after="0" w:line="256" w:lineRule="auto"/>
              <w:rPr>
                <w:rFonts w:cs="Times New Roman"/>
                <w:noProof/>
              </w:rPr>
            </w:pPr>
            <w:r>
              <w:rPr>
                <w:noProof/>
              </w:rPr>
              <w:t>1 gigabites internetkapcsolati sebességre korszerűsített szervezetek száma:</w:t>
            </w:r>
            <w:r>
              <w:rPr>
                <w:noProof/>
              </w:rPr>
              <w:br/>
              <w:t>legalább 9000 állami központ és szolgáltatás, például közegészségügyi közp</w:t>
            </w:r>
            <w:r>
              <w:rPr>
                <w:noProof/>
              </w:rPr>
              <w:t>ontok, oktatási és képzési központok és K+F központok;</w:t>
            </w:r>
            <w:r>
              <w:rPr>
                <w:noProof/>
              </w:rPr>
              <w:br/>
              <w:t>– legalább 1600 kis ipari és üzleti telephely;</w:t>
            </w:r>
            <w:r>
              <w:rPr>
                <w:noProof/>
              </w:rPr>
              <w:br/>
              <w:t>– legalább 5500 kapcsolat biztosítása a digitalizálási projektek számára (egészségügy, agrár-élelmiszeripar, mobilitás, idegenforgalom, ipar, kereskedelem</w:t>
            </w:r>
            <w:r>
              <w:rPr>
                <w:noProof/>
              </w:rPr>
              <w:t xml:space="preserve"> stb.).</w:t>
            </w:r>
          </w:p>
        </w:tc>
      </w:tr>
      <w:tr w:rsidR="003E1D81" w14:paraId="411FCCE6"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0FF58A5A" w14:textId="77777777" w:rsidR="003E1D81" w:rsidRDefault="00EB481C">
            <w:pPr>
              <w:pStyle w:val="P68B1DB1-Normal13"/>
              <w:spacing w:after="0" w:line="256" w:lineRule="auto"/>
              <w:jc w:val="center"/>
              <w:rPr>
                <w:rFonts w:cs="Times New Roman"/>
                <w:noProof/>
              </w:rPr>
            </w:pPr>
            <w:r>
              <w:rPr>
                <w:noProof/>
              </w:rPr>
              <w:t>239</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9C96ABF" w14:textId="77777777" w:rsidR="003E1D81" w:rsidRDefault="00EB481C">
            <w:pPr>
              <w:pStyle w:val="P68B1DB1-Normal13"/>
              <w:spacing w:after="0" w:line="256" w:lineRule="auto"/>
              <w:jc w:val="center"/>
              <w:rPr>
                <w:rFonts w:cs="Times New Roman"/>
                <w:noProof/>
              </w:rPr>
            </w:pPr>
            <w:r>
              <w:rPr>
                <w:noProof/>
              </w:rPr>
              <w:t>C15.I3</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F11093D" w14:textId="77777777" w:rsidR="003E1D81" w:rsidRDefault="00EB481C">
            <w:pPr>
              <w:pStyle w:val="P68B1DB1-Normal13"/>
              <w:spacing w:after="0" w:line="256" w:lineRule="auto"/>
              <w:jc w:val="center"/>
              <w:rPr>
                <w:rFonts w:cs="Times New Roman"/>
                <w:noProof/>
              </w:rPr>
            </w:pPr>
            <w:r>
              <w:rPr>
                <w:noProof/>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B9C398E" w14:textId="77777777" w:rsidR="003E1D81" w:rsidRDefault="00EB481C">
            <w:pPr>
              <w:pStyle w:val="P68B1DB1-Normal13"/>
              <w:spacing w:after="0" w:line="256" w:lineRule="auto"/>
              <w:rPr>
                <w:rFonts w:cs="Times New Roman"/>
                <w:noProof/>
              </w:rPr>
            </w:pPr>
            <w:r>
              <w:rPr>
                <w:noProof/>
              </w:rPr>
              <w:t xml:space="preserve">Konnektivitási utalványok kkv-k és kiszolgáltatott csoportok számára </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358F8F7" w14:textId="77777777" w:rsidR="003E1D81" w:rsidRDefault="00EB481C">
            <w:pPr>
              <w:pStyle w:val="P68B1DB1-Normal13"/>
              <w:spacing w:after="0" w:line="256" w:lineRule="auto"/>
              <w:jc w:val="center"/>
              <w:rPr>
                <w:rFonts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75409A6" w14:textId="77777777" w:rsidR="003E1D81" w:rsidRDefault="00EB481C">
            <w:pPr>
              <w:pStyle w:val="P68B1DB1-Normal13"/>
              <w:spacing w:after="0" w:line="256" w:lineRule="auto"/>
              <w:rPr>
                <w:rFonts w:cs="Times New Roman"/>
                <w:noProof/>
              </w:rPr>
            </w:pPr>
            <w:r>
              <w:rPr>
                <w:noProof/>
              </w:rPr>
              <w:t>Szám</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E03110E" w14:textId="77777777" w:rsidR="003E1D81" w:rsidRDefault="00EB481C">
            <w:pPr>
              <w:pStyle w:val="P68B1DB1-Normal13"/>
              <w:spacing w:after="0" w:line="256" w:lineRule="auto"/>
              <w:jc w:val="center"/>
              <w:rPr>
                <w:rFonts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6B20134" w14:textId="77777777" w:rsidR="003E1D81" w:rsidRDefault="00EB481C">
            <w:pPr>
              <w:pStyle w:val="P68B1DB1-Normal13"/>
              <w:spacing w:after="0" w:line="256" w:lineRule="auto"/>
              <w:jc w:val="center"/>
              <w:rPr>
                <w:rFonts w:cs="Times New Roman"/>
                <w:noProof/>
              </w:rPr>
            </w:pPr>
            <w:r>
              <w:rPr>
                <w:noProof/>
              </w:rPr>
              <w:t>136 000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25E50DCC" w14:textId="77777777" w:rsidR="003E1D81" w:rsidRDefault="00EB481C">
            <w:pPr>
              <w:pStyle w:val="P68B1DB1-Normal13"/>
              <w:spacing w:after="0" w:line="256" w:lineRule="auto"/>
              <w:jc w:val="center"/>
              <w:rPr>
                <w:rFonts w:cs="Times New Roman"/>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F4EFFC8" w14:textId="583E4ACB" w:rsidR="003E1D81" w:rsidRDefault="00EB481C">
            <w:pPr>
              <w:pStyle w:val="P68B1DB1-Normal13"/>
              <w:spacing w:after="0" w:line="256" w:lineRule="auto"/>
              <w:jc w:val="center"/>
              <w:rPr>
                <w:rFonts w:cs="Times New Roman"/>
                <w:noProof/>
              </w:rPr>
            </w:pPr>
            <w:r>
              <w:rPr>
                <w:noProof/>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4B79018" w14:textId="77777777" w:rsidR="003E1D81" w:rsidRDefault="00EB481C">
            <w:pPr>
              <w:pStyle w:val="P68B1DB1-Normal13"/>
              <w:spacing w:after="0" w:line="256" w:lineRule="auto"/>
              <w:rPr>
                <w:rFonts w:cs="Times New Roman"/>
                <w:noProof/>
              </w:rPr>
            </w:pPr>
            <w:r>
              <w:rPr>
                <w:noProof/>
              </w:rPr>
              <w:t>Legalább 125000 konnektivitási utalvány „kiszolgáltatottként” azonosított egyének vagy családok számára (a legmegfelelőbb technológiával rendelkező széles sávú kapcsolatra vonatkozó csomag beszerzése céljából) és legalább 11000 konnektivitási utalvány a kk</w:t>
            </w:r>
            <w:r>
              <w:rPr>
                <w:noProof/>
              </w:rPr>
              <w:t>v-k számára (az utalványoknak két különálló elemből, 100 Mbps sebességű konnektivitásból és hozzáadott értéket képviselő szolgáltatásokból, VPN-ből, kiberbiztonságból kell állniuk).</w:t>
            </w:r>
          </w:p>
        </w:tc>
      </w:tr>
      <w:tr w:rsidR="003E1D81" w14:paraId="7635A7D6"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7C0467D8" w14:textId="77777777" w:rsidR="003E1D81" w:rsidRDefault="00EB481C">
            <w:pPr>
              <w:pStyle w:val="P68B1DB1-Normal13"/>
              <w:jc w:val="center"/>
              <w:rPr>
                <w:rFonts w:cs="Times New Roman"/>
                <w:noProof/>
              </w:rPr>
            </w:pPr>
            <w:r>
              <w:rPr>
                <w:noProof/>
              </w:rPr>
              <w:t>240</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010D6EF" w14:textId="77777777" w:rsidR="003E1D81" w:rsidRDefault="00EB481C">
            <w:pPr>
              <w:pStyle w:val="P68B1DB1-Normal13"/>
              <w:jc w:val="center"/>
              <w:rPr>
                <w:rFonts w:cs="Times New Roman"/>
                <w:noProof/>
              </w:rPr>
            </w:pPr>
            <w:r>
              <w:rPr>
                <w:noProof/>
              </w:rPr>
              <w:t>C15.I4</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31126644" w14:textId="77777777" w:rsidR="003E1D81" w:rsidRDefault="00EB481C">
            <w:pPr>
              <w:pStyle w:val="P68B1DB1-Normal13"/>
              <w:jc w:val="center"/>
              <w:rPr>
                <w:rFonts w:cs="Times New Roman"/>
                <w:noProof/>
              </w:rPr>
            </w:pPr>
            <w:r>
              <w:rPr>
                <w:noProof/>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29EA1792" w14:textId="77777777" w:rsidR="003E1D81" w:rsidRDefault="00EB481C">
            <w:pPr>
              <w:pStyle w:val="P68B1DB1-Normal13"/>
              <w:rPr>
                <w:rFonts w:cs="Times New Roman"/>
                <w:noProof/>
              </w:rPr>
            </w:pPr>
            <w:r>
              <w:rPr>
                <w:noProof/>
              </w:rPr>
              <w:t>Az épületek távközlési infrastruktúrájának átalakítása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496FFDA" w14:textId="77777777" w:rsidR="003E1D81" w:rsidRDefault="00EB481C">
            <w:pPr>
              <w:pStyle w:val="P68B1DB1-Normal13"/>
              <w:jc w:val="center"/>
              <w:rPr>
                <w:rFonts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FE2106E" w14:textId="77777777" w:rsidR="003E1D81" w:rsidRDefault="00EB481C">
            <w:pPr>
              <w:pStyle w:val="P68B1DB1-Normal13"/>
              <w:rPr>
                <w:rFonts w:cs="Times New Roman"/>
                <w:noProof/>
              </w:rPr>
            </w:pPr>
            <w:r>
              <w:rPr>
                <w:noProof/>
              </w:rPr>
              <w:t>Szám</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E9D3BAE" w14:textId="77777777" w:rsidR="003E1D81" w:rsidRDefault="00EB481C">
            <w:pPr>
              <w:pStyle w:val="P68B1DB1-Normal13"/>
              <w:rPr>
                <w:rFonts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11075576" w14:textId="442281D4" w:rsidR="003E1D81" w:rsidRDefault="00EB481C">
            <w:pPr>
              <w:pStyle w:val="P68B1DB1-Normal13"/>
              <w:rPr>
                <w:rFonts w:cs="Times New Roman"/>
                <w:noProof/>
              </w:rPr>
            </w:pPr>
            <w:r>
              <w:rPr>
                <w:noProof/>
              </w:rPr>
              <w:t>7 700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61663BC6" w14:textId="77777777" w:rsidR="003E1D81" w:rsidRDefault="00EB481C">
            <w:pPr>
              <w:pStyle w:val="P68B1DB1-Normal13"/>
              <w:jc w:val="center"/>
              <w:rPr>
                <w:rFonts w:cs="Times New Roman"/>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A1005B4" w14:textId="7ADB7974" w:rsidR="003E1D81" w:rsidRDefault="00EB481C">
            <w:pPr>
              <w:pStyle w:val="P68B1DB1-Normal13"/>
              <w:jc w:val="center"/>
              <w:rPr>
                <w:rFonts w:cs="Times New Roman"/>
                <w:noProof/>
              </w:rPr>
            </w:pPr>
            <w:r>
              <w:rPr>
                <w:noProof/>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43B79E03" w14:textId="0D0A6210" w:rsidR="003E1D81" w:rsidRDefault="00EB481C">
            <w:pPr>
              <w:pStyle w:val="P68B1DB1-Normal13"/>
              <w:rPr>
                <w:rFonts w:cs="Times New Roman"/>
                <w:noProof/>
              </w:rPr>
            </w:pPr>
            <w:r>
              <w:rPr>
                <w:noProof/>
              </w:rPr>
              <w:t>Legalább 7700 épületben befejezett munkálatok közös konnektivitási hálózati infrastruktúrájuknak a nagyon nagy kapacitású hálózatok szintjén történő javítása érdekében.</w:t>
            </w:r>
          </w:p>
        </w:tc>
      </w:tr>
      <w:tr w:rsidR="003E1D81" w14:paraId="68826676"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0374B947" w14:textId="77777777" w:rsidR="003E1D81" w:rsidRDefault="00EB481C">
            <w:pPr>
              <w:pStyle w:val="P68B1DB1-Normal13"/>
              <w:spacing w:after="0" w:line="256" w:lineRule="auto"/>
              <w:jc w:val="center"/>
              <w:rPr>
                <w:rFonts w:cs="Times New Roman"/>
                <w:noProof/>
              </w:rPr>
            </w:pPr>
            <w:r>
              <w:rPr>
                <w:noProof/>
              </w:rPr>
              <w:t>241</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2FF48813" w14:textId="77777777" w:rsidR="003E1D81" w:rsidRDefault="00EB481C">
            <w:pPr>
              <w:pStyle w:val="P68B1DB1-Normal13"/>
              <w:spacing w:after="0" w:line="256" w:lineRule="auto"/>
              <w:jc w:val="center"/>
              <w:rPr>
                <w:rFonts w:cs="Times New Roman"/>
                <w:noProof/>
              </w:rPr>
            </w:pPr>
            <w:r>
              <w:rPr>
                <w:noProof/>
              </w:rPr>
              <w:t>C15.I5</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3150BFB" w14:textId="77777777" w:rsidR="003E1D81" w:rsidRDefault="00EB481C">
            <w:pPr>
              <w:pStyle w:val="P68B1DB1-Normal13"/>
              <w:spacing w:after="0" w:line="256" w:lineRule="auto"/>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979762C" w14:textId="77777777" w:rsidR="003E1D81" w:rsidRDefault="00EB481C">
            <w:pPr>
              <w:pStyle w:val="P68B1DB1-Normal13"/>
              <w:spacing w:after="0" w:line="256" w:lineRule="auto"/>
              <w:rPr>
                <w:rFonts w:cs="Times New Roman"/>
                <w:noProof/>
              </w:rPr>
            </w:pPr>
            <w:r>
              <w:rPr>
                <w:noProof/>
              </w:rPr>
              <w:t xml:space="preserve">A határokon átnyúló digitális infrastruktúra </w:t>
            </w:r>
            <w:r>
              <w:rPr>
                <w:noProof/>
              </w:rPr>
              <w:t>fejlesztése: díj</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73B75597" w14:textId="77777777" w:rsidR="003E1D81" w:rsidRDefault="00EB481C">
            <w:pPr>
              <w:pStyle w:val="P68B1DB1-Normal13"/>
              <w:spacing w:after="0" w:line="256" w:lineRule="auto"/>
              <w:rPr>
                <w:rFonts w:cs="Times New Roman"/>
                <w:noProof/>
              </w:rPr>
            </w:pPr>
            <w:r>
              <w:rPr>
                <w:noProof/>
              </w:rPr>
              <w:t xml:space="preserve">A projektek odaítélésének hivatalos közzététele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B5B795D" w14:textId="77777777" w:rsidR="003E1D81" w:rsidRDefault="00EB481C">
            <w:pPr>
              <w:pStyle w:val="P68B1DB1-Normal13"/>
              <w:spacing w:after="0" w:line="256" w:lineRule="auto"/>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F4BDA32" w14:textId="77777777" w:rsidR="003E1D81" w:rsidRDefault="00EB481C">
            <w:pPr>
              <w:pStyle w:val="P68B1DB1-Normal13"/>
              <w:spacing w:after="0" w:line="256" w:lineRule="auto"/>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BFEA234" w14:textId="77777777" w:rsidR="003E1D81" w:rsidRDefault="00EB481C">
            <w:pPr>
              <w:pStyle w:val="P68B1DB1-Normal13"/>
              <w:spacing w:after="0" w:line="256" w:lineRule="auto"/>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2A19043" w14:textId="77777777" w:rsidR="003E1D81" w:rsidRDefault="00EB481C">
            <w:pPr>
              <w:pStyle w:val="P68B1DB1-Normal13"/>
              <w:spacing w:after="0" w:line="256" w:lineRule="auto"/>
              <w:jc w:val="center"/>
              <w:rPr>
                <w:rFonts w:cs="Times New Roman"/>
                <w:noProof/>
              </w:rPr>
            </w:pPr>
            <w:r>
              <w:rPr>
                <w:noProof/>
              </w:rPr>
              <w:t>KÉRDÉS</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B283F6B" w14:textId="3D313E79" w:rsidR="003E1D81" w:rsidRDefault="00EB481C">
            <w:pPr>
              <w:pStyle w:val="P68B1DB1-Normal13"/>
              <w:spacing w:after="0" w:line="256" w:lineRule="auto"/>
              <w:jc w:val="center"/>
              <w:rPr>
                <w:rFonts w:cs="Times New Roman"/>
                <w:noProof/>
              </w:rPr>
            </w:pPr>
            <w:r>
              <w:rPr>
                <w:noProof/>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1215C710" w14:textId="77777777" w:rsidR="003E1D81" w:rsidRDefault="00EB481C">
            <w:pPr>
              <w:pStyle w:val="P68B1DB1-Normal13"/>
              <w:spacing w:after="0" w:line="256" w:lineRule="auto"/>
              <w:rPr>
                <w:rFonts w:cs="Times New Roman"/>
                <w:noProof/>
              </w:rPr>
            </w:pPr>
            <w:r>
              <w:rPr>
                <w:noProof/>
              </w:rPr>
              <w:t>A projektekre vonatkozó összes szerződés és támogatás odaítélése (a projektfelhívás teljes költségvetése 500 000 000 EUR), valamint pénzeszközök átcsoportosítása az alábbi</w:t>
            </w:r>
            <w:r>
              <w:rPr>
                <w:noProof/>
              </w:rPr>
              <w:t xml:space="preserve"> tevékenységek végrehajtására: tenger alatti kábelek és a felhő-/adatinfrastruktúra összekapcsolása; a számításifelhő- és Edge-infrastruktúrák és -szolgáltatások új generációjára vonatkozó projektek; a fejlett processzorokra és félvezetőkre vonatkozó proje</w:t>
            </w:r>
            <w:r>
              <w:rPr>
                <w:noProof/>
              </w:rPr>
              <w:t xml:space="preserve">ktek; valamint d) a kvantumkommunikációval és a biztonságos műholdas kommunikációval kapcsolatos képességek megerősítését célzó K+F+I projektekről </w:t>
            </w:r>
          </w:p>
        </w:tc>
      </w:tr>
      <w:tr w:rsidR="003E1D81" w14:paraId="2CC6FE17"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DA198CD" w14:textId="77777777" w:rsidR="003E1D81" w:rsidRDefault="00EB481C">
            <w:pPr>
              <w:pStyle w:val="P68B1DB1-Normal13"/>
              <w:spacing w:after="0" w:line="256" w:lineRule="auto"/>
              <w:jc w:val="center"/>
              <w:rPr>
                <w:rFonts w:cs="Times New Roman"/>
                <w:noProof/>
              </w:rPr>
            </w:pPr>
            <w:r>
              <w:rPr>
                <w:noProof/>
              </w:rPr>
              <w:t>242</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B6FEBCD" w14:textId="77777777" w:rsidR="003E1D81" w:rsidRDefault="00EB481C">
            <w:pPr>
              <w:pStyle w:val="P68B1DB1-Normal13"/>
              <w:spacing w:after="0" w:line="256" w:lineRule="auto"/>
              <w:jc w:val="center"/>
              <w:rPr>
                <w:rFonts w:cs="Times New Roman"/>
                <w:noProof/>
              </w:rPr>
            </w:pPr>
            <w:r>
              <w:rPr>
                <w:noProof/>
              </w:rPr>
              <w:t>C15.I5</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3FB61713" w14:textId="77777777" w:rsidR="003E1D81" w:rsidRDefault="00EB481C">
            <w:pPr>
              <w:pStyle w:val="P68B1DB1-Normal13"/>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7A01AA1" w14:textId="77777777" w:rsidR="003E1D81" w:rsidRDefault="00EB481C">
            <w:pPr>
              <w:pStyle w:val="P68B1DB1-Normal13"/>
              <w:rPr>
                <w:rFonts w:cs="Times New Roman"/>
                <w:noProof/>
              </w:rPr>
            </w:pPr>
            <w:r>
              <w:rPr>
                <w:noProof/>
              </w:rPr>
              <w:t>A határokon átnyúló digitális infrastruktúra fejlesztése: a projekt lezárása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42A6D73" w14:textId="77777777" w:rsidR="003E1D81" w:rsidRDefault="00EB481C">
            <w:pPr>
              <w:pStyle w:val="P68B1DB1-Normal13"/>
              <w:rPr>
                <w:rFonts w:cs="Times New Roman"/>
                <w:noProof/>
              </w:rPr>
            </w:pPr>
            <w:r>
              <w:rPr>
                <w:noProof/>
              </w:rPr>
              <w:t xml:space="preserve">Az odaítélt </w:t>
            </w:r>
            <w:r>
              <w:rPr>
                <w:noProof/>
              </w:rPr>
              <w:t>projektek lezárása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AB5C23F" w14:textId="77777777" w:rsidR="003E1D81" w:rsidRDefault="00EB481C">
            <w:pPr>
              <w:pStyle w:val="P68B1DB1-Normal13"/>
              <w:spacing w:after="0" w:line="256" w:lineRule="auto"/>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9E9D330" w14:textId="77777777" w:rsidR="003E1D81" w:rsidRDefault="00EB481C">
            <w:pPr>
              <w:pStyle w:val="P68B1DB1-Normal13"/>
              <w:spacing w:after="0" w:line="256" w:lineRule="auto"/>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A57AC48" w14:textId="77777777" w:rsidR="003E1D81" w:rsidRDefault="00EB481C">
            <w:pPr>
              <w:pStyle w:val="P68B1DB1-Normal13"/>
              <w:spacing w:after="0" w:line="256" w:lineRule="auto"/>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07929CF" w14:textId="22707EA9" w:rsidR="003E1D81" w:rsidRDefault="00EB481C">
            <w:pPr>
              <w:pStyle w:val="P68B1DB1-Normal13"/>
              <w:spacing w:after="0" w:line="256" w:lineRule="auto"/>
              <w:jc w:val="center"/>
              <w:rPr>
                <w:rFonts w:cs="Times New Roman"/>
                <w:noProof/>
              </w:rPr>
            </w:pPr>
            <w:r>
              <w:rPr>
                <w:noProof/>
              </w:rPr>
              <w:t>KÉRDÉS</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345DA5D" w14:textId="35AB7177" w:rsidR="003E1D81" w:rsidRDefault="00EB481C">
            <w:pPr>
              <w:pStyle w:val="P68B1DB1-Normal13"/>
              <w:spacing w:after="0" w:line="256" w:lineRule="auto"/>
              <w:jc w:val="center"/>
              <w:rPr>
                <w:rFonts w:cs="Times New Roman"/>
                <w:noProof/>
              </w:rPr>
            </w:pPr>
            <w:r>
              <w:rPr>
                <w:noProof/>
              </w:rPr>
              <w:t xml:space="preserve">2026 </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59D71ED7" w14:textId="77777777" w:rsidR="003E1D81" w:rsidRDefault="00EB481C">
            <w:pPr>
              <w:pStyle w:val="P68B1DB1-Normal13"/>
              <w:spacing w:after="0" w:line="256" w:lineRule="auto"/>
              <w:rPr>
                <w:rFonts w:cs="Times New Roman"/>
                <w:noProof/>
              </w:rPr>
            </w:pPr>
            <w:r>
              <w:rPr>
                <w:noProof/>
              </w:rPr>
              <w:t>A(z) tenger alatti kábelekre és a felhő-/adatinfrastruktúra összekapcsolására irányuló projektek (a #241. mérföldkőben odaítélt) befejezése; a számításifelhő- és Edge-infrastruktúra és -szolgáltatások új generációja pr</w:t>
            </w:r>
            <w:r>
              <w:rPr>
                <w:noProof/>
              </w:rPr>
              <w:t xml:space="preserve">ojektek; a fejlett processzorokra és félvezetőkre vonatkozó projektek; valamint d) a kvantumkommunikációval és a biztonságos műholdas kommunikációval kapcsolatos képességek megerősítését célzó K+F+I projektekről </w:t>
            </w:r>
          </w:p>
        </w:tc>
      </w:tr>
      <w:tr w:rsidR="003E1D81" w14:paraId="4F590BBC"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90E85FB" w14:textId="77777777" w:rsidR="003E1D81" w:rsidRDefault="00EB481C">
            <w:pPr>
              <w:pStyle w:val="P68B1DB1-Normal13"/>
              <w:jc w:val="center"/>
              <w:rPr>
                <w:rFonts w:cs="Times New Roman"/>
                <w:noProof/>
              </w:rPr>
            </w:pPr>
            <w:r>
              <w:rPr>
                <w:noProof/>
              </w:rPr>
              <w:t>243</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D36CEEA" w14:textId="77777777" w:rsidR="003E1D81" w:rsidRDefault="00EB481C">
            <w:pPr>
              <w:pStyle w:val="P68B1DB1-Normal13"/>
              <w:jc w:val="center"/>
              <w:rPr>
                <w:rFonts w:cs="Times New Roman"/>
                <w:noProof/>
              </w:rPr>
            </w:pPr>
            <w:r>
              <w:rPr>
                <w:noProof/>
              </w:rPr>
              <w:t>C15.I6</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6AACD3F4" w14:textId="77777777" w:rsidR="003E1D81" w:rsidRDefault="00EB481C">
            <w:pPr>
              <w:pStyle w:val="P68B1DB1-Normal13"/>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34C15AE" w14:textId="77777777" w:rsidR="003E1D81" w:rsidRDefault="00EB481C">
            <w:pPr>
              <w:pStyle w:val="P68B1DB1-Normal13"/>
              <w:rPr>
                <w:rFonts w:cs="Times New Roman"/>
                <w:noProof/>
              </w:rPr>
            </w:pPr>
            <w:r>
              <w:rPr>
                <w:noProof/>
              </w:rPr>
              <w:t>Az 5G technológia bevezetése:</w:t>
            </w:r>
            <w:r>
              <w:rPr>
                <w:noProof/>
              </w:rPr>
              <w:t xml:space="preserve"> díj</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8E8661E" w14:textId="77777777" w:rsidR="003E1D81" w:rsidRDefault="00EB481C">
            <w:pPr>
              <w:pStyle w:val="P68B1DB1-Normal13"/>
              <w:rPr>
                <w:rFonts w:cs="Times New Roman"/>
                <w:noProof/>
              </w:rPr>
            </w:pPr>
            <w:r>
              <w:rPr>
                <w:noProof/>
              </w:rPr>
              <w:t>A projektek odaítélésének hivatalos közzététele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6A23F54" w14:textId="77777777" w:rsidR="003E1D81" w:rsidRDefault="00EB481C">
            <w:pPr>
              <w:pStyle w:val="P68B1DB1-Normal13"/>
              <w:spacing w:after="0" w:line="256" w:lineRule="auto"/>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9644D5C" w14:textId="77777777" w:rsidR="003E1D81" w:rsidRDefault="00EB481C">
            <w:pPr>
              <w:pStyle w:val="P68B1DB1-Normal13"/>
              <w:spacing w:after="0" w:line="256" w:lineRule="auto"/>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7F8A613" w14:textId="77777777" w:rsidR="003E1D81" w:rsidRDefault="00EB481C">
            <w:pPr>
              <w:pStyle w:val="P68B1DB1-Normal13"/>
              <w:spacing w:after="0" w:line="256" w:lineRule="auto"/>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9081711" w14:textId="77777777" w:rsidR="003E1D81" w:rsidRDefault="00EB481C">
            <w:pPr>
              <w:pStyle w:val="P68B1DB1-Normal13"/>
              <w:spacing w:after="0" w:line="256" w:lineRule="auto"/>
              <w:jc w:val="center"/>
              <w:rPr>
                <w:rFonts w:cs="Times New Roman"/>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669E428" w14:textId="50B7EAD7" w:rsidR="003E1D81" w:rsidRDefault="00EB481C">
            <w:pPr>
              <w:pStyle w:val="P68B1DB1-Normal13"/>
              <w:spacing w:after="0" w:line="256" w:lineRule="auto"/>
              <w:jc w:val="center"/>
              <w:rPr>
                <w:rFonts w:cs="Times New Roman"/>
                <w:noProof/>
              </w:rPr>
            </w:pPr>
            <w:r>
              <w:rPr>
                <w:noProof/>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6762AB78" w14:textId="5FF2B9CD" w:rsidR="003E1D81" w:rsidRDefault="00EB481C">
            <w:pPr>
              <w:pStyle w:val="P68B1DB1-Normal13"/>
              <w:spacing w:after="0" w:line="256" w:lineRule="auto"/>
              <w:rPr>
                <w:rFonts w:cs="Times New Roman"/>
                <w:noProof/>
              </w:rPr>
            </w:pPr>
            <w:r>
              <w:rPr>
                <w:noProof/>
              </w:rPr>
              <w:t>A projektekre vonatkozó összes szerződés és támogatás odaítélése (a projektek teljes költségvetése 1 465 000 000 EUR), valamint pénzeszközök átcsoportosítása az alábbi tevékenységek végrehajtására: az 5G kiépítése a főbb nemzeti (bizonyos területeken) és a</w:t>
            </w:r>
            <w:r>
              <w:rPr>
                <w:noProof/>
              </w:rPr>
              <w:t xml:space="preserve"> határokon átnyúló közlekedési folyosókon (4000 helyszín); az 5G kiépítése bizonyos területeken azzal a céllal, hogy 2025-ig 75%-os népességi lefedettséget érjenek el az 5G elsőbbségi sávokban (legalább 7000 új vagy meglévő helyszín új 5G berendezéssel; és</w:t>
            </w:r>
            <w:r>
              <w:rPr>
                <w:noProof/>
              </w:rPr>
              <w:t xml:space="preserve"> legalább 4000 meglévő helyszín a felhordó hálózat kapacitásának növelését célzó intézkedésekkel; az 5G kiépítése a kulcsfontosságú gazdasági tevékenységekben alapvető szolgáltatásokban (43 konnektivitási projekt); valamint d) az innovációs ökoszisztémákra</w:t>
            </w:r>
            <w:r>
              <w:rPr>
                <w:noProof/>
              </w:rPr>
              <w:t xml:space="preserve"> (200 projekt) és az 5G kiberbiztonsági ökoszisztémákra irányuló, az 5G-hez és a 6G-hez kapcsolódó K+F támogatása. </w:t>
            </w:r>
          </w:p>
        </w:tc>
      </w:tr>
      <w:tr w:rsidR="003E1D81" w14:paraId="39769899"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6240FC7" w14:textId="77777777" w:rsidR="003E1D81" w:rsidRDefault="00EB481C">
            <w:pPr>
              <w:pStyle w:val="P68B1DB1-Normal13"/>
              <w:spacing w:after="0" w:line="256" w:lineRule="auto"/>
              <w:jc w:val="center"/>
              <w:rPr>
                <w:rFonts w:cs="Times New Roman"/>
                <w:noProof/>
              </w:rPr>
            </w:pPr>
            <w:r>
              <w:rPr>
                <w:noProof/>
              </w:rPr>
              <w:t>244</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07E0F06" w14:textId="77777777" w:rsidR="003E1D81" w:rsidRDefault="00EB481C">
            <w:pPr>
              <w:pStyle w:val="P68B1DB1-Normal13"/>
              <w:spacing w:after="0" w:line="256" w:lineRule="auto"/>
              <w:jc w:val="center"/>
              <w:rPr>
                <w:rFonts w:cs="Times New Roman"/>
                <w:noProof/>
              </w:rPr>
            </w:pPr>
            <w:r>
              <w:rPr>
                <w:noProof/>
              </w:rPr>
              <w:t>C15.I6</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F1328D5" w14:textId="77777777" w:rsidR="003E1D81" w:rsidRDefault="00EB481C">
            <w:pPr>
              <w:pStyle w:val="P68B1DB1-Normal13"/>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D122A13" w14:textId="77777777" w:rsidR="003E1D81" w:rsidRDefault="00EB481C">
            <w:pPr>
              <w:pStyle w:val="P68B1DB1-Normal13"/>
              <w:rPr>
                <w:rFonts w:cs="Times New Roman"/>
                <w:noProof/>
              </w:rPr>
            </w:pPr>
            <w:r>
              <w:rPr>
                <w:noProof/>
              </w:rPr>
              <w:t>Az 5G technológia bevezetése: A projekt lezárása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CE50BAB" w14:textId="77777777" w:rsidR="003E1D81" w:rsidRDefault="00EB481C">
            <w:pPr>
              <w:pStyle w:val="P68B1DB1-Normal13"/>
              <w:rPr>
                <w:rFonts w:cs="Times New Roman"/>
                <w:noProof/>
              </w:rPr>
            </w:pPr>
            <w:r>
              <w:rPr>
                <w:noProof/>
              </w:rPr>
              <w:t>Az odaítélt projektek lezárása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9FD8733" w14:textId="77777777" w:rsidR="003E1D81" w:rsidRDefault="00EB481C">
            <w:pPr>
              <w:pStyle w:val="P68B1DB1-Normal34"/>
              <w:rPr>
                <w:rFonts w:cs="Times New Roman"/>
                <w:noProof/>
              </w:rPr>
            </w:pPr>
            <w:r>
              <w:rPr>
                <w:noProof/>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E386E8A" w14:textId="77777777" w:rsidR="003E1D81" w:rsidRDefault="00EB481C">
            <w:pPr>
              <w:pStyle w:val="P68B1DB1-Normal34"/>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5F59B1E" w14:textId="77777777" w:rsidR="003E1D81" w:rsidRDefault="00EB481C">
            <w:pPr>
              <w:pStyle w:val="P68B1DB1-Normal13"/>
              <w:spacing w:after="0" w:line="256" w:lineRule="auto"/>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4A4CB8D2" w14:textId="3AB924F4" w:rsidR="003E1D81" w:rsidRDefault="00EB481C">
            <w:pPr>
              <w:pStyle w:val="P68B1DB1-Normal13"/>
              <w:spacing w:after="0" w:line="256" w:lineRule="auto"/>
              <w:jc w:val="center"/>
              <w:rPr>
                <w:rFonts w:cs="Times New Roman"/>
                <w:noProof/>
              </w:rPr>
            </w:pPr>
            <w:r>
              <w:rPr>
                <w:noProof/>
              </w:rPr>
              <w:t>KÉRDÉS</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C5B31D8" w14:textId="6BCB7F3A" w:rsidR="003E1D81" w:rsidRDefault="00EB481C">
            <w:pPr>
              <w:pStyle w:val="P68B1DB1-Normal13"/>
              <w:spacing w:after="0" w:line="256" w:lineRule="auto"/>
              <w:jc w:val="center"/>
              <w:rPr>
                <w:rFonts w:cs="Times New Roman"/>
                <w:noProof/>
              </w:rPr>
            </w:pPr>
            <w:r>
              <w:rPr>
                <w:noProof/>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51941857" w14:textId="143C151B" w:rsidR="003E1D81" w:rsidRDefault="00EB481C">
            <w:pPr>
              <w:pStyle w:val="P68B1DB1-Normal13"/>
              <w:spacing w:after="0" w:line="256" w:lineRule="auto"/>
              <w:rPr>
                <w:rFonts w:cs="Times New Roman"/>
                <w:noProof/>
              </w:rPr>
            </w:pPr>
            <w:r>
              <w:rPr>
                <w:noProof/>
              </w:rPr>
              <w:t xml:space="preserve">Az 5G kiépítésére irányuló </w:t>
            </w:r>
            <w:r>
              <w:rPr>
                <w:noProof/>
              </w:rPr>
              <w:t>projektek befejezése a fő nemzeti területen (bizonyos területeken) és a határokon átnyúló közlekedési folyosók (4000 helyszín); az 5G kiépítése bizonyos területeken azzal a céllal, hogy 2025-ig 75%-os népességi lefedettséget érjenek el az 5G elsőbbségi sáv</w:t>
            </w:r>
            <w:r>
              <w:rPr>
                <w:noProof/>
              </w:rPr>
              <w:t>okban (legalább 7000 új vagy meglévő helyszín új 5G berendezéssel és legalább 4000 meglévő helyszín a felhordó hálózat kapacitásának növelését célzó intézkedésekkel); az 5G kiépítése a kulcsfontosságú gazdasági tevékenységekben alapvető szolgáltatásokban (</w:t>
            </w:r>
            <w:r>
              <w:rPr>
                <w:noProof/>
              </w:rPr>
              <w:t>43 konnektivitási projekt); valamint d) az innovációs ökoszisztémákra (200 projekt) és az 5G kiberbiztonsági ökoszisztémákra irányuló, az 5G-hez és a 6G-hez kapcsolódó K+F támogatása. A projektek a program odaítélésében meghatározott kritériumokkal összhan</w:t>
            </w:r>
            <w:r>
              <w:rPr>
                <w:noProof/>
              </w:rPr>
              <w:t>gban valósulnak meg (243. mérföldkő).</w:t>
            </w:r>
          </w:p>
        </w:tc>
      </w:tr>
      <w:tr w:rsidR="003E1D81" w14:paraId="2FEA3BFE"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15C8FB01" w14:textId="77777777" w:rsidR="003E1D81" w:rsidRDefault="00EB481C">
            <w:pPr>
              <w:pStyle w:val="P68B1DB1-Normal13"/>
              <w:spacing w:after="0"/>
              <w:jc w:val="center"/>
              <w:rPr>
                <w:rFonts w:eastAsia="Times New Roman" w:cs="Times New Roman"/>
                <w:noProof/>
              </w:rPr>
            </w:pPr>
            <w:r>
              <w:rPr>
                <w:noProof/>
              </w:rPr>
              <w:t>245</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A520B89" w14:textId="77777777" w:rsidR="003E1D81" w:rsidRDefault="00EB481C">
            <w:pPr>
              <w:pStyle w:val="P68B1DB1-Normal13"/>
              <w:spacing w:after="0"/>
              <w:jc w:val="center"/>
              <w:rPr>
                <w:rFonts w:eastAsia="Times New Roman" w:cs="Times New Roman"/>
                <w:noProof/>
              </w:rPr>
            </w:pPr>
            <w:r>
              <w:rPr>
                <w:noProof/>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8916D20" w14:textId="21FC535D" w:rsidR="003E1D81" w:rsidRDefault="00EB481C">
            <w:pPr>
              <w:pStyle w:val="P68B1DB1-Normal13"/>
              <w:spacing w:after="0"/>
              <w:jc w:val="center"/>
              <w:rPr>
                <w:rFonts w:eastAsia="Times New Roman"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E141CC0" w14:textId="77777777" w:rsidR="003E1D81" w:rsidRDefault="00EB481C">
            <w:pPr>
              <w:pStyle w:val="P68B1DB1-Normal13"/>
              <w:spacing w:after="0"/>
              <w:rPr>
                <w:rFonts w:eastAsia="Times New Roman" w:cs="Times New Roman"/>
                <w:noProof/>
              </w:rPr>
            </w:pPr>
            <w:r>
              <w:rPr>
                <w:noProof/>
              </w:rPr>
              <w:t>A nemzeti kiberbiztonsági ágazatot támogató program, a globális biztonsági innovációs program és a kapcsolódó intézkedések elindítása.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49FA71A" w14:textId="77777777" w:rsidR="003E1D81" w:rsidRDefault="00EB481C">
            <w:pPr>
              <w:pStyle w:val="P68B1DB1-Normal13"/>
              <w:spacing w:after="0"/>
              <w:jc w:val="center"/>
              <w:rPr>
                <w:rFonts w:eastAsia="Times New Roman" w:cs="Times New Roman"/>
                <w:noProof/>
              </w:rPr>
            </w:pPr>
            <w:r>
              <w:rPr>
                <w:noProof/>
              </w:rPr>
              <w:t>A programok közzététele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BDA5081" w14:textId="584E8150" w:rsidR="003E1D81" w:rsidRDefault="003E1D81">
            <w:pPr>
              <w:spacing w:after="0"/>
              <w:jc w:val="center"/>
              <w:rPr>
                <w:rFonts w:ascii="Times New Roman" w:eastAsia="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14F70AF" w14:textId="1268178A" w:rsidR="003E1D81" w:rsidRDefault="003E1D81">
            <w:pPr>
              <w:spacing w:after="0"/>
              <w:jc w:val="center"/>
              <w:rPr>
                <w:rFonts w:ascii="Times New Roman" w:eastAsia="Times New Roman" w:hAnsi="Times New Roman" w:cs="Times New Roman"/>
                <w:noProof/>
                <w:sz w:val="18"/>
              </w:rPr>
            </w:pP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FA29AF3" w14:textId="088F2FA0" w:rsidR="003E1D81" w:rsidRDefault="00EB481C">
            <w:pPr>
              <w:pStyle w:val="P68B1DB1-Normal13"/>
              <w:spacing w:after="0"/>
              <w:jc w:val="center"/>
              <w:rPr>
                <w:rFonts w:eastAsia="Times New Roman"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C1F5103" w14:textId="77777777" w:rsidR="003E1D81" w:rsidRDefault="00EB481C">
            <w:pPr>
              <w:pStyle w:val="P68B1DB1-Normal13"/>
              <w:spacing w:after="0"/>
              <w:jc w:val="center"/>
              <w:rPr>
                <w:rFonts w:eastAsia="Times New Roman" w:cs="Times New Roman"/>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873EB9B" w14:textId="1A6BD0A3" w:rsidR="003E1D81" w:rsidRDefault="00EB481C">
            <w:pPr>
              <w:pStyle w:val="P68B1DB1-Normal13"/>
              <w:spacing w:after="0"/>
              <w:jc w:val="center"/>
              <w:rPr>
                <w:rFonts w:cs="Times New Roman"/>
                <w:noProof/>
              </w:rPr>
            </w:pPr>
            <w:r>
              <w:rPr>
                <w:noProof/>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2227B89" w14:textId="1476068F" w:rsidR="003E1D81" w:rsidRDefault="00EB481C">
            <w:pPr>
              <w:spacing w:after="0"/>
              <w:rPr>
                <w:rFonts w:ascii="Times New Roman" w:eastAsia="Times New Roman" w:hAnsi="Times New Roman" w:cs="Times New Roman"/>
                <w:noProof/>
                <w:sz w:val="18"/>
              </w:rPr>
            </w:pPr>
            <w:r>
              <w:rPr>
                <w:noProof/>
              </w:rPr>
              <w:t>A</w:t>
            </w:r>
            <w:r>
              <w:rPr>
                <w:rFonts w:ascii="Times New Roman" w:hAnsi="Times New Roman"/>
                <w:noProof/>
                <w:sz w:val="18"/>
              </w:rPr>
              <w:t xml:space="preserve">nemzeti kiberbiztonsági </w:t>
            </w:r>
            <w:r>
              <w:rPr>
                <w:rFonts w:ascii="Times New Roman" w:hAnsi="Times New Roman"/>
                <w:noProof/>
                <w:sz w:val="18"/>
              </w:rPr>
              <w:t>ágazatot támogató program és a globális biztonsági innovációs program elindítása, valamint egyéb kapcsolódó intézkedések</w:t>
            </w:r>
            <w:r>
              <w:rPr>
                <w:noProof/>
              </w:rPr>
              <w:t xml:space="preserve"> </w:t>
            </w:r>
            <w:r>
              <w:rPr>
                <w:rFonts w:ascii="Times New Roman" w:hAnsi="Times New Roman"/>
                <w:noProof/>
                <w:sz w:val="18"/>
              </w:rPr>
              <w:t>(311 000 000 EUR költségvetési juttatással), amelyek olyan kulcsfontosságú ipari szempontokkal foglalkoznak, mint például:</w:t>
            </w:r>
            <w:r>
              <w:rPr>
                <w:rFonts w:ascii="Times New Roman" w:hAnsi="Times New Roman"/>
                <w:noProof/>
                <w:sz w:val="18"/>
              </w:rPr>
              <w:br/>
              <w:t>a nemzeti ki</w:t>
            </w:r>
            <w:r>
              <w:rPr>
                <w:rFonts w:ascii="Times New Roman" w:hAnsi="Times New Roman"/>
                <w:noProof/>
                <w:sz w:val="18"/>
              </w:rPr>
              <w:t xml:space="preserve">berbiztonsági ipar fellendítése az ágazatban működő vállalkozások megjelenése, növekedése és fejlődése érdekében </w:t>
            </w:r>
            <w:r>
              <w:rPr>
                <w:rFonts w:ascii="Times New Roman" w:hAnsi="Times New Roman"/>
                <w:noProof/>
                <w:sz w:val="18"/>
              </w:rPr>
              <w:br/>
              <w:t xml:space="preserve">magas hozzáadott értéket képviselő megoldások és szolgáltatások kidolgozása a kiberbiztonság területén </w:t>
            </w:r>
            <w:r>
              <w:rPr>
                <w:rFonts w:ascii="Times New Roman" w:hAnsi="Times New Roman"/>
                <w:noProof/>
                <w:sz w:val="18"/>
              </w:rPr>
              <w:br/>
              <w:t>a kiberbiztonság területére szakosodot</w:t>
            </w:r>
            <w:r>
              <w:rPr>
                <w:rFonts w:ascii="Times New Roman" w:hAnsi="Times New Roman"/>
                <w:noProof/>
                <w:sz w:val="18"/>
              </w:rPr>
              <w:t xml:space="preserve">t tehetségek képzése és fejlesztése </w:t>
            </w:r>
            <w:r>
              <w:rPr>
                <w:rFonts w:ascii="Times New Roman" w:hAnsi="Times New Roman"/>
                <w:noProof/>
                <w:sz w:val="18"/>
              </w:rPr>
              <w:br/>
              <w:t xml:space="preserve">Nemzetköziesítési intézkedések a kiberbiztonság területén </w:t>
            </w:r>
            <w:r>
              <w:rPr>
                <w:rFonts w:ascii="Times New Roman" w:hAnsi="Times New Roman"/>
                <w:noProof/>
                <w:sz w:val="18"/>
              </w:rPr>
              <w:br/>
              <w:t>a kiberbiztonsági infrastruktúra fejlesztésére és új kiberbiztonsági szolgáltatások – többek között tesztlaboratóriumok és kiberbiztonsági támadásszimulátorok –</w:t>
            </w:r>
            <w:r>
              <w:rPr>
                <w:rFonts w:ascii="Times New Roman" w:hAnsi="Times New Roman"/>
                <w:noProof/>
                <w:sz w:val="18"/>
              </w:rPr>
              <w:t xml:space="preserve"> létrehozására szolgáló demonstrációs központ létrehozása </w:t>
            </w:r>
            <w:r>
              <w:rPr>
                <w:rFonts w:ascii="Times New Roman" w:hAnsi="Times New Roman"/>
                <w:noProof/>
                <w:sz w:val="18"/>
              </w:rPr>
              <w:br/>
              <w:t>kiberbiztonsági címketanúsítványok kidolgozása.</w:t>
            </w:r>
          </w:p>
        </w:tc>
      </w:tr>
      <w:tr w:rsidR="003E1D81" w14:paraId="2558A584" w14:textId="77777777">
        <w:trPr>
          <w:gridAfter w:val="1"/>
          <w:wAfter w:w="6" w:type="dxa"/>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480C579D" w14:textId="50B8C22D" w:rsidR="003E1D81" w:rsidRDefault="00EB481C">
            <w:pPr>
              <w:pStyle w:val="P68B1DB1-Normal13"/>
              <w:spacing w:after="0"/>
              <w:jc w:val="center"/>
              <w:rPr>
                <w:rFonts w:cs="Times New Roman"/>
                <w:noProof/>
              </w:rPr>
            </w:pPr>
            <w:r>
              <w:rPr>
                <w:noProof/>
              </w:rPr>
              <w:t>453</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1C8A01CC" w14:textId="56657FFE" w:rsidR="003E1D81" w:rsidRDefault="00EB481C">
            <w:pPr>
              <w:pStyle w:val="P68B1DB1-Normal13"/>
              <w:spacing w:after="0"/>
              <w:jc w:val="center"/>
              <w:rPr>
                <w:rFonts w:cs="Times New Roman"/>
                <w:noProof/>
              </w:rPr>
            </w:pPr>
            <w:r>
              <w:rPr>
                <w:noProof/>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7573A7D4" w14:textId="19BE73E8" w:rsidR="003E1D81" w:rsidRDefault="00EB481C">
            <w:pPr>
              <w:pStyle w:val="P68B1DB1-Normal13"/>
              <w:spacing w:after="0"/>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70FA5D1C" w14:textId="77777777" w:rsidR="003E1D81" w:rsidRDefault="00EB481C">
            <w:pPr>
              <w:pStyle w:val="P68B1DB1-Normal13"/>
              <w:spacing w:after="0"/>
              <w:rPr>
                <w:rFonts w:cs="Times New Roman"/>
                <w:noProof/>
              </w:rPr>
            </w:pPr>
            <w:r>
              <w:rPr>
                <w:noProof/>
              </w:rPr>
              <w:t>A nemzeti kiberbiztonsági ágazatot támogató program, a globális biztonsági innovációs program és a kapcsolódó intézkedések elindítása.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FD2E6FE" w14:textId="77777777" w:rsidR="003E1D81" w:rsidRDefault="00EB481C">
            <w:pPr>
              <w:pStyle w:val="P68B1DB1-Normal13"/>
              <w:spacing w:after="0"/>
              <w:jc w:val="center"/>
              <w:rPr>
                <w:rFonts w:cs="Times New Roman"/>
                <w:noProof/>
              </w:rPr>
            </w:pPr>
            <w:r>
              <w:rPr>
                <w:noProof/>
              </w:rPr>
              <w:t>A programok közzététele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8F486CC" w14:textId="7A1F42A4" w:rsidR="003E1D81" w:rsidRDefault="003E1D81">
            <w:pPr>
              <w:spacing w:after="0"/>
              <w:jc w:val="center"/>
              <w:rPr>
                <w:rFonts w:ascii="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7E428DD" w14:textId="3CD1FCF6" w:rsidR="003E1D81" w:rsidRDefault="003E1D81">
            <w:pPr>
              <w:spacing w:after="0"/>
              <w:jc w:val="center"/>
              <w:rPr>
                <w:rFonts w:ascii="Times New Roman" w:hAnsi="Times New Roman" w:cs="Times New Roman"/>
                <w:noProof/>
                <w:sz w:val="18"/>
              </w:rPr>
            </w:pP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7005736" w14:textId="42F6C17F" w:rsidR="003E1D81" w:rsidRDefault="003E1D81">
            <w:pPr>
              <w:spacing w:after="0"/>
              <w:jc w:val="center"/>
              <w:rPr>
                <w:rFonts w:ascii="Times New Roman" w:hAnsi="Times New Roman" w:cs="Times New Roman"/>
                <w:noProof/>
                <w:sz w:val="18"/>
              </w:rPr>
            </w:pP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431EA3E9" w14:textId="77777777" w:rsidR="003E1D81" w:rsidRDefault="00EB481C">
            <w:pPr>
              <w:pStyle w:val="P68B1DB1-Normal13"/>
              <w:spacing w:after="0"/>
              <w:jc w:val="center"/>
              <w:rPr>
                <w:rFonts w:cs="Times New Roman"/>
                <w:noProof/>
              </w:rPr>
            </w:pPr>
            <w:r>
              <w:rPr>
                <w:noProof/>
              </w:rPr>
              <w:t>KÉRDÉS</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982EDB3" w14:textId="3540BD27" w:rsidR="003E1D81" w:rsidRDefault="00EB481C">
            <w:pPr>
              <w:pStyle w:val="P68B1DB1-Normal13"/>
              <w:spacing w:after="0"/>
              <w:jc w:val="center"/>
              <w:rPr>
                <w:rFonts w:cs="Times New Roman"/>
                <w:noProof/>
              </w:rPr>
            </w:pPr>
            <w:r>
              <w:rPr>
                <w:noProof/>
              </w:rPr>
              <w:t>2023</w:t>
            </w:r>
          </w:p>
        </w:tc>
        <w:tc>
          <w:tcPr>
            <w:tcW w:w="5670" w:type="dxa"/>
            <w:tcBorders>
              <w:top w:val="single" w:sz="4" w:space="0" w:color="auto"/>
              <w:left w:val="single" w:sz="4" w:space="0" w:color="auto"/>
              <w:bottom w:val="single" w:sz="4" w:space="0" w:color="auto"/>
              <w:right w:val="single" w:sz="4" w:space="0" w:color="auto"/>
            </w:tcBorders>
            <w:shd w:val="clear" w:color="auto" w:fill="C6EFCE"/>
            <w:noWrap/>
          </w:tcPr>
          <w:p w14:paraId="7EE5AD83" w14:textId="402D3BA8" w:rsidR="003E1D81" w:rsidRDefault="00EB481C">
            <w:pPr>
              <w:spacing w:after="0"/>
              <w:rPr>
                <w:rFonts w:ascii="Times New Roman" w:hAnsi="Times New Roman" w:cs="Times New Roman"/>
                <w:noProof/>
                <w:sz w:val="18"/>
              </w:rPr>
            </w:pPr>
            <w:r>
              <w:rPr>
                <w:rFonts w:ascii="Times New Roman" w:hAnsi="Times New Roman"/>
                <w:noProof/>
                <w:sz w:val="18"/>
              </w:rPr>
              <w:t>A 245. mérföldkőből kiindulva folytatni kell a nemzeti kiberbiztonsági támogatási program és a globális biztonsági innovációs program és más kapcsolódó intézkedések telepítését</w:t>
            </w:r>
            <w:r>
              <w:rPr>
                <w:noProof/>
              </w:rPr>
              <w:t xml:space="preserve"> </w:t>
            </w:r>
            <w:r>
              <w:rPr>
                <w:rFonts w:ascii="Times New Roman" w:hAnsi="Times New Roman"/>
                <w:noProof/>
                <w:sz w:val="18"/>
              </w:rPr>
              <w:t>(107 000 000 EUR költségvetéssel, a 245.</w:t>
            </w:r>
            <w:r>
              <w:rPr>
                <w:rFonts w:ascii="Times New Roman" w:hAnsi="Times New Roman"/>
                <w:noProof/>
                <w:sz w:val="18"/>
              </w:rPr>
              <w:t xml:space="preserve"> mérföldkő keretében összesen 418 000 000 EUR odaítélésre kerülő 311 000 000 EUR-n felül), amely olyan kulcsfontosságú ipari szempontokkal foglalkozik, mint például: </w:t>
            </w:r>
          </w:p>
          <w:p w14:paraId="4C3E715A" w14:textId="77777777" w:rsidR="003E1D81" w:rsidRDefault="00EB481C">
            <w:pPr>
              <w:pStyle w:val="P68B1DB1-Normal13"/>
              <w:spacing w:after="0"/>
              <w:rPr>
                <w:rFonts w:cs="Times New Roman"/>
                <w:noProof/>
              </w:rPr>
            </w:pPr>
            <w:r>
              <w:rPr>
                <w:noProof/>
              </w:rPr>
              <w:t>a nemzeti kiberbiztonsági ágazat fellendítése az ágazatban működő vállalkozások megjelené</w:t>
            </w:r>
            <w:r>
              <w:rPr>
                <w:noProof/>
              </w:rPr>
              <w:t xml:space="preserve">se, növekedése és fejlődése érdekében; </w:t>
            </w:r>
          </w:p>
          <w:p w14:paraId="128F5FCB" w14:textId="77777777" w:rsidR="003E1D81" w:rsidRDefault="00EB481C">
            <w:pPr>
              <w:pStyle w:val="P68B1DB1-Normal13"/>
              <w:spacing w:after="0"/>
              <w:rPr>
                <w:rFonts w:cs="Times New Roman"/>
                <w:noProof/>
              </w:rPr>
            </w:pPr>
            <w:r>
              <w:rPr>
                <w:noProof/>
              </w:rPr>
              <w:t xml:space="preserve">magas hozzáadott értéket képviselő megoldások és szolgáltatások kidolgozása a kiberbiztonság területén </w:t>
            </w:r>
          </w:p>
          <w:p w14:paraId="215A96E9" w14:textId="77777777" w:rsidR="003E1D81" w:rsidRDefault="00EB481C">
            <w:pPr>
              <w:pStyle w:val="P68B1DB1-Normal13"/>
              <w:spacing w:after="0"/>
              <w:rPr>
                <w:rFonts w:cs="Times New Roman"/>
                <w:noProof/>
              </w:rPr>
            </w:pPr>
            <w:r>
              <w:rPr>
                <w:noProof/>
              </w:rPr>
              <w:t xml:space="preserve">a kiberbiztonság területére szakosodott tehetségek képzése és fejlesztése </w:t>
            </w:r>
          </w:p>
          <w:p w14:paraId="2B5C29E9" w14:textId="77777777" w:rsidR="003E1D81" w:rsidRDefault="00EB481C">
            <w:pPr>
              <w:pStyle w:val="P68B1DB1-Normal13"/>
              <w:spacing w:after="0"/>
              <w:rPr>
                <w:rFonts w:cs="Times New Roman"/>
                <w:noProof/>
              </w:rPr>
            </w:pPr>
            <w:r>
              <w:rPr>
                <w:noProof/>
              </w:rPr>
              <w:t>nemzetköziesítési intézkedések a kibe</w:t>
            </w:r>
            <w:r>
              <w:rPr>
                <w:noProof/>
              </w:rPr>
              <w:t xml:space="preserve">rbiztonság területén; </w:t>
            </w:r>
          </w:p>
          <w:p w14:paraId="09C08B24" w14:textId="77777777" w:rsidR="003E1D81" w:rsidRDefault="00EB481C">
            <w:pPr>
              <w:pStyle w:val="P68B1DB1-Normal13"/>
              <w:spacing w:after="0"/>
              <w:rPr>
                <w:rFonts w:cs="Times New Roman"/>
                <w:noProof/>
              </w:rPr>
            </w:pPr>
            <w:r>
              <w:rPr>
                <w:noProof/>
              </w:rPr>
              <w:t xml:space="preserve">a kiberbiztonsági infrastruktúra fejlesztésére és új kiberbiztonsági szolgáltatások – többek között tesztlaboratóriumok és kiberbiztonsági támadásszimulátorok – létrehozására szolgáló demonstrációs központ létrehozása </w:t>
            </w:r>
          </w:p>
          <w:p w14:paraId="38430699" w14:textId="77777777" w:rsidR="003E1D81" w:rsidRDefault="00EB481C">
            <w:pPr>
              <w:pStyle w:val="P68B1DB1-Normal13"/>
              <w:spacing w:after="0"/>
              <w:rPr>
                <w:rFonts w:cs="Times New Roman"/>
                <w:noProof/>
              </w:rPr>
            </w:pPr>
            <w:r>
              <w:rPr>
                <w:noProof/>
              </w:rPr>
              <w:t>kiberbiztonsági címketanúsítványok kidolgozása.</w:t>
            </w:r>
          </w:p>
          <w:p w14:paraId="3AA6A019" w14:textId="6030CD96" w:rsidR="003E1D81" w:rsidRDefault="00EB481C">
            <w:pPr>
              <w:pStyle w:val="P68B1DB1-Normal13"/>
              <w:spacing w:after="0"/>
              <w:rPr>
                <w:rFonts w:cs="Times New Roman"/>
                <w:noProof/>
              </w:rPr>
            </w:pPr>
            <w:r>
              <w:rPr>
                <w:noProof/>
              </w:rPr>
              <w:t>(Az alapforgatókönyv dátuma: 2022. december)</w:t>
            </w:r>
          </w:p>
        </w:tc>
      </w:tr>
      <w:tr w:rsidR="003E1D81" w14:paraId="499C6D84"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4D288E7" w14:textId="77777777" w:rsidR="003E1D81" w:rsidRDefault="00EB481C">
            <w:pPr>
              <w:pStyle w:val="P68B1DB1-Normal13"/>
              <w:spacing w:after="0"/>
              <w:jc w:val="center"/>
              <w:rPr>
                <w:rFonts w:eastAsia="Times New Roman" w:cs="Times New Roman"/>
                <w:noProof/>
              </w:rPr>
            </w:pPr>
            <w:r>
              <w:rPr>
                <w:noProof/>
              </w:rPr>
              <w:t>246</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2BDAD87E" w14:textId="77777777" w:rsidR="003E1D81" w:rsidRDefault="00EB481C">
            <w:pPr>
              <w:pStyle w:val="P68B1DB1-Normal13"/>
              <w:spacing w:after="0"/>
              <w:jc w:val="center"/>
              <w:rPr>
                <w:rFonts w:eastAsia="Times New Roman" w:cs="Times New Roman"/>
                <w:noProof/>
              </w:rPr>
            </w:pPr>
            <w:r>
              <w:rPr>
                <w:noProof/>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5B013B2" w14:textId="77777777" w:rsidR="003E1D81" w:rsidRDefault="00EB481C">
            <w:pPr>
              <w:pStyle w:val="P68B1DB1-Normal13"/>
              <w:spacing w:after="0"/>
              <w:jc w:val="center"/>
              <w:rPr>
                <w:rFonts w:eastAsia="Times New Roman" w:cs="Times New Roman"/>
                <w:noProof/>
              </w:rPr>
            </w:pPr>
            <w:r>
              <w:rPr>
                <w:noProof/>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EF056CD" w14:textId="77777777" w:rsidR="003E1D81" w:rsidRDefault="00EB481C">
            <w:pPr>
              <w:pStyle w:val="P68B1DB1-Normal13"/>
              <w:spacing w:after="0"/>
              <w:rPr>
                <w:rFonts w:eastAsia="Times New Roman" w:cs="Times New Roman"/>
                <w:noProof/>
              </w:rPr>
            </w:pPr>
            <w:r>
              <w:rPr>
                <w:noProof/>
              </w:rPr>
              <w:t>A kiberbiztonsági kapacitások megerősítése és javítása: Erőforrások</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753EC6B8" w14:textId="77777777" w:rsidR="003E1D81" w:rsidRDefault="00EB481C">
            <w:pPr>
              <w:pStyle w:val="P68B1DB1-Normal13"/>
              <w:spacing w:after="0"/>
              <w:jc w:val="center"/>
              <w:rPr>
                <w:rFonts w:eastAsia="Times New Roman"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45A6F4B" w14:textId="77777777" w:rsidR="003E1D81" w:rsidRDefault="00EB481C">
            <w:pPr>
              <w:pStyle w:val="P68B1DB1-Normal13"/>
              <w:spacing w:after="0"/>
              <w:jc w:val="right"/>
              <w:rPr>
                <w:rFonts w:eastAsia="Times New Roman" w:cs="Times New Roman"/>
                <w:noProof/>
              </w:rPr>
            </w:pPr>
            <w:r>
              <w:rPr>
                <w:noProof/>
              </w:rPr>
              <w:t>Szám</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C6C39D5" w14:textId="77777777" w:rsidR="003E1D81" w:rsidRDefault="00EB481C">
            <w:pPr>
              <w:pStyle w:val="P68B1DB1-Normal13"/>
              <w:spacing w:after="0"/>
              <w:jc w:val="right"/>
              <w:rPr>
                <w:rFonts w:eastAsia="Times New Roman"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EF372F2" w14:textId="77777777" w:rsidR="003E1D81" w:rsidRDefault="00EB481C">
            <w:pPr>
              <w:pStyle w:val="P68B1DB1-Normal13"/>
              <w:spacing w:after="0"/>
              <w:jc w:val="right"/>
              <w:rPr>
                <w:rFonts w:eastAsia="Times New Roman" w:cs="Times New Roman"/>
                <w:noProof/>
              </w:rPr>
            </w:pPr>
            <w:r>
              <w:rPr>
                <w:noProof/>
              </w:rPr>
              <w:t>100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5C8DB48F" w14:textId="77777777" w:rsidR="003E1D81" w:rsidRDefault="00EB481C">
            <w:pPr>
              <w:pStyle w:val="P68B1DB1-Normal13"/>
              <w:spacing w:after="0"/>
              <w:jc w:val="center"/>
              <w:rPr>
                <w:rFonts w:eastAsia="Times New Roman" w:cs="Times New Roman"/>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354BB86" w14:textId="77777777" w:rsidR="003E1D81" w:rsidRDefault="00EB481C">
            <w:pPr>
              <w:pStyle w:val="P68B1DB1-Normal13"/>
              <w:spacing w:after="0"/>
              <w:jc w:val="center"/>
              <w:rPr>
                <w:rFonts w:eastAsia="Times New Roman" w:cs="Times New Roman"/>
                <w:noProof/>
              </w:rPr>
            </w:pPr>
            <w:r>
              <w:rPr>
                <w:noProof/>
              </w:rPr>
              <w:t>2023</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4AADAE6" w14:textId="77777777" w:rsidR="003E1D81" w:rsidRDefault="00EB481C">
            <w:pPr>
              <w:pStyle w:val="P68B1DB1-Normal13"/>
              <w:spacing w:after="0"/>
              <w:rPr>
                <w:rFonts w:eastAsia="Times New Roman" w:cs="Times New Roman"/>
                <w:noProof/>
              </w:rPr>
            </w:pPr>
            <w:r>
              <w:rPr>
                <w:noProof/>
              </w:rPr>
              <w:t>A kiberbiztonsági kapacitások megerősítése és javítása azáltal, hogy legalább 100 erőforrást biztosítanak a kiberbiztonsággal kapcsolatos tudatosságnövelő és kommunikációs intézkedésekhez. A kiberbiztonsággal kapcsolatos digitális készségeket az oktatás mi</w:t>
            </w:r>
            <w:r>
              <w:rPr>
                <w:noProof/>
              </w:rPr>
              <w:t>nden szintjén fejleszteni kell, speciális erőforrások, eszközök és anyagok kifejlesztésével. Továbbá létre kell hozni a kiberbiztonsági központok európai hálózatában részt vevő nemzetközi kiberbiztonsági központot.</w:t>
            </w:r>
          </w:p>
        </w:tc>
      </w:tr>
      <w:tr w:rsidR="003E1D81" w14:paraId="5AE9C9F7"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11223121" w14:textId="77777777" w:rsidR="003E1D81" w:rsidRDefault="00EB481C">
            <w:pPr>
              <w:pStyle w:val="P68B1DB1-Normal13"/>
              <w:spacing w:after="0"/>
              <w:jc w:val="center"/>
              <w:rPr>
                <w:rFonts w:cs="Times New Roman"/>
                <w:noProof/>
              </w:rPr>
            </w:pPr>
            <w:r>
              <w:rPr>
                <w:noProof/>
              </w:rPr>
              <w:t>247</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7C38019" w14:textId="77777777" w:rsidR="003E1D81" w:rsidRDefault="00EB481C">
            <w:pPr>
              <w:pStyle w:val="P68B1DB1-Normal13"/>
              <w:spacing w:after="0"/>
              <w:jc w:val="center"/>
              <w:rPr>
                <w:rFonts w:cs="Times New Roman"/>
                <w:noProof/>
              </w:rPr>
            </w:pPr>
            <w:r>
              <w:rPr>
                <w:noProof/>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216395D" w14:textId="77777777" w:rsidR="003E1D81" w:rsidRDefault="00EB481C">
            <w:pPr>
              <w:pStyle w:val="P68B1DB1-Normal13"/>
              <w:spacing w:after="0"/>
              <w:jc w:val="center"/>
              <w:rPr>
                <w:rFonts w:cs="Times New Roman"/>
                <w:noProof/>
              </w:rPr>
            </w:pPr>
            <w:r>
              <w:rPr>
                <w:noProof/>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39A38F69" w14:textId="77777777" w:rsidR="003E1D81" w:rsidRDefault="00EB481C">
            <w:pPr>
              <w:pStyle w:val="P68B1DB1-Normal13"/>
              <w:spacing w:after="0"/>
              <w:rPr>
                <w:rFonts w:cs="Times New Roman"/>
                <w:noProof/>
              </w:rPr>
            </w:pPr>
            <w:r>
              <w:rPr>
                <w:noProof/>
              </w:rPr>
              <w:t xml:space="preserve">A kiberbiztonsági </w:t>
            </w:r>
            <w:r>
              <w:rPr>
                <w:noProof/>
              </w:rPr>
              <w:t>kapacitások megerősítése és javítása: Kiberbiztonsági segélyvonal</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2C174D4" w14:textId="77777777" w:rsidR="003E1D81" w:rsidRDefault="00EB481C">
            <w:pPr>
              <w:pStyle w:val="P68B1DB1-Normal13"/>
              <w:spacing w:after="0"/>
              <w:jc w:val="center"/>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2ABC001" w14:textId="77777777" w:rsidR="003E1D81" w:rsidRDefault="00EB481C">
            <w:pPr>
              <w:pStyle w:val="P68B1DB1-Normal13"/>
              <w:spacing w:after="0"/>
              <w:jc w:val="right"/>
              <w:rPr>
                <w:rFonts w:cs="Times New Roman"/>
                <w:noProof/>
              </w:rPr>
            </w:pPr>
            <w:r>
              <w:rPr>
                <w:noProof/>
              </w:rPr>
              <w:t>Szám</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1F1E224" w14:textId="77777777" w:rsidR="003E1D81" w:rsidRDefault="00EB481C">
            <w:pPr>
              <w:pStyle w:val="P68B1DB1-Normal13"/>
              <w:spacing w:after="0"/>
              <w:jc w:val="right"/>
              <w:rPr>
                <w:rFonts w:cs="Times New Roman"/>
                <w:noProof/>
              </w:rPr>
            </w:pPr>
            <w:r>
              <w:rPr>
                <w:noProof/>
              </w:rPr>
              <w:t>5 000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677D81FA" w14:textId="77777777" w:rsidR="003E1D81" w:rsidRDefault="00EB481C">
            <w:pPr>
              <w:pStyle w:val="P68B1DB1-Normal13"/>
              <w:spacing w:after="0"/>
              <w:jc w:val="right"/>
              <w:rPr>
                <w:rFonts w:cs="Times New Roman"/>
                <w:noProof/>
              </w:rPr>
            </w:pPr>
            <w:r>
              <w:rPr>
                <w:noProof/>
              </w:rPr>
              <w:t>20 000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54F03A3F" w14:textId="77777777" w:rsidR="003E1D81" w:rsidRDefault="00EB481C">
            <w:pPr>
              <w:pStyle w:val="P68B1DB1-Normal13"/>
              <w:spacing w:after="0"/>
              <w:jc w:val="center"/>
              <w:rPr>
                <w:rFonts w:cs="Times New Roman"/>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EF76858" w14:textId="0FA55558" w:rsidR="003E1D81" w:rsidRDefault="00EB481C">
            <w:pPr>
              <w:pStyle w:val="P68B1DB1-Normal13"/>
              <w:spacing w:after="0"/>
              <w:jc w:val="center"/>
              <w:rPr>
                <w:rFonts w:cs="Times New Roman"/>
                <w:noProof/>
              </w:rPr>
            </w:pPr>
            <w:r>
              <w:rPr>
                <w:noProof/>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146AA933" w14:textId="77777777" w:rsidR="003E1D81" w:rsidRDefault="00EB481C">
            <w:pPr>
              <w:pStyle w:val="P68B1DB1-Normal13"/>
              <w:spacing w:after="0"/>
              <w:rPr>
                <w:rFonts w:cs="Times New Roman"/>
                <w:noProof/>
              </w:rPr>
            </w:pPr>
            <w:r>
              <w:rPr>
                <w:noProof/>
              </w:rPr>
              <w:t>A kiberbiztonsági kapacitások megerősítése a Nemzeti Kiberbiztonsági Intézet (INCIBE) kiberbiztonsági segélyvonalának javítása révén, havonta legalább 20000</w:t>
            </w:r>
            <w:r>
              <w:rPr>
                <w:noProof/>
              </w:rPr>
              <w:t xml:space="preserve"> hívást kezelve. Ez a segélyvonal a gyermekek szexuális bántalmazását ábrázoló anyagok eltávolítását is támogatja a webes források (CSAM) számára.</w:t>
            </w:r>
          </w:p>
        </w:tc>
      </w:tr>
      <w:tr w:rsidR="003E1D81" w14:paraId="30A996CB"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5F5EAA9" w14:textId="77777777" w:rsidR="003E1D81" w:rsidRDefault="00EB481C">
            <w:pPr>
              <w:pStyle w:val="P68B1DB1-Normal13"/>
              <w:spacing w:after="0"/>
              <w:jc w:val="center"/>
              <w:rPr>
                <w:rFonts w:cs="Times New Roman"/>
                <w:noProof/>
                <w:highlight w:val="yellow"/>
              </w:rPr>
            </w:pPr>
            <w:r>
              <w:rPr>
                <w:noProof/>
              </w:rPr>
              <w:t>248</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6383EBE" w14:textId="77777777" w:rsidR="003E1D81" w:rsidRDefault="00EB481C">
            <w:pPr>
              <w:pStyle w:val="P68B1DB1-Normal13"/>
              <w:spacing w:after="0"/>
              <w:jc w:val="center"/>
              <w:rPr>
                <w:rFonts w:cs="Times New Roman"/>
                <w:noProof/>
              </w:rPr>
            </w:pPr>
            <w:r>
              <w:rPr>
                <w:noProof/>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46CBE7B3" w14:textId="77777777" w:rsidR="003E1D81" w:rsidRDefault="00EB481C">
            <w:pPr>
              <w:pStyle w:val="P68B1DB1-Normal13"/>
              <w:spacing w:after="0"/>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7848E5A" w14:textId="77777777" w:rsidR="003E1D81" w:rsidRDefault="00EB481C">
            <w:pPr>
              <w:pStyle w:val="P68B1DB1-Normal13"/>
              <w:spacing w:after="0"/>
              <w:rPr>
                <w:rFonts w:cs="Times New Roman"/>
                <w:noProof/>
              </w:rPr>
            </w:pPr>
            <w:r>
              <w:rPr>
                <w:noProof/>
              </w:rPr>
              <w:t xml:space="preserve">A nemzeti kiberbiztonsági ágazatot támogató program, a globális biztonsági innovációs program </w:t>
            </w:r>
            <w:r>
              <w:rPr>
                <w:noProof/>
              </w:rPr>
              <w:t>és a kapcsolódó intézkedések projektjeinek lezárása.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355E1BE" w14:textId="77777777" w:rsidR="003E1D81" w:rsidRDefault="00EB481C">
            <w:pPr>
              <w:pStyle w:val="P68B1DB1-Normal13"/>
              <w:spacing w:after="0"/>
              <w:jc w:val="center"/>
              <w:rPr>
                <w:rFonts w:cs="Times New Roman"/>
                <w:noProof/>
              </w:rPr>
            </w:pPr>
            <w:r>
              <w:rPr>
                <w:noProof/>
              </w:rPr>
              <w:t>Értesítés a beruházási projektek befejezéséről</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0C22811" w14:textId="77777777" w:rsidR="003E1D81" w:rsidRDefault="00EB481C">
            <w:pPr>
              <w:pStyle w:val="P68B1DB1-Normal13"/>
              <w:spacing w:after="0"/>
              <w:jc w:val="right"/>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387D92F" w14:textId="77777777" w:rsidR="003E1D81" w:rsidRDefault="00EB481C">
            <w:pPr>
              <w:pStyle w:val="P68B1DB1-Normal13"/>
              <w:spacing w:after="0"/>
              <w:jc w:val="right"/>
              <w:rPr>
                <w:rFonts w:cs="Times New Roman"/>
                <w:noProof/>
              </w:rPr>
            </w:pPr>
            <w:r>
              <w:rPr>
                <w:noProof/>
              </w:rPr>
              <w:t>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1DA3C514" w14:textId="77777777" w:rsidR="003E1D81" w:rsidRDefault="00EB481C">
            <w:pPr>
              <w:pStyle w:val="P68B1DB1-Normal13"/>
              <w:spacing w:after="0"/>
              <w:jc w:val="right"/>
              <w:rPr>
                <w:rFonts w:cs="Times New Roman"/>
                <w:noProof/>
              </w:rPr>
            </w:pPr>
            <w:r>
              <w:rPr>
                <w:noProof/>
              </w:rPr>
              <w:t>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2ECC6469" w14:textId="77777777" w:rsidR="003E1D81" w:rsidRDefault="00EB481C">
            <w:pPr>
              <w:pStyle w:val="P68B1DB1-Normal13"/>
              <w:spacing w:after="0"/>
              <w:jc w:val="center"/>
              <w:rPr>
                <w:rFonts w:cs="Times New Roman"/>
                <w:noProof/>
              </w:rPr>
            </w:pPr>
            <w:r>
              <w:rPr>
                <w:noProof/>
              </w:rPr>
              <w:t>KÉRDÉS</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234E94E" w14:textId="77777777" w:rsidR="003E1D81" w:rsidRDefault="00EB481C">
            <w:pPr>
              <w:pStyle w:val="P68B1DB1-Normal13"/>
              <w:spacing w:after="0"/>
              <w:jc w:val="center"/>
              <w:rPr>
                <w:rFonts w:cs="Times New Roman"/>
                <w:noProof/>
              </w:rPr>
            </w:pPr>
            <w:r>
              <w:rPr>
                <w:noProof/>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2E75B61" w14:textId="77777777" w:rsidR="003E1D81" w:rsidRDefault="00EB481C">
            <w:pPr>
              <w:pStyle w:val="P68B1DB1-Normal13"/>
              <w:spacing w:after="0"/>
              <w:rPr>
                <w:rFonts w:cs="Times New Roman"/>
                <w:noProof/>
              </w:rPr>
            </w:pPr>
            <w:r>
              <w:rPr>
                <w:noProof/>
              </w:rPr>
              <w:t>A nemzeti kiberbiztonsági ipart támogató programban és a globális biztonsági innovációs programban szereplő projektek, valamint egyéb kapc</w:t>
            </w:r>
            <w:r>
              <w:rPr>
                <w:noProof/>
              </w:rPr>
              <w:t>solódó intézkedések lezárása a következő területeken (a 245. mérföldkőben nyújtott támogatás):</w:t>
            </w:r>
            <w:r>
              <w:rPr>
                <w:noProof/>
              </w:rPr>
              <w:br/>
              <w:t xml:space="preserve">a nemzeti kiberbiztonsági ipar fellendítése az ágazatban működő vállalkozások megjelenése, növekedése és fejlődése érdekében </w:t>
            </w:r>
            <w:r>
              <w:rPr>
                <w:noProof/>
              </w:rPr>
              <w:br/>
              <w:t xml:space="preserve">magas hozzáadott értéket képviselő </w:t>
            </w:r>
            <w:r>
              <w:rPr>
                <w:noProof/>
              </w:rPr>
              <w:t xml:space="preserve">megoldások és szolgáltatások kidolgozása a kiberbiztonság területén </w:t>
            </w:r>
            <w:r>
              <w:rPr>
                <w:noProof/>
              </w:rPr>
              <w:br/>
              <w:t xml:space="preserve">tehetségek képzése és fejlesztése a kiberbiztonság területén, </w:t>
            </w:r>
            <w:r>
              <w:rPr>
                <w:noProof/>
              </w:rPr>
              <w:br/>
              <w:t xml:space="preserve">Nemzetköziesítési intézkedések a kiberbiztonság területén </w:t>
            </w:r>
            <w:r>
              <w:rPr>
                <w:noProof/>
              </w:rPr>
              <w:br/>
              <w:t>a kiberbiztonsági infrastruktúra fejlesztésére és új kiberbiztons</w:t>
            </w:r>
            <w:r>
              <w:rPr>
                <w:noProof/>
              </w:rPr>
              <w:t xml:space="preserve">ági szolgáltatások – többek között tesztlaboratóriumok és kiberbiztonsági támadásszimulátorok – létrehozására szolgáló demonstrációs központ létrehozása </w:t>
            </w:r>
            <w:r>
              <w:rPr>
                <w:noProof/>
              </w:rPr>
              <w:br/>
              <w:t>kiberbiztonsági címketanúsítványok kidolgozása</w:t>
            </w:r>
          </w:p>
        </w:tc>
      </w:tr>
      <w:tr w:rsidR="003E1D81" w14:paraId="50CCF006" w14:textId="77777777">
        <w:trPr>
          <w:gridAfter w:val="1"/>
          <w:wAfter w:w="6" w:type="dxa"/>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750ABBA4" w14:textId="5A246F5F" w:rsidR="003E1D81" w:rsidRDefault="00EB481C">
            <w:pPr>
              <w:pStyle w:val="P68B1DB1-Normal13"/>
              <w:spacing w:after="0"/>
              <w:jc w:val="center"/>
              <w:rPr>
                <w:rFonts w:cs="Times New Roman"/>
                <w:noProof/>
                <w:shd w:val="clear" w:color="auto" w:fill="E6E6E6"/>
              </w:rPr>
            </w:pPr>
            <w:r>
              <w:rPr>
                <w:noProof/>
              </w:rPr>
              <w:t>454</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37CD70E0" w14:textId="77777777" w:rsidR="003E1D81" w:rsidRDefault="00EB481C">
            <w:pPr>
              <w:pStyle w:val="P68B1DB1-Normal13"/>
              <w:spacing w:after="0"/>
              <w:jc w:val="center"/>
              <w:rPr>
                <w:rFonts w:cs="Times New Roman"/>
                <w:noProof/>
                <w:shd w:val="clear" w:color="auto" w:fill="E6E6E6"/>
              </w:rPr>
            </w:pPr>
            <w:r>
              <w:rPr>
                <w:noProof/>
              </w:rPr>
              <w:t>C15.I8</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F70033C" w14:textId="77777777" w:rsidR="003E1D81" w:rsidRDefault="00EB481C">
            <w:pPr>
              <w:pStyle w:val="P68B1DB1-Normal13"/>
              <w:spacing w:after="0"/>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7390809" w14:textId="77777777" w:rsidR="003E1D81" w:rsidRDefault="00EB481C">
            <w:pPr>
              <w:pStyle w:val="P68B1DB1-Normal13"/>
              <w:spacing w:after="0"/>
              <w:rPr>
                <w:rFonts w:eastAsia="Times New Roman" w:cs="Times New Roman"/>
                <w:noProof/>
              </w:rPr>
            </w:pPr>
            <w:r>
              <w:rPr>
                <w:noProof/>
              </w:rPr>
              <w:t xml:space="preserve">PERTE CHIP. A tudományos kapacitások, a </w:t>
            </w:r>
            <w:r>
              <w:rPr>
                <w:noProof/>
              </w:rPr>
              <w:t>tervezés és az innovatív gyártás megerősítése: díj</w:t>
            </w:r>
          </w:p>
          <w:p w14:paraId="11F6290C" w14:textId="77777777" w:rsidR="003E1D81" w:rsidRDefault="003E1D81">
            <w:pPr>
              <w:spacing w:after="0"/>
              <w:rPr>
                <w:rFonts w:ascii="Times New Roman" w:hAnsi="Times New Roman" w:cs="Times New Roman"/>
                <w:noProof/>
                <w:sz w:val="18"/>
                <w:shd w:val="clear" w:color="auto" w:fill="E6E6E6"/>
              </w:rPr>
            </w:pP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2B917ACA" w14:textId="77777777" w:rsidR="003E1D81" w:rsidRDefault="00EB481C">
            <w:pPr>
              <w:pStyle w:val="P68B1DB1-Normal13"/>
              <w:spacing w:after="0"/>
              <w:jc w:val="center"/>
              <w:rPr>
                <w:rFonts w:eastAsia="Times New Roman" w:cs="Times New Roman"/>
                <w:noProof/>
              </w:rPr>
            </w:pPr>
            <w:r>
              <w:rPr>
                <w:noProof/>
              </w:rPr>
              <w:t>A projektek odaítélésének hivatalos közzététele</w:t>
            </w:r>
          </w:p>
          <w:p w14:paraId="07207186" w14:textId="77777777" w:rsidR="003E1D81" w:rsidRDefault="003E1D81">
            <w:pPr>
              <w:spacing w:after="0"/>
              <w:jc w:val="center"/>
              <w:rPr>
                <w:rFonts w:ascii="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2AFE8DE" w14:textId="77777777" w:rsidR="003E1D81" w:rsidRDefault="003E1D81">
            <w:pPr>
              <w:spacing w:after="0"/>
              <w:jc w:val="right"/>
              <w:rPr>
                <w:rFonts w:ascii="Times New Roman" w:hAnsi="Times New Roman" w:cs="Times New Roman"/>
                <w:noProof/>
                <w:sz w:val="18"/>
                <w:shd w:val="clear" w:color="auto" w:fill="E6E6E6"/>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1852F31" w14:textId="77777777" w:rsidR="003E1D81" w:rsidRDefault="003E1D81">
            <w:pPr>
              <w:spacing w:after="0"/>
              <w:jc w:val="right"/>
              <w:rPr>
                <w:rFonts w:ascii="Times New Roman" w:hAnsi="Times New Roman" w:cs="Times New Roman"/>
                <w:noProof/>
                <w:sz w:val="18"/>
                <w:shd w:val="clear" w:color="auto" w:fill="E6E6E6"/>
              </w:rPr>
            </w:pP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D703A86" w14:textId="77777777" w:rsidR="003E1D81" w:rsidRDefault="003E1D81">
            <w:pPr>
              <w:spacing w:after="0"/>
              <w:jc w:val="right"/>
              <w:rPr>
                <w:rFonts w:ascii="Times New Roman" w:hAnsi="Times New Roman" w:cs="Times New Roman"/>
                <w:noProof/>
                <w:sz w:val="18"/>
                <w:shd w:val="clear" w:color="auto" w:fill="E6E6E6"/>
              </w:rPr>
            </w:pP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58221B7" w14:textId="54C7CB30" w:rsidR="003E1D81" w:rsidRDefault="00EB481C">
            <w:pPr>
              <w:pStyle w:val="P68B1DB1-Normal13"/>
              <w:spacing w:after="0"/>
              <w:jc w:val="center"/>
              <w:rPr>
                <w:rFonts w:cs="Times New Roman"/>
                <w:noProof/>
              </w:rPr>
            </w:pPr>
            <w:r>
              <w:rPr>
                <w:noProof/>
              </w:rPr>
              <w:t>KÉRDÉS</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C5426B2" w14:textId="0FCACF73" w:rsidR="003E1D81" w:rsidRDefault="00EB481C">
            <w:pPr>
              <w:pStyle w:val="P68B1DB1-Normal13"/>
              <w:spacing w:after="0"/>
              <w:jc w:val="center"/>
              <w:rPr>
                <w:rFonts w:cs="Times New Roman"/>
                <w:noProof/>
                <w:shd w:val="clear" w:color="auto" w:fill="E6E6E6"/>
              </w:rPr>
            </w:pPr>
            <w:r>
              <w:rPr>
                <w:noProof/>
              </w:rPr>
              <w:t>2025</w:t>
            </w:r>
          </w:p>
        </w:tc>
        <w:tc>
          <w:tcPr>
            <w:tcW w:w="5670" w:type="dxa"/>
            <w:tcBorders>
              <w:top w:val="single" w:sz="4" w:space="0" w:color="auto"/>
              <w:left w:val="single" w:sz="4" w:space="0" w:color="auto"/>
              <w:bottom w:val="single" w:sz="4" w:space="0" w:color="auto"/>
              <w:right w:val="single" w:sz="4" w:space="0" w:color="auto"/>
            </w:tcBorders>
            <w:shd w:val="clear" w:color="auto" w:fill="C6EFCE"/>
            <w:noWrap/>
          </w:tcPr>
          <w:p w14:paraId="235D63DE" w14:textId="7A575413" w:rsidR="003E1D81" w:rsidRDefault="00EB481C">
            <w:pPr>
              <w:pStyle w:val="P68B1DB1-Normal13"/>
              <w:spacing w:after="0"/>
              <w:rPr>
                <w:rFonts w:cs="Times New Roman"/>
                <w:noProof/>
                <w:shd w:val="clear" w:color="auto" w:fill="E6E6E6"/>
              </w:rPr>
            </w:pPr>
            <w:r>
              <w:rPr>
                <w:noProof/>
              </w:rPr>
              <w:t xml:space="preserve">Legalább 540 900 000 EUR-t ítéltek oda a mikroelektronika és a félvezetők területén megvalósuló K+F+I projekteknek, beleértve a fehér </w:t>
            </w:r>
            <w:r>
              <w:rPr>
                <w:noProof/>
              </w:rPr>
              <w:t>szoba-infrastruktúra létrehozását és fejlesztését, a tehetségek tervezését, generációját és vonzását vagy az innovatív gyártást.</w:t>
            </w:r>
          </w:p>
        </w:tc>
      </w:tr>
      <w:tr w:rsidR="003E1D81" w14:paraId="261D3CE2"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120EEBE" w14:textId="5DB6BB3E" w:rsidR="003E1D81" w:rsidRDefault="00EB481C">
            <w:pPr>
              <w:pStyle w:val="P68B1DB1-Normal13"/>
              <w:spacing w:after="0"/>
              <w:jc w:val="center"/>
              <w:rPr>
                <w:rFonts w:cs="Times New Roman"/>
                <w:noProof/>
              </w:rPr>
            </w:pPr>
            <w:r>
              <w:rPr>
                <w:noProof/>
              </w:rPr>
              <w:t>455</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4773E3B0" w14:textId="77777777" w:rsidR="003E1D81" w:rsidRDefault="00EB481C">
            <w:pPr>
              <w:pStyle w:val="P68B1DB1-Normal13"/>
              <w:spacing w:after="0"/>
              <w:jc w:val="center"/>
              <w:rPr>
                <w:rFonts w:cs="Times New Roman"/>
                <w:noProof/>
              </w:rPr>
            </w:pPr>
            <w:r>
              <w:rPr>
                <w:noProof/>
              </w:rPr>
              <w:t>C15.I8</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43F2A9A9" w14:textId="77777777" w:rsidR="003E1D81" w:rsidRDefault="00EB481C">
            <w:pPr>
              <w:pStyle w:val="P68B1DB1-Normal34"/>
              <w:spacing w:after="0"/>
              <w:jc w:val="center"/>
              <w:rPr>
                <w:rFonts w:cs="Times New Roman"/>
                <w:noProof/>
              </w:rPr>
            </w:pPr>
            <w:r>
              <w:rPr>
                <w:noProof/>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F638040" w14:textId="2DF44A7E" w:rsidR="003E1D81" w:rsidRDefault="00EB481C">
            <w:pPr>
              <w:pStyle w:val="P68B1DB1-Normal13"/>
              <w:spacing w:after="0"/>
              <w:rPr>
                <w:rFonts w:cs="Times New Roman"/>
                <w:noProof/>
              </w:rPr>
            </w:pPr>
            <w:r>
              <w:rPr>
                <w:noProof/>
              </w:rPr>
              <w:t>PERTE CHIP. A tudományos kapacitások, a tervezés és az innovatív gyártás megerősítése: folyósítás.</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373BF882" w14:textId="77777777" w:rsidR="003E1D81" w:rsidRDefault="003E1D81">
            <w:pPr>
              <w:spacing w:after="0"/>
              <w:jc w:val="center"/>
              <w:rPr>
                <w:rFonts w:ascii="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2B9643A" w14:textId="47AD25FF" w:rsidR="003E1D81" w:rsidRDefault="00EB481C">
            <w:pPr>
              <w:pStyle w:val="P68B1DB1-Normal13"/>
              <w:spacing w:after="0"/>
              <w:jc w:val="right"/>
              <w:rPr>
                <w:rFonts w:cs="Times New Roman"/>
                <w:noProof/>
              </w:rPr>
            </w:pPr>
            <w:r>
              <w:rPr>
                <w:noProof/>
              </w:rPr>
              <w:t>Millió EUR</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D46C61B" w14:textId="03414522" w:rsidR="003E1D81" w:rsidRDefault="00EB481C">
            <w:pPr>
              <w:pStyle w:val="P68B1DB1-Normal13"/>
              <w:spacing w:after="0"/>
              <w:jc w:val="right"/>
              <w:rPr>
                <w:rFonts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4F2AED1F" w14:textId="77777777" w:rsidR="003E1D81" w:rsidRDefault="00EB481C">
            <w:pPr>
              <w:pStyle w:val="P68B1DB1-Normal13"/>
              <w:spacing w:after="0"/>
              <w:jc w:val="right"/>
              <w:rPr>
                <w:rFonts w:cs="Times New Roman"/>
                <w:noProof/>
              </w:rPr>
            </w:pPr>
            <w:r>
              <w:rPr>
                <w:noProof/>
              </w:rPr>
              <w:t>486,81</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CD7AD15" w14:textId="77777777" w:rsidR="003E1D81" w:rsidRDefault="00EB481C">
            <w:pPr>
              <w:pStyle w:val="P68B1DB1-Normal13"/>
              <w:spacing w:after="0"/>
              <w:jc w:val="center"/>
              <w:rPr>
                <w:rFonts w:cs="Times New Roman"/>
                <w:noProof/>
              </w:rPr>
            </w:pPr>
            <w:r>
              <w:rPr>
                <w:noProof/>
              </w:rPr>
              <w:t>KÉRDÉS</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917CAE8" w14:textId="7A05CFF0" w:rsidR="003E1D81" w:rsidRDefault="00EB481C">
            <w:pPr>
              <w:pStyle w:val="P68B1DB1-Normal13"/>
              <w:spacing w:after="0"/>
              <w:jc w:val="center"/>
              <w:rPr>
                <w:rFonts w:cs="Times New Roman"/>
                <w:noProof/>
              </w:rPr>
            </w:pPr>
            <w:r>
              <w:rPr>
                <w:noProof/>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60CFFCAC" w14:textId="590C5059" w:rsidR="003E1D81" w:rsidRDefault="00EB481C">
            <w:pPr>
              <w:pStyle w:val="P68B1DB1-Normal13"/>
              <w:spacing w:after="0"/>
              <w:rPr>
                <w:rFonts w:cs="Times New Roman"/>
                <w:noProof/>
              </w:rPr>
            </w:pPr>
            <w:r>
              <w:rPr>
                <w:noProof/>
              </w:rPr>
              <w:t xml:space="preserve">Legalább 486 810 000 EUR folyósítása a mikroelektronika és a félvezetők területén megvalósuló K+F+I projektekre, beleértve a fehér szoba-infrastruktúra létrehozását és fejlesztését, a tehetségek tervezését, előállítását és vonzását vagy </w:t>
            </w:r>
            <w:r>
              <w:rPr>
                <w:noProof/>
              </w:rPr>
              <w:t xml:space="preserve">az innovatív gyártást. </w:t>
            </w:r>
          </w:p>
        </w:tc>
      </w:tr>
      <w:tr w:rsidR="003E1D81" w14:paraId="241EC10F"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4AB5813E" w14:textId="1C0E1E87" w:rsidR="003E1D81" w:rsidRDefault="00EB481C">
            <w:pPr>
              <w:pStyle w:val="P68B1DB1-Normal13"/>
              <w:spacing w:after="0"/>
              <w:jc w:val="center"/>
              <w:rPr>
                <w:rFonts w:eastAsia="Times New Roman" w:cs="Times New Roman"/>
                <w:noProof/>
              </w:rPr>
            </w:pPr>
            <w:r>
              <w:rPr>
                <w:noProof/>
              </w:rPr>
              <w:t>456</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302C0AE1" w14:textId="58978213" w:rsidR="003E1D81" w:rsidRDefault="00EB481C">
            <w:pPr>
              <w:pStyle w:val="P68B1DB1-Normal13"/>
              <w:spacing w:after="0"/>
              <w:jc w:val="center"/>
              <w:rPr>
                <w:rFonts w:eastAsia="Times New Roman" w:cs="Times New Roman"/>
                <w:noProof/>
              </w:rPr>
            </w:pPr>
            <w:r>
              <w:rPr>
                <w:noProof/>
              </w:rPr>
              <w:t>C15.I8</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24AA2E09" w14:textId="77777777" w:rsidR="003E1D81" w:rsidRDefault="00EB481C">
            <w:pPr>
              <w:pStyle w:val="P68B1DB1-Normal13"/>
              <w:spacing w:after="0"/>
              <w:jc w:val="both"/>
              <w:rPr>
                <w:rFonts w:eastAsia="Times New Roman" w:cs="Times New Roman"/>
                <w:noProof/>
              </w:rPr>
            </w:pPr>
            <w:r>
              <w:rPr>
                <w:noProof/>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2FB4D002" w14:textId="77777777" w:rsidR="003E1D81" w:rsidRDefault="00EB481C">
            <w:pPr>
              <w:pStyle w:val="P68B1DB1-Normal13"/>
              <w:spacing w:after="0"/>
              <w:rPr>
                <w:rFonts w:eastAsia="Times New Roman" w:cs="Times New Roman"/>
                <w:noProof/>
              </w:rPr>
            </w:pPr>
            <w:r>
              <w:rPr>
                <w:noProof/>
              </w:rPr>
              <w:t>PERTE CHIP. Tanszékek és mikroelektronikai tehetségek</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69CB42B" w14:textId="77777777" w:rsidR="003E1D81" w:rsidRDefault="003E1D81">
            <w:pPr>
              <w:spacing w:after="0"/>
              <w:rPr>
                <w:rFonts w:ascii="Times New Roman" w:eastAsia="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4B8AE7D" w14:textId="77777777" w:rsidR="003E1D81" w:rsidRDefault="00EB481C">
            <w:pPr>
              <w:pStyle w:val="P68B1DB1-Normal13"/>
              <w:spacing w:after="0"/>
              <w:jc w:val="both"/>
              <w:rPr>
                <w:rFonts w:eastAsia="Times New Roman" w:cs="Times New Roman"/>
                <w:noProof/>
              </w:rPr>
            </w:pPr>
            <w:r>
              <w:rPr>
                <w:noProof/>
              </w:rPr>
              <w:t>Szám</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C0AB539" w14:textId="77777777" w:rsidR="003E1D81" w:rsidRDefault="00EB481C">
            <w:pPr>
              <w:pStyle w:val="P68B1DB1-Normal13"/>
              <w:spacing w:after="0"/>
              <w:jc w:val="right"/>
              <w:rPr>
                <w:rFonts w:eastAsia="Times New Roman"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01D70DF3" w14:textId="0BBBA109" w:rsidR="003E1D81" w:rsidRDefault="00EB481C">
            <w:pPr>
              <w:pStyle w:val="P68B1DB1-Normal13"/>
              <w:spacing w:after="0"/>
              <w:jc w:val="right"/>
              <w:rPr>
                <w:rFonts w:eastAsia="Times New Roman" w:cs="Times New Roman"/>
                <w:noProof/>
              </w:rPr>
            </w:pPr>
            <w:r>
              <w:rPr>
                <w:noProof/>
              </w:rPr>
              <w:t>13</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23EC645" w14:textId="77777777" w:rsidR="003E1D81" w:rsidRDefault="00EB481C">
            <w:pPr>
              <w:pStyle w:val="P68B1DB1-Normal13"/>
              <w:spacing w:after="0"/>
              <w:jc w:val="center"/>
              <w:rPr>
                <w:rFonts w:eastAsia="Times New Roman" w:cs="Times New Roman"/>
                <w:noProof/>
              </w:rPr>
            </w:pPr>
            <w:r>
              <w:rPr>
                <w:noProof/>
              </w:rPr>
              <w:t>KÉRDÉS</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D49183E" w14:textId="77777777" w:rsidR="003E1D81" w:rsidRDefault="00EB481C">
            <w:pPr>
              <w:pStyle w:val="P68B1DB1-Normal13"/>
              <w:spacing w:after="0"/>
              <w:jc w:val="center"/>
              <w:rPr>
                <w:rFonts w:eastAsia="Times New Roman" w:cs="Times New Roman"/>
                <w:noProof/>
              </w:rPr>
            </w:pPr>
            <w:r>
              <w:rPr>
                <w:noProof/>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6833BE77" w14:textId="4B87DC08" w:rsidR="003E1D81" w:rsidRDefault="00EB481C">
            <w:pPr>
              <w:pStyle w:val="P68B1DB1-Normal13"/>
              <w:spacing w:after="0"/>
              <w:rPr>
                <w:rFonts w:cs="Times New Roman"/>
                <w:noProof/>
              </w:rPr>
            </w:pPr>
            <w:r>
              <w:rPr>
                <w:noProof/>
              </w:rPr>
              <w:t>A Helyreállítási és Rezilienciaépítési Eszközből finanszírozott, legalább 13 egyetemi tanár létrehozása és finanszírozása, amelyek mindegyike</w:t>
            </w:r>
            <w:r>
              <w:rPr>
                <w:noProof/>
              </w:rPr>
              <w:t xml:space="preserve"> 3 éves időtartamra szól, és a mikroelektronika fejlesztésére összpontosít Spanyolországban a félvezetők tervezésével és gyártásával kapcsolatos tehetségek fellendítése érdekében.</w:t>
            </w:r>
          </w:p>
        </w:tc>
      </w:tr>
    </w:tbl>
    <w:p w14:paraId="3535129C" w14:textId="77777777" w:rsidR="003E1D81" w:rsidRDefault="00EB481C">
      <w:pPr>
        <w:rPr>
          <w:rFonts w:ascii="Times New Roman" w:hAnsi="Times New Roman" w:cs="Times New Roman"/>
          <w:noProof/>
        </w:rPr>
        <w:sectPr w:rsidR="003E1D81" w:rsidSect="00EB7CC8">
          <w:headerReference w:type="even" r:id="rId312"/>
          <w:headerReference w:type="default" r:id="rId313"/>
          <w:footerReference w:type="even" r:id="rId314"/>
          <w:footerReference w:type="default" r:id="rId315"/>
          <w:headerReference w:type="first" r:id="rId316"/>
          <w:footerReference w:type="first" r:id="rId317"/>
          <w:pgSz w:w="16839" w:h="11907" w:orient="landscape"/>
          <w:pgMar w:top="1417" w:right="1134" w:bottom="1417" w:left="1134" w:header="709" w:footer="709" w:gutter="0"/>
          <w:cols w:space="720"/>
          <w:docGrid w:linePitch="360"/>
        </w:sectPr>
      </w:pPr>
      <w:r>
        <w:rPr>
          <w:noProof/>
        </w:rPr>
        <w:br/>
      </w:r>
    </w:p>
    <w:p w14:paraId="2DC4F565" w14:textId="77777777" w:rsidR="003E1D81" w:rsidRDefault="003E1D81">
      <w:pPr>
        <w:spacing w:before="120" w:after="120" w:line="240" w:lineRule="auto"/>
        <w:jc w:val="both"/>
        <w:rPr>
          <w:rFonts w:ascii="Times New Roman" w:hAnsi="Times New Roman" w:cs="Times New Roman"/>
          <w:noProof/>
          <w:sz w:val="24"/>
        </w:rPr>
        <w:sectPr w:rsidR="003E1D81" w:rsidSect="00EB7CC8">
          <w:headerReference w:type="even" r:id="rId318"/>
          <w:headerReference w:type="default" r:id="rId319"/>
          <w:footerReference w:type="even" r:id="rId320"/>
          <w:footerReference w:type="default" r:id="rId321"/>
          <w:headerReference w:type="first" r:id="rId322"/>
          <w:footerReference w:type="first" r:id="rId323"/>
          <w:type w:val="continuous"/>
          <w:pgSz w:w="16839" w:h="11907" w:orient="landscape"/>
          <w:pgMar w:top="1417" w:right="1134" w:bottom="1417" w:left="1134" w:header="709" w:footer="709" w:gutter="0"/>
          <w:cols w:space="720"/>
          <w:docGrid w:linePitch="360"/>
        </w:sectPr>
      </w:pPr>
    </w:p>
    <w:p w14:paraId="7806FB6E" w14:textId="464E5019" w:rsidR="003E1D81" w:rsidRDefault="00EB481C">
      <w:pPr>
        <w:pStyle w:val="P68B1DB1-Heading2blue35"/>
        <w:rPr>
          <w:noProof/>
        </w:rPr>
      </w:pPr>
      <w:r>
        <w:rPr>
          <w:noProof/>
        </w:rPr>
        <w:t xml:space="preserve">O.3. </w:t>
      </w:r>
      <w:r>
        <w:rPr>
          <w:noProof/>
        </w:rPr>
        <w:tab/>
        <w:t>A hiteltámogatással kapcsolatos reformok és beruházások ismertetése</w:t>
      </w:r>
    </w:p>
    <w:p w14:paraId="3EE89FB3" w14:textId="77777777" w:rsidR="003E1D81" w:rsidRDefault="00EB481C">
      <w:pPr>
        <w:pStyle w:val="P68B1DB1-Heading3blue36"/>
        <w:rPr>
          <w:noProof/>
          <w:shd w:val="clear" w:color="auto" w:fill="E6E6E6"/>
        </w:rPr>
      </w:pPr>
      <w:r>
        <w:rPr>
          <w:noProof/>
        </w:rPr>
        <w:t xml:space="preserve">Beruházás </w:t>
      </w:r>
      <w:bookmarkStart w:id="49" w:name="_Hlk141289400"/>
      <w:r>
        <w:rPr>
          <w:noProof/>
        </w:rPr>
        <w:t>(C15.I9) – CHIP finanszírozási eszköz</w:t>
      </w:r>
      <w:bookmarkEnd w:id="49"/>
    </w:p>
    <w:p w14:paraId="7D436FDD" w14:textId="6E835E48" w:rsidR="003E1D81" w:rsidRDefault="00EB481C">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Ez az intézkedés egy eszközbe, a CHIP finanszírozási eszközbe történő áll</w:t>
      </w:r>
      <w:r>
        <w:rPr>
          <w:rStyle w:val="normaltextrun"/>
          <w:rFonts w:ascii="Times New Roman" w:hAnsi="Times New Roman"/>
          <w:noProof/>
          <w:sz w:val="24"/>
          <w:shd w:val="clear" w:color="auto" w:fill="FFFFFF"/>
        </w:rPr>
        <w:t xml:space="preserve">ami beruházásból áll, amelynek célja a magánberuházások ösztönzése és a finanszírozáshoz való hozzáférés javítása </w:t>
      </w:r>
      <w:r>
        <w:rPr>
          <w:rFonts w:ascii="Times New Roman" w:hAnsi="Times New Roman"/>
          <w:noProof/>
          <w:sz w:val="24"/>
        </w:rPr>
        <w:t>Spanyolország félvezető-ágazatában, beleértve a nagyméretű gyártólétesítményeket is</w:t>
      </w:r>
      <w:r>
        <w:rPr>
          <w:rStyle w:val="normaltextrun"/>
          <w:rFonts w:ascii="Times New Roman" w:hAnsi="Times New Roman"/>
          <w:noProof/>
          <w:sz w:val="24"/>
          <w:shd w:val="clear" w:color="auto" w:fill="FFFFFF"/>
        </w:rPr>
        <w:t>. Az eszköz a magánszektor, valamint a hasonló tevékenysége</w:t>
      </w:r>
      <w:r>
        <w:rPr>
          <w:rStyle w:val="normaltextrun"/>
          <w:rFonts w:ascii="Times New Roman" w:hAnsi="Times New Roman"/>
          <w:noProof/>
          <w:sz w:val="24"/>
          <w:shd w:val="clear" w:color="auto" w:fill="FFFFFF"/>
        </w:rPr>
        <w:t>t folytató közszektorbeli intézmények számára kölcsönöket, saját tőkét és kvázisajáttőke-befektetéseket (vagy ezek kombinációját) nyújt. A Helyreállítási és Rezilienciaépítési Eszköz beruházásai alapján az eszköz célja kezdetben legalább 10 750 000 000 EUR</w:t>
      </w:r>
      <w:r>
        <w:rPr>
          <w:rStyle w:val="normaltextrun"/>
          <w:rFonts w:ascii="Times New Roman" w:hAnsi="Times New Roman"/>
          <w:noProof/>
          <w:sz w:val="24"/>
          <w:shd w:val="clear" w:color="auto" w:fill="FFFFFF"/>
        </w:rPr>
        <w:t xml:space="preserve"> összegű finanszírozás biztosítása.</w:t>
      </w:r>
    </w:p>
    <w:p w14:paraId="1F276953" w14:textId="0D09D759" w:rsidR="003E1D81" w:rsidRDefault="00EB481C">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Az eszközt végrehajtó partnerként a Sociedad Estatal de Microelectrónica y Semiconductores ( SEMyS) irányítja. Az Alap a következő terméksorokat foglalja magában: </w:t>
      </w:r>
    </w:p>
    <w:p w14:paraId="46004854" w14:textId="1F2B9830" w:rsidR="003E1D81" w:rsidRDefault="00EB481C">
      <w:pPr>
        <w:pStyle w:val="ListParagraph"/>
        <w:numPr>
          <w:ilvl w:val="0"/>
          <w:numId w:val="551"/>
        </w:numPr>
        <w:spacing w:line="240" w:lineRule="auto"/>
        <w:jc w:val="both"/>
        <w:rPr>
          <w:rStyle w:val="eop"/>
          <w:rFonts w:ascii="Times New Roman" w:hAnsi="Times New Roman" w:cs="Times New Roman"/>
          <w:noProof/>
          <w:sz w:val="24"/>
        </w:rPr>
      </w:pPr>
      <w:r>
        <w:rPr>
          <w:rStyle w:val="normaltextrun"/>
          <w:rFonts w:ascii="Times New Roman" w:hAnsi="Times New Roman"/>
          <w:noProof/>
          <w:sz w:val="24"/>
        </w:rPr>
        <w:t>Közvetlen vezeték: Rendes kölcsönöket, részvételi hitele</w:t>
      </w:r>
      <w:r>
        <w:rPr>
          <w:rStyle w:val="normaltextrun"/>
          <w:rFonts w:ascii="Times New Roman" w:hAnsi="Times New Roman"/>
          <w:noProof/>
          <w:sz w:val="24"/>
        </w:rPr>
        <w:t xml:space="preserve">ket, valamint átmeneti és kisebbségi tőkében való részvételt alkalmazó vállalatokba történő közvetlen befektetések. Az Alap tőkebefektetései nem eredményezhetik azt, hogy a köztulajdonban lévő saját tőke részesedése a végső kedvezményezettben meghaladja a </w:t>
      </w:r>
      <w:r>
        <w:rPr>
          <w:rStyle w:val="normaltextrun"/>
          <w:rFonts w:ascii="Times New Roman" w:hAnsi="Times New Roman"/>
          <w:noProof/>
          <w:sz w:val="24"/>
        </w:rPr>
        <w:t>teljes saját tőke 49%-át.</w:t>
      </w:r>
    </w:p>
    <w:p w14:paraId="27E92ACA" w14:textId="4D972568" w:rsidR="003E1D81" w:rsidRDefault="00EB481C">
      <w:pPr>
        <w:pStyle w:val="ListParagraph"/>
        <w:numPr>
          <w:ilvl w:val="0"/>
          <w:numId w:val="550"/>
        </w:numPr>
        <w:spacing w:line="240" w:lineRule="auto"/>
        <w:jc w:val="both"/>
        <w:rPr>
          <w:rStyle w:val="eop"/>
          <w:rFonts w:ascii="Times New Roman" w:eastAsia="Times New Roman" w:hAnsi="Times New Roman" w:cs="Times New Roman"/>
          <w:noProof/>
          <w:sz w:val="24"/>
          <w:shd w:val="clear" w:color="auto" w:fill="FFFFFF"/>
        </w:rPr>
      </w:pPr>
      <w:r>
        <w:rPr>
          <w:rStyle w:val="eop"/>
          <w:rFonts w:ascii="Times New Roman" w:hAnsi="Times New Roman"/>
          <w:noProof/>
          <w:sz w:val="24"/>
        </w:rPr>
        <w:t>„Nyílt uniós</w:t>
      </w:r>
      <w:r>
        <w:rPr>
          <w:rStyle w:val="eop"/>
          <w:rFonts w:ascii="Times New Roman" w:hAnsi="Times New Roman"/>
          <w:noProof/>
          <w:sz w:val="24"/>
          <w:shd w:val="clear" w:color="auto" w:fill="FFFFFF"/>
        </w:rPr>
        <w:t xml:space="preserve">üzemekbe” és „integrált termelőlétesítményekbe” történő társberuházás: </w:t>
      </w:r>
      <w:r>
        <w:rPr>
          <w:rStyle w:val="eop"/>
          <w:rFonts w:ascii="Times New Roman" w:hAnsi="Times New Roman"/>
          <w:noProof/>
          <w:sz w:val="24"/>
        </w:rPr>
        <w:t>A spanyolországi félvezetőgyártó ipar támogatása érdekében az Alapnak képesnek kell lennie arra, hogy kölcsönök, saját tőke és kvázi-sajáttőke (vag</w:t>
      </w:r>
      <w:r>
        <w:rPr>
          <w:rStyle w:val="eop"/>
          <w:rFonts w:ascii="Times New Roman" w:hAnsi="Times New Roman"/>
          <w:noProof/>
          <w:sz w:val="24"/>
        </w:rPr>
        <w:t xml:space="preserve">y ezek kombinációja) révén támogatást nyújtson a magán- és állami tőkét az állami támogatási programokkal összehangoltan integráló vegyes pénzügyi eszközökhöz, az alább vázolt irányítási követelményeknek megfelelően. </w:t>
      </w:r>
    </w:p>
    <w:p w14:paraId="3C3BF76C" w14:textId="0BD71608" w:rsidR="003E1D81" w:rsidRDefault="00EB481C">
      <w:pPr>
        <w:pStyle w:val="P68B1DB1-Normal4"/>
        <w:spacing w:line="240" w:lineRule="auto"/>
        <w:jc w:val="both"/>
        <w:rPr>
          <w:rFonts w:eastAsia="Times New Roman" w:cs="Times New Roman"/>
          <w:noProof/>
        </w:rPr>
      </w:pPr>
      <w:r>
        <w:rPr>
          <w:noProof/>
        </w:rPr>
        <w:t xml:space="preserve">A Békekeretbe történő beruházás végrehajtása érdekében Spanyolország és a SEMyS végrehajtási megállapodást ír alá, vagy Spanyolország jóváhagyja a megfelelő jogi eszközt és a kapcsolódó dokumentumokat, amelyek a következő tartalommal rendelkeznek: </w:t>
      </w:r>
    </w:p>
    <w:p w14:paraId="638FB3BD" w14:textId="77777777" w:rsidR="003E1D81" w:rsidRDefault="00EB481C">
      <w:pPr>
        <w:pStyle w:val="P68B1DB1-ListParagraph7"/>
        <w:numPr>
          <w:ilvl w:val="0"/>
          <w:numId w:val="761"/>
        </w:numPr>
        <w:spacing w:line="240" w:lineRule="auto"/>
        <w:contextualSpacing w:val="0"/>
        <w:jc w:val="both"/>
        <w:rPr>
          <w:rFonts w:eastAsia="Times New Roman" w:cs="Times New Roman"/>
          <w:noProof/>
        </w:rPr>
      </w:pPr>
      <w:r>
        <w:rPr>
          <w:noProof/>
        </w:rPr>
        <w:t xml:space="preserve">Az </w:t>
      </w:r>
      <w:r>
        <w:rPr>
          <w:noProof/>
        </w:rPr>
        <w:t>eszköz döntéshozatali folyamatának leírása:  A Keret kezdeti beruházási döntését beruházási bizottság vagy más, ezzel egyenértékű irányító testület hozza meg, és azt a spanyol kormánytól független tagok szavazatainak többségével kell jóváhagyni. A Békekere</w:t>
      </w:r>
      <w:r>
        <w:rPr>
          <w:noProof/>
        </w:rPr>
        <w:t>t végleges beruházási döntése a beruházási bizottság vagy azzal egyenértékű irányító testület által javasolt beruházási döntéssel kapcsolatos vétójog (módosítás nélküli) jóváhagyására vagy gyakorlására korlátozódik.</w:t>
      </w:r>
    </w:p>
    <w:p w14:paraId="1AEF3AC5" w14:textId="77777777" w:rsidR="003E1D81" w:rsidRDefault="00EB481C">
      <w:pPr>
        <w:pStyle w:val="P68B1DB1-ListParagraph7"/>
        <w:numPr>
          <w:ilvl w:val="0"/>
          <w:numId w:val="761"/>
        </w:numPr>
        <w:spacing w:line="240" w:lineRule="auto"/>
        <w:jc w:val="both"/>
        <w:rPr>
          <w:rFonts w:eastAsia="Times New Roman" w:cs="Times New Roman"/>
          <w:noProof/>
        </w:rPr>
      </w:pPr>
      <w:r>
        <w:rPr>
          <w:noProof/>
        </w:rPr>
        <w:t>A kapcsolódó befektetési politika fő köv</w:t>
      </w:r>
      <w:r>
        <w:rPr>
          <w:noProof/>
        </w:rPr>
        <w:t>etelményei, amelyek a következőket foglalják magukban:</w:t>
      </w:r>
    </w:p>
    <w:p w14:paraId="66AE5AA0" w14:textId="29EBD758" w:rsidR="003E1D81" w:rsidRDefault="00EB481C">
      <w:pPr>
        <w:pStyle w:val="P68B1DB1-ListParagraph7"/>
        <w:numPr>
          <w:ilvl w:val="1"/>
          <w:numId w:val="761"/>
        </w:numPr>
        <w:spacing w:line="240" w:lineRule="auto"/>
        <w:jc w:val="both"/>
        <w:rPr>
          <w:rFonts w:eastAsia="Times New Roman" w:cs="Times New Roman"/>
          <w:noProof/>
        </w:rPr>
      </w:pPr>
      <w:r>
        <w:rPr>
          <w:noProof/>
        </w:rPr>
        <w:t xml:space="preserve">A pénzügyi termékek és a támogatható végső kedvezményezettek leírása az intézkedés leírásával összhangban.  </w:t>
      </w:r>
    </w:p>
    <w:p w14:paraId="49D79BC5" w14:textId="77777777" w:rsidR="003E1D81" w:rsidRDefault="00EB481C">
      <w:pPr>
        <w:pStyle w:val="P68B1DB1-ListParagraph7"/>
        <w:numPr>
          <w:ilvl w:val="1"/>
          <w:numId w:val="761"/>
        </w:numPr>
        <w:spacing w:line="240" w:lineRule="auto"/>
        <w:jc w:val="both"/>
        <w:rPr>
          <w:rFonts w:eastAsia="Times New Roman" w:cs="Times New Roman"/>
          <w:noProof/>
        </w:rPr>
      </w:pPr>
      <w:r>
        <w:rPr>
          <w:noProof/>
        </w:rPr>
        <w:t>Az a követelmény, hogy minden támogatott beruházás gazdaságilag életképes legyen.</w:t>
      </w:r>
    </w:p>
    <w:p w14:paraId="6F7FA0C4" w14:textId="77777777" w:rsidR="003E1D81" w:rsidRDefault="00EB481C">
      <w:pPr>
        <w:pStyle w:val="P68B1DB1-ListParagraph7"/>
        <w:numPr>
          <w:ilvl w:val="1"/>
          <w:numId w:val="761"/>
        </w:numPr>
        <w:spacing w:line="240" w:lineRule="auto"/>
        <w:jc w:val="both"/>
        <w:rPr>
          <w:rFonts w:eastAsia="Times New Roman" w:cs="Times New Roman"/>
          <w:noProof/>
        </w:rPr>
      </w:pPr>
      <w:r>
        <w:rPr>
          <w:noProof/>
        </w:rPr>
        <w:t>A kinnlevő</w:t>
      </w:r>
      <w:r>
        <w:rPr>
          <w:noProof/>
        </w:rPr>
        <w:t xml:space="preserve"> hitelek refinanszírozásának tilalma.  </w:t>
      </w:r>
    </w:p>
    <w:p w14:paraId="11646C73" w14:textId="7329574C" w:rsidR="003E1D81" w:rsidRDefault="00EB481C">
      <w:pPr>
        <w:pStyle w:val="P68B1DB1-ListParagraph7"/>
        <w:numPr>
          <w:ilvl w:val="1"/>
          <w:numId w:val="761"/>
        </w:numPr>
        <w:spacing w:line="240" w:lineRule="auto"/>
        <w:jc w:val="both"/>
        <w:rPr>
          <w:rFonts w:eastAsia="Times New Roman" w:cs="Times New Roman"/>
          <w:noProof/>
        </w:rPr>
      </w:pPr>
      <w:r>
        <w:rPr>
          <w:noProof/>
        </w:rPr>
        <w:t>A jelentős károkozás elkerülését célzó elvnek való megfelelés követelménye a DNSH műszaki iránymutatásban (2021/C58/01) foglaltak szerint, különösen az új létesítményekbe történő beruházások esetében az ágazatban a l</w:t>
      </w:r>
      <w:r>
        <w:rPr>
          <w:noProof/>
        </w:rPr>
        <w:t>egalacsonyabb környezeti hatással járó, rendelkezésre álló legjobb technológiát kell alkalmazni. A beruházási politikának továbbá elő kell írnia, hogy az eszköz végső kedvezményezettjei megfeleljenek a vonatkozó uniós és nemzeti környezetvédelmi jogszabály</w:t>
      </w:r>
      <w:r>
        <w:rPr>
          <w:noProof/>
        </w:rPr>
        <w:t>oknak.</w:t>
      </w:r>
    </w:p>
    <w:p w14:paraId="54A13A50" w14:textId="77777777" w:rsidR="003E1D81" w:rsidRDefault="00EB481C">
      <w:pPr>
        <w:pStyle w:val="P68B1DB1-ListParagraph7"/>
        <w:numPr>
          <w:ilvl w:val="1"/>
          <w:numId w:val="761"/>
        </w:numPr>
        <w:rPr>
          <w:rFonts w:eastAsia="Times New Roman" w:cs="Times New Roman"/>
          <w:noProof/>
        </w:rPr>
      </w:pPr>
      <w:r>
        <w:rPr>
          <w:noProof/>
        </w:rPr>
        <w:t>Az a követelmény, hogy a hitelezési eszköz végső kedvezményezettjei nem részesülhetnek támogatásban más uniós eszközökből ugyanazon költségek fedezésére.</w:t>
      </w:r>
    </w:p>
    <w:p w14:paraId="4846F44A" w14:textId="05D03274" w:rsidR="003E1D81" w:rsidRDefault="00EB481C">
      <w:pPr>
        <w:pStyle w:val="P68B1DB1-ListParagraph7"/>
        <w:numPr>
          <w:ilvl w:val="0"/>
          <w:numId w:val="761"/>
        </w:numPr>
        <w:jc w:val="both"/>
        <w:rPr>
          <w:rFonts w:eastAsia="Times New Roman" w:cs="Times New Roman"/>
          <w:noProof/>
        </w:rPr>
      </w:pPr>
      <w:r>
        <w:rPr>
          <w:noProof/>
        </w:rPr>
        <w:t>Az eszközt létrehozó jogi eszköz és kapcsolódó dokumentumok által fedezett összeg, a végrehajtó</w:t>
      </w:r>
      <w:r>
        <w:rPr>
          <w:noProof/>
        </w:rPr>
        <w:t xml:space="preserve"> partner díjstruktúrája, valamint a visszaáramló bevételeknek az eszköz beruházási politikája szerinti újbóli befektetésére vonatkozó követelmény, kivéve, ha azokat a Helyreállítási és Rezilienciaépítési Eszköz hiteltörlesztéseinek teljesítésére használják</w:t>
      </w:r>
      <w:r>
        <w:rPr>
          <w:noProof/>
        </w:rPr>
        <w:t xml:space="preserve"> fel.</w:t>
      </w:r>
    </w:p>
    <w:p w14:paraId="6516A3EE" w14:textId="77777777" w:rsidR="003E1D81" w:rsidRDefault="00EB481C">
      <w:pPr>
        <w:pStyle w:val="P68B1DB1-ListParagraph7"/>
        <w:numPr>
          <w:ilvl w:val="0"/>
          <w:numId w:val="761"/>
        </w:numPr>
        <w:jc w:val="both"/>
        <w:rPr>
          <w:rFonts w:eastAsia="Times New Roman" w:cs="Times New Roman"/>
          <w:noProof/>
        </w:rPr>
      </w:pPr>
      <w:r>
        <w:rPr>
          <w:noProof/>
        </w:rPr>
        <w:t>Nyomonkövetési, ellenőrzési és ellenőrzési követelmények, beleértve a következőket:</w:t>
      </w:r>
    </w:p>
    <w:p w14:paraId="309BD4A1" w14:textId="77777777" w:rsidR="003E1D81" w:rsidRDefault="00EB481C">
      <w:pPr>
        <w:pStyle w:val="P68B1DB1-ListParagraph7"/>
        <w:numPr>
          <w:ilvl w:val="1"/>
          <w:numId w:val="761"/>
        </w:numPr>
        <w:jc w:val="both"/>
        <w:rPr>
          <w:rFonts w:eastAsia="Times New Roman" w:cs="Times New Roman"/>
          <w:noProof/>
        </w:rPr>
      </w:pPr>
      <w:r>
        <w:rPr>
          <w:noProof/>
        </w:rPr>
        <w:t>A végrehajtó partner által a mozgósított beruházásról való jelentéstételre szolgáló nyomonkövetési rendszer leírása.</w:t>
      </w:r>
    </w:p>
    <w:p w14:paraId="6538DEEE" w14:textId="77777777" w:rsidR="003E1D81" w:rsidRDefault="00EB481C">
      <w:pPr>
        <w:pStyle w:val="P68B1DB1-ListParagraph7"/>
        <w:numPr>
          <w:ilvl w:val="1"/>
          <w:numId w:val="761"/>
        </w:numPr>
        <w:jc w:val="both"/>
        <w:rPr>
          <w:rFonts w:eastAsia="Times New Roman" w:cs="Times New Roman"/>
          <w:noProof/>
        </w:rPr>
      </w:pPr>
      <w:r>
        <w:rPr>
          <w:noProof/>
        </w:rPr>
        <w:t>A végrehajtó partner azon eljárásainak leírása, a</w:t>
      </w:r>
      <w:r>
        <w:rPr>
          <w:noProof/>
        </w:rPr>
        <w:t xml:space="preserve">melyek biztosítják a csalás, a korrupció és az összeférhetetlenség megelőzését, feltárását és korrekcióját. </w:t>
      </w:r>
    </w:p>
    <w:p w14:paraId="51CD4460" w14:textId="2CEB35A9" w:rsidR="003E1D81" w:rsidRDefault="00EB481C">
      <w:pPr>
        <w:pStyle w:val="P68B1DB1-ListParagraph7"/>
        <w:numPr>
          <w:ilvl w:val="1"/>
          <w:numId w:val="761"/>
        </w:numPr>
        <w:jc w:val="both"/>
        <w:rPr>
          <w:rFonts w:eastAsia="Times New Roman" w:cs="Times New Roman"/>
          <w:noProof/>
        </w:rPr>
      </w:pPr>
      <w:r>
        <w:rPr>
          <w:noProof/>
        </w:rPr>
        <w:t xml:space="preserve">Minden művelet támogathatóságának a Békekeretet létrehozó rendeletekben meghatározott követelményekkel összhangban történő ellenőrzésére vonatkozó </w:t>
      </w:r>
      <w:r>
        <w:rPr>
          <w:noProof/>
        </w:rPr>
        <w:t>kötelezettség, mielőtt kötelezettséget vállalnának egy művelet finanszírozására.</w:t>
      </w:r>
    </w:p>
    <w:p w14:paraId="4AC4F0A4" w14:textId="3406215D" w:rsidR="003E1D81" w:rsidRDefault="00EB481C">
      <w:pPr>
        <w:pStyle w:val="P68B1DB1-ListParagraph7"/>
        <w:numPr>
          <w:ilvl w:val="1"/>
          <w:numId w:val="761"/>
        </w:numPr>
        <w:jc w:val="both"/>
        <w:rPr>
          <w:rFonts w:eastAsia="Times New Roman" w:cs="Times New Roman"/>
          <w:noProof/>
        </w:rPr>
      </w:pPr>
      <w:r>
        <w:rPr>
          <w:noProof/>
        </w:rPr>
        <w:t>A kockázatalapú utólagos ellenőrzéseknek a SEMyS ellenőrzési tervével összhangban történő elvégzésére vonatkozó kötelezettség. Ezek az ellenőrzések azt vizsgálják, hogy i. a k</w:t>
      </w:r>
      <w:r>
        <w:rPr>
          <w:noProof/>
        </w:rPr>
        <w:t>ontrollrendszerek hatékonyak-e, beleértve a csalás, a korrupció és az összeférhetetlenség feltárását; a DNSH-elvnek, az állami támogatási szabályoknak, valamint az éghajlat-politikai és digitális célkitűzésekre vonatkozó követelményeknek való megfelelés; é</w:t>
      </w:r>
      <w:r>
        <w:rPr>
          <w:noProof/>
        </w:rPr>
        <w:t>s iii. teljesül az a követelmény, amely szerint a közvetítőnek ellenőriznie kell, hogy a végső kedvezményezett felelősségteljes nyilatkozatot nyújt-e be annak ellenőrzésére, hogy ugyanazt a költséget egy másik uniós eszköz fedezi-e.   Az ellenőrzéseknek az</w:t>
      </w:r>
      <w:r>
        <w:rPr>
          <w:noProof/>
        </w:rPr>
        <w:t>t is ellenőrizniük kell, hogy az ügyletek jogszerűek-e, és hogy betartják-e az alkalmazandó végrehajtási megállapodásban vagy rendeletben és a Békekeretet létrehozó kapcsolódó dokumentumokban, valamint a finanszírozási megállapodásokban foglalt feltételeke</w:t>
      </w:r>
      <w:r>
        <w:rPr>
          <w:noProof/>
        </w:rPr>
        <w:t xml:space="preserve">t. </w:t>
      </w:r>
    </w:p>
    <w:p w14:paraId="49750047" w14:textId="57E4284F" w:rsidR="003E1D81" w:rsidRDefault="00EB481C">
      <w:pPr>
        <w:pStyle w:val="ListParagraph"/>
        <w:numPr>
          <w:ilvl w:val="0"/>
          <w:numId w:val="761"/>
        </w:numPr>
        <w:spacing w:line="240" w:lineRule="auto"/>
        <w:jc w:val="both"/>
        <w:rPr>
          <w:rFonts w:ascii="Times New Roman" w:eastAsia="Times New Roman" w:hAnsi="Times New Roman" w:cs="Times New Roman"/>
          <w:noProof/>
          <w:sz w:val="24"/>
          <w:shd w:val="clear" w:color="auto" w:fill="FFFFFF"/>
        </w:rPr>
      </w:pPr>
      <w:r>
        <w:rPr>
          <w:rFonts w:ascii="Times New Roman" w:hAnsi="Times New Roman"/>
          <w:noProof/>
          <w:sz w:val="24"/>
        </w:rPr>
        <w:t>A végrehajtó partner által végrehajtott digitális beruházásokra vonatkozó követelmények: az eszközbe irányuló Helyreállítási és Rezilienciaépítési Eszközből legalább 10 750 000 000 EUR összegű beruházásnak hozzá kell járulnia a digitális átállás célkit</w:t>
      </w:r>
      <w:r>
        <w:rPr>
          <w:rFonts w:ascii="Times New Roman" w:hAnsi="Times New Roman"/>
          <w:noProof/>
          <w:sz w:val="24"/>
        </w:rPr>
        <w:t>űzéseihez a Helyreállítási és Rezilienciaépítési Eszközről szóló rendelet VII. mellékletével összhangban.</w:t>
      </w:r>
      <w:r>
        <w:rPr>
          <w:rStyle w:val="FootnoteReference"/>
          <w:rFonts w:ascii="Times New Roman" w:eastAsia="Times New Roman" w:hAnsi="Times New Roman" w:cs="Times New Roman"/>
          <w:noProof/>
          <w:sz w:val="24"/>
        </w:rPr>
        <w:footnoteReference w:id="160"/>
      </w:r>
      <w:r>
        <w:rPr>
          <w:rFonts w:ascii="Times New Roman" w:hAnsi="Times New Roman"/>
          <w:noProof/>
          <w:sz w:val="24"/>
        </w:rPr>
        <w:t xml:space="preserve"> </w:t>
      </w:r>
    </w:p>
    <w:p w14:paraId="26E1CE06" w14:textId="77777777" w:rsidR="003E1D81" w:rsidRDefault="00EB481C">
      <w:pPr>
        <w:pStyle w:val="maintext"/>
        <w:rPr>
          <w:noProof/>
        </w:rPr>
      </w:pPr>
      <w:r>
        <w:rPr>
          <w:noProof/>
        </w:rPr>
        <w:t>Az intézkedés végrehajtását 2026. augusztus 31-ig be kell fejezni.</w:t>
      </w:r>
    </w:p>
    <w:p w14:paraId="3FA97640" w14:textId="77777777" w:rsidR="003E1D81" w:rsidRDefault="00EB481C">
      <w:pPr>
        <w:pStyle w:val="P68B1DB1-Normal5"/>
        <w:ind w:left="720"/>
        <w:rPr>
          <w:rFonts w:cs="Times New Roman"/>
          <w:noProof/>
        </w:rPr>
      </w:pPr>
      <w:r>
        <w:rPr>
          <w:noProof/>
        </w:rPr>
        <w:t xml:space="preserve">O.4. </w:t>
      </w:r>
      <w:r>
        <w:rPr>
          <w:noProof/>
        </w:rPr>
        <w:tab/>
        <w:t xml:space="preserve">A visszatérítendő pénzügyi támogatás nyomon követésének és végrehajtásának </w:t>
      </w:r>
      <w:r>
        <w:rPr>
          <w:noProof/>
        </w:rPr>
        <w:t>mérföldkövei, céljai, mutatói és ütemterve</w:t>
      </w:r>
    </w:p>
    <w:p w14:paraId="632A4652" w14:textId="4B519587" w:rsidR="003E1D81" w:rsidRDefault="00EB481C">
      <w:pPr>
        <w:pStyle w:val="P68B1DB1-Normal18"/>
        <w:rPr>
          <w:rFonts w:cs="Times New Roman"/>
          <w:noProof/>
        </w:rPr>
      </w:pPr>
      <w:r>
        <w:rPr>
          <w:noProof/>
        </w:rPr>
        <w:t xml:space="preserve">Táblázat alább. Az alapforgatókönyv valamennyi mutató esetében 2020. február 1-je, kivéve, ha az intézkedés leírása másként jelzi. </w:t>
      </w:r>
    </w:p>
    <w:p w14:paraId="67D8A628" w14:textId="77777777" w:rsidR="003E1D81" w:rsidRDefault="003E1D81">
      <w:pPr>
        <w:spacing w:line="240" w:lineRule="auto"/>
        <w:rPr>
          <w:rFonts w:ascii="Times New Roman" w:hAnsi="Times New Roman" w:cs="Times New Roman"/>
          <w:noProof/>
        </w:rPr>
      </w:pPr>
    </w:p>
    <w:p w14:paraId="7D6B3BB9" w14:textId="77777777" w:rsidR="003E1D81" w:rsidRDefault="003E1D81">
      <w:pPr>
        <w:spacing w:before="120" w:after="120" w:line="240" w:lineRule="auto"/>
        <w:ind w:left="709"/>
        <w:jc w:val="both"/>
        <w:rPr>
          <w:rFonts w:ascii="Times New Roman" w:hAnsi="Times New Roman" w:cs="Times New Roman"/>
          <w:noProof/>
          <w:sz w:val="24"/>
        </w:rPr>
        <w:sectPr w:rsidR="003E1D81" w:rsidSect="00EB7CC8">
          <w:headerReference w:type="even" r:id="rId324"/>
          <w:headerReference w:type="default" r:id="rId325"/>
          <w:footerReference w:type="even" r:id="rId326"/>
          <w:footerReference w:type="default" r:id="rId327"/>
          <w:headerReference w:type="first" r:id="rId328"/>
          <w:footerReference w:type="first" r:id="rId329"/>
          <w:pgSz w:w="11907" w:h="16839"/>
          <w:pgMar w:top="1134" w:right="1417" w:bottom="1134" w:left="1417" w:header="709" w:footer="709" w:gutter="0"/>
          <w:cols w:space="720"/>
          <w:docGrid w:linePitch="360"/>
        </w:sectPr>
      </w:pPr>
    </w:p>
    <w:tbl>
      <w:tblPr>
        <w:tblW w:w="13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992"/>
        <w:gridCol w:w="992"/>
        <w:gridCol w:w="1701"/>
        <w:gridCol w:w="1276"/>
        <w:gridCol w:w="709"/>
        <w:gridCol w:w="709"/>
        <w:gridCol w:w="708"/>
        <w:gridCol w:w="426"/>
        <w:gridCol w:w="567"/>
        <w:gridCol w:w="4958"/>
      </w:tblGrid>
      <w:tr w:rsidR="003E1D81" w14:paraId="43963385" w14:textId="77777777">
        <w:trPr>
          <w:trHeight w:val="300"/>
          <w:tblHeader/>
        </w:trPr>
        <w:tc>
          <w:tcPr>
            <w:tcW w:w="846" w:type="dxa"/>
            <w:vMerge w:val="restart"/>
            <w:shd w:val="clear" w:color="auto" w:fill="BDD7EE"/>
            <w:vAlign w:val="center"/>
            <w:hideMark/>
          </w:tcPr>
          <w:p w14:paraId="15DF1754" w14:textId="77777777" w:rsidR="003E1D81" w:rsidRDefault="00EB481C">
            <w:pPr>
              <w:pStyle w:val="P68B1DB1-Normal12"/>
              <w:jc w:val="center"/>
              <w:rPr>
                <w:rFonts w:eastAsia="Times New Roman" w:cs="Times New Roman"/>
                <w:noProof/>
              </w:rPr>
            </w:pPr>
            <w:r>
              <w:rPr>
                <w:noProof/>
              </w:rPr>
              <w:t>Szám</w:t>
            </w:r>
          </w:p>
        </w:tc>
        <w:tc>
          <w:tcPr>
            <w:tcW w:w="992" w:type="dxa"/>
            <w:vMerge w:val="restart"/>
            <w:shd w:val="clear" w:color="auto" w:fill="BDD7EE"/>
            <w:vAlign w:val="center"/>
            <w:hideMark/>
          </w:tcPr>
          <w:p w14:paraId="2A8EB361" w14:textId="77777777" w:rsidR="003E1D81" w:rsidRDefault="00EB481C">
            <w:pPr>
              <w:pStyle w:val="P68B1DB1-Normal12"/>
              <w:jc w:val="center"/>
              <w:rPr>
                <w:rFonts w:eastAsia="Times New Roman" w:cs="Times New Roman"/>
                <w:noProof/>
              </w:rPr>
            </w:pPr>
            <w:r>
              <w:rPr>
                <w:noProof/>
              </w:rPr>
              <w:t>Intézkedés</w:t>
            </w:r>
          </w:p>
        </w:tc>
        <w:tc>
          <w:tcPr>
            <w:tcW w:w="992" w:type="dxa"/>
            <w:vMerge w:val="restart"/>
            <w:shd w:val="clear" w:color="auto" w:fill="BDD7EE"/>
            <w:vAlign w:val="center"/>
            <w:hideMark/>
          </w:tcPr>
          <w:p w14:paraId="3F845D1D" w14:textId="77777777" w:rsidR="003E1D81" w:rsidRDefault="00EB481C">
            <w:pPr>
              <w:pStyle w:val="P68B1DB1-Normal13"/>
              <w:jc w:val="center"/>
              <w:rPr>
                <w:rFonts w:eastAsia="Times New Roman" w:cs="Times New Roman"/>
                <w:b/>
                <w:noProof/>
              </w:rPr>
            </w:pPr>
            <w:r>
              <w:rPr>
                <w:b/>
                <w:noProof/>
              </w:rPr>
              <w:t>Mérföldkő</w:t>
            </w:r>
            <w:r>
              <w:rPr>
                <w:noProof/>
              </w:rPr>
              <w:br/>
            </w:r>
            <w:r>
              <w:rPr>
                <w:b/>
                <w:noProof/>
              </w:rPr>
              <w:t xml:space="preserve"> /Cél</w:t>
            </w:r>
          </w:p>
        </w:tc>
        <w:tc>
          <w:tcPr>
            <w:tcW w:w="1701" w:type="dxa"/>
            <w:vMerge w:val="restart"/>
            <w:shd w:val="clear" w:color="auto" w:fill="BDD7EE"/>
            <w:vAlign w:val="center"/>
            <w:hideMark/>
          </w:tcPr>
          <w:p w14:paraId="53F5094F" w14:textId="77777777" w:rsidR="003E1D81" w:rsidRDefault="00EB481C">
            <w:pPr>
              <w:pStyle w:val="P68B1DB1-Normal12"/>
              <w:jc w:val="center"/>
              <w:rPr>
                <w:rFonts w:eastAsia="Times New Roman" w:cs="Times New Roman"/>
                <w:noProof/>
              </w:rPr>
            </w:pPr>
            <w:r>
              <w:rPr>
                <w:noProof/>
              </w:rPr>
              <w:t>Név</w:t>
            </w:r>
          </w:p>
        </w:tc>
        <w:tc>
          <w:tcPr>
            <w:tcW w:w="1276" w:type="dxa"/>
            <w:vMerge w:val="restart"/>
            <w:shd w:val="clear" w:color="auto" w:fill="BDD7EE"/>
            <w:vAlign w:val="center"/>
            <w:hideMark/>
          </w:tcPr>
          <w:p w14:paraId="7A730B7D" w14:textId="77777777" w:rsidR="003E1D81" w:rsidRDefault="00EB481C">
            <w:pPr>
              <w:pStyle w:val="P68B1DB1-Normal12"/>
              <w:jc w:val="center"/>
              <w:rPr>
                <w:rFonts w:eastAsia="Times New Roman" w:cs="Times New Roman"/>
                <w:noProof/>
              </w:rPr>
            </w:pPr>
            <w:r>
              <w:rPr>
                <w:noProof/>
              </w:rPr>
              <w:t>A mérföldkövek minőségi mutatója</w:t>
            </w:r>
          </w:p>
        </w:tc>
        <w:tc>
          <w:tcPr>
            <w:tcW w:w="2126" w:type="dxa"/>
            <w:gridSpan w:val="3"/>
            <w:shd w:val="clear" w:color="auto" w:fill="BDD7EE"/>
            <w:vAlign w:val="center"/>
            <w:hideMark/>
          </w:tcPr>
          <w:p w14:paraId="2A8CBAEA" w14:textId="77777777" w:rsidR="003E1D81" w:rsidRDefault="00EB481C">
            <w:pPr>
              <w:pStyle w:val="P68B1DB1-Normal12"/>
              <w:jc w:val="center"/>
              <w:rPr>
                <w:rFonts w:eastAsia="Times New Roman" w:cs="Times New Roman"/>
                <w:noProof/>
              </w:rPr>
            </w:pPr>
            <w:r>
              <w:rPr>
                <w:noProof/>
              </w:rPr>
              <w:t>A célérték mennyiségi mutatója</w:t>
            </w:r>
          </w:p>
        </w:tc>
        <w:tc>
          <w:tcPr>
            <w:tcW w:w="993" w:type="dxa"/>
            <w:gridSpan w:val="2"/>
            <w:shd w:val="clear" w:color="auto" w:fill="BDD7EE"/>
            <w:vAlign w:val="center"/>
            <w:hideMark/>
          </w:tcPr>
          <w:p w14:paraId="73EB6A43" w14:textId="77777777" w:rsidR="003E1D81" w:rsidRDefault="00EB481C">
            <w:pPr>
              <w:pStyle w:val="P68B1DB1-Normal12"/>
              <w:jc w:val="center"/>
              <w:rPr>
                <w:rFonts w:eastAsia="Times New Roman" w:cs="Times New Roman"/>
                <w:noProof/>
              </w:rPr>
            </w:pPr>
            <w:r>
              <w:rPr>
                <w:noProof/>
              </w:rPr>
              <w:t>Idő</w:t>
            </w:r>
          </w:p>
        </w:tc>
        <w:tc>
          <w:tcPr>
            <w:tcW w:w="4958" w:type="dxa"/>
            <w:vMerge w:val="restart"/>
            <w:shd w:val="clear" w:color="auto" w:fill="BDD7EE"/>
            <w:vAlign w:val="center"/>
            <w:hideMark/>
          </w:tcPr>
          <w:p w14:paraId="29588294" w14:textId="77777777" w:rsidR="003E1D81" w:rsidRDefault="00EB481C">
            <w:pPr>
              <w:pStyle w:val="P68B1DB1-Normal12"/>
              <w:jc w:val="center"/>
              <w:rPr>
                <w:rFonts w:eastAsia="Times New Roman" w:cs="Times New Roman"/>
                <w:noProof/>
              </w:rPr>
            </w:pPr>
            <w:r>
              <w:rPr>
                <w:noProof/>
              </w:rPr>
              <w:t>Az egyes mérföldkövek és célértékek leírása</w:t>
            </w:r>
          </w:p>
        </w:tc>
      </w:tr>
      <w:tr w:rsidR="003E1D81" w14:paraId="5C2B87F9" w14:textId="77777777">
        <w:trPr>
          <w:trHeight w:val="495"/>
        </w:trPr>
        <w:tc>
          <w:tcPr>
            <w:tcW w:w="846" w:type="dxa"/>
            <w:vMerge/>
            <w:shd w:val="clear" w:color="auto" w:fill="BDD7EE"/>
            <w:hideMark/>
          </w:tcPr>
          <w:p w14:paraId="7443414A" w14:textId="77777777" w:rsidR="003E1D81" w:rsidRDefault="003E1D81">
            <w:pPr>
              <w:jc w:val="center"/>
              <w:rPr>
                <w:rFonts w:ascii="Times New Roman" w:eastAsia="Times New Roman" w:hAnsi="Times New Roman" w:cs="Times New Roman"/>
                <w:b/>
                <w:noProof/>
                <w:sz w:val="18"/>
              </w:rPr>
            </w:pPr>
          </w:p>
        </w:tc>
        <w:tc>
          <w:tcPr>
            <w:tcW w:w="992" w:type="dxa"/>
            <w:vMerge/>
            <w:shd w:val="clear" w:color="auto" w:fill="BDD7EE"/>
            <w:hideMark/>
          </w:tcPr>
          <w:p w14:paraId="532CBB21" w14:textId="77777777" w:rsidR="003E1D81" w:rsidRDefault="003E1D81">
            <w:pPr>
              <w:jc w:val="center"/>
              <w:rPr>
                <w:rFonts w:ascii="Times New Roman" w:eastAsia="Times New Roman" w:hAnsi="Times New Roman" w:cs="Times New Roman"/>
                <w:b/>
                <w:noProof/>
                <w:sz w:val="18"/>
              </w:rPr>
            </w:pPr>
          </w:p>
        </w:tc>
        <w:tc>
          <w:tcPr>
            <w:tcW w:w="992" w:type="dxa"/>
            <w:vMerge/>
            <w:shd w:val="clear" w:color="auto" w:fill="BDD7EE"/>
            <w:hideMark/>
          </w:tcPr>
          <w:p w14:paraId="7613B594" w14:textId="77777777" w:rsidR="003E1D81" w:rsidRDefault="003E1D81">
            <w:pPr>
              <w:jc w:val="center"/>
              <w:rPr>
                <w:rFonts w:ascii="Times New Roman" w:eastAsia="Times New Roman" w:hAnsi="Times New Roman" w:cs="Times New Roman"/>
                <w:b/>
                <w:noProof/>
                <w:sz w:val="18"/>
              </w:rPr>
            </w:pPr>
          </w:p>
        </w:tc>
        <w:tc>
          <w:tcPr>
            <w:tcW w:w="1701" w:type="dxa"/>
            <w:vMerge/>
            <w:shd w:val="clear" w:color="auto" w:fill="BDD7EE"/>
            <w:hideMark/>
          </w:tcPr>
          <w:p w14:paraId="6D29F1BD" w14:textId="77777777" w:rsidR="003E1D81" w:rsidRDefault="003E1D81">
            <w:pPr>
              <w:jc w:val="center"/>
              <w:rPr>
                <w:rFonts w:ascii="Times New Roman" w:eastAsia="Times New Roman" w:hAnsi="Times New Roman" w:cs="Times New Roman"/>
                <w:b/>
                <w:noProof/>
                <w:sz w:val="18"/>
              </w:rPr>
            </w:pPr>
          </w:p>
        </w:tc>
        <w:tc>
          <w:tcPr>
            <w:tcW w:w="1276" w:type="dxa"/>
            <w:vMerge/>
            <w:shd w:val="clear" w:color="auto" w:fill="BDD7EE"/>
            <w:hideMark/>
          </w:tcPr>
          <w:p w14:paraId="7D2BCCFA" w14:textId="77777777" w:rsidR="003E1D81" w:rsidRDefault="003E1D81">
            <w:pPr>
              <w:jc w:val="center"/>
              <w:rPr>
                <w:rFonts w:ascii="Times New Roman" w:eastAsia="Times New Roman" w:hAnsi="Times New Roman" w:cs="Times New Roman"/>
                <w:b/>
                <w:noProof/>
                <w:sz w:val="18"/>
              </w:rPr>
            </w:pPr>
          </w:p>
        </w:tc>
        <w:tc>
          <w:tcPr>
            <w:tcW w:w="709" w:type="dxa"/>
            <w:shd w:val="clear" w:color="auto" w:fill="BDD7EE"/>
            <w:hideMark/>
          </w:tcPr>
          <w:p w14:paraId="146393A0" w14:textId="77777777" w:rsidR="003E1D81" w:rsidRDefault="00EB481C">
            <w:pPr>
              <w:pStyle w:val="P68B1DB1-Normal12"/>
              <w:jc w:val="center"/>
              <w:rPr>
                <w:rFonts w:eastAsia="Times New Roman" w:cs="Times New Roman"/>
                <w:noProof/>
              </w:rPr>
            </w:pPr>
            <w:r>
              <w:rPr>
                <w:noProof/>
              </w:rPr>
              <w:t>Egység</w:t>
            </w:r>
          </w:p>
        </w:tc>
        <w:tc>
          <w:tcPr>
            <w:tcW w:w="709" w:type="dxa"/>
            <w:shd w:val="clear" w:color="auto" w:fill="BDD7EE"/>
            <w:hideMark/>
          </w:tcPr>
          <w:p w14:paraId="4B231DE4" w14:textId="77777777" w:rsidR="003E1D81" w:rsidRDefault="00EB481C">
            <w:pPr>
              <w:pStyle w:val="P68B1DB1-Normal12"/>
              <w:jc w:val="center"/>
              <w:rPr>
                <w:rFonts w:eastAsia="Times New Roman" w:cs="Times New Roman"/>
                <w:noProof/>
              </w:rPr>
            </w:pPr>
            <w:r>
              <w:rPr>
                <w:noProof/>
              </w:rPr>
              <w:t>Alapérték</w:t>
            </w:r>
          </w:p>
        </w:tc>
        <w:tc>
          <w:tcPr>
            <w:tcW w:w="708" w:type="dxa"/>
            <w:shd w:val="clear" w:color="auto" w:fill="BDD7EE"/>
            <w:hideMark/>
          </w:tcPr>
          <w:p w14:paraId="1D3E9995" w14:textId="77777777" w:rsidR="003E1D81" w:rsidRDefault="00EB481C">
            <w:pPr>
              <w:pStyle w:val="P68B1DB1-Normal12"/>
              <w:jc w:val="center"/>
              <w:rPr>
                <w:rFonts w:eastAsia="Times New Roman" w:cs="Times New Roman"/>
                <w:noProof/>
              </w:rPr>
            </w:pPr>
            <w:r>
              <w:rPr>
                <w:noProof/>
              </w:rPr>
              <w:t>Cél</w:t>
            </w:r>
          </w:p>
        </w:tc>
        <w:tc>
          <w:tcPr>
            <w:tcW w:w="426" w:type="dxa"/>
            <w:shd w:val="clear" w:color="auto" w:fill="BDD7EE"/>
            <w:hideMark/>
          </w:tcPr>
          <w:p w14:paraId="0596B63C" w14:textId="4DF0A5B8" w:rsidR="003E1D81" w:rsidRDefault="00EB481C">
            <w:pPr>
              <w:pStyle w:val="P68B1DB1-Normal12"/>
              <w:jc w:val="center"/>
              <w:rPr>
                <w:rFonts w:eastAsia="Times New Roman" w:cs="Times New Roman"/>
                <w:noProof/>
              </w:rPr>
            </w:pPr>
            <w:r>
              <w:rPr>
                <w:noProof/>
              </w:rPr>
              <w:t>Q</w:t>
            </w:r>
          </w:p>
        </w:tc>
        <w:tc>
          <w:tcPr>
            <w:tcW w:w="567" w:type="dxa"/>
            <w:shd w:val="clear" w:color="auto" w:fill="BDD7EE"/>
            <w:hideMark/>
          </w:tcPr>
          <w:p w14:paraId="207A5044" w14:textId="7406E71C" w:rsidR="003E1D81" w:rsidRDefault="00EB481C">
            <w:pPr>
              <w:pStyle w:val="P68B1DB1-Normal12"/>
              <w:jc w:val="center"/>
              <w:rPr>
                <w:rFonts w:eastAsia="Times New Roman" w:cs="Times New Roman"/>
                <w:noProof/>
              </w:rPr>
            </w:pPr>
            <w:r>
              <w:rPr>
                <w:noProof/>
              </w:rPr>
              <w:t>Éve</w:t>
            </w:r>
          </w:p>
          <w:p w14:paraId="01D9CBC1" w14:textId="77EB7F29" w:rsidR="003E1D81" w:rsidRDefault="003E1D81">
            <w:pPr>
              <w:rPr>
                <w:rFonts w:ascii="Times New Roman" w:eastAsia="Times New Roman" w:hAnsi="Times New Roman" w:cs="Times New Roman"/>
                <w:noProof/>
                <w:sz w:val="18"/>
              </w:rPr>
            </w:pPr>
          </w:p>
        </w:tc>
        <w:tc>
          <w:tcPr>
            <w:tcW w:w="4958" w:type="dxa"/>
            <w:vMerge/>
            <w:shd w:val="clear" w:color="auto" w:fill="BDD7EE"/>
            <w:hideMark/>
          </w:tcPr>
          <w:p w14:paraId="1B6A682F" w14:textId="77777777" w:rsidR="003E1D81" w:rsidRDefault="003E1D81">
            <w:pPr>
              <w:jc w:val="center"/>
              <w:rPr>
                <w:rFonts w:ascii="Times New Roman" w:eastAsia="Times New Roman" w:hAnsi="Times New Roman" w:cs="Times New Roman"/>
                <w:b/>
                <w:noProof/>
                <w:sz w:val="18"/>
              </w:rPr>
            </w:pPr>
          </w:p>
        </w:tc>
      </w:tr>
      <w:tr w:rsidR="003E1D81" w14:paraId="7D05D04F" w14:textId="77777777">
        <w:trPr>
          <w:trHeight w:val="300"/>
        </w:trPr>
        <w:tc>
          <w:tcPr>
            <w:tcW w:w="846" w:type="dxa"/>
            <w:shd w:val="clear" w:color="auto" w:fill="C6EFCE"/>
            <w:hideMark/>
          </w:tcPr>
          <w:p w14:paraId="0D0C5572" w14:textId="280387A3" w:rsidR="003E1D81" w:rsidRDefault="00EB481C">
            <w:pPr>
              <w:pStyle w:val="P68B1DB1-Normal13"/>
              <w:jc w:val="center"/>
              <w:rPr>
                <w:rFonts w:cs="Times New Roman"/>
                <w:noProof/>
              </w:rPr>
            </w:pPr>
            <w:r>
              <w:rPr>
                <w:noProof/>
              </w:rPr>
              <w:t>L63</w:t>
            </w:r>
          </w:p>
        </w:tc>
        <w:tc>
          <w:tcPr>
            <w:tcW w:w="992" w:type="dxa"/>
            <w:shd w:val="clear" w:color="auto" w:fill="C6EFCE"/>
            <w:hideMark/>
          </w:tcPr>
          <w:p w14:paraId="2D369ECD" w14:textId="348F3DBF" w:rsidR="003E1D81" w:rsidRDefault="00EB481C">
            <w:pPr>
              <w:pStyle w:val="P68B1DB1-Normal13"/>
              <w:jc w:val="center"/>
              <w:rPr>
                <w:rFonts w:cs="Times New Roman"/>
                <w:noProof/>
              </w:rPr>
            </w:pPr>
            <w:r>
              <w:rPr>
                <w:noProof/>
              </w:rPr>
              <w:t>C15.I9</w:t>
            </w:r>
          </w:p>
        </w:tc>
        <w:tc>
          <w:tcPr>
            <w:tcW w:w="992" w:type="dxa"/>
            <w:shd w:val="clear" w:color="auto" w:fill="C6EFCE"/>
            <w:hideMark/>
          </w:tcPr>
          <w:p w14:paraId="2376F4A4" w14:textId="29A95FDB" w:rsidR="003E1D81" w:rsidRDefault="00EB481C">
            <w:pPr>
              <w:pStyle w:val="P68B1DB1-Normal13"/>
              <w:jc w:val="center"/>
              <w:rPr>
                <w:rFonts w:cs="Times New Roman"/>
                <w:noProof/>
              </w:rPr>
            </w:pPr>
            <w:r>
              <w:rPr>
                <w:noProof/>
              </w:rPr>
              <w:t>M</w:t>
            </w:r>
          </w:p>
        </w:tc>
        <w:tc>
          <w:tcPr>
            <w:tcW w:w="1701" w:type="dxa"/>
            <w:shd w:val="clear" w:color="auto" w:fill="C6EFCE"/>
            <w:hideMark/>
          </w:tcPr>
          <w:p w14:paraId="25940D13" w14:textId="53DD0140" w:rsidR="003E1D81" w:rsidRDefault="00EB481C">
            <w:pPr>
              <w:pStyle w:val="P68B1DB1-Normal13"/>
              <w:rPr>
                <w:rFonts w:cs="Times New Roman"/>
                <w:noProof/>
              </w:rPr>
            </w:pPr>
            <w:r>
              <w:rPr>
                <w:noProof/>
              </w:rPr>
              <w:t xml:space="preserve">Csipfinanszírozási eszköz: A finanszírozási mechanizmus hivatalos </w:t>
            </w:r>
            <w:r>
              <w:rPr>
                <w:noProof/>
              </w:rPr>
              <w:t>jóváhagyása</w:t>
            </w:r>
          </w:p>
        </w:tc>
        <w:tc>
          <w:tcPr>
            <w:tcW w:w="1276" w:type="dxa"/>
            <w:shd w:val="clear" w:color="auto" w:fill="C6EFCE"/>
            <w:hideMark/>
          </w:tcPr>
          <w:p w14:paraId="3BC64F0B" w14:textId="77777777" w:rsidR="003E1D81" w:rsidRDefault="00EB481C">
            <w:pPr>
              <w:pStyle w:val="P68B1DB1-Normal13"/>
              <w:rPr>
                <w:rFonts w:cs="Times New Roman"/>
                <w:noProof/>
              </w:rPr>
            </w:pPr>
            <w:r>
              <w:rPr>
                <w:noProof/>
              </w:rPr>
              <w:t>A végrehajtási megállapodás aláírása </w:t>
            </w:r>
          </w:p>
        </w:tc>
        <w:tc>
          <w:tcPr>
            <w:tcW w:w="709" w:type="dxa"/>
            <w:shd w:val="clear" w:color="auto" w:fill="C6EFCE"/>
            <w:hideMark/>
          </w:tcPr>
          <w:p w14:paraId="41D33B3A" w14:textId="77777777" w:rsidR="003E1D81" w:rsidRDefault="00EB481C">
            <w:pPr>
              <w:pStyle w:val="P68B1DB1-Normal13"/>
              <w:rPr>
                <w:rFonts w:cs="Times New Roman"/>
                <w:noProof/>
              </w:rPr>
            </w:pPr>
            <w:r>
              <w:rPr>
                <w:noProof/>
              </w:rPr>
              <w:t>  </w:t>
            </w:r>
          </w:p>
        </w:tc>
        <w:tc>
          <w:tcPr>
            <w:tcW w:w="709" w:type="dxa"/>
            <w:shd w:val="clear" w:color="auto" w:fill="C6EFCE"/>
            <w:hideMark/>
          </w:tcPr>
          <w:p w14:paraId="5F93FEEE" w14:textId="77777777" w:rsidR="003E1D81" w:rsidRDefault="00EB481C">
            <w:pPr>
              <w:pStyle w:val="P68B1DB1-Normal13"/>
              <w:rPr>
                <w:rFonts w:cs="Times New Roman"/>
                <w:noProof/>
              </w:rPr>
            </w:pPr>
            <w:r>
              <w:rPr>
                <w:noProof/>
              </w:rPr>
              <w:t>  </w:t>
            </w:r>
          </w:p>
        </w:tc>
        <w:tc>
          <w:tcPr>
            <w:tcW w:w="708" w:type="dxa"/>
            <w:shd w:val="clear" w:color="auto" w:fill="C6EFCE"/>
            <w:hideMark/>
          </w:tcPr>
          <w:p w14:paraId="4BA7C8A7" w14:textId="77777777" w:rsidR="003E1D81" w:rsidRDefault="00EB481C">
            <w:pPr>
              <w:pStyle w:val="P68B1DB1-Normal13"/>
              <w:rPr>
                <w:rFonts w:cs="Times New Roman"/>
                <w:noProof/>
              </w:rPr>
            </w:pPr>
            <w:r>
              <w:rPr>
                <w:noProof/>
              </w:rPr>
              <w:t>  </w:t>
            </w:r>
          </w:p>
        </w:tc>
        <w:tc>
          <w:tcPr>
            <w:tcW w:w="426" w:type="dxa"/>
            <w:shd w:val="clear" w:color="auto" w:fill="C6EFCE"/>
            <w:hideMark/>
          </w:tcPr>
          <w:p w14:paraId="7EC9807C" w14:textId="5C54D2D9" w:rsidR="003E1D81" w:rsidRDefault="00EB481C">
            <w:pPr>
              <w:pStyle w:val="P68B1DB1-Normal13"/>
              <w:jc w:val="center"/>
              <w:rPr>
                <w:rFonts w:cs="Times New Roman"/>
                <w:noProof/>
              </w:rPr>
            </w:pPr>
            <w:r>
              <w:rPr>
                <w:noProof/>
              </w:rPr>
              <w:t>NEGYEDÉV</w:t>
            </w:r>
          </w:p>
        </w:tc>
        <w:tc>
          <w:tcPr>
            <w:tcW w:w="567" w:type="dxa"/>
            <w:shd w:val="clear" w:color="auto" w:fill="C6EFCE"/>
            <w:hideMark/>
          </w:tcPr>
          <w:p w14:paraId="135322BD" w14:textId="77777777" w:rsidR="003E1D81" w:rsidRDefault="00EB481C">
            <w:pPr>
              <w:pStyle w:val="P68B1DB1-Normal13"/>
              <w:jc w:val="center"/>
              <w:rPr>
                <w:rFonts w:eastAsia="Times New Roman" w:cs="Times New Roman"/>
                <w:noProof/>
              </w:rPr>
            </w:pPr>
            <w:r>
              <w:rPr>
                <w:noProof/>
              </w:rPr>
              <w:t>2023</w:t>
            </w:r>
          </w:p>
        </w:tc>
        <w:tc>
          <w:tcPr>
            <w:tcW w:w="4958" w:type="dxa"/>
            <w:shd w:val="clear" w:color="auto" w:fill="C6EFCE"/>
            <w:hideMark/>
          </w:tcPr>
          <w:p w14:paraId="776872B7" w14:textId="13E22D45" w:rsidR="003E1D81" w:rsidRDefault="00EB481C">
            <w:pPr>
              <w:pStyle w:val="P68B1DB1-Normal13"/>
              <w:rPr>
                <w:rFonts w:cs="Times New Roman"/>
                <w:noProof/>
              </w:rPr>
            </w:pPr>
            <w:r>
              <w:rPr>
                <w:noProof/>
              </w:rPr>
              <w:t>A Minisztérium és a SEMyS aláírja a végrehajtási megállapodást, vagy hatályba lép a Békekeretet létrehozó rendelet és minden kapcsolódó dokumentum.</w:t>
            </w:r>
          </w:p>
        </w:tc>
      </w:tr>
      <w:tr w:rsidR="003E1D81" w14:paraId="1CB13C5D" w14:textId="77777777">
        <w:trPr>
          <w:trHeight w:val="300"/>
        </w:trPr>
        <w:tc>
          <w:tcPr>
            <w:tcW w:w="846" w:type="dxa"/>
            <w:shd w:val="clear" w:color="auto" w:fill="C6EFCE"/>
          </w:tcPr>
          <w:p w14:paraId="63157463" w14:textId="6C136408" w:rsidR="003E1D81" w:rsidRDefault="00EB481C">
            <w:pPr>
              <w:pStyle w:val="P68B1DB1-Normal13"/>
              <w:jc w:val="center"/>
              <w:rPr>
                <w:rFonts w:cs="Times New Roman"/>
                <w:noProof/>
              </w:rPr>
            </w:pPr>
            <w:r>
              <w:rPr>
                <w:noProof/>
              </w:rPr>
              <w:t>L64</w:t>
            </w:r>
          </w:p>
        </w:tc>
        <w:tc>
          <w:tcPr>
            <w:tcW w:w="992" w:type="dxa"/>
            <w:shd w:val="clear" w:color="auto" w:fill="C6EFCE"/>
          </w:tcPr>
          <w:p w14:paraId="491EE663" w14:textId="7BDE6061" w:rsidR="003E1D81" w:rsidRDefault="00EB481C">
            <w:pPr>
              <w:pStyle w:val="P68B1DB1-Normal13"/>
              <w:jc w:val="center"/>
              <w:rPr>
                <w:rFonts w:cs="Times New Roman"/>
                <w:noProof/>
              </w:rPr>
            </w:pPr>
            <w:r>
              <w:rPr>
                <w:noProof/>
              </w:rPr>
              <w:t>C15.I9</w:t>
            </w:r>
          </w:p>
        </w:tc>
        <w:tc>
          <w:tcPr>
            <w:tcW w:w="992" w:type="dxa"/>
            <w:shd w:val="clear" w:color="auto" w:fill="C6EFCE"/>
          </w:tcPr>
          <w:p w14:paraId="4179376F" w14:textId="05FC026A" w:rsidR="003E1D81" w:rsidRDefault="00EB481C">
            <w:pPr>
              <w:pStyle w:val="P68B1DB1-Normal13"/>
              <w:jc w:val="center"/>
              <w:rPr>
                <w:rFonts w:cs="Times New Roman"/>
                <w:noProof/>
              </w:rPr>
            </w:pPr>
            <w:r>
              <w:rPr>
                <w:noProof/>
              </w:rPr>
              <w:t>T</w:t>
            </w:r>
          </w:p>
        </w:tc>
        <w:tc>
          <w:tcPr>
            <w:tcW w:w="1701" w:type="dxa"/>
            <w:shd w:val="clear" w:color="auto" w:fill="C6EFCE"/>
          </w:tcPr>
          <w:p w14:paraId="62508480" w14:textId="5A6F9073" w:rsidR="003E1D81" w:rsidRDefault="00EB481C">
            <w:pPr>
              <w:pStyle w:val="P68B1DB1-Normal13"/>
              <w:rPr>
                <w:rFonts w:cs="Times New Roman"/>
                <w:noProof/>
              </w:rPr>
            </w:pPr>
            <w:r>
              <w:rPr>
                <w:noProof/>
              </w:rPr>
              <w:t xml:space="preserve">Csipfinanszírozási </w:t>
            </w:r>
            <w:r>
              <w:rPr>
                <w:noProof/>
              </w:rPr>
              <w:t>eszköz: A végső kedvezményezettekkel aláírt jogi megállapodások (I)</w:t>
            </w:r>
          </w:p>
        </w:tc>
        <w:tc>
          <w:tcPr>
            <w:tcW w:w="1276" w:type="dxa"/>
            <w:shd w:val="clear" w:color="auto" w:fill="C6EFCE"/>
          </w:tcPr>
          <w:p w14:paraId="45F800E9" w14:textId="77777777" w:rsidR="003E1D81" w:rsidRDefault="003E1D81">
            <w:pPr>
              <w:rPr>
                <w:rFonts w:ascii="Times New Roman" w:hAnsi="Times New Roman" w:cs="Times New Roman"/>
                <w:noProof/>
                <w:sz w:val="18"/>
              </w:rPr>
            </w:pPr>
          </w:p>
        </w:tc>
        <w:tc>
          <w:tcPr>
            <w:tcW w:w="709" w:type="dxa"/>
            <w:shd w:val="clear" w:color="auto" w:fill="C6EFCE"/>
          </w:tcPr>
          <w:p w14:paraId="5647BF63" w14:textId="66EF5FA5" w:rsidR="003E1D81" w:rsidRDefault="003E1D81">
            <w:pPr>
              <w:rPr>
                <w:rFonts w:ascii="Times New Roman" w:hAnsi="Times New Roman" w:cs="Times New Roman"/>
                <w:noProof/>
                <w:sz w:val="18"/>
              </w:rPr>
            </w:pPr>
          </w:p>
        </w:tc>
        <w:tc>
          <w:tcPr>
            <w:tcW w:w="709" w:type="dxa"/>
            <w:shd w:val="clear" w:color="auto" w:fill="C6EFCE"/>
          </w:tcPr>
          <w:p w14:paraId="19862384" w14:textId="77777777" w:rsidR="003E1D81" w:rsidRDefault="00EB481C">
            <w:pPr>
              <w:pStyle w:val="P68B1DB1-Normal13"/>
              <w:jc w:val="center"/>
              <w:rPr>
                <w:rFonts w:cs="Times New Roman"/>
                <w:noProof/>
              </w:rPr>
            </w:pPr>
            <w:r>
              <w:rPr>
                <w:noProof/>
              </w:rPr>
              <w:t>0</w:t>
            </w:r>
          </w:p>
        </w:tc>
        <w:tc>
          <w:tcPr>
            <w:tcW w:w="708" w:type="dxa"/>
            <w:shd w:val="clear" w:color="auto" w:fill="C6EFCE"/>
          </w:tcPr>
          <w:p w14:paraId="4A0D3DAB" w14:textId="083523E6" w:rsidR="003E1D81" w:rsidRDefault="00EB481C">
            <w:pPr>
              <w:pStyle w:val="P68B1DB1-Normal13"/>
              <w:jc w:val="center"/>
              <w:rPr>
                <w:rFonts w:cs="Times New Roman"/>
                <w:noProof/>
              </w:rPr>
            </w:pPr>
            <w:r>
              <w:rPr>
                <w:noProof/>
              </w:rPr>
              <w:t>25%</w:t>
            </w:r>
          </w:p>
        </w:tc>
        <w:tc>
          <w:tcPr>
            <w:tcW w:w="426" w:type="dxa"/>
            <w:shd w:val="clear" w:color="auto" w:fill="C6EFCE"/>
          </w:tcPr>
          <w:p w14:paraId="7903A43B" w14:textId="77777777" w:rsidR="003E1D81" w:rsidRDefault="00EB481C">
            <w:pPr>
              <w:pStyle w:val="P68B1DB1-Normal13"/>
              <w:jc w:val="center"/>
              <w:rPr>
                <w:rFonts w:cs="Times New Roman"/>
                <w:noProof/>
              </w:rPr>
            </w:pPr>
            <w:r>
              <w:rPr>
                <w:noProof/>
              </w:rPr>
              <w:t>KÉRDÉS</w:t>
            </w:r>
          </w:p>
        </w:tc>
        <w:tc>
          <w:tcPr>
            <w:tcW w:w="567" w:type="dxa"/>
            <w:shd w:val="clear" w:color="auto" w:fill="C6EFCE"/>
          </w:tcPr>
          <w:p w14:paraId="1BC066D8" w14:textId="77777777" w:rsidR="003E1D81" w:rsidRDefault="00EB481C">
            <w:pPr>
              <w:pStyle w:val="P68B1DB1-Normal13"/>
              <w:jc w:val="center"/>
              <w:rPr>
                <w:rFonts w:eastAsia="Times New Roman" w:cs="Times New Roman"/>
                <w:noProof/>
              </w:rPr>
            </w:pPr>
            <w:r>
              <w:rPr>
                <w:noProof/>
              </w:rPr>
              <w:t>2025</w:t>
            </w:r>
          </w:p>
        </w:tc>
        <w:tc>
          <w:tcPr>
            <w:tcW w:w="4958" w:type="dxa"/>
            <w:shd w:val="clear" w:color="auto" w:fill="C6EFCE"/>
          </w:tcPr>
          <w:p w14:paraId="3F36263D" w14:textId="2DAFEEE7" w:rsidR="003E1D81" w:rsidRDefault="00EB481C">
            <w:pPr>
              <w:pStyle w:val="P68B1DB1-Normal13"/>
              <w:rPr>
                <w:rFonts w:cs="Times New Roman"/>
                <w:noProof/>
              </w:rPr>
            </w:pPr>
            <w:r>
              <w:rPr>
                <w:noProof/>
              </w:rPr>
              <w:t xml:space="preserve">Az eszköz a Helyreállítási és Rezilienciaépítési Eszközbe történő beruházás legalább 25%-ának az eszközbe történő felhasználásához szükséges összegre vonatkozóan jogi </w:t>
            </w:r>
            <w:r>
              <w:rPr>
                <w:noProof/>
              </w:rPr>
              <w:t>finanszírozási megállapodást kötött a végső kedvezményezettekkel (figyelembe véve az irányítási díjakat).</w:t>
            </w:r>
          </w:p>
          <w:p w14:paraId="1B65CDBA" w14:textId="543E1CFB" w:rsidR="003E1D81" w:rsidRDefault="00EB481C">
            <w:pPr>
              <w:pStyle w:val="P68B1DB1-Normal13"/>
              <w:rPr>
                <w:rFonts w:cs="Times New Roman"/>
                <w:noProof/>
              </w:rPr>
            </w:pPr>
            <w:r>
              <w:rPr>
                <w:noProof/>
              </w:rPr>
              <w:t>Az aláírást a spanyol kormány és a spanyol nemzeti jogban vagy azzal egyenértékű diplomáciai eszközben leírt általános cselekvési jegyzőkönyv vagy azz</w:t>
            </w:r>
            <w:r>
              <w:rPr>
                <w:noProof/>
              </w:rPr>
              <w:t>al egyenértékű diplomáciai eszköz kérelmezője között is el kell érni legalább egy félvezetőgyártó létesítményre vonatkozóan, nyílt uniós üzem vagy integrált gyártólétesítmény formájában, amely elsőként felel meg a csipekről szóló európai jogszabályban megá</w:t>
            </w:r>
            <w:r>
              <w:rPr>
                <w:noProof/>
              </w:rPr>
              <w:t xml:space="preserve">llapított fogalommeghatározásoknak. </w:t>
            </w:r>
          </w:p>
          <w:p w14:paraId="2B920AB3" w14:textId="684AAF71" w:rsidR="003E1D81" w:rsidRDefault="00EB481C">
            <w:pPr>
              <w:pStyle w:val="P68B1DB1-Normal13"/>
              <w:rPr>
                <w:rFonts w:cs="Times New Roman"/>
                <w:noProof/>
              </w:rPr>
            </w:pPr>
            <w:r>
              <w:rPr>
                <w:noProof/>
              </w:rPr>
              <w:t>A SEMyS a Helyreállítási és Rezilienciaépítési Eszközről szóló rendelet VII. mellékletében foglalt módszertan alkalmazásával jelentést készít, amelyben részletezi, hogy e finanszírozás legalább 100%-a hozzájárul a digit</w:t>
            </w:r>
            <w:r>
              <w:rPr>
                <w:noProof/>
              </w:rPr>
              <w:t>ális átállással kapcsolatos célkitűzésekhez.</w:t>
            </w:r>
          </w:p>
        </w:tc>
      </w:tr>
      <w:tr w:rsidR="003E1D81" w14:paraId="2EA593B6" w14:textId="77777777">
        <w:trPr>
          <w:trHeight w:val="300"/>
        </w:trPr>
        <w:tc>
          <w:tcPr>
            <w:tcW w:w="846" w:type="dxa"/>
            <w:shd w:val="clear" w:color="auto" w:fill="C6EFCE"/>
          </w:tcPr>
          <w:p w14:paraId="56656C43" w14:textId="02454E2D" w:rsidR="003E1D81" w:rsidRDefault="00EB481C">
            <w:pPr>
              <w:pStyle w:val="P68B1DB1-Normal13"/>
              <w:jc w:val="center"/>
              <w:rPr>
                <w:rFonts w:cs="Times New Roman"/>
                <w:noProof/>
              </w:rPr>
            </w:pPr>
            <w:r>
              <w:rPr>
                <w:noProof/>
              </w:rPr>
              <w:t>L65</w:t>
            </w:r>
          </w:p>
        </w:tc>
        <w:tc>
          <w:tcPr>
            <w:tcW w:w="992" w:type="dxa"/>
            <w:shd w:val="clear" w:color="auto" w:fill="C6EFCE"/>
          </w:tcPr>
          <w:p w14:paraId="0BF73430" w14:textId="17653A36" w:rsidR="003E1D81" w:rsidRDefault="00EB481C">
            <w:pPr>
              <w:pStyle w:val="P68B1DB1-Normal13"/>
              <w:jc w:val="center"/>
              <w:rPr>
                <w:rFonts w:cs="Times New Roman"/>
                <w:noProof/>
              </w:rPr>
            </w:pPr>
            <w:r>
              <w:rPr>
                <w:noProof/>
              </w:rPr>
              <w:t>C15.I9</w:t>
            </w:r>
          </w:p>
        </w:tc>
        <w:tc>
          <w:tcPr>
            <w:tcW w:w="992" w:type="dxa"/>
            <w:shd w:val="clear" w:color="auto" w:fill="C6EFCE"/>
          </w:tcPr>
          <w:p w14:paraId="2599D3DB" w14:textId="753CD061" w:rsidR="003E1D81" w:rsidRDefault="00EB481C">
            <w:pPr>
              <w:pStyle w:val="P68B1DB1-Normal13"/>
              <w:jc w:val="center"/>
              <w:rPr>
                <w:rFonts w:eastAsia="Times New Roman" w:cs="Times New Roman"/>
                <w:noProof/>
              </w:rPr>
            </w:pPr>
            <w:r>
              <w:rPr>
                <w:noProof/>
              </w:rPr>
              <w:t>T</w:t>
            </w:r>
          </w:p>
        </w:tc>
        <w:tc>
          <w:tcPr>
            <w:tcW w:w="1701" w:type="dxa"/>
            <w:shd w:val="clear" w:color="auto" w:fill="C6EFCE"/>
          </w:tcPr>
          <w:p w14:paraId="196137CD" w14:textId="141A95CC" w:rsidR="003E1D81" w:rsidRDefault="00EB481C">
            <w:pPr>
              <w:pStyle w:val="P68B1DB1-Normal13"/>
              <w:rPr>
                <w:rFonts w:eastAsia="Times New Roman" w:cs="Times New Roman"/>
                <w:noProof/>
              </w:rPr>
            </w:pPr>
            <w:r>
              <w:rPr>
                <w:noProof/>
              </w:rPr>
              <w:t>Csipfinanszírozási eszköz: A végső kedvezményezettekkel aláírt jogi megállapodások (II)</w:t>
            </w:r>
          </w:p>
        </w:tc>
        <w:tc>
          <w:tcPr>
            <w:tcW w:w="1276" w:type="dxa"/>
            <w:shd w:val="clear" w:color="auto" w:fill="C6EFCE"/>
          </w:tcPr>
          <w:p w14:paraId="41A672A3" w14:textId="77777777" w:rsidR="003E1D81" w:rsidRDefault="003E1D81">
            <w:pPr>
              <w:rPr>
                <w:rFonts w:ascii="Times New Roman" w:eastAsia="Times New Roman" w:hAnsi="Times New Roman" w:cs="Times New Roman"/>
                <w:noProof/>
                <w:sz w:val="18"/>
              </w:rPr>
            </w:pPr>
          </w:p>
        </w:tc>
        <w:tc>
          <w:tcPr>
            <w:tcW w:w="709" w:type="dxa"/>
            <w:shd w:val="clear" w:color="auto" w:fill="C6EFCE"/>
          </w:tcPr>
          <w:p w14:paraId="2988B5C7" w14:textId="14397A8A" w:rsidR="003E1D81" w:rsidRDefault="003E1D81">
            <w:pPr>
              <w:rPr>
                <w:rFonts w:ascii="Times New Roman" w:hAnsi="Times New Roman" w:cs="Times New Roman"/>
                <w:noProof/>
                <w:sz w:val="18"/>
              </w:rPr>
            </w:pPr>
          </w:p>
        </w:tc>
        <w:tc>
          <w:tcPr>
            <w:tcW w:w="709" w:type="dxa"/>
            <w:shd w:val="clear" w:color="auto" w:fill="C6EFCE"/>
          </w:tcPr>
          <w:p w14:paraId="7CB24F9B" w14:textId="7C1EB69A" w:rsidR="003E1D81" w:rsidRDefault="00EB481C">
            <w:pPr>
              <w:pStyle w:val="P68B1DB1-Normal13"/>
              <w:jc w:val="center"/>
              <w:rPr>
                <w:rFonts w:eastAsia="Times New Roman" w:cs="Times New Roman"/>
                <w:noProof/>
              </w:rPr>
            </w:pPr>
            <w:r>
              <w:rPr>
                <w:noProof/>
              </w:rPr>
              <w:t>25%</w:t>
            </w:r>
          </w:p>
        </w:tc>
        <w:tc>
          <w:tcPr>
            <w:tcW w:w="708" w:type="dxa"/>
            <w:shd w:val="clear" w:color="auto" w:fill="C6EFCE"/>
          </w:tcPr>
          <w:p w14:paraId="5FA4F5FA" w14:textId="4150342C" w:rsidR="003E1D81" w:rsidRDefault="00EB481C">
            <w:pPr>
              <w:pStyle w:val="P68B1DB1-Normal13"/>
              <w:jc w:val="center"/>
              <w:rPr>
                <w:rFonts w:eastAsia="Times New Roman" w:cs="Times New Roman"/>
                <w:noProof/>
              </w:rPr>
            </w:pPr>
            <w:r>
              <w:rPr>
                <w:noProof/>
              </w:rPr>
              <w:t>100%-OS</w:t>
            </w:r>
          </w:p>
        </w:tc>
        <w:tc>
          <w:tcPr>
            <w:tcW w:w="426" w:type="dxa"/>
            <w:shd w:val="clear" w:color="auto" w:fill="C6EFCE"/>
          </w:tcPr>
          <w:p w14:paraId="567D5DA6" w14:textId="3494F4C6" w:rsidR="003E1D81" w:rsidRDefault="00EB481C">
            <w:pPr>
              <w:pStyle w:val="P68B1DB1-Normal13"/>
              <w:jc w:val="center"/>
              <w:rPr>
                <w:rFonts w:cs="Times New Roman"/>
                <w:noProof/>
              </w:rPr>
            </w:pPr>
            <w:r>
              <w:rPr>
                <w:noProof/>
              </w:rPr>
              <w:t>NEGYEDÉV</w:t>
            </w:r>
          </w:p>
        </w:tc>
        <w:tc>
          <w:tcPr>
            <w:tcW w:w="567" w:type="dxa"/>
            <w:shd w:val="clear" w:color="auto" w:fill="C6EFCE"/>
          </w:tcPr>
          <w:p w14:paraId="227E7D60" w14:textId="32174019" w:rsidR="003E1D81" w:rsidRDefault="00EB481C">
            <w:pPr>
              <w:pStyle w:val="P68B1DB1-Normal13"/>
              <w:jc w:val="center"/>
              <w:rPr>
                <w:rFonts w:cs="Times New Roman"/>
                <w:noProof/>
              </w:rPr>
            </w:pPr>
            <w:r>
              <w:rPr>
                <w:noProof/>
              </w:rPr>
              <w:t>2026</w:t>
            </w:r>
          </w:p>
        </w:tc>
        <w:tc>
          <w:tcPr>
            <w:tcW w:w="4958" w:type="dxa"/>
            <w:shd w:val="clear" w:color="auto" w:fill="C6EFCE"/>
          </w:tcPr>
          <w:p w14:paraId="78AE8FD0" w14:textId="6A3AB5B0" w:rsidR="003E1D81" w:rsidRDefault="00EB481C">
            <w:pPr>
              <w:pStyle w:val="P68B1DB1-Normal13"/>
              <w:rPr>
                <w:rFonts w:cs="Times New Roman"/>
                <w:noProof/>
              </w:rPr>
            </w:pPr>
            <w:r>
              <w:rPr>
                <w:noProof/>
              </w:rPr>
              <w:t xml:space="preserve">Az eszköz jogi finanszírozási megállapodásokat kötött a végső </w:t>
            </w:r>
            <w:r>
              <w:rPr>
                <w:noProof/>
              </w:rPr>
              <w:t>kedvezményezettekkel a Helyreállítási és Rezilienciaépítési Eszközbe történő beruházás 100%-ának felhasználásához szükséges összegről (figyelembe véve az irányítási díjakat).</w:t>
            </w:r>
          </w:p>
          <w:p w14:paraId="3868FC58" w14:textId="70DB73BF" w:rsidR="003E1D81" w:rsidRDefault="00EB481C">
            <w:pPr>
              <w:pStyle w:val="P68B1DB1-Normal13"/>
              <w:rPr>
                <w:rFonts w:cs="Times New Roman"/>
                <w:noProof/>
              </w:rPr>
            </w:pPr>
            <w:r>
              <w:rPr>
                <w:noProof/>
              </w:rPr>
              <w:t>A SEMyS a Helyreállítási és Rezilienciaépítési Eszközről szóló rendelet VII. mell</w:t>
            </w:r>
            <w:r>
              <w:rPr>
                <w:noProof/>
              </w:rPr>
              <w:t>ékletében foglalt módszertan alkalmazásával jelentést készít, amelyben részletezi, hogy e finanszírozás legalább 100%-a hozzájárul a digitális átállással kapcsolatos célkitűzésekhez.</w:t>
            </w:r>
          </w:p>
        </w:tc>
      </w:tr>
      <w:tr w:rsidR="003E1D81" w14:paraId="7FA53FE6" w14:textId="77777777">
        <w:trPr>
          <w:trHeight w:val="300"/>
        </w:trPr>
        <w:tc>
          <w:tcPr>
            <w:tcW w:w="846" w:type="dxa"/>
            <w:shd w:val="clear" w:color="auto" w:fill="C6EFCE"/>
          </w:tcPr>
          <w:p w14:paraId="052B4093" w14:textId="43FB1F02" w:rsidR="003E1D81" w:rsidRDefault="00EB481C">
            <w:pPr>
              <w:pStyle w:val="P68B1DB1-Normal13"/>
              <w:jc w:val="center"/>
              <w:rPr>
                <w:rFonts w:cs="Times New Roman"/>
                <w:noProof/>
              </w:rPr>
            </w:pPr>
            <w:r>
              <w:rPr>
                <w:noProof/>
              </w:rPr>
              <w:t>L66</w:t>
            </w:r>
          </w:p>
        </w:tc>
        <w:tc>
          <w:tcPr>
            <w:tcW w:w="992" w:type="dxa"/>
            <w:shd w:val="clear" w:color="auto" w:fill="C6EFCE"/>
          </w:tcPr>
          <w:p w14:paraId="6758F82E" w14:textId="4102C823" w:rsidR="003E1D81" w:rsidRDefault="00EB481C">
            <w:pPr>
              <w:pStyle w:val="P68B1DB1-Normal13"/>
              <w:jc w:val="center"/>
              <w:rPr>
                <w:rFonts w:cs="Times New Roman"/>
                <w:noProof/>
              </w:rPr>
            </w:pPr>
            <w:r>
              <w:rPr>
                <w:noProof/>
              </w:rPr>
              <w:t>C15.I9</w:t>
            </w:r>
          </w:p>
        </w:tc>
        <w:tc>
          <w:tcPr>
            <w:tcW w:w="992" w:type="dxa"/>
            <w:shd w:val="clear" w:color="auto" w:fill="C6EFCE"/>
          </w:tcPr>
          <w:p w14:paraId="5B35E011" w14:textId="53EBF650" w:rsidR="003E1D81" w:rsidRDefault="00EB481C">
            <w:pPr>
              <w:pStyle w:val="P68B1DB1-Normal13"/>
              <w:jc w:val="center"/>
              <w:rPr>
                <w:rFonts w:cs="Times New Roman"/>
                <w:noProof/>
              </w:rPr>
            </w:pPr>
            <w:r>
              <w:rPr>
                <w:noProof/>
              </w:rPr>
              <w:t>M</w:t>
            </w:r>
          </w:p>
        </w:tc>
        <w:tc>
          <w:tcPr>
            <w:tcW w:w="1701" w:type="dxa"/>
            <w:shd w:val="clear" w:color="auto" w:fill="C6EFCE"/>
          </w:tcPr>
          <w:p w14:paraId="3CE1C078" w14:textId="5849E117" w:rsidR="003E1D81" w:rsidRDefault="00EB481C">
            <w:pPr>
              <w:pStyle w:val="P68B1DB1-Normal13"/>
              <w:rPr>
                <w:rFonts w:cs="Times New Roman"/>
                <w:noProof/>
              </w:rPr>
            </w:pPr>
            <w:r>
              <w:rPr>
                <w:noProof/>
              </w:rPr>
              <w:t xml:space="preserve">Csipfinanszírozási eszköz: A minisztérium befejezte a beruházást. </w:t>
            </w:r>
          </w:p>
        </w:tc>
        <w:tc>
          <w:tcPr>
            <w:tcW w:w="1276" w:type="dxa"/>
            <w:shd w:val="clear" w:color="auto" w:fill="C6EFCE"/>
          </w:tcPr>
          <w:p w14:paraId="3BA1A2B2" w14:textId="172197F1" w:rsidR="003E1D81" w:rsidRDefault="00EB481C">
            <w:pPr>
              <w:pStyle w:val="P68B1DB1-Normal13"/>
              <w:rPr>
                <w:rFonts w:cs="Times New Roman"/>
                <w:noProof/>
              </w:rPr>
            </w:pPr>
            <w:r>
              <w:rPr>
                <w:noProof/>
              </w:rPr>
              <w:t xml:space="preserve">Átadási igazolás </w:t>
            </w:r>
          </w:p>
        </w:tc>
        <w:tc>
          <w:tcPr>
            <w:tcW w:w="709" w:type="dxa"/>
            <w:shd w:val="clear" w:color="auto" w:fill="C6EFCE"/>
          </w:tcPr>
          <w:p w14:paraId="42EB5E1B" w14:textId="1E55410B" w:rsidR="003E1D81" w:rsidRDefault="003E1D81">
            <w:pPr>
              <w:jc w:val="center"/>
              <w:rPr>
                <w:rFonts w:ascii="Times New Roman" w:hAnsi="Times New Roman" w:cs="Times New Roman"/>
                <w:noProof/>
                <w:sz w:val="18"/>
              </w:rPr>
            </w:pPr>
          </w:p>
        </w:tc>
        <w:tc>
          <w:tcPr>
            <w:tcW w:w="709" w:type="dxa"/>
            <w:shd w:val="clear" w:color="auto" w:fill="C6EFCE"/>
          </w:tcPr>
          <w:p w14:paraId="5A860AAC" w14:textId="47ACFEA4" w:rsidR="003E1D81" w:rsidRDefault="003E1D81">
            <w:pPr>
              <w:rPr>
                <w:rFonts w:ascii="Times New Roman" w:hAnsi="Times New Roman" w:cs="Times New Roman"/>
                <w:noProof/>
                <w:sz w:val="18"/>
              </w:rPr>
            </w:pPr>
          </w:p>
        </w:tc>
        <w:tc>
          <w:tcPr>
            <w:tcW w:w="708" w:type="dxa"/>
            <w:shd w:val="clear" w:color="auto" w:fill="C6EFCE"/>
          </w:tcPr>
          <w:p w14:paraId="635452A8" w14:textId="52B1A388" w:rsidR="003E1D81" w:rsidRDefault="003E1D81">
            <w:pPr>
              <w:rPr>
                <w:rFonts w:ascii="Times New Roman" w:hAnsi="Times New Roman" w:cs="Times New Roman"/>
                <w:noProof/>
                <w:sz w:val="18"/>
              </w:rPr>
            </w:pPr>
          </w:p>
        </w:tc>
        <w:tc>
          <w:tcPr>
            <w:tcW w:w="426" w:type="dxa"/>
            <w:shd w:val="clear" w:color="auto" w:fill="C6EFCE"/>
          </w:tcPr>
          <w:p w14:paraId="34F3DFA2" w14:textId="0B501E19" w:rsidR="003E1D81" w:rsidRDefault="00EB481C">
            <w:pPr>
              <w:pStyle w:val="P68B1DB1-Normal13"/>
              <w:jc w:val="center"/>
              <w:rPr>
                <w:rFonts w:cs="Times New Roman"/>
                <w:noProof/>
              </w:rPr>
            </w:pPr>
            <w:r>
              <w:rPr>
                <w:noProof/>
              </w:rPr>
              <w:t>NEGYEDÉV</w:t>
            </w:r>
          </w:p>
        </w:tc>
        <w:tc>
          <w:tcPr>
            <w:tcW w:w="567" w:type="dxa"/>
            <w:shd w:val="clear" w:color="auto" w:fill="C6EFCE"/>
          </w:tcPr>
          <w:p w14:paraId="0AD71336" w14:textId="77777777" w:rsidR="003E1D81" w:rsidRDefault="00EB481C">
            <w:pPr>
              <w:pStyle w:val="P68B1DB1-Normal13"/>
              <w:jc w:val="center"/>
              <w:rPr>
                <w:rFonts w:cs="Times New Roman"/>
                <w:noProof/>
              </w:rPr>
            </w:pPr>
            <w:r>
              <w:rPr>
                <w:noProof/>
              </w:rPr>
              <w:t>2026</w:t>
            </w:r>
          </w:p>
        </w:tc>
        <w:tc>
          <w:tcPr>
            <w:tcW w:w="4958" w:type="dxa"/>
            <w:shd w:val="clear" w:color="auto" w:fill="C6EFCE"/>
          </w:tcPr>
          <w:p w14:paraId="7808AB6C" w14:textId="5CEBF4B5" w:rsidR="003E1D81" w:rsidRDefault="00EB481C">
            <w:pPr>
              <w:pStyle w:val="P68B1DB1-Normal13"/>
              <w:rPr>
                <w:rFonts w:cs="Times New Roman"/>
                <w:noProof/>
              </w:rPr>
            </w:pPr>
            <w:r>
              <w:rPr>
                <w:noProof/>
              </w:rPr>
              <w:t>Spanyolország 10 750 000 000 EUR-t csoportosít át a SEMyS-nek a Békekeret céljára.</w:t>
            </w:r>
          </w:p>
        </w:tc>
      </w:tr>
    </w:tbl>
    <w:p w14:paraId="01914987" w14:textId="77777777" w:rsidR="003E1D81" w:rsidRDefault="003E1D81">
      <w:pPr>
        <w:spacing w:before="120" w:after="120" w:line="240" w:lineRule="auto"/>
        <w:ind w:left="709"/>
        <w:jc w:val="both"/>
        <w:rPr>
          <w:rFonts w:ascii="Times New Roman" w:hAnsi="Times New Roman" w:cs="Times New Roman"/>
          <w:noProof/>
          <w:sz w:val="24"/>
        </w:rPr>
      </w:pPr>
    </w:p>
    <w:p w14:paraId="3DBE73F8" w14:textId="77777777" w:rsidR="003E1D81" w:rsidRDefault="003E1D81">
      <w:pPr>
        <w:spacing w:before="120" w:after="120" w:line="240" w:lineRule="auto"/>
        <w:ind w:left="709"/>
        <w:jc w:val="both"/>
        <w:rPr>
          <w:rFonts w:ascii="Times New Roman" w:hAnsi="Times New Roman" w:cs="Times New Roman"/>
          <w:noProof/>
          <w:sz w:val="24"/>
        </w:rPr>
        <w:sectPr w:rsidR="003E1D81" w:rsidSect="00EB7CC8">
          <w:headerReference w:type="even" r:id="rId330"/>
          <w:headerReference w:type="default" r:id="rId331"/>
          <w:footerReference w:type="even" r:id="rId332"/>
          <w:footerReference w:type="default" r:id="rId333"/>
          <w:headerReference w:type="first" r:id="rId334"/>
          <w:footerReference w:type="first" r:id="rId335"/>
          <w:pgSz w:w="16839" w:h="11907" w:orient="landscape"/>
          <w:pgMar w:top="1417" w:right="1134" w:bottom="1417" w:left="1134" w:header="709" w:footer="709" w:gutter="0"/>
          <w:cols w:space="720"/>
          <w:docGrid w:linePitch="360"/>
        </w:sectPr>
      </w:pPr>
    </w:p>
    <w:p w14:paraId="4E73C637" w14:textId="77777777" w:rsidR="003E1D81" w:rsidRDefault="00EB481C">
      <w:pPr>
        <w:pStyle w:val="P68B1DB1-Heading12"/>
        <w:rPr>
          <w:rFonts w:cs="Times New Roman"/>
          <w:noProof/>
        </w:rPr>
      </w:pPr>
      <w:r>
        <w:rPr>
          <w:noProof/>
        </w:rPr>
        <w:t xml:space="preserve">P. </w:t>
      </w:r>
      <w:r>
        <w:rPr>
          <w:noProof/>
        </w:rPr>
        <w:t>ÖSSZETEVŐ: Mesterséges intelligencia</w:t>
      </w:r>
    </w:p>
    <w:p w14:paraId="4A87F81B" w14:textId="77777777" w:rsidR="003E1D81" w:rsidRDefault="00EB481C">
      <w:pPr>
        <w:pStyle w:val="P68B1DB1-Normal4"/>
        <w:spacing w:before="120" w:after="120" w:line="240" w:lineRule="auto"/>
        <w:jc w:val="both"/>
        <w:rPr>
          <w:rFonts w:cs="Times New Roman"/>
          <w:noProof/>
        </w:rPr>
      </w:pPr>
      <w:r>
        <w:rPr>
          <w:noProof/>
        </w:rPr>
        <w:t xml:space="preserve">A mesterséges intelligencia technológiai, gazdasági és társadalmi szempontból jelentős átalakulási potenciállal rendelkezik, tekintettel az ágazatokon átívelő penetrációjára, nagy hatására, gyors növekedésére, valamint </w:t>
      </w:r>
      <w:r>
        <w:rPr>
          <w:noProof/>
        </w:rPr>
        <w:t xml:space="preserve">a termelékenység és a versenyképesség javításához való hozzájárulására. </w:t>
      </w:r>
    </w:p>
    <w:p w14:paraId="5D4612A0" w14:textId="77777777" w:rsidR="003E1D81" w:rsidRDefault="00EB481C">
      <w:pPr>
        <w:pStyle w:val="P68B1DB1-Normal4"/>
        <w:spacing w:before="120" w:after="120" w:line="240" w:lineRule="auto"/>
        <w:jc w:val="both"/>
        <w:rPr>
          <w:rFonts w:cs="Times New Roman"/>
          <w:noProof/>
        </w:rPr>
      </w:pPr>
      <w:r>
        <w:rPr>
          <w:noProof/>
        </w:rPr>
        <w:t>A spanyol helyreállítási és rezilienciaépítési terv ezen komponense által kezelt fő kihívások a következők: i. a mesterséges intelligencia korlátozott használata a vállalatoknál, külö</w:t>
      </w:r>
      <w:r>
        <w:rPr>
          <w:noProof/>
        </w:rPr>
        <w:t>nösen a kkv-kban, ii. széles körben hozzáférhető adattárak létrehozása, valamint iii. a mesterséges intelligenciával kapcsolatos innovációba történő állami és magánberuházások előmozdítása. A komponens a mesterséges intelligenciára vonatkozó nemzeti straté</w:t>
      </w:r>
      <w:r>
        <w:rPr>
          <w:noProof/>
        </w:rPr>
        <w:t>gia (ENIA) köré szerveződik, amely a spanyol kormány digitális menetrendjének (</w:t>
      </w:r>
      <w:r>
        <w:rPr>
          <w:i/>
          <w:noProof/>
        </w:rPr>
        <w:t>España Digital 2025</w:t>
      </w:r>
      <w:r>
        <w:rPr>
          <w:noProof/>
        </w:rPr>
        <w:t>) egyik fő terve. Ennek a komponensnek hozzá kell járulnia a társadalmi kihívások kezeléséhez is, különösen a nemek közötti szakadék csökkentéséhez (a nőket c</w:t>
      </w:r>
      <w:r>
        <w:rPr>
          <w:noProof/>
        </w:rPr>
        <w:t xml:space="preserve">élzó intézkedések révén), a digitális szakadék csökkentéséhez, az ökológiai átálláshoz és a területi kohézióhoz. </w:t>
      </w:r>
    </w:p>
    <w:p w14:paraId="644576C3" w14:textId="77777777" w:rsidR="003E1D81" w:rsidRDefault="00EB481C">
      <w:pPr>
        <w:pStyle w:val="P68B1DB1-Normal4"/>
        <w:spacing w:before="120" w:after="120" w:line="240" w:lineRule="auto"/>
        <w:jc w:val="both"/>
        <w:rPr>
          <w:rFonts w:cs="Times New Roman"/>
          <w:noProof/>
        </w:rPr>
      </w:pPr>
      <w:r>
        <w:rPr>
          <w:noProof/>
        </w:rPr>
        <w:t xml:space="preserve">Ebből a szempontból e komponens célja: </w:t>
      </w:r>
    </w:p>
    <w:p w14:paraId="57EA1398" w14:textId="77777777" w:rsidR="003E1D81" w:rsidRDefault="00EB481C">
      <w:pPr>
        <w:pStyle w:val="P68B1DB1-Normal4"/>
        <w:numPr>
          <w:ilvl w:val="0"/>
          <w:numId w:val="127"/>
        </w:numPr>
        <w:spacing w:before="120" w:after="120" w:line="240" w:lineRule="auto"/>
        <w:ind w:left="426" w:hanging="426"/>
        <w:jc w:val="both"/>
        <w:rPr>
          <w:rFonts w:cs="Times New Roman"/>
          <w:noProof/>
        </w:rPr>
      </w:pPr>
      <w:r>
        <w:rPr>
          <w:noProof/>
        </w:rPr>
        <w:t>a tudományos kiválóság és az innováció terén interdiszciplináris módon vezető országként kell Spanyolo</w:t>
      </w:r>
      <w:r>
        <w:rPr>
          <w:noProof/>
        </w:rPr>
        <w:t>rszágot képviselni a mesterséges intelligencia terén;</w:t>
      </w:r>
    </w:p>
    <w:p w14:paraId="49FE989E" w14:textId="77777777" w:rsidR="003E1D81" w:rsidRDefault="00EB481C">
      <w:pPr>
        <w:pStyle w:val="P68B1DB1-Normal4"/>
        <w:numPr>
          <w:ilvl w:val="0"/>
          <w:numId w:val="127"/>
        </w:numPr>
        <w:spacing w:before="120" w:after="120" w:line="240" w:lineRule="auto"/>
        <w:ind w:left="426" w:hanging="426"/>
        <w:jc w:val="both"/>
        <w:rPr>
          <w:rFonts w:cs="Times New Roman"/>
          <w:noProof/>
        </w:rPr>
      </w:pPr>
      <w:r>
        <w:rPr>
          <w:noProof/>
        </w:rPr>
        <w:t>globális vezető szerepet töltsön be a spanyol nyelv mesterséges intelligenciában való vetítésére és használatára szolgáló eszközök, technológiák és alkalmazások fejlesztésében;</w:t>
      </w:r>
    </w:p>
    <w:p w14:paraId="4731BC8A" w14:textId="77777777" w:rsidR="003E1D81" w:rsidRDefault="00EB481C">
      <w:pPr>
        <w:pStyle w:val="P68B1DB1-Normal4"/>
        <w:numPr>
          <w:ilvl w:val="0"/>
          <w:numId w:val="127"/>
        </w:numPr>
        <w:spacing w:before="120" w:after="120" w:line="240" w:lineRule="auto"/>
        <w:ind w:left="426" w:hanging="426"/>
        <w:jc w:val="both"/>
        <w:rPr>
          <w:rFonts w:cs="Times New Roman"/>
          <w:noProof/>
        </w:rPr>
      </w:pPr>
      <w:r>
        <w:rPr>
          <w:noProof/>
        </w:rPr>
        <w:t>a szakképzettséget igényl</w:t>
      </w:r>
      <w:r>
        <w:rPr>
          <w:noProof/>
        </w:rPr>
        <w:t>ő munkahelyek létrehozásának előmozdítása, a képzés és az oktatás fellendítése, a spanyol tehetségek ösztönzése és a globális tehetségek vonzása;</w:t>
      </w:r>
    </w:p>
    <w:p w14:paraId="5A1ADD7D" w14:textId="77777777" w:rsidR="003E1D81" w:rsidRDefault="00EB481C">
      <w:pPr>
        <w:pStyle w:val="P68B1DB1-Normal4"/>
        <w:numPr>
          <w:ilvl w:val="0"/>
          <w:numId w:val="127"/>
        </w:numPr>
        <w:spacing w:before="120" w:after="120" w:line="240" w:lineRule="auto"/>
        <w:ind w:left="426" w:hanging="426"/>
        <w:jc w:val="both"/>
        <w:rPr>
          <w:rFonts w:cs="Times New Roman"/>
          <w:noProof/>
        </w:rPr>
      </w:pPr>
      <w:r>
        <w:rPr>
          <w:noProof/>
        </w:rPr>
        <w:t>a mesterséges intelligenciát a spanyol magánszektor termelékenységét javító tényezőként, a közigazgatás hatéko</w:t>
      </w:r>
      <w:r>
        <w:rPr>
          <w:noProof/>
        </w:rPr>
        <w:t>nyságában, valamint a fenntartható és inkluzív gazdasági növekedés motorjaként építsék be;</w:t>
      </w:r>
    </w:p>
    <w:p w14:paraId="53AFD8B4" w14:textId="77777777" w:rsidR="003E1D81" w:rsidRDefault="00EB481C">
      <w:pPr>
        <w:pStyle w:val="P68B1DB1-Normal4"/>
        <w:numPr>
          <w:ilvl w:val="0"/>
          <w:numId w:val="127"/>
        </w:numPr>
        <w:spacing w:before="120" w:after="120" w:line="240" w:lineRule="auto"/>
        <w:ind w:left="426" w:hanging="426"/>
        <w:jc w:val="both"/>
        <w:rPr>
          <w:rFonts w:cs="Times New Roman"/>
          <w:noProof/>
        </w:rPr>
      </w:pPr>
      <w:r>
        <w:rPr>
          <w:noProof/>
        </w:rPr>
        <w:t>bizalmi környezet kialakítása a mesterséges intelligenciával kapcsolatban, mind a technológiai fejlődés, mind a szabályozás, mind a társadalmi hatás tekintetében;</w:t>
      </w:r>
    </w:p>
    <w:p w14:paraId="1C19587F" w14:textId="77777777" w:rsidR="003E1D81" w:rsidRDefault="00EB481C">
      <w:pPr>
        <w:pStyle w:val="P68B1DB1-Normal4"/>
        <w:numPr>
          <w:ilvl w:val="0"/>
          <w:numId w:val="127"/>
        </w:numPr>
        <w:spacing w:before="120" w:after="120" w:line="240" w:lineRule="auto"/>
        <w:ind w:left="426" w:hanging="426"/>
        <w:jc w:val="both"/>
        <w:rPr>
          <w:rFonts w:cs="Times New Roman"/>
          <w:noProof/>
        </w:rPr>
      </w:pPr>
      <w:r>
        <w:rPr>
          <w:noProof/>
        </w:rPr>
        <w:t xml:space="preserve">a </w:t>
      </w:r>
      <w:r>
        <w:rPr>
          <w:noProof/>
        </w:rPr>
        <w:t>technológiai humanizmusról szóló globális vita ösztönzése a polgárok egyéni és kollektív jogait garantáló etikai keret kialakítását célzó fórumok és tájékoztatási tevékenységek létrehozásával és az azokban való részvétellel;</w:t>
      </w:r>
    </w:p>
    <w:p w14:paraId="1364B138" w14:textId="77777777" w:rsidR="003E1D81" w:rsidRDefault="00EB481C">
      <w:pPr>
        <w:pStyle w:val="P68B1DB1-Normal4"/>
        <w:numPr>
          <w:ilvl w:val="0"/>
          <w:numId w:val="127"/>
        </w:numPr>
        <w:spacing w:before="120" w:after="120" w:line="240" w:lineRule="auto"/>
        <w:ind w:left="426" w:hanging="426"/>
        <w:jc w:val="both"/>
        <w:rPr>
          <w:rFonts w:cs="Times New Roman"/>
          <w:noProof/>
        </w:rPr>
      </w:pPr>
      <w:r>
        <w:rPr>
          <w:noProof/>
        </w:rPr>
        <w:t>a mesterséges intelligencia min</w:t>
      </w:r>
      <w:r>
        <w:rPr>
          <w:noProof/>
        </w:rPr>
        <w:t>t horizontális eszköz megerősítése a társadalom előtt álló nagy kihívások kezelése és különösen a nemek közötti szakadék és a digitális szakadék csökkentése, valamint az ökológiai átállás és a területi kohézió támogatása érdekében.</w:t>
      </w:r>
    </w:p>
    <w:p w14:paraId="18EF63D9" w14:textId="77777777" w:rsidR="003E1D81" w:rsidRDefault="00EB481C">
      <w:pPr>
        <w:pStyle w:val="P68B1DB1-Normal4"/>
        <w:spacing w:before="120" w:after="120" w:line="240" w:lineRule="auto"/>
        <w:jc w:val="both"/>
        <w:rPr>
          <w:rFonts w:cs="Times New Roman"/>
          <w:noProof/>
        </w:rPr>
      </w:pPr>
      <w:r>
        <w:rPr>
          <w:noProof/>
        </w:rPr>
        <w:t>Ez a komponens az innová</w:t>
      </w:r>
      <w:r>
        <w:rPr>
          <w:noProof/>
        </w:rPr>
        <w:t>cióba történő beruházások előmozdításáról (2019. évi 3. országspecifikus ajánlás), a digitális tanuláshoz való hozzáférés javításáról (2020. évi 2. országspecifikus ajánlás), a köz- és magánberuházások előmozdításáról és a digitális átállás előmozdításáról</w:t>
      </w:r>
      <w:r>
        <w:rPr>
          <w:noProof/>
        </w:rPr>
        <w:t xml:space="preserve"> szóló országspecifikus ajánlásokkal foglalkozik (2020. évi 3. országspecifikus ajánlás).</w:t>
      </w:r>
    </w:p>
    <w:p w14:paraId="32D63FA5" w14:textId="77777777" w:rsidR="003E1D81" w:rsidRDefault="00EB481C">
      <w:pPr>
        <w:pStyle w:val="P68B1DB1-Normal4"/>
        <w:spacing w:before="120" w:after="120" w:line="240" w:lineRule="auto"/>
        <w:jc w:val="both"/>
        <w:rPr>
          <w:rFonts w:cs="Times New Roman"/>
          <w:noProof/>
        </w:rPr>
      </w:pPr>
      <w:r>
        <w:rPr>
          <w:noProof/>
        </w:rPr>
        <w:t>A jelentős károkozás elkerülését célzó elvről szóló technikai iránymutatásnak (2021/C58/01) megfelelően a helyreállítási és rezilienciaépítési tervben meghatározott i</w:t>
      </w:r>
      <w:r>
        <w:rPr>
          <w:noProof/>
        </w:rPr>
        <w:t>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w:t>
      </w:r>
      <w:r>
        <w:rPr>
          <w:noProof/>
        </w:rPr>
        <w:t xml:space="preserve">élkitűzéseket. </w:t>
      </w:r>
    </w:p>
    <w:p w14:paraId="60545F2D" w14:textId="77777777" w:rsidR="003E1D81" w:rsidRDefault="00EB481C">
      <w:pPr>
        <w:pStyle w:val="P68B1DB1-Heading227"/>
        <w:numPr>
          <w:ilvl w:val="0"/>
          <w:numId w:val="0"/>
        </w:numPr>
        <w:ind w:left="850"/>
        <w:rPr>
          <w:rFonts w:cs="Times New Roman"/>
          <w:b w:val="0"/>
          <w:noProof/>
        </w:rPr>
      </w:pPr>
      <w:r>
        <w:rPr>
          <w:noProof/>
        </w:rPr>
        <w:t xml:space="preserve">P.1. </w:t>
      </w:r>
      <w:r>
        <w:rPr>
          <w:noProof/>
        </w:rPr>
        <w:tab/>
        <w:t>Vissza nem térítendő pénzügyi támogatás – a reformok és beruházások ismertetése</w:t>
      </w:r>
    </w:p>
    <w:p w14:paraId="1FD43111" w14:textId="77777777" w:rsidR="003E1D81" w:rsidRDefault="00EB481C">
      <w:pPr>
        <w:pStyle w:val="P68B1DB1-Heading337"/>
        <w:numPr>
          <w:ilvl w:val="0"/>
          <w:numId w:val="0"/>
        </w:numPr>
        <w:ind w:left="850" w:hanging="850"/>
        <w:rPr>
          <w:rFonts w:cs="Times New Roman"/>
          <w:noProof/>
        </w:rPr>
      </w:pPr>
      <w:r>
        <w:rPr>
          <w:noProof/>
        </w:rPr>
        <w:t>Reform (C16.R1) – Nemzeti MI-stratégia</w:t>
      </w:r>
    </w:p>
    <w:p w14:paraId="2A6B2C59" w14:textId="77777777" w:rsidR="003E1D81" w:rsidRDefault="00EB481C">
      <w:pPr>
        <w:pStyle w:val="P68B1DB1-Normal4"/>
        <w:keepNext/>
        <w:spacing w:before="120" w:after="120" w:line="240" w:lineRule="auto"/>
        <w:jc w:val="both"/>
        <w:rPr>
          <w:rFonts w:cs="Times New Roman"/>
          <w:noProof/>
        </w:rPr>
      </w:pPr>
      <w:r>
        <w:rPr>
          <w:noProof/>
        </w:rPr>
        <w:t>Ezen átfogó intézkedés célja egy olyan megbízható, átlátható és inkluzív nemzeti MI-stratégia végrehajtásához szükséges keret létrehozása, amely biztosítja az alapvető elveknek és értékeknek való megfelelést, és figyelembe veszi a polgárok kollektív törekv</w:t>
      </w:r>
      <w:r>
        <w:rPr>
          <w:noProof/>
        </w:rPr>
        <w:t>éseit. E célból az intézkedésnek három jogalkotási reformot kell tartalmaznia a mesterséges intelligenciára vonatkozó szabályozási és etikai keret létrehozása érdekében, valamint kilenc olyan beruházási projektet, amelyek a mesterséges intelligencián alapu</w:t>
      </w:r>
      <w:r>
        <w:rPr>
          <w:noProof/>
        </w:rPr>
        <w:t xml:space="preserve">ló technológiák – például a készségekkel, tehetségekkel és infrastruktúrákkal kapcsolatos projektek – fejlesztését és bevezetését támogatják a spanyol gazdaságban és társadalomban. </w:t>
      </w:r>
    </w:p>
    <w:p w14:paraId="6C911DA2" w14:textId="77777777" w:rsidR="003E1D81" w:rsidRDefault="00EB481C">
      <w:pPr>
        <w:pStyle w:val="P68B1DB1-Normal4"/>
        <w:spacing w:before="120" w:after="120" w:line="240" w:lineRule="auto"/>
        <w:jc w:val="both"/>
        <w:rPr>
          <w:rFonts w:cs="Times New Roman"/>
          <w:noProof/>
        </w:rPr>
      </w:pPr>
      <w:r>
        <w:rPr>
          <w:noProof/>
        </w:rPr>
        <w:t>Ezek az intézkedések öt szakpolitikai eszköz köré csoportosulnak:</w:t>
      </w:r>
    </w:p>
    <w:p w14:paraId="162ABEC0" w14:textId="77777777" w:rsidR="003E1D81" w:rsidRDefault="00EB481C">
      <w:pPr>
        <w:pStyle w:val="P68B1DB1-ListParagraph7"/>
        <w:numPr>
          <w:ilvl w:val="0"/>
          <w:numId w:val="550"/>
        </w:numPr>
        <w:spacing w:before="120" w:after="120" w:line="240" w:lineRule="auto"/>
        <w:jc w:val="both"/>
        <w:rPr>
          <w:rFonts w:cs="Times New Roman"/>
          <w:noProof/>
        </w:rPr>
      </w:pPr>
      <w:r>
        <w:rPr>
          <w:noProof/>
        </w:rPr>
        <w:t>Szabályo</w:t>
      </w:r>
      <w:r>
        <w:rPr>
          <w:noProof/>
        </w:rPr>
        <w:t xml:space="preserve">zási és etikai keret (jogi aktusok): </w:t>
      </w:r>
    </w:p>
    <w:p w14:paraId="00E478A3" w14:textId="77777777" w:rsidR="003E1D81" w:rsidRDefault="00EB481C">
      <w:pPr>
        <w:pStyle w:val="P68B1DB1-Normal4"/>
        <w:numPr>
          <w:ilvl w:val="0"/>
          <w:numId w:val="124"/>
        </w:numPr>
        <w:spacing w:before="120" w:after="120" w:line="240" w:lineRule="auto"/>
        <w:ind w:left="851" w:hanging="425"/>
        <w:contextualSpacing/>
        <w:jc w:val="both"/>
        <w:rPr>
          <w:rFonts w:cs="Times New Roman"/>
          <w:noProof/>
        </w:rPr>
      </w:pPr>
      <w:r>
        <w:rPr>
          <w:noProof/>
        </w:rPr>
        <w:t>a nemzeti MI-stratégia (ENIA): a mesterséges intelligenciával foglalkozó tanácsadó testület létrehozásával a spanyol gazdaságban és társadalomban a mesterséges intelligencián alapuló technológiák bevezetésére és kiterj</w:t>
      </w:r>
      <w:r>
        <w:rPr>
          <w:noProof/>
        </w:rPr>
        <w:t>esztésére irányuló nemzeti cselekvési és reformterv;</w:t>
      </w:r>
    </w:p>
    <w:p w14:paraId="57F4B11F" w14:textId="77777777" w:rsidR="003E1D81" w:rsidRDefault="00EB481C">
      <w:pPr>
        <w:pStyle w:val="P68B1DB1-Normal4"/>
        <w:numPr>
          <w:ilvl w:val="0"/>
          <w:numId w:val="124"/>
        </w:numPr>
        <w:spacing w:before="120" w:after="120" w:line="240" w:lineRule="auto"/>
        <w:ind w:left="851" w:hanging="425"/>
        <w:contextualSpacing/>
        <w:jc w:val="both"/>
        <w:rPr>
          <w:rFonts w:cs="Times New Roman"/>
          <w:noProof/>
        </w:rPr>
      </w:pPr>
      <w:r>
        <w:rPr>
          <w:noProof/>
        </w:rPr>
        <w:t>szabályozói tesztkörnyezetek: a szükséges jogalkotási aktusok kidolgozása a mesterséges intelligencia alkalmazásához szükséges szabályozói tesztkörnyezetek lehetővé tételéhez. Biztonságos környezeteket v</w:t>
      </w:r>
      <w:r>
        <w:rPr>
          <w:noProof/>
        </w:rPr>
        <w:t>agy tesztkörnyezeteket kell használni az adatokon alapuló új folyamatok és szolgáltatások bevezetéséhez, mind a közszférában, mind a magánszférában. A kormányzati szervek, a mesterséges intelligencia felhasználói és az adattárak létrehozói – lehetőség szer</w:t>
      </w:r>
      <w:r>
        <w:rPr>
          <w:noProof/>
        </w:rPr>
        <w:t>int a digitális innovációs központok hálózatának részeként – kihasználhatják a biztonságos környezeteket és tesztkörnyezeteket az új termékek és alkalmazások bevezetése és szabályozása érdekében;</w:t>
      </w:r>
    </w:p>
    <w:p w14:paraId="613BDD09" w14:textId="77777777" w:rsidR="003E1D81" w:rsidRDefault="00EB481C">
      <w:pPr>
        <w:pStyle w:val="P68B1DB1-Normal4"/>
        <w:numPr>
          <w:ilvl w:val="0"/>
          <w:numId w:val="124"/>
        </w:numPr>
        <w:spacing w:before="120" w:after="120" w:line="240" w:lineRule="auto"/>
        <w:ind w:left="851" w:hanging="425"/>
        <w:contextualSpacing/>
        <w:jc w:val="both"/>
        <w:rPr>
          <w:rFonts w:cs="Times New Roman"/>
          <w:noProof/>
        </w:rPr>
      </w:pPr>
      <w:r>
        <w:rPr>
          <w:noProof/>
        </w:rPr>
        <w:t>Mesterségesintelligencia-megfigyelő központ és bizalmi tanús</w:t>
      </w:r>
      <w:r>
        <w:rPr>
          <w:noProof/>
        </w:rPr>
        <w:t>ítás: beleértve i. a mesterséges intelligencia kiszolgáltatott csoportjaira vonatkozó védelmi terv kidolgozását, beleértve a munkaügyi és szociális jogokat és a nők szükségleteit, ii. a mesterséges intelligenciával kapcsolatos tudatosság és bizalom növelés</w:t>
      </w:r>
      <w:r>
        <w:rPr>
          <w:noProof/>
        </w:rPr>
        <w:t>ét célzó terv, iii. a mesterséges intelligenciát tartalmazó algoritmusok etikai és szabályozási hatásával foglalkozó megfigyelőközpontok, iv. az MI-termékek és -szolgáltatások megbízható MI-tanúsítása és zárszerkezete, valamint v. a Digitális Jogok Chartáj</w:t>
      </w:r>
      <w:r>
        <w:rPr>
          <w:noProof/>
        </w:rPr>
        <w:t>ának kidolgozása és előmozdítása.</w:t>
      </w:r>
    </w:p>
    <w:p w14:paraId="509B815A" w14:textId="77777777" w:rsidR="003E1D81" w:rsidRDefault="00EB481C">
      <w:pPr>
        <w:pStyle w:val="P68B1DB1-Normal4"/>
        <w:numPr>
          <w:ilvl w:val="0"/>
          <w:numId w:val="124"/>
        </w:numPr>
        <w:spacing w:before="120" w:after="120" w:line="240" w:lineRule="auto"/>
        <w:ind w:left="851" w:hanging="425"/>
        <w:contextualSpacing/>
        <w:jc w:val="both"/>
        <w:rPr>
          <w:rFonts w:cs="Times New Roman"/>
          <w:noProof/>
        </w:rPr>
      </w:pPr>
      <w:r>
        <w:rPr>
          <w:noProof/>
        </w:rPr>
        <w:t>Egy spanyol ügynökség (AESIA) létrehozása a mesterségesintelligencia-rendszerek megfigyelésére, amelyet a köz- és a magánszektor egyaránt alkalmaz. Az ügynökség különösen figyelemmel kíséri és előmozdítja a mesterséges int</w:t>
      </w:r>
      <w:r>
        <w:rPr>
          <w:noProof/>
        </w:rPr>
        <w:t>elligenciával kapcsolatos jogok garantálását, értelmezi a szabályozói tesztkörnyezetek kidolgozásának eredményeit, és értékeléseket végez a mesterséges intelligencia fejlesztéséről a mesterséges intelligenciára vonatkozó szabályozás és útmutatók továbbfejl</w:t>
      </w:r>
      <w:r>
        <w:rPr>
          <w:noProof/>
        </w:rPr>
        <w:t xml:space="preserve">esztése érdekében. </w:t>
      </w:r>
    </w:p>
    <w:p w14:paraId="78BE46CA" w14:textId="77777777" w:rsidR="003E1D81" w:rsidRDefault="00EB481C">
      <w:pPr>
        <w:pStyle w:val="P68B1DB1-ListParagraph7"/>
        <w:numPr>
          <w:ilvl w:val="0"/>
          <w:numId w:val="550"/>
        </w:numPr>
        <w:spacing w:before="120" w:after="120" w:line="240" w:lineRule="auto"/>
        <w:jc w:val="both"/>
        <w:rPr>
          <w:rFonts w:cs="Times New Roman"/>
          <w:noProof/>
        </w:rPr>
      </w:pPr>
      <w:r>
        <w:rPr>
          <w:noProof/>
        </w:rPr>
        <w:t xml:space="preserve">A kutatás, fejlesztés és innováció ösztönzése a mesterséges intelligencia területén (projektek): </w:t>
      </w:r>
    </w:p>
    <w:p w14:paraId="36AE9F35" w14:textId="77777777" w:rsidR="003E1D81" w:rsidRDefault="00EB481C">
      <w:pPr>
        <w:pStyle w:val="P68B1DB1-Normal4"/>
        <w:numPr>
          <w:ilvl w:val="0"/>
          <w:numId w:val="124"/>
        </w:numPr>
        <w:spacing w:before="120" w:after="120" w:line="240" w:lineRule="auto"/>
        <w:ind w:left="851" w:hanging="425"/>
        <w:contextualSpacing/>
        <w:jc w:val="both"/>
        <w:rPr>
          <w:rFonts w:cs="Times New Roman"/>
          <w:noProof/>
        </w:rPr>
      </w:pPr>
      <w:r>
        <w:rPr>
          <w:noProof/>
        </w:rPr>
        <w:t>K+F+I küldetések: ipari kutatási vagy kísérleti fejlesztési projektek finanszírozása a mesterséges intelligencia területén az ENIA-ban eml</w:t>
      </w:r>
      <w:r>
        <w:rPr>
          <w:noProof/>
        </w:rPr>
        <w:t>ített főbb társadalmi kihívások vagy országos küldetések (azaz a nemek közötti szakadék, az ökológiai átállás, a területi struktúra és a digitális szakadék) kezelése érdekében a nagy jelentőséggel bíró és nagy kapacitású ágazatokban (pl. energia, mobilitás</w:t>
      </w:r>
      <w:r>
        <w:rPr>
          <w:noProof/>
        </w:rPr>
        <w:t>, biomedicina, éghajlat, agrár-élelmiszeripar, egészségügy, idegenforgalom és vendéglátás);</w:t>
      </w:r>
    </w:p>
    <w:p w14:paraId="641E766A" w14:textId="77777777" w:rsidR="003E1D81" w:rsidRDefault="00EB481C">
      <w:pPr>
        <w:pStyle w:val="P68B1DB1-Normal4"/>
        <w:numPr>
          <w:ilvl w:val="0"/>
          <w:numId w:val="124"/>
        </w:numPr>
        <w:spacing w:before="120" w:after="120" w:line="240" w:lineRule="auto"/>
        <w:ind w:left="851" w:hanging="425"/>
        <w:contextualSpacing/>
        <w:jc w:val="both"/>
        <w:rPr>
          <w:rFonts w:cs="Times New Roman"/>
          <w:noProof/>
        </w:rPr>
      </w:pPr>
      <w:r>
        <w:rPr>
          <w:noProof/>
        </w:rPr>
        <w:t>multidiszciplináris MI-intézet: a mesterséges intelligenciát más tudományokkal együtt integráló multidiszciplináris kutatóközpont létrehozása, különös tekintettel a</w:t>
      </w:r>
      <w:r>
        <w:rPr>
          <w:noProof/>
        </w:rPr>
        <w:t>z idegtechnológiákra;</w:t>
      </w:r>
    </w:p>
    <w:p w14:paraId="7FB1A941" w14:textId="77777777" w:rsidR="003E1D81" w:rsidRDefault="00EB481C">
      <w:pPr>
        <w:pStyle w:val="P68B1DB1-Normal4"/>
        <w:numPr>
          <w:ilvl w:val="0"/>
          <w:numId w:val="124"/>
        </w:numPr>
        <w:spacing w:before="120" w:after="120" w:line="240" w:lineRule="auto"/>
        <w:ind w:left="851" w:hanging="425"/>
        <w:contextualSpacing/>
        <w:jc w:val="both"/>
        <w:rPr>
          <w:rFonts w:cs="Times New Roman"/>
          <w:noProof/>
        </w:rPr>
      </w:pPr>
      <w:r>
        <w:rPr>
          <w:noProof/>
        </w:rPr>
        <w:t xml:space="preserve">kiválósági hálózat a mesterséges intelligencia területén: a mesterséges intelligenciával kapcsolatos spanyol kiválósági hálózat létrehozása interdiszciplináris képzéssel és magas szintű szakosodási programokkal, valamint a tehetségek </w:t>
      </w:r>
      <w:r>
        <w:rPr>
          <w:noProof/>
        </w:rPr>
        <w:t>toborzására és megtartására irányuló mechanizmusokkal, amelyek integrált módon működnek a kutatás nemzeti szintű koordinálásán.</w:t>
      </w:r>
    </w:p>
    <w:p w14:paraId="5DB72044" w14:textId="77777777" w:rsidR="003E1D81" w:rsidRDefault="00EB481C">
      <w:pPr>
        <w:pStyle w:val="P68B1DB1-ListParagraph7"/>
        <w:numPr>
          <w:ilvl w:val="0"/>
          <w:numId w:val="550"/>
        </w:numPr>
        <w:spacing w:before="120" w:after="120" w:line="240" w:lineRule="auto"/>
        <w:jc w:val="both"/>
        <w:rPr>
          <w:rFonts w:cs="Times New Roman"/>
          <w:noProof/>
        </w:rPr>
      </w:pPr>
      <w:r>
        <w:rPr>
          <w:noProof/>
        </w:rPr>
        <w:t xml:space="preserve">Tehetségek vonzása (projektek): </w:t>
      </w:r>
    </w:p>
    <w:p w14:paraId="555DC212" w14:textId="77777777" w:rsidR="003E1D81" w:rsidRDefault="00EB481C">
      <w:pPr>
        <w:pStyle w:val="P68B1DB1-Normal4"/>
        <w:numPr>
          <w:ilvl w:val="0"/>
          <w:numId w:val="124"/>
        </w:numPr>
        <w:spacing w:before="120" w:after="120" w:line="240" w:lineRule="auto"/>
        <w:ind w:left="851" w:hanging="426"/>
        <w:contextualSpacing/>
        <w:jc w:val="both"/>
        <w:rPr>
          <w:rFonts w:cs="Times New Roman"/>
          <w:noProof/>
        </w:rPr>
      </w:pPr>
      <w:r>
        <w:rPr>
          <w:noProof/>
        </w:rPr>
        <w:t>Spanyolország Tehetségközpontja: információs csomópont létrehozása a tehetségek vonzása és megt</w:t>
      </w:r>
      <w:r>
        <w:rPr>
          <w:noProof/>
        </w:rPr>
        <w:t>artása érdekében a mesterséges intelligencia területén, a spanyolországi tehetségközpont, amely várhatóan kapcsolattartó pontként fog szolgálni a tehetségek toborzásához és fejlesztéséhez, valamint a külföldi beruházásokhoz, különös tekintettel a nők szüks</w:t>
      </w:r>
      <w:r>
        <w:rPr>
          <w:noProof/>
        </w:rPr>
        <w:t>égleteire és a társadalmi hatású beruházásokra;</w:t>
      </w:r>
    </w:p>
    <w:p w14:paraId="08EAFF90" w14:textId="77777777" w:rsidR="003E1D81" w:rsidRDefault="00EB481C">
      <w:pPr>
        <w:pStyle w:val="P68B1DB1-Normal4"/>
        <w:numPr>
          <w:ilvl w:val="0"/>
          <w:numId w:val="124"/>
        </w:numPr>
        <w:spacing w:before="120" w:after="120" w:line="240" w:lineRule="auto"/>
        <w:ind w:left="851" w:hanging="426"/>
        <w:contextualSpacing/>
        <w:jc w:val="both"/>
        <w:rPr>
          <w:rFonts w:cs="Times New Roman"/>
          <w:noProof/>
        </w:rPr>
      </w:pPr>
      <w:r>
        <w:rPr>
          <w:noProof/>
        </w:rPr>
        <w:t>Tudományos tanszékek: a 10–15 ideiglenes tudományos tanszék létrehozásának finanszírozása 2021. január 1. és 2023. december 31. között, olyan fő témákra összpontosítva, mint a mesterséges intelligencia demokr</w:t>
      </w:r>
      <w:r>
        <w:rPr>
          <w:noProof/>
        </w:rPr>
        <w:t>áciára gyakorolt hatása, a kialakulóban lévő MI-trendek, az MI-rendszerek értékelése, az agyi mesterséges intelligencia hibridizációja és az orvosbiológiai mesterséges intelligencia.</w:t>
      </w:r>
    </w:p>
    <w:p w14:paraId="3A5AF4AE" w14:textId="77777777" w:rsidR="003E1D81" w:rsidRDefault="00EB481C">
      <w:pPr>
        <w:pStyle w:val="P68B1DB1-ListParagraph7"/>
        <w:numPr>
          <w:ilvl w:val="0"/>
          <w:numId w:val="550"/>
        </w:numPr>
        <w:spacing w:before="120" w:after="120" w:line="240" w:lineRule="auto"/>
        <w:jc w:val="both"/>
        <w:rPr>
          <w:rFonts w:cs="Times New Roman"/>
          <w:noProof/>
        </w:rPr>
      </w:pPr>
      <w:r>
        <w:rPr>
          <w:noProof/>
        </w:rPr>
        <w:t xml:space="preserve">Adat- és technológiai infrastruktúrák (projektek): </w:t>
      </w:r>
    </w:p>
    <w:p w14:paraId="4E6987FC" w14:textId="77777777" w:rsidR="003E1D81" w:rsidRDefault="00EB481C">
      <w:pPr>
        <w:pStyle w:val="P68B1DB1-Normal4"/>
        <w:numPr>
          <w:ilvl w:val="0"/>
          <w:numId w:val="124"/>
        </w:numPr>
        <w:spacing w:before="120" w:after="120" w:line="240" w:lineRule="auto"/>
        <w:ind w:left="851" w:hanging="425"/>
        <w:contextualSpacing/>
        <w:jc w:val="both"/>
        <w:rPr>
          <w:rFonts w:cs="Times New Roman"/>
          <w:noProof/>
        </w:rPr>
      </w:pPr>
      <w:r>
        <w:rPr>
          <w:noProof/>
        </w:rPr>
        <w:t>Természetes nyelvi te</w:t>
      </w:r>
      <w:r>
        <w:rPr>
          <w:noProof/>
        </w:rPr>
        <w:t>chnológiai terv: a cél a természetes nyelvi feldolgozó ipar, valamint a gépi fordítási és beszélgetési rendszerek fejlesztése Spanyolországban, különösen a spanyol és a társhivatalos nyelveken;</w:t>
      </w:r>
    </w:p>
    <w:p w14:paraId="4192A10B" w14:textId="77777777" w:rsidR="003E1D81" w:rsidRDefault="00EB481C">
      <w:pPr>
        <w:pStyle w:val="P68B1DB1-Normal4"/>
        <w:numPr>
          <w:ilvl w:val="0"/>
          <w:numId w:val="124"/>
        </w:numPr>
        <w:spacing w:before="120" w:after="120" w:line="240" w:lineRule="auto"/>
        <w:ind w:left="851" w:hanging="425"/>
        <w:contextualSpacing/>
        <w:jc w:val="both"/>
        <w:rPr>
          <w:rFonts w:cs="Times New Roman"/>
          <w:noProof/>
        </w:rPr>
      </w:pPr>
      <w:r>
        <w:rPr>
          <w:noProof/>
        </w:rPr>
        <w:t>a szuper-számítástechnika stratégiai kapacitásainak megerősíté</w:t>
      </w:r>
      <w:r>
        <w:rPr>
          <w:noProof/>
        </w:rPr>
        <w:t>se: a kkv-k és a szuper-számítástechnikai központok (pl. Extremadura, Galícia és Aragónia) üzleti struktúrájához való hozzáférést és használatot megkönnyítő program kidolgozása, valamint a kvantum-számítástechnika elfogadása különböző témákkal, többek közö</w:t>
      </w:r>
      <w:r>
        <w:rPr>
          <w:noProof/>
        </w:rPr>
        <w:t>tt a mobilitással és az éghajlatváltozással kapcsolatos projektekben. Emellett a PERTE Chip összefüggésében meg kell erősíteni a kvantumcsipek fejlesztését azáltal, hogy támogatják a K+F+I-t az új generációs kvantumcsip-technológiák kifejlesztésében.</w:t>
      </w:r>
    </w:p>
    <w:p w14:paraId="3138FC50" w14:textId="77777777" w:rsidR="003E1D81" w:rsidRDefault="00EB481C">
      <w:pPr>
        <w:pStyle w:val="P68B1DB1-ListParagraph7"/>
        <w:numPr>
          <w:ilvl w:val="0"/>
          <w:numId w:val="550"/>
        </w:numPr>
        <w:spacing w:before="120" w:after="120" w:line="240" w:lineRule="auto"/>
        <w:jc w:val="both"/>
        <w:rPr>
          <w:rFonts w:cs="Times New Roman"/>
          <w:noProof/>
        </w:rPr>
      </w:pPr>
      <w:r>
        <w:rPr>
          <w:noProof/>
        </w:rPr>
        <w:t>A mes</w:t>
      </w:r>
      <w:r>
        <w:rPr>
          <w:noProof/>
        </w:rPr>
        <w:t>terséges intelligencia integrálása az értékláncokba (projektek):</w:t>
      </w:r>
    </w:p>
    <w:p w14:paraId="72345051" w14:textId="77777777" w:rsidR="003E1D81" w:rsidRDefault="00EB481C">
      <w:pPr>
        <w:pStyle w:val="P68B1DB1-Normal4"/>
        <w:numPr>
          <w:ilvl w:val="0"/>
          <w:numId w:val="124"/>
        </w:numPr>
        <w:spacing w:before="120" w:after="120" w:line="240" w:lineRule="auto"/>
        <w:ind w:left="851" w:hanging="425"/>
        <w:contextualSpacing/>
        <w:jc w:val="both"/>
        <w:rPr>
          <w:rFonts w:cs="Times New Roman"/>
          <w:noProof/>
        </w:rPr>
      </w:pPr>
      <w:r>
        <w:rPr>
          <w:noProof/>
        </w:rPr>
        <w:t>pályázati felhívás a mesterséges intelligencia értékláncokba való integrálásához: támogatási program, amely olyan kísérleti fejlesztési projekteket finanszíroz, amelyek technológiai érettsége</w:t>
      </w:r>
      <w:r>
        <w:rPr>
          <w:noProof/>
        </w:rPr>
        <w:t xml:space="preserve"> megfelel a technológiai érettségi szint 6., 7. és 8. szintjének. A technológiai érettség ezen szintjein megvalósuló projektek finanszírozása erőteljes támogatást jelent azon termékek számára, amelyek közel lehetnek a piaci bevezetéshez, és így átkerülhetn</w:t>
      </w:r>
      <w:r>
        <w:rPr>
          <w:noProof/>
        </w:rPr>
        <w:t>ek az értékláncba;</w:t>
      </w:r>
    </w:p>
    <w:p w14:paraId="5BFA29A9" w14:textId="77777777" w:rsidR="003E1D81" w:rsidRDefault="00EB481C">
      <w:pPr>
        <w:pStyle w:val="P68B1DB1-Normal4"/>
        <w:numPr>
          <w:ilvl w:val="0"/>
          <w:numId w:val="124"/>
        </w:numPr>
        <w:spacing w:before="120" w:after="120" w:line="240" w:lineRule="auto"/>
        <w:ind w:left="851" w:hanging="425"/>
        <w:contextualSpacing/>
        <w:jc w:val="both"/>
        <w:rPr>
          <w:rFonts w:cs="Times New Roman"/>
          <w:noProof/>
        </w:rPr>
      </w:pPr>
      <w:r>
        <w:rPr>
          <w:noProof/>
        </w:rPr>
        <w:t xml:space="preserve">Nemzeti Zöld Algoritmus-program: az energiahatékonyság maximalizálása és a mesterségesintelligencia-modellek környezeti hatásának csökkentése érdekében zöld algoritmusok kifejlesztését támogató program, amely ugyanakkor támogatja e </w:t>
      </w:r>
      <w:r>
        <w:rPr>
          <w:noProof/>
        </w:rPr>
        <w:t>technológia használatát a különböző környezeti kihívásokra való reagálás érdekében.</w:t>
      </w:r>
    </w:p>
    <w:p w14:paraId="271D2A83" w14:textId="77777777" w:rsidR="003E1D81" w:rsidRDefault="00EB481C">
      <w:pPr>
        <w:pStyle w:val="P68B1DB1-Normal4"/>
        <w:spacing w:before="120" w:after="120" w:line="240" w:lineRule="auto"/>
        <w:jc w:val="both"/>
        <w:rPr>
          <w:rFonts w:cs="Times New Roman"/>
          <w:noProof/>
        </w:rPr>
      </w:pPr>
      <w:r>
        <w:rPr>
          <w:noProof/>
        </w:rPr>
        <w:t>A reformokat és beruházásokat a következők révén kell végrehajtani: i. vissza nem térítendő támogatásokra vonatkozó felhívások, K+F+I küldetések, a mesterséges intelligenci</w:t>
      </w:r>
      <w:r>
        <w:rPr>
          <w:noProof/>
        </w:rPr>
        <w:t xml:space="preserve">a értékláncokba való integrálása és új generációs kvantumcsiptechnológiák kifejlesztése; az adat- és technológiai infrastruktúrákra vonatkozó egyezmények; közbeszerzés a szabályozási és etikai kerethez, a Nemzeti Zöld Algoritmus Programhoz és a Természeti </w:t>
      </w:r>
      <w:r>
        <w:rPr>
          <w:noProof/>
        </w:rPr>
        <w:t xml:space="preserve">Nyelvi Tervhez; és iv. konzorciumok a multidiszciplináris MI-intézet számára. </w:t>
      </w:r>
    </w:p>
    <w:p w14:paraId="24F4AF92" w14:textId="2D9996CA" w:rsidR="003E1D81" w:rsidRDefault="00EB481C">
      <w:pPr>
        <w:pStyle w:val="P68B1DB1-Normal4"/>
        <w:spacing w:before="120" w:after="120" w:line="240" w:lineRule="auto"/>
        <w:jc w:val="both"/>
        <w:rPr>
          <w:rFonts w:cs="Times New Roman"/>
          <w:noProof/>
        </w:rPr>
      </w:pPr>
      <w:r>
        <w:rPr>
          <w:noProof/>
        </w:rPr>
        <w:t xml:space="preserve">A reform végrehajtását 2026. június 30-ig be kell fejezni. </w:t>
      </w:r>
    </w:p>
    <w:p w14:paraId="5406F878" w14:textId="77777777" w:rsidR="003E1D81" w:rsidRDefault="00EB481C">
      <w:pPr>
        <w:pStyle w:val="P68B1DB1-Normal5"/>
        <w:ind w:left="720"/>
        <w:rPr>
          <w:rFonts w:cs="Times New Roman"/>
          <w:noProof/>
        </w:rPr>
      </w:pPr>
      <w:r>
        <w:rPr>
          <w:noProof/>
        </w:rPr>
        <w:t xml:space="preserve">P.2. </w:t>
      </w:r>
      <w:r>
        <w:rPr>
          <w:noProof/>
        </w:rPr>
        <w:tab/>
        <w:t>Vissza nem térítendő pénzügyi támogatás – a végrehajtáshoz és a nyomon követéshez kapcsolódó mérföldkövek, célo</w:t>
      </w:r>
      <w:r>
        <w:rPr>
          <w:noProof/>
        </w:rPr>
        <w:t>k, mutatók és ütemterv</w:t>
      </w:r>
    </w:p>
    <w:p w14:paraId="2A76E93D" w14:textId="77777777"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Az alapforgatókönyv valamennyi mutató esetében 2020. február 1-je, kivéve, ha az intézkedés leírása másként jelzi. A táblázatban szereplő összegek nem tartalmazzák a héát.</w:t>
      </w:r>
    </w:p>
    <w:p w14:paraId="2EDE943D" w14:textId="77777777" w:rsidR="003E1D81" w:rsidRDefault="003E1D81">
      <w:pPr>
        <w:spacing w:before="120" w:after="120" w:line="240" w:lineRule="auto"/>
        <w:jc w:val="both"/>
        <w:rPr>
          <w:rFonts w:ascii="Times New Roman" w:hAnsi="Times New Roman" w:cs="Times New Roman"/>
          <w:b/>
          <w:noProof/>
          <w:sz w:val="24"/>
          <w:u w:val="single"/>
        </w:rPr>
      </w:pPr>
    </w:p>
    <w:p w14:paraId="2BE9C227" w14:textId="77777777" w:rsidR="003E1D81" w:rsidRDefault="003E1D81">
      <w:pPr>
        <w:spacing w:before="120" w:after="120" w:line="240" w:lineRule="auto"/>
        <w:ind w:left="709"/>
        <w:jc w:val="both"/>
        <w:rPr>
          <w:rFonts w:ascii="Times New Roman" w:hAnsi="Times New Roman" w:cs="Times New Roman"/>
          <w:noProof/>
          <w:sz w:val="24"/>
        </w:rPr>
        <w:sectPr w:rsidR="003E1D81" w:rsidSect="00EB7CC8">
          <w:headerReference w:type="even" r:id="rId336"/>
          <w:headerReference w:type="default" r:id="rId337"/>
          <w:footerReference w:type="even" r:id="rId338"/>
          <w:footerReference w:type="default" r:id="rId339"/>
          <w:headerReference w:type="first" r:id="rId340"/>
          <w:footerReference w:type="first" r:id="rId341"/>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694"/>
        <w:gridCol w:w="1275"/>
        <w:gridCol w:w="851"/>
        <w:gridCol w:w="567"/>
        <w:gridCol w:w="567"/>
        <w:gridCol w:w="567"/>
        <w:gridCol w:w="567"/>
        <w:gridCol w:w="5812"/>
      </w:tblGrid>
      <w:tr w:rsidR="003E1D81" w14:paraId="18F62D71" w14:textId="77777777">
        <w:trPr>
          <w:trHeight w:val="309"/>
          <w:tblHeader/>
        </w:trPr>
        <w:tc>
          <w:tcPr>
            <w:tcW w:w="709" w:type="dxa"/>
            <w:tcBorders>
              <w:bottom w:val="nil"/>
            </w:tcBorders>
            <w:shd w:val="clear" w:color="auto" w:fill="C6D9F1" w:themeFill="text2" w:themeFillTint="33"/>
            <w:noWrap/>
          </w:tcPr>
          <w:p w14:paraId="41CA0B6A"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tcPr>
          <w:p w14:paraId="7F24B2A7"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tcPr>
          <w:p w14:paraId="3DE6A602"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694" w:type="dxa"/>
            <w:tcBorders>
              <w:bottom w:val="nil"/>
            </w:tcBorders>
            <w:shd w:val="clear" w:color="auto" w:fill="C6D9F1" w:themeFill="text2" w:themeFillTint="33"/>
            <w:noWrap/>
          </w:tcPr>
          <w:p w14:paraId="547B5F96" w14:textId="77777777" w:rsidR="003E1D81" w:rsidRDefault="00EB481C">
            <w:pPr>
              <w:pStyle w:val="P68B1DB1-Normal12"/>
              <w:spacing w:after="0" w:line="240" w:lineRule="auto"/>
              <w:jc w:val="center"/>
              <w:rPr>
                <w:rFonts w:cs="Times New Roman"/>
                <w:noProof/>
              </w:rPr>
            </w:pPr>
            <w:r>
              <w:rPr>
                <w:noProof/>
              </w:rPr>
              <w:t>Név</w:t>
            </w:r>
          </w:p>
        </w:tc>
        <w:tc>
          <w:tcPr>
            <w:tcW w:w="1275" w:type="dxa"/>
            <w:tcBorders>
              <w:bottom w:val="nil"/>
            </w:tcBorders>
            <w:shd w:val="clear" w:color="auto" w:fill="C6D9F1" w:themeFill="text2" w:themeFillTint="33"/>
            <w:noWrap/>
          </w:tcPr>
          <w:p w14:paraId="1C0ED490"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1985" w:type="dxa"/>
            <w:gridSpan w:val="3"/>
            <w:shd w:val="clear" w:color="auto" w:fill="C6D9F1" w:themeFill="text2" w:themeFillTint="33"/>
            <w:noWrap/>
          </w:tcPr>
          <w:p w14:paraId="7FFD4E55"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1134" w:type="dxa"/>
            <w:gridSpan w:val="2"/>
            <w:shd w:val="clear" w:color="auto" w:fill="C6D9F1" w:themeFill="text2" w:themeFillTint="33"/>
            <w:noWrap/>
          </w:tcPr>
          <w:p w14:paraId="33B311A9" w14:textId="77777777" w:rsidR="003E1D81" w:rsidRDefault="00EB481C">
            <w:pPr>
              <w:pStyle w:val="P68B1DB1-Normal12"/>
              <w:spacing w:after="0" w:line="240" w:lineRule="auto"/>
              <w:jc w:val="center"/>
              <w:rPr>
                <w:rFonts w:cs="Times New Roman"/>
                <w:noProof/>
              </w:rPr>
            </w:pPr>
            <w:r>
              <w:rPr>
                <w:noProof/>
              </w:rPr>
              <w:t>Idő</w:t>
            </w:r>
          </w:p>
        </w:tc>
        <w:tc>
          <w:tcPr>
            <w:tcW w:w="5812" w:type="dxa"/>
            <w:tcBorders>
              <w:bottom w:val="nil"/>
            </w:tcBorders>
            <w:shd w:val="clear" w:color="auto" w:fill="C6D9F1" w:themeFill="text2" w:themeFillTint="33"/>
            <w:noWrap/>
          </w:tcPr>
          <w:p w14:paraId="77B940C1"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21CB8188" w14:textId="77777777">
        <w:trPr>
          <w:trHeight w:val="309"/>
          <w:tblHeader/>
        </w:trPr>
        <w:tc>
          <w:tcPr>
            <w:tcW w:w="709" w:type="dxa"/>
            <w:tcBorders>
              <w:top w:val="nil"/>
            </w:tcBorders>
            <w:shd w:val="clear" w:color="auto" w:fill="C6D9F1" w:themeFill="text2" w:themeFillTint="33"/>
            <w:noWrap/>
          </w:tcPr>
          <w:p w14:paraId="373A0F4F"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496A1993"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663E802" w14:textId="77777777" w:rsidR="003E1D81" w:rsidRDefault="003E1D81">
            <w:pPr>
              <w:spacing w:after="0" w:line="240" w:lineRule="auto"/>
              <w:jc w:val="center"/>
              <w:rPr>
                <w:rFonts w:ascii="Times New Roman" w:hAnsi="Times New Roman" w:cs="Times New Roman"/>
                <w:b/>
                <w:noProof/>
                <w:sz w:val="18"/>
              </w:rPr>
            </w:pPr>
          </w:p>
        </w:tc>
        <w:tc>
          <w:tcPr>
            <w:tcW w:w="2694" w:type="dxa"/>
            <w:tcBorders>
              <w:top w:val="nil"/>
            </w:tcBorders>
            <w:shd w:val="clear" w:color="auto" w:fill="C6D9F1" w:themeFill="text2" w:themeFillTint="33"/>
            <w:noWrap/>
          </w:tcPr>
          <w:p w14:paraId="41C852C4" w14:textId="77777777" w:rsidR="003E1D81" w:rsidRDefault="003E1D81">
            <w:pPr>
              <w:spacing w:after="0" w:line="240" w:lineRule="auto"/>
              <w:rPr>
                <w:rFonts w:ascii="Times New Roman" w:hAnsi="Times New Roman" w:cs="Times New Roman"/>
                <w:b/>
                <w:noProof/>
                <w:sz w:val="18"/>
              </w:rPr>
            </w:pPr>
          </w:p>
        </w:tc>
        <w:tc>
          <w:tcPr>
            <w:tcW w:w="1275" w:type="dxa"/>
            <w:tcBorders>
              <w:top w:val="nil"/>
            </w:tcBorders>
            <w:shd w:val="clear" w:color="auto" w:fill="C6D9F1" w:themeFill="text2" w:themeFillTint="33"/>
            <w:noWrap/>
          </w:tcPr>
          <w:p w14:paraId="3D1C1254" w14:textId="77777777" w:rsidR="003E1D81" w:rsidRDefault="003E1D81">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tcPr>
          <w:p w14:paraId="78F7F448" w14:textId="77777777" w:rsidR="003E1D81" w:rsidRDefault="00EB481C">
            <w:pPr>
              <w:pStyle w:val="P68B1DB1-Normal12"/>
              <w:spacing w:after="0" w:line="240" w:lineRule="auto"/>
              <w:jc w:val="center"/>
              <w:rPr>
                <w:rFonts w:cs="Times New Roman"/>
                <w:noProof/>
              </w:rPr>
            </w:pPr>
            <w:r>
              <w:rPr>
                <w:noProof/>
              </w:rPr>
              <w:t>Egység</w:t>
            </w:r>
          </w:p>
        </w:tc>
        <w:tc>
          <w:tcPr>
            <w:tcW w:w="567" w:type="dxa"/>
            <w:shd w:val="clear" w:color="auto" w:fill="C6D9F1" w:themeFill="text2" w:themeFillTint="33"/>
            <w:noWrap/>
          </w:tcPr>
          <w:p w14:paraId="5B637134" w14:textId="77777777" w:rsidR="003E1D81" w:rsidRDefault="00EB481C">
            <w:pPr>
              <w:pStyle w:val="P68B1DB1-Normal12"/>
              <w:spacing w:after="0" w:line="240" w:lineRule="auto"/>
              <w:jc w:val="center"/>
              <w:rPr>
                <w:rFonts w:cs="Times New Roman"/>
                <w:noProof/>
              </w:rPr>
            </w:pPr>
            <w:r>
              <w:rPr>
                <w:noProof/>
              </w:rPr>
              <w:t>Alapérték</w:t>
            </w:r>
          </w:p>
        </w:tc>
        <w:tc>
          <w:tcPr>
            <w:tcW w:w="567" w:type="dxa"/>
            <w:shd w:val="clear" w:color="auto" w:fill="C6D9F1" w:themeFill="text2" w:themeFillTint="33"/>
            <w:noWrap/>
          </w:tcPr>
          <w:p w14:paraId="10FACC42" w14:textId="77777777" w:rsidR="003E1D81" w:rsidRDefault="00EB481C">
            <w:pPr>
              <w:pStyle w:val="P68B1DB1-Normal12"/>
              <w:spacing w:after="0" w:line="240" w:lineRule="auto"/>
              <w:jc w:val="center"/>
              <w:rPr>
                <w:rFonts w:cs="Times New Roman"/>
                <w:noProof/>
              </w:rPr>
            </w:pPr>
            <w:r>
              <w:rPr>
                <w:noProof/>
              </w:rPr>
              <w:t>Cél</w:t>
            </w:r>
          </w:p>
        </w:tc>
        <w:tc>
          <w:tcPr>
            <w:tcW w:w="567" w:type="dxa"/>
            <w:shd w:val="clear" w:color="auto" w:fill="C6D9F1" w:themeFill="text2" w:themeFillTint="33"/>
            <w:noWrap/>
          </w:tcPr>
          <w:p w14:paraId="007AB6D4"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7EC494FD" w14:textId="77777777" w:rsidR="003E1D81" w:rsidRDefault="00EB481C">
            <w:pPr>
              <w:pStyle w:val="P68B1DB1-Normal12"/>
              <w:spacing w:after="0" w:line="240" w:lineRule="auto"/>
              <w:jc w:val="center"/>
              <w:rPr>
                <w:rFonts w:cs="Times New Roman"/>
                <w:noProof/>
              </w:rPr>
            </w:pPr>
            <w:r>
              <w:rPr>
                <w:noProof/>
              </w:rPr>
              <w:t>Éve</w:t>
            </w:r>
          </w:p>
        </w:tc>
        <w:tc>
          <w:tcPr>
            <w:tcW w:w="5812" w:type="dxa"/>
            <w:tcBorders>
              <w:top w:val="nil"/>
            </w:tcBorders>
            <w:shd w:val="clear" w:color="auto" w:fill="C6D9F1" w:themeFill="text2" w:themeFillTint="33"/>
            <w:noWrap/>
          </w:tcPr>
          <w:p w14:paraId="5694B408" w14:textId="77777777" w:rsidR="003E1D81" w:rsidRDefault="003E1D81">
            <w:pPr>
              <w:spacing w:after="0" w:line="240" w:lineRule="auto"/>
              <w:rPr>
                <w:rFonts w:ascii="Times New Roman" w:hAnsi="Times New Roman" w:cs="Times New Roman"/>
                <w:b/>
                <w:noProof/>
                <w:sz w:val="18"/>
              </w:rPr>
            </w:pPr>
          </w:p>
        </w:tc>
      </w:tr>
      <w:tr w:rsidR="003E1D81" w14:paraId="36F932E5" w14:textId="77777777">
        <w:trPr>
          <w:trHeight w:val="309"/>
        </w:trPr>
        <w:tc>
          <w:tcPr>
            <w:tcW w:w="709" w:type="dxa"/>
            <w:shd w:val="clear" w:color="auto" w:fill="C6EFCE"/>
            <w:noWrap/>
          </w:tcPr>
          <w:p w14:paraId="17350418" w14:textId="77777777" w:rsidR="003E1D81" w:rsidRDefault="00EB481C">
            <w:pPr>
              <w:pStyle w:val="P68B1DB1-Normal13"/>
              <w:spacing w:after="0" w:line="240" w:lineRule="auto"/>
              <w:jc w:val="center"/>
              <w:rPr>
                <w:rFonts w:eastAsia="Times New Roman" w:cs="Times New Roman"/>
                <w:noProof/>
              </w:rPr>
            </w:pPr>
            <w:r>
              <w:rPr>
                <w:noProof/>
              </w:rPr>
              <w:t>249</w:t>
            </w:r>
          </w:p>
        </w:tc>
        <w:tc>
          <w:tcPr>
            <w:tcW w:w="851" w:type="dxa"/>
            <w:shd w:val="clear" w:color="auto" w:fill="C6EFCE"/>
            <w:noWrap/>
          </w:tcPr>
          <w:p w14:paraId="67EABD58" w14:textId="77777777" w:rsidR="003E1D81" w:rsidRDefault="00EB481C">
            <w:pPr>
              <w:pStyle w:val="P68B1DB1-Normal13"/>
              <w:spacing w:after="0" w:line="240" w:lineRule="auto"/>
              <w:jc w:val="center"/>
              <w:rPr>
                <w:rFonts w:eastAsia="Times New Roman" w:cs="Times New Roman"/>
                <w:noProof/>
              </w:rPr>
            </w:pPr>
            <w:r>
              <w:rPr>
                <w:noProof/>
              </w:rPr>
              <w:t>C16.R1</w:t>
            </w:r>
          </w:p>
        </w:tc>
        <w:tc>
          <w:tcPr>
            <w:tcW w:w="850" w:type="dxa"/>
            <w:shd w:val="clear" w:color="auto" w:fill="C6EFCE"/>
            <w:noWrap/>
          </w:tcPr>
          <w:p w14:paraId="336ED4C0" w14:textId="77777777" w:rsidR="003E1D81" w:rsidRDefault="00EB481C">
            <w:pPr>
              <w:pStyle w:val="P68B1DB1-Normal13"/>
              <w:spacing w:after="0" w:line="240" w:lineRule="auto"/>
              <w:jc w:val="center"/>
              <w:rPr>
                <w:rFonts w:eastAsia="Times New Roman" w:cs="Times New Roman"/>
                <w:noProof/>
              </w:rPr>
            </w:pPr>
            <w:r>
              <w:rPr>
                <w:noProof/>
              </w:rPr>
              <w:t>M</w:t>
            </w:r>
          </w:p>
        </w:tc>
        <w:tc>
          <w:tcPr>
            <w:tcW w:w="2694" w:type="dxa"/>
            <w:shd w:val="clear" w:color="auto" w:fill="C6EFCE"/>
            <w:noWrap/>
          </w:tcPr>
          <w:p w14:paraId="3DE4A649" w14:textId="77777777" w:rsidR="003E1D81" w:rsidRDefault="00EB481C">
            <w:pPr>
              <w:pStyle w:val="P68B1DB1-Normal13"/>
              <w:spacing w:after="0" w:line="240" w:lineRule="auto"/>
              <w:rPr>
                <w:rFonts w:eastAsia="Times New Roman" w:cs="Times New Roman"/>
                <w:noProof/>
              </w:rPr>
            </w:pPr>
            <w:r>
              <w:rPr>
                <w:noProof/>
              </w:rPr>
              <w:t xml:space="preserve">A mesterséges intelligenciára vonatkozó nemzeti stratégia </w:t>
            </w:r>
          </w:p>
        </w:tc>
        <w:tc>
          <w:tcPr>
            <w:tcW w:w="1275" w:type="dxa"/>
            <w:shd w:val="clear" w:color="auto" w:fill="C6EFCE"/>
            <w:noWrap/>
          </w:tcPr>
          <w:p w14:paraId="07CC24E0" w14:textId="77777777" w:rsidR="003E1D81" w:rsidRDefault="00EB481C">
            <w:pPr>
              <w:pStyle w:val="P68B1DB1-Normal13"/>
              <w:spacing w:after="0" w:line="240" w:lineRule="auto"/>
              <w:jc w:val="center"/>
              <w:rPr>
                <w:rFonts w:eastAsia="Times New Roman" w:cs="Times New Roman"/>
                <w:noProof/>
              </w:rPr>
            </w:pPr>
            <w:r>
              <w:rPr>
                <w:noProof/>
              </w:rPr>
              <w:t>Közzététel a HL-ben</w:t>
            </w:r>
          </w:p>
        </w:tc>
        <w:tc>
          <w:tcPr>
            <w:tcW w:w="851" w:type="dxa"/>
            <w:shd w:val="clear" w:color="auto" w:fill="C6EFCE"/>
            <w:noWrap/>
          </w:tcPr>
          <w:p w14:paraId="3DAF5D7F"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0BA2ACDA"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ACDE741"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482DB46E"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1C6FB7B4" w14:textId="77777777" w:rsidR="003E1D81" w:rsidRDefault="00EB481C">
            <w:pPr>
              <w:pStyle w:val="P68B1DB1-Normal13"/>
              <w:spacing w:after="0" w:line="240" w:lineRule="auto"/>
              <w:jc w:val="center"/>
              <w:rPr>
                <w:rFonts w:eastAsia="Times New Roman" w:cs="Times New Roman"/>
                <w:noProof/>
              </w:rPr>
            </w:pPr>
            <w:r>
              <w:rPr>
                <w:noProof/>
              </w:rPr>
              <w:t>2020</w:t>
            </w:r>
          </w:p>
        </w:tc>
        <w:tc>
          <w:tcPr>
            <w:tcW w:w="5812" w:type="dxa"/>
            <w:shd w:val="clear" w:color="auto" w:fill="C6EFCE"/>
            <w:noWrap/>
          </w:tcPr>
          <w:p w14:paraId="04E742C5" w14:textId="77777777" w:rsidR="003E1D81" w:rsidRDefault="00EB481C">
            <w:pPr>
              <w:pStyle w:val="P68B1DB1-Normal13"/>
              <w:spacing w:after="0" w:line="240" w:lineRule="auto"/>
              <w:rPr>
                <w:rFonts w:eastAsia="Times New Roman" w:cs="Times New Roman"/>
                <w:noProof/>
              </w:rPr>
            </w:pPr>
            <w:r>
              <w:rPr>
                <w:noProof/>
              </w:rPr>
              <w:t xml:space="preserve">A mesterséges intelligenciára vonatkozó nemzeti stratégia közzététele. A stratégia célkitűzései a következők: </w:t>
            </w:r>
            <w:r>
              <w:rPr>
                <w:noProof/>
              </w:rPr>
              <w:br/>
              <w:t>1. Spanyolország olyan országként való elhelye</w:t>
            </w:r>
            <w:r>
              <w:rPr>
                <w:noProof/>
              </w:rPr>
              <w:t>zése, amely elkötelezett a tudományos kiválóság és az innováció előmozdítása iránt a mesterséges intelligencia területén.</w:t>
            </w:r>
            <w:r>
              <w:rPr>
                <w:noProof/>
              </w:rPr>
              <w:br/>
              <w:t xml:space="preserve">2. A spanyol nyelv kivetítése a mesterséges intelligenciára. </w:t>
            </w:r>
            <w:r>
              <w:rPr>
                <w:noProof/>
              </w:rPr>
              <w:br/>
              <w:t>3. Képzett munkahelyek teremtése, a tehetségek ösztönzése és vonzása, kü</w:t>
            </w:r>
            <w:r>
              <w:rPr>
                <w:noProof/>
              </w:rPr>
              <w:t>lönös tekintettel a nőkre.</w:t>
            </w:r>
            <w:r>
              <w:rPr>
                <w:noProof/>
              </w:rPr>
              <w:br/>
              <w:t>4. A mesterséges intelligencia beépítése a termelési rendszerbe a spanyol vállalkozások termelékenységének javítása érdekében.</w:t>
            </w:r>
            <w:r>
              <w:rPr>
                <w:noProof/>
              </w:rPr>
              <w:br/>
              <w:t>5. Megbízható környezet kialakítása a mesterséges intelligenciával kapcsolatban.</w:t>
            </w:r>
            <w:r>
              <w:rPr>
                <w:noProof/>
              </w:rPr>
              <w:br/>
              <w:t>6. Etikai keret kidol</w:t>
            </w:r>
            <w:r>
              <w:rPr>
                <w:noProof/>
              </w:rPr>
              <w:t>gozása, amely garantálja a polgárok egyéni és kollektív jogait a mesterséges intelligencia területén.</w:t>
            </w:r>
            <w:r>
              <w:rPr>
                <w:noProof/>
              </w:rPr>
              <w:br/>
              <w:t xml:space="preserve">7. Az inkluzív és fenntartható mesterséges intelligencia megerősítése; konkrétan a nemek közötti szakadék és a digitális szakadék áthidalása, valamint az </w:t>
            </w:r>
            <w:r>
              <w:rPr>
                <w:noProof/>
              </w:rPr>
              <w:t>ökológiai átállás és a területi kohézió támogatása.</w:t>
            </w:r>
          </w:p>
        </w:tc>
      </w:tr>
      <w:tr w:rsidR="003E1D81" w14:paraId="2FFA111E" w14:textId="77777777">
        <w:trPr>
          <w:trHeight w:val="309"/>
        </w:trPr>
        <w:tc>
          <w:tcPr>
            <w:tcW w:w="709" w:type="dxa"/>
            <w:shd w:val="clear" w:color="auto" w:fill="C6EFCE"/>
            <w:noWrap/>
          </w:tcPr>
          <w:p w14:paraId="11223EEE" w14:textId="77777777" w:rsidR="003E1D81" w:rsidRDefault="00EB481C">
            <w:pPr>
              <w:pStyle w:val="P68B1DB1-Normal13"/>
              <w:spacing w:after="0" w:line="240" w:lineRule="auto"/>
              <w:jc w:val="center"/>
              <w:rPr>
                <w:rFonts w:eastAsia="Times New Roman" w:cs="Times New Roman"/>
                <w:noProof/>
              </w:rPr>
            </w:pPr>
            <w:r>
              <w:rPr>
                <w:noProof/>
              </w:rPr>
              <w:t>250</w:t>
            </w:r>
          </w:p>
        </w:tc>
        <w:tc>
          <w:tcPr>
            <w:tcW w:w="851" w:type="dxa"/>
            <w:shd w:val="clear" w:color="auto" w:fill="C6EFCE"/>
            <w:noWrap/>
          </w:tcPr>
          <w:p w14:paraId="69D4EBBA" w14:textId="77777777" w:rsidR="003E1D81" w:rsidRDefault="00EB481C">
            <w:pPr>
              <w:pStyle w:val="P68B1DB1-Normal13"/>
              <w:spacing w:after="0" w:line="240" w:lineRule="auto"/>
              <w:jc w:val="center"/>
              <w:rPr>
                <w:rFonts w:eastAsia="Times New Roman" w:cs="Times New Roman"/>
                <w:noProof/>
              </w:rPr>
            </w:pPr>
            <w:r>
              <w:rPr>
                <w:noProof/>
              </w:rPr>
              <w:t>C16.R1</w:t>
            </w:r>
          </w:p>
        </w:tc>
        <w:tc>
          <w:tcPr>
            <w:tcW w:w="850" w:type="dxa"/>
            <w:shd w:val="clear" w:color="auto" w:fill="C6EFCE"/>
            <w:noWrap/>
          </w:tcPr>
          <w:p w14:paraId="28643269" w14:textId="77777777" w:rsidR="003E1D81" w:rsidRDefault="00EB481C">
            <w:pPr>
              <w:pStyle w:val="P68B1DB1-Normal13"/>
              <w:spacing w:after="0" w:line="240" w:lineRule="auto"/>
              <w:jc w:val="center"/>
              <w:rPr>
                <w:rFonts w:eastAsia="Times New Roman" w:cs="Times New Roman"/>
                <w:noProof/>
              </w:rPr>
            </w:pPr>
            <w:r>
              <w:rPr>
                <w:noProof/>
              </w:rPr>
              <w:t>M</w:t>
            </w:r>
          </w:p>
        </w:tc>
        <w:tc>
          <w:tcPr>
            <w:tcW w:w="2694" w:type="dxa"/>
            <w:shd w:val="clear" w:color="auto" w:fill="C6EFCE"/>
            <w:noWrap/>
          </w:tcPr>
          <w:p w14:paraId="26EEB8F1" w14:textId="77777777" w:rsidR="003E1D81" w:rsidRDefault="00EB481C">
            <w:pPr>
              <w:pStyle w:val="P68B1DB1-Normal13"/>
              <w:spacing w:after="0" w:line="240" w:lineRule="auto"/>
              <w:rPr>
                <w:rFonts w:eastAsia="Times New Roman" w:cs="Times New Roman"/>
                <w:noProof/>
              </w:rPr>
            </w:pPr>
            <w:r>
              <w:rPr>
                <w:noProof/>
              </w:rPr>
              <w:t>A digitális jogok chartája</w:t>
            </w:r>
          </w:p>
        </w:tc>
        <w:tc>
          <w:tcPr>
            <w:tcW w:w="1275" w:type="dxa"/>
            <w:shd w:val="clear" w:color="auto" w:fill="C6EFCE"/>
            <w:noWrap/>
          </w:tcPr>
          <w:p w14:paraId="2F39C460" w14:textId="77777777" w:rsidR="003E1D81" w:rsidRDefault="00EB481C">
            <w:pPr>
              <w:pStyle w:val="P68B1DB1-Normal13"/>
              <w:spacing w:after="0" w:line="240" w:lineRule="auto"/>
              <w:jc w:val="center"/>
              <w:rPr>
                <w:rFonts w:eastAsia="Times New Roman" w:cs="Times New Roman"/>
                <w:noProof/>
              </w:rPr>
            </w:pPr>
            <w:r>
              <w:rPr>
                <w:noProof/>
              </w:rPr>
              <w:t>Közzététel a HL-ben</w:t>
            </w:r>
          </w:p>
        </w:tc>
        <w:tc>
          <w:tcPr>
            <w:tcW w:w="851" w:type="dxa"/>
            <w:shd w:val="clear" w:color="auto" w:fill="C6EFCE"/>
            <w:noWrap/>
          </w:tcPr>
          <w:p w14:paraId="562F7403"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75826876"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6EE5AC0"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11C302C"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5170D935" w14:textId="77777777" w:rsidR="003E1D81" w:rsidRDefault="00EB481C">
            <w:pPr>
              <w:pStyle w:val="P68B1DB1-Normal13"/>
              <w:spacing w:after="0" w:line="240" w:lineRule="auto"/>
              <w:jc w:val="center"/>
              <w:rPr>
                <w:rFonts w:eastAsia="Times New Roman" w:cs="Times New Roman"/>
                <w:noProof/>
              </w:rPr>
            </w:pPr>
            <w:r>
              <w:rPr>
                <w:noProof/>
              </w:rPr>
              <w:t>2021</w:t>
            </w:r>
          </w:p>
        </w:tc>
        <w:tc>
          <w:tcPr>
            <w:tcW w:w="5812" w:type="dxa"/>
            <w:shd w:val="clear" w:color="auto" w:fill="C6EFCE"/>
            <w:noWrap/>
          </w:tcPr>
          <w:p w14:paraId="71499C32" w14:textId="77777777" w:rsidR="003E1D81" w:rsidRDefault="00EB481C">
            <w:pPr>
              <w:pStyle w:val="P68B1DB1-Normal13"/>
              <w:spacing w:after="0" w:line="240" w:lineRule="auto"/>
              <w:rPr>
                <w:rFonts w:eastAsia="Times New Roman" w:cs="Times New Roman"/>
                <w:noProof/>
              </w:rPr>
            </w:pPr>
            <w:r>
              <w:rPr>
                <w:noProof/>
              </w:rPr>
              <w:t>A spanyol kormány általi elfogadás és közzététel a digitális jogok chartájának hivatalos honlapján. A Charta nem normatív jellegű, de célja, hogy felismerje a jogoknak a digitális környezethez való hozzáigazítása által támasztott új alkalmazási és értelmez</w:t>
            </w:r>
            <w:r>
              <w:rPr>
                <w:noProof/>
              </w:rPr>
              <w:t>ési kihívásokat, és ezzel összefüggésben javaslatokat tegyen az ehhez kapcsolódó elvekre és politikákra. Emellett javaslatot tesz a hatóságok fellépésének referenciakeretére is, kihasználva és továbbfejlesztve a jelenlegi digitális környezet valamennyi pot</w:t>
            </w:r>
            <w:r>
              <w:rPr>
                <w:noProof/>
              </w:rPr>
              <w:t xml:space="preserve">enciálját és lehetőségét, elkerülve annak kockázatait. </w:t>
            </w:r>
          </w:p>
        </w:tc>
      </w:tr>
      <w:tr w:rsidR="003E1D81" w14:paraId="029A96F6" w14:textId="77777777">
        <w:trPr>
          <w:trHeight w:val="309"/>
        </w:trPr>
        <w:tc>
          <w:tcPr>
            <w:tcW w:w="709" w:type="dxa"/>
            <w:shd w:val="clear" w:color="auto" w:fill="C6EFCE"/>
            <w:noWrap/>
          </w:tcPr>
          <w:p w14:paraId="276F758E" w14:textId="77777777" w:rsidR="003E1D81" w:rsidRDefault="00EB481C">
            <w:pPr>
              <w:pStyle w:val="P68B1DB1-Normal13"/>
              <w:spacing w:after="0" w:line="240" w:lineRule="auto"/>
              <w:jc w:val="center"/>
              <w:rPr>
                <w:rFonts w:eastAsia="Times New Roman" w:cs="Times New Roman"/>
                <w:noProof/>
              </w:rPr>
            </w:pPr>
            <w:r>
              <w:rPr>
                <w:noProof/>
              </w:rPr>
              <w:t>251</w:t>
            </w:r>
          </w:p>
        </w:tc>
        <w:tc>
          <w:tcPr>
            <w:tcW w:w="851" w:type="dxa"/>
            <w:shd w:val="clear" w:color="auto" w:fill="C6EFCE"/>
            <w:noWrap/>
          </w:tcPr>
          <w:p w14:paraId="79FD9143" w14:textId="77777777" w:rsidR="003E1D81" w:rsidRDefault="00EB481C">
            <w:pPr>
              <w:pStyle w:val="P68B1DB1-Normal13"/>
              <w:spacing w:after="0" w:line="240" w:lineRule="auto"/>
              <w:jc w:val="center"/>
              <w:rPr>
                <w:rFonts w:eastAsia="Times New Roman" w:cs="Times New Roman"/>
                <w:noProof/>
              </w:rPr>
            </w:pPr>
            <w:r>
              <w:rPr>
                <w:noProof/>
              </w:rPr>
              <w:t>C16.R1</w:t>
            </w:r>
          </w:p>
        </w:tc>
        <w:tc>
          <w:tcPr>
            <w:tcW w:w="850" w:type="dxa"/>
            <w:shd w:val="clear" w:color="auto" w:fill="C6EFCE"/>
            <w:noWrap/>
          </w:tcPr>
          <w:p w14:paraId="0FBABEE3" w14:textId="77777777" w:rsidR="003E1D81" w:rsidRDefault="00EB481C">
            <w:pPr>
              <w:pStyle w:val="P68B1DB1-Normal13"/>
              <w:spacing w:after="0" w:line="240" w:lineRule="auto"/>
              <w:jc w:val="center"/>
              <w:rPr>
                <w:rFonts w:eastAsia="Times New Roman" w:cs="Times New Roman"/>
                <w:noProof/>
              </w:rPr>
            </w:pPr>
            <w:r>
              <w:rPr>
                <w:noProof/>
              </w:rPr>
              <w:t>M</w:t>
            </w:r>
          </w:p>
        </w:tc>
        <w:tc>
          <w:tcPr>
            <w:tcW w:w="2694" w:type="dxa"/>
            <w:shd w:val="clear" w:color="auto" w:fill="C6EFCE"/>
            <w:noWrap/>
          </w:tcPr>
          <w:p w14:paraId="0A39D493" w14:textId="77777777" w:rsidR="003E1D81" w:rsidRDefault="00EB481C">
            <w:pPr>
              <w:pStyle w:val="P68B1DB1-Normal13"/>
              <w:spacing w:after="0" w:line="240" w:lineRule="auto"/>
              <w:rPr>
                <w:rFonts w:eastAsia="Times New Roman" w:cs="Times New Roman"/>
                <w:noProof/>
              </w:rPr>
            </w:pPr>
            <w:r>
              <w:rPr>
                <w:noProof/>
              </w:rPr>
              <w:t xml:space="preserve">A mesterséges intelligenciával kapcsolatos projektek támogatása </w:t>
            </w:r>
          </w:p>
        </w:tc>
        <w:tc>
          <w:tcPr>
            <w:tcW w:w="1275" w:type="dxa"/>
            <w:shd w:val="clear" w:color="auto" w:fill="C6EFCE"/>
            <w:noWrap/>
          </w:tcPr>
          <w:p w14:paraId="679CB12A" w14:textId="77777777" w:rsidR="003E1D81" w:rsidRDefault="00EB481C">
            <w:pPr>
              <w:pStyle w:val="P68B1DB1-Normal13"/>
              <w:spacing w:after="0" w:line="240" w:lineRule="auto"/>
              <w:jc w:val="center"/>
              <w:rPr>
                <w:rFonts w:eastAsia="Times New Roman" w:cs="Times New Roman"/>
                <w:noProof/>
              </w:rPr>
            </w:pPr>
            <w:r>
              <w:rPr>
                <w:noProof/>
              </w:rPr>
              <w:t>A programtámogatások közzététele és finanszírozása</w:t>
            </w:r>
          </w:p>
        </w:tc>
        <w:tc>
          <w:tcPr>
            <w:tcW w:w="851" w:type="dxa"/>
            <w:shd w:val="clear" w:color="auto" w:fill="C6EFCE"/>
            <w:noWrap/>
          </w:tcPr>
          <w:p w14:paraId="01458715" w14:textId="77777777" w:rsidR="003E1D81" w:rsidRDefault="00EB481C">
            <w:pPr>
              <w:pStyle w:val="P68B1DB1-Normal13"/>
              <w:spacing w:after="0" w:line="240" w:lineRule="auto"/>
              <w:jc w:val="center"/>
              <w:rPr>
                <w:rFonts w:eastAsia="Times New Roman" w:cs="Times New Roman"/>
                <w:noProof/>
              </w:rPr>
            </w:pPr>
            <w:r>
              <w:rPr>
                <w:noProof/>
              </w:rPr>
              <w:t> </w:t>
            </w:r>
          </w:p>
        </w:tc>
        <w:tc>
          <w:tcPr>
            <w:tcW w:w="567" w:type="dxa"/>
            <w:shd w:val="clear" w:color="auto" w:fill="C6EFCE"/>
            <w:noWrap/>
          </w:tcPr>
          <w:p w14:paraId="635BD68A" w14:textId="77777777" w:rsidR="003E1D81" w:rsidRDefault="00EB481C">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554268E3" w14:textId="77777777" w:rsidR="003E1D81" w:rsidRDefault="00EB481C">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6FBEC253"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0431DFA5" w14:textId="77777777" w:rsidR="003E1D81" w:rsidRDefault="00EB481C">
            <w:pPr>
              <w:pStyle w:val="P68B1DB1-Normal13"/>
              <w:spacing w:after="0" w:line="240" w:lineRule="auto"/>
              <w:jc w:val="center"/>
              <w:rPr>
                <w:rFonts w:eastAsia="Times New Roman" w:cs="Times New Roman"/>
                <w:noProof/>
              </w:rPr>
            </w:pPr>
            <w:r>
              <w:rPr>
                <w:noProof/>
              </w:rPr>
              <w:t>2023</w:t>
            </w:r>
          </w:p>
        </w:tc>
        <w:tc>
          <w:tcPr>
            <w:tcW w:w="5812" w:type="dxa"/>
            <w:shd w:val="clear" w:color="auto" w:fill="C6EFCE"/>
            <w:noWrap/>
          </w:tcPr>
          <w:p w14:paraId="085D693A" w14:textId="69591706" w:rsidR="003E1D81" w:rsidRDefault="00EB481C">
            <w:pPr>
              <w:pStyle w:val="P68B1DB1-Normal13"/>
              <w:spacing w:after="0" w:line="240" w:lineRule="auto"/>
              <w:rPr>
                <w:rFonts w:eastAsia="Times New Roman" w:cs="Times New Roman"/>
                <w:noProof/>
              </w:rPr>
            </w:pPr>
            <w:r>
              <w:rPr>
                <w:noProof/>
              </w:rPr>
              <w:t>Legalább 500 000 000 EUR összegű költségvetés került elkülönítésre a mesterséges intelligenciával kapcsolatos K+F projektekkel kapcsolatos projektekre, Spanyolország mesterséges intelligenciával kapcsolatos tehetségközpontjára, a mesterséges intelligenciáv</w:t>
            </w:r>
            <w:r>
              <w:rPr>
                <w:noProof/>
              </w:rPr>
              <w:t>al foglalkozó multidiszciplináris intézetre, a mesterséges intelligenciával kapcsolatos kiválósági hálózatra, a természetes nyelvi technológiai tervre, a tudományos tanszékekre, a megfigyelőközpontokra, a megbízható MI-tanúsításra és -zárolásra, a mestersé</w:t>
            </w:r>
            <w:r>
              <w:rPr>
                <w:noProof/>
              </w:rPr>
              <w:t>ges intelligencia veszélyeztetett csoportjaira vonatkozó védelmi tervre, a mesterséges intelligenciával kapcsolatos tudatosságra és bizalomra vonatkozó terv, a kvantum-számítástechnika és a zöld algoritmusok nemzeti programja. A támogatásokat versenytárgya</w:t>
            </w:r>
            <w:r>
              <w:rPr>
                <w:noProof/>
              </w:rPr>
              <w:t>lási felhívások útján kell odaítélni.</w:t>
            </w:r>
          </w:p>
        </w:tc>
      </w:tr>
      <w:tr w:rsidR="003E1D81" w14:paraId="3AD21B9A" w14:textId="77777777">
        <w:trPr>
          <w:trHeight w:val="309"/>
        </w:trPr>
        <w:tc>
          <w:tcPr>
            <w:tcW w:w="709" w:type="dxa"/>
            <w:shd w:val="clear" w:color="auto" w:fill="C6EFCE"/>
            <w:noWrap/>
          </w:tcPr>
          <w:p w14:paraId="5EC72927" w14:textId="617BAA48" w:rsidR="003E1D81" w:rsidRDefault="00EB481C">
            <w:pPr>
              <w:pStyle w:val="P68B1DB1-Normal13"/>
              <w:spacing w:after="0" w:line="240" w:lineRule="auto"/>
              <w:jc w:val="center"/>
              <w:rPr>
                <w:rFonts w:cs="Times New Roman"/>
                <w:noProof/>
              </w:rPr>
            </w:pPr>
            <w:r>
              <w:rPr>
                <w:noProof/>
              </w:rPr>
              <w:t>458</w:t>
            </w:r>
          </w:p>
        </w:tc>
        <w:tc>
          <w:tcPr>
            <w:tcW w:w="851" w:type="dxa"/>
            <w:shd w:val="clear" w:color="auto" w:fill="C6EFCE"/>
            <w:noWrap/>
          </w:tcPr>
          <w:p w14:paraId="19829B5B" w14:textId="6040864A" w:rsidR="003E1D81" w:rsidRDefault="00EB481C">
            <w:pPr>
              <w:pStyle w:val="P68B1DB1-Normal13"/>
              <w:spacing w:after="0" w:line="240" w:lineRule="auto"/>
              <w:jc w:val="center"/>
              <w:rPr>
                <w:rFonts w:cs="Times New Roman"/>
                <w:noProof/>
              </w:rPr>
            </w:pPr>
            <w:r>
              <w:rPr>
                <w:noProof/>
              </w:rPr>
              <w:t>C16.R1</w:t>
            </w:r>
          </w:p>
        </w:tc>
        <w:tc>
          <w:tcPr>
            <w:tcW w:w="850" w:type="dxa"/>
            <w:shd w:val="clear" w:color="auto" w:fill="C6EFCE"/>
            <w:noWrap/>
          </w:tcPr>
          <w:p w14:paraId="428EB1E6" w14:textId="266CA192" w:rsidR="003E1D81" w:rsidRDefault="00EB481C">
            <w:pPr>
              <w:pStyle w:val="P68B1DB1-Normal13"/>
              <w:spacing w:after="0" w:line="240" w:lineRule="auto"/>
              <w:jc w:val="center"/>
              <w:rPr>
                <w:rFonts w:cs="Times New Roman"/>
                <w:noProof/>
              </w:rPr>
            </w:pPr>
            <w:r>
              <w:rPr>
                <w:noProof/>
              </w:rPr>
              <w:t>M</w:t>
            </w:r>
          </w:p>
        </w:tc>
        <w:tc>
          <w:tcPr>
            <w:tcW w:w="2694" w:type="dxa"/>
            <w:shd w:val="clear" w:color="auto" w:fill="C6EFCE"/>
            <w:noWrap/>
          </w:tcPr>
          <w:p w14:paraId="774B9519" w14:textId="307F2BF7" w:rsidR="003E1D81" w:rsidRDefault="00EB481C">
            <w:pPr>
              <w:pStyle w:val="P68B1DB1-Normal13"/>
              <w:spacing w:after="0" w:line="240" w:lineRule="auto"/>
              <w:rPr>
                <w:rFonts w:cs="Times New Roman"/>
                <w:noProof/>
              </w:rPr>
            </w:pPr>
            <w:r>
              <w:rPr>
                <w:noProof/>
              </w:rPr>
              <w:t>Szabályozói tesztkörnyezetek és a mesterséges intelligencia megfigyelésével foglalkozó spanyol ügynökség (AESIA)</w:t>
            </w:r>
          </w:p>
        </w:tc>
        <w:tc>
          <w:tcPr>
            <w:tcW w:w="1275" w:type="dxa"/>
            <w:shd w:val="clear" w:color="auto" w:fill="C6EFCE"/>
            <w:noWrap/>
          </w:tcPr>
          <w:p w14:paraId="29A3EA67" w14:textId="19C678FA" w:rsidR="003E1D81" w:rsidRDefault="00EB481C">
            <w:pPr>
              <w:pStyle w:val="P68B1DB1-Normal13"/>
              <w:spacing w:after="0" w:line="240" w:lineRule="auto"/>
              <w:jc w:val="center"/>
              <w:rPr>
                <w:rFonts w:cs="Times New Roman"/>
                <w:noProof/>
              </w:rPr>
            </w:pPr>
            <w:r>
              <w:rPr>
                <w:noProof/>
              </w:rPr>
              <w:t>Közzététel a HL-ben</w:t>
            </w:r>
          </w:p>
        </w:tc>
        <w:tc>
          <w:tcPr>
            <w:tcW w:w="851" w:type="dxa"/>
            <w:shd w:val="clear" w:color="auto" w:fill="C6EFCE"/>
            <w:noWrap/>
          </w:tcPr>
          <w:p w14:paraId="106430E3" w14:textId="77777777" w:rsidR="003E1D81" w:rsidRDefault="003E1D81">
            <w:pPr>
              <w:spacing w:after="0" w:line="240" w:lineRule="auto"/>
              <w:jc w:val="center"/>
              <w:rPr>
                <w:rFonts w:ascii="Times New Roman" w:hAnsi="Times New Roman" w:cs="Times New Roman"/>
                <w:noProof/>
                <w:sz w:val="18"/>
              </w:rPr>
            </w:pPr>
          </w:p>
        </w:tc>
        <w:tc>
          <w:tcPr>
            <w:tcW w:w="567" w:type="dxa"/>
            <w:shd w:val="clear" w:color="auto" w:fill="C6EFCE"/>
            <w:noWrap/>
          </w:tcPr>
          <w:p w14:paraId="6EB4222B" w14:textId="77777777" w:rsidR="003E1D81" w:rsidRDefault="003E1D81">
            <w:pPr>
              <w:spacing w:after="0" w:line="240" w:lineRule="auto"/>
              <w:jc w:val="right"/>
              <w:rPr>
                <w:rFonts w:ascii="Times New Roman" w:hAnsi="Times New Roman" w:cs="Times New Roman"/>
                <w:noProof/>
                <w:sz w:val="18"/>
              </w:rPr>
            </w:pPr>
          </w:p>
        </w:tc>
        <w:tc>
          <w:tcPr>
            <w:tcW w:w="567" w:type="dxa"/>
            <w:shd w:val="clear" w:color="auto" w:fill="C6EFCE"/>
            <w:noWrap/>
          </w:tcPr>
          <w:p w14:paraId="0F8FC42F" w14:textId="77777777" w:rsidR="003E1D81" w:rsidRDefault="003E1D81">
            <w:pPr>
              <w:spacing w:after="0" w:line="240" w:lineRule="auto"/>
              <w:jc w:val="right"/>
              <w:rPr>
                <w:rFonts w:ascii="Times New Roman" w:hAnsi="Times New Roman" w:cs="Times New Roman"/>
                <w:noProof/>
                <w:sz w:val="18"/>
              </w:rPr>
            </w:pPr>
          </w:p>
        </w:tc>
        <w:tc>
          <w:tcPr>
            <w:tcW w:w="567" w:type="dxa"/>
            <w:shd w:val="clear" w:color="auto" w:fill="C6EFCE"/>
            <w:noWrap/>
          </w:tcPr>
          <w:p w14:paraId="1965FC98" w14:textId="6E1BC4EB"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78980B90" w14:textId="3A5E4AC1" w:rsidR="003E1D81" w:rsidRDefault="00EB481C">
            <w:pPr>
              <w:pStyle w:val="P68B1DB1-Normal13"/>
              <w:spacing w:after="0" w:line="240" w:lineRule="auto"/>
              <w:jc w:val="center"/>
              <w:rPr>
                <w:rFonts w:cs="Times New Roman"/>
                <w:noProof/>
              </w:rPr>
            </w:pPr>
            <w:r>
              <w:rPr>
                <w:noProof/>
              </w:rPr>
              <w:t>2024</w:t>
            </w:r>
          </w:p>
        </w:tc>
        <w:tc>
          <w:tcPr>
            <w:tcW w:w="5812" w:type="dxa"/>
            <w:shd w:val="clear" w:color="auto" w:fill="C6EFCE"/>
            <w:noWrap/>
          </w:tcPr>
          <w:p w14:paraId="7C0083ED" w14:textId="4E66B0CB" w:rsidR="003E1D81" w:rsidRDefault="00EB481C">
            <w:pPr>
              <w:pStyle w:val="P68B1DB1-Normal13"/>
              <w:spacing w:after="0" w:line="240" w:lineRule="auto"/>
              <w:rPr>
                <w:rFonts w:cs="Times New Roman"/>
                <w:noProof/>
              </w:rPr>
            </w:pPr>
            <w:r>
              <w:rPr>
                <w:noProof/>
              </w:rPr>
              <w:t>A mesterséges intelligencia alkalmazásával kapcsolatos</w:t>
            </w:r>
            <w:r>
              <w:rPr>
                <w:noProof/>
              </w:rPr>
              <w:t xml:space="preserve"> szabályozói tesztkörnyezetek lehetővé tételéhez szükséges jogalkotási aktusok, valamint a mesterséges intelligencia megfigyelésével foglalkozó spanyol ügynökség belső alapszabályát jóváhagyó királyi rendelet közzététele a Hivatalos Lapban. Ez utóbbi a köv</w:t>
            </w:r>
            <w:r>
              <w:rPr>
                <w:noProof/>
              </w:rPr>
              <w:t>etkezőket foglalja magában: az Ügynökség jellege és jogi rendszere (állami jogi személyiség biztosítása, saját vagyona és irányítási autonómiája); tárgya, célja és hatáskörei; az ökológiai szerkezet és kiválasztási folyamata; vagyoni, pénzügyi és szerződés</w:t>
            </w:r>
            <w:r>
              <w:rPr>
                <w:noProof/>
              </w:rPr>
              <w:t>kötési rendszere; valamint gazdasági-költségvetési irányítás és ellenőrzés.</w:t>
            </w:r>
          </w:p>
        </w:tc>
      </w:tr>
      <w:tr w:rsidR="003E1D81" w14:paraId="4B1423DB" w14:textId="77777777">
        <w:trPr>
          <w:trHeight w:val="309"/>
        </w:trPr>
        <w:tc>
          <w:tcPr>
            <w:tcW w:w="709" w:type="dxa"/>
            <w:shd w:val="clear" w:color="auto" w:fill="C6EFCE"/>
            <w:noWrap/>
          </w:tcPr>
          <w:p w14:paraId="7F9E1A61" w14:textId="77777777" w:rsidR="003E1D81" w:rsidRDefault="00EB481C">
            <w:pPr>
              <w:pStyle w:val="P68B1DB1-Normal13"/>
              <w:spacing w:after="0" w:line="240" w:lineRule="auto"/>
              <w:jc w:val="center"/>
              <w:rPr>
                <w:rFonts w:eastAsia="Times New Roman" w:cs="Times New Roman"/>
                <w:noProof/>
              </w:rPr>
            </w:pPr>
            <w:r>
              <w:rPr>
                <w:noProof/>
              </w:rPr>
              <w:t>252</w:t>
            </w:r>
          </w:p>
        </w:tc>
        <w:tc>
          <w:tcPr>
            <w:tcW w:w="851" w:type="dxa"/>
            <w:shd w:val="clear" w:color="auto" w:fill="C6EFCE"/>
            <w:noWrap/>
          </w:tcPr>
          <w:p w14:paraId="6F66F239" w14:textId="77777777" w:rsidR="003E1D81" w:rsidRDefault="00EB481C">
            <w:pPr>
              <w:pStyle w:val="P68B1DB1-Normal13"/>
              <w:spacing w:after="0" w:line="240" w:lineRule="auto"/>
              <w:jc w:val="center"/>
              <w:rPr>
                <w:rFonts w:eastAsia="Times New Roman" w:cs="Times New Roman"/>
                <w:noProof/>
              </w:rPr>
            </w:pPr>
            <w:r>
              <w:rPr>
                <w:noProof/>
              </w:rPr>
              <w:t>C16.R1</w:t>
            </w:r>
          </w:p>
        </w:tc>
        <w:tc>
          <w:tcPr>
            <w:tcW w:w="850" w:type="dxa"/>
            <w:shd w:val="clear" w:color="auto" w:fill="C6EFCE"/>
            <w:noWrap/>
          </w:tcPr>
          <w:p w14:paraId="5B6776B5" w14:textId="77777777" w:rsidR="003E1D81" w:rsidRDefault="00EB481C">
            <w:pPr>
              <w:pStyle w:val="P68B1DB1-Normal13"/>
              <w:spacing w:after="0" w:line="240" w:lineRule="auto"/>
              <w:jc w:val="center"/>
              <w:rPr>
                <w:rFonts w:eastAsia="Times New Roman" w:cs="Times New Roman"/>
                <w:noProof/>
              </w:rPr>
            </w:pPr>
            <w:r>
              <w:rPr>
                <w:noProof/>
              </w:rPr>
              <w:t>T</w:t>
            </w:r>
          </w:p>
        </w:tc>
        <w:tc>
          <w:tcPr>
            <w:tcW w:w="2694" w:type="dxa"/>
            <w:shd w:val="clear" w:color="auto" w:fill="C6EFCE"/>
            <w:noWrap/>
          </w:tcPr>
          <w:p w14:paraId="2B41DD4A" w14:textId="77777777" w:rsidR="003E1D81" w:rsidRDefault="00EB481C">
            <w:pPr>
              <w:pStyle w:val="P68B1DB1-Normal13"/>
              <w:spacing w:after="0" w:line="240" w:lineRule="auto"/>
              <w:rPr>
                <w:rFonts w:eastAsia="Times New Roman" w:cs="Times New Roman"/>
                <w:noProof/>
              </w:rPr>
            </w:pPr>
            <w:r>
              <w:rPr>
                <w:noProof/>
              </w:rPr>
              <w:t xml:space="preserve">Érintett országlátogatások </w:t>
            </w:r>
          </w:p>
        </w:tc>
        <w:tc>
          <w:tcPr>
            <w:tcW w:w="1275" w:type="dxa"/>
            <w:shd w:val="clear" w:color="auto" w:fill="C6EFCE"/>
            <w:noWrap/>
          </w:tcPr>
          <w:p w14:paraId="18D32A11" w14:textId="77777777" w:rsidR="003E1D81" w:rsidRDefault="00EB481C">
            <w:pPr>
              <w:pStyle w:val="P68B1DB1-Normal13"/>
              <w:spacing w:after="0" w:line="240" w:lineRule="auto"/>
              <w:jc w:val="center"/>
              <w:rPr>
                <w:rFonts w:eastAsia="Times New Roman" w:cs="Times New Roman"/>
                <w:noProof/>
              </w:rPr>
            </w:pPr>
            <w:r>
              <w:rPr>
                <w:noProof/>
              </w:rPr>
              <w:t>–</w:t>
            </w:r>
          </w:p>
        </w:tc>
        <w:tc>
          <w:tcPr>
            <w:tcW w:w="851" w:type="dxa"/>
            <w:shd w:val="clear" w:color="auto" w:fill="C6EFCE"/>
            <w:noWrap/>
          </w:tcPr>
          <w:p w14:paraId="78017AE8"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567" w:type="dxa"/>
            <w:shd w:val="clear" w:color="auto" w:fill="C6EFCE"/>
            <w:noWrap/>
          </w:tcPr>
          <w:p w14:paraId="6BD500FA" w14:textId="77777777" w:rsidR="003E1D81" w:rsidRDefault="00EB481C">
            <w:pPr>
              <w:pStyle w:val="P68B1DB1-Normal13"/>
              <w:spacing w:after="0" w:line="240" w:lineRule="auto"/>
              <w:jc w:val="right"/>
              <w:rPr>
                <w:rFonts w:eastAsia="Times New Roman" w:cs="Times New Roman"/>
                <w:noProof/>
              </w:rPr>
            </w:pPr>
            <w:r>
              <w:rPr>
                <w:noProof/>
              </w:rPr>
              <w:t>0</w:t>
            </w:r>
          </w:p>
        </w:tc>
        <w:tc>
          <w:tcPr>
            <w:tcW w:w="567" w:type="dxa"/>
            <w:shd w:val="clear" w:color="auto" w:fill="C6EFCE"/>
            <w:noWrap/>
          </w:tcPr>
          <w:p w14:paraId="659369D5" w14:textId="77777777" w:rsidR="003E1D81" w:rsidRDefault="00EB481C">
            <w:pPr>
              <w:pStyle w:val="P68B1DB1-Normal13"/>
              <w:spacing w:after="0" w:line="240" w:lineRule="auto"/>
              <w:jc w:val="right"/>
              <w:rPr>
                <w:rFonts w:eastAsia="Times New Roman" w:cs="Times New Roman"/>
                <w:noProof/>
              </w:rPr>
            </w:pPr>
            <w:r>
              <w:rPr>
                <w:noProof/>
              </w:rPr>
              <w:t>7</w:t>
            </w:r>
          </w:p>
        </w:tc>
        <w:tc>
          <w:tcPr>
            <w:tcW w:w="567" w:type="dxa"/>
            <w:shd w:val="clear" w:color="auto" w:fill="C6EFCE"/>
            <w:noWrap/>
          </w:tcPr>
          <w:p w14:paraId="635009B0"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109081B4" w14:textId="77777777" w:rsidR="003E1D81" w:rsidRDefault="00EB481C">
            <w:pPr>
              <w:pStyle w:val="P68B1DB1-Normal13"/>
              <w:spacing w:after="0" w:line="240" w:lineRule="auto"/>
              <w:jc w:val="center"/>
              <w:rPr>
                <w:rFonts w:eastAsia="Times New Roman" w:cs="Times New Roman"/>
                <w:noProof/>
              </w:rPr>
            </w:pPr>
            <w:r>
              <w:rPr>
                <w:noProof/>
              </w:rPr>
              <w:t>2026</w:t>
            </w:r>
          </w:p>
        </w:tc>
        <w:tc>
          <w:tcPr>
            <w:tcW w:w="5812" w:type="dxa"/>
            <w:shd w:val="clear" w:color="auto" w:fill="C6EFCE"/>
            <w:noWrap/>
          </w:tcPr>
          <w:p w14:paraId="12CC84ED" w14:textId="77777777" w:rsidR="003E1D81" w:rsidRDefault="00EB481C">
            <w:pPr>
              <w:pStyle w:val="P68B1DB1-Normal13"/>
              <w:spacing w:after="0" w:line="240" w:lineRule="auto"/>
              <w:rPr>
                <w:rFonts w:eastAsia="Times New Roman" w:cs="Times New Roman"/>
                <w:noProof/>
              </w:rPr>
            </w:pPr>
            <w:r>
              <w:rPr>
                <w:noProof/>
              </w:rPr>
              <w:t xml:space="preserve">Legalább 7 olyan projekt finanszírozása, amelyek célja az e küldetések során azonosított problémák kezelésére </w:t>
            </w:r>
            <w:r>
              <w:rPr>
                <w:noProof/>
              </w:rPr>
              <w:t>szolgáló innovatív, mesterséges intelligencián alapuló megoldásokkal rendelkező konkrét országspecifikus küldetések kezelése: egészségügy, ipar, környezetvédelem, társadalom, energia, mezőgazdaság és gazdaság, a projektek végrehajtása mintegy 10000000 és 1</w:t>
            </w:r>
            <w:r>
              <w:rPr>
                <w:noProof/>
              </w:rPr>
              <w:t>5 000 000 EUR közötti együttműködési projektek finanszírozásával történik.</w:t>
            </w:r>
          </w:p>
        </w:tc>
      </w:tr>
      <w:tr w:rsidR="003E1D81" w14:paraId="62777899" w14:textId="77777777">
        <w:trPr>
          <w:trHeight w:val="309"/>
        </w:trPr>
        <w:tc>
          <w:tcPr>
            <w:tcW w:w="709" w:type="dxa"/>
            <w:shd w:val="clear" w:color="auto" w:fill="C6EFCE"/>
            <w:noWrap/>
          </w:tcPr>
          <w:p w14:paraId="5EB06565" w14:textId="77777777" w:rsidR="003E1D81" w:rsidRDefault="00EB481C">
            <w:pPr>
              <w:pStyle w:val="P68B1DB1-Normal13"/>
              <w:spacing w:after="0" w:line="240" w:lineRule="auto"/>
              <w:jc w:val="center"/>
              <w:rPr>
                <w:rFonts w:cs="Times New Roman"/>
                <w:noProof/>
              </w:rPr>
            </w:pPr>
            <w:r>
              <w:rPr>
                <w:noProof/>
              </w:rPr>
              <w:t>253</w:t>
            </w:r>
          </w:p>
        </w:tc>
        <w:tc>
          <w:tcPr>
            <w:tcW w:w="851" w:type="dxa"/>
            <w:shd w:val="clear" w:color="auto" w:fill="C6EFCE"/>
            <w:noWrap/>
          </w:tcPr>
          <w:p w14:paraId="302EAF8E" w14:textId="77777777" w:rsidR="003E1D81" w:rsidRDefault="00EB481C">
            <w:pPr>
              <w:pStyle w:val="P68B1DB1-Normal13"/>
              <w:spacing w:after="0" w:line="240" w:lineRule="auto"/>
              <w:jc w:val="center"/>
              <w:rPr>
                <w:rFonts w:cs="Times New Roman"/>
                <w:noProof/>
              </w:rPr>
            </w:pPr>
            <w:r>
              <w:rPr>
                <w:noProof/>
              </w:rPr>
              <w:t>C16.R1</w:t>
            </w:r>
          </w:p>
        </w:tc>
        <w:tc>
          <w:tcPr>
            <w:tcW w:w="850" w:type="dxa"/>
            <w:shd w:val="clear" w:color="auto" w:fill="C6EFCE"/>
            <w:noWrap/>
          </w:tcPr>
          <w:p w14:paraId="0A11A897" w14:textId="77777777" w:rsidR="003E1D81" w:rsidRDefault="00EB481C">
            <w:pPr>
              <w:pStyle w:val="P68B1DB1-Normal13"/>
              <w:spacing w:after="0" w:line="240" w:lineRule="auto"/>
              <w:jc w:val="center"/>
              <w:rPr>
                <w:rFonts w:cs="Times New Roman"/>
                <w:noProof/>
              </w:rPr>
            </w:pPr>
            <w:r>
              <w:rPr>
                <w:noProof/>
              </w:rPr>
              <w:t>M</w:t>
            </w:r>
          </w:p>
        </w:tc>
        <w:tc>
          <w:tcPr>
            <w:tcW w:w="2694" w:type="dxa"/>
            <w:shd w:val="clear" w:color="auto" w:fill="C6EFCE"/>
            <w:noWrap/>
          </w:tcPr>
          <w:p w14:paraId="627D5FB4" w14:textId="77777777" w:rsidR="003E1D81" w:rsidRDefault="00EB481C">
            <w:pPr>
              <w:pStyle w:val="P68B1DB1-Normal13"/>
              <w:spacing w:after="0" w:line="240" w:lineRule="auto"/>
              <w:rPr>
                <w:rFonts w:cs="Times New Roman"/>
                <w:noProof/>
              </w:rPr>
            </w:pPr>
            <w:r>
              <w:rPr>
                <w:noProof/>
              </w:rPr>
              <w:t xml:space="preserve">A mesterséges intelligenciával kapcsolatos projektek lezárása </w:t>
            </w:r>
          </w:p>
        </w:tc>
        <w:tc>
          <w:tcPr>
            <w:tcW w:w="1275" w:type="dxa"/>
            <w:shd w:val="clear" w:color="auto" w:fill="C6EFCE"/>
            <w:noWrap/>
          </w:tcPr>
          <w:p w14:paraId="7ECD54BA" w14:textId="77777777" w:rsidR="003E1D81" w:rsidRDefault="00EB481C">
            <w:pPr>
              <w:pStyle w:val="P68B1DB1-Normal13"/>
              <w:spacing w:after="0" w:line="240" w:lineRule="auto"/>
              <w:jc w:val="center"/>
              <w:rPr>
                <w:rFonts w:cs="Times New Roman"/>
                <w:noProof/>
              </w:rPr>
            </w:pPr>
            <w:r>
              <w:rPr>
                <w:noProof/>
              </w:rPr>
              <w:t>Értesítés a beruházási projektek befejezéséről</w:t>
            </w:r>
          </w:p>
        </w:tc>
        <w:tc>
          <w:tcPr>
            <w:tcW w:w="851" w:type="dxa"/>
            <w:shd w:val="clear" w:color="auto" w:fill="C6EFCE"/>
            <w:noWrap/>
          </w:tcPr>
          <w:p w14:paraId="263869B2" w14:textId="77777777" w:rsidR="003E1D81" w:rsidRDefault="00EB481C">
            <w:pPr>
              <w:pStyle w:val="P68B1DB1-Normal13"/>
              <w:spacing w:after="0" w:line="240" w:lineRule="auto"/>
              <w:jc w:val="center"/>
              <w:rPr>
                <w:rFonts w:cs="Times New Roman"/>
                <w:noProof/>
              </w:rPr>
            </w:pPr>
            <w:r>
              <w:rPr>
                <w:noProof/>
              </w:rPr>
              <w:t xml:space="preserve"> </w:t>
            </w:r>
          </w:p>
        </w:tc>
        <w:tc>
          <w:tcPr>
            <w:tcW w:w="567" w:type="dxa"/>
            <w:shd w:val="clear" w:color="auto" w:fill="C6EFCE"/>
            <w:noWrap/>
          </w:tcPr>
          <w:p w14:paraId="5D3B8A88" w14:textId="77777777" w:rsidR="003E1D81" w:rsidRDefault="00EB481C">
            <w:pPr>
              <w:pStyle w:val="P68B1DB1-Normal13"/>
              <w:spacing w:after="0" w:line="240" w:lineRule="auto"/>
              <w:jc w:val="right"/>
              <w:rPr>
                <w:rFonts w:cs="Times New Roman"/>
                <w:noProof/>
              </w:rPr>
            </w:pPr>
            <w:r>
              <w:rPr>
                <w:noProof/>
              </w:rPr>
              <w:t xml:space="preserve"> </w:t>
            </w:r>
          </w:p>
        </w:tc>
        <w:tc>
          <w:tcPr>
            <w:tcW w:w="567" w:type="dxa"/>
            <w:shd w:val="clear" w:color="auto" w:fill="C6EFCE"/>
            <w:noWrap/>
          </w:tcPr>
          <w:p w14:paraId="503E7E70" w14:textId="77777777" w:rsidR="003E1D81" w:rsidRDefault="00EB481C">
            <w:pPr>
              <w:pStyle w:val="P68B1DB1-Normal13"/>
              <w:spacing w:after="0" w:line="240" w:lineRule="auto"/>
              <w:jc w:val="right"/>
              <w:rPr>
                <w:rFonts w:cs="Times New Roman"/>
                <w:noProof/>
              </w:rPr>
            </w:pPr>
            <w:r>
              <w:rPr>
                <w:noProof/>
              </w:rPr>
              <w:t xml:space="preserve"> </w:t>
            </w:r>
          </w:p>
        </w:tc>
        <w:tc>
          <w:tcPr>
            <w:tcW w:w="567" w:type="dxa"/>
            <w:shd w:val="clear" w:color="auto" w:fill="C6EFCE"/>
            <w:noWrap/>
          </w:tcPr>
          <w:p w14:paraId="08857245"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027D83E8" w14:textId="77777777" w:rsidR="003E1D81" w:rsidRDefault="00EB481C">
            <w:pPr>
              <w:pStyle w:val="P68B1DB1-Normal13"/>
              <w:spacing w:after="0" w:line="240" w:lineRule="auto"/>
              <w:jc w:val="center"/>
              <w:rPr>
                <w:rFonts w:cs="Times New Roman"/>
                <w:noProof/>
              </w:rPr>
            </w:pPr>
            <w:r>
              <w:rPr>
                <w:noProof/>
              </w:rPr>
              <w:t>2026</w:t>
            </w:r>
          </w:p>
        </w:tc>
        <w:tc>
          <w:tcPr>
            <w:tcW w:w="5812" w:type="dxa"/>
            <w:shd w:val="clear" w:color="auto" w:fill="C6EFCE"/>
            <w:noWrap/>
          </w:tcPr>
          <w:p w14:paraId="243A0FA8" w14:textId="1655BA11" w:rsidR="003E1D81" w:rsidRDefault="00EB481C">
            <w:pPr>
              <w:pStyle w:val="P68B1DB1-Normal13"/>
              <w:spacing w:after="0" w:line="240" w:lineRule="auto"/>
              <w:rPr>
                <w:rFonts w:cs="Times New Roman"/>
                <w:noProof/>
              </w:rPr>
            </w:pPr>
            <w:r>
              <w:rPr>
                <w:noProof/>
              </w:rPr>
              <w:t xml:space="preserve">A mesterséges intelligenciával </w:t>
            </w:r>
            <w:r>
              <w:rPr>
                <w:noProof/>
              </w:rPr>
              <w:t>kapcsolatos kutatással és fejlesztéssel kapcsolatos projektek lezárása, Spanyolország, a mesterséges intelligenciával foglalkozó multidiszciplináris intézet, a mesterséges intelligenciával kapcsolatos kiválósági hálózat, a természetes nyelvi technológiai t</w:t>
            </w:r>
            <w:r>
              <w:rPr>
                <w:noProof/>
              </w:rPr>
              <w:t>erv, tudományos tanszékek, megfigyelőközpontok, megbízható MI-tanúsítás és -zárolás, a mesterséges intelligencia veszélyeztetett csoportjaira vonatkozó védelmi terv, a mesterséges intelligenciával kapcsolatos tudatosságra és bizalomra, a kvantum-számításte</w:t>
            </w:r>
            <w:r>
              <w:rPr>
                <w:noProof/>
              </w:rPr>
              <w:t>chnikara és a zöld algoritmusokra vonatkozó nemzeti program, az ajánlati felhívásokban meghatározott kritériumok szerint (#251. mérföldkő).</w:t>
            </w:r>
          </w:p>
        </w:tc>
      </w:tr>
      <w:tr w:rsidR="003E1D81" w14:paraId="092CBB81" w14:textId="77777777">
        <w:trPr>
          <w:trHeight w:val="309"/>
        </w:trPr>
        <w:tc>
          <w:tcPr>
            <w:tcW w:w="709" w:type="dxa"/>
            <w:shd w:val="clear" w:color="auto" w:fill="C6EFCE"/>
            <w:noWrap/>
          </w:tcPr>
          <w:p w14:paraId="1C5A6AE3" w14:textId="61F1C44E" w:rsidR="003E1D81" w:rsidRDefault="00EB481C">
            <w:pPr>
              <w:pStyle w:val="P68B1DB1-Normal13"/>
              <w:spacing w:after="0" w:line="240" w:lineRule="auto"/>
              <w:jc w:val="center"/>
              <w:rPr>
                <w:rFonts w:cs="Times New Roman"/>
                <w:noProof/>
              </w:rPr>
            </w:pPr>
            <w:r>
              <w:rPr>
                <w:noProof/>
              </w:rPr>
              <w:t>457</w:t>
            </w:r>
          </w:p>
        </w:tc>
        <w:tc>
          <w:tcPr>
            <w:tcW w:w="851" w:type="dxa"/>
            <w:shd w:val="clear" w:color="auto" w:fill="C6EFCE"/>
            <w:noWrap/>
          </w:tcPr>
          <w:p w14:paraId="53C3501E" w14:textId="77777777" w:rsidR="003E1D81" w:rsidRDefault="00EB481C">
            <w:pPr>
              <w:pStyle w:val="P68B1DB1-Normal13"/>
              <w:spacing w:after="0" w:line="240" w:lineRule="auto"/>
              <w:jc w:val="center"/>
              <w:rPr>
                <w:rFonts w:cs="Times New Roman"/>
                <w:noProof/>
              </w:rPr>
            </w:pPr>
            <w:r>
              <w:rPr>
                <w:noProof/>
              </w:rPr>
              <w:t>C16.R1</w:t>
            </w:r>
          </w:p>
        </w:tc>
        <w:tc>
          <w:tcPr>
            <w:tcW w:w="850" w:type="dxa"/>
            <w:shd w:val="clear" w:color="auto" w:fill="C6EFCE"/>
            <w:noWrap/>
          </w:tcPr>
          <w:p w14:paraId="06E57DF2" w14:textId="77777777" w:rsidR="003E1D81" w:rsidRDefault="00EB481C">
            <w:pPr>
              <w:pStyle w:val="P68B1DB1-Normal13"/>
              <w:jc w:val="center"/>
              <w:rPr>
                <w:rFonts w:cs="Times New Roman"/>
                <w:noProof/>
              </w:rPr>
            </w:pPr>
            <w:r>
              <w:rPr>
                <w:noProof/>
              </w:rPr>
              <w:t>T</w:t>
            </w:r>
          </w:p>
        </w:tc>
        <w:tc>
          <w:tcPr>
            <w:tcW w:w="2694" w:type="dxa"/>
            <w:shd w:val="clear" w:color="auto" w:fill="C6EFCE"/>
            <w:noWrap/>
          </w:tcPr>
          <w:p w14:paraId="2D1D67BC" w14:textId="77777777" w:rsidR="003E1D81" w:rsidRDefault="00EB481C">
            <w:pPr>
              <w:pStyle w:val="P68B1DB1-Normal13"/>
              <w:spacing w:after="0" w:line="240" w:lineRule="auto"/>
              <w:rPr>
                <w:rFonts w:cs="Times New Roman"/>
                <w:noProof/>
              </w:rPr>
            </w:pPr>
            <w:r>
              <w:rPr>
                <w:noProof/>
              </w:rPr>
              <w:t>PERTE CHIP. A kvantumökoszisztéma megerősítése.</w:t>
            </w:r>
          </w:p>
        </w:tc>
        <w:tc>
          <w:tcPr>
            <w:tcW w:w="1275" w:type="dxa"/>
            <w:shd w:val="clear" w:color="auto" w:fill="C6EFCE"/>
            <w:noWrap/>
          </w:tcPr>
          <w:p w14:paraId="5C216153" w14:textId="77777777" w:rsidR="003E1D81" w:rsidRDefault="003E1D81">
            <w:pPr>
              <w:spacing w:after="0" w:line="240" w:lineRule="auto"/>
              <w:jc w:val="center"/>
              <w:rPr>
                <w:rFonts w:ascii="Times New Roman" w:hAnsi="Times New Roman" w:cs="Times New Roman"/>
                <w:noProof/>
                <w:sz w:val="18"/>
              </w:rPr>
            </w:pPr>
          </w:p>
        </w:tc>
        <w:tc>
          <w:tcPr>
            <w:tcW w:w="851" w:type="dxa"/>
            <w:shd w:val="clear" w:color="auto" w:fill="C6EFCE"/>
            <w:noWrap/>
          </w:tcPr>
          <w:p w14:paraId="079F98AE" w14:textId="77777777" w:rsidR="003E1D81" w:rsidRDefault="00EB481C">
            <w:pPr>
              <w:pStyle w:val="P68B1DB1-Normal13"/>
              <w:spacing w:after="0" w:line="240" w:lineRule="auto"/>
              <w:jc w:val="center"/>
              <w:rPr>
                <w:rFonts w:cs="Times New Roman"/>
                <w:noProof/>
              </w:rPr>
            </w:pPr>
            <w:r>
              <w:rPr>
                <w:noProof/>
              </w:rPr>
              <w:t>Millió EUR</w:t>
            </w:r>
          </w:p>
        </w:tc>
        <w:tc>
          <w:tcPr>
            <w:tcW w:w="567" w:type="dxa"/>
            <w:shd w:val="clear" w:color="auto" w:fill="C6EFCE"/>
            <w:noWrap/>
          </w:tcPr>
          <w:p w14:paraId="10B0F16D" w14:textId="77777777" w:rsidR="003E1D81" w:rsidRDefault="00EB481C">
            <w:pPr>
              <w:pStyle w:val="P68B1DB1-Normal13"/>
              <w:spacing w:after="0" w:line="240" w:lineRule="auto"/>
              <w:jc w:val="center"/>
              <w:rPr>
                <w:rFonts w:cs="Times New Roman"/>
                <w:noProof/>
              </w:rPr>
            </w:pPr>
            <w:r>
              <w:rPr>
                <w:noProof/>
              </w:rPr>
              <w:t>0</w:t>
            </w:r>
          </w:p>
        </w:tc>
        <w:tc>
          <w:tcPr>
            <w:tcW w:w="567" w:type="dxa"/>
            <w:shd w:val="clear" w:color="auto" w:fill="C6EFCE"/>
            <w:noWrap/>
          </w:tcPr>
          <w:p w14:paraId="6F2AAE7F" w14:textId="77777777" w:rsidR="003E1D81" w:rsidRDefault="00EB481C">
            <w:pPr>
              <w:pStyle w:val="P68B1DB1-Normal13"/>
              <w:spacing w:after="0" w:line="240" w:lineRule="auto"/>
              <w:jc w:val="center"/>
              <w:rPr>
                <w:rFonts w:cs="Times New Roman"/>
                <w:noProof/>
              </w:rPr>
            </w:pPr>
            <w:r>
              <w:rPr>
                <w:noProof/>
              </w:rPr>
              <w:t>36</w:t>
            </w:r>
          </w:p>
        </w:tc>
        <w:tc>
          <w:tcPr>
            <w:tcW w:w="567" w:type="dxa"/>
            <w:shd w:val="clear" w:color="auto" w:fill="C6EFCE"/>
            <w:noWrap/>
          </w:tcPr>
          <w:p w14:paraId="53753E6A" w14:textId="7777777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53E84126" w14:textId="77777777" w:rsidR="003E1D81" w:rsidRDefault="00EB481C">
            <w:pPr>
              <w:pStyle w:val="P68B1DB1-Normal13"/>
              <w:spacing w:after="0" w:line="240" w:lineRule="auto"/>
              <w:jc w:val="center"/>
              <w:rPr>
                <w:rFonts w:cs="Times New Roman"/>
                <w:noProof/>
              </w:rPr>
            </w:pPr>
            <w:r>
              <w:rPr>
                <w:noProof/>
              </w:rPr>
              <w:t>2026</w:t>
            </w:r>
          </w:p>
        </w:tc>
        <w:tc>
          <w:tcPr>
            <w:tcW w:w="5812" w:type="dxa"/>
            <w:shd w:val="clear" w:color="auto" w:fill="C6EFCE"/>
            <w:noWrap/>
          </w:tcPr>
          <w:p w14:paraId="10182414" w14:textId="783A949A" w:rsidR="003E1D81" w:rsidRDefault="00EB481C">
            <w:pPr>
              <w:pStyle w:val="P68B1DB1-Normal13"/>
              <w:spacing w:after="0" w:line="240" w:lineRule="auto"/>
              <w:rPr>
                <w:rFonts w:cs="Times New Roman"/>
                <w:noProof/>
              </w:rPr>
            </w:pPr>
            <w:r>
              <w:rPr>
                <w:noProof/>
              </w:rPr>
              <w:t>Legalább 36 000 000 EUR kifizetése az új generációs kvantumtechnológiák területén megvalósuló K+F+I projektekre, beleértve a kvantumhardver, szoftver és kvantum köztesszoftver fejlesztésének támogatását, alternatív kabitok és a kapcsolódó szükséges kísérle</w:t>
            </w:r>
            <w:r>
              <w:rPr>
                <w:noProof/>
              </w:rPr>
              <w:t>ti gyártósorok fejlesztését, a kvantumkommunikációt és kriptográfiát, a kvantuminternet-technológiákat, a metrológiát és a kvantumszenzinget.</w:t>
            </w:r>
          </w:p>
        </w:tc>
      </w:tr>
    </w:tbl>
    <w:p w14:paraId="66F97877" w14:textId="77777777" w:rsidR="003E1D81" w:rsidRDefault="003E1D81">
      <w:pPr>
        <w:spacing w:before="120" w:after="120" w:line="240" w:lineRule="auto"/>
        <w:jc w:val="both"/>
        <w:rPr>
          <w:rFonts w:ascii="Times New Roman" w:hAnsi="Times New Roman" w:cs="Times New Roman"/>
          <w:b/>
          <w:noProof/>
          <w:sz w:val="24"/>
          <w:u w:val="single"/>
        </w:rPr>
      </w:pPr>
    </w:p>
    <w:p w14:paraId="0B8F6066" w14:textId="77777777" w:rsidR="003E1D81" w:rsidRDefault="003E1D81">
      <w:pPr>
        <w:spacing w:before="120" w:after="120" w:line="240" w:lineRule="auto"/>
        <w:ind w:left="709"/>
        <w:jc w:val="both"/>
        <w:rPr>
          <w:rFonts w:ascii="Times New Roman" w:hAnsi="Times New Roman" w:cs="Times New Roman"/>
          <w:noProof/>
          <w:sz w:val="24"/>
        </w:rPr>
        <w:sectPr w:rsidR="003E1D81" w:rsidSect="00EB7CC8">
          <w:headerReference w:type="even" r:id="rId342"/>
          <w:headerReference w:type="default" r:id="rId343"/>
          <w:footerReference w:type="even" r:id="rId344"/>
          <w:footerReference w:type="default" r:id="rId345"/>
          <w:headerReference w:type="first" r:id="rId346"/>
          <w:footerReference w:type="first" r:id="rId347"/>
          <w:pgSz w:w="16839" w:h="11907" w:orient="landscape"/>
          <w:pgMar w:top="1417" w:right="1134" w:bottom="1417" w:left="1134" w:header="709" w:footer="709" w:gutter="0"/>
          <w:cols w:space="720"/>
          <w:docGrid w:linePitch="360"/>
        </w:sectPr>
      </w:pPr>
    </w:p>
    <w:p w14:paraId="1671E380" w14:textId="77777777" w:rsidR="003E1D81" w:rsidRDefault="00EB481C">
      <w:pPr>
        <w:pStyle w:val="P68B1DB1-Heading12"/>
        <w:rPr>
          <w:rFonts w:cs="Times New Roman"/>
          <w:noProof/>
        </w:rPr>
      </w:pPr>
      <w:r>
        <w:rPr>
          <w:noProof/>
        </w:rPr>
        <w:t xml:space="preserve">KÉRDÉS: Tudomány, technológia és innováció </w:t>
      </w:r>
    </w:p>
    <w:p w14:paraId="2A31730D" w14:textId="77777777" w:rsidR="003E1D81" w:rsidRDefault="00EB481C">
      <w:pPr>
        <w:pStyle w:val="P68B1DB1-Normal4"/>
        <w:spacing w:before="120" w:after="120" w:line="240" w:lineRule="auto"/>
        <w:jc w:val="both"/>
        <w:rPr>
          <w:rFonts w:cs="Times New Roman"/>
          <w:noProof/>
        </w:rPr>
      </w:pPr>
      <w:r>
        <w:rPr>
          <w:noProof/>
        </w:rPr>
        <w:t>Spanyolország 2021–2027-es tudományos, technológiai és innovációs stratégiája a kutatásfejlesztési és innovációs beruházások jelentős növekedését vetíti előre Spanyolországban, és 2027-ben eléri a GDP 2,12%-át. Ebben az összefüggésben a spanyol helyreállít</w:t>
      </w:r>
      <w:r>
        <w:rPr>
          <w:noProof/>
        </w:rPr>
        <w:t xml:space="preserve">ási és rezilienciaépítési terv ezen elemének fő célkitűzése a spanyol tudományos, technológiai és innovációs </w:t>
      </w:r>
      <w:r>
        <w:rPr>
          <w:noProof/>
          <w:shd w:val="clear" w:color="auto" w:fill="FFFFFF"/>
        </w:rPr>
        <w:t xml:space="preserve">rendszer javítása </w:t>
      </w:r>
      <w:r>
        <w:rPr>
          <w:noProof/>
        </w:rPr>
        <w:t>irányításának reformja, a szereplők közötti koordináció javítása, hatékonyságának fokozása és a K+F+I-be történő beruházások felg</w:t>
      </w:r>
      <w:r>
        <w:rPr>
          <w:noProof/>
        </w:rPr>
        <w:t xml:space="preserve">yorsítása révén, a következő elemek révén: </w:t>
      </w:r>
    </w:p>
    <w:p w14:paraId="4617937D" w14:textId="77777777" w:rsidR="003E1D81" w:rsidRDefault="00EB481C">
      <w:pPr>
        <w:pStyle w:val="P68B1DB1-Normal4"/>
        <w:numPr>
          <w:ilvl w:val="0"/>
          <w:numId w:val="63"/>
        </w:numPr>
        <w:spacing w:before="120" w:after="120" w:line="240" w:lineRule="auto"/>
        <w:jc w:val="both"/>
        <w:rPr>
          <w:rFonts w:cs="Times New Roman"/>
          <w:noProof/>
        </w:rPr>
      </w:pPr>
      <w:r>
        <w:rPr>
          <w:noProof/>
        </w:rPr>
        <w:t>Olyan egyértelmű és kiszámítható szabályozási keret kidolgozása, amely javítja az ágazat irányítását, növeli a K+F+I közpolitikák hatékonyságát, javítja a tudástranszfert és előmozdítja a K+F+I-be történő beruház</w:t>
      </w:r>
      <w:r>
        <w:rPr>
          <w:noProof/>
        </w:rPr>
        <w:t xml:space="preserve">ásokat; </w:t>
      </w:r>
    </w:p>
    <w:p w14:paraId="1181ED1E" w14:textId="77777777" w:rsidR="003E1D81" w:rsidRDefault="00EB481C">
      <w:pPr>
        <w:pStyle w:val="P68B1DB1-Normal4"/>
        <w:numPr>
          <w:ilvl w:val="0"/>
          <w:numId w:val="63"/>
        </w:numPr>
        <w:spacing w:before="120" w:after="120" w:line="240" w:lineRule="auto"/>
        <w:jc w:val="both"/>
        <w:rPr>
          <w:rFonts w:cs="Times New Roman"/>
          <w:noProof/>
        </w:rPr>
      </w:pPr>
      <w:r>
        <w:rPr>
          <w:noProof/>
        </w:rPr>
        <w:t xml:space="preserve">az infrastruktúrába, a berendezésekbe és a humán tőkébe történő beruházás; </w:t>
      </w:r>
    </w:p>
    <w:p w14:paraId="40724F0C" w14:textId="77777777" w:rsidR="003E1D81" w:rsidRDefault="00EB481C">
      <w:pPr>
        <w:pStyle w:val="P68B1DB1-Normal4"/>
        <w:numPr>
          <w:ilvl w:val="0"/>
          <w:numId w:val="63"/>
        </w:numPr>
        <w:spacing w:before="120" w:after="120" w:line="240" w:lineRule="auto"/>
        <w:jc w:val="both"/>
        <w:rPr>
          <w:rFonts w:cs="Times New Roman"/>
          <w:noProof/>
        </w:rPr>
      </w:pPr>
      <w:r>
        <w:rPr>
          <w:noProof/>
        </w:rPr>
        <w:t xml:space="preserve">beruházás a tudástranszferbe, a regionális K+F+I-be, a nemzeti K+F+I projektekbe és a köz- és magánszféra közötti partnerségekbe; és </w:t>
      </w:r>
    </w:p>
    <w:p w14:paraId="7C4F4D35" w14:textId="77777777" w:rsidR="003E1D81" w:rsidRDefault="00EB481C">
      <w:pPr>
        <w:pStyle w:val="P68B1DB1-Normal4"/>
        <w:numPr>
          <w:ilvl w:val="0"/>
          <w:numId w:val="63"/>
        </w:numPr>
        <w:spacing w:before="120" w:after="120" w:line="240" w:lineRule="auto"/>
        <w:jc w:val="both"/>
        <w:rPr>
          <w:rFonts w:cs="Times New Roman"/>
          <w:noProof/>
        </w:rPr>
      </w:pPr>
      <w:r>
        <w:rPr>
          <w:noProof/>
        </w:rPr>
        <w:t>az egészségügy, a környezetvédelem, a</w:t>
      </w:r>
      <w:r>
        <w:rPr>
          <w:noProof/>
        </w:rPr>
        <w:t xml:space="preserve">z éghajlatváltozás és az energia, a mikroelektronika és a félvezetők, a fenntartható gépjárműipar és a repüléstechnika stratégiai ágazataiban megvalósuló K+F+I beruházások. </w:t>
      </w:r>
    </w:p>
    <w:p w14:paraId="0951DFE5" w14:textId="50457BD3" w:rsidR="003E1D81" w:rsidRDefault="00EB481C">
      <w:pPr>
        <w:pStyle w:val="P68B1DB1-Normal4"/>
        <w:spacing w:before="120" w:after="0" w:line="240" w:lineRule="auto"/>
        <w:jc w:val="both"/>
        <w:rPr>
          <w:rFonts w:cs="Times New Roman"/>
          <w:noProof/>
        </w:rPr>
      </w:pPr>
      <w:r>
        <w:rPr>
          <w:noProof/>
        </w:rPr>
        <w:t>Ez a komponens az innovációba és az energiahatékonyságba történő beruházások előmo</w:t>
      </w:r>
      <w:r>
        <w:rPr>
          <w:noProof/>
        </w:rPr>
        <w:t xml:space="preserve">zdításáról, a kutatást és innovációt támogató szakpolitikák eredményességének fokozásáról (2019. évi 3. országspecifikus ajánlás), a köz- és </w:t>
      </w:r>
      <w:r>
        <w:rPr>
          <w:noProof/>
          <w:shd w:val="clear" w:color="auto" w:fill="FFFFFF"/>
        </w:rPr>
        <w:t xml:space="preserve">magánberuházások, valamint a kutatás és innováció előmozdításáról ( </w:t>
      </w:r>
      <w:r>
        <w:rPr>
          <w:noProof/>
        </w:rPr>
        <w:t xml:space="preserve">2020. évi 3. országspecifikus ajánlás), az </w:t>
      </w:r>
      <w:r>
        <w:rPr>
          <w:noProof/>
          <w:shd w:val="clear" w:color="auto" w:fill="FFFFFF"/>
        </w:rPr>
        <w:t>össz</w:t>
      </w:r>
      <w:r>
        <w:rPr>
          <w:noProof/>
          <w:shd w:val="clear" w:color="auto" w:fill="FFFFFF"/>
        </w:rPr>
        <w:t xml:space="preserve">es kormányzati szint koordinációjának javításáról (2020. évi 4. országspecifikus </w:t>
      </w:r>
      <w:r>
        <w:rPr>
          <w:noProof/>
        </w:rPr>
        <w:t>ajánlás), valamint a zöld és digitális átállásra, különösen a kutatás és az innováció előmozdítására irányuló beruházások összpontosításáról szóló országspecifikus ajánlásokka</w:t>
      </w:r>
      <w:r>
        <w:rPr>
          <w:noProof/>
        </w:rPr>
        <w:t>l foglalkozik (2021. évi 3. országspecifikus ajánlás).</w:t>
      </w:r>
    </w:p>
    <w:p w14:paraId="25070E90" w14:textId="77777777" w:rsidR="003E1D81" w:rsidRDefault="00EB481C">
      <w:pPr>
        <w:pStyle w:val="P68B1DB1-Normal4"/>
        <w:spacing w:before="120" w:after="0" w:line="240" w:lineRule="auto"/>
        <w:jc w:val="both"/>
        <w:rPr>
          <w:rFonts w:cs="Times New Roman"/>
          <w:noProof/>
        </w:rPr>
      </w:pPr>
      <w:r>
        <w:rPr>
          <w:noProof/>
        </w:rPr>
        <w:t>A jelentős károkozás elkerülését célzó elvről szóló technikai iránymutatásnak (2021/C58/01) megfelelően a helyreállítási és rezilienciaépítési tervben meghatározott intézkedések leírását és a helyreáll</w:t>
      </w:r>
      <w:r>
        <w:rPr>
          <w:noProof/>
        </w:rPr>
        <w:t xml:space="preserve">ítási és rezilienciaépítési tervben meghatározott enyhítő lépéseket figyelembe véve ebben a komponensben várhatóan egyetlen intézkedés sem sérti jelentős mértékben az (EU) 2020/852 rendelet 17. cikke szerinti környezeti célkitűzéseket. </w:t>
      </w:r>
    </w:p>
    <w:p w14:paraId="1AC670E6" w14:textId="77777777" w:rsidR="003E1D81" w:rsidRDefault="00EB481C">
      <w:pPr>
        <w:pStyle w:val="P68B1DB1-Normal5"/>
        <w:spacing w:before="120" w:after="120" w:line="240" w:lineRule="auto"/>
        <w:ind w:left="709"/>
        <w:jc w:val="both"/>
        <w:rPr>
          <w:rFonts w:cs="Times New Roman"/>
          <w:i/>
          <w:noProof/>
        </w:rPr>
      </w:pPr>
      <w:r>
        <w:rPr>
          <w:noProof/>
        </w:rPr>
        <w:t xml:space="preserve">KÉRDÉS: </w:t>
      </w:r>
      <w:r>
        <w:rPr>
          <w:noProof/>
        </w:rPr>
        <w:tab/>
        <w:t>Vissza nem</w:t>
      </w:r>
      <w:r>
        <w:rPr>
          <w:noProof/>
        </w:rPr>
        <w:t xml:space="preserve"> térítendő pénzügyi támogatás – a reformok és beruházások ismertetése</w:t>
      </w:r>
    </w:p>
    <w:p w14:paraId="49E5DF14" w14:textId="77777777" w:rsidR="003E1D81" w:rsidRDefault="00EB481C">
      <w:pPr>
        <w:pStyle w:val="P68B1DB1-Normal6"/>
        <w:spacing w:before="120" w:after="120" w:line="240" w:lineRule="auto"/>
        <w:jc w:val="both"/>
        <w:rPr>
          <w:rFonts w:cs="Times New Roman"/>
          <w:noProof/>
        </w:rPr>
      </w:pPr>
      <w:r>
        <w:rPr>
          <w:noProof/>
        </w:rPr>
        <w:t xml:space="preserve">Reform (C17.R1): A tudományról, a technológiáról és az innovációról szóló törvény reformja </w:t>
      </w:r>
    </w:p>
    <w:p w14:paraId="12ABCC99" w14:textId="77777777" w:rsidR="003E1D81" w:rsidRDefault="00EB481C">
      <w:pPr>
        <w:pStyle w:val="P68B1DB1-Normal4"/>
        <w:spacing w:before="120" w:after="120" w:line="240" w:lineRule="auto"/>
        <w:jc w:val="both"/>
        <w:rPr>
          <w:rFonts w:cs="Times New Roman"/>
          <w:noProof/>
        </w:rPr>
      </w:pPr>
      <w:r>
        <w:rPr>
          <w:noProof/>
        </w:rPr>
        <w:t>Ezen intézkedés célja a tudományos, technológiai és innovációs ágazat szabályozási keretének m</w:t>
      </w:r>
      <w:r>
        <w:rPr>
          <w:noProof/>
        </w:rPr>
        <w:t>egerősítése az ágazat irányításának és koordinációjának javítása, vonzó tudományos karrier létrehozása, valamint a kutatásból a társadalom számára alkalmazott termékekbe/szolgáltatásokba való tudástranszfer javítása érdekében. Spanyolország naprakésszé tes</w:t>
      </w:r>
      <w:r>
        <w:rPr>
          <w:noProof/>
        </w:rPr>
        <w:t>zi különösen a tudományról, a technológiáról és az innovációról szóló 14/2011. sz. törvényt, javítja a tudományos, kutatási és innovációs politikák összehangolását, javítja a spanyol tudománytechnológiai és innovációs rendszer irányítását és koordinációját</w:t>
      </w:r>
      <w:r>
        <w:rPr>
          <w:noProof/>
        </w:rPr>
        <w:t xml:space="preserve">, új tudományos karriert vezet be, és fokozza a tudástranszfert. </w:t>
      </w:r>
    </w:p>
    <w:p w14:paraId="63D4C440" w14:textId="77777777" w:rsidR="003E1D81" w:rsidRDefault="00EB481C">
      <w:pPr>
        <w:pStyle w:val="P68B1DB1-Normal4"/>
        <w:spacing w:before="120" w:after="120" w:line="240" w:lineRule="auto"/>
        <w:jc w:val="both"/>
        <w:rPr>
          <w:rFonts w:cs="Times New Roman"/>
          <w:noProof/>
        </w:rPr>
      </w:pPr>
      <w:r>
        <w:rPr>
          <w:noProof/>
        </w:rPr>
        <w:t>Ez az intézkedés az alábbiakban ismertetett C17.I1., C17.I4. és C17.I.5. pontban szereplő beruházásokhoz kapcsolódik.</w:t>
      </w:r>
    </w:p>
    <w:p w14:paraId="7479ADB4" w14:textId="77777777" w:rsidR="003E1D81" w:rsidRDefault="00EB481C">
      <w:pPr>
        <w:pStyle w:val="P68B1DB1-Normal4"/>
        <w:autoSpaceDE w:val="0"/>
        <w:autoSpaceDN w:val="0"/>
        <w:spacing w:before="40" w:after="40"/>
        <w:rPr>
          <w:rFonts w:cs="Times New Roman"/>
          <w:noProof/>
        </w:rPr>
      </w:pPr>
      <w:r>
        <w:rPr>
          <w:noProof/>
        </w:rPr>
        <w:t xml:space="preserve">Az intézkedés végrehajtását 2022. június 30-ig be kell fejezni. </w:t>
      </w:r>
    </w:p>
    <w:p w14:paraId="7B09C627" w14:textId="77777777" w:rsidR="003E1D81" w:rsidRDefault="00EB481C">
      <w:pPr>
        <w:pStyle w:val="P68B1DB1-Normal6"/>
        <w:spacing w:before="120" w:after="120" w:line="240" w:lineRule="auto"/>
        <w:jc w:val="both"/>
        <w:rPr>
          <w:rFonts w:cs="Times New Roman"/>
          <w:noProof/>
        </w:rPr>
      </w:pPr>
      <w:r>
        <w:rPr>
          <w:noProof/>
        </w:rPr>
        <w:t xml:space="preserve">Reform </w:t>
      </w:r>
      <w:r>
        <w:rPr>
          <w:noProof/>
        </w:rPr>
        <w:t>(C17.R2): A 2021–2027-es időszakra vonatkozó</w:t>
      </w:r>
      <w:bookmarkStart w:id="50" w:name="_Hlk60056026"/>
      <w:r>
        <w:rPr>
          <w:noProof/>
        </w:rPr>
        <w:t>spanyol tudományos, technológiai</w:t>
      </w:r>
      <w:bookmarkEnd w:id="50"/>
      <w:r>
        <w:rPr>
          <w:noProof/>
        </w:rPr>
        <w:t xml:space="preserve"> és innovációs stratégia és a tudományos, technológiai és innovációs információs rendszer</w:t>
      </w:r>
      <w:r>
        <w:rPr>
          <w:b/>
          <w:noProof/>
        </w:rPr>
        <w:t xml:space="preserve"> </w:t>
      </w:r>
      <w:r>
        <w:rPr>
          <w:noProof/>
        </w:rPr>
        <w:t>fejlett fejlesztése</w:t>
      </w:r>
    </w:p>
    <w:p w14:paraId="4103B86F" w14:textId="77777777" w:rsidR="003E1D81" w:rsidRDefault="00EB481C">
      <w:pPr>
        <w:pStyle w:val="P68B1DB1-Normal4"/>
        <w:spacing w:before="120" w:after="120" w:line="240" w:lineRule="auto"/>
        <w:jc w:val="both"/>
        <w:rPr>
          <w:rFonts w:cs="Times New Roman"/>
          <w:noProof/>
        </w:rPr>
      </w:pPr>
      <w:r>
        <w:rPr>
          <w:noProof/>
        </w:rPr>
        <w:t>Az intézkedés magában foglalja a 2021 és 2027 közötti időszakra vonatk</w:t>
      </w:r>
      <w:r>
        <w:rPr>
          <w:noProof/>
        </w:rPr>
        <w:t>ozó spanyol tudományos, technológiai és innovációs stratégia spanyol kormány általi elfogadását. A stratégia meghatározza az ágazat 2021 és 2027 közötti időszakra vonatkozó átfogó célkitűzéseit. A tudástranszfer fokozása érdekében a stratégia egyesítette a</w:t>
      </w:r>
      <w:r>
        <w:rPr>
          <w:noProof/>
        </w:rPr>
        <w:t xml:space="preserve"> korábban elkülönült tudományos és technológiai stratégiákat, valamint az innovációs stratégiát. A stratégia átfogó keretet biztosít mind a nemzeti, mind a regionális K+F+I tervekhez. E célból Spanyolország az Európai Regionális Fejlesztési Alap (ERFA) ker</w:t>
      </w:r>
      <w:r>
        <w:rPr>
          <w:noProof/>
        </w:rPr>
        <w:t xml:space="preserve">etében elfogadta Spanyolország intelligens szakosodási stratégiájára vonatkozó stratégiát, amely biztosítja a jövőbeli regionális intelligens szakosodási stratégiák struktúráját. </w:t>
      </w:r>
    </w:p>
    <w:p w14:paraId="46C75450" w14:textId="19D52536" w:rsidR="003E1D81" w:rsidRDefault="00EB481C">
      <w:pPr>
        <w:pStyle w:val="P68B1DB1-Normal4"/>
        <w:spacing w:before="120" w:after="120" w:line="240" w:lineRule="auto"/>
        <w:jc w:val="both"/>
        <w:rPr>
          <w:rFonts w:cs="Times New Roman"/>
          <w:noProof/>
        </w:rPr>
      </w:pPr>
      <w:r>
        <w:rPr>
          <w:noProof/>
        </w:rPr>
        <w:t>A Tudományos, Technológiai és Innovációs Politikai Tanács, amelynek elnöke a</w:t>
      </w:r>
      <w:r>
        <w:rPr>
          <w:noProof/>
        </w:rPr>
        <w:t xml:space="preserve"> Tudományos és Innovációs Minisztérium, a kulcsfontosságú minisztériumok és régiók képviseletével, kidolgozta a stratégiát. A stratégiáról konzultációt folytattak a legfontosabb érdekelt felekkel, többek között a magánszektorral, az állami kutatószervezete</w:t>
      </w:r>
      <w:r>
        <w:rPr>
          <w:noProof/>
        </w:rPr>
        <w:t xml:space="preserve">kkel és a civil társadalommal. A stratégia nyomon követésére és értékelésére bizottságot hoztak létre az állam, a régiók, a gazdasági és társadalmi szereplők, a tudományos és innovációs közösség, valamint a civil társadalom képviseletével. </w:t>
      </w:r>
    </w:p>
    <w:p w14:paraId="67FA60AB" w14:textId="77777777" w:rsidR="003E1D81" w:rsidRDefault="00EB481C">
      <w:pPr>
        <w:pStyle w:val="P68B1DB1-Normal4"/>
        <w:spacing w:before="120" w:after="120" w:line="240" w:lineRule="auto"/>
        <w:jc w:val="both"/>
        <w:rPr>
          <w:rFonts w:cs="Times New Roman"/>
          <w:noProof/>
        </w:rPr>
      </w:pPr>
      <w:r>
        <w:rPr>
          <w:noProof/>
        </w:rPr>
        <w:t>A stratégia ren</w:t>
      </w:r>
      <w:r>
        <w:rPr>
          <w:noProof/>
        </w:rPr>
        <w:t>delkezik éves nyomonkövetési jelentésekről, félidős értékelésről (2023 decemberéig), és a stratégia végső értékelését nyilvánosságra kell hozni. Az értékelések kitérnek a kutatás és fejlesztés területén Spanyolországnak tett országspecifikus ajánlások telj</w:t>
      </w:r>
      <w:r>
        <w:rPr>
          <w:noProof/>
        </w:rPr>
        <w:t>esítése terén elért eredményekre is. Ezen túlmenően ez az intézkedés kifejezetten a tudományos, technológiai és innovációs információs rendszer fejlesztésére, valamint a spanyol tudományos, technológiai és innovációs stratégia nyomon követésére szolgáló ad</w:t>
      </w:r>
      <w:r>
        <w:rPr>
          <w:noProof/>
        </w:rPr>
        <w:t>atgyűjtés és -elemzés javítására irányul.</w:t>
      </w:r>
    </w:p>
    <w:p w14:paraId="0B5B77A3" w14:textId="77777777" w:rsidR="003E1D81" w:rsidRDefault="00EB481C">
      <w:pPr>
        <w:pStyle w:val="P68B1DB1-Normal4"/>
        <w:autoSpaceDE w:val="0"/>
        <w:autoSpaceDN w:val="0"/>
        <w:spacing w:before="40" w:after="40"/>
        <w:rPr>
          <w:rFonts w:cs="Times New Roman"/>
          <w:noProof/>
        </w:rPr>
      </w:pPr>
      <w:r>
        <w:rPr>
          <w:noProof/>
        </w:rPr>
        <w:t xml:space="preserve">Az intézkedés végrehajtását 2023. december 31-ig be kell fejezni. </w:t>
      </w:r>
    </w:p>
    <w:p w14:paraId="4F0950D3" w14:textId="77777777" w:rsidR="003E1D81" w:rsidRDefault="00EB481C">
      <w:pPr>
        <w:pStyle w:val="P68B1DB1-Normal6"/>
        <w:spacing w:before="120" w:after="120" w:line="240" w:lineRule="auto"/>
        <w:jc w:val="both"/>
        <w:rPr>
          <w:rFonts w:cs="Times New Roman"/>
          <w:noProof/>
        </w:rPr>
      </w:pPr>
      <w:r>
        <w:rPr>
          <w:noProof/>
        </w:rPr>
        <w:t xml:space="preserve">Reform (C17.R3): Az állami </w:t>
      </w:r>
      <w:bookmarkStart w:id="51" w:name="_Hlk60056040"/>
      <w:r>
        <w:rPr>
          <w:noProof/>
        </w:rPr>
        <w:t xml:space="preserve">kutatási szervezetek </w:t>
      </w:r>
      <w:bookmarkEnd w:id="51"/>
      <w:r>
        <w:rPr>
          <w:noProof/>
        </w:rPr>
        <w:t>átszervezése, felépítésük és működésük ésszerűsítése</w:t>
      </w:r>
    </w:p>
    <w:p w14:paraId="336E99BA" w14:textId="77777777" w:rsidR="003E1D81" w:rsidRDefault="00EB481C">
      <w:pPr>
        <w:pStyle w:val="P68B1DB1-Normal4"/>
        <w:spacing w:before="120" w:after="120" w:line="240" w:lineRule="auto"/>
        <w:jc w:val="both"/>
        <w:rPr>
          <w:rFonts w:cs="Times New Roman"/>
          <w:noProof/>
        </w:rPr>
      </w:pPr>
      <w:r>
        <w:rPr>
          <w:noProof/>
        </w:rPr>
        <w:t>Ezen intézkedés célja, hogy a kihívások elemzé</w:t>
      </w:r>
      <w:r>
        <w:rPr>
          <w:noProof/>
        </w:rPr>
        <w:t>sét követően növelje az állami kutatási szervezetek (PRO) hatékonyságát a termelői szervezetek átszervezése révén, beleértve azok irányítási struktúráját is. 2021 elején egy szakértői bizottság elemezte a termelői szervezeteket, és arra a következtetésre j</w:t>
      </w:r>
      <w:r>
        <w:rPr>
          <w:noProof/>
        </w:rPr>
        <w:t xml:space="preserve">utott, hogy a nagyobb, független és rugalmas kutatási ügynökségek jobb struktúrákkal rendelkeznek a versenyhez. </w:t>
      </w:r>
    </w:p>
    <w:p w14:paraId="350C3DB4" w14:textId="21014EE7" w:rsidR="003E1D81" w:rsidRDefault="00EB481C">
      <w:pPr>
        <w:pStyle w:val="P68B1DB1-Normal4"/>
        <w:spacing w:before="120" w:after="120" w:line="240" w:lineRule="auto"/>
        <w:jc w:val="both"/>
        <w:rPr>
          <w:rFonts w:cs="Times New Roman"/>
          <w:noProof/>
        </w:rPr>
      </w:pPr>
      <w:r>
        <w:rPr>
          <w:noProof/>
        </w:rPr>
        <w:t>Ezt az elemzést követően Spanyolország a spanyol Nemzeti Kutatási Tanácsba (</w:t>
      </w:r>
      <w:r>
        <w:rPr>
          <w:i/>
          <w:noProof/>
        </w:rPr>
        <w:t>Centro Superior de Investigaciones Científicas</w:t>
      </w:r>
      <w:r>
        <w:rPr>
          <w:noProof/>
        </w:rPr>
        <w:t>, CSIC) három termelő</w:t>
      </w:r>
      <w:r>
        <w:rPr>
          <w:noProof/>
        </w:rPr>
        <w:t>i szervezetet integrál: a Nemzeti Mezőgazdasági és Élelmiszerkutató Intézet (</w:t>
      </w:r>
      <w:r>
        <w:rPr>
          <w:i/>
          <w:noProof/>
        </w:rPr>
        <w:t>Instituto Nacional de Investigación y Tecnología Agraria</w:t>
      </w:r>
      <w:r>
        <w:rPr>
          <w:noProof/>
        </w:rPr>
        <w:t>, INIA), a Spanyol Oceanográfiai Intézet (</w:t>
      </w:r>
      <w:r>
        <w:rPr>
          <w:i/>
          <w:noProof/>
        </w:rPr>
        <w:t>Instituto Español de Oceanografía</w:t>
      </w:r>
      <w:r>
        <w:rPr>
          <w:noProof/>
        </w:rPr>
        <w:t>,</w:t>
      </w:r>
      <w:r>
        <w:rPr>
          <w:noProof/>
          <w:shd w:val="clear" w:color="auto" w:fill="E6E6E6"/>
        </w:rPr>
        <w:t xml:space="preserve"> </w:t>
      </w:r>
      <w:r>
        <w:rPr>
          <w:noProof/>
        </w:rPr>
        <w:t xml:space="preserve">IEO) és a Spanyol Földtani és Bányászati </w:t>
      </w:r>
      <w:r>
        <w:rPr>
          <w:noProof/>
        </w:rPr>
        <w:t>Intézet (</w:t>
      </w:r>
      <w:r>
        <w:rPr>
          <w:i/>
          <w:noProof/>
        </w:rPr>
        <w:t>Instituto Geológico Minero de España</w:t>
      </w:r>
      <w:r>
        <w:rPr>
          <w:noProof/>
        </w:rPr>
        <w:t>, IGME). Ez az átszervezés megerősíti Spanyolország szakértői kapacitáspolitikáját, az agrár-élelmiszeripari és ökológiai átmenetet. A három operatív szervezet jogi szabályozása állami ügynökség, amely nagyobb r</w:t>
      </w:r>
      <w:r>
        <w:rPr>
          <w:noProof/>
        </w:rPr>
        <w:t>ugalmasságot és teljesítményalapú keretet biztosít egy többéves irányítási szerződésben. Spanyolország továbbá teljesítményalapú költségvetés-tervezést vezet be. A reformnak meg kell erősítenie a létrejövő szervezet irányítását, teljesítményének értékelésé</w:t>
      </w:r>
      <w:r>
        <w:rPr>
          <w:noProof/>
        </w:rPr>
        <w:t xml:space="preserve">t és ellenőrzését. </w:t>
      </w:r>
    </w:p>
    <w:p w14:paraId="31A7E0A8" w14:textId="77777777" w:rsidR="003E1D81" w:rsidRDefault="00EB481C">
      <w:pPr>
        <w:pStyle w:val="P68B1DB1-Text119"/>
        <w:ind w:left="0"/>
        <w:rPr>
          <w:rFonts w:cs="Times New Roman"/>
          <w:noProof/>
        </w:rPr>
      </w:pPr>
      <w:r>
        <w:rPr>
          <w:noProof/>
        </w:rPr>
        <w:t xml:space="preserve">Az intézkedés végrehajtását 2022. december 31-ig be kell fejezni. </w:t>
      </w:r>
    </w:p>
    <w:p w14:paraId="106264B3" w14:textId="16AD2061" w:rsidR="003E1D81" w:rsidRDefault="00EB481C">
      <w:pPr>
        <w:pStyle w:val="P68B1DB1-Normal6"/>
        <w:keepNext/>
        <w:spacing w:before="120" w:after="120" w:line="240" w:lineRule="auto"/>
        <w:jc w:val="both"/>
        <w:rPr>
          <w:rFonts w:cs="Times New Roman"/>
          <w:noProof/>
        </w:rPr>
      </w:pPr>
      <w:r>
        <w:rPr>
          <w:noProof/>
        </w:rPr>
        <w:t>Beruházás (C17.I1): Kiegészítő kutatási és fejlesztési tervek autonóm közösségekkel</w:t>
      </w:r>
    </w:p>
    <w:p w14:paraId="29BDEE70" w14:textId="0ABFE5C9" w:rsidR="003E1D81" w:rsidRDefault="00EB481C">
      <w:pPr>
        <w:pStyle w:val="P68B1DB1-Normal4"/>
        <w:keepNext/>
        <w:spacing w:before="120" w:after="120" w:line="240" w:lineRule="auto"/>
        <w:jc w:val="both"/>
        <w:rPr>
          <w:rFonts w:cs="Times New Roman"/>
          <w:noProof/>
        </w:rPr>
      </w:pPr>
      <w:r>
        <w:rPr>
          <w:noProof/>
        </w:rPr>
        <w:t>Ezen intézkedés célja az állami szint és a K+F+I területén a régiók közötti koordinác</w:t>
      </w:r>
      <w:r>
        <w:rPr>
          <w:noProof/>
        </w:rPr>
        <w:t>ió előmozdítása a Helyreállítási és Rezilienciaépítési Eszköz és a régiók által társfinanszírozandó kiegészítő K+F+I tervek létrehozása révén. Ez az új eszköz tovább erősíti a régiók közötti együttműködést is, mivel azok saját regionális intelligens szakos</w:t>
      </w:r>
      <w:r>
        <w:rPr>
          <w:noProof/>
        </w:rPr>
        <w:t xml:space="preserve">odási stratégiáik (RIS3) keretében közös prioritásokat határoznak meg. </w:t>
      </w:r>
    </w:p>
    <w:p w14:paraId="7670F622" w14:textId="4B3D0054" w:rsidR="003E1D81" w:rsidRDefault="00EB481C">
      <w:pPr>
        <w:pStyle w:val="P68B1DB1-Normal4"/>
        <w:spacing w:before="120" w:after="120" w:line="240" w:lineRule="auto"/>
        <w:jc w:val="both"/>
        <w:rPr>
          <w:rFonts w:cs="Times New Roman"/>
          <w:noProof/>
        </w:rPr>
      </w:pPr>
      <w:r>
        <w:rPr>
          <w:noProof/>
        </w:rPr>
        <w:t>A 2021 és 2027 közötti időszakra vonatkozó spanyol tudományos, technológiai és innovációs stratégiával összhangban a kiegészítő terveknek javítaniuk kell a tudástermelést és a technoló</w:t>
      </w:r>
      <w:r>
        <w:rPr>
          <w:noProof/>
        </w:rPr>
        <w:t>giai innovációt, a különböző kormányzati szintek koordinációját, és ösztönözniük kell a területi gazdasági átalakulást a következő stratégiai területeken: kvantumkommunikáció, energia és zöld hidrogén, agrár-élelmiszeripar, biológiai sokféleség, asztrofizi</w:t>
      </w:r>
      <w:r>
        <w:rPr>
          <w:noProof/>
        </w:rPr>
        <w:t>ka és nagy energiájú fizika, tengertudomány, anyagtudomány és az egészségre alkalmazott biotechnológia. A területi szinergiák kiépítése érdekében a kiegészítő tervek több régió részvételét irányozzák elő egy programban, és lehetőséget biztosítanak több pro</w:t>
      </w:r>
      <w:r>
        <w:rPr>
          <w:noProof/>
        </w:rPr>
        <w:t>gramban való részvételre. Így lehetőség van arra, hogy a konkrét regionális kapacitásokat több tervbe is beépítsék és mozgósítsák. A tervek két vagy három évig tartanak, és a régiók részéről társfinanszírozási kötelezettségvállalásokat igényelnek.</w:t>
      </w:r>
    </w:p>
    <w:p w14:paraId="669F6013" w14:textId="77777777" w:rsidR="003E1D81" w:rsidRDefault="00EB481C">
      <w:pPr>
        <w:pStyle w:val="P68B1DB1-Normal4"/>
        <w:spacing w:before="120" w:after="120" w:line="240" w:lineRule="auto"/>
        <w:jc w:val="both"/>
        <w:rPr>
          <w:rFonts w:cs="Times New Roman"/>
          <w:noProof/>
        </w:rPr>
      </w:pPr>
      <w:r>
        <w:rPr>
          <w:noProof/>
        </w:rPr>
        <w:t>Az e ber</w:t>
      </w:r>
      <w:r>
        <w:rPr>
          <w:noProof/>
        </w:rPr>
        <w:t xml:space="preserve">uházás keretében végrehajtott intézkedések közé tartozik nyolc pénzügyi megállapodás aláírása a Tudományos és Innovációs Minisztérium és a régiók között. </w:t>
      </w:r>
    </w:p>
    <w:p w14:paraId="0B359E22" w14:textId="77777777" w:rsidR="003E1D81" w:rsidRDefault="00EB481C">
      <w:pPr>
        <w:pStyle w:val="P68B1DB1-Text119"/>
        <w:ind w:left="0"/>
        <w:rPr>
          <w:rFonts w:cs="Times New Roman"/>
          <w:noProof/>
        </w:rPr>
      </w:pPr>
      <w:r>
        <w:rPr>
          <w:noProof/>
        </w:rPr>
        <w:t xml:space="preserve">A beruházás végrehajtását 2025. december 31-ig be kell fejezni. </w:t>
      </w:r>
    </w:p>
    <w:p w14:paraId="2300410A" w14:textId="77777777" w:rsidR="003E1D81" w:rsidRDefault="00EB481C">
      <w:pPr>
        <w:pStyle w:val="P68B1DB1-Normal6"/>
        <w:spacing w:before="120" w:after="120" w:line="240" w:lineRule="auto"/>
        <w:jc w:val="both"/>
        <w:rPr>
          <w:rFonts w:cs="Times New Roman"/>
          <w:noProof/>
        </w:rPr>
      </w:pPr>
      <w:r>
        <w:rPr>
          <w:noProof/>
        </w:rPr>
        <w:t>Beruházás (C17.I2): Az állami tudomá</w:t>
      </w:r>
      <w:r>
        <w:rPr>
          <w:noProof/>
        </w:rPr>
        <w:t xml:space="preserve">nyos, technológiai és innovációs rendszer kapacitásának, infrastruktúrájának és felszerelésének megerősítése </w:t>
      </w:r>
    </w:p>
    <w:p w14:paraId="5BCBE96F" w14:textId="77777777" w:rsidR="003E1D81" w:rsidRDefault="00EB481C">
      <w:pPr>
        <w:pStyle w:val="P68B1DB1-Normal4"/>
        <w:spacing w:before="120" w:after="120" w:line="240" w:lineRule="auto"/>
        <w:jc w:val="both"/>
        <w:rPr>
          <w:rFonts w:cs="Times New Roman"/>
          <w:noProof/>
        </w:rPr>
      </w:pPr>
      <w:r>
        <w:rPr>
          <w:noProof/>
        </w:rPr>
        <w:t>Ennek a beruházásnak a K+F+I rendszer műszaki tudományos berendezéseinek és infrastruktúrájának biztosítására, fejlesztésére és korszerűsítésére k</w:t>
      </w:r>
      <w:r>
        <w:rPr>
          <w:noProof/>
        </w:rPr>
        <w:t xml:space="preserve">ell összpontosítania a kiváló kutatás elősegítése és a rendszer versenyképességének javítása érdekében. </w:t>
      </w:r>
    </w:p>
    <w:p w14:paraId="38C72822" w14:textId="77777777" w:rsidR="003E1D81" w:rsidRDefault="00EB481C">
      <w:pPr>
        <w:pStyle w:val="P68B1DB1-Normal4"/>
        <w:spacing w:before="120" w:after="120" w:line="240" w:lineRule="auto"/>
        <w:jc w:val="both"/>
        <w:rPr>
          <w:rFonts w:cs="Times New Roman"/>
          <w:noProof/>
        </w:rPr>
      </w:pPr>
      <w:r>
        <w:rPr>
          <w:noProof/>
        </w:rPr>
        <w:t xml:space="preserve">Ez a beruházás pályázati felhívások útján támogatja a tudományos, technológiai és innovációs ágazat infrastruktúráját és berendezéseit. A beruházásnak </w:t>
      </w:r>
      <w:r>
        <w:rPr>
          <w:noProof/>
        </w:rPr>
        <w:t>a helyreállítási, korszerűsítési vagy új nemzeti stratégiai infrastruktúrát is finanszíroznia kell, például: a fertőző kórokozók jelentette új kihívásoknak való megfelelést szolgáló, 3. szintű létesítményi infrastruktúra, új fitogenetikai növény építése, ú</w:t>
      </w:r>
      <w:r>
        <w:rPr>
          <w:noProof/>
        </w:rPr>
        <w:t xml:space="preserve">j fejlett optikai központ létrehozása, valamint a </w:t>
      </w:r>
      <w:r>
        <w:rPr>
          <w:i/>
          <w:noProof/>
        </w:rPr>
        <w:t>Centro de Investigaciones Energéticas, Medioambientales y Tecnológicas (</w:t>
      </w:r>
      <w:r>
        <w:rPr>
          <w:noProof/>
        </w:rPr>
        <w:t xml:space="preserve"> CIEMAT) infrastruktúrájának korszerűsítése a megújuló energiával kapcsolatos kutatások elvégzéséhez szükséges infrastruktúrával. Az e</w:t>
      </w:r>
      <w:r>
        <w:rPr>
          <w:noProof/>
        </w:rPr>
        <w:t xml:space="preserve"> beruházás keretében támogatandó konkrét intézkedések közé tartoznak a Spanyolországban található nagy tudományos infrastruktúrák, különösen azok, amelyek az egyedi tudományos és műszaki infrastruktúrák térképében (</w:t>
      </w:r>
      <w:r>
        <w:rPr>
          <w:i/>
          <w:noProof/>
        </w:rPr>
        <w:t>Mapa de Infraestructuras Científicas y Té</w:t>
      </w:r>
      <w:r>
        <w:rPr>
          <w:i/>
          <w:noProof/>
        </w:rPr>
        <w:t>cnicas Singulares</w:t>
      </w:r>
      <w:r>
        <w:rPr>
          <w:noProof/>
        </w:rPr>
        <w:t xml:space="preserve">) szerepelnek. A beruházásnak továbbá támogatnia kell többek között az olyan európai és nemzetközi infrastruktúrákat, mint a CERN és a mélyföld alatti Neutrino Experiment. </w:t>
      </w:r>
    </w:p>
    <w:p w14:paraId="4B5B6DE7" w14:textId="77777777" w:rsidR="003E1D81" w:rsidRDefault="00EB481C">
      <w:pPr>
        <w:pStyle w:val="P68B1DB1-Normal4"/>
        <w:spacing w:before="120" w:after="120" w:line="240" w:lineRule="auto"/>
        <w:jc w:val="both"/>
        <w:rPr>
          <w:rFonts w:cs="Times New Roman"/>
          <w:noProof/>
        </w:rPr>
      </w:pPr>
      <w:r>
        <w:rPr>
          <w:noProof/>
        </w:rPr>
        <w:t>A beruházás emellett számos támogatási felhívást is tartalmaz a sp</w:t>
      </w:r>
      <w:r>
        <w:rPr>
          <w:noProof/>
        </w:rPr>
        <w:t>anyol K+F+I rendszer nemzetköziesítési kapacitásának növelése érdekében, beleértve a következőket: felhívás az európai projektirányításra, pályázati felhívás az Európa 2020 kutatásra, a 2020-as Európa kiválóságra, 2022-ra és 2023-ra. A beruházás a K+F irán</w:t>
      </w:r>
      <w:r>
        <w:rPr>
          <w:noProof/>
        </w:rPr>
        <w:t xml:space="preserve">yítás digitalizálását is előirányozza. </w:t>
      </w:r>
    </w:p>
    <w:p w14:paraId="0D9410AF" w14:textId="4E6478F4" w:rsidR="003E1D81" w:rsidRDefault="00EB481C">
      <w:pPr>
        <w:pStyle w:val="P68B1DB1-Normal4"/>
        <w:spacing w:before="120" w:after="120" w:line="240" w:lineRule="auto"/>
        <w:jc w:val="both"/>
        <w:rPr>
          <w:rFonts w:cs="Times New Roman"/>
          <w:noProof/>
        </w:rPr>
      </w:pPr>
      <w:r>
        <w:rPr>
          <w:noProof/>
        </w:rPr>
        <w:t xml:space="preserve"> Az e beruházás keretében végrehajtott intézkedésekre pályázati felhívások és közvetlen közberuházások útján kerül sor. </w:t>
      </w:r>
    </w:p>
    <w:p w14:paraId="0450D448" w14:textId="650D5B3C" w:rsidR="003E1D81" w:rsidRDefault="00EB481C">
      <w:pPr>
        <w:pStyle w:val="P68B1DB1-Normal4"/>
        <w:spacing w:before="120" w:after="120" w:line="240" w:lineRule="auto"/>
        <w:jc w:val="both"/>
        <w:rPr>
          <w:rFonts w:cs="Times New Roman"/>
          <w:noProof/>
        </w:rPr>
      </w:pPr>
      <w:r>
        <w:rPr>
          <w:noProof/>
        </w:rPr>
        <w:t xml:space="preserve">Emellett a </w:t>
      </w:r>
      <w:r>
        <w:rPr>
          <w:i/>
          <w:noProof/>
        </w:rPr>
        <w:t>helyreállítási és gazdasági átalakulási stratégiai projekt (PERTE Chip</w:t>
      </w:r>
      <w:r>
        <w:rPr>
          <w:noProof/>
        </w:rPr>
        <w:t xml:space="preserve">) keretében a </w:t>
      </w:r>
      <w:r>
        <w:rPr>
          <w:noProof/>
        </w:rPr>
        <w:t>beruházásoknak támogatniuk kell a félvezető- és mikroelektronikai ágazat értékláncában megvalósuló kutatási fejlesztési és innovációs projekteket. A beruházásokat konkrétan a tiszta szobák építésére, a terület növelésére, a meglévő infrastruktúra és berend</w:t>
      </w:r>
      <w:r>
        <w:rPr>
          <w:noProof/>
        </w:rPr>
        <w:t>ezések megerősítésére (a CSIC Nemzeti Mikroelektronikai Központja és a szétosztott MICRONANOFABS egyedi tudományos és műszaki infrastruktúra (ICTS)), valamint a szuperszámítógépekhez kapcsolódó félvezetők területén meglévő kapacitások megerősítésére irányu</w:t>
      </w:r>
      <w:r>
        <w:rPr>
          <w:noProof/>
        </w:rPr>
        <w:t>ló intézkedésekbe (Mare Nostrum 5, a szuperszámítógépek spanyol hálózata (RES) és a nemzeti oktatási és kutatási kommunikációs hálózat (RedIRIS), valamint Spanyolország hozzájárulása a partnerségi keretmegállapodásra vonatkozó közös vállalkozáshoz a RISC-V</w:t>
      </w:r>
      <w:r>
        <w:rPr>
          <w:noProof/>
        </w:rPr>
        <w:t xml:space="preserve">-n alapuló ökoszisztémával rendelkező nagy teljesítményű számítástechnikára irányuló nagyszabású európai kezdeményezés kidolgozása érdekében. </w:t>
      </w:r>
    </w:p>
    <w:p w14:paraId="2BC2CF30" w14:textId="39A6DA18" w:rsidR="003E1D81" w:rsidRDefault="00EB481C">
      <w:pPr>
        <w:pStyle w:val="P68B1DB1-Text119"/>
        <w:ind w:left="0"/>
        <w:rPr>
          <w:rFonts w:cs="Times New Roman"/>
          <w:noProof/>
        </w:rPr>
      </w:pPr>
      <w:r>
        <w:rPr>
          <w:noProof/>
        </w:rPr>
        <w:t xml:space="preserve">A beruházás végrehajtását 2026. </w:t>
      </w:r>
      <w:r>
        <w:rPr>
          <w:noProof/>
          <w:shd w:val="clear" w:color="auto" w:fill="FFFFFF" w:themeFill="background1"/>
        </w:rPr>
        <w:t>augusztus</w:t>
      </w:r>
      <w:r>
        <w:rPr>
          <w:noProof/>
        </w:rPr>
        <w:t xml:space="preserve"> 31-ig be kell fejezni.</w:t>
      </w:r>
      <w:r>
        <w:rPr>
          <w:noProof/>
          <w:shd w:val="clear" w:color="auto" w:fill="E6E6E6"/>
        </w:rPr>
        <w:t xml:space="preserve"> </w:t>
      </w:r>
    </w:p>
    <w:p w14:paraId="6B9333B6" w14:textId="77777777" w:rsidR="003E1D81" w:rsidRDefault="00EB481C">
      <w:pPr>
        <w:pStyle w:val="P68B1DB1-Normal6"/>
        <w:spacing w:before="120" w:after="120" w:line="240" w:lineRule="auto"/>
        <w:jc w:val="both"/>
        <w:rPr>
          <w:rFonts w:cs="Times New Roman"/>
          <w:noProof/>
        </w:rPr>
      </w:pPr>
      <w:r>
        <w:rPr>
          <w:noProof/>
        </w:rPr>
        <w:t>Beruházás (C17.I3): Új magán-, interdiszcipliná</w:t>
      </w:r>
      <w:r>
        <w:rPr>
          <w:noProof/>
        </w:rPr>
        <w:t>ris, állami K+F+I projektek, koncepciótesztek és támogatás odaítélése nemzetközi versenyfelhívások eredményeként. A társadalmi kihívásokhoz igazodó, élvonalbeli K+F. Kereskedelmi hasznosítást megelőző közbeszerzés:</w:t>
      </w:r>
    </w:p>
    <w:p w14:paraId="0933ADB4" w14:textId="4A3CB5EE" w:rsidR="003E1D81" w:rsidRDefault="00EB481C">
      <w:pPr>
        <w:pStyle w:val="P68B1DB1-Normal4"/>
        <w:spacing w:before="120" w:after="120" w:line="240" w:lineRule="auto"/>
        <w:jc w:val="both"/>
        <w:rPr>
          <w:rFonts w:cs="Times New Roman"/>
          <w:noProof/>
        </w:rPr>
      </w:pPr>
      <w:r>
        <w:rPr>
          <w:noProof/>
        </w:rPr>
        <w:t>Az e beruházás keretében megvalósuló tevékenységek célja a tudásteremtés, a tudástranszfer és a köz- és magánszféra közötti partnerségek megerősítése a K+F+I területén. Az e beruházás keretében megvalósuló cselekvéseken keresztül fokozni kell a magánszekto</w:t>
      </w:r>
      <w:r>
        <w:rPr>
          <w:noProof/>
        </w:rPr>
        <w:t>rban folytatott kutatási és innovációs tevékenységet, és meg kell erősíteni az állami kutatási szervezetek és a magánszektor közötti együttműködést. Az intézkedés célja továbbá a K+F+I tevékenységek fokozása olyan stratégiai területeken, mint a zöld és dig</w:t>
      </w:r>
      <w:r>
        <w:rPr>
          <w:noProof/>
        </w:rPr>
        <w:t xml:space="preserve">itális átállás, valamint a spanyol kutatócsoportok nemzetközivé válásának fokozása. </w:t>
      </w:r>
    </w:p>
    <w:p w14:paraId="1E9B8B1D" w14:textId="0DF6FB71" w:rsidR="003E1D81" w:rsidRDefault="00EB481C">
      <w:pPr>
        <w:pStyle w:val="P68B1DB1-Normal4"/>
        <w:spacing w:before="120" w:after="120" w:line="240" w:lineRule="auto"/>
        <w:jc w:val="both"/>
        <w:rPr>
          <w:rFonts w:cs="Times New Roman"/>
          <w:noProof/>
        </w:rPr>
      </w:pPr>
      <w:r>
        <w:rPr>
          <w:noProof/>
        </w:rPr>
        <w:t xml:space="preserve">E beruházás keretében kilenc pályázati felhívást irányoztak elő: </w:t>
      </w:r>
      <w:r>
        <w:rPr>
          <w:i/>
          <w:noProof/>
        </w:rPr>
        <w:t>A koncepcióigazolási</w:t>
      </w:r>
      <w:r>
        <w:rPr>
          <w:noProof/>
        </w:rPr>
        <w:t xml:space="preserve"> felhívás a kísérleti fejlesztés korai szakaszában lévő projekteket finanszíroz a tudo</w:t>
      </w:r>
      <w:r>
        <w:rPr>
          <w:noProof/>
        </w:rPr>
        <w:t xml:space="preserve">mányos ismeretek termékekké vagy szolgáltatásokká való átalakításának felgyorsítása érdekében, 2) az </w:t>
      </w:r>
      <w:r>
        <w:rPr>
          <w:i/>
          <w:noProof/>
        </w:rPr>
        <w:t>interdiszciplináris projektekre vonatkozó pályázati felhívás a spanyol K+F+I versenyképességet fokozó köz-magán konzorciumok projektjeit finanszírozza</w:t>
      </w:r>
      <w:r>
        <w:rPr>
          <w:noProof/>
        </w:rPr>
        <w:t xml:space="preserve">, 3) </w:t>
      </w:r>
      <w:r>
        <w:rPr>
          <w:noProof/>
        </w:rPr>
        <w:t xml:space="preserve">a zöld és digitális átálláshoz kapcsolódó K </w:t>
      </w:r>
      <w:r>
        <w:rPr>
          <w:i/>
          <w:noProof/>
        </w:rPr>
        <w:t>+F+I projektekre</w:t>
      </w:r>
      <w:r>
        <w:rPr>
          <w:noProof/>
        </w:rPr>
        <w:t xml:space="preserve"> vonatkozó felhívás; 4. felhívás a köz- és </w:t>
      </w:r>
      <w:r>
        <w:rPr>
          <w:i/>
          <w:noProof/>
        </w:rPr>
        <w:t>magánszféra közötti együttműködési projektekre a piacközeli</w:t>
      </w:r>
      <w:r>
        <w:rPr>
          <w:noProof/>
        </w:rPr>
        <w:t xml:space="preserve"> eredmények elérésére irányuló, magasabb technológiai felkészültségi szintű projektek finanszí</w:t>
      </w:r>
      <w:r>
        <w:rPr>
          <w:noProof/>
        </w:rPr>
        <w:t xml:space="preserve">rozása érdekében, felhívás olyan spanyol állami kutatók projektjeinek </w:t>
      </w:r>
      <w:r>
        <w:rPr>
          <w:i/>
          <w:noProof/>
        </w:rPr>
        <w:t>finanszírozására</w:t>
      </w:r>
      <w:r>
        <w:rPr>
          <w:noProof/>
        </w:rPr>
        <w:t>, amelyek részét képezik a Horizont 2020 és a Horizont Európa partnerségek által finanszírozásra kiválasztott projekteknek, 6) a társadalmi kihívások – többek között a bi</w:t>
      </w:r>
      <w:r>
        <w:rPr>
          <w:noProof/>
        </w:rPr>
        <w:t xml:space="preserve">ztonságos, hatékony és tiszta energia vagy a kiberbiztonság – kezelésére irányuló K+F-felhívás, 7) kereskedelmi hasznosítást megelőző közbeszerzés finanszírozására vonatkozó felhívás, </w:t>
      </w:r>
      <w:r>
        <w:rPr>
          <w:i/>
          <w:noProof/>
        </w:rPr>
        <w:t>8</w:t>
      </w:r>
      <w:r>
        <w:rPr>
          <w:noProof/>
        </w:rPr>
        <w:t>) felhívás a félvezetőkkel kapcsolatos K+F+I projektekre (a PERTE-chiph</w:t>
      </w:r>
      <w:r>
        <w:rPr>
          <w:noProof/>
        </w:rPr>
        <w:t>ez kapcsolódó tudományos és innovációs küldetések), valamint 9) a félvezetőkkel kapcsolatos koncepcióigazolásokra vonatkozó felhívás.</w:t>
      </w:r>
    </w:p>
    <w:p w14:paraId="50349E44" w14:textId="4E3B3581" w:rsidR="003E1D81" w:rsidRDefault="00EB481C">
      <w:pPr>
        <w:pStyle w:val="P68B1DB1-Normal4"/>
        <w:spacing w:before="120" w:after="120" w:line="240" w:lineRule="auto"/>
        <w:jc w:val="both"/>
        <w:rPr>
          <w:rFonts w:cs="Times New Roman"/>
          <w:noProof/>
        </w:rPr>
      </w:pPr>
      <w:r>
        <w:rPr>
          <w:noProof/>
        </w:rPr>
        <w:t>Az ezen intézkedés szerinti beruházásokra a 2020–2026-os időszakban kerül sor, és a pályázati felhívásokat és a kereskedel</w:t>
      </w:r>
      <w:r>
        <w:rPr>
          <w:noProof/>
        </w:rPr>
        <w:t xml:space="preserve">mi hasznosítást megelőző közbeszerzést a 2020–2025-ös időszakra kell összpontosítani, míg az összetettebb beruházások némelyikének végrehajtása 2026-ig tart.   </w:t>
      </w:r>
    </w:p>
    <w:p w14:paraId="0DA88287" w14:textId="161C4647" w:rsidR="003E1D81" w:rsidRDefault="00EB481C">
      <w:pPr>
        <w:pStyle w:val="Text1"/>
        <w:ind w:left="0"/>
        <w:rPr>
          <w:rFonts w:ascii="Times New Roman" w:hAnsi="Times New Roman" w:cs="Times New Roman"/>
          <w:noProof/>
        </w:rPr>
      </w:pPr>
      <w:r>
        <w:rPr>
          <w:rFonts w:ascii="Times New Roman" w:hAnsi="Times New Roman"/>
          <w:noProof/>
        </w:rPr>
        <w:t>Annak biztosítása érdekében, hogy az intézkedés megfeleljen a jelentős károkozás elkerülését cé</w:t>
      </w:r>
      <w:r>
        <w:rPr>
          <w:rFonts w:ascii="Times New Roman" w:hAnsi="Times New Roman"/>
          <w:noProof/>
        </w:rPr>
        <w:t>lzó elvről szóló technikai iránymutatásnak (2021/C58/01), a soron következő pályázati felhívásokra vonatkozó feladatmeghatározásban szereplő támogathatósági kritériumok nem tartalmazzák a tevékenységek alábbi listáját: a fosszilis tüzelőanyagokhoz kapcsoló</w:t>
      </w:r>
      <w:r>
        <w:rPr>
          <w:rFonts w:ascii="Times New Roman" w:hAnsi="Times New Roman"/>
          <w:noProof/>
        </w:rPr>
        <w:t>dó tevékenységek, beleértve a továbbfelhasználást is</w:t>
      </w:r>
      <w:r>
        <w:rPr>
          <w:rStyle w:val="FootnoteReference"/>
          <w:rFonts w:ascii="Times New Roman" w:hAnsi="Times New Roman" w:cs="Times New Roman"/>
          <w:noProof/>
        </w:rPr>
        <w:footnoteReference w:id="161"/>
      </w:r>
      <w:r>
        <w:rPr>
          <w:rFonts w:ascii="Times New Roman" w:hAnsi="Times New Roman"/>
          <w:noProof/>
        </w:rPr>
        <w:t>; az uniós kibocsátáskereskedelmi rendszer (ETS) keretében végzett tevékenységek, amelyek a vonatkozó referenciaértékeknél nem alacsonyabb várható üvegházhatásúgáz-kibocsátást érnek el</w:t>
      </w:r>
      <w:r>
        <w:rPr>
          <w:rStyle w:val="FootnoteReference"/>
          <w:rFonts w:ascii="Times New Roman" w:hAnsi="Times New Roman" w:cs="Times New Roman"/>
          <w:noProof/>
        </w:rPr>
        <w:footnoteReference w:id="162"/>
      </w:r>
      <w:r>
        <w:rPr>
          <w:rFonts w:ascii="Times New Roman" w:hAnsi="Times New Roman"/>
          <w:noProof/>
        </w:rPr>
        <w:t>; hulladéklerakókk</w:t>
      </w:r>
      <w:r>
        <w:rPr>
          <w:rFonts w:ascii="Times New Roman" w:hAnsi="Times New Roman"/>
          <w:noProof/>
        </w:rPr>
        <w:t>al, hulladékégetőkkel</w:t>
      </w:r>
      <w:r>
        <w:rPr>
          <w:rStyle w:val="FootnoteReference"/>
          <w:rFonts w:ascii="Times New Roman" w:hAnsi="Times New Roman" w:cs="Times New Roman"/>
          <w:noProof/>
        </w:rPr>
        <w:footnoteReference w:id="163"/>
      </w:r>
      <w:r>
        <w:rPr>
          <w:rFonts w:ascii="Times New Roman" w:hAnsi="Times New Roman"/>
          <w:noProof/>
        </w:rPr>
        <w:t xml:space="preserve"> és mechanikai-biológiai szennyvíztisztító telepekkel kapcsolatos tevékenységek</w:t>
      </w:r>
      <w:r>
        <w:rPr>
          <w:rStyle w:val="FootnoteReference"/>
          <w:rFonts w:ascii="Times New Roman" w:hAnsi="Times New Roman" w:cs="Times New Roman"/>
          <w:noProof/>
        </w:rPr>
        <w:footnoteReference w:id="164"/>
      </w:r>
      <w:r>
        <w:rPr>
          <w:rFonts w:ascii="Times New Roman" w:hAnsi="Times New Roman"/>
          <w:noProof/>
        </w:rPr>
        <w:t>; és iv. olyan tevékenységek, amelyek esetében a hulladék hosszú távú ártalmatlanítása károsíthatja a környezetet. A feladatmeghatározás emellett előírja,</w:t>
      </w:r>
      <w:r>
        <w:rPr>
          <w:rFonts w:ascii="Times New Roman" w:hAnsi="Times New Roman"/>
          <w:noProof/>
        </w:rPr>
        <w:t xml:space="preserve"> hogy csak a vonatkozó uniós és nemzeti környezetvédelmi jogszabályoknak megfelelő tevékenységek választhatók ki.</w:t>
      </w:r>
    </w:p>
    <w:p w14:paraId="14A43722" w14:textId="77777777" w:rsidR="003E1D81" w:rsidRDefault="00EB481C">
      <w:pPr>
        <w:pStyle w:val="P68B1DB1-Normal4"/>
        <w:spacing w:before="120" w:after="120" w:line="240" w:lineRule="auto"/>
        <w:jc w:val="both"/>
        <w:rPr>
          <w:rFonts w:cs="Times New Roman"/>
          <w:noProof/>
        </w:rPr>
      </w:pPr>
      <w:r>
        <w:rPr>
          <w:noProof/>
        </w:rPr>
        <w:t xml:space="preserve">Az e beruházás keretében végrehajtott alábbi K+F+I-intézkedéseket úgy kell tekinteni, hogy megfelelnek a jelentős károkozás elkerülését célzó </w:t>
      </w:r>
      <w:r>
        <w:rPr>
          <w:noProof/>
        </w:rPr>
        <w:t>elvről szóló technikai iránymutatásnak (2021/C58/01): az e beruházás keretébe tartozó azon K+F+I tevékenységek, amelyek alkalmazásuk szintjén technológiasemleges eredményekhez vezetnek; az e beruházás keretében végrehajtott azon K+F+I tevékenységek, amelye</w:t>
      </w:r>
      <w:r>
        <w:rPr>
          <w:noProof/>
        </w:rPr>
        <w:t>k alacsony környezeti hatással járó alternatívákat támogatnak, és amelyek esetében léteznek ilyenek; vagy iii. az e beruházás keretébe tartozó azon K+F+I tevékenységek, amelyek elsősorban az ágazatban a lehető legkisebb környezeti hatással járó alternatívá</w:t>
      </w:r>
      <w:r>
        <w:rPr>
          <w:noProof/>
        </w:rPr>
        <w:t>k kifejlesztésére összpontosítanak azon tevékenységek tekintetében, amelyek esetében nem létezik technológiai és gazdasági szempontból megvalósítható, alacsony hatású alternatíva.</w:t>
      </w:r>
    </w:p>
    <w:p w14:paraId="7AE3CEC4" w14:textId="50808402" w:rsidR="003E1D81" w:rsidRDefault="00EB481C">
      <w:pPr>
        <w:pStyle w:val="P68B1DB1-Normal4"/>
        <w:autoSpaceDE w:val="0"/>
        <w:autoSpaceDN w:val="0"/>
        <w:spacing w:before="40" w:after="40"/>
        <w:rPr>
          <w:rFonts w:cs="Times New Roman"/>
          <w:noProof/>
        </w:rPr>
      </w:pPr>
      <w:r>
        <w:rPr>
          <w:noProof/>
        </w:rPr>
        <w:t xml:space="preserve">A beruházás végrehajtását 2026. </w:t>
      </w:r>
      <w:r>
        <w:rPr>
          <w:noProof/>
          <w:shd w:val="clear" w:color="auto" w:fill="FFFFFF" w:themeFill="background1"/>
        </w:rPr>
        <w:t>augusztus 31</w:t>
      </w:r>
      <w:r>
        <w:rPr>
          <w:noProof/>
        </w:rPr>
        <w:t xml:space="preserve"> -ig be kell fejezni. </w:t>
      </w:r>
    </w:p>
    <w:p w14:paraId="108036FB" w14:textId="608E2A3D" w:rsidR="003E1D81" w:rsidRDefault="00EB481C">
      <w:pPr>
        <w:pStyle w:val="P68B1DB1-Normal6"/>
        <w:keepNext/>
        <w:spacing w:before="120" w:after="120" w:line="240" w:lineRule="auto"/>
        <w:jc w:val="both"/>
        <w:rPr>
          <w:rFonts w:cs="Times New Roman"/>
          <w:noProof/>
        </w:rPr>
      </w:pPr>
      <w:r>
        <w:rPr>
          <w:noProof/>
        </w:rPr>
        <w:t>Beruházás</w:t>
      </w:r>
      <w:r>
        <w:rPr>
          <w:noProof/>
        </w:rPr>
        <w:t xml:space="preserve"> (C17.I4): Új tudományos karrier</w:t>
      </w:r>
    </w:p>
    <w:p w14:paraId="21CA05BD" w14:textId="7BA824F6" w:rsidR="003E1D81" w:rsidRDefault="00EB481C">
      <w:pPr>
        <w:pStyle w:val="P68B1DB1-Normal4"/>
        <w:spacing w:before="120" w:after="120" w:line="240" w:lineRule="auto"/>
        <w:jc w:val="both"/>
        <w:rPr>
          <w:rFonts w:cs="Times New Roman"/>
          <w:noProof/>
        </w:rPr>
      </w:pPr>
      <w:r>
        <w:rPr>
          <w:noProof/>
        </w:rPr>
        <w:t>E beruházás célja a stabil tudományos karrier előmozdítása. A C17.R1. ponthoz kapcsolódik. Az aktualizált tudományos törvény új tudományos karriert foglal magában Spanyolországban, amely keretet biztosít valamennyi kutatósz</w:t>
      </w:r>
      <w:r>
        <w:rPr>
          <w:noProof/>
        </w:rPr>
        <w:t xml:space="preserve">emélyzet számára, beleértve az egyetemi személyzetet is. A rendszernek biztosítania kell a személyzet kinevezésének átláthatóságát, a kutatói pálya rugalmasságát, mobilitását és stabilitását. </w:t>
      </w:r>
    </w:p>
    <w:p w14:paraId="7C621AE3" w14:textId="55C0CAF6" w:rsidR="003E1D81" w:rsidRDefault="00EB481C">
      <w:pPr>
        <w:pStyle w:val="P68B1DB1-Text119"/>
        <w:ind w:left="0"/>
        <w:rPr>
          <w:rFonts w:cs="Times New Roman"/>
          <w:noProof/>
        </w:rPr>
      </w:pPr>
      <w:r>
        <w:rPr>
          <w:noProof/>
        </w:rPr>
        <w:t>A támogatás vissza nem térítendő támogatás formájában valósul m</w:t>
      </w:r>
      <w:r>
        <w:rPr>
          <w:noProof/>
        </w:rPr>
        <w:t xml:space="preserve">eg, amelyet versenypályázati felhívások útján kell odaítélni a következő programok keretében: 1. </w:t>
      </w:r>
      <w:r>
        <w:rPr>
          <w:i/>
          <w:noProof/>
        </w:rPr>
        <w:t>Doctores Industriales</w:t>
      </w:r>
      <w:r>
        <w:rPr>
          <w:noProof/>
        </w:rPr>
        <w:t xml:space="preserve"> ösztöndíj, négyéves program a vállalaton belüli PhD-hallgatók számára (50 férőhely), 2) </w:t>
      </w:r>
      <w:r>
        <w:rPr>
          <w:i/>
          <w:noProof/>
        </w:rPr>
        <w:t>Torres Quevedo</w:t>
      </w:r>
      <w:r>
        <w:rPr>
          <w:noProof/>
        </w:rPr>
        <w:t xml:space="preserve"> ösztöndíj, hároméves program a vállalaton belüli PhD kutatói számára (170 férőhely), 3) </w:t>
      </w:r>
      <w:r>
        <w:rPr>
          <w:i/>
          <w:noProof/>
        </w:rPr>
        <w:t>Juan de la Cierva képzési</w:t>
      </w:r>
      <w:r>
        <w:rPr>
          <w:noProof/>
        </w:rPr>
        <w:t xml:space="preserve"> ösztöndíj, a felsőoktatási intézmények doktori képzésére irányuló kétéves program, amely mobilitási ösztöndíjat is tartalmaz (1200 férőhely),</w:t>
      </w:r>
      <w:r>
        <w:rPr>
          <w:noProof/>
        </w:rPr>
        <w:t xml:space="preserve"> és 4) </w:t>
      </w:r>
      <w:r>
        <w:rPr>
          <w:i/>
          <w:noProof/>
        </w:rPr>
        <w:t>Juan de la Cierva Incorporation</w:t>
      </w:r>
      <w:r>
        <w:rPr>
          <w:noProof/>
        </w:rPr>
        <w:t xml:space="preserve"> ösztöndíj, amely a felsőoktatási intézmények doktori képzésére irányuló hároméves program (650 férőhely). Ez az intézkedés magában foglal egy 750 kutatónak szóló induló kutatási csomagot is, akik állandó szerződéssel </w:t>
      </w:r>
      <w:r>
        <w:rPr>
          <w:noProof/>
        </w:rPr>
        <w:t>rendelkeznek felsőoktatási intézményekben vagy állami kutatószervezetekben, valamint a mikroelektronika és a félvezetők területén 25 kutatónak szóló egyedi kutatási induló vállalkozáscsomagot. Az e beruházás keretében megvalósuló intézkedésekre versenypály</w:t>
      </w:r>
      <w:r>
        <w:rPr>
          <w:noProof/>
        </w:rPr>
        <w:t xml:space="preserve">ázati felhívások útján kerül sor. </w:t>
      </w:r>
    </w:p>
    <w:p w14:paraId="5AAE6B5A" w14:textId="3F18F111" w:rsidR="003E1D81" w:rsidRDefault="00EB481C">
      <w:pPr>
        <w:pStyle w:val="P68B1DB1-Text119"/>
        <w:ind w:left="0"/>
        <w:rPr>
          <w:rFonts w:cs="Times New Roman"/>
          <w:noProof/>
        </w:rPr>
      </w:pPr>
      <w:r>
        <w:rPr>
          <w:noProof/>
        </w:rPr>
        <w:t xml:space="preserve">A beruházás végrehajtását 2026. </w:t>
      </w:r>
      <w:r>
        <w:rPr>
          <w:noProof/>
          <w:shd w:val="clear" w:color="auto" w:fill="FFFFFF" w:themeFill="background1"/>
        </w:rPr>
        <w:t>augusztus 31</w:t>
      </w:r>
      <w:r>
        <w:rPr>
          <w:noProof/>
        </w:rPr>
        <w:t xml:space="preserve"> -ig be kell fejezni.</w:t>
      </w:r>
      <w:r>
        <w:rPr>
          <w:noProof/>
          <w:shd w:val="clear" w:color="auto" w:fill="E6E6E6"/>
        </w:rPr>
        <w:t xml:space="preserve"> </w:t>
      </w:r>
    </w:p>
    <w:p w14:paraId="70594352" w14:textId="77777777" w:rsidR="003E1D81" w:rsidRDefault="00EB481C">
      <w:pPr>
        <w:pStyle w:val="P68B1DB1-Normal6"/>
        <w:spacing w:before="120" w:after="120" w:line="240" w:lineRule="auto"/>
        <w:jc w:val="both"/>
        <w:rPr>
          <w:rFonts w:cs="Times New Roman"/>
          <w:noProof/>
        </w:rPr>
      </w:pPr>
      <w:r>
        <w:rPr>
          <w:noProof/>
        </w:rPr>
        <w:t>Beruházás (C17.I5): Tudástranszfer</w:t>
      </w:r>
    </w:p>
    <w:p w14:paraId="2B7882A6" w14:textId="77777777" w:rsidR="003E1D81" w:rsidRDefault="00EB481C">
      <w:pPr>
        <w:pStyle w:val="P68B1DB1-Normal4"/>
        <w:spacing w:before="120" w:after="120" w:line="240" w:lineRule="auto"/>
        <w:jc w:val="both"/>
        <w:rPr>
          <w:rFonts w:cs="Times New Roman"/>
          <w:noProof/>
        </w:rPr>
      </w:pPr>
      <w:r>
        <w:rPr>
          <w:noProof/>
        </w:rPr>
        <w:t>E beruházás célja a technológiaátadás előmozdítása és az innovatív technológiákkal kapcsolatos kutatási eredmények átad</w:t>
      </w:r>
      <w:r>
        <w:rPr>
          <w:noProof/>
        </w:rPr>
        <w:t>ásának támogatása. Ez a beruházás a C17.R1 reformhoz kapcsolódik; az aktualizált tudományos törvénynek támogatnia kell a tudástranszfert azáltal, hogy ösztönzi a kutatói mobilitást, rugalmas jogi eszközt hoz létre az induló technológiai vállalkozásokba val</w:t>
      </w:r>
      <w:r>
        <w:rPr>
          <w:noProof/>
        </w:rPr>
        <w:t xml:space="preserve">ó társbefektetéshez, és átalakítja az ösztönző struktúrát annak érdekében, hogy a tudástranszfert a hagyományos kutatási tevékenységgel együtt megfelelően elismerjék a kutató javadalmazásában. </w:t>
      </w:r>
    </w:p>
    <w:p w14:paraId="4938D679" w14:textId="77777777" w:rsidR="003E1D81" w:rsidRDefault="00EB481C">
      <w:pPr>
        <w:pStyle w:val="P68B1DB1-Normal4"/>
        <w:spacing w:before="120" w:after="120" w:line="240" w:lineRule="auto"/>
        <w:jc w:val="both"/>
        <w:rPr>
          <w:rFonts w:cs="Times New Roman"/>
          <w:noProof/>
        </w:rPr>
      </w:pPr>
      <w:r>
        <w:rPr>
          <w:noProof/>
        </w:rPr>
        <w:t xml:space="preserve">Ezek az intézkedések hat konkrét fellépést foglalnak magukban </w:t>
      </w:r>
      <w:r>
        <w:rPr>
          <w:noProof/>
        </w:rPr>
        <w:t xml:space="preserve">a tudástranszfer fokozása érdekében: Pályázati felhívás „A </w:t>
      </w:r>
      <w:r>
        <w:rPr>
          <w:i/>
          <w:noProof/>
        </w:rPr>
        <w:t>Cervera</w:t>
      </w:r>
      <w:r>
        <w:rPr>
          <w:noProof/>
        </w:rPr>
        <w:t xml:space="preserve"> kiválósági hálózatokon alapuló innovációs ökoszisztémák”, 2) a kutatási eredmények átadásával foglalkozó irodák kapacitásainak és orientációjának javítása, 3) a technológiai központok, kuta</w:t>
      </w:r>
      <w:r>
        <w:rPr>
          <w:noProof/>
        </w:rPr>
        <w:t xml:space="preserve">tóközpontok, kkv-k és közepes piaci tőkeértékű vállalatok számára a kiemelt technológiákkal kapcsolatos K+F végrehajtása érdekében nyújtott </w:t>
      </w:r>
      <w:r>
        <w:rPr>
          <w:i/>
          <w:noProof/>
        </w:rPr>
        <w:t>Cervera</w:t>
      </w:r>
      <w:r>
        <w:rPr>
          <w:noProof/>
        </w:rPr>
        <w:t xml:space="preserve"> -támogatásokra irányuló felhívások, 4) a spanyol kkv-k támogatása az európai kiválósági pecséttel, 5) a stra</w:t>
      </w:r>
      <w:r>
        <w:rPr>
          <w:noProof/>
        </w:rPr>
        <w:t>tégiai technológiákkal rendelkező vállalatok társbefektetéséhez és az azokba való befektetéshez egy technológiatranszfer-alapon keresztül nyújtott kockázatitőke-támogatás, valamint 6) egy folyamatban lévő K+F keretprogram támogatása a technológiaalapú váll</w:t>
      </w:r>
      <w:r>
        <w:rPr>
          <w:noProof/>
        </w:rPr>
        <w:t xml:space="preserve">alkozások létrehozásának és konszolidációjának támogatására. </w:t>
      </w:r>
    </w:p>
    <w:p w14:paraId="2488B454" w14:textId="77777777" w:rsidR="003E1D81" w:rsidRDefault="00EB481C">
      <w:pPr>
        <w:pStyle w:val="P68B1DB1-Normal4"/>
        <w:spacing w:before="120" w:after="120" w:line="240" w:lineRule="auto"/>
        <w:jc w:val="both"/>
        <w:rPr>
          <w:rFonts w:cs="Times New Roman"/>
          <w:noProof/>
        </w:rPr>
      </w:pPr>
      <w:r>
        <w:rPr>
          <w:noProof/>
        </w:rPr>
        <w:t xml:space="preserve">Az e beruházás keretében megvalósuló fellépésekre főként pályázati felhívások útján kerül sor.  </w:t>
      </w:r>
    </w:p>
    <w:p w14:paraId="2B7AC239" w14:textId="4035D0BE" w:rsidR="003E1D81" w:rsidRDefault="00EB481C">
      <w:pPr>
        <w:pStyle w:val="Text1"/>
        <w:ind w:left="0"/>
        <w:rPr>
          <w:rFonts w:ascii="Times New Roman" w:hAnsi="Times New Roman" w:cs="Times New Roman"/>
          <w:noProof/>
          <w:highlight w:val="green"/>
        </w:rPr>
      </w:pPr>
      <w:r>
        <w:rPr>
          <w:rFonts w:ascii="Times New Roman" w:hAnsi="Times New Roman"/>
          <w:noProof/>
        </w:rPr>
        <w:t>Annak biztosítása érdekében, hogy az intézkedés megfeleljen a jelentős károkozás elkerülését célz</w:t>
      </w:r>
      <w:r>
        <w:rPr>
          <w:rFonts w:ascii="Times New Roman" w:hAnsi="Times New Roman"/>
          <w:noProof/>
        </w:rPr>
        <w:t>ó elvről szóló technikai iránymutatásnak (2021/C58/01), a soron következő pályázati felhívásokra vonatkozó feladatmeghatározásban szereplő támogathatósági kritériumok nem tartalmazzák a tevékenységek alábbi listáját: a fosszilis tüzelőanyagokhoz kapcsolódó</w:t>
      </w:r>
      <w:r>
        <w:rPr>
          <w:rFonts w:ascii="Times New Roman" w:hAnsi="Times New Roman"/>
          <w:noProof/>
        </w:rPr>
        <w:t xml:space="preserve"> tevékenységek, beleértve a továbbfelhasználást is</w:t>
      </w:r>
      <w:r>
        <w:rPr>
          <w:rStyle w:val="FootnoteReference"/>
          <w:rFonts w:ascii="Times New Roman" w:hAnsi="Times New Roman" w:cs="Times New Roman"/>
          <w:noProof/>
        </w:rPr>
        <w:footnoteReference w:id="165"/>
      </w:r>
      <w:r>
        <w:rPr>
          <w:rFonts w:ascii="Times New Roman" w:hAnsi="Times New Roman"/>
          <w:noProof/>
        </w:rPr>
        <w:t>; az uniós kibocsátáskereskedelmi rendszer (ETS) keretében végzett tevékenységek, amelyek a vonatkozó referenciaértékeknél nem alacsonyabb várható üvegházhatásúgáz-kibocsátást érnek el</w:t>
      </w:r>
      <w:r>
        <w:rPr>
          <w:rStyle w:val="FootnoteReference"/>
          <w:rFonts w:ascii="Times New Roman" w:hAnsi="Times New Roman" w:cs="Times New Roman"/>
          <w:noProof/>
        </w:rPr>
        <w:footnoteReference w:id="166"/>
      </w:r>
      <w:r>
        <w:rPr>
          <w:rFonts w:ascii="Times New Roman" w:hAnsi="Times New Roman"/>
          <w:noProof/>
        </w:rPr>
        <w:t>; hulladéklerakókkal</w:t>
      </w:r>
      <w:r>
        <w:rPr>
          <w:rFonts w:ascii="Times New Roman" w:hAnsi="Times New Roman"/>
          <w:noProof/>
        </w:rPr>
        <w:t>, hulladékégetőkkel</w:t>
      </w:r>
      <w:r>
        <w:rPr>
          <w:rStyle w:val="FootnoteReference"/>
          <w:rFonts w:ascii="Times New Roman" w:hAnsi="Times New Roman" w:cs="Times New Roman"/>
          <w:noProof/>
        </w:rPr>
        <w:footnoteReference w:id="167"/>
      </w:r>
      <w:r>
        <w:rPr>
          <w:rFonts w:ascii="Times New Roman" w:hAnsi="Times New Roman"/>
          <w:noProof/>
        </w:rPr>
        <w:t xml:space="preserve"> és mechanikai-biológiai szennyvíztisztító telepekkel kapcsolatos tevékenységek</w:t>
      </w:r>
      <w:r>
        <w:rPr>
          <w:rStyle w:val="FootnoteReference"/>
          <w:rFonts w:ascii="Times New Roman" w:hAnsi="Times New Roman" w:cs="Times New Roman"/>
          <w:noProof/>
        </w:rPr>
        <w:footnoteReference w:id="168"/>
      </w:r>
      <w:r>
        <w:rPr>
          <w:rFonts w:ascii="Times New Roman" w:hAnsi="Times New Roman"/>
          <w:noProof/>
        </w:rPr>
        <w:t>; és iv. olyan tevékenységek, amelyek esetében a hulladék hosszú távú ártalmatlanítása károsíthatja a környezetet. A feladatmeghatározás emellett előírja, h</w:t>
      </w:r>
      <w:r>
        <w:rPr>
          <w:rFonts w:ascii="Times New Roman" w:hAnsi="Times New Roman"/>
          <w:noProof/>
        </w:rPr>
        <w:t>ogy csak a vonatkozó uniós és nemzeti környezetvédelmi jogszabályoknak megfelelő tevékenységek választhatók ki.</w:t>
      </w:r>
    </w:p>
    <w:p w14:paraId="1F79D808" w14:textId="77777777" w:rsidR="003E1D81" w:rsidRDefault="00EB481C">
      <w:pPr>
        <w:pStyle w:val="P68B1DB1-Normal4"/>
        <w:spacing w:before="120" w:after="120" w:line="240" w:lineRule="auto"/>
        <w:jc w:val="both"/>
        <w:rPr>
          <w:rFonts w:cs="Times New Roman"/>
          <w:noProof/>
        </w:rPr>
      </w:pPr>
      <w:r>
        <w:rPr>
          <w:noProof/>
        </w:rPr>
        <w:t>Az e beruházás keretében végrehajtott alábbi K+F+I-intézkedéseket úgy kell tekinteni, hogy megfelelnek a jelentős károkozás elkerülését célzó el</w:t>
      </w:r>
      <w:r>
        <w:rPr>
          <w:noProof/>
        </w:rPr>
        <w:t xml:space="preserve">vről szóló technikai iránymutatásnak (2021/C58/01): az e beruházás keretébe tartozó azon K+F+I tevékenységek, amelyek alkalmazásuk szintjén technológiasemleges eredményekhez vezetnek; az e beruházás keretében végrehajtott azon K+F+I tevékenységek, amelyek </w:t>
      </w:r>
      <w:r>
        <w:rPr>
          <w:noProof/>
        </w:rPr>
        <w:t xml:space="preserve">alacsony környezeti hatással járó alternatívákat támogatnak, és amelyek esetében léteznek ilyenek; vagy iii. az e beruházás keretébe tartozó azon K+F+I tevékenységek, amelyek elsősorban az ágazatban a lehető legkisebb környezeti hatással járó alternatívák </w:t>
      </w:r>
      <w:r>
        <w:rPr>
          <w:noProof/>
        </w:rPr>
        <w:t>kifejlesztésére összpontosítanak azon tevékenységek tekintetében, amelyek esetében nem létezik technológiai és gazdasági szempontból megvalósítható, alacsony hatású alternatíva.</w:t>
      </w:r>
    </w:p>
    <w:p w14:paraId="20615DC9" w14:textId="77777777" w:rsidR="003E1D81" w:rsidRDefault="00EB481C">
      <w:pPr>
        <w:pStyle w:val="P68B1DB1-Normal4"/>
        <w:spacing w:before="120" w:after="120" w:line="240" w:lineRule="auto"/>
        <w:jc w:val="both"/>
        <w:rPr>
          <w:rFonts w:cs="Times New Roman"/>
          <w:noProof/>
        </w:rPr>
      </w:pPr>
      <w:r>
        <w:rPr>
          <w:noProof/>
        </w:rPr>
        <w:t>A beruházás végrehajtását 2026. június 30-ig be kell fejezni.</w:t>
      </w:r>
    </w:p>
    <w:p w14:paraId="07E0B2B3" w14:textId="77777777" w:rsidR="003E1D81" w:rsidRDefault="00EB481C">
      <w:pPr>
        <w:pStyle w:val="P68B1DB1-Normal6"/>
        <w:spacing w:before="120" w:after="120" w:line="240" w:lineRule="auto"/>
        <w:jc w:val="both"/>
        <w:rPr>
          <w:rFonts w:cs="Times New Roman"/>
          <w:noProof/>
        </w:rPr>
      </w:pPr>
      <w:r>
        <w:rPr>
          <w:noProof/>
        </w:rPr>
        <w:t>Beruházás (C17.I</w:t>
      </w:r>
      <w:r>
        <w:rPr>
          <w:noProof/>
        </w:rPr>
        <w:t>6): Egészség</w:t>
      </w:r>
    </w:p>
    <w:p w14:paraId="523421E4" w14:textId="7AE74228" w:rsidR="003E1D81" w:rsidRDefault="00EB481C">
      <w:pPr>
        <w:pStyle w:val="P68B1DB1-Normal4"/>
        <w:spacing w:before="120" w:after="120" w:line="240" w:lineRule="auto"/>
        <w:jc w:val="both"/>
        <w:rPr>
          <w:rFonts w:cs="Times New Roman"/>
          <w:noProof/>
        </w:rPr>
      </w:pPr>
      <w:r>
        <w:rPr>
          <w:noProof/>
        </w:rPr>
        <w:t xml:space="preserve">E beruházás célja a kutatásfejlesztés és az innováció előmozdítása az egészségügyi ágazatban. Az intézkedés a következő cselekvési irányvonalakat foglalja magában: </w:t>
      </w:r>
    </w:p>
    <w:p w14:paraId="35050FC1" w14:textId="77777777" w:rsidR="003E1D81" w:rsidRDefault="00EB481C">
      <w:pPr>
        <w:pStyle w:val="P68B1DB1-Normal4"/>
        <w:spacing w:before="120" w:after="120" w:line="240" w:lineRule="auto"/>
        <w:ind w:left="720"/>
        <w:jc w:val="both"/>
        <w:rPr>
          <w:rFonts w:cs="Times New Roman"/>
          <w:noProof/>
        </w:rPr>
      </w:pPr>
      <w:r>
        <w:rPr>
          <w:noProof/>
        </w:rPr>
        <w:t>A fejlett terápiák, a kialakulóban lévő gyógyszerek és a személyre szabott orv</w:t>
      </w:r>
      <w:r>
        <w:rPr>
          <w:noProof/>
        </w:rPr>
        <w:t xml:space="preserve">oslás területére irányuló beruházások, </w:t>
      </w:r>
    </w:p>
    <w:p w14:paraId="1E3A367B" w14:textId="77777777" w:rsidR="003E1D81" w:rsidRDefault="00EB481C">
      <w:pPr>
        <w:pStyle w:val="P68B1DB1-Normal4"/>
        <w:spacing w:before="120" w:after="120" w:line="240" w:lineRule="auto"/>
        <w:ind w:left="720"/>
        <w:jc w:val="both"/>
        <w:rPr>
          <w:rFonts w:cs="Times New Roman"/>
          <w:noProof/>
        </w:rPr>
      </w:pPr>
      <w:r>
        <w:rPr>
          <w:noProof/>
        </w:rPr>
        <w:t xml:space="preserve">A nemzeti egészségügyi rendszer stratégiai kapacitásainak és nemzetközivé válásának megerősítésére irányuló intézkedések, </w:t>
      </w:r>
    </w:p>
    <w:p w14:paraId="3A48DE95" w14:textId="77777777" w:rsidR="003E1D81" w:rsidRDefault="00EB481C">
      <w:pPr>
        <w:pStyle w:val="P68B1DB1-Normal4"/>
        <w:spacing w:before="120" w:after="120" w:line="240" w:lineRule="auto"/>
        <w:ind w:left="720"/>
        <w:jc w:val="both"/>
        <w:rPr>
          <w:rFonts w:cs="Times New Roman"/>
          <w:noProof/>
        </w:rPr>
      </w:pPr>
      <w:r>
        <w:rPr>
          <w:noProof/>
        </w:rPr>
        <w:t xml:space="preserve">Az </w:t>
      </w:r>
      <w:r>
        <w:rPr>
          <w:i/>
          <w:noProof/>
        </w:rPr>
        <w:t>Instituto de Salud Carlos III</w:t>
      </w:r>
      <w:r>
        <w:rPr>
          <w:noProof/>
        </w:rPr>
        <w:t>, különösen a Nemzeti Mikrobiológiai Központ, a Nemzeti Epidemiológiai Központ, valamint az Országos Fogorvosi Iskola és az Országos Egészségügyi Iskola által a fertőző betegségek és a globális fenyegetések elleni küzdelemhez szükséges kapacitások támogatá</w:t>
      </w:r>
      <w:r>
        <w:rPr>
          <w:noProof/>
        </w:rPr>
        <w:t xml:space="preserve">sára irányuló intézkedések, </w:t>
      </w:r>
    </w:p>
    <w:p w14:paraId="188FC210" w14:textId="3DD6419C" w:rsidR="003E1D81" w:rsidRDefault="00EB481C">
      <w:pPr>
        <w:pStyle w:val="P68B1DB1-Normal4"/>
        <w:spacing w:before="120" w:after="120" w:line="240" w:lineRule="auto"/>
        <w:ind w:left="720"/>
        <w:jc w:val="both"/>
        <w:rPr>
          <w:rFonts w:cs="Times New Roman"/>
          <w:noProof/>
        </w:rPr>
      </w:pPr>
      <w:r>
        <w:rPr>
          <w:noProof/>
        </w:rPr>
        <w:t xml:space="preserve">Részvétel az „1 millió Genomes” kezdeményezés keretében az „Európa Genome” elnevezésű, több országra kiterjedő projektben, </w:t>
      </w:r>
    </w:p>
    <w:p w14:paraId="5E14A1AC" w14:textId="77777777" w:rsidR="003E1D81" w:rsidRDefault="00EB481C">
      <w:pPr>
        <w:pStyle w:val="P68B1DB1-Normal4"/>
        <w:spacing w:before="120" w:after="120" w:line="240" w:lineRule="auto"/>
        <w:ind w:left="720"/>
        <w:jc w:val="both"/>
        <w:rPr>
          <w:rFonts w:cs="Times New Roman"/>
          <w:noProof/>
        </w:rPr>
      </w:pPr>
      <w:r>
        <w:rPr>
          <w:noProof/>
        </w:rPr>
        <w:t>A fertőző betegségek kutatásához, az egyéb globális egészségügyi veszélyekhez és az elöregedéshez kapcs</w:t>
      </w:r>
      <w:r>
        <w:rPr>
          <w:noProof/>
        </w:rPr>
        <w:t xml:space="preserve">olódó kapacitásépítési intézkedések, </w:t>
      </w:r>
    </w:p>
    <w:p w14:paraId="588B36B9" w14:textId="47F540B0" w:rsidR="003E1D81" w:rsidRDefault="00EB481C">
      <w:pPr>
        <w:pStyle w:val="P68B1DB1-Normal4"/>
        <w:spacing w:before="120" w:after="120" w:line="240" w:lineRule="auto"/>
        <w:ind w:left="720"/>
        <w:jc w:val="both"/>
        <w:rPr>
          <w:rFonts w:eastAsia="Times New Roman" w:cs="Times New Roman"/>
          <w:noProof/>
        </w:rPr>
      </w:pPr>
      <w:r>
        <w:rPr>
          <w:noProof/>
        </w:rPr>
        <w:t>A PERTE Vanguard Health keretében végrehajtott fellépések a következők érdekében: az egészségügyi ágazat ipari kapacitásainak megerősítése és nemzetközivé tétele a több országra kiterjedő K+F+I projektekben való spanyo</w:t>
      </w:r>
      <w:r>
        <w:rPr>
          <w:noProof/>
        </w:rPr>
        <w:t>l részvétel támogatása révén, ii. a ritka betegségek diagnosztizálásához kapcsolódó kutatás és fejlesztés támogatása, iii. a személyre szabott precíziós orvoslás területén a K+F+I támogatása, iv. proteomika és metabolomika platform fejlesztése az Instituto</w:t>
      </w:r>
      <w:r>
        <w:rPr>
          <w:noProof/>
        </w:rPr>
        <w:t xml:space="preserve"> de Salud Carlos III (ISCIII) keretében, v. az ISCIII humán biomonitoring infrastruktúrájának frissítése, bővítése és fejlesztése, valamint vi. a betegorientált klinikai kutatási egységek fejlesztése és korszerűsítése, valamint</w:t>
      </w:r>
    </w:p>
    <w:p w14:paraId="6FBF3EFB" w14:textId="4BC853A3" w:rsidR="003E1D81" w:rsidRDefault="00EB481C">
      <w:pPr>
        <w:pStyle w:val="P68B1DB1-Normal4"/>
        <w:spacing w:before="120" w:after="120" w:line="240" w:lineRule="auto"/>
        <w:ind w:left="720"/>
        <w:jc w:val="both"/>
        <w:rPr>
          <w:rFonts w:eastAsia="Times New Roman" w:cs="Times New Roman"/>
          <w:noProof/>
        </w:rPr>
      </w:pPr>
      <w:r>
        <w:rPr>
          <w:noProof/>
        </w:rPr>
        <w:t>7) az egészségügyi ágazatnak</w:t>
      </w:r>
      <w:r>
        <w:rPr>
          <w:noProof/>
        </w:rPr>
        <w:t xml:space="preserve"> nyújtott hitelek vissza nem téríthető része, a C17.I10 (egészségügyi és űrhajózási ágazatnak nyújtott hitelek) beruházás kiegészítéseként. </w:t>
      </w:r>
    </w:p>
    <w:p w14:paraId="16E012FB" w14:textId="77777777" w:rsidR="003E1D81" w:rsidRDefault="00EB481C">
      <w:pPr>
        <w:pStyle w:val="P68B1DB1-Normal4"/>
        <w:spacing w:before="120" w:after="120" w:line="240" w:lineRule="auto"/>
        <w:jc w:val="both"/>
        <w:rPr>
          <w:rFonts w:cs="Times New Roman"/>
          <w:noProof/>
        </w:rPr>
      </w:pPr>
      <w:r>
        <w:rPr>
          <w:noProof/>
        </w:rPr>
        <w:t>Az e beruházás keretében végrehajtott intézkedések pályázati felhívások, kockázatitőke-befektetések, köz- és magánb</w:t>
      </w:r>
      <w:r>
        <w:rPr>
          <w:noProof/>
        </w:rPr>
        <w:t>eruházások, valamint közvetlen állami beruházások révén valósulnak meg.</w:t>
      </w:r>
    </w:p>
    <w:p w14:paraId="2D44DAF6" w14:textId="5F3D8162" w:rsidR="003E1D81" w:rsidRDefault="00EB481C">
      <w:pPr>
        <w:pStyle w:val="P68B1DB1-Normal4"/>
        <w:spacing w:before="120" w:after="120" w:line="240" w:lineRule="auto"/>
        <w:jc w:val="both"/>
        <w:rPr>
          <w:rFonts w:cs="Times New Roman"/>
          <w:noProof/>
        </w:rPr>
      </w:pPr>
      <w:r>
        <w:rPr>
          <w:noProof/>
        </w:rPr>
        <w:t xml:space="preserve">A beruházás végrehajtását 2026. </w:t>
      </w:r>
      <w:r>
        <w:rPr>
          <w:noProof/>
          <w:shd w:val="clear" w:color="auto" w:fill="FFFFFF" w:themeFill="background1"/>
        </w:rPr>
        <w:t>augusztus 31</w:t>
      </w:r>
      <w:r>
        <w:rPr>
          <w:noProof/>
        </w:rPr>
        <w:t xml:space="preserve"> -ig be kell fejezni. </w:t>
      </w:r>
    </w:p>
    <w:p w14:paraId="4590D68D" w14:textId="77777777" w:rsidR="003E1D81" w:rsidRDefault="00EB481C">
      <w:pPr>
        <w:pStyle w:val="P68B1DB1-Normal6"/>
        <w:spacing w:before="120" w:after="120" w:line="240" w:lineRule="auto"/>
        <w:jc w:val="both"/>
        <w:rPr>
          <w:rFonts w:cs="Times New Roman"/>
          <w:noProof/>
        </w:rPr>
      </w:pPr>
      <w:r>
        <w:rPr>
          <w:noProof/>
        </w:rPr>
        <w:t>Beruházás (C17.I7): Környezetvédelem, éghajlatváltozás és energiaügy</w:t>
      </w:r>
    </w:p>
    <w:p w14:paraId="6083A820" w14:textId="77777777" w:rsidR="003E1D81" w:rsidRDefault="00EB481C">
      <w:pPr>
        <w:pStyle w:val="P68B1DB1-Normal4"/>
        <w:spacing w:before="120" w:after="120" w:line="240" w:lineRule="auto"/>
        <w:jc w:val="both"/>
        <w:rPr>
          <w:rFonts w:cs="Times New Roman"/>
          <w:noProof/>
        </w:rPr>
      </w:pPr>
      <w:r>
        <w:rPr>
          <w:noProof/>
        </w:rPr>
        <w:t xml:space="preserve">Ezen intézkedés célja a kutatás és az innováció </w:t>
      </w:r>
      <w:r>
        <w:rPr>
          <w:noProof/>
        </w:rPr>
        <w:t xml:space="preserve">előmozdítása a környezetvédelem, az éghajlatváltozás és az energiaágazat területén. Az intézkedés a következőket támogatja: A </w:t>
      </w:r>
      <w:r>
        <w:rPr>
          <w:i/>
          <w:noProof/>
        </w:rPr>
        <w:t>Consejo Superior de Investigaciones Científicas</w:t>
      </w:r>
      <w:r>
        <w:rPr>
          <w:noProof/>
        </w:rPr>
        <w:t xml:space="preserve"> (CSIC) által a körforgásos gazdaságban a fenntartható műanyagokkal, az alternatív </w:t>
      </w:r>
      <w:r>
        <w:rPr>
          <w:noProof/>
        </w:rPr>
        <w:t>műanyagok előállításával és a műanyaghulladék fenntartható kezelésével kapcsolatos K+F+I projektek, 2) az éghajlatváltozásra és a vízkészletekre gyakorolt hatásra vonatkozó projekt, 3) az energetikai átállás csúcstechnológiai komponenseivel kapcsolatos pro</w:t>
      </w:r>
      <w:r>
        <w:rPr>
          <w:noProof/>
        </w:rPr>
        <w:t>jekt, különös tekintettel az energiaigényes iparágakban az ipari folyamatokból származó kibocsátásokból származó szén-dioxid-leválasztásra szolgáló üzemek prototípusainak kifejlesztésére. Amennyiben az uniós kibocsátáskereskedelmi rendszer (ETS) hatálya al</w:t>
      </w:r>
      <w:r>
        <w:rPr>
          <w:noProof/>
        </w:rPr>
        <w:t>á tartozó létesítmények érintettek, azoknak a vonatkozó referenciaértékeknél legalább alacsonyabb előrejelzett üvegházhatásúgáz-kibocsátást kell elérniük,</w:t>
      </w:r>
      <w:r>
        <w:rPr>
          <w:noProof/>
        </w:rPr>
        <w:footnoteReference w:id="169"/>
      </w:r>
      <w:r>
        <w:rPr>
          <w:noProof/>
        </w:rPr>
        <w:t>és a fosszilis tüzelőanyagokhoz kapcsolódó tevékenységek, beleértve a downstream felhasználást is,</w:t>
      </w:r>
      <w:r>
        <w:rPr>
          <w:noProof/>
        </w:rPr>
        <w:footnoteReference w:id="170"/>
      </w:r>
      <w:r>
        <w:rPr>
          <w:noProof/>
        </w:rPr>
        <w:t>4)</w:t>
      </w:r>
      <w:r>
        <w:rPr>
          <w:noProof/>
        </w:rPr>
        <w:t xml:space="preserve"> az energetikai átálláshoz szükséges stratégiai fémekkel kapcsolatos kutatási projekt, valamint 5) egy energiatárolási K+F központ létrehozása Extremadurában azzal a céllal, hogy ösztönözzék a zöld energiatermelés irányítására való technológiai és tudomány</w:t>
      </w:r>
      <w:r>
        <w:rPr>
          <w:noProof/>
        </w:rPr>
        <w:t>os reagálást, különös tekintettel az ipari hidrogénalkalmazásokra, valamint a zöld hidrogén előállítására, tárolására és szállítására. Az intézkedésnek támogatnia kell az energia- és energiatárolási ágazattal foglalkozó tudósok és kutatók képzésére szolgál</w:t>
      </w:r>
      <w:r>
        <w:rPr>
          <w:noProof/>
        </w:rPr>
        <w:t xml:space="preserve">ó központban megvalósítandó kapacitásépítést is. </w:t>
      </w:r>
    </w:p>
    <w:p w14:paraId="35D5C9B7" w14:textId="55997F64" w:rsidR="003E1D81" w:rsidRDefault="00EB481C">
      <w:pPr>
        <w:pStyle w:val="P68B1DB1-Normal4"/>
        <w:spacing w:before="120" w:after="120" w:line="240" w:lineRule="auto"/>
        <w:jc w:val="both"/>
        <w:rPr>
          <w:rFonts w:cs="Times New Roman"/>
          <w:noProof/>
        </w:rPr>
      </w:pPr>
      <w:r>
        <w:rPr>
          <w:noProof/>
        </w:rPr>
        <w:t>Az e beruházás keretében végrehajtott fellépések ajánlati felhívásként zajlanak.</w:t>
      </w:r>
    </w:p>
    <w:p w14:paraId="65A82F25" w14:textId="6CF40F12" w:rsidR="003E1D81" w:rsidRDefault="00EB481C">
      <w:pPr>
        <w:pStyle w:val="Text1"/>
        <w:ind w:left="0"/>
        <w:rPr>
          <w:rFonts w:ascii="Times New Roman" w:hAnsi="Times New Roman" w:cs="Times New Roman"/>
          <w:noProof/>
          <w:highlight w:val="yellow"/>
        </w:rPr>
      </w:pPr>
      <w:r>
        <w:rPr>
          <w:rFonts w:ascii="Times New Roman" w:hAnsi="Times New Roman"/>
          <w:noProof/>
        </w:rPr>
        <w:t xml:space="preserve">Annak biztosítása érdekében, hogy az intézkedés megfeleljen a jelentős károkozás elkerülését célzó elvről szóló technikai </w:t>
      </w:r>
      <w:r>
        <w:rPr>
          <w:rFonts w:ascii="Times New Roman" w:hAnsi="Times New Roman"/>
          <w:noProof/>
        </w:rPr>
        <w:t>iránymutatásnak (2021/C58/01), a soron következő pályázati felhívásokra vonatkozó feladatmeghatározásban szereplő támogathatósági kritériumok nem tartalmazzák a tevékenységek alábbi listáját: a fosszilis tüzelőanyagokhoz kapcsolódó tevékenységek, beleértve</w:t>
      </w:r>
      <w:r>
        <w:rPr>
          <w:rFonts w:ascii="Times New Roman" w:hAnsi="Times New Roman"/>
          <w:noProof/>
        </w:rPr>
        <w:t xml:space="preserve"> a továbbfelhasználást is</w:t>
      </w:r>
      <w:r>
        <w:rPr>
          <w:rStyle w:val="FootnoteReference"/>
          <w:rFonts w:ascii="Times New Roman" w:hAnsi="Times New Roman" w:cs="Times New Roman"/>
          <w:noProof/>
        </w:rPr>
        <w:footnoteReference w:id="171"/>
      </w:r>
      <w:r>
        <w:rPr>
          <w:rFonts w:ascii="Times New Roman" w:hAnsi="Times New Roman"/>
          <w:noProof/>
        </w:rPr>
        <w:t>; az uniós kibocsátáskereskedelmi rendszer (ETS) keretében végzett tevékenységek, amelyek a vonatkozó referenciaértékeknél nem alacsonyabb várható üvegházhatásúgáz-kibocsátást érnek el</w:t>
      </w:r>
      <w:r>
        <w:rPr>
          <w:rStyle w:val="FootnoteReference"/>
          <w:rFonts w:ascii="Times New Roman" w:hAnsi="Times New Roman" w:cs="Times New Roman"/>
          <w:noProof/>
        </w:rPr>
        <w:footnoteReference w:id="172"/>
      </w:r>
      <w:r>
        <w:rPr>
          <w:rFonts w:ascii="Times New Roman" w:hAnsi="Times New Roman"/>
          <w:noProof/>
        </w:rPr>
        <w:t>; hulladéklerakókkal, hulladékégetőkkel</w:t>
      </w:r>
      <w:r>
        <w:rPr>
          <w:rStyle w:val="FootnoteReference"/>
          <w:rFonts w:ascii="Times New Roman" w:hAnsi="Times New Roman" w:cs="Times New Roman"/>
          <w:noProof/>
        </w:rPr>
        <w:footnoteReference w:id="173"/>
      </w:r>
      <w:r>
        <w:rPr>
          <w:rFonts w:ascii="Times New Roman" w:hAnsi="Times New Roman"/>
          <w:noProof/>
        </w:rPr>
        <w:t xml:space="preserve"> és m</w:t>
      </w:r>
      <w:r>
        <w:rPr>
          <w:rFonts w:ascii="Times New Roman" w:hAnsi="Times New Roman"/>
          <w:noProof/>
        </w:rPr>
        <w:t>echanikai-biológiai szennyvíztisztító telepekkel kapcsolatos tevékenységek</w:t>
      </w:r>
      <w:r>
        <w:rPr>
          <w:rStyle w:val="FootnoteReference"/>
          <w:rFonts w:ascii="Times New Roman" w:hAnsi="Times New Roman" w:cs="Times New Roman"/>
          <w:noProof/>
        </w:rPr>
        <w:footnoteReference w:id="174"/>
      </w:r>
      <w:r>
        <w:rPr>
          <w:rFonts w:ascii="Times New Roman" w:hAnsi="Times New Roman"/>
          <w:noProof/>
        </w:rPr>
        <w:t>; és iv. olyan tevékenységek, amelyek esetében a hulladék hosszú távú ártalmatlanítása károsíthatja a környezetet. A feladatmeghatározás emellett előírja, hogy csak a vonatkozó unió</w:t>
      </w:r>
      <w:r>
        <w:rPr>
          <w:rFonts w:ascii="Times New Roman" w:hAnsi="Times New Roman"/>
          <w:noProof/>
        </w:rPr>
        <w:t>s és nemzeti környezetvédelmi jogszabályoknak megfelelő tevékenységek választhatók ki.</w:t>
      </w:r>
    </w:p>
    <w:p w14:paraId="00258B17" w14:textId="77777777" w:rsidR="003E1D81" w:rsidRDefault="00EB481C">
      <w:pPr>
        <w:pStyle w:val="P68B1DB1-Normal4"/>
        <w:spacing w:before="120" w:after="120" w:line="240" w:lineRule="auto"/>
        <w:jc w:val="both"/>
        <w:rPr>
          <w:rFonts w:cs="Times New Roman"/>
          <w:noProof/>
        </w:rPr>
      </w:pPr>
      <w:r>
        <w:rPr>
          <w:noProof/>
        </w:rPr>
        <w:t>Az e beruházás keretében végrehajtott alábbi K+F+I-intézkedéseket úgy kell tekinteni, hogy megfelelnek a jelentős károkozás elkerülését célzó elvről szóló technikai irán</w:t>
      </w:r>
      <w:r>
        <w:rPr>
          <w:noProof/>
        </w:rPr>
        <w:t>ymutatásnak (2021/C58/01): az e beruházás keretébe tartozó azon K+F+I tevékenységek, amelyek alkalmazásuk szintjén technológiasemleges eredményekhez vezetnek; az e beruházás keretében végrehajtott azon K+F+I tevékenységek, amelyek alacsony környezeti hatás</w:t>
      </w:r>
      <w:r>
        <w:rPr>
          <w:noProof/>
        </w:rPr>
        <w:t>sal járó alternatívákat támogatnak, és amelyek esetében léteznek ilyenek; vagy iii. az e beruházás keretébe tartozó azon K+F+I tevékenységek, amelyek elsősorban az ágazatban a lehető legkisebb környezeti hatással járó alternatívák kifejlesztésére összponto</w:t>
      </w:r>
      <w:r>
        <w:rPr>
          <w:noProof/>
        </w:rPr>
        <w:t>sítanak azon tevékenységek tekintetében, amelyek esetében nem létezik technológiai és gazdasági szempontból megvalósítható, alacsony hatású alternatíva.</w:t>
      </w:r>
    </w:p>
    <w:p w14:paraId="3B55B35E" w14:textId="77777777" w:rsidR="003E1D81" w:rsidRDefault="00EB481C">
      <w:pPr>
        <w:pStyle w:val="P68B1DB1-Normal4"/>
        <w:autoSpaceDE w:val="0"/>
        <w:autoSpaceDN w:val="0"/>
        <w:spacing w:before="40" w:after="40"/>
        <w:rPr>
          <w:rFonts w:cs="Times New Roman"/>
          <w:noProof/>
        </w:rPr>
      </w:pPr>
      <w:r>
        <w:rPr>
          <w:noProof/>
        </w:rPr>
        <w:t xml:space="preserve">A beruházás végrehajtását 2026. június 30-ig be kell fejezni. </w:t>
      </w:r>
    </w:p>
    <w:p w14:paraId="61CEF7F6" w14:textId="1EFAA33F" w:rsidR="003E1D81" w:rsidRDefault="00EB481C">
      <w:pPr>
        <w:pStyle w:val="P68B1DB1-Normal6"/>
        <w:keepNext/>
        <w:spacing w:before="120" w:after="120" w:line="240" w:lineRule="auto"/>
        <w:jc w:val="both"/>
        <w:rPr>
          <w:rFonts w:cs="Times New Roman"/>
          <w:noProof/>
        </w:rPr>
      </w:pPr>
      <w:r>
        <w:rPr>
          <w:noProof/>
        </w:rPr>
        <w:t>Beruházás (C17.I8): Fenntartható gépjárm</w:t>
      </w:r>
      <w:r>
        <w:rPr>
          <w:noProof/>
        </w:rPr>
        <w:t xml:space="preserve">űipari K+F+I  </w:t>
      </w:r>
    </w:p>
    <w:p w14:paraId="5C0B8649" w14:textId="77777777" w:rsidR="003E1D81" w:rsidRDefault="00EB481C">
      <w:pPr>
        <w:pStyle w:val="P68B1DB1-Normal4"/>
        <w:keepNext/>
        <w:spacing w:before="120" w:after="120" w:line="240" w:lineRule="auto"/>
        <w:jc w:val="both"/>
        <w:rPr>
          <w:rFonts w:cs="Times New Roman"/>
          <w:noProof/>
        </w:rPr>
      </w:pPr>
      <w:r>
        <w:rPr>
          <w:noProof/>
        </w:rPr>
        <w:t>Ezen intézkedés célja a kutatás és az innováció előmozdítása a fenntartható gépjárműiparban. Az intézkedés különösen a következőkre irányul: 1) kizárólag elektromos, hálózatról tölthető hibrid és hidrogénüzemű járművek alkatrészeinek és plat</w:t>
      </w:r>
      <w:r>
        <w:rPr>
          <w:noProof/>
        </w:rPr>
        <w:t>formjainak fejlesztése, 2) az önvezető járművekkel és az összekapcsolt mobilitással kapcsolatos kutatás és fejlesztés előmozdítása új hardver- és szoftveres járművek architektúrájának kifejlesztésével, valamint 3) az alkatrészek és rendszerek gyártási terü</w:t>
      </w:r>
      <w:r>
        <w:rPr>
          <w:noProof/>
        </w:rPr>
        <w:t xml:space="preserve">leteinek kizárólag elektromos, hálózatról tölthető hibrid és hidrogénüzemű járművekhez való igazítása. A projekteket három-nyolc vállalkozásból (legalább egynek kkv-nak) álló, legfeljebb három évig tartó üzleti konzorciumok hajtják végre. </w:t>
      </w:r>
    </w:p>
    <w:p w14:paraId="412B8A44" w14:textId="77777777" w:rsidR="003E1D81" w:rsidRDefault="00EB481C">
      <w:pPr>
        <w:pStyle w:val="P68B1DB1-Normal4"/>
        <w:spacing w:before="120" w:after="120" w:line="240" w:lineRule="auto"/>
        <w:jc w:val="both"/>
        <w:rPr>
          <w:rFonts w:cs="Times New Roman"/>
          <w:noProof/>
        </w:rPr>
      </w:pPr>
      <w:r>
        <w:rPr>
          <w:noProof/>
        </w:rPr>
        <w:t>Az e beruházás k</w:t>
      </w:r>
      <w:r>
        <w:rPr>
          <w:noProof/>
        </w:rPr>
        <w:t xml:space="preserve">eretében végrehajtott intézkedésekre pályázati felhívások útján kerül sor. </w:t>
      </w:r>
    </w:p>
    <w:p w14:paraId="3E64342F" w14:textId="77777777" w:rsidR="003E1D81" w:rsidRDefault="00EB481C">
      <w:pPr>
        <w:pStyle w:val="Text1"/>
        <w:ind w:left="0"/>
        <w:rPr>
          <w:rFonts w:ascii="Times New Roman" w:hAnsi="Times New Roman" w:cs="Times New Roman"/>
          <w:noProof/>
          <w:highlight w:val="green"/>
        </w:rPr>
      </w:pPr>
      <w:r>
        <w:rPr>
          <w:rFonts w:ascii="Times New Roman" w:hAnsi="Times New Roman"/>
          <w:noProof/>
        </w:rPr>
        <w:t>Annak biztosítása érdekében, hogy az intézkedés megfeleljen a jelentős károkozás elkerülését célzó elvről szóló technikai iránymutatásnak (2021/C58/01), a soron következő pályázati</w:t>
      </w:r>
      <w:r>
        <w:rPr>
          <w:rFonts w:ascii="Times New Roman" w:hAnsi="Times New Roman"/>
          <w:noProof/>
        </w:rPr>
        <w:t xml:space="preserve"> felhívásokra vonatkozó feladatmeghatározásban szereplő támogathatósági kritériumok nem tartalmazzák a tevékenységek alábbi listáját: a fosszilis tüzelőanyagokhoz kapcsolódó tevékenységek, beleértve a továbbfelhasználást is</w:t>
      </w:r>
      <w:r>
        <w:rPr>
          <w:rStyle w:val="FootnoteReference"/>
          <w:rFonts w:ascii="Times New Roman" w:hAnsi="Times New Roman" w:cs="Times New Roman"/>
          <w:noProof/>
        </w:rPr>
        <w:footnoteReference w:id="175"/>
      </w:r>
      <w:r>
        <w:rPr>
          <w:rFonts w:ascii="Times New Roman" w:hAnsi="Times New Roman"/>
          <w:noProof/>
        </w:rPr>
        <w:t>; az uniós kibocsátáskereskedelm</w:t>
      </w:r>
      <w:r>
        <w:rPr>
          <w:rFonts w:ascii="Times New Roman" w:hAnsi="Times New Roman"/>
          <w:noProof/>
        </w:rPr>
        <w:t>i rendszer (ETS) keretében végzett tevékenységek, amelyek a vonatkozó referenciaértékeknél nem alacsonyabb várható üvegházhatásúgáz-kibocsátást érnek el</w:t>
      </w:r>
      <w:r>
        <w:rPr>
          <w:rStyle w:val="FootnoteReference"/>
          <w:rFonts w:ascii="Times New Roman" w:hAnsi="Times New Roman" w:cs="Times New Roman"/>
          <w:noProof/>
        </w:rPr>
        <w:footnoteReference w:id="176"/>
      </w:r>
      <w:r>
        <w:rPr>
          <w:rFonts w:ascii="Times New Roman" w:hAnsi="Times New Roman"/>
          <w:noProof/>
        </w:rPr>
        <w:t>; hulladéklerakókkal, hulladékégetőkkel</w:t>
      </w:r>
      <w:r>
        <w:rPr>
          <w:rStyle w:val="FootnoteReference"/>
          <w:rFonts w:ascii="Times New Roman" w:hAnsi="Times New Roman" w:cs="Times New Roman"/>
          <w:noProof/>
        </w:rPr>
        <w:footnoteReference w:id="177"/>
      </w:r>
      <w:r>
        <w:rPr>
          <w:rFonts w:ascii="Times New Roman" w:hAnsi="Times New Roman"/>
          <w:noProof/>
        </w:rPr>
        <w:t xml:space="preserve"> és mechanikai-biológiai szennyvíztisztító telepekkel kapcsolat</w:t>
      </w:r>
      <w:r>
        <w:rPr>
          <w:rFonts w:ascii="Times New Roman" w:hAnsi="Times New Roman"/>
          <w:noProof/>
        </w:rPr>
        <w:t>os tevékenységek</w:t>
      </w:r>
      <w:r>
        <w:rPr>
          <w:rStyle w:val="FootnoteReference"/>
          <w:rFonts w:ascii="Times New Roman" w:hAnsi="Times New Roman" w:cs="Times New Roman"/>
          <w:noProof/>
        </w:rPr>
        <w:footnoteReference w:id="178"/>
      </w:r>
      <w:r>
        <w:rPr>
          <w:rFonts w:ascii="Times New Roman" w:hAnsi="Times New Roman"/>
          <w:noProof/>
        </w:rPr>
        <w:t>; és iv. olyan tevékenységek, amelyek esetében a hulladék hosszú távú ártalmatlanítása károsíthatja a környezetet. A feladatmeghatározás emellett előírja, hogy csak a vonatkozó uniós és nemzeti környezetvédelmi jogszabályoknak megfelelő te</w:t>
      </w:r>
      <w:r>
        <w:rPr>
          <w:rFonts w:ascii="Times New Roman" w:hAnsi="Times New Roman"/>
          <w:noProof/>
        </w:rPr>
        <w:t>vékenységek választhatók ki.</w:t>
      </w:r>
    </w:p>
    <w:p w14:paraId="2532D4FB" w14:textId="77777777" w:rsidR="003E1D81" w:rsidRDefault="00EB481C">
      <w:pPr>
        <w:pStyle w:val="P68B1DB1-Normal4"/>
        <w:spacing w:before="120" w:after="120" w:line="240" w:lineRule="auto"/>
        <w:jc w:val="both"/>
        <w:rPr>
          <w:rFonts w:cs="Times New Roman"/>
          <w:noProof/>
        </w:rPr>
      </w:pPr>
      <w:r>
        <w:rPr>
          <w:noProof/>
        </w:rPr>
        <w:t>Az e beruházás keretében végrehajtott alábbi K+F+I-intézkedéseket úgy kell tekinteni, hogy megfelelnek a jelentős károkozás elkerülését célzó elvről szóló technikai iránymutatásnak (2021/C58/01): az e beruházás keretébe tartozó</w:t>
      </w:r>
      <w:r>
        <w:rPr>
          <w:noProof/>
        </w:rPr>
        <w:t xml:space="preserve"> azon K+F+I tevékenységek, amelyek alkalmazásuk szintjén technológiasemleges eredményekhez vezetnek; az e beruházás keretében végrehajtott azon K+F+I tevékenységek, amelyek alacsony környezeti hatással járó alternatívákat támogatnak, és amelyek esetében lé</w:t>
      </w:r>
      <w:r>
        <w:rPr>
          <w:noProof/>
        </w:rPr>
        <w:t xml:space="preserve">teznek ilyenek; vagy iii. az e beruházás keretébe tartozó azon K+F+I tevékenységek, amelyek elsősorban az ágazatban a lehető legkisebb környezeti hatással járó alternatívák kifejlesztésére összpontosítanak azon tevékenységek tekintetében, amelyek esetében </w:t>
      </w:r>
      <w:r>
        <w:rPr>
          <w:noProof/>
        </w:rPr>
        <w:t>nem létezik technológiai és gazdasági szempontból megvalósítható, alacsony hatású alternatíva.</w:t>
      </w:r>
    </w:p>
    <w:p w14:paraId="2A2155DC" w14:textId="77777777" w:rsidR="003E1D81" w:rsidRDefault="00EB481C">
      <w:pPr>
        <w:pStyle w:val="P68B1DB1-Normal4"/>
        <w:autoSpaceDE w:val="0"/>
        <w:autoSpaceDN w:val="0"/>
        <w:spacing w:before="40" w:after="40"/>
        <w:rPr>
          <w:rFonts w:cs="Times New Roman"/>
          <w:noProof/>
        </w:rPr>
      </w:pPr>
      <w:r>
        <w:rPr>
          <w:noProof/>
        </w:rPr>
        <w:t xml:space="preserve">A beruházás végrehajtását 2024. június 30-ig be kell fejezni. </w:t>
      </w:r>
    </w:p>
    <w:p w14:paraId="5BE7A6FF" w14:textId="77777777" w:rsidR="003E1D81" w:rsidRDefault="00EB481C">
      <w:pPr>
        <w:pStyle w:val="P68B1DB1-Normal6"/>
        <w:spacing w:before="120" w:after="120" w:line="240" w:lineRule="auto"/>
        <w:jc w:val="both"/>
        <w:rPr>
          <w:rFonts w:cs="Times New Roman"/>
          <w:noProof/>
        </w:rPr>
      </w:pPr>
      <w:r>
        <w:rPr>
          <w:noProof/>
        </w:rPr>
        <w:t>Beruházás (C17.I9): Aerospace</w:t>
      </w:r>
    </w:p>
    <w:p w14:paraId="1B07EE26" w14:textId="01F78A81" w:rsidR="003E1D81" w:rsidRDefault="00EB481C">
      <w:pPr>
        <w:pStyle w:val="P68B1DB1-Normal4"/>
        <w:spacing w:before="120" w:after="120" w:line="240" w:lineRule="auto"/>
        <w:jc w:val="both"/>
        <w:rPr>
          <w:rFonts w:cs="Times New Roman"/>
          <w:noProof/>
        </w:rPr>
      </w:pPr>
      <w:r>
        <w:rPr>
          <w:noProof/>
        </w:rPr>
        <w:t>Ezen intézkedés célja a kutatás és az innováció előmozdítása az űrrepülési ágazatban, elsősorban az e beruházás keretében az alacsony vagy nulla szén-dioxid-kibocsátású űrtechnológiákkal és repüléstechnikával kapcsolatos fellépésekre összpontosítva. Az int</w:t>
      </w:r>
      <w:r>
        <w:rPr>
          <w:noProof/>
        </w:rPr>
        <w:t xml:space="preserve">ézkedés </w:t>
      </w:r>
      <w:bookmarkStart w:id="52" w:name="_Hlk70075465"/>
      <w:r>
        <w:rPr>
          <w:noProof/>
        </w:rPr>
        <w:t>célja, hogy javítsa a jövőbeli alacsony és nulla kibocsátású légi járművekkel, a pilóta nélküli légi járművekkel kapcsolatos kritikus technológiai fejlesztésekkel, a beszálló rendszerekkel, a többcélú légi járművekkel és a fejlett gyártási rendszer</w:t>
      </w:r>
      <w:r>
        <w:rPr>
          <w:noProof/>
        </w:rPr>
        <w:t>ekkel kapcsolatos ipari kapacitásokat, amelyek magukban foglalják a digitális ikermodellek létrehozását, a hatékonyság és az erőforrás-felhasználás csökkentését vagy az alacsonyabb környezeti hatást. A nemzeti űrtechnológiai program</w:t>
      </w:r>
      <w:bookmarkEnd w:id="52"/>
      <w:r>
        <w:rPr>
          <w:noProof/>
        </w:rPr>
        <w:t>keretében az intézkedésn</w:t>
      </w:r>
      <w:r>
        <w:rPr>
          <w:noProof/>
        </w:rPr>
        <w:t>ek támogatnia kell az űrrepülési ágazatot is a K+F+I finanszírozásával, a termelési kapacitások frissítésével, a digitalizációval és a technológiával, valamint az ágazat fenntarthatóságához hozzájáruló zöld technológiák kifejlesztésével és végrehajtásával.</w:t>
      </w:r>
      <w:r>
        <w:rPr>
          <w:noProof/>
        </w:rPr>
        <w:t xml:space="preserve"> Az érdeklődésre számot tartó területek közé tartozik a világűrhöz való hozzáférés, a Föld-megfigyelés, az optikai és biztonságos kommunikációs rendszerek, valamint a műholdas konstellációk. Az e beruházás keretében végrehajtott intézkedések pályázati felh</w:t>
      </w:r>
      <w:r>
        <w:rPr>
          <w:noProof/>
        </w:rPr>
        <w:t xml:space="preserve">ívások és közbeszerzés útján valósulnak meg. </w:t>
      </w:r>
    </w:p>
    <w:p w14:paraId="1A47E194" w14:textId="496E8A72" w:rsidR="003E1D81" w:rsidRDefault="00EB481C">
      <w:pPr>
        <w:pStyle w:val="P68B1DB1-Normal4"/>
        <w:spacing w:before="120" w:after="120" w:line="240" w:lineRule="auto"/>
        <w:jc w:val="both"/>
        <w:rPr>
          <w:rFonts w:cs="Times New Roman"/>
          <w:noProof/>
        </w:rPr>
      </w:pPr>
      <w:r>
        <w:rPr>
          <w:noProof/>
        </w:rPr>
        <w:t>Emellett a C17.I10 beruházás (az egészségügyi és az űrrepülési ágazatnak nyújtott hitelek) kiegészítéseként a repülőgép- és űrhajózási ágazatnak nyújtott hitelek vissza nem térítendő részét bele kell foglalni e</w:t>
      </w:r>
      <w:r>
        <w:rPr>
          <w:noProof/>
        </w:rPr>
        <w:t xml:space="preserve"> beruházásba.</w:t>
      </w:r>
    </w:p>
    <w:p w14:paraId="36F69F39" w14:textId="3A6D00AD" w:rsidR="003E1D81" w:rsidRDefault="00EB481C">
      <w:pPr>
        <w:pStyle w:val="Text1"/>
        <w:ind w:left="0"/>
        <w:rPr>
          <w:rFonts w:ascii="Times New Roman" w:hAnsi="Times New Roman" w:cs="Times New Roman"/>
          <w:noProof/>
          <w:highlight w:val="green"/>
        </w:rPr>
      </w:pPr>
      <w:r>
        <w:rPr>
          <w:rFonts w:ascii="Times New Roman" w:hAnsi="Times New Roman"/>
          <w:noProof/>
        </w:rPr>
        <w:t>Annak biztosítása érdekében, hogy az intézkedés megfeleljen a jelentős károkozás elkerülését célzó elvről szóló technikai iránymutatásnak (2021/C58/01), a soron következő projektfelhívásokra vagy közbeszerzési pályázatokra vonatkozó feladatme</w:t>
      </w:r>
      <w:r>
        <w:rPr>
          <w:rFonts w:ascii="Times New Roman" w:hAnsi="Times New Roman"/>
          <w:noProof/>
        </w:rPr>
        <w:t>ghatározásban szereplő támogathatósági kritériumok kizárják a tevékenységek alábbi felsorolását: a fosszilis tüzelőanyagokhoz kapcsolódó tevékenységek, beleértve a továbbfelhasználást is</w:t>
      </w:r>
      <w:r>
        <w:rPr>
          <w:rStyle w:val="FootnoteReference"/>
          <w:rFonts w:ascii="Times New Roman" w:hAnsi="Times New Roman" w:cs="Times New Roman"/>
          <w:noProof/>
        </w:rPr>
        <w:footnoteReference w:id="179"/>
      </w:r>
      <w:r>
        <w:rPr>
          <w:rFonts w:ascii="Times New Roman" w:hAnsi="Times New Roman"/>
          <w:noProof/>
        </w:rPr>
        <w:t>; az uniós kibocsátáskereskedelmi rendszer (ETS) keretében végzett te</w:t>
      </w:r>
      <w:r>
        <w:rPr>
          <w:rFonts w:ascii="Times New Roman" w:hAnsi="Times New Roman"/>
          <w:noProof/>
        </w:rPr>
        <w:t>vékenységek, amelyek a vonatkozó referenciaértékeknél nem alacsonyabb várható üvegházhatásúgáz-kibocsátást érnek el</w:t>
      </w:r>
      <w:r>
        <w:rPr>
          <w:rStyle w:val="FootnoteReference"/>
          <w:rFonts w:ascii="Times New Roman" w:hAnsi="Times New Roman" w:cs="Times New Roman"/>
          <w:noProof/>
        </w:rPr>
        <w:footnoteReference w:id="180"/>
      </w:r>
      <w:r>
        <w:rPr>
          <w:rFonts w:ascii="Times New Roman" w:hAnsi="Times New Roman"/>
          <w:noProof/>
        </w:rPr>
        <w:t>; hulladéklerakókkal, hulladékégetőkkel</w:t>
      </w:r>
      <w:r>
        <w:rPr>
          <w:rStyle w:val="FootnoteReference"/>
          <w:rFonts w:ascii="Times New Roman" w:hAnsi="Times New Roman" w:cs="Times New Roman"/>
          <w:noProof/>
        </w:rPr>
        <w:footnoteReference w:id="181"/>
      </w:r>
      <w:r>
        <w:rPr>
          <w:rFonts w:ascii="Times New Roman" w:hAnsi="Times New Roman"/>
          <w:noProof/>
        </w:rPr>
        <w:t xml:space="preserve"> és mechanikai-biológiai szennyvíztisztító telepekkel kapcsolatos tevékenységek</w:t>
      </w:r>
      <w:r>
        <w:rPr>
          <w:rStyle w:val="FootnoteReference"/>
          <w:rFonts w:ascii="Times New Roman" w:hAnsi="Times New Roman" w:cs="Times New Roman"/>
          <w:noProof/>
        </w:rPr>
        <w:footnoteReference w:id="182"/>
      </w:r>
      <w:r>
        <w:rPr>
          <w:rFonts w:ascii="Times New Roman" w:hAnsi="Times New Roman"/>
          <w:noProof/>
        </w:rPr>
        <w:t>; és iv. olyan tevék</w:t>
      </w:r>
      <w:r>
        <w:rPr>
          <w:rFonts w:ascii="Times New Roman" w:hAnsi="Times New Roman"/>
          <w:noProof/>
        </w:rPr>
        <w:t>enységek, amelyek esetében a hulladék hosszú távú ártalmatlanítása károsíthatja a környezetet. . A feladatmeghatározás emellett előírja, hogy csak a vonatkozó uniós és nemzeti környezetvédelmi jogszabályoknak megfelelő tevékenységek választhatók ki.</w:t>
      </w:r>
    </w:p>
    <w:p w14:paraId="2E47150A" w14:textId="02BFC0D9" w:rsidR="003E1D81" w:rsidRDefault="00EB481C">
      <w:pPr>
        <w:pStyle w:val="P68B1DB1-Normal4"/>
        <w:spacing w:before="120" w:after="120" w:line="240" w:lineRule="auto"/>
        <w:jc w:val="both"/>
        <w:rPr>
          <w:rFonts w:cs="Times New Roman"/>
          <w:noProof/>
        </w:rPr>
      </w:pPr>
      <w:r>
        <w:rPr>
          <w:noProof/>
        </w:rPr>
        <w:t>Az e b</w:t>
      </w:r>
      <w:r>
        <w:rPr>
          <w:noProof/>
        </w:rPr>
        <w:t xml:space="preserve">eruházás keretében végrehajtott alábbi K+F+I-intézkedéseket úgy kell tekinteni, hogy megfelelnek a jelentős károkozás elkerülését célzó elvről szóló technikai iránymutatásnak (2021/C58/01): az e beruházás keretébe tartozó azon K+F+I tevékenységek, amelyek </w:t>
      </w:r>
      <w:r>
        <w:rPr>
          <w:noProof/>
        </w:rPr>
        <w:t>alkalmazásuk szintjén technológiasemleges eredményekhez vezetnek; az e beruházás keretében végrehajtott azon K+F+I tevékenységek, amelyek alacsony környezeti hatással járó alternatívákat támogatnak, és amelyek esetében léteznek ilyenek; vagy iii. az e beru</w:t>
      </w:r>
      <w:r>
        <w:rPr>
          <w:noProof/>
        </w:rPr>
        <w:t>házás keretébe tartozó azon K+F+I tevékenységek, amelyek elsősorban az ágazatban a lehető legkisebb környezeti hatással járó alternatívák kifejlesztésére összpontosítanak azon tevékenységek tekintetében, amelyek esetében nem létezik technológiai és gazdasá</w:t>
      </w:r>
      <w:r>
        <w:rPr>
          <w:noProof/>
        </w:rPr>
        <w:t>gi szempontból megvalósítható, alacsony hatású alternatíva.</w:t>
      </w:r>
    </w:p>
    <w:p w14:paraId="77FEF779" w14:textId="468A384D" w:rsidR="003E1D81" w:rsidRDefault="00EB481C">
      <w:pPr>
        <w:pStyle w:val="P68B1DB1-Normal4"/>
        <w:autoSpaceDE w:val="0"/>
        <w:autoSpaceDN w:val="0"/>
        <w:spacing w:before="40" w:after="40"/>
        <w:rPr>
          <w:rFonts w:cs="Times New Roman"/>
          <w:noProof/>
        </w:rPr>
      </w:pPr>
      <w:r>
        <w:rPr>
          <w:noProof/>
        </w:rPr>
        <w:t xml:space="preserve">A beruházás végrehajtását 2026. </w:t>
      </w:r>
      <w:r>
        <w:rPr>
          <w:noProof/>
          <w:shd w:val="clear" w:color="auto" w:fill="FFFFFF" w:themeFill="background1"/>
        </w:rPr>
        <w:t>augusztus 31</w:t>
      </w:r>
      <w:r>
        <w:rPr>
          <w:noProof/>
        </w:rPr>
        <w:t xml:space="preserve"> -ig be kell fejezni. </w:t>
      </w:r>
    </w:p>
    <w:p w14:paraId="0B68CACE" w14:textId="77777777" w:rsidR="003E1D81" w:rsidRDefault="00EB481C">
      <w:pPr>
        <w:pStyle w:val="P68B1DB1-Normal5"/>
        <w:spacing w:before="120" w:after="120" w:line="240" w:lineRule="auto"/>
        <w:ind w:left="720"/>
        <w:jc w:val="both"/>
        <w:rPr>
          <w:rFonts w:cs="Times New Roman"/>
          <w:noProof/>
        </w:rPr>
      </w:pPr>
      <w:r>
        <w:rPr>
          <w:noProof/>
        </w:rPr>
        <w:t xml:space="preserve">KÉRDÉS: </w:t>
      </w:r>
      <w:r>
        <w:rPr>
          <w:noProof/>
        </w:rPr>
        <w:tab/>
        <w:t>Vissza nem térítendő pénzügyi támogatás – a végrehajtáshoz és a nyomon követéshez kapcsolódó mérföldkövek, célok, mutató</w:t>
      </w:r>
      <w:r>
        <w:rPr>
          <w:noProof/>
        </w:rPr>
        <w:t>k és ütemterv</w:t>
      </w:r>
    </w:p>
    <w:p w14:paraId="4E38FF67" w14:textId="77777777" w:rsidR="003E1D81" w:rsidRDefault="00EB481C">
      <w:pPr>
        <w:pStyle w:val="P68B1DB1-Normal4"/>
        <w:spacing w:before="120" w:after="120" w:line="240" w:lineRule="auto"/>
        <w:jc w:val="both"/>
        <w:rPr>
          <w:rFonts w:cs="Times New Roman"/>
          <w:noProof/>
        </w:rPr>
        <w:sectPr w:rsidR="003E1D81" w:rsidSect="00EB7CC8">
          <w:headerReference w:type="even" r:id="rId348"/>
          <w:headerReference w:type="default" r:id="rId349"/>
          <w:footerReference w:type="even" r:id="rId350"/>
          <w:footerReference w:type="default" r:id="rId351"/>
          <w:headerReference w:type="first" r:id="rId352"/>
          <w:footerReference w:type="first" r:id="rId353"/>
          <w:pgSz w:w="11907" w:h="16839"/>
          <w:pgMar w:top="1134" w:right="1417" w:bottom="1134" w:left="1417" w:header="709" w:footer="709" w:gutter="0"/>
          <w:cols w:space="720"/>
          <w:docGrid w:linePitch="360"/>
        </w:sectPr>
      </w:pPr>
      <w:r>
        <w:rPr>
          <w:i/>
          <w:noProof/>
        </w:rPr>
        <w:t>Táblázat alább.</w:t>
      </w:r>
      <w:r>
        <w:rPr>
          <w:noProof/>
        </w:rPr>
        <w:t xml:space="preserve"> </w:t>
      </w:r>
      <w:r>
        <w:rPr>
          <w:i/>
          <w:noProof/>
        </w:rPr>
        <w:t xml:space="preserve">Az alapforgatókönyv valamennyi mutató esetében 2020. február 1-je, kivéve, ha az intézkedés leírása másként jelzi. A táblázatban szereplő összegek nem tartalmazzák a </w:t>
      </w:r>
      <w:r>
        <w:rPr>
          <w:i/>
          <w:noProof/>
        </w:rPr>
        <w:t>héát.</w:t>
      </w:r>
    </w:p>
    <w:tbl>
      <w:tblPr>
        <w:tblW w:w="1442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1"/>
        <w:gridCol w:w="729"/>
        <w:gridCol w:w="609"/>
        <w:gridCol w:w="2039"/>
        <w:gridCol w:w="993"/>
        <w:gridCol w:w="850"/>
        <w:gridCol w:w="709"/>
        <w:gridCol w:w="850"/>
        <w:gridCol w:w="567"/>
        <w:gridCol w:w="567"/>
        <w:gridCol w:w="5812"/>
      </w:tblGrid>
      <w:tr w:rsidR="003E1D81" w14:paraId="2C5D1B51" w14:textId="77777777">
        <w:trPr>
          <w:trHeight w:val="309"/>
          <w:tblHeader/>
        </w:trPr>
        <w:tc>
          <w:tcPr>
            <w:tcW w:w="701" w:type="dxa"/>
            <w:vMerge w:val="restart"/>
            <w:tcBorders>
              <w:top w:val="single" w:sz="4" w:space="0" w:color="auto"/>
            </w:tcBorders>
            <w:shd w:val="clear" w:color="auto" w:fill="C6D9F1" w:themeFill="text2" w:themeFillTint="33"/>
            <w:noWrap/>
            <w:vAlign w:val="center"/>
          </w:tcPr>
          <w:p w14:paraId="19543CA2" w14:textId="54313E3B" w:rsidR="003E1D81" w:rsidRDefault="00EB481C">
            <w:pPr>
              <w:pStyle w:val="P68B1DB1-Normal12"/>
              <w:spacing w:after="0" w:line="240" w:lineRule="auto"/>
              <w:jc w:val="center"/>
              <w:rPr>
                <w:rFonts w:cs="Times New Roman"/>
                <w:noProof/>
              </w:rPr>
            </w:pPr>
            <w:r>
              <w:rPr>
                <w:noProof/>
              </w:rPr>
              <w:t>Szám</w:t>
            </w:r>
          </w:p>
        </w:tc>
        <w:tc>
          <w:tcPr>
            <w:tcW w:w="729" w:type="dxa"/>
            <w:vMerge w:val="restart"/>
            <w:tcBorders>
              <w:top w:val="single" w:sz="4" w:space="0" w:color="auto"/>
            </w:tcBorders>
            <w:shd w:val="clear" w:color="auto" w:fill="C6D9F1" w:themeFill="text2" w:themeFillTint="33"/>
            <w:noWrap/>
            <w:vAlign w:val="center"/>
          </w:tcPr>
          <w:p w14:paraId="4FA6DF0E" w14:textId="475F1FD5" w:rsidR="003E1D81" w:rsidRDefault="00EB481C">
            <w:pPr>
              <w:pStyle w:val="P68B1DB1-Normal12"/>
              <w:spacing w:after="0" w:line="240" w:lineRule="auto"/>
              <w:jc w:val="center"/>
              <w:rPr>
                <w:rFonts w:cs="Times New Roman"/>
                <w:noProof/>
              </w:rPr>
            </w:pPr>
            <w:r>
              <w:rPr>
                <w:noProof/>
              </w:rPr>
              <w:t>Intézkedés</w:t>
            </w:r>
          </w:p>
        </w:tc>
        <w:tc>
          <w:tcPr>
            <w:tcW w:w="609" w:type="dxa"/>
            <w:vMerge w:val="restart"/>
            <w:tcBorders>
              <w:top w:val="single" w:sz="4" w:space="0" w:color="auto"/>
            </w:tcBorders>
            <w:shd w:val="clear" w:color="auto" w:fill="C6D9F1" w:themeFill="text2" w:themeFillTint="33"/>
            <w:noWrap/>
            <w:vAlign w:val="center"/>
          </w:tcPr>
          <w:p w14:paraId="4FC7EB82" w14:textId="02E2B431"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039" w:type="dxa"/>
            <w:vMerge w:val="restart"/>
            <w:tcBorders>
              <w:top w:val="single" w:sz="4" w:space="0" w:color="auto"/>
            </w:tcBorders>
            <w:shd w:val="clear" w:color="auto" w:fill="C6D9F1" w:themeFill="text2" w:themeFillTint="33"/>
            <w:noWrap/>
            <w:vAlign w:val="center"/>
          </w:tcPr>
          <w:p w14:paraId="43A2C8BF" w14:textId="7068F93C" w:rsidR="003E1D81" w:rsidRDefault="00EB481C">
            <w:pPr>
              <w:pStyle w:val="P68B1DB1-Normal12"/>
              <w:spacing w:after="0" w:line="240" w:lineRule="auto"/>
              <w:jc w:val="center"/>
              <w:rPr>
                <w:rFonts w:cs="Times New Roman"/>
                <w:noProof/>
              </w:rPr>
            </w:pPr>
            <w:r>
              <w:rPr>
                <w:noProof/>
              </w:rPr>
              <w:t>Név</w:t>
            </w:r>
          </w:p>
        </w:tc>
        <w:tc>
          <w:tcPr>
            <w:tcW w:w="993" w:type="dxa"/>
            <w:vMerge w:val="restart"/>
            <w:tcBorders>
              <w:top w:val="single" w:sz="4" w:space="0" w:color="auto"/>
            </w:tcBorders>
            <w:shd w:val="clear" w:color="auto" w:fill="C6D9F1" w:themeFill="text2" w:themeFillTint="33"/>
            <w:noWrap/>
            <w:vAlign w:val="center"/>
          </w:tcPr>
          <w:p w14:paraId="56FC1E27" w14:textId="5621B9A1" w:rsidR="003E1D81" w:rsidRDefault="00EB481C">
            <w:pPr>
              <w:pStyle w:val="P68B1DB1-Normal12"/>
              <w:spacing w:after="0" w:line="240" w:lineRule="auto"/>
              <w:jc w:val="center"/>
              <w:rPr>
                <w:rFonts w:cs="Times New Roman"/>
                <w:noProof/>
              </w:rPr>
            </w:pPr>
            <w:r>
              <w:rPr>
                <w:noProof/>
              </w:rPr>
              <w:t>A mérföldkövek minőségi mutatója</w:t>
            </w:r>
          </w:p>
        </w:tc>
        <w:tc>
          <w:tcPr>
            <w:tcW w:w="2409" w:type="dxa"/>
            <w:gridSpan w:val="3"/>
            <w:tcBorders>
              <w:top w:val="single" w:sz="4" w:space="0" w:color="auto"/>
            </w:tcBorders>
            <w:shd w:val="clear" w:color="auto" w:fill="C6D9F1" w:themeFill="text2" w:themeFillTint="33"/>
            <w:noWrap/>
            <w:vAlign w:val="center"/>
          </w:tcPr>
          <w:p w14:paraId="38B08711" w14:textId="57CDA850" w:rsidR="003E1D81" w:rsidRDefault="00EB481C">
            <w:pPr>
              <w:pStyle w:val="P68B1DB1-Normal12"/>
              <w:spacing w:after="0" w:line="240" w:lineRule="auto"/>
              <w:jc w:val="center"/>
              <w:rPr>
                <w:rFonts w:cs="Times New Roman"/>
                <w:noProof/>
              </w:rPr>
            </w:pPr>
            <w:r>
              <w:rPr>
                <w:noProof/>
              </w:rPr>
              <w:t>A célérték mennyiségi mutatója</w:t>
            </w:r>
          </w:p>
        </w:tc>
        <w:tc>
          <w:tcPr>
            <w:tcW w:w="1134" w:type="dxa"/>
            <w:gridSpan w:val="2"/>
            <w:tcBorders>
              <w:top w:val="single" w:sz="4" w:space="0" w:color="auto"/>
            </w:tcBorders>
            <w:shd w:val="clear" w:color="auto" w:fill="C6D9F1" w:themeFill="text2" w:themeFillTint="33"/>
            <w:vAlign w:val="center"/>
          </w:tcPr>
          <w:p w14:paraId="4ED2EEB3" w14:textId="03DAD0E8" w:rsidR="003E1D81" w:rsidRDefault="00EB481C">
            <w:pPr>
              <w:pStyle w:val="P68B1DB1-Normal12"/>
              <w:spacing w:after="0" w:line="240" w:lineRule="auto"/>
              <w:jc w:val="center"/>
              <w:rPr>
                <w:rFonts w:cs="Times New Roman"/>
                <w:noProof/>
              </w:rPr>
            </w:pPr>
            <w:r>
              <w:rPr>
                <w:noProof/>
              </w:rPr>
              <w:t>Idő</w:t>
            </w:r>
          </w:p>
        </w:tc>
        <w:tc>
          <w:tcPr>
            <w:tcW w:w="5812" w:type="dxa"/>
            <w:vMerge w:val="restart"/>
            <w:tcBorders>
              <w:top w:val="single" w:sz="4" w:space="0" w:color="auto"/>
            </w:tcBorders>
            <w:shd w:val="clear" w:color="auto" w:fill="C6D9F1" w:themeFill="text2" w:themeFillTint="33"/>
            <w:noWrap/>
            <w:vAlign w:val="center"/>
          </w:tcPr>
          <w:p w14:paraId="4A40A094" w14:textId="64A0D489"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158A3BCC" w14:textId="77777777">
        <w:trPr>
          <w:trHeight w:val="309"/>
          <w:tblHeader/>
        </w:trPr>
        <w:tc>
          <w:tcPr>
            <w:tcW w:w="701" w:type="dxa"/>
            <w:vMerge/>
            <w:noWrap/>
            <w:vAlign w:val="center"/>
          </w:tcPr>
          <w:p w14:paraId="6F5EBF30" w14:textId="78FB1A6A" w:rsidR="003E1D81" w:rsidRDefault="003E1D81">
            <w:pPr>
              <w:spacing w:after="0" w:line="240" w:lineRule="auto"/>
              <w:jc w:val="center"/>
              <w:rPr>
                <w:rFonts w:ascii="Times New Roman" w:hAnsi="Times New Roman" w:cs="Times New Roman"/>
                <w:b/>
                <w:noProof/>
                <w:sz w:val="18"/>
              </w:rPr>
            </w:pPr>
          </w:p>
        </w:tc>
        <w:tc>
          <w:tcPr>
            <w:tcW w:w="729" w:type="dxa"/>
            <w:vMerge/>
            <w:noWrap/>
            <w:vAlign w:val="center"/>
          </w:tcPr>
          <w:p w14:paraId="20D980C9" w14:textId="57CF50E4" w:rsidR="003E1D81" w:rsidRDefault="003E1D81">
            <w:pPr>
              <w:spacing w:after="0" w:line="240" w:lineRule="auto"/>
              <w:jc w:val="center"/>
              <w:rPr>
                <w:rFonts w:ascii="Times New Roman" w:hAnsi="Times New Roman" w:cs="Times New Roman"/>
                <w:b/>
                <w:noProof/>
                <w:sz w:val="18"/>
              </w:rPr>
            </w:pPr>
          </w:p>
        </w:tc>
        <w:tc>
          <w:tcPr>
            <w:tcW w:w="609" w:type="dxa"/>
            <w:vMerge/>
            <w:noWrap/>
            <w:vAlign w:val="center"/>
          </w:tcPr>
          <w:p w14:paraId="532E6BAC" w14:textId="2177902C" w:rsidR="003E1D81" w:rsidRDefault="003E1D81">
            <w:pPr>
              <w:spacing w:after="0" w:line="240" w:lineRule="auto"/>
              <w:jc w:val="center"/>
              <w:rPr>
                <w:rFonts w:ascii="Times New Roman" w:hAnsi="Times New Roman" w:cs="Times New Roman"/>
                <w:b/>
                <w:noProof/>
                <w:sz w:val="18"/>
              </w:rPr>
            </w:pPr>
          </w:p>
        </w:tc>
        <w:tc>
          <w:tcPr>
            <w:tcW w:w="2039" w:type="dxa"/>
            <w:vMerge/>
            <w:noWrap/>
            <w:vAlign w:val="center"/>
          </w:tcPr>
          <w:p w14:paraId="36E5785B" w14:textId="5A9A66DC" w:rsidR="003E1D81" w:rsidRDefault="003E1D81">
            <w:pPr>
              <w:spacing w:after="0" w:line="240" w:lineRule="auto"/>
              <w:rPr>
                <w:rFonts w:ascii="Times New Roman" w:hAnsi="Times New Roman" w:cs="Times New Roman"/>
                <w:b/>
                <w:noProof/>
                <w:sz w:val="18"/>
              </w:rPr>
            </w:pPr>
          </w:p>
        </w:tc>
        <w:tc>
          <w:tcPr>
            <w:tcW w:w="993" w:type="dxa"/>
            <w:vMerge/>
            <w:noWrap/>
            <w:vAlign w:val="center"/>
          </w:tcPr>
          <w:p w14:paraId="1C4710DB" w14:textId="4DB5E512" w:rsidR="003E1D81" w:rsidRDefault="003E1D81">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6D5E5435" w14:textId="2523BC26" w:rsidR="003E1D81" w:rsidRDefault="00EB481C">
            <w:pPr>
              <w:pStyle w:val="P68B1DB1-Normal12"/>
              <w:spacing w:after="0" w:line="240" w:lineRule="auto"/>
              <w:jc w:val="center"/>
              <w:rPr>
                <w:rFonts w:cs="Times New Roman"/>
                <w:noProof/>
              </w:rPr>
            </w:pPr>
            <w:r>
              <w:rPr>
                <w:noProof/>
              </w:rPr>
              <w:t>Egység</w:t>
            </w:r>
          </w:p>
        </w:tc>
        <w:tc>
          <w:tcPr>
            <w:tcW w:w="709" w:type="dxa"/>
            <w:shd w:val="clear" w:color="auto" w:fill="C6D9F1" w:themeFill="text2" w:themeFillTint="33"/>
            <w:vAlign w:val="center"/>
          </w:tcPr>
          <w:p w14:paraId="56D16D5D" w14:textId="66F5C835" w:rsidR="003E1D81" w:rsidRDefault="00EB481C">
            <w:pPr>
              <w:pStyle w:val="P68B1DB1-Normal12"/>
              <w:spacing w:after="0" w:line="240" w:lineRule="auto"/>
              <w:jc w:val="center"/>
              <w:rPr>
                <w:rFonts w:eastAsia="Times New Roman" w:cs="Times New Roman"/>
                <w:noProof/>
              </w:rPr>
            </w:pPr>
            <w:r>
              <w:rPr>
                <w:noProof/>
              </w:rPr>
              <w:t xml:space="preserve">Alapérték </w:t>
            </w:r>
          </w:p>
        </w:tc>
        <w:tc>
          <w:tcPr>
            <w:tcW w:w="850" w:type="dxa"/>
            <w:shd w:val="clear" w:color="auto" w:fill="C6D9F1" w:themeFill="text2" w:themeFillTint="33"/>
            <w:vAlign w:val="center"/>
          </w:tcPr>
          <w:p w14:paraId="3B5D6938" w14:textId="7E0E8140" w:rsidR="003E1D81" w:rsidRDefault="00EB481C">
            <w:pPr>
              <w:pStyle w:val="P68B1DB1-Normal12"/>
              <w:spacing w:after="0" w:line="240" w:lineRule="auto"/>
              <w:rPr>
                <w:rFonts w:cs="Times New Roman"/>
                <w:noProof/>
              </w:rPr>
            </w:pPr>
            <w:r>
              <w:rPr>
                <w:noProof/>
              </w:rPr>
              <w:t>Cél</w:t>
            </w:r>
          </w:p>
        </w:tc>
        <w:tc>
          <w:tcPr>
            <w:tcW w:w="567" w:type="dxa"/>
            <w:shd w:val="clear" w:color="auto" w:fill="C6D9F1" w:themeFill="text2" w:themeFillTint="33"/>
            <w:vAlign w:val="center"/>
          </w:tcPr>
          <w:p w14:paraId="099A5A6B" w14:textId="0D8178F4"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vAlign w:val="center"/>
          </w:tcPr>
          <w:p w14:paraId="018B82E2" w14:textId="3B09D021" w:rsidR="003E1D81" w:rsidRDefault="00EB481C">
            <w:pPr>
              <w:pStyle w:val="P68B1DB1-Normal12"/>
              <w:spacing w:after="0" w:line="240" w:lineRule="auto"/>
              <w:jc w:val="center"/>
              <w:rPr>
                <w:rFonts w:cs="Times New Roman"/>
                <w:noProof/>
              </w:rPr>
            </w:pPr>
            <w:r>
              <w:rPr>
                <w:noProof/>
              </w:rPr>
              <w:t>Éve</w:t>
            </w:r>
          </w:p>
        </w:tc>
        <w:tc>
          <w:tcPr>
            <w:tcW w:w="5812" w:type="dxa"/>
            <w:vMerge/>
            <w:noWrap/>
            <w:vAlign w:val="center"/>
          </w:tcPr>
          <w:p w14:paraId="6028BA91" w14:textId="6495DF35" w:rsidR="003E1D81" w:rsidRDefault="003E1D81">
            <w:pPr>
              <w:spacing w:after="0" w:line="240" w:lineRule="auto"/>
              <w:rPr>
                <w:rFonts w:ascii="Times New Roman" w:eastAsia="Times New Roman" w:hAnsi="Times New Roman" w:cs="Times New Roman"/>
                <w:b/>
                <w:noProof/>
                <w:sz w:val="18"/>
              </w:rPr>
            </w:pPr>
          </w:p>
        </w:tc>
      </w:tr>
      <w:tr w:rsidR="003E1D81" w14:paraId="1FA893DD" w14:textId="77777777">
        <w:trPr>
          <w:trHeight w:val="309"/>
        </w:trPr>
        <w:tc>
          <w:tcPr>
            <w:tcW w:w="701" w:type="dxa"/>
            <w:shd w:val="clear" w:color="auto" w:fill="C6EFCE"/>
            <w:noWrap/>
          </w:tcPr>
          <w:p w14:paraId="0AEDCC32" w14:textId="77777777" w:rsidR="003E1D81" w:rsidRDefault="00EB481C">
            <w:pPr>
              <w:pStyle w:val="P68B1DB1-Normal13"/>
              <w:spacing w:after="0" w:line="240" w:lineRule="auto"/>
              <w:jc w:val="center"/>
              <w:rPr>
                <w:rFonts w:eastAsia="Times New Roman" w:cs="Times New Roman"/>
                <w:noProof/>
              </w:rPr>
            </w:pPr>
            <w:r>
              <w:rPr>
                <w:noProof/>
              </w:rPr>
              <w:t>254</w:t>
            </w:r>
          </w:p>
        </w:tc>
        <w:tc>
          <w:tcPr>
            <w:tcW w:w="729" w:type="dxa"/>
            <w:shd w:val="clear" w:color="auto" w:fill="C6EFCE"/>
            <w:noWrap/>
          </w:tcPr>
          <w:p w14:paraId="5FBF3E81" w14:textId="77777777" w:rsidR="003E1D81" w:rsidRDefault="00EB481C">
            <w:pPr>
              <w:pStyle w:val="P68B1DB1-Normal13"/>
              <w:spacing w:after="0" w:line="240" w:lineRule="auto"/>
              <w:jc w:val="center"/>
              <w:rPr>
                <w:rFonts w:eastAsia="Times New Roman" w:cs="Times New Roman"/>
                <w:noProof/>
              </w:rPr>
            </w:pPr>
            <w:r>
              <w:rPr>
                <w:noProof/>
              </w:rPr>
              <w:t>C17.R1</w:t>
            </w:r>
          </w:p>
        </w:tc>
        <w:tc>
          <w:tcPr>
            <w:tcW w:w="609" w:type="dxa"/>
            <w:shd w:val="clear" w:color="auto" w:fill="C6EFCE"/>
            <w:noWrap/>
          </w:tcPr>
          <w:p w14:paraId="46CDB860" w14:textId="77777777" w:rsidR="003E1D81" w:rsidRDefault="00EB481C">
            <w:pPr>
              <w:pStyle w:val="P68B1DB1-Normal13"/>
              <w:spacing w:after="0" w:line="240" w:lineRule="auto"/>
              <w:jc w:val="center"/>
              <w:rPr>
                <w:rFonts w:eastAsia="Times New Roman" w:cs="Times New Roman"/>
                <w:noProof/>
              </w:rPr>
            </w:pPr>
            <w:r>
              <w:rPr>
                <w:noProof/>
              </w:rPr>
              <w:t>M</w:t>
            </w:r>
          </w:p>
        </w:tc>
        <w:tc>
          <w:tcPr>
            <w:tcW w:w="2039" w:type="dxa"/>
            <w:shd w:val="clear" w:color="auto" w:fill="C6EFCE"/>
            <w:noWrap/>
          </w:tcPr>
          <w:p w14:paraId="5D2708B9" w14:textId="77777777" w:rsidR="003E1D81" w:rsidRDefault="00EB481C">
            <w:pPr>
              <w:pStyle w:val="P68B1DB1-Normal13"/>
              <w:spacing w:after="0" w:line="240" w:lineRule="auto"/>
              <w:rPr>
                <w:rFonts w:eastAsia="Times New Roman" w:cs="Times New Roman"/>
                <w:noProof/>
              </w:rPr>
            </w:pPr>
            <w:r>
              <w:rPr>
                <w:noProof/>
              </w:rPr>
              <w:t xml:space="preserve">A tudományról, a technológiáról és az innovációról </w:t>
            </w:r>
            <w:r>
              <w:rPr>
                <w:noProof/>
              </w:rPr>
              <w:t>szóló, június 1-jei 14/2011. sz. törvény módosításának hatálybalépése.</w:t>
            </w:r>
          </w:p>
        </w:tc>
        <w:tc>
          <w:tcPr>
            <w:tcW w:w="993" w:type="dxa"/>
            <w:shd w:val="clear" w:color="auto" w:fill="C6EFCE"/>
            <w:noWrap/>
          </w:tcPr>
          <w:p w14:paraId="3D8696D8" w14:textId="77777777" w:rsidR="003E1D81" w:rsidRDefault="00EB481C">
            <w:pPr>
              <w:pStyle w:val="P68B1DB1-Normal13"/>
              <w:spacing w:after="0" w:line="240" w:lineRule="auto"/>
              <w:jc w:val="center"/>
              <w:rPr>
                <w:rFonts w:eastAsia="Times New Roman" w:cs="Times New Roman"/>
                <w:noProof/>
              </w:rPr>
            </w:pPr>
            <w:r>
              <w:rPr>
                <w:noProof/>
              </w:rPr>
              <w:t xml:space="preserve"> A törvény hatálybalépésére vonatkozó rendelkezés</w:t>
            </w:r>
          </w:p>
        </w:tc>
        <w:tc>
          <w:tcPr>
            <w:tcW w:w="850" w:type="dxa"/>
            <w:shd w:val="clear" w:color="auto" w:fill="C6EFCE"/>
            <w:noWrap/>
          </w:tcPr>
          <w:p w14:paraId="6F55BD0C"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2E7611B6"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17BDBD32" w14:textId="6EC248F7" w:rsidR="003E1D81" w:rsidRDefault="003E1D81">
            <w:pPr>
              <w:spacing w:after="0" w:line="240" w:lineRule="auto"/>
              <w:jc w:val="center"/>
              <w:rPr>
                <w:rFonts w:ascii="Times New Roman" w:hAnsi="Times New Roman" w:cs="Times New Roman"/>
                <w:noProof/>
                <w:sz w:val="18"/>
              </w:rPr>
            </w:pPr>
          </w:p>
        </w:tc>
        <w:tc>
          <w:tcPr>
            <w:tcW w:w="567" w:type="dxa"/>
            <w:shd w:val="clear" w:color="auto" w:fill="C6EFCE"/>
          </w:tcPr>
          <w:p w14:paraId="39A299FC" w14:textId="0C00DA27"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tcPr>
          <w:p w14:paraId="11C93FFC" w14:textId="30FDDC17" w:rsidR="003E1D81" w:rsidRDefault="00EB481C">
            <w:pPr>
              <w:pStyle w:val="P68B1DB1-Normal13"/>
              <w:spacing w:after="0" w:line="240" w:lineRule="auto"/>
              <w:jc w:val="center"/>
              <w:rPr>
                <w:rFonts w:cs="Times New Roman"/>
                <w:noProof/>
              </w:rPr>
            </w:pPr>
            <w:r>
              <w:rPr>
                <w:noProof/>
              </w:rPr>
              <w:t>2022</w:t>
            </w:r>
          </w:p>
        </w:tc>
        <w:tc>
          <w:tcPr>
            <w:tcW w:w="5812" w:type="dxa"/>
            <w:shd w:val="clear" w:color="auto" w:fill="C6EFCE"/>
            <w:noWrap/>
          </w:tcPr>
          <w:p w14:paraId="4E3D45B8" w14:textId="77777777" w:rsidR="003E1D81" w:rsidRDefault="00EB481C">
            <w:pPr>
              <w:pStyle w:val="P68B1DB1-Normal13"/>
              <w:spacing w:after="0" w:line="240" w:lineRule="auto"/>
              <w:rPr>
                <w:rFonts w:cs="Times New Roman"/>
                <w:noProof/>
              </w:rPr>
            </w:pPr>
            <w:r>
              <w:rPr>
                <w:noProof/>
              </w:rPr>
              <w:t>A tudományról, a technológiáról és az innovációról szóló törvény módosításának hatálybalépése, amely javítja a tudomány</w:t>
            </w:r>
            <w:r>
              <w:rPr>
                <w:noProof/>
              </w:rPr>
              <w:t xml:space="preserve">, a kutatás és az innováció különböző kormányzati szintjei közötti koordinációt, fokozza a spanyol tudománytechnológiai és innovációs rendszer irányítását és koordinációját, új tudományos karriert vezet be és javítja a tudástranszfert. </w:t>
            </w:r>
          </w:p>
        </w:tc>
      </w:tr>
      <w:tr w:rsidR="003E1D81" w14:paraId="1FEA383B" w14:textId="77777777">
        <w:trPr>
          <w:trHeight w:val="309"/>
        </w:trPr>
        <w:tc>
          <w:tcPr>
            <w:tcW w:w="701" w:type="dxa"/>
            <w:shd w:val="clear" w:color="auto" w:fill="C6EFCE"/>
            <w:noWrap/>
          </w:tcPr>
          <w:p w14:paraId="213D4DF8" w14:textId="77777777" w:rsidR="003E1D81" w:rsidRDefault="00EB481C">
            <w:pPr>
              <w:pStyle w:val="P68B1DB1-Normal13"/>
              <w:jc w:val="center"/>
              <w:rPr>
                <w:rFonts w:cs="Times New Roman"/>
                <w:noProof/>
              </w:rPr>
            </w:pPr>
            <w:r>
              <w:rPr>
                <w:noProof/>
              </w:rPr>
              <w:t>255</w:t>
            </w:r>
          </w:p>
        </w:tc>
        <w:tc>
          <w:tcPr>
            <w:tcW w:w="729" w:type="dxa"/>
            <w:shd w:val="clear" w:color="auto" w:fill="C6EFCE"/>
            <w:noWrap/>
          </w:tcPr>
          <w:p w14:paraId="47E4DDEA" w14:textId="77777777" w:rsidR="003E1D81" w:rsidRDefault="00EB481C">
            <w:pPr>
              <w:pStyle w:val="P68B1DB1-Normal13"/>
              <w:jc w:val="center"/>
              <w:rPr>
                <w:rFonts w:cs="Times New Roman"/>
                <w:noProof/>
              </w:rPr>
            </w:pPr>
            <w:r>
              <w:rPr>
                <w:noProof/>
              </w:rPr>
              <w:t>C17.R2</w:t>
            </w:r>
          </w:p>
        </w:tc>
        <w:tc>
          <w:tcPr>
            <w:tcW w:w="609" w:type="dxa"/>
            <w:shd w:val="clear" w:color="auto" w:fill="C6EFCE"/>
            <w:noWrap/>
          </w:tcPr>
          <w:p w14:paraId="3222240A" w14:textId="77777777" w:rsidR="003E1D81" w:rsidRDefault="00EB481C">
            <w:pPr>
              <w:pStyle w:val="P68B1DB1-Normal13"/>
              <w:jc w:val="center"/>
              <w:rPr>
                <w:rFonts w:cs="Times New Roman"/>
                <w:noProof/>
              </w:rPr>
            </w:pPr>
            <w:r>
              <w:rPr>
                <w:noProof/>
              </w:rPr>
              <w:t>M</w:t>
            </w:r>
          </w:p>
        </w:tc>
        <w:tc>
          <w:tcPr>
            <w:tcW w:w="2039" w:type="dxa"/>
            <w:shd w:val="clear" w:color="auto" w:fill="C6EFCE"/>
            <w:noWrap/>
          </w:tcPr>
          <w:p w14:paraId="62CD58CA" w14:textId="77777777" w:rsidR="003E1D81" w:rsidRDefault="00EB481C">
            <w:pPr>
              <w:pStyle w:val="P68B1DB1-Normal13"/>
              <w:rPr>
                <w:rFonts w:cs="Times New Roman"/>
                <w:noProof/>
              </w:rPr>
            </w:pPr>
            <w:r>
              <w:rPr>
                <w:noProof/>
              </w:rPr>
              <w:t xml:space="preserve">A </w:t>
            </w:r>
            <w:r>
              <w:rPr>
                <w:noProof/>
              </w:rPr>
              <w:t>2021–2027-es időszakra vonatkozó spanyol tudományos, technológiai és innovációs stratégia közzététele</w:t>
            </w:r>
          </w:p>
        </w:tc>
        <w:tc>
          <w:tcPr>
            <w:tcW w:w="993" w:type="dxa"/>
            <w:shd w:val="clear" w:color="auto" w:fill="C6EFCE"/>
            <w:noWrap/>
          </w:tcPr>
          <w:p w14:paraId="7AD43052" w14:textId="77777777" w:rsidR="003E1D81" w:rsidRDefault="00EB481C">
            <w:pPr>
              <w:pStyle w:val="P68B1DB1-Normal13"/>
              <w:rPr>
                <w:rFonts w:cs="Times New Roman"/>
                <w:noProof/>
              </w:rPr>
            </w:pPr>
            <w:r>
              <w:rPr>
                <w:noProof/>
              </w:rPr>
              <w:t>A 2021–2027-es időszakra vonatkozó spanyol tudományos, technológiai és innovációs stratégia közzététele</w:t>
            </w:r>
          </w:p>
        </w:tc>
        <w:tc>
          <w:tcPr>
            <w:tcW w:w="850" w:type="dxa"/>
            <w:shd w:val="clear" w:color="auto" w:fill="C6EFCE"/>
            <w:noWrap/>
          </w:tcPr>
          <w:p w14:paraId="394EAC0E" w14:textId="77777777" w:rsidR="003E1D81" w:rsidRDefault="00EB481C">
            <w:pPr>
              <w:pStyle w:val="P68B1DB1-Normal13"/>
              <w:rPr>
                <w:rFonts w:cs="Times New Roman"/>
                <w:noProof/>
              </w:rPr>
            </w:pPr>
            <w:r>
              <w:rPr>
                <w:noProof/>
              </w:rPr>
              <w:t xml:space="preserve"> </w:t>
            </w:r>
          </w:p>
        </w:tc>
        <w:tc>
          <w:tcPr>
            <w:tcW w:w="709" w:type="dxa"/>
            <w:shd w:val="clear" w:color="auto" w:fill="C6EFCE"/>
          </w:tcPr>
          <w:p w14:paraId="5C7927EC" w14:textId="77777777" w:rsidR="003E1D81" w:rsidRDefault="003E1D81">
            <w:pPr>
              <w:rPr>
                <w:rFonts w:ascii="Times New Roman" w:hAnsi="Times New Roman" w:cs="Times New Roman"/>
                <w:noProof/>
                <w:sz w:val="18"/>
              </w:rPr>
            </w:pPr>
          </w:p>
        </w:tc>
        <w:tc>
          <w:tcPr>
            <w:tcW w:w="850" w:type="dxa"/>
            <w:shd w:val="clear" w:color="auto" w:fill="C6EFCE"/>
          </w:tcPr>
          <w:p w14:paraId="30E47931" w14:textId="36E724BD" w:rsidR="003E1D81" w:rsidRDefault="003E1D81">
            <w:pPr>
              <w:jc w:val="center"/>
              <w:rPr>
                <w:rFonts w:ascii="Times New Roman" w:hAnsi="Times New Roman" w:cs="Times New Roman"/>
                <w:noProof/>
                <w:sz w:val="18"/>
              </w:rPr>
            </w:pPr>
          </w:p>
        </w:tc>
        <w:tc>
          <w:tcPr>
            <w:tcW w:w="567" w:type="dxa"/>
            <w:shd w:val="clear" w:color="auto" w:fill="C6EFCE"/>
          </w:tcPr>
          <w:p w14:paraId="21F37CD3" w14:textId="003FF69C" w:rsidR="003E1D81" w:rsidRDefault="00EB481C">
            <w:pPr>
              <w:pStyle w:val="P68B1DB1-Normal13"/>
              <w:jc w:val="center"/>
              <w:rPr>
                <w:rFonts w:cs="Times New Roman"/>
                <w:noProof/>
              </w:rPr>
            </w:pPr>
            <w:r>
              <w:rPr>
                <w:noProof/>
              </w:rPr>
              <w:t>NEGYEDÉV</w:t>
            </w:r>
          </w:p>
        </w:tc>
        <w:tc>
          <w:tcPr>
            <w:tcW w:w="567" w:type="dxa"/>
            <w:shd w:val="clear" w:color="auto" w:fill="C6EFCE"/>
          </w:tcPr>
          <w:p w14:paraId="1130D534" w14:textId="6205A7D6" w:rsidR="003E1D81" w:rsidRDefault="00EB481C">
            <w:pPr>
              <w:pStyle w:val="P68B1DB1-Normal13"/>
              <w:jc w:val="center"/>
              <w:rPr>
                <w:rFonts w:cs="Times New Roman"/>
                <w:noProof/>
              </w:rPr>
            </w:pPr>
            <w:r>
              <w:rPr>
                <w:noProof/>
              </w:rPr>
              <w:t>2020</w:t>
            </w:r>
          </w:p>
        </w:tc>
        <w:tc>
          <w:tcPr>
            <w:tcW w:w="5812" w:type="dxa"/>
            <w:shd w:val="clear" w:color="auto" w:fill="C6EFCE"/>
            <w:noWrap/>
          </w:tcPr>
          <w:p w14:paraId="10CCE7ED" w14:textId="77777777" w:rsidR="003E1D81" w:rsidRDefault="00EB481C">
            <w:pPr>
              <w:pStyle w:val="P68B1DB1-Normal13"/>
              <w:spacing w:line="240" w:lineRule="auto"/>
              <w:rPr>
                <w:rFonts w:cs="Times New Roman"/>
                <w:noProof/>
              </w:rPr>
            </w:pPr>
            <w:r>
              <w:rPr>
                <w:noProof/>
              </w:rPr>
              <w:t>A spanyol tudományos, technológi</w:t>
            </w:r>
            <w:r>
              <w:rPr>
                <w:noProof/>
              </w:rPr>
              <w:t>ai és innovációs stratégia (EECTI) meghatározza azt az átfogó stratégiát, amelyet a kutatásfejlesztés és az innováció területén valamennyi közigazgatási szervnek követnie kell, beleértve a regionális és helyi szintet is. A stratégia Spanyolország intellige</w:t>
            </w:r>
            <w:r>
              <w:rPr>
                <w:noProof/>
              </w:rPr>
              <w:t>ns szakosodási stratégiája.  Létrejön a stratégia monitoringbizottsága, amely az állam, a régiók, a gazdasági és társadalmi szereplők, valamint a tudományos közösség képviselőiből áll. A stratégia a közigazgatás különböző szintjei közötti koordináció elvén</w:t>
            </w:r>
            <w:r>
              <w:rPr>
                <w:noProof/>
              </w:rPr>
              <w:t xml:space="preserve"> alapul, és célja a nemek közötti egyenlőség szempontjának biztosítása a K+I-ben. Célja a köz- és magánszféra közötti együttműködés megerősítése, a tudástranszfer előmozdítása, a tudományos tehetségek megtartása és a tudományos karrier fejlesztése, a megfe</w:t>
            </w:r>
            <w:r>
              <w:rPr>
                <w:noProof/>
              </w:rPr>
              <w:t xml:space="preserve">lelő adóügyi ösztönzők biztosítása a magánszektorban a K+F+I támogatása érdekében, valamint a nemi dimenzió beépítése. </w:t>
            </w:r>
          </w:p>
        </w:tc>
      </w:tr>
      <w:tr w:rsidR="003E1D81" w14:paraId="5CCF5445" w14:textId="77777777">
        <w:trPr>
          <w:trHeight w:val="309"/>
        </w:trPr>
        <w:tc>
          <w:tcPr>
            <w:tcW w:w="701" w:type="dxa"/>
            <w:shd w:val="clear" w:color="auto" w:fill="C6EFCE"/>
            <w:noWrap/>
          </w:tcPr>
          <w:p w14:paraId="777BEDB2" w14:textId="77777777" w:rsidR="003E1D81" w:rsidRDefault="00EB481C">
            <w:pPr>
              <w:pStyle w:val="P68B1DB1-Normal13"/>
              <w:spacing w:after="0" w:line="240" w:lineRule="auto"/>
              <w:jc w:val="center"/>
              <w:rPr>
                <w:rFonts w:eastAsia="Times New Roman" w:cs="Times New Roman"/>
                <w:noProof/>
              </w:rPr>
            </w:pPr>
            <w:r>
              <w:rPr>
                <w:noProof/>
              </w:rPr>
              <w:t>256</w:t>
            </w:r>
          </w:p>
        </w:tc>
        <w:tc>
          <w:tcPr>
            <w:tcW w:w="729" w:type="dxa"/>
            <w:shd w:val="clear" w:color="auto" w:fill="C6EFCE"/>
            <w:noWrap/>
          </w:tcPr>
          <w:p w14:paraId="685AC3B1" w14:textId="77777777" w:rsidR="003E1D81" w:rsidRDefault="00EB481C">
            <w:pPr>
              <w:pStyle w:val="P68B1DB1-Normal13"/>
              <w:spacing w:after="0" w:line="240" w:lineRule="auto"/>
              <w:jc w:val="center"/>
              <w:rPr>
                <w:rFonts w:eastAsia="Times New Roman" w:cs="Times New Roman"/>
                <w:noProof/>
              </w:rPr>
            </w:pPr>
            <w:r>
              <w:rPr>
                <w:noProof/>
              </w:rPr>
              <w:t>C17.R2</w:t>
            </w:r>
          </w:p>
        </w:tc>
        <w:tc>
          <w:tcPr>
            <w:tcW w:w="609" w:type="dxa"/>
            <w:shd w:val="clear" w:color="auto" w:fill="C6EFCE"/>
            <w:noWrap/>
          </w:tcPr>
          <w:p w14:paraId="7D124B38" w14:textId="77777777" w:rsidR="003E1D81" w:rsidRDefault="00EB481C">
            <w:pPr>
              <w:pStyle w:val="P68B1DB1-Normal13"/>
              <w:spacing w:after="0" w:line="240" w:lineRule="auto"/>
              <w:jc w:val="center"/>
              <w:rPr>
                <w:rFonts w:eastAsia="Times New Roman" w:cs="Times New Roman"/>
                <w:noProof/>
              </w:rPr>
            </w:pPr>
            <w:r>
              <w:rPr>
                <w:noProof/>
              </w:rPr>
              <w:t>M</w:t>
            </w:r>
          </w:p>
        </w:tc>
        <w:tc>
          <w:tcPr>
            <w:tcW w:w="2039" w:type="dxa"/>
            <w:shd w:val="clear" w:color="auto" w:fill="C6EFCE"/>
            <w:noWrap/>
          </w:tcPr>
          <w:p w14:paraId="41DC8F17" w14:textId="77777777" w:rsidR="003E1D81" w:rsidRDefault="00EB481C">
            <w:pPr>
              <w:pStyle w:val="P68B1DB1-Normal13"/>
              <w:spacing w:after="0" w:line="240" w:lineRule="auto"/>
              <w:rPr>
                <w:rFonts w:eastAsia="Times New Roman" w:cs="Times New Roman"/>
                <w:noProof/>
              </w:rPr>
            </w:pPr>
            <w:r>
              <w:rPr>
                <w:noProof/>
              </w:rPr>
              <w:t xml:space="preserve">A 2021–2027-es időszakra vonatkozó spanyol tudományos, technológiai és innovációs stratégia félidős értékelése </w:t>
            </w:r>
          </w:p>
        </w:tc>
        <w:tc>
          <w:tcPr>
            <w:tcW w:w="993" w:type="dxa"/>
            <w:shd w:val="clear" w:color="auto" w:fill="C6EFCE"/>
            <w:noWrap/>
          </w:tcPr>
          <w:p w14:paraId="456A46FD" w14:textId="77777777" w:rsidR="003E1D81" w:rsidRDefault="00EB481C">
            <w:pPr>
              <w:pStyle w:val="P68B1DB1-Normal13"/>
              <w:spacing w:after="0" w:line="240" w:lineRule="auto"/>
              <w:jc w:val="center"/>
              <w:rPr>
                <w:rFonts w:eastAsia="Times New Roman" w:cs="Times New Roman"/>
                <w:noProof/>
              </w:rPr>
            </w:pPr>
            <w:r>
              <w:rPr>
                <w:noProof/>
              </w:rPr>
              <w:t xml:space="preserve">Megállapodás a Consejo de </w:t>
            </w:r>
            <w:r>
              <w:rPr>
                <w:i/>
                <w:noProof/>
              </w:rPr>
              <w:t>Política Científica, Tecnológica y de Innovación</w:t>
            </w:r>
            <w:r>
              <w:rPr>
                <w:noProof/>
              </w:rPr>
              <w:t xml:space="preserve"> területén, valamint az értékelés közzététele a Tudományos és Innovációs Minisztérium honlapján.  </w:t>
            </w:r>
          </w:p>
        </w:tc>
        <w:tc>
          <w:tcPr>
            <w:tcW w:w="850" w:type="dxa"/>
            <w:shd w:val="clear" w:color="auto" w:fill="C6EFCE"/>
            <w:noWrap/>
          </w:tcPr>
          <w:p w14:paraId="19322564"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3A31862B"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0061496B" w14:textId="4EA8BB98" w:rsidR="003E1D81" w:rsidRDefault="003E1D81">
            <w:pPr>
              <w:spacing w:after="0" w:line="240" w:lineRule="auto"/>
              <w:jc w:val="center"/>
              <w:rPr>
                <w:rFonts w:ascii="Times New Roman" w:hAnsi="Times New Roman" w:cs="Times New Roman"/>
                <w:noProof/>
                <w:sz w:val="18"/>
              </w:rPr>
            </w:pPr>
          </w:p>
        </w:tc>
        <w:tc>
          <w:tcPr>
            <w:tcW w:w="567" w:type="dxa"/>
            <w:shd w:val="clear" w:color="auto" w:fill="C6EFCE"/>
          </w:tcPr>
          <w:p w14:paraId="6DA9F107" w14:textId="59508092"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tcPr>
          <w:p w14:paraId="0D5454B8" w14:textId="61006493" w:rsidR="003E1D81" w:rsidRDefault="00EB481C">
            <w:pPr>
              <w:pStyle w:val="P68B1DB1-Normal13"/>
              <w:spacing w:after="0" w:line="240" w:lineRule="auto"/>
              <w:jc w:val="center"/>
              <w:rPr>
                <w:rFonts w:cs="Times New Roman"/>
                <w:noProof/>
              </w:rPr>
            </w:pPr>
            <w:r>
              <w:rPr>
                <w:noProof/>
              </w:rPr>
              <w:t>2023</w:t>
            </w:r>
          </w:p>
        </w:tc>
        <w:tc>
          <w:tcPr>
            <w:tcW w:w="5812" w:type="dxa"/>
            <w:shd w:val="clear" w:color="auto" w:fill="C6EFCE"/>
            <w:noWrap/>
          </w:tcPr>
          <w:p w14:paraId="73F6C422" w14:textId="77777777" w:rsidR="003E1D81" w:rsidRDefault="00EB481C">
            <w:pPr>
              <w:pStyle w:val="P68B1DB1-Normal13"/>
              <w:spacing w:after="0" w:line="240" w:lineRule="auto"/>
              <w:rPr>
                <w:rFonts w:eastAsia="Times New Roman" w:cs="Times New Roman"/>
                <w:noProof/>
              </w:rPr>
            </w:pPr>
            <w:r>
              <w:rPr>
                <w:noProof/>
              </w:rPr>
              <w:t>A 2021–2027-es időszakra vonatkozó spanyol tudományos, technológi</w:t>
            </w:r>
            <w:r>
              <w:rPr>
                <w:noProof/>
              </w:rPr>
              <w:t xml:space="preserve">ai és innovációs stratégia monitoringbizottsága által végzett félidős értékelést 2023 decemberében kell közzétenni. Az értékelés során alkalmazandó mutatókról a </w:t>
            </w:r>
            <w:r>
              <w:rPr>
                <w:i/>
                <w:noProof/>
              </w:rPr>
              <w:t>Consejo de Política Científica, Tecnológica y de Innovación</w:t>
            </w:r>
            <w:r>
              <w:rPr>
                <w:noProof/>
              </w:rPr>
              <w:t xml:space="preserve"> (amelyben a 17 autonóm közösség kép</w:t>
            </w:r>
            <w:r>
              <w:rPr>
                <w:noProof/>
              </w:rPr>
              <w:t>viselteti magát) állapodnak meg, e mutatók indikatív listáját és az adatkutatást a 2021–2027-es időszakra vonatkozó spanyol tudományos, technológiai és innovációs stratégia tartalmazza. A tudományos, technológiai és innovációs rendszert arra használják, ho</w:t>
            </w:r>
            <w:r>
              <w:rPr>
                <w:noProof/>
              </w:rPr>
              <w:t xml:space="preserve">gy adatokat gyűjtsenek a stratégia végrehajtása terén elért eredményekről. </w:t>
            </w:r>
          </w:p>
        </w:tc>
      </w:tr>
      <w:tr w:rsidR="003E1D81" w14:paraId="068EE29A" w14:textId="77777777">
        <w:trPr>
          <w:trHeight w:val="309"/>
        </w:trPr>
        <w:tc>
          <w:tcPr>
            <w:tcW w:w="701" w:type="dxa"/>
            <w:shd w:val="clear" w:color="auto" w:fill="C6EFCE"/>
            <w:noWrap/>
          </w:tcPr>
          <w:p w14:paraId="18E0C817" w14:textId="77777777" w:rsidR="003E1D81" w:rsidRDefault="00EB481C">
            <w:pPr>
              <w:pStyle w:val="P68B1DB1-Normal13"/>
              <w:spacing w:after="0" w:line="240" w:lineRule="auto"/>
              <w:jc w:val="center"/>
              <w:rPr>
                <w:rFonts w:eastAsia="Times New Roman" w:cs="Times New Roman"/>
                <w:noProof/>
              </w:rPr>
            </w:pPr>
            <w:r>
              <w:rPr>
                <w:noProof/>
              </w:rPr>
              <w:t>257</w:t>
            </w:r>
          </w:p>
        </w:tc>
        <w:tc>
          <w:tcPr>
            <w:tcW w:w="729" w:type="dxa"/>
            <w:shd w:val="clear" w:color="auto" w:fill="C6EFCE"/>
            <w:noWrap/>
          </w:tcPr>
          <w:p w14:paraId="0268D8DA" w14:textId="77777777" w:rsidR="003E1D81" w:rsidRDefault="00EB481C">
            <w:pPr>
              <w:pStyle w:val="P68B1DB1-Normal13"/>
              <w:spacing w:after="0" w:line="240" w:lineRule="auto"/>
              <w:jc w:val="center"/>
              <w:rPr>
                <w:rFonts w:eastAsia="Times New Roman" w:cs="Times New Roman"/>
                <w:noProof/>
              </w:rPr>
            </w:pPr>
            <w:r>
              <w:rPr>
                <w:noProof/>
              </w:rPr>
              <w:t>C17.R3</w:t>
            </w:r>
          </w:p>
        </w:tc>
        <w:tc>
          <w:tcPr>
            <w:tcW w:w="609" w:type="dxa"/>
            <w:shd w:val="clear" w:color="auto" w:fill="C6EFCE"/>
            <w:noWrap/>
          </w:tcPr>
          <w:p w14:paraId="0B53C30B" w14:textId="77777777" w:rsidR="003E1D81" w:rsidRDefault="00EB481C">
            <w:pPr>
              <w:pStyle w:val="P68B1DB1-Normal13"/>
              <w:spacing w:after="0" w:line="240" w:lineRule="auto"/>
              <w:jc w:val="center"/>
              <w:rPr>
                <w:rFonts w:eastAsia="Times New Roman" w:cs="Times New Roman"/>
                <w:noProof/>
              </w:rPr>
            </w:pPr>
            <w:r>
              <w:rPr>
                <w:noProof/>
              </w:rPr>
              <w:t>M</w:t>
            </w:r>
          </w:p>
        </w:tc>
        <w:tc>
          <w:tcPr>
            <w:tcW w:w="2039" w:type="dxa"/>
            <w:shd w:val="clear" w:color="auto" w:fill="C6EFCE"/>
            <w:noWrap/>
          </w:tcPr>
          <w:p w14:paraId="276E380B" w14:textId="77777777" w:rsidR="003E1D81" w:rsidRDefault="00EB481C">
            <w:pPr>
              <w:pStyle w:val="P68B1DB1-Normal13"/>
              <w:spacing w:after="0" w:line="240" w:lineRule="auto"/>
              <w:rPr>
                <w:rFonts w:eastAsia="Times New Roman" w:cs="Times New Roman"/>
                <w:noProof/>
              </w:rPr>
            </w:pPr>
            <w:r>
              <w:rPr>
                <w:noProof/>
              </w:rPr>
              <w:t xml:space="preserve">Az állami kutatási szervezetek átszervezéséről szóló királyi rendelet hatálybalépése. </w:t>
            </w:r>
          </w:p>
        </w:tc>
        <w:tc>
          <w:tcPr>
            <w:tcW w:w="993" w:type="dxa"/>
            <w:shd w:val="clear" w:color="auto" w:fill="C6EFCE"/>
            <w:noWrap/>
          </w:tcPr>
          <w:p w14:paraId="4A68CD8F" w14:textId="77777777" w:rsidR="003E1D81" w:rsidRDefault="00EB481C">
            <w:pPr>
              <w:pStyle w:val="P68B1DB1-Normal13"/>
              <w:spacing w:after="0" w:line="240" w:lineRule="auto"/>
              <w:jc w:val="center"/>
              <w:rPr>
                <w:rFonts w:eastAsia="Times New Roman" w:cs="Times New Roman"/>
                <w:noProof/>
              </w:rPr>
            </w:pPr>
            <w:r>
              <w:rPr>
                <w:noProof/>
              </w:rPr>
              <w:t xml:space="preserve"> A királyi rendelet hatálybalépéséről szóló rendelkezése</w:t>
            </w:r>
          </w:p>
        </w:tc>
        <w:tc>
          <w:tcPr>
            <w:tcW w:w="850" w:type="dxa"/>
            <w:shd w:val="clear" w:color="auto" w:fill="C6EFCE"/>
            <w:noWrap/>
          </w:tcPr>
          <w:p w14:paraId="31A2D429"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1A31E73D"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7B110424" w14:textId="6EB46920" w:rsidR="003E1D81" w:rsidRDefault="003E1D81">
            <w:pPr>
              <w:spacing w:after="0" w:line="240" w:lineRule="auto"/>
              <w:jc w:val="center"/>
              <w:rPr>
                <w:rFonts w:ascii="Times New Roman" w:hAnsi="Times New Roman" w:cs="Times New Roman"/>
                <w:noProof/>
                <w:sz w:val="18"/>
              </w:rPr>
            </w:pPr>
          </w:p>
        </w:tc>
        <w:tc>
          <w:tcPr>
            <w:tcW w:w="567" w:type="dxa"/>
            <w:shd w:val="clear" w:color="auto" w:fill="C6EFCE"/>
          </w:tcPr>
          <w:p w14:paraId="5172323B" w14:textId="615AFFB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tcPr>
          <w:p w14:paraId="25087A98" w14:textId="36EDB34B" w:rsidR="003E1D81" w:rsidRDefault="00EB481C">
            <w:pPr>
              <w:pStyle w:val="P68B1DB1-Normal13"/>
              <w:spacing w:after="0" w:line="240" w:lineRule="auto"/>
              <w:jc w:val="center"/>
              <w:rPr>
                <w:rFonts w:cs="Times New Roman"/>
                <w:noProof/>
              </w:rPr>
            </w:pPr>
            <w:r>
              <w:rPr>
                <w:noProof/>
              </w:rPr>
              <w:t>2021</w:t>
            </w:r>
          </w:p>
        </w:tc>
        <w:tc>
          <w:tcPr>
            <w:tcW w:w="5812" w:type="dxa"/>
            <w:shd w:val="clear" w:color="auto" w:fill="C6EFCE"/>
            <w:noWrap/>
          </w:tcPr>
          <w:p w14:paraId="41DAEBA5" w14:textId="49CD5202" w:rsidR="003E1D81" w:rsidRDefault="00EB481C">
            <w:pPr>
              <w:pStyle w:val="P68B1DB1-Normal13"/>
              <w:spacing w:after="0" w:line="240" w:lineRule="auto"/>
              <w:rPr>
                <w:rFonts w:eastAsia="Times New Roman" w:cs="Times New Roman"/>
                <w:noProof/>
              </w:rPr>
            </w:pPr>
            <w:r>
              <w:rPr>
                <w:noProof/>
              </w:rPr>
              <w:t xml:space="preserve">Az </w:t>
            </w:r>
            <w:r>
              <w:rPr>
                <w:noProof/>
              </w:rPr>
              <w:t>állami kutatási szervezetek átszervezéséről szóló királyi rendelet hatálybalépése. Ennek célja a három csökkentett kritikus tömegű termelői szervezet irányítási és tudományos tanácsadói kapacitásának javítása egy nagyobb PRO-ba való integráció révén, az al</w:t>
            </w:r>
            <w:r>
              <w:rPr>
                <w:noProof/>
              </w:rPr>
              <w:t>ábbiak révén: i. az így létrejött PRO versenyhelyzetének javítása, ii. hatékonyságuk növelése és iii. adminisztratív rugalmasság biztosítása.</w:t>
            </w:r>
          </w:p>
        </w:tc>
      </w:tr>
      <w:tr w:rsidR="003E1D81" w14:paraId="49F7AE4E" w14:textId="77777777">
        <w:trPr>
          <w:trHeight w:val="309"/>
        </w:trPr>
        <w:tc>
          <w:tcPr>
            <w:tcW w:w="701" w:type="dxa"/>
            <w:shd w:val="clear" w:color="auto" w:fill="C6EFCE"/>
            <w:noWrap/>
          </w:tcPr>
          <w:p w14:paraId="3297D043" w14:textId="77777777" w:rsidR="003E1D81" w:rsidRDefault="00EB481C">
            <w:pPr>
              <w:pStyle w:val="P68B1DB1-Normal13"/>
              <w:spacing w:after="0" w:line="240" w:lineRule="auto"/>
              <w:jc w:val="center"/>
              <w:rPr>
                <w:rFonts w:eastAsia="Times New Roman" w:cs="Times New Roman"/>
                <w:noProof/>
              </w:rPr>
            </w:pPr>
            <w:r>
              <w:rPr>
                <w:noProof/>
              </w:rPr>
              <w:t>258</w:t>
            </w:r>
          </w:p>
        </w:tc>
        <w:tc>
          <w:tcPr>
            <w:tcW w:w="729" w:type="dxa"/>
            <w:shd w:val="clear" w:color="auto" w:fill="C6EFCE"/>
            <w:noWrap/>
          </w:tcPr>
          <w:p w14:paraId="051D7B87" w14:textId="77777777" w:rsidR="003E1D81" w:rsidRDefault="00EB481C">
            <w:pPr>
              <w:pStyle w:val="P68B1DB1-Normal13"/>
              <w:spacing w:after="0" w:line="240" w:lineRule="auto"/>
              <w:jc w:val="center"/>
              <w:rPr>
                <w:rFonts w:eastAsia="Times New Roman" w:cs="Times New Roman"/>
                <w:noProof/>
              </w:rPr>
            </w:pPr>
            <w:r>
              <w:rPr>
                <w:noProof/>
              </w:rPr>
              <w:t>C17.I1</w:t>
            </w:r>
          </w:p>
        </w:tc>
        <w:tc>
          <w:tcPr>
            <w:tcW w:w="609" w:type="dxa"/>
            <w:shd w:val="clear" w:color="auto" w:fill="C6EFCE"/>
            <w:noWrap/>
          </w:tcPr>
          <w:p w14:paraId="57188DB5" w14:textId="77777777" w:rsidR="003E1D81" w:rsidRDefault="00EB481C">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64014446" w14:textId="77777777" w:rsidR="003E1D81" w:rsidRDefault="00EB481C">
            <w:pPr>
              <w:pStyle w:val="P68B1DB1-Normal13"/>
              <w:spacing w:after="0" w:line="240" w:lineRule="auto"/>
              <w:rPr>
                <w:rFonts w:eastAsia="Times New Roman" w:cs="Times New Roman"/>
                <w:noProof/>
              </w:rPr>
            </w:pPr>
            <w:r>
              <w:rPr>
                <w:noProof/>
              </w:rPr>
              <w:t xml:space="preserve">A Tudományos és Innovációs Minisztérium által az autonóm közösségekkel aláírt megállapodások a „kiegészítő K+F tervek” végrehajtásáról. </w:t>
            </w:r>
          </w:p>
        </w:tc>
        <w:tc>
          <w:tcPr>
            <w:tcW w:w="993" w:type="dxa"/>
            <w:shd w:val="clear" w:color="auto" w:fill="C6EFCE"/>
            <w:noWrap/>
          </w:tcPr>
          <w:p w14:paraId="1FA5245F"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1D711C6B"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9" w:type="dxa"/>
            <w:shd w:val="clear" w:color="auto" w:fill="C6EFCE"/>
          </w:tcPr>
          <w:p w14:paraId="325FD8D3"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2F2FF6BF" w14:textId="017F2239" w:rsidR="003E1D81" w:rsidRDefault="00EB481C">
            <w:pPr>
              <w:pStyle w:val="P68B1DB1-Normal13"/>
              <w:spacing w:after="0" w:line="240" w:lineRule="auto"/>
              <w:jc w:val="center"/>
              <w:rPr>
                <w:rFonts w:cs="Times New Roman"/>
                <w:noProof/>
              </w:rPr>
            </w:pPr>
            <w:r>
              <w:rPr>
                <w:noProof/>
              </w:rPr>
              <w:t>4</w:t>
            </w:r>
          </w:p>
        </w:tc>
        <w:tc>
          <w:tcPr>
            <w:tcW w:w="567" w:type="dxa"/>
            <w:shd w:val="clear" w:color="auto" w:fill="C6EFCE"/>
          </w:tcPr>
          <w:p w14:paraId="7821A49C" w14:textId="371802CB"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tcPr>
          <w:p w14:paraId="35111DCE" w14:textId="32113782" w:rsidR="003E1D81" w:rsidRDefault="00EB481C">
            <w:pPr>
              <w:pStyle w:val="P68B1DB1-Normal13"/>
              <w:spacing w:after="0" w:line="240" w:lineRule="auto"/>
              <w:jc w:val="center"/>
              <w:rPr>
                <w:rFonts w:cs="Times New Roman"/>
                <w:noProof/>
              </w:rPr>
            </w:pPr>
            <w:r>
              <w:rPr>
                <w:noProof/>
              </w:rPr>
              <w:t>2021</w:t>
            </w:r>
          </w:p>
        </w:tc>
        <w:tc>
          <w:tcPr>
            <w:tcW w:w="5812" w:type="dxa"/>
            <w:shd w:val="clear" w:color="auto" w:fill="C6EFCE"/>
            <w:noWrap/>
          </w:tcPr>
          <w:p w14:paraId="4319A5BA" w14:textId="77777777" w:rsidR="003E1D81" w:rsidRDefault="00EB481C">
            <w:pPr>
              <w:pStyle w:val="P68B1DB1-Normal13"/>
              <w:spacing w:after="0" w:line="240" w:lineRule="auto"/>
              <w:rPr>
                <w:rFonts w:eastAsia="Times New Roman" w:cs="Times New Roman"/>
                <w:noProof/>
              </w:rPr>
            </w:pPr>
            <w:r>
              <w:rPr>
                <w:noProof/>
              </w:rPr>
              <w:t>A Tudományos és Innovációs Minisztérium által az autonóm közösségekkel aláírt négy megállapodás</w:t>
            </w:r>
            <w:r>
              <w:rPr>
                <w:noProof/>
              </w:rPr>
              <w:t xml:space="preserve"> a „kiegészítő K+F tervek” végrehajtásáról, legalább 140 000 000 EUR értékben. A megállapodásoknak lehetővé kell tenniük a regionális és nemzeti intelligens szakosodási stratégiák közötti stratégiai koordinációt és szinergiákat. </w:t>
            </w:r>
          </w:p>
        </w:tc>
      </w:tr>
      <w:tr w:rsidR="003E1D81" w14:paraId="5E5DAD9C" w14:textId="77777777">
        <w:trPr>
          <w:trHeight w:val="309"/>
        </w:trPr>
        <w:tc>
          <w:tcPr>
            <w:tcW w:w="701" w:type="dxa"/>
            <w:shd w:val="clear" w:color="auto" w:fill="C6EFCE"/>
            <w:noWrap/>
          </w:tcPr>
          <w:p w14:paraId="3DE6C918" w14:textId="77777777" w:rsidR="003E1D81" w:rsidRDefault="00EB481C">
            <w:pPr>
              <w:pStyle w:val="P68B1DB1-Normal13"/>
              <w:spacing w:after="0" w:line="240" w:lineRule="auto"/>
              <w:jc w:val="center"/>
              <w:rPr>
                <w:rFonts w:eastAsia="Times New Roman" w:cs="Times New Roman"/>
                <w:noProof/>
              </w:rPr>
            </w:pPr>
            <w:r>
              <w:rPr>
                <w:noProof/>
              </w:rPr>
              <w:t>259</w:t>
            </w:r>
          </w:p>
        </w:tc>
        <w:tc>
          <w:tcPr>
            <w:tcW w:w="729" w:type="dxa"/>
            <w:shd w:val="clear" w:color="auto" w:fill="C6EFCE"/>
            <w:noWrap/>
          </w:tcPr>
          <w:p w14:paraId="59BD60A1" w14:textId="77777777" w:rsidR="003E1D81" w:rsidRDefault="00EB481C">
            <w:pPr>
              <w:pStyle w:val="P68B1DB1-Normal13"/>
              <w:spacing w:after="0" w:line="240" w:lineRule="auto"/>
              <w:jc w:val="center"/>
              <w:rPr>
                <w:rFonts w:eastAsia="Times New Roman" w:cs="Times New Roman"/>
                <w:noProof/>
              </w:rPr>
            </w:pPr>
            <w:r>
              <w:rPr>
                <w:noProof/>
              </w:rPr>
              <w:t>C17.I2</w:t>
            </w:r>
          </w:p>
        </w:tc>
        <w:tc>
          <w:tcPr>
            <w:tcW w:w="609" w:type="dxa"/>
            <w:shd w:val="clear" w:color="auto" w:fill="C6EFCE"/>
            <w:noWrap/>
          </w:tcPr>
          <w:p w14:paraId="5130E232" w14:textId="77777777" w:rsidR="003E1D81" w:rsidRDefault="00EB481C">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5B626C9B" w14:textId="77777777" w:rsidR="003E1D81" w:rsidRDefault="00EB481C">
            <w:pPr>
              <w:pStyle w:val="P68B1DB1-Normal13"/>
              <w:spacing w:after="0" w:line="240" w:lineRule="auto"/>
              <w:rPr>
                <w:rFonts w:eastAsia="Times New Roman" w:cs="Times New Roman"/>
                <w:noProof/>
              </w:rPr>
            </w:pPr>
            <w:r>
              <w:rPr>
                <w:noProof/>
              </w:rPr>
              <w:t>Díjak a nemzeti tudományos infrastruktúrákat és a spanyol tudományos technológiai és innovációs rendszer kapacitását fokozó projektekért, valamint nemzetközi szervezetekkel kötött kétoldalú megállapodások és egyéb eszközök az európai és nemzetközi infrastr</w:t>
            </w:r>
            <w:r>
              <w:rPr>
                <w:noProof/>
              </w:rPr>
              <w:t xml:space="preserve">ukturális projektek finanszírozására. </w:t>
            </w:r>
          </w:p>
        </w:tc>
        <w:tc>
          <w:tcPr>
            <w:tcW w:w="993" w:type="dxa"/>
            <w:shd w:val="clear" w:color="auto" w:fill="C6EFCE"/>
            <w:noWrap/>
          </w:tcPr>
          <w:p w14:paraId="69ED6B58"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543C0488" w14:textId="77777777" w:rsidR="003E1D81" w:rsidRDefault="00EB481C">
            <w:pPr>
              <w:pStyle w:val="P68B1DB1-Normal13"/>
              <w:spacing w:after="0" w:line="240" w:lineRule="auto"/>
              <w:jc w:val="center"/>
              <w:rPr>
                <w:rFonts w:eastAsia="Times New Roman" w:cs="Times New Roman"/>
                <w:noProof/>
              </w:rPr>
            </w:pPr>
            <w:r>
              <w:rPr>
                <w:noProof/>
              </w:rPr>
              <w:t>Millió EUR</w:t>
            </w:r>
          </w:p>
        </w:tc>
        <w:tc>
          <w:tcPr>
            <w:tcW w:w="709" w:type="dxa"/>
            <w:shd w:val="clear" w:color="auto" w:fill="C6EFCE"/>
          </w:tcPr>
          <w:p w14:paraId="1397B7ED"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35F60C9E" w14:textId="51D3B5C0" w:rsidR="003E1D81" w:rsidRDefault="00EB481C">
            <w:pPr>
              <w:pStyle w:val="P68B1DB1-Normal13"/>
              <w:spacing w:after="0" w:line="240" w:lineRule="auto"/>
              <w:jc w:val="center"/>
              <w:rPr>
                <w:rFonts w:cs="Times New Roman"/>
                <w:noProof/>
              </w:rPr>
            </w:pPr>
            <w:r>
              <w:rPr>
                <w:noProof/>
              </w:rPr>
              <w:t>300,2</w:t>
            </w:r>
          </w:p>
        </w:tc>
        <w:tc>
          <w:tcPr>
            <w:tcW w:w="567" w:type="dxa"/>
            <w:shd w:val="clear" w:color="auto" w:fill="C6EFCE"/>
          </w:tcPr>
          <w:p w14:paraId="474984C4" w14:textId="6D3F719A"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tcPr>
          <w:p w14:paraId="1C6A5AF1" w14:textId="4FEA7517" w:rsidR="003E1D81" w:rsidRDefault="00EB481C">
            <w:pPr>
              <w:pStyle w:val="P68B1DB1-Normal13"/>
              <w:spacing w:after="0" w:line="240" w:lineRule="auto"/>
              <w:jc w:val="center"/>
              <w:rPr>
                <w:rFonts w:cs="Times New Roman"/>
                <w:noProof/>
              </w:rPr>
            </w:pPr>
            <w:r>
              <w:rPr>
                <w:noProof/>
              </w:rPr>
              <w:t>2022</w:t>
            </w:r>
          </w:p>
        </w:tc>
        <w:tc>
          <w:tcPr>
            <w:tcW w:w="5812" w:type="dxa"/>
            <w:shd w:val="clear" w:color="auto" w:fill="C6EFCE"/>
            <w:noWrap/>
          </w:tcPr>
          <w:p w14:paraId="47493406" w14:textId="77777777" w:rsidR="003E1D81" w:rsidRDefault="00EB481C">
            <w:pPr>
              <w:pStyle w:val="P68B1DB1-Normal13"/>
              <w:spacing w:after="0" w:line="240" w:lineRule="auto"/>
              <w:rPr>
                <w:rFonts w:cs="Times New Roman"/>
                <w:noProof/>
              </w:rPr>
            </w:pPr>
            <w:r>
              <w:rPr>
                <w:noProof/>
              </w:rPr>
              <w:t>Legalább 255 155 000 EUR összegű nemzeti támogatási adatbázis közzététele a nemzeti tudományos infrastruktúrákat javító projektekre, a spanyol tudománytechnológiai és innovációs rends</w:t>
            </w:r>
            <w:r>
              <w:rPr>
                <w:noProof/>
              </w:rPr>
              <w:t>zer kapacitására, valamint a nemzetközi szervezetekkel kötött megállapodásokra és egyéb eszközökre az európai és nemzetközi infrastruktúrában (CERN, dűne, HKK, ESS-lund, Harmony és SKA) legalább 45 000 000 EUR értékű projektek finanszírozására.</w:t>
            </w:r>
          </w:p>
        </w:tc>
      </w:tr>
      <w:tr w:rsidR="003E1D81" w14:paraId="554E50C8" w14:textId="77777777">
        <w:trPr>
          <w:trHeight w:val="309"/>
        </w:trPr>
        <w:tc>
          <w:tcPr>
            <w:tcW w:w="701" w:type="dxa"/>
            <w:shd w:val="clear" w:color="auto" w:fill="C6EFCE"/>
            <w:noWrap/>
          </w:tcPr>
          <w:p w14:paraId="4ADA14EF" w14:textId="77777777" w:rsidR="003E1D81" w:rsidRDefault="00EB481C">
            <w:pPr>
              <w:pStyle w:val="P68B1DB1-Normal13"/>
              <w:spacing w:after="0" w:line="240" w:lineRule="auto"/>
              <w:jc w:val="center"/>
              <w:rPr>
                <w:rFonts w:eastAsia="Times New Roman" w:cs="Times New Roman"/>
                <w:noProof/>
              </w:rPr>
            </w:pPr>
            <w:r>
              <w:rPr>
                <w:noProof/>
              </w:rPr>
              <w:t>260</w:t>
            </w:r>
          </w:p>
        </w:tc>
        <w:tc>
          <w:tcPr>
            <w:tcW w:w="729" w:type="dxa"/>
            <w:shd w:val="clear" w:color="auto" w:fill="C6EFCE"/>
            <w:noWrap/>
          </w:tcPr>
          <w:p w14:paraId="2B61F7CE" w14:textId="77777777" w:rsidR="003E1D81" w:rsidRDefault="00EB481C">
            <w:pPr>
              <w:pStyle w:val="P68B1DB1-Normal13"/>
              <w:spacing w:after="0" w:line="240" w:lineRule="auto"/>
              <w:jc w:val="center"/>
              <w:rPr>
                <w:rFonts w:eastAsia="Times New Roman" w:cs="Times New Roman"/>
                <w:noProof/>
              </w:rPr>
            </w:pPr>
            <w:r>
              <w:rPr>
                <w:noProof/>
              </w:rPr>
              <w:t>C17.I2</w:t>
            </w:r>
          </w:p>
        </w:tc>
        <w:tc>
          <w:tcPr>
            <w:tcW w:w="609" w:type="dxa"/>
            <w:shd w:val="clear" w:color="auto" w:fill="C6EFCE"/>
            <w:noWrap/>
          </w:tcPr>
          <w:p w14:paraId="686C71A6" w14:textId="77777777" w:rsidR="003E1D81" w:rsidRDefault="00EB481C">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2350E903" w14:textId="77777777" w:rsidR="003E1D81" w:rsidRDefault="00EB481C">
            <w:pPr>
              <w:pStyle w:val="P68B1DB1-Normal13"/>
              <w:spacing w:after="0" w:line="240" w:lineRule="auto"/>
              <w:rPr>
                <w:rFonts w:eastAsia="Times New Roman" w:cs="Times New Roman"/>
                <w:noProof/>
              </w:rPr>
            </w:pPr>
            <w:r>
              <w:rPr>
                <w:noProof/>
              </w:rPr>
              <w:t>A spanyol tudományos technológiai és innovációs rendszer tudományos infrastruktúráját és kapacitását növelő valamennyi projekt lezárása, beleértve az európai és nemzetközi infrastruktúrával kapcsolatos projekteket is.</w:t>
            </w:r>
          </w:p>
        </w:tc>
        <w:tc>
          <w:tcPr>
            <w:tcW w:w="993" w:type="dxa"/>
            <w:shd w:val="clear" w:color="auto" w:fill="C6EFCE"/>
            <w:noWrap/>
          </w:tcPr>
          <w:p w14:paraId="7207EDA8"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35353081"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15F26F47"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688175D1" w14:textId="46E5AF65" w:rsidR="003E1D81" w:rsidRDefault="00EB481C">
            <w:pPr>
              <w:pStyle w:val="P68B1DB1-Normal13"/>
              <w:spacing w:after="0" w:line="240" w:lineRule="auto"/>
              <w:jc w:val="center"/>
              <w:rPr>
                <w:rFonts w:cs="Times New Roman"/>
                <w:noProof/>
              </w:rPr>
            </w:pPr>
            <w:r>
              <w:rPr>
                <w:noProof/>
              </w:rPr>
              <w:t>100</w:t>
            </w:r>
          </w:p>
        </w:tc>
        <w:tc>
          <w:tcPr>
            <w:tcW w:w="567" w:type="dxa"/>
            <w:shd w:val="clear" w:color="auto" w:fill="C6EFCE"/>
          </w:tcPr>
          <w:p w14:paraId="13C1BAB3" w14:textId="2ECC23AD"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tcPr>
          <w:p w14:paraId="5F29CAD9" w14:textId="53C98133" w:rsidR="003E1D81" w:rsidRDefault="00EB481C">
            <w:pPr>
              <w:pStyle w:val="P68B1DB1-Normal13"/>
              <w:spacing w:after="0" w:line="240" w:lineRule="auto"/>
              <w:jc w:val="center"/>
              <w:rPr>
                <w:rFonts w:cs="Times New Roman"/>
                <w:noProof/>
              </w:rPr>
            </w:pPr>
            <w:r>
              <w:rPr>
                <w:noProof/>
              </w:rPr>
              <w:t>2026</w:t>
            </w:r>
          </w:p>
        </w:tc>
        <w:tc>
          <w:tcPr>
            <w:tcW w:w="5812" w:type="dxa"/>
            <w:shd w:val="clear" w:color="auto" w:fill="C6EFCE"/>
            <w:noWrap/>
          </w:tcPr>
          <w:p w14:paraId="4F283A38" w14:textId="5A20DFA9" w:rsidR="003E1D81" w:rsidRDefault="00EB481C">
            <w:pPr>
              <w:pStyle w:val="P68B1DB1-Normal13"/>
              <w:spacing w:after="0" w:line="240" w:lineRule="auto"/>
              <w:rPr>
                <w:rFonts w:eastAsia="Times New Roman" w:cs="Times New Roman"/>
                <w:noProof/>
              </w:rPr>
            </w:pPr>
            <w:r>
              <w:rPr>
                <w:noProof/>
              </w:rPr>
              <w:t>A kutatási és innovációs projektek 100%-a (legalább 676 000 000 EUR értékben), összhangban azzal a célkitűzéssel, amelynek célja a tudományos infrastruktúra és a spanyol tudományos technológiai és innovációs rendszer kapacitásának javítása a tudományos ber</w:t>
            </w:r>
            <w:r>
              <w:rPr>
                <w:noProof/>
              </w:rPr>
              <w:t>endezések megújítása, a BSL3 létesítmény korszerűsítése, új fitogén infrastruktúra létrehozása, a CIEMAT (Centro de</w:t>
            </w:r>
            <w:r>
              <w:rPr>
                <w:i/>
                <w:noProof/>
              </w:rPr>
              <w:t>Investigaciones Energéticas, Medioambientales y Tecnológicas) számára a megújuló energiával (beleértve a hidrogént és a tárolást) kapcsolatos</w:t>
            </w:r>
            <w:r>
              <w:rPr>
                <w:i/>
                <w:noProof/>
              </w:rPr>
              <w:t xml:space="preserve"> kutatások elvégzéséhez szükséges</w:t>
            </w:r>
            <w:r>
              <w:rPr>
                <w:noProof/>
              </w:rPr>
              <w:t>infrastruktúrával, fejlett Optikus és K+F infrastruktúra létrehozása a Planes Estratégicos</w:t>
            </w:r>
            <w:r>
              <w:rPr>
                <w:i/>
                <w:noProof/>
              </w:rPr>
              <w:t>de Infrastructuras científicas y Técnicas Singulares égisze alatt, az európai és nemzetközi infrastruktúra (CERN, dűne, HKK, ESS-lund</w:t>
            </w:r>
            <w:r>
              <w:rPr>
                <w:i/>
                <w:noProof/>
              </w:rPr>
              <w:t>, Harmony és SKA) támogatását célzó projektek</w:t>
            </w:r>
            <w:r>
              <w:rPr>
                <w:noProof/>
              </w:rPr>
              <w:t>, valamint olyan beruházások révén, mint a tudományos berendezések beszerzése és megújítása, tiszta helyiségek építése a félvezetők és a mikronano technológia területén, valamint a kapacitások megerősítése a nag</w:t>
            </w:r>
            <w:r>
              <w:rPr>
                <w:noProof/>
              </w:rPr>
              <w:t>y teljesítményű számítástechnika és kommunikáció területén.</w:t>
            </w:r>
          </w:p>
        </w:tc>
      </w:tr>
      <w:tr w:rsidR="003E1D81" w14:paraId="15B94FC3" w14:textId="77777777">
        <w:trPr>
          <w:trHeight w:val="309"/>
        </w:trPr>
        <w:tc>
          <w:tcPr>
            <w:tcW w:w="701" w:type="dxa"/>
            <w:shd w:val="clear" w:color="auto" w:fill="C6EFCE"/>
            <w:noWrap/>
          </w:tcPr>
          <w:p w14:paraId="387DEBB6" w14:textId="77777777" w:rsidR="003E1D81" w:rsidRDefault="00EB481C">
            <w:pPr>
              <w:pStyle w:val="P68B1DB1-Normal13"/>
              <w:spacing w:after="0" w:line="240" w:lineRule="auto"/>
              <w:jc w:val="center"/>
              <w:rPr>
                <w:rFonts w:eastAsia="Times New Roman" w:cs="Times New Roman"/>
                <w:noProof/>
              </w:rPr>
            </w:pPr>
            <w:r>
              <w:rPr>
                <w:noProof/>
              </w:rPr>
              <w:t>261</w:t>
            </w:r>
          </w:p>
        </w:tc>
        <w:tc>
          <w:tcPr>
            <w:tcW w:w="729" w:type="dxa"/>
            <w:shd w:val="clear" w:color="auto" w:fill="C6EFCE"/>
            <w:noWrap/>
          </w:tcPr>
          <w:p w14:paraId="51C883E7" w14:textId="77777777" w:rsidR="003E1D81" w:rsidRDefault="00EB481C">
            <w:pPr>
              <w:pStyle w:val="P68B1DB1-Normal13"/>
              <w:spacing w:after="0" w:line="240" w:lineRule="auto"/>
              <w:jc w:val="center"/>
              <w:rPr>
                <w:rFonts w:eastAsia="Times New Roman" w:cs="Times New Roman"/>
                <w:noProof/>
              </w:rPr>
            </w:pPr>
            <w:r>
              <w:rPr>
                <w:noProof/>
              </w:rPr>
              <w:t>C17.I3</w:t>
            </w:r>
          </w:p>
        </w:tc>
        <w:tc>
          <w:tcPr>
            <w:tcW w:w="609" w:type="dxa"/>
            <w:shd w:val="clear" w:color="auto" w:fill="C6EFCE"/>
            <w:noWrap/>
          </w:tcPr>
          <w:p w14:paraId="14790625" w14:textId="77777777" w:rsidR="003E1D81" w:rsidRDefault="00EB481C">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01ED6906" w14:textId="77777777" w:rsidR="003E1D81" w:rsidRDefault="00EB481C">
            <w:pPr>
              <w:pStyle w:val="P68B1DB1-Normal13"/>
              <w:spacing w:after="0" w:line="240" w:lineRule="auto"/>
              <w:rPr>
                <w:rFonts w:eastAsia="Times New Roman" w:cs="Times New Roman"/>
                <w:noProof/>
              </w:rPr>
            </w:pPr>
            <w:r>
              <w:rPr>
                <w:noProof/>
              </w:rPr>
              <w:t xml:space="preserve">Új magán-, interdiszciplináris, állami K+F+I projektek, koncepciótesztek, nemzetközi versenypályázati felhívások és a társadalmi kihívásokra irányuló, élvonalbeli K+F odaítélése </w:t>
            </w:r>
          </w:p>
        </w:tc>
        <w:tc>
          <w:tcPr>
            <w:tcW w:w="993" w:type="dxa"/>
            <w:shd w:val="clear" w:color="auto" w:fill="C6EFCE"/>
            <w:noWrap/>
          </w:tcPr>
          <w:p w14:paraId="0BE2CBC5" w14:textId="77777777" w:rsidR="003E1D81" w:rsidRDefault="003E1D81">
            <w:pPr>
              <w:spacing w:after="0" w:line="240" w:lineRule="auto"/>
              <w:jc w:val="center"/>
              <w:rPr>
                <w:rFonts w:ascii="Times New Roman" w:eastAsia="Times New Roman" w:hAnsi="Times New Roman" w:cs="Times New Roman"/>
                <w:noProof/>
                <w:sz w:val="18"/>
              </w:rPr>
            </w:pPr>
          </w:p>
        </w:tc>
        <w:tc>
          <w:tcPr>
            <w:tcW w:w="850" w:type="dxa"/>
            <w:shd w:val="clear" w:color="auto" w:fill="C6EFCE"/>
            <w:noWrap/>
          </w:tcPr>
          <w:p w14:paraId="16B00E14" w14:textId="77777777" w:rsidR="003E1D81" w:rsidRDefault="00EB481C">
            <w:pPr>
              <w:pStyle w:val="P68B1DB1-Normal13"/>
              <w:spacing w:after="0" w:line="240" w:lineRule="auto"/>
              <w:jc w:val="center"/>
              <w:rPr>
                <w:rFonts w:eastAsia="Times New Roman" w:cs="Times New Roman"/>
                <w:noProof/>
              </w:rPr>
            </w:pPr>
            <w:r>
              <w:rPr>
                <w:noProof/>
              </w:rPr>
              <w:t>Millió EUR</w:t>
            </w:r>
          </w:p>
        </w:tc>
        <w:tc>
          <w:tcPr>
            <w:tcW w:w="709" w:type="dxa"/>
            <w:shd w:val="clear" w:color="auto" w:fill="C6EFCE"/>
          </w:tcPr>
          <w:p w14:paraId="25D58001"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61A565B7" w14:textId="4FA03F49" w:rsidR="003E1D81" w:rsidRDefault="00EB481C">
            <w:pPr>
              <w:pStyle w:val="P68B1DB1-Normal13"/>
              <w:spacing w:after="0" w:line="240" w:lineRule="auto"/>
              <w:jc w:val="center"/>
              <w:rPr>
                <w:rFonts w:cs="Times New Roman"/>
                <w:noProof/>
              </w:rPr>
            </w:pPr>
            <w:r>
              <w:rPr>
                <w:noProof/>
              </w:rPr>
              <w:t>897</w:t>
            </w:r>
          </w:p>
        </w:tc>
        <w:tc>
          <w:tcPr>
            <w:tcW w:w="567" w:type="dxa"/>
            <w:shd w:val="clear" w:color="auto" w:fill="C6EFCE"/>
          </w:tcPr>
          <w:p w14:paraId="6598F3AB" w14:textId="08A94AC0"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tcPr>
          <w:p w14:paraId="67381AFA" w14:textId="4C62CC67" w:rsidR="003E1D81" w:rsidRDefault="00EB481C">
            <w:pPr>
              <w:pStyle w:val="P68B1DB1-Normal13"/>
              <w:spacing w:after="0" w:line="240" w:lineRule="auto"/>
              <w:jc w:val="center"/>
              <w:rPr>
                <w:rFonts w:cs="Times New Roman"/>
                <w:noProof/>
              </w:rPr>
            </w:pPr>
            <w:r>
              <w:rPr>
                <w:noProof/>
              </w:rPr>
              <w:t>2022</w:t>
            </w:r>
          </w:p>
        </w:tc>
        <w:tc>
          <w:tcPr>
            <w:tcW w:w="5812" w:type="dxa"/>
            <w:shd w:val="clear" w:color="auto" w:fill="C6EFCE"/>
            <w:noWrap/>
          </w:tcPr>
          <w:p w14:paraId="283BB5C7" w14:textId="6E45DA6A" w:rsidR="003E1D81" w:rsidRDefault="00EB481C">
            <w:pPr>
              <w:pStyle w:val="P68B1DB1-Normal13"/>
              <w:spacing w:after="0" w:line="240" w:lineRule="auto"/>
              <w:jc w:val="both"/>
              <w:rPr>
                <w:rFonts w:eastAsia="Times New Roman" w:cs="Times New Roman"/>
                <w:noProof/>
              </w:rPr>
            </w:pPr>
            <w:r>
              <w:rPr>
                <w:noProof/>
              </w:rPr>
              <w:t>Legalább 897 000 000 EUR odaítélésének közzététele a Hivatalos Lapban a következő felhívások alapján: pályázati felhívás igazoló vizsgálatokra (80 000 000 EUR), felhívás interdiszciplináris projektekre a stratégiai sorokban (7</w:t>
            </w:r>
            <w:r>
              <w:rPr>
                <w:noProof/>
              </w:rPr>
              <w:t>3 000 000 EUR), felhívás a zöld és digitális átálláshoz kapcsolódó K+F projektekre (296 000 000 EUR), a köz- és magánszféra közötti együttműködési projektekre vonatkozó felhívás (140 000 000 EUR), a társadalmi kihívások kezelését célzó K+F felhívás (230 00</w:t>
            </w:r>
            <w:r>
              <w:rPr>
                <w:noProof/>
              </w:rPr>
              <w:t>0 000 EUR), valamint nemzetközi együttműködési projektekre vonatkozó felhívás (78 000 000 EUR). Az e beruházás keretében megvalósuló projektek értékelésének biztosítania kell az intézkedés leírásában meghatározott, a jelentős károkozás elkerülését célzó el</w:t>
            </w:r>
            <w:r>
              <w:rPr>
                <w:noProof/>
              </w:rPr>
              <w:t>vről szóló technikai iránymutatásnak (2021/C58/01) való megfelelést.</w:t>
            </w:r>
          </w:p>
        </w:tc>
      </w:tr>
      <w:tr w:rsidR="003E1D81" w14:paraId="26C43207" w14:textId="77777777">
        <w:trPr>
          <w:trHeight w:val="309"/>
        </w:trPr>
        <w:tc>
          <w:tcPr>
            <w:tcW w:w="701" w:type="dxa"/>
            <w:shd w:val="clear" w:color="auto" w:fill="C6EFCE"/>
            <w:noWrap/>
          </w:tcPr>
          <w:p w14:paraId="0135B5B9" w14:textId="77777777" w:rsidR="003E1D81" w:rsidRDefault="00EB481C">
            <w:pPr>
              <w:pStyle w:val="P68B1DB1-Normal13"/>
              <w:spacing w:after="0" w:line="240" w:lineRule="auto"/>
              <w:jc w:val="center"/>
              <w:rPr>
                <w:rFonts w:eastAsia="Times New Roman" w:cs="Times New Roman"/>
                <w:noProof/>
              </w:rPr>
            </w:pPr>
            <w:r>
              <w:rPr>
                <w:noProof/>
              </w:rPr>
              <w:t>262</w:t>
            </w:r>
          </w:p>
        </w:tc>
        <w:tc>
          <w:tcPr>
            <w:tcW w:w="729" w:type="dxa"/>
            <w:shd w:val="clear" w:color="auto" w:fill="C6EFCE"/>
            <w:noWrap/>
          </w:tcPr>
          <w:p w14:paraId="0489316F" w14:textId="77777777" w:rsidR="003E1D81" w:rsidRDefault="00EB481C">
            <w:pPr>
              <w:pStyle w:val="P68B1DB1-Normal13"/>
              <w:spacing w:after="0" w:line="240" w:lineRule="auto"/>
              <w:jc w:val="center"/>
              <w:rPr>
                <w:rFonts w:eastAsia="Times New Roman" w:cs="Times New Roman"/>
                <w:noProof/>
              </w:rPr>
            </w:pPr>
            <w:r>
              <w:rPr>
                <w:noProof/>
              </w:rPr>
              <w:t>C17.I3</w:t>
            </w:r>
          </w:p>
        </w:tc>
        <w:tc>
          <w:tcPr>
            <w:tcW w:w="609" w:type="dxa"/>
            <w:shd w:val="clear" w:color="auto" w:fill="C6EFCE"/>
            <w:noWrap/>
          </w:tcPr>
          <w:p w14:paraId="1E3A1DC9" w14:textId="77777777" w:rsidR="003E1D81" w:rsidRDefault="00EB481C">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3695584F" w14:textId="77777777" w:rsidR="003E1D81" w:rsidRDefault="00EB481C">
            <w:pPr>
              <w:pStyle w:val="P68B1DB1-Normal13"/>
              <w:spacing w:after="0" w:line="240" w:lineRule="auto"/>
              <w:rPr>
                <w:rFonts w:eastAsia="Times New Roman" w:cs="Times New Roman"/>
                <w:noProof/>
              </w:rPr>
            </w:pPr>
            <w:r>
              <w:rPr>
                <w:noProof/>
              </w:rPr>
              <w:t>Legalább 35%-ban a zöld és digitális átálláshoz kapcsolódó K+I projektek jóváhagyása</w:t>
            </w:r>
          </w:p>
        </w:tc>
        <w:tc>
          <w:tcPr>
            <w:tcW w:w="993" w:type="dxa"/>
            <w:shd w:val="clear" w:color="auto" w:fill="C6EFCE"/>
            <w:noWrap/>
          </w:tcPr>
          <w:p w14:paraId="1A69904D"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5ED1A19A"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9" w:type="dxa"/>
            <w:shd w:val="clear" w:color="auto" w:fill="C6EFCE"/>
          </w:tcPr>
          <w:p w14:paraId="32857A7F"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743DE6B5" w14:textId="17721044" w:rsidR="003E1D81" w:rsidRDefault="00EB481C">
            <w:pPr>
              <w:pStyle w:val="P68B1DB1-Normal13"/>
              <w:spacing w:after="0" w:line="240" w:lineRule="auto"/>
              <w:jc w:val="center"/>
              <w:rPr>
                <w:rFonts w:cs="Times New Roman"/>
                <w:noProof/>
              </w:rPr>
            </w:pPr>
            <w:r>
              <w:rPr>
                <w:noProof/>
              </w:rPr>
              <w:t>3 110</w:t>
            </w:r>
          </w:p>
        </w:tc>
        <w:tc>
          <w:tcPr>
            <w:tcW w:w="567" w:type="dxa"/>
            <w:shd w:val="clear" w:color="auto" w:fill="C6EFCE"/>
          </w:tcPr>
          <w:p w14:paraId="5142FFD0" w14:textId="2437301F"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tcPr>
          <w:p w14:paraId="7602444A" w14:textId="43FCF6AF" w:rsidR="003E1D81" w:rsidRDefault="00EB481C">
            <w:pPr>
              <w:pStyle w:val="P68B1DB1-Normal13"/>
              <w:spacing w:after="0" w:line="240" w:lineRule="auto"/>
              <w:jc w:val="center"/>
              <w:rPr>
                <w:rFonts w:cs="Times New Roman"/>
                <w:noProof/>
              </w:rPr>
            </w:pPr>
            <w:r>
              <w:rPr>
                <w:noProof/>
              </w:rPr>
              <w:t>2024</w:t>
            </w:r>
          </w:p>
        </w:tc>
        <w:tc>
          <w:tcPr>
            <w:tcW w:w="5812" w:type="dxa"/>
            <w:shd w:val="clear" w:color="auto" w:fill="C6EFCE"/>
            <w:noWrap/>
          </w:tcPr>
          <w:p w14:paraId="73DAAA4D" w14:textId="5C50FA90" w:rsidR="003E1D81" w:rsidRDefault="00EB481C">
            <w:pPr>
              <w:pStyle w:val="P68B1DB1-Normal13"/>
              <w:spacing w:after="0" w:line="240" w:lineRule="auto"/>
              <w:jc w:val="both"/>
              <w:rPr>
                <w:rFonts w:cs="Times New Roman"/>
                <w:noProof/>
              </w:rPr>
            </w:pPr>
            <w:r>
              <w:rPr>
                <w:noProof/>
              </w:rPr>
              <w:t>Legalább 3110 K+I projektet hagytak jóvá, amelyek legalább 35%-a kapcsolódik a zöld és digitális átálláshoz, köztük 110, a PERTE Chiphez kapcsolódó projektet. Az e beruházás keretében megvalósuló projektek értékelésének biztosítania kell az intézkedés leír</w:t>
            </w:r>
            <w:r>
              <w:rPr>
                <w:noProof/>
              </w:rPr>
              <w:t xml:space="preserve">ásában meghatározott, a jelentős károkozás elkerülését célzó elvről szóló technikai iránymutatásnak (2021/C58/01) való megfelelést. </w:t>
            </w:r>
          </w:p>
        </w:tc>
      </w:tr>
      <w:tr w:rsidR="003E1D81" w14:paraId="56BAA5EA" w14:textId="77777777">
        <w:trPr>
          <w:trHeight w:val="309"/>
        </w:trPr>
        <w:tc>
          <w:tcPr>
            <w:tcW w:w="701" w:type="dxa"/>
            <w:shd w:val="clear" w:color="auto" w:fill="C6EFCE"/>
            <w:noWrap/>
          </w:tcPr>
          <w:p w14:paraId="4FC0078A" w14:textId="77777777" w:rsidR="003E1D81" w:rsidRDefault="00EB481C">
            <w:pPr>
              <w:pStyle w:val="P68B1DB1-Normal13"/>
              <w:spacing w:after="0" w:line="240" w:lineRule="auto"/>
              <w:jc w:val="center"/>
              <w:rPr>
                <w:rFonts w:eastAsia="Times New Roman" w:cs="Times New Roman"/>
                <w:noProof/>
              </w:rPr>
            </w:pPr>
            <w:r>
              <w:rPr>
                <w:noProof/>
              </w:rPr>
              <w:t>263</w:t>
            </w:r>
          </w:p>
        </w:tc>
        <w:tc>
          <w:tcPr>
            <w:tcW w:w="729" w:type="dxa"/>
            <w:shd w:val="clear" w:color="auto" w:fill="C6EFCE"/>
            <w:noWrap/>
          </w:tcPr>
          <w:p w14:paraId="14EE2089" w14:textId="77777777" w:rsidR="003E1D81" w:rsidRDefault="00EB481C">
            <w:pPr>
              <w:pStyle w:val="P68B1DB1-Normal13"/>
              <w:spacing w:after="0" w:line="240" w:lineRule="auto"/>
              <w:jc w:val="center"/>
              <w:rPr>
                <w:rFonts w:eastAsia="Times New Roman" w:cs="Times New Roman"/>
                <w:noProof/>
              </w:rPr>
            </w:pPr>
            <w:r>
              <w:rPr>
                <w:noProof/>
              </w:rPr>
              <w:t>C17.I4</w:t>
            </w:r>
          </w:p>
        </w:tc>
        <w:tc>
          <w:tcPr>
            <w:tcW w:w="609" w:type="dxa"/>
            <w:shd w:val="clear" w:color="auto" w:fill="C6EFCE"/>
            <w:noWrap/>
          </w:tcPr>
          <w:p w14:paraId="0E62F4B9" w14:textId="77777777" w:rsidR="003E1D81" w:rsidRDefault="00EB481C">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05532597" w14:textId="77777777" w:rsidR="003E1D81" w:rsidRDefault="00EB481C">
            <w:pPr>
              <w:pStyle w:val="P68B1DB1-Normal13"/>
              <w:spacing w:after="0" w:line="240" w:lineRule="auto"/>
              <w:rPr>
                <w:rFonts w:eastAsia="Times New Roman" w:cs="Times New Roman"/>
                <w:noProof/>
              </w:rPr>
            </w:pPr>
            <w:r>
              <w:rPr>
                <w:noProof/>
              </w:rPr>
              <w:t xml:space="preserve">A tudományos kutatói pálya támogatása ösztöndíjak és támogatások révén </w:t>
            </w:r>
          </w:p>
        </w:tc>
        <w:tc>
          <w:tcPr>
            <w:tcW w:w="993" w:type="dxa"/>
            <w:shd w:val="clear" w:color="auto" w:fill="C6EFCE"/>
            <w:noWrap/>
          </w:tcPr>
          <w:p w14:paraId="61D5D72A"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63AC40C5"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9" w:type="dxa"/>
            <w:shd w:val="clear" w:color="auto" w:fill="C6EFCE"/>
          </w:tcPr>
          <w:p w14:paraId="328A2BD1"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48869387" w14:textId="594FE145" w:rsidR="003E1D81" w:rsidRDefault="00EB481C">
            <w:pPr>
              <w:pStyle w:val="P68B1DB1-Normal13"/>
              <w:spacing w:after="0" w:line="240" w:lineRule="auto"/>
              <w:jc w:val="center"/>
              <w:rPr>
                <w:rFonts w:cs="Times New Roman"/>
                <w:noProof/>
              </w:rPr>
            </w:pPr>
            <w:r>
              <w:rPr>
                <w:noProof/>
              </w:rPr>
              <w:t>2 070</w:t>
            </w:r>
          </w:p>
        </w:tc>
        <w:tc>
          <w:tcPr>
            <w:tcW w:w="567" w:type="dxa"/>
            <w:shd w:val="clear" w:color="auto" w:fill="C6EFCE"/>
          </w:tcPr>
          <w:p w14:paraId="0A9B41BF" w14:textId="573FE023"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tcPr>
          <w:p w14:paraId="25BDE876" w14:textId="7421ECBE" w:rsidR="003E1D81" w:rsidRDefault="00EB481C">
            <w:pPr>
              <w:pStyle w:val="P68B1DB1-Normal13"/>
              <w:spacing w:after="0" w:line="240" w:lineRule="auto"/>
              <w:jc w:val="center"/>
              <w:rPr>
                <w:rFonts w:cs="Times New Roman"/>
                <w:noProof/>
              </w:rPr>
            </w:pPr>
            <w:r>
              <w:rPr>
                <w:noProof/>
              </w:rPr>
              <w:t>2024</w:t>
            </w:r>
          </w:p>
        </w:tc>
        <w:tc>
          <w:tcPr>
            <w:tcW w:w="5812" w:type="dxa"/>
            <w:shd w:val="clear" w:color="auto" w:fill="C6EFCE"/>
            <w:noWrap/>
          </w:tcPr>
          <w:p w14:paraId="187EE241" w14:textId="29A9476C" w:rsidR="003E1D81" w:rsidRDefault="00EB481C">
            <w:pPr>
              <w:pStyle w:val="P68B1DB1-Normal13"/>
              <w:spacing w:after="0" w:line="240" w:lineRule="auto"/>
              <w:rPr>
                <w:rFonts w:cs="Times New Roman"/>
                <w:noProof/>
              </w:rPr>
            </w:pPr>
            <w:r>
              <w:rPr>
                <w:noProof/>
              </w:rPr>
              <w:t>A spanyol tudományos kutatói karriert legalább 2070 kutatónak a Juan de la Cierva Incorporation program, a Juan de la Cierva képzési program, az ipari PhD-program és a Torres Quevedo program révén történő támogatása segíti. Továbbá legalább 775 kutató, aki</w:t>
            </w:r>
            <w:r>
              <w:rPr>
                <w:noProof/>
              </w:rPr>
              <w:t xml:space="preserve">k a Tenure Trackhoz hasonló állandó szerződés keretében „kutatásindítási csomagot” kaptak, amelyből 25 kutató részesült a CHIP-alapkutatási csomagban. </w:t>
            </w:r>
          </w:p>
        </w:tc>
      </w:tr>
      <w:tr w:rsidR="003E1D81" w14:paraId="23DFE650" w14:textId="77777777">
        <w:trPr>
          <w:trHeight w:val="309"/>
        </w:trPr>
        <w:tc>
          <w:tcPr>
            <w:tcW w:w="701" w:type="dxa"/>
            <w:shd w:val="clear" w:color="auto" w:fill="C6EFCE"/>
            <w:noWrap/>
          </w:tcPr>
          <w:p w14:paraId="517BD4BA" w14:textId="77777777" w:rsidR="003E1D81" w:rsidRDefault="00EB481C">
            <w:pPr>
              <w:pStyle w:val="P68B1DB1-Normal13"/>
              <w:spacing w:after="0" w:line="240" w:lineRule="auto"/>
              <w:jc w:val="center"/>
              <w:rPr>
                <w:rFonts w:eastAsia="Times New Roman" w:cs="Times New Roman"/>
                <w:noProof/>
              </w:rPr>
            </w:pPr>
            <w:r>
              <w:rPr>
                <w:noProof/>
              </w:rPr>
              <w:t>264</w:t>
            </w:r>
          </w:p>
        </w:tc>
        <w:tc>
          <w:tcPr>
            <w:tcW w:w="729" w:type="dxa"/>
            <w:shd w:val="clear" w:color="auto" w:fill="C6EFCE"/>
            <w:noWrap/>
          </w:tcPr>
          <w:p w14:paraId="169CD1CB" w14:textId="77777777" w:rsidR="003E1D81" w:rsidRDefault="00EB481C">
            <w:pPr>
              <w:pStyle w:val="P68B1DB1-Normal13"/>
              <w:spacing w:after="0" w:line="240" w:lineRule="auto"/>
              <w:jc w:val="center"/>
              <w:rPr>
                <w:rFonts w:eastAsia="Times New Roman" w:cs="Times New Roman"/>
                <w:noProof/>
              </w:rPr>
            </w:pPr>
            <w:r>
              <w:rPr>
                <w:noProof/>
              </w:rPr>
              <w:t>C17.I4</w:t>
            </w:r>
          </w:p>
        </w:tc>
        <w:tc>
          <w:tcPr>
            <w:tcW w:w="609" w:type="dxa"/>
            <w:shd w:val="clear" w:color="auto" w:fill="C6EFCE"/>
            <w:noWrap/>
          </w:tcPr>
          <w:p w14:paraId="192913A4" w14:textId="77777777" w:rsidR="003E1D81" w:rsidRDefault="00EB481C">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57E34B93" w14:textId="77777777" w:rsidR="003E1D81" w:rsidRDefault="00EB481C">
            <w:pPr>
              <w:pStyle w:val="P68B1DB1-Normal13"/>
              <w:spacing w:after="0" w:line="240" w:lineRule="auto"/>
              <w:rPr>
                <w:rFonts w:eastAsia="Times New Roman" w:cs="Times New Roman"/>
                <w:noProof/>
              </w:rPr>
            </w:pPr>
            <w:r>
              <w:rPr>
                <w:noProof/>
              </w:rPr>
              <w:t xml:space="preserve">A spanyol tudományos kutatói karriert támogató ösztöndíjak és támogatások befejezése </w:t>
            </w:r>
          </w:p>
        </w:tc>
        <w:tc>
          <w:tcPr>
            <w:tcW w:w="993" w:type="dxa"/>
            <w:shd w:val="clear" w:color="auto" w:fill="C6EFCE"/>
            <w:noWrap/>
          </w:tcPr>
          <w:p w14:paraId="45D72DCE"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6B0504C9"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9" w:type="dxa"/>
            <w:shd w:val="clear" w:color="auto" w:fill="C6EFCE"/>
          </w:tcPr>
          <w:p w14:paraId="4F3DF13E" w14:textId="77777777" w:rsidR="003E1D81" w:rsidRDefault="003E1D81">
            <w:pPr>
              <w:spacing w:after="0" w:line="240" w:lineRule="auto"/>
              <w:jc w:val="both"/>
              <w:rPr>
                <w:rFonts w:ascii="Times New Roman" w:hAnsi="Times New Roman" w:cs="Times New Roman"/>
                <w:noProof/>
                <w:sz w:val="18"/>
              </w:rPr>
            </w:pPr>
          </w:p>
        </w:tc>
        <w:tc>
          <w:tcPr>
            <w:tcW w:w="850" w:type="dxa"/>
            <w:shd w:val="clear" w:color="auto" w:fill="C6EFCE"/>
          </w:tcPr>
          <w:p w14:paraId="6B8F9956" w14:textId="0CF29B72" w:rsidR="003E1D81" w:rsidRDefault="00EB481C">
            <w:pPr>
              <w:pStyle w:val="P68B1DB1-Normal13"/>
              <w:spacing w:after="0" w:line="240" w:lineRule="auto"/>
              <w:jc w:val="center"/>
              <w:rPr>
                <w:rFonts w:cs="Times New Roman"/>
                <w:noProof/>
              </w:rPr>
            </w:pPr>
            <w:r>
              <w:rPr>
                <w:noProof/>
              </w:rPr>
              <w:t>2 070</w:t>
            </w:r>
          </w:p>
        </w:tc>
        <w:tc>
          <w:tcPr>
            <w:tcW w:w="567" w:type="dxa"/>
            <w:shd w:val="clear" w:color="auto" w:fill="C6EFCE"/>
          </w:tcPr>
          <w:p w14:paraId="2A94C885" w14:textId="77574F71"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tcPr>
          <w:p w14:paraId="5F928F85" w14:textId="6F11C2C8" w:rsidR="003E1D81" w:rsidRDefault="00EB481C">
            <w:pPr>
              <w:pStyle w:val="P68B1DB1-Normal13"/>
              <w:spacing w:after="0" w:line="240" w:lineRule="auto"/>
              <w:jc w:val="center"/>
              <w:rPr>
                <w:rFonts w:cs="Times New Roman"/>
                <w:noProof/>
              </w:rPr>
            </w:pPr>
            <w:r>
              <w:rPr>
                <w:noProof/>
              </w:rPr>
              <w:t>2026</w:t>
            </w:r>
          </w:p>
        </w:tc>
        <w:tc>
          <w:tcPr>
            <w:tcW w:w="5812" w:type="dxa"/>
            <w:shd w:val="clear" w:color="auto" w:fill="C6EFCE"/>
            <w:noWrap/>
          </w:tcPr>
          <w:p w14:paraId="7C820AA9" w14:textId="77777777" w:rsidR="003E1D81" w:rsidRDefault="00EB481C">
            <w:pPr>
              <w:pStyle w:val="P68B1DB1-Normal13"/>
              <w:spacing w:after="0" w:line="240" w:lineRule="auto"/>
              <w:jc w:val="both"/>
              <w:rPr>
                <w:rFonts w:eastAsia="Times New Roman" w:cs="Times New Roman"/>
                <w:noProof/>
              </w:rPr>
            </w:pPr>
            <w:r>
              <w:rPr>
                <w:noProof/>
              </w:rPr>
              <w:t xml:space="preserve">A spanyol tudományos kutatói karriert legalább 2070 kutató bővíti, akik befejezték a Juan de la Cierva Incorporation programot, a Juan de la Cierva képzési programot, az ipari PhD-programot és a Torres Quevedo programot. </w:t>
            </w:r>
          </w:p>
        </w:tc>
      </w:tr>
      <w:tr w:rsidR="003E1D81" w14:paraId="66E00197" w14:textId="77777777">
        <w:trPr>
          <w:trHeight w:val="309"/>
        </w:trPr>
        <w:tc>
          <w:tcPr>
            <w:tcW w:w="701" w:type="dxa"/>
            <w:shd w:val="clear" w:color="auto" w:fill="C6EFCE"/>
            <w:noWrap/>
          </w:tcPr>
          <w:p w14:paraId="5F935AB6" w14:textId="77777777" w:rsidR="003E1D81" w:rsidRDefault="00EB481C">
            <w:pPr>
              <w:pStyle w:val="P68B1DB1-Normal13"/>
              <w:spacing w:after="0" w:line="240" w:lineRule="auto"/>
              <w:jc w:val="center"/>
              <w:rPr>
                <w:rFonts w:eastAsia="Times New Roman" w:cs="Times New Roman"/>
                <w:noProof/>
              </w:rPr>
            </w:pPr>
            <w:r>
              <w:rPr>
                <w:noProof/>
              </w:rPr>
              <w:t>265</w:t>
            </w:r>
          </w:p>
        </w:tc>
        <w:tc>
          <w:tcPr>
            <w:tcW w:w="729" w:type="dxa"/>
            <w:shd w:val="clear" w:color="auto" w:fill="C6EFCE"/>
            <w:noWrap/>
          </w:tcPr>
          <w:p w14:paraId="330BD52E" w14:textId="77777777" w:rsidR="003E1D81" w:rsidRDefault="00EB481C">
            <w:pPr>
              <w:pStyle w:val="P68B1DB1-Normal13"/>
              <w:spacing w:after="0" w:line="240" w:lineRule="auto"/>
              <w:jc w:val="center"/>
              <w:rPr>
                <w:rFonts w:eastAsia="Times New Roman" w:cs="Times New Roman"/>
                <w:noProof/>
              </w:rPr>
            </w:pPr>
            <w:r>
              <w:rPr>
                <w:noProof/>
              </w:rPr>
              <w:t>C17.I5</w:t>
            </w:r>
          </w:p>
        </w:tc>
        <w:tc>
          <w:tcPr>
            <w:tcW w:w="609" w:type="dxa"/>
            <w:shd w:val="clear" w:color="auto" w:fill="C6EFCE"/>
            <w:noWrap/>
          </w:tcPr>
          <w:p w14:paraId="67FE101D" w14:textId="77777777" w:rsidR="003E1D81" w:rsidRDefault="00EB481C">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18BD108A" w14:textId="77777777" w:rsidR="003E1D81" w:rsidRDefault="00EB481C">
            <w:pPr>
              <w:pStyle w:val="P68B1DB1-Normal13"/>
              <w:spacing w:after="0" w:line="240" w:lineRule="auto"/>
              <w:rPr>
                <w:rFonts w:eastAsia="Times New Roman" w:cs="Times New Roman"/>
                <w:noProof/>
              </w:rPr>
            </w:pPr>
            <w:r>
              <w:rPr>
                <w:noProof/>
              </w:rPr>
              <w:t xml:space="preserve">Az Innvierte program keretében innovatív és technológiaalapú vállalkozások részesültek tőkében, hogy már korai szakaszban megerősítsék kutatási tevékenységeiket. </w:t>
            </w:r>
          </w:p>
        </w:tc>
        <w:tc>
          <w:tcPr>
            <w:tcW w:w="993" w:type="dxa"/>
            <w:shd w:val="clear" w:color="auto" w:fill="C6EFCE"/>
            <w:noWrap/>
          </w:tcPr>
          <w:p w14:paraId="2830361B"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5C987795"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9" w:type="dxa"/>
            <w:shd w:val="clear" w:color="auto" w:fill="C6EFCE"/>
          </w:tcPr>
          <w:p w14:paraId="172177B1"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1505199E" w14:textId="2DC4C9A5" w:rsidR="003E1D81" w:rsidRDefault="00EB481C">
            <w:pPr>
              <w:pStyle w:val="P68B1DB1-Normal13"/>
              <w:spacing w:after="0" w:line="240" w:lineRule="auto"/>
              <w:jc w:val="center"/>
              <w:rPr>
                <w:rFonts w:cs="Times New Roman"/>
                <w:noProof/>
              </w:rPr>
            </w:pPr>
            <w:r>
              <w:rPr>
                <w:noProof/>
              </w:rPr>
              <w:t>45</w:t>
            </w:r>
          </w:p>
        </w:tc>
        <w:tc>
          <w:tcPr>
            <w:tcW w:w="567" w:type="dxa"/>
            <w:shd w:val="clear" w:color="auto" w:fill="C6EFCE"/>
          </w:tcPr>
          <w:p w14:paraId="2198998B" w14:textId="65DAC6AF"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tcPr>
          <w:p w14:paraId="68A86E05" w14:textId="65CE8165" w:rsidR="003E1D81" w:rsidRDefault="00EB481C">
            <w:pPr>
              <w:pStyle w:val="P68B1DB1-Normal13"/>
              <w:spacing w:after="0" w:line="240" w:lineRule="auto"/>
              <w:jc w:val="center"/>
              <w:rPr>
                <w:rFonts w:cs="Times New Roman"/>
                <w:noProof/>
              </w:rPr>
            </w:pPr>
            <w:r>
              <w:rPr>
                <w:noProof/>
              </w:rPr>
              <w:t>2023</w:t>
            </w:r>
          </w:p>
        </w:tc>
        <w:tc>
          <w:tcPr>
            <w:tcW w:w="5812" w:type="dxa"/>
            <w:shd w:val="clear" w:color="auto" w:fill="C6EFCE"/>
            <w:noWrap/>
          </w:tcPr>
          <w:p w14:paraId="2FBFA9C0" w14:textId="4C99CB1C" w:rsidR="003E1D81" w:rsidRDefault="00EB481C">
            <w:pPr>
              <w:pStyle w:val="P68B1DB1-Normal13"/>
              <w:spacing w:after="0" w:line="240" w:lineRule="auto"/>
              <w:jc w:val="both"/>
              <w:rPr>
                <w:rFonts w:eastAsia="Times New Roman" w:cs="Times New Roman"/>
                <w:noProof/>
              </w:rPr>
            </w:pPr>
            <w:r>
              <w:rPr>
                <w:noProof/>
              </w:rPr>
              <w:t>A technológiaátadás előmozdítása és az innovatív technológiákon alapuló innovatív üzleti struktúra létrehozásának elősegítése érdekében az Innvierte program keretében legalább 45 innovatív és technológiaalapú vállalat részesült tőkében kutatási tevékenység</w:t>
            </w:r>
            <w:r>
              <w:rPr>
                <w:noProof/>
              </w:rPr>
              <w:t>eik korai szakaszban történő megerősítése érdekében. E vállalatok mindegyike a magánszektorból is részesült befektetésben. Az e beruházás keretében megvalósuló projektek értékelésének biztosítania kell az intézkedés leírásában meghatározott, a jelentős kár</w:t>
            </w:r>
            <w:r>
              <w:rPr>
                <w:noProof/>
              </w:rPr>
              <w:t xml:space="preserve">okozás elkerülését célzó elvről szóló technikai iránymutatásnak (2021/C58/01) való megfelelést. </w:t>
            </w:r>
          </w:p>
        </w:tc>
      </w:tr>
      <w:tr w:rsidR="003E1D81" w14:paraId="3868A5CA" w14:textId="77777777">
        <w:trPr>
          <w:trHeight w:val="309"/>
        </w:trPr>
        <w:tc>
          <w:tcPr>
            <w:tcW w:w="701" w:type="dxa"/>
            <w:shd w:val="clear" w:color="auto" w:fill="C6EFCE"/>
            <w:noWrap/>
          </w:tcPr>
          <w:p w14:paraId="3AA9EBB3" w14:textId="77777777" w:rsidR="003E1D81" w:rsidRDefault="00EB481C">
            <w:pPr>
              <w:pStyle w:val="P68B1DB1-Normal13"/>
              <w:spacing w:after="0" w:line="240" w:lineRule="auto"/>
              <w:jc w:val="center"/>
              <w:rPr>
                <w:rFonts w:eastAsia="Times New Roman" w:cs="Times New Roman"/>
                <w:noProof/>
              </w:rPr>
            </w:pPr>
            <w:r>
              <w:rPr>
                <w:noProof/>
              </w:rPr>
              <w:t>266</w:t>
            </w:r>
          </w:p>
        </w:tc>
        <w:tc>
          <w:tcPr>
            <w:tcW w:w="729" w:type="dxa"/>
            <w:shd w:val="clear" w:color="auto" w:fill="C6EFCE"/>
            <w:noWrap/>
          </w:tcPr>
          <w:p w14:paraId="23C416CF" w14:textId="77777777" w:rsidR="003E1D81" w:rsidRDefault="00EB481C">
            <w:pPr>
              <w:pStyle w:val="P68B1DB1-Normal13"/>
              <w:spacing w:after="0" w:line="240" w:lineRule="auto"/>
              <w:jc w:val="center"/>
              <w:rPr>
                <w:rFonts w:eastAsia="Times New Roman" w:cs="Times New Roman"/>
                <w:noProof/>
              </w:rPr>
            </w:pPr>
            <w:r>
              <w:rPr>
                <w:noProof/>
              </w:rPr>
              <w:t>C17.I5</w:t>
            </w:r>
          </w:p>
        </w:tc>
        <w:tc>
          <w:tcPr>
            <w:tcW w:w="609" w:type="dxa"/>
            <w:shd w:val="clear" w:color="auto" w:fill="C6EFCE"/>
            <w:noWrap/>
          </w:tcPr>
          <w:p w14:paraId="34ABC271" w14:textId="77777777" w:rsidR="003E1D81" w:rsidRDefault="00EB481C">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3C4F2837" w14:textId="77777777" w:rsidR="003E1D81" w:rsidRDefault="00EB481C">
            <w:pPr>
              <w:pStyle w:val="P68B1DB1-Normal13"/>
              <w:spacing w:after="0" w:line="240" w:lineRule="auto"/>
              <w:rPr>
                <w:rFonts w:eastAsia="Times New Roman" w:cs="Times New Roman"/>
                <w:noProof/>
              </w:rPr>
            </w:pPr>
            <w:r>
              <w:rPr>
                <w:noProof/>
              </w:rPr>
              <w:t>A fiatal, technológiaalapú vállalkozások támogatása üzleti tervük végrehajtásában.</w:t>
            </w:r>
          </w:p>
        </w:tc>
        <w:tc>
          <w:tcPr>
            <w:tcW w:w="993" w:type="dxa"/>
            <w:shd w:val="clear" w:color="auto" w:fill="C6EFCE"/>
            <w:noWrap/>
          </w:tcPr>
          <w:p w14:paraId="43C6A48A"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36A324D0"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9" w:type="dxa"/>
            <w:shd w:val="clear" w:color="auto" w:fill="C6EFCE"/>
          </w:tcPr>
          <w:p w14:paraId="3C75576E"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7C2BD86B" w14:textId="1DAD3CA5" w:rsidR="003E1D81" w:rsidRDefault="00EB481C">
            <w:pPr>
              <w:pStyle w:val="P68B1DB1-Normal13"/>
              <w:spacing w:after="0" w:line="240" w:lineRule="auto"/>
              <w:jc w:val="center"/>
              <w:rPr>
                <w:rFonts w:cs="Times New Roman"/>
                <w:noProof/>
              </w:rPr>
            </w:pPr>
            <w:r>
              <w:rPr>
                <w:noProof/>
              </w:rPr>
              <w:t>348</w:t>
            </w:r>
          </w:p>
        </w:tc>
        <w:tc>
          <w:tcPr>
            <w:tcW w:w="567" w:type="dxa"/>
            <w:shd w:val="clear" w:color="auto" w:fill="C6EFCE"/>
          </w:tcPr>
          <w:p w14:paraId="2FFFD9F5" w14:textId="74084429"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tcPr>
          <w:p w14:paraId="35565D59" w14:textId="40A3961A" w:rsidR="003E1D81" w:rsidRDefault="00EB481C">
            <w:pPr>
              <w:pStyle w:val="P68B1DB1-Normal13"/>
              <w:spacing w:after="0" w:line="240" w:lineRule="auto"/>
              <w:jc w:val="center"/>
              <w:rPr>
                <w:rFonts w:cs="Times New Roman"/>
                <w:noProof/>
              </w:rPr>
            </w:pPr>
            <w:r>
              <w:rPr>
                <w:noProof/>
              </w:rPr>
              <w:t>2024</w:t>
            </w:r>
          </w:p>
        </w:tc>
        <w:tc>
          <w:tcPr>
            <w:tcW w:w="5812" w:type="dxa"/>
            <w:shd w:val="clear" w:color="auto" w:fill="C6EFCE"/>
            <w:noWrap/>
          </w:tcPr>
          <w:p w14:paraId="56488D7C" w14:textId="68BB7485" w:rsidR="003E1D81" w:rsidRDefault="00EB481C">
            <w:pPr>
              <w:pStyle w:val="P68B1DB1-Normal13"/>
              <w:spacing w:after="0" w:line="240" w:lineRule="auto"/>
              <w:jc w:val="both"/>
              <w:rPr>
                <w:rFonts w:eastAsia="Times New Roman" w:cs="Times New Roman"/>
                <w:noProof/>
              </w:rPr>
            </w:pPr>
            <w:r>
              <w:rPr>
                <w:noProof/>
              </w:rPr>
              <w:t xml:space="preserve">A NEOTEC-támogatásokra vonatkozó </w:t>
            </w:r>
            <w:r>
              <w:rPr>
                <w:noProof/>
              </w:rPr>
              <w:t>felhívásokon keresztül a technológiaátadás előmozdítása és az innovatív technológiákon alapuló új vállalkozások létrehozásának elősegítése érdekében:  Legalább 348 új technológiaalapú vállalkozás, amelyet üzleti tervük végrehajtására ítéltek oda. E vállalk</w:t>
            </w:r>
            <w:r>
              <w:rPr>
                <w:noProof/>
              </w:rPr>
              <w:t>ozásoknak három vagy annál fiatalabbnak kell lenniük, és az általános csoportmentességi rendeletben meghatározott innovatív vállalkozásoknak kell lenniük. Az e beruházás keretében megvalósuló projektek értékelésének biztosítania kell az intézkedés leírásáb</w:t>
            </w:r>
            <w:r>
              <w:rPr>
                <w:noProof/>
              </w:rPr>
              <w:t>an meghatározott, a jelentős károkozás elkerülését célzó elvről szóló technikai iránymutatásnak (2021/C58/01) való megfelelést.</w:t>
            </w:r>
          </w:p>
        </w:tc>
      </w:tr>
      <w:tr w:rsidR="003E1D81" w14:paraId="50F6ED81" w14:textId="77777777">
        <w:trPr>
          <w:trHeight w:val="309"/>
        </w:trPr>
        <w:tc>
          <w:tcPr>
            <w:tcW w:w="701" w:type="dxa"/>
            <w:shd w:val="clear" w:color="auto" w:fill="C6EFCE"/>
            <w:noWrap/>
          </w:tcPr>
          <w:p w14:paraId="6124DB9E" w14:textId="7ADA6A8E" w:rsidR="003E1D81" w:rsidRDefault="00EB481C">
            <w:pPr>
              <w:pStyle w:val="P68B1DB1-Normal13"/>
              <w:spacing w:after="0" w:line="240" w:lineRule="auto"/>
              <w:jc w:val="center"/>
              <w:rPr>
                <w:rFonts w:cs="Times New Roman"/>
                <w:noProof/>
              </w:rPr>
            </w:pPr>
            <w:r>
              <w:rPr>
                <w:noProof/>
              </w:rPr>
              <w:t>459</w:t>
            </w:r>
          </w:p>
        </w:tc>
        <w:tc>
          <w:tcPr>
            <w:tcW w:w="729" w:type="dxa"/>
            <w:shd w:val="clear" w:color="auto" w:fill="C6EFCE"/>
            <w:noWrap/>
          </w:tcPr>
          <w:p w14:paraId="5E0A2E70" w14:textId="2836B5B6" w:rsidR="003E1D81" w:rsidRDefault="00EB481C">
            <w:pPr>
              <w:pStyle w:val="P68B1DB1-Normal13"/>
              <w:spacing w:after="0" w:line="240" w:lineRule="auto"/>
              <w:jc w:val="center"/>
              <w:rPr>
                <w:rFonts w:cs="Times New Roman"/>
                <w:noProof/>
              </w:rPr>
            </w:pPr>
            <w:r>
              <w:rPr>
                <w:noProof/>
              </w:rPr>
              <w:t>C17.I5</w:t>
            </w:r>
          </w:p>
        </w:tc>
        <w:tc>
          <w:tcPr>
            <w:tcW w:w="609" w:type="dxa"/>
            <w:shd w:val="clear" w:color="auto" w:fill="C6EFCE"/>
            <w:noWrap/>
          </w:tcPr>
          <w:p w14:paraId="47A46A0F" w14:textId="55E5BECA" w:rsidR="003E1D81" w:rsidRDefault="00EB481C">
            <w:pPr>
              <w:pStyle w:val="P68B1DB1-Normal13"/>
              <w:spacing w:after="0" w:line="240" w:lineRule="auto"/>
              <w:jc w:val="center"/>
              <w:rPr>
                <w:rFonts w:cs="Times New Roman"/>
                <w:noProof/>
              </w:rPr>
            </w:pPr>
            <w:r>
              <w:rPr>
                <w:noProof/>
              </w:rPr>
              <w:t>T</w:t>
            </w:r>
          </w:p>
        </w:tc>
        <w:tc>
          <w:tcPr>
            <w:tcW w:w="2039" w:type="dxa"/>
            <w:shd w:val="clear" w:color="auto" w:fill="C6EFCE"/>
            <w:noWrap/>
          </w:tcPr>
          <w:p w14:paraId="0985A675" w14:textId="69D523A5" w:rsidR="003E1D81" w:rsidRDefault="00EB481C">
            <w:pPr>
              <w:pStyle w:val="P68B1DB1-Normal13"/>
              <w:spacing w:after="0" w:line="240" w:lineRule="auto"/>
              <w:rPr>
                <w:rFonts w:cs="Times New Roman"/>
                <w:noProof/>
              </w:rPr>
            </w:pPr>
            <w:r>
              <w:rPr>
                <w:noProof/>
              </w:rPr>
              <w:t xml:space="preserve">A technológiaátadást és az innovatív technológiákkal kapcsolatos kutatási eredmények átadását támogató projektek </w:t>
            </w:r>
            <w:r>
              <w:rPr>
                <w:noProof/>
              </w:rPr>
              <w:t>lezárása</w:t>
            </w:r>
          </w:p>
        </w:tc>
        <w:tc>
          <w:tcPr>
            <w:tcW w:w="993" w:type="dxa"/>
            <w:shd w:val="clear" w:color="auto" w:fill="C6EFCE"/>
            <w:noWrap/>
          </w:tcPr>
          <w:p w14:paraId="674F8448" w14:textId="30C57019" w:rsidR="003E1D81" w:rsidRDefault="00EB481C">
            <w:pPr>
              <w:pStyle w:val="P68B1DB1-Normal13"/>
              <w:spacing w:after="0" w:line="240" w:lineRule="auto"/>
              <w:jc w:val="center"/>
              <w:rPr>
                <w:rFonts w:cs="Times New Roman"/>
                <w:noProof/>
              </w:rPr>
            </w:pPr>
            <w:r>
              <w:rPr>
                <w:noProof/>
              </w:rPr>
              <w:t>–</w:t>
            </w:r>
          </w:p>
        </w:tc>
        <w:tc>
          <w:tcPr>
            <w:tcW w:w="850" w:type="dxa"/>
            <w:shd w:val="clear" w:color="auto" w:fill="C6EFCE"/>
            <w:noWrap/>
          </w:tcPr>
          <w:p w14:paraId="7092BDAE" w14:textId="216A2BED" w:rsidR="003E1D81" w:rsidRDefault="00EB481C">
            <w:pPr>
              <w:pStyle w:val="P68B1DB1-Normal13"/>
              <w:spacing w:after="0" w:line="240" w:lineRule="auto"/>
              <w:jc w:val="center"/>
              <w:rPr>
                <w:rFonts w:cs="Times New Roman"/>
                <w:noProof/>
              </w:rPr>
            </w:pPr>
            <w:r>
              <w:rPr>
                <w:noProof/>
              </w:rPr>
              <w:t>Millió EUR</w:t>
            </w:r>
          </w:p>
        </w:tc>
        <w:tc>
          <w:tcPr>
            <w:tcW w:w="709" w:type="dxa"/>
            <w:shd w:val="clear" w:color="auto" w:fill="C6EFCE"/>
          </w:tcPr>
          <w:p w14:paraId="4883C242"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01C0362C" w14:textId="1155E9B3" w:rsidR="003E1D81" w:rsidRDefault="00EB481C">
            <w:pPr>
              <w:pStyle w:val="P68B1DB1-Normal13"/>
              <w:spacing w:after="0" w:line="240" w:lineRule="auto"/>
              <w:jc w:val="center"/>
              <w:rPr>
                <w:rFonts w:cs="Times New Roman"/>
                <w:noProof/>
              </w:rPr>
            </w:pPr>
            <w:r>
              <w:rPr>
                <w:noProof/>
              </w:rPr>
              <w:t>118.8</w:t>
            </w:r>
          </w:p>
        </w:tc>
        <w:tc>
          <w:tcPr>
            <w:tcW w:w="567" w:type="dxa"/>
            <w:shd w:val="clear" w:color="auto" w:fill="C6EFCE"/>
          </w:tcPr>
          <w:p w14:paraId="45EAE171" w14:textId="59BFF67C"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tcPr>
          <w:p w14:paraId="5ED79361" w14:textId="345FC9BE" w:rsidR="003E1D81" w:rsidRDefault="00EB481C">
            <w:pPr>
              <w:pStyle w:val="P68B1DB1-Normal13"/>
              <w:spacing w:after="0" w:line="240" w:lineRule="auto"/>
              <w:jc w:val="center"/>
              <w:rPr>
                <w:rFonts w:cs="Times New Roman"/>
                <w:noProof/>
              </w:rPr>
            </w:pPr>
            <w:r>
              <w:rPr>
                <w:noProof/>
              </w:rPr>
              <w:t>2026</w:t>
            </w:r>
          </w:p>
        </w:tc>
        <w:tc>
          <w:tcPr>
            <w:tcW w:w="5812" w:type="dxa"/>
            <w:shd w:val="clear" w:color="auto" w:fill="C6EFCE"/>
            <w:noWrap/>
          </w:tcPr>
          <w:p w14:paraId="59CB4308" w14:textId="77777777" w:rsidR="003E1D81" w:rsidRDefault="00EB481C">
            <w:pPr>
              <w:pStyle w:val="P68B1DB1-Normal13"/>
              <w:spacing w:after="0" w:line="240" w:lineRule="auto"/>
              <w:rPr>
                <w:rFonts w:eastAsia="Times New Roman" w:cs="Times New Roman"/>
                <w:noProof/>
              </w:rPr>
            </w:pPr>
            <w:r>
              <w:rPr>
                <w:noProof/>
              </w:rPr>
              <w:t>A következő projektek lezárása összesen 118 800 000 EUR értékben.</w:t>
            </w:r>
          </w:p>
          <w:p w14:paraId="65D76EE8" w14:textId="38F5443A" w:rsidR="003E1D81" w:rsidRDefault="00EB481C">
            <w:pPr>
              <w:pStyle w:val="P68B1DB1-Normal13"/>
              <w:spacing w:after="0" w:line="240" w:lineRule="auto"/>
              <w:rPr>
                <w:rFonts w:eastAsia="Times New Roman" w:cs="Times New Roman"/>
                <w:noProof/>
              </w:rPr>
            </w:pPr>
            <w:r>
              <w:rPr>
                <w:noProof/>
              </w:rPr>
              <w:t>Az odaítélt projektek a következőket foglalják magukban:</w:t>
            </w:r>
          </w:p>
          <w:p w14:paraId="14C6B4CB" w14:textId="77777777" w:rsidR="003E1D81" w:rsidRDefault="00EB481C">
            <w:pPr>
              <w:pStyle w:val="P68B1DB1-Normal13"/>
              <w:spacing w:after="0" w:line="240" w:lineRule="auto"/>
              <w:rPr>
                <w:rFonts w:eastAsia="Times New Roman" w:cs="Times New Roman"/>
                <w:noProof/>
              </w:rPr>
            </w:pPr>
            <w:r>
              <w:rPr>
                <w:noProof/>
              </w:rPr>
              <w:t>Felhívás a Cervera kiválósági hálózatokon alapuló innovációs ökoszisztémák létrehozására</w:t>
            </w:r>
          </w:p>
          <w:p w14:paraId="2612828D" w14:textId="34472DE7" w:rsidR="003E1D81" w:rsidRDefault="00EB481C">
            <w:pPr>
              <w:pStyle w:val="P68B1DB1-Normal13"/>
              <w:spacing w:after="0" w:line="240" w:lineRule="auto"/>
              <w:rPr>
                <w:rFonts w:eastAsia="Times New Roman" w:cs="Times New Roman"/>
                <w:noProof/>
              </w:rPr>
            </w:pPr>
            <w:r>
              <w:rPr>
                <w:noProof/>
              </w:rPr>
              <w:t>A</w:t>
            </w:r>
            <w:r>
              <w:rPr>
                <w:noProof/>
              </w:rPr>
              <w:t xml:space="preserve"> kutatási eredmények átadásával foglalkozó hivatalok kapacitásának és orientációjának javítása</w:t>
            </w:r>
          </w:p>
          <w:p w14:paraId="2F27148B" w14:textId="29B8BFAD" w:rsidR="003E1D81" w:rsidRDefault="00EB481C">
            <w:pPr>
              <w:pStyle w:val="P68B1DB1-Normal13"/>
              <w:spacing w:after="0" w:line="240" w:lineRule="auto"/>
              <w:rPr>
                <w:rFonts w:eastAsia="Times New Roman" w:cs="Times New Roman"/>
                <w:noProof/>
              </w:rPr>
            </w:pPr>
            <w:r>
              <w:rPr>
                <w:noProof/>
              </w:rPr>
              <w:t>Felhívás Cervera-támogatásokra a technológiai központok, a kutatóközpontok, a kkv-k és a közepes piaci tőkeértékű vállalatok számára a kiemelt technológiákkal ka</w:t>
            </w:r>
            <w:r>
              <w:rPr>
                <w:noProof/>
              </w:rPr>
              <w:t>pcsolatos K+F végrehajtása érdekében</w:t>
            </w:r>
          </w:p>
          <w:p w14:paraId="0F3DCD3A" w14:textId="094BF09E" w:rsidR="003E1D81" w:rsidRDefault="00EB481C">
            <w:pPr>
              <w:pStyle w:val="P68B1DB1-Normal13"/>
              <w:spacing w:after="0" w:line="240" w:lineRule="auto"/>
              <w:jc w:val="both"/>
              <w:rPr>
                <w:rFonts w:cs="Times New Roman"/>
                <w:noProof/>
              </w:rPr>
            </w:pPr>
            <w:r>
              <w:rPr>
                <w:noProof/>
              </w:rPr>
              <w:t>Felhívás a spanyol kkv-k támogatására az európai kiválósági pecsét révén</w:t>
            </w:r>
          </w:p>
        </w:tc>
      </w:tr>
      <w:tr w:rsidR="003E1D81" w14:paraId="28CC9AE4" w14:textId="77777777">
        <w:trPr>
          <w:trHeight w:val="309"/>
        </w:trPr>
        <w:tc>
          <w:tcPr>
            <w:tcW w:w="701" w:type="dxa"/>
            <w:shd w:val="clear" w:color="auto" w:fill="C6EFCE"/>
            <w:noWrap/>
          </w:tcPr>
          <w:p w14:paraId="21AD04C3" w14:textId="77777777" w:rsidR="003E1D81" w:rsidRDefault="00EB481C">
            <w:pPr>
              <w:pStyle w:val="P68B1DB1-Normal13"/>
              <w:spacing w:after="0" w:line="240" w:lineRule="auto"/>
              <w:jc w:val="center"/>
              <w:rPr>
                <w:rFonts w:eastAsia="Times New Roman" w:cs="Times New Roman"/>
                <w:noProof/>
              </w:rPr>
            </w:pPr>
            <w:r>
              <w:rPr>
                <w:noProof/>
              </w:rPr>
              <w:t>267</w:t>
            </w:r>
          </w:p>
        </w:tc>
        <w:tc>
          <w:tcPr>
            <w:tcW w:w="729" w:type="dxa"/>
            <w:shd w:val="clear" w:color="auto" w:fill="C6EFCE"/>
            <w:noWrap/>
          </w:tcPr>
          <w:p w14:paraId="059C602B" w14:textId="77777777" w:rsidR="003E1D81" w:rsidRDefault="00EB481C">
            <w:pPr>
              <w:pStyle w:val="P68B1DB1-Normal13"/>
              <w:spacing w:after="0" w:line="240" w:lineRule="auto"/>
              <w:jc w:val="center"/>
              <w:rPr>
                <w:rFonts w:eastAsia="Times New Roman" w:cs="Times New Roman"/>
                <w:noProof/>
              </w:rPr>
            </w:pPr>
            <w:r>
              <w:rPr>
                <w:noProof/>
              </w:rPr>
              <w:t>C17.I6</w:t>
            </w:r>
          </w:p>
        </w:tc>
        <w:tc>
          <w:tcPr>
            <w:tcW w:w="609" w:type="dxa"/>
            <w:shd w:val="clear" w:color="auto" w:fill="C6EFCE"/>
            <w:noWrap/>
          </w:tcPr>
          <w:p w14:paraId="5B22155B" w14:textId="77777777" w:rsidR="003E1D81" w:rsidRDefault="00EB481C">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459A25B1" w14:textId="77777777" w:rsidR="003E1D81" w:rsidRDefault="00EB481C">
            <w:pPr>
              <w:pStyle w:val="P68B1DB1-Normal13"/>
              <w:spacing w:after="0" w:line="240" w:lineRule="auto"/>
              <w:rPr>
                <w:rFonts w:eastAsia="Times New Roman" w:cs="Times New Roman"/>
                <w:noProof/>
              </w:rPr>
            </w:pPr>
            <w:r>
              <w:rPr>
                <w:noProof/>
              </w:rPr>
              <w:t xml:space="preserve">A nemzeti egészségügyi rendszer stratégiai kapacitásainak és nemzetközivé válásának megerősítését célzó projektek, a precíziós </w:t>
            </w:r>
            <w:r>
              <w:rPr>
                <w:noProof/>
              </w:rPr>
              <w:t>személyre szabott orvoslási stratégiával kapcsolatos projektek, valamint a fejlett terápiákkal kapcsolatos köz-magán beruházási eszközhöz való hozzájárulás.</w:t>
            </w:r>
          </w:p>
        </w:tc>
        <w:tc>
          <w:tcPr>
            <w:tcW w:w="993" w:type="dxa"/>
            <w:shd w:val="clear" w:color="auto" w:fill="C6EFCE"/>
            <w:noWrap/>
          </w:tcPr>
          <w:p w14:paraId="45A4C4C7"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5D1DD916" w14:textId="77777777" w:rsidR="003E1D81" w:rsidRDefault="00EB481C">
            <w:pPr>
              <w:pStyle w:val="P68B1DB1-Normal13"/>
              <w:spacing w:after="0" w:line="240" w:lineRule="auto"/>
              <w:jc w:val="center"/>
              <w:rPr>
                <w:rFonts w:eastAsia="Times New Roman" w:cs="Times New Roman"/>
                <w:noProof/>
              </w:rPr>
            </w:pPr>
            <w:r>
              <w:rPr>
                <w:noProof/>
              </w:rPr>
              <w:t>Millió EUR</w:t>
            </w:r>
          </w:p>
        </w:tc>
        <w:tc>
          <w:tcPr>
            <w:tcW w:w="709" w:type="dxa"/>
            <w:shd w:val="clear" w:color="auto" w:fill="C6EFCE"/>
          </w:tcPr>
          <w:p w14:paraId="46CB8396"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65511315" w14:textId="7F0B684E" w:rsidR="003E1D81" w:rsidRDefault="00EB481C">
            <w:pPr>
              <w:pStyle w:val="P68B1DB1-Normal13"/>
              <w:spacing w:after="0" w:line="240" w:lineRule="auto"/>
              <w:jc w:val="center"/>
              <w:rPr>
                <w:rFonts w:cs="Times New Roman"/>
                <w:noProof/>
              </w:rPr>
            </w:pPr>
            <w:r>
              <w:rPr>
                <w:noProof/>
              </w:rPr>
              <w:t>436.2</w:t>
            </w:r>
          </w:p>
        </w:tc>
        <w:tc>
          <w:tcPr>
            <w:tcW w:w="567" w:type="dxa"/>
            <w:shd w:val="clear" w:color="auto" w:fill="C6EFCE"/>
          </w:tcPr>
          <w:p w14:paraId="4B134831" w14:textId="5F1FE2EA"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tcPr>
          <w:p w14:paraId="5316A6CE" w14:textId="5D094771" w:rsidR="003E1D81" w:rsidRDefault="00EB481C">
            <w:pPr>
              <w:pStyle w:val="P68B1DB1-Normal13"/>
              <w:spacing w:after="0" w:line="240" w:lineRule="auto"/>
              <w:jc w:val="center"/>
              <w:rPr>
                <w:rFonts w:cs="Times New Roman"/>
                <w:noProof/>
              </w:rPr>
            </w:pPr>
            <w:r>
              <w:rPr>
                <w:noProof/>
              </w:rPr>
              <w:t>2024</w:t>
            </w:r>
          </w:p>
        </w:tc>
        <w:tc>
          <w:tcPr>
            <w:tcW w:w="5812" w:type="dxa"/>
            <w:shd w:val="clear" w:color="auto" w:fill="C6EFCE"/>
            <w:noWrap/>
          </w:tcPr>
          <w:p w14:paraId="662CDB46" w14:textId="64C5C285" w:rsidR="003E1D81" w:rsidRDefault="00EB481C">
            <w:pPr>
              <w:pStyle w:val="P68B1DB1-Normal13"/>
              <w:spacing w:after="0" w:line="240" w:lineRule="auto"/>
              <w:rPr>
                <w:rFonts w:cs="Times New Roman"/>
                <w:noProof/>
              </w:rPr>
            </w:pPr>
            <w:r>
              <w:rPr>
                <w:noProof/>
              </w:rPr>
              <w:t>A Hivatalos Lapban legalább 436 185 000 EUR megítélt összeg közzé</w:t>
            </w:r>
            <w:r>
              <w:rPr>
                <w:noProof/>
              </w:rPr>
              <w:t>tétele:</w:t>
            </w:r>
            <w:r>
              <w:rPr>
                <w:noProof/>
                <w:shd w:val="clear" w:color="auto" w:fill="E6E6E6"/>
              </w:rPr>
              <w:br/>
            </w:r>
            <w:r>
              <w:rPr>
                <w:noProof/>
              </w:rPr>
              <w:t xml:space="preserve">* 174 000 000 EUR a nemzeti egészségügyi rendszer stratégiai kapacitásainak és nemzetközivé válásának megerősítését célzó projektekre, beleértve a következőket:  </w:t>
            </w:r>
            <w:r>
              <w:rPr>
                <w:noProof/>
                <w:shd w:val="clear" w:color="auto" w:fill="E6E6E6"/>
              </w:rPr>
              <w:br/>
            </w:r>
            <w:r>
              <w:rPr>
                <w:noProof/>
              </w:rPr>
              <w:t xml:space="preserve">80000000 euró az egészségügyre vonatkozó stratégiai fellépés odaítélésére </w:t>
            </w:r>
            <w:r>
              <w:rPr>
                <w:noProof/>
                <w:shd w:val="clear" w:color="auto" w:fill="E6E6E6"/>
              </w:rPr>
              <w:br/>
              <w:t xml:space="preserve"> </w:t>
            </w:r>
            <w:r>
              <w:rPr>
                <w:noProof/>
              </w:rPr>
              <w:t>75 000 00</w:t>
            </w:r>
            <w:r>
              <w:rPr>
                <w:noProof/>
              </w:rPr>
              <w:t>0 EUR vissza nem térítendő támogatás a nemzeti egészségügyi rendszerhez kapcsolódó kutatóközpontok tudományos kapacitásának növelésére, valamint a tudományos és műszaki berendezések finanszírozásához kapcsolódó pályázatok támogatása, beleértve az elavuláss</w:t>
            </w:r>
            <w:r>
              <w:rPr>
                <w:noProof/>
              </w:rPr>
              <w:t xml:space="preserve">al járó tudományos-műszaki eszközök megújítását, </w:t>
            </w:r>
            <w:r>
              <w:rPr>
                <w:noProof/>
                <w:shd w:val="clear" w:color="auto" w:fill="E6E6E6"/>
              </w:rPr>
              <w:br/>
              <w:t xml:space="preserve"> </w:t>
            </w:r>
            <w:r>
              <w:rPr>
                <w:noProof/>
              </w:rPr>
              <w:t>6 000 000 EUR az Instituto de Salud Carlos III kiválósági pecsét támogatására;</w:t>
            </w:r>
            <w:r>
              <w:rPr>
                <w:noProof/>
                <w:shd w:val="clear" w:color="auto" w:fill="E6E6E6"/>
              </w:rPr>
              <w:br/>
            </w:r>
            <w:r>
              <w:rPr>
                <w:noProof/>
              </w:rPr>
              <w:t>13 000 000 EUR vissza nem térítendő támogatás a köz- és magánszféra közötti partnerségek számára a GMP/LPG környezetnek az SNS</w:t>
            </w:r>
            <w:r>
              <w:rPr>
                <w:noProof/>
              </w:rPr>
              <w:t xml:space="preserve"> kutatócsoportokba való beépítésére, azaz a nemzeti egészségügyi rendszer nemzetközivé válásához nyújtott támogatások</w:t>
            </w:r>
            <w:r>
              <w:rPr>
                <w:noProof/>
                <w:shd w:val="clear" w:color="auto" w:fill="E6E6E6"/>
              </w:rPr>
              <w:br/>
              <w:t xml:space="preserve"> </w:t>
            </w:r>
            <w:r>
              <w:rPr>
                <w:noProof/>
              </w:rPr>
              <w:t>* 140 500 000 EUR a személyre szabott orvoslásra vonatkozó stratégiához kapcsolódó projektekre, beleértve a következőket:</w:t>
            </w:r>
            <w:r>
              <w:rPr>
                <w:noProof/>
                <w:shd w:val="clear" w:color="auto" w:fill="E6E6E6"/>
              </w:rPr>
              <w:br/>
            </w:r>
            <w:r>
              <w:rPr>
                <w:noProof/>
              </w:rPr>
              <w:t xml:space="preserve">29 500 000 EUR </w:t>
            </w:r>
            <w:r>
              <w:rPr>
                <w:noProof/>
              </w:rPr>
              <w:t>általános felhívás személyre szabott orvoslásra</w:t>
            </w:r>
            <w:r>
              <w:rPr>
                <w:noProof/>
                <w:shd w:val="clear" w:color="auto" w:fill="E6E6E6"/>
              </w:rPr>
              <w:br/>
              <w:t xml:space="preserve"> </w:t>
            </w:r>
            <w:r>
              <w:rPr>
                <w:noProof/>
              </w:rPr>
              <w:t>91 500 000 EUR felhívás a személyre szabott orvoslással kapcsolatos egyedi programokra</w:t>
            </w:r>
            <w:r>
              <w:rPr>
                <w:noProof/>
                <w:shd w:val="clear" w:color="auto" w:fill="E6E6E6"/>
              </w:rPr>
              <w:br/>
              <w:t xml:space="preserve"> </w:t>
            </w:r>
            <w:r>
              <w:rPr>
                <w:noProof/>
              </w:rPr>
              <w:t>15 000 000 EUR felhívás a személyre szabott és fejlett terápiákra vonatkozó tervre</w:t>
            </w:r>
            <w:r>
              <w:rPr>
                <w:noProof/>
                <w:shd w:val="clear" w:color="auto" w:fill="E6E6E6"/>
              </w:rPr>
              <w:br/>
              <w:t xml:space="preserve"> </w:t>
            </w:r>
            <w:r>
              <w:rPr>
                <w:noProof/>
              </w:rPr>
              <w:t xml:space="preserve">4500000 eurós felhívás a személyre </w:t>
            </w:r>
            <w:r>
              <w:rPr>
                <w:noProof/>
              </w:rPr>
              <w:t>szabott orvoslás spanyol nemzetközivé tételére</w:t>
            </w:r>
            <w:r>
              <w:rPr>
                <w:noProof/>
                <w:shd w:val="clear" w:color="auto" w:fill="E6E6E6"/>
              </w:rPr>
              <w:br/>
              <w:t xml:space="preserve"> </w:t>
            </w:r>
            <w:r>
              <w:rPr>
                <w:noProof/>
              </w:rPr>
              <w:t>Az egészségügyi rendszer nemzetközivé tételére irányuló intézkedéseknek támogatniuk kell Spanyolország helyzetét az európai egészségügyi ágazatban azáltal, hogy ösztönzik Spanyolország részvételét az EU Egész</w:t>
            </w:r>
            <w:r>
              <w:rPr>
                <w:noProof/>
              </w:rPr>
              <w:t>ségügy programjában és az Európai horizont programban. Lehetővé kell tennie az olyan kutatási és innovációs klaszterek finanszírozását, amelyek a Horizont Európa és a Horizont 2020 partnerségek – például az ERA-Net társfinanszírozás, az európai közös progr</w:t>
            </w:r>
            <w:r>
              <w:rPr>
                <w:noProof/>
              </w:rPr>
              <w:t xml:space="preserve">amozási kezdeményezések vagy a nemzetközi közös programozási kezdeményezések, az Európai Unió működéséről szóló szerződés (EUMSZ) 187. és 185. cikke alapján létrehozott kezdeményezések, valamint a Horizont Európa keretprogramban létrehozott partnerségek – </w:t>
            </w:r>
            <w:r>
              <w:rPr>
                <w:noProof/>
              </w:rPr>
              <w:t>keretében történő finanszírozásra kiválasztott, határokon átnyúló közös programozási projektek részét képezik.</w:t>
            </w:r>
            <w:r>
              <w:rPr>
                <w:noProof/>
                <w:shd w:val="clear" w:color="auto" w:fill="E6E6E6"/>
              </w:rPr>
              <w:br/>
            </w:r>
            <w:r>
              <w:rPr>
                <w:noProof/>
              </w:rPr>
              <w:t>*És legalább 136 685 000 EUR összegű hozzájárulás egy köz-magán befektetési eszközhöz fejlett terápiákban.</w:t>
            </w:r>
          </w:p>
          <w:p w14:paraId="61E4FD0C" w14:textId="77777777" w:rsidR="003E1D81" w:rsidRDefault="00EB481C">
            <w:pPr>
              <w:pStyle w:val="P68B1DB1-Normal13"/>
              <w:spacing w:after="0" w:line="240" w:lineRule="auto"/>
              <w:rPr>
                <w:rFonts w:eastAsia="Times New Roman" w:cs="Times New Roman"/>
                <w:noProof/>
              </w:rPr>
            </w:pPr>
            <w:r>
              <w:rPr>
                <w:noProof/>
              </w:rPr>
              <w:t>* 85 000 000 EUR a PERTE keretében a v</w:t>
            </w:r>
            <w:r>
              <w:rPr>
                <w:noProof/>
              </w:rPr>
              <w:t>anguárok egészségével kapcsolatos fellépésekre: az Egészségügyi Minisztérium és a ritka betegségekkel foglalkozó tudományos és innovációs minisztérium közös küldetési felhívása. ii. Az Egészségügyi Minisztérium és a Tudományos és Innovációs Minisztérium fe</w:t>
            </w:r>
            <w:r>
              <w:rPr>
                <w:noProof/>
              </w:rPr>
              <w:t>lhívása a precíziós orvostudomány megvalósítására irányuló közös kiküldetésekre. iii. Felhívás a betegorientált klinikai kutatási egységek kutatási kapacitásait szolgáló képzésbe, korszerűsített infrastruktúrába, tervezésbe és felszerelésbe történő beruház</w:t>
            </w:r>
            <w:r>
              <w:rPr>
                <w:noProof/>
              </w:rPr>
              <w:t>ásra.</w:t>
            </w:r>
            <w:r>
              <w:rPr>
                <w:noProof/>
                <w:shd w:val="clear" w:color="auto" w:fill="E6E6E6"/>
              </w:rPr>
              <w:t xml:space="preserve"> </w:t>
            </w:r>
          </w:p>
        </w:tc>
      </w:tr>
      <w:tr w:rsidR="003E1D81" w14:paraId="6A9143EA" w14:textId="77777777">
        <w:trPr>
          <w:trHeight w:val="309"/>
        </w:trPr>
        <w:tc>
          <w:tcPr>
            <w:tcW w:w="701" w:type="dxa"/>
            <w:shd w:val="clear" w:color="auto" w:fill="C6EFCE"/>
            <w:noWrap/>
          </w:tcPr>
          <w:p w14:paraId="4C5ED506" w14:textId="77777777" w:rsidR="003E1D81" w:rsidRDefault="00EB481C">
            <w:pPr>
              <w:pStyle w:val="P68B1DB1-Normal13"/>
              <w:spacing w:after="0" w:line="240" w:lineRule="auto"/>
              <w:jc w:val="center"/>
              <w:rPr>
                <w:rFonts w:eastAsia="Times New Roman" w:cs="Times New Roman"/>
                <w:noProof/>
              </w:rPr>
            </w:pPr>
            <w:r>
              <w:rPr>
                <w:noProof/>
              </w:rPr>
              <w:t>268</w:t>
            </w:r>
          </w:p>
        </w:tc>
        <w:tc>
          <w:tcPr>
            <w:tcW w:w="729" w:type="dxa"/>
            <w:shd w:val="clear" w:color="auto" w:fill="C6EFCE"/>
            <w:noWrap/>
          </w:tcPr>
          <w:p w14:paraId="6D1F29DC" w14:textId="77777777" w:rsidR="003E1D81" w:rsidRDefault="00EB481C">
            <w:pPr>
              <w:pStyle w:val="P68B1DB1-Normal13"/>
              <w:spacing w:after="0" w:line="240" w:lineRule="auto"/>
              <w:jc w:val="center"/>
              <w:rPr>
                <w:rFonts w:eastAsia="Times New Roman" w:cs="Times New Roman"/>
                <w:noProof/>
              </w:rPr>
            </w:pPr>
            <w:r>
              <w:rPr>
                <w:noProof/>
              </w:rPr>
              <w:t>C17.I6</w:t>
            </w:r>
          </w:p>
        </w:tc>
        <w:tc>
          <w:tcPr>
            <w:tcW w:w="609" w:type="dxa"/>
            <w:shd w:val="clear" w:color="auto" w:fill="C6EFCE"/>
            <w:noWrap/>
          </w:tcPr>
          <w:p w14:paraId="5F95BF3A" w14:textId="77777777" w:rsidR="003E1D81" w:rsidRDefault="00EB481C">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0ED5F9E7" w14:textId="77777777" w:rsidR="003E1D81" w:rsidRDefault="00EB481C">
            <w:pPr>
              <w:pStyle w:val="P68B1DB1-Normal13"/>
              <w:spacing w:after="0" w:line="240" w:lineRule="auto"/>
              <w:rPr>
                <w:rFonts w:eastAsia="Times New Roman" w:cs="Times New Roman"/>
                <w:noProof/>
              </w:rPr>
            </w:pPr>
            <w:r>
              <w:rPr>
                <w:noProof/>
              </w:rPr>
              <w:t xml:space="preserve">Az egészségügyi ágazat kutatásfejlesztésének és innovációjának megerősítését célzó valamennyi projekt lezárása. </w:t>
            </w:r>
          </w:p>
        </w:tc>
        <w:tc>
          <w:tcPr>
            <w:tcW w:w="993" w:type="dxa"/>
            <w:shd w:val="clear" w:color="auto" w:fill="C6EFCE"/>
            <w:noWrap/>
          </w:tcPr>
          <w:p w14:paraId="41E0C0A0"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850" w:type="dxa"/>
            <w:shd w:val="clear" w:color="auto" w:fill="C6EFCE"/>
            <w:noWrap/>
          </w:tcPr>
          <w:p w14:paraId="664A8C52"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0515E4BE"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3B6F4AD7" w14:textId="29C5D2B2" w:rsidR="003E1D81" w:rsidRDefault="00EB481C">
            <w:pPr>
              <w:pStyle w:val="P68B1DB1-Normal13"/>
              <w:spacing w:after="0" w:line="240" w:lineRule="auto"/>
              <w:jc w:val="center"/>
              <w:rPr>
                <w:rFonts w:cs="Times New Roman"/>
                <w:noProof/>
              </w:rPr>
            </w:pPr>
            <w:r>
              <w:rPr>
                <w:noProof/>
              </w:rPr>
              <w:t>100</w:t>
            </w:r>
          </w:p>
        </w:tc>
        <w:tc>
          <w:tcPr>
            <w:tcW w:w="567" w:type="dxa"/>
            <w:shd w:val="clear" w:color="auto" w:fill="C6EFCE"/>
          </w:tcPr>
          <w:p w14:paraId="60466CD6" w14:textId="3A0A6271"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tcPr>
          <w:p w14:paraId="0F1A0D18" w14:textId="14C1893B" w:rsidR="003E1D81" w:rsidRDefault="00EB481C">
            <w:pPr>
              <w:pStyle w:val="P68B1DB1-Normal13"/>
              <w:spacing w:after="0" w:line="240" w:lineRule="auto"/>
              <w:jc w:val="center"/>
              <w:rPr>
                <w:rFonts w:cs="Times New Roman"/>
                <w:noProof/>
              </w:rPr>
            </w:pPr>
            <w:r>
              <w:rPr>
                <w:noProof/>
              </w:rPr>
              <w:t>2026</w:t>
            </w:r>
          </w:p>
        </w:tc>
        <w:tc>
          <w:tcPr>
            <w:tcW w:w="5812" w:type="dxa"/>
            <w:shd w:val="clear" w:color="auto" w:fill="C6EFCE"/>
            <w:noWrap/>
          </w:tcPr>
          <w:p w14:paraId="45396BF5" w14:textId="77777777" w:rsidR="003E1D81" w:rsidRDefault="00EB481C">
            <w:pPr>
              <w:pStyle w:val="P68B1DB1-Normal8"/>
              <w:spacing w:after="0" w:line="240" w:lineRule="auto"/>
              <w:rPr>
                <w:rFonts w:eastAsia="Times New Roman" w:cs="Times New Roman"/>
                <w:noProof/>
                <w:sz w:val="18"/>
              </w:rPr>
            </w:pPr>
            <w:r>
              <w:rPr>
                <w:noProof/>
                <w:sz w:val="18"/>
              </w:rPr>
              <w:t>Az összes projekt lezárása összesen 527 126 000 EUR értékben.</w:t>
            </w:r>
            <w:r>
              <w:rPr>
                <w:noProof/>
              </w:rPr>
              <w:br/>
            </w:r>
            <w:r>
              <w:rPr>
                <w:noProof/>
                <w:sz w:val="18"/>
              </w:rPr>
              <w:t xml:space="preserve">Odaítélt projektek, amelyek magukban </w:t>
            </w:r>
            <w:r>
              <w:rPr>
                <w:noProof/>
                <w:sz w:val="18"/>
              </w:rPr>
              <w:t>foglalják a következő pályázati felhívásokat:</w:t>
            </w:r>
            <w:r>
              <w:rPr>
                <w:noProof/>
              </w:rPr>
              <w:br/>
            </w:r>
            <w:r>
              <w:rPr>
                <w:noProof/>
                <w:sz w:val="18"/>
              </w:rPr>
              <w:t xml:space="preserve">* A nemzeti egészségügyi rendszer stratégiai kapacitásainak és nemzetközivé válásának megerősítése tekintetében: </w:t>
            </w:r>
            <w:r>
              <w:rPr>
                <w:noProof/>
              </w:rPr>
              <w:br/>
            </w:r>
            <w:r>
              <w:rPr>
                <w:noProof/>
                <w:sz w:val="18"/>
              </w:rPr>
              <w:t xml:space="preserve"> az egészségügyre vonatkozó stratégiai fellépés </w:t>
            </w:r>
            <w:r>
              <w:rPr>
                <w:noProof/>
              </w:rPr>
              <w:br/>
              <w:t xml:space="preserve"> </w:t>
            </w:r>
            <w:r>
              <w:rPr>
                <w:noProof/>
                <w:sz w:val="18"/>
              </w:rPr>
              <w:t xml:space="preserve"> a nemzeti egészségügyi rendszerhez kapcsolódó</w:t>
            </w:r>
            <w:r>
              <w:rPr>
                <w:noProof/>
                <w:sz w:val="18"/>
              </w:rPr>
              <w:t xml:space="preserve"> kutatóközpontok tudományos kapacitásának növelését célzó projektek, </w:t>
            </w:r>
            <w:r>
              <w:rPr>
                <w:noProof/>
              </w:rPr>
              <w:br/>
              <w:t xml:space="preserve"> </w:t>
            </w:r>
            <w:r>
              <w:rPr>
                <w:noProof/>
                <w:sz w:val="18"/>
              </w:rPr>
              <w:t xml:space="preserve"> a tudományos és műszaki berendezések finanszírozásához kapcsolódó javaslatok, beleértve az elavulással járó tudományos-műszaki berendezések megújítását, </w:t>
            </w:r>
            <w:r>
              <w:rPr>
                <w:noProof/>
              </w:rPr>
              <w:br/>
              <w:t xml:space="preserve"> </w:t>
            </w:r>
            <w:r>
              <w:rPr>
                <w:noProof/>
                <w:sz w:val="18"/>
              </w:rPr>
              <w:t xml:space="preserve"> az Instituto de Salud Carlos</w:t>
            </w:r>
            <w:r>
              <w:rPr>
                <w:noProof/>
                <w:sz w:val="18"/>
              </w:rPr>
              <w:t xml:space="preserve"> III kiválósági pecséttel kapcsolatos projektek; és </w:t>
            </w:r>
            <w:r>
              <w:rPr>
                <w:noProof/>
              </w:rPr>
              <w:br/>
              <w:t xml:space="preserve"> </w:t>
            </w:r>
            <w:r>
              <w:rPr>
                <w:noProof/>
                <w:sz w:val="18"/>
              </w:rPr>
              <w:t xml:space="preserve"> – a köz- és magánszféra közötti partnerségek a GMP/LPG környezetnek az SNS kutatócsoportokba való beépítésére.</w:t>
            </w:r>
            <w:r>
              <w:rPr>
                <w:noProof/>
              </w:rPr>
              <w:br/>
            </w:r>
            <w:r>
              <w:rPr>
                <w:noProof/>
                <w:sz w:val="18"/>
              </w:rPr>
              <w:t>* A személyre szabott orvoslásra vonatkozó stratégia tekintetében:</w:t>
            </w:r>
            <w:r>
              <w:rPr>
                <w:noProof/>
              </w:rPr>
              <w:br/>
            </w:r>
            <w:r>
              <w:rPr>
                <w:noProof/>
                <w:sz w:val="18"/>
              </w:rPr>
              <w:t xml:space="preserve"> a személyre szabott or</w:t>
            </w:r>
            <w:r>
              <w:rPr>
                <w:noProof/>
                <w:sz w:val="18"/>
              </w:rPr>
              <w:t>voslásra vonatkozó általános pályázati felhívás projektjei</w:t>
            </w:r>
            <w:r>
              <w:rPr>
                <w:noProof/>
              </w:rPr>
              <w:br/>
              <w:t xml:space="preserve"> </w:t>
            </w:r>
            <w:r>
              <w:rPr>
                <w:noProof/>
                <w:sz w:val="18"/>
              </w:rPr>
              <w:t xml:space="preserve"> a személyre szabott és fejlett terápiákra vonatkozó tervre vonatkozó felhívás projektjei</w:t>
            </w:r>
            <w:r>
              <w:rPr>
                <w:noProof/>
              </w:rPr>
              <w:br/>
              <w:t xml:space="preserve"> </w:t>
            </w:r>
            <w:r>
              <w:rPr>
                <w:noProof/>
                <w:sz w:val="18"/>
              </w:rPr>
              <w:t xml:space="preserve"> a személyre szabott orvoslás spanyol nemzetközivé tételére irányuló felhívás projektjei</w:t>
            </w:r>
            <w:r>
              <w:rPr>
                <w:noProof/>
              </w:rPr>
              <w:br/>
              <w:t xml:space="preserve"> </w:t>
            </w:r>
            <w:r>
              <w:rPr>
                <w:noProof/>
                <w:sz w:val="18"/>
              </w:rPr>
              <w:t>* Legalább 2 tő</w:t>
            </w:r>
            <w:r>
              <w:rPr>
                <w:noProof/>
                <w:sz w:val="18"/>
              </w:rPr>
              <w:t>keemelés a fejlett terápiák gyógyszereivel végzett klinikai vizsgálatok (II. és III. szakasz) elvégzése érdekében</w:t>
            </w:r>
          </w:p>
          <w:p w14:paraId="46EF6F65" w14:textId="77777777" w:rsidR="003E1D81" w:rsidRDefault="003E1D81">
            <w:pPr>
              <w:spacing w:after="0" w:line="240" w:lineRule="auto"/>
              <w:rPr>
                <w:rFonts w:ascii="Times New Roman" w:hAnsi="Times New Roman" w:cs="Times New Roman"/>
                <w:noProof/>
                <w:sz w:val="18"/>
              </w:rPr>
            </w:pPr>
          </w:p>
        </w:tc>
      </w:tr>
      <w:tr w:rsidR="003E1D81" w14:paraId="7DE39A3A" w14:textId="77777777">
        <w:trPr>
          <w:trHeight w:val="309"/>
        </w:trPr>
        <w:tc>
          <w:tcPr>
            <w:tcW w:w="701" w:type="dxa"/>
            <w:shd w:val="clear" w:color="auto" w:fill="C6EFCE"/>
            <w:noWrap/>
          </w:tcPr>
          <w:p w14:paraId="3CCF428E" w14:textId="0B61B297" w:rsidR="003E1D81" w:rsidRDefault="00EB481C">
            <w:pPr>
              <w:pStyle w:val="P68B1DB1-Normal13"/>
              <w:spacing w:after="0" w:line="240" w:lineRule="auto"/>
              <w:jc w:val="center"/>
              <w:rPr>
                <w:rFonts w:cs="Times New Roman"/>
                <w:noProof/>
              </w:rPr>
            </w:pPr>
            <w:r>
              <w:rPr>
                <w:noProof/>
              </w:rPr>
              <w:t>460</w:t>
            </w:r>
          </w:p>
        </w:tc>
        <w:tc>
          <w:tcPr>
            <w:tcW w:w="729" w:type="dxa"/>
            <w:shd w:val="clear" w:color="auto" w:fill="C6EFCE"/>
            <w:noWrap/>
          </w:tcPr>
          <w:p w14:paraId="76390B63" w14:textId="3E0CF364" w:rsidR="003E1D81" w:rsidRDefault="00EB481C">
            <w:pPr>
              <w:pStyle w:val="P68B1DB1-Normal13"/>
              <w:spacing w:after="0" w:line="240" w:lineRule="auto"/>
              <w:jc w:val="center"/>
              <w:rPr>
                <w:rFonts w:cs="Times New Roman"/>
                <w:noProof/>
              </w:rPr>
            </w:pPr>
            <w:r>
              <w:rPr>
                <w:noProof/>
              </w:rPr>
              <w:t>C17.I6</w:t>
            </w:r>
          </w:p>
        </w:tc>
        <w:tc>
          <w:tcPr>
            <w:tcW w:w="609" w:type="dxa"/>
            <w:shd w:val="clear" w:color="auto" w:fill="C6EFCE"/>
            <w:noWrap/>
          </w:tcPr>
          <w:p w14:paraId="0576D1F3" w14:textId="11E2276F" w:rsidR="003E1D81" w:rsidRDefault="00EB481C">
            <w:pPr>
              <w:pStyle w:val="P68B1DB1-Normal13"/>
              <w:spacing w:after="0" w:line="240" w:lineRule="auto"/>
              <w:jc w:val="center"/>
              <w:rPr>
                <w:rFonts w:cs="Times New Roman"/>
                <w:noProof/>
              </w:rPr>
            </w:pPr>
            <w:r>
              <w:rPr>
                <w:noProof/>
              </w:rPr>
              <w:t>T</w:t>
            </w:r>
          </w:p>
        </w:tc>
        <w:tc>
          <w:tcPr>
            <w:tcW w:w="2039" w:type="dxa"/>
            <w:shd w:val="clear" w:color="auto" w:fill="C6EFCE"/>
            <w:noWrap/>
          </w:tcPr>
          <w:p w14:paraId="3A6109DB" w14:textId="2C0F9A94" w:rsidR="003E1D81" w:rsidRDefault="00EB481C">
            <w:pPr>
              <w:pStyle w:val="P68B1DB1-Normal13"/>
              <w:spacing w:after="0" w:line="240" w:lineRule="auto"/>
              <w:rPr>
                <w:rFonts w:cs="Times New Roman"/>
                <w:noProof/>
              </w:rPr>
            </w:pPr>
            <w:r>
              <w:rPr>
                <w:noProof/>
              </w:rPr>
              <w:t xml:space="preserve">Pénzeszközök folyósítása a PERTE Health keretében K+F projektek számára  </w:t>
            </w:r>
          </w:p>
        </w:tc>
        <w:tc>
          <w:tcPr>
            <w:tcW w:w="993" w:type="dxa"/>
            <w:shd w:val="clear" w:color="auto" w:fill="C6EFCE"/>
            <w:noWrap/>
          </w:tcPr>
          <w:p w14:paraId="37C3E156" w14:textId="6DA9DDA7" w:rsidR="003E1D81" w:rsidRDefault="00EB481C">
            <w:pPr>
              <w:pStyle w:val="P68B1DB1-Normal13"/>
              <w:spacing w:after="0" w:line="240" w:lineRule="auto"/>
              <w:jc w:val="center"/>
              <w:rPr>
                <w:rFonts w:cs="Times New Roman"/>
                <w:noProof/>
              </w:rPr>
            </w:pPr>
            <w:r>
              <w:rPr>
                <w:noProof/>
              </w:rPr>
              <w:t>–</w:t>
            </w:r>
          </w:p>
        </w:tc>
        <w:tc>
          <w:tcPr>
            <w:tcW w:w="850" w:type="dxa"/>
            <w:shd w:val="clear" w:color="auto" w:fill="C6EFCE"/>
            <w:noWrap/>
          </w:tcPr>
          <w:p w14:paraId="70A884B8" w14:textId="28A95139" w:rsidR="003E1D81" w:rsidRDefault="00EB481C">
            <w:pPr>
              <w:pStyle w:val="P68B1DB1-Normal13"/>
              <w:spacing w:after="0" w:line="240" w:lineRule="auto"/>
              <w:jc w:val="center"/>
              <w:rPr>
                <w:rFonts w:cs="Times New Roman"/>
                <w:noProof/>
              </w:rPr>
            </w:pPr>
            <w:r>
              <w:rPr>
                <w:noProof/>
              </w:rPr>
              <w:t>Millió EUR</w:t>
            </w:r>
          </w:p>
        </w:tc>
        <w:tc>
          <w:tcPr>
            <w:tcW w:w="709" w:type="dxa"/>
            <w:shd w:val="clear" w:color="auto" w:fill="C6EFCE"/>
          </w:tcPr>
          <w:p w14:paraId="0BF876F1"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55F7A4D6" w14:textId="029DAD6F" w:rsidR="003E1D81" w:rsidRDefault="00EB481C">
            <w:pPr>
              <w:pStyle w:val="P68B1DB1-Normal13"/>
              <w:spacing w:after="0" w:line="240" w:lineRule="auto"/>
              <w:jc w:val="center"/>
              <w:rPr>
                <w:rFonts w:cs="Times New Roman"/>
                <w:noProof/>
              </w:rPr>
            </w:pPr>
            <w:r>
              <w:rPr>
                <w:noProof/>
              </w:rPr>
              <w:t>243</w:t>
            </w:r>
          </w:p>
        </w:tc>
        <w:tc>
          <w:tcPr>
            <w:tcW w:w="567" w:type="dxa"/>
            <w:shd w:val="clear" w:color="auto" w:fill="C6EFCE"/>
          </w:tcPr>
          <w:p w14:paraId="187B82CE" w14:textId="761337DD"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tcPr>
          <w:p w14:paraId="5555E33D" w14:textId="5A53107F" w:rsidR="003E1D81" w:rsidRDefault="00EB481C">
            <w:pPr>
              <w:pStyle w:val="P68B1DB1-Normal13"/>
              <w:spacing w:after="0" w:line="240" w:lineRule="auto"/>
              <w:jc w:val="center"/>
              <w:rPr>
                <w:rFonts w:cs="Times New Roman"/>
                <w:noProof/>
              </w:rPr>
            </w:pPr>
            <w:r>
              <w:rPr>
                <w:noProof/>
              </w:rPr>
              <w:t>2026</w:t>
            </w:r>
          </w:p>
        </w:tc>
        <w:tc>
          <w:tcPr>
            <w:tcW w:w="5812" w:type="dxa"/>
            <w:shd w:val="clear" w:color="auto" w:fill="C6EFCE"/>
            <w:noWrap/>
          </w:tcPr>
          <w:p w14:paraId="3FACC89B" w14:textId="77777777" w:rsidR="003E1D81" w:rsidRDefault="00EB481C">
            <w:pPr>
              <w:pStyle w:val="P68B1DB1-Normal13"/>
              <w:spacing w:after="0" w:line="240" w:lineRule="auto"/>
              <w:rPr>
                <w:rFonts w:eastAsia="Times New Roman" w:cs="Times New Roman"/>
                <w:noProof/>
              </w:rPr>
            </w:pPr>
            <w:r>
              <w:rPr>
                <w:noProof/>
              </w:rPr>
              <w:t xml:space="preserve">A PERTE Health program keretében 243 000 000 EUR-t folyósítottak a következő K+F projektekre: </w:t>
            </w:r>
          </w:p>
          <w:p w14:paraId="6298AE6F" w14:textId="77777777" w:rsidR="003E1D81" w:rsidRDefault="00EB481C">
            <w:pPr>
              <w:pStyle w:val="P68B1DB1-Normal13"/>
              <w:spacing w:after="0" w:line="240" w:lineRule="auto"/>
              <w:rPr>
                <w:rFonts w:eastAsia="Times New Roman" w:cs="Times New Roman"/>
                <w:noProof/>
              </w:rPr>
            </w:pPr>
            <w:r>
              <w:rPr>
                <w:noProof/>
              </w:rPr>
              <w:t xml:space="preserve">az egészségügyi ágazat ipari kapacitásainak megerősítésére és nemzetközivé tételére irányuló projektek, </w:t>
            </w:r>
          </w:p>
          <w:p w14:paraId="1668C725" w14:textId="77777777" w:rsidR="003E1D81" w:rsidRDefault="00EB481C">
            <w:pPr>
              <w:pStyle w:val="P68B1DB1-Normal13"/>
              <w:spacing w:after="0" w:line="240" w:lineRule="auto"/>
              <w:rPr>
                <w:rFonts w:eastAsia="Times New Roman" w:cs="Times New Roman"/>
                <w:noProof/>
              </w:rPr>
            </w:pPr>
            <w:r>
              <w:rPr>
                <w:noProof/>
              </w:rPr>
              <w:t>a ritka betegségekkel, köztük az ALS-sel és a neuromuszk</w:t>
            </w:r>
            <w:r>
              <w:rPr>
                <w:noProof/>
              </w:rPr>
              <w:t xml:space="preserve">uláris betegségekkel foglalkozó közös misszió projektjei, </w:t>
            </w:r>
          </w:p>
          <w:p w14:paraId="4CACA2B8" w14:textId="77777777" w:rsidR="003E1D81" w:rsidRDefault="00EB481C">
            <w:pPr>
              <w:pStyle w:val="P68B1DB1-Normal13"/>
              <w:spacing w:after="0" w:line="240" w:lineRule="auto"/>
              <w:rPr>
                <w:rFonts w:eastAsia="Times New Roman" w:cs="Times New Roman"/>
                <w:noProof/>
              </w:rPr>
            </w:pPr>
            <w:r>
              <w:rPr>
                <w:noProof/>
              </w:rPr>
              <w:t xml:space="preserve">a precíziós orvoslással kapcsolatos közös küldetés projektjei, </w:t>
            </w:r>
          </w:p>
          <w:p w14:paraId="15EB433D" w14:textId="77777777" w:rsidR="003E1D81" w:rsidRDefault="00EB481C">
            <w:pPr>
              <w:pStyle w:val="P68B1DB1-Normal13"/>
              <w:spacing w:after="0" w:line="240" w:lineRule="auto"/>
              <w:rPr>
                <w:rFonts w:eastAsia="Times New Roman" w:cs="Times New Roman"/>
                <w:noProof/>
              </w:rPr>
            </w:pPr>
            <w:r>
              <w:rPr>
                <w:noProof/>
              </w:rPr>
              <w:t xml:space="preserve">proteomika és metabolomika platform létrehozása az Instituto de Salud Carlos III-ban (ISCIII), </w:t>
            </w:r>
          </w:p>
          <w:p w14:paraId="7D7F3F31" w14:textId="77777777" w:rsidR="003E1D81" w:rsidRDefault="00EB481C">
            <w:pPr>
              <w:pStyle w:val="P68B1DB1-Normal13"/>
              <w:spacing w:after="0" w:line="240" w:lineRule="auto"/>
              <w:rPr>
                <w:rFonts w:eastAsia="Times New Roman" w:cs="Times New Roman"/>
                <w:noProof/>
              </w:rPr>
            </w:pPr>
            <w:r>
              <w:rPr>
                <w:noProof/>
              </w:rPr>
              <w:t>az ISCIII humán biomonitoring infrast</w:t>
            </w:r>
            <w:r>
              <w:rPr>
                <w:noProof/>
              </w:rPr>
              <w:t>ruktúrájának korszerűsítésére irányuló projektek; és</w:t>
            </w:r>
          </w:p>
          <w:p w14:paraId="5AFB8329" w14:textId="15A8384F" w:rsidR="003E1D81" w:rsidRDefault="00EB481C">
            <w:pPr>
              <w:pStyle w:val="P68B1DB1-Normal13"/>
              <w:spacing w:after="0" w:line="240" w:lineRule="auto"/>
              <w:rPr>
                <w:rFonts w:cs="Times New Roman"/>
                <w:noProof/>
              </w:rPr>
            </w:pPr>
            <w:r>
              <w:rPr>
                <w:noProof/>
              </w:rPr>
              <w:t>a betegorientált klinikai kutatási egységek korszerűsítésére irányuló projektek infrastruktúrájuk, tervezésük vagy berendezéseik kutatási kapacitásuknak megfelelő korszerűsítése, klinikai kutatással kapc</w:t>
            </w:r>
            <w:r>
              <w:rPr>
                <w:noProof/>
              </w:rPr>
              <w:t>solatos képzés vagy klinikai kutatás-ellenőrzési irodák fejlesztése érdekében.</w:t>
            </w:r>
          </w:p>
        </w:tc>
      </w:tr>
      <w:tr w:rsidR="003E1D81" w14:paraId="4F8BD98F" w14:textId="77777777">
        <w:trPr>
          <w:trHeight w:val="309"/>
        </w:trPr>
        <w:tc>
          <w:tcPr>
            <w:tcW w:w="701" w:type="dxa"/>
            <w:shd w:val="clear" w:color="auto" w:fill="C6EFCE"/>
            <w:noWrap/>
          </w:tcPr>
          <w:p w14:paraId="61E75A1F" w14:textId="77777777" w:rsidR="003E1D81" w:rsidRDefault="00EB481C">
            <w:pPr>
              <w:pStyle w:val="P68B1DB1-Normal13"/>
              <w:spacing w:after="0" w:line="240" w:lineRule="auto"/>
              <w:jc w:val="center"/>
              <w:rPr>
                <w:rFonts w:eastAsia="Times New Roman" w:cs="Times New Roman"/>
                <w:noProof/>
              </w:rPr>
            </w:pPr>
            <w:r>
              <w:rPr>
                <w:noProof/>
              </w:rPr>
              <w:t>269</w:t>
            </w:r>
          </w:p>
        </w:tc>
        <w:tc>
          <w:tcPr>
            <w:tcW w:w="729" w:type="dxa"/>
            <w:shd w:val="clear" w:color="auto" w:fill="C6EFCE"/>
            <w:noWrap/>
          </w:tcPr>
          <w:p w14:paraId="0379499B" w14:textId="77777777" w:rsidR="003E1D81" w:rsidRDefault="00EB481C">
            <w:pPr>
              <w:pStyle w:val="P68B1DB1-Normal13"/>
              <w:spacing w:after="0" w:line="240" w:lineRule="auto"/>
              <w:jc w:val="center"/>
              <w:rPr>
                <w:rFonts w:eastAsia="Times New Roman" w:cs="Times New Roman"/>
                <w:noProof/>
              </w:rPr>
            </w:pPr>
            <w:r>
              <w:rPr>
                <w:noProof/>
              </w:rPr>
              <w:t>C17.I7</w:t>
            </w:r>
          </w:p>
        </w:tc>
        <w:tc>
          <w:tcPr>
            <w:tcW w:w="609" w:type="dxa"/>
            <w:shd w:val="clear" w:color="auto" w:fill="C6EFCE"/>
            <w:noWrap/>
          </w:tcPr>
          <w:p w14:paraId="5F0979D3" w14:textId="77777777" w:rsidR="003E1D81" w:rsidRDefault="00EB481C">
            <w:pPr>
              <w:pStyle w:val="P68B1DB1-Normal13"/>
              <w:spacing w:after="0" w:line="240" w:lineRule="auto"/>
              <w:jc w:val="center"/>
              <w:rPr>
                <w:rFonts w:eastAsia="Times New Roman" w:cs="Times New Roman"/>
                <w:noProof/>
              </w:rPr>
            </w:pPr>
            <w:r>
              <w:rPr>
                <w:noProof/>
              </w:rPr>
              <w:t>M</w:t>
            </w:r>
          </w:p>
        </w:tc>
        <w:tc>
          <w:tcPr>
            <w:tcW w:w="2039" w:type="dxa"/>
            <w:shd w:val="clear" w:color="auto" w:fill="C6EFCE"/>
            <w:noWrap/>
          </w:tcPr>
          <w:p w14:paraId="09938E8A" w14:textId="77777777" w:rsidR="003E1D81" w:rsidRDefault="00EB481C">
            <w:pPr>
              <w:pStyle w:val="P68B1DB1-Normal13"/>
              <w:spacing w:after="0" w:line="240" w:lineRule="auto"/>
              <w:rPr>
                <w:rFonts w:eastAsia="Times New Roman" w:cs="Times New Roman"/>
                <w:noProof/>
              </w:rPr>
            </w:pPr>
            <w:r>
              <w:rPr>
                <w:noProof/>
              </w:rPr>
              <w:t xml:space="preserve">Energiatárolási K+F központ </w:t>
            </w:r>
          </w:p>
        </w:tc>
        <w:tc>
          <w:tcPr>
            <w:tcW w:w="993" w:type="dxa"/>
            <w:shd w:val="clear" w:color="auto" w:fill="C6EFCE"/>
            <w:noWrap/>
          </w:tcPr>
          <w:p w14:paraId="7CCFF369" w14:textId="77777777" w:rsidR="003E1D81" w:rsidRDefault="00EB481C">
            <w:pPr>
              <w:pStyle w:val="P68B1DB1-Normal13"/>
              <w:spacing w:after="0" w:line="240" w:lineRule="auto"/>
              <w:jc w:val="center"/>
              <w:rPr>
                <w:rFonts w:eastAsia="Times New Roman" w:cs="Times New Roman"/>
                <w:noProof/>
              </w:rPr>
            </w:pPr>
            <w:r>
              <w:rPr>
                <w:noProof/>
              </w:rPr>
              <w:t>A központ építése és felszerelése</w:t>
            </w:r>
          </w:p>
        </w:tc>
        <w:tc>
          <w:tcPr>
            <w:tcW w:w="850" w:type="dxa"/>
            <w:shd w:val="clear" w:color="auto" w:fill="C6EFCE"/>
            <w:noWrap/>
          </w:tcPr>
          <w:p w14:paraId="50B9F496"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06C75B4D"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55DFB964" w14:textId="69AC01A1" w:rsidR="003E1D81" w:rsidRDefault="003E1D81">
            <w:pPr>
              <w:spacing w:after="0" w:line="240" w:lineRule="auto"/>
              <w:jc w:val="center"/>
              <w:rPr>
                <w:rFonts w:ascii="Times New Roman" w:hAnsi="Times New Roman" w:cs="Times New Roman"/>
                <w:noProof/>
                <w:sz w:val="18"/>
              </w:rPr>
            </w:pPr>
          </w:p>
        </w:tc>
        <w:tc>
          <w:tcPr>
            <w:tcW w:w="567" w:type="dxa"/>
            <w:shd w:val="clear" w:color="auto" w:fill="C6EFCE"/>
          </w:tcPr>
          <w:p w14:paraId="08EEE167" w14:textId="13D7B8F8"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tcPr>
          <w:p w14:paraId="6BCAE143" w14:textId="28E2E7BE" w:rsidR="003E1D81" w:rsidRDefault="00EB481C">
            <w:pPr>
              <w:pStyle w:val="P68B1DB1-Normal13"/>
              <w:spacing w:after="0" w:line="240" w:lineRule="auto"/>
              <w:jc w:val="center"/>
              <w:rPr>
                <w:rFonts w:cs="Times New Roman"/>
                <w:noProof/>
              </w:rPr>
            </w:pPr>
            <w:r>
              <w:rPr>
                <w:noProof/>
              </w:rPr>
              <w:t>2026</w:t>
            </w:r>
          </w:p>
        </w:tc>
        <w:tc>
          <w:tcPr>
            <w:tcW w:w="5812" w:type="dxa"/>
            <w:shd w:val="clear" w:color="auto" w:fill="C6EFCE"/>
            <w:noWrap/>
          </w:tcPr>
          <w:p w14:paraId="6A177C83" w14:textId="77777777" w:rsidR="003E1D81" w:rsidRDefault="00EB481C">
            <w:pPr>
              <w:pStyle w:val="P68B1DB1-Normal13"/>
              <w:spacing w:after="0" w:line="240" w:lineRule="auto"/>
              <w:rPr>
                <w:rFonts w:cs="Times New Roman"/>
                <w:noProof/>
              </w:rPr>
            </w:pPr>
            <w:r>
              <w:rPr>
                <w:noProof/>
              </w:rPr>
              <w:t>Extremadurában energiatároló K+F központ épül és van felszerelve azzal a céllal, hogy ösztönözze a zöld energiatermelés irányítására vonatkozó technológiai és tudományos válaszokat, különös tekintettel az ipari hidrogénalkalmazásokra, valamint a zöld hidro</w:t>
            </w:r>
            <w:r>
              <w:rPr>
                <w:noProof/>
              </w:rPr>
              <w:t>gén előállítására, tárolására és szállítására. A központnak magában kell foglalnia az energiatárolási megoldások tesztelésére és validálására szolgáló kísérleti demonstrációs létesítményeket. Fel kell szerelni a szükséges tudományos és műszaki felszereléss</w:t>
            </w:r>
            <w:r>
              <w:rPr>
                <w:noProof/>
              </w:rPr>
              <w:t xml:space="preserve">el. </w:t>
            </w:r>
          </w:p>
          <w:p w14:paraId="22109D16" w14:textId="77777777" w:rsidR="003E1D81" w:rsidRDefault="003E1D81">
            <w:pPr>
              <w:spacing w:after="0" w:line="240" w:lineRule="auto"/>
              <w:rPr>
                <w:rFonts w:ascii="Times New Roman" w:hAnsi="Times New Roman" w:cs="Times New Roman"/>
                <w:noProof/>
                <w:sz w:val="18"/>
              </w:rPr>
            </w:pPr>
          </w:p>
          <w:p w14:paraId="72671341" w14:textId="77777777" w:rsidR="003E1D81" w:rsidRDefault="00EB481C">
            <w:pPr>
              <w:pStyle w:val="P68B1DB1-Normal13"/>
              <w:spacing w:after="0" w:line="240" w:lineRule="auto"/>
              <w:rPr>
                <w:rFonts w:cs="Times New Roman"/>
                <w:noProof/>
              </w:rPr>
            </w:pPr>
            <w:r>
              <w:rPr>
                <w:noProof/>
              </w:rPr>
              <w:t>A Consejo Superior de Investigaciones Científicas a következő beruházásokat hajtotta végre:</w:t>
            </w:r>
          </w:p>
          <w:p w14:paraId="775AA2A4" w14:textId="77777777" w:rsidR="003E1D81" w:rsidRDefault="00EB481C">
            <w:pPr>
              <w:pStyle w:val="P68B1DB1-Normal13"/>
              <w:spacing w:after="0" w:line="240" w:lineRule="auto"/>
              <w:rPr>
                <w:rFonts w:cs="Times New Roman"/>
                <w:noProof/>
              </w:rPr>
            </w:pPr>
            <w:r>
              <w:rPr>
                <w:noProof/>
              </w:rPr>
              <w:t xml:space="preserve">A körforgásos gazdaságban a fenntartható műanyagokkal, a gyártással kapcsolatos K+F+I projektek </w:t>
            </w:r>
            <w:r>
              <w:rPr>
                <w:noProof/>
              </w:rPr>
              <w:br/>
              <w:t xml:space="preserve">  alternatív műanyagok és a műanyaghulladék fenntartható keze</w:t>
            </w:r>
            <w:r>
              <w:rPr>
                <w:noProof/>
              </w:rPr>
              <w:t xml:space="preserve">lése </w:t>
            </w:r>
          </w:p>
          <w:p w14:paraId="6B1E5B7F" w14:textId="77777777" w:rsidR="003E1D81" w:rsidRDefault="00EB481C">
            <w:pPr>
              <w:pStyle w:val="P68B1DB1-Normal13"/>
              <w:spacing w:after="0" w:line="240" w:lineRule="auto"/>
              <w:rPr>
                <w:rFonts w:cs="Times New Roman"/>
                <w:noProof/>
              </w:rPr>
            </w:pPr>
            <w:r>
              <w:rPr>
                <w:noProof/>
              </w:rPr>
              <w:t xml:space="preserve">az éghajlatváltozásra és a vízkészletekre gyakorolt hatásra vonatkozó projekt </w:t>
            </w:r>
          </w:p>
          <w:p w14:paraId="06A902F6" w14:textId="5E17601F" w:rsidR="003E1D81" w:rsidRDefault="00EB481C">
            <w:pPr>
              <w:pStyle w:val="P68B1DB1-Normal13"/>
              <w:spacing w:after="0" w:line="240" w:lineRule="auto"/>
              <w:rPr>
                <w:rFonts w:cs="Times New Roman"/>
                <w:noProof/>
              </w:rPr>
            </w:pPr>
            <w:r>
              <w:rPr>
                <w:noProof/>
              </w:rPr>
              <w:t>az energetikai átállás csúcstechnológiai összetevőire vonatkozó projekt, különös tekintettel az energiatárolásra és az energiaigényes iparágakban az ipari folyamatokból sz</w:t>
            </w:r>
            <w:r>
              <w:rPr>
                <w:noProof/>
              </w:rPr>
              <w:t>ármazó szén-dioxid-leválasztást végző üzemek prototípusainak fejlesztésére a CSIC részéről</w:t>
            </w:r>
          </w:p>
          <w:p w14:paraId="1CE35988" w14:textId="77777777" w:rsidR="003E1D81" w:rsidRDefault="00EB481C">
            <w:pPr>
              <w:pStyle w:val="P68B1DB1-Normal13"/>
              <w:spacing w:after="0" w:line="240" w:lineRule="auto"/>
              <w:rPr>
                <w:rFonts w:cs="Times New Roman"/>
                <w:noProof/>
              </w:rPr>
            </w:pPr>
            <w:r>
              <w:rPr>
                <w:noProof/>
              </w:rPr>
              <w:t>az energetikai átállást szolgáló stratégiai fémekkel kapcsolatos kutatási projekt</w:t>
            </w:r>
          </w:p>
          <w:p w14:paraId="58EE78CB" w14:textId="77777777" w:rsidR="003E1D81" w:rsidRDefault="003E1D81">
            <w:pPr>
              <w:spacing w:after="0" w:line="240" w:lineRule="auto"/>
              <w:rPr>
                <w:rFonts w:ascii="Times New Roman" w:hAnsi="Times New Roman" w:cs="Times New Roman"/>
                <w:noProof/>
                <w:sz w:val="18"/>
              </w:rPr>
            </w:pPr>
          </w:p>
          <w:p w14:paraId="4F9CDB09" w14:textId="2CFBF02D" w:rsidR="003E1D81" w:rsidRDefault="00EB481C">
            <w:pPr>
              <w:pStyle w:val="P68B1DB1-Normal13"/>
              <w:spacing w:after="0" w:line="240" w:lineRule="auto"/>
              <w:rPr>
                <w:rFonts w:eastAsia="Times New Roman" w:cs="Times New Roman"/>
                <w:noProof/>
              </w:rPr>
            </w:pPr>
            <w:r>
              <w:rPr>
                <w:noProof/>
              </w:rPr>
              <w:t xml:space="preserve">Az e beruházás keretében megvalósuló projektek értékelésének biztosítania kell az intézkedés leírásában meghatározott, a jelentős károkozás elkerülését célzó elvről szóló technikai iránymutatásnak (2021/C58/01) való megfelelést. </w:t>
            </w:r>
          </w:p>
        </w:tc>
      </w:tr>
      <w:tr w:rsidR="003E1D81" w14:paraId="22A99613" w14:textId="77777777">
        <w:trPr>
          <w:trHeight w:val="309"/>
        </w:trPr>
        <w:tc>
          <w:tcPr>
            <w:tcW w:w="701" w:type="dxa"/>
            <w:shd w:val="clear" w:color="auto" w:fill="C6EFCE"/>
            <w:noWrap/>
          </w:tcPr>
          <w:p w14:paraId="4326355D" w14:textId="77777777" w:rsidR="003E1D81" w:rsidRDefault="00EB481C">
            <w:pPr>
              <w:pStyle w:val="P68B1DB1-Normal13"/>
              <w:spacing w:after="0" w:line="240" w:lineRule="auto"/>
              <w:jc w:val="center"/>
              <w:rPr>
                <w:rFonts w:eastAsia="Times New Roman" w:cs="Times New Roman"/>
                <w:noProof/>
              </w:rPr>
            </w:pPr>
            <w:r>
              <w:rPr>
                <w:noProof/>
              </w:rPr>
              <w:t>270</w:t>
            </w:r>
          </w:p>
        </w:tc>
        <w:tc>
          <w:tcPr>
            <w:tcW w:w="729" w:type="dxa"/>
            <w:shd w:val="clear" w:color="auto" w:fill="C6EFCE"/>
            <w:noWrap/>
          </w:tcPr>
          <w:p w14:paraId="2BDA18A3" w14:textId="77777777" w:rsidR="003E1D81" w:rsidRDefault="00EB481C">
            <w:pPr>
              <w:pStyle w:val="P68B1DB1-Normal13"/>
              <w:spacing w:after="0" w:line="240" w:lineRule="auto"/>
              <w:jc w:val="center"/>
              <w:rPr>
                <w:rFonts w:eastAsia="Times New Roman" w:cs="Times New Roman"/>
                <w:noProof/>
              </w:rPr>
            </w:pPr>
            <w:r>
              <w:rPr>
                <w:noProof/>
              </w:rPr>
              <w:t>C17.I8</w:t>
            </w:r>
          </w:p>
        </w:tc>
        <w:tc>
          <w:tcPr>
            <w:tcW w:w="609" w:type="dxa"/>
            <w:shd w:val="clear" w:color="auto" w:fill="C6EFCE"/>
            <w:noWrap/>
          </w:tcPr>
          <w:p w14:paraId="68EFF59C" w14:textId="77777777" w:rsidR="003E1D81" w:rsidRDefault="00EB481C">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58AE5E0D" w14:textId="77777777" w:rsidR="003E1D81" w:rsidRDefault="00EB481C">
            <w:pPr>
              <w:pStyle w:val="P68B1DB1-Normal13"/>
              <w:spacing w:after="0" w:line="240" w:lineRule="auto"/>
              <w:rPr>
                <w:rFonts w:eastAsia="Times New Roman" w:cs="Times New Roman"/>
                <w:noProof/>
              </w:rPr>
            </w:pPr>
            <w:r>
              <w:rPr>
                <w:noProof/>
              </w:rPr>
              <w:t xml:space="preserve">A fenntartható gépjárműiparra vonatkozó K+F+I projektek támogatása </w:t>
            </w:r>
          </w:p>
        </w:tc>
        <w:tc>
          <w:tcPr>
            <w:tcW w:w="993" w:type="dxa"/>
            <w:shd w:val="clear" w:color="auto" w:fill="C6EFCE"/>
            <w:noWrap/>
          </w:tcPr>
          <w:p w14:paraId="345B06A5"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231AAD54"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9" w:type="dxa"/>
            <w:shd w:val="clear" w:color="auto" w:fill="C6EFCE"/>
          </w:tcPr>
          <w:p w14:paraId="3101FCE9"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3B5047B7" w14:textId="34861055" w:rsidR="003E1D81" w:rsidRDefault="00EB481C">
            <w:pPr>
              <w:pStyle w:val="P68B1DB1-Normal13"/>
              <w:spacing w:after="0" w:line="240" w:lineRule="auto"/>
              <w:jc w:val="center"/>
              <w:rPr>
                <w:rFonts w:cs="Times New Roman"/>
                <w:noProof/>
              </w:rPr>
            </w:pPr>
            <w:r>
              <w:rPr>
                <w:noProof/>
              </w:rPr>
              <w:t>35</w:t>
            </w:r>
          </w:p>
        </w:tc>
        <w:tc>
          <w:tcPr>
            <w:tcW w:w="567" w:type="dxa"/>
            <w:shd w:val="clear" w:color="auto" w:fill="C6EFCE"/>
          </w:tcPr>
          <w:p w14:paraId="61C962B4" w14:textId="70EFD1CB"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tcPr>
          <w:p w14:paraId="55FD75BF" w14:textId="3E51702F" w:rsidR="003E1D81" w:rsidRDefault="00EB481C">
            <w:pPr>
              <w:pStyle w:val="P68B1DB1-Normal13"/>
              <w:spacing w:after="0" w:line="240" w:lineRule="auto"/>
              <w:jc w:val="center"/>
              <w:rPr>
                <w:rFonts w:cs="Times New Roman"/>
                <w:noProof/>
              </w:rPr>
            </w:pPr>
            <w:r>
              <w:rPr>
                <w:noProof/>
              </w:rPr>
              <w:t>2022</w:t>
            </w:r>
          </w:p>
        </w:tc>
        <w:tc>
          <w:tcPr>
            <w:tcW w:w="5812" w:type="dxa"/>
            <w:shd w:val="clear" w:color="auto" w:fill="C6EFCE"/>
            <w:noWrap/>
          </w:tcPr>
          <w:p w14:paraId="4C52E1B4" w14:textId="77777777" w:rsidR="003E1D81" w:rsidRDefault="00EB481C">
            <w:pPr>
              <w:pStyle w:val="P68B1DB1-Normal13"/>
              <w:spacing w:after="0" w:line="240" w:lineRule="auto"/>
              <w:rPr>
                <w:rFonts w:eastAsia="Times New Roman" w:cs="Times New Roman"/>
                <w:noProof/>
              </w:rPr>
            </w:pPr>
            <w:r>
              <w:rPr>
                <w:noProof/>
              </w:rPr>
              <w:t>Legalább 35 vállalat ítélte oda a fenntartható gépjárműiparra vonatkozó K+F+I projekteket, amelyek célja, hogy növeljék a vállalatok technológiai kapacitását a nagyo</w:t>
            </w:r>
            <w:r>
              <w:rPr>
                <w:noProof/>
              </w:rPr>
              <w:t xml:space="preserve">n alacsony kibocsátású és nagy újrafeldolgozhatóságú energiatároló rendszerek fejlesztésével, a nagy hatékonyságú hidrogénmobilitási rendszerekkel, az önvezető járművekkel és az összekapcsolt mobilitással, illetve a termelési környezeteknek az intelligens </w:t>
            </w:r>
            <w:r>
              <w:rPr>
                <w:noProof/>
              </w:rPr>
              <w:t>gyártási környezetben az ember és gép közötti interakciót szolgáló biztonságos és megbízható rendszerekkel való átalakításával kapcsolatos területeken. A projekteknek biztosítaniuk kell a jelentős károkozás elkerülését célzó elvről szóló technikai iránymut</w:t>
            </w:r>
            <w:r>
              <w:rPr>
                <w:noProof/>
              </w:rPr>
              <w:t>atásnak (2021/C58/01), a nem kiválasztott és nem finanszírozott tevékenységeknek, valamint a vonatkozó uniós és nemzeti környezetvédelmi jogszabályoknak való megfelelést. A projektek az alábbi időpontokban valósulnak meg:</w:t>
            </w:r>
            <w:r>
              <w:rPr>
                <w:noProof/>
                <w:shd w:val="clear" w:color="auto" w:fill="E6E6E6"/>
              </w:rPr>
              <w:br/>
            </w:r>
            <w:r>
              <w:rPr>
                <w:noProof/>
              </w:rPr>
              <w:t>elektromos, hálózatról tölthető hi</w:t>
            </w:r>
            <w:r>
              <w:rPr>
                <w:noProof/>
              </w:rPr>
              <w:t>brid és hidrogénüzemű járművek alkatrészeinek és platformjainak fejlesztése</w:t>
            </w:r>
            <w:r>
              <w:rPr>
                <w:noProof/>
                <w:shd w:val="clear" w:color="auto" w:fill="E6E6E6"/>
              </w:rPr>
              <w:br/>
              <w:t xml:space="preserve"> </w:t>
            </w:r>
            <w:r>
              <w:rPr>
                <w:noProof/>
              </w:rPr>
              <w:t xml:space="preserve">önvezető járművek és összekapcsolt mobilitás, új hardver- és szoftveres járművek architektúrájának fejlesztése </w:t>
            </w:r>
            <w:r>
              <w:rPr>
                <w:noProof/>
                <w:shd w:val="clear" w:color="auto" w:fill="E6E6E6"/>
              </w:rPr>
              <w:br/>
              <w:t xml:space="preserve"> </w:t>
            </w:r>
            <w:r>
              <w:rPr>
                <w:noProof/>
              </w:rPr>
              <w:t>az elektromos, hálózatról tölthető hibrid és hidrogénüzemű járműve</w:t>
            </w:r>
            <w:r>
              <w:rPr>
                <w:noProof/>
              </w:rPr>
              <w:t>k alkatrészeinek és rendszereinek gyártási területeinek átalakítása.</w:t>
            </w:r>
            <w:r>
              <w:rPr>
                <w:noProof/>
                <w:shd w:val="clear" w:color="auto" w:fill="E6E6E6"/>
              </w:rPr>
              <w:br/>
            </w:r>
            <w:r>
              <w:rPr>
                <w:noProof/>
              </w:rPr>
              <w:t>A projekteket három-nyolc vállalkozásból álló üzleti konzorciumok hajtják végre (legalább egynek kkv-nak kell lennie), amelyek időtartama legfeljebb három év, és amelyek minimális költség</w:t>
            </w:r>
            <w:r>
              <w:rPr>
                <w:noProof/>
              </w:rPr>
              <w:t>vetése 5 000 000 EUR.</w:t>
            </w:r>
          </w:p>
        </w:tc>
      </w:tr>
      <w:tr w:rsidR="003E1D81" w14:paraId="7E794B6F" w14:textId="77777777">
        <w:trPr>
          <w:trHeight w:val="309"/>
        </w:trPr>
        <w:tc>
          <w:tcPr>
            <w:tcW w:w="701" w:type="dxa"/>
            <w:shd w:val="clear" w:color="auto" w:fill="C6EFCE"/>
            <w:noWrap/>
          </w:tcPr>
          <w:p w14:paraId="44CD1635" w14:textId="370ADEC1" w:rsidR="003E1D81" w:rsidRDefault="00EB481C">
            <w:pPr>
              <w:pStyle w:val="P68B1DB1-Normal13"/>
              <w:spacing w:after="0" w:line="240" w:lineRule="auto"/>
              <w:jc w:val="center"/>
              <w:rPr>
                <w:rFonts w:cs="Times New Roman"/>
                <w:noProof/>
              </w:rPr>
            </w:pPr>
            <w:r>
              <w:rPr>
                <w:noProof/>
              </w:rPr>
              <w:t>461</w:t>
            </w:r>
          </w:p>
        </w:tc>
        <w:tc>
          <w:tcPr>
            <w:tcW w:w="729" w:type="dxa"/>
            <w:shd w:val="clear" w:color="auto" w:fill="C6EFCE"/>
            <w:noWrap/>
          </w:tcPr>
          <w:p w14:paraId="0AD9C0DB" w14:textId="371062F6" w:rsidR="003E1D81" w:rsidRDefault="00EB481C">
            <w:pPr>
              <w:pStyle w:val="P68B1DB1-Normal13"/>
              <w:spacing w:after="0" w:line="240" w:lineRule="auto"/>
              <w:jc w:val="center"/>
              <w:rPr>
                <w:rFonts w:cs="Times New Roman"/>
                <w:noProof/>
              </w:rPr>
            </w:pPr>
            <w:r>
              <w:rPr>
                <w:noProof/>
              </w:rPr>
              <w:t>C17.I9</w:t>
            </w:r>
          </w:p>
        </w:tc>
        <w:tc>
          <w:tcPr>
            <w:tcW w:w="609" w:type="dxa"/>
            <w:shd w:val="clear" w:color="auto" w:fill="C6EFCE"/>
            <w:noWrap/>
          </w:tcPr>
          <w:p w14:paraId="5EC83D9D" w14:textId="0AB150D6" w:rsidR="003E1D81" w:rsidRDefault="00EB481C">
            <w:pPr>
              <w:pStyle w:val="P68B1DB1-Normal13"/>
              <w:spacing w:after="0" w:line="240" w:lineRule="auto"/>
              <w:jc w:val="center"/>
              <w:rPr>
                <w:rFonts w:cs="Times New Roman"/>
                <w:noProof/>
              </w:rPr>
            </w:pPr>
            <w:r>
              <w:rPr>
                <w:noProof/>
              </w:rPr>
              <w:t>M</w:t>
            </w:r>
          </w:p>
        </w:tc>
        <w:tc>
          <w:tcPr>
            <w:tcW w:w="2039" w:type="dxa"/>
            <w:shd w:val="clear" w:color="auto" w:fill="C6EFCE"/>
            <w:noWrap/>
          </w:tcPr>
          <w:p w14:paraId="42F0A8BF" w14:textId="4F76D092" w:rsidR="003E1D81" w:rsidRDefault="00EB481C">
            <w:pPr>
              <w:pStyle w:val="P68B1DB1-Normal13"/>
              <w:spacing w:after="0" w:line="240" w:lineRule="auto"/>
              <w:rPr>
                <w:rFonts w:cs="Times New Roman"/>
                <w:noProof/>
              </w:rPr>
            </w:pPr>
            <w:r>
              <w:rPr>
                <w:noProof/>
              </w:rPr>
              <w:t xml:space="preserve">Az űrrepülési ágazatban a K+F+I pályázati felhívások díjának közzététele. </w:t>
            </w:r>
          </w:p>
        </w:tc>
        <w:tc>
          <w:tcPr>
            <w:tcW w:w="993" w:type="dxa"/>
            <w:shd w:val="clear" w:color="auto" w:fill="C6EFCE"/>
            <w:noWrap/>
          </w:tcPr>
          <w:p w14:paraId="258672C4" w14:textId="1C2C5F09" w:rsidR="003E1D81" w:rsidRDefault="00EB481C">
            <w:pPr>
              <w:pStyle w:val="P68B1DB1-Normal13"/>
              <w:spacing w:after="0" w:line="240" w:lineRule="auto"/>
              <w:jc w:val="center"/>
              <w:rPr>
                <w:rFonts w:cs="Times New Roman"/>
                <w:noProof/>
              </w:rPr>
            </w:pPr>
            <w:r>
              <w:rPr>
                <w:noProof/>
              </w:rPr>
              <w:t>Közzététel a HL-ben</w:t>
            </w:r>
          </w:p>
        </w:tc>
        <w:tc>
          <w:tcPr>
            <w:tcW w:w="850" w:type="dxa"/>
            <w:shd w:val="clear" w:color="auto" w:fill="C6EFCE"/>
            <w:noWrap/>
          </w:tcPr>
          <w:p w14:paraId="31ED98B4" w14:textId="77777777" w:rsidR="003E1D81" w:rsidRDefault="003E1D81">
            <w:pPr>
              <w:spacing w:after="0" w:line="240" w:lineRule="auto"/>
              <w:jc w:val="center"/>
              <w:rPr>
                <w:rFonts w:ascii="Times New Roman" w:hAnsi="Times New Roman" w:cs="Times New Roman"/>
                <w:noProof/>
                <w:sz w:val="18"/>
              </w:rPr>
            </w:pPr>
          </w:p>
        </w:tc>
        <w:tc>
          <w:tcPr>
            <w:tcW w:w="709" w:type="dxa"/>
            <w:shd w:val="clear" w:color="auto" w:fill="C6EFCE"/>
          </w:tcPr>
          <w:p w14:paraId="03080085"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65089A99" w14:textId="77777777" w:rsidR="003E1D81" w:rsidRDefault="003E1D81">
            <w:pPr>
              <w:spacing w:after="0" w:line="240" w:lineRule="auto"/>
              <w:jc w:val="center"/>
              <w:rPr>
                <w:rFonts w:ascii="Times New Roman" w:hAnsi="Times New Roman" w:cs="Times New Roman"/>
                <w:noProof/>
                <w:sz w:val="18"/>
              </w:rPr>
            </w:pPr>
          </w:p>
        </w:tc>
        <w:tc>
          <w:tcPr>
            <w:tcW w:w="567" w:type="dxa"/>
            <w:shd w:val="clear" w:color="auto" w:fill="C6EFCE"/>
          </w:tcPr>
          <w:p w14:paraId="161FC6D7" w14:textId="6D46A89E"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tcPr>
          <w:p w14:paraId="5C1BD5C2" w14:textId="4ABFB91F" w:rsidR="003E1D81" w:rsidRDefault="00EB481C">
            <w:pPr>
              <w:pStyle w:val="P68B1DB1-Normal13"/>
              <w:spacing w:after="0" w:line="240" w:lineRule="auto"/>
              <w:jc w:val="center"/>
              <w:rPr>
                <w:rFonts w:cs="Times New Roman"/>
                <w:noProof/>
              </w:rPr>
            </w:pPr>
            <w:r>
              <w:rPr>
                <w:noProof/>
              </w:rPr>
              <w:t>2024</w:t>
            </w:r>
          </w:p>
        </w:tc>
        <w:tc>
          <w:tcPr>
            <w:tcW w:w="5812" w:type="dxa"/>
            <w:shd w:val="clear" w:color="auto" w:fill="C6EFCE"/>
            <w:noWrap/>
          </w:tcPr>
          <w:p w14:paraId="32E46166" w14:textId="03DCF3FE" w:rsidR="003E1D81" w:rsidRDefault="00EB481C">
            <w:pPr>
              <w:pStyle w:val="P68B1DB1-Normal13"/>
              <w:spacing w:after="0" w:line="240" w:lineRule="auto"/>
              <w:rPr>
                <w:rFonts w:cs="Times New Roman"/>
                <w:noProof/>
              </w:rPr>
            </w:pPr>
            <w:r>
              <w:rPr>
                <w:noProof/>
              </w:rPr>
              <w:t xml:space="preserve">Az űrtechnológiai terv keretében az űrkutatási K+F+I projektekre irányuló pályázati felhívások keretében </w:t>
            </w:r>
            <w:r>
              <w:rPr>
                <w:noProof/>
              </w:rPr>
              <w:t>70 000 000 EUR odaítélésének közzététele a Hivatalos Lapban. Az e beruházás keretében megvalósuló projektek értékelésének biztosítania kell az intézkedés leírásában meghatározott, a jelentős károkozás elkerülését célzó elvről szóló technikai iránymutatásna</w:t>
            </w:r>
            <w:r>
              <w:rPr>
                <w:noProof/>
              </w:rPr>
              <w:t>k (2021/C58/01) való megfelelést.</w:t>
            </w:r>
          </w:p>
        </w:tc>
      </w:tr>
      <w:tr w:rsidR="003E1D81" w14:paraId="4C91D304" w14:textId="77777777">
        <w:trPr>
          <w:trHeight w:val="309"/>
        </w:trPr>
        <w:tc>
          <w:tcPr>
            <w:tcW w:w="701" w:type="dxa"/>
            <w:shd w:val="clear" w:color="auto" w:fill="C6EFCE"/>
            <w:noWrap/>
          </w:tcPr>
          <w:p w14:paraId="5EEF2F04" w14:textId="77777777" w:rsidR="003E1D81" w:rsidRDefault="00EB481C">
            <w:pPr>
              <w:pStyle w:val="P68B1DB1-Normal13"/>
              <w:spacing w:after="0" w:line="240" w:lineRule="auto"/>
              <w:jc w:val="center"/>
              <w:rPr>
                <w:rFonts w:eastAsia="Times New Roman" w:cs="Times New Roman"/>
                <w:noProof/>
              </w:rPr>
            </w:pPr>
            <w:r>
              <w:rPr>
                <w:noProof/>
              </w:rPr>
              <w:t>271</w:t>
            </w:r>
          </w:p>
        </w:tc>
        <w:tc>
          <w:tcPr>
            <w:tcW w:w="729" w:type="dxa"/>
            <w:shd w:val="clear" w:color="auto" w:fill="C6EFCE"/>
            <w:noWrap/>
          </w:tcPr>
          <w:p w14:paraId="18EB9DAC" w14:textId="77777777" w:rsidR="003E1D81" w:rsidRDefault="00EB481C">
            <w:pPr>
              <w:pStyle w:val="P68B1DB1-Normal13"/>
              <w:spacing w:after="0" w:line="240" w:lineRule="auto"/>
              <w:jc w:val="center"/>
              <w:rPr>
                <w:rFonts w:eastAsia="Times New Roman" w:cs="Times New Roman"/>
                <w:noProof/>
              </w:rPr>
            </w:pPr>
            <w:r>
              <w:rPr>
                <w:noProof/>
              </w:rPr>
              <w:t>C17.I9</w:t>
            </w:r>
          </w:p>
        </w:tc>
        <w:tc>
          <w:tcPr>
            <w:tcW w:w="609" w:type="dxa"/>
            <w:shd w:val="clear" w:color="auto" w:fill="C6EFCE"/>
            <w:noWrap/>
          </w:tcPr>
          <w:p w14:paraId="220C9492" w14:textId="77777777" w:rsidR="003E1D81" w:rsidRDefault="00EB481C">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57AC6AA5" w14:textId="77777777" w:rsidR="003E1D81" w:rsidRDefault="00EB481C">
            <w:pPr>
              <w:pStyle w:val="P68B1DB1-Normal13"/>
              <w:spacing w:after="0" w:line="240" w:lineRule="auto"/>
              <w:rPr>
                <w:rFonts w:eastAsia="Times New Roman" w:cs="Times New Roman"/>
                <w:noProof/>
              </w:rPr>
            </w:pPr>
            <w:r>
              <w:rPr>
                <w:noProof/>
              </w:rPr>
              <w:t xml:space="preserve">K+F+Innovációs projektek támogatása a repülés területén, különös tekintettel az alacsony és nulla kibocsátásra  </w:t>
            </w:r>
          </w:p>
        </w:tc>
        <w:tc>
          <w:tcPr>
            <w:tcW w:w="993" w:type="dxa"/>
            <w:shd w:val="clear" w:color="auto" w:fill="C6EFCE"/>
            <w:noWrap/>
          </w:tcPr>
          <w:p w14:paraId="0C843255"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468B9A0E"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9" w:type="dxa"/>
            <w:shd w:val="clear" w:color="auto" w:fill="C6EFCE"/>
          </w:tcPr>
          <w:p w14:paraId="7D27FAE7"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4F61836B" w14:textId="08600B21" w:rsidR="003E1D81" w:rsidRDefault="00EB481C">
            <w:pPr>
              <w:pStyle w:val="P68B1DB1-Normal13"/>
              <w:spacing w:after="0" w:line="240" w:lineRule="auto"/>
              <w:jc w:val="center"/>
              <w:rPr>
                <w:rFonts w:cs="Times New Roman"/>
                <w:noProof/>
              </w:rPr>
            </w:pPr>
            <w:r>
              <w:rPr>
                <w:noProof/>
              </w:rPr>
              <w:t>65</w:t>
            </w:r>
          </w:p>
        </w:tc>
        <w:tc>
          <w:tcPr>
            <w:tcW w:w="567" w:type="dxa"/>
            <w:shd w:val="clear" w:color="auto" w:fill="C6EFCE"/>
          </w:tcPr>
          <w:p w14:paraId="04249646" w14:textId="703C2B99"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tcPr>
          <w:p w14:paraId="62B80835" w14:textId="02A36987" w:rsidR="003E1D81" w:rsidRDefault="00EB481C">
            <w:pPr>
              <w:pStyle w:val="P68B1DB1-Normal13"/>
              <w:spacing w:after="0" w:line="240" w:lineRule="auto"/>
              <w:jc w:val="center"/>
              <w:rPr>
                <w:rFonts w:cs="Times New Roman"/>
                <w:noProof/>
              </w:rPr>
            </w:pPr>
            <w:r>
              <w:rPr>
                <w:noProof/>
              </w:rPr>
              <w:t>2023</w:t>
            </w:r>
          </w:p>
        </w:tc>
        <w:tc>
          <w:tcPr>
            <w:tcW w:w="5812" w:type="dxa"/>
            <w:shd w:val="clear" w:color="auto" w:fill="C6EFCE"/>
            <w:noWrap/>
          </w:tcPr>
          <w:p w14:paraId="037C2486" w14:textId="3C2608BA" w:rsidR="003E1D81" w:rsidRDefault="00EB481C">
            <w:pPr>
              <w:pStyle w:val="P68B1DB1-Normal13"/>
              <w:spacing w:after="0" w:line="240" w:lineRule="auto"/>
              <w:rPr>
                <w:rFonts w:eastAsia="Times New Roman" w:cs="Times New Roman"/>
                <w:noProof/>
              </w:rPr>
            </w:pPr>
            <w:r>
              <w:rPr>
                <w:noProof/>
              </w:rPr>
              <w:t xml:space="preserve">Az </w:t>
            </w:r>
            <w:r>
              <w:rPr>
                <w:i/>
                <w:noProof/>
              </w:rPr>
              <w:t>Aeronáutica</w:t>
            </w:r>
            <w:r>
              <w:rPr>
                <w:noProof/>
              </w:rPr>
              <w:t xml:space="preserve"> -terv támogatásával legalább 65 vállalat részesült olyan K+F+I projektekben, amelyek középpontjában az alacsony és nulla kibocsátás áll, beleértve az űrtechnológiai és repüléstechnikai beruházásokat is. A projekteket 3–6 vállalkozásból álló üzleti konzorc</w:t>
            </w:r>
            <w:r>
              <w:rPr>
                <w:noProof/>
              </w:rPr>
              <w:t>iumok hajtják végre (legalább egynek kkv-nak kell lennie), amelyek időtartama legfeljebb 3 év. Az e beruházás keretében megvalósuló projektek értékelésének biztosítania kell az intézkedés leírásában meghatározott, a jelentős károkozás elkerülését célzó elv</w:t>
            </w:r>
            <w:r>
              <w:rPr>
                <w:noProof/>
              </w:rPr>
              <w:t>ről szóló technikai iránymutatásnak (2021/C58/01) való megfelelést.</w:t>
            </w:r>
          </w:p>
        </w:tc>
      </w:tr>
      <w:tr w:rsidR="003E1D81" w14:paraId="3331D4F9" w14:textId="77777777">
        <w:trPr>
          <w:trHeight w:val="309"/>
        </w:trPr>
        <w:tc>
          <w:tcPr>
            <w:tcW w:w="701" w:type="dxa"/>
            <w:shd w:val="clear" w:color="auto" w:fill="C6EFCE"/>
            <w:noWrap/>
          </w:tcPr>
          <w:p w14:paraId="11590BFC" w14:textId="77777777" w:rsidR="003E1D81" w:rsidRDefault="00EB481C">
            <w:pPr>
              <w:pStyle w:val="P68B1DB1-Normal13"/>
              <w:spacing w:after="0" w:line="240" w:lineRule="auto"/>
              <w:jc w:val="center"/>
              <w:rPr>
                <w:rFonts w:eastAsia="Times New Roman" w:cs="Times New Roman"/>
                <w:noProof/>
              </w:rPr>
            </w:pPr>
            <w:r>
              <w:rPr>
                <w:noProof/>
              </w:rPr>
              <w:t>272</w:t>
            </w:r>
          </w:p>
        </w:tc>
        <w:tc>
          <w:tcPr>
            <w:tcW w:w="729" w:type="dxa"/>
            <w:shd w:val="clear" w:color="auto" w:fill="C6EFCE"/>
            <w:noWrap/>
          </w:tcPr>
          <w:p w14:paraId="202D799F" w14:textId="77777777" w:rsidR="003E1D81" w:rsidRDefault="00EB481C">
            <w:pPr>
              <w:pStyle w:val="P68B1DB1-Normal13"/>
              <w:spacing w:after="0" w:line="240" w:lineRule="auto"/>
              <w:jc w:val="center"/>
              <w:rPr>
                <w:rFonts w:eastAsia="Times New Roman" w:cs="Times New Roman"/>
                <w:noProof/>
              </w:rPr>
            </w:pPr>
            <w:r>
              <w:rPr>
                <w:noProof/>
              </w:rPr>
              <w:t>C17.I9</w:t>
            </w:r>
          </w:p>
        </w:tc>
        <w:tc>
          <w:tcPr>
            <w:tcW w:w="609" w:type="dxa"/>
            <w:shd w:val="clear" w:color="auto" w:fill="C6EFCE"/>
            <w:noWrap/>
          </w:tcPr>
          <w:p w14:paraId="0B9F8FA6" w14:textId="77777777" w:rsidR="003E1D81" w:rsidRDefault="00EB481C">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03568057" w14:textId="77777777" w:rsidR="003E1D81" w:rsidRDefault="00EB481C">
            <w:pPr>
              <w:pStyle w:val="P68B1DB1-Normal13"/>
              <w:spacing w:after="0" w:line="240" w:lineRule="auto"/>
              <w:rPr>
                <w:rFonts w:cs="Times New Roman"/>
                <w:noProof/>
              </w:rPr>
            </w:pPr>
            <w:r>
              <w:rPr>
                <w:noProof/>
              </w:rPr>
              <w:t xml:space="preserve">A repüléssel és űrkutatással kapcsolatos K+F+innovációs projektek lezárása, különös tekintettel az alacsony és nulla kibocsátásra </w:t>
            </w:r>
          </w:p>
        </w:tc>
        <w:tc>
          <w:tcPr>
            <w:tcW w:w="993" w:type="dxa"/>
            <w:shd w:val="clear" w:color="auto" w:fill="C6EFCE"/>
            <w:noWrap/>
          </w:tcPr>
          <w:p w14:paraId="28864374"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41D6754F"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9" w:type="dxa"/>
            <w:shd w:val="clear" w:color="auto" w:fill="C6EFCE"/>
          </w:tcPr>
          <w:p w14:paraId="7A188D08"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4E5254D1" w14:textId="1DEAB3CF" w:rsidR="003E1D81" w:rsidRDefault="00EB481C">
            <w:pPr>
              <w:pStyle w:val="P68B1DB1-Normal13"/>
              <w:spacing w:after="0" w:line="240" w:lineRule="auto"/>
              <w:jc w:val="center"/>
              <w:rPr>
                <w:rFonts w:cs="Times New Roman"/>
                <w:noProof/>
              </w:rPr>
            </w:pPr>
            <w:r>
              <w:rPr>
                <w:noProof/>
              </w:rPr>
              <w:t>81</w:t>
            </w:r>
          </w:p>
        </w:tc>
        <w:tc>
          <w:tcPr>
            <w:tcW w:w="567" w:type="dxa"/>
            <w:shd w:val="clear" w:color="auto" w:fill="C6EFCE"/>
          </w:tcPr>
          <w:p w14:paraId="5BA7434F" w14:textId="4F06AE1C"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tcPr>
          <w:p w14:paraId="1B7F1029" w14:textId="69430FB6" w:rsidR="003E1D81" w:rsidRDefault="00EB481C">
            <w:pPr>
              <w:pStyle w:val="P68B1DB1-Normal13"/>
              <w:spacing w:after="0" w:line="240" w:lineRule="auto"/>
              <w:jc w:val="center"/>
              <w:rPr>
                <w:rFonts w:cs="Times New Roman"/>
                <w:noProof/>
              </w:rPr>
            </w:pPr>
            <w:r>
              <w:rPr>
                <w:noProof/>
              </w:rPr>
              <w:t>2026</w:t>
            </w:r>
          </w:p>
        </w:tc>
        <w:tc>
          <w:tcPr>
            <w:tcW w:w="5812" w:type="dxa"/>
            <w:shd w:val="clear" w:color="auto" w:fill="C6EFCE"/>
            <w:noWrap/>
          </w:tcPr>
          <w:p w14:paraId="30908457" w14:textId="40DCAE57" w:rsidR="003E1D81" w:rsidRDefault="00EB481C">
            <w:pPr>
              <w:pStyle w:val="P68B1DB1-Normal13"/>
              <w:spacing w:after="0" w:line="240" w:lineRule="auto"/>
              <w:rPr>
                <w:rFonts w:eastAsia="Times New Roman" w:cs="Times New Roman"/>
                <w:noProof/>
              </w:rPr>
            </w:pPr>
            <w:r>
              <w:rPr>
                <w:noProof/>
              </w:rPr>
              <w:t xml:space="preserve">Az </w:t>
            </w:r>
            <w:r>
              <w:rPr>
                <w:i/>
                <w:noProof/>
              </w:rPr>
              <w:t>Aeronáutica</w:t>
            </w:r>
            <w:r>
              <w:rPr>
                <w:noProof/>
              </w:rPr>
              <w:t xml:space="preserve"> -terv támogatásával legalább 81 vállalat fejezte be kutatási, fejlesztési és innovációs projektjeit az űrrepülés területén, különös tekintettel az alacsony és nulla kibocsátásra, beleértve az űrtechnológiai és repüléstechnikai beruházásokat, valamint a Fö</w:t>
            </w:r>
            <w:r>
              <w:rPr>
                <w:noProof/>
              </w:rPr>
              <w:t>ld-megfigyelési műhold területén a technológia és az innováció fejlesztésére irányuló, kereskedelmi hasznosítást megelőző közbeszerzéseket. Az e beruházás keretében megvalósuló projektek értékelésének biztosítania kell az intézkedés leírásában meghatározot</w:t>
            </w:r>
            <w:r>
              <w:rPr>
                <w:noProof/>
              </w:rPr>
              <w:t>t, a jelentős károkozás elkerülését célzó elvről szóló technikai iránymutatásnak (2021/C58/01) való megfelelést.</w:t>
            </w:r>
          </w:p>
        </w:tc>
      </w:tr>
      <w:tr w:rsidR="003E1D81" w14:paraId="4BB88DF9" w14:textId="77777777">
        <w:trPr>
          <w:trHeight w:val="309"/>
        </w:trPr>
        <w:tc>
          <w:tcPr>
            <w:tcW w:w="701" w:type="dxa"/>
            <w:shd w:val="clear" w:color="auto" w:fill="C6EFCE"/>
            <w:noWrap/>
          </w:tcPr>
          <w:p w14:paraId="48198A8D" w14:textId="16E612B0" w:rsidR="003E1D81" w:rsidRDefault="00EB481C">
            <w:pPr>
              <w:pStyle w:val="P68B1DB1-Normal13"/>
              <w:spacing w:after="0" w:line="240" w:lineRule="auto"/>
              <w:jc w:val="center"/>
              <w:rPr>
                <w:rFonts w:cs="Times New Roman"/>
                <w:noProof/>
              </w:rPr>
            </w:pPr>
            <w:r>
              <w:rPr>
                <w:noProof/>
              </w:rPr>
              <w:t>462</w:t>
            </w:r>
          </w:p>
        </w:tc>
        <w:tc>
          <w:tcPr>
            <w:tcW w:w="729" w:type="dxa"/>
            <w:shd w:val="clear" w:color="auto" w:fill="C6EFCE"/>
            <w:noWrap/>
          </w:tcPr>
          <w:p w14:paraId="16E5289A" w14:textId="77777777" w:rsidR="003E1D81" w:rsidRDefault="00EB481C">
            <w:pPr>
              <w:pStyle w:val="P68B1DB1-Normal13"/>
              <w:spacing w:after="0" w:line="240" w:lineRule="auto"/>
              <w:jc w:val="center"/>
              <w:rPr>
                <w:rFonts w:cs="Times New Roman"/>
                <w:noProof/>
              </w:rPr>
            </w:pPr>
            <w:r>
              <w:rPr>
                <w:noProof/>
              </w:rPr>
              <w:t>C17.I9</w:t>
            </w:r>
          </w:p>
        </w:tc>
        <w:tc>
          <w:tcPr>
            <w:tcW w:w="609" w:type="dxa"/>
            <w:shd w:val="clear" w:color="auto" w:fill="C6EFCE"/>
            <w:noWrap/>
          </w:tcPr>
          <w:p w14:paraId="70536C91" w14:textId="77777777" w:rsidR="003E1D81" w:rsidRDefault="00EB481C">
            <w:pPr>
              <w:pStyle w:val="P68B1DB1-Normal13"/>
              <w:spacing w:after="0" w:line="240" w:lineRule="auto"/>
              <w:jc w:val="center"/>
              <w:rPr>
                <w:rFonts w:cs="Times New Roman"/>
                <w:noProof/>
              </w:rPr>
            </w:pPr>
            <w:r>
              <w:rPr>
                <w:noProof/>
              </w:rPr>
              <w:t>T</w:t>
            </w:r>
          </w:p>
        </w:tc>
        <w:tc>
          <w:tcPr>
            <w:tcW w:w="2039" w:type="dxa"/>
            <w:shd w:val="clear" w:color="auto" w:fill="C6EFCE"/>
            <w:noWrap/>
          </w:tcPr>
          <w:p w14:paraId="4B78E199" w14:textId="77777777" w:rsidR="003E1D81" w:rsidRDefault="00EB481C">
            <w:pPr>
              <w:pStyle w:val="P68B1DB1-Normal13"/>
              <w:spacing w:after="0" w:line="240" w:lineRule="auto"/>
              <w:rPr>
                <w:rFonts w:cs="Times New Roman"/>
                <w:noProof/>
              </w:rPr>
            </w:pPr>
            <w:r>
              <w:rPr>
                <w:noProof/>
              </w:rPr>
              <w:t>Pénzeszközök folyósítása a PERTE Aerospace projektjei számára.</w:t>
            </w:r>
          </w:p>
        </w:tc>
        <w:tc>
          <w:tcPr>
            <w:tcW w:w="993" w:type="dxa"/>
            <w:shd w:val="clear" w:color="auto" w:fill="C6EFCE"/>
            <w:noWrap/>
          </w:tcPr>
          <w:p w14:paraId="77738C36" w14:textId="77777777" w:rsidR="003E1D81" w:rsidRDefault="00EB481C">
            <w:pPr>
              <w:pStyle w:val="P68B1DB1-Normal13"/>
              <w:spacing w:after="0" w:line="240" w:lineRule="auto"/>
              <w:jc w:val="center"/>
              <w:rPr>
                <w:rFonts w:cs="Times New Roman"/>
                <w:noProof/>
              </w:rPr>
            </w:pPr>
            <w:r>
              <w:rPr>
                <w:noProof/>
              </w:rPr>
              <w:t>–</w:t>
            </w:r>
          </w:p>
        </w:tc>
        <w:tc>
          <w:tcPr>
            <w:tcW w:w="850" w:type="dxa"/>
            <w:shd w:val="clear" w:color="auto" w:fill="C6EFCE"/>
            <w:noWrap/>
          </w:tcPr>
          <w:p w14:paraId="26D6E775" w14:textId="77777777" w:rsidR="003E1D81" w:rsidRDefault="00EB481C">
            <w:pPr>
              <w:pStyle w:val="P68B1DB1-Normal13"/>
              <w:spacing w:after="0" w:line="240" w:lineRule="auto"/>
              <w:jc w:val="center"/>
              <w:rPr>
                <w:rFonts w:cs="Times New Roman"/>
                <w:noProof/>
              </w:rPr>
            </w:pPr>
            <w:r>
              <w:rPr>
                <w:noProof/>
              </w:rPr>
              <w:t>Millió EUR</w:t>
            </w:r>
          </w:p>
        </w:tc>
        <w:tc>
          <w:tcPr>
            <w:tcW w:w="709" w:type="dxa"/>
            <w:shd w:val="clear" w:color="auto" w:fill="C6EFCE"/>
          </w:tcPr>
          <w:p w14:paraId="17EB82ED" w14:textId="77777777" w:rsidR="003E1D81" w:rsidRDefault="003E1D81">
            <w:pPr>
              <w:spacing w:after="0" w:line="240" w:lineRule="auto"/>
              <w:rPr>
                <w:rFonts w:ascii="Times New Roman" w:hAnsi="Times New Roman" w:cs="Times New Roman"/>
                <w:noProof/>
                <w:sz w:val="18"/>
              </w:rPr>
            </w:pPr>
          </w:p>
        </w:tc>
        <w:tc>
          <w:tcPr>
            <w:tcW w:w="850" w:type="dxa"/>
            <w:shd w:val="clear" w:color="auto" w:fill="C6EFCE"/>
          </w:tcPr>
          <w:p w14:paraId="53D0F647" w14:textId="4568353C" w:rsidR="003E1D81" w:rsidRDefault="00EB481C">
            <w:pPr>
              <w:pStyle w:val="P68B1DB1-Normal13"/>
              <w:spacing w:after="0" w:line="240" w:lineRule="auto"/>
              <w:jc w:val="center"/>
              <w:rPr>
                <w:rFonts w:cs="Times New Roman"/>
                <w:noProof/>
              </w:rPr>
            </w:pPr>
            <w:r>
              <w:rPr>
                <w:noProof/>
              </w:rPr>
              <w:t>90</w:t>
            </w:r>
          </w:p>
        </w:tc>
        <w:tc>
          <w:tcPr>
            <w:tcW w:w="567" w:type="dxa"/>
            <w:shd w:val="clear" w:color="auto" w:fill="C6EFCE"/>
          </w:tcPr>
          <w:p w14:paraId="4F60E5C8" w14:textId="09105D1E"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tcPr>
          <w:p w14:paraId="7B76BA95" w14:textId="326D268E" w:rsidR="003E1D81" w:rsidRDefault="00EB481C">
            <w:pPr>
              <w:pStyle w:val="P68B1DB1-Normal13"/>
              <w:spacing w:after="0" w:line="240" w:lineRule="auto"/>
              <w:jc w:val="center"/>
              <w:rPr>
                <w:rFonts w:eastAsia="Times New Roman" w:cs="Times New Roman"/>
                <w:noProof/>
              </w:rPr>
            </w:pPr>
            <w:r>
              <w:rPr>
                <w:noProof/>
              </w:rPr>
              <w:t>2026</w:t>
            </w:r>
          </w:p>
        </w:tc>
        <w:tc>
          <w:tcPr>
            <w:tcW w:w="5812" w:type="dxa"/>
            <w:shd w:val="clear" w:color="auto" w:fill="C6EFCE"/>
            <w:noWrap/>
          </w:tcPr>
          <w:p w14:paraId="1B815578" w14:textId="3E1966CD" w:rsidR="003E1D81" w:rsidRDefault="00EB481C">
            <w:pPr>
              <w:pStyle w:val="P68B1DB1-Normal13"/>
              <w:spacing w:after="0" w:line="240" w:lineRule="auto"/>
              <w:rPr>
                <w:rFonts w:eastAsia="Times New Roman" w:cs="Times New Roman"/>
                <w:noProof/>
              </w:rPr>
            </w:pPr>
            <w:r>
              <w:rPr>
                <w:noProof/>
              </w:rPr>
              <w:t>Az űrtechnológiai program keretében</w:t>
            </w:r>
            <w:r>
              <w:rPr>
                <w:noProof/>
              </w:rPr>
              <w:t xml:space="preserve"> legalább 90 000 000 EUR összegű vissza nem térítendő támogatás és vissza nem térítendő kölcsön folyósítása K+F+Innovációs projektekhez. Az e beruházás keretében megvalósuló projektek értékelésének biztosítania kell az intézkedés leírásában meghatározott, </w:t>
            </w:r>
            <w:r>
              <w:rPr>
                <w:noProof/>
              </w:rPr>
              <w:t>a jelentős károkozás elkerülését célzó elvről szóló technikai iránymutatásnak (2021/C58/01) való megfelelést.</w:t>
            </w:r>
          </w:p>
        </w:tc>
      </w:tr>
    </w:tbl>
    <w:p w14:paraId="022B57D6" w14:textId="77777777" w:rsidR="003E1D81" w:rsidRDefault="003E1D81">
      <w:pPr>
        <w:rPr>
          <w:rFonts w:ascii="Times New Roman" w:hAnsi="Times New Roman" w:cs="Times New Roman"/>
          <w:noProof/>
        </w:rPr>
        <w:sectPr w:rsidR="003E1D81" w:rsidSect="00EB7CC8">
          <w:headerReference w:type="even" r:id="rId354"/>
          <w:headerReference w:type="default" r:id="rId355"/>
          <w:footerReference w:type="even" r:id="rId356"/>
          <w:footerReference w:type="default" r:id="rId357"/>
          <w:headerReference w:type="first" r:id="rId358"/>
          <w:footerReference w:type="first" r:id="rId359"/>
          <w:pgSz w:w="16839" w:h="11907" w:orient="landscape"/>
          <w:pgMar w:top="1417" w:right="1134" w:bottom="1417" w:left="1134" w:header="709" w:footer="709" w:gutter="0"/>
          <w:cols w:space="720"/>
          <w:docGrid w:linePitch="360"/>
        </w:sectPr>
      </w:pPr>
    </w:p>
    <w:p w14:paraId="53D56011" w14:textId="77777777" w:rsidR="003E1D81" w:rsidRDefault="003E1D81">
      <w:pPr>
        <w:tabs>
          <w:tab w:val="left" w:pos="3733"/>
        </w:tabs>
        <w:rPr>
          <w:rFonts w:ascii="Times New Roman" w:hAnsi="Times New Roman" w:cs="Times New Roman"/>
          <w:noProof/>
        </w:rPr>
      </w:pPr>
    </w:p>
    <w:p w14:paraId="3BD35647" w14:textId="77777777" w:rsidR="003E1D81" w:rsidRDefault="00EB481C">
      <w:pPr>
        <w:pStyle w:val="P68B1DB1-Normal4"/>
        <w:ind w:firstLine="720"/>
        <w:rPr>
          <w:rFonts w:eastAsia="Times New Roman" w:cs="Times New Roman"/>
          <w:noProof/>
        </w:rPr>
      </w:pPr>
      <w:r>
        <w:rPr>
          <w:b/>
          <w:noProof/>
          <w:u w:val="single"/>
        </w:rPr>
        <w:t>KÉRDÉS:</w:t>
      </w:r>
      <w:r>
        <w:rPr>
          <w:b/>
          <w:noProof/>
          <w:u w:val="single"/>
        </w:rPr>
        <w:tab/>
        <w:t>A hiteltámogatásra irányuló beruházások ismertetése</w:t>
      </w:r>
      <w:r>
        <w:rPr>
          <w:b/>
          <w:noProof/>
        </w:rPr>
        <w:t xml:space="preserve"> </w:t>
      </w:r>
      <w:r>
        <w:rPr>
          <w:noProof/>
        </w:rPr>
        <w:t xml:space="preserve"> </w:t>
      </w:r>
    </w:p>
    <w:p w14:paraId="35A1B411" w14:textId="16BD840E" w:rsidR="003E1D81" w:rsidRDefault="00EB481C">
      <w:pPr>
        <w:pStyle w:val="P68B1DB1-Normal6"/>
        <w:spacing w:before="120" w:after="120" w:line="240" w:lineRule="auto"/>
        <w:jc w:val="both"/>
        <w:rPr>
          <w:rFonts w:eastAsia="Times New Roman" w:cs="Times New Roman"/>
          <w:noProof/>
        </w:rPr>
      </w:pPr>
      <w:r>
        <w:rPr>
          <w:noProof/>
        </w:rPr>
        <w:t>Beruházás (C17.I10)</w:t>
      </w:r>
      <w:r>
        <w:rPr>
          <w:noProof/>
        </w:rPr>
        <w:t xml:space="preserve"> – Hiteltámogatás a PERTE Health és a PERTE Aerospace keretében</w:t>
      </w:r>
    </w:p>
    <w:p w14:paraId="1785B497" w14:textId="77777777" w:rsidR="003E1D81" w:rsidRDefault="00EB481C">
      <w:pPr>
        <w:pStyle w:val="P68B1DB1-Normal4"/>
        <w:spacing w:after="0" w:line="240" w:lineRule="auto"/>
        <w:jc w:val="both"/>
        <w:rPr>
          <w:rFonts w:eastAsia="Times New Roman" w:cs="Times New Roman"/>
          <w:noProof/>
        </w:rPr>
      </w:pPr>
      <w:r>
        <w:rPr>
          <w:noProof/>
        </w:rPr>
        <w:t>A beruházás a Helyreállítási és Rezilienciaépítési Eszköz keretében nyújtott hiteltámogatásnak az egészségügyi és űrrepülési ágazatban a PERTE Health és a PERTE Aerospace keretében végrehajtot</w:t>
      </w:r>
      <w:r>
        <w:rPr>
          <w:noProof/>
        </w:rPr>
        <w:t>t magánberuházások előmozdítására irányul.</w:t>
      </w:r>
    </w:p>
    <w:p w14:paraId="7F6DB21C" w14:textId="77777777" w:rsidR="003E1D81" w:rsidRDefault="003E1D81">
      <w:pPr>
        <w:spacing w:after="0" w:line="240" w:lineRule="auto"/>
        <w:jc w:val="both"/>
        <w:rPr>
          <w:rFonts w:ascii="Times New Roman" w:eastAsia="Times New Roman" w:hAnsi="Times New Roman" w:cs="Times New Roman"/>
          <w:noProof/>
          <w:sz w:val="24"/>
        </w:rPr>
      </w:pPr>
    </w:p>
    <w:p w14:paraId="2E56D149" w14:textId="3F173DF2" w:rsidR="003E1D81" w:rsidRDefault="00EB481C">
      <w:pPr>
        <w:pStyle w:val="P68B1DB1-Normal4"/>
        <w:spacing w:after="0" w:line="240" w:lineRule="auto"/>
        <w:jc w:val="both"/>
        <w:rPr>
          <w:rFonts w:eastAsia="Times New Roman" w:cs="Times New Roman"/>
          <w:noProof/>
        </w:rPr>
      </w:pPr>
      <w:r>
        <w:rPr>
          <w:noProof/>
        </w:rPr>
        <w:t>A „PERTE for Health” (Egészségügy) keretében az intézkedés célja az egészségügyi ágazat tudományos, technológiai és innovációs kapacitásainak megerősítése. Az intézkedés különösen az alábbiak révén támogatja a be</w:t>
      </w:r>
      <w:r>
        <w:rPr>
          <w:noProof/>
        </w:rPr>
        <w:t>ruházásokat: Az egészségügyi ágazatban működő vállalatoknak nyújtott hitelek olyan tevékenységek támogatására, mint a K+F+I, az ipari léptékváltás, a gyártási folyamatok korszerűsítése és korszerűsítése, valamint a fenntartható folyamatok fejlesztése és vé</w:t>
      </w:r>
      <w:r>
        <w:rPr>
          <w:noProof/>
        </w:rPr>
        <w:t>grehajtása; Az Innvierte befektetései az egészségügyi ágazatban működő technológiai és innovatív spanyol vállalatokba; valamint 3) kölcsönök a nemzeti egészségügyi rendszer kutatóközpontjai számára kutatási és technológiafejlesztési kapacitásaik bővítésére</w:t>
      </w:r>
      <w:r>
        <w:rPr>
          <w:noProof/>
        </w:rPr>
        <w:t>.</w:t>
      </w:r>
    </w:p>
    <w:p w14:paraId="53A7B3C3" w14:textId="77777777" w:rsidR="003E1D81" w:rsidRDefault="003E1D81">
      <w:pPr>
        <w:spacing w:after="0" w:line="240" w:lineRule="auto"/>
        <w:jc w:val="both"/>
        <w:rPr>
          <w:rFonts w:ascii="Times New Roman" w:eastAsia="Times New Roman" w:hAnsi="Times New Roman" w:cs="Times New Roman"/>
          <w:noProof/>
          <w:sz w:val="24"/>
        </w:rPr>
      </w:pPr>
    </w:p>
    <w:p w14:paraId="63A81C4D" w14:textId="77777777" w:rsidR="003E1D81" w:rsidRDefault="00EB481C">
      <w:pPr>
        <w:pStyle w:val="P68B1DB1-Normal4"/>
        <w:spacing w:after="0" w:line="240" w:lineRule="auto"/>
        <w:jc w:val="both"/>
        <w:rPr>
          <w:rFonts w:eastAsia="Times New Roman" w:cs="Times New Roman"/>
          <w:noProof/>
        </w:rPr>
      </w:pPr>
      <w:r>
        <w:rPr>
          <w:noProof/>
        </w:rPr>
        <w:t>A PERTE Aerospace program keretében az intézkedés célja az űrrepülési ágazat tudományos, technológiai és innovációs kapacitásainak megerősítése. Az intézkedés az űrrepülési ágazatban működő vállalkozásoknak nyújtott hitelek révén támogatja az olyan tevé</w:t>
      </w:r>
      <w:r>
        <w:rPr>
          <w:noProof/>
        </w:rPr>
        <w:t xml:space="preserve">kenységekbe történő beruházásokat, mint a K+F+I, az ipari léptékváltás, a gyártási folyamatok korszerűsítése és korszerűsítése, a digitalizáció és a technológiai korszerűsítés, valamint a fenntartható folyamatok fejlesztése és végrehajtása. </w:t>
      </w:r>
    </w:p>
    <w:p w14:paraId="4352955B" w14:textId="77777777" w:rsidR="003E1D81" w:rsidRDefault="003E1D81">
      <w:pPr>
        <w:spacing w:after="0" w:line="240" w:lineRule="auto"/>
        <w:jc w:val="both"/>
        <w:rPr>
          <w:rFonts w:ascii="Times New Roman" w:eastAsia="Times New Roman" w:hAnsi="Times New Roman" w:cs="Times New Roman"/>
          <w:noProof/>
          <w:sz w:val="24"/>
        </w:rPr>
      </w:pPr>
    </w:p>
    <w:p w14:paraId="5238A6AA" w14:textId="33555794" w:rsidR="003E1D81" w:rsidRDefault="00EB481C">
      <w:pPr>
        <w:pStyle w:val="P68B1DB1-Normal4"/>
        <w:spacing w:after="0" w:line="240" w:lineRule="auto"/>
        <w:jc w:val="both"/>
        <w:rPr>
          <w:rFonts w:eastAsia="Times New Roman" w:cs="Times New Roman"/>
          <w:noProof/>
        </w:rPr>
      </w:pPr>
      <w:bookmarkStart w:id="53" w:name="_Hlk145665981"/>
      <w:r>
        <w:rPr>
          <w:noProof/>
        </w:rPr>
        <w:t>A pénzügyi mű</w:t>
      </w:r>
      <w:r>
        <w:rPr>
          <w:noProof/>
        </w:rPr>
        <w:t xml:space="preserve">veletekhez kapcsolódó visszaáramlásokat a Helyreállítási és Rezilienciaépítési Eszközből származó hiteltörlesztések teljesítésére kell felhasználni. </w:t>
      </w:r>
    </w:p>
    <w:bookmarkEnd w:id="53"/>
    <w:p w14:paraId="625EA318" w14:textId="77777777" w:rsidR="003E1D81" w:rsidRDefault="003E1D81">
      <w:pPr>
        <w:spacing w:after="0" w:line="240" w:lineRule="auto"/>
        <w:jc w:val="both"/>
        <w:rPr>
          <w:rFonts w:ascii="Times New Roman" w:eastAsia="Times New Roman" w:hAnsi="Times New Roman" w:cs="Times New Roman"/>
          <w:noProof/>
          <w:sz w:val="24"/>
        </w:rPr>
      </w:pPr>
    </w:p>
    <w:p w14:paraId="63A3B9AA" w14:textId="77777777" w:rsidR="003E1D81" w:rsidRDefault="00EB481C">
      <w:pPr>
        <w:pStyle w:val="P68B1DB1-Normal4"/>
        <w:spacing w:after="0" w:line="240" w:lineRule="auto"/>
        <w:jc w:val="both"/>
        <w:rPr>
          <w:rFonts w:eastAsia="Times New Roman" w:cs="Times New Roman"/>
          <w:noProof/>
        </w:rPr>
      </w:pPr>
      <w:r>
        <w:rPr>
          <w:noProof/>
        </w:rPr>
        <w:t>Annak biztosítása érdekében, hogy az intézkedés megfeleljen a jelentős károkozás elkerülését célzó elvnek</w:t>
      </w:r>
      <w:r>
        <w:rPr>
          <w:noProof/>
        </w:rPr>
        <w:t xml:space="preserve"> a Helyreállítási és Rezilienciaépítési Eszköz keretében a DNSH technikai iránymutatásban (2021/C58/01) meghatározottak szerint, a végrehajtó szervezet és az odaítélt szervezet közötti jogi megállapodás(ok)nak, valamint a pénzügyi eszköz ezt követő befekte</w:t>
      </w:r>
      <w:r>
        <w:rPr>
          <w:noProof/>
        </w:rPr>
        <w:t>tési politikájának: </w:t>
      </w:r>
    </w:p>
    <w:p w14:paraId="5ECB9EFD" w14:textId="3C9AD75A" w:rsidR="003E1D81" w:rsidRDefault="00EB481C">
      <w:pPr>
        <w:pStyle w:val="ListParagraph"/>
        <w:numPr>
          <w:ilvl w:val="0"/>
          <w:numId w:val="338"/>
        </w:num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Kölcsönök és garanciák esetében: a tevékenységek és eszközök alábbi listájának kizárása a támogathatóságból: a fosszilis tüzelőanyagokhoz kapcsolódó tevékenységek és eszközök, beleértve a downstream felhasználást is</w:t>
      </w:r>
      <w:r>
        <w:rPr>
          <w:rStyle w:val="FootnoteReference"/>
          <w:rFonts w:ascii="Times New Roman" w:hAnsi="Times New Roman" w:cs="Times New Roman"/>
          <w:noProof/>
          <w:sz w:val="24"/>
        </w:rPr>
        <w:footnoteReference w:id="183"/>
      </w:r>
      <w:r>
        <w:rPr>
          <w:rStyle w:val="normaltextrun"/>
          <w:rFonts w:ascii="Times New Roman" w:hAnsi="Times New Roman"/>
          <w:noProof/>
          <w:sz w:val="24"/>
        </w:rPr>
        <w:t xml:space="preserve">; az uniós </w:t>
      </w:r>
      <w:r>
        <w:rPr>
          <w:rStyle w:val="normaltextrun"/>
          <w:rFonts w:ascii="Times New Roman" w:hAnsi="Times New Roman"/>
          <w:noProof/>
          <w:sz w:val="24"/>
        </w:rPr>
        <w:t>kibocsátáskereskedelmi rendszer (ETS) keretében végzett tevékenységek és eszközök, amelyek a vonatkozó referenciaértékeknél nem alacsonyabb várható üvegházhatásúgáz-kibocsátást érnek el</w:t>
      </w:r>
      <w:r>
        <w:rPr>
          <w:rStyle w:val="FootnoteReference"/>
          <w:rFonts w:ascii="Times New Roman" w:hAnsi="Times New Roman" w:cs="Times New Roman"/>
          <w:noProof/>
          <w:sz w:val="24"/>
        </w:rPr>
        <w:footnoteReference w:id="184"/>
      </w:r>
      <w:r>
        <w:rPr>
          <w:rStyle w:val="normaltextrun"/>
          <w:rFonts w:ascii="Times New Roman" w:hAnsi="Times New Roman"/>
          <w:noProof/>
          <w:sz w:val="24"/>
        </w:rPr>
        <w:t>; hulladéklerakókkal, hulladékégetőkkel és mechanikai-biológiai szenny</w:t>
      </w:r>
      <w:r>
        <w:rPr>
          <w:rStyle w:val="normaltextrun"/>
          <w:rFonts w:ascii="Times New Roman" w:hAnsi="Times New Roman"/>
          <w:noProof/>
          <w:sz w:val="24"/>
        </w:rPr>
        <w:t>víztisztító telepekkel kapcsolatos tevékenységek</w:t>
      </w:r>
      <w:hyperlink r:id="rId360" w:anchor="_ftn3" w:tgtFrame="_blank" w:history="1">
        <w:r>
          <w:rPr>
            <w:rStyle w:val="FootnoteReference"/>
            <w:rFonts w:ascii="Times New Roman" w:hAnsi="Times New Roman" w:cs="Times New Roman"/>
            <w:noProof/>
            <w:sz w:val="24"/>
          </w:rPr>
          <w:footnoteReference w:id="185"/>
        </w:r>
        <w:r>
          <w:rPr>
            <w:rStyle w:val="normaltextrun"/>
            <w:rFonts w:ascii="Times New Roman" w:hAnsi="Times New Roman"/>
            <w:b/>
            <w:noProof/>
            <w:sz w:val="24"/>
            <w:vertAlign w:val="superscript"/>
          </w:rPr>
          <w:t>és</w:t>
        </w:r>
      </w:hyperlink>
      <w:r>
        <w:rPr>
          <w:rStyle w:val="normaltextrun"/>
          <w:rFonts w:ascii="Times New Roman" w:hAnsi="Times New Roman"/>
          <w:noProof/>
          <w:sz w:val="24"/>
        </w:rPr>
        <w:t xml:space="preserve"> eszközök.</w:t>
      </w:r>
      <w:r>
        <w:rPr>
          <w:rStyle w:val="FootnoteReference"/>
          <w:rFonts w:ascii="Times New Roman" w:hAnsi="Times New Roman" w:cs="Times New Roman"/>
          <w:noProof/>
          <w:sz w:val="24"/>
        </w:rPr>
        <w:footnoteReference w:id="186"/>
      </w:r>
      <w:r>
        <w:rPr>
          <w:rStyle w:val="eop"/>
          <w:rFonts w:ascii="Times New Roman" w:hAnsi="Times New Roman"/>
          <w:noProof/>
          <w:sz w:val="24"/>
        </w:rPr>
        <w:t xml:space="preserve"> Az e beruházás keretében végrehajtott alábbi K+F+I-intézkedéseket</w:t>
      </w:r>
      <w:r>
        <w:rPr>
          <w:rStyle w:val="eop"/>
          <w:rFonts w:ascii="Times New Roman" w:hAnsi="Times New Roman"/>
          <w:noProof/>
          <w:sz w:val="24"/>
        </w:rPr>
        <w:t xml:space="preserve"> úgy kell tekinteni, hogy megfelelnek a jelentős károkozás elkerülését célzó elvről szóló technikai iránymutatásnak (2021/C58/01): az e beruházás keretébe tartozó azon K+F+I tevékenységek, amelyek alkalmazásuk szintjén technológiasemleges eredményekhez vez</w:t>
      </w:r>
      <w:r>
        <w:rPr>
          <w:rStyle w:val="eop"/>
          <w:rFonts w:ascii="Times New Roman" w:hAnsi="Times New Roman"/>
          <w:noProof/>
          <w:sz w:val="24"/>
        </w:rPr>
        <w:t>etnek; az e beruházás keretében végrehajtott azon K+F+I tevékenységek, amelyek alacsony környezeti hatással járó alternatívákat támogatnak, és amelyek esetében léteznek ilyenek; vagy iii. az e beruházás keretébe tartozó azon K+F+I tevékenységek, amelyek el</w:t>
      </w:r>
      <w:r>
        <w:rPr>
          <w:rStyle w:val="eop"/>
          <w:rFonts w:ascii="Times New Roman" w:hAnsi="Times New Roman"/>
          <w:noProof/>
          <w:sz w:val="24"/>
        </w:rPr>
        <w:t>sősorban az ágazatban a lehető legkisebb környezeti hatással járó alternatívák kifejlesztésére összpontosítanak azon tevékenységek tekintetében, amelyek esetében nem létezik technológiai és gazdasági szempontból megvalósítható, alacsony hatású alternatíva.</w:t>
      </w:r>
    </w:p>
    <w:p w14:paraId="449F25C7" w14:textId="2EB9D432" w:rsidR="003E1D81" w:rsidRDefault="00EB481C">
      <w:pPr>
        <w:pStyle w:val="ListParagraph"/>
        <w:numPr>
          <w:ilvl w:val="0"/>
          <w:numId w:val="338"/>
        </w:num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Kockázati tőkeinstrumentumok esetében: annak előírása a vállalkozások számára, hogy az (EU) 2022/2464 irányelvvel módosított 2013/34/EU irányelv 19a. cikke (2) bekezdése a) pontjának iii. alpontjában foglalt fogalommeghatározással összhangban zöld átállás</w:t>
      </w:r>
      <w:r>
        <w:rPr>
          <w:rFonts w:ascii="Times New Roman" w:hAnsi="Times New Roman"/>
          <w:noProof/>
          <w:sz w:val="24"/>
        </w:rPr>
        <w:t>i terveket fogadjanak el, ha az előző pénzügyi év közvetlen bevételeinek több mint 50%-a a tevékenységek és eszközök alábbi listájából származik: a fosszilis tüzelőanyagokhoz kapcsolódó tevékenységek és eszközök, beleértve a downstream felhasználást is</w:t>
      </w:r>
      <w:hyperlink r:id="rId361" w:anchor="_ftn1" w:tgtFrame="_blank" w:history="1">
        <w:r>
          <w:rPr>
            <w:rStyle w:val="FootnoteReference"/>
            <w:rFonts w:ascii="Times New Roman" w:hAnsi="Times New Roman" w:cs="Times New Roman"/>
            <w:noProof/>
            <w:sz w:val="24"/>
          </w:rPr>
          <w:footnoteReference w:id="187"/>
        </w:r>
        <w:r>
          <w:rPr>
            <w:rStyle w:val="normaltextrun"/>
            <w:rFonts w:ascii="Times New Roman" w:hAnsi="Times New Roman"/>
            <w:noProof/>
            <w:sz w:val="24"/>
          </w:rPr>
          <w:t>;]</w:t>
        </w:r>
      </w:hyperlink>
      <w:r>
        <w:rPr>
          <w:rStyle w:val="normaltextrun"/>
          <w:rFonts w:ascii="Times New Roman" w:hAnsi="Times New Roman"/>
          <w:b/>
          <w:noProof/>
          <w:sz w:val="24"/>
          <w:vertAlign w:val="superscript"/>
        </w:rPr>
        <w:t xml:space="preserve"> az uniós kibocsátáskereskedelmi rendszer (ETS) keretében végzett tevékenységek és eszközök, amelyek a vonatkozó referenciaértéke</w:t>
      </w:r>
      <w:r>
        <w:rPr>
          <w:rStyle w:val="normaltextrun"/>
          <w:rFonts w:ascii="Times New Roman" w:hAnsi="Times New Roman"/>
          <w:b/>
          <w:noProof/>
          <w:sz w:val="24"/>
          <w:vertAlign w:val="superscript"/>
        </w:rPr>
        <w:t>knél nem alacsonyabb várható üvegházhatásúgáz-kibocsátást érnek el</w:t>
      </w:r>
      <w:r>
        <w:rPr>
          <w:rStyle w:val="FootnoteReference"/>
          <w:rFonts w:ascii="Times New Roman" w:hAnsi="Times New Roman" w:cs="Times New Roman"/>
          <w:noProof/>
          <w:sz w:val="24"/>
        </w:rPr>
        <w:footnoteReference w:id="188"/>
      </w:r>
      <w:r>
        <w:rPr>
          <w:rStyle w:val="normaltextrun"/>
          <w:rFonts w:ascii="Times New Roman" w:hAnsi="Times New Roman"/>
          <w:b/>
          <w:noProof/>
          <w:sz w:val="24"/>
          <w:vertAlign w:val="superscript"/>
        </w:rPr>
        <w:t>; hulladéklerakókkal, hulladékégetőkkel és mechanikai-biológiai szennyvíztisztító telepekkel kapcsolatos tevékenységek</w:t>
      </w:r>
      <w:hyperlink r:id="rId362" w:anchor="_ftn3" w:tgtFrame="_blank" w:history="1">
        <w:r>
          <w:rPr>
            <w:rStyle w:val="FootnoteReference"/>
            <w:rFonts w:ascii="Times New Roman" w:hAnsi="Times New Roman" w:cs="Times New Roman"/>
            <w:noProof/>
            <w:sz w:val="24"/>
          </w:rPr>
          <w:footnoteReference w:id="189"/>
        </w:r>
        <w:r>
          <w:rPr>
            <w:rStyle w:val="normaltextrun"/>
            <w:rFonts w:ascii="Times New Roman" w:hAnsi="Times New Roman"/>
            <w:b/>
            <w:noProof/>
            <w:sz w:val="24"/>
            <w:vertAlign w:val="superscript"/>
          </w:rPr>
          <w:t>és</w:t>
        </w:r>
      </w:hyperlink>
      <w:r>
        <w:rPr>
          <w:rStyle w:val="normaltextrun"/>
          <w:rFonts w:ascii="Times New Roman" w:hAnsi="Times New Roman"/>
          <w:b/>
          <w:noProof/>
          <w:sz w:val="24"/>
          <w:vertAlign w:val="superscript"/>
        </w:rPr>
        <w:t xml:space="preserve"> eszközök.</w:t>
      </w:r>
      <w:r>
        <w:rPr>
          <w:rStyle w:val="FootnoteReference"/>
          <w:rFonts w:ascii="Times New Roman" w:hAnsi="Times New Roman" w:cs="Times New Roman"/>
          <w:noProof/>
          <w:sz w:val="24"/>
        </w:rPr>
        <w:footnoteReference w:id="190"/>
      </w:r>
    </w:p>
    <w:p w14:paraId="28792347" w14:textId="77777777" w:rsidR="003E1D81" w:rsidRDefault="00EB481C">
      <w:pPr>
        <w:pStyle w:val="P68B1DB1-ListParagraph7"/>
        <w:numPr>
          <w:ilvl w:val="0"/>
          <w:numId w:val="338"/>
        </w:numPr>
        <w:spacing w:before="120" w:after="120" w:line="240" w:lineRule="auto"/>
        <w:jc w:val="both"/>
        <w:rPr>
          <w:rFonts w:eastAsia="Times New Roman" w:cs="Times New Roman"/>
          <w:noProof/>
        </w:rPr>
      </w:pPr>
      <w:r>
        <w:rPr>
          <w:noProof/>
        </w:rPr>
        <w:t>A végrehajtó szervezetnek elő kell írnia a kedvezményezett vonatkozó uniós és nemzeti környezetvédelmi jogszabályainak való megfelelést.</w:t>
      </w:r>
    </w:p>
    <w:p w14:paraId="68C50DE4" w14:textId="36854A44" w:rsidR="003E1D81" w:rsidRDefault="00EB481C">
      <w:pPr>
        <w:pStyle w:val="P68B1DB1-Normal4"/>
        <w:spacing w:before="120" w:after="120" w:line="240" w:lineRule="auto"/>
        <w:jc w:val="both"/>
        <w:rPr>
          <w:rFonts w:eastAsia="Times New Roman" w:cs="Times New Roman"/>
          <w:noProof/>
        </w:rPr>
      </w:pPr>
      <w:r>
        <w:rPr>
          <w:noProof/>
        </w:rPr>
        <w:t xml:space="preserve">Az intézkedés végrehajtását 2026. augusztus </w:t>
      </w:r>
      <w:r>
        <w:rPr>
          <w:noProof/>
        </w:rPr>
        <w:t>31-ig be kell fejezni.</w:t>
      </w:r>
    </w:p>
    <w:p w14:paraId="248959D3" w14:textId="41CF7129" w:rsidR="003E1D81" w:rsidRDefault="00EB481C">
      <w:pPr>
        <w:pStyle w:val="P68B1DB1-Normal4"/>
        <w:ind w:left="720"/>
        <w:rPr>
          <w:rFonts w:eastAsia="Times New Roman" w:cs="Times New Roman"/>
          <w:noProof/>
        </w:rPr>
      </w:pPr>
      <w:r>
        <w:rPr>
          <w:b/>
          <w:noProof/>
          <w:u w:val="single"/>
        </w:rPr>
        <w:t>KÉRDÉS:</w:t>
      </w:r>
      <w:r>
        <w:rPr>
          <w:b/>
          <w:noProof/>
          <w:u w:val="single"/>
        </w:rPr>
        <w:tab/>
        <w:t>A hiteltámogatás nyomon követésének és végrehajtásának mérföldkövei, céljai, mutatói és ütemterve</w:t>
      </w:r>
      <w:r>
        <w:rPr>
          <w:b/>
          <w:noProof/>
        </w:rPr>
        <w:t xml:space="preserve"> </w:t>
      </w:r>
      <w:r>
        <w:rPr>
          <w:noProof/>
        </w:rPr>
        <w:t xml:space="preserve"> </w:t>
      </w:r>
    </w:p>
    <w:p w14:paraId="7D98F7ED" w14:textId="27FDC719" w:rsidR="003E1D81" w:rsidRDefault="00EB481C">
      <w:pPr>
        <w:pStyle w:val="P68B1DB1-Normal18"/>
        <w:rPr>
          <w:rFonts w:cs="Times New Roman"/>
          <w:noProof/>
        </w:rPr>
      </w:pPr>
      <w:r>
        <w:rPr>
          <w:noProof/>
        </w:rPr>
        <w:t>Táblázat alább. Az alapforgatókönyv időpontja valamennyi mutató esetében az intézkedés kezdete, kivéve, ha az intézkedés leír</w:t>
      </w:r>
      <w:r>
        <w:rPr>
          <w:noProof/>
        </w:rPr>
        <w:t>ása másként jelzi. A táblázatban szereplő összegek nem tartalmazzák a héát.</w:t>
      </w:r>
    </w:p>
    <w:p w14:paraId="6AB2C1B6" w14:textId="77777777" w:rsidR="003E1D81" w:rsidRDefault="003E1D81">
      <w:pPr>
        <w:spacing w:before="120" w:after="120" w:line="240" w:lineRule="auto"/>
        <w:rPr>
          <w:rFonts w:ascii="Times New Roman" w:hAnsi="Times New Roman" w:cs="Times New Roman"/>
          <w:noProof/>
        </w:rPr>
        <w:sectPr w:rsidR="003E1D81" w:rsidSect="00C94F66">
          <w:headerReference w:type="even" r:id="rId363"/>
          <w:headerReference w:type="default" r:id="rId364"/>
          <w:footerReference w:type="even" r:id="rId365"/>
          <w:footerReference w:type="default" r:id="rId366"/>
          <w:headerReference w:type="first" r:id="rId367"/>
          <w:footerReference w:type="first" r:id="rId368"/>
          <w:pgSz w:w="11907" w:h="16839"/>
          <w:pgMar w:top="1134" w:right="1418" w:bottom="1134" w:left="1418" w:header="709" w:footer="709" w:gutter="0"/>
          <w:cols w:space="720"/>
          <w:docGrid w:linePitch="360"/>
        </w:sectPr>
      </w:pPr>
    </w:p>
    <w:tbl>
      <w:tblPr>
        <w:tblW w:w="1467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036"/>
        <w:gridCol w:w="1036"/>
        <w:gridCol w:w="2016"/>
        <w:gridCol w:w="1286"/>
        <w:gridCol w:w="856"/>
        <w:gridCol w:w="986"/>
        <w:gridCol w:w="635"/>
        <w:gridCol w:w="1196"/>
        <w:gridCol w:w="665"/>
        <w:gridCol w:w="4168"/>
      </w:tblGrid>
      <w:tr w:rsidR="003E1D81" w14:paraId="756B1323" w14:textId="77777777">
        <w:trPr>
          <w:trHeight w:val="309"/>
          <w:tblHeader/>
        </w:trPr>
        <w:tc>
          <w:tcPr>
            <w:tcW w:w="857" w:type="dxa"/>
            <w:tcBorders>
              <w:bottom w:val="nil"/>
            </w:tcBorders>
            <w:shd w:val="clear" w:color="auto" w:fill="C6D9F1" w:themeFill="text2" w:themeFillTint="33"/>
          </w:tcPr>
          <w:p w14:paraId="66BE53CF" w14:textId="77777777" w:rsidR="003E1D81" w:rsidRDefault="00EB481C">
            <w:pPr>
              <w:pStyle w:val="P68B1DB1-Normal12"/>
              <w:spacing w:after="0" w:line="240" w:lineRule="auto"/>
              <w:jc w:val="center"/>
              <w:rPr>
                <w:rFonts w:cs="Times New Roman"/>
                <w:noProof/>
              </w:rPr>
            </w:pPr>
            <w:r>
              <w:rPr>
                <w:noProof/>
              </w:rPr>
              <w:t>Szám</w:t>
            </w:r>
          </w:p>
        </w:tc>
        <w:tc>
          <w:tcPr>
            <w:tcW w:w="886" w:type="dxa"/>
            <w:tcBorders>
              <w:bottom w:val="nil"/>
            </w:tcBorders>
            <w:shd w:val="clear" w:color="auto" w:fill="C6D9F1" w:themeFill="text2" w:themeFillTint="33"/>
          </w:tcPr>
          <w:p w14:paraId="2EA20D3C" w14:textId="77777777" w:rsidR="003E1D81" w:rsidRDefault="00EB481C">
            <w:pPr>
              <w:pStyle w:val="P68B1DB1-Normal12"/>
              <w:spacing w:after="0" w:line="240" w:lineRule="auto"/>
              <w:jc w:val="center"/>
              <w:rPr>
                <w:rFonts w:cs="Times New Roman"/>
                <w:noProof/>
              </w:rPr>
            </w:pPr>
            <w:r>
              <w:rPr>
                <w:noProof/>
              </w:rPr>
              <w:t>Intézkedés</w:t>
            </w:r>
          </w:p>
        </w:tc>
        <w:tc>
          <w:tcPr>
            <w:tcW w:w="966" w:type="dxa"/>
            <w:tcBorders>
              <w:bottom w:val="nil"/>
            </w:tcBorders>
            <w:shd w:val="clear" w:color="auto" w:fill="C6D9F1" w:themeFill="text2" w:themeFillTint="33"/>
          </w:tcPr>
          <w:p w14:paraId="19E272E4" w14:textId="77777777" w:rsidR="003E1D81" w:rsidRDefault="00EB481C">
            <w:pPr>
              <w:pStyle w:val="P68B1DB1-Normal8"/>
              <w:spacing w:after="0" w:line="240" w:lineRule="auto"/>
              <w:jc w:val="center"/>
              <w:rPr>
                <w:rFonts w:cs="Times New Roman"/>
                <w:b/>
                <w:noProof/>
                <w:sz w:val="18"/>
              </w:rPr>
            </w:pPr>
            <w:r>
              <w:rPr>
                <w:b/>
                <w:noProof/>
                <w:sz w:val="18"/>
              </w:rPr>
              <w:t>Mérföldkő</w:t>
            </w:r>
            <w:r>
              <w:rPr>
                <w:noProof/>
                <w:shd w:val="clear" w:color="auto" w:fill="E6E6E6"/>
              </w:rPr>
              <w:br/>
            </w:r>
            <w:r>
              <w:rPr>
                <w:b/>
                <w:noProof/>
                <w:sz w:val="18"/>
              </w:rPr>
              <w:t xml:space="preserve"> /Cél</w:t>
            </w:r>
          </w:p>
        </w:tc>
        <w:tc>
          <w:tcPr>
            <w:tcW w:w="2227" w:type="dxa"/>
            <w:tcBorders>
              <w:bottom w:val="nil"/>
            </w:tcBorders>
            <w:shd w:val="clear" w:color="auto" w:fill="C6D9F1" w:themeFill="text2" w:themeFillTint="33"/>
          </w:tcPr>
          <w:p w14:paraId="1F5E623B" w14:textId="77777777" w:rsidR="003E1D81" w:rsidRDefault="00EB481C">
            <w:pPr>
              <w:pStyle w:val="P68B1DB1-Normal12"/>
              <w:spacing w:after="0" w:line="240" w:lineRule="auto"/>
              <w:jc w:val="center"/>
              <w:rPr>
                <w:rFonts w:cs="Times New Roman"/>
                <w:noProof/>
              </w:rPr>
            </w:pPr>
            <w:r>
              <w:rPr>
                <w:noProof/>
              </w:rPr>
              <w:t>Név</w:t>
            </w:r>
          </w:p>
        </w:tc>
        <w:tc>
          <w:tcPr>
            <w:tcW w:w="1226" w:type="dxa"/>
            <w:tcBorders>
              <w:bottom w:val="nil"/>
            </w:tcBorders>
            <w:shd w:val="clear" w:color="auto" w:fill="C6D9F1" w:themeFill="text2" w:themeFillTint="33"/>
          </w:tcPr>
          <w:p w14:paraId="02EB3D44"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2173" w:type="dxa"/>
            <w:gridSpan w:val="3"/>
            <w:shd w:val="clear" w:color="auto" w:fill="C6D9F1" w:themeFill="text2" w:themeFillTint="33"/>
          </w:tcPr>
          <w:p w14:paraId="159A064A"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1226" w:type="dxa"/>
            <w:gridSpan w:val="2"/>
            <w:shd w:val="clear" w:color="auto" w:fill="C6D9F1" w:themeFill="text2" w:themeFillTint="33"/>
          </w:tcPr>
          <w:p w14:paraId="50EFFB48" w14:textId="77777777" w:rsidR="003E1D81" w:rsidRDefault="00EB481C">
            <w:pPr>
              <w:pStyle w:val="P68B1DB1-Normal12"/>
              <w:spacing w:after="0" w:line="240" w:lineRule="auto"/>
              <w:jc w:val="center"/>
              <w:rPr>
                <w:rFonts w:cs="Times New Roman"/>
                <w:noProof/>
              </w:rPr>
            </w:pPr>
            <w:r>
              <w:rPr>
                <w:noProof/>
              </w:rPr>
              <w:t>Idő</w:t>
            </w:r>
          </w:p>
        </w:tc>
        <w:tc>
          <w:tcPr>
            <w:tcW w:w="5114" w:type="dxa"/>
            <w:tcBorders>
              <w:bottom w:val="nil"/>
            </w:tcBorders>
            <w:shd w:val="clear" w:color="auto" w:fill="C6D9F1" w:themeFill="text2" w:themeFillTint="33"/>
          </w:tcPr>
          <w:p w14:paraId="2187E50E" w14:textId="77777777" w:rsidR="003E1D81" w:rsidRDefault="00EB481C">
            <w:pPr>
              <w:pStyle w:val="P68B1DB1-Normal12"/>
              <w:spacing w:after="0" w:line="240" w:lineRule="auto"/>
              <w:jc w:val="center"/>
              <w:rPr>
                <w:rFonts w:cs="Times New Roman"/>
                <w:noProof/>
              </w:rPr>
            </w:pPr>
            <w:r>
              <w:rPr>
                <w:noProof/>
              </w:rPr>
              <w:t xml:space="preserve">Az egyes </w:t>
            </w:r>
            <w:r>
              <w:rPr>
                <w:noProof/>
              </w:rPr>
              <w:t>mérföldkövek és célértékek leírása</w:t>
            </w:r>
          </w:p>
        </w:tc>
      </w:tr>
      <w:tr w:rsidR="003E1D81" w14:paraId="6F872CCE" w14:textId="77777777">
        <w:trPr>
          <w:trHeight w:val="309"/>
          <w:tblHeader/>
        </w:trPr>
        <w:tc>
          <w:tcPr>
            <w:tcW w:w="857" w:type="dxa"/>
            <w:tcBorders>
              <w:top w:val="nil"/>
            </w:tcBorders>
            <w:shd w:val="clear" w:color="auto" w:fill="C6D9F1" w:themeFill="text2" w:themeFillTint="33"/>
          </w:tcPr>
          <w:p w14:paraId="27CA29BE" w14:textId="77777777" w:rsidR="003E1D81" w:rsidRDefault="003E1D81">
            <w:pPr>
              <w:spacing w:after="0" w:line="240" w:lineRule="auto"/>
              <w:jc w:val="center"/>
              <w:rPr>
                <w:rFonts w:ascii="Times New Roman" w:hAnsi="Times New Roman" w:cs="Times New Roman"/>
                <w:b/>
                <w:noProof/>
                <w:sz w:val="18"/>
              </w:rPr>
            </w:pPr>
          </w:p>
        </w:tc>
        <w:tc>
          <w:tcPr>
            <w:tcW w:w="886" w:type="dxa"/>
            <w:tcBorders>
              <w:top w:val="nil"/>
            </w:tcBorders>
            <w:shd w:val="clear" w:color="auto" w:fill="C6D9F1" w:themeFill="text2" w:themeFillTint="33"/>
          </w:tcPr>
          <w:p w14:paraId="11B0139A" w14:textId="77777777" w:rsidR="003E1D81" w:rsidRDefault="003E1D81">
            <w:pPr>
              <w:spacing w:after="0" w:line="240" w:lineRule="auto"/>
              <w:jc w:val="center"/>
              <w:rPr>
                <w:rFonts w:ascii="Times New Roman" w:hAnsi="Times New Roman" w:cs="Times New Roman"/>
                <w:b/>
                <w:noProof/>
                <w:sz w:val="18"/>
              </w:rPr>
            </w:pPr>
          </w:p>
        </w:tc>
        <w:tc>
          <w:tcPr>
            <w:tcW w:w="966" w:type="dxa"/>
            <w:tcBorders>
              <w:top w:val="nil"/>
            </w:tcBorders>
            <w:shd w:val="clear" w:color="auto" w:fill="C6D9F1" w:themeFill="text2" w:themeFillTint="33"/>
          </w:tcPr>
          <w:p w14:paraId="2AECA98D" w14:textId="77777777" w:rsidR="003E1D81" w:rsidRDefault="003E1D81">
            <w:pPr>
              <w:spacing w:after="0" w:line="240" w:lineRule="auto"/>
              <w:jc w:val="center"/>
              <w:rPr>
                <w:rFonts w:ascii="Times New Roman" w:hAnsi="Times New Roman" w:cs="Times New Roman"/>
                <w:b/>
                <w:noProof/>
                <w:sz w:val="18"/>
              </w:rPr>
            </w:pPr>
          </w:p>
        </w:tc>
        <w:tc>
          <w:tcPr>
            <w:tcW w:w="2227" w:type="dxa"/>
            <w:tcBorders>
              <w:top w:val="nil"/>
            </w:tcBorders>
            <w:shd w:val="clear" w:color="auto" w:fill="C6D9F1" w:themeFill="text2" w:themeFillTint="33"/>
          </w:tcPr>
          <w:p w14:paraId="54315F50" w14:textId="77777777" w:rsidR="003E1D81" w:rsidRDefault="003E1D81">
            <w:pPr>
              <w:spacing w:after="0" w:line="240" w:lineRule="auto"/>
              <w:rPr>
                <w:rFonts w:ascii="Times New Roman" w:hAnsi="Times New Roman" w:cs="Times New Roman"/>
                <w:b/>
                <w:noProof/>
                <w:sz w:val="18"/>
              </w:rPr>
            </w:pPr>
          </w:p>
        </w:tc>
        <w:tc>
          <w:tcPr>
            <w:tcW w:w="1226" w:type="dxa"/>
            <w:tcBorders>
              <w:top w:val="nil"/>
            </w:tcBorders>
            <w:shd w:val="clear" w:color="auto" w:fill="C6D9F1" w:themeFill="text2" w:themeFillTint="33"/>
          </w:tcPr>
          <w:p w14:paraId="052258C8" w14:textId="77777777" w:rsidR="003E1D81" w:rsidRDefault="003E1D81">
            <w:pPr>
              <w:spacing w:after="0" w:line="240" w:lineRule="auto"/>
              <w:jc w:val="center"/>
              <w:rPr>
                <w:rFonts w:ascii="Times New Roman" w:hAnsi="Times New Roman" w:cs="Times New Roman"/>
                <w:b/>
                <w:noProof/>
                <w:sz w:val="18"/>
              </w:rPr>
            </w:pPr>
          </w:p>
        </w:tc>
        <w:tc>
          <w:tcPr>
            <w:tcW w:w="896" w:type="dxa"/>
            <w:shd w:val="clear" w:color="auto" w:fill="C6D9F1" w:themeFill="text2" w:themeFillTint="33"/>
          </w:tcPr>
          <w:p w14:paraId="11B4A688" w14:textId="77777777" w:rsidR="003E1D81" w:rsidRDefault="00EB481C">
            <w:pPr>
              <w:pStyle w:val="P68B1DB1-Normal12"/>
              <w:spacing w:after="0" w:line="240" w:lineRule="auto"/>
              <w:jc w:val="center"/>
              <w:rPr>
                <w:rFonts w:cs="Times New Roman"/>
                <w:noProof/>
              </w:rPr>
            </w:pPr>
            <w:r>
              <w:rPr>
                <w:noProof/>
              </w:rPr>
              <w:t>Egység</w:t>
            </w:r>
          </w:p>
        </w:tc>
        <w:tc>
          <w:tcPr>
            <w:tcW w:w="636" w:type="dxa"/>
            <w:shd w:val="clear" w:color="auto" w:fill="C6D9F1" w:themeFill="text2" w:themeFillTint="33"/>
          </w:tcPr>
          <w:p w14:paraId="5A6579E2" w14:textId="77777777" w:rsidR="003E1D81" w:rsidRDefault="00EB481C">
            <w:pPr>
              <w:pStyle w:val="P68B1DB1-Normal12"/>
              <w:spacing w:after="0" w:line="240" w:lineRule="auto"/>
              <w:jc w:val="center"/>
              <w:rPr>
                <w:rFonts w:cs="Times New Roman"/>
                <w:noProof/>
              </w:rPr>
            </w:pPr>
            <w:r>
              <w:rPr>
                <w:noProof/>
              </w:rPr>
              <w:t>Alapérték</w:t>
            </w:r>
          </w:p>
        </w:tc>
        <w:tc>
          <w:tcPr>
            <w:tcW w:w="641" w:type="dxa"/>
            <w:shd w:val="clear" w:color="auto" w:fill="C6D9F1" w:themeFill="text2" w:themeFillTint="33"/>
          </w:tcPr>
          <w:p w14:paraId="0201C213" w14:textId="77777777" w:rsidR="003E1D81" w:rsidRDefault="00EB481C">
            <w:pPr>
              <w:pStyle w:val="P68B1DB1-Normal12"/>
              <w:spacing w:after="0" w:line="240" w:lineRule="auto"/>
              <w:jc w:val="center"/>
              <w:rPr>
                <w:rFonts w:cs="Times New Roman"/>
                <w:noProof/>
              </w:rPr>
            </w:pPr>
            <w:r>
              <w:rPr>
                <w:noProof/>
              </w:rPr>
              <w:t>Cél</w:t>
            </w:r>
          </w:p>
        </w:tc>
        <w:tc>
          <w:tcPr>
            <w:tcW w:w="526" w:type="dxa"/>
            <w:shd w:val="clear" w:color="auto" w:fill="C6D9F1" w:themeFill="text2" w:themeFillTint="33"/>
          </w:tcPr>
          <w:p w14:paraId="187F06C1" w14:textId="77777777" w:rsidR="003E1D81" w:rsidRDefault="00EB481C">
            <w:pPr>
              <w:pStyle w:val="P68B1DB1-Normal12"/>
              <w:spacing w:after="0" w:line="240" w:lineRule="auto"/>
              <w:jc w:val="center"/>
              <w:rPr>
                <w:rFonts w:cs="Times New Roman"/>
                <w:noProof/>
              </w:rPr>
            </w:pPr>
            <w:r>
              <w:rPr>
                <w:noProof/>
              </w:rPr>
              <w:t>Q</w:t>
            </w:r>
          </w:p>
        </w:tc>
        <w:tc>
          <w:tcPr>
            <w:tcW w:w="700" w:type="dxa"/>
            <w:shd w:val="clear" w:color="auto" w:fill="C6D9F1" w:themeFill="text2" w:themeFillTint="33"/>
          </w:tcPr>
          <w:p w14:paraId="5C32E844" w14:textId="77777777" w:rsidR="003E1D81" w:rsidRDefault="00EB481C">
            <w:pPr>
              <w:pStyle w:val="P68B1DB1-Normal12"/>
              <w:spacing w:after="0" w:line="240" w:lineRule="auto"/>
              <w:jc w:val="center"/>
              <w:rPr>
                <w:rFonts w:cs="Times New Roman"/>
                <w:noProof/>
              </w:rPr>
            </w:pPr>
            <w:r>
              <w:rPr>
                <w:noProof/>
              </w:rPr>
              <w:t>Éve</w:t>
            </w:r>
          </w:p>
        </w:tc>
        <w:tc>
          <w:tcPr>
            <w:tcW w:w="5114" w:type="dxa"/>
            <w:tcBorders>
              <w:top w:val="nil"/>
            </w:tcBorders>
            <w:shd w:val="clear" w:color="auto" w:fill="C6D9F1" w:themeFill="text2" w:themeFillTint="33"/>
          </w:tcPr>
          <w:p w14:paraId="2805547E" w14:textId="77777777" w:rsidR="003E1D81" w:rsidRDefault="003E1D81">
            <w:pPr>
              <w:spacing w:after="0" w:line="240" w:lineRule="auto"/>
              <w:rPr>
                <w:rFonts w:ascii="Times New Roman" w:hAnsi="Times New Roman" w:cs="Times New Roman"/>
                <w:b/>
                <w:noProof/>
                <w:sz w:val="18"/>
              </w:rPr>
            </w:pPr>
          </w:p>
        </w:tc>
      </w:tr>
      <w:tr w:rsidR="003E1D81" w14:paraId="40CAD2F4" w14:textId="77777777">
        <w:trPr>
          <w:trHeight w:val="309"/>
        </w:trPr>
        <w:tc>
          <w:tcPr>
            <w:tcW w:w="857" w:type="dxa"/>
            <w:shd w:val="clear" w:color="auto" w:fill="C6EFCE"/>
          </w:tcPr>
          <w:p w14:paraId="2FCEBC2B" w14:textId="24EC0CB9" w:rsidR="003E1D81" w:rsidRDefault="00EB481C">
            <w:pPr>
              <w:pStyle w:val="P68B1DB1-Normal13"/>
              <w:spacing w:after="0" w:line="240" w:lineRule="auto"/>
              <w:jc w:val="center"/>
              <w:rPr>
                <w:rFonts w:cs="Times New Roman"/>
                <w:noProof/>
              </w:rPr>
            </w:pPr>
            <w:r>
              <w:rPr>
                <w:noProof/>
              </w:rPr>
              <w:t>L67.</w:t>
            </w:r>
          </w:p>
        </w:tc>
        <w:tc>
          <w:tcPr>
            <w:tcW w:w="886" w:type="dxa"/>
            <w:shd w:val="clear" w:color="auto" w:fill="C6EFCE"/>
          </w:tcPr>
          <w:p w14:paraId="291595AA" w14:textId="77777777" w:rsidR="003E1D81" w:rsidRDefault="00EB481C">
            <w:pPr>
              <w:pStyle w:val="P68B1DB1-Normal13"/>
              <w:spacing w:after="0" w:line="240" w:lineRule="auto"/>
              <w:jc w:val="center"/>
              <w:rPr>
                <w:rFonts w:cs="Times New Roman"/>
                <w:noProof/>
              </w:rPr>
            </w:pPr>
            <w:r>
              <w:rPr>
                <w:noProof/>
              </w:rPr>
              <w:t>C17.I10</w:t>
            </w:r>
          </w:p>
        </w:tc>
        <w:tc>
          <w:tcPr>
            <w:tcW w:w="966" w:type="dxa"/>
            <w:shd w:val="clear" w:color="auto" w:fill="C6EFCE"/>
          </w:tcPr>
          <w:p w14:paraId="3C1B5EA5" w14:textId="77777777" w:rsidR="003E1D81" w:rsidRDefault="00EB481C">
            <w:pPr>
              <w:pStyle w:val="P68B1DB1-Normal13"/>
              <w:spacing w:after="0" w:line="240" w:lineRule="auto"/>
              <w:jc w:val="center"/>
              <w:rPr>
                <w:rFonts w:cs="Times New Roman"/>
                <w:noProof/>
              </w:rPr>
            </w:pPr>
            <w:r>
              <w:rPr>
                <w:noProof/>
              </w:rPr>
              <w:t>T</w:t>
            </w:r>
          </w:p>
        </w:tc>
        <w:tc>
          <w:tcPr>
            <w:tcW w:w="2227" w:type="dxa"/>
            <w:shd w:val="clear" w:color="auto" w:fill="C6EFCE"/>
          </w:tcPr>
          <w:p w14:paraId="010AA927" w14:textId="77777777" w:rsidR="003E1D81" w:rsidRDefault="00EB481C">
            <w:pPr>
              <w:pStyle w:val="P68B1DB1-Normal13"/>
              <w:spacing w:after="0" w:line="240" w:lineRule="auto"/>
              <w:rPr>
                <w:rFonts w:cs="Times New Roman"/>
                <w:noProof/>
              </w:rPr>
            </w:pPr>
            <w:r>
              <w:rPr>
                <w:noProof/>
              </w:rPr>
              <w:t>Tőketámogatásba történő beruházás az egészségügyi ágazatban</w:t>
            </w:r>
          </w:p>
        </w:tc>
        <w:tc>
          <w:tcPr>
            <w:tcW w:w="1226" w:type="dxa"/>
            <w:shd w:val="clear" w:color="auto" w:fill="C6EFCE"/>
          </w:tcPr>
          <w:p w14:paraId="1107DC0B" w14:textId="77777777" w:rsidR="003E1D81" w:rsidRDefault="003E1D81">
            <w:pPr>
              <w:spacing w:after="0" w:line="240" w:lineRule="auto"/>
              <w:jc w:val="center"/>
              <w:rPr>
                <w:rFonts w:ascii="Times New Roman" w:hAnsi="Times New Roman" w:cs="Times New Roman"/>
                <w:noProof/>
                <w:sz w:val="18"/>
              </w:rPr>
            </w:pPr>
          </w:p>
        </w:tc>
        <w:tc>
          <w:tcPr>
            <w:tcW w:w="896" w:type="dxa"/>
            <w:shd w:val="clear" w:color="auto" w:fill="C6EFCE"/>
          </w:tcPr>
          <w:p w14:paraId="75913F2D" w14:textId="77777777" w:rsidR="003E1D81" w:rsidRDefault="00EB481C">
            <w:pPr>
              <w:pStyle w:val="P68B1DB1-Normal13"/>
              <w:spacing w:after="0" w:line="240" w:lineRule="auto"/>
              <w:jc w:val="center"/>
              <w:rPr>
                <w:rFonts w:cs="Times New Roman"/>
                <w:noProof/>
              </w:rPr>
            </w:pPr>
            <w:r>
              <w:rPr>
                <w:noProof/>
              </w:rPr>
              <w:t>Millió EUR</w:t>
            </w:r>
          </w:p>
          <w:p w14:paraId="60319AFE" w14:textId="77777777" w:rsidR="003E1D81" w:rsidRDefault="003E1D81">
            <w:pPr>
              <w:spacing w:after="0" w:line="240" w:lineRule="auto"/>
              <w:jc w:val="center"/>
              <w:rPr>
                <w:rFonts w:ascii="Times New Roman" w:hAnsi="Times New Roman" w:cs="Times New Roman"/>
                <w:noProof/>
                <w:sz w:val="18"/>
              </w:rPr>
            </w:pPr>
          </w:p>
        </w:tc>
        <w:tc>
          <w:tcPr>
            <w:tcW w:w="636" w:type="dxa"/>
            <w:shd w:val="clear" w:color="auto" w:fill="C6EFCE"/>
          </w:tcPr>
          <w:p w14:paraId="6A13EB3F" w14:textId="77777777" w:rsidR="003E1D81" w:rsidRDefault="00EB481C">
            <w:pPr>
              <w:pStyle w:val="P68B1DB1-Normal13"/>
              <w:spacing w:after="0" w:line="240" w:lineRule="auto"/>
              <w:jc w:val="right"/>
              <w:rPr>
                <w:rFonts w:cs="Times New Roman"/>
                <w:noProof/>
              </w:rPr>
            </w:pPr>
            <w:r>
              <w:rPr>
                <w:noProof/>
              </w:rPr>
              <w:t>0</w:t>
            </w:r>
          </w:p>
        </w:tc>
        <w:tc>
          <w:tcPr>
            <w:tcW w:w="641" w:type="dxa"/>
            <w:shd w:val="clear" w:color="auto" w:fill="C6EFCE"/>
          </w:tcPr>
          <w:p w14:paraId="1934BC16" w14:textId="77777777" w:rsidR="003E1D81" w:rsidRDefault="00EB481C">
            <w:pPr>
              <w:pStyle w:val="P68B1DB1-Normal13"/>
              <w:spacing w:after="0" w:line="240" w:lineRule="auto"/>
              <w:jc w:val="right"/>
              <w:rPr>
                <w:rFonts w:eastAsia="Times New Roman" w:cs="Times New Roman"/>
                <w:noProof/>
              </w:rPr>
            </w:pPr>
            <w:r>
              <w:rPr>
                <w:noProof/>
              </w:rPr>
              <w:t>27</w:t>
            </w:r>
          </w:p>
        </w:tc>
        <w:tc>
          <w:tcPr>
            <w:tcW w:w="526" w:type="dxa"/>
            <w:shd w:val="clear" w:color="auto" w:fill="C6EFCE"/>
          </w:tcPr>
          <w:p w14:paraId="1720568F" w14:textId="61FE3413" w:rsidR="003E1D81" w:rsidRDefault="00EB481C">
            <w:pPr>
              <w:pStyle w:val="P68B1DB1-Normal13"/>
              <w:spacing w:after="0" w:line="240" w:lineRule="auto"/>
              <w:jc w:val="center"/>
              <w:rPr>
                <w:rFonts w:cs="Times New Roman"/>
                <w:noProof/>
              </w:rPr>
            </w:pPr>
            <w:r>
              <w:rPr>
                <w:noProof/>
              </w:rPr>
              <w:t xml:space="preserve">NEGYEDÉV </w:t>
            </w:r>
          </w:p>
        </w:tc>
        <w:tc>
          <w:tcPr>
            <w:tcW w:w="700" w:type="dxa"/>
            <w:shd w:val="clear" w:color="auto" w:fill="C6EFCE"/>
          </w:tcPr>
          <w:p w14:paraId="4EA57920" w14:textId="77777777" w:rsidR="003E1D81" w:rsidRDefault="00EB481C">
            <w:pPr>
              <w:pStyle w:val="P68B1DB1-Normal13"/>
              <w:spacing w:after="0" w:line="240" w:lineRule="auto"/>
              <w:jc w:val="center"/>
              <w:rPr>
                <w:rFonts w:cs="Times New Roman"/>
                <w:noProof/>
              </w:rPr>
            </w:pPr>
            <w:r>
              <w:rPr>
                <w:noProof/>
              </w:rPr>
              <w:t>2026</w:t>
            </w:r>
          </w:p>
        </w:tc>
        <w:tc>
          <w:tcPr>
            <w:tcW w:w="5114" w:type="dxa"/>
            <w:shd w:val="clear" w:color="auto" w:fill="C6EFCE"/>
          </w:tcPr>
          <w:p w14:paraId="3D249DE9" w14:textId="4E34FAF3" w:rsidR="003E1D81" w:rsidRDefault="00EB481C">
            <w:pPr>
              <w:pStyle w:val="P68B1DB1-Normal13"/>
              <w:spacing w:after="0" w:line="240" w:lineRule="auto"/>
              <w:rPr>
                <w:rFonts w:eastAsia="Times New Roman" w:cs="Times New Roman"/>
                <w:noProof/>
              </w:rPr>
            </w:pPr>
            <w:r>
              <w:rPr>
                <w:noProof/>
              </w:rPr>
              <w:t xml:space="preserve">27 000 000 EUR kifizetése az Innvierte által az egészségügyi ágazatban működő </w:t>
            </w:r>
            <w:r>
              <w:rPr>
                <w:noProof/>
              </w:rPr>
              <w:t xml:space="preserve">innovatív és technológiai vállalatok számára sajáttőkeként vagy kvázi-sajáttőkeként. Az e beruházás keretében megvalósuló projektek értékelésének biztosítania kell az intézkedés leírásában meghatározott, a jelentős károkozás elkerülését célzó elvről szóló </w:t>
            </w:r>
            <w:r>
              <w:rPr>
                <w:noProof/>
              </w:rPr>
              <w:t>technikai iránymutatásnak (2021/C58/01) való megfelelést.</w:t>
            </w:r>
          </w:p>
        </w:tc>
      </w:tr>
      <w:tr w:rsidR="003E1D81" w14:paraId="1F35E81E" w14:textId="77777777">
        <w:trPr>
          <w:trHeight w:val="309"/>
        </w:trPr>
        <w:tc>
          <w:tcPr>
            <w:tcW w:w="857" w:type="dxa"/>
            <w:shd w:val="clear" w:color="auto" w:fill="C6EFCE"/>
          </w:tcPr>
          <w:p w14:paraId="400BB647" w14:textId="559EBCA0" w:rsidR="003E1D81" w:rsidRDefault="00EB481C">
            <w:pPr>
              <w:pStyle w:val="P68B1DB1-Normal13"/>
              <w:spacing w:after="0" w:line="240" w:lineRule="auto"/>
              <w:jc w:val="center"/>
              <w:rPr>
                <w:rFonts w:cs="Times New Roman"/>
                <w:noProof/>
              </w:rPr>
            </w:pPr>
            <w:r>
              <w:rPr>
                <w:noProof/>
              </w:rPr>
              <w:t>L68</w:t>
            </w:r>
          </w:p>
        </w:tc>
        <w:tc>
          <w:tcPr>
            <w:tcW w:w="886" w:type="dxa"/>
            <w:shd w:val="clear" w:color="auto" w:fill="C6EFCE"/>
          </w:tcPr>
          <w:p w14:paraId="1C5CA141" w14:textId="77777777" w:rsidR="003E1D81" w:rsidRDefault="00EB481C">
            <w:pPr>
              <w:pStyle w:val="P68B1DB1-Normal13"/>
              <w:spacing w:after="0" w:line="240" w:lineRule="auto"/>
              <w:jc w:val="center"/>
              <w:rPr>
                <w:rFonts w:cs="Times New Roman"/>
                <w:noProof/>
              </w:rPr>
            </w:pPr>
            <w:r>
              <w:rPr>
                <w:noProof/>
              </w:rPr>
              <w:t>C17.I10</w:t>
            </w:r>
          </w:p>
        </w:tc>
        <w:tc>
          <w:tcPr>
            <w:tcW w:w="966" w:type="dxa"/>
            <w:shd w:val="clear" w:color="auto" w:fill="C6EFCE"/>
          </w:tcPr>
          <w:p w14:paraId="28A2FDD3" w14:textId="77777777" w:rsidR="003E1D81" w:rsidRDefault="00EB481C">
            <w:pPr>
              <w:pStyle w:val="P68B1DB1-Normal13"/>
              <w:spacing w:after="0" w:line="240" w:lineRule="auto"/>
              <w:jc w:val="center"/>
              <w:rPr>
                <w:rFonts w:eastAsia="Times New Roman" w:cs="Times New Roman"/>
                <w:noProof/>
              </w:rPr>
            </w:pPr>
            <w:r>
              <w:rPr>
                <w:noProof/>
              </w:rPr>
              <w:t>T</w:t>
            </w:r>
          </w:p>
        </w:tc>
        <w:tc>
          <w:tcPr>
            <w:tcW w:w="2227" w:type="dxa"/>
            <w:shd w:val="clear" w:color="auto" w:fill="C6EFCE"/>
          </w:tcPr>
          <w:p w14:paraId="0FF05EDF" w14:textId="327EDD1C" w:rsidR="003E1D81" w:rsidRDefault="00EB481C">
            <w:pPr>
              <w:pStyle w:val="P68B1DB1-Normal13"/>
              <w:spacing w:after="0" w:line="240" w:lineRule="auto"/>
              <w:rPr>
                <w:rFonts w:cs="Times New Roman"/>
                <w:noProof/>
              </w:rPr>
            </w:pPr>
            <w:r>
              <w:rPr>
                <w:noProof/>
              </w:rPr>
              <w:t>Pénzeszközök lekötése hitelek formájában az egészségügyi és az űrhajózási ágazat támogatására</w:t>
            </w:r>
          </w:p>
        </w:tc>
        <w:tc>
          <w:tcPr>
            <w:tcW w:w="1226" w:type="dxa"/>
            <w:shd w:val="clear" w:color="auto" w:fill="C6EFCE"/>
          </w:tcPr>
          <w:p w14:paraId="137454FA" w14:textId="77777777" w:rsidR="003E1D81" w:rsidRDefault="003E1D81">
            <w:pPr>
              <w:spacing w:after="0" w:line="240" w:lineRule="auto"/>
              <w:jc w:val="center"/>
              <w:rPr>
                <w:rFonts w:ascii="Times New Roman" w:hAnsi="Times New Roman" w:cs="Times New Roman"/>
                <w:noProof/>
                <w:sz w:val="18"/>
              </w:rPr>
            </w:pPr>
          </w:p>
        </w:tc>
        <w:tc>
          <w:tcPr>
            <w:tcW w:w="896" w:type="dxa"/>
            <w:shd w:val="clear" w:color="auto" w:fill="C6EFCE"/>
          </w:tcPr>
          <w:p w14:paraId="70ECA4A1" w14:textId="77777777" w:rsidR="003E1D81" w:rsidRDefault="00EB481C">
            <w:pPr>
              <w:pStyle w:val="P68B1DB1-Normal13"/>
              <w:spacing w:after="0" w:line="240" w:lineRule="auto"/>
              <w:jc w:val="center"/>
              <w:rPr>
                <w:rFonts w:cs="Times New Roman"/>
                <w:noProof/>
              </w:rPr>
            </w:pPr>
            <w:r>
              <w:rPr>
                <w:noProof/>
              </w:rPr>
              <w:t>Millió EUR</w:t>
            </w:r>
          </w:p>
        </w:tc>
        <w:tc>
          <w:tcPr>
            <w:tcW w:w="636" w:type="dxa"/>
            <w:shd w:val="clear" w:color="auto" w:fill="C6EFCE"/>
          </w:tcPr>
          <w:p w14:paraId="41749BF7" w14:textId="77777777" w:rsidR="003E1D81" w:rsidRDefault="00EB481C">
            <w:pPr>
              <w:pStyle w:val="P68B1DB1-Normal13"/>
              <w:spacing w:after="0" w:line="240" w:lineRule="auto"/>
              <w:jc w:val="right"/>
              <w:rPr>
                <w:rFonts w:cs="Times New Roman"/>
                <w:noProof/>
              </w:rPr>
            </w:pPr>
            <w:r>
              <w:rPr>
                <w:noProof/>
              </w:rPr>
              <w:t>0</w:t>
            </w:r>
          </w:p>
        </w:tc>
        <w:tc>
          <w:tcPr>
            <w:tcW w:w="641" w:type="dxa"/>
            <w:shd w:val="clear" w:color="auto" w:fill="C6EFCE"/>
          </w:tcPr>
          <w:p w14:paraId="319026BA" w14:textId="7020A308" w:rsidR="003E1D81" w:rsidRDefault="00EB481C">
            <w:pPr>
              <w:pStyle w:val="P68B1DB1-Normal13"/>
              <w:spacing w:after="0" w:line="240" w:lineRule="auto"/>
              <w:jc w:val="right"/>
              <w:rPr>
                <w:rFonts w:cs="Times New Roman"/>
                <w:noProof/>
              </w:rPr>
            </w:pPr>
            <w:r>
              <w:rPr>
                <w:noProof/>
              </w:rPr>
              <w:t>181.6</w:t>
            </w:r>
          </w:p>
        </w:tc>
        <w:tc>
          <w:tcPr>
            <w:tcW w:w="526" w:type="dxa"/>
            <w:shd w:val="clear" w:color="auto" w:fill="C6EFCE"/>
          </w:tcPr>
          <w:p w14:paraId="022A78CD" w14:textId="77777777" w:rsidR="003E1D81" w:rsidRDefault="00EB481C">
            <w:pPr>
              <w:pStyle w:val="P68B1DB1-Normal13"/>
              <w:spacing w:after="0" w:line="240" w:lineRule="auto"/>
              <w:jc w:val="center"/>
              <w:rPr>
                <w:rFonts w:cs="Times New Roman"/>
                <w:noProof/>
              </w:rPr>
            </w:pPr>
            <w:r>
              <w:rPr>
                <w:noProof/>
              </w:rPr>
              <w:t>NEGYEDÉV</w:t>
            </w:r>
          </w:p>
        </w:tc>
        <w:tc>
          <w:tcPr>
            <w:tcW w:w="700" w:type="dxa"/>
            <w:shd w:val="clear" w:color="auto" w:fill="C6EFCE"/>
          </w:tcPr>
          <w:p w14:paraId="32691209" w14:textId="77777777" w:rsidR="003E1D81" w:rsidRDefault="00EB481C">
            <w:pPr>
              <w:pStyle w:val="P68B1DB1-Normal13"/>
              <w:spacing w:after="0" w:line="240" w:lineRule="auto"/>
              <w:jc w:val="center"/>
              <w:rPr>
                <w:rFonts w:cs="Times New Roman"/>
                <w:noProof/>
              </w:rPr>
            </w:pPr>
            <w:r>
              <w:rPr>
                <w:noProof/>
              </w:rPr>
              <w:t>2024</w:t>
            </w:r>
          </w:p>
        </w:tc>
        <w:tc>
          <w:tcPr>
            <w:tcW w:w="5114" w:type="dxa"/>
            <w:shd w:val="clear" w:color="auto" w:fill="C6EFCE"/>
          </w:tcPr>
          <w:p w14:paraId="03E5BAA4" w14:textId="2BC9BC85" w:rsidR="003E1D81" w:rsidRDefault="00EB481C">
            <w:pPr>
              <w:pStyle w:val="P68B1DB1-Normal13"/>
              <w:spacing w:after="0" w:line="240" w:lineRule="auto"/>
              <w:rPr>
                <w:rFonts w:cs="Times New Roman"/>
                <w:noProof/>
              </w:rPr>
            </w:pPr>
            <w:r>
              <w:rPr>
                <w:noProof/>
              </w:rPr>
              <w:t xml:space="preserve">A CDTI 181 600 000 EUR összegű kölcsönre vonatkozó </w:t>
            </w:r>
            <w:r>
              <w:rPr>
                <w:noProof/>
              </w:rPr>
              <w:t>kötelezettségvállalása K+F+I-beruházásokra, ipari léptékváltásra, a gyártási folyamatok korszerűsítésére, valamint zöld technológiák bevezetésére az egészségügyben és az űrrepülési ágazatban.</w:t>
            </w:r>
          </w:p>
        </w:tc>
      </w:tr>
      <w:tr w:rsidR="003E1D81" w14:paraId="7D44448D" w14:textId="77777777">
        <w:trPr>
          <w:trHeight w:val="309"/>
        </w:trPr>
        <w:tc>
          <w:tcPr>
            <w:tcW w:w="857" w:type="dxa"/>
            <w:shd w:val="clear" w:color="auto" w:fill="C6EFCE"/>
          </w:tcPr>
          <w:p w14:paraId="721685C3" w14:textId="1D1E5160" w:rsidR="003E1D81" w:rsidRDefault="00EB481C">
            <w:pPr>
              <w:pStyle w:val="P68B1DB1-Normal13"/>
              <w:spacing w:after="0" w:line="240" w:lineRule="auto"/>
              <w:jc w:val="center"/>
              <w:rPr>
                <w:rFonts w:cs="Times New Roman"/>
                <w:noProof/>
              </w:rPr>
            </w:pPr>
            <w:r>
              <w:rPr>
                <w:noProof/>
              </w:rPr>
              <w:t>L69.</w:t>
            </w:r>
          </w:p>
        </w:tc>
        <w:tc>
          <w:tcPr>
            <w:tcW w:w="886" w:type="dxa"/>
            <w:shd w:val="clear" w:color="auto" w:fill="C6EFCE"/>
          </w:tcPr>
          <w:p w14:paraId="651672E3" w14:textId="77777777" w:rsidR="003E1D81" w:rsidRDefault="00EB481C">
            <w:pPr>
              <w:pStyle w:val="P68B1DB1-Normal13"/>
              <w:spacing w:after="0" w:line="240" w:lineRule="auto"/>
              <w:jc w:val="center"/>
              <w:rPr>
                <w:rFonts w:cs="Times New Roman"/>
                <w:noProof/>
              </w:rPr>
            </w:pPr>
            <w:r>
              <w:rPr>
                <w:noProof/>
              </w:rPr>
              <w:t>C17.I10</w:t>
            </w:r>
          </w:p>
        </w:tc>
        <w:tc>
          <w:tcPr>
            <w:tcW w:w="966" w:type="dxa"/>
            <w:shd w:val="clear" w:color="auto" w:fill="C6EFCE"/>
          </w:tcPr>
          <w:p w14:paraId="294261C8" w14:textId="77777777" w:rsidR="003E1D81" w:rsidRDefault="00EB481C">
            <w:pPr>
              <w:pStyle w:val="P68B1DB1-Normal13"/>
              <w:spacing w:after="0" w:line="240" w:lineRule="auto"/>
              <w:jc w:val="center"/>
              <w:rPr>
                <w:rFonts w:cs="Times New Roman"/>
                <w:noProof/>
              </w:rPr>
            </w:pPr>
            <w:r>
              <w:rPr>
                <w:noProof/>
              </w:rPr>
              <w:t>T</w:t>
            </w:r>
          </w:p>
        </w:tc>
        <w:tc>
          <w:tcPr>
            <w:tcW w:w="2227" w:type="dxa"/>
            <w:shd w:val="clear" w:color="auto" w:fill="C6EFCE"/>
          </w:tcPr>
          <w:p w14:paraId="72ADFE09" w14:textId="77777777" w:rsidR="003E1D81" w:rsidRDefault="00EB481C">
            <w:pPr>
              <w:pStyle w:val="P68B1DB1-Normal13"/>
              <w:spacing w:after="0" w:line="240" w:lineRule="auto"/>
              <w:rPr>
                <w:rFonts w:cs="Times New Roman"/>
                <w:noProof/>
              </w:rPr>
            </w:pPr>
            <w:r>
              <w:rPr>
                <w:noProof/>
              </w:rPr>
              <w:t xml:space="preserve">Pénzeszközök folyósítása hitelek formájában az </w:t>
            </w:r>
            <w:r>
              <w:rPr>
                <w:noProof/>
              </w:rPr>
              <w:t>egészségügyi és az űrhajózási ágazat támogatására</w:t>
            </w:r>
          </w:p>
        </w:tc>
        <w:tc>
          <w:tcPr>
            <w:tcW w:w="1226" w:type="dxa"/>
            <w:shd w:val="clear" w:color="auto" w:fill="C6EFCE"/>
          </w:tcPr>
          <w:p w14:paraId="17F78AF2" w14:textId="77777777" w:rsidR="003E1D81" w:rsidRDefault="003E1D81">
            <w:pPr>
              <w:spacing w:after="0" w:line="240" w:lineRule="auto"/>
              <w:jc w:val="center"/>
              <w:rPr>
                <w:rFonts w:ascii="Times New Roman" w:hAnsi="Times New Roman" w:cs="Times New Roman"/>
                <w:noProof/>
                <w:sz w:val="18"/>
              </w:rPr>
            </w:pPr>
          </w:p>
        </w:tc>
        <w:tc>
          <w:tcPr>
            <w:tcW w:w="896" w:type="dxa"/>
            <w:shd w:val="clear" w:color="auto" w:fill="C6EFCE"/>
          </w:tcPr>
          <w:p w14:paraId="0E9A1A24" w14:textId="77777777" w:rsidR="003E1D81" w:rsidRDefault="00EB481C">
            <w:pPr>
              <w:pStyle w:val="P68B1DB1-Normal13"/>
              <w:spacing w:after="0" w:line="240" w:lineRule="auto"/>
              <w:jc w:val="center"/>
              <w:rPr>
                <w:rFonts w:cs="Times New Roman"/>
                <w:noProof/>
              </w:rPr>
            </w:pPr>
            <w:r>
              <w:rPr>
                <w:noProof/>
              </w:rPr>
              <w:t>Millió EUR</w:t>
            </w:r>
          </w:p>
        </w:tc>
        <w:tc>
          <w:tcPr>
            <w:tcW w:w="636" w:type="dxa"/>
            <w:shd w:val="clear" w:color="auto" w:fill="C6EFCE"/>
          </w:tcPr>
          <w:p w14:paraId="48E9A1B5" w14:textId="77777777" w:rsidR="003E1D81" w:rsidRDefault="00EB481C">
            <w:pPr>
              <w:pStyle w:val="P68B1DB1-Normal13"/>
              <w:spacing w:after="0" w:line="240" w:lineRule="auto"/>
              <w:jc w:val="right"/>
              <w:rPr>
                <w:rFonts w:cs="Times New Roman"/>
                <w:noProof/>
              </w:rPr>
            </w:pPr>
            <w:r>
              <w:rPr>
                <w:noProof/>
              </w:rPr>
              <w:t>0</w:t>
            </w:r>
          </w:p>
        </w:tc>
        <w:tc>
          <w:tcPr>
            <w:tcW w:w="641" w:type="dxa"/>
            <w:shd w:val="clear" w:color="auto" w:fill="C6EFCE"/>
          </w:tcPr>
          <w:p w14:paraId="45ED734C" w14:textId="7E85DADE" w:rsidR="003E1D81" w:rsidRDefault="00EB481C">
            <w:pPr>
              <w:pStyle w:val="P68B1DB1-Normal13"/>
              <w:spacing w:after="0" w:line="240" w:lineRule="auto"/>
              <w:jc w:val="right"/>
              <w:rPr>
                <w:rFonts w:cs="Times New Roman"/>
                <w:noProof/>
              </w:rPr>
            </w:pPr>
            <w:r>
              <w:rPr>
                <w:noProof/>
              </w:rPr>
              <w:t>461.7</w:t>
            </w:r>
          </w:p>
        </w:tc>
        <w:tc>
          <w:tcPr>
            <w:tcW w:w="526" w:type="dxa"/>
            <w:shd w:val="clear" w:color="auto" w:fill="C6EFCE"/>
          </w:tcPr>
          <w:p w14:paraId="416CFC95" w14:textId="702A6278" w:rsidR="003E1D81" w:rsidRDefault="00EB481C">
            <w:pPr>
              <w:pStyle w:val="P68B1DB1-Normal13"/>
              <w:spacing w:after="0" w:line="240" w:lineRule="auto"/>
              <w:jc w:val="center"/>
              <w:rPr>
                <w:rFonts w:cs="Times New Roman"/>
                <w:noProof/>
              </w:rPr>
            </w:pPr>
            <w:r>
              <w:rPr>
                <w:noProof/>
              </w:rPr>
              <w:t>NEGYEDÉV</w:t>
            </w:r>
          </w:p>
        </w:tc>
        <w:tc>
          <w:tcPr>
            <w:tcW w:w="700" w:type="dxa"/>
            <w:shd w:val="clear" w:color="auto" w:fill="C6EFCE"/>
          </w:tcPr>
          <w:p w14:paraId="0D22AF08" w14:textId="77777777" w:rsidR="003E1D81" w:rsidRDefault="00EB481C">
            <w:pPr>
              <w:pStyle w:val="P68B1DB1-Normal13"/>
              <w:spacing w:after="0" w:line="240" w:lineRule="auto"/>
              <w:jc w:val="center"/>
              <w:rPr>
                <w:rFonts w:cs="Times New Roman"/>
                <w:noProof/>
              </w:rPr>
            </w:pPr>
            <w:r>
              <w:rPr>
                <w:noProof/>
              </w:rPr>
              <w:t>2026</w:t>
            </w:r>
          </w:p>
        </w:tc>
        <w:tc>
          <w:tcPr>
            <w:tcW w:w="5114" w:type="dxa"/>
            <w:shd w:val="clear" w:color="auto" w:fill="C6EFCE"/>
          </w:tcPr>
          <w:p w14:paraId="06A183A7" w14:textId="5AE6F075" w:rsidR="003E1D81" w:rsidRDefault="00EB481C">
            <w:pPr>
              <w:pStyle w:val="P68B1DB1-Normal13"/>
              <w:spacing w:after="0" w:line="240" w:lineRule="auto"/>
              <w:rPr>
                <w:rFonts w:cs="Times New Roman"/>
                <w:noProof/>
              </w:rPr>
            </w:pPr>
            <w:r>
              <w:rPr>
                <w:noProof/>
              </w:rPr>
              <w:t>461 700 000 EUR összegű hitel folyósítása a CDTI által K+F+I-be, ipari léptékváltásba, a gyártási folyamatok korszerűsítésébe, valamint a zöld technológiáknak az egészségüg</w:t>
            </w:r>
            <w:r>
              <w:rPr>
                <w:noProof/>
              </w:rPr>
              <w:t>yben és az űrrepülési ágazatban történő bevezetésébe történő beruházásokhoz.</w:t>
            </w:r>
          </w:p>
        </w:tc>
      </w:tr>
      <w:tr w:rsidR="003E1D81" w14:paraId="3E768C38" w14:textId="77777777">
        <w:trPr>
          <w:trHeight w:val="309"/>
        </w:trPr>
        <w:tc>
          <w:tcPr>
            <w:tcW w:w="857" w:type="dxa"/>
            <w:shd w:val="clear" w:color="auto" w:fill="C6EFCE"/>
          </w:tcPr>
          <w:p w14:paraId="3F06DFD7" w14:textId="3E8A1D3E" w:rsidR="003E1D81" w:rsidRDefault="00EB481C">
            <w:pPr>
              <w:pStyle w:val="P68B1DB1-Normal13"/>
              <w:spacing w:after="0" w:line="240" w:lineRule="auto"/>
              <w:jc w:val="center"/>
              <w:rPr>
                <w:rFonts w:cs="Times New Roman"/>
                <w:noProof/>
              </w:rPr>
            </w:pPr>
            <w:r>
              <w:rPr>
                <w:noProof/>
              </w:rPr>
              <w:t>L70</w:t>
            </w:r>
          </w:p>
        </w:tc>
        <w:tc>
          <w:tcPr>
            <w:tcW w:w="886" w:type="dxa"/>
            <w:shd w:val="clear" w:color="auto" w:fill="C6EFCE"/>
          </w:tcPr>
          <w:p w14:paraId="05C61672" w14:textId="77777777" w:rsidR="003E1D81" w:rsidRDefault="00EB481C">
            <w:pPr>
              <w:pStyle w:val="P68B1DB1-Normal13"/>
              <w:spacing w:after="0" w:line="240" w:lineRule="auto"/>
              <w:jc w:val="center"/>
              <w:rPr>
                <w:rFonts w:cs="Times New Roman"/>
                <w:noProof/>
              </w:rPr>
            </w:pPr>
            <w:r>
              <w:rPr>
                <w:noProof/>
              </w:rPr>
              <w:t>C17.I10</w:t>
            </w:r>
          </w:p>
        </w:tc>
        <w:tc>
          <w:tcPr>
            <w:tcW w:w="966" w:type="dxa"/>
            <w:shd w:val="clear" w:color="auto" w:fill="C6EFCE"/>
          </w:tcPr>
          <w:p w14:paraId="1B57D700" w14:textId="77777777" w:rsidR="003E1D81" w:rsidRDefault="00EB481C">
            <w:pPr>
              <w:pStyle w:val="P68B1DB1-Normal13"/>
              <w:spacing w:after="0" w:line="240" w:lineRule="auto"/>
              <w:jc w:val="center"/>
              <w:rPr>
                <w:rFonts w:cs="Times New Roman"/>
                <w:noProof/>
              </w:rPr>
            </w:pPr>
            <w:r>
              <w:rPr>
                <w:noProof/>
              </w:rPr>
              <w:t>T</w:t>
            </w:r>
          </w:p>
        </w:tc>
        <w:tc>
          <w:tcPr>
            <w:tcW w:w="2227" w:type="dxa"/>
            <w:shd w:val="clear" w:color="auto" w:fill="C6EFCE"/>
          </w:tcPr>
          <w:p w14:paraId="13DFEEB3" w14:textId="77777777" w:rsidR="003E1D81" w:rsidRDefault="00EB481C">
            <w:pPr>
              <w:pStyle w:val="P68B1DB1-Normal13"/>
              <w:spacing w:after="0" w:line="240" w:lineRule="auto"/>
              <w:rPr>
                <w:rFonts w:cs="Times New Roman"/>
                <w:noProof/>
              </w:rPr>
            </w:pPr>
            <w:r>
              <w:rPr>
                <w:noProof/>
              </w:rPr>
              <w:t>A nemzeti egészségügyi rendszer K+F kapacitásainak javítása.</w:t>
            </w:r>
          </w:p>
        </w:tc>
        <w:tc>
          <w:tcPr>
            <w:tcW w:w="1226" w:type="dxa"/>
            <w:shd w:val="clear" w:color="auto" w:fill="C6EFCE"/>
          </w:tcPr>
          <w:p w14:paraId="10D4F863" w14:textId="77777777" w:rsidR="003E1D81" w:rsidRDefault="003E1D81">
            <w:pPr>
              <w:spacing w:after="0" w:line="240" w:lineRule="auto"/>
              <w:jc w:val="center"/>
              <w:rPr>
                <w:rFonts w:ascii="Times New Roman" w:hAnsi="Times New Roman" w:cs="Times New Roman"/>
                <w:noProof/>
                <w:sz w:val="18"/>
              </w:rPr>
            </w:pPr>
          </w:p>
        </w:tc>
        <w:tc>
          <w:tcPr>
            <w:tcW w:w="896" w:type="dxa"/>
            <w:shd w:val="clear" w:color="auto" w:fill="C6EFCE"/>
          </w:tcPr>
          <w:p w14:paraId="554999A6"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636" w:type="dxa"/>
            <w:shd w:val="clear" w:color="auto" w:fill="C6EFCE"/>
          </w:tcPr>
          <w:p w14:paraId="03984B2D" w14:textId="77777777" w:rsidR="003E1D81" w:rsidRDefault="00EB481C">
            <w:pPr>
              <w:pStyle w:val="P68B1DB1-Normal13"/>
              <w:spacing w:after="0" w:line="240" w:lineRule="auto"/>
              <w:jc w:val="right"/>
              <w:rPr>
                <w:rFonts w:cs="Times New Roman"/>
                <w:noProof/>
              </w:rPr>
            </w:pPr>
            <w:r>
              <w:rPr>
                <w:noProof/>
              </w:rPr>
              <w:t>0</w:t>
            </w:r>
          </w:p>
        </w:tc>
        <w:tc>
          <w:tcPr>
            <w:tcW w:w="641" w:type="dxa"/>
            <w:shd w:val="clear" w:color="auto" w:fill="C6EFCE"/>
          </w:tcPr>
          <w:p w14:paraId="0488B6F9" w14:textId="77777777" w:rsidR="003E1D81" w:rsidRDefault="00EB481C">
            <w:pPr>
              <w:pStyle w:val="P68B1DB1-Normal13"/>
              <w:spacing w:after="0" w:line="240" w:lineRule="auto"/>
              <w:jc w:val="right"/>
              <w:rPr>
                <w:rFonts w:eastAsia="Times New Roman" w:cs="Times New Roman"/>
                <w:noProof/>
              </w:rPr>
            </w:pPr>
            <w:r>
              <w:rPr>
                <w:noProof/>
              </w:rPr>
              <w:t>4</w:t>
            </w:r>
          </w:p>
        </w:tc>
        <w:tc>
          <w:tcPr>
            <w:tcW w:w="526" w:type="dxa"/>
            <w:shd w:val="clear" w:color="auto" w:fill="C6EFCE"/>
          </w:tcPr>
          <w:p w14:paraId="0BE015B9" w14:textId="25107E1F" w:rsidR="003E1D81" w:rsidRDefault="00EB481C">
            <w:pPr>
              <w:pStyle w:val="P68B1DB1-Normal13"/>
              <w:spacing w:after="0" w:line="240" w:lineRule="auto"/>
              <w:jc w:val="center"/>
              <w:rPr>
                <w:rFonts w:cs="Times New Roman"/>
                <w:noProof/>
              </w:rPr>
            </w:pPr>
            <w:r>
              <w:rPr>
                <w:noProof/>
              </w:rPr>
              <w:t>NEGYEDÉV</w:t>
            </w:r>
          </w:p>
        </w:tc>
        <w:tc>
          <w:tcPr>
            <w:tcW w:w="700" w:type="dxa"/>
            <w:shd w:val="clear" w:color="auto" w:fill="C6EFCE"/>
          </w:tcPr>
          <w:p w14:paraId="2EAE1494" w14:textId="77777777" w:rsidR="003E1D81" w:rsidRDefault="00EB481C">
            <w:pPr>
              <w:pStyle w:val="P68B1DB1-Normal13"/>
              <w:spacing w:after="0" w:line="240" w:lineRule="auto"/>
              <w:jc w:val="center"/>
              <w:rPr>
                <w:rFonts w:cs="Times New Roman"/>
                <w:noProof/>
              </w:rPr>
            </w:pPr>
            <w:r>
              <w:rPr>
                <w:noProof/>
              </w:rPr>
              <w:t>2026</w:t>
            </w:r>
          </w:p>
        </w:tc>
        <w:tc>
          <w:tcPr>
            <w:tcW w:w="5114" w:type="dxa"/>
            <w:shd w:val="clear" w:color="auto" w:fill="C6EFCE"/>
          </w:tcPr>
          <w:p w14:paraId="67583859" w14:textId="77777777" w:rsidR="003E1D81" w:rsidRDefault="00EB481C">
            <w:pPr>
              <w:pStyle w:val="P68B1DB1-Normal13"/>
              <w:spacing w:after="0" w:line="240" w:lineRule="auto"/>
              <w:rPr>
                <w:rFonts w:cs="Times New Roman"/>
                <w:noProof/>
              </w:rPr>
            </w:pPr>
            <w:r>
              <w:rPr>
                <w:noProof/>
              </w:rPr>
              <w:t xml:space="preserve">A nemzeti egészségügyi rendszer legalább négy kutatóközpontja kutatási és </w:t>
            </w:r>
            <w:r>
              <w:rPr>
                <w:noProof/>
              </w:rPr>
              <w:t>technológiafejlesztési kapacitásának növelését célzó beruházási projektek véglegesítése.</w:t>
            </w:r>
          </w:p>
        </w:tc>
      </w:tr>
    </w:tbl>
    <w:p w14:paraId="64EE0AAC" w14:textId="77777777" w:rsidR="003E1D81" w:rsidRDefault="003E1D81">
      <w:pPr>
        <w:spacing w:before="120" w:after="120" w:line="240" w:lineRule="auto"/>
        <w:rPr>
          <w:rFonts w:ascii="Times New Roman" w:hAnsi="Times New Roman" w:cs="Times New Roman"/>
          <w:noProof/>
        </w:rPr>
        <w:sectPr w:rsidR="003E1D81" w:rsidSect="00C94F66">
          <w:headerReference w:type="even" r:id="rId369"/>
          <w:headerReference w:type="default" r:id="rId370"/>
          <w:footerReference w:type="even" r:id="rId371"/>
          <w:footerReference w:type="default" r:id="rId372"/>
          <w:headerReference w:type="first" r:id="rId373"/>
          <w:footerReference w:type="first" r:id="rId374"/>
          <w:pgSz w:w="16839" w:h="11907" w:orient="landscape"/>
          <w:pgMar w:top="1417" w:right="1134" w:bottom="1417" w:left="1134" w:header="709" w:footer="709" w:gutter="0"/>
          <w:cols w:space="720"/>
          <w:docGrid w:linePitch="360"/>
        </w:sectPr>
      </w:pPr>
    </w:p>
    <w:p w14:paraId="1B1C4985" w14:textId="77777777" w:rsidR="003E1D81" w:rsidRDefault="00EB481C">
      <w:pPr>
        <w:pStyle w:val="P68B1DB1-Heading12"/>
        <w:rPr>
          <w:rFonts w:cs="Times New Roman"/>
          <w:noProof/>
        </w:rPr>
      </w:pPr>
      <w:r>
        <w:rPr>
          <w:noProof/>
        </w:rPr>
        <w:t>R. 18. ÖSSZETEVŐ: A nemzeti egészségügyi rendszer kapacitásainak felújítása és bővítése</w:t>
      </w:r>
    </w:p>
    <w:p w14:paraId="273D2F69" w14:textId="77777777" w:rsidR="003E1D81" w:rsidRDefault="00EB481C">
      <w:pPr>
        <w:pStyle w:val="P68B1DB1-Normal4"/>
        <w:spacing w:before="120" w:after="120" w:line="240" w:lineRule="auto"/>
        <w:jc w:val="both"/>
        <w:rPr>
          <w:rFonts w:cs="Times New Roman"/>
          <w:noProof/>
        </w:rPr>
      </w:pPr>
      <w:r>
        <w:rPr>
          <w:noProof/>
        </w:rPr>
        <w:t>Az egészségügyi</w:t>
      </w:r>
      <w:r>
        <w:rPr>
          <w:noProof/>
        </w:rPr>
        <w:t xml:space="preserve"> válság megmutatta a spanyol nemzeti egészségügyi rendszer erejét, de rávilágított azokra a nehézségekre is, amelyekkel az előrejelzést, gyors reagálást és koordinációt igénylő helyzetek kezelése, valamint a demográfiai, társadalmi, technológiai vagy gazda</w:t>
      </w:r>
      <w:r>
        <w:rPr>
          <w:noProof/>
        </w:rPr>
        <w:t>sági tendenciákhoz kapcsolódó meglévő strukturális problémák orvoslásának szükségessége miatt szembesül. A spanyol helyreállítási és rezilienciaépítési terv e komponense a következő kihívásokkal foglalkozik: i. a globális egészségügyi válsággal szembeni se</w:t>
      </w:r>
      <w:r>
        <w:rPr>
          <w:noProof/>
        </w:rPr>
        <w:t>bezhetőség, ii. az egészségügyi rendszer átalakítása a népesség elöregedése miatt, iii. a nemek közötti egyenlőség és iv. a rendszer hosszú távú fenntarthatósága és rezilienciája.</w:t>
      </w:r>
    </w:p>
    <w:p w14:paraId="71509C8B" w14:textId="77777777" w:rsidR="003E1D81" w:rsidRDefault="00EB481C">
      <w:pPr>
        <w:pStyle w:val="P68B1DB1-Normal4"/>
        <w:spacing w:before="120" w:after="120" w:line="240" w:lineRule="auto"/>
        <w:jc w:val="both"/>
        <w:rPr>
          <w:rFonts w:cs="Times New Roman"/>
          <w:noProof/>
        </w:rPr>
      </w:pPr>
      <w:r>
        <w:rPr>
          <w:noProof/>
        </w:rPr>
        <w:t xml:space="preserve">Ennek a komponensnek a célkitűzései a következők: </w:t>
      </w:r>
    </w:p>
    <w:p w14:paraId="3C9272B0" w14:textId="77777777" w:rsidR="003E1D81" w:rsidRDefault="00EB481C">
      <w:pPr>
        <w:pStyle w:val="P68B1DB1-Normal4"/>
        <w:numPr>
          <w:ilvl w:val="0"/>
          <w:numId w:val="66"/>
        </w:numPr>
        <w:spacing w:before="120" w:after="120" w:line="240" w:lineRule="auto"/>
        <w:ind w:left="993" w:hanging="284"/>
        <w:jc w:val="both"/>
        <w:rPr>
          <w:rFonts w:cs="Times New Roman"/>
          <w:noProof/>
        </w:rPr>
      </w:pPr>
      <w:r>
        <w:rPr>
          <w:noProof/>
        </w:rPr>
        <w:t xml:space="preserve">Az egészségügyi rendszer </w:t>
      </w:r>
      <w:r>
        <w:rPr>
          <w:noProof/>
        </w:rPr>
        <w:t>felkészítése a potenciális globális egészségügyi veszélyek, például a jelenlegi Covid19-világjárvány megelőzésére és kezelésére a népegészségügyi kapacitások és a járványügyi felügyeleti rendszerek növelése révén.</w:t>
      </w:r>
    </w:p>
    <w:p w14:paraId="59469CE2" w14:textId="77777777" w:rsidR="003E1D81" w:rsidRDefault="00EB481C">
      <w:pPr>
        <w:pStyle w:val="P68B1DB1-Normal4"/>
        <w:numPr>
          <w:ilvl w:val="0"/>
          <w:numId w:val="66"/>
        </w:numPr>
        <w:spacing w:before="120" w:after="120" w:line="240" w:lineRule="auto"/>
        <w:ind w:left="993" w:hanging="284"/>
        <w:jc w:val="both"/>
        <w:rPr>
          <w:rFonts w:cs="Times New Roman"/>
          <w:noProof/>
        </w:rPr>
      </w:pPr>
      <w:r>
        <w:rPr>
          <w:noProof/>
        </w:rPr>
        <w:t>A betegek erőforrásaitól, lakóhelyétől, ne</w:t>
      </w:r>
      <w:r>
        <w:rPr>
          <w:noProof/>
        </w:rPr>
        <w:t>métől, származásától vagy életkorától függetlenül a lehető leggyorsabban, minőségben és legbiztonságosabb egészségügyi szolgáltatást nyújt.</w:t>
      </w:r>
    </w:p>
    <w:p w14:paraId="04FD66DE" w14:textId="77777777" w:rsidR="003E1D81" w:rsidRDefault="00EB481C">
      <w:pPr>
        <w:pStyle w:val="P68B1DB1-Normal4"/>
        <w:numPr>
          <w:ilvl w:val="0"/>
          <w:numId w:val="66"/>
        </w:numPr>
        <w:spacing w:before="120" w:after="120" w:line="240" w:lineRule="auto"/>
        <w:ind w:left="993" w:hanging="284"/>
        <w:jc w:val="both"/>
        <w:rPr>
          <w:rFonts w:cs="Times New Roman"/>
          <w:noProof/>
        </w:rPr>
      </w:pPr>
      <w:r>
        <w:rPr>
          <w:noProof/>
        </w:rPr>
        <w:t>Az emberek állnak az egészségügyi rendszer középpontjában, részvételük javítása és az egészségügyi ellátásnak az emb</w:t>
      </w:r>
      <w:r>
        <w:rPr>
          <w:noProof/>
        </w:rPr>
        <w:t xml:space="preserve">erek és a közösségek igényeihez való igazítása. </w:t>
      </w:r>
    </w:p>
    <w:p w14:paraId="0860012F" w14:textId="77777777" w:rsidR="003E1D81" w:rsidRDefault="00EB481C">
      <w:pPr>
        <w:pStyle w:val="P68B1DB1-Normal4"/>
        <w:numPr>
          <w:ilvl w:val="0"/>
          <w:numId w:val="66"/>
        </w:numPr>
        <w:spacing w:before="120" w:after="120" w:line="240" w:lineRule="auto"/>
        <w:ind w:left="993" w:hanging="284"/>
        <w:jc w:val="both"/>
        <w:rPr>
          <w:rFonts w:cs="Times New Roman"/>
          <w:noProof/>
        </w:rPr>
      </w:pPr>
      <w:r>
        <w:rPr>
          <w:noProof/>
        </w:rPr>
        <w:t>Olyan információs rendszerek biztosítása, amelyek nemcsak a tevékenységeket, hanem a végső egészségügyi eredményeket is mérik.</w:t>
      </w:r>
    </w:p>
    <w:p w14:paraId="661A13D5" w14:textId="77777777" w:rsidR="003E1D81" w:rsidRDefault="00EB481C">
      <w:pPr>
        <w:pStyle w:val="P68B1DB1-Normal4"/>
        <w:numPr>
          <w:ilvl w:val="0"/>
          <w:numId w:val="66"/>
        </w:numPr>
        <w:spacing w:before="120" w:after="120" w:line="240" w:lineRule="auto"/>
        <w:ind w:left="993" w:hanging="284"/>
        <w:jc w:val="both"/>
        <w:rPr>
          <w:rFonts w:cs="Times New Roman"/>
          <w:noProof/>
        </w:rPr>
      </w:pPr>
      <w:r>
        <w:rPr>
          <w:noProof/>
        </w:rPr>
        <w:t>Az egészség és a jóllét aktív előmozdítása, valamint a betegségek és a rászorult</w:t>
      </w:r>
      <w:r>
        <w:rPr>
          <w:noProof/>
        </w:rPr>
        <w:t>ság egész életen át tartó megelőzése.</w:t>
      </w:r>
    </w:p>
    <w:p w14:paraId="1177AF38" w14:textId="77777777" w:rsidR="003E1D81" w:rsidRDefault="00EB481C">
      <w:pPr>
        <w:pStyle w:val="P68B1DB1-Normal4"/>
        <w:numPr>
          <w:ilvl w:val="0"/>
          <w:numId w:val="66"/>
        </w:numPr>
        <w:spacing w:before="120" w:after="120" w:line="240" w:lineRule="auto"/>
        <w:ind w:left="993" w:hanging="284"/>
        <w:jc w:val="both"/>
        <w:rPr>
          <w:rFonts w:cs="Times New Roman"/>
          <w:noProof/>
        </w:rPr>
      </w:pPr>
      <w:r>
        <w:rPr>
          <w:noProof/>
        </w:rPr>
        <w:t>A legjobb szakemberek vonzása és megtartása, egyéni és kollektív fejlődési lehetőségeket kínálva számukra.</w:t>
      </w:r>
    </w:p>
    <w:p w14:paraId="3789ACD8" w14:textId="77777777" w:rsidR="003E1D81" w:rsidRDefault="00EB481C">
      <w:pPr>
        <w:pStyle w:val="P68B1DB1-Normal4"/>
        <w:numPr>
          <w:ilvl w:val="0"/>
          <w:numId w:val="66"/>
        </w:numPr>
        <w:spacing w:before="120" w:after="120" w:line="240" w:lineRule="auto"/>
        <w:ind w:left="993" w:hanging="284"/>
        <w:jc w:val="both"/>
        <w:rPr>
          <w:rFonts w:cs="Times New Roman"/>
          <w:noProof/>
        </w:rPr>
      </w:pPr>
      <w:r>
        <w:rPr>
          <w:noProof/>
        </w:rPr>
        <w:t>Elmozdulás egy olyan digitalizált nemzeti egészségügyi rendszer felé, amely információkat és ismereteket generá</w:t>
      </w:r>
      <w:r>
        <w:rPr>
          <w:noProof/>
        </w:rPr>
        <w:t>l, és amely a munkahelyteremtés, a növekedés, a termelékenység és az innováció motorjaként fokozza az egészségügyi kutatást és innovációt.</w:t>
      </w:r>
    </w:p>
    <w:p w14:paraId="37B8A878" w14:textId="77777777" w:rsidR="003E1D81" w:rsidRDefault="00EB481C">
      <w:pPr>
        <w:pStyle w:val="P68B1DB1-Normal4"/>
        <w:numPr>
          <w:ilvl w:val="0"/>
          <w:numId w:val="66"/>
        </w:numPr>
        <w:spacing w:before="120" w:after="120" w:line="240" w:lineRule="auto"/>
        <w:ind w:left="993" w:hanging="284"/>
        <w:jc w:val="both"/>
        <w:rPr>
          <w:rFonts w:cs="Times New Roman"/>
          <w:noProof/>
        </w:rPr>
      </w:pPr>
      <w:r>
        <w:rPr>
          <w:noProof/>
        </w:rPr>
        <w:t>Elegendő és fenntartható finanszírozás biztosítása a modern és fejlett társadalom új egészségügyi kihívásainak kezelé</w:t>
      </w:r>
      <w:r>
        <w:rPr>
          <w:noProof/>
        </w:rPr>
        <w:t>séhez, valamint a kiadások hatékonyságának biztosítása.</w:t>
      </w:r>
    </w:p>
    <w:p w14:paraId="4223E0CE" w14:textId="77777777" w:rsidR="003E1D81" w:rsidRDefault="00EB481C">
      <w:pPr>
        <w:pStyle w:val="P68B1DB1-Normal4"/>
        <w:numPr>
          <w:ilvl w:val="0"/>
          <w:numId w:val="66"/>
        </w:numPr>
        <w:spacing w:before="120" w:after="120" w:line="240" w:lineRule="auto"/>
        <w:ind w:left="993" w:hanging="284"/>
        <w:jc w:val="both"/>
        <w:rPr>
          <w:rFonts w:cs="Times New Roman"/>
          <w:noProof/>
        </w:rPr>
      </w:pPr>
      <w:r>
        <w:rPr>
          <w:noProof/>
        </w:rPr>
        <w:t>A koordináció és a többszintű kormányzás megerősítése és fejlesztése a nemzeti egészségügyi rendszer irányításában, valamint a területi kohézió erősítése. Aktívan mozdítsák elő az egészségügyi rendsze</w:t>
      </w:r>
      <w:r>
        <w:rPr>
          <w:noProof/>
        </w:rPr>
        <w:t>rben a nemek közötti egyenlőség elérésére irányuló stratégiákat.</w:t>
      </w:r>
    </w:p>
    <w:p w14:paraId="7574172C" w14:textId="77777777" w:rsidR="003E1D81" w:rsidRDefault="00EB481C">
      <w:pPr>
        <w:pStyle w:val="P68B1DB1-Normal4"/>
        <w:spacing w:before="120" w:after="120" w:line="240" w:lineRule="auto"/>
        <w:jc w:val="both"/>
        <w:rPr>
          <w:rFonts w:cs="Times New Roman"/>
          <w:noProof/>
        </w:rPr>
      </w:pPr>
      <w:r>
        <w:rPr>
          <w:noProof/>
        </w:rPr>
        <w:t>A spanyol helyreállítási és rezilienciaépítési terv e komponense támogatja a világjárvány elleni hatékony küzdelemre és az egészségügyi rendszer kapacitásának és rezilienciájának megerősítésé</w:t>
      </w:r>
      <w:r>
        <w:rPr>
          <w:noProof/>
        </w:rPr>
        <w:t>re vonatkozó országspecifikus ajánlások végrehajtását az egészségügyi dolgozók, valamint az alapvető egészségügyi termékek és infrastruktúra tekintetében (2020. évi 1. országspecifikus ajánlás), valamint a munkahelyek megőrzését, a hatékony munkaerő-felvét</w:t>
      </w:r>
      <w:r>
        <w:rPr>
          <w:noProof/>
        </w:rPr>
        <w:t>el ösztönzését és a készségfejlesztést célzó intézkedések révén támogatja a foglalkoztatást (2020. évi 2. országspecifikus ajánlás).</w:t>
      </w:r>
    </w:p>
    <w:p w14:paraId="01A9F91C" w14:textId="77777777" w:rsidR="003E1D81" w:rsidRDefault="00EB481C">
      <w:pPr>
        <w:pStyle w:val="P68B1DB1-Normal4"/>
        <w:spacing w:before="120" w:after="120" w:line="240" w:lineRule="auto"/>
        <w:jc w:val="both"/>
        <w:rPr>
          <w:rFonts w:cs="Times New Roman"/>
          <w:noProof/>
        </w:rPr>
      </w:pPr>
      <w:r>
        <w:rPr>
          <w:noProof/>
        </w:rPr>
        <w:t>A jelentős károkozás elkerülését célzó elvről szóló technikai iránymutatásnak (2021/C58/01) megfelelően a helyreállítási és</w:t>
      </w:r>
      <w:r>
        <w:rPr>
          <w:noProof/>
        </w:rPr>
        <w:t xml:space="preserve">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w:t>
      </w:r>
      <w:r>
        <w:rPr>
          <w:noProof/>
        </w:rPr>
        <w:t>52 rendelet 17. cikke szerinti környezeti célkitűzéseket.</w:t>
      </w:r>
    </w:p>
    <w:p w14:paraId="70C6600A" w14:textId="77777777" w:rsidR="003E1D81" w:rsidRDefault="00EB481C">
      <w:pPr>
        <w:pStyle w:val="P68B1DB1-Normal5"/>
        <w:keepNext/>
        <w:spacing w:before="120" w:after="120" w:line="240" w:lineRule="auto"/>
        <w:jc w:val="both"/>
        <w:rPr>
          <w:rFonts w:cs="Times New Roman"/>
          <w:i/>
          <w:noProof/>
        </w:rPr>
      </w:pPr>
      <w:r>
        <w:rPr>
          <w:noProof/>
        </w:rPr>
        <w:t xml:space="preserve">R.1. </w:t>
      </w:r>
      <w:r>
        <w:rPr>
          <w:noProof/>
        </w:rPr>
        <w:tab/>
        <w:t>Vissza nem térítendő pénzügyi támogatás – a reformok és beruházások ismertetése</w:t>
      </w:r>
    </w:p>
    <w:p w14:paraId="055F5AAC" w14:textId="77777777" w:rsidR="003E1D81" w:rsidRDefault="00EB481C">
      <w:pPr>
        <w:pStyle w:val="P68B1DB1-Normal6"/>
        <w:keepNext/>
        <w:spacing w:before="120" w:after="120" w:line="240" w:lineRule="auto"/>
        <w:jc w:val="both"/>
        <w:rPr>
          <w:rFonts w:cs="Times New Roman"/>
          <w:noProof/>
        </w:rPr>
      </w:pPr>
      <w:r>
        <w:rPr>
          <w:noProof/>
        </w:rPr>
        <w:t>Reform (C18.R1) – Az alapellátás és a közösségi ellátás megerősítése</w:t>
      </w:r>
    </w:p>
    <w:p w14:paraId="36261AE1" w14:textId="77777777" w:rsidR="003E1D81" w:rsidRDefault="00EB481C">
      <w:pPr>
        <w:pStyle w:val="P68B1DB1-Normal4"/>
        <w:keepNext/>
        <w:spacing w:before="120" w:after="120" w:line="240" w:lineRule="auto"/>
        <w:jc w:val="both"/>
        <w:rPr>
          <w:rFonts w:cs="Times New Roman"/>
          <w:noProof/>
        </w:rPr>
      </w:pPr>
      <w:r>
        <w:rPr>
          <w:noProof/>
        </w:rPr>
        <w:t xml:space="preserve">Az alapellátás megerősítése az egyik </w:t>
      </w:r>
      <w:r>
        <w:rPr>
          <w:noProof/>
        </w:rPr>
        <w:t>legfontosabb egészségügyi kihívás, amellyel Spanyolországnak az elkövetkező években szembe kell néznie. E reform célja, hogy jobb válaszokat adjon az újonnan felmerülő egészségügyi problémákra, javítsa az egyéni ellátási tapasztalatokat mindenki számára, m</w:t>
      </w:r>
      <w:r>
        <w:rPr>
          <w:noProof/>
        </w:rPr>
        <w:t>egelőzze a betegségeket, és növelje az alapellátás szerepét.</w:t>
      </w:r>
    </w:p>
    <w:p w14:paraId="6EE1EB86" w14:textId="77777777" w:rsidR="003E1D81" w:rsidRDefault="00EB481C">
      <w:pPr>
        <w:pStyle w:val="P68B1DB1-Normal4"/>
        <w:spacing w:before="120" w:after="120" w:line="240" w:lineRule="auto"/>
        <w:jc w:val="both"/>
        <w:rPr>
          <w:rFonts w:cs="Times New Roman"/>
          <w:noProof/>
        </w:rPr>
      </w:pPr>
      <w:r>
        <w:rPr>
          <w:noProof/>
        </w:rPr>
        <w:t>A reform a központi kormány és az autonóm közösségek által 2019-ben elfogadott, az elsődleges és közösségi ellátás megerősítését célzó stratégiai keret kidolgozására irányuló cselekvési terv elők</w:t>
      </w:r>
      <w:r>
        <w:rPr>
          <w:noProof/>
        </w:rPr>
        <w:t xml:space="preserve">észítéséből és végrehajtásából áll. A cselekvési terv olyan cselekvési irányvonalak köré szerveződik, amelyekbe a projektek regionális végrehajtását be kell építeni. Ez magában foglalja a klinikai irányítási folyamatok javítását, az egészségügyi központok </w:t>
      </w:r>
      <w:r>
        <w:rPr>
          <w:noProof/>
        </w:rPr>
        <w:t>diagnosztikai berendezéseinek bővítését és megújítását, az informatikai fejlesztést, a szakemberek képzését vagy az egészségügyi központok, valamint az egészségügyi és sürgősségi szolgálatok infrastruktúrájának fejlesztését.  A cselekvési tervet a Területk</w:t>
      </w:r>
      <w:r>
        <w:rPr>
          <w:noProof/>
        </w:rPr>
        <w:t xml:space="preserve">özi Tanács hagyja jóvá. Végrehajtását nem a helyreállítási és rezilienciaépítési terv finanszírozza. </w:t>
      </w:r>
    </w:p>
    <w:p w14:paraId="6C155FF3" w14:textId="77777777" w:rsidR="003E1D81" w:rsidRDefault="00EB481C">
      <w:pPr>
        <w:pStyle w:val="P68B1DB1-Normal4"/>
        <w:spacing w:before="120" w:after="120" w:line="240" w:lineRule="auto"/>
        <w:jc w:val="both"/>
        <w:rPr>
          <w:rFonts w:cs="Times New Roman"/>
          <w:noProof/>
        </w:rPr>
      </w:pPr>
      <w:r>
        <w:rPr>
          <w:noProof/>
        </w:rPr>
        <w:t xml:space="preserve">Az intézkedés végrehajtását 2023. december 31-ig be kell fejezni. </w:t>
      </w:r>
    </w:p>
    <w:p w14:paraId="0B0ED941" w14:textId="77777777" w:rsidR="003E1D81" w:rsidRDefault="00EB481C">
      <w:pPr>
        <w:pStyle w:val="P68B1DB1-Normal6"/>
        <w:spacing w:before="120" w:after="120" w:line="240" w:lineRule="auto"/>
        <w:jc w:val="both"/>
        <w:rPr>
          <w:rFonts w:cs="Times New Roman"/>
          <w:noProof/>
        </w:rPr>
      </w:pPr>
      <w:r>
        <w:rPr>
          <w:noProof/>
        </w:rPr>
        <w:t>Reform (C18.R2) – A közegészségügyi rendszer reformja</w:t>
      </w:r>
    </w:p>
    <w:p w14:paraId="53B13C59" w14:textId="77777777" w:rsidR="003E1D81" w:rsidRDefault="00EB481C">
      <w:pPr>
        <w:pStyle w:val="P68B1DB1-Normal4"/>
        <w:spacing w:before="120" w:after="120" w:line="240" w:lineRule="auto"/>
        <w:jc w:val="both"/>
        <w:rPr>
          <w:rFonts w:cs="Times New Roman"/>
          <w:noProof/>
        </w:rPr>
      </w:pPr>
      <w:r>
        <w:rPr>
          <w:noProof/>
        </w:rPr>
        <w:t xml:space="preserve">A reform célja a közegészségügyi </w:t>
      </w:r>
      <w:r>
        <w:rPr>
          <w:noProof/>
        </w:rPr>
        <w:t>ellátás általános és integrált keretének létrehozása. Ez egy ambiciózusabb, integráltabb és jobban tagolt közegészségügyi rendszer kialakítását jelenti a következő intézkedések révén:</w:t>
      </w:r>
    </w:p>
    <w:p w14:paraId="516502D7" w14:textId="77777777" w:rsidR="003E1D81" w:rsidRDefault="00EB481C">
      <w:pPr>
        <w:pStyle w:val="P68B1DB1-Normal8"/>
        <w:spacing w:before="120" w:after="120" w:line="240" w:lineRule="auto"/>
        <w:ind w:left="850" w:hanging="425"/>
        <w:jc w:val="both"/>
        <w:rPr>
          <w:rFonts w:cs="Times New Roman"/>
          <w:noProof/>
          <w:sz w:val="24"/>
        </w:rPr>
      </w:pPr>
      <w:r>
        <w:rPr>
          <w:noProof/>
          <w:sz w:val="24"/>
        </w:rPr>
        <w:t>-</w:t>
      </w:r>
      <w:r>
        <w:rPr>
          <w:noProof/>
        </w:rPr>
        <w:tab/>
      </w:r>
      <w:r>
        <w:rPr>
          <w:noProof/>
          <w:sz w:val="24"/>
        </w:rPr>
        <w:t xml:space="preserve">Közegészségügyi stratégia, amely olyan általános és integrált keretet </w:t>
      </w:r>
      <w:r>
        <w:rPr>
          <w:noProof/>
          <w:sz w:val="24"/>
        </w:rPr>
        <w:t>hoz létre, amelyet valamennyi közegészségügyi politikában figyelembe kell venni, és amelynek időtartama öt év, kétévente időközi értékelésekkel, amelyekben elemezni kell a végrehajtás mértékét.</w:t>
      </w:r>
      <w:r>
        <w:rPr>
          <w:noProof/>
          <w:sz w:val="18"/>
        </w:rPr>
        <w:t xml:space="preserve"> </w:t>
      </w:r>
      <w:r>
        <w:rPr>
          <w:noProof/>
          <w:sz w:val="24"/>
        </w:rPr>
        <w:t>A stratégiát a Nemzeti Egészségügyi Rendszer Területközi Tanác</w:t>
      </w:r>
      <w:r>
        <w:rPr>
          <w:noProof/>
          <w:sz w:val="24"/>
        </w:rPr>
        <w:t>sának egyetértésével kell jóváhagyni.</w:t>
      </w:r>
    </w:p>
    <w:p w14:paraId="2B2ACA26" w14:textId="77777777" w:rsidR="003E1D81" w:rsidRDefault="00EB481C">
      <w:pPr>
        <w:pStyle w:val="P68B1DB1-Normal4"/>
        <w:spacing w:before="120" w:after="120" w:line="240" w:lineRule="auto"/>
        <w:ind w:left="850" w:hanging="425"/>
        <w:jc w:val="both"/>
        <w:rPr>
          <w:rFonts w:cs="Times New Roman"/>
          <w:noProof/>
        </w:rPr>
      </w:pPr>
      <w:r>
        <w:rPr>
          <w:noProof/>
        </w:rPr>
        <w:t>–</w:t>
      </w:r>
      <w:r>
        <w:rPr>
          <w:noProof/>
        </w:rPr>
        <w:tab/>
        <w:t>Közegészségügyi felügyeleti hálózat és egy új állami közegészségügyi központ, amelyet törvény vagy királyi kormányrendelet révén hoznak létre.</w:t>
      </w:r>
    </w:p>
    <w:p w14:paraId="2399D7B1" w14:textId="77777777" w:rsidR="003E1D81" w:rsidRDefault="00EB481C">
      <w:pPr>
        <w:pStyle w:val="P68B1DB1-Normal4"/>
        <w:spacing w:before="120" w:after="120" w:line="240" w:lineRule="auto"/>
        <w:jc w:val="both"/>
        <w:rPr>
          <w:rFonts w:cs="Times New Roman"/>
          <w:noProof/>
        </w:rPr>
      </w:pPr>
      <w:r>
        <w:rPr>
          <w:noProof/>
        </w:rPr>
        <w:t>Az intézkedés végrehajtását 2023. december 31-ig be kell fejezni.</w:t>
      </w:r>
    </w:p>
    <w:p w14:paraId="5FF46A81" w14:textId="77777777" w:rsidR="003E1D81" w:rsidRDefault="00EB481C">
      <w:pPr>
        <w:pStyle w:val="P68B1DB1-Normal6"/>
        <w:spacing w:before="120" w:after="120" w:line="240" w:lineRule="auto"/>
        <w:jc w:val="both"/>
        <w:rPr>
          <w:rFonts w:cs="Times New Roman"/>
          <w:noProof/>
        </w:rPr>
      </w:pPr>
      <w:r>
        <w:rPr>
          <w:noProof/>
        </w:rPr>
        <w:t xml:space="preserve">Reform </w:t>
      </w:r>
      <w:r>
        <w:rPr>
          <w:noProof/>
        </w:rPr>
        <w:t>(C18). R3) – A kohézió, a méltányosság és az egyetemesség megerősítése</w:t>
      </w:r>
    </w:p>
    <w:p w14:paraId="3EA6C276" w14:textId="77777777" w:rsidR="003E1D81" w:rsidRDefault="00EB481C">
      <w:pPr>
        <w:pStyle w:val="P68B1DB1-Normal4"/>
        <w:spacing w:before="120" w:after="120" w:line="240" w:lineRule="auto"/>
        <w:jc w:val="both"/>
        <w:rPr>
          <w:rFonts w:cs="Times New Roman"/>
          <w:noProof/>
        </w:rPr>
      </w:pPr>
      <w:r>
        <w:rPr>
          <w:noProof/>
        </w:rPr>
        <w:t>E reform célja, hogy tovább erősítse az egyetemes egészségügyi ellátáshoz való hozzáférést Spanyolországban, az egészségügyi ellátáshoz való hozzáférés egyenlőségét és az egészségügyi e</w:t>
      </w:r>
      <w:r>
        <w:rPr>
          <w:noProof/>
        </w:rPr>
        <w:t>llátás terén az ország különböző területei közötti kohéziót. A reform három pillérből áll:</w:t>
      </w:r>
    </w:p>
    <w:p w14:paraId="1E7EFC6A" w14:textId="77777777" w:rsidR="003E1D81" w:rsidRDefault="00EB481C">
      <w:pPr>
        <w:pStyle w:val="P68B1DB1-Normal4"/>
        <w:spacing w:before="120" w:after="120" w:line="240" w:lineRule="auto"/>
        <w:ind w:left="850" w:hanging="425"/>
        <w:jc w:val="both"/>
        <w:rPr>
          <w:rFonts w:cs="Times New Roman"/>
          <w:noProof/>
        </w:rPr>
      </w:pPr>
      <w:r>
        <w:rPr>
          <w:noProof/>
        </w:rPr>
        <w:t>–</w:t>
      </w:r>
      <w:r>
        <w:rPr>
          <w:noProof/>
        </w:rPr>
        <w:tab/>
        <w:t>A nemzeti egészségügyi rendszer méltányosságáról, egyetemességéről és kohéziójáról szóló törvény. A törvény célkitűzései a következők: i. mindenki számára biztosít</w:t>
      </w:r>
      <w:r>
        <w:rPr>
          <w:noProof/>
        </w:rPr>
        <w:t>sák az egészségügyi ellátáshoz való hozzáférést, ii. integrálják a betegek képviselőit a spanyol nemzeti egészségügyi rendszer irányító szerveibe, iii. korlátozzák az új hozzájárulások igénybevételét, iv. megváltoztatják a szociális és egészségügyi ellátás</w:t>
      </w:r>
      <w:r>
        <w:rPr>
          <w:noProof/>
        </w:rPr>
        <w:t>ok meghatározását a nemzeti egészségügyi rendszer szolgáltatási portfóliójában, v. biztosítják az egészségügyi és szociális hatóságok közötti koordinációt, vi. hatásvizsgálatot vezetnek be a terület valamennyi szabályozási változásáról, és vii. megreformál</w:t>
      </w:r>
      <w:r>
        <w:rPr>
          <w:noProof/>
        </w:rPr>
        <w:t>ják a gyógyszerhasználatot a nemzeti egészségügyi rendszerben. Ezt a törvényt részletes hatásvizsgálatnak kell kísérnie, amely az államháztartás hosszú távú fenntarthatóságára gyakorolt hatásait is vizsgálja, és azt nyilvánosságra kell hozni.</w:t>
      </w:r>
    </w:p>
    <w:p w14:paraId="08A6364B" w14:textId="77777777" w:rsidR="003E1D81" w:rsidRDefault="00EB481C">
      <w:pPr>
        <w:pStyle w:val="P68B1DB1-Normal4"/>
        <w:spacing w:before="120" w:after="120" w:line="240" w:lineRule="auto"/>
        <w:ind w:left="850" w:hanging="425"/>
        <w:jc w:val="both"/>
        <w:rPr>
          <w:rFonts w:cs="Times New Roman"/>
          <w:noProof/>
        </w:rPr>
      </w:pPr>
      <w:r>
        <w:rPr>
          <w:noProof/>
        </w:rPr>
        <w:t>–</w:t>
      </w:r>
      <w:r>
        <w:rPr>
          <w:noProof/>
        </w:rPr>
        <w:tab/>
        <w:t>Az egészség</w:t>
      </w:r>
      <w:r>
        <w:rPr>
          <w:noProof/>
        </w:rPr>
        <w:t xml:space="preserve">ügyi rendszer rendkívül összetett ellátásának átalakítása a fókuszpontok hálózatának (CSUR) megszilárdítása és fejlesztése, valamint a rendkívül összetett, nem CUR-ellátás átrendezése révén. </w:t>
      </w:r>
    </w:p>
    <w:p w14:paraId="6B7D8F2B" w14:textId="77777777" w:rsidR="003E1D81" w:rsidRDefault="00EB481C">
      <w:pPr>
        <w:pStyle w:val="P68B1DB1-Normal4"/>
        <w:spacing w:before="120" w:after="120" w:line="240" w:lineRule="auto"/>
        <w:ind w:left="850" w:hanging="425"/>
        <w:jc w:val="both"/>
        <w:rPr>
          <w:rFonts w:cs="Times New Roman"/>
          <w:noProof/>
        </w:rPr>
      </w:pPr>
      <w:r>
        <w:rPr>
          <w:noProof/>
        </w:rPr>
        <w:t>–</w:t>
      </w:r>
      <w:r>
        <w:rPr>
          <w:noProof/>
        </w:rPr>
        <w:tab/>
        <w:t>A közegészségügyi szolgáltatások közös portfóliójának bővítése</w:t>
      </w:r>
      <w:r>
        <w:rPr>
          <w:noProof/>
        </w:rPr>
        <w:t>. Ez a reform kiterjeszti és javítja a közös portfólió szolgáltatásait a fogorvosi ellátás, a genomgyógyászat, az ortopédiai és protézisgondozás, valamint a megelőző ellátás terén.</w:t>
      </w:r>
    </w:p>
    <w:p w14:paraId="4AEA601A" w14:textId="77777777" w:rsidR="003E1D81" w:rsidRDefault="00EB481C">
      <w:pPr>
        <w:pStyle w:val="P68B1DB1-Normal4"/>
        <w:spacing w:before="120" w:after="120" w:line="240" w:lineRule="auto"/>
        <w:jc w:val="both"/>
        <w:rPr>
          <w:rFonts w:cs="Times New Roman"/>
          <w:noProof/>
        </w:rPr>
      </w:pPr>
      <w:r>
        <w:rPr>
          <w:noProof/>
        </w:rPr>
        <w:t xml:space="preserve">Az intézkedés végrehajtását 2023. december 31-ig be kell fejezni. </w:t>
      </w:r>
    </w:p>
    <w:p w14:paraId="1C75AC79" w14:textId="77777777" w:rsidR="003E1D81" w:rsidRDefault="00EB481C">
      <w:pPr>
        <w:pStyle w:val="P68B1DB1-Normal6"/>
        <w:spacing w:before="120" w:after="120" w:line="240" w:lineRule="auto"/>
        <w:jc w:val="both"/>
        <w:rPr>
          <w:rFonts w:cs="Times New Roman"/>
          <w:noProof/>
        </w:rPr>
      </w:pPr>
      <w:r>
        <w:rPr>
          <w:noProof/>
        </w:rPr>
        <w:t>Reform (</w:t>
      </w:r>
      <w:r>
        <w:rPr>
          <w:noProof/>
        </w:rPr>
        <w:t>C18). R4) – A szakmai készségek megerősítése és az ideiglenes foglalkoztatás csökkentése</w:t>
      </w:r>
    </w:p>
    <w:p w14:paraId="69666E6E" w14:textId="77777777" w:rsidR="003E1D81" w:rsidRDefault="00EB481C">
      <w:pPr>
        <w:pStyle w:val="P68B1DB1-Normal4"/>
        <w:spacing w:before="120" w:after="120" w:line="240" w:lineRule="auto"/>
        <w:jc w:val="both"/>
        <w:rPr>
          <w:rFonts w:cs="Times New Roman"/>
          <w:noProof/>
        </w:rPr>
      </w:pPr>
      <w:r>
        <w:rPr>
          <w:noProof/>
        </w:rPr>
        <w:t>A reform célja az ápolók és orvosok hiányának kezelése, az ideiglenes szerződések alkalmazásának csökkentése, a munkakörülmények javítása, valamint a képzés és a szakm</w:t>
      </w:r>
      <w:r>
        <w:rPr>
          <w:noProof/>
        </w:rPr>
        <w:t xml:space="preserve">ai fejlődés fokozása. </w:t>
      </w:r>
    </w:p>
    <w:p w14:paraId="19A74EF3" w14:textId="77777777" w:rsidR="003E1D81" w:rsidRDefault="00EB481C">
      <w:pPr>
        <w:pStyle w:val="P68B1DB1-Normal4"/>
        <w:spacing w:before="120" w:after="120" w:line="240" w:lineRule="auto"/>
        <w:jc w:val="both"/>
        <w:rPr>
          <w:rFonts w:cs="Times New Roman"/>
          <w:noProof/>
        </w:rPr>
      </w:pPr>
      <w:r>
        <w:rPr>
          <w:noProof/>
        </w:rPr>
        <w:t>A reform két területre terjed ki:</w:t>
      </w:r>
    </w:p>
    <w:p w14:paraId="428C83B7" w14:textId="77777777" w:rsidR="003E1D81" w:rsidRDefault="00EB481C">
      <w:pPr>
        <w:pStyle w:val="P68B1DB1-Normal4"/>
        <w:numPr>
          <w:ilvl w:val="0"/>
          <w:numId w:val="130"/>
        </w:numPr>
        <w:spacing w:before="120" w:after="160" w:line="259" w:lineRule="auto"/>
        <w:ind w:left="1134" w:hanging="425"/>
        <w:jc w:val="both"/>
        <w:rPr>
          <w:rFonts w:cs="Times New Roman"/>
          <w:noProof/>
        </w:rPr>
      </w:pPr>
      <w:r>
        <w:rPr>
          <w:noProof/>
        </w:rPr>
        <w:t>Spanyolországban az egészségügyi dolgozókra vonatkozó törvény (keretszabály) módosítása az ideiglenes foglalkoztatás csökkentése, az állások betöltésének biztosítása bizonyos, nem megfelelően kiszolg</w:t>
      </w:r>
      <w:r>
        <w:rPr>
          <w:noProof/>
        </w:rPr>
        <w:t>ált földrajzi területeken ösztönző intézkedések révén, a környezetvédelem és a munkakörülmények javítása olyan intézkedések révén, amelyek hozzájárulnak a szakmai fejlődéshez és megtartják a tehetségeket a spanyol rendszerben, nemcsak a gazdasági feltétele</w:t>
      </w:r>
      <w:r>
        <w:rPr>
          <w:noProof/>
        </w:rPr>
        <w:t>k javulásával, hanem az oktatási és kutatási lehetőségek megnyitásával is. A törvény módosítása során jelentést kell készíteni annak gazdasági hatásáról, és különösen az államháztartás fenntarthatóságáról szóló törvény hosszú távú hatásairól.</w:t>
      </w:r>
    </w:p>
    <w:p w14:paraId="23A5C93E" w14:textId="77777777" w:rsidR="003E1D81" w:rsidRDefault="00EB481C">
      <w:pPr>
        <w:pStyle w:val="P68B1DB1-Normal4"/>
        <w:numPr>
          <w:ilvl w:val="0"/>
          <w:numId w:val="130"/>
        </w:numPr>
        <w:spacing w:before="120" w:after="160" w:line="259" w:lineRule="auto"/>
        <w:ind w:left="1134" w:hanging="425"/>
        <w:contextualSpacing/>
        <w:jc w:val="both"/>
        <w:rPr>
          <w:rFonts w:cs="Times New Roman"/>
          <w:noProof/>
        </w:rPr>
      </w:pPr>
      <w:r>
        <w:rPr>
          <w:noProof/>
        </w:rPr>
        <w:t xml:space="preserve">A speciális </w:t>
      </w:r>
      <w:r>
        <w:rPr>
          <w:noProof/>
        </w:rPr>
        <w:t>egészségügyi képzési rendszer javítását célzó királyi törvényerejű rendelet hatálybalépése. A törvény szabályozza az egészségtudományi szakterületek átfogó képzését, a speciális képzési területeket, valamint az egészségtudományi szakképesítések érvényesíté</w:t>
      </w:r>
      <w:r>
        <w:rPr>
          <w:noProof/>
        </w:rPr>
        <w:t>sének és elismerésének eljárását.</w:t>
      </w:r>
    </w:p>
    <w:p w14:paraId="2A26071F" w14:textId="77777777" w:rsidR="003E1D81" w:rsidRDefault="003E1D81">
      <w:pPr>
        <w:spacing w:before="120" w:after="160" w:line="259" w:lineRule="auto"/>
        <w:ind w:left="1134"/>
        <w:contextualSpacing/>
        <w:jc w:val="both"/>
        <w:rPr>
          <w:rFonts w:ascii="Times New Roman" w:hAnsi="Times New Roman" w:cs="Times New Roman"/>
          <w:noProof/>
        </w:rPr>
      </w:pPr>
    </w:p>
    <w:p w14:paraId="0FEC0190" w14:textId="77777777" w:rsidR="003E1D81" w:rsidRDefault="00EB481C">
      <w:pPr>
        <w:pStyle w:val="P68B1DB1-Normal4"/>
        <w:spacing w:before="120" w:after="120" w:line="240" w:lineRule="auto"/>
        <w:jc w:val="both"/>
        <w:rPr>
          <w:rFonts w:cs="Times New Roman"/>
          <w:noProof/>
        </w:rPr>
      </w:pPr>
      <w:r>
        <w:rPr>
          <w:noProof/>
        </w:rPr>
        <w:t xml:space="preserve">Ez a reform a 11. komponens 1. reformjához kapcsolódik (C11.R1). </w:t>
      </w:r>
    </w:p>
    <w:p w14:paraId="6C04A7DC" w14:textId="77777777" w:rsidR="003E1D81" w:rsidRDefault="00EB481C">
      <w:pPr>
        <w:pStyle w:val="P68B1DB1-Normal4"/>
        <w:spacing w:before="120" w:after="120" w:line="240" w:lineRule="auto"/>
        <w:jc w:val="both"/>
        <w:rPr>
          <w:rFonts w:cs="Times New Roman"/>
          <w:noProof/>
        </w:rPr>
      </w:pPr>
      <w:r>
        <w:rPr>
          <w:noProof/>
        </w:rPr>
        <w:t>Az intézkedés végrehajtását 2023. december 31-ig be kell fejezni.</w:t>
      </w:r>
    </w:p>
    <w:p w14:paraId="09A885C2" w14:textId="77777777" w:rsidR="003E1D81" w:rsidRDefault="00EB481C">
      <w:pPr>
        <w:pStyle w:val="P68B1DB1-Normal6"/>
        <w:spacing w:before="120" w:after="120" w:line="240" w:lineRule="auto"/>
        <w:jc w:val="both"/>
        <w:rPr>
          <w:rFonts w:cs="Times New Roman"/>
          <w:noProof/>
        </w:rPr>
      </w:pPr>
      <w:r>
        <w:rPr>
          <w:noProof/>
        </w:rPr>
        <w:t>Reform (C18.R5) – A gyógyszerek szabályozásának reformja és a gyógyszerekhez való hozzáfé</w:t>
      </w:r>
      <w:r>
        <w:rPr>
          <w:noProof/>
        </w:rPr>
        <w:t>rés javítása</w:t>
      </w:r>
    </w:p>
    <w:p w14:paraId="21200712" w14:textId="77777777" w:rsidR="003E1D81" w:rsidRDefault="00EB481C">
      <w:pPr>
        <w:pStyle w:val="P68B1DB1-Normal4"/>
        <w:spacing w:before="120" w:after="120" w:line="240" w:lineRule="auto"/>
        <w:jc w:val="both"/>
        <w:rPr>
          <w:rFonts w:cs="Times New Roman"/>
          <w:noProof/>
        </w:rPr>
      </w:pPr>
      <w:r>
        <w:rPr>
          <w:noProof/>
        </w:rPr>
        <w:t>E reform fő célja a gyógyszerekre és orvostechnikai eszközökre vonatkozó spanyol szabályozási keret naprakésszé tétele a gyógyszerek és orvostechnikai eszközök garanciáiról és ésszerű használatáról szóló törvény (július 24-i 1/2015. sz. király</w:t>
      </w:r>
      <w:r>
        <w:rPr>
          <w:noProof/>
        </w:rPr>
        <w:t>i törvényerejű rendelet) módosításával, amely jelenleg a vonatkozó spanyolországi szabályozási keretet létrehozó jogszabály.  A rendszert különösen úgy kell átalakítani, hogy megbirkózzon az új, forradalmi tudományos fejleményekkel, elmélyítse a gyógyszerk</w:t>
      </w:r>
      <w:r>
        <w:rPr>
          <w:noProof/>
        </w:rPr>
        <w:t>iadások racionalizálására irányuló intézkedéseket, ösztönözze a gyógyszerek ésszerű használatát, és változtatásokat hajtson végre a világjárvány során szerzett tapasztalatok fényében. A törvény kidolgozása során jelentést kell készíteni annak gazdasági hat</w:t>
      </w:r>
      <w:r>
        <w:rPr>
          <w:noProof/>
        </w:rPr>
        <w:t xml:space="preserve">ásáról, és különösen az államháztartás fenntarthatóságáról szóló törvény hosszú távú hatásairól. </w:t>
      </w:r>
    </w:p>
    <w:p w14:paraId="64BBFBBA" w14:textId="04C32DBA" w:rsidR="003E1D81" w:rsidRDefault="00EB481C">
      <w:pPr>
        <w:pStyle w:val="P68B1DB1-Normal4"/>
        <w:spacing w:before="120" w:after="120" w:line="240" w:lineRule="auto"/>
        <w:jc w:val="both"/>
        <w:rPr>
          <w:rFonts w:cs="Times New Roman"/>
          <w:noProof/>
        </w:rPr>
      </w:pPr>
      <w:r>
        <w:rPr>
          <w:noProof/>
        </w:rPr>
        <w:t>Az intézkedés végrehajtását 2023. december 31-ig be kell fejezni.</w:t>
      </w:r>
    </w:p>
    <w:p w14:paraId="1AB505A2" w14:textId="77777777" w:rsidR="003E1D81" w:rsidRDefault="00EB481C">
      <w:pPr>
        <w:pStyle w:val="P68B1DB1-Normal6"/>
        <w:keepNext/>
        <w:spacing w:before="120" w:after="120" w:line="240" w:lineRule="auto"/>
        <w:jc w:val="both"/>
        <w:rPr>
          <w:rFonts w:cs="Times New Roman"/>
          <w:noProof/>
        </w:rPr>
      </w:pPr>
      <w:r>
        <w:rPr>
          <w:noProof/>
        </w:rPr>
        <w:t>Beruházás (C18.I1) – A nemzeti egészségügyi rendszer csúcstechnológiai berendezéseire vonatk</w:t>
      </w:r>
      <w:r>
        <w:rPr>
          <w:noProof/>
        </w:rPr>
        <w:t>ozó beruházási terv</w:t>
      </w:r>
    </w:p>
    <w:p w14:paraId="2DA5E361" w14:textId="77777777" w:rsidR="003E1D81" w:rsidRDefault="00EB481C">
      <w:pPr>
        <w:pStyle w:val="P68B1DB1-Normal4"/>
        <w:keepNext/>
        <w:spacing w:before="120" w:after="120" w:line="240" w:lineRule="auto"/>
        <w:jc w:val="both"/>
        <w:rPr>
          <w:rFonts w:cs="Times New Roman"/>
          <w:noProof/>
        </w:rPr>
      </w:pPr>
      <w:r>
        <w:rPr>
          <w:noProof/>
        </w:rPr>
        <w:t>Spanyolországban a berendezések elavulása meghaladja az európai átlagot, és alacsonyabb az egy főre jutó berendezések átlagos sűrűsége, néhány kivételtől eltekintve, mint például az MRI-szkennerek. A berendezések földrajzi eloszlása szi</w:t>
      </w:r>
      <w:r>
        <w:rPr>
          <w:noProof/>
        </w:rPr>
        <w:t>ntén kiegyensúlyozatlan. E beruházás célja a meglévő berendezések megújítása és Spanyolország további csúcstechnológiai orvostechnikai eszközökkel való ellátása.</w:t>
      </w:r>
    </w:p>
    <w:p w14:paraId="5010DDAC" w14:textId="77777777" w:rsidR="003E1D81" w:rsidRDefault="00EB481C">
      <w:pPr>
        <w:pStyle w:val="P68B1DB1-Normal4"/>
        <w:spacing w:before="120" w:after="120" w:line="240" w:lineRule="auto"/>
        <w:jc w:val="both"/>
        <w:rPr>
          <w:rFonts w:cs="Times New Roman"/>
          <w:noProof/>
        </w:rPr>
      </w:pPr>
      <w:r>
        <w:rPr>
          <w:noProof/>
        </w:rPr>
        <w:t>A beruházás a következőkre terjed ki:</w:t>
      </w:r>
    </w:p>
    <w:p w14:paraId="3214FCBB" w14:textId="77777777" w:rsidR="003E1D81" w:rsidRDefault="00EB481C">
      <w:pPr>
        <w:pStyle w:val="P68B1DB1-Normal4"/>
        <w:spacing w:before="120" w:after="120" w:line="240" w:lineRule="auto"/>
        <w:ind w:left="709"/>
        <w:jc w:val="both"/>
        <w:rPr>
          <w:rFonts w:cs="Times New Roman"/>
          <w:noProof/>
        </w:rPr>
      </w:pPr>
      <w:r>
        <w:rPr>
          <w:noProof/>
        </w:rPr>
        <w:t>–</w:t>
      </w:r>
      <w:r>
        <w:rPr>
          <w:noProof/>
        </w:rPr>
        <w:tab/>
        <w:t>A berendezések felújítása elavulás miatt.</w:t>
      </w:r>
    </w:p>
    <w:p w14:paraId="6A306554" w14:textId="77777777" w:rsidR="003E1D81" w:rsidRDefault="00EB481C">
      <w:pPr>
        <w:pStyle w:val="P68B1DB1-Normal4"/>
        <w:spacing w:before="120" w:after="120" w:line="240" w:lineRule="auto"/>
        <w:ind w:left="1418" w:hanging="709"/>
        <w:jc w:val="both"/>
        <w:rPr>
          <w:rFonts w:cs="Times New Roman"/>
          <w:noProof/>
        </w:rPr>
      </w:pPr>
      <w:r>
        <w:rPr>
          <w:noProof/>
        </w:rPr>
        <w:t>–</w:t>
      </w:r>
      <w:r>
        <w:rPr>
          <w:noProof/>
        </w:rPr>
        <w:tab/>
        <w:t>Az eszközá</w:t>
      </w:r>
      <w:r>
        <w:rPr>
          <w:noProof/>
        </w:rPr>
        <w:t>llomány bővítése a régiók közötti különbségek kiegyensúlyozása és az egymillió lakosra jutó európai uniós átlag fokozatos elérése érdekében, különös tekintettel a spanyol területek azon területeire, amelyeket az országos átlaghoz képest egy lakosra vetítve</w:t>
      </w:r>
      <w:r>
        <w:rPr>
          <w:noProof/>
        </w:rPr>
        <w:t xml:space="preserve"> alulfoglalnak.</w:t>
      </w:r>
    </w:p>
    <w:p w14:paraId="5DAC27B9" w14:textId="618C19F0" w:rsidR="003E1D81" w:rsidRDefault="00EB481C">
      <w:pPr>
        <w:pStyle w:val="P68B1DB1-Normal4"/>
        <w:spacing w:before="120" w:after="120" w:line="240" w:lineRule="auto"/>
        <w:jc w:val="both"/>
        <w:rPr>
          <w:rFonts w:cs="Times New Roman"/>
          <w:noProof/>
        </w:rPr>
      </w:pPr>
      <w:r>
        <w:rPr>
          <w:noProof/>
        </w:rPr>
        <w:t>A tervnek a következő berendezéstípusokat kell tartalmaznia: lineáris gyorsítók, számítógépes axiális tomográfia (CAT), beleértve a tervezési gyorsítókat is; mágneses rezonancia, pozitron-emissziós tomográfia (PET), pozitronkibocsátás-tomog</w:t>
      </w:r>
      <w:r>
        <w:rPr>
          <w:noProof/>
        </w:rPr>
        <w:t>ráfia és CAT (PET-CAT), gammakamrá, digitális braquiterápia berendezés, vaszkuláris angiográfia, neurorradiológiai angiográfia és hemodinamikai helyiségek.</w:t>
      </w:r>
    </w:p>
    <w:p w14:paraId="307CC6BD" w14:textId="77777777" w:rsidR="003E1D81" w:rsidRDefault="00EB481C">
      <w:pPr>
        <w:pStyle w:val="P68B1DB1-Normal4"/>
        <w:spacing w:before="120" w:after="120" w:line="240" w:lineRule="auto"/>
        <w:jc w:val="both"/>
        <w:rPr>
          <w:rFonts w:cs="Times New Roman"/>
          <w:noProof/>
        </w:rPr>
      </w:pPr>
      <w:r>
        <w:rPr>
          <w:noProof/>
        </w:rPr>
        <w:t>A beruházás végrehajtását 2023. december 31-ig be kell fejezni.</w:t>
      </w:r>
    </w:p>
    <w:p w14:paraId="3DE11508" w14:textId="77777777" w:rsidR="003E1D81" w:rsidRDefault="00EB481C">
      <w:pPr>
        <w:pStyle w:val="P68B1DB1-Normal6"/>
        <w:spacing w:before="120" w:after="120" w:line="240" w:lineRule="auto"/>
        <w:jc w:val="both"/>
        <w:rPr>
          <w:rFonts w:cs="Times New Roman"/>
          <w:noProof/>
        </w:rPr>
      </w:pPr>
      <w:r>
        <w:rPr>
          <w:noProof/>
        </w:rPr>
        <w:t>Beruházás (C18.I2) – A megelőzést és</w:t>
      </w:r>
      <w:r>
        <w:rPr>
          <w:noProof/>
        </w:rPr>
        <w:t xml:space="preserve"> az egészségfejlesztést erősítő intézkedések</w:t>
      </w:r>
    </w:p>
    <w:p w14:paraId="7EF09B9C" w14:textId="77777777" w:rsidR="003E1D81" w:rsidRDefault="00EB481C">
      <w:pPr>
        <w:pStyle w:val="P68B1DB1-Normal4"/>
        <w:spacing w:before="120" w:after="120" w:line="240" w:lineRule="auto"/>
        <w:jc w:val="both"/>
        <w:rPr>
          <w:rFonts w:cs="Times New Roman"/>
          <w:noProof/>
        </w:rPr>
      </w:pPr>
      <w:r>
        <w:rPr>
          <w:noProof/>
        </w:rPr>
        <w:t>E beruházás célja a megelőző ellátás megerősítése. Különösen az egészséges életmód és környezet előmozdítására összpontosít. Olyan területekre terjed ki, mint például a következők: a dohányzás elleni küzdelem, a</w:t>
      </w:r>
      <w:r>
        <w:rPr>
          <w:noProof/>
        </w:rPr>
        <w:t>z alkoholfogyasztás megelőzése, a mentális egészség előmozdítása, az egészséges lakókörnyezet és életmód előmozdítása, az antimikrobiális rezisztencia terve és a rák megelőzése, beleértve a rák elleni európai kódex terjesztését is.</w:t>
      </w:r>
    </w:p>
    <w:p w14:paraId="6F8EA95A" w14:textId="77777777" w:rsidR="003E1D81" w:rsidRDefault="00EB481C">
      <w:pPr>
        <w:pStyle w:val="P68B1DB1-Normal4"/>
        <w:spacing w:before="120" w:after="120" w:line="240" w:lineRule="auto"/>
        <w:jc w:val="both"/>
        <w:rPr>
          <w:rFonts w:cs="Times New Roman"/>
          <w:noProof/>
        </w:rPr>
      </w:pPr>
      <w:r>
        <w:rPr>
          <w:noProof/>
        </w:rPr>
        <w:t>A beruházás végrehajtásá</w:t>
      </w:r>
      <w:r>
        <w:rPr>
          <w:noProof/>
        </w:rPr>
        <w:t>t 2023. december 31-ig be kell fejezni.</w:t>
      </w:r>
    </w:p>
    <w:p w14:paraId="4F03E14C" w14:textId="77777777" w:rsidR="003E1D81" w:rsidRDefault="00EB481C">
      <w:pPr>
        <w:pStyle w:val="P68B1DB1-Normal6"/>
        <w:spacing w:before="120" w:after="120" w:line="240" w:lineRule="auto"/>
        <w:jc w:val="both"/>
        <w:rPr>
          <w:rFonts w:cs="Times New Roman"/>
          <w:noProof/>
        </w:rPr>
      </w:pPr>
      <w:r>
        <w:rPr>
          <w:noProof/>
        </w:rPr>
        <w:t>Beruházás (C18.I3) – Az egészségügyi válságokra való reagálási kapacitások növelése</w:t>
      </w:r>
    </w:p>
    <w:p w14:paraId="62E70756" w14:textId="77777777" w:rsidR="003E1D81" w:rsidRDefault="00EB481C">
      <w:pPr>
        <w:pStyle w:val="P68B1DB1-Normal4"/>
        <w:spacing w:before="120" w:after="120" w:line="240" w:lineRule="auto"/>
        <w:jc w:val="both"/>
        <w:rPr>
          <w:rFonts w:cs="Times New Roman"/>
          <w:noProof/>
        </w:rPr>
      </w:pPr>
      <w:r>
        <w:rPr>
          <w:noProof/>
        </w:rPr>
        <w:t>A világjárvány rávilágított arra, hogy meg kell erősíteni a kritikus helyzetekre vonatkozó felügyeleti, korai felismerési és gyors r</w:t>
      </w:r>
      <w:r>
        <w:rPr>
          <w:noProof/>
        </w:rPr>
        <w:t>eagálási kapacitásokat, valamint hogy meg kell erősíteni a laboratóriumok és az egészségügyi intézmények kapacitásait. Ez a beruházás a jövőbeli egészségügyi válságokra való reagálási képesség növelését célzó intézkedéscsomagból áll:</w:t>
      </w:r>
    </w:p>
    <w:p w14:paraId="54114934" w14:textId="77777777" w:rsidR="003E1D81" w:rsidRDefault="00EB481C">
      <w:pPr>
        <w:pStyle w:val="P68B1DB1-Normal4"/>
        <w:spacing w:before="120" w:after="120" w:line="240" w:lineRule="auto"/>
        <w:ind w:left="720"/>
        <w:jc w:val="both"/>
        <w:rPr>
          <w:rFonts w:cs="Times New Roman"/>
          <w:noProof/>
        </w:rPr>
      </w:pPr>
      <w:r>
        <w:rPr>
          <w:noProof/>
        </w:rPr>
        <w:t>1. Az új Állami Közegé</w:t>
      </w:r>
      <w:r>
        <w:rPr>
          <w:noProof/>
        </w:rPr>
        <w:t>szségügyi Központ felszerelése;</w:t>
      </w:r>
    </w:p>
    <w:p w14:paraId="36323D5D" w14:textId="77777777" w:rsidR="003E1D81" w:rsidRDefault="00EB481C">
      <w:pPr>
        <w:pStyle w:val="P68B1DB1-Normal4"/>
        <w:spacing w:before="120" w:after="120" w:line="240" w:lineRule="auto"/>
        <w:ind w:left="720"/>
        <w:jc w:val="both"/>
        <w:rPr>
          <w:rFonts w:cs="Times New Roman"/>
          <w:noProof/>
        </w:rPr>
      </w:pPr>
      <w:r>
        <w:rPr>
          <w:noProof/>
        </w:rPr>
        <w:t>2. Közegészségügyi felügyeleti információs rendszer, amely kibővíti, javítja és integrálja a fertőző és nem fertőző betegségekre vonatkozó meglévő spanyolországi információs rendszereket;</w:t>
      </w:r>
    </w:p>
    <w:p w14:paraId="4068DAB9" w14:textId="77777777" w:rsidR="003E1D81" w:rsidRDefault="00EB481C">
      <w:pPr>
        <w:pStyle w:val="P68B1DB1-Normal4"/>
        <w:spacing w:before="120" w:after="120" w:line="240" w:lineRule="auto"/>
        <w:ind w:left="720"/>
        <w:jc w:val="both"/>
        <w:rPr>
          <w:rFonts w:cs="Times New Roman"/>
          <w:noProof/>
        </w:rPr>
      </w:pPr>
      <w:r>
        <w:rPr>
          <w:noProof/>
        </w:rPr>
        <w:t>3. A Melillai Egyetemi Kórház befeje</w:t>
      </w:r>
      <w:r>
        <w:rPr>
          <w:noProof/>
        </w:rPr>
        <w:t>zése és a Nemzeti Dozimetriai Központ új épületének építése;</w:t>
      </w:r>
    </w:p>
    <w:p w14:paraId="119BBF0E" w14:textId="56CBE7F9" w:rsidR="003E1D81" w:rsidRDefault="00EB481C">
      <w:pPr>
        <w:pStyle w:val="P68B1DB1-Normal4"/>
        <w:spacing w:before="120" w:after="120" w:line="240" w:lineRule="auto"/>
        <w:ind w:left="720"/>
        <w:jc w:val="both"/>
        <w:rPr>
          <w:rFonts w:cs="Times New Roman"/>
          <w:noProof/>
        </w:rPr>
      </w:pPr>
      <w:r>
        <w:rPr>
          <w:noProof/>
        </w:rPr>
        <w:t>4. Az Országos Munkahelyi Biztonsági és Egészségvédelmi Intézet egyéni védőeszközöket vizsgáló laboratóriuma kapacitásának növelése;</w:t>
      </w:r>
    </w:p>
    <w:p w14:paraId="1EFD3961" w14:textId="4EBDF077" w:rsidR="003E1D81" w:rsidRDefault="00EB481C">
      <w:pPr>
        <w:pStyle w:val="P68B1DB1-Normal4"/>
        <w:spacing w:before="120" w:after="120" w:line="240" w:lineRule="auto"/>
        <w:ind w:left="720"/>
        <w:jc w:val="both"/>
        <w:rPr>
          <w:rFonts w:cs="Times New Roman"/>
          <w:noProof/>
        </w:rPr>
      </w:pPr>
      <w:r>
        <w:rPr>
          <w:noProof/>
        </w:rPr>
        <w:t>5. A Nemzeti Élelmiszer-központ megerősítése;</w:t>
      </w:r>
    </w:p>
    <w:p w14:paraId="738F080A" w14:textId="77777777" w:rsidR="003E1D81" w:rsidRDefault="00EB481C">
      <w:pPr>
        <w:pStyle w:val="P68B1DB1-Normal4"/>
        <w:spacing w:before="120" w:after="120" w:line="240" w:lineRule="auto"/>
        <w:ind w:left="720"/>
        <w:jc w:val="both"/>
        <w:rPr>
          <w:rFonts w:cs="Times New Roman"/>
          <w:noProof/>
        </w:rPr>
      </w:pPr>
      <w:r>
        <w:rPr>
          <w:noProof/>
        </w:rPr>
        <w:t xml:space="preserve">6. Technológiai </w:t>
      </w:r>
      <w:r>
        <w:rPr>
          <w:noProof/>
        </w:rPr>
        <w:t>beruházások a Gyógyszerügynökségben és a nemzeti transzplantációs szervezetben;</w:t>
      </w:r>
    </w:p>
    <w:p w14:paraId="5134649D" w14:textId="77777777" w:rsidR="003E1D81" w:rsidRDefault="00EB481C">
      <w:pPr>
        <w:pStyle w:val="P68B1DB1-Normal4"/>
        <w:spacing w:before="120" w:after="120" w:line="240" w:lineRule="auto"/>
        <w:ind w:left="720"/>
        <w:jc w:val="both"/>
        <w:rPr>
          <w:rFonts w:cs="Times New Roman"/>
          <w:noProof/>
        </w:rPr>
      </w:pPr>
      <w:r>
        <w:rPr>
          <w:noProof/>
        </w:rPr>
        <w:t>7. A nemzeti egészségügyi rendszer világjárvány alatti teljesítményének értékelése.</w:t>
      </w:r>
    </w:p>
    <w:p w14:paraId="69794899" w14:textId="236625D9" w:rsidR="003E1D81" w:rsidRDefault="00EB481C">
      <w:pPr>
        <w:pStyle w:val="P68B1DB1-Normal4"/>
        <w:spacing w:before="120" w:after="120" w:line="240" w:lineRule="auto"/>
        <w:jc w:val="both"/>
        <w:rPr>
          <w:rFonts w:cs="Times New Roman"/>
          <w:noProof/>
        </w:rPr>
      </w:pPr>
      <w:r>
        <w:rPr>
          <w:noProof/>
        </w:rPr>
        <w:t xml:space="preserve">A beruházás végrehajtását 2025. december 31-ig be kell fejezni. </w:t>
      </w:r>
    </w:p>
    <w:p w14:paraId="6CE2FA0F" w14:textId="77777777" w:rsidR="003E1D81" w:rsidRDefault="00EB481C">
      <w:pPr>
        <w:keepNext/>
        <w:spacing w:before="120" w:after="120" w:line="240" w:lineRule="auto"/>
        <w:jc w:val="both"/>
        <w:rPr>
          <w:rFonts w:ascii="Times New Roman" w:hAnsi="Times New Roman" w:cs="Times New Roman"/>
          <w:noProof/>
          <w:sz w:val="24"/>
          <w:u w:val="single"/>
        </w:rPr>
      </w:pPr>
      <w:r>
        <w:rPr>
          <w:rFonts w:ascii="Times New Roman" w:hAnsi="Times New Roman"/>
          <w:noProof/>
          <w:sz w:val="24"/>
          <w:u w:val="single"/>
        </w:rPr>
        <w:t>Beruházás (C18.I4) – Az egé</w:t>
      </w:r>
      <w:r>
        <w:rPr>
          <w:rFonts w:ascii="Times New Roman" w:hAnsi="Times New Roman"/>
          <w:noProof/>
          <w:sz w:val="24"/>
          <w:u w:val="single"/>
        </w:rPr>
        <w:t>szségügyi szakemberek és erőforrások képzése az ismeretek megosztása és</w:t>
      </w:r>
      <w:r>
        <w:rPr>
          <w:noProof/>
        </w:rPr>
        <w:t xml:space="preserve"> </w:t>
      </w:r>
      <w:r>
        <w:rPr>
          <w:rFonts w:ascii="Times New Roman" w:hAnsi="Times New Roman"/>
          <w:noProof/>
          <w:sz w:val="24"/>
          <w:u w:val="single"/>
        </w:rPr>
        <w:t>a ritka betegségekben szenvedő betegek kezelésének javítása</w:t>
      </w:r>
      <w:r>
        <w:rPr>
          <w:noProof/>
        </w:rPr>
        <w:t>érdekében</w:t>
      </w:r>
    </w:p>
    <w:p w14:paraId="5AA0018A" w14:textId="77777777" w:rsidR="003E1D81" w:rsidRDefault="00EB481C">
      <w:pPr>
        <w:pStyle w:val="P68B1DB1-Normal4"/>
        <w:keepNext/>
        <w:tabs>
          <w:tab w:val="left" w:pos="1560"/>
        </w:tabs>
        <w:spacing w:before="120" w:after="120" w:line="240" w:lineRule="auto"/>
        <w:jc w:val="both"/>
        <w:rPr>
          <w:rFonts w:cs="Times New Roman"/>
          <w:noProof/>
        </w:rPr>
      </w:pPr>
      <w:r>
        <w:rPr>
          <w:noProof/>
        </w:rPr>
        <w:t>E beruházás célja az egészségügyi szakemberek készségeinek és kompetenciáinak megerősítése, különös tekintettel a s</w:t>
      </w:r>
      <w:r>
        <w:rPr>
          <w:noProof/>
        </w:rPr>
        <w:t>panyol helyreállítási és rezilienciaépítési terv e komponensének reformjához és beruházásaihoz kapcsolódó képzésre. Célja továbbá olyan eszközök előmozdítása, amelyek lehetővé teszik az egészségügyi szakemberek számára az ismeretek megosztását az egészségü</w:t>
      </w:r>
      <w:r>
        <w:rPr>
          <w:noProof/>
        </w:rPr>
        <w:t xml:space="preserve">gyi ellátás koordinációjának és minőségének javítása érdekében, többek között az ezen alkotóelem hatálya alá tartozó kiemelt területeken. Célja továbbá a ritka betegségekben szenvedő betegek kezelésének javítása. </w:t>
      </w:r>
    </w:p>
    <w:p w14:paraId="47680125" w14:textId="20C6B3CD" w:rsidR="003E1D81" w:rsidRDefault="00EB481C">
      <w:pPr>
        <w:pStyle w:val="P68B1DB1-Normal4"/>
        <w:keepNext/>
        <w:tabs>
          <w:tab w:val="left" w:pos="1560"/>
        </w:tabs>
        <w:spacing w:before="120" w:after="120" w:line="240" w:lineRule="auto"/>
        <w:jc w:val="both"/>
        <w:rPr>
          <w:rFonts w:cs="Times New Roman"/>
          <w:noProof/>
        </w:rPr>
      </w:pPr>
      <w:r>
        <w:rPr>
          <w:noProof/>
        </w:rPr>
        <w:t>A beruházás öt területre terjed ki:</w:t>
      </w:r>
    </w:p>
    <w:p w14:paraId="7C00C580" w14:textId="77777777" w:rsidR="003E1D81" w:rsidRDefault="00EB481C">
      <w:pPr>
        <w:pStyle w:val="P68B1DB1-Normal4"/>
        <w:numPr>
          <w:ilvl w:val="0"/>
          <w:numId w:val="131"/>
        </w:numPr>
        <w:spacing w:before="120" w:after="160" w:line="259" w:lineRule="auto"/>
        <w:contextualSpacing/>
        <w:jc w:val="both"/>
        <w:rPr>
          <w:rFonts w:cs="Times New Roman"/>
          <w:noProof/>
        </w:rPr>
      </w:pPr>
      <w:r>
        <w:rPr>
          <w:noProof/>
        </w:rPr>
        <w:t>Tovább</w:t>
      </w:r>
      <w:r>
        <w:rPr>
          <w:noProof/>
        </w:rPr>
        <w:t>képzés a következő területeken: az egészségügyi technológiák és információs rendszerek használata, a népegészségügy és epidemiológia felügyelete, a betegek és a szakmai biztonság, a diagnosztikai és terápiás erőforrások ésszerű felhasználása, a rák korai f</w:t>
      </w:r>
      <w:r>
        <w:rPr>
          <w:noProof/>
        </w:rPr>
        <w:t>elismerése, a mentális egészség, a környezeti egészség, a kockázati tényezők megelőzése, a nemi alapú erőszak korai felismerése, a gyermekbántalmazás korai felismerése, a bioetika, az életciklus végi ellátás, a klinikai kommunikáció, a tényeken alapuló orv</w:t>
      </w:r>
      <w:r>
        <w:rPr>
          <w:noProof/>
        </w:rPr>
        <w:t>ostudomány, a csapatmunka, a kutatási módszertan, az egészségügyi központokért felelős személyek vezetői készségeinek fejlesztése, szakorvosok képzése és a folyamatos oktatásban részt vevő értékelők képzése.</w:t>
      </w:r>
    </w:p>
    <w:p w14:paraId="44A5B044" w14:textId="77777777" w:rsidR="003E1D81" w:rsidRDefault="00EB481C">
      <w:pPr>
        <w:pStyle w:val="P68B1DB1-Normal4"/>
        <w:numPr>
          <w:ilvl w:val="0"/>
          <w:numId w:val="131"/>
        </w:numPr>
        <w:spacing w:before="120" w:after="160" w:line="259" w:lineRule="auto"/>
        <w:contextualSpacing/>
        <w:jc w:val="both"/>
        <w:rPr>
          <w:rFonts w:cs="Times New Roman"/>
          <w:noProof/>
        </w:rPr>
      </w:pPr>
      <w:r>
        <w:rPr>
          <w:noProof/>
        </w:rPr>
        <w:t>A nemzeti egészségügyi rendszer szakemberei álta</w:t>
      </w:r>
      <w:r>
        <w:rPr>
          <w:noProof/>
        </w:rPr>
        <w:t>l elsajátított, nem szabályozott készségek értékelésére és akkreditálására szolgáló rendszer létrehozása</w:t>
      </w:r>
    </w:p>
    <w:p w14:paraId="69259F98" w14:textId="01EC7B45" w:rsidR="003E1D81" w:rsidRDefault="00EB481C">
      <w:pPr>
        <w:pStyle w:val="P68B1DB1-Normal4"/>
        <w:numPr>
          <w:ilvl w:val="0"/>
          <w:numId w:val="131"/>
        </w:numPr>
        <w:spacing w:before="120" w:after="160" w:line="259" w:lineRule="auto"/>
        <w:contextualSpacing/>
        <w:jc w:val="both"/>
        <w:rPr>
          <w:rFonts w:cs="Times New Roman"/>
          <w:noProof/>
        </w:rPr>
      </w:pPr>
      <w:r>
        <w:rPr>
          <w:noProof/>
        </w:rPr>
        <w:t xml:space="preserve">A rendkívül összetett körülmények kezelésére szolgáló együttműködési eszközök. </w:t>
      </w:r>
    </w:p>
    <w:p w14:paraId="3A263ED7" w14:textId="3C2D1E89" w:rsidR="003E1D81" w:rsidRDefault="00EB481C">
      <w:pPr>
        <w:pStyle w:val="P68B1DB1-Normal4"/>
        <w:numPr>
          <w:ilvl w:val="0"/>
          <w:numId w:val="131"/>
        </w:numPr>
        <w:spacing w:before="120" w:after="160" w:line="259" w:lineRule="auto"/>
        <w:contextualSpacing/>
        <w:jc w:val="both"/>
        <w:rPr>
          <w:rFonts w:cs="Times New Roman"/>
          <w:noProof/>
        </w:rPr>
      </w:pPr>
      <w:r>
        <w:rPr>
          <w:noProof/>
        </w:rPr>
        <w:t xml:space="preserve">Számítógépes feltérképezés kidolgozása a korai ellátás és a genomikus orvoslás közös erőforrásainak és szolgáltatásainak megjelenítése érdekében Spanyolországban. </w:t>
      </w:r>
    </w:p>
    <w:p w14:paraId="68459F49" w14:textId="652616A6" w:rsidR="003E1D81" w:rsidRDefault="00EB481C">
      <w:pPr>
        <w:pStyle w:val="P68B1DB1-Normal4"/>
        <w:numPr>
          <w:ilvl w:val="0"/>
          <w:numId w:val="131"/>
        </w:numPr>
        <w:spacing w:before="120" w:after="160" w:line="259" w:lineRule="auto"/>
        <w:contextualSpacing/>
        <w:jc w:val="both"/>
        <w:rPr>
          <w:rFonts w:cs="Times New Roman"/>
          <w:noProof/>
        </w:rPr>
      </w:pPr>
      <w:r>
        <w:rPr>
          <w:noProof/>
        </w:rPr>
        <w:t>Kísérleti projektek lezárása annak érdekében, hogy a nemzeti egészségügyi rendszer interoper</w:t>
      </w:r>
      <w:r>
        <w:rPr>
          <w:noProof/>
        </w:rPr>
        <w:t>ábilis kapacitásokkal, infrastruktúrával, felszereléssel és információs rendszerekkel rendelkezzen a ritka betegségekben szenvedő betegek egészségügyi ellátásának javítása érdekében.</w:t>
      </w:r>
    </w:p>
    <w:p w14:paraId="64290D2A" w14:textId="77777777" w:rsidR="003E1D81" w:rsidRDefault="003E1D81">
      <w:pPr>
        <w:spacing w:before="120" w:after="160" w:line="259" w:lineRule="auto"/>
        <w:ind w:left="720"/>
        <w:contextualSpacing/>
        <w:jc w:val="both"/>
        <w:rPr>
          <w:rFonts w:ascii="Times New Roman" w:hAnsi="Times New Roman" w:cs="Times New Roman"/>
          <w:noProof/>
          <w:sz w:val="24"/>
        </w:rPr>
      </w:pPr>
    </w:p>
    <w:p w14:paraId="15EAF733" w14:textId="2E759F62" w:rsidR="003E1D81" w:rsidRDefault="00EB481C">
      <w:pPr>
        <w:pStyle w:val="P68B1DB1-Normal4"/>
        <w:spacing w:before="120" w:after="120" w:line="240" w:lineRule="auto"/>
        <w:jc w:val="both"/>
        <w:rPr>
          <w:rFonts w:cs="Times New Roman"/>
          <w:noProof/>
        </w:rPr>
      </w:pPr>
      <w:r>
        <w:rPr>
          <w:noProof/>
        </w:rPr>
        <w:t xml:space="preserve">A beruházás végrehajtását 2026. június 30-ig be kell fejezni. </w:t>
      </w:r>
    </w:p>
    <w:p w14:paraId="721A2B6D" w14:textId="76DB5867" w:rsidR="003E1D81" w:rsidRDefault="00EB481C">
      <w:pPr>
        <w:pStyle w:val="P68B1DB1-Normal6"/>
        <w:spacing w:before="120" w:after="120" w:line="240" w:lineRule="auto"/>
        <w:jc w:val="both"/>
        <w:rPr>
          <w:rFonts w:cs="Times New Roman"/>
          <w:noProof/>
        </w:rPr>
      </w:pPr>
      <w:r>
        <w:rPr>
          <w:noProof/>
        </w:rPr>
        <w:t>Beruházás</w:t>
      </w:r>
      <w:r>
        <w:rPr>
          <w:noProof/>
        </w:rPr>
        <w:t xml:space="preserve"> (C18.I5) – Terv a gyógyszerfogyasztás racionalizálására és a fenntarthatóság előmozdítására, valamint a genomikai szolgáltatások portfóliójának bővítésére a nemzeti egészségügyi rendszerben</w:t>
      </w:r>
    </w:p>
    <w:p w14:paraId="7100F4DF" w14:textId="77777777" w:rsidR="003E1D81" w:rsidRDefault="00EB481C">
      <w:pPr>
        <w:pStyle w:val="P68B1DB1-Normal4"/>
        <w:spacing w:before="120" w:after="120" w:line="240" w:lineRule="auto"/>
        <w:jc w:val="both"/>
        <w:rPr>
          <w:rFonts w:cs="Times New Roman"/>
          <w:noProof/>
        </w:rPr>
      </w:pPr>
      <w:r>
        <w:rPr>
          <w:noProof/>
        </w:rPr>
        <w:t>Ez a beruházás a gyógyszerek és orvostechnikai eszközök használat</w:t>
      </w:r>
      <w:r>
        <w:rPr>
          <w:noProof/>
        </w:rPr>
        <w:t>ának racionalizálására irányuló terv végrehajtásából áll. A terv célja a következő célkitűzések elérése:</w:t>
      </w:r>
    </w:p>
    <w:p w14:paraId="4CBF0E04" w14:textId="77777777" w:rsidR="003E1D81" w:rsidRDefault="00EB481C">
      <w:pPr>
        <w:pStyle w:val="P68B1DB1-Normal4"/>
        <w:numPr>
          <w:ilvl w:val="0"/>
          <w:numId w:val="132"/>
        </w:numPr>
        <w:spacing w:before="120" w:after="120" w:line="259" w:lineRule="auto"/>
        <w:ind w:left="714" w:hanging="357"/>
        <w:contextualSpacing/>
        <w:jc w:val="both"/>
        <w:rPr>
          <w:rFonts w:cs="Times New Roman"/>
          <w:noProof/>
        </w:rPr>
      </w:pPr>
      <w:r>
        <w:rPr>
          <w:noProof/>
        </w:rPr>
        <w:t>csak akkor használhat fel gyógyászati termékeket, ha azok szükségesek, és használatuk esetén a legköltséghatékonyabb termékeket kell használniuk;</w:t>
      </w:r>
    </w:p>
    <w:p w14:paraId="2EB85BAE" w14:textId="71704731" w:rsidR="003E1D81" w:rsidRDefault="00EB481C">
      <w:pPr>
        <w:pStyle w:val="P68B1DB1-Normal4"/>
        <w:numPr>
          <w:ilvl w:val="0"/>
          <w:numId w:val="132"/>
        </w:numPr>
        <w:spacing w:before="120" w:after="120" w:line="259" w:lineRule="auto"/>
        <w:ind w:left="714" w:hanging="357"/>
        <w:contextualSpacing/>
        <w:jc w:val="both"/>
        <w:rPr>
          <w:rFonts w:cs="Times New Roman"/>
          <w:noProof/>
        </w:rPr>
      </w:pPr>
      <w:r>
        <w:rPr>
          <w:noProof/>
        </w:rPr>
        <w:t>a pol</w:t>
      </w:r>
      <w:r>
        <w:rPr>
          <w:noProof/>
        </w:rPr>
        <w:t xml:space="preserve">igyógyszerezés (több mint öt gyógyszer) és a gyógyszerek szükségtelen alkalmazásának csökkentése;  </w:t>
      </w:r>
    </w:p>
    <w:p w14:paraId="6B0DB5E6" w14:textId="7B6825C6" w:rsidR="003E1D81" w:rsidRDefault="00EB481C">
      <w:pPr>
        <w:pStyle w:val="P68B1DB1-Normal4"/>
        <w:numPr>
          <w:ilvl w:val="0"/>
          <w:numId w:val="132"/>
        </w:numPr>
        <w:spacing w:before="120" w:after="120" w:line="259" w:lineRule="auto"/>
        <w:ind w:left="714" w:hanging="357"/>
        <w:contextualSpacing/>
        <w:jc w:val="both"/>
        <w:rPr>
          <w:rFonts w:cs="Times New Roman"/>
          <w:noProof/>
        </w:rPr>
      </w:pPr>
      <w:r>
        <w:rPr>
          <w:noProof/>
        </w:rPr>
        <w:t>az új gyógyszerekhez kapcsolódó klinikai bizonytalanság csökkentése a tudományos ismeretek gyarapítása, a rendelkezésre álló információk javítása és a pénzü</w:t>
      </w:r>
      <w:r>
        <w:rPr>
          <w:noProof/>
        </w:rPr>
        <w:t>gyi bizonytalanság csökkentése révén.</w:t>
      </w:r>
    </w:p>
    <w:p w14:paraId="0DB07811" w14:textId="2250D2DE" w:rsidR="003E1D81" w:rsidRDefault="00EB481C">
      <w:pPr>
        <w:pStyle w:val="P68B1DB1-ListParagraph7"/>
        <w:numPr>
          <w:ilvl w:val="0"/>
          <w:numId w:val="132"/>
        </w:numPr>
        <w:spacing w:before="120" w:after="120"/>
        <w:ind w:left="714" w:hanging="357"/>
        <w:jc w:val="both"/>
        <w:rPr>
          <w:rFonts w:cs="Times New Roman"/>
          <w:noProof/>
        </w:rPr>
      </w:pPr>
      <w:r>
        <w:rPr>
          <w:noProof/>
        </w:rPr>
        <w:t>a genomikai szolgáltatások portfóliójának bővítése a nemzeti egészségügyi rendszerben</w:t>
      </w:r>
    </w:p>
    <w:p w14:paraId="45FAD8ED" w14:textId="77777777" w:rsidR="003E1D81" w:rsidRDefault="00EB481C">
      <w:pPr>
        <w:pStyle w:val="P68B1DB1-Normal4"/>
        <w:spacing w:before="120" w:after="120" w:line="240" w:lineRule="auto"/>
        <w:jc w:val="both"/>
        <w:rPr>
          <w:rFonts w:cs="Times New Roman"/>
          <w:noProof/>
        </w:rPr>
      </w:pPr>
      <w:r>
        <w:rPr>
          <w:noProof/>
        </w:rPr>
        <w:t>A terv három rendszer létrehozását vagy továbbfejlesztését foglalja magában a kábítószerek és az egészségügyi technológiák értékelés</w:t>
      </w:r>
      <w:r>
        <w:rPr>
          <w:noProof/>
        </w:rPr>
        <w:t>ének javítása érdekében Spanyolországban:</w:t>
      </w:r>
    </w:p>
    <w:p w14:paraId="4360D124" w14:textId="77777777" w:rsidR="003E1D81" w:rsidRDefault="00EB481C">
      <w:pPr>
        <w:pStyle w:val="P68B1DB1-Normal4"/>
        <w:numPr>
          <w:ilvl w:val="0"/>
          <w:numId w:val="134"/>
        </w:numPr>
        <w:spacing w:before="120" w:after="160" w:line="259" w:lineRule="auto"/>
        <w:contextualSpacing/>
        <w:jc w:val="both"/>
        <w:rPr>
          <w:rFonts w:cs="Times New Roman"/>
          <w:noProof/>
        </w:rPr>
      </w:pPr>
      <w:r>
        <w:rPr>
          <w:noProof/>
        </w:rPr>
        <w:t>A nemzeti egészségügyi rendszerben a gyógyszerek értékelésével foglalkozó hálózat létrehozása: Technológiai platformot kell kifejleszteni a gyógyszerértékelési és helymeghatározási jelentések (amelyek költséghatéko</w:t>
      </w:r>
      <w:r>
        <w:rPr>
          <w:noProof/>
        </w:rPr>
        <w:t>nyságuk alapján elemzik az új gyógyszerek hozzáadott értékét) kezelésére és megosztására a fejlesztés különböző szakaszaiban.</w:t>
      </w:r>
    </w:p>
    <w:p w14:paraId="74443222" w14:textId="77777777" w:rsidR="003E1D81" w:rsidRDefault="00EB481C">
      <w:pPr>
        <w:pStyle w:val="P68B1DB1-Normal4"/>
        <w:numPr>
          <w:ilvl w:val="0"/>
          <w:numId w:val="134"/>
        </w:numPr>
        <w:spacing w:before="120" w:after="160" w:line="259" w:lineRule="auto"/>
        <w:contextualSpacing/>
        <w:jc w:val="both"/>
        <w:rPr>
          <w:rFonts w:cs="Times New Roman"/>
          <w:noProof/>
        </w:rPr>
      </w:pPr>
      <w:r>
        <w:rPr>
          <w:noProof/>
        </w:rPr>
        <w:t>A nagy hatású gyógyszerek rendszerének kiterjesztése (Valtermed). Ez az eszköz az adminisztratív, klinikai és terápiás adatok nyil</w:t>
      </w:r>
      <w:r>
        <w:rPr>
          <w:noProof/>
        </w:rPr>
        <w:t>vántartásán alapul a betegek farmakológiai kezelés megkezdése utáni kezdeti állapotának és fejlődésének nyomon követése és elemzése céljából. Ezen új eszköz célját integrálni kell az autonóm közösségek információs rendszereivel, és tartalmaznia kell a gyóg</w:t>
      </w:r>
      <w:r>
        <w:rPr>
          <w:noProof/>
        </w:rPr>
        <w:t>yszereknek a betegek életminőségére gyakorolt hatására vonatkozó információkat.</w:t>
      </w:r>
    </w:p>
    <w:p w14:paraId="77443D4E" w14:textId="77777777" w:rsidR="003E1D81" w:rsidRDefault="00EB481C">
      <w:pPr>
        <w:pStyle w:val="P68B1DB1-Normal4"/>
        <w:numPr>
          <w:ilvl w:val="0"/>
          <w:numId w:val="134"/>
        </w:numPr>
        <w:spacing w:before="120" w:after="160" w:line="240" w:lineRule="auto"/>
        <w:contextualSpacing/>
        <w:jc w:val="both"/>
        <w:rPr>
          <w:rFonts w:cs="Times New Roman"/>
          <w:noProof/>
        </w:rPr>
      </w:pPr>
      <w:r>
        <w:rPr>
          <w:noProof/>
        </w:rPr>
        <w:t xml:space="preserve">Az egészségügyi technológiák és gondozás spanyol hálózatának (REDETS) létrehozása. Ez a hálózat kulcsszerepet játszik az egészségügyi technológiák és szolgáltatások állami </w:t>
      </w:r>
      <w:r>
        <w:rPr>
          <w:noProof/>
        </w:rPr>
        <w:t>finanszírozásba való beépítésével kapcsolatos döntéshozatalhoz szükséges tudományos és műszaki tanácsadásban. A technológiai platformnak lehetővé kell tennie a különböző REDETS-termékek kezelését és a fejlesztés különböző szakaszaiban történő megosztását a</w:t>
      </w:r>
      <w:r>
        <w:rPr>
          <w:noProof/>
        </w:rPr>
        <w:t xml:space="preserve"> hálózat ügynökségei/egységei között, valamint az egyes szakaszok tekintetében meghatározott határidők betartásának nyomon követését.</w:t>
      </w:r>
    </w:p>
    <w:p w14:paraId="26438FF8" w14:textId="2197C04D" w:rsidR="003E1D81" w:rsidRDefault="00EB481C">
      <w:pPr>
        <w:spacing w:before="120" w:after="120" w:line="240" w:lineRule="auto"/>
        <w:contextualSpacing/>
        <w:jc w:val="both"/>
        <w:rPr>
          <w:rFonts w:ascii="Times New Roman" w:hAnsi="Times New Roman" w:cs="Times New Roman"/>
          <w:noProof/>
          <w:sz w:val="24"/>
        </w:rPr>
      </w:pPr>
      <w:r>
        <w:rPr>
          <w:rFonts w:ascii="Times New Roman" w:hAnsi="Times New Roman"/>
          <w:noProof/>
          <w:sz w:val="24"/>
        </w:rPr>
        <w:t xml:space="preserve">A beruházásnak magában kell </w:t>
      </w:r>
      <w:r>
        <w:rPr>
          <w:noProof/>
        </w:rPr>
        <w:t>foglalnia</w:t>
      </w:r>
      <w:r>
        <w:rPr>
          <w:rFonts w:ascii="Times New Roman" w:hAnsi="Times New Roman"/>
          <w:noProof/>
          <w:sz w:val="24"/>
        </w:rPr>
        <w:t>az alábbiakhoz kapcsolódó projekteket: a generikus és biohasonló gyógyszerek használa</w:t>
      </w:r>
      <w:r>
        <w:rPr>
          <w:rFonts w:ascii="Times New Roman" w:hAnsi="Times New Roman"/>
          <w:noProof/>
          <w:sz w:val="24"/>
        </w:rPr>
        <w:t>tának előmozdítása, az ortopédiai és protéziai szolgáltatások és termékek fejlesztése és korszerűsítése, az egészségügyi szakemberek képzése a gyógyszerek ésszerű használatáról, valamint a gyógyszerekkel kapcsolatos innovációk fellendítését célzó megoldáso</w:t>
      </w:r>
      <w:r>
        <w:rPr>
          <w:rFonts w:ascii="Times New Roman" w:hAnsi="Times New Roman"/>
          <w:noProof/>
          <w:sz w:val="24"/>
        </w:rPr>
        <w:t>k.</w:t>
      </w:r>
    </w:p>
    <w:p w14:paraId="08F6D3F2" w14:textId="77C6FB3F" w:rsidR="003E1D81" w:rsidRDefault="00EB481C">
      <w:pPr>
        <w:pStyle w:val="ListParagraph"/>
        <w:spacing w:before="120" w:after="120" w:line="240" w:lineRule="auto"/>
        <w:ind w:left="0"/>
        <w:jc w:val="both"/>
        <w:rPr>
          <w:rFonts w:ascii="Times New Roman" w:hAnsi="Times New Roman" w:cs="Times New Roman"/>
          <w:noProof/>
          <w:sz w:val="24"/>
        </w:rPr>
      </w:pPr>
      <w:r>
        <w:rPr>
          <w:rFonts w:ascii="Times New Roman" w:hAnsi="Times New Roman"/>
          <w:noProof/>
          <w:sz w:val="24"/>
        </w:rPr>
        <w:t>A beruházásnak ki kell</w:t>
      </w:r>
      <w:r>
        <w:rPr>
          <w:noProof/>
        </w:rPr>
        <w:t xml:space="preserve"> </w:t>
      </w:r>
      <w:r>
        <w:rPr>
          <w:rFonts w:ascii="Times New Roman" w:hAnsi="Times New Roman"/>
          <w:noProof/>
          <w:sz w:val="24"/>
        </w:rPr>
        <w:t xml:space="preserve">terjesztenie a Nemzeti Egészségügyi Rendszer genetikai tesztelési katalógusát is a szükséges berendezések beszerzése, valamint a genomikai információk nemzeti szintű integrálását szolgáló információs rendszer létrehozása révén. </w:t>
      </w:r>
    </w:p>
    <w:p w14:paraId="002D9CE5" w14:textId="77777777" w:rsidR="003E1D81" w:rsidRDefault="003E1D81">
      <w:pPr>
        <w:pStyle w:val="ListParagraph"/>
        <w:spacing w:before="120" w:after="120" w:line="240" w:lineRule="auto"/>
        <w:ind w:left="0"/>
        <w:jc w:val="both"/>
        <w:rPr>
          <w:rFonts w:ascii="Times New Roman" w:hAnsi="Times New Roman" w:cs="Times New Roman"/>
          <w:noProof/>
          <w:sz w:val="24"/>
        </w:rPr>
      </w:pPr>
    </w:p>
    <w:p w14:paraId="70E8B695" w14:textId="7AD8693D" w:rsidR="003E1D81" w:rsidRDefault="00EB481C">
      <w:pPr>
        <w:pStyle w:val="P68B1DB1-ListParagraph7"/>
        <w:spacing w:before="120" w:after="120" w:line="240" w:lineRule="auto"/>
        <w:ind w:left="0"/>
        <w:jc w:val="both"/>
        <w:rPr>
          <w:rFonts w:cs="Times New Roman"/>
          <w:noProof/>
        </w:rPr>
      </w:pPr>
      <w:r>
        <w:rPr>
          <w:noProof/>
        </w:rPr>
        <w:t>A beruházás végrehajtását 2026. június 30-ig be kell fejezni.</w:t>
      </w:r>
    </w:p>
    <w:p w14:paraId="2AB17794" w14:textId="77777777" w:rsidR="003E1D81" w:rsidRDefault="00EB481C">
      <w:pPr>
        <w:pStyle w:val="P68B1DB1-Normal6"/>
        <w:spacing w:before="120" w:after="120" w:line="240" w:lineRule="auto"/>
        <w:jc w:val="both"/>
        <w:rPr>
          <w:rFonts w:cs="Times New Roman"/>
          <w:noProof/>
        </w:rPr>
      </w:pPr>
      <w:r>
        <w:rPr>
          <w:noProof/>
        </w:rPr>
        <w:t>Beruházás (C18.I6) – Egészségügyi adattó</w:t>
      </w:r>
    </w:p>
    <w:p w14:paraId="75453DF5" w14:textId="678F28DA" w:rsidR="003E1D81" w:rsidRDefault="00EB481C">
      <w:pPr>
        <w:pStyle w:val="P68B1DB1-Normal4"/>
        <w:spacing w:before="120" w:after="120" w:line="240" w:lineRule="auto"/>
        <w:jc w:val="both"/>
        <w:rPr>
          <w:rFonts w:cs="Times New Roman"/>
          <w:noProof/>
        </w:rPr>
      </w:pPr>
      <w:r>
        <w:rPr>
          <w:noProof/>
        </w:rPr>
        <w:t>Ez a beruházás egy egészségügyi adattó létrehozását foglalja magában, amely különböző információs rendszerekből, többek között regionális rendszerekből g</w:t>
      </w:r>
      <w:r>
        <w:rPr>
          <w:noProof/>
        </w:rPr>
        <w:t>yűjt információkat azzal a céllal, hogy támogassa és javítsa a diagnosztika és a kezelés támogatását és javítását, a kockázati tényezők azonosítását, a trendelemzést, a minták azonosítását, az egészségügyi kockázati helyzetek előrejelzését és a kezelésükhö</w:t>
      </w:r>
      <w:r>
        <w:rPr>
          <w:noProof/>
        </w:rPr>
        <w:t>z szükséges erőforrások programozását, többek között mesterségesintelligencia-algoritmusokat használva, valamint új méretezhető rendszerarchitektúrákat és a modellek feldolgozására és azonosítására szolgáló új eszközöket.</w:t>
      </w:r>
    </w:p>
    <w:p w14:paraId="7C66CDFF" w14:textId="7BFFB978" w:rsidR="003E1D81" w:rsidRDefault="00EB481C">
      <w:pPr>
        <w:pStyle w:val="P68B1DB1-Normal4"/>
        <w:spacing w:before="120" w:after="120" w:line="240" w:lineRule="auto"/>
        <w:jc w:val="both"/>
        <w:rPr>
          <w:rFonts w:cs="Times New Roman"/>
          <w:noProof/>
        </w:rPr>
      </w:pPr>
      <w:r>
        <w:rPr>
          <w:noProof/>
        </w:rPr>
        <w:t>A beruházás végrehajtását 2025. de</w:t>
      </w:r>
      <w:r>
        <w:rPr>
          <w:noProof/>
        </w:rPr>
        <w:t>cember 31-ig be kell fejezni.</w:t>
      </w:r>
    </w:p>
    <w:p w14:paraId="0EF9A25B" w14:textId="77777777" w:rsidR="003E1D81" w:rsidRDefault="00EB481C">
      <w:pPr>
        <w:pStyle w:val="P68B1DB1-Normal5"/>
        <w:spacing w:before="120" w:after="120" w:line="240" w:lineRule="auto"/>
        <w:ind w:left="709"/>
        <w:jc w:val="both"/>
        <w:rPr>
          <w:rFonts w:cs="Times New Roman"/>
          <w:noProof/>
        </w:rPr>
      </w:pPr>
      <w:r>
        <w:rPr>
          <w:noProof/>
        </w:rPr>
        <w:t xml:space="preserve">R.2. </w:t>
      </w:r>
      <w:r>
        <w:rPr>
          <w:noProof/>
        </w:rPr>
        <w:tab/>
        <w:t>Vissza nem térítendő pénzügyi támogatás – a végrehajtáshoz és a nyomon követéshez kapcsolódó mérföldkövek, célok, mutatók és ütemterv</w:t>
      </w:r>
    </w:p>
    <w:p w14:paraId="19D63422" w14:textId="77777777"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Az alapforgatókönyv valamennyi mutató esetében 2020. február 1-je, kiv</w:t>
      </w:r>
      <w:r>
        <w:rPr>
          <w:i/>
          <w:noProof/>
        </w:rPr>
        <w:t>éve, ha az intézkedés leírása másként jelzi. A táblázatban szereplő összegek nem tartalmazzák a héát.</w:t>
      </w:r>
    </w:p>
    <w:p w14:paraId="499AC33C" w14:textId="77777777" w:rsidR="003E1D81" w:rsidRDefault="003E1D81">
      <w:pPr>
        <w:spacing w:before="120" w:after="120" w:line="240" w:lineRule="auto"/>
        <w:jc w:val="both"/>
        <w:rPr>
          <w:rFonts w:ascii="Times New Roman" w:hAnsi="Times New Roman" w:cs="Times New Roman"/>
          <w:noProof/>
          <w:sz w:val="24"/>
        </w:rPr>
        <w:sectPr w:rsidR="003E1D81" w:rsidSect="00C94F66">
          <w:headerReference w:type="even" r:id="rId375"/>
          <w:headerReference w:type="default" r:id="rId376"/>
          <w:footerReference w:type="even" r:id="rId377"/>
          <w:footerReference w:type="default" r:id="rId378"/>
          <w:headerReference w:type="first" r:id="rId379"/>
          <w:footerReference w:type="first" r:id="rId380"/>
          <w:pgSz w:w="11907" w:h="16839"/>
          <w:pgMar w:top="1134" w:right="1417" w:bottom="1134" w:left="1417" w:header="709" w:footer="709" w:gutter="0"/>
          <w:cols w:space="720"/>
          <w:docGrid w:linePitch="360"/>
        </w:sectPr>
      </w:pPr>
    </w:p>
    <w:tbl>
      <w:tblPr>
        <w:tblW w:w="15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8"/>
        <w:gridCol w:w="850"/>
        <w:gridCol w:w="836"/>
        <w:gridCol w:w="2812"/>
        <w:gridCol w:w="1276"/>
        <w:gridCol w:w="709"/>
        <w:gridCol w:w="567"/>
        <w:gridCol w:w="567"/>
        <w:gridCol w:w="567"/>
        <w:gridCol w:w="567"/>
        <w:gridCol w:w="5679"/>
      </w:tblGrid>
      <w:tr w:rsidR="003E1D81" w14:paraId="62D43E99" w14:textId="77777777">
        <w:trPr>
          <w:trHeight w:val="309"/>
          <w:tblHeader/>
        </w:trPr>
        <w:tc>
          <w:tcPr>
            <w:tcW w:w="708" w:type="dxa"/>
            <w:tcBorders>
              <w:bottom w:val="nil"/>
            </w:tcBorders>
            <w:shd w:val="clear" w:color="auto" w:fill="C6D9F1" w:themeFill="text2" w:themeFillTint="33"/>
            <w:noWrap/>
          </w:tcPr>
          <w:p w14:paraId="5140A831" w14:textId="4C2C83B0" w:rsidR="003E1D81" w:rsidRDefault="00EB481C">
            <w:pPr>
              <w:pStyle w:val="P68B1DB1-Normal12"/>
              <w:spacing w:after="0" w:line="240" w:lineRule="auto"/>
              <w:jc w:val="center"/>
              <w:rPr>
                <w:rFonts w:cs="Times New Roman"/>
                <w:noProof/>
              </w:rPr>
            </w:pPr>
            <w:r>
              <w:rPr>
                <w:noProof/>
              </w:rPr>
              <w:t>Szám</w:t>
            </w:r>
          </w:p>
        </w:tc>
        <w:tc>
          <w:tcPr>
            <w:tcW w:w="850" w:type="dxa"/>
            <w:tcBorders>
              <w:bottom w:val="nil"/>
            </w:tcBorders>
            <w:shd w:val="clear" w:color="auto" w:fill="C6D9F1" w:themeFill="text2" w:themeFillTint="33"/>
            <w:noWrap/>
          </w:tcPr>
          <w:p w14:paraId="38814002" w14:textId="62C4C95B" w:rsidR="003E1D81" w:rsidRDefault="00EB481C">
            <w:pPr>
              <w:pStyle w:val="P68B1DB1-Normal12"/>
              <w:spacing w:after="0" w:line="240" w:lineRule="auto"/>
              <w:jc w:val="center"/>
              <w:rPr>
                <w:rFonts w:cs="Times New Roman"/>
                <w:noProof/>
              </w:rPr>
            </w:pPr>
            <w:r>
              <w:rPr>
                <w:noProof/>
              </w:rPr>
              <w:t>Intézkedés</w:t>
            </w:r>
          </w:p>
        </w:tc>
        <w:tc>
          <w:tcPr>
            <w:tcW w:w="836" w:type="dxa"/>
            <w:tcBorders>
              <w:bottom w:val="nil"/>
            </w:tcBorders>
            <w:shd w:val="clear" w:color="auto" w:fill="C6D9F1" w:themeFill="text2" w:themeFillTint="33"/>
            <w:noWrap/>
          </w:tcPr>
          <w:p w14:paraId="51816F42" w14:textId="326DA0C5"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812" w:type="dxa"/>
            <w:tcBorders>
              <w:bottom w:val="nil"/>
            </w:tcBorders>
            <w:shd w:val="clear" w:color="auto" w:fill="C6D9F1" w:themeFill="text2" w:themeFillTint="33"/>
            <w:noWrap/>
          </w:tcPr>
          <w:p w14:paraId="6D960B58" w14:textId="32BD70F2" w:rsidR="003E1D81" w:rsidRDefault="00EB481C">
            <w:pPr>
              <w:pStyle w:val="P68B1DB1-Normal12"/>
              <w:spacing w:after="0" w:line="240" w:lineRule="auto"/>
              <w:jc w:val="center"/>
              <w:rPr>
                <w:rFonts w:cs="Times New Roman"/>
                <w:noProof/>
              </w:rPr>
            </w:pPr>
            <w:r>
              <w:rPr>
                <w:noProof/>
              </w:rPr>
              <w:t>Név</w:t>
            </w:r>
          </w:p>
        </w:tc>
        <w:tc>
          <w:tcPr>
            <w:tcW w:w="1276" w:type="dxa"/>
            <w:tcBorders>
              <w:bottom w:val="nil"/>
            </w:tcBorders>
            <w:shd w:val="clear" w:color="auto" w:fill="C6D9F1" w:themeFill="text2" w:themeFillTint="33"/>
            <w:noWrap/>
          </w:tcPr>
          <w:p w14:paraId="303E1D0A" w14:textId="28A2C36A" w:rsidR="003E1D81" w:rsidRDefault="00EB481C">
            <w:pPr>
              <w:pStyle w:val="P68B1DB1-Normal12"/>
              <w:spacing w:after="0" w:line="240" w:lineRule="auto"/>
              <w:jc w:val="center"/>
              <w:rPr>
                <w:rFonts w:cs="Times New Roman"/>
                <w:noProof/>
              </w:rPr>
            </w:pPr>
            <w:r>
              <w:rPr>
                <w:noProof/>
              </w:rPr>
              <w:t>A mérföldkövek minőségi mutatója</w:t>
            </w:r>
          </w:p>
        </w:tc>
        <w:tc>
          <w:tcPr>
            <w:tcW w:w="1843" w:type="dxa"/>
            <w:gridSpan w:val="3"/>
            <w:shd w:val="clear" w:color="auto" w:fill="C6D9F1" w:themeFill="text2" w:themeFillTint="33"/>
            <w:noWrap/>
          </w:tcPr>
          <w:p w14:paraId="59ECDC07" w14:textId="072F88A3" w:rsidR="003E1D81" w:rsidRDefault="00EB481C">
            <w:pPr>
              <w:pStyle w:val="P68B1DB1-Normal12"/>
              <w:spacing w:after="0" w:line="240" w:lineRule="auto"/>
              <w:jc w:val="center"/>
              <w:rPr>
                <w:rFonts w:cs="Times New Roman"/>
                <w:noProof/>
              </w:rPr>
            </w:pPr>
            <w:r>
              <w:rPr>
                <w:noProof/>
              </w:rPr>
              <w:t xml:space="preserve">A célérték mennyiségi </w:t>
            </w:r>
            <w:r>
              <w:rPr>
                <w:noProof/>
              </w:rPr>
              <w:t>mutatója</w:t>
            </w:r>
          </w:p>
        </w:tc>
        <w:tc>
          <w:tcPr>
            <w:tcW w:w="1134" w:type="dxa"/>
            <w:gridSpan w:val="2"/>
            <w:shd w:val="clear" w:color="auto" w:fill="C6D9F1" w:themeFill="text2" w:themeFillTint="33"/>
            <w:noWrap/>
          </w:tcPr>
          <w:p w14:paraId="6EC1D8C0" w14:textId="4599817F" w:rsidR="003E1D81" w:rsidRDefault="00EB481C">
            <w:pPr>
              <w:pStyle w:val="P68B1DB1-Normal12"/>
              <w:spacing w:after="0" w:line="240" w:lineRule="auto"/>
              <w:jc w:val="center"/>
              <w:rPr>
                <w:rFonts w:cs="Times New Roman"/>
                <w:noProof/>
              </w:rPr>
            </w:pPr>
            <w:r>
              <w:rPr>
                <w:noProof/>
              </w:rPr>
              <w:t>Idő</w:t>
            </w:r>
          </w:p>
        </w:tc>
        <w:tc>
          <w:tcPr>
            <w:tcW w:w="5679" w:type="dxa"/>
            <w:tcBorders>
              <w:bottom w:val="nil"/>
            </w:tcBorders>
            <w:shd w:val="clear" w:color="auto" w:fill="C6D9F1" w:themeFill="text2" w:themeFillTint="33"/>
            <w:noWrap/>
          </w:tcPr>
          <w:p w14:paraId="1DA52048" w14:textId="2D09CC64"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612D5620" w14:textId="77777777">
        <w:trPr>
          <w:trHeight w:val="309"/>
          <w:tblHeader/>
        </w:trPr>
        <w:tc>
          <w:tcPr>
            <w:tcW w:w="708" w:type="dxa"/>
            <w:tcBorders>
              <w:top w:val="nil"/>
              <w:left w:val="single" w:sz="4" w:space="0" w:color="auto"/>
              <w:bottom w:val="single" w:sz="4" w:space="0" w:color="auto"/>
              <w:right w:val="single" w:sz="4" w:space="0" w:color="auto"/>
            </w:tcBorders>
            <w:shd w:val="clear" w:color="auto" w:fill="C6D9F1" w:themeFill="text2" w:themeFillTint="33"/>
            <w:noWrap/>
          </w:tcPr>
          <w:p w14:paraId="037268A0"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left w:val="single" w:sz="4" w:space="0" w:color="auto"/>
              <w:bottom w:val="single" w:sz="4" w:space="0" w:color="auto"/>
              <w:right w:val="single" w:sz="4" w:space="0" w:color="auto"/>
            </w:tcBorders>
            <w:shd w:val="clear" w:color="auto" w:fill="C6D9F1" w:themeFill="text2" w:themeFillTint="33"/>
            <w:noWrap/>
          </w:tcPr>
          <w:p w14:paraId="57246AF6" w14:textId="77777777" w:rsidR="003E1D81" w:rsidRDefault="003E1D81">
            <w:pPr>
              <w:spacing w:after="0" w:line="240" w:lineRule="auto"/>
              <w:jc w:val="center"/>
              <w:rPr>
                <w:rFonts w:ascii="Times New Roman" w:hAnsi="Times New Roman" w:cs="Times New Roman"/>
                <w:b/>
                <w:noProof/>
                <w:sz w:val="18"/>
              </w:rPr>
            </w:pPr>
          </w:p>
        </w:tc>
        <w:tc>
          <w:tcPr>
            <w:tcW w:w="836" w:type="dxa"/>
            <w:tcBorders>
              <w:top w:val="nil"/>
              <w:left w:val="single" w:sz="4" w:space="0" w:color="auto"/>
              <w:bottom w:val="single" w:sz="4" w:space="0" w:color="auto"/>
              <w:right w:val="single" w:sz="4" w:space="0" w:color="auto"/>
            </w:tcBorders>
            <w:shd w:val="clear" w:color="auto" w:fill="C6D9F1" w:themeFill="text2" w:themeFillTint="33"/>
            <w:noWrap/>
          </w:tcPr>
          <w:p w14:paraId="2B2838FC" w14:textId="77777777" w:rsidR="003E1D81" w:rsidRDefault="003E1D81">
            <w:pPr>
              <w:spacing w:after="0" w:line="240" w:lineRule="auto"/>
              <w:jc w:val="center"/>
              <w:rPr>
                <w:rFonts w:ascii="Times New Roman" w:hAnsi="Times New Roman" w:cs="Times New Roman"/>
                <w:b/>
                <w:noProof/>
                <w:sz w:val="18"/>
              </w:rPr>
            </w:pPr>
          </w:p>
        </w:tc>
        <w:tc>
          <w:tcPr>
            <w:tcW w:w="2812" w:type="dxa"/>
            <w:tcBorders>
              <w:top w:val="nil"/>
              <w:left w:val="single" w:sz="4" w:space="0" w:color="auto"/>
              <w:bottom w:val="single" w:sz="4" w:space="0" w:color="auto"/>
              <w:right w:val="single" w:sz="4" w:space="0" w:color="auto"/>
            </w:tcBorders>
            <w:shd w:val="clear" w:color="auto" w:fill="C6D9F1" w:themeFill="text2" w:themeFillTint="33"/>
            <w:noWrap/>
          </w:tcPr>
          <w:p w14:paraId="411ED850" w14:textId="77777777" w:rsidR="003E1D81" w:rsidRDefault="003E1D81">
            <w:pPr>
              <w:spacing w:after="0" w:line="240" w:lineRule="auto"/>
              <w:rPr>
                <w:rFonts w:ascii="Times New Roman" w:hAnsi="Times New Roman" w:cs="Times New Roman"/>
                <w:b/>
                <w:noProof/>
                <w:sz w:val="18"/>
              </w:rPr>
            </w:pPr>
          </w:p>
        </w:tc>
        <w:tc>
          <w:tcPr>
            <w:tcW w:w="1276" w:type="dxa"/>
            <w:tcBorders>
              <w:top w:val="nil"/>
              <w:left w:val="single" w:sz="4" w:space="0" w:color="auto"/>
              <w:bottom w:val="single" w:sz="4" w:space="0" w:color="auto"/>
              <w:right w:val="single" w:sz="4" w:space="0" w:color="auto"/>
            </w:tcBorders>
            <w:shd w:val="clear" w:color="auto" w:fill="C6D9F1" w:themeFill="text2" w:themeFillTint="33"/>
            <w:noWrap/>
          </w:tcPr>
          <w:p w14:paraId="575D5AD0" w14:textId="77777777" w:rsidR="003E1D81" w:rsidRDefault="003E1D81">
            <w:pPr>
              <w:spacing w:after="0" w:line="240" w:lineRule="auto"/>
              <w:jc w:val="center"/>
              <w:rPr>
                <w:rFonts w:ascii="Times New Roman" w:hAnsi="Times New Roman" w:cs="Times New Roman"/>
                <w:b/>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3371D107" w14:textId="6BF2D757" w:rsidR="003E1D81" w:rsidRDefault="00EB481C">
            <w:pPr>
              <w:pStyle w:val="P68B1DB1-Normal12"/>
              <w:spacing w:after="0" w:line="240" w:lineRule="auto"/>
              <w:jc w:val="center"/>
              <w:rPr>
                <w:rFonts w:cs="Times New Roman"/>
                <w:noProof/>
              </w:rPr>
            </w:pPr>
            <w:r>
              <w:rPr>
                <w:noProof/>
              </w:rPr>
              <w:t>Egység</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306CCFDD" w14:textId="5E3C1B97" w:rsidR="003E1D81" w:rsidRDefault="00EB481C">
            <w:pPr>
              <w:pStyle w:val="P68B1DB1-Normal12"/>
              <w:spacing w:after="0" w:line="240" w:lineRule="auto"/>
              <w:jc w:val="center"/>
              <w:rPr>
                <w:rFonts w:cs="Times New Roman"/>
                <w:noProof/>
              </w:rPr>
            </w:pPr>
            <w:r>
              <w:rPr>
                <w:noProof/>
              </w:rPr>
              <w:t>Alapérték</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596F0E5A" w14:textId="42FB5AC7" w:rsidR="003E1D81" w:rsidRDefault="00EB481C">
            <w:pPr>
              <w:pStyle w:val="P68B1DB1-Normal12"/>
              <w:spacing w:after="0" w:line="240" w:lineRule="auto"/>
              <w:jc w:val="center"/>
              <w:rPr>
                <w:rFonts w:cs="Times New Roman"/>
                <w:noProof/>
              </w:rPr>
            </w:pPr>
            <w:r>
              <w:rPr>
                <w:noProof/>
              </w:rPr>
              <w:t>Cél</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14866DF6" w14:textId="3FD665DA" w:rsidR="003E1D81" w:rsidRDefault="003E1D81">
            <w:pPr>
              <w:spacing w:after="0" w:line="240" w:lineRule="auto"/>
              <w:jc w:val="center"/>
              <w:rPr>
                <w:rFonts w:ascii="Times New Roman" w:hAnsi="Times New Roman" w:cs="Times New Roman"/>
                <w:b/>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043532FD" w14:textId="1F0E22B5" w:rsidR="003E1D81" w:rsidRDefault="003E1D81">
            <w:pPr>
              <w:spacing w:after="0" w:line="240" w:lineRule="auto"/>
              <w:jc w:val="center"/>
              <w:rPr>
                <w:rFonts w:ascii="Times New Roman" w:hAnsi="Times New Roman" w:cs="Times New Roman"/>
                <w:b/>
                <w:noProof/>
                <w:sz w:val="18"/>
              </w:rPr>
            </w:pPr>
          </w:p>
        </w:tc>
        <w:tc>
          <w:tcPr>
            <w:tcW w:w="5679" w:type="dxa"/>
            <w:tcBorders>
              <w:top w:val="nil"/>
              <w:left w:val="single" w:sz="4" w:space="0" w:color="auto"/>
              <w:bottom w:val="single" w:sz="4" w:space="0" w:color="auto"/>
              <w:right w:val="single" w:sz="4" w:space="0" w:color="auto"/>
            </w:tcBorders>
            <w:shd w:val="clear" w:color="auto" w:fill="C6D9F1" w:themeFill="text2" w:themeFillTint="33"/>
            <w:noWrap/>
          </w:tcPr>
          <w:p w14:paraId="07F1C55E" w14:textId="77777777" w:rsidR="003E1D81" w:rsidRDefault="003E1D81">
            <w:pPr>
              <w:spacing w:after="0" w:line="240" w:lineRule="auto"/>
              <w:rPr>
                <w:rFonts w:ascii="Times New Roman" w:hAnsi="Times New Roman" w:cs="Times New Roman"/>
                <w:b/>
                <w:noProof/>
                <w:sz w:val="18"/>
              </w:rPr>
            </w:pPr>
          </w:p>
        </w:tc>
      </w:tr>
      <w:tr w:rsidR="003E1D81" w14:paraId="16052931"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34E058F" w14:textId="77777777" w:rsidR="003E1D81" w:rsidRDefault="00EB481C">
            <w:pPr>
              <w:pStyle w:val="P68B1DB1-Normal13"/>
              <w:spacing w:after="0" w:line="240" w:lineRule="auto"/>
              <w:jc w:val="center"/>
              <w:rPr>
                <w:rFonts w:eastAsia="Times New Roman" w:cs="Times New Roman"/>
                <w:noProof/>
              </w:rPr>
            </w:pPr>
            <w:r>
              <w:rPr>
                <w:noProof/>
              </w:rPr>
              <w:t>273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3380310" w14:textId="77777777" w:rsidR="003E1D81" w:rsidRDefault="00EB481C">
            <w:pPr>
              <w:pStyle w:val="P68B1DB1-Normal13"/>
              <w:spacing w:after="0" w:line="240" w:lineRule="auto"/>
              <w:jc w:val="center"/>
              <w:rPr>
                <w:rFonts w:eastAsia="Times New Roman" w:cs="Times New Roman"/>
                <w:noProof/>
              </w:rPr>
            </w:pPr>
            <w:r>
              <w:rPr>
                <w:noProof/>
              </w:rPr>
              <w:t>C18.R1</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16DA3490" w14:textId="77777777" w:rsidR="003E1D81" w:rsidRDefault="00EB481C">
            <w:pPr>
              <w:pStyle w:val="P68B1DB1-Normal13"/>
              <w:spacing w:after="0" w:line="240" w:lineRule="auto"/>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C1F312F" w14:textId="77777777" w:rsidR="003E1D81" w:rsidRDefault="00EB481C">
            <w:pPr>
              <w:pStyle w:val="P68B1DB1-Normal13"/>
              <w:spacing w:after="0" w:line="240" w:lineRule="auto"/>
              <w:rPr>
                <w:rFonts w:cs="Times New Roman"/>
                <w:noProof/>
              </w:rPr>
            </w:pPr>
            <w:r>
              <w:rPr>
                <w:noProof/>
              </w:rPr>
              <w:t>Az alapellátásra és a közösségi ellátásra vonatkozó cselekvési terv</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3AEC3BF" w14:textId="77777777" w:rsidR="003E1D81" w:rsidRDefault="00EB481C">
            <w:pPr>
              <w:pStyle w:val="P68B1DB1-Normal13"/>
              <w:spacing w:after="0" w:line="240" w:lineRule="auto"/>
              <w:jc w:val="center"/>
              <w:rPr>
                <w:rFonts w:eastAsia="Times New Roman" w:cs="Times New Roman"/>
                <w:noProof/>
              </w:rPr>
            </w:pPr>
            <w:r>
              <w:rPr>
                <w:noProof/>
              </w:rPr>
              <w:t xml:space="preserve">A </w:t>
            </w:r>
            <w:r>
              <w:rPr>
                <w:i/>
                <w:noProof/>
              </w:rPr>
              <w:t>Consejo tartományközi jóváhagyása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29850E6"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8647193"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066156D"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750EE90"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6DCB673" w14:textId="77777777" w:rsidR="003E1D81" w:rsidRDefault="00EB481C">
            <w:pPr>
              <w:pStyle w:val="P68B1DB1-Normal13"/>
              <w:spacing w:after="0" w:line="240" w:lineRule="auto"/>
              <w:jc w:val="center"/>
              <w:rPr>
                <w:rFonts w:eastAsia="Times New Roman" w:cs="Times New Roman"/>
                <w:noProof/>
              </w:rPr>
            </w:pPr>
            <w:r>
              <w:rPr>
                <w:noProof/>
              </w:rPr>
              <w:t>2021</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2C500CBB" w14:textId="77777777" w:rsidR="003E1D81" w:rsidRDefault="00EB481C">
            <w:pPr>
              <w:pStyle w:val="P68B1DB1-Normal13"/>
              <w:spacing w:after="0" w:line="240" w:lineRule="auto"/>
              <w:rPr>
                <w:rFonts w:eastAsia="Times New Roman" w:cs="Times New Roman"/>
                <w:noProof/>
              </w:rPr>
            </w:pPr>
            <w:r>
              <w:rPr>
                <w:noProof/>
              </w:rPr>
              <w:t xml:space="preserve">A cselekvési terv fő célja, </w:t>
            </w:r>
            <w:r>
              <w:rPr>
                <w:noProof/>
              </w:rPr>
              <w:t>hogy megerősítse a nemzeti egészségügyi rendszer alapellátását annak érdekében, hogy jobb válaszokat adjon a felmerülő egészségügyi problémákra, javítsa az egyéni ellátási tapasztalatokat mindenki számára, megelőzze a betegségeket, és növelje az egészségüg</w:t>
            </w:r>
            <w:r>
              <w:rPr>
                <w:noProof/>
              </w:rPr>
              <w:t>yi problémák megoldására szolgáló alapellátás kapacitását.</w:t>
            </w:r>
          </w:p>
        </w:tc>
      </w:tr>
      <w:tr w:rsidR="003E1D81" w14:paraId="311F85DC"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F0A0CAC" w14:textId="77777777" w:rsidR="003E1D81" w:rsidRDefault="00EB481C">
            <w:pPr>
              <w:pStyle w:val="P68B1DB1-Normal13"/>
              <w:spacing w:after="0" w:line="240" w:lineRule="auto"/>
              <w:jc w:val="center"/>
              <w:rPr>
                <w:rFonts w:eastAsia="Times New Roman" w:cs="Times New Roman"/>
                <w:noProof/>
              </w:rPr>
            </w:pPr>
            <w:r>
              <w:rPr>
                <w:noProof/>
              </w:rPr>
              <w:t>274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F951474" w14:textId="77777777" w:rsidR="003E1D81" w:rsidRDefault="00EB481C">
            <w:pPr>
              <w:pStyle w:val="P68B1DB1-Normal13"/>
              <w:spacing w:after="0" w:line="240" w:lineRule="auto"/>
              <w:jc w:val="center"/>
              <w:rPr>
                <w:rFonts w:eastAsia="Times New Roman" w:cs="Times New Roman"/>
                <w:noProof/>
              </w:rPr>
            </w:pPr>
            <w:r>
              <w:rPr>
                <w:noProof/>
              </w:rPr>
              <w:t>C18.R2</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353E642F" w14:textId="77777777" w:rsidR="003E1D81" w:rsidRDefault="00EB481C">
            <w:pPr>
              <w:pStyle w:val="P68B1DB1-Normal13"/>
              <w:spacing w:after="0" w:line="240" w:lineRule="auto"/>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359621D6" w14:textId="77777777" w:rsidR="003E1D81" w:rsidRDefault="00EB481C">
            <w:pPr>
              <w:pStyle w:val="P68B1DB1-Normal13"/>
              <w:spacing w:after="0" w:line="240" w:lineRule="auto"/>
              <w:rPr>
                <w:rFonts w:eastAsia="Times New Roman" w:cs="Times New Roman"/>
                <w:noProof/>
              </w:rPr>
            </w:pPr>
            <w:r>
              <w:rPr>
                <w:noProof/>
              </w:rPr>
              <w:t xml:space="preserve">A spanyol közegészségügyi stratégia jóváhagyása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B9CE283" w14:textId="77777777" w:rsidR="003E1D81" w:rsidRDefault="00EB481C">
            <w:pPr>
              <w:pStyle w:val="P68B1DB1-Normal13"/>
              <w:spacing w:after="0" w:line="240" w:lineRule="auto"/>
              <w:jc w:val="center"/>
              <w:rPr>
                <w:rFonts w:eastAsia="Times New Roman" w:cs="Times New Roman"/>
                <w:noProof/>
              </w:rPr>
            </w:pPr>
            <w:r>
              <w:rPr>
                <w:noProof/>
              </w:rPr>
              <w:t xml:space="preserve">A </w:t>
            </w:r>
            <w:r>
              <w:rPr>
                <w:i/>
                <w:noProof/>
              </w:rPr>
              <w:t>Consejo tartományközi Sanidad</w:t>
            </w:r>
            <w:r>
              <w:rPr>
                <w:noProof/>
              </w:rPr>
              <w:t>jóváhagyása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CAA9847"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7A0A9B8"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99BCE16"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93DFE74"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A578786" w14:textId="77777777" w:rsidR="003E1D81" w:rsidRDefault="00EB481C">
            <w:pPr>
              <w:pStyle w:val="P68B1DB1-Normal13"/>
              <w:spacing w:after="0" w:line="240" w:lineRule="auto"/>
              <w:jc w:val="center"/>
              <w:rPr>
                <w:rFonts w:eastAsia="Times New Roman" w:cs="Times New Roman"/>
                <w:noProof/>
              </w:rPr>
            </w:pPr>
            <w:r>
              <w:rPr>
                <w:noProof/>
              </w:rPr>
              <w:t>2022</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3AF70249" w14:textId="77777777" w:rsidR="003E1D81" w:rsidRDefault="00EB481C">
            <w:pPr>
              <w:pStyle w:val="P68B1DB1-Normal13"/>
              <w:spacing w:after="0" w:line="240" w:lineRule="auto"/>
              <w:rPr>
                <w:rFonts w:eastAsia="Times New Roman" w:cs="Times New Roman"/>
                <w:noProof/>
              </w:rPr>
            </w:pPr>
            <w:r>
              <w:rPr>
                <w:noProof/>
              </w:rPr>
              <w:t xml:space="preserve">A közegészségügyi stratégia meghatározza a Spanyolország egész területén végrehajtandó közegészségügyi intézkedésekre vonatkozó stratégiai iránymutatásokat. A stratégia célja, hogy javítsa a spanyol lakosság egészségét azáltal, hogy meghatározza azokat az </w:t>
            </w:r>
            <w:r>
              <w:rPr>
                <w:noProof/>
              </w:rPr>
              <w:t xml:space="preserve">alapvető irányvonalakat és prioritásokat, amelyeket valamennyi egészségügyi hatóságnak követnie kell a népegészség előmozdítására, megelőzésére és védelmére irányuló politikáikban, a célcsoportokra vonatkozó intézkedésekben, a polgárok tájékoztatásában, a </w:t>
            </w:r>
            <w:r>
              <w:rPr>
                <w:noProof/>
              </w:rPr>
              <w:t>szakemberek képzésében és szükségleteik kielégítésében. A stratégia biztosítja, hogy a közegészségügyet és az egészségügyi ellátáshoz való egyenlő hozzáférést valamennyi közpolitikában figyelembe vegyék, és elősegíti az ágazatközi fellépést ezen a területe</w:t>
            </w:r>
            <w:r>
              <w:rPr>
                <w:noProof/>
              </w:rPr>
              <w:t>n. Ötéves időtartamra szól, és kétévente időközi értékeléseket kell végezni, amelyekben elemezni kell a végrehajtás mértékét. Magában foglalja a közegészségügy valamennyi területére vonatkozó intézkedéseket és fellépéseket, amelyeket a stratégia időtartama</w:t>
            </w:r>
            <w:r>
              <w:rPr>
                <w:noProof/>
              </w:rPr>
              <w:t xml:space="preserve"> alatt, a stratégiában meghatározott határidőkön belül végre kell hajtani valamennyi spanyolországi egészségügyi hatóság politikáiban, terveiben és programjaiban.  </w:t>
            </w:r>
          </w:p>
        </w:tc>
      </w:tr>
      <w:tr w:rsidR="003E1D81" w14:paraId="3EB075B5"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15F0C82" w14:textId="77777777" w:rsidR="003E1D81" w:rsidRDefault="00EB481C">
            <w:pPr>
              <w:pStyle w:val="P68B1DB1-Normal13"/>
              <w:spacing w:after="0" w:line="240" w:lineRule="auto"/>
              <w:jc w:val="center"/>
              <w:rPr>
                <w:rFonts w:eastAsia="Times New Roman" w:cs="Times New Roman"/>
                <w:noProof/>
              </w:rPr>
            </w:pPr>
            <w:r>
              <w:rPr>
                <w:noProof/>
              </w:rPr>
              <w:t>275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66FAAEC" w14:textId="77777777" w:rsidR="003E1D81" w:rsidRDefault="00EB481C">
            <w:pPr>
              <w:pStyle w:val="P68B1DB1-Normal13"/>
              <w:spacing w:after="0" w:line="240" w:lineRule="auto"/>
              <w:jc w:val="center"/>
              <w:rPr>
                <w:rFonts w:eastAsia="Times New Roman" w:cs="Times New Roman"/>
                <w:noProof/>
              </w:rPr>
            </w:pPr>
            <w:r>
              <w:rPr>
                <w:noProof/>
              </w:rPr>
              <w:t>C18.R3</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14FCF575" w14:textId="77777777" w:rsidR="003E1D81" w:rsidRDefault="00EB481C">
            <w:pPr>
              <w:pStyle w:val="P68B1DB1-Normal13"/>
              <w:spacing w:after="0" w:line="240" w:lineRule="auto"/>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7613530" w14:textId="77777777" w:rsidR="003E1D81" w:rsidRDefault="00EB481C">
            <w:pPr>
              <w:pStyle w:val="P68B1DB1-Normal13"/>
              <w:spacing w:after="0" w:line="240" w:lineRule="auto"/>
              <w:rPr>
                <w:rFonts w:eastAsia="Times New Roman" w:cs="Times New Roman"/>
                <w:noProof/>
              </w:rPr>
            </w:pPr>
            <w:r>
              <w:rPr>
                <w:noProof/>
              </w:rPr>
              <w:t xml:space="preserve">A nemzeti egészségügyi rendszer méltányosságáról, egyetemességéről és </w:t>
            </w:r>
            <w:r>
              <w:rPr>
                <w:noProof/>
              </w:rPr>
              <w:t>kohéziójáról szóló törvény, valamint a rendkívül összetett ellátás átalakítása és a szolgáltatások közös portfóliójának bővítése</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742484D" w14:textId="77777777" w:rsidR="003E1D81" w:rsidRDefault="00EB481C">
            <w:pPr>
              <w:pStyle w:val="P68B1DB1-Normal13"/>
              <w:spacing w:after="0" w:line="240" w:lineRule="auto"/>
              <w:jc w:val="center"/>
              <w:rPr>
                <w:rFonts w:eastAsia="Times New Roman" w:cs="Times New Roman"/>
                <w:noProof/>
              </w:rPr>
            </w:pPr>
            <w:r>
              <w:rPr>
                <w:noProof/>
              </w:rPr>
              <w:t xml:space="preserve">A törvény hatálybalépése és a </w:t>
            </w:r>
            <w:r>
              <w:rPr>
                <w:i/>
                <w:noProof/>
              </w:rPr>
              <w:t>Consejo tartományközi Sanidad</w:t>
            </w:r>
            <w:r>
              <w:rPr>
                <w:noProof/>
              </w:rPr>
              <w:t xml:space="preserve">jóváhagyása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4DCB852"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297EF7D"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9CB761C"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D7EF900"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B232CF8" w14:textId="77777777" w:rsidR="003E1D81" w:rsidRDefault="00EB481C">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6F811A3B" w14:textId="77777777" w:rsidR="003E1D81" w:rsidRDefault="00EB481C">
            <w:pPr>
              <w:pStyle w:val="P68B1DB1-Normal13"/>
              <w:spacing w:after="0" w:line="240" w:lineRule="auto"/>
              <w:rPr>
                <w:rFonts w:cs="Times New Roman"/>
                <w:noProof/>
              </w:rPr>
            </w:pPr>
            <w:r>
              <w:rPr>
                <w:noProof/>
              </w:rPr>
              <w:t>A jogszabály célkitűzései és építőe</w:t>
            </w:r>
            <w:r>
              <w:rPr>
                <w:noProof/>
              </w:rPr>
              <w:t>lemei a következők: Az egészségügyi ellátáshoz való hozzáférés biztosítása mindenki számára, a betegek képviselőinek integrálása a spanyol nemzeti egészségügyi rendszer irányító szerveibe, az új hozzájárulások használatának korlátozása, a szociális és egés</w:t>
            </w:r>
            <w:r>
              <w:rPr>
                <w:noProof/>
              </w:rPr>
              <w:t>zségügyi előnyök fogalommeghatározásának megváltoztatása a nemzeti egészségügyi rendszer portfóliójában, az egészségügyi és szociális hatóságok közötti koordináció biztosítása, a terület valamennyi szabályozási változására vonatkozó hatásvizsgálat bevezeté</w:t>
            </w:r>
            <w:r>
              <w:rPr>
                <w:noProof/>
              </w:rPr>
              <w:t>se, végül pedig a nemzeti egészségügyi rendszerben a gyógyszerek használatának reformja. Ezt a törvényt részletes hatásvizsgálatnak kell kísérnie, amelyet szintén nyilvánosságra kell hozni, és amely megvizsgálja az államháztartás hosszú távú fenntarthatósá</w:t>
            </w:r>
            <w:r>
              <w:rPr>
                <w:noProof/>
              </w:rPr>
              <w:t xml:space="preserve">gára gyakorolt hatásait is. </w:t>
            </w:r>
          </w:p>
          <w:p w14:paraId="46D8381A" w14:textId="77777777" w:rsidR="003E1D81" w:rsidRDefault="003E1D81">
            <w:pPr>
              <w:spacing w:after="0" w:line="240" w:lineRule="auto"/>
              <w:rPr>
                <w:rFonts w:ascii="Times New Roman" w:hAnsi="Times New Roman" w:cs="Times New Roman"/>
                <w:noProof/>
                <w:sz w:val="18"/>
              </w:rPr>
            </w:pPr>
          </w:p>
          <w:p w14:paraId="6FED2239" w14:textId="5AFA5792" w:rsidR="003E1D81" w:rsidRDefault="00EB481C">
            <w:pPr>
              <w:pStyle w:val="P68B1DB1-Normal13"/>
              <w:spacing w:after="0" w:line="240" w:lineRule="auto"/>
              <w:rPr>
                <w:rFonts w:cs="Times New Roman"/>
                <w:noProof/>
              </w:rPr>
            </w:pPr>
            <w:r>
              <w:rPr>
                <w:noProof/>
              </w:rPr>
              <w:t xml:space="preserve">A </w:t>
            </w:r>
            <w:r>
              <w:rPr>
                <w:i/>
                <w:noProof/>
              </w:rPr>
              <w:t>Consejo tartományközi Sanidad</w:t>
            </w:r>
            <w:r>
              <w:rPr>
                <w:noProof/>
              </w:rPr>
              <w:t xml:space="preserve"> megállapodását követően hatályba lépett egy miniszteri rendelet, amely a közegészségügyi szolgáltatások közös portfólióját legalább a fogorvosi ellátással, a genomikus orvoslással, az ortopédiai</w:t>
            </w:r>
            <w:r>
              <w:rPr>
                <w:noProof/>
              </w:rPr>
              <w:t xml:space="preserve"> és protézisgondozással, valamint a megelőző ellátással kapcsolatos szolgáltatások bővítésével és javításával bővíti és javítja. </w:t>
            </w:r>
          </w:p>
          <w:p w14:paraId="7746CA4F" w14:textId="77777777" w:rsidR="003E1D81" w:rsidRDefault="003E1D81">
            <w:pPr>
              <w:spacing w:after="0" w:line="240" w:lineRule="auto"/>
              <w:rPr>
                <w:rFonts w:ascii="Times New Roman" w:hAnsi="Times New Roman" w:cs="Times New Roman"/>
                <w:noProof/>
                <w:sz w:val="18"/>
              </w:rPr>
            </w:pPr>
          </w:p>
          <w:p w14:paraId="71CC1E39" w14:textId="7C562A4E" w:rsidR="003E1D81" w:rsidRDefault="00EB481C">
            <w:pPr>
              <w:pStyle w:val="P68B1DB1-Normal13"/>
              <w:spacing w:after="0" w:line="240" w:lineRule="auto"/>
              <w:rPr>
                <w:rFonts w:eastAsia="Times New Roman" w:cs="Times New Roman"/>
                <w:noProof/>
              </w:rPr>
            </w:pPr>
            <w:r>
              <w:rPr>
                <w:noProof/>
              </w:rPr>
              <w:t xml:space="preserve">A </w:t>
            </w:r>
            <w:r>
              <w:rPr>
                <w:i/>
                <w:noProof/>
              </w:rPr>
              <w:t>Consejo tartományközi Sanidad</w:t>
            </w:r>
            <w:r>
              <w:rPr>
                <w:noProof/>
              </w:rPr>
              <w:t xml:space="preserve"> jóváhagyása a kapcsolattartó pontok hálózatának megszilárdításához és fejlesztéséhez, valamin</w:t>
            </w:r>
            <w:r>
              <w:rPr>
                <w:noProof/>
              </w:rPr>
              <w:t>t a nem az említett központok, szolgáltatások és referenciaegységek (CSUR) által kezelt ellátások átrendezéséhez</w:t>
            </w:r>
          </w:p>
        </w:tc>
      </w:tr>
      <w:tr w:rsidR="003E1D81" w14:paraId="2A694D2D"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2A0641E" w14:textId="77777777" w:rsidR="003E1D81" w:rsidRDefault="00EB481C">
            <w:pPr>
              <w:pStyle w:val="P68B1DB1-Normal13"/>
              <w:spacing w:after="0" w:line="240" w:lineRule="auto"/>
              <w:jc w:val="center"/>
              <w:rPr>
                <w:rFonts w:eastAsia="Times New Roman" w:cs="Times New Roman"/>
                <w:noProof/>
              </w:rPr>
            </w:pPr>
            <w:r>
              <w:rPr>
                <w:noProof/>
              </w:rPr>
              <w:t>276</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2E2D91B1" w14:textId="77777777" w:rsidR="003E1D81" w:rsidRDefault="00EB481C">
            <w:pPr>
              <w:pStyle w:val="P68B1DB1-Normal13"/>
              <w:spacing w:after="0" w:line="240" w:lineRule="auto"/>
              <w:jc w:val="center"/>
              <w:rPr>
                <w:rFonts w:eastAsia="Times New Roman" w:cs="Times New Roman"/>
                <w:noProof/>
              </w:rPr>
            </w:pPr>
            <w:r>
              <w:rPr>
                <w:noProof/>
              </w:rPr>
              <w:t>C18.R4</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253AEF05" w14:textId="77777777" w:rsidR="003E1D81" w:rsidRDefault="00EB481C">
            <w:pPr>
              <w:pStyle w:val="P68B1DB1-Normal13"/>
              <w:spacing w:after="0" w:line="240" w:lineRule="auto"/>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60F063BD" w14:textId="10A1E727" w:rsidR="003E1D81" w:rsidRDefault="00EB481C">
            <w:pPr>
              <w:pStyle w:val="P68B1DB1-Normal13"/>
              <w:spacing w:after="0" w:line="240" w:lineRule="auto"/>
              <w:rPr>
                <w:rFonts w:eastAsia="Times New Roman" w:cs="Times New Roman"/>
                <w:noProof/>
              </w:rPr>
            </w:pPr>
            <w:r>
              <w:rPr>
                <w:noProof/>
              </w:rPr>
              <w:t xml:space="preserve">Az egészségügyi szolgálatok jogszabályban előírt személyi állományának alapszabályáról és a szakorvosi képzési rendszer </w:t>
            </w:r>
            <w:r>
              <w:rPr>
                <w:noProof/>
              </w:rPr>
              <w:t>javításáról szóló törvény</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012F2A19" w14:textId="77777777" w:rsidR="003E1D81" w:rsidRDefault="00EB481C">
            <w:pPr>
              <w:pStyle w:val="P68B1DB1-Normal13"/>
              <w:spacing w:after="0" w:line="240" w:lineRule="auto"/>
              <w:jc w:val="center"/>
              <w:rPr>
                <w:rFonts w:eastAsia="Times New Roman" w:cs="Times New Roman"/>
                <w:noProof/>
              </w:rPr>
            </w:pPr>
            <w:r>
              <w:rPr>
                <w:noProof/>
              </w:rPr>
              <w:t>A törvénymódosítás hatálybalépése és a királyi rendelet hatálybalépése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96EABCB"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5C152C0"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4908A73"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81C0EDC"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772C06D" w14:textId="77777777" w:rsidR="003E1D81" w:rsidRDefault="00EB481C">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484CD968" w14:textId="77777777" w:rsidR="003E1D81" w:rsidRDefault="00EB481C">
            <w:pPr>
              <w:pStyle w:val="P68B1DB1-Normal13"/>
              <w:spacing w:after="0" w:line="240" w:lineRule="auto"/>
              <w:rPr>
                <w:rFonts w:cs="Times New Roman"/>
                <w:noProof/>
              </w:rPr>
            </w:pPr>
            <w:r>
              <w:rPr>
                <w:noProof/>
              </w:rPr>
              <w:t>A keretszabályzat az egészségügyi tisztviselők jogállásához való hozzáférést szabályozó alapvető norma, amely az álláshelyek betöltését, az</w:t>
            </w:r>
            <w:r>
              <w:rPr>
                <w:noProof/>
              </w:rPr>
              <w:t xml:space="preserve"> előléptetést, a mobilitást és a munkakörülményeket szabályozza. A módosítás céljai a következők: </w:t>
            </w:r>
            <w:r>
              <w:rPr>
                <w:noProof/>
              </w:rPr>
              <w:br/>
              <w:t xml:space="preserve">A határozott idejű szerződések számának csökkentése. </w:t>
            </w:r>
            <w:r>
              <w:rPr>
                <w:noProof/>
              </w:rPr>
              <w:br/>
              <w:t>Ösztönző intézkedések révén biztosítani kell a szakemberek alkalmazását egyes olyan földrajzi területek</w:t>
            </w:r>
            <w:r>
              <w:rPr>
                <w:noProof/>
              </w:rPr>
              <w:t xml:space="preserve">en, amelyeket nem elégítenek ki kellőképpen. </w:t>
            </w:r>
            <w:r>
              <w:rPr>
                <w:noProof/>
              </w:rPr>
              <w:br/>
              <w:t xml:space="preserve">A környezet és a munkakörülmények javítása olyan intézkedések révén, amelyek hozzájárulnak a szakmai fejlődéshez és a tehetségek megtartásához a spanyol rendszerben, nemcsak a gazdasági feltételek javulásával, </w:t>
            </w:r>
            <w:r>
              <w:rPr>
                <w:noProof/>
              </w:rPr>
              <w:t xml:space="preserve">hanem az egészségügyi, oktatási és kutatási lehetőségek megnyitásával is. </w:t>
            </w:r>
            <w:r>
              <w:rPr>
                <w:noProof/>
              </w:rPr>
              <w:br/>
              <w:t>Ezt a törvényt részletes hatásvizsgálatnak kell kísérnie, amely az államháztartás hosszú távú fenntarthatóságára gyakorolt hatásait is vizsgálja.</w:t>
            </w:r>
          </w:p>
          <w:p w14:paraId="473D5362" w14:textId="77777777" w:rsidR="003E1D81" w:rsidRDefault="003E1D81">
            <w:pPr>
              <w:spacing w:after="0" w:line="240" w:lineRule="auto"/>
              <w:rPr>
                <w:rFonts w:ascii="Times New Roman" w:hAnsi="Times New Roman" w:cs="Times New Roman"/>
                <w:noProof/>
                <w:sz w:val="18"/>
              </w:rPr>
            </w:pPr>
          </w:p>
          <w:p w14:paraId="16B49FF6" w14:textId="77777777" w:rsidR="003E1D81" w:rsidRDefault="00EB481C">
            <w:pPr>
              <w:pStyle w:val="P68B1DB1-Normal13"/>
              <w:spacing w:after="0" w:line="240" w:lineRule="auto"/>
              <w:rPr>
                <w:rFonts w:eastAsia="Times New Roman" w:cs="Times New Roman"/>
                <w:noProof/>
              </w:rPr>
            </w:pPr>
            <w:r>
              <w:rPr>
                <w:noProof/>
              </w:rPr>
              <w:t>A szakorvosi képzési rendszer javí</w:t>
            </w:r>
            <w:r>
              <w:rPr>
                <w:noProof/>
              </w:rPr>
              <w:t>tásáról szóló királyi rendelet hatálybalépése</w:t>
            </w:r>
          </w:p>
        </w:tc>
      </w:tr>
      <w:tr w:rsidR="003E1D81" w14:paraId="573ABAC6"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4C282A7" w14:textId="77777777" w:rsidR="003E1D81" w:rsidRDefault="00EB481C">
            <w:pPr>
              <w:pStyle w:val="P68B1DB1-Normal13"/>
              <w:spacing w:after="0" w:line="240" w:lineRule="auto"/>
              <w:jc w:val="center"/>
              <w:rPr>
                <w:rFonts w:eastAsia="Times New Roman" w:cs="Times New Roman"/>
                <w:noProof/>
              </w:rPr>
            </w:pPr>
            <w:r>
              <w:rPr>
                <w:noProof/>
              </w:rPr>
              <w:t>277</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51B0933" w14:textId="77777777" w:rsidR="003E1D81" w:rsidRDefault="00EB481C">
            <w:pPr>
              <w:pStyle w:val="P68B1DB1-Normal13"/>
              <w:spacing w:after="0" w:line="240" w:lineRule="auto"/>
              <w:jc w:val="center"/>
              <w:rPr>
                <w:rFonts w:eastAsia="Times New Roman" w:cs="Times New Roman"/>
                <w:noProof/>
              </w:rPr>
            </w:pPr>
            <w:r>
              <w:rPr>
                <w:noProof/>
              </w:rPr>
              <w:t>C18.R5</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093CBCC7" w14:textId="77777777" w:rsidR="003E1D81" w:rsidRDefault="00EB481C">
            <w:pPr>
              <w:pStyle w:val="P68B1DB1-Normal13"/>
              <w:spacing w:after="0" w:line="240" w:lineRule="auto"/>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7A22CA33" w14:textId="77777777" w:rsidR="003E1D81" w:rsidRDefault="00EB481C">
            <w:pPr>
              <w:pStyle w:val="P68B1DB1-Normal13"/>
              <w:spacing w:after="0" w:line="240" w:lineRule="auto"/>
              <w:rPr>
                <w:rFonts w:cs="Times New Roman"/>
                <w:noProof/>
              </w:rPr>
            </w:pPr>
            <w:r>
              <w:rPr>
                <w:noProof/>
              </w:rPr>
              <w:t xml:space="preserve">A jótállásról és a gyógyászati termékek ésszerű használatáról szóló törvény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3B3F14D" w14:textId="77777777" w:rsidR="003E1D81" w:rsidRDefault="00EB481C">
            <w:pPr>
              <w:pStyle w:val="P68B1DB1-Normal13"/>
              <w:spacing w:after="0" w:line="240" w:lineRule="auto"/>
              <w:jc w:val="center"/>
              <w:rPr>
                <w:rFonts w:eastAsia="Times New Roman" w:cs="Times New Roman"/>
                <w:noProof/>
              </w:rPr>
            </w:pPr>
            <w:r>
              <w:rPr>
                <w:noProof/>
              </w:rPr>
              <w:t>A törvény hatálybalépése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93CEAAB"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10377D7"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D194527"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D7EBF0A"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2739C40" w14:textId="77777777" w:rsidR="003E1D81" w:rsidRDefault="00EB481C">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383E373D" w14:textId="77777777" w:rsidR="003E1D81" w:rsidRDefault="00EB481C">
            <w:pPr>
              <w:pStyle w:val="P68B1DB1-Normal8"/>
              <w:spacing w:after="0" w:line="240" w:lineRule="auto"/>
              <w:rPr>
                <w:rFonts w:eastAsia="Times New Roman" w:cs="Times New Roman"/>
                <w:noProof/>
                <w:sz w:val="18"/>
              </w:rPr>
            </w:pPr>
            <w:r>
              <w:rPr>
                <w:noProof/>
                <w:sz w:val="18"/>
              </w:rPr>
              <w:t xml:space="preserve">A jótállásról és a gyógyászati termékek ésszerű használatáról szóló </w:t>
            </w:r>
            <w:r>
              <w:rPr>
                <w:noProof/>
                <w:sz w:val="18"/>
              </w:rPr>
              <w:t>törvény hatálybalépése. E jogi reform fő célkitűzései a következők:</w:t>
            </w:r>
            <w:r>
              <w:rPr>
                <w:noProof/>
                <w:shd w:val="clear" w:color="auto" w:fill="E6E6E6"/>
              </w:rPr>
              <w:br/>
            </w:r>
            <w:r>
              <w:rPr>
                <w:noProof/>
                <w:sz w:val="18"/>
              </w:rPr>
              <w:t xml:space="preserve">A referenciaár-rendszer módosítása a versenyt fokozó elemek bevezetésével. </w:t>
            </w:r>
            <w:r>
              <w:rPr>
                <w:noProof/>
                <w:shd w:val="clear" w:color="auto" w:fill="E6E6E6"/>
              </w:rPr>
              <w:br/>
            </w:r>
            <w:r>
              <w:rPr>
                <w:noProof/>
                <w:sz w:val="18"/>
              </w:rPr>
              <w:t xml:space="preserve">A gyógyszerek távoli kiadásának megszilárdítása. </w:t>
            </w:r>
            <w:r>
              <w:rPr>
                <w:noProof/>
                <w:shd w:val="clear" w:color="auto" w:fill="E6E6E6"/>
              </w:rPr>
              <w:br/>
            </w:r>
            <w:r>
              <w:rPr>
                <w:noProof/>
                <w:sz w:val="18"/>
              </w:rPr>
              <w:t>Lehetővé teszi, hogy a szociál-egészségügyi központok gyógysze</w:t>
            </w:r>
            <w:r>
              <w:rPr>
                <w:noProof/>
                <w:sz w:val="18"/>
              </w:rPr>
              <w:t xml:space="preserve">rraktárai kapcsolódjanak az alapellátást biztosító gyógyszertári szolgáltatásokhoz. </w:t>
            </w:r>
            <w:r>
              <w:rPr>
                <w:noProof/>
                <w:shd w:val="clear" w:color="auto" w:fill="E6E6E6"/>
              </w:rPr>
              <w:br/>
            </w:r>
            <w:r>
              <w:rPr>
                <w:noProof/>
                <w:sz w:val="18"/>
              </w:rPr>
              <w:t xml:space="preserve">– Módosítsa az állami forrásokból finanszírozott gyógyszerek és egészségügyi termékek gyártói, importőrei és beszállítói által a nemzeti egészségügyi rendszerhez nyújtott </w:t>
            </w:r>
            <w:r>
              <w:rPr>
                <w:noProof/>
                <w:sz w:val="18"/>
              </w:rPr>
              <w:t>negyedéves hozzájárulás kiszámítására szolgáló rendszert.</w:t>
            </w:r>
            <w:r>
              <w:rPr>
                <w:noProof/>
                <w:shd w:val="clear" w:color="auto" w:fill="E6E6E6"/>
              </w:rPr>
              <w:br/>
            </w:r>
            <w:r>
              <w:rPr>
                <w:noProof/>
                <w:sz w:val="18"/>
              </w:rPr>
              <w:t xml:space="preserve"> A kábítószer-reklámok ellenőrzésével kapcsolatos hatáskörök tisztázása.</w:t>
            </w:r>
            <w:r>
              <w:rPr>
                <w:noProof/>
                <w:shd w:val="clear" w:color="auto" w:fill="E6E6E6"/>
              </w:rPr>
              <w:br/>
            </w:r>
            <w:r>
              <w:rPr>
                <w:noProof/>
                <w:sz w:val="18"/>
              </w:rPr>
              <w:t xml:space="preserve"> – Módosítsa az Orvosi Ügynökség által alkalmazott díjakat. </w:t>
            </w:r>
            <w:r>
              <w:rPr>
                <w:noProof/>
                <w:shd w:val="clear" w:color="auto" w:fill="E6E6E6"/>
              </w:rPr>
              <w:br/>
            </w:r>
            <w:r>
              <w:rPr>
                <w:noProof/>
                <w:sz w:val="18"/>
              </w:rPr>
              <w:t>A szankcionálási eljárás és a jogsértések módosítása és aktualiz</w:t>
            </w:r>
            <w:r>
              <w:rPr>
                <w:noProof/>
                <w:sz w:val="18"/>
              </w:rPr>
              <w:t xml:space="preserve">álása. </w:t>
            </w:r>
          </w:p>
          <w:p w14:paraId="45D9FFE4" w14:textId="2E2D7D8A" w:rsidR="003E1D81" w:rsidRDefault="00EB481C">
            <w:pPr>
              <w:pStyle w:val="P68B1DB1-Normal8"/>
              <w:spacing w:after="0" w:line="240" w:lineRule="auto"/>
              <w:rPr>
                <w:rFonts w:eastAsia="Times New Roman" w:cs="Times New Roman"/>
                <w:noProof/>
                <w:sz w:val="18"/>
              </w:rPr>
            </w:pPr>
            <w:r>
              <w:rPr>
                <w:noProof/>
                <w:shd w:val="clear" w:color="auto" w:fill="E6E6E6"/>
              </w:rPr>
              <w:br/>
            </w:r>
            <w:r>
              <w:rPr>
                <w:noProof/>
                <w:sz w:val="18"/>
              </w:rPr>
              <w:t>Ezt a törvényt részletes hatásvizsgálatnak kell kísérnie, amely az államháztartás hosszú távú fenntarthatóságára gyakorolt hatásait is vizsgálja.</w:t>
            </w:r>
          </w:p>
        </w:tc>
      </w:tr>
      <w:tr w:rsidR="003E1D81" w14:paraId="19EFCCE4"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31C1BD2" w14:textId="77777777" w:rsidR="003E1D81" w:rsidRDefault="00EB481C">
            <w:pPr>
              <w:pStyle w:val="P68B1DB1-Normal13"/>
              <w:spacing w:after="0" w:line="240" w:lineRule="auto"/>
              <w:jc w:val="center"/>
              <w:rPr>
                <w:rFonts w:eastAsia="Times New Roman" w:cs="Times New Roman"/>
                <w:noProof/>
              </w:rPr>
            </w:pPr>
            <w:r>
              <w:rPr>
                <w:noProof/>
              </w:rPr>
              <w:t>278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6863EB41" w14:textId="77777777" w:rsidR="003E1D81" w:rsidRDefault="00EB481C">
            <w:pPr>
              <w:pStyle w:val="P68B1DB1-Normal13"/>
              <w:spacing w:after="0" w:line="240" w:lineRule="auto"/>
              <w:jc w:val="center"/>
              <w:rPr>
                <w:rFonts w:eastAsia="Times New Roman" w:cs="Times New Roman"/>
                <w:noProof/>
              </w:rPr>
            </w:pPr>
            <w:r>
              <w:rPr>
                <w:noProof/>
              </w:rPr>
              <w:t>C18.I1</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C44FDA5" w14:textId="77777777" w:rsidR="003E1D81" w:rsidRDefault="00EB481C">
            <w:pPr>
              <w:pStyle w:val="P68B1DB1-Normal13"/>
              <w:spacing w:after="0" w:line="240" w:lineRule="auto"/>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5DC39C66" w14:textId="77777777" w:rsidR="003E1D81" w:rsidRDefault="00EB481C">
            <w:pPr>
              <w:pStyle w:val="P68B1DB1-Normal13"/>
              <w:spacing w:after="0" w:line="240" w:lineRule="auto"/>
              <w:rPr>
                <w:rFonts w:eastAsia="Times New Roman" w:cs="Times New Roman"/>
                <w:noProof/>
              </w:rPr>
            </w:pPr>
            <w:r>
              <w:rPr>
                <w:noProof/>
              </w:rPr>
              <w:t xml:space="preserve">A berendezésekre vonatkozó beruházási terv jóváhagyása és a pénzeszközök elosztása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453DFC1" w14:textId="77777777" w:rsidR="003E1D81" w:rsidRDefault="00EB481C">
            <w:pPr>
              <w:pStyle w:val="P68B1DB1-Normal13"/>
              <w:spacing w:after="0" w:line="240" w:lineRule="auto"/>
              <w:jc w:val="center"/>
              <w:rPr>
                <w:rFonts w:eastAsia="Times New Roman" w:cs="Times New Roman"/>
                <w:noProof/>
              </w:rPr>
            </w:pPr>
            <w:r>
              <w:rPr>
                <w:noProof/>
              </w:rPr>
              <w:t xml:space="preserve">A </w:t>
            </w:r>
            <w:r>
              <w:rPr>
                <w:i/>
                <w:noProof/>
              </w:rPr>
              <w:t>Consejo tartományközi Sanidad</w:t>
            </w:r>
            <w:r>
              <w:rPr>
                <w:noProof/>
              </w:rPr>
              <w:t>jóváhagyása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0BBBBC5"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D1F2114"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E44ABB1"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B7BA4AE"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16978F5" w14:textId="77777777" w:rsidR="003E1D81" w:rsidRDefault="00EB481C">
            <w:pPr>
              <w:pStyle w:val="P68B1DB1-Normal13"/>
              <w:spacing w:after="0" w:line="240" w:lineRule="auto"/>
              <w:jc w:val="center"/>
              <w:rPr>
                <w:rFonts w:eastAsia="Times New Roman" w:cs="Times New Roman"/>
                <w:noProof/>
              </w:rPr>
            </w:pPr>
            <w:r>
              <w:rPr>
                <w:noProof/>
              </w:rPr>
              <w:t>2021</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06522F5E" w14:textId="77777777" w:rsidR="003E1D81" w:rsidRDefault="00EB481C">
            <w:pPr>
              <w:pStyle w:val="P68B1DB1-Normal13"/>
              <w:spacing w:after="0" w:line="240" w:lineRule="auto"/>
              <w:rPr>
                <w:rFonts w:cs="Times New Roman"/>
                <w:noProof/>
              </w:rPr>
            </w:pPr>
            <w:r>
              <w:rPr>
                <w:noProof/>
              </w:rPr>
              <w:t xml:space="preserve">A </w:t>
            </w:r>
            <w:r>
              <w:rPr>
                <w:i/>
                <w:noProof/>
              </w:rPr>
              <w:t>Consejo tartományközi szervezet</w:t>
            </w:r>
            <w:r>
              <w:rPr>
                <w:noProof/>
              </w:rPr>
              <w:t xml:space="preserve"> jóváhagyja a 796 100 000 EUR összegű támogatások odaítélésének mechanizmusait meghatározó tervet és a pénzeszközök elosztását. </w:t>
            </w:r>
          </w:p>
        </w:tc>
      </w:tr>
      <w:tr w:rsidR="003E1D81" w14:paraId="42CB8BE0"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F9412F5" w14:textId="77777777" w:rsidR="003E1D81" w:rsidRDefault="00EB481C">
            <w:pPr>
              <w:pStyle w:val="P68B1DB1-Normal13"/>
              <w:spacing w:after="0" w:line="240" w:lineRule="auto"/>
              <w:jc w:val="center"/>
              <w:rPr>
                <w:rFonts w:eastAsia="Times New Roman" w:cs="Times New Roman"/>
                <w:noProof/>
              </w:rPr>
            </w:pPr>
            <w:r>
              <w:rPr>
                <w:noProof/>
              </w:rPr>
              <w:t>279</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EA80977" w14:textId="77777777" w:rsidR="003E1D81" w:rsidRDefault="00EB481C">
            <w:pPr>
              <w:pStyle w:val="P68B1DB1-Normal13"/>
              <w:spacing w:after="0" w:line="240" w:lineRule="auto"/>
              <w:jc w:val="center"/>
              <w:rPr>
                <w:rFonts w:eastAsia="Times New Roman" w:cs="Times New Roman"/>
                <w:noProof/>
              </w:rPr>
            </w:pPr>
            <w:r>
              <w:rPr>
                <w:noProof/>
              </w:rPr>
              <w:t>C18.I1</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F7FC025" w14:textId="77777777" w:rsidR="003E1D81" w:rsidRDefault="00EB481C">
            <w:pPr>
              <w:pStyle w:val="P68B1DB1-Normal13"/>
              <w:spacing w:after="0" w:line="240" w:lineRule="auto"/>
              <w:jc w:val="center"/>
              <w:rPr>
                <w:rFonts w:eastAsia="Times New Roman" w:cs="Times New Roman"/>
                <w:noProof/>
              </w:rPr>
            </w:pPr>
            <w:r>
              <w:rPr>
                <w:noProof/>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2FB21D5" w14:textId="77777777" w:rsidR="003E1D81" w:rsidRDefault="00EB481C">
            <w:pPr>
              <w:pStyle w:val="P68B1DB1-Normal13"/>
              <w:spacing w:after="0" w:line="240" w:lineRule="auto"/>
              <w:rPr>
                <w:rFonts w:eastAsia="Times New Roman" w:cs="Times New Roman"/>
                <w:noProof/>
              </w:rPr>
            </w:pPr>
            <w:r>
              <w:rPr>
                <w:noProof/>
              </w:rPr>
              <w:t xml:space="preserve">Berendezések beszerelése/megújítása/bővítése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74DD2C7"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F9BF36F"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CD6CCAD" w14:textId="77777777" w:rsidR="003E1D81" w:rsidRDefault="00EB481C">
            <w:pPr>
              <w:pStyle w:val="P68B1DB1-Normal13"/>
              <w:spacing w:after="0" w:line="240" w:lineRule="auto"/>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7770382" w14:textId="77777777" w:rsidR="003E1D81" w:rsidRDefault="00EB481C">
            <w:pPr>
              <w:pStyle w:val="P68B1DB1-Normal13"/>
              <w:spacing w:after="0" w:line="240" w:lineRule="auto"/>
              <w:jc w:val="right"/>
              <w:rPr>
                <w:rFonts w:eastAsia="Times New Roman" w:cs="Times New Roman"/>
                <w:noProof/>
              </w:rPr>
            </w:pPr>
            <w:r>
              <w:rPr>
                <w:noProof/>
              </w:rPr>
              <w:t>750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BCE52F6"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551A52B" w14:textId="77777777" w:rsidR="003E1D81" w:rsidRDefault="00EB481C">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083A61EE" w14:textId="77777777" w:rsidR="003E1D81" w:rsidRDefault="00EB481C">
            <w:pPr>
              <w:pStyle w:val="P68B1DB1-Normal13"/>
              <w:spacing w:after="0" w:line="240" w:lineRule="auto"/>
              <w:rPr>
                <w:rFonts w:eastAsia="Times New Roman" w:cs="Times New Roman"/>
                <w:noProof/>
              </w:rPr>
            </w:pPr>
            <w:r>
              <w:rPr>
                <w:noProof/>
              </w:rPr>
              <w:t>Legalább 750 új berendezés üzembe helyezése felújítások, bővítések vagy új berendezések révén az ország egész területén.</w:t>
            </w:r>
          </w:p>
        </w:tc>
      </w:tr>
      <w:tr w:rsidR="003E1D81" w14:paraId="3164ED5A"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5C1F4DB" w14:textId="77777777" w:rsidR="003E1D81" w:rsidRDefault="00EB481C">
            <w:pPr>
              <w:pStyle w:val="P68B1DB1-Normal13"/>
              <w:spacing w:after="0" w:line="240" w:lineRule="auto"/>
              <w:jc w:val="center"/>
              <w:rPr>
                <w:rFonts w:eastAsia="Times New Roman" w:cs="Times New Roman"/>
                <w:noProof/>
              </w:rPr>
            </w:pPr>
            <w:r>
              <w:rPr>
                <w:noProof/>
              </w:rPr>
              <w:t>280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4CDB3F4A" w14:textId="77777777" w:rsidR="003E1D81" w:rsidRDefault="00EB481C">
            <w:pPr>
              <w:pStyle w:val="P68B1DB1-Normal13"/>
              <w:spacing w:after="0" w:line="240" w:lineRule="auto"/>
              <w:jc w:val="center"/>
              <w:rPr>
                <w:rFonts w:eastAsia="Times New Roman" w:cs="Times New Roman"/>
                <w:noProof/>
              </w:rPr>
            </w:pPr>
            <w:r>
              <w:rPr>
                <w:noProof/>
              </w:rPr>
              <w:t>C18.I2</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1217C989" w14:textId="77777777" w:rsidR="003E1D81" w:rsidRDefault="00EB481C">
            <w:pPr>
              <w:pStyle w:val="P68B1DB1-Normal13"/>
              <w:spacing w:after="0" w:line="240" w:lineRule="auto"/>
              <w:jc w:val="center"/>
              <w:rPr>
                <w:rFonts w:eastAsia="Times New Roman" w:cs="Times New Roman"/>
                <w:noProof/>
              </w:rPr>
            </w:pPr>
            <w:r>
              <w:rPr>
                <w:noProof/>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359B4378" w14:textId="77777777" w:rsidR="003E1D81" w:rsidRDefault="00EB481C">
            <w:pPr>
              <w:pStyle w:val="P68B1DB1-Normal13"/>
              <w:spacing w:after="0" w:line="240" w:lineRule="auto"/>
              <w:rPr>
                <w:rFonts w:eastAsia="Times New Roman" w:cs="Times New Roman"/>
                <w:noProof/>
              </w:rPr>
            </w:pPr>
            <w:r>
              <w:rPr>
                <w:noProof/>
              </w:rPr>
              <w:t>Közegészségügyi kampányok és fellépések</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0781D00"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AFD4AA3"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2252D8D" w14:textId="77777777" w:rsidR="003E1D81" w:rsidRDefault="00EB481C">
            <w:pPr>
              <w:pStyle w:val="P68B1DB1-Normal13"/>
              <w:spacing w:after="0" w:line="240" w:lineRule="auto"/>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7514801" w14:textId="77777777" w:rsidR="003E1D81" w:rsidRDefault="00EB481C">
            <w:pPr>
              <w:pStyle w:val="P68B1DB1-Normal13"/>
              <w:spacing w:after="0" w:line="240" w:lineRule="auto"/>
              <w:jc w:val="right"/>
              <w:rPr>
                <w:rFonts w:eastAsia="Times New Roman" w:cs="Times New Roman"/>
                <w:noProof/>
              </w:rPr>
            </w:pPr>
            <w:r>
              <w:rPr>
                <w:noProof/>
              </w:rPr>
              <w:t>11</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443F04E"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D66C50A" w14:textId="77777777" w:rsidR="003E1D81" w:rsidRDefault="00EB481C">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7AA1EF44" w14:textId="77777777" w:rsidR="003E1D81" w:rsidRDefault="00EB481C">
            <w:pPr>
              <w:pStyle w:val="P68B1DB1-Normal13"/>
              <w:spacing w:after="0" w:line="240" w:lineRule="auto"/>
              <w:rPr>
                <w:rFonts w:eastAsia="Times New Roman" w:cs="Times New Roman"/>
                <w:noProof/>
              </w:rPr>
            </w:pPr>
            <w:r>
              <w:rPr>
                <w:noProof/>
              </w:rPr>
              <w:t xml:space="preserve">Legalább 11 közegészségügyi terjesztési vagy szűrési kampányra került sor az alábbi területeken: a dohányzás elleni küzdelem, az alkoholfogyasztás megelőzése, a mentális egészség előmozdítása, az egészséges lakókörnyezet és életmód </w:t>
            </w:r>
            <w:r>
              <w:rPr>
                <w:noProof/>
              </w:rPr>
              <w:t>előmozdítása, az antimikrobiális rezisztencia terve és a rák megelőzése, beleértve a rák elleni európai kódex terjesztését is.  A kampányok országos szintűek. A terjesztés rádión, nyomtatott médián, interneten, közvetlen üzletszerzésen és szabadtéri tevéke</w:t>
            </w:r>
            <w:r>
              <w:rPr>
                <w:noProof/>
              </w:rPr>
              <w:t>nységeken keresztül történik.</w:t>
            </w:r>
          </w:p>
        </w:tc>
      </w:tr>
      <w:tr w:rsidR="003E1D81" w14:paraId="09954089"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7F27409" w14:textId="77777777" w:rsidR="003E1D81" w:rsidRDefault="00EB481C">
            <w:pPr>
              <w:pStyle w:val="P68B1DB1-Normal13"/>
              <w:spacing w:after="0" w:line="240" w:lineRule="auto"/>
              <w:jc w:val="center"/>
              <w:rPr>
                <w:rFonts w:eastAsia="Times New Roman" w:cs="Times New Roman"/>
                <w:noProof/>
              </w:rPr>
            </w:pPr>
            <w:r>
              <w:rPr>
                <w:noProof/>
              </w:rPr>
              <w:t>281</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7B5A24AE" w14:textId="77777777" w:rsidR="003E1D81" w:rsidRDefault="00EB481C">
            <w:pPr>
              <w:pStyle w:val="P68B1DB1-Normal13"/>
              <w:spacing w:after="0" w:line="240" w:lineRule="auto"/>
              <w:jc w:val="center"/>
              <w:rPr>
                <w:rFonts w:eastAsia="Times New Roman" w:cs="Times New Roman"/>
                <w:noProof/>
              </w:rPr>
            </w:pPr>
            <w:r>
              <w:rPr>
                <w:noProof/>
              </w:rPr>
              <w:t>C18.I3</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4C3E15E1" w14:textId="77777777" w:rsidR="003E1D81" w:rsidRDefault="00EB481C">
            <w:pPr>
              <w:pStyle w:val="P68B1DB1-Normal13"/>
              <w:spacing w:after="0" w:line="240" w:lineRule="auto"/>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04DA3D85" w14:textId="77777777" w:rsidR="003E1D81" w:rsidRDefault="00EB481C">
            <w:pPr>
              <w:pStyle w:val="P68B1DB1-Normal13"/>
              <w:spacing w:after="0" w:line="240" w:lineRule="auto"/>
              <w:rPr>
                <w:rFonts w:eastAsia="Times New Roman" w:cs="Times New Roman"/>
                <w:noProof/>
              </w:rPr>
            </w:pPr>
            <w:r>
              <w:rPr>
                <w:noProof/>
              </w:rPr>
              <w:t>Közegészségügyi felügyeleti hálózati információs rendszer</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4376D68E" w14:textId="77777777" w:rsidR="003E1D81" w:rsidRDefault="00EB481C">
            <w:pPr>
              <w:pStyle w:val="P68B1DB1-Normal13"/>
              <w:spacing w:after="0" w:line="240" w:lineRule="auto"/>
              <w:jc w:val="center"/>
              <w:rPr>
                <w:rFonts w:eastAsia="Times New Roman" w:cs="Times New Roman"/>
                <w:noProof/>
              </w:rPr>
            </w:pPr>
            <w:r>
              <w:rPr>
                <w:noProof/>
              </w:rPr>
              <w:t>Üzembe helyezési igazolás</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111EB1D"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7759618"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50BF967"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76BA05C"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6F3CF40" w14:textId="2235DDB8" w:rsidR="003E1D81" w:rsidRDefault="00EB481C">
            <w:pPr>
              <w:pStyle w:val="P68B1DB1-Normal13"/>
              <w:spacing w:after="0" w:line="240" w:lineRule="auto"/>
              <w:rPr>
                <w:rFonts w:eastAsia="Times New Roman" w:cs="Times New Roman"/>
                <w:noProof/>
              </w:rPr>
            </w:pPr>
            <w:r>
              <w:rPr>
                <w:noProof/>
              </w:rPr>
              <w:t>2025</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62629E51" w14:textId="77777777" w:rsidR="003E1D81" w:rsidRDefault="00EB481C">
            <w:pPr>
              <w:pStyle w:val="P68B1DB1-Normal13"/>
              <w:spacing w:after="0" w:line="240" w:lineRule="auto"/>
              <w:rPr>
                <w:rFonts w:cs="Times New Roman"/>
                <w:noProof/>
              </w:rPr>
            </w:pPr>
            <w:r>
              <w:rPr>
                <w:noProof/>
              </w:rPr>
              <w:t xml:space="preserve">Az állam és az autonóm közösségek monitoringrendszerének (a közegészségügyi felügyeleti hálózat információs </w:t>
            </w:r>
            <w:r>
              <w:rPr>
                <w:noProof/>
              </w:rPr>
              <w:t>rendszere) működőképesnek kell lennie, hogy lehetővé tegye a korai előrejelzést és a gyors reagálást az esetlegesen egészségügyi kockázatot jelentő problémák észlelése, az illetékes hatóságoktól származó információk terjesztése és az ellenőrzési intézkedés</w:t>
            </w:r>
            <w:r>
              <w:rPr>
                <w:noProof/>
              </w:rPr>
              <w:t>ek végrehajtásának megkönnyítése érdekében.</w:t>
            </w:r>
          </w:p>
          <w:p w14:paraId="7C6081FB" w14:textId="77777777" w:rsidR="003E1D81" w:rsidRDefault="003E1D81">
            <w:pPr>
              <w:spacing w:after="0" w:line="240" w:lineRule="auto"/>
              <w:rPr>
                <w:rFonts w:ascii="Times New Roman" w:hAnsi="Times New Roman" w:cs="Times New Roman"/>
                <w:noProof/>
                <w:sz w:val="18"/>
              </w:rPr>
            </w:pPr>
          </w:p>
          <w:p w14:paraId="1D67845B" w14:textId="7A1F1486" w:rsidR="003E1D81" w:rsidRDefault="00EB481C">
            <w:pPr>
              <w:pStyle w:val="P68B1DB1-Normal13"/>
              <w:spacing w:after="0" w:line="240" w:lineRule="auto"/>
              <w:rPr>
                <w:rFonts w:cs="Times New Roman"/>
                <w:noProof/>
              </w:rPr>
            </w:pPr>
            <w:r>
              <w:rPr>
                <w:noProof/>
              </w:rPr>
              <w:t>Az új Állami Közegészségügyi Központ berendezéseit összesen legalább 9,45 millió EUR értékben kell beszerezni.</w:t>
            </w:r>
          </w:p>
          <w:p w14:paraId="5AE0BF10" w14:textId="77777777" w:rsidR="003E1D81" w:rsidRDefault="003E1D81">
            <w:pPr>
              <w:spacing w:after="0" w:line="240" w:lineRule="auto"/>
              <w:rPr>
                <w:rFonts w:ascii="Times New Roman" w:hAnsi="Times New Roman" w:cs="Times New Roman"/>
                <w:noProof/>
                <w:sz w:val="18"/>
              </w:rPr>
            </w:pPr>
          </w:p>
          <w:p w14:paraId="7B0EA280" w14:textId="6F3798CB" w:rsidR="003E1D81" w:rsidRDefault="00EB481C">
            <w:pPr>
              <w:pStyle w:val="P68B1DB1-Normal13"/>
              <w:spacing w:after="0" w:line="240" w:lineRule="auto"/>
              <w:rPr>
                <w:rFonts w:cs="Times New Roman"/>
                <w:noProof/>
              </w:rPr>
            </w:pPr>
            <w:r>
              <w:rPr>
                <w:noProof/>
              </w:rPr>
              <w:t>Be kell fejezni a Melillai Egyetemi Kórház berendezéseinek beszerzését és a Nemzeti Dozimetriai Köz</w:t>
            </w:r>
            <w:r>
              <w:rPr>
                <w:noProof/>
              </w:rPr>
              <w:t>pont új épületének megépítését, valamint a Nemzeti Munkabiztonsági és Egészségvédelmi Intézet, a Nemzeti Élelmiszerközpont, a Gyógyszer- és Egészségügyi Termékügynökség és a Nemzeti Transzplantációs Szervezet vizsgálólaboratóriuma kapacitásának növelését c</w:t>
            </w:r>
            <w:r>
              <w:rPr>
                <w:noProof/>
              </w:rPr>
              <w:t>élzó rendszerek és infrastruktúra beszerzése összesen legalább 44 millió EUR összértékben.</w:t>
            </w:r>
          </w:p>
          <w:p w14:paraId="7B7CF298" w14:textId="77777777" w:rsidR="003E1D81" w:rsidRDefault="003E1D81">
            <w:pPr>
              <w:spacing w:after="0" w:line="240" w:lineRule="auto"/>
              <w:rPr>
                <w:rFonts w:ascii="Times New Roman" w:hAnsi="Times New Roman" w:cs="Times New Roman"/>
                <w:noProof/>
                <w:sz w:val="18"/>
              </w:rPr>
            </w:pPr>
          </w:p>
          <w:p w14:paraId="0373B938" w14:textId="77777777" w:rsidR="003E1D81" w:rsidRDefault="00EB481C">
            <w:pPr>
              <w:pStyle w:val="P68B1DB1-Normal13"/>
              <w:spacing w:after="0" w:line="240" w:lineRule="auto"/>
              <w:rPr>
                <w:rFonts w:eastAsia="Times New Roman" w:cs="Times New Roman"/>
                <w:noProof/>
              </w:rPr>
            </w:pPr>
            <w:r>
              <w:rPr>
                <w:noProof/>
              </w:rPr>
              <w:t>A nemzeti egészségügyi rendszer világjárvány alatti teljesítményének értékelését be kell fejezni és közzé kell tenni.</w:t>
            </w:r>
          </w:p>
        </w:tc>
      </w:tr>
      <w:tr w:rsidR="003E1D81" w14:paraId="7B849F40"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DD97B2C" w14:textId="77777777" w:rsidR="003E1D81" w:rsidRDefault="00EB481C">
            <w:pPr>
              <w:pStyle w:val="P68B1DB1-Normal13"/>
              <w:spacing w:after="0" w:line="240" w:lineRule="auto"/>
              <w:jc w:val="center"/>
              <w:rPr>
                <w:rFonts w:eastAsia="Times New Roman" w:cs="Times New Roman"/>
                <w:noProof/>
              </w:rPr>
            </w:pPr>
            <w:r>
              <w:rPr>
                <w:noProof/>
              </w:rPr>
              <w:t>282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B5711B0" w14:textId="77777777" w:rsidR="003E1D81" w:rsidRDefault="00EB481C">
            <w:pPr>
              <w:pStyle w:val="P68B1DB1-Normal13"/>
              <w:spacing w:after="0" w:line="240" w:lineRule="auto"/>
              <w:jc w:val="center"/>
              <w:rPr>
                <w:rFonts w:eastAsia="Times New Roman" w:cs="Times New Roman"/>
                <w:noProof/>
              </w:rPr>
            </w:pPr>
            <w:r>
              <w:rPr>
                <w:noProof/>
              </w:rPr>
              <w:t>C18.I4</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364E6A73" w14:textId="77777777" w:rsidR="003E1D81" w:rsidRDefault="00EB481C">
            <w:pPr>
              <w:pStyle w:val="P68B1DB1-Normal13"/>
              <w:spacing w:after="0" w:line="240" w:lineRule="auto"/>
              <w:jc w:val="center"/>
              <w:rPr>
                <w:rFonts w:eastAsia="Times New Roman" w:cs="Times New Roman"/>
                <w:noProof/>
              </w:rPr>
            </w:pPr>
            <w:r>
              <w:rPr>
                <w:noProof/>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79568BA0" w14:textId="77777777" w:rsidR="003E1D81" w:rsidRDefault="00EB481C">
            <w:pPr>
              <w:pStyle w:val="P68B1DB1-Normal13"/>
              <w:spacing w:after="0" w:line="240" w:lineRule="auto"/>
              <w:rPr>
                <w:rFonts w:eastAsia="Times New Roman" w:cs="Times New Roman"/>
                <w:noProof/>
              </w:rPr>
            </w:pPr>
            <w:r>
              <w:rPr>
                <w:noProof/>
              </w:rPr>
              <w:t xml:space="preserve">Továbbképzési tervek keretében képzett egészségügyi szakemberek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08376EC4"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1A10F92"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ADF40FD" w14:textId="77777777" w:rsidR="003E1D81" w:rsidRDefault="00EB481C">
            <w:pPr>
              <w:pStyle w:val="P68B1DB1-Normal13"/>
              <w:spacing w:after="0" w:line="240" w:lineRule="auto"/>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1CCE16E" w14:textId="77777777" w:rsidR="003E1D81" w:rsidRDefault="00EB481C">
            <w:pPr>
              <w:pStyle w:val="P68B1DB1-Normal13"/>
              <w:spacing w:after="0" w:line="240" w:lineRule="auto"/>
              <w:jc w:val="right"/>
              <w:rPr>
                <w:rFonts w:eastAsia="Times New Roman" w:cs="Times New Roman"/>
                <w:noProof/>
              </w:rPr>
            </w:pPr>
            <w:r>
              <w:rPr>
                <w:noProof/>
              </w:rPr>
              <w:t>90 000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BF129A7"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DD7CCB4" w14:textId="77777777" w:rsidR="003E1D81" w:rsidRDefault="00EB481C">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6C75BA9A" w14:textId="51F87FE8" w:rsidR="003E1D81" w:rsidRDefault="00EB481C">
            <w:pPr>
              <w:pStyle w:val="P68B1DB1-Normal13"/>
              <w:spacing w:after="0" w:line="240" w:lineRule="auto"/>
              <w:rPr>
                <w:rFonts w:cs="Times New Roman"/>
                <w:noProof/>
              </w:rPr>
            </w:pPr>
            <w:r>
              <w:rPr>
                <w:noProof/>
              </w:rPr>
              <w:t>Legalább 90000 egészségügyi szakember összesen 360000 továbbképzési kreditet szerzett, ami összesen 3,6 millió óra képzésnek felel meg a C18.I4. pontban meghatár</w:t>
            </w:r>
            <w:r>
              <w:rPr>
                <w:noProof/>
              </w:rPr>
              <w:t>ozott prioritásokkal összhangban kidolgozott továbbképzési tervek keretében. A képzések a következőkre terjednek ki: Az egészségügyi technológiák és információs rendszerek használata, közegészségügyi felügyelet és epidemiológia, beteg- és szakmai biztonság</w:t>
            </w:r>
            <w:r>
              <w:rPr>
                <w:noProof/>
              </w:rPr>
              <w:t xml:space="preserve">, a diagnosztikai és terápiás erőforrások ésszerű használata, a rák korai felismerése, a mentális egészség, a környezeti egészség, a kockázati tényezők megelőzése, a nemi alapú erőszak korai felismerése, a gyermekbántalmazás korai felismerése, a bioetika, </w:t>
            </w:r>
            <w:r>
              <w:rPr>
                <w:noProof/>
              </w:rPr>
              <w:t>a klinikai kommunikáció, a tényeken alapuló orvoslás, másokkal való együttműködés, vizsgálati módszerek, az egészségügyi intézményvezetők irányítási kompetenciáinak fejlesztése, valamint a mentorok speciális egészségügyi képzésben való képzése. A képzéseke</w:t>
            </w:r>
            <w:r>
              <w:rPr>
                <w:noProof/>
              </w:rPr>
              <w:t>t tantermi képzés, online és vegyes tanulási formátumok formájában biztosították, amelyeket szakképzett egészségügyi szakemberek és az egészségügyi szakképzés területén dolgozó szakemberek hajtottak végre.</w:t>
            </w:r>
          </w:p>
        </w:tc>
      </w:tr>
      <w:tr w:rsidR="003E1D81" w14:paraId="1FDFAA19"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9DE5D73" w14:textId="4A62D41B" w:rsidR="003E1D81" w:rsidRDefault="00EB481C">
            <w:pPr>
              <w:pStyle w:val="P68B1DB1-Normal13"/>
              <w:spacing w:after="0" w:line="240" w:lineRule="auto"/>
              <w:jc w:val="center"/>
              <w:rPr>
                <w:rFonts w:cs="Times New Roman"/>
                <w:noProof/>
              </w:rPr>
            </w:pPr>
            <w:r>
              <w:rPr>
                <w:noProof/>
              </w:rPr>
              <w:t>463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2B3E0B7" w14:textId="77777777" w:rsidR="003E1D81" w:rsidRDefault="00EB481C">
            <w:pPr>
              <w:pStyle w:val="P68B1DB1-Normal13"/>
              <w:spacing w:after="0" w:line="240" w:lineRule="auto"/>
              <w:jc w:val="center"/>
              <w:rPr>
                <w:rFonts w:cs="Times New Roman"/>
                <w:noProof/>
              </w:rPr>
            </w:pPr>
            <w:r>
              <w:rPr>
                <w:noProof/>
              </w:rPr>
              <w:t>C18.I4</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9C0A173" w14:textId="77777777" w:rsidR="003E1D81" w:rsidRDefault="00EB481C">
            <w:pPr>
              <w:pStyle w:val="P68B1DB1-Normal13"/>
              <w:spacing w:after="0" w:line="240" w:lineRule="auto"/>
              <w:jc w:val="center"/>
              <w:rPr>
                <w:rFonts w:cs="Times New Roman"/>
                <w:noProof/>
              </w:rPr>
            </w:pPr>
            <w:r>
              <w:rPr>
                <w:noProof/>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DFE91DE" w14:textId="77777777" w:rsidR="003E1D81" w:rsidRDefault="00EB481C">
            <w:pPr>
              <w:pStyle w:val="P68B1DB1-Normal13"/>
              <w:spacing w:after="0" w:line="240" w:lineRule="auto"/>
              <w:rPr>
                <w:rFonts w:cs="Times New Roman"/>
                <w:noProof/>
              </w:rPr>
            </w:pPr>
            <w:r>
              <w:rPr>
                <w:noProof/>
              </w:rPr>
              <w:t xml:space="preserve">Az egészségügyi szakemberek képzése </w:t>
            </w:r>
            <w:r>
              <w:rPr>
                <w:noProof/>
              </w:rPr>
              <w:t>és az ismeretek megosztására szolgáló erőforrások</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A2ECA5D" w14:textId="77777777" w:rsidR="003E1D81" w:rsidRDefault="003E1D81">
            <w:pPr>
              <w:spacing w:after="0" w:line="240" w:lineRule="auto"/>
              <w:jc w:val="center"/>
              <w:rPr>
                <w:rFonts w:ascii="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0162E06" w14:textId="77777777" w:rsidR="003E1D81" w:rsidRDefault="003E1D81">
            <w:pPr>
              <w:spacing w:after="0" w:line="240" w:lineRule="auto"/>
              <w:jc w:val="center"/>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DF066A8" w14:textId="77777777" w:rsidR="003E1D81" w:rsidRDefault="003E1D81">
            <w:pPr>
              <w:spacing w:after="0" w:line="240" w:lineRule="auto"/>
              <w:jc w:val="right"/>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A9F29FF" w14:textId="77777777" w:rsidR="003E1D81" w:rsidRDefault="003E1D81">
            <w:pPr>
              <w:spacing w:after="0" w:line="240" w:lineRule="auto"/>
              <w:jc w:val="right"/>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71B1C36" w14:textId="77777777" w:rsidR="003E1D81" w:rsidRDefault="00EB481C">
            <w:pPr>
              <w:pStyle w:val="P68B1DB1-Normal13"/>
              <w:spacing w:after="0" w:line="240" w:lineRule="auto"/>
              <w:jc w:val="center"/>
              <w:rPr>
                <w:rFonts w:cs="Times New Roman"/>
                <w:noProof/>
              </w:rPr>
            </w:pPr>
            <w:r>
              <w:rPr>
                <w:noProof/>
              </w:rPr>
              <w:t>KÉRDÉS</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6163821" w14:textId="77777777" w:rsidR="003E1D81" w:rsidRDefault="00EB481C">
            <w:pPr>
              <w:pStyle w:val="P68B1DB1-Normal13"/>
              <w:spacing w:after="0" w:line="240" w:lineRule="auto"/>
              <w:jc w:val="center"/>
              <w:rPr>
                <w:rFonts w:cs="Times New Roman"/>
                <w:noProof/>
              </w:rPr>
            </w:pPr>
            <w:r>
              <w:rPr>
                <w:noProof/>
              </w:rPr>
              <w:t>2026</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7D743535" w14:textId="2FE0690C" w:rsidR="003E1D81" w:rsidRDefault="00EB481C">
            <w:pPr>
              <w:pStyle w:val="P68B1DB1-Normal13"/>
              <w:spacing w:after="0" w:line="240" w:lineRule="auto"/>
              <w:rPr>
                <w:rFonts w:cs="Times New Roman"/>
                <w:noProof/>
              </w:rPr>
            </w:pPr>
            <w:r>
              <w:rPr>
                <w:noProof/>
              </w:rPr>
              <w:t>Legalább 1300 egészségügyi ellátást kell képezni az egészségügyi szakmai készségek értékelésének és akkreditálásának nemzetközi modelljeiről (egészségügyi szakemberek újratanúsítási modellje</w:t>
            </w:r>
            <w:r>
              <w:rPr>
                <w:noProof/>
              </w:rPr>
              <w:t>i). A nem szabályozott készségek értékelésére és akkreditálására a következő informatikai alkalmazásokat is ki kell fejleszteni:</w:t>
            </w:r>
          </w:p>
          <w:p w14:paraId="6E2A2FAE" w14:textId="77777777" w:rsidR="003E1D81" w:rsidRDefault="00EB481C">
            <w:pPr>
              <w:pStyle w:val="P68B1DB1-ListParagraph14"/>
              <w:numPr>
                <w:ilvl w:val="0"/>
                <w:numId w:val="625"/>
              </w:numPr>
              <w:spacing w:after="0" w:line="240" w:lineRule="auto"/>
              <w:rPr>
                <w:rFonts w:eastAsia="Times New Roman" w:cs="Times New Roman"/>
                <w:noProof/>
              </w:rPr>
            </w:pPr>
            <w:r>
              <w:rPr>
                <w:noProof/>
              </w:rPr>
              <w:t xml:space="preserve">Webes alkalmazás újratanúsításra </w:t>
            </w:r>
          </w:p>
          <w:p w14:paraId="6374291C" w14:textId="77777777" w:rsidR="003E1D81" w:rsidRDefault="00EB481C">
            <w:pPr>
              <w:pStyle w:val="P68B1DB1-ListParagraph14"/>
              <w:numPr>
                <w:ilvl w:val="0"/>
                <w:numId w:val="625"/>
              </w:numPr>
              <w:spacing w:after="0" w:line="240" w:lineRule="auto"/>
              <w:rPr>
                <w:rFonts w:eastAsia="Times New Roman" w:cs="Times New Roman"/>
                <w:noProof/>
              </w:rPr>
            </w:pPr>
            <w:r>
              <w:rPr>
                <w:noProof/>
              </w:rPr>
              <w:t>A szakmai újratanúsítási adatok integrálása a REPS portálba</w:t>
            </w:r>
          </w:p>
          <w:p w14:paraId="7A59FD98" w14:textId="77777777" w:rsidR="003E1D81" w:rsidRDefault="003E1D81">
            <w:pPr>
              <w:spacing w:after="0" w:line="240" w:lineRule="auto"/>
              <w:rPr>
                <w:rFonts w:ascii="Times New Roman" w:eastAsia="Times New Roman" w:hAnsi="Times New Roman" w:cs="Times New Roman"/>
                <w:noProof/>
                <w:sz w:val="18"/>
              </w:rPr>
            </w:pPr>
          </w:p>
          <w:p w14:paraId="6962BC08" w14:textId="77777777" w:rsidR="003E1D81" w:rsidRDefault="00EB481C">
            <w:pPr>
              <w:pStyle w:val="P68B1DB1-Normal13"/>
              <w:spacing w:after="0" w:line="240" w:lineRule="auto"/>
              <w:rPr>
                <w:rFonts w:cs="Times New Roman"/>
                <w:noProof/>
              </w:rPr>
            </w:pPr>
            <w:r>
              <w:rPr>
                <w:noProof/>
              </w:rPr>
              <w:t>A rendkívül összetett körülménye</w:t>
            </w:r>
            <w:r>
              <w:rPr>
                <w:noProof/>
              </w:rPr>
              <w:t>k kezelésére szolgáló együttműködési eszközöket kell beszerezni vagy fejleszteni. Az együttműködésen alapuló eszközöknek legalább a következő funkciókat kell magukban foglalniuk:</w:t>
            </w:r>
          </w:p>
          <w:p w14:paraId="0BD47D04" w14:textId="77777777" w:rsidR="003E1D81" w:rsidRDefault="00EB481C">
            <w:pPr>
              <w:pStyle w:val="P68B1DB1-ListParagraph14"/>
              <w:numPr>
                <w:ilvl w:val="0"/>
                <w:numId w:val="632"/>
              </w:numPr>
              <w:spacing w:after="0" w:line="240" w:lineRule="auto"/>
              <w:rPr>
                <w:rFonts w:cs="Times New Roman"/>
                <w:noProof/>
              </w:rPr>
            </w:pPr>
            <w:r>
              <w:rPr>
                <w:noProof/>
              </w:rPr>
              <w:t>A betegellátást szolgáló közös klinikai folyamatok.</w:t>
            </w:r>
          </w:p>
          <w:p w14:paraId="71CCAA76" w14:textId="77777777" w:rsidR="003E1D81" w:rsidRDefault="00EB481C">
            <w:pPr>
              <w:pStyle w:val="P68B1DB1-ListParagraph14"/>
              <w:numPr>
                <w:ilvl w:val="0"/>
                <w:numId w:val="632"/>
              </w:numPr>
              <w:spacing w:after="0" w:line="240" w:lineRule="auto"/>
              <w:rPr>
                <w:rFonts w:cs="Times New Roman"/>
                <w:noProof/>
              </w:rPr>
            </w:pPr>
            <w:r>
              <w:rPr>
                <w:noProof/>
              </w:rPr>
              <w:t xml:space="preserve">Szakemberek közötti kommunikáció. </w:t>
            </w:r>
          </w:p>
          <w:p w14:paraId="53B470EB" w14:textId="77777777" w:rsidR="003E1D81" w:rsidRDefault="003E1D81">
            <w:pPr>
              <w:spacing w:after="0" w:line="240" w:lineRule="auto"/>
              <w:rPr>
                <w:rFonts w:ascii="Times New Roman" w:hAnsi="Times New Roman" w:cs="Times New Roman"/>
                <w:noProof/>
                <w:sz w:val="18"/>
              </w:rPr>
            </w:pPr>
          </w:p>
          <w:p w14:paraId="4C5CD18B" w14:textId="77777777" w:rsidR="003E1D81" w:rsidRDefault="00EB481C">
            <w:pPr>
              <w:pStyle w:val="P68B1DB1-Normal13"/>
              <w:spacing w:after="0" w:line="240" w:lineRule="auto"/>
              <w:rPr>
                <w:rFonts w:cs="Times New Roman"/>
                <w:noProof/>
              </w:rPr>
            </w:pPr>
            <w:r>
              <w:rPr>
                <w:noProof/>
              </w:rPr>
              <w:t>Számítógépes térképet kell készíteni a korai ellátás és a genomikus orvoslás közös erőforrásainak és szolgáltatásainak megjelenítésére.</w:t>
            </w:r>
          </w:p>
        </w:tc>
      </w:tr>
      <w:tr w:rsidR="003E1D81" w14:paraId="7C41C0DC"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16F2368" w14:textId="77777777" w:rsidR="003E1D81" w:rsidRDefault="00EB481C">
            <w:pPr>
              <w:pStyle w:val="P68B1DB1-Normal13"/>
              <w:jc w:val="center"/>
              <w:rPr>
                <w:rFonts w:eastAsia="Times New Roman" w:cs="Times New Roman"/>
                <w:noProof/>
              </w:rPr>
            </w:pPr>
            <w:r>
              <w:rPr>
                <w:noProof/>
              </w:rPr>
              <w:t>283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FADF40C" w14:textId="77777777" w:rsidR="003E1D81" w:rsidRDefault="00EB481C">
            <w:pPr>
              <w:pStyle w:val="P68B1DB1-Normal13"/>
              <w:jc w:val="center"/>
              <w:rPr>
                <w:rFonts w:eastAsia="Times New Roman" w:cs="Times New Roman"/>
                <w:noProof/>
              </w:rPr>
            </w:pPr>
            <w:r>
              <w:rPr>
                <w:noProof/>
              </w:rPr>
              <w:t>C18.I5</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6F782ABA" w14:textId="77777777" w:rsidR="003E1D81" w:rsidRDefault="00EB481C">
            <w:pPr>
              <w:pStyle w:val="P68B1DB1-Normal13"/>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700C1A04" w14:textId="77777777" w:rsidR="003E1D81" w:rsidRDefault="00EB481C">
            <w:pPr>
              <w:pStyle w:val="P68B1DB1-Normal13"/>
              <w:rPr>
                <w:rFonts w:eastAsia="Times New Roman" w:cs="Times New Roman"/>
                <w:noProof/>
              </w:rPr>
            </w:pPr>
            <w:r>
              <w:rPr>
                <w:noProof/>
              </w:rPr>
              <w:t xml:space="preserve">VALTERM ED-rendszer és platform az egészségügyi technológiák és a </w:t>
            </w:r>
            <w:r>
              <w:rPr>
                <w:noProof/>
              </w:rPr>
              <w:t>nemzeti egészségügyi rendszer előnyeinek értékelésére</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1B4EF807" w14:textId="77777777" w:rsidR="003E1D81" w:rsidRDefault="00EB481C">
            <w:pPr>
              <w:pStyle w:val="P68B1DB1-Normal13"/>
              <w:jc w:val="center"/>
              <w:rPr>
                <w:rFonts w:eastAsia="Times New Roman" w:cs="Times New Roman"/>
                <w:noProof/>
              </w:rPr>
            </w:pPr>
            <w:r>
              <w:rPr>
                <w:noProof/>
              </w:rPr>
              <w:t>Üzembe helyezési igazolás</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F8DDFA9" w14:textId="77777777" w:rsidR="003E1D81" w:rsidRDefault="003E1D81">
            <w:pPr>
              <w:jc w:val="center"/>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0CA3C4C" w14:textId="77777777" w:rsidR="003E1D81" w:rsidRDefault="003E1D81">
            <w:pPr>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9780AA6" w14:textId="77777777" w:rsidR="003E1D81" w:rsidRDefault="003E1D81">
            <w:pPr>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D3D5060" w14:textId="77777777" w:rsidR="003E1D81" w:rsidRDefault="00EB481C">
            <w:pPr>
              <w:pStyle w:val="P68B1DB1-Normal13"/>
              <w:jc w:val="center"/>
              <w:rPr>
                <w:rFonts w:eastAsia="Times New Roman" w:cs="Times New Roman"/>
                <w:noProof/>
              </w:rPr>
            </w:pPr>
            <w:r>
              <w:rPr>
                <w:noProof/>
              </w:rPr>
              <w:t>NEGYEDÉV</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4417D6B" w14:textId="77777777" w:rsidR="003E1D81" w:rsidRDefault="00EB481C">
            <w:pPr>
              <w:pStyle w:val="P68B1DB1-Normal13"/>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4F75462A" w14:textId="77777777" w:rsidR="003E1D81" w:rsidRDefault="00EB481C">
            <w:pPr>
              <w:pStyle w:val="P68B1DB1-Normal13"/>
              <w:rPr>
                <w:rFonts w:eastAsia="Times New Roman" w:cs="Times New Roman"/>
                <w:noProof/>
              </w:rPr>
            </w:pPr>
            <w:r>
              <w:rPr>
                <w:noProof/>
              </w:rPr>
              <w:t>Az M inistry of Health és az autonóm régiók közötti gyógyszerértékelési hálózat működik, a VALTERM ED-rendszer működik, és létrehoztak egy platformot a nemzeti</w:t>
            </w:r>
            <w:r>
              <w:rPr>
                <w:noProof/>
              </w:rPr>
              <w:t xml:space="preserve"> egészségügyi rendszer egészségügyi technológiáinak és előnyeinek értékelésével foglalkozó ügynökségek spanyol hálózata (SNS REDETS) számára.</w:t>
            </w:r>
          </w:p>
          <w:p w14:paraId="6111A05C" w14:textId="77777777" w:rsidR="003E1D81" w:rsidRDefault="003E1D81">
            <w:pPr>
              <w:rPr>
                <w:rFonts w:ascii="Times New Roman" w:eastAsia="Times New Roman" w:hAnsi="Times New Roman" w:cs="Times New Roman"/>
                <w:noProof/>
                <w:sz w:val="18"/>
              </w:rPr>
            </w:pPr>
          </w:p>
        </w:tc>
      </w:tr>
      <w:tr w:rsidR="003E1D81" w14:paraId="2A1543F9"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190B727" w14:textId="6F94BB42" w:rsidR="003E1D81" w:rsidRDefault="00EB481C">
            <w:pPr>
              <w:pStyle w:val="P68B1DB1-Normal13"/>
              <w:jc w:val="center"/>
              <w:rPr>
                <w:rFonts w:eastAsia="Times New Roman" w:cs="Times New Roman"/>
                <w:noProof/>
              </w:rPr>
            </w:pPr>
            <w:r>
              <w:rPr>
                <w:noProof/>
              </w:rPr>
              <w:t>464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27CF1721" w14:textId="77777777" w:rsidR="003E1D81" w:rsidRDefault="00EB481C">
            <w:pPr>
              <w:pStyle w:val="P68B1DB1-Normal13"/>
              <w:jc w:val="center"/>
              <w:rPr>
                <w:rFonts w:eastAsia="Times New Roman" w:cs="Times New Roman"/>
                <w:noProof/>
              </w:rPr>
            </w:pPr>
            <w:r>
              <w:rPr>
                <w:noProof/>
              </w:rPr>
              <w:t>C18.I5</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4EB71D2A" w14:textId="77777777" w:rsidR="003E1D81" w:rsidRDefault="00EB481C">
            <w:pPr>
              <w:pStyle w:val="P68B1DB1-Normal13"/>
              <w:jc w:val="center"/>
              <w:rPr>
                <w:rFonts w:eastAsia="Times New Roman" w:cs="Times New Roman"/>
                <w:noProof/>
              </w:rPr>
            </w:pPr>
            <w:r>
              <w:rPr>
                <w:noProof/>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61E6A0DF" w14:textId="77777777" w:rsidR="003E1D81" w:rsidRDefault="00EB481C">
            <w:pPr>
              <w:pStyle w:val="P68B1DB1-Normal13"/>
              <w:rPr>
                <w:rFonts w:eastAsia="Times New Roman" w:cs="Times New Roman"/>
                <w:noProof/>
              </w:rPr>
            </w:pPr>
            <w:r>
              <w:rPr>
                <w:noProof/>
              </w:rPr>
              <w:t>Terv a gyógyszerfogyasztás racionalizálására és a fenntarthatóság előmozdítására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7B66D9E" w14:textId="77777777" w:rsidR="003E1D81" w:rsidRDefault="003E1D81">
            <w:pPr>
              <w:jc w:val="center"/>
              <w:rPr>
                <w:rFonts w:ascii="Times New Roman" w:eastAsia="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C9821BC" w14:textId="77777777" w:rsidR="003E1D81" w:rsidRDefault="003E1D81">
            <w:pPr>
              <w:jc w:val="center"/>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353133F" w14:textId="77777777" w:rsidR="003E1D81" w:rsidRDefault="003E1D81">
            <w:pPr>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5162B95" w14:textId="77777777" w:rsidR="003E1D81" w:rsidRDefault="003E1D81">
            <w:pPr>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E92C8D9" w14:textId="77777777" w:rsidR="003E1D81" w:rsidRDefault="00EB481C">
            <w:pPr>
              <w:pStyle w:val="P68B1DB1-Normal13"/>
              <w:jc w:val="center"/>
              <w:rPr>
                <w:rFonts w:eastAsia="Times New Roman" w:cs="Times New Roman"/>
                <w:noProof/>
              </w:rPr>
            </w:pPr>
            <w:r>
              <w:rPr>
                <w:noProof/>
              </w:rPr>
              <w:t>KÉRDÉS</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02FFEE1" w14:textId="77777777" w:rsidR="003E1D81" w:rsidRDefault="00EB481C">
            <w:pPr>
              <w:pStyle w:val="P68B1DB1-Normal13"/>
              <w:jc w:val="center"/>
              <w:rPr>
                <w:rFonts w:eastAsia="Times New Roman" w:cs="Times New Roman"/>
                <w:noProof/>
              </w:rPr>
            </w:pPr>
            <w:r>
              <w:rPr>
                <w:noProof/>
              </w:rPr>
              <w:t>2026</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5C51D39B" w14:textId="77777777" w:rsidR="003E1D81" w:rsidRDefault="00EB481C">
            <w:pPr>
              <w:pStyle w:val="P68B1DB1-Normal13"/>
              <w:rPr>
                <w:rFonts w:eastAsia="Times New Roman" w:cs="Times New Roman"/>
                <w:noProof/>
              </w:rPr>
            </w:pPr>
            <w:r>
              <w:rPr>
                <w:noProof/>
              </w:rPr>
              <w:t>Kampányt kell folytatni a generikus és biohasonló gyógyszerek használatának előmozdítására.</w:t>
            </w:r>
          </w:p>
          <w:p w14:paraId="4A2FC14B" w14:textId="42ED86BA" w:rsidR="003E1D81" w:rsidRDefault="00EB481C">
            <w:pPr>
              <w:pStyle w:val="P68B1DB1-Normal13"/>
              <w:rPr>
                <w:rFonts w:eastAsia="Times New Roman" w:cs="Times New Roman"/>
                <w:noProof/>
              </w:rPr>
            </w:pPr>
            <w:r>
              <w:rPr>
                <w:noProof/>
              </w:rPr>
              <w:t>Létre kell hozni egy információs rendszert az ortopédiai és protéziai szolgáltatások rendelésének kezelésére.</w:t>
            </w:r>
          </w:p>
          <w:p w14:paraId="251727E0" w14:textId="2D566576" w:rsidR="003E1D81" w:rsidRDefault="00EB481C">
            <w:pPr>
              <w:pStyle w:val="P68B1DB1-Normal13"/>
              <w:rPr>
                <w:rFonts w:eastAsia="Times New Roman" w:cs="Times New Roman"/>
                <w:noProof/>
              </w:rPr>
            </w:pPr>
            <w:r>
              <w:rPr>
                <w:noProof/>
              </w:rPr>
              <w:t>Legalább 46300 egészségügyi szakembernek kell képzésbe</w:t>
            </w:r>
            <w:r>
              <w:rPr>
                <w:noProof/>
              </w:rPr>
              <w:t>n részesülnie a gyógyszerek ésszerű használatáról, a tudományos ismeretek klinikai beavatkozáshoz és a szakirodalom kritikai olvasásához szükséges készségek fejlesztésében való alkalmazásáról.</w:t>
            </w:r>
          </w:p>
          <w:p w14:paraId="046176C0" w14:textId="77777777" w:rsidR="003E1D81" w:rsidRDefault="00EB481C">
            <w:pPr>
              <w:pStyle w:val="P68B1DB1-Normal13"/>
              <w:rPr>
                <w:rFonts w:eastAsia="Times New Roman" w:cs="Times New Roman"/>
                <w:noProof/>
              </w:rPr>
            </w:pPr>
            <w:r>
              <w:rPr>
                <w:noProof/>
              </w:rPr>
              <w:t>A gyógyszerek és az egészségügyi technológiák értékelésének ért</w:t>
            </w:r>
            <w:r>
              <w:rPr>
                <w:noProof/>
              </w:rPr>
              <w:t>ékeléséről szóló diplomás tanfolyamot kell létrehozni.</w:t>
            </w:r>
          </w:p>
        </w:tc>
      </w:tr>
      <w:tr w:rsidR="003E1D81" w14:paraId="69CDC385"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6687D722" w14:textId="77777777" w:rsidR="003E1D81" w:rsidRDefault="00EB481C">
            <w:pPr>
              <w:pStyle w:val="P68B1DB1-Normal13"/>
              <w:spacing w:after="0" w:line="240" w:lineRule="auto"/>
              <w:jc w:val="center"/>
              <w:rPr>
                <w:rFonts w:eastAsia="Times New Roman" w:cs="Times New Roman"/>
                <w:noProof/>
              </w:rPr>
            </w:pPr>
            <w:r>
              <w:rPr>
                <w:noProof/>
              </w:rPr>
              <w:t>284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4552E50" w14:textId="77777777" w:rsidR="003E1D81" w:rsidRDefault="00EB481C">
            <w:pPr>
              <w:pStyle w:val="P68B1DB1-Normal13"/>
              <w:spacing w:after="0" w:line="240" w:lineRule="auto"/>
              <w:jc w:val="center"/>
              <w:rPr>
                <w:rFonts w:eastAsia="Times New Roman" w:cs="Times New Roman"/>
                <w:noProof/>
              </w:rPr>
            </w:pPr>
            <w:r>
              <w:rPr>
                <w:noProof/>
              </w:rPr>
              <w:t>C18.I6</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2DE694F" w14:textId="77777777" w:rsidR="003E1D81" w:rsidRDefault="00EB481C">
            <w:pPr>
              <w:pStyle w:val="P68B1DB1-Normal13"/>
              <w:spacing w:after="0" w:line="240" w:lineRule="auto"/>
              <w:jc w:val="center"/>
              <w:rPr>
                <w:rFonts w:eastAsia="Times New Roman" w:cs="Times New Roman"/>
                <w:noProof/>
              </w:rPr>
            </w:pPr>
            <w:r>
              <w:rPr>
                <w:noProof/>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397AE905" w14:textId="77777777" w:rsidR="003E1D81" w:rsidRDefault="00EB481C">
            <w:pPr>
              <w:pStyle w:val="P68B1DB1-Normal13"/>
              <w:spacing w:after="0" w:line="240" w:lineRule="auto"/>
              <w:rPr>
                <w:rFonts w:eastAsia="Times New Roman" w:cs="Times New Roman"/>
                <w:noProof/>
              </w:rPr>
            </w:pPr>
            <w:r>
              <w:rPr>
                <w:noProof/>
              </w:rPr>
              <w:t xml:space="preserve">Az egészségügyi adattavak működőképesek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B4A3F2E"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A66A3CD"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EA6AC04" w14:textId="77777777" w:rsidR="003E1D81" w:rsidRDefault="00EB481C">
            <w:pPr>
              <w:pStyle w:val="P68B1DB1-Normal13"/>
              <w:spacing w:after="0" w:line="240" w:lineRule="auto"/>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B21E64E" w14:textId="77777777" w:rsidR="003E1D81" w:rsidRDefault="00EB481C">
            <w:pPr>
              <w:pStyle w:val="P68B1DB1-Normal13"/>
              <w:spacing w:after="0" w:line="240" w:lineRule="auto"/>
              <w:jc w:val="right"/>
              <w:rPr>
                <w:rFonts w:eastAsia="Times New Roman" w:cs="Times New Roman"/>
                <w:noProof/>
              </w:rPr>
            </w:pPr>
            <w:r>
              <w:rPr>
                <w:noProof/>
              </w:rPr>
              <w:t>17</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E8CF16F"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0172AE3" w14:textId="77777777" w:rsidR="003E1D81" w:rsidRDefault="00EB481C">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13D4E7D0" w14:textId="77777777" w:rsidR="003E1D81" w:rsidRDefault="00EB481C">
            <w:pPr>
              <w:pStyle w:val="P68B1DB1-Normal13"/>
              <w:spacing w:after="0" w:line="240" w:lineRule="auto"/>
              <w:rPr>
                <w:rFonts w:eastAsia="Times New Roman" w:cs="Times New Roman"/>
                <w:noProof/>
              </w:rPr>
            </w:pPr>
            <w:r>
              <w:rPr>
                <w:noProof/>
              </w:rPr>
              <w:t xml:space="preserve">Az egészségügyi adattavaknak az állam számára működőképesnek kell lenniük, és legalább 17 autonóm régiót vagy várost </w:t>
            </w:r>
            <w:r>
              <w:rPr>
                <w:noProof/>
              </w:rPr>
              <w:t>kell magukban foglalniuk azzal a céllal, hogy lehetővé tegyék a tömeges adatelemzést a diagnózis és a kezelések azonosítása és javítása érdekében.</w:t>
            </w:r>
          </w:p>
        </w:tc>
      </w:tr>
      <w:tr w:rsidR="003E1D81" w14:paraId="36323961" w14:textId="77777777">
        <w:trPr>
          <w:trHeight w:val="309"/>
        </w:trPr>
        <w:tc>
          <w:tcPr>
            <w:tcW w:w="708" w:type="dxa"/>
            <w:shd w:val="clear" w:color="auto" w:fill="C6EFCE"/>
            <w:noWrap/>
          </w:tcPr>
          <w:p w14:paraId="15D2AC37" w14:textId="5B8A585D" w:rsidR="003E1D81" w:rsidRDefault="00EB481C">
            <w:pPr>
              <w:pStyle w:val="P68B1DB1-Normal13"/>
              <w:spacing w:after="0" w:line="240" w:lineRule="auto"/>
              <w:jc w:val="center"/>
              <w:rPr>
                <w:rFonts w:cs="Times New Roman"/>
                <w:noProof/>
              </w:rPr>
            </w:pPr>
            <w:r>
              <w:rPr>
                <w:noProof/>
              </w:rPr>
              <w:t>465</w:t>
            </w:r>
          </w:p>
        </w:tc>
        <w:tc>
          <w:tcPr>
            <w:tcW w:w="850" w:type="dxa"/>
            <w:shd w:val="clear" w:color="auto" w:fill="C6EFCE"/>
            <w:noWrap/>
          </w:tcPr>
          <w:p w14:paraId="4E2574A6" w14:textId="77777777" w:rsidR="003E1D81" w:rsidRDefault="00EB481C">
            <w:pPr>
              <w:pStyle w:val="P68B1DB1-Normal13"/>
              <w:spacing w:after="0" w:line="240" w:lineRule="auto"/>
              <w:jc w:val="center"/>
              <w:rPr>
                <w:rFonts w:cs="Times New Roman"/>
                <w:noProof/>
              </w:rPr>
            </w:pPr>
            <w:r>
              <w:rPr>
                <w:noProof/>
              </w:rPr>
              <w:t>C18.I4</w:t>
            </w:r>
          </w:p>
        </w:tc>
        <w:tc>
          <w:tcPr>
            <w:tcW w:w="836" w:type="dxa"/>
            <w:shd w:val="clear" w:color="auto" w:fill="C6EFCE"/>
            <w:noWrap/>
          </w:tcPr>
          <w:p w14:paraId="0DF8E6C4" w14:textId="77777777" w:rsidR="003E1D81" w:rsidRDefault="00EB481C">
            <w:pPr>
              <w:pStyle w:val="P68B1DB1-Normal13"/>
              <w:spacing w:after="0" w:line="240" w:lineRule="auto"/>
              <w:jc w:val="center"/>
              <w:rPr>
                <w:rFonts w:cs="Times New Roman"/>
                <w:noProof/>
              </w:rPr>
            </w:pPr>
            <w:r>
              <w:rPr>
                <w:noProof/>
              </w:rPr>
              <w:t>T</w:t>
            </w:r>
          </w:p>
        </w:tc>
        <w:tc>
          <w:tcPr>
            <w:tcW w:w="2812" w:type="dxa"/>
            <w:shd w:val="clear" w:color="auto" w:fill="C6EFCE"/>
            <w:noWrap/>
          </w:tcPr>
          <w:p w14:paraId="20B9943E" w14:textId="6C3315D1" w:rsidR="003E1D81" w:rsidRDefault="00EB481C">
            <w:pPr>
              <w:pStyle w:val="P68B1DB1-Normal13"/>
              <w:spacing w:after="0" w:line="240" w:lineRule="auto"/>
              <w:rPr>
                <w:rFonts w:eastAsia="Times New Roman" w:cs="Times New Roman"/>
                <w:noProof/>
              </w:rPr>
            </w:pPr>
            <w:r>
              <w:rPr>
                <w:noProof/>
              </w:rPr>
              <w:t xml:space="preserve">A ritka betegségekben szenvedő betegek egészségügyi ellátásának javítását célzó projektek lezárása </w:t>
            </w:r>
          </w:p>
        </w:tc>
        <w:tc>
          <w:tcPr>
            <w:tcW w:w="1276" w:type="dxa"/>
            <w:shd w:val="clear" w:color="auto" w:fill="C6EFCE"/>
            <w:noWrap/>
          </w:tcPr>
          <w:p w14:paraId="0A78DA5B" w14:textId="77777777" w:rsidR="003E1D81" w:rsidRDefault="003E1D81">
            <w:pPr>
              <w:spacing w:after="0" w:line="240" w:lineRule="auto"/>
              <w:jc w:val="center"/>
              <w:rPr>
                <w:rFonts w:ascii="Times New Roman" w:hAnsi="Times New Roman" w:cs="Times New Roman"/>
                <w:noProof/>
                <w:sz w:val="18"/>
              </w:rPr>
            </w:pPr>
          </w:p>
        </w:tc>
        <w:tc>
          <w:tcPr>
            <w:tcW w:w="709" w:type="dxa"/>
            <w:shd w:val="clear" w:color="auto" w:fill="C6EFCE"/>
            <w:noWrap/>
          </w:tcPr>
          <w:p w14:paraId="595D81A4" w14:textId="79DA9C70" w:rsidR="003E1D81" w:rsidRDefault="00EB481C">
            <w:pPr>
              <w:pStyle w:val="P68B1DB1-Normal13"/>
              <w:spacing w:after="0" w:line="240" w:lineRule="auto"/>
              <w:jc w:val="center"/>
              <w:rPr>
                <w:rFonts w:cs="Times New Roman"/>
                <w:noProof/>
              </w:rPr>
            </w:pPr>
            <w:r>
              <w:rPr>
                <w:noProof/>
              </w:rPr>
              <w:t xml:space="preserve">Millió EUR </w:t>
            </w:r>
          </w:p>
        </w:tc>
        <w:tc>
          <w:tcPr>
            <w:tcW w:w="567" w:type="dxa"/>
            <w:shd w:val="clear" w:color="auto" w:fill="C6EFCE"/>
            <w:noWrap/>
          </w:tcPr>
          <w:p w14:paraId="73434D56" w14:textId="77777777" w:rsidR="003E1D81" w:rsidRDefault="00EB481C">
            <w:pPr>
              <w:pStyle w:val="P68B1DB1-Normal13"/>
              <w:spacing w:after="0" w:line="240" w:lineRule="auto"/>
              <w:jc w:val="right"/>
              <w:rPr>
                <w:rFonts w:cs="Times New Roman"/>
                <w:noProof/>
              </w:rPr>
            </w:pPr>
            <w:r>
              <w:rPr>
                <w:noProof/>
              </w:rPr>
              <w:t>0</w:t>
            </w:r>
          </w:p>
        </w:tc>
        <w:tc>
          <w:tcPr>
            <w:tcW w:w="567" w:type="dxa"/>
            <w:shd w:val="clear" w:color="auto" w:fill="C6EFCE"/>
            <w:noWrap/>
          </w:tcPr>
          <w:p w14:paraId="77FAD77F" w14:textId="77777777" w:rsidR="003E1D81" w:rsidRDefault="00EB481C">
            <w:pPr>
              <w:pStyle w:val="P68B1DB1-Normal13"/>
              <w:spacing w:after="0" w:line="240" w:lineRule="auto"/>
              <w:jc w:val="right"/>
              <w:rPr>
                <w:rFonts w:eastAsia="Times New Roman" w:cs="Times New Roman"/>
                <w:noProof/>
              </w:rPr>
            </w:pPr>
            <w:r>
              <w:rPr>
                <w:noProof/>
              </w:rPr>
              <w:t>50</w:t>
            </w:r>
          </w:p>
        </w:tc>
        <w:tc>
          <w:tcPr>
            <w:tcW w:w="567" w:type="dxa"/>
            <w:shd w:val="clear" w:color="auto" w:fill="C6EFCE"/>
            <w:noWrap/>
          </w:tcPr>
          <w:p w14:paraId="6D2A1BB2" w14:textId="52B062C2"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03755F8C" w14:textId="743B6E37" w:rsidR="003E1D81" w:rsidRDefault="00EB481C">
            <w:pPr>
              <w:pStyle w:val="P68B1DB1-Normal13"/>
              <w:spacing w:after="0" w:line="240" w:lineRule="auto"/>
              <w:jc w:val="center"/>
              <w:rPr>
                <w:rFonts w:cs="Times New Roman"/>
                <w:noProof/>
              </w:rPr>
            </w:pPr>
            <w:r>
              <w:rPr>
                <w:noProof/>
              </w:rPr>
              <w:t>2026</w:t>
            </w:r>
          </w:p>
        </w:tc>
        <w:tc>
          <w:tcPr>
            <w:tcW w:w="5679" w:type="dxa"/>
            <w:shd w:val="clear" w:color="auto" w:fill="C6EFCE"/>
            <w:noWrap/>
          </w:tcPr>
          <w:p w14:paraId="48DF3648" w14:textId="4F2C31D2" w:rsidR="003E1D81" w:rsidRDefault="00EB481C">
            <w:pPr>
              <w:pStyle w:val="P68B1DB1-Normal13"/>
              <w:spacing w:after="0" w:line="240" w:lineRule="auto"/>
              <w:rPr>
                <w:rFonts w:eastAsia="Times New Roman" w:cs="Times New Roman"/>
                <w:noProof/>
              </w:rPr>
            </w:pPr>
            <w:r>
              <w:rPr>
                <w:noProof/>
              </w:rPr>
              <w:t xml:space="preserve">Legalább 50 millió EUR értékű kísérleti projektek lezárása a nemzeti egészségügyi rendszer interoperábilis kapacitásokkal, </w:t>
            </w:r>
            <w:r>
              <w:rPr>
                <w:noProof/>
              </w:rPr>
              <w:t>infrastruktúrával, felszereléssel és információs rendszerekkel való ellátására a ritka betegségekben szenvedő betegek egészségügyi ellátásának javítása érdekében</w:t>
            </w:r>
          </w:p>
        </w:tc>
      </w:tr>
      <w:tr w:rsidR="003E1D81" w14:paraId="0A1EAE17" w14:textId="77777777">
        <w:trPr>
          <w:trHeight w:val="309"/>
        </w:trPr>
        <w:tc>
          <w:tcPr>
            <w:tcW w:w="708" w:type="dxa"/>
            <w:shd w:val="clear" w:color="auto" w:fill="C6EFCE"/>
            <w:noWrap/>
          </w:tcPr>
          <w:p w14:paraId="48D0ABBD" w14:textId="3408C95B" w:rsidR="003E1D81" w:rsidRDefault="00EB481C">
            <w:pPr>
              <w:pStyle w:val="P68B1DB1-Normal13"/>
              <w:spacing w:after="0" w:line="240" w:lineRule="auto"/>
              <w:jc w:val="center"/>
              <w:rPr>
                <w:rFonts w:eastAsia="Times New Roman" w:cs="Times New Roman"/>
                <w:noProof/>
              </w:rPr>
            </w:pPr>
            <w:r>
              <w:rPr>
                <w:noProof/>
              </w:rPr>
              <w:t>466</w:t>
            </w:r>
          </w:p>
        </w:tc>
        <w:tc>
          <w:tcPr>
            <w:tcW w:w="850" w:type="dxa"/>
            <w:shd w:val="clear" w:color="auto" w:fill="C6EFCE"/>
            <w:noWrap/>
          </w:tcPr>
          <w:p w14:paraId="08593F24" w14:textId="50218951" w:rsidR="003E1D81" w:rsidRDefault="00EB481C">
            <w:pPr>
              <w:pStyle w:val="P68B1DB1-Normal13"/>
              <w:spacing w:after="0" w:line="240" w:lineRule="auto"/>
              <w:jc w:val="center"/>
              <w:rPr>
                <w:rFonts w:eastAsia="Times New Roman" w:cs="Times New Roman"/>
                <w:noProof/>
              </w:rPr>
            </w:pPr>
            <w:r>
              <w:rPr>
                <w:noProof/>
              </w:rPr>
              <w:t>C18.I5</w:t>
            </w:r>
          </w:p>
        </w:tc>
        <w:tc>
          <w:tcPr>
            <w:tcW w:w="836" w:type="dxa"/>
            <w:shd w:val="clear" w:color="auto" w:fill="C6EFCE"/>
            <w:noWrap/>
          </w:tcPr>
          <w:p w14:paraId="62D7F482" w14:textId="319DB96D" w:rsidR="003E1D81" w:rsidRDefault="00EB481C">
            <w:pPr>
              <w:pStyle w:val="P68B1DB1-Normal13"/>
              <w:spacing w:after="0" w:line="240" w:lineRule="auto"/>
              <w:jc w:val="center"/>
              <w:rPr>
                <w:rFonts w:eastAsia="Times New Roman" w:cs="Times New Roman"/>
                <w:noProof/>
              </w:rPr>
            </w:pPr>
            <w:r>
              <w:rPr>
                <w:noProof/>
              </w:rPr>
              <w:t>T</w:t>
            </w:r>
          </w:p>
        </w:tc>
        <w:tc>
          <w:tcPr>
            <w:tcW w:w="2812" w:type="dxa"/>
            <w:shd w:val="clear" w:color="auto" w:fill="C6EFCE"/>
            <w:noWrap/>
          </w:tcPr>
          <w:p w14:paraId="11CC146B" w14:textId="0ADF4BA4" w:rsidR="003E1D81" w:rsidRDefault="00EB481C">
            <w:pPr>
              <w:pStyle w:val="P68B1DB1-Normal13"/>
              <w:spacing w:after="0" w:line="240" w:lineRule="auto"/>
              <w:rPr>
                <w:rFonts w:eastAsia="Times New Roman" w:cs="Times New Roman"/>
                <w:noProof/>
              </w:rPr>
            </w:pPr>
            <w:r>
              <w:rPr>
                <w:noProof/>
              </w:rPr>
              <w:t>A genomikai szolgáltatások kiterjesztése a Nemzeti Egészségügyi Rendszerben</w:t>
            </w:r>
          </w:p>
        </w:tc>
        <w:tc>
          <w:tcPr>
            <w:tcW w:w="1276" w:type="dxa"/>
            <w:shd w:val="clear" w:color="auto" w:fill="C6EFCE"/>
            <w:noWrap/>
          </w:tcPr>
          <w:p w14:paraId="5D3803A4" w14:textId="3365792B" w:rsidR="003E1D81" w:rsidRDefault="00EB481C">
            <w:pPr>
              <w:pStyle w:val="P68B1DB1-Normal13"/>
              <w:spacing w:after="0" w:line="240" w:lineRule="auto"/>
              <w:jc w:val="center"/>
              <w:rPr>
                <w:rFonts w:cs="Times New Roman"/>
                <w:noProof/>
              </w:rPr>
            </w:pPr>
            <w:r>
              <w:rPr>
                <w:noProof/>
              </w:rPr>
              <w:t xml:space="preserve"> </w:t>
            </w:r>
          </w:p>
        </w:tc>
        <w:tc>
          <w:tcPr>
            <w:tcW w:w="709" w:type="dxa"/>
            <w:shd w:val="clear" w:color="auto" w:fill="C6EFCE"/>
            <w:noWrap/>
          </w:tcPr>
          <w:p w14:paraId="48F0A250" w14:textId="56E62F00" w:rsidR="003E1D81" w:rsidRDefault="00EB481C">
            <w:pPr>
              <w:pStyle w:val="P68B1DB1-Normal13"/>
              <w:spacing w:after="0" w:line="240" w:lineRule="auto"/>
              <w:jc w:val="center"/>
              <w:rPr>
                <w:rFonts w:eastAsia="Times New Roman" w:cs="Times New Roman"/>
                <w:noProof/>
              </w:rPr>
            </w:pPr>
            <w:r>
              <w:rPr>
                <w:noProof/>
              </w:rPr>
              <w:t xml:space="preserve">Millió EUR </w:t>
            </w:r>
          </w:p>
        </w:tc>
        <w:tc>
          <w:tcPr>
            <w:tcW w:w="567" w:type="dxa"/>
            <w:shd w:val="clear" w:color="auto" w:fill="C6EFCE"/>
            <w:noWrap/>
          </w:tcPr>
          <w:p w14:paraId="528FBAF1" w14:textId="153C087C" w:rsidR="003E1D81" w:rsidRDefault="00EB481C">
            <w:pPr>
              <w:pStyle w:val="P68B1DB1-Normal13"/>
              <w:spacing w:after="0" w:line="240" w:lineRule="auto"/>
              <w:jc w:val="right"/>
              <w:rPr>
                <w:rFonts w:eastAsia="Times New Roman" w:cs="Times New Roman"/>
                <w:noProof/>
              </w:rPr>
            </w:pPr>
            <w:r>
              <w:rPr>
                <w:noProof/>
              </w:rPr>
              <w:t>0</w:t>
            </w:r>
          </w:p>
        </w:tc>
        <w:tc>
          <w:tcPr>
            <w:tcW w:w="567" w:type="dxa"/>
            <w:shd w:val="clear" w:color="auto" w:fill="C6EFCE"/>
            <w:noWrap/>
          </w:tcPr>
          <w:p w14:paraId="6F038E42" w14:textId="3B1E3DA3" w:rsidR="003E1D81" w:rsidRDefault="00EB481C">
            <w:pPr>
              <w:pStyle w:val="P68B1DB1-Normal13"/>
              <w:spacing w:after="0" w:line="240" w:lineRule="auto"/>
              <w:jc w:val="right"/>
              <w:rPr>
                <w:rFonts w:eastAsia="Times New Roman" w:cs="Times New Roman"/>
                <w:noProof/>
              </w:rPr>
            </w:pPr>
            <w:r>
              <w:rPr>
                <w:noProof/>
              </w:rPr>
              <w:t>23</w:t>
            </w:r>
          </w:p>
        </w:tc>
        <w:tc>
          <w:tcPr>
            <w:tcW w:w="567" w:type="dxa"/>
            <w:shd w:val="clear" w:color="auto" w:fill="C6EFCE"/>
            <w:noWrap/>
          </w:tcPr>
          <w:p w14:paraId="76756A97" w14:textId="122F5FB9" w:rsidR="003E1D81" w:rsidRDefault="00EB481C">
            <w:pPr>
              <w:pStyle w:val="P68B1DB1-Normal13"/>
              <w:spacing w:after="0" w:line="240" w:lineRule="auto"/>
              <w:jc w:val="center"/>
              <w:rPr>
                <w:rFonts w:eastAsia="Times New Roman" w:cs="Times New Roman"/>
                <w:noProof/>
              </w:rPr>
            </w:pPr>
            <w:r>
              <w:rPr>
                <w:noProof/>
              </w:rPr>
              <w:t>KÉRDÉS</w:t>
            </w:r>
          </w:p>
        </w:tc>
        <w:tc>
          <w:tcPr>
            <w:tcW w:w="567" w:type="dxa"/>
            <w:shd w:val="clear" w:color="auto" w:fill="C6EFCE"/>
            <w:noWrap/>
          </w:tcPr>
          <w:p w14:paraId="1187235C" w14:textId="3E77F6F4" w:rsidR="003E1D81" w:rsidRDefault="00EB481C">
            <w:pPr>
              <w:pStyle w:val="P68B1DB1-Normal13"/>
              <w:spacing w:after="0" w:line="240" w:lineRule="auto"/>
              <w:jc w:val="center"/>
              <w:rPr>
                <w:rFonts w:eastAsia="Times New Roman" w:cs="Times New Roman"/>
                <w:noProof/>
              </w:rPr>
            </w:pPr>
            <w:r>
              <w:rPr>
                <w:noProof/>
              </w:rPr>
              <w:t>2026</w:t>
            </w:r>
          </w:p>
        </w:tc>
        <w:tc>
          <w:tcPr>
            <w:tcW w:w="5679" w:type="dxa"/>
            <w:shd w:val="clear" w:color="auto" w:fill="C6EFCE"/>
            <w:noWrap/>
          </w:tcPr>
          <w:p w14:paraId="086447AF" w14:textId="1B49B1B4" w:rsidR="003E1D81" w:rsidRDefault="00EB481C">
            <w:pPr>
              <w:pStyle w:val="P68B1DB1-Normal13"/>
              <w:spacing w:after="0" w:line="240" w:lineRule="auto"/>
              <w:rPr>
                <w:rFonts w:eastAsia="Times New Roman" w:cs="Times New Roman"/>
                <w:noProof/>
              </w:rPr>
            </w:pPr>
            <w:r>
              <w:rPr>
                <w:noProof/>
              </w:rPr>
              <w:t>A genetikai vizsgálatok kibővített katalógusának végrehajtásához szükséges, legalább 23 000 000 EUR értékű berendezéseket kell beszerezni, és a genomikai információk nemzeti szintű integrálására szolgáló információs rendszert k</w:t>
            </w:r>
            <w:r>
              <w:rPr>
                <w:noProof/>
              </w:rPr>
              <w:t>ell működtetni.</w:t>
            </w:r>
          </w:p>
        </w:tc>
      </w:tr>
      <w:tr w:rsidR="003E1D81" w14:paraId="0BAA2D52" w14:textId="77777777">
        <w:trPr>
          <w:trHeight w:val="309"/>
        </w:trPr>
        <w:tc>
          <w:tcPr>
            <w:tcW w:w="708" w:type="dxa"/>
            <w:shd w:val="clear" w:color="auto" w:fill="C6EFCE"/>
            <w:noWrap/>
          </w:tcPr>
          <w:p w14:paraId="3FD0142E" w14:textId="04899C00" w:rsidR="003E1D81" w:rsidRDefault="00EB481C">
            <w:pPr>
              <w:pStyle w:val="P68B1DB1-Normal13"/>
              <w:spacing w:after="0" w:line="240" w:lineRule="auto"/>
              <w:jc w:val="center"/>
              <w:rPr>
                <w:rFonts w:cs="Times New Roman"/>
                <w:noProof/>
              </w:rPr>
            </w:pPr>
            <w:r>
              <w:rPr>
                <w:noProof/>
              </w:rPr>
              <w:t>466a</w:t>
            </w:r>
          </w:p>
        </w:tc>
        <w:tc>
          <w:tcPr>
            <w:tcW w:w="850" w:type="dxa"/>
            <w:shd w:val="clear" w:color="auto" w:fill="C6EFCE"/>
            <w:noWrap/>
          </w:tcPr>
          <w:p w14:paraId="2CA30FAA" w14:textId="667F3C2D" w:rsidR="003E1D81" w:rsidRDefault="00EB481C">
            <w:pPr>
              <w:pStyle w:val="P68B1DB1-Normal13"/>
              <w:spacing w:after="0" w:line="240" w:lineRule="auto"/>
              <w:jc w:val="center"/>
              <w:rPr>
                <w:rFonts w:cs="Times New Roman"/>
                <w:noProof/>
              </w:rPr>
            </w:pPr>
            <w:r>
              <w:rPr>
                <w:noProof/>
              </w:rPr>
              <w:t>C18.I6</w:t>
            </w:r>
          </w:p>
        </w:tc>
        <w:tc>
          <w:tcPr>
            <w:tcW w:w="836" w:type="dxa"/>
            <w:shd w:val="clear" w:color="auto" w:fill="C6EFCE"/>
            <w:noWrap/>
          </w:tcPr>
          <w:p w14:paraId="069CB644" w14:textId="294A3F74" w:rsidR="003E1D81" w:rsidRDefault="00EB481C">
            <w:pPr>
              <w:pStyle w:val="P68B1DB1-Normal13"/>
              <w:spacing w:after="0" w:line="240" w:lineRule="auto"/>
              <w:jc w:val="center"/>
              <w:rPr>
                <w:rFonts w:cs="Times New Roman"/>
                <w:noProof/>
              </w:rPr>
            </w:pPr>
            <w:r>
              <w:rPr>
                <w:noProof/>
              </w:rPr>
              <w:t>T</w:t>
            </w:r>
          </w:p>
        </w:tc>
        <w:tc>
          <w:tcPr>
            <w:tcW w:w="2812" w:type="dxa"/>
            <w:shd w:val="clear" w:color="auto" w:fill="C6EFCE"/>
            <w:noWrap/>
          </w:tcPr>
          <w:p w14:paraId="45090972" w14:textId="62CF638A" w:rsidR="003E1D81" w:rsidRDefault="00EB481C">
            <w:pPr>
              <w:pStyle w:val="P68B1DB1-Normal13"/>
              <w:spacing w:after="0" w:line="240" w:lineRule="auto"/>
              <w:rPr>
                <w:rFonts w:eastAsia="Times New Roman" w:cs="Times New Roman"/>
                <w:noProof/>
              </w:rPr>
            </w:pPr>
            <w:r>
              <w:rPr>
                <w:noProof/>
              </w:rPr>
              <w:t>Tömeges adatfeldolgozási projektek</w:t>
            </w:r>
          </w:p>
        </w:tc>
        <w:tc>
          <w:tcPr>
            <w:tcW w:w="1276" w:type="dxa"/>
            <w:shd w:val="clear" w:color="auto" w:fill="C6EFCE"/>
            <w:noWrap/>
          </w:tcPr>
          <w:p w14:paraId="06BC43D8" w14:textId="6C040902" w:rsidR="003E1D81" w:rsidRDefault="003E1D81">
            <w:pPr>
              <w:spacing w:after="0" w:line="240" w:lineRule="auto"/>
              <w:jc w:val="center"/>
              <w:rPr>
                <w:rFonts w:ascii="Times New Roman" w:hAnsi="Times New Roman" w:cs="Times New Roman"/>
                <w:noProof/>
                <w:sz w:val="18"/>
              </w:rPr>
            </w:pPr>
          </w:p>
        </w:tc>
        <w:tc>
          <w:tcPr>
            <w:tcW w:w="709" w:type="dxa"/>
            <w:shd w:val="clear" w:color="auto" w:fill="C6EFCE"/>
            <w:noWrap/>
          </w:tcPr>
          <w:p w14:paraId="7F835862" w14:textId="0F05C931" w:rsidR="003E1D81" w:rsidRDefault="003E1D81">
            <w:pPr>
              <w:spacing w:after="0" w:line="240" w:lineRule="auto"/>
              <w:jc w:val="center"/>
              <w:rPr>
                <w:rFonts w:ascii="Times New Roman" w:hAnsi="Times New Roman" w:cs="Times New Roman"/>
                <w:noProof/>
                <w:sz w:val="18"/>
              </w:rPr>
            </w:pPr>
          </w:p>
        </w:tc>
        <w:tc>
          <w:tcPr>
            <w:tcW w:w="567" w:type="dxa"/>
            <w:shd w:val="clear" w:color="auto" w:fill="C6EFCE"/>
            <w:noWrap/>
          </w:tcPr>
          <w:p w14:paraId="6CE29A2A" w14:textId="420D3061" w:rsidR="003E1D81" w:rsidRDefault="003E1D81">
            <w:pPr>
              <w:spacing w:after="0" w:line="240" w:lineRule="auto"/>
              <w:jc w:val="right"/>
              <w:rPr>
                <w:rFonts w:ascii="Times New Roman" w:hAnsi="Times New Roman" w:cs="Times New Roman"/>
                <w:noProof/>
                <w:sz w:val="18"/>
              </w:rPr>
            </w:pPr>
          </w:p>
        </w:tc>
        <w:tc>
          <w:tcPr>
            <w:tcW w:w="567" w:type="dxa"/>
            <w:shd w:val="clear" w:color="auto" w:fill="C6EFCE"/>
            <w:noWrap/>
          </w:tcPr>
          <w:p w14:paraId="4C41331F" w14:textId="4EEBA05E" w:rsidR="003E1D81" w:rsidRDefault="00EB481C">
            <w:pPr>
              <w:pStyle w:val="P68B1DB1-Normal13"/>
              <w:spacing w:after="0" w:line="240" w:lineRule="auto"/>
              <w:jc w:val="right"/>
              <w:rPr>
                <w:rFonts w:cs="Times New Roman"/>
                <w:noProof/>
              </w:rPr>
            </w:pPr>
            <w:r>
              <w:rPr>
                <w:noProof/>
              </w:rPr>
              <w:t>2</w:t>
            </w:r>
          </w:p>
        </w:tc>
        <w:tc>
          <w:tcPr>
            <w:tcW w:w="567" w:type="dxa"/>
            <w:shd w:val="clear" w:color="auto" w:fill="C6EFCE"/>
            <w:noWrap/>
          </w:tcPr>
          <w:p w14:paraId="7C52FB75" w14:textId="58DE1D6F"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1685B77C" w14:textId="415DF8CE" w:rsidR="003E1D81" w:rsidRDefault="00EB481C">
            <w:pPr>
              <w:pStyle w:val="P68B1DB1-Normal13"/>
              <w:spacing w:after="0" w:line="240" w:lineRule="auto"/>
              <w:jc w:val="center"/>
              <w:rPr>
                <w:rFonts w:cs="Times New Roman"/>
                <w:noProof/>
              </w:rPr>
            </w:pPr>
            <w:r>
              <w:rPr>
                <w:noProof/>
              </w:rPr>
              <w:t>2025</w:t>
            </w:r>
          </w:p>
        </w:tc>
        <w:tc>
          <w:tcPr>
            <w:tcW w:w="5679" w:type="dxa"/>
            <w:shd w:val="clear" w:color="auto" w:fill="C6EFCE"/>
            <w:noWrap/>
          </w:tcPr>
          <w:p w14:paraId="22DCCCD1" w14:textId="28DF8296" w:rsidR="003E1D81" w:rsidRDefault="00EB481C">
            <w:pPr>
              <w:pStyle w:val="P68B1DB1-Normal13"/>
              <w:spacing w:after="0" w:line="240" w:lineRule="auto"/>
              <w:rPr>
                <w:rFonts w:eastAsia="Times New Roman" w:cs="Times New Roman"/>
                <w:noProof/>
              </w:rPr>
            </w:pPr>
            <w:r>
              <w:rPr>
                <w:noProof/>
              </w:rPr>
              <w:t>Az egészségügyi adattavakba történő beruházás részeként legalább két tömeges adatfeldolgozási projektet kell végrehajtani.</w:t>
            </w:r>
          </w:p>
        </w:tc>
      </w:tr>
    </w:tbl>
    <w:p w14:paraId="6CEA137B" w14:textId="77777777" w:rsidR="003E1D81" w:rsidRDefault="003E1D81">
      <w:pPr>
        <w:rPr>
          <w:rFonts w:ascii="Times New Roman" w:hAnsi="Times New Roman" w:cs="Times New Roman"/>
          <w:noProof/>
        </w:rPr>
      </w:pPr>
    </w:p>
    <w:p w14:paraId="6AFA53DC" w14:textId="77777777" w:rsidR="003E1D81" w:rsidRDefault="003E1D81">
      <w:pPr>
        <w:spacing w:before="120" w:after="120" w:line="240" w:lineRule="auto"/>
        <w:ind w:left="709"/>
        <w:jc w:val="both"/>
        <w:rPr>
          <w:rFonts w:ascii="Times New Roman" w:hAnsi="Times New Roman" w:cs="Times New Roman"/>
          <w:noProof/>
          <w:sz w:val="24"/>
        </w:rPr>
        <w:sectPr w:rsidR="003E1D81" w:rsidSect="00C94F66">
          <w:headerReference w:type="even" r:id="rId381"/>
          <w:headerReference w:type="default" r:id="rId382"/>
          <w:footerReference w:type="even" r:id="rId383"/>
          <w:footerReference w:type="default" r:id="rId384"/>
          <w:headerReference w:type="first" r:id="rId385"/>
          <w:footerReference w:type="first" r:id="rId386"/>
          <w:pgSz w:w="16839" w:h="11907" w:orient="landscape"/>
          <w:pgMar w:top="1417" w:right="1134" w:bottom="1417" w:left="1134" w:header="709" w:footer="709" w:gutter="0"/>
          <w:cols w:space="720"/>
          <w:docGrid w:linePitch="360"/>
        </w:sectPr>
      </w:pPr>
    </w:p>
    <w:p w14:paraId="20701AA1" w14:textId="77777777" w:rsidR="003E1D81" w:rsidRDefault="00EB481C">
      <w:pPr>
        <w:pStyle w:val="P68B1DB1-Heading12"/>
        <w:rPr>
          <w:rFonts w:cs="Times New Roman"/>
          <w:noProof/>
        </w:rPr>
      </w:pPr>
      <w:r>
        <w:rPr>
          <w:noProof/>
        </w:rPr>
        <w:t>S. KOMPONENS: Digitális készségek</w:t>
      </w:r>
    </w:p>
    <w:p w14:paraId="07BA6823" w14:textId="77777777" w:rsidR="003E1D81" w:rsidRDefault="00EB481C">
      <w:pPr>
        <w:pStyle w:val="P68B1DB1-Normal4"/>
        <w:spacing w:before="120" w:after="120" w:line="240" w:lineRule="auto"/>
        <w:jc w:val="both"/>
        <w:rPr>
          <w:rFonts w:cs="Times New Roman"/>
          <w:noProof/>
        </w:rPr>
      </w:pPr>
      <w:r>
        <w:rPr>
          <w:noProof/>
        </w:rPr>
        <w:t>A spanyol helyreállítási és rezilienciaépítési terv ezen komponensének fő célkitűzése az (alapvető és fejlett) digitális készségek szintjének növelése a lakosság különböző csoportjaira irányuló in</w:t>
      </w:r>
      <w:r>
        <w:rPr>
          <w:noProof/>
        </w:rPr>
        <w:t xml:space="preserve">tézkedések révén. E készségek elsajátítása kulcsfontosságú Spanyolország számára ahhoz, hogy kihasználja a gazdaság és a társadalom fokozott digitalizációja által kínált lehetőségeket. </w:t>
      </w:r>
    </w:p>
    <w:p w14:paraId="1539AB6F" w14:textId="77777777" w:rsidR="003E1D81" w:rsidRDefault="00EB481C">
      <w:pPr>
        <w:pStyle w:val="P68B1DB1-Normal4"/>
        <w:spacing w:before="120" w:after="120" w:line="240" w:lineRule="auto"/>
        <w:jc w:val="both"/>
        <w:rPr>
          <w:rFonts w:cs="Times New Roman"/>
          <w:noProof/>
        </w:rPr>
      </w:pPr>
      <w:r>
        <w:rPr>
          <w:noProof/>
        </w:rPr>
        <w:t>A kkv-k digitalizálására irányuló célzott intézkedések kiegészítik a t</w:t>
      </w:r>
      <w:r>
        <w:rPr>
          <w:noProof/>
        </w:rPr>
        <w:t>erv 13. elemében (A kkv-k támogatása) előirányzott intézkedéseket. Az IKT területén a magasan képzett személyek számának növelését célzó intézkedések kiegészítik a 15. komponens (Digitális konnektivitás) intézkedéseit. Végezetül, az iskolák digitalizálásár</w:t>
      </w:r>
      <w:r>
        <w:rPr>
          <w:noProof/>
        </w:rPr>
        <w:t xml:space="preserve">a irányuló fellépéseknek meg kell erősíteniük a 21. komponens (Oktatás) intézkedéseit, és növelniük kell a 23. komponensben (Munkaerőpiac) előirányzott intézkedések hatását. </w:t>
      </w:r>
    </w:p>
    <w:p w14:paraId="607274F3" w14:textId="77777777" w:rsidR="003E1D81" w:rsidRDefault="00EB481C">
      <w:pPr>
        <w:pStyle w:val="P68B1DB1-Normal4"/>
        <w:spacing w:before="120" w:after="120" w:line="240" w:lineRule="auto"/>
        <w:jc w:val="both"/>
        <w:rPr>
          <w:rFonts w:cs="Times New Roman"/>
          <w:noProof/>
        </w:rPr>
      </w:pPr>
      <w:r>
        <w:rPr>
          <w:noProof/>
        </w:rPr>
        <w:t xml:space="preserve">A komponens az innováció előmozdítására (2019. évi 3. országspecifikus ajánlás), </w:t>
      </w:r>
      <w:r>
        <w:rPr>
          <w:noProof/>
        </w:rPr>
        <w:t>a digitális tanuláshoz való hozzáférésre (2020. évi 2. országspecifikus ajánlás) és a kiforrott közberuházási projektek előreütemezésére, a gazdasági helyreállítás előmozdítását célzó magánberuházások előmozdítására, valamint a beruházásoknak a zöld és dig</w:t>
      </w:r>
      <w:r>
        <w:rPr>
          <w:noProof/>
        </w:rPr>
        <w:t>itális átállásra való összpontosítására vonatkozó országspecifikus ajánlásokkal foglalkozik (2020. évi 3. országspecifikus ajánlás).</w:t>
      </w:r>
    </w:p>
    <w:p w14:paraId="21FD6DE3" w14:textId="77777777" w:rsidR="003E1D81" w:rsidRDefault="00EB481C">
      <w:pPr>
        <w:pStyle w:val="P68B1DB1-Normal4"/>
        <w:spacing w:before="120" w:after="120" w:line="240" w:lineRule="auto"/>
        <w:jc w:val="both"/>
        <w:rPr>
          <w:rFonts w:cs="Times New Roman"/>
          <w:noProof/>
        </w:rPr>
      </w:pPr>
      <w:r>
        <w:rPr>
          <w:noProof/>
        </w:rPr>
        <w:t>A jelentős károkozás elkerülését célzó elvről szóló technikai iránymutatásnak (2021/C58/01) megfelelően a helyreállítási és</w:t>
      </w:r>
      <w:r>
        <w:rPr>
          <w:noProof/>
        </w:rPr>
        <w:t xml:space="preserve">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w:t>
      </w:r>
      <w:r>
        <w:rPr>
          <w:noProof/>
        </w:rPr>
        <w:t>52 rendelet 17. cikke szerinti környezeti célkitűzéseket.</w:t>
      </w:r>
    </w:p>
    <w:p w14:paraId="126D6E9E" w14:textId="77777777" w:rsidR="003E1D81" w:rsidRDefault="00EB481C">
      <w:pPr>
        <w:pStyle w:val="P68B1DB1-Normal5"/>
        <w:spacing w:before="120" w:after="120" w:line="240" w:lineRule="auto"/>
        <w:ind w:left="709"/>
        <w:jc w:val="both"/>
        <w:rPr>
          <w:rFonts w:cs="Times New Roman"/>
          <w:i/>
          <w:noProof/>
        </w:rPr>
      </w:pPr>
      <w:r>
        <w:rPr>
          <w:noProof/>
        </w:rPr>
        <w:t xml:space="preserve">S.1. </w:t>
      </w:r>
      <w:r>
        <w:rPr>
          <w:noProof/>
        </w:rPr>
        <w:tab/>
        <w:t>Vissza nem térítendő pénzügyi támogatás – a reformok és beruházások ismertetése</w:t>
      </w:r>
    </w:p>
    <w:p w14:paraId="0B394C03" w14:textId="77777777" w:rsidR="003E1D81" w:rsidRDefault="00EB481C">
      <w:pPr>
        <w:pStyle w:val="P68B1DB1-Normal6"/>
        <w:spacing w:before="120" w:after="120" w:line="240" w:lineRule="auto"/>
        <w:jc w:val="both"/>
        <w:rPr>
          <w:rFonts w:cs="Times New Roman"/>
          <w:noProof/>
        </w:rPr>
      </w:pPr>
      <w:r>
        <w:rPr>
          <w:noProof/>
        </w:rPr>
        <w:t>Reform (C19.R1) – Nemzeti digitális kompetenciaterv</w:t>
      </w:r>
    </w:p>
    <w:p w14:paraId="3025D3CD" w14:textId="77777777" w:rsidR="003E1D81" w:rsidRDefault="00EB481C">
      <w:pPr>
        <w:pStyle w:val="P68B1DB1-Normal4"/>
        <w:spacing w:before="120" w:after="120" w:line="240" w:lineRule="auto"/>
        <w:jc w:val="both"/>
        <w:rPr>
          <w:rFonts w:cs="Times New Roman"/>
          <w:noProof/>
        </w:rPr>
      </w:pPr>
      <w:r>
        <w:rPr>
          <w:noProof/>
        </w:rPr>
        <w:t>Ez az intézkedés egy stratégiai tervből áll, amelynek célkit</w:t>
      </w:r>
      <w:r>
        <w:rPr>
          <w:noProof/>
        </w:rPr>
        <w:t>űzései a következők: digitális készségekkel kapcsolatos képzés biztosítása a lakosság egésze számára; a nemek közötti digitális szakadék áthidalása; az oktatási rendszer digitalizálása és a tanuláshoz szükséges digitális készségek fejlesztése; a magánmunká</w:t>
      </w:r>
      <w:r>
        <w:rPr>
          <w:noProof/>
        </w:rPr>
        <w:t>sok és a munkanélküliek jobb foglalkoztathatóságához szükséges digitális készségek biztosítása, v. a közalkalmazottak digitális készségeinek támogatása; a digitális készségek fejlesztése a kkv-kban; és vii. az IKT-szakemberek számának növelése. Az alkotóel</w:t>
      </w:r>
      <w:r>
        <w:rPr>
          <w:noProof/>
        </w:rPr>
        <w:t>embe történő beruházásoknak hozzá kell járulniuk a stratégiai terv célkitűzéseinek megvalósításához.</w:t>
      </w:r>
    </w:p>
    <w:p w14:paraId="363B289B" w14:textId="77777777" w:rsidR="003E1D81" w:rsidRDefault="00EB481C">
      <w:pPr>
        <w:pStyle w:val="P68B1DB1-Normal4"/>
        <w:spacing w:before="120" w:after="120" w:line="240" w:lineRule="auto"/>
        <w:jc w:val="both"/>
        <w:rPr>
          <w:rFonts w:cs="Times New Roman"/>
          <w:noProof/>
        </w:rPr>
      </w:pPr>
      <w:r>
        <w:rPr>
          <w:noProof/>
        </w:rPr>
        <w:t>Az intézkedés végrehajtását 2021. január 31-ig be kell fejezni.</w:t>
      </w:r>
    </w:p>
    <w:p w14:paraId="16918094" w14:textId="77777777" w:rsidR="003E1D81" w:rsidRDefault="00EB481C">
      <w:pPr>
        <w:pStyle w:val="P68B1DB1-Normal6"/>
        <w:spacing w:before="120" w:after="120" w:line="240" w:lineRule="auto"/>
        <w:jc w:val="both"/>
        <w:rPr>
          <w:rFonts w:cs="Times New Roman"/>
          <w:noProof/>
        </w:rPr>
      </w:pPr>
      <w:r>
        <w:rPr>
          <w:noProof/>
        </w:rPr>
        <w:t xml:space="preserve">Beruházás (C19.) Transzverzális digitális készségek </w:t>
      </w:r>
    </w:p>
    <w:p w14:paraId="66FE5F11" w14:textId="77777777" w:rsidR="003E1D81" w:rsidRDefault="00EB481C">
      <w:pPr>
        <w:pStyle w:val="P68B1DB1-Normal4"/>
        <w:spacing w:before="120" w:after="120" w:line="240" w:lineRule="auto"/>
        <w:jc w:val="both"/>
        <w:rPr>
          <w:rFonts w:cs="Times New Roman"/>
          <w:noProof/>
        </w:rPr>
      </w:pPr>
      <w:r>
        <w:rPr>
          <w:noProof/>
        </w:rPr>
        <w:t>Ezen intézkedés célja a lakosság digit</w:t>
      </w:r>
      <w:r>
        <w:rPr>
          <w:noProof/>
        </w:rPr>
        <w:t>ális készségeinek javítása. Az intézkedés a következőket irányozza elő: az alapvető és fejlett digitális készségekkel kapcsolatos képzést támogató központok hálózatának kialakítása, b) e-integrációs intézkedések az idősek felkészítése vagy a kiszolgáltatot</w:t>
      </w:r>
      <w:r>
        <w:rPr>
          <w:noProof/>
        </w:rPr>
        <w:t>t gyermekek képzésének megkönnyítése érdekében, c) különböző figyelemfelkeltő kampányok, d) a lakosság digitális képességeinek növelését célzó tevékenységek, valamint e) a spanyol nyelv terjesztésére és oktatására szolgáló digitális erőforrások fejlesztése</w:t>
      </w:r>
      <w:r>
        <w:rPr>
          <w:noProof/>
        </w:rPr>
        <w:t xml:space="preserve">. Az intézkedésnek elő kell mozdítania továbbá a nők digitális társadalmi szerepvállalását, és elő kell mozdítania az iskolai tudományos és technológiai szakmákat. </w:t>
      </w:r>
    </w:p>
    <w:p w14:paraId="4791FCF2" w14:textId="3534EE53" w:rsidR="003E1D81" w:rsidRDefault="00EB481C">
      <w:pPr>
        <w:pStyle w:val="P68B1DB1-Normal4"/>
        <w:spacing w:before="120" w:after="120" w:line="240" w:lineRule="auto"/>
        <w:jc w:val="both"/>
        <w:rPr>
          <w:rFonts w:cs="Times New Roman"/>
          <w:noProof/>
          <w:u w:val="single"/>
        </w:rPr>
      </w:pPr>
      <w:r>
        <w:rPr>
          <w:noProof/>
        </w:rPr>
        <w:t xml:space="preserve">Az intézkedés végrehajtását 2026. június 30-ig be kell fejezni. </w:t>
      </w:r>
    </w:p>
    <w:p w14:paraId="46A1ADB9" w14:textId="77777777" w:rsidR="003E1D81" w:rsidRDefault="00EB481C">
      <w:pPr>
        <w:pStyle w:val="P68B1DB1-Normal6"/>
        <w:spacing w:before="120" w:after="120" w:line="240" w:lineRule="auto"/>
        <w:jc w:val="both"/>
        <w:rPr>
          <w:rFonts w:cs="Times New Roman"/>
          <w:noProof/>
        </w:rPr>
      </w:pPr>
      <w:r>
        <w:rPr>
          <w:noProof/>
        </w:rPr>
        <w:t xml:space="preserve">Beruházás (C19.) I2) – Az </w:t>
      </w:r>
      <w:r>
        <w:rPr>
          <w:noProof/>
        </w:rPr>
        <w:t>oktatás digitális átalakítása</w:t>
      </w:r>
    </w:p>
    <w:p w14:paraId="43927BEE" w14:textId="77777777" w:rsidR="003E1D81" w:rsidRDefault="00EB481C">
      <w:pPr>
        <w:pStyle w:val="P68B1DB1-Normal4"/>
        <w:spacing w:before="120" w:after="120" w:line="240" w:lineRule="auto"/>
        <w:jc w:val="both"/>
        <w:rPr>
          <w:rFonts w:cs="Times New Roman"/>
          <w:noProof/>
        </w:rPr>
      </w:pPr>
      <w:r>
        <w:rPr>
          <w:noProof/>
        </w:rPr>
        <w:t>Ezen intézkedés célja, hogy javítsa a digitális tanuláshoz való hozzáférést azáltal, hogy az állami vagy államilag támogatott iskolákban legalább 300000, veszélyeztetett csoportokból származó diák számára hordozható eszközöket</w:t>
      </w:r>
      <w:r>
        <w:rPr>
          <w:noProof/>
        </w:rPr>
        <w:t xml:space="preserve"> biztosít. Emellett interaktív digitális rendszereket (IDS) telepít, frissít és tart fenn legalább 240000 nyilvános és államilag támogatott iskolában, hogy lehetővé tegye a távoktatást és a vegyes tanulást. Az intézkedésnek támogatnia kell továbbá a digitá</w:t>
      </w:r>
      <w:r>
        <w:rPr>
          <w:noProof/>
        </w:rPr>
        <w:t>lis stratégia előkészítését vagy felülvizsgálatát legalább 22000 állami és államilag támogatott iskolaközpontban, és magában kell foglalnia 700000 tanár digitális képzését.</w:t>
      </w:r>
    </w:p>
    <w:p w14:paraId="65A93E9D" w14:textId="4AA7B068" w:rsidR="003E1D81" w:rsidRDefault="00EB481C">
      <w:pPr>
        <w:pStyle w:val="P68B1DB1-Normal4"/>
        <w:spacing w:before="120" w:after="120" w:line="240" w:lineRule="auto"/>
        <w:jc w:val="both"/>
        <w:rPr>
          <w:rFonts w:cs="Times New Roman"/>
          <w:noProof/>
        </w:rPr>
      </w:pPr>
      <w:r>
        <w:rPr>
          <w:noProof/>
        </w:rPr>
        <w:t>Ez az intézkedés a digitális szakképzési terv végrehajtását is támogatja. Ezt a mun</w:t>
      </w:r>
      <w:r>
        <w:rPr>
          <w:noProof/>
        </w:rPr>
        <w:t>katapasztalat révén megszerzett szakmai készségek digitális akkreditációját kezelő eszköz, valamint a nemzeti képesítési katalógussal és a szakmai képzési élet nyilvántartásával összhangban álló digitális szakképzési irányítási eszközök létrehozásával kell</w:t>
      </w:r>
      <w:r>
        <w:rPr>
          <w:noProof/>
        </w:rPr>
        <w:t xml:space="preserve"> elérni. Végezetül az intézkedés támogatja szimulátorok, digitális ikermodellek és technológiai központok létrehozását.</w:t>
      </w:r>
    </w:p>
    <w:p w14:paraId="28D3EF1E" w14:textId="77777777" w:rsidR="003E1D81" w:rsidRDefault="00EB481C">
      <w:pPr>
        <w:pStyle w:val="P68B1DB1-Normal4"/>
        <w:spacing w:before="120" w:after="120" w:line="240" w:lineRule="auto"/>
        <w:jc w:val="both"/>
        <w:rPr>
          <w:rFonts w:cs="Times New Roman"/>
          <w:noProof/>
          <w:u w:val="single"/>
        </w:rPr>
      </w:pPr>
      <w:r>
        <w:rPr>
          <w:noProof/>
        </w:rPr>
        <w:t xml:space="preserve">Az intézkedés végrehajtását 2025. december 31-ig be kell fejezni. </w:t>
      </w:r>
    </w:p>
    <w:p w14:paraId="658922D2" w14:textId="77777777" w:rsidR="003E1D81" w:rsidRDefault="00EB481C">
      <w:pPr>
        <w:pStyle w:val="P68B1DB1-Normal6"/>
        <w:spacing w:before="120" w:after="120" w:line="240" w:lineRule="auto"/>
        <w:jc w:val="both"/>
        <w:rPr>
          <w:rFonts w:cs="Times New Roman"/>
          <w:noProof/>
        </w:rPr>
      </w:pPr>
      <w:r>
        <w:rPr>
          <w:noProof/>
        </w:rPr>
        <w:t>Beruházás (C19.) I3) – A foglalkoztatáshoz szükséges digitális készsé</w:t>
      </w:r>
      <w:r>
        <w:rPr>
          <w:noProof/>
        </w:rPr>
        <w:t>gek</w:t>
      </w:r>
    </w:p>
    <w:p w14:paraId="5909B2B8" w14:textId="77777777" w:rsidR="003E1D81" w:rsidRDefault="00EB481C">
      <w:pPr>
        <w:pStyle w:val="P68B1DB1-Normal4"/>
        <w:spacing w:before="120" w:after="120" w:line="240" w:lineRule="auto"/>
        <w:jc w:val="both"/>
        <w:rPr>
          <w:rFonts w:cs="Times New Roman"/>
          <w:noProof/>
        </w:rPr>
      </w:pPr>
      <w:r>
        <w:rPr>
          <w:noProof/>
        </w:rPr>
        <w:t>Ezen intézkedés célja a foglalkoztatottak és a munkanélküliek – különösen a fiatalok – digitális készségeinek megerősítése a foglalkoztathatóságuk javítása érdekében. A képzésnek a közigazgatást is meg kell céloznia (többek között az egészségügyi szake</w:t>
      </w:r>
      <w:r>
        <w:rPr>
          <w:noProof/>
        </w:rPr>
        <w:t>mbereket, a fegyveres erők csapatait és tengerészeit, valamint a különleges rendelkezésre álló tartalékosokat, a társadalombiztosítás és a pénzügyek területén dolgozó személyzetet). Végezetül, az intézkedésnek támogatnia kell a kkv-k digitalizálását a gazd</w:t>
      </w:r>
      <w:r>
        <w:rPr>
          <w:noProof/>
        </w:rPr>
        <w:t xml:space="preserve">aság meghatározott ágazataira irányuló fellépések, valamint a változás katalizálóiként eljáró személyek – többek között a szakértők és a vállalkozások vezetői – képzése révén. </w:t>
      </w:r>
    </w:p>
    <w:p w14:paraId="5C547629" w14:textId="5534DE9D" w:rsidR="003E1D81" w:rsidRDefault="00EB481C">
      <w:pPr>
        <w:pStyle w:val="P68B1DB1-Normal4"/>
        <w:spacing w:before="120" w:after="120" w:line="240" w:lineRule="auto"/>
        <w:jc w:val="both"/>
        <w:rPr>
          <w:rFonts w:cs="Times New Roman"/>
          <w:noProof/>
        </w:rPr>
      </w:pPr>
      <w:r>
        <w:rPr>
          <w:noProof/>
        </w:rPr>
        <w:t xml:space="preserve">Az intézkedés végrehajtását 2026. június 30-ig be kell fejezni. </w:t>
      </w:r>
    </w:p>
    <w:p w14:paraId="2F45F217" w14:textId="77777777" w:rsidR="003E1D81" w:rsidRDefault="00EB481C">
      <w:pPr>
        <w:pStyle w:val="P68B1DB1-Normal6"/>
        <w:spacing w:before="120" w:after="120" w:line="240" w:lineRule="auto"/>
        <w:jc w:val="both"/>
        <w:rPr>
          <w:rFonts w:cs="Times New Roman"/>
          <w:noProof/>
        </w:rPr>
      </w:pPr>
      <w:r>
        <w:rPr>
          <w:noProof/>
        </w:rPr>
        <w:t xml:space="preserve">Beruházás </w:t>
      </w:r>
      <w:r>
        <w:rPr>
          <w:noProof/>
        </w:rPr>
        <w:t>(C19.) Digitális szakemberek</w:t>
      </w:r>
    </w:p>
    <w:p w14:paraId="2965251D" w14:textId="77777777" w:rsidR="003E1D81" w:rsidRDefault="00EB481C">
      <w:pPr>
        <w:pStyle w:val="P68B1DB1-Normal4"/>
        <w:spacing w:before="120" w:after="120" w:line="240" w:lineRule="auto"/>
        <w:jc w:val="both"/>
        <w:rPr>
          <w:rFonts w:cs="Times New Roman"/>
          <w:noProof/>
        </w:rPr>
      </w:pPr>
      <w:r>
        <w:rPr>
          <w:noProof/>
        </w:rPr>
        <w:t>Ezen intézkedés célja a korszerű digitális készségekre vonatkozó meglévő szakképzési kínálat kiigazítása, valamint a tehetségek vonzása és megtartása ezeken a területeken. Emellett különböző szinteken nyitott oktatási segédanya</w:t>
      </w:r>
      <w:r>
        <w:rPr>
          <w:noProof/>
        </w:rPr>
        <w:t>gokat hoz létre a mesterséges intelligenciával és a kiberbiztonsággal kapcsolatos digitális oktatás számára.</w:t>
      </w:r>
    </w:p>
    <w:p w14:paraId="284D8B53" w14:textId="77777777" w:rsidR="003E1D81" w:rsidRDefault="00EB481C">
      <w:pPr>
        <w:pStyle w:val="P68B1DB1-Normal4"/>
        <w:spacing w:before="120" w:after="120" w:line="240" w:lineRule="auto"/>
        <w:jc w:val="both"/>
        <w:rPr>
          <w:rFonts w:cs="Times New Roman"/>
          <w:noProof/>
        </w:rPr>
      </w:pPr>
      <w:r>
        <w:rPr>
          <w:noProof/>
        </w:rPr>
        <w:t>Az intézkedés magában foglalja a kiberbiztonságra összpontosító, mintegy 20000 informatikai szakértőnek szóló speciális képzéseket, valamint négyév</w:t>
      </w:r>
      <w:r>
        <w:rPr>
          <w:noProof/>
        </w:rPr>
        <w:t xml:space="preserve">es ösztöndíjak finanszírozását, amelyek célja a tehetségek vonzása és megtartása a fejlett digitális készségek terén. </w:t>
      </w:r>
    </w:p>
    <w:p w14:paraId="41E6B510" w14:textId="77777777" w:rsidR="003E1D81" w:rsidRDefault="00EB481C">
      <w:pPr>
        <w:pStyle w:val="P68B1DB1-Normal4"/>
        <w:spacing w:before="120" w:after="120" w:line="240" w:lineRule="auto"/>
        <w:jc w:val="both"/>
        <w:rPr>
          <w:rFonts w:cs="Times New Roman"/>
          <w:b/>
          <w:noProof/>
          <w:u w:val="single"/>
        </w:rPr>
      </w:pPr>
      <w:r>
        <w:rPr>
          <w:noProof/>
        </w:rPr>
        <w:t xml:space="preserve">Az intézkedés végrehajtását 2025. december 31-ig be kell fejezni. </w:t>
      </w:r>
    </w:p>
    <w:p w14:paraId="4ABCEC58" w14:textId="77777777" w:rsidR="003E1D81" w:rsidRDefault="00EB481C">
      <w:pPr>
        <w:pStyle w:val="P68B1DB1-Normal5"/>
        <w:spacing w:before="120" w:after="120" w:line="240" w:lineRule="auto"/>
        <w:jc w:val="both"/>
        <w:rPr>
          <w:rFonts w:cs="Times New Roman"/>
          <w:noProof/>
        </w:rPr>
      </w:pPr>
      <w:r>
        <w:rPr>
          <w:noProof/>
        </w:rPr>
        <w:t xml:space="preserve">S.2. </w:t>
      </w:r>
      <w:r>
        <w:rPr>
          <w:noProof/>
        </w:rPr>
        <w:tab/>
        <w:t xml:space="preserve">Vissza nem térítendő pénzügyi támogatás – a végrehajtáshoz és a </w:t>
      </w:r>
      <w:r>
        <w:rPr>
          <w:noProof/>
        </w:rPr>
        <w:t>nyomon követéshez kapcsolódó mérföldkövek, célok, mutatók és ütemterv</w:t>
      </w:r>
    </w:p>
    <w:p w14:paraId="4CC3DB63" w14:textId="77777777"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Az alapforgatókönyv időpontja valamennyi mutató esetében az intézkedés kezdete, kivéve, ha az intézkedés leírása másként jelzi. A táblázatban szereplő összegek nem tartal</w:t>
      </w:r>
      <w:r>
        <w:rPr>
          <w:i/>
          <w:noProof/>
        </w:rPr>
        <w:t>mazzák a héát.</w:t>
      </w:r>
    </w:p>
    <w:p w14:paraId="10C442A1" w14:textId="77777777" w:rsidR="003E1D81" w:rsidRDefault="003E1D81">
      <w:pPr>
        <w:spacing w:before="120" w:after="120" w:line="240" w:lineRule="auto"/>
        <w:jc w:val="both"/>
        <w:rPr>
          <w:rFonts w:ascii="Times New Roman" w:hAnsi="Times New Roman" w:cs="Times New Roman"/>
          <w:b/>
          <w:noProof/>
          <w:sz w:val="24"/>
          <w:u w:val="single"/>
        </w:rPr>
      </w:pPr>
    </w:p>
    <w:p w14:paraId="543CCFE9" w14:textId="77777777" w:rsidR="003E1D81" w:rsidRDefault="003E1D81">
      <w:pPr>
        <w:spacing w:before="120" w:after="120" w:line="240" w:lineRule="auto"/>
        <w:ind w:left="709"/>
        <w:jc w:val="both"/>
        <w:rPr>
          <w:rFonts w:ascii="Times New Roman" w:hAnsi="Times New Roman" w:cs="Times New Roman"/>
          <w:noProof/>
          <w:sz w:val="24"/>
        </w:rPr>
      </w:pPr>
    </w:p>
    <w:p w14:paraId="3C010B0A" w14:textId="77777777" w:rsidR="003E1D81" w:rsidRDefault="003E1D81">
      <w:pPr>
        <w:spacing w:before="120" w:after="120" w:line="240" w:lineRule="auto"/>
        <w:ind w:left="709"/>
        <w:jc w:val="both"/>
        <w:rPr>
          <w:rFonts w:ascii="Times New Roman" w:hAnsi="Times New Roman" w:cs="Times New Roman"/>
          <w:noProof/>
          <w:sz w:val="24"/>
        </w:rPr>
        <w:sectPr w:rsidR="003E1D81" w:rsidSect="00C94F66">
          <w:headerReference w:type="even" r:id="rId387"/>
          <w:headerReference w:type="default" r:id="rId388"/>
          <w:footerReference w:type="even" r:id="rId389"/>
          <w:footerReference w:type="default" r:id="rId390"/>
          <w:headerReference w:type="first" r:id="rId391"/>
          <w:footerReference w:type="first" r:id="rId392"/>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11"/>
        <w:gridCol w:w="818"/>
        <w:gridCol w:w="852"/>
        <w:gridCol w:w="2700"/>
        <w:gridCol w:w="1420"/>
        <w:gridCol w:w="853"/>
        <w:gridCol w:w="568"/>
        <w:gridCol w:w="710"/>
        <w:gridCol w:w="427"/>
        <w:gridCol w:w="568"/>
        <w:gridCol w:w="5683"/>
      </w:tblGrid>
      <w:tr w:rsidR="003E1D81" w14:paraId="77F4444D" w14:textId="77777777">
        <w:trPr>
          <w:trHeight w:val="309"/>
          <w:tblHeader/>
        </w:trPr>
        <w:tc>
          <w:tcPr>
            <w:tcW w:w="711" w:type="dxa"/>
            <w:tcBorders>
              <w:bottom w:val="nil"/>
            </w:tcBorders>
            <w:shd w:val="clear" w:color="auto" w:fill="C6D9F1" w:themeFill="text2" w:themeFillTint="33"/>
            <w:noWrap/>
          </w:tcPr>
          <w:p w14:paraId="0F115FF8" w14:textId="77777777" w:rsidR="003E1D81" w:rsidRDefault="00EB481C">
            <w:pPr>
              <w:pStyle w:val="P68B1DB1-Normal12"/>
              <w:spacing w:after="0" w:line="240" w:lineRule="auto"/>
              <w:jc w:val="center"/>
              <w:rPr>
                <w:rFonts w:cs="Times New Roman"/>
                <w:noProof/>
              </w:rPr>
            </w:pPr>
            <w:r>
              <w:rPr>
                <w:noProof/>
              </w:rPr>
              <w:t>Szám</w:t>
            </w:r>
          </w:p>
        </w:tc>
        <w:tc>
          <w:tcPr>
            <w:tcW w:w="818" w:type="dxa"/>
            <w:tcBorders>
              <w:bottom w:val="nil"/>
            </w:tcBorders>
            <w:shd w:val="clear" w:color="auto" w:fill="C6D9F1" w:themeFill="text2" w:themeFillTint="33"/>
            <w:noWrap/>
          </w:tcPr>
          <w:p w14:paraId="289B5EB3" w14:textId="77777777" w:rsidR="003E1D81" w:rsidRDefault="00EB481C">
            <w:pPr>
              <w:pStyle w:val="P68B1DB1-Normal12"/>
              <w:spacing w:after="0" w:line="240" w:lineRule="auto"/>
              <w:jc w:val="center"/>
              <w:rPr>
                <w:rFonts w:cs="Times New Roman"/>
                <w:noProof/>
              </w:rPr>
            </w:pPr>
            <w:r>
              <w:rPr>
                <w:noProof/>
              </w:rPr>
              <w:t>Intézkedés</w:t>
            </w:r>
          </w:p>
        </w:tc>
        <w:tc>
          <w:tcPr>
            <w:tcW w:w="852" w:type="dxa"/>
            <w:tcBorders>
              <w:bottom w:val="nil"/>
            </w:tcBorders>
            <w:shd w:val="clear" w:color="auto" w:fill="C6D9F1" w:themeFill="text2" w:themeFillTint="33"/>
            <w:noWrap/>
          </w:tcPr>
          <w:p w14:paraId="6B8CB5F1" w14:textId="77777777" w:rsidR="003E1D81" w:rsidRDefault="00EB481C">
            <w:pPr>
              <w:pStyle w:val="P68B1DB1-Normal13"/>
              <w:spacing w:after="0" w:line="240" w:lineRule="auto"/>
              <w:jc w:val="center"/>
              <w:rPr>
                <w:rFonts w:cs="Times New Roman"/>
                <w:b/>
                <w:noProof/>
              </w:rPr>
            </w:pPr>
            <w:r>
              <w:rPr>
                <w:b/>
                <w:noProof/>
              </w:rPr>
              <w:t>Mérföldkő</w:t>
            </w:r>
            <w:r>
              <w:rPr>
                <w:noProof/>
              </w:rPr>
              <w:br/>
            </w:r>
            <w:r>
              <w:rPr>
                <w:b/>
                <w:noProof/>
              </w:rPr>
              <w:t xml:space="preserve"> /Cél</w:t>
            </w:r>
          </w:p>
        </w:tc>
        <w:tc>
          <w:tcPr>
            <w:tcW w:w="2700" w:type="dxa"/>
            <w:tcBorders>
              <w:bottom w:val="nil"/>
            </w:tcBorders>
            <w:shd w:val="clear" w:color="auto" w:fill="C6D9F1" w:themeFill="text2" w:themeFillTint="33"/>
            <w:noWrap/>
          </w:tcPr>
          <w:p w14:paraId="102CD23E" w14:textId="77777777" w:rsidR="003E1D81" w:rsidRDefault="00EB481C">
            <w:pPr>
              <w:pStyle w:val="P68B1DB1-Normal12"/>
              <w:spacing w:after="0" w:line="240" w:lineRule="auto"/>
              <w:jc w:val="center"/>
              <w:rPr>
                <w:rFonts w:cs="Times New Roman"/>
                <w:noProof/>
              </w:rPr>
            </w:pPr>
            <w:r>
              <w:rPr>
                <w:noProof/>
              </w:rPr>
              <w:t>Név</w:t>
            </w:r>
          </w:p>
        </w:tc>
        <w:tc>
          <w:tcPr>
            <w:tcW w:w="1420" w:type="dxa"/>
            <w:tcBorders>
              <w:bottom w:val="nil"/>
            </w:tcBorders>
            <w:shd w:val="clear" w:color="auto" w:fill="C6D9F1" w:themeFill="text2" w:themeFillTint="33"/>
            <w:noWrap/>
          </w:tcPr>
          <w:p w14:paraId="228A5962"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2131" w:type="dxa"/>
            <w:gridSpan w:val="3"/>
            <w:shd w:val="clear" w:color="auto" w:fill="C6D9F1" w:themeFill="text2" w:themeFillTint="33"/>
            <w:noWrap/>
          </w:tcPr>
          <w:p w14:paraId="3093DBAB"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95" w:type="dxa"/>
            <w:gridSpan w:val="2"/>
            <w:shd w:val="clear" w:color="auto" w:fill="C6D9F1" w:themeFill="text2" w:themeFillTint="33"/>
            <w:noWrap/>
          </w:tcPr>
          <w:p w14:paraId="335F0B82" w14:textId="77777777" w:rsidR="003E1D81" w:rsidRDefault="00EB481C">
            <w:pPr>
              <w:pStyle w:val="P68B1DB1-Normal12"/>
              <w:spacing w:after="0" w:line="240" w:lineRule="auto"/>
              <w:jc w:val="center"/>
              <w:rPr>
                <w:rFonts w:cs="Times New Roman"/>
                <w:noProof/>
              </w:rPr>
            </w:pPr>
            <w:r>
              <w:rPr>
                <w:noProof/>
              </w:rPr>
              <w:t>Idő</w:t>
            </w:r>
          </w:p>
        </w:tc>
        <w:tc>
          <w:tcPr>
            <w:tcW w:w="5683" w:type="dxa"/>
            <w:tcBorders>
              <w:bottom w:val="nil"/>
            </w:tcBorders>
            <w:shd w:val="clear" w:color="auto" w:fill="C6D9F1" w:themeFill="text2" w:themeFillTint="33"/>
            <w:noWrap/>
          </w:tcPr>
          <w:p w14:paraId="604952A4"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2C9FF982" w14:textId="77777777">
        <w:trPr>
          <w:trHeight w:val="309"/>
          <w:tblHeader/>
        </w:trPr>
        <w:tc>
          <w:tcPr>
            <w:tcW w:w="711" w:type="dxa"/>
            <w:tcBorders>
              <w:top w:val="nil"/>
            </w:tcBorders>
            <w:shd w:val="clear" w:color="auto" w:fill="C6D9F1" w:themeFill="text2" w:themeFillTint="33"/>
            <w:noWrap/>
          </w:tcPr>
          <w:p w14:paraId="70ED3F4C" w14:textId="77777777" w:rsidR="003E1D81" w:rsidRDefault="003E1D81">
            <w:pPr>
              <w:spacing w:after="0" w:line="240" w:lineRule="auto"/>
              <w:jc w:val="center"/>
              <w:rPr>
                <w:rFonts w:ascii="Times New Roman" w:hAnsi="Times New Roman" w:cs="Times New Roman"/>
                <w:b/>
                <w:noProof/>
                <w:sz w:val="18"/>
              </w:rPr>
            </w:pPr>
          </w:p>
        </w:tc>
        <w:tc>
          <w:tcPr>
            <w:tcW w:w="818" w:type="dxa"/>
            <w:tcBorders>
              <w:top w:val="nil"/>
            </w:tcBorders>
            <w:shd w:val="clear" w:color="auto" w:fill="C6D9F1" w:themeFill="text2" w:themeFillTint="33"/>
            <w:noWrap/>
          </w:tcPr>
          <w:p w14:paraId="58A2343A" w14:textId="77777777" w:rsidR="003E1D81" w:rsidRDefault="003E1D81">
            <w:pPr>
              <w:spacing w:after="0" w:line="240" w:lineRule="auto"/>
              <w:jc w:val="center"/>
              <w:rPr>
                <w:rFonts w:ascii="Times New Roman" w:hAnsi="Times New Roman" w:cs="Times New Roman"/>
                <w:b/>
                <w:noProof/>
                <w:sz w:val="18"/>
              </w:rPr>
            </w:pPr>
          </w:p>
        </w:tc>
        <w:tc>
          <w:tcPr>
            <w:tcW w:w="852" w:type="dxa"/>
            <w:tcBorders>
              <w:top w:val="nil"/>
            </w:tcBorders>
            <w:shd w:val="clear" w:color="auto" w:fill="C6D9F1" w:themeFill="text2" w:themeFillTint="33"/>
            <w:noWrap/>
          </w:tcPr>
          <w:p w14:paraId="61BA8B61" w14:textId="77777777" w:rsidR="003E1D81" w:rsidRDefault="003E1D81">
            <w:pPr>
              <w:spacing w:after="0" w:line="240" w:lineRule="auto"/>
              <w:jc w:val="center"/>
              <w:rPr>
                <w:rFonts w:ascii="Times New Roman" w:hAnsi="Times New Roman" w:cs="Times New Roman"/>
                <w:b/>
                <w:noProof/>
                <w:sz w:val="18"/>
              </w:rPr>
            </w:pPr>
          </w:p>
        </w:tc>
        <w:tc>
          <w:tcPr>
            <w:tcW w:w="2700" w:type="dxa"/>
            <w:tcBorders>
              <w:top w:val="nil"/>
            </w:tcBorders>
            <w:shd w:val="clear" w:color="auto" w:fill="C6D9F1" w:themeFill="text2" w:themeFillTint="33"/>
            <w:noWrap/>
          </w:tcPr>
          <w:p w14:paraId="4C82012C" w14:textId="77777777" w:rsidR="003E1D81" w:rsidRDefault="003E1D81">
            <w:pPr>
              <w:spacing w:after="0" w:line="240" w:lineRule="auto"/>
              <w:rPr>
                <w:rFonts w:ascii="Times New Roman" w:hAnsi="Times New Roman" w:cs="Times New Roman"/>
                <w:b/>
                <w:noProof/>
                <w:sz w:val="18"/>
              </w:rPr>
            </w:pPr>
          </w:p>
        </w:tc>
        <w:tc>
          <w:tcPr>
            <w:tcW w:w="1420" w:type="dxa"/>
            <w:tcBorders>
              <w:top w:val="nil"/>
            </w:tcBorders>
            <w:shd w:val="clear" w:color="auto" w:fill="C6D9F1" w:themeFill="text2" w:themeFillTint="33"/>
            <w:noWrap/>
          </w:tcPr>
          <w:p w14:paraId="3273D545" w14:textId="77777777" w:rsidR="003E1D81" w:rsidRDefault="003E1D81">
            <w:pPr>
              <w:spacing w:after="0" w:line="240" w:lineRule="auto"/>
              <w:jc w:val="center"/>
              <w:rPr>
                <w:rFonts w:ascii="Times New Roman" w:hAnsi="Times New Roman" w:cs="Times New Roman"/>
                <w:b/>
                <w:noProof/>
                <w:sz w:val="18"/>
              </w:rPr>
            </w:pPr>
          </w:p>
        </w:tc>
        <w:tc>
          <w:tcPr>
            <w:tcW w:w="853" w:type="dxa"/>
            <w:shd w:val="clear" w:color="auto" w:fill="C6D9F1" w:themeFill="text2" w:themeFillTint="33"/>
            <w:noWrap/>
          </w:tcPr>
          <w:p w14:paraId="20C97B34" w14:textId="77777777" w:rsidR="003E1D81" w:rsidRDefault="00EB481C">
            <w:pPr>
              <w:pStyle w:val="P68B1DB1-Normal12"/>
              <w:spacing w:after="0" w:line="240" w:lineRule="auto"/>
              <w:jc w:val="center"/>
              <w:rPr>
                <w:rFonts w:cs="Times New Roman"/>
                <w:noProof/>
              </w:rPr>
            </w:pPr>
            <w:r>
              <w:rPr>
                <w:noProof/>
              </w:rPr>
              <w:t>Egység</w:t>
            </w:r>
          </w:p>
        </w:tc>
        <w:tc>
          <w:tcPr>
            <w:tcW w:w="568" w:type="dxa"/>
            <w:shd w:val="clear" w:color="auto" w:fill="C6D9F1" w:themeFill="text2" w:themeFillTint="33"/>
            <w:noWrap/>
          </w:tcPr>
          <w:p w14:paraId="6C884A23" w14:textId="77777777" w:rsidR="003E1D81" w:rsidRDefault="00EB481C">
            <w:pPr>
              <w:pStyle w:val="P68B1DB1-Normal12"/>
              <w:spacing w:after="0" w:line="240" w:lineRule="auto"/>
              <w:jc w:val="center"/>
              <w:rPr>
                <w:rFonts w:cs="Times New Roman"/>
                <w:noProof/>
              </w:rPr>
            </w:pPr>
            <w:r>
              <w:rPr>
                <w:noProof/>
              </w:rPr>
              <w:t>Alapérték</w:t>
            </w:r>
          </w:p>
        </w:tc>
        <w:tc>
          <w:tcPr>
            <w:tcW w:w="710" w:type="dxa"/>
            <w:shd w:val="clear" w:color="auto" w:fill="C6D9F1" w:themeFill="text2" w:themeFillTint="33"/>
            <w:noWrap/>
          </w:tcPr>
          <w:p w14:paraId="43910F29" w14:textId="77777777" w:rsidR="003E1D81" w:rsidRDefault="00EB481C">
            <w:pPr>
              <w:pStyle w:val="P68B1DB1-Normal12"/>
              <w:spacing w:after="0" w:line="240" w:lineRule="auto"/>
              <w:jc w:val="center"/>
              <w:rPr>
                <w:rFonts w:cs="Times New Roman"/>
                <w:noProof/>
              </w:rPr>
            </w:pPr>
            <w:r>
              <w:rPr>
                <w:noProof/>
              </w:rPr>
              <w:t>Cél</w:t>
            </w:r>
          </w:p>
        </w:tc>
        <w:tc>
          <w:tcPr>
            <w:tcW w:w="427" w:type="dxa"/>
            <w:shd w:val="clear" w:color="auto" w:fill="C6D9F1" w:themeFill="text2" w:themeFillTint="33"/>
            <w:noWrap/>
          </w:tcPr>
          <w:p w14:paraId="2EFF67D8" w14:textId="77777777" w:rsidR="003E1D81" w:rsidRDefault="00EB481C">
            <w:pPr>
              <w:pStyle w:val="P68B1DB1-Normal12"/>
              <w:spacing w:after="0" w:line="240" w:lineRule="auto"/>
              <w:jc w:val="center"/>
              <w:rPr>
                <w:rFonts w:cs="Times New Roman"/>
                <w:noProof/>
              </w:rPr>
            </w:pPr>
            <w:r>
              <w:rPr>
                <w:noProof/>
              </w:rPr>
              <w:t>Q</w:t>
            </w:r>
          </w:p>
        </w:tc>
        <w:tc>
          <w:tcPr>
            <w:tcW w:w="568" w:type="dxa"/>
            <w:shd w:val="clear" w:color="auto" w:fill="C6D9F1" w:themeFill="text2" w:themeFillTint="33"/>
            <w:noWrap/>
          </w:tcPr>
          <w:p w14:paraId="173F9C0B" w14:textId="77777777" w:rsidR="003E1D81" w:rsidRDefault="00EB481C">
            <w:pPr>
              <w:pStyle w:val="P68B1DB1-Normal12"/>
              <w:spacing w:after="0" w:line="240" w:lineRule="auto"/>
              <w:jc w:val="center"/>
              <w:rPr>
                <w:rFonts w:cs="Times New Roman"/>
                <w:noProof/>
              </w:rPr>
            </w:pPr>
            <w:r>
              <w:rPr>
                <w:noProof/>
              </w:rPr>
              <w:t>Éve</w:t>
            </w:r>
          </w:p>
        </w:tc>
        <w:tc>
          <w:tcPr>
            <w:tcW w:w="5683" w:type="dxa"/>
            <w:tcBorders>
              <w:top w:val="nil"/>
            </w:tcBorders>
            <w:shd w:val="clear" w:color="auto" w:fill="C6D9F1" w:themeFill="text2" w:themeFillTint="33"/>
            <w:noWrap/>
          </w:tcPr>
          <w:p w14:paraId="7E520BEA" w14:textId="77777777" w:rsidR="003E1D81" w:rsidRDefault="003E1D81">
            <w:pPr>
              <w:spacing w:after="0" w:line="240" w:lineRule="auto"/>
              <w:rPr>
                <w:rFonts w:ascii="Times New Roman" w:hAnsi="Times New Roman" w:cs="Times New Roman"/>
                <w:b/>
                <w:noProof/>
                <w:sz w:val="18"/>
              </w:rPr>
            </w:pPr>
          </w:p>
        </w:tc>
      </w:tr>
      <w:tr w:rsidR="003E1D81" w14:paraId="49645203" w14:textId="77777777">
        <w:trPr>
          <w:trHeight w:val="309"/>
        </w:trPr>
        <w:tc>
          <w:tcPr>
            <w:tcW w:w="711" w:type="dxa"/>
            <w:shd w:val="clear" w:color="auto" w:fill="C6EFCE"/>
            <w:noWrap/>
          </w:tcPr>
          <w:p w14:paraId="1033C07A" w14:textId="77777777" w:rsidR="003E1D81" w:rsidRDefault="00EB481C">
            <w:pPr>
              <w:pStyle w:val="P68B1DB1-Normal13"/>
              <w:spacing w:after="0" w:line="240" w:lineRule="auto"/>
              <w:jc w:val="center"/>
              <w:rPr>
                <w:rFonts w:eastAsia="Times New Roman" w:cs="Times New Roman"/>
                <w:noProof/>
              </w:rPr>
            </w:pPr>
            <w:r>
              <w:rPr>
                <w:noProof/>
              </w:rPr>
              <w:t>285</w:t>
            </w:r>
          </w:p>
        </w:tc>
        <w:tc>
          <w:tcPr>
            <w:tcW w:w="818" w:type="dxa"/>
            <w:shd w:val="clear" w:color="auto" w:fill="C6EFCE"/>
            <w:noWrap/>
          </w:tcPr>
          <w:p w14:paraId="2C6BD067" w14:textId="77777777" w:rsidR="003E1D81" w:rsidRDefault="00EB481C">
            <w:pPr>
              <w:pStyle w:val="P68B1DB1-Normal13"/>
              <w:spacing w:after="0" w:line="240" w:lineRule="auto"/>
              <w:jc w:val="center"/>
              <w:rPr>
                <w:rFonts w:eastAsia="Times New Roman" w:cs="Times New Roman"/>
                <w:noProof/>
              </w:rPr>
            </w:pPr>
            <w:r>
              <w:rPr>
                <w:noProof/>
              </w:rPr>
              <w:t>C19.R1</w:t>
            </w:r>
          </w:p>
        </w:tc>
        <w:tc>
          <w:tcPr>
            <w:tcW w:w="852" w:type="dxa"/>
            <w:shd w:val="clear" w:color="auto" w:fill="C6EFCE"/>
            <w:noWrap/>
          </w:tcPr>
          <w:p w14:paraId="3F26CF38" w14:textId="77777777" w:rsidR="003E1D81" w:rsidRDefault="00EB481C">
            <w:pPr>
              <w:pStyle w:val="P68B1DB1-Normal13"/>
              <w:spacing w:after="0" w:line="240" w:lineRule="auto"/>
              <w:jc w:val="center"/>
              <w:rPr>
                <w:rFonts w:eastAsia="Times New Roman" w:cs="Times New Roman"/>
                <w:noProof/>
              </w:rPr>
            </w:pPr>
            <w:r>
              <w:rPr>
                <w:noProof/>
              </w:rPr>
              <w:t>M</w:t>
            </w:r>
          </w:p>
        </w:tc>
        <w:tc>
          <w:tcPr>
            <w:tcW w:w="2700" w:type="dxa"/>
            <w:shd w:val="clear" w:color="auto" w:fill="C6EFCE"/>
            <w:noWrap/>
          </w:tcPr>
          <w:p w14:paraId="4EE85BFA" w14:textId="77777777" w:rsidR="003E1D81" w:rsidRDefault="00EB481C">
            <w:pPr>
              <w:pStyle w:val="P68B1DB1-Normal13"/>
              <w:spacing w:after="0" w:line="240" w:lineRule="auto"/>
              <w:rPr>
                <w:rFonts w:eastAsia="Times New Roman" w:cs="Times New Roman"/>
                <w:noProof/>
              </w:rPr>
            </w:pPr>
            <w:r>
              <w:rPr>
                <w:noProof/>
              </w:rPr>
              <w:t>A nemzeti digitális kompetenciaterv Miniszterek Tanácsa általi jóváhagyása</w:t>
            </w:r>
          </w:p>
        </w:tc>
        <w:tc>
          <w:tcPr>
            <w:tcW w:w="1420" w:type="dxa"/>
            <w:shd w:val="clear" w:color="auto" w:fill="C6EFCE"/>
            <w:noWrap/>
          </w:tcPr>
          <w:p w14:paraId="431D6E58" w14:textId="77777777" w:rsidR="003E1D81" w:rsidRDefault="00EB481C">
            <w:pPr>
              <w:pStyle w:val="P68B1DB1-Normal13"/>
              <w:spacing w:after="0" w:line="240" w:lineRule="auto"/>
              <w:jc w:val="center"/>
              <w:rPr>
                <w:rFonts w:eastAsia="Times New Roman" w:cs="Times New Roman"/>
                <w:noProof/>
              </w:rPr>
            </w:pPr>
            <w:r>
              <w:rPr>
                <w:noProof/>
              </w:rPr>
              <w:t>A Miniszterek Tanácsának hivatkozási száma</w:t>
            </w:r>
          </w:p>
        </w:tc>
        <w:tc>
          <w:tcPr>
            <w:tcW w:w="853" w:type="dxa"/>
            <w:shd w:val="clear" w:color="auto" w:fill="C6EFCE"/>
            <w:noWrap/>
          </w:tcPr>
          <w:p w14:paraId="5B1F0EB8"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8" w:type="dxa"/>
            <w:shd w:val="clear" w:color="auto" w:fill="C6EFCE"/>
            <w:noWrap/>
          </w:tcPr>
          <w:p w14:paraId="51848022"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10" w:type="dxa"/>
            <w:shd w:val="clear" w:color="auto" w:fill="C6EFCE"/>
            <w:noWrap/>
          </w:tcPr>
          <w:p w14:paraId="633489A4"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427" w:type="dxa"/>
            <w:shd w:val="clear" w:color="auto" w:fill="C6EFCE"/>
            <w:noWrap/>
          </w:tcPr>
          <w:p w14:paraId="71914AFE"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8" w:type="dxa"/>
            <w:shd w:val="clear" w:color="auto" w:fill="C6EFCE"/>
            <w:noWrap/>
          </w:tcPr>
          <w:p w14:paraId="6DF6DA1F" w14:textId="77777777" w:rsidR="003E1D81" w:rsidRDefault="00EB481C">
            <w:pPr>
              <w:pStyle w:val="P68B1DB1-Normal13"/>
              <w:spacing w:after="0" w:line="240" w:lineRule="auto"/>
              <w:jc w:val="center"/>
              <w:rPr>
                <w:rFonts w:eastAsia="Times New Roman" w:cs="Times New Roman"/>
                <w:noProof/>
              </w:rPr>
            </w:pPr>
            <w:r>
              <w:rPr>
                <w:noProof/>
              </w:rPr>
              <w:t>2021</w:t>
            </w:r>
          </w:p>
        </w:tc>
        <w:tc>
          <w:tcPr>
            <w:tcW w:w="5683" w:type="dxa"/>
            <w:shd w:val="clear" w:color="auto" w:fill="C6EFCE"/>
            <w:noWrap/>
          </w:tcPr>
          <w:p w14:paraId="321ACE2D" w14:textId="77777777" w:rsidR="003E1D81" w:rsidRDefault="00EB481C">
            <w:pPr>
              <w:pStyle w:val="P68B1DB1-Normal13"/>
              <w:spacing w:after="0" w:line="240" w:lineRule="auto"/>
              <w:rPr>
                <w:rFonts w:eastAsia="Times New Roman" w:cs="Times New Roman"/>
                <w:noProof/>
              </w:rPr>
            </w:pPr>
            <w:r>
              <w:rPr>
                <w:noProof/>
              </w:rPr>
              <w:t xml:space="preserve">A nemzeti digitális kompetenciaterv Miniszterek Tanácsa általi jóváhagyása. A terv célkitűzései a </w:t>
            </w:r>
            <w:r>
              <w:rPr>
                <w:noProof/>
              </w:rPr>
              <w:t>következők: A digitális készségekkel kapcsolatos képzés biztosítása a lakosság egésze számára; A nemek közötti digitális szakadék áthidalása; Az oktatási rendszer digitalizálása és a tanuláshoz szükséges digitális készségek fejlesztése; (4, 5) digitális ké</w:t>
            </w:r>
            <w:r>
              <w:rPr>
                <w:noProof/>
              </w:rPr>
              <w:t>szségek biztosítása a magán- és közalkalmazottak jobb foglalkoztathatósága érdekében; A digitális készségek fejlesztése a kkv-kban; valamint (7) az IKT-szakemberek számának növelése, mivel ez nem kötelező a régiókra és a helyi szervezetekre nézve.</w:t>
            </w:r>
          </w:p>
        </w:tc>
      </w:tr>
      <w:tr w:rsidR="003E1D81" w14:paraId="7F43154E" w14:textId="77777777">
        <w:trPr>
          <w:trHeight w:val="309"/>
        </w:trPr>
        <w:tc>
          <w:tcPr>
            <w:tcW w:w="711" w:type="dxa"/>
            <w:shd w:val="clear" w:color="auto" w:fill="C6EFCE"/>
            <w:noWrap/>
          </w:tcPr>
          <w:p w14:paraId="28AB29BD" w14:textId="77777777" w:rsidR="003E1D81" w:rsidRDefault="00EB481C">
            <w:pPr>
              <w:pStyle w:val="P68B1DB1-Normal13"/>
              <w:spacing w:after="0" w:line="240" w:lineRule="auto"/>
              <w:jc w:val="center"/>
              <w:rPr>
                <w:rFonts w:eastAsia="Times New Roman" w:cs="Times New Roman"/>
                <w:noProof/>
              </w:rPr>
            </w:pPr>
            <w:r>
              <w:rPr>
                <w:noProof/>
              </w:rPr>
              <w:t>286</w:t>
            </w:r>
          </w:p>
        </w:tc>
        <w:tc>
          <w:tcPr>
            <w:tcW w:w="818" w:type="dxa"/>
            <w:shd w:val="clear" w:color="auto" w:fill="C6EFCE"/>
            <w:noWrap/>
          </w:tcPr>
          <w:p w14:paraId="496CF9AC" w14:textId="77777777" w:rsidR="003E1D81" w:rsidRDefault="00EB481C">
            <w:pPr>
              <w:pStyle w:val="P68B1DB1-Normal13"/>
              <w:spacing w:after="0" w:line="240" w:lineRule="auto"/>
              <w:jc w:val="center"/>
              <w:rPr>
                <w:rFonts w:eastAsia="Times New Roman" w:cs="Times New Roman"/>
                <w:noProof/>
              </w:rPr>
            </w:pPr>
            <w:r>
              <w:rPr>
                <w:noProof/>
              </w:rPr>
              <w:t>C19.I1</w:t>
            </w:r>
          </w:p>
        </w:tc>
        <w:tc>
          <w:tcPr>
            <w:tcW w:w="852" w:type="dxa"/>
            <w:shd w:val="clear" w:color="auto" w:fill="C6EFCE"/>
            <w:noWrap/>
          </w:tcPr>
          <w:p w14:paraId="74B3164B" w14:textId="77777777" w:rsidR="003E1D81" w:rsidRDefault="00EB481C">
            <w:pPr>
              <w:pStyle w:val="P68B1DB1-Normal13"/>
              <w:spacing w:after="0" w:line="240" w:lineRule="auto"/>
              <w:jc w:val="center"/>
              <w:rPr>
                <w:rFonts w:eastAsia="Times New Roman" w:cs="Times New Roman"/>
                <w:noProof/>
              </w:rPr>
            </w:pPr>
            <w:r>
              <w:rPr>
                <w:noProof/>
              </w:rPr>
              <w:t>T</w:t>
            </w:r>
          </w:p>
        </w:tc>
        <w:tc>
          <w:tcPr>
            <w:tcW w:w="2700" w:type="dxa"/>
            <w:shd w:val="clear" w:color="auto" w:fill="C6EFCE"/>
            <w:noWrap/>
          </w:tcPr>
          <w:p w14:paraId="156B4125" w14:textId="77777777" w:rsidR="003E1D81" w:rsidRDefault="00EB481C">
            <w:pPr>
              <w:pStyle w:val="P68B1DB1-Normal13"/>
              <w:spacing w:after="0" w:line="240" w:lineRule="auto"/>
              <w:rPr>
                <w:rFonts w:eastAsia="Times New Roman" w:cs="Times New Roman"/>
                <w:noProof/>
              </w:rPr>
            </w:pPr>
            <w:r>
              <w:rPr>
                <w:noProof/>
              </w:rPr>
              <w:t>A polgárok digitális készségekkel kapcsolatos képzése.</w:t>
            </w:r>
          </w:p>
        </w:tc>
        <w:tc>
          <w:tcPr>
            <w:tcW w:w="1420" w:type="dxa"/>
            <w:shd w:val="clear" w:color="auto" w:fill="C6EFCE"/>
            <w:noWrap/>
          </w:tcPr>
          <w:p w14:paraId="4EAEF2B2" w14:textId="77777777" w:rsidR="003E1D81" w:rsidRDefault="00EB481C">
            <w:pPr>
              <w:pStyle w:val="P68B1DB1-Normal13"/>
              <w:spacing w:after="0" w:line="240" w:lineRule="auto"/>
              <w:jc w:val="center"/>
              <w:rPr>
                <w:rFonts w:eastAsia="Times New Roman" w:cs="Times New Roman"/>
                <w:noProof/>
              </w:rPr>
            </w:pPr>
            <w:r>
              <w:rPr>
                <w:noProof/>
              </w:rPr>
              <w:t>–</w:t>
            </w:r>
          </w:p>
        </w:tc>
        <w:tc>
          <w:tcPr>
            <w:tcW w:w="853" w:type="dxa"/>
            <w:shd w:val="clear" w:color="auto" w:fill="C6EFCE"/>
            <w:noWrap/>
          </w:tcPr>
          <w:p w14:paraId="28A170BB"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8" w:type="dxa"/>
            <w:shd w:val="clear" w:color="auto" w:fill="C6EFCE"/>
            <w:noWrap/>
          </w:tcPr>
          <w:p w14:paraId="546E7625" w14:textId="77777777" w:rsidR="003E1D81" w:rsidRDefault="00EB481C">
            <w:pPr>
              <w:pStyle w:val="P68B1DB1-Normal13"/>
              <w:spacing w:after="0" w:line="240" w:lineRule="auto"/>
              <w:jc w:val="right"/>
              <w:rPr>
                <w:rFonts w:eastAsia="Times New Roman" w:cs="Times New Roman"/>
                <w:noProof/>
              </w:rPr>
            </w:pPr>
            <w:r>
              <w:rPr>
                <w:noProof/>
              </w:rPr>
              <w:t>0</w:t>
            </w:r>
          </w:p>
        </w:tc>
        <w:tc>
          <w:tcPr>
            <w:tcW w:w="710" w:type="dxa"/>
            <w:shd w:val="clear" w:color="auto" w:fill="C6EFCE"/>
            <w:noWrap/>
          </w:tcPr>
          <w:p w14:paraId="2CB75CD5" w14:textId="77777777" w:rsidR="003E1D81" w:rsidRDefault="00EB481C">
            <w:pPr>
              <w:pStyle w:val="P68B1DB1-Normal13"/>
              <w:spacing w:after="0" w:line="240" w:lineRule="auto"/>
              <w:jc w:val="right"/>
              <w:rPr>
                <w:rFonts w:eastAsia="Times New Roman" w:cs="Times New Roman"/>
                <w:noProof/>
              </w:rPr>
            </w:pPr>
            <w:r>
              <w:rPr>
                <w:noProof/>
              </w:rPr>
              <w:t>75</w:t>
            </w:r>
          </w:p>
        </w:tc>
        <w:tc>
          <w:tcPr>
            <w:tcW w:w="427" w:type="dxa"/>
            <w:shd w:val="clear" w:color="auto" w:fill="C6EFCE"/>
            <w:noWrap/>
          </w:tcPr>
          <w:p w14:paraId="117126BB"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8" w:type="dxa"/>
            <w:shd w:val="clear" w:color="auto" w:fill="C6EFCE"/>
            <w:noWrap/>
          </w:tcPr>
          <w:p w14:paraId="3CE7951F" w14:textId="77777777" w:rsidR="003E1D81" w:rsidRDefault="00EB481C">
            <w:pPr>
              <w:pStyle w:val="P68B1DB1-Normal13"/>
              <w:spacing w:after="0" w:line="240" w:lineRule="auto"/>
              <w:jc w:val="center"/>
              <w:rPr>
                <w:rFonts w:eastAsia="Times New Roman" w:cs="Times New Roman"/>
                <w:noProof/>
              </w:rPr>
            </w:pPr>
            <w:r>
              <w:rPr>
                <w:noProof/>
              </w:rPr>
              <w:t>2023</w:t>
            </w:r>
          </w:p>
        </w:tc>
        <w:tc>
          <w:tcPr>
            <w:tcW w:w="5683" w:type="dxa"/>
            <w:shd w:val="clear" w:color="auto" w:fill="C6EFCE"/>
            <w:noWrap/>
          </w:tcPr>
          <w:p w14:paraId="1B50A127" w14:textId="77777777" w:rsidR="003E1D81" w:rsidRDefault="00EB481C">
            <w:pPr>
              <w:pStyle w:val="P68B1DB1-Normal13"/>
              <w:spacing w:after="0" w:line="240" w:lineRule="auto"/>
              <w:rPr>
                <w:rFonts w:eastAsia="Times New Roman" w:cs="Times New Roman"/>
                <w:noProof/>
              </w:rPr>
            </w:pPr>
            <w:r>
              <w:rPr>
                <w:noProof/>
              </w:rPr>
              <w:t>A költségvetés legalább 75%-át olyan intézkedésekre kell fordítani, amelyek a polgárok digitális készségekkel kapcsolatos képzésére irányulnak.</w:t>
            </w:r>
          </w:p>
        </w:tc>
      </w:tr>
      <w:tr w:rsidR="003E1D81" w14:paraId="0513FA74" w14:textId="77777777">
        <w:trPr>
          <w:trHeight w:val="309"/>
        </w:trPr>
        <w:tc>
          <w:tcPr>
            <w:tcW w:w="711" w:type="dxa"/>
            <w:shd w:val="clear" w:color="auto" w:fill="C6EFCE"/>
            <w:noWrap/>
          </w:tcPr>
          <w:p w14:paraId="4B953DC2" w14:textId="77777777" w:rsidR="003E1D81" w:rsidRDefault="00EB481C">
            <w:pPr>
              <w:pStyle w:val="P68B1DB1-Normal13"/>
              <w:spacing w:after="0"/>
              <w:jc w:val="center"/>
              <w:rPr>
                <w:rFonts w:eastAsia="Times New Roman" w:cs="Times New Roman"/>
                <w:noProof/>
              </w:rPr>
            </w:pPr>
            <w:r>
              <w:rPr>
                <w:noProof/>
              </w:rPr>
              <w:t>287</w:t>
            </w:r>
          </w:p>
        </w:tc>
        <w:tc>
          <w:tcPr>
            <w:tcW w:w="818" w:type="dxa"/>
            <w:shd w:val="clear" w:color="auto" w:fill="C6EFCE"/>
            <w:noWrap/>
          </w:tcPr>
          <w:p w14:paraId="376F0F06" w14:textId="77777777" w:rsidR="003E1D81" w:rsidRDefault="00EB481C">
            <w:pPr>
              <w:pStyle w:val="P68B1DB1-Normal13"/>
              <w:spacing w:after="0"/>
              <w:jc w:val="center"/>
              <w:rPr>
                <w:rFonts w:eastAsia="Times New Roman" w:cs="Times New Roman"/>
                <w:noProof/>
              </w:rPr>
            </w:pPr>
            <w:r>
              <w:rPr>
                <w:noProof/>
              </w:rPr>
              <w:t>C19.I1</w:t>
            </w:r>
          </w:p>
        </w:tc>
        <w:tc>
          <w:tcPr>
            <w:tcW w:w="852" w:type="dxa"/>
            <w:shd w:val="clear" w:color="auto" w:fill="C6EFCE"/>
            <w:noWrap/>
          </w:tcPr>
          <w:p w14:paraId="3AA020F6" w14:textId="77777777" w:rsidR="003E1D81" w:rsidRDefault="00EB481C">
            <w:pPr>
              <w:pStyle w:val="P68B1DB1-Normal13"/>
              <w:spacing w:after="0"/>
              <w:jc w:val="center"/>
              <w:rPr>
                <w:rFonts w:eastAsia="Times New Roman" w:cs="Times New Roman"/>
                <w:noProof/>
              </w:rPr>
            </w:pPr>
            <w:r>
              <w:rPr>
                <w:noProof/>
              </w:rPr>
              <w:t>M</w:t>
            </w:r>
          </w:p>
        </w:tc>
        <w:tc>
          <w:tcPr>
            <w:tcW w:w="2700" w:type="dxa"/>
            <w:shd w:val="clear" w:color="auto" w:fill="C6EFCE"/>
            <w:noWrap/>
          </w:tcPr>
          <w:p w14:paraId="2C1D57A8" w14:textId="77777777" w:rsidR="003E1D81" w:rsidRDefault="00EB481C">
            <w:pPr>
              <w:pStyle w:val="P68B1DB1-Normal13"/>
              <w:spacing w:after="0"/>
              <w:rPr>
                <w:rFonts w:eastAsia="Times New Roman" w:cs="Times New Roman"/>
                <w:noProof/>
              </w:rPr>
            </w:pPr>
            <w:r>
              <w:rPr>
                <w:noProof/>
              </w:rPr>
              <w:t xml:space="preserve">A </w:t>
            </w:r>
            <w:r>
              <w:rPr>
                <w:noProof/>
              </w:rPr>
              <w:t>digitális képességek fejlesztését célzó intézkedések lezárása</w:t>
            </w:r>
          </w:p>
        </w:tc>
        <w:tc>
          <w:tcPr>
            <w:tcW w:w="1420" w:type="dxa"/>
            <w:shd w:val="clear" w:color="auto" w:fill="C6EFCE"/>
            <w:noWrap/>
          </w:tcPr>
          <w:p w14:paraId="7CB89D25" w14:textId="77777777" w:rsidR="003E1D81" w:rsidRDefault="00EB481C">
            <w:pPr>
              <w:pStyle w:val="P68B1DB1-Normal13"/>
              <w:spacing w:after="0"/>
              <w:jc w:val="center"/>
              <w:rPr>
                <w:rFonts w:eastAsia="Times New Roman" w:cs="Times New Roman"/>
                <w:noProof/>
              </w:rPr>
            </w:pPr>
            <w:r>
              <w:rPr>
                <w:noProof/>
              </w:rPr>
              <w:t>A nemzeti digitális képzési központok képesítési bizonyítványa</w:t>
            </w:r>
          </w:p>
        </w:tc>
        <w:tc>
          <w:tcPr>
            <w:tcW w:w="853" w:type="dxa"/>
            <w:shd w:val="clear" w:color="auto" w:fill="C6EFCE"/>
            <w:noWrap/>
          </w:tcPr>
          <w:p w14:paraId="5171A1D5" w14:textId="77777777" w:rsidR="003E1D81" w:rsidRDefault="00EB481C">
            <w:pPr>
              <w:pStyle w:val="P68B1DB1-Normal13"/>
              <w:spacing w:after="0"/>
              <w:jc w:val="center"/>
              <w:rPr>
                <w:rFonts w:eastAsia="Times New Roman" w:cs="Times New Roman"/>
                <w:noProof/>
              </w:rPr>
            </w:pPr>
            <w:r>
              <w:rPr>
                <w:noProof/>
              </w:rPr>
              <w:t> </w:t>
            </w:r>
          </w:p>
        </w:tc>
        <w:tc>
          <w:tcPr>
            <w:tcW w:w="568" w:type="dxa"/>
            <w:shd w:val="clear" w:color="auto" w:fill="C6EFCE"/>
            <w:noWrap/>
          </w:tcPr>
          <w:p w14:paraId="0F5A38EE" w14:textId="77777777" w:rsidR="003E1D81" w:rsidRDefault="00EB481C">
            <w:pPr>
              <w:pStyle w:val="P68B1DB1-Normal13"/>
              <w:spacing w:after="0"/>
              <w:jc w:val="right"/>
              <w:rPr>
                <w:rFonts w:eastAsia="Times New Roman" w:cs="Times New Roman"/>
                <w:noProof/>
              </w:rPr>
            </w:pPr>
            <w:r>
              <w:rPr>
                <w:noProof/>
              </w:rPr>
              <w:t> </w:t>
            </w:r>
          </w:p>
        </w:tc>
        <w:tc>
          <w:tcPr>
            <w:tcW w:w="710" w:type="dxa"/>
            <w:shd w:val="clear" w:color="auto" w:fill="C6EFCE"/>
            <w:noWrap/>
          </w:tcPr>
          <w:p w14:paraId="1346C00E" w14:textId="77777777" w:rsidR="003E1D81" w:rsidRDefault="00EB481C">
            <w:pPr>
              <w:pStyle w:val="P68B1DB1-Normal13"/>
              <w:spacing w:after="0"/>
              <w:jc w:val="right"/>
              <w:rPr>
                <w:rFonts w:eastAsia="Times New Roman" w:cs="Times New Roman"/>
                <w:noProof/>
              </w:rPr>
            </w:pPr>
            <w:r>
              <w:rPr>
                <w:noProof/>
              </w:rPr>
              <w:t> </w:t>
            </w:r>
          </w:p>
        </w:tc>
        <w:tc>
          <w:tcPr>
            <w:tcW w:w="427" w:type="dxa"/>
            <w:shd w:val="clear" w:color="auto" w:fill="C6EFCE"/>
            <w:noWrap/>
          </w:tcPr>
          <w:p w14:paraId="1C429867" w14:textId="77777777" w:rsidR="003E1D81" w:rsidRDefault="00EB481C">
            <w:pPr>
              <w:pStyle w:val="P68B1DB1-Normal13"/>
              <w:spacing w:after="0"/>
              <w:jc w:val="center"/>
              <w:rPr>
                <w:rFonts w:eastAsia="Times New Roman" w:cs="Times New Roman"/>
                <w:noProof/>
              </w:rPr>
            </w:pPr>
            <w:r>
              <w:rPr>
                <w:noProof/>
              </w:rPr>
              <w:t>NEGYEDÉV</w:t>
            </w:r>
          </w:p>
        </w:tc>
        <w:tc>
          <w:tcPr>
            <w:tcW w:w="568" w:type="dxa"/>
            <w:shd w:val="clear" w:color="auto" w:fill="C6EFCE"/>
            <w:noWrap/>
          </w:tcPr>
          <w:p w14:paraId="41DD6D8D" w14:textId="77777777" w:rsidR="003E1D81" w:rsidRDefault="00EB481C">
            <w:pPr>
              <w:pStyle w:val="P68B1DB1-Normal13"/>
              <w:spacing w:after="0"/>
              <w:jc w:val="center"/>
              <w:rPr>
                <w:rFonts w:eastAsia="Times New Roman" w:cs="Times New Roman"/>
                <w:noProof/>
              </w:rPr>
            </w:pPr>
            <w:r>
              <w:rPr>
                <w:noProof/>
              </w:rPr>
              <w:t>2024</w:t>
            </w:r>
          </w:p>
        </w:tc>
        <w:tc>
          <w:tcPr>
            <w:tcW w:w="5683" w:type="dxa"/>
            <w:shd w:val="clear" w:color="auto" w:fill="C6EFCE"/>
            <w:noWrap/>
          </w:tcPr>
          <w:p w14:paraId="66C094A9" w14:textId="77777777" w:rsidR="003E1D81" w:rsidRDefault="00EB481C">
            <w:pPr>
              <w:pStyle w:val="P68B1DB1-Normal13"/>
              <w:spacing w:after="0"/>
              <w:rPr>
                <w:rFonts w:eastAsia="Times New Roman" w:cs="Times New Roman"/>
                <w:noProof/>
              </w:rPr>
            </w:pPr>
            <w:r>
              <w:rPr>
                <w:noProof/>
              </w:rPr>
              <w:t xml:space="preserve">A digitális készségek nemzeti hálózatának létrehozása (beleértve 1500 szakmai képzési központ reformját), </w:t>
            </w:r>
            <w:r>
              <w:rPr>
                <w:noProof/>
              </w:rPr>
              <w:t>valamint figyelemfelhívó kampányok és kommunikációs tervek végrehajtása</w:t>
            </w:r>
          </w:p>
        </w:tc>
      </w:tr>
      <w:tr w:rsidR="003E1D81" w14:paraId="48159E20" w14:textId="77777777">
        <w:trPr>
          <w:trHeight w:val="309"/>
        </w:trPr>
        <w:tc>
          <w:tcPr>
            <w:tcW w:w="711" w:type="dxa"/>
            <w:shd w:val="clear" w:color="auto" w:fill="C6EFCE"/>
            <w:noWrap/>
          </w:tcPr>
          <w:p w14:paraId="6A7BEC8F" w14:textId="77777777" w:rsidR="003E1D81" w:rsidRDefault="00EB481C">
            <w:pPr>
              <w:pStyle w:val="P68B1DB1-Normal13"/>
              <w:spacing w:after="0" w:line="240" w:lineRule="auto"/>
              <w:jc w:val="center"/>
              <w:rPr>
                <w:rFonts w:eastAsia="Times New Roman" w:cs="Times New Roman"/>
                <w:noProof/>
              </w:rPr>
            </w:pPr>
            <w:r>
              <w:rPr>
                <w:noProof/>
              </w:rPr>
              <w:t>288</w:t>
            </w:r>
          </w:p>
        </w:tc>
        <w:tc>
          <w:tcPr>
            <w:tcW w:w="818" w:type="dxa"/>
            <w:shd w:val="clear" w:color="auto" w:fill="C6EFCE"/>
            <w:noWrap/>
          </w:tcPr>
          <w:p w14:paraId="2F2F2189" w14:textId="77777777" w:rsidR="003E1D81" w:rsidRDefault="00EB481C">
            <w:pPr>
              <w:pStyle w:val="P68B1DB1-Normal13"/>
              <w:spacing w:after="0" w:line="240" w:lineRule="auto"/>
              <w:jc w:val="center"/>
              <w:rPr>
                <w:rFonts w:eastAsia="Times New Roman" w:cs="Times New Roman"/>
                <w:noProof/>
              </w:rPr>
            </w:pPr>
            <w:r>
              <w:rPr>
                <w:noProof/>
              </w:rPr>
              <w:t>C19.I1</w:t>
            </w:r>
          </w:p>
        </w:tc>
        <w:tc>
          <w:tcPr>
            <w:tcW w:w="852" w:type="dxa"/>
            <w:shd w:val="clear" w:color="auto" w:fill="C6EFCE"/>
            <w:noWrap/>
          </w:tcPr>
          <w:p w14:paraId="3E265AB6" w14:textId="77777777" w:rsidR="003E1D81" w:rsidRDefault="00EB481C">
            <w:pPr>
              <w:pStyle w:val="P68B1DB1-Normal13"/>
              <w:spacing w:after="0" w:line="240" w:lineRule="auto"/>
              <w:jc w:val="center"/>
              <w:rPr>
                <w:rFonts w:eastAsia="Times New Roman" w:cs="Times New Roman"/>
                <w:noProof/>
              </w:rPr>
            </w:pPr>
            <w:r>
              <w:rPr>
                <w:noProof/>
              </w:rPr>
              <w:t>T</w:t>
            </w:r>
          </w:p>
        </w:tc>
        <w:tc>
          <w:tcPr>
            <w:tcW w:w="2700" w:type="dxa"/>
            <w:shd w:val="clear" w:color="auto" w:fill="C6EFCE"/>
            <w:noWrap/>
          </w:tcPr>
          <w:p w14:paraId="6072DF11" w14:textId="77777777" w:rsidR="003E1D81" w:rsidRDefault="00EB481C">
            <w:pPr>
              <w:pStyle w:val="P68B1DB1-Normal13"/>
              <w:spacing w:after="0" w:line="240" w:lineRule="auto"/>
              <w:rPr>
                <w:rFonts w:eastAsia="Times New Roman" w:cs="Times New Roman"/>
                <w:noProof/>
              </w:rPr>
            </w:pPr>
            <w:r>
              <w:rPr>
                <w:noProof/>
              </w:rPr>
              <w:t>A polgárok digitális készségekkel kapcsolatos képzése.</w:t>
            </w:r>
          </w:p>
        </w:tc>
        <w:tc>
          <w:tcPr>
            <w:tcW w:w="1420" w:type="dxa"/>
            <w:shd w:val="clear" w:color="auto" w:fill="C6EFCE"/>
            <w:noWrap/>
          </w:tcPr>
          <w:p w14:paraId="31E47F0B" w14:textId="77777777" w:rsidR="003E1D81" w:rsidRDefault="00EB481C">
            <w:pPr>
              <w:pStyle w:val="P68B1DB1-Normal13"/>
              <w:spacing w:after="0" w:line="240" w:lineRule="auto"/>
              <w:jc w:val="center"/>
              <w:rPr>
                <w:rFonts w:eastAsia="Times New Roman" w:cs="Times New Roman"/>
                <w:noProof/>
              </w:rPr>
            </w:pPr>
            <w:r>
              <w:rPr>
                <w:noProof/>
              </w:rPr>
              <w:t>–</w:t>
            </w:r>
          </w:p>
        </w:tc>
        <w:tc>
          <w:tcPr>
            <w:tcW w:w="853" w:type="dxa"/>
            <w:shd w:val="clear" w:color="auto" w:fill="C6EFCE"/>
            <w:noWrap/>
          </w:tcPr>
          <w:p w14:paraId="25EAAA1B"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568" w:type="dxa"/>
            <w:shd w:val="clear" w:color="auto" w:fill="C6EFCE"/>
            <w:noWrap/>
          </w:tcPr>
          <w:p w14:paraId="368C90DF" w14:textId="77777777" w:rsidR="003E1D81" w:rsidRDefault="00EB481C">
            <w:pPr>
              <w:pStyle w:val="P68B1DB1-Normal13"/>
              <w:spacing w:after="0" w:line="240" w:lineRule="auto"/>
              <w:jc w:val="right"/>
              <w:rPr>
                <w:rFonts w:eastAsia="Times New Roman" w:cs="Times New Roman"/>
                <w:noProof/>
              </w:rPr>
            </w:pPr>
            <w:r>
              <w:rPr>
                <w:noProof/>
              </w:rPr>
              <w:t>0</w:t>
            </w:r>
          </w:p>
        </w:tc>
        <w:tc>
          <w:tcPr>
            <w:tcW w:w="710" w:type="dxa"/>
            <w:shd w:val="clear" w:color="auto" w:fill="C6EFCE"/>
            <w:noWrap/>
          </w:tcPr>
          <w:p w14:paraId="499E844B" w14:textId="77777777" w:rsidR="003E1D81" w:rsidRDefault="00EB481C">
            <w:pPr>
              <w:pStyle w:val="P68B1DB1-Normal13"/>
              <w:spacing w:after="0" w:line="240" w:lineRule="auto"/>
              <w:jc w:val="right"/>
              <w:rPr>
                <w:rFonts w:eastAsia="Times New Roman" w:cs="Times New Roman"/>
                <w:noProof/>
              </w:rPr>
            </w:pPr>
            <w:r>
              <w:rPr>
                <w:noProof/>
              </w:rPr>
              <w:t xml:space="preserve">2 600 000 </w:t>
            </w:r>
          </w:p>
        </w:tc>
        <w:tc>
          <w:tcPr>
            <w:tcW w:w="427" w:type="dxa"/>
            <w:shd w:val="clear" w:color="auto" w:fill="C6EFCE"/>
            <w:noWrap/>
          </w:tcPr>
          <w:p w14:paraId="6145FD72" w14:textId="684D0812" w:rsidR="003E1D81" w:rsidRDefault="00EB481C">
            <w:pPr>
              <w:pStyle w:val="P68B1DB1-Normal13"/>
              <w:rPr>
                <w:rFonts w:cs="Times New Roman"/>
                <w:noProof/>
              </w:rPr>
            </w:pPr>
            <w:r>
              <w:rPr>
                <w:noProof/>
              </w:rPr>
              <w:t>KÉRDÉS</w:t>
            </w:r>
          </w:p>
        </w:tc>
        <w:tc>
          <w:tcPr>
            <w:tcW w:w="568" w:type="dxa"/>
            <w:shd w:val="clear" w:color="auto" w:fill="C6EFCE"/>
            <w:noWrap/>
          </w:tcPr>
          <w:p w14:paraId="5518F433" w14:textId="6E3B8EFA" w:rsidR="003E1D81" w:rsidRDefault="00EB481C">
            <w:pPr>
              <w:pStyle w:val="P68B1DB1-Normal13"/>
              <w:spacing w:after="0" w:line="240" w:lineRule="auto"/>
              <w:jc w:val="center"/>
              <w:rPr>
                <w:rFonts w:eastAsia="Times New Roman" w:cs="Times New Roman"/>
                <w:noProof/>
              </w:rPr>
            </w:pPr>
            <w:r>
              <w:rPr>
                <w:noProof/>
              </w:rPr>
              <w:t>2026</w:t>
            </w:r>
          </w:p>
        </w:tc>
        <w:tc>
          <w:tcPr>
            <w:tcW w:w="5683" w:type="dxa"/>
            <w:shd w:val="clear" w:color="auto" w:fill="C6EFCE"/>
            <w:noWrap/>
          </w:tcPr>
          <w:p w14:paraId="395D370C" w14:textId="7DE8F0FF" w:rsidR="003E1D81" w:rsidRDefault="00EB481C">
            <w:pPr>
              <w:pStyle w:val="P68B1DB1-Normal13"/>
              <w:spacing w:after="0" w:line="240" w:lineRule="auto"/>
              <w:rPr>
                <w:rFonts w:eastAsia="Times New Roman" w:cs="Times New Roman"/>
                <w:noProof/>
              </w:rPr>
            </w:pPr>
            <w:r>
              <w:rPr>
                <w:noProof/>
              </w:rPr>
              <w:t xml:space="preserve">Az intézkedés keretében végrehajtott fellépéseknek megfelelően 2600000 polgár részesült képzésben a digitális készségek terén. A képzéseknek legalább 7,5 órának kell lenniük. </w:t>
            </w:r>
          </w:p>
        </w:tc>
      </w:tr>
      <w:tr w:rsidR="003E1D81" w14:paraId="0525C8BE" w14:textId="77777777">
        <w:trPr>
          <w:trHeight w:val="309"/>
        </w:trPr>
        <w:tc>
          <w:tcPr>
            <w:tcW w:w="711" w:type="dxa"/>
            <w:shd w:val="clear" w:color="auto" w:fill="C6EFCE"/>
            <w:noWrap/>
          </w:tcPr>
          <w:p w14:paraId="00601881" w14:textId="77777777" w:rsidR="003E1D81" w:rsidRDefault="00EB481C">
            <w:pPr>
              <w:pStyle w:val="P68B1DB1-Normal13"/>
              <w:spacing w:after="0" w:line="240" w:lineRule="auto"/>
              <w:jc w:val="center"/>
              <w:rPr>
                <w:rFonts w:eastAsia="Times New Roman" w:cs="Times New Roman"/>
                <w:noProof/>
              </w:rPr>
            </w:pPr>
            <w:r>
              <w:rPr>
                <w:noProof/>
              </w:rPr>
              <w:t>289</w:t>
            </w:r>
          </w:p>
        </w:tc>
        <w:tc>
          <w:tcPr>
            <w:tcW w:w="818" w:type="dxa"/>
            <w:shd w:val="clear" w:color="auto" w:fill="C6EFCE"/>
            <w:noWrap/>
          </w:tcPr>
          <w:p w14:paraId="0198CF67" w14:textId="77777777" w:rsidR="003E1D81" w:rsidRDefault="00EB481C">
            <w:pPr>
              <w:pStyle w:val="P68B1DB1-Normal13"/>
              <w:spacing w:after="0" w:line="240" w:lineRule="auto"/>
              <w:jc w:val="center"/>
              <w:rPr>
                <w:rFonts w:eastAsia="Times New Roman" w:cs="Times New Roman"/>
                <w:noProof/>
              </w:rPr>
            </w:pPr>
            <w:r>
              <w:rPr>
                <w:noProof/>
              </w:rPr>
              <w:t>C19.I2</w:t>
            </w:r>
          </w:p>
        </w:tc>
        <w:tc>
          <w:tcPr>
            <w:tcW w:w="852" w:type="dxa"/>
            <w:shd w:val="clear" w:color="auto" w:fill="C6EFCE"/>
            <w:noWrap/>
          </w:tcPr>
          <w:p w14:paraId="5E596148" w14:textId="77777777" w:rsidR="003E1D81" w:rsidRDefault="00EB481C">
            <w:pPr>
              <w:pStyle w:val="P68B1DB1-Normal13"/>
              <w:spacing w:after="0" w:line="240" w:lineRule="auto"/>
              <w:jc w:val="center"/>
              <w:rPr>
                <w:rFonts w:eastAsia="Times New Roman" w:cs="Times New Roman"/>
                <w:noProof/>
              </w:rPr>
            </w:pPr>
            <w:r>
              <w:rPr>
                <w:noProof/>
              </w:rPr>
              <w:t>M</w:t>
            </w:r>
          </w:p>
        </w:tc>
        <w:tc>
          <w:tcPr>
            <w:tcW w:w="2700" w:type="dxa"/>
            <w:shd w:val="clear" w:color="auto" w:fill="C6EFCE"/>
            <w:noWrap/>
          </w:tcPr>
          <w:p w14:paraId="25F5FE95" w14:textId="77777777" w:rsidR="003E1D81" w:rsidRDefault="00EB481C">
            <w:pPr>
              <w:pStyle w:val="P68B1DB1-Normal13"/>
              <w:spacing w:after="0" w:line="240" w:lineRule="auto"/>
              <w:rPr>
                <w:rFonts w:eastAsia="Times New Roman" w:cs="Times New Roman"/>
                <w:noProof/>
              </w:rPr>
            </w:pPr>
            <w:r>
              <w:rPr>
                <w:noProof/>
              </w:rPr>
              <w:t xml:space="preserve">Program az állami és államilag támogatott iskolák digitális </w:t>
            </w:r>
            <w:r>
              <w:rPr>
                <w:noProof/>
              </w:rPr>
              <w:t>eszközökkel való ellátására</w:t>
            </w:r>
          </w:p>
        </w:tc>
        <w:tc>
          <w:tcPr>
            <w:tcW w:w="1420" w:type="dxa"/>
            <w:shd w:val="clear" w:color="auto" w:fill="C6EFCE"/>
            <w:noWrap/>
          </w:tcPr>
          <w:p w14:paraId="693456BE" w14:textId="77777777" w:rsidR="003E1D81" w:rsidRDefault="00EB481C">
            <w:pPr>
              <w:pStyle w:val="P68B1DB1-Normal13"/>
              <w:spacing w:after="0" w:line="240" w:lineRule="auto"/>
              <w:jc w:val="center"/>
              <w:rPr>
                <w:rFonts w:eastAsia="Times New Roman" w:cs="Times New Roman"/>
                <w:noProof/>
              </w:rPr>
            </w:pPr>
            <w:r>
              <w:rPr>
                <w:noProof/>
              </w:rPr>
              <w:t>Közzététel a Hivatalos Lapban</w:t>
            </w:r>
          </w:p>
        </w:tc>
        <w:tc>
          <w:tcPr>
            <w:tcW w:w="853" w:type="dxa"/>
            <w:shd w:val="clear" w:color="auto" w:fill="C6EFCE"/>
            <w:noWrap/>
          </w:tcPr>
          <w:p w14:paraId="17F0B535"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8" w:type="dxa"/>
            <w:shd w:val="clear" w:color="auto" w:fill="C6EFCE"/>
            <w:noWrap/>
          </w:tcPr>
          <w:p w14:paraId="0864613D"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10" w:type="dxa"/>
            <w:shd w:val="clear" w:color="auto" w:fill="C6EFCE"/>
            <w:noWrap/>
          </w:tcPr>
          <w:p w14:paraId="0DF3105E" w14:textId="77777777" w:rsidR="003E1D81" w:rsidRDefault="00EB481C">
            <w:pPr>
              <w:pStyle w:val="P68B1DB1-Normal13"/>
              <w:spacing w:after="0" w:line="240" w:lineRule="auto"/>
              <w:rPr>
                <w:rFonts w:eastAsia="Times New Roman" w:cs="Times New Roman"/>
                <w:noProof/>
              </w:rPr>
            </w:pPr>
            <w:r>
              <w:rPr>
                <w:noProof/>
              </w:rPr>
              <w:t xml:space="preserve"> </w:t>
            </w:r>
          </w:p>
        </w:tc>
        <w:tc>
          <w:tcPr>
            <w:tcW w:w="427" w:type="dxa"/>
            <w:shd w:val="clear" w:color="auto" w:fill="C6EFCE"/>
            <w:noWrap/>
          </w:tcPr>
          <w:p w14:paraId="40C7AA42"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8" w:type="dxa"/>
            <w:shd w:val="clear" w:color="auto" w:fill="C6EFCE"/>
            <w:noWrap/>
          </w:tcPr>
          <w:p w14:paraId="46DB8416" w14:textId="77777777" w:rsidR="003E1D81" w:rsidRDefault="00EB481C">
            <w:pPr>
              <w:pStyle w:val="P68B1DB1-Normal13"/>
              <w:spacing w:after="0" w:line="240" w:lineRule="auto"/>
              <w:jc w:val="center"/>
              <w:rPr>
                <w:rFonts w:eastAsia="Times New Roman" w:cs="Times New Roman"/>
                <w:noProof/>
              </w:rPr>
            </w:pPr>
            <w:r>
              <w:rPr>
                <w:noProof/>
              </w:rPr>
              <w:t>2021</w:t>
            </w:r>
          </w:p>
        </w:tc>
        <w:tc>
          <w:tcPr>
            <w:tcW w:w="5683" w:type="dxa"/>
            <w:shd w:val="clear" w:color="auto" w:fill="C6EFCE"/>
            <w:noWrap/>
          </w:tcPr>
          <w:p w14:paraId="6E671F39" w14:textId="77777777" w:rsidR="003E1D81" w:rsidRDefault="00EB481C">
            <w:pPr>
              <w:pStyle w:val="P68B1DB1-Normal13"/>
              <w:spacing w:after="0" w:line="240" w:lineRule="auto"/>
              <w:rPr>
                <w:rFonts w:eastAsia="Times New Roman" w:cs="Times New Roman"/>
                <w:noProof/>
              </w:rPr>
            </w:pPr>
            <w:r>
              <w:rPr>
                <w:noProof/>
              </w:rPr>
              <w:t>Legalább 240000 osztályterem felszerelésére, 700000 tanár képzésére és a digitális stratégia előkészítésére vagy felülvizsgálatára irányuló program jóváhagyása legalább 22000 áll</w:t>
            </w:r>
            <w:r>
              <w:rPr>
                <w:noProof/>
              </w:rPr>
              <w:t>ami és államilag támogatott iskolaközpont számára, valamint 300000 összekapcsolt digitális eszköz (laptopok, táblagépek) biztosítása állami és államilag támogatott iskolákban, az autonóm közösségekkel együttműködésben. A program kötelező az autonóm közössé</w:t>
            </w:r>
            <w:r>
              <w:rPr>
                <w:noProof/>
              </w:rPr>
              <w:t>gekre nézve.</w:t>
            </w:r>
          </w:p>
        </w:tc>
      </w:tr>
      <w:tr w:rsidR="003E1D81" w14:paraId="035D1F4E" w14:textId="77777777">
        <w:trPr>
          <w:trHeight w:val="309"/>
        </w:trPr>
        <w:tc>
          <w:tcPr>
            <w:tcW w:w="711" w:type="dxa"/>
            <w:shd w:val="clear" w:color="auto" w:fill="C6EFCE"/>
            <w:noWrap/>
          </w:tcPr>
          <w:p w14:paraId="1592DE65" w14:textId="77777777" w:rsidR="003E1D81" w:rsidRDefault="00EB481C">
            <w:pPr>
              <w:pStyle w:val="P68B1DB1-Normal13"/>
              <w:spacing w:after="0" w:line="240" w:lineRule="auto"/>
              <w:jc w:val="center"/>
              <w:rPr>
                <w:rFonts w:eastAsia="Times New Roman" w:cs="Times New Roman"/>
                <w:noProof/>
              </w:rPr>
            </w:pPr>
            <w:r>
              <w:rPr>
                <w:noProof/>
              </w:rPr>
              <w:t>290</w:t>
            </w:r>
          </w:p>
        </w:tc>
        <w:tc>
          <w:tcPr>
            <w:tcW w:w="818" w:type="dxa"/>
            <w:shd w:val="clear" w:color="auto" w:fill="C6EFCE"/>
            <w:noWrap/>
          </w:tcPr>
          <w:p w14:paraId="3E6A731A" w14:textId="77777777" w:rsidR="003E1D81" w:rsidRDefault="00EB481C">
            <w:pPr>
              <w:pStyle w:val="P68B1DB1-Normal13"/>
              <w:spacing w:after="0" w:line="240" w:lineRule="auto"/>
              <w:jc w:val="center"/>
              <w:rPr>
                <w:rFonts w:eastAsia="Times New Roman" w:cs="Times New Roman"/>
                <w:noProof/>
              </w:rPr>
            </w:pPr>
            <w:r>
              <w:rPr>
                <w:noProof/>
              </w:rPr>
              <w:t>C19.I2</w:t>
            </w:r>
          </w:p>
        </w:tc>
        <w:tc>
          <w:tcPr>
            <w:tcW w:w="852" w:type="dxa"/>
            <w:shd w:val="clear" w:color="auto" w:fill="C6EFCE"/>
            <w:noWrap/>
          </w:tcPr>
          <w:p w14:paraId="14CE7EF2" w14:textId="77777777" w:rsidR="003E1D81" w:rsidRDefault="00EB481C">
            <w:pPr>
              <w:pStyle w:val="P68B1DB1-Normal13"/>
              <w:spacing w:after="0" w:line="240" w:lineRule="auto"/>
              <w:jc w:val="center"/>
              <w:rPr>
                <w:rFonts w:eastAsia="Times New Roman" w:cs="Times New Roman"/>
                <w:noProof/>
              </w:rPr>
            </w:pPr>
            <w:r>
              <w:rPr>
                <w:noProof/>
              </w:rPr>
              <w:t>M</w:t>
            </w:r>
          </w:p>
        </w:tc>
        <w:tc>
          <w:tcPr>
            <w:tcW w:w="2700" w:type="dxa"/>
            <w:shd w:val="clear" w:color="auto" w:fill="C6EFCE"/>
            <w:noWrap/>
          </w:tcPr>
          <w:p w14:paraId="50E8BCDD" w14:textId="77777777" w:rsidR="003E1D81" w:rsidRDefault="00EB481C">
            <w:pPr>
              <w:pStyle w:val="P68B1DB1-Normal13"/>
              <w:spacing w:after="0" w:line="240" w:lineRule="auto"/>
              <w:rPr>
                <w:rFonts w:eastAsia="Times New Roman" w:cs="Times New Roman"/>
                <w:noProof/>
              </w:rPr>
            </w:pPr>
            <w:r>
              <w:rPr>
                <w:noProof/>
              </w:rPr>
              <w:t>Az oktatás digitális átalakítását célzó intézkedések lezárása</w:t>
            </w:r>
          </w:p>
        </w:tc>
        <w:tc>
          <w:tcPr>
            <w:tcW w:w="1420" w:type="dxa"/>
            <w:shd w:val="clear" w:color="auto" w:fill="C6EFCE"/>
            <w:noWrap/>
          </w:tcPr>
          <w:p w14:paraId="0BA257E9" w14:textId="77777777" w:rsidR="003E1D81" w:rsidRDefault="00EB481C">
            <w:pPr>
              <w:pStyle w:val="P68B1DB1-Normal13"/>
              <w:spacing w:after="0" w:line="240" w:lineRule="auto"/>
              <w:jc w:val="center"/>
              <w:rPr>
                <w:rFonts w:eastAsia="Times New Roman" w:cs="Times New Roman"/>
                <w:noProof/>
              </w:rPr>
            </w:pPr>
            <w:r>
              <w:rPr>
                <w:noProof/>
              </w:rPr>
              <w:t>Az állami és regionális közigazgatás tanúsítása</w:t>
            </w:r>
          </w:p>
        </w:tc>
        <w:tc>
          <w:tcPr>
            <w:tcW w:w="853" w:type="dxa"/>
            <w:shd w:val="clear" w:color="auto" w:fill="C6EFCE"/>
            <w:noWrap/>
          </w:tcPr>
          <w:p w14:paraId="6E132F27" w14:textId="77777777" w:rsidR="003E1D81" w:rsidRDefault="00EB481C">
            <w:pPr>
              <w:pStyle w:val="P68B1DB1-Normal13"/>
              <w:spacing w:after="0" w:line="240" w:lineRule="auto"/>
              <w:jc w:val="center"/>
              <w:rPr>
                <w:rFonts w:eastAsia="Times New Roman" w:cs="Times New Roman"/>
                <w:noProof/>
              </w:rPr>
            </w:pPr>
            <w:r>
              <w:rPr>
                <w:noProof/>
              </w:rPr>
              <w:t> </w:t>
            </w:r>
          </w:p>
        </w:tc>
        <w:tc>
          <w:tcPr>
            <w:tcW w:w="568" w:type="dxa"/>
            <w:shd w:val="clear" w:color="auto" w:fill="C6EFCE"/>
            <w:noWrap/>
          </w:tcPr>
          <w:p w14:paraId="7104DD22" w14:textId="77777777" w:rsidR="003E1D81" w:rsidRDefault="00EB481C">
            <w:pPr>
              <w:pStyle w:val="P68B1DB1-Normal13"/>
              <w:spacing w:after="0" w:line="240" w:lineRule="auto"/>
              <w:jc w:val="right"/>
              <w:rPr>
                <w:rFonts w:eastAsia="Times New Roman" w:cs="Times New Roman"/>
                <w:noProof/>
              </w:rPr>
            </w:pPr>
            <w:r>
              <w:rPr>
                <w:noProof/>
              </w:rPr>
              <w:t> </w:t>
            </w:r>
          </w:p>
        </w:tc>
        <w:tc>
          <w:tcPr>
            <w:tcW w:w="710" w:type="dxa"/>
            <w:shd w:val="clear" w:color="auto" w:fill="C6EFCE"/>
            <w:noWrap/>
          </w:tcPr>
          <w:p w14:paraId="62A445D4" w14:textId="77777777" w:rsidR="003E1D81" w:rsidRDefault="00EB481C">
            <w:pPr>
              <w:pStyle w:val="P68B1DB1-Normal13"/>
              <w:spacing w:after="0" w:line="240" w:lineRule="auto"/>
              <w:jc w:val="right"/>
              <w:rPr>
                <w:rFonts w:eastAsia="Times New Roman" w:cs="Times New Roman"/>
                <w:noProof/>
              </w:rPr>
            </w:pPr>
            <w:r>
              <w:rPr>
                <w:noProof/>
              </w:rPr>
              <w:t> </w:t>
            </w:r>
          </w:p>
        </w:tc>
        <w:tc>
          <w:tcPr>
            <w:tcW w:w="427" w:type="dxa"/>
            <w:shd w:val="clear" w:color="auto" w:fill="C6EFCE"/>
            <w:noWrap/>
          </w:tcPr>
          <w:p w14:paraId="5317C62F" w14:textId="6C72614B" w:rsidR="003E1D81" w:rsidRDefault="00EB481C">
            <w:pPr>
              <w:pStyle w:val="P68B1DB1-Normal13"/>
              <w:spacing w:after="0" w:line="240" w:lineRule="auto"/>
              <w:jc w:val="center"/>
              <w:rPr>
                <w:rFonts w:eastAsia="Times New Roman" w:cs="Times New Roman"/>
                <w:noProof/>
              </w:rPr>
            </w:pPr>
            <w:r>
              <w:rPr>
                <w:noProof/>
              </w:rPr>
              <w:t>NEGYEDÉV</w:t>
            </w:r>
          </w:p>
        </w:tc>
        <w:tc>
          <w:tcPr>
            <w:tcW w:w="568" w:type="dxa"/>
            <w:shd w:val="clear" w:color="auto" w:fill="C6EFCE"/>
            <w:noWrap/>
          </w:tcPr>
          <w:p w14:paraId="521ACFB1" w14:textId="7B0B616B" w:rsidR="003E1D81" w:rsidRDefault="00EB481C">
            <w:pPr>
              <w:pStyle w:val="P68B1DB1-Normal13"/>
              <w:spacing w:after="0" w:line="240" w:lineRule="auto"/>
              <w:jc w:val="center"/>
              <w:rPr>
                <w:rFonts w:eastAsia="Times New Roman" w:cs="Times New Roman"/>
                <w:noProof/>
              </w:rPr>
            </w:pPr>
            <w:r>
              <w:rPr>
                <w:noProof/>
              </w:rPr>
              <w:t>2025</w:t>
            </w:r>
          </w:p>
        </w:tc>
        <w:tc>
          <w:tcPr>
            <w:tcW w:w="5683" w:type="dxa"/>
            <w:shd w:val="clear" w:color="auto" w:fill="C6EFCE"/>
            <w:noWrap/>
          </w:tcPr>
          <w:p w14:paraId="699E923D" w14:textId="77777777" w:rsidR="003E1D81" w:rsidRDefault="00EB481C">
            <w:pPr>
              <w:pStyle w:val="P68B1DB1-Normal13"/>
              <w:spacing w:after="0" w:line="240" w:lineRule="auto"/>
              <w:rPr>
                <w:rFonts w:eastAsia="Times New Roman" w:cs="Times New Roman"/>
                <w:noProof/>
              </w:rPr>
            </w:pPr>
            <w:r>
              <w:rPr>
                <w:noProof/>
              </w:rPr>
              <w:t>Az oktatás digitális átalakítását célzó intézkedések befejezése, beleértve a digitális készségekre kiképzett 700000 tanár legalább 80%-ának digitális készségekre vonatkozó tanúsítását; és legalább 22000 központot támogatnak digitális stratégiáik előkészíté</w:t>
            </w:r>
            <w:r>
              <w:rPr>
                <w:noProof/>
              </w:rPr>
              <w:t xml:space="preserve">sében és felülvizsgálatában. </w:t>
            </w:r>
          </w:p>
        </w:tc>
      </w:tr>
      <w:tr w:rsidR="003E1D81" w14:paraId="72B5444C" w14:textId="77777777">
        <w:trPr>
          <w:trHeight w:val="309"/>
        </w:trPr>
        <w:tc>
          <w:tcPr>
            <w:tcW w:w="711" w:type="dxa"/>
            <w:tcBorders>
              <w:top w:val="single" w:sz="4" w:space="0" w:color="auto"/>
              <w:left w:val="single" w:sz="4" w:space="0" w:color="auto"/>
              <w:bottom w:val="single" w:sz="4" w:space="0" w:color="auto"/>
              <w:right w:val="single" w:sz="4" w:space="0" w:color="auto"/>
            </w:tcBorders>
            <w:shd w:val="clear" w:color="auto" w:fill="C6EFCE"/>
            <w:noWrap/>
          </w:tcPr>
          <w:p w14:paraId="2686B174" w14:textId="77777777" w:rsidR="003E1D81" w:rsidRDefault="00EB481C">
            <w:pPr>
              <w:pStyle w:val="P68B1DB1-Normal13"/>
              <w:spacing w:after="0" w:line="240" w:lineRule="auto"/>
              <w:jc w:val="center"/>
              <w:rPr>
                <w:rFonts w:cs="Times New Roman"/>
                <w:noProof/>
              </w:rPr>
            </w:pPr>
            <w:r>
              <w:rPr>
                <w:noProof/>
              </w:rPr>
              <w:t>291</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185278DF" w14:textId="77777777" w:rsidR="003E1D81" w:rsidRDefault="00EB481C">
            <w:pPr>
              <w:pStyle w:val="P68B1DB1-Normal13"/>
              <w:spacing w:after="0" w:line="240" w:lineRule="auto"/>
              <w:jc w:val="center"/>
              <w:rPr>
                <w:rFonts w:cs="Times New Roman"/>
                <w:noProof/>
              </w:rPr>
            </w:pPr>
            <w:r>
              <w:rPr>
                <w:noProof/>
              </w:rPr>
              <w:t>C19.I2</w:t>
            </w:r>
          </w:p>
        </w:tc>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2EF3D2A9" w14:textId="77777777" w:rsidR="003E1D81" w:rsidRDefault="00EB481C">
            <w:pPr>
              <w:pStyle w:val="P68B1DB1-Normal13"/>
              <w:spacing w:after="0" w:line="240" w:lineRule="auto"/>
              <w:jc w:val="center"/>
              <w:rPr>
                <w:rFonts w:cs="Times New Roman"/>
                <w:noProof/>
              </w:rPr>
            </w:pPr>
            <w:r>
              <w:rPr>
                <w:noProof/>
              </w:rPr>
              <w:t>T</w:t>
            </w:r>
          </w:p>
        </w:tc>
        <w:tc>
          <w:tcPr>
            <w:tcW w:w="2700" w:type="dxa"/>
            <w:tcBorders>
              <w:top w:val="single" w:sz="4" w:space="0" w:color="auto"/>
              <w:left w:val="single" w:sz="4" w:space="0" w:color="auto"/>
              <w:bottom w:val="single" w:sz="4" w:space="0" w:color="auto"/>
              <w:right w:val="single" w:sz="4" w:space="0" w:color="auto"/>
            </w:tcBorders>
            <w:shd w:val="clear" w:color="auto" w:fill="C6EFCE"/>
            <w:noWrap/>
          </w:tcPr>
          <w:p w14:paraId="5AE57A74" w14:textId="77777777" w:rsidR="003E1D81" w:rsidRDefault="00EB481C">
            <w:pPr>
              <w:pStyle w:val="P68B1DB1-Normal13"/>
              <w:spacing w:after="0" w:line="240" w:lineRule="auto"/>
              <w:rPr>
                <w:rFonts w:cs="Times New Roman"/>
                <w:noProof/>
              </w:rPr>
            </w:pPr>
            <w:r>
              <w:rPr>
                <w:noProof/>
              </w:rPr>
              <w:t>Összekapcsolt digitális eszközök biztosítása az állami és államilag támogatott iskolákban a „digitális szakadék” áthidalása érdekében, és legalább 240000 osztályterem felszerelése</w:t>
            </w:r>
          </w:p>
        </w:tc>
        <w:tc>
          <w:tcPr>
            <w:tcW w:w="1420" w:type="dxa"/>
            <w:tcBorders>
              <w:top w:val="single" w:sz="4" w:space="0" w:color="auto"/>
              <w:left w:val="single" w:sz="4" w:space="0" w:color="auto"/>
              <w:bottom w:val="single" w:sz="4" w:space="0" w:color="auto"/>
              <w:right w:val="single" w:sz="4" w:space="0" w:color="auto"/>
            </w:tcBorders>
            <w:shd w:val="clear" w:color="auto" w:fill="C6EFCE"/>
            <w:noWrap/>
          </w:tcPr>
          <w:p w14:paraId="3097A4E9" w14:textId="77777777" w:rsidR="003E1D81" w:rsidRDefault="00EB481C">
            <w:pPr>
              <w:pStyle w:val="P68B1DB1-Normal13"/>
              <w:spacing w:after="0" w:line="240" w:lineRule="auto"/>
              <w:jc w:val="center"/>
              <w:rPr>
                <w:rFonts w:cs="Times New Roman"/>
                <w:noProof/>
              </w:rPr>
            </w:pPr>
            <w:r>
              <w:rPr>
                <w:noProof/>
              </w:rPr>
              <w:t>–</w:t>
            </w:r>
          </w:p>
        </w:tc>
        <w:tc>
          <w:tcPr>
            <w:tcW w:w="853" w:type="dxa"/>
            <w:tcBorders>
              <w:top w:val="single" w:sz="4" w:space="0" w:color="auto"/>
              <w:left w:val="single" w:sz="4" w:space="0" w:color="auto"/>
              <w:bottom w:val="single" w:sz="4" w:space="0" w:color="auto"/>
              <w:right w:val="single" w:sz="4" w:space="0" w:color="auto"/>
            </w:tcBorders>
            <w:shd w:val="clear" w:color="auto" w:fill="C6EFCE"/>
            <w:noWrap/>
          </w:tcPr>
          <w:p w14:paraId="449E4048" w14:textId="77777777" w:rsidR="003E1D81" w:rsidRDefault="00EB481C">
            <w:pPr>
              <w:pStyle w:val="P68B1DB1-Normal13"/>
              <w:spacing w:after="0" w:line="240" w:lineRule="auto"/>
              <w:jc w:val="center"/>
              <w:rPr>
                <w:rFonts w:cs="Times New Roman"/>
                <w:noProof/>
              </w:rPr>
            </w:pPr>
            <w:r>
              <w:rPr>
                <w:noProof/>
              </w:rPr>
              <w:t>Szám</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0614E87F" w14:textId="77777777" w:rsidR="003E1D81" w:rsidRDefault="00EB481C">
            <w:pPr>
              <w:pStyle w:val="P68B1DB1-Normal13"/>
              <w:spacing w:after="0" w:line="240" w:lineRule="auto"/>
              <w:jc w:val="center"/>
              <w:rPr>
                <w:rFonts w:cs="Times New Roman"/>
                <w:noProof/>
              </w:rPr>
            </w:pPr>
            <w:r>
              <w:rPr>
                <w:noProof/>
              </w:rPr>
              <w:t>0</w:t>
            </w:r>
          </w:p>
        </w:tc>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6B27F78C" w14:textId="77777777" w:rsidR="003E1D81" w:rsidRDefault="00EB481C">
            <w:pPr>
              <w:pStyle w:val="P68B1DB1-Normal13"/>
              <w:spacing w:after="0" w:line="240" w:lineRule="auto"/>
              <w:jc w:val="right"/>
              <w:rPr>
                <w:rFonts w:cs="Times New Roman"/>
                <w:noProof/>
              </w:rPr>
            </w:pPr>
            <w:r>
              <w:rPr>
                <w:noProof/>
              </w:rPr>
              <w:t>540 000</w:t>
            </w:r>
          </w:p>
        </w:tc>
        <w:tc>
          <w:tcPr>
            <w:tcW w:w="427" w:type="dxa"/>
            <w:tcBorders>
              <w:top w:val="single" w:sz="4" w:space="0" w:color="auto"/>
              <w:left w:val="single" w:sz="4" w:space="0" w:color="auto"/>
              <w:bottom w:val="single" w:sz="4" w:space="0" w:color="auto"/>
              <w:right w:val="single" w:sz="4" w:space="0" w:color="auto"/>
            </w:tcBorders>
            <w:shd w:val="clear" w:color="auto" w:fill="C6EFCE"/>
            <w:noWrap/>
          </w:tcPr>
          <w:p w14:paraId="7750A487" w14:textId="77777777" w:rsidR="003E1D81" w:rsidRDefault="00EB481C">
            <w:pPr>
              <w:pStyle w:val="P68B1DB1-Normal13"/>
              <w:spacing w:after="0" w:line="240" w:lineRule="auto"/>
              <w:jc w:val="center"/>
              <w:rPr>
                <w:rFonts w:cs="Times New Roman"/>
                <w:noProof/>
              </w:rPr>
            </w:pPr>
            <w:r>
              <w:rPr>
                <w:noProof/>
              </w:rPr>
              <w:t>NEGYEDÉV</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6BC4B3D2" w14:textId="77777777" w:rsidR="003E1D81" w:rsidRDefault="00EB481C">
            <w:pPr>
              <w:pStyle w:val="P68B1DB1-Normal13"/>
              <w:spacing w:after="0" w:line="240" w:lineRule="auto"/>
              <w:jc w:val="center"/>
              <w:rPr>
                <w:rFonts w:cs="Times New Roman"/>
                <w:noProof/>
              </w:rPr>
            </w:pPr>
            <w:r>
              <w:rPr>
                <w:noProof/>
              </w:rPr>
              <w:t>2025</w:t>
            </w:r>
          </w:p>
        </w:tc>
        <w:tc>
          <w:tcPr>
            <w:tcW w:w="5683" w:type="dxa"/>
            <w:tcBorders>
              <w:top w:val="single" w:sz="4" w:space="0" w:color="auto"/>
              <w:left w:val="single" w:sz="4" w:space="0" w:color="auto"/>
              <w:bottom w:val="single" w:sz="4" w:space="0" w:color="auto"/>
              <w:right w:val="single" w:sz="4" w:space="0" w:color="auto"/>
            </w:tcBorders>
            <w:shd w:val="clear" w:color="auto" w:fill="C6EFCE"/>
            <w:noWrap/>
          </w:tcPr>
          <w:p w14:paraId="743364F7" w14:textId="77777777" w:rsidR="003E1D81" w:rsidRDefault="00EB481C">
            <w:pPr>
              <w:pStyle w:val="P68B1DB1-Normal13"/>
              <w:spacing w:after="0" w:line="240" w:lineRule="auto"/>
              <w:rPr>
                <w:rFonts w:cs="Times New Roman"/>
                <w:noProof/>
              </w:rPr>
            </w:pPr>
            <w:r>
              <w:rPr>
                <w:noProof/>
              </w:rPr>
              <w:t>Összekapcsolt és interaktív digitális eszközök biztosítása legalább 300000 diák számára, valamint berendezések biztosítása legalább 240000 osztályteremben az állami és államilag támogatott iskolákban a „digitális szakadék” áthidalása érdekében. Az állami é</w:t>
            </w:r>
            <w:r>
              <w:rPr>
                <w:noProof/>
              </w:rPr>
              <w:t>s regionális közigazgatási szervek tanúsítványai a berendezések beszerzéséről és szállításáról.</w:t>
            </w:r>
          </w:p>
        </w:tc>
      </w:tr>
      <w:tr w:rsidR="003E1D81" w14:paraId="39A90A99" w14:textId="77777777">
        <w:trPr>
          <w:trHeight w:val="309"/>
        </w:trPr>
        <w:tc>
          <w:tcPr>
            <w:tcW w:w="711" w:type="dxa"/>
            <w:shd w:val="clear" w:color="auto" w:fill="C6EFCE"/>
            <w:noWrap/>
          </w:tcPr>
          <w:p w14:paraId="2F0A1F75" w14:textId="77777777" w:rsidR="003E1D81" w:rsidRDefault="00EB481C">
            <w:pPr>
              <w:pStyle w:val="P68B1DB1-Normal13"/>
              <w:spacing w:after="0"/>
              <w:jc w:val="center"/>
              <w:rPr>
                <w:rFonts w:eastAsia="Times New Roman" w:cs="Times New Roman"/>
                <w:noProof/>
              </w:rPr>
            </w:pPr>
            <w:r>
              <w:rPr>
                <w:noProof/>
              </w:rPr>
              <w:t>292</w:t>
            </w:r>
          </w:p>
        </w:tc>
        <w:tc>
          <w:tcPr>
            <w:tcW w:w="818" w:type="dxa"/>
            <w:shd w:val="clear" w:color="auto" w:fill="C6EFCE"/>
            <w:noWrap/>
          </w:tcPr>
          <w:p w14:paraId="32658B1F" w14:textId="77777777" w:rsidR="003E1D81" w:rsidRDefault="00EB481C">
            <w:pPr>
              <w:pStyle w:val="P68B1DB1-Normal13"/>
              <w:spacing w:after="0"/>
              <w:jc w:val="center"/>
              <w:rPr>
                <w:rFonts w:eastAsia="Times New Roman" w:cs="Times New Roman"/>
                <w:noProof/>
              </w:rPr>
            </w:pPr>
            <w:r>
              <w:rPr>
                <w:noProof/>
              </w:rPr>
              <w:t>C19.I3</w:t>
            </w:r>
          </w:p>
        </w:tc>
        <w:tc>
          <w:tcPr>
            <w:tcW w:w="852" w:type="dxa"/>
            <w:shd w:val="clear" w:color="auto" w:fill="C6EFCE"/>
            <w:noWrap/>
          </w:tcPr>
          <w:p w14:paraId="7C96DFE7" w14:textId="77777777" w:rsidR="003E1D81" w:rsidRDefault="00EB481C">
            <w:pPr>
              <w:pStyle w:val="P68B1DB1-Normal13"/>
              <w:spacing w:after="0"/>
              <w:jc w:val="center"/>
              <w:rPr>
                <w:rFonts w:eastAsia="Times New Roman" w:cs="Times New Roman"/>
                <w:noProof/>
              </w:rPr>
            </w:pPr>
            <w:r>
              <w:rPr>
                <w:noProof/>
              </w:rPr>
              <w:t>T</w:t>
            </w:r>
          </w:p>
        </w:tc>
        <w:tc>
          <w:tcPr>
            <w:tcW w:w="2700" w:type="dxa"/>
            <w:shd w:val="clear" w:color="auto" w:fill="C6EFCE"/>
            <w:noWrap/>
          </w:tcPr>
          <w:p w14:paraId="4318913C" w14:textId="77777777" w:rsidR="003E1D81" w:rsidRDefault="00EB481C">
            <w:pPr>
              <w:pStyle w:val="P68B1DB1-Normal13"/>
              <w:spacing w:after="0"/>
              <w:rPr>
                <w:rFonts w:eastAsia="Times New Roman" w:cs="Times New Roman"/>
                <w:noProof/>
              </w:rPr>
            </w:pPr>
            <w:r>
              <w:rPr>
                <w:noProof/>
              </w:rPr>
              <w:t>Digitális képzés a foglalkoztatásért</w:t>
            </w:r>
          </w:p>
        </w:tc>
        <w:tc>
          <w:tcPr>
            <w:tcW w:w="1420" w:type="dxa"/>
            <w:shd w:val="clear" w:color="auto" w:fill="C6EFCE"/>
            <w:noWrap/>
          </w:tcPr>
          <w:p w14:paraId="20888F6E" w14:textId="77777777" w:rsidR="003E1D81" w:rsidRDefault="00EB481C">
            <w:pPr>
              <w:pStyle w:val="P68B1DB1-Normal13"/>
              <w:spacing w:after="0"/>
              <w:jc w:val="center"/>
              <w:rPr>
                <w:rFonts w:eastAsia="Times New Roman" w:cs="Times New Roman"/>
                <w:noProof/>
              </w:rPr>
            </w:pPr>
            <w:r>
              <w:rPr>
                <w:noProof/>
              </w:rPr>
              <w:t>–</w:t>
            </w:r>
          </w:p>
        </w:tc>
        <w:tc>
          <w:tcPr>
            <w:tcW w:w="853" w:type="dxa"/>
            <w:shd w:val="clear" w:color="auto" w:fill="C6EFCE"/>
            <w:noWrap/>
          </w:tcPr>
          <w:p w14:paraId="31F32044" w14:textId="77777777" w:rsidR="003E1D81" w:rsidRDefault="00EB481C">
            <w:pPr>
              <w:pStyle w:val="P68B1DB1-Normal13"/>
              <w:spacing w:after="0"/>
              <w:jc w:val="center"/>
              <w:rPr>
                <w:rFonts w:eastAsia="Times New Roman" w:cs="Times New Roman"/>
                <w:noProof/>
              </w:rPr>
            </w:pPr>
            <w:r>
              <w:rPr>
                <w:noProof/>
              </w:rPr>
              <w:t>Szám</w:t>
            </w:r>
          </w:p>
        </w:tc>
        <w:tc>
          <w:tcPr>
            <w:tcW w:w="568" w:type="dxa"/>
            <w:shd w:val="clear" w:color="auto" w:fill="C6EFCE"/>
            <w:noWrap/>
          </w:tcPr>
          <w:p w14:paraId="5729981C" w14:textId="77777777" w:rsidR="003E1D81" w:rsidRDefault="00EB481C">
            <w:pPr>
              <w:pStyle w:val="P68B1DB1-Normal13"/>
              <w:spacing w:after="0"/>
              <w:jc w:val="center"/>
              <w:rPr>
                <w:rFonts w:eastAsia="Times New Roman" w:cs="Times New Roman"/>
                <w:noProof/>
              </w:rPr>
            </w:pPr>
            <w:r>
              <w:rPr>
                <w:noProof/>
              </w:rPr>
              <w:t>0</w:t>
            </w:r>
          </w:p>
        </w:tc>
        <w:tc>
          <w:tcPr>
            <w:tcW w:w="710" w:type="dxa"/>
            <w:shd w:val="clear" w:color="auto" w:fill="C6EFCE"/>
            <w:noWrap/>
          </w:tcPr>
          <w:p w14:paraId="71BD47FB" w14:textId="3A348229" w:rsidR="003E1D81" w:rsidRDefault="00EB481C">
            <w:pPr>
              <w:pStyle w:val="P68B1DB1-Normal13"/>
              <w:spacing w:after="0"/>
              <w:jc w:val="center"/>
              <w:rPr>
                <w:rFonts w:eastAsia="Times New Roman" w:cs="Times New Roman"/>
                <w:noProof/>
              </w:rPr>
            </w:pPr>
            <w:r>
              <w:rPr>
                <w:noProof/>
              </w:rPr>
              <w:t>300 000</w:t>
            </w:r>
          </w:p>
        </w:tc>
        <w:tc>
          <w:tcPr>
            <w:tcW w:w="427" w:type="dxa"/>
            <w:shd w:val="clear" w:color="auto" w:fill="C6EFCE"/>
            <w:noWrap/>
          </w:tcPr>
          <w:p w14:paraId="057F51E9" w14:textId="7EA54AB7" w:rsidR="003E1D81" w:rsidRDefault="00EB481C">
            <w:pPr>
              <w:pStyle w:val="P68B1DB1-Normal13"/>
              <w:spacing w:after="0" w:line="240" w:lineRule="auto"/>
              <w:jc w:val="center"/>
              <w:rPr>
                <w:rFonts w:eastAsia="Times New Roman" w:cs="Times New Roman"/>
                <w:noProof/>
              </w:rPr>
            </w:pPr>
            <w:r>
              <w:rPr>
                <w:noProof/>
              </w:rPr>
              <w:t>KÉRDÉS</w:t>
            </w:r>
          </w:p>
        </w:tc>
        <w:tc>
          <w:tcPr>
            <w:tcW w:w="568" w:type="dxa"/>
            <w:shd w:val="clear" w:color="auto" w:fill="C6EFCE"/>
            <w:noWrap/>
          </w:tcPr>
          <w:p w14:paraId="00761683" w14:textId="263050A2" w:rsidR="003E1D81" w:rsidRDefault="00EB481C">
            <w:pPr>
              <w:pStyle w:val="P68B1DB1-Normal13"/>
              <w:spacing w:after="0"/>
              <w:jc w:val="center"/>
              <w:rPr>
                <w:rFonts w:eastAsia="Times New Roman" w:cs="Times New Roman"/>
                <w:noProof/>
              </w:rPr>
            </w:pPr>
            <w:r>
              <w:rPr>
                <w:noProof/>
              </w:rPr>
              <w:t>2026</w:t>
            </w:r>
          </w:p>
        </w:tc>
        <w:tc>
          <w:tcPr>
            <w:tcW w:w="5683" w:type="dxa"/>
            <w:shd w:val="clear" w:color="auto" w:fill="C6EFCE"/>
            <w:noWrap/>
          </w:tcPr>
          <w:p w14:paraId="4D4A6247" w14:textId="0B722362" w:rsidR="003E1D81" w:rsidRDefault="00EB481C">
            <w:pPr>
              <w:pStyle w:val="P68B1DB1-Normal13"/>
              <w:spacing w:after="0"/>
              <w:rPr>
                <w:rFonts w:eastAsia="Times New Roman" w:cs="Times New Roman"/>
                <w:noProof/>
              </w:rPr>
            </w:pPr>
            <w:r>
              <w:rPr>
                <w:noProof/>
              </w:rPr>
              <w:t xml:space="preserve">Legalább 300000 ember vett részt a digitális készségekkel kapcsolatos képzéseken. Minden képzésnek legalább 150 órából kell állnia. </w:t>
            </w:r>
          </w:p>
        </w:tc>
      </w:tr>
      <w:tr w:rsidR="003E1D81" w14:paraId="62860367" w14:textId="77777777">
        <w:trPr>
          <w:trHeight w:val="309"/>
        </w:trPr>
        <w:tc>
          <w:tcPr>
            <w:tcW w:w="711" w:type="dxa"/>
            <w:shd w:val="clear" w:color="auto" w:fill="C6EFCE"/>
            <w:noWrap/>
          </w:tcPr>
          <w:p w14:paraId="757A7A19" w14:textId="05E6CA17" w:rsidR="003E1D81" w:rsidRDefault="00EB481C">
            <w:pPr>
              <w:pStyle w:val="P68B1DB1-Normal13"/>
              <w:spacing w:after="0"/>
              <w:jc w:val="center"/>
              <w:rPr>
                <w:rFonts w:cs="Times New Roman"/>
                <w:noProof/>
              </w:rPr>
            </w:pPr>
            <w:r>
              <w:rPr>
                <w:noProof/>
              </w:rPr>
              <w:t>292a</w:t>
            </w:r>
          </w:p>
        </w:tc>
        <w:tc>
          <w:tcPr>
            <w:tcW w:w="818" w:type="dxa"/>
            <w:shd w:val="clear" w:color="auto" w:fill="C6EFCE"/>
            <w:noWrap/>
          </w:tcPr>
          <w:p w14:paraId="76AB10C2" w14:textId="4FA785CB" w:rsidR="003E1D81" w:rsidRDefault="00EB481C">
            <w:pPr>
              <w:pStyle w:val="P68B1DB1-Normal13"/>
              <w:spacing w:after="0"/>
              <w:jc w:val="center"/>
              <w:rPr>
                <w:rFonts w:cs="Times New Roman"/>
                <w:noProof/>
              </w:rPr>
            </w:pPr>
            <w:r>
              <w:rPr>
                <w:noProof/>
              </w:rPr>
              <w:t>C19.I3</w:t>
            </w:r>
          </w:p>
        </w:tc>
        <w:tc>
          <w:tcPr>
            <w:tcW w:w="852" w:type="dxa"/>
            <w:shd w:val="clear" w:color="auto" w:fill="C6EFCE"/>
            <w:noWrap/>
          </w:tcPr>
          <w:p w14:paraId="1BAED019" w14:textId="68C4AB0A" w:rsidR="003E1D81" w:rsidRDefault="00EB481C">
            <w:pPr>
              <w:pStyle w:val="P68B1DB1-Normal13"/>
              <w:spacing w:after="0"/>
              <w:jc w:val="center"/>
              <w:rPr>
                <w:rFonts w:cs="Times New Roman"/>
                <w:noProof/>
              </w:rPr>
            </w:pPr>
            <w:r>
              <w:rPr>
                <w:noProof/>
              </w:rPr>
              <w:t>T</w:t>
            </w:r>
          </w:p>
        </w:tc>
        <w:tc>
          <w:tcPr>
            <w:tcW w:w="2700" w:type="dxa"/>
            <w:shd w:val="clear" w:color="auto" w:fill="C6EFCE"/>
            <w:noWrap/>
          </w:tcPr>
          <w:p w14:paraId="1C721F08" w14:textId="62137FC0" w:rsidR="003E1D81" w:rsidRDefault="00EB481C">
            <w:pPr>
              <w:pStyle w:val="P68B1DB1-Normal13"/>
              <w:spacing w:after="0"/>
              <w:rPr>
                <w:rFonts w:cs="Times New Roman"/>
                <w:noProof/>
              </w:rPr>
            </w:pPr>
            <w:r>
              <w:rPr>
                <w:noProof/>
              </w:rPr>
              <w:t>Digitális képzés a munkakörnyezetben</w:t>
            </w:r>
          </w:p>
        </w:tc>
        <w:tc>
          <w:tcPr>
            <w:tcW w:w="1420" w:type="dxa"/>
            <w:shd w:val="clear" w:color="auto" w:fill="C6EFCE"/>
            <w:noWrap/>
          </w:tcPr>
          <w:p w14:paraId="611D487A" w14:textId="5D31B60C" w:rsidR="003E1D81" w:rsidRDefault="00EB481C">
            <w:pPr>
              <w:pStyle w:val="P68B1DB1-Normal13"/>
              <w:spacing w:after="0"/>
              <w:jc w:val="center"/>
              <w:rPr>
                <w:rFonts w:cs="Times New Roman"/>
                <w:noProof/>
              </w:rPr>
            </w:pPr>
            <w:r>
              <w:rPr>
                <w:noProof/>
              </w:rPr>
              <w:t>–</w:t>
            </w:r>
          </w:p>
        </w:tc>
        <w:tc>
          <w:tcPr>
            <w:tcW w:w="853" w:type="dxa"/>
            <w:shd w:val="clear" w:color="auto" w:fill="C6EFCE"/>
            <w:noWrap/>
          </w:tcPr>
          <w:p w14:paraId="3B72509B" w14:textId="4E11529E" w:rsidR="003E1D81" w:rsidRDefault="00EB481C">
            <w:pPr>
              <w:pStyle w:val="P68B1DB1-Normal13"/>
              <w:spacing w:after="0"/>
              <w:jc w:val="center"/>
              <w:rPr>
                <w:rFonts w:cs="Times New Roman"/>
                <w:noProof/>
              </w:rPr>
            </w:pPr>
            <w:r>
              <w:rPr>
                <w:noProof/>
              </w:rPr>
              <w:t>Millió EUR</w:t>
            </w:r>
          </w:p>
        </w:tc>
        <w:tc>
          <w:tcPr>
            <w:tcW w:w="568" w:type="dxa"/>
            <w:shd w:val="clear" w:color="auto" w:fill="C6EFCE"/>
            <w:noWrap/>
          </w:tcPr>
          <w:p w14:paraId="2B8B0D72" w14:textId="4CE8B428" w:rsidR="003E1D81" w:rsidRDefault="00EB481C">
            <w:pPr>
              <w:pStyle w:val="P68B1DB1-Normal13"/>
              <w:spacing w:after="0"/>
              <w:jc w:val="center"/>
              <w:rPr>
                <w:rFonts w:cs="Times New Roman"/>
                <w:noProof/>
              </w:rPr>
            </w:pPr>
            <w:r>
              <w:rPr>
                <w:noProof/>
              </w:rPr>
              <w:t>0</w:t>
            </w:r>
          </w:p>
        </w:tc>
        <w:tc>
          <w:tcPr>
            <w:tcW w:w="710" w:type="dxa"/>
            <w:shd w:val="clear" w:color="auto" w:fill="C6EFCE"/>
            <w:noWrap/>
          </w:tcPr>
          <w:p w14:paraId="108F9EAA" w14:textId="0DA11FBA" w:rsidR="003E1D81" w:rsidRDefault="00EB481C">
            <w:pPr>
              <w:pStyle w:val="P68B1DB1-Normal13"/>
              <w:spacing w:after="0"/>
              <w:jc w:val="center"/>
              <w:rPr>
                <w:rFonts w:cs="Times New Roman"/>
                <w:noProof/>
              </w:rPr>
            </w:pPr>
            <w:r>
              <w:rPr>
                <w:noProof/>
              </w:rPr>
              <w:t>310</w:t>
            </w:r>
          </w:p>
        </w:tc>
        <w:tc>
          <w:tcPr>
            <w:tcW w:w="427" w:type="dxa"/>
            <w:shd w:val="clear" w:color="auto" w:fill="C6EFCE"/>
            <w:noWrap/>
          </w:tcPr>
          <w:p w14:paraId="70C6A7D6" w14:textId="10AEB1EA" w:rsidR="003E1D81" w:rsidRDefault="00EB481C">
            <w:pPr>
              <w:pStyle w:val="P68B1DB1-Normal13"/>
              <w:spacing w:after="0" w:line="240" w:lineRule="auto"/>
              <w:jc w:val="center"/>
              <w:rPr>
                <w:rFonts w:cs="Times New Roman"/>
                <w:noProof/>
              </w:rPr>
            </w:pPr>
            <w:r>
              <w:rPr>
                <w:noProof/>
              </w:rPr>
              <w:t>KÉRDÉS</w:t>
            </w:r>
          </w:p>
        </w:tc>
        <w:tc>
          <w:tcPr>
            <w:tcW w:w="568" w:type="dxa"/>
            <w:shd w:val="clear" w:color="auto" w:fill="C6EFCE"/>
            <w:noWrap/>
          </w:tcPr>
          <w:p w14:paraId="1021B2E8" w14:textId="0F50FBF7" w:rsidR="003E1D81" w:rsidRDefault="00EB481C">
            <w:pPr>
              <w:pStyle w:val="P68B1DB1-Normal13"/>
              <w:spacing w:after="0"/>
              <w:jc w:val="center"/>
              <w:rPr>
                <w:rFonts w:cs="Times New Roman"/>
                <w:noProof/>
              </w:rPr>
            </w:pPr>
            <w:r>
              <w:rPr>
                <w:noProof/>
              </w:rPr>
              <w:t>2026</w:t>
            </w:r>
          </w:p>
        </w:tc>
        <w:tc>
          <w:tcPr>
            <w:tcW w:w="5683" w:type="dxa"/>
            <w:shd w:val="clear" w:color="auto" w:fill="C6EFCE"/>
            <w:noWrap/>
          </w:tcPr>
          <w:p w14:paraId="77D932FD" w14:textId="06EAB83D" w:rsidR="003E1D81" w:rsidRDefault="00EB481C">
            <w:pPr>
              <w:pStyle w:val="P68B1DB1-Normal13"/>
              <w:spacing w:after="0"/>
              <w:rPr>
                <w:rFonts w:cs="Times New Roman"/>
                <w:noProof/>
              </w:rPr>
            </w:pPr>
            <w:r>
              <w:rPr>
                <w:noProof/>
              </w:rPr>
              <w:t xml:space="preserve">Legalább 310 millió EUR </w:t>
            </w:r>
            <w:r>
              <w:rPr>
                <w:noProof/>
              </w:rPr>
              <w:t>összköltségvetésű képzés elvégzése a munkakörnyezetben a digitális készségekről és a képzési tartalomról a megvalósítás támogatása érdekében. Minden képzésnek legalább 25 órából kell állnia.</w:t>
            </w:r>
          </w:p>
        </w:tc>
      </w:tr>
      <w:tr w:rsidR="003E1D81" w14:paraId="3813BF75" w14:textId="77777777">
        <w:trPr>
          <w:trHeight w:val="309"/>
        </w:trPr>
        <w:tc>
          <w:tcPr>
            <w:tcW w:w="711" w:type="dxa"/>
            <w:tcBorders>
              <w:top w:val="single" w:sz="4" w:space="0" w:color="auto"/>
              <w:left w:val="single" w:sz="4" w:space="0" w:color="auto"/>
              <w:bottom w:val="single" w:sz="4" w:space="0" w:color="auto"/>
              <w:right w:val="single" w:sz="4" w:space="0" w:color="auto"/>
            </w:tcBorders>
            <w:shd w:val="clear" w:color="auto" w:fill="C6EFCE"/>
            <w:noWrap/>
          </w:tcPr>
          <w:p w14:paraId="2508557E" w14:textId="77777777" w:rsidR="003E1D81" w:rsidRDefault="00EB481C">
            <w:pPr>
              <w:pStyle w:val="P68B1DB1-Normal13"/>
              <w:spacing w:after="0" w:line="240" w:lineRule="auto"/>
              <w:jc w:val="center"/>
              <w:rPr>
                <w:rFonts w:cs="Times New Roman"/>
                <w:noProof/>
              </w:rPr>
            </w:pPr>
            <w:r>
              <w:rPr>
                <w:noProof/>
              </w:rPr>
              <w:t>293</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4BC4884E" w14:textId="77777777" w:rsidR="003E1D81" w:rsidRDefault="00EB481C">
            <w:pPr>
              <w:pStyle w:val="P68B1DB1-Normal13"/>
              <w:spacing w:after="0" w:line="240" w:lineRule="auto"/>
              <w:jc w:val="center"/>
              <w:rPr>
                <w:rFonts w:cs="Times New Roman"/>
                <w:noProof/>
              </w:rPr>
            </w:pPr>
            <w:r>
              <w:rPr>
                <w:noProof/>
              </w:rPr>
              <w:t>C19.I4</w:t>
            </w:r>
          </w:p>
        </w:tc>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4DAE07C1" w14:textId="77777777" w:rsidR="003E1D81" w:rsidRDefault="00EB481C">
            <w:pPr>
              <w:pStyle w:val="P68B1DB1-Normal13"/>
              <w:spacing w:after="0" w:line="240" w:lineRule="auto"/>
              <w:jc w:val="center"/>
              <w:rPr>
                <w:rFonts w:cs="Times New Roman"/>
                <w:noProof/>
              </w:rPr>
            </w:pPr>
            <w:r>
              <w:rPr>
                <w:noProof/>
              </w:rPr>
              <w:t>T</w:t>
            </w:r>
          </w:p>
        </w:tc>
        <w:tc>
          <w:tcPr>
            <w:tcW w:w="2700" w:type="dxa"/>
            <w:tcBorders>
              <w:top w:val="single" w:sz="4" w:space="0" w:color="auto"/>
              <w:left w:val="single" w:sz="4" w:space="0" w:color="auto"/>
              <w:bottom w:val="single" w:sz="4" w:space="0" w:color="auto"/>
              <w:right w:val="single" w:sz="4" w:space="0" w:color="auto"/>
            </w:tcBorders>
            <w:shd w:val="clear" w:color="auto" w:fill="C6EFCE"/>
            <w:noWrap/>
          </w:tcPr>
          <w:p w14:paraId="286C54C7" w14:textId="77777777" w:rsidR="003E1D81" w:rsidRDefault="00EB481C">
            <w:pPr>
              <w:pStyle w:val="P68B1DB1-Normal13"/>
              <w:spacing w:after="0" w:line="240" w:lineRule="auto"/>
              <w:rPr>
                <w:rFonts w:cs="Times New Roman"/>
                <w:noProof/>
              </w:rPr>
            </w:pPr>
            <w:r>
              <w:rPr>
                <w:noProof/>
              </w:rPr>
              <w:t xml:space="preserve">Ösztöndíjprogramok a digitális tehetségek számára </w:t>
            </w:r>
          </w:p>
        </w:tc>
        <w:tc>
          <w:tcPr>
            <w:tcW w:w="1420" w:type="dxa"/>
            <w:tcBorders>
              <w:top w:val="single" w:sz="4" w:space="0" w:color="auto"/>
              <w:left w:val="single" w:sz="4" w:space="0" w:color="auto"/>
              <w:bottom w:val="single" w:sz="4" w:space="0" w:color="auto"/>
              <w:right w:val="single" w:sz="4" w:space="0" w:color="auto"/>
            </w:tcBorders>
            <w:shd w:val="clear" w:color="auto" w:fill="C6EFCE"/>
            <w:noWrap/>
          </w:tcPr>
          <w:p w14:paraId="5EFD0BB7" w14:textId="77777777" w:rsidR="003E1D81" w:rsidRDefault="00EB481C">
            <w:pPr>
              <w:pStyle w:val="P68B1DB1-Normal13"/>
              <w:spacing w:after="0" w:line="240" w:lineRule="auto"/>
              <w:jc w:val="center"/>
              <w:rPr>
                <w:rFonts w:cs="Times New Roman"/>
                <w:noProof/>
              </w:rPr>
            </w:pPr>
            <w:r>
              <w:rPr>
                <w:noProof/>
              </w:rPr>
              <w:t>–</w:t>
            </w:r>
          </w:p>
        </w:tc>
        <w:tc>
          <w:tcPr>
            <w:tcW w:w="853" w:type="dxa"/>
            <w:tcBorders>
              <w:top w:val="single" w:sz="4" w:space="0" w:color="auto"/>
              <w:left w:val="single" w:sz="4" w:space="0" w:color="auto"/>
              <w:bottom w:val="single" w:sz="4" w:space="0" w:color="auto"/>
              <w:right w:val="single" w:sz="4" w:space="0" w:color="auto"/>
            </w:tcBorders>
            <w:shd w:val="clear" w:color="auto" w:fill="C6EFCE"/>
            <w:noWrap/>
          </w:tcPr>
          <w:p w14:paraId="2CB758E1" w14:textId="77777777" w:rsidR="003E1D81" w:rsidRDefault="00EB481C">
            <w:pPr>
              <w:pStyle w:val="P68B1DB1-Normal13"/>
              <w:spacing w:after="0" w:line="240" w:lineRule="auto"/>
              <w:jc w:val="center"/>
              <w:rPr>
                <w:rFonts w:cs="Times New Roman"/>
                <w:noProof/>
              </w:rPr>
            </w:pPr>
            <w:r>
              <w:rPr>
                <w:noProof/>
              </w:rPr>
              <w:t>Szám</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10D96AB6" w14:textId="77777777" w:rsidR="003E1D81" w:rsidRDefault="00EB481C">
            <w:pPr>
              <w:pStyle w:val="P68B1DB1-Normal13"/>
              <w:spacing w:after="0" w:line="240" w:lineRule="auto"/>
              <w:jc w:val="center"/>
              <w:rPr>
                <w:rFonts w:cs="Times New Roman"/>
                <w:noProof/>
              </w:rPr>
            </w:pPr>
            <w:r>
              <w:rPr>
                <w:noProof/>
              </w:rPr>
              <w:t>0</w:t>
            </w:r>
          </w:p>
        </w:tc>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7FDF79B7" w14:textId="77777777" w:rsidR="003E1D81" w:rsidRDefault="00EB481C">
            <w:pPr>
              <w:pStyle w:val="P68B1DB1-Normal13"/>
              <w:spacing w:after="0" w:line="240" w:lineRule="auto"/>
              <w:jc w:val="center"/>
              <w:rPr>
                <w:rFonts w:cs="Times New Roman"/>
                <w:noProof/>
              </w:rPr>
            </w:pPr>
            <w:r>
              <w:rPr>
                <w:noProof/>
              </w:rPr>
              <w:t>300</w:t>
            </w:r>
          </w:p>
        </w:tc>
        <w:tc>
          <w:tcPr>
            <w:tcW w:w="427" w:type="dxa"/>
            <w:tcBorders>
              <w:top w:val="single" w:sz="4" w:space="0" w:color="auto"/>
              <w:left w:val="single" w:sz="4" w:space="0" w:color="auto"/>
              <w:bottom w:val="single" w:sz="4" w:space="0" w:color="auto"/>
              <w:right w:val="single" w:sz="4" w:space="0" w:color="auto"/>
            </w:tcBorders>
            <w:shd w:val="clear" w:color="auto" w:fill="C6EFCE"/>
            <w:noWrap/>
          </w:tcPr>
          <w:p w14:paraId="3B4D6B20" w14:textId="77777777" w:rsidR="003E1D81" w:rsidRDefault="00EB481C">
            <w:pPr>
              <w:pStyle w:val="P68B1DB1-Normal13"/>
              <w:spacing w:after="0" w:line="240" w:lineRule="auto"/>
              <w:jc w:val="center"/>
              <w:rPr>
                <w:rFonts w:cs="Times New Roman"/>
                <w:noProof/>
              </w:rPr>
            </w:pPr>
            <w:r>
              <w:rPr>
                <w:noProof/>
              </w:rPr>
              <w:t>NEGYEDÉV</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24137807" w14:textId="77777777" w:rsidR="003E1D81" w:rsidRDefault="00EB481C">
            <w:pPr>
              <w:pStyle w:val="P68B1DB1-Normal13"/>
              <w:spacing w:after="0" w:line="240" w:lineRule="auto"/>
              <w:jc w:val="center"/>
              <w:rPr>
                <w:rFonts w:cs="Times New Roman"/>
                <w:noProof/>
              </w:rPr>
            </w:pPr>
            <w:r>
              <w:rPr>
                <w:noProof/>
              </w:rPr>
              <w:t>2024</w:t>
            </w:r>
          </w:p>
        </w:tc>
        <w:tc>
          <w:tcPr>
            <w:tcW w:w="5683" w:type="dxa"/>
            <w:tcBorders>
              <w:top w:val="single" w:sz="4" w:space="0" w:color="auto"/>
              <w:left w:val="single" w:sz="4" w:space="0" w:color="auto"/>
              <w:bottom w:val="single" w:sz="4" w:space="0" w:color="auto"/>
              <w:right w:val="single" w:sz="4" w:space="0" w:color="auto"/>
            </w:tcBorders>
            <w:shd w:val="clear" w:color="auto" w:fill="C6EFCE"/>
            <w:noWrap/>
          </w:tcPr>
          <w:p w14:paraId="19F07060" w14:textId="77777777" w:rsidR="003E1D81" w:rsidRDefault="00EB481C">
            <w:pPr>
              <w:pStyle w:val="P68B1DB1-Normal13"/>
              <w:spacing w:after="0" w:line="240" w:lineRule="auto"/>
              <w:rPr>
                <w:rFonts w:cs="Times New Roman"/>
                <w:noProof/>
              </w:rPr>
            </w:pPr>
            <w:r>
              <w:rPr>
                <w:noProof/>
              </w:rPr>
              <w:t>Legalább 300 kedvezményezett részesült a digitális tehetségek vonzására és megtartására irányuló ösztöndíjprogramban (2021–2024). Minden program legalább 240 ECTS-sel rendelkezik.</w:t>
            </w:r>
          </w:p>
        </w:tc>
      </w:tr>
      <w:tr w:rsidR="003E1D81" w14:paraId="3139313E" w14:textId="77777777">
        <w:trPr>
          <w:trHeight w:val="309"/>
        </w:trPr>
        <w:tc>
          <w:tcPr>
            <w:tcW w:w="711" w:type="dxa"/>
            <w:shd w:val="clear" w:color="auto" w:fill="C6EFCE"/>
            <w:noWrap/>
          </w:tcPr>
          <w:p w14:paraId="68A4C843" w14:textId="77777777" w:rsidR="003E1D81" w:rsidRDefault="00EB481C">
            <w:pPr>
              <w:pStyle w:val="P68B1DB1-Normal13"/>
              <w:spacing w:after="0" w:line="240" w:lineRule="auto"/>
              <w:jc w:val="center"/>
              <w:rPr>
                <w:rFonts w:cs="Times New Roman"/>
                <w:noProof/>
              </w:rPr>
            </w:pPr>
            <w:r>
              <w:rPr>
                <w:noProof/>
              </w:rPr>
              <w:t>294</w:t>
            </w:r>
          </w:p>
        </w:tc>
        <w:tc>
          <w:tcPr>
            <w:tcW w:w="818" w:type="dxa"/>
            <w:shd w:val="clear" w:color="auto" w:fill="C6EFCE"/>
            <w:noWrap/>
          </w:tcPr>
          <w:p w14:paraId="14A3AD9A" w14:textId="77777777" w:rsidR="003E1D81" w:rsidRDefault="00EB481C">
            <w:pPr>
              <w:pStyle w:val="P68B1DB1-Normal13"/>
              <w:spacing w:after="0" w:line="240" w:lineRule="auto"/>
              <w:jc w:val="center"/>
              <w:rPr>
                <w:rFonts w:cs="Times New Roman"/>
                <w:noProof/>
              </w:rPr>
            </w:pPr>
            <w:r>
              <w:rPr>
                <w:noProof/>
              </w:rPr>
              <w:t>C19.I4</w:t>
            </w:r>
          </w:p>
        </w:tc>
        <w:tc>
          <w:tcPr>
            <w:tcW w:w="852" w:type="dxa"/>
            <w:shd w:val="clear" w:color="auto" w:fill="C6EFCE"/>
            <w:noWrap/>
          </w:tcPr>
          <w:p w14:paraId="664798B4" w14:textId="77777777" w:rsidR="003E1D81" w:rsidRDefault="00EB481C">
            <w:pPr>
              <w:pStyle w:val="P68B1DB1-Normal13"/>
              <w:spacing w:after="0" w:line="240" w:lineRule="auto"/>
              <w:jc w:val="center"/>
              <w:rPr>
                <w:rFonts w:cs="Times New Roman"/>
                <w:noProof/>
              </w:rPr>
            </w:pPr>
            <w:r>
              <w:rPr>
                <w:noProof/>
              </w:rPr>
              <w:t>T</w:t>
            </w:r>
          </w:p>
        </w:tc>
        <w:tc>
          <w:tcPr>
            <w:tcW w:w="2700" w:type="dxa"/>
            <w:shd w:val="clear" w:color="auto" w:fill="C6EFCE"/>
            <w:noWrap/>
          </w:tcPr>
          <w:p w14:paraId="63BA0E3A" w14:textId="77777777" w:rsidR="003E1D81" w:rsidRDefault="00EB481C">
            <w:pPr>
              <w:pStyle w:val="P68B1DB1-Normal13"/>
              <w:spacing w:after="0" w:line="240" w:lineRule="auto"/>
              <w:rPr>
                <w:rFonts w:cs="Times New Roman"/>
                <w:noProof/>
              </w:rPr>
            </w:pPr>
            <w:r>
              <w:rPr>
                <w:noProof/>
              </w:rPr>
              <w:t>Informatikai szakemberek képzése</w:t>
            </w:r>
          </w:p>
        </w:tc>
        <w:tc>
          <w:tcPr>
            <w:tcW w:w="1420" w:type="dxa"/>
            <w:shd w:val="clear" w:color="auto" w:fill="C6EFCE"/>
            <w:noWrap/>
          </w:tcPr>
          <w:p w14:paraId="73C0A2EE" w14:textId="77777777" w:rsidR="003E1D81" w:rsidRDefault="00EB481C">
            <w:pPr>
              <w:pStyle w:val="P68B1DB1-Normal13"/>
              <w:spacing w:after="0" w:line="240" w:lineRule="auto"/>
              <w:jc w:val="center"/>
              <w:rPr>
                <w:rFonts w:cs="Times New Roman"/>
                <w:noProof/>
              </w:rPr>
            </w:pPr>
            <w:r>
              <w:rPr>
                <w:noProof/>
              </w:rPr>
              <w:t> </w:t>
            </w:r>
          </w:p>
        </w:tc>
        <w:tc>
          <w:tcPr>
            <w:tcW w:w="853" w:type="dxa"/>
            <w:shd w:val="clear" w:color="auto" w:fill="C6EFCE"/>
            <w:noWrap/>
          </w:tcPr>
          <w:p w14:paraId="403778D3" w14:textId="77777777" w:rsidR="003E1D81" w:rsidRDefault="00EB481C">
            <w:pPr>
              <w:pStyle w:val="P68B1DB1-Normal13"/>
              <w:spacing w:after="0" w:line="240" w:lineRule="auto"/>
              <w:jc w:val="center"/>
              <w:rPr>
                <w:rFonts w:cs="Times New Roman"/>
                <w:noProof/>
              </w:rPr>
            </w:pPr>
            <w:r>
              <w:rPr>
                <w:noProof/>
              </w:rPr>
              <w:t>Szám</w:t>
            </w:r>
          </w:p>
        </w:tc>
        <w:tc>
          <w:tcPr>
            <w:tcW w:w="568" w:type="dxa"/>
            <w:shd w:val="clear" w:color="auto" w:fill="C6EFCE"/>
            <w:noWrap/>
          </w:tcPr>
          <w:p w14:paraId="2B2313F1" w14:textId="77777777" w:rsidR="003E1D81" w:rsidRDefault="00EB481C">
            <w:pPr>
              <w:pStyle w:val="P68B1DB1-Normal13"/>
              <w:spacing w:after="0" w:line="240" w:lineRule="auto"/>
              <w:jc w:val="center"/>
              <w:rPr>
                <w:rFonts w:cs="Times New Roman"/>
                <w:noProof/>
              </w:rPr>
            </w:pPr>
            <w:r>
              <w:rPr>
                <w:noProof/>
              </w:rPr>
              <w:t>0</w:t>
            </w:r>
          </w:p>
        </w:tc>
        <w:tc>
          <w:tcPr>
            <w:tcW w:w="710" w:type="dxa"/>
            <w:shd w:val="clear" w:color="auto" w:fill="C6EFCE"/>
            <w:noWrap/>
          </w:tcPr>
          <w:p w14:paraId="7BC0BD7E" w14:textId="77777777" w:rsidR="003E1D81" w:rsidRDefault="00EB481C">
            <w:pPr>
              <w:pStyle w:val="P68B1DB1-Normal13"/>
              <w:spacing w:after="0" w:line="240" w:lineRule="auto"/>
              <w:jc w:val="center"/>
              <w:rPr>
                <w:rFonts w:cs="Times New Roman"/>
                <w:noProof/>
              </w:rPr>
            </w:pPr>
            <w:r>
              <w:rPr>
                <w:noProof/>
              </w:rPr>
              <w:t>18 000</w:t>
            </w:r>
          </w:p>
        </w:tc>
        <w:tc>
          <w:tcPr>
            <w:tcW w:w="427" w:type="dxa"/>
            <w:shd w:val="clear" w:color="auto" w:fill="C6EFCE"/>
            <w:noWrap/>
          </w:tcPr>
          <w:p w14:paraId="2C328CC7" w14:textId="77777777" w:rsidR="003E1D81" w:rsidRDefault="00EB481C">
            <w:pPr>
              <w:pStyle w:val="P68B1DB1-Normal13"/>
              <w:spacing w:after="0" w:line="240" w:lineRule="auto"/>
              <w:jc w:val="center"/>
              <w:rPr>
                <w:rFonts w:cs="Times New Roman"/>
                <w:noProof/>
              </w:rPr>
            </w:pPr>
            <w:r>
              <w:rPr>
                <w:noProof/>
              </w:rPr>
              <w:t>NEGYEDÉV</w:t>
            </w:r>
          </w:p>
        </w:tc>
        <w:tc>
          <w:tcPr>
            <w:tcW w:w="568" w:type="dxa"/>
            <w:shd w:val="clear" w:color="auto" w:fill="C6EFCE"/>
            <w:noWrap/>
          </w:tcPr>
          <w:p w14:paraId="2A4F6777" w14:textId="77777777" w:rsidR="003E1D81" w:rsidRDefault="00EB481C">
            <w:pPr>
              <w:pStyle w:val="P68B1DB1-Normal13"/>
              <w:spacing w:after="0" w:line="240" w:lineRule="auto"/>
              <w:jc w:val="center"/>
              <w:rPr>
                <w:rFonts w:cs="Times New Roman"/>
                <w:noProof/>
              </w:rPr>
            </w:pPr>
            <w:r>
              <w:rPr>
                <w:noProof/>
              </w:rPr>
              <w:t>2025</w:t>
            </w:r>
          </w:p>
        </w:tc>
        <w:tc>
          <w:tcPr>
            <w:tcW w:w="5683" w:type="dxa"/>
            <w:shd w:val="clear" w:color="auto" w:fill="C6EFCE"/>
            <w:noWrap/>
          </w:tcPr>
          <w:p w14:paraId="43410A69" w14:textId="77777777" w:rsidR="003E1D81" w:rsidRDefault="00EB481C">
            <w:pPr>
              <w:pStyle w:val="P68B1DB1-Normal13"/>
              <w:spacing w:after="0" w:line="240" w:lineRule="auto"/>
              <w:rPr>
                <w:rFonts w:cs="Times New Roman"/>
                <w:noProof/>
              </w:rPr>
            </w:pPr>
            <w:r>
              <w:rPr>
                <w:noProof/>
              </w:rPr>
              <w:t xml:space="preserve">Legalább 18000 informatikai szakember képzése egyenként legalább 250 órás speciális tanfolyamokon. </w:t>
            </w:r>
          </w:p>
        </w:tc>
      </w:tr>
    </w:tbl>
    <w:p w14:paraId="7A22DBDB" w14:textId="77777777" w:rsidR="003E1D81" w:rsidRDefault="003E1D81">
      <w:pPr>
        <w:spacing w:before="120" w:after="120" w:line="240" w:lineRule="auto"/>
        <w:ind w:left="709"/>
        <w:jc w:val="both"/>
        <w:rPr>
          <w:rFonts w:ascii="Times New Roman" w:hAnsi="Times New Roman" w:cs="Times New Roman"/>
          <w:noProof/>
          <w:sz w:val="24"/>
        </w:rPr>
      </w:pPr>
    </w:p>
    <w:p w14:paraId="26595393" w14:textId="77777777" w:rsidR="003E1D81" w:rsidRDefault="003E1D81">
      <w:pPr>
        <w:spacing w:before="120" w:after="120" w:line="240" w:lineRule="auto"/>
        <w:ind w:left="709"/>
        <w:jc w:val="both"/>
        <w:rPr>
          <w:rFonts w:ascii="Times New Roman" w:hAnsi="Times New Roman" w:cs="Times New Roman"/>
          <w:noProof/>
          <w:sz w:val="24"/>
        </w:rPr>
      </w:pPr>
    </w:p>
    <w:p w14:paraId="4BE80159" w14:textId="77777777" w:rsidR="003E1D81" w:rsidRDefault="003E1D81">
      <w:pPr>
        <w:spacing w:before="120" w:after="120" w:line="240" w:lineRule="auto"/>
        <w:ind w:left="709"/>
        <w:jc w:val="both"/>
        <w:rPr>
          <w:rFonts w:ascii="Times New Roman" w:hAnsi="Times New Roman" w:cs="Times New Roman"/>
          <w:noProof/>
          <w:sz w:val="24"/>
        </w:rPr>
      </w:pPr>
    </w:p>
    <w:p w14:paraId="1E889018" w14:textId="77777777" w:rsidR="003E1D81" w:rsidRDefault="003E1D81">
      <w:pPr>
        <w:spacing w:before="120" w:after="120" w:line="240" w:lineRule="auto"/>
        <w:ind w:left="709"/>
        <w:jc w:val="both"/>
        <w:rPr>
          <w:rFonts w:ascii="Times New Roman" w:hAnsi="Times New Roman" w:cs="Times New Roman"/>
          <w:noProof/>
          <w:sz w:val="24"/>
        </w:rPr>
        <w:sectPr w:rsidR="003E1D81" w:rsidSect="00C94F66">
          <w:headerReference w:type="even" r:id="rId393"/>
          <w:headerReference w:type="default" r:id="rId394"/>
          <w:footerReference w:type="even" r:id="rId395"/>
          <w:footerReference w:type="default" r:id="rId396"/>
          <w:headerReference w:type="first" r:id="rId397"/>
          <w:footerReference w:type="first" r:id="rId398"/>
          <w:pgSz w:w="16839" w:h="11907" w:orient="landscape"/>
          <w:pgMar w:top="1417" w:right="1134" w:bottom="1417" w:left="1134" w:header="709" w:footer="709" w:gutter="0"/>
          <w:cols w:space="720"/>
          <w:docGrid w:linePitch="360"/>
        </w:sectPr>
      </w:pPr>
    </w:p>
    <w:p w14:paraId="780CBD9C" w14:textId="77777777" w:rsidR="003E1D81" w:rsidRDefault="00EB481C">
      <w:pPr>
        <w:pStyle w:val="P68B1DB1-Heading12"/>
        <w:rPr>
          <w:rFonts w:cs="Times New Roman"/>
          <w:noProof/>
        </w:rPr>
      </w:pPr>
      <w:r>
        <w:rPr>
          <w:noProof/>
        </w:rPr>
        <w:t>T. ELEM: Stratégiai terv a szakképzés fellendítésére</w:t>
      </w:r>
    </w:p>
    <w:p w14:paraId="1BD30229" w14:textId="77777777" w:rsidR="003E1D81" w:rsidRDefault="00EB481C">
      <w:pPr>
        <w:pStyle w:val="P68B1DB1-Normal4"/>
        <w:spacing w:before="120" w:after="120" w:line="240" w:lineRule="auto"/>
        <w:jc w:val="both"/>
        <w:rPr>
          <w:rFonts w:cs="Times New Roman"/>
          <w:noProof/>
        </w:rPr>
      </w:pPr>
      <w:r>
        <w:rPr>
          <w:noProof/>
        </w:rPr>
        <w:t>A spanyol helyreállítási és rezilienciaépítési terv komponensének célja a szakoktatási és -képzési rendszer átalakítása és korszerűsítése, valamint a rendszer hozzáigazítása a gazdaság termelő ágazataiban bekövetkezett változásokhoz. E célból a komponens h</w:t>
      </w:r>
      <w:r>
        <w:rPr>
          <w:noProof/>
        </w:rPr>
        <w:t xml:space="preserve">ozzá kíván járulni a munkavállalók foglalkoztathatóságának és foglalkoztatási mobilitásának javításához, valamint a termelékenység és a versenyképesség növeléséhez. </w:t>
      </w:r>
    </w:p>
    <w:p w14:paraId="0906955F" w14:textId="77777777" w:rsidR="003E1D81" w:rsidRDefault="00EB481C">
      <w:pPr>
        <w:pStyle w:val="P68B1DB1-Normal4"/>
        <w:spacing w:before="120" w:after="120" w:line="240" w:lineRule="auto"/>
        <w:jc w:val="both"/>
        <w:rPr>
          <w:rFonts w:cs="Times New Roman"/>
          <w:noProof/>
        </w:rPr>
      </w:pPr>
      <w:r>
        <w:rPr>
          <w:noProof/>
        </w:rPr>
        <w:t xml:space="preserve">A meglévő strukturális munkaerőhiányt kezelni kell a lakosság oktatási és képzési szintje </w:t>
      </w:r>
      <w:r>
        <w:rPr>
          <w:noProof/>
        </w:rPr>
        <w:t>és a munkaerőpiaci igények közötti egyensúly javítása érdekében, különösen az alacsony képzettségűek továbbképzésének a középszintű készségek bővítése és az átképzés érdekében történő támogatása révén.  Különös figyelmet kell fordítani a műszaki és digitál</w:t>
      </w:r>
      <w:r>
        <w:rPr>
          <w:noProof/>
        </w:rPr>
        <w:t>is készségekre, a nemek közötti készséghiány kezelésére és a magasabb szintű szakképzési programok vonzerejének növelésére a beiratkozás javítása érdekében. A komponensnek biztosítania kell a meglévő készségek elismerését is annak érdekében, hogy egy integ</w:t>
      </w:r>
      <w:r>
        <w:rPr>
          <w:noProof/>
        </w:rPr>
        <w:t>ráltabb szakképzési rendszerben új képzési lehetőségekhez és új képesítésekhez férjenek hozzá, amely mind a kötelező oktatásban – hozzájárulva a korai iskolaelhagyás csökkentéséhez –, mind pedig a munkával töltött életszakasz során végigkíséri az embereket</w:t>
      </w:r>
      <w:r>
        <w:rPr>
          <w:noProof/>
        </w:rPr>
        <w:t xml:space="preserve">. </w:t>
      </w:r>
    </w:p>
    <w:p w14:paraId="5C9D1302" w14:textId="77777777" w:rsidR="003E1D81" w:rsidRDefault="00EB481C">
      <w:pPr>
        <w:pStyle w:val="P68B1DB1-Normal4"/>
        <w:spacing w:before="120" w:after="120" w:line="240" w:lineRule="auto"/>
        <w:jc w:val="both"/>
        <w:textAlignment w:val="baseline"/>
        <w:rPr>
          <w:rFonts w:eastAsia="Times New Roman" w:cs="Times New Roman"/>
          <w:noProof/>
        </w:rPr>
      </w:pPr>
      <w:r>
        <w:rPr>
          <w:noProof/>
        </w:rPr>
        <w:t>A komponens hozzájárul a korai iskolaelhagyás csökkentésére vonatkozó országspecifikus ajánlások (2019. évi 2. országspecifikus ajánlás) megvalósításához; az oktatás és a vállalkozások közötti együttműködés fokozása a munkaerőpiac szempontjából releváns</w:t>
      </w:r>
      <w:r>
        <w:rPr>
          <w:noProof/>
        </w:rPr>
        <w:t xml:space="preserve"> készségek és képesítések biztosításának javítása érdekében, különös tekintettel az információs és kommunikációs technológiákra (2019. évi 2. országspecifikus ajánlás); a foglalkoztatás támogatása a munkahelyek megőrzését célzó intézkedések, a munkaerő-fel</w:t>
      </w:r>
      <w:r>
        <w:rPr>
          <w:noProof/>
        </w:rPr>
        <w:t>vétel hatékony ösztönzése és a készségfejlesztés révén (2020. évi 2. országspecifikus ajánlás); a digitális tanuláshoz való hozzáférés javítása (2020. évi 2. országspecifikus ajánlás).</w:t>
      </w:r>
    </w:p>
    <w:p w14:paraId="10EF2818" w14:textId="77777777" w:rsidR="003E1D81" w:rsidRDefault="00EB481C">
      <w:pPr>
        <w:pStyle w:val="P68B1DB1-Normal4"/>
        <w:spacing w:before="120" w:after="120" w:line="240" w:lineRule="auto"/>
        <w:jc w:val="both"/>
        <w:textAlignment w:val="baseline"/>
        <w:rPr>
          <w:rFonts w:eastAsia="Times New Roman" w:cs="Times New Roman"/>
          <w:noProof/>
        </w:rPr>
      </w:pPr>
      <w:r>
        <w:rPr>
          <w:noProof/>
        </w:rPr>
        <w:t>A jelentős károkozás elkerülését célzó elvről szóló technikai iránymuta</w:t>
      </w:r>
      <w:r>
        <w:rPr>
          <w:noProof/>
        </w:rPr>
        <w:t>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w:t>
      </w:r>
      <w:r>
        <w:rPr>
          <w:noProof/>
        </w:rPr>
        <w:t>tézkedés sem sérti jelentős mértékben az (EU) 2020/852 rendelet 17. cikke szerinti környezeti célkitűzéseket.</w:t>
      </w:r>
    </w:p>
    <w:p w14:paraId="41E1D791" w14:textId="77777777" w:rsidR="003E1D81" w:rsidRDefault="00EB481C">
      <w:pPr>
        <w:pStyle w:val="P68B1DB1-Normal5"/>
        <w:spacing w:before="120" w:after="120" w:line="240" w:lineRule="auto"/>
        <w:ind w:left="709"/>
        <w:jc w:val="both"/>
        <w:rPr>
          <w:rFonts w:cs="Times New Roman"/>
          <w:i/>
          <w:noProof/>
        </w:rPr>
      </w:pPr>
      <w:r>
        <w:rPr>
          <w:noProof/>
        </w:rPr>
        <w:t xml:space="preserve">T.1. </w:t>
      </w:r>
      <w:r>
        <w:rPr>
          <w:noProof/>
        </w:rPr>
        <w:tab/>
        <w:t>Vissza nem térítendő pénzügyi támogatás – a reformok és beruházások ismertetése</w:t>
      </w:r>
    </w:p>
    <w:p w14:paraId="1017AE05" w14:textId="77777777" w:rsidR="003E1D81" w:rsidRDefault="00EB481C">
      <w:pPr>
        <w:pStyle w:val="P68B1DB1-Normal23"/>
        <w:spacing w:before="120" w:after="120" w:line="240" w:lineRule="auto"/>
        <w:jc w:val="both"/>
        <w:rPr>
          <w:rFonts w:cs="Times New Roman"/>
          <w:noProof/>
        </w:rPr>
      </w:pPr>
      <w:r>
        <w:rPr>
          <w:noProof/>
        </w:rPr>
        <w:t xml:space="preserve">Reform (C20.R1) – Terv a szakképzés korszerűsítésére </w:t>
      </w:r>
    </w:p>
    <w:p w14:paraId="777BAF35" w14:textId="77777777" w:rsidR="003E1D81" w:rsidRDefault="00EB481C">
      <w:pPr>
        <w:pStyle w:val="P68B1DB1-Normal4"/>
        <w:spacing w:before="120" w:after="120" w:line="240" w:lineRule="auto"/>
        <w:jc w:val="both"/>
        <w:rPr>
          <w:rFonts w:cs="Times New Roman"/>
          <w:noProof/>
        </w:rPr>
      </w:pPr>
      <w:r>
        <w:rPr>
          <w:noProof/>
          <w:shd w:val="clear" w:color="auto" w:fill="FFFFFF"/>
        </w:rPr>
        <w:t>Ez a r</w:t>
      </w:r>
      <w:r>
        <w:rPr>
          <w:noProof/>
          <w:shd w:val="clear" w:color="auto" w:fill="FFFFFF"/>
        </w:rPr>
        <w:t xml:space="preserve">eform a szakképzés korszerűsítésére vonatkozó terv elfogadását és végrehajtását foglalja magában. A tervet 2020. július 22-én nyújtották be. Célja annak biztosítása, hogy a szakképzési rendszer </w:t>
      </w:r>
      <w:r>
        <w:rPr>
          <w:noProof/>
        </w:rPr>
        <w:t>megfeleljen a középfokú képesítést igénylő munkaerőpiacnak, és</w:t>
      </w:r>
      <w:r>
        <w:rPr>
          <w:noProof/>
        </w:rPr>
        <w:t xml:space="preserve"> ezáltal kielégítse a termelő ágazat (nevezetesen a </w:t>
      </w:r>
      <w:r>
        <w:rPr>
          <w:noProof/>
          <w:shd w:val="clear" w:color="auto" w:fill="FFFFFF"/>
        </w:rPr>
        <w:t xml:space="preserve">technikusok/idős technikusok) </w:t>
      </w:r>
      <w:r>
        <w:rPr>
          <w:noProof/>
        </w:rPr>
        <w:t xml:space="preserve">igényeit, és biztosítsa, hogy a szakképzés és a képesítések javítsák a foglalkoztathatóság esélyeit. </w:t>
      </w:r>
      <w:r>
        <w:rPr>
          <w:noProof/>
          <w:shd w:val="clear" w:color="auto" w:fill="FFFFFF"/>
        </w:rPr>
        <w:t>A szakképzést a világjárványt követő gazdasági és társadalmi mozgatórugók</w:t>
      </w:r>
      <w:r>
        <w:rPr>
          <w:noProof/>
          <w:shd w:val="clear" w:color="auto" w:fill="FFFFFF"/>
        </w:rPr>
        <w:t xml:space="preserve"> fellendítésének kulcsfontosságú elemeként határozza meg.</w:t>
      </w:r>
    </w:p>
    <w:p w14:paraId="5EFD89B3" w14:textId="77777777" w:rsidR="003E1D81" w:rsidRDefault="00EB481C">
      <w:pPr>
        <w:pStyle w:val="P68B1DB1-Normal4"/>
        <w:spacing w:before="120" w:after="120" w:line="240" w:lineRule="auto"/>
        <w:jc w:val="both"/>
        <w:rPr>
          <w:rFonts w:cs="Times New Roman"/>
          <w:noProof/>
          <w:shd w:val="clear" w:color="auto" w:fill="FFFFFF"/>
        </w:rPr>
      </w:pPr>
      <w:r>
        <w:rPr>
          <w:noProof/>
          <w:shd w:val="clear" w:color="auto" w:fill="FFFFFF"/>
        </w:rPr>
        <w:t>A tervnek egyetlen integrált szakképzési rendszer létrehozására kell összpontosítania</w:t>
      </w:r>
      <w:r>
        <w:rPr>
          <w:noProof/>
        </w:rPr>
        <w:t>, amely képzést és szakmai képesítéseket biztosít a teljes lakosság számára, beleértve az oktatási rendszerben ré</w:t>
      </w:r>
      <w:r>
        <w:rPr>
          <w:noProof/>
        </w:rPr>
        <w:t>szt vevő szakképzésben részt vevő hallgatókat és a foglalkoztatást célzó szakképzést is.</w:t>
      </w:r>
      <w:r>
        <w:rPr>
          <w:noProof/>
          <w:shd w:val="clear" w:color="auto" w:fill="FFFFFF"/>
        </w:rPr>
        <w:t xml:space="preserve"> </w:t>
      </w:r>
      <w:r>
        <w:rPr>
          <w:noProof/>
        </w:rPr>
        <w:t>A szakoktatást és -képzést a szakmai fejlődés szokásos, ismétlődő elemeként kell kezelnie valamennyi munkavállaló számára a munkával töltött életszakasz során.</w:t>
      </w:r>
    </w:p>
    <w:p w14:paraId="3F988533" w14:textId="77777777" w:rsidR="003E1D81" w:rsidRDefault="00EB481C">
      <w:pPr>
        <w:pStyle w:val="P68B1DB1-Normal22"/>
        <w:spacing w:before="120" w:after="120" w:line="240" w:lineRule="auto"/>
        <w:jc w:val="both"/>
        <w:rPr>
          <w:rFonts w:cs="Times New Roman"/>
          <w:noProof/>
        </w:rPr>
      </w:pPr>
      <w:r>
        <w:rPr>
          <w:noProof/>
        </w:rPr>
        <w:t xml:space="preserve">A terv </w:t>
      </w:r>
      <w:r>
        <w:rPr>
          <w:noProof/>
        </w:rPr>
        <w:t>fő eszköze a szakmai képesítések nemzeti jegyzéke, amelyet felül kell vizsgálni és aktualizálni kell, többek között a digitális és zöld átállás alkalmazásának integrálása révén. Magában foglalja az új szakképzési képesítések kialakítását valamennyi ágazatb</w:t>
      </w:r>
      <w:r>
        <w:rPr>
          <w:noProof/>
        </w:rPr>
        <w:t>an, de a regionális igények figyelembevételével arra a tizenkét stratégiai ágazatra összpontosítva, ahol a szakképzést fokozni kell.</w:t>
      </w:r>
    </w:p>
    <w:p w14:paraId="593AC1F4" w14:textId="77777777" w:rsidR="003E1D81" w:rsidRDefault="00EB481C">
      <w:pPr>
        <w:pStyle w:val="P68B1DB1-Normal4"/>
        <w:spacing w:before="120" w:after="120" w:line="240" w:lineRule="auto"/>
        <w:jc w:val="both"/>
        <w:rPr>
          <w:rFonts w:cs="Times New Roman"/>
          <w:noProof/>
          <w:shd w:val="clear" w:color="auto" w:fill="FFFFFF"/>
        </w:rPr>
      </w:pPr>
      <w:r>
        <w:rPr>
          <w:noProof/>
          <w:shd w:val="clear" w:color="auto" w:fill="FFFFFF"/>
        </w:rPr>
        <w:t>A tervet több királyi törvényerejű rendelet elfogadásával kell végrehajtani</w:t>
      </w:r>
      <w:r>
        <w:rPr>
          <w:noProof/>
        </w:rPr>
        <w:t>, amelyek megfelelnek az új diplomás tantervek l</w:t>
      </w:r>
      <w:r>
        <w:rPr>
          <w:noProof/>
        </w:rPr>
        <w:t>étrehozásának.</w:t>
      </w:r>
      <w:r>
        <w:rPr>
          <w:noProof/>
          <w:shd w:val="clear" w:color="auto" w:fill="FFFFFF"/>
        </w:rPr>
        <w:t xml:space="preserve"> A tervek szerint a 2021–2023-as időszakban összesen mintegy 42 új diplomát fognak fokozatosan létrehozni, beleértve a közép-, a felsőfokú és a szakirányú diplomákat is. A reform magában foglalja továbbá a szakképzési oklevelek rendszeres fel</w:t>
      </w:r>
      <w:r>
        <w:rPr>
          <w:noProof/>
          <w:shd w:val="clear" w:color="auto" w:fill="FFFFFF"/>
        </w:rPr>
        <w:t xml:space="preserve">ülvizsgálatát, a termelő ágazatok igényeinek megfelelő új szakképzési oklevelek kialakítását, különös tekintettel a szakképzésre vonatkozó stratégiai tervben kiemelt ágazatokra. </w:t>
      </w:r>
    </w:p>
    <w:p w14:paraId="3E2F91F8" w14:textId="77777777" w:rsidR="003E1D81" w:rsidRDefault="00EB481C">
      <w:pPr>
        <w:pStyle w:val="P68B1DB1-Normal4"/>
        <w:spacing w:before="120" w:after="120" w:line="240" w:lineRule="auto"/>
        <w:jc w:val="both"/>
        <w:rPr>
          <w:rFonts w:cs="Times New Roman"/>
          <w:noProof/>
          <w:shd w:val="clear" w:color="auto" w:fill="FFFFFF"/>
        </w:rPr>
      </w:pPr>
      <w:r>
        <w:rPr>
          <w:noProof/>
          <w:shd w:val="clear" w:color="auto" w:fill="FFFFFF"/>
        </w:rPr>
        <w:t xml:space="preserve">A terv egyéb kiemelt irányvonalai közé tartozik az innováció, az alkalmazott </w:t>
      </w:r>
      <w:r>
        <w:rPr>
          <w:noProof/>
          <w:shd w:val="clear" w:color="auto" w:fill="FFFFFF"/>
        </w:rPr>
        <w:t xml:space="preserve">kutatás, a vállalkozói készség, a digitalizáció és a fenntarthatóság beépítése </w:t>
      </w:r>
      <w:r>
        <w:rPr>
          <w:noProof/>
        </w:rPr>
        <w:t>a szakképzés alapelemei közé; valamint a vállalkozásoknak a szakképzés szerves részeként való elhelyezése, valamint a köz- és magánszféra közötti együttműködés előmozdítása a re</w:t>
      </w:r>
      <w:r>
        <w:rPr>
          <w:noProof/>
        </w:rPr>
        <w:t>ndszerben, különösen a szakképzés kettős jellegének előmozdítása. E célból a</w:t>
      </w:r>
      <w:r>
        <w:rPr>
          <w:noProof/>
          <w:shd w:val="clear" w:color="auto" w:fill="FFFFFF"/>
        </w:rPr>
        <w:t>reform a minisztériumok, a vállalkozások és a szociális partnerek közös munkájára épít a gazdasághoz szükséges készségek azonosítása érdekében.</w:t>
      </w:r>
    </w:p>
    <w:p w14:paraId="41FFB940" w14:textId="77777777" w:rsidR="003E1D81" w:rsidRDefault="00EB481C">
      <w:pPr>
        <w:pStyle w:val="P68B1DB1-Normal22"/>
        <w:spacing w:before="120" w:after="120" w:line="240" w:lineRule="auto"/>
        <w:jc w:val="both"/>
        <w:rPr>
          <w:rFonts w:cs="Times New Roman"/>
          <w:noProof/>
        </w:rPr>
      </w:pPr>
      <w:r>
        <w:rPr>
          <w:noProof/>
        </w:rPr>
        <w:t>Az intézkedés végrehajtását 2020. de</w:t>
      </w:r>
      <w:r>
        <w:rPr>
          <w:noProof/>
        </w:rPr>
        <w:t>cember 31-ig be kell fejezni.</w:t>
      </w:r>
    </w:p>
    <w:p w14:paraId="0A72A425" w14:textId="77777777" w:rsidR="003E1D81" w:rsidRDefault="00EB481C">
      <w:pPr>
        <w:pStyle w:val="P68B1DB1-Normal23"/>
        <w:spacing w:before="120" w:after="120" w:line="240" w:lineRule="auto"/>
        <w:jc w:val="both"/>
        <w:rPr>
          <w:rFonts w:cs="Times New Roman"/>
          <w:noProof/>
        </w:rPr>
      </w:pPr>
      <w:r>
        <w:rPr>
          <w:noProof/>
        </w:rPr>
        <w:t xml:space="preserve">Reform (C20.R2) – A nemzeti képesítési rendszerhez kapcsolódó integrált szakképzési rendszert szabályozó törvény </w:t>
      </w:r>
    </w:p>
    <w:p w14:paraId="6B0FD563" w14:textId="77777777" w:rsidR="003E1D81" w:rsidRDefault="00EB481C">
      <w:pPr>
        <w:pStyle w:val="P68B1DB1-Normal4"/>
        <w:spacing w:before="120" w:after="120" w:line="240" w:lineRule="auto"/>
        <w:jc w:val="both"/>
        <w:rPr>
          <w:rFonts w:cs="Times New Roman"/>
          <w:noProof/>
          <w:shd w:val="clear" w:color="auto" w:fill="FFFFFF"/>
        </w:rPr>
      </w:pPr>
      <w:r>
        <w:rPr>
          <w:noProof/>
        </w:rPr>
        <w:t xml:space="preserve">A szakképzés modernizációs tervének céljaival és a nemzeti képesítési rendszer </w:t>
      </w:r>
      <w:r>
        <w:rPr>
          <w:noProof/>
          <w:shd w:val="clear" w:color="auto" w:fill="FFFFFF"/>
        </w:rPr>
        <w:t>keretével összhangban Spanyolorsz</w:t>
      </w:r>
      <w:r>
        <w:rPr>
          <w:noProof/>
          <w:shd w:val="clear" w:color="auto" w:fill="FFFFFF"/>
        </w:rPr>
        <w:t>ág az integrált szakképzési rendszert szabályozó törvényt terjeszt elő és fogad el. Az új törvény a jelenlegi két különálló szakképzési rendszert – az oktatási rendszer és a foglalkoztatási képzésre vonatkozó rendszert – egyetlen rendszerbe foglalja. Megha</w:t>
      </w:r>
      <w:r>
        <w:rPr>
          <w:noProof/>
          <w:shd w:val="clear" w:color="auto" w:fill="FFFFFF"/>
        </w:rPr>
        <w:t>tározza az egész életen át tartó tanulás integrált rendszerét a lakosság számára bármely életkorban, személyes vagy munkahelyzetben, és olyan kiegészítő és kumulatív tanfolyamokat kínál, amelyek új képesítésekhez vezetnek. Emellett egész életen át orientác</w:t>
      </w:r>
      <w:r>
        <w:rPr>
          <w:noProof/>
          <w:shd w:val="clear" w:color="auto" w:fill="FFFFFF"/>
        </w:rPr>
        <w:t xml:space="preserve">iós folyamatnak kell </w:t>
      </w:r>
      <w:r>
        <w:rPr>
          <w:noProof/>
        </w:rPr>
        <w:t xml:space="preserve">kísérnie. </w:t>
      </w:r>
    </w:p>
    <w:p w14:paraId="597A2EC6" w14:textId="77777777" w:rsidR="003E1D81" w:rsidRDefault="00EB481C">
      <w:pPr>
        <w:pStyle w:val="P68B1DB1-Normal4"/>
        <w:spacing w:before="120" w:after="120" w:line="240" w:lineRule="auto"/>
        <w:jc w:val="both"/>
        <w:rPr>
          <w:rFonts w:cs="Times New Roman"/>
          <w:noProof/>
          <w:shd w:val="clear" w:color="auto" w:fill="FFFFFF"/>
        </w:rPr>
      </w:pPr>
      <w:r>
        <w:rPr>
          <w:noProof/>
        </w:rPr>
        <w:t xml:space="preserve">Az előkészítés első szakaszában az Oktatási és Szakképzési Minisztérium – a szociális partnerek és a regionális kormányzatok egyetértésével – törvénytervezetet készített. </w:t>
      </w:r>
      <w:r>
        <w:rPr>
          <w:noProof/>
          <w:shd w:val="clear" w:color="auto" w:fill="FFFFFF"/>
        </w:rPr>
        <w:t>A Miniszterek Tanácsa várhatóan 2021. december 31. el</w:t>
      </w:r>
      <w:r>
        <w:rPr>
          <w:noProof/>
          <w:shd w:val="clear" w:color="auto" w:fill="FFFFFF"/>
        </w:rPr>
        <w:t>őtt hagyja jóvá a törvénytervezetet, a Parlament pedig 2022. június 30-ig elfogadja azt.</w:t>
      </w:r>
    </w:p>
    <w:p w14:paraId="3F614CDA" w14:textId="77777777" w:rsidR="003E1D81" w:rsidRDefault="00EB481C">
      <w:pPr>
        <w:pStyle w:val="P68B1DB1-Normal4"/>
        <w:spacing w:before="120" w:after="120" w:line="240" w:lineRule="auto"/>
        <w:jc w:val="both"/>
        <w:rPr>
          <w:rFonts w:cs="Times New Roman"/>
          <w:noProof/>
        </w:rPr>
      </w:pPr>
      <w:r>
        <w:rPr>
          <w:noProof/>
        </w:rPr>
        <w:t xml:space="preserve">A végül jóváhagyott törvénynek és a korábban meglévő két szakképzési rendszer egységesítésének célja a rendszer korszerűsítése, különösen az alábbiak révén: </w:t>
      </w:r>
    </w:p>
    <w:p w14:paraId="12CE28C1" w14:textId="77777777" w:rsidR="003E1D81" w:rsidRDefault="00EB481C">
      <w:pPr>
        <w:pStyle w:val="P68B1DB1-Normal4"/>
        <w:numPr>
          <w:ilvl w:val="0"/>
          <w:numId w:val="135"/>
        </w:numPr>
        <w:spacing w:before="120" w:after="160" w:line="259" w:lineRule="auto"/>
        <w:contextualSpacing/>
        <w:jc w:val="both"/>
        <w:rPr>
          <w:rFonts w:cs="Times New Roman"/>
          <w:noProof/>
        </w:rPr>
      </w:pPr>
      <w:r>
        <w:rPr>
          <w:noProof/>
        </w:rPr>
        <w:t>az alacso</w:t>
      </w:r>
      <w:r>
        <w:rPr>
          <w:noProof/>
        </w:rPr>
        <w:t xml:space="preserve">ny képzettségűek továbbképzésére való összpontosítás és foglalkoztathatóságuk javítása; </w:t>
      </w:r>
    </w:p>
    <w:p w14:paraId="09FE3AA0" w14:textId="77777777" w:rsidR="003E1D81" w:rsidRDefault="00EB481C">
      <w:pPr>
        <w:pStyle w:val="P68B1DB1-Normal4"/>
        <w:numPr>
          <w:ilvl w:val="0"/>
          <w:numId w:val="135"/>
        </w:numPr>
        <w:spacing w:before="120" w:after="160" w:line="259" w:lineRule="auto"/>
        <w:contextualSpacing/>
        <w:jc w:val="both"/>
        <w:rPr>
          <w:rFonts w:cs="Times New Roman"/>
          <w:noProof/>
        </w:rPr>
      </w:pPr>
      <w:r>
        <w:rPr>
          <w:noProof/>
        </w:rPr>
        <w:t xml:space="preserve">a készségkereslet és -kínálat közötti eltérések kezelése </w:t>
      </w:r>
    </w:p>
    <w:p w14:paraId="791BBCAD" w14:textId="77777777" w:rsidR="003E1D81" w:rsidRDefault="00EB481C">
      <w:pPr>
        <w:pStyle w:val="P68B1DB1-Normal4"/>
        <w:numPr>
          <w:ilvl w:val="0"/>
          <w:numId w:val="135"/>
        </w:numPr>
        <w:spacing w:before="120" w:after="160" w:line="259" w:lineRule="auto"/>
        <w:contextualSpacing/>
        <w:jc w:val="both"/>
        <w:rPr>
          <w:rFonts w:cs="Times New Roman"/>
          <w:noProof/>
        </w:rPr>
      </w:pPr>
      <w:r>
        <w:rPr>
          <w:noProof/>
        </w:rPr>
        <w:t xml:space="preserve">a szakmai képesítések nemzeti katalógusának aktualizálása, hozzáigazítva azt a gazdaság jövőbeli igényeihez, </w:t>
      </w:r>
      <w:r>
        <w:rPr>
          <w:noProof/>
        </w:rPr>
        <w:t>beleértve a zöld és digitális átállás támogatását is; és</w:t>
      </w:r>
    </w:p>
    <w:p w14:paraId="38222DA9" w14:textId="77777777" w:rsidR="003E1D81" w:rsidRDefault="00EB481C">
      <w:pPr>
        <w:pStyle w:val="P68B1DB1-Normal4"/>
        <w:numPr>
          <w:ilvl w:val="0"/>
          <w:numId w:val="135"/>
        </w:numPr>
        <w:spacing w:before="120" w:after="160" w:line="259" w:lineRule="auto"/>
        <w:contextualSpacing/>
        <w:jc w:val="both"/>
        <w:rPr>
          <w:rFonts w:cs="Times New Roman"/>
          <w:noProof/>
        </w:rPr>
      </w:pPr>
      <w:r>
        <w:rPr>
          <w:noProof/>
        </w:rPr>
        <w:t>a magasabb szintű szakképzési programok vonzerejének növelése a beiratkozás javítása érdekében.</w:t>
      </w:r>
    </w:p>
    <w:p w14:paraId="123E8D21" w14:textId="77777777" w:rsidR="003E1D81" w:rsidRDefault="00EB481C">
      <w:pPr>
        <w:pStyle w:val="P68B1DB1-Normal22"/>
        <w:spacing w:before="120" w:after="120" w:line="240" w:lineRule="auto"/>
        <w:jc w:val="both"/>
        <w:rPr>
          <w:rFonts w:cs="Times New Roman"/>
          <w:noProof/>
          <w:u w:val="single"/>
        </w:rPr>
      </w:pPr>
      <w:r>
        <w:rPr>
          <w:noProof/>
        </w:rPr>
        <w:t>Az intézkedés végrehajtását 2022. június 30-ig be kell fejezni.</w:t>
      </w:r>
    </w:p>
    <w:p w14:paraId="04B8F193" w14:textId="77777777" w:rsidR="003E1D81" w:rsidRDefault="00EB481C">
      <w:pPr>
        <w:pStyle w:val="P68B1DB1-Normal23"/>
        <w:spacing w:before="120" w:after="120" w:line="240" w:lineRule="auto"/>
        <w:jc w:val="both"/>
        <w:rPr>
          <w:rFonts w:cs="Times New Roman"/>
          <w:noProof/>
        </w:rPr>
      </w:pPr>
      <w:r>
        <w:rPr>
          <w:noProof/>
        </w:rPr>
        <w:t>Beruházás (C20.I1) – A munkaerő átképzé</w:t>
      </w:r>
      <w:r>
        <w:rPr>
          <w:noProof/>
        </w:rPr>
        <w:t xml:space="preserve">se és továbbképzése a szakmai képesítésekhez kapcsolódóan </w:t>
      </w:r>
    </w:p>
    <w:p w14:paraId="46184BED" w14:textId="77777777" w:rsidR="003E1D81" w:rsidRDefault="00EB481C">
      <w:pPr>
        <w:pStyle w:val="P68B1DB1-Normal22"/>
        <w:spacing w:before="120" w:after="120" w:line="240" w:lineRule="auto"/>
        <w:jc w:val="both"/>
        <w:rPr>
          <w:rFonts w:cs="Times New Roman"/>
          <w:noProof/>
        </w:rPr>
      </w:pPr>
      <w:r>
        <w:rPr>
          <w:noProof/>
        </w:rPr>
        <w:t>Ez a beruházás négy olyan intézkedést foglal magában, amelyek célja a 16 évesnél idősebb aktív népesség (foglalkoztatott vagy munkanélküli) szakmai készségeinek fenntartása és fejlesztése:</w:t>
      </w:r>
    </w:p>
    <w:p w14:paraId="2D258D6E" w14:textId="5170A195" w:rsidR="003E1D81" w:rsidRDefault="00EB481C">
      <w:pPr>
        <w:pStyle w:val="P68B1DB1-Normal4"/>
        <w:numPr>
          <w:ilvl w:val="0"/>
          <w:numId w:val="136"/>
        </w:numPr>
        <w:spacing w:before="120" w:after="120" w:line="240" w:lineRule="auto"/>
        <w:jc w:val="both"/>
        <w:rPr>
          <w:rFonts w:cs="Times New Roman"/>
          <w:noProof/>
          <w:shd w:val="clear" w:color="auto" w:fill="FFFFFF"/>
        </w:rPr>
      </w:pPr>
      <w:r>
        <w:rPr>
          <w:noProof/>
          <w:shd w:val="clear" w:color="auto" w:fill="FFFFFF"/>
        </w:rPr>
        <w:t>A munkat</w:t>
      </w:r>
      <w:r>
        <w:rPr>
          <w:noProof/>
          <w:shd w:val="clear" w:color="auto" w:fill="FFFFFF"/>
        </w:rPr>
        <w:t xml:space="preserve">apasztalat és a nem formális képzés során szerzett szakmai készségek értékelése és hivatalos akkreditációja. E célból biztosítani kívánja a meglévő készségek hivatalos elismerését, valamint hozzáférést biztosít a továbbképzéshez és az új képesítésekhez. A </w:t>
      </w:r>
      <w:r>
        <w:rPr>
          <w:noProof/>
          <w:shd w:val="clear" w:color="auto" w:fill="FFFFFF"/>
        </w:rPr>
        <w:t xml:space="preserve">terv öt év alatt összesen 2000000 kompetenciaegység nyilvántartásba vételébe, értékelésébe és akkreditációjába </w:t>
      </w:r>
      <w:r>
        <w:rPr>
          <w:noProof/>
        </w:rPr>
        <w:t xml:space="preserve">ruház be.  </w:t>
      </w:r>
    </w:p>
    <w:p w14:paraId="14AF6FA2" w14:textId="77777777" w:rsidR="003E1D81" w:rsidRDefault="00EB481C">
      <w:pPr>
        <w:pStyle w:val="P68B1DB1-Normal4"/>
        <w:numPr>
          <w:ilvl w:val="0"/>
          <w:numId w:val="136"/>
        </w:numPr>
        <w:spacing w:before="120" w:after="120" w:line="240" w:lineRule="auto"/>
        <w:jc w:val="both"/>
        <w:rPr>
          <w:rFonts w:cs="Times New Roman"/>
          <w:noProof/>
          <w:shd w:val="clear" w:color="auto" w:fill="FFFFFF"/>
        </w:rPr>
      </w:pPr>
      <w:r>
        <w:rPr>
          <w:noProof/>
          <w:shd w:val="clear" w:color="auto" w:fill="FFFFFF"/>
        </w:rPr>
        <w:t>D-digitális moduláris ajánlat a Szakmai Képesítések Nemzeti Katalógusának kompetenciaegységeihez kapcsolódó alkalmazottak számára. Az</w:t>
      </w:r>
      <w:r>
        <w:rPr>
          <w:noProof/>
          <w:shd w:val="clear" w:color="auto" w:fill="FFFFFF"/>
        </w:rPr>
        <w:t xml:space="preserve"> intézkedésnek a foglalkoztatottakra kell </w:t>
      </w:r>
      <w:r>
        <w:rPr>
          <w:noProof/>
        </w:rPr>
        <w:t xml:space="preserve">irányulnia, és biztosítania kell, hogy legalább 300000 munkavállaló részesüljön a szakmai előmenetelt és a magasabb szintű készségek elsajátítását lehetővé tevő digitális képzésben. </w:t>
      </w:r>
      <w:r>
        <w:rPr>
          <w:noProof/>
          <w:shd w:val="clear" w:color="auto" w:fill="FFFFFF"/>
        </w:rPr>
        <w:t xml:space="preserve"> </w:t>
      </w:r>
    </w:p>
    <w:p w14:paraId="295A55F2" w14:textId="68F3B515" w:rsidR="003E1D81" w:rsidRDefault="00EB481C">
      <w:pPr>
        <w:pStyle w:val="P68B1DB1-Normal22"/>
        <w:numPr>
          <w:ilvl w:val="0"/>
          <w:numId w:val="136"/>
        </w:numPr>
        <w:spacing w:before="120" w:after="120" w:line="240" w:lineRule="auto"/>
        <w:jc w:val="both"/>
        <w:rPr>
          <w:rFonts w:cs="Times New Roman"/>
          <w:noProof/>
        </w:rPr>
      </w:pPr>
      <w:r>
        <w:rPr>
          <w:noProof/>
        </w:rPr>
        <w:t>A szakképzés rugalmasabbá és h</w:t>
      </w:r>
      <w:r>
        <w:rPr>
          <w:noProof/>
        </w:rPr>
        <w:t>ozzáférhetőbbé tétele az Aulas</w:t>
      </w:r>
      <w:r>
        <w:rPr>
          <w:i/>
          <w:noProof/>
        </w:rPr>
        <w:t>Mentor létrehozása</w:t>
      </w:r>
      <w:r>
        <w:rPr>
          <w:noProof/>
        </w:rPr>
        <w:t>révén. Az intézkedés a szakmai képesítések nemzeti jegyzékével összhangban nem formális képzést biztosít a vidéki területeken élő vagy az elnéptelenedés kockázatának kitett személyek számára. Különös hangsúly</w:t>
      </w:r>
      <w:r>
        <w:rPr>
          <w:noProof/>
        </w:rPr>
        <w:t xml:space="preserve">t kell fektetni a nőkre annak érdekében, hogy új lehetőségek nyíljanak meg a tanulás, a munkahelyteremtés és a helyi gazdaság javítása előtt. </w:t>
      </w:r>
    </w:p>
    <w:p w14:paraId="099FF252" w14:textId="77777777" w:rsidR="003E1D81" w:rsidRDefault="00EB481C">
      <w:pPr>
        <w:pStyle w:val="P68B1DB1-Normal4"/>
        <w:numPr>
          <w:ilvl w:val="0"/>
          <w:numId w:val="136"/>
        </w:numPr>
        <w:spacing w:before="120" w:after="120" w:line="240" w:lineRule="auto"/>
        <w:jc w:val="both"/>
        <w:rPr>
          <w:rFonts w:cs="Times New Roman"/>
          <w:noProof/>
          <w:shd w:val="clear" w:color="auto" w:fill="FFFFFF"/>
        </w:rPr>
      </w:pPr>
      <w:r>
        <w:rPr>
          <w:noProof/>
          <w:shd w:val="clear" w:color="auto" w:fill="FFFFFF"/>
        </w:rPr>
        <w:t>Moduláris továbbképzés és átképzés a foglalkoztatottak és munkanélküliek számára. A fellépésnek képzést kell bizt</w:t>
      </w:r>
      <w:r>
        <w:rPr>
          <w:noProof/>
          <w:shd w:val="clear" w:color="auto" w:fill="FFFFFF"/>
        </w:rPr>
        <w:t>osítania az olyan kialakulóban lévő és gyorsan fejlődő, előremutató készségek terén, amelyek a jövőben várhatóan munkahelyeket teremtenek, ideértve a zöld átállást, a gondozási gazdaságot és a modernizációs tervben meghatározott egyéb stratégiai ágazatokat</w:t>
      </w:r>
      <w:r>
        <w:rPr>
          <w:noProof/>
          <w:shd w:val="clear" w:color="auto" w:fill="FFFFFF"/>
        </w:rPr>
        <w:t xml:space="preserve"> is. Elsőbbséget kell biztosítani a legkiszolgáltatottabb csoportoknak, amelyek legalább 700000 alkalmazott és munkanélküli átképzését és továbbképzését célzó </w:t>
      </w:r>
      <w:r>
        <w:rPr>
          <w:noProof/>
        </w:rPr>
        <w:t>képzést kínálnak.</w:t>
      </w:r>
    </w:p>
    <w:p w14:paraId="581FD941" w14:textId="3088B8D5" w:rsidR="003E1D81" w:rsidRDefault="00EB481C">
      <w:pPr>
        <w:pStyle w:val="P68B1DB1-Normal22"/>
        <w:spacing w:before="120" w:after="120" w:line="240" w:lineRule="auto"/>
        <w:jc w:val="both"/>
        <w:rPr>
          <w:rFonts w:cs="Times New Roman"/>
          <w:noProof/>
        </w:rPr>
      </w:pPr>
      <w:r>
        <w:rPr>
          <w:noProof/>
        </w:rPr>
        <w:t>Az intézkedés végrehajtását 2025. december 31-ig be kell fejezni.</w:t>
      </w:r>
    </w:p>
    <w:p w14:paraId="58DE658F" w14:textId="77777777" w:rsidR="003E1D81" w:rsidRDefault="00EB481C">
      <w:pPr>
        <w:pStyle w:val="P68B1DB1-Normal23"/>
        <w:spacing w:before="120" w:after="120" w:line="240" w:lineRule="auto"/>
        <w:jc w:val="both"/>
        <w:rPr>
          <w:rFonts w:cs="Times New Roman"/>
          <w:noProof/>
        </w:rPr>
      </w:pPr>
      <w:r>
        <w:rPr>
          <w:noProof/>
        </w:rPr>
        <w:t xml:space="preserve">Beruházás </w:t>
      </w:r>
      <w:r>
        <w:rPr>
          <w:noProof/>
        </w:rPr>
        <w:t>(C20.I2): A szakképzés digitális átalakítása</w:t>
      </w:r>
    </w:p>
    <w:p w14:paraId="66EAFBB5" w14:textId="77777777" w:rsidR="003E1D81" w:rsidRDefault="00EB481C">
      <w:pPr>
        <w:pStyle w:val="P68B1DB1-Normal22"/>
        <w:spacing w:before="120" w:after="120" w:line="240" w:lineRule="auto"/>
        <w:jc w:val="both"/>
        <w:rPr>
          <w:rFonts w:cs="Times New Roman"/>
          <w:noProof/>
        </w:rPr>
      </w:pPr>
      <w:r>
        <w:rPr>
          <w:noProof/>
        </w:rPr>
        <w:t>E beruházás célja a szakképzés átalakítása és korszerűsítése az egyes termelési ágazatok digitalizációjának támogatása érdekében, ugyanakkor kiemelt figyelmet szentel a környezeti fenntarthatóságnak mint kulcsko</w:t>
      </w:r>
      <w:r>
        <w:rPr>
          <w:noProof/>
        </w:rPr>
        <w:t xml:space="preserve">mpetenciának. Ez négy intézkedést foglal magában: </w:t>
      </w:r>
    </w:p>
    <w:p w14:paraId="5FC74A02" w14:textId="77777777" w:rsidR="003E1D81" w:rsidRDefault="00EB481C">
      <w:pPr>
        <w:pStyle w:val="P68B1DB1-Normal22"/>
        <w:numPr>
          <w:ilvl w:val="0"/>
          <w:numId w:val="137"/>
        </w:numPr>
        <w:spacing w:before="120" w:after="120" w:line="240" w:lineRule="auto"/>
        <w:jc w:val="both"/>
        <w:rPr>
          <w:rFonts w:cs="Times New Roman"/>
          <w:noProof/>
        </w:rPr>
      </w:pPr>
      <w:r>
        <w:rPr>
          <w:noProof/>
        </w:rPr>
        <w:t>A szakképzésben részt vevő tanárok digitális és zöld képzése, amely lehetővé teszi számukra, hogy a képzési folyamat kulcsfontosságú pilléreként, valamint a szakképzésben érintett termelő ágazatokban alkal</w:t>
      </w:r>
      <w:r>
        <w:rPr>
          <w:noProof/>
        </w:rPr>
        <w:t xml:space="preserve">mazott digitális és ökológiai átállás mozgatórugóiként működjenek. A cél a tanárok műszaki, szakmai és pedagógiai készségeinek biztosítása az oktatási és képzési rendszer minőségének megerősítése érdekében. </w:t>
      </w:r>
    </w:p>
    <w:p w14:paraId="7B6F2735" w14:textId="4A59F168" w:rsidR="003E1D81" w:rsidRDefault="00EB481C">
      <w:pPr>
        <w:pStyle w:val="P68B1DB1-Normal8"/>
        <w:numPr>
          <w:ilvl w:val="0"/>
          <w:numId w:val="137"/>
        </w:numPr>
        <w:spacing w:before="120" w:after="120" w:line="240" w:lineRule="auto"/>
        <w:jc w:val="both"/>
        <w:rPr>
          <w:rFonts w:cs="Times New Roman"/>
          <w:noProof/>
          <w:sz w:val="24"/>
          <w:shd w:val="clear" w:color="auto" w:fill="FFFFFF"/>
        </w:rPr>
      </w:pPr>
      <w:r>
        <w:rPr>
          <w:noProof/>
        </w:rPr>
        <w:t>Az</w:t>
      </w:r>
      <w:r>
        <w:rPr>
          <w:noProof/>
          <w:sz w:val="24"/>
          <w:shd w:val="clear" w:color="auto" w:fill="FFFFFF"/>
        </w:rPr>
        <w:t>osztálytermek olyan alkalmazott technológiai t</w:t>
      </w:r>
      <w:r>
        <w:rPr>
          <w:noProof/>
          <w:sz w:val="24"/>
          <w:shd w:val="clear" w:color="auto" w:fill="FFFFFF"/>
        </w:rPr>
        <w:t>erekké történő átalakítása</w:t>
      </w:r>
      <w:r>
        <w:rPr>
          <w:noProof/>
          <w:sz w:val="24"/>
        </w:rPr>
        <w:t>, amelyek a technológiai erőforrások felhasználásával helyreállítják a munkakörnyezetet,</w:t>
      </w:r>
      <w:r>
        <w:rPr>
          <w:noProof/>
          <w:sz w:val="24"/>
          <w:shd w:val="clear" w:color="auto" w:fill="FFFFFF" w:themeFill="background1"/>
        </w:rPr>
        <w:t>lehetővé teszik a diákok számára</w:t>
      </w:r>
      <w:r>
        <w:rPr>
          <w:noProof/>
          <w:sz w:val="24"/>
        </w:rPr>
        <w:t>, hogy megközelítsék azokat a technológiákat, amelyeket később a vállalatoknál találnak. A beruházásnak lehető</w:t>
      </w:r>
      <w:r>
        <w:rPr>
          <w:noProof/>
          <w:sz w:val="24"/>
        </w:rPr>
        <w:t xml:space="preserve">vé kell tennie legalább 1253 </w:t>
      </w:r>
      <w:r>
        <w:rPr>
          <w:noProof/>
          <w:sz w:val="24"/>
          <w:shd w:val="clear" w:color="auto" w:fill="FFFFFF"/>
        </w:rPr>
        <w:t>„technológiai</w:t>
      </w:r>
      <w:r>
        <w:rPr>
          <w:noProof/>
        </w:rPr>
        <w:t xml:space="preserve">” osztályterem létrehozását. </w:t>
      </w:r>
    </w:p>
    <w:p w14:paraId="72401F73" w14:textId="77777777" w:rsidR="003E1D81" w:rsidRDefault="00EB481C">
      <w:pPr>
        <w:pStyle w:val="P68B1DB1-Normal4"/>
        <w:numPr>
          <w:ilvl w:val="0"/>
          <w:numId w:val="137"/>
        </w:numPr>
        <w:spacing w:before="120" w:after="120" w:line="240" w:lineRule="auto"/>
        <w:jc w:val="both"/>
        <w:rPr>
          <w:rFonts w:cs="Times New Roman"/>
          <w:noProof/>
          <w:shd w:val="clear" w:color="auto" w:fill="FFFFFF"/>
        </w:rPr>
      </w:pPr>
      <w:r>
        <w:rPr>
          <w:noProof/>
        </w:rPr>
        <w:t>„Vállalkozói” osztálytermek létrehozása az állami szakképzési központokban, lehetővé téve a diákok számára, hogy a vállalkozói készséget a szakmai kompetencia szerves részeként értelme</w:t>
      </w:r>
      <w:r>
        <w:rPr>
          <w:noProof/>
        </w:rPr>
        <w:t>zzék, és megalapozzák a vállalkozásindítást vagy vállalkozásindítást. Spanyolország biztosítja, hogy a fellépés a Helyreállítási és Rezilienciaépítési Eszköz lejárta után költségvetési szempontból fenntartható legyen, többek között más uniós finanszírozási</w:t>
      </w:r>
      <w:r>
        <w:rPr>
          <w:noProof/>
        </w:rPr>
        <w:t xml:space="preserve"> forrásokra támaszkodva.</w:t>
      </w:r>
    </w:p>
    <w:p w14:paraId="21038114" w14:textId="77777777" w:rsidR="003E1D81" w:rsidRDefault="00EB481C">
      <w:pPr>
        <w:pStyle w:val="P68B1DB1-Normal4"/>
        <w:numPr>
          <w:ilvl w:val="0"/>
          <w:numId w:val="137"/>
        </w:numPr>
        <w:spacing w:before="120" w:after="120" w:line="240" w:lineRule="auto"/>
        <w:jc w:val="both"/>
        <w:rPr>
          <w:rFonts w:cs="Times New Roman"/>
          <w:noProof/>
          <w:shd w:val="clear" w:color="auto" w:fill="FFFFFF"/>
        </w:rPr>
      </w:pPr>
      <w:r>
        <w:rPr>
          <w:noProof/>
        </w:rPr>
        <w:t>50 kiválósági központból álló hálózat létrehozása, amely ösztönzi a kutatást és az innovációt a szakképzésben.</w:t>
      </w:r>
    </w:p>
    <w:p w14:paraId="1E7BB150" w14:textId="77777777" w:rsidR="003E1D81" w:rsidRDefault="00EB481C">
      <w:pPr>
        <w:pStyle w:val="P68B1DB1-Normal22"/>
        <w:spacing w:before="120" w:after="120" w:line="240" w:lineRule="auto"/>
        <w:jc w:val="both"/>
        <w:rPr>
          <w:rFonts w:cs="Times New Roman"/>
          <w:noProof/>
        </w:rPr>
      </w:pPr>
      <w:r>
        <w:rPr>
          <w:noProof/>
        </w:rPr>
        <w:t>A technológiai és vállalkozói osztálytermekbe történő beruházások, valamint a kutatásra és innovációra összpontosító kiv</w:t>
      </w:r>
      <w:r>
        <w:rPr>
          <w:noProof/>
        </w:rPr>
        <w:t>álósági központok fontos szerepet játszanak az üzleti szerkezet korszerűsítésében, a gazdaság átalakításának támogatásában és a versenyképesség javításában. Emellett úgy tűnik, hogy hozzájárulnak a stratégiai ágazatokban a vállalkozásalapítás fellendítéséh</w:t>
      </w:r>
      <w:r>
        <w:rPr>
          <w:noProof/>
        </w:rPr>
        <w:t>ez, valamint a kkv-k méretének és termelékenységének növeléséhez.</w:t>
      </w:r>
    </w:p>
    <w:p w14:paraId="0A4E03C3" w14:textId="14E885CD" w:rsidR="003E1D81" w:rsidRDefault="00EB481C">
      <w:pPr>
        <w:pStyle w:val="P68B1DB1-Normal22"/>
        <w:spacing w:before="120" w:after="120" w:line="240" w:lineRule="auto"/>
        <w:jc w:val="both"/>
        <w:rPr>
          <w:rFonts w:cs="Times New Roman"/>
          <w:noProof/>
          <w:u w:val="single"/>
        </w:rPr>
      </w:pPr>
      <w:r>
        <w:rPr>
          <w:noProof/>
        </w:rPr>
        <w:t>Az intézkedés végrehajtását 2025. december 31-ig be kell fejezni.</w:t>
      </w:r>
    </w:p>
    <w:p w14:paraId="6DF2FE11" w14:textId="77777777" w:rsidR="003E1D81" w:rsidRDefault="00EB481C">
      <w:pPr>
        <w:pStyle w:val="P68B1DB1-Normal23"/>
        <w:keepNext/>
        <w:spacing w:before="120" w:after="120" w:line="240" w:lineRule="auto"/>
        <w:jc w:val="both"/>
        <w:rPr>
          <w:rFonts w:cs="Times New Roman"/>
          <w:noProof/>
        </w:rPr>
      </w:pPr>
      <w:r>
        <w:rPr>
          <w:noProof/>
        </w:rPr>
        <w:t>Beruházás (C20.I3): Innováció és a szakképzés nemzetközivé tétele</w:t>
      </w:r>
    </w:p>
    <w:p w14:paraId="1E09D527" w14:textId="3F439DCA" w:rsidR="003E1D81" w:rsidRDefault="00EB481C">
      <w:pPr>
        <w:pStyle w:val="P68B1DB1-Normal4"/>
        <w:keepNext/>
        <w:spacing w:before="120" w:after="120" w:line="240" w:lineRule="auto"/>
        <w:jc w:val="both"/>
        <w:rPr>
          <w:rFonts w:cs="Times New Roman"/>
          <w:noProof/>
        </w:rPr>
      </w:pPr>
      <w:r>
        <w:rPr>
          <w:noProof/>
          <w:shd w:val="clear" w:color="auto" w:fill="FFFFFF"/>
        </w:rPr>
        <w:t>E beruházás célja, hogy 2025-ig összesen 247452 új férőhel</w:t>
      </w:r>
      <w:r>
        <w:rPr>
          <w:noProof/>
          <w:shd w:val="clear" w:color="auto" w:fill="FFFFFF"/>
        </w:rPr>
        <w:t xml:space="preserve">y létrehozásával (2020 végéhez képest) növelje a szakképzés teljes kínálatát, helyreállítva a kínálatot a vállalkozások szükségleteivel, és hatékonyan kezelve a regionális és helyi hiányosságokat. A hangsúly a középszintű képesítések iránti munkaerő-piaci </w:t>
      </w:r>
      <w:r>
        <w:rPr>
          <w:noProof/>
          <w:shd w:val="clear" w:color="auto" w:fill="FFFFFF"/>
        </w:rPr>
        <w:t xml:space="preserve">kereslet kielégítésén van. </w:t>
      </w:r>
      <w:r>
        <w:rPr>
          <w:noProof/>
        </w:rPr>
        <w:t>Az új szakképzési helyek területi elosztásának igényfelmérésen kell alapulnia, és az érintett érdekelt felekkel folytatott megbeszéléseket kell követnie annak biztosítása érdekében, hogy az ajánlat hatékonyan reagáljon a regionál</w:t>
      </w:r>
      <w:r>
        <w:rPr>
          <w:noProof/>
        </w:rPr>
        <w:t xml:space="preserve">is/helyi hiányosságokra. Erről várhatóan az oktatási ágazati konferenciák keretében születik megállapodás az autonóm régiókkal. </w:t>
      </w:r>
    </w:p>
    <w:p w14:paraId="7A43001F" w14:textId="77777777" w:rsidR="003E1D81" w:rsidRDefault="00EB481C">
      <w:pPr>
        <w:pStyle w:val="P68B1DB1-Normal4"/>
        <w:spacing w:before="120" w:after="120" w:line="240" w:lineRule="auto"/>
        <w:jc w:val="both"/>
        <w:rPr>
          <w:rFonts w:cs="Times New Roman"/>
          <w:noProof/>
        </w:rPr>
      </w:pPr>
      <w:r>
        <w:rPr>
          <w:noProof/>
        </w:rPr>
        <w:t>Az idegen nyelven történő kommunikációnak mint a szakmai teljesítmény kulcsfontosságú elemének az előmozdítása érdekében a szak</w:t>
      </w:r>
      <w:r>
        <w:rPr>
          <w:noProof/>
        </w:rPr>
        <w:t xml:space="preserve">képzés területén stratégiai célkitűzésként elő kell mozdítani a kétnyelvűséget. A hangsúlyt mind a tanári, mind a tanulói oktatásra kell helyezni a formatív ciklus részeként, 3700 ciklus kétnyelvű ajánlattá alakítása révén. </w:t>
      </w:r>
    </w:p>
    <w:p w14:paraId="7768A5FC" w14:textId="77777777" w:rsidR="003E1D81" w:rsidRDefault="00EB481C">
      <w:pPr>
        <w:pStyle w:val="P68B1DB1-Normal22"/>
        <w:spacing w:before="120" w:after="120" w:line="240" w:lineRule="auto"/>
        <w:jc w:val="both"/>
        <w:rPr>
          <w:rFonts w:cs="Times New Roman"/>
          <w:noProof/>
        </w:rPr>
      </w:pPr>
      <w:r>
        <w:rPr>
          <w:noProof/>
        </w:rPr>
        <w:t>A beruházás célja továbbá innov</w:t>
      </w:r>
      <w:r>
        <w:rPr>
          <w:noProof/>
        </w:rPr>
        <w:t>ációs és tudásátadási projektek kidolgozása a szakképzési központok és a vállalkozások között annak érdekében, hogy azok az új szakképzési modell kulcsfontosságú elemévé váljanak. A beruházás célja továbbá a közép- és magas szintű képzési ciklusok kétnyelv</w:t>
      </w:r>
      <w:r>
        <w:rPr>
          <w:noProof/>
        </w:rPr>
        <w:t>ű ciklussá alakítása, válaszul a vállalkozások nemzetközivé válására és a gazdaságok globalizációjára.</w:t>
      </w:r>
    </w:p>
    <w:p w14:paraId="04B4B727" w14:textId="77777777" w:rsidR="003E1D81" w:rsidRDefault="00EB481C">
      <w:pPr>
        <w:pStyle w:val="P68B1DB1-Normal4"/>
        <w:spacing w:before="120" w:after="120" w:line="240" w:lineRule="auto"/>
        <w:jc w:val="both"/>
        <w:rPr>
          <w:rFonts w:cs="Times New Roman"/>
          <w:noProof/>
        </w:rPr>
      </w:pPr>
      <w:r>
        <w:rPr>
          <w:noProof/>
        </w:rPr>
        <w:t>Spanyolország biztosítja, hogy a fellépés a Helyreállítási és Rezilienciaépítési Eszköz lejárta után költségvetési szempontból fenntartható legyen, többe</w:t>
      </w:r>
      <w:r>
        <w:rPr>
          <w:noProof/>
        </w:rPr>
        <w:t>k között más uniós finanszírozási forrásokra támaszkodva.</w:t>
      </w:r>
    </w:p>
    <w:p w14:paraId="23E2F75C" w14:textId="20092706" w:rsidR="003E1D81" w:rsidRDefault="00EB481C">
      <w:pPr>
        <w:pStyle w:val="P68B1DB1-Normal22"/>
        <w:spacing w:before="120" w:after="120" w:line="240" w:lineRule="auto"/>
        <w:jc w:val="both"/>
        <w:rPr>
          <w:rFonts w:cs="Times New Roman"/>
          <w:noProof/>
        </w:rPr>
      </w:pPr>
      <w:r>
        <w:rPr>
          <w:noProof/>
        </w:rPr>
        <w:t>Az intézkedés végrehajtását 2025. december 31-ig be kell fejezni.</w:t>
      </w:r>
    </w:p>
    <w:p w14:paraId="553853FF" w14:textId="77777777" w:rsidR="003E1D81" w:rsidRDefault="00EB481C">
      <w:pPr>
        <w:pStyle w:val="P68B1DB1-Normal5"/>
        <w:spacing w:before="120" w:after="120" w:line="240" w:lineRule="auto"/>
        <w:ind w:left="709"/>
        <w:jc w:val="both"/>
        <w:rPr>
          <w:rFonts w:cs="Times New Roman"/>
          <w:noProof/>
        </w:rPr>
      </w:pPr>
      <w:r>
        <w:rPr>
          <w:noProof/>
        </w:rPr>
        <w:t xml:space="preserve">T.2. </w:t>
      </w:r>
      <w:r>
        <w:rPr>
          <w:noProof/>
        </w:rPr>
        <w:tab/>
        <w:t>Vissza nem térítendő pénzügyi támogatás – a végrehajtáshoz és a nyomon követéshez kapcsolódó mérföldkövek, célok, mutatók és ü</w:t>
      </w:r>
      <w:r>
        <w:rPr>
          <w:noProof/>
        </w:rPr>
        <w:t>temterv</w:t>
      </w:r>
    </w:p>
    <w:p w14:paraId="7418992F" w14:textId="2B84E655" w:rsidR="003E1D81" w:rsidRDefault="00EB481C">
      <w:pPr>
        <w:pStyle w:val="P68B1DB1-Normal4"/>
        <w:spacing w:before="120" w:after="120" w:line="240" w:lineRule="auto"/>
        <w:jc w:val="both"/>
        <w:rPr>
          <w:rFonts w:cs="Times New Roman"/>
          <w:noProof/>
        </w:rPr>
        <w:sectPr w:rsidR="003E1D81" w:rsidSect="00C94F66">
          <w:headerReference w:type="even" r:id="rId399"/>
          <w:headerReference w:type="default" r:id="rId400"/>
          <w:footerReference w:type="even" r:id="rId401"/>
          <w:footerReference w:type="default" r:id="rId402"/>
          <w:headerReference w:type="first" r:id="rId403"/>
          <w:footerReference w:type="first" r:id="rId404"/>
          <w:pgSz w:w="11907" w:h="16839"/>
          <w:pgMar w:top="1134" w:right="1417" w:bottom="1134" w:left="1417" w:header="709" w:footer="709" w:gutter="0"/>
          <w:cols w:space="720"/>
          <w:docGrid w:linePitch="360"/>
        </w:sectPr>
      </w:pPr>
      <w:r>
        <w:rPr>
          <w:i/>
          <w:noProof/>
        </w:rPr>
        <w:t>Táblázat alább.</w:t>
      </w:r>
      <w:r>
        <w:rPr>
          <w:noProof/>
        </w:rPr>
        <w:t xml:space="preserve"> </w:t>
      </w:r>
      <w:r>
        <w:rPr>
          <w:i/>
          <w:noProof/>
        </w:rPr>
        <w:t>Az alapforgatókönyv valamennyi mutató esetében 2020. február 1-je, kivéve, ha az intézkedés leírása másként jelzi. A táblázatban szereplő összegek nem tartalmazzák a héát.</w:t>
      </w:r>
    </w:p>
    <w:p w14:paraId="7BFC5B75" w14:textId="77777777" w:rsidR="003E1D81" w:rsidRDefault="003E1D81">
      <w:pPr>
        <w:spacing w:before="120" w:after="120" w:line="240" w:lineRule="auto"/>
        <w:jc w:val="both"/>
        <w:rPr>
          <w:rFonts w:ascii="Times New Roman" w:hAnsi="Times New Roman" w:cs="Times New Roman"/>
          <w:b/>
          <w:noProof/>
          <w:sz w:val="24"/>
          <w:u w:val="single"/>
        </w:rPr>
      </w:pPr>
    </w:p>
    <w:p w14:paraId="1B4D7F22" w14:textId="77777777" w:rsidR="003E1D81" w:rsidRDefault="003E1D81">
      <w:pPr>
        <w:spacing w:before="120" w:after="120" w:line="240" w:lineRule="auto"/>
        <w:jc w:val="both"/>
        <w:rPr>
          <w:rFonts w:ascii="Times New Roman" w:hAnsi="Times New Roman" w:cs="Times New Roman"/>
          <w:noProof/>
          <w:sz w:val="24"/>
        </w:rPr>
      </w:pPr>
    </w:p>
    <w:tbl>
      <w:tblPr>
        <w:tblW w:w="153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851"/>
        <w:gridCol w:w="858"/>
        <w:gridCol w:w="2685"/>
        <w:gridCol w:w="1418"/>
        <w:gridCol w:w="811"/>
        <w:gridCol w:w="984"/>
        <w:gridCol w:w="1040"/>
        <w:gridCol w:w="365"/>
        <w:gridCol w:w="627"/>
        <w:gridCol w:w="4820"/>
      </w:tblGrid>
      <w:tr w:rsidR="003E1D81" w14:paraId="03A88FCA" w14:textId="77777777">
        <w:trPr>
          <w:trHeight w:val="309"/>
          <w:tblHeader/>
        </w:trPr>
        <w:tc>
          <w:tcPr>
            <w:tcW w:w="851" w:type="dxa"/>
            <w:vMerge w:val="restart"/>
            <w:shd w:val="clear" w:color="auto" w:fill="C6D9F1" w:themeFill="text2" w:themeFillTint="33"/>
            <w:noWrap/>
          </w:tcPr>
          <w:p w14:paraId="7D977EB8" w14:textId="08279DD2" w:rsidR="003E1D81" w:rsidRDefault="00EB481C">
            <w:pPr>
              <w:pStyle w:val="P68B1DB1-Normal12"/>
              <w:spacing w:after="0" w:line="240" w:lineRule="auto"/>
              <w:jc w:val="center"/>
              <w:rPr>
                <w:rFonts w:cs="Times New Roman"/>
                <w:noProof/>
              </w:rPr>
            </w:pPr>
            <w:r>
              <w:rPr>
                <w:noProof/>
              </w:rPr>
              <w:t>borostyán</w:t>
            </w:r>
          </w:p>
        </w:tc>
        <w:tc>
          <w:tcPr>
            <w:tcW w:w="851" w:type="dxa"/>
            <w:vMerge w:val="restart"/>
            <w:shd w:val="clear" w:color="auto" w:fill="C6D9F1" w:themeFill="text2" w:themeFillTint="33"/>
            <w:noWrap/>
          </w:tcPr>
          <w:p w14:paraId="37E54185" w14:textId="77777777" w:rsidR="003E1D81" w:rsidRDefault="00EB481C">
            <w:pPr>
              <w:pStyle w:val="P68B1DB1-Normal12"/>
              <w:spacing w:after="0" w:line="240" w:lineRule="auto"/>
              <w:jc w:val="center"/>
              <w:rPr>
                <w:rFonts w:cs="Times New Roman"/>
                <w:noProof/>
              </w:rPr>
            </w:pPr>
            <w:r>
              <w:rPr>
                <w:noProof/>
              </w:rPr>
              <w:t>Intézkedés</w:t>
            </w:r>
          </w:p>
        </w:tc>
        <w:tc>
          <w:tcPr>
            <w:tcW w:w="858" w:type="dxa"/>
            <w:vMerge w:val="restart"/>
            <w:shd w:val="clear" w:color="auto" w:fill="C6D9F1" w:themeFill="text2" w:themeFillTint="33"/>
            <w:noWrap/>
          </w:tcPr>
          <w:p w14:paraId="710F5BB6"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685" w:type="dxa"/>
            <w:vMerge w:val="restart"/>
            <w:shd w:val="clear" w:color="auto" w:fill="C6D9F1" w:themeFill="text2" w:themeFillTint="33"/>
            <w:noWrap/>
          </w:tcPr>
          <w:p w14:paraId="753E517F" w14:textId="77777777" w:rsidR="003E1D81" w:rsidRDefault="00EB481C">
            <w:pPr>
              <w:pStyle w:val="P68B1DB1-Normal12"/>
              <w:spacing w:after="0" w:line="240" w:lineRule="auto"/>
              <w:jc w:val="center"/>
              <w:rPr>
                <w:rFonts w:cs="Times New Roman"/>
                <w:noProof/>
              </w:rPr>
            </w:pPr>
            <w:r>
              <w:rPr>
                <w:noProof/>
              </w:rPr>
              <w:t>Név</w:t>
            </w:r>
          </w:p>
        </w:tc>
        <w:tc>
          <w:tcPr>
            <w:tcW w:w="1418" w:type="dxa"/>
            <w:vMerge w:val="restart"/>
            <w:shd w:val="clear" w:color="auto" w:fill="C6D9F1" w:themeFill="text2" w:themeFillTint="33"/>
            <w:noWrap/>
          </w:tcPr>
          <w:p w14:paraId="72C9630E"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2835" w:type="dxa"/>
            <w:gridSpan w:val="3"/>
            <w:shd w:val="clear" w:color="auto" w:fill="C6D9F1" w:themeFill="text2" w:themeFillTint="33"/>
            <w:noWrap/>
          </w:tcPr>
          <w:p w14:paraId="32E9FBE9"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92" w:type="dxa"/>
            <w:gridSpan w:val="2"/>
            <w:shd w:val="clear" w:color="auto" w:fill="C6D9F1" w:themeFill="text2" w:themeFillTint="33"/>
            <w:noWrap/>
          </w:tcPr>
          <w:p w14:paraId="5571DBCE" w14:textId="77777777" w:rsidR="003E1D81" w:rsidRDefault="00EB481C">
            <w:pPr>
              <w:pStyle w:val="P68B1DB1-Normal12"/>
              <w:spacing w:after="0" w:line="240" w:lineRule="auto"/>
              <w:jc w:val="center"/>
              <w:rPr>
                <w:rFonts w:cs="Times New Roman"/>
                <w:noProof/>
              </w:rPr>
            </w:pPr>
            <w:r>
              <w:rPr>
                <w:noProof/>
              </w:rPr>
              <w:t>Idő</w:t>
            </w:r>
          </w:p>
        </w:tc>
        <w:tc>
          <w:tcPr>
            <w:tcW w:w="4820" w:type="dxa"/>
            <w:vMerge w:val="restart"/>
            <w:shd w:val="clear" w:color="auto" w:fill="C6D9F1" w:themeFill="text2" w:themeFillTint="33"/>
            <w:noWrap/>
          </w:tcPr>
          <w:p w14:paraId="0C0A5697"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119E1114" w14:textId="77777777">
        <w:trPr>
          <w:trHeight w:val="587"/>
          <w:tblHeader/>
        </w:trPr>
        <w:tc>
          <w:tcPr>
            <w:tcW w:w="851" w:type="dxa"/>
            <w:vMerge/>
            <w:noWrap/>
          </w:tcPr>
          <w:p w14:paraId="74A0DCF2" w14:textId="77777777" w:rsidR="003E1D81" w:rsidRDefault="003E1D81">
            <w:pPr>
              <w:spacing w:after="0" w:line="240" w:lineRule="auto"/>
              <w:jc w:val="center"/>
              <w:rPr>
                <w:rFonts w:ascii="Times New Roman" w:hAnsi="Times New Roman" w:cs="Times New Roman"/>
                <w:b/>
                <w:noProof/>
                <w:sz w:val="18"/>
              </w:rPr>
            </w:pPr>
          </w:p>
        </w:tc>
        <w:tc>
          <w:tcPr>
            <w:tcW w:w="851" w:type="dxa"/>
            <w:vMerge/>
            <w:noWrap/>
          </w:tcPr>
          <w:p w14:paraId="5A492254" w14:textId="77777777" w:rsidR="003E1D81" w:rsidRDefault="003E1D81">
            <w:pPr>
              <w:spacing w:after="0" w:line="240" w:lineRule="auto"/>
              <w:jc w:val="center"/>
              <w:rPr>
                <w:rFonts w:ascii="Times New Roman" w:hAnsi="Times New Roman" w:cs="Times New Roman"/>
                <w:b/>
                <w:noProof/>
                <w:sz w:val="18"/>
              </w:rPr>
            </w:pPr>
          </w:p>
        </w:tc>
        <w:tc>
          <w:tcPr>
            <w:tcW w:w="858" w:type="dxa"/>
            <w:vMerge/>
            <w:noWrap/>
          </w:tcPr>
          <w:p w14:paraId="42B6D871" w14:textId="77777777" w:rsidR="003E1D81" w:rsidRDefault="003E1D81">
            <w:pPr>
              <w:spacing w:after="0" w:line="240" w:lineRule="auto"/>
              <w:jc w:val="center"/>
              <w:rPr>
                <w:rFonts w:ascii="Times New Roman" w:hAnsi="Times New Roman" w:cs="Times New Roman"/>
                <w:b/>
                <w:noProof/>
                <w:sz w:val="18"/>
              </w:rPr>
            </w:pPr>
          </w:p>
        </w:tc>
        <w:tc>
          <w:tcPr>
            <w:tcW w:w="2685" w:type="dxa"/>
            <w:vMerge/>
            <w:noWrap/>
          </w:tcPr>
          <w:p w14:paraId="7B9A3E6A" w14:textId="77777777" w:rsidR="003E1D81" w:rsidRDefault="003E1D81">
            <w:pPr>
              <w:spacing w:after="0" w:line="240" w:lineRule="auto"/>
              <w:rPr>
                <w:rFonts w:ascii="Times New Roman" w:hAnsi="Times New Roman" w:cs="Times New Roman"/>
                <w:b/>
                <w:noProof/>
                <w:sz w:val="18"/>
              </w:rPr>
            </w:pPr>
          </w:p>
        </w:tc>
        <w:tc>
          <w:tcPr>
            <w:tcW w:w="1418" w:type="dxa"/>
            <w:vMerge/>
            <w:noWrap/>
          </w:tcPr>
          <w:p w14:paraId="675960C4" w14:textId="77777777" w:rsidR="003E1D81" w:rsidRDefault="003E1D81">
            <w:pPr>
              <w:spacing w:after="0" w:line="240" w:lineRule="auto"/>
              <w:jc w:val="center"/>
              <w:rPr>
                <w:rFonts w:ascii="Times New Roman" w:hAnsi="Times New Roman" w:cs="Times New Roman"/>
                <w:b/>
                <w:noProof/>
                <w:sz w:val="18"/>
              </w:rPr>
            </w:pPr>
          </w:p>
        </w:tc>
        <w:tc>
          <w:tcPr>
            <w:tcW w:w="811" w:type="dxa"/>
            <w:shd w:val="clear" w:color="auto" w:fill="C6D9F1" w:themeFill="text2" w:themeFillTint="33"/>
            <w:noWrap/>
          </w:tcPr>
          <w:p w14:paraId="6AE22D92" w14:textId="77777777" w:rsidR="003E1D81" w:rsidRDefault="00EB481C">
            <w:pPr>
              <w:pStyle w:val="P68B1DB1-Normal12"/>
              <w:spacing w:after="0" w:line="240" w:lineRule="auto"/>
              <w:jc w:val="center"/>
              <w:rPr>
                <w:rFonts w:cs="Times New Roman"/>
                <w:noProof/>
              </w:rPr>
            </w:pPr>
            <w:r>
              <w:rPr>
                <w:noProof/>
              </w:rPr>
              <w:t>Egység</w:t>
            </w:r>
          </w:p>
        </w:tc>
        <w:tc>
          <w:tcPr>
            <w:tcW w:w="984" w:type="dxa"/>
            <w:shd w:val="clear" w:color="auto" w:fill="C6D9F1" w:themeFill="text2" w:themeFillTint="33"/>
            <w:noWrap/>
          </w:tcPr>
          <w:p w14:paraId="01FB293D" w14:textId="77777777" w:rsidR="003E1D81" w:rsidRDefault="00EB481C">
            <w:pPr>
              <w:pStyle w:val="P68B1DB1-Normal12"/>
              <w:spacing w:after="0" w:line="240" w:lineRule="auto"/>
              <w:jc w:val="center"/>
              <w:rPr>
                <w:rFonts w:cs="Times New Roman"/>
                <w:noProof/>
              </w:rPr>
            </w:pPr>
            <w:r>
              <w:rPr>
                <w:noProof/>
              </w:rPr>
              <w:t>Kiindulási</w:t>
            </w:r>
          </w:p>
        </w:tc>
        <w:tc>
          <w:tcPr>
            <w:tcW w:w="1040" w:type="dxa"/>
            <w:shd w:val="clear" w:color="auto" w:fill="C6D9F1" w:themeFill="text2" w:themeFillTint="33"/>
            <w:noWrap/>
          </w:tcPr>
          <w:p w14:paraId="1B69AB8E" w14:textId="77777777" w:rsidR="003E1D81" w:rsidRDefault="00EB481C">
            <w:pPr>
              <w:pStyle w:val="P68B1DB1-Normal12"/>
              <w:spacing w:after="0" w:line="240" w:lineRule="auto"/>
              <w:jc w:val="center"/>
              <w:rPr>
                <w:rFonts w:cs="Times New Roman"/>
                <w:noProof/>
              </w:rPr>
            </w:pPr>
            <w:r>
              <w:rPr>
                <w:noProof/>
              </w:rPr>
              <w:t>Cél</w:t>
            </w:r>
          </w:p>
        </w:tc>
        <w:tc>
          <w:tcPr>
            <w:tcW w:w="365" w:type="dxa"/>
            <w:shd w:val="clear" w:color="auto" w:fill="C6D9F1" w:themeFill="text2" w:themeFillTint="33"/>
            <w:noWrap/>
          </w:tcPr>
          <w:p w14:paraId="3FE72860" w14:textId="77777777" w:rsidR="003E1D81" w:rsidRDefault="00EB481C">
            <w:pPr>
              <w:pStyle w:val="P68B1DB1-Normal12"/>
              <w:spacing w:after="0" w:line="240" w:lineRule="auto"/>
              <w:jc w:val="center"/>
              <w:rPr>
                <w:rFonts w:cs="Times New Roman"/>
                <w:noProof/>
              </w:rPr>
            </w:pPr>
            <w:r>
              <w:rPr>
                <w:noProof/>
              </w:rPr>
              <w:t>Q</w:t>
            </w:r>
          </w:p>
        </w:tc>
        <w:tc>
          <w:tcPr>
            <w:tcW w:w="627" w:type="dxa"/>
            <w:shd w:val="clear" w:color="auto" w:fill="C6D9F1" w:themeFill="text2" w:themeFillTint="33"/>
            <w:noWrap/>
          </w:tcPr>
          <w:p w14:paraId="2204C7CA" w14:textId="77777777" w:rsidR="003E1D81" w:rsidRDefault="00EB481C">
            <w:pPr>
              <w:pStyle w:val="P68B1DB1-Normal12"/>
              <w:spacing w:after="0" w:line="240" w:lineRule="auto"/>
              <w:jc w:val="center"/>
              <w:rPr>
                <w:rFonts w:cs="Times New Roman"/>
                <w:noProof/>
              </w:rPr>
            </w:pPr>
            <w:r>
              <w:rPr>
                <w:noProof/>
              </w:rPr>
              <w:t>Éve</w:t>
            </w:r>
          </w:p>
        </w:tc>
        <w:tc>
          <w:tcPr>
            <w:tcW w:w="4820" w:type="dxa"/>
            <w:vMerge/>
            <w:noWrap/>
          </w:tcPr>
          <w:p w14:paraId="2C714CDA" w14:textId="77777777" w:rsidR="003E1D81" w:rsidRDefault="003E1D81">
            <w:pPr>
              <w:spacing w:after="0" w:line="240" w:lineRule="auto"/>
              <w:rPr>
                <w:rFonts w:ascii="Times New Roman" w:hAnsi="Times New Roman" w:cs="Times New Roman"/>
                <w:b/>
                <w:noProof/>
                <w:sz w:val="18"/>
              </w:rPr>
            </w:pPr>
          </w:p>
        </w:tc>
      </w:tr>
      <w:tr w:rsidR="003E1D81" w14:paraId="5F1EAB79" w14:textId="77777777">
        <w:trPr>
          <w:trHeight w:val="309"/>
        </w:trPr>
        <w:tc>
          <w:tcPr>
            <w:tcW w:w="851" w:type="dxa"/>
            <w:shd w:val="clear" w:color="auto" w:fill="C6EFCE"/>
            <w:noWrap/>
          </w:tcPr>
          <w:p w14:paraId="7801E37C" w14:textId="77777777" w:rsidR="003E1D81" w:rsidRDefault="00EB481C">
            <w:pPr>
              <w:pStyle w:val="P68B1DB1-Normal13"/>
              <w:spacing w:after="0" w:line="240" w:lineRule="auto"/>
              <w:jc w:val="center"/>
              <w:rPr>
                <w:rFonts w:eastAsia="Times New Roman" w:cs="Times New Roman"/>
                <w:noProof/>
              </w:rPr>
            </w:pPr>
            <w:r>
              <w:rPr>
                <w:noProof/>
              </w:rPr>
              <w:t>295</w:t>
            </w:r>
          </w:p>
        </w:tc>
        <w:tc>
          <w:tcPr>
            <w:tcW w:w="851" w:type="dxa"/>
            <w:shd w:val="clear" w:color="auto" w:fill="C6EFCE"/>
            <w:noWrap/>
          </w:tcPr>
          <w:p w14:paraId="7B81073A" w14:textId="77777777" w:rsidR="003E1D81" w:rsidRDefault="00EB481C">
            <w:pPr>
              <w:pStyle w:val="P68B1DB1-Normal13"/>
              <w:spacing w:after="0" w:line="240" w:lineRule="auto"/>
              <w:jc w:val="center"/>
              <w:rPr>
                <w:rFonts w:eastAsia="Times New Roman" w:cs="Times New Roman"/>
                <w:noProof/>
              </w:rPr>
            </w:pPr>
            <w:r>
              <w:rPr>
                <w:noProof/>
              </w:rPr>
              <w:t>C20.R1</w:t>
            </w:r>
          </w:p>
        </w:tc>
        <w:tc>
          <w:tcPr>
            <w:tcW w:w="858" w:type="dxa"/>
            <w:shd w:val="clear" w:color="auto" w:fill="C6EFCE"/>
            <w:noWrap/>
          </w:tcPr>
          <w:p w14:paraId="1FFF2D97" w14:textId="77777777" w:rsidR="003E1D81" w:rsidRDefault="00EB481C">
            <w:pPr>
              <w:pStyle w:val="P68B1DB1-Normal13"/>
              <w:spacing w:after="0" w:line="240" w:lineRule="auto"/>
              <w:jc w:val="center"/>
              <w:rPr>
                <w:rFonts w:eastAsia="Times New Roman" w:cs="Times New Roman"/>
                <w:noProof/>
              </w:rPr>
            </w:pPr>
            <w:r>
              <w:rPr>
                <w:noProof/>
              </w:rPr>
              <w:t>M</w:t>
            </w:r>
          </w:p>
        </w:tc>
        <w:tc>
          <w:tcPr>
            <w:tcW w:w="2685" w:type="dxa"/>
            <w:shd w:val="clear" w:color="auto" w:fill="C6EFCE"/>
            <w:noWrap/>
          </w:tcPr>
          <w:p w14:paraId="1B84B487" w14:textId="77777777" w:rsidR="003E1D81" w:rsidRDefault="00EB481C">
            <w:pPr>
              <w:pStyle w:val="P68B1DB1-Normal13"/>
              <w:spacing w:after="0" w:line="240" w:lineRule="auto"/>
              <w:rPr>
                <w:rFonts w:eastAsia="Times New Roman" w:cs="Times New Roman"/>
                <w:noProof/>
              </w:rPr>
            </w:pPr>
            <w:r>
              <w:rPr>
                <w:noProof/>
              </w:rPr>
              <w:t>A szakképzés korszerűsítésének terve és a kapcsolódó</w:t>
            </w:r>
            <w:r>
              <w:rPr>
                <w:noProof/>
              </w:rPr>
              <w:t xml:space="preserve"> királyi törvényerejű rendeletek</w:t>
            </w:r>
          </w:p>
        </w:tc>
        <w:tc>
          <w:tcPr>
            <w:tcW w:w="1418" w:type="dxa"/>
            <w:shd w:val="clear" w:color="auto" w:fill="C6EFCE"/>
            <w:noWrap/>
          </w:tcPr>
          <w:p w14:paraId="4D0E5B23" w14:textId="77777777" w:rsidR="003E1D81" w:rsidRDefault="00EB481C">
            <w:pPr>
              <w:pStyle w:val="P68B1DB1-Normal13"/>
              <w:spacing w:after="0" w:line="240" w:lineRule="auto"/>
              <w:jc w:val="center"/>
              <w:rPr>
                <w:rFonts w:eastAsia="Times New Roman" w:cs="Times New Roman"/>
                <w:noProof/>
              </w:rPr>
            </w:pPr>
            <w:r>
              <w:rPr>
                <w:noProof/>
              </w:rPr>
              <w:t xml:space="preserve">Közzététel a MEFP honlapján és a miniszterelnök előadása </w:t>
            </w:r>
          </w:p>
        </w:tc>
        <w:tc>
          <w:tcPr>
            <w:tcW w:w="811" w:type="dxa"/>
            <w:shd w:val="clear" w:color="auto" w:fill="C6EFCE"/>
            <w:noWrap/>
          </w:tcPr>
          <w:p w14:paraId="3ACB1B1E"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984" w:type="dxa"/>
            <w:shd w:val="clear" w:color="auto" w:fill="C6EFCE"/>
            <w:noWrap/>
          </w:tcPr>
          <w:p w14:paraId="1CDC19BA"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1040" w:type="dxa"/>
            <w:shd w:val="clear" w:color="auto" w:fill="C6EFCE"/>
            <w:noWrap/>
          </w:tcPr>
          <w:p w14:paraId="42D3C784"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365" w:type="dxa"/>
            <w:shd w:val="clear" w:color="auto" w:fill="C6EFCE"/>
            <w:noWrap/>
          </w:tcPr>
          <w:p w14:paraId="5199EFB7"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627" w:type="dxa"/>
            <w:shd w:val="clear" w:color="auto" w:fill="C6EFCE"/>
            <w:noWrap/>
          </w:tcPr>
          <w:p w14:paraId="198E1460" w14:textId="77777777" w:rsidR="003E1D81" w:rsidRDefault="00EB481C">
            <w:pPr>
              <w:pStyle w:val="P68B1DB1-Normal13"/>
              <w:spacing w:after="0" w:line="240" w:lineRule="auto"/>
              <w:jc w:val="center"/>
              <w:rPr>
                <w:rFonts w:eastAsia="Times New Roman" w:cs="Times New Roman"/>
                <w:noProof/>
              </w:rPr>
            </w:pPr>
            <w:r>
              <w:rPr>
                <w:noProof/>
              </w:rPr>
              <w:t>2020</w:t>
            </w:r>
          </w:p>
        </w:tc>
        <w:tc>
          <w:tcPr>
            <w:tcW w:w="4820" w:type="dxa"/>
            <w:shd w:val="clear" w:color="auto" w:fill="C6EFCE"/>
            <w:noWrap/>
          </w:tcPr>
          <w:p w14:paraId="7AB078FE" w14:textId="77777777" w:rsidR="003E1D81" w:rsidRDefault="00EB481C">
            <w:pPr>
              <w:pStyle w:val="P68B1DB1-Normal13"/>
              <w:spacing w:after="0" w:line="240" w:lineRule="auto"/>
              <w:rPr>
                <w:rFonts w:eastAsia="Times New Roman" w:cs="Times New Roman"/>
                <w:noProof/>
              </w:rPr>
            </w:pPr>
            <w:r>
              <w:rPr>
                <w:noProof/>
              </w:rPr>
              <w:t>A miniszterelnök ismerteti a szakképzés korszerűsítésére vonatkozó tervet, és közzéteszi a Hivatalos Lapban a terv végrehajtására vonatkozó 8 kir</w:t>
            </w:r>
            <w:r>
              <w:rPr>
                <w:noProof/>
              </w:rPr>
              <w:t>ályi törvényerejű rendeletet, amelyek 5 szakirányú, 2 közép- és 1 felsőfokú képzésnek felelnek meg</w:t>
            </w:r>
          </w:p>
        </w:tc>
      </w:tr>
      <w:tr w:rsidR="003E1D81" w14:paraId="7F18E1AA" w14:textId="77777777">
        <w:trPr>
          <w:trHeight w:val="309"/>
        </w:trPr>
        <w:tc>
          <w:tcPr>
            <w:tcW w:w="851" w:type="dxa"/>
            <w:shd w:val="clear" w:color="auto" w:fill="C6EFCE"/>
            <w:noWrap/>
          </w:tcPr>
          <w:p w14:paraId="36A51CE5" w14:textId="77777777" w:rsidR="003E1D81" w:rsidRDefault="00EB481C">
            <w:pPr>
              <w:pStyle w:val="P68B1DB1-Normal13"/>
              <w:spacing w:after="0" w:line="240" w:lineRule="auto"/>
              <w:jc w:val="center"/>
              <w:rPr>
                <w:rFonts w:eastAsia="Times New Roman" w:cs="Times New Roman"/>
                <w:noProof/>
              </w:rPr>
            </w:pPr>
            <w:r>
              <w:rPr>
                <w:noProof/>
              </w:rPr>
              <w:t>296</w:t>
            </w:r>
          </w:p>
        </w:tc>
        <w:tc>
          <w:tcPr>
            <w:tcW w:w="851" w:type="dxa"/>
            <w:shd w:val="clear" w:color="auto" w:fill="C6EFCE"/>
            <w:noWrap/>
          </w:tcPr>
          <w:p w14:paraId="77525228" w14:textId="77777777" w:rsidR="003E1D81" w:rsidRDefault="00EB481C">
            <w:pPr>
              <w:pStyle w:val="P68B1DB1-Normal13"/>
              <w:spacing w:after="0" w:line="240" w:lineRule="auto"/>
              <w:jc w:val="center"/>
              <w:rPr>
                <w:rFonts w:eastAsia="Times New Roman" w:cs="Times New Roman"/>
                <w:noProof/>
              </w:rPr>
            </w:pPr>
            <w:r>
              <w:rPr>
                <w:noProof/>
              </w:rPr>
              <w:t>C20.R2</w:t>
            </w:r>
          </w:p>
        </w:tc>
        <w:tc>
          <w:tcPr>
            <w:tcW w:w="858" w:type="dxa"/>
            <w:shd w:val="clear" w:color="auto" w:fill="C6EFCE"/>
            <w:noWrap/>
          </w:tcPr>
          <w:p w14:paraId="2C26C7FC" w14:textId="77777777" w:rsidR="003E1D81" w:rsidRDefault="00EB481C">
            <w:pPr>
              <w:pStyle w:val="P68B1DB1-Normal13"/>
              <w:spacing w:after="0" w:line="240" w:lineRule="auto"/>
              <w:jc w:val="center"/>
              <w:rPr>
                <w:rFonts w:eastAsia="Times New Roman" w:cs="Times New Roman"/>
                <w:noProof/>
              </w:rPr>
            </w:pPr>
            <w:r>
              <w:rPr>
                <w:noProof/>
              </w:rPr>
              <w:t>M</w:t>
            </w:r>
          </w:p>
        </w:tc>
        <w:tc>
          <w:tcPr>
            <w:tcW w:w="2685" w:type="dxa"/>
            <w:shd w:val="clear" w:color="auto" w:fill="C6EFCE"/>
            <w:noWrap/>
          </w:tcPr>
          <w:p w14:paraId="66D2E756" w14:textId="77777777" w:rsidR="003E1D81" w:rsidRDefault="00EB481C">
            <w:pPr>
              <w:pStyle w:val="P68B1DB1-Normal13"/>
              <w:spacing w:after="0" w:line="240" w:lineRule="auto"/>
              <w:rPr>
                <w:rFonts w:eastAsia="Times New Roman" w:cs="Times New Roman"/>
                <w:noProof/>
              </w:rPr>
            </w:pPr>
            <w:r>
              <w:rPr>
                <w:noProof/>
              </w:rPr>
              <w:t>Az egységes integrált szakképzési rendszerről szóló törvény hatálybalépése a rendszer korszerűsítésének céljával</w:t>
            </w:r>
          </w:p>
        </w:tc>
        <w:tc>
          <w:tcPr>
            <w:tcW w:w="1418" w:type="dxa"/>
            <w:shd w:val="clear" w:color="auto" w:fill="C6EFCE"/>
            <w:noWrap/>
          </w:tcPr>
          <w:p w14:paraId="4401B173" w14:textId="77777777" w:rsidR="003E1D81" w:rsidRDefault="00EB481C">
            <w:pPr>
              <w:pStyle w:val="P68B1DB1-Normal13"/>
              <w:spacing w:after="0" w:line="240" w:lineRule="auto"/>
              <w:jc w:val="center"/>
              <w:rPr>
                <w:rFonts w:eastAsia="Times New Roman" w:cs="Times New Roman"/>
                <w:noProof/>
              </w:rPr>
            </w:pPr>
            <w:r>
              <w:rPr>
                <w:noProof/>
              </w:rPr>
              <w:t>Közzététel a Hivatalos Lapban</w:t>
            </w:r>
          </w:p>
        </w:tc>
        <w:tc>
          <w:tcPr>
            <w:tcW w:w="811" w:type="dxa"/>
            <w:shd w:val="clear" w:color="auto" w:fill="C6EFCE"/>
            <w:noWrap/>
          </w:tcPr>
          <w:p w14:paraId="10014F23"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984" w:type="dxa"/>
            <w:shd w:val="clear" w:color="auto" w:fill="C6EFCE"/>
            <w:noWrap/>
          </w:tcPr>
          <w:p w14:paraId="1D45BAB3"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1040" w:type="dxa"/>
            <w:shd w:val="clear" w:color="auto" w:fill="C6EFCE"/>
            <w:noWrap/>
          </w:tcPr>
          <w:p w14:paraId="1718155C"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365" w:type="dxa"/>
            <w:shd w:val="clear" w:color="auto" w:fill="C6EFCE"/>
            <w:noWrap/>
          </w:tcPr>
          <w:p w14:paraId="11F823F8"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627" w:type="dxa"/>
            <w:shd w:val="clear" w:color="auto" w:fill="C6EFCE"/>
            <w:noWrap/>
          </w:tcPr>
          <w:p w14:paraId="7788A7C0" w14:textId="77777777" w:rsidR="003E1D81" w:rsidRDefault="00EB481C">
            <w:pPr>
              <w:pStyle w:val="P68B1DB1-Normal13"/>
              <w:spacing w:after="0" w:line="240" w:lineRule="auto"/>
              <w:jc w:val="center"/>
              <w:rPr>
                <w:rFonts w:eastAsia="Times New Roman" w:cs="Times New Roman"/>
                <w:noProof/>
              </w:rPr>
            </w:pPr>
            <w:r>
              <w:rPr>
                <w:noProof/>
              </w:rPr>
              <w:t>2022</w:t>
            </w:r>
          </w:p>
        </w:tc>
        <w:tc>
          <w:tcPr>
            <w:tcW w:w="4820" w:type="dxa"/>
            <w:shd w:val="clear" w:color="auto" w:fill="C6EFCE"/>
            <w:noWrap/>
          </w:tcPr>
          <w:p w14:paraId="5098559A" w14:textId="77777777" w:rsidR="003E1D81" w:rsidRDefault="00EB481C">
            <w:pPr>
              <w:pStyle w:val="P68B1DB1-Normal13"/>
              <w:spacing w:after="0" w:line="240" w:lineRule="auto"/>
              <w:rPr>
                <w:rFonts w:eastAsia="Times New Roman" w:cs="Times New Roman"/>
                <w:noProof/>
              </w:rPr>
            </w:pPr>
            <w:r>
              <w:rPr>
                <w:noProof/>
              </w:rPr>
              <w:t>Az egységes integrált szakképzési rendszerről szóló törvény hatálybalépése a rendszer korszerűsítésének céljával. A törvény egységesíti és korszerűsíti a két korábban meglévő szakképzési rendszert az alábbiak révén: az alacsony képzettség</w:t>
            </w:r>
            <w:r>
              <w:rPr>
                <w:noProof/>
              </w:rPr>
              <w:t>űek továbbképzésére és foglalkoztathatóságuk javítására való összpontosítás; a strukturális munkaerőhiány kezelése; a szakmai képesítések nemzeti jegyzékének aktualizálása, a gazdaság jövőbeli igényeihez való hozzáigazítása, beleértve a zöld és digitális á</w:t>
            </w:r>
            <w:r>
              <w:rPr>
                <w:noProof/>
              </w:rPr>
              <w:t>tállás támogatását is; a magasabb szintű szakképzési programok vonzerejének növelése a beiratkozás javítása érdekében.</w:t>
            </w:r>
          </w:p>
        </w:tc>
      </w:tr>
      <w:tr w:rsidR="003E1D81" w14:paraId="45000D6A" w14:textId="77777777">
        <w:trPr>
          <w:trHeight w:val="309"/>
        </w:trPr>
        <w:tc>
          <w:tcPr>
            <w:tcW w:w="851" w:type="dxa"/>
            <w:shd w:val="clear" w:color="auto" w:fill="C6EFCE"/>
            <w:noWrap/>
          </w:tcPr>
          <w:p w14:paraId="78962619" w14:textId="77777777" w:rsidR="003E1D81" w:rsidRDefault="00EB481C">
            <w:pPr>
              <w:pStyle w:val="P68B1DB1-Normal13"/>
              <w:spacing w:after="0" w:line="240" w:lineRule="auto"/>
              <w:jc w:val="center"/>
              <w:rPr>
                <w:rFonts w:eastAsia="Times New Roman" w:cs="Times New Roman"/>
                <w:noProof/>
              </w:rPr>
            </w:pPr>
            <w:r>
              <w:rPr>
                <w:noProof/>
              </w:rPr>
              <w:t>297</w:t>
            </w:r>
          </w:p>
        </w:tc>
        <w:tc>
          <w:tcPr>
            <w:tcW w:w="851" w:type="dxa"/>
            <w:shd w:val="clear" w:color="auto" w:fill="C6EFCE"/>
            <w:noWrap/>
          </w:tcPr>
          <w:p w14:paraId="33408A4A" w14:textId="77777777" w:rsidR="003E1D81" w:rsidRDefault="00EB481C">
            <w:pPr>
              <w:pStyle w:val="P68B1DB1-Normal13"/>
              <w:spacing w:after="0" w:line="240" w:lineRule="auto"/>
              <w:jc w:val="center"/>
              <w:rPr>
                <w:rFonts w:eastAsia="Times New Roman" w:cs="Times New Roman"/>
                <w:noProof/>
              </w:rPr>
            </w:pPr>
            <w:r>
              <w:rPr>
                <w:noProof/>
              </w:rPr>
              <w:t>C20.I1</w:t>
            </w:r>
          </w:p>
        </w:tc>
        <w:tc>
          <w:tcPr>
            <w:tcW w:w="858" w:type="dxa"/>
            <w:shd w:val="clear" w:color="auto" w:fill="C6EFCE"/>
            <w:noWrap/>
          </w:tcPr>
          <w:p w14:paraId="4E060070" w14:textId="77777777" w:rsidR="003E1D81" w:rsidRDefault="00EB481C">
            <w:pPr>
              <w:pStyle w:val="P68B1DB1-Normal13"/>
              <w:spacing w:after="0" w:line="240" w:lineRule="auto"/>
              <w:jc w:val="center"/>
              <w:rPr>
                <w:rFonts w:eastAsia="Times New Roman" w:cs="Times New Roman"/>
                <w:noProof/>
              </w:rPr>
            </w:pPr>
            <w:r>
              <w:rPr>
                <w:noProof/>
              </w:rPr>
              <w:t>T</w:t>
            </w:r>
          </w:p>
        </w:tc>
        <w:tc>
          <w:tcPr>
            <w:tcW w:w="2685" w:type="dxa"/>
            <w:shd w:val="clear" w:color="auto" w:fill="C6EFCE"/>
            <w:noWrap/>
          </w:tcPr>
          <w:p w14:paraId="574BB46F" w14:textId="77777777" w:rsidR="003E1D81" w:rsidRDefault="00EB481C">
            <w:pPr>
              <w:pStyle w:val="P68B1DB1-Normal13"/>
              <w:spacing w:after="0" w:line="240" w:lineRule="auto"/>
              <w:rPr>
                <w:rFonts w:eastAsia="Times New Roman" w:cs="Times New Roman"/>
                <w:noProof/>
              </w:rPr>
            </w:pPr>
            <w:r>
              <w:rPr>
                <w:noProof/>
              </w:rPr>
              <w:t xml:space="preserve">A Szakmai Képesítések Nemzeti Katalógusának új kompetenciaegységei </w:t>
            </w:r>
          </w:p>
        </w:tc>
        <w:tc>
          <w:tcPr>
            <w:tcW w:w="1418" w:type="dxa"/>
            <w:shd w:val="clear" w:color="auto" w:fill="C6EFCE"/>
            <w:noWrap/>
          </w:tcPr>
          <w:p w14:paraId="0E55E7CF" w14:textId="77777777" w:rsidR="003E1D81" w:rsidRDefault="00EB481C">
            <w:pPr>
              <w:pStyle w:val="P68B1DB1-Normal13"/>
              <w:spacing w:after="0" w:line="240" w:lineRule="auto"/>
              <w:jc w:val="center"/>
              <w:rPr>
                <w:rFonts w:eastAsia="Times New Roman" w:cs="Times New Roman"/>
                <w:noProof/>
              </w:rPr>
            </w:pPr>
            <w:r>
              <w:rPr>
                <w:noProof/>
              </w:rPr>
              <w:t>–</w:t>
            </w:r>
          </w:p>
        </w:tc>
        <w:tc>
          <w:tcPr>
            <w:tcW w:w="811" w:type="dxa"/>
            <w:shd w:val="clear" w:color="auto" w:fill="C6EFCE"/>
            <w:noWrap/>
          </w:tcPr>
          <w:p w14:paraId="10AAAFBE"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984" w:type="dxa"/>
            <w:shd w:val="clear" w:color="auto" w:fill="C6EFCE"/>
            <w:noWrap/>
          </w:tcPr>
          <w:p w14:paraId="7F24C0B2" w14:textId="77777777" w:rsidR="003E1D81" w:rsidRDefault="00EB481C">
            <w:pPr>
              <w:pStyle w:val="P68B1DB1-Normal13"/>
              <w:spacing w:after="0" w:line="240" w:lineRule="auto"/>
              <w:jc w:val="right"/>
              <w:rPr>
                <w:rFonts w:eastAsia="Times New Roman" w:cs="Times New Roman"/>
                <w:noProof/>
              </w:rPr>
            </w:pPr>
            <w:r>
              <w:rPr>
                <w:noProof/>
              </w:rPr>
              <w:t>0</w:t>
            </w:r>
          </w:p>
        </w:tc>
        <w:tc>
          <w:tcPr>
            <w:tcW w:w="1040" w:type="dxa"/>
            <w:shd w:val="clear" w:color="auto" w:fill="C6EFCE"/>
            <w:noWrap/>
          </w:tcPr>
          <w:p w14:paraId="4001611A" w14:textId="1A2AE673" w:rsidR="003E1D81" w:rsidRDefault="00EB481C">
            <w:pPr>
              <w:pStyle w:val="P68B1DB1-Normal13"/>
              <w:spacing w:after="0" w:line="240" w:lineRule="auto"/>
              <w:jc w:val="center"/>
              <w:rPr>
                <w:rFonts w:eastAsia="Times New Roman" w:cs="Times New Roman"/>
                <w:noProof/>
              </w:rPr>
            </w:pPr>
            <w:r>
              <w:rPr>
                <w:noProof/>
              </w:rPr>
              <w:t>2 000 000</w:t>
            </w:r>
          </w:p>
        </w:tc>
        <w:tc>
          <w:tcPr>
            <w:tcW w:w="365" w:type="dxa"/>
            <w:shd w:val="clear" w:color="auto" w:fill="C6EFCE"/>
            <w:noWrap/>
          </w:tcPr>
          <w:p w14:paraId="0FF706C7"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627" w:type="dxa"/>
            <w:shd w:val="clear" w:color="auto" w:fill="C6EFCE"/>
            <w:noWrap/>
          </w:tcPr>
          <w:p w14:paraId="12CBBC17" w14:textId="7AD79860" w:rsidR="003E1D81" w:rsidRDefault="00EB481C">
            <w:pPr>
              <w:pStyle w:val="P68B1DB1-Normal13"/>
              <w:spacing w:after="0" w:line="240" w:lineRule="auto"/>
              <w:jc w:val="center"/>
              <w:rPr>
                <w:rFonts w:eastAsia="Times New Roman" w:cs="Times New Roman"/>
                <w:noProof/>
              </w:rPr>
            </w:pPr>
            <w:r>
              <w:rPr>
                <w:noProof/>
              </w:rPr>
              <w:t>202</w:t>
            </w:r>
            <w:r>
              <w:rPr>
                <w:noProof/>
                <w:shd w:val="clear" w:color="auto" w:fill="E6E6E6"/>
              </w:rPr>
              <w:t>5</w:t>
            </w:r>
          </w:p>
        </w:tc>
        <w:tc>
          <w:tcPr>
            <w:tcW w:w="4820" w:type="dxa"/>
            <w:shd w:val="clear" w:color="auto" w:fill="C6EFCE"/>
            <w:noWrap/>
          </w:tcPr>
          <w:p w14:paraId="2CFB6FE2" w14:textId="52FCA4F8" w:rsidR="003E1D81" w:rsidRDefault="00EB481C">
            <w:pPr>
              <w:pStyle w:val="P68B1DB1-Normal13"/>
              <w:spacing w:after="0" w:line="240" w:lineRule="auto"/>
              <w:rPr>
                <w:rFonts w:eastAsia="Times New Roman" w:cs="Times New Roman"/>
                <w:noProof/>
              </w:rPr>
            </w:pPr>
            <w:r>
              <w:rPr>
                <w:noProof/>
              </w:rPr>
              <w:t xml:space="preserve">2000000 </w:t>
            </w:r>
            <w:r>
              <w:rPr>
                <w:noProof/>
              </w:rPr>
              <w:t>kompetenciaegység nyilvántartásba vétele (beiratkozása), értékelése és akkreditációja</w:t>
            </w:r>
            <w:r>
              <w:rPr>
                <w:noProof/>
                <w:shd w:val="clear" w:color="auto" w:fill="E6E6E6"/>
              </w:rPr>
              <w:t xml:space="preserve"> </w:t>
            </w:r>
            <w:r>
              <w:rPr>
                <w:noProof/>
              </w:rPr>
              <w:t>a szakmai képesítések nemzeti katalógusában, amelyet munkatapasztalat és nem formális képzési útvonalak révén szereztek meg.</w:t>
            </w:r>
          </w:p>
        </w:tc>
      </w:tr>
      <w:tr w:rsidR="003E1D81" w14:paraId="314FAA92" w14:textId="77777777">
        <w:trPr>
          <w:trHeight w:val="309"/>
        </w:trPr>
        <w:tc>
          <w:tcPr>
            <w:tcW w:w="851" w:type="dxa"/>
            <w:shd w:val="clear" w:color="auto" w:fill="C6EFCE"/>
            <w:noWrap/>
          </w:tcPr>
          <w:p w14:paraId="2E0F6CF5" w14:textId="77777777" w:rsidR="003E1D81" w:rsidRDefault="00EB481C">
            <w:pPr>
              <w:pStyle w:val="P68B1DB1-Normal13"/>
              <w:spacing w:after="0" w:line="240" w:lineRule="auto"/>
              <w:jc w:val="center"/>
              <w:rPr>
                <w:rFonts w:eastAsia="Times New Roman" w:cs="Times New Roman"/>
                <w:noProof/>
              </w:rPr>
            </w:pPr>
            <w:r>
              <w:rPr>
                <w:noProof/>
              </w:rPr>
              <w:t>298</w:t>
            </w:r>
          </w:p>
        </w:tc>
        <w:tc>
          <w:tcPr>
            <w:tcW w:w="851" w:type="dxa"/>
            <w:shd w:val="clear" w:color="auto" w:fill="C6EFCE"/>
            <w:noWrap/>
          </w:tcPr>
          <w:p w14:paraId="20D3B77E" w14:textId="77777777" w:rsidR="003E1D81" w:rsidRDefault="00EB481C">
            <w:pPr>
              <w:pStyle w:val="P68B1DB1-Normal13"/>
              <w:spacing w:after="0" w:line="240" w:lineRule="auto"/>
              <w:jc w:val="center"/>
              <w:rPr>
                <w:rFonts w:eastAsia="Times New Roman" w:cs="Times New Roman"/>
                <w:noProof/>
              </w:rPr>
            </w:pPr>
            <w:r>
              <w:rPr>
                <w:noProof/>
              </w:rPr>
              <w:t>C20.I1</w:t>
            </w:r>
          </w:p>
        </w:tc>
        <w:tc>
          <w:tcPr>
            <w:tcW w:w="858" w:type="dxa"/>
            <w:shd w:val="clear" w:color="auto" w:fill="C6EFCE"/>
            <w:noWrap/>
          </w:tcPr>
          <w:p w14:paraId="753310FF" w14:textId="77777777" w:rsidR="003E1D81" w:rsidRDefault="00EB481C">
            <w:pPr>
              <w:pStyle w:val="P68B1DB1-Normal13"/>
              <w:spacing w:after="0" w:line="240" w:lineRule="auto"/>
              <w:jc w:val="center"/>
              <w:rPr>
                <w:rFonts w:eastAsia="Times New Roman" w:cs="Times New Roman"/>
                <w:noProof/>
              </w:rPr>
            </w:pPr>
            <w:r>
              <w:rPr>
                <w:noProof/>
              </w:rPr>
              <w:t>T</w:t>
            </w:r>
          </w:p>
        </w:tc>
        <w:tc>
          <w:tcPr>
            <w:tcW w:w="2685" w:type="dxa"/>
            <w:shd w:val="clear" w:color="auto" w:fill="C6EFCE"/>
            <w:noWrap/>
          </w:tcPr>
          <w:p w14:paraId="431FF7A1" w14:textId="77777777" w:rsidR="003E1D81" w:rsidRDefault="00EB481C">
            <w:pPr>
              <w:pStyle w:val="P68B1DB1-Normal13"/>
              <w:spacing w:after="0" w:line="240" w:lineRule="auto"/>
              <w:rPr>
                <w:rFonts w:eastAsia="Times New Roman" w:cs="Times New Roman"/>
                <w:noProof/>
              </w:rPr>
            </w:pPr>
            <w:r>
              <w:rPr>
                <w:noProof/>
              </w:rPr>
              <w:t xml:space="preserve">Moduláris képzések a foglalkoztatottak és munkanélküliek továbbképzésére és átképzésére </w:t>
            </w:r>
          </w:p>
        </w:tc>
        <w:tc>
          <w:tcPr>
            <w:tcW w:w="1418" w:type="dxa"/>
            <w:shd w:val="clear" w:color="auto" w:fill="C6EFCE"/>
            <w:noWrap/>
          </w:tcPr>
          <w:p w14:paraId="3C6BB208" w14:textId="77777777" w:rsidR="003E1D81" w:rsidRDefault="00EB481C">
            <w:pPr>
              <w:pStyle w:val="P68B1DB1-Normal13"/>
              <w:spacing w:after="0" w:line="240" w:lineRule="auto"/>
              <w:jc w:val="center"/>
              <w:rPr>
                <w:rFonts w:eastAsia="Times New Roman" w:cs="Times New Roman"/>
                <w:noProof/>
              </w:rPr>
            </w:pPr>
            <w:r>
              <w:rPr>
                <w:noProof/>
              </w:rPr>
              <w:t>–</w:t>
            </w:r>
          </w:p>
        </w:tc>
        <w:tc>
          <w:tcPr>
            <w:tcW w:w="811" w:type="dxa"/>
            <w:shd w:val="clear" w:color="auto" w:fill="C6EFCE"/>
            <w:noWrap/>
          </w:tcPr>
          <w:p w14:paraId="0A99AEE2"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984" w:type="dxa"/>
            <w:shd w:val="clear" w:color="auto" w:fill="C6EFCE"/>
            <w:noWrap/>
          </w:tcPr>
          <w:p w14:paraId="44D6BCA3" w14:textId="77777777" w:rsidR="003E1D81" w:rsidRDefault="00EB481C">
            <w:pPr>
              <w:pStyle w:val="P68B1DB1-Normal13"/>
              <w:spacing w:after="0" w:line="240" w:lineRule="auto"/>
              <w:jc w:val="right"/>
              <w:rPr>
                <w:rFonts w:eastAsia="Times New Roman" w:cs="Times New Roman"/>
                <w:noProof/>
              </w:rPr>
            </w:pPr>
            <w:r>
              <w:rPr>
                <w:noProof/>
              </w:rPr>
              <w:t>0</w:t>
            </w:r>
          </w:p>
        </w:tc>
        <w:tc>
          <w:tcPr>
            <w:tcW w:w="1040" w:type="dxa"/>
            <w:shd w:val="clear" w:color="auto" w:fill="C6EFCE"/>
            <w:noWrap/>
          </w:tcPr>
          <w:p w14:paraId="7D0F9D51" w14:textId="77777777" w:rsidR="003E1D81" w:rsidRDefault="00EB481C">
            <w:pPr>
              <w:pStyle w:val="P68B1DB1-Normal13"/>
              <w:spacing w:after="0" w:line="240" w:lineRule="auto"/>
              <w:jc w:val="center"/>
              <w:rPr>
                <w:rFonts w:eastAsia="Times New Roman" w:cs="Times New Roman"/>
                <w:noProof/>
              </w:rPr>
            </w:pPr>
            <w:r>
              <w:rPr>
                <w:noProof/>
              </w:rPr>
              <w:t>1 000 000</w:t>
            </w:r>
          </w:p>
        </w:tc>
        <w:tc>
          <w:tcPr>
            <w:tcW w:w="365" w:type="dxa"/>
            <w:shd w:val="clear" w:color="auto" w:fill="C6EFCE"/>
            <w:noWrap/>
          </w:tcPr>
          <w:p w14:paraId="5B13200A"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627" w:type="dxa"/>
            <w:shd w:val="clear" w:color="auto" w:fill="C6EFCE"/>
            <w:noWrap/>
          </w:tcPr>
          <w:p w14:paraId="07C103F7" w14:textId="77777777" w:rsidR="003E1D81" w:rsidRDefault="00EB481C">
            <w:pPr>
              <w:pStyle w:val="P68B1DB1-Normal13"/>
              <w:spacing w:after="0" w:line="240" w:lineRule="auto"/>
              <w:jc w:val="center"/>
              <w:rPr>
                <w:rFonts w:eastAsia="Times New Roman" w:cs="Times New Roman"/>
                <w:noProof/>
              </w:rPr>
            </w:pPr>
            <w:r>
              <w:rPr>
                <w:noProof/>
              </w:rPr>
              <w:t>2024</w:t>
            </w:r>
          </w:p>
        </w:tc>
        <w:tc>
          <w:tcPr>
            <w:tcW w:w="4820" w:type="dxa"/>
            <w:shd w:val="clear" w:color="auto" w:fill="C6EFCE"/>
            <w:noWrap/>
          </w:tcPr>
          <w:p w14:paraId="12C1D687" w14:textId="77777777" w:rsidR="003E1D81" w:rsidRDefault="00EB481C">
            <w:pPr>
              <w:pStyle w:val="P68B1DB1-Normal13"/>
              <w:spacing w:after="0" w:line="240" w:lineRule="auto"/>
              <w:rPr>
                <w:rFonts w:eastAsia="Times New Roman" w:cs="Times New Roman"/>
                <w:noProof/>
              </w:rPr>
            </w:pPr>
            <w:r>
              <w:rPr>
                <w:noProof/>
              </w:rPr>
              <w:t>Moduláris digitális továbbképzés és átképzés (ebből legalább 300000 munkavállaló képzése), valamint a foglalkoztatottak és munkanélkül</w:t>
            </w:r>
            <w:r>
              <w:rPr>
                <w:noProof/>
              </w:rPr>
              <w:t>iek átképzését és továbbképzését célzó moduláris képzés (legalább 700000 fő képzett).</w:t>
            </w:r>
          </w:p>
        </w:tc>
      </w:tr>
      <w:tr w:rsidR="003E1D81" w14:paraId="58765A23" w14:textId="77777777">
        <w:trPr>
          <w:trHeight w:val="309"/>
        </w:trPr>
        <w:tc>
          <w:tcPr>
            <w:tcW w:w="851" w:type="dxa"/>
            <w:shd w:val="clear" w:color="auto" w:fill="C6EFCE"/>
            <w:noWrap/>
          </w:tcPr>
          <w:p w14:paraId="584F7F59" w14:textId="77777777" w:rsidR="003E1D81" w:rsidRDefault="00EB481C">
            <w:pPr>
              <w:pStyle w:val="P68B1DB1-Normal13"/>
              <w:spacing w:after="0" w:line="240" w:lineRule="auto"/>
              <w:jc w:val="center"/>
              <w:rPr>
                <w:rFonts w:eastAsia="Times New Roman" w:cs="Times New Roman"/>
                <w:noProof/>
              </w:rPr>
            </w:pPr>
            <w:r>
              <w:rPr>
                <w:noProof/>
              </w:rPr>
              <w:t>299</w:t>
            </w:r>
          </w:p>
        </w:tc>
        <w:tc>
          <w:tcPr>
            <w:tcW w:w="851" w:type="dxa"/>
            <w:shd w:val="clear" w:color="auto" w:fill="C6EFCE"/>
            <w:noWrap/>
          </w:tcPr>
          <w:p w14:paraId="7CD57124" w14:textId="77777777" w:rsidR="003E1D81" w:rsidRDefault="00EB481C">
            <w:pPr>
              <w:pStyle w:val="P68B1DB1-Normal13"/>
              <w:spacing w:after="0" w:line="240" w:lineRule="auto"/>
              <w:jc w:val="center"/>
              <w:rPr>
                <w:rFonts w:eastAsia="Times New Roman" w:cs="Times New Roman"/>
                <w:noProof/>
              </w:rPr>
            </w:pPr>
            <w:r>
              <w:rPr>
                <w:noProof/>
              </w:rPr>
              <w:t>C20.I2</w:t>
            </w:r>
          </w:p>
        </w:tc>
        <w:tc>
          <w:tcPr>
            <w:tcW w:w="858" w:type="dxa"/>
            <w:shd w:val="clear" w:color="auto" w:fill="C6EFCE"/>
            <w:noWrap/>
          </w:tcPr>
          <w:p w14:paraId="23625CEE" w14:textId="77777777" w:rsidR="003E1D81" w:rsidRDefault="00EB481C">
            <w:pPr>
              <w:pStyle w:val="P68B1DB1-Normal13"/>
              <w:spacing w:after="0" w:line="240" w:lineRule="auto"/>
              <w:jc w:val="center"/>
              <w:rPr>
                <w:rFonts w:eastAsia="Times New Roman" w:cs="Times New Roman"/>
                <w:noProof/>
              </w:rPr>
            </w:pPr>
            <w:r>
              <w:rPr>
                <w:noProof/>
              </w:rPr>
              <w:t>T</w:t>
            </w:r>
          </w:p>
        </w:tc>
        <w:tc>
          <w:tcPr>
            <w:tcW w:w="2685" w:type="dxa"/>
            <w:shd w:val="clear" w:color="auto" w:fill="C6EFCE"/>
            <w:noWrap/>
          </w:tcPr>
          <w:p w14:paraId="0F93CAD7" w14:textId="77777777" w:rsidR="003E1D81" w:rsidRDefault="00EB481C">
            <w:pPr>
              <w:pStyle w:val="P68B1DB1-Normal13"/>
              <w:spacing w:after="0" w:line="240" w:lineRule="auto"/>
              <w:rPr>
                <w:rFonts w:eastAsia="Times New Roman" w:cs="Times New Roman"/>
                <w:noProof/>
              </w:rPr>
            </w:pPr>
            <w:r>
              <w:rPr>
                <w:noProof/>
              </w:rPr>
              <w:t>Szakképzési kiválósági és innovációs központok</w:t>
            </w:r>
          </w:p>
        </w:tc>
        <w:tc>
          <w:tcPr>
            <w:tcW w:w="1418" w:type="dxa"/>
            <w:shd w:val="clear" w:color="auto" w:fill="C6EFCE"/>
            <w:noWrap/>
          </w:tcPr>
          <w:p w14:paraId="33D94C4F" w14:textId="77777777" w:rsidR="003E1D81" w:rsidRDefault="00EB481C">
            <w:pPr>
              <w:pStyle w:val="P68B1DB1-Normal13"/>
              <w:spacing w:after="0" w:line="240" w:lineRule="auto"/>
              <w:jc w:val="center"/>
              <w:rPr>
                <w:rFonts w:eastAsia="Times New Roman" w:cs="Times New Roman"/>
                <w:noProof/>
              </w:rPr>
            </w:pPr>
            <w:r>
              <w:rPr>
                <w:noProof/>
              </w:rPr>
              <w:t>–</w:t>
            </w:r>
          </w:p>
        </w:tc>
        <w:tc>
          <w:tcPr>
            <w:tcW w:w="811" w:type="dxa"/>
            <w:shd w:val="clear" w:color="auto" w:fill="C6EFCE"/>
            <w:noWrap/>
          </w:tcPr>
          <w:p w14:paraId="32514100"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984" w:type="dxa"/>
            <w:shd w:val="clear" w:color="auto" w:fill="C6EFCE"/>
            <w:noWrap/>
          </w:tcPr>
          <w:p w14:paraId="72376FB8" w14:textId="77777777" w:rsidR="003E1D81" w:rsidRDefault="00EB481C">
            <w:pPr>
              <w:pStyle w:val="P68B1DB1-Normal13"/>
              <w:spacing w:after="0" w:line="240" w:lineRule="auto"/>
              <w:jc w:val="right"/>
              <w:rPr>
                <w:rFonts w:eastAsia="Times New Roman" w:cs="Times New Roman"/>
                <w:noProof/>
              </w:rPr>
            </w:pPr>
            <w:r>
              <w:rPr>
                <w:noProof/>
              </w:rPr>
              <w:t>0</w:t>
            </w:r>
          </w:p>
        </w:tc>
        <w:tc>
          <w:tcPr>
            <w:tcW w:w="1040" w:type="dxa"/>
            <w:shd w:val="clear" w:color="auto" w:fill="C6EFCE"/>
            <w:noWrap/>
          </w:tcPr>
          <w:p w14:paraId="53C5D410" w14:textId="77777777" w:rsidR="003E1D81" w:rsidRDefault="00EB481C">
            <w:pPr>
              <w:pStyle w:val="P68B1DB1-Normal13"/>
              <w:spacing w:after="0" w:line="240" w:lineRule="auto"/>
              <w:jc w:val="center"/>
              <w:rPr>
                <w:rFonts w:eastAsia="Times New Roman" w:cs="Times New Roman"/>
                <w:noProof/>
              </w:rPr>
            </w:pPr>
            <w:r>
              <w:rPr>
                <w:noProof/>
              </w:rPr>
              <w:t>50</w:t>
            </w:r>
          </w:p>
        </w:tc>
        <w:tc>
          <w:tcPr>
            <w:tcW w:w="365" w:type="dxa"/>
            <w:shd w:val="clear" w:color="auto" w:fill="C6EFCE"/>
            <w:noWrap/>
          </w:tcPr>
          <w:p w14:paraId="67654B24"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627" w:type="dxa"/>
            <w:shd w:val="clear" w:color="auto" w:fill="C6EFCE"/>
            <w:noWrap/>
          </w:tcPr>
          <w:p w14:paraId="3400A269" w14:textId="34C41AD4" w:rsidR="003E1D81" w:rsidRDefault="00EB481C">
            <w:pPr>
              <w:pStyle w:val="P68B1DB1-Normal13"/>
              <w:spacing w:after="0" w:line="240" w:lineRule="auto"/>
              <w:jc w:val="center"/>
              <w:rPr>
                <w:rFonts w:eastAsia="Times New Roman" w:cs="Times New Roman"/>
                <w:noProof/>
              </w:rPr>
            </w:pPr>
            <w:r>
              <w:rPr>
                <w:noProof/>
              </w:rPr>
              <w:t>2024</w:t>
            </w:r>
          </w:p>
        </w:tc>
        <w:tc>
          <w:tcPr>
            <w:tcW w:w="4820" w:type="dxa"/>
            <w:shd w:val="clear" w:color="auto" w:fill="C6EFCE"/>
            <w:noWrap/>
          </w:tcPr>
          <w:p w14:paraId="17635310" w14:textId="77777777" w:rsidR="003E1D81" w:rsidRDefault="00EB481C">
            <w:pPr>
              <w:pStyle w:val="P68B1DB1-Normal13"/>
              <w:spacing w:after="0" w:line="240" w:lineRule="auto"/>
              <w:rPr>
                <w:rFonts w:eastAsia="Times New Roman" w:cs="Times New Roman"/>
                <w:noProof/>
              </w:rPr>
            </w:pPr>
            <w:r>
              <w:rPr>
                <w:noProof/>
              </w:rPr>
              <w:t>Legalább 50 kiválósági és innovációs központ létrehozása a szakképzésben</w:t>
            </w:r>
          </w:p>
        </w:tc>
      </w:tr>
      <w:tr w:rsidR="003E1D81" w14:paraId="73E94D32" w14:textId="77777777">
        <w:trPr>
          <w:trHeight w:val="309"/>
        </w:trPr>
        <w:tc>
          <w:tcPr>
            <w:tcW w:w="851" w:type="dxa"/>
            <w:shd w:val="clear" w:color="auto" w:fill="C6EFCE"/>
            <w:noWrap/>
          </w:tcPr>
          <w:p w14:paraId="4B74BC9C" w14:textId="1FB87736" w:rsidR="003E1D81" w:rsidRDefault="00EB481C">
            <w:pPr>
              <w:pStyle w:val="P68B1DB1-Normal13"/>
              <w:spacing w:after="0" w:line="240" w:lineRule="auto"/>
              <w:jc w:val="center"/>
              <w:rPr>
                <w:rFonts w:cs="Times New Roman"/>
                <w:noProof/>
              </w:rPr>
            </w:pPr>
            <w:r>
              <w:rPr>
                <w:noProof/>
              </w:rPr>
              <w:t>467</w:t>
            </w:r>
          </w:p>
        </w:tc>
        <w:tc>
          <w:tcPr>
            <w:tcW w:w="851" w:type="dxa"/>
            <w:shd w:val="clear" w:color="auto" w:fill="C6EFCE"/>
            <w:noWrap/>
          </w:tcPr>
          <w:p w14:paraId="58748948" w14:textId="02C227AA" w:rsidR="003E1D81" w:rsidRDefault="00EB481C">
            <w:pPr>
              <w:pStyle w:val="P68B1DB1-Normal13"/>
              <w:spacing w:after="0" w:line="240" w:lineRule="auto"/>
              <w:jc w:val="center"/>
              <w:rPr>
                <w:rFonts w:cs="Times New Roman"/>
                <w:noProof/>
              </w:rPr>
            </w:pPr>
            <w:r>
              <w:rPr>
                <w:noProof/>
              </w:rPr>
              <w:t>C20.I2</w:t>
            </w:r>
          </w:p>
        </w:tc>
        <w:tc>
          <w:tcPr>
            <w:tcW w:w="858" w:type="dxa"/>
            <w:shd w:val="clear" w:color="auto" w:fill="C6EFCE"/>
            <w:noWrap/>
          </w:tcPr>
          <w:p w14:paraId="09C37C7B" w14:textId="6D785E73" w:rsidR="003E1D81" w:rsidRDefault="00EB481C">
            <w:pPr>
              <w:pStyle w:val="P68B1DB1-Normal13"/>
              <w:spacing w:after="0" w:line="240" w:lineRule="auto"/>
              <w:jc w:val="center"/>
              <w:rPr>
                <w:rFonts w:cs="Times New Roman"/>
                <w:noProof/>
              </w:rPr>
            </w:pPr>
            <w:r>
              <w:rPr>
                <w:noProof/>
              </w:rPr>
              <w:t>T</w:t>
            </w:r>
          </w:p>
        </w:tc>
        <w:tc>
          <w:tcPr>
            <w:tcW w:w="2685" w:type="dxa"/>
            <w:shd w:val="clear" w:color="auto" w:fill="C6EFCE"/>
            <w:noWrap/>
          </w:tcPr>
          <w:p w14:paraId="2B8B2EAF" w14:textId="3DCC5CBD" w:rsidR="003E1D81" w:rsidRDefault="00EB481C">
            <w:pPr>
              <w:pStyle w:val="P68B1DB1-Normal13"/>
              <w:spacing w:after="0" w:line="240" w:lineRule="auto"/>
              <w:rPr>
                <w:rFonts w:cs="Times New Roman"/>
                <w:noProof/>
              </w:rPr>
            </w:pPr>
            <w:r>
              <w:rPr>
                <w:noProof/>
              </w:rPr>
              <w:t>Az osztálytermek alkalmazott technológiai terekké történő átalakítása</w:t>
            </w:r>
          </w:p>
        </w:tc>
        <w:tc>
          <w:tcPr>
            <w:tcW w:w="1418" w:type="dxa"/>
            <w:shd w:val="clear" w:color="auto" w:fill="C6EFCE"/>
            <w:noWrap/>
          </w:tcPr>
          <w:p w14:paraId="158ACBAA" w14:textId="77777777" w:rsidR="003E1D81" w:rsidRDefault="003E1D81">
            <w:pPr>
              <w:spacing w:after="0" w:line="240" w:lineRule="auto"/>
              <w:jc w:val="center"/>
              <w:rPr>
                <w:rFonts w:ascii="Times New Roman" w:hAnsi="Times New Roman" w:cs="Times New Roman"/>
                <w:noProof/>
                <w:sz w:val="18"/>
              </w:rPr>
            </w:pPr>
          </w:p>
        </w:tc>
        <w:tc>
          <w:tcPr>
            <w:tcW w:w="811" w:type="dxa"/>
            <w:shd w:val="clear" w:color="auto" w:fill="C6EFCE"/>
            <w:noWrap/>
          </w:tcPr>
          <w:p w14:paraId="08B3F54E" w14:textId="640E8BE9" w:rsidR="003E1D81" w:rsidRDefault="00EB481C">
            <w:pPr>
              <w:pStyle w:val="P68B1DB1-Normal13"/>
              <w:spacing w:after="0" w:line="240" w:lineRule="auto"/>
              <w:jc w:val="center"/>
              <w:rPr>
                <w:rFonts w:cs="Times New Roman"/>
                <w:noProof/>
              </w:rPr>
            </w:pPr>
            <w:r>
              <w:rPr>
                <w:noProof/>
              </w:rPr>
              <w:t>Szám</w:t>
            </w:r>
          </w:p>
        </w:tc>
        <w:tc>
          <w:tcPr>
            <w:tcW w:w="984" w:type="dxa"/>
            <w:shd w:val="clear" w:color="auto" w:fill="C6EFCE"/>
            <w:noWrap/>
          </w:tcPr>
          <w:p w14:paraId="7AD65BD1" w14:textId="1D1A4DE7" w:rsidR="003E1D81" w:rsidRDefault="00EB481C">
            <w:pPr>
              <w:pStyle w:val="P68B1DB1-Normal13"/>
              <w:spacing w:after="0" w:line="240" w:lineRule="auto"/>
              <w:jc w:val="right"/>
              <w:rPr>
                <w:rFonts w:cs="Times New Roman"/>
                <w:noProof/>
              </w:rPr>
            </w:pPr>
            <w:r>
              <w:rPr>
                <w:noProof/>
              </w:rPr>
              <w:t>0</w:t>
            </w:r>
          </w:p>
        </w:tc>
        <w:tc>
          <w:tcPr>
            <w:tcW w:w="1040" w:type="dxa"/>
            <w:shd w:val="clear" w:color="auto" w:fill="C6EFCE"/>
            <w:noWrap/>
          </w:tcPr>
          <w:p w14:paraId="0C8D60C2" w14:textId="152B4BBF" w:rsidR="003E1D81" w:rsidRDefault="00EB481C">
            <w:pPr>
              <w:pStyle w:val="P68B1DB1-Normal13"/>
              <w:spacing w:after="0" w:line="240" w:lineRule="auto"/>
              <w:jc w:val="center"/>
              <w:rPr>
                <w:rFonts w:cs="Times New Roman"/>
                <w:noProof/>
              </w:rPr>
            </w:pPr>
            <w:r>
              <w:rPr>
                <w:noProof/>
              </w:rPr>
              <w:t>1 253</w:t>
            </w:r>
          </w:p>
        </w:tc>
        <w:tc>
          <w:tcPr>
            <w:tcW w:w="365" w:type="dxa"/>
            <w:shd w:val="clear" w:color="auto" w:fill="C6EFCE"/>
            <w:noWrap/>
          </w:tcPr>
          <w:p w14:paraId="26C5A175" w14:textId="39059409" w:rsidR="003E1D81" w:rsidRDefault="00EB481C">
            <w:pPr>
              <w:pStyle w:val="P68B1DB1-Normal13"/>
              <w:spacing w:after="0" w:line="240" w:lineRule="auto"/>
              <w:jc w:val="center"/>
              <w:rPr>
                <w:rFonts w:cs="Times New Roman"/>
                <w:noProof/>
              </w:rPr>
            </w:pPr>
            <w:r>
              <w:rPr>
                <w:noProof/>
              </w:rPr>
              <w:t>NEGYEDÉV</w:t>
            </w:r>
          </w:p>
        </w:tc>
        <w:tc>
          <w:tcPr>
            <w:tcW w:w="627" w:type="dxa"/>
            <w:shd w:val="clear" w:color="auto" w:fill="C6EFCE"/>
            <w:noWrap/>
          </w:tcPr>
          <w:p w14:paraId="06CFDB13" w14:textId="260CF935" w:rsidR="003E1D81" w:rsidRDefault="00EB481C">
            <w:pPr>
              <w:pStyle w:val="P68B1DB1-Normal13"/>
              <w:spacing w:after="0" w:line="240" w:lineRule="auto"/>
              <w:jc w:val="center"/>
              <w:rPr>
                <w:rFonts w:cs="Times New Roman"/>
                <w:noProof/>
              </w:rPr>
            </w:pPr>
            <w:r>
              <w:rPr>
                <w:noProof/>
              </w:rPr>
              <w:t>2025</w:t>
            </w:r>
          </w:p>
        </w:tc>
        <w:tc>
          <w:tcPr>
            <w:tcW w:w="4820" w:type="dxa"/>
            <w:shd w:val="clear" w:color="auto" w:fill="C6EFCE"/>
            <w:noWrap/>
          </w:tcPr>
          <w:p w14:paraId="5AC13B39" w14:textId="77777777" w:rsidR="003E1D81" w:rsidRDefault="00EB481C">
            <w:pPr>
              <w:pStyle w:val="P68B1DB1-Normal13"/>
              <w:spacing w:after="0" w:line="240" w:lineRule="auto"/>
              <w:rPr>
                <w:rFonts w:cs="Times New Roman"/>
                <w:noProof/>
              </w:rPr>
            </w:pPr>
            <w:r>
              <w:rPr>
                <w:noProof/>
              </w:rPr>
              <w:t xml:space="preserve">Legalább 1253 osztálytermet alakítanak át technológiai osztálytermekké, amelyek technológiai erőforrások felhasználásával helyreállítják a </w:t>
            </w:r>
            <w:r>
              <w:rPr>
                <w:noProof/>
              </w:rPr>
              <w:t>munkakörnyezetet annak érdekében, hogy a diákok megközelítsék azokat a technológiákat, amelyeket később a vállalatoknál találnak.</w:t>
            </w:r>
          </w:p>
          <w:p w14:paraId="6F142C02" w14:textId="77777777" w:rsidR="003E1D81" w:rsidRDefault="003E1D81">
            <w:pPr>
              <w:spacing w:after="0" w:line="240" w:lineRule="auto"/>
              <w:rPr>
                <w:rFonts w:ascii="Times New Roman" w:hAnsi="Times New Roman" w:cs="Times New Roman"/>
                <w:noProof/>
                <w:sz w:val="18"/>
              </w:rPr>
            </w:pPr>
          </w:p>
        </w:tc>
      </w:tr>
      <w:tr w:rsidR="003E1D81" w14:paraId="6D54DFE7" w14:textId="77777777">
        <w:trPr>
          <w:trHeight w:val="309"/>
        </w:trPr>
        <w:tc>
          <w:tcPr>
            <w:tcW w:w="851" w:type="dxa"/>
            <w:shd w:val="clear" w:color="auto" w:fill="C6EFCE"/>
            <w:noWrap/>
          </w:tcPr>
          <w:p w14:paraId="611A44EA" w14:textId="0521778E" w:rsidR="003E1D81" w:rsidRDefault="00EB481C">
            <w:pPr>
              <w:pStyle w:val="P68B1DB1-Normal13"/>
              <w:spacing w:after="0" w:line="240" w:lineRule="auto"/>
              <w:jc w:val="center"/>
              <w:rPr>
                <w:rFonts w:cs="Times New Roman"/>
                <w:noProof/>
              </w:rPr>
            </w:pPr>
            <w:r>
              <w:rPr>
                <w:noProof/>
              </w:rPr>
              <w:t>467a</w:t>
            </w:r>
          </w:p>
        </w:tc>
        <w:tc>
          <w:tcPr>
            <w:tcW w:w="851" w:type="dxa"/>
            <w:shd w:val="clear" w:color="auto" w:fill="C6EFCE"/>
            <w:noWrap/>
          </w:tcPr>
          <w:p w14:paraId="47D2B553" w14:textId="2878FBC8" w:rsidR="003E1D81" w:rsidRDefault="00EB481C">
            <w:pPr>
              <w:pStyle w:val="P68B1DB1-Normal13"/>
              <w:spacing w:after="0" w:line="240" w:lineRule="auto"/>
              <w:jc w:val="center"/>
              <w:rPr>
                <w:rFonts w:cs="Times New Roman"/>
                <w:noProof/>
              </w:rPr>
            </w:pPr>
            <w:r>
              <w:rPr>
                <w:noProof/>
              </w:rPr>
              <w:t>C20.I2</w:t>
            </w:r>
          </w:p>
        </w:tc>
        <w:tc>
          <w:tcPr>
            <w:tcW w:w="858" w:type="dxa"/>
            <w:shd w:val="clear" w:color="auto" w:fill="C6EFCE"/>
            <w:noWrap/>
          </w:tcPr>
          <w:p w14:paraId="798315B4" w14:textId="445FE865" w:rsidR="003E1D81" w:rsidRDefault="00EB481C">
            <w:pPr>
              <w:pStyle w:val="P68B1DB1-Normal13"/>
              <w:spacing w:after="0" w:line="240" w:lineRule="auto"/>
              <w:jc w:val="center"/>
              <w:rPr>
                <w:rFonts w:cs="Times New Roman"/>
                <w:noProof/>
              </w:rPr>
            </w:pPr>
            <w:r>
              <w:rPr>
                <w:noProof/>
              </w:rPr>
              <w:t>T</w:t>
            </w:r>
          </w:p>
        </w:tc>
        <w:tc>
          <w:tcPr>
            <w:tcW w:w="2685" w:type="dxa"/>
            <w:shd w:val="clear" w:color="auto" w:fill="C6EFCE"/>
            <w:noWrap/>
          </w:tcPr>
          <w:p w14:paraId="34E49174" w14:textId="4216CDAF" w:rsidR="003E1D81" w:rsidRDefault="00EB481C">
            <w:pPr>
              <w:pStyle w:val="P68B1DB1-Normal13"/>
              <w:spacing w:after="0" w:line="240" w:lineRule="auto"/>
              <w:rPr>
                <w:rFonts w:cs="Times New Roman"/>
                <w:noProof/>
              </w:rPr>
            </w:pPr>
            <w:r>
              <w:rPr>
                <w:noProof/>
              </w:rPr>
              <w:t>Vállalkozói osztálytermek létrehozása és támogatása</w:t>
            </w:r>
          </w:p>
        </w:tc>
        <w:tc>
          <w:tcPr>
            <w:tcW w:w="1418" w:type="dxa"/>
            <w:shd w:val="clear" w:color="auto" w:fill="C6EFCE"/>
            <w:noWrap/>
          </w:tcPr>
          <w:p w14:paraId="3FACDABE" w14:textId="30ECEB38" w:rsidR="003E1D81" w:rsidRDefault="00EB481C">
            <w:pPr>
              <w:pStyle w:val="P68B1DB1-Normal13"/>
              <w:spacing w:after="0" w:line="240" w:lineRule="auto"/>
              <w:jc w:val="center"/>
              <w:rPr>
                <w:rFonts w:cs="Times New Roman"/>
                <w:noProof/>
              </w:rPr>
            </w:pPr>
            <w:r>
              <w:rPr>
                <w:noProof/>
              </w:rPr>
              <w:t>–</w:t>
            </w:r>
          </w:p>
        </w:tc>
        <w:tc>
          <w:tcPr>
            <w:tcW w:w="811" w:type="dxa"/>
            <w:shd w:val="clear" w:color="auto" w:fill="C6EFCE"/>
            <w:noWrap/>
          </w:tcPr>
          <w:p w14:paraId="65508F6D" w14:textId="560BA660" w:rsidR="003E1D81" w:rsidRDefault="00EB481C">
            <w:pPr>
              <w:pStyle w:val="P68B1DB1-Normal13"/>
              <w:spacing w:after="0" w:line="240" w:lineRule="auto"/>
              <w:jc w:val="center"/>
              <w:rPr>
                <w:rFonts w:cs="Times New Roman"/>
                <w:noProof/>
              </w:rPr>
            </w:pPr>
            <w:r>
              <w:rPr>
                <w:noProof/>
              </w:rPr>
              <w:t>Szám</w:t>
            </w:r>
          </w:p>
        </w:tc>
        <w:tc>
          <w:tcPr>
            <w:tcW w:w="984" w:type="dxa"/>
            <w:shd w:val="clear" w:color="auto" w:fill="C6EFCE"/>
            <w:noWrap/>
          </w:tcPr>
          <w:p w14:paraId="5E9B31B8" w14:textId="17FA8C84" w:rsidR="003E1D81" w:rsidRDefault="00EB481C">
            <w:pPr>
              <w:pStyle w:val="P68B1DB1-Normal13"/>
              <w:spacing w:after="0" w:line="240" w:lineRule="auto"/>
              <w:jc w:val="center"/>
              <w:rPr>
                <w:rFonts w:cs="Times New Roman"/>
                <w:noProof/>
              </w:rPr>
            </w:pPr>
            <w:r>
              <w:rPr>
                <w:noProof/>
              </w:rPr>
              <w:t>0</w:t>
            </w:r>
          </w:p>
        </w:tc>
        <w:tc>
          <w:tcPr>
            <w:tcW w:w="1040" w:type="dxa"/>
            <w:shd w:val="clear" w:color="auto" w:fill="C6EFCE"/>
            <w:noWrap/>
          </w:tcPr>
          <w:p w14:paraId="02CF59FB" w14:textId="22961360" w:rsidR="003E1D81" w:rsidRDefault="00EB481C">
            <w:pPr>
              <w:pStyle w:val="P68B1DB1-Normal13"/>
              <w:spacing w:after="0" w:line="240" w:lineRule="auto"/>
              <w:jc w:val="center"/>
              <w:rPr>
                <w:rFonts w:cs="Times New Roman"/>
                <w:noProof/>
              </w:rPr>
            </w:pPr>
            <w:r>
              <w:rPr>
                <w:noProof/>
              </w:rPr>
              <w:t>1 350</w:t>
            </w:r>
          </w:p>
        </w:tc>
        <w:tc>
          <w:tcPr>
            <w:tcW w:w="365" w:type="dxa"/>
            <w:shd w:val="clear" w:color="auto" w:fill="C6EFCE"/>
            <w:noWrap/>
          </w:tcPr>
          <w:p w14:paraId="67BBA881" w14:textId="0A177EF0" w:rsidR="003E1D81" w:rsidRDefault="00EB481C">
            <w:pPr>
              <w:pStyle w:val="P68B1DB1-Normal13"/>
              <w:spacing w:after="0" w:line="240" w:lineRule="auto"/>
              <w:jc w:val="center"/>
              <w:rPr>
                <w:rFonts w:cs="Times New Roman"/>
                <w:noProof/>
              </w:rPr>
            </w:pPr>
            <w:r>
              <w:rPr>
                <w:noProof/>
              </w:rPr>
              <w:t>NEGYEDÉV</w:t>
            </w:r>
          </w:p>
        </w:tc>
        <w:tc>
          <w:tcPr>
            <w:tcW w:w="627" w:type="dxa"/>
            <w:shd w:val="clear" w:color="auto" w:fill="C6EFCE"/>
            <w:noWrap/>
          </w:tcPr>
          <w:p w14:paraId="253C5128" w14:textId="35FC6FC5" w:rsidR="003E1D81" w:rsidRDefault="00EB481C">
            <w:pPr>
              <w:pStyle w:val="P68B1DB1-Normal13"/>
              <w:spacing w:after="0" w:line="240" w:lineRule="auto"/>
              <w:rPr>
                <w:rFonts w:eastAsia="Times New Roman" w:cs="Times New Roman"/>
                <w:noProof/>
              </w:rPr>
            </w:pPr>
            <w:r>
              <w:rPr>
                <w:noProof/>
              </w:rPr>
              <w:t>2024</w:t>
            </w:r>
          </w:p>
        </w:tc>
        <w:tc>
          <w:tcPr>
            <w:tcW w:w="4820" w:type="dxa"/>
            <w:shd w:val="clear" w:color="auto" w:fill="C6EFCE"/>
            <w:noWrap/>
          </w:tcPr>
          <w:p w14:paraId="1602326B" w14:textId="6B7CC805" w:rsidR="003E1D81" w:rsidRDefault="00EB481C">
            <w:pPr>
              <w:pStyle w:val="P68B1DB1-Normal13"/>
              <w:spacing w:after="0" w:line="240" w:lineRule="auto"/>
              <w:rPr>
                <w:rFonts w:eastAsia="Times New Roman" w:cs="Times New Roman"/>
                <w:noProof/>
              </w:rPr>
            </w:pPr>
            <w:r>
              <w:rPr>
                <w:noProof/>
              </w:rPr>
              <w:t xml:space="preserve">Legalább 1350 „vállalkozói” </w:t>
            </w:r>
            <w:r>
              <w:rPr>
                <w:noProof/>
              </w:rPr>
              <w:t>osztályterem létrehozása és támogatása az állami szakképzési központokban.</w:t>
            </w:r>
          </w:p>
        </w:tc>
      </w:tr>
      <w:tr w:rsidR="003E1D81" w14:paraId="61A44931" w14:textId="77777777">
        <w:trPr>
          <w:trHeight w:val="309"/>
        </w:trPr>
        <w:tc>
          <w:tcPr>
            <w:tcW w:w="851" w:type="dxa"/>
            <w:shd w:val="clear" w:color="auto" w:fill="C6EFCE"/>
            <w:noWrap/>
          </w:tcPr>
          <w:p w14:paraId="75ADEE7E" w14:textId="13F1DF69" w:rsidR="003E1D81" w:rsidRDefault="00EB481C">
            <w:pPr>
              <w:pStyle w:val="P68B1DB1-Normal13"/>
              <w:spacing w:after="0" w:line="240" w:lineRule="auto"/>
              <w:jc w:val="center"/>
              <w:rPr>
                <w:rFonts w:cs="Times New Roman"/>
                <w:noProof/>
              </w:rPr>
            </w:pPr>
            <w:r>
              <w:rPr>
                <w:noProof/>
              </w:rPr>
              <w:t>467b</w:t>
            </w:r>
          </w:p>
        </w:tc>
        <w:tc>
          <w:tcPr>
            <w:tcW w:w="851" w:type="dxa"/>
            <w:shd w:val="clear" w:color="auto" w:fill="C6EFCE"/>
            <w:noWrap/>
          </w:tcPr>
          <w:p w14:paraId="2CA33ECD" w14:textId="5359B3CE" w:rsidR="003E1D81" w:rsidRDefault="00EB481C">
            <w:pPr>
              <w:pStyle w:val="P68B1DB1-Normal13"/>
              <w:spacing w:after="0" w:line="240" w:lineRule="auto"/>
              <w:jc w:val="center"/>
              <w:rPr>
                <w:rFonts w:cs="Times New Roman"/>
                <w:noProof/>
              </w:rPr>
            </w:pPr>
            <w:r>
              <w:rPr>
                <w:noProof/>
              </w:rPr>
              <w:t>C20.I2</w:t>
            </w:r>
          </w:p>
        </w:tc>
        <w:tc>
          <w:tcPr>
            <w:tcW w:w="858" w:type="dxa"/>
            <w:shd w:val="clear" w:color="auto" w:fill="C6EFCE"/>
            <w:noWrap/>
          </w:tcPr>
          <w:p w14:paraId="0DAD0F06" w14:textId="3353C30C" w:rsidR="003E1D81" w:rsidRDefault="00EB481C">
            <w:pPr>
              <w:pStyle w:val="P68B1DB1-Normal13"/>
              <w:spacing w:after="0" w:line="240" w:lineRule="auto"/>
              <w:jc w:val="center"/>
              <w:rPr>
                <w:rFonts w:cs="Times New Roman"/>
                <w:noProof/>
              </w:rPr>
            </w:pPr>
            <w:r>
              <w:rPr>
                <w:noProof/>
              </w:rPr>
              <w:t>T</w:t>
            </w:r>
          </w:p>
        </w:tc>
        <w:tc>
          <w:tcPr>
            <w:tcW w:w="2685" w:type="dxa"/>
            <w:shd w:val="clear" w:color="auto" w:fill="C6EFCE"/>
            <w:noWrap/>
          </w:tcPr>
          <w:p w14:paraId="432616C5" w14:textId="2F6E7BB3" w:rsidR="003E1D81" w:rsidRDefault="00EB481C">
            <w:pPr>
              <w:pStyle w:val="P68B1DB1-Normal13"/>
              <w:spacing w:after="0" w:line="240" w:lineRule="auto"/>
              <w:rPr>
                <w:rFonts w:cs="Times New Roman"/>
                <w:noProof/>
              </w:rPr>
            </w:pPr>
            <w:r>
              <w:rPr>
                <w:noProof/>
              </w:rPr>
              <w:t>A szakképzésben részt vevő tanárok zöld képzésének befejezése</w:t>
            </w:r>
          </w:p>
        </w:tc>
        <w:tc>
          <w:tcPr>
            <w:tcW w:w="1418" w:type="dxa"/>
            <w:shd w:val="clear" w:color="auto" w:fill="C6EFCE"/>
            <w:noWrap/>
          </w:tcPr>
          <w:p w14:paraId="2744693F" w14:textId="3C8C61C9" w:rsidR="003E1D81" w:rsidRDefault="00EB481C">
            <w:pPr>
              <w:pStyle w:val="P68B1DB1-Normal13"/>
              <w:spacing w:after="0" w:line="240" w:lineRule="auto"/>
              <w:jc w:val="center"/>
              <w:rPr>
                <w:rFonts w:cs="Times New Roman"/>
                <w:noProof/>
              </w:rPr>
            </w:pPr>
            <w:r>
              <w:rPr>
                <w:noProof/>
              </w:rPr>
              <w:t>–</w:t>
            </w:r>
          </w:p>
        </w:tc>
        <w:tc>
          <w:tcPr>
            <w:tcW w:w="811" w:type="dxa"/>
            <w:shd w:val="clear" w:color="auto" w:fill="C6EFCE"/>
            <w:noWrap/>
          </w:tcPr>
          <w:p w14:paraId="06865C06" w14:textId="77717ED2" w:rsidR="003E1D81" w:rsidRDefault="00EB481C">
            <w:pPr>
              <w:pStyle w:val="P68B1DB1-Normal13"/>
              <w:spacing w:after="0" w:line="240" w:lineRule="auto"/>
              <w:jc w:val="center"/>
              <w:rPr>
                <w:rFonts w:cs="Times New Roman"/>
                <w:noProof/>
              </w:rPr>
            </w:pPr>
            <w:r>
              <w:rPr>
                <w:noProof/>
              </w:rPr>
              <w:t>Szám</w:t>
            </w:r>
          </w:p>
        </w:tc>
        <w:tc>
          <w:tcPr>
            <w:tcW w:w="984" w:type="dxa"/>
            <w:shd w:val="clear" w:color="auto" w:fill="C6EFCE"/>
            <w:noWrap/>
          </w:tcPr>
          <w:p w14:paraId="6B850641" w14:textId="581B4024" w:rsidR="003E1D81" w:rsidRDefault="00EB481C">
            <w:pPr>
              <w:pStyle w:val="P68B1DB1-Normal13"/>
              <w:spacing w:after="0" w:line="240" w:lineRule="auto"/>
              <w:jc w:val="center"/>
              <w:rPr>
                <w:rFonts w:cs="Times New Roman"/>
                <w:noProof/>
              </w:rPr>
            </w:pPr>
            <w:r>
              <w:rPr>
                <w:noProof/>
              </w:rPr>
              <w:t>0</w:t>
            </w:r>
          </w:p>
        </w:tc>
        <w:tc>
          <w:tcPr>
            <w:tcW w:w="1040" w:type="dxa"/>
            <w:shd w:val="clear" w:color="auto" w:fill="C6EFCE"/>
            <w:noWrap/>
          </w:tcPr>
          <w:p w14:paraId="32FF666D" w14:textId="1A1E471A" w:rsidR="003E1D81" w:rsidRDefault="00EB481C">
            <w:pPr>
              <w:pStyle w:val="P68B1DB1-Normal13"/>
              <w:spacing w:after="0" w:line="240" w:lineRule="auto"/>
              <w:jc w:val="center"/>
              <w:rPr>
                <w:rFonts w:cs="Times New Roman"/>
                <w:noProof/>
              </w:rPr>
            </w:pPr>
            <w:r>
              <w:rPr>
                <w:noProof/>
              </w:rPr>
              <w:t>25 281</w:t>
            </w:r>
          </w:p>
          <w:p w14:paraId="694DCEAB" w14:textId="31DB3365" w:rsidR="003E1D81" w:rsidRDefault="003E1D81">
            <w:pPr>
              <w:spacing w:after="0" w:line="240" w:lineRule="auto"/>
              <w:jc w:val="center"/>
              <w:rPr>
                <w:rFonts w:ascii="Times New Roman" w:eastAsia="Times New Roman" w:hAnsi="Times New Roman" w:cs="Times New Roman"/>
                <w:noProof/>
                <w:sz w:val="18"/>
              </w:rPr>
            </w:pPr>
          </w:p>
        </w:tc>
        <w:tc>
          <w:tcPr>
            <w:tcW w:w="365" w:type="dxa"/>
            <w:shd w:val="clear" w:color="auto" w:fill="C6EFCE"/>
            <w:noWrap/>
          </w:tcPr>
          <w:p w14:paraId="68FE550E" w14:textId="33DD35B2" w:rsidR="003E1D81" w:rsidRDefault="00EB481C">
            <w:pPr>
              <w:pStyle w:val="P68B1DB1-Normal13"/>
              <w:spacing w:after="0" w:line="240" w:lineRule="auto"/>
              <w:jc w:val="center"/>
              <w:rPr>
                <w:rFonts w:cs="Times New Roman"/>
                <w:noProof/>
              </w:rPr>
            </w:pPr>
            <w:r>
              <w:rPr>
                <w:noProof/>
              </w:rPr>
              <w:t>NEGYEDÉV</w:t>
            </w:r>
          </w:p>
        </w:tc>
        <w:tc>
          <w:tcPr>
            <w:tcW w:w="627" w:type="dxa"/>
            <w:shd w:val="clear" w:color="auto" w:fill="C6EFCE"/>
            <w:noWrap/>
          </w:tcPr>
          <w:p w14:paraId="0011D940" w14:textId="690B5EFB" w:rsidR="003E1D81" w:rsidRDefault="00EB481C">
            <w:pPr>
              <w:pStyle w:val="P68B1DB1-Normal13"/>
              <w:spacing w:after="0" w:line="240" w:lineRule="auto"/>
              <w:rPr>
                <w:rFonts w:cs="Times New Roman"/>
                <w:noProof/>
              </w:rPr>
            </w:pPr>
            <w:r>
              <w:rPr>
                <w:noProof/>
              </w:rPr>
              <w:t>2024</w:t>
            </w:r>
          </w:p>
        </w:tc>
        <w:tc>
          <w:tcPr>
            <w:tcW w:w="4820" w:type="dxa"/>
            <w:shd w:val="clear" w:color="auto" w:fill="C6EFCE"/>
            <w:noWrap/>
          </w:tcPr>
          <w:p w14:paraId="47C81396" w14:textId="0BBE335C" w:rsidR="003E1D81" w:rsidRDefault="00EB481C">
            <w:pPr>
              <w:pStyle w:val="P68B1DB1-Normal13"/>
              <w:spacing w:after="0" w:line="240" w:lineRule="auto"/>
              <w:rPr>
                <w:rFonts w:cs="Times New Roman"/>
                <w:noProof/>
              </w:rPr>
            </w:pPr>
            <w:r>
              <w:rPr>
                <w:noProof/>
              </w:rPr>
              <w:t xml:space="preserve">30 órás digitális és zöld képzések elvégzése legalább 25281 szakképzési </w:t>
            </w:r>
            <w:r>
              <w:rPr>
                <w:noProof/>
              </w:rPr>
              <w:t>tanár számára.</w:t>
            </w:r>
          </w:p>
        </w:tc>
      </w:tr>
      <w:tr w:rsidR="003E1D81" w14:paraId="4F3035A2" w14:textId="77777777">
        <w:trPr>
          <w:trHeight w:val="309"/>
        </w:trPr>
        <w:tc>
          <w:tcPr>
            <w:tcW w:w="851" w:type="dxa"/>
            <w:shd w:val="clear" w:color="auto" w:fill="C6EFCE"/>
            <w:noWrap/>
          </w:tcPr>
          <w:p w14:paraId="4F6CDBF0" w14:textId="77777777" w:rsidR="003E1D81" w:rsidRDefault="00EB481C">
            <w:pPr>
              <w:pStyle w:val="P68B1DB1-Normal13"/>
              <w:spacing w:after="0" w:line="240" w:lineRule="auto"/>
              <w:jc w:val="center"/>
              <w:rPr>
                <w:rFonts w:eastAsia="Times New Roman" w:cs="Times New Roman"/>
                <w:noProof/>
              </w:rPr>
            </w:pPr>
            <w:r>
              <w:rPr>
                <w:noProof/>
              </w:rPr>
              <w:t>300</w:t>
            </w:r>
          </w:p>
        </w:tc>
        <w:tc>
          <w:tcPr>
            <w:tcW w:w="851" w:type="dxa"/>
            <w:shd w:val="clear" w:color="auto" w:fill="C6EFCE"/>
            <w:noWrap/>
          </w:tcPr>
          <w:p w14:paraId="1E3E5D42" w14:textId="77777777" w:rsidR="003E1D81" w:rsidRDefault="00EB481C">
            <w:pPr>
              <w:pStyle w:val="P68B1DB1-Normal13"/>
              <w:spacing w:after="0" w:line="240" w:lineRule="auto"/>
              <w:jc w:val="center"/>
              <w:rPr>
                <w:rFonts w:eastAsia="Times New Roman" w:cs="Times New Roman"/>
                <w:noProof/>
              </w:rPr>
            </w:pPr>
            <w:r>
              <w:rPr>
                <w:noProof/>
              </w:rPr>
              <w:t>C20.I3</w:t>
            </w:r>
          </w:p>
        </w:tc>
        <w:tc>
          <w:tcPr>
            <w:tcW w:w="858" w:type="dxa"/>
            <w:shd w:val="clear" w:color="auto" w:fill="C6EFCE"/>
            <w:noWrap/>
          </w:tcPr>
          <w:p w14:paraId="598C6300" w14:textId="77777777" w:rsidR="003E1D81" w:rsidRDefault="00EB481C">
            <w:pPr>
              <w:pStyle w:val="P68B1DB1-Normal13"/>
              <w:spacing w:after="0" w:line="240" w:lineRule="auto"/>
              <w:jc w:val="center"/>
              <w:rPr>
                <w:rFonts w:eastAsia="Times New Roman" w:cs="Times New Roman"/>
                <w:noProof/>
              </w:rPr>
            </w:pPr>
            <w:r>
              <w:rPr>
                <w:noProof/>
              </w:rPr>
              <w:t>T</w:t>
            </w:r>
          </w:p>
        </w:tc>
        <w:tc>
          <w:tcPr>
            <w:tcW w:w="2685" w:type="dxa"/>
            <w:shd w:val="clear" w:color="auto" w:fill="C6EFCE"/>
            <w:noWrap/>
          </w:tcPr>
          <w:p w14:paraId="79BECF6A" w14:textId="77777777" w:rsidR="003E1D81" w:rsidRDefault="00EB481C">
            <w:pPr>
              <w:pStyle w:val="P68B1DB1-Normal13"/>
              <w:spacing w:after="0" w:line="240" w:lineRule="auto"/>
              <w:rPr>
                <w:rFonts w:eastAsia="Times New Roman" w:cs="Times New Roman"/>
                <w:noProof/>
              </w:rPr>
            </w:pPr>
            <w:r>
              <w:rPr>
                <w:noProof/>
              </w:rPr>
              <w:t>2020 végéhez képest legalább 50000 új szakképzési férőhely.</w:t>
            </w:r>
          </w:p>
        </w:tc>
        <w:tc>
          <w:tcPr>
            <w:tcW w:w="1418" w:type="dxa"/>
            <w:shd w:val="clear" w:color="auto" w:fill="C6EFCE"/>
            <w:noWrap/>
          </w:tcPr>
          <w:p w14:paraId="2827FC3C" w14:textId="77777777" w:rsidR="003E1D81" w:rsidRDefault="00EB481C">
            <w:pPr>
              <w:pStyle w:val="P68B1DB1-Normal13"/>
              <w:spacing w:after="0" w:line="240" w:lineRule="auto"/>
              <w:jc w:val="center"/>
              <w:rPr>
                <w:rFonts w:eastAsia="Times New Roman" w:cs="Times New Roman"/>
                <w:noProof/>
              </w:rPr>
            </w:pPr>
            <w:r>
              <w:rPr>
                <w:noProof/>
              </w:rPr>
              <w:t>–</w:t>
            </w:r>
          </w:p>
        </w:tc>
        <w:tc>
          <w:tcPr>
            <w:tcW w:w="811" w:type="dxa"/>
            <w:shd w:val="clear" w:color="auto" w:fill="C6EFCE"/>
            <w:noWrap/>
          </w:tcPr>
          <w:p w14:paraId="210464D6"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984" w:type="dxa"/>
            <w:shd w:val="clear" w:color="auto" w:fill="C6EFCE"/>
            <w:noWrap/>
          </w:tcPr>
          <w:p w14:paraId="409D33D1" w14:textId="77777777" w:rsidR="003E1D81" w:rsidRDefault="00EB481C">
            <w:pPr>
              <w:pStyle w:val="P68B1DB1-Normal13"/>
              <w:spacing w:after="0" w:line="240" w:lineRule="auto"/>
              <w:jc w:val="center"/>
              <w:rPr>
                <w:rFonts w:eastAsia="Times New Roman" w:cs="Times New Roman"/>
                <w:noProof/>
              </w:rPr>
            </w:pPr>
            <w:r>
              <w:rPr>
                <w:noProof/>
              </w:rPr>
              <w:t>934 204</w:t>
            </w:r>
          </w:p>
        </w:tc>
        <w:tc>
          <w:tcPr>
            <w:tcW w:w="1040" w:type="dxa"/>
            <w:shd w:val="clear" w:color="auto" w:fill="C6EFCE"/>
            <w:noWrap/>
          </w:tcPr>
          <w:p w14:paraId="69D9BD1A" w14:textId="77777777" w:rsidR="003E1D81" w:rsidRDefault="00EB481C">
            <w:pPr>
              <w:pStyle w:val="P68B1DB1-Normal13"/>
              <w:spacing w:after="0" w:line="240" w:lineRule="auto"/>
              <w:jc w:val="center"/>
              <w:rPr>
                <w:rFonts w:eastAsia="Times New Roman" w:cs="Times New Roman"/>
                <w:noProof/>
              </w:rPr>
            </w:pPr>
            <w:r>
              <w:rPr>
                <w:noProof/>
              </w:rPr>
              <w:t>984 204</w:t>
            </w:r>
          </w:p>
        </w:tc>
        <w:tc>
          <w:tcPr>
            <w:tcW w:w="365" w:type="dxa"/>
            <w:shd w:val="clear" w:color="auto" w:fill="C6EFCE"/>
            <w:noWrap/>
          </w:tcPr>
          <w:p w14:paraId="61388907"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627" w:type="dxa"/>
            <w:shd w:val="clear" w:color="auto" w:fill="C6EFCE"/>
            <w:noWrap/>
          </w:tcPr>
          <w:p w14:paraId="50EDB1AD" w14:textId="77777777" w:rsidR="003E1D81" w:rsidRDefault="00EB481C">
            <w:pPr>
              <w:pStyle w:val="P68B1DB1-Normal13"/>
              <w:spacing w:after="0" w:line="240" w:lineRule="auto"/>
              <w:jc w:val="center"/>
              <w:rPr>
                <w:rFonts w:eastAsia="Times New Roman" w:cs="Times New Roman"/>
                <w:noProof/>
              </w:rPr>
            </w:pPr>
            <w:r>
              <w:rPr>
                <w:noProof/>
              </w:rPr>
              <w:t>2022</w:t>
            </w:r>
          </w:p>
        </w:tc>
        <w:tc>
          <w:tcPr>
            <w:tcW w:w="4820" w:type="dxa"/>
            <w:shd w:val="clear" w:color="auto" w:fill="C6EFCE"/>
            <w:noWrap/>
          </w:tcPr>
          <w:p w14:paraId="49C61569" w14:textId="77777777" w:rsidR="003E1D81" w:rsidRDefault="00EB481C">
            <w:pPr>
              <w:pStyle w:val="P68B1DB1-Normal13"/>
              <w:spacing w:after="0" w:line="240" w:lineRule="auto"/>
              <w:rPr>
                <w:rFonts w:eastAsia="Times New Roman" w:cs="Times New Roman"/>
                <w:noProof/>
              </w:rPr>
            </w:pPr>
            <w:r>
              <w:rPr>
                <w:noProof/>
              </w:rPr>
              <w:t xml:space="preserve">2020 végéhez képest összesen legalább 50000 új szakképzési férőhely létrehozása. Az új szakképzési helyek területi elosztásának </w:t>
            </w:r>
            <w:r>
              <w:rPr>
                <w:noProof/>
              </w:rPr>
              <w:t>igényfelmérésen kell alapulnia, és az érintett érdekelt felekkel folytatott megbeszéléseket kell követnie annak biztosítása érdekében, hogy az ajánlat hatékonyan reagáljon a regionális/helyi hiányosságokra. Az alapforgatókönyv dátuma: 2020. december 31.</w:t>
            </w:r>
          </w:p>
        </w:tc>
      </w:tr>
      <w:tr w:rsidR="003E1D81" w14:paraId="08891F03" w14:textId="77777777">
        <w:trPr>
          <w:trHeight w:val="309"/>
        </w:trPr>
        <w:tc>
          <w:tcPr>
            <w:tcW w:w="851" w:type="dxa"/>
            <w:tcBorders>
              <w:bottom w:val="single" w:sz="4" w:space="0" w:color="auto"/>
            </w:tcBorders>
            <w:shd w:val="clear" w:color="auto" w:fill="C6EFCE"/>
            <w:noWrap/>
          </w:tcPr>
          <w:p w14:paraId="0786758D" w14:textId="77777777" w:rsidR="003E1D81" w:rsidRDefault="00EB481C">
            <w:pPr>
              <w:pStyle w:val="P68B1DB1-Normal13"/>
              <w:spacing w:after="0" w:line="240" w:lineRule="auto"/>
              <w:jc w:val="center"/>
              <w:rPr>
                <w:rFonts w:eastAsia="Times New Roman" w:cs="Times New Roman"/>
                <w:noProof/>
              </w:rPr>
            </w:pPr>
            <w:r>
              <w:rPr>
                <w:noProof/>
              </w:rPr>
              <w:t>301</w:t>
            </w:r>
          </w:p>
        </w:tc>
        <w:tc>
          <w:tcPr>
            <w:tcW w:w="851" w:type="dxa"/>
            <w:tcBorders>
              <w:bottom w:val="single" w:sz="4" w:space="0" w:color="auto"/>
            </w:tcBorders>
            <w:shd w:val="clear" w:color="auto" w:fill="C6EFCE"/>
            <w:noWrap/>
          </w:tcPr>
          <w:p w14:paraId="4C5852B3" w14:textId="77777777" w:rsidR="003E1D81" w:rsidRDefault="00EB481C">
            <w:pPr>
              <w:pStyle w:val="P68B1DB1-Normal13"/>
              <w:spacing w:after="0" w:line="240" w:lineRule="auto"/>
              <w:jc w:val="center"/>
              <w:rPr>
                <w:rFonts w:eastAsia="Times New Roman" w:cs="Times New Roman"/>
                <w:noProof/>
              </w:rPr>
            </w:pPr>
            <w:r>
              <w:rPr>
                <w:noProof/>
              </w:rPr>
              <w:t>C20.I3</w:t>
            </w:r>
          </w:p>
        </w:tc>
        <w:tc>
          <w:tcPr>
            <w:tcW w:w="858" w:type="dxa"/>
            <w:tcBorders>
              <w:bottom w:val="single" w:sz="4" w:space="0" w:color="auto"/>
            </w:tcBorders>
            <w:shd w:val="clear" w:color="auto" w:fill="C6EFCE"/>
            <w:noWrap/>
          </w:tcPr>
          <w:p w14:paraId="73698ADF" w14:textId="77777777" w:rsidR="003E1D81" w:rsidRDefault="00EB481C">
            <w:pPr>
              <w:pStyle w:val="P68B1DB1-Normal13"/>
              <w:spacing w:after="0" w:line="240" w:lineRule="auto"/>
              <w:jc w:val="center"/>
              <w:rPr>
                <w:rFonts w:eastAsia="Times New Roman" w:cs="Times New Roman"/>
                <w:noProof/>
              </w:rPr>
            </w:pPr>
            <w:r>
              <w:rPr>
                <w:noProof/>
              </w:rPr>
              <w:t>T</w:t>
            </w:r>
          </w:p>
        </w:tc>
        <w:tc>
          <w:tcPr>
            <w:tcW w:w="2685" w:type="dxa"/>
            <w:tcBorders>
              <w:bottom w:val="single" w:sz="4" w:space="0" w:color="auto"/>
            </w:tcBorders>
            <w:shd w:val="clear" w:color="auto" w:fill="C6EFCE"/>
            <w:noWrap/>
          </w:tcPr>
          <w:p w14:paraId="330171CB" w14:textId="77777777" w:rsidR="003E1D81" w:rsidRDefault="00EB481C">
            <w:pPr>
              <w:pStyle w:val="P68B1DB1-Normal13"/>
              <w:spacing w:after="0" w:line="240" w:lineRule="auto"/>
              <w:rPr>
                <w:rFonts w:eastAsia="Times New Roman" w:cs="Times New Roman"/>
                <w:noProof/>
              </w:rPr>
            </w:pPr>
            <w:r>
              <w:rPr>
                <w:noProof/>
              </w:rPr>
              <w:t xml:space="preserve">Kétnyelvű szakképzési ciklusok </w:t>
            </w:r>
          </w:p>
        </w:tc>
        <w:tc>
          <w:tcPr>
            <w:tcW w:w="1418" w:type="dxa"/>
            <w:tcBorders>
              <w:bottom w:val="single" w:sz="4" w:space="0" w:color="auto"/>
            </w:tcBorders>
            <w:shd w:val="clear" w:color="auto" w:fill="C6EFCE"/>
            <w:noWrap/>
          </w:tcPr>
          <w:p w14:paraId="5977380F" w14:textId="77777777" w:rsidR="003E1D81" w:rsidRDefault="00EB481C">
            <w:pPr>
              <w:pStyle w:val="P68B1DB1-Normal13"/>
              <w:spacing w:after="0" w:line="240" w:lineRule="auto"/>
              <w:jc w:val="center"/>
              <w:rPr>
                <w:rFonts w:eastAsia="Times New Roman" w:cs="Times New Roman"/>
                <w:noProof/>
              </w:rPr>
            </w:pPr>
            <w:r>
              <w:rPr>
                <w:noProof/>
              </w:rPr>
              <w:t>–</w:t>
            </w:r>
          </w:p>
        </w:tc>
        <w:tc>
          <w:tcPr>
            <w:tcW w:w="811" w:type="dxa"/>
            <w:tcBorders>
              <w:bottom w:val="single" w:sz="4" w:space="0" w:color="auto"/>
            </w:tcBorders>
            <w:shd w:val="clear" w:color="auto" w:fill="C6EFCE"/>
            <w:noWrap/>
          </w:tcPr>
          <w:p w14:paraId="4DAE83F2"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984" w:type="dxa"/>
            <w:tcBorders>
              <w:bottom w:val="single" w:sz="4" w:space="0" w:color="auto"/>
            </w:tcBorders>
            <w:shd w:val="clear" w:color="auto" w:fill="C6EFCE"/>
            <w:noWrap/>
          </w:tcPr>
          <w:p w14:paraId="3B08B55A" w14:textId="77777777" w:rsidR="003E1D81" w:rsidRDefault="00EB481C">
            <w:pPr>
              <w:pStyle w:val="P68B1DB1-Normal13"/>
              <w:spacing w:after="0" w:line="240" w:lineRule="auto"/>
              <w:jc w:val="right"/>
              <w:rPr>
                <w:rFonts w:eastAsia="Times New Roman" w:cs="Times New Roman"/>
                <w:noProof/>
              </w:rPr>
            </w:pPr>
            <w:r>
              <w:rPr>
                <w:noProof/>
              </w:rPr>
              <w:t>0</w:t>
            </w:r>
          </w:p>
        </w:tc>
        <w:tc>
          <w:tcPr>
            <w:tcW w:w="1040" w:type="dxa"/>
            <w:tcBorders>
              <w:bottom w:val="single" w:sz="4" w:space="0" w:color="auto"/>
            </w:tcBorders>
            <w:shd w:val="clear" w:color="auto" w:fill="C6EFCE"/>
            <w:noWrap/>
          </w:tcPr>
          <w:p w14:paraId="582220C0" w14:textId="77777777" w:rsidR="003E1D81" w:rsidRDefault="00EB481C">
            <w:pPr>
              <w:pStyle w:val="P68B1DB1-Normal13"/>
              <w:spacing w:after="0" w:line="240" w:lineRule="auto"/>
              <w:jc w:val="center"/>
              <w:rPr>
                <w:rFonts w:eastAsia="Times New Roman" w:cs="Times New Roman"/>
                <w:noProof/>
              </w:rPr>
            </w:pPr>
            <w:r>
              <w:rPr>
                <w:noProof/>
              </w:rPr>
              <w:t>3 700</w:t>
            </w:r>
          </w:p>
        </w:tc>
        <w:tc>
          <w:tcPr>
            <w:tcW w:w="365" w:type="dxa"/>
            <w:tcBorders>
              <w:bottom w:val="single" w:sz="4" w:space="0" w:color="auto"/>
            </w:tcBorders>
            <w:shd w:val="clear" w:color="auto" w:fill="C6EFCE"/>
            <w:noWrap/>
          </w:tcPr>
          <w:p w14:paraId="304F4489"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627" w:type="dxa"/>
            <w:tcBorders>
              <w:bottom w:val="single" w:sz="4" w:space="0" w:color="auto"/>
            </w:tcBorders>
            <w:shd w:val="clear" w:color="auto" w:fill="C6EFCE"/>
            <w:noWrap/>
          </w:tcPr>
          <w:p w14:paraId="6C050CFD" w14:textId="77777777" w:rsidR="003E1D81" w:rsidRDefault="00EB481C">
            <w:pPr>
              <w:pStyle w:val="P68B1DB1-Normal13"/>
              <w:spacing w:after="0" w:line="240" w:lineRule="auto"/>
              <w:jc w:val="center"/>
              <w:rPr>
                <w:rFonts w:eastAsia="Times New Roman" w:cs="Times New Roman"/>
                <w:noProof/>
              </w:rPr>
            </w:pPr>
            <w:r>
              <w:rPr>
                <w:noProof/>
              </w:rPr>
              <w:t>2024</w:t>
            </w:r>
          </w:p>
        </w:tc>
        <w:tc>
          <w:tcPr>
            <w:tcW w:w="4820" w:type="dxa"/>
            <w:tcBorders>
              <w:bottom w:val="single" w:sz="4" w:space="0" w:color="auto"/>
            </w:tcBorders>
            <w:shd w:val="clear" w:color="auto" w:fill="C6EFCE"/>
            <w:noWrap/>
          </w:tcPr>
          <w:p w14:paraId="18D04238" w14:textId="77777777" w:rsidR="003E1D81" w:rsidRDefault="00EB481C">
            <w:pPr>
              <w:pStyle w:val="P68B1DB1-Normal13"/>
              <w:spacing w:after="0" w:line="240" w:lineRule="auto"/>
              <w:rPr>
                <w:rFonts w:eastAsia="Times New Roman" w:cs="Times New Roman"/>
                <w:noProof/>
              </w:rPr>
            </w:pPr>
            <w:r>
              <w:rPr>
                <w:noProof/>
              </w:rPr>
              <w:t xml:space="preserve">Legalább 3700 szakképzési ciklus (közép- és magas) kétnyelvű kínálattá alakítva </w:t>
            </w:r>
          </w:p>
        </w:tc>
      </w:tr>
      <w:tr w:rsidR="003E1D81" w14:paraId="79E823D9" w14:textId="77777777">
        <w:trPr>
          <w:trHeight w:val="309"/>
        </w:trPr>
        <w:tc>
          <w:tcPr>
            <w:tcW w:w="851" w:type="dxa"/>
            <w:tcBorders>
              <w:bottom w:val="single" w:sz="4" w:space="0" w:color="auto"/>
            </w:tcBorders>
            <w:shd w:val="clear" w:color="auto" w:fill="C6EFCE"/>
            <w:noWrap/>
          </w:tcPr>
          <w:p w14:paraId="0F776034" w14:textId="77777777" w:rsidR="003E1D81" w:rsidRDefault="00EB481C">
            <w:pPr>
              <w:pStyle w:val="P68B1DB1-Normal13"/>
              <w:spacing w:after="0" w:line="240" w:lineRule="auto"/>
              <w:jc w:val="center"/>
              <w:rPr>
                <w:rFonts w:eastAsia="Times New Roman" w:cs="Times New Roman"/>
                <w:noProof/>
              </w:rPr>
            </w:pPr>
            <w:r>
              <w:rPr>
                <w:noProof/>
              </w:rPr>
              <w:t>302</w:t>
            </w:r>
          </w:p>
        </w:tc>
        <w:tc>
          <w:tcPr>
            <w:tcW w:w="851" w:type="dxa"/>
            <w:tcBorders>
              <w:bottom w:val="single" w:sz="4" w:space="0" w:color="auto"/>
            </w:tcBorders>
            <w:shd w:val="clear" w:color="auto" w:fill="C6EFCE"/>
            <w:noWrap/>
          </w:tcPr>
          <w:p w14:paraId="71B26183" w14:textId="77777777" w:rsidR="003E1D81" w:rsidRDefault="00EB481C">
            <w:pPr>
              <w:pStyle w:val="P68B1DB1-Normal13"/>
              <w:spacing w:after="0" w:line="240" w:lineRule="auto"/>
              <w:jc w:val="center"/>
              <w:rPr>
                <w:rFonts w:eastAsia="Times New Roman" w:cs="Times New Roman"/>
                <w:noProof/>
              </w:rPr>
            </w:pPr>
            <w:r>
              <w:rPr>
                <w:noProof/>
              </w:rPr>
              <w:t>C20.I3</w:t>
            </w:r>
          </w:p>
        </w:tc>
        <w:tc>
          <w:tcPr>
            <w:tcW w:w="858" w:type="dxa"/>
            <w:tcBorders>
              <w:bottom w:val="single" w:sz="4" w:space="0" w:color="auto"/>
            </w:tcBorders>
            <w:shd w:val="clear" w:color="auto" w:fill="C6EFCE"/>
            <w:noWrap/>
          </w:tcPr>
          <w:p w14:paraId="6353C863" w14:textId="77777777" w:rsidR="003E1D81" w:rsidRDefault="00EB481C">
            <w:pPr>
              <w:pStyle w:val="P68B1DB1-Normal13"/>
              <w:spacing w:after="0" w:line="240" w:lineRule="auto"/>
              <w:jc w:val="center"/>
              <w:rPr>
                <w:rFonts w:eastAsia="Times New Roman" w:cs="Times New Roman"/>
                <w:noProof/>
              </w:rPr>
            </w:pPr>
            <w:r>
              <w:rPr>
                <w:noProof/>
              </w:rPr>
              <w:t>T</w:t>
            </w:r>
          </w:p>
        </w:tc>
        <w:tc>
          <w:tcPr>
            <w:tcW w:w="2685" w:type="dxa"/>
            <w:tcBorders>
              <w:bottom w:val="single" w:sz="4" w:space="0" w:color="auto"/>
            </w:tcBorders>
            <w:shd w:val="clear" w:color="auto" w:fill="C6EFCE"/>
            <w:noWrap/>
          </w:tcPr>
          <w:p w14:paraId="203B6A17" w14:textId="77777777" w:rsidR="003E1D81" w:rsidRDefault="00EB481C">
            <w:pPr>
              <w:pStyle w:val="P68B1DB1-Normal13"/>
              <w:spacing w:after="0" w:line="240" w:lineRule="auto"/>
              <w:rPr>
                <w:rFonts w:eastAsia="Times New Roman" w:cs="Times New Roman"/>
                <w:noProof/>
              </w:rPr>
            </w:pPr>
            <w:r>
              <w:rPr>
                <w:noProof/>
              </w:rPr>
              <w:t>Új szakképzési helyek a 2020 végi állapothoz képest</w:t>
            </w:r>
          </w:p>
        </w:tc>
        <w:tc>
          <w:tcPr>
            <w:tcW w:w="1418" w:type="dxa"/>
            <w:tcBorders>
              <w:bottom w:val="single" w:sz="4" w:space="0" w:color="auto"/>
            </w:tcBorders>
            <w:shd w:val="clear" w:color="auto" w:fill="C6EFCE"/>
            <w:noWrap/>
          </w:tcPr>
          <w:p w14:paraId="2261ABF4" w14:textId="77777777" w:rsidR="003E1D81" w:rsidRDefault="00EB481C">
            <w:pPr>
              <w:pStyle w:val="P68B1DB1-Normal13"/>
              <w:spacing w:after="0" w:line="240" w:lineRule="auto"/>
              <w:jc w:val="center"/>
              <w:rPr>
                <w:rFonts w:eastAsia="Times New Roman" w:cs="Times New Roman"/>
                <w:noProof/>
              </w:rPr>
            </w:pPr>
            <w:r>
              <w:rPr>
                <w:noProof/>
              </w:rPr>
              <w:t>–</w:t>
            </w:r>
          </w:p>
        </w:tc>
        <w:tc>
          <w:tcPr>
            <w:tcW w:w="811" w:type="dxa"/>
            <w:tcBorders>
              <w:bottom w:val="single" w:sz="4" w:space="0" w:color="auto"/>
            </w:tcBorders>
            <w:shd w:val="clear" w:color="auto" w:fill="C6EFCE"/>
            <w:noWrap/>
          </w:tcPr>
          <w:p w14:paraId="180E80F1"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984" w:type="dxa"/>
            <w:tcBorders>
              <w:bottom w:val="single" w:sz="4" w:space="0" w:color="auto"/>
            </w:tcBorders>
            <w:shd w:val="clear" w:color="auto" w:fill="C6EFCE"/>
            <w:noWrap/>
          </w:tcPr>
          <w:p w14:paraId="7F755418" w14:textId="77777777" w:rsidR="003E1D81" w:rsidRDefault="00EB481C">
            <w:pPr>
              <w:pStyle w:val="P68B1DB1-Normal13"/>
              <w:spacing w:after="0" w:line="240" w:lineRule="auto"/>
              <w:jc w:val="center"/>
              <w:rPr>
                <w:rFonts w:eastAsia="Times New Roman" w:cs="Times New Roman"/>
                <w:noProof/>
              </w:rPr>
            </w:pPr>
            <w:r>
              <w:rPr>
                <w:noProof/>
              </w:rPr>
              <w:t>934 204</w:t>
            </w:r>
          </w:p>
        </w:tc>
        <w:tc>
          <w:tcPr>
            <w:tcW w:w="1040" w:type="dxa"/>
            <w:tcBorders>
              <w:bottom w:val="single" w:sz="4" w:space="0" w:color="auto"/>
            </w:tcBorders>
            <w:shd w:val="clear" w:color="auto" w:fill="C6EFCE"/>
            <w:noWrap/>
          </w:tcPr>
          <w:p w14:paraId="532825E9" w14:textId="5DB74357" w:rsidR="003E1D81" w:rsidRDefault="00EB481C">
            <w:pPr>
              <w:pStyle w:val="P68B1DB1-Normal13"/>
              <w:spacing w:after="0" w:line="240" w:lineRule="auto"/>
              <w:jc w:val="center"/>
              <w:rPr>
                <w:rFonts w:eastAsia="Times New Roman" w:cs="Times New Roman"/>
                <w:noProof/>
              </w:rPr>
            </w:pPr>
            <w:r>
              <w:rPr>
                <w:noProof/>
              </w:rPr>
              <w:t>1 181 656</w:t>
            </w:r>
          </w:p>
        </w:tc>
        <w:tc>
          <w:tcPr>
            <w:tcW w:w="365" w:type="dxa"/>
            <w:tcBorders>
              <w:bottom w:val="single" w:sz="4" w:space="0" w:color="auto"/>
            </w:tcBorders>
            <w:shd w:val="clear" w:color="auto" w:fill="C6EFCE"/>
            <w:noWrap/>
          </w:tcPr>
          <w:p w14:paraId="46434BF6"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627" w:type="dxa"/>
            <w:tcBorders>
              <w:bottom w:val="single" w:sz="4" w:space="0" w:color="auto"/>
            </w:tcBorders>
            <w:shd w:val="clear" w:color="auto" w:fill="C6EFCE"/>
            <w:noWrap/>
          </w:tcPr>
          <w:p w14:paraId="1EC600EC" w14:textId="5A9F4250" w:rsidR="003E1D81" w:rsidRDefault="00EB481C">
            <w:pPr>
              <w:pStyle w:val="P68B1DB1-Normal13"/>
              <w:spacing w:after="0" w:line="240" w:lineRule="auto"/>
              <w:jc w:val="center"/>
              <w:rPr>
                <w:rFonts w:eastAsia="Times New Roman" w:cs="Times New Roman"/>
                <w:noProof/>
              </w:rPr>
            </w:pPr>
            <w:r>
              <w:rPr>
                <w:noProof/>
              </w:rPr>
              <w:t>2025</w:t>
            </w:r>
          </w:p>
        </w:tc>
        <w:tc>
          <w:tcPr>
            <w:tcW w:w="4820" w:type="dxa"/>
            <w:tcBorders>
              <w:bottom w:val="single" w:sz="4" w:space="0" w:color="auto"/>
            </w:tcBorders>
            <w:shd w:val="clear" w:color="auto" w:fill="C6EFCE"/>
            <w:noWrap/>
          </w:tcPr>
          <w:p w14:paraId="2D1E2E6F" w14:textId="2ABFCB82" w:rsidR="003E1D81" w:rsidRDefault="00EB481C">
            <w:pPr>
              <w:pStyle w:val="P68B1DB1-Normal13"/>
              <w:spacing w:after="0" w:line="240" w:lineRule="auto"/>
              <w:rPr>
                <w:rFonts w:eastAsia="Times New Roman" w:cs="Times New Roman"/>
                <w:noProof/>
              </w:rPr>
            </w:pPr>
            <w:r>
              <w:rPr>
                <w:noProof/>
              </w:rPr>
              <w:t>2020 végéhez képest legalább 247452 új</w:t>
            </w:r>
            <w:r>
              <w:rPr>
                <w:noProof/>
                <w:shd w:val="clear" w:color="auto" w:fill="E6E6E6"/>
              </w:rPr>
              <w:t xml:space="preserve"> </w:t>
            </w:r>
            <w:r>
              <w:rPr>
                <w:noProof/>
              </w:rPr>
              <w:t>szakképzési férőhely. Az alapforgatókönyv dátuma: 2020. december 31.</w:t>
            </w:r>
          </w:p>
        </w:tc>
      </w:tr>
    </w:tbl>
    <w:p w14:paraId="7083BF8A" w14:textId="77777777" w:rsidR="003E1D81" w:rsidRDefault="003E1D81">
      <w:pPr>
        <w:pStyle w:val="Text1"/>
        <w:ind w:left="0"/>
        <w:rPr>
          <w:rFonts w:ascii="Times New Roman" w:hAnsi="Times New Roman" w:cs="Times New Roman"/>
          <w:noProof/>
        </w:rPr>
        <w:sectPr w:rsidR="003E1D81" w:rsidSect="00C94F66">
          <w:headerReference w:type="even" r:id="rId405"/>
          <w:headerReference w:type="default" r:id="rId406"/>
          <w:footerReference w:type="even" r:id="rId407"/>
          <w:footerReference w:type="default" r:id="rId408"/>
          <w:headerReference w:type="first" r:id="rId409"/>
          <w:footerReference w:type="first" r:id="rId410"/>
          <w:pgSz w:w="16839" w:h="11907" w:orient="landscape"/>
          <w:pgMar w:top="1417" w:right="1134" w:bottom="1417" w:left="1134" w:header="709" w:footer="709" w:gutter="0"/>
          <w:cols w:space="720"/>
          <w:docGrid w:linePitch="360"/>
        </w:sectPr>
      </w:pPr>
    </w:p>
    <w:p w14:paraId="24C8EC4C" w14:textId="77777777" w:rsidR="003E1D81" w:rsidRDefault="003E1D81">
      <w:pPr>
        <w:pStyle w:val="Text1"/>
        <w:ind w:left="0"/>
        <w:rPr>
          <w:rFonts w:ascii="Times New Roman" w:hAnsi="Times New Roman" w:cs="Times New Roman"/>
          <w:noProof/>
        </w:rPr>
      </w:pPr>
    </w:p>
    <w:p w14:paraId="4232B598" w14:textId="77777777" w:rsidR="003E1D81" w:rsidRDefault="00EB481C">
      <w:pPr>
        <w:pStyle w:val="P68B1DB1-Heading12"/>
        <w:ind w:left="426" w:firstLine="294"/>
        <w:rPr>
          <w:rFonts w:cs="Times New Roman"/>
          <w:noProof/>
        </w:rPr>
      </w:pPr>
      <w:r>
        <w:rPr>
          <w:noProof/>
        </w:rPr>
        <w:t xml:space="preserve">U. 21. ÖSSZETEVŐ: Az oktatás korszerűsítése és digitalizációja, beleértve a </w:t>
      </w:r>
      <w:r>
        <w:rPr>
          <w:noProof/>
        </w:rPr>
        <w:t>koragyermekkori nevelést (0–3)</w:t>
      </w:r>
    </w:p>
    <w:p w14:paraId="2E6D50AD" w14:textId="77777777" w:rsidR="003E1D81" w:rsidRDefault="00EB481C">
      <w:pPr>
        <w:pStyle w:val="P68B1DB1-Normal4"/>
        <w:spacing w:before="120" w:after="120" w:line="240" w:lineRule="auto"/>
        <w:ind w:left="142"/>
        <w:jc w:val="both"/>
        <w:rPr>
          <w:rFonts w:cs="Times New Roman"/>
          <w:noProof/>
        </w:rPr>
      </w:pPr>
      <w:r>
        <w:rPr>
          <w:noProof/>
        </w:rPr>
        <w:t>A spanyol helyreállítási és rezilienciaépítési terv e komponense az oktatási rendszer korszerűsítésére és az oktatási infrastruktúra javítására összpontosít. Célja egy olyan rugalmasabb és inkluzívabb rendszer kialakítása, am</w:t>
      </w:r>
      <w:r>
        <w:rPr>
          <w:noProof/>
        </w:rPr>
        <w:t xml:space="preserve">ely jobban igazodik az egyes tanulók igényeihez, és új tanítási és tanulási technikákat vezet be, beleértve a digitális technológiákat is. Az egyes oktatási szakaszok fő célkitűzései a következők: </w:t>
      </w:r>
    </w:p>
    <w:p w14:paraId="32BCC920" w14:textId="77777777" w:rsidR="003E1D81" w:rsidRDefault="00EB481C">
      <w:pPr>
        <w:pStyle w:val="P68B1DB1-Normal4"/>
        <w:numPr>
          <w:ilvl w:val="0"/>
          <w:numId w:val="138"/>
        </w:numPr>
        <w:spacing w:before="120" w:after="160" w:line="259" w:lineRule="auto"/>
        <w:contextualSpacing/>
        <w:jc w:val="both"/>
        <w:rPr>
          <w:rFonts w:cs="Times New Roman"/>
          <w:noProof/>
        </w:rPr>
      </w:pPr>
      <w:r>
        <w:rPr>
          <w:noProof/>
          <w:u w:val="single"/>
        </w:rPr>
        <w:t>Koragyermekkori nevelés és gondozás (ECEC)</w:t>
      </w:r>
      <w:r>
        <w:rPr>
          <w:noProof/>
        </w:rPr>
        <w:t>. A komponens cé</w:t>
      </w:r>
      <w:r>
        <w:rPr>
          <w:noProof/>
        </w:rPr>
        <w:t>lja, hogy fokozatosan növelje a koragyermekkori nevelésbe és gondozásba való beiratkozást azáltal, hogy előnyben részesíti az új nyilvános helyek biztosítását a gyermekek számára a szegénység vagy a társadalmi kirekesztés nagyobb kockázatának kitett terüle</w:t>
      </w:r>
      <w:r>
        <w:rPr>
          <w:noProof/>
        </w:rPr>
        <w:t>teken és a vidéki területeken. A hangsúlyt a 0–3 éves gyermekekre kell helyezni, és figyelmet kell fordítani mind a hozzáférésre, mind a megfizethetőségre, különösen a nők munkaerő-piaci integrációjának előmozdítására, valamint az oktatási eredmények javít</w:t>
      </w:r>
      <w:r>
        <w:rPr>
          <w:noProof/>
        </w:rPr>
        <w:t xml:space="preserve">ására és a korai iskolaelhagyás megelőzésére a későbbi szakaszokban. </w:t>
      </w:r>
    </w:p>
    <w:p w14:paraId="0F7CA705" w14:textId="77777777" w:rsidR="003E1D81" w:rsidRDefault="00EB481C">
      <w:pPr>
        <w:pStyle w:val="P68B1DB1-Normal4"/>
        <w:numPr>
          <w:ilvl w:val="0"/>
          <w:numId w:val="138"/>
        </w:numPr>
        <w:spacing w:before="120" w:after="160" w:line="259" w:lineRule="auto"/>
        <w:contextualSpacing/>
        <w:jc w:val="both"/>
        <w:rPr>
          <w:rFonts w:cs="Times New Roman"/>
          <w:noProof/>
        </w:rPr>
      </w:pPr>
      <w:r>
        <w:rPr>
          <w:noProof/>
          <w:u w:val="single"/>
        </w:rPr>
        <w:t>Alap- és középfokú oktatás</w:t>
      </w:r>
      <w:r>
        <w:rPr>
          <w:noProof/>
        </w:rPr>
        <w:t>. A komponens célja az oktatási eredmények javítása a korai iskolaelhagyás és a magas ismétlődések arányának csökkentésével, az alulteljesítő diákoknak nyújtott</w:t>
      </w:r>
      <w:r>
        <w:rPr>
          <w:noProof/>
        </w:rPr>
        <w:t xml:space="preserve"> további támogatással, valamint a kötelező alap- és középfokú oktatásban, valamint az érettségi bizonyítványban szereplő kulcskompetenciákra (többek között digitális) vonatkozó új tanterv kidolgozásával. </w:t>
      </w:r>
    </w:p>
    <w:p w14:paraId="3C202EDA" w14:textId="77777777" w:rsidR="003E1D81" w:rsidRDefault="00EB481C">
      <w:pPr>
        <w:pStyle w:val="P68B1DB1-Normal4"/>
        <w:numPr>
          <w:ilvl w:val="0"/>
          <w:numId w:val="138"/>
        </w:numPr>
        <w:spacing w:before="120" w:after="160" w:line="259" w:lineRule="auto"/>
        <w:contextualSpacing/>
        <w:jc w:val="both"/>
        <w:rPr>
          <w:rFonts w:cs="Times New Roman"/>
          <w:noProof/>
        </w:rPr>
      </w:pPr>
      <w:r>
        <w:rPr>
          <w:noProof/>
          <w:u w:val="single"/>
        </w:rPr>
        <w:t>Egyetemi rendszer</w:t>
      </w:r>
      <w:r>
        <w:rPr>
          <w:noProof/>
        </w:rPr>
        <w:t>. A komponens célja az egyetemi re</w:t>
      </w:r>
      <w:r>
        <w:rPr>
          <w:noProof/>
        </w:rPr>
        <w:t>ndszer korszerűsítése az egyetemi képzések szervezésének a mai társadalmi igényekhez való igazítása, a felsőoktatás munkaerő-piaci relevanciájának javítása és a technológiai átalakulás támogatása révén. Célja továbbá a felsőoktatáshoz való hozzáférés javít</w:t>
      </w:r>
      <w:r>
        <w:rPr>
          <w:noProof/>
        </w:rPr>
        <w:t>ása és megfizethetőségének javítása.</w:t>
      </w:r>
    </w:p>
    <w:p w14:paraId="39B23856" w14:textId="77777777" w:rsidR="003E1D81" w:rsidRDefault="00EB481C">
      <w:pPr>
        <w:pStyle w:val="P68B1DB1-Normal4"/>
        <w:spacing w:before="120" w:after="120" w:line="240" w:lineRule="auto"/>
        <w:jc w:val="both"/>
        <w:rPr>
          <w:rFonts w:cs="Times New Roman"/>
          <w:noProof/>
        </w:rPr>
      </w:pPr>
      <w:r>
        <w:rPr>
          <w:noProof/>
        </w:rPr>
        <w:t>A komponens hozzájárul a korai iskolaelhagyás csökkentésére és az oktatási eredmények javítására vonatkozó országspecifikus ajánlások végrehajtásához, figyelembe véve a regionális különbségeket (2019. évi 2. országspeci</w:t>
      </w:r>
      <w:r>
        <w:rPr>
          <w:noProof/>
        </w:rPr>
        <w:t xml:space="preserve">fikus ajánlás), valamint a digitális tanuláshoz való hozzáférés javítását (2020. évi 2. országspecifikus ajánlás). Hozzájárul továbbá a diákok és a tanárok képzésének jobb támogatására vonatkozó korábbi országspecifikus ajánlások végrehajtásához, valamint </w:t>
      </w:r>
      <w:r>
        <w:rPr>
          <w:noProof/>
        </w:rPr>
        <w:t xml:space="preserve">a családoknak nyújtott támogatás javításához (2019. évi 2. országspecifikus ajánlás), beleértve a minőségi gyermekgondozáshoz való hozzáférést is. </w:t>
      </w:r>
    </w:p>
    <w:p w14:paraId="05281E9A" w14:textId="77777777" w:rsidR="003E1D81" w:rsidRDefault="00EB481C">
      <w:pPr>
        <w:pStyle w:val="P68B1DB1-Normal4"/>
        <w:spacing w:before="120" w:after="120" w:line="240" w:lineRule="auto"/>
        <w:jc w:val="both"/>
        <w:rPr>
          <w:rFonts w:cs="Times New Roman"/>
          <w:noProof/>
        </w:rPr>
      </w:pPr>
      <w:r>
        <w:rPr>
          <w:noProof/>
        </w:rPr>
        <w:t xml:space="preserve">A jelentős károkozás elkerülését célzó elvről szóló technikai iránymutatásnak (2021/C58/01) megfelelően a </w:t>
      </w:r>
      <w:r>
        <w:rPr>
          <w:noProof/>
        </w:rPr>
        <w:t>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w:t>
      </w:r>
      <w:r>
        <w:rPr>
          <w:noProof/>
        </w:rPr>
        <w:t>en az (EU) 2020/852 rendelet 17. cikke szerinti környezeti célkitűzéseket.</w:t>
      </w:r>
    </w:p>
    <w:p w14:paraId="6F2AA7E0" w14:textId="77777777" w:rsidR="003E1D81" w:rsidRDefault="00EB481C">
      <w:pPr>
        <w:pStyle w:val="P68B1DB1-Normal5"/>
        <w:spacing w:before="120" w:after="120" w:line="240" w:lineRule="auto"/>
        <w:ind w:left="709"/>
        <w:jc w:val="both"/>
        <w:rPr>
          <w:rFonts w:cs="Times New Roman"/>
          <w:i/>
          <w:noProof/>
        </w:rPr>
      </w:pPr>
      <w:r>
        <w:rPr>
          <w:noProof/>
        </w:rPr>
        <w:t xml:space="preserve">U.1. </w:t>
      </w:r>
      <w:r>
        <w:rPr>
          <w:noProof/>
        </w:rPr>
        <w:tab/>
        <w:t>Vissza nem térítendő pénzügyi támogatás – a reformok és beruházások ismertetése</w:t>
      </w:r>
    </w:p>
    <w:p w14:paraId="5277237A" w14:textId="77777777" w:rsidR="003E1D81" w:rsidRDefault="00EB481C">
      <w:pPr>
        <w:pStyle w:val="P68B1DB1-Normal23"/>
        <w:spacing w:before="120" w:after="120" w:line="240" w:lineRule="auto"/>
        <w:jc w:val="both"/>
        <w:rPr>
          <w:rFonts w:cs="Times New Roman"/>
          <w:noProof/>
        </w:rPr>
      </w:pPr>
      <w:r>
        <w:rPr>
          <w:noProof/>
        </w:rPr>
        <w:t xml:space="preserve">Reform (C21.R1) – Új sarkalatos oktatási törvény  </w:t>
      </w:r>
    </w:p>
    <w:p w14:paraId="3F98D6C3" w14:textId="77777777" w:rsidR="003E1D81" w:rsidRDefault="00EB481C">
      <w:pPr>
        <w:pStyle w:val="P68B1DB1-Normal4"/>
        <w:spacing w:before="120" w:after="120" w:line="240" w:lineRule="auto"/>
        <w:jc w:val="both"/>
        <w:rPr>
          <w:rFonts w:cs="Times New Roman"/>
          <w:noProof/>
        </w:rPr>
      </w:pPr>
      <w:r>
        <w:rPr>
          <w:noProof/>
          <w:shd w:val="clear" w:color="auto" w:fill="FFFFFF"/>
        </w:rPr>
        <w:t xml:space="preserve">Ez a reform a koragyermekkori nevelésről, a </w:t>
      </w:r>
      <w:r>
        <w:rPr>
          <w:noProof/>
          <w:shd w:val="clear" w:color="auto" w:fill="FFFFFF"/>
        </w:rPr>
        <w:t xml:space="preserve">kötelező alap- és középfokú oktatásról, valamint az érettségi bizonyítványról szóló új törvény elfogadását </w:t>
      </w:r>
      <w:r>
        <w:rPr>
          <w:noProof/>
        </w:rPr>
        <w:t>segíti elő. Megteremti a teljes lakosság oktatási és képzési lehetőségeinek bővítésének alapját, többek között az oktatási eredmények javítása és a n</w:t>
      </w:r>
      <w:r>
        <w:rPr>
          <w:noProof/>
        </w:rPr>
        <w:t>ehézségek korai felismerése, valamint az iskolák autonómiájának megerősítése révén. A programnak a diákok háttere szerinti szegregáció csökkentésére és a rendszer befogadó képességének javítására kell összpontosítania. A cél továbbá a digitális kompetenciá</w:t>
      </w:r>
      <w:r>
        <w:rPr>
          <w:noProof/>
        </w:rPr>
        <w:t>k megerősítése az oktatás minden szintjén, így válaszolva az egyre inkább digitalizált gazdaságra.  2020. december 29-én új törvényt (LOMLOE) fogadtak el.</w:t>
      </w:r>
    </w:p>
    <w:p w14:paraId="6573CFB4" w14:textId="77777777" w:rsidR="003E1D81" w:rsidRDefault="00EB481C">
      <w:pPr>
        <w:pStyle w:val="P68B1DB1-Normal4"/>
        <w:spacing w:before="120" w:after="120" w:line="240" w:lineRule="auto"/>
        <w:jc w:val="both"/>
        <w:rPr>
          <w:rFonts w:cs="Times New Roman"/>
          <w:noProof/>
        </w:rPr>
      </w:pPr>
      <w:r>
        <w:rPr>
          <w:noProof/>
        </w:rPr>
        <w:t xml:space="preserve">Az oktatási törvény szabályozásának fejlesztése a következők révén valósul meg: </w:t>
      </w:r>
    </w:p>
    <w:p w14:paraId="26F41691" w14:textId="77777777" w:rsidR="003E1D81" w:rsidRDefault="00EB481C">
      <w:pPr>
        <w:pStyle w:val="P68B1DB1-Normal4"/>
        <w:numPr>
          <w:ilvl w:val="0"/>
          <w:numId w:val="139"/>
        </w:numPr>
        <w:spacing w:before="120" w:after="160" w:line="259" w:lineRule="auto"/>
        <w:contextualSpacing/>
        <w:jc w:val="both"/>
        <w:rPr>
          <w:rFonts w:cs="Times New Roman"/>
          <w:noProof/>
        </w:rPr>
      </w:pPr>
      <w:r>
        <w:rPr>
          <w:noProof/>
        </w:rPr>
        <w:t xml:space="preserve">az új kompetenciaalapú tanterv szabályozása; </w:t>
      </w:r>
    </w:p>
    <w:p w14:paraId="7D127AE9" w14:textId="77777777" w:rsidR="003E1D81" w:rsidRDefault="00EB481C">
      <w:pPr>
        <w:pStyle w:val="P68B1DB1-Normal4"/>
        <w:numPr>
          <w:ilvl w:val="0"/>
          <w:numId w:val="139"/>
        </w:numPr>
        <w:spacing w:before="120" w:after="160" w:line="259" w:lineRule="auto"/>
        <w:contextualSpacing/>
        <w:jc w:val="both"/>
        <w:rPr>
          <w:rFonts w:cs="Times New Roman"/>
          <w:noProof/>
        </w:rPr>
      </w:pPr>
      <w:r>
        <w:rPr>
          <w:noProof/>
        </w:rPr>
        <w:t xml:space="preserve">értékelés, különösen az oktatási rendszer általános értékelése, valamint a diagnosztikai értékelések; </w:t>
      </w:r>
    </w:p>
    <w:p w14:paraId="49022C5D" w14:textId="77777777" w:rsidR="003E1D81" w:rsidRDefault="00EB481C">
      <w:pPr>
        <w:pStyle w:val="P68B1DB1-Normal4"/>
        <w:numPr>
          <w:ilvl w:val="0"/>
          <w:numId w:val="139"/>
        </w:numPr>
        <w:spacing w:before="120" w:after="160" w:line="259" w:lineRule="auto"/>
        <w:contextualSpacing/>
        <w:jc w:val="both"/>
        <w:rPr>
          <w:rFonts w:cs="Times New Roman"/>
          <w:noProof/>
        </w:rPr>
      </w:pPr>
      <w:r>
        <w:rPr>
          <w:noProof/>
        </w:rPr>
        <w:t>a tanári szakma fejlesztése; és</w:t>
      </w:r>
    </w:p>
    <w:p w14:paraId="736CBF07" w14:textId="77777777" w:rsidR="003E1D81" w:rsidRDefault="00EB481C">
      <w:pPr>
        <w:pStyle w:val="P68B1DB1-Normal4"/>
        <w:numPr>
          <w:ilvl w:val="0"/>
          <w:numId w:val="139"/>
        </w:numPr>
        <w:spacing w:before="120" w:after="160" w:line="259" w:lineRule="auto"/>
        <w:contextualSpacing/>
        <w:jc w:val="both"/>
        <w:rPr>
          <w:rFonts w:cs="Times New Roman"/>
          <w:noProof/>
        </w:rPr>
      </w:pPr>
      <w:r>
        <w:rPr>
          <w:noProof/>
        </w:rPr>
        <w:t>a külföldi nem egyetemi bizonyítványok és tanulmányok elismerésének és érvé</w:t>
      </w:r>
      <w:r>
        <w:rPr>
          <w:noProof/>
        </w:rPr>
        <w:t xml:space="preserve">nyesítésének szabályozása. </w:t>
      </w:r>
    </w:p>
    <w:p w14:paraId="2DE9682E" w14:textId="77777777" w:rsidR="003E1D81" w:rsidRDefault="00EB481C">
      <w:pPr>
        <w:pStyle w:val="P68B1DB1-Normal4"/>
        <w:spacing w:before="120" w:after="120" w:line="240" w:lineRule="auto"/>
        <w:jc w:val="both"/>
        <w:rPr>
          <w:rFonts w:cs="Times New Roman"/>
          <w:noProof/>
          <w:shd w:val="clear" w:color="auto" w:fill="FFFFFF"/>
        </w:rPr>
      </w:pPr>
      <w:r>
        <w:rPr>
          <w:noProof/>
        </w:rPr>
        <w:t>Ebből</w:t>
      </w:r>
      <w:r>
        <w:rPr>
          <w:noProof/>
          <w:shd w:val="clear" w:color="auto" w:fill="FFFFFF"/>
        </w:rPr>
        <w:t xml:space="preserve">a célból megteremti a 2. reform és a komponensbe tartozó különböző beruházások alapját. </w:t>
      </w:r>
    </w:p>
    <w:p w14:paraId="6E4E7145" w14:textId="77777777" w:rsidR="003E1D81" w:rsidRDefault="00EB481C">
      <w:pPr>
        <w:pStyle w:val="P68B1DB1-Normal4"/>
        <w:spacing w:before="120" w:after="120" w:line="240" w:lineRule="auto"/>
        <w:jc w:val="both"/>
        <w:rPr>
          <w:rFonts w:cs="Times New Roman"/>
          <w:noProof/>
        </w:rPr>
      </w:pPr>
      <w:r>
        <w:rPr>
          <w:noProof/>
        </w:rPr>
        <w:t xml:space="preserve">Végezetül a reform várhatóan elő fogja mozdítani a speciális nevelési igényű tanulók rendes iskolákban való általános érvényesítését, </w:t>
      </w:r>
      <w:r>
        <w:rPr>
          <w:noProof/>
        </w:rPr>
        <w:t xml:space="preserve">és azt a regionális hatóságokkal egyeztetett tízéves gördülő tervnek kell kísérnie, amely további forrásokat biztosít a sajátos nevelési igényű tanulókat befogadó iskolák támogatására. </w:t>
      </w:r>
    </w:p>
    <w:p w14:paraId="525C459F" w14:textId="77777777" w:rsidR="003E1D81" w:rsidRDefault="00EB481C">
      <w:pPr>
        <w:pStyle w:val="P68B1DB1-Normal22"/>
        <w:spacing w:before="120" w:after="120" w:line="240" w:lineRule="auto"/>
        <w:jc w:val="both"/>
        <w:rPr>
          <w:rFonts w:cs="Times New Roman"/>
          <w:noProof/>
        </w:rPr>
      </w:pPr>
      <w:r>
        <w:rPr>
          <w:noProof/>
        </w:rPr>
        <w:t>Az intézkedés végrehajtását 2021. március 31-ig be kell fejezni.</w:t>
      </w:r>
    </w:p>
    <w:p w14:paraId="38E7D1C8" w14:textId="77777777" w:rsidR="003E1D81" w:rsidRDefault="00EB481C">
      <w:pPr>
        <w:pStyle w:val="P68B1DB1-Normal22"/>
        <w:spacing w:before="120" w:after="120" w:line="240" w:lineRule="auto"/>
        <w:jc w:val="both"/>
        <w:rPr>
          <w:rFonts w:cs="Times New Roman"/>
          <w:noProof/>
        </w:rPr>
      </w:pPr>
      <w:r>
        <w:rPr>
          <w:noProof/>
          <w:u w:val="single"/>
        </w:rPr>
        <w:t>Refor</w:t>
      </w:r>
      <w:r>
        <w:rPr>
          <w:noProof/>
          <w:u w:val="single"/>
        </w:rPr>
        <w:t>m (C21.R2) – A kulcskompetenciákra, az alapvető tanulásra és az inkluzív tudományos tervezésre vonatkozó új tantervi modell</w:t>
      </w:r>
      <w:r>
        <w:rPr>
          <w:noProof/>
        </w:rPr>
        <w:t xml:space="preserve"> </w:t>
      </w:r>
    </w:p>
    <w:p w14:paraId="3067CA83" w14:textId="77777777" w:rsidR="003E1D81" w:rsidRDefault="00EB481C">
      <w:pPr>
        <w:pStyle w:val="P68B1DB1-Normal4"/>
        <w:spacing w:before="120" w:after="120" w:line="240" w:lineRule="auto"/>
        <w:jc w:val="both"/>
        <w:rPr>
          <w:rFonts w:cs="Times New Roman"/>
          <w:noProof/>
        </w:rPr>
      </w:pPr>
      <w:r>
        <w:rPr>
          <w:noProof/>
        </w:rPr>
        <w:t>Az 1. reformban említett új oktatási törvény (LOMLOE) elfogadása</w:t>
      </w:r>
      <w:r>
        <w:rPr>
          <w:noProof/>
          <w:shd w:val="clear" w:color="auto" w:fill="FFFFFF"/>
        </w:rPr>
        <w:t>alapján ez a reform magában foglalja az alapfokú és a kötelező közé</w:t>
      </w:r>
      <w:r>
        <w:rPr>
          <w:noProof/>
          <w:shd w:val="clear" w:color="auto" w:fill="FFFFFF"/>
        </w:rPr>
        <w:t xml:space="preserve">pfokú oktatásra és az érettségi érettségre vonatkozó minimumkövetelményekről szóló törvényerejű rendelet elfogadását. Magában foglalja továbbá </w:t>
      </w:r>
      <w:r>
        <w:rPr>
          <w:noProof/>
        </w:rPr>
        <w:t>a kompetenciaalapú tanterven alapuló tanításra és tanulásra vonatkozó módszertani iránymutatások bevezetését, val</w:t>
      </w:r>
      <w:r>
        <w:rPr>
          <w:noProof/>
        </w:rPr>
        <w:t>amint a „puha készségek” beépítését, figyelembe véve az egész életen át tartó tanuláshoz szükséges kulcskompetenciákról szóló, 2018. május 22-i tanácsi ajánlást. A törvényerejű rendeleteknek tartalmazniuk kell egy, a tantervvel összhangban kidolgozott érté</w:t>
      </w:r>
      <w:r>
        <w:rPr>
          <w:noProof/>
        </w:rPr>
        <w:t>kelési keretet, amely a kompetenciák megszerzésének szintjére és a diákok előrehaladását elősegítő intézkedések értékelésére összpontosít. A cél egy rugalmasabb és nyitottabb oktatási modell kidolgozása, amely együttműködésen alapuló módszerek alkalmazásáv</w:t>
      </w:r>
      <w:r>
        <w:rPr>
          <w:noProof/>
        </w:rPr>
        <w:t xml:space="preserve">al előmozdítja a mélyreható tanulást, hozzájárulva az oktatási eredmények javításához. Az új tanterv figyelmet fordít a fenntartható fejlődést és a polgári szerepvállalást szolgáló oktatásra. A digitális kompetenciák fejlesztését minden szinten figyelembe </w:t>
      </w:r>
      <w:r>
        <w:rPr>
          <w:noProof/>
        </w:rPr>
        <w:t>kell venni, mind konkrét tartalmakon keresztül, mind horizontális szempontból.</w:t>
      </w:r>
    </w:p>
    <w:p w14:paraId="18D0C9CD" w14:textId="77777777" w:rsidR="003E1D81" w:rsidRDefault="00EB481C">
      <w:pPr>
        <w:pStyle w:val="P68B1DB1-Text119"/>
        <w:ind w:left="0"/>
        <w:rPr>
          <w:rFonts w:cs="Times New Roman"/>
          <w:noProof/>
        </w:rPr>
      </w:pPr>
      <w:r>
        <w:rPr>
          <w:noProof/>
        </w:rPr>
        <w:t>Ebben a reformban legalább 100 külső szakértő vesz részt az oktatási szakaszok területeire és tantárgyaira, valamint az értékelési keretekre vonatkozó tanterv kidolgozásában, am</w:t>
      </w:r>
      <w:r>
        <w:rPr>
          <w:noProof/>
        </w:rPr>
        <w:t>ely az új tanterv és a közös értékelési keret királyi rendeleteinek kidolgozásához alapul szolgál.</w:t>
      </w:r>
    </w:p>
    <w:p w14:paraId="1CDA7885" w14:textId="77777777" w:rsidR="003E1D81" w:rsidRDefault="00EB481C">
      <w:pPr>
        <w:pStyle w:val="P68B1DB1-Normal4"/>
        <w:spacing w:before="120" w:after="120" w:line="240" w:lineRule="auto"/>
        <w:jc w:val="both"/>
        <w:rPr>
          <w:rFonts w:cs="Times New Roman"/>
          <w:noProof/>
        </w:rPr>
      </w:pPr>
      <w:r>
        <w:rPr>
          <w:noProof/>
        </w:rPr>
        <w:t>A reform magában foglalja a támogatás, iránymutatás és oktatási anyagok elkészítését, valamint a tanárok képzését annak biztosítása érdekében, hogy hatékonya</w:t>
      </w:r>
      <w:r>
        <w:rPr>
          <w:noProof/>
        </w:rPr>
        <w:t xml:space="preserve">n végre tudják hajtani az új tantervet. Az anyagokat online közzé kell tenni valamennyi tanár számára, a bevált gyakorlatok terjesztésével együtt. Legalább 4000 szakembernek kell elvégeznie az új tanterv alkalmazásához szükséges képzést. </w:t>
      </w:r>
    </w:p>
    <w:p w14:paraId="044E3EE4" w14:textId="77777777" w:rsidR="003E1D81" w:rsidRDefault="00EB481C">
      <w:pPr>
        <w:pStyle w:val="P68B1DB1-Normal22"/>
        <w:spacing w:before="120" w:after="120" w:line="240" w:lineRule="auto"/>
        <w:jc w:val="both"/>
        <w:rPr>
          <w:rFonts w:cs="Times New Roman"/>
          <w:noProof/>
        </w:rPr>
      </w:pPr>
      <w:r>
        <w:rPr>
          <w:noProof/>
        </w:rPr>
        <w:t>A reform megterve</w:t>
      </w:r>
      <w:r>
        <w:rPr>
          <w:noProof/>
        </w:rPr>
        <w:t>zése és végrehajtása az oktatási tanácsadó szervekkel és szakértőkkel, valamint az autonóm közösségekkel konzultálva történik.</w:t>
      </w:r>
    </w:p>
    <w:p w14:paraId="48CF69A0" w14:textId="77777777" w:rsidR="003E1D81" w:rsidRDefault="00EB481C">
      <w:pPr>
        <w:pStyle w:val="P68B1DB1-Normal22"/>
        <w:spacing w:before="120" w:after="120" w:line="240" w:lineRule="auto"/>
        <w:jc w:val="both"/>
        <w:rPr>
          <w:rFonts w:cs="Times New Roman"/>
          <w:noProof/>
        </w:rPr>
      </w:pPr>
      <w:r>
        <w:rPr>
          <w:noProof/>
        </w:rPr>
        <w:t>Az intézkedés végrehajtását 2024. szeptember 30-ig be kell fejezni.</w:t>
      </w:r>
    </w:p>
    <w:p w14:paraId="5813ECD3" w14:textId="77777777" w:rsidR="003E1D81" w:rsidRDefault="00EB481C">
      <w:pPr>
        <w:pStyle w:val="P68B1DB1-Normal23"/>
        <w:spacing w:before="120" w:after="120" w:line="240" w:lineRule="auto"/>
        <w:jc w:val="both"/>
        <w:rPr>
          <w:rFonts w:cs="Times New Roman"/>
          <w:noProof/>
        </w:rPr>
      </w:pPr>
      <w:r>
        <w:rPr>
          <w:noProof/>
        </w:rPr>
        <w:t xml:space="preserve">Reform (C21.R3) – Az egyetemi rendszer átfogó reformja </w:t>
      </w:r>
    </w:p>
    <w:p w14:paraId="0F71425B" w14:textId="77777777" w:rsidR="003E1D81" w:rsidRDefault="00EB481C">
      <w:pPr>
        <w:pStyle w:val="P68B1DB1-Normal4"/>
        <w:spacing w:before="120" w:after="120" w:line="240" w:lineRule="auto"/>
        <w:jc w:val="both"/>
        <w:rPr>
          <w:rFonts w:cs="Times New Roman"/>
          <w:noProof/>
        </w:rPr>
      </w:pPr>
      <w:r>
        <w:rPr>
          <w:noProof/>
          <w:shd w:val="clear" w:color="auto" w:fill="FFFFFF"/>
        </w:rPr>
        <w:t>A ref</w:t>
      </w:r>
      <w:r>
        <w:rPr>
          <w:noProof/>
          <w:shd w:val="clear" w:color="auto" w:fill="FFFFFF"/>
        </w:rPr>
        <w:t xml:space="preserve">orm középpontjában az egyetemi rendszerre vonatkozó új jogszabály áll, amelynek célja </w:t>
      </w:r>
      <w:r>
        <w:rPr>
          <w:noProof/>
        </w:rPr>
        <w:t xml:space="preserve">a rendszer átfogó reformja a következő </w:t>
      </w:r>
      <w:bookmarkStart w:id="54" w:name="_Hlk65757328"/>
      <w:r>
        <w:rPr>
          <w:noProof/>
        </w:rPr>
        <w:t xml:space="preserve">négy fő célkitűzés alapján: </w:t>
      </w:r>
    </w:p>
    <w:bookmarkEnd w:id="54"/>
    <w:p w14:paraId="070B5F86" w14:textId="77777777" w:rsidR="003E1D81" w:rsidRDefault="00EB481C">
      <w:pPr>
        <w:pStyle w:val="P68B1DB1-Normal22"/>
        <w:numPr>
          <w:ilvl w:val="0"/>
          <w:numId w:val="140"/>
        </w:numPr>
        <w:spacing w:before="120" w:after="120" w:line="240" w:lineRule="auto"/>
        <w:jc w:val="both"/>
        <w:rPr>
          <w:rFonts w:cs="Times New Roman"/>
          <w:noProof/>
        </w:rPr>
      </w:pPr>
      <w:r>
        <w:rPr>
          <w:noProof/>
        </w:rPr>
        <w:t>A felsőoktatáshoz való hozzáférés előmozdítása. Az ösztöndíjakat a társadalmi-gazdasági feltételek fig</w:t>
      </w:r>
      <w:r>
        <w:rPr>
          <w:noProof/>
        </w:rPr>
        <w:t xml:space="preserve">yelembevételével növelni kell, és a fogyatékossággal élő diákok ösztöndíjainak javítása révén biztosítani kell az esélyegyenlőséget. Az ösztöndíjrendszert 2020-ban megreformálták, de 2021-ben és 2022-ben tovább kell fejleszteni. Az állami egyetemi díjakat </w:t>
      </w:r>
      <w:r>
        <w:rPr>
          <w:noProof/>
        </w:rPr>
        <w:t>is csökkenteni kell, többek között küszöbértékek megállapítása és a nagy regionális egyenlőtlenségek csökkentése révén.</w:t>
      </w:r>
    </w:p>
    <w:p w14:paraId="5A5C4F93" w14:textId="77777777" w:rsidR="003E1D81" w:rsidRDefault="00EB481C">
      <w:pPr>
        <w:pStyle w:val="P68B1DB1-Normal4"/>
        <w:numPr>
          <w:ilvl w:val="0"/>
          <w:numId w:val="140"/>
        </w:numPr>
        <w:spacing w:before="120" w:after="120" w:line="240" w:lineRule="auto"/>
        <w:jc w:val="both"/>
        <w:rPr>
          <w:rFonts w:cs="Times New Roman"/>
          <w:noProof/>
          <w:shd w:val="clear" w:color="auto" w:fill="FFFFFF"/>
        </w:rPr>
      </w:pPr>
      <w:r>
        <w:rPr>
          <w:noProof/>
          <w:shd w:val="clear" w:color="auto" w:fill="FFFFFF"/>
        </w:rPr>
        <w:t>Egyetemi kurzusok szervezésének elfogadása. Az egyetemi képzések szervezésének megreformálására, valamint azok minőségének és munkaerő-p</w:t>
      </w:r>
      <w:r>
        <w:rPr>
          <w:noProof/>
          <w:shd w:val="clear" w:color="auto" w:fill="FFFFFF"/>
        </w:rPr>
        <w:t xml:space="preserve">iaci relevanciájának biztosítására törvényerejű rendeletet kell elfogadni. </w:t>
      </w:r>
      <w:r>
        <w:rPr>
          <w:noProof/>
        </w:rPr>
        <w:t>E célból elő kell mozdítani az egyetemi együttműködést a felsőoktatási vállalkozásokkal a duális alapképzés és a mesterképzés szabályozása révén, beleértve az egyetemek által felügy</w:t>
      </w:r>
      <w:r>
        <w:rPr>
          <w:noProof/>
        </w:rPr>
        <w:t>elt vállalatok képzési programjait is.</w:t>
      </w:r>
      <w:r>
        <w:rPr>
          <w:noProof/>
          <w:shd w:val="clear" w:color="auto" w:fill="FFFFFF"/>
        </w:rPr>
        <w:t xml:space="preserve"> Az európai oktatási térség céljaival összhangban biztosítani kell az oklevelek feltétel nélküli elismerését. A nem vagy félig személyes oktatásra vonatkozó </w:t>
      </w:r>
      <w:r>
        <w:rPr>
          <w:noProof/>
        </w:rPr>
        <w:t>ellenőrzési, nyomonkövetési és akkreditációs eljárásokat is m</w:t>
      </w:r>
      <w:r>
        <w:rPr>
          <w:noProof/>
        </w:rPr>
        <w:t xml:space="preserve">eg kell erősíteni, ötvözve az egyetemi oktatási kínálat minőségbiztosítását és a bürokrácia csökkentését az érintett eljárásokban. Támogatni kell az innovatív oktatást is. </w:t>
      </w:r>
    </w:p>
    <w:p w14:paraId="2265A793" w14:textId="77777777" w:rsidR="003E1D81" w:rsidRDefault="00EB481C">
      <w:pPr>
        <w:pStyle w:val="P68B1DB1-Normal22"/>
        <w:numPr>
          <w:ilvl w:val="0"/>
          <w:numId w:val="140"/>
        </w:numPr>
        <w:spacing w:before="120" w:after="120" w:line="240" w:lineRule="auto"/>
        <w:jc w:val="both"/>
        <w:rPr>
          <w:rFonts w:cs="Times New Roman"/>
          <w:noProof/>
        </w:rPr>
      </w:pPr>
      <w:r>
        <w:rPr>
          <w:noProof/>
        </w:rPr>
        <w:t>Az egyetemi intézmények jó irányításának biztosítása, valamint az oktatási és kutat</w:t>
      </w:r>
      <w:r>
        <w:rPr>
          <w:noProof/>
        </w:rPr>
        <w:t>ói személyzet kutatásának, átadásának és mobilitásának előmozdítása. A cél az eredményesség, a hatékonyság és az egyetemek autonómiájának biztosítása az egyetemek napi irányításában, az érdekelt felek részvételének növelése az irányításban, valamint az átl</w:t>
      </w:r>
      <w:r>
        <w:rPr>
          <w:noProof/>
        </w:rPr>
        <w:t>áthatóság és az elszámoltathatóság előmozdítása. Biztosítja továbbá, hogy az egyetemek magasan képzett tanárokkal rendelkezzenek, hogy a tanári karrier kiszámíthatóbb legyen, és hogy a tanítás és a kutatás közötti kapcsolat megerősödjön.</w:t>
      </w:r>
    </w:p>
    <w:p w14:paraId="30DA7ED5" w14:textId="77777777" w:rsidR="003E1D81" w:rsidRDefault="00EB481C">
      <w:pPr>
        <w:pStyle w:val="P68B1DB1-Normal4"/>
        <w:numPr>
          <w:ilvl w:val="0"/>
          <w:numId w:val="140"/>
        </w:numPr>
        <w:spacing w:before="120" w:after="120" w:line="240" w:lineRule="auto"/>
        <w:jc w:val="both"/>
        <w:rPr>
          <w:rFonts w:cs="Times New Roman"/>
          <w:noProof/>
          <w:shd w:val="clear" w:color="auto" w:fill="FFFFFF"/>
        </w:rPr>
      </w:pPr>
      <w:r>
        <w:rPr>
          <w:noProof/>
          <w:shd w:val="clear" w:color="auto" w:fill="FFFFFF"/>
        </w:rPr>
        <w:t>Az egyetemi intézm</w:t>
      </w:r>
      <w:r>
        <w:rPr>
          <w:noProof/>
          <w:shd w:val="clear" w:color="auto" w:fill="FFFFFF"/>
        </w:rPr>
        <w:t xml:space="preserve">ények minőségének biztosítása. </w:t>
      </w:r>
      <w:r>
        <w:rPr>
          <w:noProof/>
        </w:rPr>
        <w:t>Törvényerejű rendeletet kell elfogadni, amely meghatározza az egyetemek és a hozzájuk kapcsolódó központok létrehozására, elismerésére, engedélyezésére és akkreditációjára vonatkozó tudományos minőségi kritériumokat, beleértv</w:t>
      </w:r>
      <w:r>
        <w:rPr>
          <w:noProof/>
        </w:rPr>
        <w:t>e a táv- és félszemélyes egyetemeket is.</w:t>
      </w:r>
      <w:r>
        <w:rPr>
          <w:noProof/>
          <w:shd w:val="clear" w:color="auto" w:fill="FFFFFF"/>
        </w:rPr>
        <w:t xml:space="preserve"> A cél az, hogy az egyetemek minimális formatív tudományos kínálattal </w:t>
      </w:r>
      <w:r>
        <w:rPr>
          <w:noProof/>
        </w:rPr>
        <w:t>rendelkezzenek, biztosítva ugyanakkor az egyetemek szakosodásának lehetőségét; az alapképzésben részt vevő hallgatók minimális száma; költségvetés</w:t>
      </w:r>
      <w:r>
        <w:rPr>
          <w:noProof/>
        </w:rPr>
        <w:t>ük legalább 5%-át kutatási programokra fordítják; és belső minőségbiztosítási rendszerekkel rendelkeznek.</w:t>
      </w:r>
    </w:p>
    <w:p w14:paraId="49406F58" w14:textId="77777777" w:rsidR="003E1D81" w:rsidRDefault="00EB481C">
      <w:pPr>
        <w:pStyle w:val="P68B1DB1-Normal22"/>
        <w:spacing w:before="120" w:after="120" w:line="240" w:lineRule="auto"/>
        <w:jc w:val="both"/>
        <w:rPr>
          <w:rFonts w:cs="Times New Roman"/>
          <w:noProof/>
        </w:rPr>
      </w:pPr>
      <w:r>
        <w:rPr>
          <w:noProof/>
        </w:rPr>
        <w:t xml:space="preserve">E célból a reformnak figyelembe kell vennie a spanyol egyetemi rektorok konferenciájának (CRUE) ajánlásait. Hozzá kell járulnia a felsőoktatás </w:t>
      </w:r>
      <w:r>
        <w:rPr>
          <w:noProof/>
        </w:rPr>
        <w:t>munkaerő-piaci relevanciájának fokozásához, többek között a vállalkozásokkal való együttműködés előmozdítása és teljesítményalapú finanszírozási modellek bevezetése révén az állami egyetemeken.</w:t>
      </w:r>
    </w:p>
    <w:p w14:paraId="47FC6520" w14:textId="77777777" w:rsidR="003E1D81" w:rsidRDefault="00EB481C">
      <w:pPr>
        <w:pStyle w:val="P68B1DB1-Normal22"/>
        <w:spacing w:before="120" w:after="120" w:line="240" w:lineRule="auto"/>
        <w:jc w:val="both"/>
        <w:rPr>
          <w:rFonts w:cs="Times New Roman"/>
          <w:noProof/>
        </w:rPr>
      </w:pPr>
      <w:r>
        <w:rPr>
          <w:noProof/>
        </w:rPr>
        <w:t>Az intézkedés végrehajtását 2023. június 30-ig be kell fejezni</w:t>
      </w:r>
      <w:r>
        <w:rPr>
          <w:noProof/>
        </w:rPr>
        <w:t>.</w:t>
      </w:r>
    </w:p>
    <w:p w14:paraId="38C05484" w14:textId="77777777" w:rsidR="003E1D81" w:rsidRDefault="00EB481C">
      <w:pPr>
        <w:pStyle w:val="P68B1DB1-Normal22"/>
        <w:spacing w:before="120" w:after="120" w:line="240" w:lineRule="auto"/>
        <w:jc w:val="both"/>
        <w:rPr>
          <w:rFonts w:cs="Times New Roman"/>
          <w:noProof/>
          <w:u w:val="single"/>
        </w:rPr>
      </w:pPr>
      <w:r>
        <w:rPr>
          <w:noProof/>
          <w:u w:val="single"/>
        </w:rPr>
        <w:t>Beruházás (C21.I1) – A kisgyermekkori nevelés és gondozás előmozdítása (ECEC)</w:t>
      </w:r>
      <w:r>
        <w:rPr>
          <w:noProof/>
        </w:rPr>
        <w:t xml:space="preserve"> </w:t>
      </w:r>
    </w:p>
    <w:p w14:paraId="45772844" w14:textId="77777777" w:rsidR="003E1D81" w:rsidRDefault="00EB481C">
      <w:pPr>
        <w:pStyle w:val="P68B1DB1-Normal4"/>
        <w:spacing w:before="120" w:after="120" w:line="240" w:lineRule="auto"/>
        <w:jc w:val="both"/>
        <w:rPr>
          <w:rFonts w:cs="Times New Roman"/>
          <w:noProof/>
        </w:rPr>
      </w:pPr>
      <w:r>
        <w:rPr>
          <w:noProof/>
          <w:shd w:val="clear" w:color="auto" w:fill="FFFFFF"/>
        </w:rPr>
        <w:t xml:space="preserve">Ezen intézkedés részeként Spanyolország új koragyermekkori nevelési és gondozási létesítmények építésébe, a meglévő épületek rehabilitációjába és felújításába, valamint olyan </w:t>
      </w:r>
      <w:r>
        <w:rPr>
          <w:noProof/>
          <w:shd w:val="clear" w:color="auto" w:fill="FFFFFF"/>
        </w:rPr>
        <w:t xml:space="preserve">berendezésekbe ruház be, amelyek legalább 60000 új, állami tulajdonú kisgyermekkori nevelési és gondozási férőhelyet hoznak létre a 3 év alatti gyermekek számára. A középpontban az áll, hogy megfizethető nyilvános férőhelyeket biztosítsanak a gyermekek </w:t>
      </w:r>
      <w:r>
        <w:rPr>
          <w:noProof/>
        </w:rPr>
        <w:t>szá</w:t>
      </w:r>
      <w:r>
        <w:rPr>
          <w:noProof/>
        </w:rPr>
        <w:t>mára a szegénység vagy a társadalmi kirekesztettség magasabb kockázatának kitett területeken és a vidéki területeken, különösen az 1–2 éves korosztályban. Az épületek a regionális vagy helyi hatóságok, illetve Ceuta és Melilla esetében az Oktatási és Szakk</w:t>
      </w:r>
      <w:r>
        <w:rPr>
          <w:noProof/>
        </w:rPr>
        <w:t xml:space="preserve">épzési Minisztérium tulajdonában vannak. </w:t>
      </w:r>
    </w:p>
    <w:p w14:paraId="07508A27" w14:textId="1AEF08E7" w:rsidR="003E1D81" w:rsidRDefault="00EB481C">
      <w:pPr>
        <w:pStyle w:val="P68B1DB1-Normal4"/>
        <w:spacing w:before="120" w:after="120" w:line="240" w:lineRule="auto"/>
        <w:jc w:val="both"/>
        <w:rPr>
          <w:rFonts w:cs="Times New Roman"/>
          <w:noProof/>
        </w:rPr>
      </w:pPr>
      <w:r>
        <w:rPr>
          <w:noProof/>
        </w:rPr>
        <w:t>A beruházás fedezheti a működési kiadásokat is, beleértve a tanárok fizetését a regionális és helyi önkormányzatok legfeljebb 40000 új iskoláztatási férőhelyre való ösztönzésére irányuló beruházás bevezetése során.</w:t>
      </w:r>
      <w:r>
        <w:rPr>
          <w:noProof/>
        </w:rPr>
        <w:t xml:space="preserve"> Spanyolország biztosítja, hogy a fellépés a Helyreállítási és Rezilienciaépítési Eszköz lejárta után költségvetési szempontból fenntartható legyen, többek között más uniós finanszírozási forrásokra támaszkodva.</w:t>
      </w:r>
    </w:p>
    <w:p w14:paraId="37D0BEA7" w14:textId="5F35551E" w:rsidR="003E1D81" w:rsidRDefault="00EB481C">
      <w:pPr>
        <w:pStyle w:val="P68B1DB1-Normal22"/>
        <w:spacing w:before="120" w:after="120" w:line="240" w:lineRule="auto"/>
        <w:jc w:val="both"/>
        <w:rPr>
          <w:rFonts w:cs="Times New Roman"/>
          <w:noProof/>
        </w:rPr>
      </w:pPr>
      <w:r>
        <w:rPr>
          <w:noProof/>
        </w:rPr>
        <w:t>Az intézkedés végrehajtását 2025. december 3</w:t>
      </w:r>
      <w:r>
        <w:rPr>
          <w:noProof/>
        </w:rPr>
        <w:t>1-ig be kell fejezni.</w:t>
      </w:r>
    </w:p>
    <w:p w14:paraId="5E2EE741" w14:textId="77777777" w:rsidR="003E1D81" w:rsidRDefault="00EB481C">
      <w:pPr>
        <w:pStyle w:val="P68B1DB1-Normal23"/>
        <w:spacing w:before="120" w:after="120" w:line="240" w:lineRule="auto"/>
        <w:jc w:val="both"/>
        <w:rPr>
          <w:rFonts w:cs="Times New Roman"/>
          <w:noProof/>
        </w:rPr>
      </w:pPr>
      <w:r>
        <w:rPr>
          <w:noProof/>
        </w:rPr>
        <w:t xml:space="preserve">Beruházás (C21.I2): Az orientációra, a haladásra és az oktatás gazdagítására irányuló program („PROA+”) </w:t>
      </w:r>
    </w:p>
    <w:p w14:paraId="486A999B" w14:textId="77777777" w:rsidR="003E1D81" w:rsidRDefault="00EB481C">
      <w:pPr>
        <w:pStyle w:val="P68B1DB1-Normal22"/>
        <w:spacing w:before="120" w:after="120" w:line="240" w:lineRule="auto"/>
        <w:jc w:val="both"/>
        <w:rPr>
          <w:rFonts w:cs="Times New Roman"/>
          <w:noProof/>
        </w:rPr>
      </w:pPr>
      <w:r>
        <w:rPr>
          <w:noProof/>
        </w:rPr>
        <w:t>Az alacsonyan teljesítő tanulók támogatása és iránymutatása, valamint a lemorzsolódás és a korai iskolaelhagyás arányának csökken</w:t>
      </w:r>
      <w:r>
        <w:rPr>
          <w:noProof/>
        </w:rPr>
        <w:t xml:space="preserve">tése érdekében Spanyolország beruház az orientációra, a haladásra és az oktatás gazdagítására irányuló meglévő program (PROA+) kiterjesztésébe. </w:t>
      </w:r>
    </w:p>
    <w:p w14:paraId="3C93A5DA" w14:textId="2C4F27E2" w:rsidR="003E1D81" w:rsidRDefault="00EB481C">
      <w:pPr>
        <w:pStyle w:val="P68B1DB1-Normal4"/>
        <w:spacing w:before="120" w:after="120" w:line="240" w:lineRule="auto"/>
        <w:jc w:val="both"/>
        <w:rPr>
          <w:rFonts w:cs="Times New Roman"/>
          <w:noProof/>
        </w:rPr>
      </w:pPr>
      <w:r>
        <w:rPr>
          <w:noProof/>
        </w:rPr>
        <w:t>Ez a program olyan tevékenységekre összpontosít, amelyek biztosítják az összes diák oktatásának minimumfeltétel</w:t>
      </w:r>
      <w:r>
        <w:rPr>
          <w:noProof/>
        </w:rPr>
        <w:t>eit, megerősítő intézkedéseket vezetnek be azok számára, akik több tanulási nehézségekkel küzdenek, főként az alapkészségek terén, új szervezési és irányítási formákat keresnek az oktatási központban, valamint további támogatást és képzést nyújtanak a taná</w:t>
      </w:r>
      <w:r>
        <w:rPr>
          <w:noProof/>
        </w:rPr>
        <w:t xml:space="preserve">roknak. E tevékenységeknek arra kell irányulniuk, hogy javítsák a diákok sikerét ezekben az iskolákban. </w:t>
      </w:r>
    </w:p>
    <w:p w14:paraId="074E6E2C" w14:textId="77777777" w:rsidR="003E1D81" w:rsidRDefault="00EB481C">
      <w:pPr>
        <w:pStyle w:val="P68B1DB1-Normal4"/>
        <w:spacing w:before="120" w:after="120" w:line="240" w:lineRule="auto"/>
        <w:jc w:val="both"/>
        <w:rPr>
          <w:rFonts w:cs="Times New Roman"/>
          <w:noProof/>
          <w:shd w:val="clear" w:color="auto" w:fill="FFFFFF"/>
        </w:rPr>
      </w:pPr>
      <w:r>
        <w:rPr>
          <w:noProof/>
          <w:shd w:val="clear" w:color="auto" w:fill="FFFFFF"/>
        </w:rPr>
        <w:t>A program a különösen összetett oktatással rendelkező iskolákat célozza meg, többek között a vidéki területeken, ahol a kiszolgáltatott diákok jelentős</w:t>
      </w:r>
      <w:r>
        <w:rPr>
          <w:noProof/>
          <w:shd w:val="clear" w:color="auto" w:fill="FFFFFF"/>
        </w:rPr>
        <w:t xml:space="preserve"> százaléka tanulási nehézségekkel küzd a rendszeres osztálytermekben.</w:t>
      </w:r>
      <w:r>
        <w:rPr>
          <w:noProof/>
        </w:rPr>
        <w:t xml:space="preserve"> A központok kiválasztását az oktatási hatóságok végzik. </w:t>
      </w:r>
      <w:r>
        <w:rPr>
          <w:noProof/>
          <w:shd w:val="clear" w:color="auto" w:fill="FFFFFF"/>
        </w:rPr>
        <w:t>A megcélzott iskolák különösen az alacsony társadalmi-gazdasági és iskolai háttérrel rendelkező tanulókból és családokból álló ter</w:t>
      </w:r>
      <w:r>
        <w:rPr>
          <w:noProof/>
          <w:shd w:val="clear" w:color="auto" w:fill="FFFFFF"/>
        </w:rPr>
        <w:t xml:space="preserve">ületeken találhatók. Összesen legalább 2700 iskola részesül támogatásban. </w:t>
      </w:r>
    </w:p>
    <w:p w14:paraId="66E53685" w14:textId="77777777" w:rsidR="003E1D81" w:rsidRDefault="00EB481C">
      <w:pPr>
        <w:pStyle w:val="P68B1DB1-Normal22"/>
        <w:spacing w:before="120" w:after="120" w:line="240" w:lineRule="auto"/>
        <w:jc w:val="both"/>
        <w:rPr>
          <w:rFonts w:cs="Times New Roman"/>
          <w:noProof/>
        </w:rPr>
      </w:pPr>
      <w:r>
        <w:rPr>
          <w:noProof/>
        </w:rPr>
        <w:t xml:space="preserve">A beruházást az autonóm közösségekkel együttműködésben, ágazati konferenciák keretében kell kidolgozni, és a források területi elosztása a szükségletek tükrözése és a regionális egyenlőtlenségek csökkentéséhez való hozzájárulás érdekében elfogadott egyedi </w:t>
      </w:r>
      <w:r>
        <w:rPr>
          <w:noProof/>
        </w:rPr>
        <w:t xml:space="preserve">kritériumokon alapul. </w:t>
      </w:r>
    </w:p>
    <w:p w14:paraId="0269706D" w14:textId="77777777" w:rsidR="003E1D81" w:rsidRDefault="00EB481C">
      <w:pPr>
        <w:pStyle w:val="P68B1DB1-Normal22"/>
        <w:spacing w:before="120" w:after="120" w:line="240" w:lineRule="auto"/>
        <w:jc w:val="both"/>
        <w:rPr>
          <w:rFonts w:cs="Times New Roman"/>
          <w:noProof/>
        </w:rPr>
      </w:pPr>
      <w:r>
        <w:rPr>
          <w:noProof/>
        </w:rPr>
        <w:t>Az intézkedés végrehajtását 2024. december 31-ig be kell fejezni.</w:t>
      </w:r>
    </w:p>
    <w:p w14:paraId="220AAC7D" w14:textId="77777777" w:rsidR="003E1D81" w:rsidRDefault="00EB481C">
      <w:pPr>
        <w:pStyle w:val="P68B1DB1-Normal22"/>
        <w:spacing w:before="120" w:after="120" w:line="240" w:lineRule="auto"/>
        <w:jc w:val="both"/>
        <w:rPr>
          <w:rFonts w:cs="Times New Roman"/>
          <w:noProof/>
          <w:u w:val="single"/>
        </w:rPr>
      </w:pPr>
      <w:r>
        <w:rPr>
          <w:noProof/>
          <w:u w:val="single"/>
        </w:rPr>
        <w:t>Beruházás (C21.I3) – A kiszolgáltatott helyzetben lévő diákok és családok támogatása</w:t>
      </w:r>
      <w:r>
        <w:rPr>
          <w:noProof/>
        </w:rPr>
        <w:t xml:space="preserve"> </w:t>
      </w:r>
    </w:p>
    <w:p w14:paraId="0E87F54E" w14:textId="77777777" w:rsidR="003E1D81" w:rsidRDefault="00EB481C">
      <w:pPr>
        <w:pStyle w:val="P68B1DB1-Normal22"/>
        <w:spacing w:before="120" w:after="120" w:line="240" w:lineRule="auto"/>
        <w:jc w:val="both"/>
        <w:rPr>
          <w:rFonts w:cs="Times New Roman"/>
          <w:noProof/>
        </w:rPr>
      </w:pPr>
      <w:r>
        <w:rPr>
          <w:noProof/>
        </w:rPr>
        <w:t>Spanyolország legalább 1000 kiszolgáltatott diáktámogatási, pályaorientációs és p</w:t>
      </w:r>
      <w:r>
        <w:rPr>
          <w:noProof/>
        </w:rPr>
        <w:t>szichopedagógiai szolgáltatási egység létrehozásába fektet be a tankerületekben. Elősegíti a diákok és családjaik támogatását az oktatási akadályok leküzdéséhez a hiányzás és a korai iskolaelhagyás csökkentése érdekében. Támogatni kell a különböző (formáli</w:t>
      </w:r>
      <w:r>
        <w:rPr>
          <w:noProof/>
        </w:rPr>
        <w:t>s és nem formális) tanulási keretekkel való együttműködést az alapvető interperszonális, kommunikációs és kognitív készségek fejlesztésének előmozdítása érdekében. A beruházást az autonóm közösségekkel folytatott területi együttműködés keretében, ágazati k</w:t>
      </w:r>
      <w:r>
        <w:rPr>
          <w:noProof/>
        </w:rPr>
        <w:t>onferenciák keretében kell fejleszteni, amelyek meghatározzák a források területi elosztásának kritériumait.</w:t>
      </w:r>
    </w:p>
    <w:p w14:paraId="10DA7D2B" w14:textId="77777777" w:rsidR="003E1D81" w:rsidRDefault="00EB481C">
      <w:pPr>
        <w:pStyle w:val="P68B1DB1-Normal22"/>
        <w:spacing w:before="120" w:after="120" w:line="240" w:lineRule="auto"/>
        <w:jc w:val="both"/>
        <w:rPr>
          <w:rFonts w:cs="Times New Roman"/>
          <w:noProof/>
        </w:rPr>
      </w:pPr>
      <w:r>
        <w:rPr>
          <w:noProof/>
        </w:rPr>
        <w:t>Az intézkedés végrehajtását 2024. december 31-ig be kell fejezni.</w:t>
      </w:r>
    </w:p>
    <w:p w14:paraId="29008735" w14:textId="77777777" w:rsidR="003E1D81" w:rsidRDefault="00EB481C">
      <w:pPr>
        <w:pStyle w:val="P68B1DB1-Normal22"/>
        <w:spacing w:before="120" w:after="120" w:line="240" w:lineRule="auto"/>
        <w:jc w:val="both"/>
        <w:rPr>
          <w:rFonts w:cs="Times New Roman"/>
          <w:noProof/>
          <w:u w:val="single"/>
        </w:rPr>
      </w:pPr>
      <w:r>
        <w:rPr>
          <w:noProof/>
          <w:u w:val="single"/>
        </w:rPr>
        <w:t>Beruházás (C21.I4) – Az oktatók és kutatók képzése</w:t>
      </w:r>
      <w:r>
        <w:rPr>
          <w:noProof/>
        </w:rPr>
        <w:t xml:space="preserve"> </w:t>
      </w:r>
    </w:p>
    <w:p w14:paraId="144FB2A8" w14:textId="77777777" w:rsidR="003E1D81" w:rsidRDefault="00EB481C">
      <w:pPr>
        <w:pStyle w:val="P68B1DB1-Normal4"/>
        <w:spacing w:before="120" w:after="120" w:line="240" w:lineRule="auto"/>
        <w:jc w:val="both"/>
        <w:rPr>
          <w:rFonts w:cs="Times New Roman"/>
          <w:noProof/>
        </w:rPr>
      </w:pPr>
      <w:r>
        <w:rPr>
          <w:noProof/>
          <w:shd w:val="clear" w:color="auto" w:fill="FFFFFF"/>
        </w:rPr>
        <w:t>Ez az intézkedés magában fogl</w:t>
      </w:r>
      <w:r>
        <w:rPr>
          <w:noProof/>
          <w:shd w:val="clear" w:color="auto" w:fill="FFFFFF"/>
        </w:rPr>
        <w:t>alja az állami egyetemeknek nyújtott támogatásokba történő beruházásokat</w:t>
      </w:r>
      <w:r>
        <w:rPr>
          <w:noProof/>
        </w:rPr>
        <w:t xml:space="preserve">, amelyek célja a spanyol egyetemi rendszer átképzésének előmozdítása és a tanári személyzet szakmai fejlődésének előmozdítása, valamint a frissen végzett PhD-diplomások számára, hogy </w:t>
      </w:r>
      <w:r>
        <w:rPr>
          <w:noProof/>
        </w:rPr>
        <w:t>a jövőben beilleszkedjenek a felsőoktatási rendszerbe. A támogatások a presztízsű külföldi egyetemek és kutatóközpontok, valamint a spanyol egyetemek és a spanyol tudományos, technológiai és innovációs rendszer egyéb közügynökei által szervezett posztdokto</w:t>
      </w:r>
      <w:r>
        <w:rPr>
          <w:noProof/>
        </w:rPr>
        <w:t>ri kutatói célú tartózkodásokat finanszírozzák. E célból a támogatások várhatóan hozzájárulnak a nemzetközi tehetségek vonzásához, és kezelik a spanyol egyetemek nemzetközivé válásának alacsony arányát.</w:t>
      </w:r>
    </w:p>
    <w:p w14:paraId="50858590" w14:textId="77777777" w:rsidR="003E1D81" w:rsidRDefault="00EB481C">
      <w:pPr>
        <w:pStyle w:val="P68B1DB1-Normal4"/>
        <w:spacing w:before="120" w:after="120" w:line="240" w:lineRule="auto"/>
        <w:jc w:val="both"/>
        <w:rPr>
          <w:rFonts w:cs="Times New Roman"/>
          <w:noProof/>
        </w:rPr>
      </w:pPr>
      <w:r>
        <w:rPr>
          <w:noProof/>
        </w:rPr>
        <w:t>A támogatásokat három különböző program keretében kel</w:t>
      </w:r>
      <w:r>
        <w:rPr>
          <w:noProof/>
        </w:rPr>
        <w:t>l nyújtani, a célcsoporttól függően meghatározott kritériumok alkalmazásával, a következő területekre összpontosítva: i. a fiatal PhD-k képzése; egyetemi oktatóknak nyújtott ösztöndíjak – állandó tanárok és idős előadások a hivatali idő során; valamint iii</w:t>
      </w:r>
      <w:r>
        <w:rPr>
          <w:noProof/>
        </w:rPr>
        <w:t>. a nemzetközi tehetségek vonzását célzó támogatások, a presztízses spanyol egyetemek és a spanyol tudományos, technológiai és innovációs rendszer egyéb közalkalmazottak által szervezett posztdoktori képzés finanszírozása. A programok a programtól és a cél</w:t>
      </w:r>
      <w:r>
        <w:rPr>
          <w:noProof/>
        </w:rPr>
        <w:t>csoporttól függően 1–3 évig tartanak.</w:t>
      </w:r>
    </w:p>
    <w:p w14:paraId="2D61B76F" w14:textId="77777777" w:rsidR="003E1D81" w:rsidRDefault="00EB481C">
      <w:pPr>
        <w:pStyle w:val="P68B1DB1-Normal4"/>
        <w:spacing w:after="120" w:line="240" w:lineRule="auto"/>
        <w:jc w:val="both"/>
        <w:rPr>
          <w:rFonts w:cs="Times New Roman"/>
          <w:noProof/>
        </w:rPr>
      </w:pPr>
      <w:r>
        <w:rPr>
          <w:noProof/>
        </w:rPr>
        <w:t>Mindezeket a támogatásokat a 2021–2023-as időszakban kell végrehajtani, legalább 2600 jelentkező részvételével. Minden egyetem objektív kritériumokon – többek között az oktatói és kutatói személyzet létszámán, valamint</w:t>
      </w:r>
      <w:r>
        <w:rPr>
          <w:noProof/>
        </w:rPr>
        <w:t xml:space="preserve"> a doktori doktori nyilvántartáson – alapuló költségvetési juttatásban részesül az Egyetemek Minisztériumától. A jelölteket a pályázatok alapján az egyes egyetemek által kinevezett, nemzetközi presztízsű szakértői testület értékeli, amely legalább három ta</w:t>
      </w:r>
      <w:r>
        <w:rPr>
          <w:noProof/>
        </w:rPr>
        <w:t xml:space="preserve">gból és több külső szakértőből áll. </w:t>
      </w:r>
    </w:p>
    <w:p w14:paraId="18C6FA2A" w14:textId="77777777" w:rsidR="003E1D81" w:rsidRDefault="00EB481C">
      <w:pPr>
        <w:pStyle w:val="P68B1DB1-Normal22"/>
        <w:spacing w:after="120" w:line="240" w:lineRule="auto"/>
        <w:jc w:val="both"/>
        <w:rPr>
          <w:rFonts w:cs="Times New Roman"/>
          <w:noProof/>
        </w:rPr>
      </w:pPr>
      <w:r>
        <w:rPr>
          <w:noProof/>
        </w:rPr>
        <w:t>Az intézkedés végrehajtását 2023. december 31-ig be kell fejezni.</w:t>
      </w:r>
    </w:p>
    <w:p w14:paraId="2477D2C2" w14:textId="77777777" w:rsidR="003E1D81" w:rsidRDefault="00EB481C">
      <w:pPr>
        <w:pStyle w:val="P68B1DB1-Normal22"/>
        <w:spacing w:before="120" w:after="120" w:line="240" w:lineRule="auto"/>
        <w:jc w:val="both"/>
        <w:rPr>
          <w:rFonts w:cs="Times New Roman"/>
          <w:noProof/>
          <w:u w:val="single"/>
        </w:rPr>
      </w:pPr>
      <w:r>
        <w:rPr>
          <w:noProof/>
          <w:u w:val="single"/>
        </w:rPr>
        <w:t>Beruházás (C21.I5) – Az egyetemi digitális infrastruktúra, berendezések, technológiák, oktatás és értékelés javítása</w:t>
      </w:r>
      <w:r>
        <w:rPr>
          <w:noProof/>
        </w:rPr>
        <w:t xml:space="preserve"> </w:t>
      </w:r>
    </w:p>
    <w:p w14:paraId="23DD2A7B" w14:textId="77777777" w:rsidR="003E1D81" w:rsidRDefault="00EB481C">
      <w:pPr>
        <w:pStyle w:val="P68B1DB1-Normal4"/>
        <w:spacing w:before="120" w:after="120" w:line="240" w:lineRule="auto"/>
        <w:jc w:val="both"/>
        <w:rPr>
          <w:rFonts w:cs="Times New Roman"/>
          <w:noProof/>
        </w:rPr>
      </w:pPr>
      <w:r>
        <w:rPr>
          <w:noProof/>
          <w:shd w:val="clear" w:color="auto" w:fill="FFFFFF"/>
        </w:rPr>
        <w:t>Ez a beruházás számos olyan intézke</w:t>
      </w:r>
      <w:r>
        <w:rPr>
          <w:noProof/>
          <w:shd w:val="clear" w:color="auto" w:fill="FFFFFF"/>
        </w:rPr>
        <w:t>dést foglal magában</w:t>
      </w:r>
      <w:r>
        <w:rPr>
          <w:noProof/>
        </w:rPr>
        <w:t>, amelyek célja az egyetemek technológiai és digitális kapacitásainak és készségeinek javítása. Idetartoznak a digitális oktatási erőforrásokba és infrastruktúrába, például a szerverek felhőalapú adattároló hálózataiba, a kiberbiztonságb</w:t>
      </w:r>
      <w:r>
        <w:rPr>
          <w:noProof/>
        </w:rPr>
        <w:t xml:space="preserve">a és az online tanfolyamok tantermi technológiáiba történő beruházások; valamint az egyetemi oktatók és hallgatók digitális képzésére irányuló beruházások. </w:t>
      </w:r>
    </w:p>
    <w:p w14:paraId="76B36787" w14:textId="77777777" w:rsidR="003E1D81" w:rsidRDefault="00EB481C">
      <w:pPr>
        <w:pStyle w:val="P68B1DB1-Normal4"/>
        <w:spacing w:before="120" w:after="120" w:line="240" w:lineRule="auto"/>
        <w:jc w:val="both"/>
        <w:rPr>
          <w:rFonts w:cs="Times New Roman"/>
          <w:noProof/>
        </w:rPr>
      </w:pPr>
      <w:r>
        <w:rPr>
          <w:noProof/>
        </w:rPr>
        <w:t>A beruházási intézkedéseknek javítaniuk kell a technológiai fejlődést és javítaniuk kell a digitáli</w:t>
      </w:r>
      <w:r>
        <w:rPr>
          <w:noProof/>
        </w:rPr>
        <w:t xml:space="preserve">s erőforrásokat a digitális oktatási szolgáltatások támogatása érdekében. Támogatást kell nyújtani a központi infrastruktúráknak és az IKT-szolgáltatásoknak, az optikai hálózatokra összpontosítva és a méretgazdaságosságra és az interoperabilitásra építve, </w:t>
      </w:r>
      <w:r>
        <w:rPr>
          <w:noProof/>
        </w:rPr>
        <w:t>hatékonyan telepítve az IKT-szolgáltatásokat. Az egyik fő célkitűzés az egyetemi oktatók és a diákok közötti digitális szakadék csökkentésére irányuló beruházások irányítása a távoktatáshoz szükséges szolgáltatások és berendezések javítása érdekében. Az eg</w:t>
      </w:r>
      <w:r>
        <w:rPr>
          <w:noProof/>
        </w:rPr>
        <w:t>yéb célkitűzések közé tartozik az egyetemek közötti digitális innovációs projektek előmozdításába való beruházás, amelyek szélesebb körben kiterjeszthetők és megismételhetők, valamint a nemzeti távoktatási egyetem (UNED) támogatása az elnéptelenedett terül</w:t>
      </w:r>
      <w:r>
        <w:rPr>
          <w:noProof/>
        </w:rPr>
        <w:t>eteken a felsőoktatási lehetőségek javítása érdekében.</w:t>
      </w:r>
    </w:p>
    <w:p w14:paraId="5B97A4BF" w14:textId="1C0F3984" w:rsidR="003E1D81" w:rsidRDefault="00EB481C">
      <w:pPr>
        <w:pStyle w:val="P68B1DB1-Normal4"/>
        <w:spacing w:before="120" w:after="120" w:line="240" w:lineRule="auto"/>
        <w:jc w:val="both"/>
        <w:rPr>
          <w:rFonts w:cs="Times New Roman"/>
          <w:noProof/>
        </w:rPr>
      </w:pPr>
      <w:r>
        <w:rPr>
          <w:noProof/>
        </w:rPr>
        <w:t>A cél az egyetemek digitális indexe alakulásának nyomon követése és terjesztése az Egyetemek Minisztériumának honlapján, azzal a céllal, hogy az egyetemi rendszer egészére vonatkozóan 2023-ban 2019-hez képest legalább 10%-kal emeljék a mutatót. Ennek a mut</w:t>
      </w:r>
      <w:r>
        <w:rPr>
          <w:noProof/>
        </w:rPr>
        <w:t>atónak különböző dimenziókra kell kiterjednie, beleértve a vezetést is (például a digitális tanításra engedélyezett tantermek száma, a digitális rendszereket használó tanárok száma, az online eljárások száma, a kampuszokon való összekapcsoltság szintje stb</w:t>
      </w:r>
      <w:r>
        <w:rPr>
          <w:noProof/>
        </w:rPr>
        <w:t>.); innováció (például egyetemek közötti digitális megállapodások, tanulási elemzési tevékenységek, multimédiás adattárak, digitális kompetenciák az oktatóknál, személyre szabott útvonalak stb.); és irányítás (például digitális átalakulási terv, digitalizá</w:t>
      </w:r>
      <w:r>
        <w:rPr>
          <w:noProof/>
        </w:rPr>
        <w:t xml:space="preserve">ciós projektportfóliók és a digitális kompetenciákra vonatkozó képzési tervek stb.). </w:t>
      </w:r>
    </w:p>
    <w:p w14:paraId="63981338" w14:textId="77777777" w:rsidR="003E1D81" w:rsidRDefault="00EB481C">
      <w:pPr>
        <w:pStyle w:val="P68B1DB1-Normal4"/>
        <w:spacing w:before="120" w:after="120" w:line="240" w:lineRule="auto"/>
        <w:jc w:val="both"/>
        <w:rPr>
          <w:rFonts w:cs="Times New Roman"/>
          <w:noProof/>
        </w:rPr>
      </w:pPr>
      <w:r>
        <w:rPr>
          <w:noProof/>
        </w:rPr>
        <w:t>Az egyetemeknek évente nyomonkövetési információkat kell szolgáltatniuk belső ellenőrzési területük tanúsítása révén.</w:t>
      </w:r>
    </w:p>
    <w:p w14:paraId="5C263165" w14:textId="77777777" w:rsidR="003E1D81" w:rsidRDefault="00EB481C">
      <w:pPr>
        <w:pStyle w:val="P68B1DB1-Normal22"/>
        <w:spacing w:before="120" w:after="120" w:line="240" w:lineRule="auto"/>
        <w:jc w:val="both"/>
        <w:rPr>
          <w:rFonts w:cs="Times New Roman"/>
          <w:noProof/>
        </w:rPr>
      </w:pPr>
      <w:r>
        <w:rPr>
          <w:noProof/>
        </w:rPr>
        <w:t xml:space="preserve">Az intézkedés végrehajtását 2023. december 31-ig be </w:t>
      </w:r>
      <w:r>
        <w:rPr>
          <w:noProof/>
        </w:rPr>
        <w:t>kell fejezni.</w:t>
      </w:r>
    </w:p>
    <w:p w14:paraId="4041D8AB" w14:textId="77777777" w:rsidR="003E1D81" w:rsidRDefault="00EB481C">
      <w:pPr>
        <w:pStyle w:val="P68B1DB1-Normal6"/>
        <w:spacing w:before="120" w:after="120" w:line="240" w:lineRule="auto"/>
        <w:jc w:val="both"/>
        <w:rPr>
          <w:rFonts w:cs="Times New Roman"/>
          <w:noProof/>
        </w:rPr>
      </w:pPr>
      <w:r>
        <w:rPr>
          <w:noProof/>
        </w:rPr>
        <w:t>Beruházás (C21.I6) – Terv az egyetemi mikrotanúsítványok fejlesztésére</w:t>
      </w:r>
    </w:p>
    <w:p w14:paraId="3921DDF4" w14:textId="6B52DAA7" w:rsidR="003E1D81" w:rsidRDefault="00EB481C">
      <w:pPr>
        <w:pStyle w:val="P68B1DB1-Normal4"/>
        <w:spacing w:before="120" w:after="120" w:line="240" w:lineRule="auto"/>
        <w:jc w:val="both"/>
        <w:rPr>
          <w:rFonts w:cs="Times New Roman"/>
          <w:noProof/>
        </w:rPr>
      </w:pPr>
      <w:r>
        <w:rPr>
          <w:noProof/>
        </w:rPr>
        <w:t>E beruházás célja az egyetemi rendszer mint az egész életen át tartó tanulást biztosító intézmények kapacitásainak fejlesztése, valamint a felnőttek továbbképzéséhez és át</w:t>
      </w:r>
      <w:r>
        <w:rPr>
          <w:noProof/>
        </w:rPr>
        <w:t>képzéséhez való hozzájárulás az egész életen át tartó tanulást és a foglalkoztathatóságot szolgáló mikrotanúsítványokra vonatkozó európai megközelítésről szóló, 2022 júniusában elfogadott tanácsi ajánlással összhangban.</w:t>
      </w:r>
    </w:p>
    <w:p w14:paraId="634CBE91" w14:textId="77777777" w:rsidR="003E1D81" w:rsidRDefault="00EB481C">
      <w:pPr>
        <w:pStyle w:val="P68B1DB1-Normal4"/>
        <w:spacing w:before="120" w:after="120" w:line="240" w:lineRule="auto"/>
        <w:jc w:val="both"/>
        <w:rPr>
          <w:rFonts w:cs="Times New Roman"/>
          <w:noProof/>
        </w:rPr>
      </w:pPr>
      <w:r>
        <w:rPr>
          <w:noProof/>
        </w:rPr>
        <w:t>Ezen intézkedés első eleme a mikrota</w:t>
      </w:r>
      <w:r>
        <w:rPr>
          <w:noProof/>
        </w:rPr>
        <w:t>núsítványok fejlesztésére vonatkozó keret létrehozására irányuló cselekvési terv elfogadása, amelyet az egyetemek minisztériuma az érdekelt felekkel folytatott konzultációt követően dolgozott ki, és amelyet közzé kell tenni a minisztérium honlapján. A terv</w:t>
      </w:r>
      <w:r>
        <w:rPr>
          <w:noProof/>
        </w:rPr>
        <w:t>nek ki kell terjednie i. az egyetemek egész életen át tartó tanulást biztosító intézményekké történő átalakítására irányuló intézkedésekre; a felnőttek és munkáltatóik keresletének ösztönzése; a mikrotanúsítványok minőségének és relevanciájának előmozdítás</w:t>
      </w:r>
      <w:r>
        <w:rPr>
          <w:noProof/>
        </w:rPr>
        <w:t>a; a hozzáférés méltányosságának támogatása; valamint v. személyre szabott és rugalmas képzési útvonalak kialakítása.</w:t>
      </w:r>
    </w:p>
    <w:p w14:paraId="1237B438" w14:textId="7ED8D155" w:rsidR="003E1D81" w:rsidRDefault="00EB481C">
      <w:pPr>
        <w:pStyle w:val="P68B1DB1-Normal4"/>
        <w:spacing w:before="120" w:after="120" w:line="240" w:lineRule="auto"/>
        <w:jc w:val="both"/>
        <w:rPr>
          <w:rFonts w:cs="Times New Roman"/>
          <w:noProof/>
        </w:rPr>
      </w:pPr>
      <w:r>
        <w:rPr>
          <w:noProof/>
        </w:rPr>
        <w:t>Ezen intézkedés második eleme legalább 60000 egységnyi, 15 ECTS-nél rövidebb és legalább 1000 különböző képzési tevékenységnek megfelelő m</w:t>
      </w:r>
      <w:r>
        <w:rPr>
          <w:noProof/>
        </w:rPr>
        <w:t>ikrotanúsítvány biztosítása, beleértve azt a lehetőséget is, hogy ugyanazon felnőtt számára egynél több egységet biztosítsanak. A képzési tevékenységeknek a munkaerőpiacon keresett speciális ismereteket és készségeket kell biztosítaniuk. Az intézkedés magá</w:t>
      </w:r>
      <w:r>
        <w:rPr>
          <w:noProof/>
        </w:rPr>
        <w:t>ban foglalja azt is, hogy 2025. december 31-ig értékelő jelentést tesznek közzé a mikrotanúsítványok biztosításáról az Egyetemek Minisztériumának honlapján.</w:t>
      </w:r>
    </w:p>
    <w:p w14:paraId="7E097F43" w14:textId="77777777" w:rsidR="003E1D81" w:rsidRDefault="00EB481C">
      <w:pPr>
        <w:pStyle w:val="P68B1DB1-Normal4"/>
        <w:spacing w:before="120" w:after="120" w:line="240" w:lineRule="auto"/>
        <w:jc w:val="both"/>
        <w:rPr>
          <w:rFonts w:cs="Times New Roman"/>
          <w:noProof/>
        </w:rPr>
      </w:pPr>
      <w:r>
        <w:rPr>
          <w:noProof/>
        </w:rPr>
        <w:t>Az intézkedés végrehajtását 2026. június 30-ig be kell fejezni.</w:t>
      </w:r>
    </w:p>
    <w:p w14:paraId="4D643303" w14:textId="77777777" w:rsidR="003E1D81" w:rsidRDefault="00EB481C">
      <w:pPr>
        <w:pStyle w:val="P68B1DB1-Normal5"/>
        <w:spacing w:before="120" w:after="120" w:line="240" w:lineRule="auto"/>
        <w:ind w:left="709"/>
        <w:jc w:val="both"/>
        <w:rPr>
          <w:rFonts w:cs="Times New Roman"/>
          <w:noProof/>
        </w:rPr>
      </w:pPr>
      <w:r>
        <w:rPr>
          <w:noProof/>
        </w:rPr>
        <w:t xml:space="preserve">U.2. </w:t>
      </w:r>
      <w:r>
        <w:rPr>
          <w:noProof/>
        </w:rPr>
        <w:tab/>
        <w:t>Vissza nem térítendő pénzügyi</w:t>
      </w:r>
      <w:r>
        <w:rPr>
          <w:noProof/>
        </w:rPr>
        <w:t xml:space="preserve"> támogatás – a végrehajtáshoz és a nyomon követéshez kapcsolódó mérföldkövek, célok, mutatók és ütemterv</w:t>
      </w:r>
    </w:p>
    <w:p w14:paraId="1805D5BB" w14:textId="77777777"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Az alapforgatókönyv valamennyi mutató esetében 2020. február 1-je, kivéve, ha az intézkedés leírása másként jelzi. A táblázatban szerep</w:t>
      </w:r>
      <w:r>
        <w:rPr>
          <w:i/>
          <w:noProof/>
        </w:rPr>
        <w:t>lő összegek nem tartalmazzák a héát.</w:t>
      </w:r>
    </w:p>
    <w:p w14:paraId="32E52008" w14:textId="77777777" w:rsidR="003E1D81" w:rsidRDefault="003E1D81">
      <w:pPr>
        <w:spacing w:before="120" w:after="120" w:line="240" w:lineRule="auto"/>
        <w:jc w:val="both"/>
        <w:rPr>
          <w:rFonts w:ascii="Times New Roman" w:hAnsi="Times New Roman" w:cs="Times New Roman"/>
          <w:noProof/>
          <w:sz w:val="24"/>
        </w:rPr>
        <w:sectPr w:rsidR="003E1D81" w:rsidSect="00C94F66">
          <w:headerReference w:type="even" r:id="rId411"/>
          <w:headerReference w:type="default" r:id="rId412"/>
          <w:footerReference w:type="even" r:id="rId413"/>
          <w:footerReference w:type="default" r:id="rId414"/>
          <w:headerReference w:type="first" r:id="rId415"/>
          <w:footerReference w:type="first" r:id="rId416"/>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3119"/>
        <w:gridCol w:w="1134"/>
        <w:gridCol w:w="850"/>
        <w:gridCol w:w="709"/>
        <w:gridCol w:w="851"/>
        <w:gridCol w:w="567"/>
        <w:gridCol w:w="708"/>
        <w:gridCol w:w="4962"/>
      </w:tblGrid>
      <w:tr w:rsidR="003E1D81" w14:paraId="5BF40099" w14:textId="77777777">
        <w:trPr>
          <w:trHeight w:val="309"/>
          <w:tblHeader/>
        </w:trPr>
        <w:tc>
          <w:tcPr>
            <w:tcW w:w="709" w:type="dxa"/>
            <w:tcBorders>
              <w:bottom w:val="nil"/>
            </w:tcBorders>
            <w:shd w:val="clear" w:color="auto" w:fill="C6D9F1" w:themeFill="text2" w:themeFillTint="33"/>
            <w:noWrap/>
            <w:vAlign w:val="center"/>
          </w:tcPr>
          <w:p w14:paraId="1B0A961F"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002DD41F"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792F46DB"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3119" w:type="dxa"/>
            <w:tcBorders>
              <w:bottom w:val="nil"/>
            </w:tcBorders>
            <w:shd w:val="clear" w:color="auto" w:fill="C6D9F1" w:themeFill="text2" w:themeFillTint="33"/>
            <w:noWrap/>
            <w:vAlign w:val="center"/>
          </w:tcPr>
          <w:p w14:paraId="25BE3619" w14:textId="77777777" w:rsidR="003E1D81" w:rsidRDefault="00EB481C">
            <w:pPr>
              <w:pStyle w:val="P68B1DB1-Normal12"/>
              <w:spacing w:after="0" w:line="240" w:lineRule="auto"/>
              <w:jc w:val="center"/>
              <w:rPr>
                <w:rFonts w:cs="Times New Roman"/>
                <w:noProof/>
              </w:rPr>
            </w:pPr>
            <w:r>
              <w:rPr>
                <w:noProof/>
              </w:rPr>
              <w:t>Név</w:t>
            </w:r>
          </w:p>
        </w:tc>
        <w:tc>
          <w:tcPr>
            <w:tcW w:w="1134" w:type="dxa"/>
            <w:tcBorders>
              <w:bottom w:val="nil"/>
            </w:tcBorders>
            <w:shd w:val="clear" w:color="auto" w:fill="C6D9F1" w:themeFill="text2" w:themeFillTint="33"/>
            <w:noWrap/>
            <w:vAlign w:val="center"/>
          </w:tcPr>
          <w:p w14:paraId="0D2E2C96"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2410" w:type="dxa"/>
            <w:gridSpan w:val="3"/>
            <w:shd w:val="clear" w:color="auto" w:fill="C6D9F1" w:themeFill="text2" w:themeFillTint="33"/>
            <w:noWrap/>
          </w:tcPr>
          <w:p w14:paraId="3F711F41"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1275" w:type="dxa"/>
            <w:gridSpan w:val="2"/>
            <w:shd w:val="clear" w:color="auto" w:fill="C6D9F1" w:themeFill="text2" w:themeFillTint="33"/>
            <w:noWrap/>
          </w:tcPr>
          <w:p w14:paraId="71C8D342" w14:textId="77777777" w:rsidR="003E1D81" w:rsidRDefault="00EB481C">
            <w:pPr>
              <w:pStyle w:val="P68B1DB1-Normal12"/>
              <w:spacing w:after="0" w:line="240" w:lineRule="auto"/>
              <w:jc w:val="center"/>
              <w:rPr>
                <w:rFonts w:cs="Times New Roman"/>
                <w:noProof/>
              </w:rPr>
            </w:pPr>
            <w:r>
              <w:rPr>
                <w:noProof/>
              </w:rPr>
              <w:t>Idő</w:t>
            </w:r>
          </w:p>
        </w:tc>
        <w:tc>
          <w:tcPr>
            <w:tcW w:w="4962" w:type="dxa"/>
            <w:tcBorders>
              <w:bottom w:val="nil"/>
            </w:tcBorders>
            <w:shd w:val="clear" w:color="auto" w:fill="C6D9F1" w:themeFill="text2" w:themeFillTint="33"/>
            <w:noWrap/>
          </w:tcPr>
          <w:p w14:paraId="405D723A"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614FACF3" w14:textId="77777777">
        <w:trPr>
          <w:trHeight w:val="309"/>
          <w:tblHeader/>
        </w:trPr>
        <w:tc>
          <w:tcPr>
            <w:tcW w:w="709" w:type="dxa"/>
            <w:tcBorders>
              <w:top w:val="nil"/>
            </w:tcBorders>
            <w:shd w:val="clear" w:color="auto" w:fill="C6D9F1" w:themeFill="text2" w:themeFillTint="33"/>
            <w:noWrap/>
          </w:tcPr>
          <w:p w14:paraId="3AC7CC24"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1DEF63C3"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3D2EBC9" w14:textId="77777777" w:rsidR="003E1D81" w:rsidRDefault="003E1D81">
            <w:pPr>
              <w:spacing w:after="0" w:line="240" w:lineRule="auto"/>
              <w:jc w:val="center"/>
              <w:rPr>
                <w:rFonts w:ascii="Times New Roman" w:hAnsi="Times New Roman" w:cs="Times New Roman"/>
                <w:b/>
                <w:noProof/>
                <w:sz w:val="18"/>
              </w:rPr>
            </w:pPr>
          </w:p>
        </w:tc>
        <w:tc>
          <w:tcPr>
            <w:tcW w:w="3119" w:type="dxa"/>
            <w:tcBorders>
              <w:top w:val="nil"/>
            </w:tcBorders>
            <w:shd w:val="clear" w:color="auto" w:fill="C6D9F1" w:themeFill="text2" w:themeFillTint="33"/>
            <w:noWrap/>
          </w:tcPr>
          <w:p w14:paraId="4DAC3D7C" w14:textId="77777777" w:rsidR="003E1D81" w:rsidRDefault="003E1D81">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63BF921D" w14:textId="77777777" w:rsidR="003E1D81" w:rsidRDefault="003E1D81">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47555B18" w14:textId="77777777" w:rsidR="003E1D81" w:rsidRDefault="00EB481C">
            <w:pPr>
              <w:pStyle w:val="P68B1DB1-Normal12"/>
              <w:spacing w:after="0" w:line="240" w:lineRule="auto"/>
              <w:jc w:val="center"/>
              <w:rPr>
                <w:rFonts w:cs="Times New Roman"/>
                <w:noProof/>
              </w:rPr>
            </w:pPr>
            <w:r>
              <w:rPr>
                <w:noProof/>
              </w:rPr>
              <w:t>Egység</w:t>
            </w:r>
          </w:p>
        </w:tc>
        <w:tc>
          <w:tcPr>
            <w:tcW w:w="709" w:type="dxa"/>
            <w:shd w:val="clear" w:color="auto" w:fill="C6D9F1" w:themeFill="text2" w:themeFillTint="33"/>
            <w:noWrap/>
          </w:tcPr>
          <w:p w14:paraId="30948B86" w14:textId="77777777" w:rsidR="003E1D81" w:rsidRDefault="00EB481C">
            <w:pPr>
              <w:pStyle w:val="P68B1DB1-Normal12"/>
              <w:spacing w:after="0" w:line="240" w:lineRule="auto"/>
              <w:jc w:val="center"/>
              <w:rPr>
                <w:rFonts w:cs="Times New Roman"/>
                <w:noProof/>
              </w:rPr>
            </w:pPr>
            <w:r>
              <w:rPr>
                <w:noProof/>
              </w:rPr>
              <w:t>Kiindulási</w:t>
            </w:r>
          </w:p>
        </w:tc>
        <w:tc>
          <w:tcPr>
            <w:tcW w:w="851" w:type="dxa"/>
            <w:shd w:val="clear" w:color="auto" w:fill="C6D9F1" w:themeFill="text2" w:themeFillTint="33"/>
            <w:noWrap/>
          </w:tcPr>
          <w:p w14:paraId="4DB96B6C" w14:textId="77777777" w:rsidR="003E1D81" w:rsidRDefault="00EB481C">
            <w:pPr>
              <w:pStyle w:val="P68B1DB1-Normal12"/>
              <w:spacing w:after="0" w:line="240" w:lineRule="auto"/>
              <w:jc w:val="center"/>
              <w:rPr>
                <w:rFonts w:cs="Times New Roman"/>
                <w:noProof/>
              </w:rPr>
            </w:pPr>
            <w:r>
              <w:rPr>
                <w:noProof/>
              </w:rPr>
              <w:t>Cél</w:t>
            </w:r>
          </w:p>
        </w:tc>
        <w:tc>
          <w:tcPr>
            <w:tcW w:w="567" w:type="dxa"/>
            <w:shd w:val="clear" w:color="auto" w:fill="C6D9F1" w:themeFill="text2" w:themeFillTint="33"/>
            <w:noWrap/>
          </w:tcPr>
          <w:p w14:paraId="5D5ADC9C" w14:textId="77777777" w:rsidR="003E1D81" w:rsidRDefault="00EB481C">
            <w:pPr>
              <w:pStyle w:val="P68B1DB1-Normal12"/>
              <w:spacing w:after="0" w:line="240" w:lineRule="auto"/>
              <w:jc w:val="center"/>
              <w:rPr>
                <w:rFonts w:cs="Times New Roman"/>
                <w:noProof/>
              </w:rPr>
            </w:pPr>
            <w:r>
              <w:rPr>
                <w:noProof/>
              </w:rPr>
              <w:t>Q</w:t>
            </w:r>
          </w:p>
        </w:tc>
        <w:tc>
          <w:tcPr>
            <w:tcW w:w="708" w:type="dxa"/>
            <w:shd w:val="clear" w:color="auto" w:fill="C6D9F1" w:themeFill="text2" w:themeFillTint="33"/>
            <w:noWrap/>
          </w:tcPr>
          <w:p w14:paraId="01CE265D" w14:textId="77777777" w:rsidR="003E1D81" w:rsidRDefault="00EB481C">
            <w:pPr>
              <w:pStyle w:val="P68B1DB1-Normal12"/>
              <w:spacing w:after="0" w:line="240" w:lineRule="auto"/>
              <w:jc w:val="center"/>
              <w:rPr>
                <w:rFonts w:cs="Times New Roman"/>
                <w:noProof/>
              </w:rPr>
            </w:pPr>
            <w:r>
              <w:rPr>
                <w:noProof/>
              </w:rPr>
              <w:t>Éve</w:t>
            </w:r>
          </w:p>
        </w:tc>
        <w:tc>
          <w:tcPr>
            <w:tcW w:w="4962" w:type="dxa"/>
            <w:tcBorders>
              <w:top w:val="nil"/>
            </w:tcBorders>
            <w:shd w:val="clear" w:color="auto" w:fill="C6D9F1" w:themeFill="text2" w:themeFillTint="33"/>
            <w:noWrap/>
          </w:tcPr>
          <w:p w14:paraId="5CA28185" w14:textId="77777777" w:rsidR="003E1D81" w:rsidRDefault="003E1D81">
            <w:pPr>
              <w:spacing w:after="0" w:line="240" w:lineRule="auto"/>
              <w:rPr>
                <w:rFonts w:ascii="Times New Roman" w:hAnsi="Times New Roman" w:cs="Times New Roman"/>
                <w:b/>
                <w:noProof/>
                <w:sz w:val="18"/>
              </w:rPr>
            </w:pPr>
          </w:p>
        </w:tc>
      </w:tr>
      <w:tr w:rsidR="003E1D81" w14:paraId="147D6968" w14:textId="77777777">
        <w:trPr>
          <w:trHeight w:val="309"/>
        </w:trPr>
        <w:tc>
          <w:tcPr>
            <w:tcW w:w="709" w:type="dxa"/>
            <w:shd w:val="clear" w:color="auto" w:fill="C6EFCE"/>
            <w:noWrap/>
          </w:tcPr>
          <w:p w14:paraId="48AACAC2" w14:textId="77777777" w:rsidR="003E1D81" w:rsidRDefault="00EB481C">
            <w:pPr>
              <w:pStyle w:val="P68B1DB1-Normal13"/>
              <w:spacing w:after="0" w:line="240" w:lineRule="auto"/>
              <w:jc w:val="center"/>
              <w:rPr>
                <w:rFonts w:eastAsia="Times New Roman" w:cs="Times New Roman"/>
                <w:noProof/>
              </w:rPr>
            </w:pPr>
            <w:r>
              <w:rPr>
                <w:noProof/>
              </w:rPr>
              <w:t>303</w:t>
            </w:r>
          </w:p>
        </w:tc>
        <w:tc>
          <w:tcPr>
            <w:tcW w:w="851" w:type="dxa"/>
            <w:shd w:val="clear" w:color="auto" w:fill="C6EFCE"/>
            <w:noWrap/>
          </w:tcPr>
          <w:p w14:paraId="5B313E34" w14:textId="77777777" w:rsidR="003E1D81" w:rsidRDefault="00EB481C">
            <w:pPr>
              <w:pStyle w:val="P68B1DB1-Normal13"/>
              <w:spacing w:after="0" w:line="240" w:lineRule="auto"/>
              <w:jc w:val="center"/>
              <w:rPr>
                <w:rFonts w:eastAsia="Times New Roman" w:cs="Times New Roman"/>
                <w:noProof/>
              </w:rPr>
            </w:pPr>
            <w:r>
              <w:rPr>
                <w:noProof/>
              </w:rPr>
              <w:t>C21.R1</w:t>
            </w:r>
          </w:p>
        </w:tc>
        <w:tc>
          <w:tcPr>
            <w:tcW w:w="850" w:type="dxa"/>
            <w:shd w:val="clear" w:color="auto" w:fill="C6EFCE"/>
            <w:noWrap/>
          </w:tcPr>
          <w:p w14:paraId="0B2C46E8" w14:textId="77777777" w:rsidR="003E1D81" w:rsidRDefault="00EB481C">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3CA8E8FB" w14:textId="77777777" w:rsidR="003E1D81" w:rsidRDefault="00EB481C">
            <w:pPr>
              <w:pStyle w:val="P68B1DB1-Normal13"/>
              <w:spacing w:after="0" w:line="240" w:lineRule="auto"/>
              <w:rPr>
                <w:rFonts w:eastAsia="Times New Roman" w:cs="Times New Roman"/>
                <w:noProof/>
              </w:rPr>
            </w:pPr>
            <w:r>
              <w:rPr>
                <w:noProof/>
              </w:rPr>
              <w:t xml:space="preserve">Az oktatásról szóló sarkalatos törvény hatálybalépése </w:t>
            </w:r>
          </w:p>
        </w:tc>
        <w:tc>
          <w:tcPr>
            <w:tcW w:w="1134" w:type="dxa"/>
            <w:shd w:val="clear" w:color="auto" w:fill="C6EFCE"/>
            <w:noWrap/>
          </w:tcPr>
          <w:p w14:paraId="36FEAF97" w14:textId="77777777" w:rsidR="003E1D81" w:rsidRDefault="00EB481C">
            <w:pPr>
              <w:pStyle w:val="P68B1DB1-Normal13"/>
              <w:spacing w:after="0" w:line="240" w:lineRule="auto"/>
              <w:jc w:val="center"/>
              <w:rPr>
                <w:rFonts w:eastAsia="Times New Roman" w:cs="Times New Roman"/>
                <w:noProof/>
              </w:rPr>
            </w:pPr>
            <w:r>
              <w:rPr>
                <w:noProof/>
              </w:rPr>
              <w:t xml:space="preserve">Az organikus törvény hatálybalépésére vonatkozó jogszabályi rendelkezés </w:t>
            </w:r>
          </w:p>
        </w:tc>
        <w:tc>
          <w:tcPr>
            <w:tcW w:w="850" w:type="dxa"/>
            <w:shd w:val="clear" w:color="auto" w:fill="C6EFCE"/>
            <w:noWrap/>
          </w:tcPr>
          <w:p w14:paraId="63A2F57E"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7DB0C11B"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00ED1CF4"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37C5EBC"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708" w:type="dxa"/>
            <w:shd w:val="clear" w:color="auto" w:fill="C6EFCE"/>
            <w:noWrap/>
          </w:tcPr>
          <w:p w14:paraId="754B1E92" w14:textId="77777777" w:rsidR="003E1D81" w:rsidRDefault="00EB481C">
            <w:pPr>
              <w:pStyle w:val="P68B1DB1-Normal13"/>
              <w:spacing w:after="0" w:line="240" w:lineRule="auto"/>
              <w:jc w:val="center"/>
              <w:rPr>
                <w:rFonts w:eastAsia="Times New Roman" w:cs="Times New Roman"/>
                <w:noProof/>
              </w:rPr>
            </w:pPr>
            <w:r>
              <w:rPr>
                <w:noProof/>
              </w:rPr>
              <w:t>2021</w:t>
            </w:r>
          </w:p>
        </w:tc>
        <w:tc>
          <w:tcPr>
            <w:tcW w:w="4962" w:type="dxa"/>
            <w:shd w:val="clear" w:color="auto" w:fill="C6EFCE"/>
            <w:noWrap/>
          </w:tcPr>
          <w:p w14:paraId="5DE0CF4B" w14:textId="77777777" w:rsidR="003E1D81" w:rsidRDefault="00EB481C">
            <w:pPr>
              <w:pStyle w:val="P68B1DB1-Normal13"/>
              <w:spacing w:after="0" w:line="240" w:lineRule="auto"/>
              <w:rPr>
                <w:rFonts w:eastAsia="Times New Roman" w:cs="Times New Roman"/>
                <w:noProof/>
              </w:rPr>
            </w:pPr>
            <w:r>
              <w:rPr>
                <w:noProof/>
              </w:rPr>
              <w:t>Az oktatásról szóló sarkalatos törvény (LOMLOE) célja egy olyan megújított jogrendszer létrehozása, amely a minőség, a méltányosság és a befogadás elve alapján növeli a diákok oktatási és képzési lehetőségeit, és hozzájárul az oktatási eredmények javításáh</w:t>
            </w:r>
            <w:r>
              <w:rPr>
                <w:noProof/>
              </w:rPr>
              <w:t xml:space="preserve">oz. </w:t>
            </w:r>
          </w:p>
        </w:tc>
      </w:tr>
      <w:tr w:rsidR="003E1D81" w14:paraId="0C0DD3F9" w14:textId="77777777">
        <w:trPr>
          <w:trHeight w:val="309"/>
        </w:trPr>
        <w:tc>
          <w:tcPr>
            <w:tcW w:w="709" w:type="dxa"/>
            <w:shd w:val="clear" w:color="auto" w:fill="C6EFCE"/>
            <w:noWrap/>
          </w:tcPr>
          <w:p w14:paraId="2A41899C" w14:textId="77777777" w:rsidR="003E1D81" w:rsidRDefault="00EB481C">
            <w:pPr>
              <w:pStyle w:val="P68B1DB1-Normal13"/>
              <w:spacing w:after="0" w:line="240" w:lineRule="auto"/>
              <w:jc w:val="center"/>
              <w:rPr>
                <w:rFonts w:eastAsia="Times New Roman" w:cs="Times New Roman"/>
                <w:noProof/>
              </w:rPr>
            </w:pPr>
            <w:r>
              <w:rPr>
                <w:noProof/>
              </w:rPr>
              <w:t>304</w:t>
            </w:r>
          </w:p>
        </w:tc>
        <w:tc>
          <w:tcPr>
            <w:tcW w:w="851" w:type="dxa"/>
            <w:shd w:val="clear" w:color="auto" w:fill="C6EFCE"/>
            <w:noWrap/>
          </w:tcPr>
          <w:p w14:paraId="2F48DC72" w14:textId="77777777" w:rsidR="003E1D81" w:rsidRDefault="00EB481C">
            <w:pPr>
              <w:pStyle w:val="P68B1DB1-Normal13"/>
              <w:spacing w:after="0" w:line="240" w:lineRule="auto"/>
              <w:jc w:val="center"/>
              <w:rPr>
                <w:rFonts w:eastAsia="Times New Roman" w:cs="Times New Roman"/>
                <w:noProof/>
              </w:rPr>
            </w:pPr>
            <w:r>
              <w:rPr>
                <w:noProof/>
              </w:rPr>
              <w:t>C21.R2</w:t>
            </w:r>
          </w:p>
        </w:tc>
        <w:tc>
          <w:tcPr>
            <w:tcW w:w="850" w:type="dxa"/>
            <w:shd w:val="clear" w:color="auto" w:fill="C6EFCE"/>
            <w:noWrap/>
          </w:tcPr>
          <w:p w14:paraId="193DD2CA" w14:textId="77777777" w:rsidR="003E1D81" w:rsidRDefault="00EB481C">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73CC4CE5" w14:textId="77777777" w:rsidR="003E1D81" w:rsidRDefault="00EB481C">
            <w:pPr>
              <w:pStyle w:val="P68B1DB1-Normal13"/>
              <w:spacing w:after="0" w:line="240" w:lineRule="auto"/>
              <w:rPr>
                <w:rFonts w:eastAsia="Times New Roman" w:cs="Times New Roman"/>
                <w:noProof/>
              </w:rPr>
            </w:pPr>
            <w:r>
              <w:rPr>
                <w:noProof/>
              </w:rPr>
              <w:t xml:space="preserve">Az oktatási minimumkövetelményekről szóló királyi rendelet hatálybalépése </w:t>
            </w:r>
          </w:p>
        </w:tc>
        <w:tc>
          <w:tcPr>
            <w:tcW w:w="1134" w:type="dxa"/>
            <w:shd w:val="clear" w:color="auto" w:fill="C6EFCE"/>
            <w:noWrap/>
          </w:tcPr>
          <w:p w14:paraId="7FAEF243" w14:textId="77777777" w:rsidR="003E1D81" w:rsidRDefault="00EB481C">
            <w:pPr>
              <w:pStyle w:val="P68B1DB1-Normal13"/>
              <w:spacing w:after="0" w:line="240" w:lineRule="auto"/>
              <w:jc w:val="center"/>
              <w:rPr>
                <w:rFonts w:eastAsia="Times New Roman" w:cs="Times New Roman"/>
                <w:noProof/>
              </w:rPr>
            </w:pPr>
            <w:r>
              <w:rPr>
                <w:noProof/>
              </w:rPr>
              <w:t>A királyi rendelet hatálybalépésére vonatkozó rendelkezése</w:t>
            </w:r>
          </w:p>
        </w:tc>
        <w:tc>
          <w:tcPr>
            <w:tcW w:w="850" w:type="dxa"/>
            <w:shd w:val="clear" w:color="auto" w:fill="C6EFCE"/>
            <w:noWrap/>
          </w:tcPr>
          <w:p w14:paraId="7590E4F4"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52AC6524"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3AB103B3"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33E7B9E7"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708" w:type="dxa"/>
            <w:shd w:val="clear" w:color="auto" w:fill="C6EFCE"/>
            <w:noWrap/>
          </w:tcPr>
          <w:p w14:paraId="5BD39E85" w14:textId="77777777" w:rsidR="003E1D81" w:rsidRDefault="00EB481C">
            <w:pPr>
              <w:pStyle w:val="P68B1DB1-Normal13"/>
              <w:spacing w:after="0" w:line="240" w:lineRule="auto"/>
              <w:jc w:val="center"/>
              <w:rPr>
                <w:rFonts w:eastAsia="Times New Roman" w:cs="Times New Roman"/>
                <w:noProof/>
              </w:rPr>
            </w:pPr>
            <w:r>
              <w:rPr>
                <w:noProof/>
              </w:rPr>
              <w:t>2022</w:t>
            </w:r>
          </w:p>
        </w:tc>
        <w:tc>
          <w:tcPr>
            <w:tcW w:w="4962" w:type="dxa"/>
            <w:shd w:val="clear" w:color="auto" w:fill="C6EFCE"/>
            <w:noWrap/>
          </w:tcPr>
          <w:p w14:paraId="607538B8" w14:textId="77777777" w:rsidR="003E1D81" w:rsidRDefault="00EB481C">
            <w:pPr>
              <w:pStyle w:val="P68B1DB1-Normal13"/>
              <w:spacing w:after="0" w:line="240" w:lineRule="auto"/>
              <w:rPr>
                <w:rFonts w:eastAsia="Times New Roman" w:cs="Times New Roman"/>
                <w:noProof/>
              </w:rPr>
            </w:pPr>
            <w:r>
              <w:rPr>
                <w:noProof/>
              </w:rPr>
              <w:t>Az alapfokú oktatásban, a kötelező középfokú oktatásban és az érettségi bizonyítványban előírt oktatási minimumkövetelményekről szóló királyi rendelet tartalmazza a kompetenciaalapú tanterven alapuló tanításra és tanulásra vonatkozó módszertani iránymutatá</w:t>
            </w:r>
            <w:r>
              <w:rPr>
                <w:noProof/>
              </w:rPr>
              <w:t>sok bevezetését, amelyek magukban foglalják a „puha készségeket” is; a kompetenciák megszerzésére vonatkozó értékelési keret; rugalmasabb és nyitottabb modell kialakítása, amely elősegíti a mélyreható tanulást; valamint oktatási anyagok, támogatás, iránymu</w:t>
            </w:r>
            <w:r>
              <w:rPr>
                <w:noProof/>
              </w:rPr>
              <w:t xml:space="preserve">tatás és képzés készítése a tanárok számára annak biztosítása érdekében, hogy hatékonyan végre tudják hajtani az új tantervet. </w:t>
            </w:r>
          </w:p>
        </w:tc>
      </w:tr>
      <w:tr w:rsidR="003E1D81" w14:paraId="1C9F393F" w14:textId="77777777">
        <w:trPr>
          <w:trHeight w:val="309"/>
        </w:trPr>
        <w:tc>
          <w:tcPr>
            <w:tcW w:w="709" w:type="dxa"/>
            <w:shd w:val="clear" w:color="auto" w:fill="C6EFCE"/>
            <w:noWrap/>
          </w:tcPr>
          <w:p w14:paraId="0989A4DE" w14:textId="77777777" w:rsidR="003E1D81" w:rsidRDefault="00EB481C">
            <w:pPr>
              <w:pStyle w:val="P68B1DB1-Normal13"/>
              <w:spacing w:after="0" w:line="240" w:lineRule="auto"/>
              <w:jc w:val="center"/>
              <w:rPr>
                <w:rFonts w:eastAsia="Times New Roman" w:cs="Times New Roman"/>
                <w:noProof/>
              </w:rPr>
            </w:pPr>
            <w:r>
              <w:rPr>
                <w:noProof/>
              </w:rPr>
              <w:t>305</w:t>
            </w:r>
          </w:p>
        </w:tc>
        <w:tc>
          <w:tcPr>
            <w:tcW w:w="851" w:type="dxa"/>
            <w:shd w:val="clear" w:color="auto" w:fill="C6EFCE"/>
            <w:noWrap/>
          </w:tcPr>
          <w:p w14:paraId="00868EFA" w14:textId="77777777" w:rsidR="003E1D81" w:rsidRDefault="00EB481C">
            <w:pPr>
              <w:pStyle w:val="P68B1DB1-Normal13"/>
              <w:spacing w:after="0" w:line="240" w:lineRule="auto"/>
              <w:jc w:val="center"/>
              <w:rPr>
                <w:rFonts w:eastAsia="Times New Roman" w:cs="Times New Roman"/>
                <w:noProof/>
              </w:rPr>
            </w:pPr>
            <w:r>
              <w:rPr>
                <w:noProof/>
              </w:rPr>
              <w:t>C21.R2</w:t>
            </w:r>
          </w:p>
        </w:tc>
        <w:tc>
          <w:tcPr>
            <w:tcW w:w="850" w:type="dxa"/>
            <w:shd w:val="clear" w:color="auto" w:fill="C6EFCE"/>
            <w:noWrap/>
          </w:tcPr>
          <w:p w14:paraId="4527B462" w14:textId="77777777" w:rsidR="003E1D81" w:rsidRDefault="00EB481C">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1F3FE9D9" w14:textId="77777777" w:rsidR="003E1D81" w:rsidRDefault="00EB481C">
            <w:pPr>
              <w:pStyle w:val="P68B1DB1-Normal13"/>
              <w:spacing w:after="0" w:line="240" w:lineRule="auto"/>
              <w:rPr>
                <w:rFonts w:eastAsia="Times New Roman" w:cs="Times New Roman"/>
                <w:noProof/>
              </w:rPr>
            </w:pPr>
            <w:r>
              <w:rPr>
                <w:noProof/>
              </w:rPr>
              <w:t xml:space="preserve">A tanárokat az új tanterv végrehajtásához, valamint a szakemberek képzéséhez vezető és támogató anyagok </w:t>
            </w:r>
          </w:p>
        </w:tc>
        <w:tc>
          <w:tcPr>
            <w:tcW w:w="1134" w:type="dxa"/>
            <w:shd w:val="clear" w:color="auto" w:fill="C6EFCE"/>
            <w:noWrap/>
          </w:tcPr>
          <w:p w14:paraId="71FAEB64" w14:textId="77777777" w:rsidR="003E1D81" w:rsidRDefault="00EB481C">
            <w:pPr>
              <w:pStyle w:val="P68B1DB1-Normal13"/>
              <w:spacing w:after="0" w:line="240" w:lineRule="auto"/>
              <w:jc w:val="center"/>
              <w:rPr>
                <w:rFonts w:eastAsia="Times New Roman" w:cs="Times New Roman"/>
                <w:noProof/>
              </w:rPr>
            </w:pPr>
            <w:r>
              <w:rPr>
                <w:noProof/>
              </w:rPr>
              <w:t xml:space="preserve">A </w:t>
            </w:r>
            <w:r>
              <w:rPr>
                <w:noProof/>
              </w:rPr>
              <w:t>publikált anyagok tanúsítványai és nyújtott képzések</w:t>
            </w:r>
          </w:p>
        </w:tc>
        <w:tc>
          <w:tcPr>
            <w:tcW w:w="850" w:type="dxa"/>
            <w:shd w:val="clear" w:color="auto" w:fill="C6EFCE"/>
            <w:noWrap/>
          </w:tcPr>
          <w:p w14:paraId="4225590F" w14:textId="77777777" w:rsidR="003E1D81" w:rsidRDefault="00EB481C">
            <w:pPr>
              <w:pStyle w:val="P68B1DB1-Normal13"/>
              <w:spacing w:after="0" w:line="240" w:lineRule="auto"/>
              <w:jc w:val="center"/>
              <w:rPr>
                <w:rFonts w:eastAsia="Times New Roman" w:cs="Times New Roman"/>
                <w:noProof/>
              </w:rPr>
            </w:pPr>
            <w:r>
              <w:rPr>
                <w:noProof/>
              </w:rPr>
              <w:t> </w:t>
            </w:r>
          </w:p>
        </w:tc>
        <w:tc>
          <w:tcPr>
            <w:tcW w:w="709" w:type="dxa"/>
            <w:shd w:val="clear" w:color="auto" w:fill="C6EFCE"/>
            <w:noWrap/>
          </w:tcPr>
          <w:p w14:paraId="2DD6667F" w14:textId="77777777" w:rsidR="003E1D81" w:rsidRDefault="00EB481C">
            <w:pPr>
              <w:pStyle w:val="P68B1DB1-Normal13"/>
              <w:spacing w:after="0" w:line="240" w:lineRule="auto"/>
              <w:jc w:val="right"/>
              <w:rPr>
                <w:rFonts w:eastAsia="Times New Roman" w:cs="Times New Roman"/>
                <w:noProof/>
              </w:rPr>
            </w:pPr>
            <w:r>
              <w:rPr>
                <w:noProof/>
              </w:rPr>
              <w:t> </w:t>
            </w:r>
          </w:p>
        </w:tc>
        <w:tc>
          <w:tcPr>
            <w:tcW w:w="851" w:type="dxa"/>
            <w:shd w:val="clear" w:color="auto" w:fill="C6EFCE"/>
            <w:noWrap/>
          </w:tcPr>
          <w:p w14:paraId="1526EC02" w14:textId="77777777" w:rsidR="003E1D81" w:rsidRDefault="00EB481C">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1138C259"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708" w:type="dxa"/>
            <w:shd w:val="clear" w:color="auto" w:fill="C6EFCE"/>
            <w:noWrap/>
          </w:tcPr>
          <w:p w14:paraId="49849DF5" w14:textId="77777777" w:rsidR="003E1D81" w:rsidRDefault="00EB481C">
            <w:pPr>
              <w:pStyle w:val="P68B1DB1-Normal13"/>
              <w:spacing w:after="0" w:line="240" w:lineRule="auto"/>
              <w:jc w:val="center"/>
              <w:rPr>
                <w:rFonts w:eastAsia="Times New Roman" w:cs="Times New Roman"/>
                <w:noProof/>
              </w:rPr>
            </w:pPr>
            <w:r>
              <w:rPr>
                <w:noProof/>
              </w:rPr>
              <w:t>2024</w:t>
            </w:r>
          </w:p>
        </w:tc>
        <w:tc>
          <w:tcPr>
            <w:tcW w:w="4962" w:type="dxa"/>
            <w:shd w:val="clear" w:color="auto" w:fill="C6EFCE"/>
            <w:noWrap/>
          </w:tcPr>
          <w:p w14:paraId="7FACA0BC" w14:textId="77777777" w:rsidR="003E1D81" w:rsidRDefault="00EB481C">
            <w:pPr>
              <w:pStyle w:val="P68B1DB1-Normal13"/>
              <w:spacing w:after="0" w:line="240" w:lineRule="auto"/>
              <w:rPr>
                <w:rFonts w:eastAsia="Times New Roman" w:cs="Times New Roman"/>
                <w:noProof/>
              </w:rPr>
            </w:pPr>
            <w:r>
              <w:rPr>
                <w:noProof/>
              </w:rPr>
              <w:t xml:space="preserve">A támogató útmutatók és oktatási anyagok előkészítésének befejezése. Minden anyagot online közzé kell tenni a tanárok 100%-ának használatára.  Legalább 4000 tanárnak el kell végeznie </w:t>
            </w:r>
            <w:r>
              <w:rPr>
                <w:noProof/>
              </w:rPr>
              <w:t>az új tanterv alkalmazásához szükséges képzést. Legalább 100 külső szakértő vesz részt az oktatási szakaszok területeire és tantárgyaira, valamint az értékelési keretekre vonatkozó tanterv kidolgozásában, amely az új tanterv és a közös értékelési keret kir</w:t>
            </w:r>
            <w:r>
              <w:rPr>
                <w:noProof/>
              </w:rPr>
              <w:t>ályi rendeleteinek kidolgozásához alapul szolgál.</w:t>
            </w:r>
          </w:p>
        </w:tc>
      </w:tr>
      <w:tr w:rsidR="003E1D81" w14:paraId="49971E8F" w14:textId="77777777">
        <w:trPr>
          <w:trHeight w:val="309"/>
        </w:trPr>
        <w:tc>
          <w:tcPr>
            <w:tcW w:w="709" w:type="dxa"/>
            <w:shd w:val="clear" w:color="auto" w:fill="C6EFCE"/>
            <w:noWrap/>
          </w:tcPr>
          <w:p w14:paraId="2363DD8F" w14:textId="77777777" w:rsidR="003E1D81" w:rsidRDefault="00EB481C">
            <w:pPr>
              <w:pStyle w:val="P68B1DB1-Normal13"/>
              <w:spacing w:after="0" w:line="240" w:lineRule="auto"/>
              <w:jc w:val="center"/>
              <w:rPr>
                <w:rFonts w:eastAsia="Times New Roman" w:cs="Times New Roman"/>
                <w:noProof/>
              </w:rPr>
            </w:pPr>
            <w:r>
              <w:rPr>
                <w:noProof/>
              </w:rPr>
              <w:t>306</w:t>
            </w:r>
          </w:p>
        </w:tc>
        <w:tc>
          <w:tcPr>
            <w:tcW w:w="851" w:type="dxa"/>
            <w:shd w:val="clear" w:color="auto" w:fill="C6EFCE"/>
            <w:noWrap/>
          </w:tcPr>
          <w:p w14:paraId="49378F37" w14:textId="77777777" w:rsidR="003E1D81" w:rsidRDefault="00EB481C">
            <w:pPr>
              <w:pStyle w:val="P68B1DB1-Normal13"/>
              <w:spacing w:after="0" w:line="240" w:lineRule="auto"/>
              <w:jc w:val="center"/>
              <w:rPr>
                <w:rFonts w:eastAsia="Times New Roman" w:cs="Times New Roman"/>
                <w:noProof/>
              </w:rPr>
            </w:pPr>
            <w:r>
              <w:rPr>
                <w:noProof/>
              </w:rPr>
              <w:t>C21.R3</w:t>
            </w:r>
          </w:p>
        </w:tc>
        <w:tc>
          <w:tcPr>
            <w:tcW w:w="850" w:type="dxa"/>
            <w:shd w:val="clear" w:color="auto" w:fill="C6EFCE"/>
            <w:noWrap/>
          </w:tcPr>
          <w:p w14:paraId="737E09C5" w14:textId="77777777" w:rsidR="003E1D81" w:rsidRDefault="00EB481C">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4549ADC5" w14:textId="77777777" w:rsidR="003E1D81" w:rsidRDefault="00EB481C">
            <w:pPr>
              <w:pStyle w:val="P68B1DB1-Normal13"/>
              <w:spacing w:after="0" w:line="240" w:lineRule="auto"/>
              <w:rPr>
                <w:rFonts w:eastAsia="Times New Roman" w:cs="Times New Roman"/>
                <w:noProof/>
              </w:rPr>
            </w:pPr>
            <w:r>
              <w:rPr>
                <w:noProof/>
              </w:rPr>
              <w:t>Az egyetemek szervezésére vonatkozó királyi rendeletek hatálybalépése</w:t>
            </w:r>
          </w:p>
        </w:tc>
        <w:tc>
          <w:tcPr>
            <w:tcW w:w="1134" w:type="dxa"/>
            <w:shd w:val="clear" w:color="auto" w:fill="C6EFCE"/>
            <w:noWrap/>
          </w:tcPr>
          <w:p w14:paraId="369C4B4A" w14:textId="77777777" w:rsidR="003E1D81" w:rsidRDefault="00EB481C">
            <w:pPr>
              <w:pStyle w:val="P68B1DB1-Normal13"/>
              <w:spacing w:after="0" w:line="240" w:lineRule="auto"/>
              <w:jc w:val="center"/>
              <w:rPr>
                <w:rFonts w:eastAsia="Times New Roman" w:cs="Times New Roman"/>
                <w:noProof/>
              </w:rPr>
            </w:pPr>
            <w:r>
              <w:rPr>
                <w:noProof/>
              </w:rPr>
              <w:t>A királyi rendeleteknek a királyi rendeletek hatálybalépésére vonatkozó rendelkezése</w:t>
            </w:r>
          </w:p>
        </w:tc>
        <w:tc>
          <w:tcPr>
            <w:tcW w:w="850" w:type="dxa"/>
            <w:shd w:val="clear" w:color="auto" w:fill="C6EFCE"/>
            <w:noWrap/>
          </w:tcPr>
          <w:p w14:paraId="25011EDD"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3709DAFA"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102288BB"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17E43498"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708" w:type="dxa"/>
            <w:shd w:val="clear" w:color="auto" w:fill="C6EFCE"/>
            <w:noWrap/>
          </w:tcPr>
          <w:p w14:paraId="28C269B6" w14:textId="77777777" w:rsidR="003E1D81" w:rsidRDefault="00EB481C">
            <w:pPr>
              <w:pStyle w:val="P68B1DB1-Normal13"/>
              <w:spacing w:after="0" w:line="240" w:lineRule="auto"/>
              <w:jc w:val="center"/>
              <w:rPr>
                <w:rFonts w:eastAsia="Times New Roman" w:cs="Times New Roman"/>
                <w:noProof/>
              </w:rPr>
            </w:pPr>
            <w:r>
              <w:rPr>
                <w:noProof/>
              </w:rPr>
              <w:t>2021</w:t>
            </w:r>
          </w:p>
        </w:tc>
        <w:tc>
          <w:tcPr>
            <w:tcW w:w="4962" w:type="dxa"/>
            <w:shd w:val="clear" w:color="auto" w:fill="C6EFCE"/>
            <w:noWrap/>
          </w:tcPr>
          <w:p w14:paraId="455E3153" w14:textId="77777777" w:rsidR="003E1D81" w:rsidRDefault="00EB481C">
            <w:pPr>
              <w:pStyle w:val="P68B1DB1-Normal13"/>
              <w:spacing w:after="0" w:line="240" w:lineRule="auto"/>
              <w:rPr>
                <w:rFonts w:eastAsia="Times New Roman" w:cs="Times New Roman"/>
                <w:noProof/>
              </w:rPr>
            </w:pPr>
            <w:r>
              <w:rPr>
                <w:noProof/>
              </w:rPr>
              <w:t xml:space="preserve">Az egyetemek </w:t>
            </w:r>
            <w:r>
              <w:rPr>
                <w:noProof/>
              </w:rPr>
              <w:t>szervezésére vonatkozó két királyi rendelet a következő:</w:t>
            </w:r>
            <w:r>
              <w:rPr>
                <w:noProof/>
              </w:rPr>
              <w:br/>
              <w:t xml:space="preserve">Királyi rendelet az egyetemi képzések megszervezéséről és minőségbiztosítási eljárásáról </w:t>
            </w:r>
            <w:r>
              <w:rPr>
                <w:noProof/>
              </w:rPr>
              <w:br/>
              <w:t>– Az egyetemek és a hozzájuk kapcsolódó központok létrehozásának, elismerésének, engedélyezésének és akkredit</w:t>
            </w:r>
            <w:r>
              <w:rPr>
                <w:noProof/>
              </w:rPr>
              <w:t>ációjának rendszeréről szóló királyi rendelet.</w:t>
            </w:r>
          </w:p>
        </w:tc>
      </w:tr>
      <w:tr w:rsidR="003E1D81" w14:paraId="7C45691E" w14:textId="77777777">
        <w:trPr>
          <w:trHeight w:val="309"/>
        </w:trPr>
        <w:tc>
          <w:tcPr>
            <w:tcW w:w="709" w:type="dxa"/>
            <w:shd w:val="clear" w:color="auto" w:fill="C6EFCE"/>
            <w:noWrap/>
          </w:tcPr>
          <w:p w14:paraId="457C32E2" w14:textId="77777777" w:rsidR="003E1D81" w:rsidRDefault="00EB481C">
            <w:pPr>
              <w:pStyle w:val="P68B1DB1-Normal13"/>
              <w:spacing w:after="0" w:line="240" w:lineRule="auto"/>
              <w:jc w:val="center"/>
              <w:rPr>
                <w:rFonts w:eastAsia="Times New Roman" w:cs="Times New Roman"/>
                <w:noProof/>
              </w:rPr>
            </w:pPr>
            <w:r>
              <w:rPr>
                <w:noProof/>
              </w:rPr>
              <w:t>307</w:t>
            </w:r>
          </w:p>
        </w:tc>
        <w:tc>
          <w:tcPr>
            <w:tcW w:w="851" w:type="dxa"/>
            <w:shd w:val="clear" w:color="auto" w:fill="C6EFCE"/>
            <w:noWrap/>
          </w:tcPr>
          <w:p w14:paraId="48B8E743" w14:textId="77777777" w:rsidR="003E1D81" w:rsidRDefault="00EB481C">
            <w:pPr>
              <w:pStyle w:val="P68B1DB1-Normal13"/>
              <w:spacing w:after="0" w:line="240" w:lineRule="auto"/>
              <w:jc w:val="center"/>
              <w:rPr>
                <w:rFonts w:eastAsia="Times New Roman" w:cs="Times New Roman"/>
                <w:noProof/>
              </w:rPr>
            </w:pPr>
            <w:r>
              <w:rPr>
                <w:noProof/>
              </w:rPr>
              <w:t>C21.R3</w:t>
            </w:r>
          </w:p>
        </w:tc>
        <w:tc>
          <w:tcPr>
            <w:tcW w:w="850" w:type="dxa"/>
            <w:shd w:val="clear" w:color="auto" w:fill="C6EFCE"/>
            <w:noWrap/>
          </w:tcPr>
          <w:p w14:paraId="788CC30A" w14:textId="77777777" w:rsidR="003E1D81" w:rsidRDefault="00EB481C">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4B233E55" w14:textId="77777777" w:rsidR="003E1D81" w:rsidRDefault="00EB481C">
            <w:pPr>
              <w:pStyle w:val="P68B1DB1-Normal13"/>
              <w:spacing w:after="0" w:line="240" w:lineRule="auto"/>
              <w:rPr>
                <w:rFonts w:eastAsia="Times New Roman" w:cs="Times New Roman"/>
                <w:noProof/>
              </w:rPr>
            </w:pPr>
            <w:r>
              <w:rPr>
                <w:noProof/>
              </w:rPr>
              <w:t>Az egyetemi rendszerről szóló sarkalatos törvény hatálybalépése</w:t>
            </w:r>
          </w:p>
        </w:tc>
        <w:tc>
          <w:tcPr>
            <w:tcW w:w="1134" w:type="dxa"/>
            <w:shd w:val="clear" w:color="auto" w:fill="C6EFCE"/>
            <w:noWrap/>
          </w:tcPr>
          <w:p w14:paraId="221B2BB5" w14:textId="77777777" w:rsidR="003E1D81" w:rsidRDefault="00EB481C">
            <w:pPr>
              <w:pStyle w:val="P68B1DB1-Normal13"/>
              <w:spacing w:after="0" w:line="240" w:lineRule="auto"/>
              <w:jc w:val="center"/>
              <w:rPr>
                <w:rFonts w:eastAsia="Times New Roman" w:cs="Times New Roman"/>
                <w:noProof/>
              </w:rPr>
            </w:pPr>
            <w:r>
              <w:rPr>
                <w:noProof/>
              </w:rPr>
              <w:t>Az organikus törvény hatálybalépésére vonatkozó jogszabályi rendelkezés</w:t>
            </w:r>
          </w:p>
        </w:tc>
        <w:tc>
          <w:tcPr>
            <w:tcW w:w="850" w:type="dxa"/>
            <w:shd w:val="clear" w:color="auto" w:fill="C6EFCE"/>
            <w:noWrap/>
          </w:tcPr>
          <w:p w14:paraId="076876A7"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4D9CAB7A"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0E6B33C0" w14:textId="77777777" w:rsidR="003E1D81" w:rsidRDefault="00EB481C">
            <w:pPr>
              <w:pStyle w:val="P68B1DB1-Normal13"/>
              <w:spacing w:after="0" w:line="240" w:lineRule="auto"/>
              <w:rPr>
                <w:rFonts w:eastAsia="Times New Roman" w:cs="Times New Roman"/>
                <w:noProof/>
              </w:rPr>
            </w:pPr>
            <w:r>
              <w:rPr>
                <w:noProof/>
              </w:rPr>
              <w:t xml:space="preserve"> </w:t>
            </w:r>
          </w:p>
        </w:tc>
        <w:tc>
          <w:tcPr>
            <w:tcW w:w="567" w:type="dxa"/>
            <w:shd w:val="clear" w:color="auto" w:fill="C6EFCE"/>
            <w:noWrap/>
          </w:tcPr>
          <w:p w14:paraId="41AD0AB7"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708" w:type="dxa"/>
            <w:shd w:val="clear" w:color="auto" w:fill="C6EFCE"/>
            <w:noWrap/>
          </w:tcPr>
          <w:p w14:paraId="2680F0A3" w14:textId="77777777" w:rsidR="003E1D81" w:rsidRDefault="00EB481C">
            <w:pPr>
              <w:pStyle w:val="P68B1DB1-Normal13"/>
              <w:spacing w:after="0" w:line="240" w:lineRule="auto"/>
              <w:jc w:val="center"/>
              <w:rPr>
                <w:rFonts w:eastAsia="Times New Roman" w:cs="Times New Roman"/>
                <w:noProof/>
              </w:rPr>
            </w:pPr>
            <w:r>
              <w:rPr>
                <w:noProof/>
              </w:rPr>
              <w:t>2023</w:t>
            </w:r>
          </w:p>
        </w:tc>
        <w:tc>
          <w:tcPr>
            <w:tcW w:w="4962" w:type="dxa"/>
            <w:shd w:val="clear" w:color="auto" w:fill="C6EFCE"/>
            <w:noWrap/>
          </w:tcPr>
          <w:p w14:paraId="3B9C751B" w14:textId="77777777" w:rsidR="003E1D81" w:rsidRDefault="00EB481C">
            <w:pPr>
              <w:pStyle w:val="P68B1DB1-Normal13"/>
              <w:spacing w:after="0" w:line="240" w:lineRule="auto"/>
              <w:rPr>
                <w:rFonts w:eastAsia="Times New Roman" w:cs="Times New Roman"/>
                <w:noProof/>
              </w:rPr>
            </w:pPr>
            <w:r>
              <w:rPr>
                <w:noProof/>
              </w:rPr>
              <w:t xml:space="preserve">Az új sarkalatos törvény, amelynek célja </w:t>
            </w:r>
            <w:r>
              <w:rPr>
                <w:noProof/>
              </w:rPr>
              <w:t xml:space="preserve">a felsőoktatáshoz való hozzáférés előmozdítása, az egyetemi kurzusok szervezésének kiigazítása, az egyetemi intézmények megfelelő irányításának biztosítása, valamint az oktatók és a kutatói személyzet kutatásának, átadásának és mobilitásának előmozdítása. </w:t>
            </w:r>
            <w:r>
              <w:rPr>
                <w:noProof/>
              </w:rPr>
              <w:t>A reformnak fokoznia kell a felsőoktatás munkaerőpiaci relevanciáját, beleértve a magán- és a harmadik szektorbeli intézményekkel való együttműködés előmozdítását, valamint az állami egyetemek teljesítményalapú finanszírozásának bevezetését.</w:t>
            </w:r>
          </w:p>
        </w:tc>
      </w:tr>
      <w:tr w:rsidR="003E1D81" w14:paraId="6B8EDAEE" w14:textId="77777777">
        <w:trPr>
          <w:trHeight w:val="309"/>
        </w:trPr>
        <w:tc>
          <w:tcPr>
            <w:tcW w:w="709" w:type="dxa"/>
            <w:shd w:val="clear" w:color="auto" w:fill="C6EFCE"/>
            <w:noWrap/>
          </w:tcPr>
          <w:p w14:paraId="0DDE9BB6" w14:textId="77777777" w:rsidR="003E1D81" w:rsidRDefault="00EB481C">
            <w:pPr>
              <w:pStyle w:val="P68B1DB1-Normal13"/>
              <w:spacing w:after="0" w:line="240" w:lineRule="auto"/>
              <w:jc w:val="center"/>
              <w:rPr>
                <w:rFonts w:eastAsia="Times New Roman" w:cs="Times New Roman"/>
                <w:noProof/>
              </w:rPr>
            </w:pPr>
            <w:r>
              <w:rPr>
                <w:noProof/>
              </w:rPr>
              <w:t>308</w:t>
            </w:r>
          </w:p>
        </w:tc>
        <w:tc>
          <w:tcPr>
            <w:tcW w:w="851" w:type="dxa"/>
            <w:shd w:val="clear" w:color="auto" w:fill="C6EFCE"/>
            <w:noWrap/>
          </w:tcPr>
          <w:p w14:paraId="300859AE" w14:textId="77777777" w:rsidR="003E1D81" w:rsidRDefault="00EB481C">
            <w:pPr>
              <w:pStyle w:val="P68B1DB1-Normal13"/>
              <w:spacing w:after="0" w:line="240" w:lineRule="auto"/>
              <w:jc w:val="center"/>
              <w:rPr>
                <w:rFonts w:eastAsia="Times New Roman" w:cs="Times New Roman"/>
                <w:noProof/>
              </w:rPr>
            </w:pPr>
            <w:r>
              <w:rPr>
                <w:noProof/>
              </w:rPr>
              <w:t>C21.I1</w:t>
            </w:r>
          </w:p>
        </w:tc>
        <w:tc>
          <w:tcPr>
            <w:tcW w:w="850" w:type="dxa"/>
            <w:shd w:val="clear" w:color="auto" w:fill="C6EFCE"/>
            <w:noWrap/>
          </w:tcPr>
          <w:p w14:paraId="4B652367" w14:textId="77777777" w:rsidR="003E1D81" w:rsidRDefault="00EB481C">
            <w:pPr>
              <w:pStyle w:val="P68B1DB1-Normal13"/>
              <w:spacing w:after="0" w:line="240" w:lineRule="auto"/>
              <w:jc w:val="center"/>
              <w:rPr>
                <w:rFonts w:eastAsia="Times New Roman" w:cs="Times New Roman"/>
                <w:noProof/>
              </w:rPr>
            </w:pPr>
            <w:r>
              <w:rPr>
                <w:noProof/>
              </w:rPr>
              <w:t>T</w:t>
            </w:r>
          </w:p>
        </w:tc>
        <w:tc>
          <w:tcPr>
            <w:tcW w:w="3119" w:type="dxa"/>
            <w:shd w:val="clear" w:color="auto" w:fill="C6EFCE"/>
            <w:noWrap/>
          </w:tcPr>
          <w:p w14:paraId="020C134B" w14:textId="77777777" w:rsidR="003E1D81" w:rsidRDefault="00EB481C">
            <w:pPr>
              <w:pStyle w:val="P68B1DB1-Normal13"/>
              <w:spacing w:after="0" w:line="240" w:lineRule="auto"/>
              <w:rPr>
                <w:rFonts w:eastAsia="Times New Roman" w:cs="Times New Roman"/>
                <w:noProof/>
              </w:rPr>
            </w:pPr>
            <w:r>
              <w:rPr>
                <w:noProof/>
              </w:rPr>
              <w:t xml:space="preserve">Költségvetési díj a kisgyermekkori nevelés első ciklusának előmozdítására </w:t>
            </w:r>
          </w:p>
        </w:tc>
        <w:tc>
          <w:tcPr>
            <w:tcW w:w="1134" w:type="dxa"/>
            <w:shd w:val="clear" w:color="auto" w:fill="C6EFCE"/>
            <w:noWrap/>
          </w:tcPr>
          <w:p w14:paraId="244CD4CD" w14:textId="77777777" w:rsidR="003E1D81" w:rsidRDefault="00EB481C">
            <w:pPr>
              <w:pStyle w:val="P68B1DB1-Normal13"/>
              <w:spacing w:after="0" w:line="240" w:lineRule="auto"/>
              <w:jc w:val="center"/>
              <w:rPr>
                <w:rFonts w:eastAsia="Times New Roman" w:cs="Times New Roman"/>
                <w:noProof/>
              </w:rPr>
            </w:pPr>
            <w:r>
              <w:rPr>
                <w:noProof/>
              </w:rPr>
              <w:t> </w:t>
            </w:r>
          </w:p>
        </w:tc>
        <w:tc>
          <w:tcPr>
            <w:tcW w:w="850" w:type="dxa"/>
            <w:shd w:val="clear" w:color="auto" w:fill="C6EFCE"/>
            <w:noWrap/>
          </w:tcPr>
          <w:p w14:paraId="328C8AED" w14:textId="77777777" w:rsidR="003E1D81" w:rsidRDefault="00EB481C">
            <w:pPr>
              <w:pStyle w:val="P68B1DB1-Normal13"/>
              <w:spacing w:after="0" w:line="240" w:lineRule="auto"/>
              <w:jc w:val="center"/>
              <w:rPr>
                <w:rFonts w:eastAsia="Times New Roman" w:cs="Times New Roman"/>
                <w:noProof/>
              </w:rPr>
            </w:pPr>
            <w:r>
              <w:rPr>
                <w:noProof/>
              </w:rPr>
              <w:t xml:space="preserve"> EUR</w:t>
            </w:r>
          </w:p>
        </w:tc>
        <w:tc>
          <w:tcPr>
            <w:tcW w:w="709" w:type="dxa"/>
            <w:shd w:val="clear" w:color="auto" w:fill="C6EFCE"/>
            <w:noWrap/>
          </w:tcPr>
          <w:p w14:paraId="54BA7765" w14:textId="77777777" w:rsidR="003E1D81" w:rsidRDefault="00EB481C">
            <w:pPr>
              <w:pStyle w:val="P68B1DB1-Normal13"/>
              <w:spacing w:after="0" w:line="240" w:lineRule="auto"/>
              <w:jc w:val="center"/>
              <w:rPr>
                <w:rFonts w:eastAsia="Times New Roman" w:cs="Times New Roman"/>
                <w:noProof/>
              </w:rPr>
            </w:pPr>
            <w:r>
              <w:rPr>
                <w:noProof/>
              </w:rPr>
              <w:t>0</w:t>
            </w:r>
          </w:p>
        </w:tc>
        <w:tc>
          <w:tcPr>
            <w:tcW w:w="851" w:type="dxa"/>
            <w:shd w:val="clear" w:color="auto" w:fill="C6EFCE"/>
            <w:noWrap/>
          </w:tcPr>
          <w:p w14:paraId="10833A9B" w14:textId="77777777" w:rsidR="003E1D81" w:rsidRDefault="00EB481C">
            <w:pPr>
              <w:pStyle w:val="P68B1DB1-Normal13"/>
              <w:spacing w:after="0" w:line="240" w:lineRule="auto"/>
              <w:jc w:val="center"/>
              <w:rPr>
                <w:rFonts w:eastAsia="Times New Roman" w:cs="Times New Roman"/>
                <w:noProof/>
              </w:rPr>
            </w:pPr>
            <w:r>
              <w:rPr>
                <w:noProof/>
              </w:rPr>
              <w:t xml:space="preserve">670 990 000 </w:t>
            </w:r>
          </w:p>
        </w:tc>
        <w:tc>
          <w:tcPr>
            <w:tcW w:w="567" w:type="dxa"/>
            <w:shd w:val="clear" w:color="auto" w:fill="C6EFCE"/>
            <w:noWrap/>
          </w:tcPr>
          <w:p w14:paraId="156C08C7"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708" w:type="dxa"/>
            <w:shd w:val="clear" w:color="auto" w:fill="C6EFCE"/>
            <w:noWrap/>
          </w:tcPr>
          <w:p w14:paraId="6C99842B" w14:textId="77777777" w:rsidR="003E1D81" w:rsidRDefault="00EB481C">
            <w:pPr>
              <w:pStyle w:val="P68B1DB1-Normal13"/>
              <w:spacing w:after="0" w:line="240" w:lineRule="auto"/>
              <w:jc w:val="center"/>
              <w:rPr>
                <w:rFonts w:eastAsia="Times New Roman" w:cs="Times New Roman"/>
                <w:noProof/>
              </w:rPr>
            </w:pPr>
            <w:r>
              <w:rPr>
                <w:noProof/>
              </w:rPr>
              <w:t>2023</w:t>
            </w:r>
          </w:p>
        </w:tc>
        <w:tc>
          <w:tcPr>
            <w:tcW w:w="4962" w:type="dxa"/>
            <w:shd w:val="clear" w:color="auto" w:fill="C6EFCE"/>
            <w:noWrap/>
          </w:tcPr>
          <w:p w14:paraId="58706992" w14:textId="77777777" w:rsidR="003E1D81" w:rsidRDefault="00EB481C">
            <w:pPr>
              <w:pStyle w:val="P68B1DB1-Normal13"/>
              <w:spacing w:after="0" w:line="240" w:lineRule="auto"/>
              <w:jc w:val="both"/>
              <w:rPr>
                <w:rFonts w:eastAsia="Times New Roman" w:cs="Times New Roman"/>
                <w:noProof/>
              </w:rPr>
            </w:pPr>
            <w:r>
              <w:rPr>
                <w:noProof/>
              </w:rPr>
              <w:t>670 990 000 EUR összegű költségvetési juttatás regionális/helyi szervezeteknek a koragyermekkori nevelés első ciklusának új köztulajdonban lévő h</w:t>
            </w:r>
            <w:r>
              <w:rPr>
                <w:noProof/>
              </w:rPr>
              <w:t xml:space="preserve">elyek létrehozása révén történő előmozdítására. </w:t>
            </w:r>
          </w:p>
        </w:tc>
      </w:tr>
      <w:tr w:rsidR="003E1D81" w14:paraId="1340EB0B" w14:textId="77777777">
        <w:trPr>
          <w:trHeight w:val="309"/>
        </w:trPr>
        <w:tc>
          <w:tcPr>
            <w:tcW w:w="709" w:type="dxa"/>
            <w:shd w:val="clear" w:color="auto" w:fill="C6EFCE"/>
            <w:noWrap/>
          </w:tcPr>
          <w:p w14:paraId="6271D4F2" w14:textId="77777777" w:rsidR="003E1D81" w:rsidRDefault="00EB481C">
            <w:pPr>
              <w:pStyle w:val="P68B1DB1-Normal13"/>
              <w:spacing w:after="0" w:line="240" w:lineRule="auto"/>
              <w:jc w:val="center"/>
              <w:rPr>
                <w:rFonts w:eastAsia="Times New Roman" w:cs="Times New Roman"/>
                <w:noProof/>
              </w:rPr>
            </w:pPr>
            <w:r>
              <w:rPr>
                <w:noProof/>
              </w:rPr>
              <w:t>309</w:t>
            </w:r>
          </w:p>
        </w:tc>
        <w:tc>
          <w:tcPr>
            <w:tcW w:w="851" w:type="dxa"/>
            <w:shd w:val="clear" w:color="auto" w:fill="C6EFCE"/>
            <w:noWrap/>
          </w:tcPr>
          <w:p w14:paraId="440324C0" w14:textId="77777777" w:rsidR="003E1D81" w:rsidRDefault="00EB481C">
            <w:pPr>
              <w:pStyle w:val="P68B1DB1-Normal13"/>
              <w:spacing w:after="0" w:line="240" w:lineRule="auto"/>
              <w:jc w:val="center"/>
              <w:rPr>
                <w:rFonts w:eastAsia="Times New Roman" w:cs="Times New Roman"/>
                <w:noProof/>
              </w:rPr>
            </w:pPr>
            <w:r>
              <w:rPr>
                <w:noProof/>
              </w:rPr>
              <w:t>C21.I1</w:t>
            </w:r>
          </w:p>
        </w:tc>
        <w:tc>
          <w:tcPr>
            <w:tcW w:w="850" w:type="dxa"/>
            <w:shd w:val="clear" w:color="auto" w:fill="C6EFCE"/>
            <w:noWrap/>
          </w:tcPr>
          <w:p w14:paraId="47A5B59D" w14:textId="77777777" w:rsidR="003E1D81" w:rsidRDefault="00EB481C">
            <w:pPr>
              <w:pStyle w:val="P68B1DB1-Normal13"/>
              <w:spacing w:after="0" w:line="240" w:lineRule="auto"/>
              <w:jc w:val="center"/>
              <w:rPr>
                <w:rFonts w:eastAsia="Times New Roman" w:cs="Times New Roman"/>
                <w:noProof/>
              </w:rPr>
            </w:pPr>
            <w:r>
              <w:rPr>
                <w:noProof/>
              </w:rPr>
              <w:t>T</w:t>
            </w:r>
          </w:p>
        </w:tc>
        <w:tc>
          <w:tcPr>
            <w:tcW w:w="3119" w:type="dxa"/>
            <w:shd w:val="clear" w:color="auto" w:fill="C6EFCE"/>
            <w:noWrap/>
          </w:tcPr>
          <w:p w14:paraId="3B351609" w14:textId="77777777" w:rsidR="003E1D81" w:rsidRDefault="00EB481C">
            <w:pPr>
              <w:pStyle w:val="P68B1DB1-Normal13"/>
              <w:spacing w:after="0" w:line="240" w:lineRule="auto"/>
              <w:rPr>
                <w:rFonts w:eastAsia="Times New Roman" w:cs="Times New Roman"/>
                <w:noProof/>
              </w:rPr>
            </w:pPr>
            <w:r>
              <w:rPr>
                <w:noProof/>
              </w:rPr>
              <w:t xml:space="preserve">Új helyek a kisgyermekkori nevelés első ciklusához </w:t>
            </w:r>
          </w:p>
        </w:tc>
        <w:tc>
          <w:tcPr>
            <w:tcW w:w="1134" w:type="dxa"/>
            <w:shd w:val="clear" w:color="auto" w:fill="C6EFCE"/>
            <w:noWrap/>
          </w:tcPr>
          <w:p w14:paraId="7E9B347A"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23392B07"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9" w:type="dxa"/>
            <w:shd w:val="clear" w:color="auto" w:fill="C6EFCE"/>
            <w:noWrap/>
          </w:tcPr>
          <w:p w14:paraId="63346503" w14:textId="77777777" w:rsidR="003E1D81" w:rsidRDefault="00EB481C">
            <w:pPr>
              <w:pStyle w:val="P68B1DB1-Normal13"/>
              <w:spacing w:after="0" w:line="240" w:lineRule="auto"/>
              <w:jc w:val="center"/>
              <w:rPr>
                <w:rFonts w:eastAsia="Times New Roman" w:cs="Times New Roman"/>
                <w:noProof/>
                <w:highlight w:val="yellow"/>
              </w:rPr>
            </w:pPr>
            <w:r>
              <w:rPr>
                <w:noProof/>
              </w:rPr>
              <w:t>0</w:t>
            </w:r>
          </w:p>
        </w:tc>
        <w:tc>
          <w:tcPr>
            <w:tcW w:w="851" w:type="dxa"/>
            <w:shd w:val="clear" w:color="auto" w:fill="C6EFCE"/>
            <w:noWrap/>
          </w:tcPr>
          <w:p w14:paraId="6C140A24" w14:textId="77777777" w:rsidR="003E1D81" w:rsidRDefault="00EB481C">
            <w:pPr>
              <w:pStyle w:val="P68B1DB1-Normal13"/>
              <w:spacing w:after="0" w:line="240" w:lineRule="auto"/>
              <w:jc w:val="center"/>
              <w:rPr>
                <w:rFonts w:eastAsia="Times New Roman" w:cs="Times New Roman"/>
                <w:noProof/>
                <w:highlight w:val="yellow"/>
              </w:rPr>
            </w:pPr>
            <w:r>
              <w:rPr>
                <w:noProof/>
              </w:rPr>
              <w:t>60 000</w:t>
            </w:r>
          </w:p>
        </w:tc>
        <w:tc>
          <w:tcPr>
            <w:tcW w:w="567" w:type="dxa"/>
            <w:shd w:val="clear" w:color="auto" w:fill="C6EFCE"/>
            <w:noWrap/>
          </w:tcPr>
          <w:p w14:paraId="57D5F00D"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708" w:type="dxa"/>
            <w:shd w:val="clear" w:color="auto" w:fill="C6EFCE"/>
            <w:noWrap/>
          </w:tcPr>
          <w:p w14:paraId="45670EFE" w14:textId="0F1E39B9" w:rsidR="003E1D81" w:rsidRDefault="00EB481C">
            <w:pPr>
              <w:pStyle w:val="P68B1DB1-Normal13"/>
              <w:spacing w:after="0" w:line="240" w:lineRule="auto"/>
              <w:jc w:val="center"/>
              <w:rPr>
                <w:rFonts w:eastAsia="Times New Roman" w:cs="Times New Roman"/>
                <w:noProof/>
              </w:rPr>
            </w:pPr>
            <w:r>
              <w:rPr>
                <w:noProof/>
              </w:rPr>
              <w:t>2025</w:t>
            </w:r>
          </w:p>
        </w:tc>
        <w:tc>
          <w:tcPr>
            <w:tcW w:w="4962" w:type="dxa"/>
            <w:shd w:val="clear" w:color="auto" w:fill="C6EFCE"/>
            <w:noWrap/>
          </w:tcPr>
          <w:p w14:paraId="1DB7122C" w14:textId="77777777" w:rsidR="003E1D81" w:rsidRDefault="00EB481C">
            <w:pPr>
              <w:pStyle w:val="P68B1DB1-Normal13"/>
              <w:spacing w:after="0" w:line="240" w:lineRule="auto"/>
              <w:rPr>
                <w:rFonts w:eastAsia="Times New Roman" w:cs="Times New Roman"/>
                <w:noProof/>
              </w:rPr>
            </w:pPr>
            <w:r>
              <w:rPr>
                <w:noProof/>
              </w:rPr>
              <w:t xml:space="preserve">A koragyermekkori nevelés első ciklusának előmozdítása új köztulajdonban lévő helyek teljes körű létrehozása </w:t>
            </w:r>
            <w:r>
              <w:rPr>
                <w:noProof/>
              </w:rPr>
              <w:t>révén (új építés és/vagy reform/rehabilitáció és felszerelés legalább 60000 férőhelyen a 2020. év végihez képest, és e működési kiadások 2025-ig legfeljebb 40000 férőhelyre).</w:t>
            </w:r>
          </w:p>
        </w:tc>
      </w:tr>
      <w:tr w:rsidR="003E1D81" w14:paraId="08AED788" w14:textId="77777777">
        <w:trPr>
          <w:trHeight w:val="309"/>
        </w:trPr>
        <w:tc>
          <w:tcPr>
            <w:tcW w:w="709" w:type="dxa"/>
            <w:shd w:val="clear" w:color="auto" w:fill="C6EFCE"/>
            <w:noWrap/>
          </w:tcPr>
          <w:p w14:paraId="3C85BC4B" w14:textId="77777777" w:rsidR="003E1D81" w:rsidRDefault="00EB481C">
            <w:pPr>
              <w:pStyle w:val="P68B1DB1-Normal13"/>
              <w:spacing w:after="0" w:line="240" w:lineRule="auto"/>
              <w:jc w:val="center"/>
              <w:rPr>
                <w:rFonts w:eastAsia="Times New Roman" w:cs="Times New Roman"/>
                <w:noProof/>
              </w:rPr>
            </w:pPr>
            <w:r>
              <w:rPr>
                <w:noProof/>
              </w:rPr>
              <w:t>310</w:t>
            </w:r>
          </w:p>
        </w:tc>
        <w:tc>
          <w:tcPr>
            <w:tcW w:w="851" w:type="dxa"/>
            <w:shd w:val="clear" w:color="auto" w:fill="C6EFCE"/>
            <w:noWrap/>
          </w:tcPr>
          <w:p w14:paraId="71956508" w14:textId="77777777" w:rsidR="003E1D81" w:rsidRDefault="00EB481C">
            <w:pPr>
              <w:pStyle w:val="P68B1DB1-Normal13"/>
              <w:spacing w:after="0" w:line="240" w:lineRule="auto"/>
              <w:jc w:val="center"/>
              <w:rPr>
                <w:rFonts w:eastAsia="Times New Roman" w:cs="Times New Roman"/>
                <w:noProof/>
              </w:rPr>
            </w:pPr>
            <w:r>
              <w:rPr>
                <w:noProof/>
              </w:rPr>
              <w:t>C21.I2</w:t>
            </w:r>
          </w:p>
        </w:tc>
        <w:tc>
          <w:tcPr>
            <w:tcW w:w="850" w:type="dxa"/>
            <w:shd w:val="clear" w:color="auto" w:fill="C6EFCE"/>
            <w:noWrap/>
          </w:tcPr>
          <w:p w14:paraId="0B51D14E" w14:textId="77777777" w:rsidR="003E1D81" w:rsidRDefault="00EB481C">
            <w:pPr>
              <w:pStyle w:val="P68B1DB1-Normal13"/>
              <w:spacing w:after="0" w:line="240" w:lineRule="auto"/>
              <w:jc w:val="center"/>
              <w:rPr>
                <w:rFonts w:eastAsia="Times New Roman" w:cs="Times New Roman"/>
                <w:noProof/>
              </w:rPr>
            </w:pPr>
            <w:r>
              <w:rPr>
                <w:noProof/>
              </w:rPr>
              <w:t>T</w:t>
            </w:r>
          </w:p>
        </w:tc>
        <w:tc>
          <w:tcPr>
            <w:tcW w:w="3119" w:type="dxa"/>
            <w:shd w:val="clear" w:color="auto" w:fill="C6EFCE"/>
            <w:noWrap/>
          </w:tcPr>
          <w:p w14:paraId="5CD7584E" w14:textId="77777777" w:rsidR="003E1D81" w:rsidRDefault="00EB481C">
            <w:pPr>
              <w:pStyle w:val="P68B1DB1-Normal13"/>
              <w:spacing w:after="0" w:line="240" w:lineRule="auto"/>
              <w:rPr>
                <w:rFonts w:eastAsia="Times New Roman" w:cs="Times New Roman"/>
                <w:noProof/>
              </w:rPr>
            </w:pPr>
            <w:r>
              <w:rPr>
                <w:noProof/>
              </w:rPr>
              <w:t xml:space="preserve">Iskolák támogatása a PROA+ program keretében </w:t>
            </w:r>
          </w:p>
        </w:tc>
        <w:tc>
          <w:tcPr>
            <w:tcW w:w="1134" w:type="dxa"/>
            <w:shd w:val="clear" w:color="auto" w:fill="C6EFCE"/>
            <w:noWrap/>
          </w:tcPr>
          <w:p w14:paraId="4C63804D"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203DED41"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9" w:type="dxa"/>
            <w:shd w:val="clear" w:color="auto" w:fill="C6EFCE"/>
            <w:noWrap/>
          </w:tcPr>
          <w:p w14:paraId="02C3A3F1" w14:textId="77777777" w:rsidR="003E1D81" w:rsidRDefault="00EB481C">
            <w:pPr>
              <w:pStyle w:val="P68B1DB1-Normal13"/>
              <w:spacing w:after="0" w:line="240" w:lineRule="auto"/>
              <w:jc w:val="right"/>
              <w:rPr>
                <w:rFonts w:eastAsia="Times New Roman" w:cs="Times New Roman"/>
                <w:noProof/>
              </w:rPr>
            </w:pPr>
            <w:r>
              <w:rPr>
                <w:noProof/>
              </w:rPr>
              <w:t>0</w:t>
            </w:r>
          </w:p>
        </w:tc>
        <w:tc>
          <w:tcPr>
            <w:tcW w:w="851" w:type="dxa"/>
            <w:shd w:val="clear" w:color="auto" w:fill="C6EFCE"/>
            <w:noWrap/>
          </w:tcPr>
          <w:p w14:paraId="26751969" w14:textId="77777777" w:rsidR="003E1D81" w:rsidRDefault="00EB481C">
            <w:pPr>
              <w:pStyle w:val="P68B1DB1-Normal13"/>
              <w:spacing w:after="0" w:line="240" w:lineRule="auto"/>
              <w:jc w:val="right"/>
              <w:rPr>
                <w:rFonts w:eastAsia="Times New Roman" w:cs="Times New Roman"/>
                <w:noProof/>
              </w:rPr>
            </w:pPr>
            <w:r>
              <w:rPr>
                <w:noProof/>
              </w:rPr>
              <w:t>2 700</w:t>
            </w:r>
          </w:p>
        </w:tc>
        <w:tc>
          <w:tcPr>
            <w:tcW w:w="567" w:type="dxa"/>
            <w:shd w:val="clear" w:color="auto" w:fill="C6EFCE"/>
            <w:noWrap/>
          </w:tcPr>
          <w:p w14:paraId="755CA836"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708" w:type="dxa"/>
            <w:shd w:val="clear" w:color="auto" w:fill="C6EFCE"/>
            <w:noWrap/>
          </w:tcPr>
          <w:p w14:paraId="7EAE1301" w14:textId="77777777" w:rsidR="003E1D81" w:rsidRDefault="00EB481C">
            <w:pPr>
              <w:pStyle w:val="P68B1DB1-Normal13"/>
              <w:spacing w:after="0" w:line="240" w:lineRule="auto"/>
              <w:jc w:val="center"/>
              <w:rPr>
                <w:rFonts w:eastAsia="Times New Roman" w:cs="Times New Roman"/>
                <w:noProof/>
              </w:rPr>
            </w:pPr>
            <w:r>
              <w:rPr>
                <w:noProof/>
              </w:rPr>
              <w:t>2024</w:t>
            </w:r>
          </w:p>
        </w:tc>
        <w:tc>
          <w:tcPr>
            <w:tcW w:w="4962" w:type="dxa"/>
            <w:shd w:val="clear" w:color="auto" w:fill="C6EFCE"/>
            <w:noWrap/>
          </w:tcPr>
          <w:p w14:paraId="771C0313" w14:textId="77777777" w:rsidR="003E1D81" w:rsidRDefault="00EB481C">
            <w:pPr>
              <w:pStyle w:val="P68B1DB1-Normal13"/>
              <w:spacing w:after="0" w:line="240" w:lineRule="auto"/>
              <w:rPr>
                <w:rFonts w:eastAsia="Times New Roman" w:cs="Times New Roman"/>
                <w:noProof/>
              </w:rPr>
            </w:pPr>
            <w:r>
              <w:rPr>
                <w:noProof/>
              </w:rPr>
              <w:t xml:space="preserve">Legalább 2700, a PROA+ program által támogatott iskola az ország egész területén, a program követelményeinek megfelelően </w:t>
            </w:r>
          </w:p>
        </w:tc>
      </w:tr>
      <w:tr w:rsidR="003E1D81" w14:paraId="1AFA8AA7" w14:textId="77777777">
        <w:trPr>
          <w:trHeight w:val="309"/>
        </w:trPr>
        <w:tc>
          <w:tcPr>
            <w:tcW w:w="709" w:type="dxa"/>
            <w:shd w:val="clear" w:color="auto" w:fill="C6EFCE"/>
            <w:noWrap/>
          </w:tcPr>
          <w:p w14:paraId="368F37FA" w14:textId="77777777" w:rsidR="003E1D81" w:rsidRDefault="00EB481C">
            <w:pPr>
              <w:pStyle w:val="P68B1DB1-Normal13"/>
              <w:spacing w:after="0" w:line="240" w:lineRule="auto"/>
              <w:jc w:val="center"/>
              <w:rPr>
                <w:rFonts w:eastAsia="Times New Roman" w:cs="Times New Roman"/>
                <w:noProof/>
              </w:rPr>
            </w:pPr>
            <w:r>
              <w:rPr>
                <w:noProof/>
              </w:rPr>
              <w:t>311</w:t>
            </w:r>
          </w:p>
        </w:tc>
        <w:tc>
          <w:tcPr>
            <w:tcW w:w="851" w:type="dxa"/>
            <w:shd w:val="clear" w:color="auto" w:fill="C6EFCE"/>
            <w:noWrap/>
          </w:tcPr>
          <w:p w14:paraId="2F6334CF" w14:textId="77777777" w:rsidR="003E1D81" w:rsidRDefault="00EB481C">
            <w:pPr>
              <w:pStyle w:val="P68B1DB1-Normal13"/>
              <w:spacing w:after="0" w:line="240" w:lineRule="auto"/>
              <w:jc w:val="center"/>
              <w:rPr>
                <w:rFonts w:eastAsia="Times New Roman" w:cs="Times New Roman"/>
                <w:noProof/>
              </w:rPr>
            </w:pPr>
            <w:r>
              <w:rPr>
                <w:noProof/>
              </w:rPr>
              <w:t>C21.I3</w:t>
            </w:r>
          </w:p>
        </w:tc>
        <w:tc>
          <w:tcPr>
            <w:tcW w:w="850" w:type="dxa"/>
            <w:shd w:val="clear" w:color="auto" w:fill="C6EFCE"/>
            <w:noWrap/>
          </w:tcPr>
          <w:p w14:paraId="0BEDAB84" w14:textId="77777777" w:rsidR="003E1D81" w:rsidRDefault="00EB481C">
            <w:pPr>
              <w:pStyle w:val="P68B1DB1-Normal13"/>
              <w:spacing w:after="0" w:line="240" w:lineRule="auto"/>
              <w:jc w:val="center"/>
              <w:rPr>
                <w:rFonts w:eastAsia="Times New Roman" w:cs="Times New Roman"/>
                <w:noProof/>
              </w:rPr>
            </w:pPr>
            <w:r>
              <w:rPr>
                <w:noProof/>
              </w:rPr>
              <w:t>T</w:t>
            </w:r>
          </w:p>
        </w:tc>
        <w:tc>
          <w:tcPr>
            <w:tcW w:w="3119" w:type="dxa"/>
            <w:shd w:val="clear" w:color="auto" w:fill="C6EFCE"/>
            <w:noWrap/>
          </w:tcPr>
          <w:p w14:paraId="37D990EA" w14:textId="77777777" w:rsidR="003E1D81" w:rsidRDefault="00EB481C">
            <w:pPr>
              <w:pStyle w:val="P68B1DB1-Normal13"/>
              <w:spacing w:after="0" w:line="240" w:lineRule="auto"/>
              <w:rPr>
                <w:rFonts w:eastAsia="Times New Roman" w:cs="Times New Roman"/>
                <w:noProof/>
              </w:rPr>
            </w:pPr>
            <w:r>
              <w:rPr>
                <w:noProof/>
              </w:rPr>
              <w:t xml:space="preserve">Kísérő és pályaorientációs egységek a kiszolgáltatott helyzetben lévő diákok számára </w:t>
            </w:r>
          </w:p>
        </w:tc>
        <w:tc>
          <w:tcPr>
            <w:tcW w:w="1134" w:type="dxa"/>
            <w:shd w:val="clear" w:color="auto" w:fill="C6EFCE"/>
            <w:noWrap/>
          </w:tcPr>
          <w:p w14:paraId="3099300F"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7FD57B20"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9" w:type="dxa"/>
            <w:shd w:val="clear" w:color="auto" w:fill="C6EFCE"/>
            <w:noWrap/>
          </w:tcPr>
          <w:p w14:paraId="3BE165FF" w14:textId="77777777" w:rsidR="003E1D81" w:rsidRDefault="00EB481C">
            <w:pPr>
              <w:pStyle w:val="P68B1DB1-Normal13"/>
              <w:spacing w:after="0" w:line="240" w:lineRule="auto"/>
              <w:jc w:val="right"/>
              <w:rPr>
                <w:rFonts w:eastAsia="Times New Roman" w:cs="Times New Roman"/>
                <w:noProof/>
              </w:rPr>
            </w:pPr>
            <w:r>
              <w:rPr>
                <w:noProof/>
              </w:rPr>
              <w:t>0</w:t>
            </w:r>
          </w:p>
        </w:tc>
        <w:tc>
          <w:tcPr>
            <w:tcW w:w="851" w:type="dxa"/>
            <w:shd w:val="clear" w:color="auto" w:fill="C6EFCE"/>
            <w:noWrap/>
          </w:tcPr>
          <w:p w14:paraId="5112CCB7" w14:textId="77777777" w:rsidR="003E1D81" w:rsidRDefault="00EB481C">
            <w:pPr>
              <w:pStyle w:val="P68B1DB1-Normal13"/>
              <w:spacing w:after="0" w:line="240" w:lineRule="auto"/>
              <w:jc w:val="right"/>
              <w:rPr>
                <w:rFonts w:eastAsia="Times New Roman" w:cs="Times New Roman"/>
                <w:noProof/>
              </w:rPr>
            </w:pPr>
            <w:r>
              <w:rPr>
                <w:noProof/>
              </w:rPr>
              <w:t>1 000</w:t>
            </w:r>
          </w:p>
        </w:tc>
        <w:tc>
          <w:tcPr>
            <w:tcW w:w="567" w:type="dxa"/>
            <w:shd w:val="clear" w:color="auto" w:fill="C6EFCE"/>
            <w:noWrap/>
          </w:tcPr>
          <w:p w14:paraId="59446398"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708" w:type="dxa"/>
            <w:shd w:val="clear" w:color="auto" w:fill="C6EFCE"/>
            <w:noWrap/>
          </w:tcPr>
          <w:p w14:paraId="2FAD9344" w14:textId="77777777" w:rsidR="003E1D81" w:rsidRDefault="00EB481C">
            <w:pPr>
              <w:pStyle w:val="P68B1DB1-Normal13"/>
              <w:spacing w:after="0" w:line="240" w:lineRule="auto"/>
              <w:jc w:val="center"/>
              <w:rPr>
                <w:rFonts w:eastAsia="Times New Roman" w:cs="Times New Roman"/>
                <w:noProof/>
              </w:rPr>
            </w:pPr>
            <w:r>
              <w:rPr>
                <w:noProof/>
              </w:rPr>
              <w:t>2024</w:t>
            </w:r>
          </w:p>
        </w:tc>
        <w:tc>
          <w:tcPr>
            <w:tcW w:w="4962" w:type="dxa"/>
            <w:shd w:val="clear" w:color="auto" w:fill="C6EFCE"/>
            <w:noWrap/>
          </w:tcPr>
          <w:p w14:paraId="30F75166" w14:textId="77777777" w:rsidR="003E1D81" w:rsidRDefault="00EB481C">
            <w:pPr>
              <w:pStyle w:val="P68B1DB1-Normal13"/>
              <w:spacing w:after="0" w:line="240" w:lineRule="auto"/>
              <w:rPr>
                <w:rFonts w:eastAsia="Times New Roman" w:cs="Times New Roman"/>
                <w:noProof/>
              </w:rPr>
            </w:pPr>
            <w:r>
              <w:rPr>
                <w:noProof/>
              </w:rPr>
              <w:t xml:space="preserve">Az ország egész területén legalább 1000 kísérő és pályaorientációs egységnek kell működnie a kiszolgáltatott helyzetben lévő diákok számára. </w:t>
            </w:r>
          </w:p>
        </w:tc>
      </w:tr>
      <w:tr w:rsidR="003E1D81" w14:paraId="0F1B7EEB" w14:textId="77777777">
        <w:trPr>
          <w:trHeight w:val="309"/>
        </w:trPr>
        <w:tc>
          <w:tcPr>
            <w:tcW w:w="709" w:type="dxa"/>
            <w:shd w:val="clear" w:color="auto" w:fill="C6EFCE"/>
            <w:noWrap/>
          </w:tcPr>
          <w:p w14:paraId="18A5DEEB" w14:textId="77777777" w:rsidR="003E1D81" w:rsidRDefault="00EB481C">
            <w:pPr>
              <w:pStyle w:val="P68B1DB1-Normal13"/>
              <w:spacing w:after="0" w:line="240" w:lineRule="auto"/>
              <w:jc w:val="center"/>
              <w:rPr>
                <w:rFonts w:eastAsia="Times New Roman" w:cs="Times New Roman"/>
                <w:noProof/>
              </w:rPr>
            </w:pPr>
            <w:r>
              <w:rPr>
                <w:noProof/>
              </w:rPr>
              <w:t>312</w:t>
            </w:r>
          </w:p>
        </w:tc>
        <w:tc>
          <w:tcPr>
            <w:tcW w:w="851" w:type="dxa"/>
            <w:shd w:val="clear" w:color="auto" w:fill="C6EFCE"/>
            <w:noWrap/>
          </w:tcPr>
          <w:p w14:paraId="2E65A454" w14:textId="77777777" w:rsidR="003E1D81" w:rsidRDefault="00EB481C">
            <w:pPr>
              <w:pStyle w:val="P68B1DB1-Normal13"/>
              <w:spacing w:after="0" w:line="240" w:lineRule="auto"/>
              <w:jc w:val="center"/>
              <w:rPr>
                <w:rFonts w:eastAsia="Times New Roman" w:cs="Times New Roman"/>
                <w:noProof/>
              </w:rPr>
            </w:pPr>
            <w:r>
              <w:rPr>
                <w:noProof/>
              </w:rPr>
              <w:t>C21.I4</w:t>
            </w:r>
          </w:p>
        </w:tc>
        <w:tc>
          <w:tcPr>
            <w:tcW w:w="850" w:type="dxa"/>
            <w:shd w:val="clear" w:color="auto" w:fill="C6EFCE"/>
            <w:noWrap/>
          </w:tcPr>
          <w:p w14:paraId="0C5E04E2" w14:textId="77777777" w:rsidR="003E1D81" w:rsidRDefault="00EB481C">
            <w:pPr>
              <w:pStyle w:val="P68B1DB1-Normal13"/>
              <w:spacing w:after="0" w:line="240" w:lineRule="auto"/>
              <w:jc w:val="center"/>
              <w:rPr>
                <w:rFonts w:eastAsia="Times New Roman" w:cs="Times New Roman"/>
                <w:noProof/>
              </w:rPr>
            </w:pPr>
            <w:r>
              <w:rPr>
                <w:noProof/>
              </w:rPr>
              <w:t>T</w:t>
            </w:r>
          </w:p>
        </w:tc>
        <w:tc>
          <w:tcPr>
            <w:tcW w:w="3119" w:type="dxa"/>
            <w:shd w:val="clear" w:color="auto" w:fill="C6EFCE"/>
            <w:noWrap/>
          </w:tcPr>
          <w:p w14:paraId="0DEE07D4" w14:textId="77777777" w:rsidR="003E1D81" w:rsidRDefault="00EB481C">
            <w:pPr>
              <w:pStyle w:val="P68B1DB1-Normal13"/>
              <w:spacing w:after="0" w:line="240" w:lineRule="auto"/>
              <w:rPr>
                <w:rFonts w:eastAsia="Times New Roman" w:cs="Times New Roman"/>
                <w:noProof/>
              </w:rPr>
            </w:pPr>
            <w:r>
              <w:rPr>
                <w:noProof/>
              </w:rPr>
              <w:t xml:space="preserve">Ösztöndíjak és ösztöndíjak posztdoktori hallgatók, egyetemi asszisztensek és kutatók </w:t>
            </w:r>
            <w:r>
              <w:rPr>
                <w:noProof/>
              </w:rPr>
              <w:t>számára</w:t>
            </w:r>
          </w:p>
        </w:tc>
        <w:tc>
          <w:tcPr>
            <w:tcW w:w="1134" w:type="dxa"/>
            <w:shd w:val="clear" w:color="auto" w:fill="C6EFCE"/>
            <w:noWrap/>
          </w:tcPr>
          <w:p w14:paraId="7FAF0C8E" w14:textId="77777777" w:rsidR="003E1D81" w:rsidRDefault="00EB481C">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79819ACB"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09" w:type="dxa"/>
            <w:shd w:val="clear" w:color="auto" w:fill="C6EFCE"/>
            <w:noWrap/>
          </w:tcPr>
          <w:p w14:paraId="7C1C5DA5" w14:textId="77777777" w:rsidR="003E1D81" w:rsidRDefault="00EB481C">
            <w:pPr>
              <w:pStyle w:val="P68B1DB1-Normal13"/>
              <w:spacing w:after="0" w:line="240" w:lineRule="auto"/>
              <w:jc w:val="right"/>
              <w:rPr>
                <w:rFonts w:eastAsia="Times New Roman" w:cs="Times New Roman"/>
                <w:noProof/>
              </w:rPr>
            </w:pPr>
            <w:r>
              <w:rPr>
                <w:noProof/>
              </w:rPr>
              <w:t>0</w:t>
            </w:r>
          </w:p>
        </w:tc>
        <w:tc>
          <w:tcPr>
            <w:tcW w:w="851" w:type="dxa"/>
            <w:shd w:val="clear" w:color="auto" w:fill="C6EFCE"/>
            <w:noWrap/>
          </w:tcPr>
          <w:p w14:paraId="6741858A" w14:textId="77777777" w:rsidR="003E1D81" w:rsidRDefault="00EB481C">
            <w:pPr>
              <w:pStyle w:val="P68B1DB1-Normal13"/>
              <w:spacing w:after="0" w:line="240" w:lineRule="auto"/>
              <w:jc w:val="right"/>
              <w:rPr>
                <w:rFonts w:eastAsia="Times New Roman" w:cs="Times New Roman"/>
                <w:noProof/>
              </w:rPr>
            </w:pPr>
            <w:r>
              <w:rPr>
                <w:noProof/>
              </w:rPr>
              <w:t>2 600</w:t>
            </w:r>
          </w:p>
        </w:tc>
        <w:tc>
          <w:tcPr>
            <w:tcW w:w="567" w:type="dxa"/>
            <w:shd w:val="clear" w:color="auto" w:fill="C6EFCE"/>
            <w:noWrap/>
          </w:tcPr>
          <w:p w14:paraId="57ACF00C"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708" w:type="dxa"/>
            <w:shd w:val="clear" w:color="auto" w:fill="C6EFCE"/>
            <w:noWrap/>
          </w:tcPr>
          <w:p w14:paraId="2081F24C" w14:textId="77777777" w:rsidR="003E1D81" w:rsidRDefault="00EB481C">
            <w:pPr>
              <w:pStyle w:val="P68B1DB1-Normal13"/>
              <w:spacing w:after="0" w:line="240" w:lineRule="auto"/>
              <w:jc w:val="center"/>
              <w:rPr>
                <w:rFonts w:eastAsia="Times New Roman" w:cs="Times New Roman"/>
                <w:noProof/>
              </w:rPr>
            </w:pPr>
            <w:r>
              <w:rPr>
                <w:noProof/>
              </w:rPr>
              <w:t>2023</w:t>
            </w:r>
          </w:p>
        </w:tc>
        <w:tc>
          <w:tcPr>
            <w:tcW w:w="4962" w:type="dxa"/>
            <w:shd w:val="clear" w:color="auto" w:fill="C6EFCE"/>
            <w:noWrap/>
          </w:tcPr>
          <w:p w14:paraId="343923B4" w14:textId="77777777" w:rsidR="003E1D81" w:rsidRDefault="00EB481C">
            <w:pPr>
              <w:pStyle w:val="P68B1DB1-Normal13"/>
              <w:spacing w:after="0" w:line="240" w:lineRule="auto"/>
              <w:rPr>
                <w:rFonts w:eastAsia="Times New Roman" w:cs="Times New Roman"/>
                <w:noProof/>
              </w:rPr>
            </w:pPr>
            <w:r>
              <w:rPr>
                <w:noProof/>
              </w:rPr>
              <w:t>Ösztöndíjak és ösztöndíjak legalább 2600 jelöltnek történő odaítélése posztdoktori hallgatók, tanárasszisztensek és kutatók számára. E támogatások célkitűzései közé tartozik az oktatói személyzet szakmai fejlődésének el</w:t>
            </w:r>
            <w:r>
              <w:rPr>
                <w:noProof/>
              </w:rPr>
              <w:t>őmozdítása, akik a jövőben beépülhetnek a rendszerbe. A ösztöndíjak a rangos külföldi egyetemek és kutatóközpontok, valamint a spanyol egyetemek és más közalkalmazottak által szervezett kutatási célú tartózkodásokat finanszírozzák. E célból a vissza nem té</w:t>
            </w:r>
            <w:r>
              <w:rPr>
                <w:noProof/>
              </w:rPr>
              <w:t>rítendő támogatásoknak hozzá kell járulniuk a nemzetközi tehetségek vonzásához. A támogatásokat három különböző program keretében kell nyújtani, a céltól és a célcsoporttól függően egyedi kritériumok alkalmazásával, és a programtól és a célcsoporttól függő</w:t>
            </w:r>
            <w:r>
              <w:rPr>
                <w:noProof/>
              </w:rPr>
              <w:t>en 1–3 évig tartanak.</w:t>
            </w:r>
          </w:p>
        </w:tc>
      </w:tr>
      <w:tr w:rsidR="003E1D81" w14:paraId="386FE0FC" w14:textId="77777777">
        <w:trPr>
          <w:trHeight w:val="309"/>
        </w:trPr>
        <w:tc>
          <w:tcPr>
            <w:tcW w:w="709" w:type="dxa"/>
            <w:shd w:val="clear" w:color="auto" w:fill="C6EFCE"/>
            <w:noWrap/>
          </w:tcPr>
          <w:p w14:paraId="2CE0BEA3" w14:textId="77777777" w:rsidR="003E1D81" w:rsidRDefault="00EB481C">
            <w:pPr>
              <w:pStyle w:val="P68B1DB1-Normal13"/>
              <w:spacing w:after="0" w:line="240" w:lineRule="auto"/>
              <w:jc w:val="center"/>
              <w:rPr>
                <w:rFonts w:eastAsia="Times New Roman" w:cs="Times New Roman"/>
                <w:noProof/>
              </w:rPr>
            </w:pPr>
            <w:r>
              <w:rPr>
                <w:noProof/>
              </w:rPr>
              <w:t>313</w:t>
            </w:r>
          </w:p>
        </w:tc>
        <w:tc>
          <w:tcPr>
            <w:tcW w:w="851" w:type="dxa"/>
            <w:shd w:val="clear" w:color="auto" w:fill="C6EFCE"/>
            <w:noWrap/>
          </w:tcPr>
          <w:p w14:paraId="44FE2EB5" w14:textId="77777777" w:rsidR="003E1D81" w:rsidRDefault="00EB481C">
            <w:pPr>
              <w:pStyle w:val="P68B1DB1-Normal13"/>
              <w:spacing w:after="0" w:line="240" w:lineRule="auto"/>
              <w:jc w:val="center"/>
              <w:rPr>
                <w:rFonts w:eastAsia="Times New Roman" w:cs="Times New Roman"/>
                <w:noProof/>
              </w:rPr>
            </w:pPr>
            <w:r>
              <w:rPr>
                <w:noProof/>
              </w:rPr>
              <w:t>C21.I5</w:t>
            </w:r>
          </w:p>
        </w:tc>
        <w:tc>
          <w:tcPr>
            <w:tcW w:w="850" w:type="dxa"/>
            <w:shd w:val="clear" w:color="auto" w:fill="C6EFCE"/>
            <w:noWrap/>
          </w:tcPr>
          <w:p w14:paraId="6652B822" w14:textId="77777777" w:rsidR="003E1D81" w:rsidRDefault="00EB481C">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0E6EDD27" w14:textId="77777777" w:rsidR="003E1D81" w:rsidRDefault="00EB481C">
            <w:pPr>
              <w:pStyle w:val="P68B1DB1-Normal13"/>
              <w:spacing w:after="0" w:line="240" w:lineRule="auto"/>
              <w:rPr>
                <w:rFonts w:eastAsia="Times New Roman" w:cs="Times New Roman"/>
                <w:noProof/>
              </w:rPr>
            </w:pPr>
            <w:r>
              <w:rPr>
                <w:noProof/>
              </w:rPr>
              <w:t xml:space="preserve">Az egyetemek digitális indexének növekedése </w:t>
            </w:r>
          </w:p>
        </w:tc>
        <w:tc>
          <w:tcPr>
            <w:tcW w:w="1134" w:type="dxa"/>
            <w:shd w:val="clear" w:color="auto" w:fill="C6EFCE"/>
            <w:noWrap/>
          </w:tcPr>
          <w:p w14:paraId="4E26CAC1" w14:textId="77777777" w:rsidR="003E1D81" w:rsidRDefault="00EB481C">
            <w:pPr>
              <w:pStyle w:val="P68B1DB1-Normal13"/>
              <w:spacing w:after="0" w:line="240" w:lineRule="auto"/>
              <w:jc w:val="center"/>
              <w:rPr>
                <w:rFonts w:eastAsia="Times New Roman" w:cs="Times New Roman"/>
                <w:noProof/>
              </w:rPr>
            </w:pPr>
            <w:r>
              <w:rPr>
                <w:noProof/>
              </w:rPr>
              <w:t>A mutató közzététele az Egyetemek Minisztériumának honlapján</w:t>
            </w:r>
          </w:p>
        </w:tc>
        <w:tc>
          <w:tcPr>
            <w:tcW w:w="850" w:type="dxa"/>
            <w:shd w:val="clear" w:color="auto" w:fill="C6EFCE"/>
            <w:noWrap/>
          </w:tcPr>
          <w:p w14:paraId="413D20AF" w14:textId="77777777" w:rsidR="003E1D81" w:rsidRDefault="00EB481C">
            <w:pPr>
              <w:pStyle w:val="P68B1DB1-Normal13"/>
              <w:spacing w:after="0" w:line="240" w:lineRule="auto"/>
              <w:jc w:val="center"/>
              <w:rPr>
                <w:rFonts w:eastAsia="Times New Roman" w:cs="Times New Roman"/>
                <w:noProof/>
              </w:rPr>
            </w:pPr>
            <w:r>
              <w:rPr>
                <w:noProof/>
              </w:rPr>
              <w:t> </w:t>
            </w:r>
          </w:p>
        </w:tc>
        <w:tc>
          <w:tcPr>
            <w:tcW w:w="709" w:type="dxa"/>
            <w:shd w:val="clear" w:color="auto" w:fill="C6EFCE"/>
            <w:noWrap/>
          </w:tcPr>
          <w:p w14:paraId="611BB9DB" w14:textId="77777777" w:rsidR="003E1D81" w:rsidRDefault="00EB481C">
            <w:pPr>
              <w:pStyle w:val="P68B1DB1-Normal13"/>
              <w:spacing w:after="0" w:line="240" w:lineRule="auto"/>
              <w:jc w:val="right"/>
              <w:rPr>
                <w:rFonts w:eastAsia="Times New Roman" w:cs="Times New Roman"/>
                <w:noProof/>
              </w:rPr>
            </w:pPr>
            <w:r>
              <w:rPr>
                <w:noProof/>
              </w:rPr>
              <w:t> </w:t>
            </w:r>
          </w:p>
        </w:tc>
        <w:tc>
          <w:tcPr>
            <w:tcW w:w="851" w:type="dxa"/>
            <w:shd w:val="clear" w:color="auto" w:fill="C6EFCE"/>
            <w:noWrap/>
          </w:tcPr>
          <w:p w14:paraId="7FB5F00E" w14:textId="77777777" w:rsidR="003E1D81" w:rsidRDefault="00EB481C">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01C73FB4"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708" w:type="dxa"/>
            <w:shd w:val="clear" w:color="auto" w:fill="C6EFCE"/>
            <w:noWrap/>
          </w:tcPr>
          <w:p w14:paraId="53E37E2F" w14:textId="77777777" w:rsidR="003E1D81" w:rsidRDefault="00EB481C">
            <w:pPr>
              <w:pStyle w:val="P68B1DB1-Normal13"/>
              <w:spacing w:after="0" w:line="240" w:lineRule="auto"/>
              <w:jc w:val="center"/>
              <w:rPr>
                <w:rFonts w:eastAsia="Times New Roman" w:cs="Times New Roman"/>
                <w:noProof/>
              </w:rPr>
            </w:pPr>
            <w:r>
              <w:rPr>
                <w:noProof/>
              </w:rPr>
              <w:t>2023</w:t>
            </w:r>
          </w:p>
        </w:tc>
        <w:tc>
          <w:tcPr>
            <w:tcW w:w="4962" w:type="dxa"/>
            <w:shd w:val="clear" w:color="auto" w:fill="C6EFCE"/>
            <w:noWrap/>
          </w:tcPr>
          <w:p w14:paraId="596CA7D8" w14:textId="681E6C41" w:rsidR="003E1D81" w:rsidRDefault="00EB481C">
            <w:pPr>
              <w:pStyle w:val="P68B1DB1-Normal13"/>
              <w:spacing w:after="0" w:line="240" w:lineRule="auto"/>
              <w:rPr>
                <w:rFonts w:eastAsia="Times New Roman" w:cs="Times New Roman"/>
                <w:noProof/>
              </w:rPr>
            </w:pPr>
            <w:r>
              <w:rPr>
                <w:noProof/>
              </w:rPr>
              <w:t xml:space="preserve">Beruházások befejezése i. digitális erőforrásokba, például a digitális berendezések és </w:t>
            </w:r>
            <w:r>
              <w:rPr>
                <w:noProof/>
              </w:rPr>
              <w:t>infrastruktúrák fejlesztésébe; az online tanításhoz szükséges kiberbiztonság és osztálytermi technológiák; a tudományos személyzet és a hallgatók digitális képzése; valamint iv. a digitális szolgáltatási platformokra irányuló beruházások; az egyetemi rends</w:t>
            </w:r>
            <w:r>
              <w:rPr>
                <w:noProof/>
              </w:rPr>
              <w:t>zer egészére vonatkozóan a 2019-es szinthez képest legalább 10%-kal növelni kell a „Digitális indexet az egyetemek számára”, különböző érettségi dimenziókra kiterjedően: Irányítás, innováció és kormányzat. A támogatható projekteket 2020 februárjától kell k</w:t>
            </w:r>
            <w:r>
              <w:rPr>
                <w:noProof/>
              </w:rPr>
              <w:t xml:space="preserve">ezdeményezni. „Az egyetemek digitális indexe” a „Digitális érettségi modell az egyetemek számára” (MD4U) rövidített változata, amely a CRUE-TIC (a spanyol egyetemek kancellárjai konferenciájának informatikai ágazata) által az irányítás, az innováció és az </w:t>
            </w:r>
            <w:r>
              <w:rPr>
                <w:noProof/>
              </w:rPr>
              <w:t>irányítás területén a spanyol egyetemek digitalizálási szintjének jellemzésére használt mutatók keretrendszere. A „Digitális index az egyetemek digitális mutatója” az egyetemek digitális szintjének alakulását nyomon követő „eredménytábla”. A program hatásá</w:t>
            </w:r>
            <w:r>
              <w:rPr>
                <w:noProof/>
              </w:rPr>
              <w:t>nak alapértéke az egyetemi rendszer 2019. évi digitalizálási szintjének értékei, az alapforgatókönyv időpontja 2019. december 31.</w:t>
            </w:r>
          </w:p>
        </w:tc>
      </w:tr>
      <w:tr w:rsidR="003E1D81" w14:paraId="7ABB7475" w14:textId="77777777">
        <w:trPr>
          <w:trHeight w:val="309"/>
        </w:trPr>
        <w:tc>
          <w:tcPr>
            <w:tcW w:w="709" w:type="dxa"/>
            <w:shd w:val="clear" w:color="auto" w:fill="C6EFCE"/>
            <w:noWrap/>
          </w:tcPr>
          <w:p w14:paraId="37170362" w14:textId="0BAB28C8" w:rsidR="003E1D81" w:rsidRDefault="00EB481C">
            <w:pPr>
              <w:pStyle w:val="P68B1DB1-Normal13"/>
              <w:spacing w:after="0" w:line="240" w:lineRule="auto"/>
              <w:jc w:val="center"/>
              <w:rPr>
                <w:rFonts w:cs="Times New Roman"/>
                <w:noProof/>
              </w:rPr>
            </w:pPr>
            <w:r>
              <w:rPr>
                <w:noProof/>
              </w:rPr>
              <w:t>468</w:t>
            </w:r>
          </w:p>
        </w:tc>
        <w:tc>
          <w:tcPr>
            <w:tcW w:w="851" w:type="dxa"/>
            <w:shd w:val="clear" w:color="auto" w:fill="C6EFCE"/>
            <w:noWrap/>
          </w:tcPr>
          <w:p w14:paraId="08E9864B" w14:textId="77777777" w:rsidR="003E1D81" w:rsidRDefault="00EB481C">
            <w:pPr>
              <w:pStyle w:val="P68B1DB1-Normal13"/>
              <w:spacing w:after="0" w:line="240" w:lineRule="auto"/>
              <w:jc w:val="center"/>
              <w:rPr>
                <w:rFonts w:cs="Times New Roman"/>
                <w:noProof/>
              </w:rPr>
            </w:pPr>
            <w:r>
              <w:rPr>
                <w:noProof/>
              </w:rPr>
              <w:t>C21.I6</w:t>
            </w:r>
          </w:p>
        </w:tc>
        <w:tc>
          <w:tcPr>
            <w:tcW w:w="850" w:type="dxa"/>
            <w:shd w:val="clear" w:color="auto" w:fill="C6EFCE"/>
            <w:noWrap/>
          </w:tcPr>
          <w:p w14:paraId="01D1ADDD" w14:textId="77777777" w:rsidR="003E1D81" w:rsidRDefault="00EB481C">
            <w:pPr>
              <w:pStyle w:val="P68B1DB1-Normal13"/>
              <w:spacing w:after="0" w:line="240" w:lineRule="auto"/>
              <w:jc w:val="center"/>
              <w:rPr>
                <w:rFonts w:cs="Times New Roman"/>
                <w:noProof/>
              </w:rPr>
            </w:pPr>
            <w:r>
              <w:rPr>
                <w:noProof/>
              </w:rPr>
              <w:t>M</w:t>
            </w:r>
          </w:p>
        </w:tc>
        <w:tc>
          <w:tcPr>
            <w:tcW w:w="3119" w:type="dxa"/>
            <w:shd w:val="clear" w:color="auto" w:fill="C6EFCE"/>
            <w:noWrap/>
          </w:tcPr>
          <w:p w14:paraId="640796C1" w14:textId="77777777" w:rsidR="003E1D81" w:rsidRDefault="00EB481C">
            <w:pPr>
              <w:pStyle w:val="P68B1DB1-Normal13"/>
              <w:spacing w:after="0" w:line="240" w:lineRule="auto"/>
              <w:rPr>
                <w:rFonts w:cs="Times New Roman"/>
                <w:noProof/>
              </w:rPr>
            </w:pPr>
            <w:r>
              <w:rPr>
                <w:noProof/>
              </w:rPr>
              <w:t>Az egyetemi mikrotanúsítványok fejlesztésére vonatkozó cselekvési terv elfogadása</w:t>
            </w:r>
          </w:p>
        </w:tc>
        <w:tc>
          <w:tcPr>
            <w:tcW w:w="1134" w:type="dxa"/>
            <w:shd w:val="clear" w:color="auto" w:fill="C6EFCE"/>
            <w:noWrap/>
          </w:tcPr>
          <w:p w14:paraId="122F4F0C" w14:textId="77777777" w:rsidR="003E1D81" w:rsidRDefault="00EB481C">
            <w:pPr>
              <w:pStyle w:val="P68B1DB1-Normal13"/>
              <w:spacing w:after="0" w:line="240" w:lineRule="auto"/>
              <w:jc w:val="center"/>
              <w:rPr>
                <w:rFonts w:cs="Times New Roman"/>
                <w:noProof/>
              </w:rPr>
            </w:pPr>
            <w:r>
              <w:rPr>
                <w:noProof/>
              </w:rPr>
              <w:t xml:space="preserve">Közzététel az Egyetemi </w:t>
            </w:r>
            <w:r>
              <w:rPr>
                <w:noProof/>
              </w:rPr>
              <w:t>Minisztérium honlapján</w:t>
            </w:r>
          </w:p>
        </w:tc>
        <w:tc>
          <w:tcPr>
            <w:tcW w:w="850" w:type="dxa"/>
            <w:shd w:val="clear" w:color="auto" w:fill="C6EFCE"/>
            <w:noWrap/>
          </w:tcPr>
          <w:p w14:paraId="3BF83D2D" w14:textId="77777777" w:rsidR="003E1D81" w:rsidRDefault="003E1D81">
            <w:pPr>
              <w:spacing w:after="0" w:line="240" w:lineRule="auto"/>
              <w:jc w:val="center"/>
              <w:rPr>
                <w:rFonts w:ascii="Times New Roman" w:hAnsi="Times New Roman" w:cs="Times New Roman"/>
                <w:noProof/>
                <w:sz w:val="18"/>
              </w:rPr>
            </w:pPr>
          </w:p>
        </w:tc>
        <w:tc>
          <w:tcPr>
            <w:tcW w:w="709" w:type="dxa"/>
            <w:shd w:val="clear" w:color="auto" w:fill="C6EFCE"/>
            <w:noWrap/>
          </w:tcPr>
          <w:p w14:paraId="3D4FBB91" w14:textId="77777777" w:rsidR="003E1D81" w:rsidRDefault="003E1D81">
            <w:pPr>
              <w:spacing w:after="0" w:line="240" w:lineRule="auto"/>
              <w:jc w:val="right"/>
              <w:rPr>
                <w:rFonts w:ascii="Times New Roman" w:hAnsi="Times New Roman" w:cs="Times New Roman"/>
                <w:noProof/>
                <w:sz w:val="18"/>
              </w:rPr>
            </w:pPr>
          </w:p>
        </w:tc>
        <w:tc>
          <w:tcPr>
            <w:tcW w:w="851" w:type="dxa"/>
            <w:shd w:val="clear" w:color="auto" w:fill="C6EFCE"/>
            <w:noWrap/>
          </w:tcPr>
          <w:p w14:paraId="36DB89CF" w14:textId="77777777" w:rsidR="003E1D81" w:rsidRDefault="003E1D81">
            <w:pPr>
              <w:spacing w:after="0" w:line="240" w:lineRule="auto"/>
              <w:jc w:val="right"/>
              <w:rPr>
                <w:rFonts w:ascii="Times New Roman" w:hAnsi="Times New Roman" w:cs="Times New Roman"/>
                <w:noProof/>
                <w:sz w:val="18"/>
              </w:rPr>
            </w:pPr>
          </w:p>
        </w:tc>
        <w:tc>
          <w:tcPr>
            <w:tcW w:w="567" w:type="dxa"/>
            <w:shd w:val="clear" w:color="auto" w:fill="C6EFCE"/>
            <w:noWrap/>
          </w:tcPr>
          <w:p w14:paraId="1F42A5C4" w14:textId="77777777" w:rsidR="003E1D81" w:rsidRDefault="00EB481C">
            <w:pPr>
              <w:pStyle w:val="P68B1DB1-Normal13"/>
              <w:spacing w:after="0" w:line="240" w:lineRule="auto"/>
              <w:jc w:val="center"/>
              <w:rPr>
                <w:rFonts w:cs="Times New Roman"/>
                <w:noProof/>
              </w:rPr>
            </w:pPr>
            <w:r>
              <w:rPr>
                <w:noProof/>
              </w:rPr>
              <w:t>KÉRDÉS</w:t>
            </w:r>
          </w:p>
        </w:tc>
        <w:tc>
          <w:tcPr>
            <w:tcW w:w="708" w:type="dxa"/>
            <w:shd w:val="clear" w:color="auto" w:fill="C6EFCE"/>
            <w:noWrap/>
          </w:tcPr>
          <w:p w14:paraId="5ADE0254" w14:textId="77777777" w:rsidR="003E1D81" w:rsidRDefault="00EB481C">
            <w:pPr>
              <w:pStyle w:val="P68B1DB1-Normal13"/>
              <w:spacing w:after="0" w:line="240" w:lineRule="auto"/>
              <w:jc w:val="center"/>
              <w:rPr>
                <w:rFonts w:cs="Times New Roman"/>
                <w:noProof/>
              </w:rPr>
            </w:pPr>
            <w:r>
              <w:rPr>
                <w:noProof/>
              </w:rPr>
              <w:t>2023</w:t>
            </w:r>
          </w:p>
        </w:tc>
        <w:tc>
          <w:tcPr>
            <w:tcW w:w="4962" w:type="dxa"/>
            <w:shd w:val="clear" w:color="auto" w:fill="C6EFCE"/>
            <w:noWrap/>
          </w:tcPr>
          <w:p w14:paraId="120C3E37" w14:textId="77777777" w:rsidR="003E1D81" w:rsidRDefault="00EB481C">
            <w:pPr>
              <w:pStyle w:val="P68B1DB1-Normal13"/>
              <w:spacing w:after="0" w:line="240" w:lineRule="auto"/>
              <w:rPr>
                <w:rFonts w:cs="Times New Roman"/>
                <w:noProof/>
              </w:rPr>
            </w:pPr>
            <w:r>
              <w:rPr>
                <w:noProof/>
              </w:rPr>
              <w:t>Az egyetemek minisztériuma által az érdekelt felekkel folytatott konzultációt követően kidolgozott, a mikrotanúsítványok fejlesztésére vonatkozó keret létrehozására irányuló cselekvési terv elfogadása. A tervnek ki kel</w:t>
            </w:r>
            <w:r>
              <w:rPr>
                <w:noProof/>
              </w:rPr>
              <w:t>l terjednie i. az egyetemek egész életen át tartó tanulást biztosító intézményekké történő átalakítására irányuló intézkedésekre; a felnőttek és munkáltatóik keresletének ösztönzése; a mikrotanúsítványok minőségének és relevanciájának előmozdítása; a hozzá</w:t>
            </w:r>
            <w:r>
              <w:rPr>
                <w:noProof/>
              </w:rPr>
              <w:t>férés méltányosságának támogatása; valamint v. személyre szabott és rugalmas képzési útvonalak kialakítása.</w:t>
            </w:r>
          </w:p>
        </w:tc>
      </w:tr>
      <w:tr w:rsidR="003E1D81" w14:paraId="14D987CC" w14:textId="77777777">
        <w:trPr>
          <w:trHeight w:val="309"/>
        </w:trPr>
        <w:tc>
          <w:tcPr>
            <w:tcW w:w="709" w:type="dxa"/>
            <w:shd w:val="clear" w:color="auto" w:fill="C6EFCE"/>
            <w:noWrap/>
          </w:tcPr>
          <w:p w14:paraId="046F9A5A" w14:textId="15ABE94F" w:rsidR="003E1D81" w:rsidRDefault="00EB481C">
            <w:pPr>
              <w:pStyle w:val="P68B1DB1-Normal13"/>
              <w:spacing w:after="0" w:line="240" w:lineRule="auto"/>
              <w:jc w:val="center"/>
              <w:rPr>
                <w:rFonts w:cs="Times New Roman"/>
                <w:noProof/>
              </w:rPr>
            </w:pPr>
            <w:r>
              <w:rPr>
                <w:noProof/>
              </w:rPr>
              <w:t>469</w:t>
            </w:r>
          </w:p>
        </w:tc>
        <w:tc>
          <w:tcPr>
            <w:tcW w:w="851" w:type="dxa"/>
            <w:shd w:val="clear" w:color="auto" w:fill="C6EFCE"/>
            <w:noWrap/>
          </w:tcPr>
          <w:p w14:paraId="48812D43" w14:textId="77777777" w:rsidR="003E1D81" w:rsidRDefault="00EB481C">
            <w:pPr>
              <w:pStyle w:val="P68B1DB1-Normal13"/>
              <w:spacing w:after="0" w:line="240" w:lineRule="auto"/>
              <w:jc w:val="center"/>
              <w:rPr>
                <w:rFonts w:cs="Times New Roman"/>
                <w:noProof/>
              </w:rPr>
            </w:pPr>
            <w:r>
              <w:rPr>
                <w:noProof/>
              </w:rPr>
              <w:t>C21.I6</w:t>
            </w:r>
          </w:p>
        </w:tc>
        <w:tc>
          <w:tcPr>
            <w:tcW w:w="850" w:type="dxa"/>
            <w:shd w:val="clear" w:color="auto" w:fill="C6EFCE"/>
            <w:noWrap/>
          </w:tcPr>
          <w:p w14:paraId="1EB23085" w14:textId="77777777" w:rsidR="003E1D81" w:rsidRDefault="00EB481C">
            <w:pPr>
              <w:pStyle w:val="P68B1DB1-Normal13"/>
              <w:spacing w:after="0" w:line="240" w:lineRule="auto"/>
              <w:jc w:val="center"/>
              <w:rPr>
                <w:rFonts w:cs="Times New Roman"/>
                <w:noProof/>
              </w:rPr>
            </w:pPr>
            <w:r>
              <w:rPr>
                <w:noProof/>
              </w:rPr>
              <w:t>T</w:t>
            </w:r>
          </w:p>
        </w:tc>
        <w:tc>
          <w:tcPr>
            <w:tcW w:w="3119" w:type="dxa"/>
            <w:shd w:val="clear" w:color="auto" w:fill="C6EFCE"/>
            <w:noWrap/>
          </w:tcPr>
          <w:p w14:paraId="34FC153D" w14:textId="77777777" w:rsidR="003E1D81" w:rsidRDefault="00EB481C">
            <w:pPr>
              <w:pStyle w:val="P68B1DB1-Normal13"/>
              <w:spacing w:after="0" w:line="240" w:lineRule="auto"/>
              <w:rPr>
                <w:rFonts w:cs="Times New Roman"/>
                <w:noProof/>
              </w:rPr>
            </w:pPr>
            <w:r>
              <w:rPr>
                <w:noProof/>
              </w:rPr>
              <w:t>Felnőtteknek kiállított egyetemi mikrotanúsítványok</w:t>
            </w:r>
          </w:p>
        </w:tc>
        <w:tc>
          <w:tcPr>
            <w:tcW w:w="1134" w:type="dxa"/>
            <w:shd w:val="clear" w:color="auto" w:fill="C6EFCE"/>
            <w:noWrap/>
          </w:tcPr>
          <w:p w14:paraId="45C7A478"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16FD6B3C" w14:textId="77777777" w:rsidR="003E1D81" w:rsidRDefault="00EB481C">
            <w:pPr>
              <w:pStyle w:val="P68B1DB1-Normal13"/>
              <w:spacing w:after="0" w:line="240" w:lineRule="auto"/>
              <w:jc w:val="center"/>
              <w:rPr>
                <w:rFonts w:cs="Times New Roman"/>
                <w:noProof/>
              </w:rPr>
            </w:pPr>
            <w:r>
              <w:rPr>
                <w:noProof/>
              </w:rPr>
              <w:t>Szám</w:t>
            </w:r>
          </w:p>
        </w:tc>
        <w:tc>
          <w:tcPr>
            <w:tcW w:w="709" w:type="dxa"/>
            <w:shd w:val="clear" w:color="auto" w:fill="C6EFCE"/>
            <w:noWrap/>
          </w:tcPr>
          <w:p w14:paraId="130795E5" w14:textId="77777777" w:rsidR="003E1D81" w:rsidRDefault="00EB481C">
            <w:pPr>
              <w:pStyle w:val="P68B1DB1-Normal13"/>
              <w:spacing w:after="0" w:line="240" w:lineRule="auto"/>
              <w:jc w:val="right"/>
              <w:rPr>
                <w:rFonts w:cs="Times New Roman"/>
                <w:noProof/>
              </w:rPr>
            </w:pPr>
            <w:r>
              <w:rPr>
                <w:noProof/>
              </w:rPr>
              <w:t>0</w:t>
            </w:r>
          </w:p>
        </w:tc>
        <w:tc>
          <w:tcPr>
            <w:tcW w:w="851" w:type="dxa"/>
            <w:shd w:val="clear" w:color="auto" w:fill="C6EFCE"/>
            <w:noWrap/>
          </w:tcPr>
          <w:p w14:paraId="250E3567" w14:textId="77777777" w:rsidR="003E1D81" w:rsidRDefault="00EB481C">
            <w:pPr>
              <w:pStyle w:val="P68B1DB1-Normal13"/>
              <w:spacing w:after="0" w:line="240" w:lineRule="auto"/>
              <w:jc w:val="right"/>
              <w:rPr>
                <w:rFonts w:cs="Times New Roman"/>
                <w:noProof/>
              </w:rPr>
            </w:pPr>
            <w:r>
              <w:rPr>
                <w:noProof/>
              </w:rPr>
              <w:t>60.000</w:t>
            </w:r>
          </w:p>
        </w:tc>
        <w:tc>
          <w:tcPr>
            <w:tcW w:w="567" w:type="dxa"/>
            <w:shd w:val="clear" w:color="auto" w:fill="C6EFCE"/>
            <w:noWrap/>
          </w:tcPr>
          <w:p w14:paraId="2D2387A3" w14:textId="77777777" w:rsidR="003E1D81" w:rsidRDefault="00EB481C">
            <w:pPr>
              <w:pStyle w:val="P68B1DB1-Normal13"/>
              <w:spacing w:after="0" w:line="240" w:lineRule="auto"/>
              <w:jc w:val="center"/>
              <w:rPr>
                <w:rFonts w:cs="Times New Roman"/>
                <w:noProof/>
              </w:rPr>
            </w:pPr>
            <w:r>
              <w:rPr>
                <w:noProof/>
              </w:rPr>
              <w:t>KÉRDÉS</w:t>
            </w:r>
          </w:p>
        </w:tc>
        <w:tc>
          <w:tcPr>
            <w:tcW w:w="708" w:type="dxa"/>
            <w:shd w:val="clear" w:color="auto" w:fill="C6EFCE"/>
            <w:noWrap/>
          </w:tcPr>
          <w:p w14:paraId="47173C2D" w14:textId="0C63013D" w:rsidR="003E1D81" w:rsidRDefault="00EB481C">
            <w:pPr>
              <w:pStyle w:val="P68B1DB1-Normal13"/>
              <w:spacing w:after="0" w:line="240" w:lineRule="auto"/>
              <w:jc w:val="center"/>
              <w:rPr>
                <w:rFonts w:cs="Times New Roman"/>
                <w:noProof/>
              </w:rPr>
            </w:pPr>
            <w:r>
              <w:rPr>
                <w:noProof/>
              </w:rPr>
              <w:t>2026</w:t>
            </w:r>
          </w:p>
        </w:tc>
        <w:tc>
          <w:tcPr>
            <w:tcW w:w="4962" w:type="dxa"/>
            <w:shd w:val="clear" w:color="auto" w:fill="C6EFCE"/>
            <w:noWrap/>
          </w:tcPr>
          <w:p w14:paraId="616C5A85" w14:textId="77777777" w:rsidR="003E1D81" w:rsidRDefault="00EB481C">
            <w:pPr>
              <w:pStyle w:val="P68B1DB1-Normal8"/>
              <w:spacing w:after="0" w:line="240" w:lineRule="auto"/>
              <w:rPr>
                <w:rFonts w:cs="Times New Roman"/>
                <w:noProof/>
                <w:sz w:val="18"/>
              </w:rPr>
            </w:pPr>
            <w:r>
              <w:rPr>
                <w:noProof/>
                <w:sz w:val="18"/>
              </w:rPr>
              <w:t xml:space="preserve">Legalább 60000 egységnyi, 15 ECTS-nél rövidebb és </w:t>
            </w:r>
            <w:r>
              <w:rPr>
                <w:noProof/>
                <w:sz w:val="18"/>
              </w:rPr>
              <w:t>legalább 1000 különböző képzési tevékenységnek megfelelő mikrotanúsítvány biztosítása, beleértve azt a lehetőséget is, hogy ugyanazon felnőtt számára egynél több egységet biztosítsanak. A képzési tevékenységeknek a munkaerőpiacon keresett speciális ismeret</w:t>
            </w:r>
            <w:r>
              <w:rPr>
                <w:noProof/>
                <w:sz w:val="18"/>
              </w:rPr>
              <w:t>eket és készségeket kell biztosítaniuk.</w:t>
            </w:r>
            <w:r>
              <w:rPr>
                <w:noProof/>
              </w:rPr>
              <w:t xml:space="preserve"> </w:t>
            </w:r>
            <w:r>
              <w:rPr>
                <w:noProof/>
                <w:sz w:val="18"/>
              </w:rPr>
              <w:t>Az intézkedés magában foglalja azt is, hogy 2025. december 31-ig értékelő jelentést tesznek közzé a mikrotanúsítványok biztosításáról az Egyetemek Minisztériumának honlapján.</w:t>
            </w:r>
          </w:p>
        </w:tc>
      </w:tr>
    </w:tbl>
    <w:p w14:paraId="783B4AAA" w14:textId="77777777" w:rsidR="003E1D81" w:rsidRDefault="003E1D81">
      <w:pPr>
        <w:spacing w:before="120" w:after="120" w:line="240" w:lineRule="auto"/>
        <w:jc w:val="both"/>
        <w:rPr>
          <w:rFonts w:ascii="Times New Roman" w:hAnsi="Times New Roman" w:cs="Times New Roman"/>
          <w:noProof/>
          <w:sz w:val="24"/>
          <w:highlight w:val="yellow"/>
          <w:u w:val="single"/>
        </w:rPr>
      </w:pPr>
    </w:p>
    <w:p w14:paraId="15AC4662" w14:textId="77777777" w:rsidR="003E1D81" w:rsidRDefault="003E1D81">
      <w:pPr>
        <w:spacing w:before="120" w:after="120" w:line="240" w:lineRule="auto"/>
        <w:ind w:left="709"/>
        <w:jc w:val="both"/>
        <w:rPr>
          <w:rFonts w:ascii="Times New Roman" w:hAnsi="Times New Roman" w:cs="Times New Roman"/>
          <w:noProof/>
          <w:sz w:val="24"/>
        </w:rPr>
        <w:sectPr w:rsidR="003E1D81" w:rsidSect="00C94F66">
          <w:headerReference w:type="even" r:id="rId417"/>
          <w:headerReference w:type="default" r:id="rId418"/>
          <w:footerReference w:type="even" r:id="rId419"/>
          <w:footerReference w:type="default" r:id="rId420"/>
          <w:headerReference w:type="first" r:id="rId421"/>
          <w:footerReference w:type="first" r:id="rId422"/>
          <w:pgSz w:w="16839" w:h="11907" w:orient="landscape"/>
          <w:pgMar w:top="1417" w:right="1134" w:bottom="1417" w:left="1134" w:header="709" w:footer="709" w:gutter="0"/>
          <w:cols w:space="720"/>
          <w:docGrid w:linePitch="360"/>
        </w:sectPr>
      </w:pPr>
    </w:p>
    <w:p w14:paraId="0D14E35D" w14:textId="77777777" w:rsidR="003E1D81" w:rsidRDefault="00EB481C">
      <w:pPr>
        <w:pStyle w:val="P68B1DB1-Heading12"/>
        <w:rPr>
          <w:rFonts w:cs="Times New Roman"/>
          <w:noProof/>
        </w:rPr>
      </w:pPr>
      <w:r>
        <w:rPr>
          <w:noProof/>
        </w:rPr>
        <w:t>V. 22. ÖSSZETEVŐ: A gondozási gazdaságra vonatkozó cselekvési terv, az esélyegyenlőségi és befogadási politikák megerősítése</w:t>
      </w:r>
    </w:p>
    <w:p w14:paraId="75631E61" w14:textId="77777777" w:rsidR="003E1D81" w:rsidRDefault="00EB481C">
      <w:pPr>
        <w:pStyle w:val="P68B1DB1-Normal4"/>
        <w:spacing w:before="120" w:after="0" w:line="240" w:lineRule="auto"/>
        <w:jc w:val="both"/>
        <w:textAlignment w:val="baseline"/>
        <w:rPr>
          <w:rFonts w:eastAsia="Times New Roman" w:cs="Times New Roman"/>
          <w:noProof/>
        </w:rPr>
      </w:pPr>
      <w:r>
        <w:rPr>
          <w:noProof/>
        </w:rPr>
        <w:t>A spanyol helyreállítási és rezilienciaépítési terv ezen komponensének fő célkitűzése a szociális szolgál</w:t>
      </w:r>
      <w:r>
        <w:rPr>
          <w:noProof/>
        </w:rPr>
        <w:t>tatások és a társadalmi befogadásra vonatkozó szakpolitikák korszerűsítése és megerősítése. Különös hangsúlyt fektet a tartós ápolási-gondozási modellre azzal a céllal, hogy választ adjon a népesség elöregedése miatt a tartós ápolási-gondozási szolgáltatás</w:t>
      </w:r>
      <w:r>
        <w:rPr>
          <w:noProof/>
        </w:rPr>
        <w:t xml:space="preserve">ok iránti növekvő keresletre, előmozdítva az innovációt és az intézményesítettség csökkentésére irányuló stratégiára összpontosító, emberközpontú gondozási modellt. </w:t>
      </w:r>
    </w:p>
    <w:p w14:paraId="769166E5" w14:textId="77777777" w:rsidR="003E1D81" w:rsidRDefault="00EB481C">
      <w:pPr>
        <w:pStyle w:val="P68B1DB1-Normal8"/>
        <w:spacing w:before="120" w:after="0" w:line="240" w:lineRule="auto"/>
        <w:jc w:val="both"/>
        <w:rPr>
          <w:rFonts w:eastAsia="Times New Roman" w:cs="Times New Roman"/>
          <w:noProof/>
          <w:sz w:val="24"/>
        </w:rPr>
      </w:pPr>
      <w:r>
        <w:rPr>
          <w:noProof/>
          <w:sz w:val="24"/>
        </w:rPr>
        <w:t xml:space="preserve">Az egyéb szociális szolgáltatások és a társadalmi befogadás területén a célkitűzések közé </w:t>
      </w:r>
      <w:r>
        <w:rPr>
          <w:noProof/>
          <w:sz w:val="24"/>
        </w:rPr>
        <w:t>tartozik a szociális szolgáltatások modernizálása és megerősítése az innováció és az új technológiák előmozdítása révén annak érdekében, hogy az ország egész területén biztosítsák a szolgáltatásokat, jobban azonosítsák a szükségleteket és javítsák minőségü</w:t>
      </w:r>
      <w:r>
        <w:rPr>
          <w:noProof/>
          <w:sz w:val="24"/>
        </w:rPr>
        <w:t>ket. A családoknak nyújtott támogatás területén az intézkedések célja a családok jogi védelmének és anyagi (készpénzben és természetben történő) támogatásának javítása a gyermekszegénység csökkentése érdekében.  A komponens másik célja az egyéb, nem járulé</w:t>
      </w:r>
      <w:r>
        <w:rPr>
          <w:noProof/>
          <w:sz w:val="24"/>
        </w:rPr>
        <w:t>kalapú szociális ellátások korszerűsítése védelmi és aktiválási szerepük javítása érdekében.</w:t>
      </w:r>
      <w:r>
        <w:rPr>
          <w:noProof/>
        </w:rPr>
        <w:t xml:space="preserve"> </w:t>
      </w:r>
      <w:r>
        <w:rPr>
          <w:noProof/>
          <w:sz w:val="24"/>
        </w:rPr>
        <w:t>A konkrét célzott intézkedések célja a nemi alapú erőszak áldozatainak támogatása, a közszolgáltatásokhoz való hozzáférés előmozdítása, valamint a nemzetközi védel</w:t>
      </w:r>
      <w:r>
        <w:rPr>
          <w:noProof/>
          <w:sz w:val="24"/>
        </w:rPr>
        <w:t>met kérelmezők befogadási rendszere kapacitásának javítása.</w:t>
      </w:r>
    </w:p>
    <w:p w14:paraId="4325628A" w14:textId="77777777" w:rsidR="003E1D81" w:rsidRDefault="00EB481C">
      <w:pPr>
        <w:pStyle w:val="P68B1DB1-Normal4"/>
        <w:spacing w:before="120" w:after="120" w:line="240" w:lineRule="auto"/>
        <w:jc w:val="both"/>
        <w:rPr>
          <w:rFonts w:cs="Times New Roman"/>
          <w:noProof/>
        </w:rPr>
      </w:pPr>
      <w:r>
        <w:rPr>
          <w:noProof/>
        </w:rPr>
        <w:t>A komponens hozzájárul az annak biztosításához kapcsolódó országspecifikus ajánlások megvalósításához, hogy a foglalkoztatási és szociális szolgáltatások képesek legyenek hatékony támogatást nyújt</w:t>
      </w:r>
      <w:r>
        <w:rPr>
          <w:noProof/>
        </w:rPr>
        <w:t>ani (2019. évi 2. országspecifikus ajánlás); a családok támogatásának javítása (2019. évi 2. országspecifikus ajánlás); a nemzeti munkanélküliségi támogatási rendszer széttagoltságának csökkentése és a regionális minimáljövedelem-rendszerek lefedettségének</w:t>
      </w:r>
      <w:r>
        <w:rPr>
          <w:noProof/>
        </w:rPr>
        <w:t xml:space="preserve"> hiányosságainak kezelése (2019. évi 2. országspecifikus ajánlás); valamint a minimáljövedelem- és családtámogatási rendszerek alkalmazási körének és megfelelőségének javítása (2020. évi 2. országspecifikus ajánlás).</w:t>
      </w:r>
    </w:p>
    <w:p w14:paraId="0C423203" w14:textId="77777777" w:rsidR="003E1D81" w:rsidRDefault="00EB481C">
      <w:pPr>
        <w:pStyle w:val="P68B1DB1-Normal4"/>
        <w:spacing w:before="120" w:after="120" w:line="240" w:lineRule="auto"/>
        <w:jc w:val="both"/>
        <w:rPr>
          <w:rFonts w:cs="Times New Roman"/>
          <w:noProof/>
        </w:rPr>
      </w:pPr>
      <w:r>
        <w:rPr>
          <w:noProof/>
        </w:rPr>
        <w:t xml:space="preserve">A jelentős károkozás elkerülését célzó </w:t>
      </w:r>
      <w:r>
        <w:rPr>
          <w:noProof/>
        </w:rPr>
        <w:t>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w:t>
      </w:r>
      <w:r>
        <w:rPr>
          <w:noProof/>
        </w:rPr>
        <w:t>mponensben várhatóan egyetlen intézkedés sem sérti jelentős mértékben az (EU) 2020/852 rendelet 17. cikke szerinti környezeti célkitűzéseket.</w:t>
      </w:r>
    </w:p>
    <w:p w14:paraId="62854374" w14:textId="77777777" w:rsidR="003E1D81" w:rsidRDefault="00EB481C">
      <w:pPr>
        <w:pStyle w:val="P68B1DB1-Normal5"/>
        <w:spacing w:before="120" w:after="120" w:line="240" w:lineRule="auto"/>
        <w:ind w:left="709"/>
        <w:jc w:val="both"/>
        <w:rPr>
          <w:rFonts w:cs="Times New Roman"/>
          <w:i/>
          <w:noProof/>
        </w:rPr>
      </w:pPr>
      <w:r>
        <w:rPr>
          <w:noProof/>
        </w:rPr>
        <w:t xml:space="preserve">V.1. </w:t>
      </w:r>
      <w:r>
        <w:rPr>
          <w:noProof/>
        </w:rPr>
        <w:tab/>
        <w:t>Vissza nem térítendő pénzügyi támogatás – a reformok és beruházások ismertetése</w:t>
      </w:r>
    </w:p>
    <w:p w14:paraId="2D7992FB" w14:textId="77777777" w:rsidR="003E1D81" w:rsidRDefault="00EB481C">
      <w:pPr>
        <w:pStyle w:val="P68B1DB1-Normal6"/>
        <w:spacing w:before="120" w:after="120" w:line="240" w:lineRule="auto"/>
        <w:jc w:val="both"/>
        <w:rPr>
          <w:rFonts w:cs="Times New Roman"/>
          <w:noProof/>
        </w:rPr>
      </w:pPr>
      <w:r>
        <w:rPr>
          <w:noProof/>
          <w:shd w:val="clear" w:color="auto" w:fill="FFFFFF"/>
        </w:rPr>
        <w:t>Reform (C22.R1) – A</w:t>
      </w:r>
      <w:r>
        <w:rPr>
          <w:noProof/>
        </w:rPr>
        <w:t xml:space="preserve"> tartós á</w:t>
      </w:r>
      <w:r>
        <w:rPr>
          <w:noProof/>
        </w:rPr>
        <w:t>polás-gondozás megerősítése, valamint a támogatási és tartós ápolás-gondozási modell megváltoztatásának előmozdítása</w:t>
      </w:r>
    </w:p>
    <w:p w14:paraId="2C0878DB" w14:textId="77777777" w:rsidR="003E1D81" w:rsidRDefault="00EB481C">
      <w:pPr>
        <w:pStyle w:val="P68B1DB1-Normal4"/>
        <w:spacing w:before="120" w:after="120" w:line="240" w:lineRule="auto"/>
        <w:jc w:val="both"/>
        <w:rPr>
          <w:rFonts w:cs="Times New Roman"/>
          <w:noProof/>
        </w:rPr>
      </w:pPr>
      <w:r>
        <w:rPr>
          <w:noProof/>
        </w:rPr>
        <w:t>A reform célja egy emberközpontú és jogokon alapuló támogatási modell. Az autonóm és függő ellátás rendszere (SAAD) várhatóan javulni fog o</w:t>
      </w:r>
      <w:r>
        <w:rPr>
          <w:noProof/>
        </w:rPr>
        <w:t>lyan reformok bevezetésével, amelyek egyszerűsítik az adminisztratív eljárásokat, felgyorsítják a kérelmek feldolgozását és csökkentik azon eltartottak várólistáit, akik nem veszik igénybe az őket megillető szolgáltatásokat, valamint csökkentik a területen</w:t>
      </w:r>
      <w:r>
        <w:rPr>
          <w:noProof/>
        </w:rPr>
        <w:t xml:space="preserve"> belüli különbségeket. Emellett a szakmai szolgáltatások minőségének javítására, a munkakörülmények javítására és a különböző típusú pénzügyi juttatások lefedettségének növelésére is összpontosít. Középtávon a reform az intézményesítettség csökkentésére ir</w:t>
      </w:r>
      <w:r>
        <w:rPr>
          <w:noProof/>
        </w:rPr>
        <w:t xml:space="preserve">ányuló nemzeti stratégia végrehajtására összpontosít, amely modell a közösségi gondozásra irányul, és kielégíti a támogatásra szorulók igényeit és preferenciáit, miközben biztosítja a költséghatékonyságot és támogatja az őket gondozó családokat. </w:t>
      </w:r>
    </w:p>
    <w:p w14:paraId="5C1142F2" w14:textId="77777777" w:rsidR="003E1D81" w:rsidRDefault="00EB481C">
      <w:pPr>
        <w:pStyle w:val="P68B1DB1-Normal4"/>
        <w:spacing w:before="120" w:after="120" w:line="240" w:lineRule="auto"/>
        <w:jc w:val="both"/>
        <w:rPr>
          <w:rFonts w:cs="Times New Roman"/>
          <w:noProof/>
        </w:rPr>
      </w:pPr>
      <w:r>
        <w:rPr>
          <w:noProof/>
        </w:rPr>
        <w:t xml:space="preserve">A tartós </w:t>
      </w:r>
      <w:r>
        <w:rPr>
          <w:noProof/>
        </w:rPr>
        <w:t>ápolás-gondozás reformjának alapját a SAAD 2021 folyamán végzett értékelése képezi annak érdekében, hogy mélyreható képet kapjunk a 2020-ban megkezdett tartós ápolási-gondozási reformfolyamat előrehaladásáról és hatásairól. Az értékelés következtetéseit 20</w:t>
      </w:r>
      <w:r>
        <w:rPr>
          <w:noProof/>
        </w:rPr>
        <w:t xml:space="preserve">22 első felében terjesztik a területi tanács elé. </w:t>
      </w:r>
    </w:p>
    <w:p w14:paraId="1D423281" w14:textId="77777777" w:rsidR="003E1D81" w:rsidRDefault="00EB481C">
      <w:pPr>
        <w:pStyle w:val="P68B1DB1-Normal22"/>
        <w:spacing w:before="120" w:after="120" w:line="240" w:lineRule="auto"/>
        <w:jc w:val="both"/>
        <w:rPr>
          <w:rFonts w:cs="Times New Roman"/>
          <w:noProof/>
        </w:rPr>
      </w:pPr>
      <w:r>
        <w:rPr>
          <w:noProof/>
        </w:rPr>
        <w:t>Az intézkedés végrehajtását 2022. június 30-ig be kell fejezni.</w:t>
      </w:r>
    </w:p>
    <w:p w14:paraId="0F984A9E" w14:textId="77777777" w:rsidR="003E1D81" w:rsidRDefault="00EB481C">
      <w:pPr>
        <w:pStyle w:val="P68B1DB1-Normal6"/>
        <w:spacing w:before="120" w:after="120" w:line="240" w:lineRule="auto"/>
        <w:jc w:val="both"/>
        <w:rPr>
          <w:rFonts w:cs="Times New Roman"/>
          <w:noProof/>
        </w:rPr>
      </w:pPr>
      <w:r>
        <w:rPr>
          <w:noProof/>
          <w:shd w:val="clear" w:color="auto" w:fill="FFFFFF"/>
        </w:rPr>
        <w:t xml:space="preserve">Reform (C22.R2) – </w:t>
      </w:r>
      <w:r>
        <w:rPr>
          <w:noProof/>
        </w:rPr>
        <w:t>Az állami szociális szolgáltatások korszerűsítése és új szabályozási keret biztosítása</w:t>
      </w:r>
    </w:p>
    <w:p w14:paraId="60735B60" w14:textId="77777777" w:rsidR="003E1D81" w:rsidRDefault="00EB481C">
      <w:pPr>
        <w:pStyle w:val="P68B1DB1-Normal4"/>
        <w:spacing w:before="120" w:after="120" w:line="240" w:lineRule="auto"/>
        <w:jc w:val="both"/>
        <w:rPr>
          <w:rFonts w:cs="Times New Roman"/>
          <w:noProof/>
        </w:rPr>
      </w:pPr>
      <w:r>
        <w:rPr>
          <w:noProof/>
        </w:rPr>
        <w:t>A reform célja a szociális szolgáltatások állami rendszerének megerősítése olyan jogszabályok elfogadása révén, amelyek garantálják a minimális közös szolgáltatási portfóliót és a szolgáltatásnyújtás közös normáit az ország egész területén, garantálva vala</w:t>
      </w:r>
      <w:r>
        <w:rPr>
          <w:noProof/>
        </w:rPr>
        <w:t>mennyi spanyol állampolgár egyenlőségét jogaik gyakorlása során, a spanyol alkotmány 149. cikkének (1) bekezdésében előírtak szerint. E célból hozzájárul a nyújtott szolgáltatások típusával, szintjével és minőségével kapcsolatos egyenlőtlenségek és egyenlő</w:t>
      </w:r>
      <w:r>
        <w:rPr>
          <w:noProof/>
        </w:rPr>
        <w:t>tlenségek csökkentéséhez. A szabályozási keretről meg kell állapodni a régiókkal és a helyi vállalatokkal, és ki kell terjednie az állami rendszer megszervezésére is, beleértve annak más szociális védelmi rendszerekkel (oktatás, egészségügy, igazságszolgál</w:t>
      </w:r>
      <w:r>
        <w:rPr>
          <w:noProof/>
        </w:rPr>
        <w:t>tatás, lakhatás és várostervezés, foglalkoztatás stb.) való belső koordinációját és összehangolását; a szociális vállalkozások részvétele a szociális szolgáltatások nyújtásában; a hatáskörök és a finanszírozás rendszere. Célja továbbá az innováció előmozdí</w:t>
      </w:r>
      <w:r>
        <w:rPr>
          <w:noProof/>
        </w:rPr>
        <w:t xml:space="preserve">tása, a szociális szolgáltatásokban dolgozók készségeinek javítása, valamint a szociális szolgáltatások új információs rendszerének létrehozása. </w:t>
      </w:r>
    </w:p>
    <w:p w14:paraId="448552C2" w14:textId="77777777" w:rsidR="003E1D81" w:rsidRDefault="00EB481C">
      <w:pPr>
        <w:pStyle w:val="P68B1DB1-Normal22"/>
        <w:spacing w:before="120" w:after="120" w:line="240" w:lineRule="auto"/>
        <w:jc w:val="both"/>
        <w:rPr>
          <w:rFonts w:cs="Times New Roman"/>
          <w:noProof/>
        </w:rPr>
      </w:pPr>
      <w:r>
        <w:rPr>
          <w:noProof/>
        </w:rPr>
        <w:t>Az intézkedés végrehajtását 2023. június 30-ig be kell fejezni.</w:t>
      </w:r>
    </w:p>
    <w:p w14:paraId="49C4B0FF" w14:textId="77777777" w:rsidR="003E1D81" w:rsidRDefault="00EB481C">
      <w:pPr>
        <w:pStyle w:val="P68B1DB1-Normal4"/>
        <w:spacing w:before="120" w:after="120" w:line="240" w:lineRule="auto"/>
        <w:jc w:val="both"/>
        <w:rPr>
          <w:rFonts w:cs="Times New Roman"/>
          <w:noProof/>
        </w:rPr>
      </w:pPr>
      <w:r>
        <w:rPr>
          <w:noProof/>
          <w:u w:val="single"/>
          <w:shd w:val="clear" w:color="auto" w:fill="FFFFFF"/>
        </w:rPr>
        <w:t xml:space="preserve">Reform (C22.R3) – </w:t>
      </w:r>
      <w:r>
        <w:rPr>
          <w:noProof/>
          <w:u w:val="single"/>
        </w:rPr>
        <w:t>A családok védelméről és sok</w:t>
      </w:r>
      <w:r>
        <w:rPr>
          <w:noProof/>
          <w:u w:val="single"/>
        </w:rPr>
        <w:t>féleségük elismeréséről szóló új törvény elfogadása</w:t>
      </w:r>
    </w:p>
    <w:p w14:paraId="19C6FC48" w14:textId="77777777" w:rsidR="003E1D81" w:rsidRDefault="00EB481C">
      <w:pPr>
        <w:pStyle w:val="P68B1DB1-Normal4"/>
        <w:spacing w:before="120" w:after="120" w:line="240" w:lineRule="auto"/>
        <w:jc w:val="both"/>
        <w:rPr>
          <w:rFonts w:cs="Times New Roman"/>
          <w:noProof/>
        </w:rPr>
      </w:pPr>
      <w:r>
        <w:rPr>
          <w:noProof/>
          <w:shd w:val="clear" w:color="auto" w:fill="FFFFFF"/>
        </w:rPr>
        <w:t>Az elmúlt évtizedekben végbement demográfiai és társadalmi változásokra való reagálás érdekében új törvényt kell elfogadni a családok védelméről és sokszínűségük elismeréséről. Ennek az új törvénynek az a</w:t>
      </w:r>
      <w:r>
        <w:rPr>
          <w:noProof/>
          <w:shd w:val="clear" w:color="auto" w:fill="FFFFFF"/>
        </w:rPr>
        <w:t xml:space="preserve"> célja, hogy jogi szempontból elismerje a különböző családstruktúrákat, és meghatározza azokat az ellátásokat és szolgáltatásokat, amelyekre jellemzőiktől és jövedelmi szintjüktől függően jogosultak. </w:t>
      </w:r>
      <w:r>
        <w:rPr>
          <w:noProof/>
        </w:rPr>
        <w:t>E célból a reformok magukban foglalják a jogi keret rend</w:t>
      </w:r>
      <w:r>
        <w:rPr>
          <w:noProof/>
        </w:rPr>
        <w:t>szerezését, aktualizálását és javítását, valamint az állami közigazgatás által a családok számára elismert védelmi intézkedéseket, figyelembe véve azok sokféleségét a szociális védelem (ellátások, szociális szolgáltatások) és a jogi (egyes csoportokra vona</w:t>
      </w:r>
      <w:r>
        <w:rPr>
          <w:noProof/>
        </w:rPr>
        <w:t xml:space="preserve">tkozó polgári jogi reformok: nem házas párok, rekonstruált családok) és gazdasági (adózás, támogatások stb.). </w:t>
      </w:r>
      <w:r>
        <w:rPr>
          <w:noProof/>
          <w:shd w:val="clear" w:color="auto" w:fill="FFFFFF"/>
        </w:rPr>
        <w:t>Magában foglalja a nagycsaládokról szóló törvény felülvizsgálatát is</w:t>
      </w:r>
      <w:r>
        <w:rPr>
          <w:noProof/>
        </w:rPr>
        <w:t xml:space="preserve">. </w:t>
      </w:r>
    </w:p>
    <w:p w14:paraId="01C9213D" w14:textId="77777777" w:rsidR="003E1D81" w:rsidRDefault="00EB481C">
      <w:pPr>
        <w:pStyle w:val="P68B1DB1-Normal22"/>
        <w:spacing w:before="120" w:after="120" w:line="240" w:lineRule="auto"/>
        <w:jc w:val="both"/>
        <w:rPr>
          <w:rFonts w:cs="Times New Roman"/>
          <w:noProof/>
        </w:rPr>
      </w:pPr>
      <w:r>
        <w:rPr>
          <w:noProof/>
        </w:rPr>
        <w:t>A reform átfogó célja a gyermekszegénység csökkentése. Ezért különös figyel</w:t>
      </w:r>
      <w:r>
        <w:rPr>
          <w:noProof/>
        </w:rPr>
        <w:t>met kell fordítani az egyenlőtlenségek csökkentésére azáltal, hogy védelmet nyújtanak a különleges igényű vagy kiszolgáltatott helyzetben lévő családoknak, például az egyszülős háztartásoknak, illetve a szegénység vagy a társadalmi kirekesztődés kockázatán</w:t>
      </w:r>
      <w:r>
        <w:rPr>
          <w:noProof/>
        </w:rPr>
        <w:t xml:space="preserve">ak kitett háztartásoknak. Ezen túlmenően a törvény közös elveket és célkitűzéseket állapít meg az egyéb közpolitikákkal – többek között az adózással – való koherencia és kiegészítő jelleg biztosítása, valamint a szubjektív jogokon alapuló védelem javítása </w:t>
      </w:r>
      <w:r>
        <w:rPr>
          <w:noProof/>
        </w:rPr>
        <w:t xml:space="preserve">érdekében.   </w:t>
      </w:r>
    </w:p>
    <w:p w14:paraId="1C0CD4CA" w14:textId="77777777" w:rsidR="003E1D81" w:rsidRDefault="00EB481C">
      <w:pPr>
        <w:pStyle w:val="P68B1DB1-Normal22"/>
        <w:spacing w:before="120" w:after="120" w:line="240" w:lineRule="auto"/>
        <w:jc w:val="both"/>
        <w:rPr>
          <w:rFonts w:cs="Times New Roman"/>
          <w:noProof/>
        </w:rPr>
      </w:pPr>
      <w:r>
        <w:rPr>
          <w:noProof/>
        </w:rPr>
        <w:t>Az intézkedés végrehajtását 2023. június 30-ig be kell fejezni.</w:t>
      </w:r>
    </w:p>
    <w:p w14:paraId="334C02A2" w14:textId="77777777" w:rsidR="003E1D81" w:rsidRDefault="00EB481C">
      <w:pPr>
        <w:pStyle w:val="P68B1DB1-Normal6"/>
        <w:spacing w:before="120" w:after="120" w:line="240" w:lineRule="auto"/>
        <w:jc w:val="both"/>
        <w:rPr>
          <w:rFonts w:cs="Times New Roman"/>
          <w:noProof/>
        </w:rPr>
      </w:pPr>
      <w:r>
        <w:rPr>
          <w:noProof/>
          <w:shd w:val="clear" w:color="auto" w:fill="FFFFFF"/>
        </w:rPr>
        <w:t xml:space="preserve">Reform (C22.R4) – </w:t>
      </w:r>
      <w:r>
        <w:rPr>
          <w:noProof/>
        </w:rPr>
        <w:t xml:space="preserve">A migránsok és a nemzetközi védelmet kérelmezők befogadási rendszerének reformja </w:t>
      </w:r>
    </w:p>
    <w:p w14:paraId="060DC2A4" w14:textId="77777777" w:rsidR="003E1D81" w:rsidRDefault="00EB481C">
      <w:pPr>
        <w:pStyle w:val="P68B1DB1-Normal4"/>
        <w:spacing w:before="120" w:after="120" w:line="240" w:lineRule="auto"/>
        <w:jc w:val="both"/>
        <w:rPr>
          <w:rFonts w:cs="Times New Roman"/>
          <w:noProof/>
        </w:rPr>
      </w:pPr>
      <w:r>
        <w:rPr>
          <w:noProof/>
        </w:rPr>
        <w:t>Meg kell erősíteni a migránsok és a nemzetközi védelmet kérelmezők jelenlegi s</w:t>
      </w:r>
      <w:r>
        <w:rPr>
          <w:noProof/>
        </w:rPr>
        <w:t>panyolországi befogadási rendszerét, hogy javítsa kapacitását, hozzáigazítsa azt a meglévő és a becsült jövőbeli igényekhez, és hozzájáruljon annak hatékonyabbá tételéhez. A hangsúly elsősorban a hosszú várakozási idő és a nemzetközi védelmet kérelmezők al</w:t>
      </w:r>
      <w:r>
        <w:rPr>
          <w:noProof/>
        </w:rPr>
        <w:t>acsony elismerési arányának csökkentésére helyeződik. Egy szilárdabb és jobban működő rendszerrel a jövőbeli migrációs válságok kezelése várhatóan gördülékenyebbé válik.</w:t>
      </w:r>
    </w:p>
    <w:p w14:paraId="58F0D37C" w14:textId="77777777" w:rsidR="003E1D81" w:rsidRDefault="00EB481C">
      <w:pPr>
        <w:pStyle w:val="P68B1DB1-Normal4"/>
        <w:spacing w:before="120" w:after="120" w:line="240" w:lineRule="auto"/>
        <w:jc w:val="both"/>
        <w:rPr>
          <w:rFonts w:cs="Times New Roman"/>
          <w:noProof/>
        </w:rPr>
      </w:pPr>
      <w:r>
        <w:rPr>
          <w:noProof/>
        </w:rPr>
        <w:t>A befogadási politikákat a kiszolgáltatott személyek és menedékkérők szükségleteihez é</w:t>
      </w:r>
      <w:r>
        <w:rPr>
          <w:noProof/>
        </w:rPr>
        <w:t>s az uniós integrációs célkitűzésekhez kell igazítani, reziliensebbé téve az egész rendszert. Meg kell határozni továbbá a pénzügyi forrásokkal nem rendelkező kérelmezők és a kiszolgáltatottabb profilú, fokozott védelemre szoruló kérelmezők számára nyújtot</w:t>
      </w:r>
      <w:r>
        <w:rPr>
          <w:noProof/>
        </w:rPr>
        <w:t>t alapszolgáltatások szintjét azzal a céllal, hogy a lehető legkisebbre csökkentsék a pénzügyi előnyök formájában biztosított befogadási feltételeket. Ezenkívül a kísérő szolgáltatásokra és útvonalakra vonatkozó rendszert ki kell igazítani. Területi szempo</w:t>
      </w:r>
      <w:r>
        <w:rPr>
          <w:noProof/>
        </w:rPr>
        <w:t>ntból foglalkozik a befogadási rendszer szervezésével, amelynek célja, hogy néhány kísérleti projekten keresztül felgyorsítsa az autonóm közösségek hatalomátvételét, amint azt az ítélkezési gyakorlat megállapította. Végezetül, a kérelmezők területi eloszlá</w:t>
      </w:r>
      <w:r>
        <w:rPr>
          <w:noProof/>
        </w:rPr>
        <w:t xml:space="preserve">sának paramétereiről együttműködésben meg kell állapodni az autonóm közösségekkel. </w:t>
      </w:r>
    </w:p>
    <w:p w14:paraId="29EE27F2" w14:textId="77777777" w:rsidR="003E1D81" w:rsidRDefault="00EB481C">
      <w:pPr>
        <w:pStyle w:val="P68B1DB1-Normal8"/>
        <w:spacing w:before="120" w:after="120" w:line="240" w:lineRule="auto"/>
        <w:jc w:val="both"/>
        <w:rPr>
          <w:rFonts w:cs="Times New Roman"/>
          <w:noProof/>
          <w:sz w:val="24"/>
        </w:rPr>
      </w:pPr>
      <w:r>
        <w:rPr>
          <w:noProof/>
        </w:rPr>
        <w:t>A végrehajtás biztosítása</w:t>
      </w:r>
      <w:r>
        <w:rPr>
          <w:noProof/>
          <w:sz w:val="24"/>
        </w:rPr>
        <w:t>érdekében olyan mutatókat tartalmazó rendszert kell alkalmazni, amelyek olyan elemeket tartalmaznak, mint az állampolgárság, a nem, az etnikai hova</w:t>
      </w:r>
      <w:r>
        <w:rPr>
          <w:noProof/>
          <w:sz w:val="24"/>
        </w:rPr>
        <w:t xml:space="preserve">tartozás, a kiszolgáltatottság, a származási országban uralkodó körülmények stb., olyan súlyozott képlet, amely lehetővé teszi a védelemben részesülés valószínűségének objektív kiszámítását. A kérelmek feldolgozása során a képletnek lehetővé kell tennie a </w:t>
      </w:r>
      <w:r>
        <w:rPr>
          <w:noProof/>
          <w:sz w:val="24"/>
        </w:rPr>
        <w:t>befogadásért felelős hatóságok számára,</w:t>
      </w:r>
      <w:r>
        <w:rPr>
          <w:noProof/>
        </w:rPr>
        <w:t xml:space="preserve"> </w:t>
      </w:r>
      <w:r>
        <w:rPr>
          <w:noProof/>
          <w:sz w:val="24"/>
        </w:rPr>
        <w:t>hogy a kérelmezőket a befogadás alap- vagy továbbfejlesztett pályájára irányítsák. Ez a megfelelő ellátásokra is vonatkozik. Ez lehetővé teszi valamennyi menedékkérő számára az alapvető befogadási feltételek alkalmaz</w:t>
      </w:r>
      <w:r>
        <w:rPr>
          <w:noProof/>
          <w:sz w:val="24"/>
        </w:rPr>
        <w:t>ását, a nagy valószínűséggel elismerhető személyek számára pedig a jobb befogadási feltételeket.</w:t>
      </w:r>
    </w:p>
    <w:p w14:paraId="307F37F8" w14:textId="77777777" w:rsidR="003E1D81" w:rsidRDefault="00EB481C">
      <w:pPr>
        <w:pStyle w:val="P68B1DB1-Normal22"/>
        <w:spacing w:before="120" w:after="120" w:line="240" w:lineRule="auto"/>
        <w:jc w:val="both"/>
        <w:rPr>
          <w:rFonts w:cs="Times New Roman"/>
          <w:noProof/>
        </w:rPr>
      </w:pPr>
      <w:r>
        <w:rPr>
          <w:noProof/>
        </w:rPr>
        <w:t>Az intézkedés végrehajtását 2022. március 31-ig be kell fejezni.</w:t>
      </w:r>
    </w:p>
    <w:p w14:paraId="1B9302C2" w14:textId="77777777" w:rsidR="003E1D81" w:rsidRDefault="00EB481C">
      <w:pPr>
        <w:pStyle w:val="P68B1DB1-Normal6"/>
        <w:spacing w:before="120" w:after="120" w:line="240" w:lineRule="auto"/>
        <w:jc w:val="both"/>
        <w:rPr>
          <w:rFonts w:cs="Times New Roman"/>
          <w:noProof/>
        </w:rPr>
      </w:pPr>
      <w:r>
        <w:rPr>
          <w:noProof/>
          <w:shd w:val="clear" w:color="auto" w:fill="FFFFFF"/>
        </w:rPr>
        <w:t xml:space="preserve">Reform (C22.R5) – </w:t>
      </w:r>
      <w:r>
        <w:rPr>
          <w:noProof/>
        </w:rPr>
        <w:t>Az állami közigazgatás nem járulékalapú pénzügyi előnyei rendszerének javítá</w:t>
      </w:r>
      <w:r>
        <w:rPr>
          <w:noProof/>
        </w:rPr>
        <w:t>sa</w:t>
      </w:r>
    </w:p>
    <w:p w14:paraId="71DD81E6" w14:textId="77777777" w:rsidR="003E1D81" w:rsidRDefault="00EB481C">
      <w:pPr>
        <w:pStyle w:val="P68B1DB1-Normal4"/>
        <w:spacing w:before="120" w:after="120" w:line="240" w:lineRule="auto"/>
        <w:jc w:val="both"/>
        <w:rPr>
          <w:rFonts w:cs="Times New Roman"/>
          <w:noProof/>
        </w:rPr>
      </w:pPr>
      <w:r>
        <w:rPr>
          <w:noProof/>
        </w:rPr>
        <w:t>Ez a reform magában foglalja az új életjövedelem-rendszer (MVI) 2020. májusi jóváhagyását, a nem járulékalapú pénzügyi juttatások egységes nemzeti rendszerének létrehozását, valamint a legkiszolgáltatottabb háztartások számára a nem járulékalapú pénzügy</w:t>
      </w:r>
      <w:r>
        <w:rPr>
          <w:noProof/>
        </w:rPr>
        <w:t xml:space="preserve">i ellátások minimális szintjét. </w:t>
      </w:r>
    </w:p>
    <w:p w14:paraId="59CD41F3" w14:textId="77777777" w:rsidR="003E1D81" w:rsidRDefault="00EB481C">
      <w:pPr>
        <w:pStyle w:val="P68B1DB1-Normal4"/>
        <w:spacing w:before="120" w:after="120" w:line="240" w:lineRule="auto"/>
        <w:jc w:val="both"/>
        <w:rPr>
          <w:rFonts w:cs="Times New Roman"/>
          <w:noProof/>
        </w:rPr>
      </w:pPr>
      <w:r>
        <w:rPr>
          <w:noProof/>
        </w:rPr>
        <w:t>A MVI-rendszerből kiindulva tervet kell elfogadni az Általános Államigazgatás nem járulékalapú pénzügyi előnyei rendszerének átszervezésére és egyszerűsítésére. A terv célja, hogy a MVI-rendszer alapján integrálja és racion</w:t>
      </w:r>
      <w:r>
        <w:rPr>
          <w:noProof/>
        </w:rPr>
        <w:t>alizálja a nem járulékalapú ellátásokat annak érdekében, hogy javítsa az állami források hatékonyságát és eredményességét, és azokat a kiszolgáltatott helyzetben lévőkre, valamint a szegénység vagy a társadalmi kirekesztődés kockázatának kitett személyekre</w:t>
      </w:r>
      <w:r>
        <w:rPr>
          <w:noProof/>
        </w:rPr>
        <w:t xml:space="preserve"> összpontosítsa. A hangsúlyt a kiszolgáltatottsághoz vezető körülményektől függő megfelelő lefedettség biztosítására és a megfelelő jövedelemtámogatás biztosítására kell helyezni, hozzájárulva ezáltal a szegénység csökkentéséhez. E célból figyelembe veszi </w:t>
      </w:r>
      <w:r>
        <w:rPr>
          <w:noProof/>
        </w:rPr>
        <w:t>a háztartások, különösen a gyermekes családok és a fogyatékossággal élő személyek strukturális szükségleteit. Emellett a társadalmi-gazdasági integráció előmozdítása és a „szegénységcsapdák” elkerülése érdekében a jövedelemtámogatást az aktív munkakeresésh</w:t>
      </w:r>
      <w:r>
        <w:rPr>
          <w:noProof/>
        </w:rPr>
        <w:t xml:space="preserve">ez köti. </w:t>
      </w:r>
    </w:p>
    <w:p w14:paraId="3267E89C" w14:textId="77777777" w:rsidR="003E1D81" w:rsidRDefault="00EB481C">
      <w:pPr>
        <w:pStyle w:val="P68B1DB1-Normal22"/>
        <w:spacing w:before="120" w:after="120" w:line="240" w:lineRule="auto"/>
        <w:jc w:val="both"/>
        <w:rPr>
          <w:rFonts w:cs="Times New Roman"/>
          <w:noProof/>
        </w:rPr>
      </w:pPr>
      <w:r>
        <w:rPr>
          <w:noProof/>
        </w:rPr>
        <w:t>Az intézkedés végrehajtását 2023. december 31-ig be kell fejezni.</w:t>
      </w:r>
    </w:p>
    <w:p w14:paraId="397AD07F" w14:textId="77777777" w:rsidR="003E1D81" w:rsidRDefault="00EB481C">
      <w:pPr>
        <w:pStyle w:val="P68B1DB1-Normal4"/>
        <w:spacing w:before="120" w:after="120" w:line="240" w:lineRule="auto"/>
        <w:jc w:val="both"/>
        <w:rPr>
          <w:rFonts w:cs="Times New Roman"/>
          <w:noProof/>
          <w:u w:val="single"/>
        </w:rPr>
      </w:pPr>
      <w:r>
        <w:rPr>
          <w:noProof/>
          <w:u w:val="single"/>
        </w:rPr>
        <w:t xml:space="preserve">Beruházás </w:t>
      </w:r>
      <w:r>
        <w:rPr>
          <w:noProof/>
          <w:u w:val="single"/>
          <w:shd w:val="clear" w:color="auto" w:fill="FFFFFF"/>
        </w:rPr>
        <w:t>(C22.I1)</w:t>
      </w:r>
      <w:r>
        <w:rPr>
          <w:noProof/>
          <w:u w:val="single"/>
        </w:rPr>
        <w:t>: Tartós ápolási-gondozási és támogatási terv: az intézményesítettség csökkentése, berendezések és technológia</w:t>
      </w:r>
      <w:r>
        <w:rPr>
          <w:noProof/>
        </w:rPr>
        <w:t xml:space="preserve"> </w:t>
      </w:r>
    </w:p>
    <w:p w14:paraId="379D6577" w14:textId="77777777" w:rsidR="003E1D81" w:rsidRDefault="00EB481C">
      <w:pPr>
        <w:pStyle w:val="P68B1DB1-Normal4"/>
        <w:spacing w:before="120" w:after="120" w:line="240" w:lineRule="auto"/>
        <w:jc w:val="both"/>
        <w:rPr>
          <w:rFonts w:cs="Times New Roman"/>
          <w:noProof/>
        </w:rPr>
      </w:pPr>
      <w:r>
        <w:rPr>
          <w:noProof/>
        </w:rPr>
        <w:t>E komponens 1. reformjával összhangban Spanyolorsz</w:t>
      </w:r>
      <w:r>
        <w:rPr>
          <w:noProof/>
        </w:rPr>
        <w:t xml:space="preserve">ág hat cselekvési területen ruház be. </w:t>
      </w:r>
    </w:p>
    <w:p w14:paraId="2C4A4B17" w14:textId="77777777" w:rsidR="003E1D81" w:rsidRDefault="00EB481C">
      <w:pPr>
        <w:pStyle w:val="P68B1DB1-Normal4"/>
        <w:numPr>
          <w:ilvl w:val="0"/>
          <w:numId w:val="141"/>
        </w:numPr>
        <w:spacing w:before="120" w:after="160" w:line="240" w:lineRule="auto"/>
        <w:contextualSpacing/>
        <w:jc w:val="both"/>
        <w:rPr>
          <w:rFonts w:cs="Times New Roman"/>
          <w:noProof/>
        </w:rPr>
      </w:pPr>
      <w:r>
        <w:rPr>
          <w:noProof/>
        </w:rPr>
        <w:t>Az ápolási-gondozási politikák jelenlegi helyzetét elemző hosszú távú támogatási tervben, amelynek célja, hogy azonosítsa a javítási igényeket, és javaslatot tegyen a személyes autonómiáról és a függőségben lévő szemé</w:t>
      </w:r>
      <w:r>
        <w:rPr>
          <w:noProof/>
        </w:rPr>
        <w:t xml:space="preserve">lyek gondozásáról szóló hatályos törvény reformjára. Értékeli továbbá a helyzetet és a különböző területeken folyamatban lévő projekteket; </w:t>
      </w:r>
    </w:p>
    <w:p w14:paraId="392F886C" w14:textId="77777777" w:rsidR="003E1D81" w:rsidRDefault="00EB481C">
      <w:pPr>
        <w:pStyle w:val="P68B1DB1-Normal4"/>
        <w:numPr>
          <w:ilvl w:val="0"/>
          <w:numId w:val="141"/>
        </w:numPr>
        <w:spacing w:before="120" w:after="160" w:line="240" w:lineRule="auto"/>
        <w:contextualSpacing/>
        <w:jc w:val="both"/>
        <w:rPr>
          <w:rFonts w:cs="Times New Roman"/>
          <w:noProof/>
        </w:rPr>
      </w:pPr>
      <w:r>
        <w:rPr>
          <w:noProof/>
        </w:rPr>
        <w:t>Az intézményesítettség csökkentésére irányuló nemzeti stratégia, beleértve a figyelemfelhívó és ismeretterjesztő kam</w:t>
      </w:r>
      <w:r>
        <w:rPr>
          <w:noProof/>
        </w:rPr>
        <w:t xml:space="preserve">pányok végrehajtását; </w:t>
      </w:r>
    </w:p>
    <w:p w14:paraId="6F91739E" w14:textId="77777777" w:rsidR="003E1D81" w:rsidRDefault="00EB481C">
      <w:pPr>
        <w:pStyle w:val="P68B1DB1-Normal8"/>
        <w:numPr>
          <w:ilvl w:val="0"/>
          <w:numId w:val="141"/>
        </w:numPr>
        <w:spacing w:before="120" w:after="160" w:line="240" w:lineRule="auto"/>
        <w:contextualSpacing/>
        <w:jc w:val="both"/>
        <w:rPr>
          <w:rFonts w:cs="Times New Roman"/>
          <w:noProof/>
          <w:sz w:val="24"/>
        </w:rPr>
      </w:pPr>
      <w:r>
        <w:rPr>
          <w:noProof/>
          <w:sz w:val="24"/>
        </w:rPr>
        <w:t xml:space="preserve">Négy kísérleti projekt, amelyek célja az intézményesítettség csökkentése, valamint a támogatás és a tartós ápolás-gondozás átalakításához szükséges tanulságok levonása, beleértve az értelmi fogyatékossággal élő személyek támogatását </w:t>
      </w:r>
      <w:r>
        <w:rPr>
          <w:noProof/>
          <w:sz w:val="24"/>
        </w:rPr>
        <w:t>és tartós ápolás-gondozását is;</w:t>
      </w:r>
      <w:r>
        <w:rPr>
          <w:noProof/>
        </w:rPr>
        <w:t xml:space="preserve"> </w:t>
      </w:r>
    </w:p>
    <w:p w14:paraId="3A0D732E" w14:textId="77777777" w:rsidR="003E1D81" w:rsidRDefault="00EB481C">
      <w:pPr>
        <w:pStyle w:val="P68B1DB1-Normal4"/>
        <w:numPr>
          <w:ilvl w:val="0"/>
          <w:numId w:val="141"/>
        </w:numPr>
        <w:spacing w:before="120" w:after="160" w:line="240" w:lineRule="auto"/>
        <w:contextualSpacing/>
        <w:jc w:val="both"/>
        <w:rPr>
          <w:rFonts w:cs="Times New Roman"/>
          <w:noProof/>
        </w:rPr>
      </w:pPr>
      <w:r>
        <w:rPr>
          <w:noProof/>
        </w:rPr>
        <w:t>Bentlakásos, nem lakáscélú és napközi otthonok építése és felújítása, valamint az ápolási-gondozási szolgáltatások minőségének javítását célzó beruházási berendezések. Ezeket a beruházási projekteket az autonóm közösségek h</w:t>
      </w:r>
      <w:r>
        <w:rPr>
          <w:noProof/>
        </w:rPr>
        <w:t>ajtják végre a területi igények felmérése alapján; valamint annak biztosítása, hogy az új és felújított lakóhelyeket összehangolják a fogyatékossággal élő személyek jogairól szóló ENSZ-egyezménnyel.</w:t>
      </w:r>
    </w:p>
    <w:p w14:paraId="31086C13" w14:textId="5332CBC9" w:rsidR="003E1D81" w:rsidRDefault="00EB481C">
      <w:pPr>
        <w:pStyle w:val="P68B1DB1-Normal4"/>
        <w:numPr>
          <w:ilvl w:val="0"/>
          <w:numId w:val="141"/>
        </w:numPr>
        <w:spacing w:before="120" w:after="160" w:line="240" w:lineRule="auto"/>
        <w:contextualSpacing/>
        <w:jc w:val="both"/>
        <w:rPr>
          <w:rFonts w:cs="Times New Roman"/>
          <w:noProof/>
        </w:rPr>
      </w:pPr>
      <w:r>
        <w:rPr>
          <w:noProof/>
        </w:rPr>
        <w:t>Az IMSERSO (Instituto de Mayores y Servicios Social</w:t>
      </w:r>
      <w:r>
        <w:rPr>
          <w:i/>
          <w:noProof/>
        </w:rPr>
        <w:t>Instit</w:t>
      </w:r>
      <w:r>
        <w:rPr>
          <w:i/>
          <w:noProof/>
        </w:rPr>
        <w:t>uto de Mayores y Servicios Social, a Szociális Jogokért és a 2030-ig tartó időszakra szóló menetrendért</w:t>
      </w:r>
      <w:r>
        <w:rPr>
          <w:noProof/>
        </w:rPr>
        <w:t xml:space="preserve"> felelős minisztérium irányítása alatt) által működtetett, közösségi szinten integrált napközi otthonok reformja, beleértve a vidéki területeket is. Tize</w:t>
      </w:r>
      <w:r>
        <w:rPr>
          <w:noProof/>
        </w:rPr>
        <w:t xml:space="preserve">negy központot meg kell reformálni és hozzá kell igazítani az új tartós ápolási- </w:t>
      </w:r>
      <w:bookmarkStart w:id="55" w:name="_Hlk141885579"/>
      <w:r>
        <w:rPr>
          <w:noProof/>
        </w:rPr>
        <w:t>gondozási modellhez, amely a testi fogyatékossággal élő személyekre összpontosít, 1100 férőhelynek felel meg. A beruházásokat az ugyanazon központokban megvalósuló innovatív p</w:t>
      </w:r>
      <w:r>
        <w:rPr>
          <w:noProof/>
        </w:rPr>
        <w:t>rojektekre is kell fordítani; és</w:t>
      </w:r>
    </w:p>
    <w:p w14:paraId="2B26EFDE" w14:textId="2E94BF3B" w:rsidR="003E1D81" w:rsidRDefault="00EB481C">
      <w:pPr>
        <w:pStyle w:val="P68B1DB1-Normal4"/>
        <w:numPr>
          <w:ilvl w:val="0"/>
          <w:numId w:val="141"/>
        </w:numPr>
        <w:shd w:val="clear" w:color="auto" w:fill="FFFFFF" w:themeFill="background1"/>
        <w:spacing w:before="120" w:after="120" w:line="240" w:lineRule="auto"/>
        <w:ind w:left="714" w:hanging="357"/>
        <w:jc w:val="both"/>
        <w:rPr>
          <w:rFonts w:cs="Times New Roman"/>
          <w:noProof/>
        </w:rPr>
      </w:pPr>
      <w:r>
        <w:rPr>
          <w:noProof/>
        </w:rPr>
        <w:t>Új távgondozási szolgáltatások a proaktív és személyre szabott gondozás felé való elmozdulás érdekében, amely hozzájárul az otthonukban gondozásra szoruló személyek személyes autonómiájához és fenntartásához</w:t>
      </w:r>
      <w:r>
        <w:rPr>
          <w:noProof/>
          <w:shd w:val="clear" w:color="auto" w:fill="E6E6E6"/>
        </w:rPr>
        <w:t>.</w:t>
      </w:r>
    </w:p>
    <w:p w14:paraId="0FCCDEC2" w14:textId="05B34300" w:rsidR="003E1D81" w:rsidRDefault="00EB481C">
      <w:pPr>
        <w:pStyle w:val="P68B1DB1-Normal22"/>
        <w:keepNext/>
        <w:tabs>
          <w:tab w:val="left" w:pos="709"/>
        </w:tabs>
        <w:spacing w:before="120" w:after="120" w:line="240" w:lineRule="auto"/>
        <w:jc w:val="both"/>
        <w:rPr>
          <w:rFonts w:cs="Times New Roman"/>
          <w:noProof/>
          <w:u w:val="single"/>
        </w:rPr>
      </w:pPr>
      <w:r>
        <w:rPr>
          <w:noProof/>
        </w:rPr>
        <w:t xml:space="preserve">Az intézkedés </w:t>
      </w:r>
      <w:r>
        <w:rPr>
          <w:noProof/>
        </w:rPr>
        <w:t>végrehajtását 2026. június 30-ig be kell fejezni.</w:t>
      </w:r>
    </w:p>
    <w:bookmarkEnd w:id="55"/>
    <w:p w14:paraId="418A7A6A" w14:textId="77777777" w:rsidR="003E1D81" w:rsidRDefault="00EB481C">
      <w:pPr>
        <w:pStyle w:val="P68B1DB1-Normal4"/>
        <w:keepNext/>
        <w:tabs>
          <w:tab w:val="left" w:pos="709"/>
        </w:tabs>
        <w:spacing w:before="120" w:after="120" w:line="240" w:lineRule="auto"/>
        <w:jc w:val="both"/>
        <w:rPr>
          <w:rFonts w:cs="Times New Roman"/>
          <w:noProof/>
          <w:u w:val="single"/>
        </w:rPr>
      </w:pPr>
      <w:r>
        <w:rPr>
          <w:noProof/>
          <w:u w:val="single"/>
        </w:rPr>
        <w:t xml:space="preserve">Beruházás </w:t>
      </w:r>
      <w:r>
        <w:rPr>
          <w:noProof/>
          <w:u w:val="single"/>
          <w:shd w:val="clear" w:color="auto" w:fill="FFFFFF"/>
        </w:rPr>
        <w:t>(C22.I2)</w:t>
      </w:r>
      <w:r>
        <w:rPr>
          <w:noProof/>
          <w:u w:val="single"/>
        </w:rPr>
        <w:t>: Terv a szociális szolgáltatások korszerűsítésére – technológiai átalakulás, innováció, képzés és a gyermekgondozás megerősítése</w:t>
      </w:r>
      <w:r>
        <w:rPr>
          <w:noProof/>
        </w:rPr>
        <w:t xml:space="preserve"> </w:t>
      </w:r>
    </w:p>
    <w:p w14:paraId="78870859" w14:textId="77777777" w:rsidR="003E1D81" w:rsidRDefault="00EB481C">
      <w:pPr>
        <w:pStyle w:val="P68B1DB1-Normal4"/>
        <w:keepNext/>
        <w:spacing w:before="120" w:after="120" w:line="240" w:lineRule="auto"/>
        <w:jc w:val="both"/>
        <w:rPr>
          <w:rFonts w:cs="Times New Roman"/>
          <w:noProof/>
        </w:rPr>
      </w:pPr>
      <w:r>
        <w:rPr>
          <w:noProof/>
        </w:rPr>
        <w:t>E komponens 2. reformjával összhangban Spanyolország öt c</w:t>
      </w:r>
      <w:r>
        <w:rPr>
          <w:noProof/>
        </w:rPr>
        <w:t xml:space="preserve">selekvési területen ruház be. </w:t>
      </w:r>
    </w:p>
    <w:p w14:paraId="6F584859" w14:textId="77777777" w:rsidR="003E1D81" w:rsidRDefault="00EB481C">
      <w:pPr>
        <w:pStyle w:val="P68B1DB1-Normal4"/>
        <w:keepNext/>
        <w:numPr>
          <w:ilvl w:val="0"/>
          <w:numId w:val="142"/>
        </w:numPr>
        <w:spacing w:before="120" w:after="160" w:line="240" w:lineRule="auto"/>
        <w:contextualSpacing/>
        <w:jc w:val="both"/>
        <w:rPr>
          <w:rFonts w:cs="Times New Roman"/>
          <w:noProof/>
        </w:rPr>
      </w:pPr>
      <w:r>
        <w:rPr>
          <w:noProof/>
        </w:rPr>
        <w:t xml:space="preserve">Új technológiák, amelyek javítják mind a szociális szolgáltatások hatékonyságát (rövidebb várakozási idő), mind azok minőségét (a szociális beavatkozások jobb eredményei), beleértve az integrált gondozás előmozdítását is. </w:t>
      </w:r>
    </w:p>
    <w:p w14:paraId="28DC6EA7" w14:textId="77777777" w:rsidR="003E1D81" w:rsidRDefault="00EB481C">
      <w:pPr>
        <w:pStyle w:val="P68B1DB1-Normal4"/>
        <w:numPr>
          <w:ilvl w:val="0"/>
          <w:numId w:val="142"/>
        </w:numPr>
        <w:spacing w:before="120" w:after="160" w:line="240" w:lineRule="auto"/>
        <w:contextualSpacing/>
        <w:jc w:val="both"/>
        <w:rPr>
          <w:rFonts w:cs="Times New Roman"/>
          <w:noProof/>
        </w:rPr>
      </w:pPr>
      <w:r>
        <w:rPr>
          <w:noProof/>
        </w:rPr>
        <w:t>Te</w:t>
      </w:r>
      <w:r>
        <w:rPr>
          <w:noProof/>
        </w:rPr>
        <w:t>chnológiai eszközök a szociális szolgáltatások irányítási és információs rendszereinek fejlesztésére, beleértve a nemzeti és regionális közigazgatásokban rendelkezésre álló információk központosítására szolgáló online platformot. Ez konkrétan magában fogla</w:t>
      </w:r>
      <w:r>
        <w:rPr>
          <w:noProof/>
        </w:rPr>
        <w:t>lja a szociális szolgáltatásokra vonatkozó spanyol információs rendszer (Siess) teljes körű végrehajtását.  Ez az új információs rendszer várhatóan lehetővé teszi a más rendszerekkel (foglalkoztatás, egészségügy, harmadik szektor) való interoperabilitást i</w:t>
      </w:r>
      <w:r>
        <w:rPr>
          <w:noProof/>
        </w:rPr>
        <w:t>s. Tartalmaz továbbá egy online eszközt a harmadik szektor szervezetei által kidolgozott projektek elemzésére, a szociális szolgáltatásokkal, valamint a családok, gyermekek és bizonyos veszélyeztetett csoportok gondozásával kapcsolatos különböző költségvet</w:t>
      </w:r>
      <w:r>
        <w:rPr>
          <w:noProof/>
        </w:rPr>
        <w:t>ési programok irányítására, valamint az állami közigazgatásban és az autonóm közösségekben rendelkezésre álló gondozási információk központosítására szolgáló online platformot.</w:t>
      </w:r>
    </w:p>
    <w:p w14:paraId="2B8DBAEF" w14:textId="77777777" w:rsidR="003E1D81" w:rsidRDefault="00EB481C">
      <w:pPr>
        <w:pStyle w:val="P68B1DB1-Normal4"/>
        <w:numPr>
          <w:ilvl w:val="0"/>
          <w:numId w:val="142"/>
        </w:numPr>
        <w:spacing w:before="120" w:after="160" w:line="240" w:lineRule="auto"/>
        <w:contextualSpacing/>
        <w:jc w:val="both"/>
        <w:rPr>
          <w:rFonts w:cs="Times New Roman"/>
          <w:noProof/>
        </w:rPr>
      </w:pPr>
      <w:r>
        <w:rPr>
          <w:noProof/>
        </w:rPr>
        <w:t xml:space="preserve">Kísérleti projektek a szociális szolgáltatások innovációjának előmozdítására. </w:t>
      </w:r>
    </w:p>
    <w:p w14:paraId="77493A7D" w14:textId="77777777" w:rsidR="003E1D81" w:rsidRDefault="00EB481C">
      <w:pPr>
        <w:pStyle w:val="P68B1DB1-Normal4"/>
        <w:numPr>
          <w:ilvl w:val="0"/>
          <w:numId w:val="142"/>
        </w:numPr>
        <w:spacing w:before="120" w:after="160" w:line="240" w:lineRule="auto"/>
        <w:contextualSpacing/>
        <w:jc w:val="both"/>
        <w:rPr>
          <w:rFonts w:cs="Times New Roman"/>
          <w:noProof/>
        </w:rPr>
      </w:pPr>
      <w:r>
        <w:rPr>
          <w:noProof/>
        </w:rPr>
        <w:t>Az új tartós ápolási-gondozási modell megvalósításában és támogatásában részt vevő állami szociális szolgáltatási rendszer személyzetének képzése</w:t>
      </w:r>
      <w:r>
        <w:rPr>
          <w:noProof/>
          <w:shd w:val="clear" w:color="auto" w:fill="E6E6E6"/>
        </w:rPr>
        <w:t>.</w:t>
      </w:r>
    </w:p>
    <w:p w14:paraId="4F55BB2E" w14:textId="77777777" w:rsidR="003E1D81" w:rsidRDefault="00EB481C">
      <w:pPr>
        <w:pStyle w:val="P68B1DB1-Normal4"/>
        <w:numPr>
          <w:ilvl w:val="0"/>
          <w:numId w:val="142"/>
        </w:numPr>
        <w:spacing w:before="120" w:after="160" w:line="240" w:lineRule="auto"/>
        <w:contextualSpacing/>
        <w:jc w:val="both"/>
        <w:rPr>
          <w:rFonts w:cs="Times New Roman"/>
          <w:noProof/>
        </w:rPr>
      </w:pPr>
      <w:r>
        <w:rPr>
          <w:noProof/>
        </w:rPr>
        <w:t>A bentlakásos infrastruktúrák, valamint a gyermekgondozási és serdülőgondozási központok egyéb szempontjainak</w:t>
      </w:r>
      <w:r>
        <w:rPr>
          <w:noProof/>
        </w:rPr>
        <w:t xml:space="preserve"> javítása, az érzelmi, személyes és oktatási/szakmai igények jobb kezelése. </w:t>
      </w:r>
    </w:p>
    <w:p w14:paraId="26FAB199" w14:textId="77777777" w:rsidR="003E1D81" w:rsidRDefault="00EB481C">
      <w:pPr>
        <w:pStyle w:val="P68B1DB1-Normal4"/>
        <w:spacing w:before="120" w:after="120" w:line="240" w:lineRule="auto"/>
        <w:jc w:val="both"/>
        <w:rPr>
          <w:rFonts w:cs="Times New Roman"/>
          <w:noProof/>
        </w:rPr>
      </w:pPr>
      <w:r>
        <w:rPr>
          <w:noProof/>
        </w:rPr>
        <w:t xml:space="preserve">A beruházás nagy része a regionális kormányzatok által a szociális szolgáltatások technológiai átalakítására, valamint a lakásvédelemhez és a nevelőcsaládokhoz kapcsolódó infrastruktúra és szolgáltatások korszerűsítésére irányuló projektekből áll.  </w:t>
      </w:r>
    </w:p>
    <w:p w14:paraId="7A7C04E8" w14:textId="33506554" w:rsidR="003E1D81" w:rsidRDefault="00EB481C">
      <w:pPr>
        <w:pStyle w:val="P68B1DB1-Normal22"/>
        <w:spacing w:before="120" w:after="120" w:line="240" w:lineRule="auto"/>
        <w:jc w:val="both"/>
        <w:rPr>
          <w:rFonts w:cs="Times New Roman"/>
          <w:noProof/>
        </w:rPr>
      </w:pPr>
      <w:r>
        <w:rPr>
          <w:noProof/>
        </w:rPr>
        <w:t>Az int</w:t>
      </w:r>
      <w:r>
        <w:rPr>
          <w:noProof/>
        </w:rPr>
        <w:t>ézkedés végrehajtását 2025. december 31-ig be kell fejezni.</w:t>
      </w:r>
    </w:p>
    <w:p w14:paraId="02D53FAE" w14:textId="77777777" w:rsidR="003E1D81" w:rsidRDefault="00EB481C">
      <w:pPr>
        <w:pStyle w:val="P68B1DB1-Normal6"/>
        <w:spacing w:before="120" w:after="120" w:line="240" w:lineRule="auto"/>
        <w:jc w:val="both"/>
        <w:rPr>
          <w:rFonts w:cs="Times New Roman"/>
          <w:noProof/>
        </w:rPr>
      </w:pPr>
      <w:r>
        <w:rPr>
          <w:noProof/>
        </w:rPr>
        <w:t xml:space="preserve">Beruházás </w:t>
      </w:r>
      <w:r>
        <w:rPr>
          <w:noProof/>
          <w:shd w:val="clear" w:color="auto" w:fill="FFFFFF"/>
        </w:rPr>
        <w:t>(C22.I3)</w:t>
      </w:r>
      <w:r>
        <w:rPr>
          <w:noProof/>
        </w:rPr>
        <w:t xml:space="preserve">: Spanyolország akadálymentes országterve </w:t>
      </w:r>
    </w:p>
    <w:p w14:paraId="49F8B261" w14:textId="77777777" w:rsidR="003E1D81" w:rsidRDefault="00EB481C">
      <w:pPr>
        <w:pStyle w:val="P68B1DB1-Normal4"/>
        <w:spacing w:before="120" w:after="120" w:line="240" w:lineRule="auto"/>
        <w:jc w:val="both"/>
        <w:rPr>
          <w:rFonts w:cs="Times New Roman"/>
          <w:noProof/>
        </w:rPr>
      </w:pPr>
      <w:r>
        <w:rPr>
          <w:noProof/>
        </w:rPr>
        <w:t xml:space="preserve">Spanyolország beruházásokat hajt végre a fogyatékossággal élő személyek közszolgáltatásokhoz való hozzáférésének javítása érdekében, a </w:t>
      </w:r>
      <w:r>
        <w:rPr>
          <w:noProof/>
        </w:rPr>
        <w:t>hatóságokkal folytatott kommunikáció kognitív hozzáférhetőségének javítására összpontosítva (beleértve a weboldalakat is), valamint a középületekhez és a közterületekhez való fizikai hozzáférés javítására; az egészségügyi szolgáltatások fizikai tereinek me</w:t>
      </w:r>
      <w:r>
        <w:rPr>
          <w:noProof/>
        </w:rPr>
        <w:t>gfelelősége; akadálymentesítés az oktatási központokban; valamint a tömegközlekedés elhelyezése, beleértve a városi és vidéki területek közötti megközelíthetőséget is. Pénzügyi támogatást kell nyújtani az önkormányzatoknak a munkálatok kivitelezéséhez és a</w:t>
      </w:r>
      <w:r>
        <w:rPr>
          <w:noProof/>
        </w:rPr>
        <w:t xml:space="preserve"> berendezések beszerzéséhez, különösen a vidéki területeken. A beruházásokat a kognitív hozzáférhetőség területén kommunikációs és figyelemfelkeltő kampányokra, valamint K+F+I kutatási projektekre is kell fordítani.</w:t>
      </w:r>
    </w:p>
    <w:p w14:paraId="64E0079C" w14:textId="2E4C1A17" w:rsidR="003E1D81" w:rsidRDefault="00EB481C">
      <w:pPr>
        <w:pStyle w:val="P68B1DB1-Normal22"/>
        <w:spacing w:before="120" w:after="120" w:line="240" w:lineRule="auto"/>
        <w:jc w:val="both"/>
        <w:rPr>
          <w:rFonts w:cs="Times New Roman"/>
          <w:noProof/>
        </w:rPr>
      </w:pPr>
      <w:r>
        <w:rPr>
          <w:noProof/>
        </w:rPr>
        <w:t>Az intézkedés végrehajtását 2024. márciu</w:t>
      </w:r>
      <w:r>
        <w:rPr>
          <w:noProof/>
        </w:rPr>
        <w:t>s 31-ig be kell fejezni.</w:t>
      </w:r>
    </w:p>
    <w:p w14:paraId="2AB0DBDB" w14:textId="77777777" w:rsidR="003E1D81" w:rsidRDefault="00EB481C">
      <w:pPr>
        <w:pStyle w:val="P68B1DB1-Normal4"/>
        <w:spacing w:before="120" w:after="120" w:line="240" w:lineRule="auto"/>
        <w:jc w:val="both"/>
        <w:rPr>
          <w:rFonts w:cs="Times New Roman"/>
          <w:noProof/>
          <w:u w:val="single"/>
        </w:rPr>
      </w:pPr>
      <w:r>
        <w:rPr>
          <w:noProof/>
          <w:u w:val="single"/>
        </w:rPr>
        <w:t xml:space="preserve">Beruházás </w:t>
      </w:r>
      <w:r>
        <w:rPr>
          <w:noProof/>
          <w:u w:val="single"/>
          <w:shd w:val="clear" w:color="auto" w:fill="FFFFFF"/>
        </w:rPr>
        <w:t>(C22.I4)</w:t>
      </w:r>
      <w:r>
        <w:rPr>
          <w:noProof/>
          <w:u w:val="single"/>
        </w:rPr>
        <w:t>: A terv Spanyolország védelmet nyújt Önnek a nemi alapú erőszakkal szemben</w:t>
      </w:r>
      <w:r>
        <w:rPr>
          <w:noProof/>
        </w:rPr>
        <w:t xml:space="preserve"> </w:t>
      </w:r>
    </w:p>
    <w:p w14:paraId="5DEF3A9F" w14:textId="4571CCEE" w:rsidR="003E1D81" w:rsidRDefault="00EB481C">
      <w:pPr>
        <w:pStyle w:val="P68B1DB1-Normal4"/>
        <w:spacing w:before="120" w:after="120" w:line="240" w:lineRule="auto"/>
        <w:jc w:val="both"/>
        <w:rPr>
          <w:rFonts w:cs="Times New Roman"/>
          <w:noProof/>
        </w:rPr>
      </w:pPr>
      <w:r>
        <w:rPr>
          <w:noProof/>
        </w:rPr>
        <w:t>Spanyolország beruház a nők elleni erőszak áldozatainak támogatását célzó telefon- és online szolgáltatásokba, beleértve az emberkereske</w:t>
      </w:r>
      <w:r>
        <w:rPr>
          <w:noProof/>
        </w:rPr>
        <w:t>delem és a szexuális kizsákmányolás áldozatait is. Magában foglalja a 24 órás válságsegítő központokat valamennyi tartományban, beleértve Ceutát és Melillát is, figyelembe véve az anonimitás biztosításával és a demográfiai szempontokkal kapcsolatos kihívás</w:t>
      </w:r>
      <w:r>
        <w:rPr>
          <w:noProof/>
        </w:rPr>
        <w:t xml:space="preserve">okat. E központok létrehozása részét képezi az Európa Tanács nőkkel szembeni erőszak és a kapcsolati erőszak megelőzéséről és leküzdéséről szóló egyezménye iránti kötelezettségvállalásának, amelyet Spanyolország számára 2014-ben ratifikáltak. A beruházás </w:t>
      </w:r>
      <w:r>
        <w:rPr>
          <w:noProof/>
          <w:shd w:val="clear" w:color="auto" w:fill="FFFFFF"/>
        </w:rPr>
        <w:t>e</w:t>
      </w:r>
      <w:r>
        <w:rPr>
          <w:noProof/>
          <w:shd w:val="clear" w:color="auto" w:fill="FFFFFF"/>
        </w:rPr>
        <w:t>gy új szociális és foglalkoztatási tanácsadó szolgálatot is létrehoz</w:t>
      </w:r>
      <w:r>
        <w:rPr>
          <w:noProof/>
        </w:rPr>
        <w:t xml:space="preserve">, amely különböző típusú szolgáltatásokat nyújt, beleértve a jogi tanácsadást, a pszichológiai és érzelmi támogatást, valamint a </w:t>
      </w:r>
      <w:r>
        <w:rPr>
          <w:noProof/>
          <w:shd w:val="clear" w:color="auto" w:fill="FFFFFF"/>
        </w:rPr>
        <w:t>munkaerő-piaci integrációhoz nyújtott segítséget</w:t>
      </w:r>
      <w:r>
        <w:rPr>
          <w:noProof/>
        </w:rPr>
        <w:t>. A távsegí</w:t>
      </w:r>
      <w:r>
        <w:rPr>
          <w:noProof/>
        </w:rPr>
        <w:t xml:space="preserve">tség magában foglalja az áldozatok védelmét is, beleértve a távolságtartási intézkedések nyomon követésére szolgáló eszközöket is. </w:t>
      </w:r>
    </w:p>
    <w:p w14:paraId="3DA8D7D7" w14:textId="54B650C1" w:rsidR="003E1D81" w:rsidRDefault="00EB481C">
      <w:pPr>
        <w:pStyle w:val="P68B1DB1-Normal22"/>
        <w:spacing w:before="120" w:after="120" w:line="240" w:lineRule="auto"/>
        <w:jc w:val="both"/>
        <w:rPr>
          <w:rFonts w:cs="Times New Roman"/>
          <w:noProof/>
        </w:rPr>
      </w:pPr>
      <w:r>
        <w:rPr>
          <w:noProof/>
        </w:rPr>
        <w:t>Az intézkedés végrehajtását 2025. december 31-ig be kell fejezni.</w:t>
      </w:r>
    </w:p>
    <w:p w14:paraId="116D2ED2" w14:textId="77777777" w:rsidR="003E1D81" w:rsidRDefault="00EB481C">
      <w:pPr>
        <w:pStyle w:val="P68B1DB1-Normal4"/>
        <w:spacing w:before="120" w:after="120" w:line="240" w:lineRule="auto"/>
        <w:jc w:val="both"/>
        <w:rPr>
          <w:rFonts w:cs="Times New Roman"/>
          <w:noProof/>
        </w:rPr>
      </w:pPr>
      <w:r>
        <w:rPr>
          <w:noProof/>
          <w:u w:val="single"/>
        </w:rPr>
        <w:t xml:space="preserve">Beruházás </w:t>
      </w:r>
      <w:r>
        <w:rPr>
          <w:noProof/>
          <w:u w:val="single"/>
          <w:shd w:val="clear" w:color="auto" w:fill="FFFFFF"/>
        </w:rPr>
        <w:t>(C22.I5)</w:t>
      </w:r>
      <w:r>
        <w:rPr>
          <w:noProof/>
          <w:u w:val="single"/>
        </w:rPr>
        <w:t>: A migránsok és a nemzetközi védelmet k</w:t>
      </w:r>
      <w:r>
        <w:rPr>
          <w:noProof/>
          <w:u w:val="single"/>
        </w:rPr>
        <w:t>érelmezők befogadási rendszere kapacitásának és hatékonyságának növelése</w:t>
      </w:r>
      <w:r>
        <w:rPr>
          <w:noProof/>
        </w:rPr>
        <w:t xml:space="preserve"> </w:t>
      </w:r>
    </w:p>
    <w:p w14:paraId="24A9EE5B" w14:textId="77777777" w:rsidR="003E1D81" w:rsidRDefault="00EB481C">
      <w:pPr>
        <w:pStyle w:val="P68B1DB1-Normal4"/>
        <w:spacing w:before="120" w:after="120" w:line="240" w:lineRule="auto"/>
        <w:jc w:val="both"/>
        <w:rPr>
          <w:rFonts w:cs="Times New Roman"/>
          <w:noProof/>
        </w:rPr>
      </w:pPr>
      <w:r>
        <w:rPr>
          <w:noProof/>
        </w:rPr>
        <w:t>Spanyolország beruházásokat hajt végre a befogadási rendszer kapacitásának növelésébe azáltal, hogy növeli az állam közvetlen részvételét a befogadó hálózat erőforrásaiban. Ez hozzáj</w:t>
      </w:r>
      <w:r>
        <w:rPr>
          <w:noProof/>
        </w:rPr>
        <w:t>árul a szállás és a befogadási szolgáltatások nagyobb stabilitásának biztosításához. A beruházás magában foglalja a rendszer következő három évre vonatkozó szükségleteinek értékelését, a meglévő központok rehabilitációjának és felújításának támogatását, va</w:t>
      </w:r>
      <w:r>
        <w:rPr>
          <w:noProof/>
        </w:rPr>
        <w:t>lamint a beszerzésre, az új épületek építésére és a meglévő épületek esetleges felújítására vonatkozó adminisztratív eljárásokat, biztosítva az energiahatékonyságot. A bevált gyakorlatok értékelése alapján Spanyolország meghatározza a befogadóállomások har</w:t>
      </w:r>
      <w:r>
        <w:rPr>
          <w:noProof/>
        </w:rPr>
        <w:t>madik felek általi irányítását is. Végezetül, a beruházásnak ki kell terjednie a központok digitalizálására és egy új digitális architektúra kifejlesztésére annak érdekében, hogy javuljon az irányításuk, és könnyebbé váljon a kérelmezők helyeinek az autonó</w:t>
      </w:r>
      <w:r>
        <w:rPr>
          <w:noProof/>
        </w:rPr>
        <w:t xml:space="preserve">m közösségek közötti elosztása. </w:t>
      </w:r>
    </w:p>
    <w:p w14:paraId="2629D826" w14:textId="41C66B3A" w:rsidR="003E1D81" w:rsidRDefault="00EB481C">
      <w:pPr>
        <w:pStyle w:val="P68B1DB1-Normal22"/>
        <w:spacing w:before="120" w:after="120" w:line="240" w:lineRule="auto"/>
        <w:jc w:val="both"/>
        <w:rPr>
          <w:rFonts w:cs="Times New Roman"/>
          <w:noProof/>
        </w:rPr>
      </w:pPr>
      <w:r>
        <w:rPr>
          <w:noProof/>
        </w:rPr>
        <w:t>Az intézkedés végrehajtását 2026. június 30-ig be kell fejezni.</w:t>
      </w:r>
    </w:p>
    <w:p w14:paraId="2E560166" w14:textId="77777777" w:rsidR="003E1D81" w:rsidRDefault="00EB481C">
      <w:pPr>
        <w:pStyle w:val="P68B1DB1-Normal5"/>
        <w:spacing w:before="120" w:after="120" w:line="240" w:lineRule="auto"/>
        <w:ind w:left="709"/>
        <w:jc w:val="both"/>
        <w:rPr>
          <w:rFonts w:cs="Times New Roman"/>
          <w:noProof/>
        </w:rPr>
      </w:pPr>
      <w:r>
        <w:rPr>
          <w:noProof/>
        </w:rPr>
        <w:t xml:space="preserve">V.2. </w:t>
      </w:r>
      <w:r>
        <w:rPr>
          <w:noProof/>
        </w:rPr>
        <w:tab/>
        <w:t>Vissza nem térítendő pénzügyi támogatás – a végrehajtáshoz és a nyomon követéshez kapcsolódó mérföldkövek, célok, mutatók és ütemterv</w:t>
      </w:r>
    </w:p>
    <w:p w14:paraId="3480667E" w14:textId="77777777"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 xml:space="preserve">Az </w:t>
      </w:r>
      <w:r>
        <w:rPr>
          <w:i/>
          <w:noProof/>
        </w:rPr>
        <w:t>alapforgatókönyv valamennyi mutató esetében 2020. február 1-je, kivéve, ha az intézkedés leírása másként jelzi. A táblázatban szereplő összegek nem tartalmazzák a héát.</w:t>
      </w:r>
    </w:p>
    <w:p w14:paraId="3CE8D1B5" w14:textId="77777777" w:rsidR="003E1D81" w:rsidRDefault="003E1D81">
      <w:pPr>
        <w:spacing w:before="120" w:after="120" w:line="240" w:lineRule="auto"/>
        <w:ind w:left="709"/>
        <w:jc w:val="both"/>
        <w:rPr>
          <w:rFonts w:ascii="Times New Roman" w:hAnsi="Times New Roman" w:cs="Times New Roman"/>
          <w:noProof/>
          <w:sz w:val="24"/>
        </w:rPr>
        <w:sectPr w:rsidR="003E1D81" w:rsidSect="00C94F66">
          <w:headerReference w:type="even" r:id="rId423"/>
          <w:headerReference w:type="default" r:id="rId424"/>
          <w:footerReference w:type="even" r:id="rId425"/>
          <w:footerReference w:type="default" r:id="rId426"/>
          <w:headerReference w:type="first" r:id="rId427"/>
          <w:footerReference w:type="first" r:id="rId428"/>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992"/>
        <w:gridCol w:w="3119"/>
        <w:gridCol w:w="992"/>
        <w:gridCol w:w="850"/>
        <w:gridCol w:w="851"/>
        <w:gridCol w:w="709"/>
        <w:gridCol w:w="567"/>
        <w:gridCol w:w="810"/>
        <w:gridCol w:w="4860"/>
      </w:tblGrid>
      <w:tr w:rsidR="003E1D81" w14:paraId="18B741AF" w14:textId="77777777">
        <w:trPr>
          <w:trHeight w:val="309"/>
          <w:tblHeader/>
        </w:trPr>
        <w:tc>
          <w:tcPr>
            <w:tcW w:w="709" w:type="dxa"/>
            <w:tcBorders>
              <w:bottom w:val="nil"/>
            </w:tcBorders>
            <w:shd w:val="clear" w:color="auto" w:fill="C6D9F1" w:themeFill="text2" w:themeFillTint="33"/>
            <w:noWrap/>
            <w:vAlign w:val="center"/>
          </w:tcPr>
          <w:p w14:paraId="4AC1CFBD" w14:textId="77777777" w:rsidR="003E1D81" w:rsidRDefault="00EB481C">
            <w:pPr>
              <w:pStyle w:val="P68B1DB1-Normal12"/>
              <w:spacing w:after="0" w:line="240" w:lineRule="auto"/>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084B6E57" w14:textId="77777777" w:rsidR="003E1D81" w:rsidRDefault="00EB481C">
            <w:pPr>
              <w:pStyle w:val="P68B1DB1-Normal12"/>
              <w:spacing w:after="0" w:line="240" w:lineRule="auto"/>
              <w:jc w:val="center"/>
              <w:rPr>
                <w:rFonts w:cs="Times New Roman"/>
                <w:noProof/>
              </w:rPr>
            </w:pPr>
            <w:r>
              <w:rPr>
                <w:noProof/>
              </w:rPr>
              <w:t>Intézkedés</w:t>
            </w:r>
          </w:p>
        </w:tc>
        <w:tc>
          <w:tcPr>
            <w:tcW w:w="992" w:type="dxa"/>
            <w:tcBorders>
              <w:bottom w:val="nil"/>
            </w:tcBorders>
            <w:shd w:val="clear" w:color="auto" w:fill="C6D9F1" w:themeFill="text2" w:themeFillTint="33"/>
            <w:noWrap/>
            <w:vAlign w:val="center"/>
          </w:tcPr>
          <w:p w14:paraId="50D4A991" w14:textId="77777777" w:rsidR="003E1D81" w:rsidRDefault="00EB481C">
            <w:pPr>
              <w:pStyle w:val="P68B1DB1-Normal12"/>
              <w:spacing w:after="0" w:line="240" w:lineRule="auto"/>
              <w:jc w:val="center"/>
              <w:rPr>
                <w:rFonts w:cs="Times New Roman"/>
                <w:noProof/>
              </w:rPr>
            </w:pPr>
            <w:r>
              <w:rPr>
                <w:noProof/>
              </w:rPr>
              <w:t>Mérföldkő</w:t>
            </w:r>
            <w:r>
              <w:rPr>
                <w:noProof/>
              </w:rPr>
              <w:br/>
            </w:r>
            <w:r>
              <w:rPr>
                <w:noProof/>
              </w:rPr>
              <w:t xml:space="preserve"> /Cél</w:t>
            </w:r>
          </w:p>
        </w:tc>
        <w:tc>
          <w:tcPr>
            <w:tcW w:w="3119" w:type="dxa"/>
            <w:tcBorders>
              <w:bottom w:val="nil"/>
            </w:tcBorders>
            <w:shd w:val="clear" w:color="auto" w:fill="C6D9F1" w:themeFill="text2" w:themeFillTint="33"/>
            <w:noWrap/>
            <w:vAlign w:val="center"/>
          </w:tcPr>
          <w:p w14:paraId="0979EEBB" w14:textId="77777777" w:rsidR="003E1D81" w:rsidRDefault="00EB481C">
            <w:pPr>
              <w:pStyle w:val="P68B1DB1-Normal12"/>
              <w:spacing w:after="0" w:line="240" w:lineRule="auto"/>
              <w:jc w:val="center"/>
              <w:rPr>
                <w:rFonts w:cs="Times New Roman"/>
                <w:noProof/>
              </w:rPr>
            </w:pPr>
            <w:r>
              <w:rPr>
                <w:noProof/>
              </w:rPr>
              <w:t>Név</w:t>
            </w:r>
          </w:p>
        </w:tc>
        <w:tc>
          <w:tcPr>
            <w:tcW w:w="992" w:type="dxa"/>
            <w:tcBorders>
              <w:bottom w:val="nil"/>
            </w:tcBorders>
            <w:shd w:val="clear" w:color="auto" w:fill="C6D9F1" w:themeFill="text2" w:themeFillTint="33"/>
            <w:noWrap/>
            <w:vAlign w:val="center"/>
          </w:tcPr>
          <w:p w14:paraId="25C82140"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2410" w:type="dxa"/>
            <w:gridSpan w:val="3"/>
            <w:shd w:val="clear" w:color="auto" w:fill="C6D9F1" w:themeFill="text2" w:themeFillTint="33"/>
            <w:noWrap/>
            <w:vAlign w:val="center"/>
          </w:tcPr>
          <w:p w14:paraId="09B05943"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1377" w:type="dxa"/>
            <w:gridSpan w:val="2"/>
            <w:shd w:val="clear" w:color="auto" w:fill="C6D9F1" w:themeFill="text2" w:themeFillTint="33"/>
            <w:noWrap/>
            <w:vAlign w:val="center"/>
          </w:tcPr>
          <w:p w14:paraId="4D5D1DFB" w14:textId="77777777" w:rsidR="003E1D81" w:rsidRDefault="00EB481C">
            <w:pPr>
              <w:pStyle w:val="P68B1DB1-Normal12"/>
              <w:spacing w:after="0" w:line="240" w:lineRule="auto"/>
              <w:jc w:val="center"/>
              <w:rPr>
                <w:rFonts w:cs="Times New Roman"/>
                <w:noProof/>
              </w:rPr>
            </w:pPr>
            <w:r>
              <w:rPr>
                <w:noProof/>
              </w:rPr>
              <w:t>Idő</w:t>
            </w:r>
          </w:p>
        </w:tc>
        <w:tc>
          <w:tcPr>
            <w:tcW w:w="4860" w:type="dxa"/>
            <w:tcBorders>
              <w:bottom w:val="nil"/>
            </w:tcBorders>
            <w:shd w:val="clear" w:color="auto" w:fill="C6D9F1" w:themeFill="text2" w:themeFillTint="33"/>
            <w:noWrap/>
            <w:vAlign w:val="center"/>
          </w:tcPr>
          <w:p w14:paraId="0853FA55"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10375DAF" w14:textId="77777777">
        <w:trPr>
          <w:trHeight w:val="309"/>
          <w:tblHeader/>
        </w:trPr>
        <w:tc>
          <w:tcPr>
            <w:tcW w:w="709" w:type="dxa"/>
            <w:tcBorders>
              <w:top w:val="nil"/>
            </w:tcBorders>
            <w:shd w:val="clear" w:color="auto" w:fill="C6D9F1" w:themeFill="text2" w:themeFillTint="33"/>
            <w:noWrap/>
          </w:tcPr>
          <w:p w14:paraId="495F8FE5"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2201C4E" w14:textId="77777777" w:rsidR="003E1D81" w:rsidRDefault="003E1D81">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54EACD8D" w14:textId="77777777" w:rsidR="003E1D81" w:rsidRDefault="003E1D81">
            <w:pPr>
              <w:spacing w:after="0" w:line="240" w:lineRule="auto"/>
              <w:jc w:val="center"/>
              <w:rPr>
                <w:rFonts w:ascii="Times New Roman" w:hAnsi="Times New Roman" w:cs="Times New Roman"/>
                <w:b/>
                <w:noProof/>
                <w:sz w:val="18"/>
              </w:rPr>
            </w:pPr>
          </w:p>
        </w:tc>
        <w:tc>
          <w:tcPr>
            <w:tcW w:w="3119" w:type="dxa"/>
            <w:tcBorders>
              <w:top w:val="nil"/>
            </w:tcBorders>
            <w:shd w:val="clear" w:color="auto" w:fill="C6D9F1" w:themeFill="text2" w:themeFillTint="33"/>
            <w:noWrap/>
          </w:tcPr>
          <w:p w14:paraId="4EDC85BF" w14:textId="77777777" w:rsidR="003E1D81" w:rsidRDefault="003E1D81">
            <w:pPr>
              <w:spacing w:after="0" w:line="240" w:lineRule="auto"/>
              <w:rPr>
                <w:rFonts w:ascii="Times New Roman" w:hAnsi="Times New Roman" w:cs="Times New Roman"/>
                <w:b/>
                <w:noProof/>
                <w:sz w:val="18"/>
              </w:rPr>
            </w:pPr>
          </w:p>
        </w:tc>
        <w:tc>
          <w:tcPr>
            <w:tcW w:w="992" w:type="dxa"/>
            <w:tcBorders>
              <w:top w:val="nil"/>
            </w:tcBorders>
            <w:shd w:val="clear" w:color="auto" w:fill="C6D9F1" w:themeFill="text2" w:themeFillTint="33"/>
            <w:noWrap/>
          </w:tcPr>
          <w:p w14:paraId="7D03BCF6" w14:textId="77777777" w:rsidR="003E1D81" w:rsidRDefault="003E1D81">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13751BA3" w14:textId="77777777" w:rsidR="003E1D81" w:rsidRDefault="00EB481C">
            <w:pPr>
              <w:pStyle w:val="P68B1DB1-Normal12"/>
              <w:spacing w:after="0" w:line="240" w:lineRule="auto"/>
              <w:jc w:val="center"/>
              <w:rPr>
                <w:rFonts w:cs="Times New Roman"/>
                <w:noProof/>
              </w:rPr>
            </w:pPr>
            <w:r>
              <w:rPr>
                <w:noProof/>
              </w:rPr>
              <w:t>Egység</w:t>
            </w:r>
          </w:p>
        </w:tc>
        <w:tc>
          <w:tcPr>
            <w:tcW w:w="851" w:type="dxa"/>
            <w:shd w:val="clear" w:color="auto" w:fill="C6D9F1" w:themeFill="text2" w:themeFillTint="33"/>
            <w:noWrap/>
          </w:tcPr>
          <w:p w14:paraId="0EB1EFD8" w14:textId="77777777" w:rsidR="003E1D81" w:rsidRDefault="00EB481C">
            <w:pPr>
              <w:pStyle w:val="P68B1DB1-Normal12"/>
              <w:spacing w:after="0" w:line="240" w:lineRule="auto"/>
              <w:jc w:val="center"/>
              <w:rPr>
                <w:rFonts w:cs="Times New Roman"/>
                <w:noProof/>
              </w:rPr>
            </w:pPr>
            <w:r>
              <w:rPr>
                <w:noProof/>
              </w:rPr>
              <w:t>Kiindulási</w:t>
            </w:r>
          </w:p>
        </w:tc>
        <w:tc>
          <w:tcPr>
            <w:tcW w:w="709" w:type="dxa"/>
            <w:shd w:val="clear" w:color="auto" w:fill="C6D9F1" w:themeFill="text2" w:themeFillTint="33"/>
            <w:noWrap/>
          </w:tcPr>
          <w:p w14:paraId="5B4AEAB6" w14:textId="77777777" w:rsidR="003E1D81" w:rsidRDefault="00EB481C">
            <w:pPr>
              <w:pStyle w:val="P68B1DB1-Normal12"/>
              <w:spacing w:after="0" w:line="240" w:lineRule="auto"/>
              <w:jc w:val="center"/>
              <w:rPr>
                <w:rFonts w:cs="Times New Roman"/>
                <w:noProof/>
              </w:rPr>
            </w:pPr>
            <w:r>
              <w:rPr>
                <w:noProof/>
              </w:rPr>
              <w:t>Cél</w:t>
            </w:r>
          </w:p>
        </w:tc>
        <w:tc>
          <w:tcPr>
            <w:tcW w:w="567" w:type="dxa"/>
            <w:shd w:val="clear" w:color="auto" w:fill="C6D9F1" w:themeFill="text2" w:themeFillTint="33"/>
            <w:noWrap/>
          </w:tcPr>
          <w:p w14:paraId="641B3FA0" w14:textId="77777777" w:rsidR="003E1D81" w:rsidRDefault="00EB481C">
            <w:pPr>
              <w:pStyle w:val="P68B1DB1-Normal12"/>
              <w:spacing w:after="0" w:line="240" w:lineRule="auto"/>
              <w:jc w:val="center"/>
              <w:rPr>
                <w:rFonts w:cs="Times New Roman"/>
                <w:noProof/>
              </w:rPr>
            </w:pPr>
            <w:r>
              <w:rPr>
                <w:noProof/>
              </w:rPr>
              <w:t>Q</w:t>
            </w:r>
          </w:p>
        </w:tc>
        <w:tc>
          <w:tcPr>
            <w:tcW w:w="810" w:type="dxa"/>
            <w:shd w:val="clear" w:color="auto" w:fill="C6D9F1" w:themeFill="text2" w:themeFillTint="33"/>
            <w:noWrap/>
          </w:tcPr>
          <w:p w14:paraId="0464D277" w14:textId="77777777" w:rsidR="003E1D81" w:rsidRDefault="00EB481C">
            <w:pPr>
              <w:pStyle w:val="P68B1DB1-Normal12"/>
              <w:spacing w:after="0" w:line="240" w:lineRule="auto"/>
              <w:jc w:val="center"/>
              <w:rPr>
                <w:rFonts w:cs="Times New Roman"/>
                <w:noProof/>
              </w:rPr>
            </w:pPr>
            <w:r>
              <w:rPr>
                <w:noProof/>
              </w:rPr>
              <w:t>Éve</w:t>
            </w:r>
          </w:p>
        </w:tc>
        <w:tc>
          <w:tcPr>
            <w:tcW w:w="4860" w:type="dxa"/>
            <w:tcBorders>
              <w:top w:val="nil"/>
            </w:tcBorders>
            <w:shd w:val="clear" w:color="auto" w:fill="C6D9F1" w:themeFill="text2" w:themeFillTint="33"/>
            <w:noWrap/>
            <w:vAlign w:val="center"/>
          </w:tcPr>
          <w:p w14:paraId="2AEAE3F1" w14:textId="77777777" w:rsidR="003E1D81" w:rsidRDefault="003E1D81">
            <w:pPr>
              <w:spacing w:after="0" w:line="240" w:lineRule="auto"/>
              <w:rPr>
                <w:rFonts w:ascii="Times New Roman" w:hAnsi="Times New Roman" w:cs="Times New Roman"/>
                <w:b/>
                <w:noProof/>
                <w:sz w:val="18"/>
              </w:rPr>
            </w:pPr>
          </w:p>
        </w:tc>
      </w:tr>
      <w:tr w:rsidR="003E1D81" w14:paraId="3AA48DBB" w14:textId="77777777">
        <w:trPr>
          <w:trHeight w:val="309"/>
        </w:trPr>
        <w:tc>
          <w:tcPr>
            <w:tcW w:w="709" w:type="dxa"/>
            <w:shd w:val="clear" w:color="auto" w:fill="C6EFCE"/>
            <w:noWrap/>
          </w:tcPr>
          <w:p w14:paraId="3711C0D7" w14:textId="77777777" w:rsidR="003E1D81" w:rsidRDefault="00EB481C">
            <w:pPr>
              <w:pStyle w:val="P68B1DB1-Normal13"/>
              <w:spacing w:after="0" w:line="240" w:lineRule="auto"/>
              <w:jc w:val="center"/>
              <w:rPr>
                <w:rFonts w:eastAsia="Times New Roman" w:cs="Times New Roman"/>
                <w:noProof/>
              </w:rPr>
            </w:pPr>
            <w:r>
              <w:rPr>
                <w:noProof/>
              </w:rPr>
              <w:t>314</w:t>
            </w:r>
          </w:p>
        </w:tc>
        <w:tc>
          <w:tcPr>
            <w:tcW w:w="851" w:type="dxa"/>
            <w:shd w:val="clear" w:color="auto" w:fill="C6EFCE"/>
            <w:noWrap/>
          </w:tcPr>
          <w:p w14:paraId="3F1FCFC6" w14:textId="77777777" w:rsidR="003E1D81" w:rsidRDefault="00EB481C">
            <w:pPr>
              <w:pStyle w:val="P68B1DB1-Normal13"/>
              <w:spacing w:after="0" w:line="240" w:lineRule="auto"/>
              <w:jc w:val="center"/>
              <w:rPr>
                <w:rFonts w:eastAsia="Times New Roman" w:cs="Times New Roman"/>
                <w:noProof/>
              </w:rPr>
            </w:pPr>
            <w:r>
              <w:rPr>
                <w:noProof/>
              </w:rPr>
              <w:t>C22.R1</w:t>
            </w:r>
          </w:p>
        </w:tc>
        <w:tc>
          <w:tcPr>
            <w:tcW w:w="992" w:type="dxa"/>
            <w:shd w:val="clear" w:color="auto" w:fill="C6EFCE"/>
            <w:noWrap/>
          </w:tcPr>
          <w:p w14:paraId="4272A656" w14:textId="77777777" w:rsidR="003E1D81" w:rsidRDefault="00EB481C">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43640F0D" w14:textId="77777777" w:rsidR="003E1D81" w:rsidRDefault="00EB481C">
            <w:pPr>
              <w:pStyle w:val="P68B1DB1-Normal13"/>
              <w:spacing w:after="0" w:line="240" w:lineRule="auto"/>
              <w:rPr>
                <w:rFonts w:eastAsia="Times New Roman" w:cs="Times New Roman"/>
                <w:noProof/>
              </w:rPr>
            </w:pPr>
            <w:r>
              <w:rPr>
                <w:noProof/>
              </w:rPr>
              <w:t xml:space="preserve">Az autonóm és függő ellátás rendszerének (SAAD) értékelését a területi tanács hagyja jóvá. </w:t>
            </w:r>
          </w:p>
        </w:tc>
        <w:tc>
          <w:tcPr>
            <w:tcW w:w="992" w:type="dxa"/>
            <w:shd w:val="clear" w:color="auto" w:fill="C6EFCE"/>
            <w:noWrap/>
          </w:tcPr>
          <w:p w14:paraId="70A24F72" w14:textId="77777777" w:rsidR="003E1D81" w:rsidRDefault="00EB481C">
            <w:pPr>
              <w:pStyle w:val="P68B1DB1-Normal13"/>
              <w:spacing w:after="0" w:line="240" w:lineRule="auto"/>
              <w:jc w:val="center"/>
              <w:rPr>
                <w:rFonts w:eastAsia="Times New Roman" w:cs="Times New Roman"/>
                <w:noProof/>
              </w:rPr>
            </w:pPr>
            <w:r>
              <w:rPr>
                <w:noProof/>
              </w:rPr>
              <w:t xml:space="preserve">Az értékelés közzététele </w:t>
            </w:r>
          </w:p>
        </w:tc>
        <w:tc>
          <w:tcPr>
            <w:tcW w:w="850" w:type="dxa"/>
            <w:shd w:val="clear" w:color="auto" w:fill="C6EFCE"/>
            <w:noWrap/>
          </w:tcPr>
          <w:p w14:paraId="1DCEAD92" w14:textId="77777777" w:rsidR="003E1D81" w:rsidRDefault="00EB481C">
            <w:pPr>
              <w:pStyle w:val="P68B1DB1-Normal13"/>
              <w:spacing w:after="0" w:line="240" w:lineRule="auto"/>
              <w:jc w:val="center"/>
              <w:rPr>
                <w:rFonts w:eastAsia="Times New Roman" w:cs="Times New Roman"/>
                <w:noProof/>
              </w:rPr>
            </w:pPr>
            <w:r>
              <w:rPr>
                <w:noProof/>
              </w:rPr>
              <w:t> </w:t>
            </w:r>
          </w:p>
        </w:tc>
        <w:tc>
          <w:tcPr>
            <w:tcW w:w="851" w:type="dxa"/>
            <w:shd w:val="clear" w:color="auto" w:fill="C6EFCE"/>
            <w:noWrap/>
          </w:tcPr>
          <w:p w14:paraId="1CE575E9" w14:textId="77777777" w:rsidR="003E1D81" w:rsidRDefault="00EB481C">
            <w:pPr>
              <w:pStyle w:val="P68B1DB1-Normal13"/>
              <w:spacing w:after="0" w:line="240" w:lineRule="auto"/>
              <w:jc w:val="right"/>
              <w:rPr>
                <w:rFonts w:eastAsia="Times New Roman" w:cs="Times New Roman"/>
                <w:noProof/>
              </w:rPr>
            </w:pPr>
            <w:r>
              <w:rPr>
                <w:noProof/>
              </w:rPr>
              <w:t> </w:t>
            </w:r>
          </w:p>
        </w:tc>
        <w:tc>
          <w:tcPr>
            <w:tcW w:w="709" w:type="dxa"/>
            <w:shd w:val="clear" w:color="auto" w:fill="C6EFCE"/>
            <w:noWrap/>
          </w:tcPr>
          <w:p w14:paraId="29E92424" w14:textId="77777777" w:rsidR="003E1D81" w:rsidRDefault="00EB481C">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701C5144"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810" w:type="dxa"/>
            <w:shd w:val="clear" w:color="auto" w:fill="C6EFCE"/>
            <w:noWrap/>
          </w:tcPr>
          <w:p w14:paraId="096695E4" w14:textId="77777777" w:rsidR="003E1D81" w:rsidRDefault="00EB481C">
            <w:pPr>
              <w:pStyle w:val="P68B1DB1-Normal13"/>
              <w:spacing w:after="0" w:line="240" w:lineRule="auto"/>
              <w:jc w:val="center"/>
              <w:rPr>
                <w:rFonts w:eastAsia="Times New Roman" w:cs="Times New Roman"/>
                <w:noProof/>
              </w:rPr>
            </w:pPr>
            <w:r>
              <w:rPr>
                <w:noProof/>
              </w:rPr>
              <w:t>2022</w:t>
            </w:r>
          </w:p>
        </w:tc>
        <w:tc>
          <w:tcPr>
            <w:tcW w:w="4860" w:type="dxa"/>
            <w:shd w:val="clear" w:color="auto" w:fill="C6EFCE"/>
            <w:noWrap/>
          </w:tcPr>
          <w:p w14:paraId="3F910CCB" w14:textId="77777777" w:rsidR="003E1D81" w:rsidRDefault="00EB481C">
            <w:pPr>
              <w:pStyle w:val="P68B1DB1-Normal13"/>
              <w:spacing w:after="0" w:line="240" w:lineRule="auto"/>
              <w:rPr>
                <w:rFonts w:eastAsia="Times New Roman" w:cs="Times New Roman"/>
                <w:noProof/>
              </w:rPr>
            </w:pPr>
            <w:r>
              <w:rPr>
                <w:noProof/>
              </w:rPr>
              <w:t>Az értékelésre 2021 folyamán kerül sor annak érdekében, hogy mélyreható képet kapjunk a 2020-ban megkezdett tartós ápolá</w:t>
            </w:r>
            <w:r>
              <w:rPr>
                <w:noProof/>
              </w:rPr>
              <w:t xml:space="preserve">si-gondozási reformfolyamat előrehaladásáról és hatásairól. Az értékelés következtetéseit 2022 első felében terjesztik a területi tanács elé. </w:t>
            </w:r>
          </w:p>
        </w:tc>
      </w:tr>
      <w:tr w:rsidR="003E1D81" w14:paraId="09934F86" w14:textId="77777777">
        <w:trPr>
          <w:trHeight w:val="309"/>
        </w:trPr>
        <w:tc>
          <w:tcPr>
            <w:tcW w:w="709" w:type="dxa"/>
            <w:shd w:val="clear" w:color="auto" w:fill="C6EFCE"/>
            <w:noWrap/>
          </w:tcPr>
          <w:p w14:paraId="55DE0B6F" w14:textId="77777777" w:rsidR="003E1D81" w:rsidRDefault="00EB481C">
            <w:pPr>
              <w:pStyle w:val="P68B1DB1-Normal13"/>
              <w:spacing w:after="0" w:line="240" w:lineRule="auto"/>
              <w:jc w:val="center"/>
              <w:rPr>
                <w:rFonts w:eastAsia="Times New Roman" w:cs="Times New Roman"/>
                <w:noProof/>
              </w:rPr>
            </w:pPr>
            <w:r>
              <w:rPr>
                <w:noProof/>
              </w:rPr>
              <w:t>315</w:t>
            </w:r>
          </w:p>
        </w:tc>
        <w:tc>
          <w:tcPr>
            <w:tcW w:w="851" w:type="dxa"/>
            <w:shd w:val="clear" w:color="auto" w:fill="C6EFCE"/>
            <w:noWrap/>
          </w:tcPr>
          <w:p w14:paraId="42698C9F" w14:textId="77777777" w:rsidR="003E1D81" w:rsidRDefault="00EB481C">
            <w:pPr>
              <w:pStyle w:val="P68B1DB1-Normal13"/>
              <w:spacing w:after="0" w:line="240" w:lineRule="auto"/>
              <w:jc w:val="center"/>
              <w:rPr>
                <w:rFonts w:eastAsia="Times New Roman" w:cs="Times New Roman"/>
                <w:noProof/>
              </w:rPr>
            </w:pPr>
            <w:r>
              <w:rPr>
                <w:noProof/>
              </w:rPr>
              <w:t>C22.R2</w:t>
            </w:r>
          </w:p>
        </w:tc>
        <w:tc>
          <w:tcPr>
            <w:tcW w:w="992" w:type="dxa"/>
            <w:shd w:val="clear" w:color="auto" w:fill="C6EFCE"/>
            <w:noWrap/>
          </w:tcPr>
          <w:p w14:paraId="66448DCB" w14:textId="77777777" w:rsidR="003E1D81" w:rsidRDefault="00EB481C">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6F00A35F" w14:textId="77777777" w:rsidR="003E1D81" w:rsidRDefault="00EB481C">
            <w:pPr>
              <w:pStyle w:val="P68B1DB1-Normal13"/>
              <w:spacing w:after="0" w:line="240" w:lineRule="auto"/>
              <w:rPr>
                <w:rFonts w:eastAsia="Times New Roman" w:cs="Times New Roman"/>
                <w:noProof/>
              </w:rPr>
            </w:pPr>
            <w:r>
              <w:rPr>
                <w:noProof/>
              </w:rPr>
              <w:t>A szociális szolgáltatásokról szóló törvény és a miniszteri rendeletek hatálybalépése</w:t>
            </w:r>
          </w:p>
        </w:tc>
        <w:tc>
          <w:tcPr>
            <w:tcW w:w="992" w:type="dxa"/>
            <w:shd w:val="clear" w:color="auto" w:fill="C6EFCE"/>
            <w:noWrap/>
          </w:tcPr>
          <w:p w14:paraId="068872AB" w14:textId="77777777" w:rsidR="003E1D81" w:rsidRDefault="00EB481C">
            <w:pPr>
              <w:pStyle w:val="P68B1DB1-Normal13"/>
              <w:spacing w:after="0" w:line="240" w:lineRule="auto"/>
              <w:jc w:val="center"/>
              <w:rPr>
                <w:rFonts w:eastAsia="Times New Roman" w:cs="Times New Roman"/>
                <w:noProof/>
              </w:rPr>
            </w:pPr>
            <w:r>
              <w:rPr>
                <w:noProof/>
              </w:rPr>
              <w:t xml:space="preserve">A törvény és </w:t>
            </w:r>
            <w:r>
              <w:rPr>
                <w:noProof/>
              </w:rPr>
              <w:t>a miniszteri</w:t>
            </w:r>
            <w:r>
              <w:rPr>
                <w:noProof/>
                <w:highlight w:val="cyan"/>
              </w:rPr>
              <w:t xml:space="preserve"> </w:t>
            </w:r>
            <w:r>
              <w:rPr>
                <w:noProof/>
              </w:rPr>
              <w:t xml:space="preserve">rendeletek hatálybalépésére vonatkozó rendelkezés </w:t>
            </w:r>
          </w:p>
        </w:tc>
        <w:tc>
          <w:tcPr>
            <w:tcW w:w="850" w:type="dxa"/>
            <w:shd w:val="clear" w:color="auto" w:fill="C6EFCE"/>
            <w:noWrap/>
          </w:tcPr>
          <w:p w14:paraId="3BA3C70A"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151797F6"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452D7D3A"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D29F122"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810" w:type="dxa"/>
            <w:shd w:val="clear" w:color="auto" w:fill="C6EFCE"/>
            <w:noWrap/>
          </w:tcPr>
          <w:p w14:paraId="4D14A81A" w14:textId="77777777" w:rsidR="003E1D81" w:rsidRDefault="00EB481C">
            <w:pPr>
              <w:pStyle w:val="P68B1DB1-Normal13"/>
              <w:spacing w:after="0" w:line="240" w:lineRule="auto"/>
              <w:jc w:val="center"/>
              <w:rPr>
                <w:rFonts w:eastAsia="Times New Roman" w:cs="Times New Roman"/>
                <w:noProof/>
              </w:rPr>
            </w:pPr>
            <w:r>
              <w:rPr>
                <w:noProof/>
              </w:rPr>
              <w:t>2023</w:t>
            </w:r>
          </w:p>
        </w:tc>
        <w:tc>
          <w:tcPr>
            <w:tcW w:w="4860" w:type="dxa"/>
            <w:shd w:val="clear" w:color="auto" w:fill="C6EFCE"/>
            <w:noWrap/>
          </w:tcPr>
          <w:p w14:paraId="2C81C5F0" w14:textId="77777777" w:rsidR="003E1D81" w:rsidRDefault="00EB481C">
            <w:pPr>
              <w:pStyle w:val="P68B1DB1-Normal13"/>
              <w:spacing w:after="0" w:line="240" w:lineRule="auto"/>
              <w:rPr>
                <w:rFonts w:eastAsia="Times New Roman" w:cs="Times New Roman"/>
                <w:noProof/>
              </w:rPr>
            </w:pPr>
            <w:r>
              <w:rPr>
                <w:noProof/>
              </w:rPr>
              <w:t>A szociális szolgáltatásokról szóló törvény elfogadását a szükséges miniszteri rendeletek elfogadása követi. A törvény célja, hogy javítsa a jelenlegi szolgáltatásnyújtási re</w:t>
            </w:r>
            <w:r>
              <w:rPr>
                <w:noProof/>
              </w:rPr>
              <w:t xml:space="preserve">ndszert, és szabályozza azokat az alapvető feltételeket, amelyek mellett Spanyolországban szociális szolgáltatásokat nyújtanak. </w:t>
            </w:r>
          </w:p>
        </w:tc>
      </w:tr>
      <w:tr w:rsidR="003E1D81" w14:paraId="1E7CFC65" w14:textId="77777777">
        <w:trPr>
          <w:trHeight w:val="309"/>
        </w:trPr>
        <w:tc>
          <w:tcPr>
            <w:tcW w:w="709" w:type="dxa"/>
            <w:shd w:val="clear" w:color="auto" w:fill="C6EFCE"/>
            <w:noWrap/>
          </w:tcPr>
          <w:p w14:paraId="735E7828" w14:textId="77777777" w:rsidR="003E1D81" w:rsidRDefault="00EB481C">
            <w:pPr>
              <w:pStyle w:val="P68B1DB1-Normal13"/>
              <w:spacing w:after="0" w:line="240" w:lineRule="auto"/>
              <w:jc w:val="center"/>
              <w:rPr>
                <w:rFonts w:eastAsia="Times New Roman" w:cs="Times New Roman"/>
                <w:noProof/>
              </w:rPr>
            </w:pPr>
            <w:r>
              <w:rPr>
                <w:noProof/>
              </w:rPr>
              <w:t>316</w:t>
            </w:r>
          </w:p>
        </w:tc>
        <w:tc>
          <w:tcPr>
            <w:tcW w:w="851" w:type="dxa"/>
            <w:shd w:val="clear" w:color="auto" w:fill="C6EFCE"/>
            <w:noWrap/>
          </w:tcPr>
          <w:p w14:paraId="0A348461" w14:textId="77777777" w:rsidR="003E1D81" w:rsidRDefault="00EB481C">
            <w:pPr>
              <w:pStyle w:val="P68B1DB1-Normal13"/>
              <w:spacing w:after="0" w:line="240" w:lineRule="auto"/>
              <w:jc w:val="center"/>
              <w:rPr>
                <w:rFonts w:eastAsia="Times New Roman" w:cs="Times New Roman"/>
                <w:noProof/>
              </w:rPr>
            </w:pPr>
            <w:r>
              <w:rPr>
                <w:noProof/>
              </w:rPr>
              <w:t>C22.R3</w:t>
            </w:r>
          </w:p>
        </w:tc>
        <w:tc>
          <w:tcPr>
            <w:tcW w:w="992" w:type="dxa"/>
            <w:shd w:val="clear" w:color="auto" w:fill="C6EFCE"/>
            <w:noWrap/>
          </w:tcPr>
          <w:p w14:paraId="1BC73BCE" w14:textId="77777777" w:rsidR="003E1D81" w:rsidRDefault="00EB481C">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454E1B03" w14:textId="77777777" w:rsidR="003E1D81" w:rsidRDefault="00EB481C">
            <w:pPr>
              <w:pStyle w:val="P68B1DB1-Normal13"/>
              <w:spacing w:after="0" w:line="240" w:lineRule="auto"/>
              <w:rPr>
                <w:rFonts w:eastAsia="Times New Roman" w:cs="Times New Roman"/>
                <w:noProof/>
              </w:rPr>
            </w:pPr>
            <w:r>
              <w:rPr>
                <w:noProof/>
              </w:rPr>
              <w:t>A családi sokszínűségről szóló törvény hatálybalépése</w:t>
            </w:r>
          </w:p>
        </w:tc>
        <w:tc>
          <w:tcPr>
            <w:tcW w:w="992" w:type="dxa"/>
            <w:shd w:val="clear" w:color="auto" w:fill="C6EFCE"/>
            <w:noWrap/>
          </w:tcPr>
          <w:p w14:paraId="606F1F60" w14:textId="77777777" w:rsidR="003E1D81" w:rsidRDefault="00EB481C">
            <w:pPr>
              <w:pStyle w:val="P68B1DB1-Normal13"/>
              <w:spacing w:after="0" w:line="240" w:lineRule="auto"/>
              <w:jc w:val="center"/>
              <w:rPr>
                <w:rFonts w:eastAsia="Times New Roman" w:cs="Times New Roman"/>
                <w:noProof/>
              </w:rPr>
            </w:pPr>
            <w:r>
              <w:rPr>
                <w:noProof/>
              </w:rPr>
              <w:t xml:space="preserve">A törvény hatálybalépésére vonatkozó jogszabályi </w:t>
            </w:r>
            <w:r>
              <w:rPr>
                <w:noProof/>
              </w:rPr>
              <w:t>rendelkezés</w:t>
            </w:r>
          </w:p>
        </w:tc>
        <w:tc>
          <w:tcPr>
            <w:tcW w:w="850" w:type="dxa"/>
            <w:shd w:val="clear" w:color="auto" w:fill="C6EFCE"/>
            <w:noWrap/>
          </w:tcPr>
          <w:p w14:paraId="22138530"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61E937B6"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4B0B2093"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04ED90FB"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810" w:type="dxa"/>
            <w:shd w:val="clear" w:color="auto" w:fill="C6EFCE"/>
            <w:noWrap/>
          </w:tcPr>
          <w:p w14:paraId="28DF9E0A" w14:textId="77777777" w:rsidR="003E1D81" w:rsidRDefault="00EB481C">
            <w:pPr>
              <w:pStyle w:val="P68B1DB1-Normal13"/>
              <w:spacing w:after="0" w:line="240" w:lineRule="auto"/>
              <w:jc w:val="center"/>
              <w:rPr>
                <w:rFonts w:eastAsia="Times New Roman" w:cs="Times New Roman"/>
                <w:noProof/>
              </w:rPr>
            </w:pPr>
            <w:r>
              <w:rPr>
                <w:noProof/>
              </w:rPr>
              <w:t>2023</w:t>
            </w:r>
          </w:p>
        </w:tc>
        <w:tc>
          <w:tcPr>
            <w:tcW w:w="4860" w:type="dxa"/>
            <w:shd w:val="clear" w:color="auto" w:fill="C6EFCE"/>
            <w:noWrap/>
          </w:tcPr>
          <w:p w14:paraId="25BEA998" w14:textId="77777777" w:rsidR="003E1D81" w:rsidRDefault="00EB481C">
            <w:pPr>
              <w:pStyle w:val="P68B1DB1-Normal13"/>
              <w:spacing w:after="0" w:line="240" w:lineRule="auto"/>
              <w:rPr>
                <w:rFonts w:eastAsia="Times New Roman" w:cs="Times New Roman"/>
                <w:noProof/>
              </w:rPr>
            </w:pPr>
            <w:r>
              <w:rPr>
                <w:noProof/>
              </w:rPr>
              <w:t>A család sokszínűségéről szóló törvény célja i. a meglévő családszerkezetek különböző típusainak jogi elismerése; azon ellátások és szolgáltatások meghatározása, amelyekre jellemzőik és jövedelmi szintjük alapján jogosultak; é</w:t>
            </w:r>
            <w:r>
              <w:rPr>
                <w:noProof/>
              </w:rPr>
              <w:t>s iii. a gyermekszegénység csökkentése, figyelembe véve az átcsoportosítással nyújtható hatásvizsgálat eredményeit.</w:t>
            </w:r>
          </w:p>
        </w:tc>
      </w:tr>
      <w:tr w:rsidR="003E1D81" w14:paraId="5411D44F" w14:textId="77777777">
        <w:trPr>
          <w:trHeight w:val="309"/>
        </w:trPr>
        <w:tc>
          <w:tcPr>
            <w:tcW w:w="709" w:type="dxa"/>
            <w:shd w:val="clear" w:color="auto" w:fill="C6EFCE"/>
            <w:noWrap/>
          </w:tcPr>
          <w:p w14:paraId="3BEB6FCE" w14:textId="77777777" w:rsidR="003E1D81" w:rsidRDefault="00EB481C">
            <w:pPr>
              <w:pStyle w:val="P68B1DB1-Normal13"/>
              <w:spacing w:after="0" w:line="240" w:lineRule="auto"/>
              <w:jc w:val="center"/>
              <w:rPr>
                <w:rFonts w:eastAsia="Times New Roman" w:cs="Times New Roman"/>
                <w:noProof/>
              </w:rPr>
            </w:pPr>
            <w:r>
              <w:rPr>
                <w:noProof/>
              </w:rPr>
              <w:t>317</w:t>
            </w:r>
          </w:p>
        </w:tc>
        <w:tc>
          <w:tcPr>
            <w:tcW w:w="851" w:type="dxa"/>
            <w:shd w:val="clear" w:color="auto" w:fill="C6EFCE"/>
            <w:noWrap/>
          </w:tcPr>
          <w:p w14:paraId="522D05C1" w14:textId="77777777" w:rsidR="003E1D81" w:rsidRDefault="00EB481C">
            <w:pPr>
              <w:pStyle w:val="P68B1DB1-Normal13"/>
              <w:spacing w:after="0" w:line="240" w:lineRule="auto"/>
              <w:jc w:val="center"/>
              <w:rPr>
                <w:rFonts w:eastAsia="Times New Roman" w:cs="Times New Roman"/>
                <w:noProof/>
              </w:rPr>
            </w:pPr>
            <w:r>
              <w:rPr>
                <w:noProof/>
              </w:rPr>
              <w:t>C22.R4</w:t>
            </w:r>
          </w:p>
        </w:tc>
        <w:tc>
          <w:tcPr>
            <w:tcW w:w="992" w:type="dxa"/>
            <w:shd w:val="clear" w:color="auto" w:fill="C6EFCE"/>
            <w:noWrap/>
          </w:tcPr>
          <w:p w14:paraId="2442A7BD" w14:textId="77777777" w:rsidR="003E1D81" w:rsidRDefault="00EB481C">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2C29C358" w14:textId="77777777" w:rsidR="003E1D81" w:rsidRDefault="00EB481C">
            <w:pPr>
              <w:pStyle w:val="P68B1DB1-Normal13"/>
              <w:spacing w:after="0" w:line="240" w:lineRule="auto"/>
              <w:rPr>
                <w:rFonts w:eastAsia="Times New Roman" w:cs="Times New Roman"/>
                <w:noProof/>
              </w:rPr>
            </w:pPr>
            <w:r>
              <w:rPr>
                <w:noProof/>
              </w:rPr>
              <w:t xml:space="preserve">A migránsok és a nemzetközi védelmet kérelmezők befogadási rendszerére vonatkozó jogalkotási reform hatálybalépése Spanyolországban </w:t>
            </w:r>
          </w:p>
        </w:tc>
        <w:tc>
          <w:tcPr>
            <w:tcW w:w="992" w:type="dxa"/>
            <w:shd w:val="clear" w:color="auto" w:fill="C6EFCE"/>
            <w:noWrap/>
          </w:tcPr>
          <w:p w14:paraId="5937DDF6" w14:textId="77777777" w:rsidR="003E1D81" w:rsidRDefault="00EB481C">
            <w:pPr>
              <w:pStyle w:val="P68B1DB1-Normal13"/>
              <w:spacing w:after="0" w:line="240" w:lineRule="auto"/>
              <w:jc w:val="center"/>
              <w:rPr>
                <w:rFonts w:eastAsia="Times New Roman" w:cs="Times New Roman"/>
                <w:noProof/>
              </w:rPr>
            </w:pPr>
            <w:r>
              <w:rPr>
                <w:noProof/>
              </w:rPr>
              <w:t>A végzés hatálybalépését feltüntető végzésben szereplő rendelkezés</w:t>
            </w:r>
          </w:p>
        </w:tc>
        <w:tc>
          <w:tcPr>
            <w:tcW w:w="850" w:type="dxa"/>
            <w:shd w:val="clear" w:color="auto" w:fill="C6EFCE"/>
            <w:noWrap/>
          </w:tcPr>
          <w:p w14:paraId="4F4AFBC9"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0AAA2A8F"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3D2F6FF0"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5FE628AC"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810" w:type="dxa"/>
            <w:shd w:val="clear" w:color="auto" w:fill="C6EFCE"/>
            <w:noWrap/>
          </w:tcPr>
          <w:p w14:paraId="1BB32A33" w14:textId="77777777" w:rsidR="003E1D81" w:rsidRDefault="00EB481C">
            <w:pPr>
              <w:pStyle w:val="P68B1DB1-Normal13"/>
              <w:spacing w:after="0" w:line="240" w:lineRule="auto"/>
              <w:jc w:val="center"/>
              <w:rPr>
                <w:rFonts w:eastAsia="Times New Roman" w:cs="Times New Roman"/>
                <w:noProof/>
              </w:rPr>
            </w:pPr>
            <w:r>
              <w:rPr>
                <w:noProof/>
              </w:rPr>
              <w:t>2022</w:t>
            </w:r>
          </w:p>
        </w:tc>
        <w:tc>
          <w:tcPr>
            <w:tcW w:w="4860" w:type="dxa"/>
            <w:shd w:val="clear" w:color="auto" w:fill="C6EFCE"/>
            <w:noWrap/>
          </w:tcPr>
          <w:p w14:paraId="4366A697" w14:textId="77777777" w:rsidR="003E1D81" w:rsidRDefault="00EB481C">
            <w:pPr>
              <w:pStyle w:val="P68B1DB1-Normal13"/>
              <w:spacing w:after="0" w:line="240" w:lineRule="auto"/>
              <w:rPr>
                <w:rFonts w:eastAsia="Times New Roman" w:cs="Times New Roman"/>
                <w:noProof/>
              </w:rPr>
            </w:pPr>
            <w:r>
              <w:rPr>
                <w:noProof/>
              </w:rPr>
              <w:t>Egy központi miniszteri rendelet ref</w:t>
            </w:r>
            <w:r>
              <w:rPr>
                <w:noProof/>
              </w:rPr>
              <w:t xml:space="preserve">ormálja meg a migránsok és a nemzetközi védelmet kérelmezők spanyolországi befogadási rendszerét, amelyet a társadalmi befogadásért, a szociális biztonságért és a migrációért felelős minisztérium fogadott el. A reform célja, hogy új befogadási eljárásokat </w:t>
            </w:r>
            <w:r>
              <w:rPr>
                <w:noProof/>
              </w:rPr>
              <w:t>dolgozzon ki a befogadó hálózat valamennyi központjára vonatkozóan, valamint valamennyi menedékkérő számára elismerje az alapvető befogadási feltételeket, valamint a nagy valószínűséggel elismerhető személyek számára jobb befogadási feltételeket.</w:t>
            </w:r>
          </w:p>
        </w:tc>
      </w:tr>
      <w:tr w:rsidR="003E1D81" w14:paraId="327E6794" w14:textId="77777777">
        <w:trPr>
          <w:trHeight w:val="309"/>
        </w:trPr>
        <w:tc>
          <w:tcPr>
            <w:tcW w:w="709" w:type="dxa"/>
            <w:shd w:val="clear" w:color="auto" w:fill="C6EFCE"/>
            <w:noWrap/>
          </w:tcPr>
          <w:p w14:paraId="4B0AB24A" w14:textId="77777777" w:rsidR="003E1D81" w:rsidRDefault="00EB481C">
            <w:pPr>
              <w:pStyle w:val="P68B1DB1-Normal13"/>
              <w:spacing w:after="0" w:line="240" w:lineRule="auto"/>
              <w:jc w:val="center"/>
              <w:rPr>
                <w:rFonts w:eastAsia="Times New Roman" w:cs="Times New Roman"/>
                <w:noProof/>
              </w:rPr>
            </w:pPr>
            <w:r>
              <w:rPr>
                <w:noProof/>
              </w:rPr>
              <w:t>318</w:t>
            </w:r>
          </w:p>
        </w:tc>
        <w:tc>
          <w:tcPr>
            <w:tcW w:w="851" w:type="dxa"/>
            <w:shd w:val="clear" w:color="auto" w:fill="C6EFCE"/>
            <w:noWrap/>
          </w:tcPr>
          <w:p w14:paraId="7466A7AE" w14:textId="77777777" w:rsidR="003E1D81" w:rsidRDefault="00EB481C">
            <w:pPr>
              <w:pStyle w:val="P68B1DB1-Normal13"/>
              <w:spacing w:after="0" w:line="240" w:lineRule="auto"/>
              <w:jc w:val="center"/>
              <w:rPr>
                <w:rFonts w:eastAsia="Times New Roman" w:cs="Times New Roman"/>
                <w:noProof/>
              </w:rPr>
            </w:pPr>
            <w:r>
              <w:rPr>
                <w:noProof/>
              </w:rPr>
              <w:t>C22.R5</w:t>
            </w:r>
          </w:p>
        </w:tc>
        <w:tc>
          <w:tcPr>
            <w:tcW w:w="992" w:type="dxa"/>
            <w:shd w:val="clear" w:color="auto" w:fill="C6EFCE"/>
            <w:noWrap/>
          </w:tcPr>
          <w:p w14:paraId="213BC682" w14:textId="77777777" w:rsidR="003E1D81" w:rsidRDefault="00EB481C">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0D3B2C4A" w14:textId="366FC9C9" w:rsidR="003E1D81" w:rsidRDefault="00EB481C">
            <w:pPr>
              <w:pStyle w:val="P68B1DB1-Normal13"/>
              <w:spacing w:after="0" w:line="240" w:lineRule="auto"/>
              <w:rPr>
                <w:rFonts w:eastAsia="Times New Roman" w:cs="Times New Roman"/>
                <w:noProof/>
              </w:rPr>
            </w:pPr>
            <w:r>
              <w:rPr>
                <w:noProof/>
              </w:rPr>
              <w:t>A létminimumot jóváhagyó, május 29-i 20/2020. sz. királyi törvényerejű rendelet hatálybalépése</w:t>
            </w:r>
          </w:p>
        </w:tc>
        <w:tc>
          <w:tcPr>
            <w:tcW w:w="992" w:type="dxa"/>
            <w:shd w:val="clear" w:color="auto" w:fill="C6EFCE"/>
            <w:noWrap/>
          </w:tcPr>
          <w:p w14:paraId="321EDC2A" w14:textId="77777777" w:rsidR="003E1D81" w:rsidRDefault="00EB481C">
            <w:pPr>
              <w:pStyle w:val="P68B1DB1-Normal13"/>
              <w:spacing w:after="0" w:line="240" w:lineRule="auto"/>
              <w:jc w:val="center"/>
              <w:rPr>
                <w:rFonts w:eastAsia="Times New Roman" w:cs="Times New Roman"/>
                <w:noProof/>
              </w:rPr>
            </w:pPr>
            <w:r>
              <w:rPr>
                <w:noProof/>
              </w:rPr>
              <w:t xml:space="preserve">A törvény hatálybalépésére vonatkozó jogszabályi rendelkezés </w:t>
            </w:r>
          </w:p>
        </w:tc>
        <w:tc>
          <w:tcPr>
            <w:tcW w:w="850" w:type="dxa"/>
            <w:shd w:val="clear" w:color="auto" w:fill="C6EFCE"/>
            <w:noWrap/>
          </w:tcPr>
          <w:p w14:paraId="64F10375"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0D1E954B"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69522666" w14:textId="77777777" w:rsidR="003E1D81" w:rsidRDefault="00EB481C">
            <w:pPr>
              <w:pStyle w:val="P68B1DB1-Normal13"/>
              <w:spacing w:after="0" w:line="240" w:lineRule="auto"/>
              <w:rPr>
                <w:rFonts w:eastAsia="Times New Roman" w:cs="Times New Roman"/>
                <w:noProof/>
              </w:rPr>
            </w:pPr>
            <w:r>
              <w:rPr>
                <w:noProof/>
              </w:rPr>
              <w:t xml:space="preserve"> </w:t>
            </w:r>
          </w:p>
        </w:tc>
        <w:tc>
          <w:tcPr>
            <w:tcW w:w="567" w:type="dxa"/>
            <w:shd w:val="clear" w:color="auto" w:fill="C6EFCE"/>
            <w:noWrap/>
          </w:tcPr>
          <w:p w14:paraId="0F981430"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810" w:type="dxa"/>
            <w:shd w:val="clear" w:color="auto" w:fill="C6EFCE"/>
            <w:noWrap/>
          </w:tcPr>
          <w:p w14:paraId="584B35F3" w14:textId="77777777" w:rsidR="003E1D81" w:rsidRDefault="00EB481C">
            <w:pPr>
              <w:pStyle w:val="P68B1DB1-Normal13"/>
              <w:spacing w:after="0" w:line="240" w:lineRule="auto"/>
              <w:jc w:val="center"/>
              <w:rPr>
                <w:rFonts w:eastAsia="Times New Roman" w:cs="Times New Roman"/>
                <w:noProof/>
              </w:rPr>
            </w:pPr>
            <w:r>
              <w:rPr>
                <w:noProof/>
              </w:rPr>
              <w:t>2020</w:t>
            </w:r>
          </w:p>
        </w:tc>
        <w:tc>
          <w:tcPr>
            <w:tcW w:w="4860" w:type="dxa"/>
            <w:shd w:val="clear" w:color="auto" w:fill="C6EFCE"/>
            <w:noWrap/>
          </w:tcPr>
          <w:p w14:paraId="5861942D" w14:textId="77777777" w:rsidR="003E1D81" w:rsidRDefault="00EB481C">
            <w:pPr>
              <w:pStyle w:val="P68B1DB1-Normal13"/>
              <w:spacing w:after="0" w:line="240" w:lineRule="auto"/>
              <w:rPr>
                <w:rFonts w:eastAsia="Times New Roman" w:cs="Times New Roman"/>
                <w:noProof/>
              </w:rPr>
            </w:pPr>
            <w:r>
              <w:rPr>
                <w:noProof/>
              </w:rPr>
              <w:t xml:space="preserve">A május 29-i 20/2020. sz. királyi törvényerejű rendelet (a május 29-i </w:t>
            </w:r>
            <w:r>
              <w:rPr>
                <w:noProof/>
              </w:rPr>
              <w:t>20/2020. sz. királyi törvényerejű rendelet) hatálybalépése.</w:t>
            </w:r>
          </w:p>
        </w:tc>
      </w:tr>
      <w:tr w:rsidR="003E1D81" w14:paraId="3DF3AD97" w14:textId="77777777">
        <w:trPr>
          <w:trHeight w:val="309"/>
        </w:trPr>
        <w:tc>
          <w:tcPr>
            <w:tcW w:w="709" w:type="dxa"/>
            <w:shd w:val="clear" w:color="auto" w:fill="C6EFCE"/>
            <w:noWrap/>
          </w:tcPr>
          <w:p w14:paraId="36585B74" w14:textId="77777777" w:rsidR="003E1D81" w:rsidRDefault="00EB481C">
            <w:pPr>
              <w:pStyle w:val="P68B1DB1-Normal13"/>
              <w:spacing w:after="0" w:line="240" w:lineRule="auto"/>
              <w:jc w:val="center"/>
              <w:rPr>
                <w:rFonts w:eastAsia="Times New Roman" w:cs="Times New Roman"/>
                <w:noProof/>
              </w:rPr>
            </w:pPr>
            <w:r>
              <w:rPr>
                <w:noProof/>
              </w:rPr>
              <w:t>319</w:t>
            </w:r>
          </w:p>
        </w:tc>
        <w:tc>
          <w:tcPr>
            <w:tcW w:w="851" w:type="dxa"/>
            <w:shd w:val="clear" w:color="auto" w:fill="C6EFCE"/>
            <w:noWrap/>
          </w:tcPr>
          <w:p w14:paraId="76B93DF0" w14:textId="77777777" w:rsidR="003E1D81" w:rsidRDefault="00EB481C">
            <w:pPr>
              <w:pStyle w:val="P68B1DB1-Normal13"/>
              <w:spacing w:after="0" w:line="240" w:lineRule="auto"/>
              <w:jc w:val="center"/>
              <w:rPr>
                <w:rFonts w:eastAsia="Times New Roman" w:cs="Times New Roman"/>
                <w:noProof/>
              </w:rPr>
            </w:pPr>
            <w:r>
              <w:rPr>
                <w:noProof/>
              </w:rPr>
              <w:t>C22.R5</w:t>
            </w:r>
          </w:p>
        </w:tc>
        <w:tc>
          <w:tcPr>
            <w:tcW w:w="992" w:type="dxa"/>
            <w:shd w:val="clear" w:color="auto" w:fill="C6EFCE"/>
            <w:noWrap/>
          </w:tcPr>
          <w:p w14:paraId="3B8A275C" w14:textId="77777777" w:rsidR="003E1D81" w:rsidRDefault="00EB481C">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3E14C1F9" w14:textId="77777777" w:rsidR="003E1D81" w:rsidRDefault="00EB481C">
            <w:pPr>
              <w:pStyle w:val="P68B1DB1-Normal13"/>
              <w:spacing w:after="0" w:line="240" w:lineRule="auto"/>
              <w:rPr>
                <w:rFonts w:eastAsia="Times New Roman" w:cs="Times New Roman"/>
                <w:noProof/>
              </w:rPr>
            </w:pPr>
            <w:r>
              <w:rPr>
                <w:noProof/>
              </w:rPr>
              <w:t>„Az általános állami közigazgatás nem járulékalapú pénzügyi előnyei rendszerének átszervezésére és egyszerűsítésére irányuló terv” közzététele.</w:t>
            </w:r>
          </w:p>
        </w:tc>
        <w:tc>
          <w:tcPr>
            <w:tcW w:w="992" w:type="dxa"/>
            <w:shd w:val="clear" w:color="auto" w:fill="C6EFCE"/>
            <w:noWrap/>
          </w:tcPr>
          <w:p w14:paraId="3D624739" w14:textId="77777777" w:rsidR="003E1D81" w:rsidRDefault="00EB481C">
            <w:pPr>
              <w:pStyle w:val="P68B1DB1-Normal13"/>
              <w:spacing w:after="0" w:line="240" w:lineRule="auto"/>
              <w:jc w:val="center"/>
              <w:rPr>
                <w:rFonts w:eastAsia="Times New Roman" w:cs="Times New Roman"/>
                <w:noProof/>
              </w:rPr>
            </w:pPr>
            <w:r>
              <w:rPr>
                <w:noProof/>
              </w:rPr>
              <w:t>A terv közzététele a Hivatalos Lapban</w:t>
            </w:r>
          </w:p>
        </w:tc>
        <w:tc>
          <w:tcPr>
            <w:tcW w:w="850" w:type="dxa"/>
            <w:shd w:val="clear" w:color="auto" w:fill="C6EFCE"/>
            <w:noWrap/>
          </w:tcPr>
          <w:p w14:paraId="7E532068" w14:textId="77777777" w:rsidR="003E1D81" w:rsidRDefault="00EB481C">
            <w:pPr>
              <w:pStyle w:val="P68B1DB1-Normal13"/>
              <w:spacing w:after="0" w:line="240" w:lineRule="auto"/>
              <w:jc w:val="center"/>
              <w:rPr>
                <w:rFonts w:eastAsia="Times New Roman" w:cs="Times New Roman"/>
                <w:noProof/>
              </w:rPr>
            </w:pPr>
            <w:r>
              <w:rPr>
                <w:noProof/>
              </w:rPr>
              <w:t> </w:t>
            </w:r>
          </w:p>
        </w:tc>
        <w:tc>
          <w:tcPr>
            <w:tcW w:w="851" w:type="dxa"/>
            <w:shd w:val="clear" w:color="auto" w:fill="C6EFCE"/>
            <w:noWrap/>
          </w:tcPr>
          <w:p w14:paraId="560F39A7" w14:textId="77777777" w:rsidR="003E1D81" w:rsidRDefault="00EB481C">
            <w:pPr>
              <w:pStyle w:val="P68B1DB1-Normal13"/>
              <w:spacing w:after="0" w:line="240" w:lineRule="auto"/>
              <w:jc w:val="right"/>
              <w:rPr>
                <w:rFonts w:eastAsia="Times New Roman" w:cs="Times New Roman"/>
                <w:noProof/>
              </w:rPr>
            </w:pPr>
            <w:r>
              <w:rPr>
                <w:noProof/>
              </w:rPr>
              <w:t> </w:t>
            </w:r>
          </w:p>
        </w:tc>
        <w:tc>
          <w:tcPr>
            <w:tcW w:w="709" w:type="dxa"/>
            <w:shd w:val="clear" w:color="auto" w:fill="C6EFCE"/>
            <w:noWrap/>
          </w:tcPr>
          <w:p w14:paraId="2123AFE2" w14:textId="77777777" w:rsidR="003E1D81" w:rsidRDefault="00EB481C">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711F405F"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810" w:type="dxa"/>
            <w:shd w:val="clear" w:color="auto" w:fill="C6EFCE"/>
            <w:noWrap/>
          </w:tcPr>
          <w:p w14:paraId="56F58375" w14:textId="77777777" w:rsidR="003E1D81" w:rsidRDefault="00EB481C">
            <w:pPr>
              <w:pStyle w:val="P68B1DB1-Normal13"/>
              <w:spacing w:after="0" w:line="240" w:lineRule="auto"/>
              <w:jc w:val="center"/>
              <w:rPr>
                <w:rFonts w:eastAsia="Times New Roman" w:cs="Times New Roman"/>
                <w:noProof/>
              </w:rPr>
            </w:pPr>
            <w:r>
              <w:rPr>
                <w:noProof/>
              </w:rPr>
              <w:t>2022</w:t>
            </w:r>
          </w:p>
        </w:tc>
        <w:tc>
          <w:tcPr>
            <w:tcW w:w="4860" w:type="dxa"/>
            <w:shd w:val="clear" w:color="auto" w:fill="C6EFCE"/>
            <w:noWrap/>
          </w:tcPr>
          <w:p w14:paraId="23C0FE97" w14:textId="77777777" w:rsidR="003E1D81" w:rsidRDefault="00EB481C">
            <w:pPr>
              <w:pStyle w:val="P68B1DB1-Normal13"/>
              <w:spacing w:after="0" w:line="240" w:lineRule="auto"/>
              <w:rPr>
                <w:rFonts w:eastAsia="Times New Roman" w:cs="Times New Roman"/>
                <w:noProof/>
              </w:rPr>
            </w:pPr>
            <w:r>
              <w:rPr>
                <w:noProof/>
              </w:rPr>
              <w:t>„Az állami közigazgatás nem járulékalapú pénzügyi előnyei rendszerének átszervezésére és egyszerűsítésére irányuló terv” elfogadása (közzététel a Hivatalos Lapban). A terv célja, hogy a nem járulékalapú ellátásokat beépítse a jövedelemf</w:t>
            </w:r>
            <w:r>
              <w:rPr>
                <w:noProof/>
              </w:rPr>
              <w:t>edezeti eszközbe annak érdekében, hogy javítsa az állami források hatékonyságát és eredményességét, és azokat a kiszolgáltatottság vagy társadalmi kirekesztés kockázatának kitett személyekre összpontosítsa. Ez a terv az emberek kiszolgáltatottságához vezet</w:t>
            </w:r>
            <w:r>
              <w:rPr>
                <w:noProof/>
              </w:rPr>
              <w:t>ő különböző körülmények megfelelő lefedésére, valamint a jövedelemtámogatás megfelelőségére összpontosít. E célból figyelembe veszi egyrészt a strukturális szükségleteket, például a gyermekes háztartásokat és a fogyatékossággal élő személyeket, másrészt pe</w:t>
            </w:r>
            <w:r>
              <w:rPr>
                <w:noProof/>
              </w:rPr>
              <w:t>dig a jövedelemtámogatást a befogadásra törekvő aktív munkahelyekhez köti, és elkerüli a „szegénységi csapdákat”. A tervben figyelembe kell venni az összes meglévő, nem járulékalapú intézkedést azzal a céllal, hogy azokat fokozatosan és idővel egyetlen nem</w:t>
            </w:r>
            <w:r>
              <w:rPr>
                <w:noProof/>
              </w:rPr>
              <w:t xml:space="preserve">zeti rendszerbe integrálják annak biztosítása érdekében, hogy a terv célja teljes mértékben teljesüljön. </w:t>
            </w:r>
          </w:p>
        </w:tc>
      </w:tr>
      <w:tr w:rsidR="003E1D81" w14:paraId="6C6E9BC7" w14:textId="77777777">
        <w:trPr>
          <w:trHeight w:val="309"/>
        </w:trPr>
        <w:tc>
          <w:tcPr>
            <w:tcW w:w="709" w:type="dxa"/>
            <w:shd w:val="clear" w:color="auto" w:fill="C6EFCE"/>
            <w:noWrap/>
          </w:tcPr>
          <w:p w14:paraId="48573F50" w14:textId="77777777" w:rsidR="003E1D81" w:rsidRDefault="00EB481C">
            <w:pPr>
              <w:pStyle w:val="P68B1DB1-Normal13"/>
              <w:spacing w:after="0" w:line="240" w:lineRule="auto"/>
              <w:jc w:val="center"/>
              <w:rPr>
                <w:rFonts w:eastAsia="Times New Roman" w:cs="Times New Roman"/>
                <w:noProof/>
              </w:rPr>
            </w:pPr>
            <w:r>
              <w:rPr>
                <w:noProof/>
              </w:rPr>
              <w:t>320</w:t>
            </w:r>
          </w:p>
        </w:tc>
        <w:tc>
          <w:tcPr>
            <w:tcW w:w="851" w:type="dxa"/>
            <w:shd w:val="clear" w:color="auto" w:fill="C6EFCE"/>
            <w:noWrap/>
          </w:tcPr>
          <w:p w14:paraId="5624C883" w14:textId="77777777" w:rsidR="003E1D81" w:rsidRDefault="00EB481C">
            <w:pPr>
              <w:pStyle w:val="P68B1DB1-Normal13"/>
              <w:spacing w:after="0" w:line="240" w:lineRule="auto"/>
              <w:jc w:val="center"/>
              <w:rPr>
                <w:rFonts w:eastAsia="Times New Roman" w:cs="Times New Roman"/>
                <w:noProof/>
              </w:rPr>
            </w:pPr>
            <w:r>
              <w:rPr>
                <w:noProof/>
              </w:rPr>
              <w:t>C22.R5</w:t>
            </w:r>
          </w:p>
        </w:tc>
        <w:tc>
          <w:tcPr>
            <w:tcW w:w="992" w:type="dxa"/>
            <w:shd w:val="clear" w:color="auto" w:fill="C6EFCE"/>
            <w:noWrap/>
          </w:tcPr>
          <w:p w14:paraId="5C2D2B5F" w14:textId="77777777" w:rsidR="003E1D81" w:rsidRDefault="00EB481C">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4BE5B6ED" w14:textId="77777777" w:rsidR="003E1D81" w:rsidRDefault="00EB481C">
            <w:pPr>
              <w:pStyle w:val="P68B1DB1-Normal13"/>
              <w:spacing w:after="0" w:line="240" w:lineRule="auto"/>
              <w:rPr>
                <w:rFonts w:eastAsia="Times New Roman" w:cs="Times New Roman"/>
                <w:noProof/>
              </w:rPr>
            </w:pPr>
            <w:r>
              <w:rPr>
                <w:noProof/>
              </w:rPr>
              <w:t>A nem járulékalapú pénzügyi juttatások rendszerének átszervezését és egyszerűsítését célzó jogszabályok hatálybalépése</w:t>
            </w:r>
          </w:p>
        </w:tc>
        <w:tc>
          <w:tcPr>
            <w:tcW w:w="992" w:type="dxa"/>
            <w:shd w:val="clear" w:color="auto" w:fill="C6EFCE"/>
            <w:noWrap/>
          </w:tcPr>
          <w:p w14:paraId="46A76CA7" w14:textId="77777777" w:rsidR="003E1D81" w:rsidRDefault="00EB481C">
            <w:pPr>
              <w:pStyle w:val="P68B1DB1-Normal13"/>
              <w:spacing w:after="0" w:line="240" w:lineRule="auto"/>
              <w:jc w:val="center"/>
              <w:rPr>
                <w:rFonts w:eastAsia="Times New Roman" w:cs="Times New Roman"/>
                <w:noProof/>
              </w:rPr>
            </w:pPr>
            <w:r>
              <w:rPr>
                <w:noProof/>
              </w:rPr>
              <w:t xml:space="preserve">A törvény hatálybalépésére vonatkozó jogszabályi rendelkezés </w:t>
            </w:r>
          </w:p>
        </w:tc>
        <w:tc>
          <w:tcPr>
            <w:tcW w:w="850" w:type="dxa"/>
            <w:shd w:val="clear" w:color="auto" w:fill="C6EFCE"/>
            <w:noWrap/>
          </w:tcPr>
          <w:p w14:paraId="2000123E"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3DC8AA9E"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56463DEC"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5FC26E5C"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810" w:type="dxa"/>
            <w:shd w:val="clear" w:color="auto" w:fill="C6EFCE"/>
            <w:noWrap/>
          </w:tcPr>
          <w:p w14:paraId="4110A147" w14:textId="77777777" w:rsidR="003E1D81" w:rsidRDefault="00EB481C">
            <w:pPr>
              <w:pStyle w:val="P68B1DB1-Normal13"/>
              <w:spacing w:after="0" w:line="240" w:lineRule="auto"/>
              <w:jc w:val="center"/>
              <w:rPr>
                <w:rFonts w:eastAsia="Times New Roman" w:cs="Times New Roman"/>
                <w:noProof/>
              </w:rPr>
            </w:pPr>
            <w:r>
              <w:rPr>
                <w:noProof/>
              </w:rPr>
              <w:t>2023</w:t>
            </w:r>
          </w:p>
        </w:tc>
        <w:tc>
          <w:tcPr>
            <w:tcW w:w="4860" w:type="dxa"/>
            <w:shd w:val="clear" w:color="auto" w:fill="C6EFCE"/>
            <w:noWrap/>
          </w:tcPr>
          <w:p w14:paraId="3608032D" w14:textId="77777777" w:rsidR="003E1D81" w:rsidRDefault="00EB481C">
            <w:pPr>
              <w:pStyle w:val="P68B1DB1-Normal13"/>
              <w:spacing w:after="0" w:line="240" w:lineRule="auto"/>
              <w:rPr>
                <w:rFonts w:eastAsia="Times New Roman" w:cs="Times New Roman"/>
                <w:noProof/>
              </w:rPr>
            </w:pPr>
            <w:r>
              <w:rPr>
                <w:noProof/>
              </w:rPr>
              <w:t>A reform átszervezi és egyszerűsíti a nem járulékalapú pénzbeli ellátások rendszerét. A reform célja, hogy a létfontosságú minimáljövedelem-rendszerre (IMV) épülő fedezeti es</w:t>
            </w:r>
            <w:r>
              <w:rPr>
                <w:noProof/>
              </w:rPr>
              <w:t>zközbe beépítse az állami közigazgatás által nyújtott fő, nem járulékalapú juttatásokat, átszervezze és egyszerűsítse a nem járulékalapú pénzügyi juttatások rendszerét, összhangban „Az általános állami közigazgatás nem járulékalapú pénzügyi juttatási rends</w:t>
            </w:r>
            <w:r>
              <w:rPr>
                <w:noProof/>
              </w:rPr>
              <w:t>zerének átszervezésére és egyszerűsítésére irányuló terv” céljával.</w:t>
            </w:r>
          </w:p>
        </w:tc>
      </w:tr>
      <w:tr w:rsidR="003E1D81" w14:paraId="26922172" w14:textId="77777777">
        <w:trPr>
          <w:trHeight w:val="309"/>
        </w:trPr>
        <w:tc>
          <w:tcPr>
            <w:tcW w:w="709" w:type="dxa"/>
            <w:shd w:val="clear" w:color="auto" w:fill="C6EFCE"/>
            <w:noWrap/>
          </w:tcPr>
          <w:p w14:paraId="6A5B179A" w14:textId="77777777" w:rsidR="003E1D81" w:rsidRDefault="00EB481C">
            <w:pPr>
              <w:pStyle w:val="P68B1DB1-Normal13"/>
              <w:spacing w:after="0" w:line="240" w:lineRule="auto"/>
              <w:jc w:val="center"/>
              <w:rPr>
                <w:rFonts w:cs="Times New Roman"/>
                <w:noProof/>
              </w:rPr>
            </w:pPr>
            <w:r>
              <w:rPr>
                <w:noProof/>
              </w:rPr>
              <w:t>321</w:t>
            </w:r>
          </w:p>
        </w:tc>
        <w:tc>
          <w:tcPr>
            <w:tcW w:w="851" w:type="dxa"/>
            <w:shd w:val="clear" w:color="auto" w:fill="C6EFCE"/>
            <w:noWrap/>
          </w:tcPr>
          <w:p w14:paraId="43A567F4" w14:textId="77777777" w:rsidR="003E1D81" w:rsidRDefault="00EB481C">
            <w:pPr>
              <w:pStyle w:val="P68B1DB1-Normal13"/>
              <w:spacing w:after="0" w:line="240" w:lineRule="auto"/>
              <w:jc w:val="center"/>
              <w:rPr>
                <w:rFonts w:cs="Times New Roman"/>
                <w:noProof/>
              </w:rPr>
            </w:pPr>
            <w:r>
              <w:rPr>
                <w:noProof/>
              </w:rPr>
              <w:t>C22.I1</w:t>
            </w:r>
          </w:p>
        </w:tc>
        <w:tc>
          <w:tcPr>
            <w:tcW w:w="992" w:type="dxa"/>
            <w:shd w:val="clear" w:color="auto" w:fill="C6EFCE"/>
            <w:noWrap/>
          </w:tcPr>
          <w:p w14:paraId="3B91E2E4" w14:textId="77777777" w:rsidR="003E1D81" w:rsidRDefault="00EB481C">
            <w:pPr>
              <w:pStyle w:val="P68B1DB1-Normal13"/>
              <w:spacing w:after="0" w:line="240" w:lineRule="auto"/>
              <w:jc w:val="center"/>
              <w:rPr>
                <w:rFonts w:cs="Times New Roman"/>
                <w:noProof/>
              </w:rPr>
            </w:pPr>
            <w:r>
              <w:rPr>
                <w:noProof/>
              </w:rPr>
              <w:t>T</w:t>
            </w:r>
          </w:p>
        </w:tc>
        <w:tc>
          <w:tcPr>
            <w:tcW w:w="3119" w:type="dxa"/>
            <w:shd w:val="clear" w:color="auto" w:fill="C6EFCE"/>
            <w:noWrap/>
          </w:tcPr>
          <w:p w14:paraId="66BA2A34" w14:textId="77777777" w:rsidR="003E1D81" w:rsidRDefault="00EB481C">
            <w:pPr>
              <w:pStyle w:val="P68B1DB1-Normal13"/>
              <w:spacing w:after="0" w:line="240" w:lineRule="auto"/>
              <w:rPr>
                <w:rFonts w:cs="Times New Roman"/>
                <w:noProof/>
              </w:rPr>
            </w:pPr>
            <w:r>
              <w:rPr>
                <w:noProof/>
              </w:rPr>
              <w:t>A szociális jogokért és a 2030-ig tartó időszakra szóló menetrendért felelős minisztérium által végrehajtott projektek</w:t>
            </w:r>
          </w:p>
        </w:tc>
        <w:tc>
          <w:tcPr>
            <w:tcW w:w="992" w:type="dxa"/>
            <w:shd w:val="clear" w:color="auto" w:fill="C6EFCE"/>
            <w:noWrap/>
          </w:tcPr>
          <w:p w14:paraId="0EF203E1" w14:textId="77777777" w:rsidR="003E1D81" w:rsidRDefault="00EB481C">
            <w:pPr>
              <w:pStyle w:val="P68B1DB1-Normal13"/>
              <w:spacing w:after="0" w:line="240" w:lineRule="auto"/>
              <w:jc w:val="center"/>
              <w:rPr>
                <w:rFonts w:eastAsia="Times New Roman" w:cs="Times New Roman"/>
                <w:noProof/>
              </w:rPr>
            </w:pPr>
            <w:r>
              <w:rPr>
                <w:noProof/>
              </w:rPr>
              <w:t> </w:t>
            </w:r>
          </w:p>
        </w:tc>
        <w:tc>
          <w:tcPr>
            <w:tcW w:w="850" w:type="dxa"/>
            <w:shd w:val="clear" w:color="auto" w:fill="C6EFCE"/>
            <w:noWrap/>
          </w:tcPr>
          <w:p w14:paraId="758B934B" w14:textId="77777777" w:rsidR="003E1D81" w:rsidRDefault="00EB481C">
            <w:pPr>
              <w:pStyle w:val="P68B1DB1-Normal13"/>
              <w:spacing w:after="0" w:line="240" w:lineRule="auto"/>
              <w:jc w:val="center"/>
              <w:rPr>
                <w:rFonts w:cs="Times New Roman"/>
                <w:noProof/>
              </w:rPr>
            </w:pPr>
            <w:r>
              <w:rPr>
                <w:noProof/>
              </w:rPr>
              <w:t>Szám</w:t>
            </w:r>
          </w:p>
        </w:tc>
        <w:tc>
          <w:tcPr>
            <w:tcW w:w="851" w:type="dxa"/>
            <w:shd w:val="clear" w:color="auto" w:fill="C6EFCE"/>
            <w:noWrap/>
          </w:tcPr>
          <w:p w14:paraId="069EAC2B" w14:textId="77777777" w:rsidR="003E1D81" w:rsidRDefault="00EB481C">
            <w:pPr>
              <w:pStyle w:val="P68B1DB1-Normal13"/>
              <w:spacing w:after="0" w:line="240" w:lineRule="auto"/>
              <w:jc w:val="center"/>
              <w:rPr>
                <w:rFonts w:cs="Times New Roman"/>
                <w:noProof/>
              </w:rPr>
            </w:pPr>
            <w:r>
              <w:rPr>
                <w:noProof/>
              </w:rPr>
              <w:t>0</w:t>
            </w:r>
          </w:p>
        </w:tc>
        <w:tc>
          <w:tcPr>
            <w:tcW w:w="709" w:type="dxa"/>
            <w:shd w:val="clear" w:color="auto" w:fill="C6EFCE"/>
            <w:noWrap/>
          </w:tcPr>
          <w:p w14:paraId="103FB448" w14:textId="77777777" w:rsidR="003E1D81" w:rsidRDefault="00EB481C">
            <w:pPr>
              <w:pStyle w:val="P68B1DB1-Normal13"/>
              <w:spacing w:after="0" w:line="240" w:lineRule="auto"/>
              <w:jc w:val="center"/>
              <w:rPr>
                <w:rFonts w:cs="Times New Roman"/>
                <w:noProof/>
              </w:rPr>
            </w:pPr>
            <w:r>
              <w:rPr>
                <w:noProof/>
              </w:rPr>
              <w:t>4</w:t>
            </w:r>
          </w:p>
        </w:tc>
        <w:tc>
          <w:tcPr>
            <w:tcW w:w="567" w:type="dxa"/>
            <w:shd w:val="clear" w:color="auto" w:fill="C6EFCE"/>
            <w:noWrap/>
          </w:tcPr>
          <w:p w14:paraId="76F3ECA5" w14:textId="77777777" w:rsidR="003E1D81" w:rsidRDefault="00EB481C">
            <w:pPr>
              <w:pStyle w:val="P68B1DB1-Normal13"/>
              <w:spacing w:after="0" w:line="240" w:lineRule="auto"/>
              <w:jc w:val="center"/>
              <w:rPr>
                <w:rFonts w:cs="Times New Roman"/>
                <w:noProof/>
              </w:rPr>
            </w:pPr>
            <w:r>
              <w:rPr>
                <w:noProof/>
              </w:rPr>
              <w:t>KÉRDÉS</w:t>
            </w:r>
          </w:p>
        </w:tc>
        <w:tc>
          <w:tcPr>
            <w:tcW w:w="810" w:type="dxa"/>
            <w:shd w:val="clear" w:color="auto" w:fill="C6EFCE"/>
            <w:noWrap/>
          </w:tcPr>
          <w:p w14:paraId="06CA6284" w14:textId="77777777" w:rsidR="003E1D81" w:rsidRDefault="00EB481C">
            <w:pPr>
              <w:pStyle w:val="P68B1DB1-Normal13"/>
              <w:spacing w:after="0" w:line="240" w:lineRule="auto"/>
              <w:jc w:val="center"/>
              <w:rPr>
                <w:rFonts w:cs="Times New Roman"/>
                <w:noProof/>
              </w:rPr>
            </w:pPr>
            <w:r>
              <w:rPr>
                <w:noProof/>
              </w:rPr>
              <w:t>2023</w:t>
            </w:r>
          </w:p>
        </w:tc>
        <w:tc>
          <w:tcPr>
            <w:tcW w:w="4860" w:type="dxa"/>
            <w:shd w:val="clear" w:color="auto" w:fill="C6EFCE"/>
            <w:noWrap/>
          </w:tcPr>
          <w:p w14:paraId="1D321D13" w14:textId="7144CD1C" w:rsidR="003E1D81" w:rsidRDefault="00EB481C">
            <w:pPr>
              <w:pStyle w:val="P68B1DB1-Normal13"/>
              <w:spacing w:after="0" w:line="240" w:lineRule="auto"/>
              <w:rPr>
                <w:rFonts w:cs="Times New Roman"/>
                <w:noProof/>
              </w:rPr>
            </w:pPr>
            <w:r>
              <w:rPr>
                <w:noProof/>
              </w:rPr>
              <w:t xml:space="preserve">Az intézményesített gondozással </w:t>
            </w:r>
            <w:r>
              <w:rPr>
                <w:noProof/>
              </w:rPr>
              <w:t>kapcsolatos 4 kísérleti projekt lezárása, amelyek közül az egyik az értelmi fogyatékossággal élő személyek támogatására és gondozására összpontosít, valamint az IMSERSO legalább 1100 férőhelyének megfelelő központok reformja.</w:t>
            </w:r>
          </w:p>
        </w:tc>
      </w:tr>
      <w:tr w:rsidR="003E1D81" w14:paraId="20858E97" w14:textId="77777777">
        <w:trPr>
          <w:trHeight w:val="309"/>
        </w:trPr>
        <w:tc>
          <w:tcPr>
            <w:tcW w:w="709" w:type="dxa"/>
            <w:shd w:val="clear" w:color="auto" w:fill="C6EFCE"/>
            <w:noWrap/>
          </w:tcPr>
          <w:p w14:paraId="5D7EDB91" w14:textId="78295F2D" w:rsidR="003E1D81" w:rsidRDefault="00EB481C">
            <w:pPr>
              <w:pStyle w:val="P68B1DB1-Normal13"/>
              <w:spacing w:after="0" w:line="240" w:lineRule="auto"/>
              <w:jc w:val="center"/>
              <w:rPr>
                <w:rFonts w:cs="Times New Roman"/>
                <w:noProof/>
              </w:rPr>
            </w:pPr>
            <w:r>
              <w:rPr>
                <w:noProof/>
              </w:rPr>
              <w:t>470</w:t>
            </w:r>
          </w:p>
        </w:tc>
        <w:tc>
          <w:tcPr>
            <w:tcW w:w="851" w:type="dxa"/>
            <w:shd w:val="clear" w:color="auto" w:fill="C6EFCE"/>
            <w:noWrap/>
          </w:tcPr>
          <w:p w14:paraId="66BA266F" w14:textId="66352BF8" w:rsidR="003E1D81" w:rsidRDefault="00EB481C">
            <w:pPr>
              <w:pStyle w:val="P68B1DB1-Normal13"/>
              <w:spacing w:after="0" w:line="240" w:lineRule="auto"/>
              <w:jc w:val="center"/>
              <w:rPr>
                <w:rFonts w:cs="Times New Roman"/>
                <w:noProof/>
              </w:rPr>
            </w:pPr>
            <w:r>
              <w:rPr>
                <w:noProof/>
              </w:rPr>
              <w:t>C22.I1</w:t>
            </w:r>
          </w:p>
        </w:tc>
        <w:tc>
          <w:tcPr>
            <w:tcW w:w="992" w:type="dxa"/>
            <w:shd w:val="clear" w:color="auto" w:fill="C6EFCE"/>
            <w:noWrap/>
          </w:tcPr>
          <w:p w14:paraId="0E616B96" w14:textId="20E4B538" w:rsidR="003E1D81" w:rsidRDefault="00EB481C">
            <w:pPr>
              <w:pStyle w:val="P68B1DB1-Normal13"/>
              <w:spacing w:after="0" w:line="240" w:lineRule="auto"/>
              <w:jc w:val="center"/>
              <w:rPr>
                <w:rFonts w:cs="Times New Roman"/>
                <w:noProof/>
              </w:rPr>
            </w:pPr>
            <w:r>
              <w:rPr>
                <w:noProof/>
              </w:rPr>
              <w:t>T</w:t>
            </w:r>
          </w:p>
        </w:tc>
        <w:tc>
          <w:tcPr>
            <w:tcW w:w="3119" w:type="dxa"/>
            <w:shd w:val="clear" w:color="auto" w:fill="C6EFCE"/>
            <w:noWrap/>
          </w:tcPr>
          <w:p w14:paraId="4A690540" w14:textId="0108DCF2" w:rsidR="003E1D81" w:rsidRDefault="00EB481C">
            <w:pPr>
              <w:pStyle w:val="P68B1DB1-Normal13"/>
              <w:spacing w:after="0" w:line="240" w:lineRule="auto"/>
              <w:rPr>
                <w:rFonts w:cs="Times New Roman"/>
                <w:noProof/>
              </w:rPr>
            </w:pPr>
            <w:r>
              <w:rPr>
                <w:noProof/>
              </w:rPr>
              <w:t xml:space="preserve">Bentlakásos, nem lakáscélú és nappali ápolási-gondozási helyek.  </w:t>
            </w:r>
          </w:p>
        </w:tc>
        <w:tc>
          <w:tcPr>
            <w:tcW w:w="992" w:type="dxa"/>
            <w:shd w:val="clear" w:color="auto" w:fill="C6EFCE"/>
            <w:noWrap/>
          </w:tcPr>
          <w:p w14:paraId="39FB4516"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779638DA" w14:textId="4C10DAD9" w:rsidR="003E1D81" w:rsidRDefault="00EB481C">
            <w:pPr>
              <w:pStyle w:val="P68B1DB1-Normal13"/>
              <w:spacing w:after="0" w:line="240" w:lineRule="auto"/>
              <w:jc w:val="center"/>
              <w:rPr>
                <w:rFonts w:cs="Times New Roman"/>
                <w:noProof/>
              </w:rPr>
            </w:pPr>
            <w:r>
              <w:rPr>
                <w:noProof/>
              </w:rPr>
              <w:t>Millió EUR</w:t>
            </w:r>
          </w:p>
        </w:tc>
        <w:tc>
          <w:tcPr>
            <w:tcW w:w="851" w:type="dxa"/>
            <w:shd w:val="clear" w:color="auto" w:fill="C6EFCE"/>
            <w:noWrap/>
          </w:tcPr>
          <w:p w14:paraId="590FF78F" w14:textId="3DA893BF" w:rsidR="003E1D81" w:rsidRDefault="00EB481C">
            <w:pPr>
              <w:pStyle w:val="P68B1DB1-Normal13"/>
              <w:spacing w:after="0" w:line="240" w:lineRule="auto"/>
              <w:jc w:val="center"/>
              <w:rPr>
                <w:rFonts w:cs="Times New Roman"/>
                <w:noProof/>
              </w:rPr>
            </w:pPr>
            <w:r>
              <w:rPr>
                <w:noProof/>
              </w:rPr>
              <w:t>0</w:t>
            </w:r>
          </w:p>
        </w:tc>
        <w:tc>
          <w:tcPr>
            <w:tcW w:w="709" w:type="dxa"/>
            <w:shd w:val="clear" w:color="auto" w:fill="C6EFCE"/>
            <w:noWrap/>
          </w:tcPr>
          <w:p w14:paraId="5499063C" w14:textId="0738CE52" w:rsidR="003E1D81" w:rsidRDefault="00EB481C">
            <w:pPr>
              <w:pStyle w:val="P68B1DB1-Normal13"/>
              <w:spacing w:after="0" w:line="240" w:lineRule="auto"/>
              <w:jc w:val="center"/>
              <w:rPr>
                <w:rFonts w:cs="Times New Roman"/>
                <w:noProof/>
              </w:rPr>
            </w:pPr>
            <w:r>
              <w:rPr>
                <w:noProof/>
              </w:rPr>
              <w:t>1 355</w:t>
            </w:r>
          </w:p>
        </w:tc>
        <w:tc>
          <w:tcPr>
            <w:tcW w:w="567" w:type="dxa"/>
            <w:shd w:val="clear" w:color="auto" w:fill="C6EFCE"/>
            <w:noWrap/>
          </w:tcPr>
          <w:p w14:paraId="0D910B1C" w14:textId="294FE1A7" w:rsidR="003E1D81" w:rsidRDefault="00EB481C">
            <w:pPr>
              <w:pStyle w:val="P68B1DB1-Normal13"/>
              <w:spacing w:after="0" w:line="240" w:lineRule="auto"/>
              <w:jc w:val="center"/>
              <w:rPr>
                <w:rFonts w:cs="Times New Roman"/>
                <w:noProof/>
              </w:rPr>
            </w:pPr>
            <w:r>
              <w:rPr>
                <w:noProof/>
              </w:rPr>
              <w:t>KÉRDÉS</w:t>
            </w:r>
          </w:p>
        </w:tc>
        <w:tc>
          <w:tcPr>
            <w:tcW w:w="810" w:type="dxa"/>
            <w:shd w:val="clear" w:color="auto" w:fill="C6EFCE"/>
            <w:noWrap/>
          </w:tcPr>
          <w:p w14:paraId="1063E673" w14:textId="7890908B" w:rsidR="003E1D81" w:rsidRDefault="00EB481C">
            <w:pPr>
              <w:pStyle w:val="P68B1DB1-Normal13"/>
              <w:spacing w:after="0" w:line="240" w:lineRule="auto"/>
              <w:jc w:val="center"/>
              <w:rPr>
                <w:rFonts w:cs="Times New Roman"/>
                <w:noProof/>
              </w:rPr>
            </w:pPr>
            <w:r>
              <w:rPr>
                <w:noProof/>
              </w:rPr>
              <w:t>2024</w:t>
            </w:r>
          </w:p>
        </w:tc>
        <w:tc>
          <w:tcPr>
            <w:tcW w:w="4860" w:type="dxa"/>
            <w:shd w:val="clear" w:color="auto" w:fill="C6EFCE"/>
            <w:noWrap/>
          </w:tcPr>
          <w:p w14:paraId="638C82DF" w14:textId="5D060C45" w:rsidR="003E1D81" w:rsidRDefault="00EB481C">
            <w:pPr>
              <w:pStyle w:val="P68B1DB1-Normal13"/>
              <w:spacing w:after="0" w:line="240" w:lineRule="auto"/>
              <w:rPr>
                <w:rFonts w:cs="Times New Roman"/>
                <w:noProof/>
              </w:rPr>
            </w:pPr>
            <w:r>
              <w:rPr>
                <w:noProof/>
              </w:rPr>
              <w:t>Legalább 1 355 000 000 EUR odaítélésének közzététele a Hivatalos Lapban vagy a közbeszerzési platformon a lakó-, nem lakáscélú és napközi otthonok felújításár</w:t>
            </w:r>
            <w:r>
              <w:rPr>
                <w:noProof/>
              </w:rPr>
              <w:t xml:space="preserve">a és építésére, hogy azok igazodjanak az új tartós ápolási-gondozási modellhez. </w:t>
            </w:r>
          </w:p>
        </w:tc>
      </w:tr>
      <w:tr w:rsidR="003E1D81" w14:paraId="008805E7" w14:textId="77777777">
        <w:trPr>
          <w:trHeight w:val="309"/>
        </w:trPr>
        <w:tc>
          <w:tcPr>
            <w:tcW w:w="709" w:type="dxa"/>
            <w:shd w:val="clear" w:color="auto" w:fill="C6EFCE"/>
            <w:noWrap/>
          </w:tcPr>
          <w:p w14:paraId="4F19C717" w14:textId="77777777" w:rsidR="003E1D81" w:rsidRDefault="00EB481C">
            <w:pPr>
              <w:pStyle w:val="P68B1DB1-Normal13"/>
              <w:spacing w:after="0" w:line="240" w:lineRule="auto"/>
              <w:jc w:val="center"/>
              <w:rPr>
                <w:rFonts w:cs="Times New Roman"/>
                <w:noProof/>
              </w:rPr>
            </w:pPr>
            <w:r>
              <w:rPr>
                <w:noProof/>
              </w:rPr>
              <w:t>322</w:t>
            </w:r>
          </w:p>
        </w:tc>
        <w:tc>
          <w:tcPr>
            <w:tcW w:w="851" w:type="dxa"/>
            <w:shd w:val="clear" w:color="auto" w:fill="C6EFCE"/>
            <w:noWrap/>
          </w:tcPr>
          <w:p w14:paraId="2AF78B6F" w14:textId="77777777" w:rsidR="003E1D81" w:rsidRDefault="00EB481C">
            <w:pPr>
              <w:pStyle w:val="P68B1DB1-Normal13"/>
              <w:spacing w:after="0" w:line="240" w:lineRule="auto"/>
              <w:jc w:val="center"/>
              <w:rPr>
                <w:rFonts w:cs="Times New Roman"/>
                <w:noProof/>
              </w:rPr>
            </w:pPr>
            <w:r>
              <w:rPr>
                <w:noProof/>
              </w:rPr>
              <w:t>C22.I1</w:t>
            </w:r>
          </w:p>
        </w:tc>
        <w:tc>
          <w:tcPr>
            <w:tcW w:w="992" w:type="dxa"/>
            <w:shd w:val="clear" w:color="auto" w:fill="C6EFCE"/>
            <w:noWrap/>
          </w:tcPr>
          <w:p w14:paraId="75ACDF23" w14:textId="77777777" w:rsidR="003E1D81" w:rsidRDefault="00EB481C">
            <w:pPr>
              <w:pStyle w:val="P68B1DB1-Normal13"/>
              <w:spacing w:after="0" w:line="240" w:lineRule="auto"/>
              <w:jc w:val="center"/>
              <w:rPr>
                <w:rFonts w:cs="Times New Roman"/>
                <w:noProof/>
              </w:rPr>
            </w:pPr>
            <w:r>
              <w:rPr>
                <w:noProof/>
              </w:rPr>
              <w:t>T</w:t>
            </w:r>
          </w:p>
        </w:tc>
        <w:tc>
          <w:tcPr>
            <w:tcW w:w="3119" w:type="dxa"/>
            <w:shd w:val="clear" w:color="auto" w:fill="C6EFCE"/>
            <w:noWrap/>
          </w:tcPr>
          <w:p w14:paraId="03F93C4D" w14:textId="77777777" w:rsidR="003E1D81" w:rsidRDefault="00EB481C">
            <w:pPr>
              <w:pStyle w:val="P68B1DB1-Normal13"/>
              <w:spacing w:after="0" w:line="240" w:lineRule="auto"/>
              <w:rPr>
                <w:rFonts w:cs="Times New Roman"/>
                <w:noProof/>
              </w:rPr>
            </w:pPr>
            <w:r>
              <w:rPr>
                <w:noProof/>
              </w:rPr>
              <w:t xml:space="preserve">Otthoni távgondozási szolgáltatások az autonómia- és függőgondozási rendszerben (SAAD) </w:t>
            </w:r>
          </w:p>
        </w:tc>
        <w:tc>
          <w:tcPr>
            <w:tcW w:w="992" w:type="dxa"/>
            <w:shd w:val="clear" w:color="auto" w:fill="C6EFCE"/>
            <w:noWrap/>
          </w:tcPr>
          <w:p w14:paraId="0B8B0FBF" w14:textId="77777777" w:rsidR="003E1D81" w:rsidRDefault="00EB481C">
            <w:pPr>
              <w:pStyle w:val="P68B1DB1-Normal13"/>
              <w:spacing w:after="0" w:line="240" w:lineRule="auto"/>
              <w:jc w:val="center"/>
              <w:rPr>
                <w:rFonts w:eastAsia="Times New Roman" w:cs="Times New Roman"/>
                <w:noProof/>
              </w:rPr>
            </w:pPr>
            <w:r>
              <w:rPr>
                <w:noProof/>
              </w:rPr>
              <w:t> </w:t>
            </w:r>
          </w:p>
        </w:tc>
        <w:tc>
          <w:tcPr>
            <w:tcW w:w="850" w:type="dxa"/>
            <w:shd w:val="clear" w:color="auto" w:fill="C6EFCE"/>
            <w:noWrap/>
          </w:tcPr>
          <w:p w14:paraId="70E7C795" w14:textId="18C9BE08" w:rsidR="003E1D81" w:rsidRDefault="00EB481C">
            <w:pPr>
              <w:pStyle w:val="P68B1DB1-Normal13"/>
              <w:spacing w:after="0" w:line="240" w:lineRule="auto"/>
              <w:jc w:val="center"/>
              <w:rPr>
                <w:rFonts w:cs="Times New Roman"/>
                <w:noProof/>
              </w:rPr>
            </w:pPr>
            <w:r>
              <w:rPr>
                <w:noProof/>
              </w:rPr>
              <w:t>Millió EUR</w:t>
            </w:r>
          </w:p>
        </w:tc>
        <w:tc>
          <w:tcPr>
            <w:tcW w:w="851" w:type="dxa"/>
            <w:shd w:val="clear" w:color="auto" w:fill="C6EFCE"/>
            <w:noWrap/>
          </w:tcPr>
          <w:p w14:paraId="06E09DFC" w14:textId="0E8BE617" w:rsidR="003E1D81" w:rsidRDefault="00EB481C">
            <w:pPr>
              <w:pStyle w:val="P68B1DB1-Normal13"/>
              <w:spacing w:after="0" w:line="240" w:lineRule="auto"/>
              <w:jc w:val="center"/>
              <w:rPr>
                <w:rFonts w:cs="Times New Roman"/>
                <w:noProof/>
              </w:rPr>
            </w:pPr>
            <w:r>
              <w:rPr>
                <w:noProof/>
              </w:rPr>
              <w:t>0</w:t>
            </w:r>
          </w:p>
        </w:tc>
        <w:tc>
          <w:tcPr>
            <w:tcW w:w="709" w:type="dxa"/>
            <w:shd w:val="clear" w:color="auto" w:fill="C6EFCE"/>
            <w:noWrap/>
          </w:tcPr>
          <w:p w14:paraId="721993F3" w14:textId="4751187B" w:rsidR="003E1D81" w:rsidRDefault="00EB481C">
            <w:pPr>
              <w:pStyle w:val="P68B1DB1-Normal13"/>
              <w:spacing w:after="0" w:line="240" w:lineRule="auto"/>
              <w:jc w:val="center"/>
              <w:rPr>
                <w:rFonts w:cs="Times New Roman"/>
                <w:noProof/>
              </w:rPr>
            </w:pPr>
            <w:r>
              <w:rPr>
                <w:noProof/>
              </w:rPr>
              <w:t>304</w:t>
            </w:r>
          </w:p>
        </w:tc>
        <w:tc>
          <w:tcPr>
            <w:tcW w:w="567" w:type="dxa"/>
            <w:shd w:val="clear" w:color="auto" w:fill="C6EFCE"/>
            <w:noWrap/>
          </w:tcPr>
          <w:p w14:paraId="5A4DD573" w14:textId="0D250DB7" w:rsidR="003E1D81" w:rsidRDefault="00EB481C">
            <w:pPr>
              <w:pStyle w:val="P68B1DB1-Normal13"/>
              <w:spacing w:after="0" w:line="240" w:lineRule="auto"/>
              <w:jc w:val="center"/>
              <w:rPr>
                <w:rFonts w:cs="Times New Roman"/>
                <w:noProof/>
              </w:rPr>
            </w:pPr>
            <w:r>
              <w:rPr>
                <w:noProof/>
              </w:rPr>
              <w:t>NEGYEDÉV</w:t>
            </w:r>
          </w:p>
        </w:tc>
        <w:tc>
          <w:tcPr>
            <w:tcW w:w="810" w:type="dxa"/>
            <w:shd w:val="clear" w:color="auto" w:fill="C6EFCE"/>
            <w:noWrap/>
          </w:tcPr>
          <w:p w14:paraId="77028680" w14:textId="618BCF97" w:rsidR="003E1D81" w:rsidRDefault="00EB481C">
            <w:pPr>
              <w:pStyle w:val="P68B1DB1-Normal13"/>
              <w:spacing w:after="0" w:line="240" w:lineRule="auto"/>
              <w:jc w:val="center"/>
              <w:rPr>
                <w:rFonts w:cs="Times New Roman"/>
                <w:noProof/>
              </w:rPr>
            </w:pPr>
            <w:r>
              <w:rPr>
                <w:noProof/>
              </w:rPr>
              <w:t>2025</w:t>
            </w:r>
          </w:p>
        </w:tc>
        <w:tc>
          <w:tcPr>
            <w:tcW w:w="4860" w:type="dxa"/>
            <w:shd w:val="clear" w:color="auto" w:fill="C6EFCE"/>
            <w:noWrap/>
          </w:tcPr>
          <w:p w14:paraId="36EEC1A7" w14:textId="5179343A" w:rsidR="003E1D81" w:rsidRDefault="00EB481C">
            <w:pPr>
              <w:pStyle w:val="P68B1DB1-Normal13"/>
              <w:spacing w:after="0" w:line="240" w:lineRule="auto"/>
              <w:rPr>
                <w:rFonts w:cs="Times New Roman"/>
                <w:noProof/>
              </w:rPr>
            </w:pPr>
            <w:r>
              <w:rPr>
                <w:noProof/>
              </w:rPr>
              <w:t xml:space="preserve">Legalább 304 000 000 EUR értékben </w:t>
            </w:r>
            <w:r>
              <w:rPr>
                <w:noProof/>
              </w:rPr>
              <w:t>telepített új távgondozási szolgáltatások. Az alapforgatókönyv időpontja: 2020. március 31.</w:t>
            </w:r>
          </w:p>
        </w:tc>
      </w:tr>
      <w:tr w:rsidR="003E1D81" w14:paraId="05E33DE8" w14:textId="77777777">
        <w:trPr>
          <w:trHeight w:val="309"/>
        </w:trPr>
        <w:tc>
          <w:tcPr>
            <w:tcW w:w="709" w:type="dxa"/>
            <w:shd w:val="clear" w:color="auto" w:fill="C6EFCE"/>
            <w:noWrap/>
          </w:tcPr>
          <w:p w14:paraId="2FD3EAD3" w14:textId="77777777" w:rsidR="003E1D81" w:rsidRDefault="00EB481C">
            <w:pPr>
              <w:pStyle w:val="P68B1DB1-Normal13"/>
              <w:spacing w:after="0" w:line="240" w:lineRule="auto"/>
              <w:jc w:val="center"/>
              <w:rPr>
                <w:rFonts w:cs="Times New Roman"/>
                <w:noProof/>
              </w:rPr>
            </w:pPr>
            <w:r>
              <w:rPr>
                <w:noProof/>
              </w:rPr>
              <w:t>323</w:t>
            </w:r>
          </w:p>
        </w:tc>
        <w:tc>
          <w:tcPr>
            <w:tcW w:w="851" w:type="dxa"/>
            <w:shd w:val="clear" w:color="auto" w:fill="C6EFCE"/>
            <w:noWrap/>
          </w:tcPr>
          <w:p w14:paraId="6FE46AD4" w14:textId="77777777" w:rsidR="003E1D81" w:rsidRDefault="00EB481C">
            <w:pPr>
              <w:pStyle w:val="P68B1DB1-Normal13"/>
              <w:spacing w:after="0" w:line="240" w:lineRule="auto"/>
              <w:jc w:val="center"/>
              <w:rPr>
                <w:rFonts w:cs="Times New Roman"/>
                <w:noProof/>
              </w:rPr>
            </w:pPr>
            <w:r>
              <w:rPr>
                <w:noProof/>
              </w:rPr>
              <w:t>C22.I1</w:t>
            </w:r>
          </w:p>
        </w:tc>
        <w:tc>
          <w:tcPr>
            <w:tcW w:w="992" w:type="dxa"/>
            <w:shd w:val="clear" w:color="auto" w:fill="C6EFCE"/>
            <w:noWrap/>
          </w:tcPr>
          <w:p w14:paraId="28E3407A" w14:textId="77777777" w:rsidR="003E1D81" w:rsidRDefault="00EB481C">
            <w:pPr>
              <w:pStyle w:val="P68B1DB1-Normal13"/>
              <w:spacing w:after="0" w:line="240" w:lineRule="auto"/>
              <w:jc w:val="center"/>
              <w:rPr>
                <w:rFonts w:cs="Times New Roman"/>
                <w:noProof/>
              </w:rPr>
            </w:pPr>
            <w:r>
              <w:rPr>
                <w:noProof/>
              </w:rPr>
              <w:t>T</w:t>
            </w:r>
          </w:p>
        </w:tc>
        <w:tc>
          <w:tcPr>
            <w:tcW w:w="3119" w:type="dxa"/>
            <w:shd w:val="clear" w:color="auto" w:fill="C6EFCE"/>
            <w:noWrap/>
          </w:tcPr>
          <w:p w14:paraId="312D4CBB" w14:textId="77777777" w:rsidR="003E1D81" w:rsidRDefault="00EB481C">
            <w:pPr>
              <w:pStyle w:val="P68B1DB1-Normal13"/>
              <w:spacing w:after="0" w:line="240" w:lineRule="auto"/>
              <w:rPr>
                <w:rFonts w:cs="Times New Roman"/>
                <w:noProof/>
              </w:rPr>
            </w:pPr>
            <w:r>
              <w:rPr>
                <w:noProof/>
              </w:rPr>
              <w:t xml:space="preserve">Bentlakásos, nem lakáscélú és nappali ápolási-gondozási helyek.  </w:t>
            </w:r>
          </w:p>
        </w:tc>
        <w:tc>
          <w:tcPr>
            <w:tcW w:w="992" w:type="dxa"/>
            <w:shd w:val="clear" w:color="auto" w:fill="C6EFCE"/>
            <w:noWrap/>
          </w:tcPr>
          <w:p w14:paraId="31E5758E" w14:textId="77777777" w:rsidR="003E1D81" w:rsidRDefault="00EB481C">
            <w:pPr>
              <w:pStyle w:val="P68B1DB1-Normal13"/>
              <w:spacing w:after="0" w:line="240" w:lineRule="auto"/>
              <w:jc w:val="center"/>
              <w:rPr>
                <w:rFonts w:eastAsia="Times New Roman" w:cs="Times New Roman"/>
                <w:noProof/>
              </w:rPr>
            </w:pPr>
            <w:r>
              <w:rPr>
                <w:noProof/>
              </w:rPr>
              <w:t> </w:t>
            </w:r>
          </w:p>
        </w:tc>
        <w:tc>
          <w:tcPr>
            <w:tcW w:w="850" w:type="dxa"/>
            <w:shd w:val="clear" w:color="auto" w:fill="C6EFCE"/>
            <w:noWrap/>
          </w:tcPr>
          <w:p w14:paraId="4ADB9756" w14:textId="77777777" w:rsidR="003E1D81" w:rsidRDefault="00EB481C">
            <w:pPr>
              <w:pStyle w:val="P68B1DB1-Normal13"/>
              <w:spacing w:after="0" w:line="240" w:lineRule="auto"/>
              <w:jc w:val="center"/>
              <w:rPr>
                <w:rFonts w:cs="Times New Roman"/>
                <w:noProof/>
              </w:rPr>
            </w:pPr>
            <w:r>
              <w:rPr>
                <w:noProof/>
              </w:rPr>
              <w:t>Szám</w:t>
            </w:r>
          </w:p>
        </w:tc>
        <w:tc>
          <w:tcPr>
            <w:tcW w:w="851" w:type="dxa"/>
            <w:shd w:val="clear" w:color="auto" w:fill="C6EFCE"/>
            <w:noWrap/>
          </w:tcPr>
          <w:p w14:paraId="65499468" w14:textId="77777777" w:rsidR="003E1D81" w:rsidRDefault="00EB481C">
            <w:pPr>
              <w:pStyle w:val="P68B1DB1-Normal13"/>
              <w:spacing w:after="0" w:line="240" w:lineRule="auto"/>
              <w:jc w:val="right"/>
              <w:rPr>
                <w:rFonts w:cs="Times New Roman"/>
                <w:noProof/>
              </w:rPr>
            </w:pPr>
            <w:r>
              <w:rPr>
                <w:noProof/>
              </w:rPr>
              <w:t> </w:t>
            </w:r>
          </w:p>
        </w:tc>
        <w:tc>
          <w:tcPr>
            <w:tcW w:w="709" w:type="dxa"/>
            <w:shd w:val="clear" w:color="auto" w:fill="C6EFCE"/>
            <w:noWrap/>
          </w:tcPr>
          <w:p w14:paraId="52CF55A3" w14:textId="277B85C5" w:rsidR="003E1D81" w:rsidRDefault="00EB481C">
            <w:pPr>
              <w:pStyle w:val="P68B1DB1-Normal13"/>
              <w:spacing w:after="0" w:line="240" w:lineRule="auto"/>
              <w:jc w:val="center"/>
              <w:rPr>
                <w:rFonts w:cs="Times New Roman"/>
                <w:noProof/>
              </w:rPr>
            </w:pPr>
            <w:r>
              <w:rPr>
                <w:noProof/>
              </w:rPr>
              <w:t>15 200</w:t>
            </w:r>
          </w:p>
        </w:tc>
        <w:tc>
          <w:tcPr>
            <w:tcW w:w="567" w:type="dxa"/>
            <w:shd w:val="clear" w:color="auto" w:fill="C6EFCE"/>
            <w:noWrap/>
          </w:tcPr>
          <w:p w14:paraId="771531B7" w14:textId="48C794FB" w:rsidR="003E1D81" w:rsidRDefault="00EB481C">
            <w:pPr>
              <w:pStyle w:val="P68B1DB1-Normal13"/>
              <w:spacing w:after="0" w:line="240" w:lineRule="auto"/>
              <w:jc w:val="center"/>
              <w:rPr>
                <w:rFonts w:cs="Times New Roman"/>
                <w:noProof/>
              </w:rPr>
            </w:pPr>
            <w:r>
              <w:rPr>
                <w:noProof/>
              </w:rPr>
              <w:t>KÉRDÉS</w:t>
            </w:r>
          </w:p>
        </w:tc>
        <w:tc>
          <w:tcPr>
            <w:tcW w:w="810" w:type="dxa"/>
            <w:shd w:val="clear" w:color="auto" w:fill="C6EFCE"/>
            <w:noWrap/>
          </w:tcPr>
          <w:p w14:paraId="03214214" w14:textId="2BAB46CA" w:rsidR="003E1D81" w:rsidRDefault="00EB481C">
            <w:pPr>
              <w:pStyle w:val="P68B1DB1-Normal13"/>
              <w:spacing w:after="0" w:line="240" w:lineRule="auto"/>
              <w:jc w:val="center"/>
              <w:rPr>
                <w:rFonts w:cs="Times New Roman"/>
                <w:noProof/>
              </w:rPr>
            </w:pPr>
            <w:r>
              <w:rPr>
                <w:noProof/>
              </w:rPr>
              <w:t>2026</w:t>
            </w:r>
          </w:p>
        </w:tc>
        <w:tc>
          <w:tcPr>
            <w:tcW w:w="4860" w:type="dxa"/>
            <w:shd w:val="clear" w:color="auto" w:fill="C6EFCE"/>
            <w:noWrap/>
          </w:tcPr>
          <w:p w14:paraId="2DF0B1D7" w14:textId="3042FD88" w:rsidR="003E1D81" w:rsidRDefault="00EB481C">
            <w:pPr>
              <w:pStyle w:val="P68B1DB1-Normal13"/>
              <w:spacing w:after="0" w:line="240" w:lineRule="auto"/>
              <w:rPr>
                <w:rFonts w:cs="Times New Roman"/>
                <w:noProof/>
                <w:highlight w:val="yellow"/>
              </w:rPr>
            </w:pPr>
            <w:r>
              <w:rPr>
                <w:noProof/>
              </w:rPr>
              <w:t xml:space="preserve">Bentlakásos, nem lakáscélú és napközi otthonok, amelyeket felújítottak és/vagy építettek annak érdekében, hogy legalább 15200 férőhelyet hozzáigazítsanak az új tartós ápolási-gondozási modellhez. </w:t>
            </w:r>
          </w:p>
        </w:tc>
      </w:tr>
      <w:tr w:rsidR="003E1D81" w14:paraId="0D5EA232" w14:textId="77777777">
        <w:trPr>
          <w:trHeight w:val="309"/>
        </w:trPr>
        <w:tc>
          <w:tcPr>
            <w:tcW w:w="709" w:type="dxa"/>
            <w:shd w:val="clear" w:color="auto" w:fill="C6EFCE"/>
            <w:noWrap/>
          </w:tcPr>
          <w:p w14:paraId="79CAAB9E" w14:textId="77777777" w:rsidR="003E1D81" w:rsidRDefault="00EB481C">
            <w:pPr>
              <w:pStyle w:val="P68B1DB1-Normal13"/>
              <w:spacing w:after="0" w:line="240" w:lineRule="auto"/>
              <w:jc w:val="center"/>
              <w:rPr>
                <w:rFonts w:eastAsia="Times New Roman" w:cs="Times New Roman"/>
                <w:noProof/>
              </w:rPr>
            </w:pPr>
            <w:r>
              <w:rPr>
                <w:noProof/>
              </w:rPr>
              <w:t>324</w:t>
            </w:r>
          </w:p>
        </w:tc>
        <w:tc>
          <w:tcPr>
            <w:tcW w:w="851" w:type="dxa"/>
            <w:shd w:val="clear" w:color="auto" w:fill="C6EFCE"/>
            <w:noWrap/>
          </w:tcPr>
          <w:p w14:paraId="6F26D165" w14:textId="77777777" w:rsidR="003E1D81" w:rsidRDefault="00EB481C">
            <w:pPr>
              <w:pStyle w:val="P68B1DB1-Normal13"/>
              <w:spacing w:after="0" w:line="240" w:lineRule="auto"/>
              <w:jc w:val="center"/>
              <w:rPr>
                <w:rFonts w:eastAsia="Times New Roman" w:cs="Times New Roman"/>
                <w:noProof/>
              </w:rPr>
            </w:pPr>
            <w:r>
              <w:rPr>
                <w:noProof/>
              </w:rPr>
              <w:t>C22.I2</w:t>
            </w:r>
          </w:p>
        </w:tc>
        <w:tc>
          <w:tcPr>
            <w:tcW w:w="992" w:type="dxa"/>
            <w:shd w:val="clear" w:color="auto" w:fill="C6EFCE"/>
            <w:noWrap/>
          </w:tcPr>
          <w:p w14:paraId="3F3BF96A" w14:textId="77777777" w:rsidR="003E1D81" w:rsidRDefault="00EB481C">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7ADC3CBC" w14:textId="77777777" w:rsidR="003E1D81" w:rsidRDefault="00EB481C">
            <w:pPr>
              <w:pStyle w:val="P68B1DB1-Normal13"/>
              <w:spacing w:after="0" w:line="240" w:lineRule="auto"/>
              <w:rPr>
                <w:rFonts w:eastAsia="Times New Roman" w:cs="Times New Roman"/>
                <w:noProof/>
              </w:rPr>
            </w:pPr>
            <w:r>
              <w:rPr>
                <w:noProof/>
              </w:rPr>
              <w:t>Speciális technológiai eszközök alkalmazása a</w:t>
            </w:r>
            <w:r>
              <w:rPr>
                <w:noProof/>
              </w:rPr>
              <w:t xml:space="preserve"> szociális szolgáltatások információs és irányítási rendszereinek javítása érdekében.</w:t>
            </w:r>
          </w:p>
        </w:tc>
        <w:tc>
          <w:tcPr>
            <w:tcW w:w="992" w:type="dxa"/>
            <w:shd w:val="clear" w:color="auto" w:fill="C6EFCE"/>
            <w:noWrap/>
          </w:tcPr>
          <w:p w14:paraId="6E12E158" w14:textId="77777777" w:rsidR="003E1D81" w:rsidRDefault="00EB481C">
            <w:pPr>
              <w:pStyle w:val="P68B1DB1-Normal13"/>
              <w:spacing w:after="0" w:line="240" w:lineRule="auto"/>
              <w:jc w:val="center"/>
              <w:rPr>
                <w:rFonts w:eastAsia="Times New Roman" w:cs="Times New Roman"/>
                <w:noProof/>
              </w:rPr>
            </w:pPr>
            <w:r>
              <w:rPr>
                <w:noProof/>
              </w:rPr>
              <w:t>A projekt valamennyi szakaszának és végeredményének külső értékelése.</w:t>
            </w:r>
          </w:p>
        </w:tc>
        <w:tc>
          <w:tcPr>
            <w:tcW w:w="850" w:type="dxa"/>
            <w:shd w:val="clear" w:color="auto" w:fill="C6EFCE"/>
            <w:noWrap/>
          </w:tcPr>
          <w:p w14:paraId="655BE048" w14:textId="77777777" w:rsidR="003E1D81" w:rsidRDefault="00EB481C">
            <w:pPr>
              <w:pStyle w:val="P68B1DB1-Normal13"/>
              <w:spacing w:after="0" w:line="240" w:lineRule="auto"/>
              <w:jc w:val="center"/>
              <w:rPr>
                <w:rFonts w:eastAsia="Times New Roman" w:cs="Times New Roman"/>
                <w:noProof/>
              </w:rPr>
            </w:pPr>
            <w:r>
              <w:rPr>
                <w:noProof/>
              </w:rPr>
              <w:t> </w:t>
            </w:r>
          </w:p>
        </w:tc>
        <w:tc>
          <w:tcPr>
            <w:tcW w:w="851" w:type="dxa"/>
            <w:shd w:val="clear" w:color="auto" w:fill="C6EFCE"/>
            <w:noWrap/>
          </w:tcPr>
          <w:p w14:paraId="10B818FA" w14:textId="77777777" w:rsidR="003E1D81" w:rsidRDefault="00EB481C">
            <w:pPr>
              <w:pStyle w:val="P68B1DB1-Normal13"/>
              <w:spacing w:after="0" w:line="240" w:lineRule="auto"/>
              <w:jc w:val="right"/>
              <w:rPr>
                <w:rFonts w:eastAsia="Times New Roman" w:cs="Times New Roman"/>
                <w:noProof/>
              </w:rPr>
            </w:pPr>
            <w:r>
              <w:rPr>
                <w:noProof/>
              </w:rPr>
              <w:t> </w:t>
            </w:r>
          </w:p>
        </w:tc>
        <w:tc>
          <w:tcPr>
            <w:tcW w:w="709" w:type="dxa"/>
            <w:shd w:val="clear" w:color="auto" w:fill="C6EFCE"/>
            <w:noWrap/>
          </w:tcPr>
          <w:p w14:paraId="01A2FB1A" w14:textId="77777777" w:rsidR="003E1D81" w:rsidRDefault="00EB481C">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6487C479" w14:textId="77777777" w:rsidR="003E1D81" w:rsidRDefault="00EB481C">
            <w:pPr>
              <w:pStyle w:val="P68B1DB1-Normal13"/>
              <w:spacing w:after="0" w:line="240" w:lineRule="auto"/>
              <w:jc w:val="center"/>
              <w:rPr>
                <w:rFonts w:eastAsia="Times New Roman" w:cs="Times New Roman"/>
                <w:noProof/>
              </w:rPr>
            </w:pPr>
            <w:r>
              <w:rPr>
                <w:noProof/>
              </w:rPr>
              <w:t xml:space="preserve">NEGYEDÉV </w:t>
            </w:r>
          </w:p>
        </w:tc>
        <w:tc>
          <w:tcPr>
            <w:tcW w:w="810" w:type="dxa"/>
            <w:shd w:val="clear" w:color="auto" w:fill="C6EFCE"/>
            <w:noWrap/>
          </w:tcPr>
          <w:p w14:paraId="4789405B" w14:textId="77777777" w:rsidR="003E1D81" w:rsidRDefault="00EB481C">
            <w:pPr>
              <w:pStyle w:val="P68B1DB1-Normal13"/>
              <w:spacing w:after="0" w:line="240" w:lineRule="auto"/>
              <w:jc w:val="center"/>
              <w:rPr>
                <w:rFonts w:eastAsia="Times New Roman" w:cs="Times New Roman"/>
                <w:noProof/>
              </w:rPr>
            </w:pPr>
            <w:r>
              <w:rPr>
                <w:noProof/>
              </w:rPr>
              <w:t>2023</w:t>
            </w:r>
          </w:p>
        </w:tc>
        <w:tc>
          <w:tcPr>
            <w:tcW w:w="4860" w:type="dxa"/>
            <w:shd w:val="clear" w:color="auto" w:fill="C6EFCE"/>
            <w:noWrap/>
          </w:tcPr>
          <w:p w14:paraId="7776C5A9" w14:textId="77777777" w:rsidR="003E1D81" w:rsidRDefault="00EB481C">
            <w:pPr>
              <w:pStyle w:val="P68B1DB1-Normal13"/>
              <w:spacing w:after="0" w:line="240" w:lineRule="auto"/>
              <w:rPr>
                <w:rFonts w:cs="Times New Roman"/>
                <w:noProof/>
              </w:rPr>
            </w:pPr>
            <w:r>
              <w:rPr>
                <w:noProof/>
              </w:rPr>
              <w:t>A szociális szolgáltatások információs és irányítási rendszereinek javítását sz</w:t>
            </w:r>
            <w:r>
              <w:rPr>
                <w:noProof/>
              </w:rPr>
              <w:t xml:space="preserve">olgáló speciális technológiai eszközök kidolgozása és végrehajtása a következőkre terjed ki: </w:t>
            </w:r>
          </w:p>
          <w:p w14:paraId="2289E619" w14:textId="150509E0" w:rsidR="003E1D81" w:rsidRDefault="00EB481C">
            <w:pPr>
              <w:pStyle w:val="P68B1DB1-ListParagraph14"/>
              <w:numPr>
                <w:ilvl w:val="0"/>
                <w:numId w:val="715"/>
              </w:numPr>
              <w:spacing w:after="0" w:line="240" w:lineRule="auto"/>
              <w:rPr>
                <w:rFonts w:cs="Times New Roman"/>
                <w:noProof/>
              </w:rPr>
            </w:pPr>
            <w:r>
              <w:rPr>
                <w:noProof/>
              </w:rPr>
              <w:t xml:space="preserve">a spanyol szociális szolgáltatások információs rendszere (Siess); </w:t>
            </w:r>
          </w:p>
          <w:p w14:paraId="1F4D10BF" w14:textId="7D588414" w:rsidR="003E1D81" w:rsidRDefault="00EB481C">
            <w:pPr>
              <w:pStyle w:val="P68B1DB1-ListParagraph14"/>
              <w:numPr>
                <w:ilvl w:val="0"/>
                <w:numId w:val="715"/>
              </w:numPr>
              <w:spacing w:after="0" w:line="240" w:lineRule="auto"/>
              <w:rPr>
                <w:rFonts w:cs="Times New Roman"/>
                <w:noProof/>
              </w:rPr>
            </w:pPr>
            <w:r>
              <w:rPr>
                <w:noProof/>
              </w:rPr>
              <w:t>a harmadik ágazatbeli szervezetek által kidolgozott projektek elemzésére szolgáló online eszköz</w:t>
            </w:r>
            <w:r>
              <w:rPr>
                <w:noProof/>
              </w:rPr>
              <w:t xml:space="preserve">; </w:t>
            </w:r>
          </w:p>
          <w:p w14:paraId="6A8823AF" w14:textId="47CFEBD3" w:rsidR="003E1D81" w:rsidRDefault="00EB481C">
            <w:pPr>
              <w:pStyle w:val="P68B1DB1-ListParagraph14"/>
              <w:numPr>
                <w:ilvl w:val="0"/>
                <w:numId w:val="715"/>
              </w:numPr>
              <w:spacing w:after="0" w:line="240" w:lineRule="auto"/>
              <w:rPr>
                <w:rFonts w:cs="Times New Roman"/>
                <w:noProof/>
              </w:rPr>
            </w:pPr>
            <w:r>
              <w:rPr>
                <w:noProof/>
              </w:rPr>
              <w:t xml:space="preserve">számítógépes eszközök a szociális szolgáltatásokkal, valamint a család, a gyermekek és egyes veszélyeztetett csoportok gondozásával kapcsolatos különböző költségvetési programok irányítására; és </w:t>
            </w:r>
          </w:p>
          <w:p w14:paraId="03CDE88A" w14:textId="0E96E189" w:rsidR="003E1D81" w:rsidRDefault="00EB481C">
            <w:pPr>
              <w:pStyle w:val="P68B1DB1-ListParagraph14"/>
              <w:numPr>
                <w:ilvl w:val="0"/>
                <w:numId w:val="715"/>
              </w:numPr>
              <w:spacing w:after="0" w:line="240" w:lineRule="auto"/>
              <w:rPr>
                <w:rFonts w:cs="Times New Roman"/>
                <w:noProof/>
              </w:rPr>
            </w:pPr>
            <w:r>
              <w:rPr>
                <w:noProof/>
              </w:rPr>
              <w:t>online platform az országban rendelkezésre álló egészségü</w:t>
            </w:r>
            <w:r>
              <w:rPr>
                <w:noProof/>
              </w:rPr>
              <w:t>gyi ellátással kapcsolatos információk központosítására.</w:t>
            </w:r>
            <w:r>
              <w:rPr>
                <w:noProof/>
                <w:shd w:val="clear" w:color="auto" w:fill="E6E6E6"/>
              </w:rPr>
              <w:t xml:space="preserve"> </w:t>
            </w:r>
          </w:p>
        </w:tc>
      </w:tr>
      <w:tr w:rsidR="003E1D81" w14:paraId="40273E43" w14:textId="77777777">
        <w:trPr>
          <w:trHeight w:val="309"/>
        </w:trPr>
        <w:tc>
          <w:tcPr>
            <w:tcW w:w="709" w:type="dxa"/>
            <w:shd w:val="clear" w:color="auto" w:fill="C6EFCE"/>
            <w:noWrap/>
          </w:tcPr>
          <w:p w14:paraId="02810427" w14:textId="77777777" w:rsidR="003E1D81" w:rsidRDefault="00EB481C">
            <w:pPr>
              <w:pStyle w:val="P68B1DB1-Normal13"/>
              <w:spacing w:after="0" w:line="240" w:lineRule="auto"/>
              <w:jc w:val="center"/>
              <w:rPr>
                <w:rFonts w:eastAsia="Times New Roman" w:cs="Times New Roman"/>
                <w:noProof/>
              </w:rPr>
            </w:pPr>
            <w:r>
              <w:rPr>
                <w:noProof/>
              </w:rPr>
              <w:t>325</w:t>
            </w:r>
          </w:p>
        </w:tc>
        <w:tc>
          <w:tcPr>
            <w:tcW w:w="851" w:type="dxa"/>
            <w:shd w:val="clear" w:color="auto" w:fill="C6EFCE"/>
            <w:noWrap/>
          </w:tcPr>
          <w:p w14:paraId="2A88F12F" w14:textId="77777777" w:rsidR="003E1D81" w:rsidRDefault="00EB481C">
            <w:pPr>
              <w:pStyle w:val="P68B1DB1-Normal13"/>
              <w:spacing w:after="0" w:line="240" w:lineRule="auto"/>
              <w:jc w:val="center"/>
              <w:rPr>
                <w:rFonts w:eastAsia="Times New Roman" w:cs="Times New Roman"/>
                <w:noProof/>
              </w:rPr>
            </w:pPr>
            <w:r>
              <w:rPr>
                <w:noProof/>
              </w:rPr>
              <w:t>C22.I2</w:t>
            </w:r>
          </w:p>
        </w:tc>
        <w:tc>
          <w:tcPr>
            <w:tcW w:w="992" w:type="dxa"/>
            <w:shd w:val="clear" w:color="auto" w:fill="C6EFCE"/>
            <w:noWrap/>
          </w:tcPr>
          <w:p w14:paraId="62996793" w14:textId="77777777" w:rsidR="003E1D81" w:rsidRDefault="00EB481C">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32275888" w14:textId="77777777" w:rsidR="003E1D81" w:rsidRDefault="00EB481C">
            <w:pPr>
              <w:pStyle w:val="P68B1DB1-Normal13"/>
              <w:spacing w:after="0" w:line="240" w:lineRule="auto"/>
              <w:rPr>
                <w:rFonts w:eastAsia="Times New Roman" w:cs="Times New Roman"/>
                <w:noProof/>
              </w:rPr>
            </w:pPr>
            <w:r>
              <w:rPr>
                <w:noProof/>
              </w:rPr>
              <w:t xml:space="preserve">A szociális szolgáltatások technológiai átalakítására, valamint a bentlakásvédelemhez és a nevelőcsaládokhoz kapcsolódó infrastruktúra és szolgáltatások korszerűsítésére irányuló projektek lezárása </w:t>
            </w:r>
          </w:p>
        </w:tc>
        <w:tc>
          <w:tcPr>
            <w:tcW w:w="992" w:type="dxa"/>
            <w:shd w:val="clear" w:color="auto" w:fill="C6EFCE"/>
            <w:noWrap/>
          </w:tcPr>
          <w:p w14:paraId="2A7C22FD" w14:textId="77777777" w:rsidR="003E1D81" w:rsidRDefault="00EB481C">
            <w:pPr>
              <w:pStyle w:val="P68B1DB1-Normal13"/>
              <w:spacing w:after="0" w:line="240" w:lineRule="auto"/>
              <w:jc w:val="center"/>
              <w:rPr>
                <w:rFonts w:eastAsia="Times New Roman" w:cs="Times New Roman"/>
                <w:noProof/>
              </w:rPr>
            </w:pPr>
            <w:r>
              <w:rPr>
                <w:noProof/>
              </w:rPr>
              <w:t>Az egyes autonóm régiókkal aláírt megállapodások ellenőrz</w:t>
            </w:r>
            <w:r>
              <w:rPr>
                <w:noProof/>
              </w:rPr>
              <w:t>ése</w:t>
            </w:r>
          </w:p>
        </w:tc>
        <w:tc>
          <w:tcPr>
            <w:tcW w:w="850" w:type="dxa"/>
            <w:shd w:val="clear" w:color="auto" w:fill="C6EFCE"/>
            <w:noWrap/>
          </w:tcPr>
          <w:p w14:paraId="7757059F" w14:textId="77777777" w:rsidR="003E1D81" w:rsidRDefault="00EB481C">
            <w:pPr>
              <w:pStyle w:val="P68B1DB1-Normal13"/>
              <w:spacing w:after="0" w:line="240" w:lineRule="auto"/>
              <w:jc w:val="center"/>
              <w:rPr>
                <w:rFonts w:eastAsia="Times New Roman" w:cs="Times New Roman"/>
                <w:noProof/>
              </w:rPr>
            </w:pPr>
            <w:r>
              <w:rPr>
                <w:noProof/>
              </w:rPr>
              <w:t> </w:t>
            </w:r>
          </w:p>
        </w:tc>
        <w:tc>
          <w:tcPr>
            <w:tcW w:w="851" w:type="dxa"/>
            <w:shd w:val="clear" w:color="auto" w:fill="C6EFCE"/>
            <w:noWrap/>
          </w:tcPr>
          <w:p w14:paraId="607F8A10" w14:textId="77777777" w:rsidR="003E1D81" w:rsidRDefault="00EB481C">
            <w:pPr>
              <w:pStyle w:val="P68B1DB1-Normal13"/>
              <w:spacing w:after="0" w:line="240" w:lineRule="auto"/>
              <w:jc w:val="right"/>
              <w:rPr>
                <w:rFonts w:eastAsia="Times New Roman" w:cs="Times New Roman"/>
                <w:noProof/>
              </w:rPr>
            </w:pPr>
            <w:r>
              <w:rPr>
                <w:noProof/>
              </w:rPr>
              <w:t> </w:t>
            </w:r>
          </w:p>
        </w:tc>
        <w:tc>
          <w:tcPr>
            <w:tcW w:w="709" w:type="dxa"/>
            <w:shd w:val="clear" w:color="auto" w:fill="C6EFCE"/>
            <w:noWrap/>
          </w:tcPr>
          <w:p w14:paraId="17E077D5" w14:textId="77777777" w:rsidR="003E1D81" w:rsidRDefault="003E1D81">
            <w:pPr>
              <w:spacing w:after="0" w:line="240" w:lineRule="auto"/>
              <w:jc w:val="center"/>
              <w:rPr>
                <w:rFonts w:ascii="Times New Roman" w:eastAsia="Times New Roman" w:hAnsi="Times New Roman" w:cs="Times New Roman"/>
                <w:noProof/>
                <w:sz w:val="18"/>
              </w:rPr>
            </w:pPr>
          </w:p>
        </w:tc>
        <w:tc>
          <w:tcPr>
            <w:tcW w:w="567" w:type="dxa"/>
            <w:shd w:val="clear" w:color="auto" w:fill="C6EFCE"/>
            <w:noWrap/>
          </w:tcPr>
          <w:p w14:paraId="1961EF10"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810" w:type="dxa"/>
            <w:shd w:val="clear" w:color="auto" w:fill="C6EFCE"/>
            <w:noWrap/>
          </w:tcPr>
          <w:p w14:paraId="5D1CF3A1" w14:textId="4D56FD1D" w:rsidR="003E1D81" w:rsidRDefault="00EB481C">
            <w:pPr>
              <w:pStyle w:val="P68B1DB1-Normal13"/>
              <w:spacing w:after="0" w:line="240" w:lineRule="auto"/>
              <w:jc w:val="center"/>
              <w:rPr>
                <w:rFonts w:cs="Times New Roman"/>
                <w:noProof/>
              </w:rPr>
            </w:pPr>
            <w:r>
              <w:rPr>
                <w:noProof/>
              </w:rPr>
              <w:t>2025</w:t>
            </w:r>
          </w:p>
        </w:tc>
        <w:tc>
          <w:tcPr>
            <w:tcW w:w="4860" w:type="dxa"/>
            <w:shd w:val="clear" w:color="auto" w:fill="C6EFCE"/>
            <w:noWrap/>
          </w:tcPr>
          <w:p w14:paraId="3ABB57E2" w14:textId="77777777" w:rsidR="003E1D81" w:rsidRDefault="00EB481C">
            <w:pPr>
              <w:pStyle w:val="P68B1DB1-Normal13"/>
              <w:spacing w:after="0" w:line="240" w:lineRule="auto"/>
              <w:rPr>
                <w:rFonts w:eastAsia="Times New Roman" w:cs="Times New Roman"/>
                <w:noProof/>
              </w:rPr>
            </w:pPr>
            <w:r>
              <w:rPr>
                <w:noProof/>
              </w:rPr>
              <w:t>A szociális szolgáltatások technológiai átalakításának befejezése a regionális kormányzatok részéről, lehetővé téve a szociális szolgáltatásokkal (foglalkoztatás, egészségügy, harmadik szektor) kölcsönhatásban lévő egyéb rendszerekke</w:t>
            </w:r>
            <w:r>
              <w:rPr>
                <w:noProof/>
              </w:rPr>
              <w:t xml:space="preserve">l való interoperabilitást, valamint a gyermek- és serdülőgondozási központok lakhatási védelmével kapcsolatos infrastruktúra és szolgáltatások korszerűsítését, többek között a személyre szabott támogatási igények (beleértve az érzelmi és oktatási/szakmai) </w:t>
            </w:r>
            <w:r>
              <w:rPr>
                <w:noProof/>
              </w:rPr>
              <w:t xml:space="preserve">és a nevelőszülők képzését, legalább 450 000 000 EUR teljes költségvetés mellett. </w:t>
            </w:r>
          </w:p>
        </w:tc>
      </w:tr>
      <w:tr w:rsidR="003E1D81" w14:paraId="57CF3CD7" w14:textId="77777777">
        <w:trPr>
          <w:trHeight w:val="309"/>
        </w:trPr>
        <w:tc>
          <w:tcPr>
            <w:tcW w:w="709" w:type="dxa"/>
            <w:shd w:val="clear" w:color="auto" w:fill="C6EFCE"/>
            <w:noWrap/>
          </w:tcPr>
          <w:p w14:paraId="3C8C5CEB" w14:textId="78E55719" w:rsidR="003E1D81" w:rsidRDefault="00EB481C">
            <w:pPr>
              <w:pStyle w:val="P68B1DB1-Normal13"/>
              <w:spacing w:after="0" w:line="240" w:lineRule="auto"/>
              <w:jc w:val="center"/>
              <w:rPr>
                <w:rFonts w:cs="Times New Roman"/>
                <w:noProof/>
              </w:rPr>
            </w:pPr>
            <w:r>
              <w:rPr>
                <w:noProof/>
              </w:rPr>
              <w:t>471</w:t>
            </w:r>
          </w:p>
        </w:tc>
        <w:tc>
          <w:tcPr>
            <w:tcW w:w="851" w:type="dxa"/>
            <w:shd w:val="clear" w:color="auto" w:fill="C6EFCE"/>
            <w:noWrap/>
          </w:tcPr>
          <w:p w14:paraId="6FD56F45" w14:textId="77777777" w:rsidR="003E1D81" w:rsidRDefault="00EB481C">
            <w:pPr>
              <w:pStyle w:val="P68B1DB1-Normal13"/>
              <w:spacing w:after="0" w:line="240" w:lineRule="auto"/>
              <w:jc w:val="center"/>
              <w:rPr>
                <w:rFonts w:cs="Times New Roman"/>
                <w:noProof/>
              </w:rPr>
            </w:pPr>
            <w:r>
              <w:rPr>
                <w:noProof/>
              </w:rPr>
              <w:t>C22.I2</w:t>
            </w:r>
          </w:p>
        </w:tc>
        <w:tc>
          <w:tcPr>
            <w:tcW w:w="992" w:type="dxa"/>
            <w:shd w:val="clear" w:color="auto" w:fill="C6EFCE"/>
            <w:noWrap/>
          </w:tcPr>
          <w:p w14:paraId="6A1AAA57" w14:textId="77777777" w:rsidR="003E1D81" w:rsidRDefault="00EB481C">
            <w:pPr>
              <w:pStyle w:val="P68B1DB1-Normal13"/>
              <w:spacing w:after="0" w:line="240" w:lineRule="auto"/>
              <w:jc w:val="center"/>
              <w:rPr>
                <w:rFonts w:cs="Times New Roman"/>
                <w:noProof/>
              </w:rPr>
            </w:pPr>
            <w:r>
              <w:rPr>
                <w:noProof/>
              </w:rPr>
              <w:t>T</w:t>
            </w:r>
          </w:p>
        </w:tc>
        <w:tc>
          <w:tcPr>
            <w:tcW w:w="3119" w:type="dxa"/>
            <w:shd w:val="clear" w:color="auto" w:fill="C6EFCE"/>
            <w:noWrap/>
          </w:tcPr>
          <w:p w14:paraId="1C05CA9D" w14:textId="77777777" w:rsidR="003E1D81" w:rsidRDefault="00EB481C">
            <w:pPr>
              <w:pStyle w:val="P68B1DB1-Normal13"/>
              <w:spacing w:after="0" w:line="240" w:lineRule="auto"/>
              <w:rPr>
                <w:rFonts w:cs="Times New Roman"/>
                <w:noProof/>
              </w:rPr>
            </w:pPr>
            <w:r>
              <w:rPr>
                <w:noProof/>
              </w:rPr>
              <w:t>A kísérleti projektek végrehajtása</w:t>
            </w:r>
          </w:p>
        </w:tc>
        <w:tc>
          <w:tcPr>
            <w:tcW w:w="992" w:type="dxa"/>
            <w:shd w:val="clear" w:color="auto" w:fill="C6EFCE"/>
            <w:noWrap/>
          </w:tcPr>
          <w:p w14:paraId="253A97F1"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53E3C726" w14:textId="77777777" w:rsidR="003E1D81" w:rsidRDefault="00EB481C">
            <w:pPr>
              <w:pStyle w:val="P68B1DB1-Normal13"/>
              <w:spacing w:after="0" w:line="240" w:lineRule="auto"/>
              <w:jc w:val="center"/>
              <w:rPr>
                <w:rFonts w:cs="Times New Roman"/>
                <w:noProof/>
              </w:rPr>
            </w:pPr>
            <w:r>
              <w:rPr>
                <w:noProof/>
              </w:rPr>
              <w:t>Szám</w:t>
            </w:r>
          </w:p>
        </w:tc>
        <w:tc>
          <w:tcPr>
            <w:tcW w:w="851" w:type="dxa"/>
            <w:shd w:val="clear" w:color="auto" w:fill="C6EFCE"/>
            <w:noWrap/>
          </w:tcPr>
          <w:p w14:paraId="645BEB66" w14:textId="77777777" w:rsidR="003E1D81" w:rsidRDefault="00EB481C">
            <w:pPr>
              <w:pStyle w:val="P68B1DB1-Normal13"/>
              <w:spacing w:after="0" w:line="240" w:lineRule="auto"/>
              <w:jc w:val="right"/>
              <w:rPr>
                <w:rFonts w:cs="Times New Roman"/>
                <w:noProof/>
              </w:rPr>
            </w:pPr>
            <w:r>
              <w:rPr>
                <w:noProof/>
              </w:rPr>
              <w:t>0</w:t>
            </w:r>
          </w:p>
        </w:tc>
        <w:tc>
          <w:tcPr>
            <w:tcW w:w="709" w:type="dxa"/>
            <w:shd w:val="clear" w:color="auto" w:fill="C6EFCE"/>
            <w:noWrap/>
          </w:tcPr>
          <w:p w14:paraId="356285CA" w14:textId="77777777" w:rsidR="003E1D81" w:rsidRDefault="00EB481C">
            <w:pPr>
              <w:pStyle w:val="P68B1DB1-Normal13"/>
              <w:spacing w:after="0" w:line="240" w:lineRule="auto"/>
              <w:jc w:val="center"/>
              <w:rPr>
                <w:rFonts w:cs="Times New Roman"/>
                <w:noProof/>
              </w:rPr>
            </w:pPr>
            <w:r>
              <w:rPr>
                <w:noProof/>
              </w:rPr>
              <w:t>19</w:t>
            </w:r>
          </w:p>
        </w:tc>
        <w:tc>
          <w:tcPr>
            <w:tcW w:w="567" w:type="dxa"/>
            <w:shd w:val="clear" w:color="auto" w:fill="C6EFCE"/>
            <w:noWrap/>
          </w:tcPr>
          <w:p w14:paraId="1FB37924" w14:textId="77777777" w:rsidR="003E1D81" w:rsidRDefault="00EB481C">
            <w:pPr>
              <w:pStyle w:val="P68B1DB1-Normal13"/>
              <w:spacing w:after="0" w:line="240" w:lineRule="auto"/>
              <w:jc w:val="center"/>
              <w:rPr>
                <w:rFonts w:cs="Times New Roman"/>
                <w:noProof/>
              </w:rPr>
            </w:pPr>
            <w:r>
              <w:rPr>
                <w:noProof/>
              </w:rPr>
              <w:t>NEGYEDÉV</w:t>
            </w:r>
          </w:p>
        </w:tc>
        <w:tc>
          <w:tcPr>
            <w:tcW w:w="810" w:type="dxa"/>
            <w:shd w:val="clear" w:color="auto" w:fill="C6EFCE"/>
            <w:noWrap/>
          </w:tcPr>
          <w:p w14:paraId="433B1CFD" w14:textId="77777777" w:rsidR="003E1D81" w:rsidRDefault="00EB481C">
            <w:pPr>
              <w:pStyle w:val="P68B1DB1-Normal13"/>
              <w:spacing w:after="0" w:line="240" w:lineRule="auto"/>
              <w:jc w:val="center"/>
              <w:rPr>
                <w:rFonts w:cs="Times New Roman"/>
                <w:noProof/>
              </w:rPr>
            </w:pPr>
            <w:r>
              <w:rPr>
                <w:noProof/>
              </w:rPr>
              <w:t>2025</w:t>
            </w:r>
          </w:p>
        </w:tc>
        <w:tc>
          <w:tcPr>
            <w:tcW w:w="4860" w:type="dxa"/>
            <w:shd w:val="clear" w:color="auto" w:fill="C6EFCE"/>
            <w:noWrap/>
          </w:tcPr>
          <w:p w14:paraId="4DD3F79E" w14:textId="5557DB0B" w:rsidR="003E1D81" w:rsidRDefault="00EB481C">
            <w:pPr>
              <w:pStyle w:val="P68B1DB1-Normal13"/>
              <w:spacing w:after="0" w:line="240" w:lineRule="auto"/>
              <w:rPr>
                <w:rFonts w:cs="Times New Roman"/>
                <w:noProof/>
              </w:rPr>
            </w:pPr>
            <w:r>
              <w:rPr>
                <w:noProof/>
              </w:rPr>
              <w:t xml:space="preserve">Legalább 19 kísérleti projekt lezárása, amelyek célja az innováció előmozdítása a szociális </w:t>
            </w:r>
            <w:r>
              <w:rPr>
                <w:noProof/>
              </w:rPr>
              <w:t>szolgáltatások területén.</w:t>
            </w:r>
          </w:p>
        </w:tc>
      </w:tr>
      <w:tr w:rsidR="003E1D81" w14:paraId="6F8A3C56" w14:textId="77777777">
        <w:trPr>
          <w:trHeight w:val="309"/>
        </w:trPr>
        <w:tc>
          <w:tcPr>
            <w:tcW w:w="709" w:type="dxa"/>
            <w:shd w:val="clear" w:color="auto" w:fill="C6EFCE"/>
            <w:noWrap/>
          </w:tcPr>
          <w:p w14:paraId="445DF925" w14:textId="77777777" w:rsidR="003E1D81" w:rsidRDefault="00EB481C">
            <w:pPr>
              <w:pStyle w:val="P68B1DB1-Normal13"/>
              <w:spacing w:after="0" w:line="240" w:lineRule="auto"/>
              <w:jc w:val="center"/>
              <w:rPr>
                <w:rFonts w:cs="Times New Roman"/>
                <w:noProof/>
              </w:rPr>
            </w:pPr>
            <w:r>
              <w:rPr>
                <w:noProof/>
              </w:rPr>
              <w:t>326</w:t>
            </w:r>
          </w:p>
        </w:tc>
        <w:tc>
          <w:tcPr>
            <w:tcW w:w="851" w:type="dxa"/>
            <w:shd w:val="clear" w:color="auto" w:fill="C6EFCE"/>
            <w:noWrap/>
          </w:tcPr>
          <w:p w14:paraId="642BCFA4" w14:textId="77777777" w:rsidR="003E1D81" w:rsidRDefault="00EB481C">
            <w:pPr>
              <w:pStyle w:val="P68B1DB1-Normal13"/>
              <w:spacing w:after="0" w:line="240" w:lineRule="auto"/>
              <w:jc w:val="center"/>
              <w:rPr>
                <w:rFonts w:cs="Times New Roman"/>
                <w:noProof/>
              </w:rPr>
            </w:pPr>
            <w:r>
              <w:rPr>
                <w:noProof/>
              </w:rPr>
              <w:t>C22.I3</w:t>
            </w:r>
          </w:p>
        </w:tc>
        <w:tc>
          <w:tcPr>
            <w:tcW w:w="992" w:type="dxa"/>
            <w:shd w:val="clear" w:color="auto" w:fill="C6EFCE"/>
            <w:noWrap/>
          </w:tcPr>
          <w:p w14:paraId="7FC9A030" w14:textId="77777777" w:rsidR="003E1D81" w:rsidRDefault="00EB481C">
            <w:pPr>
              <w:pStyle w:val="P68B1DB1-Normal13"/>
              <w:spacing w:after="0" w:line="240" w:lineRule="auto"/>
              <w:jc w:val="center"/>
              <w:rPr>
                <w:rFonts w:cs="Times New Roman"/>
                <w:noProof/>
              </w:rPr>
            </w:pPr>
            <w:r>
              <w:rPr>
                <w:noProof/>
              </w:rPr>
              <w:t>T</w:t>
            </w:r>
          </w:p>
        </w:tc>
        <w:tc>
          <w:tcPr>
            <w:tcW w:w="3119" w:type="dxa"/>
            <w:shd w:val="clear" w:color="auto" w:fill="C6EFCE"/>
            <w:noWrap/>
          </w:tcPr>
          <w:p w14:paraId="75135AEE" w14:textId="77777777" w:rsidR="003E1D81" w:rsidRDefault="00EB481C">
            <w:pPr>
              <w:pStyle w:val="P68B1DB1-Normal13"/>
              <w:spacing w:after="0" w:line="240" w:lineRule="auto"/>
              <w:rPr>
                <w:rFonts w:cs="Times New Roman"/>
                <w:noProof/>
              </w:rPr>
            </w:pPr>
            <w:r>
              <w:rPr>
                <w:noProof/>
              </w:rPr>
              <w:t>A hozzáférhetőség javítására irányuló projektek</w:t>
            </w:r>
          </w:p>
        </w:tc>
        <w:tc>
          <w:tcPr>
            <w:tcW w:w="992" w:type="dxa"/>
            <w:shd w:val="clear" w:color="auto" w:fill="C6EFCE"/>
            <w:noWrap/>
          </w:tcPr>
          <w:p w14:paraId="0294424B" w14:textId="77777777" w:rsidR="003E1D81" w:rsidRDefault="00EB481C">
            <w:pPr>
              <w:pStyle w:val="P68B1DB1-Normal13"/>
              <w:spacing w:after="0" w:line="240" w:lineRule="auto"/>
              <w:jc w:val="center"/>
              <w:rPr>
                <w:rFonts w:cs="Times New Roman"/>
                <w:noProof/>
              </w:rPr>
            </w:pPr>
            <w:r>
              <w:rPr>
                <w:noProof/>
              </w:rPr>
              <w:t> </w:t>
            </w:r>
          </w:p>
        </w:tc>
        <w:tc>
          <w:tcPr>
            <w:tcW w:w="850" w:type="dxa"/>
            <w:shd w:val="clear" w:color="auto" w:fill="C6EFCE"/>
            <w:noWrap/>
          </w:tcPr>
          <w:p w14:paraId="38C216B6" w14:textId="77777777" w:rsidR="003E1D81" w:rsidRDefault="00EB481C">
            <w:pPr>
              <w:pStyle w:val="P68B1DB1-Normal13"/>
              <w:spacing w:after="0" w:line="240" w:lineRule="auto"/>
              <w:jc w:val="center"/>
              <w:rPr>
                <w:rFonts w:cs="Times New Roman"/>
                <w:noProof/>
              </w:rPr>
            </w:pPr>
            <w:r>
              <w:rPr>
                <w:noProof/>
              </w:rPr>
              <w:t>Millió EUR</w:t>
            </w:r>
          </w:p>
        </w:tc>
        <w:tc>
          <w:tcPr>
            <w:tcW w:w="851" w:type="dxa"/>
            <w:shd w:val="clear" w:color="auto" w:fill="C6EFCE"/>
            <w:noWrap/>
          </w:tcPr>
          <w:p w14:paraId="08EE146F" w14:textId="77777777" w:rsidR="003E1D81" w:rsidRDefault="00EB481C">
            <w:pPr>
              <w:pStyle w:val="P68B1DB1-Normal13"/>
              <w:spacing w:after="0" w:line="240" w:lineRule="auto"/>
              <w:jc w:val="right"/>
              <w:rPr>
                <w:rFonts w:cs="Times New Roman"/>
                <w:noProof/>
              </w:rPr>
            </w:pPr>
            <w:r>
              <w:rPr>
                <w:noProof/>
              </w:rPr>
              <w:t>0</w:t>
            </w:r>
          </w:p>
        </w:tc>
        <w:tc>
          <w:tcPr>
            <w:tcW w:w="709" w:type="dxa"/>
            <w:shd w:val="clear" w:color="auto" w:fill="C6EFCE"/>
            <w:noWrap/>
          </w:tcPr>
          <w:p w14:paraId="3092A617" w14:textId="311EAA03" w:rsidR="003E1D81" w:rsidRDefault="00EB481C">
            <w:pPr>
              <w:pStyle w:val="P68B1DB1-Normal13"/>
              <w:spacing w:after="0" w:line="240" w:lineRule="auto"/>
              <w:jc w:val="center"/>
              <w:rPr>
                <w:rFonts w:cs="Times New Roman"/>
                <w:noProof/>
              </w:rPr>
            </w:pPr>
            <w:r>
              <w:rPr>
                <w:noProof/>
              </w:rPr>
              <w:t>178</w:t>
            </w:r>
          </w:p>
        </w:tc>
        <w:tc>
          <w:tcPr>
            <w:tcW w:w="567" w:type="dxa"/>
            <w:shd w:val="clear" w:color="auto" w:fill="C6EFCE"/>
            <w:noWrap/>
          </w:tcPr>
          <w:p w14:paraId="04FA89F0" w14:textId="77777777" w:rsidR="003E1D81" w:rsidRDefault="00EB481C">
            <w:pPr>
              <w:pStyle w:val="P68B1DB1-Normal13"/>
              <w:spacing w:after="0" w:line="240" w:lineRule="auto"/>
              <w:jc w:val="center"/>
              <w:rPr>
                <w:rFonts w:cs="Times New Roman"/>
                <w:noProof/>
              </w:rPr>
            </w:pPr>
            <w:r>
              <w:rPr>
                <w:noProof/>
              </w:rPr>
              <w:t>NEGYEDÉV</w:t>
            </w:r>
          </w:p>
        </w:tc>
        <w:tc>
          <w:tcPr>
            <w:tcW w:w="810" w:type="dxa"/>
            <w:shd w:val="clear" w:color="auto" w:fill="C6EFCE"/>
            <w:noWrap/>
          </w:tcPr>
          <w:p w14:paraId="1A8A7DE7" w14:textId="006D021F" w:rsidR="003E1D81" w:rsidRDefault="00EB481C">
            <w:pPr>
              <w:pStyle w:val="P68B1DB1-Normal13"/>
              <w:spacing w:after="0" w:line="240" w:lineRule="auto"/>
              <w:jc w:val="center"/>
              <w:rPr>
                <w:rFonts w:cs="Times New Roman"/>
                <w:noProof/>
              </w:rPr>
            </w:pPr>
            <w:r>
              <w:rPr>
                <w:noProof/>
              </w:rPr>
              <w:t>2024</w:t>
            </w:r>
          </w:p>
        </w:tc>
        <w:tc>
          <w:tcPr>
            <w:tcW w:w="4860" w:type="dxa"/>
            <w:shd w:val="clear" w:color="auto" w:fill="C6EFCE"/>
            <w:noWrap/>
          </w:tcPr>
          <w:p w14:paraId="4E0CC5DB" w14:textId="22176A94" w:rsidR="003E1D81" w:rsidRDefault="00EB481C">
            <w:pPr>
              <w:pStyle w:val="P68B1DB1-Normal13"/>
              <w:rPr>
                <w:rFonts w:cs="Times New Roman"/>
                <w:noProof/>
              </w:rPr>
            </w:pPr>
            <w:r>
              <w:rPr>
                <w:noProof/>
              </w:rPr>
              <w:t xml:space="preserve">Az önkormányzatok, a regionális kormányzatok és a központi kormányzat beruházásainak befejezése a hozzáférhetőség javítása és az </w:t>
            </w:r>
            <w:r>
              <w:rPr>
                <w:noProof/>
              </w:rPr>
              <w:t>akadályok felszámolása érdekében, összesen legalább 178 millió EUR költségvetéssel, amelynek a következőkre kell összpontosítania:</w:t>
            </w:r>
          </w:p>
          <w:p w14:paraId="5B0F5293" w14:textId="77777777" w:rsidR="003E1D81" w:rsidRDefault="00EB481C">
            <w:pPr>
              <w:pStyle w:val="P68B1DB1-Normal13"/>
              <w:numPr>
                <w:ilvl w:val="0"/>
                <w:numId w:val="633"/>
              </w:numPr>
              <w:spacing w:after="0" w:line="240" w:lineRule="auto"/>
              <w:contextualSpacing/>
              <w:rPr>
                <w:rFonts w:cs="Times New Roman"/>
                <w:noProof/>
              </w:rPr>
            </w:pPr>
            <w:r>
              <w:rPr>
                <w:noProof/>
              </w:rPr>
              <w:t>a kognitív hozzáférhetőség javítása a hatóságokkal folytatott kommunikációban (beleértve a weboldalakat is);</w:t>
            </w:r>
          </w:p>
          <w:p w14:paraId="75DFC071" w14:textId="77777777" w:rsidR="003E1D81" w:rsidRDefault="00EB481C">
            <w:pPr>
              <w:pStyle w:val="P68B1DB1-Normal13"/>
              <w:numPr>
                <w:ilvl w:val="0"/>
                <w:numId w:val="633"/>
              </w:numPr>
              <w:spacing w:after="0" w:line="240" w:lineRule="auto"/>
              <w:contextualSpacing/>
              <w:rPr>
                <w:rFonts w:cs="Times New Roman"/>
                <w:noProof/>
              </w:rPr>
            </w:pPr>
            <w:r>
              <w:rPr>
                <w:noProof/>
              </w:rPr>
              <w:t>a középületekhez</w:t>
            </w:r>
            <w:r>
              <w:rPr>
                <w:noProof/>
              </w:rPr>
              <w:t xml:space="preserve"> és közterületekhez – többek között az egészségügyi szolgáltatásokhoz és az oktatási központokhoz – való fizikai hozzáférés javítása;</w:t>
            </w:r>
          </w:p>
          <w:p w14:paraId="23E6B699" w14:textId="77777777" w:rsidR="003E1D81" w:rsidRDefault="00EB481C">
            <w:pPr>
              <w:pStyle w:val="P68B1DB1-Normal13"/>
              <w:numPr>
                <w:ilvl w:val="0"/>
                <w:numId w:val="633"/>
              </w:numPr>
              <w:spacing w:after="0" w:line="240" w:lineRule="auto"/>
              <w:contextualSpacing/>
              <w:rPr>
                <w:rFonts w:cs="Times New Roman"/>
                <w:noProof/>
              </w:rPr>
            </w:pPr>
            <w:r>
              <w:rPr>
                <w:noProof/>
              </w:rPr>
              <w:t>a tömegközlekedéshez való hozzáférés javítása;</w:t>
            </w:r>
          </w:p>
          <w:p w14:paraId="12CD8D11" w14:textId="70F7083F" w:rsidR="003E1D81" w:rsidRDefault="00EB481C">
            <w:pPr>
              <w:pStyle w:val="P68B1DB1-Normal13"/>
              <w:numPr>
                <w:ilvl w:val="0"/>
                <w:numId w:val="633"/>
              </w:numPr>
              <w:spacing w:after="0" w:line="240" w:lineRule="auto"/>
              <w:contextualSpacing/>
              <w:rPr>
                <w:rFonts w:cs="Times New Roman"/>
                <w:noProof/>
              </w:rPr>
            </w:pPr>
            <w:r>
              <w:rPr>
                <w:noProof/>
              </w:rPr>
              <w:t>alkalmazkodási munkálatok elvégzése és berendezések beszerzése településeke</w:t>
            </w:r>
            <w:r>
              <w:rPr>
                <w:noProof/>
              </w:rPr>
              <w:t>n, különösen vidéki területeken.</w:t>
            </w:r>
          </w:p>
          <w:p w14:paraId="6DAB4C20" w14:textId="50044070" w:rsidR="003E1D81" w:rsidRDefault="00EB481C">
            <w:pPr>
              <w:pStyle w:val="P68B1DB1-Normal13"/>
              <w:numPr>
                <w:ilvl w:val="0"/>
                <w:numId w:val="633"/>
              </w:numPr>
              <w:spacing w:after="0" w:line="240" w:lineRule="auto"/>
              <w:contextualSpacing/>
              <w:rPr>
                <w:rFonts w:cs="Times New Roman"/>
                <w:noProof/>
              </w:rPr>
            </w:pPr>
            <w:r>
              <w:rPr>
                <w:noProof/>
              </w:rPr>
              <w:t>Kommunikációs és figyelemfelkeltő kampányok,</w:t>
            </w:r>
          </w:p>
          <w:p w14:paraId="17A6A810" w14:textId="5D88BBD2" w:rsidR="003E1D81" w:rsidRDefault="00EB481C">
            <w:pPr>
              <w:pStyle w:val="P68B1DB1-Normal13"/>
              <w:numPr>
                <w:ilvl w:val="0"/>
                <w:numId w:val="633"/>
              </w:numPr>
              <w:spacing w:after="0" w:line="240" w:lineRule="auto"/>
              <w:contextualSpacing/>
              <w:rPr>
                <w:rFonts w:cs="Times New Roman"/>
                <w:noProof/>
              </w:rPr>
            </w:pPr>
            <w:r>
              <w:rPr>
                <w:noProof/>
              </w:rPr>
              <w:t>K+F+I kutatási projektek a kognitív hozzáférhetőség területén.</w:t>
            </w:r>
          </w:p>
        </w:tc>
      </w:tr>
      <w:tr w:rsidR="003E1D81" w14:paraId="02D47B8A" w14:textId="77777777">
        <w:trPr>
          <w:trHeight w:val="309"/>
        </w:trPr>
        <w:tc>
          <w:tcPr>
            <w:tcW w:w="709" w:type="dxa"/>
            <w:shd w:val="clear" w:color="auto" w:fill="C6EFCE"/>
            <w:noWrap/>
          </w:tcPr>
          <w:p w14:paraId="7F60B7F6" w14:textId="4090B231" w:rsidR="003E1D81" w:rsidRDefault="00EB481C">
            <w:pPr>
              <w:pStyle w:val="P68B1DB1-Normal13"/>
              <w:spacing w:after="0" w:line="240" w:lineRule="auto"/>
              <w:jc w:val="center"/>
              <w:rPr>
                <w:rFonts w:cs="Times New Roman"/>
                <w:noProof/>
              </w:rPr>
            </w:pPr>
            <w:r>
              <w:rPr>
                <w:noProof/>
              </w:rPr>
              <w:t>473</w:t>
            </w:r>
          </w:p>
        </w:tc>
        <w:tc>
          <w:tcPr>
            <w:tcW w:w="851" w:type="dxa"/>
            <w:shd w:val="clear" w:color="auto" w:fill="C6EFCE"/>
            <w:noWrap/>
          </w:tcPr>
          <w:p w14:paraId="3C7E4AB5" w14:textId="0A10C876" w:rsidR="003E1D81" w:rsidRDefault="00EB481C">
            <w:pPr>
              <w:pStyle w:val="P68B1DB1-Normal13"/>
              <w:spacing w:after="0" w:line="240" w:lineRule="auto"/>
              <w:jc w:val="center"/>
              <w:rPr>
                <w:rFonts w:cs="Times New Roman"/>
                <w:noProof/>
              </w:rPr>
            </w:pPr>
            <w:r>
              <w:rPr>
                <w:noProof/>
              </w:rPr>
              <w:t>C22.I4</w:t>
            </w:r>
          </w:p>
        </w:tc>
        <w:tc>
          <w:tcPr>
            <w:tcW w:w="992" w:type="dxa"/>
            <w:shd w:val="clear" w:color="auto" w:fill="C6EFCE"/>
            <w:noWrap/>
          </w:tcPr>
          <w:p w14:paraId="5404E2C9" w14:textId="40E7155C" w:rsidR="003E1D81" w:rsidRDefault="00EB481C">
            <w:pPr>
              <w:pStyle w:val="P68B1DB1-Normal13"/>
              <w:spacing w:after="0" w:line="240" w:lineRule="auto"/>
              <w:jc w:val="center"/>
              <w:rPr>
                <w:rFonts w:cs="Times New Roman"/>
                <w:noProof/>
              </w:rPr>
            </w:pPr>
            <w:r>
              <w:rPr>
                <w:noProof/>
              </w:rPr>
              <w:t>M</w:t>
            </w:r>
          </w:p>
        </w:tc>
        <w:tc>
          <w:tcPr>
            <w:tcW w:w="3119" w:type="dxa"/>
            <w:shd w:val="clear" w:color="auto" w:fill="C6EFCE"/>
            <w:noWrap/>
          </w:tcPr>
          <w:p w14:paraId="5A7D1B79" w14:textId="777D9292" w:rsidR="003E1D81" w:rsidRDefault="00EB481C">
            <w:pPr>
              <w:pStyle w:val="P68B1DB1-Normal13"/>
              <w:spacing w:after="0" w:line="240" w:lineRule="auto"/>
              <w:rPr>
                <w:rFonts w:cs="Times New Roman"/>
                <w:noProof/>
              </w:rPr>
            </w:pPr>
            <w:r>
              <w:rPr>
                <w:noProof/>
              </w:rPr>
              <w:t>Különböző típusú szolgáltatások létrehozása a szexuális erőszak áldozatai számára.</w:t>
            </w:r>
          </w:p>
        </w:tc>
        <w:tc>
          <w:tcPr>
            <w:tcW w:w="992" w:type="dxa"/>
            <w:shd w:val="clear" w:color="auto" w:fill="C6EFCE"/>
            <w:noWrap/>
          </w:tcPr>
          <w:p w14:paraId="0C93E4BA" w14:textId="1FF571E6" w:rsidR="003E1D81" w:rsidRDefault="00EB481C">
            <w:pPr>
              <w:pStyle w:val="P68B1DB1-Normal13"/>
              <w:spacing w:after="0" w:line="240" w:lineRule="auto"/>
              <w:jc w:val="center"/>
              <w:rPr>
                <w:rFonts w:cs="Times New Roman"/>
                <w:noProof/>
              </w:rPr>
            </w:pPr>
            <w:r>
              <w:rPr>
                <w:noProof/>
              </w:rPr>
              <w:t xml:space="preserve">A jogszabályok </w:t>
            </w:r>
            <w:r>
              <w:rPr>
                <w:noProof/>
              </w:rPr>
              <w:t>hatálybalépése</w:t>
            </w:r>
          </w:p>
        </w:tc>
        <w:tc>
          <w:tcPr>
            <w:tcW w:w="850" w:type="dxa"/>
            <w:shd w:val="clear" w:color="auto" w:fill="C6EFCE"/>
            <w:noWrap/>
          </w:tcPr>
          <w:p w14:paraId="20BA5909" w14:textId="77777777" w:rsidR="003E1D81" w:rsidRDefault="003E1D81">
            <w:pPr>
              <w:spacing w:after="0" w:line="240" w:lineRule="auto"/>
              <w:jc w:val="center"/>
              <w:rPr>
                <w:rFonts w:ascii="Times New Roman" w:hAnsi="Times New Roman" w:cs="Times New Roman"/>
                <w:noProof/>
                <w:sz w:val="18"/>
              </w:rPr>
            </w:pPr>
          </w:p>
        </w:tc>
        <w:tc>
          <w:tcPr>
            <w:tcW w:w="851" w:type="dxa"/>
            <w:shd w:val="clear" w:color="auto" w:fill="C6EFCE"/>
            <w:noWrap/>
          </w:tcPr>
          <w:p w14:paraId="27F68138" w14:textId="77777777" w:rsidR="003E1D81" w:rsidRDefault="003E1D81">
            <w:pPr>
              <w:spacing w:after="0" w:line="240" w:lineRule="auto"/>
              <w:jc w:val="right"/>
              <w:rPr>
                <w:rFonts w:ascii="Times New Roman" w:hAnsi="Times New Roman" w:cs="Times New Roman"/>
                <w:noProof/>
                <w:sz w:val="18"/>
              </w:rPr>
            </w:pPr>
          </w:p>
        </w:tc>
        <w:tc>
          <w:tcPr>
            <w:tcW w:w="709" w:type="dxa"/>
            <w:shd w:val="clear" w:color="auto" w:fill="C6EFCE"/>
            <w:noWrap/>
          </w:tcPr>
          <w:p w14:paraId="36C7F7BE" w14:textId="77777777" w:rsidR="003E1D81" w:rsidRDefault="003E1D81">
            <w:pPr>
              <w:spacing w:after="0" w:line="240" w:lineRule="auto"/>
              <w:jc w:val="center"/>
              <w:rPr>
                <w:rFonts w:ascii="Times New Roman" w:hAnsi="Times New Roman" w:cs="Times New Roman"/>
                <w:noProof/>
                <w:sz w:val="18"/>
              </w:rPr>
            </w:pPr>
          </w:p>
        </w:tc>
        <w:tc>
          <w:tcPr>
            <w:tcW w:w="567" w:type="dxa"/>
            <w:shd w:val="clear" w:color="auto" w:fill="C6EFCE"/>
            <w:noWrap/>
          </w:tcPr>
          <w:p w14:paraId="307808EB" w14:textId="261F3D21" w:rsidR="003E1D81" w:rsidRDefault="00EB481C">
            <w:pPr>
              <w:pStyle w:val="P68B1DB1-Normal13"/>
              <w:spacing w:after="0" w:line="240" w:lineRule="auto"/>
              <w:jc w:val="center"/>
              <w:rPr>
                <w:rFonts w:cs="Times New Roman"/>
                <w:noProof/>
              </w:rPr>
            </w:pPr>
            <w:r>
              <w:rPr>
                <w:noProof/>
              </w:rPr>
              <w:t>NEGYEDÉV</w:t>
            </w:r>
          </w:p>
        </w:tc>
        <w:tc>
          <w:tcPr>
            <w:tcW w:w="810" w:type="dxa"/>
            <w:shd w:val="clear" w:color="auto" w:fill="C6EFCE"/>
            <w:noWrap/>
          </w:tcPr>
          <w:p w14:paraId="07FAF17F" w14:textId="1778D3C9" w:rsidR="003E1D81" w:rsidRDefault="00EB481C">
            <w:pPr>
              <w:pStyle w:val="P68B1DB1-Normal13"/>
              <w:spacing w:after="0" w:line="240" w:lineRule="auto"/>
              <w:jc w:val="center"/>
              <w:rPr>
                <w:rFonts w:cs="Times New Roman"/>
                <w:noProof/>
              </w:rPr>
            </w:pPr>
            <w:r>
              <w:rPr>
                <w:noProof/>
              </w:rPr>
              <w:t>2023</w:t>
            </w:r>
          </w:p>
        </w:tc>
        <w:tc>
          <w:tcPr>
            <w:tcW w:w="4860" w:type="dxa"/>
            <w:shd w:val="clear" w:color="auto" w:fill="C6EFCE"/>
            <w:noWrap/>
          </w:tcPr>
          <w:p w14:paraId="410F4B9C" w14:textId="001E2D21" w:rsidR="003E1D81" w:rsidRDefault="00EB481C">
            <w:pPr>
              <w:pStyle w:val="P68B1DB1-Normal13"/>
              <w:rPr>
                <w:rFonts w:cs="Times New Roman"/>
                <w:noProof/>
              </w:rPr>
            </w:pPr>
            <w:r>
              <w:rPr>
                <w:noProof/>
              </w:rPr>
              <w:t>A szexuális erőszak áldozatainak szóló új szociális és foglalkoztatási tanácsadó szolgálat létrehozásáról szóló jogszabály hatálybalépése, amely különböző típusú szolgáltatásokat nyújt, beleértve a jogi tanácsadást, a pszich</w:t>
            </w:r>
            <w:r>
              <w:rPr>
                <w:noProof/>
              </w:rPr>
              <w:t>ológiai és érzelmi támogatást, valamint a munkaerő-piaci integrációhoz nyújtott segítséget.</w:t>
            </w:r>
          </w:p>
        </w:tc>
      </w:tr>
      <w:tr w:rsidR="003E1D81" w14:paraId="247C6EA5" w14:textId="77777777">
        <w:trPr>
          <w:trHeight w:val="309"/>
        </w:trPr>
        <w:tc>
          <w:tcPr>
            <w:tcW w:w="709" w:type="dxa"/>
            <w:shd w:val="clear" w:color="auto" w:fill="C6EFCE"/>
            <w:noWrap/>
          </w:tcPr>
          <w:p w14:paraId="480918FD" w14:textId="6F4DAF9F" w:rsidR="003E1D81" w:rsidRDefault="00EB481C">
            <w:pPr>
              <w:pStyle w:val="P68B1DB1-Normal13"/>
              <w:spacing w:after="0" w:line="240" w:lineRule="auto"/>
              <w:jc w:val="center"/>
              <w:rPr>
                <w:rFonts w:cs="Times New Roman"/>
                <w:noProof/>
              </w:rPr>
            </w:pPr>
            <w:r>
              <w:rPr>
                <w:noProof/>
              </w:rPr>
              <w:t>472</w:t>
            </w:r>
          </w:p>
        </w:tc>
        <w:tc>
          <w:tcPr>
            <w:tcW w:w="851" w:type="dxa"/>
            <w:shd w:val="clear" w:color="auto" w:fill="C6EFCE"/>
            <w:noWrap/>
          </w:tcPr>
          <w:p w14:paraId="20107D1A" w14:textId="77777777" w:rsidR="003E1D81" w:rsidRDefault="00EB481C">
            <w:pPr>
              <w:pStyle w:val="P68B1DB1-Normal13"/>
              <w:spacing w:after="0" w:line="240" w:lineRule="auto"/>
              <w:jc w:val="center"/>
              <w:rPr>
                <w:rFonts w:cs="Times New Roman"/>
                <w:noProof/>
              </w:rPr>
            </w:pPr>
            <w:r>
              <w:rPr>
                <w:noProof/>
              </w:rPr>
              <w:t>C22.I4</w:t>
            </w:r>
          </w:p>
        </w:tc>
        <w:tc>
          <w:tcPr>
            <w:tcW w:w="992" w:type="dxa"/>
            <w:shd w:val="clear" w:color="auto" w:fill="C6EFCE"/>
            <w:noWrap/>
          </w:tcPr>
          <w:p w14:paraId="339C0418" w14:textId="65A7BFD2" w:rsidR="003E1D81" w:rsidRDefault="00EB481C">
            <w:pPr>
              <w:pStyle w:val="P68B1DB1-Normal13"/>
              <w:spacing w:after="0" w:line="240" w:lineRule="auto"/>
              <w:jc w:val="center"/>
              <w:rPr>
                <w:rFonts w:cs="Times New Roman"/>
                <w:noProof/>
              </w:rPr>
            </w:pPr>
            <w:r>
              <w:rPr>
                <w:noProof/>
              </w:rPr>
              <w:t>M</w:t>
            </w:r>
          </w:p>
        </w:tc>
        <w:tc>
          <w:tcPr>
            <w:tcW w:w="3119" w:type="dxa"/>
            <w:shd w:val="clear" w:color="auto" w:fill="C6EFCE"/>
            <w:noWrap/>
          </w:tcPr>
          <w:p w14:paraId="0355E8A9" w14:textId="0CABE7C4" w:rsidR="003E1D81" w:rsidRDefault="00EB481C">
            <w:pPr>
              <w:pStyle w:val="P68B1DB1-Normal13"/>
              <w:spacing w:after="0" w:line="240" w:lineRule="auto"/>
              <w:rPr>
                <w:rFonts w:cs="Times New Roman"/>
                <w:noProof/>
              </w:rPr>
            </w:pPr>
            <w:r>
              <w:rPr>
                <w:noProof/>
              </w:rPr>
              <w:t>A nők elleni erőszak áldozatainak támogatását célzó telefonszolgáltatásokba és online szolgáltatásokba történő beruházások</w:t>
            </w:r>
          </w:p>
        </w:tc>
        <w:tc>
          <w:tcPr>
            <w:tcW w:w="992" w:type="dxa"/>
            <w:shd w:val="clear" w:color="auto" w:fill="C6EFCE"/>
            <w:noWrap/>
          </w:tcPr>
          <w:p w14:paraId="11CB4A01"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tcPr>
          <w:p w14:paraId="3EE2BB17" w14:textId="4360516B" w:rsidR="003E1D81" w:rsidRDefault="003E1D81">
            <w:pPr>
              <w:spacing w:after="0" w:line="240" w:lineRule="auto"/>
              <w:jc w:val="center"/>
              <w:rPr>
                <w:rFonts w:ascii="Times New Roman" w:hAnsi="Times New Roman" w:cs="Times New Roman"/>
                <w:noProof/>
                <w:sz w:val="18"/>
              </w:rPr>
            </w:pPr>
          </w:p>
        </w:tc>
        <w:tc>
          <w:tcPr>
            <w:tcW w:w="851" w:type="dxa"/>
            <w:shd w:val="clear" w:color="auto" w:fill="C6EFCE"/>
            <w:noWrap/>
          </w:tcPr>
          <w:p w14:paraId="1B303A13" w14:textId="2F906B70" w:rsidR="003E1D81" w:rsidRDefault="003E1D81">
            <w:pPr>
              <w:spacing w:after="0" w:line="240" w:lineRule="auto"/>
              <w:jc w:val="right"/>
              <w:rPr>
                <w:rFonts w:ascii="Times New Roman" w:hAnsi="Times New Roman" w:cs="Times New Roman"/>
                <w:noProof/>
                <w:sz w:val="18"/>
              </w:rPr>
            </w:pPr>
          </w:p>
        </w:tc>
        <w:tc>
          <w:tcPr>
            <w:tcW w:w="709" w:type="dxa"/>
            <w:shd w:val="clear" w:color="auto" w:fill="C6EFCE"/>
            <w:noWrap/>
          </w:tcPr>
          <w:p w14:paraId="2430A0C7" w14:textId="24996925" w:rsidR="003E1D81" w:rsidRDefault="00EB481C">
            <w:pPr>
              <w:pStyle w:val="P68B1DB1-Normal13"/>
              <w:spacing w:after="0" w:line="240" w:lineRule="auto"/>
              <w:jc w:val="center"/>
              <w:rPr>
                <w:rFonts w:cs="Times New Roman"/>
                <w:noProof/>
              </w:rPr>
            </w:pPr>
            <w:r>
              <w:rPr>
                <w:noProof/>
              </w:rPr>
              <w:t xml:space="preserve"> </w:t>
            </w:r>
          </w:p>
        </w:tc>
        <w:tc>
          <w:tcPr>
            <w:tcW w:w="567" w:type="dxa"/>
            <w:shd w:val="clear" w:color="auto" w:fill="C6EFCE"/>
            <w:noWrap/>
          </w:tcPr>
          <w:p w14:paraId="7894BCC5" w14:textId="7C8419F6" w:rsidR="003E1D81" w:rsidRDefault="00EB481C">
            <w:pPr>
              <w:pStyle w:val="P68B1DB1-Normal13"/>
              <w:spacing w:after="0" w:line="240" w:lineRule="auto"/>
              <w:jc w:val="center"/>
              <w:rPr>
                <w:rFonts w:cs="Times New Roman"/>
                <w:noProof/>
              </w:rPr>
            </w:pPr>
            <w:r>
              <w:rPr>
                <w:noProof/>
              </w:rPr>
              <w:t>NEGYEDÉV</w:t>
            </w:r>
          </w:p>
        </w:tc>
        <w:tc>
          <w:tcPr>
            <w:tcW w:w="810" w:type="dxa"/>
            <w:shd w:val="clear" w:color="auto" w:fill="C6EFCE"/>
            <w:noWrap/>
          </w:tcPr>
          <w:p w14:paraId="7D1AC088" w14:textId="72E4F03E" w:rsidR="003E1D81" w:rsidRDefault="00EB481C">
            <w:pPr>
              <w:pStyle w:val="P68B1DB1-Normal13"/>
              <w:spacing w:after="0" w:line="240" w:lineRule="auto"/>
              <w:jc w:val="center"/>
              <w:rPr>
                <w:rFonts w:cs="Times New Roman"/>
                <w:noProof/>
              </w:rPr>
            </w:pPr>
            <w:r>
              <w:rPr>
                <w:noProof/>
              </w:rPr>
              <w:t>2025</w:t>
            </w:r>
          </w:p>
        </w:tc>
        <w:tc>
          <w:tcPr>
            <w:tcW w:w="4860" w:type="dxa"/>
            <w:shd w:val="clear" w:color="auto" w:fill="C6EFCE"/>
            <w:noWrap/>
          </w:tcPr>
          <w:p w14:paraId="06592210" w14:textId="48D7211D" w:rsidR="003E1D81" w:rsidRDefault="00EB481C">
            <w:pPr>
              <w:pStyle w:val="P68B1DB1-Normal13"/>
              <w:spacing w:after="0" w:line="240" w:lineRule="auto"/>
              <w:jc w:val="both"/>
              <w:rPr>
                <w:rFonts w:cs="Times New Roman"/>
                <w:noProof/>
              </w:rPr>
            </w:pPr>
            <w:r>
              <w:rPr>
                <w:noProof/>
              </w:rPr>
              <w:t xml:space="preserve">Legalább 30.000 távolságtartást nyomon követő eszköz, egy új alkalmazás az áldozatok számára, valamint egy új nagy adathalmazok és mesterségesintelligencia-platform biztosítása a nők elleni erőszak áldozatainak támogatására, beleértve az emberkereskedelem </w:t>
            </w:r>
            <w:r>
              <w:rPr>
                <w:noProof/>
              </w:rPr>
              <w:t xml:space="preserve">és a szexuális kizsákmányolás áldozatait is. Az alapforgatókönyv dátuma: 2020. február 1. </w:t>
            </w:r>
          </w:p>
        </w:tc>
      </w:tr>
      <w:tr w:rsidR="003E1D81" w14:paraId="6D94727D" w14:textId="77777777">
        <w:trPr>
          <w:trHeight w:val="309"/>
        </w:trPr>
        <w:tc>
          <w:tcPr>
            <w:tcW w:w="709" w:type="dxa"/>
            <w:shd w:val="clear" w:color="auto" w:fill="C6EFCE"/>
            <w:noWrap/>
          </w:tcPr>
          <w:p w14:paraId="54AD7792" w14:textId="49F5FF86" w:rsidR="003E1D81" w:rsidRDefault="00EB481C">
            <w:pPr>
              <w:pStyle w:val="P68B1DB1-Normal13"/>
              <w:spacing w:after="0" w:line="240" w:lineRule="auto"/>
              <w:jc w:val="center"/>
              <w:rPr>
                <w:rFonts w:cs="Times New Roman"/>
                <w:noProof/>
              </w:rPr>
            </w:pPr>
            <w:r>
              <w:rPr>
                <w:noProof/>
              </w:rPr>
              <w:t>327</w:t>
            </w:r>
          </w:p>
        </w:tc>
        <w:tc>
          <w:tcPr>
            <w:tcW w:w="851" w:type="dxa"/>
            <w:shd w:val="clear" w:color="auto" w:fill="C6EFCE"/>
            <w:noWrap/>
          </w:tcPr>
          <w:p w14:paraId="1DD10EC2" w14:textId="7D588441" w:rsidR="003E1D81" w:rsidRDefault="00EB481C">
            <w:pPr>
              <w:pStyle w:val="P68B1DB1-Normal13"/>
              <w:spacing w:after="0" w:line="240" w:lineRule="auto"/>
              <w:jc w:val="center"/>
              <w:rPr>
                <w:rFonts w:cs="Times New Roman"/>
                <w:noProof/>
              </w:rPr>
            </w:pPr>
            <w:r>
              <w:rPr>
                <w:noProof/>
              </w:rPr>
              <w:t>C22.I4</w:t>
            </w:r>
          </w:p>
        </w:tc>
        <w:tc>
          <w:tcPr>
            <w:tcW w:w="992" w:type="dxa"/>
            <w:shd w:val="clear" w:color="auto" w:fill="C6EFCE"/>
            <w:noWrap/>
          </w:tcPr>
          <w:p w14:paraId="782FDF79" w14:textId="47D6A3E1" w:rsidR="003E1D81" w:rsidRDefault="00EB481C">
            <w:pPr>
              <w:pStyle w:val="P68B1DB1-Normal13"/>
              <w:spacing w:after="0" w:line="240" w:lineRule="auto"/>
              <w:jc w:val="center"/>
              <w:rPr>
                <w:rFonts w:cs="Times New Roman"/>
                <w:noProof/>
              </w:rPr>
            </w:pPr>
            <w:r>
              <w:rPr>
                <w:noProof/>
              </w:rPr>
              <w:t>T</w:t>
            </w:r>
          </w:p>
        </w:tc>
        <w:tc>
          <w:tcPr>
            <w:tcW w:w="3119" w:type="dxa"/>
            <w:shd w:val="clear" w:color="auto" w:fill="C6EFCE"/>
            <w:noWrap/>
          </w:tcPr>
          <w:p w14:paraId="5F9D0B3C" w14:textId="1059C8BB" w:rsidR="003E1D81" w:rsidRDefault="00EB481C">
            <w:pPr>
              <w:pStyle w:val="P68B1DB1-Normal13"/>
              <w:spacing w:after="0" w:line="240" w:lineRule="auto"/>
              <w:rPr>
                <w:rFonts w:cs="Times New Roman"/>
                <w:noProof/>
              </w:rPr>
            </w:pPr>
            <w:r>
              <w:rPr>
                <w:noProof/>
              </w:rPr>
              <w:t>A szexuális erőszak áldozatainak központjai.</w:t>
            </w:r>
          </w:p>
        </w:tc>
        <w:tc>
          <w:tcPr>
            <w:tcW w:w="992" w:type="dxa"/>
            <w:shd w:val="clear" w:color="auto" w:fill="C6EFCE"/>
            <w:noWrap/>
          </w:tcPr>
          <w:p w14:paraId="26C4D464" w14:textId="5F76672D" w:rsidR="003E1D81" w:rsidRDefault="00EB481C">
            <w:pPr>
              <w:pStyle w:val="P68B1DB1-Normal13"/>
              <w:spacing w:after="0" w:line="240" w:lineRule="auto"/>
              <w:jc w:val="center"/>
              <w:rPr>
                <w:rFonts w:cs="Times New Roman"/>
                <w:noProof/>
              </w:rPr>
            </w:pPr>
            <w:r>
              <w:rPr>
                <w:noProof/>
              </w:rPr>
              <w:t> </w:t>
            </w:r>
          </w:p>
        </w:tc>
        <w:tc>
          <w:tcPr>
            <w:tcW w:w="850" w:type="dxa"/>
            <w:shd w:val="clear" w:color="auto" w:fill="C6EFCE"/>
            <w:noWrap/>
          </w:tcPr>
          <w:p w14:paraId="6814C0C4" w14:textId="5C6120DB" w:rsidR="003E1D81" w:rsidRDefault="00EB481C">
            <w:pPr>
              <w:pStyle w:val="P68B1DB1-Normal13"/>
              <w:spacing w:after="0" w:line="240" w:lineRule="auto"/>
              <w:jc w:val="center"/>
              <w:rPr>
                <w:rFonts w:cs="Times New Roman"/>
                <w:noProof/>
              </w:rPr>
            </w:pPr>
            <w:r>
              <w:rPr>
                <w:noProof/>
              </w:rPr>
              <w:t>Szám</w:t>
            </w:r>
          </w:p>
        </w:tc>
        <w:tc>
          <w:tcPr>
            <w:tcW w:w="851" w:type="dxa"/>
            <w:shd w:val="clear" w:color="auto" w:fill="C6EFCE"/>
            <w:noWrap/>
          </w:tcPr>
          <w:p w14:paraId="7F340122" w14:textId="153666E6" w:rsidR="003E1D81" w:rsidRDefault="00EB481C">
            <w:pPr>
              <w:pStyle w:val="P68B1DB1-Normal13"/>
              <w:spacing w:after="0" w:line="240" w:lineRule="auto"/>
              <w:jc w:val="right"/>
              <w:rPr>
                <w:rFonts w:cs="Times New Roman"/>
                <w:noProof/>
              </w:rPr>
            </w:pPr>
            <w:r>
              <w:rPr>
                <w:noProof/>
              </w:rPr>
              <w:t>19</w:t>
            </w:r>
          </w:p>
        </w:tc>
        <w:tc>
          <w:tcPr>
            <w:tcW w:w="709" w:type="dxa"/>
            <w:shd w:val="clear" w:color="auto" w:fill="C6EFCE"/>
            <w:noWrap/>
          </w:tcPr>
          <w:p w14:paraId="091C5EB4" w14:textId="63164A43" w:rsidR="003E1D81" w:rsidRDefault="00EB481C">
            <w:pPr>
              <w:pStyle w:val="P68B1DB1-Normal13"/>
              <w:spacing w:after="0" w:line="240" w:lineRule="auto"/>
              <w:jc w:val="center"/>
              <w:rPr>
                <w:rFonts w:cs="Times New Roman"/>
                <w:noProof/>
              </w:rPr>
            </w:pPr>
            <w:r>
              <w:rPr>
                <w:noProof/>
              </w:rPr>
              <w:t>52</w:t>
            </w:r>
          </w:p>
        </w:tc>
        <w:tc>
          <w:tcPr>
            <w:tcW w:w="567" w:type="dxa"/>
            <w:shd w:val="clear" w:color="auto" w:fill="C6EFCE"/>
            <w:noWrap/>
          </w:tcPr>
          <w:p w14:paraId="2069E1DB" w14:textId="692BDBD5" w:rsidR="003E1D81" w:rsidRDefault="00EB481C">
            <w:pPr>
              <w:pStyle w:val="P68B1DB1-Normal13"/>
              <w:spacing w:after="0" w:line="240" w:lineRule="auto"/>
              <w:jc w:val="center"/>
              <w:rPr>
                <w:rFonts w:cs="Times New Roman"/>
                <w:noProof/>
              </w:rPr>
            </w:pPr>
            <w:r>
              <w:rPr>
                <w:noProof/>
              </w:rPr>
              <w:t>NEGYEDÉV</w:t>
            </w:r>
          </w:p>
        </w:tc>
        <w:tc>
          <w:tcPr>
            <w:tcW w:w="810" w:type="dxa"/>
            <w:shd w:val="clear" w:color="auto" w:fill="C6EFCE"/>
            <w:noWrap/>
          </w:tcPr>
          <w:p w14:paraId="190A4675" w14:textId="529D5F02" w:rsidR="003E1D81" w:rsidRDefault="00EB481C">
            <w:pPr>
              <w:pStyle w:val="P68B1DB1-Normal13"/>
              <w:spacing w:after="0" w:line="240" w:lineRule="auto"/>
              <w:jc w:val="center"/>
              <w:rPr>
                <w:rFonts w:cs="Times New Roman"/>
                <w:noProof/>
              </w:rPr>
            </w:pPr>
            <w:r>
              <w:rPr>
                <w:noProof/>
              </w:rPr>
              <w:t>2024</w:t>
            </w:r>
          </w:p>
        </w:tc>
        <w:tc>
          <w:tcPr>
            <w:tcW w:w="4860" w:type="dxa"/>
            <w:shd w:val="clear" w:color="auto" w:fill="C6EFCE"/>
            <w:noWrap/>
          </w:tcPr>
          <w:p w14:paraId="3A3DBD50" w14:textId="7A52A764" w:rsidR="003E1D81" w:rsidRDefault="00EB481C">
            <w:pPr>
              <w:pStyle w:val="P68B1DB1-Normal13"/>
              <w:spacing w:after="0" w:line="240" w:lineRule="auto"/>
              <w:rPr>
                <w:rFonts w:cs="Times New Roman"/>
                <w:noProof/>
              </w:rPr>
            </w:pPr>
            <w:r>
              <w:rPr>
                <w:noProof/>
              </w:rPr>
              <w:t xml:space="preserve">Tartományonként legalább egy átfogó gondozási központ működik a szexuális </w:t>
            </w:r>
            <w:r>
              <w:rPr>
                <w:noProof/>
              </w:rPr>
              <w:t>erőszak áldozatai számára, valamint Spanyolország autonóm városaiban, Ceutában és Melillában. Az alapforgatókönyv dátuma: 2020. február 1.</w:t>
            </w:r>
          </w:p>
        </w:tc>
      </w:tr>
      <w:tr w:rsidR="003E1D81" w14:paraId="2D552F17" w14:textId="77777777">
        <w:trPr>
          <w:trHeight w:val="309"/>
        </w:trPr>
        <w:tc>
          <w:tcPr>
            <w:tcW w:w="709" w:type="dxa"/>
            <w:shd w:val="clear" w:color="auto" w:fill="C6EFCE"/>
            <w:noWrap/>
          </w:tcPr>
          <w:p w14:paraId="72F909BD" w14:textId="77777777" w:rsidR="003E1D81" w:rsidRDefault="00EB481C">
            <w:pPr>
              <w:pStyle w:val="P68B1DB1-Normal13"/>
              <w:spacing w:after="0" w:line="240" w:lineRule="auto"/>
              <w:jc w:val="center"/>
              <w:rPr>
                <w:rFonts w:cs="Times New Roman"/>
                <w:noProof/>
              </w:rPr>
            </w:pPr>
            <w:r>
              <w:rPr>
                <w:noProof/>
              </w:rPr>
              <w:t>328</w:t>
            </w:r>
          </w:p>
        </w:tc>
        <w:tc>
          <w:tcPr>
            <w:tcW w:w="851" w:type="dxa"/>
            <w:shd w:val="clear" w:color="auto" w:fill="C6EFCE"/>
            <w:noWrap/>
          </w:tcPr>
          <w:p w14:paraId="56F779E4" w14:textId="77777777" w:rsidR="003E1D81" w:rsidRDefault="00EB481C">
            <w:pPr>
              <w:pStyle w:val="P68B1DB1-Normal13"/>
              <w:spacing w:after="0" w:line="240" w:lineRule="auto"/>
              <w:jc w:val="center"/>
              <w:rPr>
                <w:rFonts w:cs="Times New Roman"/>
                <w:noProof/>
              </w:rPr>
            </w:pPr>
            <w:r>
              <w:rPr>
                <w:noProof/>
              </w:rPr>
              <w:t>C22.I5</w:t>
            </w:r>
          </w:p>
        </w:tc>
        <w:tc>
          <w:tcPr>
            <w:tcW w:w="992" w:type="dxa"/>
            <w:shd w:val="clear" w:color="auto" w:fill="C6EFCE"/>
            <w:noWrap/>
          </w:tcPr>
          <w:p w14:paraId="6F0BFEC2" w14:textId="77777777" w:rsidR="003E1D81" w:rsidRDefault="00EB481C">
            <w:pPr>
              <w:pStyle w:val="P68B1DB1-Normal13"/>
              <w:spacing w:after="0" w:line="240" w:lineRule="auto"/>
              <w:jc w:val="center"/>
              <w:rPr>
                <w:rFonts w:cs="Times New Roman"/>
                <w:noProof/>
              </w:rPr>
            </w:pPr>
            <w:r>
              <w:rPr>
                <w:noProof/>
              </w:rPr>
              <w:t>T</w:t>
            </w:r>
          </w:p>
        </w:tc>
        <w:tc>
          <w:tcPr>
            <w:tcW w:w="3119" w:type="dxa"/>
            <w:shd w:val="clear" w:color="auto" w:fill="C6EFCE"/>
            <w:noWrap/>
          </w:tcPr>
          <w:p w14:paraId="3A395E00" w14:textId="77777777" w:rsidR="003E1D81" w:rsidRDefault="00EB481C">
            <w:pPr>
              <w:pStyle w:val="P68B1DB1-Normal13"/>
              <w:spacing w:after="0" w:line="240" w:lineRule="auto"/>
              <w:rPr>
                <w:rFonts w:cs="Times New Roman"/>
                <w:noProof/>
              </w:rPr>
            </w:pPr>
            <w:r>
              <w:rPr>
                <w:noProof/>
              </w:rPr>
              <w:t xml:space="preserve">A migránsok és a nemzetközi védelmet kérelmezők befogadási rendszerének kapacitása </w:t>
            </w:r>
          </w:p>
        </w:tc>
        <w:tc>
          <w:tcPr>
            <w:tcW w:w="992" w:type="dxa"/>
            <w:shd w:val="clear" w:color="auto" w:fill="C6EFCE"/>
            <w:noWrap/>
          </w:tcPr>
          <w:p w14:paraId="45D7F3DA" w14:textId="77777777" w:rsidR="003E1D81" w:rsidRDefault="00EB481C">
            <w:pPr>
              <w:pStyle w:val="P68B1DB1-Normal13"/>
              <w:spacing w:after="0" w:line="240" w:lineRule="auto"/>
              <w:jc w:val="center"/>
              <w:rPr>
                <w:rFonts w:cs="Times New Roman"/>
                <w:noProof/>
              </w:rPr>
            </w:pPr>
            <w:r>
              <w:rPr>
                <w:noProof/>
              </w:rPr>
              <w:t xml:space="preserve"> </w:t>
            </w:r>
          </w:p>
        </w:tc>
        <w:tc>
          <w:tcPr>
            <w:tcW w:w="850" w:type="dxa"/>
            <w:shd w:val="clear" w:color="auto" w:fill="C6EFCE"/>
            <w:noWrap/>
          </w:tcPr>
          <w:p w14:paraId="08B2C179" w14:textId="77777777" w:rsidR="003E1D81" w:rsidRDefault="00EB481C">
            <w:pPr>
              <w:pStyle w:val="P68B1DB1-Normal13"/>
              <w:spacing w:after="0" w:line="240" w:lineRule="auto"/>
              <w:jc w:val="center"/>
              <w:rPr>
                <w:rFonts w:cs="Times New Roman"/>
                <w:noProof/>
              </w:rPr>
            </w:pPr>
            <w:r>
              <w:rPr>
                <w:noProof/>
              </w:rPr>
              <w:t>Szám</w:t>
            </w:r>
          </w:p>
        </w:tc>
        <w:tc>
          <w:tcPr>
            <w:tcW w:w="851" w:type="dxa"/>
            <w:shd w:val="clear" w:color="auto" w:fill="C6EFCE"/>
            <w:noWrap/>
          </w:tcPr>
          <w:p w14:paraId="4CB4F92D" w14:textId="77777777" w:rsidR="003E1D81" w:rsidRDefault="00EB481C">
            <w:pPr>
              <w:pStyle w:val="P68B1DB1-Normal13"/>
              <w:spacing w:after="0" w:line="240" w:lineRule="auto"/>
              <w:jc w:val="right"/>
              <w:rPr>
                <w:rFonts w:cs="Times New Roman"/>
                <w:noProof/>
              </w:rPr>
            </w:pPr>
            <w:r>
              <w:rPr>
                <w:noProof/>
              </w:rPr>
              <w:t>400</w:t>
            </w:r>
          </w:p>
        </w:tc>
        <w:tc>
          <w:tcPr>
            <w:tcW w:w="709" w:type="dxa"/>
            <w:shd w:val="clear" w:color="auto" w:fill="C6EFCE"/>
            <w:noWrap/>
          </w:tcPr>
          <w:p w14:paraId="55C8125B" w14:textId="77777777" w:rsidR="003E1D81" w:rsidRDefault="00EB481C">
            <w:pPr>
              <w:pStyle w:val="P68B1DB1-Normal13"/>
              <w:spacing w:after="0" w:line="240" w:lineRule="auto"/>
              <w:jc w:val="center"/>
              <w:rPr>
                <w:rFonts w:cs="Times New Roman"/>
                <w:noProof/>
              </w:rPr>
            </w:pPr>
            <w:r>
              <w:rPr>
                <w:noProof/>
              </w:rPr>
              <w:t>6 100</w:t>
            </w:r>
          </w:p>
        </w:tc>
        <w:tc>
          <w:tcPr>
            <w:tcW w:w="567" w:type="dxa"/>
            <w:shd w:val="clear" w:color="auto" w:fill="C6EFCE"/>
            <w:noWrap/>
          </w:tcPr>
          <w:p w14:paraId="7775132F" w14:textId="79873534" w:rsidR="003E1D81" w:rsidRDefault="00EB481C">
            <w:pPr>
              <w:pStyle w:val="P68B1DB1-Normal13"/>
              <w:spacing w:after="0" w:line="240" w:lineRule="auto"/>
              <w:jc w:val="center"/>
              <w:rPr>
                <w:rFonts w:cs="Times New Roman"/>
                <w:noProof/>
              </w:rPr>
            </w:pPr>
            <w:r>
              <w:rPr>
                <w:noProof/>
              </w:rPr>
              <w:t>KÉRDÉS</w:t>
            </w:r>
          </w:p>
        </w:tc>
        <w:tc>
          <w:tcPr>
            <w:tcW w:w="810" w:type="dxa"/>
            <w:shd w:val="clear" w:color="auto" w:fill="C6EFCE"/>
            <w:noWrap/>
          </w:tcPr>
          <w:p w14:paraId="616DE204" w14:textId="5311080C" w:rsidR="003E1D81" w:rsidRDefault="00EB481C">
            <w:pPr>
              <w:pStyle w:val="P68B1DB1-Normal13"/>
              <w:spacing w:after="0" w:line="240" w:lineRule="auto"/>
              <w:jc w:val="center"/>
              <w:rPr>
                <w:rFonts w:cs="Times New Roman"/>
                <w:noProof/>
              </w:rPr>
            </w:pPr>
            <w:r>
              <w:rPr>
                <w:noProof/>
              </w:rPr>
              <w:t>2026</w:t>
            </w:r>
          </w:p>
        </w:tc>
        <w:tc>
          <w:tcPr>
            <w:tcW w:w="4860" w:type="dxa"/>
            <w:shd w:val="clear" w:color="auto" w:fill="C6EFCE"/>
            <w:noWrap/>
          </w:tcPr>
          <w:p w14:paraId="4F849BAE" w14:textId="77777777" w:rsidR="003E1D81" w:rsidRDefault="00EB481C">
            <w:pPr>
              <w:pStyle w:val="P68B1DB1-Normal13"/>
              <w:spacing w:after="0" w:line="240" w:lineRule="auto"/>
              <w:rPr>
                <w:rFonts w:cs="Times New Roman"/>
                <w:noProof/>
              </w:rPr>
            </w:pPr>
            <w:r>
              <w:rPr>
                <w:noProof/>
              </w:rPr>
              <w:t xml:space="preserve">2019-hez képest legalább 5700 férőhellyel növelje a befogadásért, a szociális biztonságért és a migrációért felelős minisztérium központjaiban a nemzetközi védelmet kérelmezők befogadási rendszerét. Legalább 176 000 000 EUR-t költenek épületek </w:t>
            </w:r>
            <w:r>
              <w:rPr>
                <w:noProof/>
              </w:rPr>
              <w:t>építésére és rehabilitációjára, biztosítva az energiahatékonyságot. Az alapforgatókönyv dátuma: 2019. december 31.</w:t>
            </w:r>
          </w:p>
        </w:tc>
      </w:tr>
    </w:tbl>
    <w:p w14:paraId="37FC46C5" w14:textId="77777777" w:rsidR="003E1D81" w:rsidRDefault="003E1D81">
      <w:pPr>
        <w:spacing w:before="120" w:after="120" w:line="240" w:lineRule="auto"/>
        <w:ind w:left="709"/>
        <w:jc w:val="both"/>
        <w:rPr>
          <w:rFonts w:ascii="Times New Roman" w:hAnsi="Times New Roman" w:cs="Times New Roman"/>
          <w:noProof/>
          <w:sz w:val="24"/>
        </w:rPr>
        <w:sectPr w:rsidR="003E1D81" w:rsidSect="00C94F66">
          <w:headerReference w:type="even" r:id="rId429"/>
          <w:headerReference w:type="default" r:id="rId430"/>
          <w:footerReference w:type="even" r:id="rId431"/>
          <w:footerReference w:type="default" r:id="rId432"/>
          <w:headerReference w:type="first" r:id="rId433"/>
          <w:footerReference w:type="first" r:id="rId434"/>
          <w:pgSz w:w="16839" w:h="11907" w:orient="landscape"/>
          <w:pgMar w:top="1417" w:right="1134" w:bottom="1417" w:left="1134" w:header="709" w:footer="709" w:gutter="0"/>
          <w:cols w:space="720"/>
          <w:docGrid w:linePitch="360"/>
        </w:sectPr>
      </w:pPr>
    </w:p>
    <w:p w14:paraId="2FE65CC7" w14:textId="7A1D4C05" w:rsidR="003E1D81" w:rsidRDefault="00EB481C">
      <w:pPr>
        <w:pStyle w:val="P68B1DB1-Text138"/>
        <w:ind w:left="709"/>
        <w:rPr>
          <w:rFonts w:cs="Times New Roman"/>
          <w:noProof/>
        </w:rPr>
      </w:pPr>
      <w:r>
        <w:rPr>
          <w:noProof/>
        </w:rPr>
        <w:t xml:space="preserve">V.3. </w:t>
      </w:r>
      <w:r>
        <w:rPr>
          <w:noProof/>
        </w:rPr>
        <w:tab/>
        <w:t>A hiteltámogatással kapcsolatos reformok és beruházások ismertetése</w:t>
      </w:r>
    </w:p>
    <w:p w14:paraId="1E18E23A" w14:textId="55FBC13B" w:rsidR="003E1D81" w:rsidRDefault="00EB481C">
      <w:pPr>
        <w:pStyle w:val="P68B1DB1-P68B1DB1-Normal339"/>
        <w:spacing w:line="240" w:lineRule="auto"/>
        <w:jc w:val="both"/>
        <w:rPr>
          <w:b/>
          <w:noProof/>
        </w:rPr>
      </w:pPr>
      <w:r>
        <w:rPr>
          <w:noProof/>
          <w:u w:val="single"/>
        </w:rPr>
        <w:t>Reform (C22.R6): A garanciamechanizmusok megerősítése a jogok magasabb szintű védelmének biztosítása érdekében bizonyos esetekben, amikor a fogyasztót egy bizonyos társadalmi és gazdasági kiszolgáltatottság sújtja</w:t>
      </w:r>
      <w:r>
        <w:rPr>
          <w:b/>
          <w:noProof/>
        </w:rPr>
        <w:t xml:space="preserve">. </w:t>
      </w:r>
    </w:p>
    <w:p w14:paraId="3BAB9ACB" w14:textId="44A022E1" w:rsidR="003E1D81" w:rsidRDefault="00EB481C">
      <w:pPr>
        <w:pStyle w:val="P68B1DB1-P68B1DB1-Normal339"/>
        <w:spacing w:line="240" w:lineRule="auto"/>
        <w:jc w:val="both"/>
        <w:rPr>
          <w:noProof/>
        </w:rPr>
      </w:pPr>
      <w:r>
        <w:rPr>
          <w:noProof/>
        </w:rPr>
        <w:t>A reform célja különböző intézkedések el</w:t>
      </w:r>
      <w:r>
        <w:rPr>
          <w:noProof/>
        </w:rPr>
        <w:t>fogadása a fogyasztók és felhasználók társadalmi és gazdasági kiszolgáltatott helyzetekkel szembeni védelme érdekében.</w:t>
      </w:r>
      <w:r>
        <w:rPr>
          <w:noProof/>
          <w:shd w:val="clear" w:color="auto" w:fill="E6E6E6"/>
        </w:rPr>
        <w:t xml:space="preserve">  </w:t>
      </w:r>
    </w:p>
    <w:p w14:paraId="415E41C7" w14:textId="3912AC4D" w:rsidR="003E1D81" w:rsidRDefault="00EB481C">
      <w:pPr>
        <w:pStyle w:val="P68B1DB1-P68B1DB1-Normal339"/>
        <w:spacing w:line="240" w:lineRule="auto"/>
        <w:jc w:val="both"/>
        <w:rPr>
          <w:noProof/>
        </w:rPr>
      </w:pPr>
      <w:r>
        <w:rPr>
          <w:noProof/>
        </w:rPr>
        <w:t>A reformnak magában kell foglalnia legalább a Braille-írással ellátott ábécé és más formátumokban történő címkézésre vonatkozó jogszabá</w:t>
      </w:r>
      <w:r>
        <w:rPr>
          <w:noProof/>
        </w:rPr>
        <w:t>lyok elfogadását annak érdekében, hogy garantálják a fogyasztási cikkek és a biztonság, az integritás és az életminőség védelme szempontjából különösen fontos termékek egyetemes hozzáférhetőségét, különösen a vakok és látássérült személyek mint kiszolgálta</w:t>
      </w:r>
      <w:r>
        <w:rPr>
          <w:noProof/>
        </w:rPr>
        <w:t>tott fogyasztók számára. A reformnak továbbá módosítania kell a jogszabályokat annak érdekében, hogy a „digitális szakadék” alapján történő megkülönböztetés elkerülése érdekében a pénzforgalmi szolgáltatásokban kérésre személyre szabott bánásmódot biztosít</w:t>
      </w:r>
      <w:r>
        <w:rPr>
          <w:noProof/>
        </w:rPr>
        <w:t>son a kiszolgáltatott helyzetben lévő fogyasztók és felhasználók számára.</w:t>
      </w:r>
    </w:p>
    <w:p w14:paraId="580E3593" w14:textId="72E27816" w:rsidR="003E1D81" w:rsidRDefault="00EB481C">
      <w:pPr>
        <w:pStyle w:val="P68B1DB1-P68B1DB1-Normal339"/>
        <w:spacing w:line="240" w:lineRule="auto"/>
        <w:jc w:val="both"/>
        <w:rPr>
          <w:noProof/>
        </w:rPr>
      </w:pPr>
      <w:r>
        <w:rPr>
          <w:noProof/>
        </w:rPr>
        <w:t xml:space="preserve">Az intézkedés végrehajtását 2025. december 31-ig be kell fejezni. </w:t>
      </w:r>
    </w:p>
    <w:p w14:paraId="6FDD9A91" w14:textId="3630CAD4" w:rsidR="003E1D81" w:rsidRDefault="00EB481C">
      <w:pPr>
        <w:pStyle w:val="P68B1DB1-Normal6"/>
        <w:rPr>
          <w:rFonts w:eastAsiaTheme="minorEastAsia" w:cs="Times New Roman"/>
          <w:noProof/>
        </w:rPr>
      </w:pPr>
      <w:r>
        <w:rPr>
          <w:noProof/>
        </w:rPr>
        <w:t>Beruházás (C22.I6): Szociális Hatásalap (FIS)</w:t>
      </w:r>
    </w:p>
    <w:p w14:paraId="237F961A" w14:textId="6F017C68" w:rsidR="003E1D81" w:rsidRDefault="00EB481C">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rPr>
        <w:t>Ez az intézkedés egy eszközbe, a Szociális Hatásalapba történő állami</w:t>
      </w:r>
      <w:r>
        <w:rPr>
          <w:rStyle w:val="normaltextrun"/>
          <w:rFonts w:ascii="Times New Roman" w:hAnsi="Times New Roman"/>
          <w:noProof/>
          <w:sz w:val="24"/>
        </w:rPr>
        <w:t xml:space="preserve"> beruházásból áll annak érdekében, hogy ösztönözze a magánberuházásokat és</w:t>
      </w:r>
      <w:r>
        <w:rPr>
          <w:rStyle w:val="normaltextrun"/>
          <w:rFonts w:ascii="Times New Roman" w:hAnsi="Times New Roman"/>
          <w:noProof/>
          <w:sz w:val="24"/>
          <w:shd w:val="clear" w:color="auto" w:fill="FFFFFF"/>
        </w:rPr>
        <w:t xml:space="preserve"> javítsa a finanszírozáshoz való hozzáférést Spanyolország szociális </w:t>
      </w:r>
      <w:r>
        <w:rPr>
          <w:rFonts w:ascii="Times New Roman" w:hAnsi="Times New Roman"/>
          <w:noProof/>
          <w:sz w:val="24"/>
        </w:rPr>
        <w:t>hatású ágazatában, különös tekintettel a szociális és környezetvédelmi megoldásokhoz hozzájáruló projektekre, fig</w:t>
      </w:r>
      <w:r>
        <w:rPr>
          <w:rFonts w:ascii="Times New Roman" w:hAnsi="Times New Roman"/>
          <w:noProof/>
          <w:sz w:val="24"/>
        </w:rPr>
        <w:t>yelembe véve a bevált ipari gyakorlatok (GIIN és mások) által kialakított hatásmérési és -kezelési eljárásokat, valamint hogy ezeken a területeken tőkepiacokat alakítson ki. Az eszköz</w:t>
      </w:r>
      <w:r>
        <w:rPr>
          <w:rStyle w:val="normaltextrun"/>
          <w:rFonts w:ascii="Times New Roman" w:hAnsi="Times New Roman"/>
          <w:noProof/>
          <w:sz w:val="24"/>
          <w:shd w:val="clear" w:color="auto" w:fill="FFFFFF"/>
        </w:rPr>
        <w:t xml:space="preserve">közvetlenül vagy közvetítőkön keresztül </w:t>
      </w:r>
      <w:r>
        <w:rPr>
          <w:rStyle w:val="normaltextrun"/>
          <w:rFonts w:ascii="Times New Roman" w:hAnsi="Times New Roman"/>
          <w:noProof/>
          <w:sz w:val="24"/>
        </w:rPr>
        <w:t>hiteleket, saját tőkét és kvázi-s</w:t>
      </w:r>
      <w:r>
        <w:rPr>
          <w:rStyle w:val="normaltextrun"/>
          <w:rFonts w:ascii="Times New Roman" w:hAnsi="Times New Roman"/>
          <w:noProof/>
          <w:sz w:val="24"/>
        </w:rPr>
        <w:t>ajáttőke-befektetéseket nyújt a</w:t>
      </w:r>
      <w:r>
        <w:rPr>
          <w:rStyle w:val="normaltextrun"/>
          <w:rFonts w:ascii="Times New Roman" w:hAnsi="Times New Roman"/>
          <w:noProof/>
          <w:sz w:val="24"/>
          <w:shd w:val="clear" w:color="auto" w:fill="FFFFFF"/>
        </w:rPr>
        <w:t xml:space="preserve"> magánszektornak és a hasonló tevékenységet folytató közszektorbeli intézményeknek. A Helyreállítási és Rezilienciaépítési Eszköz beruházásai alapján az eszköz célja kezdetben legalább 400 000 000 EUR összegű finanszírozás bi</w:t>
      </w:r>
      <w:r>
        <w:rPr>
          <w:rStyle w:val="normaltextrun"/>
          <w:rFonts w:ascii="Times New Roman" w:hAnsi="Times New Roman"/>
          <w:noProof/>
          <w:sz w:val="24"/>
          <w:shd w:val="clear" w:color="auto" w:fill="FFFFFF"/>
        </w:rPr>
        <w:t xml:space="preserve">ztosítása.  </w:t>
      </w:r>
    </w:p>
    <w:p w14:paraId="70AE2CCC" w14:textId="6DF9170E" w:rsidR="003E1D81" w:rsidRDefault="00EB481C">
      <w:pPr>
        <w:spacing w:line="240" w:lineRule="auto"/>
        <w:jc w:val="both"/>
        <w:rPr>
          <w:rFonts w:ascii="Times New Roman" w:eastAsiaTheme="minorEastAsia" w:hAnsi="Times New Roman" w:cs="Times New Roman"/>
          <w:noProof/>
          <w:sz w:val="24"/>
        </w:rPr>
      </w:pPr>
      <w:r>
        <w:rPr>
          <w:rStyle w:val="normaltextrun"/>
          <w:rFonts w:ascii="Times New Roman" w:hAnsi="Times New Roman"/>
          <w:noProof/>
          <w:sz w:val="24"/>
          <w:shd w:val="clear" w:color="auto" w:fill="FFFFFF"/>
        </w:rPr>
        <w:t xml:space="preserve">Az eszközt végrehajtó partnerként a Compañía Española de Financiación del Desarrollo (COFIDES) irányítja. A hitelezési eszköz a következő három terméksort foglalja magában: </w:t>
      </w:r>
    </w:p>
    <w:p w14:paraId="64F987A4" w14:textId="7452E1ED" w:rsidR="003E1D81" w:rsidRDefault="00EB481C">
      <w:pPr>
        <w:pStyle w:val="P68B1DB1-ListParagraph7"/>
        <w:numPr>
          <w:ilvl w:val="0"/>
          <w:numId w:val="690"/>
        </w:numPr>
        <w:jc w:val="both"/>
        <w:rPr>
          <w:rFonts w:eastAsiaTheme="minorEastAsia" w:cs="Times New Roman"/>
          <w:noProof/>
        </w:rPr>
      </w:pPr>
      <w:r>
        <w:rPr>
          <w:noProof/>
        </w:rPr>
        <w:t>Részvények jegyzése szociális hatású befektetési alapokban. Ez a téte</w:t>
      </w:r>
      <w:r>
        <w:rPr>
          <w:noProof/>
        </w:rPr>
        <w:t>l a magán pénzügyi menedzserek által kezelt befektetési eszközök részvényeit vásárolja meg, amelyek célja szociális és környezetvédelmi projektekbe való befektetés a lejárat minden szakaszában. A vásárlás nem haladhatja meg az egyes alapok teljes részvénye</w:t>
      </w:r>
      <w:r>
        <w:rPr>
          <w:noProof/>
        </w:rPr>
        <w:t>inek 25%-át, kivéve a kellően indokolt eseteket, amikor ez a százalékos arány növekedhet, de nem haladhatja meg a 49%-ot. Ezenkívül a Békekeret nem vásárolhat részvényeket egyazon pénzügyi kezelő által kezelt kettőnél több alapból, kivéve, ha a kettő egyik</w:t>
      </w:r>
      <w:r>
        <w:rPr>
          <w:noProof/>
        </w:rPr>
        <w:t xml:space="preserve">e elidegenítési időszakban van, és a kezelt eszközök legalább 50%-át kivonta a befektetésből. </w:t>
      </w:r>
    </w:p>
    <w:p w14:paraId="53D59065" w14:textId="3E28993E" w:rsidR="003E1D81" w:rsidRDefault="00EB481C">
      <w:pPr>
        <w:pStyle w:val="P68B1DB1-ListParagraph7"/>
        <w:numPr>
          <w:ilvl w:val="0"/>
          <w:numId w:val="690"/>
        </w:numPr>
        <w:jc w:val="both"/>
        <w:rPr>
          <w:rFonts w:eastAsiaTheme="minorEastAsia" w:cs="Times New Roman"/>
          <w:noProof/>
        </w:rPr>
      </w:pPr>
      <w:r>
        <w:rPr>
          <w:noProof/>
        </w:rPr>
        <w:t>A mérhető társadalmi vagy környezeti hatással járó projektekbe vagy olyan vállalatokba történő társfinanszírozás sajáttőke- vagy egyéb adósságinstrumentumok révé</w:t>
      </w:r>
      <w:r>
        <w:rPr>
          <w:noProof/>
        </w:rPr>
        <w:t>n történő társfinanszírozás vagy társfinanszírozás, amelyek kötelezettséget vállaltak arra, hogy ilyen jellemzőkkel bíró új projekteket hajtanak végre.  Ez a költségvetési sor más köz- vagy magánforrásokkal társfinanszírozza a projekteket, beleértve azokat</w:t>
      </w:r>
      <w:r>
        <w:rPr>
          <w:noProof/>
        </w:rPr>
        <w:t xml:space="preserve"> is, amelyeken a Békekeret részvényeket vásárolt. </w:t>
      </w:r>
    </w:p>
    <w:p w14:paraId="43114929" w14:textId="164340FA" w:rsidR="003E1D81" w:rsidRDefault="00EB481C">
      <w:pPr>
        <w:pStyle w:val="P68B1DB1-ListParagraph7"/>
        <w:numPr>
          <w:ilvl w:val="0"/>
          <w:numId w:val="690"/>
        </w:numPr>
        <w:jc w:val="both"/>
        <w:rPr>
          <w:rFonts w:eastAsiaTheme="minorEastAsia" w:cs="Times New Roman"/>
          <w:noProof/>
        </w:rPr>
      </w:pPr>
      <w:r>
        <w:rPr>
          <w:noProof/>
        </w:rPr>
        <w:t>Közvetlen kölcsönök és részesedésszerzési célú hitelek olyan vállalatoknál, amelyek mérhető társadalmi vagy környezeti hatással járó projekteket hajtanak végre.</w:t>
      </w:r>
    </w:p>
    <w:p w14:paraId="093074E7" w14:textId="4DE221FE" w:rsidR="003E1D81" w:rsidRDefault="00EB481C">
      <w:pPr>
        <w:pStyle w:val="P68B1DB1-Normal4"/>
        <w:jc w:val="both"/>
        <w:rPr>
          <w:rFonts w:eastAsia="Times New Roman" w:cs="Times New Roman"/>
          <w:noProof/>
          <w:u w:val="single"/>
        </w:rPr>
      </w:pPr>
      <w:r>
        <w:rPr>
          <w:noProof/>
        </w:rPr>
        <w:t xml:space="preserve">Ez a beruházás a technikai segítségnyújtási </w:t>
      </w:r>
      <w:r>
        <w:rPr>
          <w:noProof/>
        </w:rPr>
        <w:t xml:space="preserve">eszközt (TAF) is fedezi, amelynek célja, hogy javítsa a kedvezményezettek azon képességét, hogy kezeljék és mérjék beruházási projektjeik hatását. Támogatja továbbá a Békekeret hatékony és eredményes pénzgazdálkodását. A TAF-ot a COFIDES fogja kezelni, és </w:t>
      </w:r>
      <w:r>
        <w:rPr>
          <w:noProof/>
        </w:rPr>
        <w:t>legfeljebb 8 millió EUR kezdeti allokációval látják el.</w:t>
      </w:r>
    </w:p>
    <w:p w14:paraId="00E54E3E" w14:textId="0E7E5167" w:rsidR="003E1D81" w:rsidRDefault="00EB481C">
      <w:pPr>
        <w:pStyle w:val="P68B1DB1-Normal4"/>
        <w:spacing w:line="240" w:lineRule="auto"/>
        <w:jc w:val="both"/>
        <w:rPr>
          <w:rFonts w:eastAsia="Times New Roman" w:cs="Times New Roman"/>
          <w:noProof/>
        </w:rPr>
      </w:pPr>
      <w:r>
        <w:rPr>
          <w:noProof/>
        </w:rPr>
        <w:t>A Békekeretbe történő beruházás végrehajtása érdekében Spanyolországnak jóvá kell hagynia a Békekeret létrehozására és kezelésére vonatkozó rendeletet és minden kapcsolódó dokumentumot, amely a követk</w:t>
      </w:r>
      <w:r>
        <w:rPr>
          <w:noProof/>
        </w:rPr>
        <w:t xml:space="preserve">ező tartalommal rendelkezik: </w:t>
      </w:r>
    </w:p>
    <w:p w14:paraId="77F76082" w14:textId="77D13859" w:rsidR="003E1D81" w:rsidRDefault="00EB481C">
      <w:pPr>
        <w:pStyle w:val="P68B1DB1-ListParagraph7"/>
        <w:numPr>
          <w:ilvl w:val="0"/>
          <w:numId w:val="764"/>
        </w:numPr>
        <w:spacing w:line="240" w:lineRule="auto"/>
        <w:contextualSpacing w:val="0"/>
        <w:jc w:val="both"/>
        <w:rPr>
          <w:rFonts w:eastAsia="Times New Roman" w:cs="Times New Roman"/>
          <w:noProof/>
        </w:rPr>
      </w:pPr>
      <w:r>
        <w:rPr>
          <w:noProof/>
        </w:rPr>
        <w:t>Az eszköz döntéshozatali folyamatának leírása:  A Keret kezdeti beruházási döntését beruházási bizottság vagy más, ezzel egyenértékű irányító testület hozza meg, és azt a spanyol kormánytól független tagok szavazatainak többsé</w:t>
      </w:r>
      <w:r>
        <w:rPr>
          <w:noProof/>
        </w:rPr>
        <w:t>gével kell jóváhagyni. A Békekeret végleges beruházási döntése a beruházási bizottság vagy azzal egyenértékű irányító testület által javasolt beruházási döntéssel kapcsolatos vétójog (módosítás nélküli) jóváhagyására vagy gyakorlására korlátozódik. Közvetí</w:t>
      </w:r>
      <w:r>
        <w:rPr>
          <w:noProof/>
        </w:rPr>
        <w:t>tett befektetések esetében a végső befektetési döntést a közvetítők hozzák meg.</w:t>
      </w:r>
    </w:p>
    <w:p w14:paraId="683E6013" w14:textId="77777777" w:rsidR="003E1D81" w:rsidRDefault="00EB481C">
      <w:pPr>
        <w:pStyle w:val="P68B1DB1-ListParagraph7"/>
        <w:numPr>
          <w:ilvl w:val="0"/>
          <w:numId w:val="764"/>
        </w:numPr>
        <w:spacing w:line="240" w:lineRule="auto"/>
        <w:jc w:val="both"/>
        <w:rPr>
          <w:rFonts w:eastAsia="Times New Roman" w:cs="Times New Roman"/>
          <w:noProof/>
        </w:rPr>
      </w:pPr>
      <w:r>
        <w:rPr>
          <w:noProof/>
        </w:rPr>
        <w:t>A kapcsolódó befektetési politika fő követelményei, amelyek a következőket foglalják magukban:</w:t>
      </w:r>
    </w:p>
    <w:p w14:paraId="3BF8A03B" w14:textId="18B537C3" w:rsidR="003E1D81" w:rsidRDefault="00EB481C">
      <w:pPr>
        <w:pStyle w:val="P68B1DB1-ListParagraph7"/>
        <w:numPr>
          <w:ilvl w:val="1"/>
          <w:numId w:val="764"/>
        </w:numPr>
        <w:spacing w:line="240" w:lineRule="auto"/>
        <w:jc w:val="both"/>
        <w:rPr>
          <w:rFonts w:eastAsia="Times New Roman" w:cs="Times New Roman"/>
          <w:noProof/>
        </w:rPr>
      </w:pPr>
      <w:r>
        <w:rPr>
          <w:noProof/>
        </w:rPr>
        <w:t xml:space="preserve">A pénzügyi termékek és a támogatható végső kedvezményezettek leírása az </w:t>
      </w:r>
      <w:r>
        <w:rPr>
          <w:noProof/>
        </w:rPr>
        <w:t>intézkedés leírásával összhangban.</w:t>
      </w:r>
    </w:p>
    <w:p w14:paraId="4C27BD6B" w14:textId="77777777" w:rsidR="003E1D81" w:rsidRDefault="00EB481C">
      <w:pPr>
        <w:pStyle w:val="P68B1DB1-ListParagraph7"/>
        <w:numPr>
          <w:ilvl w:val="1"/>
          <w:numId w:val="764"/>
        </w:numPr>
        <w:spacing w:line="240" w:lineRule="auto"/>
        <w:jc w:val="both"/>
        <w:rPr>
          <w:rFonts w:eastAsia="Times New Roman" w:cs="Times New Roman"/>
          <w:noProof/>
        </w:rPr>
      </w:pPr>
      <w:r>
        <w:rPr>
          <w:noProof/>
        </w:rPr>
        <w:t>Az a követelmény, hogy minden támogatott beruházás gazdaságilag életképes legyen.</w:t>
      </w:r>
    </w:p>
    <w:p w14:paraId="2B9A7E60" w14:textId="77777777" w:rsidR="003E1D81" w:rsidRDefault="00EB481C">
      <w:pPr>
        <w:pStyle w:val="P68B1DB1-ListParagraph7"/>
        <w:numPr>
          <w:ilvl w:val="1"/>
          <w:numId w:val="764"/>
        </w:numPr>
        <w:spacing w:line="240" w:lineRule="auto"/>
        <w:jc w:val="both"/>
        <w:rPr>
          <w:rFonts w:eastAsia="Times New Roman" w:cs="Times New Roman"/>
          <w:noProof/>
        </w:rPr>
      </w:pPr>
      <w:r>
        <w:rPr>
          <w:noProof/>
        </w:rPr>
        <w:t xml:space="preserve">A kinnlevő hitelek refinanszírozásának tilalma.  </w:t>
      </w:r>
    </w:p>
    <w:p w14:paraId="60EEEDCF" w14:textId="77777777" w:rsidR="003E1D81" w:rsidRDefault="00EB481C">
      <w:pPr>
        <w:pStyle w:val="P68B1DB1-ListParagraph7"/>
        <w:numPr>
          <w:ilvl w:val="1"/>
          <w:numId w:val="764"/>
        </w:numPr>
        <w:spacing w:line="240" w:lineRule="auto"/>
        <w:jc w:val="both"/>
        <w:rPr>
          <w:rFonts w:eastAsia="Times New Roman" w:cs="Times New Roman"/>
          <w:noProof/>
        </w:rPr>
      </w:pPr>
      <w:r>
        <w:rPr>
          <w:noProof/>
        </w:rPr>
        <w:t>A jelentős károkozás elkerülését célzó elvnek való megfelelés követelménye a DNSH technik</w:t>
      </w:r>
      <w:r>
        <w:rPr>
          <w:noProof/>
        </w:rPr>
        <w:t xml:space="preserve">ai iránymutatásban (2021/C58/01) meghatározottak szerint, különösen: </w:t>
      </w:r>
    </w:p>
    <w:p w14:paraId="4925FC3C" w14:textId="4249AA29" w:rsidR="003E1D81" w:rsidRDefault="00EB481C">
      <w:pPr>
        <w:pStyle w:val="ListParagraph"/>
        <w:numPr>
          <w:ilvl w:val="2"/>
          <w:numId w:val="764"/>
        </w:numPr>
        <w:jc w:val="both"/>
        <w:rPr>
          <w:rFonts w:ascii="Times New Roman" w:eastAsia="Times New Roman" w:hAnsi="Times New Roman" w:cs="Times New Roman"/>
          <w:noProof/>
          <w:sz w:val="24"/>
        </w:rPr>
      </w:pPr>
      <w:r>
        <w:rPr>
          <w:rFonts w:ascii="Times New Roman" w:hAnsi="Times New Roman"/>
          <w:noProof/>
          <w:sz w:val="24"/>
        </w:rPr>
        <w:t>Kölcsönök, projektkötvények vagy azokkal egyenértékű eszközök esetében: a befektetési politika kizárja a tevékenységek és eszközök alábbi listáját a támogathatóság köréből: i. a fosszili</w:t>
      </w:r>
      <w:r>
        <w:rPr>
          <w:rFonts w:ascii="Times New Roman" w:hAnsi="Times New Roman"/>
          <w:noProof/>
          <w:sz w:val="24"/>
        </w:rPr>
        <w:t>s tüzelőanyagokhoz kapcsolódó tevékenységek és eszközök, beleértve a továbbfelhasználást is, ii. az uniós kibocsátáskereskedelmi rendszer (ETS) keretében</w:t>
      </w:r>
      <w:r>
        <w:rPr>
          <w:rStyle w:val="FootnoteReference"/>
          <w:rFonts w:ascii="Times New Roman" w:eastAsia="Times New Roman" w:hAnsi="Times New Roman" w:cs="Times New Roman"/>
          <w:noProof/>
          <w:sz w:val="24"/>
        </w:rPr>
        <w:footnoteReference w:id="191"/>
      </w:r>
      <w:r>
        <w:rPr>
          <w:rFonts w:ascii="Times New Roman" w:hAnsi="Times New Roman"/>
          <w:noProof/>
          <w:sz w:val="24"/>
        </w:rPr>
        <w:t>végzett tevékenységek és eszközök, amelyek a vonatkozó referenciaértékeknél nem alacsonyabb várható üv</w:t>
      </w:r>
      <w:r>
        <w:rPr>
          <w:rFonts w:ascii="Times New Roman" w:hAnsi="Times New Roman"/>
          <w:noProof/>
          <w:sz w:val="24"/>
        </w:rPr>
        <w:t>egházhatásúgáz-kibocsátást érnek el; iii. hulladéklerakókkal, hulladékégetőkkel és mechanikai-biológiai szennyvíztisztító telepekkel kapcsolatos</w:t>
      </w:r>
      <w:r>
        <w:rPr>
          <w:rStyle w:val="FootnoteReference"/>
          <w:rFonts w:ascii="Times New Roman" w:eastAsia="Times New Roman" w:hAnsi="Times New Roman" w:cs="Times New Roman"/>
          <w:noProof/>
          <w:sz w:val="24"/>
        </w:rPr>
        <w:footnoteReference w:id="192"/>
      </w:r>
      <w:r>
        <w:rPr>
          <w:rFonts w:ascii="Times New Roman" w:hAnsi="Times New Roman"/>
          <w:noProof/>
          <w:sz w:val="24"/>
        </w:rPr>
        <w:t xml:space="preserve">tevékenységek és eszközök. </w:t>
      </w:r>
    </w:p>
    <w:p w14:paraId="514A6210" w14:textId="77777777" w:rsidR="003E1D81" w:rsidRDefault="00EB481C">
      <w:pPr>
        <w:pStyle w:val="ListParagraph"/>
        <w:numPr>
          <w:ilvl w:val="2"/>
          <w:numId w:val="764"/>
        </w:numPr>
        <w:jc w:val="both"/>
        <w:rPr>
          <w:rFonts w:ascii="Times New Roman" w:eastAsia="Times New Roman" w:hAnsi="Times New Roman" w:cs="Times New Roman"/>
          <w:noProof/>
          <w:sz w:val="24"/>
        </w:rPr>
      </w:pPr>
      <w:r>
        <w:rPr>
          <w:rFonts w:ascii="Times New Roman" w:hAnsi="Times New Roman"/>
          <w:noProof/>
          <w:sz w:val="24"/>
        </w:rPr>
        <w:t xml:space="preserve">Saját tőke, kvázi-sajáttőke, vállalati kötvények vagy ezekkel egyenértékű eszközök </w:t>
      </w:r>
      <w:r>
        <w:rPr>
          <w:rFonts w:ascii="Times New Roman" w:hAnsi="Times New Roman"/>
          <w:noProof/>
          <w:sz w:val="24"/>
        </w:rPr>
        <w:t>esetében:  a befektetési politika nem terjed ki azokra a vállalkozásokra, amelyek jelentős hangsúlyt</w:t>
      </w:r>
      <w:r>
        <w:rPr>
          <w:rStyle w:val="FootnoteReference"/>
          <w:rFonts w:ascii="Times New Roman" w:eastAsia="Times New Roman" w:hAnsi="Times New Roman" w:cs="Times New Roman"/>
          <w:noProof/>
          <w:sz w:val="24"/>
        </w:rPr>
        <w:footnoteReference w:id="193"/>
      </w:r>
      <w:r>
        <w:rPr>
          <w:rFonts w:ascii="Times New Roman" w:hAnsi="Times New Roman"/>
          <w:noProof/>
          <w:sz w:val="24"/>
        </w:rPr>
        <w:t xml:space="preserve"> fektetnek a következő ágazatokra: fosszilis tüzelőanyagokon alapuló energiatermelés és kapcsolódó tevékenységek</w:t>
      </w:r>
      <w:r>
        <w:rPr>
          <w:rStyle w:val="FootnoteReference"/>
          <w:rFonts w:ascii="Times New Roman" w:eastAsia="Times New Roman" w:hAnsi="Times New Roman" w:cs="Times New Roman"/>
          <w:noProof/>
          <w:sz w:val="24"/>
        </w:rPr>
        <w:footnoteReference w:id="194"/>
      </w:r>
      <w:r>
        <w:rPr>
          <w:rFonts w:ascii="Times New Roman" w:hAnsi="Times New Roman"/>
          <w:noProof/>
          <w:sz w:val="24"/>
        </w:rPr>
        <w:t>; energiaigényes és/vagy magas szén-dioxid</w:t>
      </w:r>
      <w:r>
        <w:rPr>
          <w:rFonts w:ascii="Times New Roman" w:hAnsi="Times New Roman"/>
          <w:noProof/>
          <w:sz w:val="24"/>
        </w:rPr>
        <w:t>-kibocsátású iparágak</w:t>
      </w:r>
      <w:r>
        <w:rPr>
          <w:rStyle w:val="FootnoteReference"/>
          <w:rFonts w:ascii="Times New Roman" w:eastAsia="Times New Roman" w:hAnsi="Times New Roman" w:cs="Times New Roman"/>
          <w:noProof/>
          <w:sz w:val="24"/>
        </w:rPr>
        <w:footnoteReference w:id="195"/>
      </w:r>
      <w:r>
        <w:rPr>
          <w:rFonts w:ascii="Times New Roman" w:hAnsi="Times New Roman"/>
          <w:noProof/>
          <w:sz w:val="24"/>
        </w:rPr>
        <w:t>; szennyező járművek gyártása, bérlése vagy értékesítése</w:t>
      </w:r>
      <w:r>
        <w:rPr>
          <w:rStyle w:val="FootnoteReference"/>
          <w:rFonts w:ascii="Times New Roman" w:eastAsia="Times New Roman" w:hAnsi="Times New Roman" w:cs="Times New Roman"/>
          <w:noProof/>
          <w:sz w:val="24"/>
        </w:rPr>
        <w:footnoteReference w:id="196"/>
      </w:r>
      <w:r>
        <w:rPr>
          <w:rFonts w:ascii="Times New Roman" w:hAnsi="Times New Roman"/>
          <w:noProof/>
          <w:sz w:val="24"/>
        </w:rPr>
        <w:t>; hulladékgyűjtés, hulladékkezelés és -ártalmatlanítás</w:t>
      </w:r>
      <w:r>
        <w:rPr>
          <w:rStyle w:val="FootnoteReference"/>
          <w:rFonts w:ascii="Times New Roman" w:eastAsia="Times New Roman" w:hAnsi="Times New Roman" w:cs="Times New Roman"/>
          <w:noProof/>
          <w:sz w:val="24"/>
        </w:rPr>
        <w:footnoteReference w:id="197"/>
      </w:r>
      <w:r>
        <w:rPr>
          <w:rFonts w:ascii="Times New Roman" w:hAnsi="Times New Roman"/>
          <w:noProof/>
          <w:sz w:val="24"/>
        </w:rPr>
        <w:t>, v. nukleáris fűtőanyag feldolgozása, atomenergia előállítása</w:t>
      </w:r>
    </w:p>
    <w:p w14:paraId="2DA0D89B" w14:textId="77777777" w:rsidR="003E1D81" w:rsidRDefault="00EB481C">
      <w:pPr>
        <w:pStyle w:val="P68B1DB1-ListParagraph7"/>
        <w:numPr>
          <w:ilvl w:val="2"/>
          <w:numId w:val="764"/>
        </w:numPr>
        <w:jc w:val="both"/>
        <w:rPr>
          <w:rFonts w:eastAsia="Times New Roman" w:cs="Times New Roman"/>
          <w:noProof/>
        </w:rPr>
      </w:pPr>
      <w:r>
        <w:rPr>
          <w:noProof/>
        </w:rPr>
        <w:t>A beruházási politikának továbbá elő kell írnia, hogy az es</w:t>
      </w:r>
      <w:r>
        <w:rPr>
          <w:noProof/>
        </w:rPr>
        <w:t>zköz végső kedvezményezettjei megfeleljenek a vonatkozó uniós és nemzeti környezetvédelmi jogszabályoknak.</w:t>
      </w:r>
    </w:p>
    <w:p w14:paraId="0EA26F27" w14:textId="77777777" w:rsidR="003E1D81" w:rsidRDefault="00EB481C">
      <w:pPr>
        <w:pStyle w:val="P68B1DB1-ListParagraph7"/>
        <w:numPr>
          <w:ilvl w:val="1"/>
          <w:numId w:val="764"/>
        </w:numPr>
        <w:jc w:val="both"/>
        <w:rPr>
          <w:rFonts w:eastAsia="Times New Roman" w:cs="Times New Roman"/>
          <w:noProof/>
        </w:rPr>
      </w:pPr>
      <w:r>
        <w:rPr>
          <w:noProof/>
        </w:rPr>
        <w:t>Az a követelmény, hogy a hitelezési eszköz végső kedvezményezettjei nem részesülhetnek támogatásban más uniós eszközökből ugyanazon költségek fedezés</w:t>
      </w:r>
      <w:r>
        <w:rPr>
          <w:noProof/>
        </w:rPr>
        <w:t>ére.</w:t>
      </w:r>
    </w:p>
    <w:p w14:paraId="088EF188" w14:textId="306B991B" w:rsidR="003E1D81" w:rsidRDefault="00EB481C">
      <w:pPr>
        <w:pStyle w:val="P68B1DB1-ListParagraph7"/>
        <w:numPr>
          <w:ilvl w:val="0"/>
          <w:numId w:val="764"/>
        </w:numPr>
        <w:jc w:val="both"/>
        <w:rPr>
          <w:rFonts w:eastAsia="Times New Roman" w:cs="Times New Roman"/>
          <w:noProof/>
        </w:rPr>
      </w:pPr>
      <w:r>
        <w:rPr>
          <w:noProof/>
        </w:rPr>
        <w:t xml:space="preserve">Az eszközt létrehozó rendeletek és bármely kapcsolódó dokumentum hatálya alá tartozó összeg, a végrehajtó partner díjstruktúrája, valamint a visszaáramlások újbóli befektetésére vonatkozó követelmény az eszköz beruházási politikájának megfelelően, </w:t>
      </w:r>
      <w:r>
        <w:rPr>
          <w:noProof/>
        </w:rPr>
        <w:t>kivéve, ha azokat a Helyreállítási és Rezilienciaépítési Eszköz hiteltörlesztéseinek teljesítésére használják fel.</w:t>
      </w:r>
    </w:p>
    <w:p w14:paraId="6ED49105" w14:textId="77777777" w:rsidR="003E1D81" w:rsidRDefault="00EB481C">
      <w:pPr>
        <w:pStyle w:val="P68B1DB1-ListParagraph7"/>
        <w:numPr>
          <w:ilvl w:val="0"/>
          <w:numId w:val="764"/>
        </w:numPr>
        <w:jc w:val="both"/>
        <w:rPr>
          <w:rFonts w:eastAsia="Times New Roman" w:cs="Times New Roman"/>
          <w:noProof/>
        </w:rPr>
      </w:pPr>
      <w:r>
        <w:rPr>
          <w:noProof/>
        </w:rPr>
        <w:t>Nyomonkövetési, ellenőrzési és ellenőrzési követelmények, beleértve a következőket:</w:t>
      </w:r>
    </w:p>
    <w:p w14:paraId="6BCC69DF" w14:textId="77777777" w:rsidR="003E1D81" w:rsidRDefault="00EB481C">
      <w:pPr>
        <w:pStyle w:val="P68B1DB1-ListParagraph7"/>
        <w:numPr>
          <w:ilvl w:val="1"/>
          <w:numId w:val="764"/>
        </w:numPr>
        <w:jc w:val="both"/>
        <w:rPr>
          <w:rFonts w:eastAsia="Times New Roman" w:cs="Times New Roman"/>
          <w:noProof/>
        </w:rPr>
      </w:pPr>
      <w:r>
        <w:rPr>
          <w:noProof/>
        </w:rPr>
        <w:t>A végrehajtó partner által a mozgósított beruházásról val</w:t>
      </w:r>
      <w:r>
        <w:rPr>
          <w:noProof/>
        </w:rPr>
        <w:t>ó jelentéstételre szolgáló nyomonkövetési rendszer leírása.</w:t>
      </w:r>
    </w:p>
    <w:p w14:paraId="1C066FFF" w14:textId="77777777" w:rsidR="003E1D81" w:rsidRDefault="00EB481C">
      <w:pPr>
        <w:pStyle w:val="P68B1DB1-ListParagraph7"/>
        <w:numPr>
          <w:ilvl w:val="1"/>
          <w:numId w:val="764"/>
        </w:numPr>
        <w:jc w:val="both"/>
        <w:rPr>
          <w:rFonts w:eastAsia="Times New Roman" w:cs="Times New Roman"/>
          <w:noProof/>
        </w:rPr>
      </w:pPr>
      <w:r>
        <w:rPr>
          <w:noProof/>
        </w:rPr>
        <w:t xml:space="preserve">A végrehajtó partner azon eljárásainak leírása, amelyek biztosítják a csalás, a korrupció és az összeférhetetlenség megelőzését, feltárását és korrekcióját. </w:t>
      </w:r>
    </w:p>
    <w:p w14:paraId="3E035756" w14:textId="22770397" w:rsidR="003E1D81" w:rsidRDefault="00EB481C">
      <w:pPr>
        <w:pStyle w:val="P68B1DB1-ListParagraph7"/>
        <w:numPr>
          <w:ilvl w:val="1"/>
          <w:numId w:val="764"/>
        </w:numPr>
        <w:jc w:val="both"/>
        <w:rPr>
          <w:rFonts w:eastAsia="Times New Roman" w:cs="Times New Roman"/>
          <w:noProof/>
        </w:rPr>
      </w:pPr>
      <w:r>
        <w:rPr>
          <w:noProof/>
        </w:rPr>
        <w:t>Minden művelet támogathatóságának a Bé</w:t>
      </w:r>
      <w:r>
        <w:rPr>
          <w:noProof/>
        </w:rPr>
        <w:t xml:space="preserve">kekeretet létrehozó rendeletekben meghatározott követelményekkel összhangban történő ellenőrzésére vonatkozó kötelezettség, mielőtt kötelezettséget vállalnának egy művelet finanszírozására. </w:t>
      </w:r>
    </w:p>
    <w:p w14:paraId="213A65F2" w14:textId="7EF11A41" w:rsidR="003E1D81" w:rsidRDefault="00EB481C">
      <w:pPr>
        <w:pStyle w:val="P68B1DB1-ListParagraph7"/>
        <w:numPr>
          <w:ilvl w:val="1"/>
          <w:numId w:val="764"/>
        </w:numPr>
        <w:jc w:val="both"/>
        <w:rPr>
          <w:rFonts w:eastAsia="Times New Roman" w:cs="Times New Roman"/>
          <w:noProof/>
        </w:rPr>
      </w:pPr>
      <w:r>
        <w:rPr>
          <w:noProof/>
        </w:rPr>
        <w:t>A kockázatalapú utólagos ellenőrzéseknek a COFIDES ellenőrzési te</w:t>
      </w:r>
      <w:r>
        <w:rPr>
          <w:noProof/>
        </w:rPr>
        <w:t>rvével összhangban történő elvégzésére vonatkozó kötelezettség. Ezek az ellenőrzések azt vizsgálják, hogy i. a kontrollrendszerek hatékonyak-e, beleértve a csalás, a korrupció és az összeférhetetlenség feltárását; a DNSH-elvnek, az állami támogatási szabál</w:t>
      </w:r>
      <w:r>
        <w:rPr>
          <w:noProof/>
        </w:rPr>
        <w:t>yoknak, valamint az éghajlat-politikai és digitális célkitűzésekre vonatkozó követelményeknek való megfelelés; és iii. teljesül az a követelmény, amely szerint a közvetítőnek ellenőriznie kell, hogy a végső kedvezményezett felelősségteljes nyilatkozatot ny</w:t>
      </w:r>
      <w:r>
        <w:rPr>
          <w:noProof/>
        </w:rPr>
        <w:t>újt-e be annak ellenőrzésére, hogy ugyanazt a költséget egy másik uniós eszköz fedezi-e. Az ellenőrzéseknek azt is ellenőrizniük kell, hogy az ügyletek jogszerűek-e, valamint hogy betartják-e az alkalmazandó rendeletben, valamint a Békekeretet és a finansz</w:t>
      </w:r>
      <w:r>
        <w:rPr>
          <w:noProof/>
        </w:rPr>
        <w:t xml:space="preserve">írozási megállapodásokat létrehozó kapcsolódó dokumentumokban foglalt feltételeket. </w:t>
      </w:r>
    </w:p>
    <w:p w14:paraId="5865B760" w14:textId="770FCCE6" w:rsidR="003E1D81" w:rsidRDefault="00EB481C">
      <w:pPr>
        <w:pStyle w:val="P68B1DB1-ListParagraph7"/>
        <w:numPr>
          <w:ilvl w:val="0"/>
          <w:numId w:val="764"/>
        </w:numPr>
        <w:jc w:val="both"/>
        <w:rPr>
          <w:rFonts w:eastAsia="Times New Roman" w:cs="Times New Roman"/>
          <w:noProof/>
        </w:rPr>
      </w:pPr>
      <w:r>
        <w:rPr>
          <w:noProof/>
        </w:rPr>
        <w:t>A pénzügyi közvetítők kiválasztására vonatkozó követelmények: A COFIDES nyílt, átlátható és megkülönböztetésmentes módon választja ki a pénzügyi közvetítőket. A pénzügyi k</w:t>
      </w:r>
      <w:r>
        <w:rPr>
          <w:noProof/>
        </w:rPr>
        <w:t xml:space="preserve">özvetítőket érintő összeférhetetlenség hiányát előzetesen ellenőrizni kell, és minden érintett pénzügyi szereplő esetében olyan informatikai rendszeren keresztül kell elvégezni, mint a Minerva.  </w:t>
      </w:r>
    </w:p>
    <w:p w14:paraId="5138BC22" w14:textId="5AF03632" w:rsidR="003E1D81" w:rsidRDefault="00EB481C">
      <w:pPr>
        <w:pStyle w:val="P68B1DB1-ListParagraph7"/>
        <w:numPr>
          <w:ilvl w:val="0"/>
          <w:numId w:val="764"/>
        </w:numPr>
        <w:jc w:val="both"/>
        <w:rPr>
          <w:rFonts w:eastAsia="Times New Roman" w:cs="Times New Roman"/>
          <w:noProof/>
        </w:rPr>
      </w:pPr>
      <w:r>
        <w:rPr>
          <w:noProof/>
        </w:rPr>
        <w:t xml:space="preserve">Finanszírozási megállapodások aláírásának kötelezettsége: A </w:t>
      </w:r>
      <w:r>
        <w:rPr>
          <w:noProof/>
        </w:rPr>
        <w:t>COFIDES finanszírozási megállapodásokat ír alá a pénzügyi közvetítőkkel az eszközt létrehozó kapcsolódó dokumentumok részeként benyújtandó kulcsfontosságú követelményeknek megfelelően. A finanszírozási megállapodás fő követelményei magukban foglalják minda</w:t>
      </w:r>
      <w:r>
        <w:rPr>
          <w:noProof/>
        </w:rPr>
        <w:t xml:space="preserve">zokat a követelményeket, amelyek alapján a Békekeret működik, beleértve a következőket:  </w:t>
      </w:r>
    </w:p>
    <w:p w14:paraId="09C24E1C" w14:textId="77777777" w:rsidR="003E1D81" w:rsidRDefault="00EB481C">
      <w:pPr>
        <w:pStyle w:val="P68B1DB1-ListParagraph7"/>
        <w:numPr>
          <w:ilvl w:val="1"/>
          <w:numId w:val="764"/>
        </w:numPr>
        <w:jc w:val="both"/>
        <w:rPr>
          <w:rFonts w:cs="Times New Roman"/>
          <w:noProof/>
        </w:rPr>
      </w:pPr>
      <w:r>
        <w:rPr>
          <w:noProof/>
        </w:rPr>
        <w:t xml:space="preserve">A pénzügyi közvetítő azon kötelezettsége, hogy döntéseit </w:t>
      </w:r>
      <w:r>
        <w:rPr>
          <w:i/>
          <w:noProof/>
        </w:rPr>
        <w:t>értelemszerűen</w:t>
      </w:r>
      <w:r>
        <w:rPr>
          <w:noProof/>
        </w:rPr>
        <w:t xml:space="preserve"> a fent meghatározott döntéshozatali és befektetési politikai követelményeknek megfelelően hozz</w:t>
      </w:r>
      <w:r>
        <w:rPr>
          <w:noProof/>
        </w:rPr>
        <w:t xml:space="preserve">a meg, beleértve a DNSH-elv tiszteletben tartásával kapcsolatosakat is. </w:t>
      </w:r>
    </w:p>
    <w:p w14:paraId="7E3B4622" w14:textId="77777777" w:rsidR="003E1D81" w:rsidRDefault="00EB481C">
      <w:pPr>
        <w:pStyle w:val="P68B1DB1-ListParagraph7"/>
        <w:numPr>
          <w:ilvl w:val="1"/>
          <w:numId w:val="764"/>
        </w:numPr>
        <w:jc w:val="both"/>
        <w:rPr>
          <w:rFonts w:cs="Times New Roman"/>
          <w:noProof/>
        </w:rPr>
      </w:pPr>
      <w:r>
        <w:rPr>
          <w:noProof/>
        </w:rPr>
        <w:t xml:space="preserve">A pénzügyi közvetítő által létrehozandó monitoring-, audit- és kontrollkeret leírása, amelyre </w:t>
      </w:r>
      <w:r>
        <w:rPr>
          <w:i/>
          <w:noProof/>
        </w:rPr>
        <w:t>értelemszerűen</w:t>
      </w:r>
      <w:r>
        <w:rPr>
          <w:noProof/>
        </w:rPr>
        <w:t xml:space="preserve"> a fent meghatározott valamennyi nyomonkövetési, ellenőrzési és kontrollköv</w:t>
      </w:r>
      <w:r>
        <w:rPr>
          <w:noProof/>
        </w:rPr>
        <w:t xml:space="preserve">etelmény vonatkozik.  </w:t>
      </w:r>
    </w:p>
    <w:p w14:paraId="42FE8EDF" w14:textId="79B707A0" w:rsidR="003E1D81" w:rsidRDefault="00EB481C">
      <w:pPr>
        <w:pStyle w:val="P68B1DB1-Normal4"/>
        <w:spacing w:line="240" w:lineRule="auto"/>
        <w:jc w:val="both"/>
        <w:rPr>
          <w:rFonts w:eastAsia="Times New Roman" w:cs="Times New Roman"/>
          <w:noProof/>
        </w:rPr>
      </w:pPr>
      <w:r>
        <w:rPr>
          <w:noProof/>
        </w:rPr>
        <w:t>Az intézkedés végrehajtását 2026. augusztus 31-ig be kell fejezni.</w:t>
      </w:r>
    </w:p>
    <w:p w14:paraId="5E053EF4" w14:textId="3F4660FC" w:rsidR="003E1D81" w:rsidRDefault="00EB481C">
      <w:pPr>
        <w:pStyle w:val="P68B1DB1-Normal5"/>
        <w:spacing w:before="120" w:after="120" w:line="240" w:lineRule="auto"/>
        <w:ind w:left="709"/>
        <w:jc w:val="both"/>
        <w:rPr>
          <w:rFonts w:cs="Times New Roman"/>
          <w:noProof/>
        </w:rPr>
      </w:pPr>
      <w:r>
        <w:rPr>
          <w:noProof/>
        </w:rPr>
        <w:t xml:space="preserve">V.4. </w:t>
      </w:r>
      <w:r>
        <w:rPr>
          <w:noProof/>
        </w:rPr>
        <w:tab/>
        <w:t>A hiteltámogatás nyomon követésének és végrehajtásának mérföldkövei, céljai, mutatói és ütemterve</w:t>
      </w:r>
    </w:p>
    <w:p w14:paraId="0A4CEC96" w14:textId="0A0385A2"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Az alapforgatókönyv valamennyi mutató esetében</w:t>
      </w:r>
      <w:r>
        <w:rPr>
          <w:i/>
          <w:noProof/>
        </w:rPr>
        <w:t xml:space="preserve"> 2020. február 1-je, kivéve, ha az intézkedés leírása másként jelzi.</w:t>
      </w:r>
    </w:p>
    <w:p w14:paraId="7DAC8207" w14:textId="77777777" w:rsidR="003E1D81" w:rsidRDefault="003E1D81">
      <w:pPr>
        <w:spacing w:line="240" w:lineRule="auto"/>
        <w:jc w:val="both"/>
        <w:rPr>
          <w:rFonts w:ascii="Times New Roman" w:eastAsia="Times New Roman" w:hAnsi="Times New Roman" w:cs="Times New Roman"/>
          <w:noProof/>
          <w:sz w:val="24"/>
        </w:rPr>
      </w:pPr>
    </w:p>
    <w:p w14:paraId="0A7FA34A" w14:textId="77777777" w:rsidR="003E1D81" w:rsidRDefault="003E1D81">
      <w:pPr>
        <w:spacing w:line="240" w:lineRule="auto"/>
        <w:jc w:val="both"/>
        <w:rPr>
          <w:rFonts w:ascii="Times New Roman" w:eastAsia="Times New Roman" w:hAnsi="Times New Roman" w:cs="Times New Roman"/>
          <w:noProof/>
          <w:sz w:val="24"/>
        </w:rPr>
      </w:pPr>
    </w:p>
    <w:p w14:paraId="5DA8070D" w14:textId="77777777" w:rsidR="003E1D81" w:rsidRDefault="003E1D81">
      <w:pPr>
        <w:jc w:val="both"/>
        <w:rPr>
          <w:rFonts w:ascii="Times New Roman" w:eastAsiaTheme="minorEastAsia" w:hAnsi="Times New Roman" w:cs="Times New Roman"/>
          <w:noProof/>
          <w:sz w:val="24"/>
        </w:rPr>
        <w:sectPr w:rsidR="003E1D81" w:rsidSect="00C94F66">
          <w:headerReference w:type="even" r:id="rId435"/>
          <w:headerReference w:type="default" r:id="rId436"/>
          <w:footerReference w:type="even" r:id="rId437"/>
          <w:footerReference w:type="default" r:id="rId438"/>
          <w:headerReference w:type="first" r:id="rId439"/>
          <w:footerReference w:type="first" r:id="rId440"/>
          <w:pgSz w:w="11907" w:h="16839"/>
          <w:pgMar w:top="1134" w:right="1417" w:bottom="1134" w:left="1417" w:header="709" w:footer="709" w:gutter="0"/>
          <w:cols w:space="720"/>
          <w:docGrid w:linePitch="360"/>
        </w:sectPr>
      </w:pPr>
    </w:p>
    <w:p w14:paraId="12236E45" w14:textId="77777777" w:rsidR="003E1D81" w:rsidRDefault="003E1D81">
      <w:pPr>
        <w:rPr>
          <w:rFonts w:ascii="Times New Roman" w:hAnsi="Times New Roman" w:cs="Times New Roman"/>
          <w:noProof/>
        </w:rPr>
      </w:pPr>
    </w:p>
    <w:tbl>
      <w:tblPr>
        <w:tblpPr w:leftFromText="141" w:rightFromText="141" w:vertAnchor="text" w:horzAnchor="margin" w:tblpY="507"/>
        <w:tblW w:w="14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4A0" w:firstRow="1" w:lastRow="0" w:firstColumn="1" w:lastColumn="0" w:noHBand="0" w:noVBand="1"/>
      </w:tblPr>
      <w:tblGrid>
        <w:gridCol w:w="518"/>
        <w:gridCol w:w="918"/>
        <w:gridCol w:w="918"/>
        <w:gridCol w:w="1738"/>
        <w:gridCol w:w="1560"/>
        <w:gridCol w:w="638"/>
        <w:gridCol w:w="868"/>
        <w:gridCol w:w="850"/>
        <w:gridCol w:w="1078"/>
        <w:gridCol w:w="709"/>
        <w:gridCol w:w="5953"/>
      </w:tblGrid>
      <w:tr w:rsidR="003E1D81" w14:paraId="2C8BFD81" w14:textId="77777777">
        <w:trPr>
          <w:trHeight w:val="524"/>
        </w:trPr>
        <w:tc>
          <w:tcPr>
            <w:tcW w:w="850" w:type="dxa"/>
            <w:vMerge w:val="restart"/>
            <w:shd w:val="clear" w:color="auto" w:fill="C6D9F1" w:themeFill="text2" w:themeFillTint="33"/>
            <w:vAlign w:val="center"/>
          </w:tcPr>
          <w:p w14:paraId="3B8DBAD9" w14:textId="5CFB30F8" w:rsidR="003E1D81" w:rsidRDefault="00EB481C">
            <w:pPr>
              <w:pStyle w:val="P68B1DB1-Normal12"/>
              <w:spacing w:after="0" w:line="240" w:lineRule="auto"/>
              <w:jc w:val="center"/>
              <w:rPr>
                <w:rFonts w:cs="Times New Roman"/>
                <w:noProof/>
              </w:rPr>
            </w:pPr>
            <w:r>
              <w:rPr>
                <w:noProof/>
              </w:rPr>
              <w:t>Szám</w:t>
            </w:r>
          </w:p>
        </w:tc>
        <w:tc>
          <w:tcPr>
            <w:tcW w:w="850" w:type="dxa"/>
            <w:vMerge w:val="restart"/>
            <w:shd w:val="clear" w:color="auto" w:fill="C6D9F1" w:themeFill="text2" w:themeFillTint="33"/>
            <w:vAlign w:val="center"/>
            <w:hideMark/>
          </w:tcPr>
          <w:p w14:paraId="2E1D7C96" w14:textId="77777777" w:rsidR="003E1D81" w:rsidRDefault="00EB481C">
            <w:pPr>
              <w:pStyle w:val="P68B1DB1-Normal12"/>
              <w:spacing w:after="0" w:line="240" w:lineRule="auto"/>
              <w:jc w:val="center"/>
              <w:rPr>
                <w:rFonts w:cs="Times New Roman"/>
                <w:noProof/>
              </w:rPr>
            </w:pPr>
            <w:r>
              <w:rPr>
                <w:noProof/>
              </w:rPr>
              <w:t xml:space="preserve">Intézkedés </w:t>
            </w:r>
          </w:p>
          <w:p w14:paraId="5500F1CE" w14:textId="3C415CA9" w:rsidR="003E1D81" w:rsidRDefault="00EB481C">
            <w:pPr>
              <w:pStyle w:val="P68B1DB1-Normal12"/>
              <w:spacing w:after="0" w:line="240" w:lineRule="auto"/>
              <w:jc w:val="center"/>
              <w:rPr>
                <w:rFonts w:cs="Times New Roman"/>
                <w:noProof/>
              </w:rPr>
            </w:pPr>
            <w:r>
              <w:rPr>
                <w:noProof/>
              </w:rPr>
              <w:t> </w:t>
            </w:r>
          </w:p>
        </w:tc>
        <w:tc>
          <w:tcPr>
            <w:tcW w:w="851" w:type="dxa"/>
            <w:vMerge w:val="restart"/>
            <w:shd w:val="clear" w:color="auto" w:fill="C6D9F1" w:themeFill="text2" w:themeFillTint="33"/>
            <w:vAlign w:val="center"/>
            <w:hideMark/>
          </w:tcPr>
          <w:p w14:paraId="20495EDA" w14:textId="77777777" w:rsidR="003E1D81" w:rsidRDefault="00EB481C">
            <w:pPr>
              <w:pStyle w:val="P68B1DB1-Normal12"/>
              <w:spacing w:after="0" w:line="240" w:lineRule="auto"/>
              <w:jc w:val="center"/>
              <w:rPr>
                <w:rFonts w:cs="Times New Roman"/>
                <w:noProof/>
              </w:rPr>
            </w:pPr>
            <w:r>
              <w:rPr>
                <w:noProof/>
              </w:rPr>
              <w:t>Mérföldkő</w:t>
            </w:r>
          </w:p>
          <w:p w14:paraId="3B22CAB3" w14:textId="77777777" w:rsidR="003E1D81" w:rsidRDefault="00EB481C">
            <w:pPr>
              <w:pStyle w:val="P68B1DB1-Normal12"/>
              <w:spacing w:after="0" w:line="240" w:lineRule="auto"/>
              <w:jc w:val="center"/>
              <w:rPr>
                <w:rFonts w:cs="Times New Roman"/>
                <w:noProof/>
              </w:rPr>
            </w:pPr>
            <w:r>
              <w:rPr>
                <w:noProof/>
              </w:rPr>
              <w:t>/Cél</w:t>
            </w:r>
          </w:p>
          <w:p w14:paraId="39C8A411" w14:textId="40C6FF22" w:rsidR="003E1D81" w:rsidRDefault="00EB481C">
            <w:pPr>
              <w:pStyle w:val="P68B1DB1-Normal12"/>
              <w:spacing w:after="0" w:line="240" w:lineRule="auto"/>
              <w:jc w:val="center"/>
              <w:rPr>
                <w:rFonts w:cs="Times New Roman"/>
                <w:noProof/>
              </w:rPr>
            </w:pPr>
            <w:r>
              <w:rPr>
                <w:noProof/>
              </w:rPr>
              <w:t> </w:t>
            </w:r>
          </w:p>
        </w:tc>
        <w:tc>
          <w:tcPr>
            <w:tcW w:w="1417" w:type="dxa"/>
            <w:vMerge w:val="restart"/>
            <w:shd w:val="clear" w:color="auto" w:fill="C6D9F1" w:themeFill="text2" w:themeFillTint="33"/>
            <w:vAlign w:val="center"/>
            <w:hideMark/>
          </w:tcPr>
          <w:p w14:paraId="51B81471" w14:textId="77777777" w:rsidR="003E1D81" w:rsidRDefault="00EB481C">
            <w:pPr>
              <w:pStyle w:val="P68B1DB1-Normal12"/>
              <w:spacing w:after="0" w:line="240" w:lineRule="auto"/>
              <w:jc w:val="center"/>
              <w:rPr>
                <w:rFonts w:cs="Times New Roman"/>
                <w:noProof/>
              </w:rPr>
            </w:pPr>
            <w:r>
              <w:rPr>
                <w:noProof/>
              </w:rPr>
              <w:t>Név</w:t>
            </w:r>
          </w:p>
          <w:p w14:paraId="614AF5F8" w14:textId="1DF51E80" w:rsidR="003E1D81" w:rsidRDefault="00EB481C">
            <w:pPr>
              <w:pStyle w:val="P68B1DB1-Normal12"/>
              <w:spacing w:after="0" w:line="240" w:lineRule="auto"/>
              <w:jc w:val="center"/>
              <w:rPr>
                <w:rFonts w:cs="Times New Roman"/>
                <w:noProof/>
              </w:rPr>
            </w:pPr>
            <w:r>
              <w:rPr>
                <w:noProof/>
              </w:rPr>
              <w:t> </w:t>
            </w:r>
          </w:p>
        </w:tc>
        <w:tc>
          <w:tcPr>
            <w:tcW w:w="1560" w:type="dxa"/>
            <w:vMerge w:val="restart"/>
            <w:shd w:val="clear" w:color="auto" w:fill="C6D9F1" w:themeFill="text2" w:themeFillTint="33"/>
            <w:vAlign w:val="center"/>
            <w:hideMark/>
          </w:tcPr>
          <w:p w14:paraId="1ACE322D" w14:textId="77777777" w:rsidR="003E1D81" w:rsidRDefault="00EB481C">
            <w:pPr>
              <w:pStyle w:val="P68B1DB1-Normal12"/>
              <w:spacing w:after="0" w:line="240" w:lineRule="auto"/>
              <w:jc w:val="center"/>
              <w:rPr>
                <w:rFonts w:cs="Times New Roman"/>
                <w:noProof/>
              </w:rPr>
            </w:pPr>
            <w:r>
              <w:rPr>
                <w:noProof/>
              </w:rPr>
              <w:t xml:space="preserve">Minőségi mutatók (a mérföldkövekhez) </w:t>
            </w:r>
          </w:p>
          <w:p w14:paraId="13CB041D" w14:textId="7367A5A3" w:rsidR="003E1D81" w:rsidRDefault="00EB481C">
            <w:pPr>
              <w:pStyle w:val="P68B1DB1-Normal12"/>
              <w:spacing w:after="0" w:line="240" w:lineRule="auto"/>
              <w:jc w:val="center"/>
              <w:rPr>
                <w:rFonts w:cs="Times New Roman"/>
                <w:noProof/>
              </w:rPr>
            </w:pPr>
            <w:r>
              <w:rPr>
                <w:noProof/>
              </w:rPr>
              <w:t> </w:t>
            </w:r>
          </w:p>
        </w:tc>
        <w:tc>
          <w:tcPr>
            <w:tcW w:w="1984" w:type="dxa"/>
            <w:gridSpan w:val="3"/>
            <w:shd w:val="clear" w:color="auto" w:fill="C6D9F1" w:themeFill="text2" w:themeFillTint="33"/>
            <w:vAlign w:val="center"/>
            <w:hideMark/>
          </w:tcPr>
          <w:p w14:paraId="6E6977EB" w14:textId="4486EAF7" w:rsidR="003E1D81" w:rsidRDefault="00EB481C">
            <w:pPr>
              <w:pStyle w:val="P68B1DB1-Normal12"/>
              <w:spacing w:after="0" w:line="240" w:lineRule="auto"/>
              <w:jc w:val="center"/>
              <w:rPr>
                <w:rFonts w:cs="Times New Roman"/>
                <w:noProof/>
              </w:rPr>
            </w:pPr>
            <w:r>
              <w:rPr>
                <w:noProof/>
              </w:rPr>
              <w:t xml:space="preserve">Mennyiségi mutatók (a célértékre vonatkozóan) </w:t>
            </w:r>
          </w:p>
        </w:tc>
        <w:tc>
          <w:tcPr>
            <w:tcW w:w="1276" w:type="dxa"/>
            <w:gridSpan w:val="2"/>
            <w:shd w:val="clear" w:color="auto" w:fill="C6D9F1" w:themeFill="text2" w:themeFillTint="33"/>
            <w:vAlign w:val="center"/>
            <w:hideMark/>
          </w:tcPr>
          <w:p w14:paraId="5F2A52BA" w14:textId="77777777" w:rsidR="003E1D81" w:rsidRDefault="00EB481C">
            <w:pPr>
              <w:pStyle w:val="P68B1DB1-Normal12"/>
              <w:spacing w:after="0" w:line="240" w:lineRule="auto"/>
              <w:jc w:val="center"/>
              <w:rPr>
                <w:rFonts w:cs="Times New Roman"/>
                <w:noProof/>
              </w:rPr>
            </w:pPr>
            <w:r>
              <w:rPr>
                <w:noProof/>
              </w:rPr>
              <w:t xml:space="preserve">Idő </w:t>
            </w:r>
          </w:p>
        </w:tc>
        <w:tc>
          <w:tcPr>
            <w:tcW w:w="5953" w:type="dxa"/>
            <w:vMerge w:val="restart"/>
            <w:shd w:val="clear" w:color="auto" w:fill="C6D9F1" w:themeFill="text2" w:themeFillTint="33"/>
            <w:vAlign w:val="center"/>
            <w:hideMark/>
          </w:tcPr>
          <w:p w14:paraId="7416F018" w14:textId="77777777" w:rsidR="003E1D81" w:rsidRDefault="00EB481C">
            <w:pPr>
              <w:pStyle w:val="P68B1DB1-Normal12"/>
              <w:spacing w:after="0" w:line="240" w:lineRule="auto"/>
              <w:jc w:val="center"/>
              <w:rPr>
                <w:rFonts w:cs="Times New Roman"/>
                <w:noProof/>
              </w:rPr>
            </w:pPr>
            <w:r>
              <w:rPr>
                <w:noProof/>
              </w:rPr>
              <w:t xml:space="preserve">Az egyes mérföldkövek és célkitűzések leírása </w:t>
            </w:r>
          </w:p>
          <w:p w14:paraId="75B49A2F" w14:textId="2F05C254" w:rsidR="003E1D81" w:rsidRDefault="00EB481C">
            <w:pPr>
              <w:pStyle w:val="P68B1DB1-Normal12"/>
              <w:spacing w:after="0" w:line="240" w:lineRule="auto"/>
              <w:jc w:val="center"/>
              <w:rPr>
                <w:rFonts w:cs="Times New Roman"/>
                <w:noProof/>
              </w:rPr>
            </w:pPr>
            <w:r>
              <w:rPr>
                <w:noProof/>
              </w:rPr>
              <w:t> </w:t>
            </w:r>
          </w:p>
        </w:tc>
      </w:tr>
      <w:tr w:rsidR="003E1D81" w14:paraId="17E2B9AE" w14:textId="77777777">
        <w:trPr>
          <w:trHeight w:val="387"/>
        </w:trPr>
        <w:tc>
          <w:tcPr>
            <w:tcW w:w="850" w:type="dxa"/>
            <w:vMerge/>
            <w:shd w:val="clear" w:color="auto" w:fill="C6D9F1" w:themeFill="text2" w:themeFillTint="33"/>
          </w:tcPr>
          <w:p w14:paraId="67834127" w14:textId="77777777" w:rsidR="003E1D81" w:rsidRDefault="003E1D81">
            <w:pPr>
              <w:spacing w:after="0" w:line="240" w:lineRule="auto"/>
              <w:jc w:val="center"/>
              <w:rPr>
                <w:rFonts w:ascii="Times New Roman" w:hAnsi="Times New Roman" w:cs="Times New Roman"/>
                <w:b/>
                <w:noProof/>
                <w:sz w:val="18"/>
              </w:rPr>
            </w:pPr>
          </w:p>
        </w:tc>
        <w:tc>
          <w:tcPr>
            <w:tcW w:w="850" w:type="dxa"/>
            <w:vMerge/>
            <w:shd w:val="clear" w:color="auto" w:fill="C6D9F1" w:themeFill="text2" w:themeFillTint="33"/>
            <w:noWrap/>
            <w:vAlign w:val="bottom"/>
            <w:hideMark/>
          </w:tcPr>
          <w:p w14:paraId="4F8DD208" w14:textId="501E1BCE" w:rsidR="003E1D81" w:rsidRDefault="003E1D81">
            <w:pPr>
              <w:spacing w:after="0" w:line="240" w:lineRule="auto"/>
              <w:jc w:val="center"/>
              <w:rPr>
                <w:rFonts w:ascii="Times New Roman" w:hAnsi="Times New Roman" w:cs="Times New Roman"/>
                <w:b/>
                <w:noProof/>
                <w:sz w:val="18"/>
              </w:rPr>
            </w:pPr>
          </w:p>
        </w:tc>
        <w:tc>
          <w:tcPr>
            <w:tcW w:w="851" w:type="dxa"/>
            <w:vMerge/>
            <w:shd w:val="clear" w:color="auto" w:fill="C6D9F1" w:themeFill="text2" w:themeFillTint="33"/>
            <w:noWrap/>
            <w:vAlign w:val="bottom"/>
            <w:hideMark/>
          </w:tcPr>
          <w:p w14:paraId="0EBF6A61" w14:textId="4BBD6043" w:rsidR="003E1D81" w:rsidRDefault="003E1D81">
            <w:pPr>
              <w:spacing w:after="0" w:line="240" w:lineRule="auto"/>
              <w:jc w:val="center"/>
              <w:rPr>
                <w:rFonts w:ascii="Times New Roman" w:hAnsi="Times New Roman" w:cs="Times New Roman"/>
                <w:b/>
                <w:noProof/>
                <w:sz w:val="18"/>
              </w:rPr>
            </w:pPr>
          </w:p>
        </w:tc>
        <w:tc>
          <w:tcPr>
            <w:tcW w:w="1417" w:type="dxa"/>
            <w:vMerge/>
            <w:shd w:val="clear" w:color="auto" w:fill="C6D9F1" w:themeFill="text2" w:themeFillTint="33"/>
            <w:noWrap/>
            <w:vAlign w:val="bottom"/>
            <w:hideMark/>
          </w:tcPr>
          <w:p w14:paraId="6060CD2C" w14:textId="532BC882" w:rsidR="003E1D81" w:rsidRDefault="003E1D81">
            <w:pPr>
              <w:spacing w:after="0" w:line="240" w:lineRule="auto"/>
              <w:jc w:val="center"/>
              <w:rPr>
                <w:rFonts w:ascii="Times New Roman" w:hAnsi="Times New Roman" w:cs="Times New Roman"/>
                <w:b/>
                <w:noProof/>
                <w:sz w:val="18"/>
              </w:rPr>
            </w:pPr>
          </w:p>
        </w:tc>
        <w:tc>
          <w:tcPr>
            <w:tcW w:w="1560" w:type="dxa"/>
            <w:vMerge/>
            <w:shd w:val="clear" w:color="auto" w:fill="C6D9F1" w:themeFill="text2" w:themeFillTint="33"/>
            <w:noWrap/>
            <w:vAlign w:val="bottom"/>
            <w:hideMark/>
          </w:tcPr>
          <w:p w14:paraId="7CAC0B30" w14:textId="5651CA64" w:rsidR="003E1D81" w:rsidRDefault="003E1D81">
            <w:pPr>
              <w:spacing w:after="0" w:line="240" w:lineRule="auto"/>
              <w:jc w:val="center"/>
              <w:rPr>
                <w:rFonts w:ascii="Times New Roman" w:hAnsi="Times New Roman" w:cs="Times New Roman"/>
                <w:b/>
                <w:noProof/>
                <w:sz w:val="18"/>
              </w:rPr>
            </w:pPr>
          </w:p>
        </w:tc>
        <w:tc>
          <w:tcPr>
            <w:tcW w:w="567" w:type="dxa"/>
            <w:shd w:val="clear" w:color="auto" w:fill="C6D9F1" w:themeFill="text2" w:themeFillTint="33"/>
            <w:vAlign w:val="center"/>
            <w:hideMark/>
          </w:tcPr>
          <w:p w14:paraId="6F363A74" w14:textId="77777777" w:rsidR="003E1D81" w:rsidRDefault="00EB481C">
            <w:pPr>
              <w:pStyle w:val="P68B1DB1-Normal12"/>
              <w:spacing w:after="0" w:line="240" w:lineRule="auto"/>
              <w:jc w:val="center"/>
              <w:rPr>
                <w:rFonts w:cs="Times New Roman"/>
                <w:noProof/>
              </w:rPr>
            </w:pPr>
            <w:r>
              <w:rPr>
                <w:noProof/>
              </w:rPr>
              <w:t>Egység</w:t>
            </w:r>
          </w:p>
        </w:tc>
        <w:tc>
          <w:tcPr>
            <w:tcW w:w="567" w:type="dxa"/>
            <w:shd w:val="clear" w:color="auto" w:fill="C6D9F1" w:themeFill="text2" w:themeFillTint="33"/>
            <w:vAlign w:val="center"/>
            <w:hideMark/>
          </w:tcPr>
          <w:p w14:paraId="0E6D6476" w14:textId="1DDEACE6" w:rsidR="003E1D81" w:rsidRDefault="00EB481C">
            <w:pPr>
              <w:pStyle w:val="P68B1DB1-Normal12"/>
              <w:spacing w:after="0" w:line="240" w:lineRule="auto"/>
              <w:jc w:val="center"/>
              <w:rPr>
                <w:rFonts w:cs="Times New Roman"/>
                <w:noProof/>
              </w:rPr>
            </w:pPr>
            <w:r>
              <w:rPr>
                <w:noProof/>
              </w:rPr>
              <w:t>Alapérték</w:t>
            </w:r>
          </w:p>
        </w:tc>
        <w:tc>
          <w:tcPr>
            <w:tcW w:w="850" w:type="dxa"/>
            <w:shd w:val="clear" w:color="auto" w:fill="C6D9F1" w:themeFill="text2" w:themeFillTint="33"/>
            <w:vAlign w:val="center"/>
            <w:hideMark/>
          </w:tcPr>
          <w:p w14:paraId="15B3C123" w14:textId="77777777" w:rsidR="003E1D81" w:rsidRDefault="00EB481C">
            <w:pPr>
              <w:pStyle w:val="P68B1DB1-Normal12"/>
              <w:spacing w:after="0" w:line="240" w:lineRule="auto"/>
              <w:jc w:val="center"/>
              <w:rPr>
                <w:rFonts w:cs="Times New Roman"/>
                <w:noProof/>
              </w:rPr>
            </w:pPr>
            <w:r>
              <w:rPr>
                <w:noProof/>
              </w:rPr>
              <w:t>Cél</w:t>
            </w:r>
          </w:p>
        </w:tc>
        <w:tc>
          <w:tcPr>
            <w:tcW w:w="567" w:type="dxa"/>
            <w:shd w:val="clear" w:color="auto" w:fill="C6D9F1" w:themeFill="text2" w:themeFillTint="33"/>
            <w:vAlign w:val="center"/>
            <w:hideMark/>
          </w:tcPr>
          <w:p w14:paraId="2C050D05" w14:textId="77777777" w:rsidR="003E1D81" w:rsidRDefault="00EB481C">
            <w:pPr>
              <w:pStyle w:val="P68B1DB1-Normal12"/>
              <w:spacing w:after="0" w:line="240" w:lineRule="auto"/>
              <w:jc w:val="center"/>
              <w:rPr>
                <w:rFonts w:cs="Times New Roman"/>
                <w:noProof/>
              </w:rPr>
            </w:pPr>
            <w:r>
              <w:rPr>
                <w:noProof/>
              </w:rPr>
              <w:t>Q</w:t>
            </w:r>
          </w:p>
        </w:tc>
        <w:tc>
          <w:tcPr>
            <w:tcW w:w="709" w:type="dxa"/>
            <w:shd w:val="clear" w:color="auto" w:fill="C6D9F1" w:themeFill="text2" w:themeFillTint="33"/>
            <w:vAlign w:val="center"/>
            <w:hideMark/>
          </w:tcPr>
          <w:p w14:paraId="58D14039" w14:textId="77777777" w:rsidR="003E1D81" w:rsidRDefault="00EB481C">
            <w:pPr>
              <w:pStyle w:val="P68B1DB1-Normal12"/>
              <w:spacing w:after="0" w:line="240" w:lineRule="auto"/>
              <w:jc w:val="center"/>
              <w:rPr>
                <w:rFonts w:cs="Times New Roman"/>
                <w:noProof/>
              </w:rPr>
            </w:pPr>
            <w:r>
              <w:rPr>
                <w:noProof/>
              </w:rPr>
              <w:t>Éve</w:t>
            </w:r>
          </w:p>
        </w:tc>
        <w:tc>
          <w:tcPr>
            <w:tcW w:w="5953" w:type="dxa"/>
            <w:vMerge/>
            <w:shd w:val="clear" w:color="auto" w:fill="C6D9F1" w:themeFill="text2" w:themeFillTint="33"/>
            <w:noWrap/>
            <w:vAlign w:val="bottom"/>
            <w:hideMark/>
          </w:tcPr>
          <w:p w14:paraId="6E99A884" w14:textId="79EC2A12" w:rsidR="003E1D81" w:rsidRDefault="003E1D81">
            <w:pPr>
              <w:spacing w:after="0" w:line="240" w:lineRule="auto"/>
              <w:jc w:val="center"/>
              <w:rPr>
                <w:rFonts w:ascii="Times New Roman" w:hAnsi="Times New Roman" w:cs="Times New Roman"/>
                <w:b/>
                <w:noProof/>
                <w:sz w:val="18"/>
              </w:rPr>
            </w:pPr>
          </w:p>
        </w:tc>
      </w:tr>
      <w:tr w:rsidR="003E1D81" w14:paraId="034BC744" w14:textId="77777777">
        <w:trPr>
          <w:trHeight w:val="284"/>
        </w:trPr>
        <w:tc>
          <w:tcPr>
            <w:tcW w:w="850" w:type="dxa"/>
            <w:shd w:val="clear" w:color="auto" w:fill="C6EFCE"/>
            <w:vAlign w:val="center"/>
          </w:tcPr>
          <w:p w14:paraId="0FF1B3D3" w14:textId="79E9E935" w:rsidR="003E1D81" w:rsidRDefault="00EB481C">
            <w:pPr>
              <w:pStyle w:val="P68B1DB1-Normal13"/>
              <w:spacing w:line="240" w:lineRule="auto"/>
              <w:jc w:val="center"/>
              <w:rPr>
                <w:rFonts w:cs="Times New Roman"/>
                <w:noProof/>
              </w:rPr>
            </w:pPr>
            <w:r>
              <w:rPr>
                <w:noProof/>
              </w:rPr>
              <w:t>L71</w:t>
            </w:r>
          </w:p>
        </w:tc>
        <w:tc>
          <w:tcPr>
            <w:tcW w:w="850" w:type="dxa"/>
            <w:shd w:val="clear" w:color="auto" w:fill="C6EFCE"/>
            <w:noWrap/>
            <w:vAlign w:val="center"/>
            <w:hideMark/>
          </w:tcPr>
          <w:p w14:paraId="65EE4CF3" w14:textId="06F0DE26" w:rsidR="003E1D81" w:rsidRDefault="00EB481C">
            <w:pPr>
              <w:pStyle w:val="P68B1DB1-Normal13"/>
              <w:spacing w:line="240" w:lineRule="auto"/>
              <w:jc w:val="center"/>
              <w:rPr>
                <w:rFonts w:cs="Times New Roman"/>
                <w:noProof/>
              </w:rPr>
            </w:pPr>
            <w:r>
              <w:rPr>
                <w:noProof/>
              </w:rPr>
              <w:t>C22.R6</w:t>
            </w:r>
          </w:p>
        </w:tc>
        <w:tc>
          <w:tcPr>
            <w:tcW w:w="851" w:type="dxa"/>
            <w:shd w:val="clear" w:color="auto" w:fill="C6EFCE"/>
            <w:noWrap/>
            <w:vAlign w:val="center"/>
            <w:hideMark/>
          </w:tcPr>
          <w:p w14:paraId="020AF999" w14:textId="77777777" w:rsidR="003E1D81" w:rsidRDefault="00EB481C">
            <w:pPr>
              <w:pStyle w:val="P68B1DB1-Normal13"/>
              <w:spacing w:line="240" w:lineRule="auto"/>
              <w:jc w:val="center"/>
              <w:rPr>
                <w:rFonts w:cs="Times New Roman"/>
                <w:noProof/>
              </w:rPr>
            </w:pPr>
            <w:r>
              <w:rPr>
                <w:noProof/>
              </w:rPr>
              <w:t>M</w:t>
            </w:r>
          </w:p>
        </w:tc>
        <w:tc>
          <w:tcPr>
            <w:tcW w:w="1417" w:type="dxa"/>
            <w:shd w:val="clear" w:color="auto" w:fill="C6EFCE"/>
            <w:noWrap/>
            <w:vAlign w:val="center"/>
            <w:hideMark/>
          </w:tcPr>
          <w:p w14:paraId="7A160499" w14:textId="77777777" w:rsidR="003E1D81" w:rsidRDefault="00EB481C">
            <w:pPr>
              <w:pStyle w:val="P68B1DB1-Normal13"/>
              <w:spacing w:after="0" w:line="240" w:lineRule="auto"/>
              <w:rPr>
                <w:rFonts w:cs="Times New Roman"/>
                <w:noProof/>
              </w:rPr>
            </w:pPr>
            <w:r>
              <w:rPr>
                <w:noProof/>
              </w:rPr>
              <w:t>A vonatkozó jogszabály hatálybalépése</w:t>
            </w:r>
          </w:p>
        </w:tc>
        <w:tc>
          <w:tcPr>
            <w:tcW w:w="1560" w:type="dxa"/>
            <w:shd w:val="clear" w:color="auto" w:fill="C6EFCE"/>
            <w:noWrap/>
            <w:vAlign w:val="center"/>
          </w:tcPr>
          <w:p w14:paraId="39BB4D42" w14:textId="77777777" w:rsidR="003E1D81" w:rsidRDefault="00EB481C">
            <w:pPr>
              <w:pStyle w:val="P68B1DB1-Normal13"/>
              <w:spacing w:after="0" w:line="240" w:lineRule="auto"/>
              <w:rPr>
                <w:rFonts w:cs="Times New Roman"/>
                <w:noProof/>
              </w:rPr>
            </w:pPr>
            <w:r>
              <w:rPr>
                <w:noProof/>
              </w:rPr>
              <w:t>A jogszabály hatálybalépését előíró jogszabályi rendelkezés</w:t>
            </w:r>
          </w:p>
        </w:tc>
        <w:tc>
          <w:tcPr>
            <w:tcW w:w="567" w:type="dxa"/>
            <w:shd w:val="clear" w:color="auto" w:fill="C6EFCE"/>
            <w:noWrap/>
            <w:vAlign w:val="center"/>
            <w:hideMark/>
          </w:tcPr>
          <w:p w14:paraId="618FA821" w14:textId="77777777" w:rsidR="003E1D81" w:rsidRDefault="00EB481C">
            <w:pPr>
              <w:pStyle w:val="P68B1DB1-Normal13"/>
              <w:spacing w:after="0" w:line="240" w:lineRule="auto"/>
              <w:rPr>
                <w:rFonts w:cs="Times New Roman"/>
                <w:noProof/>
              </w:rPr>
            </w:pPr>
            <w:r>
              <w:rPr>
                <w:noProof/>
              </w:rPr>
              <w:t> </w:t>
            </w:r>
          </w:p>
        </w:tc>
        <w:tc>
          <w:tcPr>
            <w:tcW w:w="567" w:type="dxa"/>
            <w:shd w:val="clear" w:color="auto" w:fill="C6EFCE"/>
            <w:noWrap/>
            <w:vAlign w:val="center"/>
            <w:hideMark/>
          </w:tcPr>
          <w:p w14:paraId="5F31DAF2" w14:textId="69E958AE" w:rsidR="003E1D81" w:rsidRDefault="003E1D81">
            <w:pPr>
              <w:spacing w:after="0" w:line="240" w:lineRule="auto"/>
              <w:ind w:left="-483" w:right="383"/>
              <w:jc w:val="center"/>
              <w:rPr>
                <w:rFonts w:ascii="Times New Roman" w:hAnsi="Times New Roman" w:cs="Times New Roman"/>
                <w:noProof/>
                <w:sz w:val="18"/>
              </w:rPr>
            </w:pPr>
          </w:p>
        </w:tc>
        <w:tc>
          <w:tcPr>
            <w:tcW w:w="850" w:type="dxa"/>
            <w:shd w:val="clear" w:color="auto" w:fill="C6EFCE"/>
            <w:noWrap/>
            <w:vAlign w:val="center"/>
            <w:hideMark/>
          </w:tcPr>
          <w:p w14:paraId="16A95168" w14:textId="37FC069E" w:rsidR="003E1D81" w:rsidRDefault="003E1D81">
            <w:pPr>
              <w:spacing w:after="0" w:line="240" w:lineRule="auto"/>
              <w:jc w:val="center"/>
              <w:rPr>
                <w:rFonts w:ascii="Times New Roman" w:hAnsi="Times New Roman" w:cs="Times New Roman"/>
                <w:noProof/>
                <w:sz w:val="18"/>
              </w:rPr>
            </w:pPr>
          </w:p>
        </w:tc>
        <w:tc>
          <w:tcPr>
            <w:tcW w:w="567" w:type="dxa"/>
            <w:shd w:val="clear" w:color="auto" w:fill="C6EFCE"/>
            <w:noWrap/>
            <w:vAlign w:val="center"/>
            <w:hideMark/>
          </w:tcPr>
          <w:p w14:paraId="78A4ADF0" w14:textId="5A96BB75" w:rsidR="003E1D81" w:rsidRDefault="00EB481C">
            <w:pPr>
              <w:pStyle w:val="P68B1DB1-Normal13"/>
              <w:spacing w:after="0" w:line="240" w:lineRule="auto"/>
              <w:jc w:val="center"/>
              <w:rPr>
                <w:rFonts w:cs="Times New Roman"/>
                <w:noProof/>
              </w:rPr>
            </w:pPr>
            <w:r>
              <w:rPr>
                <w:noProof/>
              </w:rPr>
              <w:t>NEGYEDÉV</w:t>
            </w:r>
          </w:p>
        </w:tc>
        <w:tc>
          <w:tcPr>
            <w:tcW w:w="709" w:type="dxa"/>
            <w:shd w:val="clear" w:color="auto" w:fill="C6EFCE"/>
            <w:noWrap/>
            <w:vAlign w:val="center"/>
            <w:hideMark/>
          </w:tcPr>
          <w:p w14:paraId="60B1C200" w14:textId="77777777" w:rsidR="003E1D81" w:rsidRDefault="00EB481C">
            <w:pPr>
              <w:pStyle w:val="P68B1DB1-Normal13"/>
              <w:spacing w:after="0" w:line="240" w:lineRule="auto"/>
              <w:jc w:val="center"/>
              <w:rPr>
                <w:rFonts w:cs="Times New Roman"/>
                <w:noProof/>
              </w:rPr>
            </w:pPr>
            <w:r>
              <w:rPr>
                <w:noProof/>
              </w:rPr>
              <w:t>2025</w:t>
            </w:r>
          </w:p>
        </w:tc>
        <w:tc>
          <w:tcPr>
            <w:tcW w:w="5953" w:type="dxa"/>
            <w:shd w:val="clear" w:color="auto" w:fill="C6EFCE"/>
            <w:noWrap/>
            <w:vAlign w:val="center"/>
            <w:hideMark/>
          </w:tcPr>
          <w:p w14:paraId="38E9FAEA" w14:textId="3FD45C70" w:rsidR="003E1D81" w:rsidRDefault="00EB481C">
            <w:pPr>
              <w:pStyle w:val="P68B1DB1-Normal13"/>
              <w:spacing w:after="0" w:line="240" w:lineRule="auto"/>
              <w:rPr>
                <w:rFonts w:cs="Times New Roman"/>
                <w:noProof/>
              </w:rPr>
            </w:pPr>
            <w:r>
              <w:rPr>
                <w:noProof/>
              </w:rPr>
              <w:t>A fogyasztók és felhasználók társadalmi és gazdasági kiszolgáltatott helyzetekkel szembeni védelméről szóló vonatkozó jogszabályok hatálybalépése, különös tekintettel a következőkre: a fogyasztók és felhasználók társadalmi és gazdasági kiszol</w:t>
            </w:r>
            <w:r>
              <w:rPr>
                <w:noProof/>
              </w:rPr>
              <w:t>gáltatott helyzetekkel szembeni védelméről szóló 4/2022. sz. törvény; és a Braille-írással ellátott ábécé címkézésének és egyéb formátumainak szabályozásáról szóló királyi rendelet a különös jelentőséggel bíró áruk és fogyasztási cikkek egyetemes hozzáférh</w:t>
            </w:r>
            <w:r>
              <w:rPr>
                <w:noProof/>
              </w:rPr>
              <w:t>etőségének biztosítása érdekében.</w:t>
            </w:r>
          </w:p>
        </w:tc>
      </w:tr>
      <w:tr w:rsidR="003E1D81" w14:paraId="73C58FD5" w14:textId="77777777">
        <w:trPr>
          <w:trHeight w:val="284"/>
        </w:trPr>
        <w:tc>
          <w:tcPr>
            <w:tcW w:w="850" w:type="dxa"/>
            <w:shd w:val="clear" w:color="auto" w:fill="C6EFCE"/>
            <w:vAlign w:val="center"/>
          </w:tcPr>
          <w:p w14:paraId="2AC62E93" w14:textId="44C03A15" w:rsidR="003E1D81" w:rsidRDefault="00EB481C">
            <w:pPr>
              <w:pStyle w:val="P68B1DB1-Normal13"/>
              <w:spacing w:line="240" w:lineRule="auto"/>
              <w:jc w:val="center"/>
              <w:rPr>
                <w:rFonts w:cs="Times New Roman"/>
                <w:noProof/>
              </w:rPr>
            </w:pPr>
            <w:r>
              <w:rPr>
                <w:noProof/>
              </w:rPr>
              <w:t>L72</w:t>
            </w:r>
          </w:p>
        </w:tc>
        <w:tc>
          <w:tcPr>
            <w:tcW w:w="850" w:type="dxa"/>
            <w:shd w:val="clear" w:color="auto" w:fill="C6EFCE"/>
            <w:noWrap/>
            <w:vAlign w:val="center"/>
          </w:tcPr>
          <w:p w14:paraId="59DA870E" w14:textId="4DD4284E" w:rsidR="003E1D81" w:rsidRDefault="00EB481C">
            <w:pPr>
              <w:pStyle w:val="P68B1DB1-Normal13"/>
              <w:spacing w:line="240" w:lineRule="auto"/>
              <w:jc w:val="center"/>
              <w:rPr>
                <w:rFonts w:cs="Times New Roman"/>
                <w:noProof/>
              </w:rPr>
            </w:pPr>
            <w:r>
              <w:rPr>
                <w:noProof/>
              </w:rPr>
              <w:t>C22.I6</w:t>
            </w:r>
          </w:p>
        </w:tc>
        <w:tc>
          <w:tcPr>
            <w:tcW w:w="851" w:type="dxa"/>
            <w:shd w:val="clear" w:color="auto" w:fill="C6EFCE"/>
            <w:noWrap/>
            <w:vAlign w:val="center"/>
          </w:tcPr>
          <w:p w14:paraId="2F7C1705" w14:textId="77777777" w:rsidR="003E1D81" w:rsidRDefault="00EB481C">
            <w:pPr>
              <w:pStyle w:val="P68B1DB1-Normal13"/>
              <w:spacing w:line="240" w:lineRule="auto"/>
              <w:jc w:val="center"/>
              <w:rPr>
                <w:rFonts w:cs="Times New Roman"/>
                <w:noProof/>
              </w:rPr>
            </w:pPr>
            <w:r>
              <w:rPr>
                <w:noProof/>
              </w:rPr>
              <w:t>M</w:t>
            </w:r>
          </w:p>
        </w:tc>
        <w:tc>
          <w:tcPr>
            <w:tcW w:w="1417" w:type="dxa"/>
            <w:shd w:val="clear" w:color="auto" w:fill="C6EFCE"/>
            <w:noWrap/>
            <w:vAlign w:val="center"/>
          </w:tcPr>
          <w:p w14:paraId="468BD76F" w14:textId="19C75DB4" w:rsidR="003E1D81" w:rsidRDefault="00EB481C">
            <w:pPr>
              <w:pStyle w:val="P68B1DB1-Normal13"/>
              <w:spacing w:after="0" w:line="240" w:lineRule="auto"/>
              <w:rPr>
                <w:rFonts w:cs="Times New Roman"/>
                <w:noProof/>
              </w:rPr>
            </w:pPr>
            <w:r>
              <w:rPr>
                <w:noProof/>
              </w:rPr>
              <w:t>Szociális Hatásalap: Rendelet az eszköz létrehozásáról</w:t>
            </w:r>
          </w:p>
        </w:tc>
        <w:tc>
          <w:tcPr>
            <w:tcW w:w="1560" w:type="dxa"/>
            <w:shd w:val="clear" w:color="auto" w:fill="C6EFCE"/>
            <w:noWrap/>
            <w:vAlign w:val="center"/>
          </w:tcPr>
          <w:p w14:paraId="7DD49523" w14:textId="020229C4" w:rsidR="003E1D81" w:rsidRDefault="00EB481C">
            <w:pPr>
              <w:pStyle w:val="P68B1DB1-Normal13"/>
              <w:spacing w:after="0" w:line="240" w:lineRule="auto"/>
              <w:rPr>
                <w:rFonts w:cs="Times New Roman"/>
                <w:noProof/>
              </w:rPr>
            </w:pPr>
            <w:r>
              <w:rPr>
                <w:noProof/>
              </w:rPr>
              <w:t>Az eszköz létrehozásáról szóló rendelet hatálybalépése</w:t>
            </w:r>
          </w:p>
        </w:tc>
        <w:tc>
          <w:tcPr>
            <w:tcW w:w="567" w:type="dxa"/>
            <w:shd w:val="clear" w:color="auto" w:fill="C6EFCE"/>
            <w:noWrap/>
            <w:vAlign w:val="center"/>
          </w:tcPr>
          <w:p w14:paraId="5F6A5B6B" w14:textId="77777777" w:rsidR="003E1D81" w:rsidRDefault="003E1D81">
            <w:pPr>
              <w:spacing w:after="0" w:line="240" w:lineRule="auto"/>
              <w:rPr>
                <w:rFonts w:ascii="Times New Roman" w:hAnsi="Times New Roman" w:cs="Times New Roman"/>
                <w:noProof/>
                <w:sz w:val="18"/>
              </w:rPr>
            </w:pPr>
          </w:p>
        </w:tc>
        <w:tc>
          <w:tcPr>
            <w:tcW w:w="567" w:type="dxa"/>
            <w:shd w:val="clear" w:color="auto" w:fill="C6EFCE"/>
            <w:noWrap/>
            <w:vAlign w:val="center"/>
          </w:tcPr>
          <w:p w14:paraId="0E4213E1" w14:textId="777777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vAlign w:val="center"/>
          </w:tcPr>
          <w:p w14:paraId="180169D2" w14:textId="77777777" w:rsidR="003E1D81" w:rsidRDefault="003E1D81">
            <w:pPr>
              <w:spacing w:after="0" w:line="240" w:lineRule="auto"/>
              <w:jc w:val="center"/>
              <w:rPr>
                <w:rFonts w:ascii="Times New Roman" w:hAnsi="Times New Roman" w:cs="Times New Roman"/>
                <w:noProof/>
                <w:sz w:val="18"/>
              </w:rPr>
            </w:pPr>
          </w:p>
        </w:tc>
        <w:tc>
          <w:tcPr>
            <w:tcW w:w="567" w:type="dxa"/>
            <w:shd w:val="clear" w:color="auto" w:fill="C6EFCE"/>
            <w:noWrap/>
            <w:vAlign w:val="center"/>
          </w:tcPr>
          <w:p w14:paraId="094550EB" w14:textId="77777777" w:rsidR="003E1D81" w:rsidRDefault="00EB481C">
            <w:pPr>
              <w:pStyle w:val="P68B1DB1-Normal13"/>
              <w:spacing w:after="0" w:line="240" w:lineRule="auto"/>
              <w:jc w:val="center"/>
              <w:rPr>
                <w:rFonts w:cs="Times New Roman"/>
                <w:noProof/>
              </w:rPr>
            </w:pPr>
            <w:r>
              <w:rPr>
                <w:noProof/>
              </w:rPr>
              <w:t>NEGYEDÉV</w:t>
            </w:r>
          </w:p>
        </w:tc>
        <w:tc>
          <w:tcPr>
            <w:tcW w:w="709" w:type="dxa"/>
            <w:shd w:val="clear" w:color="auto" w:fill="C6EFCE"/>
            <w:noWrap/>
            <w:vAlign w:val="center"/>
          </w:tcPr>
          <w:p w14:paraId="433E009E" w14:textId="77777777" w:rsidR="003E1D81" w:rsidRDefault="00EB481C">
            <w:pPr>
              <w:pStyle w:val="P68B1DB1-Normal13"/>
              <w:spacing w:after="0" w:line="240" w:lineRule="auto"/>
              <w:jc w:val="center"/>
              <w:rPr>
                <w:rFonts w:cs="Times New Roman"/>
                <w:noProof/>
              </w:rPr>
            </w:pPr>
            <w:r>
              <w:rPr>
                <w:noProof/>
              </w:rPr>
              <w:t>2024</w:t>
            </w:r>
          </w:p>
        </w:tc>
        <w:tc>
          <w:tcPr>
            <w:tcW w:w="5953" w:type="dxa"/>
            <w:shd w:val="clear" w:color="auto" w:fill="C6EFCE"/>
            <w:noWrap/>
            <w:vAlign w:val="center"/>
          </w:tcPr>
          <w:p w14:paraId="3CAA7E8C" w14:textId="2ED0C61D" w:rsidR="003E1D81" w:rsidRDefault="00EB481C">
            <w:pPr>
              <w:pStyle w:val="P68B1DB1-Normal13"/>
              <w:spacing w:after="0" w:line="240" w:lineRule="auto"/>
              <w:rPr>
                <w:rFonts w:cs="Times New Roman"/>
                <w:noProof/>
              </w:rPr>
            </w:pPr>
            <w:r>
              <w:rPr>
                <w:noProof/>
              </w:rPr>
              <w:t>Az eszközt létrehozó rendelet és minden kapcsolódó dokumentum hatálybalépése</w:t>
            </w:r>
          </w:p>
        </w:tc>
      </w:tr>
      <w:tr w:rsidR="003E1D81" w14:paraId="4A6E8766" w14:textId="77777777">
        <w:trPr>
          <w:trHeight w:val="284"/>
        </w:trPr>
        <w:tc>
          <w:tcPr>
            <w:tcW w:w="850" w:type="dxa"/>
            <w:shd w:val="clear" w:color="auto" w:fill="C6EFCE"/>
            <w:vAlign w:val="center"/>
          </w:tcPr>
          <w:p w14:paraId="28FC2A44" w14:textId="67F29735" w:rsidR="003E1D81" w:rsidRDefault="00EB481C">
            <w:pPr>
              <w:pStyle w:val="P68B1DB1-Normal13"/>
              <w:spacing w:line="240" w:lineRule="auto"/>
              <w:jc w:val="center"/>
              <w:rPr>
                <w:rFonts w:cs="Times New Roman"/>
                <w:noProof/>
              </w:rPr>
            </w:pPr>
            <w:r>
              <w:rPr>
                <w:noProof/>
              </w:rPr>
              <w:t>L73</w:t>
            </w:r>
          </w:p>
        </w:tc>
        <w:tc>
          <w:tcPr>
            <w:tcW w:w="850" w:type="dxa"/>
            <w:shd w:val="clear" w:color="auto" w:fill="C6EFCE"/>
            <w:noWrap/>
            <w:vAlign w:val="center"/>
          </w:tcPr>
          <w:p w14:paraId="13DC3059" w14:textId="5A6F170C" w:rsidR="003E1D81" w:rsidRDefault="00EB481C">
            <w:pPr>
              <w:pStyle w:val="P68B1DB1-Normal13"/>
              <w:spacing w:line="240" w:lineRule="auto"/>
              <w:jc w:val="center"/>
              <w:rPr>
                <w:rFonts w:cs="Times New Roman"/>
                <w:noProof/>
              </w:rPr>
            </w:pPr>
            <w:r>
              <w:rPr>
                <w:noProof/>
              </w:rPr>
              <w:t>C22.I6</w:t>
            </w:r>
          </w:p>
        </w:tc>
        <w:tc>
          <w:tcPr>
            <w:tcW w:w="851" w:type="dxa"/>
            <w:shd w:val="clear" w:color="auto" w:fill="C6EFCE"/>
            <w:noWrap/>
            <w:vAlign w:val="center"/>
          </w:tcPr>
          <w:p w14:paraId="01378BA5" w14:textId="77777777" w:rsidR="003E1D81" w:rsidRDefault="00EB481C">
            <w:pPr>
              <w:pStyle w:val="P68B1DB1-Normal13"/>
              <w:spacing w:line="240" w:lineRule="auto"/>
              <w:jc w:val="center"/>
              <w:rPr>
                <w:rFonts w:cs="Times New Roman"/>
                <w:noProof/>
              </w:rPr>
            </w:pPr>
            <w:r>
              <w:rPr>
                <w:noProof/>
              </w:rPr>
              <w:t>T</w:t>
            </w:r>
          </w:p>
        </w:tc>
        <w:tc>
          <w:tcPr>
            <w:tcW w:w="1417" w:type="dxa"/>
            <w:shd w:val="clear" w:color="auto" w:fill="C6EFCE"/>
            <w:noWrap/>
            <w:vAlign w:val="center"/>
          </w:tcPr>
          <w:p w14:paraId="4AF4ED17" w14:textId="370393A0" w:rsidR="003E1D81" w:rsidRDefault="00EB481C">
            <w:pPr>
              <w:pStyle w:val="P68B1DB1-Normal13"/>
              <w:spacing w:after="0" w:line="240" w:lineRule="auto"/>
              <w:rPr>
                <w:rFonts w:cs="Times New Roman"/>
                <w:noProof/>
              </w:rPr>
            </w:pPr>
            <w:r>
              <w:rPr>
                <w:noProof/>
              </w:rPr>
              <w:t>Szociális Hatásalap: A végső kedvezményezettekkel aláírt jogi finanszírozási megállapodások (beleértve a tőkealapokat is)</w:t>
            </w:r>
          </w:p>
        </w:tc>
        <w:tc>
          <w:tcPr>
            <w:tcW w:w="1560" w:type="dxa"/>
            <w:shd w:val="clear" w:color="auto" w:fill="C6EFCE"/>
            <w:noWrap/>
            <w:vAlign w:val="center"/>
          </w:tcPr>
          <w:p w14:paraId="31387562" w14:textId="0191532F" w:rsidR="003E1D81" w:rsidRDefault="003E1D81">
            <w:pPr>
              <w:spacing w:after="0" w:line="240" w:lineRule="auto"/>
              <w:rPr>
                <w:rFonts w:ascii="Times New Roman" w:hAnsi="Times New Roman" w:cs="Times New Roman"/>
                <w:noProof/>
                <w:sz w:val="18"/>
              </w:rPr>
            </w:pPr>
          </w:p>
        </w:tc>
        <w:tc>
          <w:tcPr>
            <w:tcW w:w="567" w:type="dxa"/>
            <w:shd w:val="clear" w:color="auto" w:fill="C6EFCE"/>
            <w:noWrap/>
            <w:vAlign w:val="center"/>
          </w:tcPr>
          <w:p w14:paraId="5DFBF05D" w14:textId="2B1DA314" w:rsidR="003E1D81" w:rsidRDefault="00EB481C">
            <w:pPr>
              <w:pStyle w:val="P68B1DB1-Normal13"/>
              <w:spacing w:after="0" w:line="240" w:lineRule="auto"/>
              <w:rPr>
                <w:rFonts w:cs="Times New Roman"/>
                <w:noProof/>
              </w:rPr>
            </w:pPr>
            <w:r>
              <w:rPr>
                <w:noProof/>
              </w:rPr>
              <w:t>%</w:t>
            </w:r>
          </w:p>
        </w:tc>
        <w:tc>
          <w:tcPr>
            <w:tcW w:w="567" w:type="dxa"/>
            <w:shd w:val="clear" w:color="auto" w:fill="C6EFCE"/>
            <w:noWrap/>
            <w:vAlign w:val="center"/>
          </w:tcPr>
          <w:p w14:paraId="25410FBB" w14:textId="77777777" w:rsidR="003E1D81" w:rsidRDefault="00EB481C">
            <w:pPr>
              <w:pStyle w:val="P68B1DB1-Normal13"/>
              <w:spacing w:after="0" w:line="240" w:lineRule="auto"/>
              <w:jc w:val="center"/>
              <w:rPr>
                <w:rFonts w:cs="Times New Roman"/>
                <w:noProof/>
              </w:rPr>
            </w:pPr>
            <w:r>
              <w:rPr>
                <w:noProof/>
              </w:rPr>
              <w:t>0</w:t>
            </w:r>
          </w:p>
        </w:tc>
        <w:tc>
          <w:tcPr>
            <w:tcW w:w="850" w:type="dxa"/>
            <w:shd w:val="clear" w:color="auto" w:fill="C6EFCE"/>
            <w:noWrap/>
            <w:vAlign w:val="center"/>
          </w:tcPr>
          <w:p w14:paraId="4C053AA5" w14:textId="61855166" w:rsidR="003E1D81" w:rsidRDefault="00EB481C">
            <w:pPr>
              <w:pStyle w:val="P68B1DB1-Normal13"/>
              <w:spacing w:after="0" w:line="240" w:lineRule="auto"/>
              <w:jc w:val="center"/>
              <w:rPr>
                <w:rFonts w:cs="Times New Roman"/>
                <w:noProof/>
              </w:rPr>
            </w:pPr>
            <w:r>
              <w:rPr>
                <w:noProof/>
              </w:rPr>
              <w:t>100%-OS</w:t>
            </w:r>
          </w:p>
        </w:tc>
        <w:tc>
          <w:tcPr>
            <w:tcW w:w="567" w:type="dxa"/>
            <w:shd w:val="clear" w:color="auto" w:fill="C6EFCE"/>
            <w:noWrap/>
            <w:vAlign w:val="center"/>
          </w:tcPr>
          <w:p w14:paraId="7FA7B13E" w14:textId="7BE71E8B" w:rsidR="003E1D81" w:rsidRDefault="00EB481C">
            <w:pPr>
              <w:pStyle w:val="P68B1DB1-Normal13"/>
              <w:spacing w:after="0" w:line="240" w:lineRule="auto"/>
              <w:jc w:val="center"/>
              <w:rPr>
                <w:rFonts w:cs="Times New Roman"/>
                <w:noProof/>
              </w:rPr>
            </w:pPr>
            <w:r>
              <w:rPr>
                <w:noProof/>
              </w:rPr>
              <w:t>NEGYEDÉV</w:t>
            </w:r>
          </w:p>
        </w:tc>
        <w:tc>
          <w:tcPr>
            <w:tcW w:w="709" w:type="dxa"/>
            <w:shd w:val="clear" w:color="auto" w:fill="C6EFCE"/>
            <w:noWrap/>
            <w:vAlign w:val="center"/>
          </w:tcPr>
          <w:p w14:paraId="5F47878A" w14:textId="77777777" w:rsidR="003E1D81" w:rsidRDefault="00EB481C">
            <w:pPr>
              <w:pStyle w:val="P68B1DB1-Normal13"/>
              <w:spacing w:after="0" w:line="240" w:lineRule="auto"/>
              <w:jc w:val="center"/>
              <w:rPr>
                <w:rFonts w:cs="Times New Roman"/>
                <w:noProof/>
              </w:rPr>
            </w:pPr>
            <w:r>
              <w:rPr>
                <w:noProof/>
              </w:rPr>
              <w:t>2026</w:t>
            </w:r>
          </w:p>
        </w:tc>
        <w:tc>
          <w:tcPr>
            <w:tcW w:w="5953" w:type="dxa"/>
            <w:shd w:val="clear" w:color="auto" w:fill="C6EFCE"/>
            <w:noWrap/>
            <w:vAlign w:val="center"/>
          </w:tcPr>
          <w:p w14:paraId="5627A840" w14:textId="4DDB1239" w:rsidR="003E1D81" w:rsidRDefault="00EB481C">
            <w:pPr>
              <w:pStyle w:val="P68B1DB1-Normal13"/>
              <w:spacing w:after="0" w:line="240" w:lineRule="auto"/>
              <w:rPr>
                <w:rFonts w:cs="Times New Roman"/>
                <w:noProof/>
              </w:rPr>
            </w:pPr>
            <w:r>
              <w:rPr>
                <w:noProof/>
              </w:rPr>
              <w:t xml:space="preserve">Az eszköznek és a COFIDES által kiválasztott közvetítőknek jogi finanszírozási megállapodásokat </w:t>
            </w:r>
            <w:r>
              <w:rPr>
                <w:noProof/>
              </w:rPr>
              <w:t>kell kötniük a végső kedvezményezettekkel (beleértve a tőkealapokat is) a Helyreállítási és Rezilienciaépítési Eszközbe történő beruházás 100%-ának az eszközbe történő felhasználásához szükséges összegre (figyelembe véve az irányítási díjakat is). A finans</w:t>
            </w:r>
            <w:r>
              <w:rPr>
                <w:noProof/>
              </w:rPr>
              <w:t>zírozás legalább 40%-ának a tőkealapokkal aláírt finanszírozási megállapodásoknak, legalább 10%-ának pedig a végső kedvezményezettekkel kötött finanszírozási megállapodásoknak kell megfelelnie az összes többi befektetési termék (beleértve a Békekeret közve</w:t>
            </w:r>
            <w:r>
              <w:rPr>
                <w:noProof/>
              </w:rPr>
              <w:t>tlen tőkebefektetéseit is) tekintetében.</w:t>
            </w:r>
          </w:p>
        </w:tc>
      </w:tr>
      <w:tr w:rsidR="003E1D81" w14:paraId="4D6F2258" w14:textId="77777777">
        <w:trPr>
          <w:trHeight w:val="284"/>
        </w:trPr>
        <w:tc>
          <w:tcPr>
            <w:tcW w:w="850" w:type="dxa"/>
            <w:shd w:val="clear" w:color="auto" w:fill="C6EFCE"/>
            <w:vAlign w:val="center"/>
          </w:tcPr>
          <w:p w14:paraId="710D5711" w14:textId="2A0C0187" w:rsidR="003E1D81" w:rsidRDefault="00EB481C">
            <w:pPr>
              <w:pStyle w:val="P68B1DB1-Normal13"/>
              <w:spacing w:line="240" w:lineRule="auto"/>
              <w:jc w:val="center"/>
              <w:rPr>
                <w:rFonts w:cs="Times New Roman"/>
                <w:noProof/>
              </w:rPr>
            </w:pPr>
            <w:r>
              <w:rPr>
                <w:noProof/>
              </w:rPr>
              <w:t>L74</w:t>
            </w:r>
          </w:p>
        </w:tc>
        <w:tc>
          <w:tcPr>
            <w:tcW w:w="850" w:type="dxa"/>
            <w:shd w:val="clear" w:color="auto" w:fill="C6EFCE"/>
            <w:noWrap/>
            <w:vAlign w:val="center"/>
          </w:tcPr>
          <w:p w14:paraId="67A99C0C" w14:textId="107E0B08" w:rsidR="003E1D81" w:rsidRDefault="00EB481C">
            <w:pPr>
              <w:pStyle w:val="P68B1DB1-Normal13"/>
              <w:spacing w:line="240" w:lineRule="auto"/>
              <w:jc w:val="center"/>
              <w:rPr>
                <w:rFonts w:cs="Times New Roman"/>
                <w:noProof/>
              </w:rPr>
            </w:pPr>
            <w:r>
              <w:rPr>
                <w:noProof/>
              </w:rPr>
              <w:t>C22.I6</w:t>
            </w:r>
          </w:p>
        </w:tc>
        <w:tc>
          <w:tcPr>
            <w:tcW w:w="851" w:type="dxa"/>
            <w:shd w:val="clear" w:color="auto" w:fill="C6EFCE"/>
            <w:noWrap/>
            <w:vAlign w:val="center"/>
          </w:tcPr>
          <w:p w14:paraId="70D467C6" w14:textId="4C30B03E" w:rsidR="003E1D81" w:rsidRDefault="00EB481C">
            <w:pPr>
              <w:pStyle w:val="P68B1DB1-Normal13"/>
              <w:spacing w:line="240" w:lineRule="auto"/>
              <w:jc w:val="center"/>
              <w:rPr>
                <w:rFonts w:cs="Times New Roman"/>
                <w:noProof/>
              </w:rPr>
            </w:pPr>
            <w:r>
              <w:rPr>
                <w:noProof/>
              </w:rPr>
              <w:t>M</w:t>
            </w:r>
          </w:p>
        </w:tc>
        <w:tc>
          <w:tcPr>
            <w:tcW w:w="1417" w:type="dxa"/>
            <w:shd w:val="clear" w:color="auto" w:fill="C6EFCE"/>
            <w:noWrap/>
            <w:vAlign w:val="center"/>
          </w:tcPr>
          <w:p w14:paraId="1F9E1AF5" w14:textId="4FD2CA22" w:rsidR="003E1D81" w:rsidRDefault="00EB481C">
            <w:pPr>
              <w:pStyle w:val="P68B1DB1-Normal13"/>
              <w:spacing w:after="0" w:line="240" w:lineRule="auto"/>
              <w:rPr>
                <w:rFonts w:cs="Times New Roman"/>
                <w:noProof/>
              </w:rPr>
            </w:pPr>
            <w:r>
              <w:rPr>
                <w:noProof/>
              </w:rPr>
              <w:t>Szociális Hatásalap: A minisztérium befejezte a beruházást</w:t>
            </w:r>
          </w:p>
        </w:tc>
        <w:tc>
          <w:tcPr>
            <w:tcW w:w="1560" w:type="dxa"/>
            <w:shd w:val="clear" w:color="auto" w:fill="C6EFCE"/>
            <w:noWrap/>
            <w:vAlign w:val="center"/>
          </w:tcPr>
          <w:p w14:paraId="0F7CDE95" w14:textId="5A1EA4C7" w:rsidR="003E1D81" w:rsidRDefault="00EB481C">
            <w:pPr>
              <w:pStyle w:val="P68B1DB1-Normal13"/>
              <w:spacing w:after="0" w:line="240" w:lineRule="auto"/>
              <w:rPr>
                <w:rFonts w:cs="Times New Roman"/>
                <w:noProof/>
              </w:rPr>
            </w:pPr>
            <w:r>
              <w:rPr>
                <w:noProof/>
              </w:rPr>
              <w:t>Átadási igazolás</w:t>
            </w:r>
          </w:p>
        </w:tc>
        <w:tc>
          <w:tcPr>
            <w:tcW w:w="567" w:type="dxa"/>
            <w:shd w:val="clear" w:color="auto" w:fill="C6EFCE"/>
            <w:noWrap/>
            <w:vAlign w:val="center"/>
          </w:tcPr>
          <w:p w14:paraId="4473A8BC" w14:textId="7B1CEAD0" w:rsidR="003E1D81" w:rsidRDefault="003E1D81">
            <w:pPr>
              <w:spacing w:after="0" w:line="240" w:lineRule="auto"/>
              <w:rPr>
                <w:rFonts w:ascii="Times New Roman" w:hAnsi="Times New Roman" w:cs="Times New Roman"/>
                <w:noProof/>
                <w:sz w:val="18"/>
              </w:rPr>
            </w:pPr>
          </w:p>
        </w:tc>
        <w:tc>
          <w:tcPr>
            <w:tcW w:w="567" w:type="dxa"/>
            <w:shd w:val="clear" w:color="auto" w:fill="C6EFCE"/>
            <w:noWrap/>
            <w:vAlign w:val="center"/>
          </w:tcPr>
          <w:p w14:paraId="241D0D63" w14:textId="28B82077" w:rsidR="003E1D81" w:rsidRDefault="003E1D81">
            <w:pPr>
              <w:spacing w:after="0" w:line="240" w:lineRule="auto"/>
              <w:jc w:val="center"/>
              <w:rPr>
                <w:rFonts w:ascii="Times New Roman" w:hAnsi="Times New Roman" w:cs="Times New Roman"/>
                <w:noProof/>
                <w:sz w:val="18"/>
              </w:rPr>
            </w:pPr>
          </w:p>
        </w:tc>
        <w:tc>
          <w:tcPr>
            <w:tcW w:w="850" w:type="dxa"/>
            <w:shd w:val="clear" w:color="auto" w:fill="C6EFCE"/>
            <w:noWrap/>
            <w:vAlign w:val="center"/>
          </w:tcPr>
          <w:p w14:paraId="099767AF" w14:textId="63A24C19" w:rsidR="003E1D81" w:rsidRDefault="003E1D81">
            <w:pPr>
              <w:spacing w:after="0" w:line="240" w:lineRule="auto"/>
              <w:jc w:val="center"/>
              <w:rPr>
                <w:rFonts w:ascii="Times New Roman" w:hAnsi="Times New Roman" w:cs="Times New Roman"/>
                <w:noProof/>
                <w:sz w:val="18"/>
              </w:rPr>
            </w:pPr>
          </w:p>
        </w:tc>
        <w:tc>
          <w:tcPr>
            <w:tcW w:w="567" w:type="dxa"/>
            <w:shd w:val="clear" w:color="auto" w:fill="C6EFCE"/>
            <w:noWrap/>
            <w:vAlign w:val="center"/>
          </w:tcPr>
          <w:p w14:paraId="10715A73" w14:textId="41536CF9" w:rsidR="003E1D81" w:rsidRDefault="00EB481C">
            <w:pPr>
              <w:pStyle w:val="P68B1DB1-Normal13"/>
              <w:spacing w:after="0" w:line="240" w:lineRule="auto"/>
              <w:jc w:val="center"/>
              <w:rPr>
                <w:rFonts w:cs="Times New Roman"/>
                <w:noProof/>
              </w:rPr>
            </w:pPr>
            <w:r>
              <w:rPr>
                <w:noProof/>
              </w:rPr>
              <w:t>NEGYEDÉV</w:t>
            </w:r>
          </w:p>
        </w:tc>
        <w:tc>
          <w:tcPr>
            <w:tcW w:w="709" w:type="dxa"/>
            <w:shd w:val="clear" w:color="auto" w:fill="C6EFCE"/>
            <w:noWrap/>
            <w:vAlign w:val="center"/>
          </w:tcPr>
          <w:p w14:paraId="67A7B841" w14:textId="77777777" w:rsidR="003E1D81" w:rsidRDefault="00EB481C">
            <w:pPr>
              <w:pStyle w:val="P68B1DB1-Normal13"/>
              <w:spacing w:after="0" w:line="240" w:lineRule="auto"/>
              <w:jc w:val="center"/>
              <w:rPr>
                <w:rFonts w:cs="Times New Roman"/>
                <w:noProof/>
              </w:rPr>
            </w:pPr>
            <w:r>
              <w:rPr>
                <w:noProof/>
              </w:rPr>
              <w:t>2026</w:t>
            </w:r>
          </w:p>
        </w:tc>
        <w:tc>
          <w:tcPr>
            <w:tcW w:w="5953" w:type="dxa"/>
            <w:shd w:val="clear" w:color="auto" w:fill="C6EFCE"/>
            <w:noWrap/>
            <w:vAlign w:val="center"/>
          </w:tcPr>
          <w:p w14:paraId="28548495" w14:textId="05A4816C" w:rsidR="003E1D81" w:rsidRDefault="00EB481C">
            <w:pPr>
              <w:pStyle w:val="P68B1DB1-Normal13"/>
              <w:spacing w:after="0" w:line="240" w:lineRule="auto"/>
              <w:rPr>
                <w:rFonts w:cs="Times New Roman"/>
                <w:noProof/>
              </w:rPr>
            </w:pPr>
            <w:r>
              <w:rPr>
                <w:noProof/>
              </w:rPr>
              <w:t>Spanyolország 400 000 000 EUR-t csoportosít át a Békekeretbe.</w:t>
            </w:r>
          </w:p>
        </w:tc>
      </w:tr>
    </w:tbl>
    <w:p w14:paraId="3B85581F" w14:textId="6F55F11A" w:rsidR="003E1D81" w:rsidRDefault="003E1D81">
      <w:pPr>
        <w:pStyle w:val="Text1"/>
        <w:rPr>
          <w:rFonts w:ascii="Times New Roman" w:hAnsi="Times New Roman" w:cs="Times New Roman"/>
          <w:noProof/>
        </w:rPr>
      </w:pPr>
    </w:p>
    <w:p w14:paraId="0592620D" w14:textId="77777777" w:rsidR="003E1D81" w:rsidRDefault="003E1D81">
      <w:pPr>
        <w:pStyle w:val="Text1"/>
        <w:rPr>
          <w:rFonts w:ascii="Times New Roman" w:hAnsi="Times New Roman" w:cs="Times New Roman"/>
          <w:noProof/>
        </w:rPr>
      </w:pPr>
    </w:p>
    <w:p w14:paraId="5BC83675" w14:textId="77777777" w:rsidR="003E1D81" w:rsidRDefault="003E1D81">
      <w:pPr>
        <w:pStyle w:val="Text1"/>
        <w:rPr>
          <w:rFonts w:ascii="Times New Roman" w:hAnsi="Times New Roman" w:cs="Times New Roman"/>
          <w:noProof/>
        </w:rPr>
      </w:pPr>
    </w:p>
    <w:p w14:paraId="2ADE0703" w14:textId="77777777" w:rsidR="003E1D81" w:rsidRDefault="003E1D81">
      <w:pPr>
        <w:rPr>
          <w:rFonts w:ascii="Times New Roman" w:hAnsi="Times New Roman" w:cs="Times New Roman"/>
          <w:noProof/>
        </w:rPr>
        <w:sectPr w:rsidR="003E1D81" w:rsidSect="00C94F66">
          <w:headerReference w:type="even" r:id="rId441"/>
          <w:headerReference w:type="default" r:id="rId442"/>
          <w:footerReference w:type="even" r:id="rId443"/>
          <w:footerReference w:type="default" r:id="rId444"/>
          <w:headerReference w:type="first" r:id="rId445"/>
          <w:footerReference w:type="first" r:id="rId446"/>
          <w:pgSz w:w="16839" w:h="11907" w:orient="landscape"/>
          <w:pgMar w:top="1417" w:right="1134" w:bottom="1417" w:left="1134" w:header="709" w:footer="709" w:gutter="0"/>
          <w:cols w:space="720"/>
          <w:docGrid w:linePitch="360"/>
        </w:sectPr>
      </w:pPr>
    </w:p>
    <w:p w14:paraId="2AD7DF5E" w14:textId="77777777" w:rsidR="003E1D81" w:rsidRDefault="00EB481C">
      <w:pPr>
        <w:pStyle w:val="P68B1DB1-Heading12"/>
        <w:rPr>
          <w:rFonts w:cs="Times New Roman"/>
          <w:noProof/>
        </w:rPr>
      </w:pPr>
      <w:r>
        <w:rPr>
          <w:noProof/>
        </w:rPr>
        <w:t>W. ÖSSZETEVŐ: Új közpolitikák a dinamikus, reziliens és befogadó munkaerőpiacért</w:t>
      </w:r>
    </w:p>
    <w:p w14:paraId="36A0DE62" w14:textId="77777777" w:rsidR="003E1D81" w:rsidRDefault="00EB481C">
      <w:pPr>
        <w:pStyle w:val="P68B1DB1-Normal8"/>
        <w:spacing w:before="120" w:after="120" w:line="240" w:lineRule="auto"/>
        <w:jc w:val="both"/>
        <w:rPr>
          <w:rFonts w:cs="Times New Roman"/>
          <w:noProof/>
          <w:sz w:val="24"/>
        </w:rPr>
      </w:pPr>
      <w:r>
        <w:rPr>
          <w:noProof/>
          <w:sz w:val="24"/>
        </w:rPr>
        <w:t>A spanyol helyreállítási és rezilienciaépítési terv komponense a spanyol munkaerőpiac fontos strukturális kihívásaival foglalkozik. Fő célkitűzései a</w:t>
      </w:r>
      <w:r>
        <w:rPr>
          <w:noProof/>
          <w:sz w:val="24"/>
        </w:rPr>
        <w:t xml:space="preserve"> strukturális munkanélküliség és az ifjúsági munkanélküliség csökkentése, a határozott idejű szerződések széles körű alkalmazásának visszaszorítása és a munkaerőpiac kettősségének megszüntetése, a humántőkébe történő beruházások növelése, a kollektív tárgy</w:t>
      </w:r>
      <w:r>
        <w:rPr>
          <w:noProof/>
          <w:sz w:val="24"/>
        </w:rPr>
        <w:t xml:space="preserve">alási eszközök korszerűsítése, valamint az aktív munkaerő-piaci politikák hatékonyságának és eredményességének növelése. </w:t>
      </w:r>
    </w:p>
    <w:p w14:paraId="54802925" w14:textId="77777777" w:rsidR="003E1D81" w:rsidRDefault="00EB481C">
      <w:pPr>
        <w:pStyle w:val="P68B1DB1-Normal4"/>
        <w:spacing w:before="120" w:after="120" w:line="240" w:lineRule="auto"/>
        <w:jc w:val="both"/>
        <w:rPr>
          <w:rFonts w:cs="Times New Roman"/>
          <w:noProof/>
        </w:rPr>
      </w:pPr>
      <w:r>
        <w:rPr>
          <w:noProof/>
        </w:rPr>
        <w:t>A komponens magában foglalja a strukturális alapok (különösen az Európai Szociális Alap) által finanszírozott beruházásokat kiegészítő</w:t>
      </w:r>
      <w:r>
        <w:rPr>
          <w:noProof/>
        </w:rPr>
        <w:t xml:space="preserve"> releváns beruházásokat, amelyek célja a reformok által a minőségi munkahelyteremtésre, a termelékenység növelésére, valamint a társadalmi, területi és nemek közötti különbségek csökkentésére gyakorolt hatás maximalizálása. </w:t>
      </w:r>
    </w:p>
    <w:p w14:paraId="53B75E96" w14:textId="77777777" w:rsidR="003E1D81" w:rsidRDefault="00EB481C">
      <w:pPr>
        <w:pStyle w:val="P68B1DB1-Normal4"/>
        <w:spacing w:before="120" w:after="120" w:line="240" w:lineRule="auto"/>
        <w:jc w:val="both"/>
        <w:rPr>
          <w:rFonts w:cs="Times New Roman"/>
          <w:noProof/>
        </w:rPr>
      </w:pPr>
      <w:r>
        <w:rPr>
          <w:noProof/>
        </w:rPr>
        <w:t>Összességében az elemben foglal</w:t>
      </w:r>
      <w:r>
        <w:rPr>
          <w:noProof/>
        </w:rPr>
        <w:t>t intézkedések célja a spanyol munkaerőpiac régóta fennálló kihívásainak kezelése, valamint ambiciózus és koherens reformok előterjesztése, amelyek többségét 2021 végéig végre kell hajtani. Egyes reformjavaslatokat jelenleg szociális párbeszéd keretében vi</w:t>
      </w:r>
      <w:r>
        <w:rPr>
          <w:noProof/>
        </w:rPr>
        <w:t xml:space="preserve">tatnak meg a szociális partnerekkel. Ezért néhány részletet kifejezetten nyitva hagytak annak érdekében, hogy elegendő teret hagyjunk a megállapodás és a szociális partnerek általi jóváhagyás számára. </w:t>
      </w:r>
    </w:p>
    <w:p w14:paraId="3CB47AC8" w14:textId="77777777" w:rsidR="003E1D81" w:rsidRDefault="00EB481C">
      <w:pPr>
        <w:pStyle w:val="P68B1DB1-Normal4"/>
        <w:spacing w:before="120" w:after="120" w:line="240" w:lineRule="auto"/>
        <w:jc w:val="both"/>
        <w:rPr>
          <w:rFonts w:cs="Times New Roman"/>
          <w:noProof/>
        </w:rPr>
      </w:pPr>
      <w:r>
        <w:rPr>
          <w:noProof/>
        </w:rPr>
        <w:t>A komponens a határozatlan idejű szerződések felé tört</w:t>
      </w:r>
      <w:r>
        <w:rPr>
          <w:noProof/>
        </w:rPr>
        <w:t>énő átmenetről és a munkaerő-felvételi ösztönzőkről, az állami foglalkoztatási szolgálatokról, az aktív munkaerőpiaci politikákról és a felnőttkori tanulásról, a munkanélküliség védelméről, a minimáljövedelem-rendszerekről és a munkahelyek megőrzéséről szó</w:t>
      </w:r>
      <w:r>
        <w:rPr>
          <w:noProof/>
        </w:rPr>
        <w:t>ló országspecifikus ajánlásokkal foglalkozik (2019. és 2. 2020. évi 2. országspecifikus ajánlás).</w:t>
      </w:r>
    </w:p>
    <w:p w14:paraId="72D71FC6" w14:textId="77777777" w:rsidR="003E1D81" w:rsidRDefault="00EB481C">
      <w:pPr>
        <w:pStyle w:val="P68B1DB1-Normal4"/>
        <w:spacing w:before="120" w:after="120" w:line="240" w:lineRule="auto"/>
        <w:jc w:val="both"/>
        <w:rPr>
          <w:rFonts w:cs="Times New Roman"/>
          <w:noProof/>
        </w:rPr>
      </w:pPr>
      <w:r>
        <w:rPr>
          <w:noProof/>
        </w:rPr>
        <w:t>A jelentős károkozás elkerülését célzó elvről szóló technikai iránymutatásnak (2021/C58/01) megfelelően a helyreállítási és rezilienciaépítési tervben meghatá</w:t>
      </w:r>
      <w:r>
        <w:rPr>
          <w:noProof/>
        </w:rPr>
        <w:t>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w:t>
      </w:r>
      <w:r>
        <w:rPr>
          <w:noProof/>
        </w:rPr>
        <w:t>yezeti célkitűzéseket.</w:t>
      </w:r>
    </w:p>
    <w:p w14:paraId="41EAD5F5" w14:textId="77777777" w:rsidR="003E1D81" w:rsidRDefault="00EB481C">
      <w:pPr>
        <w:pStyle w:val="P68B1DB1-Normal5"/>
        <w:spacing w:before="120" w:after="120" w:line="240" w:lineRule="auto"/>
        <w:ind w:left="709"/>
        <w:jc w:val="both"/>
        <w:rPr>
          <w:rFonts w:cs="Times New Roman"/>
          <w:i/>
          <w:noProof/>
        </w:rPr>
      </w:pPr>
      <w:r>
        <w:rPr>
          <w:noProof/>
        </w:rPr>
        <w:t xml:space="preserve">W.1. </w:t>
      </w:r>
      <w:r>
        <w:rPr>
          <w:noProof/>
        </w:rPr>
        <w:tab/>
        <w:t>Vissza nem térítendő pénzügyi támogatás – a reformok és beruházások ismertetése</w:t>
      </w:r>
    </w:p>
    <w:p w14:paraId="691EE88D" w14:textId="77777777" w:rsidR="003E1D81" w:rsidRDefault="00EB481C">
      <w:pPr>
        <w:pStyle w:val="P68B1DB1-Normal6"/>
        <w:spacing w:before="120" w:after="120" w:line="240" w:lineRule="auto"/>
        <w:jc w:val="both"/>
        <w:rPr>
          <w:rFonts w:cs="Times New Roman"/>
          <w:noProof/>
        </w:rPr>
      </w:pPr>
      <w:r>
        <w:rPr>
          <w:noProof/>
        </w:rPr>
        <w:t>Reform (C23.R1) – A távmunka szabályozása</w:t>
      </w:r>
    </w:p>
    <w:p w14:paraId="61CC4D2D" w14:textId="77777777" w:rsidR="003E1D81" w:rsidRDefault="00EB481C">
      <w:pPr>
        <w:pStyle w:val="P68B1DB1-Normal4"/>
        <w:spacing w:before="120" w:after="120" w:line="240" w:lineRule="auto"/>
        <w:jc w:val="both"/>
        <w:rPr>
          <w:rFonts w:cs="Times New Roman"/>
          <w:noProof/>
        </w:rPr>
      </w:pPr>
      <w:r>
        <w:rPr>
          <w:noProof/>
        </w:rPr>
        <w:t xml:space="preserve">Ez a reform szabályozási keretet hoz létre a távmunkára vonatkozóan azzal a céllal, hogy a vállalkozások </w:t>
      </w:r>
      <w:r>
        <w:rPr>
          <w:noProof/>
        </w:rPr>
        <w:t>termelékenységének megőrzése mellett javítsa a munkavállalók védelmét és rugalmasságát. Ez két királyi törvényerejű rendelet jóváhagyásából áll:</w:t>
      </w:r>
    </w:p>
    <w:p w14:paraId="75B99D06" w14:textId="77777777" w:rsidR="003E1D81" w:rsidRDefault="00EB481C">
      <w:pPr>
        <w:pStyle w:val="P68B1DB1-Normal4"/>
        <w:numPr>
          <w:ilvl w:val="0"/>
          <w:numId w:val="143"/>
        </w:numPr>
        <w:spacing w:before="120" w:after="160" w:line="259" w:lineRule="auto"/>
        <w:contextualSpacing/>
        <w:jc w:val="both"/>
        <w:rPr>
          <w:rFonts w:cs="Times New Roman"/>
          <w:noProof/>
        </w:rPr>
      </w:pPr>
      <w:r>
        <w:rPr>
          <w:noProof/>
        </w:rPr>
        <w:t>A szeptember 22-i 28/2020. sz. királyi törvényerejű rendelet olyan szabályozási keretet biztosít, amely támogat</w:t>
      </w:r>
      <w:r>
        <w:rPr>
          <w:noProof/>
        </w:rPr>
        <w:t xml:space="preserve">ja a távmunka bevezetését a magánszektorban, ugyanakkor megőrzi a vállalkozások termelékenységét, valamint védelmet és rugalmasságot biztosít a munkavállalók számára. Azonos munkakörülményeket biztosít a távolról és a helyszínen dolgozók számára, valamint </w:t>
      </w:r>
      <w:r>
        <w:rPr>
          <w:noProof/>
        </w:rPr>
        <w:t xml:space="preserve">a távmunka önkéntes jellegét mind a munkavállaló, mind a munkáltató számára. A kialakított keret előnyben részesíti a távolsági és a helyszíni munka vegyes formáit. </w:t>
      </w:r>
    </w:p>
    <w:p w14:paraId="6CC9DBAC" w14:textId="77777777" w:rsidR="003E1D81" w:rsidRDefault="00EB481C">
      <w:pPr>
        <w:pStyle w:val="P68B1DB1-Normal4"/>
        <w:numPr>
          <w:ilvl w:val="0"/>
          <w:numId w:val="143"/>
        </w:numPr>
        <w:spacing w:before="120" w:after="160" w:line="259" w:lineRule="auto"/>
        <w:contextualSpacing/>
        <w:jc w:val="both"/>
        <w:rPr>
          <w:rFonts w:cs="Times New Roman"/>
          <w:noProof/>
        </w:rPr>
      </w:pPr>
      <w:r>
        <w:rPr>
          <w:noProof/>
        </w:rPr>
        <w:t>A közigazgatásban végzett távmunkáról szóló, szeptember 29-i 29/2020. sz. királyi törvénye</w:t>
      </w:r>
      <w:r>
        <w:rPr>
          <w:noProof/>
        </w:rPr>
        <w:t>rejű rendelet olyan szabályozási keretet határoz meg a közalkalmazottak számára, amely elismeri annak lehetőségét, hogy az ilyen típusú munkát önkéntes, visszafordítható alapon, előzetes engedéllyel végezzék.</w:t>
      </w:r>
    </w:p>
    <w:p w14:paraId="16FD564A" w14:textId="77777777" w:rsidR="003E1D81" w:rsidRDefault="00EB481C">
      <w:pPr>
        <w:pStyle w:val="P68B1DB1-Normal4"/>
        <w:spacing w:before="240" w:after="120" w:line="240" w:lineRule="auto"/>
        <w:jc w:val="both"/>
        <w:rPr>
          <w:rFonts w:cs="Times New Roman"/>
          <w:noProof/>
        </w:rPr>
      </w:pPr>
      <w:r>
        <w:rPr>
          <w:noProof/>
        </w:rPr>
        <w:t>Ez a reform kapcsolódik a közigazgatásról szóló</w:t>
      </w:r>
      <w:r>
        <w:rPr>
          <w:noProof/>
        </w:rPr>
        <w:t xml:space="preserve"> 11. elem 1. reformjához.</w:t>
      </w:r>
    </w:p>
    <w:p w14:paraId="0FE411A7" w14:textId="77777777" w:rsidR="003E1D81" w:rsidRDefault="00EB481C">
      <w:pPr>
        <w:pStyle w:val="P68B1DB1-Normal4"/>
        <w:spacing w:before="240" w:after="120" w:line="240" w:lineRule="auto"/>
        <w:jc w:val="both"/>
        <w:rPr>
          <w:rFonts w:cs="Times New Roman"/>
          <w:noProof/>
        </w:rPr>
      </w:pPr>
      <w:r>
        <w:rPr>
          <w:noProof/>
        </w:rPr>
        <w:t>Az intézkedés végrehajtását 2020. december 31-ig be kell fejezni.</w:t>
      </w:r>
    </w:p>
    <w:p w14:paraId="3B85F30F" w14:textId="77777777" w:rsidR="003E1D81" w:rsidRDefault="00EB481C">
      <w:pPr>
        <w:pStyle w:val="P68B1DB1-Normal6"/>
        <w:keepNext/>
        <w:spacing w:before="120" w:after="120" w:line="240" w:lineRule="auto"/>
        <w:jc w:val="both"/>
        <w:rPr>
          <w:rFonts w:cs="Times New Roman"/>
          <w:noProof/>
        </w:rPr>
      </w:pPr>
      <w:r>
        <w:rPr>
          <w:noProof/>
        </w:rPr>
        <w:t>Reform (C23.R2) – A nemek közötti szakadék megszüntetésére irányuló intézkedések</w:t>
      </w:r>
    </w:p>
    <w:p w14:paraId="1CCA538E" w14:textId="77777777" w:rsidR="003E1D81" w:rsidRDefault="00EB481C">
      <w:pPr>
        <w:pStyle w:val="P68B1DB1-Normal4"/>
        <w:keepNext/>
        <w:spacing w:before="120" w:after="120" w:line="240" w:lineRule="auto"/>
        <w:jc w:val="both"/>
        <w:rPr>
          <w:rFonts w:cs="Times New Roman"/>
          <w:noProof/>
        </w:rPr>
      </w:pPr>
      <w:r>
        <w:rPr>
          <w:noProof/>
        </w:rPr>
        <w:t>E reform célja a nemek közötti bérszakadék megszüntetése. Két rendeletből áll:</w:t>
      </w:r>
    </w:p>
    <w:p w14:paraId="18F41E8B" w14:textId="77777777" w:rsidR="003E1D81" w:rsidRDefault="00EB481C">
      <w:pPr>
        <w:pStyle w:val="P68B1DB1-Normal4"/>
        <w:numPr>
          <w:ilvl w:val="0"/>
          <w:numId w:val="143"/>
        </w:numPr>
        <w:spacing w:before="120" w:after="160" w:line="259" w:lineRule="auto"/>
        <w:contextualSpacing/>
        <w:jc w:val="both"/>
        <w:rPr>
          <w:rFonts w:cs="Times New Roman"/>
          <w:noProof/>
        </w:rPr>
      </w:pPr>
      <w:r>
        <w:rPr>
          <w:noProof/>
        </w:rPr>
        <w:t>Az o</w:t>
      </w:r>
      <w:r>
        <w:rPr>
          <w:noProof/>
        </w:rPr>
        <w:t>któber 13-i 901/2020. sz. királyi rendelet szabályozza a munkáltatóknak az egyenlőségi tervek elkészítésére és nyilvántartásba vételére vonatkozó kötelezettségét a bérek átláthatóságának biztosítása érdekében. A 150-nál több munkavállalót foglalkoztató val</w:t>
      </w:r>
      <w:r>
        <w:rPr>
          <w:noProof/>
        </w:rPr>
        <w:t>amennyi társaság köteles ilyen terveket készíteni és nyilvántartásba venni, 2022-ben pedig az 50-nál több munkavállalót foglalkoztató valamennyi társaságot kötelezni kell. A királyi rendelet meghatározza a tervek megtárgyalásának eljárását, a diagnózis ált</w:t>
      </w:r>
      <w:r>
        <w:rPr>
          <w:noProof/>
        </w:rPr>
        <w:t xml:space="preserve">al követendő követelményeket, valamint azok értékelésének és nyomon követésének jellemzőit. </w:t>
      </w:r>
    </w:p>
    <w:p w14:paraId="6844778F" w14:textId="77777777" w:rsidR="003E1D81" w:rsidRDefault="00EB481C">
      <w:pPr>
        <w:pStyle w:val="P68B1DB1-Normal4"/>
        <w:numPr>
          <w:ilvl w:val="0"/>
          <w:numId w:val="143"/>
        </w:numPr>
        <w:spacing w:before="120" w:after="160" w:line="259" w:lineRule="auto"/>
        <w:contextualSpacing/>
        <w:jc w:val="both"/>
        <w:rPr>
          <w:rFonts w:cs="Times New Roman"/>
          <w:noProof/>
        </w:rPr>
      </w:pPr>
      <w:r>
        <w:rPr>
          <w:noProof/>
        </w:rPr>
        <w:t xml:space="preserve">A férfiak és nők egyenlő díjazásáról szóló, október 13-i 902/2020. sz. királyi rendelet garantálja a bérek átláthatóságának elvét a helytelen munkakör-értékelések </w:t>
      </w:r>
      <w:r>
        <w:rPr>
          <w:noProof/>
        </w:rPr>
        <w:t xml:space="preserve">(azaz az egyenlő értékű munkáért járó alacsonyabb bér) miatti megkülönböztető helyzetek azonosítása érdekében. A rendeletben meg kell határozni azokat a helyzeteket, amelyekben a mű egyenlő értékűnek minősül. 2021 áprilisa óta van hatályban, azt követően, </w:t>
      </w:r>
      <w:r>
        <w:rPr>
          <w:noProof/>
        </w:rPr>
        <w:t>hogy a munkáltatók hat hónapos időszakot kaptak a szükséges végrehajtási mechanizmusok létrehozására.</w:t>
      </w:r>
    </w:p>
    <w:p w14:paraId="25ABAA94" w14:textId="77777777" w:rsidR="003E1D81" w:rsidRDefault="00EB481C">
      <w:pPr>
        <w:pStyle w:val="P68B1DB1-Normal4"/>
        <w:spacing w:before="240" w:after="120" w:line="240" w:lineRule="auto"/>
        <w:jc w:val="both"/>
        <w:rPr>
          <w:rFonts w:cs="Times New Roman"/>
          <w:noProof/>
        </w:rPr>
      </w:pPr>
      <w:r>
        <w:rPr>
          <w:noProof/>
        </w:rPr>
        <w:t>Az intézkedés végrehajtását 2021. június 30-ig be kell fejezni.</w:t>
      </w:r>
    </w:p>
    <w:p w14:paraId="45BBAC62" w14:textId="77777777" w:rsidR="003E1D81" w:rsidRDefault="00EB481C">
      <w:pPr>
        <w:pStyle w:val="P68B1DB1-Normal6"/>
        <w:spacing w:before="120" w:after="120" w:line="240" w:lineRule="auto"/>
        <w:jc w:val="both"/>
        <w:rPr>
          <w:rFonts w:cs="Times New Roman"/>
          <w:noProof/>
        </w:rPr>
      </w:pPr>
      <w:r>
        <w:rPr>
          <w:noProof/>
        </w:rPr>
        <w:t>Reform (C23.R3) – Az otthoni elosztók digitális platformok (</w:t>
      </w:r>
      <w:r>
        <w:rPr>
          <w:i/>
          <w:noProof/>
        </w:rPr>
        <w:t>kerékpárosok) munkájának</w:t>
      </w:r>
      <w:r>
        <w:rPr>
          <w:noProof/>
        </w:rPr>
        <w:t>szabál</w:t>
      </w:r>
      <w:r>
        <w:rPr>
          <w:noProof/>
        </w:rPr>
        <w:t>yozása</w:t>
      </w:r>
    </w:p>
    <w:p w14:paraId="4BD1036B" w14:textId="77777777" w:rsidR="003E1D81" w:rsidRDefault="00EB481C">
      <w:pPr>
        <w:pStyle w:val="P68B1DB1-Normal4"/>
        <w:spacing w:before="120" w:after="120" w:line="240" w:lineRule="auto"/>
        <w:jc w:val="both"/>
        <w:rPr>
          <w:rFonts w:cs="Times New Roman"/>
          <w:noProof/>
        </w:rPr>
      </w:pPr>
      <w:r>
        <w:rPr>
          <w:noProof/>
        </w:rPr>
        <w:t xml:space="preserve">A reform célja az úgynevezett </w:t>
      </w:r>
      <w:r>
        <w:rPr>
          <w:i/>
          <w:noProof/>
        </w:rPr>
        <w:t>kerékpárosok</w:t>
      </w:r>
      <w:r>
        <w:rPr>
          <w:noProof/>
        </w:rPr>
        <w:t xml:space="preserve"> munkakörülményeinek szabályozása, akik technológiai eszközökkel harmadik felek részére történő terjesztési tevékenységet folytatnak. A királyi törvényerejű rendelet biztosítja e munkavállalók számára a tisz</w:t>
      </w:r>
      <w:r>
        <w:rPr>
          <w:noProof/>
        </w:rPr>
        <w:t>tességes és egyenlő bánásmódhoz való jogot a munkafeltételek tekintetében, valamint a szociális védelemhez és képzéshez való hozzáférés jogát a társaság és a vezető közötti munkaviszony jogi vélelme révén. Lehetővé kell tennie továbbá, hogy a munkavállalók</w:t>
      </w:r>
      <w:r>
        <w:rPr>
          <w:noProof/>
        </w:rPr>
        <w:t xml:space="preserve"> jogi képviselete tájékoztatást kapjon a mesterségesintelligencia-algoritmusokban és -rendszerekben foglalt szabályokról, amelyek hatással lehetnek a munkakörülményekre, beleértve a foglalkoztatáshoz való hozzáférést és annak fenntartását, valamint a profi</w:t>
      </w:r>
      <w:r>
        <w:rPr>
          <w:noProof/>
        </w:rPr>
        <w:t xml:space="preserve">lalkotást. </w:t>
      </w:r>
    </w:p>
    <w:p w14:paraId="2C7CF537" w14:textId="77777777" w:rsidR="003E1D81" w:rsidRDefault="00EB481C">
      <w:pPr>
        <w:pStyle w:val="P68B1DB1-Normal4"/>
        <w:spacing w:before="120" w:after="120" w:line="240" w:lineRule="auto"/>
        <w:jc w:val="both"/>
        <w:rPr>
          <w:rFonts w:cs="Times New Roman"/>
          <w:noProof/>
        </w:rPr>
      </w:pPr>
      <w:r>
        <w:rPr>
          <w:noProof/>
        </w:rPr>
        <w:t>Az intézkedés végrehajtását 2021. szeptember 30-ig be kell fejezni.</w:t>
      </w:r>
    </w:p>
    <w:p w14:paraId="50D8148C" w14:textId="77777777" w:rsidR="003E1D81" w:rsidRDefault="00EB481C">
      <w:pPr>
        <w:pStyle w:val="P68B1DB1-Normal6"/>
        <w:spacing w:before="120" w:after="120" w:line="240" w:lineRule="auto"/>
        <w:jc w:val="both"/>
        <w:rPr>
          <w:rFonts w:cs="Times New Roman"/>
          <w:noProof/>
        </w:rPr>
      </w:pPr>
      <w:r>
        <w:rPr>
          <w:noProof/>
        </w:rPr>
        <w:t>Reform (C23.R4) – A szerződések egyszerűsítése: a határozatlan idejű szerződés általánossá tétele, az ideiglenes szerződések alkalmazásának indokai és a képzési/tanulószerződés</w:t>
      </w:r>
      <w:r>
        <w:rPr>
          <w:noProof/>
        </w:rPr>
        <w:t xml:space="preserve"> szabályozása.</w:t>
      </w:r>
    </w:p>
    <w:p w14:paraId="0C992956" w14:textId="77777777" w:rsidR="003E1D81" w:rsidRDefault="00EB481C">
      <w:pPr>
        <w:pStyle w:val="P68B1DB1-Normal4"/>
        <w:spacing w:before="120" w:after="120" w:line="240" w:lineRule="auto"/>
        <w:jc w:val="both"/>
        <w:rPr>
          <w:rFonts w:cs="Times New Roman"/>
          <w:noProof/>
        </w:rPr>
      </w:pPr>
      <w:r>
        <w:rPr>
          <w:noProof/>
        </w:rPr>
        <w:t>Ez a reform a munkavállalók jogállásáról szóló törvényben meghatározott szerződésekről szóló rendelet (2/2015. sz. törvényerejű rendelet) módosításából áll azzal a céllal, hogy szabályozza a határozott idejű szerződések alkalmazását mint kiz</w:t>
      </w:r>
      <w:r>
        <w:rPr>
          <w:noProof/>
        </w:rPr>
        <w:t>árólagos ok-okozati összefüggést, és általánossá tegye a határozatlan idejű szerződések alkalmazását. A reformnak a következő elemeket kell tartalmaznia:</w:t>
      </w:r>
    </w:p>
    <w:p w14:paraId="6AD37FFD" w14:textId="77777777" w:rsidR="003E1D81" w:rsidRDefault="00EB481C">
      <w:pPr>
        <w:pStyle w:val="P68B1DB1-Normal4"/>
        <w:numPr>
          <w:ilvl w:val="0"/>
          <w:numId w:val="144"/>
        </w:numPr>
        <w:spacing w:before="120" w:after="160" w:line="259" w:lineRule="auto"/>
        <w:contextualSpacing/>
        <w:jc w:val="both"/>
        <w:rPr>
          <w:rFonts w:cs="Times New Roman"/>
          <w:noProof/>
        </w:rPr>
      </w:pPr>
      <w:r>
        <w:rPr>
          <w:noProof/>
        </w:rPr>
        <w:t>A szerződések menüjének egyszerűsítése és átszervezése három fő típussal: határozatlan idejű, ideiglen</w:t>
      </w:r>
      <w:r>
        <w:rPr>
          <w:noProof/>
        </w:rPr>
        <w:t xml:space="preserve">es és képzési/szakmai gyakorlati képzés. Az új szerződéstípusok kialakításának célja, hogy korlátozza az ideiglenes szerződések alkalmazásának érvényes okait, és ezáltal a határozatlan idejű szerződéseket általános szabálysá tegye. </w:t>
      </w:r>
    </w:p>
    <w:p w14:paraId="4EE1EC25" w14:textId="77777777" w:rsidR="003E1D81" w:rsidRDefault="00EB481C">
      <w:pPr>
        <w:pStyle w:val="P68B1DB1-Normal4"/>
        <w:numPr>
          <w:ilvl w:val="0"/>
          <w:numId w:val="144"/>
        </w:numPr>
        <w:spacing w:before="120" w:after="160" w:line="259" w:lineRule="auto"/>
        <w:contextualSpacing/>
        <w:jc w:val="both"/>
        <w:rPr>
          <w:rFonts w:cs="Times New Roman"/>
          <w:noProof/>
        </w:rPr>
      </w:pPr>
      <w:r>
        <w:rPr>
          <w:noProof/>
        </w:rPr>
        <w:t>A képzési/tanulószerződ</w:t>
      </w:r>
      <w:r>
        <w:rPr>
          <w:noProof/>
        </w:rPr>
        <w:t xml:space="preserve">és alkalmazásának felülvizsgálata annak érdekében, hogy megfelelő keretet biztosítsanak a fiatalok számára a munkaerőpiacra való belépéshez. </w:t>
      </w:r>
    </w:p>
    <w:p w14:paraId="4C2D1C2F" w14:textId="77777777" w:rsidR="003E1D81" w:rsidRDefault="00EB481C">
      <w:pPr>
        <w:pStyle w:val="P68B1DB1-Normal4"/>
        <w:numPr>
          <w:ilvl w:val="0"/>
          <w:numId w:val="144"/>
        </w:numPr>
        <w:spacing w:before="120" w:after="160" w:line="259" w:lineRule="auto"/>
        <w:contextualSpacing/>
        <w:jc w:val="both"/>
        <w:rPr>
          <w:rFonts w:cs="Times New Roman"/>
          <w:noProof/>
        </w:rPr>
      </w:pPr>
      <w:r>
        <w:rPr>
          <w:noProof/>
        </w:rPr>
        <w:t>Az idényjellegű szerződés alkalmazásának megerősítése, amely az idényjellegű tevékenységekben alkalmazott határoza</w:t>
      </w:r>
      <w:r>
        <w:rPr>
          <w:noProof/>
        </w:rPr>
        <w:t>tlan idejű szerződések különleges típusa.</w:t>
      </w:r>
    </w:p>
    <w:p w14:paraId="799F219E" w14:textId="77777777" w:rsidR="003E1D81" w:rsidRDefault="00EB481C">
      <w:pPr>
        <w:pStyle w:val="P68B1DB1-Normal4"/>
        <w:numPr>
          <w:ilvl w:val="0"/>
          <w:numId w:val="144"/>
        </w:numPr>
        <w:spacing w:before="120" w:after="160" w:line="259" w:lineRule="auto"/>
        <w:contextualSpacing/>
        <w:jc w:val="both"/>
        <w:rPr>
          <w:rFonts w:cs="Times New Roman"/>
          <w:noProof/>
        </w:rPr>
      </w:pPr>
      <w:r>
        <w:rPr>
          <w:noProof/>
        </w:rPr>
        <w:t>A reformnak meg kell erősítenie a részmunkaidős szerződések alkalmazásának ellenőrzését a szabálytalan munkaidő megelőzése érdekében.</w:t>
      </w:r>
    </w:p>
    <w:p w14:paraId="68D9B5D6" w14:textId="77777777" w:rsidR="003E1D81" w:rsidRDefault="00EB481C">
      <w:pPr>
        <w:pStyle w:val="P68B1DB1-Normal4"/>
        <w:numPr>
          <w:ilvl w:val="0"/>
          <w:numId w:val="144"/>
        </w:numPr>
        <w:spacing w:before="120" w:after="160" w:line="259" w:lineRule="auto"/>
        <w:contextualSpacing/>
        <w:jc w:val="both"/>
        <w:rPr>
          <w:rFonts w:cs="Times New Roman"/>
          <w:noProof/>
        </w:rPr>
      </w:pPr>
      <w:r>
        <w:rPr>
          <w:noProof/>
        </w:rPr>
        <w:t>A munkaerő-csalás elleni küzdelem megerősítése, többek között a szankciórendszer</w:t>
      </w:r>
      <w:r>
        <w:rPr>
          <w:noProof/>
        </w:rPr>
        <w:t xml:space="preserve"> aktualizálása révén.</w:t>
      </w:r>
    </w:p>
    <w:p w14:paraId="0321D44C" w14:textId="77777777" w:rsidR="003E1D81" w:rsidRDefault="00EB481C">
      <w:pPr>
        <w:pStyle w:val="P68B1DB1-Normal4"/>
        <w:spacing w:before="240" w:after="120" w:line="240" w:lineRule="auto"/>
        <w:jc w:val="both"/>
        <w:rPr>
          <w:rFonts w:cs="Times New Roman"/>
          <w:noProof/>
        </w:rPr>
      </w:pPr>
      <w:r>
        <w:rPr>
          <w:noProof/>
        </w:rPr>
        <w:t>Ez a reform szorosan kapcsolódik a 11. komponens 1. reformjához, amely egyéb jogi változtatásokat vezet be a közalkalmazottak statútumába annak érdekében, hogy csökkentse az ideiglenes szerződések alkalmazását a közszférában. Kapcsoló</w:t>
      </w:r>
      <w:r>
        <w:rPr>
          <w:noProof/>
        </w:rPr>
        <w:t>dik továbbá e komponens 6. reformjához (rugalmassági és stabilitási mechanizmus).</w:t>
      </w:r>
    </w:p>
    <w:p w14:paraId="43DA1D42" w14:textId="77777777" w:rsidR="003E1D81" w:rsidRDefault="00EB481C">
      <w:pPr>
        <w:pStyle w:val="P68B1DB1-Normal4"/>
        <w:spacing w:before="240" w:after="120" w:line="240" w:lineRule="auto"/>
        <w:jc w:val="both"/>
        <w:rPr>
          <w:rFonts w:cs="Times New Roman"/>
          <w:noProof/>
        </w:rPr>
      </w:pPr>
      <w:r>
        <w:rPr>
          <w:noProof/>
        </w:rPr>
        <w:t>Az intézkedés végrehajtását 2021. december 31-ig be kell fejezni.</w:t>
      </w:r>
    </w:p>
    <w:p w14:paraId="21A148EB" w14:textId="77777777" w:rsidR="003E1D81" w:rsidRDefault="00EB481C">
      <w:pPr>
        <w:pStyle w:val="P68B1DB1-Normal6"/>
        <w:spacing w:before="120" w:after="120" w:line="240" w:lineRule="auto"/>
        <w:jc w:val="both"/>
        <w:rPr>
          <w:rFonts w:cs="Times New Roman"/>
          <w:noProof/>
        </w:rPr>
      </w:pPr>
      <w:r>
        <w:rPr>
          <w:noProof/>
        </w:rPr>
        <w:t>Reform (C23.R5) – Az aktív munkaerő-piaci politikák korszerűsítése</w:t>
      </w:r>
    </w:p>
    <w:p w14:paraId="437724FB" w14:textId="77777777" w:rsidR="003E1D81" w:rsidRDefault="00EB481C">
      <w:pPr>
        <w:pStyle w:val="P68B1DB1-Normal4"/>
        <w:spacing w:before="120" w:after="120" w:line="240" w:lineRule="auto"/>
        <w:jc w:val="both"/>
        <w:rPr>
          <w:rFonts w:cs="Times New Roman"/>
          <w:noProof/>
        </w:rPr>
      </w:pPr>
      <w:r>
        <w:rPr>
          <w:noProof/>
        </w:rPr>
        <w:t xml:space="preserve">E reform célja az aktív munkaerő-piaci </w:t>
      </w:r>
      <w:r>
        <w:rPr>
          <w:noProof/>
        </w:rPr>
        <w:t>intézkedések végrehajtásának korszerűsítése Spanyolországban, figyelembe véve a független költségvetési hatóság (a továbbiakban: AIReF) által végzett kiadási felülvizsgálatok következtetéseit. A reformnak több elemből kell állnia: egyéni tanácsadási lehető</w:t>
      </w:r>
      <w:r>
        <w:rPr>
          <w:noProof/>
        </w:rPr>
        <w:t>ségek kialakítása, a munkahelyi képzésekkel (például szakmai gyakorlatokkal és képzési szerződésekkel) kapcsolatos visszaélések megelőzése, a felnőttoktatási rendszer megerősítése és a kompetenciák elismerése, egyablakos rendszer létrehozása a fiatalok szá</w:t>
      </w:r>
      <w:r>
        <w:rPr>
          <w:noProof/>
        </w:rPr>
        <w:t>mára, a foglalkoztatási és szociális szolgálatok közötti, valamint a régiókkal való koordináció javítása, valamint a magánszektorral való együttműködés javítása.</w:t>
      </w:r>
    </w:p>
    <w:p w14:paraId="4CD28135" w14:textId="77777777" w:rsidR="003E1D81" w:rsidRDefault="00EB481C">
      <w:pPr>
        <w:pStyle w:val="P68B1DB1-Normal4"/>
        <w:spacing w:before="120" w:after="120" w:line="240" w:lineRule="auto"/>
        <w:jc w:val="both"/>
        <w:rPr>
          <w:rFonts w:cs="Times New Roman"/>
          <w:noProof/>
        </w:rPr>
      </w:pPr>
      <w:r>
        <w:rPr>
          <w:noProof/>
        </w:rPr>
        <w:t>Ezt a reformot két másik reform egészíti ki ebben a komponensben, nevezetesen a 7. reformmal (</w:t>
      </w:r>
      <w:r>
        <w:rPr>
          <w:noProof/>
        </w:rPr>
        <w:t>hirdetési ösztönzők) és a 11. reformmal (az állami foglalkoztatási szolgálatok digitalizálása). A reform egyes elemei (például az idősebb munkavállalók átképzési és segítségnyújtási programjának megerősítése) szinergiákat mutatnak a 2. reformmal a 30. elem</w:t>
      </w:r>
      <w:r>
        <w:rPr>
          <w:noProof/>
        </w:rPr>
        <w:t>ben (a tényleges nyugdíjkorhatár összehangolása a törvényes nyugdíjkorhatárral).</w:t>
      </w:r>
    </w:p>
    <w:p w14:paraId="42B3A7CB" w14:textId="77777777" w:rsidR="003E1D81" w:rsidRDefault="00EB481C">
      <w:pPr>
        <w:pStyle w:val="P68B1DB1-Normal4"/>
        <w:spacing w:before="120" w:after="120" w:line="240" w:lineRule="auto"/>
        <w:jc w:val="both"/>
        <w:rPr>
          <w:rFonts w:cs="Times New Roman"/>
          <w:noProof/>
        </w:rPr>
      </w:pPr>
      <w:r>
        <w:rPr>
          <w:noProof/>
        </w:rPr>
        <w:t>A reformnak 2021-ben és 2022-ben számos jogalkotási lépést kell tartalmaznia:</w:t>
      </w:r>
    </w:p>
    <w:p w14:paraId="0138F2E9" w14:textId="77777777" w:rsidR="003E1D81" w:rsidRDefault="00EB481C">
      <w:pPr>
        <w:pStyle w:val="P68B1DB1-Normal4"/>
        <w:numPr>
          <w:ilvl w:val="0"/>
          <w:numId w:val="145"/>
        </w:numPr>
        <w:spacing w:before="120" w:after="160" w:line="240" w:lineRule="auto"/>
        <w:contextualSpacing/>
        <w:jc w:val="both"/>
        <w:rPr>
          <w:rFonts w:cs="Times New Roman"/>
          <w:noProof/>
        </w:rPr>
      </w:pPr>
      <w:r>
        <w:rPr>
          <w:noProof/>
        </w:rPr>
        <w:t>A 2021–2027-es időszakra szóló cselekvési terv az ifjúsági munkanélküliség kezelésére az uniós if</w:t>
      </w:r>
      <w:r>
        <w:rPr>
          <w:noProof/>
        </w:rPr>
        <w:t>júsági garancia Plusz végrehajtásának alkalmából. A cselekvési tervnek tartalmaznia kell a szakmai gyakorlatra/szakmai gyakorlatra vonatkozó szerződések felülvizsgálatát és a gyakornokok statútumának jóváhagyását. Ezeknek az intézkedéseknek összhangban kel</w:t>
      </w:r>
      <w:r>
        <w:rPr>
          <w:noProof/>
        </w:rPr>
        <w:t>l lenniük a korai iskolaelhagyás kezelésére irányuló oktatási politikákkal (a 21. elemben meghatározottak szerint). Az intézkedés ezen elemének végrehajtását 2021. június 30-ig be kell fejezni.</w:t>
      </w:r>
    </w:p>
    <w:p w14:paraId="00CB9829" w14:textId="77777777" w:rsidR="003E1D81" w:rsidRDefault="00EB481C">
      <w:pPr>
        <w:pStyle w:val="P68B1DB1-Normal4"/>
        <w:numPr>
          <w:ilvl w:val="0"/>
          <w:numId w:val="145"/>
        </w:numPr>
        <w:spacing w:before="120" w:after="160" w:line="240" w:lineRule="auto"/>
        <w:contextualSpacing/>
        <w:jc w:val="both"/>
        <w:rPr>
          <w:rFonts w:cs="Times New Roman"/>
          <w:noProof/>
        </w:rPr>
      </w:pPr>
      <w:r>
        <w:rPr>
          <w:noProof/>
        </w:rPr>
        <w:t>A 2021–2024-es időszakra szóló spanyol foglalkoztatási aktivál</w:t>
      </w:r>
      <w:r>
        <w:rPr>
          <w:noProof/>
        </w:rPr>
        <w:t xml:space="preserve">ási stratégia, a szociális párbeszéd folyamatát követően. Az új stratégia fő célkitűzései a következők: </w:t>
      </w:r>
    </w:p>
    <w:p w14:paraId="1D990343" w14:textId="77777777" w:rsidR="003E1D81" w:rsidRDefault="00EB481C">
      <w:pPr>
        <w:pStyle w:val="P68B1DB1-Normal4"/>
        <w:numPr>
          <w:ilvl w:val="1"/>
          <w:numId w:val="146"/>
        </w:numPr>
        <w:spacing w:before="120" w:after="160" w:line="240" w:lineRule="auto"/>
        <w:contextualSpacing/>
        <w:jc w:val="both"/>
        <w:rPr>
          <w:rFonts w:cs="Times New Roman"/>
          <w:noProof/>
        </w:rPr>
      </w:pPr>
      <w:r>
        <w:rPr>
          <w:noProof/>
        </w:rPr>
        <w:t>Emberközpontú és vállalkozásközpontú megközelítés: az aktív munkaerő-piaci intézkedések kialakítása várhatóan az egyes személyek és vállalkozások saját</w:t>
      </w:r>
      <w:r>
        <w:rPr>
          <w:noProof/>
        </w:rPr>
        <w:t>os körülményeire összpontosít.</w:t>
      </w:r>
    </w:p>
    <w:p w14:paraId="121EE051" w14:textId="77777777" w:rsidR="003E1D81" w:rsidRDefault="00EB481C">
      <w:pPr>
        <w:pStyle w:val="P68B1DB1-Normal4"/>
        <w:numPr>
          <w:ilvl w:val="1"/>
          <w:numId w:val="146"/>
        </w:numPr>
        <w:spacing w:before="120" w:after="160" w:line="240" w:lineRule="auto"/>
        <w:contextualSpacing/>
        <w:jc w:val="both"/>
        <w:rPr>
          <w:rFonts w:cs="Times New Roman"/>
          <w:noProof/>
        </w:rPr>
      </w:pPr>
      <w:r>
        <w:rPr>
          <w:noProof/>
        </w:rPr>
        <w:t>Összhang a termelési átalakulással: Az aktív munkaerő-piaci politikának lehetővé kell tennie a termelési modell zöld és digitális gazdaságra való átállását kísérő szakmai átmenetet.</w:t>
      </w:r>
    </w:p>
    <w:p w14:paraId="45904CBE" w14:textId="77777777" w:rsidR="003E1D81" w:rsidRDefault="00EB481C">
      <w:pPr>
        <w:pStyle w:val="P68B1DB1-Normal4"/>
        <w:numPr>
          <w:ilvl w:val="1"/>
          <w:numId w:val="146"/>
        </w:numPr>
        <w:spacing w:before="120" w:after="160" w:line="240" w:lineRule="auto"/>
        <w:contextualSpacing/>
        <w:jc w:val="both"/>
        <w:rPr>
          <w:rFonts w:cs="Times New Roman"/>
          <w:noProof/>
        </w:rPr>
      </w:pPr>
      <w:r>
        <w:rPr>
          <w:noProof/>
        </w:rPr>
        <w:t>Eredményorientáltság: Az aktív munkaerő-pia</w:t>
      </w:r>
      <w:r>
        <w:rPr>
          <w:noProof/>
        </w:rPr>
        <w:t>ci intézkedéseket várhatóan értékelik, nyomon követik és elősegítik az eredmények elérését.</w:t>
      </w:r>
    </w:p>
    <w:p w14:paraId="4BDCF7E4" w14:textId="77777777" w:rsidR="003E1D81" w:rsidRDefault="00EB481C">
      <w:pPr>
        <w:pStyle w:val="P68B1DB1-Normal4"/>
        <w:numPr>
          <w:ilvl w:val="1"/>
          <w:numId w:val="146"/>
        </w:numPr>
        <w:spacing w:before="120" w:after="160" w:line="240" w:lineRule="auto"/>
        <w:contextualSpacing/>
        <w:jc w:val="both"/>
        <w:rPr>
          <w:rFonts w:cs="Times New Roman"/>
          <w:noProof/>
        </w:rPr>
      </w:pPr>
      <w:r>
        <w:rPr>
          <w:noProof/>
        </w:rPr>
        <w:t xml:space="preserve">Az állami foglalkoztatási szolgálatok kapacitásainak javítása digitalizációjuk és modernizációjuk révén. </w:t>
      </w:r>
    </w:p>
    <w:p w14:paraId="771EC655" w14:textId="77777777" w:rsidR="003E1D81" w:rsidRDefault="00EB481C">
      <w:pPr>
        <w:pStyle w:val="P68B1DB1-Normal4"/>
        <w:numPr>
          <w:ilvl w:val="1"/>
          <w:numId w:val="146"/>
        </w:numPr>
        <w:spacing w:before="120" w:after="160" w:line="240" w:lineRule="auto"/>
        <w:contextualSpacing/>
        <w:jc w:val="both"/>
        <w:rPr>
          <w:rFonts w:cs="Times New Roman"/>
          <w:noProof/>
        </w:rPr>
      </w:pPr>
      <w:r>
        <w:rPr>
          <w:noProof/>
        </w:rPr>
        <w:t>A nemzeti foglalkoztatási rendszer irányítása és kohéziója</w:t>
      </w:r>
      <w:r>
        <w:rPr>
          <w:noProof/>
        </w:rPr>
        <w:t xml:space="preserve"> a nemzeti és regionális szintű koordináció és az aktív munkaerő-piaci intézkedésekben részt vevő érdekelt felek javítása érdekében.</w:t>
      </w:r>
    </w:p>
    <w:p w14:paraId="72ABA948" w14:textId="77777777" w:rsidR="003E1D81" w:rsidRDefault="00EB481C">
      <w:pPr>
        <w:pStyle w:val="P68B1DB1-Normal4"/>
        <w:spacing w:before="120" w:after="160" w:line="240" w:lineRule="auto"/>
        <w:ind w:left="709"/>
        <w:contextualSpacing/>
        <w:jc w:val="both"/>
        <w:rPr>
          <w:rFonts w:cs="Times New Roman"/>
          <w:noProof/>
        </w:rPr>
      </w:pPr>
      <w:r>
        <w:rPr>
          <w:noProof/>
        </w:rPr>
        <w:t>Az intézkedés ezen elemének végrehajtását 2021. december 31-ig be kell fejezni.</w:t>
      </w:r>
    </w:p>
    <w:p w14:paraId="3E8A197B" w14:textId="77777777" w:rsidR="003E1D81" w:rsidRDefault="00EB481C">
      <w:pPr>
        <w:pStyle w:val="P68B1DB1-Normal4"/>
        <w:numPr>
          <w:ilvl w:val="0"/>
          <w:numId w:val="145"/>
        </w:numPr>
        <w:spacing w:before="120" w:after="160" w:line="240" w:lineRule="auto"/>
        <w:contextualSpacing/>
        <w:jc w:val="both"/>
        <w:rPr>
          <w:rFonts w:cs="Times New Roman"/>
          <w:noProof/>
        </w:rPr>
      </w:pPr>
      <w:r>
        <w:rPr>
          <w:noProof/>
        </w:rPr>
        <w:t>A foglalkoztatási törvény reformja a követk</w:t>
      </w:r>
      <w:r>
        <w:rPr>
          <w:noProof/>
        </w:rPr>
        <w:t>ező célkitűzésekkel: a nemzeti foglalkoztatási rendszer szakpolitikai és koordinációs eszközeinek megerősítése; az aktív munkaerő-piaci politikák reformja; a rendszer irányításának felülvizsgálata; a foglalkoztatáspolitika helyi dimenziójának erősítése; és</w:t>
      </w:r>
      <w:r>
        <w:rPr>
          <w:noProof/>
        </w:rPr>
        <w:t xml:space="preserve"> v. az aktív foglalkoztatáspolitikákra vonatkozó nemzeti terv keretében előirányzott különböző intézkedések végrehajtására vonatkozó követelmények teljesítése. Ebben az összefüggésben a jogszabályi változások fő elemei a következők:</w:t>
      </w:r>
    </w:p>
    <w:p w14:paraId="530053EE" w14:textId="77777777" w:rsidR="003E1D81" w:rsidRDefault="00EB481C">
      <w:pPr>
        <w:pStyle w:val="P68B1DB1-Normal4"/>
        <w:numPr>
          <w:ilvl w:val="1"/>
          <w:numId w:val="146"/>
        </w:numPr>
        <w:spacing w:before="120" w:after="160" w:line="240" w:lineRule="auto"/>
        <w:contextualSpacing/>
        <w:jc w:val="both"/>
        <w:rPr>
          <w:rFonts w:cs="Times New Roman"/>
          <w:noProof/>
        </w:rPr>
      </w:pPr>
      <w:r>
        <w:rPr>
          <w:noProof/>
        </w:rPr>
        <w:t>Az aktív és passzív fog</w:t>
      </w:r>
      <w:r>
        <w:rPr>
          <w:noProof/>
        </w:rPr>
        <w:t>lalkoztatáspolitikák megerősítése, figyelembe véve az állam és az autonóm közösségek közötti hatáskörmegosztást.</w:t>
      </w:r>
    </w:p>
    <w:p w14:paraId="4EA0BFE8" w14:textId="77777777" w:rsidR="003E1D81" w:rsidRDefault="00EB481C">
      <w:pPr>
        <w:pStyle w:val="P68B1DB1-Normal4"/>
        <w:numPr>
          <w:ilvl w:val="1"/>
          <w:numId w:val="146"/>
        </w:numPr>
        <w:spacing w:before="120" w:after="160" w:line="240" w:lineRule="auto"/>
        <w:contextualSpacing/>
        <w:jc w:val="both"/>
        <w:rPr>
          <w:rFonts w:cs="Times New Roman"/>
          <w:noProof/>
        </w:rPr>
      </w:pPr>
      <w:r>
        <w:rPr>
          <w:noProof/>
        </w:rPr>
        <w:t xml:space="preserve">A közvetítő rendszer és a köz- és magánszféra közötti partnerségek megerősítése. </w:t>
      </w:r>
    </w:p>
    <w:p w14:paraId="07EEF715" w14:textId="77777777" w:rsidR="003E1D81" w:rsidRDefault="00EB481C">
      <w:pPr>
        <w:pStyle w:val="P68B1DB1-Normal4"/>
        <w:numPr>
          <w:ilvl w:val="1"/>
          <w:numId w:val="146"/>
        </w:numPr>
        <w:spacing w:before="120" w:after="160" w:line="240" w:lineRule="auto"/>
        <w:contextualSpacing/>
        <w:jc w:val="both"/>
        <w:rPr>
          <w:rFonts w:cs="Times New Roman"/>
          <w:noProof/>
        </w:rPr>
      </w:pPr>
      <w:r>
        <w:rPr>
          <w:noProof/>
        </w:rPr>
        <w:t>A nemzeti foglalkoztatási rendszer közös szolgáltatási portfó</w:t>
      </w:r>
      <w:r>
        <w:rPr>
          <w:noProof/>
        </w:rPr>
        <w:t>liója.</w:t>
      </w:r>
    </w:p>
    <w:p w14:paraId="7589A543" w14:textId="77777777" w:rsidR="003E1D81" w:rsidRDefault="00EB481C">
      <w:pPr>
        <w:pStyle w:val="P68B1DB1-Normal4"/>
        <w:numPr>
          <w:ilvl w:val="1"/>
          <w:numId w:val="146"/>
        </w:numPr>
        <w:spacing w:before="120" w:after="160" w:line="240" w:lineRule="auto"/>
        <w:contextualSpacing/>
        <w:jc w:val="both"/>
        <w:rPr>
          <w:rFonts w:cs="Times New Roman"/>
          <w:noProof/>
        </w:rPr>
      </w:pPr>
      <w:r>
        <w:rPr>
          <w:noProof/>
        </w:rPr>
        <w:t xml:space="preserve">A finanszírozási modell felülvizsgálata. </w:t>
      </w:r>
    </w:p>
    <w:p w14:paraId="3C95E3DE" w14:textId="77777777" w:rsidR="003E1D81" w:rsidRDefault="00EB481C">
      <w:pPr>
        <w:pStyle w:val="P68B1DB1-Normal4"/>
        <w:numPr>
          <w:ilvl w:val="1"/>
          <w:numId w:val="146"/>
        </w:numPr>
        <w:spacing w:before="120" w:after="160" w:line="240" w:lineRule="auto"/>
        <w:contextualSpacing/>
        <w:jc w:val="both"/>
        <w:rPr>
          <w:rFonts w:cs="Times New Roman"/>
          <w:noProof/>
        </w:rPr>
      </w:pPr>
      <w:r>
        <w:rPr>
          <w:noProof/>
        </w:rPr>
        <w:t>Együttműködés a szociális szolgálatokkal.</w:t>
      </w:r>
    </w:p>
    <w:p w14:paraId="5D537E1C" w14:textId="77777777" w:rsidR="003E1D81" w:rsidRDefault="00EB481C">
      <w:pPr>
        <w:pStyle w:val="P68B1DB1-Normal4"/>
        <w:numPr>
          <w:ilvl w:val="1"/>
          <w:numId w:val="146"/>
        </w:numPr>
        <w:spacing w:before="120" w:after="160" w:line="240" w:lineRule="auto"/>
        <w:contextualSpacing/>
        <w:jc w:val="both"/>
        <w:rPr>
          <w:rFonts w:cs="Times New Roman"/>
          <w:noProof/>
        </w:rPr>
      </w:pPr>
      <w:r>
        <w:rPr>
          <w:noProof/>
        </w:rPr>
        <w:t>Helyi és európai dimenzió.</w:t>
      </w:r>
    </w:p>
    <w:p w14:paraId="6719D66E" w14:textId="77777777" w:rsidR="003E1D81" w:rsidRDefault="00EB481C">
      <w:pPr>
        <w:pStyle w:val="P68B1DB1-Normal4"/>
        <w:numPr>
          <w:ilvl w:val="1"/>
          <w:numId w:val="146"/>
        </w:numPr>
        <w:spacing w:before="120" w:after="160" w:line="240" w:lineRule="auto"/>
        <w:contextualSpacing/>
        <w:jc w:val="both"/>
        <w:rPr>
          <w:rFonts w:cs="Times New Roman"/>
          <w:noProof/>
        </w:rPr>
      </w:pPr>
      <w:r>
        <w:rPr>
          <w:noProof/>
        </w:rPr>
        <w:t>Technológiai fejlődés a foglalkoztathatóság érdekében.</w:t>
      </w:r>
    </w:p>
    <w:p w14:paraId="65442721" w14:textId="77777777" w:rsidR="003E1D81" w:rsidRDefault="00EB481C">
      <w:pPr>
        <w:pStyle w:val="P68B1DB1-Normal4"/>
        <w:numPr>
          <w:ilvl w:val="1"/>
          <w:numId w:val="146"/>
        </w:numPr>
        <w:spacing w:before="120" w:after="160" w:line="240" w:lineRule="auto"/>
        <w:contextualSpacing/>
        <w:jc w:val="both"/>
        <w:rPr>
          <w:rFonts w:cs="Times New Roman"/>
          <w:noProof/>
        </w:rPr>
      </w:pPr>
      <w:r>
        <w:rPr>
          <w:noProof/>
        </w:rPr>
        <w:t>Az IKT-k és a nagy adathalmazok használata.</w:t>
      </w:r>
    </w:p>
    <w:p w14:paraId="029E0FC8" w14:textId="77777777" w:rsidR="003E1D81" w:rsidRDefault="00EB481C">
      <w:pPr>
        <w:pStyle w:val="P68B1DB1-Normal4"/>
        <w:numPr>
          <w:ilvl w:val="1"/>
          <w:numId w:val="146"/>
        </w:numPr>
        <w:spacing w:before="120" w:after="160" w:line="240" w:lineRule="auto"/>
        <w:contextualSpacing/>
        <w:jc w:val="both"/>
        <w:rPr>
          <w:rFonts w:cs="Times New Roman"/>
          <w:noProof/>
        </w:rPr>
      </w:pPr>
      <w:r>
        <w:rPr>
          <w:noProof/>
        </w:rPr>
        <w:t>A foglalkoztathatóság javítása.</w:t>
      </w:r>
    </w:p>
    <w:p w14:paraId="04D029A0" w14:textId="77777777" w:rsidR="003E1D81" w:rsidRDefault="00EB481C">
      <w:pPr>
        <w:pStyle w:val="P68B1DB1-Normal4"/>
        <w:spacing w:before="120" w:after="160" w:line="240" w:lineRule="auto"/>
        <w:ind w:left="709"/>
        <w:contextualSpacing/>
        <w:jc w:val="both"/>
        <w:rPr>
          <w:rFonts w:cs="Times New Roman"/>
          <w:noProof/>
        </w:rPr>
      </w:pPr>
      <w:r>
        <w:rPr>
          <w:noProof/>
        </w:rPr>
        <w:t xml:space="preserve">Az </w:t>
      </w:r>
      <w:r>
        <w:rPr>
          <w:noProof/>
        </w:rPr>
        <w:t>intézkedés ezen elemének végrehajtását 2022. december 31-ig be kell fejezni.</w:t>
      </w:r>
    </w:p>
    <w:p w14:paraId="40D99AEC" w14:textId="77777777" w:rsidR="003E1D81" w:rsidRDefault="00EB481C">
      <w:pPr>
        <w:pStyle w:val="P68B1DB1-Normal6"/>
        <w:spacing w:before="240" w:after="120" w:line="240" w:lineRule="auto"/>
        <w:jc w:val="both"/>
        <w:rPr>
          <w:rFonts w:cs="Times New Roman"/>
          <w:noProof/>
        </w:rPr>
      </w:pPr>
      <w:r>
        <w:rPr>
          <w:noProof/>
        </w:rPr>
        <w:t>Reform (C23.R6) – Állandó mechanizmus a belső rugalmasságra, a munkahelyek stabilitására és az átalakulóban lévő munkavállalók átképzésére.</w:t>
      </w:r>
    </w:p>
    <w:p w14:paraId="77191841" w14:textId="77777777" w:rsidR="003E1D81" w:rsidRDefault="00EB481C">
      <w:pPr>
        <w:pStyle w:val="P68B1DB1-Normal4"/>
        <w:spacing w:before="120" w:after="120" w:line="240" w:lineRule="auto"/>
        <w:jc w:val="both"/>
        <w:rPr>
          <w:rFonts w:cs="Times New Roman"/>
          <w:noProof/>
        </w:rPr>
      </w:pPr>
      <w:r>
        <w:rPr>
          <w:noProof/>
        </w:rPr>
        <w:t>E reform célja a ciklikus és strukturál</w:t>
      </w:r>
      <w:r>
        <w:rPr>
          <w:noProof/>
        </w:rPr>
        <w:t>is sokkhatásokhoz való alkalmazkodást szolgáló állandó rendszer létrehozása a munkaidő felfüggesztésének vagy csökkentésének egy olyan foglalkoztatásszabályozási terv révén történő lefedésével, amely magában foglalja azt a követelményt, hogy a munkavállaló</w:t>
      </w:r>
      <w:r>
        <w:rPr>
          <w:noProof/>
        </w:rPr>
        <w:t>kat javítani kell vagy át kell képezni a keresett készségek terén. A programnak a Covid19-válság során alkalmazott csökkentett munkaidős foglalkoztatás tapasztalataira kell épülnie annak érdekében, hogy a kijárási korlátozások és a világjárvány által okozo</w:t>
      </w:r>
      <w:r>
        <w:rPr>
          <w:noProof/>
        </w:rPr>
        <w:t xml:space="preserve">tt egyéb tevékenységkorlátozások idején megőrizzék a munkahelyeket. </w:t>
      </w:r>
    </w:p>
    <w:p w14:paraId="18C45FF0" w14:textId="77777777" w:rsidR="003E1D81" w:rsidRDefault="00EB481C">
      <w:pPr>
        <w:pStyle w:val="P68B1DB1-Normal4"/>
        <w:spacing w:before="120" w:after="120" w:line="240" w:lineRule="auto"/>
        <w:jc w:val="both"/>
        <w:rPr>
          <w:rFonts w:cs="Times New Roman"/>
          <w:noProof/>
        </w:rPr>
      </w:pPr>
      <w:r>
        <w:rPr>
          <w:noProof/>
        </w:rPr>
        <w:t>A reform két új kiigazítási mechanizmusból áll:</w:t>
      </w:r>
    </w:p>
    <w:p w14:paraId="40A14A70" w14:textId="77777777" w:rsidR="003E1D81" w:rsidRDefault="00EB481C">
      <w:pPr>
        <w:pStyle w:val="P68B1DB1-Normal4"/>
        <w:numPr>
          <w:ilvl w:val="0"/>
          <w:numId w:val="147"/>
        </w:numPr>
        <w:spacing w:before="120" w:after="160" w:line="240" w:lineRule="auto"/>
        <w:contextualSpacing/>
        <w:jc w:val="both"/>
        <w:rPr>
          <w:rFonts w:cs="Times New Roman"/>
          <w:noProof/>
        </w:rPr>
      </w:pPr>
      <w:r>
        <w:rPr>
          <w:noProof/>
        </w:rPr>
        <w:t>Gazdasági stabilizációs mechanizmus, amely belső rugalmasságot biztosít a vállalkozások számára, és stabilitást biztosít a munkavállalók sz</w:t>
      </w:r>
      <w:r>
        <w:rPr>
          <w:noProof/>
        </w:rPr>
        <w:t>ámára az átmeneti vagy ciklikus sokkhatásokkal szemben, különös tekintettel a munkavállalók képzésére.</w:t>
      </w:r>
    </w:p>
    <w:p w14:paraId="06B172C6" w14:textId="77777777" w:rsidR="003E1D81" w:rsidRDefault="00EB481C">
      <w:pPr>
        <w:pStyle w:val="P68B1DB1-Normal4"/>
        <w:numPr>
          <w:ilvl w:val="0"/>
          <w:numId w:val="147"/>
        </w:numPr>
        <w:spacing w:before="120" w:after="160" w:line="240" w:lineRule="auto"/>
        <w:contextualSpacing/>
        <w:jc w:val="both"/>
        <w:rPr>
          <w:rFonts w:cs="Times New Roman"/>
          <w:noProof/>
        </w:rPr>
      </w:pPr>
      <w:r>
        <w:rPr>
          <w:noProof/>
        </w:rPr>
        <w:t>Olyan mechanizmus, amely támogatja az átalakulóban lévő munkavállalók és vállalatok átképzését és továbbképzését annak érdekében, hogy segítse őket a tec</w:t>
      </w:r>
      <w:r>
        <w:rPr>
          <w:noProof/>
        </w:rPr>
        <w:t>hnológiai vagy keresleti innovációkkal való megbirkózásban, és amely megkönnyíti a munkavállalók önkéntes mobilitását a vállalkozásokon belül és azok között.</w:t>
      </w:r>
    </w:p>
    <w:p w14:paraId="608CBF5D" w14:textId="77777777" w:rsidR="003E1D81" w:rsidRDefault="00EB481C">
      <w:pPr>
        <w:pStyle w:val="P68B1DB1-Normal4"/>
        <w:spacing w:before="240" w:after="120" w:line="240" w:lineRule="auto"/>
        <w:jc w:val="both"/>
        <w:rPr>
          <w:rFonts w:cs="Times New Roman"/>
          <w:noProof/>
        </w:rPr>
      </w:pPr>
      <w:r>
        <w:rPr>
          <w:noProof/>
        </w:rPr>
        <w:t>Az intézkedést a munkavállalók jogállásáról szóló törvény módosításával kell végrehajtani. Magában</w:t>
      </w:r>
      <w:r>
        <w:rPr>
          <w:noProof/>
        </w:rPr>
        <w:t xml:space="preserve"> foglalja egy háromoldalú alap létrehozását, amelyet a munkáltatók és a munkavállalók társadalombiztosítási járulékaiból finanszíroznak, és amelyet az állam egészít ki. Biztosítja a költségvetés közép- és hosszú távú fenntarthatóságát, figyelembe véve a kü</w:t>
      </w:r>
      <w:r>
        <w:rPr>
          <w:noProof/>
        </w:rPr>
        <w:t xml:space="preserve">lönböző lehetőségeket és forgatókönyveket. Az alap konkrét működéséről a szociális partnerekkel kell tárgyalni. </w:t>
      </w:r>
    </w:p>
    <w:p w14:paraId="12963DC9" w14:textId="77777777" w:rsidR="003E1D81" w:rsidRDefault="00EB481C">
      <w:pPr>
        <w:pStyle w:val="P68B1DB1-Normal4"/>
        <w:spacing w:before="240" w:after="120" w:line="240" w:lineRule="auto"/>
        <w:jc w:val="both"/>
        <w:rPr>
          <w:rFonts w:cs="Times New Roman"/>
          <w:noProof/>
        </w:rPr>
      </w:pPr>
      <w:r>
        <w:rPr>
          <w:noProof/>
        </w:rPr>
        <w:t>Az intézkedés végrehajtását 2021. december 31-ig be kell fejezni.</w:t>
      </w:r>
    </w:p>
    <w:p w14:paraId="28CD0A2F" w14:textId="77777777" w:rsidR="003E1D81" w:rsidRDefault="00EB481C">
      <w:pPr>
        <w:pStyle w:val="P68B1DB1-Normal6"/>
        <w:spacing w:before="120" w:after="120" w:line="240" w:lineRule="auto"/>
        <w:jc w:val="both"/>
        <w:rPr>
          <w:rFonts w:cs="Times New Roman"/>
          <w:noProof/>
        </w:rPr>
      </w:pPr>
      <w:r>
        <w:rPr>
          <w:noProof/>
        </w:rPr>
        <w:t>Reform (C23.R7) – A munkaerő-felvételi ösztönzők felülvizsgálata</w:t>
      </w:r>
    </w:p>
    <w:p w14:paraId="5D0C6F76" w14:textId="77777777" w:rsidR="003E1D81" w:rsidRDefault="00EB481C">
      <w:pPr>
        <w:pStyle w:val="P68B1DB1-Normal4"/>
        <w:spacing w:before="120" w:after="120" w:line="240" w:lineRule="auto"/>
        <w:jc w:val="both"/>
        <w:rPr>
          <w:rFonts w:cs="Times New Roman"/>
          <w:noProof/>
        </w:rPr>
      </w:pPr>
      <w:r>
        <w:rPr>
          <w:noProof/>
        </w:rPr>
        <w:t>A reform cél</w:t>
      </w:r>
      <w:r>
        <w:rPr>
          <w:noProof/>
        </w:rPr>
        <w:t>ja a munkaerő-felvételi ösztönzők rendszerének egyszerűsítése és hatékonyságának növelése célzottabbá tétel révén, figyelembe véve a kiadásoknak a független költségvetési hatóság (AIReF) által végzett felülvizsgálatát. Célja különösen, hogy a minőségi munk</w:t>
      </w:r>
      <w:r>
        <w:rPr>
          <w:noProof/>
        </w:rPr>
        <w:t>ahelyek és a határozatlan idejű szerződések előmozdítása révén javítsa az alacsony munkaerő-piaci részvétellel rendelkező, nagyon specifikus csoportok foglalkoztathatóságát. Csökkenteni kell az ösztönzők számát, és egységesíteni kell a kedvezményezett váll</w:t>
      </w:r>
      <w:r>
        <w:rPr>
          <w:noProof/>
        </w:rPr>
        <w:t>alkozásokra vonatkozó követelményeket. A munkaerő-felvételt ösztönző rendszer folyamatos nyomon követését és értékelését tervezik.</w:t>
      </w:r>
    </w:p>
    <w:p w14:paraId="411CD929" w14:textId="77777777" w:rsidR="003E1D81" w:rsidRDefault="00EB481C">
      <w:pPr>
        <w:pStyle w:val="P68B1DB1-Normal4"/>
        <w:spacing w:before="120" w:after="120" w:line="240" w:lineRule="auto"/>
        <w:jc w:val="both"/>
        <w:rPr>
          <w:rFonts w:cs="Times New Roman"/>
          <w:noProof/>
        </w:rPr>
      </w:pPr>
      <w:r>
        <w:rPr>
          <w:noProof/>
        </w:rPr>
        <w:t xml:space="preserve">A reform végrehajtása a 43/2006. sz. törvény módosításával történik. Szorosan kapcsolódik e komponens egyéb intézkedéseihez, </w:t>
      </w:r>
      <w:r>
        <w:rPr>
          <w:noProof/>
        </w:rPr>
        <w:t>például az 5. reformhoz (az aktív munkaerő-piaci politikák átfogó reformja) és a 7. beruházáshoz (aktiválási pályák a minimáljövedelem-rendszer kedvezményezettjei számára).</w:t>
      </w:r>
    </w:p>
    <w:p w14:paraId="0AC3C4D4" w14:textId="77777777" w:rsidR="003E1D81" w:rsidRDefault="00EB481C">
      <w:pPr>
        <w:pStyle w:val="P68B1DB1-Normal4"/>
        <w:spacing w:before="120" w:after="120" w:line="240" w:lineRule="auto"/>
        <w:jc w:val="both"/>
        <w:rPr>
          <w:rFonts w:cs="Times New Roman"/>
          <w:noProof/>
        </w:rPr>
      </w:pPr>
      <w:r>
        <w:rPr>
          <w:noProof/>
        </w:rPr>
        <w:t>Az intézkedés végrehajtását 2022. december 31-ig be kell fejezni.</w:t>
      </w:r>
    </w:p>
    <w:p w14:paraId="13629EB5" w14:textId="77777777" w:rsidR="003E1D81" w:rsidRDefault="00EB481C">
      <w:pPr>
        <w:pStyle w:val="P68B1DB1-Normal6"/>
        <w:keepNext/>
        <w:spacing w:before="120" w:after="120" w:line="240" w:lineRule="auto"/>
        <w:jc w:val="both"/>
        <w:rPr>
          <w:rFonts w:cs="Times New Roman"/>
          <w:noProof/>
        </w:rPr>
      </w:pPr>
      <w:r>
        <w:rPr>
          <w:noProof/>
        </w:rPr>
        <w:t>Reform (C23.R8) –</w:t>
      </w:r>
      <w:r>
        <w:rPr>
          <w:noProof/>
        </w:rPr>
        <w:t xml:space="preserve"> A kollektív tárgyalások korszerűsítése</w:t>
      </w:r>
    </w:p>
    <w:p w14:paraId="496F473E" w14:textId="77777777" w:rsidR="003E1D81" w:rsidRDefault="00EB481C">
      <w:pPr>
        <w:pStyle w:val="P68B1DB1-Normal4"/>
        <w:keepNext/>
        <w:spacing w:before="120" w:after="120" w:line="240" w:lineRule="auto"/>
        <w:jc w:val="both"/>
        <w:rPr>
          <w:rFonts w:cs="Times New Roman"/>
          <w:noProof/>
        </w:rPr>
      </w:pPr>
      <w:r>
        <w:rPr>
          <w:noProof/>
        </w:rPr>
        <w:t>E reform célja a kollektív tárgyalások működésének javítása a munkavállalók jogállásáról szóló törvény (a 2/2015. sz. törvényerejű rendelet III. címe) vonatkozó jogi szabályainak a szociális párbeszéd folyamatát köve</w:t>
      </w:r>
      <w:r>
        <w:rPr>
          <w:noProof/>
        </w:rPr>
        <w:t>tő módosítása révén. Emiatt a terv nem részletezi teljes körűen a tervezett szabályozási változtatásokat. A módosításoknak javítaniuk kell a kollektív tárgyalásokra vonatkozó jogi szabályokat.</w:t>
      </w:r>
    </w:p>
    <w:p w14:paraId="4D0CE5EC" w14:textId="77777777" w:rsidR="003E1D81" w:rsidRDefault="00EB481C">
      <w:pPr>
        <w:pStyle w:val="P68B1DB1-Normal4"/>
        <w:spacing w:before="120" w:after="120" w:line="240" w:lineRule="auto"/>
        <w:jc w:val="both"/>
        <w:rPr>
          <w:rFonts w:cs="Times New Roman"/>
          <w:noProof/>
        </w:rPr>
      </w:pPr>
      <w:r>
        <w:rPr>
          <w:noProof/>
        </w:rPr>
        <w:t>A kollektív tárgyalások korszerűsítésének magában kell foglalni</w:t>
      </w:r>
      <w:r>
        <w:rPr>
          <w:noProof/>
        </w:rPr>
        <w:t>a magát a tárgyalási struktúrát érintő változásokat azzal a céllal, hogy megerősítse a tárgyaló felek reprezentativitását, gazdagítsa a párbeszéd tartalmát, és fokozza a jogbiztonságot a végrehajtás és a hatások tekintetében. A változások nem akadályozhatj</w:t>
      </w:r>
      <w:r>
        <w:rPr>
          <w:noProof/>
        </w:rPr>
        <w:t>ák aránytalanul a vállalkozásokat abban, hogy alkalmazkodjanak a ciklushoz és reagáljanak a termelékenység alakulására.</w:t>
      </w:r>
    </w:p>
    <w:p w14:paraId="02DD64C2" w14:textId="77777777" w:rsidR="003E1D81" w:rsidRDefault="00EB481C">
      <w:pPr>
        <w:pStyle w:val="P68B1DB1-Normal4"/>
        <w:spacing w:before="120" w:after="120" w:line="240" w:lineRule="auto"/>
        <w:jc w:val="both"/>
        <w:rPr>
          <w:rFonts w:cs="Times New Roman"/>
          <w:noProof/>
        </w:rPr>
      </w:pPr>
      <w:r>
        <w:rPr>
          <w:noProof/>
        </w:rPr>
        <w:t xml:space="preserve">A reform végrehajtását 2021. december 31-ig be kell fejezni. </w:t>
      </w:r>
    </w:p>
    <w:p w14:paraId="026F07AD" w14:textId="77777777" w:rsidR="003E1D81" w:rsidRDefault="00EB481C">
      <w:pPr>
        <w:pStyle w:val="P68B1DB1-Normal6"/>
        <w:spacing w:before="120" w:after="120" w:line="240" w:lineRule="auto"/>
        <w:jc w:val="both"/>
        <w:rPr>
          <w:rFonts w:cs="Times New Roman"/>
          <w:noProof/>
        </w:rPr>
      </w:pPr>
      <w:r>
        <w:rPr>
          <w:noProof/>
        </w:rPr>
        <w:t>Reform (C23.R9) – Az alvállalkozói tevékenységek korszerűsítése</w:t>
      </w:r>
    </w:p>
    <w:p w14:paraId="788616DE" w14:textId="77777777" w:rsidR="003E1D81" w:rsidRDefault="00EB481C">
      <w:pPr>
        <w:pStyle w:val="P68B1DB1-Normal4"/>
        <w:spacing w:before="120" w:after="120" w:line="240" w:lineRule="auto"/>
        <w:jc w:val="both"/>
        <w:rPr>
          <w:rFonts w:cs="Times New Roman"/>
          <w:noProof/>
        </w:rPr>
      </w:pPr>
      <w:r>
        <w:rPr>
          <w:noProof/>
        </w:rPr>
        <w:t>E reform c</w:t>
      </w:r>
      <w:r>
        <w:rPr>
          <w:noProof/>
        </w:rPr>
        <w:t>élja az alvállalkozásban dolgozó személyek munkakörülményeinek és jogainak javítása azáltal, hogy módosítja a munkavállalók jogállásáról szóló törvény 42. cikkét (2/2015. sz. törvényerejű rendelet) annak érdekében, hogy biztosítsa annak megfelelő alkalmazá</w:t>
      </w:r>
      <w:r>
        <w:rPr>
          <w:noProof/>
        </w:rPr>
        <w:t xml:space="preserve">sát azokban az esetekben, amikor javítja a termelő tevékenységet, és eltántorítja attól, hogy csak a költségek csökkentésének eszközéről van szó. </w:t>
      </w:r>
    </w:p>
    <w:p w14:paraId="4B283B21" w14:textId="77777777" w:rsidR="003E1D81" w:rsidRDefault="00EB481C">
      <w:pPr>
        <w:pStyle w:val="P68B1DB1-Normal4"/>
        <w:spacing w:before="120" w:after="120" w:line="240" w:lineRule="auto"/>
        <w:jc w:val="both"/>
        <w:rPr>
          <w:rFonts w:cs="Times New Roman"/>
          <w:noProof/>
        </w:rPr>
      </w:pPr>
      <w:r>
        <w:rPr>
          <w:noProof/>
        </w:rPr>
        <w:t>Ennek a reformnak megfelelő szintű védelmet kell biztosítania a munkavállalók számára az alvállalkozásba adás</w:t>
      </w:r>
      <w:r>
        <w:rPr>
          <w:noProof/>
        </w:rPr>
        <w:t xml:space="preserve"> során, és egyenlő versenyfeltételek felé kell elmozdulnia az alvállalkozói és a vállalati munkavállalók között. Meg kell erősítenie továbbá a vállalkozók vagy alvállalkozók felelősségét, és meg kell akadályoznia a szolgáltatások alvállalkozásba adása révé</w:t>
      </w:r>
      <w:r>
        <w:rPr>
          <w:noProof/>
        </w:rPr>
        <w:t>n történő kiszervezését azokban az esetekben, amikor arra az alvállalkozóknak dolgozó személyek munkaügyi normáinak csökkentése céljából került sor.</w:t>
      </w:r>
    </w:p>
    <w:p w14:paraId="61713654" w14:textId="77777777" w:rsidR="003E1D81" w:rsidRDefault="00EB481C">
      <w:pPr>
        <w:pStyle w:val="P68B1DB1-Normal4"/>
        <w:spacing w:before="120" w:after="120" w:line="240" w:lineRule="auto"/>
        <w:jc w:val="both"/>
        <w:rPr>
          <w:rFonts w:cs="Times New Roman"/>
          <w:noProof/>
        </w:rPr>
      </w:pPr>
      <w:r>
        <w:rPr>
          <w:noProof/>
        </w:rPr>
        <w:t>A reform végrehajtását 2021. december 31-ig be kell fejezni.</w:t>
      </w:r>
    </w:p>
    <w:p w14:paraId="4F3E3072" w14:textId="77777777" w:rsidR="003E1D81" w:rsidRDefault="00EB481C">
      <w:pPr>
        <w:pStyle w:val="P68B1DB1-Normal6"/>
        <w:spacing w:before="120" w:after="120" w:line="240" w:lineRule="auto"/>
        <w:jc w:val="both"/>
        <w:rPr>
          <w:rFonts w:cs="Times New Roman"/>
          <w:noProof/>
        </w:rPr>
      </w:pPr>
      <w:r>
        <w:rPr>
          <w:noProof/>
        </w:rPr>
        <w:t>Reform (C23.R10) – A munkanélküli-segély egysz</w:t>
      </w:r>
      <w:r>
        <w:rPr>
          <w:noProof/>
        </w:rPr>
        <w:t>erűsítése és javítása</w:t>
      </w:r>
    </w:p>
    <w:p w14:paraId="1FD56FE4" w14:textId="16B70496" w:rsidR="003E1D81" w:rsidRDefault="00EB481C">
      <w:pPr>
        <w:pStyle w:val="P68B1DB1-Normal4"/>
        <w:spacing w:before="120" w:after="120" w:line="240" w:lineRule="auto"/>
        <w:jc w:val="both"/>
        <w:rPr>
          <w:rFonts w:cs="Times New Roman"/>
          <w:noProof/>
        </w:rPr>
      </w:pPr>
      <w:r>
        <w:rPr>
          <w:noProof/>
        </w:rPr>
        <w:t>Ez a jogalkotási reform a nem járulékalapú munkanélküli segélyre vonatkozik, és a 8/2015. sz. királyi törvényerejű rendelet módosítása révén valósul meg. Szorosan kapcsolódik a 22. elem 5. reformjához, amely a nem járulékalapú szociál</w:t>
      </w:r>
      <w:r>
        <w:rPr>
          <w:noProof/>
        </w:rPr>
        <w:t xml:space="preserve">is ellátások általánosabb reformját vázolja fel. </w:t>
      </w:r>
    </w:p>
    <w:p w14:paraId="5A323593" w14:textId="77777777" w:rsidR="003E1D81" w:rsidRDefault="00EB481C">
      <w:pPr>
        <w:pStyle w:val="P68B1DB1-Normal4"/>
        <w:spacing w:before="120" w:after="120" w:line="240" w:lineRule="auto"/>
        <w:jc w:val="both"/>
        <w:rPr>
          <w:rFonts w:cs="Times New Roman"/>
          <w:noProof/>
        </w:rPr>
      </w:pPr>
      <w:r>
        <w:rPr>
          <w:noProof/>
        </w:rPr>
        <w:t>A reform a következő célkitűzéseket tartalmazza:</w:t>
      </w:r>
    </w:p>
    <w:p w14:paraId="533E27A3" w14:textId="77777777" w:rsidR="003E1D81" w:rsidRDefault="00EB481C">
      <w:pPr>
        <w:pStyle w:val="P68B1DB1-Normal4"/>
        <w:numPr>
          <w:ilvl w:val="2"/>
          <w:numId w:val="148"/>
        </w:numPr>
        <w:spacing w:before="120" w:after="160" w:line="240" w:lineRule="auto"/>
        <w:ind w:left="709"/>
        <w:contextualSpacing/>
        <w:jc w:val="both"/>
        <w:rPr>
          <w:rFonts w:cs="Times New Roman"/>
          <w:noProof/>
        </w:rPr>
      </w:pPr>
      <w:r>
        <w:rPr>
          <w:noProof/>
        </w:rPr>
        <w:t xml:space="preserve">a munkanélküliségi védelem kiterjesztése a jelenlegi rendszer lefedettségi hiányosságainak pótlása és a maximális időtartam meghosszabbítása révén; </w:t>
      </w:r>
    </w:p>
    <w:p w14:paraId="12836CE3" w14:textId="77777777" w:rsidR="003E1D81" w:rsidRDefault="00EB481C">
      <w:pPr>
        <w:pStyle w:val="P68B1DB1-Normal4"/>
        <w:numPr>
          <w:ilvl w:val="2"/>
          <w:numId w:val="148"/>
        </w:numPr>
        <w:spacing w:before="120" w:after="160" w:line="240" w:lineRule="auto"/>
        <w:ind w:left="709"/>
        <w:contextualSpacing/>
        <w:jc w:val="both"/>
        <w:rPr>
          <w:rFonts w:cs="Times New Roman"/>
          <w:noProof/>
        </w:rPr>
      </w:pPr>
      <w:r>
        <w:rPr>
          <w:noProof/>
        </w:rPr>
        <w:t>a rendsz</w:t>
      </w:r>
      <w:r>
        <w:rPr>
          <w:noProof/>
        </w:rPr>
        <w:t xml:space="preserve">er egyszerűsítése, amely jelenleg több rendszerre tagolódik; </w:t>
      </w:r>
    </w:p>
    <w:p w14:paraId="56F4FDAE" w14:textId="77777777" w:rsidR="003E1D81" w:rsidRDefault="00EB481C">
      <w:pPr>
        <w:pStyle w:val="P68B1DB1-Normal4"/>
        <w:numPr>
          <w:ilvl w:val="2"/>
          <w:numId w:val="148"/>
        </w:numPr>
        <w:spacing w:before="120" w:after="160" w:line="240" w:lineRule="auto"/>
        <w:ind w:left="709"/>
        <w:contextualSpacing/>
        <w:jc w:val="both"/>
        <w:rPr>
          <w:rFonts w:cs="Times New Roman"/>
          <w:noProof/>
        </w:rPr>
      </w:pPr>
      <w:r>
        <w:rPr>
          <w:noProof/>
        </w:rPr>
        <w:t xml:space="preserve">az ellátás összekapcsolása a személyre szabott aktiválási útvonallal; </w:t>
      </w:r>
    </w:p>
    <w:p w14:paraId="0FB4E56A" w14:textId="77777777" w:rsidR="003E1D81" w:rsidRDefault="00EB481C">
      <w:pPr>
        <w:pStyle w:val="P68B1DB1-Normal4"/>
        <w:numPr>
          <w:ilvl w:val="2"/>
          <w:numId w:val="148"/>
        </w:numPr>
        <w:spacing w:before="120" w:after="160" w:line="240" w:lineRule="auto"/>
        <w:ind w:left="709"/>
        <w:contextualSpacing/>
        <w:jc w:val="both"/>
        <w:rPr>
          <w:rFonts w:cs="Times New Roman"/>
          <w:noProof/>
        </w:rPr>
      </w:pPr>
      <w:r>
        <w:rPr>
          <w:noProof/>
        </w:rPr>
        <w:t xml:space="preserve">a szociális védelemre való áttérés megkönnyítése abban az esetben, ha a kedvezményezett nem tér vissza a munkába és </w:t>
      </w:r>
      <w:r>
        <w:rPr>
          <w:noProof/>
        </w:rPr>
        <w:t>kiszolgáltatott helyzetben van.</w:t>
      </w:r>
    </w:p>
    <w:p w14:paraId="29D1C7E2" w14:textId="77777777" w:rsidR="003E1D81" w:rsidRDefault="00EB481C">
      <w:pPr>
        <w:pStyle w:val="P68B1DB1-Normal4"/>
        <w:spacing w:before="240" w:after="120" w:line="240" w:lineRule="auto"/>
        <w:jc w:val="both"/>
        <w:rPr>
          <w:rFonts w:cs="Times New Roman"/>
          <w:noProof/>
        </w:rPr>
      </w:pPr>
      <w:r>
        <w:rPr>
          <w:noProof/>
        </w:rPr>
        <w:t>Általános szabályként az új rendszer célcsoportjának meg kell egyeznie a jelenlegi rendszerrel, azaz azok a munkanélküliek, akik nem jogosultak járulékalapú álláskeresési járadékra, akár azért, mert túl hosszú ideje munkanél</w:t>
      </w:r>
      <w:r>
        <w:rPr>
          <w:noProof/>
        </w:rPr>
        <w:t>küliek és kimerítették jogaikat, akár azért, mert járulékfizetési előzményeik túl rövidek (kevesebb mint 12 hónap, de több mint hat hónap). Az ellátás havi összege továbbra is az IPREM (többszörös hatások közjövedelmet jelző mutató) 80%-a.</w:t>
      </w:r>
    </w:p>
    <w:p w14:paraId="6FEE01AA" w14:textId="77777777" w:rsidR="003E1D81" w:rsidRDefault="00EB481C">
      <w:pPr>
        <w:pStyle w:val="P68B1DB1-Normal4"/>
        <w:spacing w:before="120" w:after="120" w:line="240" w:lineRule="auto"/>
        <w:jc w:val="both"/>
        <w:rPr>
          <w:rFonts w:cs="Times New Roman"/>
          <w:noProof/>
        </w:rPr>
      </w:pPr>
      <w:r>
        <w:rPr>
          <w:noProof/>
        </w:rPr>
        <w:t>Az intézkedés vé</w:t>
      </w:r>
      <w:r>
        <w:rPr>
          <w:noProof/>
        </w:rPr>
        <w:t>grehajtását 2022. december 31-ig be kell fejezni.</w:t>
      </w:r>
    </w:p>
    <w:p w14:paraId="18C2CB6D" w14:textId="77777777" w:rsidR="003E1D81" w:rsidRDefault="00EB481C">
      <w:pPr>
        <w:pStyle w:val="P68B1DB1-Normal6"/>
        <w:keepNext/>
        <w:spacing w:before="120" w:after="120" w:line="240" w:lineRule="auto"/>
        <w:jc w:val="both"/>
        <w:rPr>
          <w:rFonts w:cs="Times New Roman"/>
          <w:noProof/>
        </w:rPr>
      </w:pPr>
      <w:r>
        <w:rPr>
          <w:noProof/>
        </w:rPr>
        <w:t xml:space="preserve">Reform (C23.R11) – Az állami foglalkoztatási szolgálatok (ÁFSZ-ek) digitalizálása modernizációja és hatékonysága érdekében. </w:t>
      </w:r>
    </w:p>
    <w:p w14:paraId="0402C109" w14:textId="77777777" w:rsidR="003E1D81" w:rsidRDefault="00EB481C">
      <w:pPr>
        <w:pStyle w:val="P68B1DB1-Normal4"/>
        <w:keepNext/>
        <w:spacing w:before="120" w:after="120" w:line="240" w:lineRule="auto"/>
        <w:jc w:val="both"/>
        <w:rPr>
          <w:rFonts w:cs="Times New Roman"/>
          <w:noProof/>
        </w:rPr>
      </w:pPr>
      <w:r>
        <w:rPr>
          <w:noProof/>
        </w:rPr>
        <w:t>E reform célja, hogy átalakítsa az állami foglalkoztatási szolgáltatások nyújtásá</w:t>
      </w:r>
      <w:r>
        <w:rPr>
          <w:noProof/>
        </w:rPr>
        <w:t>t, és javítsa azok hatékonyságát a polgárok és a vállalkozások számára. A reform a következő elemekből áll:</w:t>
      </w:r>
    </w:p>
    <w:p w14:paraId="78B41EBA" w14:textId="77777777" w:rsidR="003E1D81" w:rsidRDefault="00EB481C">
      <w:pPr>
        <w:pStyle w:val="P68B1DB1-Normal4"/>
        <w:numPr>
          <w:ilvl w:val="0"/>
          <w:numId w:val="149"/>
        </w:numPr>
        <w:spacing w:before="120" w:after="160" w:line="240" w:lineRule="auto"/>
        <w:contextualSpacing/>
        <w:jc w:val="both"/>
        <w:rPr>
          <w:rFonts w:cs="Times New Roman"/>
          <w:noProof/>
        </w:rPr>
      </w:pPr>
      <w:r>
        <w:rPr>
          <w:noProof/>
        </w:rPr>
        <w:t xml:space="preserve">A belső irányítás javítása: a munkanélküli-ellátási rendszert támogató, valamint az aktív munkaerő-piaci intézkedéseket támogató információs </w:t>
      </w:r>
      <w:r>
        <w:rPr>
          <w:noProof/>
        </w:rPr>
        <w:t>rendszerek korszerűsítése.</w:t>
      </w:r>
    </w:p>
    <w:p w14:paraId="310BC912" w14:textId="77777777" w:rsidR="003E1D81" w:rsidRDefault="00EB481C">
      <w:pPr>
        <w:pStyle w:val="P68B1DB1-Normal4"/>
        <w:numPr>
          <w:ilvl w:val="0"/>
          <w:numId w:val="149"/>
        </w:numPr>
        <w:spacing w:before="120" w:after="160" w:line="240" w:lineRule="auto"/>
        <w:contextualSpacing/>
        <w:jc w:val="both"/>
        <w:rPr>
          <w:rFonts w:cs="Times New Roman"/>
          <w:noProof/>
        </w:rPr>
      </w:pPr>
      <w:r>
        <w:rPr>
          <w:noProof/>
        </w:rPr>
        <w:t>A polgároknak és a vállalkozásoknak nyújtott valamennyi közszolgáltatás digitalizálása, valamint az ügyfélszolgálat javítása, beleértve az új szolgáltatások (mobilalkalmazás és továbbfejlesztett előzetes kinevezési rendszer és on</w:t>
      </w:r>
      <w:r>
        <w:rPr>
          <w:noProof/>
        </w:rPr>
        <w:t>line szolgáltatások) kínálatát.</w:t>
      </w:r>
    </w:p>
    <w:p w14:paraId="2C2D88FD" w14:textId="77777777" w:rsidR="003E1D81" w:rsidRDefault="00EB481C">
      <w:pPr>
        <w:pStyle w:val="P68B1DB1-Normal4"/>
        <w:numPr>
          <w:ilvl w:val="0"/>
          <w:numId w:val="149"/>
        </w:numPr>
        <w:spacing w:before="120" w:after="160" w:line="240" w:lineRule="auto"/>
        <w:contextualSpacing/>
        <w:jc w:val="both"/>
        <w:rPr>
          <w:rFonts w:cs="Times New Roman"/>
          <w:noProof/>
        </w:rPr>
      </w:pPr>
      <w:r>
        <w:rPr>
          <w:noProof/>
        </w:rPr>
        <w:t>Statisztika és adatkezelés: A döntéshozatalt elősegítő megfelelő adatkezelés beépítése, valamint a társadalom számára nagy értéket képviselő információk közzététele.</w:t>
      </w:r>
    </w:p>
    <w:p w14:paraId="69ED1664" w14:textId="77777777" w:rsidR="003E1D81" w:rsidRDefault="00EB481C">
      <w:pPr>
        <w:pStyle w:val="P68B1DB1-Normal4"/>
        <w:numPr>
          <w:ilvl w:val="0"/>
          <w:numId w:val="149"/>
        </w:numPr>
        <w:spacing w:before="120" w:after="160" w:line="240" w:lineRule="auto"/>
        <w:contextualSpacing/>
        <w:jc w:val="both"/>
        <w:rPr>
          <w:rFonts w:cs="Times New Roman"/>
          <w:noProof/>
        </w:rPr>
      </w:pPr>
      <w:r>
        <w:rPr>
          <w:noProof/>
        </w:rPr>
        <w:t>A csalás elleni rendszerek javítása mesterségesintelligenc</w:t>
      </w:r>
      <w:r>
        <w:rPr>
          <w:noProof/>
        </w:rPr>
        <w:t>ia-rendszerek és nagy adathalmazok révén.</w:t>
      </w:r>
    </w:p>
    <w:p w14:paraId="4780FB48" w14:textId="77777777" w:rsidR="003E1D81" w:rsidRDefault="00EB481C">
      <w:pPr>
        <w:pStyle w:val="P68B1DB1-Normal4"/>
        <w:numPr>
          <w:ilvl w:val="0"/>
          <w:numId w:val="149"/>
        </w:numPr>
        <w:spacing w:before="120" w:after="160" w:line="240" w:lineRule="auto"/>
        <w:contextualSpacing/>
        <w:jc w:val="both"/>
        <w:rPr>
          <w:rFonts w:cs="Times New Roman"/>
          <w:noProof/>
        </w:rPr>
      </w:pPr>
      <w:r>
        <w:rPr>
          <w:noProof/>
        </w:rPr>
        <w:t>A munkahelyek és az infrastruktúrák korszerűsítése az ÁFSZ-ek személyzete távmunka-szervezésének megkönnyítése érdekében.</w:t>
      </w:r>
    </w:p>
    <w:p w14:paraId="3A34C3C9" w14:textId="77777777" w:rsidR="003E1D81" w:rsidRDefault="00EB481C">
      <w:pPr>
        <w:pStyle w:val="P68B1DB1-Normal4"/>
        <w:spacing w:before="240" w:after="120" w:line="240" w:lineRule="auto"/>
        <w:jc w:val="both"/>
        <w:rPr>
          <w:rFonts w:cs="Times New Roman"/>
          <w:noProof/>
        </w:rPr>
      </w:pPr>
      <w:r>
        <w:rPr>
          <w:noProof/>
        </w:rPr>
        <w:t>Az ÁFSZ-ek reformja a közigazgatás korszerűsítésére és digitalizálására irányuló általánosab</w:t>
      </w:r>
      <w:r>
        <w:rPr>
          <w:noProof/>
        </w:rPr>
        <w:t xml:space="preserve">b erőfeszítések részét képezi (a helyreállítási és rezilienciaépítési terv 11. eleme). Az ÁFSZ-reform finanszírozása a 11. komponenshez tartozó 2. beruházás szerződéskötésén és végrehajtásán keresztül történik. </w:t>
      </w:r>
    </w:p>
    <w:p w14:paraId="1547CC91" w14:textId="77777777" w:rsidR="003E1D81" w:rsidRDefault="00EB481C">
      <w:pPr>
        <w:pStyle w:val="P68B1DB1-Normal4"/>
        <w:spacing w:before="120" w:after="120" w:line="240" w:lineRule="auto"/>
        <w:jc w:val="both"/>
        <w:rPr>
          <w:rFonts w:cs="Times New Roman"/>
          <w:noProof/>
        </w:rPr>
      </w:pPr>
      <w:r>
        <w:rPr>
          <w:noProof/>
        </w:rPr>
        <w:t xml:space="preserve">A reform végrehajtását 2023. december 31-ig </w:t>
      </w:r>
      <w:r>
        <w:rPr>
          <w:noProof/>
        </w:rPr>
        <w:t>be kell fejezni.</w:t>
      </w:r>
    </w:p>
    <w:p w14:paraId="7E7F8248" w14:textId="77777777" w:rsidR="003E1D81" w:rsidRDefault="00EB481C">
      <w:pPr>
        <w:pStyle w:val="P68B1DB1-Normal6"/>
        <w:spacing w:before="120" w:after="120" w:line="240" w:lineRule="auto"/>
        <w:jc w:val="both"/>
        <w:rPr>
          <w:rFonts w:cs="Times New Roman"/>
          <w:noProof/>
        </w:rPr>
      </w:pPr>
      <w:r>
        <w:rPr>
          <w:noProof/>
        </w:rPr>
        <w:t>Beruházás (C23.I1) – Ifjúsági foglalkoztatás</w:t>
      </w:r>
    </w:p>
    <w:p w14:paraId="7CB5F96A" w14:textId="77777777" w:rsidR="003E1D81" w:rsidRDefault="00EB481C">
      <w:pPr>
        <w:pStyle w:val="P68B1DB1-Normal4"/>
        <w:spacing w:before="120" w:after="120" w:line="240" w:lineRule="auto"/>
        <w:jc w:val="both"/>
        <w:rPr>
          <w:rFonts w:cs="Times New Roman"/>
          <w:noProof/>
        </w:rPr>
      </w:pPr>
      <w:r>
        <w:rPr>
          <w:noProof/>
        </w:rPr>
        <w:t>Ez a beruházás egy sor aktivizálási és képzési programot foglal magában a fiatal álláskeresők számára (16–29 év) azzal a céllal, hogy támogassa munkaerő-piaci integrációjukat. A program a követk</w:t>
      </w:r>
      <w:r>
        <w:rPr>
          <w:noProof/>
        </w:rPr>
        <w:t>ező intézkedésekből áll:</w:t>
      </w:r>
    </w:p>
    <w:p w14:paraId="6C2E620C" w14:textId="77777777" w:rsidR="003E1D81" w:rsidRDefault="00EB481C">
      <w:pPr>
        <w:pStyle w:val="P68B1DB1-Normal4"/>
        <w:numPr>
          <w:ilvl w:val="0"/>
          <w:numId w:val="150"/>
        </w:numPr>
        <w:spacing w:before="120" w:after="160" w:line="240" w:lineRule="auto"/>
        <w:contextualSpacing/>
        <w:jc w:val="both"/>
        <w:rPr>
          <w:rFonts w:cs="Times New Roman"/>
          <w:noProof/>
        </w:rPr>
      </w:pPr>
      <w:r>
        <w:rPr>
          <w:noProof/>
        </w:rPr>
        <w:t>„Tandem” program. Munkaalapú képzést biztosít a 16 és 29 év közötti fiatalok számára közoktatási műhelyeken, különös tekintettel a kettős átálláshoz, a szociális ellátáshoz és a területi kohézióhoz szükséges készségekre. A központi</w:t>
      </w:r>
      <w:r>
        <w:rPr>
          <w:noProof/>
        </w:rPr>
        <w:t xml:space="preserve"> közigazgatás közjogi szervei és az állami közszféra egyéb szervei, valamint a végrehajtásért felelős egyesületek, alapítványok és egyéb nonprofit szervezetek részesülnek a támogatásban. </w:t>
      </w:r>
    </w:p>
    <w:p w14:paraId="4A746104" w14:textId="77777777" w:rsidR="003E1D81" w:rsidRDefault="00EB481C">
      <w:pPr>
        <w:pStyle w:val="P68B1DB1-Normal4"/>
        <w:numPr>
          <w:ilvl w:val="0"/>
          <w:numId w:val="150"/>
        </w:numPr>
        <w:spacing w:before="120" w:after="160" w:line="240" w:lineRule="auto"/>
        <w:contextualSpacing/>
        <w:jc w:val="both"/>
        <w:rPr>
          <w:rFonts w:cs="Times New Roman"/>
          <w:noProof/>
        </w:rPr>
      </w:pPr>
      <w:r>
        <w:rPr>
          <w:noProof/>
        </w:rPr>
        <w:t>„Első szakmai tapasztalat” program a közigazgatásban. Kezdeti munkat</w:t>
      </w:r>
      <w:r>
        <w:rPr>
          <w:noProof/>
        </w:rPr>
        <w:t>apasztalatot kínál a közszférában (központi és területi közigazgatásban egyaránt) azoknak a munkanélküli fiataloknak, akik befejezték formális tanulmányaikat. A kettős átállással, a szociális gondozással és a területi kohézióval kapcsolatos munkakörökben v</w:t>
      </w:r>
      <w:r>
        <w:rPr>
          <w:noProof/>
        </w:rPr>
        <w:t xml:space="preserve">égzett munkával humán készségeket kell elsajátítaniuk. A támogatásokat a végrehajtásért felelős központi és területi közigazgatási szervek közigazgatási szervei kapják. </w:t>
      </w:r>
    </w:p>
    <w:p w14:paraId="6DBABDA0" w14:textId="77777777" w:rsidR="003E1D81" w:rsidRDefault="00EB481C">
      <w:pPr>
        <w:pStyle w:val="P68B1DB1-Normal4"/>
        <w:numPr>
          <w:ilvl w:val="0"/>
          <w:numId w:val="150"/>
        </w:numPr>
        <w:spacing w:before="120" w:after="160" w:line="240" w:lineRule="auto"/>
        <w:contextualSpacing/>
        <w:jc w:val="both"/>
        <w:rPr>
          <w:rFonts w:cs="Times New Roman"/>
          <w:noProof/>
        </w:rPr>
      </w:pPr>
      <w:r>
        <w:rPr>
          <w:i/>
          <w:noProof/>
        </w:rPr>
        <w:t>Investigo</w:t>
      </w:r>
      <w:r>
        <w:rPr>
          <w:noProof/>
        </w:rPr>
        <w:t xml:space="preserve"> program. Ide tartozik a fiatal kutatók állami kutatószervezetek, állami egye</w:t>
      </w:r>
      <w:r>
        <w:rPr>
          <w:noProof/>
        </w:rPr>
        <w:t xml:space="preserve">temek, technológiai központok és más, kutatási projekttel rendelkező köz- és magánszervezetek általi felvétele. </w:t>
      </w:r>
    </w:p>
    <w:p w14:paraId="3009A7E6" w14:textId="77777777" w:rsidR="003E1D81" w:rsidRDefault="00EB481C">
      <w:pPr>
        <w:pStyle w:val="P68B1DB1-Normal4"/>
        <w:spacing w:before="240" w:after="120" w:line="240" w:lineRule="auto"/>
        <w:jc w:val="both"/>
        <w:rPr>
          <w:rFonts w:cs="Times New Roman"/>
          <w:noProof/>
          <w:u w:val="single"/>
        </w:rPr>
      </w:pPr>
      <w:r>
        <w:rPr>
          <w:noProof/>
        </w:rPr>
        <w:t>A beruházás végrehajtását 2025. december 31-ig be kell fejezni.</w:t>
      </w:r>
    </w:p>
    <w:p w14:paraId="7D7AF74C" w14:textId="77777777" w:rsidR="003E1D81" w:rsidRDefault="00EB481C">
      <w:pPr>
        <w:pStyle w:val="P68B1DB1-Normal6"/>
        <w:spacing w:before="120" w:after="120" w:line="240" w:lineRule="auto"/>
        <w:jc w:val="both"/>
        <w:rPr>
          <w:rFonts w:cs="Times New Roman"/>
          <w:noProof/>
        </w:rPr>
      </w:pPr>
      <w:r>
        <w:rPr>
          <w:noProof/>
        </w:rPr>
        <w:t>Beruházás (C23.I2) – A nők foglalkoztatása és a nemek közötti egyenlőség érvény</w:t>
      </w:r>
      <w:r>
        <w:rPr>
          <w:noProof/>
        </w:rPr>
        <w:t>esítése az aktív munkaerő-piaci politikákban</w:t>
      </w:r>
    </w:p>
    <w:p w14:paraId="716E0928" w14:textId="77777777" w:rsidR="003E1D81" w:rsidRDefault="00EB481C">
      <w:pPr>
        <w:pStyle w:val="P68B1DB1-Normal4"/>
        <w:spacing w:before="120" w:after="120" w:line="240" w:lineRule="auto"/>
        <w:jc w:val="both"/>
        <w:rPr>
          <w:rFonts w:cs="Times New Roman"/>
          <w:noProof/>
        </w:rPr>
      </w:pPr>
      <w:r>
        <w:rPr>
          <w:noProof/>
        </w:rPr>
        <w:t>E beruházás célja a nők munkaerő-piaci integrációjának javítása, összhangban a terv számos más, a nemek közötti egyensúly előmozdítására irányuló intézkedésével. A program a következő intézkedésekből áll:</w:t>
      </w:r>
    </w:p>
    <w:p w14:paraId="256228C3" w14:textId="77777777" w:rsidR="003E1D81" w:rsidRDefault="00EB481C">
      <w:pPr>
        <w:pStyle w:val="P68B1DB1-Normal4"/>
        <w:numPr>
          <w:ilvl w:val="0"/>
          <w:numId w:val="151"/>
        </w:numPr>
        <w:spacing w:before="120" w:after="160" w:line="240" w:lineRule="auto"/>
        <w:contextualSpacing/>
        <w:jc w:val="both"/>
        <w:rPr>
          <w:rFonts w:cs="Times New Roman"/>
          <w:noProof/>
        </w:rPr>
      </w:pPr>
      <w:r>
        <w:rPr>
          <w:noProof/>
        </w:rPr>
        <w:t>Támoga</w:t>
      </w:r>
      <w:r>
        <w:rPr>
          <w:noProof/>
        </w:rPr>
        <w:t>tási sor a vidéki és városi térségekben élő nők számára. A program a digitális, a zöld, a tartós ápolás-gondozás, a vállalkozói készség és a szociális gazdaság területére vonatkozó képzési tevékenységekre terjed ki. Támogatási pályázati felhívásokat kell s</w:t>
      </w:r>
      <w:r>
        <w:rPr>
          <w:noProof/>
        </w:rPr>
        <w:t xml:space="preserve">zervezni a képzésért felelős állami és magánszervezetek számára. </w:t>
      </w:r>
    </w:p>
    <w:p w14:paraId="41C2839A" w14:textId="77777777" w:rsidR="003E1D81" w:rsidRDefault="00EB481C">
      <w:pPr>
        <w:pStyle w:val="P68B1DB1-Normal4"/>
        <w:numPr>
          <w:ilvl w:val="0"/>
          <w:numId w:val="151"/>
        </w:numPr>
        <w:spacing w:before="120" w:after="160" w:line="240" w:lineRule="auto"/>
        <w:contextualSpacing/>
        <w:jc w:val="both"/>
        <w:rPr>
          <w:rFonts w:cs="Times New Roman"/>
          <w:noProof/>
        </w:rPr>
      </w:pPr>
      <w:r>
        <w:rPr>
          <w:noProof/>
        </w:rPr>
        <w:t xml:space="preserve">Támogatási vonal az erőszak vagy emberkereskedelem női áldozatai számára. E nők beilleszkedési lehetőségeire két szakaszban terjed ki. Az első hat hónapban a résztvevőknek személyre szabott </w:t>
      </w:r>
      <w:r>
        <w:rPr>
          <w:noProof/>
        </w:rPr>
        <w:t xml:space="preserve">társadalmi befogadási pályákat kell követniük, a következő hat hónapban pedig munkaalapú képzésben kell részt venniük, amelyben a munkáltatók kötelezettséget vállalnak arra, hogy ezt követően felveszik őket. </w:t>
      </w:r>
    </w:p>
    <w:p w14:paraId="5E3F7EB7" w14:textId="77777777" w:rsidR="003E1D81" w:rsidRDefault="00EB481C">
      <w:pPr>
        <w:pStyle w:val="P68B1DB1-Normal4"/>
        <w:numPr>
          <w:ilvl w:val="0"/>
          <w:numId w:val="151"/>
        </w:numPr>
        <w:spacing w:before="120" w:after="160" w:line="240" w:lineRule="auto"/>
        <w:contextualSpacing/>
        <w:jc w:val="both"/>
        <w:rPr>
          <w:rFonts w:cs="Times New Roman"/>
          <w:noProof/>
        </w:rPr>
      </w:pPr>
      <w:r>
        <w:rPr>
          <w:noProof/>
        </w:rPr>
        <w:t>A nemek közötti egyenlőség érvényesítése az akt</w:t>
      </w:r>
      <w:r>
        <w:rPr>
          <w:noProof/>
        </w:rPr>
        <w:t>ív munkaerő-piaci politikákban. Ez a nemek közötti egyenlőség általános érvényesítésének az ÁFSZ-ek éves (központi és regionális) foglalkoztatási terveinek valamennyi elemébe való beépítésére vonatkozik a 2021–2023-as időszakban. E célból tanácsadási szolg</w:t>
      </w:r>
      <w:r>
        <w:rPr>
          <w:noProof/>
        </w:rPr>
        <w:t>áltatásokat kell igénybe venni.</w:t>
      </w:r>
    </w:p>
    <w:p w14:paraId="44ED0F2B" w14:textId="77777777" w:rsidR="003E1D81" w:rsidRDefault="00EB481C">
      <w:pPr>
        <w:pStyle w:val="P68B1DB1-Normal4"/>
        <w:spacing w:before="240" w:after="120" w:line="240" w:lineRule="auto"/>
        <w:jc w:val="both"/>
        <w:rPr>
          <w:rFonts w:cs="Times New Roman"/>
          <w:noProof/>
        </w:rPr>
      </w:pPr>
      <w:r>
        <w:rPr>
          <w:noProof/>
        </w:rPr>
        <w:t>A beruházás végrehajtását 2025. december 31-ig be kell fejezni.</w:t>
      </w:r>
    </w:p>
    <w:p w14:paraId="556BB28C" w14:textId="77777777" w:rsidR="003E1D81" w:rsidRDefault="00EB481C">
      <w:pPr>
        <w:pStyle w:val="P68B1DB1-Normal6"/>
        <w:spacing w:before="120" w:after="120" w:line="240" w:lineRule="auto"/>
        <w:jc w:val="both"/>
        <w:rPr>
          <w:rFonts w:cs="Times New Roman"/>
          <w:noProof/>
        </w:rPr>
      </w:pPr>
      <w:r>
        <w:rPr>
          <w:noProof/>
        </w:rPr>
        <w:t>Beruházás (C23.I3) – Új készségek a zöld, digitális és produktív átálláshoz</w:t>
      </w:r>
    </w:p>
    <w:p w14:paraId="1FAD7B1B" w14:textId="77777777" w:rsidR="003E1D81" w:rsidRDefault="00EB481C">
      <w:pPr>
        <w:pStyle w:val="P68B1DB1-Normal4"/>
        <w:spacing w:before="120" w:after="120" w:line="240" w:lineRule="auto"/>
        <w:jc w:val="both"/>
        <w:rPr>
          <w:rFonts w:cs="Times New Roman"/>
          <w:noProof/>
        </w:rPr>
      </w:pPr>
      <w:r>
        <w:rPr>
          <w:noProof/>
        </w:rPr>
        <w:t xml:space="preserve">Ez a beruházás különböző képzési kezdeményezéseket foglal magában, amelyek célja a </w:t>
      </w:r>
      <w:r>
        <w:rPr>
          <w:noProof/>
        </w:rPr>
        <w:t>kényszerű lakóhelyelhagyás kockázatának kitett munkavállalók átképzése. A program a következő cselekvési irányvonalakból áll:</w:t>
      </w:r>
    </w:p>
    <w:p w14:paraId="5D5870E8" w14:textId="0637B59A" w:rsidR="003E1D81" w:rsidRDefault="00EB481C">
      <w:pPr>
        <w:pStyle w:val="P68B1DB1-Normal4"/>
        <w:numPr>
          <w:ilvl w:val="0"/>
          <w:numId w:val="152"/>
        </w:numPr>
        <w:spacing w:before="120" w:after="160" w:line="240" w:lineRule="auto"/>
        <w:contextualSpacing/>
        <w:jc w:val="both"/>
        <w:rPr>
          <w:rFonts w:cs="Times New Roman"/>
          <w:noProof/>
        </w:rPr>
      </w:pPr>
      <w:r>
        <w:rPr>
          <w:noProof/>
        </w:rPr>
        <w:t>Pályázati felhívások és pályázati felhívások a digitális, zöld és produktív átalakuláshoz szükséges új készségek elsajátítására. A</w:t>
      </w:r>
      <w:r>
        <w:rPr>
          <w:noProof/>
        </w:rPr>
        <w:t>z idegenforgalmi ágazatban dolgozókat, a munkanélkülieket, a betöltött munkavállalókat</w:t>
      </w:r>
      <w:r>
        <w:rPr>
          <w:noProof/>
          <w:shd w:val="clear" w:color="auto" w:fill="FFFFFF" w:themeFill="background1"/>
        </w:rPr>
        <w:t xml:space="preserve"> és</w:t>
      </w:r>
      <w:r>
        <w:rPr>
          <w:noProof/>
        </w:rPr>
        <w:t xml:space="preserve"> az ERTE-k hatálya alá tartozó személyeket célozza meg. A képzési tevékenységeknek a termelő ágazat által előírt időtartammal kell rendelkezniük.</w:t>
      </w:r>
    </w:p>
    <w:p w14:paraId="24F053AB" w14:textId="77777777" w:rsidR="003E1D81" w:rsidRDefault="00EB481C">
      <w:pPr>
        <w:pStyle w:val="P68B1DB1-Normal4"/>
        <w:numPr>
          <w:ilvl w:val="0"/>
          <w:numId w:val="152"/>
        </w:numPr>
        <w:spacing w:before="120" w:after="160" w:line="240" w:lineRule="auto"/>
        <w:contextualSpacing/>
        <w:jc w:val="both"/>
        <w:rPr>
          <w:rFonts w:cs="Times New Roman"/>
          <w:noProof/>
        </w:rPr>
      </w:pPr>
      <w:r>
        <w:rPr>
          <w:noProof/>
        </w:rPr>
        <w:t xml:space="preserve">Képzési utalványok a </w:t>
      </w:r>
      <w:r>
        <w:rPr>
          <w:noProof/>
        </w:rPr>
        <w:t>digitális, zöld és produktív átalakuláshoz szükséges új készségek elsajátításához. A program ugyanazokat a munkavállalói típusokat célozza meg, mint az előző cselekvési irányvonal, de ebben az esetben a kedvezményezett közvetlen támogatásban részesül a zöl</w:t>
      </w:r>
      <w:r>
        <w:rPr>
          <w:noProof/>
        </w:rPr>
        <w:t>d, digitális és más stratégiai ágazatok szempontjából releváns készségekkel kapcsolatos képzési célokra.</w:t>
      </w:r>
    </w:p>
    <w:p w14:paraId="32C6835D" w14:textId="08E1EB0E" w:rsidR="003E1D81" w:rsidRDefault="00EB481C">
      <w:pPr>
        <w:pStyle w:val="P68B1DB1-Normal4"/>
        <w:numPr>
          <w:ilvl w:val="0"/>
          <w:numId w:val="152"/>
        </w:numPr>
        <w:spacing w:before="120" w:after="160" w:line="240" w:lineRule="auto"/>
        <w:contextualSpacing/>
        <w:jc w:val="both"/>
        <w:rPr>
          <w:rFonts w:cs="Times New Roman"/>
          <w:noProof/>
        </w:rPr>
      </w:pPr>
      <w:r>
        <w:rPr>
          <w:noProof/>
        </w:rPr>
        <w:t>A készségigények felismerése. A legalább 23 termelő ágazatban végzett felmérésen alapuló kutatásnak hatékony válaszokat kell adnia a munkaerőpiaci képz</w:t>
      </w:r>
      <w:r>
        <w:rPr>
          <w:noProof/>
        </w:rPr>
        <w:t>és és átképzés iránti igényekre, beleértve a digitális átálláshoz és a zöld átálláshoz szükséges készségeket is. Emellett előre kell jeleznie a változásokat, és reagálnia kell a szakképzett munkaerő iránti potenciális keresletre.</w:t>
      </w:r>
    </w:p>
    <w:p w14:paraId="04AA6220" w14:textId="223E96E2" w:rsidR="003E1D81" w:rsidRDefault="00EB481C">
      <w:pPr>
        <w:pStyle w:val="P68B1DB1-Normal4"/>
        <w:spacing w:before="240" w:after="120" w:line="240" w:lineRule="auto"/>
        <w:jc w:val="both"/>
        <w:rPr>
          <w:rFonts w:cs="Times New Roman"/>
          <w:noProof/>
        </w:rPr>
      </w:pPr>
      <w:r>
        <w:rPr>
          <w:noProof/>
        </w:rPr>
        <w:t xml:space="preserve">A beruházás végrehajtását </w:t>
      </w:r>
      <w:r>
        <w:rPr>
          <w:noProof/>
        </w:rPr>
        <w:t>2025. december 31-ig be kell fejezni.</w:t>
      </w:r>
    </w:p>
    <w:p w14:paraId="17832937" w14:textId="77777777" w:rsidR="003E1D81" w:rsidRDefault="00EB481C">
      <w:pPr>
        <w:pStyle w:val="P68B1DB1-Normal6"/>
        <w:spacing w:before="120" w:after="120" w:line="240" w:lineRule="auto"/>
        <w:jc w:val="both"/>
        <w:rPr>
          <w:rFonts w:cs="Times New Roman"/>
          <w:noProof/>
        </w:rPr>
      </w:pPr>
      <w:r>
        <w:rPr>
          <w:noProof/>
        </w:rPr>
        <w:t>Beruházás (C23.I4) – Új területi projektek az egyensúly helyreállítására és a saját tőkére vonatkozóan</w:t>
      </w:r>
    </w:p>
    <w:p w14:paraId="1DD0D051" w14:textId="77777777" w:rsidR="003E1D81" w:rsidRDefault="00EB481C">
      <w:pPr>
        <w:pStyle w:val="P68B1DB1-Normal4"/>
        <w:spacing w:before="120" w:after="120" w:line="240" w:lineRule="auto"/>
        <w:jc w:val="both"/>
        <w:rPr>
          <w:rFonts w:cs="Times New Roman"/>
          <w:noProof/>
        </w:rPr>
      </w:pPr>
      <w:r>
        <w:rPr>
          <w:noProof/>
        </w:rPr>
        <w:t>Ennek a beruházásnak legalább 68 új területi projektet kell finanszíroznia, amelyek célja a demográfiai kihívás kez</w:t>
      </w:r>
      <w:r>
        <w:rPr>
          <w:noProof/>
        </w:rPr>
        <w:t xml:space="preserve">elése és a produktív átalakulás elősegítése, különösen a zöld és digitális gazdaság felé vezető úton. Az ország minden autonóm régiójában legalább négy projektet kell végrehajtani. </w:t>
      </w:r>
    </w:p>
    <w:p w14:paraId="6ED462C7" w14:textId="77777777" w:rsidR="003E1D81" w:rsidRDefault="00EB481C">
      <w:pPr>
        <w:pStyle w:val="P68B1DB1-Normal4"/>
        <w:spacing w:before="120" w:after="120" w:line="240" w:lineRule="auto"/>
        <w:jc w:val="both"/>
        <w:rPr>
          <w:rFonts w:cs="Times New Roman"/>
          <w:noProof/>
        </w:rPr>
      </w:pPr>
      <w:r>
        <w:rPr>
          <w:noProof/>
        </w:rPr>
        <w:t>A projekt két típusból áll:</w:t>
      </w:r>
    </w:p>
    <w:p w14:paraId="64DE64B3" w14:textId="77777777" w:rsidR="003E1D81" w:rsidRDefault="00EB481C">
      <w:pPr>
        <w:pStyle w:val="P68B1DB1-Normal4"/>
        <w:numPr>
          <w:ilvl w:val="0"/>
          <w:numId w:val="153"/>
        </w:numPr>
        <w:spacing w:before="120" w:after="160" w:line="240" w:lineRule="auto"/>
        <w:contextualSpacing/>
        <w:jc w:val="both"/>
        <w:rPr>
          <w:rFonts w:cs="Times New Roman"/>
          <w:noProof/>
        </w:rPr>
      </w:pPr>
      <w:r>
        <w:rPr>
          <w:noProof/>
        </w:rPr>
        <w:t>A veszélyeztetett csoportokra irányuló terület</w:t>
      </w:r>
      <w:r>
        <w:rPr>
          <w:noProof/>
        </w:rPr>
        <w:t>i projektek. Ezek a projektek a tartósan munkanélkülieket célozzák meg, akik személyre szabott és személyre szabott útvonalakat követnek, amelyekbe különböző intézkedéseket kell integrálni, mint például: pályaorientáció és támogatás, orientációs programok,</w:t>
      </w:r>
      <w:r>
        <w:rPr>
          <w:noProof/>
        </w:rPr>
        <w:t xml:space="preserve"> álláskereső csoportok általi gondozás, képzési és békéltetési ösztöndíjak, munkaerő-felvételhez nyújtott támogatás és az intézkedések nyomon követése. </w:t>
      </w:r>
    </w:p>
    <w:p w14:paraId="42CA2355" w14:textId="77777777" w:rsidR="003E1D81" w:rsidRDefault="00EB481C">
      <w:pPr>
        <w:pStyle w:val="P68B1DB1-Normal4"/>
        <w:numPr>
          <w:ilvl w:val="0"/>
          <w:numId w:val="153"/>
        </w:numPr>
        <w:spacing w:before="120" w:after="160" w:line="240" w:lineRule="auto"/>
        <w:contextualSpacing/>
        <w:jc w:val="both"/>
        <w:rPr>
          <w:rFonts w:cs="Times New Roman"/>
          <w:noProof/>
        </w:rPr>
      </w:pPr>
      <w:r>
        <w:rPr>
          <w:noProof/>
        </w:rPr>
        <w:t>Vállalkozói és mikrovállalkozási projektek. Ezeknek a projekteknek foglalkozniuk kell a demográfiai kih</w:t>
      </w:r>
      <w:r>
        <w:rPr>
          <w:noProof/>
        </w:rPr>
        <w:t>ívással, és elő kell segíteniük a produktív átalakulást, különösen a zöld és digitális gazdaság felé. A finanszírozandó kezdeményezések közé tartoznak többek között a mezőgazdasági képzési projektek, a fenntartható helyi fejlődés, a kulturális és művészeti</w:t>
      </w:r>
      <w:r>
        <w:rPr>
          <w:noProof/>
        </w:rPr>
        <w:t xml:space="preserve"> tevékenységeket célzó szociális gazdasági kezdeményezések, az ökológiai átállás, a helyi fejlesztési kezdeményezések, a vidéki turizmus és a művészeti örökség. A projekt finanszírozhat olyan intézkedéseket, mint: szociális vállalkozás és szabadúszók, munk</w:t>
      </w:r>
      <w:r>
        <w:rPr>
          <w:noProof/>
        </w:rPr>
        <w:t xml:space="preserve">aerő-piaci tanulmány, helyi promóciós és fejlesztési szereplők, szövetkezetek vagy mikrovállalkozások elindításához nyújtott segítség, hálózatépítés, konferenciákon való részvétel és terjesztési tevékenységek. </w:t>
      </w:r>
    </w:p>
    <w:p w14:paraId="5FBA5AD4" w14:textId="77777777" w:rsidR="003E1D81" w:rsidRDefault="00EB481C">
      <w:pPr>
        <w:pStyle w:val="P68B1DB1-Normal4"/>
        <w:spacing w:before="240" w:after="120" w:line="240" w:lineRule="auto"/>
        <w:jc w:val="both"/>
        <w:rPr>
          <w:rFonts w:cs="Times New Roman"/>
          <w:noProof/>
        </w:rPr>
      </w:pPr>
      <w:r>
        <w:rPr>
          <w:noProof/>
        </w:rPr>
        <w:t>A beruházás végrehajtását 2023. december 31-i</w:t>
      </w:r>
      <w:r>
        <w:rPr>
          <w:noProof/>
        </w:rPr>
        <w:t xml:space="preserve">g be kell fejezni. </w:t>
      </w:r>
    </w:p>
    <w:p w14:paraId="0B3B66E3" w14:textId="77777777" w:rsidR="003E1D81" w:rsidRDefault="00EB481C">
      <w:pPr>
        <w:pStyle w:val="P68B1DB1-Normal6"/>
        <w:spacing w:before="120" w:after="120" w:line="240" w:lineRule="auto"/>
        <w:jc w:val="both"/>
        <w:rPr>
          <w:rFonts w:cs="Times New Roman"/>
          <w:noProof/>
        </w:rPr>
      </w:pPr>
      <w:r>
        <w:rPr>
          <w:noProof/>
        </w:rPr>
        <w:t>Beruházás (C23.I5) – Az aktiválást támogató szakpolitikák irányítása és fellendítése</w:t>
      </w:r>
    </w:p>
    <w:p w14:paraId="00E6CD36" w14:textId="77777777" w:rsidR="003E1D81" w:rsidRDefault="00EB481C">
      <w:pPr>
        <w:pStyle w:val="P68B1DB1-Normal4"/>
        <w:spacing w:before="120" w:after="120" w:line="240" w:lineRule="auto"/>
        <w:jc w:val="both"/>
        <w:rPr>
          <w:rFonts w:cs="Times New Roman"/>
          <w:noProof/>
        </w:rPr>
      </w:pPr>
      <w:r>
        <w:rPr>
          <w:noProof/>
        </w:rPr>
        <w:t>Az intézkedés célja az állami foglalkoztatási szolgálatok megerősítése és az aktív munkaerő-piaci politikák hatékonyságának javítása. E célból 20 orien</w:t>
      </w:r>
      <w:r>
        <w:rPr>
          <w:noProof/>
        </w:rPr>
        <w:t>tációs, vállalkozói és innovációs központból álló hálózat létrehozását irányozza elő a foglalkoztatás érdekében. Ezek az országok egész területén szétszórtan helyezkednek el (egy központi kormányzati szinten, egy-egy központ minden autonóm területen, beleé</w:t>
      </w:r>
      <w:r>
        <w:rPr>
          <w:noProof/>
        </w:rPr>
        <w:t xml:space="preserve">rtve Ceutát és Melillát is), azzal a feladattal, hogy javítsák az ÁFSZ-ek régiók közötti koordinációját. </w:t>
      </w:r>
    </w:p>
    <w:p w14:paraId="315B53AE" w14:textId="77777777" w:rsidR="003E1D81" w:rsidRDefault="00EB481C">
      <w:pPr>
        <w:pStyle w:val="P68B1DB1-Normal4"/>
        <w:spacing w:before="120" w:after="120" w:line="240" w:lineRule="auto"/>
        <w:jc w:val="both"/>
        <w:rPr>
          <w:rFonts w:cs="Times New Roman"/>
          <w:noProof/>
        </w:rPr>
      </w:pPr>
      <w:r>
        <w:rPr>
          <w:noProof/>
        </w:rPr>
        <w:t>Emellett az állami foglalkoztatási szolgálatok alkalmazottai számára továbbképzési intézkedéseket irányoznak elő, amelyek évente átlagosan 14000 képzé</w:t>
      </w:r>
      <w:r>
        <w:rPr>
          <w:noProof/>
        </w:rPr>
        <w:t>si tevékenységet biztosítanak számukra. A képzést 30 órás átlagos időtartamú modulokba kell szervezni, és a 2021–2023-as időszakban évente átlagosan minden alkalmazottnak részt kell vennie egy modulban.</w:t>
      </w:r>
    </w:p>
    <w:p w14:paraId="17A6037F" w14:textId="562F2FF2" w:rsidR="003E1D81" w:rsidRDefault="00EB481C">
      <w:pPr>
        <w:pStyle w:val="P68B1DB1-Normal4"/>
        <w:spacing w:before="120" w:after="120" w:line="240" w:lineRule="auto"/>
        <w:jc w:val="both"/>
        <w:rPr>
          <w:rFonts w:cs="Times New Roman"/>
          <w:noProof/>
        </w:rPr>
      </w:pPr>
      <w:r>
        <w:rPr>
          <w:noProof/>
        </w:rPr>
        <w:t>A beruházás végrehajtását 2024. december 31-ig be kel</w:t>
      </w:r>
      <w:r>
        <w:rPr>
          <w:noProof/>
        </w:rPr>
        <w:t xml:space="preserve">l fejezni. </w:t>
      </w:r>
    </w:p>
    <w:p w14:paraId="56E0D07A" w14:textId="77777777" w:rsidR="003E1D81" w:rsidRDefault="00EB481C">
      <w:pPr>
        <w:pStyle w:val="P68B1DB1-Normal6"/>
        <w:spacing w:before="120" w:after="120" w:line="240" w:lineRule="auto"/>
        <w:jc w:val="both"/>
        <w:rPr>
          <w:rFonts w:cs="Times New Roman"/>
          <w:noProof/>
        </w:rPr>
      </w:pPr>
      <w:r>
        <w:rPr>
          <w:noProof/>
        </w:rPr>
        <w:t>Beruházás (C23.I6) – A szociális gazdaság fellendítésére irányuló átfogó terv</w:t>
      </w:r>
    </w:p>
    <w:p w14:paraId="09AAB665" w14:textId="77777777" w:rsidR="003E1D81" w:rsidRDefault="00EB481C">
      <w:pPr>
        <w:pStyle w:val="P68B1DB1-Normal4"/>
        <w:spacing w:before="120" w:after="120" w:line="240" w:lineRule="auto"/>
        <w:jc w:val="both"/>
        <w:rPr>
          <w:rFonts w:cs="Times New Roman"/>
          <w:noProof/>
        </w:rPr>
      </w:pPr>
      <w:r>
        <w:rPr>
          <w:noProof/>
        </w:rPr>
        <w:t xml:space="preserve">Ez az intézkedés olyan innovatív szociális gazdasági projekteket támogat, amelyek célja egy inkluzívabb és fenntarthatóbb gazdasági szerkezet kialakítása. </w:t>
      </w:r>
    </w:p>
    <w:p w14:paraId="75240938" w14:textId="6B4F3A91" w:rsidR="003E1D81" w:rsidRDefault="00EB481C">
      <w:pPr>
        <w:pStyle w:val="P68B1DB1-Normal4"/>
        <w:spacing w:before="120" w:after="120" w:line="240" w:lineRule="auto"/>
        <w:jc w:val="both"/>
        <w:rPr>
          <w:rFonts w:cs="Times New Roman"/>
          <w:noProof/>
        </w:rPr>
      </w:pPr>
      <w:r>
        <w:rPr>
          <w:noProof/>
        </w:rPr>
        <w:t>2021-től 2</w:t>
      </w:r>
      <w:r>
        <w:rPr>
          <w:noProof/>
        </w:rPr>
        <w:t>025-ig legalább 30 szociális gazdasági projektet kell</w:t>
      </w:r>
      <w:r>
        <w:rPr>
          <w:noProof/>
          <w:shd w:val="clear" w:color="auto" w:fill="FFFFFF" w:themeFill="background1"/>
        </w:rPr>
        <w:t>kidolgozni a</w:t>
      </w:r>
      <w:r>
        <w:rPr>
          <w:noProof/>
        </w:rPr>
        <w:t xml:space="preserve"> következő területeken:</w:t>
      </w:r>
    </w:p>
    <w:p w14:paraId="0282A2F5" w14:textId="77777777" w:rsidR="003E1D81" w:rsidRDefault="00EB481C">
      <w:pPr>
        <w:pStyle w:val="P68B1DB1-Normal4"/>
        <w:numPr>
          <w:ilvl w:val="0"/>
          <w:numId w:val="154"/>
        </w:numPr>
        <w:spacing w:before="120" w:after="160" w:line="240" w:lineRule="auto"/>
        <w:contextualSpacing/>
        <w:jc w:val="both"/>
        <w:rPr>
          <w:rFonts w:cs="Times New Roman"/>
          <w:noProof/>
        </w:rPr>
      </w:pPr>
      <w:r>
        <w:rPr>
          <w:noProof/>
        </w:rPr>
        <w:t xml:space="preserve">Életképes, nehéz helyzetben lévő vagy generációs megújulás nélkül működő vállalkozások foglalkoztatásának létrehozása és fenntartása a munkavállalók által irányított </w:t>
      </w:r>
      <w:r>
        <w:rPr>
          <w:noProof/>
        </w:rPr>
        <w:t>szociális gazdasági üzleti formákká (szövetkezetek és munkaügyi vállalatok) való átalakításuk révén.</w:t>
      </w:r>
    </w:p>
    <w:p w14:paraId="68B23CFC" w14:textId="77777777" w:rsidR="003E1D81" w:rsidRDefault="00EB481C">
      <w:pPr>
        <w:pStyle w:val="P68B1DB1-Normal4"/>
        <w:numPr>
          <w:ilvl w:val="0"/>
          <w:numId w:val="154"/>
        </w:numPr>
        <w:spacing w:before="120" w:after="160" w:line="240" w:lineRule="auto"/>
        <w:contextualSpacing/>
        <w:jc w:val="both"/>
        <w:rPr>
          <w:rFonts w:cs="Times New Roman"/>
          <w:noProof/>
        </w:rPr>
      </w:pPr>
      <w:r>
        <w:rPr>
          <w:noProof/>
        </w:rPr>
        <w:t>Innovatív szociális gazdasági szervezetek létrehozása és megszilárdítása, ami hatással van a generációs megújulásra és a fiatalok vállalkozói készségére.</w:t>
      </w:r>
    </w:p>
    <w:p w14:paraId="18DA814B" w14:textId="77777777" w:rsidR="003E1D81" w:rsidRDefault="00EB481C">
      <w:pPr>
        <w:pStyle w:val="P68B1DB1-Normal4"/>
        <w:numPr>
          <w:ilvl w:val="0"/>
          <w:numId w:val="154"/>
        </w:numPr>
        <w:spacing w:before="120" w:after="160" w:line="240" w:lineRule="auto"/>
        <w:contextualSpacing/>
        <w:jc w:val="both"/>
        <w:rPr>
          <w:rFonts w:cs="Times New Roman"/>
          <w:noProof/>
        </w:rPr>
      </w:pPr>
      <w:r>
        <w:rPr>
          <w:noProof/>
        </w:rPr>
        <w:t>A</w:t>
      </w:r>
      <w:r>
        <w:rPr>
          <w:noProof/>
        </w:rPr>
        <w:t xml:space="preserve"> szociális gazdasági vállalkozások digitalizálása olyan digitális platformok létrehozása révén, amelyek célja a vidéki területeken élő polgárok jóllétének javítása.</w:t>
      </w:r>
    </w:p>
    <w:p w14:paraId="119EDA63" w14:textId="77777777" w:rsidR="003E1D81" w:rsidRDefault="00EB481C">
      <w:pPr>
        <w:pStyle w:val="P68B1DB1-Normal4"/>
        <w:numPr>
          <w:ilvl w:val="0"/>
          <w:numId w:val="154"/>
        </w:numPr>
        <w:spacing w:before="120" w:after="160" w:line="240" w:lineRule="auto"/>
        <w:contextualSpacing/>
        <w:jc w:val="both"/>
        <w:rPr>
          <w:rFonts w:cs="Times New Roman"/>
          <w:noProof/>
        </w:rPr>
      </w:pPr>
      <w:r>
        <w:rPr>
          <w:noProof/>
        </w:rPr>
        <w:t>Szövetkezetek, munkaügyi vállalatok és a szociális gazdaság egyéb formáinak hálózatba szerv</w:t>
      </w:r>
      <w:r>
        <w:rPr>
          <w:noProof/>
        </w:rPr>
        <w:t>ezése, valamint kapacitásépítési és képzési intézkedések a társadalom számára új, átfogó szolgáltatások nyújtása érdekében.</w:t>
      </w:r>
    </w:p>
    <w:p w14:paraId="162CCE07" w14:textId="77777777" w:rsidR="003E1D81" w:rsidRDefault="00EB481C">
      <w:pPr>
        <w:pStyle w:val="P68B1DB1-Normal4"/>
        <w:numPr>
          <w:ilvl w:val="0"/>
          <w:numId w:val="154"/>
        </w:numPr>
        <w:spacing w:before="120" w:after="160" w:line="240" w:lineRule="auto"/>
        <w:contextualSpacing/>
        <w:jc w:val="both"/>
        <w:rPr>
          <w:rFonts w:cs="Times New Roman"/>
          <w:noProof/>
        </w:rPr>
      </w:pPr>
      <w:r>
        <w:rPr>
          <w:noProof/>
        </w:rPr>
        <w:t>A kiszolgáltatott helyzetben lévő vállalatok és csoportok fenntartható és inkluzív átállásának előmozdítása.</w:t>
      </w:r>
    </w:p>
    <w:p w14:paraId="4FE88FA6" w14:textId="37F2E1CE" w:rsidR="003E1D81" w:rsidRDefault="00EB481C">
      <w:pPr>
        <w:pStyle w:val="P68B1DB1-Normal4"/>
        <w:spacing w:before="240" w:after="120" w:line="240" w:lineRule="auto"/>
        <w:jc w:val="both"/>
        <w:rPr>
          <w:rFonts w:cs="Times New Roman"/>
          <w:noProof/>
        </w:rPr>
      </w:pPr>
      <w:r>
        <w:rPr>
          <w:noProof/>
        </w:rPr>
        <w:t>A beruházás végrehajtás</w:t>
      </w:r>
      <w:r>
        <w:rPr>
          <w:noProof/>
        </w:rPr>
        <w:t xml:space="preserve">át 2025. június 30-ig be kell fejezni. </w:t>
      </w:r>
    </w:p>
    <w:p w14:paraId="27DBBA7C" w14:textId="77777777" w:rsidR="003E1D81" w:rsidRDefault="00EB481C">
      <w:pPr>
        <w:pStyle w:val="P68B1DB1-Normal6"/>
        <w:spacing w:before="120" w:after="120" w:line="240" w:lineRule="auto"/>
        <w:jc w:val="both"/>
        <w:rPr>
          <w:rFonts w:cs="Times New Roman"/>
          <w:noProof/>
        </w:rPr>
      </w:pPr>
      <w:r>
        <w:rPr>
          <w:noProof/>
        </w:rPr>
        <w:t xml:space="preserve">Beruházás (C23.I7) – Az inkluzív növekedés előmozdítása a társadalmi befogadási politikáknak a nemzeti minimáljövedelem-rendszerrel (IMV) való összekapcsolása révén  </w:t>
      </w:r>
    </w:p>
    <w:p w14:paraId="338DDF18" w14:textId="77777777" w:rsidR="003E1D81" w:rsidRDefault="00EB481C">
      <w:pPr>
        <w:pStyle w:val="P68B1DB1-Normal4"/>
        <w:spacing w:before="120" w:after="120" w:line="240" w:lineRule="auto"/>
        <w:jc w:val="both"/>
        <w:rPr>
          <w:rFonts w:cs="Times New Roman"/>
          <w:noProof/>
        </w:rPr>
      </w:pPr>
      <w:r>
        <w:rPr>
          <w:noProof/>
        </w:rPr>
        <w:t>E beruházás célja, hogy legalább 18 kísérleti pro</w:t>
      </w:r>
      <w:r>
        <w:rPr>
          <w:noProof/>
        </w:rPr>
        <w:t>jekt végrehajtása révén javítsa a nemzeti minimáljövedelem-rendszer (IMV) kedvezményezettjei számára az integrációs pályák hatékonyságát. Befejezésüket követően értékelést kell végezni a minimáljövedelem-rendszerek lefedettségének, hatékonyságának és siker</w:t>
      </w:r>
      <w:r>
        <w:rPr>
          <w:noProof/>
        </w:rPr>
        <w:t>ének értékelése céljából. Ez az értékelés konkrét ajánlásokat tartalmaz az igénybevételi arány növelésére és a társadalmi befogadást célzó politikák hatékonyságának javítására. Ez az intézkedés szorosan kapcsolódik a 22. alkotóelem 5. reformjához.</w:t>
      </w:r>
    </w:p>
    <w:p w14:paraId="64B47076" w14:textId="77777777" w:rsidR="003E1D81" w:rsidRDefault="00EB481C">
      <w:pPr>
        <w:pStyle w:val="P68B1DB1-Normal4"/>
        <w:spacing w:before="120" w:after="120" w:line="240" w:lineRule="auto"/>
        <w:jc w:val="both"/>
        <w:rPr>
          <w:rFonts w:cs="Times New Roman"/>
          <w:noProof/>
        </w:rPr>
      </w:pPr>
      <w:r>
        <w:rPr>
          <w:noProof/>
        </w:rPr>
        <w:t>A kísérl</w:t>
      </w:r>
      <w:r>
        <w:rPr>
          <w:noProof/>
        </w:rPr>
        <w:t>eti projektek végrehajtása érdekében a Társadalmi Befogadás Minisztériuma partnerségi megállapodásokat ír alá az érintett regionális és helyi közigazgatási szervekkel, valamint a harmadik szektor szociális fellépéseinek szervezeteivel és a szociális partne</w:t>
      </w:r>
      <w:r>
        <w:rPr>
          <w:noProof/>
        </w:rPr>
        <w:t>rekkel. E partnerségi megállapodások céljai a következők: az IMV felhasználási arányának javítása; az IMV hatékonyságának növelése integrációs útvonalak révén. Minden partnerségi megállapodáshoz cselekvési tervet kell csatolni, amely legalább a következőke</w:t>
      </w:r>
      <w:r>
        <w:rPr>
          <w:noProof/>
        </w:rPr>
        <w:t>t határozza meg:</w:t>
      </w:r>
    </w:p>
    <w:p w14:paraId="794B4969" w14:textId="77777777" w:rsidR="003E1D81" w:rsidRDefault="00EB481C">
      <w:pPr>
        <w:pStyle w:val="P68B1DB1-Normal4"/>
        <w:numPr>
          <w:ilvl w:val="0"/>
          <w:numId w:val="154"/>
        </w:numPr>
        <w:spacing w:before="120" w:after="160" w:line="240" w:lineRule="auto"/>
        <w:contextualSpacing/>
        <w:jc w:val="both"/>
        <w:rPr>
          <w:rFonts w:cs="Times New Roman"/>
          <w:noProof/>
        </w:rPr>
      </w:pPr>
      <w:r>
        <w:rPr>
          <w:noProof/>
        </w:rPr>
        <w:t>A kísérleti projektben részt vevő IMV-kedvezményezettek.</w:t>
      </w:r>
    </w:p>
    <w:p w14:paraId="584C4C96" w14:textId="77777777" w:rsidR="003E1D81" w:rsidRDefault="00EB481C">
      <w:pPr>
        <w:pStyle w:val="P68B1DB1-Normal4"/>
        <w:numPr>
          <w:ilvl w:val="0"/>
          <w:numId w:val="154"/>
        </w:numPr>
        <w:spacing w:before="120" w:after="160" w:line="240" w:lineRule="auto"/>
        <w:contextualSpacing/>
        <w:jc w:val="both"/>
        <w:rPr>
          <w:rFonts w:cs="Times New Roman"/>
          <w:noProof/>
        </w:rPr>
      </w:pPr>
      <w:r>
        <w:rPr>
          <w:noProof/>
        </w:rPr>
        <w:t>A legmegfelelőbb útvonalak (amelyeket a levont tanulságok alapján kell meghatározni) és a befogadással kapcsolatban a beavatkozás révén elérendő eredmények/eredmények.</w:t>
      </w:r>
    </w:p>
    <w:p w14:paraId="0222F1AF" w14:textId="77777777" w:rsidR="003E1D81" w:rsidRDefault="00EB481C">
      <w:pPr>
        <w:pStyle w:val="P68B1DB1-Normal4"/>
        <w:numPr>
          <w:ilvl w:val="0"/>
          <w:numId w:val="154"/>
        </w:numPr>
        <w:spacing w:before="120" w:after="160" w:line="240" w:lineRule="auto"/>
        <w:contextualSpacing/>
        <w:jc w:val="both"/>
        <w:rPr>
          <w:rFonts w:cs="Times New Roman"/>
          <w:noProof/>
        </w:rPr>
      </w:pPr>
      <w:r>
        <w:rPr>
          <w:noProof/>
        </w:rPr>
        <w:t>Adatinfrastruk</w:t>
      </w:r>
      <w:r>
        <w:rPr>
          <w:noProof/>
        </w:rPr>
        <w:t>túra-követelmény: nemcsak az IMV-kedvezményezettekre van szükség, hanem más regionális programok kedvezményezettjeire is ahhoz, hogy jó kontrollcsoportokra számítsanak.</w:t>
      </w:r>
    </w:p>
    <w:p w14:paraId="119E7C3A" w14:textId="77777777" w:rsidR="003E1D81" w:rsidRDefault="00EB481C">
      <w:pPr>
        <w:pStyle w:val="P68B1DB1-Normal4"/>
        <w:numPr>
          <w:ilvl w:val="0"/>
          <w:numId w:val="154"/>
        </w:numPr>
        <w:spacing w:before="120" w:after="160" w:line="240" w:lineRule="auto"/>
        <w:contextualSpacing/>
        <w:jc w:val="both"/>
        <w:rPr>
          <w:rFonts w:cs="Times New Roman"/>
          <w:noProof/>
        </w:rPr>
      </w:pPr>
      <w:r>
        <w:rPr>
          <w:noProof/>
        </w:rPr>
        <w:t>A beavatkozás egységköltségei.</w:t>
      </w:r>
    </w:p>
    <w:p w14:paraId="081072A6" w14:textId="77777777" w:rsidR="003E1D81" w:rsidRDefault="00EB481C">
      <w:pPr>
        <w:pStyle w:val="P68B1DB1-Normal4"/>
        <w:numPr>
          <w:ilvl w:val="0"/>
          <w:numId w:val="154"/>
        </w:numPr>
        <w:spacing w:before="120" w:after="160" w:line="240" w:lineRule="auto"/>
        <w:contextualSpacing/>
        <w:jc w:val="both"/>
        <w:rPr>
          <w:rFonts w:cs="Times New Roman"/>
          <w:noProof/>
        </w:rPr>
      </w:pPr>
      <w:r>
        <w:rPr>
          <w:noProof/>
        </w:rPr>
        <w:t>A Társadalmi Befogadás Minisztériumának nyomonkövetési t</w:t>
      </w:r>
      <w:r>
        <w:rPr>
          <w:noProof/>
        </w:rPr>
        <w:t>erve a tervben meghatározott különböző mérföldkövek elérésének értékelésére.</w:t>
      </w:r>
    </w:p>
    <w:p w14:paraId="7A0B0FE9" w14:textId="77777777" w:rsidR="003E1D81" w:rsidRDefault="00EB481C">
      <w:pPr>
        <w:pStyle w:val="P68B1DB1-Normal4"/>
        <w:numPr>
          <w:ilvl w:val="0"/>
          <w:numId w:val="154"/>
        </w:numPr>
        <w:spacing w:before="120" w:after="160" w:line="240" w:lineRule="auto"/>
        <w:contextualSpacing/>
        <w:jc w:val="both"/>
        <w:rPr>
          <w:rFonts w:cs="Times New Roman"/>
          <w:noProof/>
        </w:rPr>
      </w:pPr>
      <w:r>
        <w:rPr>
          <w:noProof/>
        </w:rPr>
        <w:t>Értékelés közzététele, amint a kísérleti projekt befejezi a megállapításokat és a levont tanulságokat.</w:t>
      </w:r>
    </w:p>
    <w:p w14:paraId="156E5409" w14:textId="77777777" w:rsidR="003E1D81" w:rsidRDefault="00EB481C">
      <w:pPr>
        <w:pStyle w:val="P68B1DB1-Normal4"/>
        <w:spacing w:before="240" w:after="120" w:line="240" w:lineRule="auto"/>
        <w:jc w:val="both"/>
        <w:rPr>
          <w:rFonts w:cs="Times New Roman"/>
          <w:noProof/>
          <w:u w:val="single"/>
        </w:rPr>
      </w:pPr>
      <w:r>
        <w:rPr>
          <w:noProof/>
        </w:rPr>
        <w:t>A beruházás végrehajtását 2024. március 31-ig be kell fejezni.</w:t>
      </w:r>
    </w:p>
    <w:p w14:paraId="449A9072" w14:textId="77777777" w:rsidR="003E1D81" w:rsidRDefault="00EB481C">
      <w:pPr>
        <w:pStyle w:val="P68B1DB1-Normal5"/>
        <w:spacing w:before="120" w:after="120" w:line="240" w:lineRule="auto"/>
        <w:ind w:left="709"/>
        <w:jc w:val="both"/>
        <w:rPr>
          <w:rFonts w:cs="Times New Roman"/>
          <w:noProof/>
        </w:rPr>
      </w:pPr>
      <w:r>
        <w:rPr>
          <w:noProof/>
        </w:rPr>
        <w:t xml:space="preserve">W.2. </w:t>
      </w:r>
      <w:r>
        <w:rPr>
          <w:noProof/>
        </w:rPr>
        <w:tab/>
        <w:t xml:space="preserve">Vissza </w:t>
      </w:r>
      <w:r>
        <w:rPr>
          <w:noProof/>
        </w:rPr>
        <w:t>nem térítendő pénzügyi támogatás – a végrehajtáshoz és a nyomon követéshez kapcsolódó mérföldkövek, célok, mutatók és ütemterv</w:t>
      </w:r>
    </w:p>
    <w:p w14:paraId="78A44193" w14:textId="77777777"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Az alapforgatókönyv valamennyi mutató esetében 2020. február 1-je, kivéve, ha az intézkedés leírása másként jelzi</w:t>
      </w:r>
      <w:r>
        <w:rPr>
          <w:i/>
          <w:noProof/>
        </w:rPr>
        <w:t>. A táblázatban szereplő összegek nem tartalmazzák a héát.</w:t>
      </w:r>
    </w:p>
    <w:p w14:paraId="50748E46" w14:textId="77777777" w:rsidR="003E1D81" w:rsidRDefault="003E1D81">
      <w:pPr>
        <w:spacing w:before="120" w:after="120" w:line="240" w:lineRule="auto"/>
        <w:ind w:left="709"/>
        <w:jc w:val="both"/>
        <w:rPr>
          <w:rFonts w:ascii="Times New Roman" w:hAnsi="Times New Roman" w:cs="Times New Roman"/>
          <w:noProof/>
          <w:sz w:val="24"/>
        </w:rPr>
        <w:sectPr w:rsidR="003E1D81" w:rsidSect="00C94F66">
          <w:headerReference w:type="even" r:id="rId447"/>
          <w:headerReference w:type="default" r:id="rId448"/>
          <w:footerReference w:type="even" r:id="rId449"/>
          <w:footerReference w:type="default" r:id="rId450"/>
          <w:headerReference w:type="first" r:id="rId451"/>
          <w:footerReference w:type="first" r:id="rId452"/>
          <w:pgSz w:w="11907" w:h="16839"/>
          <w:pgMar w:top="1134" w:right="1417" w:bottom="1134" w:left="1417" w:header="709" w:footer="709" w:gutter="0"/>
          <w:cols w:space="720"/>
          <w:docGrid w:linePitch="360"/>
        </w:sectPr>
      </w:pPr>
    </w:p>
    <w:tbl>
      <w:tblPr>
        <w:tblW w:w="1499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0"/>
        <w:gridCol w:w="828"/>
        <w:gridCol w:w="826"/>
        <w:gridCol w:w="2613"/>
        <w:gridCol w:w="1102"/>
        <w:gridCol w:w="827"/>
        <w:gridCol w:w="413"/>
        <w:gridCol w:w="689"/>
        <w:gridCol w:w="413"/>
        <w:gridCol w:w="551"/>
        <w:gridCol w:w="5901"/>
      </w:tblGrid>
      <w:tr w:rsidR="003E1D81" w14:paraId="0ECB5695" w14:textId="77777777">
        <w:trPr>
          <w:trHeight w:val="309"/>
          <w:tblHeader/>
        </w:trPr>
        <w:tc>
          <w:tcPr>
            <w:tcW w:w="830" w:type="dxa"/>
            <w:tcBorders>
              <w:bottom w:val="nil"/>
            </w:tcBorders>
            <w:shd w:val="clear" w:color="auto" w:fill="C6D9F1" w:themeFill="text2" w:themeFillTint="33"/>
            <w:noWrap/>
            <w:vAlign w:val="center"/>
          </w:tcPr>
          <w:p w14:paraId="22830699" w14:textId="77777777" w:rsidR="003E1D81" w:rsidRDefault="00EB481C">
            <w:pPr>
              <w:pStyle w:val="P68B1DB1-Normal12"/>
              <w:spacing w:after="0" w:line="240" w:lineRule="auto"/>
              <w:jc w:val="center"/>
              <w:rPr>
                <w:rFonts w:cs="Times New Roman"/>
                <w:noProof/>
              </w:rPr>
            </w:pPr>
            <w:r>
              <w:rPr>
                <w:noProof/>
              </w:rPr>
              <w:t>Szám</w:t>
            </w:r>
          </w:p>
        </w:tc>
        <w:tc>
          <w:tcPr>
            <w:tcW w:w="828" w:type="dxa"/>
            <w:tcBorders>
              <w:bottom w:val="nil"/>
            </w:tcBorders>
            <w:shd w:val="clear" w:color="auto" w:fill="C6D9F1" w:themeFill="text2" w:themeFillTint="33"/>
            <w:noWrap/>
            <w:vAlign w:val="center"/>
          </w:tcPr>
          <w:p w14:paraId="17A0D607" w14:textId="77777777" w:rsidR="003E1D81" w:rsidRDefault="00EB481C">
            <w:pPr>
              <w:pStyle w:val="P68B1DB1-Normal12"/>
              <w:spacing w:after="0" w:line="240" w:lineRule="auto"/>
              <w:jc w:val="center"/>
              <w:rPr>
                <w:rFonts w:cs="Times New Roman"/>
                <w:noProof/>
              </w:rPr>
            </w:pPr>
            <w:r>
              <w:rPr>
                <w:noProof/>
              </w:rPr>
              <w:t>Intézkedés</w:t>
            </w:r>
          </w:p>
        </w:tc>
        <w:tc>
          <w:tcPr>
            <w:tcW w:w="826" w:type="dxa"/>
            <w:tcBorders>
              <w:bottom w:val="nil"/>
            </w:tcBorders>
            <w:shd w:val="clear" w:color="auto" w:fill="C6D9F1" w:themeFill="text2" w:themeFillTint="33"/>
            <w:noWrap/>
            <w:vAlign w:val="center"/>
          </w:tcPr>
          <w:p w14:paraId="103F9819"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613" w:type="dxa"/>
            <w:tcBorders>
              <w:bottom w:val="nil"/>
            </w:tcBorders>
            <w:shd w:val="clear" w:color="auto" w:fill="C6D9F1" w:themeFill="text2" w:themeFillTint="33"/>
            <w:noWrap/>
            <w:vAlign w:val="center"/>
          </w:tcPr>
          <w:p w14:paraId="72BAAA7B" w14:textId="77777777" w:rsidR="003E1D81" w:rsidRDefault="00EB481C">
            <w:pPr>
              <w:pStyle w:val="P68B1DB1-Normal12"/>
              <w:spacing w:after="0" w:line="240" w:lineRule="auto"/>
              <w:jc w:val="center"/>
              <w:rPr>
                <w:rFonts w:cs="Times New Roman"/>
                <w:noProof/>
              </w:rPr>
            </w:pPr>
            <w:r>
              <w:rPr>
                <w:noProof/>
              </w:rPr>
              <w:t>Név</w:t>
            </w:r>
          </w:p>
        </w:tc>
        <w:tc>
          <w:tcPr>
            <w:tcW w:w="1102" w:type="dxa"/>
            <w:tcBorders>
              <w:bottom w:val="nil"/>
            </w:tcBorders>
            <w:shd w:val="clear" w:color="auto" w:fill="C6D9F1" w:themeFill="text2" w:themeFillTint="33"/>
            <w:noWrap/>
            <w:vAlign w:val="center"/>
          </w:tcPr>
          <w:p w14:paraId="7E2B21BF"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1929" w:type="dxa"/>
            <w:gridSpan w:val="3"/>
            <w:shd w:val="clear" w:color="auto" w:fill="C6D9F1" w:themeFill="text2" w:themeFillTint="33"/>
            <w:noWrap/>
            <w:vAlign w:val="center"/>
          </w:tcPr>
          <w:p w14:paraId="57BAA056"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64" w:type="dxa"/>
            <w:gridSpan w:val="2"/>
            <w:shd w:val="clear" w:color="auto" w:fill="C6D9F1" w:themeFill="text2" w:themeFillTint="33"/>
            <w:noWrap/>
            <w:vAlign w:val="center"/>
          </w:tcPr>
          <w:p w14:paraId="2DA5D823" w14:textId="77777777" w:rsidR="003E1D81" w:rsidRDefault="00EB481C">
            <w:pPr>
              <w:pStyle w:val="P68B1DB1-Normal12"/>
              <w:spacing w:after="0" w:line="240" w:lineRule="auto"/>
              <w:jc w:val="center"/>
              <w:rPr>
                <w:rFonts w:cs="Times New Roman"/>
                <w:noProof/>
              </w:rPr>
            </w:pPr>
            <w:r>
              <w:rPr>
                <w:noProof/>
              </w:rPr>
              <w:t>Idő</w:t>
            </w:r>
          </w:p>
        </w:tc>
        <w:tc>
          <w:tcPr>
            <w:tcW w:w="5901" w:type="dxa"/>
            <w:tcBorders>
              <w:bottom w:val="nil"/>
            </w:tcBorders>
            <w:shd w:val="clear" w:color="auto" w:fill="C6D9F1" w:themeFill="text2" w:themeFillTint="33"/>
            <w:noWrap/>
            <w:vAlign w:val="center"/>
          </w:tcPr>
          <w:p w14:paraId="4E6188D6" w14:textId="77777777" w:rsidR="003E1D81" w:rsidRDefault="00EB481C">
            <w:pPr>
              <w:pStyle w:val="P68B1DB1-Normal12"/>
              <w:spacing w:after="0" w:line="240" w:lineRule="auto"/>
              <w:jc w:val="center"/>
              <w:rPr>
                <w:rFonts w:cs="Times New Roman"/>
                <w:noProof/>
              </w:rPr>
            </w:pPr>
            <w:r>
              <w:rPr>
                <w:noProof/>
              </w:rPr>
              <w:t xml:space="preserve">Az egyes mérföldkövek és </w:t>
            </w:r>
            <w:r>
              <w:rPr>
                <w:noProof/>
              </w:rPr>
              <w:t>célértékek leírása</w:t>
            </w:r>
          </w:p>
        </w:tc>
      </w:tr>
      <w:tr w:rsidR="003E1D81" w14:paraId="4BF30752" w14:textId="77777777">
        <w:trPr>
          <w:trHeight w:val="309"/>
          <w:tblHeader/>
        </w:trPr>
        <w:tc>
          <w:tcPr>
            <w:tcW w:w="830" w:type="dxa"/>
            <w:tcBorders>
              <w:top w:val="nil"/>
            </w:tcBorders>
            <w:shd w:val="clear" w:color="auto" w:fill="C6D9F1" w:themeFill="text2" w:themeFillTint="33"/>
            <w:noWrap/>
          </w:tcPr>
          <w:p w14:paraId="29C547A1" w14:textId="77777777" w:rsidR="003E1D81" w:rsidRDefault="003E1D81">
            <w:pPr>
              <w:spacing w:after="0" w:line="240" w:lineRule="auto"/>
              <w:jc w:val="center"/>
              <w:rPr>
                <w:rFonts w:ascii="Times New Roman" w:hAnsi="Times New Roman" w:cs="Times New Roman"/>
                <w:b/>
                <w:noProof/>
                <w:sz w:val="18"/>
              </w:rPr>
            </w:pPr>
          </w:p>
        </w:tc>
        <w:tc>
          <w:tcPr>
            <w:tcW w:w="828" w:type="dxa"/>
            <w:tcBorders>
              <w:top w:val="nil"/>
            </w:tcBorders>
            <w:shd w:val="clear" w:color="auto" w:fill="C6D9F1" w:themeFill="text2" w:themeFillTint="33"/>
            <w:noWrap/>
          </w:tcPr>
          <w:p w14:paraId="1059B97E" w14:textId="77777777" w:rsidR="003E1D81" w:rsidRDefault="003E1D81">
            <w:pPr>
              <w:spacing w:after="0" w:line="240" w:lineRule="auto"/>
              <w:jc w:val="center"/>
              <w:rPr>
                <w:rFonts w:ascii="Times New Roman" w:hAnsi="Times New Roman" w:cs="Times New Roman"/>
                <w:b/>
                <w:noProof/>
                <w:sz w:val="18"/>
              </w:rPr>
            </w:pPr>
          </w:p>
        </w:tc>
        <w:tc>
          <w:tcPr>
            <w:tcW w:w="826" w:type="dxa"/>
            <w:tcBorders>
              <w:top w:val="nil"/>
            </w:tcBorders>
            <w:shd w:val="clear" w:color="auto" w:fill="C6D9F1" w:themeFill="text2" w:themeFillTint="33"/>
            <w:noWrap/>
          </w:tcPr>
          <w:p w14:paraId="5D2DCD9F" w14:textId="77777777" w:rsidR="003E1D81" w:rsidRDefault="003E1D81">
            <w:pPr>
              <w:spacing w:after="0" w:line="240" w:lineRule="auto"/>
              <w:jc w:val="center"/>
              <w:rPr>
                <w:rFonts w:ascii="Times New Roman" w:hAnsi="Times New Roman" w:cs="Times New Roman"/>
                <w:b/>
                <w:noProof/>
                <w:sz w:val="18"/>
              </w:rPr>
            </w:pPr>
          </w:p>
        </w:tc>
        <w:tc>
          <w:tcPr>
            <w:tcW w:w="2613" w:type="dxa"/>
            <w:tcBorders>
              <w:top w:val="nil"/>
            </w:tcBorders>
            <w:shd w:val="clear" w:color="auto" w:fill="C6D9F1" w:themeFill="text2" w:themeFillTint="33"/>
            <w:noWrap/>
          </w:tcPr>
          <w:p w14:paraId="4136251A" w14:textId="77777777" w:rsidR="003E1D81" w:rsidRDefault="003E1D81">
            <w:pPr>
              <w:spacing w:after="0" w:line="240" w:lineRule="auto"/>
              <w:rPr>
                <w:rFonts w:ascii="Times New Roman" w:hAnsi="Times New Roman" w:cs="Times New Roman"/>
                <w:b/>
                <w:noProof/>
                <w:sz w:val="18"/>
              </w:rPr>
            </w:pPr>
          </w:p>
        </w:tc>
        <w:tc>
          <w:tcPr>
            <w:tcW w:w="1102" w:type="dxa"/>
            <w:tcBorders>
              <w:top w:val="nil"/>
            </w:tcBorders>
            <w:shd w:val="clear" w:color="auto" w:fill="C6D9F1" w:themeFill="text2" w:themeFillTint="33"/>
            <w:noWrap/>
          </w:tcPr>
          <w:p w14:paraId="553A3634" w14:textId="77777777" w:rsidR="003E1D81" w:rsidRDefault="003E1D81">
            <w:pPr>
              <w:spacing w:after="0" w:line="240" w:lineRule="auto"/>
              <w:jc w:val="center"/>
              <w:rPr>
                <w:rFonts w:ascii="Times New Roman" w:hAnsi="Times New Roman" w:cs="Times New Roman"/>
                <w:b/>
                <w:noProof/>
                <w:sz w:val="18"/>
              </w:rPr>
            </w:pPr>
          </w:p>
        </w:tc>
        <w:tc>
          <w:tcPr>
            <w:tcW w:w="827" w:type="dxa"/>
            <w:shd w:val="clear" w:color="auto" w:fill="C6D9F1" w:themeFill="text2" w:themeFillTint="33"/>
            <w:noWrap/>
          </w:tcPr>
          <w:p w14:paraId="353E47FA" w14:textId="77777777" w:rsidR="003E1D81" w:rsidRDefault="00EB481C">
            <w:pPr>
              <w:pStyle w:val="P68B1DB1-Normal12"/>
              <w:spacing w:after="0" w:line="240" w:lineRule="auto"/>
              <w:jc w:val="center"/>
              <w:rPr>
                <w:rFonts w:cs="Times New Roman"/>
                <w:noProof/>
              </w:rPr>
            </w:pPr>
            <w:r>
              <w:rPr>
                <w:noProof/>
              </w:rPr>
              <w:t>Egység</w:t>
            </w:r>
          </w:p>
        </w:tc>
        <w:tc>
          <w:tcPr>
            <w:tcW w:w="413" w:type="dxa"/>
            <w:shd w:val="clear" w:color="auto" w:fill="C6D9F1" w:themeFill="text2" w:themeFillTint="33"/>
            <w:noWrap/>
          </w:tcPr>
          <w:p w14:paraId="315C088E" w14:textId="77777777" w:rsidR="003E1D81" w:rsidRDefault="00EB481C">
            <w:pPr>
              <w:pStyle w:val="P68B1DB1-Normal12"/>
              <w:spacing w:after="0" w:line="240" w:lineRule="auto"/>
              <w:jc w:val="center"/>
              <w:rPr>
                <w:rFonts w:cs="Times New Roman"/>
                <w:noProof/>
              </w:rPr>
            </w:pPr>
            <w:r>
              <w:rPr>
                <w:noProof/>
              </w:rPr>
              <w:t>Alapérték</w:t>
            </w:r>
          </w:p>
        </w:tc>
        <w:tc>
          <w:tcPr>
            <w:tcW w:w="689" w:type="dxa"/>
            <w:shd w:val="clear" w:color="auto" w:fill="C6D9F1" w:themeFill="text2" w:themeFillTint="33"/>
            <w:noWrap/>
          </w:tcPr>
          <w:p w14:paraId="32C0F50C" w14:textId="77777777" w:rsidR="003E1D81" w:rsidRDefault="00EB481C">
            <w:pPr>
              <w:pStyle w:val="P68B1DB1-Normal12"/>
              <w:spacing w:after="0" w:line="240" w:lineRule="auto"/>
              <w:jc w:val="center"/>
              <w:rPr>
                <w:rFonts w:cs="Times New Roman"/>
                <w:noProof/>
              </w:rPr>
            </w:pPr>
            <w:r>
              <w:rPr>
                <w:noProof/>
              </w:rPr>
              <w:t>Cél</w:t>
            </w:r>
          </w:p>
        </w:tc>
        <w:tc>
          <w:tcPr>
            <w:tcW w:w="413" w:type="dxa"/>
            <w:shd w:val="clear" w:color="auto" w:fill="C6D9F1" w:themeFill="text2" w:themeFillTint="33"/>
            <w:noWrap/>
          </w:tcPr>
          <w:p w14:paraId="2F858F73" w14:textId="77777777" w:rsidR="003E1D81" w:rsidRDefault="00EB481C">
            <w:pPr>
              <w:pStyle w:val="P68B1DB1-Normal12"/>
              <w:spacing w:after="0" w:line="240" w:lineRule="auto"/>
              <w:jc w:val="center"/>
              <w:rPr>
                <w:rFonts w:cs="Times New Roman"/>
                <w:noProof/>
              </w:rPr>
            </w:pPr>
            <w:r>
              <w:rPr>
                <w:noProof/>
              </w:rPr>
              <w:t>Q</w:t>
            </w:r>
          </w:p>
        </w:tc>
        <w:tc>
          <w:tcPr>
            <w:tcW w:w="551" w:type="dxa"/>
            <w:shd w:val="clear" w:color="auto" w:fill="C6D9F1" w:themeFill="text2" w:themeFillTint="33"/>
            <w:noWrap/>
          </w:tcPr>
          <w:p w14:paraId="31DCEA32" w14:textId="77777777" w:rsidR="003E1D81" w:rsidRDefault="00EB481C">
            <w:pPr>
              <w:pStyle w:val="P68B1DB1-Normal12"/>
              <w:spacing w:after="0" w:line="240" w:lineRule="auto"/>
              <w:jc w:val="center"/>
              <w:rPr>
                <w:rFonts w:cs="Times New Roman"/>
                <w:noProof/>
              </w:rPr>
            </w:pPr>
            <w:r>
              <w:rPr>
                <w:noProof/>
              </w:rPr>
              <w:t>Éve</w:t>
            </w:r>
          </w:p>
        </w:tc>
        <w:tc>
          <w:tcPr>
            <w:tcW w:w="5901" w:type="dxa"/>
            <w:tcBorders>
              <w:top w:val="nil"/>
            </w:tcBorders>
            <w:shd w:val="clear" w:color="auto" w:fill="C6D9F1" w:themeFill="text2" w:themeFillTint="33"/>
            <w:noWrap/>
          </w:tcPr>
          <w:p w14:paraId="03115B95" w14:textId="77777777" w:rsidR="003E1D81" w:rsidRDefault="003E1D81">
            <w:pPr>
              <w:spacing w:after="0" w:line="240" w:lineRule="auto"/>
              <w:rPr>
                <w:rFonts w:ascii="Times New Roman" w:hAnsi="Times New Roman" w:cs="Times New Roman"/>
                <w:b/>
                <w:noProof/>
                <w:sz w:val="18"/>
              </w:rPr>
            </w:pPr>
          </w:p>
        </w:tc>
      </w:tr>
      <w:tr w:rsidR="003E1D81" w14:paraId="36FDEA7D" w14:textId="77777777">
        <w:trPr>
          <w:trHeight w:val="309"/>
        </w:trPr>
        <w:tc>
          <w:tcPr>
            <w:tcW w:w="830" w:type="dxa"/>
            <w:shd w:val="clear" w:color="auto" w:fill="C6EFCE"/>
            <w:noWrap/>
          </w:tcPr>
          <w:p w14:paraId="456CA45E" w14:textId="77777777" w:rsidR="003E1D81" w:rsidRDefault="00EB481C">
            <w:pPr>
              <w:pStyle w:val="P68B1DB1-Normal13"/>
              <w:spacing w:after="0" w:line="240" w:lineRule="auto"/>
              <w:jc w:val="center"/>
              <w:rPr>
                <w:rFonts w:eastAsia="Times New Roman" w:cs="Times New Roman"/>
                <w:noProof/>
              </w:rPr>
            </w:pPr>
            <w:r>
              <w:rPr>
                <w:noProof/>
              </w:rPr>
              <w:t>329</w:t>
            </w:r>
          </w:p>
        </w:tc>
        <w:tc>
          <w:tcPr>
            <w:tcW w:w="828" w:type="dxa"/>
            <w:shd w:val="clear" w:color="auto" w:fill="C6EFCE"/>
            <w:noWrap/>
          </w:tcPr>
          <w:p w14:paraId="73EA70E1" w14:textId="77777777" w:rsidR="003E1D81" w:rsidRDefault="00EB481C">
            <w:pPr>
              <w:pStyle w:val="P68B1DB1-Normal13"/>
              <w:spacing w:after="0" w:line="240" w:lineRule="auto"/>
              <w:jc w:val="center"/>
              <w:rPr>
                <w:rFonts w:eastAsia="Times New Roman" w:cs="Times New Roman"/>
                <w:noProof/>
              </w:rPr>
            </w:pPr>
            <w:r>
              <w:rPr>
                <w:noProof/>
              </w:rPr>
              <w:t>C23.R1</w:t>
            </w:r>
          </w:p>
        </w:tc>
        <w:tc>
          <w:tcPr>
            <w:tcW w:w="826" w:type="dxa"/>
            <w:shd w:val="clear" w:color="auto" w:fill="C6EFCE"/>
            <w:noWrap/>
          </w:tcPr>
          <w:p w14:paraId="03F95390" w14:textId="77777777" w:rsidR="003E1D81" w:rsidRDefault="00EB481C">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0F077D7A" w14:textId="77777777" w:rsidR="003E1D81" w:rsidRDefault="00EB481C">
            <w:pPr>
              <w:pStyle w:val="P68B1DB1-Normal13"/>
              <w:spacing w:after="0" w:line="240" w:lineRule="auto"/>
              <w:rPr>
                <w:rFonts w:cs="Times New Roman"/>
                <w:noProof/>
              </w:rPr>
            </w:pPr>
            <w:r>
              <w:rPr>
                <w:noProof/>
              </w:rPr>
              <w:t>A magánszektorban és a közigazgatásban végzett távmunkát szabályozó két királyi törvényerejű rendelet hatálybalépése</w:t>
            </w:r>
          </w:p>
          <w:p w14:paraId="2D6573B5" w14:textId="77777777" w:rsidR="003E1D81" w:rsidRDefault="003E1D81">
            <w:pPr>
              <w:jc w:val="right"/>
              <w:rPr>
                <w:rFonts w:ascii="Times New Roman" w:eastAsia="Times New Roman" w:hAnsi="Times New Roman" w:cs="Times New Roman"/>
                <w:noProof/>
                <w:sz w:val="18"/>
              </w:rPr>
            </w:pPr>
          </w:p>
        </w:tc>
        <w:tc>
          <w:tcPr>
            <w:tcW w:w="1102" w:type="dxa"/>
            <w:shd w:val="clear" w:color="auto" w:fill="C6EFCE"/>
            <w:noWrap/>
          </w:tcPr>
          <w:p w14:paraId="2814BE0C" w14:textId="77777777" w:rsidR="003E1D81" w:rsidRDefault="00EB481C">
            <w:pPr>
              <w:pStyle w:val="P68B1DB1-Normal13"/>
              <w:spacing w:after="0" w:line="240" w:lineRule="auto"/>
              <w:jc w:val="center"/>
              <w:rPr>
                <w:rFonts w:eastAsia="Times New Roman" w:cs="Times New Roman"/>
                <w:noProof/>
              </w:rPr>
            </w:pPr>
            <w:r>
              <w:rPr>
                <w:noProof/>
              </w:rPr>
              <w:t xml:space="preserve">A királyi törvényerejű rendelet hatályba lépésre vonatkozó </w:t>
            </w:r>
            <w:r>
              <w:rPr>
                <w:noProof/>
              </w:rPr>
              <w:t>rendelkezései</w:t>
            </w:r>
          </w:p>
        </w:tc>
        <w:tc>
          <w:tcPr>
            <w:tcW w:w="827" w:type="dxa"/>
            <w:shd w:val="clear" w:color="auto" w:fill="C6EFCE"/>
            <w:noWrap/>
          </w:tcPr>
          <w:p w14:paraId="3ECB9D4A"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245DEBF0"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423117AD"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7066183E"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shd w:val="clear" w:color="auto" w:fill="C6EFCE"/>
            <w:noWrap/>
          </w:tcPr>
          <w:p w14:paraId="17BCFEE8" w14:textId="77777777" w:rsidR="003E1D81" w:rsidRDefault="00EB481C">
            <w:pPr>
              <w:pStyle w:val="P68B1DB1-Normal13"/>
              <w:spacing w:after="0" w:line="240" w:lineRule="auto"/>
              <w:jc w:val="center"/>
              <w:rPr>
                <w:rFonts w:eastAsia="Times New Roman" w:cs="Times New Roman"/>
                <w:noProof/>
              </w:rPr>
            </w:pPr>
            <w:r>
              <w:rPr>
                <w:noProof/>
              </w:rPr>
              <w:t>2020</w:t>
            </w:r>
          </w:p>
        </w:tc>
        <w:tc>
          <w:tcPr>
            <w:tcW w:w="5901" w:type="dxa"/>
            <w:shd w:val="clear" w:color="auto" w:fill="C6EFCE"/>
            <w:noWrap/>
          </w:tcPr>
          <w:p w14:paraId="488BD1D6" w14:textId="77777777" w:rsidR="003E1D81" w:rsidRDefault="00EB481C">
            <w:pPr>
              <w:pStyle w:val="P68B1DB1-Normal13"/>
              <w:spacing w:after="0" w:line="240" w:lineRule="auto"/>
              <w:rPr>
                <w:rFonts w:eastAsia="Times New Roman" w:cs="Times New Roman"/>
                <w:noProof/>
              </w:rPr>
            </w:pPr>
            <w:r>
              <w:rPr>
                <w:noProof/>
              </w:rPr>
              <w:t>A két királyi törvényerejű rendelet szabályozza a távmunkát a magánszektorban és a közigazgatásban. A jogszabályok célkitűzései a következők: olyan szabályozási keret biztosítása (RDL 28/2020), amely támogatja a távmunka b</w:t>
            </w:r>
            <w:r>
              <w:rPr>
                <w:noProof/>
              </w:rPr>
              <w:t>evezetését, ugyanakkor megőrzi az üzleti termelékenységet, valamint védelmet és rugalmasságot biztosít a munkavállalók számára; valamint ii. a távmunka szabályozása valamennyi közigazgatási szervnél (RDL 29/2020) mint a munka szervezésének és strukturálásá</w:t>
            </w:r>
            <w:r>
              <w:rPr>
                <w:noProof/>
              </w:rPr>
              <w:t>nak új módja az általános érdekek jobb szolgálata és a közigazgatás rendes működésének biztosítása érdekében.</w:t>
            </w:r>
          </w:p>
        </w:tc>
      </w:tr>
      <w:tr w:rsidR="003E1D81" w14:paraId="22A87D8A" w14:textId="77777777">
        <w:trPr>
          <w:trHeight w:val="309"/>
        </w:trPr>
        <w:tc>
          <w:tcPr>
            <w:tcW w:w="830" w:type="dxa"/>
            <w:shd w:val="clear" w:color="auto" w:fill="C6EFCE"/>
            <w:noWrap/>
          </w:tcPr>
          <w:p w14:paraId="46199EE4" w14:textId="77777777" w:rsidR="003E1D81" w:rsidRDefault="00EB481C">
            <w:pPr>
              <w:pStyle w:val="P68B1DB1-Normal13"/>
              <w:spacing w:after="0" w:line="240" w:lineRule="auto"/>
              <w:jc w:val="center"/>
              <w:rPr>
                <w:rFonts w:eastAsia="Times New Roman" w:cs="Times New Roman"/>
                <w:noProof/>
              </w:rPr>
            </w:pPr>
            <w:r>
              <w:rPr>
                <w:noProof/>
              </w:rPr>
              <w:t>330</w:t>
            </w:r>
          </w:p>
        </w:tc>
        <w:tc>
          <w:tcPr>
            <w:tcW w:w="828" w:type="dxa"/>
            <w:shd w:val="clear" w:color="auto" w:fill="C6EFCE"/>
            <w:noWrap/>
          </w:tcPr>
          <w:p w14:paraId="5FF176BB" w14:textId="77777777" w:rsidR="003E1D81" w:rsidRDefault="00EB481C">
            <w:pPr>
              <w:pStyle w:val="P68B1DB1-Normal13"/>
              <w:spacing w:after="0" w:line="240" w:lineRule="auto"/>
              <w:jc w:val="center"/>
              <w:rPr>
                <w:rFonts w:eastAsia="Times New Roman" w:cs="Times New Roman"/>
                <w:noProof/>
              </w:rPr>
            </w:pPr>
            <w:r>
              <w:rPr>
                <w:noProof/>
              </w:rPr>
              <w:t>C23.R2</w:t>
            </w:r>
          </w:p>
        </w:tc>
        <w:tc>
          <w:tcPr>
            <w:tcW w:w="826" w:type="dxa"/>
            <w:shd w:val="clear" w:color="auto" w:fill="C6EFCE"/>
            <w:noWrap/>
          </w:tcPr>
          <w:p w14:paraId="4D64BEF9" w14:textId="77777777" w:rsidR="003E1D81" w:rsidRDefault="00EB481C">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2CFF2489" w14:textId="77777777" w:rsidR="003E1D81" w:rsidRDefault="00EB481C">
            <w:pPr>
              <w:pStyle w:val="P68B1DB1-Normal13"/>
              <w:spacing w:after="0" w:line="240" w:lineRule="auto"/>
              <w:rPr>
                <w:rFonts w:eastAsia="Times New Roman" w:cs="Times New Roman"/>
                <w:noProof/>
              </w:rPr>
            </w:pPr>
            <w:r>
              <w:rPr>
                <w:noProof/>
              </w:rPr>
              <w:t xml:space="preserve">A nők és férfiak egyenlő díjazásáról, valamint az egyenlőségi tervekről és azok nyilvántartásba vételéről szóló két rendelet </w:t>
            </w:r>
            <w:r>
              <w:rPr>
                <w:noProof/>
              </w:rPr>
              <w:t>hatálybalépése</w:t>
            </w:r>
          </w:p>
        </w:tc>
        <w:tc>
          <w:tcPr>
            <w:tcW w:w="1102" w:type="dxa"/>
            <w:shd w:val="clear" w:color="auto" w:fill="C6EFCE"/>
            <w:noWrap/>
          </w:tcPr>
          <w:p w14:paraId="53295996" w14:textId="77777777" w:rsidR="003E1D81" w:rsidRDefault="00EB481C">
            <w:pPr>
              <w:pStyle w:val="P68B1DB1-Normal13"/>
              <w:spacing w:after="0" w:line="240" w:lineRule="auto"/>
              <w:jc w:val="center"/>
              <w:rPr>
                <w:rFonts w:eastAsia="Times New Roman" w:cs="Times New Roman"/>
                <w:noProof/>
              </w:rPr>
            </w:pPr>
            <w:r>
              <w:rPr>
                <w:noProof/>
              </w:rPr>
              <w:t>A hatálybalépésre vonatkozó rendelkezések</w:t>
            </w:r>
          </w:p>
        </w:tc>
        <w:tc>
          <w:tcPr>
            <w:tcW w:w="827" w:type="dxa"/>
            <w:shd w:val="clear" w:color="auto" w:fill="C6EFCE"/>
            <w:noWrap/>
          </w:tcPr>
          <w:p w14:paraId="745EA3B5"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6DBB5D3F"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47F53BE3"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26075300"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551" w:type="dxa"/>
            <w:shd w:val="clear" w:color="auto" w:fill="C6EFCE"/>
            <w:noWrap/>
          </w:tcPr>
          <w:p w14:paraId="0207F12F" w14:textId="77777777" w:rsidR="003E1D81" w:rsidRDefault="00EB481C">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05BC44CF" w14:textId="77777777" w:rsidR="003E1D81" w:rsidRDefault="00EB481C">
            <w:pPr>
              <w:pStyle w:val="P68B1DB1-Normal13"/>
              <w:spacing w:after="0" w:line="240" w:lineRule="auto"/>
              <w:rPr>
                <w:rFonts w:eastAsia="Times New Roman" w:cs="Times New Roman"/>
                <w:noProof/>
              </w:rPr>
            </w:pPr>
            <w:r>
              <w:rPr>
                <w:noProof/>
              </w:rPr>
              <w:t>A két jogszabály a nők és férfiak egyenlő díjazására, valamint az egyenlőségi tervekre és azok nyilvántartásba vételére vonatkozik. A rendeletek célkitűzései a következők: biztosíts</w:t>
            </w:r>
            <w:r>
              <w:rPr>
                <w:noProof/>
              </w:rPr>
              <w:t>a a bérek átláthatóságának elvét a helytelen munkakör-értékelések miatti megkülönböztetés azonosítása érdekében; valamint ii. egyenlőségi tervek kidolgozása és nyilvános nyilvántartásba vételük biztosítása.</w:t>
            </w:r>
          </w:p>
        </w:tc>
      </w:tr>
      <w:tr w:rsidR="003E1D81" w14:paraId="070AFE23" w14:textId="77777777">
        <w:trPr>
          <w:trHeight w:val="309"/>
        </w:trPr>
        <w:tc>
          <w:tcPr>
            <w:tcW w:w="830" w:type="dxa"/>
            <w:shd w:val="clear" w:color="auto" w:fill="C6EFCE"/>
            <w:noWrap/>
          </w:tcPr>
          <w:p w14:paraId="34E4D46A" w14:textId="77777777" w:rsidR="003E1D81" w:rsidRDefault="00EB481C">
            <w:pPr>
              <w:pStyle w:val="P68B1DB1-Normal13"/>
              <w:spacing w:after="0" w:line="240" w:lineRule="auto"/>
              <w:jc w:val="center"/>
              <w:rPr>
                <w:rFonts w:eastAsia="Times New Roman" w:cs="Times New Roman"/>
                <w:noProof/>
              </w:rPr>
            </w:pPr>
            <w:r>
              <w:rPr>
                <w:noProof/>
              </w:rPr>
              <w:t>331</w:t>
            </w:r>
          </w:p>
        </w:tc>
        <w:tc>
          <w:tcPr>
            <w:tcW w:w="828" w:type="dxa"/>
            <w:shd w:val="clear" w:color="auto" w:fill="C6EFCE"/>
            <w:noWrap/>
          </w:tcPr>
          <w:p w14:paraId="49B5C76D" w14:textId="77777777" w:rsidR="003E1D81" w:rsidRDefault="00EB481C">
            <w:pPr>
              <w:pStyle w:val="P68B1DB1-Normal13"/>
              <w:spacing w:after="0" w:line="240" w:lineRule="auto"/>
              <w:jc w:val="center"/>
              <w:rPr>
                <w:rFonts w:eastAsia="Times New Roman" w:cs="Times New Roman"/>
                <w:noProof/>
              </w:rPr>
            </w:pPr>
            <w:r>
              <w:rPr>
                <w:noProof/>
              </w:rPr>
              <w:t>C23.R3</w:t>
            </w:r>
          </w:p>
        </w:tc>
        <w:tc>
          <w:tcPr>
            <w:tcW w:w="826" w:type="dxa"/>
            <w:shd w:val="clear" w:color="auto" w:fill="C6EFCE"/>
            <w:noWrap/>
          </w:tcPr>
          <w:p w14:paraId="5DB08BC8" w14:textId="77777777" w:rsidR="003E1D81" w:rsidRDefault="00EB481C">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58EF5E75" w14:textId="77777777" w:rsidR="003E1D81" w:rsidRDefault="00EB481C">
            <w:pPr>
              <w:pStyle w:val="P68B1DB1-Normal13"/>
              <w:spacing w:after="0" w:line="240" w:lineRule="auto"/>
              <w:rPr>
                <w:rFonts w:eastAsia="Times New Roman" w:cs="Times New Roman"/>
                <w:noProof/>
              </w:rPr>
            </w:pPr>
            <w:r>
              <w:rPr>
                <w:noProof/>
              </w:rPr>
              <w:t>A technológiai eszközökkel harmadik</w:t>
            </w:r>
            <w:r>
              <w:rPr>
                <w:noProof/>
              </w:rPr>
              <w:t xml:space="preserve"> felek részére történő terjesztési tevékenységet végző munkavállalók védelméről szóló királyi törvényerejű rendelet hatálybalépése</w:t>
            </w:r>
          </w:p>
        </w:tc>
        <w:tc>
          <w:tcPr>
            <w:tcW w:w="1102" w:type="dxa"/>
            <w:shd w:val="clear" w:color="auto" w:fill="C6EFCE"/>
            <w:noWrap/>
          </w:tcPr>
          <w:p w14:paraId="7207906F" w14:textId="77777777" w:rsidR="003E1D81" w:rsidRDefault="00EB481C">
            <w:pPr>
              <w:pStyle w:val="P68B1DB1-Normal13"/>
              <w:spacing w:after="0" w:line="240" w:lineRule="auto"/>
              <w:jc w:val="center"/>
              <w:rPr>
                <w:rFonts w:eastAsia="Times New Roman" w:cs="Times New Roman"/>
                <w:noProof/>
              </w:rPr>
            </w:pPr>
            <w:r>
              <w:rPr>
                <w:noProof/>
              </w:rPr>
              <w:t>A királyi törvényerejű rendelet hatálybalépésére vonatkozó rendelkezések</w:t>
            </w:r>
          </w:p>
        </w:tc>
        <w:tc>
          <w:tcPr>
            <w:tcW w:w="827" w:type="dxa"/>
            <w:shd w:val="clear" w:color="auto" w:fill="C6EFCE"/>
            <w:noWrap/>
          </w:tcPr>
          <w:p w14:paraId="273CDBAD"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64C43E4F"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57973AF5"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5FBDB62C"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shd w:val="clear" w:color="auto" w:fill="C6EFCE"/>
            <w:noWrap/>
          </w:tcPr>
          <w:p w14:paraId="0C02A8C7" w14:textId="77777777" w:rsidR="003E1D81" w:rsidRDefault="00EB481C">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5D119842" w14:textId="77777777" w:rsidR="003E1D81" w:rsidRDefault="00EB481C">
            <w:pPr>
              <w:pStyle w:val="P68B1DB1-Normal13"/>
              <w:spacing w:after="0" w:line="240" w:lineRule="auto"/>
              <w:rPr>
                <w:rFonts w:eastAsia="Times New Roman" w:cs="Times New Roman"/>
                <w:noProof/>
              </w:rPr>
            </w:pPr>
            <w:r>
              <w:rPr>
                <w:noProof/>
              </w:rPr>
              <w:t xml:space="preserve">A királyi törvényerejű rendelet </w:t>
            </w:r>
            <w:r>
              <w:rPr>
                <w:noProof/>
              </w:rPr>
              <w:t>a technológiai eszközökkel harmadik személyek részére történő terjesztési tevékenységet végző munkavállalók védelmére vonatkozik. A törvény célja, hogy biztosítsa e személyek számára a tisztességes és egyenlő bánásmódhoz való jogot a munkafeltételek tekint</w:t>
            </w:r>
            <w:r>
              <w:rPr>
                <w:noProof/>
              </w:rPr>
              <w:t xml:space="preserve">etében, a szociális védelemhez és képzéshez való hozzáférés jogát, valamint hogy lehetővé tegye a munkavállalók jogi képviseletének tájékoztatását a mesterségesintelligencia-algoritmusokban és -rendszerekben foglalt szabályokról, amelyek hatással lehetnek </w:t>
            </w:r>
            <w:r>
              <w:rPr>
                <w:noProof/>
              </w:rPr>
              <w:t>a platformok munkakörülményeire, beleértve a foglalkoztatáshoz való hozzáférést és annak fenntartását, valamint a profilalkotást.</w:t>
            </w:r>
          </w:p>
        </w:tc>
      </w:tr>
      <w:tr w:rsidR="003E1D81" w14:paraId="57572D13" w14:textId="77777777">
        <w:trPr>
          <w:trHeight w:val="309"/>
        </w:trPr>
        <w:tc>
          <w:tcPr>
            <w:tcW w:w="830" w:type="dxa"/>
            <w:shd w:val="clear" w:color="auto" w:fill="C6EFCE"/>
            <w:noWrap/>
          </w:tcPr>
          <w:p w14:paraId="4BC4363E" w14:textId="77777777" w:rsidR="003E1D81" w:rsidRDefault="00EB481C">
            <w:pPr>
              <w:pStyle w:val="P68B1DB1-Normal13"/>
              <w:spacing w:after="0" w:line="240" w:lineRule="auto"/>
              <w:jc w:val="center"/>
              <w:rPr>
                <w:rFonts w:eastAsia="Times New Roman" w:cs="Times New Roman"/>
                <w:noProof/>
              </w:rPr>
            </w:pPr>
            <w:r>
              <w:rPr>
                <w:noProof/>
              </w:rPr>
              <w:t>332</w:t>
            </w:r>
          </w:p>
        </w:tc>
        <w:tc>
          <w:tcPr>
            <w:tcW w:w="828" w:type="dxa"/>
            <w:shd w:val="clear" w:color="auto" w:fill="C6EFCE"/>
            <w:noWrap/>
          </w:tcPr>
          <w:p w14:paraId="4161C4D6" w14:textId="77777777" w:rsidR="003E1D81" w:rsidRDefault="00EB481C">
            <w:pPr>
              <w:pStyle w:val="P68B1DB1-Normal13"/>
              <w:spacing w:after="0" w:line="240" w:lineRule="auto"/>
              <w:jc w:val="center"/>
              <w:rPr>
                <w:rFonts w:eastAsia="Times New Roman" w:cs="Times New Roman"/>
                <w:noProof/>
              </w:rPr>
            </w:pPr>
            <w:r>
              <w:rPr>
                <w:noProof/>
              </w:rPr>
              <w:t>C23.R4</w:t>
            </w:r>
          </w:p>
        </w:tc>
        <w:tc>
          <w:tcPr>
            <w:tcW w:w="826" w:type="dxa"/>
            <w:shd w:val="clear" w:color="auto" w:fill="C6EFCE"/>
            <w:noWrap/>
          </w:tcPr>
          <w:p w14:paraId="5EC91730" w14:textId="77777777" w:rsidR="003E1D81" w:rsidRDefault="00EB481C">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638B7749" w14:textId="77777777" w:rsidR="003E1D81" w:rsidRDefault="00EB481C">
            <w:pPr>
              <w:pStyle w:val="P68B1DB1-Normal13"/>
              <w:spacing w:after="0" w:line="240" w:lineRule="auto"/>
              <w:rPr>
                <w:rFonts w:eastAsia="Times New Roman" w:cs="Times New Roman"/>
                <w:noProof/>
              </w:rPr>
            </w:pPr>
            <w:r>
              <w:rPr>
                <w:noProof/>
              </w:rPr>
              <w:t xml:space="preserve">A munkavállalók statútumának módosítása az ideiglenes foglalkoztatás csökkentésének támogatása érdekében a </w:t>
            </w:r>
            <w:r>
              <w:rPr>
                <w:noProof/>
              </w:rPr>
              <w:t>szerződéstípusok számának egyszerűsítése révén</w:t>
            </w:r>
          </w:p>
        </w:tc>
        <w:tc>
          <w:tcPr>
            <w:tcW w:w="1102" w:type="dxa"/>
            <w:shd w:val="clear" w:color="auto" w:fill="C6EFCE"/>
            <w:noWrap/>
          </w:tcPr>
          <w:p w14:paraId="786C061B" w14:textId="77777777" w:rsidR="003E1D81" w:rsidRDefault="00EB481C">
            <w:pPr>
              <w:pStyle w:val="P68B1DB1-Normal13"/>
              <w:spacing w:after="0" w:line="240" w:lineRule="auto"/>
              <w:jc w:val="center"/>
              <w:rPr>
                <w:rFonts w:eastAsia="Times New Roman" w:cs="Times New Roman"/>
                <w:noProof/>
              </w:rPr>
            </w:pPr>
            <w:r>
              <w:rPr>
                <w:noProof/>
              </w:rPr>
              <w:t>A módosítás hatályba lépésre vonatkozó rendelkezései</w:t>
            </w:r>
          </w:p>
        </w:tc>
        <w:tc>
          <w:tcPr>
            <w:tcW w:w="827" w:type="dxa"/>
            <w:shd w:val="clear" w:color="auto" w:fill="C6EFCE"/>
            <w:noWrap/>
          </w:tcPr>
          <w:p w14:paraId="63332ACC"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3CFDD104"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7048586C"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22751C80"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shd w:val="clear" w:color="auto" w:fill="C6EFCE"/>
            <w:noWrap/>
          </w:tcPr>
          <w:p w14:paraId="01D31852" w14:textId="77777777" w:rsidR="003E1D81" w:rsidRDefault="00EB481C">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1A58AFA6" w14:textId="77777777" w:rsidR="003E1D81" w:rsidRDefault="00EB481C">
            <w:pPr>
              <w:pStyle w:val="P68B1DB1-Normal13"/>
              <w:spacing w:after="0" w:line="240" w:lineRule="auto"/>
              <w:rPr>
                <w:rFonts w:eastAsia="Times New Roman" w:cs="Times New Roman"/>
                <w:noProof/>
              </w:rPr>
            </w:pPr>
            <w:r>
              <w:rPr>
                <w:noProof/>
              </w:rPr>
              <w:t xml:space="preserve">A szociális párbeszéd tiszteletben tartása mellett és a munkaerő-piaci rugalmasság és biztonság iránti igényt kiegyensúlyozó átfogó </w:t>
            </w:r>
            <w:r>
              <w:rPr>
                <w:noProof/>
              </w:rPr>
              <w:t>megközelítés részeként hatályba lép a munkavállalók jogállásáról szóló törvény átdolgozott szövegének jóváhagyásáról szóló, október 23-i 2/2015. sz. törvényerejű rendelet rendelkezéseinek módosítása, amely a szerződéstípusok számának egyszerűsítésével támo</w:t>
            </w:r>
            <w:r>
              <w:rPr>
                <w:noProof/>
              </w:rPr>
              <w:t>gatja az ideiglenes foglalkoztatás csökkentését.</w:t>
            </w:r>
          </w:p>
        </w:tc>
      </w:tr>
      <w:tr w:rsidR="003E1D81" w14:paraId="7B861282" w14:textId="77777777">
        <w:trPr>
          <w:trHeight w:val="309"/>
        </w:trPr>
        <w:tc>
          <w:tcPr>
            <w:tcW w:w="830" w:type="dxa"/>
            <w:shd w:val="clear" w:color="auto" w:fill="C6EFCE"/>
            <w:noWrap/>
          </w:tcPr>
          <w:p w14:paraId="46692478" w14:textId="77777777" w:rsidR="003E1D81" w:rsidRDefault="00EB481C">
            <w:pPr>
              <w:pStyle w:val="P68B1DB1-Normal13"/>
              <w:spacing w:after="0" w:line="240" w:lineRule="auto"/>
              <w:jc w:val="center"/>
              <w:rPr>
                <w:rFonts w:eastAsia="Times New Roman" w:cs="Times New Roman"/>
                <w:noProof/>
              </w:rPr>
            </w:pPr>
            <w:r>
              <w:rPr>
                <w:noProof/>
              </w:rPr>
              <w:t>333</w:t>
            </w:r>
          </w:p>
        </w:tc>
        <w:tc>
          <w:tcPr>
            <w:tcW w:w="828" w:type="dxa"/>
            <w:shd w:val="clear" w:color="auto" w:fill="C6EFCE"/>
            <w:noWrap/>
          </w:tcPr>
          <w:p w14:paraId="4AA8DF04" w14:textId="77777777" w:rsidR="003E1D81" w:rsidRDefault="00EB481C">
            <w:pPr>
              <w:pStyle w:val="P68B1DB1-Normal13"/>
              <w:spacing w:after="0" w:line="240" w:lineRule="auto"/>
              <w:jc w:val="center"/>
              <w:rPr>
                <w:rFonts w:eastAsia="Times New Roman" w:cs="Times New Roman"/>
                <w:noProof/>
              </w:rPr>
            </w:pPr>
            <w:r>
              <w:rPr>
                <w:noProof/>
              </w:rPr>
              <w:t>C23.R5</w:t>
            </w:r>
          </w:p>
        </w:tc>
        <w:tc>
          <w:tcPr>
            <w:tcW w:w="826" w:type="dxa"/>
            <w:shd w:val="clear" w:color="auto" w:fill="C6EFCE"/>
            <w:noWrap/>
          </w:tcPr>
          <w:p w14:paraId="4B808AF9" w14:textId="77777777" w:rsidR="003E1D81" w:rsidRDefault="00EB481C">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1D60493A" w14:textId="77777777" w:rsidR="003E1D81" w:rsidRDefault="00EB481C">
            <w:pPr>
              <w:pStyle w:val="P68B1DB1-Normal13"/>
              <w:spacing w:after="0" w:line="240" w:lineRule="auto"/>
              <w:rPr>
                <w:rFonts w:eastAsia="Times New Roman" w:cs="Times New Roman"/>
                <w:noProof/>
              </w:rPr>
            </w:pPr>
            <w:r>
              <w:rPr>
                <w:noProof/>
              </w:rPr>
              <w:t xml:space="preserve">Az ifjúsági munkanélküliség kezelésére irányuló cselekvési terv hatálybalépése </w:t>
            </w:r>
          </w:p>
        </w:tc>
        <w:tc>
          <w:tcPr>
            <w:tcW w:w="1102" w:type="dxa"/>
            <w:shd w:val="clear" w:color="auto" w:fill="C6EFCE"/>
            <w:noWrap/>
          </w:tcPr>
          <w:p w14:paraId="11E5F696" w14:textId="77777777" w:rsidR="003E1D81" w:rsidRDefault="00EB481C">
            <w:pPr>
              <w:pStyle w:val="P68B1DB1-Normal13"/>
              <w:spacing w:after="0" w:line="240" w:lineRule="auto"/>
              <w:jc w:val="center"/>
              <w:rPr>
                <w:rFonts w:eastAsia="Times New Roman" w:cs="Times New Roman"/>
                <w:noProof/>
              </w:rPr>
            </w:pPr>
            <w:r>
              <w:rPr>
                <w:noProof/>
              </w:rPr>
              <w:t>A cselekvési terv hatálybalépésére vonatkozó rendelkezések</w:t>
            </w:r>
          </w:p>
        </w:tc>
        <w:tc>
          <w:tcPr>
            <w:tcW w:w="827" w:type="dxa"/>
            <w:shd w:val="clear" w:color="auto" w:fill="C6EFCE"/>
            <w:noWrap/>
          </w:tcPr>
          <w:p w14:paraId="3E319B07"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101540C6"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1A62AE9E" w14:textId="77777777" w:rsidR="003E1D81" w:rsidRDefault="00EB481C">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56D1B033"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551" w:type="dxa"/>
            <w:shd w:val="clear" w:color="auto" w:fill="C6EFCE"/>
            <w:noWrap/>
          </w:tcPr>
          <w:p w14:paraId="45617556" w14:textId="77777777" w:rsidR="003E1D81" w:rsidRDefault="00EB481C">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46DF31CB" w14:textId="77777777" w:rsidR="003E1D81" w:rsidRDefault="00EB481C">
            <w:pPr>
              <w:pStyle w:val="P68B1DB1-Normal13"/>
              <w:spacing w:after="0" w:line="240" w:lineRule="auto"/>
              <w:rPr>
                <w:rFonts w:eastAsia="Times New Roman" w:cs="Times New Roman"/>
                <w:noProof/>
              </w:rPr>
            </w:pPr>
            <w:r>
              <w:rPr>
                <w:noProof/>
              </w:rPr>
              <w:t>A cselekvési tervnek foglalkoznia kell az ifjúsági munkanélküliséggel az EU Ifjúsági Garancia Plusz végrehajtásának alkalmával. Az ifjúsági garancia célja az intézményközi koordináció javítása és elmélyítése, a magánszektorral és a helyi hatóságokkal fennt</w:t>
            </w:r>
            <w:r>
              <w:rPr>
                <w:noProof/>
              </w:rPr>
              <w:t>artott kapcsolatok megerősítése, a képzés minőségének és megfelelőségének javítása, új munkalehetőségek keresése a növekedési potenciállal rendelkező ágazatokban, a korai iskolaelhagyás csökkentése, az értékelési és monitoringrendszer fenntartása és javítá</w:t>
            </w:r>
            <w:r>
              <w:rPr>
                <w:noProof/>
              </w:rPr>
              <w:t>sa, valamint a személyre szabott pályaorientációs programok további erősítése.</w:t>
            </w:r>
          </w:p>
        </w:tc>
      </w:tr>
      <w:tr w:rsidR="003E1D81" w14:paraId="0B35157B" w14:textId="77777777">
        <w:trPr>
          <w:trHeight w:val="309"/>
        </w:trPr>
        <w:tc>
          <w:tcPr>
            <w:tcW w:w="830" w:type="dxa"/>
            <w:shd w:val="clear" w:color="auto" w:fill="C6EFCE"/>
            <w:noWrap/>
          </w:tcPr>
          <w:p w14:paraId="6180F64B" w14:textId="77777777" w:rsidR="003E1D81" w:rsidRDefault="00EB481C">
            <w:pPr>
              <w:pStyle w:val="P68B1DB1-Normal13"/>
              <w:spacing w:after="0" w:line="240" w:lineRule="auto"/>
              <w:jc w:val="center"/>
              <w:rPr>
                <w:rFonts w:eastAsia="Times New Roman" w:cs="Times New Roman"/>
                <w:noProof/>
              </w:rPr>
            </w:pPr>
            <w:r>
              <w:rPr>
                <w:noProof/>
              </w:rPr>
              <w:t>334</w:t>
            </w:r>
          </w:p>
        </w:tc>
        <w:tc>
          <w:tcPr>
            <w:tcW w:w="828" w:type="dxa"/>
            <w:shd w:val="clear" w:color="auto" w:fill="C6EFCE"/>
            <w:noWrap/>
          </w:tcPr>
          <w:p w14:paraId="2B7578D5" w14:textId="77777777" w:rsidR="003E1D81" w:rsidRDefault="00EB481C">
            <w:pPr>
              <w:pStyle w:val="P68B1DB1-Normal13"/>
              <w:spacing w:after="0" w:line="240" w:lineRule="auto"/>
              <w:jc w:val="center"/>
              <w:rPr>
                <w:rFonts w:eastAsia="Times New Roman" w:cs="Times New Roman"/>
                <w:noProof/>
              </w:rPr>
            </w:pPr>
            <w:r>
              <w:rPr>
                <w:noProof/>
              </w:rPr>
              <w:t>C23.R5</w:t>
            </w:r>
          </w:p>
        </w:tc>
        <w:tc>
          <w:tcPr>
            <w:tcW w:w="826" w:type="dxa"/>
            <w:shd w:val="clear" w:color="auto" w:fill="C6EFCE"/>
            <w:noWrap/>
          </w:tcPr>
          <w:p w14:paraId="54A95832" w14:textId="77777777" w:rsidR="003E1D81" w:rsidRDefault="00EB481C">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7FA967AD" w14:textId="77777777" w:rsidR="003E1D81" w:rsidRDefault="00EB481C">
            <w:pPr>
              <w:pStyle w:val="P68B1DB1-Normal13"/>
              <w:spacing w:after="0" w:line="240" w:lineRule="auto"/>
              <w:rPr>
                <w:rFonts w:eastAsia="Times New Roman" w:cs="Times New Roman"/>
                <w:noProof/>
              </w:rPr>
            </w:pPr>
            <w:r>
              <w:rPr>
                <w:noProof/>
              </w:rPr>
              <w:t>Királyi rendelet a 2021–2024-es időszakra szóló új spanyol foglalkoztatási stratégiáról</w:t>
            </w:r>
          </w:p>
        </w:tc>
        <w:tc>
          <w:tcPr>
            <w:tcW w:w="1102" w:type="dxa"/>
            <w:shd w:val="clear" w:color="auto" w:fill="C6EFCE"/>
            <w:noWrap/>
          </w:tcPr>
          <w:p w14:paraId="20FB5F2C" w14:textId="77777777" w:rsidR="003E1D81" w:rsidRDefault="00EB481C">
            <w:pPr>
              <w:pStyle w:val="P68B1DB1-Normal13"/>
              <w:spacing w:after="0" w:line="240" w:lineRule="auto"/>
              <w:jc w:val="center"/>
              <w:rPr>
                <w:rFonts w:eastAsia="Times New Roman" w:cs="Times New Roman"/>
                <w:noProof/>
              </w:rPr>
            </w:pPr>
            <w:r>
              <w:rPr>
                <w:noProof/>
              </w:rPr>
              <w:t>A királyi rendelet hatálybalépéséről szóló rendelkezései</w:t>
            </w:r>
          </w:p>
        </w:tc>
        <w:tc>
          <w:tcPr>
            <w:tcW w:w="827" w:type="dxa"/>
            <w:shd w:val="clear" w:color="auto" w:fill="C6EFCE"/>
            <w:noWrap/>
          </w:tcPr>
          <w:p w14:paraId="667ED042"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2A085370"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1C75B2E7" w14:textId="77777777" w:rsidR="003E1D81" w:rsidRDefault="00EB481C">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6A5CF8C5"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shd w:val="clear" w:color="auto" w:fill="C6EFCE"/>
            <w:noWrap/>
          </w:tcPr>
          <w:p w14:paraId="0BC087E5" w14:textId="77777777" w:rsidR="003E1D81" w:rsidRDefault="00EB481C">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742A0600" w14:textId="77777777" w:rsidR="003E1D81" w:rsidRDefault="00EB481C">
            <w:pPr>
              <w:pStyle w:val="P68B1DB1-Normal13"/>
              <w:spacing w:after="0" w:line="240" w:lineRule="auto"/>
              <w:rPr>
                <w:rFonts w:eastAsia="Times New Roman" w:cs="Times New Roman"/>
                <w:noProof/>
              </w:rPr>
            </w:pPr>
            <w:r>
              <w:rPr>
                <w:noProof/>
              </w:rPr>
              <w:t>A szociális párbeszéd tiszteletben tartása és a munkaerőpiac rugalmasságának és biztonságának szükségességét kiegyensúlyozó átfogó megközelítés részeként, a Miniszterek Tanácsa általi jóváhagyás, valamint a 2021–2024-es időszakra szóló új spanyol fogl</w:t>
            </w:r>
            <w:r>
              <w:rPr>
                <w:noProof/>
              </w:rPr>
              <w:t xml:space="preserve">alkoztatási aktivizálási stratégiára vonatkozó királyi rendelet hatálybalépése. Az új stratégia fő célkitűzései a következők: </w:t>
            </w:r>
            <w:r>
              <w:rPr>
                <w:noProof/>
              </w:rPr>
              <w:br/>
              <w:t>emberközpontú és vállalkozásközpontú megközelítés: Az aktív foglalkoztatáspolitikákat az egyes személyek és vállalkozások sajátos</w:t>
            </w:r>
            <w:r>
              <w:rPr>
                <w:noProof/>
              </w:rPr>
              <w:t xml:space="preserve"> körülményeire összpontosítva kell kialakítani. </w:t>
            </w:r>
            <w:r>
              <w:rPr>
                <w:noProof/>
              </w:rPr>
              <w:br/>
              <w:t xml:space="preserve">összhang a produktív átalakulással: Az aktív foglalkoztatáspolitikáknak lehetővé kell tenniük a termelési modell zöld és digitális gazdaságra való áttérését kísérő szakmai átmeneteket </w:t>
            </w:r>
            <w:r>
              <w:rPr>
                <w:noProof/>
              </w:rPr>
              <w:br/>
              <w:t>eredményközpontúság: A</w:t>
            </w:r>
            <w:r>
              <w:rPr>
                <w:noProof/>
              </w:rPr>
              <w:t xml:space="preserve">z aktív foglalkoztatáspolitikákat értékelni kell, nyomon kell követni és elő kell mozdítani az eredmények elérését. </w:t>
            </w:r>
            <w:r>
              <w:rPr>
                <w:noProof/>
              </w:rPr>
              <w:br/>
              <w:t xml:space="preserve">az állami foglalkoztatási szolgálatok kapacitásainak javítása: Digitalizációjuk és modernizációjuk révén.  </w:t>
            </w:r>
            <w:r>
              <w:rPr>
                <w:noProof/>
              </w:rPr>
              <w:br/>
              <w:t>a nemzeti foglalkoztatási rends</w:t>
            </w:r>
            <w:r>
              <w:rPr>
                <w:noProof/>
              </w:rPr>
              <w:t xml:space="preserve">zer irányítása és kohéziója a nemzeti és regionális szintű koordináció és az aktív munkaügyi politikákban részt vevő érdekelt felek javítása érdekében. </w:t>
            </w:r>
          </w:p>
        </w:tc>
      </w:tr>
      <w:tr w:rsidR="003E1D81" w14:paraId="67193C87" w14:textId="77777777">
        <w:trPr>
          <w:trHeight w:val="309"/>
        </w:trPr>
        <w:tc>
          <w:tcPr>
            <w:tcW w:w="830" w:type="dxa"/>
            <w:shd w:val="clear" w:color="auto" w:fill="C6EFCE"/>
            <w:noWrap/>
          </w:tcPr>
          <w:p w14:paraId="0E85BD51" w14:textId="77777777" w:rsidR="003E1D81" w:rsidRDefault="00EB481C">
            <w:pPr>
              <w:pStyle w:val="P68B1DB1-Normal13"/>
              <w:spacing w:after="0" w:line="240" w:lineRule="auto"/>
              <w:jc w:val="center"/>
              <w:rPr>
                <w:rFonts w:eastAsia="Times New Roman" w:cs="Times New Roman"/>
                <w:noProof/>
              </w:rPr>
            </w:pPr>
            <w:r>
              <w:rPr>
                <w:noProof/>
              </w:rPr>
              <w:t>335</w:t>
            </w:r>
          </w:p>
        </w:tc>
        <w:tc>
          <w:tcPr>
            <w:tcW w:w="828" w:type="dxa"/>
            <w:shd w:val="clear" w:color="auto" w:fill="C6EFCE"/>
            <w:noWrap/>
          </w:tcPr>
          <w:p w14:paraId="3BBC97A8" w14:textId="77777777" w:rsidR="003E1D81" w:rsidRDefault="00EB481C">
            <w:pPr>
              <w:pStyle w:val="P68B1DB1-Normal13"/>
              <w:spacing w:after="0" w:line="240" w:lineRule="auto"/>
              <w:jc w:val="center"/>
              <w:rPr>
                <w:rFonts w:eastAsia="Times New Roman" w:cs="Times New Roman"/>
                <w:noProof/>
              </w:rPr>
            </w:pPr>
            <w:r>
              <w:rPr>
                <w:noProof/>
              </w:rPr>
              <w:t>C23.R5</w:t>
            </w:r>
          </w:p>
        </w:tc>
        <w:tc>
          <w:tcPr>
            <w:tcW w:w="826" w:type="dxa"/>
            <w:shd w:val="clear" w:color="auto" w:fill="C6EFCE"/>
            <w:noWrap/>
          </w:tcPr>
          <w:p w14:paraId="4D12C998" w14:textId="77777777" w:rsidR="003E1D81" w:rsidRDefault="00EB481C">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64CCA395" w14:textId="77777777" w:rsidR="003E1D81" w:rsidRDefault="00EB481C">
            <w:pPr>
              <w:pStyle w:val="P68B1DB1-Normal13"/>
              <w:spacing w:after="0" w:line="240" w:lineRule="auto"/>
              <w:rPr>
                <w:rFonts w:eastAsia="Times New Roman" w:cs="Times New Roman"/>
                <w:noProof/>
              </w:rPr>
            </w:pPr>
            <w:r>
              <w:rPr>
                <w:noProof/>
              </w:rPr>
              <w:t xml:space="preserve">A foglalkoztatásról szóló törvény módosításának hatálybalépése (3/2015. sz. királyi </w:t>
            </w:r>
            <w:r>
              <w:rPr>
                <w:noProof/>
              </w:rPr>
              <w:t>törvényerejű rendelet)</w:t>
            </w:r>
          </w:p>
        </w:tc>
        <w:tc>
          <w:tcPr>
            <w:tcW w:w="1102" w:type="dxa"/>
            <w:shd w:val="clear" w:color="auto" w:fill="C6EFCE"/>
            <w:noWrap/>
          </w:tcPr>
          <w:p w14:paraId="19AC8364" w14:textId="77777777" w:rsidR="003E1D81" w:rsidRDefault="00EB481C">
            <w:pPr>
              <w:pStyle w:val="P68B1DB1-Normal13"/>
              <w:spacing w:after="0" w:line="240" w:lineRule="auto"/>
              <w:jc w:val="center"/>
              <w:rPr>
                <w:rFonts w:eastAsia="Times New Roman" w:cs="Times New Roman"/>
                <w:noProof/>
              </w:rPr>
            </w:pPr>
            <w:r>
              <w:rPr>
                <w:noProof/>
              </w:rPr>
              <w:t>A módosítás hatálybalépésére vonatkozó rendelkezés</w:t>
            </w:r>
          </w:p>
        </w:tc>
        <w:tc>
          <w:tcPr>
            <w:tcW w:w="827" w:type="dxa"/>
            <w:shd w:val="clear" w:color="auto" w:fill="C6EFCE"/>
            <w:noWrap/>
          </w:tcPr>
          <w:p w14:paraId="0A395B43"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556EDB33"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18DC26C5" w14:textId="77777777" w:rsidR="003E1D81" w:rsidRDefault="00EB481C">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50C814FA"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shd w:val="clear" w:color="auto" w:fill="C6EFCE"/>
            <w:noWrap/>
          </w:tcPr>
          <w:p w14:paraId="26D9AA9D" w14:textId="77777777" w:rsidR="003E1D81" w:rsidRDefault="00EB481C">
            <w:pPr>
              <w:pStyle w:val="P68B1DB1-Normal13"/>
              <w:spacing w:after="0" w:line="240" w:lineRule="auto"/>
              <w:jc w:val="center"/>
              <w:rPr>
                <w:rFonts w:eastAsia="Times New Roman" w:cs="Times New Roman"/>
                <w:noProof/>
              </w:rPr>
            </w:pPr>
            <w:r>
              <w:rPr>
                <w:noProof/>
              </w:rPr>
              <w:t>2022</w:t>
            </w:r>
          </w:p>
        </w:tc>
        <w:tc>
          <w:tcPr>
            <w:tcW w:w="5901" w:type="dxa"/>
            <w:shd w:val="clear" w:color="auto" w:fill="C6EFCE"/>
            <w:noWrap/>
          </w:tcPr>
          <w:p w14:paraId="0773232D" w14:textId="77777777" w:rsidR="003E1D81" w:rsidRDefault="00EB481C">
            <w:pPr>
              <w:pStyle w:val="P68B1DB1-Normal13"/>
              <w:spacing w:after="0" w:line="240" w:lineRule="auto"/>
              <w:rPr>
                <w:rFonts w:eastAsia="Times New Roman" w:cs="Times New Roman"/>
                <w:noProof/>
              </w:rPr>
            </w:pPr>
            <w:r>
              <w:rPr>
                <w:noProof/>
              </w:rPr>
              <w:t>A foglalkoztatásról szóló törvény módosítása (3/2015. sz. királyi törvényerejű rendelet) a nemzeti foglalkoztatási rendszer szakpolitikai és koordinációs eszközei</w:t>
            </w:r>
            <w:r>
              <w:rPr>
                <w:noProof/>
              </w:rPr>
              <w:t>nek megerősítése; az aktív munkaerő-piaci politikák reformja; a rendszer irányításának felülvizsgálata; a foglalkoztatáspolitika helyi dimenziójának erősítése; és v. megfelelnek az aktív foglalkoztatáspolitikákra vonatkozó nemzeti terv keretében előirányzo</w:t>
            </w:r>
            <w:r>
              <w:rPr>
                <w:noProof/>
              </w:rPr>
              <w:t>tt különböző intézkedések végrehajtására vonatkozó követelményeknek.</w:t>
            </w:r>
          </w:p>
        </w:tc>
      </w:tr>
      <w:tr w:rsidR="003E1D81" w14:paraId="3ED609C8" w14:textId="77777777">
        <w:trPr>
          <w:trHeight w:val="309"/>
        </w:trPr>
        <w:tc>
          <w:tcPr>
            <w:tcW w:w="830" w:type="dxa"/>
            <w:shd w:val="clear" w:color="auto" w:fill="C6EFCE"/>
            <w:noWrap/>
          </w:tcPr>
          <w:p w14:paraId="4E33F650" w14:textId="77777777" w:rsidR="003E1D81" w:rsidRDefault="00EB481C">
            <w:pPr>
              <w:pStyle w:val="P68B1DB1-Normal13"/>
              <w:spacing w:after="0" w:line="240" w:lineRule="auto"/>
              <w:jc w:val="center"/>
              <w:rPr>
                <w:rFonts w:eastAsia="Times New Roman" w:cs="Times New Roman"/>
                <w:noProof/>
              </w:rPr>
            </w:pPr>
            <w:r>
              <w:rPr>
                <w:noProof/>
              </w:rPr>
              <w:t>336</w:t>
            </w:r>
          </w:p>
        </w:tc>
        <w:tc>
          <w:tcPr>
            <w:tcW w:w="828" w:type="dxa"/>
            <w:shd w:val="clear" w:color="auto" w:fill="C6EFCE"/>
            <w:noWrap/>
          </w:tcPr>
          <w:p w14:paraId="3A7D2AC9" w14:textId="77777777" w:rsidR="003E1D81" w:rsidRDefault="00EB481C">
            <w:pPr>
              <w:pStyle w:val="P68B1DB1-Normal13"/>
              <w:spacing w:after="0" w:line="240" w:lineRule="auto"/>
              <w:jc w:val="center"/>
              <w:rPr>
                <w:rFonts w:eastAsia="Times New Roman" w:cs="Times New Roman"/>
                <w:noProof/>
              </w:rPr>
            </w:pPr>
            <w:r>
              <w:rPr>
                <w:noProof/>
              </w:rPr>
              <w:t>C23.R6</w:t>
            </w:r>
          </w:p>
        </w:tc>
        <w:tc>
          <w:tcPr>
            <w:tcW w:w="826" w:type="dxa"/>
            <w:shd w:val="clear" w:color="auto" w:fill="C6EFCE"/>
            <w:noWrap/>
          </w:tcPr>
          <w:p w14:paraId="6EDF450C" w14:textId="77777777" w:rsidR="003E1D81" w:rsidRDefault="00EB481C">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0668CA02" w14:textId="77777777" w:rsidR="003E1D81" w:rsidRDefault="00EB481C">
            <w:pPr>
              <w:pStyle w:val="P68B1DB1-Normal13"/>
              <w:spacing w:after="0" w:line="240" w:lineRule="auto"/>
              <w:rPr>
                <w:rFonts w:eastAsia="Times New Roman" w:cs="Times New Roman"/>
                <w:noProof/>
              </w:rPr>
            </w:pPr>
            <w:r>
              <w:rPr>
                <w:noProof/>
              </w:rPr>
              <w:t xml:space="preserve">A munkavállalók statútumának módosítása a ciklikus és strukturális sokkhatásokhoz való alkalmazkodást szolgáló rendszer létrehozása érdekében, beleértve egy olyan rendszert </w:t>
            </w:r>
            <w:r>
              <w:rPr>
                <w:noProof/>
              </w:rPr>
              <w:t>is, amely belső rugalmasságot biztosít a vállalatok számára, és stabilitást biztosít a munkavállalók számára</w:t>
            </w:r>
          </w:p>
        </w:tc>
        <w:tc>
          <w:tcPr>
            <w:tcW w:w="1102" w:type="dxa"/>
            <w:shd w:val="clear" w:color="auto" w:fill="C6EFCE"/>
            <w:noWrap/>
          </w:tcPr>
          <w:p w14:paraId="7D1A70E3" w14:textId="77777777" w:rsidR="003E1D81" w:rsidRDefault="00EB481C">
            <w:pPr>
              <w:pStyle w:val="P68B1DB1-Normal13"/>
              <w:spacing w:after="0" w:line="240" w:lineRule="auto"/>
              <w:jc w:val="center"/>
              <w:rPr>
                <w:rFonts w:eastAsia="Times New Roman" w:cs="Times New Roman"/>
                <w:noProof/>
              </w:rPr>
            </w:pPr>
            <w:r>
              <w:rPr>
                <w:noProof/>
              </w:rPr>
              <w:t>A módosítás hatályba lépésre vonatkozó rendelkezései</w:t>
            </w:r>
          </w:p>
        </w:tc>
        <w:tc>
          <w:tcPr>
            <w:tcW w:w="827" w:type="dxa"/>
            <w:shd w:val="clear" w:color="auto" w:fill="C6EFCE"/>
            <w:noWrap/>
          </w:tcPr>
          <w:p w14:paraId="7A699D36"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40C11E6C"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4BB8EE2D" w14:textId="77777777" w:rsidR="003E1D81" w:rsidRDefault="00EB481C">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1095FF21"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shd w:val="clear" w:color="auto" w:fill="C6EFCE"/>
            <w:noWrap/>
          </w:tcPr>
          <w:p w14:paraId="6569531A" w14:textId="77777777" w:rsidR="003E1D81" w:rsidRDefault="00EB481C">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14A5FC8A" w14:textId="77777777" w:rsidR="003E1D81" w:rsidRDefault="00EB481C">
            <w:pPr>
              <w:pStyle w:val="P68B1DB1-Normal13"/>
              <w:spacing w:after="0" w:line="240" w:lineRule="auto"/>
              <w:rPr>
                <w:rFonts w:eastAsia="Times New Roman" w:cs="Times New Roman"/>
                <w:noProof/>
              </w:rPr>
            </w:pPr>
            <w:r>
              <w:rPr>
                <w:noProof/>
              </w:rPr>
              <w:t>A szociális párbeszéd tiszteletben tartása és a munkaerőpiac rugalmasságán</w:t>
            </w:r>
            <w:r>
              <w:rPr>
                <w:noProof/>
              </w:rPr>
              <w:t>ak és biztonságának igényét kiegyensúlyozó átfogó megközelítés részeként, valamint a költségvetés közép- és hosszú távú fenntarthatóságának biztosítása, a munkavállalók jogállásáról szóló törvény átdolgozott szövegének jóváhagyásáról szóló, október 23-i 2/</w:t>
            </w:r>
            <w:r>
              <w:rPr>
                <w:noProof/>
              </w:rPr>
              <w:t>2015. sz. királyi törvényerejű rendelet módosító rendelkezéseinek hatálybalépése a ciklikus és strukturális sokkhatásokhoz való alkalmazkodást célzó rendszer létrehozása érdekében, beleértve egy olyan rendszert, amely belső rugalmasságot biztosít a vállala</w:t>
            </w:r>
            <w:r>
              <w:rPr>
                <w:noProof/>
              </w:rPr>
              <w:t>tok számára és stabilitást a munkavállalók számára, támogatja a munkavállalók továbbképzését és átképzését az átalakulóban lévő vállalkozásokban és ágazatokban, valamint megkönnyíti a munkavállalók önkéntes mobilitását (a vállalkozásokon belül és azok közö</w:t>
            </w:r>
            <w:r>
              <w:rPr>
                <w:noProof/>
              </w:rPr>
              <w:t xml:space="preserve">tt). </w:t>
            </w:r>
          </w:p>
        </w:tc>
      </w:tr>
      <w:tr w:rsidR="003E1D81" w14:paraId="5CD41E59" w14:textId="77777777">
        <w:trPr>
          <w:trHeight w:val="309"/>
        </w:trPr>
        <w:tc>
          <w:tcPr>
            <w:tcW w:w="830" w:type="dxa"/>
            <w:shd w:val="clear" w:color="auto" w:fill="C6EFCE"/>
            <w:noWrap/>
          </w:tcPr>
          <w:p w14:paraId="34421AB8" w14:textId="77777777" w:rsidR="003E1D81" w:rsidRDefault="00EB481C">
            <w:pPr>
              <w:pStyle w:val="P68B1DB1-Normal13"/>
              <w:spacing w:after="0" w:line="240" w:lineRule="auto"/>
              <w:jc w:val="center"/>
              <w:rPr>
                <w:rFonts w:eastAsia="Times New Roman" w:cs="Times New Roman"/>
                <w:noProof/>
              </w:rPr>
            </w:pPr>
            <w:r>
              <w:rPr>
                <w:noProof/>
              </w:rPr>
              <w:t>337</w:t>
            </w:r>
          </w:p>
        </w:tc>
        <w:tc>
          <w:tcPr>
            <w:tcW w:w="828" w:type="dxa"/>
            <w:shd w:val="clear" w:color="auto" w:fill="C6EFCE"/>
            <w:noWrap/>
          </w:tcPr>
          <w:p w14:paraId="6707CF3F" w14:textId="77777777" w:rsidR="003E1D81" w:rsidRDefault="00EB481C">
            <w:pPr>
              <w:pStyle w:val="P68B1DB1-Normal13"/>
              <w:spacing w:after="0" w:line="240" w:lineRule="auto"/>
              <w:jc w:val="center"/>
              <w:rPr>
                <w:rFonts w:eastAsia="Times New Roman" w:cs="Times New Roman"/>
                <w:noProof/>
              </w:rPr>
            </w:pPr>
            <w:r>
              <w:rPr>
                <w:noProof/>
              </w:rPr>
              <w:t>C23.R7</w:t>
            </w:r>
          </w:p>
        </w:tc>
        <w:tc>
          <w:tcPr>
            <w:tcW w:w="826" w:type="dxa"/>
            <w:shd w:val="clear" w:color="auto" w:fill="C6EFCE"/>
            <w:noWrap/>
          </w:tcPr>
          <w:p w14:paraId="31A68BE3" w14:textId="77777777" w:rsidR="003E1D81" w:rsidRDefault="00EB481C">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5D5161CC" w14:textId="77777777" w:rsidR="003E1D81" w:rsidRDefault="00EB481C">
            <w:pPr>
              <w:pStyle w:val="P68B1DB1-Normal13"/>
              <w:spacing w:after="0" w:line="240" w:lineRule="auto"/>
              <w:rPr>
                <w:rFonts w:eastAsia="Times New Roman" w:cs="Times New Roman"/>
                <w:noProof/>
              </w:rPr>
            </w:pPr>
            <w:r>
              <w:rPr>
                <w:noProof/>
              </w:rPr>
              <w:t>A 43/2006. sz. törvény reformjának hatálybalépése a munkaerő-felvételt ösztönző rendszer egyszerűsítése és hatékonyságának növelése érdekében, figyelembe véve az AIReF ajánlásait</w:t>
            </w:r>
          </w:p>
        </w:tc>
        <w:tc>
          <w:tcPr>
            <w:tcW w:w="1102" w:type="dxa"/>
            <w:shd w:val="clear" w:color="auto" w:fill="C6EFCE"/>
            <w:noWrap/>
          </w:tcPr>
          <w:p w14:paraId="1621C340" w14:textId="77777777" w:rsidR="003E1D81" w:rsidRDefault="00EB481C">
            <w:pPr>
              <w:pStyle w:val="P68B1DB1-Normal13"/>
              <w:spacing w:after="0" w:line="240" w:lineRule="auto"/>
              <w:jc w:val="center"/>
              <w:rPr>
                <w:rFonts w:eastAsia="Times New Roman" w:cs="Times New Roman"/>
                <w:noProof/>
              </w:rPr>
            </w:pPr>
            <w:r>
              <w:rPr>
                <w:noProof/>
              </w:rPr>
              <w:t>A reformban szereplő rendelkezés a hatálybalépéskor</w:t>
            </w:r>
          </w:p>
        </w:tc>
        <w:tc>
          <w:tcPr>
            <w:tcW w:w="827" w:type="dxa"/>
            <w:shd w:val="clear" w:color="auto" w:fill="C6EFCE"/>
            <w:noWrap/>
          </w:tcPr>
          <w:p w14:paraId="284C368F"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0ED5CA4B"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3ABE5785" w14:textId="77777777" w:rsidR="003E1D81" w:rsidRDefault="00EB481C">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33304C9A"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shd w:val="clear" w:color="auto" w:fill="C6EFCE"/>
            <w:noWrap/>
          </w:tcPr>
          <w:p w14:paraId="5EF78E21" w14:textId="77777777" w:rsidR="003E1D81" w:rsidRDefault="00EB481C">
            <w:pPr>
              <w:pStyle w:val="P68B1DB1-Normal13"/>
              <w:spacing w:after="0" w:line="240" w:lineRule="auto"/>
              <w:jc w:val="center"/>
              <w:rPr>
                <w:rFonts w:eastAsia="Times New Roman" w:cs="Times New Roman"/>
                <w:noProof/>
              </w:rPr>
            </w:pPr>
            <w:r>
              <w:rPr>
                <w:noProof/>
              </w:rPr>
              <w:t>2022</w:t>
            </w:r>
          </w:p>
        </w:tc>
        <w:tc>
          <w:tcPr>
            <w:tcW w:w="5901" w:type="dxa"/>
            <w:shd w:val="clear" w:color="auto" w:fill="C6EFCE"/>
            <w:noWrap/>
          </w:tcPr>
          <w:p w14:paraId="5A146E30" w14:textId="7BCD627D" w:rsidR="003E1D81" w:rsidRDefault="00EB481C">
            <w:pPr>
              <w:pStyle w:val="P68B1DB1-Normal13"/>
              <w:spacing w:after="0" w:line="240" w:lineRule="auto"/>
              <w:rPr>
                <w:rFonts w:eastAsia="Times New Roman" w:cs="Times New Roman"/>
                <w:noProof/>
              </w:rPr>
            </w:pPr>
            <w:r>
              <w:rPr>
                <w:noProof/>
              </w:rPr>
              <w:t>A 43/2006. sz. törvény reformja egyszerűsíti és növeli a munkaerő-felvételt ösztönző rendszert, figyelembe véve a spanyol költségvetési felelősségvállalásért felelős független hatóság (AIReF)</w:t>
            </w:r>
            <w:r>
              <w:rPr>
                <w:noProof/>
                <w:shd w:val="clear" w:color="auto" w:fill="E6E6E6"/>
              </w:rPr>
              <w:t>20</w:t>
            </w:r>
            <w:r>
              <w:rPr>
                <w:noProof/>
              </w:rPr>
              <w:t xml:space="preserve"> kiadás-felülvizsgálati jelentésében megfogalmaz</w:t>
            </w:r>
            <w:r>
              <w:rPr>
                <w:noProof/>
              </w:rPr>
              <w:t>ott ajánlásokat: „A munkaerő-felvétel ösztönzői”</w:t>
            </w:r>
          </w:p>
        </w:tc>
      </w:tr>
      <w:tr w:rsidR="003E1D81" w14:paraId="68E12D8A" w14:textId="77777777">
        <w:trPr>
          <w:trHeight w:val="309"/>
        </w:trPr>
        <w:tc>
          <w:tcPr>
            <w:tcW w:w="830" w:type="dxa"/>
            <w:shd w:val="clear" w:color="auto" w:fill="C6EFCE"/>
            <w:noWrap/>
          </w:tcPr>
          <w:p w14:paraId="509D2049" w14:textId="77777777" w:rsidR="003E1D81" w:rsidRDefault="00EB481C">
            <w:pPr>
              <w:pStyle w:val="P68B1DB1-Normal13"/>
              <w:spacing w:after="0" w:line="240" w:lineRule="auto"/>
              <w:jc w:val="center"/>
              <w:rPr>
                <w:rFonts w:eastAsia="Times New Roman" w:cs="Times New Roman"/>
                <w:noProof/>
              </w:rPr>
            </w:pPr>
            <w:r>
              <w:rPr>
                <w:noProof/>
              </w:rPr>
              <w:t>338</w:t>
            </w:r>
          </w:p>
        </w:tc>
        <w:tc>
          <w:tcPr>
            <w:tcW w:w="828" w:type="dxa"/>
            <w:shd w:val="clear" w:color="auto" w:fill="C6EFCE"/>
            <w:noWrap/>
          </w:tcPr>
          <w:p w14:paraId="36EC7633" w14:textId="77777777" w:rsidR="003E1D81" w:rsidRDefault="00EB481C">
            <w:pPr>
              <w:pStyle w:val="P68B1DB1-Normal13"/>
              <w:spacing w:after="0" w:line="240" w:lineRule="auto"/>
              <w:jc w:val="center"/>
              <w:rPr>
                <w:rFonts w:eastAsia="Times New Roman" w:cs="Times New Roman"/>
                <w:noProof/>
              </w:rPr>
            </w:pPr>
            <w:r>
              <w:rPr>
                <w:noProof/>
              </w:rPr>
              <w:t>C23.R8</w:t>
            </w:r>
          </w:p>
        </w:tc>
        <w:tc>
          <w:tcPr>
            <w:tcW w:w="826" w:type="dxa"/>
            <w:shd w:val="clear" w:color="auto" w:fill="C6EFCE"/>
            <w:noWrap/>
          </w:tcPr>
          <w:p w14:paraId="287F48A9" w14:textId="77777777" w:rsidR="003E1D81" w:rsidRDefault="00EB481C">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361355D5" w14:textId="77777777" w:rsidR="003E1D81" w:rsidRDefault="00EB481C">
            <w:pPr>
              <w:pStyle w:val="P68B1DB1-Normal13"/>
              <w:spacing w:after="0" w:line="240" w:lineRule="auto"/>
              <w:rPr>
                <w:rFonts w:eastAsia="Times New Roman" w:cs="Times New Roman"/>
                <w:noProof/>
              </w:rPr>
            </w:pPr>
            <w:r>
              <w:rPr>
                <w:noProof/>
              </w:rPr>
              <w:t xml:space="preserve">A munkavállalók statútumának módosítása a kollektív tárgyalásokra vonatkozó jogi szabályok javítása érdekében </w:t>
            </w:r>
          </w:p>
        </w:tc>
        <w:tc>
          <w:tcPr>
            <w:tcW w:w="1102" w:type="dxa"/>
            <w:shd w:val="clear" w:color="auto" w:fill="C6EFCE"/>
            <w:noWrap/>
          </w:tcPr>
          <w:p w14:paraId="1ED0AF70" w14:textId="77777777" w:rsidR="003E1D81" w:rsidRDefault="00EB481C">
            <w:pPr>
              <w:pStyle w:val="P68B1DB1-Normal13"/>
              <w:spacing w:after="0" w:line="240" w:lineRule="auto"/>
              <w:jc w:val="center"/>
              <w:rPr>
                <w:rFonts w:eastAsia="Times New Roman" w:cs="Times New Roman"/>
                <w:noProof/>
              </w:rPr>
            </w:pPr>
            <w:r>
              <w:rPr>
                <w:noProof/>
              </w:rPr>
              <w:t>A módosítás hatályba lépésre vonatkozó rendelkezései</w:t>
            </w:r>
          </w:p>
        </w:tc>
        <w:tc>
          <w:tcPr>
            <w:tcW w:w="827" w:type="dxa"/>
            <w:shd w:val="clear" w:color="auto" w:fill="C6EFCE"/>
            <w:noWrap/>
          </w:tcPr>
          <w:p w14:paraId="46E7141C"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29FB4765"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27EEC3A3" w14:textId="77777777" w:rsidR="003E1D81" w:rsidRDefault="00EB481C">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0DD404CE"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shd w:val="clear" w:color="auto" w:fill="C6EFCE"/>
            <w:noWrap/>
          </w:tcPr>
          <w:p w14:paraId="19C91C58" w14:textId="77777777" w:rsidR="003E1D81" w:rsidRDefault="00EB481C">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535116B6" w14:textId="77777777" w:rsidR="003E1D81" w:rsidRDefault="00EB481C">
            <w:pPr>
              <w:pStyle w:val="P68B1DB1-Normal13"/>
              <w:spacing w:after="0" w:line="240" w:lineRule="auto"/>
              <w:rPr>
                <w:rFonts w:eastAsia="Times New Roman" w:cs="Times New Roman"/>
                <w:noProof/>
              </w:rPr>
            </w:pPr>
            <w:r>
              <w:rPr>
                <w:noProof/>
              </w:rPr>
              <w:t xml:space="preserve">A </w:t>
            </w:r>
            <w:r>
              <w:rPr>
                <w:noProof/>
              </w:rPr>
              <w:t>szociális párbeszéd tiszteletben tartása és egy olyan átfogó megközelítés részeként, amely egyensúlyt teremt a munkaerőpiac rugalmassága és biztonsága iránti igény között, hatályba lép a munkavállalók jogállásáról szóló törvény átdolgozott szövegének jóváh</w:t>
            </w:r>
            <w:r>
              <w:rPr>
                <w:noProof/>
              </w:rPr>
              <w:t>agyásáról szóló, október 23-i 2/2015. sz. királyi törvényerejű rendelet egyes rendelkezéseinek módosítása a kollektív tárgyalásokra vonatkozó jogi szabályok javítása érdekében.</w:t>
            </w:r>
          </w:p>
        </w:tc>
      </w:tr>
      <w:tr w:rsidR="003E1D81" w14:paraId="64CB5188" w14:textId="77777777">
        <w:trPr>
          <w:trHeight w:val="309"/>
        </w:trPr>
        <w:tc>
          <w:tcPr>
            <w:tcW w:w="830" w:type="dxa"/>
            <w:shd w:val="clear" w:color="auto" w:fill="C6EFCE"/>
            <w:noWrap/>
          </w:tcPr>
          <w:p w14:paraId="219CF6C7" w14:textId="77777777" w:rsidR="003E1D81" w:rsidRDefault="00EB481C">
            <w:pPr>
              <w:pStyle w:val="P68B1DB1-Normal13"/>
              <w:spacing w:after="0" w:line="240" w:lineRule="auto"/>
              <w:jc w:val="center"/>
              <w:rPr>
                <w:rFonts w:eastAsia="Times New Roman" w:cs="Times New Roman"/>
                <w:noProof/>
              </w:rPr>
            </w:pPr>
            <w:r>
              <w:rPr>
                <w:noProof/>
              </w:rPr>
              <w:t>339</w:t>
            </w:r>
          </w:p>
        </w:tc>
        <w:tc>
          <w:tcPr>
            <w:tcW w:w="828" w:type="dxa"/>
            <w:shd w:val="clear" w:color="auto" w:fill="C6EFCE"/>
            <w:noWrap/>
          </w:tcPr>
          <w:p w14:paraId="1DB3FC7F" w14:textId="77777777" w:rsidR="003E1D81" w:rsidRDefault="00EB481C">
            <w:pPr>
              <w:pStyle w:val="P68B1DB1-Normal13"/>
              <w:spacing w:after="0" w:line="240" w:lineRule="auto"/>
              <w:jc w:val="center"/>
              <w:rPr>
                <w:rFonts w:eastAsia="Times New Roman" w:cs="Times New Roman"/>
                <w:noProof/>
              </w:rPr>
            </w:pPr>
            <w:r>
              <w:rPr>
                <w:noProof/>
              </w:rPr>
              <w:t>C23.R9</w:t>
            </w:r>
          </w:p>
        </w:tc>
        <w:tc>
          <w:tcPr>
            <w:tcW w:w="826" w:type="dxa"/>
            <w:shd w:val="clear" w:color="auto" w:fill="C6EFCE"/>
            <w:noWrap/>
          </w:tcPr>
          <w:p w14:paraId="1CEA6390" w14:textId="77777777" w:rsidR="003E1D81" w:rsidRDefault="00EB481C">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66FA5377" w14:textId="77777777" w:rsidR="003E1D81" w:rsidRDefault="00EB481C">
            <w:pPr>
              <w:pStyle w:val="P68B1DB1-Normal13"/>
              <w:spacing w:after="0" w:line="240" w:lineRule="auto"/>
              <w:rPr>
                <w:rFonts w:eastAsia="Times New Roman" w:cs="Times New Roman"/>
                <w:noProof/>
              </w:rPr>
            </w:pPr>
            <w:r>
              <w:rPr>
                <w:noProof/>
              </w:rPr>
              <w:t xml:space="preserve">A munkavállalók statútumának módosítása az alvállalkozásban </w:t>
            </w:r>
            <w:r>
              <w:rPr>
                <w:noProof/>
              </w:rPr>
              <w:t>dolgozó személyek jogainak javítása érdekében</w:t>
            </w:r>
          </w:p>
        </w:tc>
        <w:tc>
          <w:tcPr>
            <w:tcW w:w="1102" w:type="dxa"/>
            <w:shd w:val="clear" w:color="auto" w:fill="C6EFCE"/>
            <w:noWrap/>
          </w:tcPr>
          <w:p w14:paraId="2C60F95D" w14:textId="77777777" w:rsidR="003E1D81" w:rsidRDefault="00EB481C">
            <w:pPr>
              <w:pStyle w:val="P68B1DB1-Normal13"/>
              <w:spacing w:after="0" w:line="240" w:lineRule="auto"/>
              <w:jc w:val="center"/>
              <w:rPr>
                <w:rFonts w:eastAsia="Times New Roman" w:cs="Times New Roman"/>
                <w:noProof/>
              </w:rPr>
            </w:pPr>
            <w:r>
              <w:rPr>
                <w:noProof/>
              </w:rPr>
              <w:t>A módosítás hatályba lépésre vonatkozó rendelkezései</w:t>
            </w:r>
          </w:p>
        </w:tc>
        <w:tc>
          <w:tcPr>
            <w:tcW w:w="827" w:type="dxa"/>
            <w:shd w:val="clear" w:color="auto" w:fill="C6EFCE"/>
            <w:noWrap/>
          </w:tcPr>
          <w:p w14:paraId="1F4B254D"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20E2BD83"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358D0975" w14:textId="77777777" w:rsidR="003E1D81" w:rsidRDefault="00EB481C">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7EB09030"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shd w:val="clear" w:color="auto" w:fill="C6EFCE"/>
            <w:noWrap/>
          </w:tcPr>
          <w:p w14:paraId="5698749A" w14:textId="77777777" w:rsidR="003E1D81" w:rsidRDefault="00EB481C">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31BE18D4" w14:textId="77777777" w:rsidR="003E1D81" w:rsidRDefault="00EB481C">
            <w:pPr>
              <w:pStyle w:val="P68B1DB1-Normal13"/>
              <w:spacing w:after="0" w:line="240" w:lineRule="auto"/>
              <w:rPr>
                <w:rFonts w:eastAsia="Times New Roman" w:cs="Times New Roman"/>
                <w:noProof/>
              </w:rPr>
            </w:pPr>
            <w:r>
              <w:rPr>
                <w:noProof/>
              </w:rPr>
              <w:t>A szociális párbeszéd tiszteletben tartása mellett és a munkaerő-piaci rugalmasság és biztonság iránti igényt kiegyensúlyozó átfogó megkö</w:t>
            </w:r>
            <w:r>
              <w:rPr>
                <w:noProof/>
              </w:rPr>
              <w:t>zelítés részeként hatályba lép a munkavállalók jogállásáról szóló törvény átdolgozott szövegének jóváhagyásáról szóló, október 23-i 2/2015. sz. törvényerejű rendelet rendelkezéseinek módosítása az alvállalkozásban foglalkoztatottak jogainak javítása érdeké</w:t>
            </w:r>
            <w:r>
              <w:rPr>
                <w:noProof/>
              </w:rPr>
              <w:t>ben.</w:t>
            </w:r>
          </w:p>
        </w:tc>
      </w:tr>
      <w:tr w:rsidR="003E1D81" w14:paraId="6E73BA34" w14:textId="77777777">
        <w:trPr>
          <w:trHeight w:val="309"/>
        </w:trPr>
        <w:tc>
          <w:tcPr>
            <w:tcW w:w="830" w:type="dxa"/>
            <w:shd w:val="clear" w:color="auto" w:fill="C6EFCE"/>
            <w:noWrap/>
          </w:tcPr>
          <w:p w14:paraId="6703CA69" w14:textId="77777777" w:rsidR="003E1D81" w:rsidRDefault="00EB481C">
            <w:pPr>
              <w:pStyle w:val="P68B1DB1-Normal13"/>
              <w:spacing w:after="0" w:line="240" w:lineRule="auto"/>
              <w:jc w:val="center"/>
              <w:rPr>
                <w:rFonts w:eastAsia="Times New Roman" w:cs="Times New Roman"/>
                <w:noProof/>
              </w:rPr>
            </w:pPr>
            <w:r>
              <w:rPr>
                <w:noProof/>
              </w:rPr>
              <w:t>340</w:t>
            </w:r>
          </w:p>
        </w:tc>
        <w:tc>
          <w:tcPr>
            <w:tcW w:w="828" w:type="dxa"/>
            <w:shd w:val="clear" w:color="auto" w:fill="C6EFCE"/>
            <w:noWrap/>
          </w:tcPr>
          <w:p w14:paraId="17790F97" w14:textId="77777777" w:rsidR="003E1D81" w:rsidRDefault="00EB481C">
            <w:pPr>
              <w:pStyle w:val="P68B1DB1-Normal13"/>
              <w:spacing w:after="0" w:line="240" w:lineRule="auto"/>
              <w:jc w:val="center"/>
              <w:rPr>
                <w:rFonts w:eastAsia="Times New Roman" w:cs="Times New Roman"/>
                <w:noProof/>
              </w:rPr>
            </w:pPr>
            <w:r>
              <w:rPr>
                <w:noProof/>
              </w:rPr>
              <w:t>C23.R10</w:t>
            </w:r>
          </w:p>
        </w:tc>
        <w:tc>
          <w:tcPr>
            <w:tcW w:w="826" w:type="dxa"/>
            <w:shd w:val="clear" w:color="auto" w:fill="C6EFCE"/>
            <w:noWrap/>
          </w:tcPr>
          <w:p w14:paraId="1A57C77C" w14:textId="77777777" w:rsidR="003E1D81" w:rsidRDefault="00EB481C">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348C994B" w14:textId="114860A1" w:rsidR="003E1D81" w:rsidRDefault="00EB481C">
            <w:pPr>
              <w:pStyle w:val="P68B1DB1-Normal13"/>
              <w:spacing w:after="0" w:line="240" w:lineRule="auto"/>
              <w:rPr>
                <w:rFonts w:eastAsia="Times New Roman" w:cs="Times New Roman"/>
                <w:noProof/>
              </w:rPr>
            </w:pPr>
            <w:r>
              <w:rPr>
                <w:noProof/>
              </w:rPr>
              <w:t>A nem járulékalapú munkanélküliségi támogatás szabályozásának reformjáról szóló 8/2015. sz. királyi törvényerejű rendelet módosításának hatálybalépése</w:t>
            </w:r>
          </w:p>
        </w:tc>
        <w:tc>
          <w:tcPr>
            <w:tcW w:w="1102" w:type="dxa"/>
            <w:shd w:val="clear" w:color="auto" w:fill="C6EFCE"/>
            <w:noWrap/>
          </w:tcPr>
          <w:p w14:paraId="10E1A366" w14:textId="77777777" w:rsidR="003E1D81" w:rsidRDefault="00EB481C">
            <w:pPr>
              <w:pStyle w:val="P68B1DB1-Normal13"/>
              <w:spacing w:after="0" w:line="240" w:lineRule="auto"/>
              <w:jc w:val="center"/>
              <w:rPr>
                <w:rFonts w:eastAsia="Times New Roman" w:cs="Times New Roman"/>
                <w:noProof/>
              </w:rPr>
            </w:pPr>
            <w:r>
              <w:rPr>
                <w:noProof/>
              </w:rPr>
              <w:t>A módosítás hatálybalépésére vonatkozó rendelkezés</w:t>
            </w:r>
          </w:p>
        </w:tc>
        <w:tc>
          <w:tcPr>
            <w:tcW w:w="827" w:type="dxa"/>
            <w:shd w:val="clear" w:color="auto" w:fill="C6EFCE"/>
            <w:noWrap/>
          </w:tcPr>
          <w:p w14:paraId="3B4628AB"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0D92ECD5"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58947082" w14:textId="77777777" w:rsidR="003E1D81" w:rsidRDefault="00EB481C">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51AD0FDB"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shd w:val="clear" w:color="auto" w:fill="C6EFCE"/>
            <w:noWrap/>
          </w:tcPr>
          <w:p w14:paraId="77461C39" w14:textId="77777777" w:rsidR="003E1D81" w:rsidRDefault="00EB481C">
            <w:pPr>
              <w:pStyle w:val="P68B1DB1-Normal13"/>
              <w:spacing w:after="0" w:line="240" w:lineRule="auto"/>
              <w:jc w:val="center"/>
              <w:rPr>
                <w:rFonts w:eastAsia="Times New Roman" w:cs="Times New Roman"/>
                <w:noProof/>
              </w:rPr>
            </w:pPr>
            <w:r>
              <w:rPr>
                <w:noProof/>
              </w:rPr>
              <w:t>2022</w:t>
            </w:r>
          </w:p>
        </w:tc>
        <w:tc>
          <w:tcPr>
            <w:tcW w:w="5901" w:type="dxa"/>
            <w:shd w:val="clear" w:color="auto" w:fill="C6EFCE"/>
            <w:noWrap/>
          </w:tcPr>
          <w:p w14:paraId="57B5A47A" w14:textId="5E0328DD" w:rsidR="003E1D81" w:rsidRDefault="00EB481C">
            <w:pPr>
              <w:pStyle w:val="P68B1DB1-Normal13"/>
              <w:spacing w:after="0" w:line="240" w:lineRule="auto"/>
              <w:rPr>
                <w:rFonts w:eastAsia="Times New Roman" w:cs="Times New Roman"/>
                <w:noProof/>
              </w:rPr>
            </w:pPr>
            <w:r>
              <w:rPr>
                <w:noProof/>
              </w:rPr>
              <w:t xml:space="preserve">A 8/2015. sz. </w:t>
            </w:r>
            <w:r>
              <w:rPr>
                <w:noProof/>
              </w:rPr>
              <w:t>királyi törvényerejű rendelet reformja a nem járulékalapú munkanélküliségi támogatás szabályozására vonatkozik, beleértve a következő célkitűzéseket: a munkanélküliség elleni védelem kiterjesztése; a rendszer egyszerűsítése; az ellátás összekapcsolása a sz</w:t>
            </w:r>
            <w:r>
              <w:rPr>
                <w:noProof/>
              </w:rPr>
              <w:t>emélyre szabott aktiválási útvonallal; a szociális védelemre való áttérés megkönnyítése abban az esetben, ha a kedvezményezett nem tér vissza a munkába és kiszolgáltatott helyzetben van.</w:t>
            </w:r>
          </w:p>
        </w:tc>
      </w:tr>
      <w:tr w:rsidR="003E1D81" w14:paraId="2F115B0D" w14:textId="77777777">
        <w:trPr>
          <w:trHeight w:val="309"/>
        </w:trPr>
        <w:tc>
          <w:tcPr>
            <w:tcW w:w="830" w:type="dxa"/>
            <w:shd w:val="clear" w:color="auto" w:fill="C6EFCE"/>
            <w:noWrap/>
          </w:tcPr>
          <w:p w14:paraId="68BB4D95" w14:textId="77777777" w:rsidR="003E1D81" w:rsidRDefault="00EB481C">
            <w:pPr>
              <w:pStyle w:val="P68B1DB1-Normal13"/>
              <w:spacing w:after="0" w:line="240" w:lineRule="auto"/>
              <w:jc w:val="center"/>
              <w:rPr>
                <w:rFonts w:eastAsia="Times New Roman" w:cs="Times New Roman"/>
                <w:noProof/>
              </w:rPr>
            </w:pPr>
            <w:r>
              <w:rPr>
                <w:noProof/>
              </w:rPr>
              <w:t>341</w:t>
            </w:r>
          </w:p>
        </w:tc>
        <w:tc>
          <w:tcPr>
            <w:tcW w:w="828" w:type="dxa"/>
            <w:shd w:val="clear" w:color="auto" w:fill="C6EFCE"/>
            <w:noWrap/>
          </w:tcPr>
          <w:p w14:paraId="749C2E28" w14:textId="77777777" w:rsidR="003E1D81" w:rsidRDefault="00EB481C">
            <w:pPr>
              <w:pStyle w:val="P68B1DB1-Normal13"/>
              <w:spacing w:after="0" w:line="240" w:lineRule="auto"/>
              <w:jc w:val="center"/>
              <w:rPr>
                <w:rFonts w:eastAsia="Times New Roman" w:cs="Times New Roman"/>
                <w:noProof/>
              </w:rPr>
            </w:pPr>
            <w:r>
              <w:rPr>
                <w:noProof/>
              </w:rPr>
              <w:t>C23.R11</w:t>
            </w:r>
          </w:p>
        </w:tc>
        <w:tc>
          <w:tcPr>
            <w:tcW w:w="826" w:type="dxa"/>
            <w:shd w:val="clear" w:color="auto" w:fill="C6EFCE"/>
            <w:noWrap/>
          </w:tcPr>
          <w:p w14:paraId="26A3BD5A" w14:textId="77777777" w:rsidR="003E1D81" w:rsidRDefault="00EB481C">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72A3F33E" w14:textId="77777777" w:rsidR="003E1D81" w:rsidRDefault="00EB481C">
            <w:pPr>
              <w:pStyle w:val="P68B1DB1-Normal13"/>
              <w:spacing w:after="0" w:line="240" w:lineRule="auto"/>
              <w:rPr>
                <w:rFonts w:eastAsia="Times New Roman" w:cs="Times New Roman"/>
                <w:noProof/>
              </w:rPr>
            </w:pPr>
            <w:r>
              <w:rPr>
                <w:noProof/>
              </w:rPr>
              <w:t xml:space="preserve">Az Állami Foglalkoztatási Szolgálat korszerűsítésére </w:t>
            </w:r>
            <w:r>
              <w:rPr>
                <w:noProof/>
              </w:rPr>
              <w:t>irányuló szerződések szerinti szolgáltatások teljesítésének igazolása</w:t>
            </w:r>
          </w:p>
        </w:tc>
        <w:tc>
          <w:tcPr>
            <w:tcW w:w="1102" w:type="dxa"/>
            <w:shd w:val="clear" w:color="auto" w:fill="C6EFCE"/>
            <w:noWrap/>
          </w:tcPr>
          <w:p w14:paraId="16B791A7" w14:textId="77777777" w:rsidR="003E1D81" w:rsidRDefault="00EB481C">
            <w:pPr>
              <w:pStyle w:val="P68B1DB1-Normal13"/>
              <w:spacing w:after="0" w:line="240" w:lineRule="auto"/>
              <w:jc w:val="center"/>
              <w:rPr>
                <w:rFonts w:eastAsia="Times New Roman" w:cs="Times New Roman"/>
                <w:noProof/>
              </w:rPr>
            </w:pPr>
            <w:r>
              <w:rPr>
                <w:noProof/>
              </w:rPr>
              <w:t>A szerződések szerinti szolgáltatások teljesítésének igazolása (közigazgatási aktusok)</w:t>
            </w:r>
          </w:p>
        </w:tc>
        <w:tc>
          <w:tcPr>
            <w:tcW w:w="827" w:type="dxa"/>
            <w:shd w:val="clear" w:color="auto" w:fill="C6EFCE"/>
            <w:noWrap/>
          </w:tcPr>
          <w:p w14:paraId="1B5B7E86"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20119FC4"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5F2AE7CF" w14:textId="77777777" w:rsidR="003E1D81" w:rsidRDefault="00EB481C">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0C0BE697"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shd w:val="clear" w:color="auto" w:fill="C6EFCE"/>
            <w:noWrap/>
          </w:tcPr>
          <w:p w14:paraId="3F99E208" w14:textId="77777777" w:rsidR="003E1D81" w:rsidRDefault="00EB481C">
            <w:pPr>
              <w:pStyle w:val="P68B1DB1-Normal13"/>
              <w:spacing w:after="0" w:line="240" w:lineRule="auto"/>
              <w:jc w:val="center"/>
              <w:rPr>
                <w:rFonts w:eastAsia="Times New Roman" w:cs="Times New Roman"/>
                <w:noProof/>
              </w:rPr>
            </w:pPr>
            <w:r>
              <w:rPr>
                <w:noProof/>
              </w:rPr>
              <w:t>2023</w:t>
            </w:r>
          </w:p>
        </w:tc>
        <w:tc>
          <w:tcPr>
            <w:tcW w:w="5901" w:type="dxa"/>
            <w:shd w:val="clear" w:color="auto" w:fill="C6EFCE"/>
            <w:noWrap/>
          </w:tcPr>
          <w:p w14:paraId="0D812912" w14:textId="77777777" w:rsidR="003E1D81" w:rsidRDefault="00EB481C">
            <w:pPr>
              <w:pStyle w:val="P68B1DB1-Normal13"/>
              <w:spacing w:after="0" w:line="240" w:lineRule="auto"/>
              <w:rPr>
                <w:rFonts w:eastAsia="Times New Roman" w:cs="Times New Roman"/>
                <w:noProof/>
              </w:rPr>
            </w:pPr>
            <w:r>
              <w:rPr>
                <w:noProof/>
              </w:rPr>
              <w:t>Az Állami Állami Foglalkoztatási Szolgálat korszerűsítésére irányuló szerződése</w:t>
            </w:r>
            <w:r>
              <w:rPr>
                <w:noProof/>
              </w:rPr>
              <w:t>k (közigazgatási törvények) szerinti szolgáltatások teljesítésének igazolása a belső irányítási rendszerek javítása, a munkahelyek korszerűsítése és az állampolgári támogató szolgálat digitalizálása révén. Magában foglalja az alábbiakat:</w:t>
            </w:r>
            <w:r>
              <w:rPr>
                <w:noProof/>
              </w:rPr>
              <w:br/>
              <w:t xml:space="preserve">A belső irányítás </w:t>
            </w:r>
            <w:r>
              <w:rPr>
                <w:noProof/>
              </w:rPr>
              <w:t>javítása: A munkanélküli-ellátási rendszert támogató, valamint a foglalkoztatási politikákat támogató információs rendszerek fejlesztése.</w:t>
            </w:r>
            <w:r>
              <w:rPr>
                <w:noProof/>
              </w:rPr>
              <w:br/>
              <w:t xml:space="preserve">Digitális foglalkoztatási szolgálatok: A polgároknak és vállalkozásoknak nyújtott közszolgáltatások digitalizálása és </w:t>
            </w:r>
            <w:r>
              <w:rPr>
                <w:noProof/>
              </w:rPr>
              <w:t>az ügyfélszolgálat javítása.</w:t>
            </w:r>
            <w:r>
              <w:rPr>
                <w:noProof/>
              </w:rPr>
              <w:br/>
              <w:t>Statisztika és adatkezelés: Megfelelő adatkezelés beépítése, amely lehetővé teszi a döntéshozatalt, valamint a társadalom számára nagy értéket képviselő információk közzétételét.</w:t>
            </w:r>
            <w:r>
              <w:rPr>
                <w:noProof/>
              </w:rPr>
              <w:br/>
              <w:t>A munkahelyek és az infrastruktúra korszerűsítés</w:t>
            </w:r>
            <w:r>
              <w:rPr>
                <w:noProof/>
              </w:rPr>
              <w:t>e.</w:t>
            </w:r>
          </w:p>
        </w:tc>
      </w:tr>
      <w:tr w:rsidR="003E1D81" w14:paraId="113938D9" w14:textId="77777777">
        <w:trPr>
          <w:trHeight w:val="309"/>
        </w:trPr>
        <w:tc>
          <w:tcPr>
            <w:tcW w:w="830" w:type="dxa"/>
            <w:shd w:val="clear" w:color="auto" w:fill="C6EFCE"/>
            <w:noWrap/>
          </w:tcPr>
          <w:p w14:paraId="47DECE73" w14:textId="77777777" w:rsidR="003E1D81" w:rsidRDefault="00EB481C">
            <w:pPr>
              <w:pStyle w:val="P68B1DB1-Normal13"/>
              <w:spacing w:after="0" w:line="240" w:lineRule="auto"/>
              <w:jc w:val="center"/>
              <w:rPr>
                <w:rFonts w:eastAsia="Times New Roman" w:cs="Times New Roman"/>
                <w:noProof/>
              </w:rPr>
            </w:pPr>
            <w:r>
              <w:rPr>
                <w:noProof/>
              </w:rPr>
              <w:t>342</w:t>
            </w:r>
          </w:p>
        </w:tc>
        <w:tc>
          <w:tcPr>
            <w:tcW w:w="828" w:type="dxa"/>
            <w:shd w:val="clear" w:color="auto" w:fill="C6EFCE"/>
            <w:noWrap/>
          </w:tcPr>
          <w:p w14:paraId="49A2EB9E" w14:textId="77777777" w:rsidR="003E1D81" w:rsidRDefault="00EB481C">
            <w:pPr>
              <w:pStyle w:val="P68B1DB1-Normal13"/>
              <w:spacing w:after="0" w:line="240" w:lineRule="auto"/>
              <w:jc w:val="center"/>
              <w:rPr>
                <w:rFonts w:eastAsia="Times New Roman" w:cs="Times New Roman"/>
                <w:noProof/>
              </w:rPr>
            </w:pPr>
            <w:r>
              <w:rPr>
                <w:noProof/>
              </w:rPr>
              <w:t>C23.I1</w:t>
            </w:r>
          </w:p>
        </w:tc>
        <w:tc>
          <w:tcPr>
            <w:tcW w:w="826" w:type="dxa"/>
            <w:shd w:val="clear" w:color="auto" w:fill="C6EFCE"/>
            <w:noWrap/>
          </w:tcPr>
          <w:p w14:paraId="0A35DE13" w14:textId="77777777" w:rsidR="003E1D81" w:rsidRDefault="00EB481C">
            <w:pPr>
              <w:pStyle w:val="P68B1DB1-Normal13"/>
              <w:spacing w:after="0" w:line="240" w:lineRule="auto"/>
              <w:jc w:val="center"/>
              <w:rPr>
                <w:rFonts w:eastAsia="Times New Roman" w:cs="Times New Roman"/>
                <w:noProof/>
              </w:rPr>
            </w:pPr>
            <w:r>
              <w:rPr>
                <w:noProof/>
              </w:rPr>
              <w:t>T</w:t>
            </w:r>
          </w:p>
        </w:tc>
        <w:tc>
          <w:tcPr>
            <w:tcW w:w="2613" w:type="dxa"/>
            <w:shd w:val="clear" w:color="auto" w:fill="C6EFCE"/>
            <w:noWrap/>
          </w:tcPr>
          <w:p w14:paraId="4F9531EE" w14:textId="77777777" w:rsidR="003E1D81" w:rsidRDefault="00EB481C">
            <w:pPr>
              <w:pStyle w:val="P68B1DB1-Normal13"/>
              <w:spacing w:after="0" w:line="240" w:lineRule="auto"/>
              <w:rPr>
                <w:rFonts w:eastAsia="Times New Roman" w:cs="Times New Roman"/>
                <w:noProof/>
              </w:rPr>
            </w:pPr>
            <w:r>
              <w:rPr>
                <w:noProof/>
              </w:rPr>
              <w:t xml:space="preserve">Az ifjúsági programokat elvégző személyek. </w:t>
            </w:r>
          </w:p>
        </w:tc>
        <w:tc>
          <w:tcPr>
            <w:tcW w:w="1102" w:type="dxa"/>
            <w:shd w:val="clear" w:color="auto" w:fill="C6EFCE"/>
            <w:noWrap/>
          </w:tcPr>
          <w:p w14:paraId="29A945B0" w14:textId="77777777" w:rsidR="003E1D81" w:rsidRDefault="00EB481C">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5DE33CB0"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413" w:type="dxa"/>
            <w:shd w:val="clear" w:color="auto" w:fill="C6EFCE"/>
            <w:noWrap/>
          </w:tcPr>
          <w:p w14:paraId="719C1E46" w14:textId="77777777" w:rsidR="003E1D81" w:rsidRDefault="00EB481C">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0D426AAE" w14:textId="77777777" w:rsidR="003E1D81" w:rsidRDefault="00EB481C">
            <w:pPr>
              <w:pStyle w:val="P68B1DB1-Normal13"/>
              <w:spacing w:after="0" w:line="240" w:lineRule="auto"/>
              <w:rPr>
                <w:rFonts w:eastAsia="Times New Roman" w:cs="Times New Roman"/>
                <w:noProof/>
              </w:rPr>
            </w:pPr>
            <w:r>
              <w:rPr>
                <w:noProof/>
              </w:rPr>
              <w:t>18 300</w:t>
            </w:r>
          </w:p>
        </w:tc>
        <w:tc>
          <w:tcPr>
            <w:tcW w:w="413" w:type="dxa"/>
            <w:shd w:val="clear" w:color="auto" w:fill="C6EFCE"/>
            <w:noWrap/>
          </w:tcPr>
          <w:p w14:paraId="48034371"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shd w:val="clear" w:color="auto" w:fill="C6EFCE"/>
            <w:noWrap/>
          </w:tcPr>
          <w:p w14:paraId="403F22AA" w14:textId="77777777" w:rsidR="003E1D81" w:rsidRDefault="00EB481C">
            <w:pPr>
              <w:pStyle w:val="P68B1DB1-Normal13"/>
              <w:spacing w:after="0" w:line="240" w:lineRule="auto"/>
              <w:jc w:val="center"/>
              <w:rPr>
                <w:rFonts w:eastAsia="Times New Roman" w:cs="Times New Roman"/>
                <w:noProof/>
              </w:rPr>
            </w:pPr>
            <w:r>
              <w:rPr>
                <w:noProof/>
              </w:rPr>
              <w:t>2025</w:t>
            </w:r>
          </w:p>
        </w:tc>
        <w:tc>
          <w:tcPr>
            <w:tcW w:w="5901" w:type="dxa"/>
            <w:shd w:val="clear" w:color="auto" w:fill="C6EFCE"/>
            <w:noWrap/>
          </w:tcPr>
          <w:p w14:paraId="51219AB7" w14:textId="77777777" w:rsidR="003E1D81" w:rsidRDefault="00EB481C">
            <w:pPr>
              <w:pStyle w:val="P68B1DB1-Normal13"/>
              <w:spacing w:after="0" w:line="240" w:lineRule="auto"/>
              <w:rPr>
                <w:rFonts w:eastAsia="Times New Roman" w:cs="Times New Roman"/>
                <w:noProof/>
              </w:rPr>
            </w:pPr>
            <w:r>
              <w:rPr>
                <w:noProof/>
              </w:rPr>
              <w:t xml:space="preserve">Legalább 18300 olyan személy, akik befejezték az ifjúsági programokat, figyelembe véve 21900 főt. </w:t>
            </w:r>
            <w:r>
              <w:rPr>
                <w:noProof/>
              </w:rPr>
              <w:br/>
              <w:t>Ez a cél három programon alapul:</w:t>
            </w:r>
            <w:r>
              <w:rPr>
                <w:noProof/>
              </w:rPr>
              <w:br/>
              <w:t xml:space="preserve">• Tandemprogram. Célkitűzés: a </w:t>
            </w:r>
            <w:r>
              <w:rPr>
                <w:noProof/>
              </w:rPr>
              <w:t>szakmai kompetencia elsajátítása a foglalkoztatással felváltott képzés révén. A program legalább 25%-a az éghajlattal kapcsolatos készségekre, a program 25%-a pedig digitális készségekre összpontosított.</w:t>
            </w:r>
            <w:r>
              <w:rPr>
                <w:noProof/>
              </w:rPr>
              <w:br/>
              <w:t>• Első tapasztalati program. Célkitűzés: a képesítés</w:t>
            </w:r>
            <w:r>
              <w:rPr>
                <w:noProof/>
              </w:rPr>
              <w:t>hez kapcsolódó első munkatapasztalat elősegítése. A program legalább 20%-a éghajlatváltozással kapcsolatos készségekre, 20%-a pedig digitális készségekre összpontosított.</w:t>
            </w:r>
            <w:r>
              <w:rPr>
                <w:noProof/>
              </w:rPr>
              <w:br/>
              <w:t>• Az „</w:t>
            </w:r>
            <w:r>
              <w:rPr>
                <w:i/>
                <w:noProof/>
              </w:rPr>
              <w:t>Investigo”</w:t>
            </w:r>
            <w:r>
              <w:rPr>
                <w:noProof/>
              </w:rPr>
              <w:t xml:space="preserve"> program. Célkitűzés: kutatási projekt kidolgozásához kapcsolódó munk</w:t>
            </w:r>
            <w:r>
              <w:rPr>
                <w:noProof/>
              </w:rPr>
              <w:t xml:space="preserve">át végez. </w:t>
            </w:r>
          </w:p>
        </w:tc>
      </w:tr>
      <w:tr w:rsidR="003E1D81" w14:paraId="3743A34A" w14:textId="77777777">
        <w:trPr>
          <w:trHeight w:val="309"/>
        </w:trPr>
        <w:tc>
          <w:tcPr>
            <w:tcW w:w="830" w:type="dxa"/>
            <w:shd w:val="clear" w:color="auto" w:fill="C6EFCE"/>
            <w:noWrap/>
          </w:tcPr>
          <w:p w14:paraId="5B46928E" w14:textId="77777777" w:rsidR="003E1D81" w:rsidRDefault="00EB481C">
            <w:pPr>
              <w:pStyle w:val="P68B1DB1-Normal13"/>
              <w:spacing w:after="0" w:line="240" w:lineRule="auto"/>
              <w:jc w:val="center"/>
              <w:rPr>
                <w:rFonts w:eastAsia="Times New Roman" w:cs="Times New Roman"/>
                <w:noProof/>
              </w:rPr>
            </w:pPr>
            <w:r>
              <w:rPr>
                <w:noProof/>
              </w:rPr>
              <w:t>343</w:t>
            </w:r>
          </w:p>
        </w:tc>
        <w:tc>
          <w:tcPr>
            <w:tcW w:w="828" w:type="dxa"/>
            <w:shd w:val="clear" w:color="auto" w:fill="C6EFCE"/>
            <w:noWrap/>
          </w:tcPr>
          <w:p w14:paraId="3D71347E" w14:textId="77777777" w:rsidR="003E1D81" w:rsidRDefault="00EB481C">
            <w:pPr>
              <w:pStyle w:val="P68B1DB1-Normal13"/>
              <w:spacing w:after="0" w:line="240" w:lineRule="auto"/>
              <w:jc w:val="center"/>
              <w:rPr>
                <w:rFonts w:eastAsia="Times New Roman" w:cs="Times New Roman"/>
                <w:noProof/>
              </w:rPr>
            </w:pPr>
            <w:r>
              <w:rPr>
                <w:noProof/>
              </w:rPr>
              <w:t>C23.I2</w:t>
            </w:r>
          </w:p>
        </w:tc>
        <w:tc>
          <w:tcPr>
            <w:tcW w:w="826" w:type="dxa"/>
            <w:shd w:val="clear" w:color="auto" w:fill="C6EFCE"/>
            <w:noWrap/>
          </w:tcPr>
          <w:p w14:paraId="3AF7969F" w14:textId="77777777" w:rsidR="003E1D81" w:rsidRDefault="00EB481C">
            <w:pPr>
              <w:pStyle w:val="P68B1DB1-Normal13"/>
              <w:spacing w:after="0" w:line="240" w:lineRule="auto"/>
              <w:jc w:val="center"/>
              <w:rPr>
                <w:rFonts w:eastAsia="Times New Roman" w:cs="Times New Roman"/>
                <w:noProof/>
              </w:rPr>
            </w:pPr>
            <w:r>
              <w:rPr>
                <w:noProof/>
              </w:rPr>
              <w:t>T</w:t>
            </w:r>
          </w:p>
        </w:tc>
        <w:tc>
          <w:tcPr>
            <w:tcW w:w="2613" w:type="dxa"/>
            <w:shd w:val="clear" w:color="auto" w:fill="C6EFCE"/>
            <w:noWrap/>
          </w:tcPr>
          <w:p w14:paraId="475A2B3A" w14:textId="77777777" w:rsidR="003E1D81" w:rsidRDefault="00EB481C">
            <w:pPr>
              <w:pStyle w:val="P68B1DB1-Normal13"/>
              <w:spacing w:after="0" w:line="240" w:lineRule="auto"/>
              <w:rPr>
                <w:rFonts w:eastAsia="Times New Roman" w:cs="Times New Roman"/>
                <w:noProof/>
              </w:rPr>
            </w:pPr>
            <w:r>
              <w:rPr>
                <w:noProof/>
              </w:rPr>
              <w:t>Az</w:t>
            </w:r>
            <w:r>
              <w:rPr>
                <w:i/>
                <w:noProof/>
              </w:rPr>
              <w:t>Empleo Mujer, vidéki és városi területek terve, valamint a nemi erőszak és az emberforgalom áldozataira vonatkozó</w:t>
            </w:r>
            <w:r>
              <w:rPr>
                <w:noProof/>
              </w:rPr>
              <w:t xml:space="preserve"> programot végrehajtó személyek</w:t>
            </w:r>
          </w:p>
        </w:tc>
        <w:tc>
          <w:tcPr>
            <w:tcW w:w="1102" w:type="dxa"/>
            <w:shd w:val="clear" w:color="auto" w:fill="C6EFCE"/>
            <w:noWrap/>
          </w:tcPr>
          <w:p w14:paraId="69392543" w14:textId="77777777" w:rsidR="003E1D81" w:rsidRDefault="00EB481C">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50576955"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413" w:type="dxa"/>
            <w:shd w:val="clear" w:color="auto" w:fill="C6EFCE"/>
            <w:noWrap/>
          </w:tcPr>
          <w:p w14:paraId="4470D498" w14:textId="77777777" w:rsidR="003E1D81" w:rsidRDefault="00EB481C">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3798A895" w14:textId="77777777" w:rsidR="003E1D81" w:rsidRDefault="00EB481C">
            <w:pPr>
              <w:pStyle w:val="P68B1DB1-Normal13"/>
              <w:spacing w:after="0" w:line="240" w:lineRule="auto"/>
              <w:jc w:val="right"/>
              <w:rPr>
                <w:rFonts w:eastAsia="Times New Roman" w:cs="Times New Roman"/>
                <w:noProof/>
              </w:rPr>
            </w:pPr>
            <w:r>
              <w:rPr>
                <w:noProof/>
              </w:rPr>
              <w:t>23 200</w:t>
            </w:r>
          </w:p>
        </w:tc>
        <w:tc>
          <w:tcPr>
            <w:tcW w:w="413" w:type="dxa"/>
            <w:shd w:val="clear" w:color="auto" w:fill="C6EFCE"/>
            <w:noWrap/>
          </w:tcPr>
          <w:p w14:paraId="76881C0A" w14:textId="77777777" w:rsidR="003E1D81" w:rsidRDefault="00EB481C">
            <w:pPr>
              <w:pStyle w:val="P68B1DB1-Normal13"/>
              <w:spacing w:after="0" w:line="240" w:lineRule="auto"/>
              <w:jc w:val="right"/>
              <w:rPr>
                <w:rFonts w:eastAsia="Times New Roman" w:cs="Times New Roman"/>
                <w:noProof/>
              </w:rPr>
            </w:pPr>
            <w:r>
              <w:rPr>
                <w:noProof/>
              </w:rPr>
              <w:t>NEGYEDÉV</w:t>
            </w:r>
          </w:p>
        </w:tc>
        <w:tc>
          <w:tcPr>
            <w:tcW w:w="551" w:type="dxa"/>
            <w:shd w:val="clear" w:color="auto" w:fill="C6EFCE"/>
            <w:noWrap/>
          </w:tcPr>
          <w:p w14:paraId="5EA8A983" w14:textId="77777777" w:rsidR="003E1D81" w:rsidRDefault="00EB481C">
            <w:pPr>
              <w:pStyle w:val="P68B1DB1-Normal13"/>
              <w:spacing w:after="0" w:line="240" w:lineRule="auto"/>
              <w:jc w:val="right"/>
              <w:rPr>
                <w:rFonts w:eastAsia="Times New Roman" w:cs="Times New Roman"/>
                <w:noProof/>
              </w:rPr>
            </w:pPr>
            <w:r>
              <w:rPr>
                <w:noProof/>
              </w:rPr>
              <w:t>2025</w:t>
            </w:r>
          </w:p>
        </w:tc>
        <w:tc>
          <w:tcPr>
            <w:tcW w:w="5901" w:type="dxa"/>
            <w:shd w:val="clear" w:color="auto" w:fill="C6EFCE"/>
            <w:noWrap/>
          </w:tcPr>
          <w:p w14:paraId="077BE66D" w14:textId="77777777" w:rsidR="003E1D81" w:rsidRDefault="00EB481C">
            <w:pPr>
              <w:pStyle w:val="P68B1DB1-Normal13"/>
              <w:spacing w:after="0" w:line="240" w:lineRule="auto"/>
              <w:rPr>
                <w:rFonts w:eastAsia="Times New Roman" w:cs="Times New Roman"/>
                <w:noProof/>
              </w:rPr>
            </w:pPr>
            <w:r>
              <w:rPr>
                <w:noProof/>
              </w:rPr>
              <w:t>Legalább 23200 személy, akik részt vettek az</w:t>
            </w:r>
            <w:r>
              <w:rPr>
                <w:i/>
                <w:noProof/>
              </w:rPr>
              <w:t xml:space="preserve">Empleo </w:t>
            </w:r>
            <w:r>
              <w:rPr>
                <w:i/>
                <w:noProof/>
              </w:rPr>
              <w:t>Mujer, vidéki és városi területek terve, valamint</w:t>
            </w:r>
            <w:r>
              <w:rPr>
                <w:noProof/>
              </w:rPr>
              <w:t>a nemi alapú erőszak és az emberforgalom áldozataira vonatkozó programban, tekintettel 29000 személyre. Ez a program a részt vevő nők foglalkoztathatósági profiljához igazított orientációs, tanácsadási és ké</w:t>
            </w:r>
            <w:r>
              <w:rPr>
                <w:noProof/>
              </w:rPr>
              <w:t xml:space="preserve">pzési tevékenységek személyes és integrált útvonalát foglalja magában. A képzés olyan jó területi kilátásokkal rendelkező munkahelyekhez kapcsolódik, amelyek a programot kidolgozó vidéki és városi munkaerőpiac szükségleteiből erednek, és célja, hogy olyan </w:t>
            </w:r>
            <w:r>
              <w:rPr>
                <w:noProof/>
              </w:rPr>
              <w:t xml:space="preserve">képesítést szerezzen, amely növeli a résztvevők foglalkoztathatóságát és a tisztességes munkához való hozzáférésük lehetőségeit, miközben erősíti a vidéki területek produktív fejlődését, küzd a nemek közötti szakadék ellen, és fokozza a nők állandóságát a </w:t>
            </w:r>
            <w:r>
              <w:rPr>
                <w:noProof/>
              </w:rPr>
              <w:t>területen. A program legalább 35%-a éghajlatváltozással kapcsolatos készségekre, 35%-a pedig digitális készségekre összpontosított.</w:t>
            </w:r>
          </w:p>
        </w:tc>
      </w:tr>
      <w:tr w:rsidR="003E1D81" w14:paraId="44778968" w14:textId="77777777">
        <w:trPr>
          <w:trHeight w:val="309"/>
        </w:trPr>
        <w:tc>
          <w:tcPr>
            <w:tcW w:w="830" w:type="dxa"/>
            <w:shd w:val="clear" w:color="auto" w:fill="C6EFCE"/>
            <w:noWrap/>
          </w:tcPr>
          <w:p w14:paraId="38DC107F" w14:textId="77777777" w:rsidR="003E1D81" w:rsidRDefault="00EB481C">
            <w:pPr>
              <w:pStyle w:val="P68B1DB1-Normal13"/>
              <w:spacing w:after="0" w:line="240" w:lineRule="auto"/>
              <w:jc w:val="center"/>
              <w:rPr>
                <w:rFonts w:eastAsia="Times New Roman" w:cs="Times New Roman"/>
                <w:noProof/>
              </w:rPr>
            </w:pPr>
            <w:r>
              <w:rPr>
                <w:noProof/>
              </w:rPr>
              <w:t>344</w:t>
            </w:r>
          </w:p>
        </w:tc>
        <w:tc>
          <w:tcPr>
            <w:tcW w:w="828" w:type="dxa"/>
            <w:shd w:val="clear" w:color="auto" w:fill="C6EFCE"/>
            <w:noWrap/>
          </w:tcPr>
          <w:p w14:paraId="6D719DF8" w14:textId="77777777" w:rsidR="003E1D81" w:rsidRDefault="00EB481C">
            <w:pPr>
              <w:pStyle w:val="P68B1DB1-Normal13"/>
              <w:spacing w:after="0" w:line="240" w:lineRule="auto"/>
              <w:jc w:val="center"/>
              <w:rPr>
                <w:rFonts w:eastAsia="Times New Roman" w:cs="Times New Roman"/>
                <w:noProof/>
              </w:rPr>
            </w:pPr>
            <w:r>
              <w:rPr>
                <w:noProof/>
              </w:rPr>
              <w:t>C23.I3</w:t>
            </w:r>
          </w:p>
        </w:tc>
        <w:tc>
          <w:tcPr>
            <w:tcW w:w="826" w:type="dxa"/>
            <w:shd w:val="clear" w:color="auto" w:fill="C6EFCE"/>
            <w:noWrap/>
          </w:tcPr>
          <w:p w14:paraId="3AC61806" w14:textId="77777777" w:rsidR="003E1D81" w:rsidRDefault="00EB481C">
            <w:pPr>
              <w:pStyle w:val="P68B1DB1-Normal13"/>
              <w:spacing w:after="0" w:line="240" w:lineRule="auto"/>
              <w:jc w:val="center"/>
              <w:rPr>
                <w:rFonts w:eastAsia="Times New Roman" w:cs="Times New Roman"/>
                <w:noProof/>
              </w:rPr>
            </w:pPr>
            <w:r>
              <w:rPr>
                <w:noProof/>
              </w:rPr>
              <w:t>T</w:t>
            </w:r>
          </w:p>
        </w:tc>
        <w:tc>
          <w:tcPr>
            <w:tcW w:w="2613" w:type="dxa"/>
            <w:shd w:val="clear" w:color="auto" w:fill="C6EFCE"/>
            <w:noWrap/>
          </w:tcPr>
          <w:p w14:paraId="5C946B6E" w14:textId="77777777" w:rsidR="003E1D81" w:rsidRDefault="00EB481C">
            <w:pPr>
              <w:pStyle w:val="P68B1DB1-Normal13"/>
              <w:spacing w:after="0" w:line="240" w:lineRule="auto"/>
              <w:rPr>
                <w:rFonts w:eastAsia="Times New Roman" w:cs="Times New Roman"/>
                <w:noProof/>
              </w:rPr>
            </w:pPr>
            <w:r>
              <w:rPr>
                <w:noProof/>
              </w:rPr>
              <w:t xml:space="preserve">A digitális, ökológiai és produktív átalakuláshoz szükséges készségek elsajátítását célzó képzési programokat </w:t>
            </w:r>
            <w:r>
              <w:rPr>
                <w:noProof/>
              </w:rPr>
              <w:t>elvégző személyek</w:t>
            </w:r>
          </w:p>
        </w:tc>
        <w:tc>
          <w:tcPr>
            <w:tcW w:w="1102" w:type="dxa"/>
            <w:shd w:val="clear" w:color="auto" w:fill="C6EFCE"/>
            <w:noWrap/>
          </w:tcPr>
          <w:p w14:paraId="44EA3F37" w14:textId="77777777" w:rsidR="003E1D81" w:rsidRDefault="00EB481C">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6987FC2A"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413" w:type="dxa"/>
            <w:shd w:val="clear" w:color="auto" w:fill="C6EFCE"/>
            <w:noWrap/>
          </w:tcPr>
          <w:p w14:paraId="20E1D9A3" w14:textId="77777777" w:rsidR="003E1D81" w:rsidRDefault="00EB481C">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1366F7CB" w14:textId="77777777" w:rsidR="003E1D81" w:rsidRDefault="00EB481C">
            <w:pPr>
              <w:pStyle w:val="P68B1DB1-Normal13"/>
              <w:spacing w:after="0" w:line="240" w:lineRule="auto"/>
              <w:jc w:val="right"/>
              <w:rPr>
                <w:rFonts w:eastAsia="Times New Roman" w:cs="Times New Roman"/>
                <w:noProof/>
              </w:rPr>
            </w:pPr>
            <w:r>
              <w:rPr>
                <w:noProof/>
              </w:rPr>
              <w:t>825 000</w:t>
            </w:r>
          </w:p>
        </w:tc>
        <w:tc>
          <w:tcPr>
            <w:tcW w:w="413" w:type="dxa"/>
            <w:shd w:val="clear" w:color="auto" w:fill="C6EFCE"/>
            <w:noWrap/>
          </w:tcPr>
          <w:p w14:paraId="703CD559" w14:textId="77777777" w:rsidR="003E1D81" w:rsidRDefault="00EB481C">
            <w:pPr>
              <w:pStyle w:val="P68B1DB1-Normal13"/>
              <w:spacing w:after="0" w:line="240" w:lineRule="auto"/>
              <w:jc w:val="right"/>
              <w:rPr>
                <w:rFonts w:eastAsia="Times New Roman" w:cs="Times New Roman"/>
                <w:noProof/>
              </w:rPr>
            </w:pPr>
            <w:r>
              <w:rPr>
                <w:noProof/>
              </w:rPr>
              <w:t>NEGYEDÉV</w:t>
            </w:r>
          </w:p>
        </w:tc>
        <w:tc>
          <w:tcPr>
            <w:tcW w:w="551" w:type="dxa"/>
            <w:shd w:val="clear" w:color="auto" w:fill="C6EFCE"/>
            <w:noWrap/>
          </w:tcPr>
          <w:p w14:paraId="68D1B6C8" w14:textId="77777777" w:rsidR="003E1D81" w:rsidRDefault="00EB481C">
            <w:pPr>
              <w:pStyle w:val="P68B1DB1-Normal13"/>
              <w:spacing w:after="0" w:line="240" w:lineRule="auto"/>
              <w:jc w:val="right"/>
              <w:rPr>
                <w:rFonts w:eastAsia="Times New Roman" w:cs="Times New Roman"/>
                <w:noProof/>
              </w:rPr>
            </w:pPr>
            <w:r>
              <w:rPr>
                <w:noProof/>
              </w:rPr>
              <w:t>2025</w:t>
            </w:r>
          </w:p>
        </w:tc>
        <w:tc>
          <w:tcPr>
            <w:tcW w:w="5901" w:type="dxa"/>
            <w:shd w:val="clear" w:color="auto" w:fill="C6EFCE"/>
            <w:noWrap/>
          </w:tcPr>
          <w:p w14:paraId="505E15CF" w14:textId="77777777" w:rsidR="003E1D81" w:rsidRDefault="00EB481C">
            <w:pPr>
              <w:pStyle w:val="P68B1DB1-Normal13"/>
              <w:spacing w:after="0" w:line="240" w:lineRule="auto"/>
              <w:rPr>
                <w:rFonts w:eastAsia="Times New Roman" w:cs="Times New Roman"/>
                <w:noProof/>
              </w:rPr>
            </w:pPr>
            <w:r>
              <w:rPr>
                <w:noProof/>
              </w:rPr>
              <w:t>Legalább 825000 személy vett részt a digitális, ökológiai és produktív átalakuláshoz szükséges készségek elsajátítását célzó képzési programban, figyelembe véve a beiratkozott 975000 főt. A képzésnek az idegenforgalmi ágazatra, más, nemzeti érdekű stratégi</w:t>
            </w:r>
            <w:r>
              <w:rPr>
                <w:noProof/>
              </w:rPr>
              <w:t xml:space="preserve">ai ágazatokra, az ERTE-k hatálya alá tartozó munkavállalókra és a mikrohitel-képzésben részesülő munkavállalókra kell összpontosítania. A program legalább 30%-a éghajlatváltozással kapcsolatos készségekre, 30%-a pedig digitális készségekre összpontosít. </w:t>
            </w:r>
          </w:p>
        </w:tc>
      </w:tr>
      <w:tr w:rsidR="003E1D81" w14:paraId="479BDDB7" w14:textId="77777777">
        <w:trPr>
          <w:trHeight w:val="309"/>
        </w:trPr>
        <w:tc>
          <w:tcPr>
            <w:tcW w:w="830" w:type="dxa"/>
            <w:shd w:val="clear" w:color="auto" w:fill="C6EFCE"/>
            <w:noWrap/>
          </w:tcPr>
          <w:p w14:paraId="6D1BBD65" w14:textId="5EE3A4FC" w:rsidR="003E1D81" w:rsidRDefault="00EB481C">
            <w:pPr>
              <w:pStyle w:val="P68B1DB1-Normal13"/>
              <w:spacing w:after="0" w:line="240" w:lineRule="auto"/>
              <w:jc w:val="center"/>
              <w:rPr>
                <w:rFonts w:cs="Times New Roman"/>
                <w:noProof/>
              </w:rPr>
            </w:pPr>
            <w:r>
              <w:rPr>
                <w:noProof/>
              </w:rPr>
              <w:t>420</w:t>
            </w:r>
          </w:p>
        </w:tc>
        <w:tc>
          <w:tcPr>
            <w:tcW w:w="828" w:type="dxa"/>
            <w:shd w:val="clear" w:color="auto" w:fill="C6EFCE"/>
            <w:noWrap/>
          </w:tcPr>
          <w:p w14:paraId="5C3DB94F" w14:textId="01E4819B" w:rsidR="003E1D81" w:rsidRDefault="00EB481C">
            <w:pPr>
              <w:pStyle w:val="P68B1DB1-Normal13"/>
              <w:spacing w:after="0" w:line="240" w:lineRule="auto"/>
              <w:jc w:val="center"/>
              <w:rPr>
                <w:rFonts w:cs="Times New Roman"/>
                <w:noProof/>
              </w:rPr>
            </w:pPr>
            <w:r>
              <w:rPr>
                <w:noProof/>
              </w:rPr>
              <w:t>C23.I3</w:t>
            </w:r>
          </w:p>
        </w:tc>
        <w:tc>
          <w:tcPr>
            <w:tcW w:w="826" w:type="dxa"/>
            <w:shd w:val="clear" w:color="auto" w:fill="C6EFCE"/>
            <w:noWrap/>
          </w:tcPr>
          <w:p w14:paraId="46FB0203" w14:textId="364CB774" w:rsidR="003E1D81" w:rsidRDefault="00EB481C">
            <w:pPr>
              <w:pStyle w:val="P68B1DB1-Normal13"/>
              <w:spacing w:after="0" w:line="240" w:lineRule="auto"/>
              <w:jc w:val="center"/>
              <w:rPr>
                <w:rFonts w:cs="Times New Roman"/>
                <w:noProof/>
              </w:rPr>
            </w:pPr>
            <w:r>
              <w:rPr>
                <w:noProof/>
              </w:rPr>
              <w:t>T</w:t>
            </w:r>
          </w:p>
        </w:tc>
        <w:tc>
          <w:tcPr>
            <w:tcW w:w="2613" w:type="dxa"/>
            <w:shd w:val="clear" w:color="auto" w:fill="C6EFCE"/>
            <w:noWrap/>
          </w:tcPr>
          <w:p w14:paraId="2688FFAA" w14:textId="3826B410" w:rsidR="003E1D81" w:rsidRDefault="00EB481C">
            <w:pPr>
              <w:pStyle w:val="P68B1DB1-Normal13"/>
              <w:spacing w:after="0" w:line="240" w:lineRule="auto"/>
              <w:rPr>
                <w:rFonts w:cs="Times New Roman"/>
                <w:noProof/>
              </w:rPr>
            </w:pPr>
            <w:r>
              <w:rPr>
                <w:noProof/>
              </w:rPr>
              <w:t>A készségigények felismerése kutatási program révén</w:t>
            </w:r>
          </w:p>
        </w:tc>
        <w:tc>
          <w:tcPr>
            <w:tcW w:w="1102" w:type="dxa"/>
            <w:shd w:val="clear" w:color="auto" w:fill="C6EFCE"/>
            <w:noWrap/>
          </w:tcPr>
          <w:p w14:paraId="70C4D6AD" w14:textId="3FD688E7" w:rsidR="003E1D81" w:rsidRDefault="00EB481C">
            <w:pPr>
              <w:pStyle w:val="P68B1DB1-Normal13"/>
              <w:spacing w:after="0" w:line="240" w:lineRule="auto"/>
              <w:jc w:val="center"/>
              <w:rPr>
                <w:rFonts w:cs="Times New Roman"/>
                <w:noProof/>
              </w:rPr>
            </w:pPr>
            <w:r>
              <w:rPr>
                <w:noProof/>
              </w:rPr>
              <w:t>A kutatási program közzététele</w:t>
            </w:r>
          </w:p>
        </w:tc>
        <w:tc>
          <w:tcPr>
            <w:tcW w:w="827" w:type="dxa"/>
            <w:shd w:val="clear" w:color="auto" w:fill="C6EFCE"/>
            <w:noWrap/>
          </w:tcPr>
          <w:p w14:paraId="4A6C9459" w14:textId="09CBB1E2" w:rsidR="003E1D81" w:rsidRDefault="00EB481C">
            <w:pPr>
              <w:pStyle w:val="P68B1DB1-Normal13"/>
              <w:spacing w:after="0" w:line="240" w:lineRule="auto"/>
              <w:jc w:val="center"/>
              <w:rPr>
                <w:rFonts w:cs="Times New Roman"/>
                <w:noProof/>
              </w:rPr>
            </w:pPr>
            <w:r>
              <w:rPr>
                <w:noProof/>
              </w:rPr>
              <w:t>Szám</w:t>
            </w:r>
          </w:p>
        </w:tc>
        <w:tc>
          <w:tcPr>
            <w:tcW w:w="413" w:type="dxa"/>
            <w:shd w:val="clear" w:color="auto" w:fill="C6EFCE"/>
            <w:noWrap/>
          </w:tcPr>
          <w:p w14:paraId="4283EA95" w14:textId="6673D62F" w:rsidR="003E1D81" w:rsidRDefault="00EB481C">
            <w:pPr>
              <w:pStyle w:val="P68B1DB1-Normal13"/>
              <w:spacing w:after="0" w:line="240" w:lineRule="auto"/>
              <w:jc w:val="right"/>
              <w:rPr>
                <w:rFonts w:cs="Times New Roman"/>
                <w:noProof/>
              </w:rPr>
            </w:pPr>
            <w:r>
              <w:rPr>
                <w:noProof/>
              </w:rPr>
              <w:t>0</w:t>
            </w:r>
          </w:p>
        </w:tc>
        <w:tc>
          <w:tcPr>
            <w:tcW w:w="689" w:type="dxa"/>
            <w:shd w:val="clear" w:color="auto" w:fill="C6EFCE"/>
            <w:noWrap/>
          </w:tcPr>
          <w:p w14:paraId="59CB1E35" w14:textId="04ECB3ED" w:rsidR="003E1D81" w:rsidRDefault="00EB481C">
            <w:pPr>
              <w:pStyle w:val="P68B1DB1-Normal13"/>
              <w:spacing w:after="0" w:line="240" w:lineRule="auto"/>
              <w:jc w:val="right"/>
              <w:rPr>
                <w:rFonts w:cs="Times New Roman"/>
                <w:noProof/>
              </w:rPr>
            </w:pPr>
            <w:r>
              <w:rPr>
                <w:noProof/>
              </w:rPr>
              <w:t>23</w:t>
            </w:r>
          </w:p>
        </w:tc>
        <w:tc>
          <w:tcPr>
            <w:tcW w:w="413" w:type="dxa"/>
            <w:shd w:val="clear" w:color="auto" w:fill="C6EFCE"/>
            <w:noWrap/>
          </w:tcPr>
          <w:p w14:paraId="6052CD6A" w14:textId="07BF3F54" w:rsidR="003E1D81" w:rsidRDefault="00EB481C">
            <w:pPr>
              <w:pStyle w:val="P68B1DB1-Normal13"/>
              <w:spacing w:after="0" w:line="240" w:lineRule="auto"/>
              <w:jc w:val="right"/>
              <w:rPr>
                <w:rFonts w:cs="Times New Roman"/>
                <w:noProof/>
              </w:rPr>
            </w:pPr>
            <w:r>
              <w:rPr>
                <w:noProof/>
              </w:rPr>
              <w:t>NEGYEDÉV</w:t>
            </w:r>
          </w:p>
        </w:tc>
        <w:tc>
          <w:tcPr>
            <w:tcW w:w="551" w:type="dxa"/>
            <w:shd w:val="clear" w:color="auto" w:fill="C6EFCE"/>
            <w:noWrap/>
          </w:tcPr>
          <w:p w14:paraId="639F4681" w14:textId="4EED1DC8" w:rsidR="003E1D81" w:rsidRDefault="00EB481C">
            <w:pPr>
              <w:pStyle w:val="P68B1DB1-Normal13"/>
              <w:spacing w:after="0" w:line="240" w:lineRule="auto"/>
              <w:jc w:val="right"/>
              <w:rPr>
                <w:rFonts w:cs="Times New Roman"/>
                <w:noProof/>
              </w:rPr>
            </w:pPr>
            <w:r>
              <w:rPr>
                <w:noProof/>
              </w:rPr>
              <w:t>2025</w:t>
            </w:r>
          </w:p>
        </w:tc>
        <w:tc>
          <w:tcPr>
            <w:tcW w:w="5901" w:type="dxa"/>
            <w:shd w:val="clear" w:color="auto" w:fill="C6EFCE"/>
            <w:noWrap/>
          </w:tcPr>
          <w:p w14:paraId="7060AB63" w14:textId="799C5832" w:rsidR="003E1D81" w:rsidRDefault="00EB481C">
            <w:pPr>
              <w:pStyle w:val="P68B1DB1-Normal13"/>
              <w:spacing w:after="0" w:line="240" w:lineRule="auto"/>
              <w:rPr>
                <w:rFonts w:cs="Times New Roman"/>
                <w:noProof/>
              </w:rPr>
            </w:pPr>
            <w:r>
              <w:rPr>
                <w:noProof/>
              </w:rPr>
              <w:t>Legalább 23 termelő ágazatban végzett felmérésen alapuló, a készségigények felismerését célzó kutatási program befejezése, amely hatékony választ ad a munkaerőpiaci képzési és átképzési igényekre, beleértve a digitális átálláshoz és a zöld átálláshoz szüks</w:t>
            </w:r>
            <w:r>
              <w:rPr>
                <w:noProof/>
              </w:rPr>
              <w:t xml:space="preserve">éges készségeket is. Emellett a képzési szakterületek fejlesztése révén előre kell jeleznie a változásokat, és reagálnia kell a szakképzett munkaerő iránti potenciális keresletre.  </w:t>
            </w:r>
          </w:p>
        </w:tc>
      </w:tr>
      <w:tr w:rsidR="003E1D81" w14:paraId="73F4A48B" w14:textId="77777777">
        <w:trPr>
          <w:trHeight w:val="309"/>
        </w:trPr>
        <w:tc>
          <w:tcPr>
            <w:tcW w:w="830" w:type="dxa"/>
            <w:shd w:val="clear" w:color="auto" w:fill="C6EFCE"/>
            <w:noWrap/>
          </w:tcPr>
          <w:p w14:paraId="38DF2124" w14:textId="77777777" w:rsidR="003E1D81" w:rsidRDefault="00EB481C">
            <w:pPr>
              <w:pStyle w:val="P68B1DB1-Normal13"/>
              <w:spacing w:after="0" w:line="240" w:lineRule="auto"/>
              <w:jc w:val="center"/>
              <w:rPr>
                <w:rFonts w:eastAsia="Times New Roman" w:cs="Times New Roman"/>
                <w:noProof/>
              </w:rPr>
            </w:pPr>
            <w:r>
              <w:rPr>
                <w:noProof/>
              </w:rPr>
              <w:t>345</w:t>
            </w:r>
          </w:p>
        </w:tc>
        <w:tc>
          <w:tcPr>
            <w:tcW w:w="828" w:type="dxa"/>
            <w:shd w:val="clear" w:color="auto" w:fill="C6EFCE"/>
            <w:noWrap/>
          </w:tcPr>
          <w:p w14:paraId="63072B0E" w14:textId="77777777" w:rsidR="003E1D81" w:rsidRDefault="00EB481C">
            <w:pPr>
              <w:pStyle w:val="P68B1DB1-Normal13"/>
              <w:spacing w:after="0" w:line="240" w:lineRule="auto"/>
              <w:jc w:val="center"/>
              <w:rPr>
                <w:rFonts w:eastAsia="Times New Roman" w:cs="Times New Roman"/>
                <w:noProof/>
              </w:rPr>
            </w:pPr>
            <w:r>
              <w:rPr>
                <w:noProof/>
              </w:rPr>
              <w:t>C23.I4</w:t>
            </w:r>
          </w:p>
        </w:tc>
        <w:tc>
          <w:tcPr>
            <w:tcW w:w="826" w:type="dxa"/>
            <w:shd w:val="clear" w:color="auto" w:fill="C6EFCE"/>
            <w:noWrap/>
          </w:tcPr>
          <w:p w14:paraId="250BB525" w14:textId="77777777" w:rsidR="003E1D81" w:rsidRDefault="00EB481C">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4D3105FC" w14:textId="77777777" w:rsidR="003E1D81" w:rsidRDefault="00EB481C">
            <w:pPr>
              <w:pStyle w:val="P68B1DB1-Normal13"/>
              <w:spacing w:after="0" w:line="240" w:lineRule="auto"/>
              <w:rPr>
                <w:rFonts w:eastAsia="Times New Roman" w:cs="Times New Roman"/>
                <w:noProof/>
              </w:rPr>
            </w:pPr>
            <w:r>
              <w:rPr>
                <w:noProof/>
              </w:rPr>
              <w:t xml:space="preserve">A veszélyeztetett csoportokra, a vállalkozói szellemre és a mikrovállalkozásokra irányuló területi projektekre szánt források regionális elosztásának jóváhagyása. </w:t>
            </w:r>
          </w:p>
        </w:tc>
        <w:tc>
          <w:tcPr>
            <w:tcW w:w="1102" w:type="dxa"/>
            <w:shd w:val="clear" w:color="auto" w:fill="C6EFCE"/>
            <w:noWrap/>
          </w:tcPr>
          <w:p w14:paraId="6CBF8191" w14:textId="77777777" w:rsidR="003E1D81" w:rsidRDefault="00EB481C">
            <w:pPr>
              <w:pStyle w:val="P68B1DB1-Normal13"/>
              <w:spacing w:after="0" w:line="240" w:lineRule="auto"/>
              <w:jc w:val="center"/>
              <w:rPr>
                <w:rFonts w:eastAsia="Times New Roman" w:cs="Times New Roman"/>
                <w:noProof/>
              </w:rPr>
            </w:pPr>
            <w:r>
              <w:rPr>
                <w:noProof/>
              </w:rPr>
              <w:t xml:space="preserve">Az ágazati foglalkoztatási konferencia referenciajegyzőkönyve </w:t>
            </w:r>
          </w:p>
        </w:tc>
        <w:tc>
          <w:tcPr>
            <w:tcW w:w="827" w:type="dxa"/>
            <w:shd w:val="clear" w:color="auto" w:fill="C6EFCE"/>
            <w:noWrap/>
          </w:tcPr>
          <w:p w14:paraId="09DA7C88"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1DE833C4"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7016AF2E"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314B74C4" w14:textId="77777777" w:rsidR="003E1D81" w:rsidRDefault="00EB481C">
            <w:pPr>
              <w:pStyle w:val="P68B1DB1-Normal13"/>
              <w:spacing w:after="0" w:line="240" w:lineRule="auto"/>
              <w:jc w:val="right"/>
              <w:rPr>
                <w:rFonts w:eastAsia="Times New Roman" w:cs="Times New Roman"/>
                <w:noProof/>
              </w:rPr>
            </w:pPr>
            <w:r>
              <w:rPr>
                <w:noProof/>
              </w:rPr>
              <w:t>NEGYEDÉV</w:t>
            </w:r>
          </w:p>
        </w:tc>
        <w:tc>
          <w:tcPr>
            <w:tcW w:w="551" w:type="dxa"/>
            <w:shd w:val="clear" w:color="auto" w:fill="C6EFCE"/>
            <w:noWrap/>
          </w:tcPr>
          <w:p w14:paraId="36CB6330" w14:textId="77777777" w:rsidR="003E1D81" w:rsidRDefault="00EB481C">
            <w:pPr>
              <w:pStyle w:val="P68B1DB1-Normal13"/>
              <w:spacing w:after="0" w:line="240" w:lineRule="auto"/>
              <w:jc w:val="right"/>
              <w:rPr>
                <w:rFonts w:eastAsia="Times New Roman" w:cs="Times New Roman"/>
                <w:noProof/>
              </w:rPr>
            </w:pPr>
            <w:r>
              <w:rPr>
                <w:noProof/>
              </w:rPr>
              <w:t>2021</w:t>
            </w:r>
          </w:p>
        </w:tc>
        <w:tc>
          <w:tcPr>
            <w:tcW w:w="5901" w:type="dxa"/>
            <w:shd w:val="clear" w:color="auto" w:fill="C6EFCE"/>
            <w:noWrap/>
          </w:tcPr>
          <w:p w14:paraId="33A8F610" w14:textId="77777777" w:rsidR="003E1D81" w:rsidRDefault="00EB481C">
            <w:pPr>
              <w:pStyle w:val="P68B1DB1-Normal13"/>
              <w:spacing w:after="0" w:line="240" w:lineRule="auto"/>
              <w:rPr>
                <w:rFonts w:eastAsia="Times New Roman" w:cs="Times New Roman"/>
                <w:noProof/>
              </w:rPr>
            </w:pPr>
            <w:r>
              <w:rPr>
                <w:noProof/>
              </w:rPr>
              <w:t>Az ágazat</w:t>
            </w:r>
            <w:r>
              <w:rPr>
                <w:noProof/>
              </w:rPr>
              <w:t>i foglalkoztatási konferencián a veszélyeztetett csoportokra irányuló területi projektekre, valamint a vállalkozói szellemet és a mikrovállalkozásokat célzó területi projektekre – például a vállalkozói szellemet előmozdító projektek, a helyi fejlesztési ke</w:t>
            </w:r>
            <w:r>
              <w:rPr>
                <w:noProof/>
              </w:rPr>
              <w:t xml:space="preserve">zdeményezések, a szociális gazdaság kezdeményezései és a termelés átalakítását elősegítő új területi projektek – regionális elosztásának jóváhagyása, különösen a zöld és digitális gazdaság irányába. </w:t>
            </w:r>
          </w:p>
        </w:tc>
      </w:tr>
      <w:tr w:rsidR="003E1D81" w14:paraId="5B2EEC32" w14:textId="77777777">
        <w:trPr>
          <w:trHeight w:val="309"/>
        </w:trPr>
        <w:tc>
          <w:tcPr>
            <w:tcW w:w="830" w:type="dxa"/>
            <w:shd w:val="clear" w:color="auto" w:fill="C6EFCE"/>
            <w:noWrap/>
          </w:tcPr>
          <w:p w14:paraId="0B595572" w14:textId="77777777" w:rsidR="003E1D81" w:rsidRDefault="00EB481C">
            <w:pPr>
              <w:pStyle w:val="P68B1DB1-Normal13"/>
              <w:spacing w:after="0" w:line="240" w:lineRule="auto"/>
              <w:jc w:val="center"/>
              <w:rPr>
                <w:rFonts w:eastAsia="Times New Roman" w:cs="Times New Roman"/>
                <w:noProof/>
              </w:rPr>
            </w:pPr>
            <w:r>
              <w:rPr>
                <w:noProof/>
              </w:rPr>
              <w:t>346</w:t>
            </w:r>
          </w:p>
        </w:tc>
        <w:tc>
          <w:tcPr>
            <w:tcW w:w="828" w:type="dxa"/>
            <w:shd w:val="clear" w:color="auto" w:fill="C6EFCE"/>
            <w:noWrap/>
          </w:tcPr>
          <w:p w14:paraId="7D2FAE15" w14:textId="77777777" w:rsidR="003E1D81" w:rsidRDefault="00EB481C">
            <w:pPr>
              <w:pStyle w:val="P68B1DB1-Normal13"/>
              <w:spacing w:after="0" w:line="240" w:lineRule="auto"/>
              <w:jc w:val="center"/>
              <w:rPr>
                <w:rFonts w:eastAsia="Times New Roman" w:cs="Times New Roman"/>
                <w:noProof/>
              </w:rPr>
            </w:pPr>
            <w:r>
              <w:rPr>
                <w:noProof/>
              </w:rPr>
              <w:t>C23.I4</w:t>
            </w:r>
          </w:p>
        </w:tc>
        <w:tc>
          <w:tcPr>
            <w:tcW w:w="826" w:type="dxa"/>
            <w:shd w:val="clear" w:color="auto" w:fill="C6EFCE"/>
            <w:noWrap/>
          </w:tcPr>
          <w:p w14:paraId="29365A42" w14:textId="77777777" w:rsidR="003E1D81" w:rsidRDefault="00EB481C">
            <w:pPr>
              <w:pStyle w:val="P68B1DB1-Normal13"/>
              <w:spacing w:after="0" w:line="240" w:lineRule="auto"/>
              <w:jc w:val="center"/>
              <w:rPr>
                <w:rFonts w:eastAsia="Times New Roman" w:cs="Times New Roman"/>
                <w:noProof/>
              </w:rPr>
            </w:pPr>
            <w:r>
              <w:rPr>
                <w:noProof/>
              </w:rPr>
              <w:t>T</w:t>
            </w:r>
          </w:p>
        </w:tc>
        <w:tc>
          <w:tcPr>
            <w:tcW w:w="2613" w:type="dxa"/>
            <w:shd w:val="clear" w:color="auto" w:fill="C6EFCE"/>
            <w:noWrap/>
          </w:tcPr>
          <w:p w14:paraId="25316EEB" w14:textId="77777777" w:rsidR="003E1D81" w:rsidRDefault="00EB481C">
            <w:pPr>
              <w:pStyle w:val="P68B1DB1-Normal13"/>
              <w:spacing w:after="0" w:line="240" w:lineRule="auto"/>
              <w:rPr>
                <w:rFonts w:eastAsia="Times New Roman" w:cs="Times New Roman"/>
                <w:noProof/>
              </w:rPr>
            </w:pPr>
            <w:r>
              <w:rPr>
                <w:noProof/>
              </w:rPr>
              <w:t xml:space="preserve">A veszélyeztetett csoportokra, a </w:t>
            </w:r>
            <w:r>
              <w:rPr>
                <w:noProof/>
              </w:rPr>
              <w:t>vállalkozói szellemre és a mikrovállalkozásokra irányuló területi projektek lezárultak, amelyekben legalább 39000 munkavállaló és 64000 vállalkozás vesz részt.</w:t>
            </w:r>
          </w:p>
        </w:tc>
        <w:tc>
          <w:tcPr>
            <w:tcW w:w="1102" w:type="dxa"/>
            <w:shd w:val="clear" w:color="auto" w:fill="C6EFCE"/>
            <w:noWrap/>
          </w:tcPr>
          <w:p w14:paraId="7478F826" w14:textId="77777777" w:rsidR="003E1D81" w:rsidRDefault="00EB481C">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5FD4AE48"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413" w:type="dxa"/>
            <w:shd w:val="clear" w:color="auto" w:fill="C6EFCE"/>
            <w:noWrap/>
          </w:tcPr>
          <w:p w14:paraId="7D2EF052" w14:textId="77777777" w:rsidR="003E1D81" w:rsidRDefault="00EB481C">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0CC676C6" w14:textId="77777777" w:rsidR="003E1D81" w:rsidRDefault="00EB481C">
            <w:pPr>
              <w:pStyle w:val="P68B1DB1-Normal13"/>
              <w:spacing w:after="0" w:line="240" w:lineRule="auto"/>
              <w:jc w:val="right"/>
              <w:rPr>
                <w:rFonts w:eastAsia="Times New Roman" w:cs="Times New Roman"/>
                <w:noProof/>
              </w:rPr>
            </w:pPr>
            <w:r>
              <w:rPr>
                <w:noProof/>
              </w:rPr>
              <w:t>68</w:t>
            </w:r>
          </w:p>
        </w:tc>
        <w:tc>
          <w:tcPr>
            <w:tcW w:w="413" w:type="dxa"/>
            <w:shd w:val="clear" w:color="auto" w:fill="C6EFCE"/>
            <w:noWrap/>
          </w:tcPr>
          <w:p w14:paraId="34C73C82" w14:textId="77777777" w:rsidR="003E1D81" w:rsidRDefault="00EB481C">
            <w:pPr>
              <w:pStyle w:val="P68B1DB1-Normal13"/>
              <w:spacing w:after="0" w:line="240" w:lineRule="auto"/>
              <w:jc w:val="right"/>
              <w:rPr>
                <w:rFonts w:eastAsia="Times New Roman" w:cs="Times New Roman"/>
                <w:noProof/>
              </w:rPr>
            </w:pPr>
            <w:r>
              <w:rPr>
                <w:noProof/>
              </w:rPr>
              <w:t>NEGYEDÉV</w:t>
            </w:r>
          </w:p>
        </w:tc>
        <w:tc>
          <w:tcPr>
            <w:tcW w:w="551" w:type="dxa"/>
            <w:shd w:val="clear" w:color="auto" w:fill="C6EFCE"/>
            <w:noWrap/>
          </w:tcPr>
          <w:p w14:paraId="5A691201" w14:textId="77777777" w:rsidR="003E1D81" w:rsidRDefault="00EB481C">
            <w:pPr>
              <w:pStyle w:val="P68B1DB1-Normal13"/>
              <w:spacing w:after="0" w:line="240" w:lineRule="auto"/>
              <w:jc w:val="right"/>
              <w:rPr>
                <w:rFonts w:eastAsia="Times New Roman" w:cs="Times New Roman"/>
                <w:noProof/>
              </w:rPr>
            </w:pPr>
            <w:r>
              <w:rPr>
                <w:noProof/>
              </w:rPr>
              <w:t>2023</w:t>
            </w:r>
          </w:p>
        </w:tc>
        <w:tc>
          <w:tcPr>
            <w:tcW w:w="5901" w:type="dxa"/>
            <w:shd w:val="clear" w:color="auto" w:fill="C6EFCE"/>
            <w:noWrap/>
          </w:tcPr>
          <w:p w14:paraId="0BE494D8" w14:textId="77777777" w:rsidR="003E1D81" w:rsidRDefault="00EB481C">
            <w:pPr>
              <w:pStyle w:val="P68B1DB1-Normal13"/>
              <w:spacing w:after="0" w:line="240" w:lineRule="auto"/>
              <w:rPr>
                <w:rFonts w:eastAsia="Times New Roman" w:cs="Times New Roman"/>
                <w:noProof/>
              </w:rPr>
            </w:pPr>
            <w:r>
              <w:rPr>
                <w:noProof/>
              </w:rPr>
              <w:t>Legalább 68 területi projekt zárult le a kiszolgáltatott csoportok szá</w:t>
            </w:r>
            <w:r>
              <w:rPr>
                <w:noProof/>
              </w:rPr>
              <w:t>mára, valamint a vállalkozói szellemre és a mikrovállalkozásokra irányuló területi projektek, amelyekben mintegy 39000 munkavállaló és 64000 megcélzott vállalkozás vesz részt.</w:t>
            </w:r>
            <w:r>
              <w:rPr>
                <w:noProof/>
              </w:rPr>
              <w:br/>
              <w:t>A veszélyeztetett csoportokra irányuló területi projekteket személyre szabott és</w:t>
            </w:r>
            <w:r>
              <w:rPr>
                <w:noProof/>
              </w:rPr>
              <w:t xml:space="preserve"> személyre szabott útvonalakon keresztül kell kidolgozni, amelyekbe különböző fellépéseket kell integrálni, mint például: pályaorientáció és támogatás, orientációs programok, álláskereső csoportok általi gondozás, képzési és békéltetési ösztöndíjak, munkae</w:t>
            </w:r>
            <w:r>
              <w:rPr>
                <w:noProof/>
              </w:rPr>
              <w:t>rő-felvételhez nyújtott támogatás és az intézkedések nyomon követése.</w:t>
            </w:r>
            <w:r>
              <w:rPr>
                <w:noProof/>
              </w:rPr>
              <w:br/>
              <w:t>A vállalkozói és mikrovállalkozási projekteknek foglalkozniuk kell a demográfiai kihívással, és elő kell segíteniük a produktív átalakulást, különösen a zöld és digitális gazdaság irányá</w:t>
            </w:r>
            <w:r>
              <w:rPr>
                <w:noProof/>
              </w:rPr>
              <w:t>ba, többek között mezőgazdasági képzési projektek, fenntartható helyi fejlesztés, a kulturális és művészeti tevékenységeket célzó szociális gazdasági kezdeményezések, az ökológiai átállás, a helyi fejlesztési kezdeményezések, a vidéki turizmus és a művésze</w:t>
            </w:r>
            <w:r>
              <w:rPr>
                <w:noProof/>
              </w:rPr>
              <w:t>ti örökség révén. Ezek a projektek többek között a következőket foglalják magukban: szociális vállalkozás és szabadúszók, munkaerő-piaci tanulmány, helyi promóciós és fejlesztési szereplők, szövetkezetek vagy mikrovállalkozások elindításához nyújtott segít</w:t>
            </w:r>
            <w:r>
              <w:rPr>
                <w:noProof/>
              </w:rPr>
              <w:t>ség, hálózatépítés, konferenciákon való részvétel, terjesztési tevékenységek.</w:t>
            </w:r>
          </w:p>
        </w:tc>
      </w:tr>
      <w:tr w:rsidR="003E1D81" w14:paraId="5EE38AFB" w14:textId="77777777">
        <w:trPr>
          <w:trHeight w:val="309"/>
        </w:trPr>
        <w:tc>
          <w:tcPr>
            <w:tcW w:w="830" w:type="dxa"/>
            <w:shd w:val="clear" w:color="auto" w:fill="C6EFCE"/>
            <w:noWrap/>
          </w:tcPr>
          <w:p w14:paraId="3228302D" w14:textId="77777777" w:rsidR="003E1D81" w:rsidRDefault="00EB481C">
            <w:pPr>
              <w:pStyle w:val="P68B1DB1-Normal13"/>
              <w:spacing w:after="0" w:line="240" w:lineRule="auto"/>
              <w:jc w:val="center"/>
              <w:rPr>
                <w:rFonts w:eastAsia="Times New Roman" w:cs="Times New Roman"/>
                <w:noProof/>
              </w:rPr>
            </w:pPr>
            <w:r>
              <w:rPr>
                <w:noProof/>
              </w:rPr>
              <w:t>347</w:t>
            </w:r>
          </w:p>
        </w:tc>
        <w:tc>
          <w:tcPr>
            <w:tcW w:w="828" w:type="dxa"/>
            <w:shd w:val="clear" w:color="auto" w:fill="C6EFCE"/>
            <w:noWrap/>
          </w:tcPr>
          <w:p w14:paraId="4ACD0B69" w14:textId="77777777" w:rsidR="003E1D81" w:rsidRDefault="00EB481C">
            <w:pPr>
              <w:pStyle w:val="P68B1DB1-Normal13"/>
              <w:spacing w:after="0" w:line="240" w:lineRule="auto"/>
              <w:jc w:val="center"/>
              <w:rPr>
                <w:rFonts w:eastAsia="Times New Roman" w:cs="Times New Roman"/>
                <w:noProof/>
              </w:rPr>
            </w:pPr>
            <w:r>
              <w:rPr>
                <w:noProof/>
              </w:rPr>
              <w:t>C23.I5</w:t>
            </w:r>
          </w:p>
        </w:tc>
        <w:tc>
          <w:tcPr>
            <w:tcW w:w="826" w:type="dxa"/>
            <w:shd w:val="clear" w:color="auto" w:fill="C6EFCE"/>
            <w:noWrap/>
          </w:tcPr>
          <w:p w14:paraId="373B858D" w14:textId="77777777" w:rsidR="003E1D81" w:rsidRDefault="00EB481C">
            <w:pPr>
              <w:pStyle w:val="P68B1DB1-Normal13"/>
              <w:spacing w:after="0" w:line="240" w:lineRule="auto"/>
              <w:jc w:val="center"/>
              <w:rPr>
                <w:rFonts w:eastAsia="Times New Roman" w:cs="Times New Roman"/>
                <w:noProof/>
              </w:rPr>
            </w:pPr>
            <w:r>
              <w:rPr>
                <w:noProof/>
              </w:rPr>
              <w:t>T</w:t>
            </w:r>
          </w:p>
        </w:tc>
        <w:tc>
          <w:tcPr>
            <w:tcW w:w="2613" w:type="dxa"/>
            <w:shd w:val="clear" w:color="auto" w:fill="C6EFCE"/>
            <w:noWrap/>
          </w:tcPr>
          <w:p w14:paraId="017F33DD" w14:textId="77777777" w:rsidR="003E1D81" w:rsidRDefault="00EB481C">
            <w:pPr>
              <w:pStyle w:val="P68B1DB1-Normal13"/>
              <w:spacing w:after="0" w:line="240" w:lineRule="auto"/>
              <w:rPr>
                <w:rFonts w:eastAsia="Times New Roman" w:cs="Times New Roman"/>
                <w:noProof/>
              </w:rPr>
            </w:pPr>
            <w:r>
              <w:rPr>
                <w:noProof/>
              </w:rPr>
              <w:t>A pályaorientációs, vállalkozói, támogatási és innovációs központok teljes mértékben működőképesek.</w:t>
            </w:r>
          </w:p>
        </w:tc>
        <w:tc>
          <w:tcPr>
            <w:tcW w:w="1102" w:type="dxa"/>
            <w:shd w:val="clear" w:color="auto" w:fill="C6EFCE"/>
            <w:noWrap/>
          </w:tcPr>
          <w:p w14:paraId="07F55D43" w14:textId="77777777" w:rsidR="003E1D81" w:rsidRDefault="00EB481C">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6B077AC0"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413" w:type="dxa"/>
            <w:shd w:val="clear" w:color="auto" w:fill="C6EFCE"/>
            <w:noWrap/>
          </w:tcPr>
          <w:p w14:paraId="18FD11EC" w14:textId="77777777" w:rsidR="003E1D81" w:rsidRDefault="00EB481C">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3FA557D6" w14:textId="77777777" w:rsidR="003E1D81" w:rsidRDefault="00EB481C">
            <w:pPr>
              <w:pStyle w:val="P68B1DB1-Normal13"/>
              <w:spacing w:after="0" w:line="240" w:lineRule="auto"/>
              <w:jc w:val="center"/>
              <w:rPr>
                <w:rFonts w:eastAsia="Times New Roman" w:cs="Times New Roman"/>
                <w:noProof/>
              </w:rPr>
            </w:pPr>
            <w:r>
              <w:rPr>
                <w:noProof/>
              </w:rPr>
              <w:t>20</w:t>
            </w:r>
          </w:p>
        </w:tc>
        <w:tc>
          <w:tcPr>
            <w:tcW w:w="413" w:type="dxa"/>
            <w:shd w:val="clear" w:color="auto" w:fill="C6EFCE"/>
            <w:noWrap/>
          </w:tcPr>
          <w:p w14:paraId="4527830F"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shd w:val="clear" w:color="auto" w:fill="C6EFCE"/>
            <w:noWrap/>
          </w:tcPr>
          <w:p w14:paraId="17DBB9E2" w14:textId="20AFC6D9" w:rsidR="003E1D81" w:rsidRDefault="00EB481C">
            <w:pPr>
              <w:pStyle w:val="P68B1DB1-Normal13"/>
              <w:spacing w:after="0" w:line="240" w:lineRule="auto"/>
              <w:jc w:val="center"/>
              <w:rPr>
                <w:rFonts w:eastAsia="Times New Roman" w:cs="Times New Roman"/>
                <w:noProof/>
              </w:rPr>
            </w:pPr>
            <w:r>
              <w:rPr>
                <w:noProof/>
              </w:rPr>
              <w:t>2024</w:t>
            </w:r>
          </w:p>
        </w:tc>
        <w:tc>
          <w:tcPr>
            <w:tcW w:w="5901" w:type="dxa"/>
            <w:shd w:val="clear" w:color="auto" w:fill="C6EFCE"/>
            <w:noWrap/>
          </w:tcPr>
          <w:p w14:paraId="6376C800" w14:textId="77777777" w:rsidR="003E1D81" w:rsidRDefault="00EB481C">
            <w:pPr>
              <w:pStyle w:val="P68B1DB1-Normal13"/>
              <w:spacing w:after="0" w:line="240" w:lineRule="auto"/>
              <w:rPr>
                <w:rFonts w:eastAsia="Times New Roman" w:cs="Times New Roman"/>
                <w:noProof/>
              </w:rPr>
            </w:pPr>
            <w:r>
              <w:rPr>
                <w:noProof/>
              </w:rPr>
              <w:t xml:space="preserve">Az új munkahelyekkel kapcsolatos </w:t>
            </w:r>
            <w:r>
              <w:rPr>
                <w:noProof/>
              </w:rPr>
              <w:t>tanácsadással, vállalkozással, támogatással és innovációval foglalkozó legalább 20 állami központ teljes mértékben működőképes.</w:t>
            </w:r>
          </w:p>
        </w:tc>
      </w:tr>
      <w:tr w:rsidR="003E1D81" w14:paraId="47C2CB73" w14:textId="77777777">
        <w:trPr>
          <w:trHeight w:val="309"/>
        </w:trPr>
        <w:tc>
          <w:tcPr>
            <w:tcW w:w="830" w:type="dxa"/>
            <w:shd w:val="clear" w:color="auto" w:fill="C6EFCE"/>
            <w:noWrap/>
          </w:tcPr>
          <w:p w14:paraId="5A579700" w14:textId="77777777" w:rsidR="003E1D81" w:rsidRDefault="00EB481C">
            <w:pPr>
              <w:pStyle w:val="P68B1DB1-Normal13"/>
              <w:spacing w:after="0" w:line="240" w:lineRule="auto"/>
              <w:jc w:val="center"/>
              <w:rPr>
                <w:rFonts w:eastAsia="Times New Roman" w:cs="Times New Roman"/>
                <w:noProof/>
              </w:rPr>
            </w:pPr>
            <w:r>
              <w:rPr>
                <w:noProof/>
              </w:rPr>
              <w:t>348</w:t>
            </w:r>
          </w:p>
        </w:tc>
        <w:tc>
          <w:tcPr>
            <w:tcW w:w="828" w:type="dxa"/>
            <w:shd w:val="clear" w:color="auto" w:fill="C6EFCE"/>
            <w:noWrap/>
          </w:tcPr>
          <w:p w14:paraId="6D48B057" w14:textId="77777777" w:rsidR="003E1D81" w:rsidRDefault="00EB481C">
            <w:pPr>
              <w:pStyle w:val="P68B1DB1-Normal13"/>
              <w:spacing w:after="0" w:line="240" w:lineRule="auto"/>
              <w:jc w:val="center"/>
              <w:rPr>
                <w:rFonts w:eastAsia="Times New Roman" w:cs="Times New Roman"/>
                <w:noProof/>
              </w:rPr>
            </w:pPr>
            <w:r>
              <w:rPr>
                <w:noProof/>
              </w:rPr>
              <w:t>C23.I5</w:t>
            </w:r>
          </w:p>
        </w:tc>
        <w:tc>
          <w:tcPr>
            <w:tcW w:w="826" w:type="dxa"/>
            <w:shd w:val="clear" w:color="auto" w:fill="C6EFCE"/>
            <w:noWrap/>
          </w:tcPr>
          <w:p w14:paraId="18A1F58A" w14:textId="77777777" w:rsidR="003E1D81" w:rsidRDefault="00EB481C">
            <w:pPr>
              <w:pStyle w:val="P68B1DB1-Normal13"/>
              <w:spacing w:after="0" w:line="240" w:lineRule="auto"/>
              <w:jc w:val="center"/>
              <w:rPr>
                <w:rFonts w:eastAsia="Times New Roman" w:cs="Times New Roman"/>
                <w:noProof/>
              </w:rPr>
            </w:pPr>
            <w:r>
              <w:rPr>
                <w:noProof/>
              </w:rPr>
              <w:t>T</w:t>
            </w:r>
          </w:p>
        </w:tc>
        <w:tc>
          <w:tcPr>
            <w:tcW w:w="2613" w:type="dxa"/>
            <w:shd w:val="clear" w:color="auto" w:fill="C6EFCE"/>
            <w:noWrap/>
          </w:tcPr>
          <w:p w14:paraId="18557365" w14:textId="77777777" w:rsidR="003E1D81" w:rsidRDefault="00EB481C">
            <w:pPr>
              <w:pStyle w:val="P68B1DB1-Normal13"/>
              <w:spacing w:after="0" w:line="240" w:lineRule="auto"/>
              <w:rPr>
                <w:rFonts w:eastAsia="Times New Roman" w:cs="Times New Roman"/>
                <w:noProof/>
              </w:rPr>
            </w:pPr>
            <w:r>
              <w:rPr>
                <w:noProof/>
              </w:rPr>
              <w:t>Képzési tevékenységek az ÁFSZ-ek személyzete számára</w:t>
            </w:r>
          </w:p>
        </w:tc>
        <w:tc>
          <w:tcPr>
            <w:tcW w:w="1102" w:type="dxa"/>
            <w:shd w:val="clear" w:color="auto" w:fill="C6EFCE"/>
            <w:noWrap/>
          </w:tcPr>
          <w:p w14:paraId="2138AF60" w14:textId="77777777" w:rsidR="003E1D81" w:rsidRDefault="00EB481C">
            <w:pPr>
              <w:pStyle w:val="P68B1DB1-Normal13"/>
              <w:spacing w:after="0" w:line="240" w:lineRule="auto"/>
              <w:jc w:val="center"/>
              <w:rPr>
                <w:rFonts w:eastAsia="Times New Roman" w:cs="Times New Roman"/>
                <w:noProof/>
              </w:rPr>
            </w:pPr>
            <w:r>
              <w:rPr>
                <w:noProof/>
              </w:rPr>
              <w:t> </w:t>
            </w:r>
          </w:p>
        </w:tc>
        <w:tc>
          <w:tcPr>
            <w:tcW w:w="827" w:type="dxa"/>
            <w:shd w:val="clear" w:color="auto" w:fill="C6EFCE"/>
            <w:noWrap/>
          </w:tcPr>
          <w:p w14:paraId="16ACCCDF"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413" w:type="dxa"/>
            <w:shd w:val="clear" w:color="auto" w:fill="C6EFCE"/>
            <w:noWrap/>
          </w:tcPr>
          <w:p w14:paraId="7E3C3610" w14:textId="77777777" w:rsidR="003E1D81" w:rsidRDefault="00EB481C">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66F306B6" w14:textId="77777777" w:rsidR="003E1D81" w:rsidRDefault="00EB481C">
            <w:pPr>
              <w:pStyle w:val="P68B1DB1-Normal13"/>
              <w:spacing w:after="0" w:line="240" w:lineRule="auto"/>
              <w:jc w:val="center"/>
              <w:rPr>
                <w:rFonts w:eastAsia="Times New Roman" w:cs="Times New Roman"/>
                <w:noProof/>
              </w:rPr>
            </w:pPr>
            <w:r>
              <w:rPr>
                <w:noProof/>
              </w:rPr>
              <w:t>42 000</w:t>
            </w:r>
          </w:p>
        </w:tc>
        <w:tc>
          <w:tcPr>
            <w:tcW w:w="413" w:type="dxa"/>
            <w:shd w:val="clear" w:color="auto" w:fill="C6EFCE"/>
            <w:noWrap/>
          </w:tcPr>
          <w:p w14:paraId="14555A8C"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shd w:val="clear" w:color="auto" w:fill="C6EFCE"/>
            <w:noWrap/>
          </w:tcPr>
          <w:p w14:paraId="297F6BF3" w14:textId="77777777" w:rsidR="003E1D81" w:rsidRDefault="00EB481C">
            <w:pPr>
              <w:pStyle w:val="P68B1DB1-Normal13"/>
              <w:spacing w:after="0" w:line="240" w:lineRule="auto"/>
              <w:jc w:val="center"/>
              <w:rPr>
                <w:rFonts w:eastAsia="Times New Roman" w:cs="Times New Roman"/>
                <w:noProof/>
              </w:rPr>
            </w:pPr>
            <w:r>
              <w:rPr>
                <w:noProof/>
              </w:rPr>
              <w:t>2023</w:t>
            </w:r>
          </w:p>
        </w:tc>
        <w:tc>
          <w:tcPr>
            <w:tcW w:w="5901" w:type="dxa"/>
            <w:shd w:val="clear" w:color="auto" w:fill="C6EFCE"/>
            <w:noWrap/>
          </w:tcPr>
          <w:p w14:paraId="185D20DF" w14:textId="77777777" w:rsidR="003E1D81" w:rsidRDefault="00EB481C">
            <w:pPr>
              <w:pStyle w:val="P68B1DB1-Normal13"/>
              <w:spacing w:after="0" w:line="240" w:lineRule="auto"/>
              <w:rPr>
                <w:rFonts w:eastAsia="Times New Roman" w:cs="Times New Roman"/>
                <w:noProof/>
              </w:rPr>
            </w:pPr>
            <w:r>
              <w:rPr>
                <w:noProof/>
              </w:rPr>
              <w:t xml:space="preserve">Az ÁFSZ-ek személyzete számára </w:t>
            </w:r>
            <w:r>
              <w:rPr>
                <w:noProof/>
              </w:rPr>
              <w:t>legalább 42000 képzési intézkedést hajtottak végre készségeik fejlesztése és az álláskeresők hatékonyabb támogatása érdekében.</w:t>
            </w:r>
          </w:p>
        </w:tc>
      </w:tr>
      <w:tr w:rsidR="003E1D81" w14:paraId="66A83C43" w14:textId="77777777">
        <w:trPr>
          <w:trHeight w:val="309"/>
        </w:trPr>
        <w:tc>
          <w:tcPr>
            <w:tcW w:w="830" w:type="dxa"/>
            <w:shd w:val="clear" w:color="auto" w:fill="C6EFCE"/>
            <w:noWrap/>
          </w:tcPr>
          <w:p w14:paraId="1703DCB6" w14:textId="77777777" w:rsidR="003E1D81" w:rsidRDefault="00EB481C">
            <w:pPr>
              <w:pStyle w:val="P68B1DB1-Normal13"/>
              <w:spacing w:after="0" w:line="240" w:lineRule="auto"/>
              <w:jc w:val="center"/>
              <w:rPr>
                <w:rFonts w:eastAsia="Times New Roman" w:cs="Times New Roman"/>
                <w:noProof/>
              </w:rPr>
            </w:pPr>
            <w:r>
              <w:rPr>
                <w:noProof/>
              </w:rPr>
              <w:t>349</w:t>
            </w:r>
          </w:p>
        </w:tc>
        <w:tc>
          <w:tcPr>
            <w:tcW w:w="828" w:type="dxa"/>
            <w:shd w:val="clear" w:color="auto" w:fill="C6EFCE"/>
            <w:noWrap/>
          </w:tcPr>
          <w:p w14:paraId="0A36F51B" w14:textId="77777777" w:rsidR="003E1D81" w:rsidRDefault="00EB481C">
            <w:pPr>
              <w:pStyle w:val="P68B1DB1-Normal13"/>
              <w:spacing w:after="0" w:line="240" w:lineRule="auto"/>
              <w:jc w:val="center"/>
              <w:rPr>
                <w:rFonts w:eastAsia="Times New Roman" w:cs="Times New Roman"/>
                <w:noProof/>
              </w:rPr>
            </w:pPr>
            <w:r>
              <w:rPr>
                <w:noProof/>
              </w:rPr>
              <w:t>C23.I6</w:t>
            </w:r>
          </w:p>
        </w:tc>
        <w:tc>
          <w:tcPr>
            <w:tcW w:w="826" w:type="dxa"/>
            <w:shd w:val="clear" w:color="auto" w:fill="C6EFCE"/>
            <w:noWrap/>
          </w:tcPr>
          <w:p w14:paraId="7965CF1E" w14:textId="77777777" w:rsidR="003E1D81" w:rsidRDefault="00EB481C">
            <w:pPr>
              <w:pStyle w:val="P68B1DB1-Normal13"/>
              <w:spacing w:after="0" w:line="240" w:lineRule="auto"/>
              <w:jc w:val="center"/>
              <w:rPr>
                <w:rFonts w:eastAsia="Times New Roman" w:cs="Times New Roman"/>
                <w:noProof/>
              </w:rPr>
            </w:pPr>
            <w:r>
              <w:rPr>
                <w:noProof/>
              </w:rPr>
              <w:t>T</w:t>
            </w:r>
          </w:p>
        </w:tc>
        <w:tc>
          <w:tcPr>
            <w:tcW w:w="2613" w:type="dxa"/>
            <w:shd w:val="clear" w:color="auto" w:fill="C6EFCE"/>
            <w:noWrap/>
          </w:tcPr>
          <w:p w14:paraId="51C7A896" w14:textId="77777777" w:rsidR="003E1D81" w:rsidRDefault="00EB481C">
            <w:pPr>
              <w:pStyle w:val="P68B1DB1-Normal13"/>
              <w:spacing w:after="0" w:line="240" w:lineRule="auto"/>
              <w:rPr>
                <w:rFonts w:eastAsia="Times New Roman" w:cs="Times New Roman"/>
                <w:noProof/>
              </w:rPr>
            </w:pPr>
            <w:r>
              <w:rPr>
                <w:noProof/>
              </w:rPr>
              <w:t>Befejezett szociális gazdasági projektek</w:t>
            </w:r>
          </w:p>
        </w:tc>
        <w:tc>
          <w:tcPr>
            <w:tcW w:w="1102" w:type="dxa"/>
            <w:shd w:val="clear" w:color="auto" w:fill="C6EFCE"/>
            <w:noWrap/>
          </w:tcPr>
          <w:p w14:paraId="739B518A" w14:textId="77777777" w:rsidR="003E1D81" w:rsidRDefault="00EB481C">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28940D2D"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413" w:type="dxa"/>
            <w:shd w:val="clear" w:color="auto" w:fill="C6EFCE"/>
            <w:noWrap/>
          </w:tcPr>
          <w:p w14:paraId="52CA3C81" w14:textId="77777777" w:rsidR="003E1D81" w:rsidRDefault="00EB481C">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338013CE" w14:textId="77777777" w:rsidR="003E1D81" w:rsidRDefault="00EB481C">
            <w:pPr>
              <w:pStyle w:val="P68B1DB1-Normal13"/>
              <w:spacing w:after="0" w:line="240" w:lineRule="auto"/>
              <w:jc w:val="center"/>
              <w:rPr>
                <w:rFonts w:eastAsia="Times New Roman" w:cs="Times New Roman"/>
                <w:noProof/>
              </w:rPr>
            </w:pPr>
            <w:r>
              <w:rPr>
                <w:noProof/>
              </w:rPr>
              <w:t>30</w:t>
            </w:r>
          </w:p>
        </w:tc>
        <w:tc>
          <w:tcPr>
            <w:tcW w:w="413" w:type="dxa"/>
            <w:shd w:val="clear" w:color="auto" w:fill="C6EFCE"/>
            <w:noWrap/>
          </w:tcPr>
          <w:p w14:paraId="538491BD" w14:textId="126C3BD1" w:rsidR="003E1D81" w:rsidRDefault="00EB481C">
            <w:pPr>
              <w:pStyle w:val="P68B1DB1-Normal13"/>
              <w:spacing w:after="0" w:line="240" w:lineRule="auto"/>
              <w:jc w:val="center"/>
              <w:rPr>
                <w:rFonts w:eastAsia="Times New Roman" w:cs="Times New Roman"/>
                <w:noProof/>
              </w:rPr>
            </w:pPr>
            <w:r>
              <w:rPr>
                <w:noProof/>
              </w:rPr>
              <w:t>KÉRDÉS</w:t>
            </w:r>
          </w:p>
        </w:tc>
        <w:tc>
          <w:tcPr>
            <w:tcW w:w="551" w:type="dxa"/>
            <w:shd w:val="clear" w:color="auto" w:fill="C6EFCE"/>
            <w:noWrap/>
          </w:tcPr>
          <w:p w14:paraId="1FD7D994" w14:textId="5D3F7141" w:rsidR="003E1D81" w:rsidRDefault="00EB481C">
            <w:pPr>
              <w:pStyle w:val="P68B1DB1-Normal13"/>
              <w:spacing w:after="0" w:line="240" w:lineRule="auto"/>
              <w:jc w:val="center"/>
              <w:rPr>
                <w:rFonts w:eastAsia="Times New Roman" w:cs="Times New Roman"/>
                <w:noProof/>
              </w:rPr>
            </w:pPr>
            <w:r>
              <w:rPr>
                <w:noProof/>
              </w:rPr>
              <w:t>2025</w:t>
            </w:r>
          </w:p>
        </w:tc>
        <w:tc>
          <w:tcPr>
            <w:tcW w:w="5901" w:type="dxa"/>
            <w:shd w:val="clear" w:color="auto" w:fill="C6EFCE"/>
            <w:noWrap/>
          </w:tcPr>
          <w:p w14:paraId="36C2B50B" w14:textId="77777777" w:rsidR="003E1D81" w:rsidRDefault="00EB481C">
            <w:pPr>
              <w:pStyle w:val="P68B1DB1-Normal13"/>
              <w:spacing w:after="0" w:line="240" w:lineRule="auto"/>
              <w:rPr>
                <w:rFonts w:eastAsia="Times New Roman" w:cs="Times New Roman"/>
                <w:noProof/>
              </w:rPr>
            </w:pPr>
            <w:r>
              <w:rPr>
                <w:noProof/>
              </w:rPr>
              <w:t>Legalább 30 szociális gazdasági projekt zárult le,</w:t>
            </w:r>
            <w:r>
              <w:rPr>
                <w:noProof/>
              </w:rPr>
              <w:t xml:space="preserve"> amelyek az alábbiakat támogatják: életképes, nehéz helyzetben lévő vagy generációs megújulás nélkül működő vállalkozások foglalkoztatásának létrehozása és fenntartása a szociális gazdaság üzleti formájává (szövetkezetek és munkaügyi vállalatok) való átala</w:t>
            </w:r>
            <w:r>
              <w:rPr>
                <w:noProof/>
              </w:rPr>
              <w:t>kításuk révén, amelyeket férfi és női munkavállalók kezelnek; innovatív szociális gazdasági szervezetek létrehozása és megszilárdítása, ami hatással van a generációs megújulásra és a fiatalok vállalkozói készségére; a szociális gazdasági vállalkozások digi</w:t>
            </w:r>
            <w:r>
              <w:rPr>
                <w:noProof/>
              </w:rPr>
              <w:t>talizálása olyan digitális platformok létrehozása révén, amelyek célja a vidéki területeken élő polgárok jóllétének javítása; szövetkezetek, munkaügyi vállalatok és a szociális gazdaság egyéb formáinak hálózatba szervezése, valamint kapacitásépítési és kép</w:t>
            </w:r>
            <w:r>
              <w:rPr>
                <w:noProof/>
              </w:rPr>
              <w:t>zési intézkedések a társadalom számára új, átfogó szolgáltatások nyújtása érdekében; valamint e) a kiszolgáltatott helyzetben lévő vállalatok és csoportok fenntartható és inkluzív átállásának előmozdítása.</w:t>
            </w:r>
          </w:p>
        </w:tc>
      </w:tr>
      <w:tr w:rsidR="003E1D81" w14:paraId="1D68E393" w14:textId="77777777">
        <w:trPr>
          <w:trHeight w:val="309"/>
        </w:trPr>
        <w:tc>
          <w:tcPr>
            <w:tcW w:w="830" w:type="dxa"/>
            <w:shd w:val="clear" w:color="auto" w:fill="C6EFCE"/>
            <w:noWrap/>
          </w:tcPr>
          <w:p w14:paraId="5F1CCB4D" w14:textId="77777777" w:rsidR="003E1D81" w:rsidRDefault="00EB481C">
            <w:pPr>
              <w:pStyle w:val="P68B1DB1-Normal13"/>
              <w:spacing w:after="0" w:line="240" w:lineRule="auto"/>
              <w:jc w:val="center"/>
              <w:rPr>
                <w:rFonts w:eastAsia="Times New Roman" w:cs="Times New Roman"/>
                <w:noProof/>
              </w:rPr>
            </w:pPr>
            <w:r>
              <w:rPr>
                <w:noProof/>
              </w:rPr>
              <w:t>350</w:t>
            </w:r>
          </w:p>
        </w:tc>
        <w:tc>
          <w:tcPr>
            <w:tcW w:w="828" w:type="dxa"/>
            <w:shd w:val="clear" w:color="auto" w:fill="C6EFCE"/>
            <w:noWrap/>
          </w:tcPr>
          <w:p w14:paraId="6EB03790" w14:textId="77777777" w:rsidR="003E1D81" w:rsidRDefault="00EB481C">
            <w:pPr>
              <w:pStyle w:val="P68B1DB1-Normal13"/>
              <w:spacing w:after="0" w:line="240" w:lineRule="auto"/>
              <w:jc w:val="center"/>
              <w:rPr>
                <w:rFonts w:eastAsia="Times New Roman" w:cs="Times New Roman"/>
                <w:noProof/>
              </w:rPr>
            </w:pPr>
            <w:r>
              <w:rPr>
                <w:noProof/>
              </w:rPr>
              <w:t>C23.I7</w:t>
            </w:r>
          </w:p>
        </w:tc>
        <w:tc>
          <w:tcPr>
            <w:tcW w:w="826" w:type="dxa"/>
            <w:shd w:val="clear" w:color="auto" w:fill="C6EFCE"/>
            <w:noWrap/>
          </w:tcPr>
          <w:p w14:paraId="79509368" w14:textId="77777777" w:rsidR="003E1D81" w:rsidRDefault="00EB481C">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233405FA" w14:textId="77777777" w:rsidR="003E1D81" w:rsidRDefault="00EB481C">
            <w:pPr>
              <w:pStyle w:val="P68B1DB1-Normal13"/>
              <w:spacing w:after="0" w:line="240" w:lineRule="auto"/>
              <w:rPr>
                <w:rFonts w:eastAsia="Times New Roman" w:cs="Times New Roman"/>
                <w:noProof/>
              </w:rPr>
            </w:pPr>
            <w:r>
              <w:rPr>
                <w:noProof/>
              </w:rPr>
              <w:t xml:space="preserve">A minimális életjövedelem (IMV) </w:t>
            </w:r>
            <w:r>
              <w:rPr>
                <w:noProof/>
              </w:rPr>
              <w:t>felhasználási arányának javítása és hatékonyságának növelése befogadási politikák révén</w:t>
            </w:r>
          </w:p>
        </w:tc>
        <w:tc>
          <w:tcPr>
            <w:tcW w:w="1102" w:type="dxa"/>
            <w:shd w:val="clear" w:color="auto" w:fill="C6EFCE"/>
            <w:noWrap/>
          </w:tcPr>
          <w:p w14:paraId="1DD611C7" w14:textId="77777777" w:rsidR="003E1D81" w:rsidRDefault="00EB481C">
            <w:pPr>
              <w:pStyle w:val="P68B1DB1-Normal13"/>
              <w:spacing w:after="0" w:line="240" w:lineRule="auto"/>
              <w:jc w:val="center"/>
              <w:rPr>
                <w:rFonts w:eastAsia="Times New Roman" w:cs="Times New Roman"/>
                <w:noProof/>
              </w:rPr>
            </w:pPr>
            <w:r>
              <w:rPr>
                <w:noProof/>
              </w:rPr>
              <w:t>A társasági szerződés közzététele („</w:t>
            </w:r>
            <w:r>
              <w:rPr>
                <w:i/>
                <w:noProof/>
              </w:rPr>
              <w:t>Convenio”</w:t>
            </w:r>
            <w:r>
              <w:rPr>
                <w:noProof/>
              </w:rPr>
              <w:t>)</w:t>
            </w:r>
          </w:p>
        </w:tc>
        <w:tc>
          <w:tcPr>
            <w:tcW w:w="827" w:type="dxa"/>
            <w:shd w:val="clear" w:color="auto" w:fill="C6EFCE"/>
            <w:noWrap/>
          </w:tcPr>
          <w:p w14:paraId="3874BD7C"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71960EBE"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689" w:type="dxa"/>
            <w:shd w:val="clear" w:color="auto" w:fill="C6EFCE"/>
            <w:noWrap/>
          </w:tcPr>
          <w:p w14:paraId="24C080EB"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081E6E72"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1" w:type="dxa"/>
            <w:shd w:val="clear" w:color="auto" w:fill="C6EFCE"/>
            <w:noWrap/>
          </w:tcPr>
          <w:p w14:paraId="127FD24D" w14:textId="77777777" w:rsidR="003E1D81" w:rsidRDefault="00EB481C">
            <w:pPr>
              <w:pStyle w:val="P68B1DB1-Normal13"/>
              <w:spacing w:after="0" w:line="240" w:lineRule="auto"/>
              <w:jc w:val="center"/>
              <w:rPr>
                <w:rFonts w:eastAsia="Times New Roman" w:cs="Times New Roman"/>
                <w:noProof/>
              </w:rPr>
            </w:pPr>
            <w:r>
              <w:rPr>
                <w:noProof/>
              </w:rPr>
              <w:t>2022</w:t>
            </w:r>
          </w:p>
        </w:tc>
        <w:tc>
          <w:tcPr>
            <w:tcW w:w="5901" w:type="dxa"/>
            <w:shd w:val="clear" w:color="auto" w:fill="C6EFCE"/>
            <w:noWrap/>
          </w:tcPr>
          <w:p w14:paraId="4CB38101" w14:textId="77777777" w:rsidR="003E1D81" w:rsidRDefault="00EB481C">
            <w:pPr>
              <w:pStyle w:val="P68B1DB1-Normal13"/>
              <w:spacing w:after="0" w:line="240" w:lineRule="auto"/>
              <w:rPr>
                <w:rFonts w:eastAsia="Times New Roman" w:cs="Times New Roman"/>
                <w:noProof/>
              </w:rPr>
            </w:pPr>
            <w:r>
              <w:rPr>
                <w:noProof/>
              </w:rPr>
              <w:t>Az IMV-kedvezményezettek társadalmi-gazdasági befogadásának támogatása a következő módokon keresztül:</w:t>
            </w:r>
            <w:r>
              <w:rPr>
                <w:noProof/>
              </w:rPr>
              <w:t xml:space="preserve"> nyolc partnerségi megállapodást írtak alá szubnacionális közigazgatási szervekkel, szociális partnerekkel és harmadik szektorbeli szociális akciószervezetekkel az útvonalak megvalósítása érdekében. E partnerségi megállapodások céljai a következők: az IMV </w:t>
            </w:r>
            <w:r>
              <w:rPr>
                <w:noProof/>
              </w:rPr>
              <w:t>felhasználási arányának javítása; az IMV hatékonyságának növelése befogadási politikák révén.</w:t>
            </w:r>
          </w:p>
        </w:tc>
      </w:tr>
      <w:tr w:rsidR="003E1D81" w14:paraId="0967AC53" w14:textId="77777777">
        <w:trPr>
          <w:trHeight w:val="309"/>
        </w:trPr>
        <w:tc>
          <w:tcPr>
            <w:tcW w:w="830" w:type="dxa"/>
            <w:shd w:val="clear" w:color="auto" w:fill="C6EFCE"/>
            <w:noWrap/>
          </w:tcPr>
          <w:p w14:paraId="5BEF3A92" w14:textId="77777777" w:rsidR="003E1D81" w:rsidRDefault="00EB481C">
            <w:pPr>
              <w:pStyle w:val="P68B1DB1-Normal13"/>
              <w:spacing w:after="0" w:line="240" w:lineRule="auto"/>
              <w:jc w:val="center"/>
              <w:rPr>
                <w:rFonts w:cs="Times New Roman"/>
                <w:noProof/>
              </w:rPr>
            </w:pPr>
            <w:r>
              <w:rPr>
                <w:noProof/>
              </w:rPr>
              <w:t>351</w:t>
            </w:r>
          </w:p>
        </w:tc>
        <w:tc>
          <w:tcPr>
            <w:tcW w:w="828" w:type="dxa"/>
            <w:shd w:val="clear" w:color="auto" w:fill="C6EFCE"/>
            <w:noWrap/>
          </w:tcPr>
          <w:p w14:paraId="03A6C76A" w14:textId="77777777" w:rsidR="003E1D81" w:rsidRDefault="00EB481C">
            <w:pPr>
              <w:pStyle w:val="P68B1DB1-Normal13"/>
              <w:spacing w:after="0" w:line="240" w:lineRule="auto"/>
              <w:jc w:val="center"/>
              <w:rPr>
                <w:rFonts w:cs="Times New Roman"/>
                <w:noProof/>
              </w:rPr>
            </w:pPr>
            <w:r>
              <w:rPr>
                <w:noProof/>
              </w:rPr>
              <w:t>C23.I7</w:t>
            </w:r>
          </w:p>
        </w:tc>
        <w:tc>
          <w:tcPr>
            <w:tcW w:w="826" w:type="dxa"/>
            <w:shd w:val="clear" w:color="auto" w:fill="C6EFCE"/>
            <w:noWrap/>
          </w:tcPr>
          <w:p w14:paraId="303CCEDA" w14:textId="77777777" w:rsidR="003E1D81" w:rsidRDefault="00EB481C">
            <w:pPr>
              <w:pStyle w:val="P68B1DB1-Normal13"/>
              <w:spacing w:after="0" w:line="240" w:lineRule="auto"/>
              <w:jc w:val="center"/>
              <w:rPr>
                <w:rFonts w:cs="Times New Roman"/>
                <w:noProof/>
              </w:rPr>
            </w:pPr>
            <w:r>
              <w:rPr>
                <w:noProof/>
              </w:rPr>
              <w:t>M</w:t>
            </w:r>
          </w:p>
        </w:tc>
        <w:tc>
          <w:tcPr>
            <w:tcW w:w="2613" w:type="dxa"/>
            <w:shd w:val="clear" w:color="auto" w:fill="C6EFCE"/>
            <w:noWrap/>
          </w:tcPr>
          <w:p w14:paraId="27D85484" w14:textId="77777777" w:rsidR="003E1D81" w:rsidRDefault="00EB481C">
            <w:pPr>
              <w:pStyle w:val="P68B1DB1-Normal13"/>
              <w:spacing w:after="0" w:line="240" w:lineRule="auto"/>
              <w:rPr>
                <w:rFonts w:cs="Times New Roman"/>
                <w:noProof/>
              </w:rPr>
            </w:pPr>
            <w:r>
              <w:rPr>
                <w:noProof/>
              </w:rPr>
              <w:t>A minimáljövedelem-rendszerek hatókörének, hatékonyságának és sikerének értékelésére irányuló értékelés</w:t>
            </w:r>
          </w:p>
        </w:tc>
        <w:tc>
          <w:tcPr>
            <w:tcW w:w="1102" w:type="dxa"/>
            <w:shd w:val="clear" w:color="auto" w:fill="C6EFCE"/>
            <w:noWrap/>
          </w:tcPr>
          <w:p w14:paraId="312F2532" w14:textId="77777777" w:rsidR="003E1D81" w:rsidRDefault="00EB481C">
            <w:pPr>
              <w:pStyle w:val="P68B1DB1-Normal13"/>
              <w:spacing w:after="0" w:line="240" w:lineRule="auto"/>
              <w:jc w:val="center"/>
              <w:rPr>
                <w:rFonts w:cs="Times New Roman"/>
                <w:noProof/>
              </w:rPr>
            </w:pPr>
            <w:r>
              <w:rPr>
                <w:noProof/>
              </w:rPr>
              <w:t>Az értékelés közzététele</w:t>
            </w:r>
          </w:p>
        </w:tc>
        <w:tc>
          <w:tcPr>
            <w:tcW w:w="827" w:type="dxa"/>
            <w:shd w:val="clear" w:color="auto" w:fill="C6EFCE"/>
            <w:noWrap/>
          </w:tcPr>
          <w:p w14:paraId="78B2AF73" w14:textId="77777777" w:rsidR="003E1D81" w:rsidRDefault="00EB481C">
            <w:pPr>
              <w:pStyle w:val="P68B1DB1-Normal13"/>
              <w:spacing w:after="0" w:line="240" w:lineRule="auto"/>
              <w:jc w:val="center"/>
              <w:rPr>
                <w:rFonts w:cs="Times New Roman"/>
                <w:noProof/>
              </w:rPr>
            </w:pPr>
            <w:r>
              <w:rPr>
                <w:noProof/>
              </w:rPr>
              <w:t xml:space="preserve"> </w:t>
            </w:r>
          </w:p>
        </w:tc>
        <w:tc>
          <w:tcPr>
            <w:tcW w:w="413" w:type="dxa"/>
            <w:shd w:val="clear" w:color="auto" w:fill="C6EFCE"/>
            <w:noWrap/>
          </w:tcPr>
          <w:p w14:paraId="7A01C922" w14:textId="77777777" w:rsidR="003E1D81" w:rsidRDefault="00EB481C">
            <w:pPr>
              <w:pStyle w:val="P68B1DB1-Normal13"/>
              <w:spacing w:after="0" w:line="240" w:lineRule="auto"/>
              <w:jc w:val="right"/>
              <w:rPr>
                <w:rFonts w:cs="Times New Roman"/>
                <w:noProof/>
              </w:rPr>
            </w:pPr>
            <w:r>
              <w:rPr>
                <w:noProof/>
              </w:rPr>
              <w:t xml:space="preserve"> </w:t>
            </w:r>
          </w:p>
        </w:tc>
        <w:tc>
          <w:tcPr>
            <w:tcW w:w="689" w:type="dxa"/>
            <w:shd w:val="clear" w:color="auto" w:fill="C6EFCE"/>
            <w:noWrap/>
          </w:tcPr>
          <w:p w14:paraId="318E0F05" w14:textId="77777777" w:rsidR="003E1D81" w:rsidRDefault="00EB481C">
            <w:pPr>
              <w:pStyle w:val="P68B1DB1-Normal13"/>
              <w:spacing w:after="0" w:line="240" w:lineRule="auto"/>
              <w:jc w:val="right"/>
              <w:rPr>
                <w:rFonts w:cs="Times New Roman"/>
                <w:noProof/>
              </w:rPr>
            </w:pPr>
            <w:r>
              <w:rPr>
                <w:noProof/>
              </w:rPr>
              <w:t> </w:t>
            </w:r>
          </w:p>
        </w:tc>
        <w:tc>
          <w:tcPr>
            <w:tcW w:w="413" w:type="dxa"/>
            <w:shd w:val="clear" w:color="auto" w:fill="C6EFCE"/>
            <w:noWrap/>
          </w:tcPr>
          <w:p w14:paraId="31E2FB6C" w14:textId="77777777" w:rsidR="003E1D81" w:rsidRDefault="00EB481C">
            <w:pPr>
              <w:pStyle w:val="P68B1DB1-Normal13"/>
              <w:spacing w:after="0" w:line="240" w:lineRule="auto"/>
              <w:jc w:val="center"/>
              <w:rPr>
                <w:rFonts w:cs="Times New Roman"/>
                <w:noProof/>
              </w:rPr>
            </w:pPr>
            <w:r>
              <w:rPr>
                <w:noProof/>
              </w:rPr>
              <w:t>NEGYEDÉV</w:t>
            </w:r>
          </w:p>
        </w:tc>
        <w:tc>
          <w:tcPr>
            <w:tcW w:w="551" w:type="dxa"/>
            <w:shd w:val="clear" w:color="auto" w:fill="C6EFCE"/>
            <w:noWrap/>
          </w:tcPr>
          <w:p w14:paraId="6BD43872" w14:textId="77777777" w:rsidR="003E1D81" w:rsidRDefault="00EB481C">
            <w:pPr>
              <w:pStyle w:val="P68B1DB1-Normal13"/>
              <w:spacing w:after="0" w:line="240" w:lineRule="auto"/>
              <w:jc w:val="center"/>
              <w:rPr>
                <w:rFonts w:cs="Times New Roman"/>
                <w:noProof/>
              </w:rPr>
            </w:pPr>
            <w:r>
              <w:rPr>
                <w:noProof/>
              </w:rPr>
              <w:t>2024</w:t>
            </w:r>
          </w:p>
        </w:tc>
        <w:tc>
          <w:tcPr>
            <w:tcW w:w="5901" w:type="dxa"/>
            <w:shd w:val="clear" w:color="auto" w:fill="C6EFCE"/>
            <w:noWrap/>
          </w:tcPr>
          <w:p w14:paraId="478661ED" w14:textId="77777777" w:rsidR="003E1D81" w:rsidRDefault="00EB481C">
            <w:pPr>
              <w:pStyle w:val="P68B1DB1-Normal13"/>
              <w:spacing w:after="0" w:line="240" w:lineRule="auto"/>
              <w:rPr>
                <w:rFonts w:cs="Times New Roman"/>
                <w:noProof/>
              </w:rPr>
            </w:pPr>
            <w:r>
              <w:rPr>
                <w:noProof/>
              </w:rPr>
              <w:t>Legalább 18 kísérleti projekt befejezését követően a minimumjövedelem-rendszerek hatókörét, hatékonyságát és sikerét értékelő értékelés közzététele, amely konkrét ajánlásokat tartalmaz az igénybevételi arány növelésére és a társadalmi befogadást célzó pol</w:t>
            </w:r>
            <w:r>
              <w:rPr>
                <w:noProof/>
              </w:rPr>
              <w:t>itikák hatékonyságának javítására.</w:t>
            </w:r>
          </w:p>
        </w:tc>
      </w:tr>
    </w:tbl>
    <w:p w14:paraId="694A9CDB" w14:textId="77777777" w:rsidR="003E1D81" w:rsidRDefault="003E1D81">
      <w:pPr>
        <w:spacing w:before="120" w:after="120" w:line="240" w:lineRule="auto"/>
        <w:ind w:left="709"/>
        <w:jc w:val="both"/>
        <w:rPr>
          <w:rFonts w:ascii="Times New Roman" w:hAnsi="Times New Roman" w:cs="Times New Roman"/>
          <w:noProof/>
          <w:sz w:val="24"/>
        </w:rPr>
        <w:sectPr w:rsidR="003E1D81" w:rsidSect="00C94F66">
          <w:headerReference w:type="even" r:id="rId453"/>
          <w:headerReference w:type="default" r:id="rId454"/>
          <w:footerReference w:type="even" r:id="rId455"/>
          <w:footerReference w:type="default" r:id="rId456"/>
          <w:headerReference w:type="first" r:id="rId457"/>
          <w:footerReference w:type="first" r:id="rId458"/>
          <w:pgSz w:w="16839" w:h="11907" w:orient="landscape"/>
          <w:pgMar w:top="1417" w:right="1134" w:bottom="1417" w:left="1134" w:header="709" w:footer="709" w:gutter="0"/>
          <w:cols w:space="720"/>
          <w:docGrid w:linePitch="360"/>
        </w:sectPr>
      </w:pPr>
    </w:p>
    <w:p w14:paraId="6E7059F1" w14:textId="77777777" w:rsidR="003E1D81" w:rsidRDefault="00EB481C">
      <w:pPr>
        <w:pStyle w:val="P68B1DB1-Heading12"/>
        <w:rPr>
          <w:rFonts w:cs="Times New Roman"/>
          <w:noProof/>
        </w:rPr>
      </w:pPr>
      <w:r>
        <w:rPr>
          <w:noProof/>
        </w:rPr>
        <w:t>X. 24. ÖSSZETEVŐ: Kulturális ipar</w:t>
      </w:r>
    </w:p>
    <w:p w14:paraId="67377154" w14:textId="77777777" w:rsidR="003E1D81" w:rsidRDefault="00EB481C">
      <w:pPr>
        <w:pStyle w:val="P68B1DB1-Normal4"/>
        <w:spacing w:before="120" w:after="120" w:line="240" w:lineRule="auto"/>
        <w:jc w:val="both"/>
        <w:rPr>
          <w:rFonts w:cs="Times New Roman"/>
          <w:noProof/>
        </w:rPr>
      </w:pPr>
      <w:r>
        <w:rPr>
          <w:noProof/>
        </w:rPr>
        <w:t>A kulturális ágazat fontos szerepet játszik a spanyol gazdaságban: a Covid19-világjárvány előtt az ország GDP-jének 3,2%-át, valamint az ország teljes foglalkoztatásának 3,6%-át teszi ki. Emellett nélkülözhetetlen értéket képvisel a társadalom számára, ami</w:t>
      </w:r>
      <w:r>
        <w:rPr>
          <w:noProof/>
        </w:rPr>
        <w:t>nt azt a spanyol lakosságnak a világjárvány előtti magas szintű kulturális részvétele is mutatja. Az iparág azonban számos olyan strukturális jellemzővel küzd, amelyek megakadályozták abban, hogy teljes mértékben kiaknázza a benne rejlő lehetőségeket, és v</w:t>
      </w:r>
      <w:r>
        <w:rPr>
          <w:noProof/>
        </w:rPr>
        <w:t xml:space="preserve">álság idején különösen kiszolgáltatottá tette.  </w:t>
      </w:r>
    </w:p>
    <w:p w14:paraId="55038A3E" w14:textId="77777777" w:rsidR="003E1D81" w:rsidRDefault="00EB481C">
      <w:pPr>
        <w:pStyle w:val="P68B1DB1-Normal4"/>
        <w:spacing w:before="120" w:after="120" w:line="240" w:lineRule="auto"/>
        <w:jc w:val="both"/>
        <w:rPr>
          <w:rFonts w:cs="Times New Roman"/>
          <w:noProof/>
        </w:rPr>
      </w:pPr>
      <w:r>
        <w:rPr>
          <w:noProof/>
        </w:rPr>
        <w:t>Ennek fényében a spanyol helyreállítási és rezilienciaépítési terv 24. eleme olyan reformokat és beruházásokat tartalmaz, amelyek célja a művészek munkakeretének reformja, valamint a kulturális vállalkozások</w:t>
      </w:r>
      <w:r>
        <w:rPr>
          <w:noProof/>
        </w:rPr>
        <w:t xml:space="preserve"> szerkezetének megerősítése és korszerűsítése. </w:t>
      </w:r>
    </w:p>
    <w:p w14:paraId="03DB477E" w14:textId="77777777" w:rsidR="003E1D81" w:rsidRDefault="00EB481C">
      <w:pPr>
        <w:pStyle w:val="P68B1DB1-Normal4"/>
        <w:spacing w:before="120" w:after="120" w:line="240" w:lineRule="auto"/>
        <w:jc w:val="both"/>
        <w:rPr>
          <w:rFonts w:cs="Times New Roman"/>
          <w:noProof/>
        </w:rPr>
      </w:pPr>
      <w:r>
        <w:rPr>
          <w:noProof/>
        </w:rPr>
        <w:t>A komponens a gazdaság fenntartását és a Covid19-világjárványt követő helyreállítás támogatását célzó beruházások előmozdításáról (2020. évi 1. országspecifikus ajánlás), valamint a foglalkoztatás támogatásár</w:t>
      </w:r>
      <w:r>
        <w:rPr>
          <w:noProof/>
        </w:rPr>
        <w:t xml:space="preserve">ól, a munkanélküliség védelmének megerősítéséről és a digitális tanuláshoz való hozzáférés javításáról (2020. évi 2. országspecifikus ajánlás) szóló országspecifikus ajánlásokkal foglalkozik. </w:t>
      </w:r>
    </w:p>
    <w:p w14:paraId="0E524D85" w14:textId="77777777" w:rsidR="003E1D81" w:rsidRDefault="00EB481C">
      <w:pPr>
        <w:pStyle w:val="P68B1DB1-Normal4"/>
        <w:spacing w:before="120" w:after="120" w:line="240" w:lineRule="auto"/>
        <w:jc w:val="both"/>
        <w:rPr>
          <w:rFonts w:cs="Times New Roman"/>
          <w:noProof/>
        </w:rPr>
      </w:pPr>
      <w:r>
        <w:rPr>
          <w:noProof/>
        </w:rPr>
        <w:t>A jelentős károkozás elkerülését célzó elvről szóló technikai i</w:t>
      </w:r>
      <w:r>
        <w:rPr>
          <w:noProof/>
        </w:rPr>
        <w:t>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w:t>
      </w:r>
      <w:r>
        <w:rPr>
          <w:noProof/>
        </w:rPr>
        <w:t>etlen intézkedés sem sérti jelentős mértékben az (EU) 2020/852 rendelet 17. cikke szerinti környezeti célkitűzéseket.</w:t>
      </w:r>
    </w:p>
    <w:p w14:paraId="0674A942" w14:textId="77777777" w:rsidR="003E1D81" w:rsidRDefault="00EB481C">
      <w:pPr>
        <w:pStyle w:val="P68B1DB1-Normal5"/>
        <w:spacing w:before="120" w:after="120" w:line="240" w:lineRule="auto"/>
        <w:ind w:left="720"/>
        <w:jc w:val="both"/>
        <w:rPr>
          <w:rFonts w:cs="Times New Roman"/>
          <w:i/>
          <w:noProof/>
        </w:rPr>
      </w:pPr>
      <w:r>
        <w:rPr>
          <w:noProof/>
        </w:rPr>
        <w:t xml:space="preserve">X.1. </w:t>
      </w:r>
      <w:r>
        <w:rPr>
          <w:noProof/>
        </w:rPr>
        <w:tab/>
        <w:t>Vissza nem térítendő pénzügyi támogatás – a reformok és beruházások ismertetése</w:t>
      </w:r>
    </w:p>
    <w:p w14:paraId="448DF675" w14:textId="77777777" w:rsidR="003E1D81" w:rsidRDefault="00EB481C">
      <w:pPr>
        <w:pStyle w:val="P68B1DB1-Normal6"/>
        <w:spacing w:before="120" w:after="120" w:line="240" w:lineRule="auto"/>
        <w:jc w:val="both"/>
        <w:rPr>
          <w:rFonts w:cs="Times New Roman"/>
          <w:noProof/>
        </w:rPr>
      </w:pPr>
      <w:r>
        <w:rPr>
          <w:noProof/>
        </w:rPr>
        <w:t xml:space="preserve">Reform (C24.R1) – A művész státuszának fejlesztése, </w:t>
      </w:r>
      <w:r>
        <w:rPr>
          <w:noProof/>
        </w:rPr>
        <w:t>valamint a beruházások, a kulturális szponzorálás és a részvétel előmozdítása</w:t>
      </w:r>
    </w:p>
    <w:p w14:paraId="1534CA29" w14:textId="77777777" w:rsidR="003E1D81" w:rsidRDefault="00EB481C">
      <w:pPr>
        <w:pStyle w:val="P68B1DB1-Normal4"/>
        <w:spacing w:before="120" w:after="120" w:line="240" w:lineRule="auto"/>
        <w:jc w:val="both"/>
        <w:rPr>
          <w:rFonts w:cs="Times New Roman"/>
          <w:noProof/>
        </w:rPr>
      </w:pPr>
      <w:r>
        <w:rPr>
          <w:noProof/>
        </w:rPr>
        <w:t xml:space="preserve">E reform célja azon kihívás kezelése, amely abból ered, hogy a hatályos munkaügyi és adószabályok nem veszik figyelembe a kulturális ágazat sajátosságait (például a szabálytalan </w:t>
      </w:r>
      <w:r>
        <w:rPr>
          <w:noProof/>
        </w:rPr>
        <w:t xml:space="preserve">jövedelem- és munkaritmust), valamint annak szükségességét, hogy az állami támogatáson túl magánfinanszírozást is vonzzanak. </w:t>
      </w:r>
    </w:p>
    <w:p w14:paraId="253C50B3" w14:textId="77777777" w:rsidR="003E1D81" w:rsidRDefault="00EB481C">
      <w:pPr>
        <w:pStyle w:val="P68B1DB1-Normal4"/>
        <w:spacing w:before="120" w:after="120" w:line="240" w:lineRule="auto"/>
        <w:jc w:val="both"/>
        <w:rPr>
          <w:rFonts w:cs="Times New Roman"/>
          <w:noProof/>
        </w:rPr>
      </w:pPr>
      <w:r>
        <w:rPr>
          <w:noProof/>
        </w:rPr>
        <w:t>A reformnak megfelelő jogi, költségvetési és munkaügyi keretet kell kidolgoznia a kulturális ágazat számára az ágazat különböző sz</w:t>
      </w:r>
      <w:r>
        <w:rPr>
          <w:noProof/>
        </w:rPr>
        <w:t xml:space="preserve">ereplői szociális védelmének javítása, valamint a magánberuházások vonzerejének növelése érdekében. </w:t>
      </w:r>
    </w:p>
    <w:p w14:paraId="15F0B9A6" w14:textId="77777777" w:rsidR="003E1D81" w:rsidRDefault="00EB481C">
      <w:pPr>
        <w:pStyle w:val="P68B1DB1-Normal4"/>
        <w:spacing w:before="120" w:after="120" w:line="240" w:lineRule="auto"/>
        <w:jc w:val="both"/>
        <w:rPr>
          <w:rFonts w:cs="Times New Roman"/>
          <w:noProof/>
        </w:rPr>
      </w:pPr>
      <w:r>
        <w:rPr>
          <w:noProof/>
        </w:rPr>
        <w:t>Ez a reform jóváhagyja a művész alapszabályának végrehajtására vonatkozó szabályozási változtatásokat, beleértve a következő szempontokra vonatkozó szabály</w:t>
      </w:r>
      <w:r>
        <w:rPr>
          <w:noProof/>
        </w:rPr>
        <w:t xml:space="preserve">ozási változtatásokat is:  </w:t>
      </w:r>
    </w:p>
    <w:p w14:paraId="4F0EC7E1" w14:textId="77777777" w:rsidR="003E1D81" w:rsidRDefault="00EB481C">
      <w:pPr>
        <w:pStyle w:val="P68B1DB1-Normal4"/>
        <w:numPr>
          <w:ilvl w:val="0"/>
          <w:numId w:val="155"/>
        </w:numPr>
        <w:spacing w:before="120" w:after="120" w:line="240" w:lineRule="auto"/>
        <w:ind w:left="426" w:hanging="426"/>
        <w:jc w:val="both"/>
        <w:rPr>
          <w:rFonts w:cs="Times New Roman"/>
          <w:noProof/>
        </w:rPr>
      </w:pPr>
      <w:r>
        <w:rPr>
          <w:noProof/>
        </w:rPr>
        <w:t>a héa és a személyi jövedelemadó megfelelősége;</w:t>
      </w:r>
    </w:p>
    <w:p w14:paraId="0516F3E2" w14:textId="77777777" w:rsidR="003E1D81" w:rsidRDefault="00EB481C">
      <w:pPr>
        <w:pStyle w:val="P68B1DB1-Normal4"/>
        <w:numPr>
          <w:ilvl w:val="0"/>
          <w:numId w:val="155"/>
        </w:numPr>
        <w:spacing w:before="120" w:after="120" w:line="240" w:lineRule="auto"/>
        <w:ind w:left="426" w:hanging="426"/>
        <w:jc w:val="both"/>
        <w:rPr>
          <w:rFonts w:cs="Times New Roman"/>
          <w:noProof/>
        </w:rPr>
      </w:pPr>
      <w:r>
        <w:rPr>
          <w:noProof/>
        </w:rPr>
        <w:t xml:space="preserve">szakszervezeti reprezentativitás; </w:t>
      </w:r>
    </w:p>
    <w:p w14:paraId="5C96E337" w14:textId="77777777" w:rsidR="003E1D81" w:rsidRDefault="00EB481C">
      <w:pPr>
        <w:pStyle w:val="P68B1DB1-Normal4"/>
        <w:numPr>
          <w:ilvl w:val="0"/>
          <w:numId w:val="155"/>
        </w:numPr>
        <w:spacing w:before="120" w:after="120" w:line="240" w:lineRule="auto"/>
        <w:ind w:left="426" w:hanging="426"/>
        <w:jc w:val="both"/>
        <w:rPr>
          <w:rFonts w:cs="Times New Roman"/>
          <w:noProof/>
        </w:rPr>
      </w:pPr>
      <w:r>
        <w:rPr>
          <w:noProof/>
        </w:rPr>
        <w:t xml:space="preserve">a művészek egészsége és különleges munkaviszonya a közéletben; </w:t>
      </w:r>
    </w:p>
    <w:p w14:paraId="2397A513" w14:textId="77777777" w:rsidR="003E1D81" w:rsidRDefault="00EB481C">
      <w:pPr>
        <w:pStyle w:val="P68B1DB1-Normal4"/>
        <w:numPr>
          <w:ilvl w:val="0"/>
          <w:numId w:val="155"/>
        </w:numPr>
        <w:spacing w:before="120" w:after="120" w:line="240" w:lineRule="auto"/>
        <w:ind w:left="426" w:hanging="426"/>
        <w:jc w:val="both"/>
        <w:rPr>
          <w:rFonts w:cs="Times New Roman"/>
          <w:noProof/>
        </w:rPr>
      </w:pPr>
      <w:r>
        <w:rPr>
          <w:noProof/>
        </w:rPr>
        <w:t xml:space="preserve">a szponzorálás szabályozása; </w:t>
      </w:r>
    </w:p>
    <w:p w14:paraId="0BA4998E" w14:textId="77777777" w:rsidR="003E1D81" w:rsidRDefault="00EB481C">
      <w:pPr>
        <w:pStyle w:val="P68B1DB1-Normal4"/>
        <w:numPr>
          <w:ilvl w:val="0"/>
          <w:numId w:val="155"/>
        </w:numPr>
        <w:spacing w:before="120" w:after="120" w:line="240" w:lineRule="auto"/>
        <w:ind w:left="426" w:hanging="426"/>
        <w:jc w:val="both"/>
        <w:rPr>
          <w:rFonts w:cs="Times New Roman"/>
          <w:noProof/>
        </w:rPr>
      </w:pPr>
      <w:r>
        <w:rPr>
          <w:noProof/>
        </w:rPr>
        <w:t xml:space="preserve">az adókedvezmények rendszere. </w:t>
      </w:r>
    </w:p>
    <w:p w14:paraId="44A39349" w14:textId="77777777" w:rsidR="003E1D81" w:rsidRDefault="00EB481C">
      <w:pPr>
        <w:pStyle w:val="P68B1DB1-Normal4"/>
        <w:spacing w:before="60" w:after="60" w:line="240" w:lineRule="auto"/>
        <w:jc w:val="both"/>
        <w:rPr>
          <w:rFonts w:cs="Times New Roman"/>
          <w:noProof/>
        </w:rPr>
      </w:pPr>
      <w:r>
        <w:rPr>
          <w:noProof/>
        </w:rPr>
        <w:t>Ezeket a változtatásokat a Művész alapszabályával foglalkozó tárcaközi bizottság létrehozásával és a jogalkotási javaslatok 2021-ben történő kidolgozásával kell végrehajtani, a jogi eszköz 2022. december 31-ig történő hatálybalépésével. A kulturális ágazat</w:t>
      </w:r>
      <w:r>
        <w:rPr>
          <w:noProof/>
        </w:rPr>
        <w:t>ba történő magánberuházásokat ösztönző intézkedéseket a 2021–2023-as időszakban is végre kell hajtani.</w:t>
      </w:r>
    </w:p>
    <w:p w14:paraId="525621EC" w14:textId="77777777" w:rsidR="003E1D81" w:rsidRDefault="00EB481C">
      <w:pPr>
        <w:pStyle w:val="P68B1DB1-Normal4"/>
        <w:spacing w:before="120" w:after="120" w:line="240" w:lineRule="auto"/>
        <w:jc w:val="both"/>
        <w:rPr>
          <w:rFonts w:cs="Times New Roman"/>
          <w:noProof/>
        </w:rPr>
      </w:pPr>
      <w:r>
        <w:rPr>
          <w:noProof/>
        </w:rPr>
        <w:t xml:space="preserve">Az intézkedés végrehajtását 2022. december 31-ig be kell fejezni. </w:t>
      </w:r>
    </w:p>
    <w:p w14:paraId="4D6042BC" w14:textId="77777777" w:rsidR="003E1D81" w:rsidRDefault="003E1D81">
      <w:pPr>
        <w:spacing w:before="60" w:after="60" w:line="240" w:lineRule="auto"/>
        <w:jc w:val="both"/>
        <w:rPr>
          <w:rFonts w:ascii="Times New Roman" w:hAnsi="Times New Roman" w:cs="Times New Roman"/>
          <w:noProof/>
          <w:sz w:val="24"/>
        </w:rPr>
      </w:pPr>
    </w:p>
    <w:p w14:paraId="00ED04A3" w14:textId="77777777" w:rsidR="003E1D81" w:rsidRDefault="00EB481C">
      <w:pPr>
        <w:pStyle w:val="P68B1DB1-Normal6"/>
        <w:keepNext/>
        <w:spacing w:before="120" w:after="120" w:line="240" w:lineRule="auto"/>
        <w:jc w:val="both"/>
        <w:rPr>
          <w:rFonts w:cs="Times New Roman"/>
          <w:noProof/>
        </w:rPr>
      </w:pPr>
      <w:r>
        <w:rPr>
          <w:noProof/>
        </w:rPr>
        <w:t>Reform (C24.R2) – Terv a szerzői és szomszédos jogok megerősítésére</w:t>
      </w:r>
    </w:p>
    <w:p w14:paraId="1FD788A1" w14:textId="77777777" w:rsidR="003E1D81" w:rsidRDefault="00EB481C">
      <w:pPr>
        <w:pStyle w:val="P68B1DB1-Normal4"/>
        <w:keepNext/>
        <w:spacing w:before="120" w:after="120" w:line="240" w:lineRule="auto"/>
        <w:jc w:val="both"/>
        <w:rPr>
          <w:rFonts w:cs="Times New Roman"/>
          <w:noProof/>
        </w:rPr>
      </w:pPr>
      <w:r>
        <w:rPr>
          <w:noProof/>
        </w:rPr>
        <w:t xml:space="preserve">E reform célja a </w:t>
      </w:r>
      <w:r>
        <w:rPr>
          <w:noProof/>
        </w:rPr>
        <w:t>szerzői jogok és egyéb szellemitulajdon-jogok megerősítése a következő intézkedések révén:</w:t>
      </w:r>
    </w:p>
    <w:p w14:paraId="2AA150CC" w14:textId="77777777" w:rsidR="003E1D81" w:rsidRDefault="00EB481C">
      <w:pPr>
        <w:pStyle w:val="P68B1DB1-Normal4"/>
        <w:numPr>
          <w:ilvl w:val="0"/>
          <w:numId w:val="156"/>
        </w:numPr>
        <w:spacing w:before="120" w:after="120" w:line="240" w:lineRule="auto"/>
        <w:ind w:left="426" w:hanging="426"/>
        <w:jc w:val="both"/>
        <w:rPr>
          <w:rFonts w:cs="Times New Roman"/>
          <w:noProof/>
        </w:rPr>
      </w:pPr>
      <w:r>
        <w:rPr>
          <w:noProof/>
        </w:rPr>
        <w:t>Az európai digitális egységes piacon a szellemitulajdon-jogokról szóló törvény elfogadása, amely átülteti a digitális egységes piacon a szerzői jogról szóló (EU) 201</w:t>
      </w:r>
      <w:r>
        <w:rPr>
          <w:noProof/>
        </w:rPr>
        <w:t>9/789 irányelvet (SatCab) és (EU) 2019/790 irányelvet;</w:t>
      </w:r>
    </w:p>
    <w:p w14:paraId="09A56BF4" w14:textId="77777777" w:rsidR="003E1D81" w:rsidRDefault="00EB481C">
      <w:pPr>
        <w:pStyle w:val="P68B1DB1-Normal4"/>
        <w:numPr>
          <w:ilvl w:val="0"/>
          <w:numId w:val="156"/>
        </w:numPr>
        <w:spacing w:before="120" w:after="120" w:line="240" w:lineRule="auto"/>
        <w:ind w:left="426" w:hanging="426"/>
        <w:jc w:val="both"/>
        <w:rPr>
          <w:rFonts w:cs="Times New Roman"/>
          <w:noProof/>
        </w:rPr>
      </w:pPr>
      <w:r>
        <w:rPr>
          <w:noProof/>
        </w:rPr>
        <w:t>Királyi rendelet elfogadása a szellemi tulajdonok nyilvántartásáról szóló új rendelet jóváhagyásáról annak érdekében, hogy ezt a testületet hozzáigazítsa az új digitális valósághoz;</w:t>
      </w:r>
    </w:p>
    <w:p w14:paraId="2A2B3690" w14:textId="77777777" w:rsidR="003E1D81" w:rsidRDefault="00EB481C">
      <w:pPr>
        <w:pStyle w:val="P68B1DB1-Normal4"/>
        <w:numPr>
          <w:ilvl w:val="0"/>
          <w:numId w:val="156"/>
        </w:numPr>
        <w:spacing w:before="120" w:after="120" w:line="240" w:lineRule="auto"/>
        <w:ind w:left="426" w:hanging="426"/>
        <w:jc w:val="both"/>
        <w:rPr>
          <w:rFonts w:cs="Times New Roman"/>
          <w:noProof/>
        </w:rPr>
      </w:pPr>
      <w:r>
        <w:rPr>
          <w:noProof/>
        </w:rPr>
        <w:t>Királyi rendelet el</w:t>
      </w:r>
      <w:r>
        <w:rPr>
          <w:noProof/>
        </w:rPr>
        <w:t>fogadása a szellemi tulajdonnal foglalkozó bizottság II. szakaszának működéséről szóló, 2006. december 30-i 1889/2011. sz. királyi rendelet módosításáról a szellemi tulajdon új internetes megsértése elleni küzdelem megkönnyítése érdekében; és</w:t>
      </w:r>
    </w:p>
    <w:p w14:paraId="56D8F602" w14:textId="77777777" w:rsidR="003E1D81" w:rsidRDefault="00EB481C">
      <w:pPr>
        <w:pStyle w:val="P68B1DB1-Normal4"/>
        <w:numPr>
          <w:ilvl w:val="0"/>
          <w:numId w:val="156"/>
        </w:numPr>
        <w:spacing w:before="120" w:after="120" w:line="240" w:lineRule="auto"/>
        <w:ind w:left="426" w:hanging="426"/>
        <w:jc w:val="both"/>
        <w:rPr>
          <w:rFonts w:cs="Times New Roman"/>
          <w:noProof/>
        </w:rPr>
      </w:pPr>
      <w:r>
        <w:rPr>
          <w:noProof/>
        </w:rPr>
        <w:t>A megfelelő n</w:t>
      </w:r>
      <w:r>
        <w:rPr>
          <w:noProof/>
        </w:rPr>
        <w:t>ormatív eszköz és a spanyol szerzői jogi hivatal alapszabályának jóváhagyása.</w:t>
      </w:r>
    </w:p>
    <w:p w14:paraId="5C629C0E" w14:textId="77777777" w:rsidR="003E1D81" w:rsidRDefault="00EB481C">
      <w:pPr>
        <w:pStyle w:val="P68B1DB1-Normal4"/>
        <w:spacing w:before="120" w:after="120" w:line="240" w:lineRule="auto"/>
        <w:jc w:val="both"/>
        <w:rPr>
          <w:rFonts w:cs="Times New Roman"/>
          <w:noProof/>
        </w:rPr>
      </w:pPr>
      <w:r>
        <w:rPr>
          <w:noProof/>
        </w:rPr>
        <w:t xml:space="preserve">Az intézkedés végrehajtását 2023. december 31-ig be kell fejezni. </w:t>
      </w:r>
    </w:p>
    <w:p w14:paraId="4E09A7D7" w14:textId="77777777" w:rsidR="003E1D81" w:rsidRDefault="00EB481C">
      <w:pPr>
        <w:pStyle w:val="P68B1DB1-Normal6"/>
        <w:spacing w:before="120" w:after="120" w:line="240" w:lineRule="auto"/>
        <w:jc w:val="both"/>
        <w:rPr>
          <w:rFonts w:cs="Times New Roman"/>
          <w:noProof/>
        </w:rPr>
      </w:pPr>
      <w:r>
        <w:rPr>
          <w:noProof/>
        </w:rPr>
        <w:t xml:space="preserve">Beruházás (C24.I1) – A kulturális iparágak versenyképességének megerősítése </w:t>
      </w:r>
    </w:p>
    <w:p w14:paraId="6378CC61" w14:textId="77777777" w:rsidR="003E1D81" w:rsidRDefault="00EB481C">
      <w:pPr>
        <w:pStyle w:val="P68B1DB1-Normal4"/>
        <w:spacing w:before="120" w:after="120" w:line="240" w:lineRule="auto"/>
        <w:jc w:val="both"/>
        <w:rPr>
          <w:rFonts w:cs="Times New Roman"/>
          <w:noProof/>
        </w:rPr>
      </w:pPr>
      <w:r>
        <w:rPr>
          <w:noProof/>
        </w:rPr>
        <w:t>E beruházás célja a kulturális ága</w:t>
      </w:r>
      <w:r>
        <w:rPr>
          <w:noProof/>
        </w:rPr>
        <w:t>zat versenyképességével kapcsolatos kihívások kezelése a kulturális és kreatív iparágak üzleti szerkezetének ellenálló képességének javítása, valamint a digitális átálláshoz való hozzájárulás révén.</w:t>
      </w:r>
    </w:p>
    <w:p w14:paraId="2C4586F2" w14:textId="77777777" w:rsidR="003E1D81" w:rsidRDefault="00EB481C">
      <w:pPr>
        <w:pStyle w:val="P68B1DB1-Normal4"/>
        <w:spacing w:before="120" w:after="120" w:line="240" w:lineRule="auto"/>
        <w:jc w:val="both"/>
        <w:rPr>
          <w:rFonts w:cs="Times New Roman"/>
          <w:noProof/>
        </w:rPr>
      </w:pPr>
      <w:r>
        <w:rPr>
          <w:noProof/>
        </w:rPr>
        <w:t>E célból az e beruházás keretében végrehajtott intézkedés</w:t>
      </w:r>
      <w:r>
        <w:rPr>
          <w:noProof/>
        </w:rPr>
        <w:t>ek a következő három projektkategóriába sorolhatók:</w:t>
      </w:r>
    </w:p>
    <w:p w14:paraId="0256C65D" w14:textId="77777777" w:rsidR="003E1D81" w:rsidRDefault="00EB481C">
      <w:pPr>
        <w:pStyle w:val="P68B1DB1-Normal4"/>
        <w:numPr>
          <w:ilvl w:val="0"/>
          <w:numId w:val="157"/>
        </w:numPr>
        <w:spacing w:before="120" w:after="120" w:line="240" w:lineRule="auto"/>
        <w:ind w:left="426" w:hanging="426"/>
        <w:jc w:val="both"/>
        <w:rPr>
          <w:rFonts w:cs="Times New Roman"/>
          <w:noProof/>
        </w:rPr>
      </w:pPr>
      <w:r>
        <w:rPr>
          <w:noProof/>
        </w:rPr>
        <w:t xml:space="preserve">A kulturális és kreatív ágazatok versenyképessége és professzionalizálása a következők révén: a kulturális szakemberek vállalkozói és pénzügyi készségeinek megerősítése ösztöndíjprogram révén; az előadó- </w:t>
      </w:r>
      <w:r>
        <w:rPr>
          <w:noProof/>
        </w:rPr>
        <w:t>és zeneművészeti szakemberek vezetésére vonatkozó speciális képzés; valamint iii. a nagy növekedési potenciállal rendelkező kulturális projektek kidolgozásához a kulturális akcelerátorok támogatása;</w:t>
      </w:r>
    </w:p>
    <w:p w14:paraId="56048618" w14:textId="77777777" w:rsidR="003E1D81" w:rsidRDefault="00EB481C">
      <w:pPr>
        <w:pStyle w:val="P68B1DB1-Normal4"/>
        <w:numPr>
          <w:ilvl w:val="0"/>
          <w:numId w:val="157"/>
        </w:numPr>
        <w:spacing w:before="120" w:after="120" w:line="240" w:lineRule="auto"/>
        <w:ind w:left="426" w:hanging="426"/>
        <w:jc w:val="both"/>
        <w:rPr>
          <w:rFonts w:cs="Times New Roman"/>
          <w:noProof/>
        </w:rPr>
      </w:pPr>
      <w:r>
        <w:rPr>
          <w:noProof/>
        </w:rPr>
        <w:t>A szellemi tulajdon kezelésére szolgáló rendszerek digita</w:t>
      </w:r>
      <w:r>
        <w:rPr>
          <w:noProof/>
        </w:rPr>
        <w:t>lizálása a következők révén: a szellemi tulajdonhoz fűződő jogokat kezelő gazdasági szereplők digitalizálására irányuló projektek támogatása; és ii. a szellemitulajdon-jogokat kezelő közigazgatási szervek digitális átalakulásának támogatása;</w:t>
      </w:r>
    </w:p>
    <w:p w14:paraId="06993C4A" w14:textId="77777777" w:rsidR="003E1D81" w:rsidRDefault="00EB481C">
      <w:pPr>
        <w:pStyle w:val="P68B1DB1-Normal4"/>
        <w:numPr>
          <w:ilvl w:val="0"/>
          <w:numId w:val="157"/>
        </w:numPr>
        <w:spacing w:before="120" w:after="120" w:line="240" w:lineRule="auto"/>
        <w:ind w:left="426" w:hanging="426"/>
        <w:jc w:val="both"/>
        <w:rPr>
          <w:rFonts w:cs="Times New Roman"/>
          <w:noProof/>
        </w:rPr>
      </w:pPr>
      <w:r>
        <w:rPr>
          <w:noProof/>
        </w:rPr>
        <w:t xml:space="preserve">A kulturális </w:t>
      </w:r>
      <w:r>
        <w:rPr>
          <w:noProof/>
        </w:rPr>
        <w:t>és kreatív ágazatok nemzetközivé tétele a következők révén: i. a könyvágazat előmozdítása és digitalizálása, ii. az előadó-művészeti és zenei ágazat irányításának modernizálásához és korszerűsítéséhez nyújtott támogatás; valamint iii. olyan intézkedések, a</w:t>
      </w:r>
      <w:r>
        <w:rPr>
          <w:noProof/>
        </w:rPr>
        <w:t>melyek támogatják a kulturális és kreatív iparágak vállalkozásait és szakembereit abban, hogy növeljék jelenlétüket a nemzeti és nemzetközi piacokon.</w:t>
      </w:r>
    </w:p>
    <w:p w14:paraId="3FAA86C6" w14:textId="77777777" w:rsidR="003E1D81" w:rsidRDefault="00EB481C">
      <w:pPr>
        <w:pStyle w:val="Text1"/>
        <w:ind w:left="0"/>
        <w:rPr>
          <w:rFonts w:ascii="Times New Roman" w:hAnsi="Times New Roman" w:cs="Times New Roman"/>
          <w:noProof/>
          <w:highlight w:val="green"/>
        </w:rPr>
      </w:pPr>
      <w:r>
        <w:rPr>
          <w:rFonts w:ascii="Times New Roman" w:hAnsi="Times New Roman"/>
          <w:noProof/>
        </w:rPr>
        <w:t xml:space="preserve">Annak biztosítása érdekében, hogy az intézkedés megfeleljen a jelentős károkozás elkerülését célzó elvről </w:t>
      </w:r>
      <w:r>
        <w:rPr>
          <w:rFonts w:ascii="Times New Roman" w:hAnsi="Times New Roman"/>
          <w:noProof/>
        </w:rPr>
        <w:t>szóló technikai iránymutatásnak (2021/C58/01), a soron következő pályázati felhívásokra vonatkozó feladatmeghatározásban szereplő támogathatósági kritériumok nem tartalmazzák a tevékenységek alábbi listáját: a fosszilis tüzelőanyagokhoz kapcsolódó tevékeny</w:t>
      </w:r>
      <w:r>
        <w:rPr>
          <w:rFonts w:ascii="Times New Roman" w:hAnsi="Times New Roman"/>
          <w:noProof/>
        </w:rPr>
        <w:t>ségek, beleértve a továbbfelhasználást is</w:t>
      </w:r>
      <w:r>
        <w:rPr>
          <w:rStyle w:val="FootnoteReference"/>
          <w:rFonts w:ascii="Times New Roman" w:hAnsi="Times New Roman" w:cs="Times New Roman"/>
          <w:noProof/>
        </w:rPr>
        <w:footnoteReference w:id="198"/>
      </w:r>
      <w:r>
        <w:rPr>
          <w:rFonts w:ascii="Times New Roman" w:hAnsi="Times New Roman"/>
          <w:noProof/>
        </w:rPr>
        <w:t>; az uniós kibocsátáskereskedelmi rendszer (ETS) keretében végzett tevékenységek, amelyek a vonatkozó referenciaértékeknél nem alacsonyabb várható üvegházhatásúgáz-kibocsátást érnek el</w:t>
      </w:r>
      <w:r>
        <w:rPr>
          <w:rStyle w:val="FootnoteReference"/>
          <w:rFonts w:ascii="Times New Roman" w:hAnsi="Times New Roman" w:cs="Times New Roman"/>
          <w:noProof/>
        </w:rPr>
        <w:footnoteReference w:id="199"/>
      </w:r>
      <w:r>
        <w:rPr>
          <w:rFonts w:ascii="Times New Roman" w:hAnsi="Times New Roman"/>
          <w:noProof/>
        </w:rPr>
        <w:t xml:space="preserve">; hulladéklerakókkal, </w:t>
      </w:r>
      <w:r>
        <w:rPr>
          <w:rFonts w:ascii="Times New Roman" w:hAnsi="Times New Roman"/>
          <w:noProof/>
        </w:rPr>
        <w:t>hulladékégetőkkel</w:t>
      </w:r>
      <w:r>
        <w:rPr>
          <w:rStyle w:val="FootnoteReference"/>
          <w:rFonts w:ascii="Times New Roman" w:hAnsi="Times New Roman" w:cs="Times New Roman"/>
          <w:noProof/>
        </w:rPr>
        <w:footnoteReference w:id="200"/>
      </w:r>
      <w:r>
        <w:rPr>
          <w:rFonts w:ascii="Times New Roman" w:hAnsi="Times New Roman"/>
          <w:noProof/>
        </w:rPr>
        <w:t xml:space="preserve"> és mechanikai-biológiai szennyvíztisztító telepekkel kapcsolatos tevékenységek</w:t>
      </w:r>
      <w:r>
        <w:rPr>
          <w:rStyle w:val="FootnoteReference"/>
          <w:rFonts w:ascii="Times New Roman" w:hAnsi="Times New Roman" w:cs="Times New Roman"/>
          <w:noProof/>
        </w:rPr>
        <w:footnoteReference w:id="201"/>
      </w:r>
      <w:r>
        <w:rPr>
          <w:rFonts w:ascii="Times New Roman" w:hAnsi="Times New Roman"/>
          <w:noProof/>
        </w:rPr>
        <w:t>; és iv. olyan tevékenységek, amelyek esetében a hulladék hosszú távú ártalmatlanítása károsíthatja a környezetet. A feladatmeghatározás emellett előírja, hog</w:t>
      </w:r>
      <w:r>
        <w:rPr>
          <w:rFonts w:ascii="Times New Roman" w:hAnsi="Times New Roman"/>
          <w:noProof/>
        </w:rPr>
        <w:t>y csak a vonatkozó uniós és nemzeti környezetvédelmi jogszabályoknak megfelelő tevékenységek választhatók ki.</w:t>
      </w:r>
    </w:p>
    <w:p w14:paraId="0C0133FF" w14:textId="75BAD118" w:rsidR="003E1D81" w:rsidRDefault="00EB481C">
      <w:pPr>
        <w:pStyle w:val="P68B1DB1-Normal4"/>
        <w:spacing w:before="120" w:after="120" w:line="240" w:lineRule="auto"/>
        <w:jc w:val="both"/>
        <w:rPr>
          <w:rFonts w:cs="Times New Roman"/>
          <w:noProof/>
        </w:rPr>
      </w:pPr>
      <w:r>
        <w:rPr>
          <w:noProof/>
        </w:rPr>
        <w:t xml:space="preserve">A beruházás végrehajtását 2026. június 30-ig be kell fejezni. </w:t>
      </w:r>
    </w:p>
    <w:p w14:paraId="25347DDA" w14:textId="77777777" w:rsidR="003E1D81" w:rsidRDefault="00EB481C">
      <w:pPr>
        <w:pStyle w:val="P68B1DB1-Normal6"/>
        <w:spacing w:before="120" w:after="120" w:line="240" w:lineRule="auto"/>
        <w:jc w:val="both"/>
        <w:rPr>
          <w:rFonts w:cs="Times New Roman"/>
          <w:noProof/>
        </w:rPr>
      </w:pPr>
      <w:r>
        <w:rPr>
          <w:noProof/>
        </w:rPr>
        <w:t xml:space="preserve">Beruházás (C24.I2) – </w:t>
      </w:r>
      <w:bookmarkStart w:id="56" w:name="_Hlk144898113"/>
      <w:r>
        <w:rPr>
          <w:noProof/>
        </w:rPr>
        <w:t xml:space="preserve">A kultúra fellendítése a területen </w:t>
      </w:r>
      <w:bookmarkEnd w:id="56"/>
    </w:p>
    <w:p w14:paraId="69CCE138" w14:textId="77777777" w:rsidR="003E1D81" w:rsidRDefault="00EB481C">
      <w:pPr>
        <w:pStyle w:val="P68B1DB1-Normal4"/>
        <w:spacing w:before="120" w:after="120" w:line="240" w:lineRule="auto"/>
        <w:jc w:val="both"/>
        <w:rPr>
          <w:rFonts w:cs="Times New Roman"/>
          <w:noProof/>
        </w:rPr>
      </w:pPr>
      <w:r>
        <w:rPr>
          <w:noProof/>
        </w:rPr>
        <w:t>E beruházás célja a terüle</w:t>
      </w:r>
      <w:r>
        <w:rPr>
          <w:noProof/>
        </w:rPr>
        <w:t>ti és társadalmi kohézió javítása a kultúrához való hozzáférés megkönnyítése révén, valamint a kulturális ágazat fenntarthatóságának és megszilárdításának támogatása az egész területen. Az e beruházás keretébe tartozó egyedi intézkedések a következő négy p</w:t>
      </w:r>
      <w:r>
        <w:rPr>
          <w:noProof/>
        </w:rPr>
        <w:t xml:space="preserve">rojektkategóriába sorolhatók: </w:t>
      </w:r>
    </w:p>
    <w:p w14:paraId="73E9170E" w14:textId="77777777" w:rsidR="003E1D81" w:rsidRDefault="00EB481C">
      <w:pPr>
        <w:pStyle w:val="P68B1DB1-Normal4"/>
        <w:numPr>
          <w:ilvl w:val="0"/>
          <w:numId w:val="158"/>
        </w:numPr>
        <w:spacing w:before="120" w:after="120" w:line="240" w:lineRule="auto"/>
        <w:ind w:left="426" w:hanging="426"/>
        <w:jc w:val="both"/>
        <w:rPr>
          <w:rFonts w:cs="Times New Roman"/>
          <w:noProof/>
        </w:rPr>
      </w:pPr>
      <w:r>
        <w:rPr>
          <w:noProof/>
        </w:rPr>
        <w:t>Az előadó- és zeneművészeti infrastruktúra korszerűsítésének és fenntartható kezelésének, valamint a területek közötti terjesztési csatornák előmozdításának támogatása az alábbiak révén: erőforrások átadása az autonóm közössé</w:t>
      </w:r>
      <w:r>
        <w:rPr>
          <w:noProof/>
        </w:rPr>
        <w:t>geknek az előadó- és zenei infrastruktúrák korszerűsítésének és fenntartható kezelésének támogatása érdekében, valamint ii. a kulturális előadások autonóm közösségek közötti összehangolásának elősegítése;</w:t>
      </w:r>
    </w:p>
    <w:p w14:paraId="50265BA3" w14:textId="77777777" w:rsidR="003E1D81" w:rsidRDefault="00EB481C">
      <w:pPr>
        <w:pStyle w:val="P68B1DB1-Normal4"/>
        <w:numPr>
          <w:ilvl w:val="0"/>
          <w:numId w:val="158"/>
        </w:numPr>
        <w:spacing w:before="120" w:after="120" w:line="240" w:lineRule="auto"/>
        <w:ind w:left="426" w:hanging="426"/>
        <w:jc w:val="both"/>
        <w:rPr>
          <w:rFonts w:cs="Times New Roman"/>
          <w:noProof/>
        </w:rPr>
      </w:pPr>
      <w:r>
        <w:rPr>
          <w:noProof/>
        </w:rPr>
        <w:t>A spanyol kulturális örökség megőrzésére, helyreáll</w:t>
      </w:r>
      <w:r>
        <w:rPr>
          <w:noProof/>
        </w:rPr>
        <w:t xml:space="preserve">ítására és fejlesztésére irányuló intézkedések, az alábbiakra vonatkozó intézkedések révén: i. a kulturális érdekűnek nyilvánított örökség azonosítása és ii. a kulturális és sportminisztérium hatáskörébe tartozó örökség hasznosítása, különösen a madridi </w:t>
      </w:r>
      <w:r>
        <w:rPr>
          <w:i/>
          <w:noProof/>
        </w:rPr>
        <w:t>Ta</w:t>
      </w:r>
      <w:r>
        <w:rPr>
          <w:i/>
          <w:noProof/>
        </w:rPr>
        <w:t>bacalera</w:t>
      </w:r>
      <w:r>
        <w:rPr>
          <w:noProof/>
        </w:rPr>
        <w:t xml:space="preserve"> épület átfogó helyreállítása révén;</w:t>
      </w:r>
    </w:p>
    <w:p w14:paraId="6A965740" w14:textId="77777777" w:rsidR="003E1D81" w:rsidRDefault="00EB481C">
      <w:pPr>
        <w:pStyle w:val="P68B1DB1-Normal4"/>
        <w:numPr>
          <w:ilvl w:val="0"/>
          <w:numId w:val="158"/>
        </w:numPr>
        <w:spacing w:before="120" w:after="120" w:line="240" w:lineRule="auto"/>
        <w:ind w:left="426" w:hanging="426"/>
        <w:jc w:val="both"/>
        <w:rPr>
          <w:rFonts w:cs="Times New Roman"/>
          <w:noProof/>
        </w:rPr>
      </w:pPr>
      <w:r>
        <w:rPr>
          <w:noProof/>
        </w:rPr>
        <w:t>Könyvtárak adományozása a következők révén: i. digitális könyvekre vonatkozó engedélyek beszerzése és ii. papíralapú könyvek vásárlása; és</w:t>
      </w:r>
    </w:p>
    <w:p w14:paraId="249E26B1" w14:textId="77777777" w:rsidR="003E1D81" w:rsidRDefault="00EB481C">
      <w:pPr>
        <w:pStyle w:val="P68B1DB1-Normal4"/>
        <w:numPr>
          <w:ilvl w:val="0"/>
          <w:numId w:val="158"/>
        </w:numPr>
        <w:spacing w:before="120" w:after="120" w:line="240" w:lineRule="auto"/>
        <w:ind w:left="426" w:hanging="426"/>
        <w:jc w:val="both"/>
        <w:rPr>
          <w:rFonts w:cs="Times New Roman"/>
          <w:noProof/>
        </w:rPr>
      </w:pPr>
      <w:r>
        <w:rPr>
          <w:noProof/>
        </w:rPr>
        <w:t>A kulturális kínálat bővítéséhez és diverzifikálásához nyújtott támogatá</w:t>
      </w:r>
      <w:r>
        <w:rPr>
          <w:noProof/>
        </w:rPr>
        <w:t xml:space="preserve">s a nem városi területeken, az alábbiak révén: a kulturális innováció és a vállalkozói szellem előmozdítása a nem városi területeken; a kultúrához való egyenlő hozzáférés biztosítása; valamint iii. a természeti erőforrások felelősségteljes és fenntartható </w:t>
      </w:r>
      <w:r>
        <w:rPr>
          <w:noProof/>
        </w:rPr>
        <w:t>használatának a kultúrán keresztül történő előmozdítása.</w:t>
      </w:r>
    </w:p>
    <w:p w14:paraId="623F121D" w14:textId="77777777" w:rsidR="003E1D81" w:rsidRDefault="00EB481C">
      <w:pPr>
        <w:pStyle w:val="Text1"/>
        <w:ind w:left="0"/>
        <w:rPr>
          <w:rFonts w:ascii="Times New Roman" w:hAnsi="Times New Roman" w:cs="Times New Roman"/>
          <w:noProof/>
          <w:highlight w:val="green"/>
        </w:rPr>
      </w:pPr>
      <w:r>
        <w:rPr>
          <w:rFonts w:ascii="Times New Roman" w:hAnsi="Times New Roman"/>
          <w:noProof/>
        </w:rPr>
        <w:t>Annak biztosítása érdekében, hogy az intézkedés megfeleljen a jelentős károkozás elkerülését célzó elvről szóló technikai iránymutatásnak (2021/C58/01), a soron következő pályázati felhívásokra vonat</w:t>
      </w:r>
      <w:r>
        <w:rPr>
          <w:rFonts w:ascii="Times New Roman" w:hAnsi="Times New Roman"/>
          <w:noProof/>
        </w:rPr>
        <w:t>kozó feladatmeghatározásban szereplő támogathatósági kritériumok nem tartalmazzák a tevékenységek alábbi listáját: a fosszilis tüzelőanyagokhoz kapcsolódó tevékenységek, beleértve a továbbfelhasználást is</w:t>
      </w:r>
      <w:r>
        <w:rPr>
          <w:rStyle w:val="FootnoteReference"/>
          <w:rFonts w:ascii="Times New Roman" w:hAnsi="Times New Roman" w:cs="Times New Roman"/>
          <w:noProof/>
        </w:rPr>
        <w:footnoteReference w:id="202"/>
      </w:r>
      <w:r>
        <w:rPr>
          <w:rFonts w:ascii="Times New Roman" w:hAnsi="Times New Roman"/>
          <w:noProof/>
        </w:rPr>
        <w:t>; az uniós kibocsátáskereskedelmi rendszer (ETS) ke</w:t>
      </w:r>
      <w:r>
        <w:rPr>
          <w:rFonts w:ascii="Times New Roman" w:hAnsi="Times New Roman"/>
          <w:noProof/>
        </w:rPr>
        <w:t>retében végzett tevékenységek, amelyek a vonatkozó referenciaértékeknél nem alacsonyabb várható üvegházhatásúgáz-kibocsátást érnek el</w:t>
      </w:r>
      <w:r>
        <w:rPr>
          <w:rStyle w:val="FootnoteReference"/>
          <w:rFonts w:ascii="Times New Roman" w:hAnsi="Times New Roman" w:cs="Times New Roman"/>
          <w:noProof/>
        </w:rPr>
        <w:footnoteReference w:id="203"/>
      </w:r>
      <w:r>
        <w:rPr>
          <w:rFonts w:ascii="Times New Roman" w:hAnsi="Times New Roman"/>
          <w:noProof/>
        </w:rPr>
        <w:t>; hulladéklerakókkal, hulladékégetőkkel</w:t>
      </w:r>
      <w:r>
        <w:rPr>
          <w:rStyle w:val="FootnoteReference"/>
          <w:rFonts w:ascii="Times New Roman" w:hAnsi="Times New Roman" w:cs="Times New Roman"/>
          <w:noProof/>
        </w:rPr>
        <w:footnoteReference w:id="204"/>
      </w:r>
      <w:r>
        <w:rPr>
          <w:rFonts w:ascii="Times New Roman" w:hAnsi="Times New Roman"/>
          <w:noProof/>
        </w:rPr>
        <w:t xml:space="preserve"> és mechanikai-biológiai szennyvíztisztító telepekkel kapcsolatos tevékenységek</w:t>
      </w:r>
      <w:r>
        <w:rPr>
          <w:rStyle w:val="FootnoteReference"/>
          <w:rFonts w:ascii="Times New Roman" w:hAnsi="Times New Roman" w:cs="Times New Roman"/>
          <w:noProof/>
        </w:rPr>
        <w:footnoteReference w:id="205"/>
      </w:r>
      <w:r>
        <w:rPr>
          <w:rFonts w:ascii="Times New Roman" w:hAnsi="Times New Roman"/>
          <w:noProof/>
        </w:rPr>
        <w:t xml:space="preserve">; </w:t>
      </w:r>
      <w:r>
        <w:rPr>
          <w:rFonts w:ascii="Times New Roman" w:hAnsi="Times New Roman"/>
          <w:noProof/>
        </w:rPr>
        <w:t>és iv. olyan tevékenységek, amelyek esetében a hulladék hosszú távú ártalmatlanítása károsíthatja a környezetet. A feladatmeghatározás emellett előírja, hogy csak a vonatkozó uniós és nemzeti környezetvédelmi jogszabályoknak megfelelő tevékenységek választ</w:t>
      </w:r>
      <w:r>
        <w:rPr>
          <w:rFonts w:ascii="Times New Roman" w:hAnsi="Times New Roman"/>
          <w:noProof/>
        </w:rPr>
        <w:t>hatók ki.</w:t>
      </w:r>
    </w:p>
    <w:p w14:paraId="28A6DD1F" w14:textId="31B76FB0" w:rsidR="003E1D81" w:rsidRDefault="00EB481C">
      <w:pPr>
        <w:pStyle w:val="P68B1DB1-Normal4"/>
        <w:spacing w:before="120" w:after="120" w:line="240" w:lineRule="auto"/>
        <w:jc w:val="both"/>
        <w:rPr>
          <w:rFonts w:cs="Times New Roman"/>
          <w:noProof/>
        </w:rPr>
      </w:pPr>
      <w:r>
        <w:rPr>
          <w:noProof/>
        </w:rPr>
        <w:t xml:space="preserve">A beruházás végrehajtását 2026. június 30-ig be kell fejezni. </w:t>
      </w:r>
    </w:p>
    <w:p w14:paraId="247DA809" w14:textId="77777777" w:rsidR="003E1D81" w:rsidRDefault="00EB481C">
      <w:pPr>
        <w:pStyle w:val="P68B1DB1-Normal6"/>
        <w:spacing w:before="120" w:after="120" w:line="240" w:lineRule="auto"/>
        <w:jc w:val="both"/>
        <w:rPr>
          <w:rFonts w:cs="Times New Roman"/>
          <w:noProof/>
        </w:rPr>
      </w:pPr>
      <w:r>
        <w:rPr>
          <w:noProof/>
        </w:rPr>
        <w:t xml:space="preserve">Beruházás (C24.I3) – A főbb kulturális szolgáltatások digitalizálása és népszerűsítése </w:t>
      </w:r>
    </w:p>
    <w:p w14:paraId="03A41679" w14:textId="77777777" w:rsidR="003E1D81" w:rsidRDefault="00EB481C">
      <w:pPr>
        <w:pStyle w:val="P68B1DB1-Normal4"/>
        <w:spacing w:before="120" w:after="120" w:line="240" w:lineRule="auto"/>
        <w:jc w:val="both"/>
        <w:rPr>
          <w:rFonts w:cs="Times New Roman"/>
          <w:noProof/>
        </w:rPr>
      </w:pPr>
      <w:r>
        <w:rPr>
          <w:noProof/>
        </w:rPr>
        <w:t>Ennek az intézkedésnek a célja a nagy kulturális létesítmények digitalizálása és támogatása. Az</w:t>
      </w:r>
      <w:r>
        <w:rPr>
          <w:noProof/>
        </w:rPr>
        <w:t xml:space="preserve"> ezen intézkedés szerinti konkrét beruházások célja a következők támogatása:</w:t>
      </w:r>
    </w:p>
    <w:p w14:paraId="48FED215" w14:textId="77777777" w:rsidR="003E1D81" w:rsidRDefault="00EB481C">
      <w:pPr>
        <w:pStyle w:val="P68B1DB1-Normal4"/>
        <w:numPr>
          <w:ilvl w:val="0"/>
          <w:numId w:val="159"/>
        </w:numPr>
        <w:spacing w:before="120" w:after="120" w:line="240" w:lineRule="auto"/>
        <w:ind w:left="426" w:hanging="426"/>
        <w:jc w:val="both"/>
        <w:rPr>
          <w:rFonts w:cs="Times New Roman"/>
          <w:noProof/>
        </w:rPr>
      </w:pPr>
      <w:r>
        <w:rPr>
          <w:noProof/>
        </w:rPr>
        <w:t>A Nemzeti Prado Múzeum: i. hozzáférhetőségének és a városszerkezetbe való integrálásának javítása, ii. az összes szenzor egyetlen ellenőrzött rendszerbe való integrálása, iii. ink</w:t>
      </w:r>
      <w:r>
        <w:rPr>
          <w:noProof/>
        </w:rPr>
        <w:t>luzív tapasztalat kialakítása annak érdekében, hogy a múzeum több látogató számára hozzáférhető legyen, iv. interoperábilis digitális platform kialakítása a múzeumok között, v. a közigazgatás digitális eszközeinek fejlesztése és vi. multimédiás tartalmak l</w:t>
      </w:r>
      <w:r>
        <w:rPr>
          <w:noProof/>
        </w:rPr>
        <w:t xml:space="preserve">étrehozása;  </w:t>
      </w:r>
    </w:p>
    <w:p w14:paraId="72CE5D52" w14:textId="77777777" w:rsidR="003E1D81" w:rsidRDefault="00EB481C">
      <w:pPr>
        <w:pStyle w:val="P68B1DB1-Normal4"/>
        <w:numPr>
          <w:ilvl w:val="0"/>
          <w:numId w:val="159"/>
        </w:numPr>
        <w:spacing w:before="120" w:after="120" w:line="240" w:lineRule="auto"/>
        <w:ind w:left="426" w:hanging="426"/>
        <w:jc w:val="both"/>
        <w:rPr>
          <w:rFonts w:cs="Times New Roman"/>
          <w:noProof/>
        </w:rPr>
      </w:pPr>
      <w:r>
        <w:rPr>
          <w:noProof/>
        </w:rPr>
        <w:t>A Szófia Nemzeti Múzeum Centro de Arte Reina Szófia, ösztöndíjakat és kutatóhelyeket kínál fiatal művészek és gondolkodók számára, különös tekintettel a kulturális örökség digitalizálására irányuló intézkedések kidolgozására;</w:t>
      </w:r>
    </w:p>
    <w:p w14:paraId="71DF0FFE" w14:textId="77777777" w:rsidR="003E1D81" w:rsidRDefault="00EB481C">
      <w:pPr>
        <w:pStyle w:val="P68B1DB1-Normal4"/>
        <w:numPr>
          <w:ilvl w:val="0"/>
          <w:numId w:val="159"/>
        </w:numPr>
        <w:spacing w:before="120" w:after="120" w:line="240" w:lineRule="auto"/>
        <w:ind w:left="426" w:hanging="426"/>
        <w:jc w:val="both"/>
        <w:rPr>
          <w:rFonts w:cs="Times New Roman"/>
          <w:noProof/>
        </w:rPr>
      </w:pPr>
      <w:r>
        <w:rPr>
          <w:noProof/>
        </w:rPr>
        <w:t>A Spanyol Nemzet</w:t>
      </w:r>
      <w:r>
        <w:rPr>
          <w:noProof/>
        </w:rPr>
        <w:t>i Könyvtár, azáltal, hogy előmozdítja digitális adatainak és gyűjteményeinek felhasználását és további felhasználását az oktatás, a kutatás, a kulturális iparágak és a technológiai fejlődés támogatása érdekében;</w:t>
      </w:r>
    </w:p>
    <w:p w14:paraId="15757132" w14:textId="77777777" w:rsidR="003E1D81" w:rsidRDefault="00EB481C">
      <w:pPr>
        <w:pStyle w:val="P68B1DB1-Normal4"/>
        <w:numPr>
          <w:ilvl w:val="0"/>
          <w:numId w:val="159"/>
        </w:numPr>
        <w:spacing w:before="120" w:after="120" w:line="240" w:lineRule="auto"/>
        <w:ind w:left="426" w:hanging="426"/>
        <w:jc w:val="both"/>
        <w:rPr>
          <w:rFonts w:cs="Times New Roman"/>
          <w:noProof/>
        </w:rPr>
      </w:pPr>
      <w:r>
        <w:rPr>
          <w:noProof/>
        </w:rPr>
        <w:t>Az állami közigazgatási szervektől vagy magá</w:t>
      </w:r>
      <w:r>
        <w:rPr>
          <w:noProof/>
        </w:rPr>
        <w:t>nszervezetektől származó egyéb könyvtári eszközök digitalizálására és bibliográfiai örökségéhez való hozzáférésre vonatkozó terv annak érdekében, hogy azokat digitális adattárakon keresztül a polgárok rendelkezésére bocsássák;</w:t>
      </w:r>
    </w:p>
    <w:p w14:paraId="5584509F" w14:textId="77777777" w:rsidR="003E1D81" w:rsidRDefault="00EB481C">
      <w:pPr>
        <w:pStyle w:val="P68B1DB1-Normal4"/>
        <w:numPr>
          <w:ilvl w:val="0"/>
          <w:numId w:val="159"/>
        </w:numPr>
        <w:spacing w:before="120" w:after="120" w:line="240" w:lineRule="auto"/>
        <w:ind w:left="426" w:hanging="426"/>
        <w:jc w:val="both"/>
        <w:rPr>
          <w:rFonts w:cs="Times New Roman"/>
          <w:noProof/>
        </w:rPr>
      </w:pPr>
      <w:r>
        <w:rPr>
          <w:noProof/>
        </w:rPr>
        <w:t>A történelmi örökség – beleér</w:t>
      </w:r>
      <w:r>
        <w:rPr>
          <w:noProof/>
        </w:rPr>
        <w:t>tve az audiovizuális örökséget is – valamennyi típusú levéltári rendszer, leltár és nyilvántartás digitalizálása, kapacitásbővítése és interoperabilitása; és</w:t>
      </w:r>
    </w:p>
    <w:p w14:paraId="5015CC36" w14:textId="77777777" w:rsidR="003E1D81" w:rsidRDefault="00EB481C">
      <w:pPr>
        <w:pStyle w:val="P68B1DB1-Normal4"/>
        <w:numPr>
          <w:ilvl w:val="0"/>
          <w:numId w:val="159"/>
        </w:numPr>
        <w:spacing w:before="120" w:after="120" w:line="240" w:lineRule="auto"/>
        <w:ind w:left="426" w:hanging="426"/>
        <w:jc w:val="both"/>
        <w:rPr>
          <w:rFonts w:cs="Times New Roman"/>
          <w:noProof/>
        </w:rPr>
      </w:pPr>
      <w:r>
        <w:rPr>
          <w:noProof/>
        </w:rPr>
        <w:t>Az állami irányítási eszközök korszerűsítésére, valamint az INAEM (</w:t>
      </w:r>
      <w:r>
        <w:rPr>
          <w:i/>
          <w:noProof/>
        </w:rPr>
        <w:t>Instituto Nacional de las Artes</w:t>
      </w:r>
      <w:r>
        <w:rPr>
          <w:i/>
          <w:noProof/>
        </w:rPr>
        <w:t xml:space="preserve"> Escénicas y de la Música</w:t>
      </w:r>
      <w:r>
        <w:rPr>
          <w:noProof/>
        </w:rPr>
        <w:t>) erőforrásainak, eszközeinek, struktúráinak és infrastruktúrájának digitalizálására és katalogizálására szolgáló integrált rendszer megvalósítása, beleértve az olyan intézkedéseket, mint az előadó- és zenei ágazat állami támogatás</w:t>
      </w:r>
      <w:r>
        <w:rPr>
          <w:noProof/>
        </w:rPr>
        <w:t>i rendszereinek tervezésére, kezelésére és hatásvizsgálatára szolgáló különböző fejlett eszközök bevezetése, valamint az INAEM dokumentációjának, archiválási szolgáltatásainak, struktúráinak és infrastruktúrájának digitalizálására és katalogizálására szolg</w:t>
      </w:r>
      <w:r>
        <w:rPr>
          <w:noProof/>
        </w:rPr>
        <w:t>áló digitális integrált rendszer (INAEM DIGITAL) megvalósítása.</w:t>
      </w:r>
    </w:p>
    <w:p w14:paraId="6F481565" w14:textId="77777777" w:rsidR="003E1D81" w:rsidRDefault="00EB481C">
      <w:pPr>
        <w:pStyle w:val="Text1"/>
        <w:ind w:left="0"/>
        <w:rPr>
          <w:rFonts w:ascii="Times New Roman" w:hAnsi="Times New Roman" w:cs="Times New Roman"/>
          <w:noProof/>
          <w:highlight w:val="green"/>
        </w:rPr>
      </w:pPr>
      <w:r>
        <w:rPr>
          <w:rFonts w:ascii="Times New Roman" w:hAnsi="Times New Roman"/>
          <w:noProof/>
        </w:rPr>
        <w:t>Annak biztosítása érdekében, hogy az intézkedés megfeleljen a jelentős károkozás elkerülését célzó elvről szóló technikai iránymutatásnak (2021/C58/01), a soron következő pályázati felhívásokr</w:t>
      </w:r>
      <w:r>
        <w:rPr>
          <w:rFonts w:ascii="Times New Roman" w:hAnsi="Times New Roman"/>
          <w:noProof/>
        </w:rPr>
        <w:t>a vonatkozó feladatmeghatározásban szereplő támogathatósági kritériumok nem tartalmazzák a tevékenységek alábbi listáját: a fosszilis tüzelőanyagokhoz kapcsolódó tevékenységek, beleértve a továbbfelhasználást is</w:t>
      </w:r>
      <w:r>
        <w:rPr>
          <w:rStyle w:val="FootnoteReference"/>
          <w:rFonts w:ascii="Times New Roman" w:hAnsi="Times New Roman" w:cs="Times New Roman"/>
          <w:noProof/>
        </w:rPr>
        <w:footnoteReference w:id="206"/>
      </w:r>
      <w:r>
        <w:rPr>
          <w:rFonts w:ascii="Times New Roman" w:hAnsi="Times New Roman"/>
          <w:noProof/>
        </w:rPr>
        <w:t>; az uniós kibocsátáskereskedelmi rendszer (</w:t>
      </w:r>
      <w:r>
        <w:rPr>
          <w:rFonts w:ascii="Times New Roman" w:hAnsi="Times New Roman"/>
          <w:noProof/>
        </w:rPr>
        <w:t>ETS) keretében végzett tevékenységek, amelyek a vonatkozó referenciaértékeknél nem alacsonyabb várható üvegházhatásúgáz-kibocsátást érnek el</w:t>
      </w:r>
      <w:r>
        <w:rPr>
          <w:rStyle w:val="FootnoteReference"/>
          <w:rFonts w:ascii="Times New Roman" w:hAnsi="Times New Roman" w:cs="Times New Roman"/>
          <w:noProof/>
        </w:rPr>
        <w:footnoteReference w:id="207"/>
      </w:r>
      <w:r>
        <w:rPr>
          <w:rFonts w:ascii="Times New Roman" w:hAnsi="Times New Roman"/>
          <w:noProof/>
        </w:rPr>
        <w:t>; hulladéklerakókkal, hulladékégetőkkel</w:t>
      </w:r>
      <w:r>
        <w:rPr>
          <w:rStyle w:val="FootnoteReference"/>
          <w:rFonts w:ascii="Times New Roman" w:hAnsi="Times New Roman" w:cs="Times New Roman"/>
          <w:noProof/>
        </w:rPr>
        <w:footnoteReference w:id="208"/>
      </w:r>
      <w:r>
        <w:rPr>
          <w:rFonts w:ascii="Times New Roman" w:hAnsi="Times New Roman"/>
          <w:noProof/>
        </w:rPr>
        <w:t xml:space="preserve"> és mechanikai-biológiai szennyvíztisztító telepekkel kapcsolatos tevékenys</w:t>
      </w:r>
      <w:r>
        <w:rPr>
          <w:rFonts w:ascii="Times New Roman" w:hAnsi="Times New Roman"/>
          <w:noProof/>
        </w:rPr>
        <w:t>égek</w:t>
      </w:r>
      <w:r>
        <w:rPr>
          <w:rStyle w:val="FootnoteReference"/>
          <w:rFonts w:ascii="Times New Roman" w:hAnsi="Times New Roman" w:cs="Times New Roman"/>
          <w:noProof/>
        </w:rPr>
        <w:footnoteReference w:id="209"/>
      </w:r>
      <w:r>
        <w:rPr>
          <w:rFonts w:ascii="Times New Roman" w:hAnsi="Times New Roman"/>
          <w:noProof/>
        </w:rPr>
        <w:t xml:space="preserve">; és iv. olyan tevékenységek, amelyek esetében a hulladék hosszú távú ártalmatlanítása károsíthatja a környezetet. A feladatmeghatározás emellett előírja, hogy csak a vonatkozó uniós és nemzeti környezetvédelmi jogszabályoknak megfelelő tevékenységek </w:t>
      </w:r>
      <w:r>
        <w:rPr>
          <w:rFonts w:ascii="Times New Roman" w:hAnsi="Times New Roman"/>
          <w:noProof/>
        </w:rPr>
        <w:t>választhatók ki.</w:t>
      </w:r>
    </w:p>
    <w:p w14:paraId="3B69C578" w14:textId="7FE1373B" w:rsidR="003E1D81" w:rsidRDefault="00EB481C">
      <w:pPr>
        <w:pStyle w:val="P68B1DB1-Normal4"/>
        <w:spacing w:before="120" w:after="120" w:line="240" w:lineRule="auto"/>
        <w:jc w:val="both"/>
        <w:rPr>
          <w:rFonts w:cs="Times New Roman"/>
          <w:noProof/>
        </w:rPr>
      </w:pPr>
      <w:r>
        <w:rPr>
          <w:noProof/>
        </w:rPr>
        <w:t xml:space="preserve">A beruházás végrehajtását 2023. december 31-ig be kell fejezni. </w:t>
      </w:r>
    </w:p>
    <w:p w14:paraId="3E211C61" w14:textId="77777777" w:rsidR="003E1D81" w:rsidRDefault="00EB481C">
      <w:pPr>
        <w:pStyle w:val="P68B1DB1-Normal5"/>
        <w:spacing w:before="120" w:after="120" w:line="240" w:lineRule="auto"/>
        <w:ind w:left="720"/>
        <w:jc w:val="both"/>
        <w:rPr>
          <w:rFonts w:cs="Times New Roman"/>
          <w:noProof/>
        </w:rPr>
      </w:pPr>
      <w:r>
        <w:rPr>
          <w:noProof/>
        </w:rPr>
        <w:t xml:space="preserve">X.2. </w:t>
      </w:r>
      <w:r>
        <w:rPr>
          <w:noProof/>
        </w:rPr>
        <w:tab/>
        <w:t>Vissza nem térítendő pénzügyi támogatás – a végrehajtáshoz és a nyomon követéshez kapcsolódó mérföldkövek, célok, mutatók és ütemterv</w:t>
      </w:r>
    </w:p>
    <w:p w14:paraId="174A8B55" w14:textId="77777777"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Az alapforgatóköny</w:t>
      </w:r>
      <w:r>
        <w:rPr>
          <w:i/>
          <w:noProof/>
        </w:rPr>
        <w:t>v valamennyi mutató esetében 2020. február 1-je, kivéve, ha az intézkedés leírása másként jelzi. A táblázatban szereplő összegek nem tartalmazzák a héát.</w:t>
      </w:r>
    </w:p>
    <w:p w14:paraId="21D00A68" w14:textId="77777777" w:rsidR="003E1D81" w:rsidRDefault="003E1D81">
      <w:pPr>
        <w:spacing w:before="120" w:after="120" w:line="240" w:lineRule="auto"/>
        <w:jc w:val="both"/>
        <w:rPr>
          <w:rFonts w:ascii="Times New Roman" w:hAnsi="Times New Roman" w:cs="Times New Roman"/>
          <w:noProof/>
          <w:sz w:val="24"/>
        </w:rPr>
        <w:sectPr w:rsidR="003E1D81" w:rsidSect="00C94F66">
          <w:headerReference w:type="even" r:id="rId459"/>
          <w:headerReference w:type="default" r:id="rId460"/>
          <w:footerReference w:type="even" r:id="rId461"/>
          <w:footerReference w:type="default" r:id="rId462"/>
          <w:headerReference w:type="first" r:id="rId463"/>
          <w:footerReference w:type="first" r:id="rId464"/>
          <w:pgSz w:w="11907" w:h="16839"/>
          <w:pgMar w:top="1134" w:right="1417" w:bottom="1134" w:left="1417" w:header="709" w:footer="709" w:gutter="0"/>
          <w:cols w:space="720"/>
          <w:docGrid w:linePitch="360"/>
        </w:sectPr>
      </w:pPr>
    </w:p>
    <w:tbl>
      <w:tblPr>
        <w:tblW w:w="154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993"/>
        <w:gridCol w:w="850"/>
        <w:gridCol w:w="1701"/>
        <w:gridCol w:w="992"/>
        <w:gridCol w:w="709"/>
        <w:gridCol w:w="567"/>
        <w:gridCol w:w="709"/>
        <w:gridCol w:w="709"/>
        <w:gridCol w:w="567"/>
        <w:gridCol w:w="6837"/>
      </w:tblGrid>
      <w:tr w:rsidR="003E1D81" w14:paraId="47E093BB" w14:textId="77777777">
        <w:trPr>
          <w:trHeight w:val="309"/>
          <w:tblHeader/>
        </w:trPr>
        <w:tc>
          <w:tcPr>
            <w:tcW w:w="851" w:type="dxa"/>
            <w:tcBorders>
              <w:bottom w:val="nil"/>
            </w:tcBorders>
            <w:shd w:val="clear" w:color="auto" w:fill="C6D9F1" w:themeFill="text2" w:themeFillTint="33"/>
            <w:noWrap/>
            <w:vAlign w:val="center"/>
          </w:tcPr>
          <w:p w14:paraId="452BF90B" w14:textId="77777777" w:rsidR="003E1D81" w:rsidRDefault="00EB481C">
            <w:pPr>
              <w:pStyle w:val="P68B1DB1-Normal12"/>
              <w:spacing w:after="0" w:line="240" w:lineRule="auto"/>
              <w:jc w:val="center"/>
              <w:rPr>
                <w:rFonts w:cs="Times New Roman"/>
                <w:noProof/>
              </w:rPr>
            </w:pPr>
            <w:r>
              <w:rPr>
                <w:noProof/>
              </w:rPr>
              <w:t>Szám</w:t>
            </w:r>
          </w:p>
        </w:tc>
        <w:tc>
          <w:tcPr>
            <w:tcW w:w="993" w:type="dxa"/>
            <w:tcBorders>
              <w:bottom w:val="nil"/>
            </w:tcBorders>
            <w:shd w:val="clear" w:color="auto" w:fill="C6D9F1" w:themeFill="text2" w:themeFillTint="33"/>
            <w:noWrap/>
            <w:vAlign w:val="center"/>
          </w:tcPr>
          <w:p w14:paraId="42FDFCDA"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24DA1994"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1701" w:type="dxa"/>
            <w:tcBorders>
              <w:bottom w:val="nil"/>
            </w:tcBorders>
            <w:shd w:val="clear" w:color="auto" w:fill="C6D9F1" w:themeFill="text2" w:themeFillTint="33"/>
            <w:noWrap/>
            <w:vAlign w:val="center"/>
          </w:tcPr>
          <w:p w14:paraId="5E140932" w14:textId="77777777" w:rsidR="003E1D81" w:rsidRDefault="00EB481C">
            <w:pPr>
              <w:pStyle w:val="P68B1DB1-Normal12"/>
              <w:spacing w:after="0" w:line="240" w:lineRule="auto"/>
              <w:jc w:val="center"/>
              <w:rPr>
                <w:rFonts w:cs="Times New Roman"/>
                <w:noProof/>
              </w:rPr>
            </w:pPr>
            <w:r>
              <w:rPr>
                <w:noProof/>
              </w:rPr>
              <w:t>Név</w:t>
            </w:r>
          </w:p>
        </w:tc>
        <w:tc>
          <w:tcPr>
            <w:tcW w:w="992" w:type="dxa"/>
            <w:tcBorders>
              <w:bottom w:val="nil"/>
            </w:tcBorders>
            <w:shd w:val="clear" w:color="auto" w:fill="C6D9F1" w:themeFill="text2" w:themeFillTint="33"/>
            <w:noWrap/>
            <w:vAlign w:val="center"/>
          </w:tcPr>
          <w:p w14:paraId="41B1B97A" w14:textId="77777777" w:rsidR="003E1D81" w:rsidRDefault="00EB481C">
            <w:pPr>
              <w:pStyle w:val="P68B1DB1-Normal12"/>
              <w:spacing w:after="0" w:line="240" w:lineRule="auto"/>
              <w:jc w:val="center"/>
              <w:rPr>
                <w:rFonts w:cs="Times New Roman"/>
                <w:noProof/>
              </w:rPr>
            </w:pPr>
            <w:r>
              <w:rPr>
                <w:noProof/>
              </w:rPr>
              <w:t xml:space="preserve">A </w:t>
            </w:r>
            <w:r>
              <w:rPr>
                <w:noProof/>
              </w:rPr>
              <w:t>mérföldkövek minőségi mutatója</w:t>
            </w:r>
          </w:p>
        </w:tc>
        <w:tc>
          <w:tcPr>
            <w:tcW w:w="1985" w:type="dxa"/>
            <w:gridSpan w:val="3"/>
            <w:shd w:val="clear" w:color="auto" w:fill="C6D9F1" w:themeFill="text2" w:themeFillTint="33"/>
            <w:noWrap/>
            <w:vAlign w:val="center"/>
          </w:tcPr>
          <w:p w14:paraId="5A254FE4"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1276" w:type="dxa"/>
            <w:gridSpan w:val="2"/>
            <w:shd w:val="clear" w:color="auto" w:fill="C6D9F1" w:themeFill="text2" w:themeFillTint="33"/>
            <w:noWrap/>
            <w:vAlign w:val="center"/>
          </w:tcPr>
          <w:p w14:paraId="6476BE1C" w14:textId="77777777" w:rsidR="003E1D81" w:rsidRDefault="00EB481C">
            <w:pPr>
              <w:pStyle w:val="P68B1DB1-Normal12"/>
              <w:spacing w:after="0" w:line="240" w:lineRule="auto"/>
              <w:jc w:val="center"/>
              <w:rPr>
                <w:rFonts w:cs="Times New Roman"/>
                <w:noProof/>
              </w:rPr>
            </w:pPr>
            <w:r>
              <w:rPr>
                <w:noProof/>
              </w:rPr>
              <w:t>Idő</w:t>
            </w:r>
          </w:p>
        </w:tc>
        <w:tc>
          <w:tcPr>
            <w:tcW w:w="6837" w:type="dxa"/>
            <w:tcBorders>
              <w:bottom w:val="nil"/>
            </w:tcBorders>
            <w:shd w:val="clear" w:color="auto" w:fill="C6D9F1" w:themeFill="text2" w:themeFillTint="33"/>
            <w:noWrap/>
            <w:vAlign w:val="center"/>
          </w:tcPr>
          <w:p w14:paraId="3A6821AC"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7B4E4ABA" w14:textId="77777777">
        <w:trPr>
          <w:trHeight w:val="309"/>
          <w:tblHeader/>
        </w:trPr>
        <w:tc>
          <w:tcPr>
            <w:tcW w:w="851" w:type="dxa"/>
            <w:tcBorders>
              <w:top w:val="nil"/>
            </w:tcBorders>
            <w:shd w:val="clear" w:color="auto" w:fill="C6D9F1" w:themeFill="text2" w:themeFillTint="33"/>
            <w:noWrap/>
          </w:tcPr>
          <w:p w14:paraId="0D905B62" w14:textId="77777777" w:rsidR="003E1D81" w:rsidRDefault="003E1D81">
            <w:pPr>
              <w:spacing w:after="0" w:line="240" w:lineRule="auto"/>
              <w:jc w:val="center"/>
              <w:rPr>
                <w:rFonts w:ascii="Times New Roman" w:hAnsi="Times New Roman" w:cs="Times New Roman"/>
                <w:b/>
                <w:noProof/>
                <w:sz w:val="18"/>
              </w:rPr>
            </w:pPr>
          </w:p>
        </w:tc>
        <w:tc>
          <w:tcPr>
            <w:tcW w:w="993" w:type="dxa"/>
            <w:tcBorders>
              <w:top w:val="nil"/>
            </w:tcBorders>
            <w:shd w:val="clear" w:color="auto" w:fill="C6D9F1" w:themeFill="text2" w:themeFillTint="33"/>
            <w:noWrap/>
          </w:tcPr>
          <w:p w14:paraId="760E6809"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21BA0C45" w14:textId="77777777" w:rsidR="003E1D81" w:rsidRDefault="003E1D81">
            <w:pPr>
              <w:spacing w:after="0" w:line="240" w:lineRule="auto"/>
              <w:jc w:val="center"/>
              <w:rPr>
                <w:rFonts w:ascii="Times New Roman" w:hAnsi="Times New Roman" w:cs="Times New Roman"/>
                <w:b/>
                <w:noProof/>
                <w:sz w:val="18"/>
              </w:rPr>
            </w:pPr>
          </w:p>
        </w:tc>
        <w:tc>
          <w:tcPr>
            <w:tcW w:w="1701" w:type="dxa"/>
            <w:tcBorders>
              <w:top w:val="nil"/>
            </w:tcBorders>
            <w:shd w:val="clear" w:color="auto" w:fill="C6D9F1" w:themeFill="text2" w:themeFillTint="33"/>
            <w:noWrap/>
          </w:tcPr>
          <w:p w14:paraId="7975753A" w14:textId="77777777" w:rsidR="003E1D81" w:rsidRDefault="003E1D81">
            <w:pPr>
              <w:spacing w:after="0" w:line="240" w:lineRule="auto"/>
              <w:rPr>
                <w:rFonts w:ascii="Times New Roman" w:hAnsi="Times New Roman" w:cs="Times New Roman"/>
                <w:b/>
                <w:noProof/>
                <w:sz w:val="18"/>
              </w:rPr>
            </w:pPr>
          </w:p>
        </w:tc>
        <w:tc>
          <w:tcPr>
            <w:tcW w:w="992" w:type="dxa"/>
            <w:tcBorders>
              <w:top w:val="nil"/>
            </w:tcBorders>
            <w:shd w:val="clear" w:color="auto" w:fill="C6D9F1" w:themeFill="text2" w:themeFillTint="33"/>
            <w:noWrap/>
          </w:tcPr>
          <w:p w14:paraId="2A1F1AD2" w14:textId="77777777" w:rsidR="003E1D81" w:rsidRDefault="003E1D81">
            <w:pPr>
              <w:spacing w:after="0" w:line="240" w:lineRule="auto"/>
              <w:jc w:val="center"/>
              <w:rPr>
                <w:rFonts w:ascii="Times New Roman" w:hAnsi="Times New Roman" w:cs="Times New Roman"/>
                <w:b/>
                <w:noProof/>
                <w:sz w:val="18"/>
              </w:rPr>
            </w:pPr>
          </w:p>
        </w:tc>
        <w:tc>
          <w:tcPr>
            <w:tcW w:w="709" w:type="dxa"/>
            <w:shd w:val="clear" w:color="auto" w:fill="C6D9F1" w:themeFill="text2" w:themeFillTint="33"/>
            <w:noWrap/>
            <w:vAlign w:val="center"/>
          </w:tcPr>
          <w:p w14:paraId="0654C1BC" w14:textId="77777777" w:rsidR="003E1D81" w:rsidRDefault="00EB481C">
            <w:pPr>
              <w:pStyle w:val="P68B1DB1-Normal12"/>
              <w:spacing w:after="0" w:line="240" w:lineRule="auto"/>
              <w:jc w:val="center"/>
              <w:rPr>
                <w:rFonts w:cs="Times New Roman"/>
                <w:noProof/>
              </w:rPr>
            </w:pPr>
            <w:r>
              <w:rPr>
                <w:noProof/>
              </w:rPr>
              <w:t>Egység</w:t>
            </w:r>
          </w:p>
        </w:tc>
        <w:tc>
          <w:tcPr>
            <w:tcW w:w="567" w:type="dxa"/>
            <w:shd w:val="clear" w:color="auto" w:fill="C6D9F1" w:themeFill="text2" w:themeFillTint="33"/>
            <w:noWrap/>
            <w:vAlign w:val="center"/>
          </w:tcPr>
          <w:p w14:paraId="7C98FBCC" w14:textId="77777777" w:rsidR="003E1D81" w:rsidRDefault="00EB481C">
            <w:pPr>
              <w:pStyle w:val="P68B1DB1-Normal12"/>
              <w:spacing w:after="0" w:line="240" w:lineRule="auto"/>
              <w:jc w:val="center"/>
              <w:rPr>
                <w:rFonts w:cs="Times New Roman"/>
                <w:noProof/>
              </w:rPr>
            </w:pPr>
            <w:r>
              <w:rPr>
                <w:noProof/>
              </w:rPr>
              <w:t>Alapérték</w:t>
            </w:r>
          </w:p>
        </w:tc>
        <w:tc>
          <w:tcPr>
            <w:tcW w:w="709" w:type="dxa"/>
            <w:shd w:val="clear" w:color="auto" w:fill="C6D9F1" w:themeFill="text2" w:themeFillTint="33"/>
            <w:noWrap/>
            <w:vAlign w:val="center"/>
          </w:tcPr>
          <w:p w14:paraId="1400AB49" w14:textId="77777777" w:rsidR="003E1D81" w:rsidRDefault="00EB481C">
            <w:pPr>
              <w:pStyle w:val="P68B1DB1-Normal12"/>
              <w:spacing w:after="0" w:line="240" w:lineRule="auto"/>
              <w:jc w:val="center"/>
              <w:rPr>
                <w:rFonts w:cs="Times New Roman"/>
                <w:noProof/>
              </w:rPr>
            </w:pPr>
            <w:r>
              <w:rPr>
                <w:noProof/>
              </w:rPr>
              <w:t>Cél</w:t>
            </w:r>
          </w:p>
        </w:tc>
        <w:tc>
          <w:tcPr>
            <w:tcW w:w="709" w:type="dxa"/>
            <w:shd w:val="clear" w:color="auto" w:fill="C6D9F1" w:themeFill="text2" w:themeFillTint="33"/>
            <w:noWrap/>
            <w:vAlign w:val="center"/>
          </w:tcPr>
          <w:p w14:paraId="78B7D1D4"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EF9A8B4" w14:textId="77777777" w:rsidR="003E1D81" w:rsidRDefault="00EB481C">
            <w:pPr>
              <w:pStyle w:val="P68B1DB1-Normal12"/>
              <w:spacing w:after="0" w:line="240" w:lineRule="auto"/>
              <w:jc w:val="center"/>
              <w:rPr>
                <w:rFonts w:cs="Times New Roman"/>
                <w:noProof/>
              </w:rPr>
            </w:pPr>
            <w:r>
              <w:rPr>
                <w:noProof/>
              </w:rPr>
              <w:t>Éve</w:t>
            </w:r>
          </w:p>
        </w:tc>
        <w:tc>
          <w:tcPr>
            <w:tcW w:w="6837" w:type="dxa"/>
            <w:tcBorders>
              <w:top w:val="nil"/>
            </w:tcBorders>
            <w:shd w:val="clear" w:color="auto" w:fill="C6D9F1" w:themeFill="text2" w:themeFillTint="33"/>
            <w:noWrap/>
          </w:tcPr>
          <w:p w14:paraId="0AC9D072" w14:textId="77777777" w:rsidR="003E1D81" w:rsidRDefault="003E1D81">
            <w:pPr>
              <w:spacing w:after="0" w:line="240" w:lineRule="auto"/>
              <w:rPr>
                <w:rFonts w:ascii="Times New Roman" w:hAnsi="Times New Roman" w:cs="Times New Roman"/>
                <w:b/>
                <w:noProof/>
                <w:sz w:val="18"/>
              </w:rPr>
            </w:pPr>
          </w:p>
        </w:tc>
      </w:tr>
      <w:tr w:rsidR="003E1D81" w14:paraId="5984E482" w14:textId="77777777">
        <w:trPr>
          <w:trHeight w:val="309"/>
        </w:trPr>
        <w:tc>
          <w:tcPr>
            <w:tcW w:w="851" w:type="dxa"/>
            <w:shd w:val="clear" w:color="auto" w:fill="C6EFCE"/>
            <w:noWrap/>
          </w:tcPr>
          <w:p w14:paraId="0595ACF2" w14:textId="77777777" w:rsidR="003E1D81" w:rsidRDefault="00EB481C">
            <w:pPr>
              <w:pStyle w:val="P68B1DB1-Normal13"/>
              <w:spacing w:after="0" w:line="240" w:lineRule="auto"/>
              <w:jc w:val="center"/>
              <w:rPr>
                <w:rFonts w:eastAsia="Times New Roman" w:cs="Times New Roman"/>
                <w:noProof/>
              </w:rPr>
            </w:pPr>
            <w:r>
              <w:rPr>
                <w:noProof/>
              </w:rPr>
              <w:t>352</w:t>
            </w:r>
          </w:p>
        </w:tc>
        <w:tc>
          <w:tcPr>
            <w:tcW w:w="993" w:type="dxa"/>
            <w:shd w:val="clear" w:color="auto" w:fill="C6EFCE"/>
            <w:noWrap/>
          </w:tcPr>
          <w:p w14:paraId="5A187EA1" w14:textId="77777777" w:rsidR="003E1D81" w:rsidRDefault="00EB481C">
            <w:pPr>
              <w:pStyle w:val="P68B1DB1-Normal13"/>
              <w:spacing w:after="0" w:line="240" w:lineRule="auto"/>
              <w:jc w:val="center"/>
              <w:rPr>
                <w:rFonts w:eastAsia="Times New Roman" w:cs="Times New Roman"/>
                <w:noProof/>
              </w:rPr>
            </w:pPr>
            <w:r>
              <w:rPr>
                <w:noProof/>
              </w:rPr>
              <w:t>C24.R1</w:t>
            </w:r>
          </w:p>
        </w:tc>
        <w:tc>
          <w:tcPr>
            <w:tcW w:w="850" w:type="dxa"/>
            <w:shd w:val="clear" w:color="auto" w:fill="C6EFCE"/>
            <w:noWrap/>
          </w:tcPr>
          <w:p w14:paraId="78BEC199" w14:textId="77777777" w:rsidR="003E1D81" w:rsidRDefault="00EB481C">
            <w:pPr>
              <w:pStyle w:val="P68B1DB1-Normal13"/>
              <w:spacing w:after="0" w:line="240" w:lineRule="auto"/>
              <w:jc w:val="center"/>
              <w:rPr>
                <w:rFonts w:eastAsia="Times New Roman" w:cs="Times New Roman"/>
                <w:noProof/>
              </w:rPr>
            </w:pPr>
            <w:r>
              <w:rPr>
                <w:noProof/>
              </w:rPr>
              <w:t>M</w:t>
            </w:r>
          </w:p>
        </w:tc>
        <w:tc>
          <w:tcPr>
            <w:tcW w:w="1701" w:type="dxa"/>
            <w:shd w:val="clear" w:color="auto" w:fill="C6EFCE"/>
            <w:noWrap/>
          </w:tcPr>
          <w:p w14:paraId="491605FD" w14:textId="77777777" w:rsidR="003E1D81" w:rsidRDefault="00EB481C">
            <w:pPr>
              <w:pStyle w:val="P68B1DB1-Normal13"/>
              <w:spacing w:after="0" w:line="240" w:lineRule="auto"/>
              <w:rPr>
                <w:rFonts w:eastAsia="Times New Roman" w:cs="Times New Roman"/>
                <w:noProof/>
              </w:rPr>
            </w:pPr>
            <w:r>
              <w:rPr>
                <w:noProof/>
              </w:rPr>
              <w:t>A művész alapszabályának, szponzorálásának és az adókedvezmények rendszerének hatálybalépése.</w:t>
            </w:r>
          </w:p>
        </w:tc>
        <w:tc>
          <w:tcPr>
            <w:tcW w:w="992" w:type="dxa"/>
            <w:shd w:val="clear" w:color="auto" w:fill="C6EFCE"/>
            <w:noWrap/>
          </w:tcPr>
          <w:p w14:paraId="6CF09B0A" w14:textId="77777777" w:rsidR="003E1D81" w:rsidRDefault="00EB481C">
            <w:pPr>
              <w:pStyle w:val="P68B1DB1-Normal13"/>
              <w:spacing w:after="0" w:line="240" w:lineRule="auto"/>
              <w:jc w:val="center"/>
              <w:rPr>
                <w:rFonts w:eastAsia="Times New Roman" w:cs="Times New Roman"/>
                <w:noProof/>
              </w:rPr>
            </w:pPr>
            <w:r>
              <w:rPr>
                <w:noProof/>
              </w:rPr>
              <w:t xml:space="preserve">A </w:t>
            </w:r>
            <w:r>
              <w:rPr>
                <w:noProof/>
              </w:rPr>
              <w:t>rendelet hatálybalépésére vonatkozó rendelkezések</w:t>
            </w:r>
          </w:p>
        </w:tc>
        <w:tc>
          <w:tcPr>
            <w:tcW w:w="709" w:type="dxa"/>
            <w:shd w:val="clear" w:color="auto" w:fill="C6EFCE"/>
            <w:noWrap/>
          </w:tcPr>
          <w:p w14:paraId="6578D08E"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66E5D696"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A663420"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5DEA7E39"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07F93F4E" w14:textId="77777777" w:rsidR="003E1D81" w:rsidRDefault="00EB481C">
            <w:pPr>
              <w:pStyle w:val="P68B1DB1-Normal13"/>
              <w:spacing w:after="0" w:line="240" w:lineRule="auto"/>
              <w:jc w:val="center"/>
              <w:rPr>
                <w:rFonts w:eastAsia="Times New Roman" w:cs="Times New Roman"/>
                <w:noProof/>
              </w:rPr>
            </w:pPr>
            <w:r>
              <w:rPr>
                <w:noProof/>
              </w:rPr>
              <w:t>2022</w:t>
            </w:r>
          </w:p>
        </w:tc>
        <w:tc>
          <w:tcPr>
            <w:tcW w:w="6837" w:type="dxa"/>
            <w:shd w:val="clear" w:color="auto" w:fill="C6EFCE"/>
            <w:noWrap/>
          </w:tcPr>
          <w:p w14:paraId="7FFE4AB4" w14:textId="77777777" w:rsidR="003E1D81" w:rsidRDefault="00EB481C">
            <w:pPr>
              <w:pStyle w:val="P68B1DB1-Normal13"/>
              <w:spacing w:after="0" w:line="240" w:lineRule="auto"/>
              <w:rPr>
                <w:rFonts w:eastAsia="Times New Roman" w:cs="Times New Roman"/>
                <w:noProof/>
              </w:rPr>
            </w:pPr>
            <w:r>
              <w:rPr>
                <w:noProof/>
              </w:rPr>
              <w:t>A művészek munkafeltételeinek javítása céljából a művészek alapszabályának végrehajtására és a következő szempontok szabályozására vonatkozó szabályozási változások hatálybalépése: a héa</w:t>
            </w:r>
            <w:r>
              <w:rPr>
                <w:noProof/>
              </w:rPr>
              <w:t xml:space="preserve"> megfelelősége; személyi jövedelemadó; a művészek szakszervezeti reprezentativitása, egészsége és különleges munkaviszonya a közéletben; a szponzorálás jobb szabályozása és az adókedvezmények rendszere.</w:t>
            </w:r>
          </w:p>
        </w:tc>
      </w:tr>
      <w:tr w:rsidR="003E1D81" w14:paraId="7E3571B0" w14:textId="77777777">
        <w:trPr>
          <w:trHeight w:val="309"/>
        </w:trPr>
        <w:tc>
          <w:tcPr>
            <w:tcW w:w="851" w:type="dxa"/>
            <w:shd w:val="clear" w:color="auto" w:fill="C6EFCE"/>
            <w:noWrap/>
          </w:tcPr>
          <w:p w14:paraId="5A3F38A6" w14:textId="77777777" w:rsidR="003E1D81" w:rsidRDefault="00EB481C">
            <w:pPr>
              <w:pStyle w:val="P68B1DB1-Normal13"/>
              <w:spacing w:after="0" w:line="240" w:lineRule="auto"/>
              <w:jc w:val="center"/>
              <w:rPr>
                <w:rFonts w:eastAsia="Times New Roman" w:cs="Times New Roman"/>
                <w:noProof/>
              </w:rPr>
            </w:pPr>
            <w:r>
              <w:rPr>
                <w:noProof/>
              </w:rPr>
              <w:t>353</w:t>
            </w:r>
          </w:p>
        </w:tc>
        <w:tc>
          <w:tcPr>
            <w:tcW w:w="993" w:type="dxa"/>
            <w:shd w:val="clear" w:color="auto" w:fill="C6EFCE"/>
            <w:noWrap/>
          </w:tcPr>
          <w:p w14:paraId="466D27F3" w14:textId="77777777" w:rsidR="003E1D81" w:rsidRDefault="00EB481C">
            <w:pPr>
              <w:pStyle w:val="P68B1DB1-Normal13"/>
              <w:spacing w:after="0" w:line="240" w:lineRule="auto"/>
              <w:jc w:val="center"/>
              <w:rPr>
                <w:rFonts w:eastAsia="Times New Roman" w:cs="Times New Roman"/>
                <w:noProof/>
              </w:rPr>
            </w:pPr>
            <w:r>
              <w:rPr>
                <w:noProof/>
              </w:rPr>
              <w:t>C24.R2</w:t>
            </w:r>
          </w:p>
        </w:tc>
        <w:tc>
          <w:tcPr>
            <w:tcW w:w="850" w:type="dxa"/>
            <w:shd w:val="clear" w:color="auto" w:fill="C6EFCE"/>
            <w:noWrap/>
          </w:tcPr>
          <w:p w14:paraId="64A2617A" w14:textId="77777777" w:rsidR="003E1D81" w:rsidRDefault="00EB481C">
            <w:pPr>
              <w:pStyle w:val="P68B1DB1-Normal13"/>
              <w:spacing w:after="0" w:line="240" w:lineRule="auto"/>
              <w:jc w:val="center"/>
              <w:rPr>
                <w:rFonts w:eastAsia="Times New Roman" w:cs="Times New Roman"/>
                <w:noProof/>
              </w:rPr>
            </w:pPr>
            <w:r>
              <w:rPr>
                <w:noProof/>
              </w:rPr>
              <w:t>M</w:t>
            </w:r>
          </w:p>
        </w:tc>
        <w:tc>
          <w:tcPr>
            <w:tcW w:w="1701" w:type="dxa"/>
            <w:shd w:val="clear" w:color="auto" w:fill="C6EFCE"/>
            <w:noWrap/>
          </w:tcPr>
          <w:p w14:paraId="44827B1C" w14:textId="77777777" w:rsidR="003E1D81" w:rsidRDefault="00EB481C">
            <w:pPr>
              <w:pStyle w:val="P68B1DB1-Normal13"/>
              <w:spacing w:after="0" w:line="240" w:lineRule="auto"/>
              <w:rPr>
                <w:rFonts w:eastAsia="Times New Roman" w:cs="Times New Roman"/>
                <w:noProof/>
              </w:rPr>
            </w:pPr>
            <w:r>
              <w:rPr>
                <w:noProof/>
              </w:rPr>
              <w:t xml:space="preserve">A szerzői és szomszédos jogok </w:t>
            </w:r>
            <w:r>
              <w:rPr>
                <w:noProof/>
              </w:rPr>
              <w:t>megerősítését célzó jogalkotási és szabályozási intézkedések hatálybalépése</w:t>
            </w:r>
          </w:p>
        </w:tc>
        <w:tc>
          <w:tcPr>
            <w:tcW w:w="992" w:type="dxa"/>
            <w:shd w:val="clear" w:color="auto" w:fill="C6EFCE"/>
            <w:noWrap/>
          </w:tcPr>
          <w:p w14:paraId="5CB9A954" w14:textId="77777777" w:rsidR="003E1D81" w:rsidRDefault="00EB481C">
            <w:pPr>
              <w:pStyle w:val="P68B1DB1-Normal13"/>
              <w:spacing w:after="0" w:line="240" w:lineRule="auto"/>
              <w:jc w:val="center"/>
              <w:rPr>
                <w:rFonts w:eastAsia="Times New Roman" w:cs="Times New Roman"/>
                <w:noProof/>
              </w:rPr>
            </w:pPr>
            <w:r>
              <w:rPr>
                <w:noProof/>
              </w:rPr>
              <w:t>A jogi aktusok hatályba lépésre vonatkozó rendelkezései</w:t>
            </w:r>
          </w:p>
        </w:tc>
        <w:tc>
          <w:tcPr>
            <w:tcW w:w="709" w:type="dxa"/>
            <w:shd w:val="clear" w:color="auto" w:fill="C6EFCE"/>
            <w:noWrap/>
          </w:tcPr>
          <w:p w14:paraId="59A1D248"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300CFB09"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D074ACD"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BCDA611"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3B689CF0" w14:textId="77777777" w:rsidR="003E1D81" w:rsidRDefault="00EB481C">
            <w:pPr>
              <w:pStyle w:val="P68B1DB1-Normal13"/>
              <w:spacing w:after="0" w:line="240" w:lineRule="auto"/>
              <w:jc w:val="center"/>
              <w:rPr>
                <w:rFonts w:eastAsia="Times New Roman" w:cs="Times New Roman"/>
                <w:noProof/>
              </w:rPr>
            </w:pPr>
            <w:r>
              <w:rPr>
                <w:noProof/>
              </w:rPr>
              <w:t>2023</w:t>
            </w:r>
          </w:p>
        </w:tc>
        <w:tc>
          <w:tcPr>
            <w:tcW w:w="6837" w:type="dxa"/>
            <w:shd w:val="clear" w:color="auto" w:fill="C6EFCE"/>
            <w:noWrap/>
          </w:tcPr>
          <w:p w14:paraId="375976F5" w14:textId="77777777" w:rsidR="003E1D81" w:rsidRDefault="00EB481C">
            <w:pPr>
              <w:pStyle w:val="P68B1DB1-Normal13"/>
              <w:spacing w:after="0" w:line="240" w:lineRule="auto"/>
              <w:rPr>
                <w:rFonts w:eastAsia="Times New Roman" w:cs="Times New Roman"/>
                <w:noProof/>
              </w:rPr>
            </w:pPr>
            <w:r>
              <w:rPr>
                <w:noProof/>
              </w:rPr>
              <w:t>A szellemitulajdon-jogokról szóló törvény elfogadása az európai digitális egységes piacon a 2019/789 Sat</w:t>
            </w:r>
            <w:r>
              <w:rPr>
                <w:noProof/>
              </w:rPr>
              <w:t>Cab és a 2019/790 irányelv teljes körű átültetésével; Királyi rendelet a szellemi tulajdon lajstromáról szóló rendelet jóváhagyásáról; A szellemi tulajdonnal foglalkozó bizottság működését szabályozó 2006. december 30-i 1889/2011. sz. királyi rendelet módo</w:t>
            </w:r>
            <w:r>
              <w:rPr>
                <w:noProof/>
              </w:rPr>
              <w:t>sításáról szóló királyi rendelet; és 4) a megfelelő normatív eszköz és a spanyol szerzői jogi hivatal alapszabályának jóváhagyása</w:t>
            </w:r>
          </w:p>
        </w:tc>
      </w:tr>
      <w:tr w:rsidR="003E1D81" w14:paraId="6ECFC41B" w14:textId="77777777">
        <w:trPr>
          <w:trHeight w:val="309"/>
        </w:trPr>
        <w:tc>
          <w:tcPr>
            <w:tcW w:w="851" w:type="dxa"/>
            <w:shd w:val="clear" w:color="auto" w:fill="C6EFCE"/>
            <w:noWrap/>
          </w:tcPr>
          <w:p w14:paraId="63576139" w14:textId="77777777" w:rsidR="003E1D81" w:rsidRDefault="00EB481C">
            <w:pPr>
              <w:pStyle w:val="P68B1DB1-Normal13"/>
              <w:spacing w:after="0" w:line="240" w:lineRule="auto"/>
              <w:jc w:val="center"/>
              <w:rPr>
                <w:rFonts w:eastAsia="Times New Roman" w:cs="Times New Roman"/>
                <w:noProof/>
              </w:rPr>
            </w:pPr>
            <w:r>
              <w:rPr>
                <w:noProof/>
              </w:rPr>
              <w:t>354</w:t>
            </w:r>
          </w:p>
        </w:tc>
        <w:tc>
          <w:tcPr>
            <w:tcW w:w="993" w:type="dxa"/>
            <w:shd w:val="clear" w:color="auto" w:fill="C6EFCE"/>
            <w:noWrap/>
          </w:tcPr>
          <w:p w14:paraId="2A39C450" w14:textId="77777777" w:rsidR="003E1D81" w:rsidRDefault="00EB481C">
            <w:pPr>
              <w:pStyle w:val="P68B1DB1-Normal13"/>
              <w:spacing w:after="0" w:line="240" w:lineRule="auto"/>
              <w:jc w:val="center"/>
              <w:rPr>
                <w:rFonts w:eastAsia="Times New Roman" w:cs="Times New Roman"/>
                <w:noProof/>
              </w:rPr>
            </w:pPr>
            <w:r>
              <w:rPr>
                <w:noProof/>
              </w:rPr>
              <w:t>C24.I1</w:t>
            </w:r>
          </w:p>
        </w:tc>
        <w:tc>
          <w:tcPr>
            <w:tcW w:w="850" w:type="dxa"/>
            <w:shd w:val="clear" w:color="auto" w:fill="C6EFCE"/>
            <w:noWrap/>
          </w:tcPr>
          <w:p w14:paraId="052D0D87" w14:textId="77777777" w:rsidR="003E1D81" w:rsidRDefault="00EB481C">
            <w:pPr>
              <w:pStyle w:val="P68B1DB1-Normal13"/>
              <w:spacing w:after="0" w:line="240" w:lineRule="auto"/>
              <w:jc w:val="center"/>
              <w:rPr>
                <w:rFonts w:eastAsia="Times New Roman" w:cs="Times New Roman"/>
                <w:noProof/>
              </w:rPr>
            </w:pPr>
            <w:r>
              <w:rPr>
                <w:noProof/>
              </w:rPr>
              <w:t>T</w:t>
            </w:r>
          </w:p>
        </w:tc>
        <w:tc>
          <w:tcPr>
            <w:tcW w:w="1701" w:type="dxa"/>
            <w:shd w:val="clear" w:color="auto" w:fill="C6EFCE"/>
            <w:noWrap/>
          </w:tcPr>
          <w:p w14:paraId="2C6CAD11" w14:textId="77777777" w:rsidR="003E1D81" w:rsidRDefault="00EB481C">
            <w:pPr>
              <w:pStyle w:val="P68B1DB1-Normal13"/>
              <w:spacing w:after="0" w:line="240" w:lineRule="auto"/>
              <w:rPr>
                <w:rFonts w:cs="Times New Roman"/>
                <w:noProof/>
              </w:rPr>
            </w:pPr>
            <w:r>
              <w:rPr>
                <w:noProof/>
              </w:rPr>
              <w:t xml:space="preserve">A kulturális iparágak versenyképességének erősítése </w:t>
            </w:r>
          </w:p>
        </w:tc>
        <w:tc>
          <w:tcPr>
            <w:tcW w:w="992" w:type="dxa"/>
            <w:shd w:val="clear" w:color="auto" w:fill="C6EFCE"/>
            <w:noWrap/>
          </w:tcPr>
          <w:p w14:paraId="6038216B"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6466E135"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567" w:type="dxa"/>
            <w:shd w:val="clear" w:color="auto" w:fill="C6EFCE"/>
            <w:noWrap/>
          </w:tcPr>
          <w:p w14:paraId="59DA9834"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320DD696" w14:textId="77777777" w:rsidR="003E1D81" w:rsidRDefault="00EB481C">
            <w:pPr>
              <w:pStyle w:val="P68B1DB1-Normal13"/>
              <w:spacing w:after="0" w:line="240" w:lineRule="auto"/>
              <w:jc w:val="right"/>
              <w:rPr>
                <w:rFonts w:eastAsia="Times New Roman" w:cs="Times New Roman"/>
                <w:noProof/>
              </w:rPr>
            </w:pPr>
            <w:r>
              <w:rPr>
                <w:noProof/>
              </w:rPr>
              <w:t>1 216</w:t>
            </w:r>
          </w:p>
        </w:tc>
        <w:tc>
          <w:tcPr>
            <w:tcW w:w="709" w:type="dxa"/>
            <w:shd w:val="clear" w:color="auto" w:fill="C6EFCE"/>
            <w:noWrap/>
          </w:tcPr>
          <w:p w14:paraId="57EE0E36"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62A3FFA9" w14:textId="77777777" w:rsidR="003E1D81" w:rsidRDefault="00EB481C">
            <w:pPr>
              <w:pStyle w:val="P68B1DB1-Normal13"/>
              <w:spacing w:after="0" w:line="240" w:lineRule="auto"/>
              <w:jc w:val="center"/>
              <w:rPr>
                <w:rFonts w:eastAsia="Times New Roman" w:cs="Times New Roman"/>
                <w:noProof/>
              </w:rPr>
            </w:pPr>
            <w:r>
              <w:rPr>
                <w:noProof/>
              </w:rPr>
              <w:t>2023</w:t>
            </w:r>
          </w:p>
        </w:tc>
        <w:tc>
          <w:tcPr>
            <w:tcW w:w="6837" w:type="dxa"/>
            <w:shd w:val="clear" w:color="auto" w:fill="C6EFCE"/>
            <w:noWrap/>
          </w:tcPr>
          <w:p w14:paraId="4893F2A0" w14:textId="77777777" w:rsidR="003E1D81" w:rsidRDefault="00EB481C">
            <w:pPr>
              <w:pStyle w:val="P68B1DB1-Normal13"/>
              <w:spacing w:after="0" w:line="240" w:lineRule="auto"/>
              <w:rPr>
                <w:rFonts w:eastAsia="Times New Roman" w:cs="Times New Roman"/>
                <w:noProof/>
              </w:rPr>
            </w:pPr>
            <w:r>
              <w:rPr>
                <w:noProof/>
              </w:rPr>
              <w:t xml:space="preserve">A támogatási rendszerből finanszírozásban részesülő szervezetek és projektek száma, a következők esetében: </w:t>
            </w:r>
            <w:r>
              <w:rPr>
                <w:noProof/>
              </w:rPr>
              <w:br/>
              <w:t>a kulturális és kreatív iparágak szakembereinek vállalkozói és pénzügyi készségei (legalább 900 szervezet);</w:t>
            </w:r>
            <w:r>
              <w:rPr>
                <w:noProof/>
              </w:rPr>
              <w:br/>
              <w:t xml:space="preserve">végrehajtott digitalizációs tervezés és </w:t>
            </w:r>
            <w:r>
              <w:rPr>
                <w:noProof/>
              </w:rPr>
              <w:t>a digitális transzformáció megvitatására létrehozott eszközök (legalább 16 projekt);</w:t>
            </w:r>
            <w:r>
              <w:rPr>
                <w:noProof/>
              </w:rPr>
              <w:br/>
              <w:t>a kulturális és kreatív iparágak nemzetközivé tétele (legalább 300 szervezet).</w:t>
            </w:r>
            <w:r>
              <w:rPr>
                <w:noProof/>
              </w:rPr>
              <w:br/>
              <w:t>A projekteknek egy kizárási lista és a vonatkozó uniós és nemzeti környezetvédelmi jogszabál</w:t>
            </w:r>
            <w:r>
              <w:rPr>
                <w:noProof/>
              </w:rPr>
              <w:t>yoknak való megfelelés követelménye révén meg kell felelniük a jelentős károkozás elkerülését célzó technikai iránymutatásnak (2021/C58/01).</w:t>
            </w:r>
          </w:p>
        </w:tc>
      </w:tr>
      <w:tr w:rsidR="003E1D81" w14:paraId="3BF070AF" w14:textId="77777777">
        <w:trPr>
          <w:trHeight w:val="309"/>
        </w:trPr>
        <w:tc>
          <w:tcPr>
            <w:tcW w:w="851" w:type="dxa"/>
            <w:shd w:val="clear" w:color="auto" w:fill="C6EFCE"/>
            <w:noWrap/>
          </w:tcPr>
          <w:p w14:paraId="4BFC32D5" w14:textId="5211CAC5" w:rsidR="003E1D81" w:rsidRDefault="00EB481C">
            <w:pPr>
              <w:pStyle w:val="P68B1DB1-Normal13"/>
              <w:spacing w:after="0" w:line="240" w:lineRule="auto"/>
              <w:jc w:val="center"/>
              <w:rPr>
                <w:rFonts w:cs="Times New Roman"/>
                <w:noProof/>
              </w:rPr>
            </w:pPr>
            <w:r>
              <w:rPr>
                <w:noProof/>
              </w:rPr>
              <w:t>475</w:t>
            </w:r>
          </w:p>
        </w:tc>
        <w:tc>
          <w:tcPr>
            <w:tcW w:w="993" w:type="dxa"/>
            <w:shd w:val="clear" w:color="auto" w:fill="C6EFCE"/>
            <w:noWrap/>
          </w:tcPr>
          <w:p w14:paraId="2536F61D" w14:textId="0F9CC23C" w:rsidR="003E1D81" w:rsidRDefault="00EB481C">
            <w:pPr>
              <w:pStyle w:val="P68B1DB1-Normal13"/>
              <w:spacing w:after="0" w:line="240" w:lineRule="auto"/>
              <w:jc w:val="center"/>
              <w:rPr>
                <w:rFonts w:cs="Times New Roman"/>
                <w:noProof/>
              </w:rPr>
            </w:pPr>
            <w:r>
              <w:rPr>
                <w:noProof/>
              </w:rPr>
              <w:t>C24.I1</w:t>
            </w:r>
          </w:p>
        </w:tc>
        <w:tc>
          <w:tcPr>
            <w:tcW w:w="850" w:type="dxa"/>
            <w:shd w:val="clear" w:color="auto" w:fill="C6EFCE"/>
            <w:noWrap/>
          </w:tcPr>
          <w:p w14:paraId="488C7D1E" w14:textId="0BD42309" w:rsidR="003E1D81" w:rsidRDefault="00EB481C">
            <w:pPr>
              <w:pStyle w:val="P68B1DB1-Normal13"/>
              <w:spacing w:after="0" w:line="240" w:lineRule="auto"/>
              <w:jc w:val="center"/>
              <w:rPr>
                <w:rFonts w:cs="Times New Roman"/>
                <w:noProof/>
              </w:rPr>
            </w:pPr>
            <w:r>
              <w:rPr>
                <w:noProof/>
              </w:rPr>
              <w:t>T</w:t>
            </w:r>
          </w:p>
        </w:tc>
        <w:tc>
          <w:tcPr>
            <w:tcW w:w="1701" w:type="dxa"/>
            <w:shd w:val="clear" w:color="auto" w:fill="C6EFCE"/>
            <w:noWrap/>
          </w:tcPr>
          <w:p w14:paraId="50A8C5C8" w14:textId="31CADCD5" w:rsidR="003E1D81" w:rsidRDefault="00EB481C">
            <w:pPr>
              <w:pStyle w:val="P68B1DB1-Normal13"/>
              <w:spacing w:after="0" w:line="240" w:lineRule="auto"/>
              <w:rPr>
                <w:rFonts w:cs="Times New Roman"/>
                <w:noProof/>
              </w:rPr>
            </w:pPr>
            <w:r>
              <w:rPr>
                <w:noProof/>
              </w:rPr>
              <w:t>A kulturális iparágak versenyképességének megerősítését célzó kezdeményezések és projektek lezárása</w:t>
            </w:r>
          </w:p>
        </w:tc>
        <w:tc>
          <w:tcPr>
            <w:tcW w:w="992" w:type="dxa"/>
            <w:shd w:val="clear" w:color="auto" w:fill="C6EFCE"/>
            <w:noWrap/>
          </w:tcPr>
          <w:p w14:paraId="75B87A58" w14:textId="77777777" w:rsidR="003E1D81" w:rsidRDefault="003E1D81">
            <w:pPr>
              <w:spacing w:after="0" w:line="240" w:lineRule="auto"/>
              <w:jc w:val="center"/>
              <w:rPr>
                <w:rFonts w:ascii="Times New Roman" w:hAnsi="Times New Roman" w:cs="Times New Roman"/>
                <w:noProof/>
                <w:sz w:val="18"/>
              </w:rPr>
            </w:pPr>
          </w:p>
        </w:tc>
        <w:tc>
          <w:tcPr>
            <w:tcW w:w="709" w:type="dxa"/>
            <w:shd w:val="clear" w:color="auto" w:fill="C6EFCE"/>
            <w:noWrap/>
          </w:tcPr>
          <w:p w14:paraId="413A895D" w14:textId="0855B4DE" w:rsidR="003E1D81" w:rsidRDefault="00EB481C">
            <w:pPr>
              <w:pStyle w:val="P68B1DB1-Normal13"/>
              <w:spacing w:after="0" w:line="240" w:lineRule="auto"/>
              <w:jc w:val="center"/>
              <w:rPr>
                <w:rFonts w:cs="Times New Roman"/>
                <w:noProof/>
              </w:rPr>
            </w:pPr>
            <w:r>
              <w:rPr>
                <w:noProof/>
              </w:rPr>
              <w:t>Szám</w:t>
            </w:r>
          </w:p>
        </w:tc>
        <w:tc>
          <w:tcPr>
            <w:tcW w:w="567" w:type="dxa"/>
            <w:shd w:val="clear" w:color="auto" w:fill="C6EFCE"/>
            <w:noWrap/>
          </w:tcPr>
          <w:p w14:paraId="7DB49750" w14:textId="5B084DA9" w:rsidR="003E1D81" w:rsidRDefault="00EB481C">
            <w:pPr>
              <w:pStyle w:val="P68B1DB1-Normal13"/>
              <w:spacing w:after="0" w:line="240" w:lineRule="auto"/>
              <w:jc w:val="right"/>
              <w:rPr>
                <w:rFonts w:cs="Times New Roman"/>
                <w:noProof/>
              </w:rPr>
            </w:pPr>
            <w:r>
              <w:rPr>
                <w:noProof/>
              </w:rPr>
              <w:t>0</w:t>
            </w:r>
          </w:p>
        </w:tc>
        <w:tc>
          <w:tcPr>
            <w:tcW w:w="709" w:type="dxa"/>
            <w:shd w:val="clear" w:color="auto" w:fill="C6EFCE"/>
            <w:noWrap/>
          </w:tcPr>
          <w:p w14:paraId="141DD2CC" w14:textId="68984241" w:rsidR="003E1D81" w:rsidRDefault="00EB481C">
            <w:pPr>
              <w:pStyle w:val="P68B1DB1-Normal13"/>
              <w:spacing w:after="0" w:line="240" w:lineRule="auto"/>
              <w:jc w:val="right"/>
              <w:rPr>
                <w:rFonts w:cs="Times New Roman"/>
                <w:noProof/>
              </w:rPr>
            </w:pPr>
            <w:r>
              <w:rPr>
                <w:noProof/>
              </w:rPr>
              <w:t>1 216</w:t>
            </w:r>
          </w:p>
        </w:tc>
        <w:tc>
          <w:tcPr>
            <w:tcW w:w="709" w:type="dxa"/>
            <w:shd w:val="clear" w:color="auto" w:fill="C6EFCE"/>
            <w:noWrap/>
          </w:tcPr>
          <w:p w14:paraId="572CA3F7" w14:textId="3432AD1A" w:rsidR="003E1D81" w:rsidRDefault="00EB481C">
            <w:pPr>
              <w:spacing w:after="0" w:line="240" w:lineRule="auto"/>
              <w:jc w:val="center"/>
              <w:rPr>
                <w:rFonts w:ascii="Times New Roman" w:hAnsi="Times New Roman" w:cs="Times New Roman"/>
                <w:noProof/>
                <w:sz w:val="18"/>
              </w:rPr>
            </w:pPr>
            <w:r>
              <w:rPr>
                <w:noProof/>
              </w:rPr>
              <w:t>KÉRDÉS</w:t>
            </w:r>
          </w:p>
        </w:tc>
        <w:tc>
          <w:tcPr>
            <w:tcW w:w="567" w:type="dxa"/>
            <w:shd w:val="clear" w:color="auto" w:fill="C6EFCE"/>
            <w:noWrap/>
          </w:tcPr>
          <w:p w14:paraId="669B1BFC" w14:textId="17279118" w:rsidR="003E1D81" w:rsidRDefault="00EB481C">
            <w:pPr>
              <w:pStyle w:val="P68B1DB1-Normal13"/>
              <w:spacing w:after="0" w:line="240" w:lineRule="auto"/>
              <w:jc w:val="center"/>
              <w:rPr>
                <w:rFonts w:cs="Times New Roman"/>
                <w:noProof/>
              </w:rPr>
            </w:pPr>
            <w:r>
              <w:rPr>
                <w:noProof/>
              </w:rPr>
              <w:t>2026</w:t>
            </w:r>
          </w:p>
        </w:tc>
        <w:tc>
          <w:tcPr>
            <w:tcW w:w="6837" w:type="dxa"/>
            <w:shd w:val="clear" w:color="auto" w:fill="C6EFCE"/>
            <w:noWrap/>
          </w:tcPr>
          <w:p w14:paraId="678D89E8" w14:textId="63F6069B" w:rsidR="003E1D81" w:rsidRDefault="00EB481C">
            <w:pPr>
              <w:pStyle w:val="P68B1DB1-Normal13"/>
              <w:spacing w:after="0" w:line="240" w:lineRule="auto"/>
              <w:rPr>
                <w:rFonts w:cs="Times New Roman"/>
                <w:noProof/>
              </w:rPr>
            </w:pPr>
            <w:r>
              <w:rPr>
                <w:noProof/>
              </w:rPr>
              <w:t>A kulturális iparágak versenyképességének előmozdítását célzó 1216 fellépés lezárása az alábbiak révén:</w:t>
            </w:r>
            <w:r>
              <w:rPr>
                <w:noProof/>
              </w:rPr>
              <w:br/>
              <w:t>a kulturális és kreatív iparágak szakembereinek vállalkozói és pénzügyi készségei (legalább 900 szervezet);</w:t>
            </w:r>
            <w:r>
              <w:rPr>
                <w:noProof/>
              </w:rPr>
              <w:br/>
              <w:t>végrehajtott digita</w:t>
            </w:r>
            <w:r>
              <w:rPr>
                <w:noProof/>
              </w:rPr>
              <w:t>lizációs tervezés és a digitális transzformáció megvitatására létrehozott eszközök (legalább 16 projekt);</w:t>
            </w:r>
            <w:r>
              <w:rPr>
                <w:noProof/>
              </w:rPr>
              <w:br/>
              <w:t>a kulturális és kreatív iparágak nemzetközivé tétele (legalább 300 szervezet).</w:t>
            </w:r>
          </w:p>
        </w:tc>
      </w:tr>
      <w:tr w:rsidR="003E1D81" w14:paraId="0CB8057E" w14:textId="77777777">
        <w:trPr>
          <w:trHeight w:val="309"/>
        </w:trPr>
        <w:tc>
          <w:tcPr>
            <w:tcW w:w="851" w:type="dxa"/>
            <w:shd w:val="clear" w:color="auto" w:fill="C6EFCE"/>
            <w:noWrap/>
          </w:tcPr>
          <w:p w14:paraId="33A333CC" w14:textId="77777777" w:rsidR="003E1D81" w:rsidRDefault="00EB481C">
            <w:pPr>
              <w:pStyle w:val="P68B1DB1-Normal13"/>
              <w:spacing w:after="0" w:line="240" w:lineRule="auto"/>
              <w:jc w:val="center"/>
              <w:rPr>
                <w:rFonts w:eastAsia="Times New Roman" w:cs="Times New Roman"/>
                <w:noProof/>
              </w:rPr>
            </w:pPr>
            <w:r>
              <w:rPr>
                <w:noProof/>
              </w:rPr>
              <w:t>355</w:t>
            </w:r>
          </w:p>
        </w:tc>
        <w:tc>
          <w:tcPr>
            <w:tcW w:w="993" w:type="dxa"/>
            <w:shd w:val="clear" w:color="auto" w:fill="C6EFCE"/>
            <w:noWrap/>
          </w:tcPr>
          <w:p w14:paraId="1706F9D8" w14:textId="77777777" w:rsidR="003E1D81" w:rsidRDefault="00EB481C">
            <w:pPr>
              <w:pStyle w:val="P68B1DB1-Normal13"/>
              <w:spacing w:after="0" w:line="240" w:lineRule="auto"/>
              <w:jc w:val="center"/>
              <w:rPr>
                <w:rFonts w:eastAsia="Times New Roman" w:cs="Times New Roman"/>
                <w:noProof/>
              </w:rPr>
            </w:pPr>
            <w:r>
              <w:rPr>
                <w:noProof/>
              </w:rPr>
              <w:t>C24.I2</w:t>
            </w:r>
          </w:p>
        </w:tc>
        <w:tc>
          <w:tcPr>
            <w:tcW w:w="850" w:type="dxa"/>
            <w:shd w:val="clear" w:color="auto" w:fill="C6EFCE"/>
            <w:noWrap/>
          </w:tcPr>
          <w:p w14:paraId="01AB9A0E" w14:textId="77777777" w:rsidR="003E1D81" w:rsidRDefault="00EB481C">
            <w:pPr>
              <w:pStyle w:val="P68B1DB1-Normal13"/>
              <w:spacing w:after="0" w:line="240" w:lineRule="auto"/>
              <w:jc w:val="center"/>
              <w:rPr>
                <w:rFonts w:eastAsia="Times New Roman" w:cs="Times New Roman"/>
                <w:noProof/>
              </w:rPr>
            </w:pPr>
            <w:r>
              <w:rPr>
                <w:noProof/>
              </w:rPr>
              <w:t>T</w:t>
            </w:r>
          </w:p>
        </w:tc>
        <w:tc>
          <w:tcPr>
            <w:tcW w:w="1701" w:type="dxa"/>
            <w:shd w:val="clear" w:color="auto" w:fill="C6EFCE"/>
            <w:noWrap/>
          </w:tcPr>
          <w:p w14:paraId="2F41C29C" w14:textId="77777777" w:rsidR="003E1D81" w:rsidRDefault="00EB481C">
            <w:pPr>
              <w:pStyle w:val="P68B1DB1-Normal13"/>
              <w:spacing w:after="0" w:line="240" w:lineRule="auto"/>
              <w:rPr>
                <w:rFonts w:eastAsia="Times New Roman" w:cs="Times New Roman"/>
                <w:noProof/>
              </w:rPr>
            </w:pPr>
            <w:r>
              <w:rPr>
                <w:noProof/>
              </w:rPr>
              <w:t>Az előadó- és zeneművészeti infrastruktúra korszerűsítése</w:t>
            </w:r>
            <w:r>
              <w:rPr>
                <w:noProof/>
              </w:rPr>
              <w:t xml:space="preserve"> és fenntartható kezelése</w:t>
            </w:r>
          </w:p>
        </w:tc>
        <w:tc>
          <w:tcPr>
            <w:tcW w:w="992" w:type="dxa"/>
            <w:shd w:val="clear" w:color="auto" w:fill="C6EFCE"/>
            <w:noWrap/>
          </w:tcPr>
          <w:p w14:paraId="08D3A502"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3A6DE909"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567" w:type="dxa"/>
            <w:shd w:val="clear" w:color="auto" w:fill="C6EFCE"/>
            <w:noWrap/>
          </w:tcPr>
          <w:p w14:paraId="2591D7A9"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670B3C9E" w14:textId="77777777" w:rsidR="003E1D81" w:rsidRDefault="00EB481C">
            <w:pPr>
              <w:pStyle w:val="P68B1DB1-Normal13"/>
              <w:spacing w:after="0" w:line="240" w:lineRule="auto"/>
              <w:jc w:val="center"/>
              <w:rPr>
                <w:rFonts w:eastAsia="Times New Roman" w:cs="Times New Roman"/>
                <w:noProof/>
              </w:rPr>
            </w:pPr>
            <w:r>
              <w:rPr>
                <w:noProof/>
              </w:rPr>
              <w:t>200</w:t>
            </w:r>
          </w:p>
        </w:tc>
        <w:tc>
          <w:tcPr>
            <w:tcW w:w="709" w:type="dxa"/>
            <w:shd w:val="clear" w:color="auto" w:fill="C6EFCE"/>
            <w:noWrap/>
          </w:tcPr>
          <w:p w14:paraId="35216B84"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5E2672EE" w14:textId="77777777" w:rsidR="003E1D81" w:rsidRDefault="00EB481C">
            <w:pPr>
              <w:pStyle w:val="P68B1DB1-Normal13"/>
              <w:spacing w:after="0" w:line="240" w:lineRule="auto"/>
              <w:jc w:val="center"/>
              <w:rPr>
                <w:rFonts w:eastAsia="Times New Roman" w:cs="Times New Roman"/>
                <w:noProof/>
              </w:rPr>
            </w:pPr>
            <w:r>
              <w:rPr>
                <w:noProof/>
              </w:rPr>
              <w:t>2023</w:t>
            </w:r>
          </w:p>
        </w:tc>
        <w:tc>
          <w:tcPr>
            <w:tcW w:w="6837" w:type="dxa"/>
            <w:shd w:val="clear" w:color="auto" w:fill="C6EFCE"/>
            <w:noWrap/>
          </w:tcPr>
          <w:p w14:paraId="0413F559" w14:textId="77777777" w:rsidR="003E1D81" w:rsidRDefault="00EB481C">
            <w:pPr>
              <w:pStyle w:val="P68B1DB1-Normal13"/>
              <w:spacing w:after="0" w:line="240" w:lineRule="auto"/>
              <w:rPr>
                <w:rFonts w:eastAsia="Times New Roman" w:cs="Times New Roman"/>
                <w:noProof/>
              </w:rPr>
            </w:pPr>
            <w:r>
              <w:rPr>
                <w:noProof/>
              </w:rPr>
              <w:t>Az idősödő előadó- és zeneművészeti infrastruktúra korszerűsítése és fenntartható kezelése: legalább 200 intézkedés végrehajtása legalább 17 régióban, a jelentős károkozás elkerülését célzó technikai irá</w:t>
            </w:r>
            <w:r>
              <w:rPr>
                <w:noProof/>
              </w:rPr>
              <w:t>nymutatásnak (2021/C58/01) megfelelően, kizárási lista és a vonatkozó uniós és nemzeti környezetvédelmi jogszabályoknak való megfelelés követelménye révén.</w:t>
            </w:r>
          </w:p>
        </w:tc>
      </w:tr>
      <w:tr w:rsidR="003E1D81" w14:paraId="3C74A095" w14:textId="77777777">
        <w:trPr>
          <w:trHeight w:val="309"/>
        </w:trPr>
        <w:tc>
          <w:tcPr>
            <w:tcW w:w="851" w:type="dxa"/>
            <w:shd w:val="clear" w:color="auto" w:fill="C6EFCE"/>
            <w:noWrap/>
          </w:tcPr>
          <w:p w14:paraId="3DC32C70" w14:textId="331FCEF3" w:rsidR="003E1D81" w:rsidRDefault="00EB481C">
            <w:pPr>
              <w:pStyle w:val="P68B1DB1-Normal13"/>
              <w:spacing w:after="0" w:line="240" w:lineRule="auto"/>
              <w:jc w:val="center"/>
              <w:rPr>
                <w:rFonts w:cs="Times New Roman"/>
                <w:noProof/>
              </w:rPr>
            </w:pPr>
            <w:r>
              <w:rPr>
                <w:noProof/>
              </w:rPr>
              <w:t>357</w:t>
            </w:r>
          </w:p>
        </w:tc>
        <w:tc>
          <w:tcPr>
            <w:tcW w:w="993" w:type="dxa"/>
            <w:shd w:val="clear" w:color="auto" w:fill="C6EFCE"/>
            <w:noWrap/>
          </w:tcPr>
          <w:p w14:paraId="038CA8F2" w14:textId="6653001D" w:rsidR="003E1D81" w:rsidRDefault="00EB481C">
            <w:pPr>
              <w:pStyle w:val="P68B1DB1-Normal13"/>
              <w:spacing w:after="0" w:line="240" w:lineRule="auto"/>
              <w:jc w:val="center"/>
              <w:rPr>
                <w:rFonts w:cs="Times New Roman"/>
                <w:noProof/>
              </w:rPr>
            </w:pPr>
            <w:r>
              <w:rPr>
                <w:noProof/>
              </w:rPr>
              <w:t>C24.I2</w:t>
            </w:r>
          </w:p>
        </w:tc>
        <w:tc>
          <w:tcPr>
            <w:tcW w:w="850" w:type="dxa"/>
            <w:shd w:val="clear" w:color="auto" w:fill="C6EFCE"/>
            <w:noWrap/>
          </w:tcPr>
          <w:p w14:paraId="463A00BD" w14:textId="19384F73" w:rsidR="003E1D81" w:rsidRDefault="00EB481C">
            <w:pPr>
              <w:pStyle w:val="P68B1DB1-Normal13"/>
              <w:spacing w:after="0" w:line="240" w:lineRule="auto"/>
              <w:jc w:val="center"/>
              <w:rPr>
                <w:rFonts w:cs="Times New Roman"/>
                <w:noProof/>
              </w:rPr>
            </w:pPr>
            <w:r>
              <w:rPr>
                <w:noProof/>
              </w:rPr>
              <w:t>T</w:t>
            </w:r>
          </w:p>
        </w:tc>
        <w:tc>
          <w:tcPr>
            <w:tcW w:w="1701" w:type="dxa"/>
            <w:shd w:val="clear" w:color="auto" w:fill="C6EFCE"/>
            <w:noWrap/>
          </w:tcPr>
          <w:p w14:paraId="3A3B2EAC" w14:textId="204CAC5F" w:rsidR="003E1D81" w:rsidRDefault="00EB481C">
            <w:pPr>
              <w:pStyle w:val="P68B1DB1-Normal13"/>
              <w:spacing w:after="0" w:line="240" w:lineRule="auto"/>
              <w:rPr>
                <w:rFonts w:cs="Times New Roman"/>
                <w:noProof/>
              </w:rPr>
            </w:pPr>
            <w:r>
              <w:rPr>
                <w:noProof/>
              </w:rPr>
              <w:t>Elektronikus könyvekre vonatkozó engedélyek könyvtárak számára</w:t>
            </w:r>
          </w:p>
        </w:tc>
        <w:tc>
          <w:tcPr>
            <w:tcW w:w="992" w:type="dxa"/>
            <w:shd w:val="clear" w:color="auto" w:fill="C6EFCE"/>
            <w:noWrap/>
          </w:tcPr>
          <w:p w14:paraId="0B7A586D" w14:textId="387D77D4" w:rsidR="003E1D81" w:rsidRDefault="00EB481C">
            <w:pPr>
              <w:pStyle w:val="P68B1DB1-Normal13"/>
              <w:spacing w:after="0" w:line="240" w:lineRule="auto"/>
              <w:jc w:val="center"/>
              <w:rPr>
                <w:rFonts w:cs="Times New Roman"/>
                <w:noProof/>
              </w:rPr>
            </w:pPr>
            <w:r>
              <w:rPr>
                <w:noProof/>
              </w:rPr>
              <w:t>–</w:t>
            </w:r>
          </w:p>
        </w:tc>
        <w:tc>
          <w:tcPr>
            <w:tcW w:w="709" w:type="dxa"/>
            <w:shd w:val="clear" w:color="auto" w:fill="C6EFCE"/>
            <w:noWrap/>
          </w:tcPr>
          <w:p w14:paraId="6F9EFC33" w14:textId="406AC626" w:rsidR="003E1D81" w:rsidRDefault="00EB481C">
            <w:pPr>
              <w:pStyle w:val="P68B1DB1-Normal13"/>
              <w:spacing w:after="0" w:line="240" w:lineRule="auto"/>
              <w:jc w:val="center"/>
              <w:rPr>
                <w:rFonts w:cs="Times New Roman"/>
                <w:noProof/>
              </w:rPr>
            </w:pPr>
            <w:r>
              <w:rPr>
                <w:noProof/>
              </w:rPr>
              <w:t>Szám</w:t>
            </w:r>
          </w:p>
        </w:tc>
        <w:tc>
          <w:tcPr>
            <w:tcW w:w="567" w:type="dxa"/>
            <w:shd w:val="clear" w:color="auto" w:fill="C6EFCE"/>
            <w:noWrap/>
          </w:tcPr>
          <w:p w14:paraId="413E2FFB" w14:textId="5B407A3E" w:rsidR="003E1D81" w:rsidRDefault="00EB481C">
            <w:pPr>
              <w:pStyle w:val="P68B1DB1-Normal13"/>
              <w:spacing w:after="0" w:line="240" w:lineRule="auto"/>
              <w:jc w:val="right"/>
              <w:rPr>
                <w:rFonts w:cs="Times New Roman"/>
                <w:noProof/>
              </w:rPr>
            </w:pPr>
            <w:r>
              <w:rPr>
                <w:noProof/>
              </w:rPr>
              <w:t>0</w:t>
            </w:r>
          </w:p>
        </w:tc>
        <w:tc>
          <w:tcPr>
            <w:tcW w:w="709" w:type="dxa"/>
            <w:shd w:val="clear" w:color="auto" w:fill="C6EFCE"/>
            <w:noWrap/>
          </w:tcPr>
          <w:p w14:paraId="09C388FA" w14:textId="539E7F94" w:rsidR="003E1D81" w:rsidRDefault="00EB481C">
            <w:pPr>
              <w:pStyle w:val="P68B1DB1-Normal13"/>
              <w:spacing w:after="0" w:line="240" w:lineRule="auto"/>
              <w:jc w:val="center"/>
              <w:rPr>
                <w:rFonts w:cs="Times New Roman"/>
                <w:noProof/>
              </w:rPr>
            </w:pPr>
            <w:r>
              <w:rPr>
                <w:noProof/>
              </w:rPr>
              <w:t>300 000</w:t>
            </w:r>
          </w:p>
        </w:tc>
        <w:tc>
          <w:tcPr>
            <w:tcW w:w="709" w:type="dxa"/>
            <w:shd w:val="clear" w:color="auto" w:fill="C6EFCE"/>
            <w:noWrap/>
          </w:tcPr>
          <w:p w14:paraId="2D6A9BAA" w14:textId="02912F8E"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6DE28F1D" w14:textId="16DA0573" w:rsidR="003E1D81" w:rsidRDefault="00EB481C">
            <w:pPr>
              <w:pStyle w:val="P68B1DB1-Normal13"/>
              <w:spacing w:after="0" w:line="240" w:lineRule="auto"/>
              <w:jc w:val="center"/>
              <w:rPr>
                <w:rFonts w:cs="Times New Roman"/>
                <w:noProof/>
              </w:rPr>
            </w:pPr>
            <w:r>
              <w:rPr>
                <w:noProof/>
              </w:rPr>
              <w:t>2023</w:t>
            </w:r>
          </w:p>
        </w:tc>
        <w:tc>
          <w:tcPr>
            <w:tcW w:w="6837" w:type="dxa"/>
            <w:shd w:val="clear" w:color="auto" w:fill="C6EFCE"/>
            <w:noWrap/>
          </w:tcPr>
          <w:p w14:paraId="27993AE1" w14:textId="450FBC5C" w:rsidR="003E1D81" w:rsidRDefault="00EB481C">
            <w:pPr>
              <w:pStyle w:val="P68B1DB1-Normal13"/>
              <w:spacing w:after="0" w:line="240" w:lineRule="auto"/>
              <w:rPr>
                <w:rFonts w:cs="Times New Roman"/>
                <w:noProof/>
              </w:rPr>
            </w:pPr>
            <w:r>
              <w:rPr>
                <w:noProof/>
              </w:rPr>
              <w:t xml:space="preserve">Megvásárolt és közkönyvtárak számára rendelkezésre bocsátott elektronikus könyvekre vonatkozó engedélyek (legalább 300000) </w:t>
            </w:r>
          </w:p>
        </w:tc>
      </w:tr>
      <w:tr w:rsidR="003E1D81" w14:paraId="007BE4E8" w14:textId="77777777">
        <w:trPr>
          <w:trHeight w:val="309"/>
        </w:trPr>
        <w:tc>
          <w:tcPr>
            <w:tcW w:w="851" w:type="dxa"/>
            <w:shd w:val="clear" w:color="auto" w:fill="C6EFCE"/>
            <w:noWrap/>
          </w:tcPr>
          <w:p w14:paraId="476522C9" w14:textId="23ED8A21" w:rsidR="003E1D81" w:rsidRDefault="00EB481C">
            <w:pPr>
              <w:pStyle w:val="P68B1DB1-Normal13"/>
              <w:spacing w:after="0" w:line="240" w:lineRule="auto"/>
              <w:jc w:val="center"/>
              <w:rPr>
                <w:rFonts w:cs="Times New Roman"/>
                <w:noProof/>
              </w:rPr>
            </w:pPr>
            <w:r>
              <w:rPr>
                <w:noProof/>
              </w:rPr>
              <w:t>359</w:t>
            </w:r>
          </w:p>
        </w:tc>
        <w:tc>
          <w:tcPr>
            <w:tcW w:w="993" w:type="dxa"/>
            <w:shd w:val="clear" w:color="auto" w:fill="C6EFCE"/>
            <w:noWrap/>
          </w:tcPr>
          <w:p w14:paraId="0DF44586" w14:textId="6AD8D732" w:rsidR="003E1D81" w:rsidRDefault="00EB481C">
            <w:pPr>
              <w:pStyle w:val="P68B1DB1-Normal13"/>
              <w:spacing w:after="0" w:line="240" w:lineRule="auto"/>
              <w:jc w:val="center"/>
              <w:rPr>
                <w:rFonts w:cs="Times New Roman"/>
                <w:noProof/>
              </w:rPr>
            </w:pPr>
            <w:r>
              <w:rPr>
                <w:noProof/>
              </w:rPr>
              <w:t>C24.I2</w:t>
            </w:r>
          </w:p>
        </w:tc>
        <w:tc>
          <w:tcPr>
            <w:tcW w:w="850" w:type="dxa"/>
            <w:shd w:val="clear" w:color="auto" w:fill="C6EFCE"/>
            <w:noWrap/>
          </w:tcPr>
          <w:p w14:paraId="6F1BEA9C" w14:textId="1BC496BF" w:rsidR="003E1D81" w:rsidRDefault="00EB481C">
            <w:pPr>
              <w:pStyle w:val="P68B1DB1-Normal13"/>
              <w:spacing w:after="0" w:line="240" w:lineRule="auto"/>
              <w:jc w:val="center"/>
              <w:rPr>
                <w:rFonts w:cs="Times New Roman"/>
                <w:noProof/>
              </w:rPr>
            </w:pPr>
            <w:r>
              <w:rPr>
                <w:noProof/>
              </w:rPr>
              <w:t>T</w:t>
            </w:r>
          </w:p>
        </w:tc>
        <w:tc>
          <w:tcPr>
            <w:tcW w:w="1701" w:type="dxa"/>
            <w:shd w:val="clear" w:color="auto" w:fill="C6EFCE"/>
            <w:noWrap/>
          </w:tcPr>
          <w:p w14:paraId="1D046713" w14:textId="5FD7E158" w:rsidR="003E1D81" w:rsidRDefault="00EB481C">
            <w:pPr>
              <w:pStyle w:val="P68B1DB1-Normal13"/>
              <w:spacing w:after="0" w:line="240" w:lineRule="auto"/>
              <w:rPr>
                <w:rFonts w:cs="Times New Roman"/>
                <w:noProof/>
              </w:rPr>
            </w:pPr>
            <w:r>
              <w:rPr>
                <w:noProof/>
              </w:rPr>
              <w:t xml:space="preserve">A kulturális és kreatív kezdeményezések ösztönzése </w:t>
            </w:r>
          </w:p>
        </w:tc>
        <w:tc>
          <w:tcPr>
            <w:tcW w:w="992" w:type="dxa"/>
            <w:shd w:val="clear" w:color="auto" w:fill="C6EFCE"/>
            <w:noWrap/>
          </w:tcPr>
          <w:p w14:paraId="4CF2F5E1" w14:textId="77ECE381" w:rsidR="003E1D81" w:rsidRDefault="00EB481C">
            <w:pPr>
              <w:pStyle w:val="P68B1DB1-Normal13"/>
              <w:spacing w:after="0" w:line="240" w:lineRule="auto"/>
              <w:jc w:val="center"/>
              <w:rPr>
                <w:rFonts w:cs="Times New Roman"/>
                <w:noProof/>
              </w:rPr>
            </w:pPr>
            <w:r>
              <w:rPr>
                <w:noProof/>
              </w:rPr>
              <w:t>–</w:t>
            </w:r>
          </w:p>
        </w:tc>
        <w:tc>
          <w:tcPr>
            <w:tcW w:w="709" w:type="dxa"/>
            <w:shd w:val="clear" w:color="auto" w:fill="C6EFCE"/>
            <w:noWrap/>
          </w:tcPr>
          <w:p w14:paraId="1FCF9880" w14:textId="55E0B357" w:rsidR="003E1D81" w:rsidRDefault="00EB481C">
            <w:pPr>
              <w:pStyle w:val="P68B1DB1-Normal13"/>
              <w:spacing w:after="0" w:line="240" w:lineRule="auto"/>
              <w:jc w:val="center"/>
              <w:rPr>
                <w:rFonts w:cs="Times New Roman"/>
                <w:noProof/>
              </w:rPr>
            </w:pPr>
            <w:r>
              <w:rPr>
                <w:noProof/>
              </w:rPr>
              <w:t>Szám</w:t>
            </w:r>
          </w:p>
        </w:tc>
        <w:tc>
          <w:tcPr>
            <w:tcW w:w="567" w:type="dxa"/>
            <w:shd w:val="clear" w:color="auto" w:fill="C6EFCE"/>
            <w:noWrap/>
          </w:tcPr>
          <w:p w14:paraId="7A1A1F38" w14:textId="284CE49A" w:rsidR="003E1D81" w:rsidRDefault="00EB481C">
            <w:pPr>
              <w:pStyle w:val="P68B1DB1-Normal13"/>
              <w:spacing w:after="0" w:line="240" w:lineRule="auto"/>
              <w:jc w:val="right"/>
              <w:rPr>
                <w:rFonts w:cs="Times New Roman"/>
                <w:noProof/>
              </w:rPr>
            </w:pPr>
            <w:r>
              <w:rPr>
                <w:noProof/>
              </w:rPr>
              <w:t>0</w:t>
            </w:r>
          </w:p>
        </w:tc>
        <w:tc>
          <w:tcPr>
            <w:tcW w:w="709" w:type="dxa"/>
            <w:shd w:val="clear" w:color="auto" w:fill="C6EFCE"/>
            <w:noWrap/>
          </w:tcPr>
          <w:p w14:paraId="572C9470" w14:textId="28EAB32D" w:rsidR="003E1D81" w:rsidRDefault="00EB481C">
            <w:pPr>
              <w:pStyle w:val="P68B1DB1-Normal13"/>
              <w:spacing w:after="0" w:line="240" w:lineRule="auto"/>
              <w:jc w:val="center"/>
              <w:rPr>
                <w:rFonts w:cs="Times New Roman"/>
                <w:noProof/>
              </w:rPr>
            </w:pPr>
            <w:r>
              <w:rPr>
                <w:noProof/>
              </w:rPr>
              <w:t>400</w:t>
            </w:r>
          </w:p>
        </w:tc>
        <w:tc>
          <w:tcPr>
            <w:tcW w:w="709" w:type="dxa"/>
            <w:shd w:val="clear" w:color="auto" w:fill="C6EFCE"/>
            <w:noWrap/>
          </w:tcPr>
          <w:p w14:paraId="64477882" w14:textId="4EE886E9"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24E6FBAE" w14:textId="498C7003" w:rsidR="003E1D81" w:rsidRDefault="00EB481C">
            <w:pPr>
              <w:pStyle w:val="P68B1DB1-Normal13"/>
              <w:spacing w:after="0" w:line="240" w:lineRule="auto"/>
              <w:jc w:val="center"/>
              <w:rPr>
                <w:rFonts w:cs="Times New Roman"/>
                <w:noProof/>
              </w:rPr>
            </w:pPr>
            <w:r>
              <w:rPr>
                <w:noProof/>
              </w:rPr>
              <w:t>2023</w:t>
            </w:r>
          </w:p>
        </w:tc>
        <w:tc>
          <w:tcPr>
            <w:tcW w:w="6837" w:type="dxa"/>
            <w:shd w:val="clear" w:color="auto" w:fill="C6EFCE"/>
            <w:noWrap/>
          </w:tcPr>
          <w:p w14:paraId="4C51FDA1" w14:textId="2BB1F4FD" w:rsidR="003E1D81" w:rsidRDefault="00EB481C">
            <w:pPr>
              <w:pStyle w:val="P68B1DB1-Normal13"/>
              <w:spacing w:after="0" w:line="240" w:lineRule="auto"/>
              <w:rPr>
                <w:rFonts w:cs="Times New Roman"/>
                <w:noProof/>
              </w:rPr>
            </w:pPr>
            <w:r>
              <w:rPr>
                <w:noProof/>
              </w:rPr>
              <w:t xml:space="preserve">A nonprofit és nonprofit </w:t>
            </w:r>
            <w:r>
              <w:rPr>
                <w:noProof/>
              </w:rPr>
              <w:t>szervezetek kulturális tevékenységének fellendítése a nem városi területeken (400 kezdeményezés).</w:t>
            </w:r>
          </w:p>
        </w:tc>
      </w:tr>
      <w:tr w:rsidR="003E1D81" w14:paraId="088863CB" w14:textId="77777777">
        <w:trPr>
          <w:trHeight w:val="309"/>
        </w:trPr>
        <w:tc>
          <w:tcPr>
            <w:tcW w:w="851" w:type="dxa"/>
            <w:shd w:val="clear" w:color="auto" w:fill="C6EFCE"/>
            <w:noWrap/>
          </w:tcPr>
          <w:p w14:paraId="43E4F141" w14:textId="61730DA1" w:rsidR="003E1D81" w:rsidRDefault="00EB481C">
            <w:pPr>
              <w:pStyle w:val="P68B1DB1-Normal13"/>
              <w:spacing w:after="0" w:line="240" w:lineRule="auto"/>
              <w:jc w:val="center"/>
              <w:rPr>
                <w:rFonts w:cs="Times New Roman"/>
                <w:noProof/>
              </w:rPr>
            </w:pPr>
            <w:r>
              <w:rPr>
                <w:noProof/>
              </w:rPr>
              <w:t>358</w:t>
            </w:r>
          </w:p>
        </w:tc>
        <w:tc>
          <w:tcPr>
            <w:tcW w:w="993" w:type="dxa"/>
            <w:shd w:val="clear" w:color="auto" w:fill="C6EFCE"/>
            <w:noWrap/>
          </w:tcPr>
          <w:p w14:paraId="4108274D" w14:textId="15DEBE32" w:rsidR="003E1D81" w:rsidRDefault="00EB481C">
            <w:pPr>
              <w:pStyle w:val="P68B1DB1-Normal13"/>
              <w:spacing w:after="0" w:line="240" w:lineRule="auto"/>
              <w:jc w:val="center"/>
              <w:rPr>
                <w:rFonts w:cs="Times New Roman"/>
                <w:noProof/>
              </w:rPr>
            </w:pPr>
            <w:r>
              <w:rPr>
                <w:noProof/>
              </w:rPr>
              <w:t>C24.I2</w:t>
            </w:r>
          </w:p>
        </w:tc>
        <w:tc>
          <w:tcPr>
            <w:tcW w:w="850" w:type="dxa"/>
            <w:shd w:val="clear" w:color="auto" w:fill="C6EFCE"/>
            <w:noWrap/>
          </w:tcPr>
          <w:p w14:paraId="70D882E5" w14:textId="1D3347E7" w:rsidR="003E1D81" w:rsidRDefault="00EB481C">
            <w:pPr>
              <w:pStyle w:val="P68B1DB1-Normal13"/>
              <w:spacing w:after="0" w:line="240" w:lineRule="auto"/>
              <w:jc w:val="center"/>
              <w:rPr>
                <w:rFonts w:cs="Times New Roman"/>
                <w:noProof/>
              </w:rPr>
            </w:pPr>
            <w:r>
              <w:rPr>
                <w:noProof/>
              </w:rPr>
              <w:t>T</w:t>
            </w:r>
          </w:p>
        </w:tc>
        <w:tc>
          <w:tcPr>
            <w:tcW w:w="1701" w:type="dxa"/>
            <w:shd w:val="clear" w:color="auto" w:fill="C6EFCE"/>
            <w:noWrap/>
          </w:tcPr>
          <w:p w14:paraId="3D2287CC" w14:textId="535A242F" w:rsidR="003E1D81" w:rsidRDefault="00EB481C">
            <w:pPr>
              <w:pStyle w:val="P68B1DB1-Normal13"/>
              <w:spacing w:after="0" w:line="240" w:lineRule="auto"/>
              <w:rPr>
                <w:rFonts w:cs="Times New Roman"/>
                <w:noProof/>
              </w:rPr>
            </w:pPr>
            <w:r>
              <w:rPr>
                <w:noProof/>
              </w:rPr>
              <w:t>Könyvvásárlás könyvtárak számára</w:t>
            </w:r>
          </w:p>
        </w:tc>
        <w:tc>
          <w:tcPr>
            <w:tcW w:w="992" w:type="dxa"/>
            <w:shd w:val="clear" w:color="auto" w:fill="C6EFCE"/>
            <w:noWrap/>
          </w:tcPr>
          <w:p w14:paraId="70C079A5" w14:textId="442B12EA" w:rsidR="003E1D81" w:rsidRDefault="00EB481C">
            <w:pPr>
              <w:pStyle w:val="P68B1DB1-Normal13"/>
              <w:spacing w:after="0" w:line="240" w:lineRule="auto"/>
              <w:jc w:val="center"/>
              <w:rPr>
                <w:rFonts w:cs="Times New Roman"/>
                <w:noProof/>
              </w:rPr>
            </w:pPr>
            <w:r>
              <w:rPr>
                <w:noProof/>
              </w:rPr>
              <w:t>–</w:t>
            </w:r>
          </w:p>
        </w:tc>
        <w:tc>
          <w:tcPr>
            <w:tcW w:w="709" w:type="dxa"/>
            <w:shd w:val="clear" w:color="auto" w:fill="C6EFCE"/>
            <w:noWrap/>
          </w:tcPr>
          <w:p w14:paraId="2307954C" w14:textId="43816DCE" w:rsidR="003E1D81" w:rsidRDefault="00EB481C">
            <w:pPr>
              <w:pStyle w:val="P68B1DB1-Normal13"/>
              <w:spacing w:after="0" w:line="240" w:lineRule="auto"/>
              <w:jc w:val="center"/>
              <w:rPr>
                <w:rFonts w:cs="Times New Roman"/>
                <w:noProof/>
              </w:rPr>
            </w:pPr>
            <w:r>
              <w:rPr>
                <w:noProof/>
              </w:rPr>
              <w:t>Szám</w:t>
            </w:r>
          </w:p>
        </w:tc>
        <w:tc>
          <w:tcPr>
            <w:tcW w:w="567" w:type="dxa"/>
            <w:shd w:val="clear" w:color="auto" w:fill="C6EFCE"/>
            <w:noWrap/>
          </w:tcPr>
          <w:p w14:paraId="74F73CE1" w14:textId="575E46A9" w:rsidR="003E1D81" w:rsidRDefault="00EB481C">
            <w:pPr>
              <w:pStyle w:val="P68B1DB1-Normal13"/>
              <w:spacing w:after="0" w:line="240" w:lineRule="auto"/>
              <w:jc w:val="right"/>
              <w:rPr>
                <w:rFonts w:cs="Times New Roman"/>
                <w:noProof/>
              </w:rPr>
            </w:pPr>
            <w:r>
              <w:rPr>
                <w:noProof/>
              </w:rPr>
              <w:t>0</w:t>
            </w:r>
          </w:p>
        </w:tc>
        <w:tc>
          <w:tcPr>
            <w:tcW w:w="709" w:type="dxa"/>
            <w:shd w:val="clear" w:color="auto" w:fill="C6EFCE"/>
            <w:noWrap/>
          </w:tcPr>
          <w:p w14:paraId="4BE76D63" w14:textId="56C99E88" w:rsidR="003E1D81" w:rsidRDefault="00EB481C">
            <w:pPr>
              <w:pStyle w:val="P68B1DB1-Normal13"/>
              <w:spacing w:after="0" w:line="240" w:lineRule="auto"/>
              <w:jc w:val="center"/>
              <w:rPr>
                <w:rFonts w:cs="Times New Roman"/>
                <w:noProof/>
              </w:rPr>
            </w:pPr>
            <w:r>
              <w:rPr>
                <w:noProof/>
              </w:rPr>
              <w:t>450 000</w:t>
            </w:r>
          </w:p>
        </w:tc>
        <w:tc>
          <w:tcPr>
            <w:tcW w:w="709" w:type="dxa"/>
            <w:shd w:val="clear" w:color="auto" w:fill="C6EFCE"/>
            <w:noWrap/>
          </w:tcPr>
          <w:p w14:paraId="085C4D4E" w14:textId="0FD398C8"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580E50BF" w14:textId="4398EE2C" w:rsidR="003E1D81" w:rsidRDefault="00EB481C">
            <w:pPr>
              <w:pStyle w:val="P68B1DB1-Normal13"/>
              <w:spacing w:after="0" w:line="240" w:lineRule="auto"/>
              <w:jc w:val="center"/>
              <w:rPr>
                <w:rFonts w:cs="Times New Roman"/>
                <w:noProof/>
              </w:rPr>
            </w:pPr>
            <w:r>
              <w:rPr>
                <w:noProof/>
              </w:rPr>
              <w:t>2024</w:t>
            </w:r>
          </w:p>
        </w:tc>
        <w:tc>
          <w:tcPr>
            <w:tcW w:w="6837" w:type="dxa"/>
            <w:shd w:val="clear" w:color="auto" w:fill="C6EFCE"/>
            <w:noWrap/>
          </w:tcPr>
          <w:p w14:paraId="383C9E0E" w14:textId="5CF5ECB1" w:rsidR="003E1D81" w:rsidRDefault="00EB481C">
            <w:pPr>
              <w:pStyle w:val="P68B1DB1-Normal13"/>
              <w:spacing w:after="0" w:line="240" w:lineRule="auto"/>
              <w:rPr>
                <w:rFonts w:cs="Times New Roman"/>
                <w:noProof/>
              </w:rPr>
            </w:pPr>
            <w:r>
              <w:rPr>
                <w:noProof/>
              </w:rPr>
              <w:t xml:space="preserve">Megvásárolt és közkönyvtárakba áthelyezett papíralapú könyvek (legalább 450000) </w:t>
            </w:r>
          </w:p>
        </w:tc>
      </w:tr>
      <w:tr w:rsidR="003E1D81" w14:paraId="7A3790D5" w14:textId="77777777">
        <w:trPr>
          <w:trHeight w:val="309"/>
        </w:trPr>
        <w:tc>
          <w:tcPr>
            <w:tcW w:w="851" w:type="dxa"/>
            <w:shd w:val="clear" w:color="auto" w:fill="C6EFCE"/>
            <w:noWrap/>
          </w:tcPr>
          <w:p w14:paraId="0AB7620F" w14:textId="77777777" w:rsidR="003E1D81" w:rsidRDefault="00EB481C">
            <w:pPr>
              <w:pStyle w:val="P68B1DB1-Normal13"/>
              <w:spacing w:after="0" w:line="240" w:lineRule="auto"/>
              <w:jc w:val="center"/>
              <w:rPr>
                <w:rFonts w:eastAsia="Times New Roman" w:cs="Times New Roman"/>
                <w:noProof/>
              </w:rPr>
            </w:pPr>
            <w:r>
              <w:rPr>
                <w:noProof/>
              </w:rPr>
              <w:t>356</w:t>
            </w:r>
          </w:p>
        </w:tc>
        <w:tc>
          <w:tcPr>
            <w:tcW w:w="993" w:type="dxa"/>
            <w:shd w:val="clear" w:color="auto" w:fill="C6EFCE"/>
            <w:noWrap/>
          </w:tcPr>
          <w:p w14:paraId="38397E2A" w14:textId="77777777" w:rsidR="003E1D81" w:rsidRDefault="00EB481C">
            <w:pPr>
              <w:pStyle w:val="P68B1DB1-Normal13"/>
              <w:spacing w:after="0" w:line="240" w:lineRule="auto"/>
              <w:jc w:val="center"/>
              <w:rPr>
                <w:rFonts w:eastAsia="Times New Roman" w:cs="Times New Roman"/>
                <w:noProof/>
              </w:rPr>
            </w:pPr>
            <w:r>
              <w:rPr>
                <w:noProof/>
              </w:rPr>
              <w:t>C24.I2</w:t>
            </w:r>
          </w:p>
        </w:tc>
        <w:tc>
          <w:tcPr>
            <w:tcW w:w="850" w:type="dxa"/>
            <w:shd w:val="clear" w:color="auto" w:fill="C6EFCE"/>
            <w:noWrap/>
          </w:tcPr>
          <w:p w14:paraId="10A9EB40" w14:textId="77777777" w:rsidR="003E1D81" w:rsidRDefault="00EB481C">
            <w:pPr>
              <w:pStyle w:val="P68B1DB1-Normal13"/>
              <w:spacing w:after="0" w:line="240" w:lineRule="auto"/>
              <w:jc w:val="center"/>
              <w:rPr>
                <w:rFonts w:eastAsia="Times New Roman" w:cs="Times New Roman"/>
                <w:noProof/>
              </w:rPr>
            </w:pPr>
            <w:r>
              <w:rPr>
                <w:noProof/>
              </w:rPr>
              <w:t>T</w:t>
            </w:r>
          </w:p>
        </w:tc>
        <w:tc>
          <w:tcPr>
            <w:tcW w:w="1701" w:type="dxa"/>
            <w:shd w:val="clear" w:color="auto" w:fill="C6EFCE"/>
            <w:noWrap/>
          </w:tcPr>
          <w:p w14:paraId="61B2AF7E" w14:textId="77777777" w:rsidR="003E1D81" w:rsidRDefault="00EB481C">
            <w:pPr>
              <w:pStyle w:val="P68B1DB1-Normal13"/>
              <w:spacing w:after="0" w:line="240" w:lineRule="auto"/>
              <w:rPr>
                <w:rFonts w:eastAsia="Times New Roman" w:cs="Times New Roman"/>
                <w:noProof/>
              </w:rPr>
            </w:pPr>
            <w:r>
              <w:rPr>
                <w:noProof/>
              </w:rPr>
              <w:t>A spanyol kulturális örökség megőrzése, helyreállítása és fejlesztése</w:t>
            </w:r>
          </w:p>
        </w:tc>
        <w:tc>
          <w:tcPr>
            <w:tcW w:w="992" w:type="dxa"/>
            <w:shd w:val="clear" w:color="auto" w:fill="C6EFCE"/>
            <w:noWrap/>
          </w:tcPr>
          <w:p w14:paraId="1F036C49"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615DFB7E"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567" w:type="dxa"/>
            <w:shd w:val="clear" w:color="auto" w:fill="C6EFCE"/>
            <w:noWrap/>
          </w:tcPr>
          <w:p w14:paraId="6D85FBD8"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481B7CF6" w14:textId="65448DF9" w:rsidR="003E1D81" w:rsidRDefault="00EB481C">
            <w:pPr>
              <w:pStyle w:val="P68B1DB1-Normal13"/>
              <w:spacing w:after="0" w:line="240" w:lineRule="auto"/>
              <w:jc w:val="center"/>
              <w:rPr>
                <w:rFonts w:eastAsia="Times New Roman" w:cs="Times New Roman"/>
                <w:noProof/>
              </w:rPr>
            </w:pPr>
            <w:r>
              <w:rPr>
                <w:noProof/>
              </w:rPr>
              <w:t>19</w:t>
            </w:r>
          </w:p>
        </w:tc>
        <w:tc>
          <w:tcPr>
            <w:tcW w:w="709" w:type="dxa"/>
            <w:shd w:val="clear" w:color="auto" w:fill="C6EFCE"/>
            <w:noWrap/>
          </w:tcPr>
          <w:p w14:paraId="6195CDFF" w14:textId="44759E5F"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4B0C874D" w14:textId="6F4976BB" w:rsidR="003E1D81" w:rsidRDefault="00EB481C">
            <w:pPr>
              <w:pStyle w:val="P68B1DB1-Normal13"/>
              <w:spacing w:after="0" w:line="240" w:lineRule="auto"/>
              <w:jc w:val="center"/>
              <w:rPr>
                <w:rFonts w:eastAsia="Times New Roman" w:cs="Times New Roman"/>
                <w:noProof/>
              </w:rPr>
            </w:pPr>
            <w:r>
              <w:rPr>
                <w:noProof/>
              </w:rPr>
              <w:t>2025</w:t>
            </w:r>
          </w:p>
        </w:tc>
        <w:tc>
          <w:tcPr>
            <w:tcW w:w="6837" w:type="dxa"/>
            <w:shd w:val="clear" w:color="auto" w:fill="C6EFCE"/>
            <w:noWrap/>
          </w:tcPr>
          <w:p w14:paraId="3AAF82BE" w14:textId="705CC410" w:rsidR="003E1D81" w:rsidRDefault="00EB481C">
            <w:pPr>
              <w:pStyle w:val="P68B1DB1-Normal13"/>
              <w:spacing w:after="0" w:line="240" w:lineRule="auto"/>
              <w:rPr>
                <w:rFonts w:eastAsia="Times New Roman" w:cs="Times New Roman"/>
                <w:noProof/>
              </w:rPr>
            </w:pPr>
            <w:r>
              <w:rPr>
                <w:noProof/>
              </w:rPr>
              <w:t>A spanyol kulturális örökség megőrzésére, helyreállítására és fejlesztésére irányuló intézkedésekkel támogatott kulturális helyszínek: legalább 19 helyszín legalább 15 régióban, összhangban a jelentős károkozás elkerülését célzó technikai iránymutatással (</w:t>
            </w:r>
            <w:r>
              <w:rPr>
                <w:noProof/>
              </w:rPr>
              <w:t xml:space="preserve">2021/C58/01) a kizárási lista és a vonatkozó uniós és nemzeti környezetvédelmi jogszabályoknak való megfelelés követelménye révén. </w:t>
            </w:r>
          </w:p>
        </w:tc>
      </w:tr>
      <w:tr w:rsidR="003E1D81" w14:paraId="08616C98" w14:textId="77777777">
        <w:trPr>
          <w:trHeight w:val="309"/>
        </w:trPr>
        <w:tc>
          <w:tcPr>
            <w:tcW w:w="851" w:type="dxa"/>
            <w:shd w:val="clear" w:color="auto" w:fill="C6EFCE"/>
            <w:noWrap/>
          </w:tcPr>
          <w:p w14:paraId="7998F435" w14:textId="1B76DA72" w:rsidR="003E1D81" w:rsidRDefault="00EB481C">
            <w:pPr>
              <w:pStyle w:val="P68B1DB1-Normal13"/>
              <w:spacing w:after="0" w:line="240" w:lineRule="auto"/>
              <w:jc w:val="center"/>
              <w:rPr>
                <w:rFonts w:cs="Times New Roman"/>
                <w:noProof/>
              </w:rPr>
            </w:pPr>
            <w:r>
              <w:rPr>
                <w:noProof/>
              </w:rPr>
              <w:t>474</w:t>
            </w:r>
          </w:p>
        </w:tc>
        <w:tc>
          <w:tcPr>
            <w:tcW w:w="993" w:type="dxa"/>
            <w:shd w:val="clear" w:color="auto" w:fill="C6EFCE"/>
            <w:noWrap/>
          </w:tcPr>
          <w:p w14:paraId="7BDD887E" w14:textId="39A7132B" w:rsidR="003E1D81" w:rsidRDefault="00EB481C">
            <w:pPr>
              <w:pStyle w:val="P68B1DB1-Normal13"/>
              <w:spacing w:after="0" w:line="240" w:lineRule="auto"/>
              <w:jc w:val="center"/>
              <w:rPr>
                <w:rFonts w:cs="Times New Roman"/>
                <w:noProof/>
              </w:rPr>
            </w:pPr>
            <w:r>
              <w:rPr>
                <w:noProof/>
              </w:rPr>
              <w:t>C24.I2</w:t>
            </w:r>
          </w:p>
        </w:tc>
        <w:tc>
          <w:tcPr>
            <w:tcW w:w="850" w:type="dxa"/>
            <w:shd w:val="clear" w:color="auto" w:fill="C6EFCE"/>
            <w:noWrap/>
          </w:tcPr>
          <w:p w14:paraId="7CCA31B2" w14:textId="59972499" w:rsidR="003E1D81" w:rsidRDefault="00EB481C">
            <w:pPr>
              <w:pStyle w:val="P68B1DB1-Normal13"/>
              <w:spacing w:after="0" w:line="240" w:lineRule="auto"/>
              <w:jc w:val="center"/>
              <w:rPr>
                <w:rFonts w:cs="Times New Roman"/>
                <w:noProof/>
              </w:rPr>
            </w:pPr>
            <w:r>
              <w:rPr>
                <w:noProof/>
              </w:rPr>
              <w:t>T</w:t>
            </w:r>
          </w:p>
        </w:tc>
        <w:tc>
          <w:tcPr>
            <w:tcW w:w="1701" w:type="dxa"/>
            <w:shd w:val="clear" w:color="auto" w:fill="C6EFCE"/>
            <w:noWrap/>
          </w:tcPr>
          <w:p w14:paraId="73E17777" w14:textId="1663E278" w:rsidR="003E1D81" w:rsidRDefault="00EB481C">
            <w:pPr>
              <w:pStyle w:val="P68B1DB1-Normal13"/>
              <w:spacing w:after="0" w:line="240" w:lineRule="auto"/>
              <w:rPr>
                <w:rFonts w:cs="Times New Roman"/>
                <w:noProof/>
              </w:rPr>
            </w:pPr>
            <w:r>
              <w:rPr>
                <w:noProof/>
              </w:rPr>
              <w:t>A spanyol kulturális örökség megőrzése, helyreállítása és fejlesztése (Tabacalera)</w:t>
            </w:r>
          </w:p>
        </w:tc>
        <w:tc>
          <w:tcPr>
            <w:tcW w:w="992" w:type="dxa"/>
            <w:shd w:val="clear" w:color="auto" w:fill="C6EFCE"/>
            <w:noWrap/>
          </w:tcPr>
          <w:p w14:paraId="2BB10F89" w14:textId="77777777" w:rsidR="003E1D81" w:rsidRDefault="003E1D81">
            <w:pPr>
              <w:spacing w:after="0" w:line="240" w:lineRule="auto"/>
              <w:jc w:val="center"/>
              <w:rPr>
                <w:rFonts w:ascii="Times New Roman" w:hAnsi="Times New Roman" w:cs="Times New Roman"/>
                <w:noProof/>
                <w:sz w:val="18"/>
              </w:rPr>
            </w:pPr>
          </w:p>
        </w:tc>
        <w:tc>
          <w:tcPr>
            <w:tcW w:w="709" w:type="dxa"/>
            <w:shd w:val="clear" w:color="auto" w:fill="C6EFCE"/>
            <w:noWrap/>
          </w:tcPr>
          <w:p w14:paraId="42ADC5A0" w14:textId="77777777" w:rsidR="003E1D81" w:rsidRDefault="003E1D81">
            <w:pPr>
              <w:spacing w:after="0" w:line="240" w:lineRule="auto"/>
              <w:jc w:val="center"/>
              <w:rPr>
                <w:rFonts w:ascii="Times New Roman" w:hAnsi="Times New Roman" w:cs="Times New Roman"/>
                <w:noProof/>
                <w:sz w:val="18"/>
              </w:rPr>
            </w:pPr>
          </w:p>
        </w:tc>
        <w:tc>
          <w:tcPr>
            <w:tcW w:w="567" w:type="dxa"/>
            <w:shd w:val="clear" w:color="auto" w:fill="C6EFCE"/>
            <w:noWrap/>
          </w:tcPr>
          <w:p w14:paraId="1F835036" w14:textId="77777777" w:rsidR="003E1D81" w:rsidRDefault="003E1D81">
            <w:pPr>
              <w:spacing w:after="0" w:line="240" w:lineRule="auto"/>
              <w:jc w:val="right"/>
              <w:rPr>
                <w:rFonts w:ascii="Times New Roman" w:hAnsi="Times New Roman" w:cs="Times New Roman"/>
                <w:noProof/>
                <w:sz w:val="18"/>
              </w:rPr>
            </w:pPr>
          </w:p>
        </w:tc>
        <w:tc>
          <w:tcPr>
            <w:tcW w:w="709" w:type="dxa"/>
            <w:shd w:val="clear" w:color="auto" w:fill="C6EFCE"/>
            <w:noWrap/>
          </w:tcPr>
          <w:p w14:paraId="0BA8ED3B" w14:textId="77777777" w:rsidR="003E1D81" w:rsidRDefault="003E1D81">
            <w:pPr>
              <w:spacing w:after="0" w:line="240" w:lineRule="auto"/>
              <w:jc w:val="center"/>
              <w:rPr>
                <w:rFonts w:ascii="Times New Roman" w:hAnsi="Times New Roman" w:cs="Times New Roman"/>
                <w:noProof/>
                <w:sz w:val="18"/>
              </w:rPr>
            </w:pPr>
          </w:p>
        </w:tc>
        <w:tc>
          <w:tcPr>
            <w:tcW w:w="709" w:type="dxa"/>
            <w:shd w:val="clear" w:color="auto" w:fill="C6EFCE"/>
            <w:noWrap/>
          </w:tcPr>
          <w:p w14:paraId="6AA19A17" w14:textId="10F3C3C1" w:rsidR="003E1D81" w:rsidRDefault="00EB481C">
            <w:pPr>
              <w:pStyle w:val="P68B1DB1-Normal13"/>
              <w:spacing w:after="0" w:line="240" w:lineRule="auto"/>
              <w:jc w:val="center"/>
              <w:rPr>
                <w:rFonts w:cs="Times New Roman"/>
                <w:noProof/>
              </w:rPr>
            </w:pPr>
            <w:r>
              <w:rPr>
                <w:noProof/>
              </w:rPr>
              <w:t>KÉRDÉS</w:t>
            </w:r>
          </w:p>
        </w:tc>
        <w:tc>
          <w:tcPr>
            <w:tcW w:w="567" w:type="dxa"/>
            <w:shd w:val="clear" w:color="auto" w:fill="C6EFCE"/>
            <w:noWrap/>
          </w:tcPr>
          <w:p w14:paraId="54A16442" w14:textId="72A97264" w:rsidR="003E1D81" w:rsidRDefault="00EB481C">
            <w:pPr>
              <w:pStyle w:val="P68B1DB1-Normal13"/>
              <w:spacing w:after="0" w:line="240" w:lineRule="auto"/>
              <w:jc w:val="center"/>
              <w:rPr>
                <w:rFonts w:cs="Times New Roman"/>
                <w:noProof/>
              </w:rPr>
            </w:pPr>
            <w:r>
              <w:rPr>
                <w:noProof/>
              </w:rPr>
              <w:t>2026</w:t>
            </w:r>
          </w:p>
        </w:tc>
        <w:tc>
          <w:tcPr>
            <w:tcW w:w="6837" w:type="dxa"/>
            <w:shd w:val="clear" w:color="auto" w:fill="C6EFCE"/>
            <w:noWrap/>
          </w:tcPr>
          <w:p w14:paraId="4E901423" w14:textId="699657C4" w:rsidR="003E1D81" w:rsidRDefault="00EB481C">
            <w:pPr>
              <w:pStyle w:val="P68B1DB1-Normal13"/>
              <w:spacing w:after="0" w:line="240" w:lineRule="auto"/>
              <w:rPr>
                <w:rFonts w:cs="Times New Roman"/>
                <w:noProof/>
              </w:rPr>
            </w:pPr>
            <w:r>
              <w:rPr>
                <w:noProof/>
              </w:rPr>
              <w:t xml:space="preserve">A madridi </w:t>
            </w:r>
            <w:r>
              <w:rPr>
                <w:noProof/>
              </w:rPr>
              <w:t>Tabacalera kulturális helyszíne támogatta a spanyol kulturális örökség megőrzésére, helyreállítására és fejlesztésére irányuló intézkedéseket.</w:t>
            </w:r>
          </w:p>
        </w:tc>
      </w:tr>
      <w:tr w:rsidR="003E1D81" w14:paraId="339482E8" w14:textId="77777777">
        <w:trPr>
          <w:trHeight w:val="309"/>
        </w:trPr>
        <w:tc>
          <w:tcPr>
            <w:tcW w:w="851" w:type="dxa"/>
            <w:shd w:val="clear" w:color="auto" w:fill="C6EFCE"/>
            <w:noWrap/>
          </w:tcPr>
          <w:p w14:paraId="4ED03302" w14:textId="77777777" w:rsidR="003E1D81" w:rsidRDefault="00EB481C">
            <w:pPr>
              <w:pStyle w:val="P68B1DB1-Normal13"/>
              <w:spacing w:after="0" w:line="240" w:lineRule="auto"/>
              <w:jc w:val="center"/>
              <w:rPr>
                <w:rFonts w:eastAsia="Times New Roman" w:cs="Times New Roman"/>
                <w:noProof/>
              </w:rPr>
            </w:pPr>
            <w:r>
              <w:rPr>
                <w:noProof/>
              </w:rPr>
              <w:t>360</w:t>
            </w:r>
          </w:p>
        </w:tc>
        <w:tc>
          <w:tcPr>
            <w:tcW w:w="993" w:type="dxa"/>
            <w:shd w:val="clear" w:color="auto" w:fill="C6EFCE"/>
            <w:noWrap/>
          </w:tcPr>
          <w:p w14:paraId="2441C253" w14:textId="77777777" w:rsidR="003E1D81" w:rsidRDefault="00EB481C">
            <w:pPr>
              <w:pStyle w:val="P68B1DB1-Normal13"/>
              <w:spacing w:after="0" w:line="240" w:lineRule="auto"/>
              <w:jc w:val="center"/>
              <w:rPr>
                <w:rFonts w:eastAsia="Times New Roman" w:cs="Times New Roman"/>
                <w:noProof/>
              </w:rPr>
            </w:pPr>
            <w:r>
              <w:rPr>
                <w:noProof/>
              </w:rPr>
              <w:t>C24.I3</w:t>
            </w:r>
          </w:p>
        </w:tc>
        <w:tc>
          <w:tcPr>
            <w:tcW w:w="850" w:type="dxa"/>
            <w:shd w:val="clear" w:color="auto" w:fill="C6EFCE"/>
            <w:noWrap/>
          </w:tcPr>
          <w:p w14:paraId="09C8B888" w14:textId="77777777" w:rsidR="003E1D81" w:rsidRDefault="00EB481C">
            <w:pPr>
              <w:pStyle w:val="P68B1DB1-Normal13"/>
              <w:spacing w:after="0" w:line="240" w:lineRule="auto"/>
              <w:jc w:val="center"/>
              <w:rPr>
                <w:rFonts w:eastAsia="Times New Roman" w:cs="Times New Roman"/>
                <w:noProof/>
              </w:rPr>
            </w:pPr>
            <w:r>
              <w:rPr>
                <w:noProof/>
              </w:rPr>
              <w:t>T</w:t>
            </w:r>
          </w:p>
        </w:tc>
        <w:tc>
          <w:tcPr>
            <w:tcW w:w="1701" w:type="dxa"/>
            <w:shd w:val="clear" w:color="auto" w:fill="C6EFCE"/>
            <w:noWrap/>
          </w:tcPr>
          <w:p w14:paraId="745BECBB" w14:textId="77777777" w:rsidR="003E1D81" w:rsidRDefault="00EB481C">
            <w:pPr>
              <w:pStyle w:val="P68B1DB1-Normal13"/>
              <w:spacing w:after="0" w:line="240" w:lineRule="auto"/>
              <w:rPr>
                <w:rFonts w:eastAsia="Times New Roman" w:cs="Times New Roman"/>
                <w:noProof/>
              </w:rPr>
            </w:pPr>
            <w:r>
              <w:rPr>
                <w:noProof/>
              </w:rPr>
              <w:t xml:space="preserve">Digitalizáció és a főbb kulturális szolgáltatások előmozdítása </w:t>
            </w:r>
          </w:p>
        </w:tc>
        <w:tc>
          <w:tcPr>
            <w:tcW w:w="992" w:type="dxa"/>
            <w:shd w:val="clear" w:color="auto" w:fill="C6EFCE"/>
            <w:noWrap/>
          </w:tcPr>
          <w:p w14:paraId="0595AC09"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59F59089" w14:textId="77777777" w:rsidR="003E1D81" w:rsidRDefault="00EB481C">
            <w:pPr>
              <w:pStyle w:val="P68B1DB1-Normal13"/>
              <w:spacing w:after="0" w:line="240" w:lineRule="auto"/>
              <w:jc w:val="center"/>
              <w:rPr>
                <w:rFonts w:eastAsia="Times New Roman" w:cs="Times New Roman"/>
                <w:noProof/>
              </w:rPr>
            </w:pPr>
            <w:r>
              <w:rPr>
                <w:noProof/>
              </w:rPr>
              <w:t>Millió EUR</w:t>
            </w:r>
          </w:p>
        </w:tc>
        <w:tc>
          <w:tcPr>
            <w:tcW w:w="567" w:type="dxa"/>
            <w:shd w:val="clear" w:color="auto" w:fill="C6EFCE"/>
            <w:noWrap/>
          </w:tcPr>
          <w:p w14:paraId="3CB6CB9C"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4BADF278" w14:textId="77777777" w:rsidR="003E1D81" w:rsidRDefault="00EB481C">
            <w:pPr>
              <w:pStyle w:val="P68B1DB1-Normal13"/>
              <w:spacing w:after="0" w:line="240" w:lineRule="auto"/>
              <w:jc w:val="center"/>
              <w:rPr>
                <w:rFonts w:eastAsia="Times New Roman" w:cs="Times New Roman"/>
                <w:noProof/>
              </w:rPr>
            </w:pPr>
            <w:r>
              <w:rPr>
                <w:noProof/>
              </w:rPr>
              <w:t>40</w:t>
            </w:r>
          </w:p>
        </w:tc>
        <w:tc>
          <w:tcPr>
            <w:tcW w:w="709" w:type="dxa"/>
            <w:shd w:val="clear" w:color="auto" w:fill="C6EFCE"/>
            <w:noWrap/>
          </w:tcPr>
          <w:p w14:paraId="6B3BB46A"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567" w:type="dxa"/>
            <w:shd w:val="clear" w:color="auto" w:fill="C6EFCE"/>
            <w:noWrap/>
          </w:tcPr>
          <w:p w14:paraId="6C854A01" w14:textId="77777777" w:rsidR="003E1D81" w:rsidRDefault="00EB481C">
            <w:pPr>
              <w:pStyle w:val="P68B1DB1-Normal13"/>
              <w:spacing w:after="0" w:line="240" w:lineRule="auto"/>
              <w:jc w:val="center"/>
              <w:rPr>
                <w:rFonts w:eastAsia="Times New Roman" w:cs="Times New Roman"/>
                <w:noProof/>
              </w:rPr>
            </w:pPr>
            <w:r>
              <w:rPr>
                <w:noProof/>
              </w:rPr>
              <w:t>2022</w:t>
            </w:r>
          </w:p>
        </w:tc>
        <w:tc>
          <w:tcPr>
            <w:tcW w:w="6837" w:type="dxa"/>
            <w:shd w:val="clear" w:color="auto" w:fill="C6EFCE"/>
            <w:noWrap/>
          </w:tcPr>
          <w:p w14:paraId="5075002C" w14:textId="77777777" w:rsidR="003E1D81" w:rsidRDefault="00EB481C">
            <w:pPr>
              <w:pStyle w:val="P68B1DB1-Normal13"/>
              <w:spacing w:after="0" w:line="240" w:lineRule="auto"/>
              <w:rPr>
                <w:rFonts w:eastAsia="Times New Roman" w:cs="Times New Roman"/>
                <w:noProof/>
              </w:rPr>
            </w:pPr>
            <w:r>
              <w:rPr>
                <w:noProof/>
              </w:rPr>
              <w:t xml:space="preserve">Legalább 40 000 000 EUR összegű kumulált költségvetés a következőkhöz való hozzájárulásra: – a Nemzeti Prado Múzeum és a Reina Sofia Múzeum létrehozása és digitalizálása; </w:t>
            </w:r>
            <w:r>
              <w:rPr>
                <w:noProof/>
              </w:rPr>
              <w:br/>
              <w:t>A spanyol nemzeti könyvtár digitális gyűjteményének éves felhasználói számának növel</w:t>
            </w:r>
            <w:r>
              <w:rPr>
                <w:noProof/>
              </w:rPr>
              <w:t xml:space="preserve">ését célzó intézkedések </w:t>
            </w:r>
            <w:r>
              <w:rPr>
                <w:noProof/>
              </w:rPr>
              <w:br/>
              <w:t>A többi bibliográfiai örökség digitalizálása [digitalizált biológiai örökséggyűjtemények];</w:t>
            </w:r>
            <w:r>
              <w:rPr>
                <w:noProof/>
              </w:rPr>
              <w:br/>
              <w:t>A bibliográfiai örökséghez való digitális hozzáférés és a nyilvános levéltári rendszerek valamennyi típusának interoperabilitása, valamint a</w:t>
            </w:r>
            <w:r>
              <w:rPr>
                <w:noProof/>
              </w:rPr>
              <w:t xml:space="preserve"> spanyol történelmi örökség-leltári és levéltári rendszerek adattárolási kapacitásának bővítése;</w:t>
            </w:r>
            <w:r>
              <w:rPr>
                <w:noProof/>
              </w:rPr>
              <w:br/>
              <w:t>Az INAEM erőforrásainak, eszközeinek, struktúráinak és infrastruktúrájának digitalizálására és katalogizálására szolgáló integrált rendszer befejezése</w:t>
            </w:r>
          </w:p>
        </w:tc>
      </w:tr>
      <w:tr w:rsidR="003E1D81" w14:paraId="6111FB52" w14:textId="77777777">
        <w:trPr>
          <w:trHeight w:val="309"/>
        </w:trPr>
        <w:tc>
          <w:tcPr>
            <w:tcW w:w="851" w:type="dxa"/>
            <w:shd w:val="clear" w:color="auto" w:fill="C6EFCE"/>
            <w:noWrap/>
          </w:tcPr>
          <w:p w14:paraId="636EDFD6" w14:textId="77777777" w:rsidR="003E1D81" w:rsidRDefault="00EB481C">
            <w:pPr>
              <w:pStyle w:val="P68B1DB1-Normal13"/>
              <w:spacing w:after="0" w:line="240" w:lineRule="auto"/>
              <w:jc w:val="center"/>
              <w:rPr>
                <w:rFonts w:eastAsia="Times New Roman" w:cs="Times New Roman"/>
                <w:noProof/>
              </w:rPr>
            </w:pPr>
            <w:r>
              <w:rPr>
                <w:noProof/>
              </w:rPr>
              <w:t>361</w:t>
            </w:r>
          </w:p>
        </w:tc>
        <w:tc>
          <w:tcPr>
            <w:tcW w:w="993" w:type="dxa"/>
            <w:shd w:val="clear" w:color="auto" w:fill="C6EFCE"/>
            <w:noWrap/>
          </w:tcPr>
          <w:p w14:paraId="2F8E019D" w14:textId="77777777" w:rsidR="003E1D81" w:rsidRDefault="00EB481C">
            <w:pPr>
              <w:pStyle w:val="P68B1DB1-Normal13"/>
              <w:spacing w:after="0" w:line="240" w:lineRule="auto"/>
              <w:jc w:val="center"/>
              <w:rPr>
                <w:rFonts w:eastAsia="Times New Roman" w:cs="Times New Roman"/>
                <w:noProof/>
              </w:rPr>
            </w:pPr>
            <w:r>
              <w:rPr>
                <w:noProof/>
              </w:rPr>
              <w:t>C24.I3</w:t>
            </w:r>
          </w:p>
        </w:tc>
        <w:tc>
          <w:tcPr>
            <w:tcW w:w="850" w:type="dxa"/>
            <w:shd w:val="clear" w:color="auto" w:fill="C6EFCE"/>
            <w:noWrap/>
          </w:tcPr>
          <w:p w14:paraId="75E0BAF3" w14:textId="77777777" w:rsidR="003E1D81" w:rsidRDefault="00EB481C">
            <w:pPr>
              <w:pStyle w:val="P68B1DB1-Normal13"/>
              <w:spacing w:after="0" w:line="240" w:lineRule="auto"/>
              <w:jc w:val="center"/>
              <w:rPr>
                <w:rFonts w:eastAsia="Times New Roman" w:cs="Times New Roman"/>
                <w:noProof/>
              </w:rPr>
            </w:pPr>
            <w:r>
              <w:rPr>
                <w:noProof/>
              </w:rPr>
              <w:t>T</w:t>
            </w:r>
          </w:p>
        </w:tc>
        <w:tc>
          <w:tcPr>
            <w:tcW w:w="1701" w:type="dxa"/>
            <w:shd w:val="clear" w:color="auto" w:fill="C6EFCE"/>
            <w:noWrap/>
          </w:tcPr>
          <w:p w14:paraId="4970F117" w14:textId="77777777" w:rsidR="003E1D81" w:rsidRDefault="00EB481C">
            <w:pPr>
              <w:pStyle w:val="P68B1DB1-Normal13"/>
              <w:spacing w:after="0" w:line="240" w:lineRule="auto"/>
              <w:rPr>
                <w:rFonts w:eastAsia="Times New Roman" w:cs="Times New Roman"/>
                <w:noProof/>
              </w:rPr>
            </w:pPr>
            <w:r>
              <w:rPr>
                <w:noProof/>
              </w:rPr>
              <w:t xml:space="preserve">A digitalizáció befejezése és a főbb kulturális szolgáltatások előmozdítása </w:t>
            </w:r>
          </w:p>
        </w:tc>
        <w:tc>
          <w:tcPr>
            <w:tcW w:w="992" w:type="dxa"/>
            <w:shd w:val="clear" w:color="auto" w:fill="C6EFCE"/>
            <w:noWrap/>
          </w:tcPr>
          <w:p w14:paraId="0CDDE017" w14:textId="77777777" w:rsidR="003E1D81" w:rsidRDefault="00EB481C">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36EA98F0"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567" w:type="dxa"/>
            <w:shd w:val="clear" w:color="auto" w:fill="C6EFCE"/>
            <w:noWrap/>
          </w:tcPr>
          <w:p w14:paraId="60FA0D12" w14:textId="77777777" w:rsidR="003E1D81" w:rsidRDefault="00EB481C">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73D45C3A" w14:textId="77777777" w:rsidR="003E1D81" w:rsidRDefault="00EB481C">
            <w:pPr>
              <w:pStyle w:val="P68B1DB1-Normal13"/>
              <w:spacing w:after="0" w:line="240" w:lineRule="auto"/>
              <w:jc w:val="center"/>
              <w:rPr>
                <w:rFonts w:eastAsia="Times New Roman" w:cs="Times New Roman"/>
                <w:noProof/>
              </w:rPr>
            </w:pPr>
            <w:r>
              <w:rPr>
                <w:noProof/>
              </w:rPr>
              <w:t>200</w:t>
            </w:r>
          </w:p>
        </w:tc>
        <w:tc>
          <w:tcPr>
            <w:tcW w:w="709" w:type="dxa"/>
            <w:shd w:val="clear" w:color="auto" w:fill="C6EFCE"/>
            <w:noWrap/>
          </w:tcPr>
          <w:p w14:paraId="34E32477"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08FACBC4" w14:textId="77777777" w:rsidR="003E1D81" w:rsidRDefault="00EB481C">
            <w:pPr>
              <w:pStyle w:val="P68B1DB1-Normal13"/>
              <w:spacing w:after="0" w:line="240" w:lineRule="auto"/>
              <w:jc w:val="center"/>
              <w:rPr>
                <w:rFonts w:eastAsia="Times New Roman" w:cs="Times New Roman"/>
                <w:noProof/>
              </w:rPr>
            </w:pPr>
            <w:r>
              <w:rPr>
                <w:noProof/>
              </w:rPr>
              <w:t>2023</w:t>
            </w:r>
          </w:p>
        </w:tc>
        <w:tc>
          <w:tcPr>
            <w:tcW w:w="6837" w:type="dxa"/>
            <w:shd w:val="clear" w:color="auto" w:fill="C6EFCE"/>
            <w:noWrap/>
          </w:tcPr>
          <w:p w14:paraId="1867CC36" w14:textId="77777777" w:rsidR="003E1D81" w:rsidRDefault="00EB481C">
            <w:pPr>
              <w:pStyle w:val="P68B1DB1-Normal13"/>
              <w:spacing w:after="0" w:line="240" w:lineRule="auto"/>
              <w:rPr>
                <w:rFonts w:eastAsia="Times New Roman" w:cs="Times New Roman"/>
                <w:noProof/>
              </w:rPr>
            </w:pPr>
            <w:r>
              <w:rPr>
                <w:noProof/>
              </w:rPr>
              <w:t>Legalább 200 projekt lezárása a jelentős károkozás elkerülését célzó technikai iránymutatásnak (2021/C58/01) megfelelően, a kizárási lista és a</w:t>
            </w:r>
            <w:r>
              <w:rPr>
                <w:noProof/>
              </w:rPr>
              <w:t xml:space="preserve"> vonatkozó uniós és nemzeti környezetvédelmi jogszabályoknak való megfelelés követelménye révén, a következők érdekében:</w:t>
            </w:r>
            <w:r>
              <w:rPr>
                <w:noProof/>
              </w:rPr>
              <w:br/>
              <w:t xml:space="preserve">A Nemzeti Prado Múzeum és a Reina Sofia Múzeum fellendítése és digitalizálása; </w:t>
            </w:r>
            <w:r>
              <w:rPr>
                <w:noProof/>
              </w:rPr>
              <w:br/>
              <w:t>A spanyol nemzeti könyvtár digitális gyűjteményének éve</w:t>
            </w:r>
            <w:r>
              <w:rPr>
                <w:noProof/>
              </w:rPr>
              <w:t>s felhasználói számának növelését célzó intézkedések;</w:t>
            </w:r>
            <w:r>
              <w:rPr>
                <w:noProof/>
              </w:rPr>
              <w:br/>
              <w:t>A bibliográfiai örökséghez való digitális hozzáférés és a nyilvános levéltári rendszerek valamennyi típusának interoperabilitása, valamint a spanyol történelmi örökség-leltári és levéltári rendszerek ad</w:t>
            </w:r>
            <w:r>
              <w:rPr>
                <w:noProof/>
              </w:rPr>
              <w:t>attárolási kapacitásának bővítése;</w:t>
            </w:r>
            <w:r>
              <w:rPr>
                <w:noProof/>
              </w:rPr>
              <w:br/>
              <w:t>Az INAEM erőforrásainak, eszközeinek, struktúráinak és infrastruktúrájának digitalizálására és katalogizálására szolgáló integrált rendszer megvalósítása.</w:t>
            </w:r>
          </w:p>
        </w:tc>
      </w:tr>
      <w:tr w:rsidR="003E1D81" w14:paraId="111C0343" w14:textId="77777777">
        <w:trPr>
          <w:trHeight w:val="309"/>
        </w:trPr>
        <w:tc>
          <w:tcPr>
            <w:tcW w:w="851" w:type="dxa"/>
            <w:shd w:val="clear" w:color="auto" w:fill="C6EFCE"/>
            <w:noWrap/>
          </w:tcPr>
          <w:p w14:paraId="09E3727A" w14:textId="77777777" w:rsidR="003E1D81" w:rsidRDefault="00EB481C">
            <w:pPr>
              <w:pStyle w:val="P68B1DB1-Normal13"/>
              <w:spacing w:after="0" w:line="240" w:lineRule="auto"/>
              <w:jc w:val="center"/>
              <w:rPr>
                <w:rFonts w:cs="Times New Roman"/>
                <w:noProof/>
              </w:rPr>
            </w:pPr>
            <w:r>
              <w:rPr>
                <w:noProof/>
              </w:rPr>
              <w:t>362</w:t>
            </w:r>
          </w:p>
        </w:tc>
        <w:tc>
          <w:tcPr>
            <w:tcW w:w="993" w:type="dxa"/>
            <w:shd w:val="clear" w:color="auto" w:fill="C6EFCE"/>
            <w:noWrap/>
          </w:tcPr>
          <w:p w14:paraId="75AB6532" w14:textId="77777777" w:rsidR="003E1D81" w:rsidRDefault="00EB481C">
            <w:pPr>
              <w:pStyle w:val="P68B1DB1-Normal13"/>
              <w:spacing w:after="0" w:line="240" w:lineRule="auto"/>
              <w:jc w:val="center"/>
              <w:rPr>
                <w:rFonts w:cs="Times New Roman"/>
                <w:noProof/>
              </w:rPr>
            </w:pPr>
            <w:r>
              <w:rPr>
                <w:noProof/>
              </w:rPr>
              <w:t>C24.I3</w:t>
            </w:r>
          </w:p>
        </w:tc>
        <w:tc>
          <w:tcPr>
            <w:tcW w:w="850" w:type="dxa"/>
            <w:shd w:val="clear" w:color="auto" w:fill="C6EFCE"/>
            <w:noWrap/>
          </w:tcPr>
          <w:p w14:paraId="4B5615D1" w14:textId="77777777" w:rsidR="003E1D81" w:rsidRDefault="00EB481C">
            <w:pPr>
              <w:pStyle w:val="P68B1DB1-Normal13"/>
              <w:spacing w:after="0" w:line="240" w:lineRule="auto"/>
              <w:jc w:val="center"/>
              <w:rPr>
                <w:rFonts w:cs="Times New Roman"/>
                <w:noProof/>
              </w:rPr>
            </w:pPr>
            <w:r>
              <w:rPr>
                <w:noProof/>
              </w:rPr>
              <w:t>T</w:t>
            </w:r>
          </w:p>
        </w:tc>
        <w:tc>
          <w:tcPr>
            <w:tcW w:w="1701" w:type="dxa"/>
            <w:shd w:val="clear" w:color="auto" w:fill="C6EFCE"/>
            <w:noWrap/>
          </w:tcPr>
          <w:p w14:paraId="408FC712" w14:textId="77777777" w:rsidR="003E1D81" w:rsidRDefault="00EB481C">
            <w:pPr>
              <w:pStyle w:val="P68B1DB1-Normal13"/>
              <w:spacing w:after="0" w:line="240" w:lineRule="auto"/>
              <w:rPr>
                <w:rFonts w:cs="Times New Roman"/>
                <w:noProof/>
              </w:rPr>
            </w:pPr>
            <w:r>
              <w:rPr>
                <w:noProof/>
              </w:rPr>
              <w:t xml:space="preserve">A bibliográfiai örökség digitalizálásának befejezése </w:t>
            </w:r>
          </w:p>
        </w:tc>
        <w:tc>
          <w:tcPr>
            <w:tcW w:w="992" w:type="dxa"/>
            <w:shd w:val="clear" w:color="auto" w:fill="C6EFCE"/>
            <w:noWrap/>
          </w:tcPr>
          <w:p w14:paraId="66D4D6B4" w14:textId="77777777" w:rsidR="003E1D81" w:rsidRDefault="00EB481C">
            <w:pPr>
              <w:pStyle w:val="P68B1DB1-Normal13"/>
              <w:spacing w:after="0" w:line="240" w:lineRule="auto"/>
              <w:jc w:val="center"/>
              <w:rPr>
                <w:rFonts w:cs="Times New Roman"/>
                <w:noProof/>
              </w:rPr>
            </w:pPr>
            <w:r>
              <w:rPr>
                <w:noProof/>
              </w:rPr>
              <w:t> </w:t>
            </w:r>
          </w:p>
        </w:tc>
        <w:tc>
          <w:tcPr>
            <w:tcW w:w="709" w:type="dxa"/>
            <w:shd w:val="clear" w:color="auto" w:fill="C6EFCE"/>
            <w:noWrap/>
          </w:tcPr>
          <w:p w14:paraId="0E3D9714" w14:textId="77777777" w:rsidR="003E1D81" w:rsidRDefault="00EB481C">
            <w:pPr>
              <w:pStyle w:val="P68B1DB1-Normal13"/>
              <w:spacing w:after="0" w:line="240" w:lineRule="auto"/>
              <w:jc w:val="center"/>
              <w:rPr>
                <w:rFonts w:cs="Times New Roman"/>
                <w:noProof/>
              </w:rPr>
            </w:pPr>
            <w:r>
              <w:rPr>
                <w:noProof/>
              </w:rPr>
              <w:t>Száma (millió fő)</w:t>
            </w:r>
          </w:p>
        </w:tc>
        <w:tc>
          <w:tcPr>
            <w:tcW w:w="567" w:type="dxa"/>
            <w:shd w:val="clear" w:color="auto" w:fill="C6EFCE"/>
            <w:noWrap/>
          </w:tcPr>
          <w:p w14:paraId="6BD98C04" w14:textId="77777777" w:rsidR="003E1D81" w:rsidRDefault="00EB481C">
            <w:pPr>
              <w:pStyle w:val="P68B1DB1-Normal13"/>
              <w:spacing w:after="0" w:line="240" w:lineRule="auto"/>
              <w:jc w:val="right"/>
              <w:rPr>
                <w:rFonts w:cs="Times New Roman"/>
                <w:noProof/>
              </w:rPr>
            </w:pPr>
            <w:r>
              <w:rPr>
                <w:noProof/>
              </w:rPr>
              <w:t>10</w:t>
            </w:r>
          </w:p>
        </w:tc>
        <w:tc>
          <w:tcPr>
            <w:tcW w:w="709" w:type="dxa"/>
            <w:shd w:val="clear" w:color="auto" w:fill="C6EFCE"/>
            <w:noWrap/>
          </w:tcPr>
          <w:p w14:paraId="13DD66AC" w14:textId="77777777" w:rsidR="003E1D81" w:rsidRDefault="00EB481C">
            <w:pPr>
              <w:pStyle w:val="P68B1DB1-Normal13"/>
              <w:spacing w:after="0" w:line="240" w:lineRule="auto"/>
              <w:jc w:val="center"/>
              <w:rPr>
                <w:rFonts w:cs="Times New Roman"/>
                <w:noProof/>
              </w:rPr>
            </w:pPr>
            <w:r>
              <w:rPr>
                <w:noProof/>
              </w:rPr>
              <w:t>12</w:t>
            </w:r>
          </w:p>
        </w:tc>
        <w:tc>
          <w:tcPr>
            <w:tcW w:w="709" w:type="dxa"/>
            <w:shd w:val="clear" w:color="auto" w:fill="C6EFCE"/>
            <w:noWrap/>
          </w:tcPr>
          <w:p w14:paraId="2FB899A5"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57EB1B84" w14:textId="77777777" w:rsidR="003E1D81" w:rsidRDefault="00EB481C">
            <w:pPr>
              <w:pStyle w:val="P68B1DB1-Normal13"/>
              <w:spacing w:after="0" w:line="240" w:lineRule="auto"/>
              <w:jc w:val="center"/>
              <w:rPr>
                <w:rFonts w:cs="Times New Roman"/>
                <w:noProof/>
              </w:rPr>
            </w:pPr>
            <w:r>
              <w:rPr>
                <w:noProof/>
              </w:rPr>
              <w:t>2023</w:t>
            </w:r>
          </w:p>
        </w:tc>
        <w:tc>
          <w:tcPr>
            <w:tcW w:w="6837" w:type="dxa"/>
            <w:shd w:val="clear" w:color="auto" w:fill="C6EFCE"/>
            <w:noWrap/>
          </w:tcPr>
          <w:p w14:paraId="718B8937" w14:textId="77777777" w:rsidR="003E1D81" w:rsidRDefault="00EB481C">
            <w:pPr>
              <w:pStyle w:val="P68B1DB1-Normal13"/>
              <w:spacing w:after="0" w:line="240" w:lineRule="auto"/>
              <w:rPr>
                <w:rFonts w:cs="Times New Roman"/>
                <w:noProof/>
              </w:rPr>
            </w:pPr>
            <w:r>
              <w:rPr>
                <w:noProof/>
              </w:rPr>
              <w:t>A bibliográfiai örökség digitalizálása (köz- és magángyűjtemények) (összesen 12 millió kulturális örökségfelhasználó/gyűjtemény digitalizált)</w:t>
            </w:r>
          </w:p>
        </w:tc>
      </w:tr>
    </w:tbl>
    <w:p w14:paraId="3AB46BF3" w14:textId="77777777" w:rsidR="003E1D81" w:rsidRDefault="00EB481C">
      <w:pPr>
        <w:keepNext/>
        <w:spacing w:before="120" w:after="360" w:line="240" w:lineRule="auto"/>
        <w:rPr>
          <w:rFonts w:ascii="Times New Roman" w:hAnsi="Times New Roman" w:cs="Times New Roman"/>
          <w:b/>
          <w:smallCaps/>
          <w:noProof/>
          <w:sz w:val="28"/>
        </w:rPr>
        <w:sectPr w:rsidR="003E1D81" w:rsidSect="00C94F66">
          <w:headerReference w:type="even" r:id="rId465"/>
          <w:headerReference w:type="default" r:id="rId466"/>
          <w:footerReference w:type="even" r:id="rId467"/>
          <w:footerReference w:type="default" r:id="rId468"/>
          <w:headerReference w:type="first" r:id="rId469"/>
          <w:footerReference w:type="first" r:id="rId470"/>
          <w:pgSz w:w="16839" w:h="11907" w:orient="landscape"/>
          <w:pgMar w:top="1417" w:right="1134" w:bottom="1417" w:left="1134" w:header="709" w:footer="709" w:gutter="0"/>
          <w:cols w:space="720"/>
          <w:docGrid w:linePitch="360"/>
        </w:sectPr>
      </w:pPr>
      <w:r>
        <w:rPr>
          <w:noProof/>
        </w:rPr>
        <w:br/>
      </w:r>
    </w:p>
    <w:p w14:paraId="369E2750" w14:textId="77777777" w:rsidR="003E1D81" w:rsidRDefault="003E1D81">
      <w:pPr>
        <w:keepNext/>
        <w:spacing w:before="120" w:after="360" w:line="240" w:lineRule="auto"/>
        <w:rPr>
          <w:rFonts w:ascii="Times New Roman" w:hAnsi="Times New Roman" w:cs="Times New Roman"/>
          <w:b/>
          <w:smallCaps/>
          <w:noProof/>
          <w:sz w:val="28"/>
        </w:rPr>
      </w:pPr>
    </w:p>
    <w:p w14:paraId="60B46F4E" w14:textId="77777777" w:rsidR="003E1D81" w:rsidRDefault="00EB481C">
      <w:pPr>
        <w:pStyle w:val="P68B1DB1-Heading12"/>
        <w:rPr>
          <w:rFonts w:cs="Times New Roman"/>
          <w:noProof/>
        </w:rPr>
      </w:pPr>
      <w:r>
        <w:rPr>
          <w:noProof/>
        </w:rPr>
        <w:t>Y. 25. ÖSSZETEVŐ: Spanyol Audiovizuális Platform</w:t>
      </w:r>
    </w:p>
    <w:p w14:paraId="051EE69F" w14:textId="77777777" w:rsidR="003E1D81" w:rsidRDefault="00EB481C">
      <w:pPr>
        <w:pStyle w:val="P68B1DB1-Normal4"/>
        <w:tabs>
          <w:tab w:val="left" w:pos="1134"/>
        </w:tabs>
        <w:spacing w:before="120" w:after="120" w:line="240" w:lineRule="auto"/>
        <w:jc w:val="both"/>
        <w:rPr>
          <w:rFonts w:cs="Times New Roman"/>
          <w:noProof/>
        </w:rPr>
      </w:pPr>
      <w:r>
        <w:rPr>
          <w:noProof/>
        </w:rPr>
        <w:t>A spanyol helyreállítási és rezilienciaépítési terv e komponense egy sor olyan beruházást és reformot foglal magában, amelyek célja az audiovizuális ágazat újjáélesztése és megerősítése. Célja, hogy javítsa a beruházási környezetet, megszilárdítsa Spanyolo</w:t>
      </w:r>
      <w:r>
        <w:rPr>
          <w:noProof/>
        </w:rPr>
        <w:t>rszágot mint az audiovizuális beruházások nemzetközi platformját, és referenciaként szolgáljon az audiovizuális termékek – többek között a videojátékok és a digitális alkotás – exportjában. Ez a komponens a vállalkozások nemzetközivé válásának előmozdításá</w:t>
      </w:r>
      <w:r>
        <w:rPr>
          <w:noProof/>
        </w:rPr>
        <w:t xml:space="preserve">ra, az ágazat innovációjának fokozására és a jobb szabályozás megvalósítására irányuló intézkedéseket is tartalmaz. </w:t>
      </w:r>
    </w:p>
    <w:p w14:paraId="0D8208BA" w14:textId="77777777" w:rsidR="003E1D81" w:rsidRDefault="00EB481C">
      <w:pPr>
        <w:pStyle w:val="P68B1DB1-Normal4"/>
        <w:tabs>
          <w:tab w:val="left" w:pos="1134"/>
        </w:tabs>
        <w:spacing w:before="120" w:after="120" w:line="240" w:lineRule="auto"/>
        <w:jc w:val="both"/>
        <w:rPr>
          <w:rFonts w:cs="Times New Roman"/>
          <w:noProof/>
        </w:rPr>
      </w:pPr>
      <w:r>
        <w:rPr>
          <w:noProof/>
        </w:rPr>
        <w:t>A „Spanyolország Digital 2025” tervvel és a közelmúltban jóváhagyott spanyolországi audiovizuális központtal összhangban a komponens várhat</w:t>
      </w:r>
      <w:r>
        <w:rPr>
          <w:noProof/>
        </w:rPr>
        <w:t xml:space="preserve">óan támogatni fogja a munkahelyteremtést, különösen a fiatalok és az idegenforgalmi ágazat körében, és intézkedéseket tartalmaz a nemek közötti szakadék csökkentésére. </w:t>
      </w:r>
    </w:p>
    <w:p w14:paraId="50958C6E" w14:textId="77777777" w:rsidR="003E1D81" w:rsidRDefault="00EB481C">
      <w:pPr>
        <w:pStyle w:val="P68B1DB1-Normal4"/>
        <w:tabs>
          <w:tab w:val="left" w:pos="1134"/>
        </w:tabs>
        <w:spacing w:before="120" w:after="120" w:line="240" w:lineRule="auto"/>
        <w:jc w:val="both"/>
        <w:rPr>
          <w:rFonts w:cs="Times New Roman"/>
          <w:noProof/>
        </w:rPr>
      </w:pPr>
      <w:r>
        <w:rPr>
          <w:noProof/>
        </w:rPr>
        <w:t xml:space="preserve">A komponens az innovációs beruházások előmozdításáról szóló országspecifikus </w:t>
      </w:r>
      <w:r>
        <w:rPr>
          <w:noProof/>
        </w:rPr>
        <w:t>ajánlásokkal foglalkozik (2019. évi 3. országspecifikus ajánlás), valamint a beruházásoknak a zöld és digitális átállásra való összpontosításával (2020. évi 3. országspecifikus ajánlás).</w:t>
      </w:r>
    </w:p>
    <w:p w14:paraId="14392F08" w14:textId="77777777" w:rsidR="003E1D81" w:rsidRDefault="00EB481C">
      <w:pPr>
        <w:pStyle w:val="P68B1DB1-Normal4"/>
        <w:tabs>
          <w:tab w:val="left" w:pos="1134"/>
        </w:tabs>
        <w:spacing w:before="120" w:after="120" w:line="240" w:lineRule="auto"/>
        <w:jc w:val="both"/>
        <w:rPr>
          <w:rFonts w:cs="Times New Roman"/>
          <w:noProof/>
        </w:rPr>
      </w:pPr>
      <w:r>
        <w:rPr>
          <w:noProof/>
        </w:rPr>
        <w:t>A jelentős károkozás elkerülését célzó elvről szóló technikai iránymu</w:t>
      </w:r>
      <w:r>
        <w:rPr>
          <w:noProof/>
        </w:rPr>
        <w:t xml:space="preserve">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w:t>
      </w:r>
      <w:r>
        <w:rPr>
          <w:noProof/>
        </w:rPr>
        <w:t xml:space="preserve">intézkedés sem sérti jelentős mértékben az (EU) 2020/852 rendelet 17. cikke szerinti környezeti célkitűzéseket. </w:t>
      </w:r>
    </w:p>
    <w:p w14:paraId="70CDFBED" w14:textId="77777777" w:rsidR="003E1D81" w:rsidRDefault="00EB481C">
      <w:pPr>
        <w:pStyle w:val="P68B1DB1-Normal5"/>
        <w:spacing w:before="120" w:after="120" w:line="240" w:lineRule="auto"/>
        <w:ind w:left="720"/>
        <w:jc w:val="both"/>
        <w:rPr>
          <w:rFonts w:cs="Times New Roman"/>
          <w:i/>
          <w:noProof/>
        </w:rPr>
      </w:pPr>
      <w:r>
        <w:rPr>
          <w:noProof/>
        </w:rPr>
        <w:t xml:space="preserve">Y.1. </w:t>
      </w:r>
      <w:r>
        <w:rPr>
          <w:noProof/>
        </w:rPr>
        <w:tab/>
        <w:t>Vissza nem térítendő pénzügyi támogatás – a reformok és beruházások ismertetése</w:t>
      </w:r>
    </w:p>
    <w:p w14:paraId="2946B1E1" w14:textId="77777777" w:rsidR="003E1D81" w:rsidRDefault="00EB481C">
      <w:pPr>
        <w:pStyle w:val="P68B1DB1-Normal6"/>
        <w:spacing w:before="120" w:after="120" w:line="240" w:lineRule="auto"/>
        <w:jc w:val="both"/>
        <w:rPr>
          <w:rFonts w:cs="Times New Roman"/>
          <w:noProof/>
        </w:rPr>
      </w:pPr>
      <w:r>
        <w:rPr>
          <w:noProof/>
        </w:rPr>
        <w:t>Reform (C25.R1):  Az audiovizuális szabályozási keret ref</w:t>
      </w:r>
      <w:r>
        <w:rPr>
          <w:noProof/>
        </w:rPr>
        <w:t xml:space="preserve">ormja </w:t>
      </w:r>
    </w:p>
    <w:p w14:paraId="1822C51B" w14:textId="77777777" w:rsidR="003E1D81" w:rsidRDefault="00EB481C">
      <w:pPr>
        <w:pStyle w:val="P68B1DB1-Normal4"/>
        <w:spacing w:before="120" w:after="120" w:line="240" w:lineRule="auto"/>
        <w:jc w:val="both"/>
        <w:rPr>
          <w:rFonts w:cs="Times New Roman"/>
          <w:noProof/>
        </w:rPr>
      </w:pPr>
      <w:r>
        <w:rPr>
          <w:noProof/>
        </w:rPr>
        <w:t>Az audiovizuális szabályozási keret reformja két jogszabály elfogadását és egy ágazati terv jóváhagyását foglalja magában:</w:t>
      </w:r>
    </w:p>
    <w:p w14:paraId="08F05169" w14:textId="77777777" w:rsidR="003E1D81" w:rsidRDefault="00EB481C">
      <w:pPr>
        <w:pStyle w:val="P68B1DB1-Normal4"/>
        <w:numPr>
          <w:ilvl w:val="0"/>
          <w:numId w:val="161"/>
        </w:numPr>
        <w:spacing w:before="120" w:after="120" w:line="240" w:lineRule="auto"/>
        <w:jc w:val="both"/>
        <w:rPr>
          <w:rFonts w:cs="Times New Roman"/>
          <w:noProof/>
        </w:rPr>
      </w:pPr>
      <w:r>
        <w:rPr>
          <w:noProof/>
        </w:rPr>
        <w:t>Az audiovizuális kommunikációról szóló általános törvény hatálybalépése, amelynek célkitűzései eltérőek. Először is az audiovi</w:t>
      </w:r>
      <w:r>
        <w:rPr>
          <w:noProof/>
        </w:rPr>
        <w:t>zuális médiaszolgáltatásokra és a platform videováltási szolgáltatásokra vonatkozó jogi keret kiigazítása és korszerűsítése Spanyolországban. Másodszor olyan mechanizmusok létrehozása, amelyek garantálják a felhasználók jogait, például a kiskorúak és a nyi</w:t>
      </w:r>
      <w:r>
        <w:rPr>
          <w:noProof/>
        </w:rPr>
        <w:t>lvánosság védelmét bizonyos típusú tartalmakkal szemben. Harmadszor, az európai audiovizuális munka előmozdítása a független audiovizuális gyártás támogatásának megkétszerezése révén. Negyedszer, a fogyatékossággal élő személyek integrációjának javítása. A</w:t>
      </w:r>
      <w:r>
        <w:rPr>
          <w:noProof/>
        </w:rPr>
        <w:t xml:space="preserve"> törvény 2022 első negyedévének végén lép hatályba. </w:t>
      </w:r>
    </w:p>
    <w:p w14:paraId="066FF041" w14:textId="77777777" w:rsidR="003E1D81" w:rsidRDefault="00EB481C">
      <w:pPr>
        <w:pStyle w:val="P68B1DB1-Normal4"/>
        <w:numPr>
          <w:ilvl w:val="0"/>
          <w:numId w:val="161"/>
        </w:numPr>
        <w:spacing w:before="120" w:after="120" w:line="240" w:lineRule="auto"/>
        <w:jc w:val="both"/>
        <w:rPr>
          <w:rFonts w:cs="Times New Roman"/>
          <w:noProof/>
        </w:rPr>
      </w:pPr>
      <w:r>
        <w:rPr>
          <w:noProof/>
        </w:rPr>
        <w:t>A filmművészetről szóló 55/2007. sz. törvény reformja, amelynek célja i. a törvény rendelkezéseinek az ágazat új valóságához való hozzáigazítása; a szabályozási keret összehangolása az európai jogi keret</w:t>
      </w:r>
      <w:r>
        <w:rPr>
          <w:noProof/>
        </w:rPr>
        <w:t xml:space="preserve">tel, beleértve az állami támogatásokra vonatkozó szabályokat is; valamint iii. az audiovizuális ágazat pénzügyi támogatását célzó mechanizmus aktualizálása és módosítása. Ezt 2023. december 31-ig kell bevezetni.   </w:t>
      </w:r>
    </w:p>
    <w:p w14:paraId="0F60AF8E" w14:textId="77777777" w:rsidR="003E1D81" w:rsidRDefault="00EB481C">
      <w:pPr>
        <w:pStyle w:val="P68B1DB1-Normal4"/>
        <w:numPr>
          <w:ilvl w:val="0"/>
          <w:numId w:val="161"/>
        </w:numPr>
        <w:spacing w:before="120" w:after="120" w:line="240" w:lineRule="auto"/>
        <w:jc w:val="both"/>
        <w:rPr>
          <w:rFonts w:cs="Times New Roman"/>
          <w:noProof/>
        </w:rPr>
      </w:pPr>
      <w:r>
        <w:rPr>
          <w:noProof/>
        </w:rPr>
        <w:t>A „Spanyolország Európai Audiovizuális Kö</w:t>
      </w:r>
      <w:r>
        <w:rPr>
          <w:noProof/>
        </w:rPr>
        <w:t>zpontja” elnevezésű terv elfogadása és végrehajtása, amelynek célja, hogy Spanyolország globális beruházási platformmá váljon, vonzza a külföldi befektetéseket és audiovizuális termékeket exportáljon. Ezt a tervet a Miniszterek Tanácsa 2021 márciusában fog</w:t>
      </w:r>
      <w:r>
        <w:rPr>
          <w:noProof/>
        </w:rPr>
        <w:t>adta el. Ide tartoznak az audiovizuális ágazat teljes értékláncának megerősítésére irányuló beruházások, amelyek Spanyolország ágazaton belüli komparatív előnyein alapulnak, beleértve a jól működő audiovizuális ágazatot, a jól képzett humántőkét és a globá</w:t>
      </w:r>
      <w:r>
        <w:rPr>
          <w:noProof/>
        </w:rPr>
        <w:t>lisan elismert kreatív kapacitást. A terv az audiovizuális ágazat valamennyi formátumát magában foglalja (például mozi, sorozatok, reklámok, videojátékok és animáció). A spanyolországi Európai Audiovizuális Platform célja, hogy szinergiákat alakítson ki má</w:t>
      </w:r>
      <w:r>
        <w:rPr>
          <w:noProof/>
        </w:rPr>
        <w:t xml:space="preserve">s ágazatokkal, például a kultúrával és az idegenforgalommal. A benne foglalt intézkedések négy prioritásra épülnek: Spanyolországot az audiovizuális alkotások vonzerejének pólusává kell tenni, ii. csökkenteni kell az ágazathoz kapcsolódó adminisztratív és </w:t>
      </w:r>
      <w:r>
        <w:rPr>
          <w:noProof/>
        </w:rPr>
        <w:t>szabályozási költségeket, iii. javítani kell az ágazatban működő vállalkozások versenyképességét a digitalizációba való beruházás révén, valamint iv. tehetségek teremtése és a nemek közötti szakadék csökkentése.</w:t>
      </w:r>
    </w:p>
    <w:p w14:paraId="0B3B8812" w14:textId="77777777" w:rsidR="003E1D81" w:rsidRDefault="00EB481C">
      <w:pPr>
        <w:pStyle w:val="P68B1DB1-Normal4"/>
        <w:spacing w:before="120" w:after="120" w:line="240" w:lineRule="auto"/>
        <w:jc w:val="both"/>
        <w:rPr>
          <w:rFonts w:cs="Times New Roman"/>
          <w:noProof/>
        </w:rPr>
      </w:pPr>
      <w:r>
        <w:rPr>
          <w:noProof/>
        </w:rPr>
        <w:t>Az intézkedés végrehajtását 2023. december 3</w:t>
      </w:r>
      <w:r>
        <w:rPr>
          <w:noProof/>
        </w:rPr>
        <w:t xml:space="preserve">1-ig be kell fejezni. </w:t>
      </w:r>
    </w:p>
    <w:p w14:paraId="05DFD7D6" w14:textId="77777777" w:rsidR="003E1D81" w:rsidRDefault="00EB481C">
      <w:pPr>
        <w:pStyle w:val="P68B1DB1-Normal6"/>
        <w:spacing w:before="120" w:after="120" w:line="240" w:lineRule="auto"/>
        <w:jc w:val="both"/>
        <w:rPr>
          <w:rFonts w:cs="Times New Roman"/>
          <w:noProof/>
        </w:rPr>
      </w:pPr>
      <w:r>
        <w:rPr>
          <w:noProof/>
        </w:rPr>
        <w:t xml:space="preserve">Beruházás (C25.I1): Az audiovizuális ágazat előmozdítására, korszerűsítésére és digitalizálására irányuló program </w:t>
      </w:r>
    </w:p>
    <w:p w14:paraId="7767D02E" w14:textId="77777777" w:rsidR="003E1D81" w:rsidRDefault="00EB481C">
      <w:pPr>
        <w:pStyle w:val="P68B1DB1-Normal4"/>
        <w:spacing w:before="120" w:after="120" w:line="240" w:lineRule="auto"/>
        <w:jc w:val="both"/>
        <w:rPr>
          <w:rFonts w:cs="Times New Roman"/>
          <w:noProof/>
        </w:rPr>
      </w:pPr>
      <w:r>
        <w:rPr>
          <w:noProof/>
        </w:rPr>
        <w:t>E beruházás célja az audiovizuális ágazat üzleti és kreatív szerkezetének versenyképességének és ellenálló képességéne</w:t>
      </w:r>
      <w:r>
        <w:rPr>
          <w:noProof/>
        </w:rPr>
        <w:t xml:space="preserve">k javítása, valamint az ágazat nemzetközivé válásának előmozdítása és a külföldi befektetések vonzása. Ennek érdekében a beruházáson belül három különálló program létezik. </w:t>
      </w:r>
    </w:p>
    <w:p w14:paraId="64AA71B0" w14:textId="77777777" w:rsidR="003E1D81" w:rsidRDefault="00EB481C">
      <w:pPr>
        <w:pStyle w:val="P68B1DB1-Normal4"/>
        <w:numPr>
          <w:ilvl w:val="0"/>
          <w:numId w:val="160"/>
        </w:numPr>
        <w:spacing w:before="120" w:after="120" w:line="240" w:lineRule="auto"/>
        <w:jc w:val="both"/>
        <w:rPr>
          <w:rFonts w:cs="Times New Roman"/>
          <w:noProof/>
        </w:rPr>
      </w:pPr>
      <w:r>
        <w:rPr>
          <w:noProof/>
        </w:rPr>
        <w:t>Az audiovizuális ágazat előmozdítására, korszerűsítésére és digitalizálására irányuló program, amelynek célja a vállalkozások versenyképességének és ellenálló képességének és az audiovizuális ágazat kreatív szerkezetének javítása. A programnak támogatnia k</w:t>
      </w:r>
      <w:r>
        <w:rPr>
          <w:noProof/>
        </w:rPr>
        <w:t xml:space="preserve">ell továbbá a digitális technológiák bevezetését és integrálását az audiovizuális tartalmak előállításába és népszerűsítésébe, valamint az alkotók javadalmazási eszközének digitalizálásába. </w:t>
      </w:r>
    </w:p>
    <w:p w14:paraId="79D86C3D" w14:textId="77777777" w:rsidR="003E1D81" w:rsidRDefault="00EB481C">
      <w:pPr>
        <w:pStyle w:val="P68B1DB1-Normal4"/>
        <w:numPr>
          <w:ilvl w:val="0"/>
          <w:numId w:val="160"/>
        </w:numPr>
        <w:spacing w:before="120" w:after="120" w:line="240" w:lineRule="auto"/>
        <w:jc w:val="both"/>
        <w:rPr>
          <w:rFonts w:cs="Times New Roman"/>
          <w:noProof/>
        </w:rPr>
      </w:pPr>
      <w:r>
        <w:rPr>
          <w:noProof/>
        </w:rPr>
        <w:t>Az audiovizuális ágazat internalizálását elősegítő program audiov</w:t>
      </w:r>
      <w:r>
        <w:rPr>
          <w:noProof/>
        </w:rPr>
        <w:t>izuális üzleti konferenciákon, platformokon, projektfejlesztő laboratóriumokban és vásárokon való részvétel révén. A cél különböző mechanizmusok bevezetése a spanyol audiovizuális iparban rejlő lehetőségek teljes körű kiaknázása és a helyi tehetségek globá</w:t>
      </w:r>
      <w:r>
        <w:rPr>
          <w:noProof/>
        </w:rPr>
        <w:t xml:space="preserve">lis környezetben való népszerűsítése érdekében. </w:t>
      </w:r>
    </w:p>
    <w:p w14:paraId="7EBD514C" w14:textId="77777777" w:rsidR="003E1D81" w:rsidRDefault="00EB481C">
      <w:pPr>
        <w:pStyle w:val="P68B1DB1-Normal4"/>
        <w:numPr>
          <w:ilvl w:val="0"/>
          <w:numId w:val="160"/>
        </w:numPr>
        <w:spacing w:before="120" w:after="120" w:line="240" w:lineRule="auto"/>
        <w:jc w:val="both"/>
        <w:rPr>
          <w:rFonts w:cs="Times New Roman"/>
          <w:noProof/>
        </w:rPr>
      </w:pPr>
      <w:r>
        <w:rPr>
          <w:noProof/>
        </w:rPr>
        <w:t>Egy olyan program, amely vonzó befektetési környezet kialakítása, az adminisztratív terhek csökkentése és a különböző adminisztratív eljárások megkönnyítése révén az audiovizuális ágazatba vonzza a közvetlen</w:t>
      </w:r>
      <w:r>
        <w:rPr>
          <w:noProof/>
        </w:rPr>
        <w:t xml:space="preserve"> külföldi befektetéseket (amely magában foglalja az általános, regionális és helyi szintű közigazgatással való kapcsolatokat).  </w:t>
      </w:r>
    </w:p>
    <w:p w14:paraId="3FE4DB9A" w14:textId="77777777" w:rsidR="003E1D81" w:rsidRDefault="00EB481C">
      <w:pPr>
        <w:pStyle w:val="P68B1DB1-Normal4"/>
        <w:spacing w:before="120" w:after="120" w:line="240" w:lineRule="auto"/>
        <w:jc w:val="both"/>
        <w:rPr>
          <w:rFonts w:cs="Times New Roman"/>
          <w:noProof/>
        </w:rPr>
      </w:pPr>
      <w:r>
        <w:rPr>
          <w:noProof/>
        </w:rPr>
        <w:t>Ezt a beruházást a köz- és magánszervezetekkel kötött megállapodások, a digitális technológiák audiovizuális termékekbe és szol</w:t>
      </w:r>
      <w:r>
        <w:rPr>
          <w:noProof/>
        </w:rPr>
        <w:t>gáltatásokba való beépítését támogató pályázati felhívások, a különböző formátumokban megjelenő audiovizuális és digitális tartalmak létrehozásának és fejlesztésének innovációs támogatása, az audiovizuális ágazat digitalizálása és adatelemzése, az audioviz</w:t>
      </w:r>
      <w:r>
        <w:rPr>
          <w:noProof/>
        </w:rPr>
        <w:t xml:space="preserve">uális tartalmak nemzetközi népszerűsítését és digitális forgalmazását szolgáló új eszközök, például az online B2B és B2C eszközök révén kell végrehajtani. </w:t>
      </w:r>
    </w:p>
    <w:p w14:paraId="49C97AB0" w14:textId="77777777" w:rsidR="003E1D81" w:rsidRDefault="00EB481C">
      <w:pPr>
        <w:pStyle w:val="P68B1DB1-Normal4"/>
        <w:spacing w:before="120" w:after="120" w:line="240" w:lineRule="auto"/>
        <w:jc w:val="both"/>
        <w:rPr>
          <w:rFonts w:cs="Times New Roman"/>
          <w:noProof/>
        </w:rPr>
      </w:pPr>
      <w:r>
        <w:rPr>
          <w:noProof/>
        </w:rPr>
        <w:t xml:space="preserve">Ez a beruházás az audiovizuális értéklánc egészében a vállalkozásokat, szakembereket és szereplőket </w:t>
      </w:r>
      <w:r>
        <w:rPr>
          <w:noProof/>
        </w:rPr>
        <w:t>célozza meg, és különös hangsúlyt fektet az audiovizuális tartalmakat előállító kkv-kra, az alkotók javadalmazásának kezelésére szakosodott kkv-kra, valamint a valamennyi érdekelt fél számára nyitott platformok kialakítására képes technológiai tanácsadó cé</w:t>
      </w:r>
      <w:r>
        <w:rPr>
          <w:noProof/>
        </w:rPr>
        <w:t xml:space="preserve">gekre. </w:t>
      </w:r>
    </w:p>
    <w:p w14:paraId="51748050" w14:textId="2A985A19" w:rsidR="003E1D81" w:rsidRDefault="00EB481C">
      <w:pPr>
        <w:pStyle w:val="P68B1DB1-Normal4"/>
        <w:spacing w:before="120" w:after="120" w:line="240" w:lineRule="auto"/>
        <w:jc w:val="both"/>
        <w:rPr>
          <w:rFonts w:cs="Times New Roman"/>
          <w:noProof/>
        </w:rPr>
      </w:pPr>
      <w:r>
        <w:rPr>
          <w:noProof/>
        </w:rPr>
        <w:t>Az intézkedés végrehajtását 2024. december 31-ig be kell fejezni.</w:t>
      </w:r>
    </w:p>
    <w:p w14:paraId="7D6B56C0" w14:textId="77777777" w:rsidR="003E1D81" w:rsidRDefault="00EB481C">
      <w:pPr>
        <w:pStyle w:val="P68B1DB1-Normal5"/>
        <w:spacing w:before="120" w:after="120" w:line="240" w:lineRule="auto"/>
        <w:ind w:left="720"/>
        <w:jc w:val="both"/>
        <w:rPr>
          <w:rFonts w:cs="Times New Roman"/>
          <w:noProof/>
        </w:rPr>
      </w:pPr>
      <w:r>
        <w:rPr>
          <w:noProof/>
        </w:rPr>
        <w:t xml:space="preserve">Y.2. </w:t>
      </w:r>
      <w:r>
        <w:rPr>
          <w:noProof/>
        </w:rPr>
        <w:tab/>
        <w:t>Vissza nem térítendő pénzügyi támogatás – a végrehajtáshoz és a nyomon követéshez kapcsolódó mérföldkövek, célok, mutatók és ütemterv</w:t>
      </w:r>
    </w:p>
    <w:p w14:paraId="19EBEDDA" w14:textId="77777777" w:rsidR="003E1D81" w:rsidRDefault="00EB481C">
      <w:pPr>
        <w:pStyle w:val="P68B1DB1-Normal4"/>
        <w:spacing w:before="120" w:after="120" w:line="240" w:lineRule="auto"/>
        <w:rPr>
          <w:rFonts w:cs="Times New Roman"/>
          <w:b/>
          <w:noProof/>
          <w:u w:val="single"/>
        </w:rPr>
      </w:pPr>
      <w:r>
        <w:rPr>
          <w:i/>
          <w:noProof/>
        </w:rPr>
        <w:t>Táblázat alább.</w:t>
      </w:r>
      <w:r>
        <w:rPr>
          <w:noProof/>
        </w:rPr>
        <w:t xml:space="preserve"> </w:t>
      </w:r>
      <w:r>
        <w:rPr>
          <w:i/>
          <w:noProof/>
        </w:rPr>
        <w:t>Az alapforgatókönyv időpon</w:t>
      </w:r>
      <w:r>
        <w:rPr>
          <w:i/>
          <w:noProof/>
        </w:rPr>
        <w:t>tja valamennyi mutató esetében az intézkedés kezdete, kivéve, ha az intézkedés leírása másként jelzi. A táblázatban szereplő összegek nem tartalmazzák a héát.</w:t>
      </w:r>
    </w:p>
    <w:p w14:paraId="0B107F78" w14:textId="77777777" w:rsidR="003E1D81" w:rsidRDefault="003E1D81">
      <w:pPr>
        <w:rPr>
          <w:rFonts w:ascii="Times New Roman" w:hAnsi="Times New Roman" w:cs="Times New Roman"/>
          <w:b/>
          <w:noProof/>
          <w:sz w:val="24"/>
          <w:u w:val="single"/>
        </w:rPr>
        <w:sectPr w:rsidR="003E1D81" w:rsidSect="00C94F66">
          <w:headerReference w:type="even" r:id="rId471"/>
          <w:headerReference w:type="default" r:id="rId472"/>
          <w:footerReference w:type="even" r:id="rId473"/>
          <w:footerReference w:type="default" r:id="rId474"/>
          <w:headerReference w:type="first" r:id="rId475"/>
          <w:footerReference w:type="first" r:id="rId476"/>
          <w:pgSz w:w="11907" w:h="16839"/>
          <w:pgMar w:top="1134" w:right="1417" w:bottom="1134" w:left="1417" w:header="709" w:footer="709" w:gutter="0"/>
          <w:cols w:space="720"/>
          <w:docGrid w:linePitch="360"/>
        </w:sectPr>
      </w:pPr>
    </w:p>
    <w:p w14:paraId="12F6C5B6" w14:textId="77777777" w:rsidR="003E1D81" w:rsidRDefault="003E1D81">
      <w:pPr>
        <w:spacing w:before="120" w:after="120" w:line="240" w:lineRule="auto"/>
        <w:jc w:val="both"/>
        <w:rPr>
          <w:rFonts w:ascii="Times New Roman" w:hAnsi="Times New Roman" w:cs="Times New Roman"/>
          <w:b/>
          <w:noProof/>
          <w:sz w:val="24"/>
          <w:u w:val="single"/>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410"/>
        <w:gridCol w:w="992"/>
        <w:gridCol w:w="851"/>
        <w:gridCol w:w="567"/>
        <w:gridCol w:w="567"/>
        <w:gridCol w:w="425"/>
        <w:gridCol w:w="567"/>
        <w:gridCol w:w="6521"/>
      </w:tblGrid>
      <w:tr w:rsidR="003E1D81" w14:paraId="3F5F0FEE" w14:textId="77777777">
        <w:trPr>
          <w:trHeight w:val="309"/>
          <w:tblHeader/>
        </w:trPr>
        <w:tc>
          <w:tcPr>
            <w:tcW w:w="709" w:type="dxa"/>
            <w:tcBorders>
              <w:bottom w:val="nil"/>
            </w:tcBorders>
            <w:shd w:val="clear" w:color="auto" w:fill="C6D9F1" w:themeFill="text2" w:themeFillTint="33"/>
            <w:noWrap/>
          </w:tcPr>
          <w:p w14:paraId="200B838D" w14:textId="77777777" w:rsidR="003E1D81" w:rsidRDefault="00EB481C">
            <w:pPr>
              <w:pStyle w:val="P68B1DB1-Normal13"/>
              <w:spacing w:after="0" w:line="240" w:lineRule="auto"/>
              <w:jc w:val="center"/>
              <w:rPr>
                <w:rFonts w:cs="Times New Roman"/>
                <w:b/>
                <w:noProof/>
              </w:rPr>
            </w:pPr>
            <w:r>
              <w:rPr>
                <w:i/>
                <w:noProof/>
              </w:rPr>
              <w:t xml:space="preserve">  </w:t>
            </w:r>
            <w:r>
              <w:rPr>
                <w:b/>
                <w:noProof/>
              </w:rPr>
              <w:t>Szám</w:t>
            </w:r>
          </w:p>
        </w:tc>
        <w:tc>
          <w:tcPr>
            <w:tcW w:w="851" w:type="dxa"/>
            <w:tcBorders>
              <w:bottom w:val="nil"/>
            </w:tcBorders>
            <w:shd w:val="clear" w:color="auto" w:fill="C6D9F1" w:themeFill="text2" w:themeFillTint="33"/>
            <w:noWrap/>
          </w:tcPr>
          <w:p w14:paraId="74C2870B" w14:textId="77777777" w:rsidR="003E1D81" w:rsidRDefault="00EB481C">
            <w:pPr>
              <w:pStyle w:val="P68B1DB1-Normal12"/>
              <w:spacing w:after="0" w:line="240" w:lineRule="auto"/>
              <w:jc w:val="center"/>
              <w:rPr>
                <w:rFonts w:cs="Times New Roman"/>
                <w:noProof/>
              </w:rPr>
            </w:pPr>
            <w:r>
              <w:rPr>
                <w:noProof/>
              </w:rPr>
              <w:t>Intézkedés</w:t>
            </w:r>
          </w:p>
        </w:tc>
        <w:tc>
          <w:tcPr>
            <w:tcW w:w="850" w:type="dxa"/>
            <w:tcBorders>
              <w:bottom w:val="nil"/>
            </w:tcBorders>
            <w:shd w:val="clear" w:color="auto" w:fill="C6D9F1" w:themeFill="text2" w:themeFillTint="33"/>
            <w:noWrap/>
          </w:tcPr>
          <w:p w14:paraId="65C3B47E"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410" w:type="dxa"/>
            <w:tcBorders>
              <w:bottom w:val="nil"/>
            </w:tcBorders>
            <w:shd w:val="clear" w:color="auto" w:fill="C6D9F1" w:themeFill="text2" w:themeFillTint="33"/>
            <w:noWrap/>
          </w:tcPr>
          <w:p w14:paraId="1FF03D96" w14:textId="77777777" w:rsidR="003E1D81" w:rsidRDefault="00EB481C">
            <w:pPr>
              <w:pStyle w:val="P68B1DB1-Normal12"/>
              <w:spacing w:after="0" w:line="240" w:lineRule="auto"/>
              <w:jc w:val="center"/>
              <w:rPr>
                <w:rFonts w:cs="Times New Roman"/>
                <w:noProof/>
              </w:rPr>
            </w:pPr>
            <w:r>
              <w:rPr>
                <w:noProof/>
              </w:rPr>
              <w:t>Név</w:t>
            </w:r>
          </w:p>
        </w:tc>
        <w:tc>
          <w:tcPr>
            <w:tcW w:w="992" w:type="dxa"/>
            <w:tcBorders>
              <w:bottom w:val="nil"/>
            </w:tcBorders>
            <w:shd w:val="clear" w:color="auto" w:fill="C6D9F1" w:themeFill="text2" w:themeFillTint="33"/>
            <w:noWrap/>
          </w:tcPr>
          <w:p w14:paraId="5E7767FA"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1985" w:type="dxa"/>
            <w:gridSpan w:val="3"/>
            <w:shd w:val="clear" w:color="auto" w:fill="C6D9F1" w:themeFill="text2" w:themeFillTint="33"/>
            <w:noWrap/>
          </w:tcPr>
          <w:p w14:paraId="25DCBC69"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992" w:type="dxa"/>
            <w:gridSpan w:val="2"/>
            <w:shd w:val="clear" w:color="auto" w:fill="C6D9F1" w:themeFill="text2" w:themeFillTint="33"/>
            <w:noWrap/>
          </w:tcPr>
          <w:p w14:paraId="2034D2C6" w14:textId="77777777" w:rsidR="003E1D81" w:rsidRDefault="00EB481C">
            <w:pPr>
              <w:pStyle w:val="P68B1DB1-Normal12"/>
              <w:spacing w:after="0" w:line="240" w:lineRule="auto"/>
              <w:jc w:val="center"/>
              <w:rPr>
                <w:rFonts w:cs="Times New Roman"/>
                <w:noProof/>
              </w:rPr>
            </w:pPr>
            <w:r>
              <w:rPr>
                <w:noProof/>
              </w:rPr>
              <w:t>Idő</w:t>
            </w:r>
          </w:p>
        </w:tc>
        <w:tc>
          <w:tcPr>
            <w:tcW w:w="6521" w:type="dxa"/>
            <w:tcBorders>
              <w:bottom w:val="nil"/>
            </w:tcBorders>
            <w:shd w:val="clear" w:color="auto" w:fill="C6D9F1" w:themeFill="text2" w:themeFillTint="33"/>
            <w:noWrap/>
          </w:tcPr>
          <w:p w14:paraId="2586CC79"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5464D46B" w14:textId="77777777">
        <w:trPr>
          <w:trHeight w:val="22"/>
          <w:tblHeader/>
        </w:trPr>
        <w:tc>
          <w:tcPr>
            <w:tcW w:w="709" w:type="dxa"/>
            <w:tcBorders>
              <w:top w:val="nil"/>
            </w:tcBorders>
            <w:shd w:val="clear" w:color="auto" w:fill="C6D9F1" w:themeFill="text2" w:themeFillTint="33"/>
            <w:noWrap/>
          </w:tcPr>
          <w:p w14:paraId="3CF2EC5C"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4E626987" w14:textId="77777777" w:rsidR="003E1D81" w:rsidRDefault="003E1D81">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30772D4C" w14:textId="77777777" w:rsidR="003E1D81" w:rsidRDefault="003E1D81">
            <w:pPr>
              <w:spacing w:after="0" w:line="240" w:lineRule="auto"/>
              <w:jc w:val="center"/>
              <w:rPr>
                <w:rFonts w:ascii="Times New Roman" w:hAnsi="Times New Roman" w:cs="Times New Roman"/>
                <w:b/>
                <w:noProof/>
                <w:sz w:val="18"/>
              </w:rPr>
            </w:pPr>
          </w:p>
        </w:tc>
        <w:tc>
          <w:tcPr>
            <w:tcW w:w="2410" w:type="dxa"/>
            <w:tcBorders>
              <w:top w:val="nil"/>
            </w:tcBorders>
            <w:shd w:val="clear" w:color="auto" w:fill="C6D9F1" w:themeFill="text2" w:themeFillTint="33"/>
            <w:noWrap/>
          </w:tcPr>
          <w:p w14:paraId="67117A80" w14:textId="77777777" w:rsidR="003E1D81" w:rsidRDefault="003E1D81">
            <w:pPr>
              <w:spacing w:after="0" w:line="240" w:lineRule="auto"/>
              <w:rPr>
                <w:rFonts w:ascii="Times New Roman" w:hAnsi="Times New Roman" w:cs="Times New Roman"/>
                <w:b/>
                <w:noProof/>
                <w:sz w:val="18"/>
              </w:rPr>
            </w:pPr>
          </w:p>
        </w:tc>
        <w:tc>
          <w:tcPr>
            <w:tcW w:w="992" w:type="dxa"/>
            <w:tcBorders>
              <w:top w:val="nil"/>
            </w:tcBorders>
            <w:shd w:val="clear" w:color="auto" w:fill="C6D9F1" w:themeFill="text2" w:themeFillTint="33"/>
            <w:noWrap/>
          </w:tcPr>
          <w:p w14:paraId="24955BB1" w14:textId="77777777" w:rsidR="003E1D81" w:rsidRDefault="003E1D81">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tcPr>
          <w:p w14:paraId="10EB4AF4" w14:textId="77777777" w:rsidR="003E1D81" w:rsidRDefault="00EB481C">
            <w:pPr>
              <w:pStyle w:val="P68B1DB1-Normal12"/>
              <w:spacing w:after="0" w:line="240" w:lineRule="auto"/>
              <w:jc w:val="center"/>
              <w:rPr>
                <w:rFonts w:cs="Times New Roman"/>
                <w:noProof/>
              </w:rPr>
            </w:pPr>
            <w:r>
              <w:rPr>
                <w:noProof/>
              </w:rPr>
              <w:t>Egység</w:t>
            </w:r>
          </w:p>
        </w:tc>
        <w:tc>
          <w:tcPr>
            <w:tcW w:w="567" w:type="dxa"/>
            <w:shd w:val="clear" w:color="auto" w:fill="C6D9F1" w:themeFill="text2" w:themeFillTint="33"/>
            <w:noWrap/>
          </w:tcPr>
          <w:p w14:paraId="2DA72837" w14:textId="77777777" w:rsidR="003E1D81" w:rsidRDefault="00EB481C">
            <w:pPr>
              <w:pStyle w:val="P68B1DB1-Normal12"/>
              <w:spacing w:after="0" w:line="240" w:lineRule="auto"/>
              <w:jc w:val="center"/>
              <w:rPr>
                <w:rFonts w:cs="Times New Roman"/>
                <w:noProof/>
              </w:rPr>
            </w:pPr>
            <w:r>
              <w:rPr>
                <w:noProof/>
              </w:rPr>
              <w:t>Alapérték</w:t>
            </w:r>
          </w:p>
        </w:tc>
        <w:tc>
          <w:tcPr>
            <w:tcW w:w="567" w:type="dxa"/>
            <w:shd w:val="clear" w:color="auto" w:fill="C6D9F1" w:themeFill="text2" w:themeFillTint="33"/>
            <w:noWrap/>
          </w:tcPr>
          <w:p w14:paraId="00BE9AF4" w14:textId="77777777" w:rsidR="003E1D81" w:rsidRDefault="00EB481C">
            <w:pPr>
              <w:pStyle w:val="P68B1DB1-Normal12"/>
              <w:spacing w:after="0" w:line="240" w:lineRule="auto"/>
              <w:jc w:val="center"/>
              <w:rPr>
                <w:rFonts w:cs="Times New Roman"/>
                <w:noProof/>
              </w:rPr>
            </w:pPr>
            <w:r>
              <w:rPr>
                <w:noProof/>
              </w:rPr>
              <w:t>Cél</w:t>
            </w:r>
          </w:p>
        </w:tc>
        <w:tc>
          <w:tcPr>
            <w:tcW w:w="425" w:type="dxa"/>
            <w:shd w:val="clear" w:color="auto" w:fill="C6D9F1" w:themeFill="text2" w:themeFillTint="33"/>
            <w:noWrap/>
          </w:tcPr>
          <w:p w14:paraId="2B4B355E" w14:textId="77777777" w:rsidR="003E1D81" w:rsidRDefault="00EB481C">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7F4B2FDC" w14:textId="77777777" w:rsidR="003E1D81" w:rsidRDefault="00EB481C">
            <w:pPr>
              <w:pStyle w:val="P68B1DB1-Normal12"/>
              <w:spacing w:after="0" w:line="240" w:lineRule="auto"/>
              <w:jc w:val="center"/>
              <w:rPr>
                <w:rFonts w:cs="Times New Roman"/>
                <w:noProof/>
              </w:rPr>
            </w:pPr>
            <w:r>
              <w:rPr>
                <w:noProof/>
              </w:rPr>
              <w:t>Éve</w:t>
            </w:r>
          </w:p>
        </w:tc>
        <w:tc>
          <w:tcPr>
            <w:tcW w:w="6521" w:type="dxa"/>
            <w:tcBorders>
              <w:top w:val="nil"/>
            </w:tcBorders>
            <w:shd w:val="clear" w:color="auto" w:fill="C6D9F1" w:themeFill="text2" w:themeFillTint="33"/>
            <w:noWrap/>
          </w:tcPr>
          <w:p w14:paraId="02781907" w14:textId="77777777" w:rsidR="003E1D81" w:rsidRDefault="003E1D81">
            <w:pPr>
              <w:spacing w:after="0" w:line="240" w:lineRule="auto"/>
              <w:rPr>
                <w:rFonts w:ascii="Times New Roman" w:hAnsi="Times New Roman" w:cs="Times New Roman"/>
                <w:b/>
                <w:noProof/>
                <w:sz w:val="18"/>
              </w:rPr>
            </w:pPr>
          </w:p>
        </w:tc>
      </w:tr>
      <w:tr w:rsidR="003E1D81" w14:paraId="3F3875A4" w14:textId="77777777">
        <w:trPr>
          <w:trHeight w:val="309"/>
        </w:trPr>
        <w:tc>
          <w:tcPr>
            <w:tcW w:w="709" w:type="dxa"/>
            <w:shd w:val="clear" w:color="auto" w:fill="C6EFCE"/>
            <w:noWrap/>
          </w:tcPr>
          <w:p w14:paraId="3B35F387" w14:textId="77777777" w:rsidR="003E1D81" w:rsidRDefault="00EB481C">
            <w:pPr>
              <w:pStyle w:val="P68B1DB1-Normal13"/>
              <w:spacing w:after="0" w:line="240" w:lineRule="auto"/>
              <w:jc w:val="center"/>
              <w:rPr>
                <w:rFonts w:eastAsia="Times New Roman" w:cs="Times New Roman"/>
                <w:noProof/>
              </w:rPr>
            </w:pPr>
            <w:r>
              <w:rPr>
                <w:noProof/>
              </w:rPr>
              <w:t>363</w:t>
            </w:r>
          </w:p>
        </w:tc>
        <w:tc>
          <w:tcPr>
            <w:tcW w:w="851" w:type="dxa"/>
            <w:shd w:val="clear" w:color="auto" w:fill="C6EFCE"/>
            <w:noWrap/>
          </w:tcPr>
          <w:p w14:paraId="1FCC46AE" w14:textId="77777777" w:rsidR="003E1D81" w:rsidRDefault="00EB481C">
            <w:pPr>
              <w:pStyle w:val="P68B1DB1-Normal13"/>
              <w:spacing w:after="0" w:line="240" w:lineRule="auto"/>
              <w:jc w:val="center"/>
              <w:rPr>
                <w:rFonts w:eastAsia="Times New Roman" w:cs="Times New Roman"/>
                <w:noProof/>
              </w:rPr>
            </w:pPr>
            <w:r>
              <w:rPr>
                <w:noProof/>
              </w:rPr>
              <w:t>C25.R1</w:t>
            </w:r>
          </w:p>
        </w:tc>
        <w:tc>
          <w:tcPr>
            <w:tcW w:w="850" w:type="dxa"/>
            <w:shd w:val="clear" w:color="auto" w:fill="C6EFCE"/>
            <w:noWrap/>
          </w:tcPr>
          <w:p w14:paraId="7AC0435F" w14:textId="77777777" w:rsidR="003E1D81" w:rsidRDefault="00EB481C">
            <w:pPr>
              <w:pStyle w:val="P68B1DB1-Normal13"/>
              <w:spacing w:after="0" w:line="240" w:lineRule="auto"/>
              <w:jc w:val="center"/>
              <w:rPr>
                <w:rFonts w:eastAsia="Times New Roman" w:cs="Times New Roman"/>
                <w:noProof/>
              </w:rPr>
            </w:pPr>
            <w:r>
              <w:rPr>
                <w:noProof/>
              </w:rPr>
              <w:t>M</w:t>
            </w:r>
          </w:p>
        </w:tc>
        <w:tc>
          <w:tcPr>
            <w:tcW w:w="2410" w:type="dxa"/>
            <w:shd w:val="clear" w:color="auto" w:fill="C6EFCE"/>
            <w:noWrap/>
          </w:tcPr>
          <w:p w14:paraId="3CE57C43" w14:textId="77777777" w:rsidR="003E1D81" w:rsidRDefault="00EB481C">
            <w:pPr>
              <w:pStyle w:val="P68B1DB1-Normal13"/>
              <w:spacing w:after="0" w:line="240" w:lineRule="auto"/>
              <w:rPr>
                <w:rFonts w:eastAsia="Times New Roman" w:cs="Times New Roman"/>
                <w:noProof/>
              </w:rPr>
            </w:pPr>
            <w:r>
              <w:rPr>
                <w:noProof/>
              </w:rPr>
              <w:t>Terv: „Spanyolország, Európai Audiovizuális Központ”.</w:t>
            </w:r>
          </w:p>
        </w:tc>
        <w:tc>
          <w:tcPr>
            <w:tcW w:w="992" w:type="dxa"/>
            <w:shd w:val="clear" w:color="auto" w:fill="C6EFCE"/>
            <w:noWrap/>
          </w:tcPr>
          <w:p w14:paraId="4ADCEDC8" w14:textId="77777777" w:rsidR="003E1D81" w:rsidRDefault="00EB481C">
            <w:pPr>
              <w:pStyle w:val="P68B1DB1-Normal13"/>
              <w:spacing w:after="0" w:line="240" w:lineRule="auto"/>
              <w:jc w:val="center"/>
              <w:rPr>
                <w:rFonts w:eastAsia="Times New Roman" w:cs="Times New Roman"/>
                <w:noProof/>
              </w:rPr>
            </w:pPr>
            <w:r>
              <w:rPr>
                <w:noProof/>
              </w:rPr>
              <w:t>A Miniszterek Tanácsának jóváhagyása</w:t>
            </w:r>
          </w:p>
        </w:tc>
        <w:tc>
          <w:tcPr>
            <w:tcW w:w="851" w:type="dxa"/>
            <w:shd w:val="clear" w:color="auto" w:fill="C6EFCE"/>
            <w:noWrap/>
          </w:tcPr>
          <w:p w14:paraId="189AEA86"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0A23DA7E"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1C81D603"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425" w:type="dxa"/>
            <w:shd w:val="clear" w:color="auto" w:fill="C6EFCE"/>
            <w:noWrap/>
          </w:tcPr>
          <w:p w14:paraId="3BFBFA72"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4CC3BA96" w14:textId="77777777" w:rsidR="003E1D81" w:rsidRDefault="00EB481C">
            <w:pPr>
              <w:pStyle w:val="P68B1DB1-Normal13"/>
              <w:spacing w:after="0" w:line="240" w:lineRule="auto"/>
              <w:jc w:val="center"/>
              <w:rPr>
                <w:rFonts w:eastAsia="Times New Roman" w:cs="Times New Roman"/>
                <w:noProof/>
              </w:rPr>
            </w:pPr>
            <w:r>
              <w:rPr>
                <w:noProof/>
              </w:rPr>
              <w:t>2021</w:t>
            </w:r>
          </w:p>
        </w:tc>
        <w:tc>
          <w:tcPr>
            <w:tcW w:w="6521" w:type="dxa"/>
            <w:shd w:val="clear" w:color="auto" w:fill="C6EFCE"/>
            <w:noWrap/>
          </w:tcPr>
          <w:p w14:paraId="0BD9D7CC" w14:textId="77777777" w:rsidR="003E1D81" w:rsidRDefault="00EB481C">
            <w:pPr>
              <w:pStyle w:val="P68B1DB1-Normal13"/>
              <w:spacing w:after="0" w:line="240" w:lineRule="auto"/>
              <w:rPr>
                <w:rFonts w:eastAsia="Times New Roman" w:cs="Times New Roman"/>
                <w:noProof/>
              </w:rPr>
            </w:pPr>
            <w:r>
              <w:rPr>
                <w:noProof/>
              </w:rPr>
              <w:t>A Miniszterek Tanácsa jóváhagyta a „Spanyolország, Európai Audiovizuális Központ” című tervet. A terv olyan közberuházásokat és reformokat ötvöz, amelyek célja i. az ágazat nemzetközivé tétele és Spanyolország mint külföldi beruházás von</w:t>
            </w:r>
            <w:r>
              <w:rPr>
                <w:noProof/>
              </w:rPr>
              <w:t>zerejének növelése; a szabályozási és igazgatási költségek csökkentése; valamennyi vállalkozás versenyképességének javítása az új technológiák bevezetése révén annak érdekében, hogy a vállalkozás versenyképes legyen a digitalizált piacon; és iv. a nemek kö</w:t>
            </w:r>
            <w:r>
              <w:rPr>
                <w:noProof/>
              </w:rPr>
              <w:t xml:space="preserve">zötti szakadék csökkentése révén mozdítsák elő a humántőkét. </w:t>
            </w:r>
          </w:p>
        </w:tc>
      </w:tr>
      <w:tr w:rsidR="003E1D81" w14:paraId="20B60638" w14:textId="77777777">
        <w:trPr>
          <w:trHeight w:val="309"/>
        </w:trPr>
        <w:tc>
          <w:tcPr>
            <w:tcW w:w="709" w:type="dxa"/>
            <w:shd w:val="clear" w:color="auto" w:fill="C6EFCE"/>
            <w:noWrap/>
          </w:tcPr>
          <w:p w14:paraId="7405E7D2" w14:textId="77777777" w:rsidR="003E1D81" w:rsidRDefault="00EB481C">
            <w:pPr>
              <w:pStyle w:val="P68B1DB1-Normal13"/>
              <w:spacing w:after="0" w:line="240" w:lineRule="auto"/>
              <w:jc w:val="center"/>
              <w:rPr>
                <w:rFonts w:eastAsia="Times New Roman" w:cs="Times New Roman"/>
                <w:noProof/>
              </w:rPr>
            </w:pPr>
            <w:r>
              <w:rPr>
                <w:noProof/>
              </w:rPr>
              <w:t>364</w:t>
            </w:r>
          </w:p>
        </w:tc>
        <w:tc>
          <w:tcPr>
            <w:tcW w:w="851" w:type="dxa"/>
            <w:shd w:val="clear" w:color="auto" w:fill="C6EFCE"/>
            <w:noWrap/>
          </w:tcPr>
          <w:p w14:paraId="219B5BED" w14:textId="77777777" w:rsidR="003E1D81" w:rsidRDefault="00EB481C">
            <w:pPr>
              <w:pStyle w:val="P68B1DB1-Normal13"/>
              <w:spacing w:after="0" w:line="240" w:lineRule="auto"/>
              <w:jc w:val="center"/>
              <w:rPr>
                <w:rFonts w:eastAsia="Times New Roman" w:cs="Times New Roman"/>
                <w:noProof/>
              </w:rPr>
            </w:pPr>
            <w:r>
              <w:rPr>
                <w:noProof/>
              </w:rPr>
              <w:t>C25.R1</w:t>
            </w:r>
          </w:p>
        </w:tc>
        <w:tc>
          <w:tcPr>
            <w:tcW w:w="850" w:type="dxa"/>
            <w:shd w:val="clear" w:color="auto" w:fill="C6EFCE"/>
            <w:noWrap/>
          </w:tcPr>
          <w:p w14:paraId="602257A8" w14:textId="77777777" w:rsidR="003E1D81" w:rsidRDefault="00EB481C">
            <w:pPr>
              <w:pStyle w:val="P68B1DB1-Normal13"/>
              <w:spacing w:after="0" w:line="240" w:lineRule="auto"/>
              <w:jc w:val="center"/>
              <w:rPr>
                <w:rFonts w:eastAsia="Times New Roman" w:cs="Times New Roman"/>
                <w:noProof/>
              </w:rPr>
            </w:pPr>
            <w:r>
              <w:rPr>
                <w:noProof/>
              </w:rPr>
              <w:t>M</w:t>
            </w:r>
          </w:p>
        </w:tc>
        <w:tc>
          <w:tcPr>
            <w:tcW w:w="2410" w:type="dxa"/>
            <w:shd w:val="clear" w:color="auto" w:fill="C6EFCE"/>
            <w:noWrap/>
          </w:tcPr>
          <w:p w14:paraId="2089A997" w14:textId="77777777" w:rsidR="003E1D81" w:rsidRDefault="00EB481C">
            <w:pPr>
              <w:pStyle w:val="P68B1DB1-Normal13"/>
              <w:spacing w:after="0" w:line="240" w:lineRule="auto"/>
              <w:rPr>
                <w:rFonts w:eastAsia="Times New Roman" w:cs="Times New Roman"/>
                <w:noProof/>
              </w:rPr>
            </w:pPr>
            <w:r>
              <w:rPr>
                <w:noProof/>
              </w:rPr>
              <w:t>Az audiovizuális kommunikációról szóló általános törvény hatálybalépése.</w:t>
            </w:r>
          </w:p>
        </w:tc>
        <w:tc>
          <w:tcPr>
            <w:tcW w:w="992" w:type="dxa"/>
            <w:shd w:val="clear" w:color="auto" w:fill="C6EFCE"/>
            <w:noWrap/>
          </w:tcPr>
          <w:p w14:paraId="5C3BCC5D" w14:textId="77777777" w:rsidR="003E1D81" w:rsidRDefault="00EB481C">
            <w:pPr>
              <w:pStyle w:val="P68B1DB1-Normal13"/>
              <w:spacing w:after="0" w:line="240" w:lineRule="auto"/>
              <w:jc w:val="center"/>
              <w:rPr>
                <w:rFonts w:eastAsia="Times New Roman" w:cs="Times New Roman"/>
                <w:noProof/>
              </w:rPr>
            </w:pPr>
            <w:r>
              <w:rPr>
                <w:noProof/>
              </w:rPr>
              <w:t>A hatálybalépésről szóló törvény rendelkezései</w:t>
            </w:r>
          </w:p>
        </w:tc>
        <w:tc>
          <w:tcPr>
            <w:tcW w:w="851" w:type="dxa"/>
            <w:shd w:val="clear" w:color="auto" w:fill="C6EFCE"/>
            <w:noWrap/>
          </w:tcPr>
          <w:p w14:paraId="7D1BE2B3"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31D4E1D7"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4EE8D5D6"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425" w:type="dxa"/>
            <w:shd w:val="clear" w:color="auto" w:fill="C6EFCE"/>
            <w:noWrap/>
          </w:tcPr>
          <w:p w14:paraId="55605FB0"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6D43C0D2" w14:textId="77777777" w:rsidR="003E1D81" w:rsidRDefault="00EB481C">
            <w:pPr>
              <w:pStyle w:val="P68B1DB1-Normal13"/>
              <w:spacing w:after="0" w:line="240" w:lineRule="auto"/>
              <w:jc w:val="center"/>
              <w:rPr>
                <w:rFonts w:eastAsia="Times New Roman" w:cs="Times New Roman"/>
                <w:noProof/>
              </w:rPr>
            </w:pPr>
            <w:r>
              <w:rPr>
                <w:noProof/>
              </w:rPr>
              <w:t>2022</w:t>
            </w:r>
          </w:p>
        </w:tc>
        <w:tc>
          <w:tcPr>
            <w:tcW w:w="6521" w:type="dxa"/>
            <w:shd w:val="clear" w:color="auto" w:fill="C6EFCE"/>
            <w:noWrap/>
          </w:tcPr>
          <w:p w14:paraId="5B4928FB" w14:textId="77777777" w:rsidR="003E1D81" w:rsidRDefault="00EB481C">
            <w:pPr>
              <w:pStyle w:val="P68B1DB1-Normal13"/>
              <w:spacing w:after="0" w:line="240" w:lineRule="auto"/>
              <w:rPr>
                <w:rFonts w:eastAsia="Times New Roman" w:cs="Times New Roman"/>
                <w:noProof/>
              </w:rPr>
            </w:pPr>
            <w:r>
              <w:rPr>
                <w:noProof/>
              </w:rPr>
              <w:t>Az audiovizuális kommunikációról szóló általános törvény hatálybalépése. Ez a törvény szabályozza a spanyolországi audiovizuális hírközlési szolgáltatások nyújtásának jogi keretét, és ténylegesen átülteti a nemzeti jogrendszerbe az audiovizuális hírközlési</w:t>
            </w:r>
            <w:r>
              <w:rPr>
                <w:noProof/>
              </w:rPr>
              <w:t xml:space="preserve"> szolgáltatásokról szóló (EU) 2018/1808 irányelvet. Célja a spanyolországi audiovizuális hírközlési szolgáltatásokra és videomegosztóplatform-szolgáltatásokra alkalmazandó jogi keret kiigazítása és aktualizálása. A törvény arra is törekszik, hogy egyenlő v</w:t>
            </w:r>
            <w:r>
              <w:rPr>
                <w:noProof/>
              </w:rPr>
              <w:t>ersenyfeltételeket biztosítson a piacon jelen lévő valamennyi szereplő számára. Végezetül a törvény tartalmaz egy olyan mechanizmust, amely garantálja a felhasználók jogait (például a kiskorúak és a nyilvánosság védelme bizonyos típusú tartalmakkal szemben</w:t>
            </w:r>
            <w:r>
              <w:rPr>
                <w:noProof/>
              </w:rPr>
              <w:t xml:space="preserve">). </w:t>
            </w:r>
          </w:p>
        </w:tc>
      </w:tr>
      <w:tr w:rsidR="003E1D81" w14:paraId="1788D00F" w14:textId="77777777">
        <w:trPr>
          <w:trHeight w:val="309"/>
        </w:trPr>
        <w:tc>
          <w:tcPr>
            <w:tcW w:w="709" w:type="dxa"/>
            <w:shd w:val="clear" w:color="auto" w:fill="C6EFCE"/>
            <w:noWrap/>
          </w:tcPr>
          <w:p w14:paraId="02194E71" w14:textId="77777777" w:rsidR="003E1D81" w:rsidRDefault="00EB481C">
            <w:pPr>
              <w:pStyle w:val="P68B1DB1-Normal13"/>
              <w:spacing w:after="0" w:line="240" w:lineRule="auto"/>
              <w:jc w:val="center"/>
              <w:rPr>
                <w:rFonts w:eastAsia="Times New Roman" w:cs="Times New Roman"/>
                <w:noProof/>
              </w:rPr>
            </w:pPr>
            <w:r>
              <w:rPr>
                <w:noProof/>
              </w:rPr>
              <w:t>365</w:t>
            </w:r>
          </w:p>
        </w:tc>
        <w:tc>
          <w:tcPr>
            <w:tcW w:w="851" w:type="dxa"/>
            <w:shd w:val="clear" w:color="auto" w:fill="C6EFCE"/>
            <w:noWrap/>
          </w:tcPr>
          <w:p w14:paraId="1FE2EC17" w14:textId="77777777" w:rsidR="003E1D81" w:rsidRDefault="00EB481C">
            <w:pPr>
              <w:pStyle w:val="P68B1DB1-Normal13"/>
              <w:spacing w:after="0" w:line="240" w:lineRule="auto"/>
              <w:jc w:val="center"/>
              <w:rPr>
                <w:rFonts w:eastAsia="Times New Roman" w:cs="Times New Roman"/>
                <w:noProof/>
              </w:rPr>
            </w:pPr>
            <w:r>
              <w:rPr>
                <w:noProof/>
              </w:rPr>
              <w:t>C25.R1</w:t>
            </w:r>
          </w:p>
        </w:tc>
        <w:tc>
          <w:tcPr>
            <w:tcW w:w="850" w:type="dxa"/>
            <w:shd w:val="clear" w:color="auto" w:fill="C6EFCE"/>
            <w:noWrap/>
          </w:tcPr>
          <w:p w14:paraId="5F87FA2F" w14:textId="77777777" w:rsidR="003E1D81" w:rsidRDefault="00EB481C">
            <w:pPr>
              <w:pStyle w:val="P68B1DB1-Normal13"/>
              <w:spacing w:after="0" w:line="240" w:lineRule="auto"/>
              <w:jc w:val="center"/>
              <w:rPr>
                <w:rFonts w:eastAsia="Times New Roman" w:cs="Times New Roman"/>
                <w:noProof/>
              </w:rPr>
            </w:pPr>
            <w:r>
              <w:rPr>
                <w:noProof/>
              </w:rPr>
              <w:t>M</w:t>
            </w:r>
          </w:p>
        </w:tc>
        <w:tc>
          <w:tcPr>
            <w:tcW w:w="2410" w:type="dxa"/>
            <w:shd w:val="clear" w:color="auto" w:fill="C6EFCE"/>
            <w:noWrap/>
          </w:tcPr>
          <w:p w14:paraId="7E95C705" w14:textId="77777777" w:rsidR="003E1D81" w:rsidRDefault="00EB481C">
            <w:pPr>
              <w:pStyle w:val="P68B1DB1-Normal13"/>
              <w:spacing w:after="0" w:line="240" w:lineRule="auto"/>
              <w:rPr>
                <w:rFonts w:eastAsia="Times New Roman" w:cs="Times New Roman"/>
                <w:noProof/>
              </w:rPr>
            </w:pPr>
            <w:r>
              <w:rPr>
                <w:noProof/>
              </w:rPr>
              <w:t xml:space="preserve"> A moziról szóló törvény hatálybalépése. </w:t>
            </w:r>
          </w:p>
        </w:tc>
        <w:tc>
          <w:tcPr>
            <w:tcW w:w="992" w:type="dxa"/>
            <w:shd w:val="clear" w:color="auto" w:fill="C6EFCE"/>
            <w:noWrap/>
          </w:tcPr>
          <w:p w14:paraId="530104E0" w14:textId="77777777" w:rsidR="003E1D81" w:rsidRDefault="00EB481C">
            <w:pPr>
              <w:pStyle w:val="P68B1DB1-Normal13"/>
              <w:spacing w:after="0" w:line="240" w:lineRule="auto"/>
              <w:jc w:val="center"/>
              <w:rPr>
                <w:rFonts w:eastAsia="Times New Roman" w:cs="Times New Roman"/>
                <w:noProof/>
              </w:rPr>
            </w:pPr>
            <w:r>
              <w:rPr>
                <w:noProof/>
              </w:rPr>
              <w:t>A hatálybalépésről szóló törvény rendelkezései</w:t>
            </w:r>
          </w:p>
        </w:tc>
        <w:tc>
          <w:tcPr>
            <w:tcW w:w="851" w:type="dxa"/>
            <w:shd w:val="clear" w:color="auto" w:fill="C6EFCE"/>
            <w:noWrap/>
          </w:tcPr>
          <w:p w14:paraId="6924DB2A" w14:textId="77777777" w:rsidR="003E1D81" w:rsidRDefault="00EB481C">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45F8D9A3"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6C213F5" w14:textId="77777777" w:rsidR="003E1D81" w:rsidRDefault="00EB481C">
            <w:pPr>
              <w:pStyle w:val="P68B1DB1-Normal13"/>
              <w:spacing w:after="0" w:line="240" w:lineRule="auto"/>
              <w:jc w:val="right"/>
              <w:rPr>
                <w:rFonts w:eastAsia="Times New Roman" w:cs="Times New Roman"/>
                <w:noProof/>
              </w:rPr>
            </w:pPr>
            <w:r>
              <w:rPr>
                <w:noProof/>
              </w:rPr>
              <w:t xml:space="preserve"> </w:t>
            </w:r>
          </w:p>
        </w:tc>
        <w:tc>
          <w:tcPr>
            <w:tcW w:w="425" w:type="dxa"/>
            <w:shd w:val="clear" w:color="auto" w:fill="C6EFCE"/>
            <w:noWrap/>
          </w:tcPr>
          <w:p w14:paraId="0E84A4BA"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11B03DD4" w14:textId="77777777" w:rsidR="003E1D81" w:rsidRDefault="00EB481C">
            <w:pPr>
              <w:pStyle w:val="P68B1DB1-Normal13"/>
              <w:spacing w:after="0" w:line="240" w:lineRule="auto"/>
              <w:jc w:val="center"/>
              <w:rPr>
                <w:rFonts w:eastAsia="Times New Roman" w:cs="Times New Roman"/>
                <w:noProof/>
              </w:rPr>
            </w:pPr>
            <w:r>
              <w:rPr>
                <w:noProof/>
              </w:rPr>
              <w:t>2023</w:t>
            </w:r>
          </w:p>
        </w:tc>
        <w:tc>
          <w:tcPr>
            <w:tcW w:w="6521" w:type="dxa"/>
            <w:shd w:val="clear" w:color="auto" w:fill="C6EFCE"/>
            <w:noWrap/>
          </w:tcPr>
          <w:p w14:paraId="3140A1B8" w14:textId="77777777" w:rsidR="003E1D81" w:rsidRDefault="00EB481C">
            <w:pPr>
              <w:pStyle w:val="P68B1DB1-Normal13"/>
              <w:spacing w:after="0" w:line="240" w:lineRule="auto"/>
              <w:rPr>
                <w:rFonts w:eastAsia="Times New Roman" w:cs="Times New Roman"/>
                <w:noProof/>
              </w:rPr>
            </w:pPr>
            <w:r>
              <w:rPr>
                <w:noProof/>
              </w:rPr>
              <w:t xml:space="preserve">A filmtörvény parlament általi jóváhagyása és hatálybalépése. Ez a törvény aktualizálja a jogi keretet az audiovizuális ágazat új realitásaihoz és szükségleteihez, összehangolva a nemzeti szabályozást az európai jogi kerettel. </w:t>
            </w:r>
          </w:p>
        </w:tc>
      </w:tr>
      <w:tr w:rsidR="003E1D81" w14:paraId="488F4E29" w14:textId="77777777">
        <w:trPr>
          <w:trHeight w:val="309"/>
        </w:trPr>
        <w:tc>
          <w:tcPr>
            <w:tcW w:w="709" w:type="dxa"/>
            <w:shd w:val="clear" w:color="auto" w:fill="C6EFCE"/>
            <w:noWrap/>
          </w:tcPr>
          <w:p w14:paraId="76A29C79" w14:textId="77777777" w:rsidR="003E1D81" w:rsidRDefault="00EB481C">
            <w:pPr>
              <w:pStyle w:val="P68B1DB1-Normal13"/>
              <w:spacing w:after="0" w:line="240" w:lineRule="auto"/>
              <w:jc w:val="center"/>
              <w:rPr>
                <w:rFonts w:eastAsia="Times New Roman" w:cs="Times New Roman"/>
                <w:noProof/>
              </w:rPr>
            </w:pPr>
            <w:bookmarkStart w:id="57" w:name="_Hlk141276036"/>
            <w:r>
              <w:rPr>
                <w:noProof/>
              </w:rPr>
              <w:t>366</w:t>
            </w:r>
          </w:p>
        </w:tc>
        <w:tc>
          <w:tcPr>
            <w:tcW w:w="851" w:type="dxa"/>
            <w:shd w:val="clear" w:color="auto" w:fill="C6EFCE"/>
            <w:noWrap/>
          </w:tcPr>
          <w:p w14:paraId="5759C3AB" w14:textId="77777777" w:rsidR="003E1D81" w:rsidRDefault="00EB481C">
            <w:pPr>
              <w:pStyle w:val="P68B1DB1-Normal13"/>
              <w:spacing w:after="0" w:line="240" w:lineRule="auto"/>
              <w:jc w:val="center"/>
              <w:rPr>
                <w:rFonts w:eastAsia="Times New Roman" w:cs="Times New Roman"/>
                <w:noProof/>
              </w:rPr>
            </w:pPr>
            <w:r>
              <w:rPr>
                <w:noProof/>
              </w:rPr>
              <w:t>C25.I1</w:t>
            </w:r>
          </w:p>
        </w:tc>
        <w:tc>
          <w:tcPr>
            <w:tcW w:w="850" w:type="dxa"/>
            <w:shd w:val="clear" w:color="auto" w:fill="C6EFCE"/>
            <w:noWrap/>
          </w:tcPr>
          <w:p w14:paraId="29B45EC0" w14:textId="77777777" w:rsidR="003E1D81" w:rsidRDefault="00EB481C">
            <w:pPr>
              <w:pStyle w:val="P68B1DB1-Normal13"/>
              <w:spacing w:after="0" w:line="240" w:lineRule="auto"/>
              <w:jc w:val="center"/>
              <w:rPr>
                <w:rFonts w:eastAsia="Times New Roman" w:cs="Times New Roman"/>
                <w:noProof/>
              </w:rPr>
            </w:pPr>
            <w:r>
              <w:rPr>
                <w:noProof/>
              </w:rPr>
              <w:t>T</w:t>
            </w:r>
          </w:p>
        </w:tc>
        <w:tc>
          <w:tcPr>
            <w:tcW w:w="2410" w:type="dxa"/>
            <w:shd w:val="clear" w:color="auto" w:fill="C6EFCE"/>
            <w:noWrap/>
          </w:tcPr>
          <w:p w14:paraId="07A3A73F" w14:textId="77777777" w:rsidR="003E1D81" w:rsidRDefault="00EB481C">
            <w:pPr>
              <w:pStyle w:val="P68B1DB1-Normal13"/>
              <w:spacing w:after="0" w:line="240" w:lineRule="auto"/>
              <w:rPr>
                <w:rFonts w:eastAsia="Times New Roman" w:cs="Times New Roman"/>
                <w:noProof/>
              </w:rPr>
            </w:pPr>
            <w:r>
              <w:rPr>
                <w:noProof/>
              </w:rPr>
              <w:t xml:space="preserve">A kkv-k </w:t>
            </w:r>
            <w:r>
              <w:rPr>
                <w:noProof/>
              </w:rPr>
              <w:t>támogatása az audiovizuális ágazatban.</w:t>
            </w:r>
          </w:p>
        </w:tc>
        <w:tc>
          <w:tcPr>
            <w:tcW w:w="992" w:type="dxa"/>
            <w:shd w:val="clear" w:color="auto" w:fill="C6EFCE"/>
            <w:noWrap/>
          </w:tcPr>
          <w:p w14:paraId="2C53D7E8" w14:textId="77777777" w:rsidR="003E1D81" w:rsidRDefault="00EB481C">
            <w:pPr>
              <w:pStyle w:val="P68B1DB1-Normal13"/>
              <w:spacing w:after="0" w:line="240" w:lineRule="auto"/>
              <w:jc w:val="center"/>
              <w:rPr>
                <w:rFonts w:eastAsia="Times New Roman" w:cs="Times New Roman"/>
                <w:noProof/>
              </w:rPr>
            </w:pPr>
            <w:r>
              <w:rPr>
                <w:noProof/>
              </w:rPr>
              <w:t>–</w:t>
            </w:r>
          </w:p>
        </w:tc>
        <w:tc>
          <w:tcPr>
            <w:tcW w:w="851" w:type="dxa"/>
            <w:shd w:val="clear" w:color="auto" w:fill="C6EFCE"/>
            <w:noWrap/>
          </w:tcPr>
          <w:p w14:paraId="278EA5B7"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567" w:type="dxa"/>
            <w:shd w:val="clear" w:color="auto" w:fill="C6EFCE"/>
            <w:noWrap/>
          </w:tcPr>
          <w:p w14:paraId="26782D6E" w14:textId="77777777" w:rsidR="003E1D81" w:rsidRDefault="00EB481C">
            <w:pPr>
              <w:pStyle w:val="P68B1DB1-Normal13"/>
              <w:spacing w:after="0" w:line="240" w:lineRule="auto"/>
              <w:jc w:val="right"/>
              <w:rPr>
                <w:rFonts w:eastAsia="Times New Roman" w:cs="Times New Roman"/>
                <w:noProof/>
              </w:rPr>
            </w:pPr>
            <w:r>
              <w:rPr>
                <w:noProof/>
              </w:rPr>
              <w:t>0</w:t>
            </w:r>
          </w:p>
        </w:tc>
        <w:tc>
          <w:tcPr>
            <w:tcW w:w="567" w:type="dxa"/>
            <w:shd w:val="clear" w:color="auto" w:fill="C6EFCE"/>
            <w:noWrap/>
          </w:tcPr>
          <w:p w14:paraId="6B73A788" w14:textId="77777777" w:rsidR="003E1D81" w:rsidRDefault="00EB481C">
            <w:pPr>
              <w:pStyle w:val="P68B1DB1-Normal13"/>
              <w:spacing w:after="0" w:line="240" w:lineRule="auto"/>
              <w:jc w:val="right"/>
              <w:rPr>
                <w:rFonts w:eastAsia="Times New Roman" w:cs="Times New Roman"/>
                <w:noProof/>
              </w:rPr>
            </w:pPr>
            <w:r>
              <w:rPr>
                <w:noProof/>
              </w:rPr>
              <w:t>100</w:t>
            </w:r>
          </w:p>
        </w:tc>
        <w:tc>
          <w:tcPr>
            <w:tcW w:w="425" w:type="dxa"/>
            <w:shd w:val="clear" w:color="auto" w:fill="C6EFCE"/>
            <w:noWrap/>
          </w:tcPr>
          <w:p w14:paraId="4EEEECB0"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67" w:type="dxa"/>
            <w:shd w:val="clear" w:color="auto" w:fill="C6EFCE"/>
            <w:noWrap/>
          </w:tcPr>
          <w:p w14:paraId="3EFB0583" w14:textId="77777777" w:rsidR="003E1D81" w:rsidRDefault="00EB481C">
            <w:pPr>
              <w:pStyle w:val="P68B1DB1-Normal13"/>
              <w:spacing w:after="0" w:line="240" w:lineRule="auto"/>
              <w:jc w:val="center"/>
              <w:rPr>
                <w:rFonts w:cs="Times New Roman"/>
                <w:noProof/>
              </w:rPr>
            </w:pPr>
            <w:r>
              <w:rPr>
                <w:noProof/>
              </w:rPr>
              <w:t>2023</w:t>
            </w:r>
          </w:p>
        </w:tc>
        <w:tc>
          <w:tcPr>
            <w:tcW w:w="6521" w:type="dxa"/>
            <w:shd w:val="clear" w:color="auto" w:fill="C6EFCE"/>
            <w:noWrap/>
          </w:tcPr>
          <w:p w14:paraId="3F0F49CF" w14:textId="77777777" w:rsidR="003E1D81" w:rsidRDefault="00EB481C">
            <w:pPr>
              <w:pStyle w:val="P68B1DB1-Normal13"/>
              <w:spacing w:after="0" w:line="240" w:lineRule="auto"/>
              <w:rPr>
                <w:rFonts w:eastAsia="Times New Roman" w:cs="Times New Roman"/>
                <w:noProof/>
              </w:rPr>
            </w:pPr>
            <w:r>
              <w:rPr>
                <w:noProof/>
              </w:rPr>
              <w:t xml:space="preserve">Az audiovizuális ágazatban működő kkv-k támogatása digitalizációjukhoz, a nemek közötti egyenlőség előmozdításához, a nemzetközivé váláshoz és a közvetlen külföldi befektetések vonzásához a </w:t>
            </w:r>
            <w:r>
              <w:rPr>
                <w:noProof/>
              </w:rPr>
              <w:t>teljes program keretében, összesen 200 millió EUR költségvetési előirányzattal (legalább 100 kkv támogatásával).</w:t>
            </w:r>
          </w:p>
        </w:tc>
      </w:tr>
      <w:tr w:rsidR="003E1D81" w14:paraId="3955C9E0" w14:textId="77777777">
        <w:trPr>
          <w:trHeight w:val="309"/>
        </w:trPr>
        <w:tc>
          <w:tcPr>
            <w:tcW w:w="709" w:type="dxa"/>
            <w:shd w:val="clear" w:color="auto" w:fill="C6EFCE"/>
            <w:noWrap/>
          </w:tcPr>
          <w:p w14:paraId="3CB64B11" w14:textId="76B8BAE8" w:rsidR="003E1D81" w:rsidRDefault="00EB481C">
            <w:pPr>
              <w:pStyle w:val="P68B1DB1-Normal13"/>
              <w:spacing w:after="0" w:line="240" w:lineRule="auto"/>
              <w:jc w:val="center"/>
              <w:rPr>
                <w:rFonts w:cs="Times New Roman"/>
                <w:noProof/>
              </w:rPr>
            </w:pPr>
            <w:r>
              <w:rPr>
                <w:noProof/>
              </w:rPr>
              <w:t>476</w:t>
            </w:r>
          </w:p>
        </w:tc>
        <w:tc>
          <w:tcPr>
            <w:tcW w:w="851" w:type="dxa"/>
            <w:shd w:val="clear" w:color="auto" w:fill="C6EFCE"/>
            <w:noWrap/>
          </w:tcPr>
          <w:p w14:paraId="386AB2A7" w14:textId="77777777" w:rsidR="003E1D81" w:rsidRDefault="00EB481C">
            <w:pPr>
              <w:pStyle w:val="P68B1DB1-Normal13"/>
              <w:spacing w:after="0" w:line="240" w:lineRule="auto"/>
              <w:jc w:val="center"/>
              <w:rPr>
                <w:rFonts w:cs="Times New Roman"/>
                <w:noProof/>
              </w:rPr>
            </w:pPr>
            <w:r>
              <w:rPr>
                <w:noProof/>
              </w:rPr>
              <w:t>C25.I1</w:t>
            </w:r>
          </w:p>
        </w:tc>
        <w:tc>
          <w:tcPr>
            <w:tcW w:w="850" w:type="dxa"/>
            <w:shd w:val="clear" w:color="auto" w:fill="C6EFCE"/>
            <w:noWrap/>
          </w:tcPr>
          <w:p w14:paraId="70548496" w14:textId="77777777" w:rsidR="003E1D81" w:rsidRDefault="00EB481C">
            <w:pPr>
              <w:pStyle w:val="P68B1DB1-Normal13"/>
              <w:spacing w:after="0" w:line="240" w:lineRule="auto"/>
              <w:jc w:val="center"/>
              <w:rPr>
                <w:rFonts w:cs="Times New Roman"/>
                <w:noProof/>
              </w:rPr>
            </w:pPr>
            <w:r>
              <w:rPr>
                <w:noProof/>
              </w:rPr>
              <w:t>T</w:t>
            </w:r>
          </w:p>
        </w:tc>
        <w:tc>
          <w:tcPr>
            <w:tcW w:w="2410" w:type="dxa"/>
            <w:shd w:val="clear" w:color="auto" w:fill="C6EFCE"/>
            <w:noWrap/>
          </w:tcPr>
          <w:p w14:paraId="756F591D" w14:textId="1B8ED1C5" w:rsidR="003E1D81" w:rsidRDefault="00EB481C">
            <w:pPr>
              <w:pStyle w:val="P68B1DB1-Normal13"/>
              <w:spacing w:after="0" w:line="240" w:lineRule="auto"/>
              <w:rPr>
                <w:rFonts w:cs="Times New Roman"/>
                <w:noProof/>
              </w:rPr>
            </w:pPr>
            <w:r>
              <w:rPr>
                <w:noProof/>
              </w:rPr>
              <w:t>Az audiovizuális ágazatban működő kkv-kat támogató projektek lezárása</w:t>
            </w:r>
          </w:p>
        </w:tc>
        <w:tc>
          <w:tcPr>
            <w:tcW w:w="992" w:type="dxa"/>
            <w:shd w:val="clear" w:color="auto" w:fill="C6EFCE"/>
            <w:noWrap/>
          </w:tcPr>
          <w:p w14:paraId="4BBA99A8" w14:textId="77777777" w:rsidR="003E1D81" w:rsidRDefault="003E1D81">
            <w:pPr>
              <w:spacing w:after="0" w:line="240" w:lineRule="auto"/>
              <w:jc w:val="center"/>
              <w:rPr>
                <w:rFonts w:ascii="Times New Roman" w:hAnsi="Times New Roman" w:cs="Times New Roman"/>
                <w:noProof/>
                <w:sz w:val="18"/>
              </w:rPr>
            </w:pPr>
          </w:p>
        </w:tc>
        <w:tc>
          <w:tcPr>
            <w:tcW w:w="851" w:type="dxa"/>
            <w:shd w:val="clear" w:color="auto" w:fill="C6EFCE"/>
            <w:noWrap/>
          </w:tcPr>
          <w:p w14:paraId="50A5A011" w14:textId="77777777" w:rsidR="003E1D81" w:rsidRDefault="00EB481C">
            <w:pPr>
              <w:pStyle w:val="P68B1DB1-Normal13"/>
              <w:spacing w:after="0" w:line="240" w:lineRule="auto"/>
              <w:jc w:val="center"/>
              <w:rPr>
                <w:rFonts w:cs="Times New Roman"/>
                <w:noProof/>
              </w:rPr>
            </w:pPr>
            <w:r>
              <w:rPr>
                <w:noProof/>
              </w:rPr>
              <w:t>Szám</w:t>
            </w:r>
          </w:p>
        </w:tc>
        <w:tc>
          <w:tcPr>
            <w:tcW w:w="567" w:type="dxa"/>
            <w:shd w:val="clear" w:color="auto" w:fill="C6EFCE"/>
            <w:noWrap/>
          </w:tcPr>
          <w:p w14:paraId="7CFA8470" w14:textId="77777777" w:rsidR="003E1D81" w:rsidRDefault="00EB481C">
            <w:pPr>
              <w:pStyle w:val="P68B1DB1-Normal13"/>
              <w:spacing w:after="0" w:line="240" w:lineRule="auto"/>
              <w:jc w:val="right"/>
              <w:rPr>
                <w:rFonts w:cs="Times New Roman"/>
                <w:noProof/>
              </w:rPr>
            </w:pPr>
            <w:r>
              <w:rPr>
                <w:noProof/>
              </w:rPr>
              <w:t>0</w:t>
            </w:r>
          </w:p>
        </w:tc>
        <w:tc>
          <w:tcPr>
            <w:tcW w:w="567" w:type="dxa"/>
            <w:shd w:val="clear" w:color="auto" w:fill="C6EFCE"/>
            <w:noWrap/>
          </w:tcPr>
          <w:p w14:paraId="31B7BBD8" w14:textId="77777777" w:rsidR="003E1D81" w:rsidRDefault="00EB481C">
            <w:pPr>
              <w:pStyle w:val="P68B1DB1-Normal13"/>
              <w:spacing w:after="0" w:line="240" w:lineRule="auto"/>
              <w:jc w:val="right"/>
              <w:rPr>
                <w:rFonts w:cs="Times New Roman"/>
                <w:noProof/>
              </w:rPr>
            </w:pPr>
            <w:r>
              <w:rPr>
                <w:noProof/>
              </w:rPr>
              <w:t>100</w:t>
            </w:r>
          </w:p>
        </w:tc>
        <w:tc>
          <w:tcPr>
            <w:tcW w:w="425" w:type="dxa"/>
            <w:shd w:val="clear" w:color="auto" w:fill="C6EFCE"/>
            <w:noWrap/>
          </w:tcPr>
          <w:p w14:paraId="70AE0A62" w14:textId="77777777" w:rsidR="003E1D81" w:rsidRDefault="00EB481C">
            <w:pPr>
              <w:pStyle w:val="P68B1DB1-Normal13"/>
              <w:spacing w:after="0" w:line="240" w:lineRule="auto"/>
              <w:jc w:val="center"/>
              <w:rPr>
                <w:rFonts w:cs="Times New Roman"/>
                <w:noProof/>
              </w:rPr>
            </w:pPr>
            <w:r>
              <w:rPr>
                <w:noProof/>
              </w:rPr>
              <w:t>NEGYEDÉV</w:t>
            </w:r>
          </w:p>
        </w:tc>
        <w:tc>
          <w:tcPr>
            <w:tcW w:w="567" w:type="dxa"/>
            <w:shd w:val="clear" w:color="auto" w:fill="C6EFCE"/>
            <w:noWrap/>
          </w:tcPr>
          <w:p w14:paraId="5FD1454A" w14:textId="77777777" w:rsidR="003E1D81" w:rsidRDefault="00EB481C">
            <w:pPr>
              <w:pStyle w:val="P68B1DB1-Normal13"/>
              <w:spacing w:after="0" w:line="240" w:lineRule="auto"/>
              <w:jc w:val="center"/>
              <w:rPr>
                <w:rFonts w:cs="Times New Roman"/>
                <w:noProof/>
              </w:rPr>
            </w:pPr>
            <w:r>
              <w:rPr>
                <w:noProof/>
              </w:rPr>
              <w:t>2024</w:t>
            </w:r>
          </w:p>
        </w:tc>
        <w:tc>
          <w:tcPr>
            <w:tcW w:w="6521" w:type="dxa"/>
            <w:shd w:val="clear" w:color="auto" w:fill="C6EFCE"/>
            <w:noWrap/>
          </w:tcPr>
          <w:p w14:paraId="7A5C131A" w14:textId="5F79330A" w:rsidR="003E1D81" w:rsidRDefault="00EB481C">
            <w:pPr>
              <w:pStyle w:val="P68B1DB1-Normal13"/>
              <w:spacing w:after="0" w:line="240" w:lineRule="auto"/>
              <w:rPr>
                <w:rFonts w:cs="Times New Roman"/>
                <w:noProof/>
              </w:rPr>
            </w:pPr>
            <w:r>
              <w:rPr>
                <w:noProof/>
              </w:rPr>
              <w:t>Az audiovizuális ágazatban működő</w:t>
            </w:r>
            <w:r>
              <w:rPr>
                <w:noProof/>
              </w:rPr>
              <w:t xml:space="preserve"> kkv-kat támogató projektek (legalább 100 kkv-t támogató projektek) lezárása.</w:t>
            </w:r>
          </w:p>
        </w:tc>
      </w:tr>
      <w:bookmarkEnd w:id="57"/>
    </w:tbl>
    <w:p w14:paraId="2B2E72EA" w14:textId="77777777" w:rsidR="003E1D81" w:rsidRDefault="003E1D81">
      <w:pPr>
        <w:rPr>
          <w:rFonts w:ascii="Times New Roman" w:hAnsi="Times New Roman" w:cs="Times New Roman"/>
          <w:noProof/>
          <w:sz w:val="24"/>
        </w:rPr>
        <w:sectPr w:rsidR="003E1D81" w:rsidSect="00C94F66">
          <w:headerReference w:type="even" r:id="rId477"/>
          <w:headerReference w:type="default" r:id="rId478"/>
          <w:footerReference w:type="even" r:id="rId479"/>
          <w:footerReference w:type="default" r:id="rId480"/>
          <w:headerReference w:type="first" r:id="rId481"/>
          <w:footerReference w:type="first" r:id="rId482"/>
          <w:pgSz w:w="16839" w:h="11907" w:orient="landscape"/>
          <w:pgMar w:top="1417" w:right="1134" w:bottom="1417" w:left="1134" w:header="709" w:footer="709" w:gutter="0"/>
          <w:cols w:space="720"/>
          <w:docGrid w:linePitch="360"/>
        </w:sectPr>
      </w:pPr>
    </w:p>
    <w:p w14:paraId="2FFB3AFF" w14:textId="77777777" w:rsidR="003E1D81" w:rsidRDefault="003E1D81">
      <w:pPr>
        <w:rPr>
          <w:rFonts w:ascii="Times New Roman" w:hAnsi="Times New Roman" w:cs="Times New Roman"/>
          <w:noProof/>
          <w:sz w:val="24"/>
        </w:rPr>
      </w:pPr>
    </w:p>
    <w:p w14:paraId="5413271F" w14:textId="77777777" w:rsidR="003E1D81" w:rsidRDefault="00EB481C">
      <w:pPr>
        <w:pStyle w:val="P68B1DB1-Normal5"/>
        <w:spacing w:before="120" w:after="120" w:line="240" w:lineRule="auto"/>
        <w:ind w:firstLine="720"/>
        <w:jc w:val="both"/>
        <w:rPr>
          <w:rFonts w:cs="Times New Roman"/>
          <w:noProof/>
        </w:rPr>
      </w:pPr>
      <w:r>
        <w:rPr>
          <w:noProof/>
        </w:rPr>
        <w:t xml:space="preserve">Y.3 </w:t>
      </w:r>
      <w:r>
        <w:rPr>
          <w:noProof/>
        </w:rPr>
        <w:tab/>
        <w:t>A hiteltámogatással kapcsolatos reformok és beruházások ismertetése</w:t>
      </w:r>
    </w:p>
    <w:p w14:paraId="7DD0ABF8" w14:textId="773FD445" w:rsidR="003E1D81" w:rsidRDefault="00EB481C">
      <w:pPr>
        <w:pStyle w:val="P68B1DB1-Normal6"/>
        <w:spacing w:before="120" w:after="120" w:line="240" w:lineRule="auto"/>
        <w:jc w:val="both"/>
        <w:rPr>
          <w:rFonts w:cs="Times New Roman"/>
          <w:noProof/>
        </w:rPr>
      </w:pPr>
      <w:r>
        <w:rPr>
          <w:noProof/>
        </w:rPr>
        <w:t xml:space="preserve">Beruházás (C25.I2) – PERTE „Új nyelvgazdaság”: Tájékoztatás spanyol nyelven és más hivatalos nyelveken. </w:t>
      </w:r>
    </w:p>
    <w:p w14:paraId="496255E2" w14:textId="77777777" w:rsidR="003E1D81" w:rsidRDefault="00EB481C">
      <w:pPr>
        <w:pStyle w:val="P68B1DB1-Normal4"/>
        <w:spacing w:before="120" w:after="120" w:line="240" w:lineRule="auto"/>
        <w:jc w:val="both"/>
        <w:rPr>
          <w:rFonts w:cs="Times New Roman"/>
          <w:noProof/>
          <w:shd w:val="clear" w:color="auto" w:fill="E6E6E6"/>
        </w:rPr>
      </w:pPr>
      <w:r>
        <w:rPr>
          <w:noProof/>
        </w:rPr>
        <w:t>E beruházás célja, hogy előmozdítsa a spanyol és a társhivatalos nyelvek gazdasági potenciálját azáltal, hogy előmozdítja a médiaágazat nemzetközivé vá</w:t>
      </w:r>
      <w:r>
        <w:rPr>
          <w:noProof/>
        </w:rPr>
        <w:t>lását, terjesztését és bővítését ezeken a nyelveken. Ennek érdekében e beruházásnak támogatnia kell a tartalmak digitalizálására és terjesztésére irányuló projekteket, valamint a médiaágazat vállalatai által a spanyol és társhivatalos nyelveken történő tar</w:t>
      </w:r>
      <w:r>
        <w:rPr>
          <w:noProof/>
        </w:rPr>
        <w:t>talomkezelésre és -feldolgozásra szolgáló új technológiai eszközök elfogadását.</w:t>
      </w:r>
      <w:r>
        <w:rPr>
          <w:noProof/>
          <w:shd w:val="clear" w:color="auto" w:fill="E6E6E6"/>
        </w:rPr>
        <w:t xml:space="preserve"> </w:t>
      </w:r>
    </w:p>
    <w:p w14:paraId="5C85A4A1" w14:textId="77777777" w:rsidR="003E1D81" w:rsidRDefault="00EB481C">
      <w:pPr>
        <w:pStyle w:val="P68B1DB1-Normal4"/>
        <w:spacing w:before="120" w:after="120" w:line="240" w:lineRule="auto"/>
        <w:jc w:val="both"/>
        <w:rPr>
          <w:rFonts w:cs="Times New Roman"/>
          <w:noProof/>
          <w:u w:val="single"/>
        </w:rPr>
      </w:pPr>
      <w:r>
        <w:rPr>
          <w:noProof/>
        </w:rPr>
        <w:t>Az intézkedés végrehajtását 2026. augusztus 31-ig be kell fejezni.</w:t>
      </w:r>
    </w:p>
    <w:p w14:paraId="0E09930D" w14:textId="77777777" w:rsidR="003E1D81" w:rsidRDefault="00EB481C">
      <w:pPr>
        <w:pStyle w:val="P68B1DB1-Normal6"/>
        <w:spacing w:before="120" w:after="120" w:line="240" w:lineRule="auto"/>
        <w:jc w:val="both"/>
        <w:rPr>
          <w:rFonts w:cs="Times New Roman"/>
          <w:noProof/>
        </w:rPr>
      </w:pPr>
      <w:r>
        <w:rPr>
          <w:noProof/>
        </w:rPr>
        <w:t xml:space="preserve">Beruházás (C25.I3) – Audiovizuális Platform Alap </w:t>
      </w:r>
    </w:p>
    <w:p w14:paraId="715AF067" w14:textId="66E94812" w:rsidR="003E1D81" w:rsidRDefault="00EB481C">
      <w:pPr>
        <w:pStyle w:val="P68B1DB1-LegalNumPar230"/>
        <w:numPr>
          <w:ilvl w:val="1"/>
          <w:numId w:val="0"/>
        </w:numPr>
        <w:spacing w:line="240" w:lineRule="auto"/>
        <w:jc w:val="both"/>
        <w:rPr>
          <w:rFonts w:cs="Times New Roman"/>
          <w:noProof/>
        </w:rPr>
      </w:pPr>
      <w:bookmarkStart w:id="58" w:name="_Hlk145612128"/>
      <w:r>
        <w:rPr>
          <w:noProof/>
        </w:rPr>
        <w:t>Ez az intézkedés egy eszközbe, az ICO Audiovizuális Közpon</w:t>
      </w:r>
      <w:r>
        <w:rPr>
          <w:noProof/>
        </w:rPr>
        <w:t>t Alapjába történő állami beruházásból áll annak érdekében, hogy ösztönözze a magánberuházásokat és javítsa a finanszírozáshoz való hozzáférést a filmekkel, a fikciókkal, a televízióval, a tartalmakkal, a digitális kultúrával, valamint a multimédiás és int</w:t>
      </w:r>
      <w:r>
        <w:rPr>
          <w:noProof/>
        </w:rPr>
        <w:t xml:space="preserve">eraktív tartalmakkal, például videojátékokkal, immerzív élményekkel és vizuális hatásokkal kapcsolatos projektek esetében, valamint a tőkepiacok fejlesztése ezen a területen. A Békekeret közvetlen finanszírozással, vállalatikötvény-vásárlásokkal, valamint </w:t>
      </w:r>
      <w:r>
        <w:rPr>
          <w:noProof/>
        </w:rPr>
        <w:t xml:space="preserve">sajáttőke- és kvázisajáttőke-befektetésekkel működik közvetlenül vagy közvetítőkön keresztül a magánszektor, valamint a hasonló tevékenységet folytató közszektorbeli intézmények számára. A Helyreállítási és Rezilienciaépítési Eszköz beruházásai alapján az </w:t>
      </w:r>
      <w:r>
        <w:rPr>
          <w:noProof/>
        </w:rPr>
        <w:t xml:space="preserve">eszköz célja kezdetben legalább 1 712 000 000 EUR összegű finanszírozás biztosítása. </w:t>
      </w:r>
    </w:p>
    <w:p w14:paraId="338959F3" w14:textId="74127BAC" w:rsidR="003E1D81" w:rsidRDefault="00EB481C">
      <w:pPr>
        <w:pStyle w:val="P68B1DB1-Normal4"/>
        <w:spacing w:line="240" w:lineRule="auto"/>
        <w:jc w:val="both"/>
        <w:rPr>
          <w:rFonts w:cs="Times New Roman"/>
          <w:noProof/>
        </w:rPr>
      </w:pPr>
      <w:r>
        <w:rPr>
          <w:noProof/>
        </w:rPr>
        <w:t>Az eszközt végrehajtó partnerekként az Instituto de Crédito Oficial (ICO) és az Axis (az ICO kockázatitőke-/magántőke-kezelője) irányítja. A hitelezési eszköz a következő</w:t>
      </w:r>
      <w:r>
        <w:rPr>
          <w:noProof/>
        </w:rPr>
        <w:t xml:space="preserve"> terméksorokat tartalmazza:</w:t>
      </w:r>
    </w:p>
    <w:p w14:paraId="22926004" w14:textId="72B030DB" w:rsidR="003E1D81" w:rsidRDefault="00EB481C">
      <w:pPr>
        <w:pStyle w:val="P68B1DB1-ListParagraph7"/>
        <w:numPr>
          <w:ilvl w:val="0"/>
          <w:numId w:val="692"/>
        </w:numPr>
        <w:spacing w:after="0" w:line="240" w:lineRule="auto"/>
        <w:jc w:val="both"/>
        <w:textAlignment w:val="baseline"/>
        <w:rPr>
          <w:rFonts w:cs="Times New Roman"/>
          <w:noProof/>
        </w:rPr>
      </w:pPr>
      <w:r>
        <w:rPr>
          <w:noProof/>
        </w:rPr>
        <w:t xml:space="preserve">Közvetítési irányvonal: a közvetítői irányvonal az ICO által kereskedelmi bankoknak nyújtott hitelekből áll, amelyek viszont hiteleket ítélnek oda a végső kedvezményezetteknek az audiovizuális és kulturális ágazat projektjeinek </w:t>
      </w:r>
      <w:r>
        <w:rPr>
          <w:noProof/>
        </w:rPr>
        <w:t>finanszírozására. A végső kedvezményezettek magánvállalkozások (például kkv-k, vállalkozók, közepes piaci tőkeértékű vállalatok és nagyvállalatok) és állami vállalatok.   </w:t>
      </w:r>
    </w:p>
    <w:p w14:paraId="647A4D85" w14:textId="77777777" w:rsidR="003E1D81" w:rsidRDefault="00EB481C">
      <w:pPr>
        <w:pStyle w:val="P68B1DB1-ListParagraph7"/>
        <w:numPr>
          <w:ilvl w:val="0"/>
          <w:numId w:val="692"/>
        </w:numPr>
        <w:spacing w:after="0" w:line="240" w:lineRule="auto"/>
        <w:jc w:val="both"/>
        <w:textAlignment w:val="baseline"/>
        <w:rPr>
          <w:rFonts w:cs="Times New Roman"/>
          <w:noProof/>
        </w:rPr>
      </w:pPr>
      <w:r>
        <w:rPr>
          <w:noProof/>
        </w:rPr>
        <w:t xml:space="preserve">Az ICO közvetlen finanszírozása: ez a költségvetési sor közvetlen kölcsönöket nyújt </w:t>
      </w:r>
      <w:r>
        <w:rPr>
          <w:noProof/>
        </w:rPr>
        <w:t>magánvállalatoknak (például közepes piaci tőkeértékű vállalatoknak és nagyvállalatoknak) és állami vállalatoknak az audiovizuális ágazat projektjeinek finanszírozására. A kölcsönöket közvetlenül az ICO nyújtja, és az egyes projekteket egy harmadik fél magá</w:t>
      </w:r>
      <w:r>
        <w:rPr>
          <w:noProof/>
        </w:rPr>
        <w:t>nbefektető(k) társfinanszírozza. Az ICO által biztosított források a beruházáshoz nyújtott támogatás teljes összegének legfeljebb 70%-át tehetik ki. A magánbefektetők a beruházási támogatás teljes összegének legalább 30%-át fedezik. </w:t>
      </w:r>
    </w:p>
    <w:p w14:paraId="42FCDFE0" w14:textId="77777777" w:rsidR="003E1D81" w:rsidRDefault="00EB481C">
      <w:pPr>
        <w:pStyle w:val="P68B1DB1-ListParagraph7"/>
        <w:numPr>
          <w:ilvl w:val="0"/>
          <w:numId w:val="692"/>
        </w:numPr>
        <w:spacing w:after="0" w:line="240" w:lineRule="auto"/>
        <w:jc w:val="both"/>
        <w:textAlignment w:val="baseline"/>
        <w:rPr>
          <w:rFonts w:cs="Times New Roman"/>
          <w:noProof/>
        </w:rPr>
      </w:pPr>
      <w:r>
        <w:rPr>
          <w:noProof/>
        </w:rPr>
        <w:t>Vállalatikötvény-vásárlások: e sor alapján az ICO a szervezett másodlagos piacokon (például az alternatív fix hozamú piacon (MARF) vagy a Pénzügyi Eszközök Közvetítőinek Szövetsége (AIAF)) által kibocsátott közép- és hosszú lejáratú, előresorolt kamatozású</w:t>
      </w:r>
      <w:r>
        <w:rPr>
          <w:noProof/>
        </w:rPr>
        <w:t xml:space="preserve"> értékpapírokat vásárol. Az értékpapíroknak az értékpapírt kibocsátó társaság konkrét befektetési projektjéhez kell kapcsolódniuk.  </w:t>
      </w:r>
    </w:p>
    <w:p w14:paraId="7A25782D" w14:textId="1E7ED559" w:rsidR="003E1D81" w:rsidRDefault="00EB481C">
      <w:pPr>
        <w:pStyle w:val="P68B1DB1-ListParagraph7"/>
        <w:numPr>
          <w:ilvl w:val="0"/>
          <w:numId w:val="692"/>
        </w:numPr>
        <w:spacing w:after="0" w:line="240" w:lineRule="auto"/>
        <w:textAlignment w:val="baseline"/>
        <w:rPr>
          <w:rFonts w:cs="Times New Roman"/>
          <w:noProof/>
        </w:rPr>
      </w:pPr>
      <w:r>
        <w:rPr>
          <w:noProof/>
        </w:rPr>
        <w:t>Sajáttőke- és kvázisajáttőke-befektetések: ez a sor magában foglalja a közvetlen tőkebefektetések nyújtását a tengelyen ker</w:t>
      </w:r>
      <w:r>
        <w:rPr>
          <w:noProof/>
        </w:rPr>
        <w:t>esztül (az ICO kockázatitőke-/magántőke-kezelője) és/vagy pénzeszközöknek az audiovizuális ágazatban működő vállalatokban tőkebefektetési műveleteket végző magán pénzügyi közvetítők által kezelt tőkealapokhoz vagy egyéb befektetési eszközökhöz történő tran</w:t>
      </w:r>
      <w:r>
        <w:rPr>
          <w:noProof/>
        </w:rPr>
        <w:t>szferéből. Az Alap maximális részvétele nem haladhatja meg a befektetési eszközök alapjainak 49%-át. Az Alap tőkebefektetései nem eredményezhetik azt, hogy a köztulajdonban lévő saját tőke részesedése a végső kedvezményezettben meghaladja a teljes saját tő</w:t>
      </w:r>
      <w:r>
        <w:rPr>
          <w:noProof/>
        </w:rPr>
        <w:t>ke 49%-át.</w:t>
      </w:r>
    </w:p>
    <w:p w14:paraId="0A805475" w14:textId="1DB00ACA" w:rsidR="003E1D81" w:rsidRDefault="003E1D81">
      <w:pPr>
        <w:pStyle w:val="ListParagraph"/>
        <w:spacing w:after="0" w:line="240" w:lineRule="auto"/>
        <w:textAlignment w:val="baseline"/>
        <w:rPr>
          <w:rFonts w:ascii="Times New Roman" w:hAnsi="Times New Roman" w:cs="Times New Roman"/>
          <w:noProof/>
          <w:sz w:val="24"/>
        </w:rPr>
      </w:pPr>
    </w:p>
    <w:bookmarkEnd w:id="58"/>
    <w:p w14:paraId="3BA0777B" w14:textId="77777777" w:rsidR="003E1D81" w:rsidRDefault="00EB481C">
      <w:pPr>
        <w:pStyle w:val="P68B1DB1-Normal4"/>
        <w:spacing w:line="240" w:lineRule="auto"/>
        <w:jc w:val="both"/>
        <w:rPr>
          <w:rFonts w:cs="Times New Roman"/>
          <w:noProof/>
        </w:rPr>
      </w:pPr>
      <w:r>
        <w:rPr>
          <w:noProof/>
        </w:rPr>
        <w:t>A Békekeretbe történő beruházás végrehajtása érdekében Spanyolország és az ICO végrehajtási megállapodást ír alá, amely a következőket tartalmazza:</w:t>
      </w:r>
    </w:p>
    <w:p w14:paraId="558DC0FD" w14:textId="54C19313" w:rsidR="003E1D81" w:rsidRDefault="00EB481C">
      <w:pPr>
        <w:pStyle w:val="P68B1DB1-LegalNumPar29"/>
        <w:numPr>
          <w:ilvl w:val="0"/>
          <w:numId w:val="756"/>
        </w:numPr>
        <w:jc w:val="both"/>
        <w:rPr>
          <w:rFonts w:eastAsia="Times New Roman" w:cs="Times New Roman"/>
          <w:noProof/>
        </w:rPr>
      </w:pPr>
      <w:r>
        <w:rPr>
          <w:noProof/>
        </w:rPr>
        <w:t xml:space="preserve">Az eszköz döntéshozatali folyamatának leírása: A Békekeret végleges beruházási döntését </w:t>
      </w:r>
      <w:r>
        <w:rPr>
          <w:noProof/>
        </w:rPr>
        <w:t>beruházási bizottság vagy más, ezzel egyenértékű irányító testület hozza meg, és azt a kormánytól független tagok szavazatainak többségével kell jóváhagyni. Közvetített befektetések esetében a végső befektetési döntést közvetítőknek kell meghozniuk.</w:t>
      </w:r>
    </w:p>
    <w:p w14:paraId="2D179111" w14:textId="701E4D70" w:rsidR="003E1D81" w:rsidRDefault="00EB481C">
      <w:pPr>
        <w:pStyle w:val="P68B1DB1-LegalNumPar29"/>
        <w:numPr>
          <w:ilvl w:val="0"/>
          <w:numId w:val="756"/>
        </w:numPr>
        <w:jc w:val="both"/>
        <w:rPr>
          <w:rFonts w:eastAsia="Times New Roman" w:cs="Times New Roman"/>
          <w:noProof/>
        </w:rPr>
      </w:pPr>
      <w:r>
        <w:rPr>
          <w:noProof/>
        </w:rPr>
        <w:t>A kapc</w:t>
      </w:r>
      <w:r>
        <w:rPr>
          <w:noProof/>
        </w:rPr>
        <w:t>solódó befektetési politika fő követelményei,</w:t>
      </w:r>
      <w:r>
        <w:rPr>
          <w:b/>
          <w:noProof/>
        </w:rPr>
        <w:t xml:space="preserve"> </w:t>
      </w:r>
      <w:r>
        <w:rPr>
          <w:noProof/>
        </w:rPr>
        <w:t>amelyek a következőket foglalják magukban:</w:t>
      </w:r>
    </w:p>
    <w:p w14:paraId="7C250AB2" w14:textId="77777777" w:rsidR="003E1D81" w:rsidRDefault="00EB481C">
      <w:pPr>
        <w:pStyle w:val="P68B1DB1-LegalNumPar230"/>
        <w:numPr>
          <w:ilvl w:val="1"/>
          <w:numId w:val="757"/>
        </w:numPr>
        <w:jc w:val="both"/>
        <w:rPr>
          <w:rFonts w:cs="Times New Roman"/>
          <w:noProof/>
        </w:rPr>
      </w:pPr>
      <w:r>
        <w:rPr>
          <w:noProof/>
        </w:rPr>
        <w:t xml:space="preserve">A pénzügyi termék(ek) és a támogatható végső kedvezményezettek leírása az intézkedés leírásával összhangban.   </w:t>
      </w:r>
    </w:p>
    <w:p w14:paraId="3418407B" w14:textId="77777777" w:rsidR="003E1D81" w:rsidRDefault="00EB481C">
      <w:pPr>
        <w:pStyle w:val="P68B1DB1-LegalNumPar230"/>
        <w:numPr>
          <w:ilvl w:val="1"/>
          <w:numId w:val="757"/>
        </w:numPr>
        <w:jc w:val="both"/>
        <w:rPr>
          <w:rFonts w:cs="Times New Roman"/>
          <w:noProof/>
        </w:rPr>
      </w:pPr>
      <w:r>
        <w:rPr>
          <w:noProof/>
        </w:rPr>
        <w:t>Az a követelmény, hogy minden támogatott beruházás gazd</w:t>
      </w:r>
      <w:r>
        <w:rPr>
          <w:noProof/>
        </w:rPr>
        <w:t>aságilag életképes legyen</w:t>
      </w:r>
      <w:r>
        <w:rPr>
          <w:b/>
          <w:noProof/>
        </w:rPr>
        <w:t>.</w:t>
      </w:r>
    </w:p>
    <w:p w14:paraId="216E853A" w14:textId="77777777" w:rsidR="003E1D81" w:rsidRDefault="00EB481C">
      <w:pPr>
        <w:pStyle w:val="P68B1DB1-LegalNumPar230"/>
        <w:numPr>
          <w:ilvl w:val="1"/>
          <w:numId w:val="757"/>
        </w:numPr>
        <w:jc w:val="both"/>
        <w:rPr>
          <w:rFonts w:cs="Times New Roman"/>
          <w:noProof/>
        </w:rPr>
      </w:pPr>
      <w:r>
        <w:rPr>
          <w:noProof/>
        </w:rPr>
        <w:t>A kinnlevő hitelek refinanszírozásának tilalma.</w:t>
      </w:r>
    </w:p>
    <w:p w14:paraId="249AA9DD" w14:textId="7505F65A" w:rsidR="003E1D81" w:rsidRDefault="00EB481C">
      <w:pPr>
        <w:pStyle w:val="P68B1DB1-LegalNumPar230"/>
        <w:numPr>
          <w:ilvl w:val="1"/>
          <w:numId w:val="757"/>
        </w:numPr>
        <w:jc w:val="both"/>
        <w:rPr>
          <w:rFonts w:cs="Times New Roman"/>
          <w:noProof/>
        </w:rPr>
      </w:pPr>
      <w:r>
        <w:rPr>
          <w:noProof/>
        </w:rPr>
        <w:t>A jelentős károkozás elkerülését célzó elvnek való megfelelés követelménye a DNSH technikai iránymutatásban (2021/C58/01) meghatározottak szerint. A beruházási politikának továbbá e</w:t>
      </w:r>
      <w:r>
        <w:rPr>
          <w:noProof/>
        </w:rPr>
        <w:t>lő kell írnia, hogy az eszköz végső kedvezményezettjei megfeleljenek a vonatkozó uniós és nemzeti környezetvédelmi jogszabályoknak.</w:t>
      </w:r>
    </w:p>
    <w:p w14:paraId="5C73412D" w14:textId="3E779144" w:rsidR="003E1D81" w:rsidRDefault="00EB481C">
      <w:pPr>
        <w:pStyle w:val="P68B1DB1-ListParagraph7"/>
        <w:numPr>
          <w:ilvl w:val="1"/>
          <w:numId w:val="757"/>
        </w:numPr>
        <w:spacing w:line="240" w:lineRule="auto"/>
        <w:jc w:val="both"/>
        <w:rPr>
          <w:rFonts w:cs="Times New Roman"/>
          <w:noProof/>
        </w:rPr>
      </w:pPr>
      <w:r>
        <w:rPr>
          <w:noProof/>
        </w:rPr>
        <w:t>Az a követelmény, hogy a hitelezési eszköz végső kedvezményezettjei nem részesülhetnek támogatásban más uniós eszközökből ug</w:t>
      </w:r>
      <w:r>
        <w:rPr>
          <w:noProof/>
        </w:rPr>
        <w:t>yanazon költségek fedezésére.</w:t>
      </w:r>
    </w:p>
    <w:p w14:paraId="4C983689" w14:textId="4807E2E9" w:rsidR="003E1D81" w:rsidRDefault="00EB481C">
      <w:pPr>
        <w:pStyle w:val="P68B1DB1-LegalNumPar29"/>
        <w:numPr>
          <w:ilvl w:val="0"/>
          <w:numId w:val="756"/>
        </w:numPr>
        <w:jc w:val="both"/>
        <w:rPr>
          <w:rFonts w:cs="Times New Roman"/>
          <w:noProof/>
        </w:rPr>
      </w:pPr>
      <w:r>
        <w:rPr>
          <w:noProof/>
        </w:rPr>
        <w:t>A végrehajtási megállapodás hatálya alá tartozó összeg, a végrehajtó partner díjstruktúrája, valamint az eszköz beruházási politikája szerinti visszaáramlások újbóli befektetésére vonatkozó követelmény, kivéve, ha azokat a Hel</w:t>
      </w:r>
      <w:r>
        <w:rPr>
          <w:noProof/>
        </w:rPr>
        <w:t>yreállítási és Rezilienciaépítési Eszköz hiteltörlesztésének teljesítésére használják fel.</w:t>
      </w:r>
    </w:p>
    <w:p w14:paraId="067101C9" w14:textId="77777777" w:rsidR="003E1D81" w:rsidRDefault="00EB481C">
      <w:pPr>
        <w:pStyle w:val="P68B1DB1-ListParagraph7"/>
        <w:numPr>
          <w:ilvl w:val="0"/>
          <w:numId w:val="756"/>
        </w:numPr>
        <w:spacing w:line="240" w:lineRule="auto"/>
        <w:jc w:val="both"/>
        <w:rPr>
          <w:rFonts w:cs="Times New Roman"/>
          <w:noProof/>
        </w:rPr>
      </w:pPr>
      <w:r>
        <w:rPr>
          <w:noProof/>
        </w:rPr>
        <w:t>Nyomonkövetési, ellenőrzési és ellenőrzési követelmények, beleértve a következőket:</w:t>
      </w:r>
    </w:p>
    <w:p w14:paraId="385E3198" w14:textId="60BC3E41" w:rsidR="003E1D81" w:rsidRDefault="00EB481C">
      <w:pPr>
        <w:pStyle w:val="P68B1DB1-ListParagraph7"/>
        <w:numPr>
          <w:ilvl w:val="0"/>
          <w:numId w:val="759"/>
        </w:numPr>
        <w:spacing w:line="240" w:lineRule="auto"/>
        <w:jc w:val="both"/>
        <w:rPr>
          <w:rFonts w:cs="Times New Roman"/>
          <w:noProof/>
        </w:rPr>
      </w:pPr>
      <w:r>
        <w:rPr>
          <w:noProof/>
        </w:rPr>
        <w:t>A végrehajtó partner által a mozgósított beruházásról való jelentéstételre szolgá</w:t>
      </w:r>
      <w:r>
        <w:rPr>
          <w:noProof/>
        </w:rPr>
        <w:t>ló nyomonkövetési rendszer leírása.</w:t>
      </w:r>
    </w:p>
    <w:p w14:paraId="10A16931" w14:textId="3852039A" w:rsidR="003E1D81" w:rsidRDefault="00EB481C">
      <w:pPr>
        <w:pStyle w:val="P68B1DB1-ListParagraph7"/>
        <w:numPr>
          <w:ilvl w:val="0"/>
          <w:numId w:val="759"/>
        </w:numPr>
        <w:spacing w:line="240" w:lineRule="auto"/>
        <w:jc w:val="both"/>
        <w:rPr>
          <w:rFonts w:cs="Times New Roman"/>
          <w:noProof/>
        </w:rPr>
      </w:pPr>
      <w:r>
        <w:rPr>
          <w:noProof/>
        </w:rPr>
        <w:t>A végrehajtó partner azon eljárásainak leírása, amelyek biztosítják a csalás, a korrupció és az összeférhetetlenség megelőzését, feltárását és korrekcióját.</w:t>
      </w:r>
    </w:p>
    <w:p w14:paraId="1B4D2F88" w14:textId="4CAE3291" w:rsidR="003E1D81" w:rsidRDefault="00EB481C">
      <w:pPr>
        <w:pStyle w:val="P68B1DB1-ListParagraph7"/>
        <w:numPr>
          <w:ilvl w:val="0"/>
          <w:numId w:val="759"/>
        </w:numPr>
        <w:spacing w:line="240" w:lineRule="auto"/>
        <w:jc w:val="both"/>
        <w:rPr>
          <w:rFonts w:cs="Times New Roman"/>
          <w:noProof/>
        </w:rPr>
      </w:pPr>
      <w:r>
        <w:rPr>
          <w:noProof/>
        </w:rPr>
        <w:t>Az egyes műveletek támogathatóságának a végrehajtási megállapod</w:t>
      </w:r>
      <w:r>
        <w:rPr>
          <w:noProof/>
        </w:rPr>
        <w:t>ásban meghatározott követelményekkel összhangban történő ellenőrzésére vonatkozó kötelezettség, mielőtt kötelezettséget vállalnának valamely művelet finanszírozására.</w:t>
      </w:r>
    </w:p>
    <w:p w14:paraId="7B2526C1" w14:textId="3DB9595A" w:rsidR="003E1D81" w:rsidRDefault="00EB481C">
      <w:pPr>
        <w:pStyle w:val="ListParagraph"/>
        <w:numPr>
          <w:ilvl w:val="0"/>
          <w:numId w:val="759"/>
        </w:numPr>
        <w:spacing w:line="240" w:lineRule="auto"/>
        <w:jc w:val="both"/>
        <w:rPr>
          <w:rFonts w:ascii="Times New Roman" w:hAnsi="Times New Roman" w:cs="Times New Roman"/>
          <w:noProof/>
          <w:sz w:val="24"/>
        </w:rPr>
      </w:pPr>
      <w:r>
        <w:rPr>
          <w:rFonts w:ascii="Times New Roman" w:hAnsi="Times New Roman"/>
          <w:noProof/>
          <w:sz w:val="24"/>
        </w:rPr>
        <w:t xml:space="preserve">A kockázatalapú utólagos ellenőrzéseknek az ICO ellenőrzési tervével összhangban történő </w:t>
      </w:r>
      <w:r>
        <w:rPr>
          <w:rFonts w:ascii="Times New Roman" w:hAnsi="Times New Roman"/>
          <w:noProof/>
          <w:sz w:val="24"/>
        </w:rPr>
        <w:t>elvégzésére vonatkozó kötelezettség. Ezek az ellenőrzések azt vizsgálják, hogy i. a kontrollrendszerek hatékonyak-e, beleértve a csalás, a korrupció és az összeférhetetlenség feltárását; a DNSH-elvnek, az állami támogatási szabályoknak, a digitális célköve</w:t>
      </w:r>
      <w:r>
        <w:rPr>
          <w:rFonts w:ascii="Times New Roman" w:hAnsi="Times New Roman"/>
          <w:noProof/>
          <w:sz w:val="24"/>
        </w:rPr>
        <w:t>telményeknek való megfelelés; és iii. teljesül az a követelmény, amely szerint a közvetítőnek ellenőriznie kell, hogy a végső kedvezményezett felelősségteljes nyilatkozatot nyújt-e be annak ellenőrzésére, hogy ugyanazt a költséget egy másik uniós eszköz fe</w:t>
      </w:r>
      <w:r>
        <w:rPr>
          <w:rFonts w:ascii="Times New Roman" w:hAnsi="Times New Roman"/>
          <w:noProof/>
          <w:sz w:val="24"/>
        </w:rPr>
        <w:t>dezi-e. Az ellenőrzések során ellenőrizni kell továbbá az ügyletek jogszerűségét, valamint az alkalmazandó végrehajtási megállapodásban és finanszírozási megállapodásokban foglalt feltételek betartását,</w:t>
      </w:r>
      <w:r>
        <w:rPr>
          <w:noProof/>
        </w:rPr>
        <w:t xml:space="preserve"> többek között a 10 000 000 EUR-t el nem érő műveletek</w:t>
      </w:r>
      <w:r>
        <w:rPr>
          <w:noProof/>
        </w:rPr>
        <w:t xml:space="preserve">re vonatkozó pozitív nyilatkozatok és/vagy önbevallások használata révén, mielőtt kötelezettséget vállalnának egy művelet finanszírozására. </w:t>
      </w:r>
    </w:p>
    <w:p w14:paraId="5B4CBCB6" w14:textId="0DC71A12" w:rsidR="003E1D81" w:rsidRDefault="00EB481C">
      <w:pPr>
        <w:pStyle w:val="ListParagraph"/>
        <w:numPr>
          <w:ilvl w:val="0"/>
          <w:numId w:val="756"/>
        </w:numPr>
        <w:spacing w:line="240" w:lineRule="auto"/>
        <w:jc w:val="both"/>
        <w:rPr>
          <w:rFonts w:ascii="Times New Roman" w:hAnsi="Times New Roman" w:cs="Times New Roman"/>
          <w:noProof/>
          <w:sz w:val="24"/>
        </w:rPr>
      </w:pPr>
      <w:r>
        <w:rPr>
          <w:rFonts w:ascii="Times New Roman" w:hAnsi="Times New Roman"/>
          <w:noProof/>
          <w:sz w:val="24"/>
        </w:rPr>
        <w:t>A végrehajtó partner által végrehajtott digitális beruházásokra vonatkozó követelmények: az eszközbe irányuló Helyr</w:t>
      </w:r>
      <w:r>
        <w:rPr>
          <w:rFonts w:ascii="Times New Roman" w:hAnsi="Times New Roman"/>
          <w:noProof/>
          <w:sz w:val="24"/>
        </w:rPr>
        <w:t>eállítási és Rezilienciaépítési Eszközből legalább 1 712 000 000 EUR összegű beruházásnak hozzá kell járulnia a digitális célkitűzésekhez a Helyreállítási és Rezilienciaépítési Eszközről szóló rendelet VII. mellékletével összhangban.</w:t>
      </w:r>
      <w:r>
        <w:rPr>
          <w:rStyle w:val="FootnoteReference"/>
          <w:rFonts w:ascii="Times New Roman" w:hAnsi="Times New Roman" w:cs="Times New Roman"/>
          <w:noProof/>
          <w:sz w:val="24"/>
        </w:rPr>
        <w:footnoteReference w:id="210"/>
      </w:r>
    </w:p>
    <w:p w14:paraId="29F08309" w14:textId="7EA82975" w:rsidR="003E1D81" w:rsidRDefault="00EB481C">
      <w:pPr>
        <w:pStyle w:val="P68B1DB1-ListParagraph7"/>
        <w:numPr>
          <w:ilvl w:val="0"/>
          <w:numId w:val="756"/>
        </w:numPr>
        <w:rPr>
          <w:rFonts w:cs="Times New Roman"/>
          <w:noProof/>
        </w:rPr>
      </w:pPr>
      <w:r>
        <w:rPr>
          <w:noProof/>
        </w:rPr>
        <w:t>A pénzügyi közvetítők</w:t>
      </w:r>
      <w:r>
        <w:rPr>
          <w:noProof/>
        </w:rPr>
        <w:t xml:space="preserve"> kiválasztására vonatkozó követelmények: Az ICO nyílt, átlátható és megkülönböztetésmentes módon választja ki a pénzügyi közvetítőket. A pénzügyi közvetítőket érintő összeférhetetlenség hiányát előzetesen ellenőrizni kell, és minden érintett pénzügyi szere</w:t>
      </w:r>
      <w:r>
        <w:rPr>
          <w:noProof/>
        </w:rPr>
        <w:t xml:space="preserve">plő esetében olyan informatikai rendszeren keresztül kell elvégezni, mint a Minerva. </w:t>
      </w:r>
    </w:p>
    <w:p w14:paraId="0ADFBFD9" w14:textId="77777777" w:rsidR="003E1D81" w:rsidRDefault="00EB481C">
      <w:pPr>
        <w:pStyle w:val="P68B1DB1-ListParagraph7"/>
        <w:numPr>
          <w:ilvl w:val="0"/>
          <w:numId w:val="756"/>
        </w:numPr>
        <w:spacing w:line="240" w:lineRule="auto"/>
        <w:jc w:val="both"/>
        <w:rPr>
          <w:rFonts w:cs="Times New Roman"/>
          <w:noProof/>
        </w:rPr>
      </w:pPr>
      <w:r>
        <w:rPr>
          <w:noProof/>
        </w:rPr>
        <w:t>Finanszírozási megállapodások aláírásának kötelezettsége: Az ICO finanszírozási megállapodásokat ír alá a pénzügyi közvetítőkkel a végrehajtási megállapodás mellékletekén</w:t>
      </w:r>
      <w:r>
        <w:rPr>
          <w:noProof/>
        </w:rPr>
        <w:t xml:space="preserve">t benyújtandó kulcsfontosságú követelményeknek megfelelően. A finanszírozási megállapodás fő követelményei magukban foglalják mindazokat a követelményeket, amelyek alapján a Békekeret működik, beleértve a következőket: </w:t>
      </w:r>
    </w:p>
    <w:p w14:paraId="44CF9790" w14:textId="77777777" w:rsidR="003E1D81" w:rsidRDefault="00EB481C">
      <w:pPr>
        <w:pStyle w:val="P68B1DB1-Normal4"/>
        <w:numPr>
          <w:ilvl w:val="0"/>
          <w:numId w:val="760"/>
        </w:numPr>
        <w:spacing w:after="160" w:line="240" w:lineRule="auto"/>
        <w:jc w:val="both"/>
        <w:rPr>
          <w:rFonts w:cs="Times New Roman"/>
          <w:noProof/>
        </w:rPr>
      </w:pPr>
      <w:r>
        <w:rPr>
          <w:noProof/>
        </w:rPr>
        <w:t>A pénzügyi közvetítő azon kötelezett</w:t>
      </w:r>
      <w:r>
        <w:rPr>
          <w:noProof/>
        </w:rPr>
        <w:t xml:space="preserve">sége, hogy döntéseit </w:t>
      </w:r>
      <w:r>
        <w:rPr>
          <w:i/>
          <w:noProof/>
        </w:rPr>
        <w:t>értelemszerűen</w:t>
      </w:r>
      <w:r>
        <w:rPr>
          <w:noProof/>
        </w:rPr>
        <w:t xml:space="preserve"> a fent meghatározott döntéshozatali és befektetési politikai követelményeknek megfelelően hozza meg, beleértve a DNSH-elv tiszteletben tartásával kapcsolatosakat is.</w:t>
      </w:r>
    </w:p>
    <w:p w14:paraId="6AF63DD6" w14:textId="77777777" w:rsidR="003E1D81" w:rsidRDefault="00EB481C">
      <w:pPr>
        <w:pStyle w:val="P68B1DB1-Normal4"/>
        <w:numPr>
          <w:ilvl w:val="0"/>
          <w:numId w:val="760"/>
        </w:numPr>
        <w:spacing w:after="160" w:line="240" w:lineRule="auto"/>
        <w:jc w:val="both"/>
        <w:rPr>
          <w:rFonts w:cs="Times New Roman"/>
          <w:noProof/>
        </w:rPr>
      </w:pPr>
      <w:r>
        <w:rPr>
          <w:noProof/>
        </w:rPr>
        <w:t>A pénzügyi közvetítő által létrehozandó monitoring-, a</w:t>
      </w:r>
      <w:r>
        <w:rPr>
          <w:noProof/>
        </w:rPr>
        <w:t xml:space="preserve">udit- és kontrollkeret leírása, amelyre </w:t>
      </w:r>
      <w:r>
        <w:rPr>
          <w:i/>
          <w:noProof/>
        </w:rPr>
        <w:t>értelemszerűen</w:t>
      </w:r>
      <w:r>
        <w:rPr>
          <w:noProof/>
        </w:rPr>
        <w:t xml:space="preserve"> a fent meghatározott valamennyi nyomonkövetési, ellenőrzési és kontrollkövetelmény vonatkozik. </w:t>
      </w:r>
    </w:p>
    <w:p w14:paraId="37CEAEBE" w14:textId="77777777" w:rsidR="003E1D81" w:rsidRDefault="00EB481C">
      <w:pPr>
        <w:pStyle w:val="P68B1DB1-Normal4"/>
        <w:spacing w:before="120" w:after="120" w:line="240" w:lineRule="auto"/>
        <w:jc w:val="both"/>
        <w:rPr>
          <w:rFonts w:eastAsia="Times New Roman" w:cs="Times New Roman"/>
          <w:noProof/>
        </w:rPr>
      </w:pPr>
      <w:r>
        <w:rPr>
          <w:noProof/>
        </w:rPr>
        <w:t>Az intézkedés végrehajtását 2026. augusztus 31-ig be kell fejezni.</w:t>
      </w:r>
    </w:p>
    <w:p w14:paraId="52B51381" w14:textId="1C8BB2A2" w:rsidR="003E1D81" w:rsidRDefault="00EB481C">
      <w:pPr>
        <w:pStyle w:val="P68B1DB1-Normal5"/>
        <w:spacing w:before="120" w:after="120" w:line="240" w:lineRule="auto"/>
        <w:ind w:left="720"/>
        <w:jc w:val="both"/>
        <w:rPr>
          <w:rFonts w:cs="Times New Roman"/>
          <w:noProof/>
        </w:rPr>
      </w:pPr>
      <w:r>
        <w:rPr>
          <w:noProof/>
        </w:rPr>
        <w:t xml:space="preserve">Y.4. </w:t>
      </w:r>
      <w:r>
        <w:rPr>
          <w:noProof/>
        </w:rPr>
        <w:tab/>
        <w:t xml:space="preserve">A hiteltámogatás nyomon </w:t>
      </w:r>
      <w:r>
        <w:rPr>
          <w:noProof/>
        </w:rPr>
        <w:t>követésének és végrehajtásának mérföldkövei, céljai, mutatói és ütemterve</w:t>
      </w:r>
    </w:p>
    <w:p w14:paraId="07BA10B0" w14:textId="19660C1F" w:rsidR="003E1D81" w:rsidRDefault="00EB481C">
      <w:pPr>
        <w:pStyle w:val="P68B1DB1-Normal4"/>
        <w:spacing w:before="120" w:after="120" w:line="240" w:lineRule="auto"/>
        <w:jc w:val="both"/>
        <w:rPr>
          <w:rFonts w:cs="Times New Roman"/>
          <w:noProof/>
          <w:u w:val="single"/>
        </w:rPr>
      </w:pPr>
      <w:r>
        <w:rPr>
          <w:i/>
          <w:noProof/>
        </w:rPr>
        <w:t>Táblázat alább.</w:t>
      </w:r>
      <w:r>
        <w:rPr>
          <w:noProof/>
        </w:rPr>
        <w:t xml:space="preserve"> </w:t>
      </w:r>
      <w:r>
        <w:rPr>
          <w:i/>
          <w:noProof/>
        </w:rPr>
        <w:t>Az alapforgatókönyv időpontja valamennyi mutató esetében az intézkedés kezdete, kivéve, ha az intézkedés leírása másként jelzi. A táblázatban szereplő összegek nem ta</w:t>
      </w:r>
      <w:r>
        <w:rPr>
          <w:i/>
          <w:noProof/>
        </w:rPr>
        <w:t>rtalmazzák a C25.I2 intézkedéshez kapcsolódó héát.</w:t>
      </w:r>
    </w:p>
    <w:p w14:paraId="081ED4BB" w14:textId="77777777" w:rsidR="003E1D81" w:rsidRDefault="003E1D81">
      <w:pPr>
        <w:spacing w:before="120" w:after="120" w:line="240" w:lineRule="auto"/>
        <w:jc w:val="both"/>
        <w:rPr>
          <w:rFonts w:ascii="Times New Roman" w:hAnsi="Times New Roman" w:cs="Times New Roman"/>
          <w:noProof/>
          <w:sz w:val="24"/>
          <w:u w:val="single"/>
        </w:rPr>
      </w:pPr>
    </w:p>
    <w:p w14:paraId="21D3C488" w14:textId="77777777" w:rsidR="003E1D81" w:rsidRDefault="003E1D81">
      <w:pPr>
        <w:pStyle w:val="Text1"/>
        <w:ind w:left="0"/>
        <w:rPr>
          <w:rFonts w:ascii="Times New Roman" w:hAnsi="Times New Roman" w:cs="Times New Roman"/>
          <w:noProof/>
        </w:rPr>
        <w:sectPr w:rsidR="003E1D81" w:rsidSect="00C94F66">
          <w:headerReference w:type="even" r:id="rId483"/>
          <w:headerReference w:type="default" r:id="rId484"/>
          <w:footerReference w:type="even" r:id="rId485"/>
          <w:footerReference w:type="default" r:id="rId486"/>
          <w:headerReference w:type="first" r:id="rId487"/>
          <w:footerReference w:type="first" r:id="rId488"/>
          <w:pgSz w:w="11907" w:h="16839"/>
          <w:pgMar w:top="1134" w:right="1417" w:bottom="1134" w:left="1417" w:header="709" w:footer="709" w:gutter="0"/>
          <w:cols w:space="720"/>
          <w:docGrid w:linePitch="360"/>
        </w:sectPr>
      </w:pPr>
    </w:p>
    <w:p w14:paraId="54274A88" w14:textId="77777777" w:rsidR="003E1D81" w:rsidRDefault="003E1D81">
      <w:pPr>
        <w:pStyle w:val="Text1"/>
        <w:ind w:left="0"/>
        <w:rPr>
          <w:rFonts w:ascii="Times New Roman" w:hAnsi="Times New Roman" w:cs="Times New Roman"/>
          <w:noProof/>
          <w:sz w:val="20"/>
        </w:rPr>
      </w:pPr>
    </w:p>
    <w:p w14:paraId="026314EF" w14:textId="77777777" w:rsidR="003E1D81" w:rsidRDefault="003E1D81">
      <w:pPr>
        <w:pStyle w:val="Text1"/>
        <w:rPr>
          <w:rFonts w:ascii="Times New Roman" w:hAnsi="Times New Roman" w:cs="Times New Roman"/>
          <w:noProof/>
        </w:rPr>
      </w:pPr>
    </w:p>
    <w:tbl>
      <w:tblPr>
        <w:tblW w:w="1499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29"/>
        <w:gridCol w:w="752"/>
        <w:gridCol w:w="851"/>
        <w:gridCol w:w="2144"/>
        <w:gridCol w:w="1124"/>
        <w:gridCol w:w="746"/>
        <w:gridCol w:w="567"/>
        <w:gridCol w:w="683"/>
        <w:gridCol w:w="621"/>
        <w:gridCol w:w="527"/>
        <w:gridCol w:w="6249"/>
      </w:tblGrid>
      <w:tr w:rsidR="003E1D81" w14:paraId="7E0E8252" w14:textId="77777777">
        <w:trPr>
          <w:trHeight w:val="309"/>
          <w:tblHeader/>
        </w:trPr>
        <w:tc>
          <w:tcPr>
            <w:tcW w:w="729" w:type="dxa"/>
            <w:tcBorders>
              <w:bottom w:val="nil"/>
            </w:tcBorders>
            <w:shd w:val="clear" w:color="auto" w:fill="C6D9F1" w:themeFill="text2" w:themeFillTint="33"/>
            <w:noWrap/>
            <w:vAlign w:val="center"/>
          </w:tcPr>
          <w:p w14:paraId="2E26B9EA" w14:textId="77777777" w:rsidR="003E1D81" w:rsidRDefault="00EB481C">
            <w:pPr>
              <w:pStyle w:val="P68B1DB1-Normal12"/>
              <w:spacing w:after="0" w:line="240" w:lineRule="auto"/>
              <w:jc w:val="center"/>
              <w:rPr>
                <w:rFonts w:cs="Times New Roman"/>
                <w:noProof/>
              </w:rPr>
            </w:pPr>
            <w:r>
              <w:rPr>
                <w:noProof/>
              </w:rPr>
              <w:t>Szám</w:t>
            </w:r>
          </w:p>
        </w:tc>
        <w:tc>
          <w:tcPr>
            <w:tcW w:w="752" w:type="dxa"/>
            <w:tcBorders>
              <w:bottom w:val="nil"/>
            </w:tcBorders>
            <w:shd w:val="clear" w:color="auto" w:fill="C6D9F1" w:themeFill="text2" w:themeFillTint="33"/>
            <w:noWrap/>
            <w:vAlign w:val="center"/>
          </w:tcPr>
          <w:p w14:paraId="1EB71C7B" w14:textId="77777777" w:rsidR="003E1D81" w:rsidRDefault="00EB481C">
            <w:pPr>
              <w:pStyle w:val="P68B1DB1-Normal12"/>
              <w:spacing w:after="0" w:line="240" w:lineRule="auto"/>
              <w:jc w:val="center"/>
              <w:rPr>
                <w:rFonts w:cs="Times New Roman"/>
                <w:noProof/>
              </w:rPr>
            </w:pPr>
            <w:r>
              <w:rPr>
                <w:noProof/>
              </w:rPr>
              <w:t>Intézkedés</w:t>
            </w:r>
          </w:p>
        </w:tc>
        <w:tc>
          <w:tcPr>
            <w:tcW w:w="851" w:type="dxa"/>
            <w:tcBorders>
              <w:bottom w:val="nil"/>
            </w:tcBorders>
            <w:shd w:val="clear" w:color="auto" w:fill="C6D9F1" w:themeFill="text2" w:themeFillTint="33"/>
            <w:noWrap/>
            <w:vAlign w:val="center"/>
          </w:tcPr>
          <w:p w14:paraId="71CC5653"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2144" w:type="dxa"/>
            <w:tcBorders>
              <w:bottom w:val="nil"/>
            </w:tcBorders>
            <w:shd w:val="clear" w:color="auto" w:fill="C6D9F1" w:themeFill="text2" w:themeFillTint="33"/>
            <w:noWrap/>
            <w:vAlign w:val="center"/>
          </w:tcPr>
          <w:p w14:paraId="47189E78" w14:textId="77777777" w:rsidR="003E1D81" w:rsidRDefault="00EB481C">
            <w:pPr>
              <w:pStyle w:val="P68B1DB1-Normal12"/>
              <w:spacing w:after="0" w:line="240" w:lineRule="auto"/>
              <w:jc w:val="center"/>
              <w:rPr>
                <w:rFonts w:cs="Times New Roman"/>
                <w:noProof/>
              </w:rPr>
            </w:pPr>
            <w:r>
              <w:rPr>
                <w:noProof/>
              </w:rPr>
              <w:t>Név</w:t>
            </w:r>
          </w:p>
        </w:tc>
        <w:tc>
          <w:tcPr>
            <w:tcW w:w="1124" w:type="dxa"/>
            <w:tcBorders>
              <w:bottom w:val="nil"/>
            </w:tcBorders>
            <w:shd w:val="clear" w:color="auto" w:fill="C6D9F1" w:themeFill="text2" w:themeFillTint="33"/>
            <w:noWrap/>
            <w:vAlign w:val="center"/>
          </w:tcPr>
          <w:p w14:paraId="1684463A"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1996" w:type="dxa"/>
            <w:gridSpan w:val="3"/>
            <w:shd w:val="clear" w:color="auto" w:fill="C6D9F1" w:themeFill="text2" w:themeFillTint="33"/>
            <w:noWrap/>
            <w:vAlign w:val="center"/>
          </w:tcPr>
          <w:p w14:paraId="6B86D05F" w14:textId="77777777" w:rsidR="003E1D81" w:rsidRDefault="00EB481C">
            <w:pPr>
              <w:pStyle w:val="P68B1DB1-Normal12"/>
              <w:spacing w:after="0" w:line="240" w:lineRule="auto"/>
              <w:jc w:val="center"/>
              <w:rPr>
                <w:rFonts w:cs="Times New Roman"/>
                <w:noProof/>
              </w:rPr>
            </w:pPr>
            <w:r>
              <w:rPr>
                <w:noProof/>
              </w:rPr>
              <w:t>A célérték mennyiségi mutatója</w:t>
            </w:r>
          </w:p>
        </w:tc>
        <w:tc>
          <w:tcPr>
            <w:tcW w:w="1148" w:type="dxa"/>
            <w:gridSpan w:val="2"/>
            <w:shd w:val="clear" w:color="auto" w:fill="C6D9F1" w:themeFill="text2" w:themeFillTint="33"/>
            <w:noWrap/>
            <w:vAlign w:val="center"/>
          </w:tcPr>
          <w:p w14:paraId="2DF4BA48" w14:textId="77777777" w:rsidR="003E1D81" w:rsidRDefault="00EB481C">
            <w:pPr>
              <w:pStyle w:val="P68B1DB1-Normal12"/>
              <w:spacing w:after="0" w:line="240" w:lineRule="auto"/>
              <w:jc w:val="center"/>
              <w:rPr>
                <w:rFonts w:cs="Times New Roman"/>
                <w:noProof/>
              </w:rPr>
            </w:pPr>
            <w:r>
              <w:rPr>
                <w:noProof/>
              </w:rPr>
              <w:t>Idő</w:t>
            </w:r>
          </w:p>
        </w:tc>
        <w:tc>
          <w:tcPr>
            <w:tcW w:w="6249" w:type="dxa"/>
            <w:tcBorders>
              <w:bottom w:val="nil"/>
            </w:tcBorders>
            <w:shd w:val="clear" w:color="auto" w:fill="C6D9F1" w:themeFill="text2" w:themeFillTint="33"/>
            <w:noWrap/>
            <w:vAlign w:val="center"/>
          </w:tcPr>
          <w:p w14:paraId="209B3A0B" w14:textId="77777777" w:rsidR="003E1D81" w:rsidRDefault="00EB481C">
            <w:pPr>
              <w:pStyle w:val="P68B1DB1-Normal12"/>
              <w:spacing w:after="0" w:line="240" w:lineRule="auto"/>
              <w:jc w:val="center"/>
              <w:rPr>
                <w:rFonts w:cs="Times New Roman"/>
                <w:noProof/>
              </w:rPr>
            </w:pPr>
            <w:r>
              <w:rPr>
                <w:noProof/>
              </w:rPr>
              <w:t xml:space="preserve">Az egyes mérföldkövek és célértékek </w:t>
            </w:r>
            <w:r>
              <w:rPr>
                <w:noProof/>
              </w:rPr>
              <w:t>leírása</w:t>
            </w:r>
          </w:p>
        </w:tc>
      </w:tr>
      <w:tr w:rsidR="003E1D81" w14:paraId="70DE08BA" w14:textId="77777777">
        <w:trPr>
          <w:trHeight w:val="309"/>
          <w:tblHeader/>
        </w:trPr>
        <w:tc>
          <w:tcPr>
            <w:tcW w:w="729" w:type="dxa"/>
            <w:tcBorders>
              <w:top w:val="nil"/>
              <w:left w:val="single" w:sz="4" w:space="0" w:color="auto"/>
              <w:bottom w:val="single" w:sz="4" w:space="0" w:color="auto"/>
              <w:right w:val="single" w:sz="4" w:space="0" w:color="auto"/>
            </w:tcBorders>
            <w:shd w:val="clear" w:color="auto" w:fill="C6D9F1" w:themeFill="text2" w:themeFillTint="33"/>
            <w:noWrap/>
          </w:tcPr>
          <w:p w14:paraId="0DAA8B30" w14:textId="77777777" w:rsidR="003E1D81" w:rsidRDefault="003E1D81">
            <w:pPr>
              <w:spacing w:after="0" w:line="240" w:lineRule="auto"/>
              <w:jc w:val="center"/>
              <w:rPr>
                <w:rFonts w:ascii="Times New Roman" w:hAnsi="Times New Roman" w:cs="Times New Roman"/>
                <w:b/>
                <w:noProof/>
                <w:sz w:val="18"/>
              </w:rPr>
            </w:pPr>
          </w:p>
        </w:tc>
        <w:tc>
          <w:tcPr>
            <w:tcW w:w="752" w:type="dxa"/>
            <w:tcBorders>
              <w:top w:val="nil"/>
              <w:left w:val="single" w:sz="4" w:space="0" w:color="auto"/>
              <w:bottom w:val="single" w:sz="4" w:space="0" w:color="auto"/>
              <w:right w:val="single" w:sz="4" w:space="0" w:color="auto"/>
            </w:tcBorders>
            <w:shd w:val="clear" w:color="auto" w:fill="C6D9F1" w:themeFill="text2" w:themeFillTint="33"/>
            <w:noWrap/>
          </w:tcPr>
          <w:p w14:paraId="62AA6C9A" w14:textId="77777777" w:rsidR="003E1D81" w:rsidRDefault="003E1D81">
            <w:pPr>
              <w:spacing w:after="0" w:line="240" w:lineRule="auto"/>
              <w:jc w:val="center"/>
              <w:rPr>
                <w:rFonts w:ascii="Times New Roman" w:hAnsi="Times New Roman" w:cs="Times New Roman"/>
                <w:b/>
                <w:noProof/>
                <w:sz w:val="18"/>
              </w:rPr>
            </w:pPr>
          </w:p>
        </w:tc>
        <w:tc>
          <w:tcPr>
            <w:tcW w:w="851" w:type="dxa"/>
            <w:tcBorders>
              <w:top w:val="nil"/>
              <w:left w:val="single" w:sz="4" w:space="0" w:color="auto"/>
              <w:bottom w:val="single" w:sz="4" w:space="0" w:color="auto"/>
              <w:right w:val="single" w:sz="4" w:space="0" w:color="auto"/>
            </w:tcBorders>
            <w:shd w:val="clear" w:color="auto" w:fill="C6D9F1" w:themeFill="text2" w:themeFillTint="33"/>
            <w:noWrap/>
          </w:tcPr>
          <w:p w14:paraId="3F154AAE" w14:textId="77777777" w:rsidR="003E1D81" w:rsidRDefault="003E1D81">
            <w:pPr>
              <w:spacing w:after="0" w:line="240" w:lineRule="auto"/>
              <w:jc w:val="center"/>
              <w:rPr>
                <w:rFonts w:ascii="Times New Roman" w:hAnsi="Times New Roman" w:cs="Times New Roman"/>
                <w:b/>
                <w:noProof/>
                <w:sz w:val="18"/>
              </w:rPr>
            </w:pPr>
          </w:p>
        </w:tc>
        <w:tc>
          <w:tcPr>
            <w:tcW w:w="2144" w:type="dxa"/>
            <w:tcBorders>
              <w:top w:val="nil"/>
              <w:left w:val="single" w:sz="4" w:space="0" w:color="auto"/>
              <w:bottom w:val="single" w:sz="4" w:space="0" w:color="auto"/>
              <w:right w:val="single" w:sz="4" w:space="0" w:color="auto"/>
            </w:tcBorders>
            <w:shd w:val="clear" w:color="auto" w:fill="C6D9F1" w:themeFill="text2" w:themeFillTint="33"/>
            <w:noWrap/>
          </w:tcPr>
          <w:p w14:paraId="2EDEBCEB" w14:textId="77777777" w:rsidR="003E1D81" w:rsidRDefault="003E1D81">
            <w:pPr>
              <w:spacing w:after="0" w:line="240" w:lineRule="auto"/>
              <w:rPr>
                <w:rFonts w:ascii="Times New Roman" w:hAnsi="Times New Roman" w:cs="Times New Roman"/>
                <w:b/>
                <w:noProof/>
                <w:sz w:val="18"/>
              </w:rPr>
            </w:pPr>
          </w:p>
        </w:tc>
        <w:tc>
          <w:tcPr>
            <w:tcW w:w="1124" w:type="dxa"/>
            <w:tcBorders>
              <w:top w:val="nil"/>
              <w:left w:val="single" w:sz="4" w:space="0" w:color="auto"/>
              <w:bottom w:val="single" w:sz="4" w:space="0" w:color="auto"/>
              <w:right w:val="single" w:sz="4" w:space="0" w:color="auto"/>
            </w:tcBorders>
            <w:shd w:val="clear" w:color="auto" w:fill="C6D9F1" w:themeFill="text2" w:themeFillTint="33"/>
            <w:noWrap/>
          </w:tcPr>
          <w:p w14:paraId="320256B1" w14:textId="77777777" w:rsidR="003E1D81" w:rsidRDefault="003E1D81">
            <w:pPr>
              <w:spacing w:after="0" w:line="240" w:lineRule="auto"/>
              <w:jc w:val="center"/>
              <w:rPr>
                <w:rFonts w:ascii="Times New Roman" w:hAnsi="Times New Roman" w:cs="Times New Roman"/>
                <w:b/>
                <w:noProof/>
                <w:sz w:val="18"/>
              </w:rPr>
            </w:pPr>
          </w:p>
        </w:tc>
        <w:tc>
          <w:tcPr>
            <w:tcW w:w="74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EC49D8B" w14:textId="77777777" w:rsidR="003E1D81" w:rsidRDefault="00EB481C">
            <w:pPr>
              <w:pStyle w:val="P68B1DB1-Normal12"/>
              <w:spacing w:after="0" w:line="240" w:lineRule="auto"/>
              <w:jc w:val="center"/>
              <w:rPr>
                <w:rFonts w:cs="Times New Roman"/>
                <w:noProof/>
              </w:rPr>
            </w:pPr>
            <w:r>
              <w:rPr>
                <w:noProof/>
              </w:rPr>
              <w:t>Egység</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7DC9DC8" w14:textId="77777777" w:rsidR="003E1D81" w:rsidRDefault="00EB481C">
            <w:pPr>
              <w:pStyle w:val="P68B1DB1-Normal12"/>
              <w:spacing w:after="0" w:line="240" w:lineRule="auto"/>
              <w:jc w:val="center"/>
              <w:rPr>
                <w:rFonts w:cs="Times New Roman"/>
                <w:noProof/>
              </w:rPr>
            </w:pPr>
            <w:r>
              <w:rPr>
                <w:noProof/>
              </w:rPr>
              <w:t>Alapérték</w:t>
            </w:r>
          </w:p>
        </w:tc>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59DFC03" w14:textId="77777777" w:rsidR="003E1D81" w:rsidRDefault="00EB481C">
            <w:pPr>
              <w:pStyle w:val="P68B1DB1-Normal12"/>
              <w:spacing w:after="0" w:line="240" w:lineRule="auto"/>
              <w:jc w:val="center"/>
              <w:rPr>
                <w:rFonts w:cs="Times New Roman"/>
                <w:noProof/>
              </w:rPr>
            </w:pPr>
            <w:r>
              <w:rPr>
                <w:noProof/>
              </w:rPr>
              <w:t>Cél</w:t>
            </w:r>
          </w:p>
        </w:tc>
        <w:tc>
          <w:tcPr>
            <w:tcW w:w="62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8D9F0C1" w14:textId="77777777" w:rsidR="003E1D81" w:rsidRDefault="00EB481C">
            <w:pPr>
              <w:pStyle w:val="P68B1DB1-Normal12"/>
              <w:spacing w:after="0" w:line="240" w:lineRule="auto"/>
              <w:jc w:val="center"/>
              <w:rPr>
                <w:rFonts w:cs="Times New Roman"/>
                <w:noProof/>
              </w:rPr>
            </w:pPr>
            <w:r>
              <w:rPr>
                <w:noProof/>
              </w:rPr>
              <w:t>Q</w:t>
            </w:r>
          </w:p>
        </w:tc>
        <w:tc>
          <w:tcPr>
            <w:tcW w:w="5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BF60B01" w14:textId="77777777" w:rsidR="003E1D81" w:rsidRDefault="00EB481C">
            <w:pPr>
              <w:pStyle w:val="P68B1DB1-Normal12"/>
              <w:spacing w:after="0" w:line="240" w:lineRule="auto"/>
              <w:jc w:val="center"/>
              <w:rPr>
                <w:rFonts w:cs="Times New Roman"/>
                <w:noProof/>
              </w:rPr>
            </w:pPr>
            <w:r>
              <w:rPr>
                <w:noProof/>
              </w:rPr>
              <w:t>Éve</w:t>
            </w:r>
          </w:p>
        </w:tc>
        <w:tc>
          <w:tcPr>
            <w:tcW w:w="6249" w:type="dxa"/>
            <w:tcBorders>
              <w:top w:val="nil"/>
              <w:left w:val="single" w:sz="4" w:space="0" w:color="auto"/>
              <w:bottom w:val="single" w:sz="4" w:space="0" w:color="auto"/>
              <w:right w:val="single" w:sz="4" w:space="0" w:color="auto"/>
            </w:tcBorders>
            <w:shd w:val="clear" w:color="auto" w:fill="C6D9F1" w:themeFill="text2" w:themeFillTint="33"/>
            <w:noWrap/>
          </w:tcPr>
          <w:p w14:paraId="09111EFA" w14:textId="77777777" w:rsidR="003E1D81" w:rsidRDefault="003E1D81">
            <w:pPr>
              <w:spacing w:after="0" w:line="240" w:lineRule="auto"/>
              <w:rPr>
                <w:rFonts w:ascii="Times New Roman" w:eastAsia="Times New Roman" w:hAnsi="Times New Roman" w:cs="Times New Roman"/>
                <w:noProof/>
                <w:sz w:val="18"/>
              </w:rPr>
            </w:pPr>
          </w:p>
        </w:tc>
      </w:tr>
      <w:tr w:rsidR="003E1D81" w14:paraId="2D6B053D" w14:textId="77777777">
        <w:trPr>
          <w:trHeight w:val="309"/>
        </w:trPr>
        <w:tc>
          <w:tcPr>
            <w:tcW w:w="729" w:type="dxa"/>
            <w:shd w:val="clear" w:color="auto" w:fill="C6EFCE"/>
            <w:noWrap/>
          </w:tcPr>
          <w:p w14:paraId="1101B259" w14:textId="46A7354F" w:rsidR="003E1D81" w:rsidRDefault="00EB481C">
            <w:pPr>
              <w:pStyle w:val="P68B1DB1-Normal13"/>
              <w:spacing w:after="0" w:line="240" w:lineRule="auto"/>
              <w:jc w:val="center"/>
              <w:rPr>
                <w:rFonts w:eastAsia="Times New Roman" w:cs="Times New Roman"/>
                <w:noProof/>
              </w:rPr>
            </w:pPr>
            <w:r>
              <w:rPr>
                <w:noProof/>
              </w:rPr>
              <w:t>L75</w:t>
            </w:r>
          </w:p>
        </w:tc>
        <w:tc>
          <w:tcPr>
            <w:tcW w:w="752" w:type="dxa"/>
            <w:shd w:val="clear" w:color="auto" w:fill="C6EFCE"/>
            <w:noWrap/>
          </w:tcPr>
          <w:p w14:paraId="0923ADAB" w14:textId="77777777" w:rsidR="003E1D81" w:rsidRDefault="00EB481C">
            <w:pPr>
              <w:pStyle w:val="P68B1DB1-Normal13"/>
              <w:spacing w:after="0" w:line="240" w:lineRule="auto"/>
              <w:jc w:val="center"/>
              <w:rPr>
                <w:rFonts w:eastAsia="Times New Roman" w:cs="Times New Roman"/>
                <w:noProof/>
              </w:rPr>
            </w:pPr>
            <w:r>
              <w:rPr>
                <w:noProof/>
              </w:rPr>
              <w:t>C2</w:t>
            </w:r>
            <w:r>
              <w:rPr>
                <w:noProof/>
              </w:rPr>
              <w:t>5.I2</w:t>
            </w:r>
          </w:p>
        </w:tc>
        <w:tc>
          <w:tcPr>
            <w:tcW w:w="851" w:type="dxa"/>
            <w:shd w:val="clear" w:color="auto" w:fill="C6EFCE"/>
            <w:noWrap/>
          </w:tcPr>
          <w:p w14:paraId="38CA287A" w14:textId="77777777" w:rsidR="003E1D81" w:rsidRDefault="00EB481C">
            <w:pPr>
              <w:pStyle w:val="P68B1DB1-Normal13"/>
              <w:spacing w:after="0" w:line="240" w:lineRule="auto"/>
              <w:jc w:val="center"/>
              <w:rPr>
                <w:rFonts w:eastAsia="Times New Roman" w:cs="Times New Roman"/>
                <w:noProof/>
              </w:rPr>
            </w:pPr>
            <w:r>
              <w:rPr>
                <w:noProof/>
              </w:rPr>
              <w:t>M</w:t>
            </w:r>
          </w:p>
        </w:tc>
        <w:tc>
          <w:tcPr>
            <w:tcW w:w="2144" w:type="dxa"/>
            <w:shd w:val="clear" w:color="auto" w:fill="C6EFCE"/>
            <w:noWrap/>
          </w:tcPr>
          <w:p w14:paraId="3E7FA25E" w14:textId="6DD6288E" w:rsidR="003E1D81" w:rsidRDefault="00EB481C">
            <w:pPr>
              <w:pStyle w:val="P68B1DB1-Normal13"/>
              <w:spacing w:after="0" w:line="240" w:lineRule="auto"/>
              <w:rPr>
                <w:rFonts w:eastAsia="Times New Roman" w:cs="Times New Roman"/>
                <w:noProof/>
              </w:rPr>
            </w:pPr>
            <w:r>
              <w:rPr>
                <w:noProof/>
              </w:rPr>
              <w:t>A projektek digitalizálásának és tartalomterjesztésének finanszírozására odaítélt díjak közzététele</w:t>
            </w:r>
          </w:p>
        </w:tc>
        <w:tc>
          <w:tcPr>
            <w:tcW w:w="1124" w:type="dxa"/>
            <w:shd w:val="clear" w:color="auto" w:fill="C6EFCE"/>
            <w:noWrap/>
          </w:tcPr>
          <w:p w14:paraId="4184C604" w14:textId="79E7E0AC" w:rsidR="003E1D81" w:rsidRDefault="00EB481C">
            <w:pPr>
              <w:pStyle w:val="P68B1DB1-Normal13"/>
              <w:spacing w:after="0" w:line="240" w:lineRule="auto"/>
              <w:jc w:val="center"/>
              <w:rPr>
                <w:rFonts w:eastAsia="Times New Roman" w:cs="Times New Roman"/>
                <w:noProof/>
              </w:rPr>
            </w:pPr>
            <w:r>
              <w:rPr>
                <w:noProof/>
              </w:rPr>
              <w:t>Közzététel a Hivatalos Lapban vagy a hivatalos honlapon</w:t>
            </w:r>
          </w:p>
        </w:tc>
        <w:tc>
          <w:tcPr>
            <w:tcW w:w="746" w:type="dxa"/>
            <w:shd w:val="clear" w:color="auto" w:fill="C6EFCE"/>
            <w:noWrap/>
          </w:tcPr>
          <w:p w14:paraId="1DAD6770" w14:textId="77777777" w:rsidR="003E1D81" w:rsidRDefault="003E1D81">
            <w:pPr>
              <w:spacing w:after="0" w:line="240" w:lineRule="auto"/>
              <w:jc w:val="center"/>
              <w:rPr>
                <w:rFonts w:ascii="Times New Roman" w:eastAsia="Times New Roman" w:hAnsi="Times New Roman" w:cs="Times New Roman"/>
                <w:noProof/>
                <w:sz w:val="18"/>
              </w:rPr>
            </w:pPr>
          </w:p>
        </w:tc>
        <w:tc>
          <w:tcPr>
            <w:tcW w:w="567" w:type="dxa"/>
            <w:shd w:val="clear" w:color="auto" w:fill="C6EFCE"/>
            <w:noWrap/>
          </w:tcPr>
          <w:p w14:paraId="20660151" w14:textId="77777777" w:rsidR="003E1D81" w:rsidRDefault="003E1D81">
            <w:pPr>
              <w:spacing w:after="0" w:line="240" w:lineRule="auto"/>
              <w:jc w:val="right"/>
              <w:rPr>
                <w:rFonts w:ascii="Times New Roman" w:eastAsia="Times New Roman" w:hAnsi="Times New Roman" w:cs="Times New Roman"/>
                <w:noProof/>
                <w:sz w:val="18"/>
              </w:rPr>
            </w:pPr>
          </w:p>
        </w:tc>
        <w:tc>
          <w:tcPr>
            <w:tcW w:w="683" w:type="dxa"/>
            <w:shd w:val="clear" w:color="auto" w:fill="C6EFCE"/>
            <w:noWrap/>
          </w:tcPr>
          <w:p w14:paraId="044D3ACD" w14:textId="77777777" w:rsidR="003E1D81" w:rsidRDefault="003E1D81">
            <w:pPr>
              <w:spacing w:after="0" w:line="240" w:lineRule="auto"/>
              <w:jc w:val="right"/>
              <w:rPr>
                <w:rFonts w:ascii="Times New Roman" w:eastAsia="Times New Roman" w:hAnsi="Times New Roman" w:cs="Times New Roman"/>
                <w:noProof/>
                <w:sz w:val="18"/>
              </w:rPr>
            </w:pPr>
          </w:p>
        </w:tc>
        <w:tc>
          <w:tcPr>
            <w:tcW w:w="621" w:type="dxa"/>
            <w:shd w:val="clear" w:color="auto" w:fill="C6EFCE"/>
            <w:noWrap/>
          </w:tcPr>
          <w:p w14:paraId="21D56AB2"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27" w:type="dxa"/>
            <w:shd w:val="clear" w:color="auto" w:fill="C6EFCE"/>
            <w:noWrap/>
          </w:tcPr>
          <w:p w14:paraId="136AE630" w14:textId="77777777" w:rsidR="003E1D81" w:rsidRDefault="00EB481C">
            <w:pPr>
              <w:pStyle w:val="P68B1DB1-Normal13"/>
              <w:spacing w:after="0" w:line="240" w:lineRule="auto"/>
              <w:jc w:val="center"/>
              <w:rPr>
                <w:rFonts w:eastAsia="Times New Roman" w:cs="Times New Roman"/>
                <w:noProof/>
              </w:rPr>
            </w:pPr>
            <w:r>
              <w:rPr>
                <w:noProof/>
              </w:rPr>
              <w:t>2025</w:t>
            </w:r>
          </w:p>
        </w:tc>
        <w:tc>
          <w:tcPr>
            <w:tcW w:w="6249" w:type="dxa"/>
            <w:shd w:val="clear" w:color="auto" w:fill="C6EFCE"/>
            <w:noWrap/>
          </w:tcPr>
          <w:p w14:paraId="070D89C5" w14:textId="05B14FAA" w:rsidR="003E1D81" w:rsidRDefault="00EB481C">
            <w:pPr>
              <w:pStyle w:val="P68B1DB1-Normal13"/>
              <w:spacing w:line="240" w:lineRule="auto"/>
              <w:rPr>
                <w:rFonts w:eastAsia="Times New Roman" w:cs="Times New Roman"/>
                <w:noProof/>
              </w:rPr>
            </w:pPr>
            <w:bookmarkStart w:id="59" w:name="_Hlk145587311"/>
            <w:r>
              <w:rPr>
                <w:noProof/>
              </w:rPr>
              <w:t xml:space="preserve">Legalább 19 500 000 EUR összegű kölcsön odaítélése </w:t>
            </w:r>
            <w:bookmarkEnd w:id="59"/>
            <w:r>
              <w:rPr>
                <w:noProof/>
              </w:rPr>
              <w:t>a Hivatalos Lapban vagy a</w:t>
            </w:r>
            <w:r>
              <w:rPr>
                <w:noProof/>
              </w:rPr>
              <w:t xml:space="preserve"> hivatalos honlapon a tartalmak és információk digitalizálására és terjesztésére, valamint a médiaágazat vállalatai által a spanyol és társhivatalos nyelveken történő tartalomkezelésre és -feldolgozásra szolgáló új technológiai eszközök elfogadása céljából</w:t>
            </w:r>
            <w:r>
              <w:rPr>
                <w:noProof/>
              </w:rPr>
              <w:t>.</w:t>
            </w:r>
          </w:p>
        </w:tc>
      </w:tr>
      <w:tr w:rsidR="003E1D81" w14:paraId="5DEC073D" w14:textId="77777777">
        <w:trPr>
          <w:trHeight w:val="309"/>
        </w:trPr>
        <w:tc>
          <w:tcPr>
            <w:tcW w:w="729" w:type="dxa"/>
            <w:shd w:val="clear" w:color="auto" w:fill="C6EFCE"/>
            <w:noWrap/>
          </w:tcPr>
          <w:p w14:paraId="7DB4B140" w14:textId="1F50BB51" w:rsidR="003E1D81" w:rsidRDefault="00EB481C">
            <w:pPr>
              <w:pStyle w:val="P68B1DB1-Normal13"/>
              <w:spacing w:after="0" w:line="240" w:lineRule="auto"/>
              <w:jc w:val="center"/>
              <w:rPr>
                <w:rFonts w:eastAsia="Times New Roman" w:cs="Times New Roman"/>
                <w:noProof/>
              </w:rPr>
            </w:pPr>
            <w:r>
              <w:rPr>
                <w:noProof/>
              </w:rPr>
              <w:t>L76</w:t>
            </w:r>
          </w:p>
        </w:tc>
        <w:tc>
          <w:tcPr>
            <w:tcW w:w="752" w:type="dxa"/>
            <w:shd w:val="clear" w:color="auto" w:fill="C6EFCE"/>
            <w:noWrap/>
          </w:tcPr>
          <w:p w14:paraId="1800D804" w14:textId="77777777" w:rsidR="003E1D81" w:rsidRDefault="00EB481C">
            <w:pPr>
              <w:pStyle w:val="P68B1DB1-Normal13"/>
              <w:spacing w:after="0" w:line="240" w:lineRule="auto"/>
              <w:jc w:val="center"/>
              <w:rPr>
                <w:rFonts w:eastAsia="Times New Roman" w:cs="Times New Roman"/>
                <w:noProof/>
              </w:rPr>
            </w:pPr>
            <w:r>
              <w:rPr>
                <w:noProof/>
              </w:rPr>
              <w:t>C25.I2</w:t>
            </w:r>
          </w:p>
        </w:tc>
        <w:tc>
          <w:tcPr>
            <w:tcW w:w="851" w:type="dxa"/>
            <w:shd w:val="clear" w:color="auto" w:fill="C6EFCE"/>
            <w:noWrap/>
          </w:tcPr>
          <w:p w14:paraId="736BDD5A" w14:textId="77777777" w:rsidR="003E1D81" w:rsidRDefault="00EB481C">
            <w:pPr>
              <w:pStyle w:val="P68B1DB1-Normal13"/>
              <w:spacing w:after="0" w:line="240" w:lineRule="auto"/>
              <w:jc w:val="center"/>
              <w:rPr>
                <w:rFonts w:eastAsia="Times New Roman" w:cs="Times New Roman"/>
                <w:noProof/>
              </w:rPr>
            </w:pPr>
            <w:r>
              <w:rPr>
                <w:noProof/>
              </w:rPr>
              <w:t>T</w:t>
            </w:r>
          </w:p>
        </w:tc>
        <w:tc>
          <w:tcPr>
            <w:tcW w:w="2144" w:type="dxa"/>
            <w:shd w:val="clear" w:color="auto" w:fill="C6EFCE"/>
            <w:noWrap/>
          </w:tcPr>
          <w:p w14:paraId="0C17C5FA" w14:textId="77777777" w:rsidR="003E1D81" w:rsidRDefault="00EB481C">
            <w:pPr>
              <w:pStyle w:val="P68B1DB1-Normal13"/>
              <w:spacing w:after="0" w:line="240" w:lineRule="auto"/>
              <w:rPr>
                <w:rFonts w:eastAsia="Times New Roman" w:cs="Times New Roman"/>
                <w:noProof/>
              </w:rPr>
            </w:pPr>
            <w:r>
              <w:rPr>
                <w:noProof/>
              </w:rPr>
              <w:t>A tartalmak digitalizálására és terjesztésére irányuló projektek végrehajtása</w:t>
            </w:r>
          </w:p>
        </w:tc>
        <w:tc>
          <w:tcPr>
            <w:tcW w:w="1124" w:type="dxa"/>
            <w:shd w:val="clear" w:color="auto" w:fill="C6EFCE"/>
            <w:noWrap/>
          </w:tcPr>
          <w:p w14:paraId="0712BA1A" w14:textId="77777777" w:rsidR="003E1D81" w:rsidRDefault="003E1D81">
            <w:pPr>
              <w:spacing w:after="0" w:line="240" w:lineRule="auto"/>
              <w:jc w:val="center"/>
              <w:rPr>
                <w:rFonts w:ascii="Times New Roman" w:eastAsia="Times New Roman" w:hAnsi="Times New Roman" w:cs="Times New Roman"/>
                <w:noProof/>
                <w:sz w:val="18"/>
              </w:rPr>
            </w:pPr>
          </w:p>
        </w:tc>
        <w:tc>
          <w:tcPr>
            <w:tcW w:w="746" w:type="dxa"/>
            <w:shd w:val="clear" w:color="auto" w:fill="C6EFCE"/>
            <w:noWrap/>
          </w:tcPr>
          <w:p w14:paraId="747A2659" w14:textId="35FED01C" w:rsidR="003E1D81" w:rsidRDefault="00EB481C">
            <w:pPr>
              <w:pStyle w:val="P68B1DB1-Normal13"/>
              <w:spacing w:after="0" w:line="240" w:lineRule="auto"/>
              <w:jc w:val="center"/>
              <w:rPr>
                <w:rFonts w:eastAsia="Times New Roman" w:cs="Times New Roman"/>
                <w:noProof/>
              </w:rPr>
            </w:pPr>
            <w:r>
              <w:rPr>
                <w:noProof/>
              </w:rPr>
              <w:t>Millió EUR</w:t>
            </w:r>
          </w:p>
        </w:tc>
        <w:tc>
          <w:tcPr>
            <w:tcW w:w="567" w:type="dxa"/>
            <w:shd w:val="clear" w:color="auto" w:fill="C6EFCE"/>
            <w:noWrap/>
          </w:tcPr>
          <w:p w14:paraId="0D1E194C" w14:textId="77777777" w:rsidR="003E1D81" w:rsidRDefault="003E1D81">
            <w:pPr>
              <w:spacing w:after="0" w:line="240" w:lineRule="auto"/>
              <w:jc w:val="right"/>
              <w:rPr>
                <w:rFonts w:ascii="Times New Roman" w:eastAsia="Times New Roman" w:hAnsi="Times New Roman" w:cs="Times New Roman"/>
                <w:noProof/>
                <w:sz w:val="18"/>
              </w:rPr>
            </w:pPr>
          </w:p>
        </w:tc>
        <w:tc>
          <w:tcPr>
            <w:tcW w:w="683" w:type="dxa"/>
            <w:shd w:val="clear" w:color="auto" w:fill="C6EFCE"/>
            <w:noWrap/>
          </w:tcPr>
          <w:p w14:paraId="56BD40EA" w14:textId="2719BDB7" w:rsidR="003E1D81" w:rsidRDefault="00EB481C">
            <w:pPr>
              <w:pStyle w:val="P68B1DB1-Normal13"/>
              <w:spacing w:after="0" w:line="240" w:lineRule="auto"/>
              <w:jc w:val="right"/>
              <w:rPr>
                <w:rFonts w:eastAsia="Times New Roman" w:cs="Times New Roman"/>
                <w:noProof/>
              </w:rPr>
            </w:pPr>
            <w:r>
              <w:rPr>
                <w:noProof/>
              </w:rPr>
              <w:t>17.55</w:t>
            </w:r>
          </w:p>
        </w:tc>
        <w:tc>
          <w:tcPr>
            <w:tcW w:w="621" w:type="dxa"/>
            <w:shd w:val="clear" w:color="auto" w:fill="C6EFCE"/>
            <w:noWrap/>
          </w:tcPr>
          <w:p w14:paraId="357035B6"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527" w:type="dxa"/>
            <w:shd w:val="clear" w:color="auto" w:fill="C6EFCE"/>
            <w:noWrap/>
          </w:tcPr>
          <w:p w14:paraId="2CC965C1" w14:textId="77777777" w:rsidR="003E1D81" w:rsidRDefault="00EB481C">
            <w:pPr>
              <w:pStyle w:val="P68B1DB1-Normal13"/>
              <w:spacing w:after="0" w:line="240" w:lineRule="auto"/>
              <w:jc w:val="center"/>
              <w:rPr>
                <w:rFonts w:eastAsia="Times New Roman" w:cs="Times New Roman"/>
                <w:noProof/>
              </w:rPr>
            </w:pPr>
            <w:r>
              <w:rPr>
                <w:noProof/>
              </w:rPr>
              <w:t>2026</w:t>
            </w:r>
          </w:p>
        </w:tc>
        <w:tc>
          <w:tcPr>
            <w:tcW w:w="6249" w:type="dxa"/>
            <w:shd w:val="clear" w:color="auto" w:fill="C6EFCE"/>
            <w:noWrap/>
          </w:tcPr>
          <w:p w14:paraId="45516066" w14:textId="77777777" w:rsidR="003E1D81" w:rsidRDefault="00EB481C">
            <w:pPr>
              <w:pStyle w:val="P68B1DB1-Normal13"/>
              <w:spacing w:line="240" w:lineRule="auto"/>
              <w:rPr>
                <w:rFonts w:eastAsia="Times New Roman" w:cs="Times New Roman"/>
                <w:noProof/>
              </w:rPr>
            </w:pPr>
            <w:r>
              <w:rPr>
                <w:noProof/>
              </w:rPr>
              <w:t>A digitalizálásra, a tartalom terjesztésére, valamint a spanyol és társhivatalos nyelveken történő tartalomkezelésre és -feldolgozásra szolgáló új technológiai eszközök elfogadására irányuló, legalább 17 550 000 EUR összegű költségvetésnek megfelelő projek</w:t>
            </w:r>
            <w:r>
              <w:rPr>
                <w:noProof/>
              </w:rPr>
              <w:t xml:space="preserve">tek véglegesítése.   </w:t>
            </w:r>
          </w:p>
        </w:tc>
      </w:tr>
      <w:tr w:rsidR="003E1D81" w14:paraId="32C2E06A" w14:textId="77777777">
        <w:trPr>
          <w:trHeight w:val="309"/>
        </w:trPr>
        <w:tc>
          <w:tcPr>
            <w:tcW w:w="729" w:type="dxa"/>
            <w:shd w:val="clear" w:color="auto" w:fill="C6EFCE"/>
            <w:noWrap/>
          </w:tcPr>
          <w:p w14:paraId="42DE955D" w14:textId="08D4F92E" w:rsidR="003E1D81" w:rsidRDefault="00EB481C">
            <w:pPr>
              <w:pStyle w:val="P68B1DB1-Normal13"/>
              <w:spacing w:after="0" w:line="240" w:lineRule="auto"/>
              <w:jc w:val="center"/>
              <w:rPr>
                <w:rFonts w:eastAsia="Times New Roman" w:cs="Times New Roman"/>
                <w:noProof/>
              </w:rPr>
            </w:pPr>
            <w:r>
              <w:rPr>
                <w:noProof/>
              </w:rPr>
              <w:t>L77.</w:t>
            </w:r>
          </w:p>
        </w:tc>
        <w:tc>
          <w:tcPr>
            <w:tcW w:w="752" w:type="dxa"/>
            <w:shd w:val="clear" w:color="auto" w:fill="C6EFCE"/>
            <w:noWrap/>
          </w:tcPr>
          <w:p w14:paraId="7014E155" w14:textId="77777777" w:rsidR="003E1D81" w:rsidRDefault="00EB481C">
            <w:pPr>
              <w:pStyle w:val="P68B1DB1-Normal13"/>
              <w:spacing w:after="0" w:line="240" w:lineRule="auto"/>
              <w:jc w:val="center"/>
              <w:rPr>
                <w:rFonts w:cs="Times New Roman"/>
                <w:noProof/>
              </w:rPr>
            </w:pPr>
            <w:r>
              <w:rPr>
                <w:noProof/>
              </w:rPr>
              <w:t>C25.I3</w:t>
            </w:r>
          </w:p>
        </w:tc>
        <w:tc>
          <w:tcPr>
            <w:tcW w:w="851" w:type="dxa"/>
            <w:shd w:val="clear" w:color="auto" w:fill="C6EFCE"/>
            <w:noWrap/>
          </w:tcPr>
          <w:p w14:paraId="6C155DD5" w14:textId="77777777" w:rsidR="003E1D81" w:rsidRDefault="00EB481C">
            <w:pPr>
              <w:pStyle w:val="P68B1DB1-Normal13"/>
              <w:spacing w:after="0" w:line="240" w:lineRule="auto"/>
              <w:jc w:val="center"/>
              <w:rPr>
                <w:rFonts w:eastAsia="Times New Roman" w:cs="Times New Roman"/>
                <w:noProof/>
              </w:rPr>
            </w:pPr>
            <w:r>
              <w:rPr>
                <w:noProof/>
              </w:rPr>
              <w:t>M</w:t>
            </w:r>
          </w:p>
        </w:tc>
        <w:tc>
          <w:tcPr>
            <w:tcW w:w="2144" w:type="dxa"/>
            <w:shd w:val="clear" w:color="auto" w:fill="C6EFCE"/>
            <w:noWrap/>
          </w:tcPr>
          <w:p w14:paraId="0ABD9A36" w14:textId="4BBEF6D8" w:rsidR="003E1D81" w:rsidRDefault="00EB481C">
            <w:pPr>
              <w:pStyle w:val="P68B1DB1-Normal13"/>
              <w:spacing w:after="0" w:line="240" w:lineRule="auto"/>
              <w:rPr>
                <w:rFonts w:eastAsia="Times New Roman" w:cs="Times New Roman"/>
                <w:noProof/>
              </w:rPr>
            </w:pPr>
            <w:r>
              <w:rPr>
                <w:noProof/>
              </w:rPr>
              <w:t xml:space="preserve">ICO Audiovizuális Platformalap: Végrehajtási megállapodás </w:t>
            </w:r>
          </w:p>
          <w:p w14:paraId="26D1B766" w14:textId="77777777" w:rsidR="003E1D81" w:rsidRDefault="003E1D81">
            <w:pPr>
              <w:spacing w:after="0" w:line="240" w:lineRule="auto"/>
              <w:rPr>
                <w:rFonts w:ascii="Times New Roman" w:eastAsia="Times New Roman" w:hAnsi="Times New Roman" w:cs="Times New Roman"/>
                <w:noProof/>
                <w:sz w:val="18"/>
              </w:rPr>
            </w:pPr>
          </w:p>
        </w:tc>
        <w:tc>
          <w:tcPr>
            <w:tcW w:w="1124" w:type="dxa"/>
            <w:shd w:val="clear" w:color="auto" w:fill="C6EFCE"/>
            <w:noWrap/>
          </w:tcPr>
          <w:p w14:paraId="56759D38" w14:textId="1314AE91" w:rsidR="003E1D81" w:rsidRDefault="00EB481C">
            <w:pPr>
              <w:pStyle w:val="P68B1DB1-Normal13"/>
              <w:spacing w:after="0" w:line="240" w:lineRule="auto"/>
              <w:jc w:val="center"/>
              <w:rPr>
                <w:rFonts w:eastAsia="Times New Roman" w:cs="Times New Roman"/>
                <w:noProof/>
              </w:rPr>
            </w:pPr>
            <w:r>
              <w:rPr>
                <w:noProof/>
              </w:rPr>
              <w:t>A végrehajtási megállapodás hatálybalépése</w:t>
            </w:r>
          </w:p>
        </w:tc>
        <w:tc>
          <w:tcPr>
            <w:tcW w:w="746" w:type="dxa"/>
            <w:shd w:val="clear" w:color="auto" w:fill="C6EFCE"/>
            <w:noWrap/>
          </w:tcPr>
          <w:p w14:paraId="791D4D06" w14:textId="77777777" w:rsidR="003E1D81" w:rsidRDefault="003E1D81">
            <w:pPr>
              <w:spacing w:after="0" w:line="240" w:lineRule="auto"/>
              <w:jc w:val="center"/>
              <w:rPr>
                <w:rFonts w:ascii="Times New Roman" w:hAnsi="Times New Roman" w:cs="Times New Roman"/>
                <w:noProof/>
                <w:sz w:val="18"/>
              </w:rPr>
            </w:pPr>
          </w:p>
        </w:tc>
        <w:tc>
          <w:tcPr>
            <w:tcW w:w="567" w:type="dxa"/>
            <w:shd w:val="clear" w:color="auto" w:fill="C6EFCE"/>
            <w:noWrap/>
          </w:tcPr>
          <w:p w14:paraId="7420DDA8" w14:textId="77777777" w:rsidR="003E1D81" w:rsidRDefault="003E1D81">
            <w:pPr>
              <w:spacing w:after="0" w:line="240" w:lineRule="auto"/>
              <w:jc w:val="right"/>
              <w:rPr>
                <w:rFonts w:ascii="Times New Roman" w:hAnsi="Times New Roman" w:cs="Times New Roman"/>
                <w:noProof/>
                <w:sz w:val="18"/>
              </w:rPr>
            </w:pPr>
          </w:p>
        </w:tc>
        <w:tc>
          <w:tcPr>
            <w:tcW w:w="683" w:type="dxa"/>
            <w:shd w:val="clear" w:color="auto" w:fill="C6EFCE"/>
            <w:noWrap/>
          </w:tcPr>
          <w:p w14:paraId="2BE46740" w14:textId="77777777" w:rsidR="003E1D81" w:rsidRDefault="003E1D81">
            <w:pPr>
              <w:spacing w:after="0" w:line="240" w:lineRule="auto"/>
              <w:jc w:val="right"/>
              <w:rPr>
                <w:rFonts w:ascii="Times New Roman" w:hAnsi="Times New Roman" w:cs="Times New Roman"/>
                <w:noProof/>
                <w:sz w:val="18"/>
              </w:rPr>
            </w:pPr>
          </w:p>
        </w:tc>
        <w:tc>
          <w:tcPr>
            <w:tcW w:w="621" w:type="dxa"/>
            <w:shd w:val="clear" w:color="auto" w:fill="C6EFCE"/>
            <w:noWrap/>
          </w:tcPr>
          <w:p w14:paraId="7459C768"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27" w:type="dxa"/>
            <w:shd w:val="clear" w:color="auto" w:fill="C6EFCE"/>
            <w:noWrap/>
          </w:tcPr>
          <w:p w14:paraId="3343D3B9" w14:textId="77777777" w:rsidR="003E1D81" w:rsidRDefault="00EB481C">
            <w:pPr>
              <w:pStyle w:val="P68B1DB1-Normal13"/>
              <w:spacing w:after="0" w:line="240" w:lineRule="auto"/>
              <w:jc w:val="center"/>
              <w:rPr>
                <w:rFonts w:eastAsia="Times New Roman" w:cs="Times New Roman"/>
                <w:noProof/>
              </w:rPr>
            </w:pPr>
            <w:r>
              <w:rPr>
                <w:noProof/>
              </w:rPr>
              <w:t>2023</w:t>
            </w:r>
          </w:p>
        </w:tc>
        <w:tc>
          <w:tcPr>
            <w:tcW w:w="6249" w:type="dxa"/>
            <w:shd w:val="clear" w:color="auto" w:fill="C6EFCE"/>
            <w:noWrap/>
          </w:tcPr>
          <w:p w14:paraId="4C1E2C42" w14:textId="662EA4FF" w:rsidR="003E1D81" w:rsidRDefault="00EB481C">
            <w:pPr>
              <w:pStyle w:val="P68B1DB1-Normal13"/>
              <w:rPr>
                <w:rFonts w:eastAsia="Times New Roman" w:cs="Times New Roman"/>
                <w:noProof/>
              </w:rPr>
            </w:pPr>
            <w:r>
              <w:rPr>
                <w:noProof/>
              </w:rPr>
              <w:t>A végrehajtási megállapodás hatálybalépése.</w:t>
            </w:r>
          </w:p>
          <w:p w14:paraId="3C94C7D4" w14:textId="77777777" w:rsidR="003E1D81" w:rsidRDefault="003E1D81">
            <w:pPr>
              <w:spacing w:after="0" w:line="240" w:lineRule="auto"/>
              <w:jc w:val="both"/>
              <w:rPr>
                <w:rFonts w:ascii="Times New Roman" w:eastAsia="Times New Roman" w:hAnsi="Times New Roman" w:cs="Times New Roman"/>
                <w:noProof/>
                <w:sz w:val="18"/>
              </w:rPr>
            </w:pPr>
          </w:p>
        </w:tc>
      </w:tr>
      <w:tr w:rsidR="003E1D81" w14:paraId="68AB993F" w14:textId="77777777">
        <w:trPr>
          <w:trHeight w:val="309"/>
        </w:trPr>
        <w:tc>
          <w:tcPr>
            <w:tcW w:w="729" w:type="dxa"/>
            <w:shd w:val="clear" w:color="auto" w:fill="C6EFCE"/>
            <w:noWrap/>
          </w:tcPr>
          <w:p w14:paraId="79281886" w14:textId="0C23939C" w:rsidR="003E1D81" w:rsidRDefault="00EB481C">
            <w:pPr>
              <w:pStyle w:val="P68B1DB1-Normal13"/>
              <w:spacing w:after="0" w:line="240" w:lineRule="auto"/>
              <w:jc w:val="center"/>
              <w:rPr>
                <w:rFonts w:eastAsia="Times New Roman" w:cs="Times New Roman"/>
                <w:noProof/>
              </w:rPr>
            </w:pPr>
            <w:r>
              <w:rPr>
                <w:noProof/>
              </w:rPr>
              <w:t>L78</w:t>
            </w:r>
          </w:p>
        </w:tc>
        <w:tc>
          <w:tcPr>
            <w:tcW w:w="752" w:type="dxa"/>
            <w:shd w:val="clear" w:color="auto" w:fill="C6EFCE"/>
            <w:noWrap/>
          </w:tcPr>
          <w:p w14:paraId="1241BA9A" w14:textId="77777777" w:rsidR="003E1D81" w:rsidRDefault="00EB481C">
            <w:pPr>
              <w:pStyle w:val="P68B1DB1-Normal13"/>
              <w:spacing w:after="0" w:line="240" w:lineRule="auto"/>
              <w:jc w:val="center"/>
              <w:rPr>
                <w:rFonts w:cs="Times New Roman"/>
                <w:noProof/>
              </w:rPr>
            </w:pPr>
            <w:r>
              <w:rPr>
                <w:noProof/>
              </w:rPr>
              <w:t>C25.I3</w:t>
            </w:r>
          </w:p>
        </w:tc>
        <w:tc>
          <w:tcPr>
            <w:tcW w:w="851" w:type="dxa"/>
            <w:shd w:val="clear" w:color="auto" w:fill="C6EFCE"/>
            <w:noWrap/>
          </w:tcPr>
          <w:p w14:paraId="7EA06B66" w14:textId="77777777" w:rsidR="003E1D81" w:rsidRDefault="00EB481C">
            <w:pPr>
              <w:pStyle w:val="P68B1DB1-Normal13"/>
              <w:spacing w:after="0" w:line="240" w:lineRule="auto"/>
              <w:jc w:val="center"/>
              <w:rPr>
                <w:rFonts w:eastAsia="Times New Roman" w:cs="Times New Roman"/>
                <w:noProof/>
              </w:rPr>
            </w:pPr>
            <w:r>
              <w:rPr>
                <w:noProof/>
              </w:rPr>
              <w:t>T</w:t>
            </w:r>
          </w:p>
        </w:tc>
        <w:tc>
          <w:tcPr>
            <w:tcW w:w="2144" w:type="dxa"/>
            <w:shd w:val="clear" w:color="auto" w:fill="C6EFCE"/>
            <w:noWrap/>
          </w:tcPr>
          <w:p w14:paraId="6B4536DE" w14:textId="23838B67" w:rsidR="003E1D81" w:rsidRDefault="00EB481C">
            <w:pPr>
              <w:pStyle w:val="P68B1DB1-Normal13"/>
              <w:spacing w:after="0" w:line="240" w:lineRule="auto"/>
              <w:rPr>
                <w:rFonts w:eastAsia="Times New Roman" w:cs="Times New Roman"/>
                <w:noProof/>
              </w:rPr>
            </w:pPr>
            <w:r>
              <w:rPr>
                <w:noProof/>
              </w:rPr>
              <w:t xml:space="preserve">ICO Audiovizuális Platformalap: A végső kedvezményezettekkel (beleértve a tőkealapokat is) aláírt jogi finanszírozási megállapodások (I).  </w:t>
            </w:r>
          </w:p>
        </w:tc>
        <w:tc>
          <w:tcPr>
            <w:tcW w:w="1124" w:type="dxa"/>
            <w:shd w:val="clear" w:color="auto" w:fill="C6EFCE"/>
            <w:noWrap/>
          </w:tcPr>
          <w:p w14:paraId="5956C494" w14:textId="77777777" w:rsidR="003E1D81" w:rsidRDefault="003E1D81">
            <w:pPr>
              <w:spacing w:after="0" w:line="240" w:lineRule="auto"/>
              <w:jc w:val="center"/>
              <w:rPr>
                <w:rFonts w:ascii="Times New Roman" w:eastAsia="Times New Roman" w:hAnsi="Times New Roman" w:cs="Times New Roman"/>
                <w:noProof/>
                <w:sz w:val="18"/>
              </w:rPr>
            </w:pPr>
          </w:p>
        </w:tc>
        <w:tc>
          <w:tcPr>
            <w:tcW w:w="746" w:type="dxa"/>
            <w:shd w:val="clear" w:color="auto" w:fill="C6EFCE"/>
            <w:noWrap/>
          </w:tcPr>
          <w:p w14:paraId="70C04B30" w14:textId="62E33394" w:rsidR="003E1D81" w:rsidRDefault="003E1D81">
            <w:pPr>
              <w:spacing w:after="0" w:line="240" w:lineRule="auto"/>
              <w:jc w:val="center"/>
              <w:rPr>
                <w:rFonts w:ascii="Times New Roman" w:hAnsi="Times New Roman" w:cs="Times New Roman"/>
                <w:noProof/>
                <w:sz w:val="18"/>
              </w:rPr>
            </w:pPr>
          </w:p>
        </w:tc>
        <w:tc>
          <w:tcPr>
            <w:tcW w:w="567" w:type="dxa"/>
            <w:shd w:val="clear" w:color="auto" w:fill="C6EFCE"/>
            <w:noWrap/>
          </w:tcPr>
          <w:p w14:paraId="1C116015" w14:textId="13D5DE7E" w:rsidR="003E1D81" w:rsidRDefault="00EB481C">
            <w:pPr>
              <w:pStyle w:val="P68B1DB1-Normal13"/>
              <w:tabs>
                <w:tab w:val="left" w:pos="210"/>
                <w:tab w:val="center" w:pos="291"/>
              </w:tabs>
              <w:spacing w:after="0" w:line="240" w:lineRule="auto"/>
              <w:rPr>
                <w:rFonts w:cs="Times New Roman"/>
                <w:noProof/>
              </w:rPr>
            </w:pPr>
            <w:r>
              <w:rPr>
                <w:noProof/>
              </w:rPr>
              <w:tab/>
            </w:r>
            <w:r>
              <w:rPr>
                <w:noProof/>
              </w:rPr>
              <w:tab/>
              <w:t>0</w:t>
            </w:r>
          </w:p>
        </w:tc>
        <w:tc>
          <w:tcPr>
            <w:tcW w:w="683" w:type="dxa"/>
            <w:shd w:val="clear" w:color="auto" w:fill="C6EFCE"/>
            <w:noWrap/>
          </w:tcPr>
          <w:p w14:paraId="619FD1FB" w14:textId="32E6E221" w:rsidR="003E1D81" w:rsidRDefault="00EB481C">
            <w:pPr>
              <w:pStyle w:val="P68B1DB1-Normal13"/>
              <w:spacing w:after="0" w:line="240" w:lineRule="auto"/>
              <w:jc w:val="right"/>
              <w:rPr>
                <w:rFonts w:cs="Times New Roman"/>
                <w:noProof/>
              </w:rPr>
            </w:pPr>
            <w:r>
              <w:rPr>
                <w:noProof/>
              </w:rPr>
              <w:t>50%</w:t>
            </w:r>
          </w:p>
        </w:tc>
        <w:tc>
          <w:tcPr>
            <w:tcW w:w="621" w:type="dxa"/>
            <w:shd w:val="clear" w:color="auto" w:fill="C6EFCE"/>
            <w:noWrap/>
          </w:tcPr>
          <w:p w14:paraId="4B47678B" w14:textId="77777777" w:rsidR="003E1D81" w:rsidRDefault="00EB481C">
            <w:pPr>
              <w:pStyle w:val="P68B1DB1-Normal13"/>
              <w:spacing w:after="0" w:line="240" w:lineRule="auto"/>
              <w:jc w:val="center"/>
              <w:rPr>
                <w:rFonts w:eastAsia="Times New Roman" w:cs="Times New Roman"/>
                <w:noProof/>
              </w:rPr>
            </w:pPr>
            <w:r>
              <w:rPr>
                <w:noProof/>
              </w:rPr>
              <w:t>KÉRDÉS</w:t>
            </w:r>
          </w:p>
        </w:tc>
        <w:tc>
          <w:tcPr>
            <w:tcW w:w="527" w:type="dxa"/>
            <w:shd w:val="clear" w:color="auto" w:fill="C6EFCE"/>
            <w:noWrap/>
          </w:tcPr>
          <w:p w14:paraId="0D5C25C7" w14:textId="77777777" w:rsidR="003E1D81" w:rsidRDefault="00EB481C">
            <w:pPr>
              <w:pStyle w:val="P68B1DB1-Normal13"/>
              <w:spacing w:after="0" w:line="240" w:lineRule="auto"/>
              <w:jc w:val="center"/>
              <w:rPr>
                <w:rFonts w:eastAsia="Times New Roman" w:cs="Times New Roman"/>
                <w:noProof/>
              </w:rPr>
            </w:pPr>
            <w:r>
              <w:rPr>
                <w:noProof/>
              </w:rPr>
              <w:t>2025</w:t>
            </w:r>
          </w:p>
        </w:tc>
        <w:tc>
          <w:tcPr>
            <w:tcW w:w="6249" w:type="dxa"/>
            <w:shd w:val="clear" w:color="auto" w:fill="C6EFCE"/>
            <w:noWrap/>
          </w:tcPr>
          <w:p w14:paraId="2321F473" w14:textId="2CAEB37D" w:rsidR="003E1D81" w:rsidRDefault="00EB481C">
            <w:pPr>
              <w:pStyle w:val="P68B1DB1-Normal13"/>
              <w:spacing w:after="0" w:line="240" w:lineRule="auto"/>
              <w:rPr>
                <w:rFonts w:eastAsia="Times New Roman" w:cs="Times New Roman"/>
                <w:noProof/>
              </w:rPr>
            </w:pPr>
            <w:r>
              <w:rPr>
                <w:noProof/>
              </w:rPr>
              <w:t>Az ICO/Axis, valamint az ICO által kiválasztott közvetítőknek jogi finanszírozási megállapodás</w:t>
            </w:r>
            <w:r>
              <w:rPr>
                <w:noProof/>
              </w:rPr>
              <w:t>okat kell kötniük a végső kedvezményezettekkel a Helyreállítási és Rezilienciaépítési Eszközbe történő beruházás legalább 50%-ának az eszközbe történő felhasználásához szükséges összegre (figyelembe véve az irányítási díjakat). A finanszírozás legalább 2,5</w:t>
            </w:r>
            <w:r>
              <w:rPr>
                <w:noProof/>
              </w:rPr>
              <w:t>%-ának a tőkealapokkal aláírt finanszírozási megállapodásoknak, legalább 50%-ának pedig a végső kedvezményezettekkel kötött finanszírozási megállapodásoknak kell megfelelnie az összes többi befektetési termék tekintetében (beleértve a végrehajtó partner kö</w:t>
            </w:r>
            <w:r>
              <w:rPr>
                <w:noProof/>
              </w:rPr>
              <w:t>zvetlen tőkebefektetéseit is). Az ICO a Helyreállítási és Rezilienciaépítési Eszközről szóló rendelet VII. mellékletében foglalt módszertan alkalmazásával jelentést készít, amelyben részletezi e finanszírozás azon százalékos arányát, amely hozzájárul a dig</w:t>
            </w:r>
            <w:r>
              <w:rPr>
                <w:noProof/>
              </w:rPr>
              <w:t>itális célkitűzésekhez.</w:t>
            </w:r>
          </w:p>
        </w:tc>
      </w:tr>
      <w:tr w:rsidR="003E1D81" w14:paraId="43F220DB" w14:textId="77777777">
        <w:trPr>
          <w:trHeight w:val="915"/>
        </w:trPr>
        <w:tc>
          <w:tcPr>
            <w:tcW w:w="729" w:type="dxa"/>
            <w:shd w:val="clear" w:color="auto" w:fill="C6EFCE"/>
            <w:noWrap/>
          </w:tcPr>
          <w:p w14:paraId="1A22EBF1" w14:textId="01DCA8AB" w:rsidR="003E1D81" w:rsidRDefault="00EB481C">
            <w:pPr>
              <w:pStyle w:val="P68B1DB1-Normal13"/>
              <w:spacing w:line="240" w:lineRule="auto"/>
              <w:jc w:val="center"/>
              <w:rPr>
                <w:rFonts w:eastAsia="Times New Roman" w:cs="Times New Roman"/>
                <w:noProof/>
              </w:rPr>
            </w:pPr>
            <w:r>
              <w:rPr>
                <w:noProof/>
              </w:rPr>
              <w:t>L79</w:t>
            </w:r>
          </w:p>
        </w:tc>
        <w:tc>
          <w:tcPr>
            <w:tcW w:w="752" w:type="dxa"/>
            <w:shd w:val="clear" w:color="auto" w:fill="C6EFCE"/>
            <w:noWrap/>
          </w:tcPr>
          <w:p w14:paraId="48C23F29" w14:textId="77777777" w:rsidR="003E1D81" w:rsidRDefault="00EB481C">
            <w:pPr>
              <w:pStyle w:val="P68B1DB1-Normal13"/>
              <w:spacing w:line="240" w:lineRule="auto"/>
              <w:rPr>
                <w:rFonts w:cs="Times New Roman"/>
                <w:noProof/>
              </w:rPr>
            </w:pPr>
            <w:r>
              <w:rPr>
                <w:noProof/>
              </w:rPr>
              <w:t>C25.I3</w:t>
            </w:r>
          </w:p>
        </w:tc>
        <w:tc>
          <w:tcPr>
            <w:tcW w:w="851" w:type="dxa"/>
            <w:shd w:val="clear" w:color="auto" w:fill="C6EFCE"/>
            <w:noWrap/>
          </w:tcPr>
          <w:p w14:paraId="5EFDF417" w14:textId="77777777" w:rsidR="003E1D81" w:rsidRDefault="00EB481C">
            <w:pPr>
              <w:pStyle w:val="P68B1DB1-Normal13"/>
              <w:spacing w:line="240" w:lineRule="auto"/>
              <w:jc w:val="center"/>
              <w:rPr>
                <w:rFonts w:eastAsia="Times New Roman" w:cs="Times New Roman"/>
                <w:noProof/>
              </w:rPr>
            </w:pPr>
            <w:r>
              <w:rPr>
                <w:noProof/>
              </w:rPr>
              <w:t>T</w:t>
            </w:r>
          </w:p>
        </w:tc>
        <w:tc>
          <w:tcPr>
            <w:tcW w:w="2144" w:type="dxa"/>
            <w:shd w:val="clear" w:color="auto" w:fill="C6EFCE"/>
            <w:noWrap/>
          </w:tcPr>
          <w:p w14:paraId="4F89FB49" w14:textId="3BDC296E" w:rsidR="003E1D81" w:rsidRDefault="00EB481C">
            <w:pPr>
              <w:pStyle w:val="P68B1DB1-Normal13"/>
              <w:spacing w:line="240" w:lineRule="auto"/>
              <w:rPr>
                <w:rFonts w:eastAsia="Times New Roman" w:cs="Times New Roman"/>
                <w:noProof/>
              </w:rPr>
            </w:pPr>
            <w:r>
              <w:rPr>
                <w:noProof/>
              </w:rPr>
              <w:t>ICO Audiovizuális Platformalap: A végső kedvezményezettekkel (beleértve a tőkealapokat is) aláírt jogi finanszírozási megállapodások (II).</w:t>
            </w:r>
          </w:p>
        </w:tc>
        <w:tc>
          <w:tcPr>
            <w:tcW w:w="1124" w:type="dxa"/>
            <w:shd w:val="clear" w:color="auto" w:fill="C6EFCE"/>
            <w:noWrap/>
          </w:tcPr>
          <w:p w14:paraId="7B79ECB1" w14:textId="77777777" w:rsidR="003E1D81" w:rsidRDefault="003E1D81">
            <w:pPr>
              <w:spacing w:line="240" w:lineRule="auto"/>
              <w:jc w:val="center"/>
              <w:rPr>
                <w:rFonts w:ascii="Times New Roman" w:eastAsia="Times New Roman" w:hAnsi="Times New Roman" w:cs="Times New Roman"/>
                <w:noProof/>
                <w:sz w:val="18"/>
              </w:rPr>
            </w:pPr>
          </w:p>
        </w:tc>
        <w:tc>
          <w:tcPr>
            <w:tcW w:w="746" w:type="dxa"/>
            <w:shd w:val="clear" w:color="auto" w:fill="C6EFCE"/>
            <w:noWrap/>
          </w:tcPr>
          <w:p w14:paraId="0F7A45F4" w14:textId="413E8D68" w:rsidR="003E1D81" w:rsidRDefault="003E1D81">
            <w:pPr>
              <w:spacing w:line="240" w:lineRule="auto"/>
              <w:jc w:val="center"/>
              <w:rPr>
                <w:rFonts w:ascii="Times New Roman" w:hAnsi="Times New Roman" w:cs="Times New Roman"/>
                <w:noProof/>
                <w:sz w:val="18"/>
              </w:rPr>
            </w:pPr>
          </w:p>
        </w:tc>
        <w:tc>
          <w:tcPr>
            <w:tcW w:w="567" w:type="dxa"/>
            <w:shd w:val="clear" w:color="auto" w:fill="C6EFCE"/>
            <w:noWrap/>
          </w:tcPr>
          <w:p w14:paraId="60DA5AA9" w14:textId="67449F47" w:rsidR="003E1D81" w:rsidRDefault="00EB481C">
            <w:pPr>
              <w:pStyle w:val="P68B1DB1-Normal13"/>
              <w:spacing w:line="240" w:lineRule="auto"/>
              <w:jc w:val="center"/>
              <w:rPr>
                <w:rFonts w:cs="Times New Roman"/>
                <w:noProof/>
              </w:rPr>
            </w:pPr>
            <w:r>
              <w:rPr>
                <w:noProof/>
              </w:rPr>
              <w:t>50%</w:t>
            </w:r>
          </w:p>
        </w:tc>
        <w:tc>
          <w:tcPr>
            <w:tcW w:w="683" w:type="dxa"/>
            <w:shd w:val="clear" w:color="auto" w:fill="C6EFCE"/>
            <w:noWrap/>
          </w:tcPr>
          <w:p w14:paraId="33D4E800" w14:textId="43CEC337" w:rsidR="003E1D81" w:rsidRDefault="00EB481C">
            <w:pPr>
              <w:pStyle w:val="P68B1DB1-Normal13"/>
              <w:spacing w:line="240" w:lineRule="auto"/>
              <w:jc w:val="right"/>
              <w:rPr>
                <w:rFonts w:cs="Times New Roman"/>
                <w:noProof/>
              </w:rPr>
            </w:pPr>
            <w:r>
              <w:rPr>
                <w:noProof/>
              </w:rPr>
              <w:t>100%-OS</w:t>
            </w:r>
          </w:p>
        </w:tc>
        <w:tc>
          <w:tcPr>
            <w:tcW w:w="621" w:type="dxa"/>
            <w:shd w:val="clear" w:color="auto" w:fill="C6EFCE"/>
            <w:noWrap/>
          </w:tcPr>
          <w:p w14:paraId="09D52357" w14:textId="3BFB3944" w:rsidR="003E1D81" w:rsidRDefault="00EB481C">
            <w:pPr>
              <w:pStyle w:val="P68B1DB1-Normal13"/>
              <w:spacing w:line="240" w:lineRule="auto"/>
              <w:jc w:val="center"/>
              <w:rPr>
                <w:rFonts w:eastAsia="Times New Roman" w:cs="Times New Roman"/>
                <w:noProof/>
              </w:rPr>
            </w:pPr>
            <w:r>
              <w:rPr>
                <w:noProof/>
              </w:rPr>
              <w:t>NEGYEDÉV</w:t>
            </w:r>
          </w:p>
        </w:tc>
        <w:tc>
          <w:tcPr>
            <w:tcW w:w="527" w:type="dxa"/>
            <w:shd w:val="clear" w:color="auto" w:fill="C6EFCE"/>
            <w:noWrap/>
          </w:tcPr>
          <w:p w14:paraId="50B98431" w14:textId="77777777" w:rsidR="003E1D81" w:rsidRDefault="00EB481C">
            <w:pPr>
              <w:pStyle w:val="P68B1DB1-Normal13"/>
              <w:spacing w:line="240" w:lineRule="auto"/>
              <w:jc w:val="center"/>
              <w:rPr>
                <w:rFonts w:eastAsia="Times New Roman" w:cs="Times New Roman"/>
                <w:noProof/>
              </w:rPr>
            </w:pPr>
            <w:r>
              <w:rPr>
                <w:noProof/>
              </w:rPr>
              <w:t>2026</w:t>
            </w:r>
          </w:p>
        </w:tc>
        <w:tc>
          <w:tcPr>
            <w:tcW w:w="6249" w:type="dxa"/>
            <w:shd w:val="clear" w:color="auto" w:fill="C6EFCE"/>
            <w:noWrap/>
          </w:tcPr>
          <w:p w14:paraId="78111F7E" w14:textId="3E1B1229" w:rsidR="003E1D81" w:rsidRDefault="00EB481C">
            <w:pPr>
              <w:pStyle w:val="P68B1DB1-Normal13"/>
              <w:spacing w:line="257" w:lineRule="auto"/>
              <w:rPr>
                <w:rFonts w:eastAsia="Times New Roman" w:cs="Times New Roman"/>
                <w:noProof/>
              </w:rPr>
            </w:pPr>
            <w:r>
              <w:rPr>
                <w:noProof/>
              </w:rPr>
              <w:t xml:space="preserve">Az ICO/Axis, valamint az ICO által kiválasztott </w:t>
            </w:r>
            <w:r>
              <w:rPr>
                <w:noProof/>
              </w:rPr>
              <w:t>közvetítők jogi finanszírozási megállapodásokat kötöttek a végső kedvezményezettekkel a Helyreállítási és Rezilienciaépítési Eszközbe történő beruházás 100%-ának felhasználásához szükséges összegre vonatkozóan (figyelembe véve az irányítási díjakat). A fin</w:t>
            </w:r>
            <w:r>
              <w:rPr>
                <w:noProof/>
              </w:rPr>
              <w:t>anszírozás legalább 10%-ának a tőkealapokkal aláírt finanszírozási megállapodásoknak, legalább 50%-ának pedig a végső kedvezményezettekkel kötött finanszírozási megállapodásoknak kell megfelelnie az összes többi befektetési termék tekintetében (beleértve a</w:t>
            </w:r>
            <w:r>
              <w:rPr>
                <w:noProof/>
              </w:rPr>
              <w:t xml:space="preserve"> végrehajtó partner közvetlen tőkebefektetéseit is). Az ICO azt is biztosította, hogy e finanszírozás 100%-a a Helyreállítási és Rezilienciaépítési Eszközről szóló rendelet VII. mellékletében szereplő módszertan alkalmazásával hozzájáruljon a digitális cél</w:t>
            </w:r>
            <w:r>
              <w:rPr>
                <w:noProof/>
              </w:rPr>
              <w:t>kitűzésekhez.</w:t>
            </w:r>
          </w:p>
        </w:tc>
      </w:tr>
      <w:tr w:rsidR="003E1D81" w14:paraId="031FE21A" w14:textId="77777777">
        <w:trPr>
          <w:trHeight w:val="309"/>
        </w:trPr>
        <w:tc>
          <w:tcPr>
            <w:tcW w:w="729" w:type="dxa"/>
            <w:shd w:val="clear" w:color="auto" w:fill="C6EFCE"/>
            <w:noWrap/>
          </w:tcPr>
          <w:p w14:paraId="3AE3439B" w14:textId="509D1C0F" w:rsidR="003E1D81" w:rsidRDefault="00EB481C">
            <w:pPr>
              <w:pStyle w:val="P68B1DB1-Normal13"/>
              <w:spacing w:line="240" w:lineRule="auto"/>
              <w:jc w:val="center"/>
              <w:rPr>
                <w:rFonts w:eastAsia="Times New Roman" w:cs="Times New Roman"/>
                <w:noProof/>
              </w:rPr>
            </w:pPr>
            <w:r>
              <w:rPr>
                <w:noProof/>
              </w:rPr>
              <w:t>L80.</w:t>
            </w:r>
          </w:p>
        </w:tc>
        <w:tc>
          <w:tcPr>
            <w:tcW w:w="752" w:type="dxa"/>
            <w:shd w:val="clear" w:color="auto" w:fill="C6EFCE"/>
            <w:noWrap/>
          </w:tcPr>
          <w:p w14:paraId="3BA5672D" w14:textId="77777777" w:rsidR="003E1D81" w:rsidRDefault="00EB481C">
            <w:pPr>
              <w:pStyle w:val="P68B1DB1-Normal13"/>
              <w:spacing w:line="240" w:lineRule="auto"/>
              <w:jc w:val="center"/>
              <w:rPr>
                <w:rFonts w:cs="Times New Roman"/>
                <w:noProof/>
              </w:rPr>
            </w:pPr>
            <w:r>
              <w:rPr>
                <w:noProof/>
              </w:rPr>
              <w:t>C25.I3</w:t>
            </w:r>
          </w:p>
        </w:tc>
        <w:tc>
          <w:tcPr>
            <w:tcW w:w="851" w:type="dxa"/>
            <w:shd w:val="clear" w:color="auto" w:fill="C6EFCE"/>
            <w:noWrap/>
          </w:tcPr>
          <w:p w14:paraId="53740954" w14:textId="77777777" w:rsidR="003E1D81" w:rsidRDefault="00EB481C">
            <w:pPr>
              <w:pStyle w:val="P68B1DB1-Normal13"/>
              <w:spacing w:line="240" w:lineRule="auto"/>
              <w:jc w:val="center"/>
              <w:rPr>
                <w:rFonts w:eastAsia="Times New Roman" w:cs="Times New Roman"/>
                <w:noProof/>
              </w:rPr>
            </w:pPr>
            <w:r>
              <w:rPr>
                <w:noProof/>
              </w:rPr>
              <w:t>M</w:t>
            </w:r>
          </w:p>
        </w:tc>
        <w:tc>
          <w:tcPr>
            <w:tcW w:w="2144" w:type="dxa"/>
            <w:shd w:val="clear" w:color="auto" w:fill="C6EFCE"/>
            <w:noWrap/>
          </w:tcPr>
          <w:p w14:paraId="2596CF82" w14:textId="7C574AC4" w:rsidR="003E1D81" w:rsidRDefault="00EB481C">
            <w:pPr>
              <w:pStyle w:val="P68B1DB1-Normal13"/>
              <w:spacing w:line="240" w:lineRule="auto"/>
              <w:rPr>
                <w:rFonts w:eastAsia="Times New Roman" w:cs="Times New Roman"/>
                <w:noProof/>
              </w:rPr>
            </w:pPr>
            <w:r>
              <w:rPr>
                <w:noProof/>
              </w:rPr>
              <w:t xml:space="preserve">ICO Audiovizuális Platformalap: A minisztérium befejezte a beruházást </w:t>
            </w:r>
          </w:p>
        </w:tc>
        <w:tc>
          <w:tcPr>
            <w:tcW w:w="1124" w:type="dxa"/>
            <w:shd w:val="clear" w:color="auto" w:fill="C6EFCE"/>
            <w:noWrap/>
          </w:tcPr>
          <w:p w14:paraId="25A36899" w14:textId="77777777" w:rsidR="003E1D81" w:rsidRDefault="003E1D81">
            <w:pPr>
              <w:spacing w:line="240" w:lineRule="auto"/>
              <w:jc w:val="center"/>
              <w:rPr>
                <w:rFonts w:ascii="Times New Roman" w:eastAsia="Times New Roman" w:hAnsi="Times New Roman" w:cs="Times New Roman"/>
                <w:noProof/>
                <w:sz w:val="18"/>
              </w:rPr>
            </w:pPr>
          </w:p>
        </w:tc>
        <w:tc>
          <w:tcPr>
            <w:tcW w:w="746" w:type="dxa"/>
            <w:shd w:val="clear" w:color="auto" w:fill="C6EFCE"/>
            <w:noWrap/>
          </w:tcPr>
          <w:p w14:paraId="08F07C2B" w14:textId="5D61538D" w:rsidR="003E1D81" w:rsidRDefault="00EB481C">
            <w:pPr>
              <w:pStyle w:val="P68B1DB1-Normal13"/>
              <w:tabs>
                <w:tab w:val="left" w:pos="210"/>
                <w:tab w:val="center" w:pos="291"/>
              </w:tabs>
              <w:spacing w:after="0" w:line="240" w:lineRule="auto"/>
              <w:jc w:val="center"/>
              <w:rPr>
                <w:rFonts w:cs="Times New Roman"/>
                <w:noProof/>
              </w:rPr>
            </w:pPr>
            <w:r>
              <w:rPr>
                <w:noProof/>
              </w:rPr>
              <w:t>Millió EUR</w:t>
            </w:r>
          </w:p>
        </w:tc>
        <w:tc>
          <w:tcPr>
            <w:tcW w:w="567" w:type="dxa"/>
            <w:shd w:val="clear" w:color="auto" w:fill="C6EFCE"/>
            <w:noWrap/>
          </w:tcPr>
          <w:p w14:paraId="0CD83525" w14:textId="680D76AB" w:rsidR="003E1D81" w:rsidRDefault="00EB481C">
            <w:pPr>
              <w:pStyle w:val="P68B1DB1-Normal13"/>
              <w:tabs>
                <w:tab w:val="left" w:pos="210"/>
                <w:tab w:val="center" w:pos="291"/>
              </w:tabs>
              <w:spacing w:after="0" w:line="240" w:lineRule="auto"/>
              <w:jc w:val="center"/>
              <w:rPr>
                <w:rFonts w:cs="Times New Roman"/>
                <w:noProof/>
              </w:rPr>
            </w:pPr>
            <w:r>
              <w:rPr>
                <w:noProof/>
              </w:rPr>
              <w:t>0</w:t>
            </w:r>
          </w:p>
        </w:tc>
        <w:tc>
          <w:tcPr>
            <w:tcW w:w="683" w:type="dxa"/>
            <w:shd w:val="clear" w:color="auto" w:fill="C6EFCE"/>
            <w:noWrap/>
          </w:tcPr>
          <w:p w14:paraId="5D7B96C5" w14:textId="011C2A51" w:rsidR="003E1D81" w:rsidRDefault="00EB481C">
            <w:pPr>
              <w:pStyle w:val="P68B1DB1-Normal13"/>
              <w:tabs>
                <w:tab w:val="left" w:pos="210"/>
                <w:tab w:val="center" w:pos="291"/>
              </w:tabs>
              <w:spacing w:after="0" w:line="240" w:lineRule="auto"/>
              <w:jc w:val="center"/>
              <w:rPr>
                <w:rFonts w:cs="Times New Roman"/>
                <w:noProof/>
              </w:rPr>
            </w:pPr>
            <w:r>
              <w:rPr>
                <w:noProof/>
              </w:rPr>
              <w:t xml:space="preserve">1 712 </w:t>
            </w:r>
          </w:p>
        </w:tc>
        <w:tc>
          <w:tcPr>
            <w:tcW w:w="621" w:type="dxa"/>
            <w:shd w:val="clear" w:color="auto" w:fill="C6EFCE"/>
            <w:noWrap/>
          </w:tcPr>
          <w:p w14:paraId="6953E499" w14:textId="2FD0AE03" w:rsidR="003E1D81" w:rsidRDefault="00EB481C">
            <w:pPr>
              <w:pStyle w:val="P68B1DB1-Normal13"/>
              <w:tabs>
                <w:tab w:val="left" w:pos="210"/>
                <w:tab w:val="center" w:pos="291"/>
              </w:tabs>
              <w:spacing w:after="0" w:line="240" w:lineRule="auto"/>
              <w:jc w:val="center"/>
              <w:rPr>
                <w:rFonts w:cs="Times New Roman"/>
                <w:noProof/>
              </w:rPr>
            </w:pPr>
            <w:r>
              <w:rPr>
                <w:noProof/>
              </w:rPr>
              <w:t>NEGYEDÉV</w:t>
            </w:r>
          </w:p>
        </w:tc>
        <w:tc>
          <w:tcPr>
            <w:tcW w:w="527" w:type="dxa"/>
            <w:shd w:val="clear" w:color="auto" w:fill="C6EFCE"/>
            <w:noWrap/>
          </w:tcPr>
          <w:p w14:paraId="5275A409" w14:textId="77777777" w:rsidR="003E1D81" w:rsidRDefault="00EB481C">
            <w:pPr>
              <w:pStyle w:val="P68B1DB1-Normal13"/>
              <w:spacing w:line="240" w:lineRule="auto"/>
              <w:jc w:val="center"/>
              <w:rPr>
                <w:rFonts w:eastAsia="Times New Roman" w:cs="Times New Roman"/>
                <w:noProof/>
              </w:rPr>
            </w:pPr>
            <w:r>
              <w:rPr>
                <w:noProof/>
              </w:rPr>
              <w:t>2026</w:t>
            </w:r>
          </w:p>
        </w:tc>
        <w:tc>
          <w:tcPr>
            <w:tcW w:w="6249" w:type="dxa"/>
            <w:shd w:val="clear" w:color="auto" w:fill="C6EFCE"/>
            <w:noWrap/>
          </w:tcPr>
          <w:p w14:paraId="0622E10A" w14:textId="4E99A256" w:rsidR="003E1D81" w:rsidRDefault="00EB481C">
            <w:pPr>
              <w:pStyle w:val="P68B1DB1-Normal13"/>
              <w:spacing w:line="240" w:lineRule="auto"/>
              <w:rPr>
                <w:rFonts w:eastAsia="Times New Roman" w:cs="Times New Roman"/>
                <w:noProof/>
              </w:rPr>
            </w:pPr>
            <w:r>
              <w:rPr>
                <w:noProof/>
              </w:rPr>
              <w:t>Spanyolország 1 712 000 000 EUR-t utal át az ICO-nak a Békekeretre.</w:t>
            </w:r>
          </w:p>
        </w:tc>
      </w:tr>
    </w:tbl>
    <w:p w14:paraId="7931AC06" w14:textId="77777777" w:rsidR="003E1D81" w:rsidRDefault="003E1D81">
      <w:pPr>
        <w:rPr>
          <w:rFonts w:ascii="Times New Roman" w:hAnsi="Times New Roman" w:cs="Times New Roman"/>
          <w:noProof/>
        </w:rPr>
      </w:pPr>
    </w:p>
    <w:p w14:paraId="01A16550" w14:textId="77777777" w:rsidR="003E1D81" w:rsidRDefault="003E1D81">
      <w:pPr>
        <w:pStyle w:val="Text1"/>
        <w:rPr>
          <w:rFonts w:ascii="Times New Roman" w:hAnsi="Times New Roman" w:cs="Times New Roman"/>
          <w:noProof/>
        </w:rPr>
        <w:sectPr w:rsidR="003E1D81" w:rsidSect="00C94F66">
          <w:headerReference w:type="even" r:id="rId489"/>
          <w:headerReference w:type="default" r:id="rId490"/>
          <w:footerReference w:type="even" r:id="rId491"/>
          <w:footerReference w:type="default" r:id="rId492"/>
          <w:headerReference w:type="first" r:id="rId493"/>
          <w:footerReference w:type="first" r:id="rId494"/>
          <w:pgSz w:w="16839" w:h="11907" w:orient="landscape"/>
          <w:pgMar w:top="1417" w:right="1134" w:bottom="1417" w:left="1134" w:header="709" w:footer="709" w:gutter="0"/>
          <w:cols w:space="720"/>
          <w:docGrid w:linePitch="360"/>
        </w:sectPr>
      </w:pPr>
    </w:p>
    <w:p w14:paraId="27B84D4F" w14:textId="77777777" w:rsidR="003E1D81" w:rsidRDefault="00EB481C">
      <w:pPr>
        <w:pStyle w:val="P68B1DB1-Heading12"/>
        <w:rPr>
          <w:rFonts w:cs="Times New Roman"/>
          <w:noProof/>
        </w:rPr>
      </w:pPr>
      <w:r>
        <w:rPr>
          <w:noProof/>
        </w:rPr>
        <w:t xml:space="preserve">Z. 26. ÖSSZETEVŐ: A sportösztönzés </w:t>
      </w:r>
    </w:p>
    <w:p w14:paraId="647A9FB9" w14:textId="77777777" w:rsidR="003E1D81" w:rsidRDefault="00EB481C">
      <w:pPr>
        <w:pStyle w:val="P68B1DB1-Text119"/>
        <w:ind w:left="0"/>
        <w:rPr>
          <w:rFonts w:cs="Times New Roman"/>
          <w:noProof/>
        </w:rPr>
      </w:pPr>
      <w:r>
        <w:rPr>
          <w:noProof/>
        </w:rPr>
        <w:t>A spanyol helyreállítási és rezilienciaépítési terv szerint a sportágazat Spanyolországban a GDP 3,1%-át teszi ki, és közvetlenül vagy közvetve az ország teljes foglalkoztatásának 2,1%-át biztos</w:t>
      </w:r>
      <w:r>
        <w:rPr>
          <w:noProof/>
        </w:rPr>
        <w:t xml:space="preserve">ítja. </w:t>
      </w:r>
    </w:p>
    <w:p w14:paraId="4F4E613F" w14:textId="77777777" w:rsidR="003E1D81" w:rsidRDefault="00EB481C">
      <w:pPr>
        <w:pStyle w:val="P68B1DB1-Text119"/>
        <w:ind w:left="0"/>
        <w:rPr>
          <w:rFonts w:cs="Times New Roman"/>
          <w:noProof/>
        </w:rPr>
      </w:pPr>
      <w:r>
        <w:rPr>
          <w:noProof/>
        </w:rPr>
        <w:t>A spanyol helyreállítási és rezilienciaépítési terv ezen komponensének fő célkitűzése a sportágazat átalakításának fokozása a sportszervezetek digitalizálása és a sportlétesítmények környezeti fenntarthatóságának és hozzáférhetőségének biztosítása é</w:t>
      </w:r>
      <w:r>
        <w:rPr>
          <w:noProof/>
        </w:rPr>
        <w:t xml:space="preserve">rdekében történő korszerűsítése révén. Támogatja továbbá az egészségügyi célú sport előmozdítását, különösen az elnéptelenedés kockázatának kitett területeken a testmozgáshoz való jobb hozzáférés, valamint az e területen végzett kutatások révén. Végezetül </w:t>
      </w:r>
      <w:r>
        <w:rPr>
          <w:noProof/>
        </w:rPr>
        <w:t>a komponensnek célzott beruházásokat kell tartalmaznia a nők hivatásos és amatőr sportban való részvételének előmozdítására.</w:t>
      </w:r>
    </w:p>
    <w:p w14:paraId="0CF598BD" w14:textId="3500705E" w:rsidR="003E1D81" w:rsidRDefault="00EB481C">
      <w:pPr>
        <w:pStyle w:val="P68B1DB1-Normal4"/>
        <w:tabs>
          <w:tab w:val="left" w:pos="1134"/>
        </w:tabs>
        <w:spacing w:before="120" w:after="120" w:line="240" w:lineRule="auto"/>
        <w:jc w:val="both"/>
        <w:rPr>
          <w:rFonts w:cs="Times New Roman"/>
          <w:noProof/>
        </w:rPr>
      </w:pPr>
      <w:r>
        <w:rPr>
          <w:noProof/>
        </w:rPr>
        <w:t xml:space="preserve">A komponens az innovációba és az energiahatékonyságba történő beruházások előmozdításáról (2019. évi 3. országspecifikus ajánlás), </w:t>
      </w:r>
      <w:r>
        <w:rPr>
          <w:noProof/>
        </w:rPr>
        <w:t>a köz- és magánberuházások előmozdításáról és a zöld átállás előmozdításáról szóló országspecifikus ajánlásokkal foglalkozik (2023., 2022. és 3. országspecifikus ajánlás), valamint az egészségügyi rendszer rezilienciájának megerősítéséről (2020. évi 1. ors</w:t>
      </w:r>
      <w:r>
        <w:rPr>
          <w:noProof/>
        </w:rPr>
        <w:t>zágspecifikus ajánlás).</w:t>
      </w:r>
    </w:p>
    <w:p w14:paraId="44F13EE3" w14:textId="77777777" w:rsidR="003E1D81" w:rsidRDefault="00EB481C">
      <w:pPr>
        <w:pStyle w:val="P68B1DB1-Text119"/>
        <w:ind w:left="0"/>
        <w:rPr>
          <w:rFonts w:cs="Times New Roman"/>
          <w:noProof/>
        </w:rPr>
      </w:pPr>
      <w:r>
        <w:rPr>
          <w:noProof/>
        </w:rPr>
        <w:t>Ez a komponens támogatja és kiegészíti a terv más részeiben előirányzott intézkedéseket, például a 18. komponens (Az egészségügyi rendszer reformja) egészséges életmód előmozdítását célzó intézkedéseket. A meglévő sportinfrastruktúr</w:t>
      </w:r>
      <w:r>
        <w:rPr>
          <w:noProof/>
        </w:rPr>
        <w:t>ák optimalizálása és korszerűsítése révén kiegészíti a 2. komponens (korszerűsítés) keretében hozott intézkedéseket, és támogatja a spanyolországi idegenforgalmi ágazat átalakítását a 14. elemmel (Turizmus) összhangban.</w:t>
      </w:r>
    </w:p>
    <w:p w14:paraId="76065517" w14:textId="77777777" w:rsidR="003E1D81" w:rsidRDefault="00EB481C">
      <w:pPr>
        <w:pStyle w:val="P68B1DB1-Text119"/>
        <w:ind w:left="0"/>
        <w:rPr>
          <w:rFonts w:cs="Times New Roman"/>
          <w:noProof/>
        </w:rPr>
      </w:pPr>
      <w:r>
        <w:rPr>
          <w:noProof/>
        </w:rPr>
        <w:t>A jelentős károkozás elkerülését cél</w:t>
      </w:r>
      <w:r>
        <w:rPr>
          <w:noProof/>
        </w:rPr>
        <w:t>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w:t>
      </w:r>
      <w:r>
        <w:rPr>
          <w:noProof/>
        </w:rPr>
        <w:t xml:space="preserve"> komponensben várhatóan egyetlen intézkedés sem sérti jelentős mértékben az (EU) 2020/852 rendelet 17. cikke szerinti környezeti célkitűzéseket.</w:t>
      </w:r>
    </w:p>
    <w:p w14:paraId="6BFB5042" w14:textId="77777777" w:rsidR="003E1D81" w:rsidRDefault="00EB481C">
      <w:pPr>
        <w:pStyle w:val="P68B1DB1-Text138"/>
        <w:ind w:left="709"/>
        <w:rPr>
          <w:rFonts w:cs="Times New Roman"/>
          <w:i/>
          <w:noProof/>
        </w:rPr>
      </w:pPr>
      <w:r>
        <w:rPr>
          <w:noProof/>
        </w:rPr>
        <w:t xml:space="preserve">Z.1. </w:t>
      </w:r>
      <w:r>
        <w:rPr>
          <w:noProof/>
        </w:rPr>
        <w:tab/>
        <w:t>Vissza nem térítendő pénzügyi támogatás – a reformok és beruházások ismertetése</w:t>
      </w:r>
    </w:p>
    <w:p w14:paraId="2342EC63" w14:textId="77777777" w:rsidR="003E1D81" w:rsidRDefault="00EB481C">
      <w:pPr>
        <w:pStyle w:val="P68B1DB1-Normal6"/>
        <w:spacing w:line="240" w:lineRule="auto"/>
        <w:rPr>
          <w:rFonts w:cs="Times New Roman"/>
          <w:noProof/>
        </w:rPr>
      </w:pPr>
      <w:r>
        <w:rPr>
          <w:noProof/>
        </w:rPr>
        <w:t>Reform (C26.R1) – Sporttö</w:t>
      </w:r>
      <w:r>
        <w:rPr>
          <w:noProof/>
        </w:rPr>
        <w:t>rvény</w:t>
      </w:r>
    </w:p>
    <w:p w14:paraId="597367E8" w14:textId="77777777" w:rsidR="003E1D81" w:rsidRDefault="00EB481C">
      <w:pPr>
        <w:pStyle w:val="P68B1DB1-Normal4"/>
        <w:spacing w:line="240" w:lineRule="auto"/>
        <w:jc w:val="both"/>
        <w:rPr>
          <w:rFonts w:cs="Times New Roman"/>
          <w:noProof/>
        </w:rPr>
      </w:pPr>
      <w:r>
        <w:rPr>
          <w:noProof/>
        </w:rPr>
        <w:t xml:space="preserve">E jogalkotási intézkedés célja az egészség és a biztonság biztosítása a sport minden szintjén, a nemek közötti egyenlőséggel, a hozzáférhetőséggel és a társadalmi kohézióval kapcsolatos szempontok beépítése a sport szabályozásába, a sportszervezetek </w:t>
      </w:r>
      <w:r>
        <w:rPr>
          <w:noProof/>
        </w:rPr>
        <w:t>és -infrastruktúrák digitalizálás és ökológiai átalakulás révén történő korszerűsítése, valamint az ágazat nemzetközivé válásának előmozdítása. A jogszabálynak hozzá kell igazítania a sport szervezeti felépítését az előtte álló jelenlegi kihívásokhoz, figy</w:t>
      </w:r>
      <w:r>
        <w:rPr>
          <w:noProof/>
        </w:rPr>
        <w:t xml:space="preserve">elembe véve a világjárványból levont tanulságokat. </w:t>
      </w:r>
    </w:p>
    <w:p w14:paraId="3B66163C" w14:textId="77777777" w:rsidR="003E1D81" w:rsidRDefault="00EB481C">
      <w:pPr>
        <w:pStyle w:val="P68B1DB1-Normal4"/>
        <w:spacing w:line="240" w:lineRule="auto"/>
        <w:rPr>
          <w:rFonts w:cs="Times New Roman"/>
          <w:noProof/>
        </w:rPr>
      </w:pPr>
      <w:r>
        <w:rPr>
          <w:noProof/>
        </w:rPr>
        <w:t>Az intézkedés végrehajtását 2022. december 31-ig be kell fejezni.</w:t>
      </w:r>
    </w:p>
    <w:p w14:paraId="566FC54D" w14:textId="77777777" w:rsidR="003E1D81" w:rsidRDefault="00EB481C">
      <w:pPr>
        <w:pStyle w:val="P68B1DB1-Normal6"/>
        <w:spacing w:line="240" w:lineRule="auto"/>
        <w:rPr>
          <w:rFonts w:cs="Times New Roman"/>
          <w:noProof/>
        </w:rPr>
      </w:pPr>
      <w:r>
        <w:rPr>
          <w:noProof/>
        </w:rPr>
        <w:t>Reform (C26.R2) – A sportszakemberekről szóló törvény</w:t>
      </w:r>
    </w:p>
    <w:p w14:paraId="18F0FC15" w14:textId="77777777" w:rsidR="003E1D81" w:rsidRDefault="00EB481C">
      <w:pPr>
        <w:pStyle w:val="P68B1DB1-Normal4"/>
        <w:spacing w:line="240" w:lineRule="auto"/>
        <w:jc w:val="both"/>
        <w:rPr>
          <w:rFonts w:cs="Times New Roman"/>
          <w:noProof/>
        </w:rPr>
      </w:pPr>
      <w:r>
        <w:rPr>
          <w:noProof/>
        </w:rPr>
        <w:t>E jogalkotási intézkedés célja annak biztosítása, hogy az új sportszakmák szabályozá</w:t>
      </w:r>
      <w:r>
        <w:rPr>
          <w:noProof/>
        </w:rPr>
        <w:t>sa ne akadályozza a spanyol területen történő szolgáltatásnyújtást és letelepedést. Az intézkedésnek kezelnie kell a regionális szintű szabályozási heterogenitásból eredő kihívásokat (beleértve a régiók közötti eltérő hozzáférési követelményeket is). Az in</w:t>
      </w:r>
      <w:r>
        <w:rPr>
          <w:noProof/>
        </w:rPr>
        <w:t>tézkedésnek biztosítania kell az uniós jognak, különösen a szükségesség és az arányosság elvének való megfelelést.</w:t>
      </w:r>
    </w:p>
    <w:p w14:paraId="700374B0" w14:textId="77777777" w:rsidR="003E1D81" w:rsidRDefault="00EB481C">
      <w:pPr>
        <w:pStyle w:val="P68B1DB1-Normal4"/>
        <w:spacing w:line="240" w:lineRule="auto"/>
        <w:rPr>
          <w:rFonts w:cs="Times New Roman"/>
          <w:noProof/>
        </w:rPr>
      </w:pPr>
      <w:r>
        <w:rPr>
          <w:noProof/>
        </w:rPr>
        <w:t>Az intézkedés végrehajtását 2023. december 31-ig be kell fejezni.</w:t>
      </w:r>
    </w:p>
    <w:p w14:paraId="4FA07394" w14:textId="77777777" w:rsidR="003E1D81" w:rsidRDefault="00EB481C">
      <w:pPr>
        <w:pStyle w:val="P68B1DB1-Normal6"/>
        <w:keepNext/>
        <w:spacing w:line="240" w:lineRule="auto"/>
        <w:rPr>
          <w:rFonts w:cs="Times New Roman"/>
          <w:noProof/>
        </w:rPr>
      </w:pPr>
      <w:r>
        <w:rPr>
          <w:noProof/>
        </w:rPr>
        <w:t>Reform (C26.R3) – Nemzeti stratégia a sport előmozdítására</w:t>
      </w:r>
    </w:p>
    <w:p w14:paraId="597EE77B" w14:textId="77777777" w:rsidR="003E1D81" w:rsidRDefault="00EB481C">
      <w:pPr>
        <w:pStyle w:val="P68B1DB1-Normal4"/>
        <w:keepNext/>
        <w:spacing w:line="240" w:lineRule="auto"/>
        <w:jc w:val="both"/>
        <w:rPr>
          <w:rFonts w:cs="Times New Roman"/>
          <w:noProof/>
        </w:rPr>
      </w:pPr>
      <w:r>
        <w:rPr>
          <w:noProof/>
        </w:rPr>
        <w:t>E stratégia célj</w:t>
      </w:r>
      <w:r>
        <w:rPr>
          <w:noProof/>
        </w:rPr>
        <w:t>a, hogy előmozdítsa a sportolást annak érdekében, hogy elkerülhetők legyenek azok a negatív következmények, amelyeket az ülő életmód és a testmozgás hiánya gyakorolhat az egészségre és a jóllétre. Az intézkedés többek között a következőket foglalja magában</w:t>
      </w:r>
      <w:r>
        <w:rPr>
          <w:noProof/>
        </w:rPr>
        <w:t xml:space="preserve">: a bevált gyakorlatok és az egészséges szokások bevezetésére irányuló intézkedések; elemző eszköz a stratégia hatásának mérésére és javítására. </w:t>
      </w:r>
    </w:p>
    <w:p w14:paraId="7483370B" w14:textId="77777777" w:rsidR="003E1D81" w:rsidRDefault="00EB481C">
      <w:pPr>
        <w:pStyle w:val="P68B1DB1-Normal4"/>
        <w:spacing w:line="240" w:lineRule="auto"/>
        <w:rPr>
          <w:rFonts w:cs="Times New Roman"/>
          <w:noProof/>
        </w:rPr>
      </w:pPr>
      <w:r>
        <w:rPr>
          <w:noProof/>
        </w:rPr>
        <w:t xml:space="preserve">Az intézkedés végrehajtását 2023. december 31-ig be kell fejezni. </w:t>
      </w:r>
    </w:p>
    <w:p w14:paraId="68E38745" w14:textId="77777777" w:rsidR="003E1D81" w:rsidRDefault="00EB481C">
      <w:pPr>
        <w:pStyle w:val="P68B1DB1-Normal6"/>
        <w:spacing w:line="240" w:lineRule="auto"/>
        <w:rPr>
          <w:rFonts w:cs="Times New Roman"/>
          <w:noProof/>
        </w:rPr>
      </w:pPr>
      <w:r>
        <w:rPr>
          <w:noProof/>
        </w:rPr>
        <w:t xml:space="preserve">Beruházás (C26.I1) – Digitális sportterv </w:t>
      </w:r>
    </w:p>
    <w:p w14:paraId="7BC96004" w14:textId="77777777" w:rsidR="003E1D81" w:rsidRDefault="00EB481C">
      <w:pPr>
        <w:pStyle w:val="P68B1DB1-Normal4"/>
        <w:spacing w:line="240" w:lineRule="auto"/>
        <w:jc w:val="both"/>
        <w:rPr>
          <w:rFonts w:cs="Times New Roman"/>
          <w:noProof/>
        </w:rPr>
      </w:pPr>
      <w:r>
        <w:rPr>
          <w:noProof/>
        </w:rPr>
        <w:t>Ezen intézkedés célja a sportszövetségek digitalizálása, beleértve költségvetési gazdálkodásukat és a sportengedélyek megadására vonatkozó eljárásokat. Javítja továbbá a sportgyakorlatból származó adatok elemzését, többek között az egészséges életmód előmo</w:t>
      </w:r>
      <w:r>
        <w:rPr>
          <w:noProof/>
        </w:rPr>
        <w:t>zdítása és kutatási célok érdekében. Végezetül elősegíti a nyilvános sportorvosi központok digitalizálását és a dopping elleni küzdelmet.</w:t>
      </w:r>
    </w:p>
    <w:p w14:paraId="7775869D" w14:textId="0884DC29" w:rsidR="003E1D81" w:rsidRDefault="00EB481C">
      <w:pPr>
        <w:pStyle w:val="P68B1DB1-Normal4"/>
        <w:spacing w:line="240" w:lineRule="auto"/>
        <w:rPr>
          <w:rFonts w:cs="Times New Roman"/>
          <w:noProof/>
        </w:rPr>
      </w:pPr>
      <w:r>
        <w:rPr>
          <w:noProof/>
        </w:rPr>
        <w:t xml:space="preserve">A reform végrehajtását 2025. szeptember 30-ig be kell fejezni. </w:t>
      </w:r>
    </w:p>
    <w:p w14:paraId="72BA3D54" w14:textId="77777777" w:rsidR="003E1D81" w:rsidRDefault="00EB481C">
      <w:pPr>
        <w:pStyle w:val="P68B1DB1-Normal6"/>
        <w:spacing w:line="240" w:lineRule="auto"/>
        <w:rPr>
          <w:rFonts w:cs="Times New Roman"/>
          <w:noProof/>
        </w:rPr>
      </w:pPr>
      <w:r>
        <w:rPr>
          <w:noProof/>
        </w:rPr>
        <w:t xml:space="preserve"> Beruházás (C26.I2) – Terv a sportlétesítmények ökológ</w:t>
      </w:r>
      <w:r>
        <w:rPr>
          <w:noProof/>
        </w:rPr>
        <w:t xml:space="preserve">iai átállására </w:t>
      </w:r>
    </w:p>
    <w:p w14:paraId="6DCFA8F0" w14:textId="77777777" w:rsidR="003E1D81" w:rsidRDefault="00EB481C">
      <w:pPr>
        <w:pStyle w:val="P68B1DB1-Normal4"/>
        <w:spacing w:line="240" w:lineRule="auto"/>
        <w:jc w:val="both"/>
        <w:rPr>
          <w:rFonts w:cs="Times New Roman"/>
          <w:noProof/>
        </w:rPr>
      </w:pPr>
      <w:r>
        <w:rPr>
          <w:noProof/>
        </w:rPr>
        <w:t>Ezen intézkedés célja a meglévő sportlétesítmények korszerűsítése, beleértve azokat a sportlétesítményeket is, amelyek vonzhatják a turizmust és a nagy teljesítményű sportközpontokat. Ezt az optimális felhasználást szolgáló digitalizálásukk</w:t>
      </w:r>
      <w:r>
        <w:rPr>
          <w:noProof/>
        </w:rPr>
        <w:t>al és energiahatékonyságuk javításával kell elérni, ami várhatóan a primerenergia-igény legalább 30%-ának megfelelő megtakarítást eredményez. Az intézkedésnek a vidéki területeken is elő kell mozdítania a sportot azáltal, hogy megfigyelőhálózatot hoz létre</w:t>
      </w:r>
      <w:r>
        <w:rPr>
          <w:noProof/>
        </w:rPr>
        <w:t xml:space="preserve"> a testmozgás ösztönzésére. </w:t>
      </w:r>
    </w:p>
    <w:p w14:paraId="5290EEE8" w14:textId="27DBB257" w:rsidR="003E1D81" w:rsidRDefault="00EB481C">
      <w:pPr>
        <w:spacing w:line="240" w:lineRule="auto"/>
        <w:jc w:val="both"/>
        <w:rPr>
          <w:rFonts w:ascii="Times New Roman" w:hAnsi="Times New Roman" w:cs="Times New Roman"/>
          <w:noProof/>
          <w:sz w:val="24"/>
        </w:rPr>
      </w:pPr>
      <w:r>
        <w:rPr>
          <w:rFonts w:ascii="Times New Roman" w:hAnsi="Times New Roman"/>
          <w:noProof/>
          <w:sz w:val="24"/>
        </w:rPr>
        <w:t>Az ezen komponens keretében végrehajtott beruházásokra vonatkozó kiválasztási kritériumoknak legalább 106 000 000 EUR erejéig biztosítaniuk kell a 100%-os éghajlat-politikai nyomon követésnek való megfelelést. Az alkalmazott en</w:t>
      </w:r>
      <w:r>
        <w:rPr>
          <w:rFonts w:ascii="Times New Roman" w:hAnsi="Times New Roman"/>
          <w:noProof/>
          <w:sz w:val="24"/>
        </w:rPr>
        <w:t>ergiahatékonyság-javító mutatókat az épületek energiahatékonyságáról szóló, 2010. május 19-i 2010/31/EU európai parlamenti és tanácsi irányelv szerinti vonatkozó energiahatékonysági tanúsítványon keresztül kell akkreditálni.</w:t>
      </w:r>
      <w:r>
        <w:rPr>
          <w:rStyle w:val="FootnoteReference"/>
          <w:rFonts w:ascii="Times New Roman" w:hAnsi="Times New Roman" w:cs="Times New Roman"/>
          <w:noProof/>
          <w:sz w:val="24"/>
        </w:rPr>
        <w:footnoteReference w:id="211"/>
      </w:r>
    </w:p>
    <w:p w14:paraId="1D2A0D87" w14:textId="77777777" w:rsidR="003E1D81" w:rsidRDefault="00EB481C">
      <w:pPr>
        <w:pStyle w:val="P68B1DB1-Normal4"/>
        <w:spacing w:line="240" w:lineRule="auto"/>
        <w:rPr>
          <w:rFonts w:cs="Times New Roman"/>
          <w:noProof/>
        </w:rPr>
      </w:pPr>
      <w:r>
        <w:rPr>
          <w:noProof/>
        </w:rPr>
        <w:t>A beruházás végrehajtását 2025</w:t>
      </w:r>
      <w:r>
        <w:rPr>
          <w:noProof/>
        </w:rPr>
        <w:t xml:space="preserve">. december 31-ig be kell fejezni. </w:t>
      </w:r>
    </w:p>
    <w:p w14:paraId="7155C650" w14:textId="77777777" w:rsidR="003E1D81" w:rsidRDefault="00EB481C">
      <w:pPr>
        <w:pStyle w:val="P68B1DB1-Normal6"/>
        <w:spacing w:line="240" w:lineRule="auto"/>
        <w:rPr>
          <w:rFonts w:cs="Times New Roman"/>
          <w:noProof/>
        </w:rPr>
      </w:pPr>
      <w:r>
        <w:rPr>
          <w:noProof/>
        </w:rPr>
        <w:t>Beruházás (C26.I3) – Sportügyi szociális terv</w:t>
      </w:r>
    </w:p>
    <w:p w14:paraId="02A5D5D7" w14:textId="77777777" w:rsidR="003E1D81" w:rsidRDefault="00EB481C">
      <w:pPr>
        <w:pStyle w:val="P68B1DB1-Normal4"/>
        <w:spacing w:line="240" w:lineRule="auto"/>
        <w:jc w:val="both"/>
        <w:rPr>
          <w:rFonts w:cs="Times New Roman"/>
          <w:noProof/>
          <w:u w:val="single"/>
        </w:rPr>
      </w:pPr>
      <w:r>
        <w:rPr>
          <w:noProof/>
        </w:rPr>
        <w:t>Ezen intézkedés célja kettős. Egyrészt célja, hogy digitalizálásuk, energiahatékonyságuk és hozzáférhetőségük javítása révén korszerűsítse a meglévő sportlétesítményeket annak</w:t>
      </w:r>
      <w:r>
        <w:rPr>
          <w:noProof/>
        </w:rPr>
        <w:t xml:space="preserve"> érdekében, hogy Spanyolország ajánlatot tehessen nemzetközi sportversenyek megrendezésére. Másrészt célja a nők hivatásos sportokban való részvételének előmozdítása jelenlétük és láthatóságuk növelése, képzésük, valamint a női sportok, különösen a labdarú</w:t>
      </w:r>
      <w:r>
        <w:rPr>
          <w:noProof/>
        </w:rPr>
        <w:t>gás professzionalizálásának lehetővé tétele révén.</w:t>
      </w:r>
      <w:r>
        <w:rPr>
          <w:noProof/>
          <w:u w:val="single"/>
        </w:rPr>
        <w:t xml:space="preserve"> </w:t>
      </w:r>
    </w:p>
    <w:p w14:paraId="2F094670" w14:textId="77777777" w:rsidR="003E1D81" w:rsidRDefault="00EB481C">
      <w:pPr>
        <w:pStyle w:val="P68B1DB1-Normal4"/>
        <w:spacing w:line="240" w:lineRule="auto"/>
        <w:jc w:val="both"/>
        <w:rPr>
          <w:rFonts w:cs="Times New Roman"/>
          <w:noProof/>
        </w:rPr>
      </w:pPr>
      <w:r>
        <w:rPr>
          <w:noProof/>
        </w:rPr>
        <w:t>Az ezen komponens keretében végrehajtott beruházásokra vonatkozó kiválasztási kritériumoknak biztosítaniuk kell a 100%-os éghajlat-politikai nyomon követésnek való megfelelést a teljes beruházásból legalá</w:t>
      </w:r>
      <w:r>
        <w:rPr>
          <w:noProof/>
        </w:rPr>
        <w:t xml:space="preserve">bb 27 500 000 EUR értékben. Az alkalmazott energiahatékonyság-javító mutatókat az épületek energiahatékonyságáról szóló, 2010. május 19-i 2010/31/EU európai parlamenti és tanácsi irányelv szerinti vonatkozó energiahatékonysági tanúsítványon keresztül kell </w:t>
      </w:r>
      <w:r>
        <w:rPr>
          <w:noProof/>
        </w:rPr>
        <w:t>akkreditálni.</w:t>
      </w:r>
    </w:p>
    <w:p w14:paraId="11E00C69" w14:textId="77777777" w:rsidR="003E1D81" w:rsidRDefault="00EB481C">
      <w:pPr>
        <w:pStyle w:val="P68B1DB1-Normal4"/>
        <w:spacing w:line="240" w:lineRule="auto"/>
        <w:rPr>
          <w:rFonts w:cs="Times New Roman"/>
          <w:noProof/>
        </w:rPr>
      </w:pPr>
      <w:r>
        <w:rPr>
          <w:noProof/>
        </w:rPr>
        <w:t xml:space="preserve">A beruházás végrehajtását 2023. december 31-ig be kell fejezni. </w:t>
      </w:r>
    </w:p>
    <w:p w14:paraId="5B48DAD4" w14:textId="77777777" w:rsidR="003E1D81" w:rsidRDefault="00EB481C">
      <w:pPr>
        <w:pStyle w:val="P68B1DB1-Text138"/>
        <w:ind w:left="720"/>
        <w:rPr>
          <w:rFonts w:cs="Times New Roman"/>
          <w:noProof/>
        </w:rPr>
      </w:pPr>
      <w:r>
        <w:rPr>
          <w:noProof/>
        </w:rPr>
        <w:t xml:space="preserve">Z.2. </w:t>
      </w:r>
      <w:r>
        <w:rPr>
          <w:noProof/>
        </w:rPr>
        <w:tab/>
        <w:t>Vissza nem térítendő pénzügyi támogatás – a végrehajtáshoz és a nyomon követéshez kapcsolódó mérföldkövek, célok, mutatók és ütemterv</w:t>
      </w:r>
    </w:p>
    <w:p w14:paraId="14FFEA2F" w14:textId="77777777" w:rsidR="003E1D81" w:rsidRDefault="00EB481C">
      <w:pPr>
        <w:pStyle w:val="P68B1DB1-Text140"/>
        <w:ind w:left="0"/>
        <w:rPr>
          <w:rFonts w:cs="Times New Roman"/>
          <w:b/>
          <w:noProof/>
          <w:u w:val="single"/>
        </w:rPr>
      </w:pPr>
      <w:r>
        <w:rPr>
          <w:noProof/>
        </w:rPr>
        <w:t xml:space="preserve">Táblázat alább. Az alapforgatókönyv </w:t>
      </w:r>
      <w:r>
        <w:rPr>
          <w:noProof/>
        </w:rPr>
        <w:t>valamennyi mutató esetében 2020. február 1-je, kivéve, ha az intézkedés leírása másként jelzi. A táblázatban szereplő összegek tartalmazzák a héát.</w:t>
      </w:r>
    </w:p>
    <w:p w14:paraId="38C7C785" w14:textId="77777777" w:rsidR="003E1D81" w:rsidRDefault="003E1D81">
      <w:pPr>
        <w:pStyle w:val="Text1"/>
        <w:ind w:left="0"/>
        <w:rPr>
          <w:rFonts w:ascii="Times New Roman" w:hAnsi="Times New Roman" w:cs="Times New Roman"/>
          <w:noProof/>
        </w:rPr>
        <w:sectPr w:rsidR="003E1D81" w:rsidSect="00C94F66">
          <w:headerReference w:type="even" r:id="rId495"/>
          <w:headerReference w:type="default" r:id="rId496"/>
          <w:footerReference w:type="even" r:id="rId497"/>
          <w:footerReference w:type="default" r:id="rId498"/>
          <w:headerReference w:type="first" r:id="rId499"/>
          <w:footerReference w:type="first" r:id="rId500"/>
          <w:pgSz w:w="11907" w:h="16839"/>
          <w:pgMar w:top="1134" w:right="1417" w:bottom="1134" w:left="1417" w:header="709" w:footer="709" w:gutter="0"/>
          <w:cols w:space="720"/>
          <w:docGrid w:linePitch="360"/>
        </w:sectPr>
      </w:pPr>
    </w:p>
    <w:p w14:paraId="633E06DE" w14:textId="77777777" w:rsidR="003E1D81" w:rsidRDefault="003E1D81">
      <w:pPr>
        <w:pStyle w:val="Text1"/>
        <w:ind w:left="0"/>
        <w:rPr>
          <w:rFonts w:ascii="Times New Roman" w:hAnsi="Times New Roman" w:cs="Times New Roman"/>
          <w:noProof/>
          <w:sz w:val="20"/>
        </w:rPr>
      </w:pPr>
    </w:p>
    <w:tbl>
      <w:tblPr>
        <w:tblpPr w:leftFromText="180" w:rightFromText="180" w:vertAnchor="text" w:tblpXSpec="right" w:tblpY="1"/>
        <w:tblOverlap w:val="neve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3"/>
        <w:gridCol w:w="845"/>
        <w:gridCol w:w="844"/>
        <w:gridCol w:w="2533"/>
        <w:gridCol w:w="1407"/>
        <w:gridCol w:w="986"/>
        <w:gridCol w:w="1266"/>
        <w:gridCol w:w="845"/>
        <w:gridCol w:w="422"/>
        <w:gridCol w:w="563"/>
        <w:gridCol w:w="4754"/>
        <w:gridCol w:w="29"/>
      </w:tblGrid>
      <w:tr w:rsidR="003E1D81" w14:paraId="5823193C" w14:textId="77777777">
        <w:trPr>
          <w:gridAfter w:val="1"/>
          <w:wAfter w:w="29" w:type="dxa"/>
          <w:trHeight w:val="309"/>
          <w:tblHeader/>
        </w:trPr>
        <w:tc>
          <w:tcPr>
            <w:tcW w:w="703" w:type="dxa"/>
            <w:tcBorders>
              <w:bottom w:val="nil"/>
            </w:tcBorders>
            <w:shd w:val="clear" w:color="auto" w:fill="C6D9F1" w:themeFill="text2" w:themeFillTint="33"/>
            <w:noWrap/>
            <w:vAlign w:val="center"/>
          </w:tcPr>
          <w:p w14:paraId="5D9A4C69" w14:textId="77777777" w:rsidR="003E1D81" w:rsidRDefault="00EB481C">
            <w:pPr>
              <w:pStyle w:val="P68B1DB1-Normal12"/>
              <w:spacing w:after="0"/>
              <w:jc w:val="center"/>
              <w:rPr>
                <w:rFonts w:cs="Times New Roman"/>
                <w:noProof/>
              </w:rPr>
            </w:pPr>
            <w:r>
              <w:rPr>
                <w:noProof/>
              </w:rPr>
              <w:t>Szám</w:t>
            </w:r>
          </w:p>
        </w:tc>
        <w:tc>
          <w:tcPr>
            <w:tcW w:w="845" w:type="dxa"/>
            <w:tcBorders>
              <w:bottom w:val="nil"/>
            </w:tcBorders>
            <w:shd w:val="clear" w:color="auto" w:fill="C6D9F1" w:themeFill="text2" w:themeFillTint="33"/>
            <w:noWrap/>
            <w:vAlign w:val="center"/>
          </w:tcPr>
          <w:p w14:paraId="03724937" w14:textId="77777777" w:rsidR="003E1D81" w:rsidRDefault="00EB481C">
            <w:pPr>
              <w:pStyle w:val="P68B1DB1-Normal12"/>
              <w:spacing w:after="0"/>
              <w:jc w:val="center"/>
              <w:rPr>
                <w:rFonts w:cs="Times New Roman"/>
                <w:noProof/>
              </w:rPr>
            </w:pPr>
            <w:r>
              <w:rPr>
                <w:noProof/>
              </w:rPr>
              <w:t>Intézkedés</w:t>
            </w:r>
          </w:p>
        </w:tc>
        <w:tc>
          <w:tcPr>
            <w:tcW w:w="844" w:type="dxa"/>
            <w:tcBorders>
              <w:bottom w:val="nil"/>
            </w:tcBorders>
            <w:shd w:val="clear" w:color="auto" w:fill="C6D9F1" w:themeFill="text2" w:themeFillTint="33"/>
            <w:noWrap/>
            <w:vAlign w:val="center"/>
          </w:tcPr>
          <w:p w14:paraId="526F7A20" w14:textId="77777777" w:rsidR="003E1D81" w:rsidRDefault="00EB481C">
            <w:pPr>
              <w:pStyle w:val="P68B1DB1-Normal12"/>
              <w:spacing w:after="0"/>
              <w:jc w:val="center"/>
              <w:rPr>
                <w:rFonts w:cs="Times New Roman"/>
                <w:noProof/>
              </w:rPr>
            </w:pPr>
            <w:r>
              <w:rPr>
                <w:noProof/>
              </w:rPr>
              <w:t>Mérföldkő</w:t>
            </w:r>
            <w:r>
              <w:rPr>
                <w:noProof/>
              </w:rPr>
              <w:br/>
              <w:t xml:space="preserve"> /Cél</w:t>
            </w:r>
          </w:p>
        </w:tc>
        <w:tc>
          <w:tcPr>
            <w:tcW w:w="2533" w:type="dxa"/>
            <w:tcBorders>
              <w:bottom w:val="nil"/>
            </w:tcBorders>
            <w:shd w:val="clear" w:color="auto" w:fill="C6D9F1" w:themeFill="text2" w:themeFillTint="33"/>
            <w:noWrap/>
            <w:vAlign w:val="center"/>
          </w:tcPr>
          <w:p w14:paraId="19AD11D7" w14:textId="77777777" w:rsidR="003E1D81" w:rsidRDefault="003E1D81">
            <w:pPr>
              <w:spacing w:after="0"/>
              <w:jc w:val="center"/>
              <w:rPr>
                <w:rFonts w:ascii="Times New Roman" w:hAnsi="Times New Roman" w:cs="Times New Roman"/>
                <w:b/>
                <w:noProof/>
                <w:sz w:val="18"/>
              </w:rPr>
            </w:pPr>
          </w:p>
          <w:p w14:paraId="1F923462" w14:textId="77777777" w:rsidR="003E1D81" w:rsidRDefault="00EB481C">
            <w:pPr>
              <w:pStyle w:val="P68B1DB1-Normal12"/>
              <w:spacing w:after="0"/>
              <w:jc w:val="center"/>
              <w:rPr>
                <w:rFonts w:cs="Times New Roman"/>
                <w:noProof/>
              </w:rPr>
            </w:pPr>
            <w:r>
              <w:rPr>
                <w:noProof/>
              </w:rPr>
              <w:t>Név</w:t>
            </w:r>
          </w:p>
        </w:tc>
        <w:tc>
          <w:tcPr>
            <w:tcW w:w="1407" w:type="dxa"/>
            <w:tcBorders>
              <w:bottom w:val="nil"/>
            </w:tcBorders>
            <w:shd w:val="clear" w:color="auto" w:fill="C6D9F1" w:themeFill="text2" w:themeFillTint="33"/>
            <w:noWrap/>
            <w:vAlign w:val="center"/>
          </w:tcPr>
          <w:p w14:paraId="46F04DD2" w14:textId="77777777" w:rsidR="003E1D81" w:rsidRDefault="00EB481C">
            <w:pPr>
              <w:pStyle w:val="P68B1DB1-Normal12"/>
              <w:spacing w:after="0"/>
              <w:jc w:val="center"/>
              <w:rPr>
                <w:rFonts w:cs="Times New Roman"/>
                <w:noProof/>
              </w:rPr>
            </w:pPr>
            <w:r>
              <w:rPr>
                <w:noProof/>
              </w:rPr>
              <w:t xml:space="preserve">A </w:t>
            </w:r>
            <w:r>
              <w:rPr>
                <w:noProof/>
              </w:rPr>
              <w:t>mérföldkövek minőségi mutatója</w:t>
            </w:r>
          </w:p>
        </w:tc>
        <w:tc>
          <w:tcPr>
            <w:tcW w:w="3097" w:type="dxa"/>
            <w:gridSpan w:val="3"/>
            <w:shd w:val="clear" w:color="auto" w:fill="C6D9F1" w:themeFill="text2" w:themeFillTint="33"/>
            <w:noWrap/>
            <w:vAlign w:val="center"/>
          </w:tcPr>
          <w:p w14:paraId="0BE6504D" w14:textId="77777777" w:rsidR="003E1D81" w:rsidRDefault="00EB481C">
            <w:pPr>
              <w:pStyle w:val="P68B1DB1-Normal12"/>
              <w:spacing w:after="0"/>
              <w:jc w:val="center"/>
              <w:rPr>
                <w:rFonts w:cs="Times New Roman"/>
                <w:noProof/>
              </w:rPr>
            </w:pPr>
            <w:r>
              <w:rPr>
                <w:noProof/>
              </w:rPr>
              <w:t>A célérték mennyiségi mutatója</w:t>
            </w:r>
          </w:p>
        </w:tc>
        <w:tc>
          <w:tcPr>
            <w:tcW w:w="985" w:type="dxa"/>
            <w:gridSpan w:val="2"/>
            <w:shd w:val="clear" w:color="auto" w:fill="C6D9F1" w:themeFill="text2" w:themeFillTint="33"/>
            <w:noWrap/>
            <w:vAlign w:val="center"/>
          </w:tcPr>
          <w:p w14:paraId="1DA359BD" w14:textId="77777777" w:rsidR="003E1D81" w:rsidRDefault="00EB481C">
            <w:pPr>
              <w:pStyle w:val="P68B1DB1-Normal12"/>
              <w:spacing w:after="0"/>
              <w:jc w:val="center"/>
              <w:rPr>
                <w:rFonts w:cs="Times New Roman"/>
                <w:noProof/>
              </w:rPr>
            </w:pPr>
            <w:r>
              <w:rPr>
                <w:noProof/>
              </w:rPr>
              <w:t>Idő</w:t>
            </w:r>
          </w:p>
        </w:tc>
        <w:tc>
          <w:tcPr>
            <w:tcW w:w="4754" w:type="dxa"/>
            <w:tcBorders>
              <w:bottom w:val="nil"/>
            </w:tcBorders>
            <w:shd w:val="clear" w:color="auto" w:fill="C6D9F1" w:themeFill="text2" w:themeFillTint="33"/>
            <w:noWrap/>
            <w:vAlign w:val="center"/>
          </w:tcPr>
          <w:p w14:paraId="1EB6713E" w14:textId="77777777" w:rsidR="003E1D81" w:rsidRDefault="00EB481C">
            <w:pPr>
              <w:pStyle w:val="P68B1DB1-Normal12"/>
              <w:spacing w:after="0"/>
              <w:jc w:val="center"/>
              <w:rPr>
                <w:rFonts w:cs="Times New Roman"/>
                <w:noProof/>
              </w:rPr>
            </w:pPr>
            <w:r>
              <w:rPr>
                <w:noProof/>
              </w:rPr>
              <w:t>Az egyes mérföldkövek és célértékek leírása</w:t>
            </w:r>
          </w:p>
        </w:tc>
      </w:tr>
      <w:tr w:rsidR="003E1D81" w14:paraId="731CE1FE" w14:textId="77777777">
        <w:trPr>
          <w:gridAfter w:val="1"/>
          <w:wAfter w:w="29" w:type="dxa"/>
          <w:trHeight w:val="309"/>
          <w:tblHeader/>
        </w:trPr>
        <w:tc>
          <w:tcPr>
            <w:tcW w:w="703" w:type="dxa"/>
            <w:tcBorders>
              <w:top w:val="nil"/>
            </w:tcBorders>
            <w:shd w:val="clear" w:color="auto" w:fill="C6D9F1" w:themeFill="text2" w:themeFillTint="33"/>
            <w:noWrap/>
          </w:tcPr>
          <w:p w14:paraId="558BF819" w14:textId="77777777" w:rsidR="003E1D81" w:rsidRDefault="003E1D81">
            <w:pPr>
              <w:spacing w:after="0"/>
              <w:jc w:val="center"/>
              <w:rPr>
                <w:rFonts w:ascii="Times New Roman" w:hAnsi="Times New Roman" w:cs="Times New Roman"/>
                <w:b/>
                <w:noProof/>
                <w:sz w:val="18"/>
              </w:rPr>
            </w:pPr>
          </w:p>
        </w:tc>
        <w:tc>
          <w:tcPr>
            <w:tcW w:w="845" w:type="dxa"/>
            <w:tcBorders>
              <w:top w:val="nil"/>
            </w:tcBorders>
            <w:shd w:val="clear" w:color="auto" w:fill="C6D9F1" w:themeFill="text2" w:themeFillTint="33"/>
            <w:noWrap/>
          </w:tcPr>
          <w:p w14:paraId="75B9C719" w14:textId="77777777" w:rsidR="003E1D81" w:rsidRDefault="003E1D81">
            <w:pPr>
              <w:spacing w:after="0"/>
              <w:jc w:val="center"/>
              <w:rPr>
                <w:rFonts w:ascii="Times New Roman" w:hAnsi="Times New Roman" w:cs="Times New Roman"/>
                <w:b/>
                <w:noProof/>
                <w:sz w:val="18"/>
              </w:rPr>
            </w:pPr>
          </w:p>
        </w:tc>
        <w:tc>
          <w:tcPr>
            <w:tcW w:w="844" w:type="dxa"/>
            <w:tcBorders>
              <w:top w:val="nil"/>
            </w:tcBorders>
            <w:shd w:val="clear" w:color="auto" w:fill="C6D9F1" w:themeFill="text2" w:themeFillTint="33"/>
            <w:noWrap/>
          </w:tcPr>
          <w:p w14:paraId="7317F91F" w14:textId="77777777" w:rsidR="003E1D81" w:rsidRDefault="003E1D81">
            <w:pPr>
              <w:spacing w:after="0"/>
              <w:jc w:val="center"/>
              <w:rPr>
                <w:rFonts w:ascii="Times New Roman" w:hAnsi="Times New Roman" w:cs="Times New Roman"/>
                <w:b/>
                <w:noProof/>
                <w:sz w:val="18"/>
              </w:rPr>
            </w:pPr>
          </w:p>
        </w:tc>
        <w:tc>
          <w:tcPr>
            <w:tcW w:w="2533" w:type="dxa"/>
            <w:tcBorders>
              <w:top w:val="nil"/>
            </w:tcBorders>
            <w:shd w:val="clear" w:color="auto" w:fill="C6D9F1" w:themeFill="text2" w:themeFillTint="33"/>
            <w:noWrap/>
          </w:tcPr>
          <w:p w14:paraId="79BD21F4" w14:textId="77777777" w:rsidR="003E1D81" w:rsidRDefault="003E1D81">
            <w:pPr>
              <w:spacing w:after="0"/>
              <w:rPr>
                <w:rFonts w:ascii="Times New Roman" w:hAnsi="Times New Roman" w:cs="Times New Roman"/>
                <w:b/>
                <w:noProof/>
                <w:sz w:val="18"/>
              </w:rPr>
            </w:pPr>
          </w:p>
        </w:tc>
        <w:tc>
          <w:tcPr>
            <w:tcW w:w="1407" w:type="dxa"/>
            <w:tcBorders>
              <w:top w:val="nil"/>
            </w:tcBorders>
            <w:shd w:val="clear" w:color="auto" w:fill="C6D9F1" w:themeFill="text2" w:themeFillTint="33"/>
            <w:noWrap/>
          </w:tcPr>
          <w:p w14:paraId="67CC8C0B" w14:textId="77777777" w:rsidR="003E1D81" w:rsidRDefault="003E1D81">
            <w:pPr>
              <w:spacing w:after="0"/>
              <w:jc w:val="center"/>
              <w:rPr>
                <w:rFonts w:ascii="Times New Roman" w:hAnsi="Times New Roman" w:cs="Times New Roman"/>
                <w:b/>
                <w:noProof/>
                <w:sz w:val="18"/>
              </w:rPr>
            </w:pPr>
          </w:p>
        </w:tc>
        <w:tc>
          <w:tcPr>
            <w:tcW w:w="986" w:type="dxa"/>
            <w:shd w:val="clear" w:color="auto" w:fill="C6D9F1" w:themeFill="text2" w:themeFillTint="33"/>
            <w:noWrap/>
          </w:tcPr>
          <w:p w14:paraId="2D256C52" w14:textId="77777777" w:rsidR="003E1D81" w:rsidRDefault="00EB481C">
            <w:pPr>
              <w:pStyle w:val="P68B1DB1-Normal12"/>
              <w:spacing w:after="0"/>
              <w:jc w:val="center"/>
              <w:rPr>
                <w:rFonts w:cs="Times New Roman"/>
                <w:noProof/>
              </w:rPr>
            </w:pPr>
            <w:r>
              <w:rPr>
                <w:noProof/>
              </w:rPr>
              <w:t>Egység</w:t>
            </w:r>
          </w:p>
        </w:tc>
        <w:tc>
          <w:tcPr>
            <w:tcW w:w="1266" w:type="dxa"/>
            <w:shd w:val="clear" w:color="auto" w:fill="C6D9F1" w:themeFill="text2" w:themeFillTint="33"/>
            <w:noWrap/>
          </w:tcPr>
          <w:p w14:paraId="0FB955F7" w14:textId="77777777" w:rsidR="003E1D81" w:rsidRDefault="00EB481C">
            <w:pPr>
              <w:pStyle w:val="P68B1DB1-Normal12"/>
              <w:spacing w:after="0"/>
              <w:jc w:val="center"/>
              <w:rPr>
                <w:rFonts w:cs="Times New Roman"/>
                <w:noProof/>
              </w:rPr>
            </w:pPr>
            <w:r>
              <w:rPr>
                <w:noProof/>
              </w:rPr>
              <w:t>Kiindulási</w:t>
            </w:r>
          </w:p>
        </w:tc>
        <w:tc>
          <w:tcPr>
            <w:tcW w:w="845" w:type="dxa"/>
            <w:shd w:val="clear" w:color="auto" w:fill="C6D9F1" w:themeFill="text2" w:themeFillTint="33"/>
            <w:noWrap/>
          </w:tcPr>
          <w:p w14:paraId="5423A5D8" w14:textId="77777777" w:rsidR="003E1D81" w:rsidRDefault="00EB481C">
            <w:pPr>
              <w:pStyle w:val="P68B1DB1-Normal12"/>
              <w:spacing w:after="0"/>
              <w:jc w:val="center"/>
              <w:rPr>
                <w:rFonts w:cs="Times New Roman"/>
                <w:noProof/>
              </w:rPr>
            </w:pPr>
            <w:r>
              <w:rPr>
                <w:noProof/>
              </w:rPr>
              <w:t>Cél</w:t>
            </w:r>
          </w:p>
        </w:tc>
        <w:tc>
          <w:tcPr>
            <w:tcW w:w="422" w:type="dxa"/>
            <w:shd w:val="clear" w:color="auto" w:fill="C6D9F1" w:themeFill="text2" w:themeFillTint="33"/>
            <w:noWrap/>
          </w:tcPr>
          <w:p w14:paraId="769E2363" w14:textId="77777777" w:rsidR="003E1D81" w:rsidRDefault="00EB481C">
            <w:pPr>
              <w:pStyle w:val="P68B1DB1-Normal12"/>
              <w:spacing w:after="0"/>
              <w:jc w:val="center"/>
              <w:rPr>
                <w:rFonts w:cs="Times New Roman"/>
                <w:noProof/>
              </w:rPr>
            </w:pPr>
            <w:r>
              <w:rPr>
                <w:noProof/>
              </w:rPr>
              <w:t>Q</w:t>
            </w:r>
          </w:p>
        </w:tc>
        <w:tc>
          <w:tcPr>
            <w:tcW w:w="563" w:type="dxa"/>
            <w:shd w:val="clear" w:color="auto" w:fill="C6D9F1" w:themeFill="text2" w:themeFillTint="33"/>
            <w:noWrap/>
          </w:tcPr>
          <w:p w14:paraId="2BC07797" w14:textId="77777777" w:rsidR="003E1D81" w:rsidRDefault="00EB481C">
            <w:pPr>
              <w:pStyle w:val="P68B1DB1-Normal12"/>
              <w:spacing w:after="0"/>
              <w:jc w:val="center"/>
              <w:rPr>
                <w:rFonts w:cs="Times New Roman"/>
                <w:noProof/>
              </w:rPr>
            </w:pPr>
            <w:r>
              <w:rPr>
                <w:noProof/>
              </w:rPr>
              <w:t>Éve</w:t>
            </w:r>
          </w:p>
        </w:tc>
        <w:tc>
          <w:tcPr>
            <w:tcW w:w="4754" w:type="dxa"/>
            <w:tcBorders>
              <w:top w:val="nil"/>
            </w:tcBorders>
            <w:shd w:val="clear" w:color="auto" w:fill="C6D9F1" w:themeFill="text2" w:themeFillTint="33"/>
            <w:noWrap/>
          </w:tcPr>
          <w:p w14:paraId="11B8A19E" w14:textId="77777777" w:rsidR="003E1D81" w:rsidRDefault="003E1D81">
            <w:pPr>
              <w:spacing w:after="0"/>
              <w:rPr>
                <w:rFonts w:ascii="Times New Roman" w:hAnsi="Times New Roman" w:cs="Times New Roman"/>
                <w:b/>
                <w:noProof/>
                <w:sz w:val="18"/>
              </w:rPr>
            </w:pPr>
          </w:p>
        </w:tc>
      </w:tr>
      <w:tr w:rsidR="003E1D81" w14:paraId="5FD7E706" w14:textId="77777777">
        <w:trPr>
          <w:trHeight w:val="309"/>
        </w:trPr>
        <w:tc>
          <w:tcPr>
            <w:tcW w:w="703" w:type="dxa"/>
            <w:shd w:val="clear" w:color="auto" w:fill="C6EFCE"/>
            <w:noWrap/>
          </w:tcPr>
          <w:p w14:paraId="3616C4EF" w14:textId="77777777" w:rsidR="003E1D81" w:rsidRDefault="00EB481C">
            <w:pPr>
              <w:pStyle w:val="P68B1DB1-Normal13"/>
              <w:spacing w:after="0"/>
              <w:jc w:val="center"/>
              <w:rPr>
                <w:rFonts w:eastAsia="Times New Roman" w:cs="Times New Roman"/>
                <w:noProof/>
              </w:rPr>
            </w:pPr>
            <w:r>
              <w:rPr>
                <w:noProof/>
              </w:rPr>
              <w:t>367</w:t>
            </w:r>
          </w:p>
        </w:tc>
        <w:tc>
          <w:tcPr>
            <w:tcW w:w="845" w:type="dxa"/>
            <w:shd w:val="clear" w:color="auto" w:fill="C6EFCE"/>
            <w:noWrap/>
          </w:tcPr>
          <w:p w14:paraId="228DE1D0" w14:textId="77777777" w:rsidR="003E1D81" w:rsidRDefault="00EB481C">
            <w:pPr>
              <w:pStyle w:val="P68B1DB1-Normal13"/>
              <w:spacing w:after="0"/>
              <w:jc w:val="center"/>
              <w:rPr>
                <w:rFonts w:eastAsia="Times New Roman" w:cs="Times New Roman"/>
                <w:noProof/>
              </w:rPr>
            </w:pPr>
            <w:r>
              <w:rPr>
                <w:noProof/>
              </w:rPr>
              <w:t>C26.R1</w:t>
            </w:r>
          </w:p>
        </w:tc>
        <w:tc>
          <w:tcPr>
            <w:tcW w:w="844" w:type="dxa"/>
            <w:shd w:val="clear" w:color="auto" w:fill="C6EFCE"/>
            <w:noWrap/>
          </w:tcPr>
          <w:p w14:paraId="381CAC00" w14:textId="77777777" w:rsidR="003E1D81" w:rsidRDefault="00EB481C">
            <w:pPr>
              <w:pStyle w:val="P68B1DB1-Normal13"/>
              <w:spacing w:after="0"/>
              <w:jc w:val="center"/>
              <w:rPr>
                <w:rFonts w:eastAsia="Times New Roman" w:cs="Times New Roman"/>
                <w:noProof/>
              </w:rPr>
            </w:pPr>
            <w:r>
              <w:rPr>
                <w:noProof/>
              </w:rPr>
              <w:t>M</w:t>
            </w:r>
          </w:p>
        </w:tc>
        <w:tc>
          <w:tcPr>
            <w:tcW w:w="2533" w:type="dxa"/>
            <w:shd w:val="clear" w:color="auto" w:fill="C6EFCE"/>
            <w:noWrap/>
          </w:tcPr>
          <w:p w14:paraId="3EFF41C2" w14:textId="77777777" w:rsidR="003E1D81" w:rsidRDefault="00EB481C">
            <w:pPr>
              <w:pStyle w:val="P68B1DB1-Normal13"/>
              <w:spacing w:after="0"/>
              <w:rPr>
                <w:rFonts w:eastAsia="Times New Roman" w:cs="Times New Roman"/>
                <w:noProof/>
              </w:rPr>
            </w:pPr>
            <w:r>
              <w:rPr>
                <w:noProof/>
              </w:rPr>
              <w:t xml:space="preserve">A sporttörvény hatálybalépése </w:t>
            </w:r>
          </w:p>
        </w:tc>
        <w:tc>
          <w:tcPr>
            <w:tcW w:w="1407" w:type="dxa"/>
            <w:shd w:val="clear" w:color="auto" w:fill="C6EFCE"/>
            <w:noWrap/>
          </w:tcPr>
          <w:p w14:paraId="618A8D6F" w14:textId="77777777" w:rsidR="003E1D81" w:rsidRDefault="00EB481C">
            <w:pPr>
              <w:pStyle w:val="P68B1DB1-Normal13"/>
              <w:spacing w:after="0"/>
              <w:jc w:val="center"/>
              <w:rPr>
                <w:rFonts w:eastAsia="Times New Roman" w:cs="Times New Roman"/>
                <w:noProof/>
              </w:rPr>
            </w:pPr>
            <w:r>
              <w:rPr>
                <w:noProof/>
              </w:rPr>
              <w:t xml:space="preserve">A törvény hatálybalépésére vonatkozó rendelkezés </w:t>
            </w:r>
          </w:p>
        </w:tc>
        <w:tc>
          <w:tcPr>
            <w:tcW w:w="986" w:type="dxa"/>
            <w:shd w:val="clear" w:color="auto" w:fill="C6EFCE"/>
            <w:noWrap/>
          </w:tcPr>
          <w:p w14:paraId="1B60D2FD" w14:textId="77777777" w:rsidR="003E1D81" w:rsidRDefault="00EB481C">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6C8AEA75" w14:textId="77777777" w:rsidR="003E1D81" w:rsidRDefault="00EB481C">
            <w:pPr>
              <w:pStyle w:val="P68B1DB1-Normal13"/>
              <w:spacing w:after="0"/>
              <w:jc w:val="center"/>
              <w:rPr>
                <w:rFonts w:cs="Times New Roman"/>
                <w:noProof/>
              </w:rPr>
            </w:pPr>
            <w:r>
              <w:rPr>
                <w:noProof/>
              </w:rPr>
              <w:t xml:space="preserve"> </w:t>
            </w:r>
          </w:p>
        </w:tc>
        <w:tc>
          <w:tcPr>
            <w:tcW w:w="845" w:type="dxa"/>
            <w:shd w:val="clear" w:color="auto" w:fill="C6EFCE"/>
            <w:noWrap/>
          </w:tcPr>
          <w:p w14:paraId="28516D56" w14:textId="77777777" w:rsidR="003E1D81" w:rsidRDefault="00EB481C">
            <w:pPr>
              <w:pStyle w:val="P68B1DB1-Normal13"/>
              <w:spacing w:after="0"/>
              <w:jc w:val="right"/>
              <w:rPr>
                <w:rFonts w:eastAsia="Times New Roman" w:cs="Times New Roman"/>
                <w:noProof/>
              </w:rPr>
            </w:pPr>
            <w:r>
              <w:rPr>
                <w:noProof/>
              </w:rPr>
              <w:t xml:space="preserve"> </w:t>
            </w:r>
          </w:p>
        </w:tc>
        <w:tc>
          <w:tcPr>
            <w:tcW w:w="422" w:type="dxa"/>
            <w:shd w:val="clear" w:color="auto" w:fill="C6EFCE"/>
            <w:noWrap/>
          </w:tcPr>
          <w:p w14:paraId="56DC4632" w14:textId="77777777" w:rsidR="003E1D81" w:rsidRDefault="00EB481C">
            <w:pPr>
              <w:pStyle w:val="P68B1DB1-Normal13"/>
              <w:spacing w:after="0"/>
              <w:jc w:val="center"/>
              <w:rPr>
                <w:rFonts w:eastAsia="Times New Roman" w:cs="Times New Roman"/>
                <w:noProof/>
              </w:rPr>
            </w:pPr>
            <w:r>
              <w:rPr>
                <w:noProof/>
              </w:rPr>
              <w:t>NEGYEDÉV</w:t>
            </w:r>
          </w:p>
        </w:tc>
        <w:tc>
          <w:tcPr>
            <w:tcW w:w="563" w:type="dxa"/>
            <w:shd w:val="clear" w:color="auto" w:fill="C6EFCE"/>
            <w:noWrap/>
          </w:tcPr>
          <w:p w14:paraId="5B7DD0B7" w14:textId="77777777" w:rsidR="003E1D81" w:rsidRDefault="00EB481C">
            <w:pPr>
              <w:pStyle w:val="P68B1DB1-Normal13"/>
              <w:spacing w:after="0"/>
              <w:jc w:val="center"/>
              <w:rPr>
                <w:rFonts w:eastAsia="Times New Roman" w:cs="Times New Roman"/>
                <w:noProof/>
              </w:rPr>
            </w:pPr>
            <w:r>
              <w:rPr>
                <w:noProof/>
              </w:rPr>
              <w:t>2022</w:t>
            </w:r>
          </w:p>
        </w:tc>
        <w:tc>
          <w:tcPr>
            <w:tcW w:w="4783" w:type="dxa"/>
            <w:gridSpan w:val="2"/>
            <w:shd w:val="clear" w:color="auto" w:fill="C6EFCE"/>
            <w:noWrap/>
          </w:tcPr>
          <w:p w14:paraId="04BCF38C" w14:textId="73B0676D" w:rsidR="003E1D81" w:rsidRDefault="00EB481C">
            <w:pPr>
              <w:pStyle w:val="P68B1DB1-Normal13"/>
              <w:spacing w:after="0"/>
              <w:rPr>
                <w:rFonts w:eastAsia="Times New Roman" w:cs="Times New Roman"/>
                <w:noProof/>
              </w:rPr>
            </w:pPr>
            <w:r>
              <w:rPr>
                <w:noProof/>
              </w:rPr>
              <w:t>A törvény a sport minden szintjén előmozdítja az egészséget és a biztonságot, a nemek közötti egyenlőséget, a társadalmi befogadást és a hozzáférhetőséget, a modell nemzetközi dimenziójának előmozdítását, valamint a szervezetek és infrastruktúrák kors</w:t>
            </w:r>
            <w:r>
              <w:rPr>
                <w:noProof/>
              </w:rPr>
              <w:t xml:space="preserve">zerűsítését a környezet tiszteletben tartása és a digitalizáció révén. </w:t>
            </w:r>
          </w:p>
        </w:tc>
      </w:tr>
      <w:tr w:rsidR="003E1D81" w14:paraId="794C580C" w14:textId="77777777">
        <w:trPr>
          <w:trHeight w:val="309"/>
        </w:trPr>
        <w:tc>
          <w:tcPr>
            <w:tcW w:w="703" w:type="dxa"/>
            <w:shd w:val="clear" w:color="auto" w:fill="C6EFCE"/>
            <w:noWrap/>
          </w:tcPr>
          <w:p w14:paraId="78C6AE9D" w14:textId="77777777" w:rsidR="003E1D81" w:rsidRDefault="00EB481C">
            <w:pPr>
              <w:pStyle w:val="P68B1DB1-Normal13"/>
              <w:spacing w:after="0"/>
              <w:jc w:val="center"/>
              <w:rPr>
                <w:rFonts w:eastAsia="Times New Roman" w:cs="Times New Roman"/>
                <w:noProof/>
              </w:rPr>
            </w:pPr>
            <w:r>
              <w:rPr>
                <w:noProof/>
              </w:rPr>
              <w:t>368</w:t>
            </w:r>
          </w:p>
        </w:tc>
        <w:tc>
          <w:tcPr>
            <w:tcW w:w="845" w:type="dxa"/>
            <w:shd w:val="clear" w:color="auto" w:fill="C6EFCE"/>
            <w:noWrap/>
          </w:tcPr>
          <w:p w14:paraId="7925AA47" w14:textId="77777777" w:rsidR="003E1D81" w:rsidRDefault="00EB481C">
            <w:pPr>
              <w:pStyle w:val="P68B1DB1-Normal13"/>
              <w:spacing w:after="0"/>
              <w:jc w:val="center"/>
              <w:rPr>
                <w:rFonts w:eastAsia="Times New Roman" w:cs="Times New Roman"/>
                <w:noProof/>
              </w:rPr>
            </w:pPr>
            <w:r>
              <w:rPr>
                <w:noProof/>
              </w:rPr>
              <w:t>C26.R2</w:t>
            </w:r>
          </w:p>
        </w:tc>
        <w:tc>
          <w:tcPr>
            <w:tcW w:w="844" w:type="dxa"/>
            <w:shd w:val="clear" w:color="auto" w:fill="C6EFCE"/>
            <w:noWrap/>
          </w:tcPr>
          <w:p w14:paraId="35025FB4" w14:textId="77777777" w:rsidR="003E1D81" w:rsidRDefault="00EB481C">
            <w:pPr>
              <w:pStyle w:val="P68B1DB1-Normal13"/>
              <w:spacing w:after="0"/>
              <w:jc w:val="center"/>
              <w:rPr>
                <w:rFonts w:eastAsia="Times New Roman" w:cs="Times New Roman"/>
                <w:noProof/>
              </w:rPr>
            </w:pPr>
            <w:r>
              <w:rPr>
                <w:noProof/>
              </w:rPr>
              <w:t>M</w:t>
            </w:r>
          </w:p>
        </w:tc>
        <w:tc>
          <w:tcPr>
            <w:tcW w:w="2533" w:type="dxa"/>
            <w:shd w:val="clear" w:color="auto" w:fill="C6EFCE"/>
            <w:noWrap/>
          </w:tcPr>
          <w:p w14:paraId="371E443F" w14:textId="77777777" w:rsidR="003E1D81" w:rsidRDefault="00EB481C">
            <w:pPr>
              <w:pStyle w:val="P68B1DB1-Normal13"/>
              <w:spacing w:after="0"/>
              <w:rPr>
                <w:rFonts w:eastAsia="Times New Roman" w:cs="Times New Roman"/>
                <w:noProof/>
              </w:rPr>
            </w:pPr>
            <w:r>
              <w:rPr>
                <w:noProof/>
              </w:rPr>
              <w:t xml:space="preserve">Az egyes sportszakmák szabályozásáról szóló törvény hatálybalépése </w:t>
            </w:r>
          </w:p>
        </w:tc>
        <w:tc>
          <w:tcPr>
            <w:tcW w:w="1407" w:type="dxa"/>
            <w:shd w:val="clear" w:color="auto" w:fill="C6EFCE"/>
            <w:noWrap/>
          </w:tcPr>
          <w:p w14:paraId="1F2D0625" w14:textId="77777777" w:rsidR="003E1D81" w:rsidRDefault="00EB481C">
            <w:pPr>
              <w:pStyle w:val="P68B1DB1-Normal13"/>
              <w:spacing w:after="0"/>
              <w:jc w:val="center"/>
              <w:rPr>
                <w:rFonts w:eastAsia="Times New Roman" w:cs="Times New Roman"/>
                <w:noProof/>
              </w:rPr>
            </w:pPr>
            <w:r>
              <w:rPr>
                <w:noProof/>
              </w:rPr>
              <w:t xml:space="preserve"> A törvény hatálybalépésére vonatkozó rendelkezés</w:t>
            </w:r>
          </w:p>
        </w:tc>
        <w:tc>
          <w:tcPr>
            <w:tcW w:w="986" w:type="dxa"/>
            <w:shd w:val="clear" w:color="auto" w:fill="C6EFCE"/>
            <w:noWrap/>
          </w:tcPr>
          <w:p w14:paraId="1D518A71" w14:textId="77777777" w:rsidR="003E1D81" w:rsidRDefault="00EB481C">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5C38D216" w14:textId="77777777" w:rsidR="003E1D81" w:rsidRDefault="00EB481C">
            <w:pPr>
              <w:pStyle w:val="P68B1DB1-Normal13"/>
              <w:spacing w:after="0"/>
              <w:jc w:val="right"/>
              <w:rPr>
                <w:rFonts w:eastAsia="Times New Roman" w:cs="Times New Roman"/>
                <w:noProof/>
              </w:rPr>
            </w:pPr>
            <w:r>
              <w:rPr>
                <w:noProof/>
              </w:rPr>
              <w:t xml:space="preserve"> </w:t>
            </w:r>
          </w:p>
        </w:tc>
        <w:tc>
          <w:tcPr>
            <w:tcW w:w="845" w:type="dxa"/>
            <w:shd w:val="clear" w:color="auto" w:fill="C6EFCE"/>
            <w:noWrap/>
          </w:tcPr>
          <w:p w14:paraId="0AE0894F" w14:textId="77777777" w:rsidR="003E1D81" w:rsidRDefault="00EB481C">
            <w:pPr>
              <w:pStyle w:val="P68B1DB1-Normal13"/>
              <w:spacing w:after="0"/>
              <w:jc w:val="right"/>
              <w:rPr>
                <w:rFonts w:eastAsia="Times New Roman" w:cs="Times New Roman"/>
                <w:noProof/>
              </w:rPr>
            </w:pPr>
            <w:r>
              <w:rPr>
                <w:noProof/>
              </w:rPr>
              <w:t xml:space="preserve"> </w:t>
            </w:r>
          </w:p>
        </w:tc>
        <w:tc>
          <w:tcPr>
            <w:tcW w:w="422" w:type="dxa"/>
            <w:shd w:val="clear" w:color="auto" w:fill="C6EFCE"/>
            <w:noWrap/>
          </w:tcPr>
          <w:p w14:paraId="63006414" w14:textId="77777777" w:rsidR="003E1D81" w:rsidRDefault="00EB481C">
            <w:pPr>
              <w:pStyle w:val="P68B1DB1-Normal13"/>
              <w:spacing w:after="0"/>
              <w:jc w:val="center"/>
              <w:rPr>
                <w:rFonts w:eastAsia="Times New Roman" w:cs="Times New Roman"/>
                <w:noProof/>
              </w:rPr>
            </w:pPr>
            <w:r>
              <w:rPr>
                <w:noProof/>
              </w:rPr>
              <w:t>NEGYEDÉV</w:t>
            </w:r>
          </w:p>
        </w:tc>
        <w:tc>
          <w:tcPr>
            <w:tcW w:w="563" w:type="dxa"/>
            <w:shd w:val="clear" w:color="auto" w:fill="C6EFCE"/>
            <w:noWrap/>
          </w:tcPr>
          <w:p w14:paraId="210C3EF1" w14:textId="77777777" w:rsidR="003E1D81" w:rsidRDefault="00EB481C">
            <w:pPr>
              <w:pStyle w:val="P68B1DB1-Normal13"/>
              <w:spacing w:after="0"/>
              <w:jc w:val="center"/>
              <w:rPr>
                <w:rFonts w:eastAsia="Times New Roman" w:cs="Times New Roman"/>
                <w:noProof/>
              </w:rPr>
            </w:pPr>
            <w:r>
              <w:rPr>
                <w:noProof/>
              </w:rPr>
              <w:t>2023</w:t>
            </w:r>
          </w:p>
        </w:tc>
        <w:tc>
          <w:tcPr>
            <w:tcW w:w="4783" w:type="dxa"/>
            <w:gridSpan w:val="2"/>
            <w:shd w:val="clear" w:color="auto" w:fill="C6EFCE"/>
            <w:noWrap/>
          </w:tcPr>
          <w:p w14:paraId="6DD757B3" w14:textId="77777777" w:rsidR="003E1D81" w:rsidRDefault="00EB481C">
            <w:pPr>
              <w:pStyle w:val="P68B1DB1-Normal13"/>
              <w:spacing w:after="0"/>
              <w:rPr>
                <w:rFonts w:eastAsia="Times New Roman" w:cs="Times New Roman"/>
                <w:noProof/>
              </w:rPr>
            </w:pPr>
            <w:r>
              <w:rPr>
                <w:noProof/>
              </w:rPr>
              <w:t xml:space="preserve">Az egyes sportszakmák </w:t>
            </w:r>
            <w:r>
              <w:rPr>
                <w:noProof/>
              </w:rPr>
              <w:t>szabályozásáról szóló törvény elfogadása a szabályozási heterogenitásból eredő kihívások kezelése, valamint a szükségesség és az arányosság elvének megfelelő figyelembevétele érdekében.</w:t>
            </w:r>
          </w:p>
        </w:tc>
      </w:tr>
      <w:tr w:rsidR="003E1D81" w14:paraId="4CA26C0B" w14:textId="77777777">
        <w:trPr>
          <w:trHeight w:val="309"/>
        </w:trPr>
        <w:tc>
          <w:tcPr>
            <w:tcW w:w="703" w:type="dxa"/>
            <w:shd w:val="clear" w:color="auto" w:fill="C6EFCE"/>
            <w:noWrap/>
          </w:tcPr>
          <w:p w14:paraId="00DAC577" w14:textId="77777777" w:rsidR="003E1D81" w:rsidRDefault="00EB481C">
            <w:pPr>
              <w:pStyle w:val="P68B1DB1-Normal13"/>
              <w:spacing w:after="0"/>
              <w:jc w:val="center"/>
              <w:rPr>
                <w:rFonts w:eastAsia="Times New Roman" w:cs="Times New Roman"/>
                <w:noProof/>
              </w:rPr>
            </w:pPr>
            <w:r>
              <w:rPr>
                <w:noProof/>
              </w:rPr>
              <w:t>369</w:t>
            </w:r>
          </w:p>
        </w:tc>
        <w:tc>
          <w:tcPr>
            <w:tcW w:w="845" w:type="dxa"/>
            <w:shd w:val="clear" w:color="auto" w:fill="C6EFCE"/>
            <w:noWrap/>
          </w:tcPr>
          <w:p w14:paraId="63D61881" w14:textId="77777777" w:rsidR="003E1D81" w:rsidRDefault="00EB481C">
            <w:pPr>
              <w:pStyle w:val="P68B1DB1-Normal13"/>
              <w:spacing w:after="0"/>
              <w:jc w:val="center"/>
              <w:rPr>
                <w:rFonts w:eastAsia="Times New Roman" w:cs="Times New Roman"/>
                <w:noProof/>
              </w:rPr>
            </w:pPr>
            <w:r>
              <w:rPr>
                <w:noProof/>
              </w:rPr>
              <w:t>C26.R3</w:t>
            </w:r>
          </w:p>
        </w:tc>
        <w:tc>
          <w:tcPr>
            <w:tcW w:w="844" w:type="dxa"/>
            <w:shd w:val="clear" w:color="auto" w:fill="C6EFCE"/>
            <w:noWrap/>
          </w:tcPr>
          <w:p w14:paraId="2777087F" w14:textId="77777777" w:rsidR="003E1D81" w:rsidRDefault="00EB481C">
            <w:pPr>
              <w:pStyle w:val="P68B1DB1-Normal13"/>
              <w:spacing w:after="0"/>
              <w:jc w:val="center"/>
              <w:rPr>
                <w:rFonts w:eastAsia="Times New Roman" w:cs="Times New Roman"/>
                <w:noProof/>
              </w:rPr>
            </w:pPr>
            <w:r>
              <w:rPr>
                <w:noProof/>
              </w:rPr>
              <w:t>M</w:t>
            </w:r>
          </w:p>
        </w:tc>
        <w:tc>
          <w:tcPr>
            <w:tcW w:w="2533" w:type="dxa"/>
            <w:shd w:val="clear" w:color="auto" w:fill="C6EFCE"/>
            <w:noWrap/>
          </w:tcPr>
          <w:p w14:paraId="1C8DCA34" w14:textId="77777777" w:rsidR="003E1D81" w:rsidRDefault="00EB481C">
            <w:pPr>
              <w:pStyle w:val="P68B1DB1-Normal13"/>
              <w:spacing w:after="0"/>
              <w:rPr>
                <w:rFonts w:eastAsia="Times New Roman" w:cs="Times New Roman"/>
                <w:noProof/>
              </w:rPr>
            </w:pPr>
            <w:r>
              <w:rPr>
                <w:noProof/>
              </w:rPr>
              <w:t xml:space="preserve">Az ülő életmód és a testmozgás hiánya elleni sport </w:t>
            </w:r>
            <w:r>
              <w:rPr>
                <w:noProof/>
              </w:rPr>
              <w:t>előmozdítására irányuló nemzeti stratégia</w:t>
            </w:r>
          </w:p>
        </w:tc>
        <w:tc>
          <w:tcPr>
            <w:tcW w:w="1407" w:type="dxa"/>
            <w:shd w:val="clear" w:color="auto" w:fill="C6EFCE"/>
            <w:noWrap/>
          </w:tcPr>
          <w:p w14:paraId="0692ED1C" w14:textId="77777777" w:rsidR="003E1D81" w:rsidRDefault="00EB481C">
            <w:pPr>
              <w:pStyle w:val="P68B1DB1-Normal13"/>
              <w:spacing w:after="0"/>
              <w:jc w:val="center"/>
              <w:rPr>
                <w:rFonts w:eastAsia="Times New Roman" w:cs="Times New Roman"/>
                <w:noProof/>
              </w:rPr>
            </w:pPr>
            <w:r>
              <w:rPr>
                <w:noProof/>
              </w:rPr>
              <w:t>Közzététel a honlapon</w:t>
            </w:r>
          </w:p>
        </w:tc>
        <w:tc>
          <w:tcPr>
            <w:tcW w:w="986" w:type="dxa"/>
            <w:shd w:val="clear" w:color="auto" w:fill="C6EFCE"/>
            <w:noWrap/>
          </w:tcPr>
          <w:p w14:paraId="4D9EF1D6" w14:textId="77777777" w:rsidR="003E1D81" w:rsidRDefault="00EB481C">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65B06E17" w14:textId="77777777" w:rsidR="003E1D81" w:rsidRDefault="00EB481C">
            <w:pPr>
              <w:pStyle w:val="P68B1DB1-Normal13"/>
              <w:spacing w:after="0"/>
              <w:jc w:val="center"/>
              <w:rPr>
                <w:rFonts w:eastAsia="Times New Roman" w:cs="Times New Roman"/>
                <w:noProof/>
              </w:rPr>
            </w:pPr>
            <w:r>
              <w:rPr>
                <w:noProof/>
              </w:rPr>
              <w:t xml:space="preserve"> </w:t>
            </w:r>
          </w:p>
        </w:tc>
        <w:tc>
          <w:tcPr>
            <w:tcW w:w="845" w:type="dxa"/>
            <w:shd w:val="clear" w:color="auto" w:fill="C6EFCE"/>
            <w:noWrap/>
          </w:tcPr>
          <w:p w14:paraId="3C7C4FE8" w14:textId="77777777" w:rsidR="003E1D81" w:rsidRDefault="00EB481C">
            <w:pPr>
              <w:pStyle w:val="P68B1DB1-Normal13"/>
              <w:spacing w:after="0"/>
              <w:jc w:val="right"/>
              <w:rPr>
                <w:rFonts w:eastAsia="Times New Roman" w:cs="Times New Roman"/>
                <w:noProof/>
              </w:rPr>
            </w:pPr>
            <w:r>
              <w:rPr>
                <w:noProof/>
              </w:rPr>
              <w:t xml:space="preserve"> </w:t>
            </w:r>
          </w:p>
        </w:tc>
        <w:tc>
          <w:tcPr>
            <w:tcW w:w="422" w:type="dxa"/>
            <w:shd w:val="clear" w:color="auto" w:fill="C6EFCE"/>
            <w:noWrap/>
          </w:tcPr>
          <w:p w14:paraId="0812522C" w14:textId="77777777" w:rsidR="003E1D81" w:rsidRDefault="00EB481C">
            <w:pPr>
              <w:pStyle w:val="P68B1DB1-Normal13"/>
              <w:spacing w:after="0"/>
              <w:jc w:val="center"/>
              <w:rPr>
                <w:rFonts w:eastAsia="Times New Roman" w:cs="Times New Roman"/>
                <w:noProof/>
              </w:rPr>
            </w:pPr>
            <w:r>
              <w:rPr>
                <w:noProof/>
              </w:rPr>
              <w:t>NEGYEDÉV</w:t>
            </w:r>
          </w:p>
        </w:tc>
        <w:tc>
          <w:tcPr>
            <w:tcW w:w="563" w:type="dxa"/>
            <w:shd w:val="clear" w:color="auto" w:fill="C6EFCE"/>
            <w:noWrap/>
          </w:tcPr>
          <w:p w14:paraId="41E72220" w14:textId="77777777" w:rsidR="003E1D81" w:rsidRDefault="00EB481C">
            <w:pPr>
              <w:pStyle w:val="P68B1DB1-Normal13"/>
              <w:spacing w:after="0"/>
              <w:jc w:val="center"/>
              <w:rPr>
                <w:rFonts w:eastAsia="Times New Roman" w:cs="Times New Roman"/>
                <w:noProof/>
              </w:rPr>
            </w:pPr>
            <w:r>
              <w:rPr>
                <w:noProof/>
              </w:rPr>
              <w:t>2023</w:t>
            </w:r>
          </w:p>
        </w:tc>
        <w:tc>
          <w:tcPr>
            <w:tcW w:w="4783" w:type="dxa"/>
            <w:gridSpan w:val="2"/>
            <w:shd w:val="clear" w:color="auto" w:fill="C6EFCE"/>
            <w:noWrap/>
          </w:tcPr>
          <w:p w14:paraId="5B14EBAE" w14:textId="77777777" w:rsidR="003E1D81" w:rsidRDefault="00EB481C">
            <w:pPr>
              <w:pStyle w:val="P68B1DB1-Normal13"/>
              <w:spacing w:after="0"/>
              <w:rPr>
                <w:rFonts w:eastAsia="Times New Roman" w:cs="Times New Roman"/>
                <w:noProof/>
              </w:rPr>
            </w:pPr>
            <w:r>
              <w:rPr>
                <w:noProof/>
              </w:rPr>
              <w:t xml:space="preserve">Az ülő életmód és a testmozgás hiánya elleni sport előmozdítására irányuló nemzeti stratégia végrehajtásának spanyol kormány általi jóváhagyása. A stratégia célkitűzései a </w:t>
            </w:r>
            <w:r>
              <w:rPr>
                <w:noProof/>
              </w:rPr>
              <w:t>következők: állandó elemzési eszköz alkalmazása a stratégia hatásának elemzése, mérése és javítása érdekében; olyan intézkedések végrehajtása, amelyek célja, hogy az elemzést követően bevált gyakorlatokat és egészséges szokásokat alakítsanak ki. A stratégi</w:t>
            </w:r>
            <w:r>
              <w:rPr>
                <w:noProof/>
              </w:rPr>
              <w:t>a kötelező érvényű a regionális és helyi önkormányzatokra nézve.</w:t>
            </w:r>
          </w:p>
        </w:tc>
      </w:tr>
      <w:tr w:rsidR="003E1D81" w14:paraId="5716DF99" w14:textId="77777777">
        <w:trPr>
          <w:trHeight w:val="309"/>
        </w:trPr>
        <w:tc>
          <w:tcPr>
            <w:tcW w:w="703" w:type="dxa"/>
            <w:shd w:val="clear" w:color="auto" w:fill="C6EFCE"/>
            <w:noWrap/>
          </w:tcPr>
          <w:p w14:paraId="0E17C92D" w14:textId="77777777" w:rsidR="003E1D81" w:rsidRDefault="00EB481C">
            <w:pPr>
              <w:pStyle w:val="P68B1DB1-Normal13"/>
              <w:spacing w:after="0"/>
              <w:jc w:val="center"/>
              <w:rPr>
                <w:rFonts w:eastAsia="Times New Roman" w:cs="Times New Roman"/>
                <w:noProof/>
              </w:rPr>
            </w:pPr>
            <w:r>
              <w:rPr>
                <w:noProof/>
              </w:rPr>
              <w:t>370</w:t>
            </w:r>
          </w:p>
        </w:tc>
        <w:tc>
          <w:tcPr>
            <w:tcW w:w="845" w:type="dxa"/>
            <w:shd w:val="clear" w:color="auto" w:fill="C6EFCE"/>
            <w:noWrap/>
          </w:tcPr>
          <w:p w14:paraId="418D7B65" w14:textId="77777777" w:rsidR="003E1D81" w:rsidRDefault="00EB481C">
            <w:pPr>
              <w:pStyle w:val="P68B1DB1-Normal13"/>
              <w:spacing w:after="0"/>
              <w:jc w:val="center"/>
              <w:rPr>
                <w:rFonts w:eastAsia="Times New Roman" w:cs="Times New Roman"/>
                <w:noProof/>
              </w:rPr>
            </w:pPr>
            <w:r>
              <w:rPr>
                <w:noProof/>
              </w:rPr>
              <w:t>C26.I1</w:t>
            </w:r>
          </w:p>
        </w:tc>
        <w:tc>
          <w:tcPr>
            <w:tcW w:w="844" w:type="dxa"/>
            <w:shd w:val="clear" w:color="auto" w:fill="C6EFCE"/>
            <w:noWrap/>
          </w:tcPr>
          <w:p w14:paraId="6BC3A66F" w14:textId="77777777" w:rsidR="003E1D81" w:rsidRDefault="00EB481C">
            <w:pPr>
              <w:pStyle w:val="P68B1DB1-Normal13"/>
              <w:spacing w:after="0"/>
              <w:jc w:val="center"/>
              <w:rPr>
                <w:rFonts w:eastAsia="Times New Roman" w:cs="Times New Roman"/>
                <w:noProof/>
              </w:rPr>
            </w:pPr>
            <w:r>
              <w:rPr>
                <w:noProof/>
              </w:rPr>
              <w:t>M</w:t>
            </w:r>
          </w:p>
        </w:tc>
        <w:tc>
          <w:tcPr>
            <w:tcW w:w="2533" w:type="dxa"/>
            <w:shd w:val="clear" w:color="auto" w:fill="C6EFCE"/>
            <w:noWrap/>
          </w:tcPr>
          <w:p w14:paraId="4BD4DADF" w14:textId="77777777" w:rsidR="003E1D81" w:rsidRDefault="00EB481C">
            <w:pPr>
              <w:pStyle w:val="P68B1DB1-Normal13"/>
              <w:spacing w:after="0"/>
              <w:rPr>
                <w:rFonts w:eastAsia="Times New Roman" w:cs="Times New Roman"/>
                <w:noProof/>
              </w:rPr>
            </w:pPr>
            <w:r>
              <w:rPr>
                <w:noProof/>
              </w:rPr>
              <w:t>A sportágazat digitalizációja</w:t>
            </w:r>
          </w:p>
        </w:tc>
        <w:tc>
          <w:tcPr>
            <w:tcW w:w="1407" w:type="dxa"/>
            <w:shd w:val="clear" w:color="auto" w:fill="C6EFCE"/>
            <w:noWrap/>
          </w:tcPr>
          <w:p w14:paraId="3FDD823D" w14:textId="77777777" w:rsidR="003E1D81" w:rsidRDefault="00EB481C">
            <w:pPr>
              <w:pStyle w:val="P68B1DB1-Normal13"/>
              <w:spacing w:after="0"/>
              <w:jc w:val="center"/>
              <w:rPr>
                <w:rFonts w:eastAsia="Times New Roman" w:cs="Times New Roman"/>
                <w:noProof/>
              </w:rPr>
            </w:pPr>
            <w:r>
              <w:rPr>
                <w:noProof/>
              </w:rPr>
              <w:t xml:space="preserve">A Hivatalos Lapban való közzététel </w:t>
            </w:r>
          </w:p>
        </w:tc>
        <w:tc>
          <w:tcPr>
            <w:tcW w:w="986" w:type="dxa"/>
            <w:shd w:val="clear" w:color="auto" w:fill="C6EFCE"/>
            <w:noWrap/>
          </w:tcPr>
          <w:p w14:paraId="2FDA4736" w14:textId="77777777" w:rsidR="003E1D81" w:rsidRDefault="00EB481C">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63EAAF6B" w14:textId="77777777" w:rsidR="003E1D81" w:rsidRDefault="003E1D81">
            <w:pPr>
              <w:spacing w:after="0"/>
              <w:jc w:val="right"/>
              <w:rPr>
                <w:rFonts w:ascii="Times New Roman" w:eastAsia="Times New Roman" w:hAnsi="Times New Roman" w:cs="Times New Roman"/>
                <w:noProof/>
                <w:sz w:val="18"/>
              </w:rPr>
            </w:pPr>
          </w:p>
        </w:tc>
        <w:tc>
          <w:tcPr>
            <w:tcW w:w="845" w:type="dxa"/>
            <w:shd w:val="clear" w:color="auto" w:fill="C6EFCE"/>
            <w:noWrap/>
          </w:tcPr>
          <w:p w14:paraId="3D587CAE" w14:textId="77777777" w:rsidR="003E1D81" w:rsidRDefault="00EB481C">
            <w:pPr>
              <w:pStyle w:val="P68B1DB1-Normal13"/>
              <w:spacing w:after="0"/>
              <w:jc w:val="right"/>
              <w:rPr>
                <w:rFonts w:eastAsia="Times New Roman" w:cs="Times New Roman"/>
                <w:noProof/>
              </w:rPr>
            </w:pPr>
            <w:r>
              <w:rPr>
                <w:noProof/>
              </w:rPr>
              <w:t xml:space="preserve"> </w:t>
            </w:r>
          </w:p>
        </w:tc>
        <w:tc>
          <w:tcPr>
            <w:tcW w:w="422" w:type="dxa"/>
            <w:shd w:val="clear" w:color="auto" w:fill="C6EFCE"/>
            <w:noWrap/>
          </w:tcPr>
          <w:p w14:paraId="06B3ECC4" w14:textId="6BFEC711" w:rsidR="003E1D81" w:rsidRDefault="00EB481C">
            <w:pPr>
              <w:pStyle w:val="P68B1DB1-Normal13"/>
              <w:spacing w:after="0"/>
              <w:rPr>
                <w:rFonts w:cs="Times New Roman"/>
                <w:noProof/>
              </w:rPr>
            </w:pPr>
            <w:r>
              <w:rPr>
                <w:noProof/>
              </w:rPr>
              <w:t>NEGYEDÉV</w:t>
            </w:r>
          </w:p>
        </w:tc>
        <w:tc>
          <w:tcPr>
            <w:tcW w:w="563" w:type="dxa"/>
            <w:shd w:val="clear" w:color="auto" w:fill="C6EFCE"/>
            <w:noWrap/>
          </w:tcPr>
          <w:p w14:paraId="3F8ECE9B" w14:textId="2827BD88" w:rsidR="003E1D81" w:rsidRDefault="00EB481C">
            <w:pPr>
              <w:pStyle w:val="P68B1DB1-Normal13"/>
              <w:spacing w:after="0"/>
              <w:rPr>
                <w:rFonts w:cs="Times New Roman"/>
                <w:noProof/>
              </w:rPr>
            </w:pPr>
            <w:r>
              <w:rPr>
                <w:noProof/>
              </w:rPr>
              <w:t>2025</w:t>
            </w:r>
          </w:p>
        </w:tc>
        <w:tc>
          <w:tcPr>
            <w:tcW w:w="4783" w:type="dxa"/>
            <w:gridSpan w:val="2"/>
            <w:shd w:val="clear" w:color="auto" w:fill="C6EFCE"/>
            <w:noWrap/>
          </w:tcPr>
          <w:p w14:paraId="6498DB03" w14:textId="77777777" w:rsidR="003E1D81" w:rsidRDefault="00EB481C">
            <w:pPr>
              <w:pStyle w:val="P68B1DB1-Normal13"/>
              <w:spacing w:after="0"/>
              <w:rPr>
                <w:rFonts w:eastAsia="Times New Roman" w:cs="Times New Roman"/>
                <w:noProof/>
              </w:rPr>
            </w:pPr>
            <w:r>
              <w:rPr>
                <w:noProof/>
              </w:rPr>
              <w:t>A költségvetés végrehajtása legalább 75,6 millió EUR, aminek az ágazat digitalizációjának jelentős javulását kell eredményeznie, nevezetesen: a sportszövetségek digitalizálása (beleértve a költségvetés és az engedélyek kezelését) egy új informatikai rendsz</w:t>
            </w:r>
            <w:r>
              <w:rPr>
                <w:noProof/>
              </w:rPr>
              <w:t>errel; adatelemzésre szolgáló informatikai adattárrendszer; a dolgok internete (IoT) nagyteljesítményű központokban; a versenytársak mintáinak meghatározására vagy az egyes sportolók képzésének optimalizálására szolgáló rendszerek; az egészségfejlesztő tes</w:t>
            </w:r>
            <w:r>
              <w:rPr>
                <w:noProof/>
              </w:rPr>
              <w:t>tmozgással (HEPA) kapcsolatos 10 kutatási projekt közzététele; informatikai rendszerteszt a Nemzeti Sportorvosi Központban; elektronikus hivatal létrehozása a doppingellenes igazgatásban, beleértve az AD-ellenőrzések „papírmentes” rendszerének bevezetését;</w:t>
            </w:r>
            <w:r>
              <w:rPr>
                <w:noProof/>
              </w:rPr>
              <w:t xml:space="preserve"> valamint h) a digitalizáció iránti igények (például alkalmazások, sportszövetségek, sportgyógyászat, egészségvédő testmozgás és dopping elleni küzdelem) tanulmányozása a sportágazat digitalizálása tekintetében.</w:t>
            </w:r>
          </w:p>
        </w:tc>
      </w:tr>
      <w:tr w:rsidR="003E1D81" w14:paraId="22C0CBB8" w14:textId="77777777">
        <w:trPr>
          <w:trHeight w:val="309"/>
        </w:trPr>
        <w:tc>
          <w:tcPr>
            <w:tcW w:w="703" w:type="dxa"/>
            <w:shd w:val="clear" w:color="auto" w:fill="C6EFCE"/>
            <w:noWrap/>
          </w:tcPr>
          <w:p w14:paraId="238CE4CC" w14:textId="77777777" w:rsidR="003E1D81" w:rsidRDefault="00EB481C">
            <w:pPr>
              <w:pStyle w:val="P68B1DB1-Normal13"/>
              <w:spacing w:after="0"/>
              <w:jc w:val="center"/>
              <w:rPr>
                <w:rFonts w:eastAsia="Times New Roman" w:cs="Times New Roman"/>
                <w:noProof/>
              </w:rPr>
            </w:pPr>
            <w:r>
              <w:rPr>
                <w:noProof/>
              </w:rPr>
              <w:t>371</w:t>
            </w:r>
          </w:p>
        </w:tc>
        <w:tc>
          <w:tcPr>
            <w:tcW w:w="845" w:type="dxa"/>
            <w:shd w:val="clear" w:color="auto" w:fill="C6EFCE"/>
            <w:noWrap/>
          </w:tcPr>
          <w:p w14:paraId="6F323562" w14:textId="77777777" w:rsidR="003E1D81" w:rsidRDefault="00EB481C">
            <w:pPr>
              <w:pStyle w:val="P68B1DB1-Normal13"/>
              <w:spacing w:after="0"/>
              <w:jc w:val="center"/>
              <w:rPr>
                <w:rFonts w:eastAsia="Times New Roman" w:cs="Times New Roman"/>
                <w:noProof/>
              </w:rPr>
            </w:pPr>
            <w:r>
              <w:rPr>
                <w:noProof/>
              </w:rPr>
              <w:t>C26.I1</w:t>
            </w:r>
          </w:p>
        </w:tc>
        <w:tc>
          <w:tcPr>
            <w:tcW w:w="844" w:type="dxa"/>
            <w:shd w:val="clear" w:color="auto" w:fill="C6EFCE"/>
            <w:noWrap/>
          </w:tcPr>
          <w:p w14:paraId="7436D12E" w14:textId="77777777" w:rsidR="003E1D81" w:rsidRDefault="00EB481C">
            <w:pPr>
              <w:pStyle w:val="P68B1DB1-Normal13"/>
              <w:spacing w:after="0"/>
              <w:jc w:val="center"/>
              <w:rPr>
                <w:rFonts w:eastAsia="Times New Roman" w:cs="Times New Roman"/>
                <w:noProof/>
              </w:rPr>
            </w:pPr>
            <w:r>
              <w:rPr>
                <w:noProof/>
              </w:rPr>
              <w:t>T</w:t>
            </w:r>
          </w:p>
        </w:tc>
        <w:tc>
          <w:tcPr>
            <w:tcW w:w="2533" w:type="dxa"/>
            <w:shd w:val="clear" w:color="auto" w:fill="C6EFCE"/>
            <w:noWrap/>
          </w:tcPr>
          <w:p w14:paraId="7603D728" w14:textId="77777777" w:rsidR="003E1D81" w:rsidRDefault="00EB481C">
            <w:pPr>
              <w:pStyle w:val="P68B1DB1-Normal13"/>
              <w:spacing w:after="0"/>
              <w:rPr>
                <w:rFonts w:eastAsia="Times New Roman" w:cs="Times New Roman"/>
                <w:noProof/>
              </w:rPr>
            </w:pPr>
            <w:r>
              <w:rPr>
                <w:noProof/>
              </w:rPr>
              <w:t xml:space="preserve">Sportorvosi központok </w:t>
            </w:r>
          </w:p>
        </w:tc>
        <w:tc>
          <w:tcPr>
            <w:tcW w:w="1407" w:type="dxa"/>
            <w:shd w:val="clear" w:color="auto" w:fill="C6EFCE"/>
            <w:noWrap/>
          </w:tcPr>
          <w:p w14:paraId="0C6206B5" w14:textId="77777777" w:rsidR="003E1D81" w:rsidRDefault="00EB481C">
            <w:pPr>
              <w:pStyle w:val="P68B1DB1-Normal13"/>
              <w:spacing w:after="0"/>
              <w:jc w:val="center"/>
              <w:rPr>
                <w:rFonts w:eastAsia="Times New Roman" w:cs="Times New Roman"/>
                <w:noProof/>
              </w:rPr>
            </w:pPr>
            <w:r>
              <w:rPr>
                <w:noProof/>
              </w:rPr>
              <w:t>–</w:t>
            </w:r>
          </w:p>
        </w:tc>
        <w:tc>
          <w:tcPr>
            <w:tcW w:w="986" w:type="dxa"/>
            <w:shd w:val="clear" w:color="auto" w:fill="C6EFCE"/>
            <w:noWrap/>
          </w:tcPr>
          <w:p w14:paraId="27A7F3E5" w14:textId="77777777" w:rsidR="003E1D81" w:rsidRDefault="00EB481C">
            <w:pPr>
              <w:pStyle w:val="P68B1DB1-Normal13"/>
              <w:spacing w:after="0"/>
              <w:jc w:val="center"/>
              <w:rPr>
                <w:rFonts w:eastAsia="Times New Roman" w:cs="Times New Roman"/>
                <w:noProof/>
              </w:rPr>
            </w:pPr>
            <w:r>
              <w:rPr>
                <w:noProof/>
              </w:rPr>
              <w:t>Szám</w:t>
            </w:r>
          </w:p>
        </w:tc>
        <w:tc>
          <w:tcPr>
            <w:tcW w:w="1266" w:type="dxa"/>
            <w:shd w:val="clear" w:color="auto" w:fill="C6EFCE"/>
            <w:noWrap/>
          </w:tcPr>
          <w:p w14:paraId="71445D1F" w14:textId="77777777" w:rsidR="003E1D81" w:rsidRDefault="00EB481C">
            <w:pPr>
              <w:pStyle w:val="P68B1DB1-Normal13"/>
              <w:spacing w:after="0"/>
              <w:jc w:val="right"/>
              <w:rPr>
                <w:rFonts w:eastAsia="Times New Roman" w:cs="Times New Roman"/>
                <w:noProof/>
              </w:rPr>
            </w:pPr>
            <w:r>
              <w:rPr>
                <w:noProof/>
              </w:rPr>
              <w:t xml:space="preserve"> </w:t>
            </w:r>
          </w:p>
        </w:tc>
        <w:tc>
          <w:tcPr>
            <w:tcW w:w="845" w:type="dxa"/>
            <w:shd w:val="clear" w:color="auto" w:fill="C6EFCE"/>
            <w:noWrap/>
          </w:tcPr>
          <w:p w14:paraId="66B572A8" w14:textId="77777777" w:rsidR="003E1D81" w:rsidRDefault="00EB481C">
            <w:pPr>
              <w:pStyle w:val="P68B1DB1-Normal13"/>
              <w:spacing w:after="0"/>
              <w:jc w:val="right"/>
              <w:rPr>
                <w:rFonts w:eastAsia="Times New Roman" w:cs="Times New Roman"/>
                <w:noProof/>
              </w:rPr>
            </w:pPr>
            <w:r>
              <w:rPr>
                <w:noProof/>
              </w:rPr>
              <w:t>20</w:t>
            </w:r>
          </w:p>
        </w:tc>
        <w:tc>
          <w:tcPr>
            <w:tcW w:w="422" w:type="dxa"/>
            <w:shd w:val="clear" w:color="auto" w:fill="C6EFCE"/>
            <w:noWrap/>
          </w:tcPr>
          <w:p w14:paraId="59FC95BC" w14:textId="77777777" w:rsidR="003E1D81" w:rsidRDefault="00EB481C">
            <w:pPr>
              <w:pStyle w:val="P68B1DB1-Normal13"/>
              <w:spacing w:after="0"/>
              <w:jc w:val="center"/>
              <w:rPr>
                <w:rFonts w:eastAsia="Times New Roman" w:cs="Times New Roman"/>
                <w:noProof/>
              </w:rPr>
            </w:pPr>
            <w:r>
              <w:rPr>
                <w:noProof/>
              </w:rPr>
              <w:t>NEGYEDÉV</w:t>
            </w:r>
          </w:p>
        </w:tc>
        <w:tc>
          <w:tcPr>
            <w:tcW w:w="563" w:type="dxa"/>
            <w:shd w:val="clear" w:color="auto" w:fill="C6EFCE"/>
            <w:noWrap/>
          </w:tcPr>
          <w:p w14:paraId="4A092D0E" w14:textId="77777777" w:rsidR="003E1D81" w:rsidRDefault="00EB481C">
            <w:pPr>
              <w:pStyle w:val="P68B1DB1-Normal13"/>
              <w:spacing w:after="0"/>
              <w:jc w:val="center"/>
              <w:rPr>
                <w:rFonts w:eastAsia="Times New Roman" w:cs="Times New Roman"/>
                <w:noProof/>
              </w:rPr>
            </w:pPr>
            <w:r>
              <w:rPr>
                <w:noProof/>
              </w:rPr>
              <w:t>2023</w:t>
            </w:r>
          </w:p>
        </w:tc>
        <w:tc>
          <w:tcPr>
            <w:tcW w:w="4783" w:type="dxa"/>
            <w:gridSpan w:val="2"/>
            <w:shd w:val="clear" w:color="auto" w:fill="C6EFCE"/>
            <w:noWrap/>
          </w:tcPr>
          <w:p w14:paraId="5D12512B" w14:textId="77777777" w:rsidR="003E1D81" w:rsidRDefault="00EB481C">
            <w:pPr>
              <w:pStyle w:val="P68B1DB1-Normal13"/>
              <w:spacing w:after="0"/>
              <w:rPr>
                <w:rFonts w:eastAsia="Times New Roman" w:cs="Times New Roman"/>
                <w:noProof/>
              </w:rPr>
            </w:pPr>
            <w:r>
              <w:rPr>
                <w:noProof/>
              </w:rPr>
              <w:t xml:space="preserve">A 23 sportorvosi központ közül legalább 20 használja az új informatikai technológiát. </w:t>
            </w:r>
          </w:p>
        </w:tc>
      </w:tr>
      <w:tr w:rsidR="003E1D81" w14:paraId="536BCA59" w14:textId="77777777">
        <w:trPr>
          <w:trHeight w:val="309"/>
        </w:trPr>
        <w:tc>
          <w:tcPr>
            <w:tcW w:w="703" w:type="dxa"/>
            <w:shd w:val="clear" w:color="auto" w:fill="C6EFCE"/>
            <w:noWrap/>
          </w:tcPr>
          <w:p w14:paraId="5954174D" w14:textId="77777777" w:rsidR="003E1D81" w:rsidRDefault="00EB481C">
            <w:pPr>
              <w:pStyle w:val="P68B1DB1-Normal13"/>
              <w:spacing w:after="0"/>
              <w:jc w:val="center"/>
              <w:rPr>
                <w:rFonts w:eastAsia="Times New Roman" w:cs="Times New Roman"/>
                <w:noProof/>
              </w:rPr>
            </w:pPr>
            <w:r>
              <w:rPr>
                <w:noProof/>
              </w:rPr>
              <w:t>372</w:t>
            </w:r>
          </w:p>
        </w:tc>
        <w:tc>
          <w:tcPr>
            <w:tcW w:w="845" w:type="dxa"/>
            <w:shd w:val="clear" w:color="auto" w:fill="C6EFCE"/>
            <w:noWrap/>
          </w:tcPr>
          <w:p w14:paraId="0A0ECD6D" w14:textId="77777777" w:rsidR="003E1D81" w:rsidRDefault="00EB481C">
            <w:pPr>
              <w:pStyle w:val="P68B1DB1-Normal13"/>
              <w:spacing w:after="0"/>
              <w:jc w:val="center"/>
              <w:rPr>
                <w:rFonts w:eastAsia="Times New Roman" w:cs="Times New Roman"/>
                <w:noProof/>
              </w:rPr>
            </w:pPr>
            <w:r>
              <w:rPr>
                <w:noProof/>
              </w:rPr>
              <w:t>C26.I1</w:t>
            </w:r>
          </w:p>
        </w:tc>
        <w:tc>
          <w:tcPr>
            <w:tcW w:w="844" w:type="dxa"/>
            <w:shd w:val="clear" w:color="auto" w:fill="C6EFCE"/>
            <w:noWrap/>
          </w:tcPr>
          <w:p w14:paraId="74EB8A03" w14:textId="77777777" w:rsidR="003E1D81" w:rsidRDefault="00EB481C">
            <w:pPr>
              <w:pStyle w:val="P68B1DB1-Normal13"/>
              <w:spacing w:after="0"/>
              <w:jc w:val="center"/>
              <w:rPr>
                <w:rFonts w:eastAsia="Times New Roman" w:cs="Times New Roman"/>
                <w:noProof/>
              </w:rPr>
            </w:pPr>
            <w:r>
              <w:rPr>
                <w:noProof/>
              </w:rPr>
              <w:t>M</w:t>
            </w:r>
          </w:p>
        </w:tc>
        <w:tc>
          <w:tcPr>
            <w:tcW w:w="2533" w:type="dxa"/>
            <w:shd w:val="clear" w:color="auto" w:fill="C6EFCE"/>
            <w:noWrap/>
          </w:tcPr>
          <w:p w14:paraId="0B1A96DF" w14:textId="77777777" w:rsidR="003E1D81" w:rsidRDefault="00EB481C">
            <w:pPr>
              <w:pStyle w:val="P68B1DB1-Normal13"/>
              <w:spacing w:after="0"/>
              <w:rPr>
                <w:rFonts w:eastAsia="Times New Roman" w:cs="Times New Roman"/>
                <w:noProof/>
              </w:rPr>
            </w:pPr>
            <w:r>
              <w:rPr>
                <w:noProof/>
              </w:rPr>
              <w:t>Informatikai projektek lezárása a nagyteljesítményű központokban és a doppingellenes közigazgatásban</w:t>
            </w:r>
          </w:p>
        </w:tc>
        <w:tc>
          <w:tcPr>
            <w:tcW w:w="1407" w:type="dxa"/>
            <w:shd w:val="clear" w:color="auto" w:fill="C6EFCE"/>
            <w:noWrap/>
          </w:tcPr>
          <w:p w14:paraId="161A8D34" w14:textId="77777777" w:rsidR="003E1D81" w:rsidRDefault="00EB481C">
            <w:pPr>
              <w:pStyle w:val="P68B1DB1-Normal13"/>
              <w:spacing w:after="0"/>
              <w:jc w:val="center"/>
              <w:rPr>
                <w:rFonts w:eastAsia="Times New Roman" w:cs="Times New Roman"/>
                <w:noProof/>
              </w:rPr>
            </w:pPr>
            <w:r>
              <w:rPr>
                <w:noProof/>
              </w:rPr>
              <w:t xml:space="preserve">Adatgyűjtés a nagy teljesítményű központoktól; Az AD ellenőrző alkalmazás tesztjeinek megkezdése </w:t>
            </w:r>
          </w:p>
        </w:tc>
        <w:tc>
          <w:tcPr>
            <w:tcW w:w="986" w:type="dxa"/>
            <w:shd w:val="clear" w:color="auto" w:fill="C6EFCE"/>
            <w:noWrap/>
          </w:tcPr>
          <w:p w14:paraId="13A7D378" w14:textId="77777777" w:rsidR="003E1D81" w:rsidRDefault="00EB481C">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28685253" w14:textId="77777777" w:rsidR="003E1D81" w:rsidRDefault="00EB481C">
            <w:pPr>
              <w:pStyle w:val="P68B1DB1-Normal13"/>
              <w:spacing w:after="0"/>
              <w:jc w:val="right"/>
              <w:rPr>
                <w:rFonts w:eastAsia="Times New Roman" w:cs="Times New Roman"/>
                <w:noProof/>
              </w:rPr>
            </w:pPr>
            <w:r>
              <w:rPr>
                <w:noProof/>
              </w:rPr>
              <w:t xml:space="preserve"> </w:t>
            </w:r>
          </w:p>
        </w:tc>
        <w:tc>
          <w:tcPr>
            <w:tcW w:w="845" w:type="dxa"/>
            <w:shd w:val="clear" w:color="auto" w:fill="C6EFCE"/>
            <w:noWrap/>
          </w:tcPr>
          <w:p w14:paraId="452B08AD" w14:textId="77777777" w:rsidR="003E1D81" w:rsidRDefault="00EB481C">
            <w:pPr>
              <w:pStyle w:val="P68B1DB1-Normal13"/>
              <w:spacing w:after="0"/>
              <w:rPr>
                <w:rFonts w:eastAsia="Times New Roman" w:cs="Times New Roman"/>
                <w:noProof/>
              </w:rPr>
            </w:pPr>
            <w:r>
              <w:rPr>
                <w:noProof/>
              </w:rPr>
              <w:t xml:space="preserve"> </w:t>
            </w:r>
          </w:p>
        </w:tc>
        <w:tc>
          <w:tcPr>
            <w:tcW w:w="422" w:type="dxa"/>
            <w:shd w:val="clear" w:color="auto" w:fill="C6EFCE"/>
            <w:noWrap/>
          </w:tcPr>
          <w:p w14:paraId="1EF8BC7A" w14:textId="179EC2AE" w:rsidR="003E1D81" w:rsidRDefault="00EB481C">
            <w:pPr>
              <w:pStyle w:val="P68B1DB1-Normal13"/>
              <w:spacing w:after="0"/>
              <w:jc w:val="center"/>
              <w:rPr>
                <w:rFonts w:eastAsia="Times New Roman" w:cs="Times New Roman"/>
                <w:noProof/>
              </w:rPr>
            </w:pPr>
            <w:r>
              <w:rPr>
                <w:noProof/>
                <w:shd w:val="clear" w:color="auto" w:fill="E6E6E6"/>
              </w:rPr>
              <w:t>KÉRDÉS</w:t>
            </w:r>
          </w:p>
        </w:tc>
        <w:tc>
          <w:tcPr>
            <w:tcW w:w="563" w:type="dxa"/>
            <w:shd w:val="clear" w:color="auto" w:fill="C6EFCE"/>
            <w:noWrap/>
          </w:tcPr>
          <w:p w14:paraId="47634FD0" w14:textId="409F507F" w:rsidR="003E1D81" w:rsidRDefault="00EB481C">
            <w:pPr>
              <w:pStyle w:val="P68B1DB1-Normal13"/>
              <w:spacing w:after="0"/>
              <w:jc w:val="center"/>
              <w:rPr>
                <w:rFonts w:eastAsia="Segoe UI" w:cs="Times New Roman"/>
                <w:noProof/>
              </w:rPr>
            </w:pPr>
            <w:r>
              <w:rPr>
                <w:noProof/>
              </w:rPr>
              <w:t>202</w:t>
            </w:r>
            <w:r>
              <w:rPr>
                <w:noProof/>
                <w:shd w:val="clear" w:color="auto" w:fill="E6E6E6"/>
              </w:rPr>
              <w:t>5</w:t>
            </w:r>
          </w:p>
        </w:tc>
        <w:tc>
          <w:tcPr>
            <w:tcW w:w="4783" w:type="dxa"/>
            <w:gridSpan w:val="2"/>
            <w:shd w:val="clear" w:color="auto" w:fill="C6EFCE"/>
            <w:noWrap/>
          </w:tcPr>
          <w:p w14:paraId="47F9C0F1" w14:textId="77777777" w:rsidR="003E1D81" w:rsidRDefault="00EB481C">
            <w:pPr>
              <w:pStyle w:val="P68B1DB1-Normal13"/>
              <w:spacing w:after="0"/>
              <w:rPr>
                <w:rFonts w:eastAsia="Times New Roman" w:cs="Times New Roman"/>
                <w:noProof/>
              </w:rPr>
            </w:pPr>
            <w:r>
              <w:rPr>
                <w:noProof/>
              </w:rPr>
              <w:t>Az informatikai rendszerek fejlesztésének befejezése (beleértve a dolgok internetét is) nagy teljesítményű központokban. A doppingellenes ig</w:t>
            </w:r>
            <w:r>
              <w:rPr>
                <w:noProof/>
              </w:rPr>
              <w:t xml:space="preserve">azgatás elektronikus hivatalának létrehozása, beleértve az AD-ellenőrzések „papírmentes” rendszerének bevezetését. </w:t>
            </w:r>
          </w:p>
        </w:tc>
      </w:tr>
      <w:tr w:rsidR="003E1D81" w14:paraId="40394112" w14:textId="77777777">
        <w:trPr>
          <w:trHeight w:val="309"/>
        </w:trPr>
        <w:tc>
          <w:tcPr>
            <w:tcW w:w="703" w:type="dxa"/>
            <w:shd w:val="clear" w:color="auto" w:fill="C6EFCE"/>
            <w:noWrap/>
          </w:tcPr>
          <w:p w14:paraId="693E8847" w14:textId="77777777" w:rsidR="003E1D81" w:rsidRDefault="00EB481C">
            <w:pPr>
              <w:pStyle w:val="P68B1DB1-Normal13"/>
              <w:spacing w:after="0"/>
              <w:jc w:val="center"/>
              <w:rPr>
                <w:rFonts w:eastAsia="Times New Roman" w:cs="Times New Roman"/>
                <w:noProof/>
              </w:rPr>
            </w:pPr>
            <w:r>
              <w:rPr>
                <w:noProof/>
              </w:rPr>
              <w:t>373</w:t>
            </w:r>
          </w:p>
        </w:tc>
        <w:tc>
          <w:tcPr>
            <w:tcW w:w="845" w:type="dxa"/>
            <w:shd w:val="clear" w:color="auto" w:fill="C6EFCE"/>
            <w:noWrap/>
          </w:tcPr>
          <w:p w14:paraId="1EFF04BB" w14:textId="77777777" w:rsidR="003E1D81" w:rsidRDefault="00EB481C">
            <w:pPr>
              <w:pStyle w:val="P68B1DB1-Normal13"/>
              <w:spacing w:after="0"/>
              <w:jc w:val="center"/>
              <w:rPr>
                <w:rFonts w:eastAsia="Times New Roman" w:cs="Times New Roman"/>
                <w:noProof/>
              </w:rPr>
            </w:pPr>
            <w:r>
              <w:rPr>
                <w:noProof/>
              </w:rPr>
              <w:t>C26.I2</w:t>
            </w:r>
          </w:p>
        </w:tc>
        <w:tc>
          <w:tcPr>
            <w:tcW w:w="844" w:type="dxa"/>
            <w:shd w:val="clear" w:color="auto" w:fill="C6EFCE"/>
            <w:noWrap/>
          </w:tcPr>
          <w:p w14:paraId="386533DB" w14:textId="77777777" w:rsidR="003E1D81" w:rsidRDefault="00EB481C">
            <w:pPr>
              <w:pStyle w:val="P68B1DB1-Normal13"/>
              <w:spacing w:after="0"/>
              <w:jc w:val="center"/>
              <w:rPr>
                <w:rFonts w:eastAsia="Times New Roman" w:cs="Times New Roman"/>
                <w:noProof/>
              </w:rPr>
            </w:pPr>
            <w:r>
              <w:rPr>
                <w:noProof/>
              </w:rPr>
              <w:t>T</w:t>
            </w:r>
          </w:p>
        </w:tc>
        <w:tc>
          <w:tcPr>
            <w:tcW w:w="2533" w:type="dxa"/>
            <w:shd w:val="clear" w:color="auto" w:fill="C6EFCE"/>
            <w:noWrap/>
          </w:tcPr>
          <w:p w14:paraId="1D831BB2" w14:textId="77777777" w:rsidR="003E1D81" w:rsidRDefault="00EB481C">
            <w:pPr>
              <w:pStyle w:val="P68B1DB1-Normal13"/>
              <w:spacing w:after="0"/>
              <w:rPr>
                <w:rFonts w:eastAsia="Times New Roman" w:cs="Times New Roman"/>
                <w:noProof/>
              </w:rPr>
            </w:pPr>
            <w:r>
              <w:rPr>
                <w:noProof/>
              </w:rPr>
              <w:t xml:space="preserve">A sport- és sportlétesítmények műszaki központjainak felújítása és fejlesztése </w:t>
            </w:r>
          </w:p>
        </w:tc>
        <w:tc>
          <w:tcPr>
            <w:tcW w:w="1407" w:type="dxa"/>
            <w:shd w:val="clear" w:color="auto" w:fill="C6EFCE"/>
            <w:noWrap/>
          </w:tcPr>
          <w:p w14:paraId="49CA4BE9" w14:textId="77777777" w:rsidR="003E1D81" w:rsidRDefault="00EB481C">
            <w:pPr>
              <w:pStyle w:val="P68B1DB1-Normal13"/>
              <w:spacing w:after="0"/>
              <w:jc w:val="center"/>
              <w:rPr>
                <w:rFonts w:eastAsia="Times New Roman" w:cs="Times New Roman"/>
                <w:noProof/>
              </w:rPr>
            </w:pPr>
            <w:r>
              <w:rPr>
                <w:noProof/>
              </w:rPr>
              <w:t> </w:t>
            </w:r>
          </w:p>
        </w:tc>
        <w:tc>
          <w:tcPr>
            <w:tcW w:w="986" w:type="dxa"/>
            <w:shd w:val="clear" w:color="auto" w:fill="C6EFCE"/>
            <w:noWrap/>
          </w:tcPr>
          <w:p w14:paraId="70CF1816" w14:textId="77777777" w:rsidR="003E1D81" w:rsidRDefault="00EB481C">
            <w:pPr>
              <w:pStyle w:val="P68B1DB1-Normal13"/>
              <w:spacing w:after="0"/>
              <w:jc w:val="center"/>
              <w:rPr>
                <w:rFonts w:eastAsia="Times New Roman" w:cs="Times New Roman"/>
                <w:noProof/>
              </w:rPr>
            </w:pPr>
            <w:r>
              <w:rPr>
                <w:noProof/>
              </w:rPr>
              <w:t>Szám</w:t>
            </w:r>
          </w:p>
        </w:tc>
        <w:tc>
          <w:tcPr>
            <w:tcW w:w="1266" w:type="dxa"/>
            <w:shd w:val="clear" w:color="auto" w:fill="C6EFCE"/>
            <w:noWrap/>
          </w:tcPr>
          <w:p w14:paraId="53DBFA27" w14:textId="77777777" w:rsidR="003E1D81" w:rsidRDefault="00EB481C">
            <w:pPr>
              <w:pStyle w:val="P68B1DB1-Normal13"/>
              <w:spacing w:after="0"/>
              <w:jc w:val="right"/>
              <w:rPr>
                <w:rFonts w:eastAsia="Times New Roman" w:cs="Times New Roman"/>
                <w:noProof/>
              </w:rPr>
            </w:pPr>
            <w:r>
              <w:rPr>
                <w:noProof/>
              </w:rPr>
              <w:t>0</w:t>
            </w:r>
          </w:p>
        </w:tc>
        <w:tc>
          <w:tcPr>
            <w:tcW w:w="845" w:type="dxa"/>
            <w:shd w:val="clear" w:color="auto" w:fill="C6EFCE"/>
            <w:noWrap/>
          </w:tcPr>
          <w:p w14:paraId="3918953E" w14:textId="77777777" w:rsidR="003E1D81" w:rsidRDefault="00EB481C">
            <w:pPr>
              <w:pStyle w:val="P68B1DB1-Normal13"/>
              <w:spacing w:after="0"/>
              <w:jc w:val="right"/>
              <w:rPr>
                <w:rFonts w:eastAsia="Times New Roman" w:cs="Times New Roman"/>
                <w:noProof/>
              </w:rPr>
            </w:pPr>
            <w:r>
              <w:rPr>
                <w:noProof/>
              </w:rPr>
              <w:t>95</w:t>
            </w:r>
          </w:p>
        </w:tc>
        <w:tc>
          <w:tcPr>
            <w:tcW w:w="422" w:type="dxa"/>
            <w:shd w:val="clear" w:color="auto" w:fill="C6EFCE"/>
            <w:noWrap/>
          </w:tcPr>
          <w:p w14:paraId="7F2234A6" w14:textId="77777777" w:rsidR="003E1D81" w:rsidRDefault="00EB481C">
            <w:pPr>
              <w:pStyle w:val="P68B1DB1-Normal13"/>
              <w:spacing w:after="0"/>
              <w:jc w:val="center"/>
              <w:rPr>
                <w:rFonts w:eastAsia="Times New Roman" w:cs="Times New Roman"/>
                <w:noProof/>
              </w:rPr>
            </w:pPr>
            <w:r>
              <w:rPr>
                <w:noProof/>
              </w:rPr>
              <w:t>NEGYEDÉV</w:t>
            </w:r>
          </w:p>
        </w:tc>
        <w:tc>
          <w:tcPr>
            <w:tcW w:w="563" w:type="dxa"/>
            <w:shd w:val="clear" w:color="auto" w:fill="C6EFCE"/>
            <w:noWrap/>
          </w:tcPr>
          <w:p w14:paraId="5E4ACF4C" w14:textId="77777777" w:rsidR="003E1D81" w:rsidRDefault="00EB481C">
            <w:pPr>
              <w:pStyle w:val="P68B1DB1-Normal13"/>
              <w:spacing w:after="0"/>
              <w:jc w:val="center"/>
              <w:rPr>
                <w:rFonts w:eastAsia="Times New Roman" w:cs="Times New Roman"/>
                <w:noProof/>
              </w:rPr>
            </w:pPr>
            <w:r>
              <w:rPr>
                <w:noProof/>
              </w:rPr>
              <w:t>2025</w:t>
            </w:r>
          </w:p>
        </w:tc>
        <w:tc>
          <w:tcPr>
            <w:tcW w:w="4783" w:type="dxa"/>
            <w:gridSpan w:val="2"/>
            <w:shd w:val="clear" w:color="auto" w:fill="C6EFCE"/>
            <w:noWrap/>
          </w:tcPr>
          <w:p w14:paraId="76FF6E59" w14:textId="3ADFF652" w:rsidR="003E1D81" w:rsidRDefault="00EB481C">
            <w:pPr>
              <w:pStyle w:val="P68B1DB1-Normal13"/>
              <w:spacing w:after="0"/>
              <w:rPr>
                <w:rFonts w:eastAsia="Times New Roman" w:cs="Times New Roman"/>
                <w:noProof/>
              </w:rPr>
            </w:pPr>
            <w:r>
              <w:rPr>
                <w:noProof/>
              </w:rPr>
              <w:t xml:space="preserve">Legalább 40 műszaki </w:t>
            </w:r>
            <w:r>
              <w:rPr>
                <w:noProof/>
              </w:rPr>
              <w:t>központot és 45 sportlétesítményt fel kell újítani, és azoknak a digitalizáció és/vagy a hozzáférhetőség javítása révén javították az energiahatékonyságot és/vagy a használat optimalizálását. A munkálatok befejezésének igazolását a munkálatok befejezéséről</w:t>
            </w:r>
            <w:r>
              <w:rPr>
                <w:noProof/>
              </w:rPr>
              <w:t xml:space="preserve"> szóló igazolásnak kell tekinteni. Az energiahatékonyságra irányuló beavatkozásoknak átlagosan legalább 30%-os primerenergia-igénycsökkenést kell elérniük.  A létesítmények jegyzékét nyilvánosságra kell hozni.</w:t>
            </w:r>
          </w:p>
        </w:tc>
      </w:tr>
      <w:tr w:rsidR="003E1D81" w14:paraId="4BDA43E6" w14:textId="77777777">
        <w:trPr>
          <w:trHeight w:val="309"/>
        </w:trPr>
        <w:tc>
          <w:tcPr>
            <w:tcW w:w="703" w:type="dxa"/>
            <w:shd w:val="clear" w:color="auto" w:fill="C6EFCE"/>
            <w:noWrap/>
          </w:tcPr>
          <w:p w14:paraId="6F822960" w14:textId="77777777" w:rsidR="003E1D81" w:rsidRDefault="00EB481C">
            <w:pPr>
              <w:pStyle w:val="P68B1DB1-Normal13"/>
              <w:spacing w:after="0"/>
              <w:jc w:val="center"/>
              <w:rPr>
                <w:rFonts w:eastAsia="Times New Roman" w:cs="Times New Roman"/>
                <w:noProof/>
              </w:rPr>
            </w:pPr>
            <w:r>
              <w:rPr>
                <w:noProof/>
              </w:rPr>
              <w:t>374</w:t>
            </w:r>
          </w:p>
        </w:tc>
        <w:tc>
          <w:tcPr>
            <w:tcW w:w="845" w:type="dxa"/>
            <w:shd w:val="clear" w:color="auto" w:fill="C6EFCE"/>
            <w:noWrap/>
          </w:tcPr>
          <w:p w14:paraId="6F7A3FE8" w14:textId="77777777" w:rsidR="003E1D81" w:rsidRDefault="00EB481C">
            <w:pPr>
              <w:pStyle w:val="P68B1DB1-Normal13"/>
              <w:spacing w:after="0"/>
              <w:jc w:val="center"/>
              <w:rPr>
                <w:rFonts w:eastAsia="Times New Roman" w:cs="Times New Roman"/>
                <w:noProof/>
              </w:rPr>
            </w:pPr>
            <w:r>
              <w:rPr>
                <w:noProof/>
              </w:rPr>
              <w:t>C26.I3</w:t>
            </w:r>
          </w:p>
        </w:tc>
        <w:tc>
          <w:tcPr>
            <w:tcW w:w="844" w:type="dxa"/>
            <w:shd w:val="clear" w:color="auto" w:fill="C6EFCE"/>
            <w:noWrap/>
          </w:tcPr>
          <w:p w14:paraId="3FF2A72F" w14:textId="77777777" w:rsidR="003E1D81" w:rsidRDefault="00EB481C">
            <w:pPr>
              <w:pStyle w:val="P68B1DB1-Normal13"/>
              <w:spacing w:after="0"/>
              <w:jc w:val="center"/>
              <w:rPr>
                <w:rFonts w:eastAsia="Times New Roman" w:cs="Times New Roman"/>
                <w:noProof/>
              </w:rPr>
            </w:pPr>
            <w:r>
              <w:rPr>
                <w:noProof/>
              </w:rPr>
              <w:t>M</w:t>
            </w:r>
          </w:p>
        </w:tc>
        <w:tc>
          <w:tcPr>
            <w:tcW w:w="2533" w:type="dxa"/>
            <w:shd w:val="clear" w:color="auto" w:fill="C6EFCE"/>
            <w:noWrap/>
          </w:tcPr>
          <w:p w14:paraId="5B04924F" w14:textId="77777777" w:rsidR="003E1D81" w:rsidRDefault="00EB481C">
            <w:pPr>
              <w:pStyle w:val="P68B1DB1-Normal13"/>
              <w:spacing w:after="0"/>
              <w:rPr>
                <w:rFonts w:eastAsia="Times New Roman" w:cs="Times New Roman"/>
                <w:noProof/>
              </w:rPr>
            </w:pPr>
            <w:r>
              <w:rPr>
                <w:noProof/>
              </w:rPr>
              <w:t xml:space="preserve">A sport terén az egyenlőséget előmozdító projektek </w:t>
            </w:r>
          </w:p>
        </w:tc>
        <w:tc>
          <w:tcPr>
            <w:tcW w:w="1407" w:type="dxa"/>
            <w:shd w:val="clear" w:color="auto" w:fill="C6EFCE"/>
            <w:noWrap/>
          </w:tcPr>
          <w:p w14:paraId="596DD18A" w14:textId="77777777" w:rsidR="003E1D81" w:rsidRDefault="00EB481C">
            <w:pPr>
              <w:pStyle w:val="P68B1DB1-Normal13"/>
              <w:spacing w:after="0"/>
              <w:jc w:val="center"/>
              <w:rPr>
                <w:rFonts w:eastAsia="Times New Roman" w:cs="Times New Roman"/>
                <w:noProof/>
              </w:rPr>
            </w:pPr>
            <w:r>
              <w:rPr>
                <w:noProof/>
              </w:rPr>
              <w:t>A Hivatalos Lapban való közzététel</w:t>
            </w:r>
          </w:p>
        </w:tc>
        <w:tc>
          <w:tcPr>
            <w:tcW w:w="986" w:type="dxa"/>
            <w:shd w:val="clear" w:color="auto" w:fill="C6EFCE"/>
            <w:noWrap/>
          </w:tcPr>
          <w:p w14:paraId="650C8A1A" w14:textId="77777777" w:rsidR="003E1D81" w:rsidRDefault="00EB481C">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2D1AE1A9" w14:textId="77777777" w:rsidR="003E1D81" w:rsidRDefault="003E1D81">
            <w:pPr>
              <w:tabs>
                <w:tab w:val="center" w:pos="605"/>
                <w:tab w:val="right" w:pos="1210"/>
              </w:tabs>
              <w:spacing w:after="0"/>
              <w:rPr>
                <w:rFonts w:ascii="Times New Roman" w:eastAsia="Times New Roman" w:hAnsi="Times New Roman" w:cs="Times New Roman"/>
                <w:noProof/>
                <w:sz w:val="18"/>
              </w:rPr>
            </w:pPr>
          </w:p>
        </w:tc>
        <w:tc>
          <w:tcPr>
            <w:tcW w:w="845" w:type="dxa"/>
            <w:shd w:val="clear" w:color="auto" w:fill="C6EFCE"/>
            <w:noWrap/>
          </w:tcPr>
          <w:p w14:paraId="7B4FDE8B" w14:textId="77777777" w:rsidR="003E1D81" w:rsidRDefault="00EB481C">
            <w:pPr>
              <w:pStyle w:val="P68B1DB1-Normal13"/>
              <w:spacing w:after="0"/>
              <w:jc w:val="right"/>
              <w:rPr>
                <w:rFonts w:eastAsia="Times New Roman" w:cs="Times New Roman"/>
                <w:noProof/>
              </w:rPr>
            </w:pPr>
            <w:r>
              <w:rPr>
                <w:noProof/>
              </w:rPr>
              <w:t xml:space="preserve"> </w:t>
            </w:r>
          </w:p>
        </w:tc>
        <w:tc>
          <w:tcPr>
            <w:tcW w:w="422" w:type="dxa"/>
            <w:shd w:val="clear" w:color="auto" w:fill="C6EFCE"/>
            <w:noWrap/>
          </w:tcPr>
          <w:p w14:paraId="421965A5" w14:textId="77777777" w:rsidR="003E1D81" w:rsidRDefault="00EB481C">
            <w:pPr>
              <w:pStyle w:val="P68B1DB1-Normal13"/>
              <w:spacing w:after="0"/>
              <w:jc w:val="center"/>
              <w:rPr>
                <w:rFonts w:eastAsia="Times New Roman" w:cs="Times New Roman"/>
                <w:noProof/>
              </w:rPr>
            </w:pPr>
            <w:r>
              <w:rPr>
                <w:noProof/>
              </w:rPr>
              <w:t>KÉRDÉS</w:t>
            </w:r>
          </w:p>
        </w:tc>
        <w:tc>
          <w:tcPr>
            <w:tcW w:w="563" w:type="dxa"/>
            <w:shd w:val="clear" w:color="auto" w:fill="C6EFCE"/>
            <w:noWrap/>
          </w:tcPr>
          <w:p w14:paraId="635D3B30" w14:textId="77777777" w:rsidR="003E1D81" w:rsidRDefault="00EB481C">
            <w:pPr>
              <w:pStyle w:val="P68B1DB1-Normal13"/>
              <w:spacing w:after="0"/>
              <w:jc w:val="center"/>
              <w:rPr>
                <w:rFonts w:eastAsia="Times New Roman" w:cs="Times New Roman"/>
                <w:noProof/>
              </w:rPr>
            </w:pPr>
            <w:r>
              <w:rPr>
                <w:noProof/>
              </w:rPr>
              <w:t>2022</w:t>
            </w:r>
          </w:p>
        </w:tc>
        <w:tc>
          <w:tcPr>
            <w:tcW w:w="4783" w:type="dxa"/>
            <w:gridSpan w:val="2"/>
            <w:shd w:val="clear" w:color="auto" w:fill="C6EFCE"/>
            <w:noWrap/>
          </w:tcPr>
          <w:p w14:paraId="0AB48EE3" w14:textId="77777777" w:rsidR="003E1D81" w:rsidRDefault="00EB481C">
            <w:pPr>
              <w:pStyle w:val="P68B1DB1-Normal13"/>
              <w:spacing w:after="0"/>
              <w:rPr>
                <w:rFonts w:eastAsia="Times New Roman" w:cs="Times New Roman"/>
                <w:noProof/>
              </w:rPr>
            </w:pPr>
            <w:r>
              <w:rPr>
                <w:noProof/>
              </w:rPr>
              <w:t>A CSD (Nemzeti Sporttanács) pályázati felhívást ad ki a Hivatalos Lapban, amely várhatóan legalább 15 kedvezményezett projektet választ ki a sport terén</w:t>
            </w:r>
            <w:r>
              <w:rPr>
                <w:noProof/>
              </w:rPr>
              <w:t xml:space="preserve"> az egyenlőség előmozdítására, különösen a női sportok képzésén, professzionalizálásán és a női sportok láthatóságán keresztül. A felhívás összesített költségvetése 11 700 000 EUR.</w:t>
            </w:r>
          </w:p>
        </w:tc>
      </w:tr>
      <w:tr w:rsidR="003E1D81" w14:paraId="6370569A" w14:textId="77777777">
        <w:trPr>
          <w:trHeight w:val="309"/>
        </w:trPr>
        <w:tc>
          <w:tcPr>
            <w:tcW w:w="703" w:type="dxa"/>
            <w:shd w:val="clear" w:color="auto" w:fill="C6EFCE"/>
            <w:noWrap/>
          </w:tcPr>
          <w:p w14:paraId="0F6BB98E" w14:textId="77777777" w:rsidR="003E1D81" w:rsidRDefault="00EB481C">
            <w:pPr>
              <w:pStyle w:val="P68B1DB1-Normal13"/>
              <w:spacing w:after="0"/>
              <w:jc w:val="center"/>
              <w:rPr>
                <w:rFonts w:eastAsia="Times New Roman" w:cs="Times New Roman"/>
                <w:noProof/>
              </w:rPr>
            </w:pPr>
            <w:r>
              <w:rPr>
                <w:noProof/>
              </w:rPr>
              <w:t>375</w:t>
            </w:r>
          </w:p>
        </w:tc>
        <w:tc>
          <w:tcPr>
            <w:tcW w:w="845" w:type="dxa"/>
            <w:shd w:val="clear" w:color="auto" w:fill="C6EFCE"/>
            <w:noWrap/>
          </w:tcPr>
          <w:p w14:paraId="32BA3EC0" w14:textId="77777777" w:rsidR="003E1D81" w:rsidRDefault="00EB481C">
            <w:pPr>
              <w:pStyle w:val="P68B1DB1-Normal13"/>
              <w:spacing w:after="0"/>
              <w:jc w:val="center"/>
              <w:rPr>
                <w:rFonts w:eastAsia="Times New Roman" w:cs="Times New Roman"/>
                <w:noProof/>
              </w:rPr>
            </w:pPr>
            <w:r>
              <w:rPr>
                <w:noProof/>
              </w:rPr>
              <w:t>C26.I3</w:t>
            </w:r>
          </w:p>
        </w:tc>
        <w:tc>
          <w:tcPr>
            <w:tcW w:w="844" w:type="dxa"/>
            <w:shd w:val="clear" w:color="auto" w:fill="C6EFCE"/>
            <w:noWrap/>
          </w:tcPr>
          <w:p w14:paraId="2E060E23" w14:textId="77777777" w:rsidR="003E1D81" w:rsidRDefault="00EB481C">
            <w:pPr>
              <w:pStyle w:val="P68B1DB1-Normal13"/>
              <w:spacing w:after="0"/>
              <w:jc w:val="center"/>
              <w:rPr>
                <w:rFonts w:eastAsia="Times New Roman" w:cs="Times New Roman"/>
                <w:noProof/>
              </w:rPr>
            </w:pPr>
            <w:r>
              <w:rPr>
                <w:noProof/>
              </w:rPr>
              <w:t>T</w:t>
            </w:r>
          </w:p>
        </w:tc>
        <w:tc>
          <w:tcPr>
            <w:tcW w:w="2533" w:type="dxa"/>
            <w:shd w:val="clear" w:color="auto" w:fill="C6EFCE"/>
            <w:noWrap/>
          </w:tcPr>
          <w:p w14:paraId="39592C02" w14:textId="77777777" w:rsidR="003E1D81" w:rsidRDefault="00EB481C">
            <w:pPr>
              <w:pStyle w:val="P68B1DB1-Normal13"/>
              <w:spacing w:after="0"/>
              <w:rPr>
                <w:rFonts w:eastAsia="Times New Roman" w:cs="Times New Roman"/>
                <w:noProof/>
              </w:rPr>
            </w:pPr>
            <w:r>
              <w:rPr>
                <w:noProof/>
              </w:rPr>
              <w:t>A sportra vonatkozó szociális terv intézkedéseinek lezárása</w:t>
            </w:r>
          </w:p>
        </w:tc>
        <w:tc>
          <w:tcPr>
            <w:tcW w:w="1407" w:type="dxa"/>
            <w:shd w:val="clear" w:color="auto" w:fill="C6EFCE"/>
            <w:noWrap/>
          </w:tcPr>
          <w:p w14:paraId="2CFA13A8" w14:textId="77777777" w:rsidR="003E1D81" w:rsidRDefault="00EB481C">
            <w:pPr>
              <w:pStyle w:val="P68B1DB1-Normal13"/>
              <w:spacing w:after="0"/>
              <w:jc w:val="center"/>
              <w:rPr>
                <w:rFonts w:eastAsia="Times New Roman" w:cs="Times New Roman"/>
                <w:noProof/>
              </w:rPr>
            </w:pPr>
            <w:r>
              <w:rPr>
                <w:noProof/>
              </w:rPr>
              <w:t> </w:t>
            </w:r>
          </w:p>
        </w:tc>
        <w:tc>
          <w:tcPr>
            <w:tcW w:w="986" w:type="dxa"/>
            <w:shd w:val="clear" w:color="auto" w:fill="C6EFCE"/>
            <w:noWrap/>
          </w:tcPr>
          <w:p w14:paraId="10D0E016" w14:textId="77777777" w:rsidR="003E1D81" w:rsidRDefault="00EB481C">
            <w:pPr>
              <w:pStyle w:val="P68B1DB1-Normal13"/>
              <w:spacing w:after="0"/>
              <w:jc w:val="center"/>
              <w:rPr>
                <w:rFonts w:eastAsia="Times New Roman" w:cs="Times New Roman"/>
                <w:noProof/>
              </w:rPr>
            </w:pPr>
            <w:r>
              <w:rPr>
                <w:noProof/>
              </w:rPr>
              <w:t>Szám</w:t>
            </w:r>
          </w:p>
        </w:tc>
        <w:tc>
          <w:tcPr>
            <w:tcW w:w="1266" w:type="dxa"/>
            <w:shd w:val="clear" w:color="auto" w:fill="C6EFCE"/>
            <w:noWrap/>
          </w:tcPr>
          <w:p w14:paraId="38316D7B" w14:textId="77777777" w:rsidR="003E1D81" w:rsidRDefault="00EB481C">
            <w:pPr>
              <w:pStyle w:val="P68B1DB1-Normal13"/>
              <w:spacing w:after="0"/>
              <w:jc w:val="center"/>
              <w:rPr>
                <w:rFonts w:eastAsia="Times New Roman" w:cs="Times New Roman"/>
                <w:noProof/>
              </w:rPr>
            </w:pPr>
            <w:r>
              <w:rPr>
                <w:noProof/>
              </w:rPr>
              <w:t>0</w:t>
            </w:r>
          </w:p>
        </w:tc>
        <w:tc>
          <w:tcPr>
            <w:tcW w:w="845" w:type="dxa"/>
            <w:shd w:val="clear" w:color="auto" w:fill="C6EFCE"/>
            <w:noWrap/>
          </w:tcPr>
          <w:p w14:paraId="5B41D815" w14:textId="77777777" w:rsidR="003E1D81" w:rsidRDefault="00EB481C">
            <w:pPr>
              <w:pStyle w:val="P68B1DB1-Normal13"/>
              <w:spacing w:after="0"/>
              <w:jc w:val="center"/>
              <w:rPr>
                <w:rFonts w:eastAsia="Times New Roman" w:cs="Times New Roman"/>
                <w:noProof/>
              </w:rPr>
            </w:pPr>
            <w:r>
              <w:rPr>
                <w:noProof/>
              </w:rPr>
              <w:t>40</w:t>
            </w:r>
          </w:p>
        </w:tc>
        <w:tc>
          <w:tcPr>
            <w:tcW w:w="422" w:type="dxa"/>
            <w:shd w:val="clear" w:color="auto" w:fill="C6EFCE"/>
            <w:noWrap/>
          </w:tcPr>
          <w:p w14:paraId="080B73A6" w14:textId="77777777" w:rsidR="003E1D81" w:rsidRDefault="00EB481C">
            <w:pPr>
              <w:pStyle w:val="P68B1DB1-Normal13"/>
              <w:spacing w:after="0"/>
              <w:jc w:val="center"/>
              <w:rPr>
                <w:rFonts w:eastAsia="Times New Roman" w:cs="Times New Roman"/>
                <w:noProof/>
              </w:rPr>
            </w:pPr>
            <w:r>
              <w:rPr>
                <w:noProof/>
              </w:rPr>
              <w:t>NEGYEDÉV</w:t>
            </w:r>
          </w:p>
        </w:tc>
        <w:tc>
          <w:tcPr>
            <w:tcW w:w="563" w:type="dxa"/>
            <w:shd w:val="clear" w:color="auto" w:fill="C6EFCE"/>
            <w:noWrap/>
          </w:tcPr>
          <w:p w14:paraId="3A606EDD" w14:textId="77777777" w:rsidR="003E1D81" w:rsidRDefault="00EB481C">
            <w:pPr>
              <w:pStyle w:val="P68B1DB1-Normal13"/>
              <w:spacing w:after="0"/>
              <w:jc w:val="center"/>
              <w:rPr>
                <w:rFonts w:eastAsia="Times New Roman" w:cs="Times New Roman"/>
                <w:noProof/>
              </w:rPr>
            </w:pPr>
            <w:r>
              <w:rPr>
                <w:noProof/>
              </w:rPr>
              <w:t>2023</w:t>
            </w:r>
          </w:p>
        </w:tc>
        <w:tc>
          <w:tcPr>
            <w:tcW w:w="4783" w:type="dxa"/>
            <w:gridSpan w:val="2"/>
            <w:shd w:val="clear" w:color="auto" w:fill="C6EFCE"/>
            <w:noWrap/>
          </w:tcPr>
          <w:p w14:paraId="2089D9AC" w14:textId="77777777" w:rsidR="003E1D81" w:rsidRDefault="00EB481C">
            <w:pPr>
              <w:pStyle w:val="P68B1DB1-Normal13"/>
              <w:spacing w:after="0"/>
              <w:rPr>
                <w:rFonts w:eastAsia="Times New Roman" w:cs="Times New Roman"/>
                <w:noProof/>
              </w:rPr>
            </w:pPr>
            <w:r>
              <w:rPr>
                <w:noProof/>
              </w:rPr>
              <w:t xml:space="preserve">A sportra vonatkozó szociális terv intézkedéseinek lezárása, beleértve legalább 40 sportlétesítmény felújítását és a nők hivatásos sportokban való jelenlétének előmozdítását célzó intézkedéseket (képzési programok, </w:t>
            </w:r>
            <w:r>
              <w:rPr>
                <w:noProof/>
              </w:rPr>
              <w:t>marketingkampányok és tanulmányok). Az energiahatékonyságra irányuló beavatkozásoknak átlagosan legalább 30%-os primerenergia-igénycsökkenést kell elérniük. A létesítmények jegyzékét nyilvánosságra kell hozni.</w:t>
            </w:r>
          </w:p>
        </w:tc>
      </w:tr>
    </w:tbl>
    <w:p w14:paraId="67B737D8" w14:textId="77777777" w:rsidR="003E1D81" w:rsidRDefault="003E1D81">
      <w:pPr>
        <w:pStyle w:val="SectionTitle"/>
        <w:rPr>
          <w:rFonts w:ascii="Times New Roman" w:hAnsi="Times New Roman" w:cs="Times New Roman"/>
          <w:noProof/>
        </w:rPr>
        <w:sectPr w:rsidR="003E1D81" w:rsidSect="00C94F66">
          <w:headerReference w:type="even" r:id="rId501"/>
          <w:headerReference w:type="default" r:id="rId502"/>
          <w:footerReference w:type="even" r:id="rId503"/>
          <w:footerReference w:type="default" r:id="rId504"/>
          <w:headerReference w:type="first" r:id="rId505"/>
          <w:footerReference w:type="first" r:id="rId506"/>
          <w:pgSz w:w="16839" w:h="11907" w:orient="landscape"/>
          <w:pgMar w:top="1417" w:right="1134" w:bottom="1417" w:left="1134" w:header="709" w:footer="709" w:gutter="0"/>
          <w:cols w:space="720"/>
          <w:docGrid w:linePitch="360"/>
        </w:sectPr>
      </w:pPr>
    </w:p>
    <w:p w14:paraId="7AE65ADE" w14:textId="77777777" w:rsidR="003E1D81" w:rsidRDefault="00EB481C">
      <w:pPr>
        <w:pStyle w:val="P68B1DB1-Heading12"/>
        <w:rPr>
          <w:rFonts w:cs="Times New Roman"/>
          <w:noProof/>
        </w:rPr>
      </w:pPr>
      <w:r>
        <w:rPr>
          <w:noProof/>
        </w:rPr>
        <w:t>AA. ÖSSZETEVŐ: Az adócsalás megelőzését és leküzdését célzó intézkedések és fellépések</w:t>
      </w:r>
    </w:p>
    <w:p w14:paraId="7238EB16" w14:textId="77777777" w:rsidR="003E1D81" w:rsidRDefault="00EB481C">
      <w:pPr>
        <w:pStyle w:val="P68B1DB1-Text119"/>
        <w:ind w:left="0"/>
        <w:rPr>
          <w:rFonts w:cs="Times New Roman"/>
          <w:noProof/>
        </w:rPr>
      </w:pPr>
      <w:r>
        <w:rPr>
          <w:noProof/>
        </w:rPr>
        <w:t>A spanyol helyreállítási és rezilienciaépítési terv e komponense az adócsalás és az adókikerülés megelőzésével és az ellenük folytatott küzdele</w:t>
      </w:r>
      <w:r>
        <w:rPr>
          <w:noProof/>
        </w:rPr>
        <w:t>mmel kapcsolatos kihívásokkal foglalkozik. A komponens célja az adózási fegyelem fokozása és több adóbevétel beszedése. A komponens többek között a költségvetési és közbeszerzési kereteknek a kormányzat valamennyi szintjén történő megerősítéséről szóló ors</w:t>
      </w:r>
      <w:r>
        <w:rPr>
          <w:noProof/>
        </w:rPr>
        <w:t>zágspecifikus ajánlásokkal foglalkozik (2019. évi 1. országspecifikus ajánlás), valamint – amennyiben a gazdasági feltételek lehetővé teszik – a prudens középtávú költségvetési pozíció elérésére és az adósság fenntarthatóságának biztosítására irányuló költ</w:t>
      </w:r>
      <w:r>
        <w:rPr>
          <w:noProof/>
        </w:rPr>
        <w:t xml:space="preserve">ségvetési politikák folytatásáról szóló országspecifikus ajánlásokkal, miközben ösztönzi a beruházásokat (2020. évi 1. országspecifikus ajánlás). </w:t>
      </w:r>
    </w:p>
    <w:p w14:paraId="0C9F8F53" w14:textId="77777777" w:rsidR="003E1D81" w:rsidRDefault="00EB481C">
      <w:pPr>
        <w:pStyle w:val="P68B1DB1-Text119"/>
        <w:ind w:left="0"/>
        <w:rPr>
          <w:rFonts w:cs="Times New Roman"/>
          <w:noProof/>
        </w:rPr>
      </w:pPr>
      <w:r>
        <w:rPr>
          <w:noProof/>
        </w:rPr>
        <w:t>A jelentős károkozás elkerülését célzó elvről szóló technikai iránymutatásnak (2021/C58/01) megfelelően a hel</w:t>
      </w:r>
      <w:r>
        <w:rPr>
          <w:noProof/>
        </w:rPr>
        <w:t xml:space="preserve">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w:t>
      </w:r>
      <w:r>
        <w:rPr>
          <w:noProof/>
        </w:rPr>
        <w:t>az (EU) 2020/852 rendelet 17. cikke szerinti környezeti célkitűzéseket.</w:t>
      </w:r>
    </w:p>
    <w:p w14:paraId="604A1F05" w14:textId="77777777" w:rsidR="003E1D81" w:rsidRDefault="00EB481C">
      <w:pPr>
        <w:pStyle w:val="P68B1DB1-Text138"/>
        <w:ind w:left="709"/>
        <w:rPr>
          <w:rFonts w:cs="Times New Roman"/>
          <w:i/>
          <w:noProof/>
        </w:rPr>
      </w:pPr>
      <w:r>
        <w:rPr>
          <w:noProof/>
        </w:rPr>
        <w:t xml:space="preserve">AA.1. </w:t>
      </w:r>
      <w:r>
        <w:rPr>
          <w:noProof/>
        </w:rPr>
        <w:tab/>
        <w:t>Vissza nem térítendő pénzügyi támogatás – a reformok és beruházások ismertetése</w:t>
      </w:r>
    </w:p>
    <w:p w14:paraId="1694E1AE" w14:textId="77777777" w:rsidR="003E1D81" w:rsidRDefault="00EB481C">
      <w:pPr>
        <w:pStyle w:val="P68B1DB1-Normal6"/>
        <w:spacing w:before="120" w:after="120" w:line="240" w:lineRule="auto"/>
        <w:jc w:val="both"/>
        <w:rPr>
          <w:rFonts w:cs="Times New Roman"/>
          <w:noProof/>
        </w:rPr>
      </w:pPr>
      <w:r>
        <w:rPr>
          <w:noProof/>
        </w:rPr>
        <w:t>Reform (C27.R1) – A csalás elleni törvény elfogadása</w:t>
      </w:r>
    </w:p>
    <w:p w14:paraId="68A28209" w14:textId="77777777" w:rsidR="003E1D81" w:rsidRDefault="00EB481C">
      <w:pPr>
        <w:pStyle w:val="P68B1DB1-Normal4"/>
        <w:spacing w:before="120" w:after="120" w:line="240" w:lineRule="auto"/>
        <w:jc w:val="both"/>
        <w:rPr>
          <w:rFonts w:cs="Times New Roman"/>
          <w:noProof/>
        </w:rPr>
      </w:pPr>
      <w:r>
        <w:rPr>
          <w:noProof/>
        </w:rPr>
        <w:t>E reform célja a belső piac működését közvet</w:t>
      </w:r>
      <w:r>
        <w:rPr>
          <w:noProof/>
        </w:rPr>
        <w:t>lenül érintő adókikerülési gyakorlatok elleni szabályok megerősítése, valamint a közvetett és közvetlen adók, egyes helyi önkormányzati adók és szerencsejáték-szabályozás módosítása. A reform olyan változtatásokat vezet be a rendeletbe, amelyek célja az ig</w:t>
      </w:r>
      <w:r>
        <w:rPr>
          <w:noProof/>
        </w:rPr>
        <w:t>azságos adózás paramétereinek meghatározása, valamint a csalás megelőzését és az ellene való küzdelmet célzó intézkedések megkönnyítése az adóellenőrzés megerősítése révén.</w:t>
      </w:r>
    </w:p>
    <w:p w14:paraId="3D638B74" w14:textId="77777777" w:rsidR="003E1D81" w:rsidRDefault="00EB481C">
      <w:pPr>
        <w:pStyle w:val="P68B1DB1-Normal4"/>
        <w:spacing w:before="120" w:after="120" w:line="240" w:lineRule="auto"/>
        <w:jc w:val="both"/>
        <w:rPr>
          <w:rFonts w:cs="Times New Roman"/>
          <w:noProof/>
        </w:rPr>
      </w:pPr>
      <w:r>
        <w:rPr>
          <w:noProof/>
        </w:rPr>
        <w:t>A reform az adócsalás és az adócsalás elleni törvény elfogadását és hatálybalépését</w:t>
      </w:r>
      <w:r>
        <w:rPr>
          <w:noProof/>
        </w:rPr>
        <w:t xml:space="preserve"> foglalja magában, amely:</w:t>
      </w:r>
    </w:p>
    <w:p w14:paraId="2EE9C878" w14:textId="77777777" w:rsidR="003E1D81" w:rsidRDefault="00EB481C">
      <w:pPr>
        <w:pStyle w:val="P68B1DB1-ListParagraph7"/>
        <w:numPr>
          <w:ilvl w:val="0"/>
          <w:numId w:val="162"/>
        </w:numPr>
        <w:spacing w:before="120" w:after="120" w:line="240" w:lineRule="auto"/>
        <w:jc w:val="both"/>
        <w:rPr>
          <w:rFonts w:cs="Times New Roman"/>
          <w:noProof/>
        </w:rPr>
      </w:pPr>
      <w:r>
        <w:rPr>
          <w:noProof/>
        </w:rPr>
        <w:t>Kibővíti azoknak az ügyleteknek a körét, ahol az elektronikus fizetések engedélyezettek (aláírások és szakemberek), és meghatározza a készpénzfizetések jogi küszöbértékét;</w:t>
      </w:r>
    </w:p>
    <w:p w14:paraId="59BC6993" w14:textId="77777777" w:rsidR="003E1D81" w:rsidRDefault="00EB481C">
      <w:pPr>
        <w:pStyle w:val="P68B1DB1-ListParagraph7"/>
        <w:numPr>
          <w:ilvl w:val="0"/>
          <w:numId w:val="162"/>
        </w:numPr>
        <w:spacing w:before="120" w:after="120" w:line="240" w:lineRule="auto"/>
        <w:jc w:val="both"/>
        <w:rPr>
          <w:rFonts w:cs="Times New Roman"/>
          <w:noProof/>
        </w:rPr>
      </w:pPr>
      <w:r>
        <w:rPr>
          <w:noProof/>
        </w:rPr>
        <w:t>Aktualizálja az adóparadicsomok listáját az átláthatóságra</w:t>
      </w:r>
      <w:r>
        <w:rPr>
          <w:noProof/>
        </w:rPr>
        <w:t>, az adóztatás mellőzésére és a káros adórendszerekre vonatkozó kritériumok szerint;</w:t>
      </w:r>
    </w:p>
    <w:p w14:paraId="2C2B1F45" w14:textId="77777777" w:rsidR="003E1D81" w:rsidRDefault="00EB481C">
      <w:pPr>
        <w:pStyle w:val="P68B1DB1-ListParagraph7"/>
        <w:numPr>
          <w:ilvl w:val="0"/>
          <w:numId w:val="162"/>
        </w:numPr>
        <w:spacing w:before="120" w:after="120" w:line="240" w:lineRule="auto"/>
        <w:jc w:val="both"/>
        <w:rPr>
          <w:rFonts w:cs="Times New Roman"/>
          <w:noProof/>
        </w:rPr>
      </w:pPr>
      <w:r>
        <w:rPr>
          <w:noProof/>
        </w:rPr>
        <w:t>Változtatásokat hajt végre az adóhátralékkal rendelkező emberekre vonatkozó szabályokban;</w:t>
      </w:r>
    </w:p>
    <w:p w14:paraId="0D5B5F01" w14:textId="77777777" w:rsidR="003E1D81" w:rsidRDefault="00EB481C">
      <w:pPr>
        <w:pStyle w:val="P68B1DB1-ListParagraph7"/>
        <w:numPr>
          <w:ilvl w:val="0"/>
          <w:numId w:val="162"/>
        </w:numPr>
        <w:spacing w:before="120" w:after="120" w:line="240" w:lineRule="auto"/>
        <w:jc w:val="both"/>
        <w:rPr>
          <w:rFonts w:cs="Times New Roman"/>
          <w:noProof/>
        </w:rPr>
      </w:pPr>
      <w:r>
        <w:rPr>
          <w:noProof/>
        </w:rPr>
        <w:t>Betiltja a „kettős felhasználású szoftvereket”;</w:t>
      </w:r>
    </w:p>
    <w:p w14:paraId="0558610A" w14:textId="77777777" w:rsidR="003E1D81" w:rsidRDefault="00EB481C">
      <w:pPr>
        <w:pStyle w:val="P68B1DB1-ListParagraph7"/>
        <w:numPr>
          <w:ilvl w:val="0"/>
          <w:numId w:val="162"/>
        </w:numPr>
        <w:spacing w:before="120" w:after="120" w:line="240" w:lineRule="auto"/>
        <w:jc w:val="both"/>
        <w:rPr>
          <w:rFonts w:cs="Times New Roman"/>
          <w:noProof/>
        </w:rPr>
      </w:pPr>
      <w:r>
        <w:rPr>
          <w:noProof/>
        </w:rPr>
        <w:t>Referenciaértéket vezet be az ing</w:t>
      </w:r>
      <w:r>
        <w:rPr>
          <w:noProof/>
        </w:rPr>
        <w:t>atlanadó adóalapjára vonatkozóan.</w:t>
      </w:r>
    </w:p>
    <w:p w14:paraId="2A8F6E89" w14:textId="77777777" w:rsidR="003E1D81" w:rsidRDefault="00EB481C">
      <w:pPr>
        <w:pStyle w:val="P68B1DB1-Normal4"/>
        <w:spacing w:before="120" w:after="120" w:line="240" w:lineRule="auto"/>
        <w:jc w:val="both"/>
        <w:rPr>
          <w:rFonts w:cs="Times New Roman"/>
          <w:noProof/>
        </w:rPr>
      </w:pPr>
      <w:r>
        <w:rPr>
          <w:noProof/>
        </w:rPr>
        <w:t>A törvényt 2021. június 30-ig kell elfogadni. A törvény 2022. június 30-án lép hatályba. A reform 2022. december 31-ig tervezi a törvény ideiglenes értékelését, és ezen értékelés alapján 2023-ban módosításokra kerülhet sor</w:t>
      </w:r>
      <w:r>
        <w:rPr>
          <w:noProof/>
        </w:rPr>
        <w:t>.</w:t>
      </w:r>
    </w:p>
    <w:p w14:paraId="5B90568F" w14:textId="77777777" w:rsidR="003E1D81" w:rsidRDefault="00EB481C">
      <w:pPr>
        <w:pStyle w:val="P68B1DB1-Normal6"/>
        <w:spacing w:before="120" w:after="120" w:line="240" w:lineRule="auto"/>
        <w:jc w:val="both"/>
        <w:rPr>
          <w:rFonts w:cs="Times New Roman"/>
          <w:noProof/>
        </w:rPr>
      </w:pPr>
      <w:r>
        <w:rPr>
          <w:noProof/>
        </w:rPr>
        <w:t>Reform (C27.R2) – Az adóhatóság korszerűsítése</w:t>
      </w:r>
    </w:p>
    <w:p w14:paraId="4B558F27" w14:textId="77777777" w:rsidR="003E1D81" w:rsidRDefault="00EB481C">
      <w:pPr>
        <w:pStyle w:val="P68B1DB1-Normal4"/>
        <w:spacing w:before="120" w:after="120" w:line="240" w:lineRule="auto"/>
        <w:jc w:val="both"/>
        <w:rPr>
          <w:rFonts w:cs="Times New Roman"/>
          <w:noProof/>
        </w:rPr>
      </w:pPr>
      <w:r>
        <w:rPr>
          <w:noProof/>
        </w:rPr>
        <w:t>Az adóhatóság feladata az állami adórendszer és a vámrendszer végrehajtása, és a 2020–2023-as stratégiai terv keretében végzi tevékenységét. Ezt a stratégiai tervet, amely nagymértékben támaszkodik az inform</w:t>
      </w:r>
      <w:r>
        <w:rPr>
          <w:noProof/>
        </w:rPr>
        <w:t>atikai megoldások használatára, minden évben felülvizsgálják annak biztosítása érdekében, hogy azt hozzáigazítsák az új adópolitikai fejleményekhez, információforrásokhoz, az adófizetők magatartásához és a technológiai fejleményekhez. E reform célja a 2020</w:t>
      </w:r>
      <w:r>
        <w:rPr>
          <w:noProof/>
        </w:rPr>
        <w:t xml:space="preserve">–2023-as időszakra szóló stratégiai terv végrehajtásának és éves felülvizsgálatának támogatása, amelynek célja az ügynökség szolgáltatásnyújtásának korszerűsítése az adócsalás és az adókikerülés csökkentése érdekében. A 2. reform szorosan együttműködik az </w:t>
      </w:r>
      <w:r>
        <w:rPr>
          <w:noProof/>
        </w:rPr>
        <w:t xml:space="preserve">e komponenst érintő egyéb reformokkal. A reform a következőket foglalja magában: </w:t>
      </w:r>
    </w:p>
    <w:p w14:paraId="2C61B7E4" w14:textId="77777777" w:rsidR="003E1D81" w:rsidRDefault="00EB481C">
      <w:pPr>
        <w:pStyle w:val="P68B1DB1-ListParagraph7"/>
        <w:numPr>
          <w:ilvl w:val="0"/>
          <w:numId w:val="788"/>
        </w:numPr>
        <w:spacing w:before="120" w:after="120" w:line="240" w:lineRule="auto"/>
        <w:jc w:val="both"/>
        <w:rPr>
          <w:rFonts w:cs="Times New Roman"/>
          <w:noProof/>
        </w:rPr>
      </w:pPr>
      <w:r>
        <w:rPr>
          <w:noProof/>
        </w:rPr>
        <w:t xml:space="preserve">Az adóhatóság emberi erőforrásainak növelése az adóhatóság középtávú szükségleteivel összhangban, valamint </w:t>
      </w:r>
    </w:p>
    <w:p w14:paraId="3BD86ECF" w14:textId="77777777" w:rsidR="003E1D81" w:rsidRDefault="00EB481C">
      <w:pPr>
        <w:pStyle w:val="P68B1DB1-ListParagraph7"/>
        <w:numPr>
          <w:ilvl w:val="0"/>
          <w:numId w:val="788"/>
        </w:numPr>
        <w:spacing w:before="120" w:after="120" w:line="240" w:lineRule="auto"/>
        <w:jc w:val="both"/>
        <w:rPr>
          <w:rFonts w:cs="Times New Roman"/>
          <w:noProof/>
        </w:rPr>
      </w:pPr>
      <w:r>
        <w:rPr>
          <w:noProof/>
        </w:rPr>
        <w:t xml:space="preserve">Az Ügynökség épületeinek felülvizsgálata a technológia korszerűsítése és az energiahatékonyság növelése érdekében. </w:t>
      </w:r>
    </w:p>
    <w:p w14:paraId="791FD1E3" w14:textId="77777777" w:rsidR="003E1D81" w:rsidRDefault="00EB481C">
      <w:pPr>
        <w:pStyle w:val="P68B1DB1-Normal4"/>
        <w:spacing w:before="120" w:after="120" w:line="240" w:lineRule="auto"/>
        <w:jc w:val="both"/>
        <w:rPr>
          <w:rFonts w:cs="Times New Roman"/>
          <w:noProof/>
        </w:rPr>
      </w:pPr>
      <w:r>
        <w:rPr>
          <w:noProof/>
        </w:rPr>
        <w:t>A reformot 2023. december 31-ig végre kell hajtani.</w:t>
      </w:r>
    </w:p>
    <w:p w14:paraId="54C3F7BC" w14:textId="77777777" w:rsidR="003E1D81" w:rsidRDefault="00EB481C">
      <w:pPr>
        <w:pStyle w:val="P68B1DB1-Normal6"/>
        <w:spacing w:before="120" w:after="120" w:line="240" w:lineRule="auto"/>
        <w:jc w:val="both"/>
        <w:rPr>
          <w:rFonts w:cs="Times New Roman"/>
          <w:noProof/>
        </w:rPr>
      </w:pPr>
      <w:r>
        <w:rPr>
          <w:noProof/>
        </w:rPr>
        <w:t>Reform (C27.R3) – Az adófizetőknek nyújtott fokozott támogatás</w:t>
      </w:r>
    </w:p>
    <w:p w14:paraId="7D03D450" w14:textId="77777777" w:rsidR="003E1D81" w:rsidRDefault="00EB481C">
      <w:pPr>
        <w:pStyle w:val="P68B1DB1-Normal4"/>
        <w:spacing w:before="120" w:after="120" w:line="240" w:lineRule="auto"/>
        <w:jc w:val="both"/>
        <w:rPr>
          <w:rFonts w:cs="Times New Roman"/>
          <w:noProof/>
        </w:rPr>
      </w:pPr>
      <w:r>
        <w:rPr>
          <w:noProof/>
        </w:rPr>
        <w:t>E reform célja az adófize</w:t>
      </w:r>
      <w:r>
        <w:rPr>
          <w:noProof/>
        </w:rPr>
        <w:t>tőknek nyújtott támogatás javítása. Az adóhatóság 2020–2023-as stratégiájának kulcsfontosságú eleme az adófizetőknek nyújtott szolgáltatások javítása az elektronikus platformok (az úgynevezett „ADI” és „integrált digitális igazgatás”) fokozott használatáva</w:t>
      </w:r>
      <w:r>
        <w:rPr>
          <w:noProof/>
        </w:rPr>
        <w:t>l. A reform új szolgáltatásokat nyújt a társasági és a személyi jövedelemadó, valamint a héa adóztatásának megkönnyítése érdekében. Az új szolgáltatások közé tartoznak a jobb kommunikációs módszerek, az ügyfélszolgálati szolgáltatások, valamint a felhaszná</w:t>
      </w:r>
      <w:r>
        <w:rPr>
          <w:noProof/>
        </w:rPr>
        <w:t>lói adatok és az adóbevallások megtekintése és a bevallások kezelése. Az ilyen szolgáltatások nyújtása a tervek szerint 2021–2023-ban három hullámban növekszik, azzal a céllal, hogy fokozatosan egyre több ügyfél válassza az elektronikus szolgáltatásokat ah</w:t>
      </w:r>
      <w:r>
        <w:rPr>
          <w:noProof/>
        </w:rPr>
        <w:t xml:space="preserve">elyett, hogy meglátogatná helyi adóhivatalait. Ezen intézkedésekkel az Ügynökség célja, hogy megkönnyítse ügyfeleik számára az adótörvénynek való megfelelést, és ezáltal növelje az adóbevételeket. </w:t>
      </w:r>
    </w:p>
    <w:p w14:paraId="16F50C48" w14:textId="77777777" w:rsidR="003E1D81" w:rsidRDefault="00EB481C">
      <w:pPr>
        <w:pStyle w:val="P68B1DB1-Normal4"/>
        <w:spacing w:before="120" w:after="120" w:line="240" w:lineRule="auto"/>
        <w:jc w:val="both"/>
        <w:rPr>
          <w:rFonts w:cs="Times New Roman"/>
          <w:noProof/>
        </w:rPr>
      </w:pPr>
      <w:r>
        <w:rPr>
          <w:noProof/>
        </w:rPr>
        <w:t>A reform végrehajtását 2023. december 31-ig be kell fejezn</w:t>
      </w:r>
      <w:r>
        <w:rPr>
          <w:noProof/>
        </w:rPr>
        <w:t>i.</w:t>
      </w:r>
    </w:p>
    <w:p w14:paraId="51E4EC83" w14:textId="77777777" w:rsidR="003E1D81" w:rsidRDefault="00EB481C">
      <w:pPr>
        <w:pStyle w:val="P68B1DB1-Normal6"/>
        <w:spacing w:before="120" w:after="120" w:line="240" w:lineRule="auto"/>
        <w:jc w:val="both"/>
        <w:rPr>
          <w:rFonts w:cs="Times New Roman"/>
          <w:noProof/>
        </w:rPr>
      </w:pPr>
      <w:r>
        <w:rPr>
          <w:noProof/>
        </w:rPr>
        <w:t>Reform (C27.R4) – Nemzetközi dimenzió</w:t>
      </w:r>
    </w:p>
    <w:p w14:paraId="56524CEF" w14:textId="77777777" w:rsidR="003E1D81" w:rsidRDefault="00EB481C">
      <w:pPr>
        <w:pStyle w:val="P68B1DB1-Normal4"/>
        <w:spacing w:before="120" w:after="120" w:line="240" w:lineRule="auto"/>
        <w:jc w:val="both"/>
        <w:rPr>
          <w:rFonts w:cs="Times New Roman"/>
          <w:noProof/>
        </w:rPr>
      </w:pPr>
      <w:r>
        <w:rPr>
          <w:noProof/>
        </w:rPr>
        <w:t>E reform célja, hogy növelje és optimalizálja az informatikai rendszerek használatát az adócsalás és adókikerülés elleni küzdelem érdekében folytatott nemzetközi együttműködésben. Ez a reform – a szakpolitikai terül</w:t>
      </w:r>
      <w:r>
        <w:rPr>
          <w:noProof/>
        </w:rPr>
        <w:t xml:space="preserve">etre vonatkozó nemzetközi megállapodásokat követően – olyan intézkedések meghozatalából áll, amelyek megkönnyítik, hogy az adófizetők eleget tegyenek adófizetési kötelezettségeiknek (többek között a személyi jövedelemadóval kapcsolatos adatoknak) a be nem </w:t>
      </w:r>
      <w:r>
        <w:rPr>
          <w:noProof/>
        </w:rPr>
        <w:t>jelentett tevékenységek és az árnyékgazdaság elleni küzdelem fokozása, valamint a különböző országoktól kapott információk minőségének és hasznosságának felülvizsgálata érdekében. Ezeket a célokat várhatóan a kifinomultabb informatikai rendszerek nagyobb m</w:t>
      </w:r>
      <w:r>
        <w:rPr>
          <w:noProof/>
        </w:rPr>
        <w:t xml:space="preserve">értékű használata és az adófizetőknek nyújtott online szolgáltatások bevezetése révén érik el. </w:t>
      </w:r>
    </w:p>
    <w:p w14:paraId="2E5E4385" w14:textId="77777777" w:rsidR="003E1D81" w:rsidRDefault="00EB481C">
      <w:pPr>
        <w:pStyle w:val="P68B1DB1-Normal4"/>
        <w:spacing w:before="120" w:after="120" w:line="240" w:lineRule="auto"/>
        <w:jc w:val="both"/>
        <w:rPr>
          <w:rFonts w:cs="Times New Roman"/>
          <w:noProof/>
        </w:rPr>
      </w:pPr>
      <w:r>
        <w:rPr>
          <w:noProof/>
        </w:rPr>
        <w:t>A reformot 2021. december 31-ig végre kell hajtani.</w:t>
      </w:r>
    </w:p>
    <w:p w14:paraId="7150FEDC" w14:textId="77777777" w:rsidR="003E1D81" w:rsidRDefault="00EB481C">
      <w:pPr>
        <w:pStyle w:val="P68B1DB1-Normal6"/>
        <w:spacing w:before="120" w:after="120" w:line="240" w:lineRule="auto"/>
        <w:jc w:val="both"/>
        <w:rPr>
          <w:rFonts w:cs="Times New Roman"/>
          <w:noProof/>
        </w:rPr>
      </w:pPr>
      <w:r>
        <w:rPr>
          <w:noProof/>
        </w:rPr>
        <w:t>Reform (C27.R5) – Szövetkezeti modell</w:t>
      </w:r>
    </w:p>
    <w:p w14:paraId="4B4E2AF1" w14:textId="77777777" w:rsidR="003E1D81" w:rsidRDefault="00EB481C">
      <w:pPr>
        <w:pStyle w:val="P68B1DB1-Normal4"/>
        <w:spacing w:before="120" w:after="120" w:line="240" w:lineRule="auto"/>
        <w:jc w:val="both"/>
        <w:rPr>
          <w:rFonts w:cs="Times New Roman"/>
          <w:noProof/>
        </w:rPr>
      </w:pPr>
      <w:r>
        <w:rPr>
          <w:noProof/>
        </w:rPr>
        <w:t>E reform célja, hogy javítsa az adóhatóság kapcsolatait az érdekelt fe</w:t>
      </w:r>
      <w:r>
        <w:rPr>
          <w:noProof/>
        </w:rPr>
        <w:t>lekkel, például a nagyvállalatokkal, a kkv-kkal, az önfoglalkoztatókkal és az érintett szövetségekkel, valamint az igazságszolgáltatási rendszerrel, az adókötelezettségeknek való nagyobb megfelelés elérésének egyik módjaként. Ami az adófizetőket illeti, az</w:t>
      </w:r>
      <w:r>
        <w:rPr>
          <w:noProof/>
        </w:rPr>
        <w:t xml:space="preserve"> Ügynökség célja, hogy az adózás átláthatóságáról szóló önkéntes jelentések révén javítsa az együttműködést és fokozza a megfelelést. A bírákkal, ügyészekkel és bíróságokkal folytatott együttműködés várhatóan fokozódni fog az adónyomozások számának növelés</w:t>
      </w:r>
      <w:r>
        <w:rPr>
          <w:noProof/>
        </w:rPr>
        <w:t>e révén.</w:t>
      </w:r>
    </w:p>
    <w:p w14:paraId="10D2447B" w14:textId="77777777" w:rsidR="003E1D81" w:rsidRDefault="00EB481C">
      <w:pPr>
        <w:pStyle w:val="P68B1DB1-Normal4"/>
        <w:spacing w:before="120" w:after="120" w:line="240" w:lineRule="auto"/>
        <w:jc w:val="both"/>
        <w:rPr>
          <w:rFonts w:cs="Times New Roman"/>
          <w:noProof/>
        </w:rPr>
      </w:pPr>
      <w:r>
        <w:rPr>
          <w:noProof/>
        </w:rPr>
        <w:t>A reformot 2021. december 31-ig végre kell hajtani.</w:t>
      </w:r>
    </w:p>
    <w:p w14:paraId="6D99EFDB" w14:textId="77777777" w:rsidR="003E1D81" w:rsidRDefault="00EB481C">
      <w:pPr>
        <w:pStyle w:val="P68B1DB1-Text138"/>
        <w:ind w:left="709"/>
        <w:rPr>
          <w:rFonts w:cs="Times New Roman"/>
          <w:noProof/>
        </w:rPr>
      </w:pPr>
      <w:r>
        <w:rPr>
          <w:noProof/>
        </w:rPr>
        <w:t xml:space="preserve">AA.2. </w:t>
      </w:r>
      <w:r>
        <w:rPr>
          <w:noProof/>
        </w:rPr>
        <w:tab/>
        <w:t>Vissza nem térítendő pénzügyi támogatás – a végrehajtáshoz és a nyomon követéshez kapcsolódó mérföldkövek, célok, mutatók és ütemterv</w:t>
      </w:r>
    </w:p>
    <w:p w14:paraId="4593A835" w14:textId="77777777" w:rsidR="003E1D81" w:rsidRDefault="00EB481C">
      <w:pPr>
        <w:pStyle w:val="P68B1DB1-Normal4"/>
        <w:spacing w:before="120" w:after="120" w:line="240" w:lineRule="auto"/>
        <w:rPr>
          <w:rFonts w:cs="Times New Roman"/>
          <w:i/>
          <w:noProof/>
        </w:rPr>
        <w:sectPr w:rsidR="003E1D81" w:rsidSect="00C94F66">
          <w:headerReference w:type="even" r:id="rId507"/>
          <w:headerReference w:type="default" r:id="rId508"/>
          <w:footerReference w:type="even" r:id="rId509"/>
          <w:footerReference w:type="default" r:id="rId510"/>
          <w:headerReference w:type="first" r:id="rId511"/>
          <w:footerReference w:type="first" r:id="rId512"/>
          <w:pgSz w:w="11907" w:h="16839"/>
          <w:pgMar w:top="1134" w:right="1417" w:bottom="1134" w:left="1417" w:header="709" w:footer="709" w:gutter="0"/>
          <w:cols w:space="720"/>
          <w:docGrid w:linePitch="360"/>
        </w:sectPr>
      </w:pPr>
      <w:r>
        <w:rPr>
          <w:i/>
          <w:noProof/>
        </w:rPr>
        <w:t>Táblázat alább.</w:t>
      </w:r>
      <w:r>
        <w:rPr>
          <w:noProof/>
        </w:rPr>
        <w:t xml:space="preserve"> </w:t>
      </w:r>
      <w:r>
        <w:rPr>
          <w:i/>
          <w:noProof/>
        </w:rPr>
        <w:t>Az alapforgatókönyv valamennyi mutató esetében 2020. február 1-je, kivéve, ha az intézkedés leírása másként jelzi. A táblázatban szereplő összegek nem tartalmazzák a héát.</w:t>
      </w:r>
    </w:p>
    <w:tbl>
      <w:tblPr>
        <w:tblpPr w:leftFromText="180" w:rightFromText="180" w:vertAnchor="text" w:tblpXSpec="right" w:tblpY="1"/>
        <w:tblOverlap w:val="never"/>
        <w:tblW w:w="15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134"/>
        <w:gridCol w:w="851"/>
        <w:gridCol w:w="708"/>
        <w:gridCol w:w="709"/>
        <w:gridCol w:w="425"/>
        <w:gridCol w:w="709"/>
        <w:gridCol w:w="5131"/>
      </w:tblGrid>
      <w:tr w:rsidR="003E1D81" w14:paraId="65222294" w14:textId="77777777">
        <w:trPr>
          <w:trHeight w:val="309"/>
          <w:tblHeader/>
        </w:trPr>
        <w:tc>
          <w:tcPr>
            <w:tcW w:w="709" w:type="dxa"/>
            <w:tcBorders>
              <w:bottom w:val="nil"/>
            </w:tcBorders>
            <w:shd w:val="clear" w:color="auto" w:fill="C6D9F1" w:themeFill="text2" w:themeFillTint="33"/>
            <w:noWrap/>
          </w:tcPr>
          <w:p w14:paraId="4CA8D8A3" w14:textId="77777777" w:rsidR="003E1D81" w:rsidRDefault="00EB481C">
            <w:pPr>
              <w:pStyle w:val="P68B1DB1-Normal12"/>
              <w:spacing w:after="0"/>
              <w:jc w:val="center"/>
              <w:rPr>
                <w:rFonts w:cs="Times New Roman"/>
                <w:noProof/>
              </w:rPr>
            </w:pPr>
            <w:r>
              <w:rPr>
                <w:noProof/>
              </w:rPr>
              <w:t>Szám</w:t>
            </w:r>
          </w:p>
        </w:tc>
        <w:tc>
          <w:tcPr>
            <w:tcW w:w="851" w:type="dxa"/>
            <w:tcBorders>
              <w:bottom w:val="nil"/>
            </w:tcBorders>
            <w:shd w:val="clear" w:color="auto" w:fill="C6D9F1" w:themeFill="text2" w:themeFillTint="33"/>
            <w:noWrap/>
          </w:tcPr>
          <w:p w14:paraId="048BC7D3" w14:textId="77777777" w:rsidR="003E1D81" w:rsidRDefault="00EB481C">
            <w:pPr>
              <w:pStyle w:val="P68B1DB1-Normal12"/>
              <w:spacing w:after="0"/>
              <w:jc w:val="center"/>
              <w:rPr>
                <w:rFonts w:cs="Times New Roman"/>
                <w:noProof/>
              </w:rPr>
            </w:pPr>
            <w:r>
              <w:rPr>
                <w:noProof/>
              </w:rPr>
              <w:t>Intézkedés</w:t>
            </w:r>
          </w:p>
        </w:tc>
        <w:tc>
          <w:tcPr>
            <w:tcW w:w="850" w:type="dxa"/>
            <w:tcBorders>
              <w:bottom w:val="nil"/>
            </w:tcBorders>
            <w:shd w:val="clear" w:color="auto" w:fill="C6D9F1" w:themeFill="text2" w:themeFillTint="33"/>
            <w:noWrap/>
          </w:tcPr>
          <w:p w14:paraId="017D9EA1" w14:textId="77777777" w:rsidR="003E1D81" w:rsidRDefault="00EB481C">
            <w:pPr>
              <w:pStyle w:val="P68B1DB1-Normal12"/>
              <w:spacing w:after="0"/>
              <w:jc w:val="center"/>
              <w:rPr>
                <w:rFonts w:cs="Times New Roman"/>
                <w:noProof/>
              </w:rPr>
            </w:pPr>
            <w:r>
              <w:rPr>
                <w:noProof/>
              </w:rPr>
              <w:t>Mérföldkő</w:t>
            </w:r>
            <w:r>
              <w:rPr>
                <w:noProof/>
              </w:rPr>
              <w:br/>
              <w:t xml:space="preserve"> /Cél</w:t>
            </w:r>
          </w:p>
        </w:tc>
        <w:tc>
          <w:tcPr>
            <w:tcW w:w="2977" w:type="dxa"/>
            <w:tcBorders>
              <w:bottom w:val="nil"/>
            </w:tcBorders>
            <w:shd w:val="clear" w:color="auto" w:fill="C6D9F1" w:themeFill="text2" w:themeFillTint="33"/>
            <w:noWrap/>
          </w:tcPr>
          <w:p w14:paraId="4B3B4A13" w14:textId="77777777" w:rsidR="003E1D81" w:rsidRDefault="00EB481C">
            <w:pPr>
              <w:pStyle w:val="P68B1DB1-Normal12"/>
              <w:spacing w:after="0"/>
              <w:jc w:val="center"/>
              <w:rPr>
                <w:rFonts w:cs="Times New Roman"/>
                <w:noProof/>
              </w:rPr>
            </w:pPr>
            <w:r>
              <w:rPr>
                <w:noProof/>
              </w:rPr>
              <w:t>Név</w:t>
            </w:r>
          </w:p>
        </w:tc>
        <w:tc>
          <w:tcPr>
            <w:tcW w:w="1134" w:type="dxa"/>
            <w:tcBorders>
              <w:bottom w:val="nil"/>
            </w:tcBorders>
            <w:shd w:val="clear" w:color="auto" w:fill="C6D9F1" w:themeFill="text2" w:themeFillTint="33"/>
            <w:noWrap/>
          </w:tcPr>
          <w:p w14:paraId="3C958E99" w14:textId="77777777" w:rsidR="003E1D81" w:rsidRDefault="00EB481C">
            <w:pPr>
              <w:pStyle w:val="P68B1DB1-Normal12"/>
              <w:spacing w:after="0"/>
              <w:jc w:val="center"/>
              <w:rPr>
                <w:rFonts w:cs="Times New Roman"/>
                <w:noProof/>
              </w:rPr>
            </w:pPr>
            <w:r>
              <w:rPr>
                <w:noProof/>
              </w:rPr>
              <w:t xml:space="preserve">A </w:t>
            </w:r>
            <w:r>
              <w:rPr>
                <w:noProof/>
              </w:rPr>
              <w:t>mérföldkövek minőségi mutatója</w:t>
            </w:r>
          </w:p>
        </w:tc>
        <w:tc>
          <w:tcPr>
            <w:tcW w:w="2268" w:type="dxa"/>
            <w:gridSpan w:val="3"/>
            <w:shd w:val="clear" w:color="auto" w:fill="C6D9F1" w:themeFill="text2" w:themeFillTint="33"/>
            <w:noWrap/>
          </w:tcPr>
          <w:p w14:paraId="508C64C3" w14:textId="77777777" w:rsidR="003E1D81" w:rsidRDefault="00EB481C">
            <w:pPr>
              <w:pStyle w:val="P68B1DB1-Normal12"/>
              <w:spacing w:after="0"/>
              <w:jc w:val="center"/>
              <w:rPr>
                <w:rFonts w:cs="Times New Roman"/>
                <w:noProof/>
              </w:rPr>
            </w:pPr>
            <w:r>
              <w:rPr>
                <w:noProof/>
              </w:rPr>
              <w:t>A célérték mennyiségi mutatója</w:t>
            </w:r>
          </w:p>
        </w:tc>
        <w:tc>
          <w:tcPr>
            <w:tcW w:w="1134" w:type="dxa"/>
            <w:gridSpan w:val="2"/>
            <w:shd w:val="clear" w:color="auto" w:fill="C6D9F1" w:themeFill="text2" w:themeFillTint="33"/>
            <w:noWrap/>
          </w:tcPr>
          <w:p w14:paraId="35027D3C" w14:textId="77777777" w:rsidR="003E1D81" w:rsidRDefault="00EB481C">
            <w:pPr>
              <w:pStyle w:val="P68B1DB1-Normal12"/>
              <w:spacing w:after="0"/>
              <w:jc w:val="center"/>
              <w:rPr>
                <w:rFonts w:cs="Times New Roman"/>
                <w:noProof/>
              </w:rPr>
            </w:pPr>
            <w:r>
              <w:rPr>
                <w:noProof/>
              </w:rPr>
              <w:t>Idő</w:t>
            </w:r>
          </w:p>
        </w:tc>
        <w:tc>
          <w:tcPr>
            <w:tcW w:w="5131" w:type="dxa"/>
            <w:tcBorders>
              <w:bottom w:val="nil"/>
            </w:tcBorders>
            <w:shd w:val="clear" w:color="auto" w:fill="C6D9F1" w:themeFill="text2" w:themeFillTint="33"/>
            <w:noWrap/>
          </w:tcPr>
          <w:p w14:paraId="3B8B2BF5" w14:textId="77777777" w:rsidR="003E1D81" w:rsidRDefault="00EB481C">
            <w:pPr>
              <w:pStyle w:val="P68B1DB1-Normal12"/>
              <w:spacing w:after="0"/>
              <w:jc w:val="center"/>
              <w:rPr>
                <w:rFonts w:cs="Times New Roman"/>
                <w:noProof/>
              </w:rPr>
            </w:pPr>
            <w:r>
              <w:rPr>
                <w:noProof/>
              </w:rPr>
              <w:t>Az egyes mérföldkövek és célértékek leírása</w:t>
            </w:r>
          </w:p>
        </w:tc>
      </w:tr>
      <w:tr w:rsidR="003E1D81" w14:paraId="6423CD2F" w14:textId="77777777">
        <w:trPr>
          <w:trHeight w:val="309"/>
          <w:tblHeader/>
        </w:trPr>
        <w:tc>
          <w:tcPr>
            <w:tcW w:w="709" w:type="dxa"/>
            <w:tcBorders>
              <w:top w:val="nil"/>
            </w:tcBorders>
            <w:shd w:val="clear" w:color="auto" w:fill="C6D9F1" w:themeFill="text2" w:themeFillTint="33"/>
            <w:noWrap/>
          </w:tcPr>
          <w:p w14:paraId="69957A07" w14:textId="77777777" w:rsidR="003E1D81" w:rsidRDefault="003E1D81">
            <w:pPr>
              <w:spacing w:after="0"/>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26775ED2" w14:textId="77777777" w:rsidR="003E1D81" w:rsidRDefault="003E1D81">
            <w:pPr>
              <w:spacing w:after="0"/>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4C7D76EE" w14:textId="77777777" w:rsidR="003E1D81" w:rsidRDefault="003E1D81">
            <w:pPr>
              <w:spacing w:after="0"/>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04485DBC" w14:textId="77777777" w:rsidR="003E1D81" w:rsidRDefault="003E1D81">
            <w:pPr>
              <w:spacing w:after="0"/>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67409D88" w14:textId="77777777" w:rsidR="003E1D81" w:rsidRDefault="003E1D81">
            <w:pPr>
              <w:spacing w:after="0"/>
              <w:jc w:val="center"/>
              <w:rPr>
                <w:rFonts w:ascii="Times New Roman" w:hAnsi="Times New Roman" w:cs="Times New Roman"/>
                <w:b/>
                <w:noProof/>
                <w:sz w:val="18"/>
              </w:rPr>
            </w:pPr>
          </w:p>
        </w:tc>
        <w:tc>
          <w:tcPr>
            <w:tcW w:w="851" w:type="dxa"/>
            <w:shd w:val="clear" w:color="auto" w:fill="C6D9F1" w:themeFill="text2" w:themeFillTint="33"/>
            <w:noWrap/>
          </w:tcPr>
          <w:p w14:paraId="34E85900" w14:textId="77777777" w:rsidR="003E1D81" w:rsidRDefault="00EB481C">
            <w:pPr>
              <w:pStyle w:val="P68B1DB1-Normal12"/>
              <w:spacing w:after="0"/>
              <w:jc w:val="center"/>
              <w:rPr>
                <w:rFonts w:cs="Times New Roman"/>
                <w:noProof/>
              </w:rPr>
            </w:pPr>
            <w:r>
              <w:rPr>
                <w:noProof/>
              </w:rPr>
              <w:t>Egység</w:t>
            </w:r>
          </w:p>
        </w:tc>
        <w:tc>
          <w:tcPr>
            <w:tcW w:w="708" w:type="dxa"/>
            <w:shd w:val="clear" w:color="auto" w:fill="C6D9F1" w:themeFill="text2" w:themeFillTint="33"/>
            <w:noWrap/>
          </w:tcPr>
          <w:p w14:paraId="50AB32BC" w14:textId="77777777" w:rsidR="003E1D81" w:rsidRDefault="00EB481C">
            <w:pPr>
              <w:pStyle w:val="P68B1DB1-Normal12"/>
              <w:spacing w:after="0"/>
              <w:jc w:val="center"/>
              <w:rPr>
                <w:rFonts w:cs="Times New Roman"/>
                <w:noProof/>
              </w:rPr>
            </w:pPr>
            <w:r>
              <w:rPr>
                <w:noProof/>
              </w:rPr>
              <w:t>Alapérték</w:t>
            </w:r>
          </w:p>
        </w:tc>
        <w:tc>
          <w:tcPr>
            <w:tcW w:w="709" w:type="dxa"/>
            <w:shd w:val="clear" w:color="auto" w:fill="C6D9F1" w:themeFill="text2" w:themeFillTint="33"/>
            <w:noWrap/>
          </w:tcPr>
          <w:p w14:paraId="52C6390D" w14:textId="77777777" w:rsidR="003E1D81" w:rsidRDefault="00EB481C">
            <w:pPr>
              <w:pStyle w:val="P68B1DB1-Normal12"/>
              <w:spacing w:after="0"/>
              <w:jc w:val="center"/>
              <w:rPr>
                <w:rFonts w:cs="Times New Roman"/>
                <w:noProof/>
              </w:rPr>
            </w:pPr>
            <w:r>
              <w:rPr>
                <w:noProof/>
              </w:rPr>
              <w:t>Cél</w:t>
            </w:r>
          </w:p>
        </w:tc>
        <w:tc>
          <w:tcPr>
            <w:tcW w:w="425" w:type="dxa"/>
            <w:shd w:val="clear" w:color="auto" w:fill="C6D9F1" w:themeFill="text2" w:themeFillTint="33"/>
            <w:noWrap/>
          </w:tcPr>
          <w:p w14:paraId="19879100" w14:textId="77777777" w:rsidR="003E1D81" w:rsidRDefault="00EB481C">
            <w:pPr>
              <w:pStyle w:val="P68B1DB1-Normal12"/>
              <w:spacing w:after="0"/>
              <w:jc w:val="center"/>
              <w:rPr>
                <w:rFonts w:cs="Times New Roman"/>
                <w:noProof/>
              </w:rPr>
            </w:pPr>
            <w:r>
              <w:rPr>
                <w:noProof/>
              </w:rPr>
              <w:t>Q</w:t>
            </w:r>
          </w:p>
        </w:tc>
        <w:tc>
          <w:tcPr>
            <w:tcW w:w="709" w:type="dxa"/>
            <w:shd w:val="clear" w:color="auto" w:fill="C6D9F1" w:themeFill="text2" w:themeFillTint="33"/>
            <w:noWrap/>
          </w:tcPr>
          <w:p w14:paraId="00D26859" w14:textId="77777777" w:rsidR="003E1D81" w:rsidRDefault="00EB481C">
            <w:pPr>
              <w:pStyle w:val="P68B1DB1-Normal12"/>
              <w:spacing w:after="0"/>
              <w:jc w:val="center"/>
              <w:rPr>
                <w:rFonts w:cs="Times New Roman"/>
                <w:noProof/>
              </w:rPr>
            </w:pPr>
            <w:r>
              <w:rPr>
                <w:noProof/>
              </w:rPr>
              <w:t>Éve</w:t>
            </w:r>
          </w:p>
        </w:tc>
        <w:tc>
          <w:tcPr>
            <w:tcW w:w="5131" w:type="dxa"/>
            <w:tcBorders>
              <w:top w:val="nil"/>
            </w:tcBorders>
            <w:shd w:val="clear" w:color="auto" w:fill="C6D9F1" w:themeFill="text2" w:themeFillTint="33"/>
            <w:noWrap/>
          </w:tcPr>
          <w:p w14:paraId="22F9CC6A" w14:textId="77777777" w:rsidR="003E1D81" w:rsidRDefault="003E1D81">
            <w:pPr>
              <w:spacing w:after="0"/>
              <w:rPr>
                <w:rFonts w:ascii="Times New Roman" w:hAnsi="Times New Roman" w:cs="Times New Roman"/>
                <w:b/>
                <w:noProof/>
                <w:sz w:val="18"/>
              </w:rPr>
            </w:pPr>
          </w:p>
        </w:tc>
      </w:tr>
      <w:tr w:rsidR="003E1D81" w14:paraId="3209D1B2" w14:textId="77777777">
        <w:trPr>
          <w:trHeight w:val="309"/>
        </w:trPr>
        <w:tc>
          <w:tcPr>
            <w:tcW w:w="709" w:type="dxa"/>
            <w:shd w:val="clear" w:color="auto" w:fill="C6EFCE"/>
            <w:noWrap/>
          </w:tcPr>
          <w:p w14:paraId="4C835EC6" w14:textId="77777777" w:rsidR="003E1D81" w:rsidRDefault="00EB481C">
            <w:pPr>
              <w:pStyle w:val="P68B1DB1-Normal13"/>
              <w:spacing w:after="0"/>
              <w:jc w:val="center"/>
              <w:rPr>
                <w:rFonts w:cs="Times New Roman"/>
                <w:noProof/>
              </w:rPr>
            </w:pPr>
            <w:r>
              <w:rPr>
                <w:noProof/>
              </w:rPr>
              <w:t>376</w:t>
            </w:r>
          </w:p>
        </w:tc>
        <w:tc>
          <w:tcPr>
            <w:tcW w:w="851" w:type="dxa"/>
            <w:shd w:val="clear" w:color="auto" w:fill="C6EFCE"/>
            <w:noWrap/>
          </w:tcPr>
          <w:p w14:paraId="66D7BA3A" w14:textId="77777777" w:rsidR="003E1D81" w:rsidRDefault="00EB481C">
            <w:pPr>
              <w:pStyle w:val="P68B1DB1-Normal13"/>
              <w:spacing w:after="0"/>
              <w:jc w:val="center"/>
              <w:rPr>
                <w:rFonts w:cs="Times New Roman"/>
                <w:noProof/>
              </w:rPr>
            </w:pPr>
            <w:r>
              <w:rPr>
                <w:noProof/>
              </w:rPr>
              <w:t>C27.R1</w:t>
            </w:r>
          </w:p>
        </w:tc>
        <w:tc>
          <w:tcPr>
            <w:tcW w:w="850" w:type="dxa"/>
            <w:shd w:val="clear" w:color="auto" w:fill="C6EFCE"/>
            <w:noWrap/>
          </w:tcPr>
          <w:p w14:paraId="7D103D46" w14:textId="77777777" w:rsidR="003E1D81" w:rsidRDefault="00EB481C">
            <w:pPr>
              <w:pStyle w:val="P68B1DB1-Normal13"/>
              <w:spacing w:after="0"/>
              <w:jc w:val="center"/>
              <w:rPr>
                <w:rFonts w:cs="Times New Roman"/>
                <w:noProof/>
              </w:rPr>
            </w:pPr>
            <w:r>
              <w:rPr>
                <w:noProof/>
              </w:rPr>
              <w:t>M</w:t>
            </w:r>
          </w:p>
        </w:tc>
        <w:tc>
          <w:tcPr>
            <w:tcW w:w="2977" w:type="dxa"/>
            <w:shd w:val="clear" w:color="auto" w:fill="C6EFCE"/>
            <w:noWrap/>
          </w:tcPr>
          <w:p w14:paraId="730BB072" w14:textId="77777777" w:rsidR="003E1D81" w:rsidRDefault="00EB481C">
            <w:pPr>
              <w:pStyle w:val="P68B1DB1-Normal13"/>
              <w:spacing w:after="0"/>
              <w:rPr>
                <w:rFonts w:cs="Times New Roman"/>
                <w:noProof/>
              </w:rPr>
            </w:pPr>
            <w:r>
              <w:rPr>
                <w:noProof/>
              </w:rPr>
              <w:t>Az adókijátszás és az adócsalás elleni törvény hatálybalépése</w:t>
            </w:r>
          </w:p>
        </w:tc>
        <w:tc>
          <w:tcPr>
            <w:tcW w:w="1134" w:type="dxa"/>
            <w:shd w:val="clear" w:color="auto" w:fill="C6EFCE"/>
            <w:noWrap/>
          </w:tcPr>
          <w:p w14:paraId="227CF5BC" w14:textId="77777777" w:rsidR="003E1D81" w:rsidRDefault="00EB481C">
            <w:pPr>
              <w:pStyle w:val="P68B1DB1-Normal13"/>
              <w:spacing w:after="0"/>
              <w:jc w:val="center"/>
              <w:rPr>
                <w:rFonts w:cs="Times New Roman"/>
                <w:noProof/>
              </w:rPr>
            </w:pPr>
            <w:r>
              <w:rPr>
                <w:noProof/>
              </w:rPr>
              <w:t xml:space="preserve">A törvény hatálybalépését jelző rendelkezés </w:t>
            </w:r>
          </w:p>
        </w:tc>
        <w:tc>
          <w:tcPr>
            <w:tcW w:w="851" w:type="dxa"/>
            <w:shd w:val="clear" w:color="auto" w:fill="C6EFCE"/>
            <w:noWrap/>
          </w:tcPr>
          <w:p w14:paraId="2EEBEB90" w14:textId="77777777" w:rsidR="003E1D81" w:rsidRDefault="00EB481C">
            <w:pPr>
              <w:pStyle w:val="P68B1DB1-Normal13"/>
              <w:spacing w:after="0"/>
              <w:jc w:val="center"/>
              <w:rPr>
                <w:rFonts w:cs="Times New Roman"/>
                <w:noProof/>
              </w:rPr>
            </w:pPr>
            <w:r>
              <w:rPr>
                <w:noProof/>
              </w:rPr>
              <w:t xml:space="preserve"> </w:t>
            </w:r>
          </w:p>
        </w:tc>
        <w:tc>
          <w:tcPr>
            <w:tcW w:w="708" w:type="dxa"/>
            <w:shd w:val="clear" w:color="auto" w:fill="C6EFCE"/>
            <w:noWrap/>
          </w:tcPr>
          <w:p w14:paraId="2BB8CAFB" w14:textId="77777777" w:rsidR="003E1D81" w:rsidRDefault="00EB481C">
            <w:pPr>
              <w:pStyle w:val="P68B1DB1-Normal13"/>
              <w:spacing w:after="0"/>
              <w:jc w:val="right"/>
              <w:rPr>
                <w:rFonts w:cs="Times New Roman"/>
                <w:noProof/>
              </w:rPr>
            </w:pPr>
            <w:r>
              <w:rPr>
                <w:noProof/>
              </w:rPr>
              <w:t xml:space="preserve"> </w:t>
            </w:r>
          </w:p>
        </w:tc>
        <w:tc>
          <w:tcPr>
            <w:tcW w:w="709" w:type="dxa"/>
            <w:shd w:val="clear" w:color="auto" w:fill="C6EFCE"/>
            <w:noWrap/>
          </w:tcPr>
          <w:p w14:paraId="6B4FC697" w14:textId="77777777" w:rsidR="003E1D81" w:rsidRDefault="00EB481C">
            <w:pPr>
              <w:pStyle w:val="P68B1DB1-Normal13"/>
              <w:spacing w:after="0"/>
              <w:rPr>
                <w:rFonts w:cs="Times New Roman"/>
                <w:noProof/>
              </w:rPr>
            </w:pPr>
            <w:r>
              <w:rPr>
                <w:noProof/>
              </w:rPr>
              <w:t xml:space="preserve"> </w:t>
            </w:r>
          </w:p>
        </w:tc>
        <w:tc>
          <w:tcPr>
            <w:tcW w:w="425" w:type="dxa"/>
            <w:shd w:val="clear" w:color="auto" w:fill="C6EFCE"/>
            <w:noWrap/>
          </w:tcPr>
          <w:p w14:paraId="6E826CAA" w14:textId="77777777" w:rsidR="003E1D81" w:rsidRDefault="00EB481C">
            <w:pPr>
              <w:pStyle w:val="P68B1DB1-Normal13"/>
              <w:spacing w:after="0"/>
              <w:jc w:val="center"/>
              <w:rPr>
                <w:rFonts w:cs="Times New Roman"/>
                <w:noProof/>
              </w:rPr>
            </w:pPr>
            <w:r>
              <w:rPr>
                <w:noProof/>
              </w:rPr>
              <w:t>KÉRDÉS</w:t>
            </w:r>
          </w:p>
        </w:tc>
        <w:tc>
          <w:tcPr>
            <w:tcW w:w="709" w:type="dxa"/>
            <w:shd w:val="clear" w:color="auto" w:fill="C6EFCE"/>
            <w:noWrap/>
          </w:tcPr>
          <w:p w14:paraId="1C8F9F7C" w14:textId="77777777" w:rsidR="003E1D81" w:rsidRDefault="00EB481C">
            <w:pPr>
              <w:pStyle w:val="P68B1DB1-Normal13"/>
              <w:spacing w:after="0"/>
              <w:jc w:val="center"/>
              <w:rPr>
                <w:rFonts w:cs="Times New Roman"/>
                <w:noProof/>
              </w:rPr>
            </w:pPr>
            <w:r>
              <w:rPr>
                <w:noProof/>
              </w:rPr>
              <w:t>2022</w:t>
            </w:r>
          </w:p>
        </w:tc>
        <w:tc>
          <w:tcPr>
            <w:tcW w:w="5131" w:type="dxa"/>
            <w:shd w:val="clear" w:color="auto" w:fill="C6EFCE"/>
            <w:noWrap/>
          </w:tcPr>
          <w:p w14:paraId="4CE616E9" w14:textId="77777777" w:rsidR="003E1D81" w:rsidRDefault="00EB481C">
            <w:pPr>
              <w:pStyle w:val="P68B1DB1-Normal13"/>
              <w:spacing w:after="0"/>
              <w:rPr>
                <w:rFonts w:cs="Times New Roman"/>
                <w:noProof/>
              </w:rPr>
            </w:pPr>
            <w:r>
              <w:rPr>
                <w:noProof/>
              </w:rPr>
              <w:t>Az adókijátszás és az adócsalás elleni törvény („</w:t>
            </w:r>
            <w:r>
              <w:rPr>
                <w:i/>
                <w:noProof/>
              </w:rPr>
              <w:t>Ley de medidas de prevención y lucha contra el fraude fiscal</w:t>
            </w:r>
            <w:r>
              <w:rPr>
                <w:noProof/>
              </w:rPr>
              <w:t>”) hatálybalépése, amely:</w:t>
            </w:r>
            <w:r>
              <w:rPr>
                <w:noProof/>
              </w:rPr>
              <w:br/>
              <w:t>–Kibővíti azoknak az ügyleteknek a körét, ahol az elektron</w:t>
            </w:r>
            <w:r>
              <w:rPr>
                <w:noProof/>
              </w:rPr>
              <w:t xml:space="preserve">ikus fizetések kötelezőek (cégek és szakemberek), és jogi küszöbértékeket határoz meg a készpénzfizetésekre vonatkozóan </w:t>
            </w:r>
            <w:r>
              <w:rPr>
                <w:noProof/>
              </w:rPr>
              <w:br/>
              <w:t>Aktualizálja az adóparadicsomok listáját az átláthatóságra, az adózás mellőzésére és a káros adórendszerekre vonatkozó kritériumok alap</w:t>
            </w:r>
            <w:r>
              <w:rPr>
                <w:noProof/>
              </w:rPr>
              <w:t>ján.</w:t>
            </w:r>
            <w:r>
              <w:rPr>
                <w:noProof/>
              </w:rPr>
              <w:br/>
              <w:t>Módosítja az adóhátralékos személyek jegyzékbe vételére vonatkozó szabályokat.</w:t>
            </w:r>
            <w:r>
              <w:rPr>
                <w:noProof/>
              </w:rPr>
              <w:br/>
              <w:t>Betiltja a „kettős felhasználású szoftvereket”.</w:t>
            </w:r>
            <w:r>
              <w:rPr>
                <w:noProof/>
              </w:rPr>
              <w:br/>
              <w:t xml:space="preserve">Az ingatlanadóztatásban referenciaértéket vezet be az adóalapra vonatkozóan. </w:t>
            </w:r>
          </w:p>
        </w:tc>
      </w:tr>
      <w:tr w:rsidR="003E1D81" w14:paraId="45161A29" w14:textId="77777777">
        <w:trPr>
          <w:trHeight w:val="309"/>
        </w:trPr>
        <w:tc>
          <w:tcPr>
            <w:tcW w:w="709" w:type="dxa"/>
            <w:shd w:val="clear" w:color="auto" w:fill="C6EFCE"/>
            <w:noWrap/>
          </w:tcPr>
          <w:p w14:paraId="3DBE6677" w14:textId="77777777" w:rsidR="003E1D81" w:rsidRDefault="00EB481C">
            <w:pPr>
              <w:pStyle w:val="P68B1DB1-Normal13"/>
              <w:spacing w:after="0"/>
              <w:jc w:val="center"/>
              <w:rPr>
                <w:rFonts w:cs="Times New Roman"/>
                <w:noProof/>
              </w:rPr>
            </w:pPr>
            <w:r>
              <w:rPr>
                <w:noProof/>
              </w:rPr>
              <w:t>377</w:t>
            </w:r>
          </w:p>
        </w:tc>
        <w:tc>
          <w:tcPr>
            <w:tcW w:w="851" w:type="dxa"/>
            <w:shd w:val="clear" w:color="auto" w:fill="C6EFCE"/>
            <w:noWrap/>
          </w:tcPr>
          <w:p w14:paraId="4C6DC40A" w14:textId="77777777" w:rsidR="003E1D81" w:rsidRDefault="00EB481C">
            <w:pPr>
              <w:pStyle w:val="P68B1DB1-Normal13"/>
              <w:spacing w:after="0"/>
              <w:jc w:val="center"/>
              <w:rPr>
                <w:rFonts w:cs="Times New Roman"/>
                <w:noProof/>
              </w:rPr>
            </w:pPr>
            <w:r>
              <w:rPr>
                <w:noProof/>
              </w:rPr>
              <w:t>C27.R1</w:t>
            </w:r>
          </w:p>
        </w:tc>
        <w:tc>
          <w:tcPr>
            <w:tcW w:w="850" w:type="dxa"/>
            <w:shd w:val="clear" w:color="auto" w:fill="C6EFCE"/>
            <w:noWrap/>
          </w:tcPr>
          <w:p w14:paraId="2A06812F" w14:textId="77777777" w:rsidR="003E1D81" w:rsidRDefault="00EB481C">
            <w:pPr>
              <w:pStyle w:val="P68B1DB1-Normal13"/>
              <w:spacing w:after="0"/>
              <w:jc w:val="center"/>
              <w:rPr>
                <w:rFonts w:cs="Times New Roman"/>
                <w:noProof/>
              </w:rPr>
            </w:pPr>
            <w:r>
              <w:rPr>
                <w:noProof/>
              </w:rPr>
              <w:t>M</w:t>
            </w:r>
          </w:p>
        </w:tc>
        <w:tc>
          <w:tcPr>
            <w:tcW w:w="2977" w:type="dxa"/>
            <w:shd w:val="clear" w:color="auto" w:fill="C6EFCE"/>
            <w:noWrap/>
          </w:tcPr>
          <w:p w14:paraId="5696C1D6" w14:textId="77777777" w:rsidR="003E1D81" w:rsidRDefault="00EB481C">
            <w:pPr>
              <w:pStyle w:val="P68B1DB1-Normal13"/>
              <w:spacing w:after="0"/>
              <w:rPr>
                <w:rFonts w:cs="Times New Roman"/>
                <w:noProof/>
              </w:rPr>
            </w:pPr>
            <w:r>
              <w:rPr>
                <w:noProof/>
              </w:rPr>
              <w:t xml:space="preserve">Az adókijátszás és az adócsalás </w:t>
            </w:r>
            <w:r>
              <w:rPr>
                <w:noProof/>
              </w:rPr>
              <w:t>elleni törvény hatásainak időközi értékelése.</w:t>
            </w:r>
          </w:p>
        </w:tc>
        <w:tc>
          <w:tcPr>
            <w:tcW w:w="1134" w:type="dxa"/>
            <w:shd w:val="clear" w:color="auto" w:fill="C6EFCE"/>
            <w:noWrap/>
          </w:tcPr>
          <w:p w14:paraId="70971FCE" w14:textId="77777777" w:rsidR="003E1D81" w:rsidRDefault="00EB481C">
            <w:pPr>
              <w:pStyle w:val="P68B1DB1-Normal13"/>
              <w:spacing w:after="0"/>
              <w:jc w:val="center"/>
              <w:rPr>
                <w:rFonts w:cs="Times New Roman"/>
                <w:noProof/>
              </w:rPr>
            </w:pPr>
            <w:r>
              <w:rPr>
                <w:noProof/>
              </w:rPr>
              <w:t>A jelentés közzététele a Pénzügyminisztérium honlapján.</w:t>
            </w:r>
          </w:p>
        </w:tc>
        <w:tc>
          <w:tcPr>
            <w:tcW w:w="851" w:type="dxa"/>
            <w:shd w:val="clear" w:color="auto" w:fill="C6EFCE"/>
            <w:noWrap/>
          </w:tcPr>
          <w:p w14:paraId="70AC25B5" w14:textId="77777777" w:rsidR="003E1D81" w:rsidRDefault="00EB481C">
            <w:pPr>
              <w:pStyle w:val="P68B1DB1-Normal13"/>
              <w:spacing w:after="0"/>
              <w:jc w:val="center"/>
              <w:rPr>
                <w:rFonts w:cs="Times New Roman"/>
                <w:noProof/>
              </w:rPr>
            </w:pPr>
            <w:r>
              <w:rPr>
                <w:noProof/>
              </w:rPr>
              <w:t xml:space="preserve"> </w:t>
            </w:r>
          </w:p>
        </w:tc>
        <w:tc>
          <w:tcPr>
            <w:tcW w:w="708" w:type="dxa"/>
            <w:shd w:val="clear" w:color="auto" w:fill="C6EFCE"/>
            <w:noWrap/>
          </w:tcPr>
          <w:p w14:paraId="172F84F8" w14:textId="77777777" w:rsidR="003E1D81" w:rsidRDefault="00EB481C">
            <w:pPr>
              <w:pStyle w:val="P68B1DB1-Normal13"/>
              <w:spacing w:after="0"/>
              <w:jc w:val="right"/>
              <w:rPr>
                <w:rFonts w:cs="Times New Roman"/>
                <w:noProof/>
              </w:rPr>
            </w:pPr>
            <w:r>
              <w:rPr>
                <w:noProof/>
              </w:rPr>
              <w:t xml:space="preserve"> </w:t>
            </w:r>
          </w:p>
        </w:tc>
        <w:tc>
          <w:tcPr>
            <w:tcW w:w="709" w:type="dxa"/>
            <w:shd w:val="clear" w:color="auto" w:fill="C6EFCE"/>
            <w:noWrap/>
          </w:tcPr>
          <w:p w14:paraId="150CED72" w14:textId="77777777" w:rsidR="003E1D81" w:rsidRDefault="00EB481C">
            <w:pPr>
              <w:pStyle w:val="P68B1DB1-Normal13"/>
              <w:spacing w:after="0"/>
              <w:rPr>
                <w:rFonts w:cs="Times New Roman"/>
                <w:noProof/>
              </w:rPr>
            </w:pPr>
            <w:r>
              <w:rPr>
                <w:noProof/>
              </w:rPr>
              <w:t xml:space="preserve"> </w:t>
            </w:r>
          </w:p>
        </w:tc>
        <w:tc>
          <w:tcPr>
            <w:tcW w:w="425" w:type="dxa"/>
            <w:shd w:val="clear" w:color="auto" w:fill="C6EFCE"/>
            <w:noWrap/>
          </w:tcPr>
          <w:p w14:paraId="2BFDEF9A" w14:textId="77777777" w:rsidR="003E1D81" w:rsidRDefault="00EB481C">
            <w:pPr>
              <w:pStyle w:val="P68B1DB1-Normal13"/>
              <w:spacing w:after="0"/>
              <w:jc w:val="center"/>
              <w:rPr>
                <w:rFonts w:cs="Times New Roman"/>
                <w:noProof/>
              </w:rPr>
            </w:pPr>
            <w:r>
              <w:rPr>
                <w:noProof/>
              </w:rPr>
              <w:t>NEGYEDÉV</w:t>
            </w:r>
          </w:p>
        </w:tc>
        <w:tc>
          <w:tcPr>
            <w:tcW w:w="709" w:type="dxa"/>
            <w:shd w:val="clear" w:color="auto" w:fill="C6EFCE"/>
            <w:noWrap/>
          </w:tcPr>
          <w:p w14:paraId="47DDC1D5" w14:textId="77777777" w:rsidR="003E1D81" w:rsidRDefault="00EB481C">
            <w:pPr>
              <w:pStyle w:val="P68B1DB1-Normal13"/>
              <w:spacing w:after="0"/>
              <w:jc w:val="center"/>
              <w:rPr>
                <w:rFonts w:cs="Times New Roman"/>
                <w:noProof/>
              </w:rPr>
            </w:pPr>
            <w:r>
              <w:rPr>
                <w:noProof/>
              </w:rPr>
              <w:t>2022</w:t>
            </w:r>
          </w:p>
        </w:tc>
        <w:tc>
          <w:tcPr>
            <w:tcW w:w="5131" w:type="dxa"/>
            <w:shd w:val="clear" w:color="auto" w:fill="C6EFCE"/>
            <w:noWrap/>
          </w:tcPr>
          <w:p w14:paraId="2161EEE2" w14:textId="77777777" w:rsidR="003E1D81" w:rsidRDefault="00EB481C">
            <w:pPr>
              <w:pStyle w:val="P68B1DB1-Normal13"/>
              <w:spacing w:after="0"/>
              <w:rPr>
                <w:rFonts w:cs="Times New Roman"/>
                <w:noProof/>
              </w:rPr>
            </w:pPr>
            <w:r>
              <w:rPr>
                <w:noProof/>
              </w:rPr>
              <w:t>A Pénzügyminisztérium elvégzi az adókijátszás és az adócsalás elleni törvény időközi értékelését. Ezt az értékelést és a lehetséges ja</w:t>
            </w:r>
            <w:r>
              <w:rPr>
                <w:noProof/>
              </w:rPr>
              <w:t>vítási ajánlásokat a Pénzügyminisztérium honlapján teszik közzé.</w:t>
            </w:r>
          </w:p>
        </w:tc>
      </w:tr>
      <w:tr w:rsidR="003E1D81" w14:paraId="6EC44DEC" w14:textId="77777777">
        <w:trPr>
          <w:trHeight w:val="309"/>
        </w:trPr>
        <w:tc>
          <w:tcPr>
            <w:tcW w:w="709" w:type="dxa"/>
            <w:shd w:val="clear" w:color="auto" w:fill="C6EFCE"/>
            <w:noWrap/>
          </w:tcPr>
          <w:p w14:paraId="7BF66A5C" w14:textId="77777777" w:rsidR="003E1D81" w:rsidRDefault="00EB481C">
            <w:pPr>
              <w:pStyle w:val="P68B1DB1-Normal13"/>
              <w:spacing w:after="0"/>
              <w:jc w:val="center"/>
              <w:rPr>
                <w:rFonts w:cs="Times New Roman"/>
                <w:noProof/>
              </w:rPr>
            </w:pPr>
            <w:r>
              <w:rPr>
                <w:noProof/>
              </w:rPr>
              <w:t>378</w:t>
            </w:r>
          </w:p>
        </w:tc>
        <w:tc>
          <w:tcPr>
            <w:tcW w:w="851" w:type="dxa"/>
            <w:shd w:val="clear" w:color="auto" w:fill="C6EFCE"/>
            <w:noWrap/>
          </w:tcPr>
          <w:p w14:paraId="375B58F6" w14:textId="77777777" w:rsidR="003E1D81" w:rsidRDefault="00EB481C">
            <w:pPr>
              <w:pStyle w:val="P68B1DB1-Normal13"/>
              <w:spacing w:after="0"/>
              <w:jc w:val="center"/>
              <w:rPr>
                <w:rFonts w:cs="Times New Roman"/>
                <w:noProof/>
              </w:rPr>
            </w:pPr>
            <w:r>
              <w:rPr>
                <w:noProof/>
              </w:rPr>
              <w:t>C27.R2</w:t>
            </w:r>
          </w:p>
        </w:tc>
        <w:tc>
          <w:tcPr>
            <w:tcW w:w="850" w:type="dxa"/>
            <w:shd w:val="clear" w:color="auto" w:fill="C6EFCE"/>
            <w:noWrap/>
          </w:tcPr>
          <w:p w14:paraId="4670B3DA" w14:textId="77777777" w:rsidR="003E1D81" w:rsidRDefault="00EB481C">
            <w:pPr>
              <w:pStyle w:val="P68B1DB1-Normal13"/>
              <w:spacing w:after="0"/>
              <w:jc w:val="center"/>
              <w:rPr>
                <w:rFonts w:cs="Times New Roman"/>
                <w:noProof/>
              </w:rPr>
            </w:pPr>
            <w:r>
              <w:rPr>
                <w:noProof/>
              </w:rPr>
              <w:t>T</w:t>
            </w:r>
          </w:p>
        </w:tc>
        <w:tc>
          <w:tcPr>
            <w:tcW w:w="2977" w:type="dxa"/>
            <w:shd w:val="clear" w:color="auto" w:fill="C6EFCE"/>
            <w:noWrap/>
          </w:tcPr>
          <w:p w14:paraId="6CB08DE8" w14:textId="77777777" w:rsidR="003E1D81" w:rsidRDefault="00EB481C">
            <w:pPr>
              <w:pStyle w:val="P68B1DB1-Normal13"/>
              <w:spacing w:after="0"/>
              <w:rPr>
                <w:rFonts w:cs="Times New Roman"/>
                <w:noProof/>
              </w:rPr>
            </w:pPr>
            <w:r>
              <w:rPr>
                <w:noProof/>
              </w:rPr>
              <w:t>Az adóhatóság korszerűsítése – Az adóhatóság személyzetének létszáma</w:t>
            </w:r>
          </w:p>
        </w:tc>
        <w:tc>
          <w:tcPr>
            <w:tcW w:w="1134" w:type="dxa"/>
            <w:shd w:val="clear" w:color="auto" w:fill="C6EFCE"/>
            <w:noWrap/>
          </w:tcPr>
          <w:p w14:paraId="4C40E3B5" w14:textId="77777777" w:rsidR="003E1D81" w:rsidRDefault="00EB481C">
            <w:pPr>
              <w:pStyle w:val="P68B1DB1-Normal13"/>
              <w:spacing w:after="0"/>
              <w:jc w:val="center"/>
              <w:rPr>
                <w:rFonts w:cs="Times New Roman"/>
                <w:noProof/>
              </w:rPr>
            </w:pPr>
            <w:r>
              <w:rPr>
                <w:noProof/>
              </w:rPr>
              <w:t xml:space="preserve"> </w:t>
            </w:r>
          </w:p>
        </w:tc>
        <w:tc>
          <w:tcPr>
            <w:tcW w:w="851" w:type="dxa"/>
            <w:shd w:val="clear" w:color="auto" w:fill="C6EFCE"/>
            <w:noWrap/>
          </w:tcPr>
          <w:p w14:paraId="706C7C47" w14:textId="77777777" w:rsidR="003E1D81" w:rsidRDefault="00EB481C">
            <w:pPr>
              <w:pStyle w:val="P68B1DB1-Normal13"/>
              <w:spacing w:after="0"/>
              <w:jc w:val="center"/>
              <w:rPr>
                <w:rFonts w:cs="Times New Roman"/>
                <w:noProof/>
              </w:rPr>
            </w:pPr>
            <w:r>
              <w:rPr>
                <w:noProof/>
              </w:rPr>
              <w:t xml:space="preserve">Szám </w:t>
            </w:r>
          </w:p>
        </w:tc>
        <w:tc>
          <w:tcPr>
            <w:tcW w:w="708" w:type="dxa"/>
            <w:shd w:val="clear" w:color="auto" w:fill="C6EFCE"/>
            <w:noWrap/>
          </w:tcPr>
          <w:p w14:paraId="0CE8B4B8" w14:textId="77777777" w:rsidR="003E1D81" w:rsidRDefault="00EB481C">
            <w:pPr>
              <w:pStyle w:val="P68B1DB1-Normal13"/>
              <w:spacing w:after="0"/>
              <w:jc w:val="right"/>
              <w:rPr>
                <w:rFonts w:cs="Times New Roman"/>
                <w:noProof/>
              </w:rPr>
            </w:pPr>
            <w:r>
              <w:rPr>
                <w:noProof/>
              </w:rPr>
              <w:t xml:space="preserve">25 325 </w:t>
            </w:r>
          </w:p>
        </w:tc>
        <w:tc>
          <w:tcPr>
            <w:tcW w:w="709" w:type="dxa"/>
            <w:shd w:val="clear" w:color="auto" w:fill="C6EFCE"/>
            <w:noWrap/>
          </w:tcPr>
          <w:p w14:paraId="5669B34F" w14:textId="77777777" w:rsidR="003E1D81" w:rsidRDefault="00EB481C">
            <w:pPr>
              <w:pStyle w:val="P68B1DB1-Normal13"/>
              <w:spacing w:after="0"/>
              <w:rPr>
                <w:rFonts w:cs="Times New Roman"/>
                <w:noProof/>
              </w:rPr>
            </w:pPr>
            <w:r>
              <w:rPr>
                <w:noProof/>
              </w:rPr>
              <w:t>26 320</w:t>
            </w:r>
          </w:p>
        </w:tc>
        <w:tc>
          <w:tcPr>
            <w:tcW w:w="425" w:type="dxa"/>
            <w:shd w:val="clear" w:color="auto" w:fill="C6EFCE"/>
            <w:noWrap/>
          </w:tcPr>
          <w:p w14:paraId="3010CDF1" w14:textId="77777777" w:rsidR="003E1D81" w:rsidRDefault="00EB481C">
            <w:pPr>
              <w:pStyle w:val="P68B1DB1-Normal13"/>
              <w:spacing w:after="0"/>
              <w:jc w:val="center"/>
              <w:rPr>
                <w:rFonts w:cs="Times New Roman"/>
                <w:noProof/>
              </w:rPr>
            </w:pPr>
            <w:r>
              <w:rPr>
                <w:noProof/>
              </w:rPr>
              <w:t>NEGYEDÉV</w:t>
            </w:r>
          </w:p>
        </w:tc>
        <w:tc>
          <w:tcPr>
            <w:tcW w:w="709" w:type="dxa"/>
            <w:shd w:val="clear" w:color="auto" w:fill="C6EFCE"/>
            <w:noWrap/>
          </w:tcPr>
          <w:p w14:paraId="0FB97424" w14:textId="77777777" w:rsidR="003E1D81" w:rsidRDefault="00EB481C">
            <w:pPr>
              <w:pStyle w:val="P68B1DB1-Normal13"/>
              <w:spacing w:after="0"/>
              <w:jc w:val="center"/>
              <w:rPr>
                <w:rFonts w:cs="Times New Roman"/>
                <w:noProof/>
              </w:rPr>
            </w:pPr>
            <w:r>
              <w:rPr>
                <w:noProof/>
              </w:rPr>
              <w:t>2021</w:t>
            </w:r>
          </w:p>
        </w:tc>
        <w:tc>
          <w:tcPr>
            <w:tcW w:w="5131" w:type="dxa"/>
            <w:shd w:val="clear" w:color="auto" w:fill="C6EFCE"/>
            <w:noWrap/>
          </w:tcPr>
          <w:p w14:paraId="58A93788" w14:textId="77777777" w:rsidR="003E1D81" w:rsidRDefault="00EB481C">
            <w:pPr>
              <w:pStyle w:val="P68B1DB1-Normal13"/>
              <w:spacing w:after="0"/>
              <w:rPr>
                <w:rFonts w:cs="Times New Roman"/>
                <w:noProof/>
              </w:rPr>
            </w:pPr>
            <w:r>
              <w:rPr>
                <w:noProof/>
              </w:rPr>
              <w:t xml:space="preserve">Az adóhatóság személyzetének legalább 26320 alkalmazottra való növelése. Az alapforgatókönyv dátuma: 2020. december 31. </w:t>
            </w:r>
          </w:p>
        </w:tc>
      </w:tr>
      <w:tr w:rsidR="003E1D81" w14:paraId="7E1D7CFC" w14:textId="77777777">
        <w:trPr>
          <w:trHeight w:val="309"/>
        </w:trPr>
        <w:tc>
          <w:tcPr>
            <w:tcW w:w="709" w:type="dxa"/>
            <w:shd w:val="clear" w:color="auto" w:fill="C6EFCE"/>
            <w:noWrap/>
          </w:tcPr>
          <w:p w14:paraId="7BEE37B0" w14:textId="77777777" w:rsidR="003E1D81" w:rsidRDefault="00EB481C">
            <w:pPr>
              <w:pStyle w:val="P68B1DB1-Normal13"/>
              <w:spacing w:after="0"/>
              <w:jc w:val="center"/>
              <w:rPr>
                <w:rFonts w:eastAsia="Times New Roman" w:cs="Times New Roman"/>
                <w:noProof/>
              </w:rPr>
            </w:pPr>
            <w:r>
              <w:rPr>
                <w:noProof/>
              </w:rPr>
              <w:t>379</w:t>
            </w:r>
          </w:p>
        </w:tc>
        <w:tc>
          <w:tcPr>
            <w:tcW w:w="851" w:type="dxa"/>
            <w:shd w:val="clear" w:color="auto" w:fill="C6EFCE"/>
            <w:noWrap/>
          </w:tcPr>
          <w:p w14:paraId="7CDB5CEF" w14:textId="77777777" w:rsidR="003E1D81" w:rsidRDefault="00EB481C">
            <w:pPr>
              <w:pStyle w:val="P68B1DB1-Normal13"/>
              <w:spacing w:after="0"/>
              <w:jc w:val="center"/>
              <w:rPr>
                <w:rFonts w:eastAsia="Times New Roman" w:cs="Times New Roman"/>
                <w:noProof/>
              </w:rPr>
            </w:pPr>
            <w:r>
              <w:rPr>
                <w:noProof/>
              </w:rPr>
              <w:t>C27.R2</w:t>
            </w:r>
          </w:p>
        </w:tc>
        <w:tc>
          <w:tcPr>
            <w:tcW w:w="850" w:type="dxa"/>
            <w:shd w:val="clear" w:color="auto" w:fill="C6EFCE"/>
            <w:noWrap/>
          </w:tcPr>
          <w:p w14:paraId="068942BA" w14:textId="77777777" w:rsidR="003E1D81" w:rsidRDefault="00EB481C">
            <w:pPr>
              <w:pStyle w:val="P68B1DB1-Normal13"/>
              <w:spacing w:after="0"/>
              <w:jc w:val="center"/>
              <w:rPr>
                <w:rFonts w:eastAsia="Times New Roman" w:cs="Times New Roman"/>
                <w:noProof/>
              </w:rPr>
            </w:pPr>
            <w:r>
              <w:rPr>
                <w:noProof/>
              </w:rPr>
              <w:t>T</w:t>
            </w:r>
          </w:p>
        </w:tc>
        <w:tc>
          <w:tcPr>
            <w:tcW w:w="2977" w:type="dxa"/>
            <w:shd w:val="clear" w:color="auto" w:fill="C6EFCE"/>
            <w:noWrap/>
          </w:tcPr>
          <w:p w14:paraId="5AD17D76" w14:textId="77777777" w:rsidR="003E1D81" w:rsidRDefault="00EB481C">
            <w:pPr>
              <w:pStyle w:val="P68B1DB1-Normal13"/>
              <w:spacing w:after="0"/>
              <w:rPr>
                <w:rFonts w:eastAsia="Times New Roman" w:cs="Times New Roman"/>
                <w:noProof/>
              </w:rPr>
            </w:pPr>
            <w:r>
              <w:rPr>
                <w:noProof/>
              </w:rPr>
              <w:t>Az adóhatóság korszerűsítése – Adóvizsgálatok</w:t>
            </w:r>
          </w:p>
        </w:tc>
        <w:tc>
          <w:tcPr>
            <w:tcW w:w="1134" w:type="dxa"/>
            <w:shd w:val="clear" w:color="auto" w:fill="C6EFCE"/>
            <w:noWrap/>
          </w:tcPr>
          <w:p w14:paraId="31C6F1EF" w14:textId="77777777" w:rsidR="003E1D81" w:rsidRDefault="00EB481C">
            <w:pPr>
              <w:pStyle w:val="P68B1DB1-Normal13"/>
              <w:spacing w:after="0"/>
              <w:jc w:val="center"/>
              <w:rPr>
                <w:rFonts w:eastAsia="Times New Roman" w:cs="Times New Roman"/>
                <w:noProof/>
              </w:rPr>
            </w:pPr>
            <w:r>
              <w:rPr>
                <w:noProof/>
              </w:rPr>
              <w:t xml:space="preserve"> </w:t>
            </w:r>
          </w:p>
        </w:tc>
        <w:tc>
          <w:tcPr>
            <w:tcW w:w="851" w:type="dxa"/>
            <w:shd w:val="clear" w:color="auto" w:fill="C6EFCE"/>
            <w:noWrap/>
          </w:tcPr>
          <w:p w14:paraId="383C1E0A" w14:textId="77777777" w:rsidR="003E1D81" w:rsidRDefault="00EB481C">
            <w:pPr>
              <w:pStyle w:val="P68B1DB1-Normal13"/>
              <w:spacing w:after="0"/>
              <w:jc w:val="center"/>
              <w:rPr>
                <w:rFonts w:eastAsia="Times New Roman" w:cs="Times New Roman"/>
                <w:noProof/>
              </w:rPr>
            </w:pPr>
            <w:r>
              <w:rPr>
                <w:noProof/>
              </w:rPr>
              <w:t>Szám</w:t>
            </w:r>
          </w:p>
        </w:tc>
        <w:tc>
          <w:tcPr>
            <w:tcW w:w="708" w:type="dxa"/>
            <w:shd w:val="clear" w:color="auto" w:fill="C6EFCE"/>
            <w:noWrap/>
          </w:tcPr>
          <w:p w14:paraId="755932A8" w14:textId="77777777" w:rsidR="003E1D81" w:rsidRDefault="00EB481C">
            <w:pPr>
              <w:pStyle w:val="P68B1DB1-Normal13"/>
              <w:spacing w:after="0"/>
              <w:jc w:val="right"/>
              <w:rPr>
                <w:rFonts w:eastAsia="Times New Roman" w:cs="Times New Roman"/>
                <w:noProof/>
              </w:rPr>
            </w:pPr>
            <w:r>
              <w:rPr>
                <w:noProof/>
              </w:rPr>
              <w:t>5 743</w:t>
            </w:r>
          </w:p>
        </w:tc>
        <w:tc>
          <w:tcPr>
            <w:tcW w:w="709" w:type="dxa"/>
            <w:shd w:val="clear" w:color="auto" w:fill="C6EFCE"/>
            <w:noWrap/>
          </w:tcPr>
          <w:p w14:paraId="79F94CBE" w14:textId="77777777" w:rsidR="003E1D81" w:rsidRDefault="00EB481C">
            <w:pPr>
              <w:pStyle w:val="P68B1DB1-Normal13"/>
              <w:spacing w:after="0"/>
              <w:rPr>
                <w:rFonts w:eastAsia="Times New Roman" w:cs="Times New Roman"/>
                <w:noProof/>
              </w:rPr>
            </w:pPr>
            <w:r>
              <w:rPr>
                <w:noProof/>
              </w:rPr>
              <w:t>6 591</w:t>
            </w:r>
          </w:p>
        </w:tc>
        <w:tc>
          <w:tcPr>
            <w:tcW w:w="425" w:type="dxa"/>
            <w:shd w:val="clear" w:color="auto" w:fill="C6EFCE"/>
            <w:noWrap/>
          </w:tcPr>
          <w:p w14:paraId="6C01FCA6" w14:textId="77777777" w:rsidR="003E1D81" w:rsidRDefault="00EB481C">
            <w:pPr>
              <w:pStyle w:val="P68B1DB1-Normal13"/>
              <w:spacing w:after="0"/>
              <w:jc w:val="center"/>
              <w:rPr>
                <w:rFonts w:eastAsia="Times New Roman" w:cs="Times New Roman"/>
                <w:noProof/>
              </w:rPr>
            </w:pPr>
            <w:r>
              <w:rPr>
                <w:noProof/>
              </w:rPr>
              <w:t>NEGYEDÉV</w:t>
            </w:r>
          </w:p>
        </w:tc>
        <w:tc>
          <w:tcPr>
            <w:tcW w:w="709" w:type="dxa"/>
            <w:shd w:val="clear" w:color="auto" w:fill="C6EFCE"/>
            <w:noWrap/>
          </w:tcPr>
          <w:p w14:paraId="23464E3D" w14:textId="77777777" w:rsidR="003E1D81" w:rsidRDefault="00EB481C">
            <w:pPr>
              <w:pStyle w:val="P68B1DB1-Normal13"/>
              <w:spacing w:after="0"/>
              <w:jc w:val="center"/>
              <w:rPr>
                <w:rFonts w:eastAsia="Times New Roman" w:cs="Times New Roman"/>
                <w:noProof/>
              </w:rPr>
            </w:pPr>
            <w:r>
              <w:rPr>
                <w:noProof/>
              </w:rPr>
              <w:t>2021</w:t>
            </w:r>
          </w:p>
        </w:tc>
        <w:tc>
          <w:tcPr>
            <w:tcW w:w="5131" w:type="dxa"/>
            <w:shd w:val="clear" w:color="auto" w:fill="C6EFCE"/>
            <w:noWrap/>
          </w:tcPr>
          <w:p w14:paraId="5B343D38" w14:textId="77777777" w:rsidR="003E1D81" w:rsidRDefault="00EB481C">
            <w:pPr>
              <w:pStyle w:val="P68B1DB1-Normal13"/>
              <w:spacing w:after="0"/>
              <w:rPr>
                <w:rFonts w:eastAsia="Times New Roman" w:cs="Times New Roman"/>
                <w:noProof/>
              </w:rPr>
            </w:pPr>
            <w:r>
              <w:rPr>
                <w:noProof/>
              </w:rPr>
              <w:t xml:space="preserve">A hatóságok 6591 adóvizsgálatot végeznek </w:t>
            </w:r>
            <w:r>
              <w:rPr>
                <w:noProof/>
              </w:rPr>
              <w:t>(a 2021-ben lefolytatott adóvizsgálatok száma) a be nem jelentett adóköteles tevékenységek feltárása érdekében. Az alapforgatókönyv dátuma: 2020. december 31.</w:t>
            </w:r>
          </w:p>
        </w:tc>
      </w:tr>
      <w:tr w:rsidR="003E1D81" w14:paraId="12127392" w14:textId="77777777">
        <w:trPr>
          <w:trHeight w:val="433"/>
        </w:trPr>
        <w:tc>
          <w:tcPr>
            <w:tcW w:w="709" w:type="dxa"/>
            <w:shd w:val="clear" w:color="auto" w:fill="C6EFCE"/>
            <w:noWrap/>
          </w:tcPr>
          <w:p w14:paraId="4C50C21D" w14:textId="77777777" w:rsidR="003E1D81" w:rsidRDefault="00EB481C">
            <w:pPr>
              <w:pStyle w:val="P68B1DB1-Normal13"/>
              <w:spacing w:after="0"/>
              <w:jc w:val="center"/>
              <w:rPr>
                <w:rFonts w:eastAsia="Times New Roman" w:cs="Times New Roman"/>
                <w:noProof/>
              </w:rPr>
            </w:pPr>
            <w:r>
              <w:rPr>
                <w:noProof/>
              </w:rPr>
              <w:t>380</w:t>
            </w:r>
          </w:p>
        </w:tc>
        <w:tc>
          <w:tcPr>
            <w:tcW w:w="851" w:type="dxa"/>
            <w:shd w:val="clear" w:color="auto" w:fill="C6EFCE"/>
            <w:noWrap/>
          </w:tcPr>
          <w:p w14:paraId="5133A209" w14:textId="77777777" w:rsidR="003E1D81" w:rsidRDefault="00EB481C">
            <w:pPr>
              <w:pStyle w:val="P68B1DB1-Normal13"/>
              <w:spacing w:after="0"/>
              <w:jc w:val="center"/>
              <w:rPr>
                <w:rFonts w:eastAsia="Times New Roman" w:cs="Times New Roman"/>
                <w:noProof/>
              </w:rPr>
            </w:pPr>
            <w:r>
              <w:rPr>
                <w:noProof/>
              </w:rPr>
              <w:t>C27.R3</w:t>
            </w:r>
          </w:p>
        </w:tc>
        <w:tc>
          <w:tcPr>
            <w:tcW w:w="850" w:type="dxa"/>
            <w:shd w:val="clear" w:color="auto" w:fill="C6EFCE"/>
            <w:noWrap/>
          </w:tcPr>
          <w:p w14:paraId="44DC0265" w14:textId="77777777" w:rsidR="003E1D81" w:rsidRDefault="00EB481C">
            <w:pPr>
              <w:pStyle w:val="P68B1DB1-Normal13"/>
              <w:spacing w:after="0"/>
              <w:jc w:val="center"/>
              <w:rPr>
                <w:rFonts w:eastAsia="Times New Roman" w:cs="Times New Roman"/>
                <w:noProof/>
              </w:rPr>
            </w:pPr>
            <w:r>
              <w:rPr>
                <w:noProof/>
              </w:rPr>
              <w:t>T</w:t>
            </w:r>
          </w:p>
        </w:tc>
        <w:tc>
          <w:tcPr>
            <w:tcW w:w="2977" w:type="dxa"/>
            <w:shd w:val="clear" w:color="auto" w:fill="C6EFCE"/>
            <w:noWrap/>
          </w:tcPr>
          <w:p w14:paraId="4754AF56" w14:textId="77777777" w:rsidR="003E1D81" w:rsidRDefault="00EB481C">
            <w:pPr>
              <w:pStyle w:val="P68B1DB1-Normal13"/>
              <w:spacing w:after="0"/>
              <w:rPr>
                <w:rFonts w:eastAsia="Times New Roman" w:cs="Times New Roman"/>
                <w:noProof/>
              </w:rPr>
            </w:pPr>
            <w:r>
              <w:rPr>
                <w:noProof/>
              </w:rPr>
              <w:t xml:space="preserve">Fokozott segítségnyújtás az adófizetőknek – a Sociedades Web korszerűsítése és </w:t>
            </w:r>
            <w:r>
              <w:rPr>
                <w:noProof/>
              </w:rPr>
              <w:t>legalább 1666123 adózó számára elérhető.</w:t>
            </w:r>
          </w:p>
        </w:tc>
        <w:tc>
          <w:tcPr>
            <w:tcW w:w="1134" w:type="dxa"/>
            <w:shd w:val="clear" w:color="auto" w:fill="C6EFCE"/>
            <w:noWrap/>
          </w:tcPr>
          <w:p w14:paraId="16D75D7F" w14:textId="77777777" w:rsidR="003E1D81" w:rsidRDefault="00EB481C">
            <w:pPr>
              <w:pStyle w:val="P68B1DB1-Normal13"/>
              <w:spacing w:after="0"/>
              <w:jc w:val="center"/>
              <w:rPr>
                <w:rFonts w:eastAsia="Times New Roman" w:cs="Times New Roman"/>
                <w:noProof/>
              </w:rPr>
            </w:pPr>
            <w:r>
              <w:rPr>
                <w:noProof/>
              </w:rPr>
              <w:t xml:space="preserve"> </w:t>
            </w:r>
          </w:p>
        </w:tc>
        <w:tc>
          <w:tcPr>
            <w:tcW w:w="851" w:type="dxa"/>
            <w:shd w:val="clear" w:color="auto" w:fill="C6EFCE"/>
            <w:noWrap/>
          </w:tcPr>
          <w:p w14:paraId="5F2A9026" w14:textId="77777777" w:rsidR="003E1D81" w:rsidRDefault="00EB481C">
            <w:pPr>
              <w:pStyle w:val="P68B1DB1-Normal13"/>
              <w:spacing w:after="0"/>
              <w:jc w:val="center"/>
              <w:rPr>
                <w:rFonts w:eastAsia="Times New Roman" w:cs="Times New Roman"/>
                <w:noProof/>
              </w:rPr>
            </w:pPr>
            <w:r>
              <w:rPr>
                <w:noProof/>
              </w:rPr>
              <w:t>Szám</w:t>
            </w:r>
          </w:p>
        </w:tc>
        <w:tc>
          <w:tcPr>
            <w:tcW w:w="708" w:type="dxa"/>
            <w:shd w:val="clear" w:color="auto" w:fill="C6EFCE"/>
            <w:noWrap/>
          </w:tcPr>
          <w:p w14:paraId="7EE8F8CA" w14:textId="77777777" w:rsidR="003E1D81" w:rsidRDefault="00EB481C">
            <w:pPr>
              <w:pStyle w:val="P68B1DB1-Normal13"/>
              <w:spacing w:after="0"/>
              <w:jc w:val="right"/>
              <w:rPr>
                <w:rFonts w:eastAsia="Times New Roman" w:cs="Times New Roman"/>
                <w:noProof/>
              </w:rPr>
            </w:pPr>
            <w:r>
              <w:rPr>
                <w:noProof/>
              </w:rPr>
              <w:t>0</w:t>
            </w:r>
          </w:p>
        </w:tc>
        <w:tc>
          <w:tcPr>
            <w:tcW w:w="709" w:type="dxa"/>
            <w:shd w:val="clear" w:color="auto" w:fill="C6EFCE"/>
            <w:noWrap/>
          </w:tcPr>
          <w:p w14:paraId="4A9D484E" w14:textId="77777777" w:rsidR="003E1D81" w:rsidRDefault="00EB481C">
            <w:pPr>
              <w:pStyle w:val="P68B1DB1-Normal13"/>
              <w:spacing w:after="0"/>
              <w:rPr>
                <w:rFonts w:eastAsia="Times New Roman" w:cs="Times New Roman"/>
                <w:noProof/>
              </w:rPr>
            </w:pPr>
            <w:r>
              <w:rPr>
                <w:noProof/>
              </w:rPr>
              <w:t>1 666 123</w:t>
            </w:r>
          </w:p>
        </w:tc>
        <w:tc>
          <w:tcPr>
            <w:tcW w:w="425" w:type="dxa"/>
            <w:shd w:val="clear" w:color="auto" w:fill="C6EFCE"/>
            <w:noWrap/>
          </w:tcPr>
          <w:p w14:paraId="0EEBB9F9" w14:textId="77777777" w:rsidR="003E1D81" w:rsidRDefault="00EB481C">
            <w:pPr>
              <w:pStyle w:val="P68B1DB1-Normal13"/>
              <w:spacing w:after="0"/>
              <w:jc w:val="center"/>
              <w:rPr>
                <w:rFonts w:eastAsia="Times New Roman" w:cs="Times New Roman"/>
                <w:noProof/>
              </w:rPr>
            </w:pPr>
            <w:r>
              <w:rPr>
                <w:noProof/>
              </w:rPr>
              <w:t>NEGYEDÉV</w:t>
            </w:r>
          </w:p>
        </w:tc>
        <w:tc>
          <w:tcPr>
            <w:tcW w:w="709" w:type="dxa"/>
            <w:shd w:val="clear" w:color="auto" w:fill="C6EFCE"/>
            <w:noWrap/>
          </w:tcPr>
          <w:p w14:paraId="044A2C93" w14:textId="77777777" w:rsidR="003E1D81" w:rsidRDefault="00EB481C">
            <w:pPr>
              <w:pStyle w:val="P68B1DB1-Normal13"/>
              <w:spacing w:after="0"/>
              <w:jc w:val="center"/>
              <w:rPr>
                <w:rFonts w:eastAsia="Times New Roman" w:cs="Times New Roman"/>
                <w:noProof/>
              </w:rPr>
            </w:pPr>
            <w:r>
              <w:rPr>
                <w:noProof/>
              </w:rPr>
              <w:t>2021</w:t>
            </w:r>
          </w:p>
        </w:tc>
        <w:tc>
          <w:tcPr>
            <w:tcW w:w="5131" w:type="dxa"/>
            <w:shd w:val="clear" w:color="auto" w:fill="C6EFCE"/>
            <w:noWrap/>
          </w:tcPr>
          <w:p w14:paraId="2C9CAFD6" w14:textId="77777777" w:rsidR="003E1D81" w:rsidRDefault="00EB481C">
            <w:pPr>
              <w:pStyle w:val="P68B1DB1-Normal13"/>
              <w:spacing w:after="0"/>
              <w:rPr>
                <w:rFonts w:eastAsia="Times New Roman" w:cs="Times New Roman"/>
                <w:noProof/>
              </w:rPr>
            </w:pPr>
            <w:r>
              <w:rPr>
                <w:i/>
                <w:noProof/>
              </w:rPr>
              <w:t>A Sociedades</w:t>
            </w:r>
            <w:r>
              <w:rPr>
                <w:noProof/>
              </w:rPr>
              <w:t xml:space="preserve"> Webet, a társasági adófizetőket célzó szolgáltatást korszerűsíteni kell, és az adóbevallás szempontjából releváns, a vállalatok által korábban bejelentett adóinformációk</w:t>
            </w:r>
            <w:r>
              <w:rPr>
                <w:noProof/>
              </w:rPr>
              <w:t>at automatikusan be kell mutatnia a közigazgatásnak. E korszerűsítést követően a szolgáltatást 1666123 társasági adófizető rendelkezésére kell bocsátani. Az alapforgatókönyv dátuma: 2020. december 31.</w:t>
            </w:r>
          </w:p>
        </w:tc>
      </w:tr>
      <w:tr w:rsidR="003E1D81" w14:paraId="11128318" w14:textId="77777777">
        <w:trPr>
          <w:trHeight w:val="309"/>
        </w:trPr>
        <w:tc>
          <w:tcPr>
            <w:tcW w:w="709" w:type="dxa"/>
            <w:shd w:val="clear" w:color="auto" w:fill="C6EFCE"/>
            <w:noWrap/>
          </w:tcPr>
          <w:p w14:paraId="68E85ECF" w14:textId="77777777" w:rsidR="003E1D81" w:rsidRDefault="00EB481C">
            <w:pPr>
              <w:pStyle w:val="P68B1DB1-Normal13"/>
              <w:spacing w:after="0"/>
              <w:jc w:val="center"/>
              <w:rPr>
                <w:rFonts w:cs="Times New Roman"/>
                <w:noProof/>
              </w:rPr>
            </w:pPr>
            <w:r>
              <w:rPr>
                <w:noProof/>
              </w:rPr>
              <w:t>381</w:t>
            </w:r>
          </w:p>
        </w:tc>
        <w:tc>
          <w:tcPr>
            <w:tcW w:w="851" w:type="dxa"/>
            <w:shd w:val="clear" w:color="auto" w:fill="C6EFCE"/>
            <w:noWrap/>
          </w:tcPr>
          <w:p w14:paraId="358A22F0" w14:textId="77777777" w:rsidR="003E1D81" w:rsidRDefault="00EB481C">
            <w:pPr>
              <w:pStyle w:val="P68B1DB1-Normal13"/>
              <w:spacing w:after="0"/>
              <w:jc w:val="center"/>
              <w:rPr>
                <w:rFonts w:cs="Times New Roman"/>
                <w:noProof/>
              </w:rPr>
            </w:pPr>
            <w:r>
              <w:rPr>
                <w:noProof/>
              </w:rPr>
              <w:t>C27.R3</w:t>
            </w:r>
          </w:p>
        </w:tc>
        <w:tc>
          <w:tcPr>
            <w:tcW w:w="850" w:type="dxa"/>
            <w:shd w:val="clear" w:color="auto" w:fill="C6EFCE"/>
            <w:noWrap/>
          </w:tcPr>
          <w:p w14:paraId="0F6B0EB5" w14:textId="77777777" w:rsidR="003E1D81" w:rsidRDefault="00EB481C">
            <w:pPr>
              <w:pStyle w:val="P68B1DB1-Normal13"/>
              <w:spacing w:after="0"/>
              <w:jc w:val="center"/>
              <w:rPr>
                <w:rFonts w:cs="Times New Roman"/>
                <w:noProof/>
              </w:rPr>
            </w:pPr>
            <w:r>
              <w:rPr>
                <w:noProof/>
              </w:rPr>
              <w:t>T</w:t>
            </w:r>
          </w:p>
        </w:tc>
        <w:tc>
          <w:tcPr>
            <w:tcW w:w="2977" w:type="dxa"/>
            <w:shd w:val="clear" w:color="auto" w:fill="C6EFCE"/>
            <w:noWrap/>
          </w:tcPr>
          <w:p w14:paraId="191FEE1A" w14:textId="77777777" w:rsidR="003E1D81" w:rsidRDefault="00EB481C">
            <w:pPr>
              <w:pStyle w:val="P68B1DB1-Normal13"/>
              <w:spacing w:after="0"/>
              <w:rPr>
                <w:rFonts w:cs="Times New Roman"/>
                <w:noProof/>
              </w:rPr>
            </w:pPr>
            <w:r>
              <w:rPr>
                <w:noProof/>
              </w:rPr>
              <w:t>Fokozott segítségnyújtás az adófizetőknek</w:t>
            </w:r>
            <w:r>
              <w:rPr>
                <w:noProof/>
              </w:rPr>
              <w:t xml:space="preserve"> – a Renta Web korszerűsítése és rendelkezésre állása legalább 1779505 adózó számára</w:t>
            </w:r>
          </w:p>
        </w:tc>
        <w:tc>
          <w:tcPr>
            <w:tcW w:w="1134" w:type="dxa"/>
            <w:shd w:val="clear" w:color="auto" w:fill="C6EFCE"/>
            <w:noWrap/>
          </w:tcPr>
          <w:p w14:paraId="78FE25B2" w14:textId="77777777" w:rsidR="003E1D81" w:rsidRDefault="00EB481C">
            <w:pPr>
              <w:pStyle w:val="P68B1DB1-Normal13"/>
              <w:spacing w:after="0"/>
              <w:jc w:val="center"/>
              <w:rPr>
                <w:rFonts w:cs="Times New Roman"/>
                <w:noProof/>
              </w:rPr>
            </w:pPr>
            <w:r>
              <w:rPr>
                <w:noProof/>
              </w:rPr>
              <w:t> </w:t>
            </w:r>
          </w:p>
        </w:tc>
        <w:tc>
          <w:tcPr>
            <w:tcW w:w="851" w:type="dxa"/>
            <w:shd w:val="clear" w:color="auto" w:fill="C6EFCE"/>
            <w:noWrap/>
          </w:tcPr>
          <w:p w14:paraId="48F91E17" w14:textId="77777777" w:rsidR="003E1D81" w:rsidRDefault="00EB481C">
            <w:pPr>
              <w:pStyle w:val="P68B1DB1-Normal13"/>
              <w:spacing w:after="0"/>
              <w:jc w:val="center"/>
              <w:rPr>
                <w:rFonts w:cs="Times New Roman"/>
                <w:noProof/>
              </w:rPr>
            </w:pPr>
            <w:r>
              <w:rPr>
                <w:noProof/>
              </w:rPr>
              <w:t>Szám</w:t>
            </w:r>
          </w:p>
        </w:tc>
        <w:tc>
          <w:tcPr>
            <w:tcW w:w="708" w:type="dxa"/>
            <w:shd w:val="clear" w:color="auto" w:fill="C6EFCE"/>
            <w:noWrap/>
          </w:tcPr>
          <w:p w14:paraId="18043F16" w14:textId="77777777" w:rsidR="003E1D81" w:rsidRDefault="00EB481C">
            <w:pPr>
              <w:pStyle w:val="P68B1DB1-Normal13"/>
              <w:spacing w:after="0"/>
              <w:rPr>
                <w:rFonts w:cs="Times New Roman"/>
                <w:noProof/>
              </w:rPr>
            </w:pPr>
            <w:r>
              <w:rPr>
                <w:noProof/>
              </w:rPr>
              <w:t>0</w:t>
            </w:r>
          </w:p>
        </w:tc>
        <w:tc>
          <w:tcPr>
            <w:tcW w:w="709" w:type="dxa"/>
            <w:shd w:val="clear" w:color="auto" w:fill="C6EFCE"/>
            <w:noWrap/>
          </w:tcPr>
          <w:p w14:paraId="75F4E397" w14:textId="77777777" w:rsidR="003E1D81" w:rsidRDefault="00EB481C">
            <w:pPr>
              <w:pStyle w:val="P68B1DB1-Normal13"/>
              <w:spacing w:after="0"/>
              <w:rPr>
                <w:rFonts w:cs="Times New Roman"/>
                <w:noProof/>
              </w:rPr>
            </w:pPr>
            <w:r>
              <w:rPr>
                <w:noProof/>
              </w:rPr>
              <w:t>1 779 505</w:t>
            </w:r>
          </w:p>
        </w:tc>
        <w:tc>
          <w:tcPr>
            <w:tcW w:w="425" w:type="dxa"/>
            <w:shd w:val="clear" w:color="auto" w:fill="C6EFCE"/>
            <w:noWrap/>
          </w:tcPr>
          <w:p w14:paraId="4ECC0553" w14:textId="77777777" w:rsidR="003E1D81" w:rsidRDefault="00EB481C">
            <w:pPr>
              <w:pStyle w:val="P68B1DB1-Normal13"/>
              <w:spacing w:after="0"/>
              <w:jc w:val="center"/>
              <w:rPr>
                <w:rFonts w:cs="Times New Roman"/>
                <w:noProof/>
              </w:rPr>
            </w:pPr>
            <w:r>
              <w:rPr>
                <w:noProof/>
              </w:rPr>
              <w:t>NEGYEDÉV</w:t>
            </w:r>
          </w:p>
        </w:tc>
        <w:tc>
          <w:tcPr>
            <w:tcW w:w="709" w:type="dxa"/>
            <w:shd w:val="clear" w:color="auto" w:fill="C6EFCE"/>
            <w:noWrap/>
          </w:tcPr>
          <w:p w14:paraId="03F52988" w14:textId="77777777" w:rsidR="003E1D81" w:rsidRDefault="00EB481C">
            <w:pPr>
              <w:pStyle w:val="P68B1DB1-Normal13"/>
              <w:spacing w:after="0"/>
              <w:jc w:val="center"/>
              <w:rPr>
                <w:rFonts w:cs="Times New Roman"/>
                <w:noProof/>
              </w:rPr>
            </w:pPr>
            <w:r>
              <w:rPr>
                <w:noProof/>
              </w:rPr>
              <w:t>2021</w:t>
            </w:r>
          </w:p>
        </w:tc>
        <w:tc>
          <w:tcPr>
            <w:tcW w:w="5131" w:type="dxa"/>
            <w:shd w:val="clear" w:color="auto" w:fill="C6EFCE"/>
            <w:noWrap/>
          </w:tcPr>
          <w:p w14:paraId="6F46FADA" w14:textId="77777777" w:rsidR="003E1D81" w:rsidRDefault="00EB481C">
            <w:pPr>
              <w:pStyle w:val="P68B1DB1-Normal13"/>
              <w:spacing w:after="0"/>
              <w:rPr>
                <w:rFonts w:cs="Times New Roman"/>
                <w:noProof/>
              </w:rPr>
            </w:pPr>
            <w:r>
              <w:rPr>
                <w:i/>
                <w:noProof/>
              </w:rPr>
              <w:t>A Renta Web</w:t>
            </w:r>
            <w:r>
              <w:rPr>
                <w:noProof/>
              </w:rPr>
              <w:t xml:space="preserve"> a személyi jövedelemadóval foglalkozó szoftver, amely lehetővé teszi a „libros</w:t>
            </w:r>
            <w:r>
              <w:rPr>
                <w:i/>
                <w:noProof/>
              </w:rPr>
              <w:t>registro”</w:t>
            </w:r>
            <w:r>
              <w:rPr>
                <w:noProof/>
              </w:rPr>
              <w:t>közvetlen importját a személyi jövedele</w:t>
            </w:r>
            <w:r>
              <w:rPr>
                <w:noProof/>
              </w:rPr>
              <w:t>madó-bevallásokba. 1779505 személyijövedelem-adóalany számára lesz elérhető. Az alapforgatókönyv dátuma: 2020. december 31.</w:t>
            </w:r>
          </w:p>
        </w:tc>
      </w:tr>
      <w:tr w:rsidR="003E1D81" w14:paraId="68C1902E" w14:textId="77777777">
        <w:trPr>
          <w:trHeight w:val="309"/>
        </w:trPr>
        <w:tc>
          <w:tcPr>
            <w:tcW w:w="709" w:type="dxa"/>
            <w:shd w:val="clear" w:color="auto" w:fill="C6EFCE"/>
            <w:noWrap/>
          </w:tcPr>
          <w:p w14:paraId="0E3BF9FA" w14:textId="77777777" w:rsidR="003E1D81" w:rsidRDefault="00EB481C">
            <w:pPr>
              <w:pStyle w:val="P68B1DB1-Normal13"/>
              <w:spacing w:after="0"/>
              <w:jc w:val="center"/>
              <w:rPr>
                <w:rFonts w:eastAsia="Times New Roman" w:cs="Times New Roman"/>
                <w:noProof/>
              </w:rPr>
            </w:pPr>
            <w:r>
              <w:rPr>
                <w:noProof/>
              </w:rPr>
              <w:t>382</w:t>
            </w:r>
          </w:p>
        </w:tc>
        <w:tc>
          <w:tcPr>
            <w:tcW w:w="851" w:type="dxa"/>
            <w:shd w:val="clear" w:color="auto" w:fill="C6EFCE"/>
            <w:noWrap/>
          </w:tcPr>
          <w:p w14:paraId="2DF19F86" w14:textId="77777777" w:rsidR="003E1D81" w:rsidRDefault="00EB481C">
            <w:pPr>
              <w:pStyle w:val="P68B1DB1-Normal13"/>
              <w:spacing w:after="0"/>
              <w:jc w:val="center"/>
              <w:rPr>
                <w:rFonts w:eastAsia="Times New Roman" w:cs="Times New Roman"/>
                <w:noProof/>
              </w:rPr>
            </w:pPr>
            <w:r>
              <w:rPr>
                <w:noProof/>
              </w:rPr>
              <w:t>C27.R3</w:t>
            </w:r>
          </w:p>
        </w:tc>
        <w:tc>
          <w:tcPr>
            <w:tcW w:w="850" w:type="dxa"/>
            <w:shd w:val="clear" w:color="auto" w:fill="C6EFCE"/>
            <w:noWrap/>
          </w:tcPr>
          <w:p w14:paraId="298197E5" w14:textId="77777777" w:rsidR="003E1D81" w:rsidRDefault="00EB481C">
            <w:pPr>
              <w:pStyle w:val="P68B1DB1-Normal13"/>
              <w:spacing w:after="0"/>
              <w:jc w:val="center"/>
              <w:rPr>
                <w:rFonts w:eastAsia="Times New Roman" w:cs="Times New Roman"/>
                <w:noProof/>
              </w:rPr>
            </w:pPr>
            <w:r>
              <w:rPr>
                <w:noProof/>
              </w:rPr>
              <w:t>M</w:t>
            </w:r>
          </w:p>
        </w:tc>
        <w:tc>
          <w:tcPr>
            <w:tcW w:w="2977" w:type="dxa"/>
            <w:shd w:val="clear" w:color="auto" w:fill="C6EFCE"/>
            <w:noWrap/>
          </w:tcPr>
          <w:p w14:paraId="6BACF937" w14:textId="77777777" w:rsidR="003E1D81" w:rsidRDefault="00EB481C">
            <w:pPr>
              <w:pStyle w:val="P68B1DB1-Normal13"/>
              <w:spacing w:after="0"/>
              <w:rPr>
                <w:rFonts w:eastAsia="Times New Roman" w:cs="Times New Roman"/>
                <w:noProof/>
              </w:rPr>
            </w:pPr>
            <w:r>
              <w:rPr>
                <w:noProof/>
              </w:rPr>
              <w:t>Négy digitális támogatási platform megvalósítása</w:t>
            </w:r>
          </w:p>
        </w:tc>
        <w:tc>
          <w:tcPr>
            <w:tcW w:w="1134" w:type="dxa"/>
            <w:shd w:val="clear" w:color="auto" w:fill="C6EFCE"/>
            <w:noWrap/>
          </w:tcPr>
          <w:p w14:paraId="65E1A8B1" w14:textId="77777777" w:rsidR="003E1D81" w:rsidRDefault="00EB481C">
            <w:pPr>
              <w:pStyle w:val="P68B1DB1-Normal13"/>
              <w:spacing w:after="0"/>
              <w:jc w:val="center"/>
              <w:rPr>
                <w:rFonts w:eastAsia="Times New Roman" w:cs="Times New Roman"/>
                <w:noProof/>
              </w:rPr>
            </w:pPr>
            <w:r>
              <w:rPr>
                <w:noProof/>
              </w:rPr>
              <w:t xml:space="preserve">Az adóhatóság jelentésének közzététele </w:t>
            </w:r>
          </w:p>
        </w:tc>
        <w:tc>
          <w:tcPr>
            <w:tcW w:w="851" w:type="dxa"/>
            <w:shd w:val="clear" w:color="auto" w:fill="C6EFCE"/>
            <w:noWrap/>
          </w:tcPr>
          <w:p w14:paraId="1D1175EE" w14:textId="77777777" w:rsidR="003E1D81" w:rsidRDefault="00EB481C">
            <w:pPr>
              <w:pStyle w:val="P68B1DB1-Normal13"/>
              <w:spacing w:after="0"/>
              <w:jc w:val="center"/>
              <w:rPr>
                <w:rFonts w:eastAsia="Times New Roman" w:cs="Times New Roman"/>
                <w:noProof/>
              </w:rPr>
            </w:pPr>
            <w:r>
              <w:rPr>
                <w:noProof/>
              </w:rPr>
              <w:t> </w:t>
            </w:r>
          </w:p>
        </w:tc>
        <w:tc>
          <w:tcPr>
            <w:tcW w:w="708" w:type="dxa"/>
            <w:shd w:val="clear" w:color="auto" w:fill="C6EFCE"/>
            <w:noWrap/>
          </w:tcPr>
          <w:p w14:paraId="41E5E6F4" w14:textId="77777777" w:rsidR="003E1D81" w:rsidRDefault="00EB481C">
            <w:pPr>
              <w:pStyle w:val="P68B1DB1-Normal13"/>
              <w:spacing w:after="0"/>
              <w:jc w:val="right"/>
              <w:rPr>
                <w:rFonts w:eastAsia="Times New Roman" w:cs="Times New Roman"/>
                <w:noProof/>
              </w:rPr>
            </w:pPr>
            <w:r>
              <w:rPr>
                <w:noProof/>
              </w:rPr>
              <w:t xml:space="preserve"> </w:t>
            </w:r>
          </w:p>
        </w:tc>
        <w:tc>
          <w:tcPr>
            <w:tcW w:w="709" w:type="dxa"/>
            <w:shd w:val="clear" w:color="auto" w:fill="C6EFCE"/>
            <w:noWrap/>
          </w:tcPr>
          <w:p w14:paraId="2BDA0106" w14:textId="77777777" w:rsidR="003E1D81" w:rsidRDefault="00EB481C">
            <w:pPr>
              <w:pStyle w:val="P68B1DB1-Normal13"/>
              <w:spacing w:after="0"/>
              <w:jc w:val="right"/>
              <w:rPr>
                <w:rFonts w:eastAsia="Times New Roman" w:cs="Times New Roman"/>
                <w:noProof/>
              </w:rPr>
            </w:pPr>
            <w:r>
              <w:rPr>
                <w:noProof/>
              </w:rPr>
              <w:t xml:space="preserve"> </w:t>
            </w:r>
          </w:p>
        </w:tc>
        <w:tc>
          <w:tcPr>
            <w:tcW w:w="425" w:type="dxa"/>
            <w:shd w:val="clear" w:color="auto" w:fill="C6EFCE"/>
            <w:noWrap/>
          </w:tcPr>
          <w:p w14:paraId="6566099C" w14:textId="77777777" w:rsidR="003E1D81" w:rsidRDefault="00EB481C">
            <w:pPr>
              <w:pStyle w:val="P68B1DB1-Normal13"/>
              <w:spacing w:after="0"/>
              <w:jc w:val="center"/>
              <w:rPr>
                <w:rFonts w:eastAsia="Times New Roman" w:cs="Times New Roman"/>
                <w:noProof/>
              </w:rPr>
            </w:pPr>
            <w:r>
              <w:rPr>
                <w:noProof/>
              </w:rPr>
              <w:t>NEGYEDÉV</w:t>
            </w:r>
          </w:p>
        </w:tc>
        <w:tc>
          <w:tcPr>
            <w:tcW w:w="709" w:type="dxa"/>
            <w:shd w:val="clear" w:color="auto" w:fill="C6EFCE"/>
            <w:noWrap/>
          </w:tcPr>
          <w:p w14:paraId="168B9BFD" w14:textId="77777777" w:rsidR="003E1D81" w:rsidRDefault="00EB481C">
            <w:pPr>
              <w:pStyle w:val="P68B1DB1-Normal13"/>
              <w:spacing w:after="0"/>
              <w:jc w:val="center"/>
              <w:rPr>
                <w:rFonts w:eastAsia="Times New Roman" w:cs="Times New Roman"/>
                <w:noProof/>
              </w:rPr>
            </w:pPr>
            <w:r>
              <w:rPr>
                <w:noProof/>
              </w:rPr>
              <w:t>2023</w:t>
            </w:r>
          </w:p>
        </w:tc>
        <w:tc>
          <w:tcPr>
            <w:tcW w:w="5131" w:type="dxa"/>
            <w:shd w:val="clear" w:color="auto" w:fill="C6EFCE"/>
            <w:noWrap/>
          </w:tcPr>
          <w:p w14:paraId="04EBE51F" w14:textId="77777777" w:rsidR="003E1D81" w:rsidRDefault="00EB481C">
            <w:pPr>
              <w:pStyle w:val="P68B1DB1-Normal13"/>
              <w:spacing w:after="0"/>
              <w:rPr>
                <w:rFonts w:eastAsia="Times New Roman" w:cs="Times New Roman"/>
                <w:noProof/>
              </w:rPr>
            </w:pPr>
            <w:r>
              <w:rPr>
                <w:noProof/>
              </w:rPr>
              <w:t xml:space="preserve">Az </w:t>
            </w:r>
            <w:r>
              <w:rPr>
                <w:noProof/>
              </w:rPr>
              <w:t>adóhatóság négy digitális adózási támogatási platformot hoz létre és működtet az adófizetőknek nyújtott szolgáltatások javítása érdekében. A DSP-k virtuális online pultként működnek, amelyek szélesebb körű segítségnyújtási szolgáltatást nyújtanak az adófiz</w:t>
            </w:r>
            <w:r>
              <w:rPr>
                <w:noProof/>
              </w:rPr>
              <w:t>etőknek, lehetővé téve számukra, hogy különböző nyelveken kapcsolatba lépjenek az adóhatósággal annak érdekében, hogy online ugyanazokat a támogatási eljárásokat hajtsák végre, mint amelyek egy hagyományos irodában rendelkezésre állnak, mint például az ált</w:t>
            </w:r>
            <w:r>
              <w:rPr>
                <w:noProof/>
              </w:rPr>
              <w:t>alános információs szolgáltatások, a különböző eljárásokban való segítségnyújtás, valamint az adóbevallások benyújtásához nyújtott segítség.</w:t>
            </w:r>
          </w:p>
        </w:tc>
      </w:tr>
      <w:tr w:rsidR="003E1D81" w14:paraId="2CC903A3" w14:textId="77777777">
        <w:trPr>
          <w:trHeight w:val="309"/>
        </w:trPr>
        <w:tc>
          <w:tcPr>
            <w:tcW w:w="709" w:type="dxa"/>
            <w:shd w:val="clear" w:color="auto" w:fill="C6EFCE"/>
            <w:noWrap/>
          </w:tcPr>
          <w:p w14:paraId="64C51E35" w14:textId="77777777" w:rsidR="003E1D81" w:rsidRDefault="00EB481C">
            <w:pPr>
              <w:pStyle w:val="P68B1DB1-Normal13"/>
              <w:spacing w:after="0"/>
              <w:jc w:val="center"/>
              <w:rPr>
                <w:rFonts w:eastAsia="Times New Roman" w:cs="Times New Roman"/>
                <w:noProof/>
              </w:rPr>
            </w:pPr>
            <w:r>
              <w:rPr>
                <w:noProof/>
              </w:rPr>
              <w:t>383</w:t>
            </w:r>
          </w:p>
        </w:tc>
        <w:tc>
          <w:tcPr>
            <w:tcW w:w="851" w:type="dxa"/>
            <w:shd w:val="clear" w:color="auto" w:fill="C6EFCE"/>
            <w:noWrap/>
          </w:tcPr>
          <w:p w14:paraId="7924CDDD" w14:textId="77777777" w:rsidR="003E1D81" w:rsidRDefault="00EB481C">
            <w:pPr>
              <w:pStyle w:val="P68B1DB1-Normal13"/>
              <w:spacing w:after="0"/>
              <w:jc w:val="center"/>
              <w:rPr>
                <w:rFonts w:eastAsia="Times New Roman" w:cs="Times New Roman"/>
                <w:noProof/>
              </w:rPr>
            </w:pPr>
            <w:r>
              <w:rPr>
                <w:noProof/>
              </w:rPr>
              <w:t>C27.R4</w:t>
            </w:r>
          </w:p>
        </w:tc>
        <w:tc>
          <w:tcPr>
            <w:tcW w:w="850" w:type="dxa"/>
            <w:shd w:val="clear" w:color="auto" w:fill="C6EFCE"/>
            <w:noWrap/>
          </w:tcPr>
          <w:p w14:paraId="13FA85BC" w14:textId="77777777" w:rsidR="003E1D81" w:rsidRDefault="00EB481C">
            <w:pPr>
              <w:pStyle w:val="P68B1DB1-Normal13"/>
              <w:spacing w:after="0"/>
              <w:jc w:val="center"/>
              <w:rPr>
                <w:rFonts w:eastAsia="Times New Roman" w:cs="Times New Roman"/>
                <w:noProof/>
              </w:rPr>
            </w:pPr>
            <w:r>
              <w:rPr>
                <w:noProof/>
              </w:rPr>
              <w:t>T</w:t>
            </w:r>
          </w:p>
        </w:tc>
        <w:tc>
          <w:tcPr>
            <w:tcW w:w="2977" w:type="dxa"/>
            <w:shd w:val="clear" w:color="auto" w:fill="C6EFCE"/>
            <w:noWrap/>
          </w:tcPr>
          <w:p w14:paraId="0CE926E3" w14:textId="77777777" w:rsidR="003E1D81" w:rsidRDefault="00EB481C">
            <w:pPr>
              <w:pStyle w:val="P68B1DB1-Normal13"/>
              <w:spacing w:after="0"/>
              <w:rPr>
                <w:rFonts w:eastAsia="Times New Roman" w:cs="Times New Roman"/>
                <w:noProof/>
              </w:rPr>
            </w:pPr>
            <w:r>
              <w:rPr>
                <w:noProof/>
              </w:rPr>
              <w:t xml:space="preserve">Nemzetközi dimenzió – A nyilvántartásba vett külföldi adófizetők azonosítása </w:t>
            </w:r>
          </w:p>
        </w:tc>
        <w:tc>
          <w:tcPr>
            <w:tcW w:w="1134" w:type="dxa"/>
            <w:shd w:val="clear" w:color="auto" w:fill="C6EFCE"/>
            <w:noWrap/>
          </w:tcPr>
          <w:p w14:paraId="67857EAC" w14:textId="77777777" w:rsidR="003E1D81" w:rsidRDefault="00EB481C">
            <w:pPr>
              <w:pStyle w:val="P68B1DB1-Normal13"/>
              <w:spacing w:after="0"/>
              <w:jc w:val="center"/>
              <w:rPr>
                <w:rFonts w:eastAsia="Times New Roman" w:cs="Times New Roman"/>
                <w:noProof/>
              </w:rPr>
            </w:pPr>
            <w:r>
              <w:rPr>
                <w:noProof/>
              </w:rPr>
              <w:t xml:space="preserve"> </w:t>
            </w:r>
          </w:p>
        </w:tc>
        <w:tc>
          <w:tcPr>
            <w:tcW w:w="851" w:type="dxa"/>
            <w:shd w:val="clear" w:color="auto" w:fill="C6EFCE"/>
            <w:noWrap/>
          </w:tcPr>
          <w:p w14:paraId="07596CC5" w14:textId="77777777" w:rsidR="003E1D81" w:rsidRDefault="00EB481C">
            <w:pPr>
              <w:pStyle w:val="P68B1DB1-Normal13"/>
              <w:spacing w:after="0"/>
              <w:jc w:val="center"/>
              <w:rPr>
                <w:rFonts w:eastAsia="Times New Roman" w:cs="Times New Roman"/>
                <w:noProof/>
              </w:rPr>
            </w:pPr>
            <w:r>
              <w:rPr>
                <w:noProof/>
              </w:rPr>
              <w:t>Szám (%)</w:t>
            </w:r>
          </w:p>
        </w:tc>
        <w:tc>
          <w:tcPr>
            <w:tcW w:w="708" w:type="dxa"/>
            <w:shd w:val="clear" w:color="auto" w:fill="C6EFCE"/>
            <w:noWrap/>
          </w:tcPr>
          <w:p w14:paraId="0CAE84B5" w14:textId="77777777" w:rsidR="003E1D81" w:rsidRDefault="00EB481C">
            <w:pPr>
              <w:pStyle w:val="P68B1DB1-Normal13"/>
              <w:spacing w:after="0"/>
              <w:jc w:val="right"/>
              <w:rPr>
                <w:rFonts w:eastAsia="Times New Roman" w:cs="Times New Roman"/>
                <w:noProof/>
              </w:rPr>
            </w:pPr>
            <w:r>
              <w:rPr>
                <w:noProof/>
              </w:rPr>
              <w:t>0</w:t>
            </w:r>
          </w:p>
        </w:tc>
        <w:tc>
          <w:tcPr>
            <w:tcW w:w="709" w:type="dxa"/>
            <w:shd w:val="clear" w:color="auto" w:fill="C6EFCE"/>
            <w:noWrap/>
          </w:tcPr>
          <w:p w14:paraId="1E25BDA4" w14:textId="77777777" w:rsidR="003E1D81" w:rsidRDefault="00EB481C">
            <w:pPr>
              <w:pStyle w:val="P68B1DB1-Normal13"/>
              <w:spacing w:after="0"/>
              <w:jc w:val="right"/>
              <w:rPr>
                <w:rFonts w:eastAsia="Times New Roman" w:cs="Times New Roman"/>
                <w:noProof/>
              </w:rPr>
            </w:pPr>
            <w:r>
              <w:rPr>
                <w:noProof/>
              </w:rPr>
              <w:t>85</w:t>
            </w:r>
          </w:p>
        </w:tc>
        <w:tc>
          <w:tcPr>
            <w:tcW w:w="425" w:type="dxa"/>
            <w:shd w:val="clear" w:color="auto" w:fill="C6EFCE"/>
            <w:noWrap/>
          </w:tcPr>
          <w:p w14:paraId="28E904A9" w14:textId="77777777" w:rsidR="003E1D81" w:rsidRDefault="00EB481C">
            <w:pPr>
              <w:pStyle w:val="P68B1DB1-Normal13"/>
              <w:spacing w:after="0"/>
              <w:jc w:val="center"/>
              <w:rPr>
                <w:rFonts w:eastAsia="Times New Roman" w:cs="Times New Roman"/>
                <w:noProof/>
              </w:rPr>
            </w:pPr>
            <w:r>
              <w:rPr>
                <w:noProof/>
              </w:rPr>
              <w:t>NEGYEDÉV</w:t>
            </w:r>
          </w:p>
        </w:tc>
        <w:tc>
          <w:tcPr>
            <w:tcW w:w="709" w:type="dxa"/>
            <w:shd w:val="clear" w:color="auto" w:fill="C6EFCE"/>
            <w:noWrap/>
          </w:tcPr>
          <w:p w14:paraId="0E649732" w14:textId="77777777" w:rsidR="003E1D81" w:rsidRDefault="00EB481C">
            <w:pPr>
              <w:pStyle w:val="P68B1DB1-Normal13"/>
              <w:spacing w:after="0"/>
              <w:jc w:val="center"/>
              <w:rPr>
                <w:rFonts w:eastAsia="Times New Roman" w:cs="Times New Roman"/>
                <w:noProof/>
              </w:rPr>
            </w:pPr>
            <w:r>
              <w:rPr>
                <w:noProof/>
              </w:rPr>
              <w:t>2021</w:t>
            </w:r>
          </w:p>
        </w:tc>
        <w:tc>
          <w:tcPr>
            <w:tcW w:w="5131" w:type="dxa"/>
            <w:shd w:val="clear" w:color="auto" w:fill="C6EFCE"/>
            <w:noWrap/>
          </w:tcPr>
          <w:p w14:paraId="44091DCC" w14:textId="77777777" w:rsidR="003E1D81" w:rsidRDefault="00EB481C">
            <w:pPr>
              <w:pStyle w:val="P68B1DB1-Normal13"/>
              <w:spacing w:after="0"/>
              <w:rPr>
                <w:rFonts w:eastAsia="Times New Roman" w:cs="Times New Roman"/>
                <w:noProof/>
              </w:rPr>
            </w:pPr>
            <w:r>
              <w:rPr>
                <w:noProof/>
              </w:rPr>
              <w:t>Az adójogszabályoknak való megfelelés javítása érdekében, különösen azon adózók esetében, akik a nyilvántartásban külföldi adózóként szerepelnek, az adóhatóság olyan projektet hajt végre, amely felhasználja a különböző nemzetközi forrásokból,</w:t>
            </w:r>
            <w:r>
              <w:rPr>
                <w:noProof/>
              </w:rPr>
              <w:t xml:space="preserve"> például a FATCA-ból és a CRS-ből származó, az adózókra vonatkozó új információkat. A projekt befejezését követően a kapott nemzetközi információk várhatóan alkalmasak lesznek a kockázatelemzésre. A projekt célja az, hogy a nyilvántartásba vett külföldi ad</w:t>
            </w:r>
            <w:r>
              <w:rPr>
                <w:noProof/>
              </w:rPr>
              <w:t>ózók legalább 85%-ának adóadatait, amelyekről az adóhatóság 2019-ben információt kapott, azonosították és ellenőrizték annak adóadatait, hogy azok 2021. december 31-ig felhasználhatók legyenek a kockázatelemzésben. Az alapforgatókönyv dátuma: 2020. decembe</w:t>
            </w:r>
            <w:r>
              <w:rPr>
                <w:noProof/>
              </w:rPr>
              <w:t>r 31.</w:t>
            </w:r>
          </w:p>
        </w:tc>
      </w:tr>
      <w:tr w:rsidR="003E1D81" w14:paraId="2E94181E" w14:textId="77777777">
        <w:trPr>
          <w:trHeight w:val="309"/>
        </w:trPr>
        <w:tc>
          <w:tcPr>
            <w:tcW w:w="709" w:type="dxa"/>
            <w:shd w:val="clear" w:color="auto" w:fill="C6EFCE"/>
            <w:noWrap/>
          </w:tcPr>
          <w:p w14:paraId="369D469A" w14:textId="77777777" w:rsidR="003E1D81" w:rsidRDefault="00EB481C">
            <w:pPr>
              <w:pStyle w:val="P68B1DB1-Normal13"/>
              <w:spacing w:after="0"/>
              <w:jc w:val="center"/>
              <w:rPr>
                <w:rFonts w:eastAsia="Times New Roman" w:cs="Times New Roman"/>
                <w:noProof/>
              </w:rPr>
            </w:pPr>
            <w:r>
              <w:rPr>
                <w:noProof/>
              </w:rPr>
              <w:t>384</w:t>
            </w:r>
          </w:p>
        </w:tc>
        <w:tc>
          <w:tcPr>
            <w:tcW w:w="851" w:type="dxa"/>
            <w:shd w:val="clear" w:color="auto" w:fill="C6EFCE"/>
            <w:noWrap/>
          </w:tcPr>
          <w:p w14:paraId="4AAA593D" w14:textId="77777777" w:rsidR="003E1D81" w:rsidRDefault="00EB481C">
            <w:pPr>
              <w:pStyle w:val="P68B1DB1-Normal13"/>
              <w:spacing w:after="0"/>
              <w:jc w:val="center"/>
              <w:rPr>
                <w:rFonts w:eastAsia="Times New Roman" w:cs="Times New Roman"/>
                <w:noProof/>
              </w:rPr>
            </w:pPr>
            <w:r>
              <w:rPr>
                <w:noProof/>
              </w:rPr>
              <w:t>C27.R5</w:t>
            </w:r>
          </w:p>
        </w:tc>
        <w:tc>
          <w:tcPr>
            <w:tcW w:w="850" w:type="dxa"/>
            <w:shd w:val="clear" w:color="auto" w:fill="C6EFCE"/>
            <w:noWrap/>
          </w:tcPr>
          <w:p w14:paraId="042E4418" w14:textId="77777777" w:rsidR="003E1D81" w:rsidRDefault="00EB481C">
            <w:pPr>
              <w:pStyle w:val="P68B1DB1-Normal13"/>
              <w:spacing w:after="0"/>
              <w:jc w:val="center"/>
              <w:rPr>
                <w:rFonts w:eastAsia="Times New Roman" w:cs="Times New Roman"/>
                <w:noProof/>
              </w:rPr>
            </w:pPr>
            <w:r>
              <w:rPr>
                <w:noProof/>
              </w:rPr>
              <w:t>T</w:t>
            </w:r>
          </w:p>
        </w:tc>
        <w:tc>
          <w:tcPr>
            <w:tcW w:w="2977" w:type="dxa"/>
            <w:shd w:val="clear" w:color="auto" w:fill="C6EFCE"/>
            <w:noWrap/>
          </w:tcPr>
          <w:p w14:paraId="7DF6F267" w14:textId="77777777" w:rsidR="003E1D81" w:rsidRDefault="00EB481C">
            <w:pPr>
              <w:pStyle w:val="P68B1DB1-Normal13"/>
              <w:spacing w:after="0"/>
              <w:rPr>
                <w:rFonts w:eastAsia="Times New Roman" w:cs="Times New Roman"/>
                <w:noProof/>
              </w:rPr>
            </w:pPr>
            <w:r>
              <w:rPr>
                <w:noProof/>
              </w:rPr>
              <w:t>Együttműködési modell – Átláthatósági jelentések</w:t>
            </w:r>
          </w:p>
        </w:tc>
        <w:tc>
          <w:tcPr>
            <w:tcW w:w="1134" w:type="dxa"/>
            <w:shd w:val="clear" w:color="auto" w:fill="C6EFCE"/>
            <w:noWrap/>
          </w:tcPr>
          <w:p w14:paraId="05BE67A3" w14:textId="77777777" w:rsidR="003E1D81" w:rsidRDefault="00EB481C">
            <w:pPr>
              <w:pStyle w:val="P68B1DB1-Normal13"/>
              <w:spacing w:after="0"/>
              <w:jc w:val="center"/>
              <w:rPr>
                <w:rFonts w:eastAsia="Times New Roman" w:cs="Times New Roman"/>
                <w:noProof/>
              </w:rPr>
            </w:pPr>
            <w:r>
              <w:rPr>
                <w:noProof/>
              </w:rPr>
              <w:t xml:space="preserve"> </w:t>
            </w:r>
          </w:p>
        </w:tc>
        <w:tc>
          <w:tcPr>
            <w:tcW w:w="851" w:type="dxa"/>
            <w:shd w:val="clear" w:color="auto" w:fill="C6EFCE"/>
            <w:noWrap/>
          </w:tcPr>
          <w:p w14:paraId="749A8266" w14:textId="77777777" w:rsidR="003E1D81" w:rsidRDefault="00EB481C">
            <w:pPr>
              <w:pStyle w:val="P68B1DB1-Normal13"/>
              <w:spacing w:after="0"/>
              <w:jc w:val="center"/>
              <w:rPr>
                <w:rFonts w:eastAsia="Times New Roman" w:cs="Times New Roman"/>
                <w:noProof/>
              </w:rPr>
            </w:pPr>
            <w:r>
              <w:rPr>
                <w:noProof/>
              </w:rPr>
              <w:t xml:space="preserve">Szám </w:t>
            </w:r>
          </w:p>
        </w:tc>
        <w:tc>
          <w:tcPr>
            <w:tcW w:w="708" w:type="dxa"/>
            <w:shd w:val="clear" w:color="auto" w:fill="C6EFCE"/>
            <w:noWrap/>
          </w:tcPr>
          <w:p w14:paraId="66896702" w14:textId="77777777" w:rsidR="003E1D81" w:rsidRDefault="00EB481C">
            <w:pPr>
              <w:pStyle w:val="P68B1DB1-Normal13"/>
              <w:spacing w:after="0"/>
              <w:jc w:val="right"/>
              <w:rPr>
                <w:rFonts w:eastAsia="Times New Roman" w:cs="Times New Roman"/>
                <w:noProof/>
              </w:rPr>
            </w:pPr>
            <w:r>
              <w:rPr>
                <w:noProof/>
              </w:rPr>
              <w:t>0</w:t>
            </w:r>
          </w:p>
        </w:tc>
        <w:tc>
          <w:tcPr>
            <w:tcW w:w="709" w:type="dxa"/>
            <w:shd w:val="clear" w:color="auto" w:fill="C6EFCE"/>
            <w:noWrap/>
          </w:tcPr>
          <w:p w14:paraId="40419D8E" w14:textId="77777777" w:rsidR="003E1D81" w:rsidRDefault="00EB481C">
            <w:pPr>
              <w:pStyle w:val="P68B1DB1-Normal13"/>
              <w:spacing w:after="0"/>
              <w:jc w:val="right"/>
              <w:rPr>
                <w:rFonts w:eastAsia="Times New Roman" w:cs="Times New Roman"/>
                <w:noProof/>
              </w:rPr>
            </w:pPr>
            <w:r>
              <w:rPr>
                <w:noProof/>
              </w:rPr>
              <w:t>20</w:t>
            </w:r>
          </w:p>
        </w:tc>
        <w:tc>
          <w:tcPr>
            <w:tcW w:w="425" w:type="dxa"/>
            <w:shd w:val="clear" w:color="auto" w:fill="C6EFCE"/>
            <w:noWrap/>
          </w:tcPr>
          <w:p w14:paraId="304624A8" w14:textId="77777777" w:rsidR="003E1D81" w:rsidRDefault="00EB481C">
            <w:pPr>
              <w:pStyle w:val="P68B1DB1-Normal13"/>
              <w:spacing w:after="0"/>
              <w:jc w:val="center"/>
              <w:rPr>
                <w:rFonts w:eastAsia="Times New Roman" w:cs="Times New Roman"/>
                <w:noProof/>
              </w:rPr>
            </w:pPr>
            <w:r>
              <w:rPr>
                <w:noProof/>
              </w:rPr>
              <w:t>NEGYEDÉV</w:t>
            </w:r>
          </w:p>
        </w:tc>
        <w:tc>
          <w:tcPr>
            <w:tcW w:w="709" w:type="dxa"/>
            <w:shd w:val="clear" w:color="auto" w:fill="C6EFCE"/>
            <w:noWrap/>
          </w:tcPr>
          <w:p w14:paraId="0DF9133B" w14:textId="77777777" w:rsidR="003E1D81" w:rsidRDefault="00EB481C">
            <w:pPr>
              <w:pStyle w:val="P68B1DB1-Normal13"/>
              <w:spacing w:after="0"/>
              <w:jc w:val="center"/>
              <w:rPr>
                <w:rFonts w:eastAsia="Times New Roman" w:cs="Times New Roman"/>
                <w:noProof/>
              </w:rPr>
            </w:pPr>
            <w:r>
              <w:rPr>
                <w:noProof/>
              </w:rPr>
              <w:t>2021</w:t>
            </w:r>
          </w:p>
        </w:tc>
        <w:tc>
          <w:tcPr>
            <w:tcW w:w="5131" w:type="dxa"/>
            <w:shd w:val="clear" w:color="auto" w:fill="C6EFCE"/>
            <w:noWrap/>
          </w:tcPr>
          <w:p w14:paraId="27637BE0" w14:textId="77777777" w:rsidR="003E1D81" w:rsidRDefault="00EB481C">
            <w:pPr>
              <w:pStyle w:val="P68B1DB1-Normal13"/>
              <w:spacing w:after="0"/>
              <w:rPr>
                <w:rFonts w:eastAsia="Times New Roman" w:cs="Times New Roman"/>
                <w:noProof/>
              </w:rPr>
            </w:pPr>
            <w:r>
              <w:rPr>
                <w:noProof/>
              </w:rPr>
              <w:t xml:space="preserve">Az adóhatóság 2021-ben hajt végre egy projektet, amely arra ösztönzi a multinacionális vállalatokat, hogy hozzák nyilvánosságra a működésükkel kapcsolatos </w:t>
            </w:r>
            <w:r>
              <w:rPr>
                <w:noProof/>
              </w:rPr>
              <w:t>információkat. Ezek a közzétételek következményekkel járhatnak e társaságok adóztatására nézve. A cél a 2021-ben benyújtott 20 átláthatósági jelentés.</w:t>
            </w:r>
          </w:p>
        </w:tc>
      </w:tr>
    </w:tbl>
    <w:p w14:paraId="026E0547" w14:textId="77777777" w:rsidR="003E1D81" w:rsidRDefault="003E1D81">
      <w:pPr>
        <w:pStyle w:val="Text1"/>
        <w:ind w:left="709"/>
        <w:rPr>
          <w:rFonts w:ascii="Times New Roman" w:hAnsi="Times New Roman" w:cs="Times New Roman"/>
          <w:noProof/>
        </w:rPr>
      </w:pPr>
    </w:p>
    <w:p w14:paraId="51CD281E" w14:textId="77777777" w:rsidR="003E1D81" w:rsidRDefault="003E1D81">
      <w:pPr>
        <w:pStyle w:val="SectionTitle"/>
        <w:rPr>
          <w:rFonts w:ascii="Times New Roman" w:hAnsi="Times New Roman" w:cs="Times New Roman"/>
          <w:noProof/>
        </w:rPr>
        <w:sectPr w:rsidR="003E1D81" w:rsidSect="00C94F66">
          <w:headerReference w:type="even" r:id="rId513"/>
          <w:headerReference w:type="default" r:id="rId514"/>
          <w:footerReference w:type="even" r:id="rId515"/>
          <w:footerReference w:type="default" r:id="rId516"/>
          <w:headerReference w:type="first" r:id="rId517"/>
          <w:footerReference w:type="first" r:id="rId518"/>
          <w:pgSz w:w="16839" w:h="11907" w:orient="landscape"/>
          <w:pgMar w:top="1417" w:right="1134" w:bottom="1417" w:left="1134" w:header="709" w:footer="709" w:gutter="0"/>
          <w:cols w:space="720"/>
          <w:docGrid w:linePitch="360"/>
        </w:sectPr>
      </w:pPr>
    </w:p>
    <w:p w14:paraId="4688F100" w14:textId="77777777" w:rsidR="003E1D81" w:rsidRDefault="00EB481C">
      <w:pPr>
        <w:pStyle w:val="P68B1DB1-Heading12"/>
        <w:rPr>
          <w:rFonts w:cs="Times New Roman"/>
          <w:noProof/>
        </w:rPr>
      </w:pPr>
      <w:r>
        <w:rPr>
          <w:noProof/>
        </w:rPr>
        <w:t xml:space="preserve">AB. ÖSSZETEVŐ: Az adórendszer </w:t>
      </w:r>
      <w:r>
        <w:rPr>
          <w:noProof/>
        </w:rPr>
        <w:t>hozzáigazítása a 21. század valóságához</w:t>
      </w:r>
    </w:p>
    <w:p w14:paraId="0E925F46" w14:textId="33528176" w:rsidR="003E1D81" w:rsidRDefault="00EB481C">
      <w:pPr>
        <w:pStyle w:val="P68B1DB1-Text119"/>
        <w:ind w:left="0"/>
        <w:rPr>
          <w:rFonts w:cs="Times New Roman"/>
          <w:noProof/>
        </w:rPr>
      </w:pPr>
      <w:r>
        <w:rPr>
          <w:noProof/>
        </w:rPr>
        <w:t>A spanyol helyreállítási és rezilienciaépítési terv 28. elemében szereplő intézkedések különböző adóintézkedéseket foglalnak magukban, például a gazdasági válság akut szakaszában 2020-ban elfogadott szükséghelyzeti i</w:t>
      </w:r>
      <w:r>
        <w:rPr>
          <w:noProof/>
        </w:rPr>
        <w:t>ntézkedéseket, új adóknak a 2021. évi állami költségvetés keretében történő bevezetését, valamint a céljának jobban megfelelő adórendszer felülvizsgálatára és fejlesztésére irányuló középtávú projekteket. Az intézkedések adóösztönzőket is tartalmaznak a zö</w:t>
      </w:r>
      <w:r>
        <w:rPr>
          <w:noProof/>
        </w:rPr>
        <w:t>ld átállás felgyorsítása érdekében. A spanyol adórendszer reformjának célja, hogy méltányosabbá, progresszívebbé, fenntarthatóbbá és méltányosabbá tegye azt, miközben elmélyíti a zöld adózás kialakítását, integrálja a nemi dimenziót, és erősíti az általáno</w:t>
      </w:r>
      <w:r>
        <w:rPr>
          <w:noProof/>
        </w:rPr>
        <w:t>s érdekű közpolitikákat, például az egészségvédelmet. A reformok célja továbbá, hogy pozitívan járuljanak hozzá a gazdasági növekedéshez, a munkahelyteremtéshez, a gazdasági rezilienciához és a területek közötti kohézióhoz. Mivel Spanyolországban az adóbev</w:t>
      </w:r>
      <w:r>
        <w:rPr>
          <w:noProof/>
        </w:rPr>
        <w:t xml:space="preserve">ételek GDP-hez viszonyított aránya alacsonyabb, mint az azonos gazdaságokban, lehetőség van a bevételek növelésére és az államháztartás közép- és hosszú távú fenntarthatóságának előmozdítására. </w:t>
      </w:r>
    </w:p>
    <w:p w14:paraId="205DC4D7" w14:textId="72087E5C" w:rsidR="003E1D81" w:rsidRDefault="00EB481C">
      <w:pPr>
        <w:pStyle w:val="P68B1DB1-Text119"/>
        <w:ind w:left="0"/>
        <w:rPr>
          <w:rFonts w:cs="Times New Roman"/>
          <w:noProof/>
        </w:rPr>
      </w:pPr>
      <w:r>
        <w:rPr>
          <w:noProof/>
        </w:rPr>
        <w:t>A komponens többek között a következő országspecifikus ajánlá</w:t>
      </w:r>
      <w:r>
        <w:rPr>
          <w:noProof/>
        </w:rPr>
        <w:t>sokkal foglalkozik: a költségvetési és közbeszerzési kereteknek a kormányzat minden szintjén történő megerősítéséről (2019. évi 1. országspecifikus ajánlás), a prudens középtávú költségvetési pozíció elérésére és az adósság fenntarthatóságának biztosításár</w:t>
      </w:r>
      <w:r>
        <w:rPr>
          <w:noProof/>
        </w:rPr>
        <w:t>a irányuló költségvetési politikák folytatásáról a beruházások ösztönzése mellett (2020. évi 1. országspecifikus ajánlás), a közlekedés villamosításáról (2023. és 4. országspecifikus ajánlás), az ökológiai és digitális átállásba történő beruházások növelés</w:t>
      </w:r>
      <w:r>
        <w:rPr>
          <w:noProof/>
        </w:rPr>
        <w:t>éről (1., 2023., 2022. és 3. országspecifikus ajánlás), valamint a szociális és megfizethető energiahatékony lakások rendelkezésre állásának különösen felújítás révén történő növeléséről szóló országspecifikus ajánlásokra (2023. és 4. országspecifikus aján</w:t>
      </w:r>
      <w:r>
        <w:rPr>
          <w:noProof/>
        </w:rPr>
        <w:t xml:space="preserve">lás). </w:t>
      </w:r>
    </w:p>
    <w:p w14:paraId="48553FBA" w14:textId="77777777" w:rsidR="003E1D81" w:rsidRDefault="00EB481C">
      <w:pPr>
        <w:pStyle w:val="P68B1DB1-Text119"/>
        <w:ind w:left="0"/>
        <w:rPr>
          <w:rFonts w:cs="Times New Roman"/>
          <w:noProof/>
        </w:rPr>
      </w:pPr>
      <w:r>
        <w:rPr>
          <w:noProof/>
        </w:rPr>
        <w:t xml:space="preserve">A jelentős károkozás elkerülését célzó elvről szóló technikai iránymutatásnak (2021/C58/01) megfelelően a helyreállítási és rezilienciaépítési tervben meghatározott intézkedések leírását és a helyreállítási és rezilienciaépítési tervben </w:t>
      </w:r>
      <w:r>
        <w:rPr>
          <w:noProof/>
        </w:rPr>
        <w:t>meghatározott enyhítő lépéseket figyelembe véve ebben a komponensben várhatóan egyetlen intézkedés sem sérti jelentős mértékben az (EU) 2020/852 rendelet 17. cikke szerinti környezeti célkitűzéseket.</w:t>
      </w:r>
    </w:p>
    <w:p w14:paraId="097A9153" w14:textId="77777777" w:rsidR="003E1D81" w:rsidRDefault="00EB481C">
      <w:pPr>
        <w:pStyle w:val="P68B1DB1-Text138"/>
        <w:ind w:left="709"/>
        <w:rPr>
          <w:rFonts w:cs="Times New Roman"/>
          <w:i/>
          <w:noProof/>
        </w:rPr>
      </w:pPr>
      <w:r>
        <w:rPr>
          <w:noProof/>
        </w:rPr>
        <w:t xml:space="preserve">AB.1. </w:t>
      </w:r>
      <w:r>
        <w:rPr>
          <w:noProof/>
        </w:rPr>
        <w:tab/>
        <w:t>Vissza nem térítendő pénzügyi támogatás – a refor</w:t>
      </w:r>
      <w:r>
        <w:rPr>
          <w:noProof/>
        </w:rPr>
        <w:t>mok és beruházások ismertetése</w:t>
      </w:r>
    </w:p>
    <w:p w14:paraId="3E25CCF5" w14:textId="77777777" w:rsidR="003E1D81" w:rsidRDefault="00EB481C">
      <w:pPr>
        <w:pStyle w:val="P68B1DB1-Text120"/>
        <w:ind w:left="0"/>
        <w:rPr>
          <w:rFonts w:cs="Times New Roman"/>
          <w:noProof/>
        </w:rPr>
      </w:pPr>
      <w:r>
        <w:rPr>
          <w:noProof/>
        </w:rPr>
        <w:t>Reform (C28.R1) – A Covid19-világjárvány hatásainak enyhítése érdekében 2020-ban és 2021-ben hozott intézkedések</w:t>
      </w:r>
    </w:p>
    <w:p w14:paraId="4B34A87F" w14:textId="77777777" w:rsidR="003E1D81" w:rsidRDefault="00EB481C">
      <w:pPr>
        <w:pStyle w:val="P68B1DB1-Text119"/>
        <w:ind w:left="0"/>
        <w:rPr>
          <w:rFonts w:cs="Times New Roman"/>
          <w:noProof/>
        </w:rPr>
      </w:pPr>
      <w:r>
        <w:rPr>
          <w:noProof/>
        </w:rPr>
        <w:t xml:space="preserve">Spanyolország 2020 és 2021 folyamán számos adóintézkedést vezetett be a Covid19-járvány okozta gazdasági válság </w:t>
      </w:r>
      <w:r>
        <w:rPr>
          <w:noProof/>
        </w:rPr>
        <w:t>negatív hatásainak enyhítése érdekében. Ezek az intézkedések magukban foglalták az adó- és vámtartozások elhalasztását, az adó-határidők felfüggesztését és meghosszabbítását, az egyszerűsített személyi jövedelemadó lehetőségeit, a kkv-k társaságiadó- és hé</w:t>
      </w:r>
      <w:r>
        <w:rPr>
          <w:noProof/>
        </w:rPr>
        <w:t>aszabályozását, az egészségügyi válság leküzdéséhez szükséges egyes termékek héakulcsának ideiglenes csökkentését, valamint a nem pénzügyi vállalatok fizetésképtelenségi alapjának létrehozását. Ezen intézkedések célja a világjárvány gazdasági és társadalmi</w:t>
      </w:r>
      <w:r>
        <w:rPr>
          <w:noProof/>
        </w:rPr>
        <w:t xml:space="preserve"> hatásainak enyhítése volt. Ezek az intézkedések 2020. február 1-jén lépnek hatályba, és némelyikük 2021-ben is hatályban marad. </w:t>
      </w:r>
    </w:p>
    <w:p w14:paraId="3E30F3A4" w14:textId="77777777" w:rsidR="003E1D81" w:rsidRDefault="00EB481C">
      <w:pPr>
        <w:pStyle w:val="P68B1DB1-Text119"/>
        <w:ind w:left="0"/>
        <w:rPr>
          <w:rFonts w:cs="Times New Roman"/>
          <w:noProof/>
        </w:rPr>
      </w:pPr>
      <w:r>
        <w:rPr>
          <w:noProof/>
        </w:rPr>
        <w:t>Az intézkedés végrehajtását 2021. március 31-ig be kell fejezni.</w:t>
      </w:r>
    </w:p>
    <w:p w14:paraId="76FFBCCE" w14:textId="77777777" w:rsidR="003E1D81" w:rsidRDefault="00EB481C">
      <w:pPr>
        <w:pStyle w:val="P68B1DB1-Text120"/>
        <w:ind w:left="0"/>
        <w:rPr>
          <w:rFonts w:cs="Times New Roman"/>
          <w:noProof/>
        </w:rPr>
      </w:pPr>
      <w:r>
        <w:rPr>
          <w:noProof/>
        </w:rPr>
        <w:t>Reform (C28.R2) – Az adóelőny elemzése</w:t>
      </w:r>
    </w:p>
    <w:p w14:paraId="4BFB300F" w14:textId="77777777" w:rsidR="003E1D81" w:rsidRDefault="00EB481C">
      <w:pPr>
        <w:pStyle w:val="P68B1DB1-Text119"/>
        <w:ind w:left="0"/>
        <w:rPr>
          <w:rFonts w:cs="Times New Roman"/>
          <w:noProof/>
          <w:sz w:val="20"/>
        </w:rPr>
      </w:pPr>
      <w:r>
        <w:rPr>
          <w:noProof/>
        </w:rPr>
        <w:t>A független költségvet</w:t>
      </w:r>
      <w:r>
        <w:rPr>
          <w:noProof/>
        </w:rPr>
        <w:t>ési hatóság (a továbbiakban:</w:t>
      </w:r>
      <w:r>
        <w:rPr>
          <w:i/>
          <w:noProof/>
        </w:rPr>
        <w:t>Autoridad Independiente de Responsabilidad Fiscal</w:t>
      </w:r>
      <w:r>
        <w:rPr>
          <w:noProof/>
        </w:rPr>
        <w:t>, AIReF) által a személyi jövedelemadóval, a jövedéki adókkal és a héával kapcsolatos adókedvezmények tekintetében végzett kiadási felülvizsgálat azonosított bizonyos adókedvezmén</w:t>
      </w:r>
      <w:r>
        <w:rPr>
          <w:noProof/>
        </w:rPr>
        <w:t>yek módosításának lehetőségeit. 2020-ban módosították a személyi jövedelemadó-rendszerek adókedvezményeit, valamint az üdítőitalokra és gyümölcslevekre, valamint egyes hozzáadott cukrot és/vagy édesítőszereket tartalmazó italokra vonatkozó kedvezményes héa</w:t>
      </w:r>
      <w:r>
        <w:rPr>
          <w:noProof/>
        </w:rPr>
        <w:t>kulcsot. A további szabályozási reformok 2023. március 31-ig történő végrehajtásának a 15 adókedvezmény értékelésére létrehozott munkacsoport ajánlásain kell alapulnia. E munkacsoport célja, hogy ajánlásokat fogalmazzon meg arra vonatkozóan, hogy az adóren</w:t>
      </w:r>
      <w:r>
        <w:rPr>
          <w:noProof/>
        </w:rPr>
        <w:t>dszer hatékonyabbá tétele, a bevételek növelése, a zöld átállás támogatása és a méltányosság előmozdítása érdekében az elkövetkező években hogyan lehet tovább módosítani vagy megszüntetni az adókedvezményeket.</w:t>
      </w:r>
      <w:r>
        <w:rPr>
          <w:noProof/>
          <w:sz w:val="20"/>
        </w:rPr>
        <w:t xml:space="preserve"> </w:t>
      </w:r>
    </w:p>
    <w:p w14:paraId="7E6F87C9" w14:textId="77777777" w:rsidR="003E1D81" w:rsidRDefault="00EB481C">
      <w:pPr>
        <w:pStyle w:val="P68B1DB1-Text119"/>
        <w:ind w:left="0"/>
        <w:rPr>
          <w:rFonts w:cs="Times New Roman"/>
          <w:noProof/>
        </w:rPr>
      </w:pPr>
      <w:r>
        <w:rPr>
          <w:noProof/>
        </w:rPr>
        <w:t>Az intézkedés végrehajtását 2023. március 31-</w:t>
      </w:r>
      <w:r>
        <w:rPr>
          <w:noProof/>
        </w:rPr>
        <w:t>ig be kell fejezni.</w:t>
      </w:r>
    </w:p>
    <w:p w14:paraId="17B93025" w14:textId="77777777" w:rsidR="003E1D81" w:rsidRDefault="00EB481C">
      <w:pPr>
        <w:pStyle w:val="P68B1DB1-Text120"/>
        <w:ind w:left="0"/>
        <w:rPr>
          <w:rFonts w:cs="Times New Roman"/>
          <w:noProof/>
        </w:rPr>
      </w:pPr>
      <w:r>
        <w:rPr>
          <w:noProof/>
        </w:rPr>
        <w:t>Reform (C28.R3) – Adóreform-szakértői Bizottság létrehozása</w:t>
      </w:r>
    </w:p>
    <w:p w14:paraId="3678B450" w14:textId="77777777" w:rsidR="003E1D81" w:rsidRDefault="00EB481C">
      <w:pPr>
        <w:pStyle w:val="P68B1DB1-Text119"/>
        <w:ind w:left="0"/>
        <w:rPr>
          <w:rFonts w:cs="Times New Roman"/>
          <w:noProof/>
        </w:rPr>
      </w:pPr>
      <w:r>
        <w:rPr>
          <w:noProof/>
        </w:rPr>
        <w:t>A hatóságok 2021. április 12-én szakértői bizottságot hoznak létre, amely megvizsgálja az optimális adórendszer jellemzőit, és ajánlásokat fogalmaz meg arra vonatkozóan, hogy m</w:t>
      </w:r>
      <w:r>
        <w:rPr>
          <w:noProof/>
        </w:rPr>
        <w:t>iként lehet koherens módon korszerűsíteni és kiigazítani a jelenlegi adózást. A szakértői bizottság különösen a következő területekre fordít figyelmet:</w:t>
      </w:r>
    </w:p>
    <w:p w14:paraId="4FAA35BB" w14:textId="77777777" w:rsidR="003E1D81" w:rsidRDefault="00EB481C">
      <w:pPr>
        <w:pStyle w:val="P68B1DB1-Text119"/>
        <w:numPr>
          <w:ilvl w:val="0"/>
          <w:numId w:val="716"/>
        </w:numPr>
        <w:rPr>
          <w:rFonts w:cs="Times New Roman"/>
          <w:noProof/>
        </w:rPr>
      </w:pPr>
      <w:r>
        <w:rPr>
          <w:noProof/>
        </w:rPr>
        <w:t xml:space="preserve">környezetvédelmi adózás; </w:t>
      </w:r>
    </w:p>
    <w:p w14:paraId="4FDC2A83" w14:textId="77777777" w:rsidR="003E1D81" w:rsidRDefault="00EB481C">
      <w:pPr>
        <w:pStyle w:val="P68B1DB1-Text119"/>
        <w:numPr>
          <w:ilvl w:val="0"/>
          <w:numId w:val="716"/>
        </w:numPr>
        <w:rPr>
          <w:rFonts w:cs="Times New Roman"/>
          <w:noProof/>
        </w:rPr>
      </w:pPr>
      <w:r>
        <w:rPr>
          <w:noProof/>
        </w:rPr>
        <w:t>társasági adózás;</w:t>
      </w:r>
    </w:p>
    <w:p w14:paraId="4C57CCCA" w14:textId="77777777" w:rsidR="003E1D81" w:rsidRDefault="00EB481C">
      <w:pPr>
        <w:pStyle w:val="P68B1DB1-Text119"/>
        <w:numPr>
          <w:ilvl w:val="0"/>
          <w:numId w:val="716"/>
        </w:numPr>
        <w:rPr>
          <w:rFonts w:cs="Times New Roman"/>
          <w:noProof/>
        </w:rPr>
      </w:pPr>
      <w:r>
        <w:rPr>
          <w:noProof/>
        </w:rPr>
        <w:t>a digitalizált gazdaság adóztatása;</w:t>
      </w:r>
    </w:p>
    <w:p w14:paraId="5F583C1F" w14:textId="77777777" w:rsidR="003E1D81" w:rsidRDefault="00EB481C">
      <w:pPr>
        <w:pStyle w:val="P68B1DB1-Text119"/>
        <w:numPr>
          <w:ilvl w:val="0"/>
          <w:numId w:val="716"/>
        </w:numPr>
        <w:rPr>
          <w:rFonts w:cs="Times New Roman"/>
          <w:noProof/>
        </w:rPr>
      </w:pPr>
      <w:r>
        <w:rPr>
          <w:noProof/>
        </w:rPr>
        <w:t xml:space="preserve">a vagyon megadóztatása, </w:t>
      </w:r>
      <w:r>
        <w:rPr>
          <w:noProof/>
        </w:rPr>
        <w:t>beleértve az ingatlanadót és a harmonizáció konkrét végrehajtását ezen a területen;</w:t>
      </w:r>
    </w:p>
    <w:p w14:paraId="570749D3" w14:textId="77777777" w:rsidR="003E1D81" w:rsidRDefault="00EB481C">
      <w:pPr>
        <w:pStyle w:val="P68B1DB1-Text119"/>
        <w:numPr>
          <w:ilvl w:val="0"/>
          <w:numId w:val="716"/>
        </w:numPr>
        <w:rPr>
          <w:rFonts w:cs="Times New Roman"/>
          <w:noProof/>
        </w:rPr>
      </w:pPr>
      <w:r>
        <w:rPr>
          <w:noProof/>
        </w:rPr>
        <w:t>a kialakulóban lévő gazdasági tevékenységek adóztatása; és</w:t>
      </w:r>
    </w:p>
    <w:p w14:paraId="4DA81851" w14:textId="77777777" w:rsidR="003E1D81" w:rsidRDefault="00EB481C">
      <w:pPr>
        <w:pStyle w:val="P68B1DB1-Text119"/>
        <w:numPr>
          <w:ilvl w:val="0"/>
          <w:numId w:val="716"/>
        </w:numPr>
        <w:rPr>
          <w:rFonts w:cs="Times New Roman"/>
          <w:noProof/>
        </w:rPr>
      </w:pPr>
      <w:r>
        <w:rPr>
          <w:noProof/>
        </w:rPr>
        <w:t>nemek közötti egyenlőség.</w:t>
      </w:r>
    </w:p>
    <w:p w14:paraId="44B9AE26" w14:textId="77777777" w:rsidR="003E1D81" w:rsidRDefault="00EB481C">
      <w:pPr>
        <w:pStyle w:val="P68B1DB1-Text119"/>
        <w:ind w:left="0"/>
        <w:rPr>
          <w:rFonts w:cs="Times New Roman"/>
          <w:noProof/>
        </w:rPr>
      </w:pPr>
      <w:r>
        <w:rPr>
          <w:noProof/>
        </w:rPr>
        <w:t xml:space="preserve">A reformhoz mellékelni kell az elosztási hatások elemzését is, különös tekintettel a </w:t>
      </w:r>
      <w:r>
        <w:rPr>
          <w:noProof/>
        </w:rPr>
        <w:t>gyermekes családokra. Az elemzésnek legalább a következő elemeket kell tartalmaznia: az adórendszer általános költségvetési progresszivitására gyakorolt hatás; a veszélyeztetett csoportokra gyakorolt hatás; a gyermekes családokra gyakorolt hatás; a nagyvál</w:t>
      </w:r>
      <w:r>
        <w:rPr>
          <w:noProof/>
        </w:rPr>
        <w:t>lalatok adóztatása; és v. az adók felosztása a munkát terhelő adók és a tőke adóztatása között.</w:t>
      </w:r>
    </w:p>
    <w:p w14:paraId="225AAFAA" w14:textId="77777777" w:rsidR="003E1D81" w:rsidRDefault="00EB481C">
      <w:pPr>
        <w:pStyle w:val="P68B1DB1-Text119"/>
        <w:ind w:left="0"/>
        <w:rPr>
          <w:rFonts w:cs="Times New Roman"/>
          <w:noProof/>
        </w:rPr>
      </w:pPr>
      <w:r>
        <w:rPr>
          <w:noProof/>
        </w:rPr>
        <w:t>A szakértői bizottság 2022 februárjában teszi közzé jelentését. Az adórendszernek a jelentés ajánlásain alapuló módosításai 2023. március 31-ig lépnek hatályba.</w:t>
      </w:r>
      <w:r>
        <w:rPr>
          <w:noProof/>
        </w:rPr>
        <w:t xml:space="preserve"> </w:t>
      </w:r>
    </w:p>
    <w:p w14:paraId="0C11C7A8" w14:textId="77777777" w:rsidR="003E1D81" w:rsidRDefault="00EB481C">
      <w:pPr>
        <w:pStyle w:val="P68B1DB1-Text119"/>
        <w:ind w:left="0"/>
        <w:rPr>
          <w:rFonts w:cs="Times New Roman"/>
          <w:noProof/>
        </w:rPr>
      </w:pPr>
      <w:r>
        <w:rPr>
          <w:noProof/>
        </w:rPr>
        <w:t>Az intézkedés végrehajtását 2023. március 31-ig be kell fejezni.</w:t>
      </w:r>
    </w:p>
    <w:p w14:paraId="212522AB" w14:textId="77777777" w:rsidR="003E1D81" w:rsidRDefault="00EB481C">
      <w:pPr>
        <w:pStyle w:val="P68B1DB1-Text120"/>
        <w:ind w:left="0"/>
        <w:rPr>
          <w:rFonts w:cs="Times New Roman"/>
          <w:noProof/>
        </w:rPr>
      </w:pPr>
      <w:r>
        <w:rPr>
          <w:noProof/>
        </w:rPr>
        <w:t>Reform (C28.R4) – Az ökológiai átálláshoz hozzájáruló adóügyi intézkedések reformja</w:t>
      </w:r>
    </w:p>
    <w:p w14:paraId="28AFBB29" w14:textId="77777777" w:rsidR="003E1D81" w:rsidRDefault="00EB481C">
      <w:pPr>
        <w:pStyle w:val="P68B1DB1-Text119"/>
        <w:ind w:left="0"/>
        <w:rPr>
          <w:rFonts w:cs="Times New Roman"/>
          <w:noProof/>
        </w:rPr>
      </w:pPr>
      <w:r>
        <w:rPr>
          <w:noProof/>
        </w:rPr>
        <w:t>Ez a reform olyan adóügyi intézkedéseket tartalmaz, amelyek célja a zöld átállás támogatása. Az intézkedé</w:t>
      </w:r>
      <w:r>
        <w:rPr>
          <w:noProof/>
        </w:rPr>
        <w:t xml:space="preserve">sek a következőket foglalják magukban: </w:t>
      </w:r>
    </w:p>
    <w:p w14:paraId="78ABE0D8" w14:textId="77777777" w:rsidR="003E1D81" w:rsidRDefault="00EB481C">
      <w:pPr>
        <w:pStyle w:val="P68B1DB1-Text119"/>
        <w:numPr>
          <w:ilvl w:val="0"/>
          <w:numId w:val="165"/>
        </w:numPr>
        <w:rPr>
          <w:rFonts w:cs="Times New Roman"/>
          <w:noProof/>
        </w:rPr>
      </w:pPr>
      <w:r>
        <w:rPr>
          <w:noProof/>
        </w:rPr>
        <w:t>a hulladék hulladéklerakókban és égetőművekben való elhelyezésére vonatkozó adó megállapítása;</w:t>
      </w:r>
    </w:p>
    <w:p w14:paraId="74DDAD36" w14:textId="77777777" w:rsidR="003E1D81" w:rsidRDefault="00EB481C">
      <w:pPr>
        <w:pStyle w:val="P68B1DB1-Text119"/>
        <w:numPr>
          <w:ilvl w:val="0"/>
          <w:numId w:val="165"/>
        </w:numPr>
        <w:rPr>
          <w:rFonts w:cs="Times New Roman"/>
          <w:noProof/>
        </w:rPr>
      </w:pPr>
      <w:r>
        <w:rPr>
          <w:noProof/>
        </w:rPr>
        <w:t xml:space="preserve">az egyszer használatos műanyag csomagolásokra kivetett adó bevezetése; </w:t>
      </w:r>
    </w:p>
    <w:p w14:paraId="774ADC70" w14:textId="77777777" w:rsidR="003E1D81" w:rsidRDefault="00EB481C">
      <w:pPr>
        <w:pStyle w:val="P68B1DB1-Text119"/>
        <w:numPr>
          <w:ilvl w:val="0"/>
          <w:numId w:val="165"/>
        </w:numPr>
        <w:rPr>
          <w:rFonts w:cs="Times New Roman"/>
          <w:noProof/>
        </w:rPr>
      </w:pPr>
      <w:r>
        <w:rPr>
          <w:noProof/>
        </w:rPr>
        <w:t>a fluortartalmú üvegházhatású gázokra kivetett ad</w:t>
      </w:r>
      <w:r>
        <w:rPr>
          <w:noProof/>
        </w:rPr>
        <w:t xml:space="preserve">ó módosítása; </w:t>
      </w:r>
    </w:p>
    <w:p w14:paraId="0DF79D37" w14:textId="77777777" w:rsidR="003E1D81" w:rsidRDefault="00EB481C">
      <w:pPr>
        <w:pStyle w:val="P68B1DB1-Text119"/>
        <w:numPr>
          <w:ilvl w:val="0"/>
          <w:numId w:val="165"/>
        </w:numPr>
        <w:rPr>
          <w:rFonts w:cs="Times New Roman"/>
          <w:noProof/>
        </w:rPr>
      </w:pPr>
      <w:r>
        <w:rPr>
          <w:noProof/>
        </w:rPr>
        <w:t>a mobilitáshoz kapcsolódó adók vagy befizetések, például úthasználati díjak és gépjármű-regisztrációs adók; valamint,</w:t>
      </w:r>
    </w:p>
    <w:p w14:paraId="6F570970" w14:textId="77777777" w:rsidR="003E1D81" w:rsidRDefault="00EB481C">
      <w:pPr>
        <w:pStyle w:val="P68B1DB1-Text119"/>
        <w:numPr>
          <w:ilvl w:val="0"/>
          <w:numId w:val="165"/>
        </w:numPr>
        <w:rPr>
          <w:rFonts w:cs="Times New Roman"/>
          <w:noProof/>
        </w:rPr>
      </w:pPr>
      <w:r>
        <w:rPr>
          <w:noProof/>
        </w:rPr>
        <w:t xml:space="preserve">a tüzelőanyagként felhasznált ásványolajok támogatásának felülvizsgálata. </w:t>
      </w:r>
    </w:p>
    <w:p w14:paraId="7912124F" w14:textId="77777777" w:rsidR="003E1D81" w:rsidRDefault="00EB481C">
      <w:pPr>
        <w:pStyle w:val="P68B1DB1-Text119"/>
        <w:ind w:left="0"/>
        <w:rPr>
          <w:rFonts w:cs="Times New Roman"/>
          <w:noProof/>
        </w:rPr>
      </w:pPr>
      <w:r>
        <w:rPr>
          <w:noProof/>
        </w:rPr>
        <w:t>Az intézkedések végrehajtását 2022. június 30-ig</w:t>
      </w:r>
      <w:r>
        <w:rPr>
          <w:noProof/>
        </w:rPr>
        <w:t xml:space="preserve"> be kell fejezni. </w:t>
      </w:r>
    </w:p>
    <w:p w14:paraId="45554E05" w14:textId="77777777" w:rsidR="003E1D81" w:rsidRDefault="00EB481C">
      <w:pPr>
        <w:pStyle w:val="P68B1DB1-Text120"/>
        <w:ind w:left="0"/>
        <w:rPr>
          <w:rFonts w:cs="Times New Roman"/>
          <w:noProof/>
        </w:rPr>
      </w:pPr>
      <w:r>
        <w:rPr>
          <w:noProof/>
        </w:rPr>
        <w:t>Reform (C28.R5) – A digitális szolgáltatási adó jóváhagyása</w:t>
      </w:r>
    </w:p>
    <w:p w14:paraId="749EF041" w14:textId="77777777" w:rsidR="003E1D81" w:rsidRDefault="00EB481C">
      <w:pPr>
        <w:pStyle w:val="P68B1DB1-Text119"/>
        <w:ind w:left="0"/>
        <w:rPr>
          <w:rFonts w:cs="Times New Roman"/>
          <w:noProof/>
        </w:rPr>
      </w:pPr>
      <w:r>
        <w:rPr>
          <w:noProof/>
        </w:rPr>
        <w:t>Ez a reform a 750 000 000 EUR-t meghaladó nettó árbevétellel rendelkező vállalkozások forgalmán és bizonyos digitális szolgáltatások – például online hirdetési és közvetítő szol</w:t>
      </w:r>
      <w:r>
        <w:rPr>
          <w:noProof/>
        </w:rPr>
        <w:t>gáltatások – nyújtásából származó bevételeken alapuló illetéket vezet be Spanyolországban. Az adó független attól, hogy a társaság Spanyolország területén rendelkezik-e illetőséggel, vagy sem. Az illeték 2021 első negyedévében lép hatályba. A reformnak tar</w:t>
      </w:r>
      <w:r>
        <w:rPr>
          <w:noProof/>
        </w:rPr>
        <w:t xml:space="preserve">talmaznia kell továbbá az intézkedésre vonatkozó hatásvizsgálati jelentést, amelyet 2022. és 2023. március 31-ig kell kiadni. </w:t>
      </w:r>
    </w:p>
    <w:p w14:paraId="1073D0AC" w14:textId="77777777" w:rsidR="003E1D81" w:rsidRDefault="00EB481C">
      <w:pPr>
        <w:pStyle w:val="P68B1DB1-Text119"/>
        <w:ind w:left="0"/>
        <w:rPr>
          <w:rFonts w:cs="Times New Roman"/>
          <w:noProof/>
        </w:rPr>
      </w:pPr>
      <w:r>
        <w:rPr>
          <w:noProof/>
        </w:rPr>
        <w:t>Az intézkedés végrehajtását 2021. március 31-ig be kell fejezni.</w:t>
      </w:r>
    </w:p>
    <w:p w14:paraId="46190F0E" w14:textId="77777777" w:rsidR="003E1D81" w:rsidRDefault="00EB481C">
      <w:pPr>
        <w:pStyle w:val="P68B1DB1-Text120"/>
        <w:ind w:left="0"/>
        <w:rPr>
          <w:rFonts w:cs="Times New Roman"/>
          <w:noProof/>
        </w:rPr>
      </w:pPr>
      <w:r>
        <w:rPr>
          <w:noProof/>
        </w:rPr>
        <w:t>Reform (C28.R6) – A pénzügyi tranzakciós adó jóváhagyása</w:t>
      </w:r>
    </w:p>
    <w:p w14:paraId="4A636B3F" w14:textId="77777777" w:rsidR="003E1D81" w:rsidRDefault="00EB481C">
      <w:pPr>
        <w:pStyle w:val="P68B1DB1-Text119"/>
        <w:ind w:left="0"/>
        <w:rPr>
          <w:rFonts w:cs="Times New Roman"/>
          <w:noProof/>
        </w:rPr>
      </w:pPr>
      <w:r>
        <w:rPr>
          <w:noProof/>
        </w:rPr>
        <w:t>Ez az i</w:t>
      </w:r>
      <w:r>
        <w:rPr>
          <w:noProof/>
        </w:rPr>
        <w:t>ntézkedés az 1 000 000 000 EUR-t meghaladó piaci kapitalizációval rendelkező, tőzsdén jegyzett spanyol társaságok részvényeinek vételi értékén alapuló illetéket vezet be. A reform végrehajtása 2021 első negyedévében lépett hatályba. A reformnak tartalmazni</w:t>
      </w:r>
      <w:r>
        <w:rPr>
          <w:noProof/>
        </w:rPr>
        <w:t xml:space="preserve">a kell továbbá az intézkedésre vonatkozó hatásvizsgálati jelentést, amelyet 2022. és 2023. március 31-ig kell kiadni. </w:t>
      </w:r>
    </w:p>
    <w:p w14:paraId="63161D96" w14:textId="77777777" w:rsidR="003E1D81" w:rsidRDefault="00EB481C">
      <w:pPr>
        <w:pStyle w:val="P68B1DB1-Text119"/>
        <w:ind w:left="0"/>
        <w:rPr>
          <w:rFonts w:cs="Times New Roman"/>
          <w:noProof/>
        </w:rPr>
      </w:pPr>
      <w:r>
        <w:rPr>
          <w:noProof/>
        </w:rPr>
        <w:t>Az intézkedés végrehajtását 2021. március 31-ig be kell fejezni.</w:t>
      </w:r>
    </w:p>
    <w:p w14:paraId="6279EB31" w14:textId="77777777" w:rsidR="003E1D81" w:rsidRDefault="00EB481C">
      <w:pPr>
        <w:pStyle w:val="P68B1DB1-Text120"/>
        <w:keepNext/>
        <w:ind w:left="0"/>
        <w:rPr>
          <w:rFonts w:cs="Times New Roman"/>
          <w:noProof/>
        </w:rPr>
      </w:pPr>
      <w:r>
        <w:rPr>
          <w:noProof/>
        </w:rPr>
        <w:t>Reform (C28.R7) – A személyi adókra vonatkozó rövid távú adóintézkedések</w:t>
      </w:r>
    </w:p>
    <w:p w14:paraId="7A409F9F" w14:textId="77777777" w:rsidR="003E1D81" w:rsidRDefault="00EB481C">
      <w:pPr>
        <w:pStyle w:val="P68B1DB1-Text119"/>
        <w:keepNext/>
        <w:ind w:left="0"/>
        <w:rPr>
          <w:rFonts w:cs="Times New Roman"/>
          <w:noProof/>
        </w:rPr>
      </w:pPr>
      <w:r>
        <w:rPr>
          <w:noProof/>
        </w:rPr>
        <w:t>A reform a személyi jövedelemadóról szóló törvény és a vagyonadóról szóló törvény módosítása révén növeli a személyi jövedelemadó progresszivitásának és újraelosztásának mértékét. Nevezetesen az általános nemzeti skálán az értékelés általános alapjaként a</w:t>
      </w:r>
      <w:r>
        <w:rPr>
          <w:noProof/>
        </w:rPr>
        <w:t xml:space="preserve">lkalmazott 300000 euróról 2 százalékponttal emeli az általános nemzeti skálán alkalmazott kamatlábat, 200000 euróról 3 százalékponttal pedig megtakarításokat ér el. Ezen túlmenően az egyéni nyugdíjjárulékok 8000 euróról 2 000 EUR-ra történő csökkentésének </w:t>
      </w:r>
      <w:r>
        <w:rPr>
          <w:noProof/>
        </w:rPr>
        <w:t>korlátját csökkenteni kell, és a társaság által a munkavállalónak fizetett járulékok jelenlegi korlátját 8 000 EUR-ról 10000 euróra kell emelni. Ezenkívül az ISF tekintetében a reform 1 százalékponttal, 2,5%-ról 3,5%-ra emeli a díj utolsó sávjára alkalmaza</w:t>
      </w:r>
      <w:r>
        <w:rPr>
          <w:noProof/>
        </w:rPr>
        <w:t>ndó adókulcsot (a 10000000 eurót meghaladó eszközök esetében). A reform végrehajtását 2021. január 1-jéig kellett befejezni.</w:t>
      </w:r>
    </w:p>
    <w:p w14:paraId="1C389B63" w14:textId="77777777" w:rsidR="003E1D81" w:rsidRDefault="00EB481C">
      <w:pPr>
        <w:pStyle w:val="P68B1DB1-Text119"/>
        <w:ind w:left="0"/>
        <w:rPr>
          <w:rFonts w:cs="Times New Roman"/>
          <w:noProof/>
        </w:rPr>
      </w:pPr>
      <w:r>
        <w:rPr>
          <w:noProof/>
        </w:rPr>
        <w:t>Az intézkedés végrehajtását 2021. március 31-ig be kell fejezni.</w:t>
      </w:r>
    </w:p>
    <w:p w14:paraId="42ADEBEC" w14:textId="77777777" w:rsidR="003E1D81" w:rsidRDefault="00EB481C">
      <w:pPr>
        <w:pStyle w:val="P68B1DB1-Text120"/>
        <w:ind w:left="0"/>
        <w:rPr>
          <w:rFonts w:cs="Times New Roman"/>
          <w:noProof/>
        </w:rPr>
      </w:pPr>
      <w:r>
        <w:rPr>
          <w:noProof/>
        </w:rPr>
        <w:t>Reform (C28.R8) – A társasági adóval kapcsolatos rövid távú adóint</w:t>
      </w:r>
      <w:r>
        <w:rPr>
          <w:noProof/>
        </w:rPr>
        <w:t>ézkedések elfogadása</w:t>
      </w:r>
    </w:p>
    <w:p w14:paraId="2540971A" w14:textId="77777777" w:rsidR="003E1D81" w:rsidRDefault="00EB481C">
      <w:pPr>
        <w:pStyle w:val="P68B1DB1-Normal4"/>
        <w:spacing w:before="120" w:after="120" w:line="240" w:lineRule="auto"/>
        <w:jc w:val="both"/>
        <w:rPr>
          <w:rFonts w:cs="Times New Roman"/>
          <w:noProof/>
        </w:rPr>
      </w:pPr>
      <w:r>
        <w:rPr>
          <w:noProof/>
        </w:rPr>
        <w:t>A reform módosítja a társasági adóról szóló törvényt annak érdekében, hogy ezen adó nagyobb mértékben járuljon hozzá a közkiadások támogatásához, ugyanakkor egyszerűsíti a mentességeket és levonásokat annak érdekében, hogy az adózók sz</w:t>
      </w:r>
      <w:r>
        <w:rPr>
          <w:noProof/>
        </w:rPr>
        <w:t xml:space="preserve">ámára legalább 15%-os adómértéket biztosítson. Másfelől az adózóknak a (spanyol területen akár belföldi, akár külföldi illetőségű) leányvállalatokban fennálló részesedéséből származó osztalék és tőkenyereség adókedvezménye 5%-kal csökken. </w:t>
      </w:r>
    </w:p>
    <w:p w14:paraId="39F1762B" w14:textId="77777777" w:rsidR="003E1D81" w:rsidRDefault="00EB481C">
      <w:pPr>
        <w:pStyle w:val="P68B1DB1-Text119"/>
        <w:ind w:left="0"/>
        <w:rPr>
          <w:rFonts w:cs="Times New Roman"/>
          <w:noProof/>
        </w:rPr>
      </w:pPr>
      <w:r>
        <w:rPr>
          <w:noProof/>
        </w:rPr>
        <w:t>Az intézkedés vé</w:t>
      </w:r>
      <w:r>
        <w:rPr>
          <w:noProof/>
        </w:rPr>
        <w:t>grehajtását 2021. március 31-ig be kell fejezni.</w:t>
      </w:r>
    </w:p>
    <w:p w14:paraId="7F4F3286" w14:textId="77777777" w:rsidR="003E1D81" w:rsidRDefault="00EB481C">
      <w:pPr>
        <w:pStyle w:val="P68B1DB1-Normal6"/>
        <w:spacing w:before="120" w:after="120" w:line="240" w:lineRule="auto"/>
        <w:jc w:val="both"/>
        <w:rPr>
          <w:rFonts w:cs="Times New Roman"/>
          <w:noProof/>
        </w:rPr>
      </w:pPr>
      <w:r>
        <w:rPr>
          <w:noProof/>
        </w:rPr>
        <w:t>Reform (C28.R9) – A közvetett adókra vonatkozó rövid távú adóügyi intézkedések</w:t>
      </w:r>
    </w:p>
    <w:p w14:paraId="1C5235E5" w14:textId="77777777" w:rsidR="003E1D81" w:rsidRDefault="00EB481C">
      <w:pPr>
        <w:pStyle w:val="P68B1DB1-Normal4"/>
        <w:spacing w:before="120" w:after="120" w:line="240" w:lineRule="auto"/>
        <w:jc w:val="both"/>
        <w:rPr>
          <w:rFonts w:cs="Times New Roman"/>
          <w:noProof/>
        </w:rPr>
      </w:pPr>
      <w:r>
        <w:rPr>
          <w:noProof/>
        </w:rPr>
        <w:t>A reformnak ki kell terjesztenie a 21%-ban meghatározott általános héamérték alkalmazását a hozzáadott cukrot tartalmazó üdítőitalokra, gyümölcslevekre és gáznemű italokra. Az ilyen intézkedés az ilyen italkategóriák felelősségteljes fogyasztásának előmozd</w:t>
      </w:r>
      <w:r>
        <w:rPr>
          <w:noProof/>
        </w:rPr>
        <w:t>ítására irányuló társadalmi kötelezettségvállalásnak minősül, és összhangban áll a spanyol jóléti állam külső költségeinek finanszírozására irányuló célkitűzéssel, amely ebben az esetben egészségtelen táplálkozásból ered. Ezen túlmenően a biztosítási díjak</w:t>
      </w:r>
      <w:r>
        <w:rPr>
          <w:noProof/>
        </w:rPr>
        <w:t xml:space="preserve"> adókulcsát két százalékponttal, 8%-ra kell emelni, a szomszédos országok tekintetében azonban a közepesen alacsony sávon belül marad. </w:t>
      </w:r>
    </w:p>
    <w:p w14:paraId="18EA455F" w14:textId="77777777" w:rsidR="003E1D81" w:rsidRDefault="00EB481C">
      <w:pPr>
        <w:pStyle w:val="P68B1DB1-Text119"/>
        <w:ind w:left="0"/>
        <w:rPr>
          <w:rFonts w:cs="Times New Roman"/>
          <w:noProof/>
        </w:rPr>
      </w:pPr>
      <w:r>
        <w:rPr>
          <w:noProof/>
        </w:rPr>
        <w:t>Az intézkedés végrehajtását 2021. március 31-ig be kell fejezni.</w:t>
      </w:r>
    </w:p>
    <w:p w14:paraId="6E74034F" w14:textId="77777777" w:rsidR="003E1D81" w:rsidRDefault="00EB481C">
      <w:pPr>
        <w:pStyle w:val="P68B1DB1-Text138"/>
        <w:ind w:left="709"/>
        <w:rPr>
          <w:rFonts w:cs="Times New Roman"/>
          <w:noProof/>
        </w:rPr>
      </w:pPr>
      <w:r>
        <w:rPr>
          <w:noProof/>
        </w:rPr>
        <w:t xml:space="preserve">AB.2. </w:t>
      </w:r>
      <w:r>
        <w:rPr>
          <w:noProof/>
        </w:rPr>
        <w:tab/>
        <w:t>Vissza nem térítendő pénzügyi támogatás – a végr</w:t>
      </w:r>
      <w:r>
        <w:rPr>
          <w:noProof/>
        </w:rPr>
        <w:t>ehajtáshoz és a nyomon követéshez kapcsolódó mérföldkövek, célok, mutatók és ütemterv</w:t>
      </w:r>
    </w:p>
    <w:p w14:paraId="73AFD792" w14:textId="77777777" w:rsidR="003E1D81" w:rsidRDefault="00EB481C">
      <w:pPr>
        <w:pStyle w:val="P68B1DB1-Normal4"/>
        <w:spacing w:before="120" w:after="120" w:line="240" w:lineRule="auto"/>
        <w:rPr>
          <w:rFonts w:cs="Times New Roman"/>
          <w:noProof/>
        </w:rPr>
      </w:pPr>
      <w:r>
        <w:rPr>
          <w:i/>
          <w:noProof/>
        </w:rPr>
        <w:t>Táblázat alább.</w:t>
      </w:r>
      <w:r>
        <w:rPr>
          <w:noProof/>
        </w:rPr>
        <w:t xml:space="preserve"> </w:t>
      </w:r>
      <w:r>
        <w:rPr>
          <w:i/>
          <w:noProof/>
        </w:rPr>
        <w:t xml:space="preserve">Az alapforgatókönyv valamennyi mutató esetében 2020. február 1-je, kivéve, ha az intézkedés leírása másként jelzi. A táblázatban szereplő összegek nem </w:t>
      </w:r>
      <w:r>
        <w:rPr>
          <w:i/>
          <w:noProof/>
        </w:rPr>
        <w:t>tartalmazzák a héát.</w:t>
      </w:r>
      <w:r>
        <w:rPr>
          <w:noProof/>
        </w:rPr>
        <w:t xml:space="preserve"> </w:t>
      </w:r>
    </w:p>
    <w:p w14:paraId="3BEDEF34" w14:textId="77777777" w:rsidR="003E1D81" w:rsidRDefault="003E1D81">
      <w:pPr>
        <w:pStyle w:val="Text1"/>
        <w:ind w:left="0"/>
        <w:rPr>
          <w:rFonts w:ascii="Times New Roman" w:hAnsi="Times New Roman" w:cs="Times New Roman"/>
          <w:noProof/>
        </w:rPr>
        <w:sectPr w:rsidR="003E1D81" w:rsidSect="00C94F66">
          <w:headerReference w:type="even" r:id="rId519"/>
          <w:headerReference w:type="default" r:id="rId520"/>
          <w:footerReference w:type="even" r:id="rId521"/>
          <w:footerReference w:type="default" r:id="rId522"/>
          <w:headerReference w:type="first" r:id="rId523"/>
          <w:footerReference w:type="first" r:id="rId524"/>
          <w:pgSz w:w="11907" w:h="16839"/>
          <w:pgMar w:top="1134" w:right="1417" w:bottom="1134" w:left="1417" w:header="709" w:footer="709" w:gutter="0"/>
          <w:cols w:space="720"/>
          <w:docGrid w:linePitch="360"/>
        </w:sectPr>
      </w:pPr>
    </w:p>
    <w:tbl>
      <w:tblPr>
        <w:tblW w:w="1508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8"/>
        <w:gridCol w:w="839"/>
        <w:gridCol w:w="838"/>
        <w:gridCol w:w="2792"/>
        <w:gridCol w:w="979"/>
        <w:gridCol w:w="420"/>
        <w:gridCol w:w="489"/>
        <w:gridCol w:w="490"/>
        <w:gridCol w:w="420"/>
        <w:gridCol w:w="559"/>
        <w:gridCol w:w="6502"/>
        <w:gridCol w:w="59"/>
      </w:tblGrid>
      <w:tr w:rsidR="003E1D81" w14:paraId="587DC8A2" w14:textId="77777777">
        <w:trPr>
          <w:gridAfter w:val="1"/>
          <w:wAfter w:w="59" w:type="dxa"/>
          <w:trHeight w:val="309"/>
          <w:tblHeader/>
        </w:trPr>
        <w:tc>
          <w:tcPr>
            <w:tcW w:w="698" w:type="dxa"/>
            <w:tcBorders>
              <w:bottom w:val="nil"/>
            </w:tcBorders>
            <w:shd w:val="clear" w:color="auto" w:fill="C6D9F1" w:themeFill="text2" w:themeFillTint="33"/>
            <w:noWrap/>
          </w:tcPr>
          <w:p w14:paraId="31FE7EC6" w14:textId="77777777" w:rsidR="003E1D81" w:rsidRDefault="00EB481C">
            <w:pPr>
              <w:pStyle w:val="P68B1DB1-Normal12"/>
              <w:spacing w:after="0"/>
              <w:jc w:val="center"/>
              <w:rPr>
                <w:rFonts w:cs="Times New Roman"/>
                <w:noProof/>
              </w:rPr>
            </w:pPr>
            <w:r>
              <w:rPr>
                <w:noProof/>
              </w:rPr>
              <w:t>Szám</w:t>
            </w:r>
          </w:p>
        </w:tc>
        <w:tc>
          <w:tcPr>
            <w:tcW w:w="839" w:type="dxa"/>
            <w:tcBorders>
              <w:bottom w:val="nil"/>
            </w:tcBorders>
            <w:shd w:val="clear" w:color="auto" w:fill="C6D9F1" w:themeFill="text2" w:themeFillTint="33"/>
            <w:noWrap/>
          </w:tcPr>
          <w:p w14:paraId="0B524674" w14:textId="77777777" w:rsidR="003E1D81" w:rsidRDefault="00EB481C">
            <w:pPr>
              <w:pStyle w:val="P68B1DB1-Normal12"/>
              <w:spacing w:after="0"/>
              <w:jc w:val="center"/>
              <w:rPr>
                <w:rFonts w:cs="Times New Roman"/>
                <w:noProof/>
              </w:rPr>
            </w:pPr>
            <w:r>
              <w:rPr>
                <w:noProof/>
              </w:rPr>
              <w:t>Intézkedés</w:t>
            </w:r>
          </w:p>
        </w:tc>
        <w:tc>
          <w:tcPr>
            <w:tcW w:w="838" w:type="dxa"/>
            <w:tcBorders>
              <w:bottom w:val="nil"/>
            </w:tcBorders>
            <w:shd w:val="clear" w:color="auto" w:fill="C6D9F1" w:themeFill="text2" w:themeFillTint="33"/>
            <w:noWrap/>
          </w:tcPr>
          <w:p w14:paraId="6E657F6B" w14:textId="77777777" w:rsidR="003E1D81" w:rsidRDefault="00EB481C">
            <w:pPr>
              <w:pStyle w:val="P68B1DB1-Normal12"/>
              <w:spacing w:after="0"/>
              <w:jc w:val="center"/>
              <w:rPr>
                <w:rFonts w:cs="Times New Roman"/>
                <w:noProof/>
              </w:rPr>
            </w:pPr>
            <w:r>
              <w:rPr>
                <w:noProof/>
              </w:rPr>
              <w:t>Mérföldkő</w:t>
            </w:r>
            <w:r>
              <w:rPr>
                <w:noProof/>
              </w:rPr>
              <w:br/>
              <w:t xml:space="preserve"> /Cél</w:t>
            </w:r>
          </w:p>
        </w:tc>
        <w:tc>
          <w:tcPr>
            <w:tcW w:w="2792" w:type="dxa"/>
            <w:tcBorders>
              <w:bottom w:val="nil"/>
            </w:tcBorders>
            <w:shd w:val="clear" w:color="auto" w:fill="C6D9F1" w:themeFill="text2" w:themeFillTint="33"/>
            <w:noWrap/>
          </w:tcPr>
          <w:p w14:paraId="46D61D50" w14:textId="77777777" w:rsidR="003E1D81" w:rsidRDefault="00EB481C">
            <w:pPr>
              <w:pStyle w:val="P68B1DB1-Normal12"/>
              <w:spacing w:after="0"/>
              <w:jc w:val="center"/>
              <w:rPr>
                <w:rFonts w:cs="Times New Roman"/>
                <w:noProof/>
              </w:rPr>
            </w:pPr>
            <w:r>
              <w:rPr>
                <w:noProof/>
              </w:rPr>
              <w:t>Név</w:t>
            </w:r>
          </w:p>
        </w:tc>
        <w:tc>
          <w:tcPr>
            <w:tcW w:w="979" w:type="dxa"/>
            <w:tcBorders>
              <w:bottom w:val="nil"/>
            </w:tcBorders>
            <w:shd w:val="clear" w:color="auto" w:fill="C6D9F1" w:themeFill="text2" w:themeFillTint="33"/>
            <w:noWrap/>
          </w:tcPr>
          <w:p w14:paraId="1F2F6034" w14:textId="77777777" w:rsidR="003E1D81" w:rsidRDefault="00EB481C">
            <w:pPr>
              <w:pStyle w:val="P68B1DB1-Normal12"/>
              <w:spacing w:after="0"/>
              <w:jc w:val="center"/>
              <w:rPr>
                <w:rFonts w:cs="Times New Roman"/>
                <w:noProof/>
              </w:rPr>
            </w:pPr>
            <w:r>
              <w:rPr>
                <w:noProof/>
              </w:rPr>
              <w:t>A mérföldkövek minőségi mutatója</w:t>
            </w:r>
          </w:p>
        </w:tc>
        <w:tc>
          <w:tcPr>
            <w:tcW w:w="1399" w:type="dxa"/>
            <w:gridSpan w:val="3"/>
            <w:shd w:val="clear" w:color="auto" w:fill="C6D9F1" w:themeFill="text2" w:themeFillTint="33"/>
            <w:noWrap/>
          </w:tcPr>
          <w:p w14:paraId="778A7212" w14:textId="77777777" w:rsidR="003E1D81" w:rsidRDefault="00EB481C">
            <w:pPr>
              <w:pStyle w:val="P68B1DB1-Normal12"/>
              <w:spacing w:after="0"/>
              <w:jc w:val="center"/>
              <w:rPr>
                <w:rFonts w:cs="Times New Roman"/>
                <w:noProof/>
              </w:rPr>
            </w:pPr>
            <w:r>
              <w:rPr>
                <w:noProof/>
              </w:rPr>
              <w:t>A célérték mennyiségi mutatója</w:t>
            </w:r>
          </w:p>
        </w:tc>
        <w:tc>
          <w:tcPr>
            <w:tcW w:w="979" w:type="dxa"/>
            <w:gridSpan w:val="2"/>
            <w:shd w:val="clear" w:color="auto" w:fill="C6D9F1" w:themeFill="text2" w:themeFillTint="33"/>
            <w:noWrap/>
          </w:tcPr>
          <w:p w14:paraId="15470BCF" w14:textId="77777777" w:rsidR="003E1D81" w:rsidRDefault="00EB481C">
            <w:pPr>
              <w:pStyle w:val="P68B1DB1-Normal12"/>
              <w:spacing w:after="0"/>
              <w:jc w:val="center"/>
              <w:rPr>
                <w:rFonts w:cs="Times New Roman"/>
                <w:noProof/>
              </w:rPr>
            </w:pPr>
            <w:r>
              <w:rPr>
                <w:noProof/>
              </w:rPr>
              <w:t>Idő</w:t>
            </w:r>
          </w:p>
        </w:tc>
        <w:tc>
          <w:tcPr>
            <w:tcW w:w="6502" w:type="dxa"/>
            <w:tcBorders>
              <w:bottom w:val="nil"/>
            </w:tcBorders>
            <w:shd w:val="clear" w:color="auto" w:fill="C6D9F1" w:themeFill="text2" w:themeFillTint="33"/>
            <w:noWrap/>
          </w:tcPr>
          <w:p w14:paraId="619CD3FF" w14:textId="77777777" w:rsidR="003E1D81" w:rsidRDefault="00EB481C">
            <w:pPr>
              <w:pStyle w:val="P68B1DB1-Normal12"/>
              <w:spacing w:after="0"/>
              <w:jc w:val="center"/>
              <w:rPr>
                <w:rFonts w:cs="Times New Roman"/>
                <w:noProof/>
              </w:rPr>
            </w:pPr>
            <w:r>
              <w:rPr>
                <w:noProof/>
              </w:rPr>
              <w:t>Az egyes mérföldkövek és célértékek leírása</w:t>
            </w:r>
          </w:p>
        </w:tc>
      </w:tr>
      <w:tr w:rsidR="003E1D81" w14:paraId="7AF10250" w14:textId="77777777">
        <w:trPr>
          <w:gridAfter w:val="1"/>
          <w:wAfter w:w="59" w:type="dxa"/>
          <w:trHeight w:val="309"/>
          <w:tblHeader/>
        </w:trPr>
        <w:tc>
          <w:tcPr>
            <w:tcW w:w="698" w:type="dxa"/>
            <w:tcBorders>
              <w:top w:val="nil"/>
            </w:tcBorders>
            <w:shd w:val="clear" w:color="auto" w:fill="C6D9F1" w:themeFill="text2" w:themeFillTint="33"/>
            <w:noWrap/>
          </w:tcPr>
          <w:p w14:paraId="6C86D760" w14:textId="77777777" w:rsidR="003E1D81" w:rsidRDefault="003E1D81">
            <w:pPr>
              <w:spacing w:after="0"/>
              <w:jc w:val="center"/>
              <w:rPr>
                <w:rFonts w:ascii="Times New Roman" w:hAnsi="Times New Roman" w:cs="Times New Roman"/>
                <w:b/>
                <w:noProof/>
                <w:sz w:val="18"/>
              </w:rPr>
            </w:pPr>
          </w:p>
        </w:tc>
        <w:tc>
          <w:tcPr>
            <w:tcW w:w="839" w:type="dxa"/>
            <w:tcBorders>
              <w:top w:val="nil"/>
            </w:tcBorders>
            <w:shd w:val="clear" w:color="auto" w:fill="C6D9F1" w:themeFill="text2" w:themeFillTint="33"/>
            <w:noWrap/>
          </w:tcPr>
          <w:p w14:paraId="0C0166A1" w14:textId="77777777" w:rsidR="003E1D81" w:rsidRDefault="003E1D81">
            <w:pPr>
              <w:spacing w:after="0"/>
              <w:jc w:val="center"/>
              <w:rPr>
                <w:rFonts w:ascii="Times New Roman" w:hAnsi="Times New Roman" w:cs="Times New Roman"/>
                <w:b/>
                <w:noProof/>
                <w:sz w:val="18"/>
              </w:rPr>
            </w:pPr>
          </w:p>
        </w:tc>
        <w:tc>
          <w:tcPr>
            <w:tcW w:w="838" w:type="dxa"/>
            <w:tcBorders>
              <w:top w:val="nil"/>
            </w:tcBorders>
            <w:shd w:val="clear" w:color="auto" w:fill="C6D9F1" w:themeFill="text2" w:themeFillTint="33"/>
            <w:noWrap/>
          </w:tcPr>
          <w:p w14:paraId="2CCADF91" w14:textId="77777777" w:rsidR="003E1D81" w:rsidRDefault="003E1D81">
            <w:pPr>
              <w:spacing w:after="0"/>
              <w:jc w:val="center"/>
              <w:rPr>
                <w:rFonts w:ascii="Times New Roman" w:hAnsi="Times New Roman" w:cs="Times New Roman"/>
                <w:b/>
                <w:noProof/>
                <w:sz w:val="18"/>
              </w:rPr>
            </w:pPr>
          </w:p>
        </w:tc>
        <w:tc>
          <w:tcPr>
            <w:tcW w:w="2792" w:type="dxa"/>
            <w:tcBorders>
              <w:top w:val="nil"/>
            </w:tcBorders>
            <w:shd w:val="clear" w:color="auto" w:fill="C6D9F1" w:themeFill="text2" w:themeFillTint="33"/>
            <w:noWrap/>
          </w:tcPr>
          <w:p w14:paraId="7DEF968A" w14:textId="77777777" w:rsidR="003E1D81" w:rsidRDefault="003E1D81">
            <w:pPr>
              <w:spacing w:after="0"/>
              <w:rPr>
                <w:rFonts w:ascii="Times New Roman" w:hAnsi="Times New Roman" w:cs="Times New Roman"/>
                <w:b/>
                <w:noProof/>
                <w:sz w:val="18"/>
              </w:rPr>
            </w:pPr>
          </w:p>
        </w:tc>
        <w:tc>
          <w:tcPr>
            <w:tcW w:w="979" w:type="dxa"/>
            <w:tcBorders>
              <w:top w:val="nil"/>
            </w:tcBorders>
            <w:shd w:val="clear" w:color="auto" w:fill="C6D9F1" w:themeFill="text2" w:themeFillTint="33"/>
            <w:noWrap/>
          </w:tcPr>
          <w:p w14:paraId="6B6F164E" w14:textId="77777777" w:rsidR="003E1D81" w:rsidRDefault="003E1D81">
            <w:pPr>
              <w:spacing w:after="0"/>
              <w:jc w:val="center"/>
              <w:rPr>
                <w:rFonts w:ascii="Times New Roman" w:hAnsi="Times New Roman" w:cs="Times New Roman"/>
                <w:b/>
                <w:noProof/>
                <w:sz w:val="18"/>
              </w:rPr>
            </w:pPr>
          </w:p>
        </w:tc>
        <w:tc>
          <w:tcPr>
            <w:tcW w:w="420" w:type="dxa"/>
            <w:shd w:val="clear" w:color="auto" w:fill="C6D9F1" w:themeFill="text2" w:themeFillTint="33"/>
            <w:noWrap/>
          </w:tcPr>
          <w:p w14:paraId="1FB79703" w14:textId="77777777" w:rsidR="003E1D81" w:rsidRDefault="00EB481C">
            <w:pPr>
              <w:pStyle w:val="P68B1DB1-Normal12"/>
              <w:spacing w:after="0"/>
              <w:jc w:val="center"/>
              <w:rPr>
                <w:rFonts w:cs="Times New Roman"/>
                <w:noProof/>
              </w:rPr>
            </w:pPr>
            <w:r>
              <w:rPr>
                <w:noProof/>
              </w:rPr>
              <w:t>Egység</w:t>
            </w:r>
          </w:p>
        </w:tc>
        <w:tc>
          <w:tcPr>
            <w:tcW w:w="489" w:type="dxa"/>
            <w:shd w:val="clear" w:color="auto" w:fill="C6D9F1" w:themeFill="text2" w:themeFillTint="33"/>
            <w:noWrap/>
          </w:tcPr>
          <w:p w14:paraId="61291E7C" w14:textId="77777777" w:rsidR="003E1D81" w:rsidRDefault="00EB481C">
            <w:pPr>
              <w:pStyle w:val="P68B1DB1-Normal12"/>
              <w:spacing w:after="0"/>
              <w:jc w:val="center"/>
              <w:rPr>
                <w:rFonts w:cs="Times New Roman"/>
                <w:noProof/>
              </w:rPr>
            </w:pPr>
            <w:r>
              <w:rPr>
                <w:noProof/>
              </w:rPr>
              <w:t>Alapérték</w:t>
            </w:r>
          </w:p>
        </w:tc>
        <w:tc>
          <w:tcPr>
            <w:tcW w:w="490" w:type="dxa"/>
            <w:shd w:val="clear" w:color="auto" w:fill="C6D9F1" w:themeFill="text2" w:themeFillTint="33"/>
            <w:noWrap/>
          </w:tcPr>
          <w:p w14:paraId="0183776F" w14:textId="77777777" w:rsidR="003E1D81" w:rsidRDefault="00EB481C">
            <w:pPr>
              <w:pStyle w:val="P68B1DB1-Normal12"/>
              <w:spacing w:after="0"/>
              <w:jc w:val="center"/>
              <w:rPr>
                <w:rFonts w:cs="Times New Roman"/>
                <w:noProof/>
              </w:rPr>
            </w:pPr>
            <w:r>
              <w:rPr>
                <w:noProof/>
              </w:rPr>
              <w:t>Cél</w:t>
            </w:r>
          </w:p>
        </w:tc>
        <w:tc>
          <w:tcPr>
            <w:tcW w:w="420" w:type="dxa"/>
            <w:shd w:val="clear" w:color="auto" w:fill="C6D9F1" w:themeFill="text2" w:themeFillTint="33"/>
            <w:noWrap/>
          </w:tcPr>
          <w:p w14:paraId="2B897E85" w14:textId="77777777" w:rsidR="003E1D81" w:rsidRDefault="00EB481C">
            <w:pPr>
              <w:pStyle w:val="P68B1DB1-Normal12"/>
              <w:spacing w:after="0"/>
              <w:jc w:val="center"/>
              <w:rPr>
                <w:rFonts w:cs="Times New Roman"/>
                <w:noProof/>
              </w:rPr>
            </w:pPr>
            <w:r>
              <w:rPr>
                <w:noProof/>
              </w:rPr>
              <w:t>Q</w:t>
            </w:r>
          </w:p>
        </w:tc>
        <w:tc>
          <w:tcPr>
            <w:tcW w:w="559" w:type="dxa"/>
            <w:shd w:val="clear" w:color="auto" w:fill="C6D9F1" w:themeFill="text2" w:themeFillTint="33"/>
            <w:noWrap/>
          </w:tcPr>
          <w:p w14:paraId="54C779B3" w14:textId="77777777" w:rsidR="003E1D81" w:rsidRDefault="00EB481C">
            <w:pPr>
              <w:pStyle w:val="P68B1DB1-Normal12"/>
              <w:spacing w:after="0"/>
              <w:jc w:val="center"/>
              <w:rPr>
                <w:rFonts w:cs="Times New Roman"/>
                <w:noProof/>
              </w:rPr>
            </w:pPr>
            <w:r>
              <w:rPr>
                <w:noProof/>
              </w:rPr>
              <w:t>Éve</w:t>
            </w:r>
          </w:p>
        </w:tc>
        <w:tc>
          <w:tcPr>
            <w:tcW w:w="6502" w:type="dxa"/>
            <w:tcBorders>
              <w:top w:val="nil"/>
            </w:tcBorders>
            <w:shd w:val="clear" w:color="auto" w:fill="C6D9F1" w:themeFill="text2" w:themeFillTint="33"/>
            <w:noWrap/>
          </w:tcPr>
          <w:p w14:paraId="0394B504" w14:textId="77777777" w:rsidR="003E1D81" w:rsidRDefault="003E1D81">
            <w:pPr>
              <w:spacing w:after="0"/>
              <w:rPr>
                <w:rFonts w:ascii="Times New Roman" w:hAnsi="Times New Roman" w:cs="Times New Roman"/>
                <w:b/>
                <w:noProof/>
                <w:sz w:val="18"/>
              </w:rPr>
            </w:pPr>
          </w:p>
        </w:tc>
      </w:tr>
      <w:tr w:rsidR="003E1D81" w14:paraId="73BE4C25" w14:textId="77777777">
        <w:trPr>
          <w:trHeight w:val="309"/>
        </w:trPr>
        <w:tc>
          <w:tcPr>
            <w:tcW w:w="698" w:type="dxa"/>
            <w:shd w:val="clear" w:color="auto" w:fill="C6EFCE"/>
            <w:noWrap/>
          </w:tcPr>
          <w:p w14:paraId="0AF2A92F" w14:textId="77777777" w:rsidR="003E1D81" w:rsidRDefault="00EB481C">
            <w:pPr>
              <w:pStyle w:val="P68B1DB1-Normal13"/>
              <w:spacing w:after="0"/>
              <w:jc w:val="center"/>
              <w:rPr>
                <w:rFonts w:eastAsia="Times New Roman" w:cs="Times New Roman"/>
                <w:noProof/>
              </w:rPr>
            </w:pPr>
            <w:r>
              <w:rPr>
                <w:noProof/>
              </w:rPr>
              <w:t>385</w:t>
            </w:r>
          </w:p>
        </w:tc>
        <w:tc>
          <w:tcPr>
            <w:tcW w:w="839" w:type="dxa"/>
            <w:shd w:val="clear" w:color="auto" w:fill="C6EFCE"/>
            <w:noWrap/>
          </w:tcPr>
          <w:p w14:paraId="1A5115C4" w14:textId="77777777" w:rsidR="003E1D81" w:rsidRDefault="00EB481C">
            <w:pPr>
              <w:pStyle w:val="P68B1DB1-Normal13"/>
              <w:spacing w:after="0"/>
              <w:jc w:val="center"/>
              <w:rPr>
                <w:rFonts w:eastAsia="Times New Roman" w:cs="Times New Roman"/>
                <w:noProof/>
              </w:rPr>
            </w:pPr>
            <w:r>
              <w:rPr>
                <w:noProof/>
              </w:rPr>
              <w:t>C28.R1</w:t>
            </w:r>
          </w:p>
        </w:tc>
        <w:tc>
          <w:tcPr>
            <w:tcW w:w="838" w:type="dxa"/>
            <w:shd w:val="clear" w:color="auto" w:fill="C6EFCE"/>
            <w:noWrap/>
          </w:tcPr>
          <w:p w14:paraId="33BCC1B1" w14:textId="77777777" w:rsidR="003E1D81" w:rsidRDefault="00EB481C">
            <w:pPr>
              <w:pStyle w:val="P68B1DB1-Normal13"/>
              <w:spacing w:after="0"/>
              <w:jc w:val="center"/>
              <w:rPr>
                <w:rFonts w:eastAsia="Times New Roman" w:cs="Times New Roman"/>
                <w:noProof/>
              </w:rPr>
            </w:pPr>
            <w:r>
              <w:rPr>
                <w:noProof/>
              </w:rPr>
              <w:t>M</w:t>
            </w:r>
          </w:p>
        </w:tc>
        <w:tc>
          <w:tcPr>
            <w:tcW w:w="2792" w:type="dxa"/>
            <w:shd w:val="clear" w:color="auto" w:fill="C6EFCE"/>
            <w:noWrap/>
          </w:tcPr>
          <w:p w14:paraId="6B5F73B2" w14:textId="77777777" w:rsidR="003E1D81" w:rsidRDefault="00EB481C">
            <w:pPr>
              <w:pStyle w:val="P68B1DB1-Normal13"/>
              <w:spacing w:after="0"/>
              <w:rPr>
                <w:rFonts w:eastAsia="Times New Roman" w:cs="Times New Roman"/>
                <w:noProof/>
              </w:rPr>
            </w:pPr>
            <w:r>
              <w:rPr>
                <w:noProof/>
              </w:rPr>
              <w:t>A Covid19-világjárvány hatásainak enyhítése érdekében 2020-ban és 2021-ben elfogadott költségvetési intézkedések.</w:t>
            </w:r>
          </w:p>
        </w:tc>
        <w:tc>
          <w:tcPr>
            <w:tcW w:w="979" w:type="dxa"/>
            <w:shd w:val="clear" w:color="auto" w:fill="C6EFCE"/>
            <w:noWrap/>
          </w:tcPr>
          <w:p w14:paraId="47E6700B" w14:textId="77777777" w:rsidR="003E1D81" w:rsidRDefault="00EB481C">
            <w:pPr>
              <w:pStyle w:val="P68B1DB1-Normal13"/>
              <w:spacing w:after="0"/>
              <w:jc w:val="center"/>
              <w:rPr>
                <w:rFonts w:eastAsia="Times New Roman" w:cs="Times New Roman"/>
                <w:noProof/>
              </w:rPr>
            </w:pPr>
            <w:r>
              <w:rPr>
                <w:noProof/>
              </w:rPr>
              <w:t xml:space="preserve">A hatálybalépésüket jelző törvények és királyi törvényerejű rendeletek rendelkezései </w:t>
            </w:r>
          </w:p>
        </w:tc>
        <w:tc>
          <w:tcPr>
            <w:tcW w:w="420" w:type="dxa"/>
            <w:shd w:val="clear" w:color="auto" w:fill="C6EFCE"/>
            <w:noWrap/>
          </w:tcPr>
          <w:p w14:paraId="6E6543EA" w14:textId="77777777" w:rsidR="003E1D81" w:rsidRDefault="00EB481C">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3DEB53C1" w14:textId="77777777" w:rsidR="003E1D81" w:rsidRDefault="00EB481C">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07F8F4C0" w14:textId="77777777" w:rsidR="003E1D81" w:rsidRDefault="00EB481C">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4D210DC" w14:textId="77777777" w:rsidR="003E1D81" w:rsidRDefault="00EB481C">
            <w:pPr>
              <w:pStyle w:val="P68B1DB1-Normal13"/>
              <w:spacing w:after="0"/>
              <w:jc w:val="center"/>
              <w:rPr>
                <w:rFonts w:eastAsia="Times New Roman" w:cs="Times New Roman"/>
                <w:noProof/>
              </w:rPr>
            </w:pPr>
            <w:r>
              <w:rPr>
                <w:noProof/>
              </w:rPr>
              <w:t>NEGYEDÉV</w:t>
            </w:r>
          </w:p>
        </w:tc>
        <w:tc>
          <w:tcPr>
            <w:tcW w:w="559" w:type="dxa"/>
            <w:shd w:val="clear" w:color="auto" w:fill="C6EFCE"/>
            <w:noWrap/>
          </w:tcPr>
          <w:p w14:paraId="39DDC115" w14:textId="77777777" w:rsidR="003E1D81" w:rsidRDefault="00EB481C">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0B451188" w14:textId="77777777" w:rsidR="003E1D81" w:rsidRDefault="00EB481C">
            <w:pPr>
              <w:pStyle w:val="P68B1DB1-Normal13"/>
              <w:spacing w:after="0"/>
              <w:rPr>
                <w:rFonts w:eastAsia="Times New Roman" w:cs="Times New Roman"/>
                <w:noProof/>
              </w:rPr>
            </w:pPr>
            <w:r>
              <w:rPr>
                <w:noProof/>
              </w:rPr>
              <w:t xml:space="preserve">A </w:t>
            </w:r>
            <w:r>
              <w:rPr>
                <w:noProof/>
              </w:rPr>
              <w:t>Covid19-világjárvány kedvezőtlen gazdasági és társadalmi hatásainak enyhítése érdekében 2020-ban és 2021-ben elfogadott adóintézkedések hatálybalépése:</w:t>
            </w:r>
            <w:r>
              <w:rPr>
                <w:noProof/>
              </w:rPr>
              <w:br/>
              <w:t>1. Átmeneti rendelkezések: a kormány által a Covid19-világjárvány kezdete óta jóváhagyott különböző kirá</w:t>
            </w:r>
            <w:r>
              <w:rPr>
                <w:noProof/>
              </w:rPr>
              <w:t>lyi törvényerejű rendeletek.</w:t>
            </w:r>
            <w:r>
              <w:rPr>
                <w:noProof/>
              </w:rPr>
              <w:br/>
              <w:t>2. Az állami szabályozás módosítása:</w:t>
            </w:r>
            <w:r>
              <w:rPr>
                <w:noProof/>
              </w:rPr>
              <w:br/>
              <w:t>A szeptember 24-i 1/1993. sz. királyi törvényerejű rendelet, amely jóváhagyja a hazaszállításról szóló adóról szóló törvény egységes szerkezetbe foglalt szövegét és a dokumentált jogi aktuso</w:t>
            </w:r>
            <w:r>
              <w:rPr>
                <w:noProof/>
              </w:rPr>
              <w:t>kat.</w:t>
            </w:r>
            <w:r>
              <w:rPr>
                <w:noProof/>
              </w:rPr>
              <w:br/>
              <w:t>A hozzáadottérték-adóról szóló, 1992. december 28-i 37/1992. sz. törvény.</w:t>
            </w:r>
            <w:r>
              <w:rPr>
                <w:noProof/>
              </w:rPr>
              <w:br/>
              <w:t>A nonprofit szervezetek adórendszeréről és a védnökség adóösztönzőkről szóló, december 23-i 49/2002. sz. törvény.</w:t>
            </w:r>
            <w:r>
              <w:rPr>
                <w:noProof/>
              </w:rPr>
              <w:br/>
              <w:t>Az általános adóról szóló, december 17-i 58/2003. sz. törvény.</w:t>
            </w:r>
            <w:r>
              <w:rPr>
                <w:noProof/>
              </w:rPr>
              <w:br/>
            </w:r>
            <w:r>
              <w:rPr>
                <w:noProof/>
              </w:rPr>
              <w:t>– A személyi jövedelemadóról szóló, november 28-i 35/2006. sz. törvény</w:t>
            </w:r>
          </w:p>
        </w:tc>
      </w:tr>
      <w:tr w:rsidR="003E1D81" w14:paraId="1B1174ED" w14:textId="77777777">
        <w:trPr>
          <w:trHeight w:val="309"/>
        </w:trPr>
        <w:tc>
          <w:tcPr>
            <w:tcW w:w="698" w:type="dxa"/>
            <w:shd w:val="clear" w:color="auto" w:fill="C6EFCE"/>
            <w:noWrap/>
          </w:tcPr>
          <w:p w14:paraId="667C1B0E" w14:textId="77777777" w:rsidR="003E1D81" w:rsidRDefault="00EB481C">
            <w:pPr>
              <w:pStyle w:val="P68B1DB1-Normal13"/>
              <w:spacing w:after="0"/>
              <w:jc w:val="center"/>
              <w:rPr>
                <w:rFonts w:eastAsia="Times New Roman" w:cs="Times New Roman"/>
                <w:noProof/>
              </w:rPr>
            </w:pPr>
            <w:r>
              <w:rPr>
                <w:noProof/>
              </w:rPr>
              <w:t>386</w:t>
            </w:r>
          </w:p>
        </w:tc>
        <w:tc>
          <w:tcPr>
            <w:tcW w:w="839" w:type="dxa"/>
            <w:shd w:val="clear" w:color="auto" w:fill="C6EFCE"/>
            <w:noWrap/>
          </w:tcPr>
          <w:p w14:paraId="4226CC6A" w14:textId="77777777" w:rsidR="003E1D81" w:rsidRDefault="00EB481C">
            <w:pPr>
              <w:pStyle w:val="P68B1DB1-Normal13"/>
              <w:spacing w:after="0"/>
              <w:jc w:val="center"/>
              <w:rPr>
                <w:rFonts w:eastAsia="Times New Roman" w:cs="Times New Roman"/>
                <w:noProof/>
              </w:rPr>
            </w:pPr>
            <w:r>
              <w:rPr>
                <w:noProof/>
              </w:rPr>
              <w:t>C28.R2</w:t>
            </w:r>
          </w:p>
        </w:tc>
        <w:tc>
          <w:tcPr>
            <w:tcW w:w="838" w:type="dxa"/>
            <w:shd w:val="clear" w:color="auto" w:fill="C6EFCE"/>
            <w:noWrap/>
          </w:tcPr>
          <w:p w14:paraId="657CE0A9" w14:textId="77777777" w:rsidR="003E1D81" w:rsidRDefault="00EB481C">
            <w:pPr>
              <w:pStyle w:val="P68B1DB1-Normal13"/>
              <w:spacing w:after="0"/>
              <w:jc w:val="center"/>
              <w:rPr>
                <w:rFonts w:eastAsia="Times New Roman" w:cs="Times New Roman"/>
                <w:noProof/>
              </w:rPr>
            </w:pPr>
            <w:r>
              <w:rPr>
                <w:noProof/>
              </w:rPr>
              <w:t>M</w:t>
            </w:r>
          </w:p>
        </w:tc>
        <w:tc>
          <w:tcPr>
            <w:tcW w:w="2792" w:type="dxa"/>
            <w:shd w:val="clear" w:color="auto" w:fill="C6EFCE"/>
            <w:noWrap/>
          </w:tcPr>
          <w:p w14:paraId="02C3B1A7" w14:textId="77777777" w:rsidR="003E1D81" w:rsidRDefault="00EB481C">
            <w:pPr>
              <w:pStyle w:val="P68B1DB1-Normal13"/>
              <w:spacing w:after="0"/>
              <w:rPr>
                <w:rFonts w:eastAsia="Times New Roman" w:cs="Times New Roman"/>
                <w:noProof/>
              </w:rPr>
            </w:pPr>
            <w:r>
              <w:rPr>
                <w:noProof/>
              </w:rPr>
              <w:t>Az adókedvezmények felülvizsgálata és módosítása</w:t>
            </w:r>
          </w:p>
        </w:tc>
        <w:tc>
          <w:tcPr>
            <w:tcW w:w="979" w:type="dxa"/>
            <w:shd w:val="clear" w:color="auto" w:fill="C6EFCE"/>
            <w:noWrap/>
          </w:tcPr>
          <w:p w14:paraId="2883099E" w14:textId="77777777" w:rsidR="003E1D81" w:rsidRDefault="00EB481C">
            <w:pPr>
              <w:pStyle w:val="P68B1DB1-Normal13"/>
              <w:spacing w:after="0"/>
              <w:jc w:val="center"/>
              <w:rPr>
                <w:rFonts w:eastAsia="Times New Roman" w:cs="Times New Roman"/>
                <w:noProof/>
              </w:rPr>
            </w:pPr>
            <w:r>
              <w:rPr>
                <w:noProof/>
              </w:rPr>
              <w:t xml:space="preserve">A reformok azon rendelkezései, amelyek jelzik hatálybalépésüket és közzétételüket a pénzügyi munkacsoport ajánlásainak </w:t>
            </w:r>
            <w:r>
              <w:rPr>
                <w:noProof/>
              </w:rPr>
              <w:t>pénzügyi honlapján</w:t>
            </w:r>
          </w:p>
        </w:tc>
        <w:tc>
          <w:tcPr>
            <w:tcW w:w="420" w:type="dxa"/>
            <w:shd w:val="clear" w:color="auto" w:fill="C6EFCE"/>
            <w:noWrap/>
          </w:tcPr>
          <w:p w14:paraId="4614C3D9" w14:textId="77777777" w:rsidR="003E1D81" w:rsidRDefault="00EB481C">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25AA3752" w14:textId="77777777" w:rsidR="003E1D81" w:rsidRDefault="00EB481C">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0E191650" w14:textId="77777777" w:rsidR="003E1D81" w:rsidRDefault="00EB481C">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379C683" w14:textId="77777777" w:rsidR="003E1D81" w:rsidRDefault="00EB481C">
            <w:pPr>
              <w:pStyle w:val="P68B1DB1-Normal13"/>
              <w:spacing w:after="0"/>
              <w:jc w:val="center"/>
              <w:rPr>
                <w:rFonts w:eastAsia="Times New Roman" w:cs="Times New Roman"/>
                <w:noProof/>
              </w:rPr>
            </w:pPr>
            <w:r>
              <w:rPr>
                <w:noProof/>
              </w:rPr>
              <w:t>NEGYEDÉV</w:t>
            </w:r>
          </w:p>
        </w:tc>
        <w:tc>
          <w:tcPr>
            <w:tcW w:w="559" w:type="dxa"/>
            <w:shd w:val="clear" w:color="auto" w:fill="C6EFCE"/>
            <w:noWrap/>
          </w:tcPr>
          <w:p w14:paraId="21C18C6C" w14:textId="77777777" w:rsidR="003E1D81" w:rsidRDefault="00EB481C">
            <w:pPr>
              <w:pStyle w:val="P68B1DB1-Normal13"/>
              <w:spacing w:after="0"/>
              <w:jc w:val="center"/>
              <w:rPr>
                <w:rFonts w:eastAsia="Times New Roman" w:cs="Times New Roman"/>
                <w:noProof/>
              </w:rPr>
            </w:pPr>
            <w:r>
              <w:rPr>
                <w:noProof/>
              </w:rPr>
              <w:t>2023</w:t>
            </w:r>
          </w:p>
        </w:tc>
        <w:tc>
          <w:tcPr>
            <w:tcW w:w="6561" w:type="dxa"/>
            <w:gridSpan w:val="2"/>
            <w:shd w:val="clear" w:color="auto" w:fill="C6EFCE"/>
            <w:noWrap/>
          </w:tcPr>
          <w:p w14:paraId="1934D664" w14:textId="77777777" w:rsidR="003E1D81" w:rsidRDefault="00EB481C">
            <w:pPr>
              <w:pStyle w:val="P68B1DB1-Normal13"/>
              <w:spacing w:after="0"/>
              <w:rPr>
                <w:rFonts w:eastAsia="Times New Roman" w:cs="Times New Roman"/>
                <w:noProof/>
              </w:rPr>
            </w:pPr>
            <w:r>
              <w:rPr>
                <w:noProof/>
              </w:rPr>
              <w:t>A munkacsoport 15 adókedvezmény módosítására vagy megszüntetésére vonatkozó ajánlásainak végrehajtásához szükséges szabályozási reformok hatálybalépése. Az adókedvezményeket mennyiségi és minőségi jelentőségük alapján kell kiválasztani, és az AIReF-módszer</w:t>
            </w:r>
            <w:r>
              <w:rPr>
                <w:noProof/>
              </w:rPr>
              <w:t xml:space="preserve">tan szerint kell értékelni. A szabályozási reformok célja az adórendszer hatékonyabbá tétele, a bevételek növelése, a zöld átállás támogatása és a méltányosság előmozdítása. </w:t>
            </w:r>
          </w:p>
        </w:tc>
      </w:tr>
      <w:tr w:rsidR="003E1D81" w14:paraId="15764595" w14:textId="77777777">
        <w:trPr>
          <w:trHeight w:val="309"/>
        </w:trPr>
        <w:tc>
          <w:tcPr>
            <w:tcW w:w="698" w:type="dxa"/>
            <w:shd w:val="clear" w:color="auto" w:fill="C6EFCE"/>
            <w:noWrap/>
          </w:tcPr>
          <w:p w14:paraId="07BF5D3A" w14:textId="77777777" w:rsidR="003E1D81" w:rsidRDefault="00EB481C">
            <w:pPr>
              <w:pStyle w:val="P68B1DB1-Normal13"/>
              <w:spacing w:after="0"/>
              <w:jc w:val="center"/>
              <w:rPr>
                <w:rFonts w:eastAsia="Times New Roman" w:cs="Times New Roman"/>
                <w:noProof/>
              </w:rPr>
            </w:pPr>
            <w:r>
              <w:rPr>
                <w:noProof/>
              </w:rPr>
              <w:t>387</w:t>
            </w:r>
          </w:p>
        </w:tc>
        <w:tc>
          <w:tcPr>
            <w:tcW w:w="839" w:type="dxa"/>
            <w:shd w:val="clear" w:color="auto" w:fill="C6EFCE"/>
            <w:noWrap/>
          </w:tcPr>
          <w:p w14:paraId="5368253A" w14:textId="77777777" w:rsidR="003E1D81" w:rsidRDefault="00EB481C">
            <w:pPr>
              <w:pStyle w:val="P68B1DB1-Normal13"/>
              <w:spacing w:after="0"/>
              <w:jc w:val="center"/>
              <w:rPr>
                <w:rFonts w:eastAsia="Times New Roman" w:cs="Times New Roman"/>
                <w:noProof/>
              </w:rPr>
            </w:pPr>
            <w:r>
              <w:rPr>
                <w:noProof/>
              </w:rPr>
              <w:t>C28.R3</w:t>
            </w:r>
          </w:p>
        </w:tc>
        <w:tc>
          <w:tcPr>
            <w:tcW w:w="838" w:type="dxa"/>
            <w:shd w:val="clear" w:color="auto" w:fill="C6EFCE"/>
            <w:noWrap/>
          </w:tcPr>
          <w:p w14:paraId="5D6913E3" w14:textId="77777777" w:rsidR="003E1D81" w:rsidRDefault="00EB481C">
            <w:pPr>
              <w:pStyle w:val="P68B1DB1-Normal13"/>
              <w:spacing w:after="0"/>
              <w:jc w:val="center"/>
              <w:rPr>
                <w:rFonts w:eastAsia="Times New Roman" w:cs="Times New Roman"/>
                <w:noProof/>
              </w:rPr>
            </w:pPr>
            <w:r>
              <w:rPr>
                <w:noProof/>
              </w:rPr>
              <w:t>M</w:t>
            </w:r>
          </w:p>
        </w:tc>
        <w:tc>
          <w:tcPr>
            <w:tcW w:w="2792" w:type="dxa"/>
            <w:shd w:val="clear" w:color="auto" w:fill="C6EFCE"/>
            <w:noWrap/>
          </w:tcPr>
          <w:p w14:paraId="232CC1EF" w14:textId="77777777" w:rsidR="003E1D81" w:rsidRDefault="00EB481C">
            <w:pPr>
              <w:pStyle w:val="P68B1DB1-Normal13"/>
              <w:spacing w:after="0"/>
              <w:rPr>
                <w:rFonts w:eastAsia="Times New Roman" w:cs="Times New Roman"/>
                <w:noProof/>
              </w:rPr>
            </w:pPr>
            <w:r>
              <w:rPr>
                <w:noProof/>
              </w:rPr>
              <w:t>A szakértői bizottság kinevezése a pénzügyi államtitkár által.</w:t>
            </w:r>
          </w:p>
        </w:tc>
        <w:tc>
          <w:tcPr>
            <w:tcW w:w="979" w:type="dxa"/>
            <w:shd w:val="clear" w:color="auto" w:fill="C6EFCE"/>
            <w:noWrap/>
          </w:tcPr>
          <w:p w14:paraId="0718B8D5" w14:textId="77777777" w:rsidR="003E1D81" w:rsidRDefault="00EB481C">
            <w:pPr>
              <w:pStyle w:val="P68B1DB1-Normal13"/>
              <w:spacing w:after="0"/>
              <w:jc w:val="center"/>
              <w:rPr>
                <w:rFonts w:eastAsia="Times New Roman" w:cs="Times New Roman"/>
                <w:noProof/>
              </w:rPr>
            </w:pPr>
            <w:r>
              <w:rPr>
                <w:noProof/>
              </w:rPr>
              <w:t>Közzététel a honlapon</w:t>
            </w:r>
          </w:p>
        </w:tc>
        <w:tc>
          <w:tcPr>
            <w:tcW w:w="420" w:type="dxa"/>
            <w:shd w:val="clear" w:color="auto" w:fill="C6EFCE"/>
            <w:noWrap/>
          </w:tcPr>
          <w:p w14:paraId="5A777009" w14:textId="77777777" w:rsidR="003E1D81" w:rsidRDefault="00EB481C">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3311ED00" w14:textId="77777777" w:rsidR="003E1D81" w:rsidRDefault="00EB481C">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51BDE9C6" w14:textId="77777777" w:rsidR="003E1D81" w:rsidRDefault="00EB481C">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DBE236C" w14:textId="77777777" w:rsidR="003E1D81" w:rsidRDefault="00EB481C">
            <w:pPr>
              <w:pStyle w:val="P68B1DB1-Normal13"/>
              <w:spacing w:after="0"/>
              <w:jc w:val="center"/>
              <w:rPr>
                <w:rFonts w:eastAsia="Times New Roman" w:cs="Times New Roman"/>
                <w:noProof/>
              </w:rPr>
            </w:pPr>
            <w:r>
              <w:rPr>
                <w:noProof/>
              </w:rPr>
              <w:t>KÉRDÉS</w:t>
            </w:r>
          </w:p>
        </w:tc>
        <w:tc>
          <w:tcPr>
            <w:tcW w:w="559" w:type="dxa"/>
            <w:shd w:val="clear" w:color="auto" w:fill="C6EFCE"/>
            <w:noWrap/>
          </w:tcPr>
          <w:p w14:paraId="0261E5EB" w14:textId="77777777" w:rsidR="003E1D81" w:rsidRDefault="00EB481C">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00BE0945" w14:textId="77777777" w:rsidR="003E1D81" w:rsidRDefault="00EB481C">
            <w:pPr>
              <w:pStyle w:val="P68B1DB1-Normal13"/>
              <w:spacing w:after="0"/>
              <w:rPr>
                <w:rFonts w:eastAsia="Times New Roman" w:cs="Times New Roman"/>
                <w:noProof/>
              </w:rPr>
            </w:pPr>
            <w:r>
              <w:rPr>
                <w:noProof/>
              </w:rPr>
              <w:t>Szakértői bizottság kinevezése az adórendszer reformjának irányítására. A bizottság felelős a szükséges reformok technikai elemzéséért, figyelembe véve a jelenlegi forgatókönyvet, valamint a közép- és hosszú távon vá</w:t>
            </w:r>
            <w:r>
              <w:rPr>
                <w:noProof/>
              </w:rPr>
              <w:t>rható helyzetet, különös tekintettel a következő területekre: környezetvédelmi adózás, társasági adó, a digitális gazdaság adóztatása, vagyon adóztatása és konkrét harmonizáció ezen a területen, a kialakulóban lévő gazdasági tevékenységek adóztatása.</w:t>
            </w:r>
          </w:p>
        </w:tc>
      </w:tr>
      <w:tr w:rsidR="003E1D81" w14:paraId="61D5D730" w14:textId="77777777">
        <w:trPr>
          <w:trHeight w:val="309"/>
        </w:trPr>
        <w:tc>
          <w:tcPr>
            <w:tcW w:w="698" w:type="dxa"/>
            <w:shd w:val="clear" w:color="auto" w:fill="C6EFCE"/>
            <w:noWrap/>
          </w:tcPr>
          <w:p w14:paraId="7558215D" w14:textId="77777777" w:rsidR="003E1D81" w:rsidRDefault="00EB481C">
            <w:pPr>
              <w:pStyle w:val="P68B1DB1-Normal13"/>
              <w:spacing w:after="0"/>
              <w:jc w:val="center"/>
              <w:rPr>
                <w:rFonts w:eastAsia="Times New Roman" w:cs="Times New Roman"/>
                <w:noProof/>
              </w:rPr>
            </w:pPr>
            <w:r>
              <w:rPr>
                <w:noProof/>
              </w:rPr>
              <w:t>388</w:t>
            </w:r>
          </w:p>
        </w:tc>
        <w:tc>
          <w:tcPr>
            <w:tcW w:w="839" w:type="dxa"/>
            <w:shd w:val="clear" w:color="auto" w:fill="C6EFCE"/>
            <w:noWrap/>
          </w:tcPr>
          <w:p w14:paraId="5104DB5C" w14:textId="77777777" w:rsidR="003E1D81" w:rsidRDefault="00EB481C">
            <w:pPr>
              <w:pStyle w:val="P68B1DB1-Normal13"/>
              <w:spacing w:after="0"/>
              <w:jc w:val="center"/>
              <w:rPr>
                <w:rFonts w:eastAsia="Times New Roman" w:cs="Times New Roman"/>
                <w:noProof/>
              </w:rPr>
            </w:pPr>
            <w:r>
              <w:rPr>
                <w:noProof/>
              </w:rPr>
              <w:t>C28.R3</w:t>
            </w:r>
          </w:p>
        </w:tc>
        <w:tc>
          <w:tcPr>
            <w:tcW w:w="838" w:type="dxa"/>
            <w:shd w:val="clear" w:color="auto" w:fill="C6EFCE"/>
            <w:noWrap/>
          </w:tcPr>
          <w:p w14:paraId="42603E1A" w14:textId="77777777" w:rsidR="003E1D81" w:rsidRDefault="00EB481C">
            <w:pPr>
              <w:pStyle w:val="P68B1DB1-Normal13"/>
              <w:spacing w:after="0"/>
              <w:jc w:val="center"/>
              <w:rPr>
                <w:rFonts w:eastAsia="Times New Roman" w:cs="Times New Roman"/>
                <w:noProof/>
              </w:rPr>
            </w:pPr>
            <w:r>
              <w:rPr>
                <w:noProof/>
              </w:rPr>
              <w:t>M</w:t>
            </w:r>
          </w:p>
        </w:tc>
        <w:tc>
          <w:tcPr>
            <w:tcW w:w="2792" w:type="dxa"/>
            <w:shd w:val="clear" w:color="auto" w:fill="C6EFCE"/>
            <w:noWrap/>
          </w:tcPr>
          <w:p w14:paraId="013B3195" w14:textId="77777777" w:rsidR="003E1D81" w:rsidRDefault="00EB481C">
            <w:pPr>
              <w:pStyle w:val="P68B1DB1-Normal13"/>
              <w:spacing w:after="0"/>
              <w:rPr>
                <w:rFonts w:eastAsia="Times New Roman" w:cs="Times New Roman"/>
                <w:noProof/>
              </w:rPr>
            </w:pPr>
            <w:r>
              <w:rPr>
                <w:noProof/>
              </w:rPr>
              <w:t>Az EGSZB ajánlásaiból eredő reformok hatálybalépése</w:t>
            </w:r>
          </w:p>
        </w:tc>
        <w:tc>
          <w:tcPr>
            <w:tcW w:w="979" w:type="dxa"/>
            <w:shd w:val="clear" w:color="auto" w:fill="C6EFCE"/>
            <w:noWrap/>
          </w:tcPr>
          <w:p w14:paraId="56E9D534" w14:textId="77777777" w:rsidR="003E1D81" w:rsidRDefault="00EB481C">
            <w:pPr>
              <w:pStyle w:val="P68B1DB1-Normal13"/>
              <w:spacing w:after="0"/>
              <w:jc w:val="center"/>
              <w:rPr>
                <w:rFonts w:eastAsia="Times New Roman" w:cs="Times New Roman"/>
                <w:noProof/>
              </w:rPr>
            </w:pPr>
            <w:r>
              <w:rPr>
                <w:noProof/>
              </w:rPr>
              <w:t xml:space="preserve">A reformok hatályba lépését jelző rendelkezések </w:t>
            </w:r>
          </w:p>
        </w:tc>
        <w:tc>
          <w:tcPr>
            <w:tcW w:w="420" w:type="dxa"/>
            <w:shd w:val="clear" w:color="auto" w:fill="C6EFCE"/>
            <w:noWrap/>
          </w:tcPr>
          <w:p w14:paraId="63A50EF2" w14:textId="77777777" w:rsidR="003E1D81" w:rsidRDefault="00EB481C">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4E3B4429" w14:textId="77777777" w:rsidR="003E1D81" w:rsidRDefault="00EB481C">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52B2C876" w14:textId="77777777" w:rsidR="003E1D81" w:rsidRDefault="00EB481C">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2FC14277" w14:textId="77777777" w:rsidR="003E1D81" w:rsidRDefault="00EB481C">
            <w:pPr>
              <w:pStyle w:val="P68B1DB1-Normal13"/>
              <w:spacing w:after="0"/>
              <w:jc w:val="center"/>
              <w:rPr>
                <w:rFonts w:eastAsia="Times New Roman" w:cs="Times New Roman"/>
                <w:noProof/>
              </w:rPr>
            </w:pPr>
            <w:r>
              <w:rPr>
                <w:noProof/>
              </w:rPr>
              <w:t>NEGYEDÉV</w:t>
            </w:r>
          </w:p>
        </w:tc>
        <w:tc>
          <w:tcPr>
            <w:tcW w:w="559" w:type="dxa"/>
            <w:shd w:val="clear" w:color="auto" w:fill="C6EFCE"/>
            <w:noWrap/>
          </w:tcPr>
          <w:p w14:paraId="241FA2C7" w14:textId="77777777" w:rsidR="003E1D81" w:rsidRDefault="00EB481C">
            <w:pPr>
              <w:pStyle w:val="P68B1DB1-Normal13"/>
              <w:spacing w:after="0"/>
              <w:jc w:val="center"/>
              <w:rPr>
                <w:rFonts w:eastAsia="Times New Roman" w:cs="Times New Roman"/>
                <w:noProof/>
              </w:rPr>
            </w:pPr>
            <w:r>
              <w:rPr>
                <w:noProof/>
              </w:rPr>
              <w:t>2023</w:t>
            </w:r>
          </w:p>
        </w:tc>
        <w:tc>
          <w:tcPr>
            <w:tcW w:w="6561" w:type="dxa"/>
            <w:gridSpan w:val="2"/>
            <w:shd w:val="clear" w:color="auto" w:fill="C6EFCE"/>
            <w:noWrap/>
          </w:tcPr>
          <w:p w14:paraId="6CB47412" w14:textId="77777777" w:rsidR="003E1D81" w:rsidRDefault="00EB481C">
            <w:pPr>
              <w:pStyle w:val="P68B1DB1-Normal13"/>
              <w:spacing w:after="0"/>
              <w:rPr>
                <w:rFonts w:eastAsia="Times New Roman" w:cs="Times New Roman"/>
                <w:noProof/>
              </w:rPr>
            </w:pPr>
            <w:r>
              <w:rPr>
                <w:noProof/>
              </w:rPr>
              <w:t xml:space="preserve">A szakértői bizottságnak a spanyol adórendszer különböző elemeire vonatkozó ajánlásaiból eredő reformok hatálybalépése annak </w:t>
            </w:r>
            <w:r>
              <w:rPr>
                <w:noProof/>
              </w:rPr>
              <w:t>érdekében, hogy Spanyolország GDP-arányos bevétele közelebb kerüljön az uniós átlaghoz, biztosítsa a minimális társasági adót, hatékonyabbá tegye az adórendszert, korszerűsítse és hozzáigazítsa azt az új trendekhez, többek között a nemi dimenzióhoz, a körn</w:t>
            </w:r>
            <w:r>
              <w:rPr>
                <w:noProof/>
              </w:rPr>
              <w:t>yezetvédelmi adózás, a társasági adózás, a digitalizált gazdaság adóztatása, a vagyonadó harmonizálása és a kialakulóban lévő gazdasági tevékenységek adóztatása területére összpontosítva. A reformokat elosztási hatásuk elemzésének is kísérnie kell, különös</w:t>
            </w:r>
            <w:r>
              <w:rPr>
                <w:noProof/>
              </w:rPr>
              <w:t xml:space="preserve"> tekintettel a gyermekes családokra.</w:t>
            </w:r>
          </w:p>
        </w:tc>
      </w:tr>
      <w:tr w:rsidR="003E1D81" w14:paraId="13CBA163" w14:textId="77777777">
        <w:trPr>
          <w:trHeight w:val="309"/>
        </w:trPr>
        <w:tc>
          <w:tcPr>
            <w:tcW w:w="698" w:type="dxa"/>
            <w:shd w:val="clear" w:color="auto" w:fill="C6EFCE"/>
            <w:noWrap/>
          </w:tcPr>
          <w:p w14:paraId="63AD47FE" w14:textId="77777777" w:rsidR="003E1D81" w:rsidRDefault="00EB481C">
            <w:pPr>
              <w:pStyle w:val="P68B1DB1-Normal13"/>
              <w:spacing w:after="0"/>
              <w:jc w:val="center"/>
              <w:rPr>
                <w:rFonts w:eastAsia="Times New Roman" w:cs="Times New Roman"/>
                <w:noProof/>
              </w:rPr>
            </w:pPr>
            <w:r>
              <w:rPr>
                <w:noProof/>
              </w:rPr>
              <w:t>389</w:t>
            </w:r>
          </w:p>
        </w:tc>
        <w:tc>
          <w:tcPr>
            <w:tcW w:w="839" w:type="dxa"/>
            <w:shd w:val="clear" w:color="auto" w:fill="C6EFCE"/>
            <w:noWrap/>
          </w:tcPr>
          <w:p w14:paraId="09AFC946" w14:textId="77777777" w:rsidR="003E1D81" w:rsidRDefault="00EB481C">
            <w:pPr>
              <w:pStyle w:val="P68B1DB1-Normal13"/>
              <w:spacing w:after="0"/>
              <w:jc w:val="center"/>
              <w:rPr>
                <w:rFonts w:eastAsia="Times New Roman" w:cs="Times New Roman"/>
                <w:noProof/>
              </w:rPr>
            </w:pPr>
            <w:r>
              <w:rPr>
                <w:noProof/>
              </w:rPr>
              <w:t>C28.R4</w:t>
            </w:r>
          </w:p>
        </w:tc>
        <w:tc>
          <w:tcPr>
            <w:tcW w:w="838" w:type="dxa"/>
            <w:shd w:val="clear" w:color="auto" w:fill="C6EFCE"/>
            <w:noWrap/>
          </w:tcPr>
          <w:p w14:paraId="37C9286B" w14:textId="77777777" w:rsidR="003E1D81" w:rsidRDefault="00EB481C">
            <w:pPr>
              <w:pStyle w:val="P68B1DB1-Normal13"/>
              <w:spacing w:after="0"/>
              <w:jc w:val="center"/>
              <w:rPr>
                <w:rFonts w:eastAsia="Times New Roman" w:cs="Times New Roman"/>
                <w:noProof/>
              </w:rPr>
            </w:pPr>
            <w:r>
              <w:rPr>
                <w:noProof/>
              </w:rPr>
              <w:t>M</w:t>
            </w:r>
          </w:p>
        </w:tc>
        <w:tc>
          <w:tcPr>
            <w:tcW w:w="2792" w:type="dxa"/>
            <w:shd w:val="clear" w:color="auto" w:fill="C6EFCE"/>
            <w:noWrap/>
          </w:tcPr>
          <w:p w14:paraId="3B206E3B" w14:textId="77777777" w:rsidR="003E1D81" w:rsidRDefault="00EB481C">
            <w:pPr>
              <w:pStyle w:val="P68B1DB1-Normal13"/>
              <w:spacing w:after="0"/>
              <w:rPr>
                <w:rFonts w:eastAsia="Times New Roman" w:cs="Times New Roman"/>
                <w:noProof/>
              </w:rPr>
            </w:pPr>
            <w:r>
              <w:rPr>
                <w:noProof/>
              </w:rPr>
              <w:t>Az egyszer használatos műanyagokra és hulladékokra kivetett adók</w:t>
            </w:r>
          </w:p>
        </w:tc>
        <w:tc>
          <w:tcPr>
            <w:tcW w:w="979" w:type="dxa"/>
            <w:shd w:val="clear" w:color="auto" w:fill="C6EFCE"/>
            <w:noWrap/>
          </w:tcPr>
          <w:p w14:paraId="6631B3B5" w14:textId="77777777" w:rsidR="003E1D81" w:rsidRDefault="00EB481C">
            <w:pPr>
              <w:pStyle w:val="P68B1DB1-Normal13"/>
              <w:spacing w:after="0"/>
              <w:jc w:val="center"/>
              <w:rPr>
                <w:rFonts w:eastAsia="Times New Roman" w:cs="Times New Roman"/>
                <w:noProof/>
              </w:rPr>
            </w:pPr>
            <w:r>
              <w:rPr>
                <w:noProof/>
              </w:rPr>
              <w:t xml:space="preserve">A törvény hatálybalépését jelző rendelkezés </w:t>
            </w:r>
          </w:p>
        </w:tc>
        <w:tc>
          <w:tcPr>
            <w:tcW w:w="420" w:type="dxa"/>
            <w:shd w:val="clear" w:color="auto" w:fill="C6EFCE"/>
            <w:noWrap/>
          </w:tcPr>
          <w:p w14:paraId="1BC824A3" w14:textId="77777777" w:rsidR="003E1D81" w:rsidRDefault="00EB481C">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68323AAF" w14:textId="77777777" w:rsidR="003E1D81" w:rsidRDefault="00EB481C">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6A0231A0" w14:textId="77777777" w:rsidR="003E1D81" w:rsidRDefault="00EB481C">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136B019" w14:textId="77777777" w:rsidR="003E1D81" w:rsidRDefault="00EB481C">
            <w:pPr>
              <w:pStyle w:val="P68B1DB1-Normal13"/>
              <w:spacing w:after="0"/>
              <w:jc w:val="center"/>
              <w:rPr>
                <w:rFonts w:eastAsia="Times New Roman" w:cs="Times New Roman"/>
                <w:noProof/>
              </w:rPr>
            </w:pPr>
            <w:r>
              <w:rPr>
                <w:noProof/>
              </w:rPr>
              <w:t>NEGYEDÉV</w:t>
            </w:r>
          </w:p>
        </w:tc>
        <w:tc>
          <w:tcPr>
            <w:tcW w:w="559" w:type="dxa"/>
            <w:shd w:val="clear" w:color="auto" w:fill="C6EFCE"/>
            <w:noWrap/>
          </w:tcPr>
          <w:p w14:paraId="5A0E9B47" w14:textId="77777777" w:rsidR="003E1D81" w:rsidRDefault="00EB481C">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7D67D7B8" w14:textId="77777777" w:rsidR="003E1D81" w:rsidRDefault="00EB481C">
            <w:pPr>
              <w:pStyle w:val="P68B1DB1-Normal13"/>
              <w:spacing w:after="0"/>
              <w:rPr>
                <w:rFonts w:eastAsia="Times New Roman" w:cs="Times New Roman"/>
                <w:noProof/>
              </w:rPr>
            </w:pPr>
            <w:r>
              <w:rPr>
                <w:noProof/>
              </w:rPr>
              <w:t xml:space="preserve">A műanyagra, valamint a hulladék lerakására és elégetésére kivetett adók </w:t>
            </w:r>
            <w:r>
              <w:rPr>
                <w:noProof/>
              </w:rPr>
              <w:t>szabályozásáról szóló törvény hatálybalépése a körforgásos gazdaság előmozdítása és az egyszer használatos műanyagok használatának csökkentése érdekében.</w:t>
            </w:r>
          </w:p>
        </w:tc>
      </w:tr>
      <w:tr w:rsidR="003E1D81" w14:paraId="37F913A7" w14:textId="77777777">
        <w:trPr>
          <w:trHeight w:val="309"/>
        </w:trPr>
        <w:tc>
          <w:tcPr>
            <w:tcW w:w="698" w:type="dxa"/>
            <w:shd w:val="clear" w:color="auto" w:fill="C6EFCE"/>
            <w:noWrap/>
          </w:tcPr>
          <w:p w14:paraId="05FB0A0A" w14:textId="77777777" w:rsidR="003E1D81" w:rsidRDefault="00EB481C">
            <w:pPr>
              <w:pStyle w:val="P68B1DB1-Normal13"/>
              <w:spacing w:after="0"/>
              <w:jc w:val="center"/>
              <w:rPr>
                <w:rFonts w:eastAsia="Times New Roman" w:cs="Times New Roman"/>
                <w:noProof/>
              </w:rPr>
            </w:pPr>
            <w:r>
              <w:rPr>
                <w:noProof/>
              </w:rPr>
              <w:t>390</w:t>
            </w:r>
          </w:p>
        </w:tc>
        <w:tc>
          <w:tcPr>
            <w:tcW w:w="839" w:type="dxa"/>
            <w:shd w:val="clear" w:color="auto" w:fill="C6EFCE"/>
            <w:noWrap/>
          </w:tcPr>
          <w:p w14:paraId="0ABCE885" w14:textId="77777777" w:rsidR="003E1D81" w:rsidRDefault="00EB481C">
            <w:pPr>
              <w:pStyle w:val="P68B1DB1-Normal13"/>
              <w:spacing w:after="0"/>
              <w:jc w:val="center"/>
              <w:rPr>
                <w:rFonts w:eastAsia="Times New Roman" w:cs="Times New Roman"/>
                <w:noProof/>
              </w:rPr>
            </w:pPr>
            <w:r>
              <w:rPr>
                <w:noProof/>
              </w:rPr>
              <w:t>C28.R4</w:t>
            </w:r>
          </w:p>
        </w:tc>
        <w:tc>
          <w:tcPr>
            <w:tcW w:w="838" w:type="dxa"/>
            <w:shd w:val="clear" w:color="auto" w:fill="C6EFCE"/>
            <w:noWrap/>
          </w:tcPr>
          <w:p w14:paraId="0C30E35A" w14:textId="77777777" w:rsidR="003E1D81" w:rsidRDefault="00EB481C">
            <w:pPr>
              <w:pStyle w:val="P68B1DB1-Normal13"/>
              <w:spacing w:after="0"/>
              <w:jc w:val="center"/>
              <w:rPr>
                <w:rFonts w:eastAsia="Times New Roman" w:cs="Times New Roman"/>
                <w:noProof/>
              </w:rPr>
            </w:pPr>
            <w:r>
              <w:rPr>
                <w:noProof/>
              </w:rPr>
              <w:t>M</w:t>
            </w:r>
          </w:p>
        </w:tc>
        <w:tc>
          <w:tcPr>
            <w:tcW w:w="2792" w:type="dxa"/>
            <w:shd w:val="clear" w:color="auto" w:fill="C6EFCE"/>
            <w:noWrap/>
          </w:tcPr>
          <w:p w14:paraId="4A8EAD8A" w14:textId="77777777" w:rsidR="003E1D81" w:rsidRDefault="00EB481C">
            <w:pPr>
              <w:pStyle w:val="P68B1DB1-Normal13"/>
              <w:spacing w:after="0"/>
              <w:rPr>
                <w:rFonts w:eastAsia="Times New Roman" w:cs="Times New Roman"/>
                <w:noProof/>
              </w:rPr>
            </w:pPr>
            <w:r>
              <w:rPr>
                <w:noProof/>
              </w:rPr>
              <w:t>A gépjármű-nyilvántartási adó és a forgalmi adó elemzése</w:t>
            </w:r>
          </w:p>
        </w:tc>
        <w:tc>
          <w:tcPr>
            <w:tcW w:w="979" w:type="dxa"/>
            <w:shd w:val="clear" w:color="auto" w:fill="C6EFCE"/>
            <w:noWrap/>
          </w:tcPr>
          <w:p w14:paraId="5EA469A9" w14:textId="77777777" w:rsidR="003E1D81" w:rsidRDefault="00EB481C">
            <w:pPr>
              <w:pStyle w:val="P68B1DB1-Normal13"/>
              <w:spacing w:after="0"/>
              <w:jc w:val="center"/>
              <w:rPr>
                <w:rFonts w:eastAsia="Times New Roman" w:cs="Times New Roman"/>
                <w:noProof/>
              </w:rPr>
            </w:pPr>
            <w:r>
              <w:rPr>
                <w:noProof/>
              </w:rPr>
              <w:t>Közzététel a honlapon</w:t>
            </w:r>
          </w:p>
        </w:tc>
        <w:tc>
          <w:tcPr>
            <w:tcW w:w="420" w:type="dxa"/>
            <w:shd w:val="clear" w:color="auto" w:fill="C6EFCE"/>
            <w:noWrap/>
          </w:tcPr>
          <w:p w14:paraId="64767320" w14:textId="77777777" w:rsidR="003E1D81" w:rsidRDefault="00EB481C">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2F2B80B2" w14:textId="77777777" w:rsidR="003E1D81" w:rsidRDefault="00EB481C">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32F4FFFC" w14:textId="77777777" w:rsidR="003E1D81" w:rsidRDefault="00EB481C">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C0D3FC8" w14:textId="77777777" w:rsidR="003E1D81" w:rsidRDefault="00EB481C">
            <w:pPr>
              <w:pStyle w:val="P68B1DB1-Normal13"/>
              <w:spacing w:after="0"/>
              <w:jc w:val="center"/>
              <w:rPr>
                <w:rFonts w:eastAsia="Times New Roman" w:cs="Times New Roman"/>
                <w:noProof/>
              </w:rPr>
            </w:pPr>
            <w:r>
              <w:rPr>
                <w:noProof/>
              </w:rPr>
              <w:t>NEGYEDÉV</w:t>
            </w:r>
          </w:p>
        </w:tc>
        <w:tc>
          <w:tcPr>
            <w:tcW w:w="559" w:type="dxa"/>
            <w:shd w:val="clear" w:color="auto" w:fill="C6EFCE"/>
            <w:noWrap/>
          </w:tcPr>
          <w:p w14:paraId="2354E8AC" w14:textId="77777777" w:rsidR="003E1D81" w:rsidRDefault="00EB481C">
            <w:pPr>
              <w:pStyle w:val="P68B1DB1-Normal13"/>
              <w:spacing w:after="0"/>
              <w:jc w:val="center"/>
              <w:rPr>
                <w:rFonts w:eastAsia="Times New Roman" w:cs="Times New Roman"/>
                <w:noProof/>
              </w:rPr>
            </w:pPr>
            <w:r>
              <w:rPr>
                <w:noProof/>
              </w:rPr>
              <w:t>2022</w:t>
            </w:r>
          </w:p>
        </w:tc>
        <w:tc>
          <w:tcPr>
            <w:tcW w:w="6561" w:type="dxa"/>
            <w:gridSpan w:val="2"/>
            <w:shd w:val="clear" w:color="auto" w:fill="C6EFCE"/>
            <w:noWrap/>
          </w:tcPr>
          <w:p w14:paraId="0B6EE2A2" w14:textId="77777777" w:rsidR="003E1D81" w:rsidRDefault="00EB481C">
            <w:pPr>
              <w:pStyle w:val="P68B1DB1-Normal13"/>
              <w:spacing w:after="0"/>
              <w:rPr>
                <w:rFonts w:eastAsia="Times New Roman" w:cs="Times New Roman"/>
                <w:noProof/>
              </w:rPr>
            </w:pPr>
            <w:r>
              <w:rPr>
                <w:noProof/>
              </w:rPr>
              <w:t xml:space="preserve">A reform előirányozza a gépjármű-nyilvántartási adó, a forgalmi adó vagy az úthasználati díjhoz hasonló befizetések elemzését. Ezen elemzés alapján mérlegelni kell a törvény felülvizsgálatát a fenntarthatóbb közúti közlekedés előmozdítása és </w:t>
            </w:r>
            <w:r>
              <w:rPr>
                <w:noProof/>
              </w:rPr>
              <w:t xml:space="preserve">az ÜHG-kibocsátás csökkentése érdekében. </w:t>
            </w:r>
          </w:p>
        </w:tc>
      </w:tr>
      <w:tr w:rsidR="003E1D81" w14:paraId="687375F6" w14:textId="77777777">
        <w:trPr>
          <w:trHeight w:val="309"/>
        </w:trPr>
        <w:tc>
          <w:tcPr>
            <w:tcW w:w="698" w:type="dxa"/>
            <w:shd w:val="clear" w:color="auto" w:fill="C6EFCE"/>
            <w:noWrap/>
          </w:tcPr>
          <w:p w14:paraId="6973CD59" w14:textId="77777777" w:rsidR="003E1D81" w:rsidRDefault="00EB481C">
            <w:pPr>
              <w:pStyle w:val="P68B1DB1-Normal13"/>
              <w:spacing w:after="0"/>
              <w:jc w:val="center"/>
              <w:rPr>
                <w:rFonts w:eastAsia="Times New Roman" w:cs="Times New Roman"/>
                <w:noProof/>
              </w:rPr>
            </w:pPr>
            <w:r>
              <w:rPr>
                <w:noProof/>
              </w:rPr>
              <w:t>391</w:t>
            </w:r>
          </w:p>
        </w:tc>
        <w:tc>
          <w:tcPr>
            <w:tcW w:w="839" w:type="dxa"/>
            <w:shd w:val="clear" w:color="auto" w:fill="C6EFCE"/>
            <w:noWrap/>
          </w:tcPr>
          <w:p w14:paraId="1A99CDD0" w14:textId="77777777" w:rsidR="003E1D81" w:rsidRDefault="00EB481C">
            <w:pPr>
              <w:pStyle w:val="P68B1DB1-Normal13"/>
              <w:spacing w:after="0"/>
              <w:jc w:val="center"/>
              <w:rPr>
                <w:rFonts w:eastAsia="Times New Roman" w:cs="Times New Roman"/>
                <w:noProof/>
              </w:rPr>
            </w:pPr>
            <w:r>
              <w:rPr>
                <w:noProof/>
              </w:rPr>
              <w:t>C28.R4</w:t>
            </w:r>
          </w:p>
        </w:tc>
        <w:tc>
          <w:tcPr>
            <w:tcW w:w="838" w:type="dxa"/>
            <w:shd w:val="clear" w:color="auto" w:fill="C6EFCE"/>
            <w:noWrap/>
          </w:tcPr>
          <w:p w14:paraId="19796F6B" w14:textId="77777777" w:rsidR="003E1D81" w:rsidRDefault="00EB481C">
            <w:pPr>
              <w:pStyle w:val="P68B1DB1-Normal13"/>
              <w:spacing w:after="0"/>
              <w:jc w:val="center"/>
              <w:rPr>
                <w:rFonts w:eastAsia="Times New Roman" w:cs="Times New Roman"/>
                <w:noProof/>
              </w:rPr>
            </w:pPr>
            <w:r>
              <w:rPr>
                <w:noProof/>
              </w:rPr>
              <w:t>M</w:t>
            </w:r>
          </w:p>
        </w:tc>
        <w:tc>
          <w:tcPr>
            <w:tcW w:w="2792" w:type="dxa"/>
            <w:shd w:val="clear" w:color="auto" w:fill="C6EFCE"/>
            <w:noWrap/>
          </w:tcPr>
          <w:p w14:paraId="62B420F4" w14:textId="77777777" w:rsidR="003E1D81" w:rsidRDefault="00EB481C">
            <w:pPr>
              <w:pStyle w:val="P68B1DB1-Normal13"/>
              <w:spacing w:after="0"/>
              <w:rPr>
                <w:rFonts w:eastAsia="Times New Roman" w:cs="Times New Roman"/>
                <w:noProof/>
              </w:rPr>
            </w:pPr>
            <w:r>
              <w:rPr>
                <w:noProof/>
              </w:rPr>
              <w:t xml:space="preserve">A fluorozott gázokra kivetett adó reformjának hatálybalépése </w:t>
            </w:r>
          </w:p>
        </w:tc>
        <w:tc>
          <w:tcPr>
            <w:tcW w:w="979" w:type="dxa"/>
            <w:shd w:val="clear" w:color="auto" w:fill="C6EFCE"/>
            <w:noWrap/>
          </w:tcPr>
          <w:p w14:paraId="33611C9D" w14:textId="77777777" w:rsidR="003E1D81" w:rsidRDefault="00EB481C">
            <w:pPr>
              <w:pStyle w:val="P68B1DB1-Normal13"/>
              <w:spacing w:after="0"/>
              <w:jc w:val="center"/>
              <w:rPr>
                <w:rFonts w:eastAsia="Times New Roman" w:cs="Times New Roman"/>
                <w:noProof/>
              </w:rPr>
            </w:pPr>
            <w:r>
              <w:rPr>
                <w:noProof/>
              </w:rPr>
              <w:t xml:space="preserve">A törvény hatálybalépését jelző rendelkezés </w:t>
            </w:r>
          </w:p>
        </w:tc>
        <w:tc>
          <w:tcPr>
            <w:tcW w:w="420" w:type="dxa"/>
            <w:shd w:val="clear" w:color="auto" w:fill="C6EFCE"/>
            <w:noWrap/>
          </w:tcPr>
          <w:p w14:paraId="2F93830F" w14:textId="77777777" w:rsidR="003E1D81" w:rsidRDefault="00EB481C">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4917AFFD" w14:textId="77777777" w:rsidR="003E1D81" w:rsidRDefault="00EB481C">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2CC75913" w14:textId="77777777" w:rsidR="003E1D81" w:rsidRDefault="00EB481C">
            <w:pPr>
              <w:pStyle w:val="P68B1DB1-Normal13"/>
              <w:spacing w:after="0"/>
              <w:rPr>
                <w:rFonts w:eastAsia="Times New Roman" w:cs="Times New Roman"/>
                <w:noProof/>
              </w:rPr>
            </w:pPr>
            <w:r>
              <w:rPr>
                <w:noProof/>
              </w:rPr>
              <w:t xml:space="preserve"> </w:t>
            </w:r>
          </w:p>
        </w:tc>
        <w:tc>
          <w:tcPr>
            <w:tcW w:w="420" w:type="dxa"/>
            <w:shd w:val="clear" w:color="auto" w:fill="C6EFCE"/>
            <w:noWrap/>
          </w:tcPr>
          <w:p w14:paraId="76B0F169" w14:textId="77777777" w:rsidR="003E1D81" w:rsidRDefault="00EB481C">
            <w:pPr>
              <w:pStyle w:val="P68B1DB1-Normal13"/>
              <w:spacing w:after="0"/>
              <w:jc w:val="center"/>
              <w:rPr>
                <w:rFonts w:eastAsia="Times New Roman" w:cs="Times New Roman"/>
                <w:noProof/>
              </w:rPr>
            </w:pPr>
            <w:r>
              <w:rPr>
                <w:noProof/>
              </w:rPr>
              <w:t>KÉRDÉS</w:t>
            </w:r>
          </w:p>
        </w:tc>
        <w:tc>
          <w:tcPr>
            <w:tcW w:w="559" w:type="dxa"/>
            <w:shd w:val="clear" w:color="auto" w:fill="C6EFCE"/>
            <w:noWrap/>
          </w:tcPr>
          <w:p w14:paraId="7D2A3C3B" w14:textId="77777777" w:rsidR="003E1D81" w:rsidRDefault="00EB481C">
            <w:pPr>
              <w:pStyle w:val="P68B1DB1-Normal13"/>
              <w:spacing w:after="0"/>
              <w:jc w:val="center"/>
              <w:rPr>
                <w:rFonts w:eastAsia="Times New Roman" w:cs="Times New Roman"/>
                <w:noProof/>
              </w:rPr>
            </w:pPr>
            <w:r>
              <w:rPr>
                <w:noProof/>
              </w:rPr>
              <w:t>2022</w:t>
            </w:r>
          </w:p>
        </w:tc>
        <w:tc>
          <w:tcPr>
            <w:tcW w:w="6561" w:type="dxa"/>
            <w:gridSpan w:val="2"/>
            <w:shd w:val="clear" w:color="auto" w:fill="C6EFCE"/>
            <w:noWrap/>
          </w:tcPr>
          <w:p w14:paraId="5855A3A2" w14:textId="77777777" w:rsidR="003E1D81" w:rsidRDefault="00EB481C">
            <w:pPr>
              <w:pStyle w:val="P68B1DB1-Normal13"/>
              <w:spacing w:after="0"/>
              <w:rPr>
                <w:rFonts w:eastAsia="Times New Roman" w:cs="Times New Roman"/>
                <w:noProof/>
              </w:rPr>
            </w:pPr>
            <w:r>
              <w:rPr>
                <w:noProof/>
              </w:rPr>
              <w:t xml:space="preserve">A fluorozott gázokra kivetett adó reformjának hatálybalépése a felhasználásuk visszaszorítása és az adókikerülés csökkentése érdekében. </w:t>
            </w:r>
          </w:p>
        </w:tc>
      </w:tr>
      <w:tr w:rsidR="003E1D81" w14:paraId="47F6F49D" w14:textId="77777777">
        <w:trPr>
          <w:trHeight w:val="309"/>
        </w:trPr>
        <w:tc>
          <w:tcPr>
            <w:tcW w:w="698" w:type="dxa"/>
            <w:shd w:val="clear" w:color="auto" w:fill="C6EFCE"/>
            <w:noWrap/>
          </w:tcPr>
          <w:p w14:paraId="30813EBA" w14:textId="77777777" w:rsidR="003E1D81" w:rsidRDefault="00EB481C">
            <w:pPr>
              <w:pStyle w:val="P68B1DB1-Normal13"/>
              <w:spacing w:after="0"/>
              <w:jc w:val="center"/>
              <w:rPr>
                <w:rFonts w:eastAsia="Times New Roman" w:cs="Times New Roman"/>
                <w:noProof/>
              </w:rPr>
            </w:pPr>
            <w:r>
              <w:rPr>
                <w:noProof/>
              </w:rPr>
              <w:t>392</w:t>
            </w:r>
          </w:p>
        </w:tc>
        <w:tc>
          <w:tcPr>
            <w:tcW w:w="839" w:type="dxa"/>
            <w:shd w:val="clear" w:color="auto" w:fill="C6EFCE"/>
            <w:noWrap/>
          </w:tcPr>
          <w:p w14:paraId="69502FAC" w14:textId="77777777" w:rsidR="003E1D81" w:rsidRDefault="00EB481C">
            <w:pPr>
              <w:pStyle w:val="P68B1DB1-Normal13"/>
              <w:spacing w:after="0"/>
              <w:jc w:val="center"/>
              <w:rPr>
                <w:rFonts w:eastAsia="Times New Roman" w:cs="Times New Roman"/>
                <w:noProof/>
              </w:rPr>
            </w:pPr>
            <w:r>
              <w:rPr>
                <w:noProof/>
              </w:rPr>
              <w:t>C28.R5</w:t>
            </w:r>
          </w:p>
        </w:tc>
        <w:tc>
          <w:tcPr>
            <w:tcW w:w="838" w:type="dxa"/>
            <w:shd w:val="clear" w:color="auto" w:fill="C6EFCE"/>
            <w:noWrap/>
          </w:tcPr>
          <w:p w14:paraId="4441CBFA" w14:textId="77777777" w:rsidR="003E1D81" w:rsidRDefault="00EB481C">
            <w:pPr>
              <w:pStyle w:val="P68B1DB1-Normal13"/>
              <w:spacing w:after="0"/>
              <w:jc w:val="center"/>
              <w:rPr>
                <w:rFonts w:eastAsia="Times New Roman" w:cs="Times New Roman"/>
                <w:noProof/>
              </w:rPr>
            </w:pPr>
            <w:r>
              <w:rPr>
                <w:noProof/>
              </w:rPr>
              <w:t>M</w:t>
            </w:r>
          </w:p>
        </w:tc>
        <w:tc>
          <w:tcPr>
            <w:tcW w:w="2792" w:type="dxa"/>
            <w:shd w:val="clear" w:color="auto" w:fill="C6EFCE"/>
            <w:noWrap/>
          </w:tcPr>
          <w:p w14:paraId="2B3AFE47" w14:textId="77777777" w:rsidR="003E1D81" w:rsidRDefault="00EB481C">
            <w:pPr>
              <w:pStyle w:val="P68B1DB1-Normal13"/>
              <w:spacing w:after="0"/>
              <w:rPr>
                <w:rFonts w:eastAsia="Times New Roman" w:cs="Times New Roman"/>
                <w:noProof/>
              </w:rPr>
            </w:pPr>
            <w:r>
              <w:rPr>
                <w:noProof/>
              </w:rPr>
              <w:t>Digitális szolgáltatási adó</w:t>
            </w:r>
          </w:p>
        </w:tc>
        <w:tc>
          <w:tcPr>
            <w:tcW w:w="979" w:type="dxa"/>
            <w:shd w:val="clear" w:color="auto" w:fill="C6EFCE"/>
            <w:noWrap/>
          </w:tcPr>
          <w:p w14:paraId="1139B613" w14:textId="77777777" w:rsidR="003E1D81" w:rsidRDefault="00EB481C">
            <w:pPr>
              <w:pStyle w:val="P68B1DB1-Normal13"/>
              <w:spacing w:after="0"/>
              <w:jc w:val="center"/>
              <w:rPr>
                <w:rFonts w:eastAsia="Times New Roman" w:cs="Times New Roman"/>
                <w:noProof/>
              </w:rPr>
            </w:pPr>
            <w:r>
              <w:rPr>
                <w:noProof/>
              </w:rPr>
              <w:t xml:space="preserve">A törvény hatálybalépését jelző rendelkezés </w:t>
            </w:r>
          </w:p>
        </w:tc>
        <w:tc>
          <w:tcPr>
            <w:tcW w:w="420" w:type="dxa"/>
            <w:shd w:val="clear" w:color="auto" w:fill="C6EFCE"/>
            <w:noWrap/>
          </w:tcPr>
          <w:p w14:paraId="6E0AA6EE" w14:textId="77777777" w:rsidR="003E1D81" w:rsidRDefault="00EB481C">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29B2E2DC" w14:textId="77777777" w:rsidR="003E1D81" w:rsidRDefault="00EB481C">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4EB5E910" w14:textId="77777777" w:rsidR="003E1D81" w:rsidRDefault="00EB481C">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33BAEE2B" w14:textId="77777777" w:rsidR="003E1D81" w:rsidRDefault="00EB481C">
            <w:pPr>
              <w:pStyle w:val="P68B1DB1-Normal13"/>
              <w:spacing w:after="0"/>
              <w:jc w:val="center"/>
              <w:rPr>
                <w:rFonts w:eastAsia="Times New Roman" w:cs="Times New Roman"/>
                <w:noProof/>
              </w:rPr>
            </w:pPr>
            <w:r>
              <w:rPr>
                <w:noProof/>
              </w:rPr>
              <w:t>NEGYEDÉV</w:t>
            </w:r>
          </w:p>
        </w:tc>
        <w:tc>
          <w:tcPr>
            <w:tcW w:w="559" w:type="dxa"/>
            <w:shd w:val="clear" w:color="auto" w:fill="C6EFCE"/>
            <w:noWrap/>
          </w:tcPr>
          <w:p w14:paraId="254FBBEB" w14:textId="77777777" w:rsidR="003E1D81" w:rsidRDefault="00EB481C">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7EE8E71B" w14:textId="77777777" w:rsidR="003E1D81" w:rsidRDefault="00EB481C">
            <w:pPr>
              <w:pStyle w:val="P68B1DB1-Normal13"/>
              <w:spacing w:after="0"/>
              <w:rPr>
                <w:rFonts w:eastAsia="Times New Roman" w:cs="Times New Roman"/>
                <w:noProof/>
              </w:rPr>
            </w:pPr>
            <w:r>
              <w:rPr>
                <w:noProof/>
              </w:rPr>
              <w:t xml:space="preserve">Az egyes </w:t>
            </w:r>
            <w:r>
              <w:rPr>
                <w:noProof/>
              </w:rPr>
              <w:t>digitális szolgáltatási adóról szóló törvény (</w:t>
            </w:r>
            <w:r>
              <w:rPr>
                <w:i/>
                <w:noProof/>
              </w:rPr>
              <w:t>Ley 4/2020, de 15 de octubre, del Impuesto sobre Determinados Servicios Digitales)</w:t>
            </w:r>
            <w:r>
              <w:rPr>
                <w:noProof/>
              </w:rPr>
              <w:t>hatálybalépése annak érdekében, hogy az adórendszer koherens módon és adott esetben nemzetközi összefüggésben történő fejlesztés</w:t>
            </w:r>
            <w:r>
              <w:rPr>
                <w:noProof/>
              </w:rPr>
              <w:t>e mellett új bevételi forrásokat teremtsen a kormány számára a feltörekvő üzleti ágazatok alapján.</w:t>
            </w:r>
          </w:p>
        </w:tc>
      </w:tr>
      <w:tr w:rsidR="003E1D81" w14:paraId="241694F9" w14:textId="77777777">
        <w:trPr>
          <w:trHeight w:val="309"/>
        </w:trPr>
        <w:tc>
          <w:tcPr>
            <w:tcW w:w="698" w:type="dxa"/>
            <w:shd w:val="clear" w:color="auto" w:fill="C6EFCE"/>
            <w:noWrap/>
          </w:tcPr>
          <w:p w14:paraId="681303F9" w14:textId="77777777" w:rsidR="003E1D81" w:rsidRDefault="00EB481C">
            <w:pPr>
              <w:pStyle w:val="P68B1DB1-Normal13"/>
              <w:spacing w:after="0"/>
              <w:jc w:val="center"/>
              <w:rPr>
                <w:rFonts w:eastAsia="Times New Roman" w:cs="Times New Roman"/>
                <w:noProof/>
              </w:rPr>
            </w:pPr>
            <w:r>
              <w:rPr>
                <w:noProof/>
              </w:rPr>
              <w:t>393</w:t>
            </w:r>
          </w:p>
        </w:tc>
        <w:tc>
          <w:tcPr>
            <w:tcW w:w="839" w:type="dxa"/>
            <w:shd w:val="clear" w:color="auto" w:fill="C6EFCE"/>
            <w:noWrap/>
          </w:tcPr>
          <w:p w14:paraId="3C8C5899" w14:textId="77777777" w:rsidR="003E1D81" w:rsidRDefault="00EB481C">
            <w:pPr>
              <w:pStyle w:val="P68B1DB1-Normal13"/>
              <w:spacing w:after="0"/>
              <w:jc w:val="center"/>
              <w:rPr>
                <w:rFonts w:eastAsia="Times New Roman" w:cs="Times New Roman"/>
                <w:noProof/>
              </w:rPr>
            </w:pPr>
            <w:r>
              <w:rPr>
                <w:noProof/>
              </w:rPr>
              <w:t>C28.R6</w:t>
            </w:r>
          </w:p>
        </w:tc>
        <w:tc>
          <w:tcPr>
            <w:tcW w:w="838" w:type="dxa"/>
            <w:shd w:val="clear" w:color="auto" w:fill="C6EFCE"/>
            <w:noWrap/>
          </w:tcPr>
          <w:p w14:paraId="6F2FCA0F" w14:textId="77777777" w:rsidR="003E1D81" w:rsidRDefault="00EB481C">
            <w:pPr>
              <w:pStyle w:val="P68B1DB1-Normal13"/>
              <w:spacing w:after="0"/>
              <w:jc w:val="center"/>
              <w:rPr>
                <w:rFonts w:eastAsia="Times New Roman" w:cs="Times New Roman"/>
                <w:noProof/>
              </w:rPr>
            </w:pPr>
            <w:r>
              <w:rPr>
                <w:noProof/>
              </w:rPr>
              <w:t>M</w:t>
            </w:r>
          </w:p>
        </w:tc>
        <w:tc>
          <w:tcPr>
            <w:tcW w:w="2792" w:type="dxa"/>
            <w:shd w:val="clear" w:color="auto" w:fill="C6EFCE"/>
            <w:noWrap/>
          </w:tcPr>
          <w:p w14:paraId="1767918B" w14:textId="77777777" w:rsidR="003E1D81" w:rsidRDefault="00EB481C">
            <w:pPr>
              <w:pStyle w:val="P68B1DB1-Normal13"/>
              <w:spacing w:after="0"/>
              <w:rPr>
                <w:rFonts w:eastAsia="Times New Roman" w:cs="Times New Roman"/>
                <w:noProof/>
              </w:rPr>
            </w:pPr>
            <w:r>
              <w:rPr>
                <w:noProof/>
              </w:rPr>
              <w:t>Pénzügyi tranzakciós adó</w:t>
            </w:r>
          </w:p>
        </w:tc>
        <w:tc>
          <w:tcPr>
            <w:tcW w:w="979" w:type="dxa"/>
            <w:shd w:val="clear" w:color="auto" w:fill="C6EFCE"/>
            <w:noWrap/>
          </w:tcPr>
          <w:p w14:paraId="7B475124" w14:textId="77777777" w:rsidR="003E1D81" w:rsidRDefault="00EB481C">
            <w:pPr>
              <w:pStyle w:val="P68B1DB1-Normal13"/>
              <w:spacing w:after="0"/>
              <w:jc w:val="center"/>
              <w:rPr>
                <w:rFonts w:eastAsia="Times New Roman" w:cs="Times New Roman"/>
                <w:noProof/>
              </w:rPr>
            </w:pPr>
            <w:r>
              <w:rPr>
                <w:noProof/>
              </w:rPr>
              <w:t xml:space="preserve">A törvény hatálybalépését jelző rendelkezés </w:t>
            </w:r>
          </w:p>
        </w:tc>
        <w:tc>
          <w:tcPr>
            <w:tcW w:w="420" w:type="dxa"/>
            <w:shd w:val="clear" w:color="auto" w:fill="C6EFCE"/>
            <w:noWrap/>
          </w:tcPr>
          <w:p w14:paraId="7A00D580" w14:textId="77777777" w:rsidR="003E1D81" w:rsidRDefault="00EB481C">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0D0B806C" w14:textId="77777777" w:rsidR="003E1D81" w:rsidRDefault="00EB481C">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0D4A5886" w14:textId="77777777" w:rsidR="003E1D81" w:rsidRDefault="00EB481C">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832C360" w14:textId="77777777" w:rsidR="003E1D81" w:rsidRDefault="00EB481C">
            <w:pPr>
              <w:pStyle w:val="P68B1DB1-Normal13"/>
              <w:spacing w:after="0"/>
              <w:jc w:val="center"/>
              <w:rPr>
                <w:rFonts w:eastAsia="Times New Roman" w:cs="Times New Roman"/>
                <w:noProof/>
              </w:rPr>
            </w:pPr>
            <w:r>
              <w:rPr>
                <w:noProof/>
              </w:rPr>
              <w:t>NEGYEDÉV</w:t>
            </w:r>
          </w:p>
        </w:tc>
        <w:tc>
          <w:tcPr>
            <w:tcW w:w="559" w:type="dxa"/>
            <w:shd w:val="clear" w:color="auto" w:fill="C6EFCE"/>
            <w:noWrap/>
          </w:tcPr>
          <w:p w14:paraId="4E7E2AA4" w14:textId="77777777" w:rsidR="003E1D81" w:rsidRDefault="00EB481C">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5936BDA7" w14:textId="77777777" w:rsidR="003E1D81" w:rsidRDefault="00EB481C">
            <w:pPr>
              <w:pStyle w:val="P68B1DB1-Normal13"/>
              <w:spacing w:after="0"/>
              <w:rPr>
                <w:rFonts w:eastAsia="Times New Roman" w:cs="Times New Roman"/>
                <w:noProof/>
              </w:rPr>
            </w:pPr>
            <w:r>
              <w:rPr>
                <w:noProof/>
              </w:rPr>
              <w:t>A pénzügyi tranzakciós adóról szóló törvény (</w:t>
            </w:r>
            <w:r>
              <w:rPr>
                <w:i/>
                <w:noProof/>
              </w:rPr>
              <w:t xml:space="preserve">Ley </w:t>
            </w:r>
            <w:r>
              <w:rPr>
                <w:i/>
                <w:noProof/>
              </w:rPr>
              <w:t>5/2020, de 15 de octubre, del Impuesto sobre las Transacciones Financieras</w:t>
            </w:r>
            <w:r>
              <w:rPr>
                <w:noProof/>
              </w:rPr>
              <w:t>) hatálybalépése annak érdekében, hogy az adórendszer koherens módon és adott esetben nemzetközi összefüggésben történő fejlesztése mellett új bevételi forrásokat teremtsen a kormány</w:t>
            </w:r>
            <w:r>
              <w:rPr>
                <w:noProof/>
              </w:rPr>
              <w:t xml:space="preserve"> számára.</w:t>
            </w:r>
          </w:p>
        </w:tc>
      </w:tr>
      <w:tr w:rsidR="003E1D81" w14:paraId="39BE8BCE" w14:textId="77777777">
        <w:trPr>
          <w:trHeight w:val="309"/>
        </w:trPr>
        <w:tc>
          <w:tcPr>
            <w:tcW w:w="698" w:type="dxa"/>
            <w:shd w:val="clear" w:color="auto" w:fill="C6EFCE"/>
            <w:noWrap/>
          </w:tcPr>
          <w:p w14:paraId="115DDE1D" w14:textId="77777777" w:rsidR="003E1D81" w:rsidRDefault="00EB481C">
            <w:pPr>
              <w:pStyle w:val="P68B1DB1-Normal13"/>
              <w:spacing w:after="0"/>
              <w:jc w:val="center"/>
              <w:rPr>
                <w:rFonts w:eastAsia="Times New Roman" w:cs="Times New Roman"/>
                <w:noProof/>
              </w:rPr>
            </w:pPr>
            <w:r>
              <w:rPr>
                <w:noProof/>
              </w:rPr>
              <w:t>394</w:t>
            </w:r>
          </w:p>
        </w:tc>
        <w:tc>
          <w:tcPr>
            <w:tcW w:w="839" w:type="dxa"/>
            <w:shd w:val="clear" w:color="auto" w:fill="C6EFCE"/>
            <w:noWrap/>
          </w:tcPr>
          <w:p w14:paraId="591EC737" w14:textId="77777777" w:rsidR="003E1D81" w:rsidRDefault="00EB481C">
            <w:pPr>
              <w:pStyle w:val="P68B1DB1-Normal13"/>
              <w:spacing w:after="0"/>
              <w:jc w:val="center"/>
              <w:rPr>
                <w:rFonts w:eastAsia="Times New Roman" w:cs="Times New Roman"/>
                <w:noProof/>
              </w:rPr>
            </w:pPr>
            <w:r>
              <w:rPr>
                <w:noProof/>
              </w:rPr>
              <w:t>C28.R7</w:t>
            </w:r>
          </w:p>
        </w:tc>
        <w:tc>
          <w:tcPr>
            <w:tcW w:w="838" w:type="dxa"/>
            <w:shd w:val="clear" w:color="auto" w:fill="C6EFCE"/>
            <w:noWrap/>
          </w:tcPr>
          <w:p w14:paraId="0CCD6A2A" w14:textId="77777777" w:rsidR="003E1D81" w:rsidRDefault="00EB481C">
            <w:pPr>
              <w:pStyle w:val="P68B1DB1-Normal13"/>
              <w:spacing w:after="0"/>
              <w:jc w:val="center"/>
              <w:rPr>
                <w:rFonts w:eastAsia="Times New Roman" w:cs="Times New Roman"/>
                <w:noProof/>
              </w:rPr>
            </w:pPr>
            <w:r>
              <w:rPr>
                <w:noProof/>
              </w:rPr>
              <w:t>M</w:t>
            </w:r>
          </w:p>
        </w:tc>
        <w:tc>
          <w:tcPr>
            <w:tcW w:w="2792" w:type="dxa"/>
            <w:shd w:val="clear" w:color="auto" w:fill="C6EFCE"/>
            <w:noWrap/>
          </w:tcPr>
          <w:p w14:paraId="3F6E974A" w14:textId="77777777" w:rsidR="003E1D81" w:rsidRDefault="00EB481C">
            <w:pPr>
              <w:pStyle w:val="P68B1DB1-Normal13"/>
              <w:spacing w:after="0"/>
              <w:rPr>
                <w:rFonts w:eastAsia="Times New Roman" w:cs="Times New Roman"/>
                <w:noProof/>
              </w:rPr>
            </w:pPr>
            <w:r>
              <w:rPr>
                <w:noProof/>
              </w:rPr>
              <w:t>A személyi jövedelemadó és a vagyonadó 2021. évi módosításai</w:t>
            </w:r>
          </w:p>
        </w:tc>
        <w:tc>
          <w:tcPr>
            <w:tcW w:w="979" w:type="dxa"/>
            <w:shd w:val="clear" w:color="auto" w:fill="C6EFCE"/>
            <w:noWrap/>
          </w:tcPr>
          <w:p w14:paraId="10AEB70B" w14:textId="77777777" w:rsidR="003E1D81" w:rsidRDefault="00EB481C">
            <w:pPr>
              <w:pStyle w:val="P68B1DB1-Normal13"/>
              <w:spacing w:after="0"/>
              <w:jc w:val="center"/>
              <w:rPr>
                <w:rFonts w:eastAsia="Times New Roman" w:cs="Times New Roman"/>
                <w:noProof/>
              </w:rPr>
            </w:pPr>
            <w:r>
              <w:rPr>
                <w:noProof/>
              </w:rPr>
              <w:t xml:space="preserve">A költségvetési törvény hatálybalépését jelző rendelkezése </w:t>
            </w:r>
          </w:p>
        </w:tc>
        <w:tc>
          <w:tcPr>
            <w:tcW w:w="420" w:type="dxa"/>
            <w:shd w:val="clear" w:color="auto" w:fill="C6EFCE"/>
            <w:noWrap/>
          </w:tcPr>
          <w:p w14:paraId="19B0ED93" w14:textId="77777777" w:rsidR="003E1D81" w:rsidRDefault="00EB481C">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3396EC4E" w14:textId="77777777" w:rsidR="003E1D81" w:rsidRDefault="00EB481C">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3FF44640" w14:textId="77777777" w:rsidR="003E1D81" w:rsidRDefault="00EB481C">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1937DDE5" w14:textId="77777777" w:rsidR="003E1D81" w:rsidRDefault="00EB481C">
            <w:pPr>
              <w:pStyle w:val="P68B1DB1-Normal13"/>
              <w:spacing w:after="0"/>
              <w:jc w:val="center"/>
              <w:rPr>
                <w:rFonts w:eastAsia="Times New Roman" w:cs="Times New Roman"/>
                <w:noProof/>
              </w:rPr>
            </w:pPr>
            <w:r>
              <w:rPr>
                <w:noProof/>
              </w:rPr>
              <w:t>NEGYEDÉV</w:t>
            </w:r>
          </w:p>
        </w:tc>
        <w:tc>
          <w:tcPr>
            <w:tcW w:w="559" w:type="dxa"/>
            <w:shd w:val="clear" w:color="auto" w:fill="C6EFCE"/>
            <w:noWrap/>
          </w:tcPr>
          <w:p w14:paraId="0F48491A" w14:textId="77777777" w:rsidR="003E1D81" w:rsidRDefault="00EB481C">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632912AE" w14:textId="77777777" w:rsidR="003E1D81" w:rsidRDefault="00EB481C">
            <w:pPr>
              <w:pStyle w:val="P68B1DB1-Normal13"/>
              <w:spacing w:after="0"/>
              <w:rPr>
                <w:rFonts w:eastAsia="Times New Roman" w:cs="Times New Roman"/>
                <w:noProof/>
              </w:rPr>
            </w:pPr>
            <w:r>
              <w:rPr>
                <w:noProof/>
              </w:rPr>
              <w:t>A 2021. évi költségvetési törvénnyel, valamint a személyi jövedelemadóval és a vagyonadóval</w:t>
            </w:r>
            <w:r>
              <w:rPr>
                <w:noProof/>
              </w:rPr>
              <w:t xml:space="preserve"> kapcsolatos fejlesztési rendeletek által bevezetett módosítások hatálybalépése az államháztartási hiány csökkentése és a személyi jövedelemadó progresszívebbé tétele érdekében.</w:t>
            </w:r>
          </w:p>
        </w:tc>
      </w:tr>
      <w:tr w:rsidR="003E1D81" w14:paraId="30F44239" w14:textId="77777777">
        <w:trPr>
          <w:trHeight w:val="309"/>
        </w:trPr>
        <w:tc>
          <w:tcPr>
            <w:tcW w:w="698" w:type="dxa"/>
            <w:shd w:val="clear" w:color="auto" w:fill="C6EFCE"/>
            <w:noWrap/>
          </w:tcPr>
          <w:p w14:paraId="5E063B92" w14:textId="77777777" w:rsidR="003E1D81" w:rsidRDefault="00EB481C">
            <w:pPr>
              <w:pStyle w:val="P68B1DB1-Normal13"/>
              <w:spacing w:after="0"/>
              <w:jc w:val="center"/>
              <w:rPr>
                <w:rFonts w:eastAsia="Times New Roman" w:cs="Times New Roman"/>
                <w:noProof/>
              </w:rPr>
            </w:pPr>
            <w:r>
              <w:rPr>
                <w:noProof/>
              </w:rPr>
              <w:t>395</w:t>
            </w:r>
          </w:p>
        </w:tc>
        <w:tc>
          <w:tcPr>
            <w:tcW w:w="839" w:type="dxa"/>
            <w:shd w:val="clear" w:color="auto" w:fill="C6EFCE"/>
            <w:noWrap/>
          </w:tcPr>
          <w:p w14:paraId="302832CC" w14:textId="77777777" w:rsidR="003E1D81" w:rsidRDefault="00EB481C">
            <w:pPr>
              <w:pStyle w:val="P68B1DB1-Normal13"/>
              <w:spacing w:after="0"/>
              <w:jc w:val="center"/>
              <w:rPr>
                <w:rFonts w:eastAsia="Times New Roman" w:cs="Times New Roman"/>
                <w:noProof/>
              </w:rPr>
            </w:pPr>
            <w:r>
              <w:rPr>
                <w:noProof/>
              </w:rPr>
              <w:t>C28.R8</w:t>
            </w:r>
          </w:p>
        </w:tc>
        <w:tc>
          <w:tcPr>
            <w:tcW w:w="838" w:type="dxa"/>
            <w:shd w:val="clear" w:color="auto" w:fill="C6EFCE"/>
            <w:noWrap/>
          </w:tcPr>
          <w:p w14:paraId="11317F06" w14:textId="77777777" w:rsidR="003E1D81" w:rsidRDefault="00EB481C">
            <w:pPr>
              <w:pStyle w:val="P68B1DB1-Normal13"/>
              <w:spacing w:after="0"/>
              <w:jc w:val="center"/>
              <w:rPr>
                <w:rFonts w:eastAsia="Times New Roman" w:cs="Times New Roman"/>
                <w:noProof/>
              </w:rPr>
            </w:pPr>
            <w:r>
              <w:rPr>
                <w:noProof/>
              </w:rPr>
              <w:t>M</w:t>
            </w:r>
          </w:p>
        </w:tc>
        <w:tc>
          <w:tcPr>
            <w:tcW w:w="2792" w:type="dxa"/>
            <w:shd w:val="clear" w:color="auto" w:fill="C6EFCE"/>
            <w:noWrap/>
          </w:tcPr>
          <w:p w14:paraId="32E2C486" w14:textId="77777777" w:rsidR="003E1D81" w:rsidRDefault="00EB481C">
            <w:pPr>
              <w:pStyle w:val="P68B1DB1-Normal13"/>
              <w:spacing w:after="0"/>
              <w:rPr>
                <w:rFonts w:eastAsia="Times New Roman" w:cs="Times New Roman"/>
                <w:noProof/>
              </w:rPr>
            </w:pPr>
            <w:r>
              <w:rPr>
                <w:noProof/>
              </w:rPr>
              <w:t>A társasági adó 2021. évi módosításai</w:t>
            </w:r>
          </w:p>
        </w:tc>
        <w:tc>
          <w:tcPr>
            <w:tcW w:w="979" w:type="dxa"/>
            <w:shd w:val="clear" w:color="auto" w:fill="C6EFCE"/>
            <w:noWrap/>
          </w:tcPr>
          <w:p w14:paraId="409A1D20" w14:textId="77777777" w:rsidR="003E1D81" w:rsidRDefault="00EB481C">
            <w:pPr>
              <w:pStyle w:val="P68B1DB1-Normal13"/>
              <w:spacing w:after="0"/>
              <w:jc w:val="center"/>
              <w:rPr>
                <w:rFonts w:eastAsia="Times New Roman" w:cs="Times New Roman"/>
                <w:noProof/>
              </w:rPr>
            </w:pPr>
            <w:r>
              <w:rPr>
                <w:noProof/>
              </w:rPr>
              <w:t xml:space="preserve">A költségvetési törvény hatálybalépését jelző rendelkezése </w:t>
            </w:r>
          </w:p>
        </w:tc>
        <w:tc>
          <w:tcPr>
            <w:tcW w:w="420" w:type="dxa"/>
            <w:shd w:val="clear" w:color="auto" w:fill="C6EFCE"/>
            <w:noWrap/>
          </w:tcPr>
          <w:p w14:paraId="735C234C" w14:textId="77777777" w:rsidR="003E1D81" w:rsidRDefault="00EB481C">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30C3102C" w14:textId="77777777" w:rsidR="003E1D81" w:rsidRDefault="00EB481C">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465041AC" w14:textId="77777777" w:rsidR="003E1D81" w:rsidRDefault="00EB481C">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0FF44D96" w14:textId="77777777" w:rsidR="003E1D81" w:rsidRDefault="00EB481C">
            <w:pPr>
              <w:pStyle w:val="P68B1DB1-Normal13"/>
              <w:spacing w:after="0"/>
              <w:jc w:val="center"/>
              <w:rPr>
                <w:rFonts w:eastAsia="Times New Roman" w:cs="Times New Roman"/>
                <w:noProof/>
              </w:rPr>
            </w:pPr>
            <w:r>
              <w:rPr>
                <w:noProof/>
              </w:rPr>
              <w:t>NEGYEDÉV</w:t>
            </w:r>
          </w:p>
        </w:tc>
        <w:tc>
          <w:tcPr>
            <w:tcW w:w="559" w:type="dxa"/>
            <w:shd w:val="clear" w:color="auto" w:fill="C6EFCE"/>
            <w:noWrap/>
          </w:tcPr>
          <w:p w14:paraId="2A512EC3" w14:textId="77777777" w:rsidR="003E1D81" w:rsidRDefault="00EB481C">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077BBC52" w14:textId="77777777" w:rsidR="003E1D81" w:rsidRDefault="00EB481C">
            <w:pPr>
              <w:pStyle w:val="P68B1DB1-Normal13"/>
              <w:spacing w:after="0"/>
              <w:rPr>
                <w:rFonts w:eastAsia="Times New Roman" w:cs="Times New Roman"/>
                <w:noProof/>
              </w:rPr>
            </w:pPr>
            <w:r>
              <w:rPr>
                <w:noProof/>
              </w:rPr>
              <w:t>A 2021. évi költségvetési törvény és a társasági adóval kapcsolatos fejlesztési rendeletek által a társasági adóból származó bevételek növelése érdekében bevezetett módosítások</w:t>
            </w:r>
            <w:r>
              <w:rPr>
                <w:noProof/>
              </w:rPr>
              <w:t xml:space="preserve"> hatálybalépése.</w:t>
            </w:r>
          </w:p>
        </w:tc>
      </w:tr>
      <w:tr w:rsidR="003E1D81" w14:paraId="49B73336" w14:textId="77777777">
        <w:trPr>
          <w:trHeight w:val="309"/>
        </w:trPr>
        <w:tc>
          <w:tcPr>
            <w:tcW w:w="698" w:type="dxa"/>
            <w:shd w:val="clear" w:color="auto" w:fill="C6EFCE"/>
            <w:noWrap/>
          </w:tcPr>
          <w:p w14:paraId="259D5389" w14:textId="77777777" w:rsidR="003E1D81" w:rsidRDefault="00EB481C">
            <w:pPr>
              <w:pStyle w:val="P68B1DB1-Normal13"/>
              <w:spacing w:after="0"/>
              <w:jc w:val="center"/>
              <w:rPr>
                <w:rFonts w:eastAsia="Times New Roman" w:cs="Times New Roman"/>
                <w:noProof/>
              </w:rPr>
            </w:pPr>
            <w:r>
              <w:rPr>
                <w:noProof/>
              </w:rPr>
              <w:t>396</w:t>
            </w:r>
          </w:p>
        </w:tc>
        <w:tc>
          <w:tcPr>
            <w:tcW w:w="839" w:type="dxa"/>
            <w:shd w:val="clear" w:color="auto" w:fill="C6EFCE"/>
            <w:noWrap/>
          </w:tcPr>
          <w:p w14:paraId="1F9A658B" w14:textId="77777777" w:rsidR="003E1D81" w:rsidRDefault="00EB481C">
            <w:pPr>
              <w:pStyle w:val="P68B1DB1-Normal13"/>
              <w:spacing w:after="0"/>
              <w:jc w:val="center"/>
              <w:rPr>
                <w:rFonts w:eastAsia="Times New Roman" w:cs="Times New Roman"/>
                <w:noProof/>
              </w:rPr>
            </w:pPr>
            <w:r>
              <w:rPr>
                <w:noProof/>
              </w:rPr>
              <w:t>C28.R9</w:t>
            </w:r>
          </w:p>
        </w:tc>
        <w:tc>
          <w:tcPr>
            <w:tcW w:w="838" w:type="dxa"/>
            <w:shd w:val="clear" w:color="auto" w:fill="C6EFCE"/>
            <w:noWrap/>
          </w:tcPr>
          <w:p w14:paraId="013656DF" w14:textId="77777777" w:rsidR="003E1D81" w:rsidRDefault="00EB481C">
            <w:pPr>
              <w:pStyle w:val="P68B1DB1-Normal13"/>
              <w:spacing w:after="0"/>
              <w:jc w:val="center"/>
              <w:rPr>
                <w:rFonts w:eastAsia="Times New Roman" w:cs="Times New Roman"/>
                <w:noProof/>
              </w:rPr>
            </w:pPr>
            <w:r>
              <w:rPr>
                <w:noProof/>
              </w:rPr>
              <w:t>M</w:t>
            </w:r>
          </w:p>
        </w:tc>
        <w:tc>
          <w:tcPr>
            <w:tcW w:w="2792" w:type="dxa"/>
            <w:shd w:val="clear" w:color="auto" w:fill="C6EFCE"/>
            <w:noWrap/>
          </w:tcPr>
          <w:p w14:paraId="1CAF6688" w14:textId="77777777" w:rsidR="003E1D81" w:rsidRDefault="00EB481C">
            <w:pPr>
              <w:pStyle w:val="P68B1DB1-Normal13"/>
              <w:spacing w:after="0"/>
              <w:rPr>
                <w:rFonts w:eastAsia="Times New Roman" w:cs="Times New Roman"/>
                <w:noProof/>
              </w:rPr>
            </w:pPr>
            <w:r>
              <w:rPr>
                <w:noProof/>
              </w:rPr>
              <w:t>A közvetett adók módosításai 2021-ben</w:t>
            </w:r>
          </w:p>
        </w:tc>
        <w:tc>
          <w:tcPr>
            <w:tcW w:w="979" w:type="dxa"/>
            <w:shd w:val="clear" w:color="auto" w:fill="C6EFCE"/>
            <w:noWrap/>
          </w:tcPr>
          <w:p w14:paraId="0FFD27C2" w14:textId="77777777" w:rsidR="003E1D81" w:rsidRDefault="00EB481C">
            <w:pPr>
              <w:pStyle w:val="P68B1DB1-Normal13"/>
              <w:spacing w:after="0"/>
              <w:jc w:val="center"/>
              <w:rPr>
                <w:rFonts w:eastAsia="Times New Roman" w:cs="Times New Roman"/>
                <w:noProof/>
              </w:rPr>
            </w:pPr>
            <w:r>
              <w:rPr>
                <w:noProof/>
              </w:rPr>
              <w:t xml:space="preserve">A költségvetési törvény hatálybalépését jelző rendelkezése </w:t>
            </w:r>
          </w:p>
        </w:tc>
        <w:tc>
          <w:tcPr>
            <w:tcW w:w="420" w:type="dxa"/>
            <w:shd w:val="clear" w:color="auto" w:fill="C6EFCE"/>
            <w:noWrap/>
          </w:tcPr>
          <w:p w14:paraId="7DEAECDE" w14:textId="77777777" w:rsidR="003E1D81" w:rsidRDefault="00EB481C">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388DE95D" w14:textId="77777777" w:rsidR="003E1D81" w:rsidRDefault="00EB481C">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373E5573" w14:textId="77777777" w:rsidR="003E1D81" w:rsidRDefault="00EB481C">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6D60ED3F" w14:textId="77777777" w:rsidR="003E1D81" w:rsidRDefault="00EB481C">
            <w:pPr>
              <w:pStyle w:val="P68B1DB1-Normal13"/>
              <w:spacing w:after="0"/>
              <w:jc w:val="center"/>
              <w:rPr>
                <w:rFonts w:eastAsia="Times New Roman" w:cs="Times New Roman"/>
                <w:noProof/>
              </w:rPr>
            </w:pPr>
            <w:r>
              <w:rPr>
                <w:noProof/>
              </w:rPr>
              <w:t>NEGYEDÉV</w:t>
            </w:r>
          </w:p>
        </w:tc>
        <w:tc>
          <w:tcPr>
            <w:tcW w:w="559" w:type="dxa"/>
            <w:shd w:val="clear" w:color="auto" w:fill="C6EFCE"/>
            <w:noWrap/>
          </w:tcPr>
          <w:p w14:paraId="3A7A8D3D" w14:textId="77777777" w:rsidR="003E1D81" w:rsidRDefault="00EB481C">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0A8920AD" w14:textId="77777777" w:rsidR="003E1D81" w:rsidRDefault="00EB481C">
            <w:pPr>
              <w:pStyle w:val="P68B1DB1-Normal13"/>
              <w:spacing w:after="0"/>
              <w:rPr>
                <w:rFonts w:eastAsia="Times New Roman" w:cs="Times New Roman"/>
                <w:noProof/>
              </w:rPr>
            </w:pPr>
            <w:r>
              <w:rPr>
                <w:noProof/>
              </w:rPr>
              <w:t>A 2021. évi költségvetési törvény és a közvetett adókkal kapcsolatos fejlesztési rendeletek által bevezetett módosítások hatálybalépése, amelyek célja az egészségesebb étrend előmozdítása bizonyos cukortartalmú italok fogyasztásának csökkentése révén, vala</w:t>
            </w:r>
            <w:r>
              <w:rPr>
                <w:noProof/>
              </w:rPr>
              <w:t>mint a központi kormányzati bevételeknek a biztosítási díjakra kivetett adó emelése révén történő növelése.</w:t>
            </w:r>
          </w:p>
        </w:tc>
      </w:tr>
    </w:tbl>
    <w:p w14:paraId="14347876" w14:textId="77777777" w:rsidR="003E1D81" w:rsidRDefault="003E1D81">
      <w:pPr>
        <w:pStyle w:val="SectionTitle"/>
        <w:jc w:val="left"/>
        <w:rPr>
          <w:rFonts w:ascii="Times New Roman" w:hAnsi="Times New Roman" w:cs="Times New Roman"/>
          <w:noProof/>
        </w:rPr>
        <w:sectPr w:rsidR="003E1D81" w:rsidSect="00C94F66">
          <w:headerReference w:type="even" r:id="rId525"/>
          <w:headerReference w:type="default" r:id="rId526"/>
          <w:footerReference w:type="even" r:id="rId527"/>
          <w:footerReference w:type="default" r:id="rId528"/>
          <w:headerReference w:type="first" r:id="rId529"/>
          <w:footerReference w:type="first" r:id="rId530"/>
          <w:pgSz w:w="16839" w:h="11907" w:orient="landscape"/>
          <w:pgMar w:top="1417" w:right="1134" w:bottom="1417" w:left="1134" w:header="709" w:footer="709" w:gutter="0"/>
          <w:cols w:space="720"/>
          <w:docGrid w:linePitch="360"/>
        </w:sectPr>
      </w:pPr>
    </w:p>
    <w:p w14:paraId="184081BD" w14:textId="77777777" w:rsidR="003E1D81" w:rsidRDefault="003E1D81">
      <w:pPr>
        <w:pStyle w:val="Text1"/>
        <w:rPr>
          <w:rFonts w:ascii="Times New Roman" w:hAnsi="Times New Roman" w:cs="Times New Roman"/>
          <w:noProof/>
        </w:rPr>
      </w:pPr>
    </w:p>
    <w:p w14:paraId="7DBDFDE2" w14:textId="6FA1EDBA" w:rsidR="003E1D81" w:rsidRDefault="00EB481C">
      <w:pPr>
        <w:pStyle w:val="P68B1DB1-Text138"/>
        <w:ind w:left="0" w:firstLine="720"/>
        <w:rPr>
          <w:rFonts w:cs="Times New Roman"/>
          <w:noProof/>
        </w:rPr>
      </w:pPr>
      <w:r>
        <w:rPr>
          <w:noProof/>
        </w:rPr>
        <w:t>AB.3.</w:t>
      </w:r>
      <w:r>
        <w:rPr>
          <w:noProof/>
        </w:rPr>
        <w:tab/>
        <w:t>A hiteltámogatással kapcsolatos reformok és beruházások ismertetése</w:t>
      </w:r>
    </w:p>
    <w:p w14:paraId="2EEB6566" w14:textId="77777777" w:rsidR="003E1D81" w:rsidRDefault="00EB481C">
      <w:pPr>
        <w:pStyle w:val="P68B1DB1-Normal6"/>
        <w:spacing w:before="120" w:after="120" w:line="240" w:lineRule="auto"/>
        <w:jc w:val="both"/>
        <w:rPr>
          <w:rFonts w:cs="Times New Roman"/>
          <w:noProof/>
        </w:rPr>
      </w:pPr>
      <w:r>
        <w:rPr>
          <w:noProof/>
        </w:rPr>
        <w:t>Beruházás</w:t>
      </w:r>
      <w:r>
        <w:rPr>
          <w:noProof/>
        </w:rPr>
        <w:t xml:space="preserve"> (C28.I1) – Az energiahatékonysági felújításokra, valamint az elektromos járművek és töltőállomások beszerzésére irányuló költségvetési ösztönzők</w:t>
      </w:r>
    </w:p>
    <w:p w14:paraId="179DBB9F" w14:textId="77777777" w:rsidR="003E1D81" w:rsidRDefault="00EB481C">
      <w:pPr>
        <w:pStyle w:val="P68B1DB1-Text119"/>
        <w:ind w:left="0"/>
        <w:rPr>
          <w:rFonts w:cs="Times New Roman"/>
          <w:noProof/>
        </w:rPr>
      </w:pPr>
      <w:r>
        <w:rPr>
          <w:noProof/>
        </w:rPr>
        <w:t>Ennek az intézkedésnek az a célja, hogy adókedvezményeket biztosítson i. az energiahatékonyság javítását célzó</w:t>
      </w:r>
      <w:r>
        <w:rPr>
          <w:noProof/>
        </w:rPr>
        <w:t xml:space="preserve"> épületfelújítási munkálatok előmozdítása érdekében; és ii. az elektromos járművek és töltőállomások bevezetésének ösztönzése. Az intézkedés a C1.I2 és a C2.I1. beruházásokra épül.</w:t>
      </w:r>
    </w:p>
    <w:p w14:paraId="65ECF819" w14:textId="0BF7FB2F" w:rsidR="003E1D81" w:rsidRDefault="00EB481C">
      <w:pPr>
        <w:pStyle w:val="P68B1DB1-Text119"/>
        <w:ind w:left="0"/>
        <w:rPr>
          <w:rFonts w:cs="Times New Roman"/>
          <w:noProof/>
        </w:rPr>
      </w:pPr>
      <w:r>
        <w:rPr>
          <w:noProof/>
        </w:rPr>
        <w:t>Az intézkedésnek olyan felújítási intézkedésekhez kell vezetnie, amelyek ja</w:t>
      </w:r>
      <w:r>
        <w:rPr>
          <w:noProof/>
        </w:rPr>
        <w:t>vítják az energiahatékonyságot és átlagosan legalább 30%-kal</w:t>
      </w:r>
      <w:bookmarkStart w:id="60" w:name="_Hlk145838357"/>
      <w:r>
        <w:rPr>
          <w:noProof/>
        </w:rPr>
        <w:t xml:space="preserve"> csökkentik az adófizetők primerenergia-fogyasztását. </w:t>
      </w:r>
    </w:p>
    <w:bookmarkEnd w:id="60"/>
    <w:p w14:paraId="4EF6C560" w14:textId="25C5FB97" w:rsidR="003E1D81" w:rsidRDefault="00EB481C">
      <w:pPr>
        <w:pStyle w:val="P68B1DB1-Text119"/>
        <w:ind w:left="0"/>
        <w:rPr>
          <w:rFonts w:cs="Times New Roman"/>
          <w:noProof/>
        </w:rPr>
      </w:pPr>
      <w:r>
        <w:rPr>
          <w:noProof/>
        </w:rPr>
        <w:t>Ezen túlmenően ez az intézkedés adókedvezményeket biztosít a háztartások számára elektromos és hibrid járművek vásárlásához és töltőállomások</w:t>
      </w:r>
      <w:r>
        <w:rPr>
          <w:noProof/>
        </w:rPr>
        <w:t xml:space="preserve"> telepítéséhez. Az adókedvezmények olyan adókedvezményekből állnak, amelyek célja, hogy támogassák a háztartásokat új hibrid és elektromos járművek (BEV, REEV, PHEV, FCEV, FCHV) és töltőállomások vásárlásában.</w:t>
      </w:r>
    </w:p>
    <w:p w14:paraId="6BFEDC19" w14:textId="17E2B1FF" w:rsidR="003E1D81" w:rsidRDefault="00EB481C">
      <w:pPr>
        <w:pStyle w:val="Text1"/>
        <w:ind w:left="0"/>
        <w:rPr>
          <w:rFonts w:ascii="Times New Roman" w:hAnsi="Times New Roman" w:cs="Times New Roman"/>
          <w:noProof/>
        </w:rPr>
      </w:pPr>
      <w:r>
        <w:rPr>
          <w:rFonts w:ascii="Times New Roman" w:hAnsi="Times New Roman"/>
          <w:noProof/>
        </w:rPr>
        <w:t>Annak biztosítása érdekében, hogy az intézkedé</w:t>
      </w:r>
      <w:r>
        <w:rPr>
          <w:rFonts w:ascii="Times New Roman" w:hAnsi="Times New Roman"/>
          <w:noProof/>
        </w:rPr>
        <w:t>s megfeleljen a jelentős károkozás elkerülését célzó elvről szóló technikai iránymutatásnak (2021/C58/01), az adóügyi ösztönzőkre vonatkozó kiválasztási kritériumok csak kibocsátásmentes vagy alacsony kibocsátású járművek vásárlását finanszírozhatják</w:t>
      </w:r>
      <w:r>
        <w:rPr>
          <w:rStyle w:val="FootnoteReference"/>
          <w:rFonts w:ascii="Times New Roman" w:hAnsi="Times New Roman" w:cs="Times New Roman"/>
          <w:noProof/>
        </w:rPr>
        <w:footnoteReference w:id="212"/>
      </w:r>
      <w:r>
        <w:rPr>
          <w:rFonts w:ascii="Times New Roman" w:hAnsi="Times New Roman"/>
          <w:noProof/>
        </w:rPr>
        <w:t>.</w:t>
      </w:r>
    </w:p>
    <w:p w14:paraId="1DF51ED9" w14:textId="77777777" w:rsidR="003E1D81" w:rsidRDefault="00EB481C">
      <w:pPr>
        <w:pStyle w:val="P68B1DB1-Text119"/>
        <w:ind w:left="0"/>
        <w:rPr>
          <w:rFonts w:cs="Times New Roman"/>
          <w:noProof/>
        </w:rPr>
      </w:pPr>
      <w:r>
        <w:rPr>
          <w:noProof/>
        </w:rPr>
        <w:t xml:space="preserve">Az </w:t>
      </w:r>
      <w:r>
        <w:rPr>
          <w:noProof/>
        </w:rPr>
        <w:t>intézkedések végrehajtását 2026. augusztus 31-ig be kell fejezni.</w:t>
      </w:r>
    </w:p>
    <w:p w14:paraId="533113CE" w14:textId="1F20636F" w:rsidR="003E1D81" w:rsidRDefault="00EB481C">
      <w:pPr>
        <w:pStyle w:val="P68B1DB1-Text120"/>
        <w:ind w:left="720"/>
        <w:rPr>
          <w:rFonts w:cs="Times New Roman"/>
          <w:b/>
          <w:noProof/>
        </w:rPr>
      </w:pPr>
      <w:r>
        <w:rPr>
          <w:b/>
          <w:noProof/>
        </w:rPr>
        <w:t>AB.4.</w:t>
      </w:r>
      <w:r>
        <w:rPr>
          <w:noProof/>
        </w:rPr>
        <w:tab/>
      </w:r>
      <w:r>
        <w:rPr>
          <w:b/>
          <w:noProof/>
        </w:rPr>
        <w:t>A hiteltámogatás nyomon követésének és végrehajtásának mérföldkövei, céljai, mutatói és ütemterve</w:t>
      </w:r>
    </w:p>
    <w:p w14:paraId="00A56A71" w14:textId="5EB918D7" w:rsidR="003E1D81" w:rsidRDefault="00EB481C">
      <w:pPr>
        <w:pStyle w:val="P68B1DB1-Text119"/>
        <w:ind w:left="0"/>
        <w:rPr>
          <w:rFonts w:cs="Times New Roman"/>
          <w:noProof/>
        </w:rPr>
      </w:pPr>
      <w:r>
        <w:rPr>
          <w:i/>
          <w:noProof/>
        </w:rPr>
        <w:t>Táblázat alább.</w:t>
      </w:r>
      <w:r>
        <w:rPr>
          <w:noProof/>
        </w:rPr>
        <w:t xml:space="preserve"> </w:t>
      </w:r>
      <w:r>
        <w:rPr>
          <w:i/>
          <w:noProof/>
        </w:rPr>
        <w:t>Az alapforgatókönyv valamennyi mutató esetében 2020. február 1-je, kiv</w:t>
      </w:r>
      <w:r>
        <w:rPr>
          <w:i/>
          <w:noProof/>
        </w:rPr>
        <w:t>éve, ha az intézkedés leírása másként jelzi. A táblázatban szereplő összegek nem tartalmazzák a héát.</w:t>
      </w:r>
      <w:r>
        <w:rPr>
          <w:noProof/>
        </w:rPr>
        <w:t xml:space="preserve"> </w:t>
      </w:r>
    </w:p>
    <w:p w14:paraId="64F128F2" w14:textId="77777777" w:rsidR="003E1D81" w:rsidRDefault="003E1D81">
      <w:pPr>
        <w:pStyle w:val="Text1"/>
        <w:ind w:left="0"/>
        <w:rPr>
          <w:rFonts w:ascii="Times New Roman" w:hAnsi="Times New Roman" w:cs="Times New Roman"/>
          <w:noProof/>
        </w:rPr>
        <w:sectPr w:rsidR="003E1D81" w:rsidSect="00C94F66">
          <w:headerReference w:type="even" r:id="rId531"/>
          <w:headerReference w:type="default" r:id="rId532"/>
          <w:footerReference w:type="even" r:id="rId533"/>
          <w:footerReference w:type="default" r:id="rId534"/>
          <w:headerReference w:type="first" r:id="rId535"/>
          <w:footerReference w:type="first" r:id="rId536"/>
          <w:pgSz w:w="11907" w:h="16839"/>
          <w:pgMar w:top="1134" w:right="1417" w:bottom="1134" w:left="1417" w:header="709" w:footer="709" w:gutter="0"/>
          <w:cols w:space="720"/>
          <w:docGrid w:linePitch="360"/>
        </w:sectPr>
      </w:pPr>
    </w:p>
    <w:p w14:paraId="12BCB917" w14:textId="77777777" w:rsidR="003E1D81" w:rsidRDefault="003E1D81">
      <w:pPr>
        <w:pStyle w:val="Text1"/>
        <w:ind w:left="0"/>
        <w:rPr>
          <w:rFonts w:ascii="Times New Roman" w:hAnsi="Times New Roman" w:cs="Times New Roman"/>
          <w:noProof/>
        </w:rPr>
      </w:pPr>
    </w:p>
    <w:p w14:paraId="6D1558E1" w14:textId="77777777" w:rsidR="003E1D81" w:rsidRDefault="003E1D81">
      <w:pPr>
        <w:pStyle w:val="Text1"/>
        <w:rPr>
          <w:rFonts w:ascii="Times New Roman" w:hAnsi="Times New Roman" w:cs="Times New Roman"/>
          <w:noProof/>
        </w:rPr>
      </w:pPr>
    </w:p>
    <w:tbl>
      <w:tblPr>
        <w:tblW w:w="152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1"/>
        <w:gridCol w:w="839"/>
        <w:gridCol w:w="838"/>
        <w:gridCol w:w="1675"/>
        <w:gridCol w:w="1118"/>
        <w:gridCol w:w="666"/>
        <w:gridCol w:w="732"/>
        <w:gridCol w:w="699"/>
        <w:gridCol w:w="419"/>
        <w:gridCol w:w="559"/>
        <w:gridCol w:w="7031"/>
      </w:tblGrid>
      <w:tr w:rsidR="003E1D81" w14:paraId="0202CF4E" w14:textId="77777777">
        <w:trPr>
          <w:trHeight w:val="309"/>
          <w:tblHeader/>
        </w:trPr>
        <w:tc>
          <w:tcPr>
            <w:tcW w:w="701" w:type="dxa"/>
            <w:tcBorders>
              <w:bottom w:val="nil"/>
            </w:tcBorders>
            <w:shd w:val="clear" w:color="auto" w:fill="C6D9F1" w:themeFill="text2" w:themeFillTint="33"/>
            <w:noWrap/>
            <w:vAlign w:val="center"/>
          </w:tcPr>
          <w:p w14:paraId="66FFB269" w14:textId="77777777" w:rsidR="003E1D81" w:rsidRDefault="00EB481C">
            <w:pPr>
              <w:pStyle w:val="P68B1DB1-Normal12"/>
              <w:spacing w:after="0" w:line="240" w:lineRule="auto"/>
              <w:jc w:val="center"/>
              <w:rPr>
                <w:rFonts w:cs="Times New Roman"/>
                <w:noProof/>
              </w:rPr>
            </w:pPr>
            <w:r>
              <w:rPr>
                <w:noProof/>
              </w:rPr>
              <w:t>Szám</w:t>
            </w:r>
          </w:p>
        </w:tc>
        <w:tc>
          <w:tcPr>
            <w:tcW w:w="839" w:type="dxa"/>
            <w:tcBorders>
              <w:bottom w:val="nil"/>
            </w:tcBorders>
            <w:shd w:val="clear" w:color="auto" w:fill="C6D9F1" w:themeFill="text2" w:themeFillTint="33"/>
            <w:noWrap/>
            <w:vAlign w:val="center"/>
          </w:tcPr>
          <w:p w14:paraId="7A6C5DF4" w14:textId="77777777" w:rsidR="003E1D81" w:rsidRDefault="00EB481C">
            <w:pPr>
              <w:pStyle w:val="P68B1DB1-Normal12"/>
              <w:spacing w:after="0" w:line="240" w:lineRule="auto"/>
              <w:jc w:val="center"/>
              <w:rPr>
                <w:rFonts w:cs="Times New Roman"/>
                <w:noProof/>
              </w:rPr>
            </w:pPr>
            <w:r>
              <w:rPr>
                <w:noProof/>
              </w:rPr>
              <w:t>Intézkedés</w:t>
            </w:r>
          </w:p>
        </w:tc>
        <w:tc>
          <w:tcPr>
            <w:tcW w:w="838" w:type="dxa"/>
            <w:tcBorders>
              <w:bottom w:val="nil"/>
            </w:tcBorders>
            <w:shd w:val="clear" w:color="auto" w:fill="C6D9F1" w:themeFill="text2" w:themeFillTint="33"/>
            <w:noWrap/>
            <w:vAlign w:val="center"/>
          </w:tcPr>
          <w:p w14:paraId="2A5D447D" w14:textId="77777777" w:rsidR="003E1D81" w:rsidRDefault="00EB481C">
            <w:pPr>
              <w:pStyle w:val="P68B1DB1-Normal12"/>
              <w:spacing w:after="0" w:line="240" w:lineRule="auto"/>
              <w:jc w:val="center"/>
              <w:rPr>
                <w:rFonts w:cs="Times New Roman"/>
                <w:noProof/>
              </w:rPr>
            </w:pPr>
            <w:r>
              <w:rPr>
                <w:noProof/>
              </w:rPr>
              <w:t>Mérföldkő</w:t>
            </w:r>
            <w:r>
              <w:rPr>
                <w:noProof/>
              </w:rPr>
              <w:br/>
              <w:t xml:space="preserve"> /Cél</w:t>
            </w:r>
          </w:p>
        </w:tc>
        <w:tc>
          <w:tcPr>
            <w:tcW w:w="1675" w:type="dxa"/>
            <w:tcBorders>
              <w:bottom w:val="nil"/>
            </w:tcBorders>
            <w:shd w:val="clear" w:color="auto" w:fill="C6D9F1" w:themeFill="text2" w:themeFillTint="33"/>
            <w:noWrap/>
            <w:vAlign w:val="center"/>
          </w:tcPr>
          <w:p w14:paraId="57194A26" w14:textId="77777777" w:rsidR="003E1D81" w:rsidRDefault="00EB481C">
            <w:pPr>
              <w:pStyle w:val="P68B1DB1-Normal12"/>
              <w:spacing w:after="0" w:line="240" w:lineRule="auto"/>
              <w:jc w:val="center"/>
              <w:rPr>
                <w:rFonts w:cs="Times New Roman"/>
                <w:noProof/>
              </w:rPr>
            </w:pPr>
            <w:r>
              <w:rPr>
                <w:noProof/>
              </w:rPr>
              <w:t>Név</w:t>
            </w:r>
          </w:p>
        </w:tc>
        <w:tc>
          <w:tcPr>
            <w:tcW w:w="1118" w:type="dxa"/>
            <w:tcBorders>
              <w:bottom w:val="nil"/>
            </w:tcBorders>
            <w:shd w:val="clear" w:color="auto" w:fill="C6D9F1" w:themeFill="text2" w:themeFillTint="33"/>
            <w:noWrap/>
            <w:vAlign w:val="center"/>
          </w:tcPr>
          <w:p w14:paraId="003E6C60" w14:textId="77777777" w:rsidR="003E1D81" w:rsidRDefault="00EB481C">
            <w:pPr>
              <w:pStyle w:val="P68B1DB1-Normal12"/>
              <w:spacing w:after="0" w:line="240" w:lineRule="auto"/>
              <w:jc w:val="center"/>
              <w:rPr>
                <w:rFonts w:cs="Times New Roman"/>
                <w:noProof/>
              </w:rPr>
            </w:pPr>
            <w:r>
              <w:rPr>
                <w:noProof/>
              </w:rPr>
              <w:t>A mérföldkövek minőségi mutatója</w:t>
            </w:r>
          </w:p>
        </w:tc>
        <w:tc>
          <w:tcPr>
            <w:tcW w:w="2097" w:type="dxa"/>
            <w:gridSpan w:val="3"/>
            <w:shd w:val="clear" w:color="auto" w:fill="C6D9F1" w:themeFill="text2" w:themeFillTint="33"/>
            <w:noWrap/>
            <w:vAlign w:val="center"/>
          </w:tcPr>
          <w:p w14:paraId="75D046CF" w14:textId="77777777" w:rsidR="003E1D81" w:rsidRDefault="00EB481C">
            <w:pPr>
              <w:pStyle w:val="P68B1DB1-Normal12"/>
              <w:spacing w:after="0" w:line="240" w:lineRule="auto"/>
              <w:jc w:val="center"/>
              <w:rPr>
                <w:rFonts w:cs="Times New Roman"/>
                <w:noProof/>
              </w:rPr>
            </w:pPr>
            <w:r>
              <w:rPr>
                <w:noProof/>
              </w:rPr>
              <w:t>A célérték mennyiségi</w:t>
            </w:r>
            <w:r>
              <w:rPr>
                <w:noProof/>
              </w:rPr>
              <w:t xml:space="preserve"> mutatója</w:t>
            </w:r>
          </w:p>
        </w:tc>
        <w:tc>
          <w:tcPr>
            <w:tcW w:w="978" w:type="dxa"/>
            <w:gridSpan w:val="2"/>
            <w:shd w:val="clear" w:color="auto" w:fill="C6D9F1" w:themeFill="text2" w:themeFillTint="33"/>
            <w:noWrap/>
            <w:vAlign w:val="center"/>
          </w:tcPr>
          <w:p w14:paraId="52396C49" w14:textId="77777777" w:rsidR="003E1D81" w:rsidRDefault="00EB481C">
            <w:pPr>
              <w:pStyle w:val="P68B1DB1-Normal12"/>
              <w:spacing w:after="0" w:line="240" w:lineRule="auto"/>
              <w:jc w:val="center"/>
              <w:rPr>
                <w:rFonts w:cs="Times New Roman"/>
                <w:noProof/>
              </w:rPr>
            </w:pPr>
            <w:r>
              <w:rPr>
                <w:noProof/>
              </w:rPr>
              <w:t>Idő</w:t>
            </w:r>
          </w:p>
        </w:tc>
        <w:tc>
          <w:tcPr>
            <w:tcW w:w="7031" w:type="dxa"/>
            <w:tcBorders>
              <w:bottom w:val="nil"/>
            </w:tcBorders>
            <w:shd w:val="clear" w:color="auto" w:fill="C6D9F1" w:themeFill="text2" w:themeFillTint="33"/>
            <w:noWrap/>
            <w:vAlign w:val="center"/>
          </w:tcPr>
          <w:p w14:paraId="7FFC02C2" w14:textId="77777777" w:rsidR="003E1D81" w:rsidRDefault="00EB481C">
            <w:pPr>
              <w:pStyle w:val="P68B1DB1-Normal12"/>
              <w:spacing w:after="0" w:line="240" w:lineRule="auto"/>
              <w:jc w:val="center"/>
              <w:rPr>
                <w:rFonts w:cs="Times New Roman"/>
                <w:noProof/>
              </w:rPr>
            </w:pPr>
            <w:r>
              <w:rPr>
                <w:noProof/>
              </w:rPr>
              <w:t>Az egyes mérföldkövek és célértékek leírása</w:t>
            </w:r>
          </w:p>
        </w:tc>
      </w:tr>
      <w:tr w:rsidR="003E1D81" w14:paraId="3465697A" w14:textId="77777777">
        <w:trPr>
          <w:trHeight w:val="309"/>
          <w:tblHeader/>
        </w:trPr>
        <w:tc>
          <w:tcPr>
            <w:tcW w:w="701" w:type="dxa"/>
            <w:tcBorders>
              <w:top w:val="nil"/>
              <w:left w:val="single" w:sz="4" w:space="0" w:color="auto"/>
              <w:bottom w:val="single" w:sz="4" w:space="0" w:color="auto"/>
              <w:right w:val="single" w:sz="4" w:space="0" w:color="auto"/>
            </w:tcBorders>
            <w:shd w:val="clear" w:color="auto" w:fill="C6D9F1" w:themeFill="text2" w:themeFillTint="33"/>
            <w:noWrap/>
          </w:tcPr>
          <w:p w14:paraId="40D79C82" w14:textId="77777777" w:rsidR="003E1D81" w:rsidRDefault="003E1D81">
            <w:pPr>
              <w:spacing w:after="0" w:line="240" w:lineRule="auto"/>
              <w:jc w:val="center"/>
              <w:rPr>
                <w:rFonts w:ascii="Times New Roman" w:hAnsi="Times New Roman" w:cs="Times New Roman"/>
                <w:b/>
                <w:noProof/>
                <w:sz w:val="18"/>
              </w:rPr>
            </w:pPr>
          </w:p>
        </w:tc>
        <w:tc>
          <w:tcPr>
            <w:tcW w:w="839" w:type="dxa"/>
            <w:tcBorders>
              <w:top w:val="nil"/>
              <w:left w:val="single" w:sz="4" w:space="0" w:color="auto"/>
              <w:bottom w:val="single" w:sz="4" w:space="0" w:color="auto"/>
              <w:right w:val="single" w:sz="4" w:space="0" w:color="auto"/>
            </w:tcBorders>
            <w:shd w:val="clear" w:color="auto" w:fill="C6D9F1" w:themeFill="text2" w:themeFillTint="33"/>
            <w:noWrap/>
          </w:tcPr>
          <w:p w14:paraId="2A9BF169" w14:textId="77777777" w:rsidR="003E1D81" w:rsidRDefault="003E1D81">
            <w:pPr>
              <w:spacing w:after="0" w:line="240" w:lineRule="auto"/>
              <w:jc w:val="center"/>
              <w:rPr>
                <w:rFonts w:ascii="Times New Roman" w:hAnsi="Times New Roman" w:cs="Times New Roman"/>
                <w:b/>
                <w:noProof/>
                <w:sz w:val="18"/>
              </w:rPr>
            </w:pPr>
          </w:p>
        </w:tc>
        <w:tc>
          <w:tcPr>
            <w:tcW w:w="838" w:type="dxa"/>
            <w:tcBorders>
              <w:top w:val="nil"/>
              <w:left w:val="single" w:sz="4" w:space="0" w:color="auto"/>
              <w:bottom w:val="single" w:sz="4" w:space="0" w:color="auto"/>
              <w:right w:val="single" w:sz="4" w:space="0" w:color="auto"/>
            </w:tcBorders>
            <w:shd w:val="clear" w:color="auto" w:fill="C6D9F1" w:themeFill="text2" w:themeFillTint="33"/>
            <w:noWrap/>
          </w:tcPr>
          <w:p w14:paraId="3B890CE1" w14:textId="77777777" w:rsidR="003E1D81" w:rsidRDefault="003E1D81">
            <w:pPr>
              <w:spacing w:after="0" w:line="240" w:lineRule="auto"/>
              <w:jc w:val="center"/>
              <w:rPr>
                <w:rFonts w:ascii="Times New Roman" w:hAnsi="Times New Roman" w:cs="Times New Roman"/>
                <w:b/>
                <w:noProof/>
                <w:sz w:val="18"/>
              </w:rPr>
            </w:pPr>
          </w:p>
        </w:tc>
        <w:tc>
          <w:tcPr>
            <w:tcW w:w="1675" w:type="dxa"/>
            <w:tcBorders>
              <w:top w:val="nil"/>
              <w:left w:val="single" w:sz="4" w:space="0" w:color="auto"/>
              <w:bottom w:val="single" w:sz="4" w:space="0" w:color="auto"/>
              <w:right w:val="single" w:sz="4" w:space="0" w:color="auto"/>
            </w:tcBorders>
            <w:shd w:val="clear" w:color="auto" w:fill="C6D9F1" w:themeFill="text2" w:themeFillTint="33"/>
            <w:noWrap/>
          </w:tcPr>
          <w:p w14:paraId="13BFF55F" w14:textId="77777777" w:rsidR="003E1D81" w:rsidRDefault="003E1D81">
            <w:pPr>
              <w:spacing w:after="0" w:line="240" w:lineRule="auto"/>
              <w:rPr>
                <w:rFonts w:ascii="Times New Roman" w:hAnsi="Times New Roman" w:cs="Times New Roman"/>
                <w:b/>
                <w:noProof/>
                <w:sz w:val="18"/>
              </w:rPr>
            </w:pPr>
          </w:p>
        </w:tc>
        <w:tc>
          <w:tcPr>
            <w:tcW w:w="1118" w:type="dxa"/>
            <w:tcBorders>
              <w:top w:val="nil"/>
              <w:left w:val="single" w:sz="4" w:space="0" w:color="auto"/>
              <w:bottom w:val="single" w:sz="4" w:space="0" w:color="auto"/>
              <w:right w:val="single" w:sz="4" w:space="0" w:color="auto"/>
            </w:tcBorders>
            <w:shd w:val="clear" w:color="auto" w:fill="C6D9F1" w:themeFill="text2" w:themeFillTint="33"/>
            <w:noWrap/>
          </w:tcPr>
          <w:p w14:paraId="46350AFD" w14:textId="77777777" w:rsidR="003E1D81" w:rsidRDefault="003E1D81">
            <w:pPr>
              <w:spacing w:after="0" w:line="240" w:lineRule="auto"/>
              <w:jc w:val="center"/>
              <w:rPr>
                <w:rFonts w:ascii="Times New Roman" w:hAnsi="Times New Roman" w:cs="Times New Roman"/>
                <w:b/>
                <w:noProof/>
                <w:sz w:val="18"/>
              </w:rPr>
            </w:pPr>
          </w:p>
        </w:tc>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BF35EB4" w14:textId="77777777" w:rsidR="003E1D81" w:rsidRDefault="00EB481C">
            <w:pPr>
              <w:pStyle w:val="P68B1DB1-Normal12"/>
              <w:spacing w:after="0" w:line="240" w:lineRule="auto"/>
              <w:jc w:val="center"/>
              <w:rPr>
                <w:rFonts w:cs="Times New Roman"/>
                <w:noProof/>
              </w:rPr>
            </w:pPr>
            <w:r>
              <w:rPr>
                <w:noProof/>
              </w:rPr>
              <w:t>Egység</w:t>
            </w:r>
          </w:p>
        </w:tc>
        <w:tc>
          <w:tcPr>
            <w:tcW w:w="7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2851494" w14:textId="77777777" w:rsidR="003E1D81" w:rsidRDefault="00EB481C">
            <w:pPr>
              <w:pStyle w:val="P68B1DB1-Normal12"/>
              <w:spacing w:after="0" w:line="240" w:lineRule="auto"/>
              <w:jc w:val="center"/>
              <w:rPr>
                <w:rFonts w:cs="Times New Roman"/>
                <w:noProof/>
              </w:rPr>
            </w:pPr>
            <w:r>
              <w:rPr>
                <w:noProof/>
              </w:rPr>
              <w:t>Alapérték</w:t>
            </w:r>
          </w:p>
        </w:tc>
        <w:tc>
          <w:tcPr>
            <w:tcW w:w="69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6734EE8" w14:textId="77777777" w:rsidR="003E1D81" w:rsidRDefault="00EB481C">
            <w:pPr>
              <w:pStyle w:val="P68B1DB1-Normal12"/>
              <w:spacing w:after="0" w:line="240" w:lineRule="auto"/>
              <w:jc w:val="center"/>
              <w:rPr>
                <w:rFonts w:cs="Times New Roman"/>
                <w:noProof/>
              </w:rPr>
            </w:pPr>
            <w:r>
              <w:rPr>
                <w:noProof/>
              </w:rPr>
              <w:t>Cél</w:t>
            </w:r>
          </w:p>
        </w:tc>
        <w:tc>
          <w:tcPr>
            <w:tcW w:w="41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0A6C54B" w14:textId="77777777" w:rsidR="003E1D81" w:rsidRDefault="00EB481C">
            <w:pPr>
              <w:pStyle w:val="P68B1DB1-Normal12"/>
              <w:spacing w:after="0" w:line="240" w:lineRule="auto"/>
              <w:jc w:val="center"/>
              <w:rPr>
                <w:rFonts w:cs="Times New Roman"/>
                <w:noProof/>
              </w:rPr>
            </w:pPr>
            <w:r>
              <w:rPr>
                <w:noProof/>
              </w:rPr>
              <w:t>Q</w:t>
            </w:r>
          </w:p>
        </w:tc>
        <w:tc>
          <w:tcPr>
            <w:tcW w:w="55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8EB8BC3" w14:textId="77777777" w:rsidR="003E1D81" w:rsidRDefault="00EB481C">
            <w:pPr>
              <w:pStyle w:val="P68B1DB1-Normal12"/>
              <w:spacing w:after="0" w:line="240" w:lineRule="auto"/>
              <w:jc w:val="center"/>
              <w:rPr>
                <w:rFonts w:cs="Times New Roman"/>
                <w:noProof/>
              </w:rPr>
            </w:pPr>
            <w:r>
              <w:rPr>
                <w:noProof/>
              </w:rPr>
              <w:t>Éve</w:t>
            </w:r>
          </w:p>
        </w:tc>
        <w:tc>
          <w:tcPr>
            <w:tcW w:w="7031" w:type="dxa"/>
            <w:tcBorders>
              <w:top w:val="nil"/>
              <w:left w:val="single" w:sz="4" w:space="0" w:color="auto"/>
              <w:bottom w:val="single" w:sz="4" w:space="0" w:color="auto"/>
              <w:right w:val="single" w:sz="4" w:space="0" w:color="auto"/>
            </w:tcBorders>
            <w:shd w:val="clear" w:color="auto" w:fill="C6D9F1" w:themeFill="text2" w:themeFillTint="33"/>
            <w:noWrap/>
          </w:tcPr>
          <w:p w14:paraId="2F5D968D" w14:textId="77777777" w:rsidR="003E1D81" w:rsidRDefault="003E1D81">
            <w:pPr>
              <w:spacing w:after="0" w:line="240" w:lineRule="auto"/>
              <w:rPr>
                <w:rFonts w:ascii="Times New Roman" w:hAnsi="Times New Roman" w:cs="Times New Roman"/>
                <w:b/>
                <w:noProof/>
                <w:sz w:val="18"/>
              </w:rPr>
            </w:pPr>
          </w:p>
        </w:tc>
      </w:tr>
      <w:tr w:rsidR="003E1D81" w14:paraId="07329F71" w14:textId="77777777">
        <w:trPr>
          <w:trHeight w:val="309"/>
        </w:trPr>
        <w:tc>
          <w:tcPr>
            <w:tcW w:w="701" w:type="dxa"/>
            <w:tcBorders>
              <w:top w:val="single" w:sz="4" w:space="0" w:color="auto"/>
              <w:left w:val="single" w:sz="4" w:space="0" w:color="auto"/>
              <w:bottom w:val="single" w:sz="4" w:space="0" w:color="auto"/>
              <w:right w:val="single" w:sz="4" w:space="0" w:color="auto"/>
            </w:tcBorders>
            <w:shd w:val="clear" w:color="auto" w:fill="C6EFCE"/>
            <w:noWrap/>
          </w:tcPr>
          <w:p w14:paraId="318C4763" w14:textId="455D51D7" w:rsidR="003E1D81" w:rsidRDefault="00EB481C">
            <w:pPr>
              <w:pStyle w:val="P68B1DB1-Normal13"/>
              <w:spacing w:after="0" w:line="240" w:lineRule="auto"/>
              <w:jc w:val="center"/>
              <w:rPr>
                <w:rFonts w:eastAsia="Times New Roman" w:cs="Times New Roman"/>
                <w:noProof/>
              </w:rPr>
            </w:pPr>
            <w:r>
              <w:rPr>
                <w:noProof/>
              </w:rPr>
              <w:t>L81.</w:t>
            </w:r>
          </w:p>
        </w:tc>
        <w:tc>
          <w:tcPr>
            <w:tcW w:w="839" w:type="dxa"/>
            <w:tcBorders>
              <w:top w:val="single" w:sz="4" w:space="0" w:color="auto"/>
              <w:left w:val="single" w:sz="4" w:space="0" w:color="auto"/>
              <w:bottom w:val="single" w:sz="4" w:space="0" w:color="auto"/>
              <w:right w:val="single" w:sz="4" w:space="0" w:color="auto"/>
            </w:tcBorders>
            <w:shd w:val="clear" w:color="auto" w:fill="C6EFCE"/>
            <w:noWrap/>
          </w:tcPr>
          <w:p w14:paraId="6D9B612D" w14:textId="77777777" w:rsidR="003E1D81" w:rsidRDefault="00EB481C">
            <w:pPr>
              <w:pStyle w:val="P68B1DB1-Normal13"/>
              <w:spacing w:after="0" w:line="240" w:lineRule="auto"/>
              <w:jc w:val="center"/>
              <w:rPr>
                <w:rFonts w:eastAsia="Times New Roman" w:cs="Times New Roman"/>
                <w:noProof/>
              </w:rPr>
            </w:pPr>
            <w:r>
              <w:rPr>
                <w:noProof/>
              </w:rPr>
              <w:t>C28.</w:t>
            </w:r>
            <w:r>
              <w:rPr>
                <w:noProof/>
              </w:rPr>
              <w:t>I1</w:t>
            </w:r>
          </w:p>
        </w:tc>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7CEBEEBC" w14:textId="77777777" w:rsidR="003E1D81" w:rsidRDefault="00EB481C">
            <w:pPr>
              <w:pStyle w:val="P68B1DB1-Normal13"/>
              <w:spacing w:after="0" w:line="240" w:lineRule="auto"/>
              <w:jc w:val="center"/>
              <w:rPr>
                <w:rFonts w:eastAsia="Times New Roman" w:cs="Times New Roman"/>
                <w:noProof/>
              </w:rPr>
            </w:pPr>
            <w:r>
              <w:rPr>
                <w:noProof/>
              </w:rPr>
              <w:t>T</w:t>
            </w:r>
          </w:p>
        </w:tc>
        <w:tc>
          <w:tcPr>
            <w:tcW w:w="1675" w:type="dxa"/>
            <w:tcBorders>
              <w:top w:val="single" w:sz="4" w:space="0" w:color="auto"/>
              <w:left w:val="single" w:sz="4" w:space="0" w:color="auto"/>
              <w:bottom w:val="single" w:sz="4" w:space="0" w:color="auto"/>
              <w:right w:val="single" w:sz="4" w:space="0" w:color="auto"/>
            </w:tcBorders>
            <w:shd w:val="clear" w:color="auto" w:fill="C6EFCE"/>
            <w:noWrap/>
          </w:tcPr>
          <w:p w14:paraId="02329803" w14:textId="77777777" w:rsidR="003E1D81" w:rsidRDefault="00EB481C">
            <w:pPr>
              <w:pStyle w:val="P68B1DB1-Normal13"/>
              <w:spacing w:after="0" w:line="240" w:lineRule="auto"/>
              <w:rPr>
                <w:rFonts w:eastAsia="Times New Roman" w:cs="Times New Roman"/>
                <w:noProof/>
              </w:rPr>
            </w:pPr>
            <w:r>
              <w:rPr>
                <w:noProof/>
              </w:rPr>
              <w:t>A lakóépületek felújítására irányuló intézkedések befejezése az energiahatékonyság javítása érdekében.</w:t>
            </w:r>
          </w:p>
        </w:tc>
        <w:tc>
          <w:tcPr>
            <w:tcW w:w="1118" w:type="dxa"/>
            <w:tcBorders>
              <w:top w:val="single" w:sz="4" w:space="0" w:color="auto"/>
              <w:left w:val="single" w:sz="4" w:space="0" w:color="auto"/>
              <w:bottom w:val="single" w:sz="4" w:space="0" w:color="auto"/>
              <w:right w:val="single" w:sz="4" w:space="0" w:color="auto"/>
            </w:tcBorders>
            <w:shd w:val="clear" w:color="auto" w:fill="C6EFCE"/>
            <w:noWrap/>
          </w:tcPr>
          <w:p w14:paraId="69FE6C5A" w14:textId="77777777" w:rsidR="003E1D81" w:rsidRDefault="003E1D81">
            <w:pPr>
              <w:spacing w:after="0" w:line="240" w:lineRule="auto"/>
              <w:rPr>
                <w:rFonts w:ascii="Times New Roman" w:eastAsia="Times New Roman" w:hAnsi="Times New Roman" w:cs="Times New Roman"/>
                <w:noProof/>
                <w:sz w:val="18"/>
              </w:rPr>
            </w:pPr>
          </w:p>
        </w:tc>
        <w:tc>
          <w:tcPr>
            <w:tcW w:w="666" w:type="dxa"/>
            <w:tcBorders>
              <w:top w:val="single" w:sz="4" w:space="0" w:color="auto"/>
              <w:left w:val="single" w:sz="4" w:space="0" w:color="auto"/>
              <w:bottom w:val="single" w:sz="4" w:space="0" w:color="auto"/>
              <w:right w:val="single" w:sz="4" w:space="0" w:color="auto"/>
            </w:tcBorders>
            <w:shd w:val="clear" w:color="auto" w:fill="C6EFCE"/>
            <w:noWrap/>
          </w:tcPr>
          <w:p w14:paraId="608F9A8D" w14:textId="77777777" w:rsidR="003E1D81" w:rsidRDefault="00EB481C">
            <w:pPr>
              <w:pStyle w:val="P68B1DB1-Normal13"/>
              <w:spacing w:after="0" w:line="240" w:lineRule="auto"/>
              <w:jc w:val="center"/>
              <w:rPr>
                <w:rFonts w:eastAsia="Times New Roman" w:cs="Times New Roman"/>
                <w:noProof/>
              </w:rPr>
            </w:pPr>
            <w:r>
              <w:rPr>
                <w:noProof/>
              </w:rPr>
              <w:t>Szám</w:t>
            </w:r>
          </w:p>
        </w:tc>
        <w:tc>
          <w:tcPr>
            <w:tcW w:w="732" w:type="dxa"/>
            <w:tcBorders>
              <w:top w:val="single" w:sz="4" w:space="0" w:color="auto"/>
              <w:left w:val="single" w:sz="4" w:space="0" w:color="auto"/>
              <w:bottom w:val="single" w:sz="4" w:space="0" w:color="auto"/>
              <w:right w:val="single" w:sz="4" w:space="0" w:color="auto"/>
            </w:tcBorders>
            <w:shd w:val="clear" w:color="auto" w:fill="C6EFCE"/>
            <w:noWrap/>
          </w:tcPr>
          <w:p w14:paraId="00290C9C" w14:textId="3A551783" w:rsidR="003E1D81" w:rsidRDefault="00EB481C">
            <w:pPr>
              <w:pStyle w:val="P68B1DB1-Normal13"/>
              <w:spacing w:after="0" w:line="240" w:lineRule="auto"/>
              <w:jc w:val="center"/>
              <w:rPr>
                <w:rFonts w:eastAsia="Times New Roman" w:cs="Times New Roman"/>
                <w:noProof/>
              </w:rPr>
            </w:pPr>
            <w:r>
              <w:rPr>
                <w:noProof/>
              </w:rPr>
              <w:t>410 000</w:t>
            </w:r>
          </w:p>
        </w:tc>
        <w:tc>
          <w:tcPr>
            <w:tcW w:w="699" w:type="dxa"/>
            <w:tcBorders>
              <w:top w:val="single" w:sz="4" w:space="0" w:color="auto"/>
              <w:left w:val="single" w:sz="4" w:space="0" w:color="auto"/>
              <w:bottom w:val="single" w:sz="4" w:space="0" w:color="auto"/>
              <w:right w:val="single" w:sz="4" w:space="0" w:color="auto"/>
            </w:tcBorders>
            <w:shd w:val="clear" w:color="auto" w:fill="C6EFCE"/>
            <w:noWrap/>
          </w:tcPr>
          <w:p w14:paraId="41D57A0A" w14:textId="3DEB6947" w:rsidR="003E1D81" w:rsidRDefault="00EB481C">
            <w:pPr>
              <w:pStyle w:val="P68B1DB1-Normal13"/>
              <w:spacing w:after="0" w:line="240" w:lineRule="auto"/>
              <w:jc w:val="center"/>
              <w:rPr>
                <w:rFonts w:eastAsia="Times New Roman" w:cs="Times New Roman"/>
                <w:noProof/>
              </w:rPr>
            </w:pPr>
            <w:r>
              <w:rPr>
                <w:noProof/>
              </w:rPr>
              <w:t>510 000</w:t>
            </w:r>
          </w:p>
        </w:tc>
        <w:tc>
          <w:tcPr>
            <w:tcW w:w="419" w:type="dxa"/>
            <w:tcBorders>
              <w:top w:val="single" w:sz="4" w:space="0" w:color="auto"/>
              <w:left w:val="single" w:sz="4" w:space="0" w:color="auto"/>
              <w:bottom w:val="single" w:sz="4" w:space="0" w:color="auto"/>
              <w:right w:val="single" w:sz="4" w:space="0" w:color="auto"/>
            </w:tcBorders>
            <w:shd w:val="clear" w:color="auto" w:fill="C6EFCE"/>
            <w:noWrap/>
          </w:tcPr>
          <w:p w14:paraId="35B7A268"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9" w:type="dxa"/>
            <w:tcBorders>
              <w:top w:val="single" w:sz="4" w:space="0" w:color="auto"/>
              <w:left w:val="single" w:sz="4" w:space="0" w:color="auto"/>
              <w:bottom w:val="single" w:sz="4" w:space="0" w:color="auto"/>
              <w:right w:val="single" w:sz="4" w:space="0" w:color="auto"/>
            </w:tcBorders>
            <w:shd w:val="clear" w:color="auto" w:fill="C6EFCE"/>
            <w:noWrap/>
          </w:tcPr>
          <w:p w14:paraId="60DE50A9" w14:textId="77777777" w:rsidR="003E1D81" w:rsidRDefault="00EB481C">
            <w:pPr>
              <w:pStyle w:val="P68B1DB1-Normal13"/>
              <w:spacing w:after="0" w:line="240" w:lineRule="auto"/>
              <w:jc w:val="center"/>
              <w:rPr>
                <w:rFonts w:eastAsia="Times New Roman" w:cs="Times New Roman"/>
                <w:noProof/>
              </w:rPr>
            </w:pPr>
            <w:r>
              <w:rPr>
                <w:noProof/>
              </w:rPr>
              <w:t>2026</w:t>
            </w:r>
          </w:p>
        </w:tc>
        <w:tc>
          <w:tcPr>
            <w:tcW w:w="7031" w:type="dxa"/>
            <w:tcBorders>
              <w:top w:val="single" w:sz="4" w:space="0" w:color="auto"/>
              <w:left w:val="single" w:sz="4" w:space="0" w:color="auto"/>
              <w:bottom w:val="single" w:sz="4" w:space="0" w:color="auto"/>
              <w:right w:val="single" w:sz="4" w:space="0" w:color="auto"/>
            </w:tcBorders>
            <w:shd w:val="clear" w:color="auto" w:fill="C6EFCE"/>
            <w:noWrap/>
          </w:tcPr>
          <w:p w14:paraId="4BC95E47" w14:textId="6B16861C" w:rsidR="003E1D81" w:rsidRDefault="00EB481C">
            <w:pPr>
              <w:pStyle w:val="P68B1DB1-Normal13"/>
              <w:rPr>
                <w:rFonts w:eastAsia="Times New Roman" w:cs="Times New Roman"/>
                <w:noProof/>
              </w:rPr>
            </w:pPr>
            <w:r>
              <w:rPr>
                <w:noProof/>
              </w:rPr>
              <w:t xml:space="preserve">Legalább 510000 lakóépület felújítása legalább 355000 egyedi lakásban, amelyek átlagosan legalább 30%-os </w:t>
            </w:r>
            <w:r>
              <w:rPr>
                <w:noProof/>
              </w:rPr>
              <w:t xml:space="preserve">primerenergia-igénycsökkenést érnek el (kumulatív). A mutató alkalmazásában a lakhatás fogalmának összhangban kell állnia az Eurostat meghatározásával („lakás: olyan állandó épületben vagy épületrészben – beleértve annak tartozékait, lobbiit és folyosókat </w:t>
            </w:r>
            <w:r>
              <w:rPr>
                <w:noProof/>
              </w:rPr>
              <w:t>is –, amelyet építésének, újjáépítésének vagy átalakításának módja szerint egy magánháztartás egész évben lakhatásra jelöl ki”) és adott esetben szociális vagy köztulajdonban lévő lakásokat is magában foglalhat. Az alkalmazott energiahatékonyság-javító mut</w:t>
            </w:r>
            <w:r>
              <w:rPr>
                <w:noProof/>
              </w:rPr>
              <w:t>atókat az épületek energiahatékonyságáról szóló, 2010. május 19-i 2010/31/EU európai parlamenti és tanácsi irányelv szerinti vonatkozó energiahatékonysági tanúsítványon keresztül kell akkreditálni. A lakásrehabilitációk számát az adókedvezmények révén végr</w:t>
            </w:r>
            <w:r>
              <w:rPr>
                <w:noProof/>
              </w:rPr>
              <w:t xml:space="preserve">ehajtott valamennyi javító és rehabilitációs intézkedés összegeként kell meghatározni. A 30%-os minimumértéknek való megfelelés céljából a primerenergia-fogyasztás átlagos megtakarítási százalékát úgy kell kiszámítani, hogy a helyreállítási intézkedéseket </w:t>
            </w:r>
            <w:r>
              <w:rPr>
                <w:noProof/>
              </w:rPr>
              <w:t>a helyreállítási és rezilienciaépítési terv keretében alkalmazott támogatás vagy finanszírozás összegével súlyozzák. Ez a mutató kiterjed az összes településen végrehajtott javítási és rehabilitációs intézkedésekre, azok méretétől függetlenül. Az elért ene</w:t>
            </w:r>
            <w:r>
              <w:rPr>
                <w:noProof/>
              </w:rPr>
              <w:t>rgiamegtakarításnak való megfelelés igazolása érdekében az elért átlagos energiamegtakarítás megerősítése érdekében szükség van a befejezett munkák energiahatékonysági tanúsítványaira, és azokat összesíteni kell. (Alapforgatókönyv: 2026. június 30., a 2. ö</w:t>
            </w:r>
            <w:r>
              <w:rPr>
                <w:noProof/>
              </w:rPr>
              <w:t>sszetevő 29. célkitűzésével összhangban</w:t>
            </w:r>
          </w:p>
        </w:tc>
      </w:tr>
      <w:tr w:rsidR="003E1D81" w14:paraId="6CFE415C" w14:textId="77777777">
        <w:trPr>
          <w:trHeight w:val="309"/>
        </w:trPr>
        <w:tc>
          <w:tcPr>
            <w:tcW w:w="701" w:type="dxa"/>
            <w:tcBorders>
              <w:top w:val="single" w:sz="4" w:space="0" w:color="auto"/>
              <w:left w:val="single" w:sz="4" w:space="0" w:color="auto"/>
              <w:bottom w:val="single" w:sz="4" w:space="0" w:color="auto"/>
              <w:right w:val="single" w:sz="4" w:space="0" w:color="auto"/>
            </w:tcBorders>
            <w:shd w:val="clear" w:color="auto" w:fill="C6EFCE"/>
            <w:noWrap/>
          </w:tcPr>
          <w:p w14:paraId="3C1B56C4" w14:textId="0B90D2B7" w:rsidR="003E1D81" w:rsidRDefault="00EB481C">
            <w:pPr>
              <w:pStyle w:val="P68B1DB1-Normal13"/>
              <w:spacing w:after="0" w:line="240" w:lineRule="auto"/>
              <w:jc w:val="center"/>
              <w:rPr>
                <w:rFonts w:eastAsia="Times New Roman" w:cs="Times New Roman"/>
                <w:noProof/>
              </w:rPr>
            </w:pPr>
            <w:r>
              <w:rPr>
                <w:noProof/>
              </w:rPr>
              <w:t xml:space="preserve">L82. </w:t>
            </w:r>
          </w:p>
        </w:tc>
        <w:tc>
          <w:tcPr>
            <w:tcW w:w="839" w:type="dxa"/>
            <w:tcBorders>
              <w:top w:val="single" w:sz="4" w:space="0" w:color="auto"/>
              <w:left w:val="single" w:sz="4" w:space="0" w:color="auto"/>
              <w:bottom w:val="single" w:sz="4" w:space="0" w:color="auto"/>
              <w:right w:val="single" w:sz="4" w:space="0" w:color="auto"/>
            </w:tcBorders>
            <w:shd w:val="clear" w:color="auto" w:fill="C6EFCE"/>
            <w:noWrap/>
          </w:tcPr>
          <w:p w14:paraId="7FDC7730" w14:textId="77777777" w:rsidR="003E1D81" w:rsidRDefault="00EB481C">
            <w:pPr>
              <w:pStyle w:val="P68B1DB1-Normal13"/>
              <w:spacing w:after="0" w:line="240" w:lineRule="auto"/>
              <w:jc w:val="center"/>
              <w:rPr>
                <w:rFonts w:cs="Times New Roman"/>
                <w:noProof/>
              </w:rPr>
            </w:pPr>
            <w:r>
              <w:rPr>
                <w:noProof/>
              </w:rPr>
              <w:t>C28.I1</w:t>
            </w:r>
          </w:p>
        </w:tc>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47D57269" w14:textId="77777777" w:rsidR="003E1D81" w:rsidRDefault="00EB481C">
            <w:pPr>
              <w:pStyle w:val="P68B1DB1-Normal13"/>
              <w:spacing w:after="0" w:line="240" w:lineRule="auto"/>
              <w:jc w:val="center"/>
              <w:rPr>
                <w:rFonts w:eastAsia="Times New Roman" w:cs="Times New Roman"/>
                <w:noProof/>
              </w:rPr>
            </w:pPr>
            <w:r>
              <w:rPr>
                <w:noProof/>
              </w:rPr>
              <w:t>T</w:t>
            </w:r>
          </w:p>
        </w:tc>
        <w:tc>
          <w:tcPr>
            <w:tcW w:w="1675" w:type="dxa"/>
            <w:tcBorders>
              <w:top w:val="single" w:sz="4" w:space="0" w:color="auto"/>
              <w:left w:val="single" w:sz="4" w:space="0" w:color="auto"/>
              <w:bottom w:val="single" w:sz="4" w:space="0" w:color="auto"/>
              <w:right w:val="single" w:sz="4" w:space="0" w:color="auto"/>
            </w:tcBorders>
            <w:shd w:val="clear" w:color="auto" w:fill="C6EFCE"/>
            <w:noWrap/>
          </w:tcPr>
          <w:p w14:paraId="6292F74A" w14:textId="5E3D422B" w:rsidR="003E1D81" w:rsidRDefault="00EB481C">
            <w:pPr>
              <w:pStyle w:val="P68B1DB1-Normal13"/>
              <w:spacing w:after="0" w:line="240" w:lineRule="auto"/>
              <w:rPr>
                <w:rFonts w:eastAsia="Times New Roman" w:cs="Times New Roman"/>
                <w:noProof/>
              </w:rPr>
            </w:pPr>
            <w:r>
              <w:rPr>
                <w:noProof/>
              </w:rPr>
              <w:t xml:space="preserve">Kiépített EVS és töltőinfrastruktúra </w:t>
            </w:r>
          </w:p>
        </w:tc>
        <w:tc>
          <w:tcPr>
            <w:tcW w:w="1118" w:type="dxa"/>
            <w:tcBorders>
              <w:top w:val="single" w:sz="4" w:space="0" w:color="auto"/>
              <w:left w:val="single" w:sz="4" w:space="0" w:color="auto"/>
              <w:bottom w:val="single" w:sz="4" w:space="0" w:color="auto"/>
              <w:right w:val="single" w:sz="4" w:space="0" w:color="auto"/>
            </w:tcBorders>
            <w:shd w:val="clear" w:color="auto" w:fill="C6EFCE"/>
            <w:noWrap/>
          </w:tcPr>
          <w:p w14:paraId="3B25C739" w14:textId="77777777" w:rsidR="003E1D81" w:rsidRDefault="003E1D81">
            <w:pPr>
              <w:spacing w:after="0" w:line="240" w:lineRule="auto"/>
              <w:jc w:val="center"/>
              <w:rPr>
                <w:rFonts w:ascii="Times New Roman" w:eastAsia="Times New Roman" w:hAnsi="Times New Roman" w:cs="Times New Roman"/>
                <w:noProof/>
                <w:sz w:val="18"/>
              </w:rPr>
            </w:pPr>
          </w:p>
        </w:tc>
        <w:tc>
          <w:tcPr>
            <w:tcW w:w="666" w:type="dxa"/>
            <w:tcBorders>
              <w:top w:val="single" w:sz="4" w:space="0" w:color="auto"/>
              <w:left w:val="single" w:sz="4" w:space="0" w:color="auto"/>
              <w:bottom w:val="single" w:sz="4" w:space="0" w:color="auto"/>
              <w:right w:val="single" w:sz="4" w:space="0" w:color="auto"/>
            </w:tcBorders>
            <w:shd w:val="clear" w:color="auto" w:fill="C6EFCE"/>
            <w:noWrap/>
          </w:tcPr>
          <w:p w14:paraId="33589A6B" w14:textId="77777777" w:rsidR="003E1D81" w:rsidRDefault="00EB481C">
            <w:pPr>
              <w:pStyle w:val="P68B1DB1-Normal13"/>
              <w:spacing w:after="0" w:line="240" w:lineRule="auto"/>
              <w:jc w:val="center"/>
              <w:rPr>
                <w:rFonts w:cs="Times New Roman"/>
                <w:noProof/>
              </w:rPr>
            </w:pPr>
            <w:r>
              <w:rPr>
                <w:noProof/>
              </w:rPr>
              <w:t>Szám</w:t>
            </w:r>
          </w:p>
        </w:tc>
        <w:tc>
          <w:tcPr>
            <w:tcW w:w="732" w:type="dxa"/>
            <w:tcBorders>
              <w:top w:val="single" w:sz="4" w:space="0" w:color="auto"/>
              <w:left w:val="single" w:sz="4" w:space="0" w:color="auto"/>
              <w:bottom w:val="single" w:sz="4" w:space="0" w:color="auto"/>
              <w:right w:val="single" w:sz="4" w:space="0" w:color="auto"/>
            </w:tcBorders>
            <w:shd w:val="clear" w:color="auto" w:fill="C6EFCE"/>
            <w:noWrap/>
          </w:tcPr>
          <w:p w14:paraId="6928C400" w14:textId="77777777" w:rsidR="003E1D81" w:rsidRDefault="00EB481C">
            <w:pPr>
              <w:pStyle w:val="P68B1DB1-Normal13"/>
              <w:spacing w:after="0" w:line="240" w:lineRule="auto"/>
              <w:jc w:val="center"/>
              <w:rPr>
                <w:rFonts w:cs="Times New Roman"/>
                <w:noProof/>
              </w:rPr>
            </w:pPr>
            <w:r>
              <w:rPr>
                <w:noProof/>
              </w:rPr>
              <w:t>238 000</w:t>
            </w:r>
          </w:p>
        </w:tc>
        <w:tc>
          <w:tcPr>
            <w:tcW w:w="699" w:type="dxa"/>
            <w:tcBorders>
              <w:top w:val="single" w:sz="4" w:space="0" w:color="auto"/>
              <w:left w:val="single" w:sz="4" w:space="0" w:color="auto"/>
              <w:bottom w:val="single" w:sz="4" w:space="0" w:color="auto"/>
              <w:right w:val="single" w:sz="4" w:space="0" w:color="auto"/>
            </w:tcBorders>
            <w:shd w:val="clear" w:color="auto" w:fill="C6EFCE"/>
            <w:noWrap/>
          </w:tcPr>
          <w:p w14:paraId="5BF418A1" w14:textId="77777777" w:rsidR="003E1D81" w:rsidRDefault="00EB481C">
            <w:pPr>
              <w:pStyle w:val="P68B1DB1-Normal13"/>
              <w:spacing w:after="0" w:line="240" w:lineRule="auto"/>
              <w:jc w:val="center"/>
              <w:rPr>
                <w:rFonts w:cs="Times New Roman"/>
                <w:noProof/>
              </w:rPr>
            </w:pPr>
            <w:r>
              <w:rPr>
                <w:noProof/>
              </w:rPr>
              <w:t xml:space="preserve">348 000 </w:t>
            </w:r>
          </w:p>
        </w:tc>
        <w:tc>
          <w:tcPr>
            <w:tcW w:w="419" w:type="dxa"/>
            <w:tcBorders>
              <w:top w:val="single" w:sz="4" w:space="0" w:color="auto"/>
              <w:left w:val="single" w:sz="4" w:space="0" w:color="auto"/>
              <w:bottom w:val="single" w:sz="4" w:space="0" w:color="auto"/>
              <w:right w:val="single" w:sz="4" w:space="0" w:color="auto"/>
            </w:tcBorders>
            <w:shd w:val="clear" w:color="auto" w:fill="C6EFCE"/>
            <w:noWrap/>
          </w:tcPr>
          <w:p w14:paraId="3E61B028" w14:textId="77777777" w:rsidR="003E1D81" w:rsidRDefault="00EB481C">
            <w:pPr>
              <w:pStyle w:val="P68B1DB1-Normal13"/>
              <w:spacing w:after="0" w:line="240" w:lineRule="auto"/>
              <w:jc w:val="center"/>
              <w:rPr>
                <w:rFonts w:eastAsia="Times New Roman" w:cs="Times New Roman"/>
                <w:noProof/>
              </w:rPr>
            </w:pPr>
            <w:r>
              <w:rPr>
                <w:noProof/>
              </w:rPr>
              <w:t>NEGYEDÉV</w:t>
            </w:r>
          </w:p>
        </w:tc>
        <w:tc>
          <w:tcPr>
            <w:tcW w:w="559" w:type="dxa"/>
            <w:tcBorders>
              <w:top w:val="single" w:sz="4" w:space="0" w:color="auto"/>
              <w:left w:val="single" w:sz="4" w:space="0" w:color="auto"/>
              <w:bottom w:val="single" w:sz="4" w:space="0" w:color="auto"/>
              <w:right w:val="single" w:sz="4" w:space="0" w:color="auto"/>
            </w:tcBorders>
            <w:shd w:val="clear" w:color="auto" w:fill="C6EFCE"/>
            <w:noWrap/>
          </w:tcPr>
          <w:p w14:paraId="44AFB5F0" w14:textId="1AE2866A" w:rsidR="003E1D81" w:rsidRDefault="00EB481C">
            <w:pPr>
              <w:pStyle w:val="P68B1DB1-Normal13"/>
              <w:spacing w:after="0" w:line="240" w:lineRule="auto"/>
              <w:jc w:val="center"/>
              <w:rPr>
                <w:rFonts w:eastAsia="Times New Roman" w:cs="Times New Roman"/>
                <w:noProof/>
              </w:rPr>
            </w:pPr>
            <w:r>
              <w:rPr>
                <w:noProof/>
              </w:rPr>
              <w:t>2026</w:t>
            </w:r>
          </w:p>
        </w:tc>
        <w:tc>
          <w:tcPr>
            <w:tcW w:w="7031" w:type="dxa"/>
            <w:tcBorders>
              <w:top w:val="single" w:sz="4" w:space="0" w:color="auto"/>
              <w:left w:val="single" w:sz="4" w:space="0" w:color="auto"/>
              <w:bottom w:val="single" w:sz="4" w:space="0" w:color="auto"/>
              <w:right w:val="single" w:sz="4" w:space="0" w:color="auto"/>
            </w:tcBorders>
            <w:shd w:val="clear" w:color="auto" w:fill="C6EFCE"/>
            <w:noWrap/>
          </w:tcPr>
          <w:p w14:paraId="3FC8FA4F" w14:textId="37519251" w:rsidR="003E1D81" w:rsidRDefault="00EB481C">
            <w:pPr>
              <w:pStyle w:val="P68B1DB1-Normal13"/>
              <w:spacing w:after="0" w:line="240" w:lineRule="auto"/>
              <w:rPr>
                <w:rFonts w:eastAsia="Times New Roman" w:cs="Times New Roman"/>
                <w:noProof/>
              </w:rPr>
            </w:pPr>
            <w:r>
              <w:rPr>
                <w:noProof/>
              </w:rPr>
              <w:t xml:space="preserve">Az adókedvezmények hatálya alá tartozó további legalább 110000 új elektromos járművet (BEV, REEV, PHEV, FCEV vagy FCHV) és </w:t>
            </w:r>
            <w:r>
              <w:rPr>
                <w:noProof/>
              </w:rPr>
              <w:t>töltőállomást telepítettek.</w:t>
            </w:r>
          </w:p>
          <w:p w14:paraId="23E39600" w14:textId="4F670BAF" w:rsidR="003E1D81" w:rsidRDefault="00EB481C">
            <w:pPr>
              <w:pStyle w:val="P68B1DB1-Normal13"/>
              <w:spacing w:after="0" w:line="240" w:lineRule="auto"/>
              <w:rPr>
                <w:rFonts w:eastAsia="Times New Roman" w:cs="Times New Roman"/>
                <w:noProof/>
              </w:rPr>
            </w:pPr>
            <w:r>
              <w:rPr>
                <w:noProof/>
              </w:rPr>
              <w:t>(Alapforgatókönyv: 2025. december 31., az 1. összetevő 419. célkitűzésével összhangban</w:t>
            </w:r>
          </w:p>
        </w:tc>
      </w:tr>
    </w:tbl>
    <w:p w14:paraId="7D3D22D9" w14:textId="77777777" w:rsidR="003E1D81" w:rsidRDefault="003E1D81">
      <w:pPr>
        <w:pStyle w:val="Text1"/>
        <w:rPr>
          <w:rFonts w:ascii="Times New Roman" w:hAnsi="Times New Roman" w:cs="Times New Roman"/>
          <w:noProof/>
        </w:rPr>
        <w:sectPr w:rsidR="003E1D81" w:rsidSect="00C94F66">
          <w:headerReference w:type="even" r:id="rId537"/>
          <w:headerReference w:type="default" r:id="rId538"/>
          <w:footerReference w:type="even" r:id="rId539"/>
          <w:footerReference w:type="default" r:id="rId540"/>
          <w:headerReference w:type="first" r:id="rId541"/>
          <w:footerReference w:type="first" r:id="rId542"/>
          <w:pgSz w:w="16839" w:h="11907" w:orient="landscape"/>
          <w:pgMar w:top="1417" w:right="1134" w:bottom="1417" w:left="1134" w:header="709" w:footer="709" w:gutter="0"/>
          <w:cols w:space="720"/>
          <w:docGrid w:linePitch="360"/>
        </w:sectPr>
      </w:pPr>
    </w:p>
    <w:p w14:paraId="2D6EE182" w14:textId="77777777" w:rsidR="003E1D81" w:rsidRDefault="00EB481C">
      <w:pPr>
        <w:pStyle w:val="P68B1DB1-Heading12"/>
        <w:rPr>
          <w:rFonts w:cs="Times New Roman"/>
          <w:noProof/>
        </w:rPr>
      </w:pPr>
      <w:r>
        <w:rPr>
          <w:noProof/>
        </w:rPr>
        <w:t>AC. ÖSSZETEVŐ: A közkiadások hatékonyságának javítása</w:t>
      </w:r>
    </w:p>
    <w:p w14:paraId="11CE09AD" w14:textId="77777777" w:rsidR="003E1D81" w:rsidRDefault="00EB481C">
      <w:pPr>
        <w:pStyle w:val="P68B1DB1-Text119"/>
        <w:ind w:left="0"/>
        <w:rPr>
          <w:rFonts w:cs="Times New Roman"/>
          <w:noProof/>
        </w:rPr>
      </w:pPr>
      <w:r>
        <w:rPr>
          <w:noProof/>
        </w:rPr>
        <w:t>A spanyol helyreállítási és rezilienciaépítési terv 29. elemében foglalt reformok célja i. a közkiadások hatékonyságának javítása a kiadások felülvizsgálatára vonatkozó keret és gyakorlatok megerősítése révén, valamint ii. a központi kormányzati költségvet</w:t>
      </w:r>
      <w:r>
        <w:rPr>
          <w:noProof/>
        </w:rPr>
        <w:t xml:space="preserve">ésnek a fenntartható fejlesztési célokkal és a zöld költségvetés elveivel való összehangolása. </w:t>
      </w:r>
    </w:p>
    <w:p w14:paraId="2855F655" w14:textId="77777777" w:rsidR="003E1D81" w:rsidRDefault="00EB481C">
      <w:pPr>
        <w:pStyle w:val="P68B1DB1-Text119"/>
        <w:ind w:left="0"/>
        <w:rPr>
          <w:rFonts w:cs="Times New Roman"/>
          <w:noProof/>
        </w:rPr>
      </w:pPr>
      <w:r>
        <w:rPr>
          <w:noProof/>
        </w:rPr>
        <w:t>A terv komponensének célja a közkiadások minőségének javítása, különösen összetételének felülvizsgálata és felhasználásának újragondolása révén, a gazdasági növ</w:t>
      </w:r>
      <w:r>
        <w:rPr>
          <w:noProof/>
        </w:rPr>
        <w:t xml:space="preserve">ekedés és a munkahelyteremtés támogatása, és végső soron az államháztartás stabilizálásának és az államadósság középtávú fenntarthatóságának javítása. A reformok az új gazdasági és társadalmi valóság jelentette kihívásokkal is foglalkoznak.  </w:t>
      </w:r>
    </w:p>
    <w:p w14:paraId="04D7F579" w14:textId="77777777" w:rsidR="003E1D81" w:rsidRDefault="00EB481C">
      <w:pPr>
        <w:pStyle w:val="P68B1DB1-Text119"/>
        <w:ind w:left="0"/>
        <w:rPr>
          <w:rFonts w:cs="Times New Roman"/>
          <w:noProof/>
        </w:rPr>
      </w:pPr>
      <w:r>
        <w:rPr>
          <w:noProof/>
        </w:rPr>
        <w:t>A komponens a</w:t>
      </w:r>
      <w:r>
        <w:rPr>
          <w:noProof/>
        </w:rPr>
        <w:t xml:space="preserve"> beruházások ösztönzése mellett a prudens középtávú költségvetési pozíció elérésére és az adósság fenntarthatóságának biztosítására irányuló költségvetési politika folytatására vonatkozó országspecifikus ajánlással foglalkozik (2020. évi 1. országspecifiku</w:t>
      </w:r>
      <w:r>
        <w:rPr>
          <w:noProof/>
        </w:rPr>
        <w:t>s ajánlás).</w:t>
      </w:r>
    </w:p>
    <w:p w14:paraId="6BF0C738" w14:textId="77777777" w:rsidR="003E1D81" w:rsidRDefault="00EB481C">
      <w:pPr>
        <w:pStyle w:val="P68B1DB1-Text119"/>
        <w:ind w:left="0"/>
        <w:rPr>
          <w:rFonts w:cs="Times New Roman"/>
          <w:noProof/>
        </w:rPr>
      </w:pPr>
      <w:r>
        <w:rPr>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w:t>
      </w:r>
      <w:r>
        <w:rPr>
          <w:noProof/>
        </w:rPr>
        <w:t>rozott enyhítő lépéseket figyelembe véve ebben a komponensben várhatóan egyetlen intézkedés sem sérti jelentős mértékben az (EU) 2020/852 rendelet 17. cikke szerinti környezeti célkitűzéseket.</w:t>
      </w:r>
    </w:p>
    <w:p w14:paraId="0F17AC41" w14:textId="77777777" w:rsidR="003E1D81" w:rsidRDefault="00EB481C">
      <w:pPr>
        <w:pStyle w:val="P68B1DB1-Text138"/>
        <w:ind w:left="709"/>
        <w:rPr>
          <w:rFonts w:cs="Times New Roman"/>
          <w:noProof/>
        </w:rPr>
      </w:pPr>
      <w:r>
        <w:rPr>
          <w:noProof/>
        </w:rPr>
        <w:t xml:space="preserve">AC.1. </w:t>
      </w:r>
      <w:r>
        <w:rPr>
          <w:noProof/>
        </w:rPr>
        <w:tab/>
        <w:t xml:space="preserve">Vissza nem térítendő pénzügyi támogatás – a reformok és </w:t>
      </w:r>
      <w:r>
        <w:rPr>
          <w:noProof/>
        </w:rPr>
        <w:t>beruházások ismertetése</w:t>
      </w:r>
    </w:p>
    <w:p w14:paraId="1A37E54D" w14:textId="77777777" w:rsidR="003E1D81" w:rsidRDefault="00EB481C">
      <w:pPr>
        <w:pStyle w:val="P68B1DB1-Text120"/>
        <w:ind w:left="0"/>
        <w:rPr>
          <w:rFonts w:cs="Times New Roman"/>
          <w:noProof/>
        </w:rPr>
      </w:pPr>
      <w:r>
        <w:rPr>
          <w:noProof/>
        </w:rPr>
        <w:t>Reform (C29.R1) – A közkiadások felülvizsgálata és értékelése</w:t>
      </w:r>
    </w:p>
    <w:p w14:paraId="6D646A7A" w14:textId="77777777" w:rsidR="003E1D81" w:rsidRDefault="00EB481C">
      <w:pPr>
        <w:pStyle w:val="P68B1DB1-Text119"/>
        <w:ind w:left="0"/>
        <w:rPr>
          <w:rFonts w:cs="Times New Roman"/>
          <w:noProof/>
        </w:rPr>
      </w:pPr>
      <w:r>
        <w:rPr>
          <w:noProof/>
        </w:rPr>
        <w:t>E reform célja egy olyan állandó keret létrehozása, amely biztosítja a közkiadások minőségének javítását, megerősíti a költségvetési stabilitást és az államháztartás fenn</w:t>
      </w:r>
      <w:r>
        <w:rPr>
          <w:noProof/>
        </w:rPr>
        <w:t>tarthatóságát. Ez a reform négy alelemet tartalmaz:</w:t>
      </w:r>
    </w:p>
    <w:p w14:paraId="4055AA4E" w14:textId="77777777" w:rsidR="003E1D81" w:rsidRDefault="00EB481C">
      <w:pPr>
        <w:pStyle w:val="P68B1DB1-Text119"/>
        <w:numPr>
          <w:ilvl w:val="0"/>
          <w:numId w:val="166"/>
        </w:numPr>
        <w:rPr>
          <w:rFonts w:cs="Times New Roman"/>
          <w:noProof/>
        </w:rPr>
      </w:pPr>
      <w:r>
        <w:rPr>
          <w:noProof/>
        </w:rPr>
        <w:t>A 2018–2020-as időszakra vonatkozó kiadási felülvizsgálat ajánlásainak beépítése a döntéshozatali folyamatba (I. szakasz és II. szakasz): Az I. és II. szakasz ajánlásainak hatékony nyomon követése érdekéb</w:t>
      </w:r>
      <w:r>
        <w:rPr>
          <w:noProof/>
        </w:rPr>
        <w:t>en az ajánlásokat kapott költségvetési egységek számára határidőt kell biztosítani arra, hogy a „tartsd be vagy indokold meg” elvvel összhangban válaszoljanak ezekre az ajánlásokra. A pénzügyminisztérium feladata a nyomon követés nyomon követése és az aján</w:t>
      </w:r>
      <w:r>
        <w:rPr>
          <w:noProof/>
        </w:rPr>
        <w:t xml:space="preserve">lásokra adott válaszokról szóló éves jelentés elkészítése. </w:t>
      </w:r>
    </w:p>
    <w:p w14:paraId="3173400A" w14:textId="77777777" w:rsidR="003E1D81" w:rsidRDefault="00EB481C">
      <w:pPr>
        <w:pStyle w:val="P68B1DB1-Text119"/>
        <w:numPr>
          <w:ilvl w:val="0"/>
          <w:numId w:val="166"/>
        </w:numPr>
        <w:rPr>
          <w:rFonts w:cs="Times New Roman"/>
          <w:noProof/>
        </w:rPr>
      </w:pPr>
      <w:r>
        <w:rPr>
          <w:noProof/>
        </w:rPr>
        <w:t>A kiadások 2021. évi felülvizsgálata III. szakaszának elindítása: A kiadások felülvizsgálatának harmadik szakasza a tervek szerint a pénzügyi eszközökre és az önkormányzati hulladékgazdálkodásra ö</w:t>
      </w:r>
      <w:r>
        <w:rPr>
          <w:noProof/>
        </w:rPr>
        <w:t xml:space="preserve">sszpontosít; </w:t>
      </w:r>
    </w:p>
    <w:p w14:paraId="2D6C80F9" w14:textId="77777777" w:rsidR="003E1D81" w:rsidRDefault="00EB481C">
      <w:pPr>
        <w:pStyle w:val="P68B1DB1-Text119"/>
        <w:numPr>
          <w:ilvl w:val="0"/>
          <w:numId w:val="166"/>
        </w:numPr>
        <w:rPr>
          <w:rFonts w:cs="Times New Roman"/>
          <w:noProof/>
        </w:rPr>
      </w:pPr>
      <w:r>
        <w:rPr>
          <w:noProof/>
        </w:rPr>
        <w:t>A közkiadások felülvizsgálatának és értékelésének új folyamata (2022–2026): Ebben a ciklusban a kiadások jövőbeli felülvizsgálatát a független költségvetési hatóság (Autridad</w:t>
      </w:r>
      <w:r>
        <w:rPr>
          <w:i/>
          <w:noProof/>
        </w:rPr>
        <w:t>Independiente de Responsabilidad Fiscal</w:t>
      </w:r>
      <w:r>
        <w:rPr>
          <w:noProof/>
        </w:rPr>
        <w:t>, AIReF) végezné el. E jövőbe</w:t>
      </w:r>
      <w:r>
        <w:rPr>
          <w:noProof/>
        </w:rPr>
        <w:t xml:space="preserve">li felülvizsgálatok fókuszáról, hatóköréről és ütemezéséről az AIReF-fel folytatott konzultációt követően a Miniszterek Tanácsa határoz. A cél az, hogy 2022–2026-ban évente jelentést tegyenek közzé; </w:t>
      </w:r>
    </w:p>
    <w:p w14:paraId="369C92EB" w14:textId="77777777" w:rsidR="003E1D81" w:rsidRDefault="00EB481C">
      <w:pPr>
        <w:pStyle w:val="P68B1DB1-Text119"/>
        <w:numPr>
          <w:ilvl w:val="0"/>
          <w:numId w:val="166"/>
        </w:numPr>
        <w:rPr>
          <w:rFonts w:cs="Times New Roman"/>
          <w:noProof/>
        </w:rPr>
      </w:pPr>
      <w:r>
        <w:rPr>
          <w:noProof/>
        </w:rPr>
        <w:t>Az értékelő kapacitásának megerősítése (AIReF): Az AIReF</w:t>
      </w:r>
      <w:r>
        <w:rPr>
          <w:noProof/>
        </w:rPr>
        <w:t xml:space="preserve"> alapszabályát módosítani kell a közkiadások felülvizsgálatáért felelős új egység létrehozása érdekében.</w:t>
      </w:r>
    </w:p>
    <w:p w14:paraId="2FBD1FA2" w14:textId="77777777" w:rsidR="003E1D81" w:rsidRDefault="00EB481C">
      <w:pPr>
        <w:pStyle w:val="P68B1DB1-Text119"/>
        <w:ind w:left="0"/>
        <w:rPr>
          <w:rFonts w:cs="Times New Roman"/>
          <w:noProof/>
        </w:rPr>
      </w:pPr>
      <w:r>
        <w:rPr>
          <w:noProof/>
        </w:rPr>
        <w:t>Az 1. reform a spanyol helyreállítási és rezilienciaépítési terv koherenciáját és egyéb reformjait támogatónak tekinthető, különösen a 6., 17., 18., 21</w:t>
      </w:r>
      <w:r>
        <w:rPr>
          <w:noProof/>
        </w:rPr>
        <w:t xml:space="preserve">., 23. és 28. komponens esetében, ahol a kiadások felülvizsgálatának I. és II. szakaszán alapuló ajánlások beépültek a reformprioritásokba. </w:t>
      </w:r>
    </w:p>
    <w:p w14:paraId="057350AA" w14:textId="77777777" w:rsidR="003E1D81" w:rsidRDefault="00EB481C">
      <w:pPr>
        <w:pStyle w:val="P68B1DB1-Text119"/>
        <w:ind w:left="0"/>
        <w:rPr>
          <w:rFonts w:cs="Times New Roman"/>
          <w:noProof/>
        </w:rPr>
      </w:pPr>
      <w:r>
        <w:rPr>
          <w:noProof/>
        </w:rPr>
        <w:t>Ez a reform várhatóan 2023. június 30-ig fejeződik be.</w:t>
      </w:r>
    </w:p>
    <w:p w14:paraId="33EA2FD3" w14:textId="77777777" w:rsidR="003E1D81" w:rsidRDefault="00EB481C">
      <w:pPr>
        <w:pStyle w:val="P68B1DB1-Text119"/>
        <w:ind w:left="0"/>
        <w:rPr>
          <w:rFonts w:cs="Times New Roman"/>
          <w:noProof/>
          <w:u w:val="single"/>
        </w:rPr>
      </w:pPr>
      <w:r>
        <w:rPr>
          <w:noProof/>
          <w:u w:val="single"/>
        </w:rPr>
        <w:t>Reform (C29.R2) – A központi kormányzati költségvetés összeh</w:t>
      </w:r>
      <w:r>
        <w:rPr>
          <w:noProof/>
          <w:u w:val="single"/>
        </w:rPr>
        <w:t>angolása a 2030-ig tartó időszakra szóló menetrend fenntarthatófejlődési céljaival</w:t>
      </w:r>
    </w:p>
    <w:p w14:paraId="3A396F9E" w14:textId="77777777" w:rsidR="003E1D81" w:rsidRDefault="00EB481C">
      <w:pPr>
        <w:pStyle w:val="P68B1DB1-Text119"/>
        <w:ind w:left="0"/>
        <w:rPr>
          <w:rFonts w:cs="Times New Roman"/>
          <w:noProof/>
        </w:rPr>
      </w:pPr>
      <w:r>
        <w:rPr>
          <w:noProof/>
        </w:rPr>
        <w:t>E reform célja az állami költségvetésnek az egész terv alapját képező fenntartható fejlődési célokkal való összehangolása. A reform az állami költségvetési folyamat keretébe</w:t>
      </w:r>
      <w:r>
        <w:rPr>
          <w:noProof/>
        </w:rPr>
        <w:t>n egy olyan jelentés közzétételéből áll, amely egy előre meghatározott módszertannak megfelelően tükrözi a közberuházásoknak a fenntartható fejlődési célokkal való összehangolását. Ez a reform az uniós technikai támogatási eszköz támogatásával jelenleg kid</w:t>
      </w:r>
      <w:r>
        <w:rPr>
          <w:noProof/>
        </w:rPr>
        <w:t xml:space="preserve">olgozás alatt álló módszertanra és nyomonkövetési keretre épül. </w:t>
      </w:r>
    </w:p>
    <w:p w14:paraId="487BE28E" w14:textId="77777777" w:rsidR="003E1D81" w:rsidRDefault="00EB481C">
      <w:pPr>
        <w:pStyle w:val="P68B1DB1-Text119"/>
        <w:ind w:left="0"/>
        <w:rPr>
          <w:rFonts w:cs="Times New Roman"/>
          <w:noProof/>
        </w:rPr>
      </w:pPr>
      <w:r>
        <w:rPr>
          <w:noProof/>
        </w:rPr>
        <w:t>Az intézkedés végrehajtását 2021. szeptember 30-ig be kell fejezni.</w:t>
      </w:r>
    </w:p>
    <w:p w14:paraId="53AF397A" w14:textId="77777777" w:rsidR="003E1D81" w:rsidRDefault="00EB481C">
      <w:pPr>
        <w:pStyle w:val="P68B1DB1-Text120"/>
        <w:ind w:left="0"/>
        <w:rPr>
          <w:rFonts w:cs="Times New Roman"/>
          <w:noProof/>
        </w:rPr>
      </w:pPr>
      <w:r>
        <w:rPr>
          <w:noProof/>
        </w:rPr>
        <w:t>Reform (C29.R3) – A központi kormányzati költségvetés összehangolása a környezetbarát költségvetés-tervezéssel</w:t>
      </w:r>
    </w:p>
    <w:p w14:paraId="043CD9A3" w14:textId="77777777" w:rsidR="003E1D81" w:rsidRDefault="00EB481C">
      <w:pPr>
        <w:pStyle w:val="P68B1DB1-Text119"/>
        <w:ind w:left="0"/>
        <w:rPr>
          <w:rFonts w:cs="Times New Roman"/>
          <w:noProof/>
        </w:rPr>
      </w:pPr>
      <w:r>
        <w:rPr>
          <w:noProof/>
        </w:rPr>
        <w:t xml:space="preserve">E reform </w:t>
      </w:r>
      <w:r>
        <w:rPr>
          <w:noProof/>
        </w:rPr>
        <w:t>célja, hogy középtávon összehangolja az állami költségvetést az EU zöld költségvetés-tervezési referenciakeretével. Megerősíti a második reformot és általánosabban a terv zöld törekvéseit. A reform a központi kormányzati költségvetési folyamat keretében ké</w:t>
      </w:r>
      <w:r>
        <w:rPr>
          <w:noProof/>
        </w:rPr>
        <w:t>t jelentés közzétételéből áll, amelyek a 2023-ra és 2024-re vonatkozó éves költségvetési törvényekhez képest feltérképezik a zöld és a barna kiadásokat. Ez a reform az uniós technikai támogatási eszköz támogatásával jelenleg kidolgozás alatt álló módszerta</w:t>
      </w:r>
      <w:r>
        <w:rPr>
          <w:noProof/>
        </w:rPr>
        <w:t>nra és nyomonkövetési keretre épül.</w:t>
      </w:r>
    </w:p>
    <w:p w14:paraId="2D75ED4D" w14:textId="77777777" w:rsidR="003E1D81" w:rsidRDefault="00EB481C">
      <w:pPr>
        <w:pStyle w:val="P68B1DB1-Text119"/>
        <w:ind w:left="0"/>
        <w:rPr>
          <w:rFonts w:cs="Times New Roman"/>
          <w:noProof/>
        </w:rPr>
      </w:pPr>
      <w:r>
        <w:rPr>
          <w:noProof/>
        </w:rPr>
        <w:t>Az intézkedés végrehajtását 2023. szeptember 30-ig be kell fejezni.</w:t>
      </w:r>
    </w:p>
    <w:p w14:paraId="201D6776" w14:textId="77777777" w:rsidR="003E1D81" w:rsidRDefault="00EB481C">
      <w:pPr>
        <w:pStyle w:val="P68B1DB1-Text138"/>
        <w:ind w:left="709"/>
        <w:rPr>
          <w:rFonts w:cs="Times New Roman"/>
          <w:noProof/>
        </w:rPr>
      </w:pPr>
      <w:r>
        <w:rPr>
          <w:noProof/>
        </w:rPr>
        <w:t xml:space="preserve">AC.2. </w:t>
      </w:r>
      <w:r>
        <w:rPr>
          <w:noProof/>
        </w:rPr>
        <w:tab/>
        <w:t>Vissza nem térítendő pénzügyi támogatás – a végrehajtáshoz és a nyomon követéshez kapcsolódó mérföldkövek, célok, mutatók és ütemterv</w:t>
      </w:r>
    </w:p>
    <w:p w14:paraId="2316CE18" w14:textId="77777777" w:rsidR="003E1D81" w:rsidRDefault="00EB481C">
      <w:pPr>
        <w:pStyle w:val="P68B1DB1-Normal4"/>
        <w:spacing w:before="120" w:after="120" w:line="240" w:lineRule="auto"/>
        <w:rPr>
          <w:rFonts w:cs="Times New Roman"/>
          <w:noProof/>
        </w:rPr>
      </w:pPr>
      <w:r>
        <w:rPr>
          <w:i/>
          <w:noProof/>
        </w:rPr>
        <w:t xml:space="preserve">Táblázat </w:t>
      </w:r>
      <w:r>
        <w:rPr>
          <w:i/>
          <w:noProof/>
        </w:rPr>
        <w:t>alább.</w:t>
      </w:r>
      <w:r>
        <w:rPr>
          <w:noProof/>
        </w:rPr>
        <w:t xml:space="preserve"> </w:t>
      </w:r>
      <w:r>
        <w:rPr>
          <w:i/>
          <w:noProof/>
        </w:rPr>
        <w:t>Az alapforgatókönyv valamennyi mutató esetében 2020. február 1-je, kivéve, ha az intézkedés leírása másként jelzi. A táblázatban szereplő összegek nem tartalmazzák a héát.</w:t>
      </w:r>
      <w:r>
        <w:rPr>
          <w:noProof/>
        </w:rPr>
        <w:t xml:space="preserve"> </w:t>
      </w:r>
    </w:p>
    <w:p w14:paraId="3CED3959" w14:textId="77777777" w:rsidR="003E1D81" w:rsidRDefault="003E1D81">
      <w:pPr>
        <w:pStyle w:val="Text1"/>
        <w:ind w:left="0"/>
        <w:rPr>
          <w:rFonts w:ascii="Times New Roman" w:hAnsi="Times New Roman" w:cs="Times New Roman"/>
          <w:b/>
          <w:noProof/>
          <w:u w:val="single"/>
        </w:rPr>
      </w:pPr>
    </w:p>
    <w:p w14:paraId="73BDE1DF" w14:textId="77777777" w:rsidR="003E1D81" w:rsidRDefault="003E1D81">
      <w:pPr>
        <w:pStyle w:val="Text1"/>
        <w:ind w:left="709"/>
        <w:rPr>
          <w:rFonts w:ascii="Times New Roman" w:hAnsi="Times New Roman" w:cs="Times New Roman"/>
          <w:noProof/>
        </w:rPr>
        <w:sectPr w:rsidR="003E1D81" w:rsidSect="00C94F66">
          <w:headerReference w:type="even" r:id="rId543"/>
          <w:headerReference w:type="default" r:id="rId544"/>
          <w:footerReference w:type="even" r:id="rId545"/>
          <w:footerReference w:type="default" r:id="rId546"/>
          <w:headerReference w:type="first" r:id="rId547"/>
          <w:footerReference w:type="first" r:id="rId548"/>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694"/>
        <w:gridCol w:w="992"/>
        <w:gridCol w:w="709"/>
        <w:gridCol w:w="567"/>
        <w:gridCol w:w="708"/>
        <w:gridCol w:w="567"/>
        <w:gridCol w:w="567"/>
        <w:gridCol w:w="6096"/>
      </w:tblGrid>
      <w:tr w:rsidR="003E1D81" w14:paraId="526BF9FA" w14:textId="77777777">
        <w:trPr>
          <w:trHeight w:val="309"/>
          <w:tblHeader/>
        </w:trPr>
        <w:tc>
          <w:tcPr>
            <w:tcW w:w="709" w:type="dxa"/>
            <w:tcBorders>
              <w:bottom w:val="nil"/>
            </w:tcBorders>
            <w:shd w:val="clear" w:color="auto" w:fill="C6D9F1" w:themeFill="text2" w:themeFillTint="33"/>
            <w:noWrap/>
            <w:vAlign w:val="center"/>
          </w:tcPr>
          <w:p w14:paraId="568F2058" w14:textId="77777777" w:rsidR="003E1D81" w:rsidRDefault="00EB481C">
            <w:pPr>
              <w:pStyle w:val="P68B1DB1-Normal12"/>
              <w:spacing w:after="0"/>
              <w:jc w:val="center"/>
              <w:rPr>
                <w:rFonts w:cs="Times New Roman"/>
                <w:noProof/>
              </w:rPr>
            </w:pPr>
            <w:r>
              <w:rPr>
                <w:noProof/>
              </w:rPr>
              <w:t>Szám</w:t>
            </w:r>
          </w:p>
        </w:tc>
        <w:tc>
          <w:tcPr>
            <w:tcW w:w="851" w:type="dxa"/>
            <w:tcBorders>
              <w:bottom w:val="nil"/>
            </w:tcBorders>
            <w:shd w:val="clear" w:color="auto" w:fill="C6D9F1" w:themeFill="text2" w:themeFillTint="33"/>
            <w:noWrap/>
            <w:vAlign w:val="center"/>
          </w:tcPr>
          <w:p w14:paraId="4BD8C562" w14:textId="77777777" w:rsidR="003E1D81" w:rsidRDefault="00EB481C">
            <w:pPr>
              <w:pStyle w:val="P68B1DB1-Normal12"/>
              <w:spacing w:after="0"/>
              <w:jc w:val="center"/>
              <w:rPr>
                <w:rFonts w:cs="Times New Roman"/>
                <w:noProof/>
              </w:rPr>
            </w:pPr>
            <w:r>
              <w:rPr>
                <w:noProof/>
              </w:rPr>
              <w:t>Intézkedé</w:t>
            </w:r>
            <w:r>
              <w:rPr>
                <w:noProof/>
              </w:rPr>
              <w:t>s</w:t>
            </w:r>
          </w:p>
        </w:tc>
        <w:tc>
          <w:tcPr>
            <w:tcW w:w="850" w:type="dxa"/>
            <w:tcBorders>
              <w:bottom w:val="nil"/>
            </w:tcBorders>
            <w:shd w:val="clear" w:color="auto" w:fill="C6D9F1" w:themeFill="text2" w:themeFillTint="33"/>
            <w:noWrap/>
            <w:vAlign w:val="center"/>
          </w:tcPr>
          <w:p w14:paraId="56190C47" w14:textId="77777777" w:rsidR="003E1D81" w:rsidRDefault="00EB481C">
            <w:pPr>
              <w:pStyle w:val="P68B1DB1-Normal12"/>
              <w:spacing w:after="0"/>
              <w:jc w:val="center"/>
              <w:rPr>
                <w:rFonts w:cs="Times New Roman"/>
                <w:noProof/>
              </w:rPr>
            </w:pPr>
            <w:r>
              <w:rPr>
                <w:noProof/>
              </w:rPr>
              <w:t>Mérföldkő</w:t>
            </w:r>
            <w:r>
              <w:rPr>
                <w:noProof/>
              </w:rPr>
              <w:br/>
              <w:t xml:space="preserve"> /Cél</w:t>
            </w:r>
          </w:p>
        </w:tc>
        <w:tc>
          <w:tcPr>
            <w:tcW w:w="2694" w:type="dxa"/>
            <w:tcBorders>
              <w:bottom w:val="nil"/>
            </w:tcBorders>
            <w:shd w:val="clear" w:color="auto" w:fill="C6D9F1" w:themeFill="text2" w:themeFillTint="33"/>
            <w:noWrap/>
            <w:vAlign w:val="center"/>
          </w:tcPr>
          <w:p w14:paraId="19F8EB2B" w14:textId="77777777" w:rsidR="003E1D81" w:rsidRDefault="00EB481C">
            <w:pPr>
              <w:pStyle w:val="P68B1DB1-Normal12"/>
              <w:spacing w:after="0"/>
              <w:jc w:val="center"/>
              <w:rPr>
                <w:rFonts w:cs="Times New Roman"/>
                <w:noProof/>
              </w:rPr>
            </w:pPr>
            <w:r>
              <w:rPr>
                <w:noProof/>
              </w:rPr>
              <w:t>Név</w:t>
            </w:r>
          </w:p>
        </w:tc>
        <w:tc>
          <w:tcPr>
            <w:tcW w:w="992" w:type="dxa"/>
            <w:tcBorders>
              <w:bottom w:val="nil"/>
            </w:tcBorders>
            <w:shd w:val="clear" w:color="auto" w:fill="C6D9F1" w:themeFill="text2" w:themeFillTint="33"/>
            <w:noWrap/>
            <w:vAlign w:val="center"/>
          </w:tcPr>
          <w:p w14:paraId="7D628F42" w14:textId="77777777" w:rsidR="003E1D81" w:rsidRDefault="00EB481C">
            <w:pPr>
              <w:pStyle w:val="P68B1DB1-Normal12"/>
              <w:spacing w:after="0"/>
              <w:jc w:val="center"/>
              <w:rPr>
                <w:rFonts w:cs="Times New Roman"/>
                <w:noProof/>
              </w:rPr>
            </w:pPr>
            <w:r>
              <w:rPr>
                <w:noProof/>
              </w:rPr>
              <w:t>A mérföldkövek minőségi mutatója</w:t>
            </w:r>
          </w:p>
        </w:tc>
        <w:tc>
          <w:tcPr>
            <w:tcW w:w="1984" w:type="dxa"/>
            <w:gridSpan w:val="3"/>
            <w:shd w:val="clear" w:color="auto" w:fill="C6D9F1" w:themeFill="text2" w:themeFillTint="33"/>
            <w:noWrap/>
            <w:vAlign w:val="center"/>
          </w:tcPr>
          <w:p w14:paraId="491ED17C" w14:textId="77777777" w:rsidR="003E1D81" w:rsidRDefault="00EB481C">
            <w:pPr>
              <w:pStyle w:val="P68B1DB1-Normal12"/>
              <w:spacing w:after="0"/>
              <w:jc w:val="center"/>
              <w:rPr>
                <w:rFonts w:cs="Times New Roman"/>
                <w:noProof/>
              </w:rPr>
            </w:pPr>
            <w:r>
              <w:rPr>
                <w:noProof/>
              </w:rPr>
              <w:t>A célérték mennyiségi mutatója</w:t>
            </w:r>
          </w:p>
        </w:tc>
        <w:tc>
          <w:tcPr>
            <w:tcW w:w="1134" w:type="dxa"/>
            <w:gridSpan w:val="2"/>
            <w:shd w:val="clear" w:color="auto" w:fill="C6D9F1" w:themeFill="text2" w:themeFillTint="33"/>
            <w:noWrap/>
            <w:vAlign w:val="center"/>
          </w:tcPr>
          <w:p w14:paraId="3E575B49" w14:textId="77777777" w:rsidR="003E1D81" w:rsidRDefault="00EB481C">
            <w:pPr>
              <w:pStyle w:val="P68B1DB1-Normal12"/>
              <w:spacing w:after="0"/>
              <w:jc w:val="center"/>
              <w:rPr>
                <w:rFonts w:cs="Times New Roman"/>
                <w:noProof/>
              </w:rPr>
            </w:pPr>
            <w:r>
              <w:rPr>
                <w:noProof/>
              </w:rPr>
              <w:t>Idő</w:t>
            </w:r>
          </w:p>
        </w:tc>
        <w:tc>
          <w:tcPr>
            <w:tcW w:w="6096" w:type="dxa"/>
            <w:tcBorders>
              <w:bottom w:val="nil"/>
            </w:tcBorders>
            <w:shd w:val="clear" w:color="auto" w:fill="C6D9F1" w:themeFill="text2" w:themeFillTint="33"/>
            <w:noWrap/>
            <w:vAlign w:val="center"/>
          </w:tcPr>
          <w:p w14:paraId="3855E62C" w14:textId="77777777" w:rsidR="003E1D81" w:rsidRDefault="00EB481C">
            <w:pPr>
              <w:pStyle w:val="P68B1DB1-Normal12"/>
              <w:spacing w:after="0"/>
              <w:jc w:val="center"/>
              <w:rPr>
                <w:rFonts w:cs="Times New Roman"/>
                <w:noProof/>
              </w:rPr>
            </w:pPr>
            <w:r>
              <w:rPr>
                <w:noProof/>
              </w:rPr>
              <w:t>Az egyes mérföldkövek és célértékek leírása</w:t>
            </w:r>
          </w:p>
        </w:tc>
      </w:tr>
      <w:tr w:rsidR="003E1D81" w14:paraId="35CF314C" w14:textId="77777777">
        <w:trPr>
          <w:trHeight w:val="309"/>
          <w:tblHeader/>
        </w:trPr>
        <w:tc>
          <w:tcPr>
            <w:tcW w:w="709" w:type="dxa"/>
            <w:tcBorders>
              <w:top w:val="nil"/>
            </w:tcBorders>
            <w:shd w:val="clear" w:color="auto" w:fill="C6D9F1" w:themeFill="text2" w:themeFillTint="33"/>
            <w:noWrap/>
          </w:tcPr>
          <w:p w14:paraId="1361DD6A" w14:textId="77777777" w:rsidR="003E1D81" w:rsidRDefault="003E1D81">
            <w:pPr>
              <w:spacing w:after="0"/>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2C77ED12" w14:textId="77777777" w:rsidR="003E1D81" w:rsidRDefault="003E1D81">
            <w:pPr>
              <w:spacing w:after="0"/>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FCEA2E9" w14:textId="77777777" w:rsidR="003E1D81" w:rsidRDefault="003E1D81">
            <w:pPr>
              <w:spacing w:after="0"/>
              <w:jc w:val="center"/>
              <w:rPr>
                <w:rFonts w:ascii="Times New Roman" w:hAnsi="Times New Roman" w:cs="Times New Roman"/>
                <w:b/>
                <w:noProof/>
                <w:sz w:val="18"/>
              </w:rPr>
            </w:pPr>
          </w:p>
        </w:tc>
        <w:tc>
          <w:tcPr>
            <w:tcW w:w="2694" w:type="dxa"/>
            <w:tcBorders>
              <w:top w:val="nil"/>
            </w:tcBorders>
            <w:shd w:val="clear" w:color="auto" w:fill="C6D9F1" w:themeFill="text2" w:themeFillTint="33"/>
            <w:noWrap/>
          </w:tcPr>
          <w:p w14:paraId="054C702F" w14:textId="77777777" w:rsidR="003E1D81" w:rsidRDefault="003E1D81">
            <w:pPr>
              <w:spacing w:after="0"/>
              <w:rPr>
                <w:rFonts w:ascii="Times New Roman" w:hAnsi="Times New Roman" w:cs="Times New Roman"/>
                <w:b/>
                <w:noProof/>
                <w:sz w:val="18"/>
              </w:rPr>
            </w:pPr>
          </w:p>
        </w:tc>
        <w:tc>
          <w:tcPr>
            <w:tcW w:w="992" w:type="dxa"/>
            <w:tcBorders>
              <w:top w:val="nil"/>
            </w:tcBorders>
            <w:shd w:val="clear" w:color="auto" w:fill="C6D9F1" w:themeFill="text2" w:themeFillTint="33"/>
            <w:noWrap/>
          </w:tcPr>
          <w:p w14:paraId="60785CA4" w14:textId="77777777" w:rsidR="003E1D81" w:rsidRDefault="003E1D81">
            <w:pPr>
              <w:spacing w:after="0"/>
              <w:jc w:val="center"/>
              <w:rPr>
                <w:rFonts w:ascii="Times New Roman" w:hAnsi="Times New Roman" w:cs="Times New Roman"/>
                <w:b/>
                <w:noProof/>
                <w:sz w:val="18"/>
              </w:rPr>
            </w:pPr>
          </w:p>
        </w:tc>
        <w:tc>
          <w:tcPr>
            <w:tcW w:w="709" w:type="dxa"/>
            <w:shd w:val="clear" w:color="auto" w:fill="C6D9F1" w:themeFill="text2" w:themeFillTint="33"/>
            <w:noWrap/>
            <w:vAlign w:val="center"/>
          </w:tcPr>
          <w:p w14:paraId="0486E7CF" w14:textId="77777777" w:rsidR="003E1D81" w:rsidRDefault="00EB481C">
            <w:pPr>
              <w:pStyle w:val="P68B1DB1-Normal12"/>
              <w:spacing w:after="0"/>
              <w:jc w:val="center"/>
              <w:rPr>
                <w:rFonts w:cs="Times New Roman"/>
                <w:noProof/>
              </w:rPr>
            </w:pPr>
            <w:r>
              <w:rPr>
                <w:noProof/>
              </w:rPr>
              <w:t>Egység</w:t>
            </w:r>
          </w:p>
        </w:tc>
        <w:tc>
          <w:tcPr>
            <w:tcW w:w="567" w:type="dxa"/>
            <w:shd w:val="clear" w:color="auto" w:fill="C6D9F1" w:themeFill="text2" w:themeFillTint="33"/>
            <w:noWrap/>
            <w:vAlign w:val="center"/>
          </w:tcPr>
          <w:p w14:paraId="467796B6" w14:textId="77777777" w:rsidR="003E1D81" w:rsidRDefault="00EB481C">
            <w:pPr>
              <w:pStyle w:val="P68B1DB1-Normal12"/>
              <w:spacing w:after="0"/>
              <w:jc w:val="center"/>
              <w:rPr>
                <w:rFonts w:cs="Times New Roman"/>
                <w:noProof/>
              </w:rPr>
            </w:pPr>
            <w:r>
              <w:rPr>
                <w:noProof/>
              </w:rPr>
              <w:t>Alapérték</w:t>
            </w:r>
          </w:p>
        </w:tc>
        <w:tc>
          <w:tcPr>
            <w:tcW w:w="708" w:type="dxa"/>
            <w:shd w:val="clear" w:color="auto" w:fill="C6D9F1" w:themeFill="text2" w:themeFillTint="33"/>
            <w:noWrap/>
            <w:vAlign w:val="center"/>
          </w:tcPr>
          <w:p w14:paraId="74DDABE4" w14:textId="77777777" w:rsidR="003E1D81" w:rsidRDefault="00EB481C">
            <w:pPr>
              <w:pStyle w:val="P68B1DB1-Normal12"/>
              <w:spacing w:after="0"/>
              <w:jc w:val="center"/>
              <w:rPr>
                <w:rFonts w:cs="Times New Roman"/>
                <w:noProof/>
              </w:rPr>
            </w:pPr>
            <w:r>
              <w:rPr>
                <w:noProof/>
              </w:rPr>
              <w:t>Cél</w:t>
            </w:r>
          </w:p>
        </w:tc>
        <w:tc>
          <w:tcPr>
            <w:tcW w:w="567" w:type="dxa"/>
            <w:shd w:val="clear" w:color="auto" w:fill="C6D9F1" w:themeFill="text2" w:themeFillTint="33"/>
            <w:noWrap/>
            <w:vAlign w:val="center"/>
          </w:tcPr>
          <w:p w14:paraId="7718399E" w14:textId="77777777" w:rsidR="003E1D81" w:rsidRDefault="00EB481C">
            <w:pPr>
              <w:pStyle w:val="P68B1DB1-Normal12"/>
              <w:spacing w:after="0"/>
              <w:jc w:val="center"/>
              <w:rPr>
                <w:rFonts w:cs="Times New Roman"/>
                <w:noProof/>
              </w:rPr>
            </w:pPr>
            <w:r>
              <w:rPr>
                <w:noProof/>
              </w:rPr>
              <w:t>Q</w:t>
            </w:r>
          </w:p>
        </w:tc>
        <w:tc>
          <w:tcPr>
            <w:tcW w:w="567" w:type="dxa"/>
            <w:shd w:val="clear" w:color="auto" w:fill="C6D9F1" w:themeFill="text2" w:themeFillTint="33"/>
            <w:noWrap/>
            <w:vAlign w:val="center"/>
          </w:tcPr>
          <w:p w14:paraId="776762E6" w14:textId="77777777" w:rsidR="003E1D81" w:rsidRDefault="00EB481C">
            <w:pPr>
              <w:pStyle w:val="P68B1DB1-Normal12"/>
              <w:spacing w:after="0"/>
              <w:jc w:val="center"/>
              <w:rPr>
                <w:rFonts w:cs="Times New Roman"/>
                <w:noProof/>
              </w:rPr>
            </w:pPr>
            <w:r>
              <w:rPr>
                <w:noProof/>
              </w:rPr>
              <w:t>Éve</w:t>
            </w:r>
          </w:p>
        </w:tc>
        <w:tc>
          <w:tcPr>
            <w:tcW w:w="6096" w:type="dxa"/>
            <w:tcBorders>
              <w:top w:val="nil"/>
            </w:tcBorders>
            <w:shd w:val="clear" w:color="auto" w:fill="C6D9F1" w:themeFill="text2" w:themeFillTint="33"/>
            <w:noWrap/>
          </w:tcPr>
          <w:p w14:paraId="5449FF2D" w14:textId="77777777" w:rsidR="003E1D81" w:rsidRDefault="003E1D81">
            <w:pPr>
              <w:spacing w:after="0"/>
              <w:rPr>
                <w:rFonts w:ascii="Times New Roman" w:hAnsi="Times New Roman" w:cs="Times New Roman"/>
                <w:b/>
                <w:noProof/>
                <w:sz w:val="18"/>
              </w:rPr>
            </w:pPr>
          </w:p>
        </w:tc>
      </w:tr>
      <w:tr w:rsidR="003E1D81" w14:paraId="2F15455E" w14:textId="77777777">
        <w:trPr>
          <w:trHeight w:val="309"/>
        </w:trPr>
        <w:tc>
          <w:tcPr>
            <w:tcW w:w="709" w:type="dxa"/>
            <w:shd w:val="clear" w:color="auto" w:fill="C6EFCE"/>
            <w:noWrap/>
          </w:tcPr>
          <w:p w14:paraId="68A3032E" w14:textId="77777777" w:rsidR="003E1D81" w:rsidRDefault="00EB481C">
            <w:pPr>
              <w:pStyle w:val="P68B1DB1-Normal13"/>
              <w:spacing w:after="0"/>
              <w:jc w:val="center"/>
              <w:rPr>
                <w:rFonts w:eastAsia="Times New Roman" w:cs="Times New Roman"/>
                <w:noProof/>
              </w:rPr>
            </w:pPr>
            <w:r>
              <w:rPr>
                <w:noProof/>
              </w:rPr>
              <w:t>397</w:t>
            </w:r>
          </w:p>
        </w:tc>
        <w:tc>
          <w:tcPr>
            <w:tcW w:w="851" w:type="dxa"/>
            <w:shd w:val="clear" w:color="auto" w:fill="C6EFCE"/>
            <w:noWrap/>
          </w:tcPr>
          <w:p w14:paraId="50BDDBFE" w14:textId="77777777" w:rsidR="003E1D81" w:rsidRDefault="00EB481C">
            <w:pPr>
              <w:pStyle w:val="P68B1DB1-Normal13"/>
              <w:spacing w:after="0"/>
              <w:jc w:val="center"/>
              <w:rPr>
                <w:rFonts w:eastAsia="Times New Roman" w:cs="Times New Roman"/>
                <w:noProof/>
              </w:rPr>
            </w:pPr>
            <w:r>
              <w:rPr>
                <w:noProof/>
              </w:rPr>
              <w:t>C29.R1</w:t>
            </w:r>
          </w:p>
        </w:tc>
        <w:tc>
          <w:tcPr>
            <w:tcW w:w="850" w:type="dxa"/>
            <w:shd w:val="clear" w:color="auto" w:fill="C6EFCE"/>
            <w:noWrap/>
          </w:tcPr>
          <w:p w14:paraId="1EAD88C6" w14:textId="77777777" w:rsidR="003E1D81" w:rsidRDefault="00EB481C">
            <w:pPr>
              <w:pStyle w:val="P68B1DB1-Normal13"/>
              <w:spacing w:after="0"/>
              <w:jc w:val="center"/>
              <w:rPr>
                <w:rFonts w:eastAsia="Times New Roman" w:cs="Times New Roman"/>
                <w:noProof/>
              </w:rPr>
            </w:pPr>
            <w:r>
              <w:rPr>
                <w:noProof/>
              </w:rPr>
              <w:t>M</w:t>
            </w:r>
          </w:p>
        </w:tc>
        <w:tc>
          <w:tcPr>
            <w:tcW w:w="2694" w:type="dxa"/>
            <w:shd w:val="clear" w:color="auto" w:fill="C6EFCE"/>
            <w:noWrap/>
          </w:tcPr>
          <w:p w14:paraId="0264E42F" w14:textId="6F2057AA" w:rsidR="003E1D81" w:rsidRDefault="00EB481C">
            <w:pPr>
              <w:pStyle w:val="P68B1DB1-Normal13"/>
              <w:spacing w:after="0"/>
              <w:rPr>
                <w:rFonts w:eastAsia="Times New Roman" w:cs="Times New Roman"/>
                <w:noProof/>
              </w:rPr>
            </w:pPr>
            <w:r>
              <w:rPr>
                <w:noProof/>
              </w:rPr>
              <w:t xml:space="preserve">Állandó csoport felállítása a pénzügyminisztériumon belül a kiadások </w:t>
            </w:r>
            <w:r>
              <w:rPr>
                <w:noProof/>
              </w:rPr>
              <w:t>felülvizsgálatának eredményei végrehajtásának aktív nyomon követésére és az éves költségvetési törvény kidolgozási rendjének jóváhagyására</w:t>
            </w:r>
          </w:p>
        </w:tc>
        <w:tc>
          <w:tcPr>
            <w:tcW w:w="992" w:type="dxa"/>
            <w:shd w:val="clear" w:color="auto" w:fill="C6EFCE"/>
            <w:noWrap/>
          </w:tcPr>
          <w:p w14:paraId="739280CA" w14:textId="77777777" w:rsidR="003E1D81" w:rsidRDefault="00EB481C">
            <w:pPr>
              <w:pStyle w:val="P68B1DB1-Normal13"/>
              <w:spacing w:after="0"/>
              <w:jc w:val="center"/>
              <w:rPr>
                <w:rFonts w:eastAsia="Times New Roman" w:cs="Times New Roman"/>
                <w:noProof/>
              </w:rPr>
            </w:pPr>
            <w:r>
              <w:rPr>
                <w:noProof/>
              </w:rPr>
              <w:t>A jogszabály hatálybalépésére utaló rendelkezések. Az éves költségvetési törvény kidolgozásának sorrendje</w:t>
            </w:r>
          </w:p>
        </w:tc>
        <w:tc>
          <w:tcPr>
            <w:tcW w:w="709" w:type="dxa"/>
            <w:shd w:val="clear" w:color="auto" w:fill="C6EFCE"/>
            <w:noWrap/>
          </w:tcPr>
          <w:p w14:paraId="5663BB8C" w14:textId="77777777" w:rsidR="003E1D81" w:rsidRDefault="00EB481C">
            <w:pPr>
              <w:pStyle w:val="P68B1DB1-Normal13"/>
              <w:spacing w:after="0"/>
              <w:jc w:val="center"/>
              <w:rPr>
                <w:rFonts w:eastAsia="Times New Roman" w:cs="Times New Roman"/>
                <w:noProof/>
              </w:rPr>
            </w:pPr>
            <w:r>
              <w:rPr>
                <w:noProof/>
              </w:rPr>
              <w:t xml:space="preserve"> </w:t>
            </w:r>
          </w:p>
        </w:tc>
        <w:tc>
          <w:tcPr>
            <w:tcW w:w="567" w:type="dxa"/>
            <w:shd w:val="clear" w:color="auto" w:fill="C6EFCE"/>
            <w:noWrap/>
          </w:tcPr>
          <w:p w14:paraId="4B1EC57F" w14:textId="77777777" w:rsidR="003E1D81" w:rsidRDefault="00EB481C">
            <w:pPr>
              <w:pStyle w:val="P68B1DB1-Normal13"/>
              <w:spacing w:after="0"/>
              <w:jc w:val="right"/>
              <w:rPr>
                <w:rFonts w:eastAsia="Times New Roman" w:cs="Times New Roman"/>
                <w:noProof/>
              </w:rPr>
            </w:pPr>
            <w:r>
              <w:rPr>
                <w:noProof/>
              </w:rPr>
              <w:t xml:space="preserve"> </w:t>
            </w:r>
          </w:p>
        </w:tc>
        <w:tc>
          <w:tcPr>
            <w:tcW w:w="708" w:type="dxa"/>
            <w:shd w:val="clear" w:color="auto" w:fill="C6EFCE"/>
            <w:noWrap/>
          </w:tcPr>
          <w:p w14:paraId="768B7898" w14:textId="77777777" w:rsidR="003E1D81" w:rsidRDefault="00EB481C">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5F9E48CB" w14:textId="77777777" w:rsidR="003E1D81" w:rsidRDefault="00EB481C">
            <w:pPr>
              <w:pStyle w:val="P68B1DB1-Normal13"/>
              <w:spacing w:after="0"/>
              <w:jc w:val="center"/>
              <w:rPr>
                <w:rFonts w:eastAsia="Times New Roman" w:cs="Times New Roman"/>
                <w:noProof/>
              </w:rPr>
            </w:pPr>
            <w:r>
              <w:rPr>
                <w:noProof/>
              </w:rPr>
              <w:t>KÉRDÉ</w:t>
            </w:r>
            <w:r>
              <w:rPr>
                <w:noProof/>
              </w:rPr>
              <w:t>S</w:t>
            </w:r>
          </w:p>
        </w:tc>
        <w:tc>
          <w:tcPr>
            <w:tcW w:w="567" w:type="dxa"/>
            <w:shd w:val="clear" w:color="auto" w:fill="C6EFCE"/>
            <w:noWrap/>
          </w:tcPr>
          <w:p w14:paraId="565B6B09" w14:textId="77777777" w:rsidR="003E1D81" w:rsidRDefault="00EB481C">
            <w:pPr>
              <w:pStyle w:val="P68B1DB1-Normal13"/>
              <w:spacing w:after="0"/>
              <w:jc w:val="center"/>
              <w:rPr>
                <w:rFonts w:eastAsia="Times New Roman" w:cs="Times New Roman"/>
                <w:noProof/>
              </w:rPr>
            </w:pPr>
            <w:r>
              <w:rPr>
                <w:noProof/>
              </w:rPr>
              <w:t>2021</w:t>
            </w:r>
          </w:p>
        </w:tc>
        <w:tc>
          <w:tcPr>
            <w:tcW w:w="6096" w:type="dxa"/>
            <w:shd w:val="clear" w:color="auto" w:fill="C6EFCE"/>
            <w:noWrap/>
          </w:tcPr>
          <w:p w14:paraId="0C262991" w14:textId="77777777" w:rsidR="003E1D81" w:rsidRDefault="00EB481C">
            <w:pPr>
              <w:pStyle w:val="P68B1DB1-Normal13"/>
              <w:spacing w:after="0"/>
              <w:rPr>
                <w:rFonts w:eastAsia="Times New Roman" w:cs="Times New Roman"/>
                <w:noProof/>
              </w:rPr>
            </w:pPr>
            <w:r>
              <w:rPr>
                <w:noProof/>
              </w:rPr>
              <w:t xml:space="preserve">I. a pénzügyminisztériumon belül (a Költségvetési és Költségügyi Államtitkárságon belül) létre kell hozni egy állandó csoportot a kiadások felülvizsgálatának eredményei végrehajtásának aktív nyomon követésére, előmozdítva a „tartsd be vagy indokold </w:t>
            </w:r>
            <w:r>
              <w:rPr>
                <w:noProof/>
              </w:rPr>
              <w:t>meg” elvet; valamint ii. a Pénzügyminisztérium azon kötelezettségvállalása, hogy éves jelentést tesz közzé, amely választ ad az AIReF által kiadott összes kiadás-felülvizsgálati ajánlásra. Az éves költségvetési törvény kidolgozási rendjének tartalmaznia ke</w:t>
            </w:r>
            <w:r>
              <w:rPr>
                <w:noProof/>
              </w:rPr>
              <w:t>ll a központi közigazgatás és a társadalombiztosítás arra vonatkozó kötelezettségvállalását, hogy a költségvetési ciklus során nyomon követi és nyomon követi a kiadások felülvizsgálatában foglalt ajánlásokat, beleértve a következő évben végrehajtott vagy v</w:t>
            </w:r>
            <w:r>
              <w:rPr>
                <w:noProof/>
              </w:rPr>
              <w:t>égrehajtani tervezett intézkedéseket is.</w:t>
            </w:r>
          </w:p>
        </w:tc>
      </w:tr>
      <w:tr w:rsidR="003E1D81" w14:paraId="3C7FAF28" w14:textId="77777777">
        <w:trPr>
          <w:trHeight w:val="309"/>
        </w:trPr>
        <w:tc>
          <w:tcPr>
            <w:tcW w:w="709" w:type="dxa"/>
            <w:shd w:val="clear" w:color="auto" w:fill="C6EFCE"/>
            <w:noWrap/>
          </w:tcPr>
          <w:p w14:paraId="5E12E8A2" w14:textId="77777777" w:rsidR="003E1D81" w:rsidRDefault="00EB481C">
            <w:pPr>
              <w:pStyle w:val="P68B1DB1-Normal13"/>
              <w:spacing w:after="0"/>
              <w:jc w:val="center"/>
              <w:rPr>
                <w:rFonts w:eastAsia="Times New Roman" w:cs="Times New Roman"/>
                <w:noProof/>
              </w:rPr>
            </w:pPr>
            <w:r>
              <w:rPr>
                <w:noProof/>
              </w:rPr>
              <w:t>398</w:t>
            </w:r>
          </w:p>
        </w:tc>
        <w:tc>
          <w:tcPr>
            <w:tcW w:w="851" w:type="dxa"/>
            <w:shd w:val="clear" w:color="auto" w:fill="C6EFCE"/>
            <w:noWrap/>
          </w:tcPr>
          <w:p w14:paraId="1673859E" w14:textId="77777777" w:rsidR="003E1D81" w:rsidRDefault="00EB481C">
            <w:pPr>
              <w:pStyle w:val="P68B1DB1-Normal13"/>
              <w:spacing w:after="0"/>
              <w:jc w:val="center"/>
              <w:rPr>
                <w:rFonts w:eastAsia="Times New Roman" w:cs="Times New Roman"/>
                <w:noProof/>
              </w:rPr>
            </w:pPr>
            <w:r>
              <w:rPr>
                <w:noProof/>
              </w:rPr>
              <w:t>C29.R1</w:t>
            </w:r>
          </w:p>
        </w:tc>
        <w:tc>
          <w:tcPr>
            <w:tcW w:w="850" w:type="dxa"/>
            <w:shd w:val="clear" w:color="auto" w:fill="C6EFCE"/>
            <w:noWrap/>
          </w:tcPr>
          <w:p w14:paraId="68D9AE0D" w14:textId="77777777" w:rsidR="003E1D81" w:rsidRDefault="00EB481C">
            <w:pPr>
              <w:pStyle w:val="P68B1DB1-Normal13"/>
              <w:spacing w:after="0"/>
              <w:jc w:val="center"/>
              <w:rPr>
                <w:rFonts w:eastAsia="Times New Roman" w:cs="Times New Roman"/>
                <w:noProof/>
              </w:rPr>
            </w:pPr>
            <w:r>
              <w:rPr>
                <w:noProof/>
              </w:rPr>
              <w:t>M</w:t>
            </w:r>
          </w:p>
        </w:tc>
        <w:tc>
          <w:tcPr>
            <w:tcW w:w="2694" w:type="dxa"/>
            <w:shd w:val="clear" w:color="auto" w:fill="C6EFCE"/>
            <w:noWrap/>
          </w:tcPr>
          <w:p w14:paraId="01F716A6" w14:textId="77777777" w:rsidR="003E1D81" w:rsidRDefault="00EB481C">
            <w:pPr>
              <w:pStyle w:val="P68B1DB1-Normal13"/>
              <w:spacing w:after="0"/>
              <w:rPr>
                <w:rFonts w:eastAsia="Times New Roman" w:cs="Times New Roman"/>
                <w:noProof/>
              </w:rPr>
            </w:pPr>
            <w:r>
              <w:rPr>
                <w:noProof/>
              </w:rPr>
              <w:t>A kiadások felülvizsgálatának III. szakasza</w:t>
            </w:r>
          </w:p>
        </w:tc>
        <w:tc>
          <w:tcPr>
            <w:tcW w:w="992" w:type="dxa"/>
            <w:shd w:val="clear" w:color="auto" w:fill="C6EFCE"/>
            <w:noWrap/>
          </w:tcPr>
          <w:p w14:paraId="7F2C7D52" w14:textId="77777777" w:rsidR="003E1D81" w:rsidRDefault="00EB481C">
            <w:pPr>
              <w:pStyle w:val="P68B1DB1-Normal13"/>
              <w:spacing w:after="0"/>
              <w:jc w:val="center"/>
              <w:rPr>
                <w:rFonts w:eastAsia="Times New Roman" w:cs="Times New Roman"/>
                <w:noProof/>
              </w:rPr>
            </w:pPr>
            <w:r>
              <w:rPr>
                <w:noProof/>
              </w:rPr>
              <w:t>A Miniszterek Tanácsának jóváhagyása</w:t>
            </w:r>
          </w:p>
        </w:tc>
        <w:tc>
          <w:tcPr>
            <w:tcW w:w="709" w:type="dxa"/>
            <w:shd w:val="clear" w:color="auto" w:fill="C6EFCE"/>
            <w:noWrap/>
          </w:tcPr>
          <w:p w14:paraId="68D0BAA2" w14:textId="77777777" w:rsidR="003E1D81" w:rsidRDefault="00EB481C">
            <w:pPr>
              <w:pStyle w:val="P68B1DB1-Normal13"/>
              <w:spacing w:after="0"/>
              <w:jc w:val="center"/>
              <w:rPr>
                <w:rFonts w:eastAsia="Times New Roman" w:cs="Times New Roman"/>
                <w:noProof/>
              </w:rPr>
            </w:pPr>
            <w:r>
              <w:rPr>
                <w:noProof/>
              </w:rPr>
              <w:t xml:space="preserve"> </w:t>
            </w:r>
          </w:p>
        </w:tc>
        <w:tc>
          <w:tcPr>
            <w:tcW w:w="567" w:type="dxa"/>
            <w:shd w:val="clear" w:color="auto" w:fill="C6EFCE"/>
            <w:noWrap/>
          </w:tcPr>
          <w:p w14:paraId="2A94D5C2" w14:textId="77777777" w:rsidR="003E1D81" w:rsidRDefault="00EB481C">
            <w:pPr>
              <w:pStyle w:val="P68B1DB1-Normal13"/>
              <w:spacing w:after="0"/>
              <w:jc w:val="right"/>
              <w:rPr>
                <w:rFonts w:eastAsia="Times New Roman" w:cs="Times New Roman"/>
                <w:noProof/>
              </w:rPr>
            </w:pPr>
            <w:r>
              <w:rPr>
                <w:noProof/>
              </w:rPr>
              <w:t xml:space="preserve"> </w:t>
            </w:r>
          </w:p>
        </w:tc>
        <w:tc>
          <w:tcPr>
            <w:tcW w:w="708" w:type="dxa"/>
            <w:shd w:val="clear" w:color="auto" w:fill="C6EFCE"/>
            <w:noWrap/>
          </w:tcPr>
          <w:p w14:paraId="2AD94573" w14:textId="77777777" w:rsidR="003E1D81" w:rsidRDefault="00EB481C">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6C4A1BAD" w14:textId="77777777" w:rsidR="003E1D81" w:rsidRDefault="00EB481C">
            <w:pPr>
              <w:pStyle w:val="P68B1DB1-Normal13"/>
              <w:spacing w:after="0"/>
              <w:jc w:val="center"/>
              <w:rPr>
                <w:rFonts w:eastAsia="Times New Roman" w:cs="Times New Roman"/>
                <w:noProof/>
              </w:rPr>
            </w:pPr>
            <w:r>
              <w:rPr>
                <w:noProof/>
              </w:rPr>
              <w:t>KÉRDÉS</w:t>
            </w:r>
          </w:p>
        </w:tc>
        <w:tc>
          <w:tcPr>
            <w:tcW w:w="567" w:type="dxa"/>
            <w:shd w:val="clear" w:color="auto" w:fill="C6EFCE"/>
            <w:noWrap/>
          </w:tcPr>
          <w:p w14:paraId="72149FF3" w14:textId="77777777" w:rsidR="003E1D81" w:rsidRDefault="00EB481C">
            <w:pPr>
              <w:pStyle w:val="P68B1DB1-Normal13"/>
              <w:spacing w:after="0"/>
              <w:jc w:val="center"/>
              <w:rPr>
                <w:rFonts w:eastAsia="Times New Roman" w:cs="Times New Roman"/>
                <w:noProof/>
              </w:rPr>
            </w:pPr>
            <w:r>
              <w:rPr>
                <w:noProof/>
              </w:rPr>
              <w:t>2021</w:t>
            </w:r>
          </w:p>
        </w:tc>
        <w:tc>
          <w:tcPr>
            <w:tcW w:w="6096" w:type="dxa"/>
            <w:shd w:val="clear" w:color="auto" w:fill="C6EFCE"/>
            <w:noWrap/>
          </w:tcPr>
          <w:p w14:paraId="1C4920E5" w14:textId="77777777" w:rsidR="003E1D81" w:rsidRDefault="00EB481C">
            <w:pPr>
              <w:pStyle w:val="P68B1DB1-Normal13"/>
              <w:spacing w:after="0"/>
              <w:rPr>
                <w:rFonts w:eastAsia="Times New Roman" w:cs="Times New Roman"/>
                <w:noProof/>
              </w:rPr>
            </w:pPr>
            <w:r>
              <w:rPr>
                <w:noProof/>
              </w:rPr>
              <w:t>A Miniszterek Tanácsa határoz a kiadások felülvizsgálatának 2021. évi III. szakaszának elindításáról. A kiadások felülvizsgálatának harmadik szakasza legalább két területet érint:  pénzügyi eszközök és települési hulladékgazdálkodás. A kiadások felülvizsgá</w:t>
            </w:r>
            <w:r>
              <w:rPr>
                <w:noProof/>
              </w:rPr>
              <w:t xml:space="preserve">latát az AIReF végzi. </w:t>
            </w:r>
          </w:p>
        </w:tc>
      </w:tr>
      <w:tr w:rsidR="003E1D81" w14:paraId="6A6D47CF" w14:textId="77777777">
        <w:trPr>
          <w:trHeight w:val="309"/>
        </w:trPr>
        <w:tc>
          <w:tcPr>
            <w:tcW w:w="709" w:type="dxa"/>
            <w:shd w:val="clear" w:color="auto" w:fill="C6EFCE"/>
            <w:noWrap/>
          </w:tcPr>
          <w:p w14:paraId="096F73B1" w14:textId="77777777" w:rsidR="003E1D81" w:rsidRDefault="00EB481C">
            <w:pPr>
              <w:pStyle w:val="P68B1DB1-Normal13"/>
              <w:spacing w:after="0"/>
              <w:jc w:val="center"/>
              <w:rPr>
                <w:rFonts w:cs="Times New Roman"/>
                <w:noProof/>
              </w:rPr>
            </w:pPr>
            <w:r>
              <w:rPr>
                <w:noProof/>
              </w:rPr>
              <w:t>399</w:t>
            </w:r>
          </w:p>
        </w:tc>
        <w:tc>
          <w:tcPr>
            <w:tcW w:w="851" w:type="dxa"/>
            <w:shd w:val="clear" w:color="auto" w:fill="C6EFCE"/>
            <w:noWrap/>
          </w:tcPr>
          <w:p w14:paraId="13B5FED5" w14:textId="77777777" w:rsidR="003E1D81" w:rsidRDefault="00EB481C">
            <w:pPr>
              <w:pStyle w:val="P68B1DB1-Normal13"/>
              <w:spacing w:after="0"/>
              <w:jc w:val="center"/>
              <w:rPr>
                <w:rFonts w:cs="Times New Roman"/>
                <w:noProof/>
              </w:rPr>
            </w:pPr>
            <w:r>
              <w:rPr>
                <w:noProof/>
              </w:rPr>
              <w:t>C29.R1</w:t>
            </w:r>
          </w:p>
        </w:tc>
        <w:tc>
          <w:tcPr>
            <w:tcW w:w="850" w:type="dxa"/>
            <w:shd w:val="clear" w:color="auto" w:fill="C6EFCE"/>
            <w:noWrap/>
          </w:tcPr>
          <w:p w14:paraId="47FDE754" w14:textId="77777777" w:rsidR="003E1D81" w:rsidRDefault="00EB481C">
            <w:pPr>
              <w:pStyle w:val="P68B1DB1-Normal13"/>
              <w:spacing w:after="0"/>
              <w:jc w:val="center"/>
              <w:rPr>
                <w:rFonts w:cs="Times New Roman"/>
                <w:noProof/>
              </w:rPr>
            </w:pPr>
            <w:r>
              <w:rPr>
                <w:noProof/>
              </w:rPr>
              <w:t>M</w:t>
            </w:r>
          </w:p>
        </w:tc>
        <w:tc>
          <w:tcPr>
            <w:tcW w:w="2694" w:type="dxa"/>
            <w:shd w:val="clear" w:color="auto" w:fill="C6EFCE"/>
            <w:noWrap/>
          </w:tcPr>
          <w:p w14:paraId="72A052F6" w14:textId="77777777" w:rsidR="003E1D81" w:rsidRDefault="00EB481C">
            <w:pPr>
              <w:pStyle w:val="P68B1DB1-Normal13"/>
              <w:spacing w:after="0"/>
              <w:rPr>
                <w:rFonts w:cs="Times New Roman"/>
                <w:noProof/>
              </w:rPr>
            </w:pPr>
            <w:r>
              <w:rPr>
                <w:noProof/>
              </w:rPr>
              <w:t>Az AIReF-en belül egy állandó egység létrehozása, amely a kormány által előírt kiadási felülvizsgálatok elvégzéséért felel.</w:t>
            </w:r>
          </w:p>
        </w:tc>
        <w:tc>
          <w:tcPr>
            <w:tcW w:w="992" w:type="dxa"/>
            <w:shd w:val="clear" w:color="auto" w:fill="C6EFCE"/>
            <w:noWrap/>
          </w:tcPr>
          <w:p w14:paraId="0B9B9238" w14:textId="77777777" w:rsidR="003E1D81" w:rsidRDefault="00EB481C">
            <w:pPr>
              <w:pStyle w:val="P68B1DB1-Normal13"/>
              <w:spacing w:after="0"/>
              <w:jc w:val="center"/>
              <w:rPr>
                <w:rFonts w:cs="Times New Roman"/>
                <w:noProof/>
              </w:rPr>
            </w:pPr>
            <w:r>
              <w:rPr>
                <w:noProof/>
              </w:rPr>
              <w:t>A vidékfejlesztési rendelet hatálybalépésére vonatkozó rendelkezései</w:t>
            </w:r>
          </w:p>
        </w:tc>
        <w:tc>
          <w:tcPr>
            <w:tcW w:w="709" w:type="dxa"/>
            <w:shd w:val="clear" w:color="auto" w:fill="C6EFCE"/>
            <w:noWrap/>
          </w:tcPr>
          <w:p w14:paraId="6A4522B7" w14:textId="77777777" w:rsidR="003E1D81" w:rsidRDefault="00EB481C">
            <w:pPr>
              <w:pStyle w:val="P68B1DB1-Normal13"/>
              <w:spacing w:after="0"/>
              <w:jc w:val="center"/>
              <w:rPr>
                <w:rFonts w:cs="Times New Roman"/>
                <w:noProof/>
              </w:rPr>
            </w:pPr>
            <w:r>
              <w:rPr>
                <w:noProof/>
              </w:rPr>
              <w:t xml:space="preserve"> </w:t>
            </w:r>
          </w:p>
        </w:tc>
        <w:tc>
          <w:tcPr>
            <w:tcW w:w="567" w:type="dxa"/>
            <w:shd w:val="clear" w:color="auto" w:fill="C6EFCE"/>
            <w:noWrap/>
          </w:tcPr>
          <w:p w14:paraId="7951C568" w14:textId="77777777" w:rsidR="003E1D81" w:rsidRDefault="00EB481C">
            <w:pPr>
              <w:pStyle w:val="P68B1DB1-Normal13"/>
              <w:spacing w:after="0"/>
              <w:jc w:val="right"/>
              <w:rPr>
                <w:rFonts w:cs="Times New Roman"/>
                <w:noProof/>
              </w:rPr>
            </w:pPr>
            <w:r>
              <w:rPr>
                <w:noProof/>
              </w:rPr>
              <w:t xml:space="preserve"> </w:t>
            </w:r>
          </w:p>
        </w:tc>
        <w:tc>
          <w:tcPr>
            <w:tcW w:w="708" w:type="dxa"/>
            <w:shd w:val="clear" w:color="auto" w:fill="C6EFCE"/>
            <w:noWrap/>
          </w:tcPr>
          <w:p w14:paraId="510F1B72" w14:textId="77777777" w:rsidR="003E1D81" w:rsidRDefault="00EB481C">
            <w:pPr>
              <w:pStyle w:val="P68B1DB1-Normal13"/>
              <w:spacing w:after="0"/>
              <w:jc w:val="right"/>
              <w:rPr>
                <w:rFonts w:cs="Times New Roman"/>
                <w:noProof/>
              </w:rPr>
            </w:pPr>
            <w:r>
              <w:rPr>
                <w:noProof/>
              </w:rPr>
              <w:t xml:space="preserve"> </w:t>
            </w:r>
          </w:p>
        </w:tc>
        <w:tc>
          <w:tcPr>
            <w:tcW w:w="567" w:type="dxa"/>
            <w:shd w:val="clear" w:color="auto" w:fill="C6EFCE"/>
            <w:noWrap/>
          </w:tcPr>
          <w:p w14:paraId="4B9CB736" w14:textId="77777777" w:rsidR="003E1D81" w:rsidRDefault="00EB481C">
            <w:pPr>
              <w:pStyle w:val="P68B1DB1-Normal13"/>
              <w:spacing w:after="0"/>
              <w:jc w:val="center"/>
              <w:rPr>
                <w:rFonts w:cs="Times New Roman"/>
                <w:noProof/>
              </w:rPr>
            </w:pPr>
            <w:r>
              <w:rPr>
                <w:noProof/>
              </w:rPr>
              <w:t>KÉRDÉS</w:t>
            </w:r>
          </w:p>
        </w:tc>
        <w:tc>
          <w:tcPr>
            <w:tcW w:w="567" w:type="dxa"/>
            <w:shd w:val="clear" w:color="auto" w:fill="C6EFCE"/>
            <w:noWrap/>
          </w:tcPr>
          <w:p w14:paraId="562D6171" w14:textId="77777777" w:rsidR="003E1D81" w:rsidRDefault="00EB481C">
            <w:pPr>
              <w:pStyle w:val="P68B1DB1-Normal13"/>
              <w:spacing w:after="0"/>
              <w:jc w:val="center"/>
              <w:rPr>
                <w:rFonts w:cs="Times New Roman"/>
                <w:noProof/>
              </w:rPr>
            </w:pPr>
            <w:r>
              <w:rPr>
                <w:noProof/>
              </w:rPr>
              <w:t>2021</w:t>
            </w:r>
          </w:p>
        </w:tc>
        <w:tc>
          <w:tcPr>
            <w:tcW w:w="6096" w:type="dxa"/>
            <w:shd w:val="clear" w:color="auto" w:fill="C6EFCE"/>
            <w:noWrap/>
          </w:tcPr>
          <w:p w14:paraId="26000930" w14:textId="77777777" w:rsidR="003E1D81" w:rsidRDefault="00EB481C">
            <w:pPr>
              <w:pStyle w:val="P68B1DB1-Normal13"/>
              <w:spacing w:after="0"/>
              <w:rPr>
                <w:rFonts w:cs="Times New Roman"/>
                <w:noProof/>
              </w:rPr>
            </w:pPr>
            <w:r>
              <w:rPr>
                <w:noProof/>
              </w:rPr>
              <w:t xml:space="preserve">Az AIReF sarkalatos alapszabályáról szóló 215/2014. sz. királyi rendelet módosításának hatálybalépése a kormány által megrendelt kiadási felülvizsgálatok elvégzéséért felelős állandó egység létrehozásával. </w:t>
            </w:r>
          </w:p>
        </w:tc>
      </w:tr>
      <w:tr w:rsidR="003E1D81" w14:paraId="2C879550" w14:textId="77777777">
        <w:trPr>
          <w:trHeight w:val="309"/>
        </w:trPr>
        <w:tc>
          <w:tcPr>
            <w:tcW w:w="709" w:type="dxa"/>
            <w:shd w:val="clear" w:color="auto" w:fill="C6EFCE"/>
            <w:noWrap/>
          </w:tcPr>
          <w:p w14:paraId="7D68B413" w14:textId="77777777" w:rsidR="003E1D81" w:rsidRDefault="00EB481C">
            <w:pPr>
              <w:pStyle w:val="P68B1DB1-Normal13"/>
              <w:spacing w:after="0"/>
              <w:jc w:val="center"/>
              <w:rPr>
                <w:rFonts w:eastAsia="Times New Roman" w:cs="Times New Roman"/>
                <w:noProof/>
              </w:rPr>
            </w:pPr>
            <w:r>
              <w:rPr>
                <w:noProof/>
              </w:rPr>
              <w:t>400</w:t>
            </w:r>
          </w:p>
        </w:tc>
        <w:tc>
          <w:tcPr>
            <w:tcW w:w="851" w:type="dxa"/>
            <w:shd w:val="clear" w:color="auto" w:fill="C6EFCE"/>
            <w:noWrap/>
          </w:tcPr>
          <w:p w14:paraId="34D141FA" w14:textId="77777777" w:rsidR="003E1D81" w:rsidRDefault="00EB481C">
            <w:pPr>
              <w:pStyle w:val="P68B1DB1-Normal13"/>
              <w:spacing w:after="0"/>
              <w:jc w:val="center"/>
              <w:rPr>
                <w:rFonts w:eastAsia="Times New Roman" w:cs="Times New Roman"/>
                <w:noProof/>
              </w:rPr>
            </w:pPr>
            <w:r>
              <w:rPr>
                <w:noProof/>
              </w:rPr>
              <w:t>C29.R1</w:t>
            </w:r>
          </w:p>
        </w:tc>
        <w:tc>
          <w:tcPr>
            <w:tcW w:w="850" w:type="dxa"/>
            <w:shd w:val="clear" w:color="auto" w:fill="C6EFCE"/>
            <w:noWrap/>
          </w:tcPr>
          <w:p w14:paraId="5ADCDE13" w14:textId="77777777" w:rsidR="003E1D81" w:rsidRDefault="00EB481C">
            <w:pPr>
              <w:pStyle w:val="P68B1DB1-Normal13"/>
              <w:spacing w:after="0"/>
              <w:jc w:val="center"/>
              <w:rPr>
                <w:rFonts w:eastAsia="Times New Roman" w:cs="Times New Roman"/>
                <w:noProof/>
              </w:rPr>
            </w:pPr>
            <w:r>
              <w:rPr>
                <w:noProof/>
              </w:rPr>
              <w:t>M</w:t>
            </w:r>
          </w:p>
        </w:tc>
        <w:tc>
          <w:tcPr>
            <w:tcW w:w="2694" w:type="dxa"/>
            <w:shd w:val="clear" w:color="auto" w:fill="C6EFCE"/>
            <w:noWrap/>
          </w:tcPr>
          <w:p w14:paraId="664058F7" w14:textId="77777777" w:rsidR="003E1D81" w:rsidRDefault="00EB481C">
            <w:pPr>
              <w:pStyle w:val="P68B1DB1-Normal13"/>
              <w:spacing w:after="0"/>
              <w:rPr>
                <w:rFonts w:eastAsia="Times New Roman" w:cs="Times New Roman"/>
                <w:noProof/>
              </w:rPr>
            </w:pPr>
            <w:r>
              <w:rPr>
                <w:noProof/>
              </w:rPr>
              <w:t>A Miniszterek Tanácsa jóváhagyta az</w:t>
            </w:r>
            <w:r>
              <w:rPr>
                <w:noProof/>
              </w:rPr>
              <w:t xml:space="preserve"> AIReF-nek megrendelendő kiadási felülvizsgálatok új ciklusát (2022–26).</w:t>
            </w:r>
          </w:p>
        </w:tc>
        <w:tc>
          <w:tcPr>
            <w:tcW w:w="992" w:type="dxa"/>
            <w:shd w:val="clear" w:color="auto" w:fill="C6EFCE"/>
            <w:noWrap/>
          </w:tcPr>
          <w:p w14:paraId="4DA1E24F" w14:textId="77777777" w:rsidR="003E1D81" w:rsidRDefault="00EB481C">
            <w:pPr>
              <w:pStyle w:val="P68B1DB1-Normal13"/>
              <w:spacing w:after="0"/>
              <w:jc w:val="center"/>
              <w:rPr>
                <w:rFonts w:eastAsia="Times New Roman" w:cs="Times New Roman"/>
                <w:noProof/>
              </w:rPr>
            </w:pPr>
            <w:r>
              <w:rPr>
                <w:noProof/>
              </w:rPr>
              <w:t>A Miniszterek Tanácsa megállapodásának a megállapodás hatálybalépését jelző rendelkezése</w:t>
            </w:r>
          </w:p>
        </w:tc>
        <w:tc>
          <w:tcPr>
            <w:tcW w:w="709" w:type="dxa"/>
            <w:shd w:val="clear" w:color="auto" w:fill="C6EFCE"/>
            <w:noWrap/>
          </w:tcPr>
          <w:p w14:paraId="5673BDB9" w14:textId="77777777" w:rsidR="003E1D81" w:rsidRDefault="00EB481C">
            <w:pPr>
              <w:pStyle w:val="P68B1DB1-Normal13"/>
              <w:spacing w:after="0"/>
              <w:jc w:val="center"/>
              <w:rPr>
                <w:rFonts w:eastAsia="Times New Roman" w:cs="Times New Roman"/>
                <w:noProof/>
              </w:rPr>
            </w:pPr>
            <w:r>
              <w:rPr>
                <w:noProof/>
              </w:rPr>
              <w:t> </w:t>
            </w:r>
          </w:p>
        </w:tc>
        <w:tc>
          <w:tcPr>
            <w:tcW w:w="567" w:type="dxa"/>
            <w:shd w:val="clear" w:color="auto" w:fill="C6EFCE"/>
            <w:noWrap/>
          </w:tcPr>
          <w:p w14:paraId="314257EC" w14:textId="77777777" w:rsidR="003E1D81" w:rsidRDefault="00EB481C">
            <w:pPr>
              <w:pStyle w:val="P68B1DB1-Normal13"/>
              <w:spacing w:after="0"/>
              <w:jc w:val="right"/>
              <w:rPr>
                <w:rFonts w:eastAsia="Times New Roman" w:cs="Times New Roman"/>
                <w:noProof/>
              </w:rPr>
            </w:pPr>
            <w:r>
              <w:rPr>
                <w:noProof/>
              </w:rPr>
              <w:t> </w:t>
            </w:r>
          </w:p>
        </w:tc>
        <w:tc>
          <w:tcPr>
            <w:tcW w:w="708" w:type="dxa"/>
            <w:shd w:val="clear" w:color="auto" w:fill="C6EFCE"/>
            <w:noWrap/>
          </w:tcPr>
          <w:p w14:paraId="5933B9EC" w14:textId="77777777" w:rsidR="003E1D81" w:rsidRDefault="00EB481C">
            <w:pPr>
              <w:pStyle w:val="P68B1DB1-Normal13"/>
              <w:spacing w:after="0"/>
              <w:rPr>
                <w:rFonts w:eastAsia="Times New Roman" w:cs="Times New Roman"/>
                <w:noProof/>
              </w:rPr>
            </w:pPr>
            <w:r>
              <w:rPr>
                <w:noProof/>
              </w:rPr>
              <w:t> </w:t>
            </w:r>
          </w:p>
        </w:tc>
        <w:tc>
          <w:tcPr>
            <w:tcW w:w="567" w:type="dxa"/>
            <w:shd w:val="clear" w:color="auto" w:fill="C6EFCE"/>
            <w:noWrap/>
          </w:tcPr>
          <w:p w14:paraId="30706DA0" w14:textId="77777777" w:rsidR="003E1D81" w:rsidRDefault="00EB481C">
            <w:pPr>
              <w:pStyle w:val="P68B1DB1-Normal13"/>
              <w:spacing w:after="0"/>
              <w:jc w:val="center"/>
              <w:rPr>
                <w:rFonts w:eastAsia="Times New Roman" w:cs="Times New Roman"/>
                <w:noProof/>
              </w:rPr>
            </w:pPr>
            <w:r>
              <w:rPr>
                <w:noProof/>
              </w:rPr>
              <w:t>NEGYEDÉV</w:t>
            </w:r>
          </w:p>
        </w:tc>
        <w:tc>
          <w:tcPr>
            <w:tcW w:w="567" w:type="dxa"/>
            <w:shd w:val="clear" w:color="auto" w:fill="C6EFCE"/>
            <w:noWrap/>
          </w:tcPr>
          <w:p w14:paraId="642A5343" w14:textId="77777777" w:rsidR="003E1D81" w:rsidRDefault="00EB481C">
            <w:pPr>
              <w:pStyle w:val="P68B1DB1-Normal13"/>
              <w:spacing w:after="0"/>
              <w:jc w:val="center"/>
              <w:rPr>
                <w:rFonts w:eastAsia="Times New Roman" w:cs="Times New Roman"/>
                <w:noProof/>
              </w:rPr>
            </w:pPr>
            <w:r>
              <w:rPr>
                <w:noProof/>
              </w:rPr>
              <w:t>2021</w:t>
            </w:r>
          </w:p>
        </w:tc>
        <w:tc>
          <w:tcPr>
            <w:tcW w:w="6096" w:type="dxa"/>
            <w:shd w:val="clear" w:color="auto" w:fill="C6EFCE"/>
            <w:noWrap/>
          </w:tcPr>
          <w:p w14:paraId="46C91DC3" w14:textId="77777777" w:rsidR="003E1D81" w:rsidRDefault="00EB481C">
            <w:pPr>
              <w:pStyle w:val="P68B1DB1-Normal13"/>
              <w:spacing w:after="0"/>
              <w:rPr>
                <w:rFonts w:eastAsia="Times New Roman" w:cs="Times New Roman"/>
                <w:noProof/>
              </w:rPr>
            </w:pPr>
            <w:r>
              <w:rPr>
                <w:noProof/>
              </w:rPr>
              <w:t>A közkiadások új többéves felülvizsgálati ciklusa a 2022–2026-os időszakra</w:t>
            </w:r>
            <w:r>
              <w:rPr>
                <w:noProof/>
              </w:rPr>
              <w:t xml:space="preserve"> terjed ki. Az AIReF-fel folytatott konzultációt követően az alkalmazás megfelelő megtervezése és a kiadások felülvizsgálatának egyes szakaszaira vonatkozó szükséges információk összegyűjtése érdekében a Miniszterek Tanácsa határoz és közzéteszi legalább a</w:t>
            </w:r>
            <w:r>
              <w:rPr>
                <w:noProof/>
              </w:rPr>
              <w:t xml:space="preserve"> szakpolitikai területeket, az érintett közigazgatási szerveket és az elemzés által lefedett időszakokat, valamint a vonatkozó módszertani szempontokat. </w:t>
            </w:r>
          </w:p>
        </w:tc>
      </w:tr>
      <w:tr w:rsidR="003E1D81" w14:paraId="3B5884ED" w14:textId="77777777">
        <w:trPr>
          <w:trHeight w:val="390"/>
        </w:trPr>
        <w:tc>
          <w:tcPr>
            <w:tcW w:w="709" w:type="dxa"/>
            <w:shd w:val="clear" w:color="auto" w:fill="C6EFCE"/>
            <w:noWrap/>
          </w:tcPr>
          <w:p w14:paraId="6877DEE0" w14:textId="77777777" w:rsidR="003E1D81" w:rsidRDefault="00EB481C">
            <w:pPr>
              <w:pStyle w:val="P68B1DB1-Normal13"/>
              <w:spacing w:after="0"/>
              <w:jc w:val="center"/>
              <w:rPr>
                <w:rFonts w:eastAsia="Times New Roman" w:cs="Times New Roman"/>
                <w:noProof/>
              </w:rPr>
            </w:pPr>
            <w:r>
              <w:rPr>
                <w:noProof/>
              </w:rPr>
              <w:t>401</w:t>
            </w:r>
          </w:p>
        </w:tc>
        <w:tc>
          <w:tcPr>
            <w:tcW w:w="851" w:type="dxa"/>
            <w:shd w:val="clear" w:color="auto" w:fill="C6EFCE"/>
            <w:noWrap/>
          </w:tcPr>
          <w:p w14:paraId="59AE15C9" w14:textId="77777777" w:rsidR="003E1D81" w:rsidRDefault="00EB481C">
            <w:pPr>
              <w:pStyle w:val="P68B1DB1-Normal13"/>
              <w:spacing w:after="0"/>
              <w:jc w:val="center"/>
              <w:rPr>
                <w:rFonts w:eastAsia="Times New Roman" w:cs="Times New Roman"/>
                <w:noProof/>
              </w:rPr>
            </w:pPr>
            <w:r>
              <w:rPr>
                <w:noProof/>
              </w:rPr>
              <w:t>C29.R1</w:t>
            </w:r>
          </w:p>
        </w:tc>
        <w:tc>
          <w:tcPr>
            <w:tcW w:w="850" w:type="dxa"/>
            <w:shd w:val="clear" w:color="auto" w:fill="C6EFCE"/>
            <w:noWrap/>
          </w:tcPr>
          <w:p w14:paraId="068694C4" w14:textId="77777777" w:rsidR="003E1D81" w:rsidRDefault="00EB481C">
            <w:pPr>
              <w:pStyle w:val="P68B1DB1-Normal13"/>
              <w:spacing w:after="0"/>
              <w:jc w:val="center"/>
              <w:rPr>
                <w:rFonts w:eastAsia="Times New Roman" w:cs="Times New Roman"/>
                <w:noProof/>
              </w:rPr>
            </w:pPr>
            <w:r>
              <w:rPr>
                <w:noProof/>
              </w:rPr>
              <w:t>M</w:t>
            </w:r>
          </w:p>
        </w:tc>
        <w:tc>
          <w:tcPr>
            <w:tcW w:w="2694" w:type="dxa"/>
            <w:shd w:val="clear" w:color="auto" w:fill="C6EFCE"/>
            <w:noWrap/>
          </w:tcPr>
          <w:p w14:paraId="7405E763" w14:textId="77777777" w:rsidR="003E1D81" w:rsidRDefault="00EB481C">
            <w:pPr>
              <w:pStyle w:val="P68B1DB1-Normal13"/>
              <w:spacing w:after="0"/>
              <w:rPr>
                <w:rFonts w:eastAsia="Times New Roman" w:cs="Times New Roman"/>
                <w:noProof/>
              </w:rPr>
            </w:pPr>
            <w:r>
              <w:rPr>
                <w:noProof/>
              </w:rPr>
              <w:t>Nyomonkövetési jelentés közzététele</w:t>
            </w:r>
          </w:p>
        </w:tc>
        <w:tc>
          <w:tcPr>
            <w:tcW w:w="992" w:type="dxa"/>
            <w:shd w:val="clear" w:color="auto" w:fill="C6EFCE"/>
            <w:noWrap/>
          </w:tcPr>
          <w:p w14:paraId="218AA60C" w14:textId="77777777" w:rsidR="003E1D81" w:rsidRDefault="00EB481C">
            <w:pPr>
              <w:pStyle w:val="P68B1DB1-Normal13"/>
              <w:spacing w:after="0"/>
              <w:jc w:val="center"/>
              <w:rPr>
                <w:rFonts w:eastAsia="Times New Roman" w:cs="Times New Roman"/>
                <w:noProof/>
              </w:rPr>
            </w:pPr>
            <w:r>
              <w:rPr>
                <w:noProof/>
              </w:rPr>
              <w:t>Közzététel a Pénzügyminisztérium honlapján</w:t>
            </w:r>
          </w:p>
        </w:tc>
        <w:tc>
          <w:tcPr>
            <w:tcW w:w="709" w:type="dxa"/>
            <w:shd w:val="clear" w:color="auto" w:fill="C6EFCE"/>
            <w:noWrap/>
          </w:tcPr>
          <w:p w14:paraId="5F10CF2F" w14:textId="77777777" w:rsidR="003E1D81" w:rsidRDefault="00EB481C">
            <w:pPr>
              <w:pStyle w:val="P68B1DB1-Normal13"/>
              <w:spacing w:after="0"/>
              <w:jc w:val="center"/>
              <w:rPr>
                <w:rFonts w:eastAsia="Times New Roman" w:cs="Times New Roman"/>
                <w:noProof/>
              </w:rPr>
            </w:pPr>
            <w:r>
              <w:rPr>
                <w:noProof/>
              </w:rPr>
              <w:t xml:space="preserve"> </w:t>
            </w:r>
          </w:p>
        </w:tc>
        <w:tc>
          <w:tcPr>
            <w:tcW w:w="567" w:type="dxa"/>
            <w:shd w:val="clear" w:color="auto" w:fill="C6EFCE"/>
            <w:noWrap/>
          </w:tcPr>
          <w:p w14:paraId="22E91A17" w14:textId="77777777" w:rsidR="003E1D81" w:rsidRDefault="00EB481C">
            <w:pPr>
              <w:pStyle w:val="P68B1DB1-Normal13"/>
              <w:spacing w:after="0"/>
              <w:jc w:val="right"/>
              <w:rPr>
                <w:rFonts w:eastAsia="Times New Roman" w:cs="Times New Roman"/>
                <w:noProof/>
              </w:rPr>
            </w:pPr>
            <w:r>
              <w:rPr>
                <w:noProof/>
              </w:rPr>
              <w:t xml:space="preserve"> </w:t>
            </w:r>
          </w:p>
        </w:tc>
        <w:tc>
          <w:tcPr>
            <w:tcW w:w="708" w:type="dxa"/>
            <w:shd w:val="clear" w:color="auto" w:fill="C6EFCE"/>
            <w:noWrap/>
          </w:tcPr>
          <w:p w14:paraId="639A99ED" w14:textId="77777777" w:rsidR="003E1D81" w:rsidRDefault="00EB481C">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3D10146E" w14:textId="77777777" w:rsidR="003E1D81" w:rsidRDefault="00EB481C">
            <w:pPr>
              <w:pStyle w:val="P68B1DB1-Normal13"/>
              <w:spacing w:after="0"/>
              <w:jc w:val="center"/>
              <w:rPr>
                <w:rFonts w:eastAsia="Times New Roman" w:cs="Times New Roman"/>
                <w:noProof/>
              </w:rPr>
            </w:pPr>
            <w:r>
              <w:rPr>
                <w:noProof/>
              </w:rPr>
              <w:t>NEGYEDÉV</w:t>
            </w:r>
          </w:p>
        </w:tc>
        <w:tc>
          <w:tcPr>
            <w:tcW w:w="567" w:type="dxa"/>
            <w:shd w:val="clear" w:color="auto" w:fill="C6EFCE"/>
            <w:noWrap/>
          </w:tcPr>
          <w:p w14:paraId="2CEC990D" w14:textId="77777777" w:rsidR="003E1D81" w:rsidRDefault="00EB481C">
            <w:pPr>
              <w:pStyle w:val="P68B1DB1-Normal13"/>
              <w:spacing w:after="0"/>
              <w:jc w:val="center"/>
              <w:rPr>
                <w:rFonts w:eastAsia="Times New Roman" w:cs="Times New Roman"/>
                <w:noProof/>
              </w:rPr>
            </w:pPr>
            <w:r>
              <w:rPr>
                <w:noProof/>
              </w:rPr>
              <w:t>2022</w:t>
            </w:r>
          </w:p>
        </w:tc>
        <w:tc>
          <w:tcPr>
            <w:tcW w:w="6096" w:type="dxa"/>
            <w:shd w:val="clear" w:color="auto" w:fill="C6EFCE"/>
            <w:noWrap/>
          </w:tcPr>
          <w:p w14:paraId="0BB86071" w14:textId="77777777" w:rsidR="003E1D81" w:rsidRDefault="00EB481C">
            <w:pPr>
              <w:pStyle w:val="P68B1DB1-Normal13"/>
              <w:spacing w:after="0"/>
              <w:rPr>
                <w:rFonts w:eastAsia="Times New Roman" w:cs="Times New Roman"/>
                <w:noProof/>
              </w:rPr>
            </w:pPr>
            <w:r>
              <w:rPr>
                <w:noProof/>
              </w:rPr>
              <w:t xml:space="preserve">A nyomonkövetési jelentés éves közzététele. A jelentésben fel kell sorolni az AIReF ajánlásait, és részletesen ismertetni kell a szabályozási változásokat vagy az azok kezelése érdekében hozott egyéb intézkedéseket. Amennyiben az ajánlások </w:t>
            </w:r>
            <w:r>
              <w:rPr>
                <w:noProof/>
              </w:rPr>
              <w:t>címzettjei nem értenek egyet azokkal a kiadási központokkal, megfelelő indokolást kell csatolni.</w:t>
            </w:r>
          </w:p>
        </w:tc>
      </w:tr>
      <w:tr w:rsidR="003E1D81" w14:paraId="1AAEC9ED" w14:textId="77777777">
        <w:trPr>
          <w:trHeight w:val="309"/>
        </w:trPr>
        <w:tc>
          <w:tcPr>
            <w:tcW w:w="709" w:type="dxa"/>
            <w:shd w:val="clear" w:color="auto" w:fill="C6EFCE"/>
            <w:noWrap/>
          </w:tcPr>
          <w:p w14:paraId="4DF04293" w14:textId="77777777" w:rsidR="003E1D81" w:rsidRDefault="00EB481C">
            <w:pPr>
              <w:pStyle w:val="P68B1DB1-Normal13"/>
              <w:spacing w:after="0"/>
              <w:jc w:val="center"/>
              <w:rPr>
                <w:rFonts w:eastAsia="Times New Roman" w:cs="Times New Roman"/>
                <w:noProof/>
              </w:rPr>
            </w:pPr>
            <w:r>
              <w:rPr>
                <w:noProof/>
              </w:rPr>
              <w:t>402</w:t>
            </w:r>
          </w:p>
        </w:tc>
        <w:tc>
          <w:tcPr>
            <w:tcW w:w="851" w:type="dxa"/>
            <w:shd w:val="clear" w:color="auto" w:fill="C6EFCE"/>
            <w:noWrap/>
          </w:tcPr>
          <w:p w14:paraId="1536F060" w14:textId="77777777" w:rsidR="003E1D81" w:rsidRDefault="00EB481C">
            <w:pPr>
              <w:pStyle w:val="P68B1DB1-Normal13"/>
              <w:spacing w:after="0"/>
              <w:jc w:val="center"/>
              <w:rPr>
                <w:rFonts w:eastAsia="Times New Roman" w:cs="Times New Roman"/>
                <w:noProof/>
              </w:rPr>
            </w:pPr>
            <w:r>
              <w:rPr>
                <w:noProof/>
              </w:rPr>
              <w:t>C29.R1</w:t>
            </w:r>
          </w:p>
        </w:tc>
        <w:tc>
          <w:tcPr>
            <w:tcW w:w="850" w:type="dxa"/>
            <w:shd w:val="clear" w:color="auto" w:fill="C6EFCE"/>
            <w:noWrap/>
          </w:tcPr>
          <w:p w14:paraId="77B046B9" w14:textId="77777777" w:rsidR="003E1D81" w:rsidRDefault="00EB481C">
            <w:pPr>
              <w:pStyle w:val="P68B1DB1-Normal13"/>
              <w:spacing w:after="0"/>
              <w:jc w:val="center"/>
              <w:rPr>
                <w:rFonts w:eastAsia="Times New Roman" w:cs="Times New Roman"/>
                <w:noProof/>
              </w:rPr>
            </w:pPr>
            <w:r>
              <w:rPr>
                <w:noProof/>
              </w:rPr>
              <w:t>M</w:t>
            </w:r>
          </w:p>
        </w:tc>
        <w:tc>
          <w:tcPr>
            <w:tcW w:w="2694" w:type="dxa"/>
            <w:shd w:val="clear" w:color="auto" w:fill="C6EFCE"/>
            <w:noWrap/>
          </w:tcPr>
          <w:p w14:paraId="40961BB9" w14:textId="77777777" w:rsidR="003E1D81" w:rsidRDefault="00EB481C">
            <w:pPr>
              <w:pStyle w:val="P68B1DB1-Normal13"/>
              <w:spacing w:after="0"/>
              <w:rPr>
                <w:rFonts w:eastAsia="Times New Roman" w:cs="Times New Roman"/>
                <w:noProof/>
              </w:rPr>
            </w:pPr>
            <w:r>
              <w:rPr>
                <w:noProof/>
              </w:rPr>
              <w:t>A kiadások felülvizsgálatának III. szakasza</w:t>
            </w:r>
          </w:p>
        </w:tc>
        <w:tc>
          <w:tcPr>
            <w:tcW w:w="992" w:type="dxa"/>
            <w:shd w:val="clear" w:color="auto" w:fill="C6EFCE"/>
            <w:noWrap/>
          </w:tcPr>
          <w:p w14:paraId="59B24D11" w14:textId="77777777" w:rsidR="003E1D81" w:rsidRDefault="00EB481C">
            <w:pPr>
              <w:pStyle w:val="P68B1DB1-Normal13"/>
              <w:spacing w:after="0"/>
              <w:jc w:val="center"/>
              <w:rPr>
                <w:rFonts w:eastAsia="Times New Roman" w:cs="Times New Roman"/>
                <w:noProof/>
              </w:rPr>
            </w:pPr>
            <w:r>
              <w:rPr>
                <w:noProof/>
              </w:rPr>
              <w:t>A jelentések közzététele az AIReF weboldalon</w:t>
            </w:r>
          </w:p>
        </w:tc>
        <w:tc>
          <w:tcPr>
            <w:tcW w:w="709" w:type="dxa"/>
            <w:shd w:val="clear" w:color="auto" w:fill="C6EFCE"/>
            <w:noWrap/>
          </w:tcPr>
          <w:p w14:paraId="28435C3F" w14:textId="77777777" w:rsidR="003E1D81" w:rsidRDefault="00EB481C">
            <w:pPr>
              <w:pStyle w:val="P68B1DB1-Normal13"/>
              <w:spacing w:after="0"/>
              <w:jc w:val="center"/>
              <w:rPr>
                <w:rFonts w:eastAsia="Times New Roman" w:cs="Times New Roman"/>
                <w:noProof/>
              </w:rPr>
            </w:pPr>
            <w:r>
              <w:rPr>
                <w:noProof/>
              </w:rPr>
              <w:t> </w:t>
            </w:r>
          </w:p>
        </w:tc>
        <w:tc>
          <w:tcPr>
            <w:tcW w:w="567" w:type="dxa"/>
            <w:shd w:val="clear" w:color="auto" w:fill="C6EFCE"/>
            <w:noWrap/>
          </w:tcPr>
          <w:p w14:paraId="3B3692E9" w14:textId="77777777" w:rsidR="003E1D81" w:rsidRDefault="00EB481C">
            <w:pPr>
              <w:pStyle w:val="P68B1DB1-Normal13"/>
              <w:spacing w:after="0"/>
              <w:jc w:val="right"/>
              <w:rPr>
                <w:rFonts w:eastAsia="Times New Roman" w:cs="Times New Roman"/>
                <w:noProof/>
              </w:rPr>
            </w:pPr>
            <w:r>
              <w:rPr>
                <w:noProof/>
              </w:rPr>
              <w:t> </w:t>
            </w:r>
          </w:p>
        </w:tc>
        <w:tc>
          <w:tcPr>
            <w:tcW w:w="708" w:type="dxa"/>
            <w:shd w:val="clear" w:color="auto" w:fill="C6EFCE"/>
            <w:noWrap/>
          </w:tcPr>
          <w:p w14:paraId="37AECD10" w14:textId="77777777" w:rsidR="003E1D81" w:rsidRDefault="00EB481C">
            <w:pPr>
              <w:pStyle w:val="P68B1DB1-Normal13"/>
              <w:spacing w:after="0"/>
              <w:jc w:val="right"/>
              <w:rPr>
                <w:rFonts w:eastAsia="Times New Roman" w:cs="Times New Roman"/>
                <w:noProof/>
              </w:rPr>
            </w:pPr>
            <w:r>
              <w:rPr>
                <w:noProof/>
              </w:rPr>
              <w:t> </w:t>
            </w:r>
          </w:p>
        </w:tc>
        <w:tc>
          <w:tcPr>
            <w:tcW w:w="567" w:type="dxa"/>
            <w:shd w:val="clear" w:color="auto" w:fill="C6EFCE"/>
            <w:noWrap/>
          </w:tcPr>
          <w:p w14:paraId="47FD9F2D" w14:textId="77777777" w:rsidR="003E1D81" w:rsidRDefault="00EB481C">
            <w:pPr>
              <w:pStyle w:val="P68B1DB1-Normal13"/>
              <w:spacing w:after="0"/>
              <w:jc w:val="center"/>
              <w:rPr>
                <w:rFonts w:eastAsia="Times New Roman" w:cs="Times New Roman"/>
                <w:noProof/>
              </w:rPr>
            </w:pPr>
            <w:r>
              <w:rPr>
                <w:noProof/>
              </w:rPr>
              <w:t>KÉRDÉS</w:t>
            </w:r>
          </w:p>
        </w:tc>
        <w:tc>
          <w:tcPr>
            <w:tcW w:w="567" w:type="dxa"/>
            <w:shd w:val="clear" w:color="auto" w:fill="C6EFCE"/>
            <w:noWrap/>
          </w:tcPr>
          <w:p w14:paraId="67D05C4F" w14:textId="77777777" w:rsidR="003E1D81" w:rsidRDefault="00EB481C">
            <w:pPr>
              <w:pStyle w:val="P68B1DB1-Normal13"/>
              <w:spacing w:after="0"/>
              <w:jc w:val="center"/>
              <w:rPr>
                <w:rFonts w:eastAsia="Times New Roman" w:cs="Times New Roman"/>
                <w:noProof/>
              </w:rPr>
            </w:pPr>
            <w:r>
              <w:rPr>
                <w:noProof/>
              </w:rPr>
              <w:t>2023</w:t>
            </w:r>
          </w:p>
        </w:tc>
        <w:tc>
          <w:tcPr>
            <w:tcW w:w="6096" w:type="dxa"/>
            <w:shd w:val="clear" w:color="auto" w:fill="C6EFCE"/>
            <w:noWrap/>
          </w:tcPr>
          <w:p w14:paraId="3F72302B" w14:textId="77777777" w:rsidR="003E1D81" w:rsidRDefault="00EB481C">
            <w:pPr>
              <w:pStyle w:val="P68B1DB1-Normal13"/>
              <w:spacing w:after="0"/>
              <w:rPr>
                <w:rFonts w:eastAsia="Times New Roman" w:cs="Times New Roman"/>
                <w:noProof/>
              </w:rPr>
            </w:pPr>
            <w:r>
              <w:rPr>
                <w:noProof/>
              </w:rPr>
              <w:t xml:space="preserve">Az AIReF kiadási felülvizsgálatának </w:t>
            </w:r>
            <w:r>
              <w:rPr>
                <w:noProof/>
              </w:rPr>
              <w:t>harmadik szakaszáról szóló jelentések közzététele.</w:t>
            </w:r>
          </w:p>
        </w:tc>
      </w:tr>
      <w:tr w:rsidR="003E1D81" w14:paraId="4BC432FA" w14:textId="77777777">
        <w:trPr>
          <w:trHeight w:val="309"/>
        </w:trPr>
        <w:tc>
          <w:tcPr>
            <w:tcW w:w="709" w:type="dxa"/>
            <w:shd w:val="clear" w:color="auto" w:fill="C6EFCE"/>
            <w:noWrap/>
          </w:tcPr>
          <w:p w14:paraId="3E853694" w14:textId="77777777" w:rsidR="003E1D81" w:rsidRDefault="00EB481C">
            <w:pPr>
              <w:pStyle w:val="P68B1DB1-Normal13"/>
              <w:spacing w:after="0"/>
              <w:jc w:val="center"/>
              <w:rPr>
                <w:rFonts w:eastAsia="Times New Roman" w:cs="Times New Roman"/>
                <w:noProof/>
              </w:rPr>
            </w:pPr>
            <w:r>
              <w:rPr>
                <w:noProof/>
              </w:rPr>
              <w:t>403</w:t>
            </w:r>
          </w:p>
        </w:tc>
        <w:tc>
          <w:tcPr>
            <w:tcW w:w="851" w:type="dxa"/>
            <w:shd w:val="clear" w:color="auto" w:fill="C6EFCE"/>
            <w:noWrap/>
          </w:tcPr>
          <w:p w14:paraId="178BAF6C" w14:textId="77777777" w:rsidR="003E1D81" w:rsidRDefault="00EB481C">
            <w:pPr>
              <w:pStyle w:val="P68B1DB1-Normal13"/>
              <w:spacing w:after="0"/>
              <w:jc w:val="center"/>
              <w:rPr>
                <w:rFonts w:eastAsia="Times New Roman" w:cs="Times New Roman"/>
                <w:noProof/>
              </w:rPr>
            </w:pPr>
            <w:r>
              <w:rPr>
                <w:noProof/>
              </w:rPr>
              <w:t>C29.R2</w:t>
            </w:r>
          </w:p>
        </w:tc>
        <w:tc>
          <w:tcPr>
            <w:tcW w:w="850" w:type="dxa"/>
            <w:shd w:val="clear" w:color="auto" w:fill="C6EFCE"/>
            <w:noWrap/>
          </w:tcPr>
          <w:p w14:paraId="64D58C09" w14:textId="77777777" w:rsidR="003E1D81" w:rsidRDefault="00EB481C">
            <w:pPr>
              <w:pStyle w:val="P68B1DB1-Normal13"/>
              <w:spacing w:after="0"/>
              <w:jc w:val="center"/>
              <w:rPr>
                <w:rFonts w:eastAsia="Times New Roman" w:cs="Times New Roman"/>
                <w:noProof/>
              </w:rPr>
            </w:pPr>
            <w:r>
              <w:rPr>
                <w:noProof/>
              </w:rPr>
              <w:t>M</w:t>
            </w:r>
          </w:p>
        </w:tc>
        <w:tc>
          <w:tcPr>
            <w:tcW w:w="2694" w:type="dxa"/>
            <w:shd w:val="clear" w:color="auto" w:fill="C6EFCE"/>
            <w:noWrap/>
          </w:tcPr>
          <w:p w14:paraId="6F6A323F" w14:textId="77777777" w:rsidR="003E1D81" w:rsidRDefault="00EB481C">
            <w:pPr>
              <w:pStyle w:val="P68B1DB1-Normal13"/>
              <w:spacing w:after="0"/>
              <w:rPr>
                <w:rFonts w:eastAsia="Times New Roman" w:cs="Times New Roman"/>
                <w:noProof/>
              </w:rPr>
            </w:pPr>
            <w:r>
              <w:rPr>
                <w:noProof/>
              </w:rPr>
              <w:t>A költségvetés és a fenntartható fejlődési célok közötti összhangról szóló jelentés</w:t>
            </w:r>
          </w:p>
        </w:tc>
        <w:tc>
          <w:tcPr>
            <w:tcW w:w="992" w:type="dxa"/>
            <w:shd w:val="clear" w:color="auto" w:fill="C6EFCE"/>
            <w:noWrap/>
          </w:tcPr>
          <w:p w14:paraId="58169A30" w14:textId="77777777" w:rsidR="003E1D81" w:rsidRDefault="00EB481C">
            <w:pPr>
              <w:pStyle w:val="P68B1DB1-Normal13"/>
              <w:spacing w:after="0"/>
              <w:jc w:val="center"/>
              <w:rPr>
                <w:rFonts w:eastAsia="Times New Roman" w:cs="Times New Roman"/>
                <w:noProof/>
              </w:rPr>
            </w:pPr>
            <w:r>
              <w:rPr>
                <w:noProof/>
              </w:rPr>
              <w:t>Közzététel kiegészítő dokumentációként az éves költségvetési törvényben</w:t>
            </w:r>
          </w:p>
        </w:tc>
        <w:tc>
          <w:tcPr>
            <w:tcW w:w="709" w:type="dxa"/>
            <w:shd w:val="clear" w:color="auto" w:fill="C6EFCE"/>
            <w:noWrap/>
          </w:tcPr>
          <w:p w14:paraId="762614A7" w14:textId="77777777" w:rsidR="003E1D81" w:rsidRDefault="00EB481C">
            <w:pPr>
              <w:pStyle w:val="P68B1DB1-Normal13"/>
              <w:spacing w:after="0"/>
              <w:jc w:val="center"/>
              <w:rPr>
                <w:rFonts w:eastAsia="Times New Roman" w:cs="Times New Roman"/>
                <w:noProof/>
              </w:rPr>
            </w:pPr>
            <w:r>
              <w:rPr>
                <w:noProof/>
              </w:rPr>
              <w:t xml:space="preserve"> </w:t>
            </w:r>
          </w:p>
        </w:tc>
        <w:tc>
          <w:tcPr>
            <w:tcW w:w="567" w:type="dxa"/>
            <w:shd w:val="clear" w:color="auto" w:fill="C6EFCE"/>
            <w:noWrap/>
          </w:tcPr>
          <w:p w14:paraId="2DF3361E" w14:textId="77777777" w:rsidR="003E1D81" w:rsidRDefault="00EB481C">
            <w:pPr>
              <w:pStyle w:val="P68B1DB1-Normal13"/>
              <w:spacing w:after="0"/>
              <w:jc w:val="right"/>
              <w:rPr>
                <w:rFonts w:eastAsia="Times New Roman" w:cs="Times New Roman"/>
                <w:noProof/>
              </w:rPr>
            </w:pPr>
            <w:r>
              <w:rPr>
                <w:noProof/>
              </w:rPr>
              <w:t xml:space="preserve"> </w:t>
            </w:r>
          </w:p>
        </w:tc>
        <w:tc>
          <w:tcPr>
            <w:tcW w:w="708" w:type="dxa"/>
            <w:shd w:val="clear" w:color="auto" w:fill="C6EFCE"/>
            <w:noWrap/>
          </w:tcPr>
          <w:p w14:paraId="666FE2A8" w14:textId="77777777" w:rsidR="003E1D81" w:rsidRDefault="00EB481C">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6D5724FD" w14:textId="77777777" w:rsidR="003E1D81" w:rsidRDefault="00EB481C">
            <w:pPr>
              <w:pStyle w:val="P68B1DB1-Normal13"/>
              <w:spacing w:after="0"/>
              <w:jc w:val="center"/>
              <w:rPr>
                <w:rFonts w:eastAsia="Times New Roman" w:cs="Times New Roman"/>
                <w:noProof/>
              </w:rPr>
            </w:pPr>
            <w:r>
              <w:rPr>
                <w:noProof/>
              </w:rPr>
              <w:t>NEGYEDÉV</w:t>
            </w:r>
          </w:p>
        </w:tc>
        <w:tc>
          <w:tcPr>
            <w:tcW w:w="567" w:type="dxa"/>
            <w:shd w:val="clear" w:color="auto" w:fill="C6EFCE"/>
            <w:noWrap/>
          </w:tcPr>
          <w:p w14:paraId="4332F592" w14:textId="77777777" w:rsidR="003E1D81" w:rsidRDefault="00EB481C">
            <w:pPr>
              <w:pStyle w:val="P68B1DB1-Normal13"/>
              <w:spacing w:after="0"/>
              <w:jc w:val="center"/>
              <w:rPr>
                <w:rFonts w:eastAsia="Times New Roman" w:cs="Times New Roman"/>
                <w:noProof/>
              </w:rPr>
            </w:pPr>
            <w:r>
              <w:rPr>
                <w:noProof/>
              </w:rPr>
              <w:t>2021</w:t>
            </w:r>
          </w:p>
        </w:tc>
        <w:tc>
          <w:tcPr>
            <w:tcW w:w="6096" w:type="dxa"/>
            <w:shd w:val="clear" w:color="auto" w:fill="C6EFCE"/>
            <w:noWrap/>
          </w:tcPr>
          <w:p w14:paraId="1503BF07" w14:textId="77777777" w:rsidR="003E1D81" w:rsidRDefault="00EB481C">
            <w:pPr>
              <w:pStyle w:val="P68B1DB1-Normal13"/>
              <w:spacing w:after="0"/>
              <w:rPr>
                <w:rFonts w:eastAsia="Times New Roman" w:cs="Times New Roman"/>
                <w:noProof/>
              </w:rPr>
            </w:pPr>
            <w:r>
              <w:rPr>
                <w:noProof/>
              </w:rPr>
              <w:t xml:space="preserve">A 2022. évi </w:t>
            </w:r>
            <w:r>
              <w:rPr>
                <w:noProof/>
              </w:rPr>
              <w:t>költségvetési törvény tervezetét kísérő, a fenntartható fejlődési célokkal való összhangról szóló jelentés közzététele.</w:t>
            </w:r>
          </w:p>
        </w:tc>
      </w:tr>
      <w:tr w:rsidR="003E1D81" w14:paraId="30A10A31" w14:textId="77777777">
        <w:trPr>
          <w:trHeight w:val="309"/>
        </w:trPr>
        <w:tc>
          <w:tcPr>
            <w:tcW w:w="709" w:type="dxa"/>
            <w:shd w:val="clear" w:color="auto" w:fill="C6EFCE"/>
            <w:noWrap/>
          </w:tcPr>
          <w:p w14:paraId="40E48CF1" w14:textId="77777777" w:rsidR="003E1D81" w:rsidRDefault="00EB481C">
            <w:pPr>
              <w:pStyle w:val="P68B1DB1-Normal13"/>
              <w:spacing w:after="0"/>
              <w:jc w:val="center"/>
              <w:rPr>
                <w:rFonts w:eastAsia="Times New Roman" w:cs="Times New Roman"/>
                <w:noProof/>
              </w:rPr>
            </w:pPr>
            <w:r>
              <w:rPr>
                <w:noProof/>
              </w:rPr>
              <w:t>404</w:t>
            </w:r>
          </w:p>
        </w:tc>
        <w:tc>
          <w:tcPr>
            <w:tcW w:w="851" w:type="dxa"/>
            <w:shd w:val="clear" w:color="auto" w:fill="C6EFCE"/>
            <w:noWrap/>
          </w:tcPr>
          <w:p w14:paraId="1AFFD783" w14:textId="77777777" w:rsidR="003E1D81" w:rsidRDefault="00EB481C">
            <w:pPr>
              <w:pStyle w:val="P68B1DB1-Normal13"/>
              <w:spacing w:after="0"/>
              <w:jc w:val="center"/>
              <w:rPr>
                <w:rFonts w:eastAsia="Times New Roman" w:cs="Times New Roman"/>
                <w:noProof/>
              </w:rPr>
            </w:pPr>
            <w:r>
              <w:rPr>
                <w:noProof/>
              </w:rPr>
              <w:t>C29.R3</w:t>
            </w:r>
          </w:p>
        </w:tc>
        <w:tc>
          <w:tcPr>
            <w:tcW w:w="850" w:type="dxa"/>
            <w:shd w:val="clear" w:color="auto" w:fill="C6EFCE"/>
            <w:noWrap/>
          </w:tcPr>
          <w:p w14:paraId="63FB8DE3" w14:textId="77777777" w:rsidR="003E1D81" w:rsidRDefault="00EB481C">
            <w:pPr>
              <w:pStyle w:val="P68B1DB1-Normal13"/>
              <w:spacing w:after="0"/>
              <w:jc w:val="center"/>
              <w:rPr>
                <w:rFonts w:eastAsia="Times New Roman" w:cs="Times New Roman"/>
                <w:noProof/>
              </w:rPr>
            </w:pPr>
            <w:r>
              <w:rPr>
                <w:noProof/>
              </w:rPr>
              <w:t>M</w:t>
            </w:r>
          </w:p>
        </w:tc>
        <w:tc>
          <w:tcPr>
            <w:tcW w:w="2694" w:type="dxa"/>
            <w:shd w:val="clear" w:color="auto" w:fill="C6EFCE"/>
            <w:noWrap/>
          </w:tcPr>
          <w:p w14:paraId="447F1A60" w14:textId="77777777" w:rsidR="003E1D81" w:rsidRDefault="00EB481C">
            <w:pPr>
              <w:pStyle w:val="P68B1DB1-Normal13"/>
              <w:spacing w:after="0"/>
              <w:rPr>
                <w:rFonts w:eastAsia="Times New Roman" w:cs="Times New Roman"/>
                <w:noProof/>
              </w:rPr>
            </w:pPr>
            <w:r>
              <w:rPr>
                <w:noProof/>
              </w:rPr>
              <w:t>Jelentés a környezetbarát költségvetés-tervezés összehangolásáról</w:t>
            </w:r>
          </w:p>
        </w:tc>
        <w:tc>
          <w:tcPr>
            <w:tcW w:w="992" w:type="dxa"/>
            <w:shd w:val="clear" w:color="auto" w:fill="C6EFCE"/>
            <w:noWrap/>
          </w:tcPr>
          <w:p w14:paraId="5B23B7B4" w14:textId="77777777" w:rsidR="003E1D81" w:rsidRDefault="00EB481C">
            <w:pPr>
              <w:pStyle w:val="P68B1DB1-Normal13"/>
              <w:spacing w:after="0"/>
              <w:jc w:val="center"/>
              <w:rPr>
                <w:rFonts w:eastAsia="Times New Roman" w:cs="Times New Roman"/>
                <w:noProof/>
              </w:rPr>
            </w:pPr>
            <w:r>
              <w:rPr>
                <w:noProof/>
              </w:rPr>
              <w:t xml:space="preserve">Közzététel kiegészítő dokumentációként az éves </w:t>
            </w:r>
            <w:r>
              <w:rPr>
                <w:noProof/>
              </w:rPr>
              <w:t>költségvetési törvényben</w:t>
            </w:r>
          </w:p>
        </w:tc>
        <w:tc>
          <w:tcPr>
            <w:tcW w:w="709" w:type="dxa"/>
            <w:shd w:val="clear" w:color="auto" w:fill="C6EFCE"/>
            <w:noWrap/>
          </w:tcPr>
          <w:p w14:paraId="044B64A3" w14:textId="77777777" w:rsidR="003E1D81" w:rsidRDefault="00EB481C">
            <w:pPr>
              <w:pStyle w:val="P68B1DB1-Normal13"/>
              <w:spacing w:after="0"/>
              <w:jc w:val="center"/>
              <w:rPr>
                <w:rFonts w:eastAsia="Times New Roman" w:cs="Times New Roman"/>
                <w:noProof/>
              </w:rPr>
            </w:pPr>
            <w:r>
              <w:rPr>
                <w:noProof/>
              </w:rPr>
              <w:t xml:space="preserve"> </w:t>
            </w:r>
          </w:p>
        </w:tc>
        <w:tc>
          <w:tcPr>
            <w:tcW w:w="567" w:type="dxa"/>
            <w:shd w:val="clear" w:color="auto" w:fill="C6EFCE"/>
            <w:noWrap/>
          </w:tcPr>
          <w:p w14:paraId="5B607870" w14:textId="77777777" w:rsidR="003E1D81" w:rsidRDefault="00EB481C">
            <w:pPr>
              <w:pStyle w:val="P68B1DB1-Normal13"/>
              <w:spacing w:after="0"/>
              <w:jc w:val="right"/>
              <w:rPr>
                <w:rFonts w:eastAsia="Times New Roman" w:cs="Times New Roman"/>
                <w:noProof/>
              </w:rPr>
            </w:pPr>
            <w:r>
              <w:rPr>
                <w:noProof/>
              </w:rPr>
              <w:t xml:space="preserve"> </w:t>
            </w:r>
          </w:p>
        </w:tc>
        <w:tc>
          <w:tcPr>
            <w:tcW w:w="708" w:type="dxa"/>
            <w:shd w:val="clear" w:color="auto" w:fill="C6EFCE"/>
            <w:noWrap/>
          </w:tcPr>
          <w:p w14:paraId="1EF93582" w14:textId="77777777" w:rsidR="003E1D81" w:rsidRDefault="00EB481C">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59868761" w14:textId="77777777" w:rsidR="003E1D81" w:rsidRDefault="00EB481C">
            <w:pPr>
              <w:pStyle w:val="P68B1DB1-Normal13"/>
              <w:spacing w:after="0"/>
              <w:jc w:val="center"/>
              <w:rPr>
                <w:rFonts w:eastAsia="Times New Roman" w:cs="Times New Roman"/>
                <w:noProof/>
              </w:rPr>
            </w:pPr>
            <w:r>
              <w:rPr>
                <w:noProof/>
              </w:rPr>
              <w:t>NEGYEDÉV</w:t>
            </w:r>
          </w:p>
        </w:tc>
        <w:tc>
          <w:tcPr>
            <w:tcW w:w="567" w:type="dxa"/>
            <w:shd w:val="clear" w:color="auto" w:fill="C6EFCE"/>
            <w:noWrap/>
          </w:tcPr>
          <w:p w14:paraId="19047533" w14:textId="77777777" w:rsidR="003E1D81" w:rsidRDefault="00EB481C">
            <w:pPr>
              <w:pStyle w:val="P68B1DB1-Normal13"/>
              <w:spacing w:after="0"/>
              <w:jc w:val="center"/>
              <w:rPr>
                <w:rFonts w:eastAsia="Times New Roman" w:cs="Times New Roman"/>
                <w:noProof/>
              </w:rPr>
            </w:pPr>
            <w:r>
              <w:rPr>
                <w:noProof/>
              </w:rPr>
              <w:t>2022</w:t>
            </w:r>
          </w:p>
        </w:tc>
        <w:tc>
          <w:tcPr>
            <w:tcW w:w="6096" w:type="dxa"/>
            <w:shd w:val="clear" w:color="auto" w:fill="C6EFCE"/>
            <w:noWrap/>
          </w:tcPr>
          <w:p w14:paraId="5B10DAA6" w14:textId="77777777" w:rsidR="003E1D81" w:rsidRDefault="00EB481C">
            <w:pPr>
              <w:pStyle w:val="P68B1DB1-Normal13"/>
              <w:spacing w:after="0"/>
              <w:rPr>
                <w:rFonts w:eastAsia="Times New Roman" w:cs="Times New Roman"/>
                <w:noProof/>
              </w:rPr>
            </w:pPr>
            <w:r>
              <w:rPr>
                <w:noProof/>
              </w:rPr>
              <w:t xml:space="preserve">A 2023. évi éves költségvetési törvényt kísérő, a zöld költségvetésről szóló jelentés (zöld dimenzió) Az éves költségvetési törvényben fel kell térképezni a zöld kiadásokat, és azt az uniós technikai támogatási </w:t>
            </w:r>
            <w:r>
              <w:rPr>
                <w:noProof/>
              </w:rPr>
              <w:t>eszköz támogatásával kialakított módszertannal és nyomonkövetési kerettel összhangban kell elkészíteni.</w:t>
            </w:r>
          </w:p>
        </w:tc>
      </w:tr>
      <w:tr w:rsidR="003E1D81" w14:paraId="279F1ECF" w14:textId="77777777">
        <w:trPr>
          <w:trHeight w:val="309"/>
        </w:trPr>
        <w:tc>
          <w:tcPr>
            <w:tcW w:w="709" w:type="dxa"/>
            <w:shd w:val="clear" w:color="auto" w:fill="C6EFCE"/>
            <w:noWrap/>
          </w:tcPr>
          <w:p w14:paraId="2D10C541" w14:textId="77777777" w:rsidR="003E1D81" w:rsidRDefault="00EB481C">
            <w:pPr>
              <w:pStyle w:val="P68B1DB1-Normal13"/>
              <w:spacing w:after="0"/>
              <w:jc w:val="center"/>
              <w:rPr>
                <w:rFonts w:cs="Times New Roman"/>
                <w:noProof/>
              </w:rPr>
            </w:pPr>
            <w:r>
              <w:rPr>
                <w:noProof/>
              </w:rPr>
              <w:t>405</w:t>
            </w:r>
          </w:p>
        </w:tc>
        <w:tc>
          <w:tcPr>
            <w:tcW w:w="851" w:type="dxa"/>
            <w:shd w:val="clear" w:color="auto" w:fill="C6EFCE"/>
            <w:noWrap/>
          </w:tcPr>
          <w:p w14:paraId="776C2514" w14:textId="77777777" w:rsidR="003E1D81" w:rsidRDefault="00EB481C">
            <w:pPr>
              <w:pStyle w:val="P68B1DB1-Normal13"/>
              <w:spacing w:after="0"/>
              <w:jc w:val="center"/>
              <w:rPr>
                <w:rFonts w:cs="Times New Roman"/>
                <w:noProof/>
              </w:rPr>
            </w:pPr>
            <w:r>
              <w:rPr>
                <w:noProof/>
              </w:rPr>
              <w:t>C29.R3</w:t>
            </w:r>
          </w:p>
        </w:tc>
        <w:tc>
          <w:tcPr>
            <w:tcW w:w="850" w:type="dxa"/>
            <w:shd w:val="clear" w:color="auto" w:fill="C6EFCE"/>
            <w:noWrap/>
          </w:tcPr>
          <w:p w14:paraId="0AD761A3" w14:textId="77777777" w:rsidR="003E1D81" w:rsidRDefault="00EB481C">
            <w:pPr>
              <w:pStyle w:val="P68B1DB1-Normal13"/>
              <w:spacing w:after="0"/>
              <w:jc w:val="center"/>
              <w:rPr>
                <w:rFonts w:cs="Times New Roman"/>
                <w:noProof/>
              </w:rPr>
            </w:pPr>
            <w:r>
              <w:rPr>
                <w:noProof/>
              </w:rPr>
              <w:t>M</w:t>
            </w:r>
          </w:p>
        </w:tc>
        <w:tc>
          <w:tcPr>
            <w:tcW w:w="2694" w:type="dxa"/>
            <w:shd w:val="clear" w:color="auto" w:fill="C6EFCE"/>
            <w:noWrap/>
          </w:tcPr>
          <w:p w14:paraId="03C956F3" w14:textId="77777777" w:rsidR="003E1D81" w:rsidRDefault="00EB481C">
            <w:pPr>
              <w:pStyle w:val="P68B1DB1-Normal13"/>
              <w:spacing w:after="0"/>
              <w:rPr>
                <w:rFonts w:cs="Times New Roman"/>
                <w:noProof/>
              </w:rPr>
            </w:pPr>
            <w:r>
              <w:rPr>
                <w:noProof/>
              </w:rPr>
              <w:t>Jelentés a környezetbarát költségvetés-tervezés összehangolásáról</w:t>
            </w:r>
          </w:p>
        </w:tc>
        <w:tc>
          <w:tcPr>
            <w:tcW w:w="992" w:type="dxa"/>
            <w:shd w:val="clear" w:color="auto" w:fill="C6EFCE"/>
            <w:noWrap/>
          </w:tcPr>
          <w:p w14:paraId="5E196C9C" w14:textId="77777777" w:rsidR="003E1D81" w:rsidRDefault="00EB481C">
            <w:pPr>
              <w:pStyle w:val="P68B1DB1-Normal13"/>
              <w:spacing w:after="0"/>
              <w:jc w:val="center"/>
              <w:rPr>
                <w:rFonts w:cs="Times New Roman"/>
                <w:noProof/>
              </w:rPr>
            </w:pPr>
            <w:r>
              <w:rPr>
                <w:noProof/>
              </w:rPr>
              <w:t>Közzététel kiegészítő dokumentációként az éves költségvetési törvényben</w:t>
            </w:r>
          </w:p>
        </w:tc>
        <w:tc>
          <w:tcPr>
            <w:tcW w:w="709" w:type="dxa"/>
            <w:shd w:val="clear" w:color="auto" w:fill="C6EFCE"/>
            <w:noWrap/>
          </w:tcPr>
          <w:p w14:paraId="10688FB1" w14:textId="77777777" w:rsidR="003E1D81" w:rsidRDefault="00EB481C">
            <w:pPr>
              <w:pStyle w:val="P68B1DB1-Normal13"/>
              <w:spacing w:after="0"/>
              <w:jc w:val="center"/>
              <w:rPr>
                <w:rFonts w:cs="Times New Roman"/>
                <w:noProof/>
              </w:rPr>
            </w:pPr>
            <w:r>
              <w:rPr>
                <w:noProof/>
              </w:rPr>
              <w:t xml:space="preserve"> </w:t>
            </w:r>
          </w:p>
        </w:tc>
        <w:tc>
          <w:tcPr>
            <w:tcW w:w="567" w:type="dxa"/>
            <w:shd w:val="clear" w:color="auto" w:fill="C6EFCE"/>
            <w:noWrap/>
          </w:tcPr>
          <w:p w14:paraId="165D25D0" w14:textId="77777777" w:rsidR="003E1D81" w:rsidRDefault="00EB481C">
            <w:pPr>
              <w:pStyle w:val="P68B1DB1-Normal13"/>
              <w:spacing w:after="0"/>
              <w:jc w:val="right"/>
              <w:rPr>
                <w:rFonts w:cs="Times New Roman"/>
                <w:noProof/>
              </w:rPr>
            </w:pPr>
            <w:r>
              <w:rPr>
                <w:noProof/>
              </w:rPr>
              <w:t xml:space="preserve"> </w:t>
            </w:r>
          </w:p>
        </w:tc>
        <w:tc>
          <w:tcPr>
            <w:tcW w:w="708" w:type="dxa"/>
            <w:shd w:val="clear" w:color="auto" w:fill="C6EFCE"/>
            <w:noWrap/>
          </w:tcPr>
          <w:p w14:paraId="0E804BFF" w14:textId="77777777" w:rsidR="003E1D81" w:rsidRDefault="00EB481C">
            <w:pPr>
              <w:pStyle w:val="P68B1DB1-Normal13"/>
              <w:spacing w:after="0"/>
              <w:jc w:val="right"/>
              <w:rPr>
                <w:rFonts w:cs="Times New Roman"/>
                <w:noProof/>
              </w:rPr>
            </w:pPr>
            <w:r>
              <w:rPr>
                <w:noProof/>
              </w:rPr>
              <w:t xml:space="preserve"> </w:t>
            </w:r>
          </w:p>
        </w:tc>
        <w:tc>
          <w:tcPr>
            <w:tcW w:w="567" w:type="dxa"/>
            <w:shd w:val="clear" w:color="auto" w:fill="C6EFCE"/>
            <w:noWrap/>
          </w:tcPr>
          <w:p w14:paraId="6AF02849" w14:textId="77777777" w:rsidR="003E1D81" w:rsidRDefault="00EB481C">
            <w:pPr>
              <w:pStyle w:val="P68B1DB1-Normal13"/>
              <w:spacing w:after="0"/>
              <w:jc w:val="center"/>
              <w:rPr>
                <w:rFonts w:cs="Times New Roman"/>
                <w:noProof/>
              </w:rPr>
            </w:pPr>
            <w:r>
              <w:rPr>
                <w:noProof/>
              </w:rPr>
              <w:t>NEGYEDÉV</w:t>
            </w:r>
          </w:p>
        </w:tc>
        <w:tc>
          <w:tcPr>
            <w:tcW w:w="567" w:type="dxa"/>
            <w:shd w:val="clear" w:color="auto" w:fill="C6EFCE"/>
            <w:noWrap/>
          </w:tcPr>
          <w:p w14:paraId="1A4670A2" w14:textId="77777777" w:rsidR="003E1D81" w:rsidRDefault="00EB481C">
            <w:pPr>
              <w:pStyle w:val="P68B1DB1-Normal13"/>
              <w:spacing w:after="0"/>
              <w:jc w:val="center"/>
              <w:rPr>
                <w:rFonts w:cs="Times New Roman"/>
                <w:noProof/>
              </w:rPr>
            </w:pPr>
            <w:r>
              <w:rPr>
                <w:noProof/>
              </w:rPr>
              <w:t>2023</w:t>
            </w:r>
          </w:p>
        </w:tc>
        <w:tc>
          <w:tcPr>
            <w:tcW w:w="6096" w:type="dxa"/>
            <w:shd w:val="clear" w:color="auto" w:fill="C6EFCE"/>
            <w:noWrap/>
          </w:tcPr>
          <w:p w14:paraId="1B5BB0EC" w14:textId="77777777" w:rsidR="003E1D81" w:rsidRDefault="00EB481C">
            <w:pPr>
              <w:pStyle w:val="P68B1DB1-Normal13"/>
              <w:spacing w:after="0"/>
              <w:rPr>
                <w:rFonts w:cs="Times New Roman"/>
                <w:noProof/>
              </w:rPr>
            </w:pPr>
            <w:r>
              <w:rPr>
                <w:noProof/>
              </w:rPr>
              <w:t>A 2024. évi éves költségvetési törvényt kísérő, a zöld költségvetésről szóló jelentés (barna dimenzió) Az éves költségvetési törvényben fel kell térképezni a barna kiadásokat, és azt az uniós technikai támogatási eszköz támogatásával ki</w:t>
            </w:r>
            <w:r>
              <w:rPr>
                <w:noProof/>
              </w:rPr>
              <w:t>alakított módszertannal és nyomonkövetési kerettel összhangban kell elkészíteni.</w:t>
            </w:r>
          </w:p>
        </w:tc>
      </w:tr>
    </w:tbl>
    <w:p w14:paraId="1E6DB335" w14:textId="77777777" w:rsidR="003E1D81" w:rsidRDefault="003E1D81">
      <w:pPr>
        <w:pStyle w:val="SectionTitle"/>
        <w:rPr>
          <w:rFonts w:ascii="Times New Roman" w:hAnsi="Times New Roman" w:cs="Times New Roman"/>
          <w:noProof/>
          <w:sz w:val="2"/>
        </w:rPr>
        <w:sectPr w:rsidR="003E1D81" w:rsidSect="00C94F66">
          <w:headerReference w:type="even" r:id="rId549"/>
          <w:headerReference w:type="default" r:id="rId550"/>
          <w:footerReference w:type="even" r:id="rId551"/>
          <w:footerReference w:type="default" r:id="rId552"/>
          <w:headerReference w:type="first" r:id="rId553"/>
          <w:footerReference w:type="first" r:id="rId554"/>
          <w:pgSz w:w="16839" w:h="11907" w:orient="landscape"/>
          <w:pgMar w:top="1417" w:right="1134" w:bottom="1417" w:left="1134" w:header="709" w:footer="709" w:gutter="0"/>
          <w:cols w:space="720"/>
          <w:docGrid w:linePitch="360"/>
        </w:sectPr>
      </w:pPr>
    </w:p>
    <w:p w14:paraId="7180C115" w14:textId="77777777" w:rsidR="003E1D81" w:rsidRDefault="00EB481C">
      <w:pPr>
        <w:pStyle w:val="P68B1DB1-Heading12"/>
        <w:rPr>
          <w:rFonts w:cs="Times New Roman"/>
          <w:noProof/>
        </w:rPr>
      </w:pPr>
      <w:r>
        <w:rPr>
          <w:noProof/>
        </w:rPr>
        <w:t>AD. ÖSSZETEVŐ: Nyugdíjak</w:t>
      </w:r>
    </w:p>
    <w:p w14:paraId="737C31BF" w14:textId="77777777" w:rsidR="003E1D81" w:rsidRDefault="00EB481C">
      <w:pPr>
        <w:pStyle w:val="Text1"/>
        <w:ind w:left="0"/>
        <w:rPr>
          <w:rStyle w:val="IntenseEmphasis"/>
          <w:rFonts w:ascii="Times New Roman" w:hAnsi="Times New Roman" w:cs="Times New Roman"/>
          <w:i w:val="0"/>
          <w:noProof/>
          <w:color w:val="auto"/>
        </w:rPr>
      </w:pPr>
      <w:r>
        <w:rPr>
          <w:rFonts w:ascii="Times New Roman" w:hAnsi="Times New Roman"/>
          <w:noProof/>
        </w:rPr>
        <w:t xml:space="preserve">A spanyol helyreállítási és rezilienciaépítési terv komponensének célja a </w:t>
      </w:r>
      <w:r>
        <w:rPr>
          <w:rFonts w:ascii="Times New Roman" w:hAnsi="Times New Roman"/>
          <w:noProof/>
        </w:rPr>
        <w:t>nyugdíjrendszer reformja i. a rendszer rövid, közép- és hosszú távú pénzügyi fenntarthatóságának biztosítása, ii. a nyugdíjak vásárlóerejének fenntartása, iii. a nyugdíjak megfelelőségének megőrzése, iv. a nyugdíjasok szegénységtől való védelme és v. a gen</w:t>
      </w:r>
      <w:r>
        <w:rPr>
          <w:rFonts w:ascii="Times New Roman" w:hAnsi="Times New Roman"/>
          <w:noProof/>
        </w:rPr>
        <w:t>erációk közötti méltányosság biztosítása érdekében. A reformintézkedések a toledói paktum ajánlásainak elfogadásával kapcsolatos széles körű parlamenti konszenzusra épülnek</w:t>
      </w:r>
      <w:r>
        <w:rPr>
          <w:rStyle w:val="FootnoteReference"/>
          <w:rFonts w:ascii="Times New Roman" w:hAnsi="Times New Roman" w:cs="Times New Roman"/>
          <w:noProof/>
        </w:rPr>
        <w:footnoteReference w:id="213"/>
      </w:r>
      <w:r>
        <w:rPr>
          <w:rFonts w:ascii="Times New Roman" w:hAnsi="Times New Roman"/>
          <w:noProof/>
        </w:rPr>
        <w:t>. A még mindig szociális párbeszéd tárgyát képező intézkedések közé tartoznak a köv</w:t>
      </w:r>
      <w:r>
        <w:rPr>
          <w:rFonts w:ascii="Times New Roman" w:hAnsi="Times New Roman"/>
          <w:noProof/>
        </w:rPr>
        <w:t>etkezők: i. a finanszírozási források szétválasztása, ii. a nyugellátások felülvizsgált indexálási mechanizmusa, iii. a késői nyugdíjba vonulás ösztönzése és a korengedményes nyugdíjazással kapcsolatos szabályozási változások, iv. a járulékfizetési időszak</w:t>
      </w:r>
      <w:r>
        <w:rPr>
          <w:rFonts w:ascii="Times New Roman" w:hAnsi="Times New Roman"/>
          <w:noProof/>
        </w:rPr>
        <w:t xml:space="preserve"> módosítása az öregségi nyugdíj kiszámításához, v. a reáljövedelemen alapuló új járulékfizetési rendszer az önfoglalkoztatók számára, valamint vi. a foglalkoztatói nyugdíjrendszerek kollektív tárgyalások útján történő fejlesztése.</w:t>
      </w:r>
    </w:p>
    <w:p w14:paraId="7E8D549C" w14:textId="77777777" w:rsidR="003E1D81" w:rsidRDefault="00EB481C">
      <w:pPr>
        <w:pStyle w:val="Text1"/>
        <w:ind w:left="0"/>
        <w:rPr>
          <w:rStyle w:val="IntenseEmphasis"/>
          <w:rFonts w:ascii="Times New Roman" w:hAnsi="Times New Roman" w:cs="Times New Roman"/>
          <w:i w:val="0"/>
          <w:noProof/>
          <w:color w:val="auto"/>
        </w:rPr>
      </w:pPr>
      <w:r>
        <w:rPr>
          <w:rStyle w:val="IntenseEmphasis"/>
          <w:rFonts w:ascii="Times New Roman" w:hAnsi="Times New Roman"/>
          <w:i w:val="0"/>
          <w:noProof/>
          <w:color w:val="auto"/>
        </w:rPr>
        <w:t>A komponens a nyugdíjrend</w:t>
      </w:r>
      <w:r>
        <w:rPr>
          <w:rStyle w:val="IntenseEmphasis"/>
          <w:rFonts w:ascii="Times New Roman" w:hAnsi="Times New Roman"/>
          <w:i w:val="0"/>
          <w:noProof/>
          <w:color w:val="auto"/>
        </w:rPr>
        <w:t>szer fenntarthatóságának megőrzéséről (2019. évi 1. országspecifikus ajánlás) és – amennyiben a gazdasági feltételek lehetővé teszik – a prudens középtávú költségvetési pozíció elérésére és az adósság fenntarthatóságának biztosítására irányuló költségvetés</w:t>
      </w:r>
      <w:r>
        <w:rPr>
          <w:rStyle w:val="IntenseEmphasis"/>
          <w:rFonts w:ascii="Times New Roman" w:hAnsi="Times New Roman"/>
          <w:i w:val="0"/>
          <w:noProof/>
          <w:color w:val="auto"/>
        </w:rPr>
        <w:t xml:space="preserve">i politikák folytatásáról szóló országspecifikus ajánlásokkal foglalkozik, miközben ösztönzi a beruházásokat (2020. évi 1. országspecifikus ajánlás). </w:t>
      </w:r>
    </w:p>
    <w:p w14:paraId="0EF3D7FD" w14:textId="77777777" w:rsidR="003E1D81" w:rsidRDefault="00EB481C">
      <w:pPr>
        <w:pStyle w:val="P68B1DB1-Text119"/>
        <w:ind w:left="0"/>
        <w:rPr>
          <w:rFonts w:cs="Times New Roman"/>
          <w:noProof/>
        </w:rPr>
      </w:pPr>
      <w:r>
        <w:rPr>
          <w:noProof/>
        </w:rPr>
        <w:t>A jelentős károkozás elkerülését célzó elvről szóló technikai iránymutatásnak (2021/C58/01) megfelelően a</w:t>
      </w:r>
      <w:r>
        <w:rPr>
          <w:noProof/>
        </w:rPr>
        <w:t xml:space="preserve">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w:t>
      </w:r>
      <w:r>
        <w:rPr>
          <w:noProof/>
        </w:rPr>
        <w:t>ben az (EU) 2020/852 rendelet 17. cikke szerinti környezeti célkitűzéseket.</w:t>
      </w:r>
    </w:p>
    <w:p w14:paraId="3BB1CD5E" w14:textId="77777777" w:rsidR="003E1D81" w:rsidRDefault="00EB481C">
      <w:pPr>
        <w:pStyle w:val="P68B1DB1-Text138"/>
        <w:ind w:left="709"/>
        <w:rPr>
          <w:rFonts w:cs="Times New Roman"/>
          <w:noProof/>
        </w:rPr>
      </w:pPr>
      <w:r>
        <w:rPr>
          <w:noProof/>
        </w:rPr>
        <w:t xml:space="preserve">AD.1. </w:t>
      </w:r>
      <w:r>
        <w:rPr>
          <w:noProof/>
        </w:rPr>
        <w:tab/>
        <w:t>Vissza nem térítendő pénzügyi támogatás – a reformok és beruházások ismertetése</w:t>
      </w:r>
    </w:p>
    <w:p w14:paraId="2F205B6D" w14:textId="77777777" w:rsidR="003E1D81" w:rsidRDefault="00EB481C">
      <w:pPr>
        <w:pStyle w:val="P68B1DB1-Text120"/>
        <w:ind w:left="0"/>
        <w:rPr>
          <w:rFonts w:cs="Times New Roman"/>
          <w:noProof/>
        </w:rPr>
      </w:pPr>
      <w:r>
        <w:rPr>
          <w:noProof/>
        </w:rPr>
        <w:t>Reform (C30.R1) – A társadalombiztosítási finanszírozási források elkülönítése</w:t>
      </w:r>
    </w:p>
    <w:p w14:paraId="07603AFE" w14:textId="77777777" w:rsidR="003E1D81" w:rsidRDefault="00EB481C">
      <w:pPr>
        <w:pStyle w:val="P68B1DB1-Normal4"/>
        <w:spacing w:before="120" w:after="120" w:line="240" w:lineRule="auto"/>
        <w:jc w:val="both"/>
        <w:rPr>
          <w:rFonts w:cs="Times New Roman"/>
          <w:noProof/>
        </w:rPr>
      </w:pPr>
      <w:r>
        <w:rPr>
          <w:noProof/>
        </w:rPr>
        <w:t>A reform célja</w:t>
      </w:r>
      <w:r>
        <w:rPr>
          <w:noProof/>
        </w:rPr>
        <w:t>, hogy a toledói paktum ajánlásaival összhangban megváltoztassa a nyugdíjrendszer finanszírozását annak érdekében, hogy a járulékalapú ellátásokat társadalombiztosítási járulékokból finanszírozzák, és a nem járulékalapú ellátásokat az állami költségvetésbő</w:t>
      </w:r>
      <w:r>
        <w:rPr>
          <w:noProof/>
        </w:rPr>
        <w:t>l folyósítsák. A reform abból áll, hogy az állam átvállalja számos olyan kiadási tétel finanszírozását, amelyeket jelenleg társadalombiztosítási járulékok fedeznek. A reformnak meg kell erősítenie a hozzájárulások és a jogosultságok közötti kapcsolatot, és</w:t>
      </w:r>
      <w:r>
        <w:rPr>
          <w:noProof/>
        </w:rPr>
        <w:t xml:space="preserve"> javítania kell a járulékalapú rendszer pénzügyi fenntarthatóságát. </w:t>
      </w:r>
    </w:p>
    <w:p w14:paraId="11C3E650" w14:textId="77777777" w:rsidR="003E1D81" w:rsidRDefault="00EB481C">
      <w:pPr>
        <w:pStyle w:val="P68B1DB1-Normal4"/>
        <w:spacing w:before="120" w:after="120" w:line="240" w:lineRule="auto"/>
        <w:jc w:val="both"/>
        <w:rPr>
          <w:rFonts w:cs="Times New Roman"/>
          <w:noProof/>
        </w:rPr>
      </w:pPr>
      <w:r>
        <w:rPr>
          <w:noProof/>
        </w:rPr>
        <w:t xml:space="preserve">A korábban társadalombiztosítási járulékokból finanszírozott, de e reform keretében nem járulékalapúnak és az állami költségvetésből finanszírozott kiadási tételek a következők: i. a nem </w:t>
      </w:r>
      <w:r>
        <w:rPr>
          <w:noProof/>
        </w:rPr>
        <w:t>járulékalapú foglalkoztatáspolitikák egy része, ii. a társadalombiztosítási járulék csökkentése a foglalkoztatás előmozdítása érdekében, iii. a szülési és gyermekgondozási támogatások, iv. a korengedményes nyugdíjazással kapcsolatos kiadások, v. az anyaság</w:t>
      </w:r>
      <w:r>
        <w:rPr>
          <w:noProof/>
        </w:rPr>
        <w:t xml:space="preserve">i nyugdíjkiegészítés, v. a családtagok nyugdíja, vi. támogatási intézkedések („implicit támogatások”) a különleges rendszerek számára, valamint vii. az öregségi nyugdíj kiszámítása során a járulékok terén fennálló hiányosságok kiegészítésének költségei. </w:t>
      </w:r>
    </w:p>
    <w:p w14:paraId="23673BD8" w14:textId="77777777" w:rsidR="003E1D81" w:rsidRDefault="00EB481C">
      <w:pPr>
        <w:pStyle w:val="P68B1DB1-Normal4"/>
        <w:spacing w:before="120" w:after="120" w:line="240" w:lineRule="auto"/>
        <w:jc w:val="both"/>
        <w:rPr>
          <w:rFonts w:cs="Times New Roman"/>
          <w:noProof/>
        </w:rPr>
      </w:pPr>
      <w:r>
        <w:rPr>
          <w:noProof/>
        </w:rPr>
        <w:t>A</w:t>
      </w:r>
      <w:r>
        <w:rPr>
          <w:noProof/>
        </w:rPr>
        <w:t xml:space="preserve"> reform a 2021. évi általános állami költségvetés rendelkezései révén kezdődött, és azt fokozatosan, az állami költségvetésből a társadalombiztosítási költségvetésbe történő átcsoportosítással kell végrehajtani. </w:t>
      </w:r>
    </w:p>
    <w:p w14:paraId="4A6F8A76" w14:textId="77777777" w:rsidR="003E1D81" w:rsidRDefault="00EB481C">
      <w:pPr>
        <w:pStyle w:val="P68B1DB1-Normal4"/>
        <w:spacing w:before="120" w:after="120" w:line="240" w:lineRule="auto"/>
        <w:jc w:val="both"/>
        <w:rPr>
          <w:rFonts w:cs="Times New Roman"/>
          <w:noProof/>
        </w:rPr>
      </w:pPr>
      <w:r>
        <w:rPr>
          <w:noProof/>
        </w:rPr>
        <w:t>Az intézkedést 2023. december 31-ig végre k</w:t>
      </w:r>
      <w:r>
        <w:rPr>
          <w:noProof/>
        </w:rPr>
        <w:t>ell hajtani.</w:t>
      </w:r>
    </w:p>
    <w:p w14:paraId="341FA52A" w14:textId="77777777" w:rsidR="003E1D81" w:rsidRDefault="00EB481C">
      <w:pPr>
        <w:pStyle w:val="P68B1DB1-Text119"/>
        <w:ind w:left="0"/>
        <w:rPr>
          <w:rFonts w:cs="Times New Roman"/>
          <w:noProof/>
          <w:u w:val="single"/>
        </w:rPr>
      </w:pPr>
      <w:r>
        <w:rPr>
          <w:noProof/>
          <w:u w:val="single"/>
        </w:rPr>
        <w:t>Reform (C30.R2) – A nyugdíjak vásárlóerejének fenntartása,</w:t>
      </w:r>
      <w:r>
        <w:rPr>
          <w:noProof/>
        </w:rPr>
        <w:t xml:space="preserve"> a </w:t>
      </w:r>
      <w:r>
        <w:rPr>
          <w:noProof/>
          <w:u w:val="single"/>
        </w:rPr>
        <w:t>tényleges nyugdíjkorhatárnak a kötelező nyugdíjkorhatárhoz való igazítása, az öregségi nyugdíj kiszámításához szükséges számítási időszak hozzáigazítása az új életpályákhoz, valamint</w:t>
      </w:r>
      <w:r>
        <w:rPr>
          <w:noProof/>
        </w:rPr>
        <w:t xml:space="preserve"> a </w:t>
      </w:r>
      <w:r>
        <w:rPr>
          <w:noProof/>
          <w:u w:val="single"/>
        </w:rPr>
        <w:t>fenntarthatósági tényező generációk közötti méltányossági mechanizmussal való felváltása</w:t>
      </w:r>
    </w:p>
    <w:p w14:paraId="3D0FFCFF" w14:textId="77777777" w:rsidR="003E1D81" w:rsidRDefault="00EB481C">
      <w:pPr>
        <w:pStyle w:val="P68B1DB1-Normal4"/>
        <w:spacing w:before="120" w:after="120" w:line="240" w:lineRule="auto"/>
        <w:jc w:val="both"/>
        <w:rPr>
          <w:rFonts w:cs="Times New Roman"/>
          <w:noProof/>
        </w:rPr>
      </w:pPr>
      <w:r>
        <w:rPr>
          <w:noProof/>
        </w:rPr>
        <w:t>A reform célja i. a nyugdíjasok vásárlóerejének biztosítása, ii. a törvényes nyugdíjkorhatárhoz közeli életkorban a munkaerő-piaci részvétel növelése, iii. a nyugdí</w:t>
      </w:r>
      <w:r>
        <w:rPr>
          <w:noProof/>
        </w:rPr>
        <w:t>jba vonulás elhalasztása, iv. a járulékfizetési rendszer progresszivitásának megerősítése, v. a jelenlegi szabályozás hozzáigazítása a nem folyamatos karrierekhez és az atipikus munkavégzés egyéb formáihoz, valamint vi. a küszöbön álló demográfiai változás</w:t>
      </w:r>
      <w:r>
        <w:rPr>
          <w:noProof/>
        </w:rPr>
        <w:t xml:space="preserve">ok hatásainak kezelése a jelenlegi és jövőbeli nyugdíjak megfelelőségének romlása nélkül. A reform négy különálló szabályozási reformból áll a toledói paktum ajánlásaival összhangban, amelyeket két lépésben kell elfogadni. </w:t>
      </w:r>
    </w:p>
    <w:p w14:paraId="29699A14" w14:textId="77777777" w:rsidR="003E1D81" w:rsidRDefault="00EB481C">
      <w:pPr>
        <w:pStyle w:val="P68B1DB1-Normal4"/>
        <w:spacing w:before="120" w:after="120" w:line="240" w:lineRule="auto"/>
        <w:rPr>
          <w:rFonts w:cs="Times New Roman"/>
          <w:noProof/>
        </w:rPr>
      </w:pPr>
      <w:r>
        <w:rPr>
          <w:noProof/>
        </w:rPr>
        <w:t xml:space="preserve">A 2021. december 31-ig hatályba </w:t>
      </w:r>
      <w:r>
        <w:rPr>
          <w:noProof/>
        </w:rPr>
        <w:t>lépő reformok a következők:</w:t>
      </w:r>
    </w:p>
    <w:p w14:paraId="5348CA21" w14:textId="77777777" w:rsidR="003E1D81" w:rsidRDefault="00EB481C">
      <w:pPr>
        <w:pStyle w:val="P68B1DB1-ListParagraph7"/>
        <w:numPr>
          <w:ilvl w:val="0"/>
          <w:numId w:val="718"/>
        </w:numPr>
        <w:spacing w:before="120" w:after="120" w:line="240" w:lineRule="auto"/>
        <w:jc w:val="both"/>
        <w:rPr>
          <w:rFonts w:cs="Times New Roman"/>
          <w:noProof/>
        </w:rPr>
      </w:pPr>
      <w:r>
        <w:rPr>
          <w:noProof/>
        </w:rPr>
        <w:t xml:space="preserve">Új indexálási mechanizmus, amely a nyugellátásokat az inflációhoz köti azzal a céllal, hogy tartósan garantálja a nyugdíjasok vásárlóerejét. </w:t>
      </w:r>
    </w:p>
    <w:p w14:paraId="2A7F3E2A" w14:textId="77777777" w:rsidR="003E1D81" w:rsidRDefault="00EB481C">
      <w:pPr>
        <w:pStyle w:val="P68B1DB1-ListParagraph7"/>
        <w:numPr>
          <w:ilvl w:val="0"/>
          <w:numId w:val="718"/>
        </w:numPr>
        <w:spacing w:before="120" w:after="120" w:line="240" w:lineRule="auto"/>
        <w:jc w:val="both"/>
        <w:rPr>
          <w:rFonts w:cs="Times New Roman"/>
          <w:noProof/>
        </w:rPr>
      </w:pPr>
      <w:r>
        <w:rPr>
          <w:noProof/>
        </w:rPr>
        <w:t>A tényleges nyugdíjkorhatárnak a kötelező nyugdíjkorhatárhoz való igazítása azzal a cé</w:t>
      </w:r>
      <w:r>
        <w:rPr>
          <w:noProof/>
        </w:rPr>
        <w:t>llal, hogy a törvényes nyugdíjkorhatárhoz közeli életkorban növeljék a munkaerő-piaci részvételt, és halasszák el a nyugdíjba vonulást. Az intézkedés a következő szabályozási változásokból áll:</w:t>
      </w:r>
    </w:p>
    <w:p w14:paraId="6E80937E" w14:textId="77777777" w:rsidR="003E1D81" w:rsidRDefault="00EB481C">
      <w:pPr>
        <w:pStyle w:val="P68B1DB1-ListParagraph7"/>
        <w:numPr>
          <w:ilvl w:val="1"/>
          <w:numId w:val="167"/>
        </w:numPr>
        <w:spacing w:before="120" w:after="120" w:line="240" w:lineRule="auto"/>
        <w:jc w:val="both"/>
        <w:rPr>
          <w:rFonts w:cs="Times New Roman"/>
          <w:noProof/>
        </w:rPr>
      </w:pPr>
      <w:r>
        <w:rPr>
          <w:noProof/>
        </w:rPr>
        <w:t xml:space="preserve"> Új ösztönzők létrehozása a nyugdíjba vonulás elhalasztására (fokozott gazdasági ösztönzők a nyugdíjba vonulás késleltetésére, valamint a munka és a nyugdíj összeegyeztethetőségének előmozdítása). A nyugdíjba vonulást elhalasztó munkavállalók különösen a k</w:t>
      </w:r>
      <w:r>
        <w:rPr>
          <w:noProof/>
        </w:rPr>
        <w:t>övetkezők közül választhatnak: a nyugdíj összegének növelése minden egyes, a törvényes nyugdíjkorhatár és a tényleges nyugdíjba vonulás között jóváírt kiegészítő járulékfizetési év tekintetében; egyösszegű kifizetés; és a korábbi kettő kombinációja.</w:t>
      </w:r>
    </w:p>
    <w:p w14:paraId="55A7387E" w14:textId="77777777" w:rsidR="003E1D81" w:rsidRDefault="00EB481C">
      <w:pPr>
        <w:pStyle w:val="P68B1DB1-ListParagraph7"/>
        <w:numPr>
          <w:ilvl w:val="1"/>
          <w:numId w:val="167"/>
        </w:numPr>
        <w:spacing w:before="120" w:after="120" w:line="240" w:lineRule="auto"/>
        <w:jc w:val="both"/>
        <w:rPr>
          <w:rFonts w:cs="Times New Roman"/>
          <w:noProof/>
        </w:rPr>
      </w:pPr>
      <w:r>
        <w:rPr>
          <w:noProof/>
        </w:rPr>
        <w:t>A kore</w:t>
      </w:r>
      <w:r>
        <w:rPr>
          <w:noProof/>
        </w:rPr>
        <w:t>ngedményes nyugdíjazásra vonatkozó jelenlegi szabályozás korai nyugdíjba vonulási elemeinek szabályozását gátló tényezők megerősítése. A korengedményes nyugdíjazásra vonatkozó csökkentési arányt módosítani kell a tényleges nyugdíjkorhatár emelése, valamint</w:t>
      </w:r>
      <w:r>
        <w:rPr>
          <w:noProof/>
        </w:rPr>
        <w:t xml:space="preserve"> a maximális járulékfizetési alappal rendelkező nyugdíjasoknak biztosított kiváltságos bánásmód megszüntetése érdekében. Meg kell tiltani az olyan kollektív tárgyalásokra vonatkozó rendelkezéseket, amelyek a rendes nyugdíjkorhatár elérésekor írják elő a ny</w:t>
      </w:r>
      <w:r>
        <w:rPr>
          <w:noProof/>
        </w:rPr>
        <w:t>ugdíjhoz való hozzáférést.</w:t>
      </w:r>
    </w:p>
    <w:p w14:paraId="0B2F0D06" w14:textId="77777777" w:rsidR="003E1D81" w:rsidRDefault="00EB481C">
      <w:pPr>
        <w:pStyle w:val="P68B1DB1-Normal4"/>
        <w:spacing w:before="120" w:after="120" w:line="240" w:lineRule="auto"/>
        <w:rPr>
          <w:rFonts w:cs="Times New Roman"/>
          <w:noProof/>
        </w:rPr>
      </w:pPr>
      <w:r>
        <w:rPr>
          <w:noProof/>
        </w:rPr>
        <w:t>A 2022. december 31-ig hatályba lépő reformok a következők:</w:t>
      </w:r>
    </w:p>
    <w:p w14:paraId="27134B17" w14:textId="77777777" w:rsidR="003E1D81" w:rsidRDefault="00EB481C">
      <w:pPr>
        <w:pStyle w:val="P68B1DB1-ListParagraph7"/>
        <w:numPr>
          <w:ilvl w:val="0"/>
          <w:numId w:val="717"/>
        </w:numPr>
        <w:spacing w:before="120" w:after="120" w:line="240" w:lineRule="auto"/>
        <w:jc w:val="both"/>
        <w:rPr>
          <w:rFonts w:cs="Times New Roman"/>
          <w:noProof/>
        </w:rPr>
      </w:pPr>
      <w:r>
        <w:rPr>
          <w:noProof/>
        </w:rPr>
        <w:t>A járulékfizetési időszak kiigazítása az öregségi nyugdíj kiszámításához azzal a céllal, hogy megerősítsék a rendszer progresszivitását, és a jelenlegi szabályozást hozz</w:t>
      </w:r>
      <w:r>
        <w:rPr>
          <w:noProof/>
        </w:rPr>
        <w:t xml:space="preserve">áigazítsák a nem folyamatos karrierekhez és az atipikus munkavégzés egyéb formáihoz. </w:t>
      </w:r>
    </w:p>
    <w:p w14:paraId="2A3475C4" w14:textId="77777777" w:rsidR="003E1D81" w:rsidRDefault="00EB481C">
      <w:pPr>
        <w:pStyle w:val="P68B1DB1-ListParagraph7"/>
        <w:numPr>
          <w:ilvl w:val="0"/>
          <w:numId w:val="717"/>
        </w:numPr>
        <w:spacing w:before="120" w:after="120" w:line="240" w:lineRule="auto"/>
        <w:jc w:val="both"/>
        <w:rPr>
          <w:rFonts w:cs="Times New Roman"/>
          <w:noProof/>
        </w:rPr>
      </w:pPr>
      <w:r>
        <w:rPr>
          <w:noProof/>
        </w:rPr>
        <w:t>A fenntarthatósági tényező felváltása a generációk közötti méltányosságot és a költségvetési fenntarthatóságot garantáló mechanizmussal. Az intézkedés célja, hogy a jelen</w:t>
      </w:r>
      <w:r>
        <w:rPr>
          <w:noProof/>
        </w:rPr>
        <w:t xml:space="preserve">legi és jövőbeli nyugdíjak megfelelőségének romlása nélkül kezelje a küszöbön álló demográfiai változások hatását. </w:t>
      </w:r>
    </w:p>
    <w:p w14:paraId="3996B3D3" w14:textId="77777777" w:rsidR="003E1D81" w:rsidRDefault="00EB481C">
      <w:pPr>
        <w:pStyle w:val="P68B1DB1-Normal4"/>
        <w:spacing w:before="120" w:after="120" w:line="240" w:lineRule="auto"/>
        <w:jc w:val="both"/>
        <w:rPr>
          <w:rFonts w:cs="Times New Roman"/>
          <w:noProof/>
        </w:rPr>
      </w:pPr>
      <w:r>
        <w:rPr>
          <w:noProof/>
        </w:rPr>
        <w:t>Az intézkedést 2022. december 31-ig végre kell hajtani.</w:t>
      </w:r>
    </w:p>
    <w:p w14:paraId="657D7466" w14:textId="77777777" w:rsidR="003E1D81" w:rsidRDefault="00EB481C">
      <w:pPr>
        <w:pStyle w:val="P68B1DB1-Normal6"/>
        <w:keepNext/>
        <w:spacing w:before="120" w:after="120" w:line="240" w:lineRule="auto"/>
        <w:rPr>
          <w:rFonts w:cs="Times New Roman"/>
          <w:noProof/>
        </w:rPr>
      </w:pPr>
      <w:r>
        <w:rPr>
          <w:noProof/>
        </w:rPr>
        <w:t>Reform (C30.R3) – Az önálló vállalkozók társadalombiztosítási járulékrendszerének re</w:t>
      </w:r>
      <w:r>
        <w:rPr>
          <w:noProof/>
        </w:rPr>
        <w:t>formja</w:t>
      </w:r>
    </w:p>
    <w:p w14:paraId="18E76997" w14:textId="77777777" w:rsidR="003E1D81" w:rsidRDefault="00EB481C">
      <w:pPr>
        <w:pStyle w:val="P68B1DB1-Normal4"/>
        <w:spacing w:before="120" w:after="120" w:line="240" w:lineRule="auto"/>
        <w:jc w:val="both"/>
        <w:rPr>
          <w:rFonts w:cs="Times New Roman"/>
          <w:noProof/>
        </w:rPr>
      </w:pPr>
      <w:r>
        <w:rPr>
          <w:noProof/>
        </w:rPr>
        <w:t>A reform célja a munkavállalókkal és az önálló vállalkozókkal szembeni egyenlő bánásmód megteremtése, a nyugdíjrendszerbe befizetett járulékok növelése, valamint annak biztosítása, hogy az önálló vállalkozók megfelelő nyugdíjjövedelmet kapjanak. A r</w:t>
      </w:r>
      <w:r>
        <w:rPr>
          <w:noProof/>
        </w:rPr>
        <w:t>eform módosítja az önálló vállalkozók hozzájárulási rendszerét. A reform a toledói paktum ajánlásaival összhangban az önfoglalkoztatók hozzájárulásait az önválogatott hozzájárulási alap helyett a reáljövedelemre alapozza. A végleges hozzájárulást az adóhat</w:t>
      </w:r>
      <w:r>
        <w:rPr>
          <w:noProof/>
        </w:rPr>
        <w:t>óság által biztosított önálló vállalkozói tevékenységből származó jövedelem alapján kell kiszámítani. A reformot fokozatosan, a minimális hozzájárulási alap növelésével kell végrehajtani az új rendszerhez való alkalmazkodás lehetővé tétele érdekében.</w:t>
      </w:r>
    </w:p>
    <w:p w14:paraId="00CA74FD" w14:textId="77777777" w:rsidR="003E1D81" w:rsidRDefault="00EB481C">
      <w:pPr>
        <w:pStyle w:val="P68B1DB1-Normal4"/>
        <w:spacing w:before="120" w:after="120" w:line="240" w:lineRule="auto"/>
        <w:rPr>
          <w:rFonts w:cs="Times New Roman"/>
          <w:noProof/>
        </w:rPr>
      </w:pPr>
      <w:r>
        <w:rPr>
          <w:noProof/>
        </w:rPr>
        <w:t>Az in</w:t>
      </w:r>
      <w:r>
        <w:rPr>
          <w:noProof/>
        </w:rPr>
        <w:t>tézkedést 2022. június 30-ig végre kell hajtani.</w:t>
      </w:r>
    </w:p>
    <w:p w14:paraId="71F6CB0D" w14:textId="77777777" w:rsidR="003E1D81" w:rsidRDefault="00EB481C">
      <w:pPr>
        <w:pStyle w:val="P68B1DB1-Normal6"/>
        <w:keepNext/>
        <w:spacing w:before="120" w:after="120" w:line="240" w:lineRule="auto"/>
        <w:rPr>
          <w:rFonts w:cs="Times New Roman"/>
          <w:noProof/>
        </w:rPr>
      </w:pPr>
      <w:r>
        <w:rPr>
          <w:noProof/>
        </w:rPr>
        <w:t>Reform (C30.R4) – Az anyasági többletkövetelmények egyszerűsítése</w:t>
      </w:r>
    </w:p>
    <w:p w14:paraId="23D893F5" w14:textId="77777777" w:rsidR="003E1D81" w:rsidRDefault="00EB481C">
      <w:pPr>
        <w:pStyle w:val="P68B1DB1-Normal4"/>
        <w:keepNext/>
        <w:spacing w:before="120" w:after="120" w:line="240" w:lineRule="auto"/>
        <w:jc w:val="both"/>
        <w:rPr>
          <w:rFonts w:cs="Times New Roman"/>
          <w:noProof/>
        </w:rPr>
      </w:pPr>
      <w:r>
        <w:rPr>
          <w:noProof/>
        </w:rPr>
        <w:t xml:space="preserve">A reform célja, hogy a nemek közötti nyugdíjszakadék csökkentése érdekében kompenzálja a szülőket, elsősorban az anyákat a születés és a </w:t>
      </w:r>
      <w:r>
        <w:rPr>
          <w:noProof/>
        </w:rPr>
        <w:t>gyermekgondozás költségeiért. A reform áttervezi az anyasági kiegészítést, és már elfogadásra került (a február 2-i 3/2021. sz. királyi törvényerejű rendelet). Az Európai Unió Bírósága 2019. december 12-i ítéletében a 2016 óta hatályban lévő korábbi anyasá</w:t>
      </w:r>
      <w:r>
        <w:rPr>
          <w:noProof/>
        </w:rPr>
        <w:t>gi pótlékot hátrányosan megkülönböztetőnek minősítette a férfiakkal szemben. A megreformált szülési szabadság-kiegészítés várhatóan megfelel a bírósági ítéletnek, és megakadályozza a hátrányos megkülönböztetést. Az új kiegészítés a járulékfizetési pályák e</w:t>
      </w:r>
      <w:r>
        <w:rPr>
          <w:noProof/>
        </w:rPr>
        <w:t>lemzésén alapul annak megállapítása érdekében, hogy a két szülő közül melyik volt a leghátrányosabb helyzetben a gyermek születése miatt a járulékfizetési pályájukban, előírva, hogy különösen hátrányos helyzetű szülő hiányában az anya megkapja a pótlékot.</w:t>
      </w:r>
    </w:p>
    <w:p w14:paraId="46B0E21D" w14:textId="77777777" w:rsidR="003E1D81" w:rsidRDefault="00EB481C">
      <w:pPr>
        <w:pStyle w:val="P68B1DB1-Normal4"/>
        <w:spacing w:before="120" w:after="120" w:line="240" w:lineRule="auto"/>
        <w:rPr>
          <w:rFonts w:cs="Times New Roman"/>
          <w:noProof/>
        </w:rPr>
      </w:pPr>
      <w:r>
        <w:rPr>
          <w:noProof/>
        </w:rPr>
        <w:t>Az intézkedést 2021. március 31-ig végre kell hajtani.</w:t>
      </w:r>
    </w:p>
    <w:p w14:paraId="0ADF50A6" w14:textId="77777777" w:rsidR="003E1D81" w:rsidRDefault="00EB481C">
      <w:pPr>
        <w:pStyle w:val="P68B1DB1-Normal6"/>
        <w:spacing w:before="120" w:after="120" w:line="240" w:lineRule="auto"/>
        <w:rPr>
          <w:rFonts w:cs="Times New Roman"/>
          <w:noProof/>
        </w:rPr>
      </w:pPr>
      <w:r>
        <w:rPr>
          <w:noProof/>
        </w:rPr>
        <w:t>Reform (C30.R5) – A jelenlegi kiegészítő nyugdíjrendszer felülvizsgálata</w:t>
      </w:r>
    </w:p>
    <w:p w14:paraId="3425A92D" w14:textId="77777777" w:rsidR="003E1D81" w:rsidRDefault="00EB481C">
      <w:pPr>
        <w:pStyle w:val="P68B1DB1-Normal4"/>
        <w:spacing w:before="120" w:after="120" w:line="240" w:lineRule="auto"/>
        <w:jc w:val="both"/>
        <w:rPr>
          <w:rFonts w:cs="Times New Roman"/>
          <w:noProof/>
        </w:rPr>
      </w:pPr>
      <w:r>
        <w:rPr>
          <w:noProof/>
        </w:rPr>
        <w:t>A reformnak felül kell vizsgálnia a kiegészítő nyugdíjrendszer szabályozási keretét azzal a céllal, hogy – lehetőleg ágazati szi</w:t>
      </w:r>
      <w:r>
        <w:rPr>
          <w:noProof/>
        </w:rPr>
        <w:t>nten – növelje a kollektív tárgyalások keretében elfogadott foglalkoztatói nyugdíjrendszerek lefedettségét. A foglalkoztatói nyugdíjrendszerekre vonatkozó új jogi keret célja, hogy lefedje azokat a munkavállalókat, akik nem rendelkeznek foglalkoztatói nyug</w:t>
      </w:r>
      <w:r>
        <w:rPr>
          <w:noProof/>
        </w:rPr>
        <w:t xml:space="preserve">díjrendszerrel a vállalataikban, valamint az önálló vállalkozókra, akik jelenleg nem férnek hozzá ezekhez a második pillérhez. </w:t>
      </w:r>
    </w:p>
    <w:p w14:paraId="23D7F805" w14:textId="77777777" w:rsidR="003E1D81" w:rsidRDefault="00EB481C">
      <w:pPr>
        <w:pStyle w:val="P68B1DB1-Normal4"/>
        <w:spacing w:before="120" w:after="120" w:line="240" w:lineRule="auto"/>
        <w:rPr>
          <w:rFonts w:cs="Times New Roman"/>
          <w:noProof/>
        </w:rPr>
      </w:pPr>
      <w:r>
        <w:rPr>
          <w:noProof/>
        </w:rPr>
        <w:t>A reform konkrét intézkedései a következőket foglalják magukban:</w:t>
      </w:r>
    </w:p>
    <w:p w14:paraId="2F529509" w14:textId="77777777" w:rsidR="003E1D81" w:rsidRDefault="00EB481C">
      <w:pPr>
        <w:pStyle w:val="P68B1DB1-ListParagraph7"/>
        <w:numPr>
          <w:ilvl w:val="0"/>
          <w:numId w:val="168"/>
        </w:numPr>
        <w:spacing w:before="120" w:after="120" w:line="240" w:lineRule="auto"/>
        <w:rPr>
          <w:rFonts w:cs="Times New Roman"/>
          <w:noProof/>
        </w:rPr>
      </w:pPr>
      <w:r>
        <w:rPr>
          <w:noProof/>
        </w:rPr>
        <w:t>A magánszektor által kezelt, nyilvánosan támogatott foglalkozta</w:t>
      </w:r>
      <w:r>
        <w:rPr>
          <w:noProof/>
        </w:rPr>
        <w:t xml:space="preserve">tói nyugellátási alapok létrehozása. </w:t>
      </w:r>
    </w:p>
    <w:p w14:paraId="0E2C3D1C" w14:textId="77777777" w:rsidR="003E1D81" w:rsidRDefault="00EB481C">
      <w:pPr>
        <w:pStyle w:val="P68B1DB1-ListParagraph7"/>
        <w:numPr>
          <w:ilvl w:val="0"/>
          <w:numId w:val="168"/>
        </w:numPr>
        <w:spacing w:before="120" w:after="120" w:line="240" w:lineRule="auto"/>
        <w:rPr>
          <w:rFonts w:cs="Times New Roman"/>
          <w:noProof/>
        </w:rPr>
      </w:pPr>
      <w:r>
        <w:rPr>
          <w:noProof/>
        </w:rPr>
        <w:t>A kollektív tárgyalások keretében elfogadott, a foglalkoztatói nyugdíjrendszerek lefedettségét növelő ösztönzők és szabályozási változások.</w:t>
      </w:r>
    </w:p>
    <w:p w14:paraId="52310F8C" w14:textId="77777777" w:rsidR="003E1D81" w:rsidRDefault="00EB481C">
      <w:pPr>
        <w:pStyle w:val="P68B1DB1-ListParagraph7"/>
        <w:numPr>
          <w:ilvl w:val="0"/>
          <w:numId w:val="168"/>
        </w:numPr>
        <w:spacing w:before="120" w:after="120" w:line="240" w:lineRule="auto"/>
        <w:rPr>
          <w:rFonts w:cs="Times New Roman"/>
          <w:noProof/>
        </w:rPr>
      </w:pPr>
      <w:r>
        <w:rPr>
          <w:noProof/>
        </w:rPr>
        <w:t>A nyugdíjrendszerek eljárásainak egyszerűsítése.</w:t>
      </w:r>
    </w:p>
    <w:p w14:paraId="3F2E466D" w14:textId="77777777" w:rsidR="003E1D81" w:rsidRDefault="00EB481C">
      <w:pPr>
        <w:pStyle w:val="P68B1DB1-ListParagraph7"/>
        <w:numPr>
          <w:ilvl w:val="0"/>
          <w:numId w:val="168"/>
        </w:numPr>
        <w:spacing w:before="120" w:after="120" w:line="240" w:lineRule="auto"/>
        <w:rPr>
          <w:rFonts w:cs="Times New Roman"/>
          <w:noProof/>
        </w:rPr>
      </w:pPr>
      <w:r>
        <w:rPr>
          <w:noProof/>
        </w:rPr>
        <w:t xml:space="preserve">Szabályozási változások a </w:t>
      </w:r>
      <w:r>
        <w:rPr>
          <w:noProof/>
        </w:rPr>
        <w:t>munkavállalók különböző vállalatok és ágazatok közötti mobilitásának előmozdítása érdekében.</w:t>
      </w:r>
    </w:p>
    <w:p w14:paraId="6D5091E5" w14:textId="77777777" w:rsidR="003E1D81" w:rsidRDefault="00EB481C">
      <w:pPr>
        <w:pStyle w:val="P68B1DB1-ListParagraph7"/>
        <w:numPr>
          <w:ilvl w:val="0"/>
          <w:numId w:val="168"/>
        </w:numPr>
        <w:spacing w:before="120" w:after="120" w:line="240" w:lineRule="auto"/>
        <w:rPr>
          <w:rFonts w:cs="Times New Roman"/>
          <w:noProof/>
        </w:rPr>
      </w:pPr>
      <w:r>
        <w:rPr>
          <w:noProof/>
        </w:rPr>
        <w:t>A kollektív foglalkoztatási rendszerekben való részvételt ösztönző adókedvezmények</w:t>
      </w:r>
    </w:p>
    <w:p w14:paraId="46F9F747" w14:textId="77777777" w:rsidR="003E1D81" w:rsidRDefault="00EB481C">
      <w:pPr>
        <w:pStyle w:val="P68B1DB1-ListParagraph7"/>
        <w:numPr>
          <w:ilvl w:val="0"/>
          <w:numId w:val="168"/>
        </w:numPr>
        <w:spacing w:before="120" w:after="120" w:line="240" w:lineRule="auto"/>
        <w:rPr>
          <w:rFonts w:cs="Times New Roman"/>
          <w:noProof/>
        </w:rPr>
      </w:pPr>
      <w:r>
        <w:rPr>
          <w:noProof/>
        </w:rPr>
        <w:t>A kollektív foglalkoztatási rendszerek kezelési költségeinek a kezelt eszközök 0</w:t>
      </w:r>
      <w:r>
        <w:rPr>
          <w:noProof/>
        </w:rPr>
        <w:t>,30%-a alá történő korlátozása.</w:t>
      </w:r>
    </w:p>
    <w:p w14:paraId="7E9026A5" w14:textId="77777777" w:rsidR="003E1D81" w:rsidRDefault="00EB481C">
      <w:pPr>
        <w:pStyle w:val="P68B1DB1-Normal4"/>
        <w:spacing w:before="120" w:after="120" w:line="240" w:lineRule="auto"/>
        <w:jc w:val="both"/>
        <w:rPr>
          <w:rFonts w:cs="Times New Roman"/>
          <w:noProof/>
        </w:rPr>
      </w:pPr>
      <w:r>
        <w:rPr>
          <w:noProof/>
        </w:rPr>
        <w:t>A reform végrehajtása a 2021. évi általános állami költségvetésben szereplő rendelkezésekkel kezdődött, amelyek a korábban az egyéni nyugdíjrendszerekhez kapcsolódó adókedvezményeket csoportosították át a kollektív rendszere</w:t>
      </w:r>
      <w:r>
        <w:rPr>
          <w:noProof/>
        </w:rPr>
        <w:t xml:space="preserve">k javára (v. intézkedés) és a foglalkoztatói nyugellátást szolgáltató alapok állami támogatása révén (fenti i. intézkedés). </w:t>
      </w:r>
    </w:p>
    <w:p w14:paraId="7B278F8F" w14:textId="77777777" w:rsidR="003E1D81" w:rsidRDefault="00EB481C">
      <w:pPr>
        <w:pStyle w:val="P68B1DB1-Normal4"/>
        <w:spacing w:before="120" w:after="120" w:line="240" w:lineRule="auto"/>
        <w:jc w:val="both"/>
        <w:rPr>
          <w:rFonts w:cs="Times New Roman"/>
          <w:noProof/>
        </w:rPr>
      </w:pPr>
      <w:r>
        <w:rPr>
          <w:noProof/>
        </w:rPr>
        <w:t>Az intézkedést 2022. június 30-ig végre kell hajtani.</w:t>
      </w:r>
    </w:p>
    <w:p w14:paraId="37BB5876" w14:textId="77777777" w:rsidR="003E1D81" w:rsidRDefault="00EB481C">
      <w:pPr>
        <w:pStyle w:val="P68B1DB1-Normal6"/>
        <w:spacing w:before="120" w:after="120" w:line="240" w:lineRule="auto"/>
        <w:rPr>
          <w:rFonts w:cs="Times New Roman"/>
          <w:noProof/>
        </w:rPr>
      </w:pPr>
      <w:r>
        <w:rPr>
          <w:noProof/>
        </w:rPr>
        <w:t>Reform (C30.R6) – A hozzájárulás maximális alapjának kiigazítása</w:t>
      </w:r>
    </w:p>
    <w:p w14:paraId="293D75EB" w14:textId="77777777" w:rsidR="003E1D81" w:rsidRDefault="00EB481C">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A reformnak </w:t>
      </w:r>
      <w:r>
        <w:rPr>
          <w:rFonts w:ascii="Times New Roman" w:hAnsi="Times New Roman"/>
          <w:noProof/>
          <w:sz w:val="24"/>
        </w:rPr>
        <w:t>növelnie kell a nyugdíjrendszer maximális járulékalapját, és ki kell igazítania a maximális nyugdíjakat a járulékalap kiszélesítése, a nyugdíjrendszer progresszivitásának fokozása és az összbevétel növelése érdekében. Az intézkedések összhangban vannak a t</w:t>
      </w:r>
      <w:r>
        <w:rPr>
          <w:rFonts w:ascii="Times New Roman" w:hAnsi="Times New Roman"/>
          <w:noProof/>
          <w:sz w:val="24"/>
        </w:rPr>
        <w:t>oledói paktum ajánlásaival. A rendszer fokozatos kiigazítása annak érdekében, hogy az adatszolgáltatók alkalmazkodni tudjanak a változásokhoz. A maximális nyugdíjakat és a járulékalapokat ennek megfelelően emelik a rendszer járulékalapú jellegének fenntart</w:t>
      </w:r>
      <w:r>
        <w:rPr>
          <w:rFonts w:ascii="Times New Roman" w:hAnsi="Times New Roman"/>
          <w:noProof/>
          <w:sz w:val="24"/>
        </w:rPr>
        <w:t>ása érdekében. A reformot a</w:t>
      </w:r>
      <w:r>
        <w:rPr>
          <w:rStyle w:val="normaltextrun"/>
          <w:rFonts w:ascii="Times New Roman" w:hAnsi="Times New Roman"/>
          <w:noProof/>
          <w:sz w:val="24"/>
          <w:bdr w:val="none" w:sz="0" w:space="0" w:color="auto" w:frame="1"/>
        </w:rPr>
        <w:t xml:space="preserve"> </w:t>
      </w:r>
      <w:r>
        <w:rPr>
          <w:rFonts w:ascii="Times New Roman" w:hAnsi="Times New Roman"/>
          <w:noProof/>
          <w:sz w:val="24"/>
        </w:rPr>
        <w:t>következő harminc évben fokozatosan kell végrehajtani.</w:t>
      </w:r>
    </w:p>
    <w:p w14:paraId="35E1840D" w14:textId="77777777" w:rsidR="003E1D81" w:rsidRDefault="00EB481C">
      <w:pPr>
        <w:pStyle w:val="P68B1DB1-Normal4"/>
        <w:spacing w:before="120" w:after="120" w:line="240" w:lineRule="auto"/>
        <w:jc w:val="both"/>
        <w:rPr>
          <w:rFonts w:cs="Times New Roman"/>
          <w:noProof/>
        </w:rPr>
      </w:pPr>
      <w:r>
        <w:rPr>
          <w:noProof/>
        </w:rPr>
        <w:t xml:space="preserve">Az intézkedés 2022. december 31-én lép hatályba. </w:t>
      </w:r>
    </w:p>
    <w:p w14:paraId="2793ABBC" w14:textId="77777777" w:rsidR="003E1D81" w:rsidRDefault="00EB481C">
      <w:pPr>
        <w:pStyle w:val="P68B1DB1-Text138"/>
        <w:ind w:left="709"/>
        <w:rPr>
          <w:rFonts w:cs="Times New Roman"/>
          <w:noProof/>
        </w:rPr>
      </w:pPr>
      <w:r>
        <w:rPr>
          <w:noProof/>
        </w:rPr>
        <w:t xml:space="preserve">AD.2. </w:t>
      </w:r>
      <w:r>
        <w:rPr>
          <w:noProof/>
        </w:rPr>
        <w:tab/>
        <w:t>Vissza nem térítendő pénzügyi támogatás – a végrehajtáshoz és a nyomon követéshez kapcsolódó mérföldkövek, célok, mu</w:t>
      </w:r>
      <w:r>
        <w:rPr>
          <w:noProof/>
        </w:rPr>
        <w:t>tatók és ütemterv</w:t>
      </w:r>
    </w:p>
    <w:p w14:paraId="673009EF" w14:textId="77777777" w:rsidR="003E1D81" w:rsidRDefault="00EB481C">
      <w:pPr>
        <w:pStyle w:val="P68B1DB1-Normal4"/>
        <w:spacing w:before="120" w:after="120" w:line="240" w:lineRule="auto"/>
        <w:jc w:val="both"/>
        <w:rPr>
          <w:rFonts w:cs="Times New Roman"/>
          <w:noProof/>
        </w:rPr>
      </w:pPr>
      <w:r>
        <w:rPr>
          <w:i/>
          <w:noProof/>
        </w:rPr>
        <w:t>Táblázat alább.</w:t>
      </w:r>
      <w:r>
        <w:rPr>
          <w:noProof/>
        </w:rPr>
        <w:t xml:space="preserve"> </w:t>
      </w:r>
      <w:r>
        <w:rPr>
          <w:i/>
          <w:noProof/>
        </w:rPr>
        <w:t>Az alapforgatókönyv valamennyi mutató esetében 2020. február 1-je, kivéve, ha az intézkedés leírása másként jelzi. A táblázatban szereplő összegek nem tartalmazzák a héát.</w:t>
      </w:r>
      <w:r>
        <w:rPr>
          <w:noProof/>
        </w:rPr>
        <w:t xml:space="preserve"> </w:t>
      </w:r>
    </w:p>
    <w:p w14:paraId="38FA1055" w14:textId="77777777" w:rsidR="003E1D81" w:rsidRDefault="003E1D81">
      <w:pPr>
        <w:pStyle w:val="Text1"/>
        <w:ind w:left="709"/>
        <w:rPr>
          <w:rFonts w:ascii="Times New Roman" w:hAnsi="Times New Roman" w:cs="Times New Roman"/>
          <w:noProof/>
        </w:rPr>
        <w:sectPr w:rsidR="003E1D81" w:rsidSect="00C94F66">
          <w:headerReference w:type="even" r:id="rId555"/>
          <w:headerReference w:type="default" r:id="rId556"/>
          <w:footerReference w:type="even" r:id="rId557"/>
          <w:footerReference w:type="default" r:id="rId558"/>
          <w:headerReference w:type="first" r:id="rId559"/>
          <w:footerReference w:type="first" r:id="rId560"/>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552"/>
        <w:gridCol w:w="992"/>
        <w:gridCol w:w="567"/>
        <w:gridCol w:w="425"/>
        <w:gridCol w:w="567"/>
        <w:gridCol w:w="426"/>
        <w:gridCol w:w="567"/>
        <w:gridCol w:w="6804"/>
      </w:tblGrid>
      <w:tr w:rsidR="003E1D81" w14:paraId="363FFDC5" w14:textId="77777777">
        <w:trPr>
          <w:trHeight w:val="309"/>
          <w:tblHeader/>
        </w:trPr>
        <w:tc>
          <w:tcPr>
            <w:tcW w:w="709" w:type="dxa"/>
            <w:tcBorders>
              <w:bottom w:val="nil"/>
            </w:tcBorders>
            <w:shd w:val="clear" w:color="auto" w:fill="C6D9F1" w:themeFill="text2" w:themeFillTint="33"/>
            <w:noWrap/>
          </w:tcPr>
          <w:p w14:paraId="6C51660B" w14:textId="77777777" w:rsidR="003E1D81" w:rsidRDefault="00EB481C">
            <w:pPr>
              <w:pStyle w:val="P68B1DB1-Normal12"/>
              <w:spacing w:after="0"/>
              <w:jc w:val="center"/>
              <w:rPr>
                <w:rFonts w:cs="Times New Roman"/>
                <w:noProof/>
              </w:rPr>
            </w:pPr>
            <w:r>
              <w:rPr>
                <w:noProof/>
              </w:rPr>
              <w:t>Szám</w:t>
            </w:r>
          </w:p>
        </w:tc>
        <w:tc>
          <w:tcPr>
            <w:tcW w:w="851" w:type="dxa"/>
            <w:tcBorders>
              <w:bottom w:val="nil"/>
            </w:tcBorders>
            <w:shd w:val="clear" w:color="auto" w:fill="C6D9F1" w:themeFill="text2" w:themeFillTint="33"/>
            <w:noWrap/>
          </w:tcPr>
          <w:p w14:paraId="09C493AF" w14:textId="77777777" w:rsidR="003E1D81" w:rsidRDefault="00EB481C">
            <w:pPr>
              <w:pStyle w:val="P68B1DB1-Normal12"/>
              <w:spacing w:after="0"/>
              <w:jc w:val="center"/>
              <w:rPr>
                <w:rFonts w:cs="Times New Roman"/>
                <w:noProof/>
              </w:rPr>
            </w:pPr>
            <w:r>
              <w:rPr>
                <w:noProof/>
              </w:rPr>
              <w:t>Intézkedés</w:t>
            </w:r>
          </w:p>
        </w:tc>
        <w:tc>
          <w:tcPr>
            <w:tcW w:w="850" w:type="dxa"/>
            <w:tcBorders>
              <w:bottom w:val="nil"/>
            </w:tcBorders>
            <w:shd w:val="clear" w:color="auto" w:fill="C6D9F1" w:themeFill="text2" w:themeFillTint="33"/>
            <w:noWrap/>
          </w:tcPr>
          <w:p w14:paraId="55625267" w14:textId="77777777" w:rsidR="003E1D81" w:rsidRDefault="00EB481C">
            <w:pPr>
              <w:pStyle w:val="P68B1DB1-Normal12"/>
              <w:spacing w:after="0"/>
              <w:jc w:val="center"/>
              <w:rPr>
                <w:rFonts w:cs="Times New Roman"/>
                <w:noProof/>
              </w:rPr>
            </w:pPr>
            <w:r>
              <w:rPr>
                <w:noProof/>
              </w:rPr>
              <w:t>Mérföldkő</w:t>
            </w:r>
            <w:r>
              <w:rPr>
                <w:noProof/>
              </w:rPr>
              <w:br/>
              <w:t xml:space="preserve"> /Cél</w:t>
            </w:r>
          </w:p>
        </w:tc>
        <w:tc>
          <w:tcPr>
            <w:tcW w:w="2552" w:type="dxa"/>
            <w:tcBorders>
              <w:bottom w:val="nil"/>
            </w:tcBorders>
            <w:shd w:val="clear" w:color="auto" w:fill="C6D9F1" w:themeFill="text2" w:themeFillTint="33"/>
            <w:noWrap/>
          </w:tcPr>
          <w:p w14:paraId="38000B3E" w14:textId="77777777" w:rsidR="003E1D81" w:rsidRDefault="00EB481C">
            <w:pPr>
              <w:pStyle w:val="P68B1DB1-Normal12"/>
              <w:spacing w:after="0"/>
              <w:jc w:val="center"/>
              <w:rPr>
                <w:rFonts w:cs="Times New Roman"/>
                <w:noProof/>
              </w:rPr>
            </w:pPr>
            <w:r>
              <w:rPr>
                <w:noProof/>
              </w:rPr>
              <w:t>Név</w:t>
            </w:r>
          </w:p>
        </w:tc>
        <w:tc>
          <w:tcPr>
            <w:tcW w:w="992" w:type="dxa"/>
            <w:tcBorders>
              <w:bottom w:val="nil"/>
            </w:tcBorders>
            <w:shd w:val="clear" w:color="auto" w:fill="C6D9F1" w:themeFill="text2" w:themeFillTint="33"/>
            <w:noWrap/>
          </w:tcPr>
          <w:p w14:paraId="74BC0A7C" w14:textId="77777777" w:rsidR="003E1D81" w:rsidRDefault="00EB481C">
            <w:pPr>
              <w:pStyle w:val="P68B1DB1-Normal12"/>
              <w:spacing w:after="0"/>
              <w:jc w:val="center"/>
              <w:rPr>
                <w:rFonts w:cs="Times New Roman"/>
                <w:noProof/>
              </w:rPr>
            </w:pPr>
            <w:r>
              <w:rPr>
                <w:noProof/>
              </w:rPr>
              <w:t>A mérföldkövek minőségi mutatója</w:t>
            </w:r>
          </w:p>
        </w:tc>
        <w:tc>
          <w:tcPr>
            <w:tcW w:w="1559" w:type="dxa"/>
            <w:gridSpan w:val="3"/>
            <w:shd w:val="clear" w:color="auto" w:fill="C6D9F1" w:themeFill="text2" w:themeFillTint="33"/>
            <w:noWrap/>
          </w:tcPr>
          <w:p w14:paraId="6CEB2364" w14:textId="77777777" w:rsidR="003E1D81" w:rsidRDefault="00EB481C">
            <w:pPr>
              <w:pStyle w:val="P68B1DB1-Normal12"/>
              <w:spacing w:after="0"/>
              <w:jc w:val="center"/>
              <w:rPr>
                <w:rFonts w:cs="Times New Roman"/>
                <w:noProof/>
              </w:rPr>
            </w:pPr>
            <w:r>
              <w:rPr>
                <w:noProof/>
              </w:rPr>
              <w:t>A célérték mennyiségi mutatója</w:t>
            </w:r>
          </w:p>
        </w:tc>
        <w:tc>
          <w:tcPr>
            <w:tcW w:w="993" w:type="dxa"/>
            <w:gridSpan w:val="2"/>
            <w:shd w:val="clear" w:color="auto" w:fill="C6D9F1" w:themeFill="text2" w:themeFillTint="33"/>
            <w:noWrap/>
          </w:tcPr>
          <w:p w14:paraId="13B9A659" w14:textId="77777777" w:rsidR="003E1D81" w:rsidRDefault="00EB481C">
            <w:pPr>
              <w:pStyle w:val="P68B1DB1-Normal12"/>
              <w:spacing w:after="0"/>
              <w:jc w:val="center"/>
              <w:rPr>
                <w:rFonts w:cs="Times New Roman"/>
                <w:noProof/>
              </w:rPr>
            </w:pPr>
            <w:r>
              <w:rPr>
                <w:noProof/>
              </w:rPr>
              <w:t>Idő</w:t>
            </w:r>
          </w:p>
        </w:tc>
        <w:tc>
          <w:tcPr>
            <w:tcW w:w="6804" w:type="dxa"/>
            <w:tcBorders>
              <w:bottom w:val="nil"/>
            </w:tcBorders>
            <w:shd w:val="clear" w:color="auto" w:fill="C6D9F1" w:themeFill="text2" w:themeFillTint="33"/>
            <w:noWrap/>
          </w:tcPr>
          <w:p w14:paraId="542F50EA" w14:textId="77777777" w:rsidR="003E1D81" w:rsidRDefault="00EB481C">
            <w:pPr>
              <w:pStyle w:val="P68B1DB1-Normal12"/>
              <w:spacing w:after="0"/>
              <w:jc w:val="center"/>
              <w:rPr>
                <w:rFonts w:cs="Times New Roman"/>
                <w:noProof/>
              </w:rPr>
            </w:pPr>
            <w:r>
              <w:rPr>
                <w:noProof/>
              </w:rPr>
              <w:t>Az egyes mérföldkövek és célértékek leírása</w:t>
            </w:r>
          </w:p>
        </w:tc>
      </w:tr>
      <w:tr w:rsidR="003E1D81" w14:paraId="51E2E2CF" w14:textId="77777777">
        <w:trPr>
          <w:trHeight w:val="309"/>
          <w:tblHeader/>
        </w:trPr>
        <w:tc>
          <w:tcPr>
            <w:tcW w:w="709" w:type="dxa"/>
            <w:tcBorders>
              <w:top w:val="nil"/>
            </w:tcBorders>
            <w:shd w:val="clear" w:color="auto" w:fill="C6D9F1" w:themeFill="text2" w:themeFillTint="33"/>
            <w:noWrap/>
          </w:tcPr>
          <w:p w14:paraId="4FF74376" w14:textId="77777777" w:rsidR="003E1D81" w:rsidRDefault="003E1D81">
            <w:pPr>
              <w:spacing w:after="0"/>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5BE3D7FD" w14:textId="77777777" w:rsidR="003E1D81" w:rsidRDefault="003E1D81">
            <w:pPr>
              <w:spacing w:after="0"/>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4EE1E1BF" w14:textId="77777777" w:rsidR="003E1D81" w:rsidRDefault="003E1D81">
            <w:pPr>
              <w:spacing w:after="0"/>
              <w:jc w:val="center"/>
              <w:rPr>
                <w:rFonts w:ascii="Times New Roman" w:hAnsi="Times New Roman" w:cs="Times New Roman"/>
                <w:b/>
                <w:noProof/>
                <w:sz w:val="18"/>
              </w:rPr>
            </w:pPr>
          </w:p>
        </w:tc>
        <w:tc>
          <w:tcPr>
            <w:tcW w:w="2552" w:type="dxa"/>
            <w:tcBorders>
              <w:top w:val="nil"/>
            </w:tcBorders>
            <w:shd w:val="clear" w:color="auto" w:fill="C6D9F1" w:themeFill="text2" w:themeFillTint="33"/>
            <w:noWrap/>
          </w:tcPr>
          <w:p w14:paraId="4A9E3840" w14:textId="77777777" w:rsidR="003E1D81" w:rsidRDefault="003E1D81">
            <w:pPr>
              <w:spacing w:after="0"/>
              <w:rPr>
                <w:rFonts w:ascii="Times New Roman" w:hAnsi="Times New Roman" w:cs="Times New Roman"/>
                <w:b/>
                <w:noProof/>
                <w:sz w:val="18"/>
              </w:rPr>
            </w:pPr>
          </w:p>
        </w:tc>
        <w:tc>
          <w:tcPr>
            <w:tcW w:w="992" w:type="dxa"/>
            <w:tcBorders>
              <w:top w:val="nil"/>
            </w:tcBorders>
            <w:shd w:val="clear" w:color="auto" w:fill="C6D9F1" w:themeFill="text2" w:themeFillTint="33"/>
            <w:noWrap/>
          </w:tcPr>
          <w:p w14:paraId="32E0BD40" w14:textId="77777777" w:rsidR="003E1D81" w:rsidRDefault="003E1D81">
            <w:pPr>
              <w:spacing w:after="0"/>
              <w:jc w:val="center"/>
              <w:rPr>
                <w:rFonts w:ascii="Times New Roman" w:hAnsi="Times New Roman" w:cs="Times New Roman"/>
                <w:b/>
                <w:noProof/>
                <w:sz w:val="18"/>
              </w:rPr>
            </w:pPr>
          </w:p>
        </w:tc>
        <w:tc>
          <w:tcPr>
            <w:tcW w:w="567" w:type="dxa"/>
            <w:shd w:val="clear" w:color="auto" w:fill="C6D9F1" w:themeFill="text2" w:themeFillTint="33"/>
            <w:noWrap/>
          </w:tcPr>
          <w:p w14:paraId="72C91D75" w14:textId="77777777" w:rsidR="003E1D81" w:rsidRDefault="00EB481C">
            <w:pPr>
              <w:pStyle w:val="P68B1DB1-Normal12"/>
              <w:spacing w:after="0"/>
              <w:jc w:val="center"/>
              <w:rPr>
                <w:rFonts w:cs="Times New Roman"/>
                <w:noProof/>
              </w:rPr>
            </w:pPr>
            <w:r>
              <w:rPr>
                <w:noProof/>
              </w:rPr>
              <w:t>Egység</w:t>
            </w:r>
          </w:p>
        </w:tc>
        <w:tc>
          <w:tcPr>
            <w:tcW w:w="425" w:type="dxa"/>
            <w:shd w:val="clear" w:color="auto" w:fill="C6D9F1" w:themeFill="text2" w:themeFillTint="33"/>
            <w:noWrap/>
          </w:tcPr>
          <w:p w14:paraId="287C1036" w14:textId="77777777" w:rsidR="003E1D81" w:rsidRDefault="00EB481C">
            <w:pPr>
              <w:pStyle w:val="P68B1DB1-Normal12"/>
              <w:spacing w:after="0"/>
              <w:jc w:val="center"/>
              <w:rPr>
                <w:rFonts w:cs="Times New Roman"/>
                <w:noProof/>
              </w:rPr>
            </w:pPr>
            <w:r>
              <w:rPr>
                <w:noProof/>
              </w:rPr>
              <w:t>Alapérték</w:t>
            </w:r>
          </w:p>
        </w:tc>
        <w:tc>
          <w:tcPr>
            <w:tcW w:w="567" w:type="dxa"/>
            <w:shd w:val="clear" w:color="auto" w:fill="C6D9F1" w:themeFill="text2" w:themeFillTint="33"/>
            <w:noWrap/>
          </w:tcPr>
          <w:p w14:paraId="3A86A116" w14:textId="77777777" w:rsidR="003E1D81" w:rsidRDefault="00EB481C">
            <w:pPr>
              <w:pStyle w:val="P68B1DB1-Normal12"/>
              <w:spacing w:after="0"/>
              <w:jc w:val="center"/>
              <w:rPr>
                <w:rFonts w:cs="Times New Roman"/>
                <w:noProof/>
              </w:rPr>
            </w:pPr>
            <w:r>
              <w:rPr>
                <w:noProof/>
              </w:rPr>
              <w:t>Cél</w:t>
            </w:r>
          </w:p>
        </w:tc>
        <w:tc>
          <w:tcPr>
            <w:tcW w:w="426" w:type="dxa"/>
            <w:shd w:val="clear" w:color="auto" w:fill="C6D9F1" w:themeFill="text2" w:themeFillTint="33"/>
            <w:noWrap/>
          </w:tcPr>
          <w:p w14:paraId="59DEAF0B" w14:textId="77777777" w:rsidR="003E1D81" w:rsidRDefault="00EB481C">
            <w:pPr>
              <w:pStyle w:val="P68B1DB1-Normal12"/>
              <w:spacing w:after="0"/>
              <w:jc w:val="center"/>
              <w:rPr>
                <w:rFonts w:cs="Times New Roman"/>
                <w:noProof/>
              </w:rPr>
            </w:pPr>
            <w:r>
              <w:rPr>
                <w:noProof/>
              </w:rPr>
              <w:t>Q</w:t>
            </w:r>
          </w:p>
        </w:tc>
        <w:tc>
          <w:tcPr>
            <w:tcW w:w="567" w:type="dxa"/>
            <w:shd w:val="clear" w:color="auto" w:fill="C6D9F1" w:themeFill="text2" w:themeFillTint="33"/>
            <w:noWrap/>
          </w:tcPr>
          <w:p w14:paraId="4EEE21F8" w14:textId="77777777" w:rsidR="003E1D81" w:rsidRDefault="00EB481C">
            <w:pPr>
              <w:pStyle w:val="P68B1DB1-Normal12"/>
              <w:spacing w:after="0"/>
              <w:jc w:val="center"/>
              <w:rPr>
                <w:rFonts w:cs="Times New Roman"/>
                <w:noProof/>
              </w:rPr>
            </w:pPr>
            <w:r>
              <w:rPr>
                <w:noProof/>
              </w:rPr>
              <w:t>Éve</w:t>
            </w:r>
          </w:p>
        </w:tc>
        <w:tc>
          <w:tcPr>
            <w:tcW w:w="6804" w:type="dxa"/>
            <w:tcBorders>
              <w:top w:val="nil"/>
            </w:tcBorders>
            <w:shd w:val="clear" w:color="auto" w:fill="C6D9F1" w:themeFill="text2" w:themeFillTint="33"/>
            <w:noWrap/>
          </w:tcPr>
          <w:p w14:paraId="209A134B" w14:textId="77777777" w:rsidR="003E1D81" w:rsidRDefault="003E1D81">
            <w:pPr>
              <w:spacing w:after="0"/>
              <w:rPr>
                <w:rFonts w:ascii="Times New Roman" w:hAnsi="Times New Roman" w:cs="Times New Roman"/>
                <w:b/>
                <w:noProof/>
                <w:sz w:val="18"/>
              </w:rPr>
            </w:pPr>
          </w:p>
        </w:tc>
      </w:tr>
      <w:tr w:rsidR="003E1D81" w14:paraId="2DB6F3D3" w14:textId="77777777">
        <w:trPr>
          <w:trHeight w:val="309"/>
        </w:trPr>
        <w:tc>
          <w:tcPr>
            <w:tcW w:w="709" w:type="dxa"/>
            <w:shd w:val="clear" w:color="auto" w:fill="C6EFCE"/>
            <w:noWrap/>
          </w:tcPr>
          <w:p w14:paraId="082412BE" w14:textId="77777777" w:rsidR="003E1D81" w:rsidRDefault="00EB481C">
            <w:pPr>
              <w:pStyle w:val="P68B1DB1-Normal13"/>
              <w:spacing w:after="0"/>
              <w:jc w:val="center"/>
              <w:rPr>
                <w:rFonts w:eastAsia="Times New Roman" w:cs="Times New Roman"/>
                <w:noProof/>
              </w:rPr>
            </w:pPr>
            <w:r>
              <w:rPr>
                <w:noProof/>
              </w:rPr>
              <w:t>406</w:t>
            </w:r>
          </w:p>
        </w:tc>
        <w:tc>
          <w:tcPr>
            <w:tcW w:w="851" w:type="dxa"/>
            <w:shd w:val="clear" w:color="auto" w:fill="C6EFCE"/>
            <w:noWrap/>
          </w:tcPr>
          <w:p w14:paraId="6AEFB9F2" w14:textId="77777777" w:rsidR="003E1D81" w:rsidRDefault="00EB481C">
            <w:pPr>
              <w:pStyle w:val="P68B1DB1-Normal13"/>
              <w:spacing w:after="0"/>
              <w:jc w:val="center"/>
              <w:rPr>
                <w:rFonts w:eastAsia="Times New Roman" w:cs="Times New Roman"/>
                <w:noProof/>
              </w:rPr>
            </w:pPr>
            <w:r>
              <w:rPr>
                <w:noProof/>
              </w:rPr>
              <w:t>C30.R1</w:t>
            </w:r>
          </w:p>
        </w:tc>
        <w:tc>
          <w:tcPr>
            <w:tcW w:w="850" w:type="dxa"/>
            <w:shd w:val="clear" w:color="auto" w:fill="C6EFCE"/>
            <w:noWrap/>
          </w:tcPr>
          <w:p w14:paraId="09BD583A" w14:textId="77777777" w:rsidR="003E1D81" w:rsidRDefault="00EB481C">
            <w:pPr>
              <w:pStyle w:val="P68B1DB1-Normal13"/>
              <w:spacing w:after="0"/>
              <w:jc w:val="center"/>
              <w:rPr>
                <w:rFonts w:eastAsia="Times New Roman" w:cs="Times New Roman"/>
                <w:noProof/>
              </w:rPr>
            </w:pPr>
            <w:r>
              <w:rPr>
                <w:noProof/>
              </w:rPr>
              <w:t>M</w:t>
            </w:r>
          </w:p>
        </w:tc>
        <w:tc>
          <w:tcPr>
            <w:tcW w:w="2552" w:type="dxa"/>
            <w:shd w:val="clear" w:color="auto" w:fill="C6EFCE"/>
            <w:noWrap/>
          </w:tcPr>
          <w:p w14:paraId="3FEE5E58" w14:textId="77777777" w:rsidR="003E1D81" w:rsidRDefault="00EB481C">
            <w:pPr>
              <w:pStyle w:val="P68B1DB1-Normal13"/>
              <w:spacing w:after="0"/>
              <w:rPr>
                <w:rFonts w:eastAsia="Times New Roman" w:cs="Times New Roman"/>
                <w:noProof/>
              </w:rPr>
            </w:pPr>
            <w:r>
              <w:rPr>
                <w:noProof/>
              </w:rPr>
              <w:t xml:space="preserve">A szociális biztonság </w:t>
            </w:r>
            <w:r>
              <w:rPr>
                <w:noProof/>
              </w:rPr>
              <w:t>finanszírozásának szétválasztása</w:t>
            </w:r>
          </w:p>
        </w:tc>
        <w:tc>
          <w:tcPr>
            <w:tcW w:w="992" w:type="dxa"/>
            <w:shd w:val="clear" w:color="auto" w:fill="C6EFCE"/>
            <w:noWrap/>
          </w:tcPr>
          <w:p w14:paraId="36A6356E" w14:textId="77777777" w:rsidR="003E1D81" w:rsidRDefault="00EB481C">
            <w:pPr>
              <w:pStyle w:val="P68B1DB1-Normal13"/>
              <w:spacing w:after="0"/>
              <w:jc w:val="center"/>
              <w:rPr>
                <w:rFonts w:eastAsia="Times New Roman" w:cs="Times New Roman"/>
                <w:noProof/>
              </w:rPr>
            </w:pPr>
            <w:r>
              <w:rPr>
                <w:noProof/>
              </w:rPr>
              <w:t xml:space="preserve">A törvény hatálybalépését jelző rendelkezés </w:t>
            </w:r>
          </w:p>
        </w:tc>
        <w:tc>
          <w:tcPr>
            <w:tcW w:w="567" w:type="dxa"/>
            <w:shd w:val="clear" w:color="auto" w:fill="C6EFCE"/>
            <w:noWrap/>
          </w:tcPr>
          <w:p w14:paraId="215C802C" w14:textId="77777777" w:rsidR="003E1D81" w:rsidRDefault="00EB481C">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74ADEF33" w14:textId="77777777" w:rsidR="003E1D81" w:rsidRDefault="00EB481C">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4FBE61DA" w14:textId="77777777" w:rsidR="003E1D81" w:rsidRDefault="00EB481C">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55BCB871" w14:textId="77777777" w:rsidR="003E1D81" w:rsidRDefault="00EB481C">
            <w:pPr>
              <w:pStyle w:val="P68B1DB1-Normal13"/>
              <w:spacing w:after="0"/>
              <w:jc w:val="center"/>
              <w:rPr>
                <w:rFonts w:eastAsia="Times New Roman" w:cs="Times New Roman"/>
                <w:noProof/>
              </w:rPr>
            </w:pPr>
            <w:r>
              <w:rPr>
                <w:noProof/>
              </w:rPr>
              <w:t>NEGYEDÉV</w:t>
            </w:r>
          </w:p>
        </w:tc>
        <w:tc>
          <w:tcPr>
            <w:tcW w:w="567" w:type="dxa"/>
            <w:shd w:val="clear" w:color="auto" w:fill="C6EFCE"/>
            <w:noWrap/>
          </w:tcPr>
          <w:p w14:paraId="43FCB57F" w14:textId="77777777" w:rsidR="003E1D81" w:rsidRDefault="00EB481C">
            <w:pPr>
              <w:pStyle w:val="P68B1DB1-Normal13"/>
              <w:spacing w:after="0"/>
              <w:jc w:val="center"/>
              <w:rPr>
                <w:rFonts w:eastAsia="Times New Roman" w:cs="Times New Roman"/>
                <w:noProof/>
              </w:rPr>
            </w:pPr>
            <w:r>
              <w:rPr>
                <w:noProof/>
              </w:rPr>
              <w:t>2020</w:t>
            </w:r>
          </w:p>
        </w:tc>
        <w:tc>
          <w:tcPr>
            <w:tcW w:w="6804" w:type="dxa"/>
            <w:shd w:val="clear" w:color="auto" w:fill="C6EFCE"/>
            <w:noWrap/>
          </w:tcPr>
          <w:p w14:paraId="50CB98EF" w14:textId="77777777" w:rsidR="003E1D81" w:rsidRDefault="00EB481C">
            <w:pPr>
              <w:pStyle w:val="P68B1DB1-Normal13"/>
              <w:spacing w:after="0"/>
              <w:rPr>
                <w:rFonts w:eastAsia="Times New Roman" w:cs="Times New Roman"/>
                <w:noProof/>
              </w:rPr>
            </w:pPr>
            <w:r>
              <w:rPr>
                <w:noProof/>
              </w:rPr>
              <w:t>A 2021. évi általános állami költségvetésről szóló, a szociális biztonság finanszírozási forrásainak elkülönítéséről szóló, december 30-i 11/2020. sz. törvény</w:t>
            </w:r>
            <w:r>
              <w:rPr>
                <w:noProof/>
              </w:rPr>
              <w:t xml:space="preserve"> hatálybalépése. Az állam évente átutalja a társadalombiztosítási rendszerbe a nem járulékalapú kiadási tételeknek megfelelő összeget. Ez lehetővé teszi a szociális biztonsági hiány csökkentését és annak a központi közigazgatáshoz való továbbítását, amely </w:t>
            </w:r>
            <w:r>
              <w:rPr>
                <w:noProof/>
              </w:rPr>
              <w:t>megfelelő eszközökkel rendelkezik annak kezelésére. Eloszlatja továbbá a közép- és hosszú távú kihívások kezelésének feltételeit javító rendszer fizetőképességével kapcsolatos kétségeket. A 2021. évi állami költségvetési törvény első és jelentős lépést irá</w:t>
            </w:r>
            <w:r>
              <w:rPr>
                <w:noProof/>
              </w:rPr>
              <w:t>nyoz elő ebbe az irányba.</w:t>
            </w:r>
          </w:p>
        </w:tc>
      </w:tr>
      <w:tr w:rsidR="003E1D81" w14:paraId="16C2201F" w14:textId="77777777">
        <w:trPr>
          <w:trHeight w:val="309"/>
        </w:trPr>
        <w:tc>
          <w:tcPr>
            <w:tcW w:w="709" w:type="dxa"/>
            <w:shd w:val="clear" w:color="auto" w:fill="C6EFCE"/>
            <w:noWrap/>
          </w:tcPr>
          <w:p w14:paraId="5EB4A7D0" w14:textId="77777777" w:rsidR="003E1D81" w:rsidRDefault="00EB481C">
            <w:pPr>
              <w:pStyle w:val="P68B1DB1-Normal13"/>
              <w:spacing w:after="0"/>
              <w:jc w:val="center"/>
              <w:rPr>
                <w:rFonts w:eastAsia="Times New Roman" w:cs="Times New Roman"/>
                <w:noProof/>
              </w:rPr>
            </w:pPr>
            <w:r>
              <w:rPr>
                <w:noProof/>
              </w:rPr>
              <w:t>407</w:t>
            </w:r>
          </w:p>
        </w:tc>
        <w:tc>
          <w:tcPr>
            <w:tcW w:w="851" w:type="dxa"/>
            <w:shd w:val="clear" w:color="auto" w:fill="C6EFCE"/>
            <w:noWrap/>
          </w:tcPr>
          <w:p w14:paraId="5396BF50" w14:textId="77777777" w:rsidR="003E1D81" w:rsidRDefault="00EB481C">
            <w:pPr>
              <w:pStyle w:val="P68B1DB1-Normal13"/>
              <w:spacing w:after="0"/>
              <w:jc w:val="center"/>
              <w:rPr>
                <w:rFonts w:eastAsia="Times New Roman" w:cs="Times New Roman"/>
                <w:noProof/>
              </w:rPr>
            </w:pPr>
            <w:r>
              <w:rPr>
                <w:noProof/>
              </w:rPr>
              <w:t>C30.R2</w:t>
            </w:r>
          </w:p>
        </w:tc>
        <w:tc>
          <w:tcPr>
            <w:tcW w:w="850" w:type="dxa"/>
            <w:shd w:val="clear" w:color="auto" w:fill="C6EFCE"/>
            <w:noWrap/>
          </w:tcPr>
          <w:p w14:paraId="5936375A" w14:textId="77777777" w:rsidR="003E1D81" w:rsidRDefault="00EB481C">
            <w:pPr>
              <w:pStyle w:val="P68B1DB1-Normal13"/>
              <w:spacing w:after="0"/>
              <w:jc w:val="center"/>
              <w:rPr>
                <w:rFonts w:eastAsia="Times New Roman" w:cs="Times New Roman"/>
                <w:noProof/>
              </w:rPr>
            </w:pPr>
            <w:r>
              <w:rPr>
                <w:noProof/>
              </w:rPr>
              <w:t>M</w:t>
            </w:r>
          </w:p>
        </w:tc>
        <w:tc>
          <w:tcPr>
            <w:tcW w:w="2552" w:type="dxa"/>
            <w:shd w:val="clear" w:color="auto" w:fill="C6EFCE"/>
            <w:noWrap/>
          </w:tcPr>
          <w:p w14:paraId="0FF668FD" w14:textId="77777777" w:rsidR="003E1D81" w:rsidRDefault="00EB481C">
            <w:pPr>
              <w:pStyle w:val="P68B1DB1-Normal13"/>
              <w:spacing w:after="0"/>
              <w:rPr>
                <w:rFonts w:eastAsia="Times New Roman" w:cs="Times New Roman"/>
                <w:noProof/>
              </w:rPr>
            </w:pPr>
            <w:r>
              <w:rPr>
                <w:noProof/>
              </w:rPr>
              <w:t>A nyugdíjak vásárlóerejének fenntartása, valamint a tényleges nyugdíjkorhatár és a törvényes nyugdíjkorhatár összehangolása</w:t>
            </w:r>
          </w:p>
        </w:tc>
        <w:tc>
          <w:tcPr>
            <w:tcW w:w="992" w:type="dxa"/>
            <w:shd w:val="clear" w:color="auto" w:fill="C6EFCE"/>
            <w:noWrap/>
          </w:tcPr>
          <w:p w14:paraId="7B267DF6" w14:textId="77777777" w:rsidR="003E1D81" w:rsidRDefault="00EB481C">
            <w:pPr>
              <w:pStyle w:val="P68B1DB1-Normal13"/>
              <w:spacing w:after="0"/>
              <w:jc w:val="center"/>
              <w:rPr>
                <w:rFonts w:eastAsia="Times New Roman" w:cs="Times New Roman"/>
                <w:noProof/>
              </w:rPr>
            </w:pPr>
            <w:r>
              <w:rPr>
                <w:noProof/>
              </w:rPr>
              <w:t xml:space="preserve">A jogszabály hatálybalépését jelző rendelkezés </w:t>
            </w:r>
          </w:p>
        </w:tc>
        <w:tc>
          <w:tcPr>
            <w:tcW w:w="567" w:type="dxa"/>
            <w:shd w:val="clear" w:color="auto" w:fill="C6EFCE"/>
            <w:noWrap/>
          </w:tcPr>
          <w:p w14:paraId="0EBB2E39" w14:textId="77777777" w:rsidR="003E1D81" w:rsidRDefault="00EB481C">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3DE8EAE4" w14:textId="77777777" w:rsidR="003E1D81" w:rsidRDefault="00EB481C">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2B8810C9" w14:textId="77777777" w:rsidR="003E1D81" w:rsidRDefault="00EB481C">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1DF8AE56" w14:textId="77777777" w:rsidR="003E1D81" w:rsidRDefault="00EB481C">
            <w:pPr>
              <w:pStyle w:val="P68B1DB1-Normal13"/>
              <w:spacing w:after="0"/>
              <w:jc w:val="center"/>
              <w:rPr>
                <w:rFonts w:eastAsia="Times New Roman" w:cs="Times New Roman"/>
                <w:noProof/>
              </w:rPr>
            </w:pPr>
            <w:r>
              <w:rPr>
                <w:noProof/>
              </w:rPr>
              <w:t>NEGYEDÉV</w:t>
            </w:r>
          </w:p>
        </w:tc>
        <w:tc>
          <w:tcPr>
            <w:tcW w:w="567" w:type="dxa"/>
            <w:shd w:val="clear" w:color="auto" w:fill="C6EFCE"/>
            <w:noWrap/>
          </w:tcPr>
          <w:p w14:paraId="6844DF5F" w14:textId="77777777" w:rsidR="003E1D81" w:rsidRDefault="00EB481C">
            <w:pPr>
              <w:pStyle w:val="P68B1DB1-Normal13"/>
              <w:spacing w:after="0"/>
              <w:jc w:val="center"/>
              <w:rPr>
                <w:rFonts w:eastAsia="Times New Roman" w:cs="Times New Roman"/>
                <w:noProof/>
              </w:rPr>
            </w:pPr>
            <w:r>
              <w:rPr>
                <w:noProof/>
              </w:rPr>
              <w:t>2021</w:t>
            </w:r>
          </w:p>
        </w:tc>
        <w:tc>
          <w:tcPr>
            <w:tcW w:w="6804" w:type="dxa"/>
            <w:shd w:val="clear" w:color="auto" w:fill="C6EFCE"/>
            <w:noWrap/>
          </w:tcPr>
          <w:p w14:paraId="353A4050" w14:textId="77777777" w:rsidR="003E1D81" w:rsidRDefault="00EB481C">
            <w:pPr>
              <w:pStyle w:val="P68B1DB1-Normal13"/>
              <w:spacing w:after="0"/>
              <w:rPr>
                <w:rFonts w:eastAsia="Times New Roman" w:cs="Times New Roman"/>
                <w:noProof/>
              </w:rPr>
            </w:pPr>
            <w:r>
              <w:rPr>
                <w:noProof/>
              </w:rPr>
              <w:t xml:space="preserve">A Hivatalos Lapban </w:t>
            </w:r>
            <w:r>
              <w:rPr>
                <w:noProof/>
              </w:rPr>
              <w:t>közzétett jogszabályok hatálybalépése, amelyek célja:</w:t>
            </w:r>
            <w:r>
              <w:rPr>
                <w:noProof/>
              </w:rPr>
              <w:br/>
              <w:t>a nyugdíjak vásárlóerejének fenntartása: új átértékelési mechanizmust fognak kidolgozni, amely a nyugdíjakat az inflációhoz köti annak biztosítása érdekében, hogy a nyugdíjasok vásárlóereje állandó jell</w:t>
            </w:r>
            <w:r>
              <w:rPr>
                <w:noProof/>
              </w:rPr>
              <w:t xml:space="preserve">eggel garantált legyen. </w:t>
            </w:r>
            <w:r>
              <w:rPr>
                <w:noProof/>
              </w:rPr>
              <w:br/>
              <w:t>a tényleges nyugdíjkorhatár és a törvényes nyugdíjkorhatár összehangolása: ösztönzők biztosítása a nyugdíjba vonulás elhalasztására, beleértve a fokozott gazdasági ösztönzőket, valamint a munka és a nyugdíj összeegyeztetésének előm</w:t>
            </w:r>
            <w:r>
              <w:rPr>
                <w:noProof/>
              </w:rPr>
              <w:t>ozdítását a törvényes nyugdíjkorhatárhoz közeli életkorú munkaerő-piaci részvétel növelése és a nyugdíjba vonulás elhalasztása érdekében.</w:t>
            </w:r>
          </w:p>
        </w:tc>
      </w:tr>
      <w:tr w:rsidR="003E1D81" w14:paraId="76FB77AA" w14:textId="77777777">
        <w:trPr>
          <w:trHeight w:val="309"/>
        </w:trPr>
        <w:tc>
          <w:tcPr>
            <w:tcW w:w="709" w:type="dxa"/>
            <w:shd w:val="clear" w:color="auto" w:fill="C6EFCE"/>
            <w:noWrap/>
          </w:tcPr>
          <w:p w14:paraId="3056FDAF" w14:textId="77777777" w:rsidR="003E1D81" w:rsidRDefault="00EB481C">
            <w:pPr>
              <w:pStyle w:val="P68B1DB1-Normal13"/>
              <w:spacing w:after="0"/>
              <w:jc w:val="center"/>
              <w:rPr>
                <w:rFonts w:eastAsia="Times New Roman" w:cs="Times New Roman"/>
                <w:noProof/>
              </w:rPr>
            </w:pPr>
            <w:r>
              <w:rPr>
                <w:noProof/>
              </w:rPr>
              <w:t>408</w:t>
            </w:r>
          </w:p>
        </w:tc>
        <w:tc>
          <w:tcPr>
            <w:tcW w:w="851" w:type="dxa"/>
            <w:shd w:val="clear" w:color="auto" w:fill="C6EFCE"/>
            <w:noWrap/>
          </w:tcPr>
          <w:p w14:paraId="144EF3CD" w14:textId="77777777" w:rsidR="003E1D81" w:rsidRDefault="00EB481C">
            <w:pPr>
              <w:pStyle w:val="P68B1DB1-Normal13"/>
              <w:spacing w:after="0"/>
              <w:jc w:val="center"/>
              <w:rPr>
                <w:rFonts w:eastAsia="Times New Roman" w:cs="Times New Roman"/>
                <w:noProof/>
              </w:rPr>
            </w:pPr>
            <w:r>
              <w:rPr>
                <w:noProof/>
              </w:rPr>
              <w:t>C30.R2</w:t>
            </w:r>
          </w:p>
        </w:tc>
        <w:tc>
          <w:tcPr>
            <w:tcW w:w="850" w:type="dxa"/>
            <w:shd w:val="clear" w:color="auto" w:fill="C6EFCE"/>
            <w:noWrap/>
          </w:tcPr>
          <w:p w14:paraId="33EBAF0E" w14:textId="77777777" w:rsidR="003E1D81" w:rsidRDefault="00EB481C">
            <w:pPr>
              <w:pStyle w:val="P68B1DB1-Normal13"/>
              <w:spacing w:after="0"/>
              <w:jc w:val="center"/>
              <w:rPr>
                <w:rFonts w:eastAsia="Times New Roman" w:cs="Times New Roman"/>
                <w:noProof/>
              </w:rPr>
            </w:pPr>
            <w:r>
              <w:rPr>
                <w:noProof/>
              </w:rPr>
              <w:t>M</w:t>
            </w:r>
          </w:p>
        </w:tc>
        <w:tc>
          <w:tcPr>
            <w:tcW w:w="2552" w:type="dxa"/>
            <w:shd w:val="clear" w:color="auto" w:fill="C6EFCE"/>
            <w:noWrap/>
          </w:tcPr>
          <w:p w14:paraId="73A76CAC" w14:textId="77777777" w:rsidR="003E1D81" w:rsidRDefault="00EB481C">
            <w:pPr>
              <w:pStyle w:val="P68B1DB1-Normal13"/>
              <w:spacing w:after="0"/>
              <w:rPr>
                <w:rFonts w:eastAsia="Times New Roman" w:cs="Times New Roman"/>
                <w:noProof/>
              </w:rPr>
            </w:pPr>
            <w:r>
              <w:rPr>
                <w:noProof/>
              </w:rPr>
              <w:t xml:space="preserve">Az öregségi nyugdíj kiszámításához szükséges számítási időszak kiigazítása </w:t>
            </w:r>
          </w:p>
        </w:tc>
        <w:tc>
          <w:tcPr>
            <w:tcW w:w="992" w:type="dxa"/>
            <w:shd w:val="clear" w:color="auto" w:fill="C6EFCE"/>
            <w:noWrap/>
          </w:tcPr>
          <w:p w14:paraId="7900F259" w14:textId="77777777" w:rsidR="003E1D81" w:rsidRDefault="00EB481C">
            <w:pPr>
              <w:pStyle w:val="P68B1DB1-Normal13"/>
              <w:spacing w:after="0"/>
              <w:jc w:val="center"/>
              <w:rPr>
                <w:rFonts w:eastAsia="Times New Roman" w:cs="Times New Roman"/>
                <w:noProof/>
              </w:rPr>
            </w:pPr>
            <w:r>
              <w:rPr>
                <w:noProof/>
              </w:rPr>
              <w:t xml:space="preserve">A jogszabály hatálybalépését jelző rendelkezés </w:t>
            </w:r>
          </w:p>
        </w:tc>
        <w:tc>
          <w:tcPr>
            <w:tcW w:w="567" w:type="dxa"/>
            <w:shd w:val="clear" w:color="auto" w:fill="C6EFCE"/>
            <w:noWrap/>
          </w:tcPr>
          <w:p w14:paraId="345E47E1" w14:textId="77777777" w:rsidR="003E1D81" w:rsidRDefault="00EB481C">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1FF84CD8" w14:textId="77777777" w:rsidR="003E1D81" w:rsidRDefault="00EB481C">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13A8C699" w14:textId="77777777" w:rsidR="003E1D81" w:rsidRDefault="00EB481C">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4CD7A40A" w14:textId="77777777" w:rsidR="003E1D81" w:rsidRDefault="00EB481C">
            <w:pPr>
              <w:pStyle w:val="P68B1DB1-Normal13"/>
              <w:spacing w:after="0"/>
              <w:jc w:val="center"/>
              <w:rPr>
                <w:rFonts w:eastAsia="Times New Roman" w:cs="Times New Roman"/>
                <w:noProof/>
              </w:rPr>
            </w:pPr>
            <w:r>
              <w:rPr>
                <w:noProof/>
              </w:rPr>
              <w:t>NEGYEDÉV</w:t>
            </w:r>
          </w:p>
        </w:tc>
        <w:tc>
          <w:tcPr>
            <w:tcW w:w="567" w:type="dxa"/>
            <w:shd w:val="clear" w:color="auto" w:fill="C6EFCE"/>
            <w:noWrap/>
          </w:tcPr>
          <w:p w14:paraId="07BCDFEA" w14:textId="77777777" w:rsidR="003E1D81" w:rsidRDefault="00EB481C">
            <w:pPr>
              <w:pStyle w:val="P68B1DB1-Normal13"/>
              <w:spacing w:after="0"/>
              <w:jc w:val="center"/>
              <w:rPr>
                <w:rFonts w:eastAsia="Times New Roman" w:cs="Times New Roman"/>
                <w:noProof/>
              </w:rPr>
            </w:pPr>
            <w:r>
              <w:rPr>
                <w:noProof/>
              </w:rPr>
              <w:t>2022</w:t>
            </w:r>
          </w:p>
        </w:tc>
        <w:tc>
          <w:tcPr>
            <w:tcW w:w="6804" w:type="dxa"/>
            <w:shd w:val="clear" w:color="auto" w:fill="C6EFCE"/>
            <w:noWrap/>
          </w:tcPr>
          <w:p w14:paraId="73E6C409" w14:textId="77777777" w:rsidR="003E1D81" w:rsidRDefault="00EB481C">
            <w:pPr>
              <w:pStyle w:val="P68B1DB1-Normal13"/>
              <w:spacing w:after="0"/>
              <w:rPr>
                <w:rFonts w:eastAsia="Times New Roman" w:cs="Times New Roman"/>
                <w:noProof/>
              </w:rPr>
            </w:pPr>
            <w:r>
              <w:rPr>
                <w:noProof/>
              </w:rPr>
              <w:t xml:space="preserve">A számítási időszak kiigazítására vonatkozó jogszabály hatálybalépése, amely meghosszabbítja az öregségi nyugdíj kiszámításához szükséges számítási időszakot. </w:t>
            </w:r>
          </w:p>
        </w:tc>
      </w:tr>
      <w:tr w:rsidR="003E1D81" w14:paraId="3CDCC6A4" w14:textId="77777777">
        <w:trPr>
          <w:trHeight w:val="309"/>
        </w:trPr>
        <w:tc>
          <w:tcPr>
            <w:tcW w:w="709" w:type="dxa"/>
            <w:shd w:val="clear" w:color="auto" w:fill="C6EFCE"/>
            <w:noWrap/>
          </w:tcPr>
          <w:p w14:paraId="282AB244" w14:textId="77777777" w:rsidR="003E1D81" w:rsidRDefault="00EB481C">
            <w:pPr>
              <w:pStyle w:val="P68B1DB1-Normal13"/>
              <w:spacing w:after="0"/>
              <w:jc w:val="center"/>
              <w:rPr>
                <w:rFonts w:eastAsia="Times New Roman" w:cs="Times New Roman"/>
                <w:noProof/>
              </w:rPr>
            </w:pPr>
            <w:r>
              <w:rPr>
                <w:noProof/>
              </w:rPr>
              <w:t>409</w:t>
            </w:r>
          </w:p>
        </w:tc>
        <w:tc>
          <w:tcPr>
            <w:tcW w:w="851" w:type="dxa"/>
            <w:shd w:val="clear" w:color="auto" w:fill="C6EFCE"/>
            <w:noWrap/>
          </w:tcPr>
          <w:p w14:paraId="090597C6" w14:textId="77777777" w:rsidR="003E1D81" w:rsidRDefault="00EB481C">
            <w:pPr>
              <w:pStyle w:val="P68B1DB1-Normal13"/>
              <w:spacing w:after="0"/>
              <w:jc w:val="center"/>
              <w:rPr>
                <w:rFonts w:eastAsia="Times New Roman" w:cs="Times New Roman"/>
                <w:noProof/>
              </w:rPr>
            </w:pPr>
            <w:r>
              <w:rPr>
                <w:noProof/>
              </w:rPr>
              <w:t>C30.R2</w:t>
            </w:r>
          </w:p>
        </w:tc>
        <w:tc>
          <w:tcPr>
            <w:tcW w:w="850" w:type="dxa"/>
            <w:shd w:val="clear" w:color="auto" w:fill="C6EFCE"/>
            <w:noWrap/>
          </w:tcPr>
          <w:p w14:paraId="369C3BD4" w14:textId="77777777" w:rsidR="003E1D81" w:rsidRDefault="00EB481C">
            <w:pPr>
              <w:pStyle w:val="P68B1DB1-Normal13"/>
              <w:spacing w:after="0"/>
              <w:jc w:val="center"/>
              <w:rPr>
                <w:rFonts w:eastAsia="Times New Roman" w:cs="Times New Roman"/>
                <w:noProof/>
              </w:rPr>
            </w:pPr>
            <w:r>
              <w:rPr>
                <w:noProof/>
              </w:rPr>
              <w:t>M</w:t>
            </w:r>
          </w:p>
        </w:tc>
        <w:tc>
          <w:tcPr>
            <w:tcW w:w="2552" w:type="dxa"/>
            <w:shd w:val="clear" w:color="auto" w:fill="C6EFCE"/>
            <w:noWrap/>
          </w:tcPr>
          <w:p w14:paraId="22B016FF" w14:textId="77777777" w:rsidR="003E1D81" w:rsidRDefault="00EB481C">
            <w:pPr>
              <w:pStyle w:val="P68B1DB1-Normal13"/>
              <w:spacing w:after="0"/>
              <w:rPr>
                <w:rFonts w:eastAsia="Times New Roman" w:cs="Times New Roman"/>
                <w:noProof/>
              </w:rPr>
            </w:pPr>
            <w:r>
              <w:rPr>
                <w:noProof/>
              </w:rPr>
              <w:t xml:space="preserve">A </w:t>
            </w:r>
            <w:r>
              <w:rPr>
                <w:noProof/>
              </w:rPr>
              <w:t>fenntarthatósági tényező generációk közötti sajáttőke-mechanizmussal való felváltása</w:t>
            </w:r>
          </w:p>
        </w:tc>
        <w:tc>
          <w:tcPr>
            <w:tcW w:w="992" w:type="dxa"/>
            <w:shd w:val="clear" w:color="auto" w:fill="C6EFCE"/>
            <w:noWrap/>
          </w:tcPr>
          <w:p w14:paraId="586F0C74" w14:textId="77777777" w:rsidR="003E1D81" w:rsidRDefault="00EB481C">
            <w:pPr>
              <w:pStyle w:val="P68B1DB1-Normal13"/>
              <w:spacing w:after="0"/>
              <w:jc w:val="center"/>
              <w:rPr>
                <w:rFonts w:eastAsia="Times New Roman" w:cs="Times New Roman"/>
                <w:noProof/>
              </w:rPr>
            </w:pPr>
            <w:r>
              <w:rPr>
                <w:noProof/>
              </w:rPr>
              <w:t>A jogszabály hatálybalépését jelző rendelkezés</w:t>
            </w:r>
          </w:p>
        </w:tc>
        <w:tc>
          <w:tcPr>
            <w:tcW w:w="567" w:type="dxa"/>
            <w:shd w:val="clear" w:color="auto" w:fill="C6EFCE"/>
            <w:noWrap/>
          </w:tcPr>
          <w:p w14:paraId="373D937C" w14:textId="77777777" w:rsidR="003E1D81" w:rsidRDefault="00EB481C">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504FD19D" w14:textId="77777777" w:rsidR="003E1D81" w:rsidRDefault="00EB481C">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21295E83" w14:textId="77777777" w:rsidR="003E1D81" w:rsidRDefault="00EB481C">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4B1B7F56" w14:textId="77777777" w:rsidR="003E1D81" w:rsidRDefault="00EB481C">
            <w:pPr>
              <w:pStyle w:val="P68B1DB1-Normal13"/>
              <w:spacing w:after="0"/>
              <w:jc w:val="center"/>
              <w:rPr>
                <w:rFonts w:eastAsia="Times New Roman" w:cs="Times New Roman"/>
                <w:noProof/>
              </w:rPr>
            </w:pPr>
            <w:r>
              <w:rPr>
                <w:noProof/>
              </w:rPr>
              <w:t>NEGYEDÉV</w:t>
            </w:r>
          </w:p>
        </w:tc>
        <w:tc>
          <w:tcPr>
            <w:tcW w:w="567" w:type="dxa"/>
            <w:shd w:val="clear" w:color="auto" w:fill="C6EFCE"/>
            <w:noWrap/>
          </w:tcPr>
          <w:p w14:paraId="78F0E579" w14:textId="77777777" w:rsidR="003E1D81" w:rsidRDefault="00EB481C">
            <w:pPr>
              <w:pStyle w:val="P68B1DB1-Normal13"/>
              <w:spacing w:after="0"/>
              <w:jc w:val="center"/>
              <w:rPr>
                <w:rFonts w:eastAsia="Times New Roman" w:cs="Times New Roman"/>
                <w:noProof/>
              </w:rPr>
            </w:pPr>
            <w:r>
              <w:rPr>
                <w:noProof/>
              </w:rPr>
              <w:t>2022</w:t>
            </w:r>
          </w:p>
        </w:tc>
        <w:tc>
          <w:tcPr>
            <w:tcW w:w="6804" w:type="dxa"/>
            <w:shd w:val="clear" w:color="auto" w:fill="C6EFCE"/>
            <w:noWrap/>
          </w:tcPr>
          <w:p w14:paraId="4CA04DFD" w14:textId="77777777" w:rsidR="003E1D81" w:rsidRDefault="00EB481C">
            <w:pPr>
              <w:pStyle w:val="P68B1DB1-Normal13"/>
              <w:spacing w:after="0"/>
              <w:rPr>
                <w:rFonts w:eastAsia="Times New Roman" w:cs="Times New Roman"/>
                <w:noProof/>
              </w:rPr>
            </w:pPr>
            <w:r>
              <w:rPr>
                <w:noProof/>
              </w:rPr>
              <w:t>Olyan jogszabály hatálybalépése, amely a nyugdíjakat a várható élettartammal összekapcsoló jelenlegi fen</w:t>
            </w:r>
            <w:r>
              <w:rPr>
                <w:noProof/>
              </w:rPr>
              <w:t>ntarthatósági tényezőt egy olyan mechanizmussal váltja fel, amely a demográfiai változásokhoz való alkalmazkodás révén garantálja a generációk közötti méltányosságot és a költségvetési fenntarthatóságot.</w:t>
            </w:r>
          </w:p>
        </w:tc>
      </w:tr>
      <w:tr w:rsidR="003E1D81" w14:paraId="290F56ED" w14:textId="77777777">
        <w:trPr>
          <w:trHeight w:val="309"/>
        </w:trPr>
        <w:tc>
          <w:tcPr>
            <w:tcW w:w="709" w:type="dxa"/>
            <w:shd w:val="clear" w:color="auto" w:fill="C6EFCE"/>
            <w:noWrap/>
          </w:tcPr>
          <w:p w14:paraId="7CBD5259" w14:textId="77777777" w:rsidR="003E1D81" w:rsidRDefault="00EB481C">
            <w:pPr>
              <w:pStyle w:val="P68B1DB1-Normal13"/>
              <w:spacing w:after="0"/>
              <w:jc w:val="center"/>
              <w:rPr>
                <w:rFonts w:eastAsia="Times New Roman" w:cs="Times New Roman"/>
                <w:noProof/>
              </w:rPr>
            </w:pPr>
            <w:r>
              <w:rPr>
                <w:noProof/>
              </w:rPr>
              <w:t>410</w:t>
            </w:r>
          </w:p>
        </w:tc>
        <w:tc>
          <w:tcPr>
            <w:tcW w:w="851" w:type="dxa"/>
            <w:shd w:val="clear" w:color="auto" w:fill="C6EFCE"/>
            <w:noWrap/>
          </w:tcPr>
          <w:p w14:paraId="060D1932" w14:textId="77777777" w:rsidR="003E1D81" w:rsidRDefault="00EB481C">
            <w:pPr>
              <w:pStyle w:val="P68B1DB1-Normal13"/>
              <w:spacing w:after="0"/>
              <w:jc w:val="center"/>
              <w:rPr>
                <w:rFonts w:eastAsia="Times New Roman" w:cs="Times New Roman"/>
                <w:noProof/>
              </w:rPr>
            </w:pPr>
            <w:r>
              <w:rPr>
                <w:noProof/>
              </w:rPr>
              <w:t>C30.R2</w:t>
            </w:r>
          </w:p>
        </w:tc>
        <w:tc>
          <w:tcPr>
            <w:tcW w:w="850" w:type="dxa"/>
            <w:shd w:val="clear" w:color="auto" w:fill="C6EFCE"/>
            <w:noWrap/>
          </w:tcPr>
          <w:p w14:paraId="3F8C4631" w14:textId="77777777" w:rsidR="003E1D81" w:rsidRDefault="00EB481C">
            <w:pPr>
              <w:pStyle w:val="P68B1DB1-Normal13"/>
              <w:spacing w:after="0"/>
              <w:jc w:val="center"/>
              <w:rPr>
                <w:rFonts w:eastAsia="Times New Roman" w:cs="Times New Roman"/>
                <w:noProof/>
              </w:rPr>
            </w:pPr>
            <w:r>
              <w:rPr>
                <w:noProof/>
              </w:rPr>
              <w:t>M</w:t>
            </w:r>
          </w:p>
        </w:tc>
        <w:tc>
          <w:tcPr>
            <w:tcW w:w="2552" w:type="dxa"/>
            <w:shd w:val="clear" w:color="auto" w:fill="C6EFCE"/>
            <w:noWrap/>
          </w:tcPr>
          <w:p w14:paraId="036D9408" w14:textId="77777777" w:rsidR="003E1D81" w:rsidRDefault="00EB481C">
            <w:pPr>
              <w:pStyle w:val="P68B1DB1-Normal13"/>
              <w:spacing w:after="0"/>
              <w:rPr>
                <w:rFonts w:eastAsia="Times New Roman" w:cs="Times New Roman"/>
                <w:noProof/>
              </w:rPr>
            </w:pPr>
            <w:r>
              <w:rPr>
                <w:noProof/>
              </w:rPr>
              <w:t xml:space="preserve">Aktualizált előrejelzések arról, hogy </w:t>
            </w:r>
            <w:r>
              <w:rPr>
                <w:noProof/>
              </w:rPr>
              <w:t>a 2021-ben és 2022-ben végrehajtott nyugdíjreformok hogyan biztosítják a költségvetés hosszú távú fenntarthatóságát</w:t>
            </w:r>
          </w:p>
        </w:tc>
        <w:tc>
          <w:tcPr>
            <w:tcW w:w="992" w:type="dxa"/>
            <w:shd w:val="clear" w:color="auto" w:fill="C6EFCE"/>
            <w:noWrap/>
          </w:tcPr>
          <w:p w14:paraId="1DD49C4C" w14:textId="77777777" w:rsidR="003E1D81" w:rsidRDefault="00EB481C">
            <w:pPr>
              <w:pStyle w:val="P68B1DB1-Normal13"/>
              <w:spacing w:after="0"/>
              <w:jc w:val="center"/>
              <w:rPr>
                <w:rFonts w:eastAsia="Times New Roman" w:cs="Times New Roman"/>
                <w:noProof/>
              </w:rPr>
            </w:pPr>
            <w:r>
              <w:rPr>
                <w:noProof/>
              </w:rPr>
              <w:t>Jelentés közzététele a társadalombiztosítási honlapon</w:t>
            </w:r>
          </w:p>
        </w:tc>
        <w:tc>
          <w:tcPr>
            <w:tcW w:w="567" w:type="dxa"/>
            <w:shd w:val="clear" w:color="auto" w:fill="C6EFCE"/>
            <w:noWrap/>
          </w:tcPr>
          <w:p w14:paraId="007CDB97" w14:textId="77777777" w:rsidR="003E1D81" w:rsidRDefault="00EB481C">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5100EA60" w14:textId="77777777" w:rsidR="003E1D81" w:rsidRDefault="00EB481C">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2B2C3966" w14:textId="77777777" w:rsidR="003E1D81" w:rsidRDefault="00EB481C">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5AA2B8CC" w14:textId="77777777" w:rsidR="003E1D81" w:rsidRDefault="00EB481C">
            <w:pPr>
              <w:pStyle w:val="P68B1DB1-Normal13"/>
              <w:spacing w:after="0"/>
              <w:jc w:val="center"/>
              <w:rPr>
                <w:rFonts w:eastAsia="Times New Roman" w:cs="Times New Roman"/>
                <w:noProof/>
              </w:rPr>
            </w:pPr>
            <w:r>
              <w:rPr>
                <w:noProof/>
              </w:rPr>
              <w:t>NEGYEDÉV</w:t>
            </w:r>
          </w:p>
        </w:tc>
        <w:tc>
          <w:tcPr>
            <w:tcW w:w="567" w:type="dxa"/>
            <w:shd w:val="clear" w:color="auto" w:fill="C6EFCE"/>
            <w:noWrap/>
          </w:tcPr>
          <w:p w14:paraId="2F985389" w14:textId="77777777" w:rsidR="003E1D81" w:rsidRDefault="00EB481C">
            <w:pPr>
              <w:pStyle w:val="P68B1DB1-Normal13"/>
              <w:spacing w:after="0"/>
              <w:jc w:val="center"/>
              <w:rPr>
                <w:rFonts w:eastAsia="Times New Roman" w:cs="Times New Roman"/>
                <w:noProof/>
              </w:rPr>
            </w:pPr>
            <w:r>
              <w:rPr>
                <w:noProof/>
              </w:rPr>
              <w:t>2022</w:t>
            </w:r>
          </w:p>
        </w:tc>
        <w:tc>
          <w:tcPr>
            <w:tcW w:w="6804" w:type="dxa"/>
            <w:shd w:val="clear" w:color="auto" w:fill="C6EFCE"/>
            <w:noWrap/>
          </w:tcPr>
          <w:p w14:paraId="01C9780E" w14:textId="77777777" w:rsidR="003E1D81" w:rsidRDefault="00EB481C">
            <w:pPr>
              <w:pStyle w:val="P68B1DB1-Normal13"/>
              <w:spacing w:after="0"/>
              <w:rPr>
                <w:rFonts w:eastAsia="Times New Roman" w:cs="Times New Roman"/>
                <w:noProof/>
              </w:rPr>
            </w:pPr>
            <w:r>
              <w:rPr>
                <w:noProof/>
              </w:rPr>
              <w:t xml:space="preserve">Aktualizált előrejelzések közzététele, amelyek bemutatják, hogy a </w:t>
            </w:r>
            <w:r>
              <w:rPr>
                <w:noProof/>
              </w:rPr>
              <w:t>2021-ben és 2022-ben végrehajtott nyugdíjreformok hogyan biztosítják a hosszú távú költségvetési fenntarthatóságot, figyelembe véve az egyéb strukturális reformok, például a munkaerőpiaci reformok hatását is.</w:t>
            </w:r>
          </w:p>
        </w:tc>
      </w:tr>
      <w:tr w:rsidR="003E1D81" w14:paraId="342F6CB7" w14:textId="77777777">
        <w:trPr>
          <w:trHeight w:val="309"/>
        </w:trPr>
        <w:tc>
          <w:tcPr>
            <w:tcW w:w="709" w:type="dxa"/>
            <w:shd w:val="clear" w:color="auto" w:fill="C6EFCE"/>
            <w:noWrap/>
          </w:tcPr>
          <w:p w14:paraId="4C869186" w14:textId="77777777" w:rsidR="003E1D81" w:rsidRDefault="00EB481C">
            <w:pPr>
              <w:pStyle w:val="P68B1DB1-Normal13"/>
              <w:spacing w:after="0"/>
              <w:jc w:val="center"/>
              <w:rPr>
                <w:rFonts w:eastAsia="Times New Roman" w:cs="Times New Roman"/>
                <w:noProof/>
              </w:rPr>
            </w:pPr>
            <w:r>
              <w:rPr>
                <w:noProof/>
              </w:rPr>
              <w:t>411</w:t>
            </w:r>
          </w:p>
        </w:tc>
        <w:tc>
          <w:tcPr>
            <w:tcW w:w="851" w:type="dxa"/>
            <w:shd w:val="clear" w:color="auto" w:fill="C6EFCE"/>
            <w:noWrap/>
          </w:tcPr>
          <w:p w14:paraId="6189A0D6" w14:textId="77777777" w:rsidR="003E1D81" w:rsidRDefault="00EB481C">
            <w:pPr>
              <w:pStyle w:val="P68B1DB1-Normal13"/>
              <w:spacing w:after="0"/>
              <w:jc w:val="center"/>
              <w:rPr>
                <w:rFonts w:eastAsia="Times New Roman" w:cs="Times New Roman"/>
                <w:noProof/>
              </w:rPr>
            </w:pPr>
            <w:r>
              <w:rPr>
                <w:noProof/>
              </w:rPr>
              <w:t>C30.R3</w:t>
            </w:r>
          </w:p>
        </w:tc>
        <w:tc>
          <w:tcPr>
            <w:tcW w:w="850" w:type="dxa"/>
            <w:shd w:val="clear" w:color="auto" w:fill="C6EFCE"/>
            <w:noWrap/>
          </w:tcPr>
          <w:p w14:paraId="77EC25CE" w14:textId="77777777" w:rsidR="003E1D81" w:rsidRDefault="00EB481C">
            <w:pPr>
              <w:pStyle w:val="P68B1DB1-Normal13"/>
              <w:spacing w:after="0"/>
              <w:jc w:val="center"/>
              <w:rPr>
                <w:rFonts w:eastAsia="Times New Roman" w:cs="Times New Roman"/>
                <w:noProof/>
              </w:rPr>
            </w:pPr>
            <w:r>
              <w:rPr>
                <w:noProof/>
              </w:rPr>
              <w:t>M</w:t>
            </w:r>
          </w:p>
        </w:tc>
        <w:tc>
          <w:tcPr>
            <w:tcW w:w="2552" w:type="dxa"/>
            <w:shd w:val="clear" w:color="auto" w:fill="C6EFCE"/>
            <w:noWrap/>
          </w:tcPr>
          <w:p w14:paraId="3973378A" w14:textId="77777777" w:rsidR="003E1D81" w:rsidRDefault="00EB481C">
            <w:pPr>
              <w:pStyle w:val="P68B1DB1-Normal13"/>
              <w:spacing w:after="0"/>
              <w:rPr>
                <w:rFonts w:eastAsia="Times New Roman" w:cs="Times New Roman"/>
                <w:noProof/>
              </w:rPr>
            </w:pPr>
            <w:r>
              <w:rPr>
                <w:noProof/>
              </w:rPr>
              <w:t xml:space="preserve">Az önálló vállalkozók </w:t>
            </w:r>
            <w:r>
              <w:rPr>
                <w:noProof/>
              </w:rPr>
              <w:t>társadalombiztosítási járulékrendszerének reformja</w:t>
            </w:r>
          </w:p>
        </w:tc>
        <w:tc>
          <w:tcPr>
            <w:tcW w:w="992" w:type="dxa"/>
            <w:shd w:val="clear" w:color="auto" w:fill="C6EFCE"/>
            <w:noWrap/>
          </w:tcPr>
          <w:p w14:paraId="14266B99" w14:textId="77777777" w:rsidR="003E1D81" w:rsidRDefault="00EB481C">
            <w:pPr>
              <w:pStyle w:val="P68B1DB1-Normal13"/>
              <w:spacing w:after="0"/>
              <w:jc w:val="center"/>
              <w:rPr>
                <w:rFonts w:eastAsia="Times New Roman" w:cs="Times New Roman"/>
                <w:noProof/>
              </w:rPr>
            </w:pPr>
            <w:r>
              <w:rPr>
                <w:noProof/>
              </w:rPr>
              <w:t xml:space="preserve">A jogszabály hatálybalépését jelző rendelkezés </w:t>
            </w:r>
          </w:p>
        </w:tc>
        <w:tc>
          <w:tcPr>
            <w:tcW w:w="567" w:type="dxa"/>
            <w:shd w:val="clear" w:color="auto" w:fill="C6EFCE"/>
            <w:noWrap/>
          </w:tcPr>
          <w:p w14:paraId="20FA847B" w14:textId="77777777" w:rsidR="003E1D81" w:rsidRDefault="00EB481C">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45B9297E" w14:textId="77777777" w:rsidR="003E1D81" w:rsidRDefault="00EB481C">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6B799333" w14:textId="77777777" w:rsidR="003E1D81" w:rsidRDefault="00EB481C">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3210EFDC" w14:textId="77777777" w:rsidR="003E1D81" w:rsidRDefault="00EB481C">
            <w:pPr>
              <w:pStyle w:val="P68B1DB1-Normal13"/>
              <w:spacing w:after="0"/>
              <w:jc w:val="center"/>
              <w:rPr>
                <w:rFonts w:eastAsia="Times New Roman" w:cs="Times New Roman"/>
                <w:noProof/>
              </w:rPr>
            </w:pPr>
            <w:r>
              <w:rPr>
                <w:noProof/>
              </w:rPr>
              <w:t>KÉRDÉS</w:t>
            </w:r>
          </w:p>
        </w:tc>
        <w:tc>
          <w:tcPr>
            <w:tcW w:w="567" w:type="dxa"/>
            <w:shd w:val="clear" w:color="auto" w:fill="C6EFCE"/>
            <w:noWrap/>
          </w:tcPr>
          <w:p w14:paraId="4ECE86CA" w14:textId="77777777" w:rsidR="003E1D81" w:rsidRDefault="00EB481C">
            <w:pPr>
              <w:pStyle w:val="P68B1DB1-Normal13"/>
              <w:spacing w:after="0"/>
              <w:jc w:val="center"/>
              <w:rPr>
                <w:rFonts w:eastAsia="Times New Roman" w:cs="Times New Roman"/>
                <w:noProof/>
              </w:rPr>
            </w:pPr>
            <w:r>
              <w:rPr>
                <w:noProof/>
              </w:rPr>
              <w:t>2022</w:t>
            </w:r>
          </w:p>
        </w:tc>
        <w:tc>
          <w:tcPr>
            <w:tcW w:w="6804" w:type="dxa"/>
            <w:shd w:val="clear" w:color="auto" w:fill="C6EFCE"/>
            <w:noWrap/>
          </w:tcPr>
          <w:p w14:paraId="6415D23D" w14:textId="77777777" w:rsidR="003E1D81" w:rsidRDefault="00EB481C">
            <w:pPr>
              <w:pStyle w:val="P68B1DB1-Normal13"/>
              <w:spacing w:after="0"/>
              <w:rPr>
                <w:rFonts w:eastAsia="Times New Roman" w:cs="Times New Roman"/>
                <w:noProof/>
              </w:rPr>
            </w:pPr>
            <w:r>
              <w:rPr>
                <w:noProof/>
              </w:rPr>
              <w:t>Hatályba lép az önfoglalkoztatókra vonatkozó társadalombiztosítási járulékrendszer reformjáról szóló jogszabály, amely fokozatosan a reáljö</w:t>
            </w:r>
            <w:r>
              <w:rPr>
                <w:noProof/>
              </w:rPr>
              <w:t>vedelemen alapuló járulékfizetési rendszert helyezi át.</w:t>
            </w:r>
          </w:p>
        </w:tc>
      </w:tr>
      <w:tr w:rsidR="003E1D81" w14:paraId="07B2E1AD" w14:textId="77777777">
        <w:trPr>
          <w:trHeight w:val="309"/>
        </w:trPr>
        <w:tc>
          <w:tcPr>
            <w:tcW w:w="709" w:type="dxa"/>
            <w:shd w:val="clear" w:color="auto" w:fill="C6EFCE"/>
            <w:noWrap/>
          </w:tcPr>
          <w:p w14:paraId="1A6A7A4E" w14:textId="77777777" w:rsidR="003E1D81" w:rsidRDefault="00EB481C">
            <w:pPr>
              <w:pStyle w:val="P68B1DB1-Normal13"/>
              <w:spacing w:after="0"/>
              <w:jc w:val="center"/>
              <w:rPr>
                <w:rFonts w:eastAsia="Times New Roman" w:cs="Times New Roman"/>
                <w:noProof/>
              </w:rPr>
            </w:pPr>
            <w:r>
              <w:rPr>
                <w:noProof/>
              </w:rPr>
              <w:t>412</w:t>
            </w:r>
          </w:p>
        </w:tc>
        <w:tc>
          <w:tcPr>
            <w:tcW w:w="851" w:type="dxa"/>
            <w:shd w:val="clear" w:color="auto" w:fill="C6EFCE"/>
            <w:noWrap/>
          </w:tcPr>
          <w:p w14:paraId="01E2C34E" w14:textId="77777777" w:rsidR="003E1D81" w:rsidRDefault="00EB481C">
            <w:pPr>
              <w:pStyle w:val="P68B1DB1-Normal13"/>
              <w:spacing w:after="0"/>
              <w:jc w:val="center"/>
              <w:rPr>
                <w:rFonts w:eastAsia="Times New Roman" w:cs="Times New Roman"/>
                <w:noProof/>
              </w:rPr>
            </w:pPr>
            <w:r>
              <w:rPr>
                <w:noProof/>
              </w:rPr>
              <w:t>C30.R4</w:t>
            </w:r>
          </w:p>
        </w:tc>
        <w:tc>
          <w:tcPr>
            <w:tcW w:w="850" w:type="dxa"/>
            <w:shd w:val="clear" w:color="auto" w:fill="C6EFCE"/>
            <w:noWrap/>
          </w:tcPr>
          <w:p w14:paraId="736B26F4" w14:textId="77777777" w:rsidR="003E1D81" w:rsidRDefault="00EB481C">
            <w:pPr>
              <w:pStyle w:val="P68B1DB1-Normal13"/>
              <w:spacing w:after="0"/>
              <w:jc w:val="center"/>
              <w:rPr>
                <w:rFonts w:eastAsia="Times New Roman" w:cs="Times New Roman"/>
                <w:noProof/>
              </w:rPr>
            </w:pPr>
            <w:r>
              <w:rPr>
                <w:noProof/>
              </w:rPr>
              <w:t>M</w:t>
            </w:r>
          </w:p>
        </w:tc>
        <w:tc>
          <w:tcPr>
            <w:tcW w:w="2552" w:type="dxa"/>
            <w:shd w:val="clear" w:color="auto" w:fill="C6EFCE"/>
            <w:noWrap/>
          </w:tcPr>
          <w:p w14:paraId="70C25181" w14:textId="77777777" w:rsidR="003E1D81" w:rsidRDefault="00EB481C">
            <w:pPr>
              <w:pStyle w:val="P68B1DB1-Normal13"/>
              <w:spacing w:after="0"/>
              <w:rPr>
                <w:rFonts w:eastAsia="Times New Roman" w:cs="Times New Roman"/>
                <w:noProof/>
              </w:rPr>
            </w:pPr>
            <w:r>
              <w:rPr>
                <w:noProof/>
              </w:rPr>
              <w:t>Az anyasági többletkövetelmények egyszerűsítése</w:t>
            </w:r>
          </w:p>
        </w:tc>
        <w:tc>
          <w:tcPr>
            <w:tcW w:w="992" w:type="dxa"/>
            <w:shd w:val="clear" w:color="auto" w:fill="C6EFCE"/>
            <w:noWrap/>
          </w:tcPr>
          <w:p w14:paraId="69BDC429" w14:textId="77777777" w:rsidR="003E1D81" w:rsidRDefault="00EB481C">
            <w:pPr>
              <w:pStyle w:val="P68B1DB1-Normal13"/>
              <w:spacing w:after="0"/>
              <w:jc w:val="center"/>
              <w:rPr>
                <w:rFonts w:eastAsia="Times New Roman" w:cs="Times New Roman"/>
                <w:noProof/>
              </w:rPr>
            </w:pPr>
            <w:r>
              <w:rPr>
                <w:noProof/>
              </w:rPr>
              <w:t xml:space="preserve">Az RDL hatályba lépését jelző rendelkezés </w:t>
            </w:r>
          </w:p>
        </w:tc>
        <w:tc>
          <w:tcPr>
            <w:tcW w:w="567" w:type="dxa"/>
            <w:shd w:val="clear" w:color="auto" w:fill="C6EFCE"/>
            <w:noWrap/>
          </w:tcPr>
          <w:p w14:paraId="301B544D" w14:textId="77777777" w:rsidR="003E1D81" w:rsidRDefault="00EB481C">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237DEE08" w14:textId="77777777" w:rsidR="003E1D81" w:rsidRDefault="00EB481C">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31217D80" w14:textId="77777777" w:rsidR="003E1D81" w:rsidRDefault="00EB481C">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6CD8741C" w14:textId="77777777" w:rsidR="003E1D81" w:rsidRDefault="00EB481C">
            <w:pPr>
              <w:pStyle w:val="P68B1DB1-Normal13"/>
              <w:spacing w:after="0"/>
              <w:jc w:val="center"/>
              <w:rPr>
                <w:rFonts w:eastAsia="Times New Roman" w:cs="Times New Roman"/>
                <w:noProof/>
              </w:rPr>
            </w:pPr>
            <w:r>
              <w:rPr>
                <w:noProof/>
              </w:rPr>
              <w:t>NEGYEDÉV</w:t>
            </w:r>
          </w:p>
        </w:tc>
        <w:tc>
          <w:tcPr>
            <w:tcW w:w="567" w:type="dxa"/>
            <w:shd w:val="clear" w:color="auto" w:fill="C6EFCE"/>
            <w:noWrap/>
          </w:tcPr>
          <w:p w14:paraId="46EB437E" w14:textId="77777777" w:rsidR="003E1D81" w:rsidRDefault="00EB481C">
            <w:pPr>
              <w:pStyle w:val="P68B1DB1-Normal13"/>
              <w:spacing w:after="0"/>
              <w:jc w:val="center"/>
              <w:rPr>
                <w:rFonts w:eastAsia="Times New Roman" w:cs="Times New Roman"/>
                <w:noProof/>
              </w:rPr>
            </w:pPr>
            <w:r>
              <w:rPr>
                <w:noProof/>
              </w:rPr>
              <w:t>2021</w:t>
            </w:r>
          </w:p>
        </w:tc>
        <w:tc>
          <w:tcPr>
            <w:tcW w:w="6804" w:type="dxa"/>
            <w:shd w:val="clear" w:color="auto" w:fill="C6EFCE"/>
            <w:noWrap/>
          </w:tcPr>
          <w:p w14:paraId="4A891336" w14:textId="77777777" w:rsidR="003E1D81" w:rsidRDefault="00EB481C">
            <w:pPr>
              <w:pStyle w:val="P68B1DB1-Normal13"/>
              <w:spacing w:after="0"/>
              <w:rPr>
                <w:rFonts w:eastAsia="Times New Roman" w:cs="Times New Roman"/>
                <w:noProof/>
              </w:rPr>
            </w:pPr>
            <w:r>
              <w:rPr>
                <w:noProof/>
              </w:rPr>
              <w:t>Az anyasági többletkövetelmények egyszerűsítéséről szóló, 2021. február 3-i</w:t>
            </w:r>
            <w:r>
              <w:rPr>
                <w:noProof/>
              </w:rPr>
              <w:t xml:space="preserve"> 3/2021. sz. királyi törvényerejű rendelet hatálybalépése. Az Európai Bíróság 2019. december 12-i ítéletének való megfelelés érdekében a nyugdíjtöbbleteket észszerűsíteni kell, és a nemek közötti szakadék csökkentésére kell összpontosítani. Rögzített össze</w:t>
            </w:r>
            <w:r>
              <w:rPr>
                <w:noProof/>
              </w:rPr>
              <w:t>gű fizetést kell bevezetni azon szülők számára, akiknek a szakmai élete közvetlenül a leszármazást követően megváltozott.</w:t>
            </w:r>
          </w:p>
        </w:tc>
      </w:tr>
      <w:tr w:rsidR="003E1D81" w14:paraId="571DC049" w14:textId="77777777">
        <w:trPr>
          <w:trHeight w:val="309"/>
        </w:trPr>
        <w:tc>
          <w:tcPr>
            <w:tcW w:w="709" w:type="dxa"/>
            <w:shd w:val="clear" w:color="auto" w:fill="C6EFCE"/>
            <w:noWrap/>
          </w:tcPr>
          <w:p w14:paraId="74886244" w14:textId="77777777" w:rsidR="003E1D81" w:rsidRDefault="00EB481C">
            <w:pPr>
              <w:pStyle w:val="P68B1DB1-Normal13"/>
              <w:spacing w:after="0"/>
              <w:jc w:val="center"/>
              <w:rPr>
                <w:rFonts w:eastAsia="Times New Roman" w:cs="Times New Roman"/>
                <w:noProof/>
              </w:rPr>
            </w:pPr>
            <w:r>
              <w:rPr>
                <w:noProof/>
              </w:rPr>
              <w:t>413</w:t>
            </w:r>
          </w:p>
        </w:tc>
        <w:tc>
          <w:tcPr>
            <w:tcW w:w="851" w:type="dxa"/>
            <w:shd w:val="clear" w:color="auto" w:fill="C6EFCE"/>
            <w:noWrap/>
          </w:tcPr>
          <w:p w14:paraId="2F2EC24A" w14:textId="77777777" w:rsidR="003E1D81" w:rsidRDefault="00EB481C">
            <w:pPr>
              <w:pStyle w:val="P68B1DB1-Normal13"/>
              <w:spacing w:after="0"/>
              <w:jc w:val="center"/>
              <w:rPr>
                <w:rFonts w:eastAsia="Times New Roman" w:cs="Times New Roman"/>
                <w:noProof/>
              </w:rPr>
            </w:pPr>
            <w:r>
              <w:rPr>
                <w:noProof/>
              </w:rPr>
              <w:t>C30.R5</w:t>
            </w:r>
          </w:p>
        </w:tc>
        <w:tc>
          <w:tcPr>
            <w:tcW w:w="850" w:type="dxa"/>
            <w:shd w:val="clear" w:color="auto" w:fill="C6EFCE"/>
            <w:noWrap/>
          </w:tcPr>
          <w:p w14:paraId="2FE066D4" w14:textId="77777777" w:rsidR="003E1D81" w:rsidRDefault="00EB481C">
            <w:pPr>
              <w:pStyle w:val="P68B1DB1-Normal13"/>
              <w:spacing w:after="0"/>
              <w:jc w:val="center"/>
              <w:rPr>
                <w:rFonts w:eastAsia="Times New Roman" w:cs="Times New Roman"/>
                <w:noProof/>
              </w:rPr>
            </w:pPr>
            <w:r>
              <w:rPr>
                <w:noProof/>
              </w:rPr>
              <w:t>M</w:t>
            </w:r>
          </w:p>
        </w:tc>
        <w:tc>
          <w:tcPr>
            <w:tcW w:w="2552" w:type="dxa"/>
            <w:shd w:val="clear" w:color="auto" w:fill="C6EFCE"/>
            <w:noWrap/>
          </w:tcPr>
          <w:p w14:paraId="4ED5939A" w14:textId="6CF1DE84" w:rsidR="003E1D81" w:rsidRDefault="00EB481C">
            <w:pPr>
              <w:pStyle w:val="P68B1DB1-Normal13"/>
              <w:spacing w:after="0"/>
              <w:rPr>
                <w:rFonts w:eastAsia="Times New Roman" w:cs="Times New Roman"/>
                <w:noProof/>
              </w:rPr>
            </w:pPr>
            <w:r>
              <w:rPr>
                <w:noProof/>
              </w:rPr>
              <w:t>A jelenlegi kiegészítő nyugdíjrendszerhez kapcsolódó adókedvezmények felülvizsgálata</w:t>
            </w:r>
          </w:p>
        </w:tc>
        <w:tc>
          <w:tcPr>
            <w:tcW w:w="992" w:type="dxa"/>
            <w:shd w:val="clear" w:color="auto" w:fill="C6EFCE"/>
            <w:noWrap/>
          </w:tcPr>
          <w:p w14:paraId="728C6ACF" w14:textId="77777777" w:rsidR="003E1D81" w:rsidRDefault="00EB481C">
            <w:pPr>
              <w:pStyle w:val="P68B1DB1-Normal13"/>
              <w:spacing w:after="0"/>
              <w:jc w:val="center"/>
              <w:rPr>
                <w:rFonts w:eastAsia="Times New Roman" w:cs="Times New Roman"/>
                <w:noProof/>
              </w:rPr>
            </w:pPr>
            <w:r>
              <w:rPr>
                <w:noProof/>
              </w:rPr>
              <w:t xml:space="preserve">A 11. záró rendelkezés és a 62. cikk hatálybalépését jelző törvényi rendelkezés </w:t>
            </w:r>
          </w:p>
        </w:tc>
        <w:tc>
          <w:tcPr>
            <w:tcW w:w="567" w:type="dxa"/>
            <w:shd w:val="clear" w:color="auto" w:fill="C6EFCE"/>
            <w:noWrap/>
          </w:tcPr>
          <w:p w14:paraId="0FEA8EAC" w14:textId="77777777" w:rsidR="003E1D81" w:rsidRDefault="00EB481C">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34701F8C" w14:textId="77777777" w:rsidR="003E1D81" w:rsidRDefault="00EB481C">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4C770724" w14:textId="77777777" w:rsidR="003E1D81" w:rsidRDefault="00EB481C">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0D59BC49" w14:textId="77777777" w:rsidR="003E1D81" w:rsidRDefault="00EB481C">
            <w:pPr>
              <w:pStyle w:val="P68B1DB1-Normal13"/>
              <w:spacing w:after="0"/>
              <w:jc w:val="center"/>
              <w:rPr>
                <w:rFonts w:eastAsia="Times New Roman" w:cs="Times New Roman"/>
                <w:noProof/>
              </w:rPr>
            </w:pPr>
            <w:r>
              <w:rPr>
                <w:noProof/>
              </w:rPr>
              <w:t>NEGYEDÉV</w:t>
            </w:r>
          </w:p>
        </w:tc>
        <w:tc>
          <w:tcPr>
            <w:tcW w:w="567" w:type="dxa"/>
            <w:shd w:val="clear" w:color="auto" w:fill="C6EFCE"/>
            <w:noWrap/>
          </w:tcPr>
          <w:p w14:paraId="4698E595" w14:textId="77777777" w:rsidR="003E1D81" w:rsidRDefault="00EB481C">
            <w:pPr>
              <w:pStyle w:val="P68B1DB1-Normal13"/>
              <w:spacing w:after="0"/>
              <w:jc w:val="center"/>
              <w:rPr>
                <w:rFonts w:eastAsia="Times New Roman" w:cs="Times New Roman"/>
                <w:noProof/>
              </w:rPr>
            </w:pPr>
            <w:r>
              <w:rPr>
                <w:noProof/>
              </w:rPr>
              <w:t>2020</w:t>
            </w:r>
          </w:p>
        </w:tc>
        <w:tc>
          <w:tcPr>
            <w:tcW w:w="6804" w:type="dxa"/>
            <w:shd w:val="clear" w:color="auto" w:fill="C6EFCE"/>
            <w:noWrap/>
          </w:tcPr>
          <w:p w14:paraId="72AC4D48" w14:textId="77777777" w:rsidR="003E1D81" w:rsidRDefault="00EB481C">
            <w:pPr>
              <w:pStyle w:val="P68B1DB1-Normal13"/>
              <w:spacing w:after="0"/>
              <w:rPr>
                <w:rFonts w:eastAsia="Times New Roman" w:cs="Times New Roman"/>
                <w:noProof/>
              </w:rPr>
            </w:pPr>
            <w:r>
              <w:rPr>
                <w:noProof/>
              </w:rPr>
              <w:t>A 2021. évi általános állami költségvetésről szóló 11/2020. sz. törvény hatálybalépése a jelenlegi kiegészítő nyugdíjrendszerhez kapcsolódó adókedvezmények</w:t>
            </w:r>
            <w:r>
              <w:rPr>
                <w:noProof/>
              </w:rPr>
              <w:t xml:space="preserve"> felülvizsgálatáról. Az adókedvezményekhez való jog átszáll az egyéni magánnyugdíjpénztárakról a kollektív munkaszerződésen alapuló foglalkoztatói nyugdíjrendszerekre. A költségvetési törvénynek az új keret bevezetésére vonatkozó releváns rendelkezései az </w:t>
            </w:r>
            <w:r>
              <w:rPr>
                <w:noProof/>
              </w:rPr>
              <w:t>LPGE 11. végleges rendelkezése és a 62. cikk.</w:t>
            </w:r>
          </w:p>
        </w:tc>
      </w:tr>
      <w:tr w:rsidR="003E1D81" w14:paraId="3E04544D" w14:textId="77777777">
        <w:trPr>
          <w:trHeight w:val="309"/>
        </w:trPr>
        <w:tc>
          <w:tcPr>
            <w:tcW w:w="709" w:type="dxa"/>
            <w:shd w:val="clear" w:color="auto" w:fill="C6EFCE"/>
            <w:noWrap/>
          </w:tcPr>
          <w:p w14:paraId="2B66978C" w14:textId="77777777" w:rsidR="003E1D81" w:rsidRDefault="00EB481C">
            <w:pPr>
              <w:pStyle w:val="P68B1DB1-Normal13"/>
              <w:spacing w:after="0"/>
              <w:jc w:val="center"/>
              <w:rPr>
                <w:rFonts w:eastAsia="Times New Roman" w:cs="Times New Roman"/>
                <w:noProof/>
              </w:rPr>
            </w:pPr>
            <w:r>
              <w:rPr>
                <w:noProof/>
              </w:rPr>
              <w:t>414</w:t>
            </w:r>
          </w:p>
        </w:tc>
        <w:tc>
          <w:tcPr>
            <w:tcW w:w="851" w:type="dxa"/>
            <w:shd w:val="clear" w:color="auto" w:fill="C6EFCE"/>
            <w:noWrap/>
          </w:tcPr>
          <w:p w14:paraId="19D0A656" w14:textId="77777777" w:rsidR="003E1D81" w:rsidRDefault="00EB481C">
            <w:pPr>
              <w:pStyle w:val="P68B1DB1-Normal13"/>
              <w:spacing w:after="0"/>
              <w:jc w:val="center"/>
              <w:rPr>
                <w:rFonts w:eastAsia="Times New Roman" w:cs="Times New Roman"/>
                <w:noProof/>
              </w:rPr>
            </w:pPr>
            <w:r>
              <w:rPr>
                <w:noProof/>
              </w:rPr>
              <w:t>C30.R5</w:t>
            </w:r>
          </w:p>
        </w:tc>
        <w:tc>
          <w:tcPr>
            <w:tcW w:w="850" w:type="dxa"/>
            <w:shd w:val="clear" w:color="auto" w:fill="C6EFCE"/>
            <w:noWrap/>
          </w:tcPr>
          <w:p w14:paraId="7489E7DD" w14:textId="77777777" w:rsidR="003E1D81" w:rsidRDefault="00EB481C">
            <w:pPr>
              <w:pStyle w:val="P68B1DB1-Normal13"/>
              <w:spacing w:after="0"/>
              <w:jc w:val="center"/>
              <w:rPr>
                <w:rFonts w:eastAsia="Times New Roman" w:cs="Times New Roman"/>
                <w:noProof/>
              </w:rPr>
            </w:pPr>
            <w:r>
              <w:rPr>
                <w:noProof/>
              </w:rPr>
              <w:t>M</w:t>
            </w:r>
          </w:p>
        </w:tc>
        <w:tc>
          <w:tcPr>
            <w:tcW w:w="2552" w:type="dxa"/>
            <w:shd w:val="clear" w:color="auto" w:fill="C6EFCE"/>
            <w:noWrap/>
          </w:tcPr>
          <w:p w14:paraId="6990F315" w14:textId="77777777" w:rsidR="003E1D81" w:rsidRDefault="00EB481C">
            <w:pPr>
              <w:pStyle w:val="P68B1DB1-Normal13"/>
              <w:spacing w:after="0"/>
              <w:rPr>
                <w:rFonts w:eastAsia="Times New Roman" w:cs="Times New Roman"/>
                <w:noProof/>
              </w:rPr>
            </w:pPr>
            <w:r>
              <w:rPr>
                <w:noProof/>
              </w:rPr>
              <w:t>A jelenlegi kiegészítő nyugdíjrendszer felülvizsgálata</w:t>
            </w:r>
          </w:p>
        </w:tc>
        <w:tc>
          <w:tcPr>
            <w:tcW w:w="992" w:type="dxa"/>
            <w:shd w:val="clear" w:color="auto" w:fill="C6EFCE"/>
            <w:noWrap/>
          </w:tcPr>
          <w:p w14:paraId="78CA58BF" w14:textId="77777777" w:rsidR="003E1D81" w:rsidRDefault="00EB481C">
            <w:pPr>
              <w:pStyle w:val="P68B1DB1-Normal13"/>
              <w:spacing w:after="0"/>
              <w:jc w:val="center"/>
              <w:rPr>
                <w:rFonts w:eastAsia="Times New Roman" w:cs="Times New Roman"/>
                <w:noProof/>
              </w:rPr>
            </w:pPr>
            <w:r>
              <w:rPr>
                <w:noProof/>
              </w:rPr>
              <w:t xml:space="preserve">A jogszabály hatálybalépését jelző rendelkezés </w:t>
            </w:r>
          </w:p>
        </w:tc>
        <w:tc>
          <w:tcPr>
            <w:tcW w:w="567" w:type="dxa"/>
            <w:shd w:val="clear" w:color="auto" w:fill="C6EFCE"/>
            <w:noWrap/>
          </w:tcPr>
          <w:p w14:paraId="05BB9BB7" w14:textId="77777777" w:rsidR="003E1D81" w:rsidRDefault="00EB481C">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09516691" w14:textId="77777777" w:rsidR="003E1D81" w:rsidRDefault="00EB481C">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12D88D2A" w14:textId="77777777" w:rsidR="003E1D81" w:rsidRDefault="00EB481C">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18AC387C" w14:textId="77777777" w:rsidR="003E1D81" w:rsidRDefault="00EB481C">
            <w:pPr>
              <w:pStyle w:val="P68B1DB1-Normal13"/>
              <w:spacing w:after="0"/>
              <w:jc w:val="center"/>
              <w:rPr>
                <w:rFonts w:eastAsia="Times New Roman" w:cs="Times New Roman"/>
                <w:noProof/>
              </w:rPr>
            </w:pPr>
            <w:r>
              <w:rPr>
                <w:noProof/>
              </w:rPr>
              <w:t>KÉRDÉS</w:t>
            </w:r>
          </w:p>
        </w:tc>
        <w:tc>
          <w:tcPr>
            <w:tcW w:w="567" w:type="dxa"/>
            <w:shd w:val="clear" w:color="auto" w:fill="C6EFCE"/>
            <w:noWrap/>
          </w:tcPr>
          <w:p w14:paraId="21FFB7AD" w14:textId="77777777" w:rsidR="003E1D81" w:rsidRDefault="00EB481C">
            <w:pPr>
              <w:pStyle w:val="P68B1DB1-Normal13"/>
              <w:spacing w:after="0"/>
              <w:jc w:val="center"/>
              <w:rPr>
                <w:rFonts w:eastAsia="Times New Roman" w:cs="Times New Roman"/>
                <w:noProof/>
              </w:rPr>
            </w:pPr>
            <w:r>
              <w:rPr>
                <w:noProof/>
              </w:rPr>
              <w:t>2022</w:t>
            </w:r>
          </w:p>
        </w:tc>
        <w:tc>
          <w:tcPr>
            <w:tcW w:w="6804" w:type="dxa"/>
            <w:shd w:val="clear" w:color="auto" w:fill="C6EFCE"/>
            <w:noWrap/>
          </w:tcPr>
          <w:p w14:paraId="6A363E63" w14:textId="77777777" w:rsidR="003E1D81" w:rsidRDefault="00EB481C">
            <w:pPr>
              <w:pStyle w:val="P68B1DB1-Normal13"/>
              <w:spacing w:after="0"/>
              <w:rPr>
                <w:rFonts w:eastAsia="Times New Roman" w:cs="Times New Roman"/>
                <w:noProof/>
              </w:rPr>
            </w:pPr>
            <w:r>
              <w:rPr>
                <w:noProof/>
              </w:rPr>
              <w:t xml:space="preserve">Hatályba lép a jelenlegi kiegészítő nyugdíjrendszer felülvizsgálatára </w:t>
            </w:r>
            <w:r>
              <w:rPr>
                <w:noProof/>
              </w:rPr>
              <w:t>vonatkozó jogszabály, amelynek célja a nyugdíjrendszerek előmozdítása a valamennyi vállalat és munkavállaló számára nyitott nyugdíjalapok közigazgatás általi létrehozása révén.</w:t>
            </w:r>
          </w:p>
        </w:tc>
      </w:tr>
      <w:tr w:rsidR="003E1D81" w14:paraId="46E1F473" w14:textId="77777777">
        <w:trPr>
          <w:trHeight w:val="309"/>
        </w:trPr>
        <w:tc>
          <w:tcPr>
            <w:tcW w:w="709" w:type="dxa"/>
            <w:shd w:val="clear" w:color="auto" w:fill="C6EFCE"/>
            <w:noWrap/>
          </w:tcPr>
          <w:p w14:paraId="4722DCDF" w14:textId="77777777" w:rsidR="003E1D81" w:rsidRDefault="00EB481C">
            <w:pPr>
              <w:pStyle w:val="P68B1DB1-Normal13"/>
              <w:spacing w:after="0"/>
              <w:jc w:val="center"/>
              <w:rPr>
                <w:rFonts w:eastAsia="Times New Roman" w:cs="Times New Roman"/>
                <w:noProof/>
              </w:rPr>
            </w:pPr>
            <w:r>
              <w:rPr>
                <w:noProof/>
              </w:rPr>
              <w:t>415</w:t>
            </w:r>
          </w:p>
        </w:tc>
        <w:tc>
          <w:tcPr>
            <w:tcW w:w="851" w:type="dxa"/>
            <w:shd w:val="clear" w:color="auto" w:fill="C6EFCE"/>
            <w:noWrap/>
          </w:tcPr>
          <w:p w14:paraId="1F803B1E" w14:textId="77777777" w:rsidR="003E1D81" w:rsidRDefault="00EB481C">
            <w:pPr>
              <w:pStyle w:val="P68B1DB1-Normal13"/>
              <w:spacing w:after="0"/>
              <w:jc w:val="center"/>
              <w:rPr>
                <w:rFonts w:eastAsia="Times New Roman" w:cs="Times New Roman"/>
                <w:noProof/>
              </w:rPr>
            </w:pPr>
            <w:r>
              <w:rPr>
                <w:noProof/>
              </w:rPr>
              <w:t>C30.R6</w:t>
            </w:r>
          </w:p>
        </w:tc>
        <w:tc>
          <w:tcPr>
            <w:tcW w:w="850" w:type="dxa"/>
            <w:shd w:val="clear" w:color="auto" w:fill="C6EFCE"/>
            <w:noWrap/>
          </w:tcPr>
          <w:p w14:paraId="1568BB27" w14:textId="77777777" w:rsidR="003E1D81" w:rsidRDefault="00EB481C">
            <w:pPr>
              <w:pStyle w:val="P68B1DB1-Normal13"/>
              <w:spacing w:after="0"/>
              <w:jc w:val="center"/>
              <w:rPr>
                <w:rFonts w:eastAsia="Times New Roman" w:cs="Times New Roman"/>
                <w:noProof/>
              </w:rPr>
            </w:pPr>
            <w:r>
              <w:rPr>
                <w:noProof/>
              </w:rPr>
              <w:t>M</w:t>
            </w:r>
          </w:p>
        </w:tc>
        <w:tc>
          <w:tcPr>
            <w:tcW w:w="2552" w:type="dxa"/>
            <w:shd w:val="clear" w:color="auto" w:fill="C6EFCE"/>
            <w:noWrap/>
          </w:tcPr>
          <w:p w14:paraId="6DE0850E" w14:textId="77777777" w:rsidR="003E1D81" w:rsidRDefault="00EB481C">
            <w:pPr>
              <w:pStyle w:val="P68B1DB1-Normal13"/>
              <w:spacing w:after="0"/>
              <w:rPr>
                <w:rFonts w:eastAsia="Times New Roman" w:cs="Times New Roman"/>
                <w:noProof/>
              </w:rPr>
            </w:pPr>
            <w:r>
              <w:rPr>
                <w:noProof/>
              </w:rPr>
              <w:t>A maximális hozzájárulási alap kiigazítása</w:t>
            </w:r>
          </w:p>
        </w:tc>
        <w:tc>
          <w:tcPr>
            <w:tcW w:w="992" w:type="dxa"/>
            <w:shd w:val="clear" w:color="auto" w:fill="C6EFCE"/>
            <w:noWrap/>
          </w:tcPr>
          <w:p w14:paraId="595D6BA3" w14:textId="77777777" w:rsidR="003E1D81" w:rsidRDefault="00EB481C">
            <w:pPr>
              <w:pStyle w:val="P68B1DB1-Normal13"/>
              <w:spacing w:after="0"/>
              <w:jc w:val="center"/>
              <w:rPr>
                <w:rFonts w:eastAsia="Times New Roman" w:cs="Times New Roman"/>
                <w:noProof/>
              </w:rPr>
            </w:pPr>
            <w:r>
              <w:rPr>
                <w:noProof/>
              </w:rPr>
              <w:t xml:space="preserve">A jogszabály hatálybalépését jelző rendelkezés </w:t>
            </w:r>
          </w:p>
        </w:tc>
        <w:tc>
          <w:tcPr>
            <w:tcW w:w="567" w:type="dxa"/>
            <w:shd w:val="clear" w:color="auto" w:fill="C6EFCE"/>
            <w:noWrap/>
          </w:tcPr>
          <w:p w14:paraId="6FF7284D" w14:textId="77777777" w:rsidR="003E1D81" w:rsidRDefault="00EB481C">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77D1F4E0" w14:textId="77777777" w:rsidR="003E1D81" w:rsidRDefault="00EB481C">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4CAC2C96" w14:textId="77777777" w:rsidR="003E1D81" w:rsidRDefault="00EB481C">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04375009" w14:textId="77777777" w:rsidR="003E1D81" w:rsidRDefault="00EB481C">
            <w:pPr>
              <w:pStyle w:val="P68B1DB1-Normal13"/>
              <w:spacing w:after="0"/>
              <w:jc w:val="center"/>
              <w:rPr>
                <w:rFonts w:eastAsia="Times New Roman" w:cs="Times New Roman"/>
                <w:noProof/>
              </w:rPr>
            </w:pPr>
            <w:r>
              <w:rPr>
                <w:noProof/>
              </w:rPr>
              <w:t>NEGYEDÉV</w:t>
            </w:r>
          </w:p>
        </w:tc>
        <w:tc>
          <w:tcPr>
            <w:tcW w:w="567" w:type="dxa"/>
            <w:shd w:val="clear" w:color="auto" w:fill="C6EFCE"/>
            <w:noWrap/>
          </w:tcPr>
          <w:p w14:paraId="59061F11" w14:textId="77777777" w:rsidR="003E1D81" w:rsidRDefault="00EB481C">
            <w:pPr>
              <w:pStyle w:val="P68B1DB1-Normal13"/>
              <w:spacing w:after="0"/>
              <w:jc w:val="center"/>
              <w:rPr>
                <w:rFonts w:eastAsia="Times New Roman" w:cs="Times New Roman"/>
                <w:noProof/>
              </w:rPr>
            </w:pPr>
            <w:r>
              <w:rPr>
                <w:noProof/>
              </w:rPr>
              <w:t>2022</w:t>
            </w:r>
          </w:p>
        </w:tc>
        <w:tc>
          <w:tcPr>
            <w:tcW w:w="6804" w:type="dxa"/>
            <w:shd w:val="clear" w:color="auto" w:fill="C6EFCE"/>
            <w:noWrap/>
          </w:tcPr>
          <w:p w14:paraId="5AE2B90C" w14:textId="77777777" w:rsidR="003E1D81" w:rsidRDefault="00EB481C">
            <w:pPr>
              <w:pStyle w:val="P68B1DB1-Normal13"/>
              <w:spacing w:after="0"/>
              <w:rPr>
                <w:rFonts w:eastAsia="Times New Roman" w:cs="Times New Roman"/>
                <w:noProof/>
              </w:rPr>
            </w:pPr>
            <w:r>
              <w:rPr>
                <w:noProof/>
              </w:rPr>
              <w:t>A maximális hozzájárulási alap kiigazítására vonatkozó jogszabály hatálybalépése: a rendszer maximális járulékalapjának fokozatos növelése és a maximális nyugdíjak kiigazítása a járulékala</w:t>
            </w:r>
            <w:r>
              <w:rPr>
                <w:noProof/>
              </w:rPr>
              <w:t>p és a rendszer progresszivitásának kiszélesítése, valamint a teljes bevétel növelése érdekében.</w:t>
            </w:r>
          </w:p>
        </w:tc>
      </w:tr>
    </w:tbl>
    <w:p w14:paraId="656BB99D" w14:textId="77777777" w:rsidR="003E1D81" w:rsidRDefault="003E1D81">
      <w:pPr>
        <w:pStyle w:val="Text1"/>
        <w:ind w:left="0"/>
        <w:rPr>
          <w:rFonts w:ascii="Times New Roman" w:hAnsi="Times New Roman" w:cs="Times New Roman"/>
          <w:noProof/>
        </w:rPr>
        <w:sectPr w:rsidR="003E1D81" w:rsidSect="00C94F66">
          <w:headerReference w:type="even" r:id="rId561"/>
          <w:headerReference w:type="default" r:id="rId562"/>
          <w:footerReference w:type="even" r:id="rId563"/>
          <w:footerReference w:type="default" r:id="rId564"/>
          <w:headerReference w:type="first" r:id="rId565"/>
          <w:footerReference w:type="first" r:id="rId566"/>
          <w:pgSz w:w="16839" w:h="11907" w:orient="landscape"/>
          <w:pgMar w:top="1417" w:right="1134" w:bottom="1417" w:left="1134" w:header="709" w:footer="709" w:gutter="0"/>
          <w:cols w:space="720"/>
          <w:docGrid w:linePitch="360"/>
        </w:sectPr>
      </w:pPr>
    </w:p>
    <w:p w14:paraId="70BCB411" w14:textId="77777777" w:rsidR="003E1D81" w:rsidRDefault="00EB481C">
      <w:pPr>
        <w:pStyle w:val="P68B1DB1-Heading12"/>
        <w:rPr>
          <w:rFonts w:cs="Times New Roman"/>
          <w:noProof/>
        </w:rPr>
      </w:pPr>
      <w:r>
        <w:rPr>
          <w:noProof/>
        </w:rPr>
        <w:t>AE. ÖSSZETEVŐ: REPowerEU-fejezet</w:t>
      </w:r>
    </w:p>
    <w:p w14:paraId="1254EFEE" w14:textId="77777777" w:rsidR="003E1D81" w:rsidRDefault="00EB481C">
      <w:pPr>
        <w:pStyle w:val="Text1"/>
        <w:ind w:left="0"/>
        <w:rPr>
          <w:rStyle w:val="IntenseEmphasis"/>
          <w:rFonts w:ascii="Times New Roman" w:hAnsi="Times New Roman" w:cs="Times New Roman"/>
          <w:i w:val="0"/>
          <w:noProof/>
          <w:color w:val="auto"/>
        </w:rPr>
      </w:pPr>
      <w:r>
        <w:rPr>
          <w:rStyle w:val="IntenseEmphasis"/>
          <w:rFonts w:ascii="Times New Roman" w:hAnsi="Times New Roman"/>
          <w:i w:val="0"/>
          <w:noProof/>
          <w:color w:val="auto"/>
        </w:rPr>
        <w:t>A REPowerEU-fejezet célja a fosszilis tüzelőanyagoktól való általános függés csökkentése és különösen az új villamosenergia-hálózatok és megújulóenergia-projektek engedélyezésének egyszerűsítése, a megújuló energia és a megújuló hidrogén előállításának tám</w:t>
      </w:r>
      <w:r>
        <w:rPr>
          <w:rStyle w:val="IntenseEmphasis"/>
          <w:rFonts w:ascii="Times New Roman" w:hAnsi="Times New Roman"/>
          <w:i w:val="0"/>
          <w:noProof/>
          <w:color w:val="auto"/>
        </w:rPr>
        <w:t xml:space="preserve">ogatása, a megújuló energiaforrások értékláncának javítása és az ipari dekarbonizáció ösztönzése. </w:t>
      </w:r>
    </w:p>
    <w:p w14:paraId="5F854BC2" w14:textId="76DDF745" w:rsidR="003E1D81" w:rsidRDefault="00EB481C">
      <w:pPr>
        <w:pStyle w:val="Text1"/>
        <w:ind w:left="0"/>
        <w:rPr>
          <w:rStyle w:val="IntenseEmphasis"/>
          <w:rFonts w:ascii="Times New Roman" w:hAnsi="Times New Roman" w:cs="Times New Roman"/>
          <w:i w:val="0"/>
          <w:noProof/>
          <w:color w:val="auto"/>
        </w:rPr>
      </w:pPr>
      <w:r>
        <w:rPr>
          <w:rStyle w:val="IntenseEmphasis"/>
          <w:rFonts w:ascii="Times New Roman" w:hAnsi="Times New Roman"/>
          <w:i w:val="0"/>
          <w:noProof/>
          <w:color w:val="auto"/>
        </w:rPr>
        <w:t>A komponens a fosszilis tüzelőanyagoktól való általános függőség 2022-ben és 2023-ban történő csökkentésére vonatkozó országspecifikus ajánlásokkal foglalkozik. A megújuló energia elterjedésének felgyorsítására irányuló intézkedésekkel járul hozzá, különös</w:t>
      </w:r>
      <w:r>
        <w:rPr>
          <w:rStyle w:val="IntenseEmphasis"/>
          <w:rFonts w:ascii="Times New Roman" w:hAnsi="Times New Roman"/>
          <w:i w:val="0"/>
          <w:noProof/>
          <w:color w:val="auto"/>
        </w:rPr>
        <w:t xml:space="preserve"> tekintettel a decentralizált létesítményekre és a saját fogyasztásra, többek között az engedélyezési eljárások további egyszerűsítése és a hálózathoz való hozzáférés javítása révén. Támogatja továbbá a tárolásra, a hálózati infrastruktúrára és a megújuló </w:t>
      </w:r>
      <w:r>
        <w:rPr>
          <w:rStyle w:val="IntenseEmphasis"/>
          <w:rFonts w:ascii="Times New Roman" w:hAnsi="Times New Roman"/>
          <w:i w:val="0"/>
          <w:noProof/>
          <w:color w:val="auto"/>
        </w:rPr>
        <w:t xml:space="preserve">hidrogénre irányuló kiegészítő beruházásokat (a 2022. évi 4. országspecifikus ajánlás és a 2023. évi 3. országspecifikus ajánlás). </w:t>
      </w:r>
    </w:p>
    <w:p w14:paraId="17B84A90" w14:textId="77777777" w:rsidR="003E1D81" w:rsidRDefault="00EB481C">
      <w:pPr>
        <w:pStyle w:val="P68B1DB1-Text119"/>
        <w:ind w:left="0"/>
        <w:rPr>
          <w:rFonts w:cs="Times New Roman"/>
          <w:noProof/>
        </w:rPr>
      </w:pPr>
      <w:r>
        <w:rPr>
          <w:noProof/>
        </w:rPr>
        <w:t>Az ebben a komponensben szereplő egyetlen intézkedés sem okozhat jelentős kárt az (EU) 2020/852 rendelet 17. cikke értelmébe</w:t>
      </w:r>
      <w:r>
        <w:rPr>
          <w:noProof/>
        </w:rPr>
        <w:t>n vett környezeti célkitűzésekben, figyelembe véve a helyreállítási és rezilienciaépítési tervben a DNSH technikai iránymutatással (2021/C58/01) összhangban meghatározott intézkedések és enyhítő lépések leírását.</w:t>
      </w:r>
    </w:p>
    <w:p w14:paraId="14113E2C" w14:textId="77777777" w:rsidR="003E1D81" w:rsidRDefault="00EB481C">
      <w:pPr>
        <w:pStyle w:val="P68B1DB1-Text138"/>
        <w:ind w:left="709"/>
        <w:rPr>
          <w:rFonts w:cs="Times New Roman"/>
          <w:noProof/>
        </w:rPr>
      </w:pPr>
      <w:r>
        <w:rPr>
          <w:noProof/>
        </w:rPr>
        <w:t xml:space="preserve">AE.1. </w:t>
      </w:r>
      <w:r>
        <w:rPr>
          <w:noProof/>
        </w:rPr>
        <w:tab/>
        <w:t>Vissza nem térítendő pénzügyi támoga</w:t>
      </w:r>
      <w:r>
        <w:rPr>
          <w:noProof/>
        </w:rPr>
        <w:t>tás – a reformok és beruházások ismertetése</w:t>
      </w:r>
    </w:p>
    <w:p w14:paraId="748AD8E0" w14:textId="3713CBA6" w:rsidR="003E1D81" w:rsidRDefault="00EB481C">
      <w:pPr>
        <w:pStyle w:val="P68B1DB1-Text120"/>
        <w:ind w:left="0"/>
        <w:rPr>
          <w:rFonts w:cs="Times New Roman"/>
          <w:noProof/>
        </w:rPr>
      </w:pPr>
      <w:r>
        <w:rPr>
          <w:noProof/>
        </w:rPr>
        <w:t>Reform (C31.R1) – A megújulóenergia-termelési projektek és a villamosenergia-hálózati infrastruktúra engedélyezésének javítása</w:t>
      </w:r>
    </w:p>
    <w:p w14:paraId="0DAF00BD" w14:textId="3F3825BF" w:rsidR="003E1D81" w:rsidRDefault="00EB481C">
      <w:pPr>
        <w:pStyle w:val="P68B1DB1-Normal4"/>
        <w:spacing w:before="120" w:after="120" w:line="240" w:lineRule="auto"/>
        <w:jc w:val="both"/>
        <w:rPr>
          <w:rFonts w:cs="Times New Roman"/>
          <w:noProof/>
        </w:rPr>
      </w:pPr>
      <w:r>
        <w:rPr>
          <w:noProof/>
        </w:rPr>
        <w:t>A reform célja kettős. Először is egyszerűsíteni kell a megújulóenergia-termelésre és</w:t>
      </w:r>
      <w:r>
        <w:rPr>
          <w:noProof/>
        </w:rPr>
        <w:t xml:space="preserve"> a villamosenergia-hálózati infrastruktúrára vonatkozó engedélyezési eljárásokat, másodszor pedig egyszerűsíteni kell az engedélykérelmek feldolgozását. Ami az első célkitűzést illeti, a reform a megújulóenergia-projektekre és a villamosenergia-hálózat inf</w:t>
      </w:r>
      <w:r>
        <w:rPr>
          <w:noProof/>
        </w:rPr>
        <w:t>rastruktúrájára vonatkozó eljárásokat egyszerűsítő jogszabályokból áll. E tekintetben a reformnak a következő elemeket kell tartalmaznia:</w:t>
      </w:r>
    </w:p>
    <w:p w14:paraId="0DBC13C7" w14:textId="77777777" w:rsidR="003E1D81" w:rsidRDefault="00EB481C">
      <w:pPr>
        <w:pStyle w:val="P68B1DB1-ListParagraph7"/>
        <w:numPr>
          <w:ilvl w:val="0"/>
          <w:numId w:val="643"/>
        </w:numPr>
        <w:spacing w:before="120" w:after="120" w:line="240" w:lineRule="auto"/>
        <w:jc w:val="both"/>
        <w:rPr>
          <w:rFonts w:cs="Times New Roman"/>
          <w:noProof/>
        </w:rPr>
      </w:pPr>
      <w:r>
        <w:rPr>
          <w:noProof/>
        </w:rPr>
        <w:t>a projektek bizonyos kategóriáira vonatkozó eljárások egyszerűsítése, beleértve a környezeti hatásvizsgálatot és az en</w:t>
      </w:r>
      <w:r>
        <w:rPr>
          <w:noProof/>
        </w:rPr>
        <w:t>gedélyezési eljárást;</w:t>
      </w:r>
    </w:p>
    <w:p w14:paraId="034F66DA" w14:textId="77777777" w:rsidR="003E1D81" w:rsidRDefault="00EB481C">
      <w:pPr>
        <w:pStyle w:val="P68B1DB1-ListParagraph7"/>
        <w:numPr>
          <w:ilvl w:val="0"/>
          <w:numId w:val="643"/>
        </w:numPr>
        <w:spacing w:before="120" w:after="120" w:line="240" w:lineRule="auto"/>
        <w:jc w:val="both"/>
        <w:rPr>
          <w:rFonts w:cs="Times New Roman"/>
          <w:noProof/>
        </w:rPr>
      </w:pPr>
      <w:r>
        <w:rPr>
          <w:noProof/>
        </w:rPr>
        <w:t>bizonyos projektek adminisztratív terheinek tisztázása és csökkentése a megújuló gázok gázhálózatba történő betáplálása tekintetében;</w:t>
      </w:r>
    </w:p>
    <w:p w14:paraId="18297D75" w14:textId="77777777" w:rsidR="003E1D81" w:rsidRDefault="00EB481C">
      <w:pPr>
        <w:pStyle w:val="P68B1DB1-ListParagraph7"/>
        <w:numPr>
          <w:ilvl w:val="0"/>
          <w:numId w:val="643"/>
        </w:numPr>
        <w:spacing w:before="120" w:after="120" w:line="240" w:lineRule="auto"/>
        <w:jc w:val="both"/>
        <w:rPr>
          <w:rFonts w:cs="Times New Roman"/>
          <w:noProof/>
        </w:rPr>
      </w:pPr>
      <w:r>
        <w:rPr>
          <w:noProof/>
        </w:rPr>
        <w:t>Határidőt állapít meg, ameddig a CNMC-nek jelentést kell kiadnia az új megújulóenergia-projektek eng</w:t>
      </w:r>
      <w:r>
        <w:rPr>
          <w:noProof/>
        </w:rPr>
        <w:t>edélyezéséről;</w:t>
      </w:r>
    </w:p>
    <w:p w14:paraId="0ABEB731" w14:textId="77777777" w:rsidR="003E1D81" w:rsidRDefault="00EB481C">
      <w:pPr>
        <w:pStyle w:val="P68B1DB1-ListParagraph7"/>
        <w:numPr>
          <w:ilvl w:val="0"/>
          <w:numId w:val="643"/>
        </w:numPr>
        <w:spacing w:before="120" w:after="120" w:line="240" w:lineRule="auto"/>
        <w:jc w:val="both"/>
        <w:rPr>
          <w:rFonts w:cs="Times New Roman"/>
          <w:noProof/>
        </w:rPr>
      </w:pPr>
      <w:r>
        <w:rPr>
          <w:noProof/>
        </w:rPr>
        <w:t>A saját fogyasztás bevezetésére vonatkozó korlátozások megszüntetése és engedélyezési eljárásaik egyszerűsítése;</w:t>
      </w:r>
    </w:p>
    <w:p w14:paraId="51869A6E" w14:textId="77777777" w:rsidR="003E1D81" w:rsidRDefault="00EB481C">
      <w:pPr>
        <w:pStyle w:val="P68B1DB1-ListParagraph7"/>
        <w:numPr>
          <w:ilvl w:val="0"/>
          <w:numId w:val="643"/>
        </w:numPr>
        <w:spacing w:before="120" w:after="120" w:line="240" w:lineRule="auto"/>
        <w:jc w:val="both"/>
        <w:rPr>
          <w:rFonts w:cs="Times New Roman"/>
          <w:noProof/>
        </w:rPr>
      </w:pPr>
      <w:r>
        <w:rPr>
          <w:noProof/>
        </w:rPr>
        <w:t>A hálózati kapacitás elosztásának javítása.</w:t>
      </w:r>
    </w:p>
    <w:p w14:paraId="33DF60AD" w14:textId="77777777" w:rsidR="003E1D81" w:rsidRDefault="00EB481C">
      <w:pPr>
        <w:pStyle w:val="P68B1DB1-Normal4"/>
        <w:spacing w:before="120" w:after="120" w:line="240" w:lineRule="auto"/>
        <w:jc w:val="both"/>
        <w:rPr>
          <w:rFonts w:cs="Times New Roman"/>
          <w:noProof/>
        </w:rPr>
      </w:pPr>
      <w:r>
        <w:rPr>
          <w:noProof/>
        </w:rPr>
        <w:t>Ami a második célkitűzést illeti, a reform magában foglalja a központi közigazgatáso</w:t>
      </w:r>
      <w:r>
        <w:rPr>
          <w:noProof/>
        </w:rPr>
        <w:t>n belül egy új igazgatási egység létrehozását a megújulóenergia-projektekre vonatkozó engedélykérelmek feldolgozásának támogatására.</w:t>
      </w:r>
    </w:p>
    <w:p w14:paraId="1B8CAA36" w14:textId="77777777" w:rsidR="003E1D81" w:rsidRDefault="00EB481C">
      <w:pPr>
        <w:pStyle w:val="P68B1DB1-Normal4"/>
        <w:spacing w:before="120" w:after="120" w:line="240" w:lineRule="auto"/>
        <w:jc w:val="both"/>
        <w:rPr>
          <w:rFonts w:cs="Times New Roman"/>
          <w:noProof/>
        </w:rPr>
      </w:pPr>
      <w:r>
        <w:rPr>
          <w:noProof/>
        </w:rPr>
        <w:t>Az intézkedés végrehajtását 2023. szeptember 30-ig be kell fejezni.</w:t>
      </w:r>
    </w:p>
    <w:p w14:paraId="7E6A9987" w14:textId="77777777" w:rsidR="003E1D81" w:rsidRDefault="003E1D81">
      <w:pPr>
        <w:spacing w:before="120" w:after="120" w:line="240" w:lineRule="auto"/>
        <w:jc w:val="both"/>
        <w:rPr>
          <w:rFonts w:ascii="Times New Roman" w:hAnsi="Times New Roman" w:cs="Times New Roman"/>
          <w:noProof/>
          <w:sz w:val="24"/>
        </w:rPr>
      </w:pPr>
    </w:p>
    <w:p w14:paraId="5A90CDEC" w14:textId="77777777" w:rsidR="003E1D81" w:rsidRDefault="00EB481C">
      <w:pPr>
        <w:pStyle w:val="P68B1DB1-Text120"/>
        <w:keepNext/>
        <w:keepLines/>
        <w:ind w:left="0"/>
        <w:rPr>
          <w:rFonts w:cs="Times New Roman"/>
          <w:noProof/>
        </w:rPr>
      </w:pPr>
      <w:r>
        <w:rPr>
          <w:noProof/>
        </w:rPr>
        <w:t xml:space="preserve">Beruházás (C31.I1) – A saját fogyasztást előmozdító </w:t>
      </w:r>
      <w:r>
        <w:rPr>
          <w:noProof/>
        </w:rPr>
        <w:t>beruházások (megújuló energia és fogyasztásmérő nélküli tárolás alapján) és energiaközösségek</w:t>
      </w:r>
    </w:p>
    <w:p w14:paraId="0038B692" w14:textId="77777777" w:rsidR="003E1D81" w:rsidRDefault="00EB481C">
      <w:pPr>
        <w:pStyle w:val="P68B1DB1-Normal4"/>
        <w:keepNext/>
        <w:keepLines/>
        <w:spacing w:before="120" w:after="120" w:line="240" w:lineRule="auto"/>
        <w:jc w:val="both"/>
        <w:rPr>
          <w:rFonts w:cs="Times New Roman"/>
          <w:noProof/>
        </w:rPr>
      </w:pPr>
      <w:r>
        <w:rPr>
          <w:noProof/>
        </w:rPr>
        <w:t>Ez a beruházás a C7.I1., C7.R3. és C8.I1. intézkedések fokozása. Ennek a beruházásnak az a célja, hogy előmozdítsa a saját fogyasztást biztosító alkalmazásokat, a</w:t>
      </w:r>
      <w:r>
        <w:rPr>
          <w:noProof/>
        </w:rPr>
        <w:t xml:space="preserve"> fogyasztásmérő nélküli tárolást és az energiaközösségeket. A beruházás a következőket támogatja:</w:t>
      </w:r>
    </w:p>
    <w:p w14:paraId="1AC0BEBB" w14:textId="77777777" w:rsidR="003E1D81" w:rsidRDefault="00EB481C">
      <w:pPr>
        <w:pStyle w:val="P68B1DB1-ListParagraph7"/>
        <w:numPr>
          <w:ilvl w:val="0"/>
          <w:numId w:val="640"/>
        </w:numPr>
        <w:spacing w:before="120" w:after="120" w:line="240" w:lineRule="auto"/>
        <w:jc w:val="both"/>
        <w:rPr>
          <w:rFonts w:cs="Times New Roman"/>
          <w:noProof/>
        </w:rPr>
      </w:pPr>
      <w:r>
        <w:rPr>
          <w:noProof/>
        </w:rPr>
        <w:t xml:space="preserve">épületekbe vagy termelési folyamatokba integrált saját fogyasztási alkalmazások, amelyek megújulóenergia-technológiákon vagy fogyasztásmérőn alapuló tárolási </w:t>
      </w:r>
      <w:r>
        <w:rPr>
          <w:noProof/>
        </w:rPr>
        <w:t>megoldásokon alapulnak; és</w:t>
      </w:r>
    </w:p>
    <w:p w14:paraId="6F61CE8B" w14:textId="680CDCD0" w:rsidR="003E1D81" w:rsidRDefault="00EB481C">
      <w:pPr>
        <w:pStyle w:val="P68B1DB1-ListParagraph7"/>
        <w:numPr>
          <w:ilvl w:val="0"/>
          <w:numId w:val="640"/>
        </w:numPr>
        <w:spacing w:before="120" w:after="120" w:line="240" w:lineRule="auto"/>
        <w:jc w:val="both"/>
        <w:rPr>
          <w:rFonts w:cs="Times New Roman"/>
          <w:noProof/>
        </w:rPr>
      </w:pPr>
      <w:r>
        <w:rPr>
          <w:noProof/>
        </w:rPr>
        <w:t xml:space="preserve">az energiaközösségek által végrehajtott kezdeményezések megújuló energiával vagy energiahatékonysági megoldásokkal, vagy részvételen alapuló és közösségépítési folyamatok végrehajtásával. </w:t>
      </w:r>
    </w:p>
    <w:p w14:paraId="163DA515" w14:textId="0441C799" w:rsidR="003E1D81" w:rsidRDefault="00EB481C">
      <w:pPr>
        <w:pStyle w:val="P68B1DB1-Normal4"/>
        <w:spacing w:before="120" w:after="120" w:line="240" w:lineRule="auto"/>
        <w:jc w:val="both"/>
        <w:rPr>
          <w:rFonts w:cs="Times New Roman"/>
          <w:noProof/>
        </w:rPr>
      </w:pPr>
      <w:r>
        <w:rPr>
          <w:noProof/>
        </w:rPr>
        <w:t>A C7.I1., C7.R3. és C8.I1. pont szerinti</w:t>
      </w:r>
      <w:r>
        <w:rPr>
          <w:noProof/>
        </w:rPr>
        <w:t xml:space="preserve"> jogi eszközök hozzájárulhatnak ezen intézkedés végrehajtásához, amennyiben nem járnak kettős finanszírozással.</w:t>
      </w:r>
    </w:p>
    <w:p w14:paraId="55F2D066" w14:textId="77777777" w:rsidR="003E1D81" w:rsidRDefault="00EB481C">
      <w:pPr>
        <w:pStyle w:val="P68B1DB1-Normal4"/>
        <w:spacing w:before="120" w:after="120" w:line="240" w:lineRule="auto"/>
        <w:jc w:val="both"/>
        <w:rPr>
          <w:rFonts w:cs="Times New Roman"/>
          <w:noProof/>
        </w:rPr>
      </w:pPr>
      <w:r>
        <w:rPr>
          <w:noProof/>
        </w:rPr>
        <w:t>Az intézkedés végrehajtását 2026. augusztus 31-ig be kell fejezni.</w:t>
      </w:r>
    </w:p>
    <w:p w14:paraId="5F31B49E" w14:textId="5899E68B" w:rsidR="003E1D81" w:rsidRDefault="00EB481C">
      <w:pPr>
        <w:pStyle w:val="P68B1DB1-Text120"/>
        <w:ind w:left="0"/>
        <w:rPr>
          <w:rFonts w:cs="Times New Roman"/>
          <w:noProof/>
        </w:rPr>
      </w:pPr>
      <w:r>
        <w:rPr>
          <w:noProof/>
        </w:rPr>
        <w:t>Beruházás (C31.I2) – A megújuló hidrogén előállítását és elterjedését támogat</w:t>
      </w:r>
      <w:r>
        <w:rPr>
          <w:noProof/>
        </w:rPr>
        <w:t>ó program</w:t>
      </w:r>
    </w:p>
    <w:p w14:paraId="1F1B972A" w14:textId="507FFBE4" w:rsidR="003E1D81" w:rsidRDefault="00EB481C">
      <w:pPr>
        <w:pStyle w:val="P68B1DB1-Normal4"/>
        <w:spacing w:before="120" w:after="120" w:line="240" w:lineRule="auto"/>
        <w:jc w:val="both"/>
        <w:rPr>
          <w:rFonts w:cs="Times New Roman"/>
          <w:noProof/>
        </w:rPr>
      </w:pPr>
      <w:r>
        <w:rPr>
          <w:noProof/>
        </w:rPr>
        <w:t xml:space="preserve">Ez az intézkedés a megújuló hidrogén előállításának és elterjedésének támogatására irányuló, támogatásokra és – potenciálisan – saját tőkére, többek között kockázati tőkére kiterjedő támogatási rendszerbe történő közberuházásokból áll. A program </w:t>
      </w:r>
      <w:r>
        <w:rPr>
          <w:noProof/>
        </w:rPr>
        <w:t>a magánszektornak és a hasonló tevékenységet folytató közszektorbeli intézményeknek nyújtott vissza nem térítendő támogatások vagy tőkebefektetések – többek között kockázati tőke – révén nyújtott pénzügyi ösztönzők révén működik. A Helyreállítási és Rezili</w:t>
      </w:r>
      <w:r>
        <w:rPr>
          <w:noProof/>
        </w:rPr>
        <w:t xml:space="preserve">enciaépítési Eszköz beruházásai alapján a támogatási program célja kezdetben legalább 1 600 000 000 EUR összegű finanszírozás biztosítása. A programot végrehajtó partnerként az „Instituto de Diversificación y Ahorro de la Energía” (IDAE) irányítja. </w:t>
      </w:r>
    </w:p>
    <w:p w14:paraId="0082D6BE" w14:textId="60D50E3F" w:rsidR="003E1D81" w:rsidRDefault="00EB481C">
      <w:pPr>
        <w:pStyle w:val="P68B1DB1-Normal4"/>
        <w:spacing w:before="120" w:after="120" w:line="240" w:lineRule="auto"/>
        <w:jc w:val="both"/>
        <w:rPr>
          <w:rFonts w:cs="Times New Roman"/>
          <w:noProof/>
        </w:rPr>
      </w:pPr>
      <w:r>
        <w:rPr>
          <w:noProof/>
        </w:rPr>
        <w:t>A prog</w:t>
      </w:r>
      <w:r>
        <w:rPr>
          <w:noProof/>
        </w:rPr>
        <w:t>ramba történő befektetés végrehajtása érdekében Spanyolország egy vagy több jogi eszközt fogad el (tőkebefektetések esetében ez az eszköz az IDAE által jóváhagyandó befektetési politika lenne), amely létrehozza a programot, és amely a következő elemeket ta</w:t>
      </w:r>
      <w:r>
        <w:rPr>
          <w:noProof/>
        </w:rPr>
        <w:t>rtalmazza:</w:t>
      </w:r>
    </w:p>
    <w:p w14:paraId="3674D825" w14:textId="49FE8BE6" w:rsidR="003E1D81" w:rsidRDefault="00EB481C">
      <w:pPr>
        <w:pStyle w:val="P68B1DB1-ListParagraph7"/>
        <w:numPr>
          <w:ilvl w:val="0"/>
          <w:numId w:val="685"/>
        </w:numPr>
        <w:spacing w:before="120" w:after="120" w:line="240" w:lineRule="auto"/>
        <w:jc w:val="both"/>
        <w:rPr>
          <w:rFonts w:cs="Times New Roman"/>
          <w:noProof/>
        </w:rPr>
      </w:pPr>
      <w:r>
        <w:rPr>
          <w:noProof/>
        </w:rPr>
        <w:t>A támogatható tevékenységek listája, amely legalább a következők egyike:</w:t>
      </w:r>
    </w:p>
    <w:p w14:paraId="54DDDFA0" w14:textId="6A879C26" w:rsidR="003E1D81" w:rsidRDefault="00EB481C">
      <w:pPr>
        <w:pStyle w:val="P68B1DB1-ListParagraph7"/>
        <w:numPr>
          <w:ilvl w:val="1"/>
          <w:numId w:val="685"/>
        </w:numPr>
        <w:spacing w:before="120" w:after="120" w:line="240" w:lineRule="auto"/>
        <w:jc w:val="both"/>
        <w:rPr>
          <w:rFonts w:cs="Times New Roman"/>
          <w:noProof/>
        </w:rPr>
      </w:pPr>
      <w:r>
        <w:rPr>
          <w:noProof/>
        </w:rPr>
        <w:t xml:space="preserve">Az innováció támogatása az értékláncban és a megújuló hidrogén tudásbázisában: ez a terület magában foglalhatja a kutatást és fejlesztést, a technológiaátadást, valamint a </w:t>
      </w:r>
      <w:r>
        <w:rPr>
          <w:noProof/>
        </w:rPr>
        <w:t>gyártási és tesztelési rendszereket és alkatrészeket.</w:t>
      </w:r>
    </w:p>
    <w:p w14:paraId="5ED8DAA2" w14:textId="77777777" w:rsidR="003E1D81" w:rsidRDefault="00EB481C">
      <w:pPr>
        <w:pStyle w:val="P68B1DB1-ListParagraph7"/>
        <w:numPr>
          <w:ilvl w:val="1"/>
          <w:numId w:val="685"/>
        </w:numPr>
        <w:spacing w:before="120" w:after="120" w:line="240" w:lineRule="auto"/>
        <w:jc w:val="both"/>
        <w:rPr>
          <w:rFonts w:cs="Times New Roman"/>
          <w:noProof/>
        </w:rPr>
      </w:pPr>
      <w:r>
        <w:rPr>
          <w:noProof/>
        </w:rPr>
        <w:t>Megújuló hidrogén klaszterek létrehozása, amelyek széles körben integrálnák a termelést, a feldolgozást és a fogyasztást.</w:t>
      </w:r>
    </w:p>
    <w:p w14:paraId="40486D11" w14:textId="77777777" w:rsidR="003E1D81" w:rsidRDefault="00EB481C">
      <w:pPr>
        <w:pStyle w:val="P68B1DB1-ListParagraph7"/>
        <w:numPr>
          <w:ilvl w:val="1"/>
          <w:numId w:val="685"/>
        </w:numPr>
        <w:spacing w:before="120" w:after="120" w:line="240" w:lineRule="auto"/>
        <w:jc w:val="both"/>
        <w:rPr>
          <w:rFonts w:cs="Times New Roman"/>
          <w:noProof/>
        </w:rPr>
      </w:pPr>
      <w:r>
        <w:rPr>
          <w:noProof/>
        </w:rPr>
        <w:t>„Úttörő” projektek kidolgozása, amelyek lehetővé tennék a megújuló hidrogén kise</w:t>
      </w:r>
      <w:r>
        <w:rPr>
          <w:noProof/>
        </w:rPr>
        <w:t>bb léptékű bevezetését különböző ágazatokban, például az iparban, a villamosenergia-termelésben, a hőfelhasználásban és a közlekedésben.</w:t>
      </w:r>
    </w:p>
    <w:p w14:paraId="358CF473" w14:textId="54D8E812" w:rsidR="003E1D81" w:rsidRDefault="00EB481C">
      <w:pPr>
        <w:pStyle w:val="P68B1DB1-ListParagraph7"/>
        <w:numPr>
          <w:ilvl w:val="1"/>
          <w:numId w:val="685"/>
        </w:numPr>
        <w:spacing w:before="120" w:after="120" w:line="240" w:lineRule="auto"/>
        <w:jc w:val="both"/>
        <w:rPr>
          <w:rFonts w:cs="Times New Roman"/>
          <w:noProof/>
        </w:rPr>
      </w:pPr>
      <w:r>
        <w:rPr>
          <w:noProof/>
        </w:rPr>
        <w:t xml:space="preserve">A spanyol megújuló hidrogénrendszer európai rendszerbe való integrálásának támogatása, például a vállalatok támogatása </w:t>
      </w:r>
      <w:r>
        <w:rPr>
          <w:noProof/>
        </w:rPr>
        <w:t>olyan európai projektekben, mint például a közös európai érdeket szolgáló fontos projektek kezdeményezései. A közös európai érdeket szolgáló fontos projekteknek a fent említett három támogatható tevékenység (értéklánc, klaszterek, úttörő projektek) alá kel</w:t>
      </w:r>
      <w:r>
        <w:rPr>
          <w:noProof/>
        </w:rPr>
        <w:t>l illeszkedniük.</w:t>
      </w:r>
    </w:p>
    <w:p w14:paraId="7B8AC05B" w14:textId="77777777" w:rsidR="003E1D81" w:rsidRDefault="003E1D81">
      <w:pPr>
        <w:pStyle w:val="ListParagraph"/>
        <w:spacing w:before="120" w:after="120" w:line="240" w:lineRule="auto"/>
        <w:ind w:left="1440"/>
        <w:jc w:val="both"/>
        <w:rPr>
          <w:rFonts w:ascii="Times New Roman" w:hAnsi="Times New Roman" w:cs="Times New Roman"/>
          <w:noProof/>
          <w:sz w:val="24"/>
        </w:rPr>
      </w:pPr>
    </w:p>
    <w:p w14:paraId="1502686F" w14:textId="04352246" w:rsidR="003E1D81" w:rsidRDefault="00EB481C">
      <w:pPr>
        <w:pStyle w:val="P68B1DB1-ListParagraph7"/>
        <w:numPr>
          <w:ilvl w:val="0"/>
          <w:numId w:val="685"/>
        </w:numPr>
        <w:spacing w:before="120" w:after="120" w:line="240" w:lineRule="auto"/>
        <w:jc w:val="both"/>
        <w:rPr>
          <w:rFonts w:cs="Times New Roman"/>
          <w:noProof/>
        </w:rPr>
      </w:pPr>
      <w:r>
        <w:rPr>
          <w:noProof/>
        </w:rPr>
        <w:t>A program döntéshozatali folyamatának leírása: A pályázatok értékelését és a támogatás odaítéléséről szóló végső határozatokban vagy a beruházási határozatokban szerepeltetendő kedvezményezettek kiválasztását beruházási bizottság vagy technikai értékelő bi</w:t>
      </w:r>
      <w:r>
        <w:rPr>
          <w:noProof/>
        </w:rPr>
        <w:t>zottság végzi, és azt a kormánytól független tagok szavazatainak többségével kell jóváhagyni, ami azt jelenti, hogy a kedvezményezetteknek vagy az IDAE és/vagy más független szakértők által alkalmazott személyzetnek kell lenniük. A támogatási program keret</w:t>
      </w:r>
      <w:r>
        <w:rPr>
          <w:noProof/>
        </w:rPr>
        <w:t>ében hozott jogerős határozatok vagy beruházási döntések a beruházási bizottság vagy azzal egyenértékű irányító testület által javasolt odaítélési vagy beruházási döntéssel kapcsolatos vétójog (módosítás nélküli) jóváhagyására vagy gyakorlására korlátozódn</w:t>
      </w:r>
      <w:r>
        <w:rPr>
          <w:noProof/>
        </w:rPr>
        <w:t>ak. Abban az esetben, ha az IDAE bármelyik pályázó részt vesz, és e felhívás költségvetése nem elegendő az összes beérkezett pályázat fedezésére, az értékelési folyamatot az IDAE „Plan de Mitigación de potenciales Conflictos de Interés en Sociedades Partic</w:t>
      </w:r>
      <w:r>
        <w:rPr>
          <w:noProof/>
        </w:rPr>
        <w:t xml:space="preserve">ipadas” című kiadványában előirányzottak szerint külső ellenőrzésnek kell alávetni. </w:t>
      </w:r>
    </w:p>
    <w:p w14:paraId="186D2A17" w14:textId="77777777" w:rsidR="003E1D81" w:rsidRDefault="003E1D81">
      <w:pPr>
        <w:pStyle w:val="ListParagraph"/>
        <w:spacing w:before="120" w:after="120" w:line="240" w:lineRule="auto"/>
        <w:jc w:val="both"/>
        <w:rPr>
          <w:rFonts w:ascii="Times New Roman" w:hAnsi="Times New Roman" w:cs="Times New Roman"/>
          <w:noProof/>
          <w:sz w:val="24"/>
        </w:rPr>
      </w:pPr>
    </w:p>
    <w:p w14:paraId="2EF47DF0" w14:textId="3FE0D6B7" w:rsidR="003E1D81" w:rsidRDefault="00EB481C">
      <w:pPr>
        <w:pStyle w:val="P68B1DB1-ListParagraph7"/>
        <w:numPr>
          <w:ilvl w:val="0"/>
          <w:numId w:val="685"/>
        </w:numPr>
        <w:spacing w:before="120" w:after="120" w:line="240" w:lineRule="auto"/>
        <w:jc w:val="both"/>
        <w:rPr>
          <w:rFonts w:cs="Times New Roman"/>
          <w:noProof/>
          <w:sz w:val="28"/>
        </w:rPr>
      </w:pPr>
      <w:r>
        <w:rPr>
          <w:noProof/>
        </w:rPr>
        <w:t>A jelentős károkozás elkerülését célzó elvnek való megfelelés követelménye a Helyreállítási és Rezilienciaépítési Eszköz keretében, a DNSH technikai iránymutatásában (202</w:t>
      </w:r>
      <w:r>
        <w:rPr>
          <w:noProof/>
        </w:rPr>
        <w:t>1/C58/01) meghatározottak szerint. A vállalatoknak nyújtott általános támogatás (beleértve a saját tőkét és a kockázati tőkét is) esetében a jogi eszköz(ök)ből ki kell zárni azokat a vállalatokat, amelyek</w:t>
      </w:r>
      <w:r>
        <w:rPr>
          <w:noProof/>
        </w:rPr>
        <w:footnoteReference w:id="214"/>
      </w:r>
      <w:r>
        <w:rPr>
          <w:noProof/>
        </w:rPr>
        <w:t xml:space="preserve"> a következő ágazatokra összpontosítanak: fosszilis</w:t>
      </w:r>
      <w:r>
        <w:rPr>
          <w:noProof/>
        </w:rPr>
        <w:t xml:space="preserve"> tüzelőanyagokon alapuló energiatermelés és kapcsolódó tevékenységek</w:t>
      </w:r>
      <w:r>
        <w:rPr>
          <w:noProof/>
        </w:rPr>
        <w:footnoteReference w:id="215"/>
      </w:r>
      <w:r>
        <w:rPr>
          <w:noProof/>
        </w:rPr>
        <w:t>; energiaigényes és/vagy magas szén-dioxid-kibocsátású iparágak</w:t>
      </w:r>
      <w:r>
        <w:rPr>
          <w:noProof/>
        </w:rPr>
        <w:footnoteReference w:id="216"/>
      </w:r>
      <w:r>
        <w:rPr>
          <w:noProof/>
        </w:rPr>
        <w:t>; szennyező járművek gyártása, bérlése vagy értékesítése</w:t>
      </w:r>
      <w:r>
        <w:rPr>
          <w:noProof/>
        </w:rPr>
        <w:footnoteReference w:id="217"/>
      </w:r>
      <w:r>
        <w:rPr>
          <w:noProof/>
        </w:rPr>
        <w:t>; hulladékgyűjtés, hulladékkezelés és -ártalmatlanítás</w:t>
      </w:r>
      <w:r>
        <w:rPr>
          <w:noProof/>
        </w:rPr>
        <w:footnoteReference w:id="218"/>
      </w:r>
      <w:r>
        <w:rPr>
          <w:noProof/>
        </w:rPr>
        <w:t>, v. nukleá</w:t>
      </w:r>
      <w:r>
        <w:rPr>
          <w:noProof/>
        </w:rPr>
        <w:t>ris fűtőanyag feldolgozása, atomenergia előállítása. Ezen túlmenően a jogi eszköz(ök)nek meg kell követelniük a támogatási rendszerek végső kedvezményezettjeinek a vonatkozó uniós és nemzeti környezetvédelmi jogszabályoknak való megfelelést.</w:t>
      </w:r>
    </w:p>
    <w:p w14:paraId="749021E6" w14:textId="77777777" w:rsidR="003E1D81" w:rsidRDefault="003E1D81">
      <w:pPr>
        <w:pStyle w:val="ListParagraph"/>
        <w:rPr>
          <w:rFonts w:ascii="Times New Roman" w:hAnsi="Times New Roman" w:cs="Times New Roman"/>
          <w:noProof/>
          <w:sz w:val="24"/>
        </w:rPr>
      </w:pPr>
    </w:p>
    <w:p w14:paraId="587159DB" w14:textId="77777777" w:rsidR="003E1D81" w:rsidRDefault="00EB481C">
      <w:pPr>
        <w:pStyle w:val="P68B1DB1-ListParagraph7"/>
        <w:numPr>
          <w:ilvl w:val="0"/>
          <w:numId w:val="685"/>
        </w:numPr>
        <w:rPr>
          <w:rFonts w:cs="Times New Roman"/>
          <w:noProof/>
        </w:rPr>
      </w:pPr>
      <w:r>
        <w:rPr>
          <w:noProof/>
        </w:rPr>
        <w:t>Az a követelm</w:t>
      </w:r>
      <w:r>
        <w:rPr>
          <w:noProof/>
        </w:rPr>
        <w:t>ény, hogy a hitelezési eszköz végső kedvezményezettjei nem részesülhetnek támogatásban más uniós eszközökből ugyanazon költségek fedezésére.</w:t>
      </w:r>
    </w:p>
    <w:p w14:paraId="437F1A94" w14:textId="77777777" w:rsidR="003E1D81" w:rsidRDefault="003E1D81">
      <w:pPr>
        <w:pStyle w:val="ListParagraph"/>
        <w:rPr>
          <w:rFonts w:ascii="Times New Roman" w:hAnsi="Times New Roman" w:cs="Times New Roman"/>
          <w:noProof/>
          <w:sz w:val="24"/>
        </w:rPr>
      </w:pPr>
    </w:p>
    <w:p w14:paraId="3D2CCAAB" w14:textId="057099D2" w:rsidR="003E1D81" w:rsidRDefault="00EB481C">
      <w:pPr>
        <w:pStyle w:val="P68B1DB1-ListParagraph7"/>
        <w:numPr>
          <w:ilvl w:val="0"/>
          <w:numId w:val="685"/>
        </w:numPr>
        <w:jc w:val="both"/>
        <w:rPr>
          <w:rFonts w:cs="Times New Roman"/>
          <w:noProof/>
        </w:rPr>
      </w:pPr>
      <w:r>
        <w:rPr>
          <w:noProof/>
        </w:rPr>
        <w:t>A program hatálya alá tartozó összeg, valamint az a követelmény, hogy a programból származó fel nem használt bevét</w:t>
      </w:r>
      <w:r>
        <w:rPr>
          <w:noProof/>
        </w:rPr>
        <w:t>eleket újra be kell fektetni a fent felsorolt tevékenységekbe, beleértve a 2026 utáni tevékenységeket is.</w:t>
      </w:r>
    </w:p>
    <w:p w14:paraId="3595B9C6" w14:textId="77777777" w:rsidR="003E1D81" w:rsidRDefault="003E1D81">
      <w:pPr>
        <w:pStyle w:val="ListParagraph"/>
        <w:rPr>
          <w:rFonts w:ascii="Times New Roman" w:hAnsi="Times New Roman" w:cs="Times New Roman"/>
          <w:noProof/>
          <w:sz w:val="24"/>
        </w:rPr>
      </w:pPr>
    </w:p>
    <w:p w14:paraId="3ABE6782" w14:textId="62DAE74C" w:rsidR="003E1D81" w:rsidRDefault="00EB481C">
      <w:pPr>
        <w:pStyle w:val="ListParagraph"/>
        <w:numPr>
          <w:ilvl w:val="0"/>
          <w:numId w:val="685"/>
        </w:numPr>
        <w:jc w:val="both"/>
        <w:rPr>
          <w:rFonts w:ascii="Times New Roman" w:hAnsi="Times New Roman" w:cs="Times New Roman"/>
          <w:noProof/>
          <w:sz w:val="24"/>
        </w:rPr>
      </w:pPr>
      <w:r>
        <w:rPr>
          <w:rFonts w:ascii="Times New Roman" w:hAnsi="Times New Roman"/>
          <w:noProof/>
          <w:sz w:val="24"/>
        </w:rPr>
        <w:t>A támogatási rendszer éghajlatváltozással kapcsolatos beruházásaira vonatkozó jelentéstételi követelmények</w:t>
      </w:r>
      <w:r>
        <w:rPr>
          <w:rStyle w:val="FootnoteReference"/>
          <w:rFonts w:ascii="Times New Roman" w:hAnsi="Times New Roman" w:cs="Times New Roman"/>
          <w:noProof/>
          <w:sz w:val="24"/>
        </w:rPr>
        <w:footnoteReference w:id="219"/>
      </w:r>
      <w:r>
        <w:rPr>
          <w:rFonts w:ascii="Times New Roman" w:hAnsi="Times New Roman"/>
          <w:noProof/>
          <w:sz w:val="24"/>
        </w:rPr>
        <w:t>.</w:t>
      </w:r>
    </w:p>
    <w:p w14:paraId="653F2BC5" w14:textId="650A1E78" w:rsidR="003E1D81" w:rsidRDefault="003E1D81">
      <w:pPr>
        <w:pStyle w:val="ListParagraph"/>
        <w:rPr>
          <w:rFonts w:ascii="Times New Roman" w:hAnsi="Times New Roman" w:cs="Times New Roman"/>
          <w:noProof/>
          <w:sz w:val="24"/>
        </w:rPr>
      </w:pPr>
    </w:p>
    <w:p w14:paraId="677D9A98" w14:textId="4CBC5F6F" w:rsidR="003E1D81" w:rsidRDefault="00EB481C">
      <w:pPr>
        <w:pStyle w:val="P68B1DB1-ListParagraph7"/>
        <w:numPr>
          <w:ilvl w:val="0"/>
          <w:numId w:val="685"/>
        </w:numPr>
        <w:spacing w:before="120" w:after="120" w:line="240" w:lineRule="auto"/>
        <w:jc w:val="both"/>
        <w:rPr>
          <w:rFonts w:cs="Times New Roman"/>
          <w:noProof/>
        </w:rPr>
      </w:pPr>
      <w:r>
        <w:rPr>
          <w:noProof/>
        </w:rPr>
        <w:t xml:space="preserve">A tőkebefektetések – beleértve a </w:t>
      </w:r>
      <w:r>
        <w:rPr>
          <w:noProof/>
        </w:rPr>
        <w:t>kockázati tőkét is – esetében a befektetési politika azon fő követelményei, amelyek a tőkebefektetéseknek – beleértve a kockázati tőkét is – történő esetleges odaítélésével kapcsolatban a következőket foglalják magukban:</w:t>
      </w:r>
    </w:p>
    <w:p w14:paraId="247597BE" w14:textId="70F6C82D" w:rsidR="003E1D81" w:rsidRDefault="00EB481C">
      <w:pPr>
        <w:pStyle w:val="P68B1DB1-ListParagraph7"/>
        <w:numPr>
          <w:ilvl w:val="0"/>
          <w:numId w:val="710"/>
        </w:numPr>
        <w:spacing w:before="120" w:after="120" w:line="240" w:lineRule="auto"/>
        <w:jc w:val="both"/>
        <w:rPr>
          <w:rFonts w:cs="Times New Roman"/>
          <w:noProof/>
        </w:rPr>
      </w:pPr>
      <w:r>
        <w:rPr>
          <w:noProof/>
        </w:rPr>
        <w:t>A pénzügyi termék(ek) sorainak és a</w:t>
      </w:r>
      <w:r>
        <w:rPr>
          <w:noProof/>
        </w:rPr>
        <w:t xml:space="preserve"> támogatható végső kedvezményezetteknek a leírása</w:t>
      </w:r>
    </w:p>
    <w:p w14:paraId="3314A103" w14:textId="365AC497" w:rsidR="003E1D81" w:rsidRDefault="00EB481C">
      <w:pPr>
        <w:pStyle w:val="P68B1DB1-ListParagraph7"/>
        <w:numPr>
          <w:ilvl w:val="0"/>
          <w:numId w:val="710"/>
        </w:numPr>
        <w:spacing w:before="120" w:after="120" w:line="240" w:lineRule="auto"/>
        <w:jc w:val="both"/>
        <w:rPr>
          <w:rFonts w:cs="Times New Roman"/>
          <w:noProof/>
        </w:rPr>
      </w:pPr>
      <w:r>
        <w:rPr>
          <w:noProof/>
        </w:rPr>
        <w:t>Az a követelmény, hogy minden támogatott beruházás gazdaságilag életképes legyen.</w:t>
      </w:r>
    </w:p>
    <w:p w14:paraId="1B5B1E05" w14:textId="77777777" w:rsidR="003E1D81" w:rsidRDefault="003E1D81">
      <w:pPr>
        <w:pStyle w:val="ListParagraph"/>
        <w:rPr>
          <w:rFonts w:ascii="Times New Roman" w:hAnsi="Times New Roman" w:cs="Times New Roman"/>
          <w:noProof/>
          <w:sz w:val="24"/>
        </w:rPr>
      </w:pPr>
    </w:p>
    <w:p w14:paraId="4D08A146" w14:textId="259E26FD" w:rsidR="003E1D81" w:rsidRDefault="00EB481C">
      <w:pPr>
        <w:pStyle w:val="P68B1DB1-ListParagraph7"/>
        <w:numPr>
          <w:ilvl w:val="0"/>
          <w:numId w:val="685"/>
        </w:numPr>
        <w:spacing w:before="120" w:after="120" w:line="240" w:lineRule="auto"/>
        <w:jc w:val="both"/>
        <w:rPr>
          <w:rFonts w:cs="Times New Roman"/>
          <w:noProof/>
        </w:rPr>
      </w:pPr>
      <w:r>
        <w:rPr>
          <w:noProof/>
        </w:rPr>
        <w:t>Tőkebefektetések esetében, beleértve a kockázati tőkét is, a következő nyomonkövetési, ellenőrzési és ellenőrzési követelmé</w:t>
      </w:r>
      <w:r>
        <w:rPr>
          <w:noProof/>
        </w:rPr>
        <w:t>nyek:</w:t>
      </w:r>
    </w:p>
    <w:p w14:paraId="0FEDB7AD" w14:textId="1A85DC8A" w:rsidR="003E1D81" w:rsidRDefault="00EB481C">
      <w:pPr>
        <w:pStyle w:val="P68B1DB1-ListParagraph7"/>
        <w:numPr>
          <w:ilvl w:val="0"/>
          <w:numId w:val="706"/>
        </w:numPr>
        <w:rPr>
          <w:rFonts w:cs="Times New Roman"/>
          <w:noProof/>
        </w:rPr>
      </w:pPr>
      <w:r>
        <w:rPr>
          <w:noProof/>
        </w:rPr>
        <w:t>Az IDAE nyomonkövetési rendszerének leírása a mozgósított beruházásokról való jelentéstétel céljából.</w:t>
      </w:r>
    </w:p>
    <w:p w14:paraId="2DAC249E" w14:textId="1C6A607E" w:rsidR="003E1D81" w:rsidRDefault="00EB481C">
      <w:pPr>
        <w:pStyle w:val="P68B1DB1-ListParagraph7"/>
        <w:numPr>
          <w:ilvl w:val="0"/>
          <w:numId w:val="706"/>
        </w:numPr>
        <w:spacing w:before="120" w:after="120" w:line="240" w:lineRule="auto"/>
        <w:jc w:val="both"/>
        <w:rPr>
          <w:rFonts w:cs="Times New Roman"/>
          <w:noProof/>
        </w:rPr>
      </w:pPr>
      <w:r>
        <w:rPr>
          <w:noProof/>
        </w:rPr>
        <w:t xml:space="preserve">Az IDAE azon eljárásainak leírása, amelyek biztosítják a csalás, a korrupció és az összeférhetetlenség megelőzését, feltárását és korrekcióját. </w:t>
      </w:r>
    </w:p>
    <w:p w14:paraId="3EA93286" w14:textId="046A78D2" w:rsidR="003E1D81" w:rsidRDefault="00EB481C">
      <w:pPr>
        <w:pStyle w:val="P68B1DB1-ListParagraph7"/>
        <w:numPr>
          <w:ilvl w:val="0"/>
          <w:numId w:val="706"/>
        </w:numPr>
        <w:spacing w:before="120" w:after="120" w:line="240" w:lineRule="auto"/>
        <w:jc w:val="both"/>
        <w:rPr>
          <w:rFonts w:cs="Times New Roman"/>
          <w:noProof/>
        </w:rPr>
      </w:pPr>
      <w:r>
        <w:rPr>
          <w:noProof/>
        </w:rPr>
        <w:t>Min</w:t>
      </w:r>
      <w:r>
        <w:rPr>
          <w:noProof/>
        </w:rPr>
        <w:t>den művelet támogathatóságának ellenőrzésére vonatkozó kötelezettség a programot létrehozó vonatkozó jogi aktusban meghatározott követelményeknek megfelelően, mielőtt kötelezettséget vállalnának egy művelet finanszírozására.</w:t>
      </w:r>
    </w:p>
    <w:p w14:paraId="75DAF728" w14:textId="5D763AEC" w:rsidR="003E1D81" w:rsidRDefault="00EB481C">
      <w:pPr>
        <w:pStyle w:val="P68B1DB1-ListParagraph7"/>
        <w:numPr>
          <w:ilvl w:val="0"/>
          <w:numId w:val="706"/>
        </w:numPr>
        <w:spacing w:before="120" w:after="120" w:line="240" w:lineRule="auto"/>
        <w:jc w:val="both"/>
        <w:rPr>
          <w:rFonts w:cs="Times New Roman"/>
          <w:noProof/>
        </w:rPr>
      </w:pPr>
      <w:r>
        <w:rPr>
          <w:noProof/>
        </w:rPr>
        <w:t>A kockázatalapú utólagos ellenő</w:t>
      </w:r>
      <w:r>
        <w:rPr>
          <w:noProof/>
        </w:rPr>
        <w:t>rzéseknek az IDAE ellenőrzési tervével összhangban történő elvégzésére vonatkozó kötelezettség. Ezek az ellenőrzések azt vizsgálják, hogy i. a kontrollrendszerek hatékonyak-e, beleértve a csalás, a korrupció és az összeférhetetlenség feltárását;  a DNSH-el</w:t>
      </w:r>
      <w:r>
        <w:rPr>
          <w:noProof/>
        </w:rPr>
        <w:t>vnek, az állami támogatási szabályoknak, valamint az éghajlat-politikai és digitális célkitűzésekre vonatkozó követelményeknek való megfelelés; és iii. tiszteletben tartják azt a követelményt, amely szerint az IDAE-nek ellenőriznie kell, hogy a végső kedve</w:t>
      </w:r>
      <w:r>
        <w:rPr>
          <w:noProof/>
        </w:rPr>
        <w:t>zményezett felelősségteljes nyilatkozatot nyújt-e be annak ellenőrzésére, hogy ugyanazt a költséget egy másik uniós eszköz fedezi-e. Az auditok azt is ellenőrzik, hogy az ügyletek jogszerűek-e, és hogy a rendszert létrehozó, alkalmazandó jogi eszköz(ök) fe</w:t>
      </w:r>
      <w:r>
        <w:rPr>
          <w:noProof/>
        </w:rPr>
        <w:t xml:space="preserve">ltételei teljesülnek-e. </w:t>
      </w:r>
    </w:p>
    <w:p w14:paraId="3D3DF0B7" w14:textId="77777777" w:rsidR="003E1D81" w:rsidRDefault="00EB481C">
      <w:pPr>
        <w:pStyle w:val="P68B1DB1-Normal4"/>
        <w:spacing w:before="120" w:after="120" w:line="240" w:lineRule="auto"/>
        <w:jc w:val="both"/>
        <w:rPr>
          <w:rFonts w:cs="Times New Roman"/>
          <w:noProof/>
        </w:rPr>
      </w:pPr>
      <w:r>
        <w:rPr>
          <w:noProof/>
        </w:rPr>
        <w:t>A beruházást 2026. augusztus 31-ig végre kell hajtani.</w:t>
      </w:r>
    </w:p>
    <w:p w14:paraId="0C487F77" w14:textId="0EC3D453" w:rsidR="003E1D81" w:rsidRDefault="00EB481C">
      <w:pPr>
        <w:pStyle w:val="P68B1DB1-Text120"/>
        <w:ind w:left="0"/>
        <w:rPr>
          <w:rFonts w:cs="Times New Roman"/>
          <w:noProof/>
        </w:rPr>
      </w:pPr>
      <w:r>
        <w:rPr>
          <w:noProof/>
        </w:rPr>
        <w:t>Beruházás (C31.I3) – A megújuló energiaforrások értékláncát és a tárolást támogató támogatási program</w:t>
      </w:r>
    </w:p>
    <w:p w14:paraId="544EA9AF" w14:textId="6C539A4A" w:rsidR="003E1D81" w:rsidRDefault="00EB481C">
      <w:pPr>
        <w:pStyle w:val="P68B1DB1-Normal4"/>
        <w:spacing w:before="120" w:after="120" w:line="240" w:lineRule="auto"/>
        <w:jc w:val="both"/>
        <w:rPr>
          <w:rFonts w:cs="Times New Roman"/>
          <w:noProof/>
        </w:rPr>
      </w:pPr>
      <w:r>
        <w:rPr>
          <w:noProof/>
        </w:rPr>
        <w:t>Ez az intézkedés a megújuló energia és a tárolás értékláncának támogatására irányuló állami beruházásból áll, amely magában foglalja a támogatásokat és adott esetben a saját tőkét, beleértve a kockázati tőkét is. A program a magánszektornak és a hasonló te</w:t>
      </w:r>
      <w:r>
        <w:rPr>
          <w:noProof/>
        </w:rPr>
        <w:t>vékenységet folytató közszektorbeli intézményeknek nyújtott vissza nem térítendő támogatások vagy tőkebefektetések – többek között kockázati tőke – révén nyújtott pénzügyi ösztönzők révén működik. A Helyreállítási és Rezilienciaépítési Eszköz beruházásai a</w:t>
      </w:r>
      <w:r>
        <w:rPr>
          <w:noProof/>
        </w:rPr>
        <w:t xml:space="preserve">lapján a támogatási program célja kezdetben legalább 1 000 000 000 EUR összegű finanszírozás biztosítása. A programot végrehajtó partnerként az „Instituto de Diversificación y Ahorro de la Energía” (IDAE) irányítja. </w:t>
      </w:r>
    </w:p>
    <w:p w14:paraId="68D073EA" w14:textId="6C0985BE" w:rsidR="003E1D81" w:rsidRDefault="00EB481C">
      <w:pPr>
        <w:pStyle w:val="P68B1DB1-Normal4"/>
        <w:spacing w:before="120" w:after="120" w:line="240" w:lineRule="auto"/>
        <w:jc w:val="both"/>
        <w:rPr>
          <w:rFonts w:cs="Times New Roman"/>
          <w:noProof/>
        </w:rPr>
      </w:pPr>
      <w:r>
        <w:rPr>
          <w:noProof/>
        </w:rPr>
        <w:t>A befektetés végrehajtása érdekében a k</w:t>
      </w:r>
      <w:r>
        <w:rPr>
          <w:noProof/>
        </w:rPr>
        <w:t>ormány a programot létrehozó egy vagy több jogi eszközt fogad el (tőkebefektetések esetében ez az eszköz az IDAE által jóváhagyandó befektetési politika lenne), amely a következő elemeket tartalmazza:</w:t>
      </w:r>
    </w:p>
    <w:p w14:paraId="1FFBD3F1" w14:textId="5C7BEB29" w:rsidR="003E1D81" w:rsidRDefault="00EB481C">
      <w:pPr>
        <w:pStyle w:val="P68B1DB1-ListParagraph7"/>
        <w:numPr>
          <w:ilvl w:val="0"/>
          <w:numId w:val="707"/>
        </w:numPr>
        <w:spacing w:before="120" w:after="120" w:line="240" w:lineRule="auto"/>
        <w:jc w:val="both"/>
        <w:rPr>
          <w:rFonts w:cs="Times New Roman"/>
          <w:noProof/>
        </w:rPr>
      </w:pPr>
      <w:bookmarkStart w:id="61" w:name="_Hlk145070219"/>
      <w:r>
        <w:rPr>
          <w:noProof/>
        </w:rPr>
        <w:t xml:space="preserve">A támogatható tevékenységek listája, amely az alábbiak </w:t>
      </w:r>
      <w:r>
        <w:rPr>
          <w:noProof/>
        </w:rPr>
        <w:t>közül legalább egyet tartalmaz: a nulla nettó kibocsátású gazdaságra való átállás szempontjából releváns technológiák és alkatrészek tervezése, gyártása, tárolása, újrafeldolgozása vagy kutatása és fejlesztése. Ilyen technológiák vagy alkatrészek például a</w:t>
      </w:r>
      <w:r>
        <w:rPr>
          <w:noProof/>
        </w:rPr>
        <w:t>z akkumulátorok, a napelemek, a szélturbinák és a hőszivattyúk. Az e technológiák gyártásához szükséges nyersanyagok visszanyerése szintén támogatható</w:t>
      </w:r>
      <w:bookmarkEnd w:id="61"/>
      <w:r>
        <w:rPr>
          <w:noProof/>
        </w:rPr>
        <w:t>.</w:t>
      </w:r>
    </w:p>
    <w:p w14:paraId="1AFE88AA" w14:textId="77777777" w:rsidR="003E1D81" w:rsidRDefault="003E1D81">
      <w:pPr>
        <w:pStyle w:val="ListParagraph"/>
        <w:spacing w:before="120" w:after="120" w:line="240" w:lineRule="auto"/>
        <w:jc w:val="both"/>
        <w:rPr>
          <w:rFonts w:ascii="Times New Roman" w:hAnsi="Times New Roman" w:cs="Times New Roman"/>
          <w:noProof/>
          <w:sz w:val="24"/>
        </w:rPr>
      </w:pPr>
    </w:p>
    <w:p w14:paraId="31CD9981" w14:textId="4B1A93FC" w:rsidR="003E1D81" w:rsidRDefault="00EB481C">
      <w:pPr>
        <w:pStyle w:val="P68B1DB1-ListParagraph7"/>
        <w:numPr>
          <w:ilvl w:val="0"/>
          <w:numId w:val="707"/>
        </w:numPr>
        <w:spacing w:before="120" w:after="120" w:line="240" w:lineRule="auto"/>
        <w:jc w:val="both"/>
        <w:rPr>
          <w:rFonts w:cs="Times New Roman"/>
          <w:noProof/>
        </w:rPr>
      </w:pPr>
      <w:r>
        <w:rPr>
          <w:noProof/>
        </w:rPr>
        <w:t>A program döntéshozatali folyamatának leírása: A pályázatok értékelését és a támogatás odaítéléséről sz</w:t>
      </w:r>
      <w:r>
        <w:rPr>
          <w:noProof/>
        </w:rPr>
        <w:t>óló végső határozatokban vagy a beruházási határozatokban szerepeltetendő kedvezményezettek kiválasztását beruházási bizottság vagy technikai értékelő bizottság végzi, és azt a kormánytól független tagok szavazatainak többségével kell jóváhagyni, ami azt j</w:t>
      </w:r>
      <w:r>
        <w:rPr>
          <w:noProof/>
        </w:rPr>
        <w:t xml:space="preserve">elenti, hogy a kedvezményezetteknek vagy az IDAE és/vagy más független szakértők által alkalmazott személyzetnek kell lenniük. A támogatási rendszer keretében hozott jogerős odaítélési határozatok vagy beruházási döntések a beruházási bizottság vagy azzal </w:t>
      </w:r>
      <w:r>
        <w:rPr>
          <w:noProof/>
        </w:rPr>
        <w:t xml:space="preserve">egyenértékű irányító testület által javasolt odaítélési vagy beruházási döntéssel kapcsolatos vétójog (módosítás nélküli) jóváhagyására vagy gyakorlására korlátozódnak. Abban az esetben, ha az IDAE bármelyik pályázó részt vesz, és e felhívás költségvetése </w:t>
      </w:r>
      <w:r>
        <w:rPr>
          <w:noProof/>
        </w:rPr>
        <w:t>nem elegendő az összes beérkezett pályázat fedezésére, az értékelési folyamatot az IDAE „Plan de Mitigación de potenciales Conflictos de Interés en Sociedades Participadas” című kiadványában előirányzottak szerint külső ellenőrzésnek kell alávetni.</w:t>
      </w:r>
    </w:p>
    <w:p w14:paraId="3786C919" w14:textId="77777777" w:rsidR="003E1D81" w:rsidRDefault="003E1D81">
      <w:pPr>
        <w:pStyle w:val="ListParagraph"/>
        <w:spacing w:before="120" w:after="120" w:line="240" w:lineRule="auto"/>
        <w:jc w:val="both"/>
        <w:rPr>
          <w:rFonts w:ascii="Times New Roman" w:hAnsi="Times New Roman" w:cs="Times New Roman"/>
          <w:noProof/>
          <w:sz w:val="24"/>
        </w:rPr>
      </w:pPr>
    </w:p>
    <w:p w14:paraId="48DD98C0" w14:textId="60DFF60F" w:rsidR="003E1D81" w:rsidRDefault="00EB481C">
      <w:pPr>
        <w:pStyle w:val="ListParagraph"/>
        <w:numPr>
          <w:ilvl w:val="0"/>
          <w:numId w:val="711"/>
        </w:numPr>
        <w:spacing w:before="120" w:after="120" w:line="240" w:lineRule="auto"/>
        <w:jc w:val="both"/>
        <w:rPr>
          <w:rFonts w:ascii="Times New Roman" w:hAnsi="Times New Roman" w:cs="Times New Roman"/>
          <w:noProof/>
          <w:sz w:val="24"/>
        </w:rPr>
      </w:pPr>
      <w:r>
        <w:rPr>
          <w:rFonts w:ascii="Times New Roman" w:hAnsi="Times New Roman"/>
          <w:noProof/>
          <w:sz w:val="24"/>
        </w:rPr>
        <w:t>A jele</w:t>
      </w:r>
      <w:r>
        <w:rPr>
          <w:rFonts w:ascii="Times New Roman" w:hAnsi="Times New Roman"/>
          <w:noProof/>
          <w:sz w:val="24"/>
        </w:rPr>
        <w:t>ntős károkozás elkerülését célzó elvnek való megfelelés követelménye a Helyreállítási és Rezilienciaépítési Eszköz keretében, a DNSH technikai iránymutatásában (2021/C58/01) meghatározottak szerint. A jogi eszköz(ök)ből különösen ki kell zárni a tevékenysé</w:t>
      </w:r>
      <w:r>
        <w:rPr>
          <w:rFonts w:ascii="Times New Roman" w:hAnsi="Times New Roman"/>
          <w:noProof/>
          <w:sz w:val="24"/>
        </w:rPr>
        <w:t>gek alábbi felsorolását: a fosszilis tüzelőanyagokhoz kapcsolódó tevékenységek, beleértve a továbbfelhasználást is</w:t>
      </w:r>
      <w:r>
        <w:rPr>
          <w:rStyle w:val="FootnoteReference"/>
          <w:rFonts w:ascii="Times New Roman" w:hAnsi="Times New Roman" w:cs="Times New Roman"/>
          <w:noProof/>
          <w:sz w:val="24"/>
        </w:rPr>
        <w:footnoteReference w:id="220"/>
      </w:r>
      <w:r>
        <w:rPr>
          <w:rFonts w:ascii="Times New Roman" w:hAnsi="Times New Roman"/>
          <w:noProof/>
          <w:sz w:val="24"/>
        </w:rPr>
        <w:t>; az uniós kibocsátáskereskedelmi rendszer (ETS) keretében végzett tevékenységek, amelyek a vonatkozó referenciaértékeknél nem alacsonyabb vá</w:t>
      </w:r>
      <w:r>
        <w:rPr>
          <w:rFonts w:ascii="Times New Roman" w:hAnsi="Times New Roman"/>
          <w:noProof/>
          <w:sz w:val="24"/>
        </w:rPr>
        <w:t>rható üvegházhatásúgáz-kibocsátást érnek el</w:t>
      </w:r>
      <w:r>
        <w:rPr>
          <w:rStyle w:val="FootnoteReference"/>
          <w:rFonts w:ascii="Times New Roman" w:hAnsi="Times New Roman" w:cs="Times New Roman"/>
          <w:noProof/>
          <w:sz w:val="24"/>
        </w:rPr>
        <w:footnoteReference w:id="221"/>
      </w:r>
      <w:r>
        <w:rPr>
          <w:rFonts w:ascii="Times New Roman" w:hAnsi="Times New Roman"/>
          <w:noProof/>
          <w:sz w:val="24"/>
        </w:rPr>
        <w:t>; és iii. hulladéklerakókkal, hulladékégetőkkel</w:t>
      </w:r>
      <w:r>
        <w:rPr>
          <w:rStyle w:val="FootnoteReference"/>
          <w:rFonts w:ascii="Times New Roman" w:hAnsi="Times New Roman" w:cs="Times New Roman"/>
          <w:noProof/>
          <w:sz w:val="24"/>
        </w:rPr>
        <w:footnoteReference w:id="222"/>
      </w:r>
      <w:r>
        <w:rPr>
          <w:rFonts w:ascii="Times New Roman" w:hAnsi="Times New Roman"/>
          <w:noProof/>
          <w:sz w:val="24"/>
        </w:rPr>
        <w:t xml:space="preserve"> és mechanikai-biológiai szennyvíztisztító telepekkel kapcsolatos tevékenységek</w:t>
      </w:r>
      <w:r>
        <w:rPr>
          <w:rStyle w:val="FootnoteReference"/>
          <w:rFonts w:ascii="Times New Roman" w:hAnsi="Times New Roman" w:cs="Times New Roman"/>
          <w:noProof/>
          <w:sz w:val="24"/>
        </w:rPr>
        <w:footnoteReference w:id="223"/>
      </w:r>
      <w:r>
        <w:rPr>
          <w:rFonts w:ascii="Times New Roman" w:hAnsi="Times New Roman"/>
          <w:noProof/>
          <w:sz w:val="24"/>
        </w:rPr>
        <w:t>. A vállalatoknak nyújtott általános támogatás (beleértve a saját tőkét és a kockáza</w:t>
      </w:r>
      <w:r>
        <w:rPr>
          <w:rFonts w:ascii="Times New Roman" w:hAnsi="Times New Roman"/>
          <w:noProof/>
          <w:sz w:val="24"/>
        </w:rPr>
        <w:t>ti tőkét is) esetében a jogi eszköz(ök)ből ki kell zárni azokat a vállalatokat, amelyek</w:t>
      </w:r>
      <w:r>
        <w:rPr>
          <w:rFonts w:ascii="Times New Roman" w:hAnsi="Times New Roman"/>
          <w:noProof/>
          <w:sz w:val="24"/>
        </w:rPr>
        <w:footnoteReference w:id="224"/>
      </w:r>
      <w:r>
        <w:rPr>
          <w:rFonts w:ascii="Times New Roman" w:hAnsi="Times New Roman"/>
          <w:noProof/>
          <w:sz w:val="24"/>
        </w:rPr>
        <w:t xml:space="preserve"> a következő ágazatokra összpontosítanak: fosszilis tüzelőanyagokon alapuló energiatermelés és kapcsolódó tevékenységek</w:t>
      </w:r>
      <w:r>
        <w:rPr>
          <w:rFonts w:ascii="Times New Roman" w:hAnsi="Times New Roman"/>
          <w:noProof/>
          <w:sz w:val="24"/>
        </w:rPr>
        <w:footnoteReference w:id="225"/>
      </w:r>
      <w:r>
        <w:rPr>
          <w:rFonts w:ascii="Times New Roman" w:hAnsi="Times New Roman"/>
          <w:noProof/>
          <w:sz w:val="24"/>
        </w:rPr>
        <w:t>; energiaigényes és/vagy magas szén-dioxid-kiboc</w:t>
      </w:r>
      <w:r>
        <w:rPr>
          <w:rFonts w:ascii="Times New Roman" w:hAnsi="Times New Roman"/>
          <w:noProof/>
          <w:sz w:val="24"/>
        </w:rPr>
        <w:t>sátású iparágak</w:t>
      </w:r>
      <w:r>
        <w:rPr>
          <w:rFonts w:ascii="Times New Roman" w:hAnsi="Times New Roman"/>
          <w:noProof/>
          <w:sz w:val="24"/>
        </w:rPr>
        <w:footnoteReference w:id="226"/>
      </w:r>
      <w:r>
        <w:rPr>
          <w:rFonts w:ascii="Times New Roman" w:hAnsi="Times New Roman"/>
          <w:noProof/>
          <w:sz w:val="24"/>
        </w:rPr>
        <w:t>; szennyező járművek gyártása, bérlése vagy értékesítése</w:t>
      </w:r>
      <w:r>
        <w:rPr>
          <w:rFonts w:ascii="Times New Roman" w:hAnsi="Times New Roman"/>
          <w:noProof/>
          <w:sz w:val="24"/>
        </w:rPr>
        <w:footnoteReference w:id="227"/>
      </w:r>
      <w:r>
        <w:rPr>
          <w:rFonts w:ascii="Times New Roman" w:hAnsi="Times New Roman"/>
          <w:noProof/>
          <w:sz w:val="24"/>
        </w:rPr>
        <w:t>; hulladékgyűjtés, hulladékkezelés és -ártalmatlanítás</w:t>
      </w:r>
      <w:r>
        <w:rPr>
          <w:rFonts w:ascii="Times New Roman" w:hAnsi="Times New Roman"/>
          <w:noProof/>
          <w:sz w:val="24"/>
        </w:rPr>
        <w:footnoteReference w:id="228"/>
      </w:r>
      <w:r>
        <w:rPr>
          <w:rFonts w:ascii="Times New Roman" w:hAnsi="Times New Roman"/>
          <w:noProof/>
          <w:sz w:val="24"/>
        </w:rPr>
        <w:t>, v. nukleáris fűtőanyag feldolgozása, atomenergia előállítása. Ezen túlmenően a jogi eszköz(ök)nek meg kell követelniük a támog</w:t>
      </w:r>
      <w:r>
        <w:rPr>
          <w:rFonts w:ascii="Times New Roman" w:hAnsi="Times New Roman"/>
          <w:noProof/>
          <w:sz w:val="24"/>
        </w:rPr>
        <w:t>atási rendszerek végső kedvezményezettjeinek a vonatkozó uniós és nemzeti környezetvédelmi jogszabályoknak való megfelelést.</w:t>
      </w:r>
    </w:p>
    <w:p w14:paraId="03F8977B" w14:textId="77777777" w:rsidR="003E1D81" w:rsidRDefault="003E1D81">
      <w:pPr>
        <w:pStyle w:val="ListParagraph"/>
        <w:spacing w:before="120" w:after="120" w:line="240" w:lineRule="auto"/>
        <w:jc w:val="both"/>
        <w:rPr>
          <w:rFonts w:ascii="Times New Roman" w:hAnsi="Times New Roman" w:cs="Times New Roman"/>
          <w:noProof/>
          <w:sz w:val="24"/>
        </w:rPr>
      </w:pPr>
    </w:p>
    <w:p w14:paraId="089313FD" w14:textId="7B198AA4" w:rsidR="003E1D81" w:rsidRDefault="00EB481C">
      <w:pPr>
        <w:pStyle w:val="ListParagraph"/>
        <w:numPr>
          <w:ilvl w:val="0"/>
          <w:numId w:val="711"/>
        </w:numPr>
        <w:spacing w:before="120" w:after="120" w:line="240" w:lineRule="auto"/>
        <w:jc w:val="both"/>
        <w:rPr>
          <w:rFonts w:ascii="Times New Roman" w:hAnsi="Times New Roman" w:cs="Times New Roman"/>
          <w:noProof/>
          <w:sz w:val="24"/>
        </w:rPr>
      </w:pPr>
      <w:r>
        <w:rPr>
          <w:rFonts w:ascii="Times New Roman" w:hAnsi="Times New Roman"/>
          <w:noProof/>
          <w:sz w:val="24"/>
        </w:rPr>
        <w:t>A támogatási rendszer éghajlatváltozással kapcsolatos beruházásaira vonatkozó követelmények: a támogatási rendszerbe történő beruh</w:t>
      </w:r>
      <w:r>
        <w:rPr>
          <w:rFonts w:ascii="Times New Roman" w:hAnsi="Times New Roman"/>
          <w:noProof/>
          <w:sz w:val="24"/>
        </w:rPr>
        <w:t>ázásokból legalább 902 000 000 EUR-nak hozzá kell járulnia az éghajlatváltozással kapcsolatos célkitűzéshez a Helyreállítási és Rezilienciaépítési Eszközről szóló rendelet VI. mellékletével összhangban.</w:t>
      </w:r>
      <w:r>
        <w:rPr>
          <w:rStyle w:val="FootnoteReference"/>
          <w:rFonts w:ascii="Times New Roman" w:hAnsi="Times New Roman" w:cs="Times New Roman"/>
          <w:noProof/>
          <w:sz w:val="24"/>
        </w:rPr>
        <w:footnoteReference w:id="229"/>
      </w:r>
      <w:r>
        <w:rPr>
          <w:rFonts w:ascii="Times New Roman" w:hAnsi="Times New Roman"/>
          <w:noProof/>
          <w:sz w:val="24"/>
        </w:rPr>
        <w:t xml:space="preserve"> </w:t>
      </w:r>
    </w:p>
    <w:p w14:paraId="7839E154" w14:textId="77777777" w:rsidR="003E1D81" w:rsidRDefault="003E1D81">
      <w:pPr>
        <w:pStyle w:val="ListParagraph"/>
        <w:spacing w:before="120" w:after="120" w:line="240" w:lineRule="auto"/>
        <w:jc w:val="both"/>
        <w:rPr>
          <w:rFonts w:ascii="Times New Roman" w:hAnsi="Times New Roman" w:cs="Times New Roman"/>
          <w:noProof/>
          <w:sz w:val="24"/>
        </w:rPr>
      </w:pPr>
    </w:p>
    <w:p w14:paraId="5F863CB7" w14:textId="77777777" w:rsidR="003E1D81" w:rsidRDefault="00EB481C">
      <w:pPr>
        <w:pStyle w:val="P68B1DB1-ListParagraph7"/>
        <w:numPr>
          <w:ilvl w:val="0"/>
          <w:numId w:val="711"/>
        </w:numPr>
        <w:spacing w:before="120" w:after="120" w:line="240" w:lineRule="auto"/>
        <w:jc w:val="both"/>
        <w:rPr>
          <w:rFonts w:cs="Times New Roman"/>
          <w:noProof/>
        </w:rPr>
      </w:pPr>
      <w:r>
        <w:rPr>
          <w:noProof/>
        </w:rPr>
        <w:t>Az a követelmény, hogy a hitelezési eszköz végső k</w:t>
      </w:r>
      <w:r>
        <w:rPr>
          <w:noProof/>
        </w:rPr>
        <w:t>edvezményezettjei nem részesülhetnek támogatásban más uniós eszközökből ugyanazon költségek fedezésére.</w:t>
      </w:r>
    </w:p>
    <w:p w14:paraId="2D795EFF" w14:textId="77777777" w:rsidR="003E1D81" w:rsidRDefault="003E1D81">
      <w:pPr>
        <w:pStyle w:val="ListParagraph"/>
        <w:rPr>
          <w:rFonts w:ascii="Times New Roman" w:hAnsi="Times New Roman" w:cs="Times New Roman"/>
          <w:noProof/>
          <w:sz w:val="24"/>
        </w:rPr>
      </w:pPr>
    </w:p>
    <w:p w14:paraId="0645499A" w14:textId="77777777" w:rsidR="003E1D81" w:rsidRDefault="00EB481C">
      <w:pPr>
        <w:pStyle w:val="P68B1DB1-ListParagraph7"/>
        <w:numPr>
          <w:ilvl w:val="0"/>
          <w:numId w:val="711"/>
        </w:numPr>
        <w:jc w:val="both"/>
        <w:rPr>
          <w:rFonts w:cs="Times New Roman"/>
          <w:noProof/>
        </w:rPr>
      </w:pPr>
      <w:r>
        <w:rPr>
          <w:noProof/>
        </w:rPr>
        <w:t>A program hatálya alá tartozó összeg, valamint az a követelmény, hogy a programból származó fel nem használt bevételeket újra be kell fektetni a fent f</w:t>
      </w:r>
      <w:r>
        <w:rPr>
          <w:noProof/>
        </w:rPr>
        <w:t>elsorolt tevékenységekbe, beleértve a 2026 utáni tevékenységeket is.</w:t>
      </w:r>
    </w:p>
    <w:p w14:paraId="3BD41338" w14:textId="77777777" w:rsidR="003E1D81" w:rsidRDefault="003E1D81">
      <w:pPr>
        <w:pStyle w:val="ListParagraph"/>
        <w:spacing w:before="120" w:after="120" w:line="240" w:lineRule="auto"/>
        <w:jc w:val="both"/>
        <w:rPr>
          <w:rFonts w:ascii="Times New Roman" w:hAnsi="Times New Roman" w:cs="Times New Roman"/>
          <w:noProof/>
          <w:sz w:val="24"/>
        </w:rPr>
      </w:pPr>
    </w:p>
    <w:p w14:paraId="51F223E9" w14:textId="36BEE354" w:rsidR="003E1D81" w:rsidRDefault="00EB481C">
      <w:pPr>
        <w:pStyle w:val="P68B1DB1-ListParagraph7"/>
        <w:numPr>
          <w:ilvl w:val="0"/>
          <w:numId w:val="711"/>
        </w:numPr>
        <w:spacing w:before="120" w:after="120" w:line="240" w:lineRule="auto"/>
        <w:jc w:val="both"/>
        <w:rPr>
          <w:rFonts w:cs="Times New Roman"/>
          <w:noProof/>
        </w:rPr>
      </w:pPr>
      <w:r>
        <w:rPr>
          <w:noProof/>
        </w:rPr>
        <w:t>A tőkebefektetések – beleértve a kockázati tőkét is – esetében a befektetési politika fő követelményei a következők:</w:t>
      </w:r>
    </w:p>
    <w:p w14:paraId="51586FF2" w14:textId="77777777" w:rsidR="003E1D81" w:rsidRDefault="003E1D81">
      <w:pPr>
        <w:pStyle w:val="ListParagraph"/>
        <w:spacing w:before="120" w:after="120" w:line="240" w:lineRule="auto"/>
        <w:jc w:val="both"/>
        <w:rPr>
          <w:rFonts w:ascii="Times New Roman" w:hAnsi="Times New Roman" w:cs="Times New Roman"/>
          <w:noProof/>
          <w:sz w:val="24"/>
        </w:rPr>
      </w:pPr>
    </w:p>
    <w:p w14:paraId="48CB69A2" w14:textId="77777777" w:rsidR="003E1D81" w:rsidRDefault="00EB481C">
      <w:pPr>
        <w:pStyle w:val="P68B1DB1-ListParagraph7"/>
        <w:numPr>
          <w:ilvl w:val="0"/>
          <w:numId w:val="712"/>
        </w:numPr>
        <w:spacing w:before="120" w:after="120" w:line="240" w:lineRule="auto"/>
        <w:jc w:val="both"/>
        <w:rPr>
          <w:rFonts w:cs="Times New Roman"/>
          <w:noProof/>
        </w:rPr>
      </w:pPr>
      <w:r>
        <w:rPr>
          <w:noProof/>
        </w:rPr>
        <w:t xml:space="preserve">A pénzügyi termék(ek) sorainak és a támogatható végső </w:t>
      </w:r>
      <w:r>
        <w:rPr>
          <w:noProof/>
        </w:rPr>
        <w:t>kedvezményezetteknek a leírása</w:t>
      </w:r>
    </w:p>
    <w:p w14:paraId="3EA05A12" w14:textId="77777777" w:rsidR="003E1D81" w:rsidRDefault="00EB481C">
      <w:pPr>
        <w:pStyle w:val="P68B1DB1-ListParagraph7"/>
        <w:numPr>
          <w:ilvl w:val="0"/>
          <w:numId w:val="712"/>
        </w:numPr>
        <w:spacing w:before="120" w:after="120" w:line="240" w:lineRule="auto"/>
        <w:jc w:val="both"/>
        <w:rPr>
          <w:rFonts w:cs="Times New Roman"/>
          <w:noProof/>
        </w:rPr>
      </w:pPr>
      <w:r>
        <w:rPr>
          <w:noProof/>
        </w:rPr>
        <w:t>Az a követelmény, hogy minden támogatott beruházás gazdaságilag életképes legyen.</w:t>
      </w:r>
    </w:p>
    <w:p w14:paraId="73FE741B" w14:textId="77777777" w:rsidR="003E1D81" w:rsidRDefault="003E1D81">
      <w:pPr>
        <w:pStyle w:val="ListParagraph"/>
        <w:rPr>
          <w:rFonts w:ascii="Times New Roman" w:hAnsi="Times New Roman" w:cs="Times New Roman"/>
          <w:noProof/>
          <w:sz w:val="24"/>
        </w:rPr>
      </w:pPr>
    </w:p>
    <w:p w14:paraId="64C4FEC0" w14:textId="5527B1B6" w:rsidR="003E1D81" w:rsidRDefault="00EB481C">
      <w:pPr>
        <w:pStyle w:val="P68B1DB1-ListParagraph7"/>
        <w:numPr>
          <w:ilvl w:val="0"/>
          <w:numId w:val="714"/>
        </w:numPr>
        <w:spacing w:before="120" w:after="120" w:line="240" w:lineRule="auto"/>
        <w:jc w:val="both"/>
        <w:rPr>
          <w:rFonts w:cs="Times New Roman"/>
          <w:noProof/>
        </w:rPr>
      </w:pPr>
      <w:r>
        <w:rPr>
          <w:noProof/>
        </w:rPr>
        <w:t>Tőkebefektetések esetében, beleértve a kockázati tőkét is, a következő nyomonkövetési, ellenőrzési és ellenőrzési követelmények:</w:t>
      </w:r>
    </w:p>
    <w:p w14:paraId="383E55D2" w14:textId="7F81A7AC" w:rsidR="003E1D81" w:rsidRDefault="00EB481C">
      <w:pPr>
        <w:pStyle w:val="P68B1DB1-ListParagraph7"/>
        <w:numPr>
          <w:ilvl w:val="0"/>
          <w:numId w:val="706"/>
        </w:numPr>
        <w:rPr>
          <w:rFonts w:cs="Times New Roman"/>
          <w:noProof/>
        </w:rPr>
      </w:pPr>
      <w:r>
        <w:rPr>
          <w:noProof/>
        </w:rPr>
        <w:t>Az IDAE nyomo</w:t>
      </w:r>
      <w:r>
        <w:rPr>
          <w:noProof/>
        </w:rPr>
        <w:t>nkövetési rendszerének leírása a mozgósított beruházásokról való jelentéstétel céljából.</w:t>
      </w:r>
    </w:p>
    <w:p w14:paraId="4A6F23D8" w14:textId="2C0A6447" w:rsidR="003E1D81" w:rsidRDefault="00EB481C">
      <w:pPr>
        <w:pStyle w:val="P68B1DB1-ListParagraph7"/>
        <w:numPr>
          <w:ilvl w:val="0"/>
          <w:numId w:val="706"/>
        </w:numPr>
        <w:spacing w:before="120" w:after="120" w:line="240" w:lineRule="auto"/>
        <w:jc w:val="both"/>
        <w:rPr>
          <w:rFonts w:cs="Times New Roman"/>
          <w:noProof/>
        </w:rPr>
      </w:pPr>
      <w:r>
        <w:rPr>
          <w:noProof/>
        </w:rPr>
        <w:t xml:space="preserve">Az IDAE azon eljárásainak leírása, amelyek biztosítják a csalás, a korrupció és az összeférhetetlenség megelőzését, feltárását és korrekcióját. </w:t>
      </w:r>
    </w:p>
    <w:p w14:paraId="24BEE50B" w14:textId="77777777" w:rsidR="003E1D81" w:rsidRDefault="00EB481C">
      <w:pPr>
        <w:pStyle w:val="P68B1DB1-ListParagraph7"/>
        <w:numPr>
          <w:ilvl w:val="0"/>
          <w:numId w:val="706"/>
        </w:numPr>
        <w:spacing w:before="120" w:after="120" w:line="240" w:lineRule="auto"/>
        <w:jc w:val="both"/>
        <w:rPr>
          <w:rFonts w:cs="Times New Roman"/>
          <w:noProof/>
        </w:rPr>
      </w:pPr>
      <w:r>
        <w:rPr>
          <w:noProof/>
        </w:rPr>
        <w:t>Minden művelet támogat</w:t>
      </w:r>
      <w:r>
        <w:rPr>
          <w:noProof/>
        </w:rPr>
        <w:t>hatóságának ellenőrzésére vonatkozó kötelezettség a programot létrehozó vonatkozó jogi aktusban meghatározott követelményeknek megfelelően, mielőtt kötelezettséget vállalnának egy művelet finanszírozására.</w:t>
      </w:r>
    </w:p>
    <w:p w14:paraId="4A65AD17" w14:textId="5E094F3F" w:rsidR="003E1D81" w:rsidRDefault="00EB481C">
      <w:pPr>
        <w:pStyle w:val="P68B1DB1-ListParagraph7"/>
        <w:numPr>
          <w:ilvl w:val="0"/>
          <w:numId w:val="706"/>
        </w:numPr>
        <w:spacing w:before="120" w:after="120" w:line="240" w:lineRule="auto"/>
        <w:jc w:val="both"/>
        <w:rPr>
          <w:rFonts w:cs="Times New Roman"/>
          <w:noProof/>
        </w:rPr>
      </w:pPr>
      <w:r>
        <w:rPr>
          <w:noProof/>
        </w:rPr>
        <w:t>A kockázatalapú utólagos ellenőrzéseknek az IDAE e</w:t>
      </w:r>
      <w:r>
        <w:rPr>
          <w:noProof/>
        </w:rPr>
        <w:t>llenőrzési tervével összhangban történő elvégzésére vonatkozó kötelezettség. Ezek az auditok a következőket vizsgálják: a kontrollrendszerek hatékonysága, beleértve a csalás, a korrupció és az összeférhetetlenség felderítését;  a DNSH-elvnek, az állami tám</w:t>
      </w:r>
      <w:r>
        <w:rPr>
          <w:noProof/>
        </w:rPr>
        <w:t>ogatási szabályoknak, valamint az éghajlat-politikai és digitális célkitűzésekre vonatkozó követelményeknek való megfelelés; és iii. tiszteletben tartják azt a követelményt, amely szerint az IDAE-nek ellenőriznie kell, hogy a végső kedvezményezett felelőss</w:t>
      </w:r>
      <w:r>
        <w:rPr>
          <w:noProof/>
        </w:rPr>
        <w:t>égteljes nyilatkozatot nyújt-e be annak ellenőrzésére, hogy ugyanazt a költséget egy másik uniós eszköz fedezi-e. Az auditok azt is ellenőrzik, hogy az ügyletek jogszerűek-e, és hogy a rendszert létrehozó, alkalmazandó jogi eszköz(ök) feltételei teljesülne</w:t>
      </w:r>
      <w:r>
        <w:rPr>
          <w:noProof/>
        </w:rPr>
        <w:t xml:space="preserve">k-e. </w:t>
      </w:r>
    </w:p>
    <w:p w14:paraId="46DD05F4" w14:textId="77777777" w:rsidR="003E1D81" w:rsidRDefault="00EB481C">
      <w:pPr>
        <w:pStyle w:val="P68B1DB1-Normal4"/>
        <w:spacing w:before="120" w:after="120" w:line="240" w:lineRule="auto"/>
        <w:jc w:val="both"/>
        <w:rPr>
          <w:rFonts w:cs="Times New Roman"/>
          <w:noProof/>
        </w:rPr>
      </w:pPr>
      <w:r>
        <w:rPr>
          <w:noProof/>
        </w:rPr>
        <w:t>A beruházást 2026. június 30-ig végre kell hajtani.</w:t>
      </w:r>
    </w:p>
    <w:p w14:paraId="283A2AFF" w14:textId="77777777" w:rsidR="003E1D81" w:rsidRDefault="00EB481C">
      <w:pPr>
        <w:pStyle w:val="P68B1DB1-Text120"/>
        <w:ind w:left="0"/>
        <w:rPr>
          <w:rFonts w:cs="Times New Roman"/>
          <w:noProof/>
        </w:rPr>
      </w:pPr>
      <w:r>
        <w:rPr>
          <w:noProof/>
        </w:rPr>
        <w:t>Beruházás (C31.I4) – A villamosenergia-hálózat infrastruktúráját támogató beruházás</w:t>
      </w:r>
    </w:p>
    <w:p w14:paraId="5A904BCE" w14:textId="77777777" w:rsidR="003E1D81" w:rsidRDefault="00EB481C">
      <w:pPr>
        <w:pStyle w:val="P68B1DB1-Normal4"/>
        <w:spacing w:before="120" w:after="120" w:line="240" w:lineRule="auto"/>
        <w:jc w:val="both"/>
        <w:rPr>
          <w:rFonts w:cs="Times New Roman"/>
          <w:noProof/>
        </w:rPr>
      </w:pPr>
      <w:r>
        <w:rPr>
          <w:noProof/>
        </w:rPr>
        <w:t>E beruházás célja a spanyol villamosenergia-átviteli hálózat fejlesztésének támogatása. A beruházás a 2021–2026-os</w:t>
      </w:r>
      <w:r>
        <w:rPr>
          <w:noProof/>
        </w:rPr>
        <w:t xml:space="preserve"> spanyol hálózatfejlesztési terv (a továbbiakban: a terv) keretében támogatható projektek befejezéséből áll. A támogatás odaítélését megelőzően Spanyolország meghatározza azokat a támogathatósági kritériumokat, amelyeknek a 2021–2026-os spanyol hálózatfejl</w:t>
      </w:r>
      <w:r>
        <w:rPr>
          <w:noProof/>
        </w:rPr>
        <w:t>esztési tervből kiválasztandó projekteknek meg kell felelniük a következők alapján:</w:t>
      </w:r>
    </w:p>
    <w:p w14:paraId="6CB90F80" w14:textId="77777777" w:rsidR="003E1D81" w:rsidRDefault="00EB481C">
      <w:pPr>
        <w:pStyle w:val="P68B1DB1-ListParagraph7"/>
        <w:numPr>
          <w:ilvl w:val="0"/>
          <w:numId w:val="639"/>
        </w:numPr>
        <w:spacing w:before="120" w:after="120" w:line="240" w:lineRule="auto"/>
        <w:jc w:val="both"/>
        <w:rPr>
          <w:rFonts w:cs="Times New Roman"/>
          <w:noProof/>
        </w:rPr>
      </w:pPr>
      <w:r>
        <w:rPr>
          <w:noProof/>
        </w:rPr>
        <w:t>A REPowerEU célkitűzéseit teljesítő projektek, különösen azok, amelyek hozzájárulnak a megújuló energiaforrások integrációjához, az ipari dekarbonizációhoz, a kibocsátásmen</w:t>
      </w:r>
      <w:r>
        <w:rPr>
          <w:noProof/>
        </w:rPr>
        <w:t>tes közlekedéshez és a belső szűk keresztmetszetek kezeléséhez; és</w:t>
      </w:r>
    </w:p>
    <w:p w14:paraId="12949066" w14:textId="45CA2F3C" w:rsidR="003E1D81" w:rsidRDefault="00EB481C">
      <w:pPr>
        <w:pStyle w:val="P68B1DB1-ListParagraph7"/>
        <w:numPr>
          <w:ilvl w:val="0"/>
          <w:numId w:val="639"/>
        </w:numPr>
        <w:spacing w:before="120" w:after="120" w:line="240" w:lineRule="auto"/>
        <w:jc w:val="both"/>
        <w:rPr>
          <w:rFonts w:cs="Times New Roman"/>
          <w:noProof/>
        </w:rPr>
      </w:pPr>
      <w:r>
        <w:rPr>
          <w:noProof/>
        </w:rPr>
        <w:t>2026. augusztus 31-ig lezárandó projektek.</w:t>
      </w:r>
    </w:p>
    <w:p w14:paraId="687445EF" w14:textId="77777777" w:rsidR="003E1D81" w:rsidRDefault="00EB481C">
      <w:pPr>
        <w:pStyle w:val="P68B1DB1-Normal4"/>
        <w:spacing w:before="120" w:after="120" w:line="240" w:lineRule="auto"/>
        <w:jc w:val="both"/>
        <w:rPr>
          <w:rFonts w:cs="Times New Roman"/>
          <w:noProof/>
        </w:rPr>
      </w:pPr>
      <w:r>
        <w:rPr>
          <w:noProof/>
        </w:rPr>
        <w:t>A beruházást 2026. augusztus 31-ig végre kell hajtani.</w:t>
      </w:r>
    </w:p>
    <w:p w14:paraId="75F18260" w14:textId="77777777" w:rsidR="003E1D81" w:rsidRDefault="00EB481C">
      <w:pPr>
        <w:pStyle w:val="P68B1DB1-Text120"/>
        <w:ind w:left="0"/>
        <w:rPr>
          <w:rFonts w:cs="Times New Roman"/>
          <w:noProof/>
        </w:rPr>
      </w:pPr>
      <w:r>
        <w:rPr>
          <w:noProof/>
        </w:rPr>
        <w:t>Beruházás (C31.I5) – Az ipari dekarbonizációt támogató beruházások (támogatások)</w:t>
      </w:r>
    </w:p>
    <w:p w14:paraId="6A2DA582" w14:textId="12F902EA" w:rsidR="003E1D81" w:rsidRDefault="00EB481C">
      <w:pPr>
        <w:pStyle w:val="Text1"/>
        <w:ind w:left="0"/>
        <w:rPr>
          <w:rStyle w:val="IntenseEmphasis"/>
          <w:rFonts w:ascii="Times New Roman" w:hAnsi="Times New Roman" w:cs="Times New Roman"/>
          <w:i w:val="0"/>
          <w:noProof/>
          <w:color w:val="auto"/>
          <w:sz w:val="22"/>
        </w:rPr>
      </w:pPr>
      <w:r>
        <w:rPr>
          <w:rStyle w:val="IntenseEmphasis"/>
          <w:rFonts w:ascii="Times New Roman" w:hAnsi="Times New Roman"/>
          <w:i w:val="0"/>
          <w:noProof/>
          <w:color w:val="auto"/>
        </w:rPr>
        <w:t>Az ipari d</w:t>
      </w:r>
      <w:r>
        <w:rPr>
          <w:rStyle w:val="IntenseEmphasis"/>
          <w:rFonts w:ascii="Times New Roman" w:hAnsi="Times New Roman"/>
          <w:i w:val="0"/>
          <w:noProof/>
          <w:color w:val="auto"/>
        </w:rPr>
        <w:t xml:space="preserve">ekarbonizációra irányuló stratégiai projekt részét képező ezen intézkedés célja az ipari folyamatok dekarbonizációjának támogatása. Az intézkedés a feldolgozóipar dekarbonizációját célzó projektek – például az ÜHG-kibocsátás csökkentését célzó projektek – </w:t>
      </w:r>
      <w:r>
        <w:rPr>
          <w:rStyle w:val="IntenseEmphasis"/>
          <w:rFonts w:ascii="Times New Roman" w:hAnsi="Times New Roman"/>
          <w:i w:val="0"/>
          <w:noProof/>
          <w:color w:val="auto"/>
        </w:rPr>
        <w:t xml:space="preserve">végrehajtásából, valamint új, rendkívül hatékony és dekarbonizált gyártólétesítmények fejlesztéséből áll. </w:t>
      </w:r>
    </w:p>
    <w:p w14:paraId="30E2F416" w14:textId="0F718873" w:rsidR="003E1D81" w:rsidRDefault="00EB481C">
      <w:pPr>
        <w:pStyle w:val="Text1"/>
        <w:ind w:left="0"/>
        <w:rPr>
          <w:rFonts w:ascii="Times New Roman" w:hAnsi="Times New Roman" w:cs="Times New Roman"/>
          <w:noProof/>
        </w:rPr>
      </w:pPr>
      <w:r>
        <w:rPr>
          <w:rFonts w:ascii="Times New Roman" w:hAnsi="Times New Roman"/>
          <w:noProof/>
        </w:rPr>
        <w:t>Az ipar dekarbonizációjára vonatkozó PERTE-t jóváhagyó határozatnak kiválasztási kritériumokat kell tartalmaznia a jelentős károkozás elkerülését cél</w:t>
      </w:r>
      <w:r>
        <w:rPr>
          <w:rFonts w:ascii="Times New Roman" w:hAnsi="Times New Roman"/>
          <w:noProof/>
        </w:rPr>
        <w:t>zó technikai iránymutatásnak (2021/C58/01) való megfelelés biztosítása érdekében. Annak biztosítása érdekében, hogy az intézkedés megfeleljen a jelentős károkozás elkerülését célzó elvről szóló technikai iránymutatásnak (2021/C58/01), a soron következő pál</w:t>
      </w:r>
      <w:r>
        <w:rPr>
          <w:rFonts w:ascii="Times New Roman" w:hAnsi="Times New Roman"/>
          <w:noProof/>
        </w:rPr>
        <w:t>yázati felhívásokra vonatkozó feladatmeghatározásban szereplő támogathatósági kritériumok nem tartalmazzák a tevékenységek alábbi listáját: az uniós kibocsátáskereskedelmi rendszer (ETS) keretében végzett tevékenységek, amelyek a vonatkozó referenciaértéke</w:t>
      </w:r>
      <w:r>
        <w:rPr>
          <w:rFonts w:ascii="Times New Roman" w:hAnsi="Times New Roman"/>
          <w:noProof/>
        </w:rPr>
        <w:t>knél nem alacsonyabb várható üvegházhatásúgáz-kibocsátást érnek el</w:t>
      </w:r>
      <w:r>
        <w:rPr>
          <w:rStyle w:val="FootnoteReference"/>
          <w:rFonts w:ascii="Times New Roman" w:hAnsi="Times New Roman" w:cs="Times New Roman"/>
          <w:noProof/>
        </w:rPr>
        <w:footnoteReference w:id="230"/>
      </w:r>
      <w:r>
        <w:rPr>
          <w:rFonts w:ascii="Times New Roman" w:hAnsi="Times New Roman"/>
          <w:noProof/>
        </w:rPr>
        <w:t>; a fosszilis tüzelőanyagokhoz kapcsolódó tevékenységek, beleértve a kibocsátáskereskedelmi rendszeren (ETS) kívüli további felhasználást is</w:t>
      </w:r>
      <w:r>
        <w:rPr>
          <w:rStyle w:val="FootnoteReference"/>
          <w:rFonts w:ascii="Times New Roman" w:hAnsi="Times New Roman" w:cs="Times New Roman"/>
          <w:noProof/>
        </w:rPr>
        <w:footnoteReference w:id="231"/>
      </w:r>
      <w:r>
        <w:rPr>
          <w:rFonts w:ascii="Times New Roman" w:hAnsi="Times New Roman"/>
          <w:noProof/>
        </w:rPr>
        <w:t>. A kiválasztási kritériumok előírják továbbá, h</w:t>
      </w:r>
      <w:r>
        <w:rPr>
          <w:rFonts w:ascii="Times New Roman" w:hAnsi="Times New Roman"/>
          <w:noProof/>
        </w:rPr>
        <w:t xml:space="preserve">ogy csak a vonatkozó uniós és nemzeti környezetvédelmi jogszabályoknak megfelelő tevékenységek választhatók ki. </w:t>
      </w:r>
    </w:p>
    <w:p w14:paraId="0DBABB13" w14:textId="77777777" w:rsidR="003E1D81" w:rsidRDefault="00EB481C">
      <w:pPr>
        <w:pStyle w:val="P68B1DB1-Text119"/>
        <w:ind w:left="0"/>
        <w:rPr>
          <w:rFonts w:cs="Times New Roman"/>
          <w:noProof/>
        </w:rPr>
      </w:pPr>
      <w:r>
        <w:rPr>
          <w:noProof/>
        </w:rPr>
        <w:t>Az e beruházás keretében végrehajtott alábbi K+F+I-intézkedéseket úgy kell tekinteni, hogy megfelelnek a jelentős károkozás elkerülését célzó e</w:t>
      </w:r>
      <w:r>
        <w:rPr>
          <w:noProof/>
        </w:rPr>
        <w:t>lvről szóló technikai iránymutatásnak (2021/C58/01): E beruházás keretében a vállalatok környezeti fenntarthatóságának jelentős növelésére irányuló K+F+I tevékenységek (például dekarbonizáció, a szennyezés csökkentése és a körforgásos gazdaság), amennyiben</w:t>
      </w:r>
      <w:r>
        <w:rPr>
          <w:noProof/>
        </w:rPr>
        <w:t xml:space="preserve"> az e beruházás keretében megvalósuló K+F+I tevékenységek elsősorban az ágazatban a lehető legkisebb környezeti hatással járó alternatívák kidolgozására vagy kiigazítására irányulnak. </w:t>
      </w:r>
    </w:p>
    <w:p w14:paraId="4FA77B87" w14:textId="0F528DE1" w:rsidR="003E1D81" w:rsidRDefault="00EB481C">
      <w:pPr>
        <w:pStyle w:val="Text1"/>
        <w:ind w:left="0"/>
        <w:rPr>
          <w:rStyle w:val="IntenseEmphasis"/>
          <w:rFonts w:ascii="Times New Roman" w:hAnsi="Times New Roman" w:cs="Times New Roman"/>
          <w:i w:val="0"/>
          <w:noProof/>
          <w:color w:val="auto"/>
        </w:rPr>
      </w:pPr>
      <w:r>
        <w:rPr>
          <w:rFonts w:ascii="Times New Roman" w:hAnsi="Times New Roman"/>
          <w:noProof/>
        </w:rPr>
        <w:t>A kiválasztási kritériumoknak biztosítaniuk kell, hogy a Helyreállítási</w:t>
      </w:r>
      <w:r>
        <w:rPr>
          <w:rFonts w:ascii="Times New Roman" w:hAnsi="Times New Roman"/>
          <w:noProof/>
        </w:rPr>
        <w:t xml:space="preserve"> és Rezilienciaépítési Eszközről szóló rendelet VI. mellékletével összhangban legalább 236 000 000 EUR, amely az intézkedés becsült költségének 40%-át teszi ki, hozzájáruljon az éghajlatváltozással kapcsolatos célkitűzésekhez.</w:t>
      </w:r>
      <w:r>
        <w:rPr>
          <w:rStyle w:val="FootnoteReference"/>
          <w:rFonts w:ascii="Times New Roman" w:hAnsi="Times New Roman" w:cs="Times New Roman"/>
          <w:noProof/>
        </w:rPr>
        <w:footnoteReference w:id="232"/>
      </w:r>
    </w:p>
    <w:p w14:paraId="673AC9A6" w14:textId="77777777" w:rsidR="003E1D81" w:rsidRDefault="00EB481C">
      <w:pPr>
        <w:pStyle w:val="Text1"/>
        <w:ind w:left="0"/>
        <w:rPr>
          <w:rFonts w:ascii="Times New Roman" w:hAnsi="Times New Roman" w:cs="Times New Roman"/>
          <w:noProof/>
        </w:rPr>
      </w:pPr>
      <w:r>
        <w:rPr>
          <w:rStyle w:val="IntenseEmphasis"/>
          <w:rFonts w:ascii="Times New Roman" w:hAnsi="Times New Roman"/>
          <w:i w:val="0"/>
          <w:noProof/>
          <w:color w:val="auto"/>
        </w:rPr>
        <w:t xml:space="preserve">Az intézkedés végrehajtását </w:t>
      </w:r>
      <w:r>
        <w:rPr>
          <w:rStyle w:val="IntenseEmphasis"/>
          <w:rFonts w:ascii="Times New Roman" w:hAnsi="Times New Roman"/>
          <w:i w:val="0"/>
          <w:noProof/>
          <w:color w:val="auto"/>
        </w:rPr>
        <w:t>2026. augusztus</w:t>
      </w:r>
      <w:r>
        <w:rPr>
          <w:rFonts w:ascii="Times New Roman" w:hAnsi="Times New Roman"/>
          <w:i/>
          <w:noProof/>
        </w:rPr>
        <w:t xml:space="preserve"> </w:t>
      </w:r>
      <w:r>
        <w:rPr>
          <w:rStyle w:val="IntenseEmphasis"/>
          <w:rFonts w:ascii="Times New Roman" w:hAnsi="Times New Roman"/>
          <w:i w:val="0"/>
          <w:noProof/>
          <w:color w:val="auto"/>
        </w:rPr>
        <w:t>31-ig be kell fejezni</w:t>
      </w:r>
      <w:r>
        <w:rPr>
          <w:rFonts w:ascii="Times New Roman" w:hAnsi="Times New Roman"/>
          <w:noProof/>
        </w:rPr>
        <w:t xml:space="preserve">. </w:t>
      </w:r>
    </w:p>
    <w:p w14:paraId="5556DCD0" w14:textId="77777777" w:rsidR="003E1D81" w:rsidRDefault="003E1D81">
      <w:pPr>
        <w:spacing w:after="0" w:line="240" w:lineRule="auto"/>
        <w:jc w:val="both"/>
        <w:rPr>
          <w:rFonts w:ascii="Times New Roman" w:hAnsi="Times New Roman" w:cs="Times New Roman"/>
          <w:noProof/>
        </w:rPr>
      </w:pPr>
    </w:p>
    <w:p w14:paraId="00620CE8" w14:textId="5E52E87D" w:rsidR="003E1D81" w:rsidRDefault="00EB481C">
      <w:pPr>
        <w:pStyle w:val="P68B1DB1-Normal6"/>
        <w:rPr>
          <w:rFonts w:cs="Times New Roman"/>
          <w:noProof/>
        </w:rPr>
      </w:pPr>
      <w:r>
        <w:rPr>
          <w:noProof/>
        </w:rPr>
        <w:t>Beruházás (C31.I6) – A dekarbonizációs projektekre vonatkozó támogatási program (támogatások)</w:t>
      </w:r>
    </w:p>
    <w:p w14:paraId="5BCED0EA" w14:textId="71CA3698" w:rsidR="003E1D81" w:rsidRDefault="00EB481C">
      <w:pPr>
        <w:pStyle w:val="P68B1DB1-paragraph25"/>
        <w:spacing w:before="120" w:after="120"/>
        <w:jc w:val="both"/>
        <w:textAlignment w:val="baseline"/>
        <w:rPr>
          <w:rFonts w:cs="Times New Roman"/>
          <w:noProof/>
        </w:rPr>
      </w:pPr>
      <w:r>
        <w:rPr>
          <w:noProof/>
        </w:rPr>
        <w:t>Ez az intézkedés egy állami támogatási rendszerbe történő állami beruházásból áll a magánberuházások ösztönzése érdekében</w:t>
      </w:r>
      <w:r>
        <w:rPr>
          <w:noProof/>
        </w:rPr>
        <w:t>. A rendszer a Miniszterek Tanácsa által jóváhagyott szén-dioxid-mentesítési stratégiai projekt (PERTE) keretében előmozdítja az ipari folyamatok dekarbonizációját, valamint új, rendkívül hatékony és dekarbonizált gyártólétesítmények fejlesztését. A Helyre</w:t>
      </w:r>
      <w:r>
        <w:rPr>
          <w:noProof/>
        </w:rPr>
        <w:t>állítási és Rezilienciaépítési Eszköz beruházásai alapján a támogatási program célja kezdetben legalább 430 000 000 EUR összegű finanszírozás biztosítása.</w:t>
      </w:r>
    </w:p>
    <w:p w14:paraId="28317DC5" w14:textId="4A9E4048" w:rsidR="003E1D81" w:rsidRDefault="00EB481C">
      <w:pPr>
        <w:pStyle w:val="P68B1DB1-paragraph25"/>
        <w:spacing w:before="120" w:after="120"/>
        <w:jc w:val="both"/>
        <w:textAlignment w:val="baseline"/>
        <w:rPr>
          <w:rFonts w:cs="Times New Roman"/>
          <w:noProof/>
        </w:rPr>
      </w:pPr>
      <w:r>
        <w:rPr>
          <w:noProof/>
        </w:rPr>
        <w:t>A rendszert végrehajtó partnerként az ENISA irányítja. A vonatkozó jogi aktusnak az ENISA-t közvállal</w:t>
      </w:r>
      <w:r>
        <w:rPr>
          <w:noProof/>
        </w:rPr>
        <w:t xml:space="preserve">kozássá kell átalakítania e beruházás megvalósítása érdekében. </w:t>
      </w:r>
    </w:p>
    <w:p w14:paraId="0DB2C377" w14:textId="421903AA" w:rsidR="003E1D81" w:rsidRDefault="00EB481C">
      <w:pPr>
        <w:pStyle w:val="P68B1DB1-paragraph25"/>
        <w:spacing w:before="120" w:after="120"/>
        <w:jc w:val="both"/>
        <w:textAlignment w:val="baseline"/>
        <w:rPr>
          <w:rFonts w:cs="Times New Roman"/>
          <w:noProof/>
        </w:rPr>
      </w:pPr>
      <w:r>
        <w:rPr>
          <w:noProof/>
        </w:rPr>
        <w:t xml:space="preserve">A programba történő beruházás végrehajtása érdekében a kormány a támogatási rendszert létrehozó egy vagy több jogi eszközt fogad el, amelyek a következő elemeket tartalmazzák:  </w:t>
      </w:r>
    </w:p>
    <w:p w14:paraId="1E0157FE" w14:textId="775B50D3" w:rsidR="003E1D81" w:rsidRDefault="00EB481C">
      <w:pPr>
        <w:pStyle w:val="P68B1DB1-paragraph25"/>
        <w:numPr>
          <w:ilvl w:val="0"/>
          <w:numId w:val="778"/>
        </w:numPr>
        <w:spacing w:before="120" w:after="120"/>
        <w:jc w:val="both"/>
        <w:textAlignment w:val="baseline"/>
        <w:rPr>
          <w:rFonts w:cs="Times New Roman"/>
          <w:noProof/>
        </w:rPr>
      </w:pPr>
      <w:r>
        <w:rPr>
          <w:noProof/>
        </w:rPr>
        <w:t>A programra vo</w:t>
      </w:r>
      <w:r>
        <w:rPr>
          <w:noProof/>
        </w:rPr>
        <w:t>natkozó döntéshozatali eljárás leírása: A pályázatok értékelését és a végső odaítélési határozatokban vagy a beruházási határozatokban szerepeltetendő kedvezményezettek kiválasztását értékelő bizottság vagy más, ezzel egyenértékű irányító testület végzi, é</w:t>
      </w:r>
      <w:r>
        <w:rPr>
          <w:noProof/>
        </w:rPr>
        <w:t xml:space="preserve">s azt a spanyol kormánytól független tagok szavazatainak többségével kell jóváhagyni, ami azt jelenti, hogy a kedvezményezetteknek vagy az ENISA által alkalmazott személyzetnek és/vagy más független szakértőknek kell lenniük. A program végleges beruházási </w:t>
      </w:r>
      <w:r>
        <w:rPr>
          <w:noProof/>
        </w:rPr>
        <w:t xml:space="preserve">döntése az értékelő bizottság vagy azzal egyenértékű irányító testület által javasolt beruházási döntéssel kapcsolatos vétójog (módosítás nélküli) jóváhagyására vagy gyakorlására korlátozódik.  </w:t>
      </w:r>
    </w:p>
    <w:p w14:paraId="349961BF" w14:textId="759D5F46" w:rsidR="003E1D81" w:rsidRDefault="00EB481C">
      <w:pPr>
        <w:pStyle w:val="P68B1DB1-paragraph25"/>
        <w:numPr>
          <w:ilvl w:val="0"/>
          <w:numId w:val="778"/>
        </w:numPr>
        <w:spacing w:before="120" w:after="120"/>
        <w:jc w:val="both"/>
        <w:textAlignment w:val="baseline"/>
        <w:rPr>
          <w:rFonts w:cs="Times New Roman"/>
          <w:noProof/>
        </w:rPr>
      </w:pPr>
      <w:r>
        <w:rPr>
          <w:noProof/>
        </w:rPr>
        <w:t>Az ágazat zöld és digitális átalakulását célzó, támogatásra j</w:t>
      </w:r>
      <w:r>
        <w:rPr>
          <w:noProof/>
        </w:rPr>
        <w:t>ogosult tevékenységek listája, amelynek összege legalább 430 000 000 EUR. Az intézkedés olyan innovatív projekteket támogat, amelyek jelentős ipari átalakulást foglalnak magukban az energiahatékonyság, a fenntarthatóság és az ágazat digitális átalakulása t</w:t>
      </w:r>
      <w:r>
        <w:rPr>
          <w:noProof/>
        </w:rPr>
        <w:t>ekintetében, valamint új, nagy hatékonyságú és dekarbonizált gyártólétesítmények fejlesztését.</w:t>
      </w:r>
    </w:p>
    <w:p w14:paraId="09743D41" w14:textId="71209F0A" w:rsidR="003E1D81" w:rsidRDefault="00EB481C">
      <w:pPr>
        <w:pStyle w:val="paragraph"/>
        <w:numPr>
          <w:ilvl w:val="0"/>
          <w:numId w:val="778"/>
        </w:numPr>
        <w:spacing w:before="120" w:after="120"/>
        <w:jc w:val="both"/>
        <w:textAlignment w:val="baseline"/>
        <w:rPr>
          <w:rFonts w:ascii="Times New Roman" w:hAnsi="Times New Roman" w:cs="Times New Roman"/>
          <w:noProof/>
        </w:rPr>
      </w:pPr>
      <w:r>
        <w:rPr>
          <w:rFonts w:ascii="Times New Roman" w:hAnsi="Times New Roman"/>
          <w:noProof/>
        </w:rPr>
        <w:t>A jelentős károkozás elkerülését célzó elvnek való megfelelés követelménye a Helyreállítási és Rezilienciaépítési Eszköz keretében, a DNSH technikai iránymutatás</w:t>
      </w:r>
      <w:r>
        <w:rPr>
          <w:rFonts w:ascii="Times New Roman" w:hAnsi="Times New Roman"/>
          <w:noProof/>
        </w:rPr>
        <w:t>ában (2021/C58/01) meghatározottak szerint. A jogi eszköz(ök)ből különösen ki kell zárni a tevékenységek alábbi felsorolását: az uniós kibocsátáskereskedelmi rendszer (ETS) keretében végzett tevékenységek, amelyek a vonatkozó referenciaértékeknél nem alacs</w:t>
      </w:r>
      <w:r>
        <w:rPr>
          <w:rFonts w:ascii="Times New Roman" w:hAnsi="Times New Roman"/>
          <w:noProof/>
        </w:rPr>
        <w:t>onyabb várható üvegházhatásúgáz-kibocsátást érnek el</w:t>
      </w:r>
      <w:r>
        <w:rPr>
          <w:rStyle w:val="FootnoteReference"/>
          <w:rFonts w:ascii="Times New Roman" w:hAnsi="Times New Roman" w:cs="Times New Roman"/>
          <w:noProof/>
        </w:rPr>
        <w:footnoteReference w:id="233"/>
      </w:r>
      <w:r>
        <w:rPr>
          <w:rFonts w:ascii="Times New Roman" w:hAnsi="Times New Roman"/>
          <w:noProof/>
        </w:rPr>
        <w:t>; a fosszilis tüzelőanyagokhoz kapcsolódó tevékenységek, beleértve a kibocsátáskereskedelmi rendszeren (ETS) kívüli további felhasználást is</w:t>
      </w:r>
      <w:r>
        <w:rPr>
          <w:rStyle w:val="FootnoteReference"/>
          <w:rFonts w:ascii="Times New Roman" w:hAnsi="Times New Roman" w:cs="Times New Roman"/>
          <w:noProof/>
        </w:rPr>
        <w:footnoteReference w:id="234"/>
      </w:r>
      <w:r>
        <w:rPr>
          <w:rFonts w:ascii="Times New Roman" w:hAnsi="Times New Roman"/>
          <w:noProof/>
        </w:rPr>
        <w:t>. Ezen túlmenően a jogi eszköz(ök)nek meg kell követelniük a t</w:t>
      </w:r>
      <w:r>
        <w:rPr>
          <w:rFonts w:ascii="Times New Roman" w:hAnsi="Times New Roman"/>
          <w:noProof/>
        </w:rPr>
        <w:t>ámogatási rendszerek végső kedvezményezettjeinek a vonatkozó uniós és nemzeti környezetvédelmi jogszabályoknak való megfelelést. Az e beruházás keretében végrehajtott alábbi K+F+I-intézkedéseket úgy kell tekinteni, hogy megfelelnek a jelentős károkozás elk</w:t>
      </w:r>
      <w:r>
        <w:rPr>
          <w:rFonts w:ascii="Times New Roman" w:hAnsi="Times New Roman"/>
          <w:noProof/>
        </w:rPr>
        <w:t>erülését célzó elvről szóló technikai iránymutatásnak (2021/C58/01): E beruházás keretében a vállalatok környezeti fenntarthatóságának jelentős növelésére irányuló K+F+I tevékenységek (például dekarbonizáció, a szennyezés csökkentése és a körforgásos gazda</w:t>
      </w:r>
      <w:r>
        <w:rPr>
          <w:rFonts w:ascii="Times New Roman" w:hAnsi="Times New Roman"/>
          <w:noProof/>
        </w:rPr>
        <w:t>ság), amennyiben az e beruházás keretében megvalósuló K+F+I tevékenységek elsősorban az ágazatban a lehető legkisebb környezeti hatással járó alternatívák kidolgozására vagy kiigazítására irányulnak. Ezen túlmenően a jogi eszköz(ök)nek meg kell követelniük</w:t>
      </w:r>
      <w:r>
        <w:rPr>
          <w:rFonts w:ascii="Times New Roman" w:hAnsi="Times New Roman"/>
          <w:noProof/>
        </w:rPr>
        <w:t xml:space="preserve"> a támogatási rendszerek végső kedvezményezettjeinek a vonatkozó uniós és nemzeti környezetvédelmi jogszabályoknak való megfelelést.  </w:t>
      </w:r>
    </w:p>
    <w:p w14:paraId="4B5E9D89" w14:textId="4F304DB4" w:rsidR="003E1D81" w:rsidRDefault="00EB481C">
      <w:pPr>
        <w:pStyle w:val="paragraph"/>
        <w:numPr>
          <w:ilvl w:val="0"/>
          <w:numId w:val="778"/>
        </w:numPr>
        <w:spacing w:before="120" w:after="120"/>
        <w:jc w:val="both"/>
        <w:textAlignment w:val="baseline"/>
        <w:rPr>
          <w:rFonts w:ascii="Times New Roman" w:hAnsi="Times New Roman" w:cs="Times New Roman"/>
          <w:noProof/>
        </w:rPr>
      </w:pPr>
      <w:r>
        <w:rPr>
          <w:rFonts w:ascii="Times New Roman" w:hAnsi="Times New Roman"/>
          <w:noProof/>
        </w:rPr>
        <w:t>A támogatási rendszer éghajlatváltozással kapcsolatos beruházásaira vonatkozó követelmények: a Helyreállítási és Rezilien</w:t>
      </w:r>
      <w:r>
        <w:rPr>
          <w:rFonts w:ascii="Times New Roman" w:hAnsi="Times New Roman"/>
          <w:noProof/>
        </w:rPr>
        <w:t>ciaépítési Eszközből a rendszerbe történő beruházásból legalább 172 000 000 EUR-nak hozzá kell járulnia az éghajlatváltozással kapcsolatos célkitűzésekhez a Helyreállítási és Rezilienciaépítési Eszközről szóló rendelet VI. mellékletével összhangban.</w:t>
      </w:r>
      <w:r>
        <w:rPr>
          <w:rStyle w:val="FootnoteReference"/>
          <w:rFonts w:ascii="Times New Roman" w:hAnsi="Times New Roman" w:cs="Times New Roman"/>
          <w:noProof/>
        </w:rPr>
        <w:footnoteReference w:id="235"/>
      </w:r>
      <w:r>
        <w:rPr>
          <w:rFonts w:ascii="Times New Roman" w:hAnsi="Times New Roman"/>
          <w:noProof/>
        </w:rPr>
        <w:t xml:space="preserve"> </w:t>
      </w:r>
    </w:p>
    <w:p w14:paraId="07CE7015" w14:textId="77777777" w:rsidR="003E1D81" w:rsidRDefault="00EB481C">
      <w:pPr>
        <w:pStyle w:val="P68B1DB1-paragraph25"/>
        <w:numPr>
          <w:ilvl w:val="0"/>
          <w:numId w:val="778"/>
        </w:numPr>
        <w:spacing w:before="120" w:after="120"/>
        <w:jc w:val="both"/>
        <w:textAlignment w:val="baseline"/>
        <w:rPr>
          <w:rFonts w:cs="Times New Roman"/>
          <w:noProof/>
        </w:rPr>
      </w:pPr>
      <w:r>
        <w:rPr>
          <w:noProof/>
        </w:rPr>
        <w:t>Az a</w:t>
      </w:r>
      <w:r>
        <w:rPr>
          <w:noProof/>
        </w:rPr>
        <w:t xml:space="preserve"> követelmény, hogy a támogatási rendszer végső kedvezményezettjei nem részesülhetnek támogatásban más uniós eszközökből ugyanazon költségek fedezésére.</w:t>
      </w:r>
    </w:p>
    <w:p w14:paraId="64F04B98" w14:textId="37DD96F3" w:rsidR="003E1D81" w:rsidRDefault="00EB481C">
      <w:pPr>
        <w:pStyle w:val="P68B1DB1-paragraph25"/>
        <w:numPr>
          <w:ilvl w:val="0"/>
          <w:numId w:val="778"/>
        </w:numPr>
        <w:spacing w:before="120" w:after="120"/>
        <w:jc w:val="both"/>
        <w:textAlignment w:val="baseline"/>
        <w:rPr>
          <w:rFonts w:cs="Times New Roman"/>
          <w:noProof/>
        </w:rPr>
      </w:pPr>
      <w:r>
        <w:rPr>
          <w:noProof/>
        </w:rPr>
        <w:t>A program hatálya alá tartozó összeg, valamint az a követelmény, hogy a támogatási programból származó f</w:t>
      </w:r>
      <w:r>
        <w:rPr>
          <w:noProof/>
        </w:rPr>
        <w:t xml:space="preserve">el nem használt bevételeket újra be kell fektetni a fent felsorolt tevékenységekbe, beleértve a 2026 utáni tevékenységeket is. </w:t>
      </w:r>
    </w:p>
    <w:p w14:paraId="7190FCC1" w14:textId="77777777" w:rsidR="003E1D81" w:rsidRDefault="00EB481C">
      <w:pPr>
        <w:pStyle w:val="P68B1DB1-paragraph25"/>
        <w:spacing w:before="120" w:beforeAutospacing="0" w:after="120" w:afterAutospacing="0"/>
        <w:jc w:val="both"/>
        <w:textAlignment w:val="baseline"/>
        <w:rPr>
          <w:rFonts w:cs="Times New Roman"/>
          <w:noProof/>
        </w:rPr>
      </w:pPr>
      <w:r>
        <w:rPr>
          <w:noProof/>
        </w:rPr>
        <w:t>A beruházás végrehajtását 2026. augusztus 31-ig be kell fejezni.</w:t>
      </w:r>
    </w:p>
    <w:p w14:paraId="236B8678" w14:textId="77777777" w:rsidR="003E1D81" w:rsidRDefault="00EB481C">
      <w:pPr>
        <w:pStyle w:val="P68B1DB1-Text141"/>
        <w:spacing w:before="0" w:after="160" w:line="259" w:lineRule="auto"/>
        <w:rPr>
          <w:rFonts w:cs="Times New Roman"/>
          <w:noProof/>
        </w:rPr>
      </w:pPr>
      <w:r>
        <w:rPr>
          <w:noProof/>
          <w:u w:val="single"/>
        </w:rPr>
        <w:t xml:space="preserve">AE.2. </w:t>
      </w:r>
      <w:r>
        <w:rPr>
          <w:noProof/>
          <w:u w:val="single"/>
        </w:rPr>
        <w:tab/>
        <w:t>Vissza nem térítendő pénzügyi támogatás – a végrehajtásh</w:t>
      </w:r>
      <w:r>
        <w:rPr>
          <w:noProof/>
          <w:u w:val="single"/>
        </w:rPr>
        <w:t>oz és a nyomon követéshez kapcsolódó mérföldkövek, célok, mutatók és ütemterv</w:t>
      </w:r>
      <w:r>
        <w:rPr>
          <w:noProof/>
        </w:rPr>
        <w:t xml:space="preserve"> </w:t>
      </w:r>
    </w:p>
    <w:p w14:paraId="6F1268C1" w14:textId="3DE96705" w:rsidR="003E1D81" w:rsidRDefault="00EB481C">
      <w:pPr>
        <w:pStyle w:val="P68B1DB1-Normal18"/>
        <w:spacing w:after="160" w:line="259" w:lineRule="auto"/>
        <w:jc w:val="both"/>
        <w:rPr>
          <w:rFonts w:cs="Times New Roman"/>
          <w:noProof/>
        </w:rPr>
      </w:pPr>
      <w:r>
        <w:rPr>
          <w:noProof/>
        </w:rPr>
        <w:t>Táblázat alább. Az alapforgatókönyv valamennyi mutató esetében 2022. február 1-je, kivéve, ha az intézkedés leírása másként jelzi. A táblázatban szereplő összegek nem tartalmazz</w:t>
      </w:r>
      <w:r>
        <w:rPr>
          <w:noProof/>
        </w:rPr>
        <w:t xml:space="preserve">ák a héát.  </w:t>
      </w:r>
    </w:p>
    <w:p w14:paraId="3049B90A" w14:textId="77777777" w:rsidR="003E1D81" w:rsidRDefault="003E1D81">
      <w:pPr>
        <w:pStyle w:val="Text1"/>
        <w:ind w:left="490"/>
        <w:rPr>
          <w:rFonts w:ascii="Times New Roman" w:hAnsi="Times New Roman" w:cs="Times New Roman"/>
          <w:noProof/>
        </w:rPr>
      </w:pPr>
    </w:p>
    <w:p w14:paraId="174C711A" w14:textId="77777777" w:rsidR="003E1D81" w:rsidRDefault="003E1D81">
      <w:pPr>
        <w:spacing w:before="120" w:after="120" w:line="240" w:lineRule="auto"/>
        <w:jc w:val="both"/>
        <w:rPr>
          <w:rFonts w:ascii="Times New Roman" w:hAnsi="Times New Roman" w:cs="Times New Roman"/>
          <w:noProof/>
          <w:sz w:val="24"/>
          <w:highlight w:val="yellow"/>
        </w:rPr>
      </w:pPr>
    </w:p>
    <w:p w14:paraId="6A9BBC53" w14:textId="77777777" w:rsidR="003E1D81" w:rsidRDefault="003E1D81">
      <w:pPr>
        <w:pStyle w:val="Text1"/>
        <w:ind w:left="0"/>
        <w:rPr>
          <w:rFonts w:ascii="Times New Roman" w:eastAsia="Times New Roman" w:hAnsi="Times New Roman" w:cs="Times New Roman"/>
          <w:noProof/>
          <w:u w:val="single"/>
        </w:rPr>
        <w:sectPr w:rsidR="003E1D81" w:rsidSect="00C94F66">
          <w:headerReference w:type="even" r:id="rId567"/>
          <w:headerReference w:type="default" r:id="rId568"/>
          <w:footerReference w:type="even" r:id="rId569"/>
          <w:footerReference w:type="default" r:id="rId570"/>
          <w:headerReference w:type="first" r:id="rId571"/>
          <w:footerReference w:type="first" r:id="rId572"/>
          <w:pgSz w:w="11907" w:h="16839"/>
          <w:pgMar w:top="1134" w:right="1417" w:bottom="1134" w:left="1417" w:header="709" w:footer="709" w:gutter="0"/>
          <w:cols w:space="720"/>
          <w:docGrid w:linePitch="360"/>
        </w:sectPr>
      </w:pPr>
    </w:p>
    <w:tbl>
      <w:tblPr>
        <w:tblW w:w="1530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73"/>
        <w:gridCol w:w="804"/>
        <w:gridCol w:w="900"/>
        <w:gridCol w:w="2296"/>
        <w:gridCol w:w="1215"/>
        <w:gridCol w:w="600"/>
        <w:gridCol w:w="436"/>
        <w:gridCol w:w="556"/>
        <w:gridCol w:w="426"/>
        <w:gridCol w:w="502"/>
        <w:gridCol w:w="6869"/>
        <w:gridCol w:w="31"/>
      </w:tblGrid>
      <w:tr w:rsidR="003E1D81" w14:paraId="267E4B0F" w14:textId="77777777">
        <w:trPr>
          <w:trHeight w:val="309"/>
          <w:tblHeader/>
        </w:trPr>
        <w:tc>
          <w:tcPr>
            <w:tcW w:w="673" w:type="dxa"/>
            <w:tcBorders>
              <w:bottom w:val="nil"/>
            </w:tcBorders>
            <w:shd w:val="clear" w:color="auto" w:fill="C6D9F1" w:themeFill="text2" w:themeFillTint="33"/>
            <w:noWrap/>
            <w:vAlign w:val="center"/>
          </w:tcPr>
          <w:p w14:paraId="739499BC" w14:textId="77777777" w:rsidR="003E1D81" w:rsidRDefault="00EB481C">
            <w:pPr>
              <w:pStyle w:val="P68B1DB1-Normal12"/>
              <w:spacing w:after="0"/>
              <w:jc w:val="center"/>
              <w:rPr>
                <w:rFonts w:cs="Times New Roman"/>
                <w:noProof/>
              </w:rPr>
            </w:pPr>
            <w:r>
              <w:rPr>
                <w:noProof/>
              </w:rPr>
              <w:t>Szám</w:t>
            </w:r>
          </w:p>
        </w:tc>
        <w:tc>
          <w:tcPr>
            <w:tcW w:w="804" w:type="dxa"/>
            <w:tcBorders>
              <w:bottom w:val="nil"/>
            </w:tcBorders>
            <w:shd w:val="clear" w:color="auto" w:fill="C6D9F1" w:themeFill="text2" w:themeFillTint="33"/>
            <w:noWrap/>
            <w:vAlign w:val="center"/>
          </w:tcPr>
          <w:p w14:paraId="26DABC7B" w14:textId="77777777" w:rsidR="003E1D81" w:rsidRDefault="00EB481C">
            <w:pPr>
              <w:pStyle w:val="P68B1DB1-Normal12"/>
              <w:spacing w:after="0"/>
              <w:jc w:val="center"/>
              <w:rPr>
                <w:rFonts w:cs="Times New Roman"/>
                <w:noProof/>
              </w:rPr>
            </w:pPr>
            <w:r>
              <w:rPr>
                <w:noProof/>
              </w:rPr>
              <w:t>Intézkedés</w:t>
            </w:r>
          </w:p>
        </w:tc>
        <w:tc>
          <w:tcPr>
            <w:tcW w:w="900" w:type="dxa"/>
            <w:tcBorders>
              <w:bottom w:val="nil"/>
            </w:tcBorders>
            <w:shd w:val="clear" w:color="auto" w:fill="C6D9F1" w:themeFill="text2" w:themeFillTint="33"/>
            <w:noWrap/>
            <w:vAlign w:val="center"/>
          </w:tcPr>
          <w:p w14:paraId="307D85D7" w14:textId="77777777" w:rsidR="003E1D81" w:rsidRDefault="00EB481C">
            <w:pPr>
              <w:pStyle w:val="P68B1DB1-Normal12"/>
              <w:spacing w:after="0"/>
              <w:jc w:val="center"/>
              <w:rPr>
                <w:rFonts w:cs="Times New Roman"/>
                <w:noProof/>
              </w:rPr>
            </w:pPr>
            <w:r>
              <w:rPr>
                <w:noProof/>
              </w:rPr>
              <w:t>Mérföldkő</w:t>
            </w:r>
            <w:r>
              <w:rPr>
                <w:noProof/>
              </w:rPr>
              <w:br/>
              <w:t xml:space="preserve"> /Cél</w:t>
            </w:r>
          </w:p>
        </w:tc>
        <w:tc>
          <w:tcPr>
            <w:tcW w:w="2296" w:type="dxa"/>
            <w:tcBorders>
              <w:bottom w:val="nil"/>
            </w:tcBorders>
            <w:shd w:val="clear" w:color="auto" w:fill="C6D9F1" w:themeFill="text2" w:themeFillTint="33"/>
            <w:noWrap/>
            <w:vAlign w:val="center"/>
          </w:tcPr>
          <w:p w14:paraId="5A8443B3" w14:textId="77777777" w:rsidR="003E1D81" w:rsidRDefault="00EB481C">
            <w:pPr>
              <w:pStyle w:val="P68B1DB1-Normal12"/>
              <w:spacing w:after="0"/>
              <w:jc w:val="center"/>
              <w:rPr>
                <w:rFonts w:cs="Times New Roman"/>
                <w:noProof/>
              </w:rPr>
            </w:pPr>
            <w:r>
              <w:rPr>
                <w:noProof/>
              </w:rPr>
              <w:t>Név</w:t>
            </w:r>
          </w:p>
        </w:tc>
        <w:tc>
          <w:tcPr>
            <w:tcW w:w="1215" w:type="dxa"/>
            <w:tcBorders>
              <w:bottom w:val="nil"/>
            </w:tcBorders>
            <w:shd w:val="clear" w:color="auto" w:fill="C6D9F1" w:themeFill="text2" w:themeFillTint="33"/>
            <w:noWrap/>
            <w:vAlign w:val="center"/>
          </w:tcPr>
          <w:p w14:paraId="1F260584" w14:textId="77777777" w:rsidR="003E1D81" w:rsidRDefault="00EB481C">
            <w:pPr>
              <w:pStyle w:val="P68B1DB1-Normal12"/>
              <w:spacing w:after="0"/>
              <w:jc w:val="center"/>
              <w:rPr>
                <w:rFonts w:cs="Times New Roman"/>
                <w:noProof/>
              </w:rPr>
            </w:pPr>
            <w:r>
              <w:rPr>
                <w:noProof/>
              </w:rPr>
              <w:t>A mérföldkövek minőségi mutatója</w:t>
            </w:r>
          </w:p>
        </w:tc>
        <w:tc>
          <w:tcPr>
            <w:tcW w:w="1592" w:type="dxa"/>
            <w:gridSpan w:val="3"/>
            <w:shd w:val="clear" w:color="auto" w:fill="C6D9F1" w:themeFill="text2" w:themeFillTint="33"/>
            <w:noWrap/>
            <w:vAlign w:val="center"/>
          </w:tcPr>
          <w:p w14:paraId="10AE6A7A" w14:textId="77777777" w:rsidR="003E1D81" w:rsidRDefault="00EB481C">
            <w:pPr>
              <w:pStyle w:val="P68B1DB1-Normal12"/>
              <w:spacing w:after="0"/>
              <w:jc w:val="center"/>
              <w:rPr>
                <w:rFonts w:cs="Times New Roman"/>
                <w:noProof/>
              </w:rPr>
            </w:pPr>
            <w:r>
              <w:rPr>
                <w:noProof/>
              </w:rPr>
              <w:t>A célérték mennyiségi mutatója</w:t>
            </w:r>
          </w:p>
        </w:tc>
        <w:tc>
          <w:tcPr>
            <w:tcW w:w="928" w:type="dxa"/>
            <w:gridSpan w:val="2"/>
            <w:shd w:val="clear" w:color="auto" w:fill="C6D9F1" w:themeFill="text2" w:themeFillTint="33"/>
            <w:noWrap/>
            <w:vAlign w:val="center"/>
          </w:tcPr>
          <w:p w14:paraId="0E3795C7" w14:textId="77777777" w:rsidR="003E1D81" w:rsidRDefault="00EB481C">
            <w:pPr>
              <w:pStyle w:val="P68B1DB1-Normal12"/>
              <w:spacing w:after="0"/>
              <w:jc w:val="center"/>
              <w:rPr>
                <w:rFonts w:cs="Times New Roman"/>
                <w:noProof/>
              </w:rPr>
            </w:pPr>
            <w:r>
              <w:rPr>
                <w:noProof/>
              </w:rPr>
              <w:t>Idő</w:t>
            </w:r>
          </w:p>
        </w:tc>
        <w:tc>
          <w:tcPr>
            <w:tcW w:w="6900" w:type="dxa"/>
            <w:gridSpan w:val="2"/>
            <w:tcBorders>
              <w:bottom w:val="nil"/>
            </w:tcBorders>
            <w:shd w:val="clear" w:color="auto" w:fill="C6D9F1" w:themeFill="text2" w:themeFillTint="33"/>
            <w:noWrap/>
            <w:vAlign w:val="center"/>
          </w:tcPr>
          <w:p w14:paraId="0579A367" w14:textId="77777777" w:rsidR="003E1D81" w:rsidRDefault="00EB481C">
            <w:pPr>
              <w:pStyle w:val="P68B1DB1-Normal12"/>
              <w:spacing w:after="0"/>
              <w:jc w:val="center"/>
              <w:rPr>
                <w:rFonts w:cs="Times New Roman"/>
                <w:noProof/>
              </w:rPr>
            </w:pPr>
            <w:r>
              <w:rPr>
                <w:noProof/>
              </w:rPr>
              <w:t>Az egyes mérföldkövek és célértékek leírása</w:t>
            </w:r>
          </w:p>
        </w:tc>
      </w:tr>
      <w:tr w:rsidR="003E1D81" w14:paraId="03DBCC2E" w14:textId="77777777">
        <w:trPr>
          <w:trHeight w:val="309"/>
          <w:tblHeader/>
        </w:trPr>
        <w:tc>
          <w:tcPr>
            <w:tcW w:w="673" w:type="dxa"/>
            <w:tcBorders>
              <w:top w:val="nil"/>
            </w:tcBorders>
            <w:shd w:val="clear" w:color="auto" w:fill="C6D9F1" w:themeFill="text2" w:themeFillTint="33"/>
            <w:noWrap/>
          </w:tcPr>
          <w:p w14:paraId="56125178" w14:textId="77777777" w:rsidR="003E1D81" w:rsidRDefault="003E1D81">
            <w:pPr>
              <w:spacing w:after="0"/>
              <w:jc w:val="center"/>
              <w:rPr>
                <w:rFonts w:ascii="Times New Roman" w:hAnsi="Times New Roman" w:cs="Times New Roman"/>
                <w:b/>
                <w:noProof/>
                <w:sz w:val="18"/>
              </w:rPr>
            </w:pPr>
          </w:p>
        </w:tc>
        <w:tc>
          <w:tcPr>
            <w:tcW w:w="804" w:type="dxa"/>
            <w:tcBorders>
              <w:top w:val="nil"/>
            </w:tcBorders>
            <w:shd w:val="clear" w:color="auto" w:fill="C6D9F1" w:themeFill="text2" w:themeFillTint="33"/>
            <w:noWrap/>
          </w:tcPr>
          <w:p w14:paraId="17CC4C53" w14:textId="77777777" w:rsidR="003E1D81" w:rsidRDefault="003E1D81">
            <w:pPr>
              <w:spacing w:after="0"/>
              <w:jc w:val="center"/>
              <w:rPr>
                <w:rFonts w:ascii="Times New Roman" w:hAnsi="Times New Roman" w:cs="Times New Roman"/>
                <w:b/>
                <w:noProof/>
                <w:sz w:val="18"/>
              </w:rPr>
            </w:pPr>
          </w:p>
        </w:tc>
        <w:tc>
          <w:tcPr>
            <w:tcW w:w="900" w:type="dxa"/>
            <w:tcBorders>
              <w:top w:val="nil"/>
            </w:tcBorders>
            <w:shd w:val="clear" w:color="auto" w:fill="C6D9F1" w:themeFill="text2" w:themeFillTint="33"/>
            <w:noWrap/>
          </w:tcPr>
          <w:p w14:paraId="1398DCEE" w14:textId="77777777" w:rsidR="003E1D81" w:rsidRDefault="003E1D81">
            <w:pPr>
              <w:spacing w:after="0"/>
              <w:jc w:val="center"/>
              <w:rPr>
                <w:rFonts w:ascii="Times New Roman" w:hAnsi="Times New Roman" w:cs="Times New Roman"/>
                <w:b/>
                <w:noProof/>
                <w:sz w:val="18"/>
              </w:rPr>
            </w:pPr>
          </w:p>
        </w:tc>
        <w:tc>
          <w:tcPr>
            <w:tcW w:w="2296" w:type="dxa"/>
            <w:tcBorders>
              <w:top w:val="nil"/>
            </w:tcBorders>
            <w:shd w:val="clear" w:color="auto" w:fill="C6D9F1" w:themeFill="text2" w:themeFillTint="33"/>
            <w:noWrap/>
          </w:tcPr>
          <w:p w14:paraId="6A604297" w14:textId="77777777" w:rsidR="003E1D81" w:rsidRDefault="003E1D81">
            <w:pPr>
              <w:spacing w:after="0"/>
              <w:rPr>
                <w:rFonts w:ascii="Times New Roman" w:hAnsi="Times New Roman" w:cs="Times New Roman"/>
                <w:b/>
                <w:noProof/>
                <w:sz w:val="18"/>
              </w:rPr>
            </w:pPr>
          </w:p>
        </w:tc>
        <w:tc>
          <w:tcPr>
            <w:tcW w:w="1215" w:type="dxa"/>
            <w:tcBorders>
              <w:top w:val="nil"/>
            </w:tcBorders>
            <w:shd w:val="clear" w:color="auto" w:fill="C6D9F1" w:themeFill="text2" w:themeFillTint="33"/>
            <w:noWrap/>
          </w:tcPr>
          <w:p w14:paraId="09E79A89" w14:textId="77777777" w:rsidR="003E1D81" w:rsidRDefault="003E1D81">
            <w:pPr>
              <w:spacing w:after="0"/>
              <w:jc w:val="center"/>
              <w:rPr>
                <w:rFonts w:ascii="Times New Roman" w:hAnsi="Times New Roman" w:cs="Times New Roman"/>
                <w:b/>
                <w:noProof/>
                <w:sz w:val="18"/>
              </w:rPr>
            </w:pPr>
          </w:p>
        </w:tc>
        <w:tc>
          <w:tcPr>
            <w:tcW w:w="600" w:type="dxa"/>
            <w:shd w:val="clear" w:color="auto" w:fill="C6D9F1" w:themeFill="text2" w:themeFillTint="33"/>
            <w:noWrap/>
          </w:tcPr>
          <w:p w14:paraId="15204107" w14:textId="77777777" w:rsidR="003E1D81" w:rsidRDefault="00EB481C">
            <w:pPr>
              <w:pStyle w:val="P68B1DB1-Normal12"/>
              <w:spacing w:after="0"/>
              <w:jc w:val="center"/>
              <w:rPr>
                <w:rFonts w:cs="Times New Roman"/>
                <w:noProof/>
              </w:rPr>
            </w:pPr>
            <w:r>
              <w:rPr>
                <w:noProof/>
              </w:rPr>
              <w:t>Egység</w:t>
            </w:r>
          </w:p>
        </w:tc>
        <w:tc>
          <w:tcPr>
            <w:tcW w:w="436" w:type="dxa"/>
            <w:shd w:val="clear" w:color="auto" w:fill="C6D9F1" w:themeFill="text2" w:themeFillTint="33"/>
            <w:noWrap/>
          </w:tcPr>
          <w:p w14:paraId="116B796B" w14:textId="77777777" w:rsidR="003E1D81" w:rsidRDefault="00EB481C">
            <w:pPr>
              <w:pStyle w:val="P68B1DB1-Normal12"/>
              <w:spacing w:after="0"/>
              <w:jc w:val="center"/>
              <w:rPr>
                <w:rFonts w:cs="Times New Roman"/>
                <w:noProof/>
              </w:rPr>
            </w:pPr>
            <w:r>
              <w:rPr>
                <w:noProof/>
              </w:rPr>
              <w:t>Alapérték</w:t>
            </w:r>
          </w:p>
        </w:tc>
        <w:tc>
          <w:tcPr>
            <w:tcW w:w="556" w:type="dxa"/>
            <w:shd w:val="clear" w:color="auto" w:fill="C6D9F1" w:themeFill="text2" w:themeFillTint="33"/>
            <w:noWrap/>
          </w:tcPr>
          <w:p w14:paraId="631DC979" w14:textId="77777777" w:rsidR="003E1D81" w:rsidRDefault="00EB481C">
            <w:pPr>
              <w:pStyle w:val="P68B1DB1-Normal12"/>
              <w:spacing w:after="0"/>
              <w:jc w:val="center"/>
              <w:rPr>
                <w:rFonts w:cs="Times New Roman"/>
                <w:noProof/>
              </w:rPr>
            </w:pPr>
            <w:r>
              <w:rPr>
                <w:noProof/>
              </w:rPr>
              <w:t>Cél</w:t>
            </w:r>
          </w:p>
        </w:tc>
        <w:tc>
          <w:tcPr>
            <w:tcW w:w="426" w:type="dxa"/>
            <w:shd w:val="clear" w:color="auto" w:fill="C6D9F1" w:themeFill="text2" w:themeFillTint="33"/>
            <w:noWrap/>
          </w:tcPr>
          <w:p w14:paraId="08C70B5D" w14:textId="77777777" w:rsidR="003E1D81" w:rsidRDefault="00EB481C">
            <w:pPr>
              <w:pStyle w:val="P68B1DB1-Normal12"/>
              <w:spacing w:after="0"/>
              <w:jc w:val="center"/>
              <w:rPr>
                <w:rFonts w:cs="Times New Roman"/>
                <w:noProof/>
              </w:rPr>
            </w:pPr>
            <w:r>
              <w:rPr>
                <w:noProof/>
              </w:rPr>
              <w:t>Q</w:t>
            </w:r>
          </w:p>
        </w:tc>
        <w:tc>
          <w:tcPr>
            <w:tcW w:w="502" w:type="dxa"/>
            <w:shd w:val="clear" w:color="auto" w:fill="C6D9F1" w:themeFill="text2" w:themeFillTint="33"/>
            <w:noWrap/>
          </w:tcPr>
          <w:p w14:paraId="570BB18C" w14:textId="77777777" w:rsidR="003E1D81" w:rsidRDefault="00EB481C">
            <w:pPr>
              <w:pStyle w:val="P68B1DB1-Normal12"/>
              <w:spacing w:after="0"/>
              <w:jc w:val="center"/>
              <w:rPr>
                <w:rFonts w:cs="Times New Roman"/>
                <w:noProof/>
              </w:rPr>
            </w:pPr>
            <w:r>
              <w:rPr>
                <w:noProof/>
              </w:rPr>
              <w:t>Éve</w:t>
            </w:r>
          </w:p>
        </w:tc>
        <w:tc>
          <w:tcPr>
            <w:tcW w:w="6900" w:type="dxa"/>
            <w:gridSpan w:val="2"/>
            <w:tcBorders>
              <w:top w:val="nil"/>
            </w:tcBorders>
            <w:shd w:val="clear" w:color="auto" w:fill="C6D9F1" w:themeFill="text2" w:themeFillTint="33"/>
            <w:noWrap/>
          </w:tcPr>
          <w:p w14:paraId="76A71BA0" w14:textId="77777777" w:rsidR="003E1D81" w:rsidRDefault="003E1D81">
            <w:pPr>
              <w:spacing w:after="0"/>
              <w:rPr>
                <w:rFonts w:ascii="Times New Roman" w:hAnsi="Times New Roman" w:cs="Times New Roman"/>
                <w:b/>
                <w:noProof/>
                <w:sz w:val="18"/>
              </w:rPr>
            </w:pPr>
          </w:p>
        </w:tc>
      </w:tr>
      <w:tr w:rsidR="003E1D81" w14:paraId="184BB870" w14:textId="77777777">
        <w:trPr>
          <w:trHeight w:val="309"/>
        </w:trPr>
        <w:tc>
          <w:tcPr>
            <w:tcW w:w="673" w:type="dxa"/>
            <w:shd w:val="clear" w:color="auto" w:fill="C6EFCE"/>
            <w:noWrap/>
          </w:tcPr>
          <w:p w14:paraId="2234A85A" w14:textId="35A9F5D9" w:rsidR="003E1D81" w:rsidRDefault="00EB481C">
            <w:pPr>
              <w:pStyle w:val="P68B1DB1-Normal13"/>
              <w:spacing w:after="0"/>
              <w:jc w:val="center"/>
              <w:rPr>
                <w:rFonts w:eastAsia="Times New Roman" w:cs="Times New Roman"/>
                <w:noProof/>
              </w:rPr>
            </w:pPr>
            <w:r>
              <w:rPr>
                <w:noProof/>
              </w:rPr>
              <w:t>477</w:t>
            </w:r>
          </w:p>
        </w:tc>
        <w:tc>
          <w:tcPr>
            <w:tcW w:w="804" w:type="dxa"/>
            <w:shd w:val="clear" w:color="auto" w:fill="C6EFCE"/>
            <w:noWrap/>
          </w:tcPr>
          <w:p w14:paraId="592B3B8B" w14:textId="77777777" w:rsidR="003E1D81" w:rsidRDefault="00EB481C">
            <w:pPr>
              <w:pStyle w:val="P68B1DB1-Normal13"/>
              <w:spacing w:after="0"/>
              <w:jc w:val="center"/>
              <w:rPr>
                <w:rFonts w:eastAsia="Times New Roman" w:cs="Times New Roman"/>
                <w:noProof/>
              </w:rPr>
            </w:pPr>
            <w:r>
              <w:rPr>
                <w:noProof/>
              </w:rPr>
              <w:t>C31.R1</w:t>
            </w:r>
          </w:p>
        </w:tc>
        <w:tc>
          <w:tcPr>
            <w:tcW w:w="900" w:type="dxa"/>
            <w:shd w:val="clear" w:color="auto" w:fill="C6EFCE"/>
            <w:noWrap/>
          </w:tcPr>
          <w:p w14:paraId="6A981BD6" w14:textId="77777777" w:rsidR="003E1D81" w:rsidRDefault="00EB481C">
            <w:pPr>
              <w:pStyle w:val="P68B1DB1-Normal13"/>
              <w:spacing w:after="0"/>
              <w:jc w:val="center"/>
              <w:rPr>
                <w:rFonts w:eastAsia="Times New Roman" w:cs="Times New Roman"/>
                <w:noProof/>
              </w:rPr>
            </w:pPr>
            <w:r>
              <w:rPr>
                <w:noProof/>
              </w:rPr>
              <w:t>M</w:t>
            </w:r>
          </w:p>
        </w:tc>
        <w:tc>
          <w:tcPr>
            <w:tcW w:w="2296" w:type="dxa"/>
            <w:shd w:val="clear" w:color="auto" w:fill="C6EFCE"/>
            <w:noWrap/>
          </w:tcPr>
          <w:p w14:paraId="6870C080" w14:textId="77777777" w:rsidR="003E1D81" w:rsidRDefault="00EB481C">
            <w:pPr>
              <w:pStyle w:val="P68B1DB1-Normal13"/>
              <w:spacing w:after="0"/>
              <w:rPr>
                <w:rFonts w:eastAsia="Times New Roman" w:cs="Times New Roman"/>
                <w:noProof/>
              </w:rPr>
            </w:pPr>
            <w:r>
              <w:rPr>
                <w:noProof/>
              </w:rPr>
              <w:t>A megújulóenergia-termelés és a villamosenergia-hálózati infrastruktúra engedélyezésének javítására irányuló reform</w:t>
            </w:r>
          </w:p>
        </w:tc>
        <w:tc>
          <w:tcPr>
            <w:tcW w:w="1215" w:type="dxa"/>
            <w:shd w:val="clear" w:color="auto" w:fill="C6EFCE"/>
            <w:noWrap/>
          </w:tcPr>
          <w:p w14:paraId="4895CD95" w14:textId="29762458" w:rsidR="003E1D81" w:rsidRDefault="00EB481C">
            <w:pPr>
              <w:pStyle w:val="P68B1DB1-Normal13"/>
              <w:spacing w:after="0"/>
              <w:jc w:val="center"/>
              <w:rPr>
                <w:rFonts w:eastAsia="Times New Roman" w:cs="Times New Roman"/>
                <w:noProof/>
              </w:rPr>
            </w:pPr>
            <w:r>
              <w:rPr>
                <w:noProof/>
              </w:rPr>
              <w:t>A vonatkozó jogi aktusok rendelkezéseinek hatálybalépése</w:t>
            </w:r>
          </w:p>
        </w:tc>
        <w:tc>
          <w:tcPr>
            <w:tcW w:w="600" w:type="dxa"/>
            <w:shd w:val="clear" w:color="auto" w:fill="C6EFCE"/>
            <w:noWrap/>
          </w:tcPr>
          <w:p w14:paraId="35FCBA3A" w14:textId="77777777" w:rsidR="003E1D81" w:rsidRDefault="003E1D81">
            <w:pPr>
              <w:spacing w:after="0"/>
              <w:jc w:val="center"/>
              <w:rPr>
                <w:rFonts w:ascii="Times New Roman" w:eastAsia="Times New Roman" w:hAnsi="Times New Roman" w:cs="Times New Roman"/>
                <w:noProof/>
                <w:sz w:val="18"/>
              </w:rPr>
            </w:pPr>
          </w:p>
        </w:tc>
        <w:tc>
          <w:tcPr>
            <w:tcW w:w="436" w:type="dxa"/>
            <w:shd w:val="clear" w:color="auto" w:fill="C6EFCE"/>
            <w:noWrap/>
          </w:tcPr>
          <w:p w14:paraId="3B810888" w14:textId="77777777" w:rsidR="003E1D81" w:rsidRDefault="003E1D81">
            <w:pPr>
              <w:spacing w:after="0"/>
              <w:jc w:val="right"/>
              <w:rPr>
                <w:rFonts w:ascii="Times New Roman" w:eastAsia="Times New Roman" w:hAnsi="Times New Roman" w:cs="Times New Roman"/>
                <w:noProof/>
                <w:sz w:val="18"/>
              </w:rPr>
            </w:pPr>
          </w:p>
        </w:tc>
        <w:tc>
          <w:tcPr>
            <w:tcW w:w="556" w:type="dxa"/>
            <w:shd w:val="clear" w:color="auto" w:fill="C6EFCE"/>
            <w:noWrap/>
          </w:tcPr>
          <w:p w14:paraId="60310B7E" w14:textId="77777777" w:rsidR="003E1D81" w:rsidRDefault="003E1D81">
            <w:pPr>
              <w:spacing w:after="0"/>
              <w:jc w:val="right"/>
              <w:rPr>
                <w:rFonts w:ascii="Times New Roman" w:eastAsia="Times New Roman" w:hAnsi="Times New Roman" w:cs="Times New Roman"/>
                <w:noProof/>
                <w:sz w:val="18"/>
              </w:rPr>
            </w:pPr>
          </w:p>
        </w:tc>
        <w:tc>
          <w:tcPr>
            <w:tcW w:w="426" w:type="dxa"/>
            <w:shd w:val="clear" w:color="auto" w:fill="C6EFCE"/>
            <w:noWrap/>
          </w:tcPr>
          <w:p w14:paraId="5492C28E" w14:textId="77777777" w:rsidR="003E1D81" w:rsidRDefault="00EB481C">
            <w:pPr>
              <w:pStyle w:val="P68B1DB1-Normal13"/>
              <w:spacing w:after="0"/>
              <w:jc w:val="center"/>
              <w:rPr>
                <w:rFonts w:eastAsia="Times New Roman" w:cs="Times New Roman"/>
                <w:noProof/>
              </w:rPr>
            </w:pPr>
            <w:r>
              <w:rPr>
                <w:noProof/>
              </w:rPr>
              <w:t>NEGYEDÉV</w:t>
            </w:r>
          </w:p>
        </w:tc>
        <w:tc>
          <w:tcPr>
            <w:tcW w:w="502" w:type="dxa"/>
            <w:shd w:val="clear" w:color="auto" w:fill="C6EFCE"/>
            <w:noWrap/>
          </w:tcPr>
          <w:p w14:paraId="1D3E9D00" w14:textId="77777777" w:rsidR="003E1D81" w:rsidRDefault="00EB481C">
            <w:pPr>
              <w:pStyle w:val="P68B1DB1-Normal13"/>
              <w:spacing w:after="0"/>
              <w:jc w:val="center"/>
              <w:rPr>
                <w:rFonts w:eastAsia="Times New Roman" w:cs="Times New Roman"/>
                <w:noProof/>
              </w:rPr>
            </w:pPr>
            <w:r>
              <w:rPr>
                <w:noProof/>
              </w:rPr>
              <w:t>2023</w:t>
            </w:r>
          </w:p>
        </w:tc>
        <w:tc>
          <w:tcPr>
            <w:tcW w:w="6900" w:type="dxa"/>
            <w:gridSpan w:val="2"/>
            <w:shd w:val="clear" w:color="auto" w:fill="C6EFCE"/>
            <w:noWrap/>
          </w:tcPr>
          <w:p w14:paraId="0619D38F" w14:textId="77777777" w:rsidR="003E1D81" w:rsidRDefault="00EB481C">
            <w:pPr>
              <w:pStyle w:val="P68B1DB1-Normal13"/>
              <w:spacing w:after="0"/>
              <w:rPr>
                <w:rFonts w:eastAsia="Times New Roman" w:cs="Times New Roman"/>
                <w:noProof/>
              </w:rPr>
            </w:pPr>
            <w:r>
              <w:rPr>
                <w:noProof/>
              </w:rPr>
              <w:t>Ez a mérföldkő két elemből áll.</w:t>
            </w:r>
          </w:p>
          <w:p w14:paraId="27D5BE29" w14:textId="5AD73102" w:rsidR="003E1D81" w:rsidRDefault="00EB481C">
            <w:pPr>
              <w:pStyle w:val="P68B1DB1-ListParagraph14"/>
              <w:numPr>
                <w:ilvl w:val="0"/>
                <w:numId w:val="641"/>
              </w:numPr>
              <w:spacing w:after="0"/>
              <w:rPr>
                <w:rFonts w:eastAsia="Times New Roman" w:cs="Times New Roman"/>
                <w:noProof/>
              </w:rPr>
            </w:pPr>
            <w:r>
              <w:rPr>
                <w:noProof/>
              </w:rPr>
              <w:t>Először is, a 14/2022., a 17/2022., a 18/2022. és a 20/2022. sz. királyi törvényerejű rendelet hatálybalépése. E királyi törvényerejű rendeletekben foglalt energiaügyi intézkedések célja a megújulóenergia-projektek és a villamosenergia-hálózati infrastrukt</w:t>
            </w:r>
            <w:r>
              <w:rPr>
                <w:noProof/>
              </w:rPr>
              <w:t xml:space="preserve">úra engedélyezésének egyszerűsítése. </w:t>
            </w:r>
          </w:p>
          <w:p w14:paraId="4DED00FD" w14:textId="77777777" w:rsidR="003E1D81" w:rsidRDefault="00EB481C">
            <w:pPr>
              <w:pStyle w:val="P68B1DB1-ListParagraph14"/>
              <w:numPr>
                <w:ilvl w:val="0"/>
                <w:numId w:val="641"/>
              </w:numPr>
              <w:spacing w:after="0"/>
              <w:rPr>
                <w:rFonts w:eastAsia="Times New Roman" w:cs="Times New Roman"/>
                <w:noProof/>
              </w:rPr>
            </w:pPr>
            <w:r>
              <w:rPr>
                <w:noProof/>
              </w:rPr>
              <w:t>Másodszor, hatályba lépett az Orden TED/189/2023 rendelet, amely a központi közigazgatáson belül új közigazgatási egységet hozott létre, amely támogatja a megújulóenergia-projektek engedélyezési kérelmeinek feldolgozás</w:t>
            </w:r>
            <w:r>
              <w:rPr>
                <w:noProof/>
              </w:rPr>
              <w:t>át.</w:t>
            </w:r>
          </w:p>
        </w:tc>
      </w:tr>
      <w:tr w:rsidR="003E1D81" w14:paraId="2782EDCD" w14:textId="77777777">
        <w:trPr>
          <w:trHeight w:val="761"/>
        </w:trPr>
        <w:tc>
          <w:tcPr>
            <w:tcW w:w="673" w:type="dxa"/>
            <w:shd w:val="clear" w:color="auto" w:fill="C6EFCE"/>
            <w:noWrap/>
          </w:tcPr>
          <w:p w14:paraId="2BEF61F4" w14:textId="695613C8" w:rsidR="003E1D81" w:rsidRDefault="00EB481C">
            <w:pPr>
              <w:pStyle w:val="P68B1DB1-Normal13"/>
              <w:spacing w:after="0"/>
              <w:jc w:val="center"/>
              <w:rPr>
                <w:rFonts w:eastAsia="Times New Roman" w:cs="Times New Roman"/>
                <w:noProof/>
              </w:rPr>
            </w:pPr>
            <w:r>
              <w:rPr>
                <w:noProof/>
              </w:rPr>
              <w:t>478</w:t>
            </w:r>
          </w:p>
        </w:tc>
        <w:tc>
          <w:tcPr>
            <w:tcW w:w="804" w:type="dxa"/>
            <w:shd w:val="clear" w:color="auto" w:fill="C6EFCE"/>
            <w:noWrap/>
          </w:tcPr>
          <w:p w14:paraId="198D8923" w14:textId="77777777" w:rsidR="003E1D81" w:rsidRDefault="00EB481C">
            <w:pPr>
              <w:pStyle w:val="P68B1DB1-Normal13"/>
              <w:spacing w:after="0"/>
              <w:jc w:val="center"/>
              <w:rPr>
                <w:rFonts w:eastAsia="Times New Roman" w:cs="Times New Roman"/>
                <w:noProof/>
              </w:rPr>
            </w:pPr>
            <w:r>
              <w:rPr>
                <w:noProof/>
              </w:rPr>
              <w:t>C31.I1</w:t>
            </w:r>
          </w:p>
        </w:tc>
        <w:tc>
          <w:tcPr>
            <w:tcW w:w="900" w:type="dxa"/>
            <w:shd w:val="clear" w:color="auto" w:fill="C6EFCE"/>
            <w:noWrap/>
          </w:tcPr>
          <w:p w14:paraId="65D2BFBB" w14:textId="77777777" w:rsidR="003E1D81" w:rsidRDefault="00EB481C">
            <w:pPr>
              <w:pStyle w:val="P68B1DB1-Normal13"/>
              <w:spacing w:after="0"/>
              <w:jc w:val="center"/>
              <w:rPr>
                <w:rFonts w:eastAsia="Times New Roman" w:cs="Times New Roman"/>
                <w:noProof/>
              </w:rPr>
            </w:pPr>
            <w:r>
              <w:rPr>
                <w:noProof/>
              </w:rPr>
              <w:t>T</w:t>
            </w:r>
          </w:p>
        </w:tc>
        <w:tc>
          <w:tcPr>
            <w:tcW w:w="2296" w:type="dxa"/>
            <w:shd w:val="clear" w:color="auto" w:fill="C6EFCE"/>
            <w:noWrap/>
          </w:tcPr>
          <w:p w14:paraId="611255BA" w14:textId="13D8B2C8" w:rsidR="003E1D81" w:rsidRDefault="00EB481C">
            <w:pPr>
              <w:pStyle w:val="P68B1DB1-Normal13"/>
              <w:spacing w:after="0"/>
              <w:rPr>
                <w:rFonts w:eastAsia="Times New Roman" w:cs="Times New Roman"/>
                <w:noProof/>
              </w:rPr>
            </w:pPr>
            <w:r>
              <w:rPr>
                <w:noProof/>
              </w:rPr>
              <w:t>A megújulóenergia-termelésen alapuló energiatárolást vagy saját fogyasztást vagy a fogyasztásmérő nélküli tárolást előmozdító beruházások</w:t>
            </w:r>
          </w:p>
        </w:tc>
        <w:tc>
          <w:tcPr>
            <w:tcW w:w="1215" w:type="dxa"/>
            <w:shd w:val="clear" w:color="auto" w:fill="C6EFCE"/>
            <w:noWrap/>
          </w:tcPr>
          <w:p w14:paraId="176FB6E3" w14:textId="77777777" w:rsidR="003E1D81" w:rsidRDefault="003E1D81">
            <w:pPr>
              <w:spacing w:after="0"/>
              <w:rPr>
                <w:rFonts w:ascii="Times New Roman" w:eastAsia="Times New Roman" w:hAnsi="Times New Roman" w:cs="Times New Roman"/>
                <w:noProof/>
                <w:sz w:val="18"/>
              </w:rPr>
            </w:pPr>
          </w:p>
        </w:tc>
        <w:tc>
          <w:tcPr>
            <w:tcW w:w="600" w:type="dxa"/>
            <w:shd w:val="clear" w:color="auto" w:fill="C6EFCE"/>
            <w:noWrap/>
          </w:tcPr>
          <w:p w14:paraId="33C7CEAC" w14:textId="77777777" w:rsidR="003E1D81" w:rsidRDefault="00EB481C">
            <w:pPr>
              <w:pStyle w:val="P68B1DB1-Normal13"/>
              <w:spacing w:after="0"/>
              <w:jc w:val="center"/>
              <w:rPr>
                <w:rFonts w:eastAsia="Times New Roman" w:cs="Times New Roman"/>
                <w:noProof/>
              </w:rPr>
            </w:pPr>
            <w:r>
              <w:rPr>
                <w:noProof/>
              </w:rPr>
              <w:t>MW</w:t>
            </w:r>
          </w:p>
        </w:tc>
        <w:tc>
          <w:tcPr>
            <w:tcW w:w="436" w:type="dxa"/>
            <w:shd w:val="clear" w:color="auto" w:fill="C6EFCE"/>
            <w:noWrap/>
          </w:tcPr>
          <w:p w14:paraId="13507CC5" w14:textId="77777777" w:rsidR="003E1D81" w:rsidRDefault="00EB481C">
            <w:pPr>
              <w:pStyle w:val="P68B1DB1-Normal13"/>
              <w:spacing w:after="0"/>
              <w:jc w:val="right"/>
              <w:rPr>
                <w:rFonts w:eastAsia="Times New Roman" w:cs="Times New Roman"/>
                <w:noProof/>
              </w:rPr>
            </w:pPr>
            <w:r>
              <w:rPr>
                <w:noProof/>
              </w:rPr>
              <w:t>4400</w:t>
            </w:r>
          </w:p>
        </w:tc>
        <w:tc>
          <w:tcPr>
            <w:tcW w:w="556" w:type="dxa"/>
            <w:shd w:val="clear" w:color="auto" w:fill="C6EFCE"/>
            <w:noWrap/>
          </w:tcPr>
          <w:p w14:paraId="11CF54B5" w14:textId="77777777" w:rsidR="003E1D81" w:rsidRDefault="00EB481C">
            <w:pPr>
              <w:pStyle w:val="P68B1DB1-Normal13"/>
              <w:spacing w:after="0"/>
              <w:jc w:val="right"/>
              <w:rPr>
                <w:rFonts w:eastAsia="Times New Roman" w:cs="Times New Roman"/>
                <w:noProof/>
              </w:rPr>
            </w:pPr>
            <w:r>
              <w:rPr>
                <w:noProof/>
              </w:rPr>
              <w:t>5100</w:t>
            </w:r>
          </w:p>
        </w:tc>
        <w:tc>
          <w:tcPr>
            <w:tcW w:w="426" w:type="dxa"/>
            <w:shd w:val="clear" w:color="auto" w:fill="C6EFCE"/>
            <w:noWrap/>
          </w:tcPr>
          <w:p w14:paraId="59F14DA3" w14:textId="0B21E33C" w:rsidR="003E1D81" w:rsidRDefault="00EB481C">
            <w:pPr>
              <w:pStyle w:val="P68B1DB1-Normal13"/>
              <w:spacing w:after="0"/>
              <w:jc w:val="center"/>
              <w:rPr>
                <w:rFonts w:eastAsia="Times New Roman" w:cs="Times New Roman"/>
                <w:noProof/>
              </w:rPr>
            </w:pPr>
            <w:r>
              <w:rPr>
                <w:noProof/>
              </w:rPr>
              <w:t xml:space="preserve">NEGYEDÉV </w:t>
            </w:r>
          </w:p>
        </w:tc>
        <w:tc>
          <w:tcPr>
            <w:tcW w:w="502" w:type="dxa"/>
            <w:shd w:val="clear" w:color="auto" w:fill="C6EFCE"/>
            <w:noWrap/>
          </w:tcPr>
          <w:p w14:paraId="193C54A9" w14:textId="77777777" w:rsidR="003E1D81" w:rsidRDefault="00EB481C">
            <w:pPr>
              <w:pStyle w:val="P68B1DB1-Normal13"/>
              <w:spacing w:after="0"/>
              <w:jc w:val="center"/>
              <w:rPr>
                <w:rFonts w:eastAsia="Times New Roman" w:cs="Times New Roman"/>
                <w:noProof/>
              </w:rPr>
            </w:pPr>
            <w:r>
              <w:rPr>
                <w:noProof/>
              </w:rPr>
              <w:t>2026</w:t>
            </w:r>
          </w:p>
        </w:tc>
        <w:tc>
          <w:tcPr>
            <w:tcW w:w="6900" w:type="dxa"/>
            <w:gridSpan w:val="2"/>
            <w:shd w:val="clear" w:color="auto" w:fill="C6EFCE"/>
            <w:noWrap/>
          </w:tcPr>
          <w:p w14:paraId="3A88A732" w14:textId="4C9B72A2" w:rsidR="003E1D81" w:rsidRDefault="00EB481C">
            <w:pPr>
              <w:pStyle w:val="P68B1DB1-Normal13"/>
              <w:spacing w:after="0"/>
              <w:rPr>
                <w:rFonts w:eastAsia="Times New Roman" w:cs="Times New Roman"/>
                <w:noProof/>
              </w:rPr>
            </w:pPr>
            <w:r>
              <w:rPr>
                <w:noProof/>
              </w:rPr>
              <w:t xml:space="preserve">700 MW beépített kapacitás az épületekbe vagy a termelési folyamatokba </w:t>
            </w:r>
            <w:r>
              <w:rPr>
                <w:noProof/>
              </w:rPr>
              <w:t xml:space="preserve">integrált energiatárolási vagy saját fogyasztási alkalmazásokban. A saját fogyasztású alkalmazásoknak megújulóenergia-technológiákon vagy fogyasztásmérő nélküli tárolási megoldásokon kell alapulniuk. (Alapforgatókönyv: 2026 II. negyedéve, a 117. cél célja </w:t>
            </w:r>
            <w:r>
              <w:rPr>
                <w:noProof/>
              </w:rPr>
              <w:t>és 2026 2. negyedéve; a 126. cél célja)</w:t>
            </w:r>
          </w:p>
        </w:tc>
      </w:tr>
      <w:tr w:rsidR="003E1D81" w14:paraId="46C02275" w14:textId="77777777">
        <w:trPr>
          <w:trHeight w:val="309"/>
        </w:trPr>
        <w:tc>
          <w:tcPr>
            <w:tcW w:w="673" w:type="dxa"/>
            <w:shd w:val="clear" w:color="auto" w:fill="C6EFCE"/>
            <w:noWrap/>
          </w:tcPr>
          <w:p w14:paraId="64E993A2" w14:textId="035C7708" w:rsidR="003E1D81" w:rsidRDefault="00EB481C">
            <w:pPr>
              <w:pStyle w:val="P68B1DB1-Normal13"/>
              <w:spacing w:after="0"/>
              <w:jc w:val="center"/>
              <w:rPr>
                <w:rFonts w:eastAsia="Times New Roman" w:cs="Times New Roman"/>
                <w:noProof/>
              </w:rPr>
            </w:pPr>
            <w:r>
              <w:rPr>
                <w:noProof/>
              </w:rPr>
              <w:t>479</w:t>
            </w:r>
          </w:p>
        </w:tc>
        <w:tc>
          <w:tcPr>
            <w:tcW w:w="804" w:type="dxa"/>
            <w:shd w:val="clear" w:color="auto" w:fill="C6EFCE"/>
            <w:noWrap/>
          </w:tcPr>
          <w:p w14:paraId="6FD19699" w14:textId="77777777" w:rsidR="003E1D81" w:rsidRDefault="00EB481C">
            <w:pPr>
              <w:pStyle w:val="P68B1DB1-Normal13"/>
              <w:spacing w:after="0"/>
              <w:jc w:val="center"/>
              <w:rPr>
                <w:rFonts w:eastAsia="Times New Roman" w:cs="Times New Roman"/>
                <w:noProof/>
              </w:rPr>
            </w:pPr>
            <w:r>
              <w:rPr>
                <w:noProof/>
              </w:rPr>
              <w:t>C31.I1</w:t>
            </w:r>
          </w:p>
        </w:tc>
        <w:tc>
          <w:tcPr>
            <w:tcW w:w="900" w:type="dxa"/>
            <w:shd w:val="clear" w:color="auto" w:fill="C6EFCE"/>
            <w:noWrap/>
          </w:tcPr>
          <w:p w14:paraId="568B693C" w14:textId="77777777" w:rsidR="003E1D81" w:rsidRDefault="00EB481C">
            <w:pPr>
              <w:pStyle w:val="P68B1DB1-Normal13"/>
              <w:spacing w:after="0"/>
              <w:jc w:val="center"/>
              <w:rPr>
                <w:rFonts w:eastAsia="Times New Roman" w:cs="Times New Roman"/>
                <w:noProof/>
              </w:rPr>
            </w:pPr>
            <w:r>
              <w:rPr>
                <w:noProof/>
              </w:rPr>
              <w:t>T</w:t>
            </w:r>
          </w:p>
        </w:tc>
        <w:tc>
          <w:tcPr>
            <w:tcW w:w="2296" w:type="dxa"/>
            <w:shd w:val="clear" w:color="auto" w:fill="C6EFCE"/>
            <w:noWrap/>
          </w:tcPr>
          <w:p w14:paraId="3D51142A" w14:textId="77777777" w:rsidR="003E1D81" w:rsidRDefault="00EB481C">
            <w:pPr>
              <w:pStyle w:val="P68B1DB1-Normal13"/>
              <w:spacing w:after="0"/>
              <w:rPr>
                <w:rFonts w:eastAsia="Times New Roman" w:cs="Times New Roman"/>
                <w:noProof/>
              </w:rPr>
            </w:pPr>
            <w:r>
              <w:rPr>
                <w:noProof/>
              </w:rPr>
              <w:t>Az energiaközösségek által végrehajtott kezdeményezések száma</w:t>
            </w:r>
          </w:p>
        </w:tc>
        <w:tc>
          <w:tcPr>
            <w:tcW w:w="1215" w:type="dxa"/>
            <w:shd w:val="clear" w:color="auto" w:fill="C6EFCE"/>
            <w:noWrap/>
          </w:tcPr>
          <w:p w14:paraId="6A7F6247" w14:textId="77777777" w:rsidR="003E1D81" w:rsidRDefault="003E1D81">
            <w:pPr>
              <w:spacing w:after="0"/>
              <w:jc w:val="center"/>
              <w:rPr>
                <w:rFonts w:ascii="Times New Roman" w:eastAsia="Times New Roman" w:hAnsi="Times New Roman" w:cs="Times New Roman"/>
                <w:noProof/>
                <w:sz w:val="18"/>
              </w:rPr>
            </w:pPr>
          </w:p>
        </w:tc>
        <w:tc>
          <w:tcPr>
            <w:tcW w:w="600" w:type="dxa"/>
            <w:shd w:val="clear" w:color="auto" w:fill="C6EFCE"/>
            <w:noWrap/>
          </w:tcPr>
          <w:p w14:paraId="33EA2186" w14:textId="77777777" w:rsidR="003E1D81" w:rsidRDefault="00EB481C">
            <w:pPr>
              <w:pStyle w:val="P68B1DB1-Normal13"/>
              <w:spacing w:after="0"/>
              <w:jc w:val="center"/>
              <w:rPr>
                <w:rFonts w:eastAsia="Times New Roman" w:cs="Times New Roman"/>
                <w:noProof/>
              </w:rPr>
            </w:pPr>
            <w:r>
              <w:rPr>
                <w:noProof/>
              </w:rPr>
              <w:t>Szám</w:t>
            </w:r>
          </w:p>
        </w:tc>
        <w:tc>
          <w:tcPr>
            <w:tcW w:w="436" w:type="dxa"/>
            <w:shd w:val="clear" w:color="auto" w:fill="C6EFCE"/>
            <w:noWrap/>
          </w:tcPr>
          <w:p w14:paraId="3814E274" w14:textId="77777777" w:rsidR="003E1D81" w:rsidRDefault="00EB481C">
            <w:pPr>
              <w:pStyle w:val="P68B1DB1-Normal13"/>
              <w:spacing w:after="0"/>
              <w:jc w:val="right"/>
              <w:rPr>
                <w:rFonts w:eastAsia="Times New Roman" w:cs="Times New Roman"/>
                <w:noProof/>
              </w:rPr>
            </w:pPr>
            <w:r>
              <w:rPr>
                <w:noProof/>
              </w:rPr>
              <w:t>37</w:t>
            </w:r>
          </w:p>
        </w:tc>
        <w:tc>
          <w:tcPr>
            <w:tcW w:w="556" w:type="dxa"/>
            <w:shd w:val="clear" w:color="auto" w:fill="C6EFCE"/>
            <w:noWrap/>
          </w:tcPr>
          <w:p w14:paraId="14404EA4" w14:textId="77777777" w:rsidR="003E1D81" w:rsidRDefault="00EB481C">
            <w:pPr>
              <w:pStyle w:val="P68B1DB1-Normal13"/>
              <w:spacing w:after="0"/>
              <w:jc w:val="right"/>
              <w:rPr>
                <w:rFonts w:eastAsia="Times New Roman" w:cs="Times New Roman"/>
                <w:noProof/>
              </w:rPr>
            </w:pPr>
            <w:r>
              <w:rPr>
                <w:noProof/>
              </w:rPr>
              <w:t>77</w:t>
            </w:r>
          </w:p>
        </w:tc>
        <w:tc>
          <w:tcPr>
            <w:tcW w:w="426" w:type="dxa"/>
            <w:shd w:val="clear" w:color="auto" w:fill="C6EFCE"/>
            <w:noWrap/>
          </w:tcPr>
          <w:p w14:paraId="02159C89" w14:textId="02897F01" w:rsidR="003E1D81" w:rsidRDefault="00EB481C">
            <w:pPr>
              <w:pStyle w:val="P68B1DB1-Normal13"/>
              <w:spacing w:after="0"/>
              <w:jc w:val="center"/>
              <w:rPr>
                <w:rFonts w:eastAsia="Times New Roman" w:cs="Times New Roman"/>
                <w:noProof/>
              </w:rPr>
            </w:pPr>
            <w:r>
              <w:rPr>
                <w:noProof/>
              </w:rPr>
              <w:t>NEGYEDÉV</w:t>
            </w:r>
          </w:p>
        </w:tc>
        <w:tc>
          <w:tcPr>
            <w:tcW w:w="502" w:type="dxa"/>
            <w:shd w:val="clear" w:color="auto" w:fill="C6EFCE"/>
            <w:noWrap/>
          </w:tcPr>
          <w:p w14:paraId="1222D4AB" w14:textId="77777777" w:rsidR="003E1D81" w:rsidRDefault="00EB481C">
            <w:pPr>
              <w:pStyle w:val="P68B1DB1-Normal13"/>
              <w:spacing w:after="0"/>
              <w:jc w:val="center"/>
              <w:rPr>
                <w:rFonts w:eastAsia="Times New Roman" w:cs="Times New Roman"/>
                <w:noProof/>
              </w:rPr>
            </w:pPr>
            <w:r>
              <w:rPr>
                <w:noProof/>
              </w:rPr>
              <w:t>2026</w:t>
            </w:r>
          </w:p>
        </w:tc>
        <w:tc>
          <w:tcPr>
            <w:tcW w:w="6900" w:type="dxa"/>
            <w:gridSpan w:val="2"/>
            <w:shd w:val="clear" w:color="auto" w:fill="C6EFCE"/>
            <w:noWrap/>
          </w:tcPr>
          <w:p w14:paraId="5D454DA2" w14:textId="77777777" w:rsidR="003E1D81" w:rsidRDefault="00EB481C">
            <w:pPr>
              <w:pStyle w:val="P68B1DB1-Normal13"/>
              <w:spacing w:after="0"/>
              <w:rPr>
                <w:rFonts w:eastAsia="Times New Roman" w:cs="Times New Roman"/>
                <w:noProof/>
              </w:rPr>
            </w:pPr>
            <w:r>
              <w:rPr>
                <w:noProof/>
              </w:rPr>
              <w:t xml:space="preserve">Az energiaközösségek által végrehajtott 40 kezdeményezés lezárása megújuló energiával vagy energiahatékonysági </w:t>
            </w:r>
            <w:r>
              <w:rPr>
                <w:noProof/>
              </w:rPr>
              <w:t>megoldásokkal, vagy részvételen alapuló és közösségi épületekkel kapcsolatos folyamatok végrehajtásával. (Alapforgatókönyv: dátum: 2024 negyedik negyedéve, a 111. cél célja)</w:t>
            </w:r>
          </w:p>
        </w:tc>
      </w:tr>
      <w:tr w:rsidR="003E1D81" w14:paraId="6B615A15" w14:textId="77777777">
        <w:trPr>
          <w:trHeight w:val="309"/>
        </w:trPr>
        <w:tc>
          <w:tcPr>
            <w:tcW w:w="673" w:type="dxa"/>
            <w:shd w:val="clear" w:color="auto" w:fill="C6EFCE"/>
            <w:noWrap/>
          </w:tcPr>
          <w:p w14:paraId="0FC1D4A1" w14:textId="6B2F684D" w:rsidR="003E1D81" w:rsidRDefault="00EB481C">
            <w:pPr>
              <w:pStyle w:val="P68B1DB1-Normal13"/>
              <w:spacing w:after="0"/>
              <w:jc w:val="center"/>
              <w:rPr>
                <w:rFonts w:eastAsia="Times New Roman" w:cs="Times New Roman"/>
                <w:noProof/>
              </w:rPr>
            </w:pPr>
            <w:r>
              <w:rPr>
                <w:noProof/>
              </w:rPr>
              <w:t>483</w:t>
            </w:r>
          </w:p>
        </w:tc>
        <w:tc>
          <w:tcPr>
            <w:tcW w:w="804" w:type="dxa"/>
            <w:shd w:val="clear" w:color="auto" w:fill="C6EFCE"/>
            <w:noWrap/>
          </w:tcPr>
          <w:p w14:paraId="1A06E288" w14:textId="14C14C7C" w:rsidR="003E1D81" w:rsidRDefault="00EB481C">
            <w:pPr>
              <w:pStyle w:val="P68B1DB1-Normal13"/>
              <w:spacing w:after="0"/>
              <w:jc w:val="center"/>
              <w:rPr>
                <w:rFonts w:eastAsia="Times New Roman" w:cs="Times New Roman"/>
                <w:noProof/>
              </w:rPr>
            </w:pPr>
            <w:r>
              <w:rPr>
                <w:noProof/>
              </w:rPr>
              <w:t>C31.I2</w:t>
            </w:r>
          </w:p>
        </w:tc>
        <w:tc>
          <w:tcPr>
            <w:tcW w:w="900" w:type="dxa"/>
            <w:shd w:val="clear" w:color="auto" w:fill="C6EFCE"/>
            <w:noWrap/>
          </w:tcPr>
          <w:p w14:paraId="152D3E2C" w14:textId="569FE3EC" w:rsidR="003E1D81" w:rsidRDefault="00EB481C">
            <w:pPr>
              <w:pStyle w:val="P68B1DB1-Normal13"/>
              <w:spacing w:after="0"/>
              <w:jc w:val="center"/>
              <w:rPr>
                <w:rFonts w:eastAsia="Times New Roman" w:cs="Times New Roman"/>
                <w:noProof/>
              </w:rPr>
            </w:pPr>
            <w:r>
              <w:rPr>
                <w:noProof/>
              </w:rPr>
              <w:t>M</w:t>
            </w:r>
          </w:p>
        </w:tc>
        <w:tc>
          <w:tcPr>
            <w:tcW w:w="2296" w:type="dxa"/>
            <w:shd w:val="clear" w:color="auto" w:fill="C6EFCE"/>
            <w:noWrap/>
          </w:tcPr>
          <w:p w14:paraId="03B6CB65" w14:textId="4EF7BB63" w:rsidR="003E1D81" w:rsidRDefault="00EB481C">
            <w:pPr>
              <w:pStyle w:val="P68B1DB1-Normal13"/>
              <w:spacing w:after="0"/>
              <w:rPr>
                <w:rFonts w:eastAsia="Times New Roman" w:cs="Times New Roman"/>
                <w:noProof/>
              </w:rPr>
            </w:pPr>
            <w:r>
              <w:rPr>
                <w:noProof/>
              </w:rPr>
              <w:t>A megújuló hidrogén támogatási rendszere: A minisztérium befejezte a</w:t>
            </w:r>
            <w:r>
              <w:rPr>
                <w:noProof/>
              </w:rPr>
              <w:t xml:space="preserve"> beruházást</w:t>
            </w:r>
          </w:p>
        </w:tc>
        <w:tc>
          <w:tcPr>
            <w:tcW w:w="1215" w:type="dxa"/>
            <w:shd w:val="clear" w:color="auto" w:fill="C6EFCE"/>
            <w:noWrap/>
          </w:tcPr>
          <w:p w14:paraId="16A59804" w14:textId="10DC98F6" w:rsidR="003E1D81" w:rsidRDefault="00EB481C">
            <w:pPr>
              <w:pStyle w:val="P68B1DB1-Normal13"/>
              <w:spacing w:after="0"/>
              <w:jc w:val="center"/>
              <w:rPr>
                <w:rFonts w:eastAsia="Times New Roman" w:cs="Times New Roman"/>
                <w:noProof/>
              </w:rPr>
            </w:pPr>
            <w:r>
              <w:rPr>
                <w:noProof/>
              </w:rPr>
              <w:t>Átadási igazolás</w:t>
            </w:r>
          </w:p>
        </w:tc>
        <w:tc>
          <w:tcPr>
            <w:tcW w:w="600" w:type="dxa"/>
            <w:shd w:val="clear" w:color="auto" w:fill="C6EFCE"/>
            <w:noWrap/>
          </w:tcPr>
          <w:p w14:paraId="69C59F60" w14:textId="77777777" w:rsidR="003E1D81" w:rsidRDefault="003E1D81">
            <w:pPr>
              <w:spacing w:after="0"/>
              <w:jc w:val="center"/>
              <w:rPr>
                <w:rFonts w:ascii="Times New Roman" w:eastAsia="Times New Roman" w:hAnsi="Times New Roman" w:cs="Times New Roman"/>
                <w:noProof/>
                <w:sz w:val="18"/>
              </w:rPr>
            </w:pPr>
          </w:p>
        </w:tc>
        <w:tc>
          <w:tcPr>
            <w:tcW w:w="436" w:type="dxa"/>
            <w:shd w:val="clear" w:color="auto" w:fill="C6EFCE"/>
            <w:noWrap/>
          </w:tcPr>
          <w:p w14:paraId="5D80227B" w14:textId="77777777" w:rsidR="003E1D81" w:rsidRDefault="003E1D81">
            <w:pPr>
              <w:spacing w:after="0"/>
              <w:jc w:val="right"/>
              <w:rPr>
                <w:rFonts w:ascii="Times New Roman" w:eastAsia="Times New Roman" w:hAnsi="Times New Roman" w:cs="Times New Roman"/>
                <w:noProof/>
                <w:sz w:val="18"/>
              </w:rPr>
            </w:pPr>
          </w:p>
        </w:tc>
        <w:tc>
          <w:tcPr>
            <w:tcW w:w="556" w:type="dxa"/>
            <w:shd w:val="clear" w:color="auto" w:fill="C6EFCE"/>
            <w:noWrap/>
          </w:tcPr>
          <w:p w14:paraId="17B7A526" w14:textId="77777777" w:rsidR="003E1D81" w:rsidRDefault="003E1D81">
            <w:pPr>
              <w:spacing w:after="0"/>
              <w:jc w:val="right"/>
              <w:rPr>
                <w:rFonts w:ascii="Times New Roman" w:eastAsia="Times New Roman" w:hAnsi="Times New Roman" w:cs="Times New Roman"/>
                <w:noProof/>
                <w:sz w:val="18"/>
              </w:rPr>
            </w:pPr>
          </w:p>
        </w:tc>
        <w:tc>
          <w:tcPr>
            <w:tcW w:w="426" w:type="dxa"/>
            <w:shd w:val="clear" w:color="auto" w:fill="C6EFCE"/>
            <w:noWrap/>
          </w:tcPr>
          <w:p w14:paraId="7B475BD2" w14:textId="0253E3D5" w:rsidR="003E1D81" w:rsidRDefault="00EB481C">
            <w:pPr>
              <w:pStyle w:val="P68B1DB1-Normal13"/>
              <w:spacing w:after="0"/>
              <w:jc w:val="center"/>
              <w:rPr>
                <w:rFonts w:eastAsia="Times New Roman" w:cs="Times New Roman"/>
                <w:noProof/>
              </w:rPr>
            </w:pPr>
            <w:r>
              <w:rPr>
                <w:noProof/>
              </w:rPr>
              <w:t>KÉRDÉS</w:t>
            </w:r>
          </w:p>
        </w:tc>
        <w:tc>
          <w:tcPr>
            <w:tcW w:w="502" w:type="dxa"/>
            <w:shd w:val="clear" w:color="auto" w:fill="C6EFCE"/>
            <w:noWrap/>
          </w:tcPr>
          <w:p w14:paraId="7B9A9041" w14:textId="675816C0" w:rsidR="003E1D81" w:rsidRDefault="00EB481C">
            <w:pPr>
              <w:pStyle w:val="P68B1DB1-Normal13"/>
              <w:spacing w:after="0"/>
              <w:jc w:val="center"/>
              <w:rPr>
                <w:rFonts w:eastAsia="Times New Roman" w:cs="Times New Roman"/>
                <w:noProof/>
              </w:rPr>
            </w:pPr>
            <w:r>
              <w:rPr>
                <w:noProof/>
              </w:rPr>
              <w:t>2024</w:t>
            </w:r>
          </w:p>
        </w:tc>
        <w:tc>
          <w:tcPr>
            <w:tcW w:w="6900" w:type="dxa"/>
            <w:gridSpan w:val="2"/>
            <w:shd w:val="clear" w:color="auto" w:fill="C6EFCE"/>
            <w:noWrap/>
          </w:tcPr>
          <w:p w14:paraId="739D0F50" w14:textId="396DC2AE" w:rsidR="003E1D81" w:rsidRDefault="00EB481C">
            <w:pPr>
              <w:pStyle w:val="P68B1DB1-Normal13"/>
              <w:spacing w:after="0"/>
              <w:rPr>
                <w:rFonts w:eastAsia="Times New Roman" w:cs="Times New Roman"/>
                <w:noProof/>
              </w:rPr>
            </w:pPr>
            <w:r>
              <w:rPr>
                <w:noProof/>
              </w:rPr>
              <w:t>Spanyolország legalább 1600 millió EUR-t csoportosít át az IDAE-nek a támogatási rendszerre.</w:t>
            </w:r>
          </w:p>
        </w:tc>
      </w:tr>
      <w:tr w:rsidR="003E1D81" w14:paraId="67B00CEE" w14:textId="77777777">
        <w:trPr>
          <w:trHeight w:val="309"/>
        </w:trPr>
        <w:tc>
          <w:tcPr>
            <w:tcW w:w="673" w:type="dxa"/>
            <w:shd w:val="clear" w:color="auto" w:fill="C6EFCE"/>
            <w:noWrap/>
          </w:tcPr>
          <w:p w14:paraId="53F6BDD7" w14:textId="085049AD" w:rsidR="003E1D81" w:rsidRDefault="00EB481C">
            <w:pPr>
              <w:pStyle w:val="P68B1DB1-Normal13"/>
              <w:spacing w:after="0"/>
              <w:jc w:val="center"/>
              <w:rPr>
                <w:rFonts w:eastAsia="Times New Roman" w:cs="Times New Roman"/>
                <w:noProof/>
              </w:rPr>
            </w:pPr>
            <w:r>
              <w:rPr>
                <w:noProof/>
              </w:rPr>
              <w:t>480</w:t>
            </w:r>
          </w:p>
        </w:tc>
        <w:tc>
          <w:tcPr>
            <w:tcW w:w="804" w:type="dxa"/>
            <w:shd w:val="clear" w:color="auto" w:fill="C6EFCE"/>
            <w:noWrap/>
          </w:tcPr>
          <w:p w14:paraId="3BDDCB0E" w14:textId="77777777" w:rsidR="003E1D81" w:rsidRDefault="00EB481C">
            <w:pPr>
              <w:pStyle w:val="P68B1DB1-Normal13"/>
              <w:spacing w:after="0"/>
              <w:jc w:val="center"/>
              <w:rPr>
                <w:rFonts w:eastAsia="Times New Roman" w:cs="Times New Roman"/>
                <w:noProof/>
              </w:rPr>
            </w:pPr>
            <w:r>
              <w:rPr>
                <w:noProof/>
              </w:rPr>
              <w:t>C31.I2</w:t>
            </w:r>
          </w:p>
        </w:tc>
        <w:tc>
          <w:tcPr>
            <w:tcW w:w="900" w:type="dxa"/>
            <w:shd w:val="clear" w:color="auto" w:fill="C6EFCE"/>
            <w:noWrap/>
          </w:tcPr>
          <w:p w14:paraId="46C3ABC8" w14:textId="77777777" w:rsidR="003E1D81" w:rsidRDefault="00EB481C">
            <w:pPr>
              <w:pStyle w:val="P68B1DB1-Normal13"/>
              <w:spacing w:after="0"/>
              <w:jc w:val="center"/>
              <w:rPr>
                <w:rFonts w:eastAsia="Times New Roman" w:cs="Times New Roman"/>
                <w:noProof/>
              </w:rPr>
            </w:pPr>
            <w:r>
              <w:rPr>
                <w:noProof/>
              </w:rPr>
              <w:t>M</w:t>
            </w:r>
          </w:p>
        </w:tc>
        <w:tc>
          <w:tcPr>
            <w:tcW w:w="2296" w:type="dxa"/>
            <w:shd w:val="clear" w:color="auto" w:fill="C6EFCE"/>
            <w:noWrap/>
          </w:tcPr>
          <w:p w14:paraId="5BA1ED5F" w14:textId="41482004" w:rsidR="003E1D81" w:rsidRDefault="00EB481C">
            <w:pPr>
              <w:pStyle w:val="P68B1DB1-Normal13"/>
              <w:spacing w:after="0"/>
              <w:rPr>
                <w:rFonts w:eastAsia="Times New Roman" w:cs="Times New Roman"/>
                <w:noProof/>
              </w:rPr>
            </w:pPr>
            <w:r>
              <w:rPr>
                <w:noProof/>
              </w:rPr>
              <w:t>A megújuló hidrogén támogatási rendszere: A rendszer létrehozása</w:t>
            </w:r>
          </w:p>
        </w:tc>
        <w:tc>
          <w:tcPr>
            <w:tcW w:w="1215" w:type="dxa"/>
            <w:shd w:val="clear" w:color="auto" w:fill="C6EFCE"/>
            <w:noWrap/>
          </w:tcPr>
          <w:p w14:paraId="6E1C4DEB" w14:textId="07010FC6" w:rsidR="003E1D81" w:rsidRDefault="00EB481C">
            <w:pPr>
              <w:pStyle w:val="P68B1DB1-Normal13"/>
              <w:spacing w:after="0"/>
              <w:jc w:val="center"/>
              <w:rPr>
                <w:rFonts w:eastAsia="Times New Roman" w:cs="Times New Roman"/>
                <w:noProof/>
              </w:rPr>
            </w:pPr>
            <w:r>
              <w:rPr>
                <w:noProof/>
              </w:rPr>
              <w:t xml:space="preserve">A vonatkozó jogi eszköz(ök) </w:t>
            </w:r>
            <w:r>
              <w:rPr>
                <w:noProof/>
              </w:rPr>
              <w:t>hatálybalépése</w:t>
            </w:r>
          </w:p>
        </w:tc>
        <w:tc>
          <w:tcPr>
            <w:tcW w:w="600" w:type="dxa"/>
            <w:shd w:val="clear" w:color="auto" w:fill="C6EFCE"/>
            <w:noWrap/>
          </w:tcPr>
          <w:p w14:paraId="4EE62C9A" w14:textId="77777777" w:rsidR="003E1D81" w:rsidRDefault="003E1D81">
            <w:pPr>
              <w:spacing w:after="0"/>
              <w:jc w:val="center"/>
              <w:rPr>
                <w:rFonts w:ascii="Times New Roman" w:eastAsia="Times New Roman" w:hAnsi="Times New Roman" w:cs="Times New Roman"/>
                <w:noProof/>
                <w:sz w:val="18"/>
              </w:rPr>
            </w:pPr>
          </w:p>
        </w:tc>
        <w:tc>
          <w:tcPr>
            <w:tcW w:w="436" w:type="dxa"/>
            <w:shd w:val="clear" w:color="auto" w:fill="C6EFCE"/>
            <w:noWrap/>
          </w:tcPr>
          <w:p w14:paraId="6F49F013" w14:textId="77777777" w:rsidR="003E1D81" w:rsidRDefault="003E1D81">
            <w:pPr>
              <w:spacing w:after="0"/>
              <w:jc w:val="right"/>
              <w:rPr>
                <w:rFonts w:ascii="Times New Roman" w:eastAsia="Times New Roman" w:hAnsi="Times New Roman" w:cs="Times New Roman"/>
                <w:noProof/>
                <w:sz w:val="18"/>
              </w:rPr>
            </w:pPr>
          </w:p>
        </w:tc>
        <w:tc>
          <w:tcPr>
            <w:tcW w:w="556" w:type="dxa"/>
            <w:shd w:val="clear" w:color="auto" w:fill="C6EFCE"/>
            <w:noWrap/>
          </w:tcPr>
          <w:p w14:paraId="028C0AD5" w14:textId="77777777" w:rsidR="003E1D81" w:rsidRDefault="003E1D81">
            <w:pPr>
              <w:spacing w:after="0"/>
              <w:jc w:val="right"/>
              <w:rPr>
                <w:rFonts w:ascii="Times New Roman" w:eastAsia="Times New Roman" w:hAnsi="Times New Roman" w:cs="Times New Roman"/>
                <w:noProof/>
                <w:sz w:val="18"/>
              </w:rPr>
            </w:pPr>
          </w:p>
        </w:tc>
        <w:tc>
          <w:tcPr>
            <w:tcW w:w="426" w:type="dxa"/>
            <w:shd w:val="clear" w:color="auto" w:fill="C6EFCE"/>
            <w:noWrap/>
          </w:tcPr>
          <w:p w14:paraId="51883FA8" w14:textId="77777777" w:rsidR="003E1D81" w:rsidRDefault="00EB481C">
            <w:pPr>
              <w:pStyle w:val="P68B1DB1-Normal13"/>
              <w:spacing w:after="0"/>
              <w:jc w:val="center"/>
              <w:rPr>
                <w:rFonts w:eastAsia="Times New Roman" w:cs="Times New Roman"/>
                <w:noProof/>
                <w:highlight w:val="yellow"/>
              </w:rPr>
            </w:pPr>
            <w:r>
              <w:rPr>
                <w:noProof/>
              </w:rPr>
              <w:t>NEGYEDÉV</w:t>
            </w:r>
          </w:p>
        </w:tc>
        <w:tc>
          <w:tcPr>
            <w:tcW w:w="502" w:type="dxa"/>
            <w:shd w:val="clear" w:color="auto" w:fill="C6EFCE"/>
            <w:noWrap/>
          </w:tcPr>
          <w:p w14:paraId="72FEE54D" w14:textId="467CD09A" w:rsidR="003E1D81" w:rsidRDefault="00EB481C">
            <w:pPr>
              <w:pStyle w:val="P68B1DB1-Normal13"/>
              <w:spacing w:after="0"/>
              <w:jc w:val="center"/>
              <w:rPr>
                <w:rFonts w:eastAsia="Times New Roman" w:cs="Times New Roman"/>
                <w:noProof/>
                <w:highlight w:val="yellow"/>
              </w:rPr>
            </w:pPr>
            <w:r>
              <w:rPr>
                <w:noProof/>
              </w:rPr>
              <w:t>2024</w:t>
            </w:r>
          </w:p>
        </w:tc>
        <w:tc>
          <w:tcPr>
            <w:tcW w:w="6900" w:type="dxa"/>
            <w:gridSpan w:val="2"/>
            <w:shd w:val="clear" w:color="auto" w:fill="C6EFCE"/>
            <w:noWrap/>
          </w:tcPr>
          <w:p w14:paraId="37AFA094" w14:textId="4EC6DBFF" w:rsidR="003E1D81" w:rsidRDefault="00EB481C">
            <w:pPr>
              <w:pStyle w:val="P68B1DB1-Normal13"/>
              <w:spacing w:after="0"/>
              <w:rPr>
                <w:rFonts w:eastAsia="Times New Roman" w:cs="Times New Roman"/>
                <w:noProof/>
              </w:rPr>
            </w:pPr>
            <w:r>
              <w:rPr>
                <w:noProof/>
              </w:rPr>
              <w:t>A támogatási rendszert létrehozó jogi eszköz(ök) hatálybalépése az intézkedés leírásában meghatározott követelményeknek megfelelően.</w:t>
            </w:r>
          </w:p>
        </w:tc>
      </w:tr>
      <w:tr w:rsidR="003E1D81" w14:paraId="3AFE826F" w14:textId="77777777">
        <w:trPr>
          <w:trHeight w:val="309"/>
        </w:trPr>
        <w:tc>
          <w:tcPr>
            <w:tcW w:w="673" w:type="dxa"/>
            <w:shd w:val="clear" w:color="auto" w:fill="C6EFCE"/>
            <w:noWrap/>
          </w:tcPr>
          <w:p w14:paraId="67ECE505" w14:textId="75CF15BF" w:rsidR="003E1D81" w:rsidRDefault="00EB481C">
            <w:pPr>
              <w:pStyle w:val="P68B1DB1-Normal13"/>
              <w:spacing w:after="0"/>
              <w:jc w:val="center"/>
              <w:rPr>
                <w:rFonts w:eastAsia="Times New Roman" w:cs="Times New Roman"/>
                <w:noProof/>
              </w:rPr>
            </w:pPr>
            <w:r>
              <w:rPr>
                <w:noProof/>
              </w:rPr>
              <w:t>481</w:t>
            </w:r>
          </w:p>
        </w:tc>
        <w:tc>
          <w:tcPr>
            <w:tcW w:w="804" w:type="dxa"/>
            <w:shd w:val="clear" w:color="auto" w:fill="C6EFCE"/>
            <w:noWrap/>
          </w:tcPr>
          <w:p w14:paraId="061AD380" w14:textId="77777777" w:rsidR="003E1D81" w:rsidRDefault="00EB481C">
            <w:pPr>
              <w:pStyle w:val="P68B1DB1-Normal13"/>
              <w:spacing w:after="0"/>
              <w:jc w:val="center"/>
              <w:rPr>
                <w:rFonts w:eastAsia="Times New Roman" w:cs="Times New Roman"/>
                <w:noProof/>
              </w:rPr>
            </w:pPr>
            <w:r>
              <w:rPr>
                <w:noProof/>
              </w:rPr>
              <w:t>C31.I2</w:t>
            </w:r>
          </w:p>
        </w:tc>
        <w:tc>
          <w:tcPr>
            <w:tcW w:w="900" w:type="dxa"/>
            <w:shd w:val="clear" w:color="auto" w:fill="C6EFCE"/>
            <w:noWrap/>
          </w:tcPr>
          <w:p w14:paraId="4E309171" w14:textId="77777777" w:rsidR="003E1D81" w:rsidRDefault="00EB481C">
            <w:pPr>
              <w:pStyle w:val="P68B1DB1-Normal13"/>
              <w:spacing w:after="0"/>
              <w:jc w:val="center"/>
              <w:rPr>
                <w:rFonts w:eastAsia="Times New Roman" w:cs="Times New Roman"/>
                <w:noProof/>
              </w:rPr>
            </w:pPr>
            <w:r>
              <w:rPr>
                <w:noProof/>
              </w:rPr>
              <w:t>T</w:t>
            </w:r>
          </w:p>
        </w:tc>
        <w:tc>
          <w:tcPr>
            <w:tcW w:w="2296" w:type="dxa"/>
            <w:shd w:val="clear" w:color="auto" w:fill="C6EFCE"/>
            <w:noWrap/>
          </w:tcPr>
          <w:p w14:paraId="384881E1" w14:textId="3753B807" w:rsidR="003E1D81" w:rsidRDefault="00EB481C">
            <w:pPr>
              <w:pStyle w:val="P68B1DB1-Normal13"/>
              <w:spacing w:after="0"/>
              <w:rPr>
                <w:rFonts w:eastAsia="Times New Roman" w:cs="Times New Roman"/>
                <w:noProof/>
              </w:rPr>
            </w:pPr>
            <w:r>
              <w:rPr>
                <w:noProof/>
              </w:rPr>
              <w:t>A megújuló hidrogén támogatási rendszere: A végső kedvezményezettekkel aláírt</w:t>
            </w:r>
            <w:r>
              <w:rPr>
                <w:noProof/>
              </w:rPr>
              <w:t xml:space="preserve"> jogi megállapodások vagy végleges odaítélési határozatok közzététele (I)</w:t>
            </w:r>
          </w:p>
        </w:tc>
        <w:tc>
          <w:tcPr>
            <w:tcW w:w="1215" w:type="dxa"/>
            <w:shd w:val="clear" w:color="auto" w:fill="C6EFCE"/>
            <w:noWrap/>
          </w:tcPr>
          <w:p w14:paraId="50AB68CF" w14:textId="27095E3B" w:rsidR="003E1D81" w:rsidRDefault="00EB481C">
            <w:pPr>
              <w:pStyle w:val="P68B1DB1-Normal13"/>
              <w:spacing w:after="0"/>
              <w:jc w:val="center"/>
              <w:rPr>
                <w:rFonts w:eastAsia="Times New Roman" w:cs="Times New Roman"/>
                <w:noProof/>
              </w:rPr>
            </w:pPr>
            <w:r>
              <w:rPr>
                <w:noProof/>
              </w:rPr>
              <w:t>A jogi finanszírozási megállapodások hatálybalépése vagy a végleges odaítélési határozatok közzététele</w:t>
            </w:r>
          </w:p>
        </w:tc>
        <w:tc>
          <w:tcPr>
            <w:tcW w:w="600" w:type="dxa"/>
            <w:shd w:val="clear" w:color="auto" w:fill="C6EFCE"/>
            <w:noWrap/>
          </w:tcPr>
          <w:p w14:paraId="5AE09F65" w14:textId="2D70B4BB" w:rsidR="003E1D81" w:rsidRDefault="003E1D81">
            <w:pPr>
              <w:spacing w:after="0"/>
              <w:jc w:val="center"/>
              <w:rPr>
                <w:rFonts w:ascii="Times New Roman" w:eastAsia="Times New Roman" w:hAnsi="Times New Roman" w:cs="Times New Roman"/>
                <w:noProof/>
                <w:sz w:val="18"/>
              </w:rPr>
            </w:pPr>
          </w:p>
        </w:tc>
        <w:tc>
          <w:tcPr>
            <w:tcW w:w="436" w:type="dxa"/>
            <w:shd w:val="clear" w:color="auto" w:fill="C6EFCE"/>
            <w:noWrap/>
          </w:tcPr>
          <w:p w14:paraId="764FC97E" w14:textId="77777777" w:rsidR="003E1D81" w:rsidRDefault="00EB481C">
            <w:pPr>
              <w:pStyle w:val="P68B1DB1-Normal13"/>
              <w:spacing w:after="0"/>
              <w:jc w:val="right"/>
              <w:rPr>
                <w:rFonts w:eastAsia="Times New Roman" w:cs="Times New Roman"/>
                <w:noProof/>
              </w:rPr>
            </w:pPr>
            <w:r>
              <w:rPr>
                <w:noProof/>
              </w:rPr>
              <w:t>0</w:t>
            </w:r>
          </w:p>
        </w:tc>
        <w:tc>
          <w:tcPr>
            <w:tcW w:w="556" w:type="dxa"/>
            <w:shd w:val="clear" w:color="auto" w:fill="C6EFCE"/>
            <w:noWrap/>
          </w:tcPr>
          <w:p w14:paraId="6DF1E4E0" w14:textId="57D245B8" w:rsidR="003E1D81" w:rsidRDefault="00EB481C">
            <w:pPr>
              <w:pStyle w:val="P68B1DB1-Normal13"/>
              <w:spacing w:after="0"/>
              <w:jc w:val="right"/>
              <w:rPr>
                <w:rFonts w:eastAsia="Times New Roman" w:cs="Times New Roman"/>
                <w:noProof/>
              </w:rPr>
            </w:pPr>
            <w:r>
              <w:rPr>
                <w:noProof/>
              </w:rPr>
              <w:t>50%</w:t>
            </w:r>
          </w:p>
        </w:tc>
        <w:tc>
          <w:tcPr>
            <w:tcW w:w="426" w:type="dxa"/>
            <w:shd w:val="clear" w:color="auto" w:fill="C6EFCE"/>
            <w:noWrap/>
          </w:tcPr>
          <w:p w14:paraId="73E65A2F" w14:textId="17590ACA" w:rsidR="003E1D81" w:rsidRDefault="00EB481C">
            <w:pPr>
              <w:pStyle w:val="P68B1DB1-Normal13"/>
              <w:spacing w:after="0"/>
              <w:jc w:val="center"/>
              <w:rPr>
                <w:rFonts w:eastAsia="Times New Roman" w:cs="Times New Roman"/>
                <w:noProof/>
                <w:highlight w:val="yellow"/>
              </w:rPr>
            </w:pPr>
            <w:r>
              <w:rPr>
                <w:noProof/>
              </w:rPr>
              <w:t>KÉRDÉS</w:t>
            </w:r>
          </w:p>
        </w:tc>
        <w:tc>
          <w:tcPr>
            <w:tcW w:w="502" w:type="dxa"/>
            <w:shd w:val="clear" w:color="auto" w:fill="C6EFCE"/>
            <w:noWrap/>
          </w:tcPr>
          <w:p w14:paraId="671EC42B" w14:textId="4DFFA38D" w:rsidR="003E1D81" w:rsidRDefault="00EB481C">
            <w:pPr>
              <w:pStyle w:val="P68B1DB1-Normal13"/>
              <w:spacing w:after="0"/>
              <w:jc w:val="center"/>
              <w:rPr>
                <w:rFonts w:eastAsia="Times New Roman" w:cs="Times New Roman"/>
                <w:noProof/>
                <w:highlight w:val="yellow"/>
              </w:rPr>
            </w:pPr>
            <w:r>
              <w:rPr>
                <w:noProof/>
              </w:rPr>
              <w:t>2025</w:t>
            </w:r>
          </w:p>
        </w:tc>
        <w:tc>
          <w:tcPr>
            <w:tcW w:w="6900" w:type="dxa"/>
            <w:gridSpan w:val="2"/>
            <w:shd w:val="clear" w:color="auto" w:fill="C6EFCE"/>
            <w:noWrap/>
          </w:tcPr>
          <w:p w14:paraId="225892A5" w14:textId="4E9E3743" w:rsidR="003E1D81" w:rsidRDefault="00EB481C">
            <w:pPr>
              <w:pStyle w:val="P68B1DB1-Normal13"/>
              <w:spacing w:after="0"/>
              <w:rPr>
                <w:rFonts w:eastAsia="Times New Roman" w:cs="Times New Roman"/>
                <w:noProof/>
              </w:rPr>
            </w:pPr>
            <w:r>
              <w:rPr>
                <w:noProof/>
              </w:rPr>
              <w:t>Az IDAE közzétette a végső odaítélési határozatokat vagy a v</w:t>
            </w:r>
            <w:r>
              <w:rPr>
                <w:noProof/>
              </w:rPr>
              <w:t>égső kedvezményezettekkel kötött finanszírozási megállapodások hatálybalépését a Helyreállítási és Rezilienciaépítési Eszköz támogatási rendszerbe történő beruházásának legalább 50%-ára vonatkozóan (beleértve a közvetett költségeket is).</w:t>
            </w:r>
          </w:p>
        </w:tc>
      </w:tr>
      <w:tr w:rsidR="003E1D81" w14:paraId="263EEC4D" w14:textId="77777777">
        <w:trPr>
          <w:gridAfter w:val="1"/>
          <w:wAfter w:w="31" w:type="dxa"/>
          <w:trHeight w:val="309"/>
        </w:trPr>
        <w:tc>
          <w:tcPr>
            <w:tcW w:w="673" w:type="dxa"/>
            <w:shd w:val="clear" w:color="auto" w:fill="C6EFCE"/>
            <w:noWrap/>
          </w:tcPr>
          <w:p w14:paraId="50DEA288" w14:textId="7A5F7288" w:rsidR="003E1D81" w:rsidRDefault="00EB481C">
            <w:pPr>
              <w:pStyle w:val="P68B1DB1-Normal13"/>
              <w:spacing w:after="0"/>
              <w:jc w:val="center"/>
              <w:rPr>
                <w:rFonts w:eastAsia="Times New Roman" w:cs="Times New Roman"/>
                <w:noProof/>
              </w:rPr>
            </w:pPr>
            <w:r>
              <w:rPr>
                <w:noProof/>
              </w:rPr>
              <w:t>482</w:t>
            </w:r>
          </w:p>
        </w:tc>
        <w:tc>
          <w:tcPr>
            <w:tcW w:w="804" w:type="dxa"/>
            <w:shd w:val="clear" w:color="auto" w:fill="C6EFCE"/>
            <w:noWrap/>
          </w:tcPr>
          <w:p w14:paraId="080E1CD1" w14:textId="77777777" w:rsidR="003E1D81" w:rsidRDefault="00EB481C">
            <w:pPr>
              <w:pStyle w:val="P68B1DB1-Normal13"/>
              <w:spacing w:after="0"/>
              <w:jc w:val="center"/>
              <w:rPr>
                <w:rFonts w:eastAsia="Times New Roman" w:cs="Times New Roman"/>
                <w:noProof/>
              </w:rPr>
            </w:pPr>
            <w:r>
              <w:rPr>
                <w:noProof/>
              </w:rPr>
              <w:t>C31.I2</w:t>
            </w:r>
          </w:p>
        </w:tc>
        <w:tc>
          <w:tcPr>
            <w:tcW w:w="900" w:type="dxa"/>
            <w:shd w:val="clear" w:color="auto" w:fill="C6EFCE"/>
            <w:noWrap/>
          </w:tcPr>
          <w:p w14:paraId="20743680" w14:textId="77777777" w:rsidR="003E1D81" w:rsidRDefault="00EB481C">
            <w:pPr>
              <w:pStyle w:val="P68B1DB1-Normal13"/>
              <w:spacing w:after="0"/>
              <w:jc w:val="center"/>
              <w:rPr>
                <w:rFonts w:eastAsia="Times New Roman" w:cs="Times New Roman"/>
                <w:noProof/>
              </w:rPr>
            </w:pPr>
            <w:r>
              <w:rPr>
                <w:noProof/>
              </w:rPr>
              <w:t>T</w:t>
            </w:r>
          </w:p>
        </w:tc>
        <w:tc>
          <w:tcPr>
            <w:tcW w:w="2296" w:type="dxa"/>
            <w:shd w:val="clear" w:color="auto" w:fill="C6EFCE"/>
            <w:noWrap/>
          </w:tcPr>
          <w:p w14:paraId="255B854C" w14:textId="21C7C80D" w:rsidR="003E1D81" w:rsidRDefault="00EB481C">
            <w:pPr>
              <w:pStyle w:val="P68B1DB1-Normal13"/>
              <w:spacing w:after="0"/>
              <w:rPr>
                <w:rFonts w:eastAsia="Times New Roman" w:cs="Times New Roman"/>
                <w:noProof/>
              </w:rPr>
            </w:pPr>
            <w:r>
              <w:rPr>
                <w:noProof/>
              </w:rPr>
              <w:t xml:space="preserve">A </w:t>
            </w:r>
            <w:r>
              <w:rPr>
                <w:noProof/>
              </w:rPr>
              <w:t>megújuló hidrogén támogatási rendszere: A végső kedvezményezettekkel aláírt jogi megállapodások vagy végleges odaítélési határozatok közzététele (II)</w:t>
            </w:r>
          </w:p>
        </w:tc>
        <w:tc>
          <w:tcPr>
            <w:tcW w:w="1215" w:type="dxa"/>
            <w:shd w:val="clear" w:color="auto" w:fill="C6EFCE"/>
            <w:noWrap/>
          </w:tcPr>
          <w:p w14:paraId="4315824F" w14:textId="6EEA4E13" w:rsidR="003E1D81" w:rsidRDefault="00EB481C">
            <w:pPr>
              <w:pStyle w:val="P68B1DB1-Normal13"/>
              <w:spacing w:after="0"/>
              <w:jc w:val="center"/>
              <w:rPr>
                <w:rFonts w:eastAsia="Times New Roman" w:cs="Times New Roman"/>
                <w:noProof/>
              </w:rPr>
            </w:pPr>
            <w:r>
              <w:rPr>
                <w:noProof/>
              </w:rPr>
              <w:t>A jogi finanszírozási megállapodások hatálybalépése vagy a végleges odaítélési határozatok közzététele</w:t>
            </w:r>
          </w:p>
        </w:tc>
        <w:tc>
          <w:tcPr>
            <w:tcW w:w="600" w:type="dxa"/>
            <w:shd w:val="clear" w:color="auto" w:fill="C6EFCE"/>
            <w:noWrap/>
          </w:tcPr>
          <w:p w14:paraId="2B34F867" w14:textId="2DC2291D" w:rsidR="003E1D81" w:rsidRDefault="003E1D81">
            <w:pPr>
              <w:spacing w:after="0"/>
              <w:jc w:val="center"/>
              <w:rPr>
                <w:rFonts w:ascii="Times New Roman" w:eastAsia="Times New Roman" w:hAnsi="Times New Roman" w:cs="Times New Roman"/>
                <w:noProof/>
                <w:sz w:val="18"/>
              </w:rPr>
            </w:pPr>
          </w:p>
        </w:tc>
        <w:tc>
          <w:tcPr>
            <w:tcW w:w="436" w:type="dxa"/>
            <w:shd w:val="clear" w:color="auto" w:fill="C6EFCE"/>
            <w:noWrap/>
          </w:tcPr>
          <w:p w14:paraId="2A2A49E2" w14:textId="0CAFFAE8" w:rsidR="003E1D81" w:rsidRDefault="00EB481C">
            <w:pPr>
              <w:pStyle w:val="P68B1DB1-Normal13"/>
              <w:spacing w:after="0"/>
              <w:jc w:val="right"/>
              <w:rPr>
                <w:rFonts w:eastAsia="Times New Roman" w:cs="Times New Roman"/>
                <w:noProof/>
              </w:rPr>
            </w:pPr>
            <w:r>
              <w:rPr>
                <w:noProof/>
              </w:rPr>
              <w:t>50</w:t>
            </w:r>
            <w:r>
              <w:rPr>
                <w:noProof/>
              </w:rPr>
              <w:t>%</w:t>
            </w:r>
          </w:p>
        </w:tc>
        <w:tc>
          <w:tcPr>
            <w:tcW w:w="556" w:type="dxa"/>
            <w:shd w:val="clear" w:color="auto" w:fill="C6EFCE"/>
            <w:noWrap/>
          </w:tcPr>
          <w:p w14:paraId="33611B00" w14:textId="563940B1" w:rsidR="003E1D81" w:rsidRDefault="00EB481C">
            <w:pPr>
              <w:pStyle w:val="P68B1DB1-Normal13"/>
              <w:spacing w:after="0"/>
              <w:jc w:val="right"/>
              <w:rPr>
                <w:rFonts w:eastAsia="Times New Roman" w:cs="Times New Roman"/>
                <w:noProof/>
              </w:rPr>
            </w:pPr>
            <w:r>
              <w:rPr>
                <w:noProof/>
              </w:rPr>
              <w:t>100%-OS</w:t>
            </w:r>
          </w:p>
        </w:tc>
        <w:tc>
          <w:tcPr>
            <w:tcW w:w="426" w:type="dxa"/>
            <w:shd w:val="clear" w:color="auto" w:fill="C6EFCE"/>
            <w:noWrap/>
          </w:tcPr>
          <w:p w14:paraId="2F5595CF" w14:textId="6FDA0E25" w:rsidR="003E1D81" w:rsidRDefault="00EB481C">
            <w:pPr>
              <w:pStyle w:val="P68B1DB1-Normal13"/>
              <w:spacing w:after="0"/>
              <w:jc w:val="center"/>
              <w:rPr>
                <w:rFonts w:eastAsia="Times New Roman" w:cs="Times New Roman"/>
                <w:noProof/>
                <w:highlight w:val="yellow"/>
              </w:rPr>
            </w:pPr>
            <w:r>
              <w:rPr>
                <w:noProof/>
              </w:rPr>
              <w:t>NEGYEDÉV</w:t>
            </w:r>
          </w:p>
        </w:tc>
        <w:tc>
          <w:tcPr>
            <w:tcW w:w="502" w:type="dxa"/>
            <w:shd w:val="clear" w:color="auto" w:fill="C6EFCE"/>
            <w:noWrap/>
          </w:tcPr>
          <w:p w14:paraId="0160F2A1" w14:textId="3900C86F" w:rsidR="003E1D81" w:rsidRDefault="00EB481C">
            <w:pPr>
              <w:pStyle w:val="P68B1DB1-Normal13"/>
              <w:spacing w:after="0"/>
              <w:jc w:val="center"/>
              <w:rPr>
                <w:rFonts w:eastAsia="Times New Roman" w:cs="Times New Roman"/>
                <w:noProof/>
                <w:highlight w:val="yellow"/>
              </w:rPr>
            </w:pPr>
            <w:r>
              <w:rPr>
                <w:noProof/>
              </w:rPr>
              <w:t>2026</w:t>
            </w:r>
          </w:p>
        </w:tc>
        <w:tc>
          <w:tcPr>
            <w:tcW w:w="6869" w:type="dxa"/>
            <w:shd w:val="clear" w:color="auto" w:fill="C6EFCE"/>
            <w:noWrap/>
          </w:tcPr>
          <w:p w14:paraId="7F48C873" w14:textId="07D4E2E2" w:rsidR="003E1D81" w:rsidRDefault="00EB481C">
            <w:pPr>
              <w:pStyle w:val="P68B1DB1-Normal13"/>
              <w:spacing w:after="0"/>
              <w:rPr>
                <w:rFonts w:eastAsia="Times New Roman" w:cs="Times New Roman"/>
                <w:noProof/>
              </w:rPr>
            </w:pPr>
            <w:r>
              <w:rPr>
                <w:noProof/>
              </w:rPr>
              <w:t xml:space="preserve">Az IDAE közzétette a végső kedvezményezettekkel kötött finanszírozási megállapodások odaítéléséről szóló végleges határozatokat vagy a végső kedvezményezettekkel kötött finanszírozási megállapodások hatálybalépését a Helyreállítási </w:t>
            </w:r>
            <w:r>
              <w:rPr>
                <w:noProof/>
              </w:rPr>
              <w:t>és Rezilienciaépítési Eszköz támogatási rendszerbe történő beruházásának 100%-ára vonatkozóan (beleértve a közvetett költségeket is).</w:t>
            </w:r>
          </w:p>
        </w:tc>
      </w:tr>
      <w:tr w:rsidR="003E1D81" w14:paraId="668FE02C" w14:textId="77777777">
        <w:trPr>
          <w:trHeight w:val="309"/>
        </w:trPr>
        <w:tc>
          <w:tcPr>
            <w:tcW w:w="673" w:type="dxa"/>
            <w:shd w:val="clear" w:color="auto" w:fill="C6EFCE"/>
            <w:noWrap/>
          </w:tcPr>
          <w:p w14:paraId="062E20ED" w14:textId="73DA41CE" w:rsidR="003E1D81" w:rsidRDefault="00EB481C">
            <w:pPr>
              <w:pStyle w:val="P68B1DB1-Normal13"/>
              <w:spacing w:after="0"/>
              <w:jc w:val="center"/>
              <w:rPr>
                <w:rFonts w:eastAsia="Times New Roman" w:cs="Times New Roman"/>
                <w:noProof/>
              </w:rPr>
            </w:pPr>
            <w:r>
              <w:rPr>
                <w:noProof/>
              </w:rPr>
              <w:t>487</w:t>
            </w:r>
          </w:p>
        </w:tc>
        <w:tc>
          <w:tcPr>
            <w:tcW w:w="804" w:type="dxa"/>
            <w:shd w:val="clear" w:color="auto" w:fill="C6EFCE"/>
            <w:noWrap/>
          </w:tcPr>
          <w:p w14:paraId="32B1D913" w14:textId="171B767F" w:rsidR="003E1D81" w:rsidRDefault="00EB481C">
            <w:pPr>
              <w:pStyle w:val="P68B1DB1-Normal13"/>
              <w:spacing w:after="0"/>
              <w:jc w:val="center"/>
              <w:rPr>
                <w:rFonts w:eastAsia="Times New Roman" w:cs="Times New Roman"/>
                <w:noProof/>
              </w:rPr>
            </w:pPr>
            <w:r>
              <w:rPr>
                <w:noProof/>
              </w:rPr>
              <w:t>C31.I3</w:t>
            </w:r>
          </w:p>
        </w:tc>
        <w:tc>
          <w:tcPr>
            <w:tcW w:w="900" w:type="dxa"/>
            <w:shd w:val="clear" w:color="auto" w:fill="C6EFCE"/>
            <w:noWrap/>
          </w:tcPr>
          <w:p w14:paraId="6BE1717C" w14:textId="139DA6F4" w:rsidR="003E1D81" w:rsidRDefault="00EB481C">
            <w:pPr>
              <w:pStyle w:val="P68B1DB1-Normal13"/>
              <w:spacing w:after="0"/>
              <w:jc w:val="center"/>
              <w:rPr>
                <w:rFonts w:eastAsia="Times New Roman" w:cs="Times New Roman"/>
                <w:noProof/>
              </w:rPr>
            </w:pPr>
            <w:r>
              <w:rPr>
                <w:noProof/>
              </w:rPr>
              <w:t>M</w:t>
            </w:r>
          </w:p>
        </w:tc>
        <w:tc>
          <w:tcPr>
            <w:tcW w:w="2296" w:type="dxa"/>
            <w:shd w:val="clear" w:color="auto" w:fill="C6EFCE"/>
            <w:noWrap/>
          </w:tcPr>
          <w:p w14:paraId="42CB9C1B" w14:textId="221A96B0" w:rsidR="003E1D81" w:rsidRDefault="00EB481C">
            <w:pPr>
              <w:pStyle w:val="P68B1DB1-Normal13"/>
              <w:spacing w:after="0"/>
              <w:rPr>
                <w:rFonts w:eastAsia="Times New Roman" w:cs="Times New Roman"/>
                <w:noProof/>
              </w:rPr>
            </w:pPr>
            <w:r>
              <w:rPr>
                <w:noProof/>
              </w:rPr>
              <w:t>Az értéklánc támogatási rendszere: A minisztérium befejezte a beruházást</w:t>
            </w:r>
          </w:p>
        </w:tc>
        <w:tc>
          <w:tcPr>
            <w:tcW w:w="1215" w:type="dxa"/>
            <w:shd w:val="clear" w:color="auto" w:fill="C6EFCE"/>
            <w:noWrap/>
          </w:tcPr>
          <w:p w14:paraId="18308D9B" w14:textId="7113B2AE" w:rsidR="003E1D81" w:rsidRDefault="00EB481C">
            <w:pPr>
              <w:pStyle w:val="P68B1DB1-Normal13"/>
              <w:spacing w:after="0"/>
              <w:jc w:val="center"/>
              <w:rPr>
                <w:rFonts w:eastAsia="Times New Roman" w:cs="Times New Roman"/>
                <w:noProof/>
              </w:rPr>
            </w:pPr>
            <w:r>
              <w:rPr>
                <w:noProof/>
              </w:rPr>
              <w:t>Átadási igazolás</w:t>
            </w:r>
          </w:p>
        </w:tc>
        <w:tc>
          <w:tcPr>
            <w:tcW w:w="600" w:type="dxa"/>
            <w:shd w:val="clear" w:color="auto" w:fill="C6EFCE"/>
            <w:noWrap/>
          </w:tcPr>
          <w:p w14:paraId="19B525F6" w14:textId="77777777" w:rsidR="003E1D81" w:rsidRDefault="003E1D81">
            <w:pPr>
              <w:spacing w:after="0"/>
              <w:jc w:val="center"/>
              <w:rPr>
                <w:rFonts w:ascii="Times New Roman" w:eastAsia="Times New Roman" w:hAnsi="Times New Roman" w:cs="Times New Roman"/>
                <w:noProof/>
                <w:sz w:val="18"/>
              </w:rPr>
            </w:pPr>
          </w:p>
        </w:tc>
        <w:tc>
          <w:tcPr>
            <w:tcW w:w="436" w:type="dxa"/>
            <w:shd w:val="clear" w:color="auto" w:fill="C6EFCE"/>
            <w:noWrap/>
          </w:tcPr>
          <w:p w14:paraId="557E201D" w14:textId="77777777" w:rsidR="003E1D81" w:rsidRDefault="003E1D81">
            <w:pPr>
              <w:spacing w:after="0"/>
              <w:jc w:val="right"/>
              <w:rPr>
                <w:rFonts w:ascii="Times New Roman" w:eastAsia="Times New Roman" w:hAnsi="Times New Roman" w:cs="Times New Roman"/>
                <w:noProof/>
                <w:sz w:val="18"/>
              </w:rPr>
            </w:pPr>
          </w:p>
        </w:tc>
        <w:tc>
          <w:tcPr>
            <w:tcW w:w="556" w:type="dxa"/>
            <w:shd w:val="clear" w:color="auto" w:fill="C6EFCE"/>
            <w:noWrap/>
          </w:tcPr>
          <w:p w14:paraId="62A2D8E4" w14:textId="77777777" w:rsidR="003E1D81" w:rsidRDefault="003E1D81">
            <w:pPr>
              <w:spacing w:after="0"/>
              <w:jc w:val="right"/>
              <w:rPr>
                <w:rFonts w:ascii="Times New Roman" w:eastAsia="Times New Roman" w:hAnsi="Times New Roman" w:cs="Times New Roman"/>
                <w:noProof/>
                <w:sz w:val="18"/>
              </w:rPr>
            </w:pPr>
          </w:p>
        </w:tc>
        <w:tc>
          <w:tcPr>
            <w:tcW w:w="426" w:type="dxa"/>
            <w:shd w:val="clear" w:color="auto" w:fill="C6EFCE"/>
            <w:noWrap/>
          </w:tcPr>
          <w:p w14:paraId="1C67934C" w14:textId="1BBAA7C3" w:rsidR="003E1D81" w:rsidRDefault="00EB481C">
            <w:pPr>
              <w:pStyle w:val="P68B1DB1-Normal13"/>
              <w:spacing w:after="0"/>
              <w:jc w:val="center"/>
              <w:rPr>
                <w:rFonts w:eastAsia="Times New Roman" w:cs="Times New Roman"/>
                <w:noProof/>
              </w:rPr>
            </w:pPr>
            <w:r>
              <w:rPr>
                <w:noProof/>
              </w:rPr>
              <w:t>KÉRDÉS</w:t>
            </w:r>
          </w:p>
        </w:tc>
        <w:tc>
          <w:tcPr>
            <w:tcW w:w="502" w:type="dxa"/>
            <w:shd w:val="clear" w:color="auto" w:fill="C6EFCE"/>
            <w:noWrap/>
          </w:tcPr>
          <w:p w14:paraId="4C8A96BC" w14:textId="62C2A2B4" w:rsidR="003E1D81" w:rsidRDefault="00EB481C">
            <w:pPr>
              <w:pStyle w:val="P68B1DB1-Normal13"/>
              <w:spacing w:after="0"/>
              <w:jc w:val="center"/>
              <w:rPr>
                <w:rFonts w:eastAsia="Times New Roman" w:cs="Times New Roman"/>
                <w:noProof/>
              </w:rPr>
            </w:pPr>
            <w:r>
              <w:rPr>
                <w:noProof/>
              </w:rPr>
              <w:t>2024</w:t>
            </w:r>
          </w:p>
        </w:tc>
        <w:tc>
          <w:tcPr>
            <w:tcW w:w="6900" w:type="dxa"/>
            <w:gridSpan w:val="2"/>
            <w:shd w:val="clear" w:color="auto" w:fill="C6EFCE"/>
            <w:noWrap/>
          </w:tcPr>
          <w:p w14:paraId="7BC5991D" w14:textId="5FE8BC70" w:rsidR="003E1D81" w:rsidRDefault="00EB481C">
            <w:pPr>
              <w:pStyle w:val="P68B1DB1-Normal13"/>
              <w:spacing w:after="0"/>
              <w:rPr>
                <w:rFonts w:eastAsia="Times New Roman" w:cs="Times New Roman"/>
                <w:noProof/>
              </w:rPr>
            </w:pPr>
            <w:r>
              <w:rPr>
                <w:noProof/>
              </w:rPr>
              <w:t xml:space="preserve">Spanyolország 1000 millió EUR-t csoportosít át az IDAE-nek a támogatási rendszerre. </w:t>
            </w:r>
          </w:p>
        </w:tc>
      </w:tr>
      <w:tr w:rsidR="003E1D81" w14:paraId="4997CE3A" w14:textId="77777777">
        <w:trPr>
          <w:trHeight w:val="309"/>
        </w:trPr>
        <w:tc>
          <w:tcPr>
            <w:tcW w:w="673" w:type="dxa"/>
            <w:shd w:val="clear" w:color="auto" w:fill="C6EFCE"/>
            <w:noWrap/>
          </w:tcPr>
          <w:p w14:paraId="2C9D9912" w14:textId="07AC69DB" w:rsidR="003E1D81" w:rsidRDefault="00EB481C">
            <w:pPr>
              <w:pStyle w:val="P68B1DB1-Normal13"/>
              <w:spacing w:after="0"/>
              <w:jc w:val="center"/>
              <w:rPr>
                <w:rFonts w:eastAsia="Times New Roman" w:cs="Times New Roman"/>
                <w:noProof/>
              </w:rPr>
            </w:pPr>
            <w:r>
              <w:rPr>
                <w:noProof/>
              </w:rPr>
              <w:t>484</w:t>
            </w:r>
          </w:p>
        </w:tc>
        <w:tc>
          <w:tcPr>
            <w:tcW w:w="804" w:type="dxa"/>
            <w:shd w:val="clear" w:color="auto" w:fill="C6EFCE"/>
            <w:noWrap/>
          </w:tcPr>
          <w:p w14:paraId="35061C95" w14:textId="77777777" w:rsidR="003E1D81" w:rsidRDefault="00EB481C">
            <w:pPr>
              <w:pStyle w:val="P68B1DB1-Normal13"/>
              <w:spacing w:after="0"/>
              <w:jc w:val="center"/>
              <w:rPr>
                <w:rFonts w:eastAsia="Times New Roman" w:cs="Times New Roman"/>
                <w:noProof/>
              </w:rPr>
            </w:pPr>
            <w:r>
              <w:rPr>
                <w:noProof/>
              </w:rPr>
              <w:t>C31.I3</w:t>
            </w:r>
          </w:p>
        </w:tc>
        <w:tc>
          <w:tcPr>
            <w:tcW w:w="900" w:type="dxa"/>
            <w:shd w:val="clear" w:color="auto" w:fill="C6EFCE"/>
            <w:noWrap/>
          </w:tcPr>
          <w:p w14:paraId="46836030" w14:textId="77777777" w:rsidR="003E1D81" w:rsidRDefault="00EB481C">
            <w:pPr>
              <w:pStyle w:val="P68B1DB1-Normal13"/>
              <w:spacing w:after="0"/>
              <w:jc w:val="center"/>
              <w:rPr>
                <w:rFonts w:eastAsia="Times New Roman" w:cs="Times New Roman"/>
                <w:noProof/>
              </w:rPr>
            </w:pPr>
            <w:r>
              <w:rPr>
                <w:noProof/>
              </w:rPr>
              <w:t>M</w:t>
            </w:r>
          </w:p>
        </w:tc>
        <w:tc>
          <w:tcPr>
            <w:tcW w:w="2296" w:type="dxa"/>
            <w:shd w:val="clear" w:color="auto" w:fill="C6EFCE"/>
            <w:noWrap/>
          </w:tcPr>
          <w:p w14:paraId="390DE608" w14:textId="48058EC9" w:rsidR="003E1D81" w:rsidRDefault="00EB481C">
            <w:pPr>
              <w:pStyle w:val="P68B1DB1-Normal13"/>
              <w:spacing w:after="0"/>
              <w:rPr>
                <w:rFonts w:eastAsia="Times New Roman" w:cs="Times New Roman"/>
                <w:noProof/>
              </w:rPr>
            </w:pPr>
            <w:r>
              <w:rPr>
                <w:noProof/>
              </w:rPr>
              <w:t>Az értéklánc támogatási rendszere: A rendszer létrehozása</w:t>
            </w:r>
          </w:p>
        </w:tc>
        <w:tc>
          <w:tcPr>
            <w:tcW w:w="1215" w:type="dxa"/>
            <w:shd w:val="clear" w:color="auto" w:fill="C6EFCE"/>
            <w:noWrap/>
          </w:tcPr>
          <w:p w14:paraId="653E9D84" w14:textId="75B7BDF7" w:rsidR="003E1D81" w:rsidRDefault="00EB481C">
            <w:pPr>
              <w:pStyle w:val="P68B1DB1-Normal13"/>
              <w:spacing w:after="0"/>
              <w:jc w:val="center"/>
              <w:rPr>
                <w:rFonts w:eastAsia="Times New Roman" w:cs="Times New Roman"/>
                <w:noProof/>
              </w:rPr>
            </w:pPr>
            <w:r>
              <w:rPr>
                <w:noProof/>
              </w:rPr>
              <w:t>A miniszteri rendelet hatálybalépése</w:t>
            </w:r>
          </w:p>
        </w:tc>
        <w:tc>
          <w:tcPr>
            <w:tcW w:w="600" w:type="dxa"/>
            <w:shd w:val="clear" w:color="auto" w:fill="C6EFCE"/>
            <w:noWrap/>
          </w:tcPr>
          <w:p w14:paraId="2E2DBE46" w14:textId="77777777" w:rsidR="003E1D81" w:rsidRDefault="003E1D81">
            <w:pPr>
              <w:spacing w:after="0"/>
              <w:jc w:val="center"/>
              <w:rPr>
                <w:rFonts w:ascii="Times New Roman" w:eastAsia="Times New Roman" w:hAnsi="Times New Roman" w:cs="Times New Roman"/>
                <w:noProof/>
                <w:sz w:val="18"/>
              </w:rPr>
            </w:pPr>
          </w:p>
        </w:tc>
        <w:tc>
          <w:tcPr>
            <w:tcW w:w="436" w:type="dxa"/>
            <w:shd w:val="clear" w:color="auto" w:fill="C6EFCE"/>
            <w:noWrap/>
          </w:tcPr>
          <w:p w14:paraId="2BE95DCB" w14:textId="77777777" w:rsidR="003E1D81" w:rsidRDefault="003E1D81">
            <w:pPr>
              <w:spacing w:after="0"/>
              <w:jc w:val="right"/>
              <w:rPr>
                <w:rFonts w:ascii="Times New Roman" w:eastAsia="Times New Roman" w:hAnsi="Times New Roman" w:cs="Times New Roman"/>
                <w:noProof/>
                <w:sz w:val="18"/>
              </w:rPr>
            </w:pPr>
          </w:p>
        </w:tc>
        <w:tc>
          <w:tcPr>
            <w:tcW w:w="556" w:type="dxa"/>
            <w:shd w:val="clear" w:color="auto" w:fill="C6EFCE"/>
            <w:noWrap/>
          </w:tcPr>
          <w:p w14:paraId="32C010D6" w14:textId="77777777" w:rsidR="003E1D81" w:rsidRDefault="003E1D81">
            <w:pPr>
              <w:spacing w:after="0"/>
              <w:jc w:val="right"/>
              <w:rPr>
                <w:rFonts w:ascii="Times New Roman" w:eastAsia="Times New Roman" w:hAnsi="Times New Roman" w:cs="Times New Roman"/>
                <w:noProof/>
                <w:sz w:val="18"/>
              </w:rPr>
            </w:pPr>
          </w:p>
        </w:tc>
        <w:tc>
          <w:tcPr>
            <w:tcW w:w="426" w:type="dxa"/>
            <w:shd w:val="clear" w:color="auto" w:fill="C6EFCE"/>
            <w:noWrap/>
          </w:tcPr>
          <w:p w14:paraId="0D529E4A" w14:textId="77777777" w:rsidR="003E1D81" w:rsidRDefault="00EB481C">
            <w:pPr>
              <w:pStyle w:val="P68B1DB1-Normal13"/>
              <w:spacing w:after="0"/>
              <w:jc w:val="center"/>
              <w:rPr>
                <w:rFonts w:eastAsia="Times New Roman" w:cs="Times New Roman"/>
                <w:noProof/>
                <w:highlight w:val="yellow"/>
              </w:rPr>
            </w:pPr>
            <w:r>
              <w:rPr>
                <w:noProof/>
              </w:rPr>
              <w:t>NEGYEDÉV</w:t>
            </w:r>
          </w:p>
        </w:tc>
        <w:tc>
          <w:tcPr>
            <w:tcW w:w="502" w:type="dxa"/>
            <w:shd w:val="clear" w:color="auto" w:fill="C6EFCE"/>
            <w:noWrap/>
          </w:tcPr>
          <w:p w14:paraId="358F275E" w14:textId="63EF6B72" w:rsidR="003E1D81" w:rsidRDefault="00EB481C">
            <w:pPr>
              <w:pStyle w:val="P68B1DB1-Normal13"/>
              <w:spacing w:after="0"/>
              <w:jc w:val="center"/>
              <w:rPr>
                <w:rFonts w:eastAsia="Times New Roman" w:cs="Times New Roman"/>
                <w:noProof/>
                <w:highlight w:val="yellow"/>
              </w:rPr>
            </w:pPr>
            <w:r>
              <w:rPr>
                <w:noProof/>
              </w:rPr>
              <w:t>2024</w:t>
            </w:r>
          </w:p>
        </w:tc>
        <w:tc>
          <w:tcPr>
            <w:tcW w:w="6900" w:type="dxa"/>
            <w:gridSpan w:val="2"/>
            <w:shd w:val="clear" w:color="auto" w:fill="C6EFCE"/>
            <w:noWrap/>
          </w:tcPr>
          <w:p w14:paraId="4FE61A9D" w14:textId="42D4101E" w:rsidR="003E1D81" w:rsidRDefault="00EB481C">
            <w:pPr>
              <w:pStyle w:val="P68B1DB1-Normal13"/>
              <w:spacing w:after="0"/>
              <w:rPr>
                <w:rFonts w:eastAsia="Times New Roman" w:cs="Times New Roman"/>
                <w:noProof/>
              </w:rPr>
            </w:pPr>
            <w:r>
              <w:rPr>
                <w:noProof/>
              </w:rPr>
              <w:t xml:space="preserve">A támogatási rendszert létrehozó jogi </w:t>
            </w:r>
            <w:r>
              <w:rPr>
                <w:noProof/>
              </w:rPr>
              <w:t>eszköz(ök) hatálybalépése az intézkedés leírásában meghatározott követelményekkel összhangban.</w:t>
            </w:r>
          </w:p>
        </w:tc>
      </w:tr>
      <w:tr w:rsidR="003E1D81" w14:paraId="20ABF11D" w14:textId="77777777">
        <w:trPr>
          <w:trHeight w:val="309"/>
        </w:trPr>
        <w:tc>
          <w:tcPr>
            <w:tcW w:w="673" w:type="dxa"/>
            <w:shd w:val="clear" w:color="auto" w:fill="C6EFCE"/>
            <w:noWrap/>
          </w:tcPr>
          <w:p w14:paraId="5FCF7510" w14:textId="19C6135E" w:rsidR="003E1D81" w:rsidRDefault="00EB481C">
            <w:pPr>
              <w:pStyle w:val="P68B1DB1-Normal13"/>
              <w:spacing w:after="0"/>
              <w:jc w:val="center"/>
              <w:rPr>
                <w:rFonts w:eastAsia="Times New Roman" w:cs="Times New Roman"/>
                <w:noProof/>
              </w:rPr>
            </w:pPr>
            <w:r>
              <w:rPr>
                <w:noProof/>
              </w:rPr>
              <w:t>485</w:t>
            </w:r>
          </w:p>
        </w:tc>
        <w:tc>
          <w:tcPr>
            <w:tcW w:w="804" w:type="dxa"/>
            <w:shd w:val="clear" w:color="auto" w:fill="C6EFCE"/>
            <w:noWrap/>
          </w:tcPr>
          <w:p w14:paraId="34CAD987" w14:textId="77777777" w:rsidR="003E1D81" w:rsidRDefault="00EB481C">
            <w:pPr>
              <w:pStyle w:val="P68B1DB1-Normal13"/>
              <w:spacing w:after="0"/>
              <w:jc w:val="center"/>
              <w:rPr>
                <w:rFonts w:eastAsia="Times New Roman" w:cs="Times New Roman"/>
                <w:noProof/>
              </w:rPr>
            </w:pPr>
            <w:r>
              <w:rPr>
                <w:noProof/>
              </w:rPr>
              <w:t>C31.I3</w:t>
            </w:r>
          </w:p>
        </w:tc>
        <w:tc>
          <w:tcPr>
            <w:tcW w:w="900" w:type="dxa"/>
            <w:shd w:val="clear" w:color="auto" w:fill="C6EFCE"/>
            <w:noWrap/>
          </w:tcPr>
          <w:p w14:paraId="6507ED67" w14:textId="77777777" w:rsidR="003E1D81" w:rsidRDefault="00EB481C">
            <w:pPr>
              <w:pStyle w:val="P68B1DB1-Normal13"/>
              <w:spacing w:after="0"/>
              <w:jc w:val="center"/>
              <w:rPr>
                <w:rFonts w:eastAsia="Times New Roman" w:cs="Times New Roman"/>
                <w:noProof/>
              </w:rPr>
            </w:pPr>
            <w:r>
              <w:rPr>
                <w:noProof/>
              </w:rPr>
              <w:t>T</w:t>
            </w:r>
          </w:p>
        </w:tc>
        <w:tc>
          <w:tcPr>
            <w:tcW w:w="2296" w:type="dxa"/>
            <w:shd w:val="clear" w:color="auto" w:fill="C6EFCE"/>
            <w:noWrap/>
          </w:tcPr>
          <w:p w14:paraId="7C2B6EB1" w14:textId="1B5D97E8" w:rsidR="003E1D81" w:rsidRDefault="00EB481C">
            <w:pPr>
              <w:pStyle w:val="P68B1DB1-Normal13"/>
              <w:spacing w:after="0"/>
              <w:rPr>
                <w:rFonts w:eastAsia="Times New Roman" w:cs="Times New Roman"/>
                <w:noProof/>
              </w:rPr>
            </w:pPr>
            <w:r>
              <w:rPr>
                <w:noProof/>
              </w:rPr>
              <w:t>Az értéklánc támogatási rendszere: A végső kedvezményezettekkel aláírt jogi megállapodások vagy végleges odaítélési határozatok közzététele (I)</w:t>
            </w:r>
          </w:p>
        </w:tc>
        <w:tc>
          <w:tcPr>
            <w:tcW w:w="1215" w:type="dxa"/>
            <w:shd w:val="clear" w:color="auto" w:fill="C6EFCE"/>
            <w:noWrap/>
          </w:tcPr>
          <w:p w14:paraId="29427A2F" w14:textId="191137EA" w:rsidR="003E1D81" w:rsidRDefault="00EB481C">
            <w:pPr>
              <w:pStyle w:val="P68B1DB1-Normal13"/>
              <w:spacing w:after="0"/>
              <w:jc w:val="center"/>
              <w:rPr>
                <w:rFonts w:eastAsia="Times New Roman" w:cs="Times New Roman"/>
                <w:noProof/>
              </w:rPr>
            </w:pPr>
            <w:r>
              <w:rPr>
                <w:noProof/>
              </w:rPr>
              <w:t xml:space="preserve">A </w:t>
            </w:r>
            <w:r>
              <w:rPr>
                <w:noProof/>
              </w:rPr>
              <w:t>jogi finanszírozási megállapodások hatálybalépése vagy a végleges odaítélési határozatok közzététele</w:t>
            </w:r>
          </w:p>
        </w:tc>
        <w:tc>
          <w:tcPr>
            <w:tcW w:w="600" w:type="dxa"/>
            <w:shd w:val="clear" w:color="auto" w:fill="C6EFCE"/>
            <w:noWrap/>
          </w:tcPr>
          <w:p w14:paraId="7656168B" w14:textId="449AC494" w:rsidR="003E1D81" w:rsidRDefault="003E1D81">
            <w:pPr>
              <w:spacing w:after="0"/>
              <w:jc w:val="center"/>
              <w:rPr>
                <w:rFonts w:ascii="Times New Roman" w:eastAsia="Times New Roman" w:hAnsi="Times New Roman" w:cs="Times New Roman"/>
                <w:noProof/>
                <w:sz w:val="18"/>
              </w:rPr>
            </w:pPr>
          </w:p>
        </w:tc>
        <w:tc>
          <w:tcPr>
            <w:tcW w:w="436" w:type="dxa"/>
            <w:shd w:val="clear" w:color="auto" w:fill="C6EFCE"/>
            <w:noWrap/>
          </w:tcPr>
          <w:p w14:paraId="5FABB88C" w14:textId="77777777" w:rsidR="003E1D81" w:rsidRDefault="00EB481C">
            <w:pPr>
              <w:pStyle w:val="P68B1DB1-Normal13"/>
              <w:spacing w:after="0"/>
              <w:jc w:val="right"/>
              <w:rPr>
                <w:rFonts w:eastAsia="Times New Roman" w:cs="Times New Roman"/>
                <w:noProof/>
              </w:rPr>
            </w:pPr>
            <w:r>
              <w:rPr>
                <w:noProof/>
              </w:rPr>
              <w:t>0</w:t>
            </w:r>
          </w:p>
        </w:tc>
        <w:tc>
          <w:tcPr>
            <w:tcW w:w="556" w:type="dxa"/>
            <w:shd w:val="clear" w:color="auto" w:fill="C6EFCE"/>
            <w:noWrap/>
          </w:tcPr>
          <w:p w14:paraId="59D3BBFC" w14:textId="007440EE" w:rsidR="003E1D81" w:rsidRDefault="00EB481C">
            <w:pPr>
              <w:pStyle w:val="P68B1DB1-Normal13"/>
              <w:spacing w:after="0"/>
              <w:jc w:val="right"/>
              <w:rPr>
                <w:rFonts w:eastAsia="Times New Roman" w:cs="Times New Roman"/>
                <w:noProof/>
              </w:rPr>
            </w:pPr>
            <w:r>
              <w:rPr>
                <w:noProof/>
              </w:rPr>
              <w:t>50%</w:t>
            </w:r>
          </w:p>
        </w:tc>
        <w:tc>
          <w:tcPr>
            <w:tcW w:w="426" w:type="dxa"/>
            <w:shd w:val="clear" w:color="auto" w:fill="C6EFCE"/>
            <w:noWrap/>
          </w:tcPr>
          <w:p w14:paraId="2ADF8651" w14:textId="77777777" w:rsidR="003E1D81" w:rsidRDefault="00EB481C">
            <w:pPr>
              <w:pStyle w:val="P68B1DB1-Normal13"/>
              <w:spacing w:after="0"/>
              <w:jc w:val="center"/>
              <w:rPr>
                <w:rFonts w:eastAsia="Times New Roman" w:cs="Times New Roman"/>
                <w:noProof/>
              </w:rPr>
            </w:pPr>
            <w:r>
              <w:rPr>
                <w:noProof/>
              </w:rPr>
              <w:t>KÉRDÉS</w:t>
            </w:r>
          </w:p>
        </w:tc>
        <w:tc>
          <w:tcPr>
            <w:tcW w:w="502" w:type="dxa"/>
            <w:shd w:val="clear" w:color="auto" w:fill="C6EFCE"/>
            <w:noWrap/>
          </w:tcPr>
          <w:p w14:paraId="5C30AE1C" w14:textId="77777777" w:rsidR="003E1D81" w:rsidRDefault="00EB481C">
            <w:pPr>
              <w:pStyle w:val="P68B1DB1-Normal13"/>
              <w:spacing w:after="0"/>
              <w:jc w:val="center"/>
              <w:rPr>
                <w:rFonts w:eastAsia="Times New Roman" w:cs="Times New Roman"/>
                <w:noProof/>
              </w:rPr>
            </w:pPr>
            <w:r>
              <w:rPr>
                <w:noProof/>
              </w:rPr>
              <w:t>2025</w:t>
            </w:r>
          </w:p>
        </w:tc>
        <w:tc>
          <w:tcPr>
            <w:tcW w:w="6900" w:type="dxa"/>
            <w:gridSpan w:val="2"/>
            <w:shd w:val="clear" w:color="auto" w:fill="C6EFCE"/>
            <w:noWrap/>
          </w:tcPr>
          <w:p w14:paraId="52945C76" w14:textId="00269C6A" w:rsidR="003E1D81" w:rsidRDefault="00EB481C">
            <w:pPr>
              <w:pStyle w:val="P68B1DB1-Normal13"/>
              <w:spacing w:after="0"/>
              <w:rPr>
                <w:rFonts w:eastAsia="Times New Roman" w:cs="Times New Roman"/>
                <w:noProof/>
              </w:rPr>
            </w:pPr>
            <w:r>
              <w:rPr>
                <w:noProof/>
              </w:rPr>
              <w:t>Az IDAE közzétette a végső odaítélési határozatokat vagy a végső kedvezményezettekkel kötött finanszírozási megállapodások hatálybalépés</w:t>
            </w:r>
            <w:r>
              <w:rPr>
                <w:noProof/>
              </w:rPr>
              <w:t>ét a Helyreállítási és Rezilienciaépítési Eszköz támogatási rendszerbe történő beruházásának legalább 50%-ára vonatkozóan (beleértve a közvetett költségeket is).</w:t>
            </w:r>
          </w:p>
        </w:tc>
      </w:tr>
      <w:tr w:rsidR="003E1D81" w14:paraId="3AB9A45D" w14:textId="77777777">
        <w:trPr>
          <w:trHeight w:val="309"/>
        </w:trPr>
        <w:tc>
          <w:tcPr>
            <w:tcW w:w="673" w:type="dxa"/>
            <w:shd w:val="clear" w:color="auto" w:fill="C6EFCE"/>
            <w:noWrap/>
          </w:tcPr>
          <w:p w14:paraId="7F4D9BA1" w14:textId="0F164B79" w:rsidR="003E1D81" w:rsidRDefault="00EB481C">
            <w:pPr>
              <w:pStyle w:val="P68B1DB1-Normal13"/>
              <w:spacing w:after="0"/>
              <w:jc w:val="center"/>
              <w:rPr>
                <w:rFonts w:eastAsia="Times New Roman" w:cs="Times New Roman"/>
                <w:noProof/>
              </w:rPr>
            </w:pPr>
            <w:r>
              <w:rPr>
                <w:noProof/>
              </w:rPr>
              <w:t>486</w:t>
            </w:r>
          </w:p>
        </w:tc>
        <w:tc>
          <w:tcPr>
            <w:tcW w:w="804" w:type="dxa"/>
            <w:shd w:val="clear" w:color="auto" w:fill="C6EFCE"/>
            <w:noWrap/>
          </w:tcPr>
          <w:p w14:paraId="5F58753C" w14:textId="77777777" w:rsidR="003E1D81" w:rsidRDefault="00EB481C">
            <w:pPr>
              <w:pStyle w:val="P68B1DB1-Normal13"/>
              <w:spacing w:after="0"/>
              <w:jc w:val="center"/>
              <w:rPr>
                <w:rFonts w:eastAsia="Times New Roman" w:cs="Times New Roman"/>
                <w:noProof/>
              </w:rPr>
            </w:pPr>
            <w:r>
              <w:rPr>
                <w:noProof/>
              </w:rPr>
              <w:t>C31.I3</w:t>
            </w:r>
          </w:p>
        </w:tc>
        <w:tc>
          <w:tcPr>
            <w:tcW w:w="900" w:type="dxa"/>
            <w:shd w:val="clear" w:color="auto" w:fill="C6EFCE"/>
            <w:noWrap/>
          </w:tcPr>
          <w:p w14:paraId="5F96617A" w14:textId="77777777" w:rsidR="003E1D81" w:rsidRDefault="00EB481C">
            <w:pPr>
              <w:pStyle w:val="P68B1DB1-Normal13"/>
              <w:spacing w:after="0"/>
              <w:jc w:val="center"/>
              <w:rPr>
                <w:rFonts w:eastAsia="Times New Roman" w:cs="Times New Roman"/>
                <w:noProof/>
              </w:rPr>
            </w:pPr>
            <w:r>
              <w:rPr>
                <w:noProof/>
              </w:rPr>
              <w:t>T</w:t>
            </w:r>
          </w:p>
        </w:tc>
        <w:tc>
          <w:tcPr>
            <w:tcW w:w="2296" w:type="dxa"/>
            <w:shd w:val="clear" w:color="auto" w:fill="C6EFCE"/>
            <w:noWrap/>
          </w:tcPr>
          <w:p w14:paraId="272667A1" w14:textId="7099706D" w:rsidR="003E1D81" w:rsidRDefault="00EB481C">
            <w:pPr>
              <w:pStyle w:val="P68B1DB1-Normal13"/>
              <w:spacing w:after="0"/>
              <w:rPr>
                <w:rFonts w:eastAsia="Times New Roman" w:cs="Times New Roman"/>
                <w:noProof/>
              </w:rPr>
            </w:pPr>
            <w:r>
              <w:rPr>
                <w:noProof/>
              </w:rPr>
              <w:t xml:space="preserve">Az értéklánc támogatási rendszere: A végső kedvezményezettekkel aláírt jogi </w:t>
            </w:r>
            <w:r>
              <w:rPr>
                <w:noProof/>
              </w:rPr>
              <w:t>megállapodások vagy végleges odaítélési határozatok közzététele (II)</w:t>
            </w:r>
          </w:p>
        </w:tc>
        <w:tc>
          <w:tcPr>
            <w:tcW w:w="1215" w:type="dxa"/>
            <w:shd w:val="clear" w:color="auto" w:fill="C6EFCE"/>
            <w:noWrap/>
          </w:tcPr>
          <w:p w14:paraId="07624AF5" w14:textId="71BF0842" w:rsidR="003E1D81" w:rsidRDefault="00EB481C">
            <w:pPr>
              <w:pStyle w:val="P68B1DB1-Normal13"/>
              <w:spacing w:after="0"/>
              <w:jc w:val="center"/>
              <w:rPr>
                <w:rFonts w:eastAsia="Times New Roman" w:cs="Times New Roman"/>
                <w:noProof/>
              </w:rPr>
            </w:pPr>
            <w:r>
              <w:rPr>
                <w:noProof/>
              </w:rPr>
              <w:t>A jogi finanszírozási megállapodások hatálybalépése vagy a végleges odaítélési határozatok közzététele</w:t>
            </w:r>
          </w:p>
        </w:tc>
        <w:tc>
          <w:tcPr>
            <w:tcW w:w="600" w:type="dxa"/>
            <w:shd w:val="clear" w:color="auto" w:fill="C6EFCE"/>
            <w:noWrap/>
          </w:tcPr>
          <w:p w14:paraId="60E246B5" w14:textId="48ACB16E" w:rsidR="003E1D81" w:rsidRDefault="003E1D81">
            <w:pPr>
              <w:spacing w:after="0"/>
              <w:jc w:val="center"/>
              <w:rPr>
                <w:rFonts w:ascii="Times New Roman" w:eastAsia="Times New Roman" w:hAnsi="Times New Roman" w:cs="Times New Roman"/>
                <w:noProof/>
                <w:sz w:val="18"/>
              </w:rPr>
            </w:pPr>
          </w:p>
        </w:tc>
        <w:tc>
          <w:tcPr>
            <w:tcW w:w="436" w:type="dxa"/>
            <w:shd w:val="clear" w:color="auto" w:fill="C6EFCE"/>
            <w:noWrap/>
          </w:tcPr>
          <w:p w14:paraId="63BF8650" w14:textId="241FA0B4" w:rsidR="003E1D81" w:rsidRDefault="00EB481C">
            <w:pPr>
              <w:pStyle w:val="P68B1DB1-Normal13"/>
              <w:spacing w:after="0"/>
              <w:jc w:val="right"/>
              <w:rPr>
                <w:rFonts w:eastAsia="Times New Roman" w:cs="Times New Roman"/>
                <w:noProof/>
              </w:rPr>
            </w:pPr>
            <w:r>
              <w:rPr>
                <w:noProof/>
              </w:rPr>
              <w:t>50%</w:t>
            </w:r>
          </w:p>
        </w:tc>
        <w:tc>
          <w:tcPr>
            <w:tcW w:w="556" w:type="dxa"/>
            <w:shd w:val="clear" w:color="auto" w:fill="C6EFCE"/>
            <w:noWrap/>
          </w:tcPr>
          <w:p w14:paraId="45908EDE" w14:textId="6C64E7C3" w:rsidR="003E1D81" w:rsidRDefault="00EB481C">
            <w:pPr>
              <w:pStyle w:val="P68B1DB1-Normal13"/>
              <w:spacing w:after="0"/>
              <w:jc w:val="right"/>
              <w:rPr>
                <w:rFonts w:eastAsia="Times New Roman" w:cs="Times New Roman"/>
                <w:noProof/>
              </w:rPr>
            </w:pPr>
            <w:r>
              <w:rPr>
                <w:noProof/>
              </w:rPr>
              <w:t>100%-OS</w:t>
            </w:r>
          </w:p>
        </w:tc>
        <w:tc>
          <w:tcPr>
            <w:tcW w:w="426" w:type="dxa"/>
            <w:shd w:val="clear" w:color="auto" w:fill="C6EFCE"/>
            <w:noWrap/>
          </w:tcPr>
          <w:p w14:paraId="55C5B263" w14:textId="497AFAEF" w:rsidR="003E1D81" w:rsidRDefault="00EB481C">
            <w:pPr>
              <w:pStyle w:val="P68B1DB1-Normal13"/>
              <w:spacing w:after="0"/>
              <w:jc w:val="center"/>
              <w:rPr>
                <w:rFonts w:eastAsia="Times New Roman" w:cs="Times New Roman"/>
                <w:noProof/>
                <w:highlight w:val="yellow"/>
              </w:rPr>
            </w:pPr>
            <w:r>
              <w:rPr>
                <w:noProof/>
              </w:rPr>
              <w:t>NEGYEDÉV</w:t>
            </w:r>
          </w:p>
        </w:tc>
        <w:tc>
          <w:tcPr>
            <w:tcW w:w="502" w:type="dxa"/>
            <w:shd w:val="clear" w:color="auto" w:fill="C6EFCE"/>
            <w:noWrap/>
          </w:tcPr>
          <w:p w14:paraId="1C5974B5" w14:textId="4B6307CC" w:rsidR="003E1D81" w:rsidRDefault="00EB481C">
            <w:pPr>
              <w:pStyle w:val="P68B1DB1-Normal13"/>
              <w:spacing w:after="0"/>
              <w:jc w:val="center"/>
              <w:rPr>
                <w:rFonts w:eastAsia="Times New Roman" w:cs="Times New Roman"/>
                <w:noProof/>
                <w:highlight w:val="yellow"/>
              </w:rPr>
            </w:pPr>
            <w:r>
              <w:rPr>
                <w:noProof/>
              </w:rPr>
              <w:t>2026</w:t>
            </w:r>
          </w:p>
        </w:tc>
        <w:tc>
          <w:tcPr>
            <w:tcW w:w="6900" w:type="dxa"/>
            <w:gridSpan w:val="2"/>
            <w:shd w:val="clear" w:color="auto" w:fill="C6EFCE"/>
            <w:noWrap/>
          </w:tcPr>
          <w:p w14:paraId="2EDEF715" w14:textId="0DF98E0D" w:rsidR="003E1D81" w:rsidRDefault="00EB481C">
            <w:pPr>
              <w:pStyle w:val="P68B1DB1-Normal13"/>
              <w:spacing w:after="0"/>
              <w:rPr>
                <w:rFonts w:eastAsia="Times New Roman" w:cs="Times New Roman"/>
                <w:noProof/>
              </w:rPr>
            </w:pPr>
            <w:r>
              <w:rPr>
                <w:noProof/>
              </w:rPr>
              <w:t xml:space="preserve">Az IDAE közzétette a végső odaítélési határozatokat vagy </w:t>
            </w:r>
            <w:r>
              <w:rPr>
                <w:noProof/>
              </w:rPr>
              <w:t>a végső kedvezményezettekkel kötött finanszírozási megállapodások hatálybalépését a Helyreállítási és Rezilienciaépítési Eszköz támogatási rendszerbe történő beruházásának legalább 100%-ára vonatkozóan (beleértve a közvetett költségeket is). Az IDAE-nek bi</w:t>
            </w:r>
            <w:r>
              <w:rPr>
                <w:noProof/>
              </w:rPr>
              <w:t>ztosítania kell, hogy e finanszírozás legalább 90%-a a Helyreállítási és Rezilienciaépítési Eszközről szóló rendelet VI. mellékletében foglalt módszertan alkalmazásával hozzájáruljon az éghajlat-politikai célkitűzésekhez.</w:t>
            </w:r>
          </w:p>
        </w:tc>
      </w:tr>
      <w:tr w:rsidR="003E1D81" w14:paraId="17361FC2" w14:textId="77777777">
        <w:trPr>
          <w:trHeight w:val="309"/>
        </w:trPr>
        <w:tc>
          <w:tcPr>
            <w:tcW w:w="673" w:type="dxa"/>
            <w:shd w:val="clear" w:color="auto" w:fill="C6EFCE"/>
            <w:noWrap/>
          </w:tcPr>
          <w:p w14:paraId="7120F279" w14:textId="48B38B84" w:rsidR="003E1D81" w:rsidRDefault="00EB481C">
            <w:pPr>
              <w:pStyle w:val="P68B1DB1-Normal13"/>
              <w:spacing w:after="0"/>
              <w:jc w:val="center"/>
              <w:rPr>
                <w:rFonts w:eastAsia="Times New Roman" w:cs="Times New Roman"/>
                <w:noProof/>
              </w:rPr>
            </w:pPr>
            <w:r>
              <w:rPr>
                <w:noProof/>
              </w:rPr>
              <w:t>488</w:t>
            </w:r>
          </w:p>
        </w:tc>
        <w:tc>
          <w:tcPr>
            <w:tcW w:w="804" w:type="dxa"/>
            <w:shd w:val="clear" w:color="auto" w:fill="C6EFCE"/>
            <w:noWrap/>
          </w:tcPr>
          <w:p w14:paraId="180307E4" w14:textId="77777777" w:rsidR="003E1D81" w:rsidRDefault="00EB481C">
            <w:pPr>
              <w:pStyle w:val="P68B1DB1-Normal13"/>
              <w:spacing w:after="0"/>
              <w:jc w:val="center"/>
              <w:rPr>
                <w:rFonts w:eastAsia="Times New Roman" w:cs="Times New Roman"/>
                <w:noProof/>
              </w:rPr>
            </w:pPr>
            <w:r>
              <w:rPr>
                <w:noProof/>
              </w:rPr>
              <w:t>C31.I4</w:t>
            </w:r>
          </w:p>
        </w:tc>
        <w:tc>
          <w:tcPr>
            <w:tcW w:w="900" w:type="dxa"/>
            <w:shd w:val="clear" w:color="auto" w:fill="C6EFCE"/>
            <w:noWrap/>
          </w:tcPr>
          <w:p w14:paraId="47527A16" w14:textId="77777777" w:rsidR="003E1D81" w:rsidRDefault="00EB481C">
            <w:pPr>
              <w:pStyle w:val="P68B1DB1-Normal13"/>
              <w:spacing w:after="0"/>
              <w:jc w:val="center"/>
              <w:rPr>
                <w:rFonts w:eastAsia="Times New Roman" w:cs="Times New Roman"/>
                <w:noProof/>
              </w:rPr>
            </w:pPr>
            <w:r>
              <w:rPr>
                <w:noProof/>
              </w:rPr>
              <w:t>M</w:t>
            </w:r>
          </w:p>
        </w:tc>
        <w:tc>
          <w:tcPr>
            <w:tcW w:w="2296" w:type="dxa"/>
            <w:shd w:val="clear" w:color="auto" w:fill="C6EFCE"/>
            <w:noWrap/>
          </w:tcPr>
          <w:p w14:paraId="42228A0A" w14:textId="77777777" w:rsidR="003E1D81" w:rsidRDefault="00EB481C">
            <w:pPr>
              <w:pStyle w:val="P68B1DB1-Normal13"/>
              <w:spacing w:after="0"/>
              <w:rPr>
                <w:rFonts w:eastAsia="Times New Roman" w:cs="Times New Roman"/>
                <w:noProof/>
              </w:rPr>
            </w:pPr>
            <w:r>
              <w:rPr>
                <w:noProof/>
              </w:rPr>
              <w:t xml:space="preserve">A </w:t>
            </w:r>
            <w:r>
              <w:rPr>
                <w:noProof/>
              </w:rPr>
              <w:t>villamosenergia-átviteli projektekre vonatkozó kiválasztási kritériumok közzététele</w:t>
            </w:r>
          </w:p>
        </w:tc>
        <w:tc>
          <w:tcPr>
            <w:tcW w:w="1215" w:type="dxa"/>
            <w:shd w:val="clear" w:color="auto" w:fill="C6EFCE"/>
            <w:noWrap/>
          </w:tcPr>
          <w:p w14:paraId="421678A0" w14:textId="77777777" w:rsidR="003E1D81" w:rsidRDefault="00EB481C">
            <w:pPr>
              <w:pStyle w:val="P68B1DB1-Normal13"/>
              <w:spacing w:after="0"/>
              <w:jc w:val="center"/>
              <w:rPr>
                <w:rFonts w:eastAsia="Times New Roman" w:cs="Times New Roman"/>
                <w:noProof/>
              </w:rPr>
            </w:pPr>
            <w:r>
              <w:rPr>
                <w:noProof/>
              </w:rPr>
              <w:t>A vonatkozó jogi aktus hatálybalépése</w:t>
            </w:r>
          </w:p>
        </w:tc>
        <w:tc>
          <w:tcPr>
            <w:tcW w:w="600" w:type="dxa"/>
            <w:shd w:val="clear" w:color="auto" w:fill="C6EFCE"/>
            <w:noWrap/>
          </w:tcPr>
          <w:p w14:paraId="731E678A" w14:textId="77777777" w:rsidR="003E1D81" w:rsidRDefault="003E1D81">
            <w:pPr>
              <w:spacing w:after="0"/>
              <w:jc w:val="center"/>
              <w:rPr>
                <w:rFonts w:ascii="Times New Roman" w:eastAsia="Times New Roman" w:hAnsi="Times New Roman" w:cs="Times New Roman"/>
                <w:noProof/>
                <w:sz w:val="18"/>
              </w:rPr>
            </w:pPr>
          </w:p>
        </w:tc>
        <w:tc>
          <w:tcPr>
            <w:tcW w:w="436" w:type="dxa"/>
            <w:shd w:val="clear" w:color="auto" w:fill="C6EFCE"/>
            <w:noWrap/>
          </w:tcPr>
          <w:p w14:paraId="70771C08" w14:textId="77777777" w:rsidR="003E1D81" w:rsidRDefault="003E1D81">
            <w:pPr>
              <w:spacing w:after="0"/>
              <w:jc w:val="right"/>
              <w:rPr>
                <w:rFonts w:ascii="Times New Roman" w:eastAsia="Times New Roman" w:hAnsi="Times New Roman" w:cs="Times New Roman"/>
                <w:noProof/>
                <w:sz w:val="18"/>
              </w:rPr>
            </w:pPr>
          </w:p>
        </w:tc>
        <w:tc>
          <w:tcPr>
            <w:tcW w:w="556" w:type="dxa"/>
            <w:shd w:val="clear" w:color="auto" w:fill="C6EFCE"/>
            <w:noWrap/>
          </w:tcPr>
          <w:p w14:paraId="247B4556" w14:textId="77777777" w:rsidR="003E1D81" w:rsidRDefault="003E1D81">
            <w:pPr>
              <w:spacing w:after="0"/>
              <w:jc w:val="right"/>
              <w:rPr>
                <w:rFonts w:ascii="Times New Roman" w:eastAsia="Times New Roman" w:hAnsi="Times New Roman" w:cs="Times New Roman"/>
                <w:noProof/>
                <w:sz w:val="18"/>
              </w:rPr>
            </w:pPr>
          </w:p>
        </w:tc>
        <w:tc>
          <w:tcPr>
            <w:tcW w:w="426" w:type="dxa"/>
            <w:shd w:val="clear" w:color="auto" w:fill="C6EFCE"/>
            <w:noWrap/>
          </w:tcPr>
          <w:p w14:paraId="281FB369" w14:textId="77777777" w:rsidR="003E1D81" w:rsidRDefault="00EB481C">
            <w:pPr>
              <w:pStyle w:val="P68B1DB1-Normal13"/>
              <w:spacing w:after="0"/>
              <w:jc w:val="center"/>
              <w:rPr>
                <w:rFonts w:eastAsia="Times New Roman" w:cs="Times New Roman"/>
                <w:noProof/>
              </w:rPr>
            </w:pPr>
            <w:r>
              <w:rPr>
                <w:noProof/>
              </w:rPr>
              <w:t>NEGYEDÉV</w:t>
            </w:r>
          </w:p>
        </w:tc>
        <w:tc>
          <w:tcPr>
            <w:tcW w:w="502" w:type="dxa"/>
            <w:shd w:val="clear" w:color="auto" w:fill="C6EFCE"/>
            <w:noWrap/>
          </w:tcPr>
          <w:p w14:paraId="63327B57" w14:textId="77777777" w:rsidR="003E1D81" w:rsidRDefault="00EB481C">
            <w:pPr>
              <w:pStyle w:val="P68B1DB1-Normal13"/>
              <w:spacing w:after="0"/>
              <w:jc w:val="center"/>
              <w:rPr>
                <w:rFonts w:eastAsia="Times New Roman" w:cs="Times New Roman"/>
                <w:noProof/>
              </w:rPr>
            </w:pPr>
            <w:r>
              <w:rPr>
                <w:noProof/>
              </w:rPr>
              <w:t>2024</w:t>
            </w:r>
          </w:p>
        </w:tc>
        <w:tc>
          <w:tcPr>
            <w:tcW w:w="6900" w:type="dxa"/>
            <w:gridSpan w:val="2"/>
            <w:shd w:val="clear" w:color="auto" w:fill="C6EFCE"/>
            <w:noWrap/>
          </w:tcPr>
          <w:p w14:paraId="22B29B4A" w14:textId="39CB396D" w:rsidR="003E1D81" w:rsidRDefault="00EB481C">
            <w:pPr>
              <w:pStyle w:val="P68B1DB1-Normal13"/>
              <w:spacing w:after="0"/>
              <w:rPr>
                <w:rFonts w:eastAsia="Times New Roman" w:cs="Times New Roman"/>
                <w:noProof/>
              </w:rPr>
            </w:pPr>
            <w:r>
              <w:rPr>
                <w:noProof/>
              </w:rPr>
              <w:t>Hatályba lép a 2021–2026-os spanyol hálózatfejlesztési tervből kiválasztandó villamosenergia-átviteli projektek által</w:t>
            </w:r>
            <w:r>
              <w:rPr>
                <w:noProof/>
              </w:rPr>
              <w:t xml:space="preserve"> teljesítendő támogathatósági kritériumok megállapításáról szóló királyi rendelet, a következők alapján:</w:t>
            </w:r>
          </w:p>
          <w:p w14:paraId="38FC21D4" w14:textId="77777777" w:rsidR="003E1D81" w:rsidRDefault="00EB481C">
            <w:pPr>
              <w:pStyle w:val="P68B1DB1-ListParagraph14"/>
              <w:numPr>
                <w:ilvl w:val="0"/>
                <w:numId w:val="684"/>
              </w:numPr>
              <w:spacing w:after="0"/>
              <w:rPr>
                <w:rFonts w:eastAsia="Times New Roman" w:cs="Times New Roman"/>
                <w:noProof/>
              </w:rPr>
            </w:pPr>
            <w:r>
              <w:rPr>
                <w:noProof/>
              </w:rPr>
              <w:t>A REPowerEU célkitűzéseit teljesítő projektek, különösen azok, amelyek hozzájárulnak a megújuló energiaforrások integrációjához, az ipari dekarbonizáci</w:t>
            </w:r>
            <w:r>
              <w:rPr>
                <w:noProof/>
              </w:rPr>
              <w:t>óhoz, a kibocsátásmentes közlekedéshez vagy a belső szűk keresztmetszetek kezeléséhez; és</w:t>
            </w:r>
          </w:p>
          <w:p w14:paraId="3BAA817B" w14:textId="56BD3C48" w:rsidR="003E1D81" w:rsidRDefault="00EB481C">
            <w:pPr>
              <w:pStyle w:val="P68B1DB1-ListParagraph14"/>
              <w:numPr>
                <w:ilvl w:val="0"/>
                <w:numId w:val="684"/>
              </w:numPr>
              <w:spacing w:after="0"/>
              <w:rPr>
                <w:rFonts w:eastAsia="Times New Roman" w:cs="Times New Roman"/>
                <w:noProof/>
              </w:rPr>
            </w:pPr>
            <w:r>
              <w:rPr>
                <w:noProof/>
              </w:rPr>
              <w:t>2026 második negyedévéig lezárandó projektek.</w:t>
            </w:r>
          </w:p>
        </w:tc>
      </w:tr>
      <w:tr w:rsidR="003E1D81" w14:paraId="7A14FA0D" w14:textId="77777777">
        <w:trPr>
          <w:trHeight w:val="309"/>
        </w:trPr>
        <w:tc>
          <w:tcPr>
            <w:tcW w:w="673" w:type="dxa"/>
            <w:shd w:val="clear" w:color="auto" w:fill="C6EFCE"/>
            <w:noWrap/>
          </w:tcPr>
          <w:p w14:paraId="126D0150" w14:textId="6F2C747B" w:rsidR="003E1D81" w:rsidRDefault="00EB481C">
            <w:pPr>
              <w:pStyle w:val="P68B1DB1-Normal13"/>
              <w:spacing w:after="0"/>
              <w:jc w:val="center"/>
              <w:rPr>
                <w:rFonts w:eastAsia="Times New Roman" w:cs="Times New Roman"/>
                <w:noProof/>
              </w:rPr>
            </w:pPr>
            <w:r>
              <w:rPr>
                <w:noProof/>
              </w:rPr>
              <w:t>489</w:t>
            </w:r>
          </w:p>
        </w:tc>
        <w:tc>
          <w:tcPr>
            <w:tcW w:w="804" w:type="dxa"/>
            <w:shd w:val="clear" w:color="auto" w:fill="C6EFCE"/>
            <w:noWrap/>
          </w:tcPr>
          <w:p w14:paraId="7AD81780" w14:textId="77777777" w:rsidR="003E1D81" w:rsidRDefault="00EB481C">
            <w:pPr>
              <w:pStyle w:val="P68B1DB1-Normal13"/>
              <w:spacing w:after="0"/>
              <w:jc w:val="center"/>
              <w:rPr>
                <w:rFonts w:eastAsia="Times New Roman" w:cs="Times New Roman"/>
                <w:noProof/>
              </w:rPr>
            </w:pPr>
            <w:r>
              <w:rPr>
                <w:noProof/>
              </w:rPr>
              <w:t>C31.I4</w:t>
            </w:r>
          </w:p>
        </w:tc>
        <w:tc>
          <w:tcPr>
            <w:tcW w:w="900" w:type="dxa"/>
            <w:shd w:val="clear" w:color="auto" w:fill="C6EFCE"/>
            <w:noWrap/>
          </w:tcPr>
          <w:p w14:paraId="4F0A879B" w14:textId="77777777" w:rsidR="003E1D81" w:rsidRDefault="00EB481C">
            <w:pPr>
              <w:pStyle w:val="P68B1DB1-Normal13"/>
              <w:spacing w:after="0"/>
              <w:jc w:val="center"/>
              <w:rPr>
                <w:rFonts w:eastAsia="Times New Roman" w:cs="Times New Roman"/>
                <w:noProof/>
              </w:rPr>
            </w:pPr>
            <w:r>
              <w:rPr>
                <w:noProof/>
              </w:rPr>
              <w:t>M</w:t>
            </w:r>
          </w:p>
        </w:tc>
        <w:tc>
          <w:tcPr>
            <w:tcW w:w="2296" w:type="dxa"/>
            <w:shd w:val="clear" w:color="auto" w:fill="C6EFCE"/>
            <w:noWrap/>
          </w:tcPr>
          <w:p w14:paraId="620113C2" w14:textId="77777777" w:rsidR="003E1D81" w:rsidRDefault="00EB481C">
            <w:pPr>
              <w:pStyle w:val="P68B1DB1-Normal13"/>
              <w:spacing w:after="0"/>
              <w:rPr>
                <w:rFonts w:eastAsia="Times New Roman" w:cs="Times New Roman"/>
                <w:noProof/>
              </w:rPr>
            </w:pPr>
            <w:r>
              <w:rPr>
                <w:noProof/>
              </w:rPr>
              <w:t>A támogatott villamosenergia-átviteli projektek listájának elfogadása</w:t>
            </w:r>
          </w:p>
        </w:tc>
        <w:tc>
          <w:tcPr>
            <w:tcW w:w="1215" w:type="dxa"/>
            <w:shd w:val="clear" w:color="auto" w:fill="C6EFCE"/>
            <w:noWrap/>
          </w:tcPr>
          <w:p w14:paraId="5E5FDA22" w14:textId="77777777" w:rsidR="003E1D81" w:rsidRDefault="00EB481C">
            <w:pPr>
              <w:pStyle w:val="P68B1DB1-Normal13"/>
              <w:spacing w:after="0"/>
              <w:jc w:val="center"/>
              <w:rPr>
                <w:rFonts w:eastAsia="Times New Roman" w:cs="Times New Roman"/>
                <w:noProof/>
              </w:rPr>
            </w:pPr>
            <w:r>
              <w:rPr>
                <w:noProof/>
              </w:rPr>
              <w:t>A projektek listájának közzététele</w:t>
            </w:r>
          </w:p>
        </w:tc>
        <w:tc>
          <w:tcPr>
            <w:tcW w:w="600" w:type="dxa"/>
            <w:shd w:val="clear" w:color="auto" w:fill="C6EFCE"/>
            <w:noWrap/>
          </w:tcPr>
          <w:p w14:paraId="1E403055" w14:textId="77777777" w:rsidR="003E1D81" w:rsidRDefault="003E1D81">
            <w:pPr>
              <w:spacing w:after="0"/>
              <w:jc w:val="center"/>
              <w:rPr>
                <w:rFonts w:ascii="Times New Roman" w:eastAsia="Times New Roman" w:hAnsi="Times New Roman" w:cs="Times New Roman"/>
                <w:noProof/>
                <w:sz w:val="18"/>
              </w:rPr>
            </w:pPr>
          </w:p>
        </w:tc>
        <w:tc>
          <w:tcPr>
            <w:tcW w:w="436" w:type="dxa"/>
            <w:shd w:val="clear" w:color="auto" w:fill="C6EFCE"/>
            <w:noWrap/>
          </w:tcPr>
          <w:p w14:paraId="1F8AE886" w14:textId="77777777" w:rsidR="003E1D81" w:rsidRDefault="003E1D81">
            <w:pPr>
              <w:spacing w:after="0"/>
              <w:jc w:val="right"/>
              <w:rPr>
                <w:rFonts w:ascii="Times New Roman" w:eastAsia="Times New Roman" w:hAnsi="Times New Roman" w:cs="Times New Roman"/>
                <w:noProof/>
                <w:sz w:val="18"/>
              </w:rPr>
            </w:pPr>
          </w:p>
        </w:tc>
        <w:tc>
          <w:tcPr>
            <w:tcW w:w="556" w:type="dxa"/>
            <w:shd w:val="clear" w:color="auto" w:fill="C6EFCE"/>
            <w:noWrap/>
          </w:tcPr>
          <w:p w14:paraId="2F0726A3" w14:textId="77777777" w:rsidR="003E1D81" w:rsidRDefault="003E1D81">
            <w:pPr>
              <w:spacing w:after="0"/>
              <w:jc w:val="right"/>
              <w:rPr>
                <w:rFonts w:ascii="Times New Roman" w:eastAsia="Times New Roman" w:hAnsi="Times New Roman" w:cs="Times New Roman"/>
                <w:noProof/>
                <w:sz w:val="18"/>
              </w:rPr>
            </w:pPr>
          </w:p>
        </w:tc>
        <w:tc>
          <w:tcPr>
            <w:tcW w:w="426" w:type="dxa"/>
            <w:shd w:val="clear" w:color="auto" w:fill="C6EFCE"/>
            <w:noWrap/>
          </w:tcPr>
          <w:p w14:paraId="4061F968" w14:textId="77777777" w:rsidR="003E1D81" w:rsidRDefault="00EB481C">
            <w:pPr>
              <w:pStyle w:val="P68B1DB1-Normal13"/>
              <w:spacing w:after="0"/>
              <w:jc w:val="center"/>
              <w:rPr>
                <w:rFonts w:eastAsia="Times New Roman" w:cs="Times New Roman"/>
                <w:noProof/>
              </w:rPr>
            </w:pPr>
            <w:r>
              <w:rPr>
                <w:noProof/>
              </w:rPr>
              <w:t>NEGYEDÉV</w:t>
            </w:r>
          </w:p>
        </w:tc>
        <w:tc>
          <w:tcPr>
            <w:tcW w:w="502" w:type="dxa"/>
            <w:shd w:val="clear" w:color="auto" w:fill="C6EFCE"/>
            <w:noWrap/>
          </w:tcPr>
          <w:p w14:paraId="09A9DB7C" w14:textId="77777777" w:rsidR="003E1D81" w:rsidRDefault="00EB481C">
            <w:pPr>
              <w:pStyle w:val="P68B1DB1-Normal13"/>
              <w:spacing w:after="0"/>
              <w:jc w:val="center"/>
              <w:rPr>
                <w:rFonts w:eastAsia="Times New Roman" w:cs="Times New Roman"/>
                <w:noProof/>
              </w:rPr>
            </w:pPr>
            <w:r>
              <w:rPr>
                <w:noProof/>
              </w:rPr>
              <w:t>2024</w:t>
            </w:r>
          </w:p>
        </w:tc>
        <w:tc>
          <w:tcPr>
            <w:tcW w:w="6900" w:type="dxa"/>
            <w:gridSpan w:val="2"/>
            <w:shd w:val="clear" w:color="auto" w:fill="C6EFCE"/>
            <w:noWrap/>
          </w:tcPr>
          <w:p w14:paraId="5455C936" w14:textId="090F3F03" w:rsidR="003E1D81" w:rsidRDefault="00EB481C">
            <w:pPr>
              <w:pStyle w:val="P68B1DB1-Normal13"/>
              <w:spacing w:after="0"/>
              <w:rPr>
                <w:rFonts w:eastAsia="Times New Roman" w:cs="Times New Roman"/>
                <w:noProof/>
              </w:rPr>
            </w:pPr>
            <w:r>
              <w:rPr>
                <w:noProof/>
              </w:rPr>
              <w:t>A 931 millió EUR összegű támogatott villamosenergia-átviteli projektek listájának az illetékes minisztérium általi elfogadása a 488. mérföldkőből eredő kiválasztási kritériumokkal összhangban.</w:t>
            </w:r>
          </w:p>
        </w:tc>
      </w:tr>
      <w:tr w:rsidR="003E1D81" w14:paraId="54FD447B" w14:textId="77777777">
        <w:trPr>
          <w:trHeight w:val="600"/>
        </w:trPr>
        <w:tc>
          <w:tcPr>
            <w:tcW w:w="673" w:type="dxa"/>
            <w:shd w:val="clear" w:color="auto" w:fill="C6EFCE"/>
            <w:noWrap/>
          </w:tcPr>
          <w:p w14:paraId="11C9B1F9" w14:textId="664C8CE7" w:rsidR="003E1D81" w:rsidRDefault="00EB481C">
            <w:pPr>
              <w:pStyle w:val="P68B1DB1-Normal13"/>
              <w:spacing w:after="0"/>
              <w:jc w:val="center"/>
              <w:rPr>
                <w:rFonts w:eastAsia="Times New Roman" w:cs="Times New Roman"/>
                <w:noProof/>
              </w:rPr>
            </w:pPr>
            <w:r>
              <w:rPr>
                <w:noProof/>
              </w:rPr>
              <w:t>490</w:t>
            </w:r>
          </w:p>
        </w:tc>
        <w:tc>
          <w:tcPr>
            <w:tcW w:w="804" w:type="dxa"/>
            <w:tcBorders>
              <w:bottom w:val="single" w:sz="4" w:space="0" w:color="auto"/>
            </w:tcBorders>
            <w:shd w:val="clear" w:color="auto" w:fill="C6EFCE"/>
            <w:noWrap/>
          </w:tcPr>
          <w:p w14:paraId="01BD4AA5" w14:textId="77777777" w:rsidR="003E1D81" w:rsidRDefault="00EB481C">
            <w:pPr>
              <w:pStyle w:val="P68B1DB1-Normal13"/>
              <w:spacing w:after="0"/>
              <w:jc w:val="center"/>
              <w:rPr>
                <w:rFonts w:eastAsia="Times New Roman" w:cs="Times New Roman"/>
                <w:noProof/>
              </w:rPr>
            </w:pPr>
            <w:r>
              <w:rPr>
                <w:noProof/>
              </w:rPr>
              <w:t>C31.I4</w:t>
            </w:r>
          </w:p>
        </w:tc>
        <w:tc>
          <w:tcPr>
            <w:tcW w:w="900" w:type="dxa"/>
            <w:tcBorders>
              <w:bottom w:val="single" w:sz="4" w:space="0" w:color="auto"/>
            </w:tcBorders>
            <w:shd w:val="clear" w:color="auto" w:fill="C6EFCE"/>
            <w:noWrap/>
          </w:tcPr>
          <w:p w14:paraId="55E53D5C" w14:textId="77777777" w:rsidR="003E1D81" w:rsidRDefault="00EB481C">
            <w:pPr>
              <w:pStyle w:val="P68B1DB1-Normal13"/>
              <w:spacing w:after="0"/>
              <w:jc w:val="center"/>
              <w:rPr>
                <w:rFonts w:eastAsia="Times New Roman" w:cs="Times New Roman"/>
                <w:noProof/>
              </w:rPr>
            </w:pPr>
            <w:r>
              <w:rPr>
                <w:noProof/>
              </w:rPr>
              <w:t>M</w:t>
            </w:r>
          </w:p>
        </w:tc>
        <w:tc>
          <w:tcPr>
            <w:tcW w:w="2296" w:type="dxa"/>
            <w:tcBorders>
              <w:bottom w:val="single" w:sz="4" w:space="0" w:color="auto"/>
            </w:tcBorders>
            <w:shd w:val="clear" w:color="auto" w:fill="C6EFCE"/>
            <w:noWrap/>
          </w:tcPr>
          <w:p w14:paraId="566FCCB6" w14:textId="4466E6FC" w:rsidR="003E1D81" w:rsidRDefault="00EB481C">
            <w:pPr>
              <w:pStyle w:val="P68B1DB1-Normal13"/>
              <w:spacing w:after="0"/>
              <w:rPr>
                <w:rFonts w:eastAsia="Times New Roman" w:cs="Times New Roman"/>
                <w:noProof/>
              </w:rPr>
            </w:pPr>
            <w:r>
              <w:rPr>
                <w:noProof/>
              </w:rPr>
              <w:t xml:space="preserve">A támogatott </w:t>
            </w:r>
            <w:r>
              <w:rPr>
                <w:noProof/>
              </w:rPr>
              <w:t>villamosenergia-átviteli projektek lezárása</w:t>
            </w:r>
          </w:p>
        </w:tc>
        <w:tc>
          <w:tcPr>
            <w:tcW w:w="1215" w:type="dxa"/>
            <w:tcBorders>
              <w:bottom w:val="single" w:sz="4" w:space="0" w:color="auto"/>
            </w:tcBorders>
            <w:shd w:val="clear" w:color="auto" w:fill="C6EFCE"/>
            <w:noWrap/>
          </w:tcPr>
          <w:p w14:paraId="1A0D4E3E" w14:textId="77777777" w:rsidR="003E1D81" w:rsidRDefault="00EB481C">
            <w:pPr>
              <w:pStyle w:val="P68B1DB1-Normal13"/>
              <w:spacing w:after="0"/>
              <w:jc w:val="center"/>
              <w:rPr>
                <w:rFonts w:eastAsia="Times New Roman" w:cs="Times New Roman"/>
                <w:noProof/>
              </w:rPr>
            </w:pPr>
            <w:r>
              <w:rPr>
                <w:noProof/>
              </w:rPr>
              <w:t>Teljesítési igazolás</w:t>
            </w:r>
          </w:p>
        </w:tc>
        <w:tc>
          <w:tcPr>
            <w:tcW w:w="600" w:type="dxa"/>
            <w:tcBorders>
              <w:bottom w:val="single" w:sz="4" w:space="0" w:color="auto"/>
            </w:tcBorders>
            <w:shd w:val="clear" w:color="auto" w:fill="C6EFCE"/>
            <w:noWrap/>
          </w:tcPr>
          <w:p w14:paraId="0B7F5820" w14:textId="77777777" w:rsidR="003E1D81" w:rsidRDefault="003E1D81">
            <w:pPr>
              <w:spacing w:after="0"/>
              <w:jc w:val="center"/>
              <w:rPr>
                <w:rFonts w:ascii="Times New Roman" w:eastAsia="Times New Roman" w:hAnsi="Times New Roman" w:cs="Times New Roman"/>
                <w:noProof/>
                <w:sz w:val="18"/>
              </w:rPr>
            </w:pPr>
          </w:p>
        </w:tc>
        <w:tc>
          <w:tcPr>
            <w:tcW w:w="436" w:type="dxa"/>
            <w:tcBorders>
              <w:bottom w:val="single" w:sz="4" w:space="0" w:color="auto"/>
            </w:tcBorders>
            <w:shd w:val="clear" w:color="auto" w:fill="C6EFCE"/>
            <w:noWrap/>
          </w:tcPr>
          <w:p w14:paraId="2F646E8F" w14:textId="77777777" w:rsidR="003E1D81" w:rsidRDefault="003E1D81">
            <w:pPr>
              <w:spacing w:after="0"/>
              <w:jc w:val="right"/>
              <w:rPr>
                <w:rFonts w:ascii="Times New Roman" w:eastAsia="Times New Roman" w:hAnsi="Times New Roman" w:cs="Times New Roman"/>
                <w:noProof/>
                <w:sz w:val="18"/>
              </w:rPr>
            </w:pPr>
          </w:p>
        </w:tc>
        <w:tc>
          <w:tcPr>
            <w:tcW w:w="556" w:type="dxa"/>
            <w:tcBorders>
              <w:bottom w:val="single" w:sz="4" w:space="0" w:color="auto"/>
            </w:tcBorders>
            <w:shd w:val="clear" w:color="auto" w:fill="C6EFCE"/>
            <w:noWrap/>
          </w:tcPr>
          <w:p w14:paraId="3AF240DC" w14:textId="77777777" w:rsidR="003E1D81" w:rsidRDefault="003E1D81">
            <w:pPr>
              <w:spacing w:after="0"/>
              <w:jc w:val="right"/>
              <w:rPr>
                <w:rFonts w:ascii="Times New Roman" w:eastAsia="Times New Roman" w:hAnsi="Times New Roman" w:cs="Times New Roman"/>
                <w:noProof/>
                <w:sz w:val="18"/>
              </w:rPr>
            </w:pPr>
          </w:p>
        </w:tc>
        <w:tc>
          <w:tcPr>
            <w:tcW w:w="426" w:type="dxa"/>
            <w:tcBorders>
              <w:bottom w:val="single" w:sz="4" w:space="0" w:color="auto"/>
            </w:tcBorders>
            <w:shd w:val="clear" w:color="auto" w:fill="C6EFCE"/>
            <w:noWrap/>
          </w:tcPr>
          <w:p w14:paraId="7AAF1AC0" w14:textId="3AB829F7" w:rsidR="003E1D81" w:rsidRDefault="00EB481C">
            <w:pPr>
              <w:pStyle w:val="P68B1DB1-Normal13"/>
              <w:spacing w:after="0"/>
              <w:jc w:val="center"/>
              <w:rPr>
                <w:rFonts w:eastAsia="Times New Roman" w:cs="Times New Roman"/>
                <w:noProof/>
              </w:rPr>
            </w:pPr>
            <w:r>
              <w:rPr>
                <w:noProof/>
              </w:rPr>
              <w:t>NEGYEDÉV</w:t>
            </w:r>
          </w:p>
        </w:tc>
        <w:tc>
          <w:tcPr>
            <w:tcW w:w="502" w:type="dxa"/>
            <w:tcBorders>
              <w:bottom w:val="single" w:sz="4" w:space="0" w:color="auto"/>
            </w:tcBorders>
            <w:shd w:val="clear" w:color="auto" w:fill="C6EFCE"/>
            <w:noWrap/>
          </w:tcPr>
          <w:p w14:paraId="2AA227FF" w14:textId="77777777" w:rsidR="003E1D81" w:rsidRDefault="00EB481C">
            <w:pPr>
              <w:pStyle w:val="P68B1DB1-Normal13"/>
              <w:spacing w:after="0"/>
              <w:jc w:val="center"/>
              <w:rPr>
                <w:rFonts w:eastAsia="Times New Roman" w:cs="Times New Roman"/>
                <w:noProof/>
              </w:rPr>
            </w:pPr>
            <w:r>
              <w:rPr>
                <w:noProof/>
              </w:rPr>
              <w:t>2026</w:t>
            </w:r>
          </w:p>
        </w:tc>
        <w:tc>
          <w:tcPr>
            <w:tcW w:w="6900" w:type="dxa"/>
            <w:gridSpan w:val="2"/>
            <w:tcBorders>
              <w:bottom w:val="single" w:sz="4" w:space="0" w:color="auto"/>
            </w:tcBorders>
            <w:shd w:val="clear" w:color="auto" w:fill="C6EFCE"/>
            <w:noWrap/>
          </w:tcPr>
          <w:p w14:paraId="29E51903" w14:textId="3E0D2734" w:rsidR="003E1D81" w:rsidRDefault="00EB481C">
            <w:pPr>
              <w:pStyle w:val="P68B1DB1-Normal13"/>
              <w:spacing w:after="0"/>
              <w:rPr>
                <w:rFonts w:eastAsia="Times New Roman" w:cs="Times New Roman"/>
                <w:noProof/>
              </w:rPr>
            </w:pPr>
            <w:r>
              <w:rPr>
                <w:noProof/>
              </w:rPr>
              <w:t>A 489. mérföldkő alapján elfogadott listán szereplő támogatott villamosenergia-átviteli projektek lezárása.</w:t>
            </w:r>
          </w:p>
        </w:tc>
      </w:tr>
      <w:tr w:rsidR="003E1D81" w14:paraId="2BC4AB72" w14:textId="77777777">
        <w:trPr>
          <w:trHeight w:val="309"/>
        </w:trPr>
        <w:tc>
          <w:tcPr>
            <w:tcW w:w="673" w:type="dxa"/>
            <w:shd w:val="clear" w:color="auto" w:fill="C6EFCE"/>
            <w:noWrap/>
          </w:tcPr>
          <w:p w14:paraId="13390BF6" w14:textId="65B90AC1" w:rsidR="003E1D81" w:rsidRDefault="00EB481C">
            <w:pPr>
              <w:pStyle w:val="P68B1DB1-Normal13"/>
              <w:spacing w:after="0"/>
              <w:jc w:val="center"/>
              <w:rPr>
                <w:rFonts w:eastAsia="Times New Roman" w:cs="Times New Roman"/>
                <w:noProof/>
              </w:rPr>
            </w:pPr>
            <w:r>
              <w:rPr>
                <w:noProof/>
              </w:rPr>
              <w:t>491</w:t>
            </w:r>
          </w:p>
        </w:tc>
        <w:tc>
          <w:tcPr>
            <w:tcW w:w="804" w:type="dxa"/>
            <w:shd w:val="clear" w:color="auto" w:fill="C6EFCE"/>
            <w:noWrap/>
          </w:tcPr>
          <w:p w14:paraId="0E8C97B7" w14:textId="77777777" w:rsidR="003E1D81" w:rsidRDefault="00EB481C">
            <w:pPr>
              <w:pStyle w:val="P68B1DB1-Normal13"/>
              <w:spacing w:after="0"/>
              <w:jc w:val="center"/>
              <w:rPr>
                <w:rFonts w:eastAsia="Times New Roman" w:cs="Times New Roman"/>
                <w:noProof/>
              </w:rPr>
            </w:pPr>
            <w:r>
              <w:rPr>
                <w:noProof/>
              </w:rPr>
              <w:t xml:space="preserve">C31.I5 </w:t>
            </w:r>
          </w:p>
        </w:tc>
        <w:tc>
          <w:tcPr>
            <w:tcW w:w="900" w:type="dxa"/>
            <w:shd w:val="clear" w:color="auto" w:fill="C6EFCE"/>
            <w:noWrap/>
          </w:tcPr>
          <w:p w14:paraId="42A4F590" w14:textId="77777777" w:rsidR="003E1D81" w:rsidRDefault="00EB481C">
            <w:pPr>
              <w:pStyle w:val="P68B1DB1-Normal13"/>
              <w:spacing w:after="0"/>
              <w:jc w:val="center"/>
              <w:rPr>
                <w:rFonts w:eastAsia="Times New Roman" w:cs="Times New Roman"/>
                <w:noProof/>
              </w:rPr>
            </w:pPr>
            <w:r>
              <w:rPr>
                <w:noProof/>
              </w:rPr>
              <w:t>M</w:t>
            </w:r>
          </w:p>
        </w:tc>
        <w:tc>
          <w:tcPr>
            <w:tcW w:w="2296" w:type="dxa"/>
            <w:shd w:val="clear" w:color="auto" w:fill="C6EFCE"/>
            <w:noWrap/>
          </w:tcPr>
          <w:p w14:paraId="4D6D63FD" w14:textId="2B483BE5" w:rsidR="003E1D81" w:rsidRDefault="00EB481C">
            <w:pPr>
              <w:pStyle w:val="P68B1DB1-Normal13"/>
              <w:spacing w:after="0"/>
              <w:rPr>
                <w:rFonts w:eastAsia="Times New Roman" w:cs="Times New Roman"/>
                <w:noProof/>
              </w:rPr>
            </w:pPr>
            <w:r>
              <w:rPr>
                <w:noProof/>
              </w:rPr>
              <w:t xml:space="preserve">A pályázati felhívások közzététele és az ipar </w:t>
            </w:r>
            <w:r>
              <w:rPr>
                <w:noProof/>
              </w:rPr>
              <w:t>dekarbonizációjához nyújtott támogatásra vonatkozó szabályok</w:t>
            </w:r>
          </w:p>
        </w:tc>
        <w:tc>
          <w:tcPr>
            <w:tcW w:w="1215" w:type="dxa"/>
            <w:shd w:val="clear" w:color="auto" w:fill="C6EFCE"/>
            <w:noWrap/>
          </w:tcPr>
          <w:p w14:paraId="78A1B01B" w14:textId="77777777" w:rsidR="003E1D81" w:rsidRDefault="00EB481C">
            <w:pPr>
              <w:pStyle w:val="P68B1DB1-Normal13"/>
              <w:spacing w:after="0"/>
              <w:jc w:val="center"/>
              <w:rPr>
                <w:rFonts w:eastAsia="Times New Roman" w:cs="Times New Roman"/>
                <w:noProof/>
              </w:rPr>
            </w:pPr>
            <w:r>
              <w:rPr>
                <w:noProof/>
              </w:rPr>
              <w:t>Közzététel</w:t>
            </w:r>
          </w:p>
        </w:tc>
        <w:tc>
          <w:tcPr>
            <w:tcW w:w="600" w:type="dxa"/>
            <w:shd w:val="clear" w:color="auto" w:fill="C6EFCE"/>
            <w:noWrap/>
          </w:tcPr>
          <w:p w14:paraId="6DEDFBC9" w14:textId="77777777" w:rsidR="003E1D81" w:rsidRDefault="003E1D81">
            <w:pPr>
              <w:spacing w:after="0"/>
              <w:jc w:val="center"/>
              <w:rPr>
                <w:rFonts w:ascii="Times New Roman" w:eastAsia="Times New Roman" w:hAnsi="Times New Roman" w:cs="Times New Roman"/>
                <w:noProof/>
                <w:sz w:val="18"/>
              </w:rPr>
            </w:pPr>
          </w:p>
        </w:tc>
        <w:tc>
          <w:tcPr>
            <w:tcW w:w="436" w:type="dxa"/>
            <w:shd w:val="clear" w:color="auto" w:fill="C6EFCE"/>
            <w:noWrap/>
          </w:tcPr>
          <w:p w14:paraId="5DE13126" w14:textId="77777777" w:rsidR="003E1D81" w:rsidRDefault="003E1D81">
            <w:pPr>
              <w:spacing w:after="0"/>
              <w:jc w:val="right"/>
              <w:rPr>
                <w:rFonts w:ascii="Times New Roman" w:eastAsia="Times New Roman" w:hAnsi="Times New Roman" w:cs="Times New Roman"/>
                <w:noProof/>
                <w:sz w:val="18"/>
              </w:rPr>
            </w:pPr>
          </w:p>
        </w:tc>
        <w:tc>
          <w:tcPr>
            <w:tcW w:w="556" w:type="dxa"/>
            <w:shd w:val="clear" w:color="auto" w:fill="C6EFCE"/>
            <w:noWrap/>
          </w:tcPr>
          <w:p w14:paraId="232764A2" w14:textId="77777777" w:rsidR="003E1D81" w:rsidRDefault="003E1D81">
            <w:pPr>
              <w:spacing w:after="0"/>
              <w:jc w:val="right"/>
              <w:rPr>
                <w:rFonts w:ascii="Times New Roman" w:eastAsia="Times New Roman" w:hAnsi="Times New Roman" w:cs="Times New Roman"/>
                <w:noProof/>
                <w:sz w:val="18"/>
              </w:rPr>
            </w:pPr>
          </w:p>
        </w:tc>
        <w:tc>
          <w:tcPr>
            <w:tcW w:w="426" w:type="dxa"/>
            <w:shd w:val="clear" w:color="auto" w:fill="C6EFCE"/>
            <w:noWrap/>
          </w:tcPr>
          <w:p w14:paraId="394C6EEC" w14:textId="77777777" w:rsidR="003E1D81" w:rsidRDefault="00EB481C">
            <w:pPr>
              <w:pStyle w:val="P68B1DB1-Normal13"/>
              <w:spacing w:after="0"/>
              <w:jc w:val="center"/>
              <w:rPr>
                <w:rFonts w:eastAsia="Times New Roman" w:cs="Times New Roman"/>
                <w:noProof/>
              </w:rPr>
            </w:pPr>
            <w:r>
              <w:rPr>
                <w:noProof/>
              </w:rPr>
              <w:t>KÉRDÉS</w:t>
            </w:r>
          </w:p>
        </w:tc>
        <w:tc>
          <w:tcPr>
            <w:tcW w:w="502" w:type="dxa"/>
            <w:shd w:val="clear" w:color="auto" w:fill="C6EFCE"/>
            <w:noWrap/>
          </w:tcPr>
          <w:p w14:paraId="444825EE" w14:textId="77777777" w:rsidR="003E1D81" w:rsidRDefault="00EB481C">
            <w:pPr>
              <w:pStyle w:val="P68B1DB1-Normal13"/>
              <w:spacing w:after="0"/>
              <w:jc w:val="center"/>
              <w:rPr>
                <w:rFonts w:eastAsia="Times New Roman" w:cs="Times New Roman"/>
                <w:noProof/>
              </w:rPr>
            </w:pPr>
            <w:r>
              <w:rPr>
                <w:noProof/>
              </w:rPr>
              <w:t>2024</w:t>
            </w:r>
          </w:p>
        </w:tc>
        <w:tc>
          <w:tcPr>
            <w:tcW w:w="6900" w:type="dxa"/>
            <w:gridSpan w:val="2"/>
            <w:shd w:val="clear" w:color="auto" w:fill="C6EFCE"/>
            <w:noWrap/>
          </w:tcPr>
          <w:p w14:paraId="1EE3FF45" w14:textId="235D679B" w:rsidR="003E1D81" w:rsidRDefault="00EB481C">
            <w:pPr>
              <w:pStyle w:val="P68B1DB1-Normal13"/>
              <w:spacing w:after="0"/>
              <w:rPr>
                <w:rFonts w:eastAsia="Times New Roman" w:cs="Times New Roman"/>
                <w:noProof/>
              </w:rPr>
            </w:pPr>
            <w:r>
              <w:rPr>
                <w:noProof/>
              </w:rPr>
              <w:t>A pályázati felhívások és a feldolgozóipar dekarbonizációját, valamint új, nagy hatékonyságú és dekarbonizált gyártólétesítmények fejlesztését célzó projektekhez nyújtot</w:t>
            </w:r>
            <w:r>
              <w:rPr>
                <w:noProof/>
              </w:rPr>
              <w:t xml:space="preserve">t vissza nem térítendő támogatások formájában nyújtott támogatásra vonatkozó szabályok jóváhagyása. A pályázati felhívásoknak és a projekttámogatás formájában nyújtott támogatásra vonatkozó szabályoknak biztosítaniuk kell, hogy az intézkedés megfeleljen a </w:t>
            </w:r>
            <w:r>
              <w:rPr>
                <w:noProof/>
              </w:rPr>
              <w:t>jelentős károkozás elkerülését célzó elvről szóló technikai iránymutatásnak (2021/C58/01) a kizárási lista és a vonatkozó uniós és nemzeti környezetvédelmi jogszabályoknak való megfelelés követelménye révén.</w:t>
            </w:r>
          </w:p>
        </w:tc>
      </w:tr>
      <w:tr w:rsidR="003E1D81" w14:paraId="4128DA45" w14:textId="77777777">
        <w:trPr>
          <w:trHeight w:val="309"/>
        </w:trPr>
        <w:tc>
          <w:tcPr>
            <w:tcW w:w="673" w:type="dxa"/>
            <w:tcBorders>
              <w:bottom w:val="single" w:sz="4" w:space="0" w:color="4F81BD" w:themeColor="accent1"/>
            </w:tcBorders>
            <w:shd w:val="clear" w:color="auto" w:fill="C6EFCE"/>
            <w:noWrap/>
          </w:tcPr>
          <w:p w14:paraId="32F202CA" w14:textId="142D1754" w:rsidR="003E1D81" w:rsidRDefault="00EB481C">
            <w:pPr>
              <w:pStyle w:val="P68B1DB1-Normal13"/>
              <w:spacing w:after="0"/>
              <w:jc w:val="center"/>
              <w:rPr>
                <w:rFonts w:eastAsia="Times New Roman" w:cs="Times New Roman"/>
                <w:noProof/>
              </w:rPr>
            </w:pPr>
            <w:r>
              <w:rPr>
                <w:noProof/>
              </w:rPr>
              <w:t>492</w:t>
            </w:r>
          </w:p>
        </w:tc>
        <w:tc>
          <w:tcPr>
            <w:tcW w:w="804" w:type="dxa"/>
            <w:tcBorders>
              <w:bottom w:val="single" w:sz="4" w:space="0" w:color="auto"/>
            </w:tcBorders>
            <w:shd w:val="clear" w:color="auto" w:fill="C6EFCE"/>
            <w:noWrap/>
          </w:tcPr>
          <w:p w14:paraId="0961D913" w14:textId="77777777" w:rsidR="003E1D81" w:rsidRDefault="00EB481C">
            <w:pPr>
              <w:pStyle w:val="P68B1DB1-Normal13"/>
              <w:spacing w:after="0"/>
              <w:jc w:val="center"/>
              <w:rPr>
                <w:rFonts w:eastAsia="Times New Roman" w:cs="Times New Roman"/>
                <w:noProof/>
              </w:rPr>
            </w:pPr>
            <w:r>
              <w:rPr>
                <w:noProof/>
              </w:rPr>
              <w:t>C31.I5</w:t>
            </w:r>
          </w:p>
        </w:tc>
        <w:tc>
          <w:tcPr>
            <w:tcW w:w="900" w:type="dxa"/>
            <w:tcBorders>
              <w:bottom w:val="single" w:sz="4" w:space="0" w:color="auto"/>
            </w:tcBorders>
            <w:shd w:val="clear" w:color="auto" w:fill="C6EFCE"/>
            <w:noWrap/>
          </w:tcPr>
          <w:p w14:paraId="09D171A4" w14:textId="77777777" w:rsidR="003E1D81" w:rsidRDefault="00EB481C">
            <w:pPr>
              <w:pStyle w:val="P68B1DB1-Normal13"/>
              <w:spacing w:after="0"/>
              <w:jc w:val="center"/>
              <w:rPr>
                <w:rFonts w:eastAsia="Times New Roman" w:cs="Times New Roman"/>
                <w:noProof/>
              </w:rPr>
            </w:pPr>
            <w:r>
              <w:rPr>
                <w:noProof/>
              </w:rPr>
              <w:t>M</w:t>
            </w:r>
          </w:p>
        </w:tc>
        <w:tc>
          <w:tcPr>
            <w:tcW w:w="2296" w:type="dxa"/>
            <w:tcBorders>
              <w:bottom w:val="single" w:sz="4" w:space="0" w:color="auto"/>
            </w:tcBorders>
            <w:shd w:val="clear" w:color="auto" w:fill="C6EFCE"/>
            <w:noWrap/>
          </w:tcPr>
          <w:p w14:paraId="43015BD9" w14:textId="5C160BFE" w:rsidR="003E1D81" w:rsidRDefault="00EB481C">
            <w:pPr>
              <w:pStyle w:val="P68B1DB1-Normal13"/>
              <w:spacing w:after="0"/>
              <w:rPr>
                <w:rFonts w:eastAsia="Times New Roman" w:cs="Times New Roman"/>
                <w:noProof/>
              </w:rPr>
            </w:pPr>
            <w:r>
              <w:rPr>
                <w:noProof/>
              </w:rPr>
              <w:t xml:space="preserve">A dekarbonizációs projektek díjának közzététele </w:t>
            </w:r>
          </w:p>
        </w:tc>
        <w:tc>
          <w:tcPr>
            <w:tcW w:w="1215" w:type="dxa"/>
            <w:tcBorders>
              <w:bottom w:val="single" w:sz="4" w:space="0" w:color="auto"/>
            </w:tcBorders>
            <w:shd w:val="clear" w:color="auto" w:fill="C6EFCE"/>
            <w:noWrap/>
          </w:tcPr>
          <w:p w14:paraId="262D614F" w14:textId="77777777" w:rsidR="003E1D81" w:rsidRDefault="00EB481C">
            <w:pPr>
              <w:pStyle w:val="P68B1DB1-Normal13"/>
              <w:spacing w:after="0"/>
              <w:jc w:val="center"/>
              <w:rPr>
                <w:rFonts w:eastAsia="Times New Roman" w:cs="Times New Roman"/>
                <w:noProof/>
              </w:rPr>
            </w:pPr>
            <w:r>
              <w:rPr>
                <w:noProof/>
              </w:rPr>
              <w:t>Az odaítélésről szóló határozatok közzététele</w:t>
            </w:r>
          </w:p>
        </w:tc>
        <w:tc>
          <w:tcPr>
            <w:tcW w:w="600" w:type="dxa"/>
            <w:tcBorders>
              <w:bottom w:val="single" w:sz="4" w:space="0" w:color="auto"/>
            </w:tcBorders>
            <w:shd w:val="clear" w:color="auto" w:fill="C6EFCE"/>
            <w:noWrap/>
          </w:tcPr>
          <w:p w14:paraId="00EBF89E" w14:textId="77777777" w:rsidR="003E1D81" w:rsidRDefault="00EB481C">
            <w:pPr>
              <w:pStyle w:val="P68B1DB1-Normal13"/>
              <w:spacing w:after="0"/>
              <w:jc w:val="center"/>
              <w:rPr>
                <w:rFonts w:eastAsia="Times New Roman" w:cs="Times New Roman"/>
                <w:noProof/>
              </w:rPr>
            </w:pPr>
            <w:r>
              <w:rPr>
                <w:noProof/>
              </w:rPr>
              <w:t>Millió</w:t>
            </w:r>
          </w:p>
          <w:p w14:paraId="35FAE67F" w14:textId="5157125C" w:rsidR="003E1D81" w:rsidRDefault="00EB481C">
            <w:pPr>
              <w:pStyle w:val="P68B1DB1-Normal13"/>
              <w:spacing w:after="0"/>
              <w:jc w:val="center"/>
              <w:rPr>
                <w:rFonts w:eastAsia="Times New Roman" w:cs="Times New Roman"/>
                <w:noProof/>
              </w:rPr>
            </w:pPr>
            <w:r>
              <w:rPr>
                <w:noProof/>
              </w:rPr>
              <w:t>EUR</w:t>
            </w:r>
          </w:p>
        </w:tc>
        <w:tc>
          <w:tcPr>
            <w:tcW w:w="436" w:type="dxa"/>
            <w:tcBorders>
              <w:bottom w:val="single" w:sz="4" w:space="0" w:color="auto"/>
            </w:tcBorders>
            <w:shd w:val="clear" w:color="auto" w:fill="C6EFCE"/>
            <w:noWrap/>
          </w:tcPr>
          <w:p w14:paraId="756964F5" w14:textId="365F2A8E" w:rsidR="003E1D81" w:rsidRDefault="00EB481C">
            <w:pPr>
              <w:pStyle w:val="P68B1DB1-Normal13"/>
              <w:spacing w:after="0"/>
              <w:jc w:val="right"/>
              <w:rPr>
                <w:rFonts w:eastAsia="Times New Roman" w:cs="Times New Roman"/>
                <w:noProof/>
              </w:rPr>
            </w:pPr>
            <w:r>
              <w:rPr>
                <w:noProof/>
              </w:rPr>
              <w:t>0</w:t>
            </w:r>
          </w:p>
        </w:tc>
        <w:tc>
          <w:tcPr>
            <w:tcW w:w="556" w:type="dxa"/>
            <w:tcBorders>
              <w:bottom w:val="single" w:sz="4" w:space="0" w:color="auto"/>
            </w:tcBorders>
            <w:shd w:val="clear" w:color="auto" w:fill="C6EFCE"/>
            <w:noWrap/>
          </w:tcPr>
          <w:p w14:paraId="67530E80" w14:textId="059A78AF" w:rsidR="003E1D81" w:rsidRDefault="00EB481C">
            <w:pPr>
              <w:pStyle w:val="P68B1DB1-Normal13"/>
              <w:spacing w:after="0"/>
              <w:jc w:val="right"/>
              <w:rPr>
                <w:rFonts w:eastAsia="Times New Roman" w:cs="Times New Roman"/>
                <w:noProof/>
              </w:rPr>
            </w:pPr>
            <w:r>
              <w:rPr>
                <w:noProof/>
              </w:rPr>
              <w:t>531</w:t>
            </w:r>
          </w:p>
        </w:tc>
        <w:tc>
          <w:tcPr>
            <w:tcW w:w="426" w:type="dxa"/>
            <w:tcBorders>
              <w:bottom w:val="single" w:sz="4" w:space="0" w:color="auto"/>
            </w:tcBorders>
            <w:shd w:val="clear" w:color="auto" w:fill="C6EFCE"/>
            <w:noWrap/>
          </w:tcPr>
          <w:p w14:paraId="78603C4F" w14:textId="77777777" w:rsidR="003E1D81" w:rsidRDefault="00EB481C">
            <w:pPr>
              <w:pStyle w:val="P68B1DB1-Normal13"/>
              <w:spacing w:after="0"/>
              <w:jc w:val="center"/>
              <w:rPr>
                <w:rFonts w:eastAsia="Times New Roman" w:cs="Times New Roman"/>
                <w:noProof/>
              </w:rPr>
            </w:pPr>
            <w:r>
              <w:rPr>
                <w:noProof/>
              </w:rPr>
              <w:t>NEGYEDÉV</w:t>
            </w:r>
          </w:p>
        </w:tc>
        <w:tc>
          <w:tcPr>
            <w:tcW w:w="502" w:type="dxa"/>
            <w:tcBorders>
              <w:bottom w:val="single" w:sz="4" w:space="0" w:color="auto"/>
            </w:tcBorders>
            <w:shd w:val="clear" w:color="auto" w:fill="C6EFCE"/>
            <w:noWrap/>
          </w:tcPr>
          <w:p w14:paraId="1EF68D8D" w14:textId="77777777" w:rsidR="003E1D81" w:rsidRDefault="00EB481C">
            <w:pPr>
              <w:pStyle w:val="P68B1DB1-Normal13"/>
              <w:spacing w:after="0"/>
              <w:jc w:val="center"/>
              <w:rPr>
                <w:rFonts w:eastAsia="Times New Roman" w:cs="Times New Roman"/>
                <w:noProof/>
              </w:rPr>
            </w:pPr>
            <w:r>
              <w:rPr>
                <w:noProof/>
              </w:rPr>
              <w:t>2024</w:t>
            </w:r>
          </w:p>
        </w:tc>
        <w:tc>
          <w:tcPr>
            <w:tcW w:w="6900" w:type="dxa"/>
            <w:gridSpan w:val="2"/>
            <w:tcBorders>
              <w:bottom w:val="single" w:sz="4" w:space="0" w:color="auto"/>
            </w:tcBorders>
            <w:shd w:val="clear" w:color="auto" w:fill="C6EFCE"/>
            <w:noWrap/>
          </w:tcPr>
          <w:p w14:paraId="693F6C41" w14:textId="7AC573FC" w:rsidR="003E1D81" w:rsidRDefault="00EB481C">
            <w:pPr>
              <w:spacing w:after="0"/>
              <w:rPr>
                <w:rFonts w:ascii="Times New Roman" w:eastAsia="Times New Roman" w:hAnsi="Times New Roman" w:cs="Times New Roman"/>
                <w:noProof/>
                <w:sz w:val="18"/>
              </w:rPr>
            </w:pPr>
            <w:r>
              <w:rPr>
                <w:rFonts w:ascii="Times New Roman" w:hAnsi="Times New Roman"/>
                <w:noProof/>
                <w:sz w:val="18"/>
              </w:rPr>
              <w:t xml:space="preserve">A végső kedvezményezetteknek legalább 531 000 000 EUR-t kell odaítélni (ebből az összes forrás legalább 40%-a a Helyreállítási és </w:t>
            </w:r>
            <w:r>
              <w:rPr>
                <w:rFonts w:ascii="Times New Roman" w:hAnsi="Times New Roman"/>
                <w:noProof/>
                <w:sz w:val="18"/>
              </w:rPr>
              <w:t>Rezilienciaépítési Eszközről szóló rendelet VI. mellékletében foglalt módszertan alkalmazásával járul hozzá az éghajlat-politikai célkitűzésekhez).</w:t>
            </w:r>
            <w:r>
              <w:rPr>
                <w:noProof/>
              </w:rPr>
              <w:t xml:space="preserve"> </w:t>
            </w:r>
          </w:p>
        </w:tc>
      </w:tr>
      <w:tr w:rsidR="003E1D81" w14:paraId="75E9CC47" w14:textId="77777777">
        <w:trPr>
          <w:trHeight w:val="309"/>
        </w:trPr>
        <w:tc>
          <w:tcPr>
            <w:tcW w:w="673"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574A6F0B" w14:textId="442675F2" w:rsidR="003E1D81" w:rsidRDefault="00EB481C">
            <w:pPr>
              <w:pStyle w:val="P68B1DB1-Normal13"/>
              <w:spacing w:after="0"/>
              <w:jc w:val="center"/>
              <w:rPr>
                <w:rFonts w:eastAsia="Times New Roman" w:cs="Times New Roman"/>
                <w:noProof/>
              </w:rPr>
            </w:pPr>
            <w:r>
              <w:rPr>
                <w:noProof/>
              </w:rPr>
              <w:t>493</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D92DB00" w14:textId="77777777" w:rsidR="003E1D81" w:rsidRDefault="00EB481C">
            <w:pPr>
              <w:pStyle w:val="P68B1DB1-Normal13"/>
              <w:spacing w:after="0"/>
              <w:jc w:val="center"/>
              <w:rPr>
                <w:rFonts w:eastAsia="Times New Roman" w:cs="Times New Roman"/>
                <w:noProof/>
              </w:rPr>
            </w:pPr>
            <w:r>
              <w:rPr>
                <w:noProof/>
              </w:rPr>
              <w:t>C31.I5</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65E87F51" w14:textId="77777777" w:rsidR="003E1D81" w:rsidRDefault="00EB481C">
            <w:pPr>
              <w:pStyle w:val="P68B1DB1-Normal13"/>
              <w:spacing w:after="0"/>
              <w:jc w:val="center"/>
              <w:rPr>
                <w:rFonts w:eastAsia="Times New Roman" w:cs="Times New Roman"/>
                <w:noProof/>
              </w:rPr>
            </w:pPr>
            <w:r>
              <w:rPr>
                <w:noProof/>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23692AFB" w14:textId="77777777" w:rsidR="003E1D81" w:rsidRDefault="00EB481C">
            <w:pPr>
              <w:pStyle w:val="P68B1DB1-Normal13"/>
              <w:spacing w:after="0"/>
              <w:rPr>
                <w:rFonts w:eastAsia="Times New Roman" w:cs="Times New Roman"/>
                <w:noProof/>
              </w:rPr>
            </w:pPr>
            <w:r>
              <w:rPr>
                <w:noProof/>
              </w:rPr>
              <w:t>Dekarbonizációs projektek lezárása</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14A2AFE2" w14:textId="77777777" w:rsidR="003E1D81" w:rsidRDefault="00EB481C">
            <w:pPr>
              <w:pStyle w:val="P68B1DB1-Normal13"/>
              <w:spacing w:after="0"/>
              <w:jc w:val="center"/>
              <w:rPr>
                <w:rFonts w:eastAsia="Times New Roman" w:cs="Times New Roman"/>
                <w:noProof/>
              </w:rPr>
            </w:pPr>
            <w:r>
              <w:rPr>
                <w:noProof/>
              </w:rPr>
              <w:t>Teljesítési igazolás</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40423CA1" w14:textId="77777777" w:rsidR="003E1D81" w:rsidRDefault="003E1D81">
            <w:pPr>
              <w:spacing w:after="0"/>
              <w:jc w:val="center"/>
              <w:rPr>
                <w:rFonts w:ascii="Times New Roman" w:eastAsia="Times New Roman" w:hAnsi="Times New Roman" w:cs="Times New Roman"/>
                <w:noProof/>
                <w:sz w:val="18"/>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481CC9EC" w14:textId="4C741D47" w:rsidR="003E1D81" w:rsidRDefault="003E1D81">
            <w:pPr>
              <w:spacing w:after="0"/>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137B4FFC" w14:textId="77777777" w:rsidR="003E1D81" w:rsidRDefault="003E1D81">
            <w:pPr>
              <w:spacing w:after="0"/>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7CB82393" w14:textId="03FF8788" w:rsidR="003E1D81" w:rsidRDefault="00EB481C">
            <w:pPr>
              <w:pStyle w:val="P68B1DB1-Normal13"/>
              <w:spacing w:after="0"/>
              <w:jc w:val="center"/>
              <w:rPr>
                <w:rFonts w:eastAsia="Times New Roman" w:cs="Times New Roman"/>
                <w:noProof/>
              </w:rPr>
            </w:pPr>
            <w:r>
              <w:rPr>
                <w:noProof/>
              </w:rPr>
              <w:t>NEGYEDÉV</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3F39C4F9" w14:textId="77777777" w:rsidR="003E1D81" w:rsidRDefault="00EB481C">
            <w:pPr>
              <w:pStyle w:val="P68B1DB1-Normal13"/>
              <w:spacing w:after="0"/>
              <w:jc w:val="center"/>
              <w:rPr>
                <w:rFonts w:eastAsia="Times New Roman" w:cs="Times New Roman"/>
                <w:noProof/>
              </w:rPr>
            </w:pPr>
            <w:r>
              <w:rPr>
                <w:noProof/>
              </w:rPr>
              <w:t>2026</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264666FD" w14:textId="7CFF1EFB" w:rsidR="003E1D81" w:rsidRDefault="00EB481C">
            <w:pPr>
              <w:pStyle w:val="P68B1DB1-Normal13"/>
              <w:spacing w:after="0"/>
              <w:rPr>
                <w:rFonts w:eastAsia="Times New Roman" w:cs="Times New Roman"/>
                <w:noProof/>
              </w:rPr>
            </w:pPr>
            <w:r>
              <w:rPr>
                <w:noProof/>
              </w:rPr>
              <w:t xml:space="preserve">Legalább 531 000 000 EUR teljes költségvetésű projektek lezárása. </w:t>
            </w:r>
          </w:p>
        </w:tc>
      </w:tr>
      <w:tr w:rsidR="003E1D81" w14:paraId="0F90CD58" w14:textId="77777777">
        <w:trPr>
          <w:trHeight w:val="309"/>
        </w:trPr>
        <w:tc>
          <w:tcPr>
            <w:tcW w:w="673"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254EADDD" w14:textId="532ABE6B" w:rsidR="003E1D81" w:rsidRDefault="00EB481C">
            <w:pPr>
              <w:pStyle w:val="P68B1DB1-Normal13"/>
              <w:jc w:val="center"/>
              <w:rPr>
                <w:rFonts w:eastAsia="Times New Roman" w:cs="Times New Roman"/>
                <w:noProof/>
              </w:rPr>
            </w:pPr>
            <w:r>
              <w:rPr>
                <w:noProof/>
              </w:rPr>
              <w:t>494</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670CAAE" w14:textId="77777777" w:rsidR="003E1D81" w:rsidRDefault="00EB481C">
            <w:pPr>
              <w:pStyle w:val="P68B1DB1-Normal13"/>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401C556B" w14:textId="77777777" w:rsidR="003E1D81" w:rsidRDefault="00EB481C">
            <w:pPr>
              <w:pStyle w:val="P68B1DB1-Normal13"/>
              <w:jc w:val="center"/>
              <w:rPr>
                <w:rFonts w:eastAsia="Times New Roman" w:cs="Times New Roman"/>
                <w:noProof/>
              </w:rPr>
            </w:pPr>
            <w:r>
              <w:rPr>
                <w:noProof/>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1A05CC68" w14:textId="0EC8B090" w:rsidR="003E1D81" w:rsidRDefault="00EB481C">
            <w:pPr>
              <w:pStyle w:val="P68B1DB1-Normal13"/>
              <w:rPr>
                <w:rFonts w:eastAsia="Times New Roman" w:cs="Times New Roman"/>
                <w:noProof/>
              </w:rPr>
            </w:pPr>
            <w:r>
              <w:rPr>
                <w:noProof/>
              </w:rPr>
              <w:t>Az ipari dekarbonizációt célzó támogatási rendszer: Az ENISA közvállalkozássá alakítása</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6B7F5FC9" w14:textId="77777777" w:rsidR="003E1D81" w:rsidRDefault="00EB481C">
            <w:pPr>
              <w:pStyle w:val="P68B1DB1-Normal13"/>
              <w:jc w:val="center"/>
              <w:rPr>
                <w:rFonts w:eastAsia="Times New Roman" w:cs="Times New Roman"/>
                <w:noProof/>
              </w:rPr>
            </w:pPr>
            <w:r>
              <w:rPr>
                <w:noProof/>
              </w:rPr>
              <w:t>A jogalkotási aktus hatálybalépése</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108A9018" w14:textId="77777777" w:rsidR="003E1D81" w:rsidRDefault="003E1D81">
            <w:pPr>
              <w:jc w:val="center"/>
              <w:rPr>
                <w:rFonts w:ascii="Times New Roman" w:eastAsia="Times New Roman" w:hAnsi="Times New Roman" w:cs="Times New Roman"/>
                <w:noProof/>
                <w:sz w:val="18"/>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2EC695C1" w14:textId="77777777" w:rsidR="003E1D81" w:rsidRDefault="003E1D81">
            <w:pPr>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136BC6F6" w14:textId="77777777" w:rsidR="003E1D81" w:rsidRDefault="003E1D81">
            <w:pPr>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28BC8789" w14:textId="77777777" w:rsidR="003E1D81" w:rsidRDefault="00EB481C">
            <w:pPr>
              <w:pStyle w:val="P68B1DB1-Normal13"/>
              <w:jc w:val="center"/>
              <w:rPr>
                <w:rFonts w:eastAsia="Times New Roman" w:cs="Times New Roman"/>
                <w:noProof/>
              </w:rPr>
            </w:pPr>
            <w:r>
              <w:rPr>
                <w:noProof/>
              </w:rPr>
              <w:t>KÉRDÉS</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63A86723" w14:textId="77777777" w:rsidR="003E1D81" w:rsidRDefault="00EB481C">
            <w:pPr>
              <w:pStyle w:val="P68B1DB1-Normal13"/>
              <w:jc w:val="center"/>
              <w:rPr>
                <w:rFonts w:eastAsia="Times New Roman" w:cs="Times New Roman"/>
                <w:noProof/>
              </w:rPr>
            </w:pPr>
            <w:r>
              <w:rPr>
                <w:noProof/>
              </w:rPr>
              <w:t>2024</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4E8997C9" w14:textId="77777777" w:rsidR="003E1D81" w:rsidRDefault="00EB481C">
            <w:pPr>
              <w:pStyle w:val="P68B1DB1-Normal13"/>
              <w:rPr>
                <w:rFonts w:eastAsia="Times New Roman" w:cs="Times New Roman"/>
                <w:noProof/>
              </w:rPr>
            </w:pPr>
            <w:r>
              <w:rPr>
                <w:noProof/>
              </w:rPr>
              <w:t xml:space="preserve">Annak a vonatkozó jogalkotási </w:t>
            </w:r>
            <w:r>
              <w:rPr>
                <w:noProof/>
              </w:rPr>
              <w:t>eszköznek a hatálybalépése, amely az ENISA-t a támogatási rendszer végrehajtása érdekében közvállalkozássá alakítja át</w:t>
            </w:r>
          </w:p>
        </w:tc>
      </w:tr>
      <w:tr w:rsidR="003E1D81" w14:paraId="6663D00E" w14:textId="77777777">
        <w:trPr>
          <w:trHeight w:val="309"/>
        </w:trPr>
        <w:tc>
          <w:tcPr>
            <w:tcW w:w="673"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6E4E79B7" w14:textId="5A9BB16C" w:rsidR="003E1D81" w:rsidRDefault="00EB481C">
            <w:pPr>
              <w:jc w:val="center"/>
              <w:rPr>
                <w:rFonts w:ascii="Times New Roman" w:eastAsia="Times New Roman" w:hAnsi="Times New Roman" w:cs="Times New Roman"/>
                <w:noProof/>
                <w:sz w:val="18"/>
              </w:rPr>
            </w:pPr>
            <w:r>
              <w:rPr>
                <w:rStyle w:val="normaltextrun"/>
                <w:rFonts w:ascii="Times New Roman" w:hAnsi="Times New Roman"/>
                <w:noProof/>
                <w:sz w:val="18"/>
              </w:rPr>
              <w:t>497</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3A0565E" w14:textId="21F26057" w:rsidR="003E1D81" w:rsidRDefault="00EB481C">
            <w:pPr>
              <w:pStyle w:val="P68B1DB1-Normal13"/>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491E3BC6" w14:textId="6A66B6DB" w:rsidR="003E1D81" w:rsidRDefault="00EB481C">
            <w:pPr>
              <w:pStyle w:val="P68B1DB1-Normal13"/>
              <w:jc w:val="center"/>
              <w:rPr>
                <w:rFonts w:eastAsia="Times New Roman" w:cs="Times New Roman"/>
                <w:noProof/>
              </w:rPr>
            </w:pPr>
            <w:r>
              <w:rPr>
                <w:noProof/>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27E7FCCA" w14:textId="0181D3D1" w:rsidR="003E1D81" w:rsidRDefault="00EB481C">
            <w:pPr>
              <w:pStyle w:val="P68B1DB1-Normal13"/>
              <w:rPr>
                <w:rFonts w:eastAsia="Times New Roman" w:cs="Times New Roman"/>
                <w:noProof/>
              </w:rPr>
            </w:pPr>
            <w:r>
              <w:rPr>
                <w:noProof/>
              </w:rPr>
              <w:t>Az ipari dekarbonizációt célzó támogatási rendszer: A minisztérium befejezte a beruházást</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09D98D67" w14:textId="6CA7ADBF" w:rsidR="003E1D81" w:rsidRDefault="00EB481C">
            <w:pPr>
              <w:pStyle w:val="P68B1DB1-Normal13"/>
              <w:jc w:val="center"/>
              <w:rPr>
                <w:rFonts w:eastAsia="Times New Roman" w:cs="Times New Roman"/>
                <w:noProof/>
              </w:rPr>
            </w:pPr>
            <w:r>
              <w:rPr>
                <w:noProof/>
              </w:rPr>
              <w:t>Folyósítási igazolás az ENISA-nak</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7A126ED9" w14:textId="77777777" w:rsidR="003E1D81" w:rsidRDefault="003E1D81">
            <w:pPr>
              <w:jc w:val="center"/>
              <w:rPr>
                <w:rFonts w:ascii="Times New Roman" w:eastAsia="Times New Roman" w:hAnsi="Times New Roman" w:cs="Times New Roman"/>
                <w:noProof/>
                <w:sz w:val="18"/>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30337125" w14:textId="77777777" w:rsidR="003E1D81" w:rsidRDefault="003E1D81">
            <w:pPr>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40886B16" w14:textId="77777777" w:rsidR="003E1D81" w:rsidRDefault="003E1D81">
            <w:pPr>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4C81123E" w14:textId="77C17AC3" w:rsidR="003E1D81" w:rsidRDefault="00EB481C">
            <w:pPr>
              <w:pStyle w:val="P68B1DB1-Normal13"/>
              <w:jc w:val="center"/>
              <w:rPr>
                <w:rFonts w:eastAsia="Times New Roman" w:cs="Times New Roman"/>
                <w:noProof/>
              </w:rPr>
            </w:pPr>
            <w:r>
              <w:rPr>
                <w:noProof/>
              </w:rPr>
              <w:t>KÉRDÉS</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0EA5B9E8" w14:textId="548F7251" w:rsidR="003E1D81" w:rsidRDefault="00EB481C">
            <w:pPr>
              <w:pStyle w:val="P68B1DB1-Normal13"/>
              <w:jc w:val="center"/>
              <w:rPr>
                <w:rFonts w:eastAsia="Times New Roman" w:cs="Times New Roman"/>
                <w:noProof/>
              </w:rPr>
            </w:pPr>
            <w:r>
              <w:rPr>
                <w:noProof/>
              </w:rPr>
              <w:t>2024</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06D9A38B" w14:textId="62547453" w:rsidR="003E1D81" w:rsidRDefault="00EB481C">
            <w:pPr>
              <w:pStyle w:val="P68B1DB1-Normal13"/>
              <w:rPr>
                <w:rFonts w:eastAsia="Times New Roman" w:cs="Times New Roman"/>
                <w:noProof/>
              </w:rPr>
            </w:pPr>
            <w:r>
              <w:rPr>
                <w:noProof/>
              </w:rPr>
              <w:t>Spanyolország 430 000 000 EUR-t utal át a program céljára az ENISA-nak.</w:t>
            </w:r>
          </w:p>
        </w:tc>
      </w:tr>
      <w:tr w:rsidR="003E1D81" w14:paraId="0B256555" w14:textId="77777777">
        <w:trPr>
          <w:trHeight w:val="309"/>
        </w:trPr>
        <w:tc>
          <w:tcPr>
            <w:tcW w:w="673" w:type="dxa"/>
            <w:tcBorders>
              <w:top w:val="single" w:sz="4" w:space="0" w:color="auto"/>
              <w:left w:val="single" w:sz="4" w:space="0" w:color="auto"/>
              <w:bottom w:val="single" w:sz="4" w:space="0" w:color="auto"/>
              <w:right w:val="single" w:sz="4" w:space="0" w:color="auto"/>
            </w:tcBorders>
            <w:shd w:val="clear" w:color="auto" w:fill="C6EFCE"/>
            <w:noWrap/>
          </w:tcPr>
          <w:p w14:paraId="41225BD8" w14:textId="3BEAE0A9" w:rsidR="003E1D81" w:rsidRDefault="00EB481C">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495</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E2A541E" w14:textId="3607417C" w:rsidR="003E1D81" w:rsidRDefault="00EB481C">
            <w:pPr>
              <w:pStyle w:val="P68B1DB1-Normal13"/>
              <w:spacing w:after="0"/>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18E9FD42" w14:textId="66B0C8B8" w:rsidR="003E1D81" w:rsidRDefault="00EB481C">
            <w:pPr>
              <w:pStyle w:val="P68B1DB1-Normal13"/>
              <w:spacing w:after="0"/>
              <w:jc w:val="center"/>
              <w:rPr>
                <w:rFonts w:eastAsia="Times New Roman" w:cs="Times New Roman"/>
                <w:noProof/>
              </w:rPr>
            </w:pPr>
            <w:r>
              <w:rPr>
                <w:noProof/>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63A59834" w14:textId="2F5BB03F" w:rsidR="003E1D81" w:rsidRDefault="00EB481C">
            <w:pPr>
              <w:pStyle w:val="P68B1DB1-Normal13"/>
              <w:spacing w:after="0"/>
              <w:rPr>
                <w:rFonts w:eastAsia="Times New Roman" w:cs="Times New Roman"/>
                <w:noProof/>
              </w:rPr>
            </w:pPr>
            <w:r>
              <w:rPr>
                <w:noProof/>
              </w:rPr>
              <w:t>Az ipari dekarbonizációt célzó támogatási rendszer: A rendszer létrehozása</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62CCEAD0" w14:textId="6DB56B12" w:rsidR="003E1D81" w:rsidRDefault="00EB481C">
            <w:pPr>
              <w:pStyle w:val="P68B1DB1-Normal13"/>
              <w:spacing w:after="0"/>
              <w:jc w:val="center"/>
              <w:rPr>
                <w:rFonts w:eastAsia="Times New Roman" w:cs="Times New Roman"/>
                <w:noProof/>
              </w:rPr>
            </w:pPr>
            <w:r>
              <w:rPr>
                <w:noProof/>
              </w:rPr>
              <w:t>A vonatkozó jogi eszköz(ök) hatálybalépése</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6A592B4A" w14:textId="63D994BD" w:rsidR="003E1D81" w:rsidRDefault="003E1D81">
            <w:pPr>
              <w:spacing w:after="0"/>
              <w:jc w:val="center"/>
              <w:rPr>
                <w:rFonts w:ascii="Times New Roman" w:eastAsia="Times New Roman" w:hAnsi="Times New Roman" w:cs="Times New Roman"/>
                <w:noProof/>
                <w:sz w:val="18"/>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79DEAE24" w14:textId="2D2BF299" w:rsidR="003E1D81" w:rsidRDefault="003E1D81">
            <w:pPr>
              <w:spacing w:after="0"/>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6ECB895F" w14:textId="0A06AC8E" w:rsidR="003E1D81" w:rsidRDefault="003E1D81">
            <w:pPr>
              <w:spacing w:after="0"/>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1161E9BD" w14:textId="5CFF78C8" w:rsidR="003E1D81" w:rsidRDefault="00EB481C">
            <w:pPr>
              <w:pStyle w:val="P68B1DB1-Normal13"/>
              <w:spacing w:after="0"/>
              <w:jc w:val="center"/>
              <w:rPr>
                <w:rFonts w:eastAsia="Times New Roman" w:cs="Times New Roman"/>
                <w:noProof/>
              </w:rPr>
            </w:pPr>
            <w:r>
              <w:rPr>
                <w:noProof/>
              </w:rPr>
              <w:t>NEGYEDÉV</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7450C49C" w14:textId="55D6ECE2" w:rsidR="003E1D81" w:rsidRDefault="00EB481C">
            <w:pPr>
              <w:pStyle w:val="P68B1DB1-Normal13"/>
              <w:spacing w:after="0"/>
              <w:jc w:val="center"/>
              <w:rPr>
                <w:rFonts w:eastAsia="Times New Roman" w:cs="Times New Roman"/>
                <w:noProof/>
              </w:rPr>
            </w:pPr>
            <w:r>
              <w:rPr>
                <w:noProof/>
              </w:rPr>
              <w:t>2024</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5993836A" w14:textId="5DADA110" w:rsidR="003E1D81" w:rsidRDefault="00EB481C">
            <w:pPr>
              <w:pStyle w:val="P68B1DB1-Normal13"/>
              <w:spacing w:after="0"/>
              <w:rPr>
                <w:rStyle w:val="normaltextrun"/>
                <w:rFonts w:cs="Times New Roman"/>
                <w:noProof/>
              </w:rPr>
            </w:pPr>
            <w:r>
              <w:rPr>
                <w:noProof/>
              </w:rPr>
              <w:t xml:space="preserve">A támogatási </w:t>
            </w:r>
            <w:r>
              <w:rPr>
                <w:noProof/>
              </w:rPr>
              <w:t>programot létrehozó jogi eszköz(ök) hatálybalépése az intézkedés leírásában meghatározott követelményekkel összhangban.</w:t>
            </w:r>
          </w:p>
        </w:tc>
      </w:tr>
      <w:tr w:rsidR="003E1D81" w14:paraId="53F0675F" w14:textId="77777777">
        <w:trPr>
          <w:trHeight w:val="309"/>
        </w:trPr>
        <w:tc>
          <w:tcPr>
            <w:tcW w:w="673" w:type="dxa"/>
            <w:tcBorders>
              <w:top w:val="single" w:sz="4" w:space="0" w:color="auto"/>
              <w:left w:val="single" w:sz="4" w:space="0" w:color="auto"/>
              <w:bottom w:val="single" w:sz="4" w:space="0" w:color="auto"/>
              <w:right w:val="single" w:sz="4" w:space="0" w:color="auto"/>
            </w:tcBorders>
            <w:shd w:val="clear" w:color="auto" w:fill="C6EFCE"/>
            <w:noWrap/>
          </w:tcPr>
          <w:p w14:paraId="34AD2FF7" w14:textId="137951C1" w:rsidR="003E1D81" w:rsidRDefault="00EB481C">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496</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7315F882" w14:textId="74E9207C" w:rsidR="003E1D81" w:rsidRDefault="00EB481C">
            <w:pPr>
              <w:pStyle w:val="P68B1DB1-Normal13"/>
              <w:spacing w:after="0"/>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2CEB9501" w14:textId="2E902B83" w:rsidR="003E1D81" w:rsidRDefault="00EB481C">
            <w:pPr>
              <w:pStyle w:val="P68B1DB1-Normal13"/>
              <w:spacing w:after="0"/>
              <w:jc w:val="center"/>
              <w:rPr>
                <w:rFonts w:eastAsia="Times New Roman" w:cs="Times New Roman"/>
                <w:noProof/>
              </w:rPr>
            </w:pPr>
            <w:r>
              <w:rPr>
                <w:noProof/>
              </w:rPr>
              <w:t>T</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64C011EA" w14:textId="575FB635" w:rsidR="003E1D81" w:rsidRDefault="00EB481C">
            <w:pPr>
              <w:pStyle w:val="P68B1DB1-Normal13"/>
              <w:spacing w:after="0"/>
              <w:rPr>
                <w:rFonts w:eastAsia="Times New Roman" w:cs="Times New Roman"/>
                <w:noProof/>
              </w:rPr>
            </w:pPr>
            <w:r>
              <w:rPr>
                <w:noProof/>
              </w:rPr>
              <w:t xml:space="preserve">Az ipari dekarbonizációt célzó támogatási rendszer: A végső kedvezményezettekkel aláírt jogi megállapodások vagy a végső </w:t>
            </w:r>
            <w:r>
              <w:rPr>
                <w:noProof/>
              </w:rPr>
              <w:t>odaítélési határozatok közzététele</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377C33F2" w14:textId="142B1ECA" w:rsidR="003E1D81" w:rsidRDefault="00EB481C">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A jogi finanszírozási megállapodások vagy jogerős odaítélési határozatok hatálybalépése</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32E1A102" w14:textId="4FC96852" w:rsidR="003E1D81" w:rsidRDefault="003E1D81">
            <w:pPr>
              <w:spacing w:after="0"/>
              <w:jc w:val="center"/>
              <w:rPr>
                <w:rStyle w:val="eop"/>
                <w:rFonts w:ascii="Times New Roman" w:hAnsi="Times New Roman" w:cs="Times New Roman"/>
                <w:noProof/>
                <w:sz w:val="18"/>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14EA9841" w14:textId="2F0F4DF5" w:rsidR="003E1D81" w:rsidRDefault="00EB481C">
            <w:pPr>
              <w:pStyle w:val="P68B1DB1-Normal13"/>
              <w:spacing w:after="0"/>
              <w:jc w:val="right"/>
              <w:rPr>
                <w:rStyle w:val="eop"/>
                <w:rFonts w:cs="Times New Roman"/>
                <w:noProof/>
              </w:rPr>
            </w:pPr>
            <w:r>
              <w:rPr>
                <w:noProof/>
              </w:rPr>
              <w:t>0</w:t>
            </w: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06DFB6E1" w14:textId="1B577234" w:rsidR="003E1D81" w:rsidRDefault="00EB481C">
            <w:pPr>
              <w:pStyle w:val="P68B1DB1-Normal13"/>
              <w:spacing w:after="0"/>
              <w:jc w:val="right"/>
              <w:rPr>
                <w:rStyle w:val="eop"/>
                <w:rFonts w:cs="Times New Roman"/>
                <w:noProof/>
              </w:rPr>
            </w:pPr>
            <w:r>
              <w:rPr>
                <w:noProof/>
              </w:rPr>
              <w:t>100%-OS</w:t>
            </w: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4F77913B" w14:textId="04C4F3AF" w:rsidR="003E1D81" w:rsidRDefault="00EB481C">
            <w:pPr>
              <w:pStyle w:val="P68B1DB1-Normal13"/>
              <w:spacing w:after="0"/>
              <w:jc w:val="center"/>
              <w:rPr>
                <w:rFonts w:eastAsia="Times New Roman" w:cs="Times New Roman"/>
                <w:noProof/>
              </w:rPr>
            </w:pPr>
            <w:r>
              <w:rPr>
                <w:noProof/>
              </w:rPr>
              <w:t>NEGYEDÉV</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390B66D1" w14:textId="66A564EB" w:rsidR="003E1D81" w:rsidRDefault="00EB481C">
            <w:pPr>
              <w:pStyle w:val="P68B1DB1-Normal13"/>
              <w:spacing w:after="0"/>
              <w:jc w:val="center"/>
              <w:rPr>
                <w:rFonts w:eastAsia="Times New Roman" w:cs="Times New Roman"/>
                <w:noProof/>
              </w:rPr>
            </w:pPr>
            <w:r>
              <w:rPr>
                <w:noProof/>
              </w:rPr>
              <w:t>2026</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0574265D" w14:textId="5C1192A2" w:rsidR="003E1D81" w:rsidRDefault="00EB481C">
            <w:pPr>
              <w:pStyle w:val="P68B1DB1-Normal13"/>
              <w:spacing w:after="0"/>
              <w:rPr>
                <w:rFonts w:eastAsia="Times New Roman" w:cs="Times New Roman"/>
                <w:noProof/>
              </w:rPr>
            </w:pPr>
            <w:r>
              <w:rPr>
                <w:noProof/>
              </w:rPr>
              <w:t>Az ENISA jogerős odaítélési határozatokat tett közzé, vagy jogi finanszírozási megállapodásokat kötött a vég</w:t>
            </w:r>
            <w:r>
              <w:rPr>
                <w:noProof/>
              </w:rPr>
              <w:t>ső kedvezményezettekkel a Helyreállítási és Rezilienciaépítési Eszköz beruházásainak (beleértve a közvetett költségeket is) 100%-ának a rendszerbe történő felhasználásához szükséges összegről. Az ENISA-nak biztosítania kell, hogy e finanszírozás legalább 4</w:t>
            </w:r>
            <w:r>
              <w:rPr>
                <w:noProof/>
              </w:rPr>
              <w:t xml:space="preserve">0%-a a Helyreállítási és Rezilienciaépítési Eszközről szóló rendelet VI. mellékletében foglalt módszertan alkalmazásával hozzájáruljon az éghajlat-politikai célkitűzésekhez.  </w:t>
            </w:r>
          </w:p>
        </w:tc>
      </w:tr>
    </w:tbl>
    <w:p w14:paraId="0C2BD2FC" w14:textId="77777777" w:rsidR="003E1D81" w:rsidRDefault="003E1D81">
      <w:pPr>
        <w:rPr>
          <w:rFonts w:ascii="Times New Roman" w:hAnsi="Times New Roman" w:cs="Times New Roman"/>
          <w:noProof/>
          <w:highlight w:val="yellow"/>
        </w:rPr>
        <w:sectPr w:rsidR="003E1D81" w:rsidSect="00C94F66">
          <w:headerReference w:type="even" r:id="rId573"/>
          <w:headerReference w:type="default" r:id="rId574"/>
          <w:footerReference w:type="even" r:id="rId575"/>
          <w:footerReference w:type="default" r:id="rId576"/>
          <w:headerReference w:type="first" r:id="rId577"/>
          <w:footerReference w:type="first" r:id="rId578"/>
          <w:pgSz w:w="16839" w:h="11907" w:orient="landscape"/>
          <w:pgMar w:top="1417" w:right="1134" w:bottom="1417" w:left="1134" w:header="709" w:footer="709" w:gutter="0"/>
          <w:cols w:space="720"/>
          <w:docGrid w:linePitch="360"/>
        </w:sectPr>
      </w:pPr>
    </w:p>
    <w:p w14:paraId="1B2ECE51" w14:textId="43168ACD" w:rsidR="003E1D81" w:rsidRDefault="00EB481C">
      <w:pPr>
        <w:pStyle w:val="P68B1DB1-Normal42"/>
        <w:ind w:firstLine="720"/>
        <w:rPr>
          <w:b/>
          <w:noProof/>
        </w:rPr>
      </w:pPr>
      <w:r>
        <w:rPr>
          <w:rFonts w:ascii="Times New Roman" w:hAnsi="Times New Roman"/>
          <w:b/>
          <w:noProof/>
          <w:sz w:val="24"/>
        </w:rPr>
        <w:t>AE.3</w:t>
      </w:r>
      <w:r>
        <w:rPr>
          <w:noProof/>
        </w:rPr>
        <w:tab/>
      </w:r>
      <w:r>
        <w:rPr>
          <w:rFonts w:ascii="Times New Roman" w:hAnsi="Times New Roman"/>
          <w:b/>
          <w:noProof/>
          <w:sz w:val="24"/>
        </w:rPr>
        <w:t xml:space="preserve">A </w:t>
      </w:r>
      <w:r>
        <w:rPr>
          <w:rFonts w:ascii="Times New Roman" w:hAnsi="Times New Roman"/>
          <w:b/>
          <w:noProof/>
          <w:sz w:val="24"/>
        </w:rPr>
        <w:t>hiteltámogatással kapcsolatos reformok és beruházások ismertetése</w:t>
      </w:r>
    </w:p>
    <w:p w14:paraId="12871D72" w14:textId="77777777" w:rsidR="003E1D81" w:rsidRDefault="00EB481C">
      <w:pPr>
        <w:pStyle w:val="P68B1DB1-Text120"/>
        <w:ind w:left="0"/>
        <w:rPr>
          <w:rFonts w:eastAsia="Times New Roman" w:cs="Times New Roman"/>
          <w:noProof/>
        </w:rPr>
      </w:pPr>
      <w:r>
        <w:rPr>
          <w:noProof/>
        </w:rPr>
        <w:t>Beruházás (C31.I7) – Az ipari dekarbonizációt támogató beruházások (hitelek)</w:t>
      </w:r>
    </w:p>
    <w:p w14:paraId="5351656B" w14:textId="08525698" w:rsidR="003E1D81" w:rsidRDefault="00EB481C">
      <w:pPr>
        <w:pStyle w:val="P68B1DB1-Normal4"/>
        <w:spacing w:before="120" w:after="120" w:line="240" w:lineRule="auto"/>
        <w:jc w:val="both"/>
        <w:rPr>
          <w:rFonts w:cs="Times New Roman"/>
          <w:noProof/>
        </w:rPr>
      </w:pPr>
      <w:r>
        <w:rPr>
          <w:noProof/>
        </w:rPr>
        <w:t>Az ipari dekarbonizációra irányuló stratégiai projekt részét képező intézkedés célja, hogy kölcsönök formájában t</w:t>
      </w:r>
      <w:r>
        <w:rPr>
          <w:noProof/>
        </w:rPr>
        <w:t xml:space="preserve">ámogatást nyújtson a feldolgozóipar dekarbonizációját célzó projektekhez. Ennek a beruházási intézkedésnek az alábbi három különböző cselekvési irányvonal közül legalább az egyikből kell állnia: </w:t>
      </w:r>
    </w:p>
    <w:p w14:paraId="2900FDC7" w14:textId="0681C78E" w:rsidR="003E1D81" w:rsidRDefault="00EB481C">
      <w:pPr>
        <w:pStyle w:val="P68B1DB1-ListParagraph7"/>
        <w:numPr>
          <w:ilvl w:val="0"/>
          <w:numId w:val="635"/>
        </w:numPr>
        <w:spacing w:before="120" w:after="120" w:line="240" w:lineRule="auto"/>
        <w:jc w:val="both"/>
        <w:rPr>
          <w:rFonts w:cs="Times New Roman"/>
          <w:noProof/>
        </w:rPr>
      </w:pPr>
      <w:r>
        <w:rPr>
          <w:noProof/>
        </w:rPr>
        <w:t xml:space="preserve">a feldolgozóipar dekarbonizációját megvalósító projekteknek </w:t>
      </w:r>
      <w:r>
        <w:rPr>
          <w:noProof/>
        </w:rPr>
        <w:t>– például az ÜHG-kibocsátást csökkentő projekteknek – nyújtott hitelek formájában nyújtott támogatás;</w:t>
      </w:r>
    </w:p>
    <w:p w14:paraId="3F0388F1" w14:textId="59D0BDB7" w:rsidR="003E1D81" w:rsidRDefault="00EB481C">
      <w:pPr>
        <w:pStyle w:val="P68B1DB1-ListParagraph24"/>
        <w:numPr>
          <w:ilvl w:val="0"/>
          <w:numId w:val="635"/>
        </w:numPr>
        <w:spacing w:before="120" w:after="120" w:line="240" w:lineRule="auto"/>
        <w:jc w:val="both"/>
        <w:rPr>
          <w:rFonts w:cs="Times New Roman"/>
          <w:noProof/>
          <w:sz w:val="24"/>
        </w:rPr>
      </w:pPr>
      <w:r>
        <w:rPr>
          <w:noProof/>
          <w:sz w:val="24"/>
        </w:rPr>
        <w:t>kísérleti projekt lezárása, amely arra ösztönzi a vállalatokat, hogy magas járulékos költségekkel járó beruházásokat hajtsanak végre a nagy ipari dekarbon</w:t>
      </w:r>
      <w:r>
        <w:rPr>
          <w:noProof/>
          <w:sz w:val="24"/>
        </w:rPr>
        <w:t>izációs beruházási projektekbe és jelentős ÜHG-kibocsátáscsökkentésbe</w:t>
      </w:r>
      <w:r>
        <w:rPr>
          <w:noProof/>
        </w:rPr>
        <w:t xml:space="preserve"> </w:t>
      </w:r>
      <w:r>
        <w:rPr>
          <w:noProof/>
          <w:sz w:val="24"/>
        </w:rPr>
        <w:t>azáltal, hogy egy adott időszakban fix szén-dioxid-árat fizetnek (szén-dioxid-kibocsátási szerződés a különbségekért); és</w:t>
      </w:r>
    </w:p>
    <w:p w14:paraId="064740CB" w14:textId="7A1D824F" w:rsidR="003E1D81" w:rsidRDefault="00EB481C">
      <w:pPr>
        <w:pStyle w:val="P68B1DB1-ListParagraph7"/>
        <w:numPr>
          <w:ilvl w:val="0"/>
          <w:numId w:val="635"/>
        </w:numPr>
        <w:spacing w:before="120" w:line="240" w:lineRule="auto"/>
        <w:jc w:val="both"/>
        <w:rPr>
          <w:rFonts w:cs="Times New Roman"/>
          <w:noProof/>
        </w:rPr>
      </w:pPr>
      <w:r>
        <w:rPr>
          <w:noProof/>
        </w:rPr>
        <w:t>hitelek formájában nyújtott támogatás új, nagy hatékonyságú és d</w:t>
      </w:r>
      <w:r>
        <w:rPr>
          <w:noProof/>
        </w:rPr>
        <w:t>ekarbonizált gyártólétesítmények fejlesztéséhez.</w:t>
      </w:r>
    </w:p>
    <w:p w14:paraId="7DA59DDC" w14:textId="7885F78E" w:rsidR="003E1D81" w:rsidRDefault="00EB481C">
      <w:pPr>
        <w:pStyle w:val="Text1"/>
        <w:spacing w:after="160"/>
        <w:ind w:left="0"/>
        <w:rPr>
          <w:rFonts w:ascii="Times New Roman" w:hAnsi="Times New Roman" w:cs="Times New Roman"/>
          <w:noProof/>
        </w:rPr>
      </w:pPr>
      <w:r>
        <w:rPr>
          <w:rFonts w:ascii="Times New Roman" w:hAnsi="Times New Roman"/>
          <w:noProof/>
        </w:rPr>
        <w:t>A Miniszterek Tanácsának az ipar dekarbonizációjára vonatkozó PERTE programot jóváhagyó határozata részletes kiválasztási kritériumokat tartalmaz a jelentős károkozás elkerülését célzó technikai iránymutatás</w:t>
      </w:r>
      <w:r>
        <w:rPr>
          <w:rFonts w:ascii="Times New Roman" w:hAnsi="Times New Roman"/>
          <w:noProof/>
        </w:rPr>
        <w:t>nak (2021/C58/01) való megfelelés biztosítása érdekében. Annak biztosítása érdekében, hogy az intézkedés megfeleljen a jelentős károkozás elkerülését célzó elvről szóló technikai iránymutatásnak (2021/C58/01), a soron következő pályázati felhívásokra vonat</w:t>
      </w:r>
      <w:r>
        <w:rPr>
          <w:rFonts w:ascii="Times New Roman" w:hAnsi="Times New Roman"/>
          <w:noProof/>
        </w:rPr>
        <w:t>kozó feladatmeghatározásban szereplő támogathatósági kritériumok nem tartalmazzák a tevékenységek alábbi listáját: az uniós kibocsátáskereskedelmi rendszer (ETS) keretében végzett olyan tevékenységek, amelyek CO2-</w:t>
      </w:r>
      <w:r>
        <w:rPr>
          <w:rFonts w:ascii="Times New Roman" w:hAnsi="Times New Roman"/>
          <w:noProof/>
          <w:vertAlign w:val="subscript"/>
        </w:rPr>
        <w:t>egyenértéknek</w:t>
      </w:r>
      <w:r>
        <w:rPr>
          <w:rFonts w:ascii="Times New Roman" w:hAnsi="Times New Roman"/>
          <w:noProof/>
        </w:rPr>
        <w:t xml:space="preserve"> megfelelő, előrejelzett kiboc</w:t>
      </w:r>
      <w:r>
        <w:rPr>
          <w:rFonts w:ascii="Times New Roman" w:hAnsi="Times New Roman"/>
          <w:noProof/>
        </w:rPr>
        <w:t>sátásokat érnek el, amelyek nem alacsonyabbak az ingyenes kiosztásra vonatkozó referenciaértékeknél</w:t>
      </w:r>
      <w:r>
        <w:rPr>
          <w:rStyle w:val="FootnoteReference"/>
          <w:rFonts w:ascii="Times New Roman" w:hAnsi="Times New Roman" w:cs="Times New Roman"/>
          <w:noProof/>
        </w:rPr>
        <w:footnoteReference w:id="236"/>
      </w:r>
      <w:r>
        <w:rPr>
          <w:rFonts w:ascii="Times New Roman" w:hAnsi="Times New Roman"/>
          <w:noProof/>
        </w:rPr>
        <w:t>; és ii. a kibocsátáskereskedelmi rendszeren (ETS) kívül a fosszilis tüzelőanyagokhoz kapcsolódó tevékenységek, beleértve a downstream felhasználást is</w:t>
      </w:r>
      <w:r>
        <w:rPr>
          <w:rStyle w:val="FootnoteReference"/>
          <w:rFonts w:ascii="Times New Roman" w:hAnsi="Times New Roman" w:cs="Times New Roman"/>
          <w:noProof/>
        </w:rPr>
        <w:footnoteReference w:id="237"/>
      </w:r>
      <w:r>
        <w:rPr>
          <w:rFonts w:ascii="Times New Roman" w:hAnsi="Times New Roman"/>
          <w:noProof/>
        </w:rPr>
        <w:t xml:space="preserve">. A </w:t>
      </w:r>
      <w:r>
        <w:rPr>
          <w:rFonts w:ascii="Times New Roman" w:hAnsi="Times New Roman"/>
          <w:noProof/>
        </w:rPr>
        <w:t xml:space="preserve">feladatmeghatározás emellett előírja, hogy csak a vonatkozó uniós és nemzeti környezetvédelmi jogszabályoknak megfelelő tevékenységek választhatók ki. </w:t>
      </w:r>
    </w:p>
    <w:p w14:paraId="55A5FFD9" w14:textId="77777777" w:rsidR="003E1D81" w:rsidRDefault="00EB481C">
      <w:pPr>
        <w:pStyle w:val="P68B1DB1-Text119"/>
        <w:ind w:left="0"/>
        <w:rPr>
          <w:rFonts w:cs="Times New Roman"/>
          <w:noProof/>
        </w:rPr>
      </w:pPr>
      <w:r>
        <w:rPr>
          <w:noProof/>
        </w:rPr>
        <w:t>Az e beruházás keretében végrehajtott alábbi K+F+I-intézkedéseket úgy kell tekinteni, hogy megfelelnek a</w:t>
      </w:r>
      <w:r>
        <w:rPr>
          <w:noProof/>
        </w:rPr>
        <w:t xml:space="preserve"> jelentős károkozás elkerülését célzó elvről szóló technikai iránymutatásnak (2021/C58/01): E beruházás keretében a vállalatok környezeti fenntarthatóságának jelentős növelésére irányuló K+F+I tevékenységek (például dekarbonizáció, a szennyezés csökkentése</w:t>
      </w:r>
      <w:r>
        <w:rPr>
          <w:noProof/>
        </w:rPr>
        <w:t xml:space="preserve"> és a körforgásos gazdaság), amennyiben az e beruházás keretében megvalósuló K+F+I tevékenységek elsősorban az ágazatban a lehető legkisebb környezeti hatással járó alternatívák kidolgozására vagy kiigazítására irányulnak. </w:t>
      </w:r>
    </w:p>
    <w:p w14:paraId="5C551CA5" w14:textId="0753E613" w:rsidR="003E1D81" w:rsidRDefault="00EB481C">
      <w:pPr>
        <w:pStyle w:val="Text1"/>
        <w:ind w:left="0"/>
        <w:rPr>
          <w:rFonts w:ascii="Times New Roman" w:hAnsi="Times New Roman" w:cs="Times New Roman"/>
          <w:noProof/>
        </w:rPr>
      </w:pPr>
      <w:r>
        <w:rPr>
          <w:rFonts w:ascii="Times New Roman" w:hAnsi="Times New Roman"/>
          <w:noProof/>
        </w:rPr>
        <w:t>A kiválasztási kritériumoknak bi</w:t>
      </w:r>
      <w:r>
        <w:rPr>
          <w:rFonts w:ascii="Times New Roman" w:hAnsi="Times New Roman"/>
          <w:noProof/>
        </w:rPr>
        <w:t>ztosítaniuk kell, hogy a Helyreállítási és Rezilienciaépítési Eszközről szóló rendelet VI. mellékletével összhangban legalább 260 000 000 EUR, amely az intézkedés becsült költségének 40%-át teszi ki, hozzájáruljon az éghajlatváltozással kapcsolatos célkitű</w:t>
      </w:r>
      <w:r>
        <w:rPr>
          <w:rFonts w:ascii="Times New Roman" w:hAnsi="Times New Roman"/>
          <w:noProof/>
        </w:rPr>
        <w:t>zésekhez.</w:t>
      </w:r>
      <w:r>
        <w:rPr>
          <w:rStyle w:val="FootnoteReference"/>
          <w:rFonts w:ascii="Times New Roman" w:hAnsi="Times New Roman" w:cs="Times New Roman"/>
          <w:noProof/>
        </w:rPr>
        <w:footnoteReference w:id="238"/>
      </w:r>
    </w:p>
    <w:p w14:paraId="4838C699" w14:textId="5043D238" w:rsidR="003E1D81" w:rsidRDefault="00EB481C">
      <w:pPr>
        <w:pStyle w:val="P68B1DB1-Normal4"/>
        <w:rPr>
          <w:rFonts w:cs="Times New Roman"/>
          <w:noProof/>
        </w:rPr>
      </w:pPr>
      <w:r>
        <w:rPr>
          <w:noProof/>
        </w:rPr>
        <w:t>A pénzügyi műveletekhez kapcsolódó visszaáramlásokat újra be kell fektetni az intézkedés ugyanazon szakpolitikai területén belüli új műveletekbe, kivéve, ha azokat a Helyreállítási és Rezilienciaépítési Eszközből származó hiteltörlesztések telje</w:t>
      </w:r>
      <w:r>
        <w:rPr>
          <w:noProof/>
        </w:rPr>
        <w:t xml:space="preserve">sítésére használják fel.  </w:t>
      </w:r>
    </w:p>
    <w:p w14:paraId="28CAC13E" w14:textId="77777777" w:rsidR="003E1D81" w:rsidRDefault="00EB481C">
      <w:pPr>
        <w:pStyle w:val="P68B1DB1-Normal4"/>
        <w:rPr>
          <w:rFonts w:cs="Times New Roman"/>
          <w:noProof/>
        </w:rPr>
      </w:pPr>
      <w:r>
        <w:rPr>
          <w:noProof/>
        </w:rPr>
        <w:t xml:space="preserve">A beruházás végrehajtását 2026. augusztus 31-ig be kell fejezni. </w:t>
      </w:r>
    </w:p>
    <w:p w14:paraId="3315BCF6" w14:textId="7DB44A5B" w:rsidR="003E1D81" w:rsidRDefault="00EB481C">
      <w:pPr>
        <w:pStyle w:val="P68B1DB1-Normal6"/>
        <w:rPr>
          <w:rFonts w:cs="Times New Roman"/>
          <w:noProof/>
        </w:rPr>
      </w:pPr>
      <w:r>
        <w:rPr>
          <w:noProof/>
        </w:rPr>
        <w:t>Beruházás (C31.I8) – A dekarbonizációs projektek támogatási rendszere (hitelek)</w:t>
      </w:r>
    </w:p>
    <w:p w14:paraId="65D0A169" w14:textId="0F94D258" w:rsidR="003E1D81" w:rsidRDefault="00EB481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Ez az intézkedés egy olyan támogatási rendszerbe történő beruházásból áll, amely kölcsönök révén ösztönzi az ipari dekarbonizációba történő magánberuházásokat. </w:t>
      </w:r>
    </w:p>
    <w:p w14:paraId="7B5EE69F" w14:textId="5B562C3F" w:rsidR="003E1D81" w:rsidRDefault="00EB481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 rendszer a Miniszterek Tanácsa által jóváhagyott, az ipar dekarbonizációjára irányuló stratég</w:t>
      </w:r>
      <w:r>
        <w:rPr>
          <w:rStyle w:val="normaltextrun"/>
          <w:rFonts w:ascii="Times New Roman" w:hAnsi="Times New Roman"/>
          <w:noProof/>
          <w:sz w:val="24"/>
        </w:rPr>
        <w:t>iai projekt keretében a magánszektornak nyújtott hitelek révén előmozdítja az ipari folyamatok dekarbonizációját és az új, rendkívül hatékony és dekarbonizált gyártólétesítmények fejlesztését. A Helyreállítási és Rezilienciaépítési Eszköz beruházásai alapj</w:t>
      </w:r>
      <w:r>
        <w:rPr>
          <w:rStyle w:val="normaltextrun"/>
          <w:rFonts w:ascii="Times New Roman" w:hAnsi="Times New Roman"/>
          <w:noProof/>
          <w:sz w:val="24"/>
        </w:rPr>
        <w:t>án a támogatási program célja kezdetben legalább 1 050 000 000 EUR összegű hitelfinanszírozás biztosítása.</w:t>
      </w:r>
    </w:p>
    <w:p w14:paraId="02C26E08" w14:textId="13EC4228" w:rsidR="003E1D81" w:rsidRDefault="00EB481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 rendszert végrehajtó partnerként az ENISA irányítja. A vonatkozó jogi aktusnak az ENISA-t közvállalkozássá kell átalakítania e beruházás végrehajtá</w:t>
      </w:r>
      <w:r>
        <w:rPr>
          <w:rStyle w:val="normaltextrun"/>
          <w:rFonts w:ascii="Times New Roman" w:hAnsi="Times New Roman"/>
          <w:noProof/>
          <w:sz w:val="24"/>
        </w:rPr>
        <w:t>sa érdekében (ez mérföldkövet jelent Spanyolország helyreállítási és rezilienciaépítési terve 31. komponensének 6. beruházása keretében).</w:t>
      </w:r>
    </w:p>
    <w:p w14:paraId="7803E91E" w14:textId="77777777" w:rsidR="003E1D81" w:rsidRDefault="00EB481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A programba történő beruházás végrehajtása érdekében a kormány egy vagy több, a hitelprogramot létrehozó jogi eszközt </w:t>
      </w:r>
      <w:r>
        <w:rPr>
          <w:rStyle w:val="normaltextrun"/>
          <w:rFonts w:ascii="Times New Roman" w:hAnsi="Times New Roman"/>
          <w:noProof/>
          <w:sz w:val="24"/>
        </w:rPr>
        <w:t xml:space="preserve">fogad el, amely a következő elemeket tartalmazza:  </w:t>
      </w:r>
    </w:p>
    <w:p w14:paraId="4913174A" w14:textId="7858B4C0" w:rsidR="003E1D81" w:rsidRDefault="00EB481C">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 programra vonatkozó döntéshozatali eljárás leírása:</w:t>
      </w:r>
      <w:r>
        <w:rPr>
          <w:rFonts w:ascii="Times New Roman" w:hAnsi="Times New Roman"/>
          <w:noProof/>
        </w:rPr>
        <w:t xml:space="preserve"> </w:t>
      </w:r>
      <w:r>
        <w:rPr>
          <w:rFonts w:ascii="Times New Roman" w:hAnsi="Times New Roman"/>
          <w:noProof/>
          <w:sz w:val="24"/>
        </w:rPr>
        <w:t>A pályázatok értékelését és a végső odaítélési határozatokban vagy a beruházási határozatokban szerepeltetendő kedvezményezettek kiválasztását beruház</w:t>
      </w:r>
      <w:r>
        <w:rPr>
          <w:rFonts w:ascii="Times New Roman" w:hAnsi="Times New Roman"/>
          <w:noProof/>
          <w:sz w:val="24"/>
        </w:rPr>
        <w:t>ási bizottság vagy más, ezzel egyenértékű irányító testület végzi, és azt a spanyol kormánytól független tagok szavazatainak többségével kell jóváhagyni, ami azt jelenti, hogy a kedvezményezetteknek vagy az ENISA által alkalmazott személyzetnek és/vagy más</w:t>
      </w:r>
      <w:r>
        <w:rPr>
          <w:rFonts w:ascii="Times New Roman" w:hAnsi="Times New Roman"/>
          <w:noProof/>
          <w:sz w:val="24"/>
        </w:rPr>
        <w:t xml:space="preserve"> független szakértőknek kell lenniük. A rendszer végleges beruházási döntése a beruházási bizottság vagy azzal egyenértékű irányító testület által javasolt befektetési döntéssel kapcsolatos vétójog (módosítás nélküli) jóváhagyására vagy gyakorlására korlát</w:t>
      </w:r>
      <w:r>
        <w:rPr>
          <w:rFonts w:ascii="Times New Roman" w:hAnsi="Times New Roman"/>
          <w:noProof/>
          <w:sz w:val="24"/>
        </w:rPr>
        <w:t>ozódik.</w:t>
      </w:r>
    </w:p>
    <w:p w14:paraId="7C71584E" w14:textId="69B2C721" w:rsidR="003E1D81" w:rsidRDefault="00EB481C">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Az ágazat zöld és digitális átalakulását célzó, támogatásra jogosult tevékenységek listája, amelynek összege legalább 1 050 000 000 EUR. Az intézkedés olyan innovatív projekteket támogat, amelyek jelentős ipari átalakulást foglalnak magukban az ene</w:t>
      </w:r>
      <w:r>
        <w:rPr>
          <w:rStyle w:val="normaltextrun"/>
          <w:rFonts w:ascii="Times New Roman" w:hAnsi="Times New Roman"/>
          <w:noProof/>
          <w:sz w:val="24"/>
        </w:rPr>
        <w:t>rgiahatékonyság, a fenntarthatóság és az ágazat digitális átalakulása tekintetében.</w:t>
      </w:r>
    </w:p>
    <w:p w14:paraId="29ED13E9" w14:textId="31B89C66" w:rsidR="003E1D81" w:rsidRDefault="00EB481C">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 jelentős károkozás elkerülését célzó elvnek való megfelelésre vonatkozó követelmények a Helyreállítási és Rezilienciaépítési Eszköz keretében, a DNSH technikai iránymutat</w:t>
      </w:r>
      <w:r>
        <w:rPr>
          <w:rStyle w:val="normaltextrun"/>
          <w:rFonts w:ascii="Times New Roman" w:hAnsi="Times New Roman"/>
          <w:noProof/>
          <w:sz w:val="24"/>
        </w:rPr>
        <w:t>ásában (2021/C58/01) meghatározottak szerint. A jogi eszköz(ök)ből különösen ki kell zárni a tevékenységek alábbi felsorolását: az uniós kibocsátáskereskedelmi rendszer (ETS) keretében végzett olyan tevékenységek, amelyek CO2-</w:t>
      </w:r>
      <w:r>
        <w:rPr>
          <w:rFonts w:ascii="Times New Roman" w:hAnsi="Times New Roman"/>
          <w:noProof/>
          <w:sz w:val="24"/>
          <w:vertAlign w:val="subscript"/>
        </w:rPr>
        <w:t>egyenértéknek</w:t>
      </w:r>
      <w:r>
        <w:rPr>
          <w:rFonts w:ascii="Times New Roman" w:hAnsi="Times New Roman"/>
          <w:noProof/>
          <w:sz w:val="24"/>
        </w:rPr>
        <w:t xml:space="preserve"> megfelelő, előre</w:t>
      </w:r>
      <w:r>
        <w:rPr>
          <w:rFonts w:ascii="Times New Roman" w:hAnsi="Times New Roman"/>
          <w:noProof/>
          <w:sz w:val="24"/>
        </w:rPr>
        <w:t>jelzett kibocsátásokat érnek el, amelyek nem alacsonyabbak az ingyenes kiosztásra vonatkozó referenciaértékeknél</w:t>
      </w:r>
      <w:r>
        <w:rPr>
          <w:rStyle w:val="FootnoteReference"/>
          <w:rFonts w:ascii="Times New Roman" w:hAnsi="Times New Roman" w:cs="Times New Roman"/>
          <w:noProof/>
          <w:sz w:val="24"/>
        </w:rPr>
        <w:footnoteReference w:id="239"/>
      </w:r>
      <w:r>
        <w:rPr>
          <w:rFonts w:ascii="Times New Roman" w:hAnsi="Times New Roman"/>
          <w:noProof/>
          <w:sz w:val="24"/>
        </w:rPr>
        <w:t xml:space="preserve">; és ii. a kibocsátáskereskedelmi rendszeren (ETS) kívül a fosszilis tüzelőanyagokhoz kapcsolódó tevékenységek, beleértve a downstream </w:t>
      </w:r>
      <w:r>
        <w:rPr>
          <w:rFonts w:ascii="Times New Roman" w:hAnsi="Times New Roman"/>
          <w:noProof/>
          <w:sz w:val="24"/>
        </w:rPr>
        <w:t>felhasználást is</w:t>
      </w:r>
      <w:r>
        <w:rPr>
          <w:rStyle w:val="FootnoteReference"/>
          <w:rFonts w:ascii="Times New Roman" w:hAnsi="Times New Roman" w:cs="Times New Roman"/>
          <w:noProof/>
          <w:sz w:val="24"/>
        </w:rPr>
        <w:footnoteReference w:id="240"/>
      </w:r>
      <w:r>
        <w:rPr>
          <w:rStyle w:val="normaltextrun"/>
          <w:rFonts w:ascii="Times New Roman" w:hAnsi="Times New Roman"/>
          <w:noProof/>
          <w:sz w:val="24"/>
        </w:rPr>
        <w:t>. Ezen túlmenően a jogi eszköz(ök)nek meg kell követelniük a hitelkonstrukciók végső kedvezményezettjeinek a vonatkozó uniós és nemzeti környezetvédelmi jogszabályoknak való megfelelést. Az e beruházás keretében végrehajtott alábbi K+F+I-i</w:t>
      </w:r>
      <w:r>
        <w:rPr>
          <w:rStyle w:val="normaltextrun"/>
          <w:rFonts w:ascii="Times New Roman" w:hAnsi="Times New Roman"/>
          <w:noProof/>
          <w:sz w:val="24"/>
        </w:rPr>
        <w:t>ntézkedéseket úgy kell tekinteni, hogy megfelelnek a jelentős károkozás elkerülését célzó elvről szóló technikai iránymutatásnak (2021/C58/01): E beruházás keretében a vállalatok környezeti fenntarthatóságának jelentős növelésére irányuló K+F+I tevékenység</w:t>
      </w:r>
      <w:r>
        <w:rPr>
          <w:rStyle w:val="normaltextrun"/>
          <w:rFonts w:ascii="Times New Roman" w:hAnsi="Times New Roman"/>
          <w:noProof/>
          <w:sz w:val="24"/>
        </w:rPr>
        <w:t>ek (például dekarbonizáció, a szennyezés csökkentése és a körforgásos gazdaság), amennyiben az e beruházás keretében megvalósuló K+F+I tevékenységek elsősorban az ágazatban a lehető legkisebb környezeti hatással járó alternatívák kidolgozására vagy kiigazí</w:t>
      </w:r>
      <w:r>
        <w:rPr>
          <w:rStyle w:val="normaltextrun"/>
          <w:rFonts w:ascii="Times New Roman" w:hAnsi="Times New Roman"/>
          <w:noProof/>
          <w:sz w:val="24"/>
        </w:rPr>
        <w:t>tására irányulnak. Ezen túlmenően a jogi eszköz(ök)nek meg kell követelniük a hitelkonstrukciók végső kedvezményezettjeinek a vonatkozó uniós és nemzeti környezetvédelmi jogszabályoknak való megfelelést.</w:t>
      </w:r>
    </w:p>
    <w:p w14:paraId="0721A006" w14:textId="0A8E2B96" w:rsidR="003E1D81" w:rsidRDefault="00EB481C">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Az éghajlatváltozással kapcsolatos beruházásokra von</w:t>
      </w:r>
      <w:r>
        <w:rPr>
          <w:rStyle w:val="normaltextrun"/>
          <w:rFonts w:ascii="Times New Roman" w:hAnsi="Times New Roman"/>
          <w:noProof/>
          <w:sz w:val="24"/>
        </w:rPr>
        <w:t>atkozó követelmények: a Helyreállítási és Rezilienciaépítési Eszközből a rendszerbe történő beruházásból legalább 420 000 000 EUR-nak hozzá kell járulnia az éghajlatváltozással kapcsolatos célkitűzésekhez a Helyreállítási és Rezilienciaépítési Eszközről sz</w:t>
      </w:r>
      <w:r>
        <w:rPr>
          <w:rStyle w:val="normaltextrun"/>
          <w:rFonts w:ascii="Times New Roman" w:hAnsi="Times New Roman"/>
          <w:noProof/>
          <w:sz w:val="24"/>
        </w:rPr>
        <w:t>óló rendelet VI. mellékletével összhangban.</w:t>
      </w:r>
      <w:r>
        <w:rPr>
          <w:rStyle w:val="FootnoteReference"/>
          <w:rFonts w:ascii="Times New Roman" w:hAnsi="Times New Roman" w:cs="Times New Roman"/>
          <w:noProof/>
          <w:sz w:val="24"/>
        </w:rPr>
        <w:footnoteReference w:id="241"/>
      </w:r>
    </w:p>
    <w:p w14:paraId="3004B982" w14:textId="77777777" w:rsidR="003E1D81" w:rsidRDefault="00EB481C">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Az a követelmény, hogy a hitelprogram végső kedvezményezettjei nem részesülhetnek támogatásban más uniós eszközökből ugyanazon költségek fedezésére.</w:t>
      </w:r>
    </w:p>
    <w:p w14:paraId="404D73F6" w14:textId="77777777" w:rsidR="003E1D81" w:rsidRDefault="00EB481C">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 program hatálya alá tartozó összeg, valamint az a követelmén</w:t>
      </w:r>
      <w:r>
        <w:rPr>
          <w:rStyle w:val="normaltextrun"/>
          <w:rFonts w:ascii="Times New Roman" w:hAnsi="Times New Roman"/>
          <w:noProof/>
          <w:sz w:val="24"/>
        </w:rPr>
        <w:t>y, hogy a hitelprogramból származó fel nem használt bevételeket újra be kell fektetni a fent felsorolt tevékenységekbe, beleértve a 2026 utáni tevékenységeket is.</w:t>
      </w:r>
    </w:p>
    <w:p w14:paraId="6DCCFD46" w14:textId="77777777" w:rsidR="003E1D81" w:rsidRDefault="00EB481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 beruházás végrehajtását 2026. augusztus 31-ig be kell fejezni.</w:t>
      </w:r>
    </w:p>
    <w:p w14:paraId="0F91CCEB" w14:textId="3D4C4E77" w:rsidR="003E1D81" w:rsidRDefault="00EB481C">
      <w:pPr>
        <w:pStyle w:val="P68B1DB1-Normal8"/>
        <w:spacing w:before="120" w:after="120" w:line="240" w:lineRule="auto"/>
        <w:ind w:left="720" w:hanging="720"/>
        <w:jc w:val="both"/>
        <w:rPr>
          <w:rFonts w:eastAsia="Times New Roman" w:cs="Times New Roman"/>
          <w:b/>
          <w:noProof/>
          <w:sz w:val="24"/>
          <w:u w:val="single"/>
        </w:rPr>
      </w:pPr>
      <w:r>
        <w:rPr>
          <w:noProof/>
          <w:sz w:val="24"/>
        </w:rPr>
        <w:tab/>
      </w:r>
      <w:r>
        <w:rPr>
          <w:b/>
          <w:noProof/>
          <w:sz w:val="24"/>
          <w:u w:val="single"/>
        </w:rPr>
        <w:t>AE.4</w:t>
      </w:r>
      <w:r>
        <w:rPr>
          <w:noProof/>
          <w:u w:val="single"/>
        </w:rPr>
        <w:tab/>
      </w:r>
      <w:r>
        <w:rPr>
          <w:b/>
          <w:noProof/>
          <w:sz w:val="24"/>
          <w:u w:val="single"/>
        </w:rPr>
        <w:t>A hiteltámogatás nyomo</w:t>
      </w:r>
      <w:r>
        <w:rPr>
          <w:b/>
          <w:noProof/>
          <w:sz w:val="24"/>
          <w:u w:val="single"/>
        </w:rPr>
        <w:t>n követésének és végrehajtásának mérföldkövei, céljai, mutatói és ütemterve</w:t>
      </w:r>
    </w:p>
    <w:p w14:paraId="1D563C71" w14:textId="4CF0538D" w:rsidR="003E1D81" w:rsidRDefault="00EB481C">
      <w:pPr>
        <w:pStyle w:val="P68B1DB1-Normal18"/>
        <w:spacing w:before="120" w:after="120" w:line="240" w:lineRule="auto"/>
        <w:jc w:val="both"/>
        <w:rPr>
          <w:rFonts w:eastAsia="Times New Roman" w:cs="Times New Roman"/>
          <w:noProof/>
          <w:u w:val="single"/>
        </w:rPr>
        <w:sectPr w:rsidR="003E1D81" w:rsidSect="009144BD">
          <w:headerReference w:type="even" r:id="rId579"/>
          <w:headerReference w:type="default" r:id="rId580"/>
          <w:footerReference w:type="even" r:id="rId581"/>
          <w:footerReference w:type="default" r:id="rId582"/>
          <w:headerReference w:type="first" r:id="rId583"/>
          <w:footerReference w:type="first" r:id="rId584"/>
          <w:pgSz w:w="11907" w:h="16839"/>
          <w:pgMar w:top="1134" w:right="1417" w:bottom="1134" w:left="1417" w:header="709" w:footer="709" w:gutter="0"/>
          <w:cols w:space="720"/>
          <w:docGrid w:linePitch="360"/>
        </w:sectPr>
      </w:pPr>
      <w:r>
        <w:rPr>
          <w:noProof/>
        </w:rPr>
        <w:t xml:space="preserve">Táblázat alább. Az alapforgatókönyv valamennyi mutató esetében 2022. február 1-je, kivéve, ha az intézkedés leírása másként jelzi. A táblázatban szereplő összegek nem tartalmazzák a héát.   </w:t>
      </w:r>
    </w:p>
    <w:p w14:paraId="71E8FCCD" w14:textId="3C36EC54" w:rsidR="003E1D81" w:rsidRDefault="003E1D81">
      <w:pPr>
        <w:tabs>
          <w:tab w:val="left" w:pos="3222"/>
        </w:tabs>
        <w:spacing w:before="120" w:after="120" w:line="240" w:lineRule="auto"/>
        <w:jc w:val="both"/>
        <w:rPr>
          <w:rFonts w:ascii="Times New Roman" w:eastAsia="Times New Roman" w:hAnsi="Times New Roman" w:cs="Times New Roman"/>
          <w:i/>
          <w:noProof/>
          <w:sz w:val="24"/>
          <w:u w:val="single"/>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18"/>
        <w:gridCol w:w="742"/>
        <w:gridCol w:w="850"/>
        <w:gridCol w:w="2519"/>
        <w:gridCol w:w="1025"/>
        <w:gridCol w:w="676"/>
        <w:gridCol w:w="425"/>
        <w:gridCol w:w="567"/>
        <w:gridCol w:w="425"/>
        <w:gridCol w:w="567"/>
        <w:gridCol w:w="6696"/>
      </w:tblGrid>
      <w:tr w:rsidR="003E1D81" w14:paraId="4EAD7CF6" w14:textId="77777777">
        <w:trPr>
          <w:trHeight w:val="309"/>
          <w:tblHeader/>
        </w:trPr>
        <w:tc>
          <w:tcPr>
            <w:tcW w:w="818" w:type="dxa"/>
            <w:tcBorders>
              <w:bottom w:val="nil"/>
            </w:tcBorders>
            <w:shd w:val="clear" w:color="auto" w:fill="C6D9F1" w:themeFill="text2" w:themeFillTint="33"/>
            <w:noWrap/>
            <w:vAlign w:val="center"/>
          </w:tcPr>
          <w:p w14:paraId="42C73024" w14:textId="4BDA542B" w:rsidR="003E1D81" w:rsidRDefault="00EB481C">
            <w:pPr>
              <w:pStyle w:val="P68B1DB1-Normal8"/>
              <w:spacing w:after="0"/>
              <w:jc w:val="center"/>
              <w:rPr>
                <w:rFonts w:cs="Times New Roman"/>
                <w:b/>
                <w:noProof/>
                <w:sz w:val="18"/>
              </w:rPr>
            </w:pPr>
            <w:r>
              <w:rPr>
                <w:noProof/>
                <w:sz w:val="24"/>
              </w:rPr>
              <w:tab/>
            </w:r>
            <w:r>
              <w:rPr>
                <w:b/>
                <w:noProof/>
                <w:sz w:val="18"/>
              </w:rPr>
              <w:t>Szám</w:t>
            </w:r>
          </w:p>
        </w:tc>
        <w:tc>
          <w:tcPr>
            <w:tcW w:w="742" w:type="dxa"/>
            <w:tcBorders>
              <w:bottom w:val="nil"/>
            </w:tcBorders>
            <w:shd w:val="clear" w:color="auto" w:fill="C6D9F1" w:themeFill="text2" w:themeFillTint="33"/>
            <w:noWrap/>
            <w:vAlign w:val="center"/>
          </w:tcPr>
          <w:p w14:paraId="6E8EA519" w14:textId="77777777" w:rsidR="003E1D81" w:rsidRDefault="00EB481C">
            <w:pPr>
              <w:pStyle w:val="P68B1DB1-Normal12"/>
              <w:spacing w:after="0"/>
              <w:jc w:val="center"/>
              <w:rPr>
                <w:rFonts w:cs="Times New Roman"/>
                <w:noProof/>
              </w:rPr>
            </w:pPr>
            <w:r>
              <w:rPr>
                <w:noProof/>
              </w:rPr>
              <w:t>Intézkedés</w:t>
            </w:r>
          </w:p>
        </w:tc>
        <w:tc>
          <w:tcPr>
            <w:tcW w:w="850" w:type="dxa"/>
            <w:tcBorders>
              <w:bottom w:val="nil"/>
            </w:tcBorders>
            <w:shd w:val="clear" w:color="auto" w:fill="C6D9F1" w:themeFill="text2" w:themeFillTint="33"/>
            <w:noWrap/>
            <w:vAlign w:val="center"/>
          </w:tcPr>
          <w:p w14:paraId="7160AFFB" w14:textId="77777777" w:rsidR="003E1D81" w:rsidRDefault="00EB481C">
            <w:pPr>
              <w:pStyle w:val="P68B1DB1-Normal12"/>
              <w:spacing w:after="0"/>
              <w:jc w:val="center"/>
              <w:rPr>
                <w:rFonts w:cs="Times New Roman"/>
                <w:noProof/>
              </w:rPr>
            </w:pPr>
            <w:r>
              <w:rPr>
                <w:noProof/>
              </w:rPr>
              <w:t>Mérföldkő</w:t>
            </w:r>
            <w:r>
              <w:rPr>
                <w:noProof/>
              </w:rPr>
              <w:br/>
              <w:t xml:space="preserve"> /Cél</w:t>
            </w:r>
          </w:p>
        </w:tc>
        <w:tc>
          <w:tcPr>
            <w:tcW w:w="2519" w:type="dxa"/>
            <w:tcBorders>
              <w:bottom w:val="nil"/>
            </w:tcBorders>
            <w:shd w:val="clear" w:color="auto" w:fill="C6D9F1" w:themeFill="text2" w:themeFillTint="33"/>
            <w:noWrap/>
            <w:vAlign w:val="center"/>
          </w:tcPr>
          <w:p w14:paraId="254C32C9" w14:textId="77777777" w:rsidR="003E1D81" w:rsidRDefault="00EB481C">
            <w:pPr>
              <w:pStyle w:val="P68B1DB1-Normal12"/>
              <w:spacing w:after="0"/>
              <w:jc w:val="center"/>
              <w:rPr>
                <w:rFonts w:cs="Times New Roman"/>
                <w:noProof/>
              </w:rPr>
            </w:pPr>
            <w:r>
              <w:rPr>
                <w:noProof/>
              </w:rPr>
              <w:t>Név</w:t>
            </w:r>
          </w:p>
        </w:tc>
        <w:tc>
          <w:tcPr>
            <w:tcW w:w="1025" w:type="dxa"/>
            <w:tcBorders>
              <w:bottom w:val="nil"/>
            </w:tcBorders>
            <w:shd w:val="clear" w:color="auto" w:fill="C6D9F1" w:themeFill="text2" w:themeFillTint="33"/>
            <w:noWrap/>
            <w:vAlign w:val="center"/>
          </w:tcPr>
          <w:p w14:paraId="77451392" w14:textId="77777777" w:rsidR="003E1D81" w:rsidRDefault="00EB481C">
            <w:pPr>
              <w:pStyle w:val="P68B1DB1-Normal12"/>
              <w:spacing w:after="0"/>
              <w:jc w:val="center"/>
              <w:rPr>
                <w:rFonts w:cs="Times New Roman"/>
                <w:noProof/>
              </w:rPr>
            </w:pPr>
            <w:r>
              <w:rPr>
                <w:noProof/>
              </w:rPr>
              <w:t>A mérföldkövek minőségi mut</w:t>
            </w:r>
            <w:r>
              <w:rPr>
                <w:noProof/>
              </w:rPr>
              <w:t>atója</w:t>
            </w:r>
          </w:p>
        </w:tc>
        <w:tc>
          <w:tcPr>
            <w:tcW w:w="1668" w:type="dxa"/>
            <w:gridSpan w:val="3"/>
            <w:shd w:val="clear" w:color="auto" w:fill="C6D9F1" w:themeFill="text2" w:themeFillTint="33"/>
            <w:noWrap/>
            <w:vAlign w:val="center"/>
          </w:tcPr>
          <w:p w14:paraId="300CBDFA" w14:textId="77777777" w:rsidR="003E1D81" w:rsidRDefault="00EB481C">
            <w:pPr>
              <w:pStyle w:val="P68B1DB1-Normal12"/>
              <w:spacing w:after="0"/>
              <w:jc w:val="center"/>
              <w:rPr>
                <w:rFonts w:cs="Times New Roman"/>
                <w:noProof/>
              </w:rPr>
            </w:pPr>
            <w:r>
              <w:rPr>
                <w:noProof/>
              </w:rPr>
              <w:t>A célérték mennyiségi mutatója</w:t>
            </w:r>
          </w:p>
        </w:tc>
        <w:tc>
          <w:tcPr>
            <w:tcW w:w="992" w:type="dxa"/>
            <w:gridSpan w:val="2"/>
            <w:shd w:val="clear" w:color="auto" w:fill="C6D9F1" w:themeFill="text2" w:themeFillTint="33"/>
            <w:noWrap/>
            <w:vAlign w:val="center"/>
          </w:tcPr>
          <w:p w14:paraId="73E0F60F" w14:textId="77777777" w:rsidR="003E1D81" w:rsidRDefault="00EB481C">
            <w:pPr>
              <w:pStyle w:val="P68B1DB1-Normal12"/>
              <w:spacing w:after="0"/>
              <w:jc w:val="center"/>
              <w:rPr>
                <w:rFonts w:cs="Times New Roman"/>
                <w:noProof/>
              </w:rPr>
            </w:pPr>
            <w:r>
              <w:rPr>
                <w:noProof/>
              </w:rPr>
              <w:t>Idő</w:t>
            </w:r>
          </w:p>
        </w:tc>
        <w:tc>
          <w:tcPr>
            <w:tcW w:w="6696" w:type="dxa"/>
            <w:tcBorders>
              <w:bottom w:val="nil"/>
            </w:tcBorders>
            <w:shd w:val="clear" w:color="auto" w:fill="C6D9F1" w:themeFill="text2" w:themeFillTint="33"/>
            <w:noWrap/>
            <w:vAlign w:val="center"/>
          </w:tcPr>
          <w:p w14:paraId="184CA047" w14:textId="77777777" w:rsidR="003E1D81" w:rsidRDefault="00EB481C">
            <w:pPr>
              <w:pStyle w:val="P68B1DB1-Normal12"/>
              <w:spacing w:after="0"/>
              <w:jc w:val="center"/>
              <w:rPr>
                <w:rFonts w:cs="Times New Roman"/>
                <w:noProof/>
              </w:rPr>
            </w:pPr>
            <w:r>
              <w:rPr>
                <w:noProof/>
              </w:rPr>
              <w:t>Az egyes mérföldkövek és célértékek leírása</w:t>
            </w:r>
          </w:p>
        </w:tc>
      </w:tr>
      <w:tr w:rsidR="003E1D81" w14:paraId="0CD0749F" w14:textId="77777777">
        <w:trPr>
          <w:trHeight w:val="309"/>
          <w:tblHeader/>
        </w:trPr>
        <w:tc>
          <w:tcPr>
            <w:tcW w:w="818" w:type="dxa"/>
            <w:tcBorders>
              <w:top w:val="nil"/>
            </w:tcBorders>
            <w:shd w:val="clear" w:color="auto" w:fill="C6D9F1" w:themeFill="text2" w:themeFillTint="33"/>
            <w:noWrap/>
          </w:tcPr>
          <w:p w14:paraId="709FD9E8" w14:textId="77777777" w:rsidR="003E1D81" w:rsidRDefault="003E1D81">
            <w:pPr>
              <w:spacing w:after="0"/>
              <w:jc w:val="center"/>
              <w:rPr>
                <w:rFonts w:ascii="Times New Roman" w:hAnsi="Times New Roman" w:cs="Times New Roman"/>
                <w:b/>
                <w:noProof/>
                <w:sz w:val="18"/>
              </w:rPr>
            </w:pPr>
          </w:p>
        </w:tc>
        <w:tc>
          <w:tcPr>
            <w:tcW w:w="742" w:type="dxa"/>
            <w:tcBorders>
              <w:top w:val="nil"/>
            </w:tcBorders>
            <w:shd w:val="clear" w:color="auto" w:fill="C6D9F1" w:themeFill="text2" w:themeFillTint="33"/>
            <w:noWrap/>
          </w:tcPr>
          <w:p w14:paraId="3F7792BE" w14:textId="77777777" w:rsidR="003E1D81" w:rsidRDefault="003E1D81">
            <w:pPr>
              <w:spacing w:after="0"/>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6945476E" w14:textId="77777777" w:rsidR="003E1D81" w:rsidRDefault="003E1D81">
            <w:pPr>
              <w:spacing w:after="0"/>
              <w:jc w:val="center"/>
              <w:rPr>
                <w:rFonts w:ascii="Times New Roman" w:hAnsi="Times New Roman" w:cs="Times New Roman"/>
                <w:b/>
                <w:noProof/>
                <w:sz w:val="18"/>
              </w:rPr>
            </w:pPr>
          </w:p>
        </w:tc>
        <w:tc>
          <w:tcPr>
            <w:tcW w:w="2519" w:type="dxa"/>
            <w:tcBorders>
              <w:top w:val="nil"/>
            </w:tcBorders>
            <w:shd w:val="clear" w:color="auto" w:fill="C6D9F1" w:themeFill="text2" w:themeFillTint="33"/>
            <w:noWrap/>
          </w:tcPr>
          <w:p w14:paraId="21D240F2" w14:textId="77777777" w:rsidR="003E1D81" w:rsidRDefault="003E1D81">
            <w:pPr>
              <w:spacing w:after="0"/>
              <w:rPr>
                <w:rFonts w:ascii="Times New Roman" w:hAnsi="Times New Roman" w:cs="Times New Roman"/>
                <w:b/>
                <w:noProof/>
                <w:sz w:val="18"/>
              </w:rPr>
            </w:pPr>
          </w:p>
        </w:tc>
        <w:tc>
          <w:tcPr>
            <w:tcW w:w="1025" w:type="dxa"/>
            <w:tcBorders>
              <w:top w:val="nil"/>
            </w:tcBorders>
            <w:shd w:val="clear" w:color="auto" w:fill="C6D9F1" w:themeFill="text2" w:themeFillTint="33"/>
            <w:noWrap/>
          </w:tcPr>
          <w:p w14:paraId="1A1252AB" w14:textId="77777777" w:rsidR="003E1D81" w:rsidRDefault="003E1D81">
            <w:pPr>
              <w:spacing w:after="0"/>
              <w:jc w:val="center"/>
              <w:rPr>
                <w:rFonts w:ascii="Times New Roman" w:hAnsi="Times New Roman" w:cs="Times New Roman"/>
                <w:b/>
                <w:noProof/>
                <w:sz w:val="18"/>
              </w:rPr>
            </w:pPr>
          </w:p>
        </w:tc>
        <w:tc>
          <w:tcPr>
            <w:tcW w:w="676" w:type="dxa"/>
            <w:shd w:val="clear" w:color="auto" w:fill="C6D9F1" w:themeFill="text2" w:themeFillTint="33"/>
            <w:noWrap/>
          </w:tcPr>
          <w:p w14:paraId="4BFA19ED" w14:textId="77777777" w:rsidR="003E1D81" w:rsidRDefault="00EB481C">
            <w:pPr>
              <w:pStyle w:val="P68B1DB1-Normal12"/>
              <w:spacing w:after="0"/>
              <w:jc w:val="center"/>
              <w:rPr>
                <w:rFonts w:cs="Times New Roman"/>
                <w:noProof/>
              </w:rPr>
            </w:pPr>
            <w:r>
              <w:rPr>
                <w:noProof/>
              </w:rPr>
              <w:t>Egység</w:t>
            </w:r>
          </w:p>
        </w:tc>
        <w:tc>
          <w:tcPr>
            <w:tcW w:w="425" w:type="dxa"/>
            <w:shd w:val="clear" w:color="auto" w:fill="C6D9F1" w:themeFill="text2" w:themeFillTint="33"/>
            <w:noWrap/>
          </w:tcPr>
          <w:p w14:paraId="54C16E97" w14:textId="77777777" w:rsidR="003E1D81" w:rsidRDefault="00EB481C">
            <w:pPr>
              <w:pStyle w:val="P68B1DB1-Normal12"/>
              <w:spacing w:after="0"/>
              <w:jc w:val="center"/>
              <w:rPr>
                <w:rFonts w:cs="Times New Roman"/>
                <w:noProof/>
              </w:rPr>
            </w:pPr>
            <w:r>
              <w:rPr>
                <w:noProof/>
              </w:rPr>
              <w:t>Alapérték</w:t>
            </w:r>
          </w:p>
        </w:tc>
        <w:tc>
          <w:tcPr>
            <w:tcW w:w="567" w:type="dxa"/>
            <w:shd w:val="clear" w:color="auto" w:fill="C6D9F1" w:themeFill="text2" w:themeFillTint="33"/>
            <w:noWrap/>
          </w:tcPr>
          <w:p w14:paraId="1BBC7A5D" w14:textId="77777777" w:rsidR="003E1D81" w:rsidRDefault="00EB481C">
            <w:pPr>
              <w:pStyle w:val="P68B1DB1-Normal12"/>
              <w:spacing w:after="0"/>
              <w:jc w:val="center"/>
              <w:rPr>
                <w:rFonts w:cs="Times New Roman"/>
                <w:noProof/>
              </w:rPr>
            </w:pPr>
            <w:r>
              <w:rPr>
                <w:noProof/>
              </w:rPr>
              <w:t>Cél</w:t>
            </w:r>
          </w:p>
        </w:tc>
        <w:tc>
          <w:tcPr>
            <w:tcW w:w="425" w:type="dxa"/>
            <w:shd w:val="clear" w:color="auto" w:fill="C6D9F1" w:themeFill="text2" w:themeFillTint="33"/>
            <w:noWrap/>
          </w:tcPr>
          <w:p w14:paraId="28AEFDA8" w14:textId="77777777" w:rsidR="003E1D81" w:rsidRDefault="00EB481C">
            <w:pPr>
              <w:pStyle w:val="P68B1DB1-Normal12"/>
              <w:spacing w:after="0"/>
              <w:jc w:val="center"/>
              <w:rPr>
                <w:rFonts w:cs="Times New Roman"/>
                <w:noProof/>
              </w:rPr>
            </w:pPr>
            <w:r>
              <w:rPr>
                <w:noProof/>
              </w:rPr>
              <w:t>Q</w:t>
            </w:r>
          </w:p>
        </w:tc>
        <w:tc>
          <w:tcPr>
            <w:tcW w:w="567" w:type="dxa"/>
            <w:shd w:val="clear" w:color="auto" w:fill="C6D9F1" w:themeFill="text2" w:themeFillTint="33"/>
            <w:noWrap/>
          </w:tcPr>
          <w:p w14:paraId="5C45CE87" w14:textId="77777777" w:rsidR="003E1D81" w:rsidRDefault="00EB481C">
            <w:pPr>
              <w:pStyle w:val="P68B1DB1-Normal12"/>
              <w:spacing w:after="0"/>
              <w:jc w:val="center"/>
              <w:rPr>
                <w:rFonts w:cs="Times New Roman"/>
                <w:noProof/>
              </w:rPr>
            </w:pPr>
            <w:r>
              <w:rPr>
                <w:noProof/>
              </w:rPr>
              <w:t>Éve</w:t>
            </w:r>
          </w:p>
        </w:tc>
        <w:tc>
          <w:tcPr>
            <w:tcW w:w="6696" w:type="dxa"/>
            <w:tcBorders>
              <w:top w:val="nil"/>
            </w:tcBorders>
            <w:shd w:val="clear" w:color="auto" w:fill="C6D9F1" w:themeFill="text2" w:themeFillTint="33"/>
            <w:noWrap/>
          </w:tcPr>
          <w:p w14:paraId="7D10E93B" w14:textId="77777777" w:rsidR="003E1D81" w:rsidRDefault="003E1D81">
            <w:pPr>
              <w:spacing w:after="0"/>
              <w:rPr>
                <w:rFonts w:ascii="Times New Roman" w:hAnsi="Times New Roman" w:cs="Times New Roman"/>
                <w:b/>
                <w:noProof/>
                <w:sz w:val="18"/>
              </w:rPr>
            </w:pPr>
          </w:p>
        </w:tc>
      </w:tr>
      <w:tr w:rsidR="003E1D81" w14:paraId="74F77746" w14:textId="77777777">
        <w:trPr>
          <w:trHeight w:val="309"/>
        </w:trPr>
        <w:tc>
          <w:tcPr>
            <w:tcW w:w="818" w:type="dxa"/>
            <w:shd w:val="clear" w:color="auto" w:fill="C6EFCE"/>
            <w:noWrap/>
          </w:tcPr>
          <w:p w14:paraId="3416B8BA" w14:textId="4BB83DDD" w:rsidR="003E1D81" w:rsidRDefault="00EB481C">
            <w:pPr>
              <w:pStyle w:val="P68B1DB1-Normal13"/>
              <w:spacing w:after="0"/>
              <w:jc w:val="center"/>
              <w:rPr>
                <w:rFonts w:eastAsia="Times New Roman" w:cs="Times New Roman"/>
                <w:noProof/>
              </w:rPr>
            </w:pPr>
            <w:r>
              <w:rPr>
                <w:noProof/>
              </w:rPr>
              <w:t>L83.</w:t>
            </w:r>
          </w:p>
        </w:tc>
        <w:tc>
          <w:tcPr>
            <w:tcW w:w="742" w:type="dxa"/>
            <w:shd w:val="clear" w:color="auto" w:fill="C6EFCE"/>
            <w:noWrap/>
          </w:tcPr>
          <w:p w14:paraId="66B97D8D" w14:textId="77777777" w:rsidR="003E1D81" w:rsidRDefault="00EB481C">
            <w:pPr>
              <w:pStyle w:val="P68B1DB1-Normal13"/>
              <w:spacing w:after="0"/>
              <w:jc w:val="center"/>
              <w:rPr>
                <w:rFonts w:eastAsia="Times New Roman" w:cs="Times New Roman"/>
                <w:noProof/>
              </w:rPr>
            </w:pPr>
            <w:r>
              <w:rPr>
                <w:noProof/>
              </w:rPr>
              <w:t xml:space="preserve">C31.I7 </w:t>
            </w:r>
          </w:p>
        </w:tc>
        <w:tc>
          <w:tcPr>
            <w:tcW w:w="850" w:type="dxa"/>
            <w:shd w:val="clear" w:color="auto" w:fill="C6EFCE"/>
            <w:noWrap/>
          </w:tcPr>
          <w:p w14:paraId="75127D16" w14:textId="77777777" w:rsidR="003E1D81" w:rsidRDefault="00EB481C">
            <w:pPr>
              <w:pStyle w:val="P68B1DB1-Normal13"/>
              <w:spacing w:after="0"/>
              <w:jc w:val="center"/>
              <w:rPr>
                <w:rFonts w:eastAsia="Times New Roman" w:cs="Times New Roman"/>
                <w:noProof/>
              </w:rPr>
            </w:pPr>
            <w:r>
              <w:rPr>
                <w:noProof/>
              </w:rPr>
              <w:t>M</w:t>
            </w:r>
          </w:p>
        </w:tc>
        <w:tc>
          <w:tcPr>
            <w:tcW w:w="2519" w:type="dxa"/>
            <w:shd w:val="clear" w:color="auto" w:fill="C6EFCE"/>
            <w:noWrap/>
          </w:tcPr>
          <w:p w14:paraId="6155A04A" w14:textId="77777777" w:rsidR="003E1D81" w:rsidRDefault="00EB481C">
            <w:pPr>
              <w:pStyle w:val="P68B1DB1-Normal13"/>
              <w:spacing w:after="0"/>
              <w:rPr>
                <w:rFonts w:eastAsia="Times New Roman" w:cs="Times New Roman"/>
                <w:noProof/>
              </w:rPr>
            </w:pPr>
            <w:r>
              <w:rPr>
                <w:noProof/>
              </w:rPr>
              <w:t xml:space="preserve">A pályázati felhívások és az ipar dekarbonizációjához nyújtott támogatásra vonatkozó szabályok közzététele. </w:t>
            </w:r>
          </w:p>
        </w:tc>
        <w:tc>
          <w:tcPr>
            <w:tcW w:w="1025" w:type="dxa"/>
            <w:shd w:val="clear" w:color="auto" w:fill="C6EFCE"/>
            <w:noWrap/>
          </w:tcPr>
          <w:p w14:paraId="2CF314EB" w14:textId="77777777" w:rsidR="003E1D81" w:rsidRDefault="00EB481C">
            <w:pPr>
              <w:pStyle w:val="P68B1DB1-Normal13"/>
              <w:spacing w:after="0"/>
              <w:jc w:val="center"/>
              <w:rPr>
                <w:rFonts w:eastAsia="Times New Roman" w:cs="Times New Roman"/>
                <w:noProof/>
              </w:rPr>
            </w:pPr>
            <w:r>
              <w:rPr>
                <w:noProof/>
              </w:rPr>
              <w:t>Közzététel</w:t>
            </w:r>
          </w:p>
        </w:tc>
        <w:tc>
          <w:tcPr>
            <w:tcW w:w="676" w:type="dxa"/>
            <w:shd w:val="clear" w:color="auto" w:fill="C6EFCE"/>
            <w:noWrap/>
          </w:tcPr>
          <w:p w14:paraId="047653A4" w14:textId="77777777" w:rsidR="003E1D81" w:rsidRDefault="003E1D81">
            <w:pPr>
              <w:spacing w:after="0"/>
              <w:jc w:val="center"/>
              <w:rPr>
                <w:rFonts w:ascii="Times New Roman" w:eastAsia="Times New Roman" w:hAnsi="Times New Roman" w:cs="Times New Roman"/>
                <w:noProof/>
                <w:sz w:val="18"/>
              </w:rPr>
            </w:pPr>
          </w:p>
        </w:tc>
        <w:tc>
          <w:tcPr>
            <w:tcW w:w="425" w:type="dxa"/>
            <w:shd w:val="clear" w:color="auto" w:fill="C6EFCE"/>
            <w:noWrap/>
          </w:tcPr>
          <w:p w14:paraId="4A736D01" w14:textId="77777777" w:rsidR="003E1D81" w:rsidRDefault="003E1D81">
            <w:pPr>
              <w:spacing w:after="0"/>
              <w:jc w:val="right"/>
              <w:rPr>
                <w:rFonts w:ascii="Times New Roman" w:eastAsia="Times New Roman" w:hAnsi="Times New Roman" w:cs="Times New Roman"/>
                <w:noProof/>
                <w:sz w:val="18"/>
              </w:rPr>
            </w:pPr>
          </w:p>
        </w:tc>
        <w:tc>
          <w:tcPr>
            <w:tcW w:w="567" w:type="dxa"/>
            <w:shd w:val="clear" w:color="auto" w:fill="C6EFCE"/>
            <w:noWrap/>
          </w:tcPr>
          <w:p w14:paraId="4929A291" w14:textId="77777777" w:rsidR="003E1D81" w:rsidRDefault="003E1D81">
            <w:pPr>
              <w:spacing w:after="0"/>
              <w:jc w:val="right"/>
              <w:rPr>
                <w:rFonts w:ascii="Times New Roman" w:eastAsia="Times New Roman" w:hAnsi="Times New Roman" w:cs="Times New Roman"/>
                <w:noProof/>
                <w:sz w:val="18"/>
              </w:rPr>
            </w:pPr>
          </w:p>
        </w:tc>
        <w:tc>
          <w:tcPr>
            <w:tcW w:w="425" w:type="dxa"/>
            <w:shd w:val="clear" w:color="auto" w:fill="C6EFCE"/>
            <w:noWrap/>
          </w:tcPr>
          <w:p w14:paraId="5D4E8165" w14:textId="77777777" w:rsidR="003E1D81" w:rsidRDefault="00EB481C">
            <w:pPr>
              <w:pStyle w:val="P68B1DB1-Normal13"/>
              <w:spacing w:after="0"/>
              <w:jc w:val="center"/>
              <w:rPr>
                <w:rFonts w:eastAsia="Times New Roman" w:cs="Times New Roman"/>
                <w:noProof/>
              </w:rPr>
            </w:pPr>
            <w:r>
              <w:rPr>
                <w:noProof/>
              </w:rPr>
              <w:t>KÉRDÉS</w:t>
            </w:r>
          </w:p>
        </w:tc>
        <w:tc>
          <w:tcPr>
            <w:tcW w:w="567" w:type="dxa"/>
            <w:shd w:val="clear" w:color="auto" w:fill="C6EFCE"/>
            <w:noWrap/>
          </w:tcPr>
          <w:p w14:paraId="27C6EF09" w14:textId="77777777" w:rsidR="003E1D81" w:rsidRDefault="00EB481C">
            <w:pPr>
              <w:pStyle w:val="P68B1DB1-Normal13"/>
              <w:spacing w:after="0"/>
              <w:jc w:val="center"/>
              <w:rPr>
                <w:rFonts w:eastAsia="Times New Roman" w:cs="Times New Roman"/>
                <w:noProof/>
              </w:rPr>
            </w:pPr>
            <w:r>
              <w:rPr>
                <w:noProof/>
              </w:rPr>
              <w:t>2024</w:t>
            </w:r>
          </w:p>
        </w:tc>
        <w:tc>
          <w:tcPr>
            <w:tcW w:w="6696" w:type="dxa"/>
            <w:shd w:val="clear" w:color="auto" w:fill="C6EFCE"/>
            <w:noWrap/>
          </w:tcPr>
          <w:p w14:paraId="15CD02F7" w14:textId="6F092510" w:rsidR="003E1D81" w:rsidRDefault="00EB481C">
            <w:pPr>
              <w:pStyle w:val="P68B1DB1-Normal13"/>
              <w:spacing w:after="0"/>
              <w:rPr>
                <w:rFonts w:eastAsia="Times New Roman" w:cs="Times New Roman"/>
                <w:noProof/>
              </w:rPr>
            </w:pPr>
            <w:r>
              <w:rPr>
                <w:noProof/>
              </w:rPr>
              <w:t xml:space="preserve">A pályázati felhívások és a feldolgozóipar dekarbonizációját és az új, nagy hatékonyságú és dekarbonizált gyártólétesítmények beruházásainak fejlesztését célzó projektekhez nyújtott hitelek formájában nyújtott támogatásra vonatkozó szabályok </w:t>
            </w:r>
            <w:r>
              <w:rPr>
                <w:noProof/>
              </w:rPr>
              <w:t>jóváhagyása. A pályázati felhívásoknak és a projektekhez nyújtott hitelek formájában nyújtott támogatásra vonatkozó szabályoknak biztosítaniuk kell, hogy az intézkedés megfeleljen a jelentős károkozás elkerülését célzó elvről szóló technikai iránymutatásna</w:t>
            </w:r>
            <w:r>
              <w:rPr>
                <w:noProof/>
              </w:rPr>
              <w:t>k (2021/C58/01) a kizárási lista és a vonatkozó uniós és nemzeti környezetvédelmi jogszabályoknak való megfelelés követelménye révén.</w:t>
            </w:r>
          </w:p>
        </w:tc>
      </w:tr>
      <w:tr w:rsidR="003E1D81" w14:paraId="449C83AF" w14:textId="77777777">
        <w:trPr>
          <w:trHeight w:val="309"/>
        </w:trPr>
        <w:tc>
          <w:tcPr>
            <w:tcW w:w="818" w:type="dxa"/>
            <w:shd w:val="clear" w:color="auto" w:fill="C6EFCE"/>
            <w:noWrap/>
          </w:tcPr>
          <w:p w14:paraId="54A7A573" w14:textId="35259F8E" w:rsidR="003E1D81" w:rsidRDefault="00EB481C">
            <w:pPr>
              <w:pStyle w:val="P68B1DB1-Normal13"/>
              <w:spacing w:after="0"/>
              <w:jc w:val="center"/>
              <w:rPr>
                <w:rFonts w:eastAsia="Times New Roman" w:cs="Times New Roman"/>
                <w:noProof/>
              </w:rPr>
            </w:pPr>
            <w:r>
              <w:rPr>
                <w:noProof/>
              </w:rPr>
              <w:t>L84</w:t>
            </w:r>
          </w:p>
        </w:tc>
        <w:tc>
          <w:tcPr>
            <w:tcW w:w="742" w:type="dxa"/>
            <w:shd w:val="clear" w:color="auto" w:fill="C6EFCE"/>
            <w:noWrap/>
          </w:tcPr>
          <w:p w14:paraId="3E8311B5" w14:textId="77777777" w:rsidR="003E1D81" w:rsidRDefault="00EB481C">
            <w:pPr>
              <w:pStyle w:val="P68B1DB1-Normal13"/>
              <w:spacing w:after="0"/>
              <w:jc w:val="center"/>
              <w:rPr>
                <w:rFonts w:eastAsia="Times New Roman" w:cs="Times New Roman"/>
                <w:noProof/>
              </w:rPr>
            </w:pPr>
            <w:r>
              <w:rPr>
                <w:noProof/>
              </w:rPr>
              <w:t>C31.I7</w:t>
            </w:r>
          </w:p>
        </w:tc>
        <w:tc>
          <w:tcPr>
            <w:tcW w:w="850" w:type="dxa"/>
            <w:shd w:val="clear" w:color="auto" w:fill="C6EFCE"/>
            <w:noWrap/>
          </w:tcPr>
          <w:p w14:paraId="454B19EE" w14:textId="5C13FFBB" w:rsidR="003E1D81" w:rsidRDefault="00EB481C">
            <w:pPr>
              <w:pStyle w:val="P68B1DB1-Normal13"/>
              <w:spacing w:after="0"/>
              <w:jc w:val="center"/>
              <w:rPr>
                <w:rFonts w:eastAsia="Times New Roman" w:cs="Times New Roman"/>
                <w:noProof/>
              </w:rPr>
            </w:pPr>
            <w:r>
              <w:rPr>
                <w:noProof/>
              </w:rPr>
              <w:t>T</w:t>
            </w:r>
          </w:p>
        </w:tc>
        <w:tc>
          <w:tcPr>
            <w:tcW w:w="2519" w:type="dxa"/>
            <w:shd w:val="clear" w:color="auto" w:fill="C6EFCE"/>
            <w:noWrap/>
          </w:tcPr>
          <w:p w14:paraId="6D2E9CBF" w14:textId="77777777" w:rsidR="003E1D81" w:rsidRDefault="00EB481C">
            <w:pPr>
              <w:pStyle w:val="P68B1DB1-Normal13"/>
              <w:spacing w:after="0"/>
              <w:rPr>
                <w:rFonts w:eastAsia="Times New Roman" w:cs="Times New Roman"/>
                <w:noProof/>
              </w:rPr>
            </w:pPr>
            <w:r>
              <w:rPr>
                <w:noProof/>
              </w:rPr>
              <w:t>A dekarbonizációs projektek díjának közzététele</w:t>
            </w:r>
          </w:p>
        </w:tc>
        <w:tc>
          <w:tcPr>
            <w:tcW w:w="1025" w:type="dxa"/>
            <w:shd w:val="clear" w:color="auto" w:fill="C6EFCE"/>
            <w:noWrap/>
          </w:tcPr>
          <w:p w14:paraId="30402AB2" w14:textId="77777777" w:rsidR="003E1D81" w:rsidRDefault="003E1D81">
            <w:pPr>
              <w:spacing w:after="0"/>
              <w:jc w:val="center"/>
              <w:rPr>
                <w:rFonts w:ascii="Times New Roman" w:eastAsia="Times New Roman" w:hAnsi="Times New Roman" w:cs="Times New Roman"/>
                <w:noProof/>
                <w:sz w:val="18"/>
              </w:rPr>
            </w:pPr>
          </w:p>
        </w:tc>
        <w:tc>
          <w:tcPr>
            <w:tcW w:w="676" w:type="dxa"/>
            <w:shd w:val="clear" w:color="auto" w:fill="C6EFCE"/>
            <w:noWrap/>
          </w:tcPr>
          <w:p w14:paraId="28B2CA4E" w14:textId="52D7AA0C" w:rsidR="003E1D81" w:rsidRDefault="00EB481C">
            <w:pPr>
              <w:pStyle w:val="P68B1DB1-Normal13"/>
              <w:spacing w:after="0"/>
              <w:jc w:val="center"/>
              <w:rPr>
                <w:rFonts w:eastAsia="Times New Roman" w:cs="Times New Roman"/>
                <w:noProof/>
              </w:rPr>
            </w:pPr>
            <w:r>
              <w:rPr>
                <w:noProof/>
              </w:rPr>
              <w:t>Millió EUR</w:t>
            </w:r>
          </w:p>
        </w:tc>
        <w:tc>
          <w:tcPr>
            <w:tcW w:w="425" w:type="dxa"/>
            <w:shd w:val="clear" w:color="auto" w:fill="C6EFCE"/>
            <w:noWrap/>
          </w:tcPr>
          <w:p w14:paraId="6E07CB6E" w14:textId="77777777" w:rsidR="003E1D81" w:rsidRDefault="00EB481C">
            <w:pPr>
              <w:pStyle w:val="P68B1DB1-Normal13"/>
              <w:spacing w:after="0"/>
              <w:jc w:val="right"/>
              <w:rPr>
                <w:rFonts w:eastAsia="Times New Roman" w:cs="Times New Roman"/>
                <w:noProof/>
              </w:rPr>
            </w:pPr>
            <w:r>
              <w:rPr>
                <w:noProof/>
              </w:rPr>
              <w:t>0</w:t>
            </w:r>
          </w:p>
        </w:tc>
        <w:tc>
          <w:tcPr>
            <w:tcW w:w="567" w:type="dxa"/>
            <w:shd w:val="clear" w:color="auto" w:fill="C6EFCE"/>
            <w:noWrap/>
          </w:tcPr>
          <w:p w14:paraId="3C142489" w14:textId="2A692C5B" w:rsidR="003E1D81" w:rsidRDefault="00EB481C">
            <w:pPr>
              <w:pStyle w:val="P68B1DB1-Normal13"/>
              <w:spacing w:after="0"/>
              <w:jc w:val="right"/>
              <w:rPr>
                <w:rFonts w:eastAsia="Times New Roman" w:cs="Times New Roman"/>
                <w:noProof/>
              </w:rPr>
            </w:pPr>
            <w:r>
              <w:rPr>
                <w:noProof/>
              </w:rPr>
              <w:t xml:space="preserve">585 </w:t>
            </w:r>
          </w:p>
        </w:tc>
        <w:tc>
          <w:tcPr>
            <w:tcW w:w="425" w:type="dxa"/>
            <w:shd w:val="clear" w:color="auto" w:fill="C6EFCE"/>
            <w:noWrap/>
          </w:tcPr>
          <w:p w14:paraId="6BCA730F" w14:textId="77777777" w:rsidR="003E1D81" w:rsidRDefault="00EB481C">
            <w:pPr>
              <w:pStyle w:val="P68B1DB1-Normal13"/>
              <w:spacing w:after="0"/>
              <w:jc w:val="center"/>
              <w:rPr>
                <w:rFonts w:eastAsia="Times New Roman" w:cs="Times New Roman"/>
                <w:noProof/>
              </w:rPr>
            </w:pPr>
            <w:r>
              <w:rPr>
                <w:noProof/>
              </w:rPr>
              <w:t>NEGYEDÉV</w:t>
            </w:r>
          </w:p>
        </w:tc>
        <w:tc>
          <w:tcPr>
            <w:tcW w:w="567" w:type="dxa"/>
            <w:shd w:val="clear" w:color="auto" w:fill="C6EFCE"/>
            <w:noWrap/>
          </w:tcPr>
          <w:p w14:paraId="50ACF7BD" w14:textId="77777777" w:rsidR="003E1D81" w:rsidRDefault="00EB481C">
            <w:pPr>
              <w:pStyle w:val="P68B1DB1-Normal13"/>
              <w:spacing w:after="0"/>
              <w:jc w:val="center"/>
              <w:rPr>
                <w:rFonts w:eastAsia="Times New Roman" w:cs="Times New Roman"/>
                <w:noProof/>
              </w:rPr>
            </w:pPr>
            <w:r>
              <w:rPr>
                <w:noProof/>
              </w:rPr>
              <w:t>2024</w:t>
            </w:r>
          </w:p>
        </w:tc>
        <w:tc>
          <w:tcPr>
            <w:tcW w:w="6696" w:type="dxa"/>
            <w:shd w:val="clear" w:color="auto" w:fill="C6EFCE"/>
            <w:noWrap/>
          </w:tcPr>
          <w:p w14:paraId="56137C83" w14:textId="2699947F" w:rsidR="003E1D81" w:rsidRDefault="00EB481C">
            <w:pPr>
              <w:pStyle w:val="P68B1DB1-Normal13"/>
              <w:spacing w:after="0"/>
              <w:rPr>
                <w:rFonts w:eastAsia="Times New Roman" w:cs="Times New Roman"/>
                <w:noProof/>
              </w:rPr>
            </w:pPr>
            <w:r>
              <w:rPr>
                <w:noProof/>
              </w:rPr>
              <w:t>A végső kedvezményezetteknek legalább 585 000 000 EUR-t kell odaítélni (ebből az összes forrás legalább 40%-a a Helyreállítási és Rezilienciaépítési Eszközről szóló rendelet VI. mellékletében foglalt módszertan alkalmazásával járul hozzá az éghajlat-politi</w:t>
            </w:r>
            <w:r>
              <w:rPr>
                <w:noProof/>
              </w:rPr>
              <w:t xml:space="preserve">kai célkitűzésekhez). </w:t>
            </w:r>
          </w:p>
        </w:tc>
      </w:tr>
      <w:tr w:rsidR="003E1D81" w14:paraId="446017A3" w14:textId="77777777">
        <w:trPr>
          <w:trHeight w:val="309"/>
        </w:trPr>
        <w:tc>
          <w:tcPr>
            <w:tcW w:w="818" w:type="dxa"/>
            <w:shd w:val="clear" w:color="auto" w:fill="C6EFCE"/>
            <w:noWrap/>
          </w:tcPr>
          <w:p w14:paraId="43749F19" w14:textId="2DF72407" w:rsidR="003E1D81" w:rsidRDefault="00EB481C">
            <w:pPr>
              <w:pStyle w:val="P68B1DB1-Normal13"/>
              <w:spacing w:after="0"/>
              <w:jc w:val="center"/>
              <w:rPr>
                <w:rFonts w:eastAsia="Times New Roman" w:cs="Times New Roman"/>
                <w:noProof/>
              </w:rPr>
            </w:pPr>
            <w:r>
              <w:rPr>
                <w:noProof/>
              </w:rPr>
              <w:t>L85</w:t>
            </w:r>
          </w:p>
        </w:tc>
        <w:tc>
          <w:tcPr>
            <w:tcW w:w="742" w:type="dxa"/>
            <w:shd w:val="clear" w:color="auto" w:fill="C6EFCE"/>
            <w:noWrap/>
          </w:tcPr>
          <w:p w14:paraId="6C0869B5" w14:textId="77777777" w:rsidR="003E1D81" w:rsidRDefault="00EB481C">
            <w:pPr>
              <w:pStyle w:val="P68B1DB1-Normal13"/>
              <w:spacing w:after="0"/>
              <w:jc w:val="center"/>
              <w:rPr>
                <w:rFonts w:eastAsia="Times New Roman" w:cs="Times New Roman"/>
                <w:noProof/>
              </w:rPr>
            </w:pPr>
            <w:r>
              <w:rPr>
                <w:noProof/>
              </w:rPr>
              <w:t>C31.I7</w:t>
            </w:r>
          </w:p>
        </w:tc>
        <w:tc>
          <w:tcPr>
            <w:tcW w:w="850" w:type="dxa"/>
            <w:shd w:val="clear" w:color="auto" w:fill="C6EFCE"/>
            <w:noWrap/>
          </w:tcPr>
          <w:p w14:paraId="19CC269D" w14:textId="77777777" w:rsidR="003E1D81" w:rsidRDefault="00EB481C">
            <w:pPr>
              <w:pStyle w:val="P68B1DB1-Normal13"/>
              <w:spacing w:after="0"/>
              <w:jc w:val="center"/>
              <w:rPr>
                <w:rFonts w:eastAsia="Times New Roman" w:cs="Times New Roman"/>
                <w:noProof/>
              </w:rPr>
            </w:pPr>
            <w:r>
              <w:rPr>
                <w:noProof/>
              </w:rPr>
              <w:t>M</w:t>
            </w:r>
          </w:p>
        </w:tc>
        <w:tc>
          <w:tcPr>
            <w:tcW w:w="2519" w:type="dxa"/>
            <w:shd w:val="clear" w:color="auto" w:fill="C6EFCE"/>
            <w:noWrap/>
          </w:tcPr>
          <w:p w14:paraId="47F21134" w14:textId="41530ECA" w:rsidR="003E1D81" w:rsidRDefault="00EB481C">
            <w:pPr>
              <w:pStyle w:val="P68B1DB1-Normal13"/>
              <w:spacing w:after="0"/>
              <w:rPr>
                <w:rStyle w:val="eop"/>
                <w:noProof/>
              </w:rPr>
            </w:pPr>
            <w:r>
              <w:rPr>
                <w:noProof/>
              </w:rPr>
              <w:t>Dekarbonizációs projektek lezárása</w:t>
            </w:r>
          </w:p>
        </w:tc>
        <w:tc>
          <w:tcPr>
            <w:tcW w:w="1025" w:type="dxa"/>
            <w:shd w:val="clear" w:color="auto" w:fill="C6EFCE"/>
            <w:noWrap/>
          </w:tcPr>
          <w:p w14:paraId="2C8ACC43" w14:textId="7BB2F7C0" w:rsidR="003E1D81" w:rsidRDefault="00EB481C">
            <w:pPr>
              <w:pStyle w:val="P68B1DB1-Normal13"/>
              <w:spacing w:after="0"/>
              <w:jc w:val="center"/>
              <w:rPr>
                <w:rFonts w:eastAsia="Times New Roman" w:cs="Times New Roman"/>
                <w:noProof/>
              </w:rPr>
            </w:pPr>
            <w:r>
              <w:rPr>
                <w:noProof/>
              </w:rPr>
              <w:t>Teljesítési igazolás</w:t>
            </w:r>
          </w:p>
        </w:tc>
        <w:tc>
          <w:tcPr>
            <w:tcW w:w="676" w:type="dxa"/>
            <w:shd w:val="clear" w:color="auto" w:fill="C6EFCE"/>
            <w:noWrap/>
          </w:tcPr>
          <w:p w14:paraId="63CAEE0B" w14:textId="77777777" w:rsidR="003E1D81" w:rsidRDefault="003E1D81">
            <w:pPr>
              <w:spacing w:after="0"/>
              <w:jc w:val="center"/>
              <w:rPr>
                <w:rFonts w:ascii="Times New Roman" w:eastAsia="Times New Roman" w:hAnsi="Times New Roman" w:cs="Times New Roman"/>
                <w:noProof/>
                <w:sz w:val="18"/>
              </w:rPr>
            </w:pPr>
          </w:p>
        </w:tc>
        <w:tc>
          <w:tcPr>
            <w:tcW w:w="425" w:type="dxa"/>
            <w:shd w:val="clear" w:color="auto" w:fill="C6EFCE"/>
            <w:noWrap/>
          </w:tcPr>
          <w:p w14:paraId="7B1B15AD" w14:textId="77777777" w:rsidR="003E1D81" w:rsidRDefault="003E1D81">
            <w:pPr>
              <w:spacing w:after="0"/>
              <w:jc w:val="right"/>
              <w:rPr>
                <w:rFonts w:ascii="Times New Roman" w:eastAsia="Times New Roman" w:hAnsi="Times New Roman" w:cs="Times New Roman"/>
                <w:noProof/>
                <w:sz w:val="18"/>
              </w:rPr>
            </w:pPr>
          </w:p>
        </w:tc>
        <w:tc>
          <w:tcPr>
            <w:tcW w:w="567" w:type="dxa"/>
            <w:shd w:val="clear" w:color="auto" w:fill="C6EFCE"/>
            <w:noWrap/>
          </w:tcPr>
          <w:p w14:paraId="591B8D73" w14:textId="77777777" w:rsidR="003E1D81" w:rsidRDefault="003E1D81">
            <w:pPr>
              <w:spacing w:after="0"/>
              <w:jc w:val="right"/>
              <w:rPr>
                <w:rFonts w:ascii="Times New Roman" w:eastAsia="Times New Roman" w:hAnsi="Times New Roman" w:cs="Times New Roman"/>
                <w:noProof/>
                <w:sz w:val="18"/>
              </w:rPr>
            </w:pPr>
          </w:p>
        </w:tc>
        <w:tc>
          <w:tcPr>
            <w:tcW w:w="425" w:type="dxa"/>
            <w:shd w:val="clear" w:color="auto" w:fill="C6EFCE"/>
            <w:noWrap/>
          </w:tcPr>
          <w:p w14:paraId="110E5B82" w14:textId="6CE2A5C0" w:rsidR="003E1D81" w:rsidRDefault="00EB481C">
            <w:pPr>
              <w:pStyle w:val="P68B1DB1-Normal13"/>
              <w:spacing w:after="0"/>
              <w:jc w:val="center"/>
              <w:rPr>
                <w:rFonts w:eastAsia="Times New Roman" w:cs="Times New Roman"/>
                <w:noProof/>
              </w:rPr>
            </w:pPr>
            <w:r>
              <w:rPr>
                <w:noProof/>
              </w:rPr>
              <w:t>NEGYEDÉV</w:t>
            </w:r>
          </w:p>
        </w:tc>
        <w:tc>
          <w:tcPr>
            <w:tcW w:w="567" w:type="dxa"/>
            <w:shd w:val="clear" w:color="auto" w:fill="C6EFCE"/>
            <w:noWrap/>
          </w:tcPr>
          <w:p w14:paraId="6ED93ED3" w14:textId="77777777" w:rsidR="003E1D81" w:rsidRDefault="00EB481C">
            <w:pPr>
              <w:pStyle w:val="P68B1DB1-Normal13"/>
              <w:spacing w:after="0"/>
              <w:jc w:val="center"/>
              <w:rPr>
                <w:rFonts w:eastAsia="Times New Roman" w:cs="Times New Roman"/>
                <w:noProof/>
              </w:rPr>
            </w:pPr>
            <w:r>
              <w:rPr>
                <w:noProof/>
              </w:rPr>
              <w:t>2026</w:t>
            </w:r>
          </w:p>
        </w:tc>
        <w:tc>
          <w:tcPr>
            <w:tcW w:w="6696" w:type="dxa"/>
            <w:shd w:val="clear" w:color="auto" w:fill="C6EFCE"/>
            <w:noWrap/>
          </w:tcPr>
          <w:p w14:paraId="1F4C1220" w14:textId="15053292" w:rsidR="003E1D81" w:rsidRDefault="00EB481C">
            <w:pPr>
              <w:pStyle w:val="P68B1DB1-Normal13"/>
              <w:spacing w:after="0"/>
              <w:rPr>
                <w:rFonts w:eastAsia="Times New Roman" w:cs="Times New Roman"/>
                <w:noProof/>
              </w:rPr>
            </w:pPr>
            <w:r>
              <w:rPr>
                <w:noProof/>
              </w:rPr>
              <w:t>Legalább 585 000 000 EUR teljes költségvetésű projektek lezárása.  A különbözetekre vonatkozó szén-dioxid-szerződéssel kapcsolatos kísérleti projekt finanszírozása esetén a számára odaítélt költségvetést egyenértékűnek kell tekinteni a kísérleti projekt ál</w:t>
            </w:r>
            <w:r>
              <w:rPr>
                <w:noProof/>
              </w:rPr>
              <w:t xml:space="preserve">tal lefedett különbségekre vonatkozó szén-dioxid-szerződéshez kapcsolódó garanciák nagyságával.   </w:t>
            </w:r>
          </w:p>
        </w:tc>
      </w:tr>
      <w:tr w:rsidR="003E1D81" w14:paraId="52773FAC" w14:textId="77777777">
        <w:trPr>
          <w:trHeight w:val="309"/>
        </w:trPr>
        <w:tc>
          <w:tcPr>
            <w:tcW w:w="818" w:type="dxa"/>
            <w:tcBorders>
              <w:top w:val="single" w:sz="6" w:space="0" w:color="auto"/>
              <w:left w:val="single" w:sz="6" w:space="0" w:color="auto"/>
              <w:bottom w:val="single" w:sz="6" w:space="0" w:color="auto"/>
              <w:right w:val="single" w:sz="6" w:space="0" w:color="auto"/>
            </w:tcBorders>
            <w:shd w:val="clear" w:color="auto" w:fill="C6EFCE"/>
            <w:noWrap/>
          </w:tcPr>
          <w:p w14:paraId="38CA746C" w14:textId="0371B8C0" w:rsidR="003E1D81" w:rsidRDefault="00EB481C">
            <w:pPr>
              <w:spacing w:after="0"/>
              <w:jc w:val="center"/>
              <w:rPr>
                <w:rStyle w:val="normaltextrun"/>
                <w:rFonts w:ascii="Times New Roman" w:hAnsi="Times New Roman" w:cs="Times New Roman"/>
                <w:noProof/>
                <w:sz w:val="18"/>
              </w:rPr>
            </w:pPr>
            <w:r>
              <w:rPr>
                <w:rStyle w:val="normaltextrun"/>
                <w:rFonts w:ascii="Times New Roman" w:hAnsi="Times New Roman"/>
                <w:noProof/>
                <w:sz w:val="18"/>
              </w:rPr>
              <w:t>L86</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49E12D99" w14:textId="49EB613A" w:rsidR="003E1D81" w:rsidRDefault="00EB481C">
            <w:pPr>
              <w:pStyle w:val="P68B1DB1-Normal13"/>
              <w:spacing w:after="0"/>
              <w:jc w:val="center"/>
              <w:rPr>
                <w:rFonts w:cs="Times New Roman"/>
                <w:noProof/>
              </w:rPr>
            </w:pPr>
            <w:r>
              <w:rPr>
                <w:noProof/>
              </w:rPr>
              <w:t>C31.I8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E9F22AB" w14:textId="65FDCAFB" w:rsidR="003E1D81" w:rsidRDefault="00EB481C">
            <w:pPr>
              <w:pStyle w:val="P68B1DB1-Normal13"/>
              <w:spacing w:after="0"/>
              <w:jc w:val="center"/>
              <w:rPr>
                <w:rFonts w:cs="Times New Roman"/>
                <w:noProof/>
              </w:rPr>
            </w:pPr>
            <w:r>
              <w:rPr>
                <w:noProof/>
              </w:rPr>
              <w:t>M</w:t>
            </w:r>
          </w:p>
        </w:tc>
        <w:tc>
          <w:tcPr>
            <w:tcW w:w="2519" w:type="dxa"/>
            <w:tcBorders>
              <w:top w:val="single" w:sz="4" w:space="0" w:color="auto"/>
              <w:left w:val="single" w:sz="4" w:space="0" w:color="auto"/>
              <w:bottom w:val="single" w:sz="4" w:space="0" w:color="auto"/>
              <w:right w:val="single" w:sz="4" w:space="0" w:color="auto"/>
            </w:tcBorders>
            <w:shd w:val="clear" w:color="auto" w:fill="C6EFCE"/>
            <w:noWrap/>
          </w:tcPr>
          <w:p w14:paraId="1A01DD07" w14:textId="5460E203" w:rsidR="003E1D81" w:rsidRDefault="00EB481C">
            <w:pPr>
              <w:spacing w:after="0"/>
              <w:rPr>
                <w:rFonts w:ascii="Times New Roman" w:hAnsi="Times New Roman" w:cs="Times New Roman"/>
                <w:noProof/>
                <w:sz w:val="18"/>
              </w:rPr>
            </w:pPr>
            <w:r>
              <w:rPr>
                <w:rStyle w:val="normaltextrun"/>
                <w:rFonts w:ascii="Times New Roman" w:hAnsi="Times New Roman"/>
                <w:noProof/>
                <w:sz w:val="18"/>
              </w:rPr>
              <w:t>Az ipari dekarbonizációt támogató rendszer (hitelek): A minisztérium befejezte a beruházást</w:t>
            </w:r>
          </w:p>
        </w:tc>
        <w:tc>
          <w:tcPr>
            <w:tcW w:w="1025" w:type="dxa"/>
            <w:tcBorders>
              <w:top w:val="single" w:sz="4" w:space="0" w:color="auto"/>
              <w:left w:val="single" w:sz="4" w:space="0" w:color="auto"/>
              <w:bottom w:val="single" w:sz="4" w:space="0" w:color="auto"/>
              <w:right w:val="single" w:sz="4" w:space="0" w:color="auto"/>
            </w:tcBorders>
            <w:shd w:val="clear" w:color="auto" w:fill="C6EFCE"/>
            <w:noWrap/>
          </w:tcPr>
          <w:p w14:paraId="54892664" w14:textId="23CB7D56" w:rsidR="003E1D81" w:rsidRDefault="00EB481C">
            <w:pPr>
              <w:pStyle w:val="P68B1DB1-Normal13"/>
              <w:spacing w:after="0"/>
              <w:jc w:val="center"/>
              <w:rPr>
                <w:rFonts w:cs="Times New Roman"/>
                <w:noProof/>
              </w:rPr>
            </w:pPr>
            <w:r>
              <w:rPr>
                <w:noProof/>
              </w:rPr>
              <w:t>Folyósítási igazolás az ENISA-nak</w:t>
            </w:r>
          </w:p>
        </w:tc>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2C92A3CB" w14:textId="77777777" w:rsidR="003E1D81" w:rsidRDefault="003E1D81">
            <w:pPr>
              <w:spacing w:after="0"/>
              <w:jc w:val="center"/>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10A277F1" w14:textId="77777777" w:rsidR="003E1D81" w:rsidRDefault="003E1D81">
            <w:pPr>
              <w:spacing w:after="0"/>
              <w:jc w:val="right"/>
              <w:rPr>
                <w:rStyle w:val="eop"/>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3E0202F" w14:textId="77777777" w:rsidR="003E1D81" w:rsidRDefault="003E1D81">
            <w:pPr>
              <w:spacing w:after="0"/>
              <w:jc w:val="right"/>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083F776E" w14:textId="2B0CD14E" w:rsidR="003E1D81" w:rsidRDefault="00EB481C">
            <w:pPr>
              <w:pStyle w:val="P68B1DB1-Normal13"/>
              <w:spacing w:after="0"/>
              <w:jc w:val="center"/>
              <w:rPr>
                <w:rFonts w:cs="Times New Roman"/>
                <w:noProof/>
              </w:rPr>
            </w:pPr>
            <w:r>
              <w:rPr>
                <w:noProof/>
              </w:rPr>
              <w:t>KÉRDÉS</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5D56DF6" w14:textId="3CC94995" w:rsidR="003E1D81" w:rsidRDefault="00EB481C">
            <w:pPr>
              <w:pStyle w:val="P68B1DB1-Normal13"/>
              <w:spacing w:after="0"/>
              <w:jc w:val="center"/>
              <w:rPr>
                <w:rFonts w:cs="Times New Roman"/>
                <w:noProof/>
              </w:rPr>
            </w:pPr>
            <w:r>
              <w:rPr>
                <w:noProof/>
              </w:rPr>
              <w:t>2024</w:t>
            </w:r>
          </w:p>
        </w:tc>
        <w:tc>
          <w:tcPr>
            <w:tcW w:w="6696" w:type="dxa"/>
            <w:tcBorders>
              <w:top w:val="single" w:sz="4" w:space="0" w:color="auto"/>
              <w:left w:val="single" w:sz="4" w:space="0" w:color="auto"/>
              <w:bottom w:val="single" w:sz="4" w:space="0" w:color="auto"/>
              <w:right w:val="single" w:sz="4" w:space="0" w:color="auto"/>
            </w:tcBorders>
            <w:shd w:val="clear" w:color="auto" w:fill="C6EFCE"/>
            <w:noWrap/>
          </w:tcPr>
          <w:p w14:paraId="67E83647" w14:textId="6599CD0C" w:rsidR="003E1D81" w:rsidRDefault="00EB481C">
            <w:pPr>
              <w:pStyle w:val="P68B1DB1-Normal13"/>
              <w:spacing w:after="0"/>
              <w:rPr>
                <w:rFonts w:cs="Times New Roman"/>
                <w:noProof/>
              </w:rPr>
            </w:pPr>
            <w:r>
              <w:rPr>
                <w:noProof/>
              </w:rPr>
              <w:t>Spanyolország 1 050 000 000 EUR-t utal át a program céljára az ENISA-nak.</w:t>
            </w:r>
          </w:p>
        </w:tc>
      </w:tr>
      <w:tr w:rsidR="003E1D81" w14:paraId="64B7776B" w14:textId="77777777">
        <w:trPr>
          <w:trHeight w:val="309"/>
        </w:trPr>
        <w:tc>
          <w:tcPr>
            <w:tcW w:w="818" w:type="dxa"/>
            <w:tcBorders>
              <w:top w:val="single" w:sz="6" w:space="0" w:color="auto"/>
              <w:left w:val="single" w:sz="6" w:space="0" w:color="auto"/>
              <w:bottom w:val="single" w:sz="6" w:space="0" w:color="auto"/>
              <w:right w:val="single" w:sz="6" w:space="0" w:color="auto"/>
            </w:tcBorders>
            <w:shd w:val="clear" w:color="auto" w:fill="C6EFCE"/>
            <w:noWrap/>
          </w:tcPr>
          <w:p w14:paraId="3577A307" w14:textId="1118BCF0" w:rsidR="003E1D81" w:rsidRDefault="00EB481C">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L87.</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49B62314" w14:textId="02E31D82" w:rsidR="003E1D81" w:rsidRDefault="00EB481C">
            <w:pPr>
              <w:pStyle w:val="P68B1DB1-Normal13"/>
              <w:spacing w:after="0"/>
              <w:jc w:val="center"/>
              <w:rPr>
                <w:rFonts w:eastAsia="Times New Roman" w:cs="Times New Roman"/>
                <w:noProof/>
              </w:rPr>
            </w:pPr>
            <w:r>
              <w:rPr>
                <w:noProof/>
              </w:rPr>
              <w:t>C31.I8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6B6C8071" w14:textId="4F50729C" w:rsidR="003E1D81" w:rsidRDefault="00EB481C">
            <w:pPr>
              <w:pStyle w:val="P68B1DB1-Normal13"/>
              <w:spacing w:after="0"/>
              <w:jc w:val="center"/>
              <w:rPr>
                <w:rFonts w:eastAsia="Times New Roman" w:cs="Times New Roman"/>
                <w:noProof/>
              </w:rPr>
            </w:pPr>
            <w:r>
              <w:rPr>
                <w:noProof/>
              </w:rPr>
              <w:t>M</w:t>
            </w:r>
          </w:p>
        </w:tc>
        <w:tc>
          <w:tcPr>
            <w:tcW w:w="2519" w:type="dxa"/>
            <w:tcBorders>
              <w:top w:val="single" w:sz="4" w:space="0" w:color="auto"/>
              <w:left w:val="single" w:sz="4" w:space="0" w:color="auto"/>
              <w:bottom w:val="single" w:sz="4" w:space="0" w:color="auto"/>
              <w:right w:val="single" w:sz="4" w:space="0" w:color="auto"/>
            </w:tcBorders>
            <w:shd w:val="clear" w:color="auto" w:fill="C6EFCE"/>
            <w:noWrap/>
          </w:tcPr>
          <w:p w14:paraId="3C886883" w14:textId="2FF2164B" w:rsidR="003E1D81" w:rsidRDefault="00EB481C">
            <w:pPr>
              <w:pStyle w:val="P68B1DB1-Normal13"/>
              <w:spacing w:after="0"/>
              <w:rPr>
                <w:rStyle w:val="normaltextrun"/>
                <w:rFonts w:cs="Times New Roman"/>
                <w:noProof/>
              </w:rPr>
            </w:pPr>
            <w:r>
              <w:rPr>
                <w:noProof/>
              </w:rPr>
              <w:t>A hitelprogram létrehozása</w:t>
            </w:r>
          </w:p>
        </w:tc>
        <w:tc>
          <w:tcPr>
            <w:tcW w:w="1025" w:type="dxa"/>
            <w:tcBorders>
              <w:top w:val="single" w:sz="4" w:space="0" w:color="auto"/>
              <w:left w:val="single" w:sz="4" w:space="0" w:color="auto"/>
              <w:bottom w:val="single" w:sz="4" w:space="0" w:color="auto"/>
              <w:right w:val="single" w:sz="4" w:space="0" w:color="auto"/>
            </w:tcBorders>
            <w:shd w:val="clear" w:color="auto" w:fill="C6EFCE"/>
            <w:noWrap/>
          </w:tcPr>
          <w:p w14:paraId="581E2E00" w14:textId="4E07B01F" w:rsidR="003E1D81" w:rsidRDefault="00EB481C">
            <w:pPr>
              <w:pStyle w:val="P68B1DB1-Normal13"/>
              <w:spacing w:after="0"/>
              <w:jc w:val="center"/>
              <w:rPr>
                <w:rFonts w:eastAsia="Times New Roman" w:cs="Times New Roman"/>
                <w:noProof/>
              </w:rPr>
            </w:pPr>
            <w:r>
              <w:rPr>
                <w:noProof/>
              </w:rPr>
              <w:t>A vonatkozó jogi eszköz(ök) hatálybalépése</w:t>
            </w:r>
          </w:p>
        </w:tc>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18D7899F" w14:textId="17FC81FC" w:rsidR="003E1D81" w:rsidRDefault="003E1D81">
            <w:pPr>
              <w:spacing w:after="0"/>
              <w:jc w:val="center"/>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1FC76783" w14:textId="4D136987" w:rsidR="003E1D81" w:rsidRDefault="003E1D81">
            <w:pPr>
              <w:spacing w:after="0"/>
              <w:jc w:val="right"/>
              <w:rPr>
                <w:rStyle w:val="eop"/>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FDAE2C2" w14:textId="7CC436BB" w:rsidR="003E1D81" w:rsidRDefault="003E1D81">
            <w:pPr>
              <w:spacing w:after="0"/>
              <w:jc w:val="right"/>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B3A01F8" w14:textId="2CB279EA" w:rsidR="003E1D81" w:rsidRDefault="00EB481C">
            <w:pPr>
              <w:pStyle w:val="P68B1DB1-Normal13"/>
              <w:spacing w:after="0"/>
              <w:jc w:val="center"/>
              <w:rPr>
                <w:rFonts w:eastAsia="Times New Roman" w:cs="Times New Roman"/>
                <w:noProof/>
              </w:rPr>
            </w:pPr>
            <w:r>
              <w:rPr>
                <w:noProof/>
              </w:rPr>
              <w:t>NEGYEDÉV</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B6A6A9A" w14:textId="36AE28B5" w:rsidR="003E1D81" w:rsidRDefault="00EB481C">
            <w:pPr>
              <w:pStyle w:val="P68B1DB1-Normal13"/>
              <w:spacing w:after="0"/>
              <w:jc w:val="center"/>
              <w:rPr>
                <w:rFonts w:eastAsia="Times New Roman" w:cs="Times New Roman"/>
                <w:noProof/>
              </w:rPr>
            </w:pPr>
            <w:r>
              <w:rPr>
                <w:noProof/>
              </w:rPr>
              <w:t>2024</w:t>
            </w:r>
          </w:p>
        </w:tc>
        <w:tc>
          <w:tcPr>
            <w:tcW w:w="6696" w:type="dxa"/>
            <w:tcBorders>
              <w:top w:val="single" w:sz="4" w:space="0" w:color="auto"/>
              <w:left w:val="single" w:sz="4" w:space="0" w:color="auto"/>
              <w:bottom w:val="single" w:sz="4" w:space="0" w:color="auto"/>
              <w:right w:val="single" w:sz="4" w:space="0" w:color="auto"/>
            </w:tcBorders>
            <w:shd w:val="clear" w:color="auto" w:fill="C6EFCE"/>
            <w:noWrap/>
          </w:tcPr>
          <w:p w14:paraId="0C8851D1" w14:textId="3DD4654D" w:rsidR="003E1D81" w:rsidRDefault="00EB481C">
            <w:pPr>
              <w:pStyle w:val="P68B1DB1-Normal13"/>
              <w:spacing w:after="0"/>
              <w:rPr>
                <w:rFonts w:eastAsia="Times New Roman" w:cs="Times New Roman"/>
                <w:noProof/>
              </w:rPr>
            </w:pPr>
            <w:r>
              <w:rPr>
                <w:noProof/>
              </w:rPr>
              <w:t xml:space="preserve">A hitelkonstrukciót létrehozó jogi eszköz(ök) hatálybalépése az intézkedés </w:t>
            </w:r>
            <w:r>
              <w:rPr>
                <w:noProof/>
              </w:rPr>
              <w:t>leírásában meghatározott követelményekkel összhangban.</w:t>
            </w:r>
          </w:p>
        </w:tc>
      </w:tr>
      <w:tr w:rsidR="003E1D81" w14:paraId="043D661F" w14:textId="77777777">
        <w:trPr>
          <w:trHeight w:val="309"/>
        </w:trPr>
        <w:tc>
          <w:tcPr>
            <w:tcW w:w="818" w:type="dxa"/>
            <w:tcBorders>
              <w:top w:val="single" w:sz="6" w:space="0" w:color="auto"/>
              <w:left w:val="single" w:sz="6" w:space="0" w:color="auto"/>
              <w:bottom w:val="single" w:sz="6" w:space="0" w:color="auto"/>
              <w:right w:val="single" w:sz="6" w:space="0" w:color="auto"/>
            </w:tcBorders>
            <w:shd w:val="clear" w:color="auto" w:fill="C6EFCE"/>
            <w:noWrap/>
          </w:tcPr>
          <w:p w14:paraId="6D6D426C" w14:textId="7D14F490" w:rsidR="003E1D81" w:rsidRDefault="00EB481C">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L88</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139A216C" w14:textId="76534C2C" w:rsidR="003E1D81" w:rsidRDefault="00EB481C">
            <w:pPr>
              <w:pStyle w:val="P68B1DB1-Normal13"/>
              <w:spacing w:after="0"/>
              <w:jc w:val="center"/>
              <w:rPr>
                <w:rFonts w:eastAsia="Times New Roman" w:cs="Times New Roman"/>
                <w:noProof/>
              </w:rPr>
            </w:pPr>
            <w:r>
              <w:rPr>
                <w:noProof/>
              </w:rPr>
              <w:t>C31.I8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B00ED33" w14:textId="749E280C" w:rsidR="003E1D81" w:rsidRDefault="00EB481C">
            <w:pPr>
              <w:pStyle w:val="P68B1DB1-Normal13"/>
              <w:spacing w:after="0"/>
              <w:jc w:val="center"/>
              <w:rPr>
                <w:rFonts w:eastAsia="Times New Roman" w:cs="Times New Roman"/>
                <w:noProof/>
              </w:rPr>
            </w:pPr>
            <w:r>
              <w:rPr>
                <w:noProof/>
              </w:rPr>
              <w:t>T</w:t>
            </w:r>
          </w:p>
        </w:tc>
        <w:tc>
          <w:tcPr>
            <w:tcW w:w="2519" w:type="dxa"/>
            <w:tcBorders>
              <w:top w:val="single" w:sz="4" w:space="0" w:color="auto"/>
              <w:left w:val="single" w:sz="4" w:space="0" w:color="auto"/>
              <w:bottom w:val="single" w:sz="4" w:space="0" w:color="auto"/>
              <w:right w:val="single" w:sz="4" w:space="0" w:color="auto"/>
            </w:tcBorders>
            <w:shd w:val="clear" w:color="auto" w:fill="C6EFCE"/>
            <w:noWrap/>
          </w:tcPr>
          <w:p w14:paraId="72CD1DD2" w14:textId="77777777" w:rsidR="003E1D81" w:rsidRDefault="00EB481C">
            <w:pPr>
              <w:spacing w:after="0"/>
              <w:rPr>
                <w:rStyle w:val="eop"/>
                <w:rFonts w:ascii="Times New Roman" w:hAnsi="Times New Roman" w:cs="Times New Roman"/>
                <w:noProof/>
                <w:sz w:val="18"/>
              </w:rPr>
            </w:pPr>
            <w:r>
              <w:rPr>
                <w:rStyle w:val="normaltextrun"/>
                <w:rFonts w:ascii="Times New Roman" w:hAnsi="Times New Roman"/>
                <w:noProof/>
                <w:sz w:val="18"/>
              </w:rPr>
              <w:t>Az ipari dekarbonizációt támogató rendszer (hitelek): A végső kedvezményezettekkel aláírt jogi megállapodások vagy az odaítélésről szóló határozatok közzététele.</w:t>
            </w:r>
          </w:p>
          <w:p w14:paraId="0D988384" w14:textId="6F6031A4" w:rsidR="003E1D81" w:rsidRDefault="003E1D81">
            <w:pPr>
              <w:spacing w:after="0"/>
              <w:rPr>
                <w:rFonts w:ascii="Times New Roman" w:eastAsia="Times New Roman" w:hAnsi="Times New Roman" w:cs="Times New Roman"/>
                <w:noProof/>
                <w:sz w:val="18"/>
              </w:rPr>
            </w:pPr>
          </w:p>
        </w:tc>
        <w:tc>
          <w:tcPr>
            <w:tcW w:w="1025" w:type="dxa"/>
            <w:tcBorders>
              <w:top w:val="single" w:sz="4" w:space="0" w:color="auto"/>
              <w:left w:val="single" w:sz="4" w:space="0" w:color="auto"/>
              <w:bottom w:val="single" w:sz="4" w:space="0" w:color="auto"/>
              <w:right w:val="single" w:sz="4" w:space="0" w:color="auto"/>
            </w:tcBorders>
            <w:shd w:val="clear" w:color="auto" w:fill="C6EFCE"/>
            <w:noWrap/>
          </w:tcPr>
          <w:p w14:paraId="2EFA0518" w14:textId="1D85D1F4" w:rsidR="003E1D81" w:rsidRDefault="00EB481C">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 xml:space="preserve">A jogi finanszírozási megállapodások vagy jogerős odaítélési határozatok hatálybalépése </w:t>
            </w:r>
          </w:p>
        </w:tc>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48A22EA7" w14:textId="5242C00F" w:rsidR="003E1D81" w:rsidRDefault="003E1D81">
            <w:pPr>
              <w:spacing w:after="0"/>
              <w:jc w:val="center"/>
              <w:rPr>
                <w:rStyle w:val="normaltextrun"/>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10E49AB5" w14:textId="65CEF263" w:rsidR="003E1D81" w:rsidRDefault="00EB481C">
            <w:pPr>
              <w:pStyle w:val="P68B1DB1-Normal13"/>
              <w:spacing w:after="0"/>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D0FC3A8" w14:textId="0AB369F7" w:rsidR="003E1D81" w:rsidRDefault="00EB481C">
            <w:pPr>
              <w:pStyle w:val="P68B1DB1-Normal13"/>
              <w:spacing w:after="0"/>
              <w:jc w:val="right"/>
              <w:rPr>
                <w:rStyle w:val="eop"/>
                <w:rFonts w:cs="Times New Roman"/>
                <w:noProof/>
              </w:rPr>
            </w:pPr>
            <w:r>
              <w:rPr>
                <w:noProof/>
              </w:rPr>
              <w:t xml:space="preserve">100%-OS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50D1DCD2" w14:textId="27F72D0D" w:rsidR="003E1D81" w:rsidRDefault="00EB481C">
            <w:pPr>
              <w:pStyle w:val="P68B1DB1-Normal13"/>
              <w:spacing w:after="0"/>
              <w:jc w:val="center"/>
              <w:rPr>
                <w:rStyle w:val="eop"/>
                <w:rFonts w:cs="Times New Roman"/>
                <w:noProof/>
              </w:rPr>
            </w:pPr>
            <w:r>
              <w:rPr>
                <w:noProof/>
              </w:rPr>
              <w:t>NEGYEDÉV</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E11477F" w14:textId="192BD438" w:rsidR="003E1D81" w:rsidRDefault="00EB481C">
            <w:pPr>
              <w:pStyle w:val="P68B1DB1-Normal13"/>
              <w:spacing w:after="0"/>
              <w:jc w:val="center"/>
              <w:rPr>
                <w:rFonts w:eastAsia="Times New Roman" w:cs="Times New Roman"/>
                <w:noProof/>
              </w:rPr>
            </w:pPr>
            <w:r>
              <w:rPr>
                <w:noProof/>
              </w:rPr>
              <w:t>2026</w:t>
            </w:r>
          </w:p>
        </w:tc>
        <w:tc>
          <w:tcPr>
            <w:tcW w:w="6696" w:type="dxa"/>
            <w:tcBorders>
              <w:top w:val="single" w:sz="4" w:space="0" w:color="auto"/>
              <w:left w:val="single" w:sz="4" w:space="0" w:color="auto"/>
              <w:bottom w:val="single" w:sz="4" w:space="0" w:color="auto"/>
              <w:right w:val="single" w:sz="4" w:space="0" w:color="auto"/>
            </w:tcBorders>
            <w:shd w:val="clear" w:color="auto" w:fill="C6EFCE"/>
            <w:noWrap/>
          </w:tcPr>
          <w:p w14:paraId="17F0997F" w14:textId="29BE4D6E" w:rsidR="003E1D81" w:rsidRDefault="00EB481C">
            <w:pPr>
              <w:pStyle w:val="P68B1DB1-Normal13"/>
              <w:spacing w:after="0"/>
              <w:rPr>
                <w:rFonts w:cs="Times New Roman"/>
                <w:noProof/>
              </w:rPr>
            </w:pPr>
            <w:r>
              <w:rPr>
                <w:noProof/>
              </w:rPr>
              <w:t>Az ENISA jogerős odaítélési határozatokat tett közzé, vagy jogi finanszírozási megállapodásokat kötött a végső kedvezményezettekkel a Helyreá</w:t>
            </w:r>
            <w:r>
              <w:rPr>
                <w:noProof/>
              </w:rPr>
              <w:t>llítási és Rezilienciaépítési Eszköz beruházásainak (beleértve a közvetett költségeket is) 100%-ának a rendszerbe történő felhasználásához szükséges összegről. Az ENISA-nak biztosítania kell, hogy e finanszírozás legalább 40%-a a Helyreállítási és Rezilien</w:t>
            </w:r>
            <w:r>
              <w:rPr>
                <w:noProof/>
              </w:rPr>
              <w:t xml:space="preserve">ciaépítési Eszközről szóló rendelet VI. mellékletében foglalt módszertan alkalmazásával hozzájáruljon az éghajlat-politikai célkitűzésekhez.  </w:t>
            </w:r>
          </w:p>
        </w:tc>
      </w:tr>
    </w:tbl>
    <w:p w14:paraId="1A8F52C7" w14:textId="77777777" w:rsidR="003E1D81" w:rsidRDefault="003E1D81">
      <w:pPr>
        <w:rPr>
          <w:rFonts w:ascii="Times New Roman" w:hAnsi="Times New Roman" w:cs="Times New Roman"/>
          <w:noProof/>
        </w:rPr>
      </w:pPr>
    </w:p>
    <w:p w14:paraId="5B1460E4" w14:textId="77777777" w:rsidR="003E1D81" w:rsidRDefault="003E1D81">
      <w:pPr>
        <w:pStyle w:val="Text1"/>
        <w:ind w:left="0"/>
        <w:rPr>
          <w:rFonts w:ascii="Times New Roman" w:hAnsi="Times New Roman" w:cs="Times New Roman"/>
          <w:noProof/>
        </w:rPr>
        <w:sectPr w:rsidR="003E1D81" w:rsidSect="009144BD">
          <w:headerReference w:type="even" r:id="rId585"/>
          <w:headerReference w:type="default" r:id="rId586"/>
          <w:footerReference w:type="even" r:id="rId587"/>
          <w:footerReference w:type="default" r:id="rId588"/>
          <w:headerReference w:type="first" r:id="rId589"/>
          <w:footerReference w:type="first" r:id="rId590"/>
          <w:pgSz w:w="16839" w:h="11907" w:orient="landscape"/>
          <w:pgMar w:top="1417" w:right="1134" w:bottom="1417" w:left="1134" w:header="709" w:footer="709" w:gutter="0"/>
          <w:cols w:space="720"/>
          <w:docGrid w:linePitch="360"/>
        </w:sectPr>
      </w:pPr>
    </w:p>
    <w:p w14:paraId="5B5F53E3" w14:textId="77777777" w:rsidR="003E1D81" w:rsidRDefault="00EB481C">
      <w:pPr>
        <w:pStyle w:val="P68B1DB1-Normal43"/>
        <w:numPr>
          <w:ilvl w:val="0"/>
          <w:numId w:val="50"/>
        </w:numPr>
        <w:spacing w:before="120" w:after="120" w:line="240" w:lineRule="auto"/>
        <w:jc w:val="both"/>
        <w:rPr>
          <w:rFonts w:eastAsia="Calibri" w:cs="Times New Roman"/>
          <w:noProof/>
        </w:rPr>
      </w:pPr>
      <w:r>
        <w:rPr>
          <w:noProof/>
        </w:rPr>
        <w:t xml:space="preserve">A helyreállítási és rezilienciaépítési terv </w:t>
      </w:r>
      <w:r>
        <w:rPr>
          <w:noProof/>
        </w:rPr>
        <w:t>becsült összköltsége</w:t>
      </w:r>
    </w:p>
    <w:p w14:paraId="732200E1" w14:textId="125C3D4F" w:rsidR="003E1D81" w:rsidRDefault="00EB481C">
      <w:pPr>
        <w:pStyle w:val="P68B1DB1-Normal4"/>
        <w:spacing w:before="120" w:after="120" w:line="240" w:lineRule="auto"/>
        <w:ind w:left="850"/>
        <w:jc w:val="both"/>
        <w:rPr>
          <w:rFonts w:eastAsia="Calibri" w:cs="Times New Roman"/>
          <w:noProof/>
        </w:rPr>
      </w:pPr>
      <w:r>
        <w:rPr>
          <w:noProof/>
        </w:rPr>
        <w:t>Spanyolország helyreállítási és rezilienciaépítési tervének becsült összköltsége 163 029 653 473 EUR.</w:t>
      </w:r>
    </w:p>
    <w:p w14:paraId="7A88BAA2" w14:textId="77777777" w:rsidR="003E1D81" w:rsidRDefault="003E1D81">
      <w:pPr>
        <w:spacing w:before="120" w:after="120" w:line="240" w:lineRule="auto"/>
        <w:jc w:val="both"/>
        <w:rPr>
          <w:rFonts w:ascii="Times New Roman" w:eastAsia="Calibri" w:hAnsi="Times New Roman" w:cs="Times New Roman"/>
          <w:noProof/>
          <w:sz w:val="24"/>
        </w:rPr>
      </w:pPr>
    </w:p>
    <w:p w14:paraId="6A6CE5A4" w14:textId="77777777" w:rsidR="003E1D81" w:rsidRDefault="00EB481C">
      <w:pPr>
        <w:pStyle w:val="P68B1DB1-Normal43"/>
        <w:spacing w:before="120" w:after="120" w:line="240" w:lineRule="auto"/>
        <w:jc w:val="both"/>
        <w:rPr>
          <w:rFonts w:eastAsia="Calibri" w:cs="Times New Roman"/>
          <w:noProof/>
        </w:rPr>
      </w:pPr>
      <w:r>
        <w:rPr>
          <w:noProof/>
        </w:rPr>
        <w:t xml:space="preserve">2. SZAKASZ: PÉNZÜGYI TÁMOGATÁS </w:t>
      </w:r>
    </w:p>
    <w:p w14:paraId="6EB2AA1A" w14:textId="77777777" w:rsidR="003E1D81" w:rsidRDefault="00EB481C">
      <w:pPr>
        <w:pStyle w:val="P68B1DB1-NumPar144"/>
        <w:numPr>
          <w:ilvl w:val="0"/>
          <w:numId w:val="191"/>
        </w:numPr>
        <w:rPr>
          <w:rFonts w:cs="Times New Roman"/>
          <w:noProof/>
        </w:rPr>
      </w:pPr>
      <w:r>
        <w:rPr>
          <w:noProof/>
        </w:rPr>
        <w:t xml:space="preserve">Pénzügyi hozzájárulás </w:t>
      </w:r>
    </w:p>
    <w:p w14:paraId="5734AC5E" w14:textId="77777777" w:rsidR="003E1D81" w:rsidRDefault="00EB481C">
      <w:pPr>
        <w:pStyle w:val="P68B1DB1-Normal4"/>
        <w:spacing w:before="120" w:after="120" w:line="240" w:lineRule="auto"/>
        <w:ind w:left="850"/>
        <w:jc w:val="both"/>
        <w:rPr>
          <w:rFonts w:eastAsia="Calibri" w:cs="Times New Roman"/>
          <w:noProof/>
        </w:rPr>
      </w:pPr>
      <w:r>
        <w:rPr>
          <w:noProof/>
        </w:rPr>
        <w:t>A 2. cikk (2) bekezdésében említett részösszegek szerkezete a következő:</w:t>
      </w:r>
    </w:p>
    <w:p w14:paraId="24258B11" w14:textId="77777777"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Első</w:t>
      </w:r>
      <w:r>
        <w:rPr>
          <w:noProof/>
        </w:rPr>
        <w:t xml:space="preserve"> részösszeg (vissza nem térítendő támogatás): </w:t>
      </w:r>
    </w:p>
    <w:tbl>
      <w:tblPr>
        <w:tblW w:w="9677" w:type="dxa"/>
        <w:tblInd w:w="113" w:type="dxa"/>
        <w:tblLook w:val="04A0" w:firstRow="1" w:lastRow="0" w:firstColumn="1" w:lastColumn="0" w:noHBand="0" w:noVBand="1"/>
      </w:tblPr>
      <w:tblGrid>
        <w:gridCol w:w="1027"/>
        <w:gridCol w:w="1407"/>
        <w:gridCol w:w="1416"/>
        <w:gridCol w:w="6096"/>
        <w:gridCol w:w="13"/>
      </w:tblGrid>
      <w:tr w:rsidR="003E1D81" w14:paraId="19034D7E" w14:textId="77777777">
        <w:trPr>
          <w:trHeight w:val="807"/>
          <w:tblHeader/>
        </w:trPr>
        <w:tc>
          <w:tcPr>
            <w:tcW w:w="102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F54C266" w14:textId="77777777" w:rsidR="003E1D81" w:rsidRDefault="00EB481C">
            <w:pPr>
              <w:pStyle w:val="P68B1DB1-Normal45"/>
              <w:spacing w:after="0" w:line="240" w:lineRule="auto"/>
              <w:jc w:val="center"/>
              <w:rPr>
                <w:rFonts w:eastAsia="Times New Roman" w:cs="Times New Roman"/>
                <w:noProof/>
              </w:rPr>
            </w:pPr>
            <w:r>
              <w:rPr>
                <w:noProof/>
              </w:rPr>
              <w:t>Sorszám</w:t>
            </w:r>
          </w:p>
        </w:tc>
        <w:tc>
          <w:tcPr>
            <w:tcW w:w="140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B297E1" w14:textId="77777777" w:rsidR="003E1D81" w:rsidRDefault="00EB481C">
            <w:pPr>
              <w:pStyle w:val="P68B1DB1-Normal45"/>
              <w:spacing w:after="0" w:line="240" w:lineRule="auto"/>
              <w:jc w:val="center"/>
              <w:rPr>
                <w:rFonts w:eastAsia="Times New Roman" w:cs="Times New Roman"/>
                <w:noProof/>
              </w:rPr>
            </w:pPr>
            <w:r>
              <w:rPr>
                <w:noProof/>
              </w:rPr>
              <w:t>Kapcsolódó intézkedés (reform vagy beruházás)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B793787"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6109" w:type="dxa"/>
            <w:gridSpan w:val="2"/>
            <w:vMerge w:val="restart"/>
            <w:tcBorders>
              <w:top w:val="single" w:sz="4" w:space="0" w:color="auto"/>
              <w:left w:val="nil"/>
              <w:bottom w:val="single" w:sz="4" w:space="0" w:color="000000"/>
              <w:right w:val="single" w:sz="4" w:space="0" w:color="auto"/>
            </w:tcBorders>
            <w:shd w:val="clear" w:color="auto" w:fill="BDD7EE"/>
            <w:vAlign w:val="center"/>
            <w:hideMark/>
          </w:tcPr>
          <w:p w14:paraId="34541701"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6CAFC044" w14:textId="77777777">
        <w:trPr>
          <w:trHeight w:val="509"/>
        </w:trPr>
        <w:tc>
          <w:tcPr>
            <w:tcW w:w="1027" w:type="dxa"/>
            <w:vMerge/>
            <w:tcBorders>
              <w:top w:val="single" w:sz="4" w:space="0" w:color="auto"/>
              <w:left w:val="single" w:sz="4" w:space="0" w:color="auto"/>
              <w:bottom w:val="single" w:sz="4" w:space="0" w:color="000000"/>
              <w:right w:val="single" w:sz="4" w:space="0" w:color="auto"/>
            </w:tcBorders>
            <w:vAlign w:val="center"/>
            <w:hideMark/>
          </w:tcPr>
          <w:p w14:paraId="2EC0A33B" w14:textId="77777777" w:rsidR="003E1D81" w:rsidRDefault="003E1D81">
            <w:pPr>
              <w:spacing w:after="0" w:line="240" w:lineRule="auto"/>
              <w:rPr>
                <w:rFonts w:ascii="Times New Roman" w:eastAsia="Times New Roman" w:hAnsi="Times New Roman" w:cs="Times New Roman"/>
                <w:b/>
                <w:noProof/>
                <w:sz w:val="20"/>
              </w:rPr>
            </w:pPr>
          </w:p>
        </w:tc>
        <w:tc>
          <w:tcPr>
            <w:tcW w:w="1407" w:type="dxa"/>
            <w:vMerge/>
            <w:tcBorders>
              <w:top w:val="single" w:sz="4" w:space="0" w:color="auto"/>
              <w:left w:val="single" w:sz="4" w:space="0" w:color="auto"/>
              <w:bottom w:val="single" w:sz="4" w:space="0" w:color="000000"/>
              <w:right w:val="single" w:sz="4" w:space="0" w:color="auto"/>
            </w:tcBorders>
            <w:vAlign w:val="center"/>
            <w:hideMark/>
          </w:tcPr>
          <w:p w14:paraId="2F42DAB6" w14:textId="77777777" w:rsidR="003E1D81" w:rsidRDefault="003E1D81">
            <w:pPr>
              <w:spacing w:after="0" w:line="240" w:lineRule="auto"/>
              <w:rPr>
                <w:rFonts w:ascii="Times New Roman" w:eastAsia="Times New Roman" w:hAnsi="Times New Roman" w:cs="Times New Roman"/>
                <w:b/>
                <w:noProof/>
                <w:sz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2CD4E83" w14:textId="77777777" w:rsidR="003E1D81" w:rsidRDefault="003E1D81">
            <w:pPr>
              <w:spacing w:after="0" w:line="240" w:lineRule="auto"/>
              <w:rPr>
                <w:rFonts w:ascii="Times New Roman" w:eastAsia="Times New Roman" w:hAnsi="Times New Roman" w:cs="Times New Roman"/>
                <w:b/>
                <w:noProof/>
                <w:sz w:val="20"/>
              </w:rPr>
            </w:pPr>
          </w:p>
        </w:tc>
        <w:tc>
          <w:tcPr>
            <w:tcW w:w="6109" w:type="dxa"/>
            <w:gridSpan w:val="2"/>
            <w:vMerge/>
            <w:tcBorders>
              <w:top w:val="single" w:sz="4" w:space="0" w:color="auto"/>
              <w:left w:val="nil"/>
              <w:bottom w:val="single" w:sz="4" w:space="0" w:color="000000"/>
              <w:right w:val="single" w:sz="4" w:space="0" w:color="auto"/>
            </w:tcBorders>
            <w:vAlign w:val="center"/>
            <w:hideMark/>
          </w:tcPr>
          <w:p w14:paraId="0949BBA1" w14:textId="77777777" w:rsidR="003E1D81" w:rsidRDefault="003E1D81">
            <w:pPr>
              <w:spacing w:after="0" w:line="240" w:lineRule="auto"/>
              <w:rPr>
                <w:rFonts w:ascii="Times New Roman" w:eastAsia="Times New Roman" w:hAnsi="Times New Roman" w:cs="Times New Roman"/>
                <w:b/>
                <w:noProof/>
                <w:sz w:val="20"/>
              </w:rPr>
            </w:pPr>
          </w:p>
        </w:tc>
      </w:tr>
      <w:tr w:rsidR="003E1D81" w14:paraId="225A0F73"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FD40F" w14:textId="77777777" w:rsidR="003E1D81" w:rsidRDefault="00EB481C">
            <w:pPr>
              <w:pStyle w:val="P68B1DB1-Normal46"/>
              <w:spacing w:after="0" w:line="240" w:lineRule="auto"/>
              <w:jc w:val="center"/>
              <w:rPr>
                <w:rFonts w:eastAsia="Times New Roman" w:cs="Times New Roman"/>
                <w:noProof/>
              </w:rPr>
            </w:pPr>
            <w:r>
              <w:rPr>
                <w:noProof/>
              </w:rPr>
              <w:t>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62717E5" w14:textId="77777777" w:rsidR="003E1D81" w:rsidRDefault="00EB481C">
            <w:pPr>
              <w:pStyle w:val="P68B1DB1-Normal46"/>
              <w:spacing w:after="0" w:line="240" w:lineRule="auto"/>
              <w:jc w:val="center"/>
              <w:rPr>
                <w:rFonts w:eastAsia="Times New Roman" w:cs="Times New Roman"/>
                <w:noProof/>
              </w:rPr>
            </w:pPr>
            <w:r>
              <w:rPr>
                <w:noProof/>
              </w:rPr>
              <w:t>C1.R1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4CC7ADE"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39265DA" w14:textId="77777777" w:rsidR="003E1D81" w:rsidRDefault="00EB481C">
            <w:pPr>
              <w:pStyle w:val="P68B1DB1-Normal46"/>
              <w:spacing w:after="0" w:line="240" w:lineRule="auto"/>
              <w:rPr>
                <w:rFonts w:eastAsia="Times New Roman" w:cs="Times New Roman"/>
                <w:noProof/>
              </w:rPr>
            </w:pPr>
            <w:r>
              <w:rPr>
                <w:noProof/>
              </w:rPr>
              <w:t>A TMA/178/2020. sz. végzés és a 23/2020. sz. királyi törvényerejű rendelet</w:t>
            </w:r>
          </w:p>
        </w:tc>
      </w:tr>
      <w:tr w:rsidR="003E1D81" w14:paraId="2480D24E"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0F6B8B" w14:textId="77777777" w:rsidR="003E1D81" w:rsidRDefault="00EB481C">
            <w:pPr>
              <w:pStyle w:val="P68B1DB1-Normal46"/>
              <w:spacing w:after="0" w:line="240" w:lineRule="auto"/>
              <w:jc w:val="center"/>
              <w:rPr>
                <w:rFonts w:eastAsia="Times New Roman" w:cs="Times New Roman"/>
                <w:noProof/>
              </w:rPr>
            </w:pPr>
            <w:r>
              <w:rPr>
                <w:noProof/>
              </w:rPr>
              <w:t>21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E9D9941" w14:textId="77777777" w:rsidR="003E1D81" w:rsidRDefault="00EB481C">
            <w:pPr>
              <w:pStyle w:val="P68B1DB1-Normal46"/>
              <w:spacing w:after="0" w:line="240" w:lineRule="auto"/>
              <w:jc w:val="center"/>
              <w:rPr>
                <w:rFonts w:eastAsia="Times New Roman" w:cs="Times New Roman"/>
                <w:noProof/>
              </w:rPr>
            </w:pPr>
            <w:r>
              <w:rPr>
                <w:noProof/>
              </w:rPr>
              <w:t>C2.R1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F0CF980"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FCC87C1" w14:textId="77777777" w:rsidR="003E1D81" w:rsidRDefault="00EB481C">
            <w:pPr>
              <w:pStyle w:val="P68B1DB1-Normal46"/>
              <w:spacing w:after="0" w:line="240" w:lineRule="auto"/>
              <w:rPr>
                <w:rFonts w:eastAsia="Times New Roman" w:cs="Times New Roman"/>
                <w:noProof/>
              </w:rPr>
            </w:pPr>
            <w:r>
              <w:rPr>
                <w:noProof/>
              </w:rPr>
              <w:t xml:space="preserve">A spanyol városfejlesztési menetrend és az épületek energetikai rehabilitációjára irányuló hosszú távú felújítási stratégia hatálybalépése Spanyolországban </w:t>
            </w:r>
          </w:p>
        </w:tc>
      </w:tr>
      <w:tr w:rsidR="003E1D81" w14:paraId="415FB51A"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0AFFB" w14:textId="77777777" w:rsidR="003E1D81" w:rsidRDefault="00EB481C">
            <w:pPr>
              <w:pStyle w:val="P68B1DB1-Normal46"/>
              <w:spacing w:after="0" w:line="240" w:lineRule="auto"/>
              <w:jc w:val="center"/>
              <w:rPr>
                <w:rFonts w:eastAsia="Times New Roman" w:cs="Times New Roman"/>
                <w:noProof/>
              </w:rPr>
            </w:pPr>
            <w:r>
              <w:rPr>
                <w:noProof/>
              </w:rPr>
              <w:t>39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43C327D" w14:textId="77777777" w:rsidR="003E1D81" w:rsidRDefault="00EB481C">
            <w:pPr>
              <w:pStyle w:val="P68B1DB1-Normal46"/>
              <w:spacing w:after="0" w:line="240" w:lineRule="auto"/>
              <w:jc w:val="center"/>
              <w:rPr>
                <w:rFonts w:eastAsia="Times New Roman" w:cs="Times New Roman"/>
                <w:noProof/>
              </w:rPr>
            </w:pPr>
            <w:r>
              <w:rPr>
                <w:noProof/>
              </w:rPr>
              <w:t>C3.R1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4699418"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163166A" w14:textId="77777777" w:rsidR="003E1D81" w:rsidRDefault="00EB481C">
            <w:pPr>
              <w:pStyle w:val="P68B1DB1-Normal46"/>
              <w:spacing w:after="0" w:line="240" w:lineRule="auto"/>
              <w:rPr>
                <w:rFonts w:eastAsia="Times New Roman" w:cs="Times New Roman"/>
                <w:noProof/>
              </w:rPr>
            </w:pPr>
            <w:r>
              <w:rPr>
                <w:noProof/>
              </w:rPr>
              <w:t>A mezőgazdasággal és az élelmiszerekkel kapcsolatos sürgős intézkedésekről szóló 5/2020</w:t>
            </w:r>
            <w:r>
              <w:rPr>
                <w:noProof/>
              </w:rPr>
              <w:t>. sz. királyi törvényerejű rendelet és az élelmiszerlánc működésének javítását célzó intézkedésekről szóló 12/2013. sz. törvény módosításáról szóló 8/2020. sz. törvény hatálybalépése</w:t>
            </w:r>
          </w:p>
        </w:tc>
      </w:tr>
      <w:tr w:rsidR="003E1D81" w14:paraId="256249B1"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3830F" w14:textId="77777777" w:rsidR="003E1D81" w:rsidRDefault="00EB481C">
            <w:pPr>
              <w:pStyle w:val="P68B1DB1-Normal46"/>
              <w:spacing w:after="0" w:line="240" w:lineRule="auto"/>
              <w:jc w:val="center"/>
              <w:rPr>
                <w:rFonts w:eastAsia="Times New Roman" w:cs="Times New Roman"/>
                <w:noProof/>
              </w:rPr>
            </w:pPr>
            <w:r>
              <w:rPr>
                <w:noProof/>
              </w:rPr>
              <w:t>63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4B79D67" w14:textId="77777777" w:rsidR="003E1D81" w:rsidRDefault="00EB481C">
            <w:pPr>
              <w:pStyle w:val="P68B1DB1-Normal46"/>
              <w:spacing w:after="0" w:line="240" w:lineRule="auto"/>
              <w:jc w:val="center"/>
              <w:rPr>
                <w:rFonts w:eastAsia="Times New Roman" w:cs="Times New Roman"/>
                <w:noProof/>
              </w:rPr>
            </w:pPr>
            <w:r>
              <w:rPr>
                <w:noProof/>
              </w:rPr>
              <w:t>C4.R2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31E7925"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31A5CAF" w14:textId="77777777" w:rsidR="003E1D81" w:rsidRDefault="00EB481C">
            <w:pPr>
              <w:pStyle w:val="P68B1DB1-Normal46"/>
              <w:spacing w:after="0" w:line="240" w:lineRule="auto"/>
              <w:rPr>
                <w:rFonts w:eastAsia="Times New Roman" w:cs="Times New Roman"/>
                <w:noProof/>
              </w:rPr>
            </w:pPr>
            <w:r>
              <w:rPr>
                <w:noProof/>
              </w:rPr>
              <w:t xml:space="preserve">A környezetbarát infrastruktúrára, a konnektivitásra és az </w:t>
            </w:r>
            <w:r>
              <w:rPr>
                <w:noProof/>
              </w:rPr>
              <w:t>ökológiai helyreállításra vonatkozó nemzeti stratégia elfogadása</w:t>
            </w:r>
          </w:p>
        </w:tc>
      </w:tr>
      <w:tr w:rsidR="003E1D81" w14:paraId="01448C79"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B1D3E9" w14:textId="77777777" w:rsidR="003E1D81" w:rsidRDefault="00EB481C">
            <w:pPr>
              <w:pStyle w:val="P68B1DB1-Normal46"/>
              <w:spacing w:after="0" w:line="240" w:lineRule="auto"/>
              <w:jc w:val="center"/>
              <w:rPr>
                <w:rFonts w:eastAsia="Times New Roman" w:cs="Times New Roman"/>
                <w:noProof/>
              </w:rPr>
            </w:pPr>
            <w:r>
              <w:rPr>
                <w:noProof/>
              </w:rPr>
              <w:t>82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F1B5C80" w14:textId="77777777" w:rsidR="003E1D81" w:rsidRDefault="00EB481C">
            <w:pPr>
              <w:pStyle w:val="P68B1DB1-Normal46"/>
              <w:spacing w:after="0" w:line="240" w:lineRule="auto"/>
              <w:jc w:val="center"/>
              <w:rPr>
                <w:rFonts w:eastAsia="Times New Roman" w:cs="Times New Roman"/>
                <w:noProof/>
              </w:rPr>
            </w:pPr>
            <w:r>
              <w:rPr>
                <w:noProof/>
              </w:rPr>
              <w:t>C6.R1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7B85F95"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737C31B" w14:textId="77777777" w:rsidR="003E1D81" w:rsidRDefault="00EB481C">
            <w:pPr>
              <w:pStyle w:val="P68B1DB1-Normal46"/>
              <w:spacing w:after="0" w:line="240" w:lineRule="auto"/>
              <w:rPr>
                <w:rFonts w:eastAsia="Times New Roman" w:cs="Times New Roman"/>
                <w:noProof/>
              </w:rPr>
            </w:pPr>
            <w:r>
              <w:rPr>
                <w:noProof/>
              </w:rPr>
              <w:t>A fenntartható, biztonságos és összekapcsolt mobilitásra vonatkozó stratégia (nyilvános konzultáció)</w:t>
            </w:r>
          </w:p>
        </w:tc>
      </w:tr>
      <w:tr w:rsidR="003E1D81" w14:paraId="7297BF1D"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CDB122" w14:textId="77777777" w:rsidR="003E1D81" w:rsidRDefault="00EB481C">
            <w:pPr>
              <w:pStyle w:val="P68B1DB1-Normal46"/>
              <w:spacing w:after="0" w:line="240" w:lineRule="auto"/>
              <w:jc w:val="center"/>
              <w:rPr>
                <w:rFonts w:eastAsia="Times New Roman" w:cs="Times New Roman"/>
                <w:noProof/>
              </w:rPr>
            </w:pPr>
            <w:r>
              <w:rPr>
                <w:noProof/>
              </w:rPr>
              <w:t>102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7114184" w14:textId="77777777" w:rsidR="003E1D81" w:rsidRDefault="00EB481C">
            <w:pPr>
              <w:pStyle w:val="P68B1DB1-Normal46"/>
              <w:spacing w:after="0" w:line="240" w:lineRule="auto"/>
              <w:jc w:val="center"/>
              <w:rPr>
                <w:rFonts w:eastAsia="Times New Roman" w:cs="Times New Roman"/>
                <w:noProof/>
              </w:rPr>
            </w:pPr>
            <w:r>
              <w:rPr>
                <w:noProof/>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C0B33EE"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4D3F62C" w14:textId="77777777" w:rsidR="003E1D81" w:rsidRDefault="00EB481C">
            <w:pPr>
              <w:pStyle w:val="P68B1DB1-Normal46"/>
              <w:spacing w:after="0" w:line="240" w:lineRule="auto"/>
              <w:rPr>
                <w:rFonts w:eastAsia="Times New Roman" w:cs="Times New Roman"/>
                <w:noProof/>
              </w:rPr>
            </w:pPr>
            <w:r>
              <w:rPr>
                <w:noProof/>
              </w:rPr>
              <w:t xml:space="preserve">A 23/2020. sz. királyi törvényerejű rendelet hatálybalépése </w:t>
            </w:r>
            <w:r>
              <w:rPr>
                <w:noProof/>
              </w:rPr>
              <w:t>(energiaügyi intézkedések)</w:t>
            </w:r>
          </w:p>
        </w:tc>
      </w:tr>
      <w:tr w:rsidR="003E1D81" w14:paraId="37286307"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BA02A" w14:textId="77777777" w:rsidR="003E1D81" w:rsidRDefault="00EB481C">
            <w:pPr>
              <w:pStyle w:val="P68B1DB1-Normal46"/>
              <w:spacing w:after="0" w:line="240" w:lineRule="auto"/>
              <w:jc w:val="center"/>
              <w:rPr>
                <w:rFonts w:eastAsia="Times New Roman" w:cs="Times New Roman"/>
                <w:noProof/>
              </w:rPr>
            </w:pPr>
            <w:r>
              <w:rPr>
                <w:noProof/>
              </w:rPr>
              <w:t>103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18C4301" w14:textId="77777777" w:rsidR="003E1D81" w:rsidRDefault="00EB481C">
            <w:pPr>
              <w:pStyle w:val="P68B1DB1-Normal46"/>
              <w:spacing w:after="0" w:line="240" w:lineRule="auto"/>
              <w:jc w:val="center"/>
              <w:rPr>
                <w:rFonts w:eastAsia="Times New Roman" w:cs="Times New Roman"/>
                <w:noProof/>
              </w:rPr>
            </w:pPr>
            <w:r>
              <w:rPr>
                <w:noProof/>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CF3255F"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6EDAD91" w14:textId="77777777" w:rsidR="003E1D81" w:rsidRDefault="00EB481C">
            <w:pPr>
              <w:pStyle w:val="P68B1DB1-Normal46"/>
              <w:spacing w:after="0" w:line="240" w:lineRule="auto"/>
              <w:rPr>
                <w:rFonts w:eastAsia="Times New Roman" w:cs="Times New Roman"/>
                <w:noProof/>
              </w:rPr>
            </w:pPr>
            <w:r>
              <w:rPr>
                <w:noProof/>
              </w:rPr>
              <w:t>A 960/2020. sz. királyi rendelet (a megújuló energiára vonatkozó gazdasági rendszer) hatálybalépése</w:t>
            </w:r>
          </w:p>
        </w:tc>
      </w:tr>
      <w:tr w:rsidR="003E1D81" w14:paraId="7A01B14E"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BC4BC" w14:textId="77777777" w:rsidR="003E1D81" w:rsidRDefault="00EB481C">
            <w:pPr>
              <w:pStyle w:val="P68B1DB1-Normal46"/>
              <w:spacing w:after="0" w:line="240" w:lineRule="auto"/>
              <w:jc w:val="center"/>
              <w:rPr>
                <w:rFonts w:eastAsia="Times New Roman" w:cs="Times New Roman"/>
                <w:noProof/>
              </w:rPr>
            </w:pPr>
            <w:r>
              <w:rPr>
                <w:noProof/>
              </w:rPr>
              <w:t>104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86714D2" w14:textId="77777777" w:rsidR="003E1D81" w:rsidRDefault="00EB481C">
            <w:pPr>
              <w:pStyle w:val="P68B1DB1-Normal46"/>
              <w:spacing w:after="0" w:line="240" w:lineRule="auto"/>
              <w:jc w:val="center"/>
              <w:rPr>
                <w:rFonts w:eastAsia="Times New Roman" w:cs="Times New Roman"/>
                <w:noProof/>
              </w:rPr>
            </w:pPr>
            <w:r>
              <w:rPr>
                <w:noProof/>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596A2CB"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EF00BCE" w14:textId="77777777" w:rsidR="003E1D81" w:rsidRDefault="00EB481C">
            <w:pPr>
              <w:pStyle w:val="P68B1DB1-Normal46"/>
              <w:spacing w:after="0" w:line="240" w:lineRule="auto"/>
              <w:rPr>
                <w:rFonts w:eastAsia="Times New Roman" w:cs="Times New Roman"/>
                <w:noProof/>
              </w:rPr>
            </w:pPr>
            <w:r>
              <w:rPr>
                <w:noProof/>
              </w:rPr>
              <w:t xml:space="preserve">Az 1183/2020. sz. királyi rendelet hatálybalépése (a megújuló energiaforrások </w:t>
            </w:r>
            <w:r>
              <w:rPr>
                <w:noProof/>
              </w:rPr>
              <w:t>villamosenergia-hálózathoz való csatlakoztatása)</w:t>
            </w:r>
          </w:p>
        </w:tc>
      </w:tr>
      <w:tr w:rsidR="003E1D81" w14:paraId="51C4256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BE483" w14:textId="77777777" w:rsidR="003E1D81" w:rsidRDefault="00EB481C">
            <w:pPr>
              <w:pStyle w:val="P68B1DB1-Normal46"/>
              <w:spacing w:after="0" w:line="240" w:lineRule="auto"/>
              <w:jc w:val="center"/>
              <w:rPr>
                <w:rFonts w:eastAsia="Times New Roman" w:cs="Times New Roman"/>
                <w:noProof/>
              </w:rPr>
            </w:pPr>
            <w:r>
              <w:rPr>
                <w:noProof/>
              </w:rPr>
              <w:t>105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37A5413" w14:textId="77777777" w:rsidR="003E1D81" w:rsidRDefault="00EB481C">
            <w:pPr>
              <w:pStyle w:val="P68B1DB1-Normal46"/>
              <w:spacing w:after="0" w:line="240" w:lineRule="auto"/>
              <w:jc w:val="center"/>
              <w:rPr>
                <w:rFonts w:eastAsia="Times New Roman" w:cs="Times New Roman"/>
                <w:noProof/>
              </w:rPr>
            </w:pPr>
            <w:r>
              <w:rPr>
                <w:noProof/>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6F8389D"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BA0C577" w14:textId="77777777" w:rsidR="003E1D81" w:rsidRDefault="00EB481C">
            <w:pPr>
              <w:pStyle w:val="P68B1DB1-Normal46"/>
              <w:spacing w:after="0" w:line="240" w:lineRule="auto"/>
              <w:rPr>
                <w:rFonts w:eastAsia="Times New Roman" w:cs="Times New Roman"/>
                <w:noProof/>
              </w:rPr>
            </w:pPr>
            <w:r>
              <w:rPr>
                <w:noProof/>
              </w:rPr>
              <w:t xml:space="preserve">Az éghajlatváltozásról és az energetikai átállásról szóló törvény hatálybalépése </w:t>
            </w:r>
          </w:p>
        </w:tc>
      </w:tr>
      <w:tr w:rsidR="003E1D81" w14:paraId="0D65DCDF"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DB7240" w14:textId="77777777" w:rsidR="003E1D81" w:rsidRDefault="00EB481C">
            <w:pPr>
              <w:pStyle w:val="P68B1DB1-Normal46"/>
              <w:spacing w:after="0" w:line="240" w:lineRule="auto"/>
              <w:jc w:val="center"/>
              <w:rPr>
                <w:rFonts w:eastAsia="Times New Roman" w:cs="Times New Roman"/>
                <w:noProof/>
              </w:rPr>
            </w:pPr>
            <w:r>
              <w:rPr>
                <w:noProof/>
              </w:rPr>
              <w:t>121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9BAE3EE" w14:textId="77777777" w:rsidR="003E1D81" w:rsidRDefault="00EB481C">
            <w:pPr>
              <w:pStyle w:val="P68B1DB1-Normal46"/>
              <w:spacing w:after="0" w:line="240" w:lineRule="auto"/>
              <w:jc w:val="center"/>
              <w:rPr>
                <w:rFonts w:eastAsia="Times New Roman" w:cs="Times New Roman"/>
                <w:noProof/>
              </w:rPr>
            </w:pPr>
            <w:r>
              <w:rPr>
                <w:noProof/>
              </w:rPr>
              <w:t>C8.R1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C703D7"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AEB3BE6" w14:textId="77777777" w:rsidR="003E1D81" w:rsidRDefault="00EB481C">
            <w:pPr>
              <w:pStyle w:val="P68B1DB1-Normal46"/>
              <w:spacing w:after="0" w:line="240" w:lineRule="auto"/>
              <w:rPr>
                <w:rFonts w:eastAsia="Times New Roman" w:cs="Times New Roman"/>
                <w:noProof/>
              </w:rPr>
            </w:pPr>
            <w:r>
              <w:rPr>
                <w:noProof/>
              </w:rPr>
              <w:t>A hosszú távú dekarbonizációs stratégia (ELP2050) jóváhagyása.</w:t>
            </w:r>
          </w:p>
        </w:tc>
      </w:tr>
      <w:tr w:rsidR="003E1D81" w14:paraId="5F4A8EF4"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D70339" w14:textId="77777777" w:rsidR="003E1D81" w:rsidRDefault="00EB481C">
            <w:pPr>
              <w:pStyle w:val="P68B1DB1-Normal46"/>
              <w:spacing w:after="0" w:line="240" w:lineRule="auto"/>
              <w:jc w:val="center"/>
              <w:rPr>
                <w:rFonts w:eastAsia="Times New Roman" w:cs="Times New Roman"/>
                <w:noProof/>
              </w:rPr>
            </w:pPr>
            <w:r>
              <w:rPr>
                <w:noProof/>
              </w:rPr>
              <w:t>122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EA35BA1" w14:textId="77777777" w:rsidR="003E1D81" w:rsidRDefault="00EB481C">
            <w:pPr>
              <w:pStyle w:val="P68B1DB1-Normal46"/>
              <w:spacing w:after="0" w:line="240" w:lineRule="auto"/>
              <w:jc w:val="center"/>
              <w:rPr>
                <w:rFonts w:eastAsia="Times New Roman" w:cs="Times New Roman"/>
                <w:noProof/>
              </w:rPr>
            </w:pPr>
            <w:r>
              <w:rPr>
                <w:noProof/>
              </w:rPr>
              <w:t>C8.R2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BFEF2A0"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EAEB460" w14:textId="77777777" w:rsidR="003E1D81" w:rsidRDefault="00EB481C">
            <w:pPr>
              <w:pStyle w:val="P68B1DB1-Normal46"/>
              <w:spacing w:after="0" w:line="240" w:lineRule="auto"/>
              <w:rPr>
                <w:rFonts w:eastAsia="Times New Roman" w:cs="Times New Roman"/>
                <w:noProof/>
              </w:rPr>
            </w:pPr>
            <w:r>
              <w:rPr>
                <w:noProof/>
              </w:rPr>
              <w:t xml:space="preserve">Az energiatárolási </w:t>
            </w:r>
            <w:r>
              <w:rPr>
                <w:noProof/>
              </w:rPr>
              <w:t>megoldások fejlesztését előmozdító tervezési, jogalkotási és szabályozási reformok hatálybalépése.</w:t>
            </w:r>
          </w:p>
        </w:tc>
      </w:tr>
      <w:tr w:rsidR="003E1D81" w14:paraId="102F31C0"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B1CCD" w14:textId="77777777" w:rsidR="003E1D81" w:rsidRDefault="00EB481C">
            <w:pPr>
              <w:pStyle w:val="P68B1DB1-Normal46"/>
              <w:spacing w:after="0" w:line="240" w:lineRule="auto"/>
              <w:jc w:val="center"/>
              <w:rPr>
                <w:rFonts w:eastAsia="Times New Roman" w:cs="Times New Roman"/>
                <w:noProof/>
              </w:rPr>
            </w:pPr>
            <w:r>
              <w:rPr>
                <w:noProof/>
              </w:rPr>
              <w:t>129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46CCF79" w14:textId="77777777" w:rsidR="003E1D81" w:rsidRDefault="00EB481C">
            <w:pPr>
              <w:pStyle w:val="P68B1DB1-Normal46"/>
              <w:spacing w:after="0" w:line="240" w:lineRule="auto"/>
              <w:jc w:val="center"/>
              <w:rPr>
                <w:rFonts w:eastAsia="Times New Roman" w:cs="Times New Roman"/>
                <w:noProof/>
              </w:rPr>
            </w:pPr>
            <w:r>
              <w:rPr>
                <w:noProof/>
              </w:rPr>
              <w:t>C9.R1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D60171E"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A63C2A5" w14:textId="77777777" w:rsidR="003E1D81" w:rsidRDefault="00EB481C">
            <w:pPr>
              <w:pStyle w:val="P68B1DB1-Normal46"/>
              <w:spacing w:after="0" w:line="240" w:lineRule="auto"/>
              <w:rPr>
                <w:rFonts w:eastAsia="Times New Roman" w:cs="Times New Roman"/>
                <w:noProof/>
              </w:rPr>
            </w:pPr>
            <w:r>
              <w:rPr>
                <w:noProof/>
              </w:rPr>
              <w:t xml:space="preserve">Hidrogén-ütemterv </w:t>
            </w:r>
          </w:p>
        </w:tc>
      </w:tr>
      <w:tr w:rsidR="003E1D81" w14:paraId="3AFE742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944540" w14:textId="77777777" w:rsidR="003E1D81" w:rsidRDefault="00EB481C">
            <w:pPr>
              <w:pStyle w:val="P68B1DB1-Normal46"/>
              <w:spacing w:after="0" w:line="240" w:lineRule="auto"/>
              <w:jc w:val="center"/>
              <w:rPr>
                <w:rFonts w:eastAsia="Times New Roman" w:cs="Times New Roman"/>
                <w:noProof/>
              </w:rPr>
            </w:pPr>
            <w:r>
              <w:rPr>
                <w:noProof/>
              </w:rPr>
              <w:t>137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C31926D" w14:textId="77777777" w:rsidR="003E1D81" w:rsidRDefault="00EB481C">
            <w:pPr>
              <w:pStyle w:val="P68B1DB1-Normal46"/>
              <w:spacing w:after="0" w:line="240" w:lineRule="auto"/>
              <w:jc w:val="center"/>
              <w:rPr>
                <w:rFonts w:eastAsia="Times New Roman" w:cs="Times New Roman"/>
                <w:noProof/>
              </w:rPr>
            </w:pPr>
            <w:r>
              <w:rPr>
                <w:noProof/>
              </w:rPr>
              <w:t>C10.R1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4CB21E9"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FE0B7F9" w14:textId="77777777" w:rsidR="003E1D81" w:rsidRDefault="00EB481C">
            <w:pPr>
              <w:pStyle w:val="P68B1DB1-Normal46"/>
              <w:spacing w:after="0" w:line="240" w:lineRule="auto"/>
              <w:rPr>
                <w:rFonts w:eastAsia="Times New Roman" w:cs="Times New Roman"/>
                <w:noProof/>
              </w:rPr>
            </w:pPr>
            <w:r>
              <w:rPr>
                <w:noProof/>
              </w:rPr>
              <w:t xml:space="preserve">A Méltányos Átállást Támogató Alap Intézetének létrehozása </w:t>
            </w:r>
          </w:p>
        </w:tc>
      </w:tr>
      <w:tr w:rsidR="003E1D81" w14:paraId="1C1B59BE"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BA7B1E" w14:textId="77777777" w:rsidR="003E1D81" w:rsidRDefault="00EB481C">
            <w:pPr>
              <w:pStyle w:val="P68B1DB1-Normal46"/>
              <w:spacing w:after="0" w:line="240" w:lineRule="auto"/>
              <w:jc w:val="center"/>
              <w:rPr>
                <w:rFonts w:eastAsia="Times New Roman" w:cs="Times New Roman"/>
                <w:noProof/>
              </w:rPr>
            </w:pPr>
            <w:r>
              <w:rPr>
                <w:noProof/>
              </w:rPr>
              <w:t>144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3121945" w14:textId="77777777" w:rsidR="003E1D81" w:rsidRDefault="00EB481C">
            <w:pPr>
              <w:pStyle w:val="P68B1DB1-Normal46"/>
              <w:spacing w:after="0" w:line="240" w:lineRule="auto"/>
              <w:jc w:val="center"/>
              <w:rPr>
                <w:rFonts w:eastAsia="Times New Roman" w:cs="Times New Roman"/>
                <w:noProof/>
              </w:rPr>
            </w:pPr>
            <w:r>
              <w:rPr>
                <w:noProof/>
              </w:rPr>
              <w:t>C11.R1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8605112"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212F3AF" w14:textId="77777777" w:rsidR="003E1D81" w:rsidRDefault="00EB481C">
            <w:pPr>
              <w:pStyle w:val="P68B1DB1-Normal46"/>
              <w:spacing w:after="0" w:line="240" w:lineRule="auto"/>
              <w:rPr>
                <w:rFonts w:eastAsia="Times New Roman" w:cs="Times New Roman"/>
                <w:noProof/>
              </w:rPr>
            </w:pPr>
            <w:r>
              <w:rPr>
                <w:noProof/>
              </w:rPr>
              <w:t xml:space="preserve">A közigazgatásban az ideiglenes </w:t>
            </w:r>
            <w:r>
              <w:rPr>
                <w:noProof/>
              </w:rPr>
              <w:t>foglalkoztatás csökkentését célzó jogalkotási aktus hatálybalépése</w:t>
            </w:r>
          </w:p>
        </w:tc>
      </w:tr>
      <w:tr w:rsidR="003E1D81" w14:paraId="4B8826FB"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4E8758" w14:textId="77777777" w:rsidR="003E1D81" w:rsidRDefault="00EB481C">
            <w:pPr>
              <w:pStyle w:val="P68B1DB1-Normal46"/>
              <w:spacing w:after="0" w:line="240" w:lineRule="auto"/>
              <w:jc w:val="center"/>
              <w:rPr>
                <w:rFonts w:eastAsia="Times New Roman" w:cs="Times New Roman"/>
                <w:noProof/>
              </w:rPr>
            </w:pPr>
            <w:r>
              <w:rPr>
                <w:noProof/>
              </w:rPr>
              <w:t>151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FAB1316" w14:textId="77777777" w:rsidR="003E1D81" w:rsidRDefault="00EB481C">
            <w:pPr>
              <w:pStyle w:val="P68B1DB1-Normal46"/>
              <w:spacing w:after="0" w:line="240" w:lineRule="auto"/>
              <w:jc w:val="center"/>
              <w:rPr>
                <w:rFonts w:eastAsia="Times New Roman" w:cs="Times New Roman"/>
                <w:noProof/>
              </w:rPr>
            </w:pPr>
            <w:r>
              <w:rPr>
                <w:noProof/>
              </w:rPr>
              <w:t>C11.R2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107FDD9"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AA232EA" w14:textId="77777777" w:rsidR="003E1D81" w:rsidRDefault="00EB481C">
            <w:pPr>
              <w:pStyle w:val="P68B1DB1-Normal46"/>
              <w:spacing w:after="0" w:line="240" w:lineRule="auto"/>
              <w:rPr>
                <w:rFonts w:eastAsia="Times New Roman" w:cs="Times New Roman"/>
                <w:noProof/>
              </w:rPr>
            </w:pPr>
            <w:r>
              <w:rPr>
                <w:noProof/>
              </w:rPr>
              <w:t>Az igazságügy területére vonatkozó eljárási és szervezeti intézkedésekről szóló 3/2020. sz. törvény hatálybalépése</w:t>
            </w:r>
          </w:p>
        </w:tc>
      </w:tr>
      <w:tr w:rsidR="003E1D81" w14:paraId="6ECFDD41"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4C3B35" w14:textId="77777777" w:rsidR="003E1D81" w:rsidRDefault="00EB481C">
            <w:pPr>
              <w:pStyle w:val="P68B1DB1-Normal46"/>
              <w:spacing w:after="0" w:line="240" w:lineRule="auto"/>
              <w:jc w:val="center"/>
              <w:rPr>
                <w:rFonts w:eastAsia="Times New Roman" w:cs="Times New Roman"/>
                <w:noProof/>
              </w:rPr>
            </w:pPr>
            <w:r>
              <w:rPr>
                <w:noProof/>
              </w:rPr>
              <w:t>153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48839CC" w14:textId="77777777" w:rsidR="003E1D81" w:rsidRDefault="00EB481C">
            <w:pPr>
              <w:pStyle w:val="P68B1DB1-Normal46"/>
              <w:spacing w:after="0" w:line="240" w:lineRule="auto"/>
              <w:jc w:val="center"/>
              <w:rPr>
                <w:rFonts w:eastAsia="Times New Roman" w:cs="Times New Roman"/>
                <w:noProof/>
              </w:rPr>
            </w:pPr>
            <w:r>
              <w:rPr>
                <w:noProof/>
              </w:rPr>
              <w:t>C11.R3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91DFCE9"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E7C3A28" w14:textId="77777777" w:rsidR="003E1D81" w:rsidRDefault="00EB481C">
            <w:pPr>
              <w:pStyle w:val="P68B1DB1-Normal46"/>
              <w:spacing w:after="0" w:line="240" w:lineRule="auto"/>
              <w:rPr>
                <w:rFonts w:eastAsia="Times New Roman" w:cs="Times New Roman"/>
                <w:noProof/>
              </w:rPr>
            </w:pPr>
            <w:r>
              <w:rPr>
                <w:noProof/>
              </w:rPr>
              <w:t>A Caja General de Depósitosról szóló 937/2020.</w:t>
            </w:r>
            <w:r>
              <w:rPr>
                <w:noProof/>
              </w:rPr>
              <w:t xml:space="preserve"> sz. királyi rendelet hatálybalépése</w:t>
            </w:r>
          </w:p>
        </w:tc>
      </w:tr>
      <w:tr w:rsidR="003E1D81" w14:paraId="14EC4688"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6806D1" w14:textId="77777777" w:rsidR="003E1D81" w:rsidRDefault="00EB481C">
            <w:pPr>
              <w:pStyle w:val="P68B1DB1-Normal46"/>
              <w:spacing w:after="0" w:line="240" w:lineRule="auto"/>
              <w:jc w:val="center"/>
              <w:rPr>
                <w:rFonts w:eastAsia="Times New Roman" w:cs="Times New Roman"/>
                <w:noProof/>
              </w:rPr>
            </w:pPr>
            <w:r>
              <w:rPr>
                <w:noProof/>
              </w:rPr>
              <w:t>154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CDA51AD" w14:textId="77777777" w:rsidR="003E1D81" w:rsidRDefault="00EB481C">
            <w:pPr>
              <w:pStyle w:val="P68B1DB1-Normal46"/>
              <w:spacing w:after="0" w:line="240" w:lineRule="auto"/>
              <w:jc w:val="center"/>
              <w:rPr>
                <w:rFonts w:eastAsia="Times New Roman" w:cs="Times New Roman"/>
                <w:noProof/>
              </w:rPr>
            </w:pPr>
            <w:r>
              <w:rPr>
                <w:noProof/>
              </w:rPr>
              <w:t>C11.R3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E7C13D7"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9120F94" w14:textId="77777777" w:rsidR="003E1D81" w:rsidRDefault="00EB481C">
            <w:pPr>
              <w:pStyle w:val="P68B1DB1-Normal46"/>
              <w:spacing w:after="0" w:line="240" w:lineRule="auto"/>
              <w:rPr>
                <w:rFonts w:eastAsia="Times New Roman" w:cs="Times New Roman"/>
                <w:noProof/>
              </w:rPr>
            </w:pPr>
            <w:r>
              <w:rPr>
                <w:noProof/>
              </w:rPr>
              <w:t>Az elszámolások ellenőrzéséről szóló, július 20-i 22/2015. sz. törvény végrehajtásáról szóló rendelet jóváhagyásáról szóló királyi rendelet hatálybalépése</w:t>
            </w:r>
          </w:p>
        </w:tc>
      </w:tr>
      <w:tr w:rsidR="003E1D81" w14:paraId="09108666"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5A97DD" w14:textId="77777777" w:rsidR="003E1D81" w:rsidRDefault="00EB481C">
            <w:pPr>
              <w:pStyle w:val="P68B1DB1-Normal46"/>
              <w:spacing w:after="0" w:line="240" w:lineRule="auto"/>
              <w:jc w:val="center"/>
              <w:rPr>
                <w:rFonts w:eastAsia="Times New Roman" w:cs="Times New Roman"/>
                <w:noProof/>
              </w:rPr>
            </w:pPr>
            <w:r>
              <w:rPr>
                <w:noProof/>
              </w:rPr>
              <w:t>157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980C58F" w14:textId="77777777" w:rsidR="003E1D81" w:rsidRDefault="00EB481C">
            <w:pPr>
              <w:pStyle w:val="P68B1DB1-Normal46"/>
              <w:spacing w:after="0" w:line="240" w:lineRule="auto"/>
              <w:jc w:val="center"/>
              <w:rPr>
                <w:rFonts w:eastAsia="Times New Roman" w:cs="Times New Roman"/>
                <w:noProof/>
              </w:rPr>
            </w:pPr>
            <w:r>
              <w:rPr>
                <w:noProof/>
              </w:rPr>
              <w:t>C11.R5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C27FBB4"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4F012DE" w14:textId="77777777" w:rsidR="003E1D81" w:rsidRDefault="00EB481C">
            <w:pPr>
              <w:pStyle w:val="P68B1DB1-Normal46"/>
              <w:spacing w:after="0" w:line="240" w:lineRule="auto"/>
              <w:rPr>
                <w:rFonts w:eastAsia="Times New Roman" w:cs="Times New Roman"/>
                <w:noProof/>
              </w:rPr>
            </w:pPr>
            <w:r>
              <w:rPr>
                <w:noProof/>
              </w:rPr>
              <w:t xml:space="preserve">A helyreállítási, átalakítási és </w:t>
            </w:r>
            <w:r>
              <w:rPr>
                <w:noProof/>
              </w:rPr>
              <w:t>rezilienciaépítési terv végrehajtásáról szóló 36/2020. sz. királyi törvényerejű rendelet hatálybalépése</w:t>
            </w:r>
          </w:p>
        </w:tc>
      </w:tr>
      <w:tr w:rsidR="003E1D81" w14:paraId="11B8D24D"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00AFED" w14:textId="77777777" w:rsidR="003E1D81" w:rsidRDefault="00EB481C">
            <w:pPr>
              <w:pStyle w:val="P68B1DB1-Normal46"/>
              <w:spacing w:after="0" w:line="240" w:lineRule="auto"/>
              <w:jc w:val="center"/>
              <w:rPr>
                <w:rFonts w:eastAsia="Times New Roman" w:cs="Times New Roman"/>
                <w:noProof/>
              </w:rPr>
            </w:pPr>
            <w:r>
              <w:rPr>
                <w:noProof/>
              </w:rPr>
              <w:t>158</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769EBC4" w14:textId="77777777" w:rsidR="003E1D81" w:rsidRDefault="00EB481C">
            <w:pPr>
              <w:pStyle w:val="P68B1DB1-Normal46"/>
              <w:spacing w:after="0" w:line="240" w:lineRule="auto"/>
              <w:jc w:val="center"/>
              <w:rPr>
                <w:rFonts w:eastAsia="Times New Roman" w:cs="Times New Roman"/>
                <w:noProof/>
              </w:rPr>
            </w:pPr>
            <w:r>
              <w:rPr>
                <w:noProof/>
              </w:rPr>
              <w:t>C11.R5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586A1C8"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78F95EDA" w14:textId="77777777" w:rsidR="003E1D81" w:rsidRDefault="00EB481C">
            <w:pPr>
              <w:pStyle w:val="P68B1DB1-Normal46"/>
              <w:spacing w:after="0" w:line="240" w:lineRule="auto"/>
              <w:rPr>
                <w:rFonts w:eastAsia="Times New Roman" w:cs="Times New Roman"/>
                <w:noProof/>
              </w:rPr>
            </w:pPr>
            <w:r>
              <w:rPr>
                <w:noProof/>
              </w:rPr>
              <w:t>Új szervek létrehozása a központi kormányzaton belül a terv végrehajtásának, ellenőrzésének és ellenőrzésének nyomon követésére.</w:t>
            </w:r>
          </w:p>
        </w:tc>
      </w:tr>
      <w:tr w:rsidR="003E1D81" w14:paraId="3139CDE1" w14:textId="77777777">
        <w:trPr>
          <w:gridAfter w:val="1"/>
          <w:wAfter w:w="13" w:type="dxa"/>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C51AE2" w14:textId="77777777" w:rsidR="003E1D81" w:rsidRDefault="00EB481C">
            <w:pPr>
              <w:pStyle w:val="P68B1DB1-Normal46"/>
              <w:spacing w:after="0" w:line="240" w:lineRule="auto"/>
              <w:jc w:val="center"/>
              <w:rPr>
                <w:rFonts w:eastAsia="Times New Roman" w:cs="Times New Roman"/>
                <w:noProof/>
              </w:rPr>
            </w:pPr>
            <w:r>
              <w:rPr>
                <w:noProof/>
              </w:rPr>
              <w:t>159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8A4FDCE" w14:textId="77777777" w:rsidR="003E1D81" w:rsidRDefault="00EB481C">
            <w:pPr>
              <w:pStyle w:val="P68B1DB1-Normal46"/>
              <w:spacing w:after="0" w:line="240" w:lineRule="auto"/>
              <w:jc w:val="center"/>
              <w:rPr>
                <w:rFonts w:eastAsia="Times New Roman" w:cs="Times New Roman"/>
                <w:noProof/>
              </w:rPr>
            </w:pPr>
            <w:r>
              <w:rPr>
                <w:noProof/>
              </w:rPr>
              <w:t>C11.R5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CA9C066" w14:textId="77777777" w:rsidR="003E1D81" w:rsidRDefault="00EB481C">
            <w:pPr>
              <w:pStyle w:val="P68B1DB1-Normal46"/>
              <w:spacing w:after="0" w:line="240" w:lineRule="auto"/>
              <w:jc w:val="center"/>
              <w:rPr>
                <w:rFonts w:eastAsia="Times New Roman" w:cs="Times New Roman"/>
                <w:noProof/>
              </w:rPr>
            </w:pPr>
            <w:r>
              <w:rPr>
                <w:noProof/>
              </w:rPr>
              <w:t>M</w:t>
            </w:r>
          </w:p>
        </w:tc>
        <w:tc>
          <w:tcPr>
            <w:tcW w:w="6096" w:type="dxa"/>
            <w:tcBorders>
              <w:top w:val="single" w:sz="4" w:space="0" w:color="auto"/>
              <w:left w:val="nil"/>
              <w:bottom w:val="single" w:sz="4" w:space="0" w:color="auto"/>
              <w:right w:val="single" w:sz="4" w:space="0" w:color="auto"/>
            </w:tcBorders>
            <w:shd w:val="clear" w:color="auto" w:fill="C6EFCE"/>
            <w:noWrap/>
            <w:vAlign w:val="bottom"/>
          </w:tcPr>
          <w:p w14:paraId="3746C67F" w14:textId="77777777" w:rsidR="003E1D81" w:rsidRDefault="00EB481C">
            <w:pPr>
              <w:pStyle w:val="P68B1DB1-Normal46"/>
              <w:spacing w:after="0" w:line="240" w:lineRule="auto"/>
              <w:rPr>
                <w:rFonts w:eastAsia="Times New Roman" w:cs="Times New Roman"/>
                <w:noProof/>
              </w:rPr>
            </w:pPr>
            <w:r>
              <w:rPr>
                <w:noProof/>
              </w:rPr>
              <w:t>A helyreállítási és rezilienciaépítési terv nyomon követése és a kiadások számviteli végrehajtásának nyomon követése céljából megosztandó információk formátumát és eljárásait meghatározó sorrend</w:t>
            </w:r>
          </w:p>
        </w:tc>
      </w:tr>
      <w:tr w:rsidR="003E1D81" w14:paraId="4F59C612" w14:textId="77777777">
        <w:trPr>
          <w:gridAfter w:val="1"/>
          <w:wAfter w:w="13" w:type="dxa"/>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9BFF1E" w14:textId="77777777" w:rsidR="003E1D81" w:rsidRDefault="00EB481C">
            <w:pPr>
              <w:pStyle w:val="P68B1DB1-Normal46"/>
              <w:spacing w:after="0" w:line="240" w:lineRule="auto"/>
              <w:jc w:val="center"/>
              <w:rPr>
                <w:rFonts w:eastAsia="Times New Roman" w:cs="Times New Roman"/>
                <w:noProof/>
              </w:rPr>
            </w:pPr>
            <w:r>
              <w:rPr>
                <w:noProof/>
              </w:rPr>
              <w:t>173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896D53A" w14:textId="77777777" w:rsidR="003E1D81" w:rsidRDefault="00EB481C">
            <w:pPr>
              <w:pStyle w:val="P68B1DB1-Normal46"/>
              <w:spacing w:after="0" w:line="240" w:lineRule="auto"/>
              <w:jc w:val="center"/>
              <w:rPr>
                <w:rFonts w:eastAsia="Times New Roman" w:cs="Times New Roman"/>
                <w:noProof/>
              </w:rPr>
            </w:pPr>
            <w:r>
              <w:rPr>
                <w:noProof/>
              </w:rPr>
              <w:t>C11.I5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D7ED5CE" w14:textId="77777777" w:rsidR="003E1D81" w:rsidRDefault="00EB481C">
            <w:pPr>
              <w:pStyle w:val="P68B1DB1-Normal46"/>
              <w:spacing w:after="0" w:line="240" w:lineRule="auto"/>
              <w:jc w:val="center"/>
              <w:rPr>
                <w:rFonts w:eastAsia="Times New Roman" w:cs="Times New Roman"/>
                <w:noProof/>
              </w:rPr>
            </w:pPr>
            <w:r>
              <w:rPr>
                <w:noProof/>
              </w:rPr>
              <w:t>M</w:t>
            </w:r>
          </w:p>
        </w:tc>
        <w:tc>
          <w:tcPr>
            <w:tcW w:w="6096" w:type="dxa"/>
            <w:tcBorders>
              <w:top w:val="single" w:sz="4" w:space="0" w:color="auto"/>
              <w:left w:val="nil"/>
              <w:bottom w:val="single" w:sz="4" w:space="0" w:color="auto"/>
              <w:right w:val="single" w:sz="4" w:space="0" w:color="auto"/>
            </w:tcBorders>
            <w:shd w:val="clear" w:color="auto" w:fill="C6EFCE"/>
            <w:noWrap/>
            <w:vAlign w:val="bottom"/>
          </w:tcPr>
          <w:p w14:paraId="45DD2178" w14:textId="77777777" w:rsidR="003E1D81" w:rsidRDefault="00EB481C">
            <w:pPr>
              <w:pStyle w:val="P68B1DB1-Normal46"/>
              <w:spacing w:after="0" w:line="240" w:lineRule="auto"/>
              <w:rPr>
                <w:rFonts w:eastAsia="Times New Roman" w:cs="Times New Roman"/>
                <w:noProof/>
              </w:rPr>
            </w:pPr>
            <w:r>
              <w:rPr>
                <w:noProof/>
              </w:rPr>
              <w:t>A Helyreállítási és Rezilienciaépítési</w:t>
            </w:r>
            <w:r>
              <w:rPr>
                <w:noProof/>
              </w:rPr>
              <w:t xml:space="preserve"> Eszköz integrált információs rendszere</w:t>
            </w:r>
          </w:p>
        </w:tc>
      </w:tr>
      <w:tr w:rsidR="003E1D81" w14:paraId="00898677"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68863F" w14:textId="77777777" w:rsidR="003E1D81" w:rsidRDefault="00EB481C">
            <w:pPr>
              <w:pStyle w:val="P68B1DB1-Normal46"/>
              <w:spacing w:after="0" w:line="240" w:lineRule="auto"/>
              <w:jc w:val="center"/>
              <w:rPr>
                <w:rFonts w:eastAsia="Times New Roman" w:cs="Times New Roman"/>
                <w:noProof/>
              </w:rPr>
            </w:pPr>
            <w:r>
              <w:rPr>
                <w:noProof/>
              </w:rPr>
              <w:t>177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6F31A85" w14:textId="77777777" w:rsidR="003E1D81" w:rsidRDefault="00EB481C">
            <w:pPr>
              <w:pStyle w:val="P68B1DB1-Normal46"/>
              <w:spacing w:after="0" w:line="240" w:lineRule="auto"/>
              <w:jc w:val="center"/>
              <w:rPr>
                <w:rFonts w:eastAsia="Times New Roman" w:cs="Times New Roman"/>
                <w:noProof/>
              </w:rPr>
            </w:pPr>
            <w:r>
              <w:rPr>
                <w:noProof/>
              </w:rPr>
              <w:t>C12.R2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74D2F12"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7137558" w14:textId="77777777" w:rsidR="003E1D81" w:rsidRDefault="00EB481C">
            <w:pPr>
              <w:pStyle w:val="P68B1DB1-Normal46"/>
              <w:spacing w:after="0" w:line="240" w:lineRule="auto"/>
              <w:rPr>
                <w:rFonts w:eastAsia="Times New Roman" w:cs="Times New Roman"/>
                <w:noProof/>
              </w:rPr>
            </w:pPr>
            <w:r>
              <w:rPr>
                <w:noProof/>
              </w:rPr>
              <w:t>A körforgásos gazdaságra vonatkozó spanyol stratégia</w:t>
            </w:r>
          </w:p>
        </w:tc>
      </w:tr>
      <w:tr w:rsidR="003E1D81" w14:paraId="47407B36"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F8405F" w14:textId="77777777" w:rsidR="003E1D81" w:rsidRDefault="00EB481C">
            <w:pPr>
              <w:pStyle w:val="P68B1DB1-Normal46"/>
              <w:spacing w:after="0" w:line="240" w:lineRule="auto"/>
              <w:jc w:val="center"/>
              <w:rPr>
                <w:rFonts w:eastAsia="Times New Roman" w:cs="Times New Roman"/>
                <w:noProof/>
              </w:rPr>
            </w:pPr>
            <w:r>
              <w:rPr>
                <w:noProof/>
              </w:rPr>
              <w:t>181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CCA5EBE" w14:textId="77777777" w:rsidR="003E1D81" w:rsidRDefault="00EB481C">
            <w:pPr>
              <w:pStyle w:val="P68B1DB1-Normal46"/>
              <w:spacing w:after="0" w:line="240" w:lineRule="auto"/>
              <w:jc w:val="center"/>
              <w:rPr>
                <w:rFonts w:eastAsia="Times New Roman" w:cs="Times New Roman"/>
                <w:noProof/>
              </w:rPr>
            </w:pPr>
            <w:r>
              <w:rPr>
                <w:noProof/>
              </w:rPr>
              <w:t>C12.I2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AA18959"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21EEB95" w14:textId="77777777" w:rsidR="003E1D81" w:rsidRDefault="00EB481C">
            <w:pPr>
              <w:pStyle w:val="P68B1DB1-Normal46"/>
              <w:spacing w:after="0" w:line="240" w:lineRule="auto"/>
              <w:rPr>
                <w:rFonts w:eastAsia="Times New Roman" w:cs="Times New Roman"/>
                <w:noProof/>
              </w:rPr>
            </w:pPr>
            <w:r>
              <w:rPr>
                <w:noProof/>
              </w:rPr>
              <w:t>Terv a gépjárműipar értékláncának fellendítésére a fenntartható és összekapcsolt mobilitás felé</w:t>
            </w:r>
          </w:p>
        </w:tc>
      </w:tr>
      <w:tr w:rsidR="003E1D81" w14:paraId="7D88A5EB"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C3966B" w14:textId="77777777" w:rsidR="003E1D81" w:rsidRDefault="00EB481C">
            <w:pPr>
              <w:pStyle w:val="P68B1DB1-Normal46"/>
              <w:spacing w:after="0" w:line="240" w:lineRule="auto"/>
              <w:jc w:val="center"/>
              <w:rPr>
                <w:rFonts w:eastAsia="Times New Roman" w:cs="Times New Roman"/>
                <w:noProof/>
              </w:rPr>
            </w:pPr>
            <w:r>
              <w:rPr>
                <w:noProof/>
              </w:rPr>
              <w:t>199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5D6E4B81" w14:textId="77777777" w:rsidR="003E1D81" w:rsidRDefault="00EB481C">
            <w:pPr>
              <w:pStyle w:val="P68B1DB1-Normal46"/>
              <w:spacing w:after="0" w:line="240" w:lineRule="auto"/>
              <w:jc w:val="center"/>
              <w:rPr>
                <w:rFonts w:eastAsia="Times New Roman" w:cs="Times New Roman"/>
                <w:noProof/>
              </w:rPr>
            </w:pPr>
            <w:r>
              <w:rPr>
                <w:noProof/>
              </w:rPr>
              <w:t>C13.I3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B537C63"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7CD7CAB6" w14:textId="77777777" w:rsidR="003E1D81" w:rsidRDefault="00EB481C">
            <w:pPr>
              <w:pStyle w:val="P68B1DB1-Normal46"/>
              <w:spacing w:after="0" w:line="240" w:lineRule="auto"/>
              <w:rPr>
                <w:rFonts w:eastAsia="Times New Roman" w:cs="Times New Roman"/>
                <w:noProof/>
              </w:rPr>
            </w:pPr>
            <w:r>
              <w:rPr>
                <w:noProof/>
              </w:rPr>
              <w:t>A kkv-k digitalizációjára</w:t>
            </w:r>
            <w:r>
              <w:rPr>
                <w:noProof/>
              </w:rPr>
              <w:t xml:space="preserve"> vonatkozó terv (2021–2025)</w:t>
            </w:r>
          </w:p>
        </w:tc>
      </w:tr>
      <w:tr w:rsidR="003E1D81" w14:paraId="15A33561"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5227AC" w14:textId="77777777" w:rsidR="003E1D81" w:rsidRDefault="00EB481C">
            <w:pPr>
              <w:pStyle w:val="P68B1DB1-Normal46"/>
              <w:spacing w:after="0" w:line="240" w:lineRule="auto"/>
              <w:jc w:val="center"/>
              <w:rPr>
                <w:rFonts w:eastAsia="Times New Roman" w:cs="Times New Roman"/>
                <w:noProof/>
              </w:rPr>
            </w:pPr>
            <w:r>
              <w:rPr>
                <w:noProof/>
              </w:rPr>
              <w:t>214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0C8E2B4" w14:textId="77777777" w:rsidR="003E1D81" w:rsidRDefault="00EB481C">
            <w:pPr>
              <w:pStyle w:val="P68B1DB1-Normal46"/>
              <w:spacing w:after="0" w:line="240" w:lineRule="auto"/>
              <w:jc w:val="center"/>
              <w:rPr>
                <w:rFonts w:eastAsia="Times New Roman" w:cs="Times New Roman"/>
                <w:noProof/>
              </w:rPr>
            </w:pPr>
            <w:r>
              <w:rPr>
                <w:noProof/>
              </w:rPr>
              <w:t>C14.R1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5ADD88D"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95965CD" w14:textId="77777777" w:rsidR="003E1D81" w:rsidRDefault="00EB481C">
            <w:pPr>
              <w:pStyle w:val="P68B1DB1-Normal46"/>
              <w:spacing w:after="0" w:line="240" w:lineRule="auto"/>
              <w:rPr>
                <w:rFonts w:eastAsia="Times New Roman" w:cs="Times New Roman"/>
                <w:noProof/>
              </w:rPr>
            </w:pPr>
            <w:r>
              <w:rPr>
                <w:noProof/>
              </w:rPr>
              <w:t>Terv az idegenforgalmi ágazat előmozdítására</w:t>
            </w:r>
          </w:p>
        </w:tc>
      </w:tr>
      <w:tr w:rsidR="003E1D81" w14:paraId="41036978"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37DCA" w14:textId="77777777" w:rsidR="003E1D81" w:rsidRDefault="00EB481C">
            <w:pPr>
              <w:pStyle w:val="P68B1DB1-Normal46"/>
              <w:spacing w:after="0" w:line="240" w:lineRule="auto"/>
              <w:jc w:val="center"/>
              <w:rPr>
                <w:rFonts w:eastAsia="Times New Roman" w:cs="Times New Roman"/>
                <w:noProof/>
              </w:rPr>
            </w:pPr>
            <w:r>
              <w:rPr>
                <w:noProof/>
              </w:rPr>
              <w:t>215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53D8707" w14:textId="77777777" w:rsidR="003E1D81" w:rsidRDefault="00EB481C">
            <w:pPr>
              <w:pStyle w:val="P68B1DB1-Normal46"/>
              <w:spacing w:after="0" w:line="240" w:lineRule="auto"/>
              <w:jc w:val="center"/>
              <w:rPr>
                <w:rFonts w:eastAsia="Times New Roman" w:cs="Times New Roman"/>
                <w:noProof/>
              </w:rPr>
            </w:pPr>
            <w:r>
              <w:rPr>
                <w:noProof/>
              </w:rPr>
              <w:t>C14.R1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471C673"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BD6F861" w14:textId="77777777" w:rsidR="003E1D81" w:rsidRDefault="00EB481C">
            <w:pPr>
              <w:pStyle w:val="P68B1DB1-Normal46"/>
              <w:spacing w:after="0" w:line="240" w:lineRule="auto"/>
              <w:rPr>
                <w:rFonts w:eastAsia="Times New Roman" w:cs="Times New Roman"/>
                <w:noProof/>
              </w:rPr>
            </w:pPr>
            <w:r>
              <w:rPr>
                <w:noProof/>
              </w:rPr>
              <w:t>A turizmussal kapcsolatos adatokat gyűjtő „DATAESTUR” weboldal elindítása</w:t>
            </w:r>
          </w:p>
        </w:tc>
      </w:tr>
      <w:tr w:rsidR="003E1D81" w14:paraId="61B30B60"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F1FE54" w14:textId="77777777" w:rsidR="003E1D81" w:rsidRDefault="00EB481C">
            <w:pPr>
              <w:pStyle w:val="P68B1DB1-Normal46"/>
              <w:spacing w:after="0" w:line="240" w:lineRule="auto"/>
              <w:jc w:val="center"/>
              <w:rPr>
                <w:rFonts w:eastAsia="Times New Roman" w:cs="Times New Roman"/>
                <w:noProof/>
              </w:rPr>
            </w:pPr>
            <w:r>
              <w:rPr>
                <w:noProof/>
              </w:rPr>
              <w:t>230</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0B6BF45" w14:textId="77777777" w:rsidR="003E1D81" w:rsidRDefault="00EB481C">
            <w:pPr>
              <w:pStyle w:val="P68B1DB1-Normal46"/>
              <w:spacing w:after="0" w:line="240" w:lineRule="auto"/>
              <w:jc w:val="center"/>
              <w:rPr>
                <w:rFonts w:eastAsia="Times New Roman" w:cs="Times New Roman"/>
                <w:noProof/>
              </w:rPr>
            </w:pPr>
            <w:r>
              <w:rPr>
                <w:noProof/>
              </w:rPr>
              <w:t>C15.R2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DD4A358"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18B2263" w14:textId="77777777" w:rsidR="003E1D81" w:rsidRDefault="00EB481C">
            <w:pPr>
              <w:pStyle w:val="P68B1DB1-Normal46"/>
              <w:spacing w:after="0" w:line="240" w:lineRule="auto"/>
              <w:rPr>
                <w:rFonts w:eastAsia="Times New Roman" w:cs="Times New Roman"/>
                <w:noProof/>
              </w:rPr>
            </w:pPr>
            <w:r>
              <w:rPr>
                <w:noProof/>
              </w:rPr>
              <w:t xml:space="preserve">Digitális Spanyolország terve és stratégiája az 5G technológia </w:t>
            </w:r>
            <w:r>
              <w:rPr>
                <w:noProof/>
              </w:rPr>
              <w:t>előmozdítására</w:t>
            </w:r>
          </w:p>
        </w:tc>
      </w:tr>
      <w:tr w:rsidR="003E1D81" w14:paraId="33B6CDC0"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C852CB" w14:textId="77777777" w:rsidR="003E1D81" w:rsidRDefault="00EB481C">
            <w:pPr>
              <w:pStyle w:val="P68B1DB1-Normal46"/>
              <w:spacing w:after="0" w:line="240" w:lineRule="auto"/>
              <w:jc w:val="center"/>
              <w:rPr>
                <w:rFonts w:eastAsia="Times New Roman" w:cs="Times New Roman"/>
                <w:noProof/>
              </w:rPr>
            </w:pPr>
            <w:r>
              <w:rPr>
                <w:noProof/>
              </w:rPr>
              <w:t>231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C1D0553" w14:textId="77777777" w:rsidR="003E1D81" w:rsidRDefault="00EB481C">
            <w:pPr>
              <w:pStyle w:val="P68B1DB1-Normal46"/>
              <w:spacing w:after="0" w:line="240" w:lineRule="auto"/>
              <w:jc w:val="center"/>
              <w:rPr>
                <w:rFonts w:eastAsia="Times New Roman" w:cs="Times New Roman"/>
                <w:noProof/>
              </w:rPr>
            </w:pPr>
            <w:r>
              <w:rPr>
                <w:noProof/>
              </w:rPr>
              <w:t>C15.R2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061F0E2"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862DCA0" w14:textId="77777777" w:rsidR="003E1D81" w:rsidRDefault="00EB481C">
            <w:pPr>
              <w:pStyle w:val="P68B1DB1-Normal46"/>
              <w:spacing w:after="0" w:line="240" w:lineRule="auto"/>
              <w:rPr>
                <w:rFonts w:eastAsia="Times New Roman" w:cs="Times New Roman"/>
                <w:noProof/>
              </w:rPr>
            </w:pPr>
            <w:r>
              <w:rPr>
                <w:noProof/>
              </w:rPr>
              <w:t>A 700 MHz-es frekvenciasáv felszabadítása</w:t>
            </w:r>
          </w:p>
        </w:tc>
      </w:tr>
      <w:tr w:rsidR="003E1D81" w14:paraId="2CE72776"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0209C" w14:textId="77777777" w:rsidR="003E1D81" w:rsidRDefault="00EB481C">
            <w:pPr>
              <w:pStyle w:val="P68B1DB1-Normal46"/>
              <w:spacing w:after="0" w:line="240" w:lineRule="auto"/>
              <w:jc w:val="center"/>
              <w:rPr>
                <w:rFonts w:eastAsia="Times New Roman" w:cs="Times New Roman"/>
                <w:noProof/>
              </w:rPr>
            </w:pPr>
            <w:r>
              <w:rPr>
                <w:noProof/>
              </w:rPr>
              <w:t>249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AEFBCB1" w14:textId="77777777" w:rsidR="003E1D81" w:rsidRDefault="00EB481C">
            <w:pPr>
              <w:pStyle w:val="P68B1DB1-Normal46"/>
              <w:spacing w:after="0" w:line="240" w:lineRule="auto"/>
              <w:jc w:val="center"/>
              <w:rPr>
                <w:rFonts w:eastAsia="Times New Roman" w:cs="Times New Roman"/>
                <w:noProof/>
              </w:rPr>
            </w:pPr>
            <w:r>
              <w:rPr>
                <w:noProof/>
              </w:rPr>
              <w:t>C16.R1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A2698BC"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5BE343F" w14:textId="77777777" w:rsidR="003E1D81" w:rsidRDefault="00EB481C">
            <w:pPr>
              <w:pStyle w:val="P68B1DB1-Normal46"/>
              <w:spacing w:after="0" w:line="240" w:lineRule="auto"/>
              <w:rPr>
                <w:rFonts w:eastAsia="Times New Roman" w:cs="Times New Roman"/>
                <w:noProof/>
              </w:rPr>
            </w:pPr>
            <w:r>
              <w:rPr>
                <w:noProof/>
              </w:rPr>
              <w:t xml:space="preserve">A mesterséges intelligenciára vonatkozó nemzeti stratégia </w:t>
            </w:r>
          </w:p>
        </w:tc>
      </w:tr>
      <w:tr w:rsidR="003E1D81" w14:paraId="4362552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193CA" w14:textId="77777777" w:rsidR="003E1D81" w:rsidRDefault="00EB481C">
            <w:pPr>
              <w:pStyle w:val="P68B1DB1-Normal46"/>
              <w:spacing w:after="0" w:line="240" w:lineRule="auto"/>
              <w:jc w:val="center"/>
              <w:rPr>
                <w:rFonts w:eastAsia="Times New Roman" w:cs="Times New Roman"/>
                <w:noProof/>
              </w:rPr>
            </w:pPr>
            <w:r>
              <w:rPr>
                <w:noProof/>
              </w:rPr>
              <w:t>255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AEF6F84" w14:textId="77777777" w:rsidR="003E1D81" w:rsidRDefault="00EB481C">
            <w:pPr>
              <w:pStyle w:val="P68B1DB1-Normal46"/>
              <w:spacing w:after="0" w:line="240" w:lineRule="auto"/>
              <w:jc w:val="center"/>
              <w:rPr>
                <w:rFonts w:eastAsia="Times New Roman" w:cs="Times New Roman"/>
                <w:noProof/>
              </w:rPr>
            </w:pPr>
            <w:r>
              <w:rPr>
                <w:noProof/>
              </w:rPr>
              <w:t>C17.R2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E961190"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E2CAFD4" w14:textId="77777777" w:rsidR="003E1D81" w:rsidRDefault="00EB481C">
            <w:pPr>
              <w:pStyle w:val="P68B1DB1-Normal46"/>
              <w:spacing w:after="0" w:line="240" w:lineRule="auto"/>
              <w:rPr>
                <w:rFonts w:eastAsia="Times New Roman" w:cs="Times New Roman"/>
                <w:noProof/>
              </w:rPr>
            </w:pPr>
            <w:r>
              <w:rPr>
                <w:noProof/>
              </w:rPr>
              <w:t xml:space="preserve">A 2021–2027-es időszakra vonatkozó spanyol tudományos, technológiai és innovációs stratégia </w:t>
            </w:r>
            <w:r>
              <w:rPr>
                <w:noProof/>
              </w:rPr>
              <w:t>közzététele</w:t>
            </w:r>
          </w:p>
        </w:tc>
      </w:tr>
      <w:tr w:rsidR="003E1D81" w14:paraId="1B21B86D"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695378" w14:textId="77777777" w:rsidR="003E1D81" w:rsidRDefault="00EB481C">
            <w:pPr>
              <w:pStyle w:val="P68B1DB1-Normal46"/>
              <w:spacing w:after="0" w:line="240" w:lineRule="auto"/>
              <w:jc w:val="center"/>
              <w:rPr>
                <w:rFonts w:eastAsia="Times New Roman" w:cs="Times New Roman"/>
                <w:noProof/>
              </w:rPr>
            </w:pPr>
            <w:r>
              <w:rPr>
                <w:noProof/>
              </w:rPr>
              <w:t>257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9B3F312" w14:textId="77777777" w:rsidR="003E1D81" w:rsidRDefault="00EB481C">
            <w:pPr>
              <w:pStyle w:val="P68B1DB1-Normal46"/>
              <w:spacing w:after="0" w:line="240" w:lineRule="auto"/>
              <w:jc w:val="center"/>
              <w:rPr>
                <w:rFonts w:eastAsia="Times New Roman" w:cs="Times New Roman"/>
                <w:noProof/>
              </w:rPr>
            </w:pPr>
            <w:r>
              <w:rPr>
                <w:noProof/>
              </w:rPr>
              <w:t>C17.R3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80B02A"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EF2FEB2" w14:textId="77777777" w:rsidR="003E1D81" w:rsidRDefault="00EB481C">
            <w:pPr>
              <w:pStyle w:val="P68B1DB1-Normal46"/>
              <w:spacing w:after="0" w:line="240" w:lineRule="auto"/>
              <w:rPr>
                <w:rFonts w:eastAsia="Times New Roman" w:cs="Times New Roman"/>
                <w:noProof/>
              </w:rPr>
            </w:pPr>
            <w:r>
              <w:rPr>
                <w:noProof/>
              </w:rPr>
              <w:t xml:space="preserve">Az állami kutatási szervezetek átszervezéséről szóló királyi rendelet hatálybalépése. </w:t>
            </w:r>
          </w:p>
        </w:tc>
      </w:tr>
      <w:tr w:rsidR="003E1D81" w14:paraId="31BB636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ACE531" w14:textId="77777777" w:rsidR="003E1D81" w:rsidRDefault="00EB481C">
            <w:pPr>
              <w:pStyle w:val="P68B1DB1-Normal46"/>
              <w:spacing w:after="0" w:line="240" w:lineRule="auto"/>
              <w:jc w:val="center"/>
              <w:rPr>
                <w:rFonts w:eastAsia="Times New Roman" w:cs="Times New Roman"/>
                <w:noProof/>
              </w:rPr>
            </w:pPr>
            <w:r>
              <w:rPr>
                <w:noProof/>
              </w:rPr>
              <w:t>285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EE18076" w14:textId="77777777" w:rsidR="003E1D81" w:rsidRDefault="00EB481C">
            <w:pPr>
              <w:pStyle w:val="P68B1DB1-Normal46"/>
              <w:spacing w:after="0" w:line="240" w:lineRule="auto"/>
              <w:jc w:val="center"/>
              <w:rPr>
                <w:rFonts w:eastAsia="Times New Roman" w:cs="Times New Roman"/>
                <w:noProof/>
              </w:rPr>
            </w:pPr>
            <w:r>
              <w:rPr>
                <w:noProof/>
              </w:rPr>
              <w:t>C19.R1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C0A0BDA"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87593FE" w14:textId="77777777" w:rsidR="003E1D81" w:rsidRDefault="00EB481C">
            <w:pPr>
              <w:pStyle w:val="P68B1DB1-Normal46"/>
              <w:spacing w:after="0" w:line="240" w:lineRule="auto"/>
              <w:rPr>
                <w:rFonts w:eastAsia="Times New Roman" w:cs="Times New Roman"/>
                <w:noProof/>
              </w:rPr>
            </w:pPr>
            <w:r>
              <w:rPr>
                <w:noProof/>
              </w:rPr>
              <w:t>A nemzeti digitális kompetenciaterv Miniszterek Tanácsa általi jóváhagyása</w:t>
            </w:r>
          </w:p>
        </w:tc>
      </w:tr>
      <w:tr w:rsidR="003E1D81" w14:paraId="65CB87EA"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E0F7A6" w14:textId="77777777" w:rsidR="003E1D81" w:rsidRDefault="00EB481C">
            <w:pPr>
              <w:pStyle w:val="P68B1DB1-Normal46"/>
              <w:spacing w:after="0" w:line="240" w:lineRule="auto"/>
              <w:jc w:val="center"/>
              <w:rPr>
                <w:rFonts w:eastAsia="Times New Roman" w:cs="Times New Roman"/>
                <w:noProof/>
              </w:rPr>
            </w:pPr>
            <w:r>
              <w:rPr>
                <w:noProof/>
              </w:rPr>
              <w:t>295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5D8992F7" w14:textId="77777777" w:rsidR="003E1D81" w:rsidRDefault="00EB481C">
            <w:pPr>
              <w:pStyle w:val="P68B1DB1-Normal46"/>
              <w:spacing w:after="0" w:line="240" w:lineRule="auto"/>
              <w:jc w:val="center"/>
              <w:rPr>
                <w:rFonts w:eastAsia="Times New Roman" w:cs="Times New Roman"/>
                <w:noProof/>
              </w:rPr>
            </w:pPr>
            <w:r>
              <w:rPr>
                <w:noProof/>
              </w:rPr>
              <w:t>C20.R1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1D7EAB8"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3545847" w14:textId="77777777" w:rsidR="003E1D81" w:rsidRDefault="00EB481C">
            <w:pPr>
              <w:pStyle w:val="P68B1DB1-Normal46"/>
              <w:spacing w:after="0" w:line="240" w:lineRule="auto"/>
              <w:rPr>
                <w:rFonts w:eastAsia="Times New Roman" w:cs="Times New Roman"/>
                <w:noProof/>
              </w:rPr>
            </w:pPr>
            <w:r>
              <w:rPr>
                <w:noProof/>
              </w:rPr>
              <w:t xml:space="preserve">A szakképzés korszerűsítésének terve és </w:t>
            </w:r>
            <w:r>
              <w:rPr>
                <w:noProof/>
              </w:rPr>
              <w:t>a kapcsolódó királyi törvényerejű rendeletek</w:t>
            </w:r>
          </w:p>
        </w:tc>
      </w:tr>
      <w:tr w:rsidR="003E1D81" w14:paraId="0F90DF70"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A10F8" w14:textId="77777777" w:rsidR="003E1D81" w:rsidRDefault="00EB481C">
            <w:pPr>
              <w:pStyle w:val="P68B1DB1-Normal46"/>
              <w:spacing w:after="0" w:line="240" w:lineRule="auto"/>
              <w:jc w:val="center"/>
              <w:rPr>
                <w:rFonts w:eastAsia="Times New Roman" w:cs="Times New Roman"/>
                <w:noProof/>
              </w:rPr>
            </w:pPr>
            <w:r>
              <w:rPr>
                <w:noProof/>
              </w:rPr>
              <w:t>303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4D9E8B1" w14:textId="77777777" w:rsidR="003E1D81" w:rsidRDefault="00EB481C">
            <w:pPr>
              <w:pStyle w:val="P68B1DB1-Normal46"/>
              <w:spacing w:after="0" w:line="240" w:lineRule="auto"/>
              <w:jc w:val="center"/>
              <w:rPr>
                <w:rFonts w:eastAsia="Times New Roman" w:cs="Times New Roman"/>
                <w:noProof/>
              </w:rPr>
            </w:pPr>
            <w:r>
              <w:rPr>
                <w:noProof/>
              </w:rPr>
              <w:t>C21.R1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6C085AC"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2D4FA3E" w14:textId="77777777" w:rsidR="003E1D81" w:rsidRDefault="00EB481C">
            <w:pPr>
              <w:pStyle w:val="P68B1DB1-Normal46"/>
              <w:spacing w:after="0" w:line="240" w:lineRule="auto"/>
              <w:rPr>
                <w:rFonts w:eastAsia="Times New Roman" w:cs="Times New Roman"/>
                <w:noProof/>
              </w:rPr>
            </w:pPr>
            <w:r>
              <w:rPr>
                <w:noProof/>
              </w:rPr>
              <w:t xml:space="preserve">Az oktatásról szóló sarkalatos törvény hatálybalépése </w:t>
            </w:r>
          </w:p>
        </w:tc>
      </w:tr>
      <w:tr w:rsidR="003E1D81" w14:paraId="41765BBB"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88708" w14:textId="77777777" w:rsidR="003E1D81" w:rsidRDefault="00EB481C">
            <w:pPr>
              <w:pStyle w:val="P68B1DB1-Normal46"/>
              <w:spacing w:after="0" w:line="240" w:lineRule="auto"/>
              <w:jc w:val="center"/>
              <w:rPr>
                <w:rFonts w:eastAsia="Times New Roman" w:cs="Times New Roman"/>
                <w:noProof/>
              </w:rPr>
            </w:pPr>
            <w:r>
              <w:rPr>
                <w:noProof/>
              </w:rPr>
              <w:t>318</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4C11259" w14:textId="77777777" w:rsidR="003E1D81" w:rsidRDefault="00EB481C">
            <w:pPr>
              <w:pStyle w:val="P68B1DB1-Normal46"/>
              <w:spacing w:after="0" w:line="240" w:lineRule="auto"/>
              <w:jc w:val="center"/>
              <w:rPr>
                <w:rFonts w:eastAsia="Times New Roman" w:cs="Times New Roman"/>
                <w:noProof/>
              </w:rPr>
            </w:pPr>
            <w:r>
              <w:rPr>
                <w:noProof/>
              </w:rPr>
              <w:t>C22.R5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DE9D55E"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EAB6CB5" w14:textId="77777777" w:rsidR="003E1D81" w:rsidRDefault="00EB481C">
            <w:pPr>
              <w:pStyle w:val="P68B1DB1-Normal46"/>
              <w:spacing w:after="0" w:line="240" w:lineRule="auto"/>
              <w:rPr>
                <w:rFonts w:eastAsia="Times New Roman" w:cs="Times New Roman"/>
                <w:noProof/>
              </w:rPr>
            </w:pPr>
            <w:r>
              <w:rPr>
                <w:noProof/>
              </w:rPr>
              <w:t>A létminimumot jóváhagyó, május 29-i 20/2020. sz. királyi törvényerejű rendelet hatálybalépése</w:t>
            </w:r>
          </w:p>
        </w:tc>
      </w:tr>
      <w:tr w:rsidR="003E1D81" w14:paraId="1C570DE3"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9F810" w14:textId="77777777" w:rsidR="003E1D81" w:rsidRDefault="00EB481C">
            <w:pPr>
              <w:pStyle w:val="P68B1DB1-Normal46"/>
              <w:spacing w:after="0" w:line="240" w:lineRule="auto"/>
              <w:jc w:val="center"/>
              <w:rPr>
                <w:rFonts w:eastAsia="Times New Roman" w:cs="Times New Roman"/>
                <w:noProof/>
              </w:rPr>
            </w:pPr>
            <w:r>
              <w:rPr>
                <w:noProof/>
              </w:rPr>
              <w:t>329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79E6391" w14:textId="77777777" w:rsidR="003E1D81" w:rsidRDefault="00EB481C">
            <w:pPr>
              <w:pStyle w:val="P68B1DB1-Normal46"/>
              <w:spacing w:after="0" w:line="240" w:lineRule="auto"/>
              <w:jc w:val="center"/>
              <w:rPr>
                <w:rFonts w:eastAsia="Times New Roman" w:cs="Times New Roman"/>
                <w:noProof/>
              </w:rPr>
            </w:pPr>
            <w:r>
              <w:rPr>
                <w:noProof/>
              </w:rPr>
              <w:t>C23.R1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25E7EED"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E382E5B" w14:textId="77777777" w:rsidR="003E1D81" w:rsidRDefault="00EB481C">
            <w:pPr>
              <w:pStyle w:val="P68B1DB1-Normal46"/>
              <w:spacing w:after="0" w:line="240" w:lineRule="auto"/>
              <w:rPr>
                <w:rFonts w:eastAsia="Times New Roman" w:cs="Times New Roman"/>
                <w:noProof/>
              </w:rPr>
            </w:pPr>
            <w:r>
              <w:rPr>
                <w:noProof/>
              </w:rPr>
              <w:t xml:space="preserve">A magánszektorban </w:t>
            </w:r>
            <w:r>
              <w:rPr>
                <w:noProof/>
              </w:rPr>
              <w:t>és a közigazgatásban végzett távmunkát szabályozó két királyi törvényerejű rendelet hatálybalépése</w:t>
            </w:r>
          </w:p>
        </w:tc>
      </w:tr>
      <w:tr w:rsidR="003E1D81" w14:paraId="6C75E026"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BC731D" w14:textId="77777777" w:rsidR="003E1D81" w:rsidRDefault="00EB481C">
            <w:pPr>
              <w:pStyle w:val="P68B1DB1-Normal46"/>
              <w:spacing w:after="0" w:line="240" w:lineRule="auto"/>
              <w:jc w:val="center"/>
              <w:rPr>
                <w:rFonts w:eastAsia="Times New Roman" w:cs="Times New Roman"/>
                <w:noProof/>
              </w:rPr>
            </w:pPr>
            <w:r>
              <w:rPr>
                <w:noProof/>
              </w:rPr>
              <w:t>330</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298FB79" w14:textId="77777777" w:rsidR="003E1D81" w:rsidRDefault="00EB481C">
            <w:pPr>
              <w:pStyle w:val="P68B1DB1-Normal46"/>
              <w:spacing w:after="0" w:line="240" w:lineRule="auto"/>
              <w:jc w:val="center"/>
              <w:rPr>
                <w:rFonts w:eastAsia="Times New Roman" w:cs="Times New Roman"/>
                <w:noProof/>
              </w:rPr>
            </w:pPr>
            <w:r>
              <w:rPr>
                <w:noProof/>
              </w:rPr>
              <w:t>C23.R2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1F425ED"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E5FCE2F" w14:textId="77777777" w:rsidR="003E1D81" w:rsidRDefault="00EB481C">
            <w:pPr>
              <w:pStyle w:val="P68B1DB1-Normal46"/>
              <w:spacing w:after="0" w:line="240" w:lineRule="auto"/>
              <w:rPr>
                <w:rFonts w:eastAsia="Times New Roman" w:cs="Times New Roman"/>
                <w:noProof/>
              </w:rPr>
            </w:pPr>
            <w:r>
              <w:rPr>
                <w:noProof/>
              </w:rPr>
              <w:t>A nők és férfiak egyenlő díjazásáról, valamint az egyenlőségi tervekről és azok nyilvántartásba vételéről szóló két rendelet hatálybalépése</w:t>
            </w:r>
          </w:p>
        </w:tc>
      </w:tr>
      <w:tr w:rsidR="003E1D81" w14:paraId="44371A8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251469" w14:textId="77777777" w:rsidR="003E1D81" w:rsidRDefault="00EB481C">
            <w:pPr>
              <w:pStyle w:val="P68B1DB1-Normal46"/>
              <w:spacing w:after="0" w:line="240" w:lineRule="auto"/>
              <w:jc w:val="center"/>
              <w:rPr>
                <w:rFonts w:eastAsia="Times New Roman" w:cs="Times New Roman"/>
                <w:noProof/>
              </w:rPr>
            </w:pPr>
            <w:r>
              <w:rPr>
                <w:noProof/>
              </w:rPr>
              <w:t>333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68CA457" w14:textId="77777777" w:rsidR="003E1D81" w:rsidRDefault="00EB481C">
            <w:pPr>
              <w:pStyle w:val="P68B1DB1-Normal46"/>
              <w:spacing w:after="0" w:line="240" w:lineRule="auto"/>
              <w:jc w:val="center"/>
              <w:rPr>
                <w:rFonts w:eastAsia="Times New Roman" w:cs="Times New Roman"/>
                <w:noProof/>
              </w:rPr>
            </w:pPr>
            <w:r>
              <w:rPr>
                <w:noProof/>
              </w:rPr>
              <w:t>C23.R5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C8946D1"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96EA185" w14:textId="77777777" w:rsidR="003E1D81" w:rsidRDefault="00EB481C">
            <w:pPr>
              <w:pStyle w:val="P68B1DB1-Normal46"/>
              <w:spacing w:after="0" w:line="240" w:lineRule="auto"/>
              <w:rPr>
                <w:rFonts w:eastAsia="Times New Roman" w:cs="Times New Roman"/>
                <w:noProof/>
              </w:rPr>
            </w:pPr>
            <w:r>
              <w:rPr>
                <w:noProof/>
              </w:rPr>
              <w:t xml:space="preserve">Az ifjúsági munkanélküliség kezelésére irányuló cselekvési terv hatálybalépése </w:t>
            </w:r>
          </w:p>
        </w:tc>
      </w:tr>
      <w:tr w:rsidR="003E1D81" w14:paraId="59388524"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014ACB" w14:textId="77777777" w:rsidR="003E1D81" w:rsidRDefault="00EB481C">
            <w:pPr>
              <w:pStyle w:val="P68B1DB1-Normal46"/>
              <w:spacing w:after="0" w:line="240" w:lineRule="auto"/>
              <w:jc w:val="center"/>
              <w:rPr>
                <w:rFonts w:eastAsia="Times New Roman" w:cs="Times New Roman"/>
                <w:noProof/>
              </w:rPr>
            </w:pPr>
            <w:r>
              <w:rPr>
                <w:noProof/>
              </w:rPr>
              <w:t>363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99F057D" w14:textId="77777777" w:rsidR="003E1D81" w:rsidRDefault="00EB481C">
            <w:pPr>
              <w:pStyle w:val="P68B1DB1-Normal46"/>
              <w:spacing w:after="0" w:line="240" w:lineRule="auto"/>
              <w:jc w:val="center"/>
              <w:rPr>
                <w:rFonts w:eastAsia="Times New Roman" w:cs="Times New Roman"/>
                <w:noProof/>
              </w:rPr>
            </w:pPr>
            <w:r>
              <w:rPr>
                <w:noProof/>
              </w:rPr>
              <w:t>C25.R1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4A29201"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BC82B78" w14:textId="77777777" w:rsidR="003E1D81" w:rsidRDefault="00EB481C">
            <w:pPr>
              <w:pStyle w:val="P68B1DB1-Normal46"/>
              <w:spacing w:after="0" w:line="240" w:lineRule="auto"/>
              <w:rPr>
                <w:rFonts w:eastAsia="Times New Roman" w:cs="Times New Roman"/>
                <w:noProof/>
              </w:rPr>
            </w:pPr>
            <w:r>
              <w:rPr>
                <w:noProof/>
              </w:rPr>
              <w:t>Terv: „Spanyolország, Európai Audiovizuális Központ”.</w:t>
            </w:r>
          </w:p>
        </w:tc>
      </w:tr>
      <w:tr w:rsidR="003E1D81" w14:paraId="4FA78BE7"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589B27" w14:textId="77777777" w:rsidR="003E1D81" w:rsidRDefault="00EB481C">
            <w:pPr>
              <w:pStyle w:val="P68B1DB1-Normal46"/>
              <w:spacing w:after="0" w:line="240" w:lineRule="auto"/>
              <w:jc w:val="center"/>
              <w:rPr>
                <w:rFonts w:eastAsia="Times New Roman" w:cs="Times New Roman"/>
                <w:noProof/>
              </w:rPr>
            </w:pPr>
            <w:r>
              <w:rPr>
                <w:noProof/>
              </w:rPr>
              <w:t>385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A4528A5" w14:textId="77777777" w:rsidR="003E1D81" w:rsidRDefault="00EB481C">
            <w:pPr>
              <w:pStyle w:val="P68B1DB1-Normal46"/>
              <w:spacing w:after="0" w:line="240" w:lineRule="auto"/>
              <w:jc w:val="center"/>
              <w:rPr>
                <w:rFonts w:eastAsia="Times New Roman" w:cs="Times New Roman"/>
                <w:noProof/>
              </w:rPr>
            </w:pPr>
            <w:r>
              <w:rPr>
                <w:noProof/>
              </w:rPr>
              <w:t>C28.R1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A3516FC"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1BFA19B" w14:textId="77777777" w:rsidR="003E1D81" w:rsidRDefault="00EB481C">
            <w:pPr>
              <w:pStyle w:val="P68B1DB1-Normal46"/>
              <w:spacing w:after="0" w:line="240" w:lineRule="auto"/>
              <w:rPr>
                <w:rFonts w:eastAsia="Times New Roman" w:cs="Times New Roman"/>
                <w:noProof/>
              </w:rPr>
            </w:pPr>
            <w:r>
              <w:rPr>
                <w:noProof/>
              </w:rPr>
              <w:t xml:space="preserve">A Covid19-világjárvány hatásainak enyhítése érdekében 2020-ban és 2021-ben </w:t>
            </w:r>
            <w:r>
              <w:rPr>
                <w:noProof/>
              </w:rPr>
              <w:t>elfogadott költségvetési intézkedések.</w:t>
            </w:r>
          </w:p>
        </w:tc>
      </w:tr>
      <w:tr w:rsidR="003E1D81" w14:paraId="2BF8B17A"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AEF987" w14:textId="77777777" w:rsidR="003E1D81" w:rsidRDefault="00EB481C">
            <w:pPr>
              <w:pStyle w:val="P68B1DB1-Normal46"/>
              <w:spacing w:after="0" w:line="240" w:lineRule="auto"/>
              <w:jc w:val="center"/>
              <w:rPr>
                <w:rFonts w:eastAsia="Times New Roman" w:cs="Times New Roman"/>
                <w:noProof/>
              </w:rPr>
            </w:pPr>
            <w:r>
              <w:rPr>
                <w:noProof/>
              </w:rPr>
              <w:t>387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8A79D5C" w14:textId="77777777" w:rsidR="003E1D81" w:rsidRDefault="00EB481C">
            <w:pPr>
              <w:pStyle w:val="P68B1DB1-Normal46"/>
              <w:spacing w:after="0" w:line="240" w:lineRule="auto"/>
              <w:jc w:val="center"/>
              <w:rPr>
                <w:rFonts w:eastAsia="Times New Roman" w:cs="Times New Roman"/>
                <w:noProof/>
              </w:rPr>
            </w:pPr>
            <w:r>
              <w:rPr>
                <w:noProof/>
              </w:rPr>
              <w:t>C28.R3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4CD326"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B4D350C" w14:textId="77777777" w:rsidR="003E1D81" w:rsidRDefault="00EB481C">
            <w:pPr>
              <w:pStyle w:val="P68B1DB1-Normal46"/>
              <w:spacing w:after="0" w:line="240" w:lineRule="auto"/>
              <w:rPr>
                <w:rFonts w:eastAsia="Times New Roman" w:cs="Times New Roman"/>
                <w:noProof/>
              </w:rPr>
            </w:pPr>
            <w:r>
              <w:rPr>
                <w:noProof/>
              </w:rPr>
              <w:t>A szakértői bizottság kinevezése a pénzügyi államtitkár által.</w:t>
            </w:r>
          </w:p>
        </w:tc>
      </w:tr>
      <w:tr w:rsidR="003E1D81" w14:paraId="2DD40F4E"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BD5DEC" w14:textId="77777777" w:rsidR="003E1D81" w:rsidRDefault="00EB481C">
            <w:pPr>
              <w:pStyle w:val="P68B1DB1-Normal46"/>
              <w:spacing w:after="0" w:line="240" w:lineRule="auto"/>
              <w:jc w:val="center"/>
              <w:rPr>
                <w:rFonts w:eastAsia="Times New Roman" w:cs="Times New Roman"/>
                <w:noProof/>
              </w:rPr>
            </w:pPr>
            <w:r>
              <w:rPr>
                <w:noProof/>
              </w:rPr>
              <w:t>392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41C92750" w14:textId="77777777" w:rsidR="003E1D81" w:rsidRDefault="00EB481C">
            <w:pPr>
              <w:pStyle w:val="P68B1DB1-Normal46"/>
              <w:spacing w:after="0" w:line="240" w:lineRule="auto"/>
              <w:jc w:val="center"/>
              <w:rPr>
                <w:rFonts w:eastAsia="Times New Roman" w:cs="Times New Roman"/>
                <w:noProof/>
              </w:rPr>
            </w:pPr>
            <w:r>
              <w:rPr>
                <w:noProof/>
              </w:rPr>
              <w:t>C28.R5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CF5F636"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2F360C3" w14:textId="77777777" w:rsidR="003E1D81" w:rsidRDefault="00EB481C">
            <w:pPr>
              <w:pStyle w:val="P68B1DB1-Normal46"/>
              <w:spacing w:after="0" w:line="240" w:lineRule="auto"/>
              <w:rPr>
                <w:rFonts w:eastAsia="Times New Roman" w:cs="Times New Roman"/>
                <w:noProof/>
              </w:rPr>
            </w:pPr>
            <w:r>
              <w:rPr>
                <w:noProof/>
              </w:rPr>
              <w:t>Digitális szolgáltatási adó</w:t>
            </w:r>
          </w:p>
        </w:tc>
      </w:tr>
      <w:tr w:rsidR="003E1D81" w14:paraId="19A73E5B"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BDD7B" w14:textId="77777777" w:rsidR="003E1D81" w:rsidRDefault="00EB481C">
            <w:pPr>
              <w:pStyle w:val="P68B1DB1-Normal46"/>
              <w:spacing w:after="0" w:line="240" w:lineRule="auto"/>
              <w:jc w:val="center"/>
              <w:rPr>
                <w:rFonts w:eastAsia="Times New Roman" w:cs="Times New Roman"/>
                <w:noProof/>
              </w:rPr>
            </w:pPr>
            <w:r>
              <w:rPr>
                <w:noProof/>
              </w:rPr>
              <w:t>393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4E4C8FB9" w14:textId="77777777" w:rsidR="003E1D81" w:rsidRDefault="00EB481C">
            <w:pPr>
              <w:pStyle w:val="P68B1DB1-Normal46"/>
              <w:spacing w:after="0" w:line="240" w:lineRule="auto"/>
              <w:jc w:val="center"/>
              <w:rPr>
                <w:rFonts w:eastAsia="Times New Roman" w:cs="Times New Roman"/>
                <w:noProof/>
              </w:rPr>
            </w:pPr>
            <w:r>
              <w:rPr>
                <w:noProof/>
              </w:rPr>
              <w:t>C28.R6</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A329674"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1C2CFB6" w14:textId="77777777" w:rsidR="003E1D81" w:rsidRDefault="00EB481C">
            <w:pPr>
              <w:pStyle w:val="P68B1DB1-Normal46"/>
              <w:spacing w:after="0" w:line="240" w:lineRule="auto"/>
              <w:rPr>
                <w:rFonts w:eastAsia="Times New Roman" w:cs="Times New Roman"/>
                <w:noProof/>
              </w:rPr>
            </w:pPr>
            <w:r>
              <w:rPr>
                <w:noProof/>
              </w:rPr>
              <w:t>Pénzügyi tranzakciós adó</w:t>
            </w:r>
          </w:p>
        </w:tc>
      </w:tr>
      <w:tr w:rsidR="003E1D81" w14:paraId="4FDBCE8D"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0FD63E" w14:textId="77777777" w:rsidR="003E1D81" w:rsidRDefault="00EB481C">
            <w:pPr>
              <w:pStyle w:val="P68B1DB1-Normal46"/>
              <w:spacing w:after="0" w:line="240" w:lineRule="auto"/>
              <w:jc w:val="center"/>
              <w:rPr>
                <w:rFonts w:eastAsia="Times New Roman" w:cs="Times New Roman"/>
                <w:noProof/>
              </w:rPr>
            </w:pPr>
            <w:r>
              <w:rPr>
                <w:noProof/>
              </w:rPr>
              <w:t>394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A9AD04E" w14:textId="77777777" w:rsidR="003E1D81" w:rsidRDefault="00EB481C">
            <w:pPr>
              <w:pStyle w:val="P68B1DB1-Normal46"/>
              <w:spacing w:after="0" w:line="240" w:lineRule="auto"/>
              <w:jc w:val="center"/>
              <w:rPr>
                <w:rFonts w:eastAsia="Times New Roman" w:cs="Times New Roman"/>
                <w:noProof/>
              </w:rPr>
            </w:pPr>
            <w:r>
              <w:rPr>
                <w:noProof/>
              </w:rPr>
              <w:t>C28.R7</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0361A9F"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6A8413F" w14:textId="77777777" w:rsidR="003E1D81" w:rsidRDefault="00EB481C">
            <w:pPr>
              <w:pStyle w:val="P68B1DB1-Normal46"/>
              <w:spacing w:after="0" w:line="240" w:lineRule="auto"/>
              <w:rPr>
                <w:rFonts w:eastAsia="Times New Roman" w:cs="Times New Roman"/>
                <w:noProof/>
              </w:rPr>
            </w:pPr>
            <w:r>
              <w:rPr>
                <w:noProof/>
              </w:rPr>
              <w:t xml:space="preserve">A személyi jövedelemadó és a vagyonadó 2021. </w:t>
            </w:r>
            <w:r>
              <w:rPr>
                <w:noProof/>
              </w:rPr>
              <w:t>évi módosításai</w:t>
            </w:r>
          </w:p>
        </w:tc>
      </w:tr>
      <w:tr w:rsidR="003E1D81" w14:paraId="7E5243A2"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FC7B2" w14:textId="77777777" w:rsidR="003E1D81" w:rsidRDefault="00EB481C">
            <w:pPr>
              <w:pStyle w:val="P68B1DB1-Normal46"/>
              <w:spacing w:after="0" w:line="240" w:lineRule="auto"/>
              <w:jc w:val="center"/>
              <w:rPr>
                <w:rFonts w:eastAsia="Times New Roman" w:cs="Times New Roman"/>
                <w:noProof/>
              </w:rPr>
            </w:pPr>
            <w:r>
              <w:rPr>
                <w:noProof/>
              </w:rPr>
              <w:t>395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CECD4A7" w14:textId="77777777" w:rsidR="003E1D81" w:rsidRDefault="00EB481C">
            <w:pPr>
              <w:pStyle w:val="P68B1DB1-Normal46"/>
              <w:spacing w:after="0" w:line="240" w:lineRule="auto"/>
              <w:jc w:val="center"/>
              <w:rPr>
                <w:rFonts w:eastAsia="Times New Roman" w:cs="Times New Roman"/>
                <w:noProof/>
              </w:rPr>
            </w:pPr>
            <w:r>
              <w:rPr>
                <w:noProof/>
              </w:rPr>
              <w:t>C28.R8</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4A6CE1B"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E3DA791" w14:textId="77777777" w:rsidR="003E1D81" w:rsidRDefault="00EB481C">
            <w:pPr>
              <w:pStyle w:val="P68B1DB1-Normal46"/>
              <w:spacing w:after="0" w:line="240" w:lineRule="auto"/>
              <w:rPr>
                <w:rFonts w:eastAsia="Times New Roman" w:cs="Times New Roman"/>
                <w:noProof/>
              </w:rPr>
            </w:pPr>
            <w:r>
              <w:rPr>
                <w:noProof/>
              </w:rPr>
              <w:t>A társasági adó 2021. évi módosításai</w:t>
            </w:r>
          </w:p>
        </w:tc>
      </w:tr>
      <w:tr w:rsidR="003E1D81" w14:paraId="77226243"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F99583" w14:textId="77777777" w:rsidR="003E1D81" w:rsidRDefault="00EB481C">
            <w:pPr>
              <w:pStyle w:val="P68B1DB1-Normal46"/>
              <w:spacing w:after="0" w:line="240" w:lineRule="auto"/>
              <w:jc w:val="center"/>
              <w:rPr>
                <w:rFonts w:eastAsia="Times New Roman" w:cs="Times New Roman"/>
                <w:noProof/>
              </w:rPr>
            </w:pPr>
            <w:r>
              <w:rPr>
                <w:noProof/>
              </w:rPr>
              <w:t>396</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5E99F93" w14:textId="77777777" w:rsidR="003E1D81" w:rsidRDefault="00EB481C">
            <w:pPr>
              <w:pStyle w:val="P68B1DB1-Normal46"/>
              <w:spacing w:after="0" w:line="240" w:lineRule="auto"/>
              <w:jc w:val="center"/>
              <w:rPr>
                <w:rFonts w:eastAsia="Times New Roman" w:cs="Times New Roman"/>
                <w:noProof/>
              </w:rPr>
            </w:pPr>
            <w:r>
              <w:rPr>
                <w:noProof/>
              </w:rPr>
              <w:t>C28.R9</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E9BB433"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65CF4A6" w14:textId="77777777" w:rsidR="003E1D81" w:rsidRDefault="00EB481C">
            <w:pPr>
              <w:pStyle w:val="P68B1DB1-Normal46"/>
              <w:spacing w:after="0" w:line="240" w:lineRule="auto"/>
              <w:rPr>
                <w:rFonts w:eastAsia="Times New Roman" w:cs="Times New Roman"/>
                <w:noProof/>
              </w:rPr>
            </w:pPr>
            <w:r>
              <w:rPr>
                <w:noProof/>
              </w:rPr>
              <w:t>A közvetett adók módosításai 2021-ben</w:t>
            </w:r>
          </w:p>
        </w:tc>
      </w:tr>
      <w:tr w:rsidR="003E1D81" w14:paraId="4701633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209BFF" w14:textId="77777777" w:rsidR="003E1D81" w:rsidRDefault="00EB481C">
            <w:pPr>
              <w:pStyle w:val="P68B1DB1-Normal46"/>
              <w:spacing w:after="0" w:line="240" w:lineRule="auto"/>
              <w:jc w:val="center"/>
              <w:rPr>
                <w:rFonts w:eastAsia="Times New Roman" w:cs="Times New Roman"/>
                <w:noProof/>
              </w:rPr>
            </w:pPr>
            <w:r>
              <w:rPr>
                <w:noProof/>
              </w:rPr>
              <w:t>397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70D88FC" w14:textId="77777777" w:rsidR="003E1D81" w:rsidRDefault="00EB481C">
            <w:pPr>
              <w:pStyle w:val="P68B1DB1-Normal46"/>
              <w:spacing w:after="0" w:line="240" w:lineRule="auto"/>
              <w:jc w:val="center"/>
              <w:rPr>
                <w:rFonts w:eastAsia="Times New Roman" w:cs="Times New Roman"/>
                <w:noProof/>
              </w:rPr>
            </w:pPr>
            <w:r>
              <w:rPr>
                <w:noProof/>
              </w:rPr>
              <w:t>C29.R1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D4D156D"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13B9CF6" w14:textId="77777777" w:rsidR="003E1D81" w:rsidRDefault="00EB481C">
            <w:pPr>
              <w:pStyle w:val="P68B1DB1-Normal46"/>
              <w:spacing w:after="0" w:line="240" w:lineRule="auto"/>
              <w:rPr>
                <w:rFonts w:eastAsia="Times New Roman" w:cs="Times New Roman"/>
                <w:noProof/>
              </w:rPr>
            </w:pPr>
            <w:r>
              <w:rPr>
                <w:noProof/>
              </w:rPr>
              <w:t xml:space="preserve">Állandó csoport felállítása a pénzügyminisztériumon belül a kiadások felülvizsgálatának eredményei végrehajtásának aktív </w:t>
            </w:r>
            <w:r>
              <w:rPr>
                <w:noProof/>
              </w:rPr>
              <w:t>nyomon követésére és az éves költségvetési törvény kidolgozási rendjének jóváhagyására</w:t>
            </w:r>
          </w:p>
        </w:tc>
      </w:tr>
      <w:tr w:rsidR="003E1D81" w14:paraId="0185B913"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47B9EE" w14:textId="77777777" w:rsidR="003E1D81" w:rsidRDefault="00EB481C">
            <w:pPr>
              <w:pStyle w:val="P68B1DB1-Normal46"/>
              <w:spacing w:after="0" w:line="240" w:lineRule="auto"/>
              <w:jc w:val="center"/>
              <w:rPr>
                <w:rFonts w:eastAsia="Times New Roman" w:cs="Times New Roman"/>
                <w:noProof/>
              </w:rPr>
            </w:pPr>
            <w:r>
              <w:rPr>
                <w:noProof/>
              </w:rPr>
              <w:t>398</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9B4927D" w14:textId="77777777" w:rsidR="003E1D81" w:rsidRDefault="00EB481C">
            <w:pPr>
              <w:pStyle w:val="P68B1DB1-Normal46"/>
              <w:spacing w:after="0" w:line="240" w:lineRule="auto"/>
              <w:jc w:val="center"/>
              <w:rPr>
                <w:rFonts w:eastAsia="Times New Roman" w:cs="Times New Roman"/>
                <w:noProof/>
              </w:rPr>
            </w:pPr>
            <w:r>
              <w:rPr>
                <w:noProof/>
              </w:rPr>
              <w:t>C29.R1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F6493A3"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0809FF8" w14:textId="77777777" w:rsidR="003E1D81" w:rsidRDefault="00EB481C">
            <w:pPr>
              <w:pStyle w:val="P68B1DB1-Normal46"/>
              <w:spacing w:after="0" w:line="240" w:lineRule="auto"/>
              <w:rPr>
                <w:rFonts w:eastAsia="Times New Roman" w:cs="Times New Roman"/>
                <w:noProof/>
              </w:rPr>
            </w:pPr>
            <w:r>
              <w:rPr>
                <w:noProof/>
              </w:rPr>
              <w:t>A kiadások felülvizsgálatának III. szakasza</w:t>
            </w:r>
          </w:p>
        </w:tc>
      </w:tr>
      <w:tr w:rsidR="003E1D81" w14:paraId="339E507F"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9C86D" w14:textId="77777777" w:rsidR="003E1D81" w:rsidRDefault="00EB481C">
            <w:pPr>
              <w:pStyle w:val="P68B1DB1-Normal46"/>
              <w:spacing w:after="0" w:line="240" w:lineRule="auto"/>
              <w:jc w:val="center"/>
              <w:rPr>
                <w:rFonts w:eastAsia="Times New Roman" w:cs="Times New Roman"/>
                <w:noProof/>
              </w:rPr>
            </w:pPr>
            <w:r>
              <w:rPr>
                <w:noProof/>
              </w:rPr>
              <w:t>399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22AABC1" w14:textId="77777777" w:rsidR="003E1D81" w:rsidRDefault="00EB481C">
            <w:pPr>
              <w:pStyle w:val="P68B1DB1-Normal46"/>
              <w:spacing w:after="0" w:line="240" w:lineRule="auto"/>
              <w:jc w:val="center"/>
              <w:rPr>
                <w:rFonts w:eastAsia="Times New Roman" w:cs="Times New Roman"/>
                <w:noProof/>
              </w:rPr>
            </w:pPr>
            <w:r>
              <w:rPr>
                <w:noProof/>
              </w:rPr>
              <w:t>C29.R1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A0BEC42"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67362B4" w14:textId="77777777" w:rsidR="003E1D81" w:rsidRDefault="00EB481C">
            <w:pPr>
              <w:pStyle w:val="P68B1DB1-Normal46"/>
              <w:spacing w:after="0" w:line="240" w:lineRule="auto"/>
              <w:rPr>
                <w:rFonts w:eastAsia="Times New Roman" w:cs="Times New Roman"/>
                <w:noProof/>
              </w:rPr>
            </w:pPr>
            <w:r>
              <w:rPr>
                <w:noProof/>
              </w:rPr>
              <w:t xml:space="preserve">Az AIReF-en belül egy állandó egység létrehozása, amely a kormány által előírt kiadási </w:t>
            </w:r>
            <w:r>
              <w:rPr>
                <w:noProof/>
              </w:rPr>
              <w:t>felülvizsgálatok elvégzéséért felel.</w:t>
            </w:r>
          </w:p>
        </w:tc>
      </w:tr>
      <w:tr w:rsidR="003E1D81" w14:paraId="0C03F910"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2E3B3" w14:textId="77777777" w:rsidR="003E1D81" w:rsidRDefault="00EB481C">
            <w:pPr>
              <w:pStyle w:val="P68B1DB1-Normal46"/>
              <w:spacing w:after="0" w:line="240" w:lineRule="auto"/>
              <w:jc w:val="center"/>
              <w:rPr>
                <w:rFonts w:eastAsia="Times New Roman" w:cs="Times New Roman"/>
                <w:noProof/>
              </w:rPr>
            </w:pPr>
            <w:r>
              <w:rPr>
                <w:noProof/>
              </w:rPr>
              <w:t>406</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47663E21" w14:textId="77777777" w:rsidR="003E1D81" w:rsidRDefault="00EB481C">
            <w:pPr>
              <w:pStyle w:val="P68B1DB1-Normal46"/>
              <w:spacing w:after="0" w:line="240" w:lineRule="auto"/>
              <w:jc w:val="center"/>
              <w:rPr>
                <w:rFonts w:eastAsia="Times New Roman" w:cs="Times New Roman"/>
                <w:noProof/>
              </w:rPr>
            </w:pPr>
            <w:r>
              <w:rPr>
                <w:noProof/>
              </w:rPr>
              <w:t>C30.R1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86A4FF4"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18A26EB" w14:textId="77777777" w:rsidR="003E1D81" w:rsidRDefault="00EB481C">
            <w:pPr>
              <w:pStyle w:val="P68B1DB1-Normal46"/>
              <w:spacing w:after="0" w:line="240" w:lineRule="auto"/>
              <w:rPr>
                <w:rFonts w:eastAsia="Times New Roman" w:cs="Times New Roman"/>
                <w:noProof/>
              </w:rPr>
            </w:pPr>
            <w:r>
              <w:rPr>
                <w:noProof/>
              </w:rPr>
              <w:t>A szociális biztonság finanszírozásának szétválasztása</w:t>
            </w:r>
          </w:p>
        </w:tc>
      </w:tr>
      <w:tr w:rsidR="003E1D81" w14:paraId="53616CB8"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769FAD" w14:textId="77777777" w:rsidR="003E1D81" w:rsidRDefault="00EB481C">
            <w:pPr>
              <w:pStyle w:val="P68B1DB1-Normal46"/>
              <w:spacing w:after="0" w:line="240" w:lineRule="auto"/>
              <w:jc w:val="center"/>
              <w:rPr>
                <w:rFonts w:eastAsia="Times New Roman" w:cs="Times New Roman"/>
                <w:noProof/>
              </w:rPr>
            </w:pPr>
            <w:r>
              <w:rPr>
                <w:noProof/>
              </w:rPr>
              <w:t>412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54D8608D" w14:textId="77777777" w:rsidR="003E1D81" w:rsidRDefault="00EB481C">
            <w:pPr>
              <w:pStyle w:val="P68B1DB1-Normal46"/>
              <w:spacing w:after="0" w:line="240" w:lineRule="auto"/>
              <w:jc w:val="center"/>
              <w:rPr>
                <w:rFonts w:eastAsia="Times New Roman" w:cs="Times New Roman"/>
                <w:noProof/>
              </w:rPr>
            </w:pPr>
            <w:r>
              <w:rPr>
                <w:noProof/>
              </w:rPr>
              <w:t>C30.R4</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BFCDD9D"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7ECE8215" w14:textId="77777777" w:rsidR="003E1D81" w:rsidRDefault="00EB481C">
            <w:pPr>
              <w:pStyle w:val="P68B1DB1-Normal46"/>
              <w:spacing w:after="0" w:line="240" w:lineRule="auto"/>
              <w:rPr>
                <w:rFonts w:eastAsia="Times New Roman" w:cs="Times New Roman"/>
                <w:noProof/>
              </w:rPr>
            </w:pPr>
            <w:r>
              <w:rPr>
                <w:noProof/>
              </w:rPr>
              <w:t>Az anyasági többletkövetelmények egyszerűsítése</w:t>
            </w:r>
          </w:p>
        </w:tc>
      </w:tr>
      <w:tr w:rsidR="003E1D81" w14:paraId="7400C457"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4A9E1" w14:textId="77777777" w:rsidR="003E1D81" w:rsidRDefault="00EB481C">
            <w:pPr>
              <w:pStyle w:val="P68B1DB1-Normal46"/>
              <w:spacing w:after="0" w:line="240" w:lineRule="auto"/>
              <w:jc w:val="center"/>
              <w:rPr>
                <w:rFonts w:eastAsia="Times New Roman" w:cs="Times New Roman"/>
                <w:noProof/>
              </w:rPr>
            </w:pPr>
            <w:r>
              <w:rPr>
                <w:noProof/>
              </w:rPr>
              <w:t>413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146112D" w14:textId="77777777" w:rsidR="003E1D81" w:rsidRDefault="00EB481C">
            <w:pPr>
              <w:pStyle w:val="P68B1DB1-Normal46"/>
              <w:spacing w:after="0" w:line="240" w:lineRule="auto"/>
              <w:jc w:val="center"/>
              <w:rPr>
                <w:rFonts w:eastAsia="Times New Roman" w:cs="Times New Roman"/>
                <w:noProof/>
              </w:rPr>
            </w:pPr>
            <w:r>
              <w:rPr>
                <w:noProof/>
              </w:rPr>
              <w:t>C30.R5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80DCF87" w14:textId="77777777" w:rsidR="003E1D81" w:rsidRDefault="00EB481C">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4DF4257" w14:textId="77777777" w:rsidR="003E1D81" w:rsidRDefault="00EB481C">
            <w:pPr>
              <w:pStyle w:val="P68B1DB1-Normal46"/>
              <w:spacing w:after="0" w:line="240" w:lineRule="auto"/>
              <w:rPr>
                <w:rFonts w:eastAsia="Times New Roman" w:cs="Times New Roman"/>
                <w:noProof/>
              </w:rPr>
            </w:pPr>
            <w:r>
              <w:rPr>
                <w:noProof/>
              </w:rPr>
              <w:t xml:space="preserve">A jelenlegi kiegészítő nyugdíjrendszerhez kapcsolódó adókedvezmények </w:t>
            </w:r>
            <w:r>
              <w:rPr>
                <w:noProof/>
              </w:rPr>
              <w:t>felülvizsgálata</w:t>
            </w:r>
          </w:p>
        </w:tc>
      </w:tr>
      <w:tr w:rsidR="003E1D81" w14:paraId="1FBF7217"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93B69" w14:textId="77777777" w:rsidR="003E1D81" w:rsidRDefault="003E1D81">
            <w:pPr>
              <w:spacing w:after="0" w:line="240" w:lineRule="auto"/>
              <w:jc w:val="center"/>
              <w:rPr>
                <w:rFonts w:ascii="Times New Roman" w:eastAsia="Times New Roman" w:hAnsi="Times New Roman" w:cs="Times New Roman"/>
                <w:noProof/>
                <w:sz w:val="20"/>
              </w:rPr>
            </w:pP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1E90416" w14:textId="77777777" w:rsidR="003E1D81" w:rsidRDefault="003E1D81">
            <w:pPr>
              <w:spacing w:after="0" w:line="240" w:lineRule="auto"/>
              <w:rPr>
                <w:rFonts w:ascii="Times New Roman" w:eastAsia="Times New Roman" w:hAnsi="Times New Roman" w:cs="Times New Roman"/>
                <w:noProof/>
                <w:sz w:val="20"/>
              </w:rPr>
            </w:pP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34E8AC5" w14:textId="77777777" w:rsidR="003E1D81" w:rsidRDefault="00EB481C">
            <w:pPr>
              <w:pStyle w:val="P68B1DB1-Normal45"/>
              <w:spacing w:after="0" w:line="240" w:lineRule="auto"/>
              <w:rPr>
                <w:rFonts w:eastAsia="Times New Roman" w:cs="Times New Roman"/>
                <w:noProof/>
              </w:rPr>
            </w:pPr>
            <w:r>
              <w:rPr>
                <w:noProof/>
              </w:rPr>
              <w:t>Részösszeg</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72E8C0D" w14:textId="05D2F4A5" w:rsidR="003E1D81" w:rsidRDefault="00EB481C">
            <w:pPr>
              <w:pStyle w:val="P68B1DB1-Normal45"/>
              <w:spacing w:after="0" w:line="240" w:lineRule="auto"/>
              <w:rPr>
                <w:rFonts w:eastAsia="Times New Roman" w:cs="Times New Roman"/>
                <w:noProof/>
              </w:rPr>
            </w:pPr>
            <w:r>
              <w:rPr>
                <w:noProof/>
              </w:rPr>
              <w:t>·EURÓPAI BIZOTTSÁG 11 494 252 874 EUR</w:t>
            </w:r>
          </w:p>
        </w:tc>
      </w:tr>
    </w:tbl>
    <w:p w14:paraId="0E88AC02" w14:textId="77777777" w:rsidR="003E1D81" w:rsidRDefault="003E1D81">
      <w:pPr>
        <w:spacing w:before="120" w:after="120" w:line="240" w:lineRule="auto"/>
        <w:jc w:val="both"/>
        <w:rPr>
          <w:rFonts w:ascii="Times New Roman" w:eastAsia="Calibri" w:hAnsi="Times New Roman" w:cs="Times New Roman"/>
          <w:noProof/>
          <w:sz w:val="24"/>
        </w:rPr>
      </w:pPr>
    </w:p>
    <w:p w14:paraId="2C3B7F6D" w14:textId="77777777"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Második részösszeg (vissza nem térítendő támogatás): </w:t>
      </w:r>
    </w:p>
    <w:tbl>
      <w:tblPr>
        <w:tblW w:w="9663" w:type="dxa"/>
        <w:tblInd w:w="113" w:type="dxa"/>
        <w:tblLook w:val="04A0" w:firstRow="1" w:lastRow="0" w:firstColumn="1" w:lastColumn="0" w:noHBand="0" w:noVBand="1"/>
      </w:tblPr>
      <w:tblGrid>
        <w:gridCol w:w="1027"/>
        <w:gridCol w:w="1407"/>
        <w:gridCol w:w="1416"/>
        <w:gridCol w:w="6095"/>
      </w:tblGrid>
      <w:tr w:rsidR="003E1D81" w14:paraId="49E29A45" w14:textId="77777777">
        <w:trPr>
          <w:trHeight w:val="906"/>
          <w:tblHeader/>
        </w:trPr>
        <w:tc>
          <w:tcPr>
            <w:tcW w:w="102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944301" w14:textId="77777777" w:rsidR="003E1D81" w:rsidRDefault="00EB481C">
            <w:pPr>
              <w:pStyle w:val="P68B1DB1-Normal45"/>
              <w:spacing w:after="0" w:line="240" w:lineRule="auto"/>
              <w:jc w:val="center"/>
              <w:rPr>
                <w:rFonts w:eastAsia="Times New Roman" w:cs="Times New Roman"/>
                <w:noProof/>
              </w:rPr>
            </w:pPr>
            <w:r>
              <w:rPr>
                <w:noProof/>
              </w:rPr>
              <w:t>Sorszám</w:t>
            </w:r>
          </w:p>
        </w:tc>
        <w:tc>
          <w:tcPr>
            <w:tcW w:w="140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FDB3F00" w14:textId="77777777" w:rsidR="003E1D81" w:rsidRDefault="00EB481C">
            <w:pPr>
              <w:pStyle w:val="P68B1DB1-Normal45"/>
              <w:spacing w:after="0" w:line="240" w:lineRule="auto"/>
              <w:jc w:val="center"/>
              <w:rPr>
                <w:rFonts w:eastAsia="Times New Roman" w:cs="Times New Roman"/>
                <w:noProof/>
              </w:rPr>
            </w:pPr>
            <w:r>
              <w:rPr>
                <w:noProof/>
              </w:rPr>
              <w:t>Kapcsolódó intézkedés (reform vagy beruházás)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90CC157"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6095" w:type="dxa"/>
            <w:vMerge w:val="restart"/>
            <w:tcBorders>
              <w:top w:val="single" w:sz="4" w:space="0" w:color="auto"/>
              <w:left w:val="nil"/>
              <w:bottom w:val="single" w:sz="4" w:space="0" w:color="000000"/>
              <w:right w:val="single" w:sz="4" w:space="0" w:color="auto"/>
            </w:tcBorders>
            <w:shd w:val="clear" w:color="auto" w:fill="BDD7EE"/>
            <w:vAlign w:val="center"/>
            <w:hideMark/>
          </w:tcPr>
          <w:p w14:paraId="4961D985"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48B02ED2" w14:textId="77777777">
        <w:trPr>
          <w:trHeight w:val="509"/>
        </w:trPr>
        <w:tc>
          <w:tcPr>
            <w:tcW w:w="1027" w:type="dxa"/>
            <w:vMerge/>
            <w:tcBorders>
              <w:top w:val="single" w:sz="4" w:space="0" w:color="auto"/>
              <w:left w:val="single" w:sz="4" w:space="0" w:color="auto"/>
              <w:bottom w:val="single" w:sz="4" w:space="0" w:color="000000"/>
              <w:right w:val="single" w:sz="4" w:space="0" w:color="auto"/>
            </w:tcBorders>
            <w:vAlign w:val="center"/>
            <w:hideMark/>
          </w:tcPr>
          <w:p w14:paraId="15452E39" w14:textId="77777777" w:rsidR="003E1D81" w:rsidRDefault="003E1D81">
            <w:pPr>
              <w:spacing w:after="0" w:line="240" w:lineRule="auto"/>
              <w:rPr>
                <w:rFonts w:ascii="Times New Roman" w:eastAsia="Times New Roman" w:hAnsi="Times New Roman" w:cs="Times New Roman"/>
                <w:b/>
                <w:noProof/>
                <w:sz w:val="20"/>
              </w:rPr>
            </w:pPr>
          </w:p>
        </w:tc>
        <w:tc>
          <w:tcPr>
            <w:tcW w:w="1407" w:type="dxa"/>
            <w:vMerge/>
            <w:tcBorders>
              <w:top w:val="single" w:sz="4" w:space="0" w:color="auto"/>
              <w:left w:val="single" w:sz="4" w:space="0" w:color="auto"/>
              <w:bottom w:val="single" w:sz="4" w:space="0" w:color="000000"/>
              <w:right w:val="single" w:sz="4" w:space="0" w:color="auto"/>
            </w:tcBorders>
            <w:vAlign w:val="center"/>
            <w:hideMark/>
          </w:tcPr>
          <w:p w14:paraId="1A0AFC6D" w14:textId="77777777" w:rsidR="003E1D81" w:rsidRDefault="003E1D81">
            <w:pPr>
              <w:spacing w:after="0" w:line="240" w:lineRule="auto"/>
              <w:rPr>
                <w:rFonts w:ascii="Times New Roman" w:eastAsia="Times New Roman" w:hAnsi="Times New Roman" w:cs="Times New Roman"/>
                <w:b/>
                <w:noProof/>
                <w:sz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282B285" w14:textId="77777777" w:rsidR="003E1D81" w:rsidRDefault="003E1D81">
            <w:pPr>
              <w:spacing w:after="0" w:line="240" w:lineRule="auto"/>
              <w:rPr>
                <w:rFonts w:ascii="Times New Roman" w:eastAsia="Times New Roman" w:hAnsi="Times New Roman" w:cs="Times New Roman"/>
                <w:b/>
                <w:noProof/>
                <w:sz w:val="20"/>
              </w:rPr>
            </w:pPr>
          </w:p>
        </w:tc>
        <w:tc>
          <w:tcPr>
            <w:tcW w:w="6095" w:type="dxa"/>
            <w:vMerge/>
            <w:tcBorders>
              <w:top w:val="single" w:sz="4" w:space="0" w:color="auto"/>
              <w:left w:val="nil"/>
              <w:bottom w:val="single" w:sz="4" w:space="0" w:color="000000"/>
              <w:right w:val="single" w:sz="4" w:space="0" w:color="auto"/>
            </w:tcBorders>
            <w:vAlign w:val="center"/>
            <w:hideMark/>
          </w:tcPr>
          <w:p w14:paraId="5B0778BF" w14:textId="77777777" w:rsidR="003E1D81" w:rsidRDefault="003E1D81">
            <w:pPr>
              <w:spacing w:after="0" w:line="240" w:lineRule="auto"/>
              <w:rPr>
                <w:rFonts w:ascii="Times New Roman" w:eastAsia="Times New Roman" w:hAnsi="Times New Roman" w:cs="Times New Roman"/>
                <w:b/>
                <w:noProof/>
                <w:sz w:val="20"/>
              </w:rPr>
            </w:pPr>
          </w:p>
        </w:tc>
      </w:tr>
      <w:tr w:rsidR="003E1D81" w14:paraId="1A37BBBF"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011CA9" w14:textId="77777777" w:rsidR="003E1D81" w:rsidRDefault="00EB481C">
            <w:pPr>
              <w:pStyle w:val="P68B1DB1-Normal46"/>
              <w:spacing w:after="0" w:line="240" w:lineRule="auto"/>
              <w:jc w:val="center"/>
              <w:rPr>
                <w:rFonts w:eastAsia="Times New Roman" w:cs="Times New Roman"/>
                <w:noProof/>
              </w:rPr>
            </w:pPr>
            <w:r>
              <w:rPr>
                <w:noProof/>
              </w:rPr>
              <w:t>24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7B5483B" w14:textId="77777777" w:rsidR="003E1D81" w:rsidRDefault="00EB481C">
            <w:pPr>
              <w:pStyle w:val="P68B1DB1-Normal46"/>
              <w:spacing w:after="0" w:line="240" w:lineRule="auto"/>
              <w:jc w:val="center"/>
              <w:rPr>
                <w:rFonts w:eastAsia="Times New Roman" w:cs="Times New Roman"/>
                <w:noProof/>
              </w:rPr>
            </w:pPr>
            <w:r>
              <w:rPr>
                <w:noProof/>
              </w:rPr>
              <w:t>C2.R5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0A0A1D3"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D6D03CE" w14:textId="77777777" w:rsidR="003E1D81" w:rsidRDefault="00EB481C">
            <w:pPr>
              <w:pStyle w:val="P68B1DB1-Normal46"/>
              <w:spacing w:after="0" w:line="240" w:lineRule="auto"/>
              <w:rPr>
                <w:rFonts w:eastAsia="Times New Roman" w:cs="Times New Roman"/>
                <w:noProof/>
              </w:rPr>
            </w:pPr>
            <w:r>
              <w:rPr>
                <w:noProof/>
              </w:rPr>
              <w:t xml:space="preserve">A felújítási irodákról szóló királyi rendelet hatálybalépése („egyablakos ügyintézés”) </w:t>
            </w:r>
          </w:p>
        </w:tc>
      </w:tr>
      <w:tr w:rsidR="003E1D81" w14:paraId="79DEBF0C"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2A53EB" w14:textId="77777777" w:rsidR="003E1D81" w:rsidRDefault="00EB481C">
            <w:pPr>
              <w:pStyle w:val="P68B1DB1-Normal46"/>
              <w:spacing w:after="0" w:line="240" w:lineRule="auto"/>
              <w:jc w:val="center"/>
              <w:rPr>
                <w:rFonts w:eastAsia="Times New Roman" w:cs="Times New Roman"/>
                <w:noProof/>
              </w:rPr>
            </w:pPr>
            <w:r>
              <w:rPr>
                <w:noProof/>
              </w:rPr>
              <w:t>26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DE24DCA" w14:textId="77777777" w:rsidR="003E1D81" w:rsidRDefault="00EB481C">
            <w:pPr>
              <w:pStyle w:val="P68B1DB1-Normal46"/>
              <w:spacing w:after="0" w:line="240" w:lineRule="auto"/>
              <w:jc w:val="center"/>
              <w:rPr>
                <w:rFonts w:eastAsia="Times New Roman" w:cs="Times New Roman"/>
                <w:noProof/>
              </w:rPr>
            </w:pPr>
            <w:r>
              <w:rPr>
                <w:noProof/>
              </w:rPr>
              <w:t>C2.I1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DCF1C0B"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D73ADC9" w14:textId="77777777" w:rsidR="003E1D81" w:rsidRDefault="00EB481C">
            <w:pPr>
              <w:pStyle w:val="P68B1DB1-Normal46"/>
              <w:spacing w:after="0" w:line="240" w:lineRule="auto"/>
              <w:rPr>
                <w:rFonts w:eastAsia="Times New Roman" w:cs="Times New Roman"/>
                <w:noProof/>
              </w:rPr>
            </w:pPr>
            <w:r>
              <w:rPr>
                <w:noProof/>
              </w:rPr>
              <w:t xml:space="preserve">A megújítási program végrehajtásának szabályozási keretéről szóló királyi rendelet hatálybalépése; és a program támogatására szolgáló személyi jövedelemadó-ösztönzők szabályozásáról szóló királyi törvényerejű rendelet </w:t>
            </w:r>
          </w:p>
        </w:tc>
      </w:tr>
      <w:tr w:rsidR="003E1D81" w14:paraId="4798EE4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54370D" w14:textId="77777777" w:rsidR="003E1D81" w:rsidRDefault="00EB481C">
            <w:pPr>
              <w:pStyle w:val="P68B1DB1-Normal46"/>
              <w:spacing w:after="0" w:line="240" w:lineRule="auto"/>
              <w:jc w:val="center"/>
              <w:rPr>
                <w:rFonts w:eastAsia="Times New Roman" w:cs="Times New Roman"/>
                <w:noProof/>
              </w:rPr>
            </w:pPr>
            <w:r>
              <w:rPr>
                <w:noProof/>
              </w:rPr>
              <w:t>30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6D0EC20" w14:textId="77777777" w:rsidR="003E1D81" w:rsidRDefault="00EB481C">
            <w:pPr>
              <w:pStyle w:val="P68B1DB1-Normal46"/>
              <w:spacing w:after="0" w:line="240" w:lineRule="auto"/>
              <w:jc w:val="center"/>
              <w:rPr>
                <w:rFonts w:eastAsia="Times New Roman" w:cs="Times New Roman"/>
                <w:noProof/>
              </w:rPr>
            </w:pPr>
            <w:r>
              <w:rPr>
                <w:noProof/>
              </w:rPr>
              <w:t>C2.I2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7FF71F2"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7DC34772" w14:textId="77777777" w:rsidR="003E1D81" w:rsidRDefault="00EB481C">
            <w:pPr>
              <w:pStyle w:val="P68B1DB1-Normal46"/>
              <w:spacing w:after="0" w:line="240" w:lineRule="auto"/>
              <w:rPr>
                <w:rFonts w:eastAsia="Times New Roman" w:cs="Times New Roman"/>
                <w:noProof/>
              </w:rPr>
            </w:pPr>
            <w:r>
              <w:rPr>
                <w:noProof/>
              </w:rPr>
              <w:t>Az energiahatékonysági kr</w:t>
            </w:r>
            <w:r>
              <w:rPr>
                <w:noProof/>
              </w:rPr>
              <w:t xml:space="preserve">itériumoknak megfelelő, energiahatékony szociális bérlakásokra vonatkozó program végrehajtására vonatkozó szabályozási keret meghatározásáról szóló királyi rendelet hatálybalépése </w:t>
            </w:r>
          </w:p>
        </w:tc>
      </w:tr>
      <w:tr w:rsidR="003E1D81" w14:paraId="3393379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0F9079B" w14:textId="77777777" w:rsidR="003E1D81" w:rsidRDefault="00EB481C">
            <w:pPr>
              <w:pStyle w:val="P68B1DB1-Normal46"/>
              <w:spacing w:after="0" w:line="240" w:lineRule="auto"/>
              <w:jc w:val="center"/>
              <w:rPr>
                <w:rFonts w:eastAsia="Times New Roman" w:cs="Times New Roman"/>
                <w:noProof/>
              </w:rPr>
            </w:pPr>
            <w:r>
              <w:rPr>
                <w:noProof/>
              </w:rPr>
              <w:t>40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7CA5B6E6" w14:textId="77777777" w:rsidR="003E1D81" w:rsidRDefault="00EB481C">
            <w:pPr>
              <w:pStyle w:val="P68B1DB1-Normal46"/>
              <w:spacing w:after="0" w:line="240" w:lineRule="auto"/>
              <w:jc w:val="center"/>
              <w:rPr>
                <w:rFonts w:eastAsia="Times New Roman" w:cs="Times New Roman"/>
                <w:noProof/>
              </w:rPr>
            </w:pPr>
            <w:r>
              <w:rPr>
                <w:noProof/>
              </w:rPr>
              <w:t>C3.R1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C667D7A"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2E8AF21" w14:textId="77777777" w:rsidR="003E1D81" w:rsidRDefault="00EB481C">
            <w:pPr>
              <w:pStyle w:val="P68B1DB1-Normal46"/>
              <w:spacing w:after="0" w:line="240" w:lineRule="auto"/>
              <w:rPr>
                <w:rFonts w:eastAsia="Times New Roman" w:cs="Times New Roman"/>
                <w:noProof/>
              </w:rPr>
            </w:pPr>
            <w:r>
              <w:rPr>
                <w:noProof/>
              </w:rPr>
              <w:t xml:space="preserve">Az élelmiszerlánc működésének javítását célzó intézkedésekről szóló 12/2013. sz. törvény második módosításának hatálybalépése </w:t>
            </w:r>
          </w:p>
        </w:tc>
      </w:tr>
      <w:tr w:rsidR="003E1D81" w14:paraId="61B9AA8B"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C78075" w14:textId="77777777" w:rsidR="003E1D81" w:rsidRDefault="00EB481C">
            <w:pPr>
              <w:pStyle w:val="P68B1DB1-Normal46"/>
              <w:spacing w:after="0" w:line="240" w:lineRule="auto"/>
              <w:jc w:val="center"/>
              <w:rPr>
                <w:rFonts w:eastAsia="Times New Roman" w:cs="Times New Roman"/>
                <w:noProof/>
              </w:rPr>
            </w:pPr>
            <w:r>
              <w:rPr>
                <w:noProof/>
              </w:rPr>
              <w:t>46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D97DD9F" w14:textId="77777777" w:rsidR="003E1D81" w:rsidRDefault="00EB481C">
            <w:pPr>
              <w:pStyle w:val="P68B1DB1-Normal46"/>
              <w:spacing w:after="0" w:line="240" w:lineRule="auto"/>
              <w:jc w:val="center"/>
              <w:rPr>
                <w:rFonts w:eastAsia="Times New Roman" w:cs="Times New Roman"/>
                <w:noProof/>
              </w:rPr>
            </w:pPr>
            <w:r>
              <w:rPr>
                <w:noProof/>
              </w:rPr>
              <w:t>C3.I1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61E03C9" w14:textId="77777777" w:rsidR="003E1D81" w:rsidRDefault="00EB481C">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8842CDB" w14:textId="77777777" w:rsidR="003E1D81" w:rsidRDefault="00EB481C">
            <w:pPr>
              <w:pStyle w:val="P68B1DB1-Normal46"/>
              <w:spacing w:after="0" w:line="240" w:lineRule="auto"/>
              <w:rPr>
                <w:rFonts w:eastAsia="Times New Roman" w:cs="Times New Roman"/>
                <w:noProof/>
              </w:rPr>
            </w:pPr>
            <w:r>
              <w:rPr>
                <w:noProof/>
              </w:rPr>
              <w:t>A Mezőgazdasági, Halászati és Élelmiszerügyi Minisztérium (MAPA) és a SEIASA közötti, az öntözött területek javításán</w:t>
            </w:r>
            <w:r>
              <w:rPr>
                <w:noProof/>
              </w:rPr>
              <w:t>ak és fenntarthatóságának támogatásáról szóló szerződéses megállapodás hatálybalépése (I. szakasz)</w:t>
            </w:r>
          </w:p>
        </w:tc>
      </w:tr>
      <w:tr w:rsidR="003E1D81" w14:paraId="3B45D08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D0804C" w14:textId="77777777" w:rsidR="003E1D81" w:rsidRDefault="00EB481C">
            <w:pPr>
              <w:pStyle w:val="P68B1DB1-Normal46"/>
              <w:spacing w:after="0" w:line="240" w:lineRule="auto"/>
              <w:jc w:val="center"/>
              <w:rPr>
                <w:rFonts w:eastAsia="Times New Roman" w:cs="Times New Roman"/>
                <w:noProof/>
              </w:rPr>
            </w:pPr>
            <w:r>
              <w:rPr>
                <w:noProof/>
              </w:rPr>
              <w:t>56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BD6A95F" w14:textId="77777777" w:rsidR="003E1D81" w:rsidRDefault="00EB481C">
            <w:pPr>
              <w:pStyle w:val="P68B1DB1-Normal46"/>
              <w:spacing w:after="0" w:line="240" w:lineRule="auto"/>
              <w:jc w:val="center"/>
              <w:rPr>
                <w:rFonts w:eastAsia="Times New Roman" w:cs="Times New Roman"/>
                <w:noProof/>
              </w:rPr>
            </w:pPr>
            <w:r>
              <w:rPr>
                <w:noProof/>
              </w:rPr>
              <w:t>C3.I7</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52C591D"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61635878" w14:textId="77777777" w:rsidR="003E1D81" w:rsidRDefault="00EB481C">
            <w:pPr>
              <w:pStyle w:val="P68B1DB1-Normal46"/>
              <w:spacing w:after="0" w:line="240" w:lineRule="auto"/>
              <w:rPr>
                <w:rFonts w:eastAsia="Times New Roman" w:cs="Times New Roman"/>
                <w:noProof/>
              </w:rPr>
            </w:pPr>
            <w:r>
              <w:rPr>
                <w:noProof/>
              </w:rPr>
              <w:t>Megállapodások állami kutatási szervekkel</w:t>
            </w:r>
          </w:p>
        </w:tc>
      </w:tr>
      <w:tr w:rsidR="003E1D81" w14:paraId="6AD2D41F"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5CC7B3" w14:textId="77777777" w:rsidR="003E1D81" w:rsidRDefault="00EB481C">
            <w:pPr>
              <w:pStyle w:val="P68B1DB1-Normal46"/>
              <w:spacing w:after="0" w:line="240" w:lineRule="auto"/>
              <w:jc w:val="center"/>
              <w:rPr>
                <w:rFonts w:eastAsia="Times New Roman" w:cs="Times New Roman"/>
                <w:noProof/>
              </w:rPr>
            </w:pPr>
            <w:r>
              <w:rPr>
                <w:noProof/>
              </w:rPr>
              <w:t>74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265C18C" w14:textId="77777777" w:rsidR="003E1D81" w:rsidRDefault="00EB481C">
            <w:pPr>
              <w:pStyle w:val="P68B1DB1-Normal46"/>
              <w:spacing w:after="0" w:line="240" w:lineRule="auto"/>
              <w:jc w:val="center"/>
              <w:rPr>
                <w:rFonts w:eastAsia="Times New Roman" w:cs="Times New Roman"/>
                <w:noProof/>
              </w:rPr>
            </w:pPr>
            <w:r>
              <w:rPr>
                <w:noProof/>
              </w:rPr>
              <w:t>C5.R1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4BECF16"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771B3BD2" w14:textId="77777777" w:rsidR="003E1D81" w:rsidRDefault="00EB481C">
            <w:pPr>
              <w:pStyle w:val="P68B1DB1-Normal46"/>
              <w:spacing w:after="0" w:line="240" w:lineRule="auto"/>
              <w:rPr>
                <w:rFonts w:eastAsia="Times New Roman" w:cs="Times New Roman"/>
                <w:noProof/>
              </w:rPr>
            </w:pPr>
            <w:r>
              <w:rPr>
                <w:noProof/>
              </w:rPr>
              <w:t xml:space="preserve">A vízügyi tervezésről szóló rendelet módosításainak hatálybalépése </w:t>
            </w:r>
          </w:p>
        </w:tc>
      </w:tr>
      <w:tr w:rsidR="003E1D81" w14:paraId="6C3BD0AB"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208FFD" w14:textId="77777777" w:rsidR="003E1D81" w:rsidRDefault="00EB481C">
            <w:pPr>
              <w:pStyle w:val="P68B1DB1-Normal46"/>
              <w:spacing w:after="0" w:line="240" w:lineRule="auto"/>
              <w:jc w:val="center"/>
              <w:rPr>
                <w:rFonts w:eastAsia="Times New Roman" w:cs="Times New Roman"/>
                <w:noProof/>
              </w:rPr>
            </w:pPr>
            <w:r>
              <w:rPr>
                <w:noProof/>
              </w:rPr>
              <w:t>83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D40B7F3" w14:textId="77777777" w:rsidR="003E1D81" w:rsidRDefault="00EB481C">
            <w:pPr>
              <w:pStyle w:val="P68B1DB1-Normal46"/>
              <w:spacing w:after="0" w:line="240" w:lineRule="auto"/>
              <w:jc w:val="center"/>
              <w:rPr>
                <w:rFonts w:eastAsia="Times New Roman" w:cs="Times New Roman"/>
                <w:noProof/>
              </w:rPr>
            </w:pPr>
            <w:r>
              <w:rPr>
                <w:noProof/>
              </w:rPr>
              <w:t>C6.R1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6DDB359"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23667E0" w14:textId="77777777" w:rsidR="003E1D81" w:rsidRDefault="00EB481C">
            <w:pPr>
              <w:pStyle w:val="P68B1DB1-Normal46"/>
              <w:spacing w:after="0" w:line="240" w:lineRule="auto"/>
              <w:rPr>
                <w:rFonts w:eastAsia="Times New Roman" w:cs="Times New Roman"/>
                <w:noProof/>
              </w:rPr>
            </w:pPr>
            <w:r>
              <w:rPr>
                <w:noProof/>
              </w:rPr>
              <w:t xml:space="preserve">A fenntartható, biztonságos és összekapcsolt mobilitásra vonatkozó stratégia (jóváhagyás) </w:t>
            </w:r>
          </w:p>
        </w:tc>
      </w:tr>
      <w:tr w:rsidR="003E1D81" w14:paraId="24E452D9"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DC11739" w14:textId="77777777" w:rsidR="003E1D81" w:rsidRDefault="00EB481C">
            <w:pPr>
              <w:pStyle w:val="P68B1DB1-Normal46"/>
              <w:spacing w:after="0" w:line="240" w:lineRule="auto"/>
              <w:jc w:val="center"/>
              <w:rPr>
                <w:rFonts w:eastAsia="Times New Roman" w:cs="Times New Roman"/>
                <w:noProof/>
              </w:rPr>
            </w:pPr>
            <w:r>
              <w:rPr>
                <w:noProof/>
              </w:rPr>
              <w:t>108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3A4BD27" w14:textId="77777777" w:rsidR="003E1D81" w:rsidRDefault="00EB481C">
            <w:pPr>
              <w:pStyle w:val="P68B1DB1-Normal46"/>
              <w:spacing w:after="0" w:line="240" w:lineRule="auto"/>
              <w:jc w:val="center"/>
              <w:rPr>
                <w:rFonts w:eastAsia="Times New Roman" w:cs="Times New Roman"/>
                <w:noProof/>
              </w:rPr>
            </w:pPr>
            <w:r>
              <w:rPr>
                <w:noProof/>
              </w:rPr>
              <w:t>C7.R2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1F933AB"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040114C" w14:textId="77777777" w:rsidR="003E1D81" w:rsidRDefault="00EB481C">
            <w:pPr>
              <w:pStyle w:val="P68B1DB1-Normal46"/>
              <w:spacing w:after="0" w:line="240" w:lineRule="auto"/>
              <w:rPr>
                <w:rFonts w:eastAsia="Times New Roman" w:cs="Times New Roman"/>
                <w:noProof/>
              </w:rPr>
            </w:pPr>
            <w:r>
              <w:rPr>
                <w:noProof/>
              </w:rPr>
              <w:t>A saját fogyasztásra vonatkozó nemzeti stratégia</w:t>
            </w:r>
          </w:p>
        </w:tc>
      </w:tr>
      <w:tr w:rsidR="003E1D81" w14:paraId="3A54A1F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4B182F" w14:textId="77777777" w:rsidR="003E1D81" w:rsidRDefault="00EB481C">
            <w:pPr>
              <w:pStyle w:val="P68B1DB1-Normal46"/>
              <w:spacing w:after="0" w:line="240" w:lineRule="auto"/>
              <w:jc w:val="center"/>
              <w:rPr>
                <w:rFonts w:eastAsia="Times New Roman" w:cs="Times New Roman"/>
                <w:noProof/>
              </w:rPr>
            </w:pPr>
            <w:r>
              <w:rPr>
                <w:noProof/>
              </w:rPr>
              <w:t>112</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9EBBC9B" w14:textId="77777777" w:rsidR="003E1D81" w:rsidRDefault="00EB481C">
            <w:pPr>
              <w:pStyle w:val="P68B1DB1-Normal46"/>
              <w:spacing w:after="0" w:line="240" w:lineRule="auto"/>
              <w:jc w:val="center"/>
              <w:rPr>
                <w:rFonts w:eastAsia="Times New Roman" w:cs="Times New Roman"/>
                <w:noProof/>
              </w:rPr>
            </w:pPr>
            <w:r>
              <w:rPr>
                <w:noProof/>
              </w:rPr>
              <w:t>C7.R4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3AF77FA"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D9A7A5A" w14:textId="77777777" w:rsidR="003E1D81" w:rsidRDefault="00EB481C">
            <w:pPr>
              <w:pStyle w:val="P68B1DB1-Normal46"/>
              <w:spacing w:after="0" w:line="240" w:lineRule="auto"/>
              <w:rPr>
                <w:rFonts w:eastAsia="Times New Roman" w:cs="Times New Roman"/>
                <w:noProof/>
              </w:rPr>
            </w:pPr>
            <w:r>
              <w:rPr>
                <w:noProof/>
              </w:rPr>
              <w:t>A tengeri szélenergiára és egyéb tengeri energiára vonatkozó ütemterv</w:t>
            </w:r>
          </w:p>
        </w:tc>
      </w:tr>
      <w:tr w:rsidR="003E1D81" w14:paraId="7C77981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D56CD2" w14:textId="77777777" w:rsidR="003E1D81" w:rsidRDefault="00EB481C">
            <w:pPr>
              <w:pStyle w:val="P68B1DB1-Normal46"/>
              <w:spacing w:after="0" w:line="240" w:lineRule="auto"/>
              <w:jc w:val="center"/>
              <w:rPr>
                <w:rFonts w:eastAsia="Times New Roman" w:cs="Times New Roman"/>
                <w:noProof/>
              </w:rPr>
            </w:pPr>
            <w:r>
              <w:rPr>
                <w:noProof/>
              </w:rPr>
              <w:t>139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5BC9F10" w14:textId="77777777" w:rsidR="003E1D81" w:rsidRDefault="00EB481C">
            <w:pPr>
              <w:pStyle w:val="P68B1DB1-Normal46"/>
              <w:spacing w:after="0" w:line="240" w:lineRule="auto"/>
              <w:jc w:val="center"/>
              <w:rPr>
                <w:rFonts w:eastAsia="Times New Roman" w:cs="Times New Roman"/>
                <w:noProof/>
              </w:rPr>
            </w:pPr>
            <w:r>
              <w:rPr>
                <w:noProof/>
              </w:rPr>
              <w:t>C10.I1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02EFC6F"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596FD13" w14:textId="77777777" w:rsidR="003E1D81" w:rsidRDefault="00EB481C">
            <w:pPr>
              <w:pStyle w:val="P68B1DB1-Normal46"/>
              <w:spacing w:after="0" w:line="240" w:lineRule="auto"/>
              <w:rPr>
                <w:rFonts w:eastAsia="Times New Roman" w:cs="Times New Roman"/>
                <w:noProof/>
              </w:rPr>
            </w:pPr>
            <w:r>
              <w:rPr>
                <w:noProof/>
              </w:rPr>
              <w:t>„Igazságos átmenet” képzési támogatási program és támogatás nyújtása a méltányos átállási területek gazdasági fejlődéséhez</w:t>
            </w:r>
          </w:p>
        </w:tc>
      </w:tr>
      <w:tr w:rsidR="003E1D81" w14:paraId="2F542DB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11C009" w14:textId="77777777" w:rsidR="003E1D81" w:rsidRDefault="00EB481C">
            <w:pPr>
              <w:pStyle w:val="P68B1DB1-Normal46"/>
              <w:spacing w:after="0" w:line="240" w:lineRule="auto"/>
              <w:jc w:val="center"/>
              <w:rPr>
                <w:rFonts w:eastAsia="Times New Roman" w:cs="Times New Roman"/>
                <w:noProof/>
              </w:rPr>
            </w:pPr>
            <w:r>
              <w:rPr>
                <w:noProof/>
              </w:rPr>
              <w:t>155</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B00D67D" w14:textId="77777777" w:rsidR="003E1D81" w:rsidRDefault="00EB481C">
            <w:pPr>
              <w:pStyle w:val="P68B1DB1-Normal46"/>
              <w:spacing w:after="0" w:line="240" w:lineRule="auto"/>
              <w:jc w:val="center"/>
              <w:rPr>
                <w:rFonts w:eastAsia="Times New Roman" w:cs="Times New Roman"/>
                <w:noProof/>
              </w:rPr>
            </w:pPr>
            <w:r>
              <w:rPr>
                <w:noProof/>
              </w:rPr>
              <w:t>C11.R4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A313C3F"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DE117A0" w14:textId="77777777" w:rsidR="003E1D81" w:rsidRDefault="00EB481C">
            <w:pPr>
              <w:pStyle w:val="P68B1DB1-Normal46"/>
              <w:spacing w:after="0" w:line="240" w:lineRule="auto"/>
              <w:rPr>
                <w:rFonts w:eastAsia="Times New Roman" w:cs="Times New Roman"/>
                <w:noProof/>
              </w:rPr>
            </w:pPr>
            <w:r>
              <w:rPr>
                <w:noProof/>
              </w:rPr>
              <w:t xml:space="preserve">A Nemzeti Értékelési Hivatal létrehozásáról szóló miniszteri rendelet hatálybalépése </w:t>
            </w:r>
          </w:p>
        </w:tc>
      </w:tr>
      <w:tr w:rsidR="003E1D81" w14:paraId="05B6D33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39DBA8" w14:textId="77777777" w:rsidR="003E1D81" w:rsidRDefault="00EB481C">
            <w:pPr>
              <w:pStyle w:val="P68B1DB1-Normal46"/>
              <w:spacing w:after="0" w:line="240" w:lineRule="auto"/>
              <w:jc w:val="center"/>
              <w:rPr>
                <w:rFonts w:eastAsia="Times New Roman" w:cs="Times New Roman"/>
                <w:noProof/>
              </w:rPr>
            </w:pPr>
            <w:r>
              <w:rPr>
                <w:noProof/>
              </w:rPr>
              <w:t>189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8AC96B1" w14:textId="77777777" w:rsidR="003E1D81" w:rsidRDefault="00EB481C">
            <w:pPr>
              <w:pStyle w:val="P68B1DB1-Normal46"/>
              <w:spacing w:after="0" w:line="240" w:lineRule="auto"/>
              <w:jc w:val="center"/>
              <w:rPr>
                <w:rFonts w:eastAsia="Times New Roman" w:cs="Times New Roman"/>
                <w:noProof/>
              </w:rPr>
            </w:pPr>
            <w:r>
              <w:rPr>
                <w:noProof/>
              </w:rPr>
              <w:t>C13.R1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01DFC42"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96368C3" w14:textId="77777777" w:rsidR="003E1D81" w:rsidRDefault="00EB481C">
            <w:pPr>
              <w:pStyle w:val="P68B1DB1-Normal46"/>
              <w:spacing w:after="0" w:line="240" w:lineRule="auto"/>
              <w:rPr>
                <w:rFonts w:eastAsia="Times New Roman" w:cs="Times New Roman"/>
                <w:noProof/>
              </w:rPr>
            </w:pPr>
            <w:r>
              <w:rPr>
                <w:noProof/>
              </w:rPr>
              <w:t xml:space="preserve">Az ügyvédi és ügyvédi hivatás gyakorlásának megkezdéséről szóló 34/2006. sz. törvény módosításáról szóló törvény hatálybalépése  </w:t>
            </w:r>
          </w:p>
        </w:tc>
      </w:tr>
      <w:tr w:rsidR="003E1D81" w14:paraId="788E0D72"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D0A3D1" w14:textId="77777777" w:rsidR="003E1D81" w:rsidRDefault="00EB481C">
            <w:pPr>
              <w:pStyle w:val="P68B1DB1-Normal46"/>
              <w:spacing w:after="0" w:line="240" w:lineRule="auto"/>
              <w:jc w:val="center"/>
              <w:rPr>
                <w:rFonts w:eastAsia="Times New Roman" w:cs="Times New Roman"/>
                <w:noProof/>
              </w:rPr>
            </w:pPr>
            <w:r>
              <w:rPr>
                <w:noProof/>
              </w:rPr>
              <w:t>216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C29586D" w14:textId="77777777" w:rsidR="003E1D81" w:rsidRDefault="00EB481C">
            <w:pPr>
              <w:pStyle w:val="P68B1DB1-Normal46"/>
              <w:spacing w:after="0" w:line="240" w:lineRule="auto"/>
              <w:jc w:val="center"/>
              <w:rPr>
                <w:rFonts w:eastAsia="Times New Roman" w:cs="Times New Roman"/>
                <w:noProof/>
              </w:rPr>
            </w:pPr>
            <w:r>
              <w:rPr>
                <w:noProof/>
              </w:rPr>
              <w:t>C14.R1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9321CB8"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284B7DA" w14:textId="77777777" w:rsidR="003E1D81" w:rsidRDefault="00EB481C">
            <w:pPr>
              <w:pStyle w:val="P68B1DB1-Normal46"/>
              <w:spacing w:after="0" w:line="240" w:lineRule="auto"/>
              <w:rPr>
                <w:rFonts w:eastAsia="Times New Roman" w:cs="Times New Roman"/>
                <w:noProof/>
              </w:rPr>
            </w:pPr>
            <w:r>
              <w:rPr>
                <w:noProof/>
              </w:rPr>
              <w:t>Az idegenforgalom versenyképességét szolgáló állami pénzügyi alap végrehajtásáról szóló királyi rendelet hatályb</w:t>
            </w:r>
            <w:r>
              <w:rPr>
                <w:noProof/>
              </w:rPr>
              <w:t xml:space="preserve">alépése </w:t>
            </w:r>
          </w:p>
        </w:tc>
      </w:tr>
      <w:tr w:rsidR="003E1D81" w14:paraId="210A1BAF"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A6B3CA" w14:textId="77777777" w:rsidR="003E1D81" w:rsidRDefault="00EB481C">
            <w:pPr>
              <w:pStyle w:val="P68B1DB1-Normal46"/>
              <w:spacing w:after="0" w:line="240" w:lineRule="auto"/>
              <w:jc w:val="center"/>
              <w:rPr>
                <w:rFonts w:eastAsia="Times New Roman" w:cs="Times New Roman"/>
                <w:noProof/>
              </w:rPr>
            </w:pPr>
            <w:r>
              <w:rPr>
                <w:noProof/>
              </w:rPr>
              <w:t>217</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24C4372" w14:textId="77777777" w:rsidR="003E1D81" w:rsidRDefault="00EB481C">
            <w:pPr>
              <w:pStyle w:val="P68B1DB1-Normal46"/>
              <w:spacing w:after="0" w:line="240" w:lineRule="auto"/>
              <w:jc w:val="center"/>
              <w:rPr>
                <w:rFonts w:eastAsia="Times New Roman" w:cs="Times New Roman"/>
                <w:noProof/>
              </w:rPr>
            </w:pPr>
            <w:r>
              <w:rPr>
                <w:noProof/>
              </w:rPr>
              <w:t>C14.I1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2C43804" w14:textId="77777777" w:rsidR="003E1D81" w:rsidRDefault="00EB481C">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CA5D5DC" w14:textId="77777777" w:rsidR="003E1D81" w:rsidRDefault="00EB481C">
            <w:pPr>
              <w:pStyle w:val="P68B1DB1-Normal46"/>
              <w:spacing w:after="0" w:line="240" w:lineRule="auto"/>
              <w:rPr>
                <w:rFonts w:eastAsia="Times New Roman" w:cs="Times New Roman"/>
                <w:noProof/>
              </w:rPr>
            </w:pPr>
            <w:r>
              <w:rPr>
                <w:noProof/>
              </w:rPr>
              <w:t>Az idegenforgalom fenntarthatóságát a célállomásukon előmozdító tervek költségvetésének odaítélése</w:t>
            </w:r>
          </w:p>
        </w:tc>
      </w:tr>
      <w:tr w:rsidR="003E1D81" w14:paraId="5995A86C"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D4DC59" w14:textId="77777777" w:rsidR="003E1D81" w:rsidRDefault="00EB481C">
            <w:pPr>
              <w:pStyle w:val="P68B1DB1-Normal46"/>
              <w:spacing w:after="0" w:line="240" w:lineRule="auto"/>
              <w:jc w:val="center"/>
              <w:rPr>
                <w:rFonts w:eastAsia="Times New Roman" w:cs="Times New Roman"/>
                <w:noProof/>
              </w:rPr>
            </w:pPr>
            <w:r>
              <w:rPr>
                <w:noProof/>
              </w:rPr>
              <w:t>232</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015F8A8" w14:textId="77777777" w:rsidR="003E1D81" w:rsidRDefault="00EB481C">
            <w:pPr>
              <w:pStyle w:val="P68B1DB1-Normal46"/>
              <w:spacing w:after="0" w:line="240" w:lineRule="auto"/>
              <w:jc w:val="center"/>
              <w:rPr>
                <w:rFonts w:eastAsia="Times New Roman" w:cs="Times New Roman"/>
                <w:noProof/>
              </w:rPr>
            </w:pPr>
            <w:r>
              <w:rPr>
                <w:noProof/>
              </w:rPr>
              <w:t>C15.R2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5F112F4"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C71173F" w14:textId="77777777" w:rsidR="003E1D81" w:rsidRDefault="00EB481C">
            <w:pPr>
              <w:pStyle w:val="P68B1DB1-Normal46"/>
              <w:spacing w:after="0" w:line="240" w:lineRule="auto"/>
              <w:rPr>
                <w:rFonts w:eastAsia="Times New Roman" w:cs="Times New Roman"/>
                <w:noProof/>
              </w:rPr>
            </w:pPr>
            <w:r>
              <w:rPr>
                <w:noProof/>
              </w:rPr>
              <w:t>A 700 MHz-es frekvenciasáv kiosztása</w:t>
            </w:r>
          </w:p>
        </w:tc>
      </w:tr>
      <w:tr w:rsidR="003E1D81" w14:paraId="3F6862D5"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6B1D96" w14:textId="77777777" w:rsidR="003E1D81" w:rsidRDefault="00EB481C">
            <w:pPr>
              <w:pStyle w:val="P68B1DB1-Normal46"/>
              <w:spacing w:after="0" w:line="240" w:lineRule="auto"/>
              <w:jc w:val="center"/>
              <w:rPr>
                <w:rFonts w:eastAsia="Times New Roman" w:cs="Times New Roman"/>
                <w:noProof/>
              </w:rPr>
            </w:pPr>
            <w:r>
              <w:rPr>
                <w:noProof/>
              </w:rPr>
              <w:t>233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715AE1F9" w14:textId="77777777" w:rsidR="003E1D81" w:rsidRDefault="00EB481C">
            <w:pPr>
              <w:pStyle w:val="P68B1DB1-Normal46"/>
              <w:spacing w:after="0" w:line="240" w:lineRule="auto"/>
              <w:jc w:val="center"/>
              <w:rPr>
                <w:rFonts w:eastAsia="Times New Roman" w:cs="Times New Roman"/>
                <w:noProof/>
              </w:rPr>
            </w:pPr>
            <w:r>
              <w:rPr>
                <w:noProof/>
              </w:rPr>
              <w:t>C15.R2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69C0F88"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6C0CBAD5" w14:textId="77777777" w:rsidR="003E1D81" w:rsidRDefault="00EB481C">
            <w:pPr>
              <w:pStyle w:val="P68B1DB1-Normal46"/>
              <w:spacing w:after="0" w:line="240" w:lineRule="auto"/>
              <w:rPr>
                <w:rFonts w:eastAsia="Times New Roman" w:cs="Times New Roman"/>
                <w:noProof/>
              </w:rPr>
            </w:pPr>
            <w:r>
              <w:rPr>
                <w:noProof/>
              </w:rPr>
              <w:t>Az 5G spektrumadó csökkentéséről szóló jogi aktus hatálybalépése</w:t>
            </w:r>
          </w:p>
        </w:tc>
      </w:tr>
      <w:tr w:rsidR="003E1D81" w14:paraId="143E0516"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A45D1F" w14:textId="77777777" w:rsidR="003E1D81" w:rsidRDefault="00EB481C">
            <w:pPr>
              <w:pStyle w:val="P68B1DB1-Normal46"/>
              <w:spacing w:after="0" w:line="240" w:lineRule="auto"/>
              <w:jc w:val="center"/>
              <w:rPr>
                <w:rFonts w:eastAsia="Times New Roman" w:cs="Times New Roman"/>
                <w:noProof/>
              </w:rPr>
            </w:pPr>
            <w:r>
              <w:rPr>
                <w:noProof/>
              </w:rPr>
              <w:t>250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6953CA4" w14:textId="77777777" w:rsidR="003E1D81" w:rsidRDefault="00EB481C">
            <w:pPr>
              <w:pStyle w:val="P68B1DB1-Normal46"/>
              <w:spacing w:after="0" w:line="240" w:lineRule="auto"/>
              <w:jc w:val="center"/>
              <w:rPr>
                <w:rFonts w:eastAsia="Times New Roman" w:cs="Times New Roman"/>
                <w:noProof/>
              </w:rPr>
            </w:pPr>
            <w:r>
              <w:rPr>
                <w:noProof/>
              </w:rPr>
              <w:t>C16.R1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64412E7"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C961205" w14:textId="77777777" w:rsidR="003E1D81" w:rsidRDefault="00EB481C">
            <w:pPr>
              <w:pStyle w:val="P68B1DB1-Normal46"/>
              <w:spacing w:after="0" w:line="240" w:lineRule="auto"/>
              <w:rPr>
                <w:rFonts w:eastAsia="Times New Roman" w:cs="Times New Roman"/>
                <w:noProof/>
              </w:rPr>
            </w:pPr>
            <w:r>
              <w:rPr>
                <w:noProof/>
              </w:rPr>
              <w:t>A digitális jogok chartája</w:t>
            </w:r>
          </w:p>
        </w:tc>
      </w:tr>
      <w:tr w:rsidR="003E1D81" w14:paraId="3E47B5B5"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55EA78" w14:textId="77777777" w:rsidR="003E1D81" w:rsidRDefault="00EB481C">
            <w:pPr>
              <w:pStyle w:val="P68B1DB1-Normal46"/>
              <w:spacing w:after="0" w:line="240" w:lineRule="auto"/>
              <w:jc w:val="center"/>
              <w:rPr>
                <w:rFonts w:eastAsia="Times New Roman" w:cs="Times New Roman"/>
                <w:noProof/>
              </w:rPr>
            </w:pPr>
            <w:r>
              <w:rPr>
                <w:noProof/>
              </w:rPr>
              <w:t>258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D10D064" w14:textId="77777777" w:rsidR="003E1D81" w:rsidRDefault="00EB481C">
            <w:pPr>
              <w:pStyle w:val="P68B1DB1-Normal46"/>
              <w:spacing w:after="0" w:line="240" w:lineRule="auto"/>
              <w:jc w:val="center"/>
              <w:rPr>
                <w:rFonts w:eastAsia="Times New Roman" w:cs="Times New Roman"/>
                <w:noProof/>
              </w:rPr>
            </w:pPr>
            <w:r>
              <w:rPr>
                <w:noProof/>
              </w:rPr>
              <w:t>C17.I1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9175B27" w14:textId="77777777" w:rsidR="003E1D81" w:rsidRDefault="00EB481C">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010C44E" w14:textId="77777777" w:rsidR="003E1D81" w:rsidRDefault="00EB481C">
            <w:pPr>
              <w:pStyle w:val="P68B1DB1-Normal46"/>
              <w:spacing w:after="0" w:line="240" w:lineRule="auto"/>
              <w:rPr>
                <w:rFonts w:eastAsia="Times New Roman" w:cs="Times New Roman"/>
                <w:noProof/>
              </w:rPr>
            </w:pPr>
            <w:r>
              <w:rPr>
                <w:noProof/>
              </w:rPr>
              <w:t xml:space="preserve">A Tudományos és Innovációs Minisztérium által az autonóm közösségekkel aláírt megállapodások a „kiegészítő K+F tervek” végrehajtásáról. </w:t>
            </w:r>
          </w:p>
        </w:tc>
      </w:tr>
      <w:tr w:rsidR="003E1D81" w14:paraId="6FE2883C"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12C4A2" w14:textId="77777777" w:rsidR="003E1D81" w:rsidRDefault="00EB481C">
            <w:pPr>
              <w:pStyle w:val="P68B1DB1-Normal46"/>
              <w:spacing w:after="0" w:line="240" w:lineRule="auto"/>
              <w:jc w:val="center"/>
              <w:rPr>
                <w:rFonts w:eastAsia="Times New Roman" w:cs="Times New Roman"/>
                <w:noProof/>
              </w:rPr>
            </w:pPr>
            <w:r>
              <w:rPr>
                <w:noProof/>
              </w:rPr>
              <w:t>273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B0E5990" w14:textId="77777777" w:rsidR="003E1D81" w:rsidRDefault="00EB481C">
            <w:pPr>
              <w:pStyle w:val="P68B1DB1-Normal46"/>
              <w:spacing w:after="0" w:line="240" w:lineRule="auto"/>
              <w:jc w:val="center"/>
              <w:rPr>
                <w:rFonts w:eastAsia="Times New Roman" w:cs="Times New Roman"/>
                <w:noProof/>
              </w:rPr>
            </w:pPr>
            <w:r>
              <w:rPr>
                <w:noProof/>
              </w:rPr>
              <w:t>C18.R1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008EB392"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7D8B9BBC" w14:textId="77777777" w:rsidR="003E1D81" w:rsidRDefault="00EB481C">
            <w:pPr>
              <w:pStyle w:val="P68B1DB1-Normal46"/>
              <w:spacing w:after="0" w:line="240" w:lineRule="auto"/>
              <w:rPr>
                <w:rFonts w:eastAsia="Times New Roman" w:cs="Times New Roman"/>
                <w:noProof/>
              </w:rPr>
            </w:pPr>
            <w:r>
              <w:rPr>
                <w:noProof/>
              </w:rPr>
              <w:t xml:space="preserve">Az alapellátásra és a közösségi ellátásra vonatkozó </w:t>
            </w:r>
            <w:r>
              <w:rPr>
                <w:noProof/>
              </w:rPr>
              <w:t>cselekvési terv</w:t>
            </w:r>
          </w:p>
        </w:tc>
      </w:tr>
      <w:tr w:rsidR="003E1D81" w14:paraId="50516EFF"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9164CC" w14:textId="77777777" w:rsidR="003E1D81" w:rsidRDefault="00EB481C">
            <w:pPr>
              <w:pStyle w:val="P68B1DB1-Normal46"/>
              <w:spacing w:after="0" w:line="240" w:lineRule="auto"/>
              <w:jc w:val="center"/>
              <w:rPr>
                <w:rFonts w:eastAsia="Times New Roman" w:cs="Times New Roman"/>
                <w:noProof/>
              </w:rPr>
            </w:pPr>
            <w:r>
              <w:rPr>
                <w:noProof/>
              </w:rPr>
              <w:t>278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4D4E1D1" w14:textId="77777777" w:rsidR="003E1D81" w:rsidRDefault="00EB481C">
            <w:pPr>
              <w:pStyle w:val="P68B1DB1-Normal46"/>
              <w:spacing w:after="0" w:line="240" w:lineRule="auto"/>
              <w:jc w:val="center"/>
              <w:rPr>
                <w:rFonts w:eastAsia="Times New Roman" w:cs="Times New Roman"/>
                <w:noProof/>
              </w:rPr>
            </w:pPr>
            <w:r>
              <w:rPr>
                <w:noProof/>
              </w:rPr>
              <w:t>C18.I1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5E7E47F"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C35A040" w14:textId="77777777" w:rsidR="003E1D81" w:rsidRDefault="00EB481C">
            <w:pPr>
              <w:pStyle w:val="P68B1DB1-Normal46"/>
              <w:spacing w:after="0" w:line="240" w:lineRule="auto"/>
              <w:rPr>
                <w:rFonts w:eastAsia="Times New Roman" w:cs="Times New Roman"/>
                <w:noProof/>
              </w:rPr>
            </w:pPr>
            <w:r>
              <w:rPr>
                <w:noProof/>
              </w:rPr>
              <w:t xml:space="preserve">A berendezésekre vonatkozó beruházási terv jóváhagyása és a pénzeszközök elosztása </w:t>
            </w:r>
          </w:p>
        </w:tc>
      </w:tr>
      <w:tr w:rsidR="003E1D81" w14:paraId="664D40DD"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1C0BDE" w14:textId="77777777" w:rsidR="003E1D81" w:rsidRDefault="00EB481C">
            <w:pPr>
              <w:pStyle w:val="P68B1DB1-Normal46"/>
              <w:spacing w:after="0" w:line="240" w:lineRule="auto"/>
              <w:jc w:val="center"/>
              <w:rPr>
                <w:rFonts w:eastAsia="Times New Roman" w:cs="Times New Roman"/>
                <w:noProof/>
              </w:rPr>
            </w:pPr>
            <w:r>
              <w:rPr>
                <w:noProof/>
              </w:rPr>
              <w:t>289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2003EAE" w14:textId="77777777" w:rsidR="003E1D81" w:rsidRDefault="00EB481C">
            <w:pPr>
              <w:pStyle w:val="P68B1DB1-Normal46"/>
              <w:spacing w:after="0" w:line="240" w:lineRule="auto"/>
              <w:jc w:val="center"/>
              <w:rPr>
                <w:rFonts w:eastAsia="Times New Roman" w:cs="Times New Roman"/>
                <w:noProof/>
              </w:rPr>
            </w:pPr>
            <w:r>
              <w:rPr>
                <w:noProof/>
              </w:rPr>
              <w:t>C19.I2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E717CCA"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2CD3A96" w14:textId="77777777" w:rsidR="003E1D81" w:rsidRDefault="00EB481C">
            <w:pPr>
              <w:pStyle w:val="P68B1DB1-Normal46"/>
              <w:spacing w:after="0" w:line="240" w:lineRule="auto"/>
              <w:rPr>
                <w:rFonts w:eastAsia="Times New Roman" w:cs="Times New Roman"/>
                <w:noProof/>
              </w:rPr>
            </w:pPr>
            <w:r>
              <w:rPr>
                <w:noProof/>
              </w:rPr>
              <w:t>Program az állami és államilag támogatott iskolák digitális eszközökkel való ellátására</w:t>
            </w:r>
          </w:p>
        </w:tc>
      </w:tr>
      <w:tr w:rsidR="003E1D81" w14:paraId="2535707A"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BE5D37" w14:textId="77777777" w:rsidR="003E1D81" w:rsidRDefault="00EB481C">
            <w:pPr>
              <w:pStyle w:val="P68B1DB1-Normal46"/>
              <w:spacing w:after="0" w:line="240" w:lineRule="auto"/>
              <w:jc w:val="center"/>
              <w:rPr>
                <w:rFonts w:eastAsia="Times New Roman" w:cs="Times New Roman"/>
                <w:noProof/>
              </w:rPr>
            </w:pPr>
            <w:r>
              <w:rPr>
                <w:noProof/>
              </w:rPr>
              <w:t>306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E0AD547" w14:textId="77777777" w:rsidR="003E1D81" w:rsidRDefault="00EB481C">
            <w:pPr>
              <w:pStyle w:val="P68B1DB1-Normal46"/>
              <w:spacing w:after="0" w:line="240" w:lineRule="auto"/>
              <w:jc w:val="center"/>
              <w:rPr>
                <w:rFonts w:eastAsia="Times New Roman" w:cs="Times New Roman"/>
                <w:noProof/>
              </w:rPr>
            </w:pPr>
            <w:r>
              <w:rPr>
                <w:noProof/>
              </w:rPr>
              <w:t>C21.R3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0A4FDE1"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4AC6898" w14:textId="77777777" w:rsidR="003E1D81" w:rsidRDefault="00EB481C">
            <w:pPr>
              <w:pStyle w:val="P68B1DB1-Normal46"/>
              <w:spacing w:after="0" w:line="240" w:lineRule="auto"/>
              <w:rPr>
                <w:rFonts w:eastAsia="Times New Roman" w:cs="Times New Roman"/>
                <w:noProof/>
              </w:rPr>
            </w:pPr>
            <w:r>
              <w:rPr>
                <w:noProof/>
              </w:rPr>
              <w:t xml:space="preserve">Az egyetemek szervezésére </w:t>
            </w:r>
            <w:r>
              <w:rPr>
                <w:noProof/>
              </w:rPr>
              <w:t>vonatkozó királyi rendeletek hatálybalépése</w:t>
            </w:r>
          </w:p>
        </w:tc>
      </w:tr>
      <w:tr w:rsidR="003E1D81" w14:paraId="3FB31BA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28C952" w14:textId="77777777" w:rsidR="003E1D81" w:rsidRDefault="00EB481C">
            <w:pPr>
              <w:pStyle w:val="P68B1DB1-Normal46"/>
              <w:spacing w:after="0" w:line="240" w:lineRule="auto"/>
              <w:jc w:val="center"/>
              <w:rPr>
                <w:rFonts w:eastAsia="Times New Roman" w:cs="Times New Roman"/>
                <w:noProof/>
              </w:rPr>
            </w:pPr>
            <w:r>
              <w:rPr>
                <w:noProof/>
              </w:rPr>
              <w:t>331</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DC00FD4" w14:textId="77777777" w:rsidR="003E1D81" w:rsidRDefault="00EB481C">
            <w:pPr>
              <w:pStyle w:val="P68B1DB1-Normal46"/>
              <w:spacing w:after="0" w:line="240" w:lineRule="auto"/>
              <w:jc w:val="center"/>
              <w:rPr>
                <w:rFonts w:eastAsia="Times New Roman" w:cs="Times New Roman"/>
                <w:noProof/>
              </w:rPr>
            </w:pPr>
            <w:r>
              <w:rPr>
                <w:noProof/>
              </w:rPr>
              <w:t>C23.R3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C2C04F7"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FC7667A" w14:textId="77777777" w:rsidR="003E1D81" w:rsidRDefault="00EB481C">
            <w:pPr>
              <w:pStyle w:val="P68B1DB1-Normal46"/>
              <w:spacing w:after="0" w:line="240" w:lineRule="auto"/>
              <w:rPr>
                <w:rFonts w:eastAsia="Times New Roman" w:cs="Times New Roman"/>
                <w:noProof/>
              </w:rPr>
            </w:pPr>
            <w:r>
              <w:rPr>
                <w:noProof/>
              </w:rPr>
              <w:t>A technológiai eszközökkel harmadik felek részére történő terjesztési tevékenységet végző munkavállalók védelméről szóló királyi törvényerejű rendelet hatálybalépése</w:t>
            </w:r>
          </w:p>
        </w:tc>
      </w:tr>
      <w:tr w:rsidR="003E1D81" w14:paraId="15080A9A"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37CA00" w14:textId="77777777" w:rsidR="003E1D81" w:rsidRDefault="00EB481C">
            <w:pPr>
              <w:pStyle w:val="P68B1DB1-Normal46"/>
              <w:spacing w:after="0" w:line="240" w:lineRule="auto"/>
              <w:jc w:val="center"/>
              <w:rPr>
                <w:rFonts w:eastAsia="Times New Roman" w:cs="Times New Roman"/>
                <w:noProof/>
              </w:rPr>
            </w:pPr>
            <w:r>
              <w:rPr>
                <w:noProof/>
              </w:rPr>
              <w:t>332</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84D4C06" w14:textId="77777777" w:rsidR="003E1D81" w:rsidRDefault="00EB481C">
            <w:pPr>
              <w:pStyle w:val="P68B1DB1-Normal46"/>
              <w:spacing w:after="0" w:line="240" w:lineRule="auto"/>
              <w:jc w:val="center"/>
              <w:rPr>
                <w:rFonts w:eastAsia="Times New Roman" w:cs="Times New Roman"/>
                <w:noProof/>
              </w:rPr>
            </w:pPr>
            <w:r>
              <w:rPr>
                <w:noProof/>
              </w:rPr>
              <w:t>C23.R4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286A5CD8"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3789C12" w14:textId="77777777" w:rsidR="003E1D81" w:rsidRDefault="00EB481C">
            <w:pPr>
              <w:pStyle w:val="P68B1DB1-Normal46"/>
              <w:spacing w:after="0" w:line="240" w:lineRule="auto"/>
              <w:rPr>
                <w:rFonts w:eastAsia="Times New Roman" w:cs="Times New Roman"/>
                <w:noProof/>
              </w:rPr>
            </w:pPr>
            <w:r>
              <w:rPr>
                <w:noProof/>
              </w:rPr>
              <w:t xml:space="preserve">A munkavállalók </w:t>
            </w:r>
            <w:r>
              <w:rPr>
                <w:noProof/>
              </w:rPr>
              <w:t>statútumának módosítása az ideiglenes foglalkoztatás csökkentésének támogatása érdekében a szerződéstípusok számának egyszerűsítése révén</w:t>
            </w:r>
          </w:p>
        </w:tc>
      </w:tr>
      <w:tr w:rsidR="003E1D81" w14:paraId="62C886C0"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8B61ED" w14:textId="77777777" w:rsidR="003E1D81" w:rsidRDefault="00EB481C">
            <w:pPr>
              <w:pStyle w:val="P68B1DB1-Normal46"/>
              <w:spacing w:after="0" w:line="240" w:lineRule="auto"/>
              <w:jc w:val="center"/>
              <w:rPr>
                <w:rFonts w:eastAsia="Times New Roman" w:cs="Times New Roman"/>
                <w:noProof/>
              </w:rPr>
            </w:pPr>
            <w:r>
              <w:rPr>
                <w:noProof/>
              </w:rPr>
              <w:t>334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E38B2D7" w14:textId="77777777" w:rsidR="003E1D81" w:rsidRDefault="00EB481C">
            <w:pPr>
              <w:pStyle w:val="P68B1DB1-Normal46"/>
              <w:spacing w:after="0" w:line="240" w:lineRule="auto"/>
              <w:jc w:val="center"/>
              <w:rPr>
                <w:rFonts w:eastAsia="Times New Roman" w:cs="Times New Roman"/>
                <w:noProof/>
              </w:rPr>
            </w:pPr>
            <w:r>
              <w:rPr>
                <w:noProof/>
              </w:rPr>
              <w:t>C23.R5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031B1C1"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D7D162D" w14:textId="77777777" w:rsidR="003E1D81" w:rsidRDefault="00EB481C">
            <w:pPr>
              <w:pStyle w:val="P68B1DB1-Normal46"/>
              <w:spacing w:after="0" w:line="240" w:lineRule="auto"/>
              <w:rPr>
                <w:rFonts w:eastAsia="Times New Roman" w:cs="Times New Roman"/>
                <w:noProof/>
              </w:rPr>
            </w:pPr>
            <w:r>
              <w:rPr>
                <w:noProof/>
              </w:rPr>
              <w:t>Királyi rendelet a 2021–2024-es időszakra szóló új spanyol foglalkoztatási stratégiáról</w:t>
            </w:r>
          </w:p>
        </w:tc>
      </w:tr>
      <w:tr w:rsidR="003E1D81" w14:paraId="21B068B8"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1E65BC0" w14:textId="77777777" w:rsidR="003E1D81" w:rsidRDefault="00EB481C">
            <w:pPr>
              <w:pStyle w:val="P68B1DB1-Normal46"/>
              <w:spacing w:after="0" w:line="240" w:lineRule="auto"/>
              <w:jc w:val="center"/>
              <w:rPr>
                <w:rFonts w:eastAsia="Times New Roman" w:cs="Times New Roman"/>
                <w:noProof/>
              </w:rPr>
            </w:pPr>
            <w:r>
              <w:rPr>
                <w:noProof/>
              </w:rPr>
              <w:t>336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D5AB316" w14:textId="77777777" w:rsidR="003E1D81" w:rsidRDefault="00EB481C">
            <w:pPr>
              <w:pStyle w:val="P68B1DB1-Normal46"/>
              <w:spacing w:after="0" w:line="240" w:lineRule="auto"/>
              <w:jc w:val="center"/>
              <w:rPr>
                <w:rFonts w:eastAsia="Times New Roman" w:cs="Times New Roman"/>
                <w:noProof/>
              </w:rPr>
            </w:pPr>
            <w:r>
              <w:rPr>
                <w:noProof/>
              </w:rPr>
              <w:t>C23.R6</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B9520C4"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316EDE0" w14:textId="77777777" w:rsidR="003E1D81" w:rsidRDefault="00EB481C">
            <w:pPr>
              <w:pStyle w:val="P68B1DB1-Normal46"/>
              <w:spacing w:after="0" w:line="240" w:lineRule="auto"/>
              <w:rPr>
                <w:rFonts w:eastAsia="Times New Roman" w:cs="Times New Roman"/>
                <w:noProof/>
              </w:rPr>
            </w:pPr>
            <w:r>
              <w:rPr>
                <w:noProof/>
              </w:rPr>
              <w:t xml:space="preserve">A </w:t>
            </w:r>
            <w:r>
              <w:rPr>
                <w:noProof/>
              </w:rPr>
              <w:t xml:space="preserve">munkavállalók statútumának módosítása a ciklikus és strukturális sokkhatásokhoz való alkalmazkodást szolgáló rendszer létrehozása érdekében, beleértve egy olyan rendszert is, amely belső rugalmasságot biztosít a vállalatok számára, és stabilitást biztosít </w:t>
            </w:r>
            <w:r>
              <w:rPr>
                <w:noProof/>
              </w:rPr>
              <w:t>a munkavállalók számára</w:t>
            </w:r>
          </w:p>
        </w:tc>
      </w:tr>
      <w:tr w:rsidR="003E1D81" w14:paraId="2D2B0382"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AE131F" w14:textId="77777777" w:rsidR="003E1D81" w:rsidRDefault="00EB481C">
            <w:pPr>
              <w:pStyle w:val="P68B1DB1-Normal46"/>
              <w:spacing w:after="0" w:line="240" w:lineRule="auto"/>
              <w:jc w:val="center"/>
              <w:rPr>
                <w:rFonts w:eastAsia="Times New Roman" w:cs="Times New Roman"/>
                <w:noProof/>
              </w:rPr>
            </w:pPr>
            <w:r>
              <w:rPr>
                <w:noProof/>
              </w:rPr>
              <w:t>338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C204030" w14:textId="77777777" w:rsidR="003E1D81" w:rsidRDefault="00EB481C">
            <w:pPr>
              <w:pStyle w:val="P68B1DB1-Normal46"/>
              <w:spacing w:after="0" w:line="240" w:lineRule="auto"/>
              <w:jc w:val="center"/>
              <w:rPr>
                <w:rFonts w:eastAsia="Times New Roman" w:cs="Times New Roman"/>
                <w:noProof/>
              </w:rPr>
            </w:pPr>
            <w:r>
              <w:rPr>
                <w:noProof/>
              </w:rPr>
              <w:t>C23.R8</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C4B468E"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EDE9C9D" w14:textId="77777777" w:rsidR="003E1D81" w:rsidRDefault="00EB481C">
            <w:pPr>
              <w:pStyle w:val="P68B1DB1-Normal46"/>
              <w:spacing w:after="0" w:line="240" w:lineRule="auto"/>
              <w:rPr>
                <w:rFonts w:eastAsia="Times New Roman" w:cs="Times New Roman"/>
                <w:noProof/>
              </w:rPr>
            </w:pPr>
            <w:r>
              <w:rPr>
                <w:noProof/>
              </w:rPr>
              <w:t xml:space="preserve">A munkavállalók statútumának módosítása a kollektív tárgyalásokra vonatkozó jogi szabályok javítása érdekében </w:t>
            </w:r>
          </w:p>
        </w:tc>
      </w:tr>
      <w:tr w:rsidR="003E1D81" w14:paraId="11FCB514"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326F36" w14:textId="77777777" w:rsidR="003E1D81" w:rsidRDefault="00EB481C">
            <w:pPr>
              <w:pStyle w:val="P68B1DB1-Normal46"/>
              <w:spacing w:after="0" w:line="240" w:lineRule="auto"/>
              <w:jc w:val="center"/>
              <w:rPr>
                <w:rFonts w:eastAsia="Times New Roman" w:cs="Times New Roman"/>
                <w:noProof/>
              </w:rPr>
            </w:pPr>
            <w:r>
              <w:rPr>
                <w:noProof/>
              </w:rPr>
              <w:t>339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7E1546B" w14:textId="77777777" w:rsidR="003E1D81" w:rsidRDefault="00EB481C">
            <w:pPr>
              <w:pStyle w:val="P68B1DB1-Normal46"/>
              <w:spacing w:after="0" w:line="240" w:lineRule="auto"/>
              <w:jc w:val="center"/>
              <w:rPr>
                <w:rFonts w:eastAsia="Times New Roman" w:cs="Times New Roman"/>
                <w:noProof/>
              </w:rPr>
            </w:pPr>
            <w:r>
              <w:rPr>
                <w:noProof/>
              </w:rPr>
              <w:t>C23.R9</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A7052A1"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21EC873" w14:textId="77777777" w:rsidR="003E1D81" w:rsidRDefault="00EB481C">
            <w:pPr>
              <w:pStyle w:val="P68B1DB1-Normal46"/>
              <w:spacing w:after="0" w:line="240" w:lineRule="auto"/>
              <w:rPr>
                <w:rFonts w:eastAsia="Times New Roman" w:cs="Times New Roman"/>
                <w:noProof/>
              </w:rPr>
            </w:pPr>
            <w:r>
              <w:rPr>
                <w:noProof/>
              </w:rPr>
              <w:t xml:space="preserve">A munkavállalók statútumának módosítása az alvállalkozásban dolgozó személyek jogainak </w:t>
            </w:r>
            <w:r>
              <w:rPr>
                <w:noProof/>
              </w:rPr>
              <w:t>javítása érdekében</w:t>
            </w:r>
          </w:p>
        </w:tc>
      </w:tr>
      <w:tr w:rsidR="003E1D81" w14:paraId="6171C868"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BB76D1" w14:textId="77777777" w:rsidR="003E1D81" w:rsidRDefault="00EB481C">
            <w:pPr>
              <w:pStyle w:val="P68B1DB1-Normal46"/>
              <w:spacing w:after="0" w:line="240" w:lineRule="auto"/>
              <w:jc w:val="center"/>
              <w:rPr>
                <w:rFonts w:eastAsia="Times New Roman" w:cs="Times New Roman"/>
                <w:noProof/>
              </w:rPr>
            </w:pPr>
            <w:r>
              <w:rPr>
                <w:noProof/>
              </w:rPr>
              <w:t>345</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0C9EC66" w14:textId="77777777" w:rsidR="003E1D81" w:rsidRDefault="00EB481C">
            <w:pPr>
              <w:pStyle w:val="P68B1DB1-Normal46"/>
              <w:spacing w:after="0" w:line="240" w:lineRule="auto"/>
              <w:jc w:val="center"/>
              <w:rPr>
                <w:rFonts w:eastAsia="Times New Roman" w:cs="Times New Roman"/>
                <w:noProof/>
              </w:rPr>
            </w:pPr>
            <w:r>
              <w:rPr>
                <w:noProof/>
              </w:rPr>
              <w:t>C23.I4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D7EA892"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F15C6A0" w14:textId="77777777" w:rsidR="003E1D81" w:rsidRDefault="00EB481C">
            <w:pPr>
              <w:pStyle w:val="P68B1DB1-Normal46"/>
              <w:spacing w:after="0" w:line="240" w:lineRule="auto"/>
              <w:rPr>
                <w:rFonts w:eastAsia="Times New Roman" w:cs="Times New Roman"/>
                <w:noProof/>
              </w:rPr>
            </w:pPr>
            <w:r>
              <w:rPr>
                <w:noProof/>
              </w:rPr>
              <w:t xml:space="preserve">A veszélyeztetett csoportokra, a vállalkozói szellemre és a mikrovállalkozásokra irányuló területi projektekre szánt források regionális elosztásának jóváhagyása. </w:t>
            </w:r>
          </w:p>
        </w:tc>
      </w:tr>
      <w:tr w:rsidR="003E1D81" w14:paraId="7D5A64A0"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222747" w14:textId="77777777" w:rsidR="003E1D81" w:rsidRDefault="00EB481C">
            <w:pPr>
              <w:pStyle w:val="P68B1DB1-Normal46"/>
              <w:spacing w:after="0" w:line="240" w:lineRule="auto"/>
              <w:jc w:val="center"/>
              <w:rPr>
                <w:rFonts w:eastAsia="Times New Roman" w:cs="Times New Roman"/>
                <w:noProof/>
              </w:rPr>
            </w:pPr>
            <w:r>
              <w:rPr>
                <w:noProof/>
              </w:rPr>
              <w:t>378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A49C567" w14:textId="77777777" w:rsidR="003E1D81" w:rsidRDefault="00EB481C">
            <w:pPr>
              <w:pStyle w:val="P68B1DB1-Normal46"/>
              <w:spacing w:after="0" w:line="240" w:lineRule="auto"/>
              <w:jc w:val="center"/>
              <w:rPr>
                <w:rFonts w:eastAsia="Times New Roman" w:cs="Times New Roman"/>
                <w:noProof/>
              </w:rPr>
            </w:pPr>
            <w:r>
              <w:rPr>
                <w:noProof/>
              </w:rPr>
              <w:t>C27.R2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2B26EEDD" w14:textId="77777777" w:rsidR="003E1D81" w:rsidRDefault="00EB481C">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FA66416" w14:textId="77777777" w:rsidR="003E1D81" w:rsidRDefault="00EB481C">
            <w:pPr>
              <w:pStyle w:val="P68B1DB1-Normal46"/>
              <w:spacing w:after="0" w:line="240" w:lineRule="auto"/>
              <w:rPr>
                <w:rFonts w:eastAsia="Times New Roman" w:cs="Times New Roman"/>
                <w:noProof/>
              </w:rPr>
            </w:pPr>
            <w:r>
              <w:rPr>
                <w:noProof/>
              </w:rPr>
              <w:t xml:space="preserve">Az adóhatóság korszerűsítése – Az adóhatóság </w:t>
            </w:r>
            <w:r>
              <w:rPr>
                <w:noProof/>
              </w:rPr>
              <w:t>személyzetének létszáma</w:t>
            </w:r>
          </w:p>
        </w:tc>
      </w:tr>
      <w:tr w:rsidR="003E1D81" w14:paraId="399D84E0"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D336A7" w14:textId="77777777" w:rsidR="003E1D81" w:rsidRDefault="00EB481C">
            <w:pPr>
              <w:pStyle w:val="P68B1DB1-Normal46"/>
              <w:spacing w:after="0" w:line="240" w:lineRule="auto"/>
              <w:jc w:val="center"/>
              <w:rPr>
                <w:rFonts w:eastAsia="Times New Roman" w:cs="Times New Roman"/>
                <w:noProof/>
              </w:rPr>
            </w:pPr>
            <w:r>
              <w:rPr>
                <w:noProof/>
              </w:rPr>
              <w:t>379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4E46721" w14:textId="77777777" w:rsidR="003E1D81" w:rsidRDefault="00EB481C">
            <w:pPr>
              <w:pStyle w:val="P68B1DB1-Normal46"/>
              <w:spacing w:after="0" w:line="240" w:lineRule="auto"/>
              <w:jc w:val="center"/>
              <w:rPr>
                <w:rFonts w:eastAsia="Times New Roman" w:cs="Times New Roman"/>
                <w:noProof/>
              </w:rPr>
            </w:pPr>
            <w:r>
              <w:rPr>
                <w:noProof/>
              </w:rPr>
              <w:t>C27.R2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9553B40" w14:textId="77777777" w:rsidR="003E1D81" w:rsidRDefault="00EB481C">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5CECD0F" w14:textId="77777777" w:rsidR="003E1D81" w:rsidRDefault="00EB481C">
            <w:pPr>
              <w:pStyle w:val="P68B1DB1-Normal46"/>
              <w:spacing w:after="0" w:line="240" w:lineRule="auto"/>
              <w:rPr>
                <w:rFonts w:eastAsia="Times New Roman" w:cs="Times New Roman"/>
                <w:noProof/>
              </w:rPr>
            </w:pPr>
            <w:r>
              <w:rPr>
                <w:noProof/>
              </w:rPr>
              <w:t>Az adóhatóság korszerűsítése – Adóvizsgálatok</w:t>
            </w:r>
          </w:p>
        </w:tc>
      </w:tr>
      <w:tr w:rsidR="003E1D81" w14:paraId="6102C70A"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FF69B4" w14:textId="77777777" w:rsidR="003E1D81" w:rsidRDefault="00EB481C">
            <w:pPr>
              <w:pStyle w:val="P68B1DB1-Normal46"/>
              <w:spacing w:after="0" w:line="240" w:lineRule="auto"/>
              <w:jc w:val="center"/>
              <w:rPr>
                <w:rFonts w:eastAsia="Times New Roman" w:cs="Times New Roman"/>
                <w:noProof/>
              </w:rPr>
            </w:pPr>
            <w:r>
              <w:rPr>
                <w:noProof/>
              </w:rPr>
              <w:t>380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387008B" w14:textId="77777777" w:rsidR="003E1D81" w:rsidRDefault="00EB481C">
            <w:pPr>
              <w:pStyle w:val="P68B1DB1-Normal46"/>
              <w:spacing w:after="0" w:line="240" w:lineRule="auto"/>
              <w:jc w:val="center"/>
              <w:rPr>
                <w:rFonts w:eastAsia="Times New Roman" w:cs="Times New Roman"/>
                <w:noProof/>
              </w:rPr>
            </w:pPr>
            <w:r>
              <w:rPr>
                <w:noProof/>
              </w:rPr>
              <w:t>C27.R3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D2CD2E6" w14:textId="77777777" w:rsidR="003E1D81" w:rsidRDefault="00EB481C">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BA3ABCD" w14:textId="77777777" w:rsidR="003E1D81" w:rsidRDefault="00EB481C">
            <w:pPr>
              <w:pStyle w:val="P68B1DB1-Normal46"/>
              <w:spacing w:after="0" w:line="240" w:lineRule="auto"/>
              <w:rPr>
                <w:rFonts w:eastAsia="Times New Roman" w:cs="Times New Roman"/>
                <w:noProof/>
              </w:rPr>
            </w:pPr>
            <w:r>
              <w:rPr>
                <w:noProof/>
              </w:rPr>
              <w:t>Fokozott segítségnyújtás az adófizetőknek – a Sociedades Web korszerűsítése és legalább 1666123 adózó számára elérhető.</w:t>
            </w:r>
          </w:p>
        </w:tc>
      </w:tr>
      <w:tr w:rsidR="003E1D81" w14:paraId="7F48A702"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9AB63B" w14:textId="77777777" w:rsidR="003E1D81" w:rsidRDefault="00EB481C">
            <w:pPr>
              <w:pStyle w:val="P68B1DB1-Normal46"/>
              <w:spacing w:after="0" w:line="240" w:lineRule="auto"/>
              <w:jc w:val="center"/>
              <w:rPr>
                <w:rFonts w:eastAsia="Times New Roman" w:cs="Times New Roman"/>
                <w:noProof/>
              </w:rPr>
            </w:pPr>
            <w:r>
              <w:rPr>
                <w:noProof/>
              </w:rPr>
              <w:t>381</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44DC8FB" w14:textId="77777777" w:rsidR="003E1D81" w:rsidRDefault="00EB481C">
            <w:pPr>
              <w:pStyle w:val="P68B1DB1-Normal46"/>
              <w:spacing w:after="0" w:line="240" w:lineRule="auto"/>
              <w:jc w:val="center"/>
              <w:rPr>
                <w:rFonts w:eastAsia="Times New Roman" w:cs="Times New Roman"/>
                <w:noProof/>
              </w:rPr>
            </w:pPr>
            <w:r>
              <w:rPr>
                <w:noProof/>
              </w:rPr>
              <w:t>C27.R3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7240CF6" w14:textId="77777777" w:rsidR="003E1D81" w:rsidRDefault="00EB481C">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D123A05" w14:textId="77777777" w:rsidR="003E1D81" w:rsidRDefault="00EB481C">
            <w:pPr>
              <w:pStyle w:val="P68B1DB1-Normal46"/>
              <w:spacing w:after="0" w:line="240" w:lineRule="auto"/>
              <w:rPr>
                <w:rFonts w:eastAsia="Times New Roman" w:cs="Times New Roman"/>
                <w:noProof/>
              </w:rPr>
            </w:pPr>
            <w:r>
              <w:rPr>
                <w:noProof/>
              </w:rPr>
              <w:t>Fokozott segítségnyújtás</w:t>
            </w:r>
            <w:r>
              <w:rPr>
                <w:noProof/>
              </w:rPr>
              <w:t xml:space="preserve"> az adófizetőknek – a Renta Web korszerűsítése és rendelkezésre állása legalább 1779505 adózó számára</w:t>
            </w:r>
          </w:p>
        </w:tc>
      </w:tr>
      <w:tr w:rsidR="003E1D81" w14:paraId="5D1E0B56"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3BE5B9" w14:textId="77777777" w:rsidR="003E1D81" w:rsidRDefault="00EB481C">
            <w:pPr>
              <w:pStyle w:val="P68B1DB1-Normal46"/>
              <w:spacing w:after="0" w:line="240" w:lineRule="auto"/>
              <w:jc w:val="center"/>
              <w:rPr>
                <w:rFonts w:eastAsia="Times New Roman" w:cs="Times New Roman"/>
                <w:noProof/>
              </w:rPr>
            </w:pPr>
            <w:r>
              <w:rPr>
                <w:noProof/>
              </w:rPr>
              <w:t>383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1E8B690" w14:textId="77777777" w:rsidR="003E1D81" w:rsidRDefault="00EB481C">
            <w:pPr>
              <w:pStyle w:val="P68B1DB1-Normal46"/>
              <w:spacing w:after="0" w:line="240" w:lineRule="auto"/>
              <w:jc w:val="center"/>
              <w:rPr>
                <w:rFonts w:eastAsia="Times New Roman" w:cs="Times New Roman"/>
                <w:noProof/>
              </w:rPr>
            </w:pPr>
            <w:r>
              <w:rPr>
                <w:noProof/>
              </w:rPr>
              <w:t>C27.R4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27B06950" w14:textId="77777777" w:rsidR="003E1D81" w:rsidRDefault="00EB481C">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5C4E1FA" w14:textId="77777777" w:rsidR="003E1D81" w:rsidRDefault="00EB481C">
            <w:pPr>
              <w:pStyle w:val="P68B1DB1-Normal46"/>
              <w:spacing w:after="0" w:line="240" w:lineRule="auto"/>
              <w:rPr>
                <w:rFonts w:eastAsia="Times New Roman" w:cs="Times New Roman"/>
                <w:noProof/>
              </w:rPr>
            </w:pPr>
            <w:r>
              <w:rPr>
                <w:noProof/>
              </w:rPr>
              <w:t xml:space="preserve">Nemzetközi dimenzió – A nyilvántartásba vett külföldi adófizetők azonosítása </w:t>
            </w:r>
          </w:p>
        </w:tc>
      </w:tr>
      <w:tr w:rsidR="003E1D81" w14:paraId="11B29C5D"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4A5C213" w14:textId="77777777" w:rsidR="003E1D81" w:rsidRDefault="00EB481C">
            <w:pPr>
              <w:pStyle w:val="P68B1DB1-Normal46"/>
              <w:spacing w:after="0" w:line="240" w:lineRule="auto"/>
              <w:jc w:val="center"/>
              <w:rPr>
                <w:rFonts w:eastAsia="Times New Roman" w:cs="Times New Roman"/>
                <w:noProof/>
              </w:rPr>
            </w:pPr>
            <w:r>
              <w:rPr>
                <w:noProof/>
              </w:rPr>
              <w:t>384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61338F4" w14:textId="77777777" w:rsidR="003E1D81" w:rsidRDefault="00EB481C">
            <w:pPr>
              <w:pStyle w:val="P68B1DB1-Normal46"/>
              <w:spacing w:after="0" w:line="240" w:lineRule="auto"/>
              <w:jc w:val="center"/>
              <w:rPr>
                <w:rFonts w:eastAsia="Times New Roman" w:cs="Times New Roman"/>
                <w:noProof/>
              </w:rPr>
            </w:pPr>
            <w:r>
              <w:rPr>
                <w:noProof/>
              </w:rPr>
              <w:t>C27.R5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A7CD19D" w14:textId="77777777" w:rsidR="003E1D81" w:rsidRDefault="00EB481C">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182603B" w14:textId="77777777" w:rsidR="003E1D81" w:rsidRDefault="00EB481C">
            <w:pPr>
              <w:pStyle w:val="P68B1DB1-Normal46"/>
              <w:spacing w:after="0" w:line="240" w:lineRule="auto"/>
              <w:rPr>
                <w:rFonts w:eastAsia="Times New Roman" w:cs="Times New Roman"/>
                <w:noProof/>
              </w:rPr>
            </w:pPr>
            <w:r>
              <w:rPr>
                <w:noProof/>
              </w:rPr>
              <w:t>Együttműködési modell – Átláthatósági jelentések</w:t>
            </w:r>
          </w:p>
        </w:tc>
      </w:tr>
      <w:tr w:rsidR="003E1D81" w14:paraId="410E88F6"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2568F7" w14:textId="77777777" w:rsidR="003E1D81" w:rsidRDefault="00EB481C">
            <w:pPr>
              <w:pStyle w:val="P68B1DB1-Normal46"/>
              <w:spacing w:after="0" w:line="240" w:lineRule="auto"/>
              <w:jc w:val="center"/>
              <w:rPr>
                <w:rFonts w:eastAsia="Times New Roman" w:cs="Times New Roman"/>
                <w:noProof/>
              </w:rPr>
            </w:pPr>
            <w:r>
              <w:rPr>
                <w:noProof/>
              </w:rPr>
              <w:t>389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23882A8" w14:textId="77777777" w:rsidR="003E1D81" w:rsidRDefault="00EB481C">
            <w:pPr>
              <w:pStyle w:val="P68B1DB1-Normal46"/>
              <w:spacing w:after="0" w:line="240" w:lineRule="auto"/>
              <w:jc w:val="center"/>
              <w:rPr>
                <w:rFonts w:eastAsia="Times New Roman" w:cs="Times New Roman"/>
                <w:noProof/>
              </w:rPr>
            </w:pPr>
            <w:r>
              <w:rPr>
                <w:noProof/>
              </w:rPr>
              <w:t>C28.R4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CF91FFB"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C4C9576" w14:textId="77777777" w:rsidR="003E1D81" w:rsidRDefault="00EB481C">
            <w:pPr>
              <w:pStyle w:val="P68B1DB1-Normal46"/>
              <w:spacing w:after="0" w:line="240" w:lineRule="auto"/>
              <w:rPr>
                <w:rFonts w:eastAsia="Times New Roman" w:cs="Times New Roman"/>
                <w:noProof/>
              </w:rPr>
            </w:pPr>
            <w:r>
              <w:rPr>
                <w:noProof/>
              </w:rPr>
              <w:t>Az egyszer használatos műanyagokra és hulladékokra kivetett adók</w:t>
            </w:r>
          </w:p>
        </w:tc>
      </w:tr>
      <w:tr w:rsidR="003E1D81" w14:paraId="1405C776"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A92EF0" w14:textId="77777777" w:rsidR="003E1D81" w:rsidRDefault="00EB481C">
            <w:pPr>
              <w:pStyle w:val="P68B1DB1-Normal46"/>
              <w:spacing w:after="0" w:line="240" w:lineRule="auto"/>
              <w:jc w:val="center"/>
              <w:rPr>
                <w:rFonts w:eastAsia="Times New Roman" w:cs="Times New Roman"/>
                <w:noProof/>
              </w:rPr>
            </w:pPr>
            <w:r>
              <w:rPr>
                <w:noProof/>
              </w:rPr>
              <w:t>400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67AAAC5" w14:textId="77777777" w:rsidR="003E1D81" w:rsidRDefault="00EB481C">
            <w:pPr>
              <w:pStyle w:val="P68B1DB1-Normal46"/>
              <w:spacing w:after="0" w:line="240" w:lineRule="auto"/>
              <w:jc w:val="center"/>
              <w:rPr>
                <w:rFonts w:eastAsia="Times New Roman" w:cs="Times New Roman"/>
                <w:noProof/>
              </w:rPr>
            </w:pPr>
            <w:r>
              <w:rPr>
                <w:noProof/>
              </w:rPr>
              <w:t>C29.R1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AF60B87"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C250A37" w14:textId="77777777" w:rsidR="003E1D81" w:rsidRDefault="00EB481C">
            <w:pPr>
              <w:pStyle w:val="P68B1DB1-Normal46"/>
              <w:spacing w:after="0" w:line="240" w:lineRule="auto"/>
              <w:rPr>
                <w:rFonts w:eastAsia="Times New Roman" w:cs="Times New Roman"/>
                <w:noProof/>
              </w:rPr>
            </w:pPr>
            <w:r>
              <w:rPr>
                <w:noProof/>
              </w:rPr>
              <w:t>A Miniszterek Tanácsa jóváhagyta az AIReF-nek megrendelendő kiadási felülvizsgálatok új ciklusát (2022–26).</w:t>
            </w:r>
          </w:p>
        </w:tc>
      </w:tr>
      <w:tr w:rsidR="003E1D81" w14:paraId="32948522"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C1A76D" w14:textId="77777777" w:rsidR="003E1D81" w:rsidRDefault="00EB481C">
            <w:pPr>
              <w:pStyle w:val="P68B1DB1-Normal46"/>
              <w:spacing w:after="0" w:line="240" w:lineRule="auto"/>
              <w:jc w:val="center"/>
              <w:rPr>
                <w:rFonts w:eastAsia="Times New Roman" w:cs="Times New Roman"/>
                <w:noProof/>
              </w:rPr>
            </w:pPr>
            <w:r>
              <w:rPr>
                <w:noProof/>
              </w:rPr>
              <w:t>403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C40C4DB" w14:textId="77777777" w:rsidR="003E1D81" w:rsidRDefault="00EB481C">
            <w:pPr>
              <w:pStyle w:val="P68B1DB1-Normal46"/>
              <w:spacing w:after="0" w:line="240" w:lineRule="auto"/>
              <w:jc w:val="center"/>
              <w:rPr>
                <w:rFonts w:eastAsia="Times New Roman" w:cs="Times New Roman"/>
                <w:noProof/>
              </w:rPr>
            </w:pPr>
            <w:r>
              <w:rPr>
                <w:noProof/>
              </w:rPr>
              <w:t>C29.R2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0BCCF19C"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05D9E73" w14:textId="77777777" w:rsidR="003E1D81" w:rsidRDefault="00EB481C">
            <w:pPr>
              <w:pStyle w:val="P68B1DB1-Normal46"/>
              <w:spacing w:after="0" w:line="240" w:lineRule="auto"/>
              <w:rPr>
                <w:rFonts w:eastAsia="Times New Roman" w:cs="Times New Roman"/>
                <w:noProof/>
              </w:rPr>
            </w:pPr>
            <w:r>
              <w:rPr>
                <w:noProof/>
              </w:rPr>
              <w:t xml:space="preserve">A költségvetés és a fenntartható </w:t>
            </w:r>
            <w:r>
              <w:rPr>
                <w:noProof/>
              </w:rPr>
              <w:t>fejlődési célok közötti összhangról szóló jelentés</w:t>
            </w:r>
          </w:p>
        </w:tc>
      </w:tr>
      <w:tr w:rsidR="003E1D81" w14:paraId="49B99F65"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6C43DA6" w14:textId="77777777" w:rsidR="003E1D81" w:rsidRDefault="00EB481C">
            <w:pPr>
              <w:pStyle w:val="P68B1DB1-Normal46"/>
              <w:spacing w:after="0" w:line="240" w:lineRule="auto"/>
              <w:jc w:val="center"/>
              <w:rPr>
                <w:rFonts w:eastAsia="Times New Roman" w:cs="Times New Roman"/>
                <w:noProof/>
              </w:rPr>
            </w:pPr>
            <w:r>
              <w:rPr>
                <w:noProof/>
              </w:rPr>
              <w:t>407</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17DCA0B" w14:textId="77777777" w:rsidR="003E1D81" w:rsidRDefault="00EB481C">
            <w:pPr>
              <w:pStyle w:val="P68B1DB1-Normal46"/>
              <w:spacing w:after="0" w:line="240" w:lineRule="auto"/>
              <w:jc w:val="center"/>
              <w:rPr>
                <w:rFonts w:eastAsia="Times New Roman" w:cs="Times New Roman"/>
                <w:noProof/>
              </w:rPr>
            </w:pPr>
            <w:r>
              <w:rPr>
                <w:noProof/>
              </w:rPr>
              <w:t>C30.R2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1BCDF70" w14:textId="77777777" w:rsidR="003E1D81" w:rsidRDefault="00EB481C">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5D4A48E" w14:textId="77777777" w:rsidR="003E1D81" w:rsidRDefault="00EB481C">
            <w:pPr>
              <w:pStyle w:val="P68B1DB1-Normal46"/>
              <w:spacing w:after="0" w:line="240" w:lineRule="auto"/>
              <w:rPr>
                <w:rFonts w:eastAsia="Times New Roman" w:cs="Times New Roman"/>
                <w:noProof/>
              </w:rPr>
            </w:pPr>
            <w:r>
              <w:rPr>
                <w:noProof/>
              </w:rPr>
              <w:t>A nyugdíjak vásárlóerejének fenntartása, valamint a tényleges nyugdíjkorhatár és a törvényes nyugdíjkorhatár összehangolása</w:t>
            </w:r>
          </w:p>
        </w:tc>
      </w:tr>
      <w:tr w:rsidR="003E1D81" w14:paraId="45708A50"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24CE4A" w14:textId="77777777" w:rsidR="003E1D81" w:rsidRDefault="003E1D81">
            <w:pPr>
              <w:spacing w:after="0" w:line="240" w:lineRule="auto"/>
              <w:jc w:val="center"/>
              <w:rPr>
                <w:rFonts w:ascii="Times New Roman" w:eastAsia="Times New Roman" w:hAnsi="Times New Roman" w:cs="Times New Roman"/>
                <w:noProof/>
                <w:sz w:val="20"/>
              </w:rPr>
            </w:pP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C0ADC9A" w14:textId="77777777" w:rsidR="003E1D81" w:rsidRDefault="003E1D81">
            <w:pPr>
              <w:spacing w:after="0" w:line="240" w:lineRule="auto"/>
              <w:jc w:val="center"/>
              <w:rPr>
                <w:rFonts w:ascii="Times New Roman" w:eastAsia="Times New Roman" w:hAnsi="Times New Roman" w:cs="Times New Roman"/>
                <w:noProof/>
                <w:sz w:val="20"/>
              </w:rPr>
            </w:pP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7BDD331" w14:textId="77777777" w:rsidR="003E1D81" w:rsidRDefault="00EB481C">
            <w:pPr>
              <w:pStyle w:val="P68B1DB1-Normal45"/>
              <w:spacing w:after="0" w:line="240" w:lineRule="auto"/>
              <w:jc w:val="center"/>
              <w:rPr>
                <w:rFonts w:eastAsia="Times New Roman" w:cs="Times New Roman"/>
                <w:noProof/>
              </w:rPr>
            </w:pPr>
            <w:r>
              <w:rPr>
                <w:noProof/>
              </w:rPr>
              <w:t>Részösszeg</w:t>
            </w:r>
          </w:p>
        </w:tc>
        <w:tc>
          <w:tcPr>
            <w:tcW w:w="6095" w:type="dxa"/>
            <w:tcBorders>
              <w:top w:val="single" w:sz="4" w:space="0" w:color="auto"/>
              <w:left w:val="nil"/>
              <w:bottom w:val="single" w:sz="4" w:space="0" w:color="auto"/>
              <w:right w:val="single" w:sz="4" w:space="0" w:color="auto"/>
            </w:tcBorders>
            <w:shd w:val="clear" w:color="auto" w:fill="C6EFCE"/>
            <w:noWrap/>
            <w:vAlign w:val="center"/>
          </w:tcPr>
          <w:p w14:paraId="085BD113" w14:textId="20E59525" w:rsidR="003E1D81" w:rsidRDefault="00EB481C">
            <w:pPr>
              <w:pStyle w:val="P68B1DB1-Normal45"/>
              <w:spacing w:after="0" w:line="240" w:lineRule="auto"/>
              <w:rPr>
                <w:rFonts w:eastAsia="Times New Roman" w:cs="Times New Roman"/>
                <w:noProof/>
              </w:rPr>
            </w:pPr>
            <w:r>
              <w:rPr>
                <w:noProof/>
              </w:rPr>
              <w:t>·EURÓPAI BIZOTTSÁG 13 793 103 448 EUR</w:t>
            </w:r>
          </w:p>
        </w:tc>
      </w:tr>
    </w:tbl>
    <w:p w14:paraId="0976F2B0" w14:textId="77777777" w:rsidR="003E1D81" w:rsidRDefault="003E1D81">
      <w:pPr>
        <w:spacing w:before="120" w:after="120" w:line="240" w:lineRule="auto"/>
        <w:jc w:val="both"/>
        <w:rPr>
          <w:rFonts w:ascii="Times New Roman" w:eastAsia="Calibri" w:hAnsi="Times New Roman" w:cs="Times New Roman"/>
          <w:noProof/>
          <w:sz w:val="24"/>
        </w:rPr>
      </w:pPr>
    </w:p>
    <w:p w14:paraId="3348F253" w14:textId="77777777"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Harmadik részösszeg (vissza nem térítendő támogatás): </w:t>
      </w:r>
    </w:p>
    <w:tbl>
      <w:tblPr>
        <w:tblW w:w="9663" w:type="dxa"/>
        <w:tblInd w:w="113" w:type="dxa"/>
        <w:tblLook w:val="04A0" w:firstRow="1" w:lastRow="0" w:firstColumn="1" w:lastColumn="0" w:noHBand="0" w:noVBand="1"/>
      </w:tblPr>
      <w:tblGrid>
        <w:gridCol w:w="1300"/>
        <w:gridCol w:w="1443"/>
        <w:gridCol w:w="1416"/>
        <w:gridCol w:w="5670"/>
      </w:tblGrid>
      <w:tr w:rsidR="003E1D81" w14:paraId="3EF5B9FC"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0853053" w14:textId="77777777" w:rsidR="003E1D81" w:rsidRDefault="00EB481C">
            <w:pPr>
              <w:pStyle w:val="P68B1DB1-Normal45"/>
              <w:spacing w:after="0" w:line="240" w:lineRule="auto"/>
              <w:jc w:val="center"/>
              <w:rPr>
                <w:rFonts w:eastAsia="Times New Roman" w:cs="Times New Roman"/>
                <w:noProof/>
              </w:rPr>
            </w:pPr>
            <w:r>
              <w:rPr>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09B8F48" w14:textId="77777777" w:rsidR="003E1D81" w:rsidRDefault="00EB481C">
            <w:pPr>
              <w:pStyle w:val="P68B1DB1-Normal45"/>
              <w:spacing w:after="0" w:line="240" w:lineRule="auto"/>
              <w:jc w:val="center"/>
              <w:rPr>
                <w:rFonts w:eastAsia="Times New Roman" w:cs="Times New Roman"/>
                <w:noProof/>
              </w:rPr>
            </w:pPr>
            <w:r>
              <w:rPr>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AD4A0A9"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5A2455A0"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415F6468"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3ECD0BC" w14:textId="77777777" w:rsidR="003E1D81" w:rsidRDefault="003E1D81">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F10B47B" w14:textId="77777777" w:rsidR="003E1D81" w:rsidRDefault="003E1D81">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EE8BA03" w14:textId="77777777" w:rsidR="003E1D81" w:rsidRDefault="003E1D81">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6134CB12" w14:textId="77777777" w:rsidR="003E1D81" w:rsidRDefault="003E1D81">
            <w:pPr>
              <w:spacing w:after="0" w:line="240" w:lineRule="auto"/>
              <w:rPr>
                <w:rFonts w:ascii="Times New Roman" w:eastAsia="Times New Roman" w:hAnsi="Times New Roman" w:cs="Times New Roman"/>
                <w:b/>
                <w:noProof/>
                <w:sz w:val="20"/>
              </w:rPr>
            </w:pPr>
          </w:p>
        </w:tc>
      </w:tr>
      <w:tr w:rsidR="003E1D81" w14:paraId="3049448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9BAEB8" w14:textId="77777777" w:rsidR="003E1D81" w:rsidRDefault="00EB481C">
            <w:pPr>
              <w:pStyle w:val="P68B1DB1-Normal46"/>
              <w:spacing w:after="0" w:line="240" w:lineRule="auto"/>
              <w:jc w:val="center"/>
              <w:rPr>
                <w:rFonts w:eastAsia="Times New Roman" w:cs="Times New Roman"/>
                <w:noProof/>
              </w:rPr>
            </w:pPr>
            <w:r>
              <w:rPr>
                <w:noProof/>
              </w:rPr>
              <w:t>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8A8085" w14:textId="77777777" w:rsidR="003E1D81" w:rsidRDefault="00EB481C">
            <w:pPr>
              <w:pStyle w:val="P68B1DB1-Normal46"/>
              <w:spacing w:after="0" w:line="240" w:lineRule="auto"/>
              <w:rPr>
                <w:rFonts w:eastAsia="Times New Roman" w:cs="Times New Roman"/>
                <w:noProof/>
              </w:rPr>
            </w:pPr>
            <w:r>
              <w:rPr>
                <w:noProof/>
              </w:rPr>
              <w:t>C1.R1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712039"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EDDD23" w14:textId="77777777" w:rsidR="003E1D81" w:rsidRDefault="00EB481C">
            <w:pPr>
              <w:pStyle w:val="P68B1DB1-Normal46"/>
              <w:spacing w:after="0" w:line="240" w:lineRule="auto"/>
              <w:rPr>
                <w:rFonts w:eastAsia="Times New Roman" w:cs="Times New Roman"/>
                <w:noProof/>
              </w:rPr>
            </w:pPr>
            <w:r>
              <w:rPr>
                <w:noProof/>
              </w:rPr>
              <w:t>Az épületek műszaki szabályzatának (megerősítendő), a kisfeszültségű elektrotechnikai rendelet (lver) módosításai</w:t>
            </w:r>
            <w:r>
              <w:rPr>
                <w:noProof/>
              </w:rPr>
              <w:t xml:space="preserve"> és a nyilvános elektromos töltési szolgáltatások szabályozásáról szóló királyi rendelet jóváhagyása</w:t>
            </w:r>
          </w:p>
        </w:tc>
      </w:tr>
      <w:tr w:rsidR="003E1D81" w14:paraId="5EDC68A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D7E850" w14:textId="77777777" w:rsidR="003E1D81" w:rsidRDefault="00EB481C">
            <w:pPr>
              <w:pStyle w:val="P68B1DB1-Normal46"/>
              <w:spacing w:after="0" w:line="240" w:lineRule="auto"/>
              <w:jc w:val="center"/>
              <w:rPr>
                <w:rFonts w:eastAsia="Times New Roman" w:cs="Times New Roman"/>
                <w:noProof/>
              </w:rPr>
            </w:pPr>
            <w:r>
              <w:rPr>
                <w:noProof/>
              </w:rPr>
              <w:t>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6F7E7AE" w14:textId="77777777" w:rsidR="003E1D81" w:rsidRDefault="00EB481C">
            <w:pPr>
              <w:pStyle w:val="P68B1DB1-Normal46"/>
              <w:spacing w:after="0" w:line="240" w:lineRule="auto"/>
              <w:rPr>
                <w:rFonts w:eastAsia="Times New Roman" w:cs="Times New Roman"/>
                <w:noProof/>
              </w:rPr>
            </w:pPr>
            <w:r>
              <w:rPr>
                <w:noProof/>
              </w:rPr>
              <w:t>C3.R6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7FD4E8"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1781D3" w14:textId="77777777" w:rsidR="003E1D81" w:rsidRDefault="00EB481C">
            <w:pPr>
              <w:pStyle w:val="P68B1DB1-Normal46"/>
              <w:spacing w:after="0" w:line="240" w:lineRule="auto"/>
              <w:rPr>
                <w:rFonts w:eastAsia="Times New Roman" w:cs="Times New Roman"/>
                <w:noProof/>
              </w:rPr>
            </w:pPr>
            <w:r>
              <w:rPr>
                <w:noProof/>
              </w:rPr>
              <w:t xml:space="preserve">A nemzeti halászterületek kezeléséről szóló királyi rendelet hatálybalépése </w:t>
            </w:r>
          </w:p>
        </w:tc>
      </w:tr>
      <w:tr w:rsidR="003E1D81" w14:paraId="7E0696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A87356" w14:textId="77777777" w:rsidR="003E1D81" w:rsidRDefault="00EB481C">
            <w:pPr>
              <w:pStyle w:val="P68B1DB1-Normal46"/>
              <w:spacing w:after="0" w:line="240" w:lineRule="auto"/>
              <w:jc w:val="center"/>
              <w:rPr>
                <w:rFonts w:eastAsia="Times New Roman" w:cs="Times New Roman"/>
                <w:noProof/>
              </w:rPr>
            </w:pPr>
            <w:r>
              <w:rPr>
                <w:noProof/>
              </w:rPr>
              <w:t>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5D96D1" w14:textId="77777777" w:rsidR="003E1D81" w:rsidRDefault="00EB481C">
            <w:pPr>
              <w:pStyle w:val="P68B1DB1-Normal46"/>
              <w:spacing w:after="0" w:line="240" w:lineRule="auto"/>
              <w:rPr>
                <w:rFonts w:eastAsia="Times New Roman" w:cs="Times New Roman"/>
                <w:noProof/>
              </w:rPr>
            </w:pPr>
            <w:r>
              <w:rPr>
                <w:noProof/>
              </w:rPr>
              <w:t>C3.I4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6F8AF7"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8332B08" w14:textId="77777777" w:rsidR="003E1D81" w:rsidRDefault="00EB481C">
            <w:pPr>
              <w:pStyle w:val="P68B1DB1-Normal46"/>
              <w:spacing w:after="0" w:line="240" w:lineRule="auto"/>
              <w:rPr>
                <w:rFonts w:eastAsia="Times New Roman" w:cs="Times New Roman"/>
                <w:noProof/>
              </w:rPr>
            </w:pPr>
            <w:r>
              <w:rPr>
                <w:noProof/>
              </w:rPr>
              <w:t xml:space="preserve">Beruházási terv a mezőgazdaság és az állattenyésztés fenntarthatóságának és versenyképességének előmozdítására </w:t>
            </w:r>
          </w:p>
        </w:tc>
      </w:tr>
      <w:tr w:rsidR="003E1D81" w14:paraId="483C799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C1750B" w14:textId="77777777" w:rsidR="003E1D81" w:rsidRDefault="00EB481C">
            <w:pPr>
              <w:pStyle w:val="P68B1DB1-Normal46"/>
              <w:spacing w:after="0" w:line="240" w:lineRule="auto"/>
              <w:jc w:val="center"/>
              <w:rPr>
                <w:rFonts w:eastAsia="Times New Roman" w:cs="Times New Roman"/>
                <w:noProof/>
              </w:rPr>
            </w:pPr>
            <w:r>
              <w:rPr>
                <w:noProof/>
              </w:rPr>
              <w:t>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41C1B" w14:textId="77777777" w:rsidR="003E1D81" w:rsidRDefault="00EB481C">
            <w:pPr>
              <w:pStyle w:val="P68B1DB1-Normal46"/>
              <w:spacing w:after="0" w:line="240" w:lineRule="auto"/>
              <w:rPr>
                <w:rFonts w:eastAsia="Times New Roman" w:cs="Times New Roman"/>
                <w:noProof/>
              </w:rPr>
            </w:pPr>
            <w:r>
              <w:rPr>
                <w:noProof/>
              </w:rPr>
              <w:t>C3.I7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A73457"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A8FC31A" w14:textId="77777777" w:rsidR="003E1D81" w:rsidRDefault="00EB481C">
            <w:pPr>
              <w:pStyle w:val="P68B1DB1-Normal46"/>
              <w:spacing w:after="0" w:line="240" w:lineRule="auto"/>
              <w:rPr>
                <w:rFonts w:eastAsia="Times New Roman" w:cs="Times New Roman"/>
                <w:noProof/>
              </w:rPr>
            </w:pPr>
            <w:r>
              <w:rPr>
                <w:noProof/>
              </w:rPr>
              <w:t>Akusztikai szondák beszerzése a halászati kutatáshoz</w:t>
            </w:r>
          </w:p>
        </w:tc>
      </w:tr>
      <w:tr w:rsidR="003E1D81" w14:paraId="197099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1151B9" w14:textId="77777777" w:rsidR="003E1D81" w:rsidRDefault="00EB481C">
            <w:pPr>
              <w:pStyle w:val="P68B1DB1-Normal46"/>
              <w:spacing w:after="0" w:line="240" w:lineRule="auto"/>
              <w:jc w:val="center"/>
              <w:rPr>
                <w:rFonts w:eastAsia="Times New Roman" w:cs="Times New Roman"/>
                <w:noProof/>
              </w:rPr>
            </w:pPr>
            <w:r>
              <w:rPr>
                <w:noProof/>
              </w:rPr>
              <w:t>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790511" w14:textId="77777777" w:rsidR="003E1D81" w:rsidRDefault="00EB481C">
            <w:pPr>
              <w:pStyle w:val="P68B1DB1-Normal46"/>
              <w:spacing w:after="0" w:line="240" w:lineRule="auto"/>
              <w:rPr>
                <w:rFonts w:eastAsia="Times New Roman" w:cs="Times New Roman"/>
                <w:noProof/>
              </w:rPr>
            </w:pPr>
            <w:r>
              <w:rPr>
                <w:noProof/>
              </w:rPr>
              <w:t>C3.I11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FC4355D"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54028F8" w14:textId="77777777" w:rsidR="003E1D81" w:rsidRDefault="00EB481C">
            <w:pPr>
              <w:pStyle w:val="P68B1DB1-Normal46"/>
              <w:spacing w:after="0" w:line="240" w:lineRule="auto"/>
              <w:rPr>
                <w:rFonts w:eastAsia="Times New Roman" w:cs="Times New Roman"/>
                <w:noProof/>
              </w:rPr>
            </w:pPr>
            <w:r>
              <w:rPr>
                <w:noProof/>
              </w:rPr>
              <w:t>A halászati ágazat beruházási projektjeinek finanszírozása</w:t>
            </w:r>
          </w:p>
        </w:tc>
      </w:tr>
      <w:tr w:rsidR="003E1D81" w14:paraId="44AA27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BA8A38" w14:textId="77777777" w:rsidR="003E1D81" w:rsidRDefault="00EB481C">
            <w:pPr>
              <w:pStyle w:val="P68B1DB1-Normal46"/>
              <w:spacing w:after="0" w:line="240" w:lineRule="auto"/>
              <w:jc w:val="center"/>
              <w:rPr>
                <w:rFonts w:eastAsia="Times New Roman" w:cs="Times New Roman"/>
                <w:noProof/>
              </w:rPr>
            </w:pPr>
            <w:r>
              <w:rPr>
                <w:noProof/>
              </w:rPr>
              <w:t>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25552DA" w14:textId="77777777" w:rsidR="003E1D81" w:rsidRDefault="00EB481C">
            <w:pPr>
              <w:pStyle w:val="P68B1DB1-Normal46"/>
              <w:spacing w:after="0" w:line="240" w:lineRule="auto"/>
              <w:rPr>
                <w:rFonts w:eastAsia="Times New Roman" w:cs="Times New Roman"/>
                <w:noProof/>
              </w:rPr>
            </w:pPr>
            <w:r>
              <w:rPr>
                <w:noProof/>
              </w:rPr>
              <w:t>C4.I1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5813C5"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3FB243E" w14:textId="77777777" w:rsidR="003E1D81" w:rsidRDefault="00EB481C">
            <w:pPr>
              <w:pStyle w:val="P68B1DB1-Normal46"/>
              <w:spacing w:after="0" w:line="240" w:lineRule="auto"/>
              <w:rPr>
                <w:rFonts w:eastAsia="Times New Roman" w:cs="Times New Roman"/>
                <w:noProof/>
              </w:rPr>
            </w:pPr>
            <w:r>
              <w:rPr>
                <w:noProof/>
              </w:rPr>
              <w:t>A tűzoltásra szolgáló különleges célú légi járművekre vonatkozó szerződések odaítélése, valamint a biológiai sokféleséggel kapcsolatos ismeretek nyomon követésére és kezelésére szolgáló rendszer létrehozása</w:t>
            </w:r>
          </w:p>
        </w:tc>
      </w:tr>
      <w:tr w:rsidR="003E1D81" w14:paraId="724B1DF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EB776AF" w14:textId="77777777" w:rsidR="003E1D81" w:rsidRDefault="00EB481C">
            <w:pPr>
              <w:pStyle w:val="P68B1DB1-Normal46"/>
              <w:spacing w:after="0" w:line="240" w:lineRule="auto"/>
              <w:jc w:val="center"/>
              <w:rPr>
                <w:rFonts w:eastAsia="Times New Roman" w:cs="Times New Roman"/>
                <w:noProof/>
              </w:rPr>
            </w:pPr>
            <w:r>
              <w:rPr>
                <w:noProof/>
              </w:rPr>
              <w:t>110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50FB9A" w14:textId="77777777" w:rsidR="003E1D81" w:rsidRDefault="00EB481C">
            <w:pPr>
              <w:pStyle w:val="P68B1DB1-Normal46"/>
              <w:spacing w:after="0" w:line="240" w:lineRule="auto"/>
              <w:rPr>
                <w:rFonts w:eastAsia="Times New Roman" w:cs="Times New Roman"/>
                <w:noProof/>
              </w:rPr>
            </w:pPr>
            <w:r>
              <w:rPr>
                <w:noProof/>
              </w:rPr>
              <w:t>C7.R3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D12F98"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1B9C61" w14:textId="77777777" w:rsidR="003E1D81" w:rsidRDefault="00EB481C">
            <w:pPr>
              <w:pStyle w:val="P68B1DB1-Normal46"/>
              <w:spacing w:after="0" w:line="240" w:lineRule="auto"/>
              <w:rPr>
                <w:rFonts w:eastAsia="Times New Roman" w:cs="Times New Roman"/>
                <w:noProof/>
              </w:rPr>
            </w:pPr>
            <w:r>
              <w:rPr>
                <w:noProof/>
              </w:rPr>
              <w:t xml:space="preserve">Kísérleti projekt az energiaközösségek számára </w:t>
            </w:r>
          </w:p>
        </w:tc>
      </w:tr>
      <w:tr w:rsidR="003E1D81" w14:paraId="6A4DED1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A4A34" w14:textId="77777777" w:rsidR="003E1D81" w:rsidRDefault="00EB481C">
            <w:pPr>
              <w:pStyle w:val="P68B1DB1-Normal46"/>
              <w:spacing w:after="0" w:line="240" w:lineRule="auto"/>
              <w:jc w:val="center"/>
              <w:rPr>
                <w:rFonts w:eastAsia="Times New Roman" w:cs="Times New Roman"/>
                <w:noProof/>
              </w:rPr>
            </w:pPr>
            <w:r>
              <w:rPr>
                <w:noProof/>
              </w:rPr>
              <w:t>115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8D77E5" w14:textId="77777777" w:rsidR="003E1D81" w:rsidRDefault="00EB481C">
            <w:pPr>
              <w:pStyle w:val="P68B1DB1-Normal46"/>
              <w:spacing w:after="0" w:line="240" w:lineRule="auto"/>
              <w:rPr>
                <w:rFonts w:eastAsia="Times New Roman" w:cs="Times New Roman"/>
                <w:noProof/>
              </w:rPr>
            </w:pPr>
            <w:r>
              <w:rPr>
                <w:noProof/>
              </w:rPr>
              <w:t>C7.I1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3D5F37"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47A7E5A" w14:textId="77777777" w:rsidR="003E1D81" w:rsidRDefault="00EB481C">
            <w:pPr>
              <w:pStyle w:val="P68B1DB1-Normal46"/>
              <w:spacing w:after="0" w:line="240" w:lineRule="auto"/>
              <w:rPr>
                <w:rFonts w:eastAsia="Times New Roman" w:cs="Times New Roman"/>
                <w:noProof/>
              </w:rPr>
            </w:pPr>
            <w:r>
              <w:rPr>
                <w:noProof/>
              </w:rPr>
              <w:t>Pályázat innovatív vagy hozzáadott értékű megújulóenergia-kapacitás beruházási támogatására</w:t>
            </w:r>
          </w:p>
        </w:tc>
      </w:tr>
      <w:tr w:rsidR="003E1D81" w14:paraId="4DE38C0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8DF74E" w14:textId="77777777" w:rsidR="003E1D81" w:rsidRDefault="00EB481C">
            <w:pPr>
              <w:pStyle w:val="P68B1DB1-Normal46"/>
              <w:spacing w:after="0" w:line="240" w:lineRule="auto"/>
              <w:jc w:val="center"/>
              <w:rPr>
                <w:rFonts w:eastAsia="Times New Roman" w:cs="Times New Roman"/>
                <w:noProof/>
              </w:rPr>
            </w:pPr>
            <w:r>
              <w:rPr>
                <w:noProof/>
              </w:rPr>
              <w:t>124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5544A7" w14:textId="77777777" w:rsidR="003E1D81" w:rsidRDefault="00EB481C">
            <w:pPr>
              <w:pStyle w:val="P68B1DB1-Normal46"/>
              <w:spacing w:after="0" w:line="240" w:lineRule="auto"/>
              <w:rPr>
                <w:rFonts w:eastAsia="Times New Roman" w:cs="Times New Roman"/>
                <w:noProof/>
              </w:rPr>
            </w:pPr>
            <w:r>
              <w:rPr>
                <w:noProof/>
              </w:rPr>
              <w:t>C8.R4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3781ED"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8030F9" w14:textId="77777777" w:rsidR="003E1D81" w:rsidRDefault="00EB481C">
            <w:pPr>
              <w:pStyle w:val="P68B1DB1-Normal46"/>
              <w:spacing w:after="0" w:line="240" w:lineRule="auto"/>
              <w:rPr>
                <w:rFonts w:eastAsia="Times New Roman" w:cs="Times New Roman"/>
                <w:noProof/>
              </w:rPr>
            </w:pPr>
            <w:r>
              <w:rPr>
                <w:noProof/>
              </w:rPr>
              <w:t xml:space="preserve">A villamosenergia-ágazatban a kutatást és az innovációt előmozdító szabályozói </w:t>
            </w:r>
            <w:r>
              <w:rPr>
                <w:noProof/>
              </w:rPr>
              <w:t>tesztkörnyezetek előmozdítására irányuló intézkedések hatálybalépése.</w:t>
            </w:r>
          </w:p>
        </w:tc>
      </w:tr>
      <w:tr w:rsidR="003E1D81" w14:paraId="0E23F53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D80FFDB" w14:textId="77777777" w:rsidR="003E1D81" w:rsidRDefault="00EB481C">
            <w:pPr>
              <w:pStyle w:val="P68B1DB1-Normal46"/>
              <w:spacing w:after="0" w:line="240" w:lineRule="auto"/>
              <w:jc w:val="center"/>
              <w:rPr>
                <w:rFonts w:eastAsia="Times New Roman" w:cs="Times New Roman"/>
                <w:noProof/>
              </w:rPr>
            </w:pPr>
            <w:r>
              <w:rPr>
                <w:noProof/>
              </w:rPr>
              <w:t>130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E43752" w14:textId="77777777" w:rsidR="003E1D81" w:rsidRDefault="00EB481C">
            <w:pPr>
              <w:pStyle w:val="P68B1DB1-Normal46"/>
              <w:spacing w:after="0" w:line="240" w:lineRule="auto"/>
              <w:rPr>
                <w:rFonts w:eastAsia="Times New Roman" w:cs="Times New Roman"/>
                <w:noProof/>
              </w:rPr>
            </w:pPr>
            <w:r>
              <w:rPr>
                <w:noProof/>
              </w:rPr>
              <w:t>C9.R1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2B188E"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E5A02A2" w14:textId="77777777" w:rsidR="003E1D81" w:rsidRDefault="00EB481C">
            <w:pPr>
              <w:pStyle w:val="P68B1DB1-Normal46"/>
              <w:spacing w:after="0" w:line="240" w:lineRule="auto"/>
              <w:rPr>
                <w:rFonts w:eastAsia="Times New Roman" w:cs="Times New Roman"/>
                <w:noProof/>
              </w:rPr>
            </w:pPr>
            <w:r>
              <w:rPr>
                <w:noProof/>
              </w:rPr>
              <w:t>A megújuló gázokra vonatkozó származási garanciák létrehozásáról szóló rendelet hatálybalépése</w:t>
            </w:r>
          </w:p>
        </w:tc>
      </w:tr>
      <w:tr w:rsidR="003E1D81" w14:paraId="027EC3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831C45" w14:textId="77777777" w:rsidR="003E1D81" w:rsidRDefault="00EB481C">
            <w:pPr>
              <w:pStyle w:val="P68B1DB1-Normal46"/>
              <w:spacing w:after="0" w:line="240" w:lineRule="auto"/>
              <w:jc w:val="center"/>
              <w:rPr>
                <w:rFonts w:eastAsia="Times New Roman" w:cs="Times New Roman"/>
                <w:noProof/>
              </w:rPr>
            </w:pPr>
            <w:r>
              <w:rPr>
                <w:noProof/>
              </w:rPr>
              <w:t>190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E03C04" w14:textId="77777777" w:rsidR="003E1D81" w:rsidRDefault="00EB481C">
            <w:pPr>
              <w:pStyle w:val="P68B1DB1-Normal46"/>
              <w:spacing w:after="0" w:line="240" w:lineRule="auto"/>
              <w:rPr>
                <w:rFonts w:eastAsia="Times New Roman" w:cs="Times New Roman"/>
                <w:noProof/>
              </w:rPr>
            </w:pPr>
            <w:r>
              <w:rPr>
                <w:noProof/>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6B1ABB"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CED3108" w14:textId="77777777" w:rsidR="003E1D81" w:rsidRDefault="00EB481C">
            <w:pPr>
              <w:pStyle w:val="P68B1DB1-Normal46"/>
              <w:spacing w:after="0" w:line="240" w:lineRule="auto"/>
              <w:rPr>
                <w:rFonts w:eastAsia="Times New Roman" w:cs="Times New Roman"/>
                <w:noProof/>
              </w:rPr>
            </w:pPr>
            <w:r>
              <w:rPr>
                <w:noProof/>
              </w:rPr>
              <w:t xml:space="preserve">A fizetésképtelenségi törvény reformjáról szóló törvény </w:t>
            </w:r>
            <w:r>
              <w:rPr>
                <w:noProof/>
              </w:rPr>
              <w:t>hatálybalépése</w:t>
            </w:r>
          </w:p>
        </w:tc>
      </w:tr>
      <w:tr w:rsidR="003E1D81" w14:paraId="2953DD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102D1D" w14:textId="77777777" w:rsidR="003E1D81" w:rsidRDefault="00EB481C">
            <w:pPr>
              <w:pStyle w:val="P68B1DB1-Normal46"/>
              <w:spacing w:after="0" w:line="240" w:lineRule="auto"/>
              <w:jc w:val="center"/>
              <w:rPr>
                <w:rFonts w:eastAsia="Times New Roman" w:cs="Times New Roman"/>
                <w:noProof/>
              </w:rPr>
            </w:pPr>
            <w:r>
              <w:rPr>
                <w:noProof/>
              </w:rPr>
              <w:t>229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9F9BDD" w14:textId="77777777" w:rsidR="003E1D81" w:rsidRDefault="00EB481C">
            <w:pPr>
              <w:pStyle w:val="P68B1DB1-Normal46"/>
              <w:spacing w:after="0" w:line="240" w:lineRule="auto"/>
              <w:rPr>
                <w:rFonts w:eastAsia="Times New Roman" w:cs="Times New Roman"/>
                <w:noProof/>
              </w:rPr>
            </w:pPr>
            <w:r>
              <w:rPr>
                <w:noProof/>
              </w:rPr>
              <w:t>C15.R1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2B2E1A"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494537D" w14:textId="77777777" w:rsidR="003E1D81" w:rsidRDefault="00EB481C">
            <w:pPr>
              <w:pStyle w:val="P68B1DB1-Normal46"/>
              <w:spacing w:after="0" w:line="240" w:lineRule="auto"/>
              <w:rPr>
                <w:rFonts w:eastAsia="Times New Roman" w:cs="Times New Roman"/>
                <w:noProof/>
              </w:rPr>
            </w:pPr>
            <w:r>
              <w:rPr>
                <w:noProof/>
              </w:rPr>
              <w:t>A távközlésről szóló törvény hatálybalépése</w:t>
            </w:r>
          </w:p>
        </w:tc>
      </w:tr>
      <w:tr w:rsidR="003E1D81" w14:paraId="62FC46C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65FB81" w14:textId="77777777" w:rsidR="003E1D81" w:rsidRDefault="00EB481C">
            <w:pPr>
              <w:pStyle w:val="P68B1DB1-Normal46"/>
              <w:spacing w:after="0" w:line="240" w:lineRule="auto"/>
              <w:jc w:val="center"/>
              <w:rPr>
                <w:rFonts w:eastAsia="Times New Roman" w:cs="Times New Roman"/>
                <w:noProof/>
              </w:rPr>
            </w:pPr>
            <w:r>
              <w:rPr>
                <w:noProof/>
              </w:rPr>
              <w:t>254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6E4295" w14:textId="77777777" w:rsidR="003E1D81" w:rsidRDefault="00EB481C">
            <w:pPr>
              <w:pStyle w:val="P68B1DB1-Normal46"/>
              <w:spacing w:after="0" w:line="240" w:lineRule="auto"/>
              <w:rPr>
                <w:rFonts w:eastAsia="Times New Roman" w:cs="Times New Roman"/>
                <w:noProof/>
              </w:rPr>
            </w:pPr>
            <w:r>
              <w:rPr>
                <w:noProof/>
              </w:rPr>
              <w:t>C17.R1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FD02E0"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56446C8" w14:textId="77777777" w:rsidR="003E1D81" w:rsidRDefault="00EB481C">
            <w:pPr>
              <w:pStyle w:val="P68B1DB1-Normal46"/>
              <w:spacing w:after="0" w:line="240" w:lineRule="auto"/>
              <w:rPr>
                <w:rFonts w:eastAsia="Times New Roman" w:cs="Times New Roman"/>
                <w:noProof/>
              </w:rPr>
            </w:pPr>
            <w:r>
              <w:rPr>
                <w:noProof/>
              </w:rPr>
              <w:t>A tudományról, a technológiáról és az innovációról szóló, június 1-jei 14/2011. sz. törvény módosításának hatálybalépése.</w:t>
            </w:r>
          </w:p>
        </w:tc>
      </w:tr>
      <w:tr w:rsidR="003E1D81" w14:paraId="1A935B0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348EF3" w14:textId="77777777" w:rsidR="003E1D81" w:rsidRDefault="00EB481C">
            <w:pPr>
              <w:pStyle w:val="P68B1DB1-Normal46"/>
              <w:spacing w:after="0" w:line="240" w:lineRule="auto"/>
              <w:jc w:val="center"/>
              <w:rPr>
                <w:rFonts w:eastAsia="Times New Roman" w:cs="Times New Roman"/>
                <w:noProof/>
              </w:rPr>
            </w:pPr>
            <w:r>
              <w:rPr>
                <w:noProof/>
              </w:rPr>
              <w:t>270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5CB268" w14:textId="77777777" w:rsidR="003E1D81" w:rsidRDefault="00EB481C">
            <w:pPr>
              <w:pStyle w:val="P68B1DB1-Normal46"/>
              <w:spacing w:after="0" w:line="240" w:lineRule="auto"/>
              <w:rPr>
                <w:rFonts w:eastAsia="Times New Roman" w:cs="Times New Roman"/>
                <w:noProof/>
              </w:rPr>
            </w:pPr>
            <w:r>
              <w:rPr>
                <w:noProof/>
              </w:rPr>
              <w:t>C17.I8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35071E"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5ED161" w14:textId="77777777" w:rsidR="003E1D81" w:rsidRDefault="00EB481C">
            <w:pPr>
              <w:pStyle w:val="P68B1DB1-Normal46"/>
              <w:spacing w:after="0" w:line="240" w:lineRule="auto"/>
              <w:rPr>
                <w:rFonts w:eastAsia="Times New Roman" w:cs="Times New Roman"/>
                <w:noProof/>
              </w:rPr>
            </w:pPr>
            <w:r>
              <w:rPr>
                <w:noProof/>
              </w:rPr>
              <w:t xml:space="preserve">A fenntartható gépjárműiparra vonatkozó K+F+I projektek támogatása </w:t>
            </w:r>
          </w:p>
        </w:tc>
      </w:tr>
      <w:tr w:rsidR="003E1D81" w14:paraId="727BAF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178E0F" w14:textId="77777777" w:rsidR="003E1D81" w:rsidRDefault="00EB481C">
            <w:pPr>
              <w:pStyle w:val="P68B1DB1-Normal46"/>
              <w:spacing w:after="0" w:line="240" w:lineRule="auto"/>
              <w:jc w:val="center"/>
              <w:rPr>
                <w:rFonts w:eastAsia="Times New Roman" w:cs="Times New Roman"/>
                <w:noProof/>
              </w:rPr>
            </w:pPr>
            <w:r>
              <w:rPr>
                <w:noProof/>
              </w:rPr>
              <w:t>274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B1949C" w14:textId="77777777" w:rsidR="003E1D81" w:rsidRDefault="00EB481C">
            <w:pPr>
              <w:pStyle w:val="P68B1DB1-Normal46"/>
              <w:spacing w:after="0" w:line="240" w:lineRule="auto"/>
              <w:rPr>
                <w:rFonts w:eastAsia="Times New Roman" w:cs="Times New Roman"/>
                <w:noProof/>
              </w:rPr>
            </w:pPr>
            <w:r>
              <w:rPr>
                <w:noProof/>
              </w:rPr>
              <w:t>C18.R2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39F2998"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0B8F0C" w14:textId="77777777" w:rsidR="003E1D81" w:rsidRDefault="00EB481C">
            <w:pPr>
              <w:pStyle w:val="P68B1DB1-Normal46"/>
              <w:spacing w:after="0" w:line="240" w:lineRule="auto"/>
              <w:rPr>
                <w:rFonts w:eastAsia="Times New Roman" w:cs="Times New Roman"/>
                <w:noProof/>
              </w:rPr>
            </w:pPr>
            <w:r>
              <w:rPr>
                <w:noProof/>
              </w:rPr>
              <w:t xml:space="preserve">A spanyol közegészségügyi stratégia jóváhagyása </w:t>
            </w:r>
          </w:p>
        </w:tc>
      </w:tr>
      <w:tr w:rsidR="003E1D81" w14:paraId="44B0B27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0C8489" w14:textId="77777777" w:rsidR="003E1D81" w:rsidRDefault="00EB481C">
            <w:pPr>
              <w:pStyle w:val="P68B1DB1-Normal46"/>
              <w:spacing w:after="0" w:line="240" w:lineRule="auto"/>
              <w:jc w:val="center"/>
              <w:rPr>
                <w:rFonts w:eastAsia="Times New Roman" w:cs="Times New Roman"/>
                <w:noProof/>
              </w:rPr>
            </w:pPr>
            <w:r>
              <w:rPr>
                <w:noProof/>
              </w:rPr>
              <w:t>296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452A4E" w14:textId="77777777" w:rsidR="003E1D81" w:rsidRDefault="00EB481C">
            <w:pPr>
              <w:pStyle w:val="P68B1DB1-Normal46"/>
              <w:spacing w:after="0" w:line="240" w:lineRule="auto"/>
              <w:rPr>
                <w:rFonts w:eastAsia="Times New Roman" w:cs="Times New Roman"/>
                <w:noProof/>
              </w:rPr>
            </w:pPr>
            <w:r>
              <w:rPr>
                <w:noProof/>
              </w:rPr>
              <w:t>C20.R2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749E19"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E1DB8F" w14:textId="77777777" w:rsidR="003E1D81" w:rsidRDefault="00EB481C">
            <w:pPr>
              <w:pStyle w:val="P68B1DB1-Normal46"/>
              <w:spacing w:after="0" w:line="240" w:lineRule="auto"/>
              <w:rPr>
                <w:rFonts w:eastAsia="Times New Roman" w:cs="Times New Roman"/>
                <w:noProof/>
              </w:rPr>
            </w:pPr>
            <w:r>
              <w:rPr>
                <w:noProof/>
              </w:rPr>
              <w:t xml:space="preserve">Az egységes integrált szakképzési rendszerről szóló törvény hatálybalépése a rendszer korszerűsítésének </w:t>
            </w:r>
            <w:r>
              <w:rPr>
                <w:noProof/>
              </w:rPr>
              <w:t>céljával</w:t>
            </w:r>
          </w:p>
        </w:tc>
      </w:tr>
      <w:tr w:rsidR="003E1D81" w14:paraId="705E64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BAB3C7" w14:textId="77777777" w:rsidR="003E1D81" w:rsidRDefault="00EB481C">
            <w:pPr>
              <w:pStyle w:val="P68B1DB1-Normal46"/>
              <w:spacing w:after="0" w:line="240" w:lineRule="auto"/>
              <w:jc w:val="center"/>
              <w:rPr>
                <w:rFonts w:eastAsia="Times New Roman" w:cs="Times New Roman"/>
                <w:noProof/>
              </w:rPr>
            </w:pPr>
            <w:r>
              <w:rPr>
                <w:noProof/>
              </w:rPr>
              <w:t>304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8FB682" w14:textId="77777777" w:rsidR="003E1D81" w:rsidRDefault="00EB481C">
            <w:pPr>
              <w:pStyle w:val="P68B1DB1-Normal46"/>
              <w:spacing w:after="0" w:line="240" w:lineRule="auto"/>
              <w:rPr>
                <w:rFonts w:eastAsia="Times New Roman" w:cs="Times New Roman"/>
                <w:noProof/>
              </w:rPr>
            </w:pPr>
            <w:r>
              <w:rPr>
                <w:noProof/>
              </w:rPr>
              <w:t>C21.R2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594B35"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A6E9A5" w14:textId="77777777" w:rsidR="003E1D81" w:rsidRDefault="00EB481C">
            <w:pPr>
              <w:pStyle w:val="P68B1DB1-Normal46"/>
              <w:spacing w:after="0" w:line="240" w:lineRule="auto"/>
              <w:rPr>
                <w:rFonts w:eastAsia="Times New Roman" w:cs="Times New Roman"/>
                <w:noProof/>
              </w:rPr>
            </w:pPr>
            <w:r>
              <w:rPr>
                <w:noProof/>
              </w:rPr>
              <w:t xml:space="preserve">Az oktatási minimumkövetelményekről szóló királyi rendelet hatálybalépése </w:t>
            </w:r>
          </w:p>
        </w:tc>
      </w:tr>
      <w:tr w:rsidR="003E1D81" w14:paraId="06E9132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3E1722" w14:textId="77777777" w:rsidR="003E1D81" w:rsidRDefault="00EB481C">
            <w:pPr>
              <w:pStyle w:val="P68B1DB1-Normal46"/>
              <w:spacing w:after="0" w:line="240" w:lineRule="auto"/>
              <w:jc w:val="center"/>
              <w:rPr>
                <w:rFonts w:eastAsia="Times New Roman" w:cs="Times New Roman"/>
                <w:noProof/>
              </w:rPr>
            </w:pPr>
            <w:r>
              <w:rPr>
                <w:noProof/>
              </w:rPr>
              <w:t>314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0A6638" w14:textId="77777777" w:rsidR="003E1D81" w:rsidRDefault="00EB481C">
            <w:pPr>
              <w:pStyle w:val="P68B1DB1-Normal46"/>
              <w:spacing w:after="0" w:line="240" w:lineRule="auto"/>
              <w:rPr>
                <w:rFonts w:eastAsia="Times New Roman" w:cs="Times New Roman"/>
                <w:noProof/>
              </w:rPr>
            </w:pPr>
            <w:r>
              <w:rPr>
                <w:noProof/>
              </w:rPr>
              <w:t>C22.R1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F00375A"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585CB4" w14:textId="77777777" w:rsidR="003E1D81" w:rsidRDefault="00EB481C">
            <w:pPr>
              <w:pStyle w:val="P68B1DB1-Normal46"/>
              <w:spacing w:after="0" w:line="240" w:lineRule="auto"/>
              <w:rPr>
                <w:rFonts w:eastAsia="Times New Roman" w:cs="Times New Roman"/>
                <w:noProof/>
              </w:rPr>
            </w:pPr>
            <w:r>
              <w:rPr>
                <w:noProof/>
              </w:rPr>
              <w:t xml:space="preserve">Az autonóm és függő ellátás rendszerének (SAAD) értékelését a területi tanács hagyja jóvá. </w:t>
            </w:r>
          </w:p>
        </w:tc>
      </w:tr>
      <w:tr w:rsidR="003E1D81" w14:paraId="37F3312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915826" w14:textId="77777777" w:rsidR="003E1D81" w:rsidRDefault="00EB481C">
            <w:pPr>
              <w:pStyle w:val="P68B1DB1-Normal46"/>
              <w:spacing w:after="0" w:line="240" w:lineRule="auto"/>
              <w:jc w:val="center"/>
              <w:rPr>
                <w:rFonts w:eastAsia="Times New Roman" w:cs="Times New Roman"/>
                <w:noProof/>
              </w:rPr>
            </w:pPr>
            <w:r>
              <w:rPr>
                <w:noProof/>
              </w:rPr>
              <w:t>317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EF897E" w14:textId="77777777" w:rsidR="003E1D81" w:rsidRDefault="00EB481C">
            <w:pPr>
              <w:pStyle w:val="P68B1DB1-Normal46"/>
              <w:spacing w:after="0" w:line="240" w:lineRule="auto"/>
              <w:rPr>
                <w:rFonts w:eastAsia="Times New Roman" w:cs="Times New Roman"/>
                <w:noProof/>
              </w:rPr>
            </w:pPr>
            <w:r>
              <w:rPr>
                <w:noProof/>
              </w:rPr>
              <w:t>C22.R4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07A5888"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A2FDE5" w14:textId="77777777" w:rsidR="003E1D81" w:rsidRDefault="00EB481C">
            <w:pPr>
              <w:pStyle w:val="P68B1DB1-Normal46"/>
              <w:spacing w:after="0" w:line="240" w:lineRule="auto"/>
              <w:rPr>
                <w:rFonts w:eastAsia="Times New Roman" w:cs="Times New Roman"/>
                <w:noProof/>
              </w:rPr>
            </w:pPr>
            <w:r>
              <w:rPr>
                <w:noProof/>
              </w:rPr>
              <w:t xml:space="preserve">A migránsok és a nemzetközi védelmet kérelmezők befogadási rendszerére vonatkozó jogalkotási reform hatálybalépése Spanyolországban </w:t>
            </w:r>
          </w:p>
        </w:tc>
      </w:tr>
      <w:tr w:rsidR="003E1D81" w14:paraId="47CAE65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B0EF73" w14:textId="77777777" w:rsidR="003E1D81" w:rsidRDefault="00EB481C">
            <w:pPr>
              <w:pStyle w:val="P68B1DB1-Normal46"/>
              <w:spacing w:after="0" w:line="240" w:lineRule="auto"/>
              <w:jc w:val="center"/>
              <w:rPr>
                <w:rFonts w:eastAsia="Times New Roman" w:cs="Times New Roman"/>
                <w:noProof/>
              </w:rPr>
            </w:pPr>
            <w:r>
              <w:rPr>
                <w:noProof/>
              </w:rPr>
              <w:t>350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DEB930" w14:textId="77777777" w:rsidR="003E1D81" w:rsidRDefault="00EB481C">
            <w:pPr>
              <w:pStyle w:val="P68B1DB1-Normal46"/>
              <w:spacing w:after="0" w:line="240" w:lineRule="auto"/>
              <w:rPr>
                <w:rFonts w:eastAsia="Times New Roman" w:cs="Times New Roman"/>
                <w:noProof/>
              </w:rPr>
            </w:pPr>
            <w:r>
              <w:rPr>
                <w:noProof/>
              </w:rPr>
              <w:t>C23.I7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7338EF"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5C0224" w14:textId="77777777" w:rsidR="003E1D81" w:rsidRDefault="00EB481C">
            <w:pPr>
              <w:pStyle w:val="P68B1DB1-Normal46"/>
              <w:spacing w:after="0" w:line="240" w:lineRule="auto"/>
              <w:rPr>
                <w:rFonts w:eastAsia="Times New Roman" w:cs="Times New Roman"/>
                <w:noProof/>
              </w:rPr>
            </w:pPr>
            <w:r>
              <w:rPr>
                <w:noProof/>
              </w:rPr>
              <w:t xml:space="preserve">A minimális életjövedelem (IMV) felhasználási arányának javítása és hatékonyságának növelése befogadási </w:t>
            </w:r>
            <w:r>
              <w:rPr>
                <w:noProof/>
              </w:rPr>
              <w:t>politikák révén</w:t>
            </w:r>
          </w:p>
        </w:tc>
      </w:tr>
      <w:tr w:rsidR="003E1D81" w14:paraId="1ABA29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DF3411D" w14:textId="77777777" w:rsidR="003E1D81" w:rsidRDefault="00EB481C">
            <w:pPr>
              <w:pStyle w:val="P68B1DB1-Normal46"/>
              <w:spacing w:after="0" w:line="240" w:lineRule="auto"/>
              <w:jc w:val="center"/>
              <w:rPr>
                <w:rFonts w:eastAsia="Times New Roman" w:cs="Times New Roman"/>
                <w:noProof/>
              </w:rPr>
            </w:pPr>
            <w:r>
              <w:rPr>
                <w:noProof/>
              </w:rPr>
              <w:t>360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15E781" w14:textId="77777777" w:rsidR="003E1D81" w:rsidRDefault="00EB481C">
            <w:pPr>
              <w:pStyle w:val="P68B1DB1-Normal46"/>
              <w:spacing w:after="0" w:line="240" w:lineRule="auto"/>
              <w:rPr>
                <w:rFonts w:eastAsia="Times New Roman" w:cs="Times New Roman"/>
                <w:noProof/>
              </w:rPr>
            </w:pPr>
            <w:r>
              <w:rPr>
                <w:noProof/>
              </w:rPr>
              <w:t>C24.I3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5EFDE7"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63F700C" w14:textId="77777777" w:rsidR="003E1D81" w:rsidRDefault="00EB481C">
            <w:pPr>
              <w:pStyle w:val="P68B1DB1-Normal46"/>
              <w:spacing w:after="0" w:line="240" w:lineRule="auto"/>
              <w:rPr>
                <w:rFonts w:eastAsia="Times New Roman" w:cs="Times New Roman"/>
                <w:noProof/>
              </w:rPr>
            </w:pPr>
            <w:r>
              <w:rPr>
                <w:noProof/>
              </w:rPr>
              <w:t xml:space="preserve">Digitalizáció és a főbb kulturális szolgáltatások előmozdítása </w:t>
            </w:r>
          </w:p>
        </w:tc>
      </w:tr>
      <w:tr w:rsidR="003E1D81" w14:paraId="47F43A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E120E3" w14:textId="77777777" w:rsidR="003E1D81" w:rsidRDefault="00EB481C">
            <w:pPr>
              <w:pStyle w:val="P68B1DB1-Normal46"/>
              <w:spacing w:after="0" w:line="240" w:lineRule="auto"/>
              <w:jc w:val="center"/>
              <w:rPr>
                <w:rFonts w:eastAsia="Times New Roman" w:cs="Times New Roman"/>
                <w:noProof/>
              </w:rPr>
            </w:pPr>
            <w:r>
              <w:rPr>
                <w:noProof/>
              </w:rPr>
              <w:t>364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B798C1" w14:textId="77777777" w:rsidR="003E1D81" w:rsidRDefault="00EB481C">
            <w:pPr>
              <w:pStyle w:val="P68B1DB1-Normal46"/>
              <w:spacing w:after="0" w:line="240" w:lineRule="auto"/>
              <w:rPr>
                <w:rFonts w:eastAsia="Times New Roman" w:cs="Times New Roman"/>
                <w:noProof/>
              </w:rPr>
            </w:pPr>
            <w:r>
              <w:rPr>
                <w:noProof/>
              </w:rPr>
              <w:t>C25.R1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6BFA5B"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705185" w14:textId="77777777" w:rsidR="003E1D81" w:rsidRDefault="00EB481C">
            <w:pPr>
              <w:pStyle w:val="P68B1DB1-Normal46"/>
              <w:spacing w:after="0" w:line="240" w:lineRule="auto"/>
              <w:rPr>
                <w:rFonts w:eastAsia="Times New Roman" w:cs="Times New Roman"/>
                <w:noProof/>
              </w:rPr>
            </w:pPr>
            <w:r>
              <w:rPr>
                <w:noProof/>
              </w:rPr>
              <w:t>Az audiovizuális kommunikációról szóló általános törvény hatálybalépése.</w:t>
            </w:r>
          </w:p>
        </w:tc>
      </w:tr>
      <w:tr w:rsidR="003E1D81" w14:paraId="76832B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7CC7A1" w14:textId="77777777" w:rsidR="003E1D81" w:rsidRDefault="00EB481C">
            <w:pPr>
              <w:pStyle w:val="P68B1DB1-Normal46"/>
              <w:spacing w:after="0" w:line="240" w:lineRule="auto"/>
              <w:jc w:val="center"/>
              <w:rPr>
                <w:rFonts w:eastAsia="Times New Roman" w:cs="Times New Roman"/>
                <w:noProof/>
              </w:rPr>
            </w:pPr>
            <w:r>
              <w:rPr>
                <w:noProof/>
              </w:rPr>
              <w:t>374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036D30" w14:textId="77777777" w:rsidR="003E1D81" w:rsidRDefault="00EB481C">
            <w:pPr>
              <w:pStyle w:val="P68B1DB1-Normal46"/>
              <w:spacing w:after="0" w:line="240" w:lineRule="auto"/>
              <w:rPr>
                <w:rFonts w:eastAsia="Times New Roman" w:cs="Times New Roman"/>
                <w:noProof/>
              </w:rPr>
            </w:pPr>
            <w:r>
              <w:rPr>
                <w:noProof/>
              </w:rPr>
              <w:t>C26.I3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80B476"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397ED9C" w14:textId="77777777" w:rsidR="003E1D81" w:rsidRDefault="00EB481C">
            <w:pPr>
              <w:pStyle w:val="P68B1DB1-Normal46"/>
              <w:spacing w:after="0" w:line="240" w:lineRule="auto"/>
              <w:rPr>
                <w:rFonts w:eastAsia="Times New Roman" w:cs="Times New Roman"/>
                <w:noProof/>
              </w:rPr>
            </w:pPr>
            <w:r>
              <w:rPr>
                <w:noProof/>
              </w:rPr>
              <w:t xml:space="preserve">A sport terén az egyenlőséget előmozdító projektek </w:t>
            </w:r>
          </w:p>
        </w:tc>
      </w:tr>
      <w:tr w:rsidR="003E1D81" w14:paraId="744A87F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36FEAD" w14:textId="77777777" w:rsidR="003E1D81" w:rsidRDefault="00EB481C">
            <w:pPr>
              <w:pStyle w:val="P68B1DB1-Normal46"/>
              <w:spacing w:after="0" w:line="240" w:lineRule="auto"/>
              <w:jc w:val="center"/>
              <w:rPr>
                <w:rFonts w:eastAsia="Times New Roman" w:cs="Times New Roman"/>
                <w:noProof/>
              </w:rPr>
            </w:pPr>
            <w:r>
              <w:rPr>
                <w:noProof/>
              </w:rPr>
              <w:t>376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D505A4" w14:textId="77777777" w:rsidR="003E1D81" w:rsidRDefault="00EB481C">
            <w:pPr>
              <w:pStyle w:val="P68B1DB1-Normal46"/>
              <w:spacing w:after="0" w:line="240" w:lineRule="auto"/>
              <w:rPr>
                <w:rFonts w:eastAsia="Times New Roman" w:cs="Times New Roman"/>
                <w:noProof/>
              </w:rPr>
            </w:pPr>
            <w:r>
              <w:rPr>
                <w:noProof/>
              </w:rPr>
              <w:t>C27.R1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4659C4"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DEE9156" w14:textId="77777777" w:rsidR="003E1D81" w:rsidRDefault="00EB481C">
            <w:pPr>
              <w:pStyle w:val="P68B1DB1-Normal46"/>
              <w:spacing w:after="0" w:line="240" w:lineRule="auto"/>
              <w:rPr>
                <w:rFonts w:eastAsia="Times New Roman" w:cs="Times New Roman"/>
                <w:noProof/>
              </w:rPr>
            </w:pPr>
            <w:r>
              <w:rPr>
                <w:noProof/>
              </w:rPr>
              <w:t>Az adókijátszás és az adócsalás elleni törvény hatálybalépése</w:t>
            </w:r>
          </w:p>
        </w:tc>
      </w:tr>
      <w:tr w:rsidR="003E1D81" w14:paraId="035DF41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4F65D9" w14:textId="77777777" w:rsidR="003E1D81" w:rsidRDefault="00EB481C">
            <w:pPr>
              <w:pStyle w:val="P68B1DB1-Normal46"/>
              <w:spacing w:after="0" w:line="240" w:lineRule="auto"/>
              <w:jc w:val="center"/>
              <w:rPr>
                <w:rFonts w:eastAsia="Times New Roman" w:cs="Times New Roman"/>
                <w:noProof/>
              </w:rPr>
            </w:pPr>
            <w:r>
              <w:rPr>
                <w:noProof/>
              </w:rPr>
              <w:t>390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03228F" w14:textId="77777777" w:rsidR="003E1D81" w:rsidRDefault="00EB481C">
            <w:pPr>
              <w:pStyle w:val="P68B1DB1-Normal46"/>
              <w:spacing w:after="0" w:line="240" w:lineRule="auto"/>
              <w:rPr>
                <w:rFonts w:eastAsia="Times New Roman" w:cs="Times New Roman"/>
                <w:noProof/>
              </w:rPr>
            </w:pPr>
            <w:r>
              <w:rPr>
                <w:noProof/>
              </w:rPr>
              <w:t>C28.R4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A516A91"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0721360" w14:textId="77777777" w:rsidR="003E1D81" w:rsidRDefault="00EB481C">
            <w:pPr>
              <w:pStyle w:val="P68B1DB1-Normal46"/>
              <w:spacing w:after="0" w:line="240" w:lineRule="auto"/>
              <w:rPr>
                <w:rFonts w:eastAsia="Times New Roman" w:cs="Times New Roman"/>
                <w:noProof/>
              </w:rPr>
            </w:pPr>
            <w:r>
              <w:rPr>
                <w:noProof/>
              </w:rPr>
              <w:t>A gépjármű-nyilvántartási adó és a forgalmi adó elemzése</w:t>
            </w:r>
          </w:p>
        </w:tc>
      </w:tr>
      <w:tr w:rsidR="003E1D81" w14:paraId="7D1130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68C767" w14:textId="77777777" w:rsidR="003E1D81" w:rsidRDefault="00EB481C">
            <w:pPr>
              <w:pStyle w:val="P68B1DB1-Normal46"/>
              <w:spacing w:after="0" w:line="240" w:lineRule="auto"/>
              <w:jc w:val="center"/>
              <w:rPr>
                <w:rFonts w:eastAsia="Times New Roman" w:cs="Times New Roman"/>
                <w:noProof/>
              </w:rPr>
            </w:pPr>
            <w:r>
              <w:rPr>
                <w:noProof/>
              </w:rPr>
              <w:t>391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CB6A019" w14:textId="77777777" w:rsidR="003E1D81" w:rsidRDefault="00EB481C">
            <w:pPr>
              <w:pStyle w:val="P68B1DB1-Normal46"/>
              <w:spacing w:after="0" w:line="240" w:lineRule="auto"/>
              <w:rPr>
                <w:rFonts w:eastAsia="Times New Roman" w:cs="Times New Roman"/>
                <w:noProof/>
              </w:rPr>
            </w:pPr>
            <w:r>
              <w:rPr>
                <w:noProof/>
              </w:rPr>
              <w:t>C28.R4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28A537"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57096B" w14:textId="77777777" w:rsidR="003E1D81" w:rsidRDefault="00EB481C">
            <w:pPr>
              <w:pStyle w:val="P68B1DB1-Normal46"/>
              <w:spacing w:after="0" w:line="240" w:lineRule="auto"/>
              <w:rPr>
                <w:rFonts w:eastAsia="Times New Roman" w:cs="Times New Roman"/>
                <w:noProof/>
              </w:rPr>
            </w:pPr>
            <w:r>
              <w:rPr>
                <w:noProof/>
              </w:rPr>
              <w:t xml:space="preserve">A fluorozott gázokra kivetett adó reformjának hatálybalépése </w:t>
            </w:r>
          </w:p>
        </w:tc>
      </w:tr>
      <w:tr w:rsidR="003E1D81" w14:paraId="3F89D63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8ED2E2" w14:textId="77777777" w:rsidR="003E1D81" w:rsidRDefault="00EB481C">
            <w:pPr>
              <w:pStyle w:val="P68B1DB1-Normal46"/>
              <w:spacing w:after="0" w:line="240" w:lineRule="auto"/>
              <w:jc w:val="center"/>
              <w:rPr>
                <w:rFonts w:eastAsia="Times New Roman" w:cs="Times New Roman"/>
                <w:noProof/>
              </w:rPr>
            </w:pPr>
            <w:r>
              <w:rPr>
                <w:noProof/>
              </w:rPr>
              <w:t>401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3CF966" w14:textId="77777777" w:rsidR="003E1D81" w:rsidRDefault="00EB481C">
            <w:pPr>
              <w:pStyle w:val="P68B1DB1-Normal46"/>
              <w:spacing w:after="0" w:line="240" w:lineRule="auto"/>
              <w:rPr>
                <w:rFonts w:eastAsia="Times New Roman" w:cs="Times New Roman"/>
                <w:noProof/>
              </w:rPr>
            </w:pPr>
            <w:r>
              <w:rPr>
                <w:noProof/>
              </w:rPr>
              <w:t>C29.R1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389AF8"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9DD890" w14:textId="77777777" w:rsidR="003E1D81" w:rsidRDefault="00EB481C">
            <w:pPr>
              <w:pStyle w:val="P68B1DB1-Normal46"/>
              <w:spacing w:after="0" w:line="240" w:lineRule="auto"/>
              <w:rPr>
                <w:rFonts w:eastAsia="Times New Roman" w:cs="Times New Roman"/>
                <w:noProof/>
              </w:rPr>
            </w:pPr>
            <w:r>
              <w:rPr>
                <w:noProof/>
              </w:rPr>
              <w:t xml:space="preserve">Nyomonkövetési jelentés </w:t>
            </w:r>
            <w:r>
              <w:rPr>
                <w:noProof/>
              </w:rPr>
              <w:t>közzététele</w:t>
            </w:r>
          </w:p>
        </w:tc>
      </w:tr>
      <w:tr w:rsidR="003E1D81" w14:paraId="0D7700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EAF363" w14:textId="77777777" w:rsidR="003E1D81" w:rsidRDefault="00EB481C">
            <w:pPr>
              <w:pStyle w:val="P68B1DB1-Normal46"/>
              <w:spacing w:after="0" w:line="240" w:lineRule="auto"/>
              <w:jc w:val="center"/>
              <w:rPr>
                <w:rFonts w:eastAsia="Times New Roman" w:cs="Times New Roman"/>
                <w:noProof/>
              </w:rPr>
            </w:pPr>
            <w:r>
              <w:rPr>
                <w:noProof/>
              </w:rPr>
              <w:t>411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87F1C9" w14:textId="77777777" w:rsidR="003E1D81" w:rsidRDefault="00EB481C">
            <w:pPr>
              <w:pStyle w:val="P68B1DB1-Normal46"/>
              <w:spacing w:after="0" w:line="240" w:lineRule="auto"/>
              <w:rPr>
                <w:rFonts w:eastAsia="Times New Roman" w:cs="Times New Roman"/>
                <w:noProof/>
              </w:rPr>
            </w:pPr>
            <w:r>
              <w:rPr>
                <w:noProof/>
              </w:rPr>
              <w:t>C30.R3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53772D"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0FB3F0" w14:textId="77777777" w:rsidR="003E1D81" w:rsidRDefault="00EB481C">
            <w:pPr>
              <w:pStyle w:val="P68B1DB1-Normal46"/>
              <w:spacing w:after="0" w:line="240" w:lineRule="auto"/>
              <w:rPr>
                <w:rFonts w:eastAsia="Times New Roman" w:cs="Times New Roman"/>
                <w:noProof/>
              </w:rPr>
            </w:pPr>
            <w:r>
              <w:rPr>
                <w:noProof/>
              </w:rPr>
              <w:t>Az önálló vállalkozók társadalombiztosítási járulékrendszerének reformja</w:t>
            </w:r>
          </w:p>
        </w:tc>
      </w:tr>
      <w:tr w:rsidR="003E1D81" w14:paraId="42BC5EC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49513B" w14:textId="77777777" w:rsidR="003E1D81" w:rsidRDefault="00EB481C">
            <w:pPr>
              <w:pStyle w:val="P68B1DB1-Normal46"/>
              <w:spacing w:after="0" w:line="240" w:lineRule="auto"/>
              <w:jc w:val="center"/>
              <w:rPr>
                <w:rFonts w:eastAsia="Times New Roman" w:cs="Times New Roman"/>
                <w:noProof/>
              </w:rPr>
            </w:pPr>
            <w:r>
              <w:rPr>
                <w:noProof/>
              </w:rPr>
              <w:t>414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BE16DA" w14:textId="77777777" w:rsidR="003E1D81" w:rsidRDefault="00EB481C">
            <w:pPr>
              <w:pStyle w:val="P68B1DB1-Normal46"/>
              <w:spacing w:after="0" w:line="240" w:lineRule="auto"/>
              <w:rPr>
                <w:rFonts w:eastAsia="Times New Roman" w:cs="Times New Roman"/>
                <w:noProof/>
              </w:rPr>
            </w:pPr>
            <w:r>
              <w:rPr>
                <w:noProof/>
              </w:rPr>
              <w:t>C30.R5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7FA1E8"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2730CBB" w14:textId="77777777" w:rsidR="003E1D81" w:rsidRDefault="00EB481C">
            <w:pPr>
              <w:pStyle w:val="P68B1DB1-Normal46"/>
              <w:spacing w:after="0" w:line="240" w:lineRule="auto"/>
              <w:rPr>
                <w:rFonts w:eastAsia="Times New Roman" w:cs="Times New Roman"/>
                <w:noProof/>
              </w:rPr>
            </w:pPr>
            <w:r>
              <w:rPr>
                <w:noProof/>
              </w:rPr>
              <w:t>A jelenlegi kiegészítő nyugdíjrendszer felülvizsgálata</w:t>
            </w:r>
          </w:p>
        </w:tc>
      </w:tr>
      <w:tr w:rsidR="003E1D81" w14:paraId="67E66F5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8C505B" w14:textId="77777777" w:rsidR="003E1D81" w:rsidRDefault="003E1D81">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F39404" w14:textId="77777777" w:rsidR="003E1D81" w:rsidRDefault="003E1D81">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8238F1" w14:textId="77777777" w:rsidR="003E1D81" w:rsidRDefault="00EB481C">
            <w:pPr>
              <w:pStyle w:val="P68B1DB1-Normal45"/>
              <w:spacing w:after="0" w:line="240" w:lineRule="auto"/>
              <w:rPr>
                <w:rFonts w:eastAsia="Times New Roman" w:cs="Times New Roman"/>
                <w:noProof/>
              </w:rPr>
            </w:pPr>
            <w:r>
              <w:rPr>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CF4712" w14:textId="3E00CFF3" w:rsidR="003E1D81" w:rsidRDefault="00EB481C">
            <w:pPr>
              <w:pStyle w:val="P68B1DB1-Normal45"/>
              <w:spacing w:after="0" w:line="240" w:lineRule="auto"/>
              <w:rPr>
                <w:rFonts w:eastAsia="Times New Roman" w:cs="Times New Roman"/>
                <w:noProof/>
              </w:rPr>
            </w:pPr>
            <w:r>
              <w:rPr>
                <w:noProof/>
              </w:rPr>
              <w:t>·EURÓPAI BIZOTTSÁG 6 896 551 724 EUR</w:t>
            </w:r>
          </w:p>
        </w:tc>
      </w:tr>
    </w:tbl>
    <w:p w14:paraId="0E4ACC87" w14:textId="77777777" w:rsidR="003E1D81" w:rsidRDefault="003E1D81">
      <w:pPr>
        <w:spacing w:before="120" w:after="120" w:line="240" w:lineRule="auto"/>
        <w:jc w:val="both"/>
        <w:rPr>
          <w:rFonts w:ascii="Times New Roman" w:eastAsia="Calibri" w:hAnsi="Times New Roman" w:cs="Times New Roman"/>
          <w:noProof/>
          <w:sz w:val="24"/>
        </w:rPr>
      </w:pPr>
    </w:p>
    <w:p w14:paraId="6695220B" w14:textId="77777777"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Negyedik kifizetés (vissza nem térítendő támogatás): </w:t>
      </w:r>
    </w:p>
    <w:tbl>
      <w:tblPr>
        <w:tblW w:w="9663" w:type="dxa"/>
        <w:tblInd w:w="113" w:type="dxa"/>
        <w:tblLook w:val="04A0" w:firstRow="1" w:lastRow="0" w:firstColumn="1" w:lastColumn="0" w:noHBand="0" w:noVBand="1"/>
      </w:tblPr>
      <w:tblGrid>
        <w:gridCol w:w="1300"/>
        <w:gridCol w:w="1443"/>
        <w:gridCol w:w="1416"/>
        <w:gridCol w:w="5670"/>
      </w:tblGrid>
      <w:tr w:rsidR="003E1D81" w14:paraId="0556E70F"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247F962" w14:textId="77777777" w:rsidR="003E1D81" w:rsidRDefault="00EB481C">
            <w:pPr>
              <w:pStyle w:val="P68B1DB1-Normal45"/>
              <w:spacing w:after="0" w:line="240" w:lineRule="auto"/>
              <w:jc w:val="center"/>
              <w:rPr>
                <w:rFonts w:eastAsia="Times New Roman" w:cs="Times New Roman"/>
                <w:noProof/>
              </w:rPr>
            </w:pPr>
            <w:r>
              <w:rPr>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E36E1F8" w14:textId="77777777" w:rsidR="003E1D81" w:rsidRDefault="00EB481C">
            <w:pPr>
              <w:pStyle w:val="P68B1DB1-Normal45"/>
              <w:spacing w:after="0" w:line="240" w:lineRule="auto"/>
              <w:jc w:val="center"/>
              <w:rPr>
                <w:rFonts w:eastAsia="Times New Roman" w:cs="Times New Roman"/>
                <w:noProof/>
              </w:rPr>
            </w:pPr>
            <w:r>
              <w:rPr>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A87B7DF"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03A5A927"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57DCDFA0"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1EACC2A" w14:textId="77777777" w:rsidR="003E1D81" w:rsidRDefault="003E1D81">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7A75D6B" w14:textId="77777777" w:rsidR="003E1D81" w:rsidRDefault="003E1D81">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4AB7BCF1" w14:textId="77777777" w:rsidR="003E1D81" w:rsidRDefault="003E1D81">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05D8590C" w14:textId="77777777" w:rsidR="003E1D81" w:rsidRDefault="003E1D81">
            <w:pPr>
              <w:spacing w:after="0" w:line="240" w:lineRule="auto"/>
              <w:rPr>
                <w:rFonts w:ascii="Times New Roman" w:eastAsia="Times New Roman" w:hAnsi="Times New Roman" w:cs="Times New Roman"/>
                <w:b/>
                <w:noProof/>
                <w:sz w:val="20"/>
              </w:rPr>
            </w:pPr>
          </w:p>
        </w:tc>
      </w:tr>
      <w:tr w:rsidR="003E1D81" w14:paraId="1A13C9A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7BD4CA" w14:textId="77777777" w:rsidR="003E1D81" w:rsidRDefault="00EB481C">
            <w:pPr>
              <w:pStyle w:val="P68B1DB1-Normal46"/>
              <w:spacing w:after="0" w:line="240" w:lineRule="auto"/>
              <w:jc w:val="center"/>
              <w:rPr>
                <w:rFonts w:eastAsia="Times New Roman" w:cs="Times New Roman"/>
                <w:noProof/>
              </w:rPr>
            </w:pPr>
            <w:r>
              <w:rPr>
                <w:noProof/>
              </w:rPr>
              <w:t>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9F3727" w14:textId="77777777" w:rsidR="003E1D81" w:rsidRDefault="00EB481C">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13B0FA"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79508C" w14:textId="77777777" w:rsidR="003E1D81" w:rsidRDefault="00EB481C">
            <w:pPr>
              <w:pStyle w:val="P68B1DB1-Normal46"/>
              <w:spacing w:after="0" w:line="240" w:lineRule="auto"/>
              <w:rPr>
                <w:rFonts w:eastAsia="Times New Roman" w:cs="Times New Roman"/>
                <w:noProof/>
              </w:rPr>
            </w:pPr>
            <w:r>
              <w:rPr>
                <w:noProof/>
              </w:rPr>
              <w:t xml:space="preserve">A fenntartható mobilitás előmozdítását célzó beszerzésekre fordított vagy az önkormányzatok által odaítélt </w:t>
            </w:r>
            <w:r>
              <w:rPr>
                <w:noProof/>
              </w:rPr>
              <w:t>költségvetés</w:t>
            </w:r>
          </w:p>
        </w:tc>
      </w:tr>
      <w:tr w:rsidR="003E1D81" w14:paraId="159974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4E4E92" w14:textId="77777777" w:rsidR="003E1D81" w:rsidRDefault="00EB481C">
            <w:pPr>
              <w:pStyle w:val="P68B1DB1-Normal46"/>
              <w:spacing w:after="0" w:line="240" w:lineRule="auto"/>
              <w:jc w:val="center"/>
              <w:rPr>
                <w:rFonts w:eastAsia="Times New Roman" w:cs="Times New Roman"/>
                <w:noProof/>
              </w:rPr>
            </w:pPr>
            <w:r>
              <w:rPr>
                <w:noProof/>
              </w:rPr>
              <w:t>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28FDC6" w14:textId="77777777" w:rsidR="003E1D81" w:rsidRDefault="00EB481C">
            <w:pPr>
              <w:pStyle w:val="P68B1DB1-Normal46"/>
              <w:spacing w:after="0" w:line="240" w:lineRule="auto"/>
              <w:rPr>
                <w:rFonts w:eastAsia="Times New Roman" w:cs="Times New Roman"/>
                <w:noProof/>
              </w:rPr>
            </w:pPr>
            <w:r>
              <w:rPr>
                <w:noProof/>
              </w:rPr>
              <w:t>C2.R3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9C5A63"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D44706B" w14:textId="77777777" w:rsidR="003E1D81" w:rsidRDefault="00EB481C">
            <w:pPr>
              <w:pStyle w:val="P68B1DB1-Normal46"/>
              <w:spacing w:after="0" w:line="240" w:lineRule="auto"/>
              <w:rPr>
                <w:rFonts w:eastAsia="Times New Roman" w:cs="Times New Roman"/>
                <w:noProof/>
              </w:rPr>
            </w:pPr>
            <w:r>
              <w:rPr>
                <w:noProof/>
              </w:rPr>
              <w:t xml:space="preserve">A lakhatási törvény hatálybalépése, beleértve a lakáskínálat növelését támogató intézkedéseket a közel nulla energiaigényű épületekkel összhangban </w:t>
            </w:r>
          </w:p>
        </w:tc>
      </w:tr>
      <w:tr w:rsidR="003E1D81" w14:paraId="3FCC538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0F164C" w14:textId="77777777" w:rsidR="003E1D81" w:rsidRDefault="00EB481C">
            <w:pPr>
              <w:pStyle w:val="P68B1DB1-Normal46"/>
              <w:spacing w:after="0" w:line="240" w:lineRule="auto"/>
              <w:jc w:val="center"/>
              <w:rPr>
                <w:rFonts w:eastAsia="Times New Roman" w:cs="Times New Roman"/>
                <w:noProof/>
              </w:rPr>
            </w:pPr>
            <w:r>
              <w:rPr>
                <w:noProof/>
              </w:rPr>
              <w:t>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72C2A" w14:textId="77777777" w:rsidR="003E1D81" w:rsidRDefault="00EB481C">
            <w:pPr>
              <w:pStyle w:val="P68B1DB1-Normal46"/>
              <w:spacing w:after="0" w:line="240" w:lineRule="auto"/>
              <w:rPr>
                <w:rFonts w:eastAsia="Times New Roman" w:cs="Times New Roman"/>
                <w:noProof/>
              </w:rPr>
            </w:pPr>
            <w:r>
              <w:rPr>
                <w:noProof/>
              </w:rPr>
              <w:t>C2.R4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C616D4"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66BF79" w14:textId="77777777" w:rsidR="003E1D81" w:rsidRDefault="00EB481C">
            <w:pPr>
              <w:pStyle w:val="P68B1DB1-Normal46"/>
              <w:spacing w:after="0" w:line="240" w:lineRule="auto"/>
              <w:rPr>
                <w:rFonts w:eastAsia="Times New Roman" w:cs="Times New Roman"/>
                <w:noProof/>
              </w:rPr>
            </w:pPr>
            <w:r>
              <w:rPr>
                <w:noProof/>
              </w:rPr>
              <w:t xml:space="preserve">Az építészet minőségéről és az épületkörnyezetről szóló törvény hatálybalépése </w:t>
            </w:r>
          </w:p>
        </w:tc>
      </w:tr>
      <w:tr w:rsidR="003E1D81" w14:paraId="51EA53E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AE5D2F" w14:textId="77777777" w:rsidR="003E1D81" w:rsidRDefault="00EB481C">
            <w:pPr>
              <w:pStyle w:val="P68B1DB1-Normal46"/>
              <w:spacing w:after="0" w:line="240" w:lineRule="auto"/>
              <w:jc w:val="center"/>
              <w:rPr>
                <w:rFonts w:eastAsia="Times New Roman" w:cs="Times New Roman"/>
                <w:noProof/>
              </w:rPr>
            </w:pPr>
            <w:r>
              <w:rPr>
                <w:noProof/>
              </w:rPr>
              <w:t>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398B72" w14:textId="77777777" w:rsidR="003E1D81" w:rsidRDefault="00EB481C">
            <w:pPr>
              <w:pStyle w:val="P68B1DB1-Normal46"/>
              <w:spacing w:after="0" w:line="240" w:lineRule="auto"/>
              <w:rPr>
                <w:rFonts w:eastAsia="Times New Roman" w:cs="Times New Roman"/>
                <w:noProof/>
              </w:rPr>
            </w:pPr>
            <w:r>
              <w:rPr>
                <w:noProof/>
              </w:rPr>
              <w:t>C2.R6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A7772C"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D9395E5" w14:textId="77777777" w:rsidR="003E1D81" w:rsidRDefault="00EB481C">
            <w:pPr>
              <w:pStyle w:val="P68B1DB1-Normal46"/>
              <w:spacing w:after="0" w:line="240" w:lineRule="auto"/>
              <w:rPr>
                <w:rFonts w:eastAsia="Times New Roman" w:cs="Times New Roman"/>
                <w:noProof/>
              </w:rPr>
            </w:pPr>
            <w:r>
              <w:rPr>
                <w:noProof/>
              </w:rPr>
              <w:t xml:space="preserve">A horizontális tulajdonjogi törvény módosításainak hatálybalépése a helyreállítás finanszírozásának megkönnyítése érdekében </w:t>
            </w:r>
          </w:p>
        </w:tc>
      </w:tr>
      <w:tr w:rsidR="003E1D81" w14:paraId="23FEC7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A18A14" w14:textId="77777777" w:rsidR="003E1D81" w:rsidRDefault="00EB481C">
            <w:pPr>
              <w:pStyle w:val="P68B1DB1-Normal46"/>
              <w:spacing w:after="0" w:line="240" w:lineRule="auto"/>
              <w:jc w:val="center"/>
              <w:rPr>
                <w:rFonts w:eastAsia="Times New Roman" w:cs="Times New Roman"/>
                <w:noProof/>
              </w:rPr>
            </w:pPr>
            <w:r>
              <w:rPr>
                <w:noProof/>
              </w:rPr>
              <w:t>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3AEDD8" w14:textId="77777777" w:rsidR="003E1D81" w:rsidRDefault="00EB481C">
            <w:pPr>
              <w:pStyle w:val="P68B1DB1-Normal46"/>
              <w:spacing w:after="0" w:line="240" w:lineRule="auto"/>
              <w:rPr>
                <w:rFonts w:eastAsia="Times New Roman" w:cs="Times New Roman"/>
                <w:noProof/>
              </w:rPr>
            </w:pPr>
            <w:r>
              <w:rPr>
                <w:noProof/>
              </w:rPr>
              <w:t>C2.I6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C34360"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9FC6D6D" w14:textId="77777777" w:rsidR="003E1D81" w:rsidRDefault="00EB481C">
            <w:pPr>
              <w:pStyle w:val="P68B1DB1-Normal46"/>
              <w:spacing w:after="0" w:line="240" w:lineRule="auto"/>
              <w:rPr>
                <w:rFonts w:eastAsia="Times New Roman" w:cs="Times New Roman"/>
                <w:noProof/>
              </w:rPr>
            </w:pPr>
            <w:r>
              <w:rPr>
                <w:noProof/>
              </w:rPr>
              <w:t xml:space="preserve">Cselekvési tervek a spanyol városfejlesztési menetrend keretében </w:t>
            </w:r>
          </w:p>
        </w:tc>
      </w:tr>
      <w:tr w:rsidR="003E1D81" w14:paraId="7351215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2E446F" w14:textId="77777777" w:rsidR="003E1D81" w:rsidRDefault="00EB481C">
            <w:pPr>
              <w:pStyle w:val="P68B1DB1-Normal46"/>
              <w:spacing w:after="0" w:line="240" w:lineRule="auto"/>
              <w:jc w:val="center"/>
              <w:rPr>
                <w:rFonts w:eastAsia="Times New Roman" w:cs="Times New Roman"/>
                <w:noProof/>
              </w:rPr>
            </w:pPr>
            <w:r>
              <w:rPr>
                <w:noProof/>
              </w:rPr>
              <w:t>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03FE90" w14:textId="77777777" w:rsidR="003E1D81" w:rsidRDefault="00EB481C">
            <w:pPr>
              <w:pStyle w:val="P68B1DB1-Normal46"/>
              <w:spacing w:after="0" w:line="240" w:lineRule="auto"/>
              <w:rPr>
                <w:rFonts w:eastAsia="Times New Roman" w:cs="Times New Roman"/>
                <w:noProof/>
              </w:rPr>
            </w:pPr>
            <w:r>
              <w:rPr>
                <w:noProof/>
              </w:rPr>
              <w:t>C3.R2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49A28B"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ED9A9B" w14:textId="77777777" w:rsidR="003E1D81" w:rsidRDefault="00EB481C">
            <w:pPr>
              <w:pStyle w:val="P68B1DB1-Normal46"/>
              <w:spacing w:after="0" w:line="240" w:lineRule="auto"/>
              <w:rPr>
                <w:rFonts w:eastAsia="Times New Roman" w:cs="Times New Roman"/>
                <w:noProof/>
              </w:rPr>
            </w:pPr>
            <w:r>
              <w:rPr>
                <w:noProof/>
              </w:rPr>
              <w:t>A szabályozási keret hatálybalépése a gazdaságokban alkalmazott elérhető legjobb technikák általános nyilvántartásának kidolgozása érdekében, hogy tájékoztatást nyújtson a szenny</w:t>
            </w:r>
            <w:r>
              <w:rPr>
                <w:noProof/>
              </w:rPr>
              <w:t>ezőanyag- és ÜHG-kibocsátásról, valamint megreformálja a tervezési jogszabályokat a különböző ágazatok gazdaságaira vonatkozó kritériumokkal</w:t>
            </w:r>
          </w:p>
        </w:tc>
      </w:tr>
      <w:tr w:rsidR="003E1D81" w14:paraId="2003BD6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792289" w14:textId="77777777" w:rsidR="003E1D81" w:rsidRDefault="00EB481C">
            <w:pPr>
              <w:pStyle w:val="P68B1DB1-Normal46"/>
              <w:spacing w:after="0" w:line="240" w:lineRule="auto"/>
              <w:jc w:val="center"/>
              <w:rPr>
                <w:rFonts w:eastAsia="Times New Roman" w:cs="Times New Roman"/>
                <w:noProof/>
              </w:rPr>
            </w:pPr>
            <w:r>
              <w:rPr>
                <w:noProof/>
              </w:rPr>
              <w:t>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2E9518" w14:textId="77777777" w:rsidR="003E1D81" w:rsidRDefault="00EB481C">
            <w:pPr>
              <w:pStyle w:val="P68B1DB1-Normal46"/>
              <w:spacing w:after="0" w:line="240" w:lineRule="auto"/>
              <w:rPr>
                <w:rFonts w:eastAsia="Times New Roman" w:cs="Times New Roman"/>
                <w:noProof/>
              </w:rPr>
            </w:pPr>
            <w:r>
              <w:rPr>
                <w:noProof/>
              </w:rPr>
              <w:t>C3.R4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1AA3D1"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0B6A8F" w14:textId="77777777" w:rsidR="003E1D81" w:rsidRDefault="00EB481C">
            <w:pPr>
              <w:pStyle w:val="P68B1DB1-Normal46"/>
              <w:spacing w:after="0" w:line="240" w:lineRule="auto"/>
              <w:rPr>
                <w:rFonts w:eastAsia="Times New Roman" w:cs="Times New Roman"/>
                <w:noProof/>
              </w:rPr>
            </w:pPr>
            <w:r>
              <w:rPr>
                <w:noProof/>
              </w:rPr>
              <w:t xml:space="preserve">A spanyol öntözőrendszer javítását célzó irányítási mechanizmusról szóló királyi rendelet </w:t>
            </w:r>
            <w:r>
              <w:rPr>
                <w:noProof/>
              </w:rPr>
              <w:t>hatálybalépése.</w:t>
            </w:r>
          </w:p>
        </w:tc>
      </w:tr>
      <w:tr w:rsidR="003E1D81" w14:paraId="1070FD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86D165" w14:textId="77777777" w:rsidR="003E1D81" w:rsidRDefault="00EB481C">
            <w:pPr>
              <w:pStyle w:val="P68B1DB1-Normal46"/>
              <w:spacing w:after="0" w:line="240" w:lineRule="auto"/>
              <w:jc w:val="center"/>
              <w:rPr>
                <w:rFonts w:eastAsia="Times New Roman" w:cs="Times New Roman"/>
                <w:noProof/>
              </w:rPr>
            </w:pPr>
            <w:r>
              <w:rPr>
                <w:noProof/>
              </w:rPr>
              <w:t>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1BDE84" w14:textId="77777777" w:rsidR="003E1D81" w:rsidRDefault="00EB481C">
            <w:pPr>
              <w:pStyle w:val="P68B1DB1-Normal46"/>
              <w:spacing w:after="0" w:line="240" w:lineRule="auto"/>
              <w:rPr>
                <w:rFonts w:eastAsia="Times New Roman" w:cs="Times New Roman"/>
                <w:noProof/>
              </w:rPr>
            </w:pPr>
            <w:r>
              <w:rPr>
                <w:noProof/>
              </w:rPr>
              <w:t>C3.R5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344B18"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3182BB" w14:textId="77777777" w:rsidR="003E1D81" w:rsidRDefault="00EB481C">
            <w:pPr>
              <w:pStyle w:val="P68B1DB1-Normal46"/>
              <w:spacing w:after="0" w:line="240" w:lineRule="auto"/>
              <w:rPr>
                <w:rFonts w:eastAsia="Times New Roman" w:cs="Times New Roman"/>
                <w:noProof/>
              </w:rPr>
            </w:pPr>
            <w:r>
              <w:rPr>
                <w:noProof/>
              </w:rPr>
              <w:t>Az agrár-élelmiszeripari ágazat és a vidéki térségek digitalizációjára vonatkozó stratégia második cselekvési tervének elfogadása.</w:t>
            </w:r>
          </w:p>
        </w:tc>
      </w:tr>
      <w:tr w:rsidR="003E1D81" w14:paraId="08936EA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B8037C" w14:textId="77777777" w:rsidR="003E1D81" w:rsidRDefault="00EB481C">
            <w:pPr>
              <w:pStyle w:val="P68B1DB1-Normal46"/>
              <w:spacing w:after="0" w:line="240" w:lineRule="auto"/>
              <w:jc w:val="center"/>
              <w:rPr>
                <w:rFonts w:eastAsia="Times New Roman" w:cs="Times New Roman"/>
                <w:noProof/>
              </w:rPr>
            </w:pPr>
            <w:r>
              <w:rPr>
                <w:noProof/>
              </w:rPr>
              <w:t>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6A9CAB" w14:textId="77777777" w:rsidR="003E1D81" w:rsidRDefault="00EB481C">
            <w:pPr>
              <w:pStyle w:val="P68B1DB1-Normal46"/>
              <w:spacing w:after="0" w:line="240" w:lineRule="auto"/>
              <w:rPr>
                <w:rFonts w:eastAsia="Times New Roman" w:cs="Times New Roman"/>
                <w:noProof/>
              </w:rPr>
            </w:pPr>
            <w:r>
              <w:rPr>
                <w:noProof/>
              </w:rPr>
              <w:t>C3.I1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08FFD3"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4B01DD" w14:textId="77777777" w:rsidR="003E1D81" w:rsidRDefault="00EB481C">
            <w:pPr>
              <w:pStyle w:val="P68B1DB1-Normal46"/>
              <w:spacing w:after="0" w:line="240" w:lineRule="auto"/>
              <w:rPr>
                <w:rFonts w:eastAsia="Times New Roman" w:cs="Times New Roman"/>
                <w:noProof/>
              </w:rPr>
            </w:pPr>
            <w:r>
              <w:rPr>
                <w:noProof/>
              </w:rPr>
              <w:t>A Mezőgazdasági, Halászati és Élelmiszerügyi Minisztérium (MAPA) és a SEIASA közötti,</w:t>
            </w:r>
            <w:r>
              <w:rPr>
                <w:noProof/>
              </w:rPr>
              <w:t xml:space="preserve"> az öntözött területek javításának és fenntarthatóságának támogatásáról szóló megállapodás végrehajtása (II. szakasz)</w:t>
            </w:r>
          </w:p>
        </w:tc>
      </w:tr>
      <w:tr w:rsidR="003E1D81" w14:paraId="6C3C62B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09B233" w14:textId="77777777" w:rsidR="003E1D81" w:rsidRDefault="00EB481C">
            <w:pPr>
              <w:pStyle w:val="P68B1DB1-Normal46"/>
              <w:spacing w:after="0" w:line="240" w:lineRule="auto"/>
              <w:jc w:val="center"/>
              <w:rPr>
                <w:rFonts w:eastAsia="Times New Roman" w:cs="Times New Roman"/>
                <w:noProof/>
              </w:rPr>
            </w:pPr>
            <w:r>
              <w:rPr>
                <w:noProof/>
              </w:rPr>
              <w:t>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E060FB7" w14:textId="77777777" w:rsidR="003E1D81" w:rsidRDefault="00EB481C">
            <w:pPr>
              <w:pStyle w:val="P68B1DB1-Normal46"/>
              <w:spacing w:after="0" w:line="240" w:lineRule="auto"/>
              <w:rPr>
                <w:rFonts w:eastAsia="Times New Roman" w:cs="Times New Roman"/>
                <w:noProof/>
              </w:rPr>
            </w:pPr>
            <w:r>
              <w:rPr>
                <w:noProof/>
              </w:rPr>
              <w:t>C3.I6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95BA5F"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1B8EA6" w14:textId="77777777" w:rsidR="003E1D81" w:rsidRDefault="00EB481C">
            <w:pPr>
              <w:pStyle w:val="P68B1DB1-Normal46"/>
              <w:spacing w:after="0" w:line="240" w:lineRule="auto"/>
              <w:rPr>
                <w:rFonts w:eastAsia="Times New Roman" w:cs="Times New Roman"/>
                <w:noProof/>
              </w:rPr>
            </w:pPr>
            <w:r>
              <w:rPr>
                <w:noProof/>
              </w:rPr>
              <w:t>IKT-berendezések beszerzése a halászati érdekeltségek tengeri tartalékai számára, valamint a tengeri tartalék céljára szolgáló</w:t>
            </w:r>
            <w:r>
              <w:rPr>
                <w:noProof/>
              </w:rPr>
              <w:t xml:space="preserve"> különleges célú hajók beszerzésére vonatkozó szerződések</w:t>
            </w:r>
          </w:p>
        </w:tc>
      </w:tr>
      <w:tr w:rsidR="003E1D81" w14:paraId="67314B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A44D1D" w14:textId="77777777" w:rsidR="003E1D81" w:rsidRDefault="00EB481C">
            <w:pPr>
              <w:pStyle w:val="P68B1DB1-Normal46"/>
              <w:spacing w:after="0" w:line="240" w:lineRule="auto"/>
              <w:jc w:val="center"/>
              <w:rPr>
                <w:rFonts w:eastAsia="Times New Roman" w:cs="Times New Roman"/>
                <w:noProof/>
              </w:rPr>
            </w:pPr>
            <w:r>
              <w:rPr>
                <w:noProof/>
              </w:rPr>
              <w:t>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2F3FC2" w14:textId="77777777" w:rsidR="003E1D81" w:rsidRDefault="00EB481C">
            <w:pPr>
              <w:pStyle w:val="P68B1DB1-Normal46"/>
              <w:spacing w:after="0" w:line="240" w:lineRule="auto"/>
              <w:rPr>
                <w:rFonts w:eastAsia="Times New Roman" w:cs="Times New Roman"/>
                <w:noProof/>
              </w:rPr>
            </w:pPr>
            <w:r>
              <w:rPr>
                <w:noProof/>
              </w:rPr>
              <w:t>C3.I10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ADB05E"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E53FD83" w14:textId="77777777" w:rsidR="003E1D81" w:rsidRDefault="00EB481C">
            <w:pPr>
              <w:pStyle w:val="P68B1DB1-Normal46"/>
              <w:spacing w:after="0" w:line="240" w:lineRule="auto"/>
              <w:rPr>
                <w:rFonts w:eastAsia="Times New Roman" w:cs="Times New Roman"/>
                <w:noProof/>
              </w:rPr>
            </w:pPr>
            <w:r>
              <w:rPr>
                <w:noProof/>
              </w:rPr>
              <w:t xml:space="preserve">Könnyű járőrcsónakok és nyílt tengeri járőrhajók vásárlása a jogellenes, be nem jelentett és szabályozatlan halászat elleni küzdelem érdekében </w:t>
            </w:r>
          </w:p>
        </w:tc>
      </w:tr>
      <w:tr w:rsidR="003E1D81" w14:paraId="08C877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320C4F" w14:textId="77777777" w:rsidR="003E1D81" w:rsidRDefault="00EB481C">
            <w:pPr>
              <w:pStyle w:val="P68B1DB1-Normal46"/>
              <w:spacing w:after="0" w:line="240" w:lineRule="auto"/>
              <w:jc w:val="center"/>
              <w:rPr>
                <w:rFonts w:eastAsia="Times New Roman" w:cs="Times New Roman"/>
                <w:noProof/>
              </w:rPr>
            </w:pPr>
            <w:r>
              <w:rPr>
                <w:noProof/>
              </w:rPr>
              <w:t>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0F1D53" w14:textId="77777777" w:rsidR="003E1D81" w:rsidRDefault="00EB481C">
            <w:pPr>
              <w:pStyle w:val="P68B1DB1-Normal46"/>
              <w:spacing w:after="0" w:line="240" w:lineRule="auto"/>
              <w:rPr>
                <w:rFonts w:eastAsia="Times New Roman" w:cs="Times New Roman"/>
                <w:noProof/>
              </w:rPr>
            </w:pPr>
            <w:r>
              <w:rPr>
                <w:noProof/>
              </w:rPr>
              <w:t>C4.R1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E4BED7"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879EEBC" w14:textId="77777777" w:rsidR="003E1D81" w:rsidRDefault="00EB481C">
            <w:pPr>
              <w:pStyle w:val="P68B1DB1-Normal46"/>
              <w:spacing w:after="0" w:line="240" w:lineRule="auto"/>
              <w:rPr>
                <w:rFonts w:eastAsia="Times New Roman" w:cs="Times New Roman"/>
                <w:noProof/>
              </w:rPr>
            </w:pPr>
            <w:r>
              <w:rPr>
                <w:noProof/>
              </w:rPr>
              <w:t xml:space="preserve">A természeti örökségre és a biológiai sokféleségre vonatkozó stratégiai terv és a védett tengeri területek hálózatára vonatkozó terv </w:t>
            </w:r>
          </w:p>
        </w:tc>
      </w:tr>
      <w:tr w:rsidR="003E1D81" w14:paraId="4D5929E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A58405" w14:textId="77777777" w:rsidR="003E1D81" w:rsidRDefault="00EB481C">
            <w:pPr>
              <w:pStyle w:val="P68B1DB1-Normal46"/>
              <w:spacing w:after="0" w:line="240" w:lineRule="auto"/>
              <w:jc w:val="center"/>
              <w:rPr>
                <w:rFonts w:eastAsia="Times New Roman" w:cs="Times New Roman"/>
                <w:noProof/>
              </w:rPr>
            </w:pPr>
            <w:r>
              <w:rPr>
                <w:noProof/>
              </w:rPr>
              <w:t>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C673CF" w14:textId="77777777" w:rsidR="003E1D81" w:rsidRDefault="00EB481C">
            <w:pPr>
              <w:pStyle w:val="P68B1DB1-Normal46"/>
              <w:spacing w:after="0" w:line="240" w:lineRule="auto"/>
              <w:rPr>
                <w:rFonts w:eastAsia="Times New Roman" w:cs="Times New Roman"/>
                <w:noProof/>
              </w:rPr>
            </w:pPr>
            <w:r>
              <w:rPr>
                <w:noProof/>
              </w:rPr>
              <w:t>C4.R3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558452"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C21980" w14:textId="77777777" w:rsidR="003E1D81" w:rsidRDefault="00EB481C">
            <w:pPr>
              <w:pStyle w:val="P68B1DB1-Normal46"/>
              <w:spacing w:after="0" w:line="240" w:lineRule="auto"/>
              <w:rPr>
                <w:rFonts w:eastAsia="Times New Roman" w:cs="Times New Roman"/>
                <w:noProof/>
              </w:rPr>
            </w:pPr>
            <w:r>
              <w:rPr>
                <w:noProof/>
              </w:rPr>
              <w:t>A spanyol erdőgazdálkodási stratégia és támogatási terv jóváhagyása</w:t>
            </w:r>
          </w:p>
        </w:tc>
      </w:tr>
      <w:tr w:rsidR="003E1D81" w14:paraId="63EC54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AA4E8C" w14:textId="77777777" w:rsidR="003E1D81" w:rsidRDefault="00EB481C">
            <w:pPr>
              <w:pStyle w:val="P68B1DB1-Normal46"/>
              <w:spacing w:after="0" w:line="240" w:lineRule="auto"/>
              <w:jc w:val="center"/>
              <w:rPr>
                <w:rFonts w:eastAsia="Times New Roman" w:cs="Times New Roman"/>
                <w:noProof/>
              </w:rPr>
            </w:pPr>
            <w:r>
              <w:rPr>
                <w:noProof/>
              </w:rPr>
              <w:t>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944ED0" w14:textId="77777777" w:rsidR="003E1D81" w:rsidRDefault="00EB481C">
            <w:pPr>
              <w:pStyle w:val="P68B1DB1-Normal46"/>
              <w:spacing w:after="0" w:line="240" w:lineRule="auto"/>
              <w:rPr>
                <w:rFonts w:eastAsia="Times New Roman" w:cs="Times New Roman"/>
                <w:noProof/>
              </w:rPr>
            </w:pPr>
            <w:r>
              <w:rPr>
                <w:noProof/>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A06870"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D37995" w14:textId="77777777" w:rsidR="003E1D81" w:rsidRDefault="00EB481C">
            <w:pPr>
              <w:pStyle w:val="P68B1DB1-Normal46"/>
              <w:spacing w:after="0" w:line="240" w:lineRule="auto"/>
              <w:rPr>
                <w:rFonts w:eastAsia="Times New Roman" w:cs="Times New Roman"/>
                <w:noProof/>
              </w:rPr>
            </w:pPr>
            <w:r>
              <w:rPr>
                <w:noProof/>
              </w:rPr>
              <w:t>A folyópartok árvízkockázatokk</w:t>
            </w:r>
            <w:r>
              <w:rPr>
                <w:noProof/>
              </w:rPr>
              <w:t>al szembeni védelmének helyreállítása</w:t>
            </w:r>
          </w:p>
        </w:tc>
      </w:tr>
      <w:tr w:rsidR="003E1D81" w14:paraId="31A1A9A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7AFFF7" w14:textId="77777777" w:rsidR="003E1D81" w:rsidRDefault="00EB481C">
            <w:pPr>
              <w:pStyle w:val="P68B1DB1-Normal46"/>
              <w:spacing w:after="0" w:line="240" w:lineRule="auto"/>
              <w:jc w:val="center"/>
              <w:rPr>
                <w:rFonts w:eastAsia="Times New Roman" w:cs="Times New Roman"/>
                <w:noProof/>
              </w:rPr>
            </w:pPr>
            <w:r>
              <w:rPr>
                <w:noProof/>
              </w:rPr>
              <w:t>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5BAA0DE" w14:textId="77777777" w:rsidR="003E1D81" w:rsidRDefault="00EB481C">
            <w:pPr>
              <w:pStyle w:val="P68B1DB1-Normal46"/>
              <w:spacing w:after="0" w:line="240" w:lineRule="auto"/>
              <w:rPr>
                <w:rFonts w:eastAsia="Times New Roman" w:cs="Times New Roman"/>
                <w:noProof/>
              </w:rPr>
            </w:pPr>
            <w:r>
              <w:rPr>
                <w:noProof/>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BA1B1F"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AF5021" w14:textId="77777777" w:rsidR="003E1D81" w:rsidRDefault="00EB481C">
            <w:pPr>
              <w:pStyle w:val="P68B1DB1-Normal46"/>
              <w:spacing w:after="0" w:line="240" w:lineRule="auto"/>
              <w:rPr>
                <w:rFonts w:eastAsia="Times New Roman" w:cs="Times New Roman"/>
                <w:noProof/>
              </w:rPr>
            </w:pPr>
            <w:r>
              <w:rPr>
                <w:noProof/>
              </w:rPr>
              <w:t xml:space="preserve">A leromlott állapotú területek és ökoszisztémák helyreállítása legalább 50 kilométernyi partszakaszon </w:t>
            </w:r>
          </w:p>
        </w:tc>
      </w:tr>
      <w:tr w:rsidR="003E1D81" w14:paraId="70190CF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F53C57" w14:textId="77777777" w:rsidR="003E1D81" w:rsidRDefault="00EB481C">
            <w:pPr>
              <w:pStyle w:val="P68B1DB1-Normal46"/>
              <w:spacing w:after="0" w:line="240" w:lineRule="auto"/>
              <w:jc w:val="center"/>
              <w:rPr>
                <w:rFonts w:eastAsia="Times New Roman" w:cs="Times New Roman"/>
                <w:noProof/>
              </w:rPr>
            </w:pPr>
            <w:r>
              <w:rPr>
                <w:noProof/>
              </w:rPr>
              <w:t>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188795" w14:textId="77777777" w:rsidR="003E1D81" w:rsidRDefault="00EB481C">
            <w:pPr>
              <w:pStyle w:val="P68B1DB1-Normal46"/>
              <w:spacing w:after="0" w:line="240" w:lineRule="auto"/>
              <w:rPr>
                <w:rFonts w:eastAsia="Times New Roman" w:cs="Times New Roman"/>
                <w:noProof/>
              </w:rPr>
            </w:pPr>
            <w:r>
              <w:rPr>
                <w:noProof/>
              </w:rPr>
              <w:t>C6.R2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163EE3"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77698D" w14:textId="77777777" w:rsidR="003E1D81" w:rsidRDefault="00EB481C">
            <w:pPr>
              <w:pStyle w:val="P68B1DB1-Normal46"/>
              <w:spacing w:after="0" w:line="240" w:lineRule="auto"/>
              <w:rPr>
                <w:rFonts w:eastAsia="Times New Roman" w:cs="Times New Roman"/>
                <w:noProof/>
              </w:rPr>
            </w:pPr>
            <w:r>
              <w:rPr>
                <w:noProof/>
              </w:rPr>
              <w:t>Indikatív vasúti stratégia</w:t>
            </w:r>
          </w:p>
        </w:tc>
      </w:tr>
      <w:tr w:rsidR="003E1D81" w14:paraId="587A0E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12D877" w14:textId="77777777" w:rsidR="003E1D81" w:rsidRDefault="00EB481C">
            <w:pPr>
              <w:pStyle w:val="P68B1DB1-Normal46"/>
              <w:spacing w:after="0" w:line="240" w:lineRule="auto"/>
              <w:jc w:val="center"/>
              <w:rPr>
                <w:rFonts w:eastAsia="Times New Roman" w:cs="Times New Roman"/>
                <w:noProof/>
              </w:rPr>
            </w:pPr>
            <w:r>
              <w:rPr>
                <w:noProof/>
              </w:rPr>
              <w:t>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A070F64" w14:textId="77777777" w:rsidR="003E1D81" w:rsidRDefault="00EB481C">
            <w:pPr>
              <w:pStyle w:val="P68B1DB1-Normal46"/>
              <w:spacing w:after="0" w:line="240" w:lineRule="auto"/>
              <w:rPr>
                <w:rFonts w:eastAsia="Times New Roman" w:cs="Times New Roman"/>
                <w:noProof/>
              </w:rPr>
            </w:pPr>
            <w:r>
              <w:rPr>
                <w:noProof/>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E65815"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ECDCE8F" w14:textId="77777777" w:rsidR="003E1D81" w:rsidRDefault="00EB481C">
            <w:pPr>
              <w:pStyle w:val="P68B1DB1-Normal46"/>
              <w:spacing w:after="0" w:line="240" w:lineRule="auto"/>
              <w:rPr>
                <w:rFonts w:eastAsia="Times New Roman" w:cs="Times New Roman"/>
                <w:noProof/>
              </w:rPr>
            </w:pPr>
            <w:r>
              <w:rPr>
                <w:noProof/>
              </w:rPr>
              <w:t>TEN-T törzshálózat: a projektek odaítélése</w:t>
            </w:r>
          </w:p>
        </w:tc>
      </w:tr>
      <w:tr w:rsidR="003E1D81" w14:paraId="3617DE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9999CA" w14:textId="77777777" w:rsidR="003E1D81" w:rsidRDefault="00EB481C">
            <w:pPr>
              <w:pStyle w:val="P68B1DB1-Normal46"/>
              <w:spacing w:after="0" w:line="240" w:lineRule="auto"/>
              <w:jc w:val="center"/>
              <w:rPr>
                <w:rFonts w:eastAsia="Times New Roman" w:cs="Times New Roman"/>
                <w:noProof/>
              </w:rPr>
            </w:pPr>
            <w:r>
              <w:rPr>
                <w:noProof/>
              </w:rPr>
              <w:t>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ADC23B" w14:textId="77777777" w:rsidR="003E1D81" w:rsidRDefault="00EB481C">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14831"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53B7C2E" w14:textId="77777777" w:rsidR="003E1D81" w:rsidRDefault="00EB481C">
            <w:pPr>
              <w:pStyle w:val="P68B1DB1-Normal46"/>
              <w:spacing w:after="0" w:line="240" w:lineRule="auto"/>
              <w:rPr>
                <w:rFonts w:eastAsia="Times New Roman" w:cs="Times New Roman"/>
                <w:noProof/>
              </w:rPr>
            </w:pPr>
            <w:r>
              <w:rPr>
                <w:noProof/>
              </w:rPr>
              <w:t>TEN-T hálózat különböző közlekedési módok (vasúti és közúti): részleges költségvetési juttatás</w:t>
            </w:r>
          </w:p>
        </w:tc>
      </w:tr>
      <w:tr w:rsidR="003E1D81" w14:paraId="2E06108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C4B23C" w14:textId="77777777" w:rsidR="003E1D81" w:rsidRDefault="00EB481C">
            <w:pPr>
              <w:pStyle w:val="P68B1DB1-Normal46"/>
              <w:spacing w:after="0" w:line="240" w:lineRule="auto"/>
              <w:jc w:val="center"/>
              <w:rPr>
                <w:rFonts w:eastAsia="Times New Roman" w:cs="Times New Roman"/>
                <w:noProof/>
              </w:rPr>
            </w:pPr>
            <w:r>
              <w:rPr>
                <w:noProof/>
              </w:rPr>
              <w:t>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F68948" w14:textId="77777777" w:rsidR="003E1D81" w:rsidRDefault="00EB481C">
            <w:pPr>
              <w:pStyle w:val="P68B1DB1-Normal46"/>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FD4EB1"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CC0DDB4" w14:textId="77777777" w:rsidR="003E1D81" w:rsidRDefault="00EB481C">
            <w:pPr>
              <w:pStyle w:val="P68B1DB1-Normal46"/>
              <w:spacing w:after="0" w:line="240" w:lineRule="auto"/>
              <w:rPr>
                <w:rFonts w:eastAsia="Times New Roman" w:cs="Times New Roman"/>
                <w:noProof/>
              </w:rPr>
            </w:pPr>
            <w:r>
              <w:rPr>
                <w:noProof/>
              </w:rPr>
              <w:t xml:space="preserve">Intermodális és logisztikai infrastruktúrák: részleges költségvetési juttatás </w:t>
            </w:r>
          </w:p>
        </w:tc>
      </w:tr>
      <w:tr w:rsidR="003E1D81" w14:paraId="0288A6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B56948" w14:textId="77777777" w:rsidR="003E1D81" w:rsidRDefault="00EB481C">
            <w:pPr>
              <w:pStyle w:val="P68B1DB1-Normal46"/>
              <w:spacing w:after="0" w:line="240" w:lineRule="auto"/>
              <w:jc w:val="center"/>
              <w:rPr>
                <w:rFonts w:eastAsia="Times New Roman" w:cs="Times New Roman"/>
                <w:noProof/>
              </w:rPr>
            </w:pPr>
            <w:r>
              <w:rPr>
                <w:noProof/>
              </w:rPr>
              <w:t>99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94BF40" w14:textId="77777777" w:rsidR="003E1D81" w:rsidRDefault="00EB481C">
            <w:pPr>
              <w:pStyle w:val="P68B1DB1-Normal46"/>
              <w:spacing w:after="0" w:line="240" w:lineRule="auto"/>
              <w:rPr>
                <w:rFonts w:eastAsia="Times New Roman" w:cs="Times New Roman"/>
                <w:noProof/>
              </w:rPr>
            </w:pPr>
            <w:r>
              <w:rPr>
                <w:noProof/>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87A0120"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89DA4D" w14:textId="77777777" w:rsidR="003E1D81" w:rsidRDefault="00EB481C">
            <w:pPr>
              <w:pStyle w:val="P68B1DB1-Normal46"/>
              <w:spacing w:after="0" w:line="240" w:lineRule="auto"/>
              <w:rPr>
                <w:rFonts w:eastAsia="Times New Roman" w:cs="Times New Roman"/>
                <w:noProof/>
              </w:rPr>
            </w:pPr>
            <w:r>
              <w:rPr>
                <w:noProof/>
              </w:rPr>
              <w:t xml:space="preserve">A fenntartható és digitális közlekedés programjának támogatása. </w:t>
            </w:r>
          </w:p>
        </w:tc>
      </w:tr>
      <w:tr w:rsidR="003E1D81" w14:paraId="551F9F8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5DA1E9" w14:textId="77777777" w:rsidR="003E1D81" w:rsidRDefault="00EB481C">
            <w:pPr>
              <w:pStyle w:val="P68B1DB1-Normal46"/>
              <w:spacing w:after="0" w:line="240" w:lineRule="auto"/>
              <w:jc w:val="center"/>
              <w:rPr>
                <w:rFonts w:eastAsia="Times New Roman" w:cs="Times New Roman"/>
                <w:noProof/>
              </w:rPr>
            </w:pPr>
            <w:r>
              <w:rPr>
                <w:noProof/>
              </w:rPr>
              <w:t>140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9533E" w14:textId="77777777" w:rsidR="003E1D81" w:rsidRDefault="00EB481C">
            <w:pPr>
              <w:pStyle w:val="P68B1DB1-Normal46"/>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9B5C13"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728039D" w14:textId="77777777" w:rsidR="003E1D81" w:rsidRDefault="00EB481C">
            <w:pPr>
              <w:pStyle w:val="P68B1DB1-Normal46"/>
              <w:spacing w:after="0" w:line="240" w:lineRule="auto"/>
              <w:rPr>
                <w:rFonts w:eastAsia="Times New Roman" w:cs="Times New Roman"/>
                <w:noProof/>
              </w:rPr>
            </w:pPr>
            <w:r>
              <w:rPr>
                <w:noProof/>
              </w:rPr>
              <w:t>Környezetvédelmi, digitális és szociális infrastrukturális projektek támogatása.</w:t>
            </w:r>
          </w:p>
        </w:tc>
      </w:tr>
      <w:tr w:rsidR="003E1D81" w14:paraId="3D16B0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3739A2" w14:textId="77777777" w:rsidR="003E1D81" w:rsidRDefault="00EB481C">
            <w:pPr>
              <w:pStyle w:val="P68B1DB1-Normal46"/>
              <w:spacing w:after="0" w:line="240" w:lineRule="auto"/>
              <w:jc w:val="center"/>
              <w:rPr>
                <w:rFonts w:eastAsia="Times New Roman" w:cs="Times New Roman"/>
                <w:noProof/>
              </w:rPr>
            </w:pPr>
            <w:r>
              <w:rPr>
                <w:noProof/>
              </w:rPr>
              <w:t>145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AADBEA" w14:textId="77777777" w:rsidR="003E1D81" w:rsidRDefault="00EB481C">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C34E3D"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69D56C5" w14:textId="77777777" w:rsidR="003E1D81" w:rsidRDefault="00EB481C">
            <w:pPr>
              <w:pStyle w:val="P68B1DB1-Normal46"/>
              <w:spacing w:after="0" w:line="240" w:lineRule="auto"/>
              <w:rPr>
                <w:rFonts w:eastAsia="Times New Roman" w:cs="Times New Roman"/>
                <w:noProof/>
              </w:rPr>
            </w:pPr>
            <w:r>
              <w:rPr>
                <w:noProof/>
              </w:rPr>
              <w:t>A 40/2015. sz. törvény módosításának és a területek közötti együttműködést erősítő</w:t>
            </w:r>
            <w:r>
              <w:rPr>
                <w:noProof/>
              </w:rPr>
              <w:t xml:space="preserve"> miniszteri rendeleteknek a hatálybalépése</w:t>
            </w:r>
          </w:p>
        </w:tc>
      </w:tr>
      <w:tr w:rsidR="003E1D81" w14:paraId="737001F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8CCED4" w14:textId="77777777" w:rsidR="003E1D81" w:rsidRDefault="00EB481C">
            <w:pPr>
              <w:pStyle w:val="P68B1DB1-Normal46"/>
              <w:spacing w:after="0" w:line="240" w:lineRule="auto"/>
              <w:jc w:val="center"/>
              <w:rPr>
                <w:rFonts w:eastAsia="Times New Roman" w:cs="Times New Roman"/>
                <w:noProof/>
              </w:rPr>
            </w:pPr>
            <w:r>
              <w:rPr>
                <w:noProof/>
              </w:rPr>
              <w:t>146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6E77719" w14:textId="77777777" w:rsidR="003E1D81" w:rsidRDefault="00EB481C">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D1035A"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57A648A" w14:textId="77777777" w:rsidR="003E1D81" w:rsidRDefault="00EB481C">
            <w:pPr>
              <w:pStyle w:val="P68B1DB1-Normal46"/>
              <w:spacing w:after="0" w:line="240" w:lineRule="auto"/>
              <w:rPr>
                <w:rFonts w:eastAsia="Times New Roman" w:cs="Times New Roman"/>
                <w:noProof/>
              </w:rPr>
            </w:pPr>
            <w:r>
              <w:rPr>
                <w:noProof/>
              </w:rPr>
              <w:t>A közpolitikák értékelésének megerősítését célzó törvény hatálybalépése</w:t>
            </w:r>
          </w:p>
        </w:tc>
      </w:tr>
      <w:tr w:rsidR="003E1D81" w14:paraId="10CDB6C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080FB6" w14:textId="77777777" w:rsidR="003E1D81" w:rsidRDefault="00EB481C">
            <w:pPr>
              <w:pStyle w:val="P68B1DB1-Normal46"/>
              <w:spacing w:after="0" w:line="240" w:lineRule="auto"/>
              <w:jc w:val="center"/>
              <w:rPr>
                <w:rFonts w:eastAsia="Times New Roman" w:cs="Times New Roman"/>
                <w:noProof/>
              </w:rPr>
            </w:pPr>
            <w:r>
              <w:rPr>
                <w:noProof/>
              </w:rPr>
              <w:t>147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4F8EC2" w14:textId="77777777" w:rsidR="003E1D81" w:rsidRDefault="00EB481C">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2499EB"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31A682" w14:textId="77777777" w:rsidR="003E1D81" w:rsidRDefault="00EB481C">
            <w:pPr>
              <w:pStyle w:val="P68B1DB1-Normal46"/>
              <w:spacing w:after="0" w:line="240" w:lineRule="auto"/>
              <w:rPr>
                <w:rFonts w:eastAsia="Times New Roman" w:cs="Times New Roman"/>
                <w:noProof/>
              </w:rPr>
            </w:pPr>
            <w:r>
              <w:rPr>
                <w:noProof/>
              </w:rPr>
              <w:t>A helyi közigazgatási rendszerekről szóló 7/1985. sz. törvény reformjának, valamint a helyi közigazgatási egysége</w:t>
            </w:r>
            <w:r>
              <w:rPr>
                <w:noProof/>
              </w:rPr>
              <w:t>k népesség- és területi elhatárolásáról szóló rendeletet jóváhagyó, július 11-i 1690/1986. sz. királyi rendelet módosításának hatálybalépése</w:t>
            </w:r>
          </w:p>
        </w:tc>
      </w:tr>
      <w:tr w:rsidR="003E1D81" w14:paraId="771924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EE992D6" w14:textId="77777777" w:rsidR="003E1D81" w:rsidRDefault="00EB481C">
            <w:pPr>
              <w:pStyle w:val="P68B1DB1-Normal46"/>
              <w:spacing w:after="0" w:line="240" w:lineRule="auto"/>
              <w:jc w:val="center"/>
              <w:rPr>
                <w:rFonts w:eastAsia="Times New Roman" w:cs="Times New Roman"/>
                <w:noProof/>
              </w:rPr>
            </w:pPr>
            <w:r>
              <w:rPr>
                <w:noProof/>
              </w:rPr>
              <w:t>148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B2EB78" w14:textId="77777777" w:rsidR="003E1D81" w:rsidRDefault="00EB481C">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001842"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6AF889F" w14:textId="77777777" w:rsidR="003E1D81" w:rsidRDefault="00EB481C">
            <w:pPr>
              <w:pStyle w:val="P68B1DB1-Normal46"/>
              <w:spacing w:after="0" w:line="240" w:lineRule="auto"/>
              <w:rPr>
                <w:rFonts w:eastAsia="Times New Roman" w:cs="Times New Roman"/>
                <w:noProof/>
              </w:rPr>
            </w:pPr>
            <w:r>
              <w:rPr>
                <w:noProof/>
              </w:rPr>
              <w:t>Az állami közigazgatás közszolgálatára vonatkozó szabályozási intézkedések hatálybalépése</w:t>
            </w:r>
          </w:p>
        </w:tc>
      </w:tr>
      <w:tr w:rsidR="003E1D81" w14:paraId="319CC06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8C2D88" w14:textId="77777777" w:rsidR="003E1D81" w:rsidRDefault="00EB481C">
            <w:pPr>
              <w:pStyle w:val="P68B1DB1-Normal46"/>
              <w:spacing w:after="0" w:line="240" w:lineRule="auto"/>
              <w:jc w:val="center"/>
              <w:rPr>
                <w:rFonts w:eastAsia="Times New Roman" w:cs="Times New Roman"/>
                <w:noProof/>
              </w:rPr>
            </w:pPr>
            <w:r>
              <w:rPr>
                <w:noProof/>
              </w:rPr>
              <w:t>152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BB7394" w14:textId="77777777" w:rsidR="003E1D81" w:rsidRDefault="00EB481C">
            <w:pPr>
              <w:pStyle w:val="P68B1DB1-Normal46"/>
              <w:spacing w:after="0" w:line="240" w:lineRule="auto"/>
              <w:rPr>
                <w:rFonts w:eastAsia="Times New Roman" w:cs="Times New Roman"/>
                <w:noProof/>
              </w:rPr>
            </w:pPr>
            <w:r>
              <w:rPr>
                <w:noProof/>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4DBEF2"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A31D02" w14:textId="77777777" w:rsidR="003E1D81" w:rsidRDefault="00EB481C">
            <w:pPr>
              <w:pStyle w:val="P68B1DB1-Normal46"/>
              <w:spacing w:after="0" w:line="240" w:lineRule="auto"/>
              <w:rPr>
                <w:rFonts w:eastAsia="Times New Roman" w:cs="Times New Roman"/>
                <w:noProof/>
              </w:rPr>
            </w:pPr>
            <w:r>
              <w:rPr>
                <w:noProof/>
              </w:rPr>
              <w:t>A bírósági eljárások hatékonyságát javító királyi törvényerejű rendelet és a digitális hatékonyságról szóló királyi törvényerejű rendelet hatálybalépése</w:t>
            </w:r>
          </w:p>
        </w:tc>
      </w:tr>
      <w:tr w:rsidR="003E1D81" w14:paraId="23C7C83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8EE23F" w14:textId="77777777" w:rsidR="003E1D81" w:rsidRDefault="00EB481C">
            <w:pPr>
              <w:pStyle w:val="P68B1DB1-Normal46"/>
              <w:spacing w:after="0" w:line="240" w:lineRule="auto"/>
              <w:jc w:val="center"/>
              <w:rPr>
                <w:rFonts w:eastAsia="Times New Roman" w:cs="Times New Roman"/>
                <w:noProof/>
              </w:rPr>
            </w:pPr>
            <w:r>
              <w:rPr>
                <w:noProof/>
              </w:rPr>
              <w:t>156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8A841F" w14:textId="77777777" w:rsidR="003E1D81" w:rsidRDefault="00EB481C">
            <w:pPr>
              <w:pStyle w:val="P68B1DB1-Normal46"/>
              <w:spacing w:after="0" w:line="240" w:lineRule="auto"/>
              <w:rPr>
                <w:rFonts w:eastAsia="Times New Roman" w:cs="Times New Roman"/>
                <w:noProof/>
              </w:rPr>
            </w:pPr>
            <w:r>
              <w:rPr>
                <w:noProof/>
              </w:rPr>
              <w:t>C11.R4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FB6F0F"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E0451A" w14:textId="77777777" w:rsidR="003E1D81" w:rsidRDefault="00EB481C">
            <w:pPr>
              <w:pStyle w:val="P68B1DB1-Normal46"/>
              <w:spacing w:after="0" w:line="240" w:lineRule="auto"/>
              <w:rPr>
                <w:rFonts w:eastAsia="Times New Roman" w:cs="Times New Roman"/>
                <w:noProof/>
              </w:rPr>
            </w:pPr>
            <w:r>
              <w:rPr>
                <w:noProof/>
              </w:rPr>
              <w:t>Nemzeti közbeszerzési stratégia</w:t>
            </w:r>
          </w:p>
        </w:tc>
      </w:tr>
      <w:tr w:rsidR="003E1D81" w14:paraId="49C72AB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57E029" w14:textId="77777777" w:rsidR="003E1D81" w:rsidRDefault="00EB481C">
            <w:pPr>
              <w:pStyle w:val="P68B1DB1-Normal46"/>
              <w:spacing w:after="0" w:line="240" w:lineRule="auto"/>
              <w:jc w:val="center"/>
              <w:rPr>
                <w:rFonts w:eastAsia="Times New Roman" w:cs="Times New Roman"/>
                <w:noProof/>
              </w:rPr>
            </w:pPr>
            <w:r>
              <w:rPr>
                <w:noProof/>
              </w:rPr>
              <w:t>164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3F4F00" w14:textId="77777777" w:rsidR="003E1D81" w:rsidRDefault="00EB481C">
            <w:pPr>
              <w:pStyle w:val="P68B1DB1-Normal46"/>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C67F20"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507DD71" w14:textId="77777777" w:rsidR="003E1D81" w:rsidRDefault="00EB481C">
            <w:pPr>
              <w:pStyle w:val="P68B1DB1-Normal46"/>
              <w:spacing w:after="0" w:line="240" w:lineRule="auto"/>
              <w:rPr>
                <w:rFonts w:eastAsia="Times New Roman" w:cs="Times New Roman"/>
                <w:noProof/>
              </w:rPr>
            </w:pPr>
            <w:r>
              <w:rPr>
                <w:noProof/>
              </w:rPr>
              <w:t xml:space="preserve">Elektronikusan lefolytatandó bírósági </w:t>
            </w:r>
            <w:r>
              <w:rPr>
                <w:noProof/>
              </w:rPr>
              <w:t>eljárás</w:t>
            </w:r>
          </w:p>
        </w:tc>
      </w:tr>
      <w:tr w:rsidR="003E1D81" w14:paraId="6EC9F9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BD9ED7" w14:textId="77777777" w:rsidR="003E1D81" w:rsidRDefault="00EB481C">
            <w:pPr>
              <w:pStyle w:val="P68B1DB1-Normal46"/>
              <w:spacing w:after="0" w:line="240" w:lineRule="auto"/>
              <w:jc w:val="center"/>
              <w:rPr>
                <w:rFonts w:eastAsia="Times New Roman" w:cs="Times New Roman"/>
                <w:noProof/>
              </w:rPr>
            </w:pPr>
            <w:r>
              <w:rPr>
                <w:noProof/>
              </w:rPr>
              <w:t>174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D839671" w14:textId="77777777" w:rsidR="003E1D81" w:rsidRDefault="00EB481C">
            <w:pPr>
              <w:pStyle w:val="P68B1DB1-Normal46"/>
              <w:spacing w:after="0" w:line="240" w:lineRule="auto"/>
              <w:rPr>
                <w:rFonts w:eastAsia="Times New Roman" w:cs="Times New Roman"/>
                <w:noProof/>
              </w:rPr>
            </w:pPr>
            <w:r>
              <w:rPr>
                <w:noProof/>
              </w:rPr>
              <w:t>C11.I5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C2F3C19"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217D20" w14:textId="77777777" w:rsidR="003E1D81" w:rsidRDefault="00EB481C">
            <w:pPr>
              <w:pStyle w:val="P68B1DB1-Normal46"/>
              <w:spacing w:after="0" w:line="240" w:lineRule="auto"/>
              <w:rPr>
                <w:rFonts w:eastAsia="Times New Roman" w:cs="Times New Roman"/>
                <w:noProof/>
              </w:rPr>
            </w:pPr>
            <w:r>
              <w:rPr>
                <w:noProof/>
              </w:rPr>
              <w:t>Új kommunikációs eszközök és tevékenységek</w:t>
            </w:r>
          </w:p>
        </w:tc>
      </w:tr>
      <w:tr w:rsidR="003E1D81" w14:paraId="3DE0152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7AA0DB" w14:textId="77777777" w:rsidR="003E1D81" w:rsidRDefault="00EB481C">
            <w:pPr>
              <w:pStyle w:val="P68B1DB1-Normal46"/>
              <w:spacing w:after="0" w:line="240" w:lineRule="auto"/>
              <w:jc w:val="center"/>
              <w:rPr>
                <w:rFonts w:eastAsia="Times New Roman" w:cs="Times New Roman"/>
                <w:noProof/>
              </w:rPr>
            </w:pPr>
            <w:r>
              <w:rPr>
                <w:noProof/>
              </w:rPr>
              <w:t>178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79C5B4" w14:textId="77777777" w:rsidR="003E1D81" w:rsidRDefault="00EB481C">
            <w:pPr>
              <w:pStyle w:val="P68B1DB1-Normal46"/>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A2638E"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ED21E45" w14:textId="77777777" w:rsidR="003E1D81" w:rsidRDefault="00EB481C">
            <w:pPr>
              <w:pStyle w:val="P68B1DB1-Normal46"/>
              <w:spacing w:after="0" w:line="240" w:lineRule="auto"/>
              <w:rPr>
                <w:rFonts w:eastAsia="Times New Roman" w:cs="Times New Roman"/>
                <w:noProof/>
              </w:rPr>
            </w:pPr>
            <w:r>
              <w:rPr>
                <w:noProof/>
              </w:rPr>
              <w:t>A körforgásos gazdaságra vonatkozó szakpolitikai csomag részét képező jogi aktusok hatálybalépése</w:t>
            </w:r>
          </w:p>
        </w:tc>
      </w:tr>
      <w:tr w:rsidR="003E1D81" w14:paraId="2F2386F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9976ED" w14:textId="77777777" w:rsidR="003E1D81" w:rsidRDefault="00EB481C">
            <w:pPr>
              <w:pStyle w:val="P68B1DB1-Normal46"/>
              <w:spacing w:after="0" w:line="240" w:lineRule="auto"/>
              <w:jc w:val="center"/>
              <w:rPr>
                <w:rFonts w:eastAsia="Times New Roman" w:cs="Times New Roman"/>
                <w:noProof/>
              </w:rPr>
            </w:pPr>
            <w:r>
              <w:rPr>
                <w:noProof/>
              </w:rPr>
              <w:t>179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44D8C" w14:textId="77777777" w:rsidR="003E1D81" w:rsidRDefault="00EB481C">
            <w:pPr>
              <w:pStyle w:val="P68B1DB1-Normal46"/>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CFB979"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60B009E" w14:textId="77777777" w:rsidR="003E1D81" w:rsidRDefault="00EB481C">
            <w:pPr>
              <w:pStyle w:val="P68B1DB1-Normal46"/>
              <w:spacing w:after="0" w:line="240" w:lineRule="auto"/>
              <w:rPr>
                <w:rFonts w:eastAsia="Times New Roman" w:cs="Times New Roman"/>
                <w:noProof/>
              </w:rPr>
            </w:pPr>
            <w:r>
              <w:rPr>
                <w:noProof/>
              </w:rPr>
              <w:t xml:space="preserve">A hulladékról és a szennyezett talajról szóló törvény hatálybalépése </w:t>
            </w:r>
          </w:p>
        </w:tc>
      </w:tr>
      <w:tr w:rsidR="003E1D81" w14:paraId="612894E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FC815A" w14:textId="77777777" w:rsidR="003E1D81" w:rsidRDefault="00EB481C">
            <w:pPr>
              <w:pStyle w:val="P68B1DB1-Normal46"/>
              <w:spacing w:after="0" w:line="240" w:lineRule="auto"/>
              <w:jc w:val="center"/>
              <w:rPr>
                <w:rFonts w:eastAsia="Times New Roman" w:cs="Times New Roman"/>
                <w:noProof/>
              </w:rPr>
            </w:pPr>
            <w:r>
              <w:rPr>
                <w:noProof/>
              </w:rPr>
              <w:t>182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FB1D34" w14:textId="77777777" w:rsidR="003E1D81" w:rsidRDefault="00EB481C">
            <w:pPr>
              <w:pStyle w:val="P68B1DB1-Normal46"/>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9C46FB"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5BF091" w14:textId="77777777" w:rsidR="003E1D81" w:rsidRDefault="00EB481C">
            <w:pPr>
              <w:pStyle w:val="P68B1DB1-Normal46"/>
              <w:spacing w:after="0" w:line="240" w:lineRule="auto"/>
              <w:rPr>
                <w:rFonts w:eastAsia="Times New Roman" w:cs="Times New Roman"/>
                <w:noProof/>
              </w:rPr>
            </w:pPr>
            <w:r>
              <w:rPr>
                <w:noProof/>
              </w:rPr>
              <w:t>PERTE az elektromos járművek területén</w:t>
            </w:r>
          </w:p>
        </w:tc>
      </w:tr>
      <w:tr w:rsidR="003E1D81" w14:paraId="1D07B1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E67FBF" w14:textId="77777777" w:rsidR="003E1D81" w:rsidRDefault="00EB481C">
            <w:pPr>
              <w:pStyle w:val="P68B1DB1-Normal46"/>
              <w:spacing w:after="0" w:line="240" w:lineRule="auto"/>
              <w:jc w:val="center"/>
              <w:rPr>
                <w:rFonts w:eastAsia="Times New Roman" w:cs="Times New Roman"/>
                <w:noProof/>
              </w:rPr>
            </w:pPr>
            <w:r>
              <w:rPr>
                <w:noProof/>
              </w:rPr>
              <w:t>183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FA3F1" w14:textId="77777777" w:rsidR="003E1D81" w:rsidRDefault="00EB481C">
            <w:pPr>
              <w:pStyle w:val="P68B1DB1-Normal46"/>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014193"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3D62E5" w14:textId="77777777" w:rsidR="003E1D81" w:rsidRDefault="00EB481C">
            <w:pPr>
              <w:pStyle w:val="P68B1DB1-Normal46"/>
              <w:spacing w:after="0" w:line="240" w:lineRule="auto"/>
              <w:rPr>
                <w:rFonts w:eastAsia="Times New Roman" w:cs="Times New Roman"/>
                <w:noProof/>
              </w:rPr>
            </w:pPr>
            <w:r>
              <w:rPr>
                <w:noProof/>
              </w:rPr>
              <w:t xml:space="preserve">PERTE-k a tervben meghatározott stratégiai területeken </w:t>
            </w:r>
          </w:p>
        </w:tc>
      </w:tr>
      <w:tr w:rsidR="003E1D81" w14:paraId="4D06C3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2D7776" w14:textId="77777777" w:rsidR="003E1D81" w:rsidRDefault="00EB481C">
            <w:pPr>
              <w:pStyle w:val="P68B1DB1-Normal46"/>
              <w:spacing w:after="0" w:line="240" w:lineRule="auto"/>
              <w:jc w:val="center"/>
              <w:rPr>
                <w:rFonts w:eastAsia="Times New Roman" w:cs="Times New Roman"/>
                <w:noProof/>
              </w:rPr>
            </w:pPr>
            <w:r>
              <w:rPr>
                <w:noProof/>
              </w:rPr>
              <w:t>184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4CC8CE" w14:textId="77777777" w:rsidR="003E1D81" w:rsidRDefault="00EB481C">
            <w:pPr>
              <w:pStyle w:val="P68B1DB1-Normal46"/>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C03FA1"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055F78E" w14:textId="77777777" w:rsidR="003E1D81" w:rsidRDefault="00EB481C">
            <w:pPr>
              <w:pStyle w:val="P68B1DB1-Normal46"/>
              <w:spacing w:after="0" w:line="240" w:lineRule="auto"/>
              <w:rPr>
                <w:rFonts w:eastAsia="Times New Roman" w:cs="Times New Roman"/>
                <w:noProof/>
              </w:rPr>
            </w:pPr>
            <w:r>
              <w:rPr>
                <w:noProof/>
              </w:rPr>
              <w:t xml:space="preserve">Innovatív projektek az ipar átalakítására az energiahatékonyság, a fenntarthatóság és a digitalizáció szempontjából </w:t>
            </w:r>
          </w:p>
        </w:tc>
      </w:tr>
      <w:tr w:rsidR="003E1D81" w14:paraId="3B0C9B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971D90" w14:textId="77777777" w:rsidR="003E1D81" w:rsidRDefault="00EB481C">
            <w:pPr>
              <w:pStyle w:val="P68B1DB1-Normal46"/>
              <w:spacing w:after="0" w:line="240" w:lineRule="auto"/>
              <w:jc w:val="center"/>
              <w:rPr>
                <w:rFonts w:eastAsia="Times New Roman" w:cs="Times New Roman"/>
                <w:noProof/>
              </w:rPr>
            </w:pPr>
            <w:r>
              <w:rPr>
                <w:noProof/>
              </w:rPr>
              <w:t>191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55D536" w14:textId="77777777" w:rsidR="003E1D81" w:rsidRDefault="00EB481C">
            <w:pPr>
              <w:pStyle w:val="P68B1DB1-Normal46"/>
              <w:spacing w:after="0" w:line="240" w:lineRule="auto"/>
              <w:rPr>
                <w:rFonts w:eastAsia="Times New Roman" w:cs="Times New Roman"/>
                <w:noProof/>
              </w:rPr>
            </w:pPr>
            <w:r>
              <w:rPr>
                <w:noProof/>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E13F6D"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4B0506" w14:textId="77777777" w:rsidR="003E1D81" w:rsidRDefault="00EB481C">
            <w:pPr>
              <w:pStyle w:val="P68B1DB1-Normal46"/>
              <w:spacing w:after="0" w:line="240" w:lineRule="auto"/>
              <w:rPr>
                <w:rFonts w:eastAsia="Times New Roman" w:cs="Times New Roman"/>
                <w:noProof/>
              </w:rPr>
            </w:pPr>
            <w:r>
              <w:rPr>
                <w:noProof/>
              </w:rPr>
              <w:t>Az üzleti vállalkozások alapításáról és növekedéséről szóló törvény hatálybalépése</w:t>
            </w:r>
          </w:p>
        </w:tc>
      </w:tr>
      <w:tr w:rsidR="003E1D81" w14:paraId="1F16E3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B6AC61" w14:textId="77777777" w:rsidR="003E1D81" w:rsidRDefault="00EB481C">
            <w:pPr>
              <w:pStyle w:val="P68B1DB1-Normal46"/>
              <w:spacing w:after="0" w:line="240" w:lineRule="auto"/>
              <w:jc w:val="center"/>
              <w:rPr>
                <w:rFonts w:eastAsia="Times New Roman" w:cs="Times New Roman"/>
                <w:noProof/>
              </w:rPr>
            </w:pPr>
            <w:r>
              <w:rPr>
                <w:noProof/>
              </w:rPr>
              <w:t>192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00037F" w14:textId="77777777" w:rsidR="003E1D81" w:rsidRDefault="00EB481C">
            <w:pPr>
              <w:pStyle w:val="P68B1DB1-Normal46"/>
              <w:spacing w:after="0" w:line="240" w:lineRule="auto"/>
              <w:rPr>
                <w:rFonts w:eastAsia="Times New Roman" w:cs="Times New Roman"/>
                <w:noProof/>
              </w:rPr>
            </w:pPr>
            <w:r>
              <w:rPr>
                <w:noProof/>
              </w:rPr>
              <w:t>C13.R2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92D529"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F085E50" w14:textId="77777777" w:rsidR="003E1D81" w:rsidRDefault="00EB481C">
            <w:pPr>
              <w:pStyle w:val="P68B1DB1-Normal46"/>
              <w:spacing w:after="0" w:line="240" w:lineRule="auto"/>
              <w:rPr>
                <w:rFonts w:eastAsia="Times New Roman" w:cs="Times New Roman"/>
                <w:noProof/>
              </w:rPr>
            </w:pPr>
            <w:r>
              <w:rPr>
                <w:noProof/>
              </w:rPr>
              <w:t xml:space="preserve">Az induló vállalkozásokról </w:t>
            </w:r>
            <w:r>
              <w:rPr>
                <w:noProof/>
              </w:rPr>
              <w:t>szóló törvény hatálybalépése</w:t>
            </w:r>
          </w:p>
        </w:tc>
      </w:tr>
      <w:tr w:rsidR="003E1D81" w14:paraId="6B8EDEA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1FA78F" w14:textId="77777777" w:rsidR="003E1D81" w:rsidRDefault="00EB481C">
            <w:pPr>
              <w:pStyle w:val="P68B1DB1-Normal46"/>
              <w:spacing w:after="0" w:line="240" w:lineRule="auto"/>
              <w:jc w:val="center"/>
              <w:rPr>
                <w:rFonts w:eastAsia="Times New Roman" w:cs="Times New Roman"/>
                <w:noProof/>
              </w:rPr>
            </w:pPr>
            <w:r>
              <w:rPr>
                <w:noProof/>
              </w:rPr>
              <w:t>450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6C066B" w14:textId="77777777" w:rsidR="003E1D81" w:rsidRDefault="00EB481C">
            <w:pPr>
              <w:pStyle w:val="P68B1DB1-Normal46"/>
              <w:spacing w:after="0" w:line="240" w:lineRule="auto"/>
              <w:rPr>
                <w:rFonts w:eastAsia="Times New Roman" w:cs="Times New Roman"/>
                <w:noProof/>
              </w:rPr>
            </w:pPr>
            <w:r>
              <w:rPr>
                <w:noProof/>
              </w:rPr>
              <w:t>C13.R2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C3F1F2C"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C9BAED5" w14:textId="77777777" w:rsidR="003E1D81" w:rsidRDefault="00EB481C">
            <w:pPr>
              <w:pStyle w:val="P68B1DB1-Normal46"/>
              <w:spacing w:after="0" w:line="240" w:lineRule="auto"/>
              <w:rPr>
                <w:rFonts w:eastAsia="Times New Roman" w:cs="Times New Roman"/>
                <w:noProof/>
              </w:rPr>
            </w:pPr>
            <w:r>
              <w:rPr>
                <w:noProof/>
              </w:rPr>
              <w:t>A Spanyolországban tartózkodó külföldiek jogairól és szabadságairól, valamint társadalmi integrációjukról szóló 4/2000. sz. sarkalatos törvény módosításáról szóló, július 26-i 629/2022. sz. királyi rendelet hatály</w:t>
            </w:r>
            <w:r>
              <w:rPr>
                <w:noProof/>
              </w:rPr>
              <w:t>balépése</w:t>
            </w:r>
          </w:p>
        </w:tc>
      </w:tr>
      <w:tr w:rsidR="003E1D81" w14:paraId="2C6264C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013649" w14:textId="77777777" w:rsidR="003E1D81" w:rsidRDefault="00EB481C">
            <w:pPr>
              <w:pStyle w:val="P68B1DB1-Normal46"/>
              <w:spacing w:after="0" w:line="240" w:lineRule="auto"/>
              <w:jc w:val="center"/>
              <w:rPr>
                <w:rFonts w:eastAsia="Times New Roman" w:cs="Times New Roman"/>
                <w:noProof/>
              </w:rPr>
            </w:pPr>
            <w:r>
              <w:rPr>
                <w:noProof/>
              </w:rPr>
              <w:t>200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8C8B93" w14:textId="77777777" w:rsidR="003E1D81" w:rsidRDefault="00EB481C">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D3664F"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08D1B8" w14:textId="77777777" w:rsidR="003E1D81" w:rsidRDefault="00EB481C">
            <w:pPr>
              <w:pStyle w:val="P68B1DB1-Normal46"/>
              <w:spacing w:after="0" w:line="240" w:lineRule="auto"/>
              <w:rPr>
                <w:rFonts w:eastAsia="Times New Roman" w:cs="Times New Roman"/>
                <w:noProof/>
              </w:rPr>
            </w:pPr>
            <w:r>
              <w:rPr>
                <w:noProof/>
              </w:rPr>
              <w:t>A digitális eszköztár program számára lekötött költségvetés</w:t>
            </w:r>
          </w:p>
        </w:tc>
      </w:tr>
      <w:tr w:rsidR="003E1D81" w14:paraId="6D562E2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C0CD1B" w14:textId="77777777" w:rsidR="003E1D81" w:rsidRDefault="00EB481C">
            <w:pPr>
              <w:pStyle w:val="P68B1DB1-Normal46"/>
              <w:spacing w:after="0" w:line="240" w:lineRule="auto"/>
              <w:jc w:val="center"/>
              <w:rPr>
                <w:rFonts w:eastAsia="Times New Roman" w:cs="Times New Roman"/>
                <w:noProof/>
              </w:rPr>
            </w:pPr>
            <w:r>
              <w:rPr>
                <w:noProof/>
              </w:rPr>
              <w:t>201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896218" w14:textId="77777777" w:rsidR="003E1D81" w:rsidRDefault="00EB481C">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851208"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911722E" w14:textId="77777777" w:rsidR="003E1D81" w:rsidRDefault="00EB481C">
            <w:pPr>
              <w:pStyle w:val="P68B1DB1-Normal46"/>
              <w:spacing w:after="0" w:line="240" w:lineRule="auto"/>
              <w:rPr>
                <w:rFonts w:eastAsia="Times New Roman" w:cs="Times New Roman"/>
                <w:noProof/>
              </w:rPr>
            </w:pPr>
            <w:r>
              <w:rPr>
                <w:noProof/>
              </w:rPr>
              <w:t>A Változtatási Program alkalmazottaira lekötött költségvetés</w:t>
            </w:r>
          </w:p>
        </w:tc>
      </w:tr>
      <w:tr w:rsidR="003E1D81" w14:paraId="71FEF5B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361133" w14:textId="77777777" w:rsidR="003E1D81" w:rsidRDefault="00EB481C">
            <w:pPr>
              <w:pStyle w:val="P68B1DB1-Normal46"/>
              <w:spacing w:after="0" w:line="240" w:lineRule="auto"/>
              <w:jc w:val="center"/>
              <w:rPr>
                <w:rFonts w:eastAsia="Times New Roman" w:cs="Times New Roman"/>
                <w:noProof/>
              </w:rPr>
            </w:pPr>
            <w:r>
              <w:rPr>
                <w:noProof/>
              </w:rPr>
              <w:t>202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3E8275" w14:textId="77777777" w:rsidR="003E1D81" w:rsidRDefault="00EB481C">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1F8D6F"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D81A75F" w14:textId="77777777" w:rsidR="003E1D81" w:rsidRDefault="00EB481C">
            <w:pPr>
              <w:pStyle w:val="P68B1DB1-Normal46"/>
              <w:spacing w:after="0" w:line="240" w:lineRule="auto"/>
              <w:rPr>
                <w:rFonts w:eastAsia="Times New Roman" w:cs="Times New Roman"/>
                <w:noProof/>
              </w:rPr>
            </w:pPr>
            <w:r>
              <w:rPr>
                <w:noProof/>
              </w:rPr>
              <w:t>Az Innovatív Üzleti Klaszter támogatási programra lekötött költségvetés</w:t>
            </w:r>
          </w:p>
        </w:tc>
      </w:tr>
      <w:tr w:rsidR="003E1D81" w14:paraId="0125BB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25B11E" w14:textId="77777777" w:rsidR="003E1D81" w:rsidRDefault="00EB481C">
            <w:pPr>
              <w:pStyle w:val="P68B1DB1-Normal46"/>
              <w:spacing w:after="0" w:line="240" w:lineRule="auto"/>
              <w:jc w:val="center"/>
              <w:rPr>
                <w:rFonts w:eastAsia="Times New Roman" w:cs="Times New Roman"/>
                <w:noProof/>
              </w:rPr>
            </w:pPr>
            <w:r>
              <w:rPr>
                <w:noProof/>
              </w:rPr>
              <w:t>203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08AFEE" w14:textId="77777777" w:rsidR="003E1D81" w:rsidRDefault="00EB481C">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5203BF"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667867" w14:textId="77777777" w:rsidR="003E1D81" w:rsidRDefault="00EB481C">
            <w:pPr>
              <w:pStyle w:val="P68B1DB1-Normal46"/>
              <w:spacing w:after="0" w:line="240" w:lineRule="auto"/>
              <w:rPr>
                <w:rFonts w:eastAsia="Times New Roman" w:cs="Times New Roman"/>
                <w:noProof/>
              </w:rPr>
            </w:pPr>
            <w:r>
              <w:rPr>
                <w:noProof/>
              </w:rPr>
              <w:t>A digitális innovációs központok programjára lekötött költségvetés</w:t>
            </w:r>
          </w:p>
        </w:tc>
      </w:tr>
      <w:tr w:rsidR="003E1D81" w14:paraId="1B9A0A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A5132F" w14:textId="77777777" w:rsidR="003E1D81" w:rsidRDefault="00EB481C">
            <w:pPr>
              <w:pStyle w:val="P68B1DB1-Normal46"/>
              <w:spacing w:after="0" w:line="240" w:lineRule="auto"/>
              <w:jc w:val="center"/>
              <w:rPr>
                <w:rFonts w:eastAsia="Times New Roman" w:cs="Times New Roman"/>
                <w:noProof/>
              </w:rPr>
            </w:pPr>
            <w:r>
              <w:rPr>
                <w:noProof/>
              </w:rPr>
              <w:t>218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DBC42" w14:textId="77777777" w:rsidR="003E1D81" w:rsidRDefault="00EB481C">
            <w:pPr>
              <w:pStyle w:val="P68B1DB1-Normal46"/>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78BE836"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D583299" w14:textId="77777777" w:rsidR="003E1D81" w:rsidRDefault="00EB481C">
            <w:pPr>
              <w:pStyle w:val="P68B1DB1-Normal46"/>
              <w:spacing w:after="0" w:line="240" w:lineRule="auto"/>
              <w:rPr>
                <w:rFonts w:eastAsia="Times New Roman" w:cs="Times New Roman"/>
                <w:noProof/>
              </w:rPr>
            </w:pPr>
            <w:r>
              <w:rPr>
                <w:noProof/>
              </w:rPr>
              <w:t>Az idegenforgalom fenntarthatóságát a célállomásukon előmozdító tervek költségvetésének odaítélése</w:t>
            </w:r>
          </w:p>
        </w:tc>
      </w:tr>
      <w:tr w:rsidR="003E1D81" w14:paraId="4857B8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A3C1CD" w14:textId="77777777" w:rsidR="003E1D81" w:rsidRDefault="00EB481C">
            <w:pPr>
              <w:pStyle w:val="P68B1DB1-Normal46"/>
              <w:spacing w:after="0" w:line="240" w:lineRule="auto"/>
              <w:jc w:val="center"/>
              <w:rPr>
                <w:rFonts w:eastAsia="Times New Roman" w:cs="Times New Roman"/>
                <w:noProof/>
              </w:rPr>
            </w:pPr>
            <w:r>
              <w:rPr>
                <w:noProof/>
              </w:rPr>
              <w:t>234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4EE363" w14:textId="77777777" w:rsidR="003E1D81" w:rsidRDefault="00EB481C">
            <w:pPr>
              <w:pStyle w:val="P68B1DB1-Normal46"/>
              <w:spacing w:after="0" w:line="240" w:lineRule="auto"/>
              <w:rPr>
                <w:rFonts w:eastAsia="Times New Roman" w:cs="Times New Roman"/>
                <w:noProof/>
              </w:rPr>
            </w:pPr>
            <w:r>
              <w:rPr>
                <w:noProof/>
              </w:rPr>
              <w:t>C15.R2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762801"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E97C70" w14:textId="77777777" w:rsidR="003E1D81" w:rsidRDefault="00EB481C">
            <w:pPr>
              <w:pStyle w:val="P68B1DB1-Normal46"/>
              <w:spacing w:after="0" w:line="240" w:lineRule="auto"/>
              <w:rPr>
                <w:rFonts w:eastAsia="Times New Roman" w:cs="Times New Roman"/>
                <w:noProof/>
              </w:rPr>
            </w:pPr>
            <w:r>
              <w:rPr>
                <w:noProof/>
              </w:rPr>
              <w:t>A 26 GHz-es frekvenciasáv kiosztása</w:t>
            </w:r>
          </w:p>
        </w:tc>
      </w:tr>
      <w:tr w:rsidR="003E1D81" w14:paraId="2F3694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5BF0F1" w14:textId="77777777" w:rsidR="003E1D81" w:rsidRDefault="00EB481C">
            <w:pPr>
              <w:pStyle w:val="P68B1DB1-Normal46"/>
              <w:spacing w:after="0" w:line="240" w:lineRule="auto"/>
              <w:jc w:val="center"/>
              <w:rPr>
                <w:rFonts w:eastAsia="Times New Roman" w:cs="Times New Roman"/>
                <w:noProof/>
              </w:rPr>
            </w:pPr>
            <w:r>
              <w:rPr>
                <w:noProof/>
              </w:rPr>
              <w:t>235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3734A7" w14:textId="77777777" w:rsidR="003E1D81" w:rsidRDefault="00EB481C">
            <w:pPr>
              <w:pStyle w:val="P68B1DB1-Normal46"/>
              <w:spacing w:after="0" w:line="240" w:lineRule="auto"/>
              <w:rPr>
                <w:rFonts w:eastAsia="Times New Roman" w:cs="Times New Roman"/>
                <w:noProof/>
              </w:rPr>
            </w:pPr>
            <w:r>
              <w:rPr>
                <w:noProof/>
              </w:rPr>
              <w:t>C15.R2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EBC21D"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828509" w14:textId="77777777" w:rsidR="003E1D81" w:rsidRDefault="00EB481C">
            <w:pPr>
              <w:pStyle w:val="P68B1DB1-Normal46"/>
              <w:spacing w:after="0" w:line="240" w:lineRule="auto"/>
              <w:rPr>
                <w:rFonts w:eastAsia="Times New Roman" w:cs="Times New Roman"/>
                <w:noProof/>
              </w:rPr>
            </w:pPr>
            <w:r>
              <w:rPr>
                <w:noProof/>
              </w:rPr>
              <w:t xml:space="preserve">Az 5G kiberbiztonságról szóló törvény hatálybalépése </w:t>
            </w:r>
          </w:p>
        </w:tc>
      </w:tr>
      <w:tr w:rsidR="003E1D81" w14:paraId="29F5CC8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E99BA6" w14:textId="77777777" w:rsidR="003E1D81" w:rsidRDefault="00EB481C">
            <w:pPr>
              <w:pStyle w:val="P68B1DB1-Normal46"/>
              <w:spacing w:after="0" w:line="240" w:lineRule="auto"/>
              <w:jc w:val="center"/>
              <w:rPr>
                <w:rFonts w:eastAsia="Times New Roman" w:cs="Times New Roman"/>
                <w:noProof/>
              </w:rPr>
            </w:pPr>
            <w:r>
              <w:rPr>
                <w:noProof/>
              </w:rPr>
              <w:t>245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051F06" w14:textId="77777777" w:rsidR="003E1D81" w:rsidRDefault="00EB481C">
            <w:pPr>
              <w:pStyle w:val="P68B1DB1-Normal46"/>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83FC59"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174D3FF" w14:textId="77777777" w:rsidR="003E1D81" w:rsidRDefault="00EB481C">
            <w:pPr>
              <w:pStyle w:val="P68B1DB1-Normal46"/>
              <w:spacing w:after="0" w:line="240" w:lineRule="auto"/>
              <w:rPr>
                <w:rFonts w:eastAsia="Times New Roman" w:cs="Times New Roman"/>
                <w:noProof/>
              </w:rPr>
            </w:pPr>
            <w:r>
              <w:rPr>
                <w:noProof/>
              </w:rPr>
              <w:t>A nemzeti kiberbiztonsági ágazatot támogató program, a globális biztonsági innovációs program és a kapcsolódó intézkedések elindítása.</w:t>
            </w:r>
          </w:p>
        </w:tc>
      </w:tr>
      <w:tr w:rsidR="003E1D81" w14:paraId="4FBFE52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B450A7" w14:textId="77777777" w:rsidR="003E1D81" w:rsidRDefault="00EB481C">
            <w:pPr>
              <w:pStyle w:val="P68B1DB1-Normal46"/>
              <w:spacing w:after="0" w:line="240" w:lineRule="auto"/>
              <w:jc w:val="center"/>
              <w:rPr>
                <w:rFonts w:eastAsia="Times New Roman" w:cs="Times New Roman"/>
                <w:noProof/>
              </w:rPr>
            </w:pPr>
            <w:r>
              <w:rPr>
                <w:noProof/>
              </w:rPr>
              <w:t>247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86E8F2" w14:textId="77777777" w:rsidR="003E1D81" w:rsidRDefault="00EB481C">
            <w:pPr>
              <w:pStyle w:val="P68B1DB1-Normal46"/>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A329F6"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8D95FE" w14:textId="77777777" w:rsidR="003E1D81" w:rsidRDefault="00EB481C">
            <w:pPr>
              <w:pStyle w:val="P68B1DB1-Normal46"/>
              <w:spacing w:after="0" w:line="240" w:lineRule="auto"/>
              <w:rPr>
                <w:rFonts w:eastAsia="Times New Roman" w:cs="Times New Roman"/>
                <w:noProof/>
              </w:rPr>
            </w:pPr>
            <w:r>
              <w:rPr>
                <w:noProof/>
              </w:rPr>
              <w:t xml:space="preserve">A kiberbiztonsági kapacitások </w:t>
            </w:r>
            <w:r>
              <w:rPr>
                <w:noProof/>
              </w:rPr>
              <w:t>megerősítése és javítása: Kiberbiztonsági segélyvonal</w:t>
            </w:r>
          </w:p>
        </w:tc>
      </w:tr>
      <w:tr w:rsidR="003E1D81" w14:paraId="250C02A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C73AB7" w14:textId="77777777" w:rsidR="003E1D81" w:rsidRDefault="00EB481C">
            <w:pPr>
              <w:pStyle w:val="P68B1DB1-Normal46"/>
              <w:spacing w:after="0" w:line="240" w:lineRule="auto"/>
              <w:jc w:val="center"/>
              <w:rPr>
                <w:rFonts w:eastAsia="Times New Roman" w:cs="Times New Roman"/>
                <w:noProof/>
              </w:rPr>
            </w:pPr>
            <w:r>
              <w:rPr>
                <w:noProof/>
              </w:rPr>
              <w:t>259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242DFC" w14:textId="77777777" w:rsidR="003E1D81" w:rsidRDefault="00EB481C">
            <w:pPr>
              <w:pStyle w:val="P68B1DB1-Normal46"/>
              <w:spacing w:after="0" w:line="240" w:lineRule="auto"/>
              <w:rPr>
                <w:rFonts w:eastAsia="Times New Roman" w:cs="Times New Roman"/>
                <w:noProof/>
              </w:rPr>
            </w:pPr>
            <w:r>
              <w:rPr>
                <w:noProof/>
              </w:rPr>
              <w:t>C17.I2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04FC88"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58BB08" w14:textId="77777777" w:rsidR="003E1D81" w:rsidRDefault="00EB481C">
            <w:pPr>
              <w:pStyle w:val="P68B1DB1-Normal46"/>
              <w:spacing w:after="0" w:line="240" w:lineRule="auto"/>
              <w:rPr>
                <w:rFonts w:eastAsia="Times New Roman" w:cs="Times New Roman"/>
                <w:noProof/>
              </w:rPr>
            </w:pPr>
            <w:r>
              <w:rPr>
                <w:noProof/>
              </w:rPr>
              <w:t>Díjak a nemzeti tudományos infrastruktúrákat és a spanyol tudományos technológiai és innovációs rendszer kapacitását fokozó projektekért, valamint nemzetközi szervezetekkel kötött kétoldal</w:t>
            </w:r>
            <w:r>
              <w:rPr>
                <w:noProof/>
              </w:rPr>
              <w:t xml:space="preserve">ú megállapodások és egyéb eszközök az európai és nemzetközi infrastrukturális projektek finanszírozására. </w:t>
            </w:r>
          </w:p>
        </w:tc>
      </w:tr>
      <w:tr w:rsidR="003E1D81" w14:paraId="15E6543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CE1429" w14:textId="77777777" w:rsidR="003E1D81" w:rsidRDefault="00EB481C">
            <w:pPr>
              <w:pStyle w:val="P68B1DB1-Normal46"/>
              <w:spacing w:after="0" w:line="240" w:lineRule="auto"/>
              <w:jc w:val="center"/>
              <w:rPr>
                <w:rFonts w:eastAsia="Times New Roman" w:cs="Times New Roman"/>
                <w:noProof/>
              </w:rPr>
            </w:pPr>
            <w:r>
              <w:rPr>
                <w:noProof/>
              </w:rPr>
              <w:t>261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E846C7" w14:textId="77777777" w:rsidR="003E1D81" w:rsidRDefault="00EB481C">
            <w:pPr>
              <w:pStyle w:val="P68B1DB1-Normal46"/>
              <w:spacing w:after="0" w:line="240" w:lineRule="auto"/>
              <w:rPr>
                <w:rFonts w:eastAsia="Times New Roman" w:cs="Times New Roman"/>
                <w:noProof/>
              </w:rPr>
            </w:pPr>
            <w:r>
              <w:rPr>
                <w:noProof/>
              </w:rPr>
              <w:t>C17.I3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DF030FD"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941494" w14:textId="77777777" w:rsidR="003E1D81" w:rsidRDefault="00EB481C">
            <w:pPr>
              <w:pStyle w:val="P68B1DB1-Normal46"/>
              <w:spacing w:after="0" w:line="240" w:lineRule="auto"/>
              <w:rPr>
                <w:rFonts w:eastAsia="Times New Roman" w:cs="Times New Roman"/>
                <w:noProof/>
              </w:rPr>
            </w:pPr>
            <w:r>
              <w:rPr>
                <w:noProof/>
              </w:rPr>
              <w:t xml:space="preserve">Új magán-, interdiszciplináris, állami K+F+I projektek, koncepciótesztek, nemzetközi versenypályázati felhívások és a társadalmi kihívásokra irányuló, élvonalbeli K+F odaítélése </w:t>
            </w:r>
          </w:p>
        </w:tc>
      </w:tr>
      <w:tr w:rsidR="003E1D81" w14:paraId="075FD5B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39DC1C" w14:textId="77777777" w:rsidR="003E1D81" w:rsidRDefault="00EB481C">
            <w:pPr>
              <w:pStyle w:val="P68B1DB1-Normal46"/>
              <w:spacing w:after="0" w:line="240" w:lineRule="auto"/>
              <w:jc w:val="center"/>
              <w:rPr>
                <w:rFonts w:eastAsia="Times New Roman" w:cs="Times New Roman"/>
                <w:noProof/>
              </w:rPr>
            </w:pPr>
            <w:r>
              <w:rPr>
                <w:noProof/>
              </w:rPr>
              <w:t>300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BDEA01" w14:textId="77777777" w:rsidR="003E1D81" w:rsidRDefault="00EB481C">
            <w:pPr>
              <w:pStyle w:val="P68B1DB1-Normal46"/>
              <w:spacing w:after="0" w:line="240" w:lineRule="auto"/>
              <w:rPr>
                <w:rFonts w:eastAsia="Times New Roman" w:cs="Times New Roman"/>
                <w:noProof/>
              </w:rPr>
            </w:pPr>
            <w:r>
              <w:rPr>
                <w:noProof/>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C6D4F2"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CE424AC" w14:textId="77777777" w:rsidR="003E1D81" w:rsidRDefault="00EB481C">
            <w:pPr>
              <w:pStyle w:val="P68B1DB1-Normal46"/>
              <w:spacing w:after="0" w:line="240" w:lineRule="auto"/>
              <w:rPr>
                <w:rFonts w:eastAsia="Times New Roman" w:cs="Times New Roman"/>
                <w:noProof/>
              </w:rPr>
            </w:pPr>
            <w:r>
              <w:rPr>
                <w:noProof/>
              </w:rPr>
              <w:t>2020 végéhez képest legalább 50000 új szakképzési férőhely.</w:t>
            </w:r>
          </w:p>
        </w:tc>
      </w:tr>
      <w:tr w:rsidR="003E1D81" w14:paraId="4908B9D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97AC39" w14:textId="77777777" w:rsidR="003E1D81" w:rsidRDefault="00EB481C">
            <w:pPr>
              <w:pStyle w:val="P68B1DB1-Normal46"/>
              <w:spacing w:after="0" w:line="240" w:lineRule="auto"/>
              <w:jc w:val="center"/>
              <w:rPr>
                <w:rFonts w:eastAsia="Times New Roman" w:cs="Times New Roman"/>
                <w:noProof/>
              </w:rPr>
            </w:pPr>
            <w:r>
              <w:rPr>
                <w:noProof/>
              </w:rPr>
              <w:t>31</w:t>
            </w:r>
            <w:r>
              <w:rPr>
                <w:noProof/>
              </w:rPr>
              <w:t>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FB6C427" w14:textId="77777777" w:rsidR="003E1D81" w:rsidRDefault="00EB481C">
            <w:pPr>
              <w:pStyle w:val="P68B1DB1-Normal46"/>
              <w:spacing w:after="0" w:line="240" w:lineRule="auto"/>
              <w:rPr>
                <w:rFonts w:eastAsia="Times New Roman" w:cs="Times New Roman"/>
                <w:noProof/>
              </w:rPr>
            </w:pPr>
            <w:r>
              <w:rPr>
                <w:noProof/>
              </w:rPr>
              <w:t>C22.R5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18FBD8C"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267893D" w14:textId="77777777" w:rsidR="003E1D81" w:rsidRDefault="00EB481C">
            <w:pPr>
              <w:pStyle w:val="P68B1DB1-Normal46"/>
              <w:spacing w:after="0" w:line="240" w:lineRule="auto"/>
              <w:rPr>
                <w:rFonts w:eastAsia="Times New Roman" w:cs="Times New Roman"/>
                <w:noProof/>
              </w:rPr>
            </w:pPr>
            <w:r>
              <w:rPr>
                <w:noProof/>
              </w:rPr>
              <w:t>„Az általános állami közigazgatás nem járulékalapú pénzügyi előnyei rendszerének átszervezésére és egyszerűsítésére irányuló terv” közzététele.</w:t>
            </w:r>
          </w:p>
        </w:tc>
      </w:tr>
      <w:tr w:rsidR="003E1D81" w14:paraId="6137034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CEF872" w14:textId="77777777" w:rsidR="003E1D81" w:rsidRDefault="00EB481C">
            <w:pPr>
              <w:pStyle w:val="P68B1DB1-Normal46"/>
              <w:spacing w:after="0" w:line="240" w:lineRule="auto"/>
              <w:jc w:val="center"/>
              <w:rPr>
                <w:rFonts w:eastAsia="Times New Roman" w:cs="Times New Roman"/>
                <w:noProof/>
              </w:rPr>
            </w:pPr>
            <w:r>
              <w:rPr>
                <w:noProof/>
              </w:rPr>
              <w:t>335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51E3137" w14:textId="77777777" w:rsidR="003E1D81" w:rsidRDefault="00EB481C">
            <w:pPr>
              <w:pStyle w:val="P68B1DB1-Normal46"/>
              <w:spacing w:after="0" w:line="240" w:lineRule="auto"/>
              <w:rPr>
                <w:rFonts w:eastAsia="Times New Roman" w:cs="Times New Roman"/>
                <w:noProof/>
              </w:rPr>
            </w:pPr>
            <w:r>
              <w:rPr>
                <w:noProof/>
              </w:rPr>
              <w:t>C23.R5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252D1F0"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E4CBE8C" w14:textId="77777777" w:rsidR="003E1D81" w:rsidRDefault="00EB481C">
            <w:pPr>
              <w:pStyle w:val="P68B1DB1-Normal46"/>
              <w:spacing w:after="0" w:line="240" w:lineRule="auto"/>
              <w:rPr>
                <w:rFonts w:eastAsia="Times New Roman" w:cs="Times New Roman"/>
                <w:noProof/>
              </w:rPr>
            </w:pPr>
            <w:r>
              <w:rPr>
                <w:noProof/>
              </w:rPr>
              <w:t xml:space="preserve">A foglalkoztatásról szóló törvény módosításának hatálybalépése (3/2015. sz. királyi </w:t>
            </w:r>
            <w:r>
              <w:rPr>
                <w:noProof/>
              </w:rPr>
              <w:t>törvényerejű rendelet)</w:t>
            </w:r>
          </w:p>
        </w:tc>
      </w:tr>
      <w:tr w:rsidR="003E1D81" w14:paraId="0D8C5F6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86D0AF" w14:textId="77777777" w:rsidR="003E1D81" w:rsidRDefault="00EB481C">
            <w:pPr>
              <w:pStyle w:val="P68B1DB1-Normal46"/>
              <w:spacing w:after="0" w:line="240" w:lineRule="auto"/>
              <w:jc w:val="center"/>
              <w:rPr>
                <w:rFonts w:eastAsia="Times New Roman" w:cs="Times New Roman"/>
                <w:noProof/>
              </w:rPr>
            </w:pPr>
            <w:r>
              <w:rPr>
                <w:noProof/>
              </w:rPr>
              <w:t>337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007B07" w14:textId="77777777" w:rsidR="003E1D81" w:rsidRDefault="00EB481C">
            <w:pPr>
              <w:pStyle w:val="P68B1DB1-Normal46"/>
              <w:spacing w:after="0" w:line="240" w:lineRule="auto"/>
              <w:rPr>
                <w:rFonts w:eastAsia="Times New Roman" w:cs="Times New Roman"/>
                <w:noProof/>
              </w:rPr>
            </w:pPr>
            <w:r>
              <w:rPr>
                <w:noProof/>
              </w:rPr>
              <w:t>C23.R7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7C90E3"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CF2A09" w14:textId="77777777" w:rsidR="003E1D81" w:rsidRDefault="00EB481C">
            <w:pPr>
              <w:pStyle w:val="P68B1DB1-Normal46"/>
              <w:spacing w:after="0" w:line="240" w:lineRule="auto"/>
              <w:rPr>
                <w:rFonts w:eastAsia="Times New Roman" w:cs="Times New Roman"/>
                <w:noProof/>
              </w:rPr>
            </w:pPr>
            <w:r>
              <w:rPr>
                <w:noProof/>
              </w:rPr>
              <w:t>A 43/2006. sz. törvény reformjának hatálybalépése a munkaerő-felvételt ösztönző rendszer egyszerűsítése és hatékonyságának növelése érdekében, figyelembe véve az AIReF ajánlásait</w:t>
            </w:r>
          </w:p>
        </w:tc>
      </w:tr>
      <w:tr w:rsidR="003E1D81" w14:paraId="3F9525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33EA59" w14:textId="77777777" w:rsidR="003E1D81" w:rsidRDefault="00EB481C">
            <w:pPr>
              <w:pStyle w:val="P68B1DB1-Normal46"/>
              <w:spacing w:after="0" w:line="240" w:lineRule="auto"/>
              <w:jc w:val="center"/>
              <w:rPr>
                <w:rFonts w:eastAsia="Times New Roman" w:cs="Times New Roman"/>
                <w:noProof/>
              </w:rPr>
            </w:pPr>
            <w:r>
              <w:rPr>
                <w:noProof/>
              </w:rPr>
              <w:t>340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BB23791" w14:textId="77777777" w:rsidR="003E1D81" w:rsidRDefault="00EB481C">
            <w:pPr>
              <w:pStyle w:val="P68B1DB1-Normal46"/>
              <w:spacing w:after="0" w:line="240" w:lineRule="auto"/>
              <w:rPr>
                <w:rFonts w:eastAsia="Times New Roman" w:cs="Times New Roman"/>
                <w:noProof/>
              </w:rPr>
            </w:pPr>
            <w:r>
              <w:rPr>
                <w:noProof/>
              </w:rPr>
              <w:t>C23.R10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F0A8A58"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6A358D" w14:textId="77777777" w:rsidR="003E1D81" w:rsidRDefault="00EB481C">
            <w:pPr>
              <w:pStyle w:val="P68B1DB1-Normal46"/>
              <w:spacing w:after="0" w:line="240" w:lineRule="auto"/>
              <w:rPr>
                <w:rFonts w:eastAsia="Times New Roman" w:cs="Times New Roman"/>
                <w:noProof/>
              </w:rPr>
            </w:pPr>
            <w:r>
              <w:rPr>
                <w:noProof/>
              </w:rPr>
              <w:t xml:space="preserve">A nem járulékalapú </w:t>
            </w:r>
            <w:r>
              <w:rPr>
                <w:noProof/>
              </w:rPr>
              <w:t>munkanélküliségi támogatás szabályozásának reformjáról szóló 8/2015. sz. királyi törvényerejű rendelet módosításának hatálybalépése</w:t>
            </w:r>
          </w:p>
        </w:tc>
      </w:tr>
      <w:tr w:rsidR="003E1D81" w14:paraId="1FC884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BE6B0F" w14:textId="77777777" w:rsidR="003E1D81" w:rsidRDefault="00EB481C">
            <w:pPr>
              <w:pStyle w:val="P68B1DB1-Normal46"/>
              <w:spacing w:after="0" w:line="240" w:lineRule="auto"/>
              <w:jc w:val="center"/>
              <w:rPr>
                <w:rFonts w:eastAsia="Times New Roman" w:cs="Times New Roman"/>
                <w:noProof/>
              </w:rPr>
            </w:pPr>
            <w:r>
              <w:rPr>
                <w:noProof/>
              </w:rPr>
              <w:t>352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1E09E6" w14:textId="77777777" w:rsidR="003E1D81" w:rsidRDefault="00EB481C">
            <w:pPr>
              <w:pStyle w:val="P68B1DB1-Normal46"/>
              <w:spacing w:after="0" w:line="240" w:lineRule="auto"/>
              <w:rPr>
                <w:rFonts w:eastAsia="Times New Roman" w:cs="Times New Roman"/>
                <w:noProof/>
              </w:rPr>
            </w:pPr>
            <w:r>
              <w:rPr>
                <w:noProof/>
              </w:rPr>
              <w:t>C24.R1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6E8229"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845547" w14:textId="77777777" w:rsidR="003E1D81" w:rsidRDefault="00EB481C">
            <w:pPr>
              <w:pStyle w:val="P68B1DB1-Normal46"/>
              <w:spacing w:after="0" w:line="240" w:lineRule="auto"/>
              <w:rPr>
                <w:rFonts w:eastAsia="Times New Roman" w:cs="Times New Roman"/>
                <w:noProof/>
              </w:rPr>
            </w:pPr>
            <w:r>
              <w:rPr>
                <w:noProof/>
              </w:rPr>
              <w:t>A művész alapszabályának, szponzorálásának és az adókedvezmények rendszerének hatálybalépése.</w:t>
            </w:r>
          </w:p>
        </w:tc>
      </w:tr>
      <w:tr w:rsidR="003E1D81" w14:paraId="150424D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977CE6" w14:textId="77777777" w:rsidR="003E1D81" w:rsidRDefault="00EB481C">
            <w:pPr>
              <w:pStyle w:val="P68B1DB1-Normal46"/>
              <w:spacing w:after="0" w:line="240" w:lineRule="auto"/>
              <w:jc w:val="center"/>
              <w:rPr>
                <w:rFonts w:eastAsia="Times New Roman" w:cs="Times New Roman"/>
                <w:noProof/>
              </w:rPr>
            </w:pPr>
            <w:r>
              <w:rPr>
                <w:noProof/>
              </w:rPr>
              <w:t>367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9F7465" w14:textId="77777777" w:rsidR="003E1D81" w:rsidRDefault="00EB481C">
            <w:pPr>
              <w:pStyle w:val="P68B1DB1-Normal46"/>
              <w:spacing w:after="0" w:line="240" w:lineRule="auto"/>
              <w:rPr>
                <w:rFonts w:eastAsia="Times New Roman" w:cs="Times New Roman"/>
                <w:noProof/>
              </w:rPr>
            </w:pPr>
            <w:r>
              <w:rPr>
                <w:noProof/>
              </w:rPr>
              <w:t>C26.R1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4135AA"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B46E9C" w14:textId="77777777" w:rsidR="003E1D81" w:rsidRDefault="00EB481C">
            <w:pPr>
              <w:pStyle w:val="P68B1DB1-Normal46"/>
              <w:spacing w:after="0" w:line="240" w:lineRule="auto"/>
              <w:rPr>
                <w:rFonts w:eastAsia="Times New Roman" w:cs="Times New Roman"/>
                <w:noProof/>
              </w:rPr>
            </w:pPr>
            <w:r>
              <w:rPr>
                <w:noProof/>
              </w:rPr>
              <w:t xml:space="preserve">A sporttörvény hatálybalépése </w:t>
            </w:r>
          </w:p>
        </w:tc>
      </w:tr>
      <w:tr w:rsidR="003E1D81" w14:paraId="03964CE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05776F" w14:textId="77777777" w:rsidR="003E1D81" w:rsidRDefault="00EB481C">
            <w:pPr>
              <w:pStyle w:val="P68B1DB1-Normal46"/>
              <w:spacing w:after="0" w:line="240" w:lineRule="auto"/>
              <w:jc w:val="center"/>
              <w:rPr>
                <w:rFonts w:eastAsia="Times New Roman" w:cs="Times New Roman"/>
                <w:noProof/>
              </w:rPr>
            </w:pPr>
            <w:r>
              <w:rPr>
                <w:noProof/>
              </w:rPr>
              <w:t>377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C3D3C8" w14:textId="77777777" w:rsidR="003E1D81" w:rsidRDefault="00EB481C">
            <w:pPr>
              <w:pStyle w:val="P68B1DB1-Normal46"/>
              <w:spacing w:after="0" w:line="240" w:lineRule="auto"/>
              <w:rPr>
                <w:rFonts w:eastAsia="Times New Roman" w:cs="Times New Roman"/>
                <w:noProof/>
              </w:rPr>
            </w:pPr>
            <w:r>
              <w:rPr>
                <w:noProof/>
              </w:rPr>
              <w:t>C27.R1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A0A687"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8216116" w14:textId="77777777" w:rsidR="003E1D81" w:rsidRDefault="00EB481C">
            <w:pPr>
              <w:pStyle w:val="P68B1DB1-Normal46"/>
              <w:spacing w:after="0" w:line="240" w:lineRule="auto"/>
              <w:rPr>
                <w:rFonts w:eastAsia="Times New Roman" w:cs="Times New Roman"/>
                <w:noProof/>
              </w:rPr>
            </w:pPr>
            <w:r>
              <w:rPr>
                <w:noProof/>
              </w:rPr>
              <w:t>Az adókijátszás és az adócsalás elleni törvény hatásainak időközi értékelése.</w:t>
            </w:r>
          </w:p>
        </w:tc>
      </w:tr>
      <w:tr w:rsidR="003E1D81" w14:paraId="04E54C9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101CF2" w14:textId="77777777" w:rsidR="003E1D81" w:rsidRDefault="00EB481C">
            <w:pPr>
              <w:pStyle w:val="P68B1DB1-Normal46"/>
              <w:spacing w:after="0" w:line="240" w:lineRule="auto"/>
              <w:jc w:val="center"/>
              <w:rPr>
                <w:rFonts w:eastAsia="Times New Roman" w:cs="Times New Roman"/>
                <w:noProof/>
              </w:rPr>
            </w:pPr>
            <w:r>
              <w:rPr>
                <w:noProof/>
              </w:rPr>
              <w:t>404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333525" w14:textId="77777777" w:rsidR="003E1D81" w:rsidRDefault="00EB481C">
            <w:pPr>
              <w:pStyle w:val="P68B1DB1-Normal46"/>
              <w:spacing w:after="0" w:line="240" w:lineRule="auto"/>
              <w:rPr>
                <w:rFonts w:eastAsia="Times New Roman" w:cs="Times New Roman"/>
                <w:noProof/>
              </w:rPr>
            </w:pPr>
            <w:r>
              <w:rPr>
                <w:noProof/>
              </w:rPr>
              <w:t>C29.R3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8AC65A"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6E8327A" w14:textId="77777777" w:rsidR="003E1D81" w:rsidRDefault="00EB481C">
            <w:pPr>
              <w:pStyle w:val="P68B1DB1-Normal46"/>
              <w:spacing w:after="0" w:line="240" w:lineRule="auto"/>
              <w:rPr>
                <w:rFonts w:eastAsia="Times New Roman" w:cs="Times New Roman"/>
                <w:noProof/>
              </w:rPr>
            </w:pPr>
            <w:r>
              <w:rPr>
                <w:noProof/>
              </w:rPr>
              <w:t>Jelentés a környezetbarát költségvetés-tervezés összehangolásáról</w:t>
            </w:r>
          </w:p>
        </w:tc>
      </w:tr>
      <w:tr w:rsidR="003E1D81" w14:paraId="171B8E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B8D1CA" w14:textId="77777777" w:rsidR="003E1D81" w:rsidRDefault="00EB481C">
            <w:pPr>
              <w:pStyle w:val="P68B1DB1-Normal46"/>
              <w:spacing w:after="0" w:line="240" w:lineRule="auto"/>
              <w:jc w:val="center"/>
              <w:rPr>
                <w:rFonts w:eastAsia="Times New Roman" w:cs="Times New Roman"/>
                <w:noProof/>
              </w:rPr>
            </w:pPr>
            <w:r>
              <w:rPr>
                <w:noProof/>
              </w:rPr>
              <w:t>408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551969" w14:textId="77777777" w:rsidR="003E1D81" w:rsidRDefault="00EB481C">
            <w:pPr>
              <w:pStyle w:val="P68B1DB1-Normal46"/>
              <w:spacing w:after="0" w:line="240" w:lineRule="auto"/>
              <w:rPr>
                <w:rFonts w:eastAsia="Times New Roman" w:cs="Times New Roman"/>
                <w:noProof/>
              </w:rPr>
            </w:pPr>
            <w:r>
              <w:rPr>
                <w:noProof/>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BCA1B1"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93E740" w14:textId="77777777" w:rsidR="003E1D81" w:rsidRDefault="00EB481C">
            <w:pPr>
              <w:pStyle w:val="P68B1DB1-Normal46"/>
              <w:spacing w:after="0" w:line="240" w:lineRule="auto"/>
              <w:rPr>
                <w:rFonts w:eastAsia="Times New Roman" w:cs="Times New Roman"/>
                <w:noProof/>
              </w:rPr>
            </w:pPr>
            <w:r>
              <w:rPr>
                <w:noProof/>
              </w:rPr>
              <w:t xml:space="preserve">Az öregségi nyugdíj kiszámításához szükséges számítási időszak kiigazítása </w:t>
            </w:r>
          </w:p>
        </w:tc>
      </w:tr>
      <w:tr w:rsidR="003E1D81" w14:paraId="4A39ECD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2E9975" w14:textId="77777777" w:rsidR="003E1D81" w:rsidRDefault="00EB481C">
            <w:pPr>
              <w:pStyle w:val="P68B1DB1-Normal46"/>
              <w:spacing w:after="0" w:line="240" w:lineRule="auto"/>
              <w:jc w:val="center"/>
              <w:rPr>
                <w:rFonts w:eastAsia="Times New Roman" w:cs="Times New Roman"/>
                <w:noProof/>
              </w:rPr>
            </w:pPr>
            <w:r>
              <w:rPr>
                <w:noProof/>
              </w:rPr>
              <w:t>409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C1D88B" w14:textId="77777777" w:rsidR="003E1D81" w:rsidRDefault="00EB481C">
            <w:pPr>
              <w:pStyle w:val="P68B1DB1-Normal46"/>
              <w:spacing w:after="0" w:line="240" w:lineRule="auto"/>
              <w:rPr>
                <w:rFonts w:eastAsia="Times New Roman" w:cs="Times New Roman"/>
                <w:noProof/>
              </w:rPr>
            </w:pPr>
            <w:r>
              <w:rPr>
                <w:noProof/>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9D51CB"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57B7FC" w14:textId="77777777" w:rsidR="003E1D81" w:rsidRDefault="00EB481C">
            <w:pPr>
              <w:pStyle w:val="P68B1DB1-Normal46"/>
              <w:spacing w:after="0" w:line="240" w:lineRule="auto"/>
              <w:rPr>
                <w:rFonts w:eastAsia="Times New Roman" w:cs="Times New Roman"/>
                <w:noProof/>
              </w:rPr>
            </w:pPr>
            <w:r>
              <w:rPr>
                <w:noProof/>
              </w:rPr>
              <w:t>A fenntarthatósági tényező generációk közötti sajáttőke-mechanizmussal való felváltása</w:t>
            </w:r>
          </w:p>
        </w:tc>
      </w:tr>
      <w:tr w:rsidR="003E1D81" w14:paraId="2541642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404AC7" w14:textId="77777777" w:rsidR="003E1D81" w:rsidRDefault="00EB481C">
            <w:pPr>
              <w:pStyle w:val="P68B1DB1-Normal46"/>
              <w:spacing w:after="0" w:line="240" w:lineRule="auto"/>
              <w:jc w:val="center"/>
              <w:rPr>
                <w:rFonts w:eastAsia="Times New Roman" w:cs="Times New Roman"/>
                <w:noProof/>
              </w:rPr>
            </w:pPr>
            <w:r>
              <w:rPr>
                <w:noProof/>
              </w:rPr>
              <w:t>410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817721" w14:textId="77777777" w:rsidR="003E1D81" w:rsidRDefault="00EB481C">
            <w:pPr>
              <w:pStyle w:val="P68B1DB1-Normal46"/>
              <w:spacing w:after="0" w:line="240" w:lineRule="auto"/>
              <w:rPr>
                <w:rFonts w:eastAsia="Times New Roman" w:cs="Times New Roman"/>
                <w:noProof/>
              </w:rPr>
            </w:pPr>
            <w:r>
              <w:rPr>
                <w:noProof/>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C407B9"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4694323" w14:textId="77777777" w:rsidR="003E1D81" w:rsidRDefault="00EB481C">
            <w:pPr>
              <w:pStyle w:val="P68B1DB1-Normal46"/>
              <w:spacing w:after="0" w:line="240" w:lineRule="auto"/>
              <w:rPr>
                <w:rFonts w:eastAsia="Times New Roman" w:cs="Times New Roman"/>
                <w:noProof/>
              </w:rPr>
            </w:pPr>
            <w:r>
              <w:rPr>
                <w:noProof/>
              </w:rPr>
              <w:t xml:space="preserve">Aktualizált előrejelzések arról, hogy a 2021-ben és 2022-ben </w:t>
            </w:r>
            <w:r>
              <w:rPr>
                <w:noProof/>
              </w:rPr>
              <w:t>végrehajtott nyugdíjreformok hogyan biztosítják a költségvetés hosszú távú fenntarthatóságát</w:t>
            </w:r>
          </w:p>
        </w:tc>
      </w:tr>
      <w:tr w:rsidR="003E1D81" w14:paraId="4CA8C9B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AC7FEA" w14:textId="77777777" w:rsidR="003E1D81" w:rsidRDefault="00EB481C">
            <w:pPr>
              <w:pStyle w:val="P68B1DB1-Normal46"/>
              <w:spacing w:after="0" w:line="240" w:lineRule="auto"/>
              <w:jc w:val="center"/>
              <w:rPr>
                <w:rFonts w:eastAsia="Times New Roman" w:cs="Times New Roman"/>
                <w:noProof/>
              </w:rPr>
            </w:pPr>
            <w:r>
              <w:rPr>
                <w:noProof/>
              </w:rPr>
              <w:t>415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CB419FC" w14:textId="77777777" w:rsidR="003E1D81" w:rsidRDefault="00EB481C">
            <w:pPr>
              <w:pStyle w:val="P68B1DB1-Normal46"/>
              <w:spacing w:after="0" w:line="240" w:lineRule="auto"/>
              <w:rPr>
                <w:rFonts w:eastAsia="Times New Roman" w:cs="Times New Roman"/>
                <w:noProof/>
              </w:rPr>
            </w:pPr>
            <w:r>
              <w:rPr>
                <w:noProof/>
              </w:rPr>
              <w:t>C30.R6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55BA8D"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7E2A389" w14:textId="77777777" w:rsidR="003E1D81" w:rsidRDefault="00EB481C">
            <w:pPr>
              <w:pStyle w:val="P68B1DB1-Normal46"/>
              <w:spacing w:after="0" w:line="240" w:lineRule="auto"/>
              <w:rPr>
                <w:rFonts w:eastAsia="Times New Roman" w:cs="Times New Roman"/>
                <w:noProof/>
              </w:rPr>
            </w:pPr>
            <w:r>
              <w:rPr>
                <w:noProof/>
              </w:rPr>
              <w:t>A maximális hozzájárulási alap kiigazítása</w:t>
            </w:r>
          </w:p>
        </w:tc>
      </w:tr>
      <w:tr w:rsidR="003E1D81" w14:paraId="2737D7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630D0" w14:textId="77777777" w:rsidR="003E1D81" w:rsidRDefault="003E1D81">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BB6704" w14:textId="77777777" w:rsidR="003E1D81" w:rsidRDefault="003E1D81">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6BDAEC" w14:textId="2E25C3E9" w:rsidR="003E1D81" w:rsidRDefault="00EB481C">
            <w:pPr>
              <w:pStyle w:val="P68B1DB1-Normal45"/>
              <w:spacing w:after="0" w:line="240" w:lineRule="auto"/>
              <w:rPr>
                <w:rFonts w:eastAsia="Times New Roman" w:cs="Times New Roman"/>
                <w:noProof/>
              </w:rPr>
            </w:pPr>
            <w:r>
              <w:rPr>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BBA5ABD" w14:textId="722451D9" w:rsidR="003E1D81" w:rsidRDefault="00EB481C">
            <w:pPr>
              <w:pStyle w:val="P68B1DB1-Normal45"/>
              <w:spacing w:after="0" w:line="240" w:lineRule="auto"/>
              <w:rPr>
                <w:rFonts w:eastAsia="Times New Roman" w:cs="Times New Roman"/>
                <w:noProof/>
              </w:rPr>
            </w:pPr>
            <w:r>
              <w:rPr>
                <w:noProof/>
              </w:rPr>
              <w:t>·EURÓPAI BIZOTTSÁG 11 435 531 581 EUR</w:t>
            </w:r>
          </w:p>
        </w:tc>
      </w:tr>
    </w:tbl>
    <w:p w14:paraId="4C121253" w14:textId="77777777" w:rsidR="003E1D81" w:rsidRDefault="003E1D81">
      <w:pPr>
        <w:spacing w:before="120" w:after="120" w:line="240" w:lineRule="auto"/>
        <w:jc w:val="both"/>
        <w:rPr>
          <w:rFonts w:ascii="Times New Roman" w:eastAsia="Calibri" w:hAnsi="Times New Roman" w:cs="Times New Roman"/>
          <w:noProof/>
          <w:sz w:val="24"/>
        </w:rPr>
      </w:pPr>
    </w:p>
    <w:p w14:paraId="6C55E346" w14:textId="77777777"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Ötödik kifizetés (vissza nem térítendő támogatás): </w:t>
      </w:r>
    </w:p>
    <w:tbl>
      <w:tblPr>
        <w:tblW w:w="9663" w:type="dxa"/>
        <w:tblInd w:w="113" w:type="dxa"/>
        <w:tblLook w:val="04A0" w:firstRow="1" w:lastRow="0" w:firstColumn="1" w:lastColumn="0" w:noHBand="0" w:noVBand="1"/>
      </w:tblPr>
      <w:tblGrid>
        <w:gridCol w:w="1300"/>
        <w:gridCol w:w="1443"/>
        <w:gridCol w:w="1416"/>
        <w:gridCol w:w="5670"/>
      </w:tblGrid>
      <w:tr w:rsidR="003E1D81" w14:paraId="7D39B078"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5FCEE90" w14:textId="77777777" w:rsidR="003E1D81" w:rsidRDefault="00EB481C">
            <w:pPr>
              <w:pStyle w:val="P68B1DB1-Normal45"/>
              <w:spacing w:after="0" w:line="240" w:lineRule="auto"/>
              <w:jc w:val="center"/>
              <w:rPr>
                <w:rFonts w:eastAsia="Times New Roman" w:cs="Times New Roman"/>
                <w:noProof/>
              </w:rPr>
            </w:pPr>
            <w:r>
              <w:rPr>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358E726" w14:textId="77777777" w:rsidR="003E1D81" w:rsidRDefault="00EB481C">
            <w:pPr>
              <w:pStyle w:val="P68B1DB1-Normal45"/>
              <w:spacing w:after="0" w:line="240" w:lineRule="auto"/>
              <w:jc w:val="center"/>
              <w:rPr>
                <w:rFonts w:eastAsia="Times New Roman" w:cs="Times New Roman"/>
                <w:noProof/>
              </w:rPr>
            </w:pPr>
            <w:r>
              <w:rPr>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4A878AB"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0E2A0620"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25D26112"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933EA4D" w14:textId="77777777" w:rsidR="003E1D81" w:rsidRDefault="003E1D81">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47B04571" w14:textId="77777777" w:rsidR="003E1D81" w:rsidRDefault="003E1D81">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5064E61A" w14:textId="77777777" w:rsidR="003E1D81" w:rsidRDefault="003E1D81">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49DC5C6B" w14:textId="77777777" w:rsidR="003E1D81" w:rsidRDefault="003E1D81">
            <w:pPr>
              <w:spacing w:after="0" w:line="240" w:lineRule="auto"/>
              <w:rPr>
                <w:rFonts w:ascii="Times New Roman" w:eastAsia="Times New Roman" w:hAnsi="Times New Roman" w:cs="Times New Roman"/>
                <w:b/>
                <w:noProof/>
                <w:sz w:val="20"/>
              </w:rPr>
            </w:pPr>
          </w:p>
        </w:tc>
      </w:tr>
      <w:tr w:rsidR="003E1D81" w14:paraId="73AA3C5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6B816E" w14:textId="77777777" w:rsidR="003E1D81" w:rsidRDefault="00EB481C">
            <w:pPr>
              <w:pStyle w:val="P68B1DB1-Normal46"/>
              <w:spacing w:after="0" w:line="240" w:lineRule="auto"/>
              <w:jc w:val="center"/>
              <w:rPr>
                <w:rFonts w:eastAsia="Times New Roman" w:cs="Times New Roman"/>
                <w:noProof/>
              </w:rPr>
            </w:pPr>
            <w:r>
              <w:rPr>
                <w:noProof/>
              </w:rPr>
              <w:t>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5130DB" w14:textId="77777777" w:rsidR="003E1D81" w:rsidRDefault="00EB481C">
            <w:pPr>
              <w:pStyle w:val="P68B1DB1-Normal46"/>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CBF783"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FE307AC" w14:textId="77777777" w:rsidR="003E1D81" w:rsidRDefault="00EB481C">
            <w:pPr>
              <w:pStyle w:val="P68B1DB1-Normal46"/>
              <w:spacing w:after="0" w:line="240" w:lineRule="auto"/>
              <w:rPr>
                <w:rFonts w:eastAsia="Times New Roman" w:cs="Times New Roman"/>
                <w:noProof/>
              </w:rPr>
            </w:pPr>
            <w:r>
              <w:rPr>
                <w:noProof/>
              </w:rPr>
              <w:t xml:space="preserve">Az elektromos közlekedést előmozdító innovatív projektek odaítélése </w:t>
            </w:r>
          </w:p>
        </w:tc>
      </w:tr>
      <w:tr w:rsidR="003E1D81" w14:paraId="1C1B53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9A32DB8" w14:textId="77777777" w:rsidR="003E1D81" w:rsidRDefault="00EB481C">
            <w:pPr>
              <w:pStyle w:val="P68B1DB1-Normal46"/>
              <w:spacing w:after="0" w:line="240" w:lineRule="auto"/>
              <w:jc w:val="center"/>
              <w:rPr>
                <w:rFonts w:eastAsia="Times New Roman" w:cs="Times New Roman"/>
                <w:noProof/>
              </w:rPr>
            </w:pPr>
            <w:r>
              <w:rPr>
                <w:noProof/>
              </w:rPr>
              <w:t>21a.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1DBB0C" w14:textId="77777777" w:rsidR="003E1D81" w:rsidRDefault="00EB481C">
            <w:pPr>
              <w:pStyle w:val="P68B1DB1-Normal46"/>
              <w:spacing w:after="0" w:line="240" w:lineRule="auto"/>
              <w:rPr>
                <w:rFonts w:eastAsia="Times New Roman" w:cs="Times New Roman"/>
                <w:noProof/>
              </w:rPr>
            </w:pPr>
            <w:r>
              <w:rPr>
                <w:noProof/>
              </w:rPr>
              <w:t>C2.R2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9D6E9D"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A939CD" w14:textId="77777777" w:rsidR="003E1D81" w:rsidRDefault="00EB481C">
            <w:pPr>
              <w:pStyle w:val="P68B1DB1-Normal46"/>
              <w:spacing w:after="0" w:line="240" w:lineRule="auto"/>
              <w:rPr>
                <w:rFonts w:eastAsia="Times New Roman" w:cs="Times New Roman"/>
                <w:noProof/>
              </w:rPr>
            </w:pPr>
            <w:r>
              <w:rPr>
                <w:noProof/>
              </w:rPr>
              <w:t xml:space="preserve">A munkacsoportok ajánlásainak közzététele a hosszú távú felújítási stratégia </w:t>
            </w:r>
            <w:r>
              <w:rPr>
                <w:noProof/>
              </w:rPr>
              <w:t>spanyolországi végrehajtása érdekében</w:t>
            </w:r>
          </w:p>
        </w:tc>
      </w:tr>
      <w:tr w:rsidR="003E1D81" w14:paraId="2ADF483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54A52C" w14:textId="77777777" w:rsidR="003E1D81" w:rsidRDefault="00EB481C">
            <w:pPr>
              <w:pStyle w:val="P68B1DB1-Normal46"/>
              <w:spacing w:after="0" w:line="240" w:lineRule="auto"/>
              <w:jc w:val="center"/>
              <w:rPr>
                <w:rFonts w:eastAsia="Times New Roman" w:cs="Times New Roman"/>
                <w:noProof/>
              </w:rPr>
            </w:pPr>
            <w:r>
              <w:rPr>
                <w:noProof/>
              </w:rPr>
              <w:t>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515F4D" w14:textId="77777777" w:rsidR="003E1D81" w:rsidRDefault="00EB481C">
            <w:pPr>
              <w:pStyle w:val="P68B1DB1-Normal46"/>
              <w:spacing w:after="0" w:line="240" w:lineRule="auto"/>
              <w:rPr>
                <w:rFonts w:eastAsia="Times New Roman" w:cs="Times New Roman"/>
                <w:noProof/>
              </w:rPr>
            </w:pPr>
            <w:r>
              <w:rPr>
                <w:noProof/>
              </w:rPr>
              <w:t>C3.R3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C1F067"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C307AAE" w14:textId="77777777" w:rsidR="003E1D81" w:rsidRDefault="00EB481C">
            <w:pPr>
              <w:pStyle w:val="P68B1DB1-Normal46"/>
              <w:spacing w:after="0" w:line="240" w:lineRule="auto"/>
              <w:rPr>
                <w:rFonts w:eastAsia="Times New Roman" w:cs="Times New Roman"/>
                <w:noProof/>
              </w:rPr>
            </w:pPr>
            <w:r>
              <w:rPr>
                <w:noProof/>
              </w:rPr>
              <w:t>A mezőgazdasági talajok fenntartható táplálkozására vonatkozó normatív keret hatálybalépése.</w:t>
            </w:r>
          </w:p>
        </w:tc>
      </w:tr>
      <w:tr w:rsidR="003E1D81" w14:paraId="28E8C2A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E1579E" w14:textId="77777777" w:rsidR="003E1D81" w:rsidRDefault="00EB481C">
            <w:pPr>
              <w:pStyle w:val="P68B1DB1-Normal46"/>
              <w:spacing w:after="0" w:line="240" w:lineRule="auto"/>
              <w:jc w:val="center"/>
              <w:rPr>
                <w:rFonts w:eastAsia="Times New Roman" w:cs="Times New Roman"/>
                <w:noProof/>
              </w:rPr>
            </w:pPr>
            <w:r>
              <w:rPr>
                <w:noProof/>
              </w:rPr>
              <w:t>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EB1DBE" w14:textId="77777777" w:rsidR="003E1D81" w:rsidRDefault="00EB481C">
            <w:pPr>
              <w:pStyle w:val="P68B1DB1-Normal46"/>
              <w:spacing w:after="0" w:line="240" w:lineRule="auto"/>
              <w:rPr>
                <w:rFonts w:eastAsia="Times New Roman" w:cs="Times New Roman"/>
                <w:noProof/>
              </w:rPr>
            </w:pPr>
            <w:r>
              <w:rPr>
                <w:noProof/>
              </w:rPr>
              <w:t>C3.I5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E0D798"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BBBA654" w14:textId="77777777" w:rsidR="003E1D81" w:rsidRDefault="00EB481C">
            <w:pPr>
              <w:pStyle w:val="P68B1DB1-Normal46"/>
              <w:spacing w:after="0" w:line="240" w:lineRule="auto"/>
              <w:rPr>
                <w:rFonts w:eastAsia="Times New Roman" w:cs="Times New Roman"/>
                <w:noProof/>
              </w:rPr>
            </w:pPr>
            <w:r>
              <w:rPr>
                <w:noProof/>
              </w:rPr>
              <w:t xml:space="preserve">A Mezőgazdasági, Halászati és Élelmiszerügyi Minisztérium (MAPA) és az ENISA közötti szerződéses </w:t>
            </w:r>
            <w:r>
              <w:rPr>
                <w:noProof/>
              </w:rPr>
              <w:t>megállapodások aláírása</w:t>
            </w:r>
          </w:p>
        </w:tc>
      </w:tr>
      <w:tr w:rsidR="003E1D81" w14:paraId="443DE8E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7F535D" w14:textId="77777777" w:rsidR="003E1D81" w:rsidRDefault="00EB481C">
            <w:pPr>
              <w:pStyle w:val="P68B1DB1-Normal46"/>
              <w:spacing w:after="0" w:line="240" w:lineRule="auto"/>
              <w:jc w:val="center"/>
              <w:rPr>
                <w:rFonts w:eastAsia="Times New Roman" w:cs="Times New Roman"/>
                <w:noProof/>
              </w:rPr>
            </w:pPr>
            <w:r>
              <w:rPr>
                <w:noProof/>
              </w:rPr>
              <w:t>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3ADC518" w14:textId="77777777" w:rsidR="003E1D81" w:rsidRDefault="00EB481C">
            <w:pPr>
              <w:pStyle w:val="P68B1DB1-Normal46"/>
              <w:spacing w:after="0" w:line="240" w:lineRule="auto"/>
              <w:rPr>
                <w:rFonts w:eastAsia="Times New Roman" w:cs="Times New Roman"/>
                <w:noProof/>
              </w:rPr>
            </w:pPr>
            <w:r>
              <w:rPr>
                <w:noProof/>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C6EE6EF"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9E4807" w14:textId="77777777" w:rsidR="003E1D81" w:rsidRDefault="00EB481C">
            <w:pPr>
              <w:pStyle w:val="P68B1DB1-Normal46"/>
              <w:spacing w:after="0" w:line="240" w:lineRule="auto"/>
              <w:rPr>
                <w:rFonts w:eastAsia="Times New Roman" w:cs="Times New Roman"/>
                <w:noProof/>
              </w:rPr>
            </w:pPr>
            <w:r>
              <w:rPr>
                <w:noProof/>
              </w:rPr>
              <w:t>Korábbi bányatelepek rehabilitációja (legalább 20 korábbi bányatelep)</w:t>
            </w:r>
          </w:p>
        </w:tc>
      </w:tr>
      <w:tr w:rsidR="003E1D81" w14:paraId="5E4090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1D57F0" w14:textId="77777777" w:rsidR="003E1D81" w:rsidRDefault="00EB481C">
            <w:pPr>
              <w:pStyle w:val="P68B1DB1-Normal46"/>
              <w:spacing w:after="0" w:line="240" w:lineRule="auto"/>
              <w:jc w:val="center"/>
              <w:rPr>
                <w:rFonts w:eastAsia="Times New Roman" w:cs="Times New Roman"/>
                <w:noProof/>
              </w:rPr>
            </w:pPr>
            <w:r>
              <w:rPr>
                <w:noProof/>
              </w:rPr>
              <w:t>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EC3607C" w14:textId="77777777" w:rsidR="003E1D81" w:rsidRDefault="00EB481C">
            <w:pPr>
              <w:pStyle w:val="P68B1DB1-Normal46"/>
              <w:spacing w:after="0" w:line="240" w:lineRule="auto"/>
              <w:rPr>
                <w:rFonts w:eastAsia="Times New Roman" w:cs="Times New Roman"/>
                <w:noProof/>
              </w:rPr>
            </w:pPr>
            <w:r>
              <w:rPr>
                <w:noProof/>
              </w:rPr>
              <w:t>C4.I4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596E22"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E2D636" w14:textId="77777777" w:rsidR="003E1D81" w:rsidRDefault="00EB481C">
            <w:pPr>
              <w:pStyle w:val="P68B1DB1-Normal46"/>
              <w:spacing w:after="0" w:line="240" w:lineRule="auto"/>
              <w:rPr>
                <w:rFonts w:eastAsia="Times New Roman" w:cs="Times New Roman"/>
                <w:noProof/>
              </w:rPr>
            </w:pPr>
            <w:r>
              <w:rPr>
                <w:noProof/>
              </w:rPr>
              <w:t xml:space="preserve">A fenntartható erdőgazdálkodásra vonatkozó intézkedések </w:t>
            </w:r>
          </w:p>
        </w:tc>
      </w:tr>
      <w:tr w:rsidR="003E1D81" w14:paraId="49A460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F4C296" w14:textId="77777777" w:rsidR="003E1D81" w:rsidRDefault="00EB481C">
            <w:pPr>
              <w:pStyle w:val="P68B1DB1-Normal46"/>
              <w:spacing w:after="0" w:line="240" w:lineRule="auto"/>
              <w:jc w:val="center"/>
              <w:rPr>
                <w:rFonts w:eastAsia="Times New Roman" w:cs="Times New Roman"/>
                <w:noProof/>
              </w:rPr>
            </w:pPr>
            <w:r>
              <w:rPr>
                <w:noProof/>
              </w:rPr>
              <w:t>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D9DBE4" w14:textId="77777777" w:rsidR="003E1D81" w:rsidRDefault="00EB481C">
            <w:pPr>
              <w:pStyle w:val="P68B1DB1-Normal46"/>
              <w:spacing w:after="0" w:line="240" w:lineRule="auto"/>
              <w:rPr>
                <w:rFonts w:eastAsia="Times New Roman" w:cs="Times New Roman"/>
                <w:noProof/>
              </w:rPr>
            </w:pPr>
            <w:r>
              <w:rPr>
                <w:noProof/>
              </w:rPr>
              <w:t>C5.R1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D5AD24"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602CD3" w14:textId="77777777" w:rsidR="003E1D81" w:rsidRDefault="00EB481C">
            <w:pPr>
              <w:pStyle w:val="P68B1DB1-Normal46"/>
              <w:spacing w:after="0" w:line="240" w:lineRule="auto"/>
              <w:rPr>
                <w:rFonts w:eastAsia="Times New Roman" w:cs="Times New Roman"/>
                <w:noProof/>
              </w:rPr>
            </w:pPr>
            <w:r>
              <w:rPr>
                <w:noProof/>
              </w:rPr>
              <w:t xml:space="preserve">A vízügyi törvény módosításának és az 1620/2007. sz. királyi </w:t>
            </w:r>
            <w:r>
              <w:rPr>
                <w:noProof/>
              </w:rPr>
              <w:t>rendeletet felváltó új rendeletnek a hatálybalépése</w:t>
            </w:r>
          </w:p>
        </w:tc>
      </w:tr>
      <w:tr w:rsidR="003E1D81" w14:paraId="0F253F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07FA9F" w14:textId="77777777" w:rsidR="003E1D81" w:rsidRDefault="00EB481C">
            <w:pPr>
              <w:pStyle w:val="P68B1DB1-Normal46"/>
              <w:spacing w:after="0" w:line="240" w:lineRule="auto"/>
              <w:jc w:val="center"/>
              <w:rPr>
                <w:rFonts w:eastAsia="Times New Roman" w:cs="Times New Roman"/>
                <w:noProof/>
              </w:rPr>
            </w:pPr>
            <w:r>
              <w:rPr>
                <w:noProof/>
              </w:rPr>
              <w:t>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726878B" w14:textId="77777777" w:rsidR="003E1D81" w:rsidRDefault="00EB481C">
            <w:pPr>
              <w:pStyle w:val="P68B1DB1-Normal46"/>
              <w:spacing w:after="0" w:line="240" w:lineRule="auto"/>
              <w:rPr>
                <w:rFonts w:eastAsia="Times New Roman" w:cs="Times New Roman"/>
                <w:noProof/>
              </w:rPr>
            </w:pPr>
            <w:r>
              <w:rPr>
                <w:noProof/>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ABAE9"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E514732" w14:textId="77777777" w:rsidR="003E1D81" w:rsidRDefault="00EB481C">
            <w:pPr>
              <w:pStyle w:val="P68B1DB1-Normal46"/>
              <w:spacing w:after="0" w:line="240" w:lineRule="auto"/>
              <w:rPr>
                <w:rFonts w:eastAsia="Times New Roman" w:cs="Times New Roman"/>
                <w:noProof/>
              </w:rPr>
            </w:pPr>
            <w:r>
              <w:rPr>
                <w:noProof/>
              </w:rPr>
              <w:t xml:space="preserve">Jobb víz- és szennyvízkezelési infrastruktúrák </w:t>
            </w:r>
          </w:p>
        </w:tc>
      </w:tr>
      <w:tr w:rsidR="003E1D81" w14:paraId="4F2DC99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F29EB1" w14:textId="77777777" w:rsidR="003E1D81" w:rsidRDefault="00EB481C">
            <w:pPr>
              <w:pStyle w:val="P68B1DB1-Normal46"/>
              <w:spacing w:after="0" w:line="240" w:lineRule="auto"/>
              <w:jc w:val="center"/>
              <w:rPr>
                <w:rFonts w:eastAsia="Times New Roman" w:cs="Times New Roman"/>
                <w:noProof/>
              </w:rPr>
            </w:pPr>
            <w:r>
              <w:rPr>
                <w:noProof/>
              </w:rPr>
              <w:t>109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BEA266" w14:textId="77777777" w:rsidR="003E1D81" w:rsidRDefault="00EB481C">
            <w:pPr>
              <w:pStyle w:val="P68B1DB1-Normal46"/>
              <w:spacing w:after="0" w:line="240" w:lineRule="auto"/>
              <w:rPr>
                <w:rFonts w:eastAsia="Times New Roman" w:cs="Times New Roman"/>
                <w:noProof/>
              </w:rPr>
            </w:pPr>
            <w:r>
              <w:rPr>
                <w:noProof/>
              </w:rPr>
              <w:t>C7.R2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690270"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38F654C" w14:textId="77777777" w:rsidR="003E1D81" w:rsidRDefault="00EB481C">
            <w:pPr>
              <w:pStyle w:val="P68B1DB1-Normal46"/>
              <w:spacing w:after="0" w:line="240" w:lineRule="auto"/>
              <w:rPr>
                <w:rFonts w:eastAsia="Times New Roman" w:cs="Times New Roman"/>
                <w:noProof/>
              </w:rPr>
            </w:pPr>
            <w:r>
              <w:rPr>
                <w:noProof/>
              </w:rPr>
              <w:t>A nemzeti önfogyasztási stratégia intézkedéseinek lezárása</w:t>
            </w:r>
          </w:p>
        </w:tc>
      </w:tr>
      <w:tr w:rsidR="003E1D81" w14:paraId="069F938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9B4314" w14:textId="77777777" w:rsidR="003E1D81" w:rsidRDefault="00EB481C">
            <w:pPr>
              <w:pStyle w:val="P68B1DB1-Normal46"/>
              <w:spacing w:after="0" w:line="240" w:lineRule="auto"/>
              <w:jc w:val="center"/>
              <w:rPr>
                <w:rFonts w:eastAsia="Times New Roman" w:cs="Times New Roman"/>
                <w:noProof/>
              </w:rPr>
            </w:pPr>
            <w:r>
              <w:rPr>
                <w:noProof/>
              </w:rPr>
              <w:t>113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6929F6" w14:textId="77777777" w:rsidR="003E1D81" w:rsidRDefault="00EB481C">
            <w:pPr>
              <w:pStyle w:val="P68B1DB1-Normal46"/>
              <w:spacing w:after="0" w:line="240" w:lineRule="auto"/>
              <w:rPr>
                <w:rFonts w:eastAsia="Times New Roman" w:cs="Times New Roman"/>
                <w:noProof/>
              </w:rPr>
            </w:pPr>
            <w:r>
              <w:rPr>
                <w:noProof/>
              </w:rPr>
              <w:t>C7.R4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7B9815"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86560A" w14:textId="77777777" w:rsidR="003E1D81" w:rsidRDefault="00EB481C">
            <w:pPr>
              <w:pStyle w:val="P68B1DB1-Normal46"/>
              <w:spacing w:after="0" w:line="240" w:lineRule="auto"/>
              <w:rPr>
                <w:rFonts w:eastAsia="Times New Roman" w:cs="Times New Roman"/>
                <w:noProof/>
              </w:rPr>
            </w:pPr>
            <w:r>
              <w:rPr>
                <w:noProof/>
              </w:rPr>
              <w:t xml:space="preserve">A tengeri szélenergiára és egyéb tengeri energiára </w:t>
            </w:r>
            <w:r>
              <w:rPr>
                <w:noProof/>
              </w:rPr>
              <w:t>vonatkozó térképen meghatározott szabályozási intézkedések hatálybalépése</w:t>
            </w:r>
          </w:p>
        </w:tc>
      </w:tr>
      <w:tr w:rsidR="003E1D81" w14:paraId="626A32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EA757C" w14:textId="77777777" w:rsidR="003E1D81" w:rsidRDefault="00EB481C">
            <w:pPr>
              <w:pStyle w:val="P68B1DB1-Normal46"/>
              <w:spacing w:after="0" w:line="240" w:lineRule="auto"/>
              <w:jc w:val="center"/>
              <w:rPr>
                <w:rFonts w:eastAsia="Times New Roman" w:cs="Times New Roman"/>
                <w:noProof/>
              </w:rPr>
            </w:pPr>
            <w:r>
              <w:rPr>
                <w:noProof/>
              </w:rPr>
              <w:t>131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A9E3AC" w14:textId="77777777" w:rsidR="003E1D81" w:rsidRDefault="00EB481C">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901E37"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2E410ED" w14:textId="77777777" w:rsidR="003E1D81" w:rsidRDefault="00EB481C">
            <w:pPr>
              <w:pStyle w:val="P68B1DB1-Normal46"/>
              <w:spacing w:after="0" w:line="240" w:lineRule="auto"/>
              <w:rPr>
                <w:rFonts w:eastAsia="Times New Roman" w:cs="Times New Roman"/>
                <w:noProof/>
              </w:rPr>
            </w:pPr>
            <w:r>
              <w:rPr>
                <w:noProof/>
              </w:rPr>
              <w:t>Kkv-k finanszírozása a hidrogén értékláncának megerősítése érdekében</w:t>
            </w:r>
          </w:p>
        </w:tc>
      </w:tr>
      <w:tr w:rsidR="003E1D81" w14:paraId="72E35EF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121A9F" w14:textId="77777777" w:rsidR="003E1D81" w:rsidRDefault="00EB481C">
            <w:pPr>
              <w:pStyle w:val="P68B1DB1-Normal46"/>
              <w:spacing w:after="0" w:line="240" w:lineRule="auto"/>
              <w:jc w:val="center"/>
              <w:rPr>
                <w:rFonts w:eastAsia="Times New Roman" w:cs="Times New Roman"/>
                <w:noProof/>
              </w:rPr>
            </w:pPr>
            <w:r>
              <w:rPr>
                <w:noProof/>
              </w:rPr>
              <w:t>138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93F831" w14:textId="77777777" w:rsidR="003E1D81" w:rsidRDefault="00EB481C">
            <w:pPr>
              <w:pStyle w:val="P68B1DB1-Normal46"/>
              <w:spacing w:after="0" w:line="240" w:lineRule="auto"/>
              <w:rPr>
                <w:rFonts w:eastAsia="Times New Roman" w:cs="Times New Roman"/>
                <w:noProof/>
              </w:rPr>
            </w:pPr>
            <w:r>
              <w:rPr>
                <w:noProof/>
              </w:rPr>
              <w:t>C10.R1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A52CA5"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AE7C4C" w14:textId="77777777" w:rsidR="003E1D81" w:rsidRDefault="00EB481C">
            <w:pPr>
              <w:pStyle w:val="P68B1DB1-Normal46"/>
              <w:spacing w:after="0" w:line="240" w:lineRule="auto"/>
              <w:rPr>
                <w:rFonts w:eastAsia="Times New Roman" w:cs="Times New Roman"/>
                <w:noProof/>
              </w:rPr>
            </w:pPr>
            <w:r>
              <w:rPr>
                <w:noProof/>
              </w:rPr>
              <w:t xml:space="preserve">Az igazságos átmenetről szóló jegyzőkönyvek és tanácsadó testület </w:t>
            </w:r>
          </w:p>
        </w:tc>
      </w:tr>
      <w:tr w:rsidR="003E1D81" w14:paraId="70D2BA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BE8D56" w14:textId="77777777" w:rsidR="003E1D81" w:rsidRDefault="00EB481C">
            <w:pPr>
              <w:pStyle w:val="P68B1DB1-Normal46"/>
              <w:spacing w:after="0" w:line="240" w:lineRule="auto"/>
              <w:jc w:val="center"/>
              <w:rPr>
                <w:rFonts w:eastAsia="Times New Roman" w:cs="Times New Roman"/>
                <w:noProof/>
              </w:rPr>
            </w:pPr>
            <w:r>
              <w:rPr>
                <w:noProof/>
              </w:rPr>
              <w:t>433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0D5DE" w14:textId="77777777" w:rsidR="003E1D81" w:rsidRDefault="00EB481C">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594CE9"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AE86760" w14:textId="77777777" w:rsidR="003E1D81" w:rsidRDefault="00EB481C">
            <w:pPr>
              <w:pStyle w:val="P68B1DB1-Normal46"/>
              <w:spacing w:after="0" w:line="240" w:lineRule="auto"/>
              <w:rPr>
                <w:rFonts w:eastAsia="Times New Roman" w:cs="Times New Roman"/>
                <w:noProof/>
              </w:rPr>
            </w:pPr>
            <w:r>
              <w:rPr>
                <w:noProof/>
              </w:rPr>
              <w:t xml:space="preserve">A </w:t>
            </w:r>
            <w:r>
              <w:rPr>
                <w:noProof/>
              </w:rPr>
              <w:t>nemzetbiztonsági keret aktualizálása</w:t>
            </w:r>
          </w:p>
        </w:tc>
      </w:tr>
      <w:tr w:rsidR="003E1D81" w14:paraId="275E01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55E853" w14:textId="77777777" w:rsidR="003E1D81" w:rsidRDefault="00EB481C">
            <w:pPr>
              <w:pStyle w:val="P68B1DB1-Normal46"/>
              <w:spacing w:after="0" w:line="240" w:lineRule="auto"/>
              <w:jc w:val="center"/>
              <w:rPr>
                <w:rFonts w:eastAsia="Times New Roman" w:cs="Times New Roman"/>
                <w:noProof/>
              </w:rPr>
            </w:pPr>
            <w:r>
              <w:rPr>
                <w:noProof/>
              </w:rPr>
              <w:t>453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DBE907D" w14:textId="77777777" w:rsidR="003E1D81" w:rsidRDefault="00EB481C">
            <w:pPr>
              <w:pStyle w:val="P68B1DB1-Normal46"/>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BA1189"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3F6DA5" w14:textId="77777777" w:rsidR="003E1D81" w:rsidRDefault="00EB481C">
            <w:pPr>
              <w:pStyle w:val="P68B1DB1-Normal46"/>
              <w:spacing w:after="0" w:line="240" w:lineRule="auto"/>
              <w:rPr>
                <w:rFonts w:eastAsia="Times New Roman" w:cs="Times New Roman"/>
                <w:noProof/>
              </w:rPr>
            </w:pPr>
            <w:r>
              <w:rPr>
                <w:noProof/>
              </w:rPr>
              <w:t>A nemzeti kiberbiztonsági ágazatot támogató program, a globális biztonsági innovációs program és a kapcsolódó intézkedések elindítása.</w:t>
            </w:r>
          </w:p>
        </w:tc>
      </w:tr>
      <w:tr w:rsidR="003E1D81" w14:paraId="604871A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62B177" w14:textId="77777777" w:rsidR="003E1D81" w:rsidRDefault="00EB481C">
            <w:pPr>
              <w:pStyle w:val="P68B1DB1-Normal46"/>
              <w:spacing w:after="0" w:line="240" w:lineRule="auto"/>
              <w:jc w:val="center"/>
              <w:rPr>
                <w:rFonts w:eastAsia="Times New Roman" w:cs="Times New Roman"/>
                <w:noProof/>
              </w:rPr>
            </w:pPr>
            <w:r>
              <w:rPr>
                <w:noProof/>
              </w:rPr>
              <w:t>307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13F0B6E" w14:textId="77777777" w:rsidR="003E1D81" w:rsidRDefault="00EB481C">
            <w:pPr>
              <w:pStyle w:val="P68B1DB1-Normal46"/>
              <w:spacing w:after="0" w:line="240" w:lineRule="auto"/>
              <w:rPr>
                <w:rFonts w:eastAsia="Times New Roman" w:cs="Times New Roman"/>
                <w:noProof/>
              </w:rPr>
            </w:pPr>
            <w:r>
              <w:rPr>
                <w:noProof/>
              </w:rPr>
              <w:t>C21.R3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A655B2"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328C97" w14:textId="77777777" w:rsidR="003E1D81" w:rsidRDefault="00EB481C">
            <w:pPr>
              <w:pStyle w:val="P68B1DB1-Normal46"/>
              <w:spacing w:after="0" w:line="240" w:lineRule="auto"/>
              <w:rPr>
                <w:rFonts w:eastAsia="Times New Roman" w:cs="Times New Roman"/>
                <w:noProof/>
              </w:rPr>
            </w:pPr>
            <w:r>
              <w:rPr>
                <w:noProof/>
              </w:rPr>
              <w:t xml:space="preserve">Az egyetemi rendszerről szóló sarkalatos törvény </w:t>
            </w:r>
            <w:r>
              <w:rPr>
                <w:noProof/>
              </w:rPr>
              <w:t>hatálybalépése</w:t>
            </w:r>
          </w:p>
        </w:tc>
      </w:tr>
      <w:tr w:rsidR="003E1D81" w14:paraId="0EC9061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3D8DC7" w14:textId="77777777" w:rsidR="003E1D81" w:rsidRDefault="00EB481C">
            <w:pPr>
              <w:pStyle w:val="P68B1DB1-Normal46"/>
              <w:spacing w:after="0" w:line="240" w:lineRule="auto"/>
              <w:jc w:val="center"/>
              <w:rPr>
                <w:rFonts w:eastAsia="Times New Roman" w:cs="Times New Roman"/>
                <w:noProof/>
              </w:rPr>
            </w:pPr>
            <w:r>
              <w:rPr>
                <w:noProof/>
              </w:rPr>
              <w:t>468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4F146" w14:textId="77777777" w:rsidR="003E1D81" w:rsidRDefault="00EB481C">
            <w:pPr>
              <w:pStyle w:val="P68B1DB1-Normal46"/>
              <w:spacing w:after="0" w:line="240" w:lineRule="auto"/>
              <w:rPr>
                <w:rFonts w:eastAsia="Times New Roman" w:cs="Times New Roman"/>
                <w:noProof/>
              </w:rPr>
            </w:pPr>
            <w:r>
              <w:rPr>
                <w:noProof/>
              </w:rPr>
              <w:t>C21.I6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58C613"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B390DC" w14:textId="77777777" w:rsidR="003E1D81" w:rsidRDefault="00EB481C">
            <w:pPr>
              <w:pStyle w:val="P68B1DB1-Normal46"/>
              <w:spacing w:after="0" w:line="240" w:lineRule="auto"/>
              <w:rPr>
                <w:rFonts w:eastAsia="Times New Roman" w:cs="Times New Roman"/>
                <w:noProof/>
              </w:rPr>
            </w:pPr>
            <w:r>
              <w:rPr>
                <w:noProof/>
              </w:rPr>
              <w:t>Az egyetemi mikrotanúsítványok fejlesztésére vonatkozó cselekvési terv elfogadása</w:t>
            </w:r>
          </w:p>
        </w:tc>
      </w:tr>
      <w:tr w:rsidR="003E1D81" w14:paraId="5C81DA0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0FC573B" w14:textId="77777777" w:rsidR="003E1D81" w:rsidRDefault="00EB481C">
            <w:pPr>
              <w:pStyle w:val="P68B1DB1-Normal46"/>
              <w:spacing w:after="0" w:line="240" w:lineRule="auto"/>
              <w:jc w:val="center"/>
              <w:rPr>
                <w:rFonts w:eastAsia="Times New Roman" w:cs="Times New Roman"/>
                <w:noProof/>
              </w:rPr>
            </w:pPr>
            <w:r>
              <w:rPr>
                <w:noProof/>
              </w:rPr>
              <w:t>315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AB6452" w14:textId="77777777" w:rsidR="003E1D81" w:rsidRDefault="00EB481C">
            <w:pPr>
              <w:pStyle w:val="P68B1DB1-Normal46"/>
              <w:spacing w:after="0" w:line="240" w:lineRule="auto"/>
              <w:rPr>
                <w:rFonts w:eastAsia="Times New Roman" w:cs="Times New Roman"/>
                <w:noProof/>
              </w:rPr>
            </w:pPr>
            <w:r>
              <w:rPr>
                <w:noProof/>
              </w:rPr>
              <w:t>C22.R2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934A196"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27E4CF" w14:textId="77777777" w:rsidR="003E1D81" w:rsidRDefault="00EB481C">
            <w:pPr>
              <w:pStyle w:val="P68B1DB1-Normal46"/>
              <w:spacing w:after="0" w:line="240" w:lineRule="auto"/>
              <w:rPr>
                <w:rFonts w:eastAsia="Times New Roman" w:cs="Times New Roman"/>
                <w:noProof/>
              </w:rPr>
            </w:pPr>
            <w:r>
              <w:rPr>
                <w:noProof/>
              </w:rPr>
              <w:t>A szociális szolgáltatásokról szóló törvény és a miniszteri rendeletek hatálybalépése</w:t>
            </w:r>
          </w:p>
        </w:tc>
      </w:tr>
      <w:tr w:rsidR="003E1D81" w14:paraId="6E9E7FA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951520" w14:textId="77777777" w:rsidR="003E1D81" w:rsidRDefault="00EB481C">
            <w:pPr>
              <w:pStyle w:val="P68B1DB1-Normal46"/>
              <w:spacing w:after="0" w:line="240" w:lineRule="auto"/>
              <w:jc w:val="center"/>
              <w:rPr>
                <w:rFonts w:eastAsia="Times New Roman" w:cs="Times New Roman"/>
                <w:noProof/>
              </w:rPr>
            </w:pPr>
            <w:r>
              <w:rPr>
                <w:noProof/>
              </w:rPr>
              <w:t>316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E5878BD" w14:textId="77777777" w:rsidR="003E1D81" w:rsidRDefault="00EB481C">
            <w:pPr>
              <w:pStyle w:val="P68B1DB1-Normal46"/>
              <w:spacing w:after="0" w:line="240" w:lineRule="auto"/>
              <w:rPr>
                <w:rFonts w:eastAsia="Times New Roman" w:cs="Times New Roman"/>
                <w:noProof/>
              </w:rPr>
            </w:pPr>
            <w:r>
              <w:rPr>
                <w:noProof/>
              </w:rPr>
              <w:t>C22.R3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1CDE47"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8807C3" w14:textId="77777777" w:rsidR="003E1D81" w:rsidRDefault="00EB481C">
            <w:pPr>
              <w:pStyle w:val="P68B1DB1-Normal46"/>
              <w:spacing w:after="0" w:line="240" w:lineRule="auto"/>
              <w:rPr>
                <w:rFonts w:eastAsia="Times New Roman" w:cs="Times New Roman"/>
                <w:noProof/>
              </w:rPr>
            </w:pPr>
            <w:r>
              <w:rPr>
                <w:noProof/>
              </w:rPr>
              <w:t xml:space="preserve">A családi sokszínűségről szóló </w:t>
            </w:r>
            <w:r>
              <w:rPr>
                <w:noProof/>
              </w:rPr>
              <w:t>törvény hatálybalépése</w:t>
            </w:r>
          </w:p>
        </w:tc>
      </w:tr>
      <w:tr w:rsidR="003E1D81" w14:paraId="376139D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9341BE" w14:textId="77777777" w:rsidR="003E1D81" w:rsidRDefault="00EB481C">
            <w:pPr>
              <w:pStyle w:val="P68B1DB1-Normal46"/>
              <w:spacing w:after="0" w:line="240" w:lineRule="auto"/>
              <w:jc w:val="center"/>
              <w:rPr>
                <w:rFonts w:eastAsia="Times New Roman" w:cs="Times New Roman"/>
                <w:noProof/>
              </w:rPr>
            </w:pPr>
            <w:r>
              <w:rPr>
                <w:noProof/>
              </w:rPr>
              <w:t>321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4DF26A" w14:textId="77777777" w:rsidR="003E1D81" w:rsidRDefault="00EB481C">
            <w:pPr>
              <w:pStyle w:val="P68B1DB1-Normal46"/>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597E8F"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591AAD" w14:textId="77777777" w:rsidR="003E1D81" w:rsidRDefault="00EB481C">
            <w:pPr>
              <w:pStyle w:val="P68B1DB1-Normal46"/>
              <w:spacing w:after="0" w:line="240" w:lineRule="auto"/>
              <w:rPr>
                <w:rFonts w:eastAsia="Times New Roman" w:cs="Times New Roman"/>
                <w:noProof/>
              </w:rPr>
            </w:pPr>
            <w:r>
              <w:rPr>
                <w:noProof/>
              </w:rPr>
              <w:t>A szociális jogokért és a 2030-ig tartó időszakra szóló menetrendért felelős minisztérium által végrehajtott projektek</w:t>
            </w:r>
          </w:p>
        </w:tc>
      </w:tr>
      <w:tr w:rsidR="003E1D81" w14:paraId="7D9C9B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F3A7AC" w14:textId="77777777" w:rsidR="003E1D81" w:rsidRDefault="00EB481C">
            <w:pPr>
              <w:pStyle w:val="P68B1DB1-Normal46"/>
              <w:spacing w:after="0" w:line="240" w:lineRule="auto"/>
              <w:jc w:val="center"/>
              <w:rPr>
                <w:rFonts w:eastAsia="Times New Roman" w:cs="Times New Roman"/>
                <w:noProof/>
              </w:rPr>
            </w:pPr>
            <w:r>
              <w:rPr>
                <w:noProof/>
              </w:rPr>
              <w:t>473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74336C" w14:textId="77777777" w:rsidR="003E1D81" w:rsidRDefault="00EB481C">
            <w:pPr>
              <w:pStyle w:val="P68B1DB1-Normal46"/>
              <w:spacing w:after="0" w:line="240" w:lineRule="auto"/>
              <w:rPr>
                <w:rFonts w:eastAsia="Times New Roman" w:cs="Times New Roman"/>
                <w:noProof/>
              </w:rPr>
            </w:pPr>
            <w:r>
              <w:rPr>
                <w:noProof/>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E58A15"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5EF04EC" w14:textId="77777777" w:rsidR="003E1D81" w:rsidRDefault="00EB481C">
            <w:pPr>
              <w:pStyle w:val="P68B1DB1-Normal46"/>
              <w:spacing w:after="0" w:line="240" w:lineRule="auto"/>
              <w:rPr>
                <w:rFonts w:eastAsia="Times New Roman" w:cs="Times New Roman"/>
                <w:noProof/>
              </w:rPr>
            </w:pPr>
            <w:r>
              <w:rPr>
                <w:noProof/>
              </w:rPr>
              <w:t>Különböző típusú szolgáltatások létrehozása a szexuális erőszak áldozatai számára.</w:t>
            </w:r>
          </w:p>
        </w:tc>
      </w:tr>
      <w:tr w:rsidR="003E1D81" w14:paraId="0F1B3C0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07D3BF" w14:textId="77777777" w:rsidR="003E1D81" w:rsidRDefault="00EB481C">
            <w:pPr>
              <w:pStyle w:val="P68B1DB1-Normal46"/>
              <w:spacing w:after="0" w:line="240" w:lineRule="auto"/>
              <w:jc w:val="center"/>
              <w:rPr>
                <w:rFonts w:eastAsia="Times New Roman" w:cs="Times New Roman"/>
                <w:noProof/>
              </w:rPr>
            </w:pPr>
            <w:r>
              <w:rPr>
                <w:noProof/>
              </w:rPr>
              <w:t>386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5345B0" w14:textId="77777777" w:rsidR="003E1D81" w:rsidRDefault="00EB481C">
            <w:pPr>
              <w:pStyle w:val="P68B1DB1-Normal46"/>
              <w:spacing w:after="0" w:line="240" w:lineRule="auto"/>
              <w:rPr>
                <w:rFonts w:eastAsia="Times New Roman" w:cs="Times New Roman"/>
                <w:noProof/>
              </w:rPr>
            </w:pPr>
            <w:r>
              <w:rPr>
                <w:noProof/>
              </w:rPr>
              <w:t>C28.R2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A56228"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B35D9E" w14:textId="77777777" w:rsidR="003E1D81" w:rsidRDefault="00EB481C">
            <w:pPr>
              <w:pStyle w:val="P68B1DB1-Normal46"/>
              <w:spacing w:after="0" w:line="240" w:lineRule="auto"/>
              <w:rPr>
                <w:rFonts w:eastAsia="Times New Roman" w:cs="Times New Roman"/>
                <w:noProof/>
              </w:rPr>
            </w:pPr>
            <w:r>
              <w:rPr>
                <w:noProof/>
              </w:rPr>
              <w:t>Az adókedvezmények felülvizsgálata és módosítása</w:t>
            </w:r>
          </w:p>
        </w:tc>
      </w:tr>
      <w:tr w:rsidR="003E1D81" w14:paraId="132D78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D9E8C1" w14:textId="77777777" w:rsidR="003E1D81" w:rsidRDefault="00EB481C">
            <w:pPr>
              <w:pStyle w:val="P68B1DB1-Normal46"/>
              <w:spacing w:after="0" w:line="240" w:lineRule="auto"/>
              <w:jc w:val="center"/>
              <w:rPr>
                <w:rFonts w:eastAsia="Times New Roman" w:cs="Times New Roman"/>
                <w:noProof/>
              </w:rPr>
            </w:pPr>
            <w:r>
              <w:rPr>
                <w:noProof/>
              </w:rPr>
              <w:t>388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C2E74B" w14:textId="77777777" w:rsidR="003E1D81" w:rsidRDefault="00EB481C">
            <w:pPr>
              <w:pStyle w:val="P68B1DB1-Normal46"/>
              <w:spacing w:after="0" w:line="240" w:lineRule="auto"/>
              <w:rPr>
                <w:rFonts w:eastAsia="Times New Roman" w:cs="Times New Roman"/>
                <w:noProof/>
              </w:rPr>
            </w:pPr>
            <w:r>
              <w:rPr>
                <w:noProof/>
              </w:rPr>
              <w:t>C28.R3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2FDE0B"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36635DE" w14:textId="77777777" w:rsidR="003E1D81" w:rsidRDefault="00EB481C">
            <w:pPr>
              <w:pStyle w:val="P68B1DB1-Normal46"/>
              <w:spacing w:after="0" w:line="240" w:lineRule="auto"/>
              <w:rPr>
                <w:rFonts w:eastAsia="Times New Roman" w:cs="Times New Roman"/>
                <w:noProof/>
              </w:rPr>
            </w:pPr>
            <w:r>
              <w:rPr>
                <w:noProof/>
              </w:rPr>
              <w:t>Az EGSZB ajánlásaiból eredő reformok hatálybalépése</w:t>
            </w:r>
          </w:p>
        </w:tc>
      </w:tr>
      <w:tr w:rsidR="003E1D81" w14:paraId="2B777E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80A45E" w14:textId="77777777" w:rsidR="003E1D81" w:rsidRDefault="00EB481C">
            <w:pPr>
              <w:pStyle w:val="P68B1DB1-Normal46"/>
              <w:spacing w:after="0" w:line="240" w:lineRule="auto"/>
              <w:jc w:val="center"/>
              <w:rPr>
                <w:rFonts w:eastAsia="Times New Roman" w:cs="Times New Roman"/>
                <w:noProof/>
              </w:rPr>
            </w:pPr>
            <w:r>
              <w:rPr>
                <w:noProof/>
              </w:rPr>
              <w:t>402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2E9E10" w14:textId="77777777" w:rsidR="003E1D81" w:rsidRDefault="00EB481C">
            <w:pPr>
              <w:pStyle w:val="P68B1DB1-Normal46"/>
              <w:spacing w:after="0" w:line="240" w:lineRule="auto"/>
              <w:rPr>
                <w:rFonts w:eastAsia="Times New Roman" w:cs="Times New Roman"/>
                <w:noProof/>
              </w:rPr>
            </w:pPr>
            <w:r>
              <w:rPr>
                <w:noProof/>
              </w:rPr>
              <w:t>C29.R1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72A594"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46E978" w14:textId="77777777" w:rsidR="003E1D81" w:rsidRDefault="00EB481C">
            <w:pPr>
              <w:pStyle w:val="P68B1DB1-Normal46"/>
              <w:spacing w:after="0" w:line="240" w:lineRule="auto"/>
              <w:rPr>
                <w:rFonts w:eastAsia="Times New Roman" w:cs="Times New Roman"/>
                <w:noProof/>
              </w:rPr>
            </w:pPr>
            <w:r>
              <w:rPr>
                <w:noProof/>
              </w:rPr>
              <w:t>A kiadások felülvizsgálatának III. szakasza</w:t>
            </w:r>
          </w:p>
        </w:tc>
      </w:tr>
      <w:tr w:rsidR="003E1D81" w14:paraId="23FB34A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DEAFD1" w14:textId="77777777" w:rsidR="003E1D81" w:rsidRDefault="003E1D81">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0BE08F" w14:textId="77777777" w:rsidR="003E1D81" w:rsidRDefault="003E1D81">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B29CB3" w14:textId="57494339" w:rsidR="003E1D81" w:rsidRDefault="00EB481C">
            <w:pPr>
              <w:pStyle w:val="P68B1DB1-Normal45"/>
              <w:spacing w:after="0" w:line="240" w:lineRule="auto"/>
              <w:rPr>
                <w:rFonts w:eastAsia="Times New Roman" w:cs="Times New Roman"/>
                <w:noProof/>
              </w:rPr>
            </w:pPr>
            <w:r>
              <w:rPr>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6325533" w14:textId="44A2D6E1" w:rsidR="003E1D81" w:rsidRDefault="00EB481C">
            <w:pPr>
              <w:pStyle w:val="P68B1DB1-Normal45"/>
              <w:spacing w:after="0" w:line="240" w:lineRule="auto"/>
              <w:rPr>
                <w:rFonts w:eastAsia="Times New Roman" w:cs="Times New Roman"/>
                <w:noProof/>
              </w:rPr>
            </w:pPr>
            <w:r>
              <w:rPr>
                <w:noProof/>
              </w:rPr>
              <w:t>·EURÓPAI BIZOTTSÁG 7 671 001 527 EUR</w:t>
            </w:r>
          </w:p>
        </w:tc>
      </w:tr>
    </w:tbl>
    <w:p w14:paraId="0476ED92" w14:textId="77777777" w:rsidR="003E1D81" w:rsidRDefault="003E1D81">
      <w:pPr>
        <w:spacing w:before="120" w:after="120" w:line="240" w:lineRule="auto"/>
        <w:jc w:val="both"/>
        <w:rPr>
          <w:rFonts w:ascii="Times New Roman" w:eastAsia="Calibri" w:hAnsi="Times New Roman" w:cs="Times New Roman"/>
          <w:noProof/>
          <w:sz w:val="24"/>
        </w:rPr>
      </w:pPr>
    </w:p>
    <w:p w14:paraId="6184B4C8" w14:textId="77777777"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Hatodik kifizetés (vissza nem térítendő támogatás): </w:t>
      </w:r>
    </w:p>
    <w:tbl>
      <w:tblPr>
        <w:tblW w:w="9665" w:type="dxa"/>
        <w:tblInd w:w="113" w:type="dxa"/>
        <w:tblLook w:val="04A0" w:firstRow="1" w:lastRow="0" w:firstColumn="1" w:lastColumn="0" w:noHBand="0" w:noVBand="1"/>
      </w:tblPr>
      <w:tblGrid>
        <w:gridCol w:w="1300"/>
        <w:gridCol w:w="1443"/>
        <w:gridCol w:w="1416"/>
        <w:gridCol w:w="5672"/>
      </w:tblGrid>
      <w:tr w:rsidR="003E1D81" w14:paraId="7714E221" w14:textId="77777777">
        <w:trPr>
          <w:trHeight w:val="909"/>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B184615" w14:textId="77777777" w:rsidR="003E1D81" w:rsidRDefault="00EB481C">
            <w:pPr>
              <w:pStyle w:val="P68B1DB1-Normal45"/>
              <w:spacing w:after="0" w:line="240" w:lineRule="auto"/>
              <w:jc w:val="center"/>
              <w:rPr>
                <w:rFonts w:eastAsia="Times New Roman" w:cs="Times New Roman"/>
                <w:noProof/>
              </w:rPr>
            </w:pPr>
            <w:bookmarkStart w:id="62" w:name="_Hlk145968623"/>
            <w:r>
              <w:rPr>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D455CE9" w14:textId="77777777" w:rsidR="003E1D81" w:rsidRDefault="00EB481C">
            <w:pPr>
              <w:pStyle w:val="P68B1DB1-Normal45"/>
              <w:spacing w:after="0" w:line="240" w:lineRule="auto"/>
              <w:jc w:val="center"/>
              <w:rPr>
                <w:rFonts w:eastAsia="Times New Roman" w:cs="Times New Roman"/>
                <w:noProof/>
              </w:rPr>
            </w:pPr>
            <w:r>
              <w:rPr>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90A22D8"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5672" w:type="dxa"/>
            <w:vMerge w:val="restart"/>
            <w:tcBorders>
              <w:top w:val="single" w:sz="4" w:space="0" w:color="auto"/>
              <w:left w:val="nil"/>
              <w:bottom w:val="single" w:sz="4" w:space="0" w:color="000000"/>
              <w:right w:val="single" w:sz="4" w:space="0" w:color="auto"/>
            </w:tcBorders>
            <w:shd w:val="clear" w:color="auto" w:fill="BDD7EE"/>
            <w:vAlign w:val="center"/>
            <w:hideMark/>
          </w:tcPr>
          <w:p w14:paraId="74E7AE41"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01CB0D0A"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7340931" w14:textId="77777777" w:rsidR="003E1D81" w:rsidRDefault="003E1D81">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2518AB9" w14:textId="77777777" w:rsidR="003E1D81" w:rsidRDefault="003E1D81">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2D43A0AB" w14:textId="77777777" w:rsidR="003E1D81" w:rsidRDefault="003E1D81">
            <w:pPr>
              <w:spacing w:after="0" w:line="240" w:lineRule="auto"/>
              <w:rPr>
                <w:rFonts w:ascii="Times New Roman" w:eastAsia="Times New Roman" w:hAnsi="Times New Roman" w:cs="Times New Roman"/>
                <w:b/>
                <w:noProof/>
                <w:sz w:val="20"/>
              </w:rPr>
            </w:pPr>
          </w:p>
        </w:tc>
        <w:tc>
          <w:tcPr>
            <w:tcW w:w="5672" w:type="dxa"/>
            <w:vMerge/>
            <w:tcBorders>
              <w:top w:val="single" w:sz="4" w:space="0" w:color="auto"/>
              <w:left w:val="nil"/>
              <w:bottom w:val="single" w:sz="4" w:space="0" w:color="000000"/>
              <w:right w:val="single" w:sz="4" w:space="0" w:color="auto"/>
            </w:tcBorders>
            <w:vAlign w:val="center"/>
            <w:hideMark/>
          </w:tcPr>
          <w:p w14:paraId="16778236" w14:textId="77777777" w:rsidR="003E1D81" w:rsidRDefault="003E1D81">
            <w:pPr>
              <w:spacing w:after="0" w:line="240" w:lineRule="auto"/>
              <w:rPr>
                <w:rFonts w:ascii="Times New Roman" w:eastAsia="Times New Roman" w:hAnsi="Times New Roman" w:cs="Times New Roman"/>
                <w:b/>
                <w:noProof/>
                <w:sz w:val="20"/>
              </w:rPr>
            </w:pPr>
          </w:p>
        </w:tc>
      </w:tr>
      <w:tr w:rsidR="003E1D81" w14:paraId="1F3B0E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5DC648" w14:textId="77777777" w:rsidR="003E1D81" w:rsidRDefault="00EB481C">
            <w:pPr>
              <w:pStyle w:val="P68B1DB1-Normal46"/>
              <w:spacing w:after="0" w:line="240" w:lineRule="auto"/>
              <w:rPr>
                <w:rFonts w:eastAsia="Times New Roman" w:cs="Times New Roman"/>
                <w:noProof/>
              </w:rPr>
            </w:pPr>
            <w:r>
              <w:rPr>
                <w:noProof/>
              </w:rPr>
              <w:t>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18CC061" w14:textId="77777777" w:rsidR="003E1D81" w:rsidRDefault="00EB481C">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FBD0567"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1853B26" w14:textId="77777777" w:rsidR="003E1D81" w:rsidRDefault="00EB481C">
            <w:pPr>
              <w:pStyle w:val="P68B1DB1-Normal46"/>
              <w:spacing w:after="0" w:line="240" w:lineRule="auto"/>
              <w:rPr>
                <w:rFonts w:eastAsia="Times New Roman" w:cs="Times New Roman"/>
                <w:noProof/>
              </w:rPr>
            </w:pPr>
            <w:r>
              <w:rPr>
                <w:noProof/>
              </w:rPr>
              <w:t xml:space="preserve">Az autonóm közösségek által vásárolt vagy odaítélt, a fenntartható mobilitás előmozdítását célzó, legalább 900 millió EUR összegű költségvetés </w:t>
            </w:r>
          </w:p>
        </w:tc>
      </w:tr>
      <w:bookmarkEnd w:id="62"/>
      <w:tr w:rsidR="003E1D81" w14:paraId="68C38C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88AE58" w14:textId="77777777" w:rsidR="003E1D81" w:rsidRDefault="00EB481C">
            <w:pPr>
              <w:pStyle w:val="P68B1DB1-Normal46"/>
              <w:spacing w:after="0" w:line="240" w:lineRule="auto"/>
              <w:rPr>
                <w:rFonts w:eastAsia="Times New Roman" w:cs="Times New Roman"/>
                <w:noProof/>
              </w:rPr>
            </w:pPr>
            <w:r>
              <w:rPr>
                <w:noProof/>
              </w:rPr>
              <w:t>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9951421" w14:textId="77777777" w:rsidR="003E1D81" w:rsidRDefault="00EB481C">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731E545"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355326" w14:textId="77777777" w:rsidR="003E1D81" w:rsidRDefault="00EB481C">
            <w:pPr>
              <w:pStyle w:val="P68B1DB1-Normal46"/>
              <w:spacing w:after="0" w:line="240" w:lineRule="auto"/>
              <w:rPr>
                <w:rFonts w:eastAsia="Times New Roman" w:cs="Times New Roman"/>
                <w:noProof/>
              </w:rPr>
            </w:pPr>
            <w:r>
              <w:rPr>
                <w:noProof/>
              </w:rPr>
              <w:t xml:space="preserve">A fenntartható mobilitást előmozdító befejezett projektek, többek között a városi és nagyvárosi területeken </w:t>
            </w:r>
          </w:p>
        </w:tc>
      </w:tr>
      <w:tr w:rsidR="003E1D81" w14:paraId="2726397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F3792" w14:textId="77777777" w:rsidR="003E1D81" w:rsidRDefault="00EB481C">
            <w:pPr>
              <w:pStyle w:val="P68B1DB1-Normal46"/>
              <w:spacing w:after="0" w:line="240" w:lineRule="auto"/>
              <w:rPr>
                <w:rFonts w:eastAsia="Times New Roman" w:cs="Times New Roman"/>
                <w:noProof/>
              </w:rPr>
            </w:pPr>
            <w:r>
              <w:rPr>
                <w:noProof/>
              </w:rPr>
              <w:t>12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433AD2F" w14:textId="77777777" w:rsidR="003E1D81" w:rsidRDefault="00EB481C">
            <w:pPr>
              <w:pStyle w:val="P68B1DB1-Normal46"/>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D87D96A"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FAC7C37" w14:textId="77777777" w:rsidR="003E1D81" w:rsidRDefault="00EB481C">
            <w:pPr>
              <w:pStyle w:val="P68B1DB1-Normal46"/>
              <w:spacing w:after="0" w:line="240" w:lineRule="auto"/>
              <w:rPr>
                <w:rFonts w:eastAsia="Times New Roman" w:cs="Times New Roman"/>
                <w:noProof/>
              </w:rPr>
            </w:pPr>
            <w:r>
              <w:rPr>
                <w:noProof/>
              </w:rPr>
              <w:t xml:space="preserve">Az elektromos járművek és az elektromos töltőállomások támogatása iránti kérelem nyilvántartásba vétele </w:t>
            </w:r>
          </w:p>
        </w:tc>
      </w:tr>
      <w:tr w:rsidR="003E1D81" w14:paraId="05E01A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7BB97" w14:textId="77777777" w:rsidR="003E1D81" w:rsidRDefault="00EB481C">
            <w:pPr>
              <w:pStyle w:val="P68B1DB1-Normal46"/>
              <w:spacing w:after="0" w:line="240" w:lineRule="auto"/>
              <w:rPr>
                <w:rFonts w:eastAsia="Times New Roman" w:cs="Times New Roman"/>
                <w:noProof/>
              </w:rPr>
            </w:pPr>
            <w:r>
              <w:rPr>
                <w:noProof/>
              </w:rPr>
              <w:t>14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C644129" w14:textId="77777777" w:rsidR="003E1D81" w:rsidRDefault="00EB481C">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D24894D"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B43848" w14:textId="77777777" w:rsidR="003E1D81" w:rsidRDefault="00EB481C">
            <w:pPr>
              <w:pStyle w:val="P68B1DB1-Normal46"/>
              <w:spacing w:after="0" w:line="240" w:lineRule="auto"/>
              <w:rPr>
                <w:rFonts w:eastAsia="Times New Roman" w:cs="Times New Roman"/>
                <w:noProof/>
              </w:rPr>
            </w:pPr>
            <w:r>
              <w:rPr>
                <w:noProof/>
              </w:rPr>
              <w:t>Rövid távolságú va</w:t>
            </w:r>
            <w:r>
              <w:rPr>
                <w:noProof/>
              </w:rPr>
              <w:t xml:space="preserve">sútvonalak (Cercanías) </w:t>
            </w:r>
          </w:p>
        </w:tc>
      </w:tr>
      <w:tr w:rsidR="003E1D81" w14:paraId="3C6E39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68029F" w14:textId="77777777" w:rsidR="003E1D81" w:rsidRDefault="00EB481C">
            <w:pPr>
              <w:pStyle w:val="P68B1DB1-Normal46"/>
              <w:spacing w:after="0" w:line="240" w:lineRule="auto"/>
              <w:rPr>
                <w:rFonts w:eastAsia="Times New Roman" w:cs="Times New Roman"/>
                <w:noProof/>
              </w:rPr>
            </w:pPr>
            <w:r>
              <w:rPr>
                <w:noProof/>
              </w:rPr>
              <w:t>15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E394E5A" w14:textId="77777777" w:rsidR="003E1D81" w:rsidRDefault="00EB481C">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7F9C33"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983D24" w14:textId="77777777" w:rsidR="003E1D81" w:rsidRDefault="00EB481C">
            <w:pPr>
              <w:pStyle w:val="P68B1DB1-Normal46"/>
              <w:spacing w:after="0" w:line="240" w:lineRule="auto"/>
              <w:rPr>
                <w:rFonts w:eastAsia="Times New Roman" w:cs="Times New Roman"/>
                <w:noProof/>
              </w:rPr>
            </w:pPr>
            <w:r>
              <w:rPr>
                <w:noProof/>
              </w:rPr>
              <w:t xml:space="preserve">A digitalizáció révén javultak az állomások </w:t>
            </w:r>
          </w:p>
        </w:tc>
      </w:tr>
      <w:tr w:rsidR="003E1D81" w14:paraId="108C70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C645A" w14:textId="77777777" w:rsidR="003E1D81" w:rsidRDefault="00EB481C">
            <w:pPr>
              <w:pStyle w:val="P68B1DB1-Normal46"/>
              <w:spacing w:after="0" w:line="240" w:lineRule="auto"/>
              <w:rPr>
                <w:rFonts w:eastAsia="Times New Roman" w:cs="Times New Roman"/>
                <w:noProof/>
              </w:rPr>
            </w:pPr>
            <w:r>
              <w:rPr>
                <w:noProof/>
              </w:rPr>
              <w:t>16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9C2C548" w14:textId="77777777" w:rsidR="003E1D81" w:rsidRDefault="00EB481C">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0174D45"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8FC4268" w14:textId="77777777" w:rsidR="003E1D81" w:rsidRDefault="00EB481C">
            <w:pPr>
              <w:pStyle w:val="P68B1DB1-Normal46"/>
              <w:spacing w:after="0" w:line="240" w:lineRule="auto"/>
              <w:rPr>
                <w:rFonts w:eastAsia="Times New Roman" w:cs="Times New Roman"/>
                <w:noProof/>
              </w:rPr>
            </w:pPr>
            <w:r>
              <w:rPr>
                <w:noProof/>
              </w:rPr>
              <w:t xml:space="preserve">Továbbfejlesztett „Cercanías” állomások </w:t>
            </w:r>
          </w:p>
        </w:tc>
      </w:tr>
      <w:tr w:rsidR="003E1D81" w14:paraId="0A9C021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D0BE04" w14:textId="77777777" w:rsidR="003E1D81" w:rsidRDefault="00EB481C">
            <w:pPr>
              <w:pStyle w:val="P68B1DB1-Normal46"/>
              <w:spacing w:after="0" w:line="240" w:lineRule="auto"/>
              <w:rPr>
                <w:rFonts w:eastAsia="Times New Roman" w:cs="Times New Roman"/>
                <w:noProof/>
              </w:rPr>
            </w:pPr>
            <w:r>
              <w:rPr>
                <w:noProof/>
              </w:rPr>
              <w:t>32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1169338" w14:textId="77777777" w:rsidR="003E1D81" w:rsidRDefault="00EB481C">
            <w:pPr>
              <w:pStyle w:val="P68B1DB1-Normal46"/>
              <w:spacing w:after="0" w:line="240" w:lineRule="auto"/>
              <w:rPr>
                <w:rFonts w:eastAsia="Times New Roman" w:cs="Times New Roman"/>
                <w:noProof/>
              </w:rPr>
            </w:pPr>
            <w:r>
              <w:rPr>
                <w:noProof/>
              </w:rPr>
              <w:t>C2.I3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A1A9740"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92925CE" w14:textId="77777777" w:rsidR="003E1D81" w:rsidRDefault="00EB481C">
            <w:pPr>
              <w:pStyle w:val="P68B1DB1-Normal46"/>
              <w:spacing w:after="0" w:line="240" w:lineRule="auto"/>
              <w:rPr>
                <w:rFonts w:eastAsia="Times New Roman" w:cs="Times New Roman"/>
                <w:noProof/>
              </w:rPr>
            </w:pPr>
            <w:r>
              <w:rPr>
                <w:noProof/>
              </w:rPr>
              <w:t xml:space="preserve">A lakóépületek és a nem lakáscélú épületek felújításának odaítélése, átlagosan legalább 30%-os </w:t>
            </w:r>
            <w:r>
              <w:rPr>
                <w:noProof/>
              </w:rPr>
              <w:t>primerenergia-igénycsökkenés elérése érdekében</w:t>
            </w:r>
          </w:p>
        </w:tc>
      </w:tr>
      <w:tr w:rsidR="003E1D81" w14:paraId="4C35979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09E7CE" w14:textId="77777777" w:rsidR="003E1D81" w:rsidRDefault="00EB481C">
            <w:pPr>
              <w:pStyle w:val="P68B1DB1-Normal46"/>
              <w:spacing w:after="0" w:line="240" w:lineRule="auto"/>
              <w:rPr>
                <w:rFonts w:eastAsia="Times New Roman" w:cs="Times New Roman"/>
                <w:noProof/>
              </w:rPr>
            </w:pPr>
            <w:r>
              <w:rPr>
                <w:noProof/>
              </w:rPr>
              <w:t>422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D0E986F" w14:textId="77777777" w:rsidR="003E1D81" w:rsidRDefault="00EB481C">
            <w:pPr>
              <w:pStyle w:val="P68B1DB1-Normal46"/>
              <w:spacing w:after="0" w:line="240" w:lineRule="auto"/>
              <w:rPr>
                <w:rFonts w:eastAsia="Times New Roman" w:cs="Times New Roman"/>
                <w:noProof/>
              </w:rPr>
            </w:pPr>
            <w:r>
              <w:rPr>
                <w:noProof/>
              </w:rPr>
              <w:t>C3.R2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3FAC8EB"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6FABD1B" w14:textId="77777777" w:rsidR="003E1D81" w:rsidRDefault="00EB481C">
            <w:pPr>
              <w:pStyle w:val="P68B1DB1-Normal46"/>
              <w:spacing w:after="0" w:line="240" w:lineRule="auto"/>
              <w:rPr>
                <w:rFonts w:eastAsia="Times New Roman" w:cs="Times New Roman"/>
                <w:noProof/>
              </w:rPr>
            </w:pPr>
            <w:r>
              <w:rPr>
                <w:noProof/>
              </w:rPr>
              <w:t>Az állatszállítás biológiai biztonságának javításáról szóló rendelet és az antibiotikumok állatfajoknál történő fenntartható használatáról szóló rendelet hatálybalépése</w:t>
            </w:r>
          </w:p>
        </w:tc>
      </w:tr>
      <w:tr w:rsidR="003E1D81" w14:paraId="0210068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45896" w14:textId="77777777" w:rsidR="003E1D81" w:rsidRDefault="00EB481C">
            <w:pPr>
              <w:pStyle w:val="P68B1DB1-Normal46"/>
              <w:spacing w:after="0" w:line="240" w:lineRule="auto"/>
              <w:rPr>
                <w:rFonts w:eastAsia="Times New Roman" w:cs="Times New Roman"/>
                <w:noProof/>
              </w:rPr>
            </w:pPr>
            <w:r>
              <w:rPr>
                <w:noProof/>
              </w:rPr>
              <w:t>424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4C75433" w14:textId="77777777" w:rsidR="003E1D81" w:rsidRDefault="00EB481C">
            <w:pPr>
              <w:pStyle w:val="P68B1DB1-Normal46"/>
              <w:spacing w:after="0" w:line="240" w:lineRule="auto"/>
              <w:rPr>
                <w:rFonts w:eastAsia="Times New Roman" w:cs="Times New Roman"/>
                <w:noProof/>
              </w:rPr>
            </w:pPr>
            <w:r>
              <w:rPr>
                <w:noProof/>
              </w:rPr>
              <w:t>C3.I1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DF5FCFA"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0F6AB22" w14:textId="77777777" w:rsidR="003E1D81" w:rsidRDefault="00EB481C">
            <w:pPr>
              <w:pStyle w:val="P68B1DB1-Normal46"/>
              <w:spacing w:after="0" w:line="240" w:lineRule="auto"/>
              <w:rPr>
                <w:rFonts w:eastAsia="Times New Roman" w:cs="Times New Roman"/>
                <w:noProof/>
              </w:rPr>
            </w:pPr>
            <w:r>
              <w:rPr>
                <w:noProof/>
              </w:rPr>
              <w:t xml:space="preserve">A </w:t>
            </w:r>
            <w:r>
              <w:rPr>
                <w:noProof/>
              </w:rPr>
              <w:t>Mezőgazdasági, Halászati és Élelmiszerügyi Minisztérium (MAPA) és a SEIASA közötti, az öntözött területek javításának és fenntarthatóságának támogatásáról szóló megállapodás kiegészítésének végrehajtása (II. szakasz)</w:t>
            </w:r>
          </w:p>
        </w:tc>
      </w:tr>
      <w:tr w:rsidR="003E1D81" w14:paraId="48E49AF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828D6" w14:textId="77777777" w:rsidR="003E1D81" w:rsidRDefault="00EB481C">
            <w:pPr>
              <w:pStyle w:val="P68B1DB1-Normal46"/>
              <w:spacing w:after="0" w:line="240" w:lineRule="auto"/>
              <w:rPr>
                <w:rFonts w:eastAsia="Times New Roman" w:cs="Times New Roman"/>
                <w:noProof/>
              </w:rPr>
            </w:pPr>
            <w:r>
              <w:rPr>
                <w:noProof/>
              </w:rPr>
              <w:t>54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EA37CDF" w14:textId="77777777" w:rsidR="003E1D81" w:rsidRDefault="00EB481C">
            <w:pPr>
              <w:pStyle w:val="P68B1DB1-Normal46"/>
              <w:spacing w:after="0" w:line="240" w:lineRule="auto"/>
              <w:rPr>
                <w:rFonts w:eastAsia="Times New Roman" w:cs="Times New Roman"/>
                <w:noProof/>
              </w:rPr>
            </w:pPr>
            <w:r>
              <w:rPr>
                <w:noProof/>
              </w:rPr>
              <w:t>C3.I5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0FA73C5"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33810AC" w14:textId="77777777" w:rsidR="003E1D81" w:rsidRDefault="00EB481C">
            <w:pPr>
              <w:pStyle w:val="P68B1DB1-Normal46"/>
              <w:spacing w:after="0" w:line="240" w:lineRule="auto"/>
              <w:rPr>
                <w:rFonts w:eastAsia="Times New Roman" w:cs="Times New Roman"/>
                <w:noProof/>
              </w:rPr>
            </w:pPr>
            <w:r>
              <w:rPr>
                <w:noProof/>
              </w:rPr>
              <w:t>Innovatív és digitális üzle</w:t>
            </w:r>
            <w:r>
              <w:rPr>
                <w:noProof/>
              </w:rPr>
              <w:t>ti projektek végrehajtásához támogatott agrár-élelmiszeripari kkv-k</w:t>
            </w:r>
          </w:p>
        </w:tc>
      </w:tr>
      <w:tr w:rsidR="003E1D81" w14:paraId="72099B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19883E" w14:textId="77777777" w:rsidR="003E1D81" w:rsidRDefault="00EB481C">
            <w:pPr>
              <w:pStyle w:val="P68B1DB1-Normal46"/>
              <w:spacing w:after="0" w:line="240" w:lineRule="auto"/>
              <w:rPr>
                <w:rFonts w:eastAsia="Times New Roman" w:cs="Times New Roman"/>
                <w:noProof/>
              </w:rPr>
            </w:pPr>
            <w:r>
              <w:rPr>
                <w:noProof/>
              </w:rPr>
              <w:t>58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F8C60D4" w14:textId="77777777" w:rsidR="003E1D81" w:rsidRDefault="00EB481C">
            <w:pPr>
              <w:pStyle w:val="P68B1DB1-Normal46"/>
              <w:spacing w:after="0" w:line="240" w:lineRule="auto"/>
              <w:rPr>
                <w:rFonts w:eastAsia="Times New Roman" w:cs="Times New Roman"/>
                <w:noProof/>
              </w:rPr>
            </w:pPr>
            <w:r>
              <w:rPr>
                <w:noProof/>
              </w:rPr>
              <w:t>C3.I8</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76B8899"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364186B" w14:textId="77777777" w:rsidR="003E1D81" w:rsidRDefault="00EB481C">
            <w:pPr>
              <w:pStyle w:val="P68B1DB1-Normal46"/>
              <w:spacing w:after="0" w:line="240" w:lineRule="auto"/>
              <w:rPr>
                <w:rFonts w:eastAsia="Times New Roman" w:cs="Times New Roman"/>
                <w:noProof/>
              </w:rPr>
            </w:pPr>
            <w:r>
              <w:rPr>
                <w:noProof/>
              </w:rPr>
              <w:t>Kutatásfejlesztési és innovációs projektek a halászati és akvakultúra-ágazat rezilienciájának és fenntarthatóságának támogatására</w:t>
            </w:r>
          </w:p>
        </w:tc>
      </w:tr>
      <w:tr w:rsidR="003E1D81" w14:paraId="353C04A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3883C" w14:textId="77777777" w:rsidR="003E1D81" w:rsidRDefault="00EB481C">
            <w:pPr>
              <w:pStyle w:val="P68B1DB1-Normal46"/>
              <w:spacing w:after="0" w:line="240" w:lineRule="auto"/>
              <w:rPr>
                <w:rFonts w:eastAsia="Times New Roman" w:cs="Times New Roman"/>
                <w:noProof/>
              </w:rPr>
            </w:pPr>
            <w:r>
              <w:rPr>
                <w:noProof/>
              </w:rPr>
              <w:t>59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DAE5A9D" w14:textId="77777777" w:rsidR="003E1D81" w:rsidRDefault="00EB481C">
            <w:pPr>
              <w:pStyle w:val="P68B1DB1-Normal46"/>
              <w:spacing w:after="0" w:line="240" w:lineRule="auto"/>
              <w:rPr>
                <w:rFonts w:eastAsia="Times New Roman" w:cs="Times New Roman"/>
                <w:noProof/>
              </w:rPr>
            </w:pPr>
            <w:r>
              <w:rPr>
                <w:noProof/>
              </w:rPr>
              <w:t>C3.I9</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4D6F368"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44A35E" w14:textId="77777777" w:rsidR="003E1D81" w:rsidRDefault="00EB481C">
            <w:pPr>
              <w:pStyle w:val="P68B1DB1-Normal46"/>
              <w:spacing w:after="0" w:line="240" w:lineRule="auto"/>
              <w:rPr>
                <w:rFonts w:eastAsia="Times New Roman" w:cs="Times New Roman"/>
                <w:noProof/>
              </w:rPr>
            </w:pPr>
            <w:r>
              <w:rPr>
                <w:noProof/>
              </w:rPr>
              <w:t xml:space="preserve">A spanyol halászati információs rendszer (SIPE) és a halászati felügyeleti rendszer digitális megerősítése </w:t>
            </w:r>
          </w:p>
        </w:tc>
      </w:tr>
      <w:tr w:rsidR="003E1D81" w14:paraId="08B0262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8C04D0" w14:textId="77777777" w:rsidR="003E1D81" w:rsidRDefault="00EB481C">
            <w:pPr>
              <w:pStyle w:val="P68B1DB1-Normal46"/>
              <w:spacing w:after="0" w:line="240" w:lineRule="auto"/>
              <w:rPr>
                <w:rFonts w:eastAsia="Times New Roman" w:cs="Times New Roman"/>
                <w:noProof/>
              </w:rPr>
            </w:pPr>
            <w:r>
              <w:rPr>
                <w:noProof/>
              </w:rPr>
              <w:t>67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8A18098" w14:textId="77777777" w:rsidR="003E1D81" w:rsidRDefault="00EB481C">
            <w:pPr>
              <w:pStyle w:val="P68B1DB1-Normal46"/>
              <w:spacing w:after="0" w:line="240" w:lineRule="auto"/>
              <w:rPr>
                <w:rFonts w:eastAsia="Times New Roman" w:cs="Times New Roman"/>
                <w:noProof/>
              </w:rPr>
            </w:pPr>
            <w:r>
              <w:rPr>
                <w:noProof/>
              </w:rPr>
              <w:t>C4.I2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6CF29AC"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47E9F41" w14:textId="77777777" w:rsidR="003E1D81" w:rsidRDefault="00EB481C">
            <w:pPr>
              <w:pStyle w:val="P68B1DB1-Normal46"/>
              <w:spacing w:after="0" w:line="240" w:lineRule="auto"/>
              <w:rPr>
                <w:rFonts w:eastAsia="Times New Roman" w:cs="Times New Roman"/>
                <w:noProof/>
              </w:rPr>
            </w:pPr>
            <w:r>
              <w:rPr>
                <w:noProof/>
              </w:rPr>
              <w:t xml:space="preserve">Tengeri védett területek </w:t>
            </w:r>
          </w:p>
        </w:tc>
      </w:tr>
      <w:tr w:rsidR="003E1D81" w14:paraId="7318357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B48014" w14:textId="77777777" w:rsidR="003E1D81" w:rsidRDefault="00EB481C">
            <w:pPr>
              <w:pStyle w:val="P68B1DB1-Normal46"/>
              <w:spacing w:after="0" w:line="240" w:lineRule="auto"/>
              <w:rPr>
                <w:rFonts w:eastAsia="Times New Roman" w:cs="Times New Roman"/>
                <w:noProof/>
              </w:rPr>
            </w:pPr>
            <w:r>
              <w:rPr>
                <w:noProof/>
              </w:rPr>
              <w:t>79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FA27E44" w14:textId="77777777" w:rsidR="003E1D81" w:rsidRDefault="00EB481C">
            <w:pPr>
              <w:pStyle w:val="P68B1DB1-Normal46"/>
              <w:spacing w:after="0" w:line="240" w:lineRule="auto"/>
              <w:rPr>
                <w:rFonts w:eastAsia="Times New Roman" w:cs="Times New Roman"/>
                <w:noProof/>
              </w:rPr>
            </w:pPr>
            <w:r>
              <w:rPr>
                <w:noProof/>
              </w:rPr>
              <w:t>C5.I3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D2F256"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2A79BFF" w14:textId="77777777" w:rsidR="003E1D81" w:rsidRDefault="00EB481C">
            <w:pPr>
              <w:pStyle w:val="P68B1DB1-Normal46"/>
              <w:spacing w:after="0" w:line="240" w:lineRule="auto"/>
              <w:rPr>
                <w:rFonts w:eastAsia="Times New Roman" w:cs="Times New Roman"/>
                <w:noProof/>
              </w:rPr>
            </w:pPr>
            <w:r>
              <w:rPr>
                <w:noProof/>
              </w:rPr>
              <w:t xml:space="preserve">Szerződések odaítélése a vízkészletek ismeretének és használatának javítását, valamint az esőzések és más meteorológiai adatok nyomon követését szolgáló eszközök végrehajtására </w:t>
            </w:r>
          </w:p>
        </w:tc>
      </w:tr>
      <w:tr w:rsidR="003E1D81" w14:paraId="34FE770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C1B47B" w14:textId="77777777" w:rsidR="003E1D81" w:rsidRDefault="00EB481C">
            <w:pPr>
              <w:pStyle w:val="P68B1DB1-Normal46"/>
              <w:spacing w:after="0" w:line="240" w:lineRule="auto"/>
              <w:rPr>
                <w:rFonts w:eastAsia="Times New Roman" w:cs="Times New Roman"/>
                <w:noProof/>
              </w:rPr>
            </w:pPr>
            <w:r>
              <w:rPr>
                <w:noProof/>
              </w:rPr>
              <w:t>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35AB65" w14:textId="77777777" w:rsidR="003E1D81" w:rsidRDefault="00EB481C">
            <w:pPr>
              <w:pStyle w:val="P68B1DB1-Normal46"/>
              <w:spacing w:after="0" w:line="240" w:lineRule="auto"/>
              <w:rPr>
                <w:rFonts w:eastAsia="Times New Roman" w:cs="Times New Roman"/>
                <w:noProof/>
              </w:rPr>
            </w:pPr>
            <w:r>
              <w:rPr>
                <w:noProof/>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FD444B"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E31BBCC" w14:textId="77777777" w:rsidR="003E1D81" w:rsidRDefault="00EB481C">
            <w:pPr>
              <w:pStyle w:val="P68B1DB1-Normal46"/>
              <w:spacing w:after="0" w:line="240" w:lineRule="auto"/>
              <w:rPr>
                <w:rFonts w:eastAsia="Times New Roman" w:cs="Times New Roman"/>
                <w:noProof/>
              </w:rPr>
            </w:pPr>
            <w:r>
              <w:rPr>
                <w:noProof/>
              </w:rPr>
              <w:t>A leromlott állapotú területek és ökoszisztémák helyreállítása leg</w:t>
            </w:r>
            <w:r>
              <w:rPr>
                <w:noProof/>
              </w:rPr>
              <w:t>alább 100 kilométer partvonalon</w:t>
            </w:r>
          </w:p>
        </w:tc>
      </w:tr>
      <w:tr w:rsidR="003E1D81" w14:paraId="7FD3F8F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C7058D" w14:textId="77777777" w:rsidR="003E1D81" w:rsidRDefault="00EB481C">
            <w:pPr>
              <w:pStyle w:val="P68B1DB1-Normal46"/>
              <w:spacing w:after="0" w:line="240" w:lineRule="auto"/>
              <w:rPr>
                <w:rFonts w:eastAsia="Times New Roman" w:cs="Times New Roman"/>
                <w:noProof/>
              </w:rPr>
            </w:pPr>
            <w:r>
              <w:rPr>
                <w:noProof/>
              </w:rPr>
              <w:t>106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82CA001" w14:textId="77777777" w:rsidR="003E1D81" w:rsidRDefault="00EB481C">
            <w:pPr>
              <w:pStyle w:val="P68B1DB1-Normal46"/>
              <w:spacing w:after="0" w:line="240" w:lineRule="auto"/>
              <w:rPr>
                <w:rFonts w:eastAsia="Times New Roman" w:cs="Times New Roman"/>
                <w:noProof/>
              </w:rPr>
            </w:pPr>
            <w:r>
              <w:rPr>
                <w:noProof/>
              </w:rPr>
              <w:t>C7.R1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3031F88"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9DD74BB" w14:textId="77777777" w:rsidR="003E1D81" w:rsidRDefault="00EB481C">
            <w:pPr>
              <w:pStyle w:val="P68B1DB1-Normal46"/>
              <w:spacing w:after="0" w:line="240" w:lineRule="auto"/>
              <w:rPr>
                <w:rFonts w:eastAsia="Times New Roman" w:cs="Times New Roman"/>
                <w:noProof/>
              </w:rPr>
            </w:pPr>
            <w:r>
              <w:rPr>
                <w:noProof/>
              </w:rPr>
              <w:t xml:space="preserve">További megújulóenergia-termelési kapacitás </w:t>
            </w:r>
          </w:p>
        </w:tc>
      </w:tr>
      <w:tr w:rsidR="003E1D81" w14:paraId="0E82517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03A73B" w14:textId="77777777" w:rsidR="003E1D81" w:rsidRDefault="00EB481C">
            <w:pPr>
              <w:pStyle w:val="P68B1DB1-Normal46"/>
              <w:spacing w:after="0" w:line="240" w:lineRule="auto"/>
              <w:rPr>
                <w:rFonts w:eastAsia="Times New Roman" w:cs="Times New Roman"/>
                <w:noProof/>
              </w:rPr>
            </w:pPr>
            <w:r>
              <w:rPr>
                <w:noProof/>
              </w:rPr>
              <w:t>107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133213A" w14:textId="77777777" w:rsidR="003E1D81" w:rsidRDefault="00EB481C">
            <w:pPr>
              <w:pStyle w:val="P68B1DB1-Normal46"/>
              <w:spacing w:after="0" w:line="240" w:lineRule="auto"/>
              <w:rPr>
                <w:rFonts w:eastAsia="Times New Roman" w:cs="Times New Roman"/>
                <w:noProof/>
              </w:rPr>
            </w:pPr>
            <w:r>
              <w:rPr>
                <w:noProof/>
              </w:rPr>
              <w:t>C7.R1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18EA104"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7C3D2FE" w14:textId="77777777" w:rsidR="003E1D81" w:rsidRDefault="00EB481C">
            <w:pPr>
              <w:pStyle w:val="P68B1DB1-Normal46"/>
              <w:spacing w:after="0" w:line="240" w:lineRule="auto"/>
              <w:rPr>
                <w:rFonts w:eastAsia="Times New Roman" w:cs="Times New Roman"/>
                <w:noProof/>
              </w:rPr>
            </w:pPr>
            <w:r>
              <w:rPr>
                <w:noProof/>
              </w:rPr>
              <w:t xml:space="preserve">A Spanyolországban telepített összesített további megújulóenergia-kapacitás </w:t>
            </w:r>
          </w:p>
        </w:tc>
      </w:tr>
      <w:tr w:rsidR="003E1D81" w14:paraId="0598AAA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E6FA" w14:textId="77777777" w:rsidR="003E1D81" w:rsidRDefault="00EB481C">
            <w:pPr>
              <w:pStyle w:val="P68B1DB1-Normal46"/>
              <w:spacing w:after="0" w:line="240" w:lineRule="auto"/>
              <w:rPr>
                <w:rFonts w:eastAsia="Times New Roman" w:cs="Times New Roman"/>
                <w:noProof/>
              </w:rPr>
            </w:pPr>
            <w:r>
              <w:rPr>
                <w:noProof/>
              </w:rPr>
              <w:t>114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AB5D200" w14:textId="77777777" w:rsidR="003E1D81" w:rsidRDefault="00EB481C">
            <w:pPr>
              <w:pStyle w:val="P68B1DB1-Normal46"/>
              <w:spacing w:after="0" w:line="240" w:lineRule="auto"/>
              <w:rPr>
                <w:rFonts w:eastAsia="Times New Roman" w:cs="Times New Roman"/>
                <w:noProof/>
              </w:rPr>
            </w:pPr>
            <w:r>
              <w:rPr>
                <w:noProof/>
              </w:rPr>
              <w:t>C7.R4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C4600ED"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49E3D0B" w14:textId="77777777" w:rsidR="003E1D81" w:rsidRDefault="00EB481C">
            <w:pPr>
              <w:pStyle w:val="P68B1DB1-Normal46"/>
              <w:spacing w:after="0" w:line="240" w:lineRule="auto"/>
              <w:rPr>
                <w:rFonts w:eastAsia="Times New Roman" w:cs="Times New Roman"/>
                <w:noProof/>
              </w:rPr>
            </w:pPr>
            <w:r>
              <w:rPr>
                <w:noProof/>
              </w:rPr>
              <w:t xml:space="preserve">A biogázra vonatkozó ütemtervben meghatározott intézkedések </w:t>
            </w:r>
            <w:r>
              <w:rPr>
                <w:noProof/>
              </w:rPr>
              <w:t>lezárása</w:t>
            </w:r>
          </w:p>
        </w:tc>
      </w:tr>
      <w:tr w:rsidR="003E1D81" w14:paraId="08B7B0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6E84F" w14:textId="77777777" w:rsidR="003E1D81" w:rsidRDefault="00EB481C">
            <w:pPr>
              <w:pStyle w:val="P68B1DB1-Normal46"/>
              <w:spacing w:after="0" w:line="240" w:lineRule="auto"/>
              <w:rPr>
                <w:rFonts w:eastAsia="Times New Roman" w:cs="Times New Roman"/>
                <w:noProof/>
              </w:rPr>
            </w:pPr>
            <w:r>
              <w:rPr>
                <w:noProof/>
              </w:rPr>
              <w:t>116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B9B0845" w14:textId="77777777" w:rsidR="003E1D81" w:rsidRDefault="00EB481C">
            <w:pPr>
              <w:pStyle w:val="P68B1DB1-Normal46"/>
              <w:spacing w:after="0" w:line="240" w:lineRule="auto"/>
              <w:rPr>
                <w:rFonts w:eastAsia="Times New Roman" w:cs="Times New Roman"/>
                <w:noProof/>
              </w:rPr>
            </w:pPr>
            <w:r>
              <w:rPr>
                <w:noProof/>
              </w:rPr>
              <w:t>C7.I1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993CA6"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2B87044" w14:textId="77777777" w:rsidR="003E1D81" w:rsidRDefault="00EB481C">
            <w:pPr>
              <w:pStyle w:val="P68B1DB1-Normal46"/>
              <w:spacing w:after="0" w:line="240" w:lineRule="auto"/>
              <w:rPr>
                <w:rFonts w:eastAsia="Times New Roman" w:cs="Times New Roman"/>
                <w:noProof/>
              </w:rPr>
            </w:pPr>
            <w:r>
              <w:rPr>
                <w:noProof/>
              </w:rPr>
              <w:t>A tengeri megújulóenergia-infrastruktúra új projektjei, technológiái vagy létesítményei</w:t>
            </w:r>
          </w:p>
        </w:tc>
      </w:tr>
      <w:tr w:rsidR="003E1D81" w14:paraId="766404C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0968DB" w14:textId="77777777" w:rsidR="003E1D81" w:rsidRDefault="00EB481C">
            <w:pPr>
              <w:pStyle w:val="P68B1DB1-Normal46"/>
              <w:spacing w:after="0" w:line="240" w:lineRule="auto"/>
              <w:rPr>
                <w:rFonts w:eastAsia="Times New Roman" w:cs="Times New Roman"/>
                <w:noProof/>
              </w:rPr>
            </w:pPr>
            <w:r>
              <w:rPr>
                <w:noProof/>
              </w:rPr>
              <w:t>118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608471E" w14:textId="77777777" w:rsidR="003E1D81" w:rsidRDefault="00EB481C">
            <w:pPr>
              <w:pStyle w:val="P68B1DB1-Normal46"/>
              <w:spacing w:after="0" w:line="240" w:lineRule="auto"/>
              <w:rPr>
                <w:rFonts w:eastAsia="Times New Roman" w:cs="Times New Roman"/>
                <w:noProof/>
              </w:rPr>
            </w:pPr>
            <w:r>
              <w:rPr>
                <w:noProof/>
              </w:rPr>
              <w:t>C7.I2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69D0E29"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2350093" w14:textId="77777777" w:rsidR="003E1D81" w:rsidRDefault="00EB481C">
            <w:pPr>
              <w:pStyle w:val="P68B1DB1-Normal46"/>
              <w:spacing w:after="0" w:line="240" w:lineRule="auto"/>
              <w:rPr>
                <w:rFonts w:eastAsia="Times New Roman" w:cs="Times New Roman"/>
                <w:noProof/>
              </w:rPr>
            </w:pPr>
            <w:r>
              <w:rPr>
                <w:noProof/>
              </w:rPr>
              <w:t xml:space="preserve">Tiszta energia és intelligens projektek – Szigetek Hivatala </w:t>
            </w:r>
          </w:p>
        </w:tc>
      </w:tr>
      <w:tr w:rsidR="003E1D81" w14:paraId="2CEF566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175BF7" w14:textId="77777777" w:rsidR="003E1D81" w:rsidRDefault="00EB481C">
            <w:pPr>
              <w:pStyle w:val="P68B1DB1-Normal46"/>
              <w:spacing w:after="0" w:line="240" w:lineRule="auto"/>
              <w:rPr>
                <w:rFonts w:eastAsia="Times New Roman" w:cs="Times New Roman"/>
                <w:noProof/>
              </w:rPr>
            </w:pPr>
            <w:r>
              <w:rPr>
                <w:noProof/>
              </w:rPr>
              <w:t>123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9301CAC" w14:textId="77777777" w:rsidR="003E1D81" w:rsidRDefault="00EB481C">
            <w:pPr>
              <w:pStyle w:val="P68B1DB1-Normal46"/>
              <w:spacing w:after="0" w:line="240" w:lineRule="auto"/>
              <w:rPr>
                <w:rFonts w:eastAsia="Times New Roman" w:cs="Times New Roman"/>
                <w:noProof/>
              </w:rPr>
            </w:pPr>
            <w:r>
              <w:rPr>
                <w:noProof/>
              </w:rPr>
              <w:t>C8.R3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5C8DBC2"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5A38342" w14:textId="77777777" w:rsidR="003E1D81" w:rsidRDefault="00EB481C">
            <w:pPr>
              <w:pStyle w:val="P68B1DB1-Normal46"/>
              <w:spacing w:after="0" w:line="240" w:lineRule="auto"/>
              <w:rPr>
                <w:rFonts w:eastAsia="Times New Roman" w:cs="Times New Roman"/>
                <w:noProof/>
              </w:rPr>
            </w:pPr>
            <w:r>
              <w:rPr>
                <w:noProof/>
              </w:rPr>
              <w:t>A rugalmasság és a keresletoldali válasz integrálását célzó</w:t>
            </w:r>
            <w:r>
              <w:rPr>
                <w:noProof/>
              </w:rPr>
              <w:t xml:space="preserve"> szabályozási intézkedések hatálybalépése.</w:t>
            </w:r>
          </w:p>
        </w:tc>
      </w:tr>
      <w:tr w:rsidR="003E1D81" w14:paraId="3D35474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204E1" w14:textId="77777777" w:rsidR="003E1D81" w:rsidRDefault="00EB481C">
            <w:pPr>
              <w:pStyle w:val="P68B1DB1-Normal46"/>
              <w:spacing w:after="0" w:line="240" w:lineRule="auto"/>
              <w:rPr>
                <w:rFonts w:eastAsia="Times New Roman" w:cs="Times New Roman"/>
                <w:noProof/>
              </w:rPr>
            </w:pPr>
            <w:r>
              <w:rPr>
                <w:noProof/>
              </w:rPr>
              <w:t>125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81221AD" w14:textId="77777777" w:rsidR="003E1D81" w:rsidRDefault="00EB481C">
            <w:pPr>
              <w:pStyle w:val="P68B1DB1-Normal46"/>
              <w:spacing w:after="0" w:line="240" w:lineRule="auto"/>
              <w:rPr>
                <w:rFonts w:eastAsia="Times New Roman" w:cs="Times New Roman"/>
                <w:noProof/>
              </w:rPr>
            </w:pPr>
            <w:r>
              <w:rPr>
                <w:noProof/>
              </w:rPr>
              <w:t>C8.I1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AA2C017"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0B00ED1" w14:textId="77777777" w:rsidR="003E1D81" w:rsidRDefault="00EB481C">
            <w:pPr>
              <w:pStyle w:val="P68B1DB1-Normal46"/>
              <w:spacing w:after="0" w:line="240" w:lineRule="auto"/>
              <w:rPr>
                <w:rFonts w:eastAsia="Times New Roman" w:cs="Times New Roman"/>
                <w:noProof/>
              </w:rPr>
            </w:pPr>
            <w:r>
              <w:rPr>
                <w:noProof/>
              </w:rPr>
              <w:t>Odaítélt innovatív tárolási projektek</w:t>
            </w:r>
          </w:p>
        </w:tc>
      </w:tr>
      <w:tr w:rsidR="003E1D81" w14:paraId="08C2DE5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D844E" w14:textId="77777777" w:rsidR="003E1D81" w:rsidRDefault="00EB481C">
            <w:pPr>
              <w:pStyle w:val="P68B1DB1-Normal46"/>
              <w:spacing w:after="0" w:line="240" w:lineRule="auto"/>
              <w:rPr>
                <w:rFonts w:eastAsia="Times New Roman" w:cs="Times New Roman"/>
                <w:noProof/>
              </w:rPr>
            </w:pPr>
            <w:r>
              <w:rPr>
                <w:noProof/>
              </w:rPr>
              <w:t>127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BC97FAC" w14:textId="77777777" w:rsidR="003E1D81" w:rsidRDefault="00EB481C">
            <w:pPr>
              <w:pStyle w:val="P68B1DB1-Normal46"/>
              <w:spacing w:after="0" w:line="240" w:lineRule="auto"/>
              <w:rPr>
                <w:rFonts w:eastAsia="Times New Roman" w:cs="Times New Roman"/>
                <w:noProof/>
              </w:rPr>
            </w:pPr>
            <w:r>
              <w:rPr>
                <w:noProof/>
              </w:rPr>
              <w:t>C8.I2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C33D36E"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431D2B" w14:textId="77777777" w:rsidR="003E1D81" w:rsidRDefault="00EB481C">
            <w:pPr>
              <w:pStyle w:val="P68B1DB1-Normal46"/>
              <w:spacing w:after="0" w:line="240" w:lineRule="auto"/>
              <w:rPr>
                <w:rFonts w:eastAsia="Times New Roman" w:cs="Times New Roman"/>
                <w:noProof/>
              </w:rPr>
            </w:pPr>
            <w:r>
              <w:rPr>
                <w:noProof/>
              </w:rPr>
              <w:t>Innovatív digitalizációs projektek a villamosenergia-elosztás terén</w:t>
            </w:r>
          </w:p>
        </w:tc>
      </w:tr>
      <w:tr w:rsidR="003E1D81" w14:paraId="4750A54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D8F38B" w14:textId="77777777" w:rsidR="003E1D81" w:rsidRDefault="00EB481C">
            <w:pPr>
              <w:pStyle w:val="P68B1DB1-Normal46"/>
              <w:spacing w:after="0" w:line="240" w:lineRule="auto"/>
              <w:rPr>
                <w:rFonts w:eastAsia="Times New Roman" w:cs="Times New Roman"/>
                <w:noProof/>
              </w:rPr>
            </w:pPr>
            <w:r>
              <w:rPr>
                <w:noProof/>
              </w:rPr>
              <w:t>128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C03F4F6" w14:textId="77777777" w:rsidR="003E1D81" w:rsidRDefault="00EB481C">
            <w:pPr>
              <w:pStyle w:val="P68B1DB1-Normal46"/>
              <w:spacing w:after="0" w:line="240" w:lineRule="auto"/>
              <w:rPr>
                <w:rFonts w:eastAsia="Times New Roman" w:cs="Times New Roman"/>
                <w:noProof/>
              </w:rPr>
            </w:pPr>
            <w:r>
              <w:rPr>
                <w:noProof/>
              </w:rPr>
              <w:t>C8.I3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ED9568F"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2DA99F1" w14:textId="77777777" w:rsidR="003E1D81" w:rsidRDefault="00EB481C">
            <w:pPr>
              <w:pStyle w:val="P68B1DB1-Normal46"/>
              <w:spacing w:after="0" w:line="240" w:lineRule="auto"/>
              <w:rPr>
                <w:rFonts w:eastAsia="Times New Roman" w:cs="Times New Roman"/>
                <w:noProof/>
              </w:rPr>
            </w:pPr>
            <w:r>
              <w:rPr>
                <w:noProof/>
              </w:rPr>
              <w:t xml:space="preserve">Az energetikai átállás új üzleti modelljeinek előmozdítására </w:t>
            </w:r>
            <w:r>
              <w:rPr>
                <w:noProof/>
              </w:rPr>
              <w:t>irányuló projektek</w:t>
            </w:r>
          </w:p>
        </w:tc>
      </w:tr>
      <w:tr w:rsidR="003E1D81" w14:paraId="21CBD92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E0FF23" w14:textId="77777777" w:rsidR="003E1D81" w:rsidRDefault="00EB481C">
            <w:pPr>
              <w:pStyle w:val="P68B1DB1-Normal46"/>
              <w:spacing w:after="0" w:line="240" w:lineRule="auto"/>
              <w:rPr>
                <w:rFonts w:eastAsia="Times New Roman" w:cs="Times New Roman"/>
                <w:noProof/>
              </w:rPr>
            </w:pPr>
            <w:r>
              <w:rPr>
                <w:noProof/>
              </w:rPr>
              <w:t>132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1A8CEF7" w14:textId="77777777" w:rsidR="003E1D81" w:rsidRDefault="00EB481C">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41886EA"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FC86C9" w14:textId="77777777" w:rsidR="003E1D81" w:rsidRDefault="00EB481C">
            <w:pPr>
              <w:pStyle w:val="P68B1DB1-Normal46"/>
              <w:spacing w:after="0" w:line="240" w:lineRule="auto"/>
              <w:rPr>
                <w:rFonts w:eastAsia="Times New Roman" w:cs="Times New Roman"/>
                <w:noProof/>
              </w:rPr>
            </w:pPr>
            <w:r>
              <w:rPr>
                <w:noProof/>
              </w:rPr>
              <w:t xml:space="preserve">Technológiai fejlesztések a megújuló hidrogén értékláncában </w:t>
            </w:r>
          </w:p>
        </w:tc>
      </w:tr>
      <w:tr w:rsidR="003E1D81" w14:paraId="4C420BA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55E0F8" w14:textId="77777777" w:rsidR="003E1D81" w:rsidRDefault="00EB481C">
            <w:pPr>
              <w:pStyle w:val="P68B1DB1-Normal46"/>
              <w:spacing w:after="0" w:line="240" w:lineRule="auto"/>
              <w:rPr>
                <w:rFonts w:eastAsia="Times New Roman" w:cs="Times New Roman"/>
                <w:noProof/>
              </w:rPr>
            </w:pPr>
            <w:r>
              <w:rPr>
                <w:noProof/>
              </w:rPr>
              <w:t>133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DA447FD" w14:textId="77777777" w:rsidR="003E1D81" w:rsidRDefault="00EB481C">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26A69BB"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7672D4E" w14:textId="77777777" w:rsidR="003E1D81" w:rsidRDefault="00EB481C">
            <w:pPr>
              <w:pStyle w:val="P68B1DB1-Normal46"/>
              <w:spacing w:after="0" w:line="240" w:lineRule="auto"/>
              <w:rPr>
                <w:rFonts w:eastAsia="Times New Roman" w:cs="Times New Roman"/>
                <w:noProof/>
              </w:rPr>
            </w:pPr>
            <w:r>
              <w:rPr>
                <w:noProof/>
              </w:rPr>
              <w:t xml:space="preserve">Megújuló hidrogén klaszterek (vagy völgyek)  </w:t>
            </w:r>
          </w:p>
        </w:tc>
      </w:tr>
      <w:tr w:rsidR="003E1D81" w14:paraId="6D1C4A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C54143" w14:textId="77777777" w:rsidR="003E1D81" w:rsidRDefault="00EB481C">
            <w:pPr>
              <w:pStyle w:val="P68B1DB1-Normal46"/>
              <w:spacing w:after="0" w:line="240" w:lineRule="auto"/>
              <w:rPr>
                <w:rFonts w:eastAsia="Times New Roman" w:cs="Times New Roman"/>
                <w:noProof/>
              </w:rPr>
            </w:pPr>
            <w:r>
              <w:rPr>
                <w:noProof/>
              </w:rPr>
              <w:t>134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6656109" w14:textId="77777777" w:rsidR="003E1D81" w:rsidRDefault="00EB481C">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A486ADE"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7387CE6" w14:textId="77777777" w:rsidR="003E1D81" w:rsidRDefault="00EB481C">
            <w:pPr>
              <w:pStyle w:val="P68B1DB1-Normal46"/>
              <w:spacing w:after="0" w:line="240" w:lineRule="auto"/>
              <w:rPr>
                <w:rFonts w:eastAsia="Times New Roman" w:cs="Times New Roman"/>
                <w:noProof/>
              </w:rPr>
            </w:pPr>
            <w:r>
              <w:rPr>
                <w:noProof/>
              </w:rPr>
              <w:t xml:space="preserve">Úttörő hidrogénprojektek  </w:t>
            </w:r>
          </w:p>
        </w:tc>
      </w:tr>
      <w:tr w:rsidR="003E1D81" w14:paraId="050FC5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635DF3" w14:textId="77777777" w:rsidR="003E1D81" w:rsidRDefault="00EB481C">
            <w:pPr>
              <w:pStyle w:val="P68B1DB1-Normal46"/>
              <w:spacing w:after="0" w:line="240" w:lineRule="auto"/>
              <w:rPr>
                <w:rFonts w:eastAsia="Times New Roman" w:cs="Times New Roman"/>
                <w:noProof/>
              </w:rPr>
            </w:pPr>
            <w:r>
              <w:rPr>
                <w:noProof/>
              </w:rPr>
              <w:t>135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C1835E1" w14:textId="77777777" w:rsidR="003E1D81" w:rsidRDefault="00EB481C">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7D7C34B"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B6BE3D2" w14:textId="77777777" w:rsidR="003E1D81" w:rsidRDefault="00EB481C">
            <w:pPr>
              <w:pStyle w:val="P68B1DB1-Normal46"/>
              <w:spacing w:after="0" w:line="240" w:lineRule="auto"/>
              <w:rPr>
                <w:rFonts w:eastAsia="Times New Roman" w:cs="Times New Roman"/>
                <w:noProof/>
              </w:rPr>
            </w:pPr>
            <w:r>
              <w:rPr>
                <w:noProof/>
              </w:rPr>
              <w:t>Vizsgálati létesítmények vagy új gyártósorok.</w:t>
            </w:r>
          </w:p>
        </w:tc>
      </w:tr>
      <w:tr w:rsidR="003E1D81" w14:paraId="162253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140F20" w14:textId="77777777" w:rsidR="003E1D81" w:rsidRDefault="00EB481C">
            <w:pPr>
              <w:pStyle w:val="P68B1DB1-Normal46"/>
              <w:spacing w:after="0" w:line="240" w:lineRule="auto"/>
              <w:rPr>
                <w:rFonts w:eastAsia="Times New Roman" w:cs="Times New Roman"/>
                <w:noProof/>
              </w:rPr>
            </w:pPr>
            <w:r>
              <w:rPr>
                <w:noProof/>
              </w:rPr>
              <w:t>149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1952641" w14:textId="77777777" w:rsidR="003E1D81" w:rsidRDefault="00EB481C">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1E9471B"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D59B931" w14:textId="77777777" w:rsidR="003E1D81" w:rsidRDefault="00EB481C">
            <w:pPr>
              <w:pStyle w:val="P68B1DB1-Normal46"/>
              <w:spacing w:after="0" w:line="240" w:lineRule="auto"/>
              <w:rPr>
                <w:rFonts w:eastAsia="Times New Roman" w:cs="Times New Roman"/>
                <w:noProof/>
              </w:rPr>
            </w:pPr>
            <w:r>
              <w:rPr>
                <w:noProof/>
              </w:rPr>
              <w:t>Az értékelést végző új közintézmény alapszabálya</w:t>
            </w:r>
          </w:p>
        </w:tc>
      </w:tr>
      <w:tr w:rsidR="003E1D81" w14:paraId="0EFDFC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E2D49E" w14:textId="77777777" w:rsidR="003E1D81" w:rsidRDefault="00EB481C">
            <w:pPr>
              <w:pStyle w:val="P68B1DB1-Normal46"/>
              <w:spacing w:after="0" w:line="240" w:lineRule="auto"/>
              <w:rPr>
                <w:rFonts w:eastAsia="Times New Roman" w:cs="Times New Roman"/>
                <w:noProof/>
              </w:rPr>
            </w:pPr>
            <w:r>
              <w:rPr>
                <w:noProof/>
              </w:rPr>
              <w:t>437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2037FD9" w14:textId="77777777" w:rsidR="003E1D81" w:rsidRDefault="00EB481C">
            <w:pPr>
              <w:pStyle w:val="P68B1DB1-Normal46"/>
              <w:spacing w:after="0" w:line="240" w:lineRule="auto"/>
              <w:rPr>
                <w:rFonts w:eastAsia="Times New Roman" w:cs="Times New Roman"/>
                <w:noProof/>
              </w:rPr>
            </w:pPr>
            <w:r>
              <w:rPr>
                <w:noProof/>
              </w:rPr>
              <w:t>C11.R3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B4C887E"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21D0963" w14:textId="77777777" w:rsidR="003E1D81" w:rsidRDefault="00EB481C">
            <w:pPr>
              <w:pStyle w:val="P68B1DB1-Normal46"/>
              <w:spacing w:after="0" w:line="240" w:lineRule="auto"/>
              <w:rPr>
                <w:rFonts w:eastAsia="Times New Roman" w:cs="Times New Roman"/>
                <w:noProof/>
              </w:rPr>
            </w:pPr>
            <w:r>
              <w:rPr>
                <w:noProof/>
              </w:rPr>
              <w:t>A pénzügyi rendszerre vonatkozó, az éghajlatváltozással kapcsolatos kockázatokról szóló kétéves jelentés közzététele és a Fenntartható Pénzügyi Tanács létrehozása</w:t>
            </w:r>
          </w:p>
        </w:tc>
      </w:tr>
      <w:tr w:rsidR="003E1D81" w14:paraId="43CD5C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DEA669" w14:textId="77777777" w:rsidR="003E1D81" w:rsidRDefault="00EB481C">
            <w:pPr>
              <w:pStyle w:val="P68B1DB1-Normal46"/>
              <w:spacing w:after="0" w:line="240" w:lineRule="auto"/>
              <w:rPr>
                <w:rFonts w:eastAsia="Times New Roman" w:cs="Times New Roman"/>
                <w:noProof/>
              </w:rPr>
            </w:pPr>
            <w:r>
              <w:rPr>
                <w:noProof/>
              </w:rPr>
              <w:t>160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8A2EEB3" w14:textId="77777777" w:rsidR="003E1D81" w:rsidRDefault="00EB481C">
            <w:pPr>
              <w:pStyle w:val="P68B1DB1-Normal46"/>
              <w:spacing w:after="0" w:line="240" w:lineRule="auto"/>
              <w:rPr>
                <w:rFonts w:eastAsia="Times New Roman" w:cs="Times New Roman"/>
                <w:noProof/>
              </w:rPr>
            </w:pPr>
            <w:r>
              <w:rPr>
                <w:noProof/>
              </w:rPr>
              <w:t>C11.I1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DAC19B9"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E63C019" w14:textId="77777777" w:rsidR="003E1D81" w:rsidRDefault="00EB481C">
            <w:pPr>
              <w:pStyle w:val="P68B1DB1-Normal46"/>
              <w:spacing w:after="0" w:line="240" w:lineRule="auto"/>
              <w:rPr>
                <w:rFonts w:eastAsia="Times New Roman" w:cs="Times New Roman"/>
                <w:noProof/>
              </w:rPr>
            </w:pPr>
            <w:r>
              <w:rPr>
                <w:noProof/>
              </w:rPr>
              <w:t>A nemze</w:t>
            </w:r>
            <w:r>
              <w:rPr>
                <w:noProof/>
              </w:rPr>
              <w:t>ti közbeszerzési platformok összekapcsolása</w:t>
            </w:r>
          </w:p>
        </w:tc>
      </w:tr>
      <w:tr w:rsidR="003E1D81" w14:paraId="5F5922F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632133" w14:textId="77777777" w:rsidR="003E1D81" w:rsidRDefault="00EB481C">
            <w:pPr>
              <w:pStyle w:val="P68B1DB1-Normal46"/>
              <w:spacing w:after="0" w:line="240" w:lineRule="auto"/>
              <w:rPr>
                <w:rFonts w:eastAsia="Times New Roman" w:cs="Times New Roman"/>
                <w:noProof/>
              </w:rPr>
            </w:pPr>
            <w:r>
              <w:rPr>
                <w:noProof/>
              </w:rPr>
              <w:t>161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DFD74EC" w14:textId="77777777" w:rsidR="003E1D81" w:rsidRDefault="00EB481C">
            <w:pPr>
              <w:pStyle w:val="P68B1DB1-Normal46"/>
              <w:spacing w:after="0" w:line="240" w:lineRule="auto"/>
              <w:rPr>
                <w:rFonts w:eastAsia="Times New Roman" w:cs="Times New Roman"/>
                <w:noProof/>
              </w:rPr>
            </w:pPr>
            <w:r>
              <w:rPr>
                <w:noProof/>
              </w:rPr>
              <w:t>C11.I1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F7B61F2"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B693D16" w14:textId="77777777" w:rsidR="003E1D81" w:rsidRDefault="00EB481C">
            <w:pPr>
              <w:pStyle w:val="P68B1DB1-Normal46"/>
              <w:spacing w:after="0" w:line="240" w:lineRule="auto"/>
              <w:rPr>
                <w:rFonts w:eastAsia="Times New Roman" w:cs="Times New Roman"/>
                <w:noProof/>
              </w:rPr>
            </w:pPr>
            <w:r>
              <w:rPr>
                <w:noProof/>
              </w:rPr>
              <w:t>A központi közigazgatás digitális átalakítását támogató projektek odaítélése</w:t>
            </w:r>
          </w:p>
        </w:tc>
      </w:tr>
      <w:tr w:rsidR="003E1D81" w14:paraId="710577E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A07EB4" w14:textId="77777777" w:rsidR="003E1D81" w:rsidRDefault="00EB481C">
            <w:pPr>
              <w:pStyle w:val="P68B1DB1-Normal46"/>
              <w:spacing w:after="0" w:line="240" w:lineRule="auto"/>
              <w:rPr>
                <w:rFonts w:eastAsia="Times New Roman" w:cs="Times New Roman"/>
                <w:noProof/>
              </w:rPr>
            </w:pPr>
            <w:r>
              <w:rPr>
                <w:noProof/>
              </w:rPr>
              <w:t>163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D29B914" w14:textId="77777777" w:rsidR="003E1D81" w:rsidRDefault="00EB481C">
            <w:pPr>
              <w:pStyle w:val="P68B1DB1-Normal46"/>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4ADE724"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E8936BA" w14:textId="77777777" w:rsidR="003E1D81" w:rsidRDefault="00EB481C">
            <w:pPr>
              <w:pStyle w:val="P68B1DB1-Normal46"/>
              <w:spacing w:after="0" w:line="240" w:lineRule="auto"/>
              <w:rPr>
                <w:rFonts w:eastAsia="Times New Roman" w:cs="Times New Roman"/>
                <w:noProof/>
              </w:rPr>
            </w:pPr>
            <w:r>
              <w:rPr>
                <w:noProof/>
              </w:rPr>
              <w:t>Interoperábilis platformok a társadalombiztosítási és egészségügyi adatok cseréjére</w:t>
            </w:r>
          </w:p>
        </w:tc>
      </w:tr>
      <w:tr w:rsidR="003E1D81" w14:paraId="336DFC1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6B0C3" w14:textId="77777777" w:rsidR="003E1D81" w:rsidRDefault="00EB481C">
            <w:pPr>
              <w:pStyle w:val="P68B1DB1-Normal46"/>
              <w:spacing w:after="0" w:line="240" w:lineRule="auto"/>
              <w:rPr>
                <w:rFonts w:eastAsia="Times New Roman" w:cs="Times New Roman"/>
                <w:noProof/>
              </w:rPr>
            </w:pPr>
            <w:r>
              <w:rPr>
                <w:noProof/>
              </w:rPr>
              <w:t>165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C4817CF" w14:textId="77777777" w:rsidR="003E1D81" w:rsidRDefault="00EB481C">
            <w:pPr>
              <w:pStyle w:val="P68B1DB1-Normal46"/>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4C63A7D"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3BEA288" w14:textId="77777777" w:rsidR="003E1D81" w:rsidRDefault="00EB481C">
            <w:pPr>
              <w:pStyle w:val="P68B1DB1-Normal46"/>
              <w:spacing w:after="0" w:line="240" w:lineRule="auto"/>
              <w:rPr>
                <w:rFonts w:eastAsia="Times New Roman" w:cs="Times New Roman"/>
                <w:noProof/>
              </w:rPr>
            </w:pPr>
            <w:r>
              <w:rPr>
                <w:noProof/>
              </w:rPr>
              <w:t xml:space="preserve">A </w:t>
            </w:r>
            <w:r>
              <w:rPr>
                <w:noProof/>
              </w:rPr>
              <w:t>központi közigazgatás digitalizációt ösztönző projektjeit támogató projektek odaítélése</w:t>
            </w:r>
          </w:p>
        </w:tc>
      </w:tr>
      <w:tr w:rsidR="003E1D81" w14:paraId="3B7A13D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6C0F04" w14:textId="77777777" w:rsidR="003E1D81" w:rsidRDefault="00EB481C">
            <w:pPr>
              <w:pStyle w:val="P68B1DB1-Normal46"/>
              <w:spacing w:after="0" w:line="240" w:lineRule="auto"/>
              <w:rPr>
                <w:rFonts w:eastAsia="Times New Roman" w:cs="Times New Roman"/>
                <w:noProof/>
              </w:rPr>
            </w:pPr>
            <w:r>
              <w:rPr>
                <w:noProof/>
              </w:rPr>
              <w:t>167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588C313" w14:textId="77777777" w:rsidR="003E1D81" w:rsidRDefault="00EB481C">
            <w:pPr>
              <w:pStyle w:val="P68B1DB1-Normal46"/>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B099B3"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4055426" w14:textId="77777777" w:rsidR="003E1D81" w:rsidRDefault="00EB481C">
            <w:pPr>
              <w:pStyle w:val="P68B1DB1-Normal46"/>
              <w:spacing w:after="0" w:line="240" w:lineRule="auto"/>
              <w:rPr>
                <w:rFonts w:eastAsia="Times New Roman" w:cs="Times New Roman"/>
                <w:noProof/>
              </w:rPr>
            </w:pPr>
            <w:r>
              <w:rPr>
                <w:noProof/>
              </w:rPr>
              <w:t>A regionális és helyi szervezetek digitalizációja</w:t>
            </w:r>
          </w:p>
        </w:tc>
      </w:tr>
      <w:tr w:rsidR="003E1D81" w14:paraId="6E5E3F8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7F75F" w14:textId="77777777" w:rsidR="003E1D81" w:rsidRDefault="00EB481C">
            <w:pPr>
              <w:pStyle w:val="P68B1DB1-Normal46"/>
              <w:spacing w:after="0" w:line="240" w:lineRule="auto"/>
              <w:rPr>
                <w:rFonts w:eastAsia="Times New Roman" w:cs="Times New Roman"/>
                <w:noProof/>
              </w:rPr>
            </w:pPr>
            <w:r>
              <w:rPr>
                <w:noProof/>
              </w:rPr>
              <w:t>176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AB9D04E" w14:textId="77777777" w:rsidR="003E1D81" w:rsidRDefault="00EB481C">
            <w:pPr>
              <w:pStyle w:val="P68B1DB1-Normal46"/>
              <w:spacing w:after="0" w:line="240" w:lineRule="auto"/>
              <w:rPr>
                <w:rFonts w:eastAsia="Times New Roman" w:cs="Times New Roman"/>
                <w:noProof/>
              </w:rPr>
            </w:pPr>
            <w:r>
              <w:rPr>
                <w:noProof/>
              </w:rPr>
              <w:t>C12.R1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78FD2E"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959411" w14:textId="77777777" w:rsidR="003E1D81" w:rsidRDefault="00EB481C">
            <w:pPr>
              <w:pStyle w:val="P68B1DB1-Normal46"/>
              <w:spacing w:after="0" w:line="240" w:lineRule="auto"/>
              <w:rPr>
                <w:rFonts w:eastAsia="Times New Roman" w:cs="Times New Roman"/>
                <w:noProof/>
              </w:rPr>
            </w:pPr>
            <w:r>
              <w:rPr>
                <w:noProof/>
              </w:rPr>
              <w:t>Az ipari törvény hatálybalépése</w:t>
            </w:r>
          </w:p>
        </w:tc>
      </w:tr>
      <w:tr w:rsidR="003E1D81" w14:paraId="7F4ECB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B7A829" w14:textId="77777777" w:rsidR="003E1D81" w:rsidRDefault="00EB481C">
            <w:pPr>
              <w:pStyle w:val="P68B1DB1-Normal46"/>
              <w:spacing w:after="0" w:line="240" w:lineRule="auto"/>
              <w:rPr>
                <w:rFonts w:eastAsia="Times New Roman" w:cs="Times New Roman"/>
                <w:noProof/>
              </w:rPr>
            </w:pPr>
            <w:r>
              <w:rPr>
                <w:noProof/>
              </w:rPr>
              <w:t>187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0BAF474" w14:textId="77777777" w:rsidR="003E1D81" w:rsidRDefault="00EB481C">
            <w:pPr>
              <w:pStyle w:val="P68B1DB1-Normal46"/>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F40CB86"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3CCB52A" w14:textId="77777777" w:rsidR="003E1D81" w:rsidRDefault="00EB481C">
            <w:pPr>
              <w:pStyle w:val="P68B1DB1-Normal46"/>
              <w:spacing w:after="0" w:line="240" w:lineRule="auto"/>
              <w:rPr>
                <w:rFonts w:eastAsia="Times New Roman" w:cs="Times New Roman"/>
                <w:noProof/>
              </w:rPr>
            </w:pPr>
            <w:r>
              <w:rPr>
                <w:noProof/>
              </w:rPr>
              <w:t xml:space="preserve">A hulladékokkal kapcsolatos jogszabályok </w:t>
            </w:r>
            <w:r>
              <w:rPr>
                <w:noProof/>
              </w:rPr>
              <w:t>végrehajtását támogató és a körforgásos gazdaság vállalkozáson belüli előmozdítását célzó projektek lezárása</w:t>
            </w:r>
          </w:p>
        </w:tc>
      </w:tr>
      <w:tr w:rsidR="003E1D81" w14:paraId="6C959C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F00C05" w14:textId="77777777" w:rsidR="003E1D81" w:rsidRDefault="00EB481C">
            <w:pPr>
              <w:pStyle w:val="P68B1DB1-Normal46"/>
              <w:spacing w:after="0" w:line="240" w:lineRule="auto"/>
              <w:rPr>
                <w:rFonts w:eastAsia="Times New Roman" w:cs="Times New Roman"/>
                <w:noProof/>
              </w:rPr>
            </w:pPr>
            <w:r>
              <w:rPr>
                <w:noProof/>
              </w:rPr>
              <w:t>451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009E5C5" w14:textId="77777777" w:rsidR="003E1D81" w:rsidRDefault="00EB481C">
            <w:pPr>
              <w:pStyle w:val="P68B1DB1-Normal46"/>
              <w:spacing w:after="0" w:line="240" w:lineRule="auto"/>
              <w:rPr>
                <w:rFonts w:eastAsia="Times New Roman" w:cs="Times New Roman"/>
                <w:noProof/>
              </w:rPr>
            </w:pPr>
            <w:r>
              <w:rPr>
                <w:noProof/>
              </w:rPr>
              <w:t>C13.R2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6C09B1F"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60BC51B" w14:textId="77777777" w:rsidR="003E1D81" w:rsidRDefault="00EB481C">
            <w:pPr>
              <w:pStyle w:val="P68B1DB1-Normal46"/>
              <w:spacing w:after="0" w:line="240" w:lineRule="auto"/>
              <w:rPr>
                <w:rFonts w:eastAsia="Times New Roman" w:cs="Times New Roman"/>
                <w:noProof/>
              </w:rPr>
            </w:pPr>
            <w:r>
              <w:rPr>
                <w:noProof/>
              </w:rPr>
              <w:t>A vállalkozók támogatásáról és nemzetközivé válásáról szóló, szeptember 27-i 14/2013. sz. törvény módosításának hatálybalépése</w:t>
            </w:r>
          </w:p>
        </w:tc>
      </w:tr>
      <w:tr w:rsidR="003E1D81" w14:paraId="578386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A6EE69" w14:textId="77777777" w:rsidR="003E1D81" w:rsidRDefault="00EB481C">
            <w:pPr>
              <w:pStyle w:val="P68B1DB1-Normal46"/>
              <w:spacing w:after="0" w:line="240" w:lineRule="auto"/>
              <w:rPr>
                <w:rFonts w:eastAsia="Times New Roman" w:cs="Times New Roman"/>
                <w:noProof/>
              </w:rPr>
            </w:pPr>
            <w:r>
              <w:rPr>
                <w:noProof/>
              </w:rPr>
              <w:t>194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914F9DB" w14:textId="77777777" w:rsidR="003E1D81" w:rsidRDefault="00EB481C">
            <w:pPr>
              <w:pStyle w:val="P68B1DB1-Normal46"/>
              <w:spacing w:after="0" w:line="240" w:lineRule="auto"/>
              <w:rPr>
                <w:rFonts w:eastAsia="Times New Roman" w:cs="Times New Roman"/>
                <w:noProof/>
              </w:rPr>
            </w:pPr>
            <w:r>
              <w:rPr>
                <w:noProof/>
              </w:rPr>
              <w:t>C13.I1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4C1F384"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FA7E832" w14:textId="77777777" w:rsidR="003E1D81" w:rsidRDefault="00EB481C">
            <w:pPr>
              <w:pStyle w:val="P68B1DB1-Normal46"/>
              <w:spacing w:after="0" w:line="240" w:lineRule="auto"/>
              <w:rPr>
                <w:rFonts w:eastAsia="Times New Roman" w:cs="Times New Roman"/>
                <w:noProof/>
              </w:rPr>
            </w:pPr>
            <w:r>
              <w:rPr>
                <w:noProof/>
              </w:rPr>
              <w:t>A vállalkozói ökoszisztéma fellendítését célzó intézkedések előnyeit élvező felhasználók</w:t>
            </w:r>
          </w:p>
        </w:tc>
      </w:tr>
      <w:tr w:rsidR="003E1D81" w14:paraId="1D2EB2D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9E422" w14:textId="77777777" w:rsidR="003E1D81" w:rsidRDefault="00EB481C">
            <w:pPr>
              <w:pStyle w:val="P68B1DB1-Normal46"/>
              <w:spacing w:after="0" w:line="240" w:lineRule="auto"/>
              <w:rPr>
                <w:rFonts w:eastAsia="Times New Roman" w:cs="Times New Roman"/>
                <w:noProof/>
              </w:rPr>
            </w:pPr>
            <w:r>
              <w:rPr>
                <w:noProof/>
              </w:rPr>
              <w:t>196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B41DDF2" w14:textId="77777777" w:rsidR="003E1D81" w:rsidRDefault="00EB481C">
            <w:pPr>
              <w:pStyle w:val="P68B1DB1-Normal46"/>
              <w:spacing w:after="0" w:line="240" w:lineRule="auto"/>
              <w:rPr>
                <w:rFonts w:eastAsia="Times New Roman" w:cs="Times New Roman"/>
                <w:noProof/>
              </w:rPr>
            </w:pPr>
            <w:r>
              <w:rPr>
                <w:noProof/>
              </w:rPr>
              <w:t>C13.I2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8EC4E79"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C8B75B0" w14:textId="77777777" w:rsidR="003E1D81" w:rsidRDefault="00EB481C">
            <w:pPr>
              <w:pStyle w:val="P68B1DB1-Normal46"/>
              <w:spacing w:after="0" w:line="240" w:lineRule="auto"/>
              <w:rPr>
                <w:rFonts w:eastAsia="Times New Roman" w:cs="Times New Roman"/>
                <w:noProof/>
              </w:rPr>
            </w:pPr>
            <w:r>
              <w:rPr>
                <w:noProof/>
              </w:rPr>
              <w:t>CERSA-garancia</w:t>
            </w:r>
          </w:p>
        </w:tc>
      </w:tr>
      <w:tr w:rsidR="003E1D81" w14:paraId="32B34F2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F83AD" w14:textId="77777777" w:rsidR="003E1D81" w:rsidRDefault="00EB481C">
            <w:pPr>
              <w:pStyle w:val="P68B1DB1-Normal46"/>
              <w:spacing w:after="0" w:line="240" w:lineRule="auto"/>
              <w:rPr>
                <w:rFonts w:eastAsia="Times New Roman" w:cs="Times New Roman"/>
                <w:noProof/>
              </w:rPr>
            </w:pPr>
            <w:r>
              <w:rPr>
                <w:noProof/>
              </w:rPr>
              <w:t>198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3BB45B5" w14:textId="77777777" w:rsidR="003E1D81" w:rsidRDefault="00EB481C">
            <w:pPr>
              <w:pStyle w:val="P68B1DB1-Normal46"/>
              <w:spacing w:after="0" w:line="240" w:lineRule="auto"/>
              <w:rPr>
                <w:rFonts w:eastAsia="Times New Roman" w:cs="Times New Roman"/>
                <w:noProof/>
              </w:rPr>
            </w:pPr>
            <w:r>
              <w:rPr>
                <w:noProof/>
              </w:rPr>
              <w:t>C13.I2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26E23FE"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667AF0C" w14:textId="77777777" w:rsidR="003E1D81" w:rsidRDefault="00EB481C">
            <w:pPr>
              <w:pStyle w:val="P68B1DB1-Normal46"/>
              <w:spacing w:after="0" w:line="240" w:lineRule="auto"/>
              <w:rPr>
                <w:rFonts w:eastAsia="Times New Roman" w:cs="Times New Roman"/>
                <w:noProof/>
              </w:rPr>
            </w:pPr>
            <w:r>
              <w:rPr>
                <w:noProof/>
              </w:rPr>
              <w:t>Az ipari vállalkozástámogatási program által támogatott vállalkozók és kkv-k</w:t>
            </w:r>
          </w:p>
        </w:tc>
      </w:tr>
      <w:tr w:rsidR="003E1D81" w14:paraId="1BFDF0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0654F" w14:textId="77777777" w:rsidR="003E1D81" w:rsidRDefault="00EB481C">
            <w:pPr>
              <w:pStyle w:val="P68B1DB1-Normal46"/>
              <w:spacing w:after="0" w:line="240" w:lineRule="auto"/>
              <w:rPr>
                <w:rFonts w:eastAsia="Times New Roman" w:cs="Times New Roman"/>
                <w:noProof/>
              </w:rPr>
            </w:pPr>
            <w:r>
              <w:rPr>
                <w:noProof/>
              </w:rPr>
              <w:t>205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86B4EE1" w14:textId="77777777" w:rsidR="003E1D81" w:rsidRDefault="00EB481C">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7BDFD02"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EA00573" w14:textId="77777777" w:rsidR="003E1D81" w:rsidRDefault="00EB481C">
            <w:pPr>
              <w:pStyle w:val="P68B1DB1-Normal46"/>
              <w:spacing w:after="0" w:line="240" w:lineRule="auto"/>
              <w:rPr>
                <w:rFonts w:eastAsia="Times New Roman" w:cs="Times New Roman"/>
                <w:noProof/>
              </w:rPr>
            </w:pPr>
            <w:r>
              <w:rPr>
                <w:noProof/>
              </w:rPr>
              <w:t xml:space="preserve">A Változtatási Program </w:t>
            </w:r>
            <w:r>
              <w:rPr>
                <w:noProof/>
              </w:rPr>
              <w:t>megbízottjainak költségvetés-végrehajtása</w:t>
            </w:r>
          </w:p>
        </w:tc>
      </w:tr>
      <w:tr w:rsidR="003E1D81" w14:paraId="7EC752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BFB7B" w14:textId="77777777" w:rsidR="003E1D81" w:rsidRDefault="00EB481C">
            <w:pPr>
              <w:pStyle w:val="P68B1DB1-Normal46"/>
              <w:spacing w:after="0" w:line="240" w:lineRule="auto"/>
              <w:rPr>
                <w:rFonts w:eastAsia="Times New Roman" w:cs="Times New Roman"/>
                <w:noProof/>
              </w:rPr>
            </w:pPr>
            <w:r>
              <w:rPr>
                <w:noProof/>
              </w:rPr>
              <w:t>206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EBB860E" w14:textId="77777777" w:rsidR="003E1D81" w:rsidRDefault="00EB481C">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B12C855"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A9C71D2" w14:textId="77777777" w:rsidR="003E1D81" w:rsidRDefault="00EB481C">
            <w:pPr>
              <w:pStyle w:val="P68B1DB1-Normal46"/>
              <w:spacing w:after="0" w:line="240" w:lineRule="auto"/>
              <w:rPr>
                <w:rFonts w:eastAsia="Times New Roman" w:cs="Times New Roman"/>
                <w:noProof/>
              </w:rPr>
            </w:pPr>
            <w:r>
              <w:rPr>
                <w:noProof/>
              </w:rPr>
              <w:t xml:space="preserve">Az Innovatív Üzleti Klaszter támogatási program költségvetésének végrehajtása </w:t>
            </w:r>
          </w:p>
        </w:tc>
      </w:tr>
      <w:tr w:rsidR="003E1D81" w14:paraId="1B56943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09CA5" w14:textId="77777777" w:rsidR="003E1D81" w:rsidRDefault="00EB481C">
            <w:pPr>
              <w:pStyle w:val="P68B1DB1-Normal46"/>
              <w:spacing w:after="0" w:line="240" w:lineRule="auto"/>
              <w:rPr>
                <w:rFonts w:eastAsia="Times New Roman" w:cs="Times New Roman"/>
                <w:noProof/>
              </w:rPr>
            </w:pPr>
            <w:r>
              <w:rPr>
                <w:noProof/>
              </w:rPr>
              <w:t>207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76495E" w14:textId="77777777" w:rsidR="003E1D81" w:rsidRDefault="00EB481C">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5E99CC6"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E303B0E" w14:textId="77777777" w:rsidR="003E1D81" w:rsidRDefault="00EB481C">
            <w:pPr>
              <w:pStyle w:val="P68B1DB1-Normal46"/>
              <w:spacing w:after="0" w:line="240" w:lineRule="auto"/>
              <w:rPr>
                <w:rFonts w:eastAsia="Times New Roman" w:cs="Times New Roman"/>
                <w:noProof/>
              </w:rPr>
            </w:pPr>
            <w:r>
              <w:rPr>
                <w:noProof/>
              </w:rPr>
              <w:t>A digitális innovációs központok programjának költségvetési végrehajtása</w:t>
            </w:r>
          </w:p>
        </w:tc>
      </w:tr>
      <w:tr w:rsidR="003E1D81" w14:paraId="299FB6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805C24" w14:textId="77777777" w:rsidR="003E1D81" w:rsidRDefault="00EB481C">
            <w:pPr>
              <w:pStyle w:val="P68B1DB1-Normal46"/>
              <w:spacing w:after="0" w:line="240" w:lineRule="auto"/>
              <w:rPr>
                <w:rFonts w:eastAsia="Times New Roman" w:cs="Times New Roman"/>
                <w:noProof/>
              </w:rPr>
            </w:pPr>
            <w:r>
              <w:rPr>
                <w:noProof/>
              </w:rPr>
              <w:t>210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E5BB555" w14:textId="77777777" w:rsidR="003E1D81" w:rsidRDefault="00EB481C">
            <w:pPr>
              <w:pStyle w:val="P68B1DB1-Normal46"/>
              <w:spacing w:after="0" w:line="240" w:lineRule="auto"/>
              <w:rPr>
                <w:rFonts w:eastAsia="Times New Roman" w:cs="Times New Roman"/>
                <w:noProof/>
              </w:rPr>
            </w:pPr>
            <w:r>
              <w:rPr>
                <w:noProof/>
              </w:rPr>
              <w:t>C13.I4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F485911"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8DBD31" w14:textId="77777777" w:rsidR="003E1D81" w:rsidRDefault="00EB481C">
            <w:pPr>
              <w:pStyle w:val="P68B1DB1-Normal46"/>
              <w:spacing w:after="0" w:line="240" w:lineRule="auto"/>
              <w:rPr>
                <w:rFonts w:eastAsia="Times New Roman" w:cs="Times New Roman"/>
                <w:noProof/>
              </w:rPr>
            </w:pPr>
            <w:r>
              <w:rPr>
                <w:noProof/>
              </w:rPr>
              <w:t xml:space="preserve">A Technológiai </w:t>
            </w:r>
            <w:r>
              <w:rPr>
                <w:noProof/>
              </w:rPr>
              <w:t>Alapból támogatásban részesülő kkv-k és vállalkozói szövetségek</w:t>
            </w:r>
          </w:p>
        </w:tc>
      </w:tr>
      <w:tr w:rsidR="003E1D81" w14:paraId="1751BA0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2455D7" w14:textId="77777777" w:rsidR="003E1D81" w:rsidRDefault="00EB481C">
            <w:pPr>
              <w:pStyle w:val="P68B1DB1-Normal46"/>
              <w:spacing w:after="0" w:line="240" w:lineRule="auto"/>
              <w:rPr>
                <w:rFonts w:eastAsia="Times New Roman" w:cs="Times New Roman"/>
                <w:noProof/>
              </w:rPr>
            </w:pPr>
            <w:r>
              <w:rPr>
                <w:noProof/>
              </w:rPr>
              <w:t>219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FFE188F" w14:textId="77777777" w:rsidR="003E1D81" w:rsidRDefault="00EB481C">
            <w:pPr>
              <w:pStyle w:val="P68B1DB1-Normal46"/>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200FEBE"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397BDD" w14:textId="77777777" w:rsidR="003E1D81" w:rsidRDefault="00EB481C">
            <w:pPr>
              <w:pStyle w:val="P68B1DB1-Normal46"/>
              <w:spacing w:after="0" w:line="240" w:lineRule="auto"/>
              <w:rPr>
                <w:rFonts w:eastAsia="Times New Roman" w:cs="Times New Roman"/>
                <w:noProof/>
              </w:rPr>
            </w:pPr>
            <w:r>
              <w:rPr>
                <w:noProof/>
              </w:rPr>
              <w:t>Az idegenforgalom fenntarthatóságát a célállomásukon előmozdító tervek költségvetésének odaítélése</w:t>
            </w:r>
          </w:p>
        </w:tc>
      </w:tr>
      <w:tr w:rsidR="003E1D81" w14:paraId="6DB9E1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9A7C8" w14:textId="77777777" w:rsidR="003E1D81" w:rsidRDefault="00EB481C">
            <w:pPr>
              <w:pStyle w:val="P68B1DB1-Normal46"/>
              <w:spacing w:after="0" w:line="240" w:lineRule="auto"/>
              <w:rPr>
                <w:rFonts w:eastAsia="Times New Roman" w:cs="Times New Roman"/>
                <w:noProof/>
              </w:rPr>
            </w:pPr>
            <w:r>
              <w:rPr>
                <w:noProof/>
              </w:rPr>
              <w:t>236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B868151" w14:textId="77777777" w:rsidR="003E1D81" w:rsidRDefault="00EB481C">
            <w:pPr>
              <w:pStyle w:val="P68B1DB1-Normal46"/>
              <w:spacing w:after="0" w:line="240" w:lineRule="auto"/>
              <w:rPr>
                <w:rFonts w:eastAsia="Times New Roman" w:cs="Times New Roman"/>
                <w:noProof/>
              </w:rPr>
            </w:pPr>
            <w:r>
              <w:rPr>
                <w:noProof/>
              </w:rPr>
              <w:t>C15.I1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21BDC38"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1DBF104" w14:textId="77777777" w:rsidR="003E1D81" w:rsidRDefault="00EB481C">
            <w:pPr>
              <w:pStyle w:val="P68B1DB1-Normal46"/>
              <w:spacing w:after="0" w:line="240" w:lineRule="auto"/>
              <w:rPr>
                <w:rFonts w:eastAsia="Times New Roman" w:cs="Times New Roman"/>
                <w:noProof/>
              </w:rPr>
            </w:pPr>
            <w:r>
              <w:rPr>
                <w:noProof/>
              </w:rPr>
              <w:t>Szupergyors széles sávú hálózat kiépítése: díj</w:t>
            </w:r>
          </w:p>
        </w:tc>
      </w:tr>
      <w:tr w:rsidR="003E1D81" w14:paraId="5151DB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9DB34" w14:textId="77777777" w:rsidR="003E1D81" w:rsidRDefault="00EB481C">
            <w:pPr>
              <w:pStyle w:val="P68B1DB1-Normal46"/>
              <w:spacing w:after="0" w:line="240" w:lineRule="auto"/>
              <w:rPr>
                <w:rFonts w:eastAsia="Times New Roman" w:cs="Times New Roman"/>
                <w:noProof/>
              </w:rPr>
            </w:pPr>
            <w:r>
              <w:rPr>
                <w:noProof/>
              </w:rPr>
              <w:t>246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82B062D" w14:textId="77777777" w:rsidR="003E1D81" w:rsidRDefault="00EB481C">
            <w:pPr>
              <w:pStyle w:val="P68B1DB1-Normal46"/>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598AD3C"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3ABC2C" w14:textId="77777777" w:rsidR="003E1D81" w:rsidRDefault="00EB481C">
            <w:pPr>
              <w:pStyle w:val="P68B1DB1-Normal46"/>
              <w:spacing w:after="0" w:line="240" w:lineRule="auto"/>
              <w:rPr>
                <w:rFonts w:eastAsia="Times New Roman" w:cs="Times New Roman"/>
                <w:noProof/>
              </w:rPr>
            </w:pPr>
            <w:r>
              <w:rPr>
                <w:noProof/>
              </w:rPr>
              <w:t xml:space="preserve">A </w:t>
            </w:r>
            <w:r>
              <w:rPr>
                <w:noProof/>
              </w:rPr>
              <w:t>kiberbiztonsági kapacitások megerősítése és javítása: Erőforrások</w:t>
            </w:r>
          </w:p>
        </w:tc>
      </w:tr>
      <w:tr w:rsidR="003E1D81" w14:paraId="18446A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4D26F6" w14:textId="77777777" w:rsidR="003E1D81" w:rsidRDefault="00EB481C">
            <w:pPr>
              <w:pStyle w:val="P68B1DB1-Normal46"/>
              <w:spacing w:after="0" w:line="240" w:lineRule="auto"/>
              <w:rPr>
                <w:rFonts w:eastAsia="Times New Roman" w:cs="Times New Roman"/>
                <w:noProof/>
              </w:rPr>
            </w:pPr>
            <w:r>
              <w:rPr>
                <w:noProof/>
              </w:rPr>
              <w:t>251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6DC8FC5" w14:textId="77777777" w:rsidR="003E1D81" w:rsidRDefault="00EB481C">
            <w:pPr>
              <w:pStyle w:val="P68B1DB1-Normal46"/>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68461B2"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FA49711" w14:textId="77777777" w:rsidR="003E1D81" w:rsidRDefault="00EB481C">
            <w:pPr>
              <w:pStyle w:val="P68B1DB1-Normal46"/>
              <w:spacing w:after="0" w:line="240" w:lineRule="auto"/>
              <w:rPr>
                <w:rFonts w:eastAsia="Times New Roman" w:cs="Times New Roman"/>
                <w:noProof/>
              </w:rPr>
            </w:pPr>
            <w:r>
              <w:rPr>
                <w:noProof/>
              </w:rPr>
              <w:t xml:space="preserve">A mesterséges intelligenciával kapcsolatos projektek támogatása </w:t>
            </w:r>
          </w:p>
        </w:tc>
      </w:tr>
      <w:tr w:rsidR="003E1D81" w14:paraId="3B57AB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AC0113" w14:textId="77777777" w:rsidR="003E1D81" w:rsidRDefault="00EB481C">
            <w:pPr>
              <w:pStyle w:val="P68B1DB1-Normal46"/>
              <w:spacing w:after="0" w:line="240" w:lineRule="auto"/>
              <w:rPr>
                <w:rFonts w:eastAsia="Times New Roman" w:cs="Times New Roman"/>
                <w:noProof/>
              </w:rPr>
            </w:pPr>
            <w:r>
              <w:rPr>
                <w:noProof/>
              </w:rPr>
              <w:t>256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8B1ECC0" w14:textId="77777777" w:rsidR="003E1D81" w:rsidRDefault="00EB481C">
            <w:pPr>
              <w:pStyle w:val="P68B1DB1-Normal46"/>
              <w:spacing w:after="0" w:line="240" w:lineRule="auto"/>
              <w:rPr>
                <w:rFonts w:eastAsia="Times New Roman" w:cs="Times New Roman"/>
                <w:noProof/>
              </w:rPr>
            </w:pPr>
            <w:r>
              <w:rPr>
                <w:noProof/>
              </w:rPr>
              <w:t>C17.R2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CD45A17"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991041E" w14:textId="77777777" w:rsidR="003E1D81" w:rsidRDefault="00EB481C">
            <w:pPr>
              <w:pStyle w:val="P68B1DB1-Normal46"/>
              <w:spacing w:after="0" w:line="240" w:lineRule="auto"/>
              <w:rPr>
                <w:rFonts w:eastAsia="Times New Roman" w:cs="Times New Roman"/>
                <w:noProof/>
              </w:rPr>
            </w:pPr>
            <w:r>
              <w:rPr>
                <w:noProof/>
              </w:rPr>
              <w:t xml:space="preserve">A 2021–2027-es időszakra vonatkozó spanyol tudományos, technológiai és innovációs stratégia félidős értékelése </w:t>
            </w:r>
          </w:p>
        </w:tc>
      </w:tr>
      <w:tr w:rsidR="003E1D81" w14:paraId="7DB24D2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5793D" w14:textId="77777777" w:rsidR="003E1D81" w:rsidRDefault="00EB481C">
            <w:pPr>
              <w:pStyle w:val="P68B1DB1-Normal46"/>
              <w:spacing w:after="0" w:line="240" w:lineRule="auto"/>
              <w:rPr>
                <w:rFonts w:eastAsia="Times New Roman" w:cs="Times New Roman"/>
                <w:noProof/>
              </w:rPr>
            </w:pPr>
            <w:r>
              <w:rPr>
                <w:noProof/>
              </w:rPr>
              <w:t>265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8E8D661" w14:textId="77777777" w:rsidR="003E1D81" w:rsidRDefault="00EB481C">
            <w:pPr>
              <w:pStyle w:val="P68B1DB1-Normal46"/>
              <w:spacing w:after="0" w:line="240" w:lineRule="auto"/>
              <w:rPr>
                <w:rFonts w:eastAsia="Times New Roman" w:cs="Times New Roman"/>
                <w:noProof/>
              </w:rPr>
            </w:pPr>
            <w:r>
              <w:rPr>
                <w:noProof/>
              </w:rPr>
              <w:t>C17.I5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7750A14"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01055A4" w14:textId="77777777" w:rsidR="003E1D81" w:rsidRDefault="00EB481C">
            <w:pPr>
              <w:pStyle w:val="P68B1DB1-Normal46"/>
              <w:spacing w:after="0" w:line="240" w:lineRule="auto"/>
              <w:rPr>
                <w:rFonts w:eastAsia="Times New Roman" w:cs="Times New Roman"/>
                <w:noProof/>
              </w:rPr>
            </w:pPr>
            <w:r>
              <w:rPr>
                <w:noProof/>
              </w:rPr>
              <w:t>Az Innvierte program keretében innovatív és technológiaalapú vállalkozások részesültek tőkében, hogy már korai szakaszban megerősí</w:t>
            </w:r>
            <w:r>
              <w:rPr>
                <w:noProof/>
              </w:rPr>
              <w:t xml:space="preserve">tsék kutatási tevékenységeiket. </w:t>
            </w:r>
          </w:p>
        </w:tc>
      </w:tr>
      <w:tr w:rsidR="003E1D81" w14:paraId="594100D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652BE" w14:textId="77777777" w:rsidR="003E1D81" w:rsidRDefault="00EB481C">
            <w:pPr>
              <w:pStyle w:val="P68B1DB1-Normal46"/>
              <w:spacing w:after="0" w:line="240" w:lineRule="auto"/>
              <w:rPr>
                <w:rFonts w:eastAsia="Times New Roman" w:cs="Times New Roman"/>
                <w:noProof/>
              </w:rPr>
            </w:pPr>
            <w:r>
              <w:rPr>
                <w:noProof/>
              </w:rPr>
              <w:t>271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0E115D1" w14:textId="77777777" w:rsidR="003E1D81" w:rsidRDefault="00EB481C">
            <w:pPr>
              <w:pStyle w:val="P68B1DB1-Normal46"/>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60EE81E"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4EB7DAD" w14:textId="77777777" w:rsidR="003E1D81" w:rsidRDefault="00EB481C">
            <w:pPr>
              <w:pStyle w:val="P68B1DB1-Normal46"/>
              <w:spacing w:after="0" w:line="240" w:lineRule="auto"/>
              <w:rPr>
                <w:rFonts w:eastAsia="Times New Roman" w:cs="Times New Roman"/>
                <w:noProof/>
              </w:rPr>
            </w:pPr>
            <w:r>
              <w:rPr>
                <w:noProof/>
              </w:rPr>
              <w:t xml:space="preserve">K+F+Innovációs projektek támogatása a repülés területén, különös tekintettel az alacsony és nulla kibocsátásra  </w:t>
            </w:r>
          </w:p>
        </w:tc>
      </w:tr>
      <w:tr w:rsidR="003E1D81" w14:paraId="35B102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AB570" w14:textId="77777777" w:rsidR="003E1D81" w:rsidRDefault="00EB481C">
            <w:pPr>
              <w:pStyle w:val="P68B1DB1-Normal46"/>
              <w:spacing w:after="0" w:line="240" w:lineRule="auto"/>
              <w:rPr>
                <w:rFonts w:eastAsia="Times New Roman" w:cs="Times New Roman"/>
                <w:noProof/>
              </w:rPr>
            </w:pPr>
            <w:r>
              <w:rPr>
                <w:noProof/>
              </w:rPr>
              <w:t>275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49F6865" w14:textId="77777777" w:rsidR="003E1D81" w:rsidRDefault="00EB481C">
            <w:pPr>
              <w:pStyle w:val="P68B1DB1-Normal46"/>
              <w:spacing w:after="0" w:line="240" w:lineRule="auto"/>
              <w:rPr>
                <w:rFonts w:eastAsia="Times New Roman" w:cs="Times New Roman"/>
                <w:noProof/>
              </w:rPr>
            </w:pPr>
            <w:r>
              <w:rPr>
                <w:noProof/>
              </w:rPr>
              <w:t>C18.R3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274DB50"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0E3FC3" w14:textId="77777777" w:rsidR="003E1D81" w:rsidRDefault="00EB481C">
            <w:pPr>
              <w:pStyle w:val="P68B1DB1-Normal46"/>
              <w:spacing w:after="0" w:line="240" w:lineRule="auto"/>
              <w:rPr>
                <w:rFonts w:eastAsia="Times New Roman" w:cs="Times New Roman"/>
                <w:noProof/>
              </w:rPr>
            </w:pPr>
            <w:r>
              <w:rPr>
                <w:noProof/>
              </w:rPr>
              <w:t>A nemzeti egészségügyi rendszer méltányosságáról, egyetemességéről és kohéziójáról</w:t>
            </w:r>
            <w:r>
              <w:rPr>
                <w:noProof/>
              </w:rPr>
              <w:t xml:space="preserve"> szóló törvény, valamint a rendkívül összetett ellátás átalakítása és a szolgáltatások közös portfóliójának bővítése</w:t>
            </w:r>
          </w:p>
        </w:tc>
      </w:tr>
      <w:tr w:rsidR="003E1D81" w14:paraId="37A9E37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B6A6E6" w14:textId="77777777" w:rsidR="003E1D81" w:rsidRDefault="00EB481C">
            <w:pPr>
              <w:pStyle w:val="P68B1DB1-Normal46"/>
              <w:spacing w:after="0" w:line="240" w:lineRule="auto"/>
              <w:rPr>
                <w:rFonts w:eastAsia="Times New Roman" w:cs="Times New Roman"/>
                <w:noProof/>
              </w:rPr>
            </w:pPr>
            <w:r>
              <w:rPr>
                <w:noProof/>
              </w:rPr>
              <w:t>276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42DB234" w14:textId="77777777" w:rsidR="003E1D81" w:rsidRDefault="00EB481C">
            <w:pPr>
              <w:pStyle w:val="P68B1DB1-Normal46"/>
              <w:spacing w:after="0" w:line="240" w:lineRule="auto"/>
              <w:rPr>
                <w:rFonts w:eastAsia="Times New Roman" w:cs="Times New Roman"/>
                <w:noProof/>
              </w:rPr>
            </w:pPr>
            <w:r>
              <w:rPr>
                <w:noProof/>
              </w:rPr>
              <w:t>C18.R4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81A36E7"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0B916BB" w14:textId="77777777" w:rsidR="003E1D81" w:rsidRDefault="00EB481C">
            <w:pPr>
              <w:pStyle w:val="P68B1DB1-Normal46"/>
              <w:spacing w:after="0" w:line="240" w:lineRule="auto"/>
              <w:rPr>
                <w:rFonts w:eastAsia="Times New Roman" w:cs="Times New Roman"/>
                <w:noProof/>
              </w:rPr>
            </w:pPr>
            <w:r>
              <w:rPr>
                <w:noProof/>
              </w:rPr>
              <w:t xml:space="preserve">Az egészségügyi szolgálatok jogszabályban előírt személyi állományának alapszabályáról és a szakorvosi képzési rendszer </w:t>
            </w:r>
            <w:r>
              <w:rPr>
                <w:noProof/>
              </w:rPr>
              <w:t>javításáról szóló törvény</w:t>
            </w:r>
          </w:p>
        </w:tc>
      </w:tr>
      <w:tr w:rsidR="003E1D81" w14:paraId="256B8A3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83CC7" w14:textId="77777777" w:rsidR="003E1D81" w:rsidRDefault="00EB481C">
            <w:pPr>
              <w:pStyle w:val="P68B1DB1-Normal46"/>
              <w:spacing w:after="0" w:line="240" w:lineRule="auto"/>
              <w:rPr>
                <w:rFonts w:eastAsia="Times New Roman" w:cs="Times New Roman"/>
                <w:noProof/>
              </w:rPr>
            </w:pPr>
            <w:r>
              <w:rPr>
                <w:noProof/>
              </w:rPr>
              <w:t>277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4904B07" w14:textId="77777777" w:rsidR="003E1D81" w:rsidRDefault="00EB481C">
            <w:pPr>
              <w:pStyle w:val="P68B1DB1-Normal46"/>
              <w:spacing w:after="0" w:line="240" w:lineRule="auto"/>
              <w:rPr>
                <w:rFonts w:eastAsia="Times New Roman" w:cs="Times New Roman"/>
                <w:noProof/>
              </w:rPr>
            </w:pPr>
            <w:r>
              <w:rPr>
                <w:noProof/>
              </w:rPr>
              <w:t>C18.R5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E9B0FE1"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DBCF765" w14:textId="77777777" w:rsidR="003E1D81" w:rsidRDefault="00EB481C">
            <w:pPr>
              <w:pStyle w:val="P68B1DB1-Normal46"/>
              <w:spacing w:after="0" w:line="240" w:lineRule="auto"/>
              <w:rPr>
                <w:rFonts w:eastAsia="Times New Roman" w:cs="Times New Roman"/>
                <w:noProof/>
              </w:rPr>
            </w:pPr>
            <w:r>
              <w:rPr>
                <w:noProof/>
              </w:rPr>
              <w:t xml:space="preserve">A jótállásról és a gyógyászati termékek ésszerű használatáról szóló törvény </w:t>
            </w:r>
          </w:p>
        </w:tc>
      </w:tr>
      <w:tr w:rsidR="003E1D81" w14:paraId="49A09F8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A19C52" w14:textId="77777777" w:rsidR="003E1D81" w:rsidRDefault="00EB481C">
            <w:pPr>
              <w:pStyle w:val="P68B1DB1-Normal46"/>
              <w:spacing w:after="0" w:line="240" w:lineRule="auto"/>
              <w:rPr>
                <w:rFonts w:eastAsia="Times New Roman" w:cs="Times New Roman"/>
                <w:noProof/>
              </w:rPr>
            </w:pPr>
            <w:r>
              <w:rPr>
                <w:noProof/>
              </w:rPr>
              <w:t>279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7F6CECE" w14:textId="77777777" w:rsidR="003E1D81" w:rsidRDefault="00EB481C">
            <w:pPr>
              <w:pStyle w:val="P68B1DB1-Normal46"/>
              <w:spacing w:after="0" w:line="240" w:lineRule="auto"/>
              <w:rPr>
                <w:rFonts w:eastAsia="Times New Roman" w:cs="Times New Roman"/>
                <w:noProof/>
              </w:rPr>
            </w:pPr>
            <w:r>
              <w:rPr>
                <w:noProof/>
              </w:rPr>
              <w:t>C18.I1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2688696"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EFFE27C" w14:textId="77777777" w:rsidR="003E1D81" w:rsidRDefault="00EB481C">
            <w:pPr>
              <w:pStyle w:val="P68B1DB1-Normal46"/>
              <w:spacing w:after="0" w:line="240" w:lineRule="auto"/>
              <w:rPr>
                <w:rFonts w:eastAsia="Times New Roman" w:cs="Times New Roman"/>
                <w:noProof/>
              </w:rPr>
            </w:pPr>
            <w:r>
              <w:rPr>
                <w:noProof/>
              </w:rPr>
              <w:t xml:space="preserve">Berendezések beszerelése/megújítása/bővítése </w:t>
            </w:r>
          </w:p>
        </w:tc>
      </w:tr>
      <w:tr w:rsidR="003E1D81" w14:paraId="016E50E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145715" w14:textId="77777777" w:rsidR="003E1D81" w:rsidRDefault="00EB481C">
            <w:pPr>
              <w:pStyle w:val="P68B1DB1-Normal46"/>
              <w:spacing w:after="0" w:line="240" w:lineRule="auto"/>
              <w:rPr>
                <w:rFonts w:eastAsia="Times New Roman" w:cs="Times New Roman"/>
                <w:noProof/>
              </w:rPr>
            </w:pPr>
            <w:r>
              <w:rPr>
                <w:noProof/>
              </w:rPr>
              <w:t>280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15D8915" w14:textId="77777777" w:rsidR="003E1D81" w:rsidRDefault="00EB481C">
            <w:pPr>
              <w:pStyle w:val="P68B1DB1-Normal46"/>
              <w:spacing w:after="0" w:line="240" w:lineRule="auto"/>
              <w:rPr>
                <w:rFonts w:eastAsia="Times New Roman" w:cs="Times New Roman"/>
                <w:noProof/>
              </w:rPr>
            </w:pPr>
            <w:r>
              <w:rPr>
                <w:noProof/>
              </w:rPr>
              <w:t>C18.I2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C60DD46"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157675" w14:textId="77777777" w:rsidR="003E1D81" w:rsidRDefault="00EB481C">
            <w:pPr>
              <w:pStyle w:val="P68B1DB1-Normal46"/>
              <w:spacing w:after="0" w:line="240" w:lineRule="auto"/>
              <w:rPr>
                <w:rFonts w:eastAsia="Times New Roman" w:cs="Times New Roman"/>
                <w:noProof/>
              </w:rPr>
            </w:pPr>
            <w:r>
              <w:rPr>
                <w:noProof/>
              </w:rPr>
              <w:t>Közegészségügyi kampányok és fellépések</w:t>
            </w:r>
          </w:p>
        </w:tc>
      </w:tr>
      <w:tr w:rsidR="003E1D81" w14:paraId="57FA99B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28510" w14:textId="77777777" w:rsidR="003E1D81" w:rsidRDefault="00EB481C">
            <w:pPr>
              <w:pStyle w:val="P68B1DB1-Normal46"/>
              <w:spacing w:after="0" w:line="240" w:lineRule="auto"/>
              <w:rPr>
                <w:rFonts w:eastAsia="Times New Roman" w:cs="Times New Roman"/>
                <w:noProof/>
              </w:rPr>
            </w:pPr>
            <w:r>
              <w:rPr>
                <w:noProof/>
              </w:rPr>
              <w:t>282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75773CE" w14:textId="77777777" w:rsidR="003E1D81" w:rsidRDefault="00EB481C">
            <w:pPr>
              <w:pStyle w:val="P68B1DB1-Normal46"/>
              <w:spacing w:after="0" w:line="240" w:lineRule="auto"/>
              <w:rPr>
                <w:rFonts w:eastAsia="Times New Roman" w:cs="Times New Roman"/>
                <w:noProof/>
              </w:rPr>
            </w:pPr>
            <w:r>
              <w:rPr>
                <w:noProof/>
              </w:rPr>
              <w:t>C18.I4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10285A2"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CD531E" w14:textId="77777777" w:rsidR="003E1D81" w:rsidRDefault="00EB481C">
            <w:pPr>
              <w:pStyle w:val="P68B1DB1-Normal46"/>
              <w:spacing w:after="0" w:line="240" w:lineRule="auto"/>
              <w:rPr>
                <w:rFonts w:eastAsia="Times New Roman" w:cs="Times New Roman"/>
                <w:noProof/>
              </w:rPr>
            </w:pPr>
            <w:r>
              <w:rPr>
                <w:noProof/>
              </w:rPr>
              <w:t xml:space="preserve">Továbbképzési tervek keretében képzett egészségügyi szakemberek </w:t>
            </w:r>
          </w:p>
        </w:tc>
      </w:tr>
      <w:tr w:rsidR="003E1D81" w14:paraId="2E466AF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E8C5EC" w14:textId="77777777" w:rsidR="003E1D81" w:rsidRDefault="00EB481C">
            <w:pPr>
              <w:pStyle w:val="P68B1DB1-Normal46"/>
              <w:spacing w:after="0" w:line="240" w:lineRule="auto"/>
              <w:rPr>
                <w:rFonts w:eastAsia="Times New Roman" w:cs="Times New Roman"/>
                <w:noProof/>
              </w:rPr>
            </w:pPr>
            <w:r>
              <w:rPr>
                <w:noProof/>
              </w:rPr>
              <w:t>283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3FDB58A" w14:textId="77777777" w:rsidR="003E1D81" w:rsidRDefault="00EB481C">
            <w:pPr>
              <w:pStyle w:val="P68B1DB1-Normal46"/>
              <w:spacing w:after="0" w:line="240" w:lineRule="auto"/>
              <w:rPr>
                <w:rFonts w:eastAsia="Times New Roman" w:cs="Times New Roman"/>
                <w:noProof/>
              </w:rPr>
            </w:pPr>
            <w:r>
              <w:rPr>
                <w:noProof/>
              </w:rPr>
              <w:t>C18.I5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2A61EC"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FFB7F10" w14:textId="77777777" w:rsidR="003E1D81" w:rsidRDefault="00EB481C">
            <w:pPr>
              <w:pStyle w:val="P68B1DB1-Normal46"/>
              <w:spacing w:after="0" w:line="240" w:lineRule="auto"/>
              <w:rPr>
                <w:rFonts w:eastAsia="Times New Roman" w:cs="Times New Roman"/>
                <w:noProof/>
              </w:rPr>
            </w:pPr>
            <w:r>
              <w:rPr>
                <w:noProof/>
              </w:rPr>
              <w:t>VALTERM ED-rendszer és platform az egészségügyi technológiák és a nemzeti egészségügyi rendszer előnyeinek értékelésére</w:t>
            </w:r>
          </w:p>
        </w:tc>
      </w:tr>
      <w:tr w:rsidR="003E1D81" w14:paraId="3DD0F0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8283FC" w14:textId="77777777" w:rsidR="003E1D81" w:rsidRDefault="00EB481C">
            <w:pPr>
              <w:pStyle w:val="P68B1DB1-Normal46"/>
              <w:spacing w:after="0" w:line="240" w:lineRule="auto"/>
              <w:rPr>
                <w:rFonts w:eastAsia="Times New Roman" w:cs="Times New Roman"/>
                <w:noProof/>
              </w:rPr>
            </w:pPr>
            <w:r>
              <w:rPr>
                <w:noProof/>
              </w:rPr>
              <w:t>284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00E36DC" w14:textId="77777777" w:rsidR="003E1D81" w:rsidRDefault="00EB481C">
            <w:pPr>
              <w:pStyle w:val="P68B1DB1-Normal46"/>
              <w:spacing w:after="0" w:line="240" w:lineRule="auto"/>
              <w:rPr>
                <w:rFonts w:eastAsia="Times New Roman" w:cs="Times New Roman"/>
                <w:noProof/>
              </w:rPr>
            </w:pPr>
            <w:r>
              <w:rPr>
                <w:noProof/>
              </w:rPr>
              <w:t>C18.I6</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C5B675E"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9996BFE" w14:textId="77777777" w:rsidR="003E1D81" w:rsidRDefault="00EB481C">
            <w:pPr>
              <w:pStyle w:val="P68B1DB1-Normal46"/>
              <w:spacing w:after="0" w:line="240" w:lineRule="auto"/>
              <w:rPr>
                <w:rFonts w:eastAsia="Times New Roman" w:cs="Times New Roman"/>
                <w:noProof/>
              </w:rPr>
            </w:pPr>
            <w:r>
              <w:rPr>
                <w:noProof/>
              </w:rPr>
              <w:t xml:space="preserve">Az egészségügyi adattavak működőképesek </w:t>
            </w:r>
          </w:p>
        </w:tc>
      </w:tr>
      <w:tr w:rsidR="003E1D81" w14:paraId="1A979DC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9CABB4" w14:textId="77777777" w:rsidR="003E1D81" w:rsidRDefault="00EB481C">
            <w:pPr>
              <w:pStyle w:val="P68B1DB1-Normal46"/>
              <w:spacing w:after="0" w:line="240" w:lineRule="auto"/>
              <w:rPr>
                <w:rFonts w:eastAsia="Times New Roman" w:cs="Times New Roman"/>
                <w:noProof/>
              </w:rPr>
            </w:pPr>
            <w:r>
              <w:rPr>
                <w:noProof/>
              </w:rPr>
              <w:t>286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C73C891" w14:textId="77777777" w:rsidR="003E1D81" w:rsidRDefault="00EB481C">
            <w:pPr>
              <w:pStyle w:val="P68B1DB1-Normal46"/>
              <w:spacing w:after="0" w:line="240" w:lineRule="auto"/>
              <w:rPr>
                <w:rFonts w:eastAsia="Times New Roman" w:cs="Times New Roman"/>
                <w:noProof/>
              </w:rPr>
            </w:pPr>
            <w:r>
              <w:rPr>
                <w:noProof/>
              </w:rPr>
              <w:t>C19.I1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0E25B04"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6CA5125" w14:textId="77777777" w:rsidR="003E1D81" w:rsidRDefault="00EB481C">
            <w:pPr>
              <w:pStyle w:val="P68B1DB1-Normal46"/>
              <w:spacing w:after="0" w:line="240" w:lineRule="auto"/>
              <w:rPr>
                <w:rFonts w:eastAsia="Times New Roman" w:cs="Times New Roman"/>
                <w:noProof/>
              </w:rPr>
            </w:pPr>
            <w:r>
              <w:rPr>
                <w:noProof/>
              </w:rPr>
              <w:t>A polgárok digitális készségekkel kapcsolatos képzése.</w:t>
            </w:r>
          </w:p>
        </w:tc>
      </w:tr>
      <w:tr w:rsidR="003E1D81" w14:paraId="318F3A7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BEBFD" w14:textId="77777777" w:rsidR="003E1D81" w:rsidRDefault="00EB481C">
            <w:pPr>
              <w:pStyle w:val="P68B1DB1-Normal46"/>
              <w:spacing w:after="0" w:line="240" w:lineRule="auto"/>
              <w:rPr>
                <w:rFonts w:eastAsia="Times New Roman" w:cs="Times New Roman"/>
                <w:noProof/>
              </w:rPr>
            </w:pPr>
            <w:r>
              <w:rPr>
                <w:noProof/>
              </w:rPr>
              <w:t>308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3E91633" w14:textId="77777777" w:rsidR="003E1D81" w:rsidRDefault="00EB481C">
            <w:pPr>
              <w:pStyle w:val="P68B1DB1-Normal46"/>
              <w:spacing w:after="0" w:line="240" w:lineRule="auto"/>
              <w:rPr>
                <w:rFonts w:eastAsia="Times New Roman" w:cs="Times New Roman"/>
                <w:noProof/>
              </w:rPr>
            </w:pPr>
            <w:r>
              <w:rPr>
                <w:noProof/>
              </w:rPr>
              <w:t>C21.I1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005770C"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CB4DD01" w14:textId="77777777" w:rsidR="003E1D81" w:rsidRDefault="00EB481C">
            <w:pPr>
              <w:pStyle w:val="P68B1DB1-Normal46"/>
              <w:spacing w:after="0" w:line="240" w:lineRule="auto"/>
              <w:rPr>
                <w:rFonts w:eastAsia="Times New Roman" w:cs="Times New Roman"/>
                <w:noProof/>
              </w:rPr>
            </w:pPr>
            <w:r>
              <w:rPr>
                <w:noProof/>
              </w:rPr>
              <w:t xml:space="preserve">Költségvetési díj a kisgyermekkori nevelés első ciklusának előmozdítására </w:t>
            </w:r>
          </w:p>
        </w:tc>
      </w:tr>
      <w:tr w:rsidR="003E1D81" w14:paraId="376B6DB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C1DB0A" w14:textId="77777777" w:rsidR="003E1D81" w:rsidRDefault="00EB481C">
            <w:pPr>
              <w:pStyle w:val="P68B1DB1-Normal46"/>
              <w:spacing w:after="0" w:line="240" w:lineRule="auto"/>
              <w:rPr>
                <w:rFonts w:eastAsia="Times New Roman" w:cs="Times New Roman"/>
                <w:noProof/>
              </w:rPr>
            </w:pPr>
            <w:r>
              <w:rPr>
                <w:noProof/>
              </w:rPr>
              <w:t>312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DFCEE3E" w14:textId="77777777" w:rsidR="003E1D81" w:rsidRDefault="00EB481C">
            <w:pPr>
              <w:pStyle w:val="P68B1DB1-Normal46"/>
              <w:spacing w:after="0" w:line="240" w:lineRule="auto"/>
              <w:rPr>
                <w:rFonts w:eastAsia="Times New Roman" w:cs="Times New Roman"/>
                <w:noProof/>
              </w:rPr>
            </w:pPr>
            <w:r>
              <w:rPr>
                <w:noProof/>
              </w:rPr>
              <w:t>C21.I4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B4C91AB"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37D4275" w14:textId="77777777" w:rsidR="003E1D81" w:rsidRDefault="00EB481C">
            <w:pPr>
              <w:pStyle w:val="P68B1DB1-Normal46"/>
              <w:spacing w:after="0" w:line="240" w:lineRule="auto"/>
              <w:rPr>
                <w:rFonts w:eastAsia="Times New Roman" w:cs="Times New Roman"/>
                <w:noProof/>
              </w:rPr>
            </w:pPr>
            <w:r>
              <w:rPr>
                <w:noProof/>
              </w:rPr>
              <w:t xml:space="preserve">Ösztöndíjak és ösztöndíjak posztdoktori hallgatók, egyetemi asszisztensek és kutatók </w:t>
            </w:r>
            <w:r>
              <w:rPr>
                <w:noProof/>
              </w:rPr>
              <w:t>számára</w:t>
            </w:r>
          </w:p>
        </w:tc>
      </w:tr>
      <w:tr w:rsidR="003E1D81" w14:paraId="3C0DB4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5D4FA3" w14:textId="77777777" w:rsidR="003E1D81" w:rsidRDefault="00EB481C">
            <w:pPr>
              <w:pStyle w:val="P68B1DB1-Normal46"/>
              <w:spacing w:after="0" w:line="240" w:lineRule="auto"/>
              <w:rPr>
                <w:rFonts w:eastAsia="Times New Roman" w:cs="Times New Roman"/>
                <w:noProof/>
              </w:rPr>
            </w:pPr>
            <w:r>
              <w:rPr>
                <w:noProof/>
              </w:rPr>
              <w:t>313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9C4FC9A" w14:textId="77777777" w:rsidR="003E1D81" w:rsidRDefault="00EB481C">
            <w:pPr>
              <w:pStyle w:val="P68B1DB1-Normal46"/>
              <w:spacing w:after="0" w:line="240" w:lineRule="auto"/>
              <w:rPr>
                <w:rFonts w:eastAsia="Times New Roman" w:cs="Times New Roman"/>
                <w:noProof/>
              </w:rPr>
            </w:pPr>
            <w:r>
              <w:rPr>
                <w:noProof/>
              </w:rPr>
              <w:t>C21.I5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51B785D"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9E54827" w14:textId="77777777" w:rsidR="003E1D81" w:rsidRDefault="00EB481C">
            <w:pPr>
              <w:pStyle w:val="P68B1DB1-Normal46"/>
              <w:spacing w:after="0" w:line="240" w:lineRule="auto"/>
              <w:rPr>
                <w:rFonts w:eastAsia="Times New Roman" w:cs="Times New Roman"/>
                <w:noProof/>
              </w:rPr>
            </w:pPr>
            <w:r>
              <w:rPr>
                <w:noProof/>
              </w:rPr>
              <w:t xml:space="preserve">Az egyetemek digitális indexének növekedése </w:t>
            </w:r>
          </w:p>
        </w:tc>
      </w:tr>
      <w:tr w:rsidR="003E1D81" w14:paraId="431C5C5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CB0AC" w14:textId="77777777" w:rsidR="003E1D81" w:rsidRDefault="00EB481C">
            <w:pPr>
              <w:pStyle w:val="P68B1DB1-Normal46"/>
              <w:spacing w:after="0" w:line="240" w:lineRule="auto"/>
              <w:rPr>
                <w:rFonts w:eastAsia="Times New Roman" w:cs="Times New Roman"/>
                <w:noProof/>
              </w:rPr>
            </w:pPr>
            <w:r>
              <w:rPr>
                <w:noProof/>
              </w:rPr>
              <w:t>320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1729EC9" w14:textId="77777777" w:rsidR="003E1D81" w:rsidRDefault="00EB481C">
            <w:pPr>
              <w:pStyle w:val="P68B1DB1-Normal46"/>
              <w:spacing w:after="0" w:line="240" w:lineRule="auto"/>
              <w:rPr>
                <w:rFonts w:eastAsia="Times New Roman" w:cs="Times New Roman"/>
                <w:noProof/>
              </w:rPr>
            </w:pPr>
            <w:r>
              <w:rPr>
                <w:noProof/>
              </w:rPr>
              <w:t>C22.R5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4258DE"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D57F9F0" w14:textId="77777777" w:rsidR="003E1D81" w:rsidRDefault="00EB481C">
            <w:pPr>
              <w:pStyle w:val="P68B1DB1-Normal46"/>
              <w:spacing w:after="0" w:line="240" w:lineRule="auto"/>
              <w:rPr>
                <w:rFonts w:eastAsia="Times New Roman" w:cs="Times New Roman"/>
                <w:noProof/>
              </w:rPr>
            </w:pPr>
            <w:r>
              <w:rPr>
                <w:noProof/>
              </w:rPr>
              <w:t>A nem járulékalapú pénzügyi juttatások rendszerének átszervezését és egyszerűsítését célzó jogszabályok hatálybalépése</w:t>
            </w:r>
          </w:p>
        </w:tc>
      </w:tr>
      <w:tr w:rsidR="003E1D81" w14:paraId="68C1CF9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FE5AD" w14:textId="77777777" w:rsidR="003E1D81" w:rsidRDefault="00EB481C">
            <w:pPr>
              <w:pStyle w:val="P68B1DB1-Normal46"/>
              <w:spacing w:after="0" w:line="240" w:lineRule="auto"/>
              <w:rPr>
                <w:rFonts w:eastAsia="Times New Roman" w:cs="Times New Roman"/>
                <w:noProof/>
              </w:rPr>
            </w:pPr>
            <w:r>
              <w:rPr>
                <w:noProof/>
              </w:rPr>
              <w:t>324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6EAF6CA" w14:textId="77777777" w:rsidR="003E1D81" w:rsidRDefault="00EB481C">
            <w:pPr>
              <w:pStyle w:val="P68B1DB1-Normal46"/>
              <w:spacing w:after="0" w:line="240" w:lineRule="auto"/>
              <w:rPr>
                <w:rFonts w:eastAsia="Times New Roman" w:cs="Times New Roman"/>
                <w:noProof/>
              </w:rPr>
            </w:pPr>
            <w:r>
              <w:rPr>
                <w:noProof/>
              </w:rPr>
              <w:t>C22.I2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F0A6E2A"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E30FF5F" w14:textId="77777777" w:rsidR="003E1D81" w:rsidRDefault="00EB481C">
            <w:pPr>
              <w:pStyle w:val="P68B1DB1-Normal46"/>
              <w:spacing w:after="0" w:line="240" w:lineRule="auto"/>
              <w:rPr>
                <w:rFonts w:eastAsia="Times New Roman" w:cs="Times New Roman"/>
                <w:noProof/>
              </w:rPr>
            </w:pPr>
            <w:r>
              <w:rPr>
                <w:noProof/>
              </w:rPr>
              <w:t xml:space="preserve">Speciális technológiai eszközök </w:t>
            </w:r>
            <w:r>
              <w:rPr>
                <w:noProof/>
              </w:rPr>
              <w:t>alkalmazása a szociális szolgáltatások információs és irányítási rendszereinek javítása érdekében.</w:t>
            </w:r>
          </w:p>
        </w:tc>
      </w:tr>
      <w:tr w:rsidR="003E1D81" w14:paraId="4D2F185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63CF4" w14:textId="77777777" w:rsidR="003E1D81" w:rsidRDefault="00EB481C">
            <w:pPr>
              <w:pStyle w:val="P68B1DB1-Normal46"/>
              <w:spacing w:after="0" w:line="240" w:lineRule="auto"/>
              <w:rPr>
                <w:rFonts w:eastAsia="Times New Roman" w:cs="Times New Roman"/>
                <w:noProof/>
              </w:rPr>
            </w:pPr>
            <w:r>
              <w:rPr>
                <w:noProof/>
              </w:rPr>
              <w:t>341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79D6011" w14:textId="77777777" w:rsidR="003E1D81" w:rsidRDefault="00EB481C">
            <w:pPr>
              <w:pStyle w:val="P68B1DB1-Normal46"/>
              <w:spacing w:after="0" w:line="240" w:lineRule="auto"/>
              <w:rPr>
                <w:rFonts w:eastAsia="Times New Roman" w:cs="Times New Roman"/>
                <w:noProof/>
              </w:rPr>
            </w:pPr>
            <w:r>
              <w:rPr>
                <w:noProof/>
              </w:rPr>
              <w:t>C23.R11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B7B36BC"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EF7383" w14:textId="77777777" w:rsidR="003E1D81" w:rsidRDefault="00EB481C">
            <w:pPr>
              <w:pStyle w:val="P68B1DB1-Normal46"/>
              <w:spacing w:after="0" w:line="240" w:lineRule="auto"/>
              <w:rPr>
                <w:rFonts w:eastAsia="Times New Roman" w:cs="Times New Roman"/>
                <w:noProof/>
              </w:rPr>
            </w:pPr>
            <w:r>
              <w:rPr>
                <w:noProof/>
              </w:rPr>
              <w:t>Az Állami Foglalkoztatási Szolgálat korszerűsítésére irányuló szerződések szerinti szolgáltatások teljesítésének igazolása</w:t>
            </w:r>
          </w:p>
        </w:tc>
      </w:tr>
      <w:tr w:rsidR="003E1D81" w14:paraId="2B301B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4D051" w14:textId="77777777" w:rsidR="003E1D81" w:rsidRDefault="00EB481C">
            <w:pPr>
              <w:pStyle w:val="P68B1DB1-Normal46"/>
              <w:spacing w:after="0" w:line="240" w:lineRule="auto"/>
              <w:rPr>
                <w:rFonts w:eastAsia="Times New Roman" w:cs="Times New Roman"/>
                <w:noProof/>
              </w:rPr>
            </w:pPr>
            <w:r>
              <w:rPr>
                <w:noProof/>
              </w:rPr>
              <w:t>346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37874AF" w14:textId="77777777" w:rsidR="003E1D81" w:rsidRDefault="00EB481C">
            <w:pPr>
              <w:pStyle w:val="P68B1DB1-Normal46"/>
              <w:spacing w:after="0" w:line="240" w:lineRule="auto"/>
              <w:rPr>
                <w:rFonts w:eastAsia="Times New Roman" w:cs="Times New Roman"/>
                <w:noProof/>
              </w:rPr>
            </w:pPr>
            <w:r>
              <w:rPr>
                <w:noProof/>
              </w:rPr>
              <w:t>C23.I4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F2165CB"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F4AFF46" w14:textId="77777777" w:rsidR="003E1D81" w:rsidRDefault="00EB481C">
            <w:pPr>
              <w:pStyle w:val="P68B1DB1-Normal46"/>
              <w:spacing w:after="0" w:line="240" w:lineRule="auto"/>
              <w:rPr>
                <w:rFonts w:eastAsia="Times New Roman" w:cs="Times New Roman"/>
                <w:noProof/>
              </w:rPr>
            </w:pPr>
            <w:r>
              <w:rPr>
                <w:noProof/>
              </w:rPr>
              <w:t xml:space="preserve">A </w:t>
            </w:r>
            <w:r>
              <w:rPr>
                <w:noProof/>
              </w:rPr>
              <w:t>veszélyeztetett csoportokra, a vállalkozói szellemre és a mikrovállalkozásokra irányuló területi projektek lezárultak, amelyekben legalább 39000 munkavállaló és 64000 vállalkozás vesz részt.</w:t>
            </w:r>
          </w:p>
        </w:tc>
      </w:tr>
      <w:tr w:rsidR="003E1D81" w14:paraId="0767FC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91C1E8" w14:textId="77777777" w:rsidR="003E1D81" w:rsidRDefault="00EB481C">
            <w:pPr>
              <w:pStyle w:val="P68B1DB1-Normal46"/>
              <w:spacing w:after="0" w:line="240" w:lineRule="auto"/>
              <w:rPr>
                <w:rFonts w:eastAsia="Times New Roman" w:cs="Times New Roman"/>
                <w:noProof/>
              </w:rPr>
            </w:pPr>
            <w:r>
              <w:rPr>
                <w:noProof/>
              </w:rPr>
              <w:t>348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5C8DDD0" w14:textId="77777777" w:rsidR="003E1D81" w:rsidRDefault="00EB481C">
            <w:pPr>
              <w:pStyle w:val="P68B1DB1-Normal46"/>
              <w:spacing w:after="0" w:line="240" w:lineRule="auto"/>
              <w:rPr>
                <w:rFonts w:eastAsia="Times New Roman" w:cs="Times New Roman"/>
                <w:noProof/>
              </w:rPr>
            </w:pPr>
            <w:r>
              <w:rPr>
                <w:noProof/>
              </w:rPr>
              <w:t>C23.I5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5F24A35"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159E54" w14:textId="77777777" w:rsidR="003E1D81" w:rsidRDefault="00EB481C">
            <w:pPr>
              <w:pStyle w:val="P68B1DB1-Normal46"/>
              <w:spacing w:after="0" w:line="240" w:lineRule="auto"/>
              <w:rPr>
                <w:rFonts w:eastAsia="Times New Roman" w:cs="Times New Roman"/>
                <w:noProof/>
              </w:rPr>
            </w:pPr>
            <w:r>
              <w:rPr>
                <w:noProof/>
              </w:rPr>
              <w:t>Képzési tevékenységek az ÁFSZ-ek személyzete számár</w:t>
            </w:r>
            <w:r>
              <w:rPr>
                <w:noProof/>
              </w:rPr>
              <w:t>a</w:t>
            </w:r>
          </w:p>
        </w:tc>
      </w:tr>
      <w:tr w:rsidR="003E1D81" w14:paraId="2AB848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CB055" w14:textId="77777777" w:rsidR="003E1D81" w:rsidRDefault="00EB481C">
            <w:pPr>
              <w:pStyle w:val="P68B1DB1-Normal46"/>
              <w:spacing w:after="0" w:line="240" w:lineRule="auto"/>
              <w:rPr>
                <w:rFonts w:eastAsia="Times New Roman" w:cs="Times New Roman"/>
                <w:noProof/>
              </w:rPr>
            </w:pPr>
            <w:r>
              <w:rPr>
                <w:noProof/>
              </w:rPr>
              <w:t>353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DE584FE" w14:textId="77777777" w:rsidR="003E1D81" w:rsidRDefault="00EB481C">
            <w:pPr>
              <w:pStyle w:val="P68B1DB1-Normal46"/>
              <w:spacing w:after="0" w:line="240" w:lineRule="auto"/>
              <w:rPr>
                <w:rFonts w:eastAsia="Times New Roman" w:cs="Times New Roman"/>
                <w:noProof/>
              </w:rPr>
            </w:pPr>
            <w:r>
              <w:rPr>
                <w:noProof/>
              </w:rPr>
              <w:t>C24.R2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92BF57E"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675A7EF" w14:textId="77777777" w:rsidR="003E1D81" w:rsidRDefault="00EB481C">
            <w:pPr>
              <w:pStyle w:val="P68B1DB1-Normal46"/>
              <w:spacing w:after="0" w:line="240" w:lineRule="auto"/>
              <w:rPr>
                <w:rFonts w:eastAsia="Times New Roman" w:cs="Times New Roman"/>
                <w:noProof/>
              </w:rPr>
            </w:pPr>
            <w:r>
              <w:rPr>
                <w:noProof/>
              </w:rPr>
              <w:t>A szerzői és szomszédos jogok megerősítését célzó jogalkotási és szabályozási intézkedések hatálybalépése</w:t>
            </w:r>
          </w:p>
        </w:tc>
      </w:tr>
      <w:tr w:rsidR="003E1D81" w14:paraId="1DC6B8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E6351" w14:textId="77777777" w:rsidR="003E1D81" w:rsidRDefault="00EB481C">
            <w:pPr>
              <w:pStyle w:val="P68B1DB1-Normal46"/>
              <w:spacing w:after="0" w:line="240" w:lineRule="auto"/>
              <w:rPr>
                <w:rFonts w:eastAsia="Times New Roman" w:cs="Times New Roman"/>
                <w:noProof/>
              </w:rPr>
            </w:pPr>
            <w:r>
              <w:rPr>
                <w:noProof/>
              </w:rPr>
              <w:t>354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4F51AB3" w14:textId="77777777" w:rsidR="003E1D81" w:rsidRDefault="00EB481C">
            <w:pPr>
              <w:pStyle w:val="P68B1DB1-Normal46"/>
              <w:spacing w:after="0" w:line="240" w:lineRule="auto"/>
              <w:rPr>
                <w:rFonts w:eastAsia="Times New Roman" w:cs="Times New Roman"/>
                <w:noProof/>
              </w:rPr>
            </w:pPr>
            <w:r>
              <w:rPr>
                <w:noProof/>
              </w:rPr>
              <w:t>C24.I1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0E4407"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54BC41" w14:textId="77777777" w:rsidR="003E1D81" w:rsidRDefault="00EB481C">
            <w:pPr>
              <w:pStyle w:val="P68B1DB1-Normal46"/>
              <w:spacing w:after="0" w:line="240" w:lineRule="auto"/>
              <w:rPr>
                <w:rFonts w:eastAsia="Times New Roman" w:cs="Times New Roman"/>
                <w:noProof/>
              </w:rPr>
            </w:pPr>
            <w:r>
              <w:rPr>
                <w:noProof/>
              </w:rPr>
              <w:t xml:space="preserve">A kulturális iparágak versenyképességének erősítése </w:t>
            </w:r>
          </w:p>
        </w:tc>
      </w:tr>
      <w:tr w:rsidR="003E1D81" w14:paraId="55BFAE6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AFF444" w14:textId="77777777" w:rsidR="003E1D81" w:rsidRDefault="00EB481C">
            <w:pPr>
              <w:pStyle w:val="P68B1DB1-Normal46"/>
              <w:spacing w:after="0" w:line="240" w:lineRule="auto"/>
              <w:rPr>
                <w:rFonts w:eastAsia="Times New Roman" w:cs="Times New Roman"/>
                <w:noProof/>
              </w:rPr>
            </w:pPr>
            <w:r>
              <w:rPr>
                <w:noProof/>
              </w:rPr>
              <w:t>355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83AD50E" w14:textId="77777777" w:rsidR="003E1D81" w:rsidRDefault="00EB481C">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40C59C4"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8DCB2AF" w14:textId="77777777" w:rsidR="003E1D81" w:rsidRDefault="00EB481C">
            <w:pPr>
              <w:pStyle w:val="P68B1DB1-Normal46"/>
              <w:spacing w:after="0" w:line="240" w:lineRule="auto"/>
              <w:rPr>
                <w:rFonts w:eastAsia="Times New Roman" w:cs="Times New Roman"/>
                <w:noProof/>
              </w:rPr>
            </w:pPr>
            <w:r>
              <w:rPr>
                <w:noProof/>
              </w:rPr>
              <w:t xml:space="preserve">Az előadó- és zeneművészeti infrastruktúra </w:t>
            </w:r>
            <w:r>
              <w:rPr>
                <w:noProof/>
              </w:rPr>
              <w:t>korszerűsítése és fenntartható kezelése</w:t>
            </w:r>
          </w:p>
        </w:tc>
      </w:tr>
      <w:tr w:rsidR="003E1D81" w14:paraId="271FE2D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93770C" w14:textId="77777777" w:rsidR="003E1D81" w:rsidRDefault="00EB481C">
            <w:pPr>
              <w:pStyle w:val="P68B1DB1-Normal46"/>
              <w:spacing w:after="0" w:line="240" w:lineRule="auto"/>
              <w:rPr>
                <w:rFonts w:eastAsia="Times New Roman" w:cs="Times New Roman"/>
                <w:noProof/>
              </w:rPr>
            </w:pPr>
            <w:r>
              <w:rPr>
                <w:noProof/>
              </w:rPr>
              <w:t>357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4ACCF7" w14:textId="77777777" w:rsidR="003E1D81" w:rsidRDefault="00EB481C">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1A6161E"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AB566F" w14:textId="77777777" w:rsidR="003E1D81" w:rsidRDefault="00EB481C">
            <w:pPr>
              <w:pStyle w:val="P68B1DB1-Normal46"/>
              <w:spacing w:after="0" w:line="240" w:lineRule="auto"/>
              <w:rPr>
                <w:rFonts w:eastAsia="Times New Roman" w:cs="Times New Roman"/>
                <w:noProof/>
              </w:rPr>
            </w:pPr>
            <w:r>
              <w:rPr>
                <w:noProof/>
              </w:rPr>
              <w:t>Elektronikus könyvekre vonatkozó engedélyek könyvtárak számára</w:t>
            </w:r>
          </w:p>
        </w:tc>
      </w:tr>
      <w:tr w:rsidR="003E1D81" w14:paraId="3327BED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E88DC" w14:textId="77777777" w:rsidR="003E1D81" w:rsidRDefault="00EB481C">
            <w:pPr>
              <w:pStyle w:val="P68B1DB1-Normal46"/>
              <w:spacing w:after="0" w:line="240" w:lineRule="auto"/>
              <w:rPr>
                <w:rFonts w:eastAsia="Times New Roman" w:cs="Times New Roman"/>
                <w:noProof/>
              </w:rPr>
            </w:pPr>
            <w:r>
              <w:rPr>
                <w:noProof/>
              </w:rPr>
              <w:t>359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8E51439" w14:textId="77777777" w:rsidR="003E1D81" w:rsidRDefault="00EB481C">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745A04E"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523A2C2" w14:textId="77777777" w:rsidR="003E1D81" w:rsidRDefault="00EB481C">
            <w:pPr>
              <w:pStyle w:val="P68B1DB1-Normal46"/>
              <w:spacing w:after="0" w:line="240" w:lineRule="auto"/>
              <w:rPr>
                <w:rFonts w:eastAsia="Times New Roman" w:cs="Times New Roman"/>
                <w:noProof/>
              </w:rPr>
            </w:pPr>
            <w:r>
              <w:rPr>
                <w:noProof/>
              </w:rPr>
              <w:t xml:space="preserve">A kulturális és kreatív kezdeményezések ösztönzése </w:t>
            </w:r>
          </w:p>
        </w:tc>
      </w:tr>
      <w:tr w:rsidR="003E1D81" w14:paraId="02EDE75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D07008" w14:textId="77777777" w:rsidR="003E1D81" w:rsidRDefault="00EB481C">
            <w:pPr>
              <w:pStyle w:val="P68B1DB1-Normal46"/>
              <w:spacing w:after="0" w:line="240" w:lineRule="auto"/>
              <w:rPr>
                <w:rFonts w:eastAsia="Times New Roman" w:cs="Times New Roman"/>
                <w:noProof/>
              </w:rPr>
            </w:pPr>
            <w:r>
              <w:rPr>
                <w:noProof/>
              </w:rPr>
              <w:t>361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566B267" w14:textId="77777777" w:rsidR="003E1D81" w:rsidRDefault="00EB481C">
            <w:pPr>
              <w:pStyle w:val="P68B1DB1-Normal46"/>
              <w:spacing w:after="0" w:line="240" w:lineRule="auto"/>
              <w:rPr>
                <w:rFonts w:eastAsia="Times New Roman" w:cs="Times New Roman"/>
                <w:noProof/>
              </w:rPr>
            </w:pPr>
            <w:r>
              <w:rPr>
                <w:noProof/>
              </w:rPr>
              <w:t>C24.I3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FD70EE7"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63ACED" w14:textId="77777777" w:rsidR="003E1D81" w:rsidRDefault="00EB481C">
            <w:pPr>
              <w:pStyle w:val="P68B1DB1-Normal46"/>
              <w:spacing w:after="0" w:line="240" w:lineRule="auto"/>
              <w:rPr>
                <w:rFonts w:eastAsia="Times New Roman" w:cs="Times New Roman"/>
                <w:noProof/>
              </w:rPr>
            </w:pPr>
            <w:r>
              <w:rPr>
                <w:noProof/>
              </w:rPr>
              <w:t xml:space="preserve">A digitalizáció befejezése és a főbb kulturális szolgáltatások előmozdítása </w:t>
            </w:r>
          </w:p>
        </w:tc>
      </w:tr>
      <w:tr w:rsidR="003E1D81" w14:paraId="1CF326C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126B5" w14:textId="77777777" w:rsidR="003E1D81" w:rsidRDefault="00EB481C">
            <w:pPr>
              <w:pStyle w:val="P68B1DB1-Normal46"/>
              <w:spacing w:after="0" w:line="240" w:lineRule="auto"/>
              <w:rPr>
                <w:rFonts w:eastAsia="Times New Roman" w:cs="Times New Roman"/>
                <w:noProof/>
              </w:rPr>
            </w:pPr>
            <w:r>
              <w:rPr>
                <w:noProof/>
              </w:rPr>
              <w:t>362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1C6E4BF" w14:textId="77777777" w:rsidR="003E1D81" w:rsidRDefault="00EB481C">
            <w:pPr>
              <w:pStyle w:val="P68B1DB1-Normal46"/>
              <w:spacing w:after="0" w:line="240" w:lineRule="auto"/>
              <w:rPr>
                <w:rFonts w:eastAsia="Times New Roman" w:cs="Times New Roman"/>
                <w:noProof/>
              </w:rPr>
            </w:pPr>
            <w:r>
              <w:rPr>
                <w:noProof/>
              </w:rPr>
              <w:t>C24.I3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64228A9"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31EBADB" w14:textId="77777777" w:rsidR="003E1D81" w:rsidRDefault="00EB481C">
            <w:pPr>
              <w:pStyle w:val="P68B1DB1-Normal46"/>
              <w:spacing w:after="0" w:line="240" w:lineRule="auto"/>
              <w:rPr>
                <w:rFonts w:eastAsia="Times New Roman" w:cs="Times New Roman"/>
                <w:noProof/>
              </w:rPr>
            </w:pPr>
            <w:r>
              <w:rPr>
                <w:noProof/>
              </w:rPr>
              <w:t xml:space="preserve">A bibliográfiai örökség digitalizálásának befejezése </w:t>
            </w:r>
          </w:p>
        </w:tc>
      </w:tr>
      <w:tr w:rsidR="003E1D81" w14:paraId="0453C6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232AC9" w14:textId="77777777" w:rsidR="003E1D81" w:rsidRDefault="00EB481C">
            <w:pPr>
              <w:pStyle w:val="P68B1DB1-Normal46"/>
              <w:spacing w:after="0" w:line="240" w:lineRule="auto"/>
              <w:rPr>
                <w:rFonts w:eastAsia="Times New Roman" w:cs="Times New Roman"/>
                <w:noProof/>
              </w:rPr>
            </w:pPr>
            <w:r>
              <w:rPr>
                <w:noProof/>
              </w:rPr>
              <w:t>365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B2D24FA" w14:textId="77777777" w:rsidR="003E1D81" w:rsidRDefault="00EB481C">
            <w:pPr>
              <w:pStyle w:val="P68B1DB1-Normal46"/>
              <w:spacing w:after="0" w:line="240" w:lineRule="auto"/>
              <w:rPr>
                <w:rFonts w:eastAsia="Times New Roman" w:cs="Times New Roman"/>
                <w:noProof/>
              </w:rPr>
            </w:pPr>
            <w:r>
              <w:rPr>
                <w:noProof/>
              </w:rPr>
              <w:t>C25.R1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DF0815B"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E9F6789" w14:textId="77777777" w:rsidR="003E1D81" w:rsidRDefault="00EB481C">
            <w:pPr>
              <w:pStyle w:val="P68B1DB1-Normal46"/>
              <w:spacing w:after="0" w:line="240" w:lineRule="auto"/>
              <w:rPr>
                <w:rFonts w:eastAsia="Times New Roman" w:cs="Times New Roman"/>
                <w:noProof/>
              </w:rPr>
            </w:pPr>
            <w:r>
              <w:rPr>
                <w:noProof/>
              </w:rPr>
              <w:t xml:space="preserve"> A moziról szóló törvény hatálybalépése. </w:t>
            </w:r>
          </w:p>
        </w:tc>
      </w:tr>
      <w:tr w:rsidR="003E1D81" w14:paraId="08128EB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D186F" w14:textId="77777777" w:rsidR="003E1D81" w:rsidRDefault="00EB481C">
            <w:pPr>
              <w:pStyle w:val="P68B1DB1-Normal46"/>
              <w:spacing w:after="0" w:line="240" w:lineRule="auto"/>
              <w:rPr>
                <w:rFonts w:eastAsia="Times New Roman" w:cs="Times New Roman"/>
                <w:noProof/>
              </w:rPr>
            </w:pPr>
            <w:r>
              <w:rPr>
                <w:noProof/>
              </w:rPr>
              <w:t>366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49F1BE3" w14:textId="77777777" w:rsidR="003E1D81" w:rsidRDefault="00EB481C">
            <w:pPr>
              <w:pStyle w:val="P68B1DB1-Normal46"/>
              <w:spacing w:after="0" w:line="240" w:lineRule="auto"/>
              <w:rPr>
                <w:rFonts w:eastAsia="Times New Roman" w:cs="Times New Roman"/>
                <w:noProof/>
              </w:rPr>
            </w:pPr>
            <w:r>
              <w:rPr>
                <w:noProof/>
              </w:rPr>
              <w:t>C25.I1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6FDAAD5"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C8F7F46" w14:textId="77777777" w:rsidR="003E1D81" w:rsidRDefault="00EB481C">
            <w:pPr>
              <w:pStyle w:val="P68B1DB1-Normal46"/>
              <w:spacing w:after="0" w:line="240" w:lineRule="auto"/>
              <w:rPr>
                <w:rFonts w:eastAsia="Times New Roman" w:cs="Times New Roman"/>
                <w:noProof/>
              </w:rPr>
            </w:pPr>
            <w:r>
              <w:rPr>
                <w:noProof/>
              </w:rPr>
              <w:t xml:space="preserve">A kkv-k támogatása az audiovizuális </w:t>
            </w:r>
            <w:r>
              <w:rPr>
                <w:noProof/>
              </w:rPr>
              <w:t>ágazatban.</w:t>
            </w:r>
          </w:p>
        </w:tc>
      </w:tr>
      <w:tr w:rsidR="003E1D81" w14:paraId="3D380C4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A376F" w14:textId="77777777" w:rsidR="003E1D81" w:rsidRDefault="00EB481C">
            <w:pPr>
              <w:pStyle w:val="P68B1DB1-Normal46"/>
              <w:spacing w:after="0" w:line="240" w:lineRule="auto"/>
              <w:rPr>
                <w:rFonts w:eastAsia="Times New Roman" w:cs="Times New Roman"/>
                <w:noProof/>
              </w:rPr>
            </w:pPr>
            <w:r>
              <w:rPr>
                <w:noProof/>
              </w:rPr>
              <w:t>368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C2D6A33" w14:textId="77777777" w:rsidR="003E1D81" w:rsidRDefault="00EB481C">
            <w:pPr>
              <w:pStyle w:val="P68B1DB1-Normal46"/>
              <w:spacing w:after="0" w:line="240" w:lineRule="auto"/>
              <w:rPr>
                <w:rFonts w:eastAsia="Times New Roman" w:cs="Times New Roman"/>
                <w:noProof/>
              </w:rPr>
            </w:pPr>
            <w:r>
              <w:rPr>
                <w:noProof/>
              </w:rPr>
              <w:t>C26.R2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5500E4D"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B418FD8" w14:textId="77777777" w:rsidR="003E1D81" w:rsidRDefault="00EB481C">
            <w:pPr>
              <w:pStyle w:val="P68B1DB1-Normal46"/>
              <w:spacing w:after="0" w:line="240" w:lineRule="auto"/>
              <w:rPr>
                <w:rFonts w:eastAsia="Times New Roman" w:cs="Times New Roman"/>
                <w:noProof/>
              </w:rPr>
            </w:pPr>
            <w:r>
              <w:rPr>
                <w:noProof/>
              </w:rPr>
              <w:t xml:space="preserve">Az egyes sportszakmák szabályozásáról szóló törvény hatálybalépése </w:t>
            </w:r>
          </w:p>
        </w:tc>
      </w:tr>
      <w:tr w:rsidR="003E1D81" w14:paraId="337BDDF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3C3CEA" w14:textId="77777777" w:rsidR="003E1D81" w:rsidRDefault="00EB481C">
            <w:pPr>
              <w:pStyle w:val="P68B1DB1-Normal46"/>
              <w:spacing w:after="0" w:line="240" w:lineRule="auto"/>
              <w:rPr>
                <w:rFonts w:eastAsia="Times New Roman" w:cs="Times New Roman"/>
                <w:noProof/>
              </w:rPr>
            </w:pPr>
            <w:r>
              <w:rPr>
                <w:noProof/>
              </w:rPr>
              <w:t>369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3F9A22A" w14:textId="77777777" w:rsidR="003E1D81" w:rsidRDefault="00EB481C">
            <w:pPr>
              <w:pStyle w:val="P68B1DB1-Normal46"/>
              <w:spacing w:after="0" w:line="240" w:lineRule="auto"/>
              <w:rPr>
                <w:rFonts w:eastAsia="Times New Roman" w:cs="Times New Roman"/>
                <w:noProof/>
              </w:rPr>
            </w:pPr>
            <w:r>
              <w:rPr>
                <w:noProof/>
              </w:rPr>
              <w:t>C26.R3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CF1832"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5E0286D" w14:textId="77777777" w:rsidR="003E1D81" w:rsidRDefault="00EB481C">
            <w:pPr>
              <w:pStyle w:val="P68B1DB1-Normal46"/>
              <w:spacing w:after="0" w:line="240" w:lineRule="auto"/>
              <w:rPr>
                <w:rFonts w:eastAsia="Times New Roman" w:cs="Times New Roman"/>
                <w:noProof/>
              </w:rPr>
            </w:pPr>
            <w:r>
              <w:rPr>
                <w:noProof/>
              </w:rPr>
              <w:t>Az ülő életmód és a testmozgás hiánya elleni sport előmozdítására irányuló nemzeti stratégia</w:t>
            </w:r>
          </w:p>
        </w:tc>
      </w:tr>
      <w:tr w:rsidR="003E1D81" w14:paraId="63AE35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FE92F6" w14:textId="77777777" w:rsidR="003E1D81" w:rsidRDefault="00EB481C">
            <w:pPr>
              <w:pStyle w:val="P68B1DB1-Normal46"/>
              <w:spacing w:after="0" w:line="240" w:lineRule="auto"/>
              <w:rPr>
                <w:rFonts w:eastAsia="Times New Roman" w:cs="Times New Roman"/>
                <w:noProof/>
              </w:rPr>
            </w:pPr>
            <w:r>
              <w:rPr>
                <w:noProof/>
              </w:rPr>
              <w:t>371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E58BF7C" w14:textId="77777777" w:rsidR="003E1D81" w:rsidRDefault="00EB481C">
            <w:pPr>
              <w:pStyle w:val="P68B1DB1-Normal46"/>
              <w:spacing w:after="0" w:line="240" w:lineRule="auto"/>
              <w:rPr>
                <w:rFonts w:eastAsia="Times New Roman" w:cs="Times New Roman"/>
                <w:noProof/>
              </w:rPr>
            </w:pPr>
            <w:r>
              <w:rPr>
                <w:noProof/>
              </w:rPr>
              <w:t>C26.I1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DB6C2E6"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75FDD00" w14:textId="77777777" w:rsidR="003E1D81" w:rsidRDefault="00EB481C">
            <w:pPr>
              <w:pStyle w:val="P68B1DB1-Normal46"/>
              <w:spacing w:after="0" w:line="240" w:lineRule="auto"/>
              <w:rPr>
                <w:rFonts w:eastAsia="Times New Roman" w:cs="Times New Roman"/>
                <w:noProof/>
              </w:rPr>
            </w:pPr>
            <w:r>
              <w:rPr>
                <w:noProof/>
              </w:rPr>
              <w:t xml:space="preserve">Sportorvosi központok </w:t>
            </w:r>
          </w:p>
        </w:tc>
      </w:tr>
      <w:tr w:rsidR="003E1D81" w14:paraId="4DC1DF3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38C439" w14:textId="77777777" w:rsidR="003E1D81" w:rsidRDefault="00EB481C">
            <w:pPr>
              <w:pStyle w:val="P68B1DB1-Normal46"/>
              <w:spacing w:after="0" w:line="240" w:lineRule="auto"/>
              <w:rPr>
                <w:rFonts w:eastAsia="Times New Roman" w:cs="Times New Roman"/>
                <w:noProof/>
              </w:rPr>
            </w:pPr>
            <w:r>
              <w:rPr>
                <w:noProof/>
              </w:rPr>
              <w:t>375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CC9000" w14:textId="77777777" w:rsidR="003E1D81" w:rsidRDefault="00EB481C">
            <w:pPr>
              <w:pStyle w:val="P68B1DB1-Normal46"/>
              <w:spacing w:after="0" w:line="240" w:lineRule="auto"/>
              <w:rPr>
                <w:rFonts w:eastAsia="Times New Roman" w:cs="Times New Roman"/>
                <w:noProof/>
              </w:rPr>
            </w:pPr>
            <w:r>
              <w:rPr>
                <w:noProof/>
              </w:rPr>
              <w:t>C26.I3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3BD5346" w14:textId="77777777" w:rsidR="003E1D81" w:rsidRDefault="00EB481C">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1308742" w14:textId="77777777" w:rsidR="003E1D81" w:rsidRDefault="00EB481C">
            <w:pPr>
              <w:pStyle w:val="P68B1DB1-Normal46"/>
              <w:spacing w:after="0" w:line="240" w:lineRule="auto"/>
              <w:rPr>
                <w:rFonts w:eastAsia="Times New Roman" w:cs="Times New Roman"/>
                <w:noProof/>
              </w:rPr>
            </w:pPr>
            <w:r>
              <w:rPr>
                <w:noProof/>
              </w:rPr>
              <w:t xml:space="preserve">A </w:t>
            </w:r>
            <w:r>
              <w:rPr>
                <w:noProof/>
              </w:rPr>
              <w:t>sportra vonatkozó szociális terv intézkedéseinek lezárása</w:t>
            </w:r>
          </w:p>
        </w:tc>
      </w:tr>
      <w:tr w:rsidR="003E1D81" w14:paraId="47BA7F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9D44EE" w14:textId="77777777" w:rsidR="003E1D81" w:rsidRDefault="00EB481C">
            <w:pPr>
              <w:pStyle w:val="P68B1DB1-Normal46"/>
              <w:spacing w:after="0" w:line="240" w:lineRule="auto"/>
              <w:rPr>
                <w:rFonts w:eastAsia="Times New Roman" w:cs="Times New Roman"/>
                <w:noProof/>
              </w:rPr>
            </w:pPr>
            <w:r>
              <w:rPr>
                <w:noProof/>
              </w:rPr>
              <w:t>382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96A3348" w14:textId="77777777" w:rsidR="003E1D81" w:rsidRDefault="00EB481C">
            <w:pPr>
              <w:pStyle w:val="P68B1DB1-Normal46"/>
              <w:spacing w:after="0" w:line="240" w:lineRule="auto"/>
              <w:rPr>
                <w:rFonts w:eastAsia="Times New Roman" w:cs="Times New Roman"/>
                <w:noProof/>
              </w:rPr>
            </w:pPr>
            <w:r>
              <w:rPr>
                <w:noProof/>
              </w:rPr>
              <w:t>C27.R3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A3E1C4F"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D0E3A7" w14:textId="77777777" w:rsidR="003E1D81" w:rsidRDefault="00EB481C">
            <w:pPr>
              <w:pStyle w:val="P68B1DB1-Normal46"/>
              <w:spacing w:after="0" w:line="240" w:lineRule="auto"/>
              <w:rPr>
                <w:rFonts w:eastAsia="Times New Roman" w:cs="Times New Roman"/>
                <w:noProof/>
              </w:rPr>
            </w:pPr>
            <w:r>
              <w:rPr>
                <w:noProof/>
              </w:rPr>
              <w:t>Négy digitális támogatási platform megvalósítása</w:t>
            </w:r>
          </w:p>
        </w:tc>
      </w:tr>
      <w:tr w:rsidR="003E1D81" w14:paraId="256ED7C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AE2EA" w14:textId="77777777" w:rsidR="003E1D81" w:rsidRDefault="00EB481C">
            <w:pPr>
              <w:pStyle w:val="P68B1DB1-Normal46"/>
              <w:spacing w:after="0" w:line="240" w:lineRule="auto"/>
              <w:rPr>
                <w:rFonts w:eastAsia="Times New Roman" w:cs="Times New Roman"/>
                <w:noProof/>
              </w:rPr>
            </w:pPr>
            <w:r>
              <w:rPr>
                <w:noProof/>
              </w:rPr>
              <w:t>405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49FFD6F" w14:textId="77777777" w:rsidR="003E1D81" w:rsidRDefault="00EB481C">
            <w:pPr>
              <w:pStyle w:val="P68B1DB1-Normal46"/>
              <w:spacing w:after="0" w:line="240" w:lineRule="auto"/>
              <w:rPr>
                <w:rFonts w:eastAsia="Times New Roman" w:cs="Times New Roman"/>
                <w:noProof/>
              </w:rPr>
            </w:pPr>
            <w:r>
              <w:rPr>
                <w:noProof/>
              </w:rPr>
              <w:t>C29.R3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8CA374E"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0B89D13" w14:textId="77777777" w:rsidR="003E1D81" w:rsidRDefault="00EB481C">
            <w:pPr>
              <w:pStyle w:val="P68B1DB1-Normal46"/>
              <w:spacing w:after="0" w:line="240" w:lineRule="auto"/>
              <w:rPr>
                <w:rFonts w:eastAsia="Times New Roman" w:cs="Times New Roman"/>
                <w:noProof/>
              </w:rPr>
            </w:pPr>
            <w:r>
              <w:rPr>
                <w:noProof/>
              </w:rPr>
              <w:t>Jelentés a környezetbarát költségvetés-tervezés összehangolásáról</w:t>
            </w:r>
          </w:p>
        </w:tc>
      </w:tr>
      <w:tr w:rsidR="003E1D81" w14:paraId="75490AE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584954" w14:textId="77777777" w:rsidR="003E1D81" w:rsidRDefault="00EB481C">
            <w:pPr>
              <w:pStyle w:val="P68B1DB1-Normal46"/>
              <w:spacing w:after="0" w:line="240" w:lineRule="auto"/>
              <w:rPr>
                <w:rFonts w:eastAsia="Times New Roman" w:cs="Times New Roman"/>
                <w:noProof/>
              </w:rPr>
            </w:pPr>
            <w:r>
              <w:rPr>
                <w:noProof/>
              </w:rPr>
              <w:t>477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E01EE29" w14:textId="77777777" w:rsidR="003E1D81" w:rsidRDefault="00EB481C">
            <w:pPr>
              <w:pStyle w:val="P68B1DB1-Normal46"/>
              <w:spacing w:after="0" w:line="240" w:lineRule="auto"/>
              <w:rPr>
                <w:rFonts w:eastAsia="Times New Roman" w:cs="Times New Roman"/>
                <w:noProof/>
              </w:rPr>
            </w:pPr>
            <w:r>
              <w:rPr>
                <w:noProof/>
              </w:rPr>
              <w:t>C31.R1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B1A8226" w14:textId="77777777" w:rsidR="003E1D81" w:rsidRDefault="00EB481C">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2FFAAD3" w14:textId="77777777" w:rsidR="003E1D81" w:rsidRDefault="00EB481C">
            <w:pPr>
              <w:pStyle w:val="P68B1DB1-Normal46"/>
              <w:spacing w:after="0" w:line="240" w:lineRule="auto"/>
              <w:rPr>
                <w:rFonts w:eastAsia="Times New Roman" w:cs="Times New Roman"/>
                <w:noProof/>
              </w:rPr>
            </w:pPr>
            <w:r>
              <w:rPr>
                <w:noProof/>
              </w:rPr>
              <w:t xml:space="preserve">A megújulóenergia-termelés és a </w:t>
            </w:r>
            <w:r>
              <w:rPr>
                <w:noProof/>
              </w:rPr>
              <w:t>villamosenergia-hálózati infrastruktúra engedélyezésének javítására irányuló reform</w:t>
            </w:r>
          </w:p>
        </w:tc>
      </w:tr>
      <w:tr w:rsidR="003E1D81" w14:paraId="197CC35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55C68" w14:textId="77777777" w:rsidR="003E1D81" w:rsidRDefault="003E1D81">
            <w:pPr>
              <w:spacing w:after="0" w:line="240" w:lineRule="auto"/>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4C6D7CE" w14:textId="77777777" w:rsidR="003E1D81" w:rsidRDefault="003E1D81">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519B07" w14:textId="623FC744" w:rsidR="003E1D81" w:rsidRDefault="00EB481C">
            <w:pPr>
              <w:pStyle w:val="P68B1DB1-Normal45"/>
              <w:spacing w:after="0" w:line="240" w:lineRule="auto"/>
              <w:rPr>
                <w:rFonts w:eastAsia="Times New Roman" w:cs="Times New Roman"/>
                <w:noProof/>
              </w:rPr>
            </w:pPr>
            <w:r>
              <w:rPr>
                <w:noProof/>
              </w:rPr>
              <w:t>Részösszeg</w:t>
            </w:r>
          </w:p>
        </w:tc>
        <w:tc>
          <w:tcPr>
            <w:tcW w:w="5672" w:type="dxa"/>
            <w:tcBorders>
              <w:top w:val="single" w:sz="4" w:space="0" w:color="auto"/>
              <w:left w:val="nil"/>
              <w:bottom w:val="single" w:sz="4" w:space="0" w:color="auto"/>
              <w:right w:val="single" w:sz="4" w:space="0" w:color="auto"/>
            </w:tcBorders>
            <w:shd w:val="clear" w:color="auto" w:fill="C6EFCE"/>
            <w:noWrap/>
            <w:vAlign w:val="bottom"/>
          </w:tcPr>
          <w:p w14:paraId="64B5474A" w14:textId="55ED68B5" w:rsidR="003E1D81" w:rsidRDefault="00EB481C">
            <w:pPr>
              <w:pStyle w:val="P68B1DB1-Normal45"/>
              <w:spacing w:after="0" w:line="240" w:lineRule="auto"/>
              <w:rPr>
                <w:rFonts w:eastAsia="Times New Roman" w:cs="Times New Roman"/>
                <w:noProof/>
              </w:rPr>
            </w:pPr>
            <w:r>
              <w:rPr>
                <w:noProof/>
              </w:rPr>
              <w:t>·EURÓPAI BIZOTTSÁG 4 076 613 963 EUR</w:t>
            </w:r>
          </w:p>
        </w:tc>
      </w:tr>
    </w:tbl>
    <w:p w14:paraId="2A6E8E49" w14:textId="77777777" w:rsidR="003E1D81" w:rsidRDefault="003E1D81">
      <w:pPr>
        <w:spacing w:before="120" w:after="120" w:line="240" w:lineRule="auto"/>
        <w:jc w:val="both"/>
        <w:rPr>
          <w:rFonts w:ascii="Times New Roman" w:eastAsia="Calibri" w:hAnsi="Times New Roman" w:cs="Times New Roman"/>
          <w:noProof/>
          <w:sz w:val="20"/>
        </w:rPr>
      </w:pPr>
    </w:p>
    <w:p w14:paraId="6E555F62" w14:textId="77777777"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Hetedik részlet (vissza nem térítendő támogatás): </w:t>
      </w:r>
    </w:p>
    <w:tbl>
      <w:tblPr>
        <w:tblW w:w="9697" w:type="dxa"/>
        <w:tblInd w:w="113" w:type="dxa"/>
        <w:tblLook w:val="04A0" w:firstRow="1" w:lastRow="0" w:firstColumn="1" w:lastColumn="0" w:noHBand="0" w:noVBand="1"/>
      </w:tblPr>
      <w:tblGrid>
        <w:gridCol w:w="1300"/>
        <w:gridCol w:w="1443"/>
        <w:gridCol w:w="1416"/>
        <w:gridCol w:w="5704"/>
      </w:tblGrid>
      <w:tr w:rsidR="003E1D81" w14:paraId="65CCA498"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C391CC6" w14:textId="77777777" w:rsidR="003E1D81" w:rsidRDefault="00EB481C">
            <w:pPr>
              <w:pStyle w:val="P68B1DB1-Normal45"/>
              <w:spacing w:after="0" w:line="240" w:lineRule="auto"/>
              <w:jc w:val="center"/>
              <w:rPr>
                <w:rFonts w:eastAsia="Times New Roman" w:cs="Times New Roman"/>
                <w:noProof/>
              </w:rPr>
            </w:pPr>
            <w:r>
              <w:rPr>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611C09B" w14:textId="77777777" w:rsidR="003E1D81" w:rsidRDefault="00EB481C">
            <w:pPr>
              <w:pStyle w:val="P68B1DB1-Normal45"/>
              <w:spacing w:after="0" w:line="240" w:lineRule="auto"/>
              <w:jc w:val="center"/>
              <w:rPr>
                <w:rFonts w:eastAsia="Times New Roman" w:cs="Times New Roman"/>
                <w:noProof/>
              </w:rPr>
            </w:pPr>
            <w:r>
              <w:rPr>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216CAA2"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5704" w:type="dxa"/>
            <w:vMerge w:val="restart"/>
            <w:tcBorders>
              <w:top w:val="single" w:sz="4" w:space="0" w:color="auto"/>
              <w:left w:val="nil"/>
              <w:bottom w:val="single" w:sz="4" w:space="0" w:color="000000"/>
              <w:right w:val="single" w:sz="4" w:space="0" w:color="auto"/>
            </w:tcBorders>
            <w:shd w:val="clear" w:color="auto" w:fill="BDD7EE"/>
            <w:vAlign w:val="center"/>
            <w:hideMark/>
          </w:tcPr>
          <w:p w14:paraId="7F6877E6"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274F07CF"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6D346BD" w14:textId="77777777" w:rsidR="003E1D81" w:rsidRDefault="003E1D81">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24DB39A" w14:textId="77777777" w:rsidR="003E1D81" w:rsidRDefault="003E1D81">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9EFE700" w14:textId="77777777" w:rsidR="003E1D81" w:rsidRDefault="003E1D81">
            <w:pPr>
              <w:spacing w:after="0" w:line="240" w:lineRule="auto"/>
              <w:rPr>
                <w:rFonts w:ascii="Times New Roman" w:eastAsia="Times New Roman" w:hAnsi="Times New Roman" w:cs="Times New Roman"/>
                <w:b/>
                <w:noProof/>
                <w:sz w:val="20"/>
              </w:rPr>
            </w:pPr>
          </w:p>
        </w:tc>
        <w:tc>
          <w:tcPr>
            <w:tcW w:w="5704" w:type="dxa"/>
            <w:vMerge/>
            <w:tcBorders>
              <w:top w:val="single" w:sz="4" w:space="0" w:color="auto"/>
              <w:left w:val="nil"/>
              <w:bottom w:val="single" w:sz="4" w:space="0" w:color="000000"/>
              <w:right w:val="single" w:sz="4" w:space="0" w:color="auto"/>
            </w:tcBorders>
            <w:vAlign w:val="center"/>
            <w:hideMark/>
          </w:tcPr>
          <w:p w14:paraId="237DAC7D" w14:textId="77777777" w:rsidR="003E1D81" w:rsidRDefault="003E1D81">
            <w:pPr>
              <w:spacing w:after="0" w:line="240" w:lineRule="auto"/>
              <w:rPr>
                <w:rFonts w:ascii="Times New Roman" w:eastAsia="Times New Roman" w:hAnsi="Times New Roman" w:cs="Times New Roman"/>
                <w:b/>
                <w:noProof/>
                <w:sz w:val="20"/>
              </w:rPr>
            </w:pPr>
          </w:p>
        </w:tc>
      </w:tr>
      <w:tr w:rsidR="003E1D81" w14:paraId="2964FF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EB6638" w14:textId="77777777" w:rsidR="003E1D81" w:rsidRDefault="00EB481C">
            <w:pPr>
              <w:pStyle w:val="P68B1DB1-Normal46"/>
              <w:spacing w:after="0" w:line="240" w:lineRule="auto"/>
              <w:jc w:val="center"/>
              <w:rPr>
                <w:rFonts w:eastAsia="Times New Roman" w:cs="Times New Roman"/>
                <w:noProof/>
              </w:rPr>
            </w:pPr>
            <w:r>
              <w:rPr>
                <w:noProof/>
              </w:rPr>
              <w:t>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BD39E6" w14:textId="77777777" w:rsidR="003E1D81" w:rsidRDefault="00EB481C">
            <w:pPr>
              <w:pStyle w:val="P68B1DB1-Normal46"/>
              <w:spacing w:after="0" w:line="240" w:lineRule="auto"/>
              <w:rPr>
                <w:rFonts w:eastAsia="Times New Roman" w:cs="Times New Roman"/>
                <w:noProof/>
              </w:rPr>
            </w:pPr>
            <w:r>
              <w:rPr>
                <w:noProof/>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63184C"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CA82375" w14:textId="77777777" w:rsidR="003E1D81" w:rsidRDefault="00EB481C">
            <w:pPr>
              <w:pStyle w:val="P68B1DB1-Normal46"/>
              <w:spacing w:after="0" w:line="240" w:lineRule="auto"/>
              <w:rPr>
                <w:rFonts w:eastAsia="Times New Roman" w:cs="Times New Roman"/>
                <w:noProof/>
              </w:rPr>
            </w:pPr>
            <w:r>
              <w:rPr>
                <w:noProof/>
              </w:rPr>
              <w:t xml:space="preserve">A fenntartható mobilitásról szóló törvény elfogadása </w:t>
            </w:r>
          </w:p>
        </w:tc>
      </w:tr>
      <w:tr w:rsidR="003E1D81" w14:paraId="4241E17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8C6947" w14:textId="77777777" w:rsidR="003E1D81" w:rsidRDefault="00EB481C">
            <w:pPr>
              <w:pStyle w:val="P68B1DB1-Normal46"/>
              <w:spacing w:after="0" w:line="240" w:lineRule="auto"/>
              <w:jc w:val="center"/>
              <w:rPr>
                <w:rFonts w:eastAsia="Times New Roman" w:cs="Times New Roman"/>
                <w:noProof/>
              </w:rPr>
            </w:pPr>
            <w:r>
              <w:rPr>
                <w:noProof/>
              </w:rPr>
              <w:t>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FABB3" w14:textId="77777777" w:rsidR="003E1D81" w:rsidRDefault="00EB481C">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5AC2DF"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F2E4D7" w14:textId="77777777" w:rsidR="003E1D81" w:rsidRDefault="00EB481C">
            <w:pPr>
              <w:pStyle w:val="P68B1DB1-Normal46"/>
              <w:spacing w:after="0" w:line="240" w:lineRule="auto"/>
              <w:rPr>
                <w:rFonts w:eastAsia="Times New Roman" w:cs="Times New Roman"/>
                <w:noProof/>
              </w:rPr>
            </w:pPr>
            <w:r>
              <w:rPr>
                <w:noProof/>
              </w:rPr>
              <w:t>A fenntartható mobilitás előmozdítását célzó beszerzésekre fordított vagy az önkormányzatok által odaítélt költségvetés</w:t>
            </w:r>
          </w:p>
        </w:tc>
      </w:tr>
      <w:tr w:rsidR="003E1D81" w14:paraId="4C0929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72CE58" w14:textId="77777777" w:rsidR="003E1D81" w:rsidRDefault="00EB481C">
            <w:pPr>
              <w:pStyle w:val="P68B1DB1-Normal46"/>
              <w:spacing w:after="0" w:line="240" w:lineRule="auto"/>
              <w:jc w:val="center"/>
              <w:rPr>
                <w:rFonts w:eastAsia="Times New Roman" w:cs="Times New Roman"/>
                <w:noProof/>
              </w:rPr>
            </w:pPr>
            <w:r>
              <w:rPr>
                <w:noProof/>
              </w:rPr>
              <w:t>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362F070" w14:textId="77777777" w:rsidR="003E1D81" w:rsidRDefault="00EB481C">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AEFD3D"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535CD14" w14:textId="77777777" w:rsidR="003E1D81" w:rsidRDefault="00EB481C">
            <w:pPr>
              <w:pStyle w:val="P68B1DB1-Normal46"/>
              <w:spacing w:after="0" w:line="240" w:lineRule="auto"/>
              <w:rPr>
                <w:rFonts w:eastAsia="Times New Roman" w:cs="Times New Roman"/>
                <w:noProof/>
              </w:rPr>
            </w:pPr>
            <w:r>
              <w:rPr>
                <w:noProof/>
              </w:rPr>
              <w:t xml:space="preserve">Díj az állami közutakon a mobilitás új </w:t>
            </w:r>
            <w:r>
              <w:rPr>
                <w:noProof/>
              </w:rPr>
              <w:t>formáit javító projektekben</w:t>
            </w:r>
          </w:p>
        </w:tc>
      </w:tr>
      <w:tr w:rsidR="003E1D81" w14:paraId="32BAE1C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86CDB5" w14:textId="77777777" w:rsidR="003E1D81" w:rsidRDefault="00EB481C">
            <w:pPr>
              <w:pStyle w:val="P68B1DB1-Normal46"/>
              <w:spacing w:after="0" w:line="240" w:lineRule="auto"/>
              <w:jc w:val="center"/>
              <w:rPr>
                <w:rFonts w:eastAsia="Times New Roman" w:cs="Times New Roman"/>
                <w:noProof/>
              </w:rPr>
            </w:pPr>
            <w:r>
              <w:rPr>
                <w:noProof/>
              </w:rPr>
              <w:t>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8E5871" w14:textId="77777777" w:rsidR="003E1D81" w:rsidRDefault="00EB481C">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E3D007"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DB06260" w14:textId="77777777" w:rsidR="003E1D81" w:rsidRDefault="00EB481C">
            <w:pPr>
              <w:pStyle w:val="P68B1DB1-Normal46"/>
              <w:spacing w:after="0" w:line="240" w:lineRule="auto"/>
              <w:rPr>
                <w:rFonts w:eastAsia="Times New Roman" w:cs="Times New Roman"/>
                <w:noProof/>
              </w:rPr>
            </w:pPr>
            <w:r>
              <w:rPr>
                <w:noProof/>
              </w:rPr>
              <w:t xml:space="preserve">A rövid távolságú vasútvonalakba történő beruházásokra megítélt halmozott költségvetés </w:t>
            </w:r>
          </w:p>
        </w:tc>
      </w:tr>
      <w:tr w:rsidR="003E1D81" w14:paraId="4C83CE9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756903" w14:textId="77777777" w:rsidR="003E1D81" w:rsidRDefault="00EB481C">
            <w:pPr>
              <w:pStyle w:val="P68B1DB1-Normal46"/>
              <w:spacing w:after="0" w:line="240" w:lineRule="auto"/>
              <w:jc w:val="center"/>
              <w:rPr>
                <w:rFonts w:eastAsia="Times New Roman" w:cs="Times New Roman"/>
                <w:noProof/>
              </w:rPr>
            </w:pPr>
            <w:r>
              <w:rPr>
                <w:noProof/>
              </w:rPr>
              <w:t>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4A7561" w14:textId="77777777" w:rsidR="003E1D81" w:rsidRDefault="00EB481C">
            <w:pPr>
              <w:pStyle w:val="P68B1DB1-Normal46"/>
              <w:spacing w:after="0" w:line="240" w:lineRule="auto"/>
              <w:rPr>
                <w:rFonts w:eastAsia="Times New Roman" w:cs="Times New Roman"/>
                <w:noProof/>
              </w:rPr>
            </w:pPr>
            <w:r>
              <w:rPr>
                <w:noProof/>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85C32F"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69DBDB6" w14:textId="77777777" w:rsidR="003E1D81" w:rsidRDefault="00EB481C">
            <w:pPr>
              <w:pStyle w:val="P68B1DB1-Normal46"/>
              <w:spacing w:after="0" w:line="240" w:lineRule="auto"/>
              <w:rPr>
                <w:rFonts w:eastAsia="Times New Roman" w:cs="Times New Roman"/>
                <w:noProof/>
              </w:rPr>
            </w:pPr>
            <w:r>
              <w:rPr>
                <w:noProof/>
              </w:rPr>
              <w:t xml:space="preserve">Lakóépület-felújítási intézkedések vagy lakóépület-felújítási intézkedések végrehajtásához nyújtott támogatásról </w:t>
            </w:r>
            <w:r>
              <w:rPr>
                <w:noProof/>
              </w:rPr>
              <w:t>szóló határozatok végrehajtása, átlagosan legalább 30%-os primerenergia-igénycsökkentés elérése vagy elérése (legalább 231000 intézkedés legalább 160000 egyedi lakásban)</w:t>
            </w:r>
          </w:p>
        </w:tc>
      </w:tr>
      <w:tr w:rsidR="003E1D81" w14:paraId="7C6C85C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98C6F9" w14:textId="77777777" w:rsidR="003E1D81" w:rsidRDefault="00EB481C">
            <w:pPr>
              <w:pStyle w:val="P68B1DB1-Normal46"/>
              <w:spacing w:after="0" w:line="240" w:lineRule="auto"/>
              <w:jc w:val="center"/>
              <w:rPr>
                <w:rFonts w:eastAsia="Times New Roman" w:cs="Times New Roman"/>
                <w:noProof/>
              </w:rPr>
            </w:pPr>
            <w:r>
              <w:rPr>
                <w:noProof/>
              </w:rPr>
              <w:t>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163C0A" w14:textId="77777777" w:rsidR="003E1D81" w:rsidRDefault="00EB481C">
            <w:pPr>
              <w:pStyle w:val="P68B1DB1-Normal46"/>
              <w:spacing w:after="0" w:line="240" w:lineRule="auto"/>
              <w:rPr>
                <w:rFonts w:eastAsia="Times New Roman" w:cs="Times New Roman"/>
                <w:noProof/>
              </w:rPr>
            </w:pPr>
            <w:r>
              <w:rPr>
                <w:noProof/>
              </w:rPr>
              <w:t>C2.I5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0A0F97"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0050A65" w14:textId="77777777" w:rsidR="003E1D81" w:rsidRDefault="00EB481C">
            <w:pPr>
              <w:pStyle w:val="P68B1DB1-Normal46"/>
              <w:spacing w:after="0" w:line="240" w:lineRule="auto"/>
              <w:rPr>
                <w:rFonts w:eastAsia="Times New Roman" w:cs="Times New Roman"/>
                <w:noProof/>
              </w:rPr>
            </w:pPr>
            <w:r>
              <w:rPr>
                <w:noProof/>
              </w:rPr>
              <w:t>A középületek felújításának befejezése, átlagosan legalább 30%-os primeren</w:t>
            </w:r>
            <w:r>
              <w:rPr>
                <w:noProof/>
              </w:rPr>
              <w:t>ergia-igénycsökkenés elérése (legalább 290 000 m²)</w:t>
            </w:r>
          </w:p>
        </w:tc>
      </w:tr>
      <w:tr w:rsidR="003E1D81" w14:paraId="46F465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5603C1" w14:textId="77777777" w:rsidR="003E1D81" w:rsidRDefault="00EB481C">
            <w:pPr>
              <w:pStyle w:val="P68B1DB1-Normal46"/>
              <w:spacing w:after="0" w:line="240" w:lineRule="auto"/>
              <w:jc w:val="center"/>
              <w:rPr>
                <w:rFonts w:eastAsia="Times New Roman" w:cs="Times New Roman"/>
                <w:noProof/>
              </w:rPr>
            </w:pPr>
            <w:r>
              <w:rPr>
                <w:noProof/>
              </w:rPr>
              <w:t>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DAEDBE" w14:textId="77777777" w:rsidR="003E1D81" w:rsidRDefault="00EB481C">
            <w:pPr>
              <w:pStyle w:val="P68B1DB1-Normal46"/>
              <w:spacing w:after="0" w:line="240" w:lineRule="auto"/>
              <w:rPr>
                <w:rFonts w:eastAsia="Times New Roman" w:cs="Times New Roman"/>
                <w:noProof/>
              </w:rPr>
            </w:pPr>
            <w:r>
              <w:rPr>
                <w:noProof/>
              </w:rPr>
              <w:t>C3.I3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DF3157"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274D3F6" w14:textId="77777777" w:rsidR="003E1D81" w:rsidRDefault="00EB481C">
            <w:pPr>
              <w:pStyle w:val="P68B1DB1-Normal46"/>
              <w:spacing w:after="0" w:line="240" w:lineRule="auto"/>
              <w:rPr>
                <w:rFonts w:eastAsia="Times New Roman" w:cs="Times New Roman"/>
                <w:noProof/>
              </w:rPr>
            </w:pPr>
            <w:r>
              <w:rPr>
                <w:noProof/>
              </w:rPr>
              <w:t>A tisztító- és fertőtlenítő központok, valamint a növényi szaporítóanyag-előállító központok fejlesztése megerősített képzési és biológiai védelmi rendszerekkel</w:t>
            </w:r>
          </w:p>
        </w:tc>
      </w:tr>
      <w:tr w:rsidR="003E1D81" w14:paraId="1558A95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8DD1CC5" w14:textId="77777777" w:rsidR="003E1D81" w:rsidRDefault="00EB481C">
            <w:pPr>
              <w:pStyle w:val="P68B1DB1-Normal46"/>
              <w:spacing w:after="0" w:line="240" w:lineRule="auto"/>
              <w:jc w:val="center"/>
              <w:rPr>
                <w:rFonts w:eastAsia="Times New Roman" w:cs="Times New Roman"/>
                <w:noProof/>
              </w:rPr>
            </w:pPr>
            <w:r>
              <w:rPr>
                <w:noProof/>
              </w:rPr>
              <w:t>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A58736" w14:textId="77777777" w:rsidR="003E1D81" w:rsidRDefault="00EB481C">
            <w:pPr>
              <w:pStyle w:val="P68B1DB1-Normal46"/>
              <w:spacing w:after="0" w:line="240" w:lineRule="auto"/>
              <w:rPr>
                <w:rFonts w:eastAsia="Times New Roman" w:cs="Times New Roman"/>
                <w:noProof/>
              </w:rPr>
            </w:pPr>
            <w:r>
              <w:rPr>
                <w:noProof/>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40EDB1"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7EB9FA8" w14:textId="77777777" w:rsidR="003E1D81" w:rsidRDefault="00EB481C">
            <w:pPr>
              <w:pStyle w:val="P68B1DB1-Normal46"/>
              <w:spacing w:after="0" w:line="240" w:lineRule="auto"/>
              <w:rPr>
                <w:rFonts w:eastAsia="Times New Roman" w:cs="Times New Roman"/>
                <w:noProof/>
              </w:rPr>
            </w:pPr>
            <w:r>
              <w:rPr>
                <w:noProof/>
              </w:rPr>
              <w:t xml:space="preserve">TEN-T törzshálózat: a munka előrehaladása </w:t>
            </w:r>
          </w:p>
        </w:tc>
      </w:tr>
      <w:tr w:rsidR="003E1D81" w14:paraId="6C032F0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65B9D1" w14:textId="77777777" w:rsidR="003E1D81" w:rsidRDefault="00EB481C">
            <w:pPr>
              <w:pStyle w:val="P68B1DB1-Normal46"/>
              <w:spacing w:after="0" w:line="240" w:lineRule="auto"/>
              <w:jc w:val="center"/>
              <w:rPr>
                <w:rFonts w:eastAsia="Times New Roman" w:cs="Times New Roman"/>
                <w:noProof/>
              </w:rPr>
            </w:pPr>
            <w:r>
              <w:rPr>
                <w:noProof/>
              </w:rPr>
              <w:t>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962B6B" w14:textId="77777777" w:rsidR="003E1D81" w:rsidRDefault="00EB481C">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0C6CF4"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DBCB89D" w14:textId="77777777" w:rsidR="003E1D81" w:rsidRDefault="00EB481C">
            <w:pPr>
              <w:pStyle w:val="P68B1DB1-Normal46"/>
              <w:spacing w:after="0" w:line="240" w:lineRule="auto"/>
              <w:rPr>
                <w:rFonts w:eastAsia="Times New Roman" w:cs="Times New Roman"/>
                <w:noProof/>
              </w:rPr>
            </w:pPr>
            <w:r>
              <w:rPr>
                <w:noProof/>
              </w:rPr>
              <w:t>Nem törzshálózati TEN-T hálózat: a vasúti munkálatok előrehaladása</w:t>
            </w:r>
          </w:p>
        </w:tc>
      </w:tr>
      <w:tr w:rsidR="003E1D81" w14:paraId="39542FD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312BFD" w14:textId="77777777" w:rsidR="003E1D81" w:rsidRDefault="00EB481C">
            <w:pPr>
              <w:pStyle w:val="P68B1DB1-Normal46"/>
              <w:spacing w:after="0" w:line="240" w:lineRule="auto"/>
              <w:jc w:val="center"/>
              <w:rPr>
                <w:rFonts w:eastAsia="Times New Roman" w:cs="Times New Roman"/>
                <w:noProof/>
              </w:rPr>
            </w:pPr>
            <w:r>
              <w:rPr>
                <w:noProof/>
              </w:rPr>
              <w:t>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6716525" w14:textId="77777777" w:rsidR="003E1D81" w:rsidRDefault="00EB481C">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7422D49"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0D01220" w14:textId="77777777" w:rsidR="003E1D81" w:rsidRDefault="00EB481C">
            <w:pPr>
              <w:pStyle w:val="P68B1DB1-Normal46"/>
              <w:spacing w:after="0" w:line="240" w:lineRule="auto"/>
              <w:rPr>
                <w:rFonts w:eastAsia="Times New Roman" w:cs="Times New Roman"/>
                <w:noProof/>
              </w:rPr>
            </w:pPr>
            <w:r>
              <w:rPr>
                <w:noProof/>
              </w:rPr>
              <w:t>Egységes európai égbolt: odaítélt projekt és a projektek befejezésének előrehaladása</w:t>
            </w:r>
          </w:p>
        </w:tc>
      </w:tr>
      <w:tr w:rsidR="003E1D81" w14:paraId="03956CA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BC1941" w14:textId="77777777" w:rsidR="003E1D81" w:rsidRDefault="00EB481C">
            <w:pPr>
              <w:pStyle w:val="P68B1DB1-Normal46"/>
              <w:spacing w:after="0" w:line="240" w:lineRule="auto"/>
              <w:jc w:val="center"/>
              <w:rPr>
                <w:rFonts w:eastAsia="Times New Roman" w:cs="Times New Roman"/>
                <w:noProof/>
              </w:rPr>
            </w:pPr>
            <w:r>
              <w:rPr>
                <w:noProof/>
              </w:rPr>
              <w:t>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21BDC2" w14:textId="77777777" w:rsidR="003E1D81" w:rsidRDefault="00EB481C">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79B216"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0B1E470" w14:textId="77777777" w:rsidR="003E1D81" w:rsidRDefault="00EB481C">
            <w:pPr>
              <w:pStyle w:val="P68B1DB1-Normal46"/>
              <w:spacing w:after="0" w:line="240" w:lineRule="auto"/>
              <w:rPr>
                <w:rFonts w:eastAsia="Times New Roman" w:cs="Times New Roman"/>
                <w:noProof/>
              </w:rPr>
            </w:pPr>
            <w:r>
              <w:rPr>
                <w:noProof/>
              </w:rPr>
              <w:t xml:space="preserve">A Közlekedési, </w:t>
            </w:r>
            <w:r>
              <w:rPr>
                <w:noProof/>
              </w:rPr>
              <w:t>Mobilitáspolitikai és Városfejlesztési Minisztérium digitalizációja</w:t>
            </w:r>
          </w:p>
        </w:tc>
      </w:tr>
      <w:tr w:rsidR="003E1D81" w14:paraId="73CD546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757BCA" w14:textId="77777777" w:rsidR="003E1D81" w:rsidRDefault="00EB481C">
            <w:pPr>
              <w:pStyle w:val="P68B1DB1-Normal46"/>
              <w:spacing w:after="0" w:line="240" w:lineRule="auto"/>
              <w:jc w:val="center"/>
              <w:rPr>
                <w:rFonts w:eastAsia="Times New Roman" w:cs="Times New Roman"/>
                <w:noProof/>
              </w:rPr>
            </w:pPr>
            <w:r>
              <w:rPr>
                <w:noProof/>
              </w:rPr>
              <w:t>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1AAE4E" w14:textId="77777777" w:rsidR="003E1D81" w:rsidRDefault="00EB481C">
            <w:pPr>
              <w:pStyle w:val="P68B1DB1-Normal46"/>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9DA978"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17B5736" w14:textId="77777777" w:rsidR="003E1D81" w:rsidRDefault="00EB481C">
            <w:pPr>
              <w:pStyle w:val="P68B1DB1-Normal46"/>
              <w:spacing w:after="0" w:line="240" w:lineRule="auto"/>
              <w:rPr>
                <w:rFonts w:eastAsia="Times New Roman" w:cs="Times New Roman"/>
                <w:noProof/>
              </w:rPr>
            </w:pPr>
            <w:r>
              <w:rPr>
                <w:noProof/>
              </w:rPr>
              <w:t xml:space="preserve">Az intermodális és logisztikai infrastruktúra költségvetésének végrehajtása </w:t>
            </w:r>
          </w:p>
        </w:tc>
      </w:tr>
      <w:tr w:rsidR="003E1D81" w14:paraId="236FAA8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2C16EA" w14:textId="77777777" w:rsidR="003E1D81" w:rsidRDefault="00EB481C">
            <w:pPr>
              <w:pStyle w:val="P68B1DB1-Normal46"/>
              <w:spacing w:after="0" w:line="240" w:lineRule="auto"/>
              <w:jc w:val="center"/>
              <w:rPr>
                <w:rFonts w:eastAsia="Times New Roman" w:cs="Times New Roman"/>
                <w:noProof/>
              </w:rPr>
            </w:pPr>
            <w:r>
              <w:rPr>
                <w:noProof/>
              </w:rPr>
              <w:t>100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77DB0F" w14:textId="77777777" w:rsidR="003E1D81" w:rsidRDefault="00EB481C">
            <w:pPr>
              <w:pStyle w:val="P68B1DB1-Normal46"/>
              <w:spacing w:after="0" w:line="240" w:lineRule="auto"/>
              <w:rPr>
                <w:rFonts w:eastAsia="Times New Roman" w:cs="Times New Roman"/>
                <w:noProof/>
              </w:rPr>
            </w:pPr>
            <w:r>
              <w:rPr>
                <w:noProof/>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E1BB64D"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82D7860" w14:textId="77777777" w:rsidR="003E1D81" w:rsidRDefault="00EB481C">
            <w:pPr>
              <w:pStyle w:val="P68B1DB1-Normal46"/>
              <w:spacing w:after="0" w:line="240" w:lineRule="auto"/>
              <w:rPr>
                <w:rFonts w:eastAsia="Times New Roman" w:cs="Times New Roman"/>
                <w:noProof/>
              </w:rPr>
            </w:pPr>
            <w:r>
              <w:rPr>
                <w:noProof/>
              </w:rPr>
              <w:t>Fenntartható és digitális közlekedés: a munkálatok kezdete</w:t>
            </w:r>
          </w:p>
        </w:tc>
      </w:tr>
      <w:tr w:rsidR="003E1D81" w14:paraId="1E9A01F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EDEAF7" w14:textId="77777777" w:rsidR="003E1D81" w:rsidRDefault="00EB481C">
            <w:pPr>
              <w:pStyle w:val="P68B1DB1-Normal46"/>
              <w:spacing w:after="0" w:line="240" w:lineRule="auto"/>
              <w:jc w:val="center"/>
              <w:rPr>
                <w:rFonts w:eastAsia="Times New Roman" w:cs="Times New Roman"/>
                <w:noProof/>
              </w:rPr>
            </w:pPr>
            <w:r>
              <w:rPr>
                <w:noProof/>
              </w:rPr>
              <w:t>111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5BCB1C" w14:textId="77777777" w:rsidR="003E1D81" w:rsidRDefault="00EB481C">
            <w:pPr>
              <w:pStyle w:val="P68B1DB1-Normal46"/>
              <w:spacing w:after="0" w:line="240" w:lineRule="auto"/>
              <w:rPr>
                <w:rFonts w:eastAsia="Times New Roman" w:cs="Times New Roman"/>
                <w:noProof/>
              </w:rPr>
            </w:pPr>
            <w:r>
              <w:rPr>
                <w:noProof/>
              </w:rPr>
              <w:t>C7.R3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8BF905"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3DCF46F" w14:textId="77777777" w:rsidR="003E1D81" w:rsidRDefault="00EB481C">
            <w:pPr>
              <w:pStyle w:val="P68B1DB1-Normal46"/>
              <w:spacing w:after="0" w:line="240" w:lineRule="auto"/>
              <w:rPr>
                <w:rFonts w:eastAsia="Times New Roman" w:cs="Times New Roman"/>
                <w:noProof/>
              </w:rPr>
            </w:pPr>
            <w:r>
              <w:rPr>
                <w:noProof/>
              </w:rPr>
              <w:t xml:space="preserve">Az energiával </w:t>
            </w:r>
            <w:r>
              <w:rPr>
                <w:noProof/>
              </w:rPr>
              <w:t>kapcsolatos kísérleti projektek lezárása a helyi közösségekben</w:t>
            </w:r>
          </w:p>
        </w:tc>
      </w:tr>
      <w:tr w:rsidR="003E1D81" w14:paraId="6F3B409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4A510D" w14:textId="77777777" w:rsidR="003E1D81" w:rsidRDefault="00EB481C">
            <w:pPr>
              <w:pStyle w:val="P68B1DB1-Normal46"/>
              <w:spacing w:after="0" w:line="240" w:lineRule="auto"/>
              <w:jc w:val="center"/>
              <w:rPr>
                <w:rFonts w:eastAsia="Times New Roman" w:cs="Times New Roman"/>
                <w:noProof/>
              </w:rPr>
            </w:pPr>
            <w:r>
              <w:rPr>
                <w:noProof/>
              </w:rPr>
              <w:t>431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F141DE9" w14:textId="77777777" w:rsidR="003E1D81" w:rsidRDefault="00EB481C">
            <w:pPr>
              <w:pStyle w:val="P68B1DB1-Normal46"/>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CC6AB5"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A266D48" w14:textId="77777777" w:rsidR="003E1D81" w:rsidRDefault="00EB481C">
            <w:pPr>
              <w:pStyle w:val="P68B1DB1-Normal46"/>
              <w:spacing w:after="0" w:line="240" w:lineRule="auto"/>
              <w:rPr>
                <w:rFonts w:eastAsia="Times New Roman" w:cs="Times New Roman"/>
                <w:noProof/>
              </w:rPr>
            </w:pPr>
            <w:r>
              <w:rPr>
                <w:noProof/>
              </w:rPr>
              <w:t>Környezetvédelmi, digitális és szociális infrastrukturális projektek támogatása</w:t>
            </w:r>
          </w:p>
        </w:tc>
      </w:tr>
      <w:tr w:rsidR="003E1D81" w14:paraId="2615DCF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29CE1A" w14:textId="77777777" w:rsidR="003E1D81" w:rsidRDefault="00EB481C">
            <w:pPr>
              <w:pStyle w:val="P68B1DB1-Normal46"/>
              <w:spacing w:after="0" w:line="240" w:lineRule="auto"/>
              <w:jc w:val="center"/>
              <w:rPr>
                <w:rFonts w:eastAsia="Times New Roman" w:cs="Times New Roman"/>
                <w:noProof/>
              </w:rPr>
            </w:pPr>
            <w:r>
              <w:rPr>
                <w:noProof/>
              </w:rPr>
              <w:t>150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D48EFE" w14:textId="77777777" w:rsidR="003E1D81" w:rsidRDefault="00EB481C">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7E6E0F"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750E95F" w14:textId="77777777" w:rsidR="003E1D81" w:rsidRDefault="00EB481C">
            <w:pPr>
              <w:pStyle w:val="P68B1DB1-Normal46"/>
              <w:spacing w:after="0" w:line="240" w:lineRule="auto"/>
              <w:rPr>
                <w:rFonts w:eastAsia="Times New Roman" w:cs="Times New Roman"/>
                <w:noProof/>
              </w:rPr>
            </w:pPr>
            <w:r>
              <w:rPr>
                <w:noProof/>
              </w:rPr>
              <w:t>Az állami foglalkoztatás stabilizálása</w:t>
            </w:r>
          </w:p>
        </w:tc>
      </w:tr>
      <w:tr w:rsidR="003E1D81" w14:paraId="4197D85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CBE34D" w14:textId="77777777" w:rsidR="003E1D81" w:rsidRDefault="00EB481C">
            <w:pPr>
              <w:pStyle w:val="P68B1DB1-Normal46"/>
              <w:spacing w:after="0" w:line="240" w:lineRule="auto"/>
              <w:jc w:val="center"/>
              <w:rPr>
                <w:rFonts w:eastAsia="Times New Roman" w:cs="Times New Roman"/>
                <w:noProof/>
              </w:rPr>
            </w:pPr>
            <w:r>
              <w:rPr>
                <w:noProof/>
              </w:rPr>
              <w:t>432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DBD172" w14:textId="77777777" w:rsidR="003E1D81" w:rsidRDefault="00EB481C">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FEDF66"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CD35DB" w14:textId="77777777" w:rsidR="003E1D81" w:rsidRDefault="00EB481C">
            <w:pPr>
              <w:pStyle w:val="P68B1DB1-Normal46"/>
              <w:spacing w:after="0" w:line="240" w:lineRule="auto"/>
              <w:rPr>
                <w:rFonts w:eastAsia="Times New Roman" w:cs="Times New Roman"/>
                <w:noProof/>
              </w:rPr>
            </w:pPr>
            <w:r>
              <w:rPr>
                <w:noProof/>
              </w:rPr>
              <w:t xml:space="preserve">Az érdekcsoportok tevékenységeinek átláthatóságáról és integritásáról szóló törvény </w:t>
            </w:r>
          </w:p>
        </w:tc>
      </w:tr>
      <w:tr w:rsidR="003E1D81" w14:paraId="5F2BF65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527962" w14:textId="77777777" w:rsidR="003E1D81" w:rsidRDefault="00EB481C">
            <w:pPr>
              <w:pStyle w:val="P68B1DB1-Normal46"/>
              <w:spacing w:after="0" w:line="240" w:lineRule="auto"/>
              <w:jc w:val="center"/>
              <w:rPr>
                <w:rFonts w:eastAsia="Times New Roman" w:cs="Times New Roman"/>
                <w:noProof/>
              </w:rPr>
            </w:pPr>
            <w:r>
              <w:rPr>
                <w:noProof/>
              </w:rPr>
              <w:t>434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C079C42" w14:textId="77777777" w:rsidR="003E1D81" w:rsidRDefault="00EB481C">
            <w:pPr>
              <w:pStyle w:val="P68B1DB1-Normal46"/>
              <w:spacing w:after="0" w:line="240" w:lineRule="auto"/>
              <w:rPr>
                <w:rFonts w:eastAsia="Times New Roman" w:cs="Times New Roman"/>
                <w:noProof/>
              </w:rPr>
            </w:pPr>
            <w:r>
              <w:rPr>
                <w:noProof/>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029353"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CDAC107" w14:textId="77777777" w:rsidR="003E1D81" w:rsidRDefault="00EB481C">
            <w:pPr>
              <w:pStyle w:val="P68B1DB1-Normal46"/>
              <w:spacing w:after="0" w:line="240" w:lineRule="auto"/>
              <w:rPr>
                <w:rFonts w:eastAsia="Times New Roman" w:cs="Times New Roman"/>
                <w:noProof/>
              </w:rPr>
            </w:pPr>
            <w:r>
              <w:rPr>
                <w:noProof/>
              </w:rPr>
              <w:t>A szervezeti és eljárási hatékonyságról szóló törvény hatálybalépése</w:t>
            </w:r>
          </w:p>
        </w:tc>
      </w:tr>
      <w:tr w:rsidR="003E1D81" w14:paraId="44B1950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966EC7" w14:textId="77777777" w:rsidR="003E1D81" w:rsidRDefault="00EB481C">
            <w:pPr>
              <w:pStyle w:val="P68B1DB1-Normal46"/>
              <w:spacing w:after="0" w:line="240" w:lineRule="auto"/>
              <w:jc w:val="center"/>
              <w:rPr>
                <w:rFonts w:eastAsia="Times New Roman" w:cs="Times New Roman"/>
                <w:noProof/>
              </w:rPr>
            </w:pPr>
            <w:r>
              <w:rPr>
                <w:noProof/>
              </w:rPr>
              <w:t>435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2495D9" w14:textId="77777777" w:rsidR="003E1D81" w:rsidRDefault="00EB481C">
            <w:pPr>
              <w:pStyle w:val="P68B1DB1-Normal46"/>
              <w:spacing w:after="0" w:line="240" w:lineRule="auto"/>
              <w:rPr>
                <w:rFonts w:eastAsia="Times New Roman" w:cs="Times New Roman"/>
                <w:noProof/>
              </w:rPr>
            </w:pPr>
            <w:r>
              <w:rPr>
                <w:noProof/>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95593C"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48D1D80" w14:textId="77777777" w:rsidR="003E1D81" w:rsidRDefault="00EB481C">
            <w:pPr>
              <w:pStyle w:val="P68B1DB1-Normal46"/>
              <w:spacing w:after="0" w:line="240" w:lineRule="auto"/>
              <w:rPr>
                <w:rFonts w:eastAsia="Times New Roman" w:cs="Times New Roman"/>
                <w:noProof/>
              </w:rPr>
            </w:pPr>
            <w:r>
              <w:rPr>
                <w:noProof/>
              </w:rPr>
              <w:t>A védelemhez való jogról szóló törvény hatálybalépése</w:t>
            </w:r>
          </w:p>
        </w:tc>
      </w:tr>
      <w:tr w:rsidR="003E1D81" w14:paraId="74BD08B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AE61F0" w14:textId="77777777" w:rsidR="003E1D81" w:rsidRDefault="00EB481C">
            <w:pPr>
              <w:pStyle w:val="P68B1DB1-Normal46"/>
              <w:spacing w:after="0" w:line="240" w:lineRule="auto"/>
              <w:jc w:val="center"/>
              <w:rPr>
                <w:rFonts w:eastAsia="Times New Roman" w:cs="Times New Roman"/>
                <w:noProof/>
              </w:rPr>
            </w:pPr>
            <w:r>
              <w:rPr>
                <w:noProof/>
              </w:rPr>
              <w:t>436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F029D4" w14:textId="77777777" w:rsidR="003E1D81" w:rsidRDefault="00EB481C">
            <w:pPr>
              <w:pStyle w:val="P68B1DB1-Normal46"/>
              <w:spacing w:after="0" w:line="240" w:lineRule="auto"/>
              <w:rPr>
                <w:rFonts w:eastAsia="Times New Roman" w:cs="Times New Roman"/>
                <w:noProof/>
              </w:rPr>
            </w:pPr>
            <w:r>
              <w:rPr>
                <w:noProof/>
              </w:rPr>
              <w:t>C11.R3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816462"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F4F08C" w14:textId="77777777" w:rsidR="003E1D81" w:rsidRDefault="00EB481C">
            <w:pPr>
              <w:pStyle w:val="P68B1DB1-Normal46"/>
              <w:spacing w:after="0" w:line="240" w:lineRule="auto"/>
              <w:rPr>
                <w:rFonts w:eastAsia="Times New Roman" w:cs="Times New Roman"/>
                <w:noProof/>
              </w:rPr>
            </w:pPr>
            <w:r>
              <w:rPr>
                <w:noProof/>
              </w:rPr>
              <w:t xml:space="preserve">Az </w:t>
            </w:r>
            <w:r>
              <w:rPr>
                <w:noProof/>
              </w:rPr>
              <w:t>ügyfélszolgálatról szóló törvény és a Pénzügyi Ügyfélvédelmi Hatóság létrehozásáról szóló törvény hatálybalépése</w:t>
            </w:r>
          </w:p>
        </w:tc>
      </w:tr>
      <w:tr w:rsidR="003E1D81" w14:paraId="2A08DFA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0551B8" w14:textId="77777777" w:rsidR="003E1D81" w:rsidRDefault="00EB481C">
            <w:pPr>
              <w:pStyle w:val="P68B1DB1-Normal46"/>
              <w:spacing w:after="0" w:line="240" w:lineRule="auto"/>
              <w:jc w:val="center"/>
              <w:rPr>
                <w:rFonts w:eastAsia="Times New Roman" w:cs="Times New Roman"/>
                <w:noProof/>
              </w:rPr>
            </w:pPr>
            <w:r>
              <w:rPr>
                <w:noProof/>
              </w:rPr>
              <w:t>170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E1CBA83" w14:textId="77777777" w:rsidR="003E1D81" w:rsidRDefault="00EB481C">
            <w:pPr>
              <w:pStyle w:val="P68B1DB1-Normal46"/>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F2C160C"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95697C3" w14:textId="77777777" w:rsidR="003E1D81" w:rsidRDefault="00EB481C">
            <w:pPr>
              <w:pStyle w:val="P68B1DB1-Normal46"/>
              <w:spacing w:after="0" w:line="240" w:lineRule="auto"/>
              <w:rPr>
                <w:rFonts w:eastAsia="Times New Roman" w:cs="Times New Roman"/>
                <w:noProof/>
              </w:rPr>
            </w:pPr>
            <w:r>
              <w:rPr>
                <w:noProof/>
              </w:rPr>
              <w:t>Járművek felújítása a közigazgatásban</w:t>
            </w:r>
          </w:p>
        </w:tc>
      </w:tr>
      <w:tr w:rsidR="003E1D81" w14:paraId="2DBCE79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797611" w14:textId="77777777" w:rsidR="003E1D81" w:rsidRDefault="00EB481C">
            <w:pPr>
              <w:pStyle w:val="P68B1DB1-Normal46"/>
              <w:spacing w:after="0" w:line="240" w:lineRule="auto"/>
              <w:jc w:val="center"/>
              <w:rPr>
                <w:rFonts w:eastAsia="Times New Roman" w:cs="Times New Roman"/>
                <w:noProof/>
              </w:rPr>
            </w:pPr>
            <w:r>
              <w:rPr>
                <w:noProof/>
              </w:rPr>
              <w:t>171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B346F1" w14:textId="77777777" w:rsidR="003E1D81" w:rsidRDefault="00EB481C">
            <w:pPr>
              <w:pStyle w:val="P68B1DB1-Normal46"/>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7B53A15"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E8209C1" w14:textId="77777777" w:rsidR="003E1D81" w:rsidRDefault="00EB481C">
            <w:pPr>
              <w:pStyle w:val="P68B1DB1-Normal46"/>
              <w:spacing w:after="0" w:line="240" w:lineRule="auto"/>
              <w:rPr>
                <w:rFonts w:eastAsia="Times New Roman" w:cs="Times New Roman"/>
                <w:noProof/>
              </w:rPr>
            </w:pPr>
            <w:r>
              <w:rPr>
                <w:noProof/>
              </w:rPr>
              <w:t>Középületek energetikai felújítása (140 000 m²)</w:t>
            </w:r>
          </w:p>
        </w:tc>
      </w:tr>
      <w:tr w:rsidR="003E1D81" w14:paraId="72B6ED0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0D415B" w14:textId="77777777" w:rsidR="003E1D81" w:rsidRDefault="00EB481C">
            <w:pPr>
              <w:pStyle w:val="P68B1DB1-Normal46"/>
              <w:spacing w:after="0" w:line="240" w:lineRule="auto"/>
              <w:jc w:val="center"/>
              <w:rPr>
                <w:rFonts w:eastAsia="Times New Roman" w:cs="Times New Roman"/>
                <w:noProof/>
              </w:rPr>
            </w:pPr>
            <w:r>
              <w:rPr>
                <w:noProof/>
              </w:rPr>
              <w:t>185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910E0E" w14:textId="77777777" w:rsidR="003E1D81" w:rsidRDefault="00EB481C">
            <w:pPr>
              <w:pStyle w:val="P68B1DB1-Normal46"/>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D532A9"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70555BD" w14:textId="77777777" w:rsidR="003E1D81" w:rsidRDefault="00EB481C">
            <w:pPr>
              <w:pStyle w:val="P68B1DB1-Normal46"/>
              <w:spacing w:after="0" w:line="240" w:lineRule="auto"/>
              <w:rPr>
                <w:rFonts w:eastAsia="Times New Roman" w:cs="Times New Roman"/>
                <w:noProof/>
              </w:rPr>
            </w:pPr>
            <w:r>
              <w:rPr>
                <w:noProof/>
              </w:rPr>
              <w:t xml:space="preserve">A PERTE-k és az ipar átalakítására irányuló innovatív projektek költségvetésének végrehajtása </w:t>
            </w:r>
          </w:p>
        </w:tc>
      </w:tr>
      <w:tr w:rsidR="003E1D81" w14:paraId="285904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B1112B" w14:textId="77777777" w:rsidR="003E1D81" w:rsidRDefault="00EB481C">
            <w:pPr>
              <w:pStyle w:val="P68B1DB1-Normal46"/>
              <w:spacing w:after="0" w:line="240" w:lineRule="auto"/>
              <w:jc w:val="center"/>
              <w:rPr>
                <w:rFonts w:eastAsia="Times New Roman" w:cs="Times New Roman"/>
                <w:noProof/>
              </w:rPr>
            </w:pPr>
            <w:r>
              <w:rPr>
                <w:noProof/>
              </w:rPr>
              <w:t>440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EC8BCB" w14:textId="77777777" w:rsidR="003E1D81" w:rsidRDefault="00EB481C">
            <w:pPr>
              <w:pStyle w:val="P68B1DB1-Normal46"/>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BBB740"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671D730" w14:textId="77777777" w:rsidR="003E1D81" w:rsidRDefault="00EB481C">
            <w:pPr>
              <w:pStyle w:val="P68B1DB1-Normal46"/>
              <w:spacing w:after="0" w:line="240" w:lineRule="auto"/>
              <w:rPr>
                <w:rFonts w:eastAsia="Times New Roman" w:cs="Times New Roman"/>
                <w:noProof/>
              </w:rPr>
            </w:pPr>
            <w:r>
              <w:rPr>
                <w:noProof/>
              </w:rPr>
              <w:t>A hulladékkoordinációs bizottság hulladékokkal kapcsolatos jogszabályok betartásának nyomon követésével foglalkozó munkacsoportja</w:t>
            </w:r>
          </w:p>
        </w:tc>
      </w:tr>
      <w:tr w:rsidR="003E1D81" w14:paraId="3361C54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FF7E6F" w14:textId="77777777" w:rsidR="003E1D81" w:rsidRDefault="00EB481C">
            <w:pPr>
              <w:pStyle w:val="P68B1DB1-Normal46"/>
              <w:spacing w:after="0" w:line="240" w:lineRule="auto"/>
              <w:jc w:val="center"/>
              <w:rPr>
                <w:rFonts w:eastAsia="Times New Roman" w:cs="Times New Roman"/>
                <w:noProof/>
              </w:rPr>
            </w:pPr>
            <w:r>
              <w:rPr>
                <w:noProof/>
              </w:rPr>
              <w:t>442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A2677A" w14:textId="77777777" w:rsidR="003E1D81" w:rsidRDefault="00EB481C">
            <w:pPr>
              <w:pStyle w:val="P68B1DB1-Normal46"/>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68969A"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665F46" w14:textId="77777777" w:rsidR="003E1D81" w:rsidRDefault="00EB481C">
            <w:pPr>
              <w:pStyle w:val="P68B1DB1-Normal46"/>
              <w:spacing w:after="0" w:line="240" w:lineRule="auto"/>
              <w:rPr>
                <w:rFonts w:eastAsia="Times New Roman" w:cs="Times New Roman"/>
                <w:noProof/>
              </w:rPr>
            </w:pPr>
            <w:r>
              <w:rPr>
                <w:noProof/>
              </w:rPr>
              <w:t xml:space="preserve">A </w:t>
            </w:r>
            <w:r>
              <w:rPr>
                <w:noProof/>
              </w:rPr>
              <w:t>hulladékgazdálkodási projektek végrehajtásához nyújtott támogatások elosztása.</w:t>
            </w:r>
          </w:p>
        </w:tc>
      </w:tr>
      <w:tr w:rsidR="003E1D81" w14:paraId="7B4A908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DA7EF3" w14:textId="77777777" w:rsidR="003E1D81" w:rsidRDefault="00EB481C">
            <w:pPr>
              <w:pStyle w:val="P68B1DB1-Normal46"/>
              <w:spacing w:after="0" w:line="240" w:lineRule="auto"/>
              <w:jc w:val="center"/>
              <w:rPr>
                <w:rFonts w:eastAsia="Times New Roman" w:cs="Times New Roman"/>
                <w:noProof/>
              </w:rPr>
            </w:pPr>
            <w:r>
              <w:rPr>
                <w:noProof/>
              </w:rPr>
              <w:t>446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450CAB" w14:textId="77777777" w:rsidR="003E1D81" w:rsidRDefault="00EB481C">
            <w:pPr>
              <w:pStyle w:val="P68B1DB1-Normal46"/>
              <w:spacing w:after="0" w:line="240" w:lineRule="auto"/>
              <w:rPr>
                <w:rFonts w:eastAsia="Times New Roman" w:cs="Times New Roman"/>
                <w:noProof/>
              </w:rPr>
            </w:pPr>
            <w:r>
              <w:rPr>
                <w:noProof/>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103AE2C"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53DB4B7" w14:textId="77777777" w:rsidR="003E1D81" w:rsidRDefault="00EB481C">
            <w:pPr>
              <w:pStyle w:val="P68B1DB1-Normal46"/>
              <w:spacing w:after="0" w:line="240" w:lineRule="auto"/>
              <w:rPr>
                <w:rFonts w:eastAsia="Times New Roman" w:cs="Times New Roman"/>
                <w:noProof/>
              </w:rPr>
            </w:pPr>
            <w:r>
              <w:rPr>
                <w:noProof/>
              </w:rPr>
              <w:t>A körforgásos gazdaságot támogató támogatási rendszer: A támogatási rendszer létrehozása</w:t>
            </w:r>
          </w:p>
        </w:tc>
      </w:tr>
      <w:tr w:rsidR="003E1D81" w14:paraId="17C0FD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9809F2" w14:textId="77777777" w:rsidR="003E1D81" w:rsidRDefault="00EB481C">
            <w:pPr>
              <w:pStyle w:val="P68B1DB1-Normal46"/>
              <w:spacing w:after="0" w:line="240" w:lineRule="auto"/>
              <w:jc w:val="center"/>
              <w:rPr>
                <w:rFonts w:eastAsia="Times New Roman" w:cs="Times New Roman"/>
                <w:noProof/>
              </w:rPr>
            </w:pPr>
            <w:r>
              <w:rPr>
                <w:noProof/>
              </w:rPr>
              <w:t>448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C28705" w14:textId="77777777" w:rsidR="003E1D81" w:rsidRDefault="00EB481C">
            <w:pPr>
              <w:pStyle w:val="P68B1DB1-Normal46"/>
              <w:spacing w:after="0" w:line="240" w:lineRule="auto"/>
              <w:rPr>
                <w:rFonts w:eastAsia="Times New Roman" w:cs="Times New Roman"/>
                <w:noProof/>
              </w:rPr>
            </w:pPr>
            <w:r>
              <w:rPr>
                <w:noProof/>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C29944"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7EA65C" w14:textId="77777777" w:rsidR="003E1D81" w:rsidRDefault="00EB481C">
            <w:pPr>
              <w:pStyle w:val="P68B1DB1-Normal46"/>
              <w:spacing w:after="0" w:line="240" w:lineRule="auto"/>
              <w:rPr>
                <w:rFonts w:eastAsia="Times New Roman" w:cs="Times New Roman"/>
                <w:noProof/>
              </w:rPr>
            </w:pPr>
            <w:r>
              <w:rPr>
                <w:noProof/>
              </w:rPr>
              <w:t>A körforgásos gazdaságot támogató támogatási rendszer: A min</w:t>
            </w:r>
            <w:r>
              <w:rPr>
                <w:noProof/>
              </w:rPr>
              <w:t>isztérium befejezte a beruházást </w:t>
            </w:r>
          </w:p>
        </w:tc>
      </w:tr>
      <w:tr w:rsidR="003E1D81" w14:paraId="5B68DA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C6140F" w14:textId="77777777" w:rsidR="003E1D81" w:rsidRDefault="00EB481C">
            <w:pPr>
              <w:pStyle w:val="P68B1DB1-Normal46"/>
              <w:spacing w:after="0" w:line="240" w:lineRule="auto"/>
              <w:jc w:val="center"/>
              <w:rPr>
                <w:rFonts w:eastAsia="Times New Roman" w:cs="Times New Roman"/>
                <w:noProof/>
              </w:rPr>
            </w:pPr>
            <w:r>
              <w:rPr>
                <w:noProof/>
              </w:rPr>
              <w:t>448a.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FC73C5" w14:textId="77777777" w:rsidR="003E1D81" w:rsidRDefault="00EB481C">
            <w:pPr>
              <w:pStyle w:val="P68B1DB1-Normal46"/>
              <w:spacing w:after="0" w:line="240" w:lineRule="auto"/>
              <w:rPr>
                <w:rFonts w:eastAsia="Times New Roman" w:cs="Times New Roman"/>
                <w:noProof/>
              </w:rPr>
            </w:pPr>
            <w:r>
              <w:rPr>
                <w:noProof/>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F20AC2"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93852C" w14:textId="77777777" w:rsidR="003E1D81" w:rsidRDefault="00EB481C">
            <w:pPr>
              <w:pStyle w:val="P68B1DB1-Normal46"/>
              <w:spacing w:after="0" w:line="240" w:lineRule="auto"/>
              <w:rPr>
                <w:rFonts w:eastAsia="Times New Roman" w:cs="Times New Roman"/>
                <w:noProof/>
              </w:rPr>
            </w:pPr>
            <w:r>
              <w:rPr>
                <w:noProof/>
              </w:rPr>
              <w:t>Az elektromos járművek ágazatára vonatkozó támogatási program (támogatások): A minisztérium befejezte a beruházást</w:t>
            </w:r>
          </w:p>
        </w:tc>
      </w:tr>
      <w:tr w:rsidR="003E1D81" w14:paraId="330F2B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A1A0CF" w14:textId="77777777" w:rsidR="003E1D81" w:rsidRDefault="00EB481C">
            <w:pPr>
              <w:pStyle w:val="P68B1DB1-Normal46"/>
              <w:spacing w:after="0" w:line="240" w:lineRule="auto"/>
              <w:jc w:val="center"/>
              <w:rPr>
                <w:rFonts w:eastAsia="Times New Roman" w:cs="Times New Roman"/>
                <w:noProof/>
              </w:rPr>
            </w:pPr>
            <w:r>
              <w:rPr>
                <w:noProof/>
              </w:rPr>
              <w:t>448b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31272" w14:textId="77777777" w:rsidR="003E1D81" w:rsidRDefault="00EB481C">
            <w:pPr>
              <w:pStyle w:val="P68B1DB1-Normal46"/>
              <w:spacing w:after="0" w:line="240" w:lineRule="auto"/>
              <w:rPr>
                <w:rFonts w:eastAsia="Times New Roman" w:cs="Times New Roman"/>
                <w:noProof/>
              </w:rPr>
            </w:pPr>
            <w:r>
              <w:rPr>
                <w:noProof/>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0772D0"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2CC4F68" w14:textId="77777777" w:rsidR="003E1D81" w:rsidRDefault="00EB481C">
            <w:pPr>
              <w:pStyle w:val="P68B1DB1-Normal46"/>
              <w:spacing w:after="0" w:line="240" w:lineRule="auto"/>
              <w:rPr>
                <w:rFonts w:eastAsia="Times New Roman" w:cs="Times New Roman"/>
                <w:noProof/>
              </w:rPr>
            </w:pPr>
            <w:r>
              <w:rPr>
                <w:noProof/>
              </w:rPr>
              <w:t xml:space="preserve">Az elektromosjármű-ágazatra vonatkozó támogatási program (támogatások); A </w:t>
            </w:r>
            <w:r>
              <w:rPr>
                <w:noProof/>
              </w:rPr>
              <w:t>támogatási rendszer létrehozása</w:t>
            </w:r>
          </w:p>
        </w:tc>
      </w:tr>
      <w:tr w:rsidR="003E1D81" w14:paraId="753422D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FD706E" w14:textId="77777777" w:rsidR="003E1D81" w:rsidRDefault="00EB481C">
            <w:pPr>
              <w:pStyle w:val="P68B1DB1-Normal46"/>
              <w:spacing w:after="0" w:line="240" w:lineRule="auto"/>
              <w:jc w:val="center"/>
              <w:rPr>
                <w:rFonts w:eastAsia="Times New Roman" w:cs="Times New Roman"/>
                <w:noProof/>
              </w:rPr>
            </w:pPr>
            <w:r>
              <w:rPr>
                <w:noProof/>
              </w:rPr>
              <w:t>452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CF1A09" w14:textId="77777777" w:rsidR="003E1D81" w:rsidRDefault="00EB481C">
            <w:pPr>
              <w:pStyle w:val="P68B1DB1-Normal46"/>
              <w:spacing w:after="0" w:line="240" w:lineRule="auto"/>
              <w:rPr>
                <w:rFonts w:eastAsia="Times New Roman" w:cs="Times New Roman"/>
                <w:noProof/>
              </w:rPr>
            </w:pPr>
            <w:r>
              <w:rPr>
                <w:noProof/>
              </w:rPr>
              <w:t>C13.R3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26783B"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2DF224F" w14:textId="77777777" w:rsidR="003E1D81" w:rsidRDefault="00EB481C">
            <w:pPr>
              <w:pStyle w:val="P68B1DB1-Normal46"/>
              <w:spacing w:after="0" w:line="240" w:lineRule="auto"/>
              <w:rPr>
                <w:rFonts w:eastAsia="Times New Roman" w:cs="Times New Roman"/>
                <w:noProof/>
              </w:rPr>
            </w:pPr>
            <w:r>
              <w:rPr>
                <w:noProof/>
              </w:rPr>
              <w:t>A kkv-k finanszírozáshoz való hozzáférésének javítására irányuló intézkedések a 2023. március 17-i 6/2023. sz. törvény módosításai révén.</w:t>
            </w:r>
          </w:p>
        </w:tc>
      </w:tr>
      <w:tr w:rsidR="003E1D81" w14:paraId="049603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29E7E0" w14:textId="77777777" w:rsidR="003E1D81" w:rsidRDefault="00EB481C">
            <w:pPr>
              <w:pStyle w:val="P68B1DB1-Normal46"/>
              <w:spacing w:after="0" w:line="240" w:lineRule="auto"/>
              <w:jc w:val="center"/>
              <w:rPr>
                <w:rFonts w:eastAsia="Times New Roman" w:cs="Times New Roman"/>
                <w:noProof/>
              </w:rPr>
            </w:pPr>
            <w:r>
              <w:rPr>
                <w:noProof/>
              </w:rPr>
              <w:t>193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B15EC2" w14:textId="77777777" w:rsidR="003E1D81" w:rsidRDefault="00EB481C">
            <w:pPr>
              <w:pStyle w:val="P68B1DB1-Normal46"/>
              <w:spacing w:after="0" w:line="240" w:lineRule="auto"/>
              <w:rPr>
                <w:rFonts w:eastAsia="Times New Roman" w:cs="Times New Roman"/>
                <w:noProof/>
              </w:rPr>
            </w:pPr>
            <w:r>
              <w:rPr>
                <w:noProof/>
              </w:rPr>
              <w:t>C13.I1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8CFEFD"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D1EE076" w14:textId="77777777" w:rsidR="003E1D81" w:rsidRDefault="00EB481C">
            <w:pPr>
              <w:pStyle w:val="P68B1DB1-Normal46"/>
              <w:spacing w:after="0" w:line="240" w:lineRule="auto"/>
              <w:rPr>
                <w:rFonts w:eastAsia="Times New Roman" w:cs="Times New Roman"/>
                <w:noProof/>
              </w:rPr>
            </w:pPr>
            <w:r>
              <w:rPr>
                <w:noProof/>
              </w:rPr>
              <w:t xml:space="preserve">A vállalkozói ökoszisztéma fellendítését célzó </w:t>
            </w:r>
            <w:r>
              <w:rPr>
                <w:noProof/>
              </w:rPr>
              <w:t>intézkedések előnyeit élvező vállalkozók vagy kkv-k</w:t>
            </w:r>
          </w:p>
        </w:tc>
      </w:tr>
      <w:tr w:rsidR="003E1D81" w14:paraId="22DD66F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180ADF" w14:textId="77777777" w:rsidR="003E1D81" w:rsidRDefault="00EB481C">
            <w:pPr>
              <w:pStyle w:val="P68B1DB1-Normal46"/>
              <w:spacing w:after="0" w:line="240" w:lineRule="auto"/>
              <w:jc w:val="center"/>
              <w:rPr>
                <w:rFonts w:eastAsia="Times New Roman" w:cs="Times New Roman"/>
                <w:noProof/>
              </w:rPr>
            </w:pPr>
            <w:r>
              <w:rPr>
                <w:noProof/>
              </w:rPr>
              <w:t>195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65CCA0" w14:textId="77777777" w:rsidR="003E1D81" w:rsidRDefault="00EB481C">
            <w:pPr>
              <w:pStyle w:val="P68B1DB1-Normal46"/>
              <w:spacing w:after="0" w:line="240" w:lineRule="auto"/>
              <w:rPr>
                <w:rFonts w:eastAsia="Times New Roman" w:cs="Times New Roman"/>
                <w:noProof/>
              </w:rPr>
            </w:pPr>
            <w:r>
              <w:rPr>
                <w:noProof/>
              </w:rPr>
              <w:t>C13.I1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767F821"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A6FA4E" w14:textId="77777777" w:rsidR="003E1D81" w:rsidRDefault="00EB481C">
            <w:pPr>
              <w:pStyle w:val="P68B1DB1-Normal46"/>
              <w:spacing w:after="0" w:line="240" w:lineRule="auto"/>
              <w:rPr>
                <w:rFonts w:eastAsia="Times New Roman" w:cs="Times New Roman"/>
                <w:noProof/>
              </w:rPr>
            </w:pPr>
            <w:r>
              <w:rPr>
                <w:noProof/>
              </w:rPr>
              <w:t>Egyéb tevékenységek terjesztése, kommunikáció és finanszírozás</w:t>
            </w:r>
          </w:p>
        </w:tc>
      </w:tr>
      <w:tr w:rsidR="003E1D81" w14:paraId="0116F93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C3E966" w14:textId="77777777" w:rsidR="003E1D81" w:rsidRDefault="00EB481C">
            <w:pPr>
              <w:pStyle w:val="P68B1DB1-Normal46"/>
              <w:spacing w:after="0" w:line="240" w:lineRule="auto"/>
              <w:jc w:val="center"/>
              <w:rPr>
                <w:rFonts w:eastAsia="Times New Roman" w:cs="Times New Roman"/>
                <w:noProof/>
              </w:rPr>
            </w:pPr>
            <w:r>
              <w:rPr>
                <w:noProof/>
              </w:rPr>
              <w:t>197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DDB576" w14:textId="77777777" w:rsidR="003E1D81" w:rsidRDefault="00EB481C">
            <w:pPr>
              <w:pStyle w:val="P68B1DB1-Normal46"/>
              <w:spacing w:after="0" w:line="240" w:lineRule="auto"/>
              <w:rPr>
                <w:rFonts w:eastAsia="Times New Roman" w:cs="Times New Roman"/>
                <w:noProof/>
              </w:rPr>
            </w:pPr>
            <w:r>
              <w:rPr>
                <w:noProof/>
              </w:rPr>
              <w:t>C13.I2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874DAD"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BBCF93" w14:textId="77777777" w:rsidR="003E1D81" w:rsidRDefault="00EB481C">
            <w:pPr>
              <w:pStyle w:val="P68B1DB1-Normal46"/>
              <w:spacing w:after="0" w:line="240" w:lineRule="auto"/>
              <w:rPr>
                <w:rFonts w:eastAsia="Times New Roman" w:cs="Times New Roman"/>
                <w:noProof/>
              </w:rPr>
            </w:pPr>
            <w:r>
              <w:rPr>
                <w:noProof/>
              </w:rPr>
              <w:t>A „Skills for SME Growth” program által támogatott kkv-k</w:t>
            </w:r>
          </w:p>
        </w:tc>
      </w:tr>
      <w:tr w:rsidR="003E1D81" w14:paraId="229C2A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62AEE1" w14:textId="77777777" w:rsidR="003E1D81" w:rsidRDefault="00EB481C">
            <w:pPr>
              <w:pStyle w:val="P68B1DB1-Normal46"/>
              <w:spacing w:after="0" w:line="240" w:lineRule="auto"/>
              <w:jc w:val="center"/>
              <w:rPr>
                <w:rFonts w:eastAsia="Times New Roman" w:cs="Times New Roman"/>
                <w:noProof/>
              </w:rPr>
            </w:pPr>
            <w:r>
              <w:rPr>
                <w:noProof/>
              </w:rPr>
              <w:t>204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DBE507" w14:textId="77777777" w:rsidR="003E1D81" w:rsidRDefault="00EB481C">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EE0313"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CF8DF51" w14:textId="77777777" w:rsidR="003E1D81" w:rsidRDefault="00EB481C">
            <w:pPr>
              <w:pStyle w:val="P68B1DB1-Normal46"/>
              <w:spacing w:after="0" w:line="240" w:lineRule="auto"/>
              <w:rPr>
                <w:rFonts w:eastAsia="Times New Roman" w:cs="Times New Roman"/>
                <w:noProof/>
              </w:rPr>
            </w:pPr>
            <w:r>
              <w:rPr>
                <w:noProof/>
              </w:rPr>
              <w:t xml:space="preserve">A digitális eszköztár program által </w:t>
            </w:r>
            <w:r>
              <w:rPr>
                <w:noProof/>
              </w:rPr>
              <w:t>támogatott kkv-k</w:t>
            </w:r>
          </w:p>
        </w:tc>
      </w:tr>
      <w:tr w:rsidR="003E1D81" w14:paraId="3058F70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1559B7" w14:textId="77777777" w:rsidR="003E1D81" w:rsidRDefault="00EB481C">
            <w:pPr>
              <w:pStyle w:val="P68B1DB1-Normal46"/>
              <w:spacing w:after="0" w:line="240" w:lineRule="auto"/>
              <w:jc w:val="center"/>
              <w:rPr>
                <w:rFonts w:eastAsia="Times New Roman" w:cs="Times New Roman"/>
                <w:noProof/>
              </w:rPr>
            </w:pPr>
            <w:r>
              <w:rPr>
                <w:noProof/>
              </w:rPr>
              <w:t>211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A1F9673" w14:textId="77777777" w:rsidR="003E1D81" w:rsidRDefault="00EB481C">
            <w:pPr>
              <w:pStyle w:val="P68B1DB1-Normal46"/>
              <w:spacing w:after="0" w:line="240" w:lineRule="auto"/>
              <w:rPr>
                <w:rFonts w:eastAsia="Times New Roman" w:cs="Times New Roman"/>
                <w:noProof/>
              </w:rPr>
            </w:pPr>
            <w:r>
              <w:rPr>
                <w:noProof/>
              </w:rPr>
              <w:t>C13.I4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DB92DD"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A9E275D" w14:textId="77777777" w:rsidR="003E1D81" w:rsidRDefault="00EB481C">
            <w:pPr>
              <w:pStyle w:val="P68B1DB1-Normal46"/>
              <w:spacing w:after="0" w:line="240" w:lineRule="auto"/>
              <w:rPr>
                <w:rFonts w:eastAsia="Times New Roman" w:cs="Times New Roman"/>
                <w:noProof/>
              </w:rPr>
            </w:pPr>
            <w:r>
              <w:rPr>
                <w:noProof/>
              </w:rPr>
              <w:t>Korszerűsítési intézkedések a települési piacokon vagy kereskedelmi területeken</w:t>
            </w:r>
          </w:p>
        </w:tc>
      </w:tr>
      <w:tr w:rsidR="003E1D81" w14:paraId="64E44A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096BA8" w14:textId="77777777" w:rsidR="003E1D81" w:rsidRDefault="00EB481C">
            <w:pPr>
              <w:pStyle w:val="P68B1DB1-Normal46"/>
              <w:spacing w:after="0" w:line="240" w:lineRule="auto"/>
              <w:jc w:val="center"/>
              <w:rPr>
                <w:rFonts w:eastAsia="Times New Roman" w:cs="Times New Roman"/>
                <w:noProof/>
              </w:rPr>
            </w:pPr>
            <w:r>
              <w:rPr>
                <w:noProof/>
              </w:rPr>
              <w:t>212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73FB00" w14:textId="77777777" w:rsidR="003E1D81" w:rsidRDefault="00EB481C">
            <w:pPr>
              <w:pStyle w:val="P68B1DB1-Normal46"/>
              <w:spacing w:after="0" w:line="240" w:lineRule="auto"/>
              <w:rPr>
                <w:rFonts w:eastAsia="Times New Roman" w:cs="Times New Roman"/>
                <w:noProof/>
              </w:rPr>
            </w:pPr>
            <w:r>
              <w:rPr>
                <w:noProof/>
              </w:rPr>
              <w:t>C13.I4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0710937"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B7B5122" w14:textId="77777777" w:rsidR="003E1D81" w:rsidRDefault="00EB481C">
            <w:pPr>
              <w:pStyle w:val="P68B1DB1-Normal46"/>
              <w:spacing w:after="0" w:line="240" w:lineRule="auto"/>
              <w:rPr>
                <w:rFonts w:eastAsia="Times New Roman" w:cs="Times New Roman"/>
                <w:noProof/>
              </w:rPr>
            </w:pPr>
            <w:r>
              <w:rPr>
                <w:noProof/>
              </w:rPr>
              <w:t>A piaci infrastruktúra korszerűsítése kistelepüléseken</w:t>
            </w:r>
          </w:p>
        </w:tc>
      </w:tr>
      <w:tr w:rsidR="003E1D81" w14:paraId="26BEA0A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FCF0D1" w14:textId="77777777" w:rsidR="003E1D81" w:rsidRDefault="00EB481C">
            <w:pPr>
              <w:pStyle w:val="P68B1DB1-Normal46"/>
              <w:spacing w:after="0" w:line="240" w:lineRule="auto"/>
              <w:jc w:val="center"/>
              <w:rPr>
                <w:rFonts w:eastAsia="Times New Roman" w:cs="Times New Roman"/>
                <w:noProof/>
              </w:rPr>
            </w:pPr>
            <w:r>
              <w:rPr>
                <w:noProof/>
              </w:rPr>
              <w:t>213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AF3C13" w14:textId="77777777" w:rsidR="003E1D81" w:rsidRDefault="00EB481C">
            <w:pPr>
              <w:pStyle w:val="P68B1DB1-Normal46"/>
              <w:spacing w:after="0" w:line="240" w:lineRule="auto"/>
              <w:rPr>
                <w:rFonts w:eastAsia="Times New Roman" w:cs="Times New Roman"/>
                <w:noProof/>
              </w:rPr>
            </w:pPr>
            <w:r>
              <w:rPr>
                <w:noProof/>
              </w:rPr>
              <w:t>C13.I5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A05694"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1265604" w14:textId="77777777" w:rsidR="003E1D81" w:rsidRDefault="00EB481C">
            <w:pPr>
              <w:pStyle w:val="P68B1DB1-Normal46"/>
              <w:spacing w:after="0" w:line="240" w:lineRule="auto"/>
              <w:rPr>
                <w:rFonts w:eastAsia="Times New Roman" w:cs="Times New Roman"/>
                <w:noProof/>
              </w:rPr>
            </w:pPr>
            <w:r>
              <w:rPr>
                <w:noProof/>
              </w:rPr>
              <w:t xml:space="preserve">Nemzetközivé válásukat támogató projektekben részt vevő </w:t>
            </w:r>
            <w:r>
              <w:rPr>
                <w:noProof/>
              </w:rPr>
              <w:t>vállalatok</w:t>
            </w:r>
          </w:p>
        </w:tc>
      </w:tr>
      <w:tr w:rsidR="003E1D81" w14:paraId="77AB901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A2638A0" w14:textId="77777777" w:rsidR="003E1D81" w:rsidRDefault="00EB481C">
            <w:pPr>
              <w:pStyle w:val="P68B1DB1-Normal46"/>
              <w:spacing w:after="0" w:line="240" w:lineRule="auto"/>
              <w:jc w:val="center"/>
              <w:rPr>
                <w:rFonts w:eastAsia="Times New Roman" w:cs="Times New Roman"/>
                <w:noProof/>
              </w:rPr>
            </w:pPr>
            <w:r>
              <w:rPr>
                <w:noProof/>
              </w:rPr>
              <w:t>220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574C09" w14:textId="77777777" w:rsidR="003E1D81" w:rsidRDefault="00EB481C">
            <w:pPr>
              <w:pStyle w:val="P68B1DB1-Normal46"/>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0CBD20"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2C055E3" w14:textId="77777777" w:rsidR="003E1D81" w:rsidRDefault="00EB481C">
            <w:pPr>
              <w:pStyle w:val="P68B1DB1-Normal46"/>
              <w:spacing w:after="0" w:line="240" w:lineRule="auto"/>
              <w:rPr>
                <w:rFonts w:eastAsia="Times New Roman" w:cs="Times New Roman"/>
                <w:noProof/>
              </w:rPr>
            </w:pPr>
            <w:r>
              <w:rPr>
                <w:noProof/>
              </w:rPr>
              <w:t>Az idegenforgalom fenntarthatóságát a célállomásukon előmozdító tervek lezárása</w:t>
            </w:r>
          </w:p>
        </w:tc>
      </w:tr>
      <w:tr w:rsidR="003E1D81" w14:paraId="713A70E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BC3F67D" w14:textId="77777777" w:rsidR="003E1D81" w:rsidRDefault="00EB481C">
            <w:pPr>
              <w:pStyle w:val="P68B1DB1-Normal46"/>
              <w:spacing w:after="0" w:line="240" w:lineRule="auto"/>
              <w:jc w:val="center"/>
              <w:rPr>
                <w:rFonts w:eastAsia="Times New Roman" w:cs="Times New Roman"/>
                <w:noProof/>
              </w:rPr>
            </w:pPr>
            <w:r>
              <w:rPr>
                <w:noProof/>
              </w:rPr>
              <w:t>225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7D3BFFF" w14:textId="77777777" w:rsidR="003E1D81" w:rsidRDefault="00EB481C">
            <w:pPr>
              <w:pStyle w:val="P68B1DB1-Normal46"/>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798862"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E71DD0E" w14:textId="77777777" w:rsidR="003E1D81" w:rsidRDefault="00EB481C">
            <w:pPr>
              <w:pStyle w:val="P68B1DB1-Normal46"/>
              <w:spacing w:after="0" w:line="240" w:lineRule="auto"/>
              <w:rPr>
                <w:rFonts w:eastAsia="Times New Roman" w:cs="Times New Roman"/>
                <w:noProof/>
              </w:rPr>
            </w:pPr>
            <w:r>
              <w:rPr>
                <w:noProof/>
              </w:rPr>
              <w:t>Nagy turisztikai beáramlású helyi területeken található kereskedelmi területekre irányuló projektek</w:t>
            </w:r>
          </w:p>
        </w:tc>
      </w:tr>
      <w:tr w:rsidR="003E1D81" w14:paraId="5F56413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0A097C" w14:textId="77777777" w:rsidR="003E1D81" w:rsidRDefault="00EB481C">
            <w:pPr>
              <w:pStyle w:val="P68B1DB1-Normal46"/>
              <w:spacing w:after="0" w:line="240" w:lineRule="auto"/>
              <w:jc w:val="center"/>
              <w:rPr>
                <w:rFonts w:eastAsia="Times New Roman" w:cs="Times New Roman"/>
                <w:noProof/>
              </w:rPr>
            </w:pPr>
            <w:r>
              <w:rPr>
                <w:noProof/>
              </w:rPr>
              <w:t>238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1AC379" w14:textId="77777777" w:rsidR="003E1D81" w:rsidRDefault="00EB481C">
            <w:pPr>
              <w:pStyle w:val="P68B1DB1-Normal46"/>
              <w:spacing w:after="0" w:line="240" w:lineRule="auto"/>
              <w:rPr>
                <w:rFonts w:eastAsia="Times New Roman" w:cs="Times New Roman"/>
                <w:noProof/>
              </w:rPr>
            </w:pPr>
            <w:r>
              <w:rPr>
                <w:noProof/>
              </w:rPr>
              <w:t>C15.I2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C9C23E"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E2D6A5C" w14:textId="77777777" w:rsidR="003E1D81" w:rsidRDefault="00EB481C">
            <w:pPr>
              <w:pStyle w:val="P68B1DB1-Normal46"/>
              <w:spacing w:after="0" w:line="240" w:lineRule="auto"/>
              <w:rPr>
                <w:rFonts w:eastAsia="Times New Roman" w:cs="Times New Roman"/>
                <w:noProof/>
              </w:rPr>
            </w:pPr>
            <w:r>
              <w:rPr>
                <w:noProof/>
              </w:rPr>
              <w:t xml:space="preserve">Az összekapcsoltság javítása a kulcsfontosságú központokban és ágazatokban </w:t>
            </w:r>
          </w:p>
        </w:tc>
      </w:tr>
      <w:tr w:rsidR="003E1D81" w14:paraId="3703242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B107CC7" w14:textId="77777777" w:rsidR="003E1D81" w:rsidRDefault="00EB481C">
            <w:pPr>
              <w:pStyle w:val="P68B1DB1-Normal46"/>
              <w:spacing w:after="0" w:line="240" w:lineRule="auto"/>
              <w:jc w:val="center"/>
              <w:rPr>
                <w:rFonts w:eastAsia="Times New Roman" w:cs="Times New Roman"/>
                <w:noProof/>
              </w:rPr>
            </w:pPr>
            <w:r>
              <w:rPr>
                <w:noProof/>
              </w:rPr>
              <w:t>239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8F8EB3" w14:textId="77777777" w:rsidR="003E1D81" w:rsidRDefault="00EB481C">
            <w:pPr>
              <w:pStyle w:val="P68B1DB1-Normal46"/>
              <w:spacing w:after="0" w:line="240" w:lineRule="auto"/>
              <w:rPr>
                <w:rFonts w:eastAsia="Times New Roman" w:cs="Times New Roman"/>
                <w:noProof/>
              </w:rPr>
            </w:pPr>
            <w:r>
              <w:rPr>
                <w:noProof/>
              </w:rPr>
              <w:t>C15.I3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62298B"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8E07C08" w14:textId="77777777" w:rsidR="003E1D81" w:rsidRDefault="00EB481C">
            <w:pPr>
              <w:pStyle w:val="P68B1DB1-Normal46"/>
              <w:spacing w:after="0" w:line="240" w:lineRule="auto"/>
              <w:rPr>
                <w:rFonts w:eastAsia="Times New Roman" w:cs="Times New Roman"/>
                <w:noProof/>
              </w:rPr>
            </w:pPr>
            <w:r>
              <w:rPr>
                <w:noProof/>
              </w:rPr>
              <w:t xml:space="preserve">Konnektivitási utalványok kkv-k és kiszolgáltatott csoportok számára </w:t>
            </w:r>
          </w:p>
        </w:tc>
      </w:tr>
      <w:tr w:rsidR="003E1D81" w14:paraId="5EEFDB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8E1568" w14:textId="77777777" w:rsidR="003E1D81" w:rsidRDefault="00EB481C">
            <w:pPr>
              <w:pStyle w:val="P68B1DB1-Normal46"/>
              <w:spacing w:after="0" w:line="240" w:lineRule="auto"/>
              <w:jc w:val="center"/>
              <w:rPr>
                <w:rFonts w:eastAsia="Times New Roman" w:cs="Times New Roman"/>
                <w:noProof/>
              </w:rPr>
            </w:pPr>
            <w:r>
              <w:rPr>
                <w:noProof/>
              </w:rPr>
              <w:t>240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D7DD37" w14:textId="77777777" w:rsidR="003E1D81" w:rsidRDefault="00EB481C">
            <w:pPr>
              <w:pStyle w:val="P68B1DB1-Normal46"/>
              <w:spacing w:after="0" w:line="240" w:lineRule="auto"/>
              <w:rPr>
                <w:rFonts w:eastAsia="Times New Roman" w:cs="Times New Roman"/>
                <w:noProof/>
              </w:rPr>
            </w:pPr>
            <w:r>
              <w:rPr>
                <w:noProof/>
              </w:rPr>
              <w:t>C15.I4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4E8E27"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7B03BB9" w14:textId="77777777" w:rsidR="003E1D81" w:rsidRDefault="00EB481C">
            <w:pPr>
              <w:pStyle w:val="P68B1DB1-Normal46"/>
              <w:spacing w:after="0" w:line="240" w:lineRule="auto"/>
              <w:rPr>
                <w:rFonts w:eastAsia="Times New Roman" w:cs="Times New Roman"/>
                <w:noProof/>
              </w:rPr>
            </w:pPr>
            <w:r>
              <w:rPr>
                <w:noProof/>
              </w:rPr>
              <w:t>Az épületek távközlési infrastruktúrájának átalakítása</w:t>
            </w:r>
          </w:p>
        </w:tc>
      </w:tr>
      <w:tr w:rsidR="003E1D81" w14:paraId="5E4A97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C8BA60" w14:textId="77777777" w:rsidR="003E1D81" w:rsidRDefault="00EB481C">
            <w:pPr>
              <w:pStyle w:val="P68B1DB1-Normal46"/>
              <w:spacing w:after="0" w:line="240" w:lineRule="auto"/>
              <w:jc w:val="center"/>
              <w:rPr>
                <w:rFonts w:eastAsia="Times New Roman" w:cs="Times New Roman"/>
                <w:noProof/>
              </w:rPr>
            </w:pPr>
            <w:r>
              <w:rPr>
                <w:noProof/>
              </w:rPr>
              <w:t>241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A2D262" w14:textId="77777777" w:rsidR="003E1D81" w:rsidRDefault="00EB481C">
            <w:pPr>
              <w:pStyle w:val="P68B1DB1-Normal46"/>
              <w:spacing w:after="0" w:line="240" w:lineRule="auto"/>
              <w:rPr>
                <w:rFonts w:eastAsia="Times New Roman" w:cs="Times New Roman"/>
                <w:noProof/>
              </w:rPr>
            </w:pPr>
            <w:r>
              <w:rPr>
                <w:noProof/>
              </w:rPr>
              <w:t>C15.I5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6DEDD0"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2493A33" w14:textId="77777777" w:rsidR="003E1D81" w:rsidRDefault="00EB481C">
            <w:pPr>
              <w:pStyle w:val="P68B1DB1-Normal46"/>
              <w:spacing w:after="0" w:line="240" w:lineRule="auto"/>
              <w:rPr>
                <w:rFonts w:eastAsia="Times New Roman" w:cs="Times New Roman"/>
                <w:noProof/>
              </w:rPr>
            </w:pPr>
            <w:r>
              <w:rPr>
                <w:noProof/>
              </w:rPr>
              <w:t xml:space="preserve">A határokon </w:t>
            </w:r>
            <w:r>
              <w:rPr>
                <w:noProof/>
              </w:rPr>
              <w:t>átnyúló digitális infrastruktúra fejlesztése: díj</w:t>
            </w:r>
          </w:p>
        </w:tc>
      </w:tr>
      <w:tr w:rsidR="003E1D81" w14:paraId="4A8693A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93EC2E" w14:textId="77777777" w:rsidR="003E1D81" w:rsidRDefault="00EB481C">
            <w:pPr>
              <w:pStyle w:val="P68B1DB1-Normal46"/>
              <w:spacing w:after="0" w:line="240" w:lineRule="auto"/>
              <w:jc w:val="center"/>
              <w:rPr>
                <w:rFonts w:eastAsia="Times New Roman" w:cs="Times New Roman"/>
                <w:noProof/>
              </w:rPr>
            </w:pPr>
            <w:r>
              <w:rPr>
                <w:noProof/>
              </w:rPr>
              <w:t>243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D886D7" w14:textId="77777777" w:rsidR="003E1D81" w:rsidRDefault="00EB481C">
            <w:pPr>
              <w:pStyle w:val="P68B1DB1-Normal46"/>
              <w:spacing w:after="0" w:line="240" w:lineRule="auto"/>
              <w:rPr>
                <w:rFonts w:eastAsia="Times New Roman" w:cs="Times New Roman"/>
                <w:noProof/>
              </w:rPr>
            </w:pPr>
            <w:r>
              <w:rPr>
                <w:noProof/>
              </w:rPr>
              <w:t>C15.I6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B9AFC2"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A989484" w14:textId="77777777" w:rsidR="003E1D81" w:rsidRDefault="00EB481C">
            <w:pPr>
              <w:pStyle w:val="P68B1DB1-Normal46"/>
              <w:spacing w:after="0" w:line="240" w:lineRule="auto"/>
              <w:rPr>
                <w:rFonts w:eastAsia="Times New Roman" w:cs="Times New Roman"/>
                <w:noProof/>
              </w:rPr>
            </w:pPr>
            <w:r>
              <w:rPr>
                <w:noProof/>
              </w:rPr>
              <w:t>Az 5G technológia bevezetése: díj</w:t>
            </w:r>
          </w:p>
        </w:tc>
      </w:tr>
      <w:tr w:rsidR="003E1D81" w14:paraId="649C100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DB1F59" w14:textId="77777777" w:rsidR="003E1D81" w:rsidRDefault="00EB481C">
            <w:pPr>
              <w:pStyle w:val="P68B1DB1-Normal46"/>
              <w:spacing w:after="0" w:line="240" w:lineRule="auto"/>
              <w:jc w:val="center"/>
              <w:rPr>
                <w:rFonts w:eastAsia="Times New Roman" w:cs="Times New Roman"/>
                <w:noProof/>
              </w:rPr>
            </w:pPr>
            <w:r>
              <w:rPr>
                <w:noProof/>
              </w:rPr>
              <w:t>458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4E5D38" w14:textId="77777777" w:rsidR="003E1D81" w:rsidRDefault="00EB481C">
            <w:pPr>
              <w:pStyle w:val="P68B1DB1-Normal46"/>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5AF68D"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DB14476" w14:textId="77777777" w:rsidR="003E1D81" w:rsidRDefault="00EB481C">
            <w:pPr>
              <w:pStyle w:val="P68B1DB1-Normal46"/>
              <w:spacing w:after="0" w:line="240" w:lineRule="auto"/>
              <w:rPr>
                <w:rFonts w:eastAsia="Times New Roman" w:cs="Times New Roman"/>
                <w:noProof/>
              </w:rPr>
            </w:pPr>
            <w:r>
              <w:rPr>
                <w:noProof/>
              </w:rPr>
              <w:t>Szabályozói tesztkörnyezetek és a mesterséges intelligencia megfigyelésével foglalkozó spanyol ügynökség (AESIA)</w:t>
            </w:r>
          </w:p>
        </w:tc>
      </w:tr>
      <w:tr w:rsidR="003E1D81" w14:paraId="6887505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208A81" w14:textId="77777777" w:rsidR="003E1D81" w:rsidRDefault="00EB481C">
            <w:pPr>
              <w:pStyle w:val="P68B1DB1-Normal46"/>
              <w:spacing w:after="0" w:line="240" w:lineRule="auto"/>
              <w:jc w:val="center"/>
              <w:rPr>
                <w:rFonts w:eastAsia="Times New Roman" w:cs="Times New Roman"/>
                <w:noProof/>
              </w:rPr>
            </w:pPr>
            <w:r>
              <w:rPr>
                <w:noProof/>
              </w:rPr>
              <w:t>262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6E5127" w14:textId="77777777" w:rsidR="003E1D81" w:rsidRDefault="00EB481C">
            <w:pPr>
              <w:pStyle w:val="P68B1DB1-Normal46"/>
              <w:spacing w:after="0" w:line="240" w:lineRule="auto"/>
              <w:rPr>
                <w:rFonts w:eastAsia="Times New Roman" w:cs="Times New Roman"/>
                <w:noProof/>
              </w:rPr>
            </w:pPr>
            <w:r>
              <w:rPr>
                <w:noProof/>
              </w:rPr>
              <w:t>C17.I3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2C1A4A"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AF9498C" w14:textId="77777777" w:rsidR="003E1D81" w:rsidRDefault="00EB481C">
            <w:pPr>
              <w:pStyle w:val="P68B1DB1-Normal46"/>
              <w:spacing w:after="0" w:line="240" w:lineRule="auto"/>
              <w:rPr>
                <w:rFonts w:eastAsia="Times New Roman" w:cs="Times New Roman"/>
                <w:noProof/>
              </w:rPr>
            </w:pPr>
            <w:r>
              <w:rPr>
                <w:noProof/>
              </w:rPr>
              <w:t xml:space="preserve">Legalább 35%-ban </w:t>
            </w:r>
            <w:r>
              <w:rPr>
                <w:noProof/>
              </w:rPr>
              <w:t>a zöld és digitális átálláshoz kapcsolódó K+I projektek jóváhagyása</w:t>
            </w:r>
          </w:p>
        </w:tc>
      </w:tr>
      <w:tr w:rsidR="003E1D81" w14:paraId="1944C8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21A9DE" w14:textId="77777777" w:rsidR="003E1D81" w:rsidRDefault="00EB481C">
            <w:pPr>
              <w:pStyle w:val="P68B1DB1-Normal46"/>
              <w:spacing w:after="0" w:line="240" w:lineRule="auto"/>
              <w:jc w:val="center"/>
              <w:rPr>
                <w:rFonts w:eastAsia="Times New Roman" w:cs="Times New Roman"/>
                <w:noProof/>
              </w:rPr>
            </w:pPr>
            <w:r>
              <w:rPr>
                <w:noProof/>
              </w:rPr>
              <w:t>263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7E6D15" w14:textId="77777777" w:rsidR="003E1D81" w:rsidRDefault="00EB481C">
            <w:pPr>
              <w:pStyle w:val="P68B1DB1-Normal46"/>
              <w:spacing w:after="0" w:line="240" w:lineRule="auto"/>
              <w:rPr>
                <w:rFonts w:eastAsia="Times New Roman" w:cs="Times New Roman"/>
                <w:noProof/>
              </w:rPr>
            </w:pPr>
            <w:r>
              <w:rPr>
                <w:noProof/>
              </w:rPr>
              <w:t>C17.I4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2BAAC0"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74265B7" w14:textId="77777777" w:rsidR="003E1D81" w:rsidRDefault="00EB481C">
            <w:pPr>
              <w:pStyle w:val="P68B1DB1-Normal46"/>
              <w:spacing w:after="0" w:line="240" w:lineRule="auto"/>
              <w:rPr>
                <w:rFonts w:eastAsia="Times New Roman" w:cs="Times New Roman"/>
                <w:noProof/>
              </w:rPr>
            </w:pPr>
            <w:r>
              <w:rPr>
                <w:noProof/>
              </w:rPr>
              <w:t xml:space="preserve">A tudományos kutatói pálya támogatása ösztöndíjak és támogatások révén </w:t>
            </w:r>
          </w:p>
        </w:tc>
      </w:tr>
      <w:tr w:rsidR="003E1D81" w14:paraId="37C7F26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EC9676A" w14:textId="77777777" w:rsidR="003E1D81" w:rsidRDefault="00EB481C">
            <w:pPr>
              <w:pStyle w:val="P68B1DB1-Normal46"/>
              <w:spacing w:after="0" w:line="240" w:lineRule="auto"/>
              <w:jc w:val="center"/>
              <w:rPr>
                <w:rFonts w:eastAsia="Times New Roman" w:cs="Times New Roman"/>
                <w:noProof/>
              </w:rPr>
            </w:pPr>
            <w:r>
              <w:rPr>
                <w:noProof/>
              </w:rPr>
              <w:t>266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F9156B4" w14:textId="77777777" w:rsidR="003E1D81" w:rsidRDefault="00EB481C">
            <w:pPr>
              <w:pStyle w:val="P68B1DB1-Normal46"/>
              <w:spacing w:after="0" w:line="240" w:lineRule="auto"/>
              <w:rPr>
                <w:rFonts w:eastAsia="Times New Roman" w:cs="Times New Roman"/>
                <w:noProof/>
              </w:rPr>
            </w:pPr>
            <w:r>
              <w:rPr>
                <w:noProof/>
              </w:rPr>
              <w:t>C17.I5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B80158"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F187187" w14:textId="77777777" w:rsidR="003E1D81" w:rsidRDefault="00EB481C">
            <w:pPr>
              <w:pStyle w:val="P68B1DB1-Normal46"/>
              <w:spacing w:after="0" w:line="240" w:lineRule="auto"/>
              <w:rPr>
                <w:rFonts w:eastAsia="Times New Roman" w:cs="Times New Roman"/>
                <w:noProof/>
              </w:rPr>
            </w:pPr>
            <w:r>
              <w:rPr>
                <w:noProof/>
              </w:rPr>
              <w:t>A fiatal, technológiaalapú vállalkozások támogatása üzleti tervük végrehajtásában.</w:t>
            </w:r>
          </w:p>
        </w:tc>
      </w:tr>
      <w:tr w:rsidR="003E1D81" w14:paraId="16E558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AA3EC5" w14:textId="77777777" w:rsidR="003E1D81" w:rsidRDefault="00EB481C">
            <w:pPr>
              <w:pStyle w:val="P68B1DB1-Normal46"/>
              <w:spacing w:after="0" w:line="240" w:lineRule="auto"/>
              <w:jc w:val="center"/>
              <w:rPr>
                <w:rFonts w:eastAsia="Times New Roman" w:cs="Times New Roman"/>
                <w:noProof/>
              </w:rPr>
            </w:pPr>
            <w:r>
              <w:rPr>
                <w:noProof/>
              </w:rPr>
              <w:t>267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36C2A3" w14:textId="77777777" w:rsidR="003E1D81" w:rsidRDefault="00EB481C">
            <w:pPr>
              <w:pStyle w:val="P68B1DB1-Normal46"/>
              <w:spacing w:after="0" w:line="240" w:lineRule="auto"/>
              <w:rPr>
                <w:rFonts w:eastAsia="Times New Roman" w:cs="Times New Roman"/>
                <w:noProof/>
              </w:rPr>
            </w:pPr>
            <w:r>
              <w:rPr>
                <w:noProof/>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D5D476"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344866A" w14:textId="77777777" w:rsidR="003E1D81" w:rsidRDefault="00EB481C">
            <w:pPr>
              <w:pStyle w:val="P68B1DB1-Normal46"/>
              <w:spacing w:after="0" w:line="240" w:lineRule="auto"/>
              <w:rPr>
                <w:rFonts w:eastAsia="Times New Roman" w:cs="Times New Roman"/>
                <w:noProof/>
              </w:rPr>
            </w:pPr>
            <w:r>
              <w:rPr>
                <w:noProof/>
              </w:rPr>
              <w:t>A nemzeti egészségügyi rendszer stratégiai kapacitásainak és nemzetközivé válásának megerősítését célzó projektek, a precíziós személyre szabott orvoslási stratégiával kapcsolatos projektek, valamint a fejlett terápiákkal kapcsolatos köz-magán ber</w:t>
            </w:r>
            <w:r>
              <w:rPr>
                <w:noProof/>
              </w:rPr>
              <w:t>uházási eszközhöz való hozzájárulás.</w:t>
            </w:r>
          </w:p>
        </w:tc>
      </w:tr>
      <w:tr w:rsidR="003E1D81" w14:paraId="4314A8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78E92B" w14:textId="77777777" w:rsidR="003E1D81" w:rsidRDefault="00EB481C">
            <w:pPr>
              <w:pStyle w:val="P68B1DB1-Normal46"/>
              <w:spacing w:after="0" w:line="240" w:lineRule="auto"/>
              <w:jc w:val="center"/>
              <w:rPr>
                <w:rFonts w:eastAsia="Times New Roman" w:cs="Times New Roman"/>
                <w:noProof/>
              </w:rPr>
            </w:pPr>
            <w:r>
              <w:rPr>
                <w:noProof/>
              </w:rPr>
              <w:t>461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96121A" w14:textId="77777777" w:rsidR="003E1D81" w:rsidRDefault="00EB481C">
            <w:pPr>
              <w:pStyle w:val="P68B1DB1-Normal46"/>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415679"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19F3082" w14:textId="77777777" w:rsidR="003E1D81" w:rsidRDefault="00EB481C">
            <w:pPr>
              <w:pStyle w:val="P68B1DB1-Normal46"/>
              <w:spacing w:after="0" w:line="240" w:lineRule="auto"/>
              <w:rPr>
                <w:rFonts w:eastAsia="Times New Roman" w:cs="Times New Roman"/>
                <w:noProof/>
              </w:rPr>
            </w:pPr>
            <w:r>
              <w:rPr>
                <w:noProof/>
              </w:rPr>
              <w:t xml:space="preserve">Az űrrepülési ágazatban a K+F+I pályázati felhívások díjának közzététele. </w:t>
            </w:r>
          </w:p>
        </w:tc>
      </w:tr>
      <w:tr w:rsidR="003E1D81" w14:paraId="5C445A0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9D3F9B" w14:textId="77777777" w:rsidR="003E1D81" w:rsidRDefault="00EB481C">
            <w:pPr>
              <w:pStyle w:val="P68B1DB1-Normal46"/>
              <w:spacing w:after="0" w:line="240" w:lineRule="auto"/>
              <w:jc w:val="center"/>
              <w:rPr>
                <w:rFonts w:eastAsia="Times New Roman" w:cs="Times New Roman"/>
                <w:noProof/>
              </w:rPr>
            </w:pPr>
            <w:r>
              <w:rPr>
                <w:noProof/>
              </w:rPr>
              <w:t>287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9DE371" w14:textId="77777777" w:rsidR="003E1D81" w:rsidRDefault="00EB481C">
            <w:pPr>
              <w:pStyle w:val="P68B1DB1-Normal46"/>
              <w:spacing w:after="0" w:line="240" w:lineRule="auto"/>
              <w:rPr>
                <w:rFonts w:eastAsia="Times New Roman" w:cs="Times New Roman"/>
                <w:noProof/>
              </w:rPr>
            </w:pPr>
            <w:r>
              <w:rPr>
                <w:noProof/>
              </w:rPr>
              <w:t>C19.I1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D2B407D"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F55DE77" w14:textId="77777777" w:rsidR="003E1D81" w:rsidRDefault="00EB481C">
            <w:pPr>
              <w:pStyle w:val="P68B1DB1-Normal46"/>
              <w:spacing w:after="0" w:line="240" w:lineRule="auto"/>
              <w:rPr>
                <w:rFonts w:eastAsia="Times New Roman" w:cs="Times New Roman"/>
                <w:noProof/>
              </w:rPr>
            </w:pPr>
            <w:r>
              <w:rPr>
                <w:noProof/>
              </w:rPr>
              <w:t>A digitális képességek fejlesztését célzó intézkedések lezárása</w:t>
            </w:r>
          </w:p>
        </w:tc>
      </w:tr>
      <w:tr w:rsidR="003E1D81" w14:paraId="05B6EE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53E1CAD" w14:textId="77777777" w:rsidR="003E1D81" w:rsidRDefault="00EB481C">
            <w:pPr>
              <w:pStyle w:val="P68B1DB1-Normal46"/>
              <w:spacing w:after="0" w:line="240" w:lineRule="auto"/>
              <w:jc w:val="center"/>
              <w:rPr>
                <w:rFonts w:eastAsia="Times New Roman" w:cs="Times New Roman"/>
                <w:noProof/>
              </w:rPr>
            </w:pPr>
            <w:r>
              <w:rPr>
                <w:noProof/>
              </w:rPr>
              <w:t>293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DEEECA" w14:textId="77777777" w:rsidR="003E1D81" w:rsidRDefault="00EB481C">
            <w:pPr>
              <w:pStyle w:val="P68B1DB1-Normal46"/>
              <w:spacing w:after="0" w:line="240" w:lineRule="auto"/>
              <w:rPr>
                <w:rFonts w:eastAsia="Times New Roman" w:cs="Times New Roman"/>
                <w:noProof/>
              </w:rPr>
            </w:pPr>
            <w:r>
              <w:rPr>
                <w:noProof/>
              </w:rPr>
              <w:t>C19.I4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7BA255"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30F86E7" w14:textId="77777777" w:rsidR="003E1D81" w:rsidRDefault="00EB481C">
            <w:pPr>
              <w:pStyle w:val="P68B1DB1-Normal46"/>
              <w:spacing w:after="0" w:line="240" w:lineRule="auto"/>
              <w:rPr>
                <w:rFonts w:eastAsia="Times New Roman" w:cs="Times New Roman"/>
                <w:noProof/>
              </w:rPr>
            </w:pPr>
            <w:r>
              <w:rPr>
                <w:noProof/>
              </w:rPr>
              <w:t xml:space="preserve">Ösztöndíjprogramok a digitális tehetségek számára </w:t>
            </w:r>
          </w:p>
        </w:tc>
      </w:tr>
      <w:tr w:rsidR="003E1D81" w14:paraId="7E40F4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DE54FB" w14:textId="77777777" w:rsidR="003E1D81" w:rsidRDefault="00EB481C">
            <w:pPr>
              <w:pStyle w:val="P68B1DB1-Normal46"/>
              <w:spacing w:after="0" w:line="240" w:lineRule="auto"/>
              <w:jc w:val="center"/>
              <w:rPr>
                <w:rFonts w:eastAsia="Times New Roman" w:cs="Times New Roman"/>
                <w:noProof/>
              </w:rPr>
            </w:pPr>
            <w:r>
              <w:rPr>
                <w:noProof/>
              </w:rPr>
              <w:t>298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6F0235" w14:textId="77777777" w:rsidR="003E1D81" w:rsidRDefault="00EB481C">
            <w:pPr>
              <w:pStyle w:val="P68B1DB1-Normal46"/>
              <w:spacing w:after="0" w:line="240" w:lineRule="auto"/>
              <w:rPr>
                <w:rFonts w:eastAsia="Times New Roman" w:cs="Times New Roman"/>
                <w:noProof/>
              </w:rPr>
            </w:pPr>
            <w:r>
              <w:rPr>
                <w:noProof/>
              </w:rPr>
              <w:t>C20.I1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B47E6D"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562E6E7" w14:textId="77777777" w:rsidR="003E1D81" w:rsidRDefault="00EB481C">
            <w:pPr>
              <w:pStyle w:val="P68B1DB1-Normal46"/>
              <w:spacing w:after="0" w:line="240" w:lineRule="auto"/>
              <w:rPr>
                <w:rFonts w:eastAsia="Times New Roman" w:cs="Times New Roman"/>
                <w:noProof/>
              </w:rPr>
            </w:pPr>
            <w:r>
              <w:rPr>
                <w:noProof/>
              </w:rPr>
              <w:t xml:space="preserve">Moduláris képzések a foglalkoztatottak és munkanélküliek továbbképzésére és átképzésére </w:t>
            </w:r>
          </w:p>
        </w:tc>
      </w:tr>
      <w:tr w:rsidR="003E1D81" w14:paraId="5AAAB27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EEB306" w14:textId="77777777" w:rsidR="003E1D81" w:rsidRDefault="00EB481C">
            <w:pPr>
              <w:pStyle w:val="P68B1DB1-Normal46"/>
              <w:spacing w:after="0" w:line="240" w:lineRule="auto"/>
              <w:jc w:val="center"/>
              <w:rPr>
                <w:rFonts w:eastAsia="Times New Roman" w:cs="Times New Roman"/>
                <w:noProof/>
              </w:rPr>
            </w:pPr>
            <w:r>
              <w:rPr>
                <w:noProof/>
              </w:rPr>
              <w:t>299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C56BF88" w14:textId="77777777" w:rsidR="003E1D81" w:rsidRDefault="00EB481C">
            <w:pPr>
              <w:pStyle w:val="P68B1DB1-Normal46"/>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FE696B"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91F23BC" w14:textId="77777777" w:rsidR="003E1D81" w:rsidRDefault="00EB481C">
            <w:pPr>
              <w:pStyle w:val="P68B1DB1-Normal46"/>
              <w:spacing w:after="0" w:line="240" w:lineRule="auto"/>
              <w:rPr>
                <w:rFonts w:eastAsia="Times New Roman" w:cs="Times New Roman"/>
                <w:noProof/>
              </w:rPr>
            </w:pPr>
            <w:r>
              <w:rPr>
                <w:noProof/>
              </w:rPr>
              <w:t>Szakképzési kiválósági és innovációs központok</w:t>
            </w:r>
          </w:p>
        </w:tc>
      </w:tr>
      <w:tr w:rsidR="003E1D81" w14:paraId="7863A5B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8E8BC0" w14:textId="77777777" w:rsidR="003E1D81" w:rsidRDefault="00EB481C">
            <w:pPr>
              <w:pStyle w:val="P68B1DB1-Normal46"/>
              <w:spacing w:after="0" w:line="240" w:lineRule="auto"/>
              <w:jc w:val="center"/>
              <w:rPr>
                <w:rFonts w:eastAsia="Times New Roman" w:cs="Times New Roman"/>
                <w:noProof/>
              </w:rPr>
            </w:pPr>
            <w:r>
              <w:rPr>
                <w:noProof/>
              </w:rPr>
              <w:t>467a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9427E2" w14:textId="77777777" w:rsidR="003E1D81" w:rsidRDefault="00EB481C">
            <w:pPr>
              <w:pStyle w:val="P68B1DB1-Normal46"/>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2CAC87E"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87A56E0" w14:textId="77777777" w:rsidR="003E1D81" w:rsidRDefault="00EB481C">
            <w:pPr>
              <w:pStyle w:val="P68B1DB1-Normal46"/>
              <w:spacing w:after="0" w:line="240" w:lineRule="auto"/>
              <w:rPr>
                <w:rFonts w:eastAsia="Times New Roman" w:cs="Times New Roman"/>
                <w:noProof/>
              </w:rPr>
            </w:pPr>
            <w:r>
              <w:rPr>
                <w:noProof/>
              </w:rPr>
              <w:t xml:space="preserve">„Vállalkozói” </w:t>
            </w:r>
            <w:r>
              <w:rPr>
                <w:noProof/>
              </w:rPr>
              <w:t>osztálytermek létrehozása</w:t>
            </w:r>
          </w:p>
        </w:tc>
      </w:tr>
      <w:tr w:rsidR="003E1D81" w14:paraId="34CC08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D85ABC" w14:textId="77777777" w:rsidR="003E1D81" w:rsidRDefault="00EB481C">
            <w:pPr>
              <w:pStyle w:val="P68B1DB1-Normal46"/>
              <w:spacing w:after="0" w:line="240" w:lineRule="auto"/>
              <w:jc w:val="center"/>
              <w:rPr>
                <w:rFonts w:eastAsia="Times New Roman" w:cs="Times New Roman"/>
                <w:noProof/>
              </w:rPr>
            </w:pPr>
            <w:r>
              <w:rPr>
                <w:noProof/>
              </w:rPr>
              <w:t>467b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1D9346" w14:textId="77777777" w:rsidR="003E1D81" w:rsidRDefault="00EB481C">
            <w:pPr>
              <w:pStyle w:val="P68B1DB1-Normal46"/>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A7A803"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3E57526" w14:textId="77777777" w:rsidR="003E1D81" w:rsidRDefault="00EB481C">
            <w:pPr>
              <w:pStyle w:val="P68B1DB1-Normal46"/>
              <w:spacing w:after="0" w:line="240" w:lineRule="auto"/>
              <w:rPr>
                <w:rFonts w:eastAsia="Times New Roman" w:cs="Times New Roman"/>
                <w:noProof/>
              </w:rPr>
            </w:pPr>
            <w:r>
              <w:rPr>
                <w:noProof/>
              </w:rPr>
              <w:t>A szakképzésben részt vevő tanárok zöld képzésének befejezése</w:t>
            </w:r>
          </w:p>
        </w:tc>
      </w:tr>
      <w:tr w:rsidR="003E1D81" w14:paraId="4F20B8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72AE9A" w14:textId="77777777" w:rsidR="003E1D81" w:rsidRDefault="00EB481C">
            <w:pPr>
              <w:pStyle w:val="P68B1DB1-Normal46"/>
              <w:spacing w:after="0" w:line="240" w:lineRule="auto"/>
              <w:jc w:val="center"/>
              <w:rPr>
                <w:rFonts w:eastAsia="Times New Roman" w:cs="Times New Roman"/>
                <w:noProof/>
              </w:rPr>
            </w:pPr>
            <w:r>
              <w:rPr>
                <w:noProof/>
              </w:rPr>
              <w:t>301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A0F554" w14:textId="77777777" w:rsidR="003E1D81" w:rsidRDefault="00EB481C">
            <w:pPr>
              <w:pStyle w:val="P68B1DB1-Normal46"/>
              <w:spacing w:after="0" w:line="240" w:lineRule="auto"/>
              <w:rPr>
                <w:rFonts w:eastAsia="Times New Roman" w:cs="Times New Roman"/>
                <w:noProof/>
              </w:rPr>
            </w:pPr>
            <w:r>
              <w:rPr>
                <w:noProof/>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DF077E0"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D33967B" w14:textId="77777777" w:rsidR="003E1D81" w:rsidRDefault="00EB481C">
            <w:pPr>
              <w:pStyle w:val="P68B1DB1-Normal46"/>
              <w:spacing w:after="0" w:line="240" w:lineRule="auto"/>
              <w:rPr>
                <w:rFonts w:eastAsia="Times New Roman" w:cs="Times New Roman"/>
                <w:noProof/>
              </w:rPr>
            </w:pPr>
            <w:r>
              <w:rPr>
                <w:noProof/>
              </w:rPr>
              <w:t xml:space="preserve">Kétnyelvű szakképzési ciklusok </w:t>
            </w:r>
          </w:p>
        </w:tc>
      </w:tr>
      <w:tr w:rsidR="003E1D81" w14:paraId="6478532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5ECC05" w14:textId="77777777" w:rsidR="003E1D81" w:rsidRDefault="00EB481C">
            <w:pPr>
              <w:pStyle w:val="P68B1DB1-Normal46"/>
              <w:spacing w:after="0" w:line="240" w:lineRule="auto"/>
              <w:jc w:val="center"/>
              <w:rPr>
                <w:rFonts w:eastAsia="Times New Roman" w:cs="Times New Roman"/>
                <w:noProof/>
              </w:rPr>
            </w:pPr>
            <w:r>
              <w:rPr>
                <w:noProof/>
              </w:rPr>
              <w:t>305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C5A819" w14:textId="77777777" w:rsidR="003E1D81" w:rsidRDefault="00EB481C">
            <w:pPr>
              <w:pStyle w:val="P68B1DB1-Normal46"/>
              <w:spacing w:after="0" w:line="240" w:lineRule="auto"/>
              <w:rPr>
                <w:rFonts w:eastAsia="Times New Roman" w:cs="Times New Roman"/>
                <w:noProof/>
              </w:rPr>
            </w:pPr>
            <w:r>
              <w:rPr>
                <w:noProof/>
              </w:rPr>
              <w:t>C21.R2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CE771D"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0BC5792" w14:textId="77777777" w:rsidR="003E1D81" w:rsidRDefault="00EB481C">
            <w:pPr>
              <w:pStyle w:val="P68B1DB1-Normal46"/>
              <w:spacing w:after="0" w:line="240" w:lineRule="auto"/>
              <w:rPr>
                <w:rFonts w:eastAsia="Times New Roman" w:cs="Times New Roman"/>
                <w:noProof/>
              </w:rPr>
            </w:pPr>
            <w:r>
              <w:rPr>
                <w:noProof/>
              </w:rPr>
              <w:t xml:space="preserve">A tanárokat az új tanterv végrehajtásához, valamint a szakemberek képzéséhez vezető és támogató anyagok </w:t>
            </w:r>
          </w:p>
        </w:tc>
      </w:tr>
      <w:tr w:rsidR="003E1D81" w14:paraId="7FA7B39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1BEF10" w14:textId="77777777" w:rsidR="003E1D81" w:rsidRDefault="00EB481C">
            <w:pPr>
              <w:pStyle w:val="P68B1DB1-Normal46"/>
              <w:spacing w:after="0" w:line="240" w:lineRule="auto"/>
              <w:jc w:val="center"/>
              <w:rPr>
                <w:rFonts w:eastAsia="Times New Roman" w:cs="Times New Roman"/>
                <w:noProof/>
              </w:rPr>
            </w:pPr>
            <w:r>
              <w:rPr>
                <w:noProof/>
              </w:rPr>
              <w:t>310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AF3379" w14:textId="77777777" w:rsidR="003E1D81" w:rsidRDefault="00EB481C">
            <w:pPr>
              <w:pStyle w:val="P68B1DB1-Normal46"/>
              <w:spacing w:after="0" w:line="240" w:lineRule="auto"/>
              <w:rPr>
                <w:rFonts w:eastAsia="Times New Roman" w:cs="Times New Roman"/>
                <w:noProof/>
              </w:rPr>
            </w:pPr>
            <w:r>
              <w:rPr>
                <w:noProof/>
              </w:rPr>
              <w:t>C21.I2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5669C5"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72488F9" w14:textId="77777777" w:rsidR="003E1D81" w:rsidRDefault="00EB481C">
            <w:pPr>
              <w:pStyle w:val="P68B1DB1-Normal46"/>
              <w:spacing w:after="0" w:line="240" w:lineRule="auto"/>
              <w:rPr>
                <w:rFonts w:eastAsia="Times New Roman" w:cs="Times New Roman"/>
                <w:noProof/>
              </w:rPr>
            </w:pPr>
            <w:r>
              <w:rPr>
                <w:noProof/>
              </w:rPr>
              <w:t xml:space="preserve">Iskolák támogatása a PROA+ program keretében </w:t>
            </w:r>
          </w:p>
        </w:tc>
      </w:tr>
      <w:tr w:rsidR="003E1D81" w14:paraId="6E8AE0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A085DC" w14:textId="77777777" w:rsidR="003E1D81" w:rsidRDefault="00EB481C">
            <w:pPr>
              <w:pStyle w:val="P68B1DB1-Normal46"/>
              <w:spacing w:after="0" w:line="240" w:lineRule="auto"/>
              <w:jc w:val="center"/>
              <w:rPr>
                <w:rFonts w:eastAsia="Times New Roman" w:cs="Times New Roman"/>
                <w:noProof/>
              </w:rPr>
            </w:pPr>
            <w:r>
              <w:rPr>
                <w:noProof/>
              </w:rPr>
              <w:t>311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3C2E27" w14:textId="77777777" w:rsidR="003E1D81" w:rsidRDefault="00EB481C">
            <w:pPr>
              <w:pStyle w:val="P68B1DB1-Normal46"/>
              <w:spacing w:after="0" w:line="240" w:lineRule="auto"/>
              <w:rPr>
                <w:rFonts w:eastAsia="Times New Roman" w:cs="Times New Roman"/>
                <w:noProof/>
              </w:rPr>
            </w:pPr>
            <w:r>
              <w:rPr>
                <w:noProof/>
              </w:rPr>
              <w:t>C21.I3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C350DB"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F01AE5D" w14:textId="77777777" w:rsidR="003E1D81" w:rsidRDefault="00EB481C">
            <w:pPr>
              <w:pStyle w:val="P68B1DB1-Normal46"/>
              <w:spacing w:after="0" w:line="240" w:lineRule="auto"/>
              <w:rPr>
                <w:rFonts w:eastAsia="Times New Roman" w:cs="Times New Roman"/>
                <w:noProof/>
              </w:rPr>
            </w:pPr>
            <w:r>
              <w:rPr>
                <w:noProof/>
              </w:rPr>
              <w:t xml:space="preserve">Kísérő és pályaorientációs egységek a kiszolgáltatott helyzetben lévő diákok számára </w:t>
            </w:r>
          </w:p>
        </w:tc>
      </w:tr>
      <w:tr w:rsidR="003E1D81" w14:paraId="2A70EA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C904FC" w14:textId="77777777" w:rsidR="003E1D81" w:rsidRDefault="00EB481C">
            <w:pPr>
              <w:pStyle w:val="P68B1DB1-Normal46"/>
              <w:spacing w:after="0" w:line="240" w:lineRule="auto"/>
              <w:jc w:val="center"/>
              <w:rPr>
                <w:rFonts w:eastAsia="Times New Roman" w:cs="Times New Roman"/>
                <w:noProof/>
              </w:rPr>
            </w:pPr>
            <w:r>
              <w:rPr>
                <w:noProof/>
              </w:rPr>
              <w:t>470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11163" w14:textId="77777777" w:rsidR="003E1D81" w:rsidRDefault="00EB481C">
            <w:pPr>
              <w:pStyle w:val="P68B1DB1-Normal46"/>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94D4A3"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5AE4A9B" w14:textId="77777777" w:rsidR="003E1D81" w:rsidRDefault="00EB481C">
            <w:pPr>
              <w:pStyle w:val="P68B1DB1-Normal46"/>
              <w:spacing w:after="0" w:line="240" w:lineRule="auto"/>
              <w:rPr>
                <w:rFonts w:eastAsia="Times New Roman" w:cs="Times New Roman"/>
                <w:noProof/>
              </w:rPr>
            </w:pPr>
            <w:r>
              <w:rPr>
                <w:noProof/>
              </w:rPr>
              <w:t xml:space="preserve">Bentlakásos, nem lakáscélú és nappali ápolási-gondozási helyek.  </w:t>
            </w:r>
          </w:p>
        </w:tc>
      </w:tr>
      <w:tr w:rsidR="003E1D81" w14:paraId="3A9D3BB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E25586" w14:textId="77777777" w:rsidR="003E1D81" w:rsidRDefault="00EB481C">
            <w:pPr>
              <w:pStyle w:val="P68B1DB1-Normal46"/>
              <w:spacing w:after="0" w:line="240" w:lineRule="auto"/>
              <w:jc w:val="center"/>
              <w:rPr>
                <w:rFonts w:eastAsia="Times New Roman" w:cs="Times New Roman"/>
                <w:noProof/>
              </w:rPr>
            </w:pPr>
            <w:r>
              <w:rPr>
                <w:noProof/>
              </w:rPr>
              <w:t>326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DF7C1A9" w14:textId="77777777" w:rsidR="003E1D81" w:rsidRDefault="00EB481C">
            <w:pPr>
              <w:pStyle w:val="P68B1DB1-Normal46"/>
              <w:spacing w:after="0" w:line="240" w:lineRule="auto"/>
              <w:rPr>
                <w:rFonts w:eastAsia="Times New Roman" w:cs="Times New Roman"/>
                <w:noProof/>
              </w:rPr>
            </w:pPr>
            <w:r>
              <w:rPr>
                <w:noProof/>
              </w:rPr>
              <w:t>C22.I3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CD2AEB"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DF42788" w14:textId="77777777" w:rsidR="003E1D81" w:rsidRDefault="00EB481C">
            <w:pPr>
              <w:pStyle w:val="P68B1DB1-Normal46"/>
              <w:spacing w:after="0" w:line="240" w:lineRule="auto"/>
              <w:rPr>
                <w:rFonts w:eastAsia="Times New Roman" w:cs="Times New Roman"/>
                <w:noProof/>
              </w:rPr>
            </w:pPr>
            <w:r>
              <w:rPr>
                <w:noProof/>
              </w:rPr>
              <w:t>A hozzáférhetőség javítására irányuló projektek</w:t>
            </w:r>
          </w:p>
        </w:tc>
      </w:tr>
      <w:tr w:rsidR="003E1D81" w14:paraId="13176E7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D079A04" w14:textId="77777777" w:rsidR="003E1D81" w:rsidRDefault="00EB481C">
            <w:pPr>
              <w:pStyle w:val="P68B1DB1-Normal46"/>
              <w:spacing w:after="0" w:line="240" w:lineRule="auto"/>
              <w:jc w:val="center"/>
              <w:rPr>
                <w:rFonts w:eastAsia="Times New Roman" w:cs="Times New Roman"/>
                <w:noProof/>
              </w:rPr>
            </w:pPr>
            <w:r>
              <w:rPr>
                <w:noProof/>
              </w:rPr>
              <w:t>327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AC6571" w14:textId="77777777" w:rsidR="003E1D81" w:rsidRDefault="00EB481C">
            <w:pPr>
              <w:pStyle w:val="P68B1DB1-Normal46"/>
              <w:spacing w:after="0" w:line="240" w:lineRule="auto"/>
              <w:rPr>
                <w:rFonts w:eastAsia="Times New Roman" w:cs="Times New Roman"/>
                <w:noProof/>
              </w:rPr>
            </w:pPr>
            <w:r>
              <w:rPr>
                <w:noProof/>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BC7FA8"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7A478A" w14:textId="77777777" w:rsidR="003E1D81" w:rsidRDefault="00EB481C">
            <w:pPr>
              <w:pStyle w:val="P68B1DB1-Normal46"/>
              <w:spacing w:after="0" w:line="240" w:lineRule="auto"/>
              <w:rPr>
                <w:rFonts w:eastAsia="Times New Roman" w:cs="Times New Roman"/>
                <w:noProof/>
              </w:rPr>
            </w:pPr>
            <w:r>
              <w:rPr>
                <w:noProof/>
              </w:rPr>
              <w:t xml:space="preserve">A szexuális </w:t>
            </w:r>
            <w:r>
              <w:rPr>
                <w:noProof/>
              </w:rPr>
              <w:t>erőszak áldozatainak központjai.</w:t>
            </w:r>
          </w:p>
        </w:tc>
      </w:tr>
      <w:tr w:rsidR="003E1D81" w14:paraId="13BA8C3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F5DCAC" w14:textId="77777777" w:rsidR="003E1D81" w:rsidRDefault="00EB481C">
            <w:pPr>
              <w:pStyle w:val="P68B1DB1-Normal46"/>
              <w:spacing w:after="0" w:line="240" w:lineRule="auto"/>
              <w:jc w:val="center"/>
              <w:rPr>
                <w:rFonts w:eastAsia="Times New Roman" w:cs="Times New Roman"/>
                <w:noProof/>
              </w:rPr>
            </w:pPr>
            <w:r>
              <w:rPr>
                <w:noProof/>
              </w:rPr>
              <w:t>347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1F5540" w14:textId="77777777" w:rsidR="003E1D81" w:rsidRDefault="00EB481C">
            <w:pPr>
              <w:pStyle w:val="P68B1DB1-Normal46"/>
              <w:spacing w:after="0" w:line="240" w:lineRule="auto"/>
              <w:rPr>
                <w:rFonts w:eastAsia="Times New Roman" w:cs="Times New Roman"/>
                <w:noProof/>
              </w:rPr>
            </w:pPr>
            <w:r>
              <w:rPr>
                <w:noProof/>
              </w:rPr>
              <w:t>C23.I5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165CE1"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CF5FB67" w14:textId="77777777" w:rsidR="003E1D81" w:rsidRDefault="00EB481C">
            <w:pPr>
              <w:pStyle w:val="P68B1DB1-Normal46"/>
              <w:spacing w:after="0" w:line="240" w:lineRule="auto"/>
              <w:rPr>
                <w:rFonts w:eastAsia="Times New Roman" w:cs="Times New Roman"/>
                <w:noProof/>
              </w:rPr>
            </w:pPr>
            <w:r>
              <w:rPr>
                <w:noProof/>
              </w:rPr>
              <w:t>A pályaorientációs, vállalkozói, támogatási és innovációs központok teljes mértékben működőképesek.</w:t>
            </w:r>
          </w:p>
        </w:tc>
      </w:tr>
      <w:tr w:rsidR="003E1D81" w14:paraId="38B1B1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A0EB3F" w14:textId="77777777" w:rsidR="003E1D81" w:rsidRDefault="00EB481C">
            <w:pPr>
              <w:pStyle w:val="P68B1DB1-Normal46"/>
              <w:spacing w:after="0" w:line="240" w:lineRule="auto"/>
              <w:jc w:val="center"/>
              <w:rPr>
                <w:rFonts w:eastAsia="Times New Roman" w:cs="Times New Roman"/>
                <w:noProof/>
              </w:rPr>
            </w:pPr>
            <w:r>
              <w:rPr>
                <w:noProof/>
              </w:rPr>
              <w:t>351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6DB99D" w14:textId="77777777" w:rsidR="003E1D81" w:rsidRDefault="00EB481C">
            <w:pPr>
              <w:pStyle w:val="P68B1DB1-Normal46"/>
              <w:spacing w:after="0" w:line="240" w:lineRule="auto"/>
              <w:rPr>
                <w:rFonts w:eastAsia="Times New Roman" w:cs="Times New Roman"/>
                <w:noProof/>
              </w:rPr>
            </w:pPr>
            <w:r>
              <w:rPr>
                <w:noProof/>
              </w:rPr>
              <w:t>C23.I7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767AE7"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E55B29A" w14:textId="77777777" w:rsidR="003E1D81" w:rsidRDefault="00EB481C">
            <w:pPr>
              <w:pStyle w:val="P68B1DB1-Normal46"/>
              <w:spacing w:after="0" w:line="240" w:lineRule="auto"/>
              <w:rPr>
                <w:rFonts w:eastAsia="Times New Roman" w:cs="Times New Roman"/>
                <w:noProof/>
              </w:rPr>
            </w:pPr>
            <w:r>
              <w:rPr>
                <w:noProof/>
              </w:rPr>
              <w:t xml:space="preserve">A minimáljövedelem-rendszerek hatókörének, hatékonyságának és sikerének értékelésére irányuló </w:t>
            </w:r>
            <w:r>
              <w:rPr>
                <w:noProof/>
              </w:rPr>
              <w:t>értékelés</w:t>
            </w:r>
          </w:p>
        </w:tc>
      </w:tr>
      <w:tr w:rsidR="003E1D81" w14:paraId="168043F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E4600F" w14:textId="77777777" w:rsidR="003E1D81" w:rsidRDefault="00EB481C">
            <w:pPr>
              <w:pStyle w:val="P68B1DB1-Normal46"/>
              <w:spacing w:after="0" w:line="240" w:lineRule="auto"/>
              <w:jc w:val="center"/>
              <w:rPr>
                <w:rFonts w:eastAsia="Times New Roman" w:cs="Times New Roman"/>
                <w:noProof/>
              </w:rPr>
            </w:pPr>
            <w:r>
              <w:rPr>
                <w:noProof/>
              </w:rPr>
              <w:t>358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45CD9B" w14:textId="77777777" w:rsidR="003E1D81" w:rsidRDefault="00EB481C">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FED88F3"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6ABC3B8" w14:textId="77777777" w:rsidR="003E1D81" w:rsidRDefault="00EB481C">
            <w:pPr>
              <w:pStyle w:val="P68B1DB1-Normal46"/>
              <w:spacing w:after="0" w:line="240" w:lineRule="auto"/>
              <w:rPr>
                <w:rFonts w:eastAsia="Times New Roman" w:cs="Times New Roman"/>
                <w:noProof/>
              </w:rPr>
            </w:pPr>
            <w:r>
              <w:rPr>
                <w:noProof/>
              </w:rPr>
              <w:t>Könyvvásárlás könyvtárak számára</w:t>
            </w:r>
          </w:p>
        </w:tc>
      </w:tr>
      <w:tr w:rsidR="003E1D81" w14:paraId="755A2DA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BCE1BA" w14:textId="77777777" w:rsidR="003E1D81" w:rsidRDefault="00EB481C">
            <w:pPr>
              <w:pStyle w:val="P68B1DB1-Normal46"/>
              <w:spacing w:after="0" w:line="240" w:lineRule="auto"/>
              <w:jc w:val="center"/>
              <w:rPr>
                <w:rFonts w:eastAsia="Times New Roman" w:cs="Times New Roman"/>
                <w:noProof/>
              </w:rPr>
            </w:pPr>
            <w:r>
              <w:rPr>
                <w:noProof/>
              </w:rPr>
              <w:t>476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2C8BD6" w14:textId="77777777" w:rsidR="003E1D81" w:rsidRDefault="00EB481C">
            <w:pPr>
              <w:pStyle w:val="P68B1DB1-Normal46"/>
              <w:spacing w:after="0" w:line="240" w:lineRule="auto"/>
              <w:rPr>
                <w:rFonts w:eastAsia="Times New Roman" w:cs="Times New Roman"/>
                <w:noProof/>
              </w:rPr>
            </w:pPr>
            <w:r>
              <w:rPr>
                <w:noProof/>
              </w:rPr>
              <w:t>C25.I1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FD86D5" w14:textId="77777777" w:rsidR="003E1D81" w:rsidRDefault="00EB481C">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2A570B" w14:textId="77777777" w:rsidR="003E1D81" w:rsidRDefault="00EB481C">
            <w:pPr>
              <w:pStyle w:val="P68B1DB1-Normal46"/>
              <w:spacing w:after="0" w:line="240" w:lineRule="auto"/>
              <w:rPr>
                <w:rFonts w:eastAsia="Times New Roman" w:cs="Times New Roman"/>
                <w:noProof/>
              </w:rPr>
            </w:pPr>
            <w:r>
              <w:rPr>
                <w:noProof/>
              </w:rPr>
              <w:t>Az audiovizuális ágazatban működő kkv-kat támogató projektek lezárása</w:t>
            </w:r>
          </w:p>
        </w:tc>
      </w:tr>
      <w:tr w:rsidR="003E1D81" w14:paraId="407FDED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95D4F5" w14:textId="77777777" w:rsidR="003E1D81" w:rsidRDefault="00EB481C">
            <w:pPr>
              <w:pStyle w:val="P68B1DB1-Normal46"/>
              <w:spacing w:after="0" w:line="240" w:lineRule="auto"/>
              <w:jc w:val="center"/>
              <w:rPr>
                <w:rFonts w:eastAsia="Times New Roman" w:cs="Times New Roman"/>
                <w:noProof/>
              </w:rPr>
            </w:pPr>
            <w:r>
              <w:rPr>
                <w:noProof/>
              </w:rPr>
              <w:t>483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2176F87" w14:textId="77777777" w:rsidR="003E1D81" w:rsidRDefault="00EB481C">
            <w:pPr>
              <w:pStyle w:val="P68B1DB1-Normal46"/>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1E748B"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369E4EA" w14:textId="77777777" w:rsidR="003E1D81" w:rsidRDefault="00EB481C">
            <w:pPr>
              <w:pStyle w:val="P68B1DB1-Normal46"/>
              <w:spacing w:after="0" w:line="240" w:lineRule="auto"/>
              <w:rPr>
                <w:rFonts w:eastAsia="Times New Roman" w:cs="Times New Roman"/>
                <w:noProof/>
              </w:rPr>
            </w:pPr>
            <w:r>
              <w:rPr>
                <w:noProof/>
              </w:rPr>
              <w:t>A megújuló hidrogén támogatási rendszere: A minisztérium befejezte a beruházást</w:t>
            </w:r>
          </w:p>
        </w:tc>
      </w:tr>
      <w:tr w:rsidR="003E1D81" w14:paraId="041847B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94C56F" w14:textId="77777777" w:rsidR="003E1D81" w:rsidRDefault="00EB481C">
            <w:pPr>
              <w:pStyle w:val="P68B1DB1-Normal46"/>
              <w:spacing w:after="0" w:line="240" w:lineRule="auto"/>
              <w:jc w:val="center"/>
              <w:rPr>
                <w:rFonts w:eastAsia="Times New Roman" w:cs="Times New Roman"/>
                <w:noProof/>
              </w:rPr>
            </w:pPr>
            <w:r>
              <w:rPr>
                <w:noProof/>
              </w:rPr>
              <w:t>480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66F94E" w14:textId="77777777" w:rsidR="003E1D81" w:rsidRDefault="00EB481C">
            <w:pPr>
              <w:pStyle w:val="P68B1DB1-Normal46"/>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771834"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2E847D3" w14:textId="77777777" w:rsidR="003E1D81" w:rsidRDefault="00EB481C">
            <w:pPr>
              <w:pStyle w:val="P68B1DB1-Normal46"/>
              <w:spacing w:after="0" w:line="240" w:lineRule="auto"/>
              <w:rPr>
                <w:rFonts w:eastAsia="Times New Roman" w:cs="Times New Roman"/>
                <w:noProof/>
              </w:rPr>
            </w:pPr>
            <w:r>
              <w:rPr>
                <w:noProof/>
              </w:rPr>
              <w:t xml:space="preserve">A </w:t>
            </w:r>
            <w:r>
              <w:rPr>
                <w:noProof/>
              </w:rPr>
              <w:t>megújuló hidrogén támogatási rendszere: A rendszer létrehozása</w:t>
            </w:r>
          </w:p>
        </w:tc>
      </w:tr>
      <w:tr w:rsidR="003E1D81" w14:paraId="2D659B6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830334" w14:textId="77777777" w:rsidR="003E1D81" w:rsidRDefault="00EB481C">
            <w:pPr>
              <w:pStyle w:val="P68B1DB1-Normal46"/>
              <w:spacing w:after="0" w:line="240" w:lineRule="auto"/>
              <w:jc w:val="center"/>
              <w:rPr>
                <w:rFonts w:eastAsia="Times New Roman" w:cs="Times New Roman"/>
                <w:noProof/>
              </w:rPr>
            </w:pPr>
            <w:r>
              <w:rPr>
                <w:noProof/>
              </w:rPr>
              <w:t>487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1EBAAE" w14:textId="77777777" w:rsidR="003E1D81" w:rsidRDefault="00EB481C">
            <w:pPr>
              <w:pStyle w:val="P68B1DB1-Normal46"/>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0EC886B"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D3A373B" w14:textId="77777777" w:rsidR="003E1D81" w:rsidRDefault="00EB481C">
            <w:pPr>
              <w:pStyle w:val="P68B1DB1-Normal46"/>
              <w:spacing w:after="0" w:line="240" w:lineRule="auto"/>
              <w:rPr>
                <w:rFonts w:eastAsia="Times New Roman" w:cs="Times New Roman"/>
                <w:noProof/>
              </w:rPr>
            </w:pPr>
            <w:r>
              <w:rPr>
                <w:noProof/>
              </w:rPr>
              <w:t>Az értéklánc támogatási rendszere: A minisztérium befejezte a beruházást</w:t>
            </w:r>
          </w:p>
        </w:tc>
      </w:tr>
      <w:tr w:rsidR="003E1D81" w14:paraId="4AB30BD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080834" w14:textId="77777777" w:rsidR="003E1D81" w:rsidRDefault="00EB481C">
            <w:pPr>
              <w:pStyle w:val="P68B1DB1-Normal46"/>
              <w:spacing w:after="0" w:line="240" w:lineRule="auto"/>
              <w:jc w:val="center"/>
              <w:rPr>
                <w:rFonts w:eastAsia="Times New Roman" w:cs="Times New Roman"/>
                <w:noProof/>
              </w:rPr>
            </w:pPr>
            <w:r>
              <w:rPr>
                <w:noProof/>
              </w:rPr>
              <w:t>484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2F6C71" w14:textId="77777777" w:rsidR="003E1D81" w:rsidRDefault="00EB481C">
            <w:pPr>
              <w:pStyle w:val="P68B1DB1-Normal46"/>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5FCB59"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108D3D4" w14:textId="77777777" w:rsidR="003E1D81" w:rsidRDefault="00EB481C">
            <w:pPr>
              <w:pStyle w:val="P68B1DB1-Normal46"/>
              <w:spacing w:after="0" w:line="240" w:lineRule="auto"/>
              <w:rPr>
                <w:rFonts w:eastAsia="Times New Roman" w:cs="Times New Roman"/>
                <w:noProof/>
              </w:rPr>
            </w:pPr>
            <w:r>
              <w:rPr>
                <w:noProof/>
              </w:rPr>
              <w:t>Az értéklánc támogatási rendszere: A rendszer létrehozása</w:t>
            </w:r>
          </w:p>
        </w:tc>
      </w:tr>
      <w:tr w:rsidR="003E1D81" w14:paraId="55E81A3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DAD854" w14:textId="77777777" w:rsidR="003E1D81" w:rsidRDefault="00EB481C">
            <w:pPr>
              <w:pStyle w:val="P68B1DB1-Normal46"/>
              <w:spacing w:after="0" w:line="240" w:lineRule="auto"/>
              <w:jc w:val="center"/>
              <w:rPr>
                <w:rFonts w:eastAsia="Times New Roman" w:cs="Times New Roman"/>
                <w:noProof/>
              </w:rPr>
            </w:pPr>
            <w:r>
              <w:rPr>
                <w:noProof/>
              </w:rPr>
              <w:t>488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A9F8EA" w14:textId="77777777" w:rsidR="003E1D81" w:rsidRDefault="00EB481C">
            <w:pPr>
              <w:pStyle w:val="P68B1DB1-Normal46"/>
              <w:spacing w:after="0" w:line="240" w:lineRule="auto"/>
              <w:rPr>
                <w:rFonts w:eastAsia="Times New Roman" w:cs="Times New Roman"/>
                <w:noProof/>
              </w:rPr>
            </w:pPr>
            <w:r>
              <w:rPr>
                <w:noProof/>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BF0026"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C759529" w14:textId="77777777" w:rsidR="003E1D81" w:rsidRDefault="00EB481C">
            <w:pPr>
              <w:pStyle w:val="P68B1DB1-Normal46"/>
              <w:spacing w:after="0" w:line="240" w:lineRule="auto"/>
              <w:rPr>
                <w:rFonts w:eastAsia="Times New Roman" w:cs="Times New Roman"/>
                <w:noProof/>
              </w:rPr>
            </w:pPr>
            <w:r>
              <w:rPr>
                <w:noProof/>
              </w:rPr>
              <w:t xml:space="preserve">A </w:t>
            </w:r>
            <w:r>
              <w:rPr>
                <w:noProof/>
              </w:rPr>
              <w:t>villamosenergia-átviteli projektekre vonatkozó kiválasztási kritériumok közzététele</w:t>
            </w:r>
          </w:p>
        </w:tc>
      </w:tr>
      <w:tr w:rsidR="003E1D81" w14:paraId="3CC80EF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418A8A" w14:textId="77777777" w:rsidR="003E1D81" w:rsidRDefault="00EB481C">
            <w:pPr>
              <w:pStyle w:val="P68B1DB1-Normal46"/>
              <w:spacing w:after="0" w:line="240" w:lineRule="auto"/>
              <w:jc w:val="center"/>
              <w:rPr>
                <w:rFonts w:eastAsia="Times New Roman" w:cs="Times New Roman"/>
                <w:noProof/>
              </w:rPr>
            </w:pPr>
            <w:r>
              <w:rPr>
                <w:noProof/>
              </w:rPr>
              <w:t>489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6CA794" w14:textId="77777777" w:rsidR="003E1D81" w:rsidRDefault="00EB481C">
            <w:pPr>
              <w:pStyle w:val="P68B1DB1-Normal46"/>
              <w:spacing w:after="0" w:line="240" w:lineRule="auto"/>
              <w:rPr>
                <w:rFonts w:eastAsia="Times New Roman" w:cs="Times New Roman"/>
                <w:noProof/>
              </w:rPr>
            </w:pPr>
            <w:r>
              <w:rPr>
                <w:noProof/>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658B44"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29C99E1" w14:textId="77777777" w:rsidR="003E1D81" w:rsidRDefault="00EB481C">
            <w:pPr>
              <w:pStyle w:val="P68B1DB1-Normal46"/>
              <w:spacing w:after="0" w:line="240" w:lineRule="auto"/>
              <w:rPr>
                <w:rFonts w:eastAsia="Times New Roman" w:cs="Times New Roman"/>
                <w:noProof/>
              </w:rPr>
            </w:pPr>
            <w:r>
              <w:rPr>
                <w:noProof/>
              </w:rPr>
              <w:t>A támogatott villamosenergia-átviteli projektek listájának elfogadása</w:t>
            </w:r>
          </w:p>
        </w:tc>
      </w:tr>
      <w:tr w:rsidR="003E1D81" w14:paraId="55C0087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F3562C" w14:textId="77777777" w:rsidR="003E1D81" w:rsidRDefault="00EB481C">
            <w:pPr>
              <w:pStyle w:val="P68B1DB1-Normal46"/>
              <w:spacing w:after="0" w:line="240" w:lineRule="auto"/>
              <w:jc w:val="center"/>
              <w:rPr>
                <w:rFonts w:eastAsia="Times New Roman" w:cs="Times New Roman"/>
                <w:noProof/>
              </w:rPr>
            </w:pPr>
            <w:r>
              <w:rPr>
                <w:noProof/>
              </w:rPr>
              <w:t>491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3DCF84" w14:textId="77777777" w:rsidR="003E1D81" w:rsidRDefault="00EB481C">
            <w:pPr>
              <w:pStyle w:val="P68B1DB1-Normal46"/>
              <w:spacing w:after="0" w:line="240" w:lineRule="auto"/>
              <w:rPr>
                <w:rFonts w:eastAsia="Times New Roman" w:cs="Times New Roman"/>
                <w:noProof/>
              </w:rPr>
            </w:pPr>
            <w:r>
              <w:rPr>
                <w:noProof/>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4EEC9F"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BD8584B" w14:textId="77777777" w:rsidR="003E1D81" w:rsidRDefault="00EB481C">
            <w:pPr>
              <w:pStyle w:val="P68B1DB1-Normal46"/>
              <w:spacing w:after="0" w:line="240" w:lineRule="auto"/>
              <w:rPr>
                <w:rFonts w:eastAsia="Times New Roman" w:cs="Times New Roman"/>
                <w:noProof/>
              </w:rPr>
            </w:pPr>
            <w:r>
              <w:rPr>
                <w:noProof/>
              </w:rPr>
              <w:t xml:space="preserve">Az ipar dekarbonizációjához nyújtott támogatás odaítélésére vonatkozó felhívások és szabályok közzététele, valamint egy tanulmány elkészítése egy olyan alap végrehajtásáról, amely ösztönzi a vállalatokat a szén-dioxid-mentesítésre (szén-dioxid-szerződés a </w:t>
            </w:r>
            <w:r>
              <w:rPr>
                <w:noProof/>
              </w:rPr>
              <w:t xml:space="preserve">különbségekért) </w:t>
            </w:r>
          </w:p>
        </w:tc>
      </w:tr>
      <w:tr w:rsidR="003E1D81" w14:paraId="3F0B14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129C0B" w14:textId="77777777" w:rsidR="003E1D81" w:rsidRDefault="00EB481C">
            <w:pPr>
              <w:pStyle w:val="P68B1DB1-Normal46"/>
              <w:spacing w:after="0" w:line="240" w:lineRule="auto"/>
              <w:jc w:val="center"/>
              <w:rPr>
                <w:rFonts w:eastAsia="Times New Roman" w:cs="Times New Roman"/>
                <w:noProof/>
              </w:rPr>
            </w:pPr>
            <w:r>
              <w:rPr>
                <w:noProof/>
              </w:rPr>
              <w:t>492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F93CC5" w14:textId="77777777" w:rsidR="003E1D81" w:rsidRDefault="00EB481C">
            <w:pPr>
              <w:pStyle w:val="P68B1DB1-Normal46"/>
              <w:spacing w:after="0" w:line="240" w:lineRule="auto"/>
              <w:rPr>
                <w:rFonts w:eastAsia="Times New Roman" w:cs="Times New Roman"/>
                <w:noProof/>
              </w:rPr>
            </w:pPr>
            <w:r>
              <w:rPr>
                <w:noProof/>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9D252F"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A87131" w14:textId="77777777" w:rsidR="003E1D81" w:rsidRDefault="00EB481C">
            <w:pPr>
              <w:pStyle w:val="P68B1DB1-Normal46"/>
              <w:spacing w:after="0" w:line="240" w:lineRule="auto"/>
              <w:rPr>
                <w:rFonts w:eastAsia="Times New Roman" w:cs="Times New Roman"/>
                <w:noProof/>
              </w:rPr>
            </w:pPr>
            <w:r>
              <w:rPr>
                <w:noProof/>
              </w:rPr>
              <w:t xml:space="preserve">A dekarbonizációs projektek díjának közzététele </w:t>
            </w:r>
          </w:p>
        </w:tc>
      </w:tr>
      <w:tr w:rsidR="003E1D81" w14:paraId="0C27A44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2253CE" w14:textId="77777777" w:rsidR="003E1D81" w:rsidRDefault="00EB481C">
            <w:pPr>
              <w:pStyle w:val="P68B1DB1-Normal46"/>
              <w:spacing w:after="0" w:line="240" w:lineRule="auto"/>
              <w:jc w:val="center"/>
              <w:rPr>
                <w:rFonts w:eastAsia="Times New Roman" w:cs="Times New Roman"/>
                <w:noProof/>
              </w:rPr>
            </w:pPr>
            <w:r>
              <w:rPr>
                <w:noProof/>
              </w:rPr>
              <w:t>494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F5C2FA" w14:textId="77777777" w:rsidR="003E1D81" w:rsidRDefault="00EB481C">
            <w:pPr>
              <w:pStyle w:val="P68B1DB1-Normal46"/>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145D30C"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BE78A9" w14:textId="77777777" w:rsidR="003E1D81" w:rsidRDefault="00EB481C">
            <w:pPr>
              <w:pStyle w:val="P68B1DB1-Normal46"/>
              <w:spacing w:after="0" w:line="240" w:lineRule="auto"/>
              <w:rPr>
                <w:rFonts w:eastAsia="Times New Roman" w:cs="Times New Roman"/>
                <w:noProof/>
              </w:rPr>
            </w:pPr>
            <w:r>
              <w:rPr>
                <w:noProof/>
              </w:rPr>
              <w:t>Az ipari dekarbonizációt célzó támogatási rendszer: Az ENISA közvállalkozássá alakítása</w:t>
            </w:r>
          </w:p>
        </w:tc>
      </w:tr>
      <w:tr w:rsidR="003E1D81" w14:paraId="2E0A9E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D5995F" w14:textId="77777777" w:rsidR="003E1D81" w:rsidRDefault="00EB481C">
            <w:pPr>
              <w:pStyle w:val="P68B1DB1-Normal46"/>
              <w:spacing w:after="0" w:line="240" w:lineRule="auto"/>
              <w:jc w:val="center"/>
              <w:rPr>
                <w:rFonts w:eastAsia="Times New Roman" w:cs="Times New Roman"/>
                <w:noProof/>
              </w:rPr>
            </w:pPr>
            <w:r>
              <w:rPr>
                <w:noProof/>
              </w:rPr>
              <w:t>497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69B518" w14:textId="77777777" w:rsidR="003E1D81" w:rsidRDefault="00EB481C">
            <w:pPr>
              <w:pStyle w:val="P68B1DB1-Normal46"/>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551C8E"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E354E54" w14:textId="77777777" w:rsidR="003E1D81" w:rsidRDefault="00EB481C">
            <w:pPr>
              <w:pStyle w:val="P68B1DB1-Normal46"/>
              <w:spacing w:after="0" w:line="240" w:lineRule="auto"/>
              <w:rPr>
                <w:rFonts w:eastAsia="Times New Roman" w:cs="Times New Roman"/>
                <w:noProof/>
              </w:rPr>
            </w:pPr>
            <w:r>
              <w:rPr>
                <w:noProof/>
              </w:rPr>
              <w:t xml:space="preserve">Az ipari dekarbonizációt célzó támogatási rendszer: A </w:t>
            </w:r>
            <w:r>
              <w:rPr>
                <w:noProof/>
              </w:rPr>
              <w:t>minisztérium befejezte a beruházást</w:t>
            </w:r>
          </w:p>
        </w:tc>
      </w:tr>
      <w:tr w:rsidR="003E1D81" w14:paraId="388A29B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77C724" w14:textId="77777777" w:rsidR="003E1D81" w:rsidRDefault="00EB481C">
            <w:pPr>
              <w:pStyle w:val="P68B1DB1-Normal46"/>
              <w:spacing w:after="0" w:line="240" w:lineRule="auto"/>
              <w:jc w:val="center"/>
              <w:rPr>
                <w:rFonts w:eastAsia="Times New Roman" w:cs="Times New Roman"/>
                <w:noProof/>
              </w:rPr>
            </w:pPr>
            <w:r>
              <w:rPr>
                <w:noProof/>
              </w:rPr>
              <w:t>495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FA929" w14:textId="77777777" w:rsidR="003E1D81" w:rsidRDefault="00EB481C">
            <w:pPr>
              <w:pStyle w:val="P68B1DB1-Normal46"/>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A9781E" w14:textId="77777777" w:rsidR="003E1D81" w:rsidRDefault="00EB481C">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B71D1CA" w14:textId="77777777" w:rsidR="003E1D81" w:rsidRDefault="00EB481C">
            <w:pPr>
              <w:pStyle w:val="P68B1DB1-Normal46"/>
              <w:spacing w:after="0" w:line="240" w:lineRule="auto"/>
              <w:rPr>
                <w:rFonts w:eastAsia="Times New Roman" w:cs="Times New Roman"/>
                <w:noProof/>
              </w:rPr>
            </w:pPr>
            <w:r>
              <w:rPr>
                <w:noProof/>
              </w:rPr>
              <w:t>Az ipari dekarbonizációt célzó támogatási rendszer: A rendszer létrehozása</w:t>
            </w:r>
          </w:p>
        </w:tc>
      </w:tr>
      <w:tr w:rsidR="003E1D81" w14:paraId="406E9B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C4F64E" w14:textId="77777777" w:rsidR="003E1D81" w:rsidRDefault="003E1D81">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29E1E2" w14:textId="77777777" w:rsidR="003E1D81" w:rsidRDefault="003E1D81">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CB62E1" w14:textId="75F85337" w:rsidR="003E1D81" w:rsidRDefault="00EB481C">
            <w:pPr>
              <w:pStyle w:val="P68B1DB1-Normal45"/>
              <w:spacing w:after="0" w:line="240" w:lineRule="auto"/>
              <w:rPr>
                <w:rFonts w:eastAsia="Times New Roman" w:cs="Times New Roman"/>
                <w:noProof/>
              </w:rPr>
            </w:pPr>
            <w:r>
              <w:rPr>
                <w:noProof/>
              </w:rPr>
              <w:t>Részösszeg</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A9D5264" w14:textId="7771AB70" w:rsidR="003E1D81" w:rsidRDefault="00EB481C">
            <w:pPr>
              <w:pStyle w:val="P68B1DB1-Normal45"/>
              <w:spacing w:after="0" w:line="240" w:lineRule="auto"/>
              <w:rPr>
                <w:rFonts w:eastAsia="Times New Roman" w:cs="Times New Roman"/>
                <w:noProof/>
              </w:rPr>
            </w:pPr>
            <w:r>
              <w:rPr>
                <w:noProof/>
              </w:rPr>
              <w:t>·EURÓPAI BIZOTTSÁG 10 261 710 743 EUR</w:t>
            </w:r>
          </w:p>
        </w:tc>
      </w:tr>
    </w:tbl>
    <w:p w14:paraId="2A4D388A" w14:textId="77777777" w:rsidR="003E1D81" w:rsidRDefault="003E1D81">
      <w:pPr>
        <w:spacing w:before="120" w:after="120" w:line="240" w:lineRule="auto"/>
        <w:jc w:val="both"/>
        <w:rPr>
          <w:rFonts w:ascii="Times New Roman" w:eastAsia="Calibri" w:hAnsi="Times New Roman" w:cs="Times New Roman"/>
          <w:noProof/>
          <w:sz w:val="24"/>
        </w:rPr>
      </w:pPr>
    </w:p>
    <w:p w14:paraId="6F7EC66B" w14:textId="77777777"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Nyolcadik részlet (vissza nem térítendő támogatás): </w:t>
      </w:r>
    </w:p>
    <w:tbl>
      <w:tblPr>
        <w:tblW w:w="9663" w:type="dxa"/>
        <w:tblInd w:w="113" w:type="dxa"/>
        <w:tblLook w:val="04A0" w:firstRow="1" w:lastRow="0" w:firstColumn="1" w:lastColumn="0" w:noHBand="0" w:noVBand="1"/>
      </w:tblPr>
      <w:tblGrid>
        <w:gridCol w:w="1300"/>
        <w:gridCol w:w="1443"/>
        <w:gridCol w:w="1416"/>
        <w:gridCol w:w="5670"/>
      </w:tblGrid>
      <w:tr w:rsidR="003E1D81" w14:paraId="37E5C586"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D8EF13A" w14:textId="77777777" w:rsidR="003E1D81" w:rsidRDefault="00EB481C">
            <w:pPr>
              <w:pStyle w:val="P68B1DB1-Normal45"/>
              <w:spacing w:after="0" w:line="240" w:lineRule="auto"/>
              <w:jc w:val="center"/>
              <w:rPr>
                <w:rFonts w:eastAsia="Times New Roman" w:cs="Times New Roman"/>
                <w:noProof/>
              </w:rPr>
            </w:pPr>
            <w:r>
              <w:rPr>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FC92FBD" w14:textId="77777777" w:rsidR="003E1D81" w:rsidRDefault="00EB481C">
            <w:pPr>
              <w:pStyle w:val="P68B1DB1-Normal45"/>
              <w:spacing w:after="0" w:line="240" w:lineRule="auto"/>
              <w:jc w:val="center"/>
              <w:rPr>
                <w:rFonts w:eastAsia="Times New Roman" w:cs="Times New Roman"/>
                <w:noProof/>
              </w:rPr>
            </w:pPr>
            <w:r>
              <w:rPr>
                <w:noProof/>
              </w:rPr>
              <w:t xml:space="preserve">Kapcsolódó </w:t>
            </w:r>
            <w:r>
              <w:rPr>
                <w:noProof/>
              </w:rPr>
              <w:t>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4392E45"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20B0C0EB"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2D2586AB"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4D76A78" w14:textId="77777777" w:rsidR="003E1D81" w:rsidRDefault="003E1D81">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71C2754" w14:textId="77777777" w:rsidR="003E1D81" w:rsidRDefault="003E1D81">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E1DA205" w14:textId="77777777" w:rsidR="003E1D81" w:rsidRDefault="003E1D81">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01DD9839" w14:textId="77777777" w:rsidR="003E1D81" w:rsidRDefault="003E1D81">
            <w:pPr>
              <w:spacing w:after="0" w:line="240" w:lineRule="auto"/>
              <w:rPr>
                <w:rFonts w:ascii="Times New Roman" w:eastAsia="Times New Roman" w:hAnsi="Times New Roman" w:cs="Times New Roman"/>
                <w:b/>
                <w:noProof/>
                <w:sz w:val="20"/>
              </w:rPr>
            </w:pPr>
          </w:p>
        </w:tc>
      </w:tr>
      <w:tr w:rsidR="003E1D81" w14:paraId="1B2C905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AC1E4D" w14:textId="77777777" w:rsidR="003E1D81" w:rsidRDefault="00EB481C">
            <w:pPr>
              <w:pStyle w:val="P68B1DB1-Normal46"/>
              <w:spacing w:after="0" w:line="240" w:lineRule="auto"/>
              <w:jc w:val="center"/>
              <w:rPr>
                <w:rFonts w:eastAsia="Times New Roman" w:cs="Times New Roman"/>
                <w:noProof/>
              </w:rPr>
            </w:pPr>
            <w:r>
              <w:rPr>
                <w:noProof/>
              </w:rPr>
              <w:t>421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1321B9" w14:textId="77777777" w:rsidR="003E1D81" w:rsidRDefault="00EB481C">
            <w:pPr>
              <w:pStyle w:val="P68B1DB1-Normal46"/>
              <w:spacing w:after="0" w:line="240" w:lineRule="auto"/>
              <w:rPr>
                <w:rFonts w:eastAsia="Times New Roman" w:cs="Times New Roman"/>
                <w:noProof/>
              </w:rPr>
            </w:pPr>
            <w:r>
              <w:rPr>
                <w:noProof/>
              </w:rPr>
              <w:t>C3.I2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201A76C"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80C5AE" w14:textId="77777777" w:rsidR="003E1D81" w:rsidRDefault="00EB481C">
            <w:pPr>
              <w:pStyle w:val="P68B1DB1-Normal46"/>
              <w:spacing w:after="0" w:line="240" w:lineRule="auto"/>
              <w:rPr>
                <w:rFonts w:eastAsia="Times New Roman" w:cs="Times New Roman"/>
                <w:noProof/>
              </w:rPr>
            </w:pPr>
            <w:r>
              <w:rPr>
                <w:noProof/>
              </w:rPr>
              <w:t>3. szintű biológiai biztonsági laboratórium és egy Nemzeti Növény-egészségügyi Laboratórium építésének befejezése.</w:t>
            </w:r>
          </w:p>
        </w:tc>
      </w:tr>
      <w:tr w:rsidR="003E1D81" w14:paraId="620768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CBE3AB" w14:textId="77777777" w:rsidR="003E1D81" w:rsidRDefault="00EB481C">
            <w:pPr>
              <w:pStyle w:val="P68B1DB1-Normal46"/>
              <w:spacing w:after="0" w:line="240" w:lineRule="auto"/>
              <w:jc w:val="center"/>
              <w:rPr>
                <w:rFonts w:eastAsia="Times New Roman" w:cs="Times New Roman"/>
                <w:noProof/>
              </w:rPr>
            </w:pPr>
            <w:r>
              <w:rPr>
                <w:noProof/>
              </w:rPr>
              <w:t>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E9E234" w14:textId="77777777" w:rsidR="003E1D81" w:rsidRDefault="00EB481C">
            <w:pPr>
              <w:pStyle w:val="P68B1DB1-Normal46"/>
              <w:spacing w:after="0" w:line="240" w:lineRule="auto"/>
              <w:rPr>
                <w:rFonts w:eastAsia="Times New Roman" w:cs="Times New Roman"/>
                <w:noProof/>
              </w:rPr>
            </w:pPr>
            <w:r>
              <w:rPr>
                <w:noProof/>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979885"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C2DF90" w14:textId="77777777" w:rsidR="003E1D81" w:rsidRDefault="00EB481C">
            <w:pPr>
              <w:pStyle w:val="P68B1DB1-Normal46"/>
              <w:spacing w:after="0" w:line="240" w:lineRule="auto"/>
              <w:rPr>
                <w:rFonts w:eastAsia="Times New Roman" w:cs="Times New Roman"/>
                <w:noProof/>
              </w:rPr>
            </w:pPr>
            <w:r>
              <w:rPr>
                <w:noProof/>
              </w:rPr>
              <w:t xml:space="preserve">A víztartó rétegekből kivont víz mennyiségének csökkenése </w:t>
            </w:r>
          </w:p>
        </w:tc>
      </w:tr>
      <w:tr w:rsidR="003E1D81" w14:paraId="4E4F040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3F5158" w14:textId="77777777" w:rsidR="003E1D81" w:rsidRDefault="00EB481C">
            <w:pPr>
              <w:pStyle w:val="P68B1DB1-Normal46"/>
              <w:spacing w:after="0" w:line="240" w:lineRule="auto"/>
              <w:jc w:val="center"/>
              <w:rPr>
                <w:rFonts w:eastAsia="Times New Roman" w:cs="Times New Roman"/>
                <w:noProof/>
              </w:rPr>
            </w:pPr>
            <w:r>
              <w:rPr>
                <w:noProof/>
              </w:rPr>
              <w:t>168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20704B" w14:textId="77777777" w:rsidR="003E1D81" w:rsidRDefault="00EB481C">
            <w:pPr>
              <w:pStyle w:val="P68B1DB1-Normal46"/>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80A01F"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8BABEB" w14:textId="77777777" w:rsidR="003E1D81" w:rsidRDefault="00EB481C">
            <w:pPr>
              <w:pStyle w:val="P68B1DB1-Normal46"/>
              <w:spacing w:after="0" w:line="240" w:lineRule="auto"/>
              <w:rPr>
                <w:rFonts w:eastAsia="Times New Roman" w:cs="Times New Roman"/>
                <w:noProof/>
              </w:rPr>
            </w:pPr>
            <w:r>
              <w:rPr>
                <w:noProof/>
              </w:rPr>
              <w:t>A regionális és helyi közigazgatások, valamint a Területpolitikai és Közigazgatási Minisztérium digitális átalakulását támogató projektek odaítélése</w:t>
            </w:r>
          </w:p>
        </w:tc>
      </w:tr>
      <w:tr w:rsidR="003E1D81" w14:paraId="23190C3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596597" w14:textId="77777777" w:rsidR="003E1D81" w:rsidRDefault="00EB481C">
            <w:pPr>
              <w:pStyle w:val="P68B1DB1-Normal46"/>
              <w:spacing w:after="0" w:line="240" w:lineRule="auto"/>
              <w:jc w:val="center"/>
              <w:rPr>
                <w:rFonts w:eastAsia="Times New Roman" w:cs="Times New Roman"/>
                <w:noProof/>
              </w:rPr>
            </w:pPr>
            <w:r>
              <w:rPr>
                <w:noProof/>
              </w:rPr>
              <w:t>444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9B39C8" w14:textId="77777777" w:rsidR="003E1D81" w:rsidRDefault="00EB481C">
            <w:pPr>
              <w:pStyle w:val="P68B1DB1-Normal46"/>
              <w:spacing w:after="0" w:line="240" w:lineRule="auto"/>
              <w:rPr>
                <w:rFonts w:eastAsia="Times New Roman" w:cs="Times New Roman"/>
                <w:noProof/>
              </w:rPr>
            </w:pPr>
            <w:r>
              <w:rPr>
                <w:noProof/>
              </w:rPr>
              <w:t>C12.I4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048505"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700913" w14:textId="77777777" w:rsidR="003E1D81" w:rsidRDefault="00EB481C">
            <w:pPr>
              <w:pStyle w:val="P68B1DB1-Normal46"/>
              <w:spacing w:after="0" w:line="240" w:lineRule="auto"/>
              <w:rPr>
                <w:rFonts w:eastAsia="Times New Roman" w:cs="Times New Roman"/>
                <w:noProof/>
              </w:rPr>
            </w:pPr>
            <w:r>
              <w:rPr>
                <w:noProof/>
              </w:rPr>
              <w:t xml:space="preserve">PERTE CHIP. A félvezetők értékláncának megerősítése. </w:t>
            </w:r>
          </w:p>
        </w:tc>
      </w:tr>
      <w:tr w:rsidR="003E1D81" w14:paraId="079D113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F5C264" w14:textId="77777777" w:rsidR="003E1D81" w:rsidRDefault="00EB481C">
            <w:pPr>
              <w:pStyle w:val="P68B1DB1-Normal46"/>
              <w:spacing w:after="0" w:line="240" w:lineRule="auto"/>
              <w:jc w:val="center"/>
              <w:rPr>
                <w:rFonts w:eastAsia="Times New Roman" w:cs="Times New Roman"/>
                <w:noProof/>
              </w:rPr>
            </w:pPr>
            <w:r>
              <w:rPr>
                <w:noProof/>
              </w:rPr>
              <w:t>222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2F4334" w14:textId="77777777" w:rsidR="003E1D81" w:rsidRDefault="00EB481C">
            <w:pPr>
              <w:pStyle w:val="P68B1DB1-Normal46"/>
              <w:spacing w:after="0" w:line="240" w:lineRule="auto"/>
              <w:rPr>
                <w:rFonts w:eastAsia="Times New Roman" w:cs="Times New Roman"/>
                <w:noProof/>
              </w:rPr>
            </w:pPr>
            <w:r>
              <w:rPr>
                <w:noProof/>
              </w:rPr>
              <w:t>C14.I2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3209AB"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A9AEA1" w14:textId="77777777" w:rsidR="003E1D81" w:rsidRDefault="00EB481C">
            <w:pPr>
              <w:pStyle w:val="P68B1DB1-Normal46"/>
              <w:spacing w:after="0" w:line="240" w:lineRule="auto"/>
              <w:rPr>
                <w:rFonts w:eastAsia="Times New Roman" w:cs="Times New Roman"/>
                <w:noProof/>
              </w:rPr>
            </w:pPr>
            <w:r>
              <w:rPr>
                <w:noProof/>
              </w:rPr>
              <w:t xml:space="preserve">Az </w:t>
            </w:r>
            <w:r>
              <w:rPr>
                <w:noProof/>
              </w:rPr>
              <w:t>idegenforgalmi ágazat intelligens úti célját szolgáló platformjának elindítása.</w:t>
            </w:r>
          </w:p>
        </w:tc>
      </w:tr>
      <w:tr w:rsidR="003E1D81" w14:paraId="28B0EC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AAEDDC" w14:textId="77777777" w:rsidR="003E1D81" w:rsidRDefault="00EB481C">
            <w:pPr>
              <w:pStyle w:val="P68B1DB1-Normal46"/>
              <w:spacing w:after="0" w:line="240" w:lineRule="auto"/>
              <w:jc w:val="center"/>
              <w:rPr>
                <w:rFonts w:eastAsia="Times New Roman" w:cs="Times New Roman"/>
                <w:noProof/>
              </w:rPr>
            </w:pPr>
            <w:r>
              <w:rPr>
                <w:noProof/>
              </w:rPr>
              <w:t>223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73DA34" w14:textId="77777777" w:rsidR="003E1D81" w:rsidRDefault="00EB481C">
            <w:pPr>
              <w:pStyle w:val="P68B1DB1-Normal46"/>
              <w:spacing w:after="0" w:line="240" w:lineRule="auto"/>
              <w:rPr>
                <w:rFonts w:eastAsia="Times New Roman" w:cs="Times New Roman"/>
                <w:noProof/>
              </w:rPr>
            </w:pPr>
            <w:r>
              <w:rPr>
                <w:noProof/>
              </w:rPr>
              <w:t>C14.I2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86C918"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BDD6D24" w14:textId="77777777" w:rsidR="003E1D81" w:rsidRDefault="00EB481C">
            <w:pPr>
              <w:pStyle w:val="P68B1DB1-Normal46"/>
              <w:spacing w:after="0" w:line="240" w:lineRule="auto"/>
              <w:rPr>
                <w:rFonts w:eastAsia="Times New Roman" w:cs="Times New Roman"/>
                <w:noProof/>
              </w:rPr>
            </w:pPr>
            <w:r>
              <w:rPr>
                <w:noProof/>
              </w:rPr>
              <w:t>A mesterséges intelligenciával és más alaptechnológiákkal kapcsolatos innovatív technológiaalapú projektek kedvezményezettjei</w:t>
            </w:r>
          </w:p>
        </w:tc>
      </w:tr>
      <w:tr w:rsidR="003E1D81" w14:paraId="694246F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71806D" w14:textId="77777777" w:rsidR="003E1D81" w:rsidRDefault="00EB481C">
            <w:pPr>
              <w:pStyle w:val="P68B1DB1-Normal46"/>
              <w:spacing w:after="0" w:line="240" w:lineRule="auto"/>
              <w:jc w:val="center"/>
              <w:rPr>
                <w:rFonts w:eastAsia="Times New Roman" w:cs="Times New Roman"/>
                <w:noProof/>
              </w:rPr>
            </w:pPr>
            <w:r>
              <w:rPr>
                <w:noProof/>
              </w:rPr>
              <w:t>224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589D14" w14:textId="77777777" w:rsidR="003E1D81" w:rsidRDefault="00EB481C">
            <w:pPr>
              <w:pStyle w:val="P68B1DB1-Normal46"/>
              <w:spacing w:after="0" w:line="240" w:lineRule="auto"/>
              <w:rPr>
                <w:rFonts w:eastAsia="Times New Roman" w:cs="Times New Roman"/>
                <w:noProof/>
              </w:rPr>
            </w:pPr>
            <w:r>
              <w:rPr>
                <w:noProof/>
              </w:rPr>
              <w:t>C14.I3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8EED0B"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328A4AD" w14:textId="77777777" w:rsidR="003E1D81" w:rsidRDefault="00EB481C">
            <w:pPr>
              <w:pStyle w:val="P68B1DB1-Normal46"/>
              <w:spacing w:after="0" w:line="240" w:lineRule="auto"/>
              <w:rPr>
                <w:rFonts w:eastAsia="Times New Roman" w:cs="Times New Roman"/>
                <w:noProof/>
              </w:rPr>
            </w:pPr>
            <w:r>
              <w:rPr>
                <w:noProof/>
              </w:rPr>
              <w:t xml:space="preserve">A félszigeten kívüli </w:t>
            </w:r>
            <w:r>
              <w:rPr>
                <w:noProof/>
              </w:rPr>
              <w:t>régiókban olyan kedvezményezettek, amelyek versenyképességük és a nemzetközi piacok változásaihoz való alkalmazkodási képességük javítására irányuló projekteket hajtottak végre</w:t>
            </w:r>
          </w:p>
        </w:tc>
      </w:tr>
      <w:tr w:rsidR="003E1D81" w14:paraId="7CF46D8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A9E5A0" w14:textId="77777777" w:rsidR="003E1D81" w:rsidRDefault="00EB481C">
            <w:pPr>
              <w:pStyle w:val="P68B1DB1-Normal46"/>
              <w:spacing w:after="0" w:line="240" w:lineRule="auto"/>
              <w:jc w:val="center"/>
              <w:rPr>
                <w:rFonts w:eastAsia="Times New Roman" w:cs="Times New Roman"/>
                <w:noProof/>
              </w:rPr>
            </w:pPr>
            <w:r>
              <w:rPr>
                <w:noProof/>
              </w:rPr>
              <w:t>226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6DAE7D1" w14:textId="77777777" w:rsidR="003E1D81" w:rsidRDefault="00EB481C">
            <w:pPr>
              <w:pStyle w:val="P68B1DB1-Normal46"/>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FC1BB6"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0BFE657" w14:textId="77777777" w:rsidR="003E1D81" w:rsidRDefault="00EB481C">
            <w:pPr>
              <w:pStyle w:val="P68B1DB1-Normal46"/>
              <w:spacing w:after="0" w:line="240" w:lineRule="auto"/>
              <w:rPr>
                <w:rFonts w:eastAsia="Times New Roman" w:cs="Times New Roman"/>
                <w:noProof/>
              </w:rPr>
            </w:pPr>
            <w:r>
              <w:rPr>
                <w:noProof/>
              </w:rPr>
              <w:t>Az idegenforgalmi stratégiával összhangban szállított turisztikai</w:t>
            </w:r>
            <w:r>
              <w:rPr>
                <w:noProof/>
              </w:rPr>
              <w:t xml:space="preserve"> termékek </w:t>
            </w:r>
          </w:p>
        </w:tc>
      </w:tr>
      <w:tr w:rsidR="003E1D81" w14:paraId="6E47BC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1B7AD0" w14:textId="77777777" w:rsidR="003E1D81" w:rsidRDefault="00EB481C">
            <w:pPr>
              <w:pStyle w:val="P68B1DB1-Normal46"/>
              <w:spacing w:after="0" w:line="240" w:lineRule="auto"/>
              <w:jc w:val="center"/>
              <w:rPr>
                <w:rFonts w:eastAsia="Times New Roman" w:cs="Times New Roman"/>
                <w:noProof/>
              </w:rPr>
            </w:pPr>
            <w:r>
              <w:rPr>
                <w:noProof/>
              </w:rPr>
              <w:t>227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434737" w14:textId="77777777" w:rsidR="003E1D81" w:rsidRDefault="00EB481C">
            <w:pPr>
              <w:pStyle w:val="P68B1DB1-Normal46"/>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FF806"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8AADF5D" w14:textId="77777777" w:rsidR="003E1D81" w:rsidRDefault="00EB481C">
            <w:pPr>
              <w:pStyle w:val="P68B1DB1-Normal46"/>
              <w:spacing w:after="0" w:line="240" w:lineRule="auto"/>
              <w:rPr>
                <w:rFonts w:eastAsia="Times New Roman" w:cs="Times New Roman"/>
                <w:noProof/>
              </w:rPr>
            </w:pPr>
            <w:r>
              <w:rPr>
                <w:noProof/>
              </w:rPr>
              <w:t>Az éves hulladék- vagy energiafogyasztásukat csökkentő turisztikai létesítmények</w:t>
            </w:r>
          </w:p>
        </w:tc>
      </w:tr>
      <w:tr w:rsidR="003E1D81" w14:paraId="00F702C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2642F4" w14:textId="77777777" w:rsidR="003E1D81" w:rsidRDefault="00EB481C">
            <w:pPr>
              <w:pStyle w:val="P68B1DB1-Normal46"/>
              <w:spacing w:after="0" w:line="240" w:lineRule="auto"/>
              <w:jc w:val="center"/>
              <w:rPr>
                <w:rFonts w:eastAsia="Times New Roman" w:cs="Times New Roman"/>
                <w:noProof/>
              </w:rPr>
            </w:pPr>
            <w:r>
              <w:rPr>
                <w:noProof/>
              </w:rPr>
              <w:t>454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E37976" w14:textId="77777777" w:rsidR="003E1D81" w:rsidRDefault="00EB481C">
            <w:pPr>
              <w:pStyle w:val="P68B1DB1-Normal46"/>
              <w:spacing w:after="0" w:line="240" w:lineRule="auto"/>
              <w:rPr>
                <w:rFonts w:eastAsia="Times New Roman" w:cs="Times New Roman"/>
                <w:noProof/>
              </w:rPr>
            </w:pPr>
            <w:r>
              <w:rPr>
                <w:noProof/>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8B77026"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5611D7" w14:textId="77777777" w:rsidR="003E1D81" w:rsidRDefault="00EB481C">
            <w:pPr>
              <w:pStyle w:val="P68B1DB1-Normal46"/>
              <w:spacing w:after="0" w:line="240" w:lineRule="auto"/>
              <w:rPr>
                <w:rFonts w:eastAsia="Times New Roman" w:cs="Times New Roman"/>
                <w:noProof/>
              </w:rPr>
            </w:pPr>
            <w:r>
              <w:rPr>
                <w:noProof/>
              </w:rPr>
              <w:t>PERTE CHIP. A tudományos kapacitások, a tervezés és az innovatív gyártás megerősítése: díj</w:t>
            </w:r>
          </w:p>
        </w:tc>
      </w:tr>
      <w:tr w:rsidR="003E1D81" w14:paraId="4F27E4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326370" w14:textId="77777777" w:rsidR="003E1D81" w:rsidRDefault="00EB481C">
            <w:pPr>
              <w:pStyle w:val="P68B1DB1-Normal46"/>
              <w:spacing w:after="0" w:line="240" w:lineRule="auto"/>
              <w:jc w:val="center"/>
              <w:rPr>
                <w:rFonts w:eastAsia="Times New Roman" w:cs="Times New Roman"/>
                <w:noProof/>
              </w:rPr>
            </w:pPr>
            <w:r>
              <w:rPr>
                <w:noProof/>
              </w:rPr>
              <w:t>322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1D8B0D" w14:textId="77777777" w:rsidR="003E1D81" w:rsidRDefault="00EB481C">
            <w:pPr>
              <w:pStyle w:val="P68B1DB1-Normal46"/>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6C5C32"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19C859" w14:textId="77777777" w:rsidR="003E1D81" w:rsidRDefault="00EB481C">
            <w:pPr>
              <w:pStyle w:val="P68B1DB1-Normal46"/>
              <w:spacing w:after="0" w:line="240" w:lineRule="auto"/>
              <w:rPr>
                <w:rFonts w:eastAsia="Times New Roman" w:cs="Times New Roman"/>
                <w:noProof/>
              </w:rPr>
            </w:pPr>
            <w:r>
              <w:rPr>
                <w:noProof/>
              </w:rPr>
              <w:t xml:space="preserve">Otthoni távgondozási szolgáltatások az autonómia- és függőgondozási rendszerben (SAAD) </w:t>
            </w:r>
          </w:p>
        </w:tc>
      </w:tr>
      <w:tr w:rsidR="003E1D81" w14:paraId="2BD0854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772C51" w14:textId="77777777" w:rsidR="003E1D81" w:rsidRDefault="00EB481C">
            <w:pPr>
              <w:pStyle w:val="P68B1DB1-Normal46"/>
              <w:spacing w:after="0" w:line="240" w:lineRule="auto"/>
              <w:jc w:val="center"/>
              <w:rPr>
                <w:rFonts w:eastAsia="Times New Roman" w:cs="Times New Roman"/>
                <w:noProof/>
              </w:rPr>
            </w:pPr>
            <w:r>
              <w:rPr>
                <w:noProof/>
              </w:rPr>
              <w:t>349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EC0362" w14:textId="77777777" w:rsidR="003E1D81" w:rsidRDefault="00EB481C">
            <w:pPr>
              <w:pStyle w:val="P68B1DB1-Normal46"/>
              <w:spacing w:after="0" w:line="240" w:lineRule="auto"/>
              <w:rPr>
                <w:rFonts w:eastAsia="Times New Roman" w:cs="Times New Roman"/>
                <w:noProof/>
              </w:rPr>
            </w:pPr>
            <w:r>
              <w:rPr>
                <w:noProof/>
              </w:rPr>
              <w:t>C23.I6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4A85EA"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004E81" w14:textId="77777777" w:rsidR="003E1D81" w:rsidRDefault="00EB481C">
            <w:pPr>
              <w:pStyle w:val="P68B1DB1-Normal46"/>
              <w:spacing w:after="0" w:line="240" w:lineRule="auto"/>
              <w:rPr>
                <w:rFonts w:eastAsia="Times New Roman" w:cs="Times New Roman"/>
                <w:noProof/>
              </w:rPr>
            </w:pPr>
            <w:r>
              <w:rPr>
                <w:noProof/>
              </w:rPr>
              <w:t>Befejezett szociális gazdasági projektek</w:t>
            </w:r>
          </w:p>
        </w:tc>
      </w:tr>
      <w:tr w:rsidR="003E1D81" w14:paraId="26AB80C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96BE06" w14:textId="77777777" w:rsidR="003E1D81" w:rsidRDefault="00EB481C">
            <w:pPr>
              <w:pStyle w:val="P68B1DB1-Normal46"/>
              <w:spacing w:after="0" w:line="240" w:lineRule="auto"/>
              <w:jc w:val="center"/>
              <w:rPr>
                <w:rFonts w:eastAsia="Times New Roman" w:cs="Times New Roman"/>
                <w:noProof/>
              </w:rPr>
            </w:pPr>
            <w:r>
              <w:rPr>
                <w:noProof/>
              </w:rPr>
              <w:t>481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04F154" w14:textId="77777777" w:rsidR="003E1D81" w:rsidRDefault="00EB481C">
            <w:pPr>
              <w:pStyle w:val="P68B1DB1-Normal46"/>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AAF4D1"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07EAC79" w14:textId="380AEDAC" w:rsidR="003E1D81" w:rsidRDefault="00EB481C">
            <w:pPr>
              <w:pStyle w:val="P68B1DB1-Normal46"/>
              <w:spacing w:after="0" w:line="240" w:lineRule="auto"/>
              <w:rPr>
                <w:rFonts w:eastAsia="Times New Roman" w:cs="Times New Roman"/>
                <w:noProof/>
              </w:rPr>
            </w:pPr>
            <w:r>
              <w:rPr>
                <w:noProof/>
              </w:rPr>
              <w:t xml:space="preserve">A megújuló hidrogén támogatási rendszere: A végső kedvezményezettekkel aláírt jogi megállapodások vagy végleges odaítélési határozatok közzététele (I) </w:t>
            </w:r>
          </w:p>
        </w:tc>
      </w:tr>
      <w:tr w:rsidR="003E1D81" w14:paraId="3EAB09A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788F44" w14:textId="77777777" w:rsidR="003E1D81" w:rsidRDefault="00EB481C">
            <w:pPr>
              <w:pStyle w:val="P68B1DB1-Normal46"/>
              <w:spacing w:after="0" w:line="240" w:lineRule="auto"/>
              <w:jc w:val="center"/>
              <w:rPr>
                <w:rFonts w:eastAsia="Times New Roman" w:cs="Times New Roman"/>
                <w:noProof/>
              </w:rPr>
            </w:pPr>
            <w:r>
              <w:rPr>
                <w:noProof/>
              </w:rPr>
              <w:t>485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1CDAED" w14:textId="77777777" w:rsidR="003E1D81" w:rsidRDefault="00EB481C">
            <w:pPr>
              <w:pStyle w:val="P68B1DB1-Normal46"/>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078AEA"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692486" w14:textId="01CAB80E" w:rsidR="003E1D81" w:rsidRDefault="00EB481C">
            <w:pPr>
              <w:pStyle w:val="P68B1DB1-Normal46"/>
              <w:spacing w:after="0" w:line="240" w:lineRule="auto"/>
              <w:rPr>
                <w:rFonts w:eastAsia="Times New Roman" w:cs="Times New Roman"/>
                <w:noProof/>
              </w:rPr>
            </w:pPr>
            <w:r>
              <w:rPr>
                <w:noProof/>
              </w:rPr>
              <w:t>Az értéklánc támogatási rendszere: A végső kedvezményezettekkel aláírt jogi megállapodások</w:t>
            </w:r>
            <w:r>
              <w:rPr>
                <w:noProof/>
              </w:rPr>
              <w:t xml:space="preserve"> vagy végleges odaítélési határozatok közzététele (I)</w:t>
            </w:r>
          </w:p>
        </w:tc>
      </w:tr>
      <w:tr w:rsidR="003E1D81" w14:paraId="59EB80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EE2EAFE" w14:textId="77777777" w:rsidR="003E1D81" w:rsidRDefault="003E1D81">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5DDAA8" w14:textId="77777777" w:rsidR="003E1D81" w:rsidRDefault="003E1D81">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9A2458" w14:textId="5E36F691" w:rsidR="003E1D81" w:rsidRDefault="00EB481C">
            <w:pPr>
              <w:pStyle w:val="P68B1DB1-Normal45"/>
              <w:spacing w:after="0" w:line="240" w:lineRule="auto"/>
              <w:rPr>
                <w:rFonts w:eastAsia="Times New Roman" w:cs="Times New Roman"/>
                <w:noProof/>
              </w:rPr>
            </w:pPr>
            <w:r>
              <w:rPr>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70F81F" w14:textId="4349DCD0" w:rsidR="003E1D81" w:rsidRDefault="00EB481C">
            <w:pPr>
              <w:pStyle w:val="P68B1DB1-Normal45"/>
              <w:spacing w:after="0" w:line="240" w:lineRule="auto"/>
              <w:rPr>
                <w:rFonts w:eastAsia="Times New Roman" w:cs="Times New Roman"/>
                <w:noProof/>
              </w:rPr>
            </w:pPr>
            <w:r>
              <w:rPr>
                <w:noProof/>
              </w:rPr>
              <w:t>·EURÓPAI BIZOTTSÁG 573 787 087 EUR</w:t>
            </w:r>
          </w:p>
        </w:tc>
      </w:tr>
    </w:tbl>
    <w:p w14:paraId="718EA2A7" w14:textId="77777777" w:rsidR="003E1D81" w:rsidRDefault="003E1D81">
      <w:pPr>
        <w:spacing w:before="120" w:after="120" w:line="240" w:lineRule="auto"/>
        <w:jc w:val="both"/>
        <w:rPr>
          <w:rFonts w:ascii="Times New Roman" w:eastAsia="Calibri" w:hAnsi="Times New Roman" w:cs="Times New Roman"/>
          <w:noProof/>
          <w:sz w:val="24"/>
        </w:rPr>
      </w:pPr>
    </w:p>
    <w:p w14:paraId="0802D0D7" w14:textId="77777777"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Kilencedik részlet (vissza nem térítendő támogatás): </w:t>
      </w:r>
    </w:p>
    <w:tbl>
      <w:tblPr>
        <w:tblW w:w="9605" w:type="dxa"/>
        <w:tblInd w:w="113" w:type="dxa"/>
        <w:tblLook w:val="04A0" w:firstRow="1" w:lastRow="0" w:firstColumn="1" w:lastColumn="0" w:noHBand="0" w:noVBand="1"/>
      </w:tblPr>
      <w:tblGrid>
        <w:gridCol w:w="1300"/>
        <w:gridCol w:w="1443"/>
        <w:gridCol w:w="1416"/>
        <w:gridCol w:w="5612"/>
      </w:tblGrid>
      <w:tr w:rsidR="003E1D81" w14:paraId="5CE0D0D8"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F12786F" w14:textId="77777777" w:rsidR="003E1D81" w:rsidRDefault="00EB481C">
            <w:pPr>
              <w:pStyle w:val="P68B1DB1-Normal45"/>
              <w:spacing w:after="0" w:line="240" w:lineRule="auto"/>
              <w:jc w:val="center"/>
              <w:rPr>
                <w:rFonts w:eastAsia="Times New Roman" w:cs="Times New Roman"/>
                <w:noProof/>
              </w:rPr>
            </w:pPr>
            <w:r>
              <w:rPr>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2A31A3C" w14:textId="77777777" w:rsidR="003E1D81" w:rsidRDefault="00EB481C">
            <w:pPr>
              <w:pStyle w:val="P68B1DB1-Normal45"/>
              <w:spacing w:after="0" w:line="240" w:lineRule="auto"/>
              <w:jc w:val="center"/>
              <w:rPr>
                <w:rFonts w:eastAsia="Times New Roman" w:cs="Times New Roman"/>
                <w:noProof/>
              </w:rPr>
            </w:pPr>
            <w:r>
              <w:rPr>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6323675"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5612" w:type="dxa"/>
            <w:vMerge w:val="restart"/>
            <w:tcBorders>
              <w:top w:val="single" w:sz="4" w:space="0" w:color="auto"/>
              <w:left w:val="nil"/>
              <w:bottom w:val="single" w:sz="4" w:space="0" w:color="000000"/>
              <w:right w:val="single" w:sz="4" w:space="0" w:color="auto"/>
            </w:tcBorders>
            <w:shd w:val="clear" w:color="auto" w:fill="BDD7EE"/>
            <w:vAlign w:val="center"/>
            <w:hideMark/>
          </w:tcPr>
          <w:p w14:paraId="3F5FE4FF"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2D9C9877"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37B8CFE0" w14:textId="77777777" w:rsidR="003E1D81" w:rsidRDefault="003E1D81">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480BA34F" w14:textId="77777777" w:rsidR="003E1D81" w:rsidRDefault="003E1D81">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0184ECDD" w14:textId="77777777" w:rsidR="003E1D81" w:rsidRDefault="003E1D81">
            <w:pPr>
              <w:spacing w:after="0" w:line="240" w:lineRule="auto"/>
              <w:rPr>
                <w:rFonts w:ascii="Times New Roman" w:eastAsia="Times New Roman" w:hAnsi="Times New Roman" w:cs="Times New Roman"/>
                <w:b/>
                <w:noProof/>
                <w:sz w:val="20"/>
              </w:rPr>
            </w:pPr>
          </w:p>
        </w:tc>
        <w:tc>
          <w:tcPr>
            <w:tcW w:w="5612" w:type="dxa"/>
            <w:vMerge/>
            <w:tcBorders>
              <w:top w:val="single" w:sz="4" w:space="0" w:color="auto"/>
              <w:left w:val="nil"/>
              <w:bottom w:val="single" w:sz="4" w:space="0" w:color="000000"/>
              <w:right w:val="single" w:sz="4" w:space="0" w:color="auto"/>
            </w:tcBorders>
            <w:vAlign w:val="center"/>
            <w:hideMark/>
          </w:tcPr>
          <w:p w14:paraId="637F819F" w14:textId="77777777" w:rsidR="003E1D81" w:rsidRDefault="003E1D81">
            <w:pPr>
              <w:spacing w:after="0" w:line="240" w:lineRule="auto"/>
              <w:rPr>
                <w:rFonts w:ascii="Times New Roman" w:eastAsia="Times New Roman" w:hAnsi="Times New Roman" w:cs="Times New Roman"/>
                <w:b/>
                <w:noProof/>
                <w:sz w:val="20"/>
              </w:rPr>
            </w:pPr>
          </w:p>
        </w:tc>
      </w:tr>
      <w:tr w:rsidR="003E1D81" w14:paraId="120AD89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91DB27" w14:textId="77777777" w:rsidR="003E1D81" w:rsidRDefault="00EB481C">
            <w:pPr>
              <w:pStyle w:val="P68B1DB1-Normal46"/>
              <w:spacing w:after="0" w:line="240" w:lineRule="auto"/>
              <w:jc w:val="center"/>
              <w:rPr>
                <w:rFonts w:eastAsia="Times New Roman" w:cs="Times New Roman"/>
                <w:noProof/>
              </w:rPr>
            </w:pPr>
            <w:r>
              <w:rPr>
                <w:noProof/>
              </w:rPr>
              <w:t>417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9163C6" w14:textId="77777777" w:rsidR="003E1D81" w:rsidRDefault="00EB481C">
            <w:pPr>
              <w:pStyle w:val="P68B1DB1-Normal46"/>
              <w:spacing w:after="0" w:line="240" w:lineRule="auto"/>
              <w:rPr>
                <w:rFonts w:eastAsia="Times New Roman" w:cs="Times New Roman"/>
                <w:noProof/>
              </w:rPr>
            </w:pPr>
            <w:r>
              <w:rPr>
                <w:noProof/>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AD7F77" w14:textId="77777777" w:rsidR="003E1D81" w:rsidRDefault="00EB481C">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BFFDE96" w14:textId="77777777" w:rsidR="003E1D81" w:rsidRDefault="00EB481C">
            <w:pPr>
              <w:pStyle w:val="P68B1DB1-Normal46"/>
              <w:spacing w:after="0" w:line="240" w:lineRule="auto"/>
              <w:rPr>
                <w:rFonts w:eastAsia="Times New Roman" w:cs="Times New Roman"/>
                <w:noProof/>
              </w:rPr>
            </w:pPr>
            <w:r>
              <w:rPr>
                <w:noProof/>
              </w:rPr>
              <w:t xml:space="preserve">Szoftveralkalmazás kifejlesztése a közlekedési infrastrukturális beruházások költség-haszon elemzésének végrehajtásához </w:t>
            </w:r>
          </w:p>
        </w:tc>
      </w:tr>
      <w:tr w:rsidR="003E1D81" w14:paraId="3C80F1F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76521A" w14:textId="77777777" w:rsidR="003E1D81" w:rsidRDefault="00EB481C">
            <w:pPr>
              <w:pStyle w:val="P68B1DB1-Normal46"/>
              <w:spacing w:after="0" w:line="240" w:lineRule="auto"/>
              <w:jc w:val="center"/>
              <w:rPr>
                <w:rFonts w:eastAsia="Times New Roman" w:cs="Times New Roman"/>
                <w:noProof/>
              </w:rPr>
            </w:pPr>
            <w:r>
              <w:rPr>
                <w:noProof/>
              </w:rPr>
              <w:t>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38719C" w14:textId="77777777" w:rsidR="003E1D81" w:rsidRDefault="00EB481C">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6B3010"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81F86BF" w14:textId="77777777" w:rsidR="003E1D81" w:rsidRDefault="00EB481C">
            <w:pPr>
              <w:pStyle w:val="P68B1DB1-Normal46"/>
              <w:spacing w:after="0" w:line="240" w:lineRule="auto"/>
              <w:rPr>
                <w:rFonts w:eastAsia="Times New Roman" w:cs="Times New Roman"/>
                <w:noProof/>
              </w:rPr>
            </w:pPr>
            <w:r>
              <w:rPr>
                <w:noProof/>
              </w:rPr>
              <w:t>A fenntartható mobilitást előmozdító befejezett projektek, többek között a városi és nagyvárosi területeken</w:t>
            </w:r>
          </w:p>
        </w:tc>
      </w:tr>
      <w:tr w:rsidR="003E1D81" w14:paraId="443B56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CEF532" w14:textId="77777777" w:rsidR="003E1D81" w:rsidRDefault="00EB481C">
            <w:pPr>
              <w:pStyle w:val="P68B1DB1-Normal46"/>
              <w:spacing w:after="0" w:line="240" w:lineRule="auto"/>
              <w:jc w:val="center"/>
              <w:rPr>
                <w:rFonts w:eastAsia="Times New Roman" w:cs="Times New Roman"/>
                <w:noProof/>
              </w:rPr>
            </w:pPr>
            <w:r>
              <w:rPr>
                <w:noProof/>
              </w:rPr>
              <w:t>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A14F56" w14:textId="77777777" w:rsidR="003E1D81" w:rsidRDefault="00EB481C">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E6D7DB7"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97CCFC3" w14:textId="77777777" w:rsidR="003E1D81" w:rsidRDefault="00EB481C">
            <w:pPr>
              <w:pStyle w:val="P68B1DB1-Normal46"/>
              <w:spacing w:after="0" w:line="240" w:lineRule="auto"/>
              <w:rPr>
                <w:rFonts w:eastAsia="Times New Roman" w:cs="Times New Roman"/>
                <w:noProof/>
              </w:rPr>
            </w:pPr>
            <w:r>
              <w:rPr>
                <w:noProof/>
              </w:rPr>
              <w:t xml:space="preserve">A </w:t>
            </w:r>
            <w:r>
              <w:rPr>
                <w:noProof/>
              </w:rPr>
              <w:t>városi területeken az állami utak fejlesztése a mobilitás új formáinak előmozdítása érdekében</w:t>
            </w:r>
          </w:p>
        </w:tc>
      </w:tr>
      <w:tr w:rsidR="003E1D81" w14:paraId="79C6A18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70D8FD" w14:textId="77777777" w:rsidR="003E1D81" w:rsidRDefault="00EB481C">
            <w:pPr>
              <w:pStyle w:val="P68B1DB1-Normal46"/>
              <w:spacing w:after="0" w:line="240" w:lineRule="auto"/>
              <w:jc w:val="center"/>
              <w:rPr>
                <w:rFonts w:eastAsia="Times New Roman" w:cs="Times New Roman"/>
                <w:noProof/>
              </w:rPr>
            </w:pPr>
            <w:r>
              <w:rPr>
                <w:noProof/>
              </w:rPr>
              <w:t>419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413FE0" w14:textId="77777777" w:rsidR="003E1D81" w:rsidRDefault="00EB481C">
            <w:pPr>
              <w:pStyle w:val="P68B1DB1-Normal46"/>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3C1F4F"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A89F69C" w14:textId="77777777" w:rsidR="003E1D81" w:rsidRDefault="00EB481C">
            <w:pPr>
              <w:pStyle w:val="P68B1DB1-Normal46"/>
              <w:spacing w:after="0" w:line="240" w:lineRule="auto"/>
              <w:rPr>
                <w:rFonts w:eastAsia="Times New Roman" w:cs="Times New Roman"/>
                <w:noProof/>
              </w:rPr>
            </w:pPr>
            <w:r>
              <w:rPr>
                <w:noProof/>
              </w:rPr>
              <w:t>Elektromos járművek és kiépített elektromos töltőpontok</w:t>
            </w:r>
          </w:p>
        </w:tc>
      </w:tr>
      <w:tr w:rsidR="003E1D81" w14:paraId="54C957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2E9BBE" w14:textId="77777777" w:rsidR="003E1D81" w:rsidRDefault="00EB481C">
            <w:pPr>
              <w:pStyle w:val="P68B1DB1-Normal46"/>
              <w:spacing w:after="0" w:line="240" w:lineRule="auto"/>
              <w:jc w:val="center"/>
              <w:rPr>
                <w:rFonts w:eastAsia="Times New Roman" w:cs="Times New Roman"/>
                <w:noProof/>
              </w:rPr>
            </w:pPr>
            <w:r>
              <w:rPr>
                <w:noProof/>
              </w:rPr>
              <w:t>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19A5C3" w14:textId="77777777" w:rsidR="003E1D81" w:rsidRDefault="00EB481C">
            <w:pPr>
              <w:pStyle w:val="P68B1DB1-Normal46"/>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F8E63B"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4A54EB6" w14:textId="77777777" w:rsidR="003E1D81" w:rsidRDefault="00EB481C">
            <w:pPr>
              <w:pStyle w:val="P68B1DB1-Normal46"/>
              <w:spacing w:after="0" w:line="240" w:lineRule="auto"/>
              <w:rPr>
                <w:rFonts w:eastAsia="Times New Roman" w:cs="Times New Roman"/>
                <w:noProof/>
              </w:rPr>
            </w:pPr>
            <w:r>
              <w:rPr>
                <w:noProof/>
              </w:rPr>
              <w:t>Az elektromos közlekedést előmozdító innovatív projektek lezárása</w:t>
            </w:r>
          </w:p>
        </w:tc>
      </w:tr>
      <w:tr w:rsidR="003E1D81" w14:paraId="156FB5E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2D1E50" w14:textId="77777777" w:rsidR="003E1D81" w:rsidRDefault="00EB481C">
            <w:pPr>
              <w:pStyle w:val="P68B1DB1-Normal46"/>
              <w:spacing w:after="0" w:line="240" w:lineRule="auto"/>
              <w:jc w:val="center"/>
              <w:rPr>
                <w:rFonts w:eastAsia="Times New Roman" w:cs="Times New Roman"/>
                <w:noProof/>
              </w:rPr>
            </w:pPr>
            <w:r>
              <w:rPr>
                <w:noProof/>
              </w:rPr>
              <w:t>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F0B1BD" w14:textId="77777777" w:rsidR="003E1D81" w:rsidRDefault="00EB481C">
            <w:pPr>
              <w:pStyle w:val="P68B1DB1-Normal46"/>
              <w:spacing w:after="0" w:line="240" w:lineRule="auto"/>
              <w:rPr>
                <w:rFonts w:eastAsia="Times New Roman" w:cs="Times New Roman"/>
                <w:noProof/>
              </w:rPr>
            </w:pPr>
            <w:r>
              <w:rPr>
                <w:noProof/>
              </w:rPr>
              <w:t>C4.I2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DF6EDC"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EACC78A" w14:textId="77777777" w:rsidR="003E1D81" w:rsidRDefault="00EB481C">
            <w:pPr>
              <w:pStyle w:val="P68B1DB1-Normal46"/>
              <w:spacing w:after="0" w:line="240" w:lineRule="auto"/>
              <w:rPr>
                <w:rFonts w:eastAsia="Times New Roman" w:cs="Times New Roman"/>
                <w:noProof/>
              </w:rPr>
            </w:pPr>
            <w:r>
              <w:rPr>
                <w:noProof/>
              </w:rPr>
              <w:t xml:space="preserve">Tengeri védett területek </w:t>
            </w:r>
          </w:p>
        </w:tc>
      </w:tr>
      <w:tr w:rsidR="003E1D81" w14:paraId="265823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A21E4E" w14:textId="77777777" w:rsidR="003E1D81" w:rsidRDefault="00EB481C">
            <w:pPr>
              <w:pStyle w:val="P68B1DB1-Normal46"/>
              <w:spacing w:after="0" w:line="240" w:lineRule="auto"/>
              <w:jc w:val="center"/>
              <w:rPr>
                <w:rFonts w:eastAsia="Times New Roman" w:cs="Times New Roman"/>
                <w:noProof/>
              </w:rPr>
            </w:pPr>
            <w:r>
              <w:rPr>
                <w:noProof/>
              </w:rPr>
              <w:t>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B7189CD" w14:textId="77777777" w:rsidR="003E1D81" w:rsidRDefault="00EB481C">
            <w:pPr>
              <w:pStyle w:val="P68B1DB1-Normal46"/>
              <w:spacing w:after="0" w:line="240" w:lineRule="auto"/>
              <w:rPr>
                <w:rFonts w:eastAsia="Times New Roman" w:cs="Times New Roman"/>
                <w:noProof/>
              </w:rPr>
            </w:pPr>
            <w:r>
              <w:rPr>
                <w:noProof/>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C053DE" w14:textId="77777777" w:rsidR="003E1D81" w:rsidRDefault="00EB481C">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65E2FAF" w14:textId="77777777" w:rsidR="003E1D81" w:rsidRDefault="00EB481C">
            <w:pPr>
              <w:pStyle w:val="P68B1DB1-Normal46"/>
              <w:spacing w:after="0" w:line="240" w:lineRule="auto"/>
              <w:rPr>
                <w:rFonts w:eastAsia="Times New Roman" w:cs="Times New Roman"/>
                <w:noProof/>
              </w:rPr>
            </w:pPr>
            <w:r>
              <w:rPr>
                <w:noProof/>
              </w:rPr>
              <w:t xml:space="preserve">Ökoszisztéma-helyreállítási intézkedések </w:t>
            </w:r>
          </w:p>
        </w:tc>
      </w:tr>
      <w:tr w:rsidR="003E1D81" w14:paraId="70D7F48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5F06D6" w14:textId="75E6CD12" w:rsidR="003E1D81" w:rsidRDefault="00EB481C">
            <w:pPr>
              <w:pStyle w:val="P68B1DB1-Normal46"/>
              <w:spacing w:after="0" w:line="240" w:lineRule="auto"/>
              <w:jc w:val="center"/>
              <w:rPr>
                <w:rFonts w:eastAsia="Times New Roman" w:cs="Times New Roman"/>
                <w:noProof/>
              </w:rPr>
            </w:pPr>
            <w:r>
              <w:rPr>
                <w:noProof/>
              </w:rPr>
              <w:t>81b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E961409" w14:textId="77777777" w:rsidR="003E1D81" w:rsidRDefault="00EB481C">
            <w:pPr>
              <w:pStyle w:val="P68B1DB1-Normal46"/>
              <w:spacing w:after="0" w:line="240" w:lineRule="auto"/>
              <w:rPr>
                <w:rFonts w:eastAsia="Times New Roman" w:cs="Times New Roman"/>
                <w:noProof/>
              </w:rPr>
            </w:pPr>
            <w:r>
              <w:rPr>
                <w:noProof/>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8B8460"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96207F3" w14:textId="3725EB2D" w:rsidR="003E1D81" w:rsidRDefault="00EB481C">
            <w:pPr>
              <w:pStyle w:val="P68B1DB1-Normal46"/>
              <w:spacing w:after="0" w:line="240" w:lineRule="auto"/>
              <w:rPr>
                <w:rFonts w:eastAsia="Times New Roman" w:cs="Times New Roman"/>
                <w:noProof/>
              </w:rPr>
            </w:pPr>
            <w:r>
              <w:rPr>
                <w:noProof/>
              </w:rPr>
              <w:t>A leromlott állapotú területek és ökoszisztémák helyreállítása legalább 145 kilométernyi partvonalon</w:t>
            </w:r>
          </w:p>
        </w:tc>
      </w:tr>
      <w:tr w:rsidR="003E1D81" w14:paraId="584576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CBE30A" w14:textId="77777777" w:rsidR="003E1D81" w:rsidRDefault="00EB481C">
            <w:pPr>
              <w:pStyle w:val="P68B1DB1-Normal46"/>
              <w:spacing w:after="0" w:line="240" w:lineRule="auto"/>
              <w:jc w:val="center"/>
              <w:rPr>
                <w:rFonts w:eastAsia="Times New Roman" w:cs="Times New Roman"/>
                <w:noProof/>
              </w:rPr>
            </w:pPr>
            <w:r>
              <w:rPr>
                <w:noProof/>
              </w:rPr>
              <w:t>119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D1B8F2" w14:textId="77777777" w:rsidR="003E1D81" w:rsidRDefault="00EB481C">
            <w:pPr>
              <w:pStyle w:val="P68B1DB1-Normal46"/>
              <w:spacing w:after="0" w:line="240" w:lineRule="auto"/>
              <w:rPr>
                <w:rFonts w:eastAsia="Times New Roman" w:cs="Times New Roman"/>
                <w:noProof/>
              </w:rPr>
            </w:pPr>
            <w:r>
              <w:rPr>
                <w:noProof/>
              </w:rPr>
              <w:t>C7.I2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B0EC3D"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163AF36" w14:textId="77777777" w:rsidR="003E1D81" w:rsidRDefault="00EB481C">
            <w:pPr>
              <w:pStyle w:val="P68B1DB1-Normal46"/>
              <w:spacing w:after="0" w:line="240" w:lineRule="auto"/>
              <w:rPr>
                <w:rFonts w:eastAsia="Times New Roman" w:cs="Times New Roman"/>
                <w:noProof/>
              </w:rPr>
            </w:pPr>
            <w:r>
              <w:rPr>
                <w:noProof/>
              </w:rPr>
              <w:t xml:space="preserve">A szigetek energetikai átállását támogató </w:t>
            </w:r>
            <w:r>
              <w:rPr>
                <w:noProof/>
              </w:rPr>
              <w:t>projektek lezárása</w:t>
            </w:r>
          </w:p>
        </w:tc>
      </w:tr>
      <w:tr w:rsidR="003E1D81" w14:paraId="6C041C0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BD8069D" w14:textId="77777777" w:rsidR="003E1D81" w:rsidRDefault="00EB481C">
            <w:pPr>
              <w:pStyle w:val="P68B1DB1-Normal46"/>
              <w:spacing w:after="0" w:line="240" w:lineRule="auto"/>
              <w:jc w:val="center"/>
              <w:rPr>
                <w:rFonts w:eastAsia="Times New Roman" w:cs="Times New Roman"/>
                <w:noProof/>
              </w:rPr>
            </w:pPr>
            <w:r>
              <w:rPr>
                <w:noProof/>
              </w:rPr>
              <w:t>141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82C067" w14:textId="77777777" w:rsidR="003E1D81" w:rsidRDefault="00EB481C">
            <w:pPr>
              <w:pStyle w:val="P68B1DB1-Normal46"/>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81C0391"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5C1847B" w14:textId="77777777" w:rsidR="003E1D81" w:rsidRDefault="00EB481C">
            <w:pPr>
              <w:pStyle w:val="P68B1DB1-Normal46"/>
              <w:spacing w:after="0" w:line="240" w:lineRule="auto"/>
              <w:rPr>
                <w:rFonts w:eastAsia="Times New Roman" w:cs="Times New Roman"/>
                <w:noProof/>
              </w:rPr>
            </w:pPr>
            <w:r>
              <w:rPr>
                <w:noProof/>
              </w:rPr>
              <w:t xml:space="preserve">Álláskereséshez nyújtott segítség és átképzés a munkanélküliek számára </w:t>
            </w:r>
          </w:p>
        </w:tc>
      </w:tr>
      <w:tr w:rsidR="003E1D81" w14:paraId="53B7618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B32A7A" w14:textId="77777777" w:rsidR="003E1D81" w:rsidRDefault="00EB481C">
            <w:pPr>
              <w:pStyle w:val="P68B1DB1-Normal46"/>
              <w:spacing w:after="0" w:line="240" w:lineRule="auto"/>
              <w:jc w:val="center"/>
              <w:rPr>
                <w:rFonts w:eastAsia="Times New Roman" w:cs="Times New Roman"/>
                <w:noProof/>
              </w:rPr>
            </w:pPr>
            <w:r>
              <w:rPr>
                <w:noProof/>
              </w:rPr>
              <w:t>142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717B8A" w14:textId="77777777" w:rsidR="003E1D81" w:rsidRDefault="00EB481C">
            <w:pPr>
              <w:pStyle w:val="P68B1DB1-Normal46"/>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9D224A"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B3963D3" w14:textId="77777777" w:rsidR="003E1D81" w:rsidRDefault="00EB481C">
            <w:pPr>
              <w:pStyle w:val="P68B1DB1-Normal46"/>
              <w:spacing w:after="0" w:line="240" w:lineRule="auto"/>
              <w:rPr>
                <w:rFonts w:eastAsia="Times New Roman" w:cs="Times New Roman"/>
                <w:noProof/>
              </w:rPr>
            </w:pPr>
            <w:r>
              <w:rPr>
                <w:noProof/>
              </w:rPr>
              <w:t>Az ipari létesítmények zöld hidrogénnel és energiatárolással kapcsolatos átalakítását célzó beruházási projektek.</w:t>
            </w:r>
          </w:p>
        </w:tc>
      </w:tr>
      <w:tr w:rsidR="003E1D81" w14:paraId="3F66180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D265E80" w14:textId="77777777" w:rsidR="003E1D81" w:rsidRDefault="00EB481C">
            <w:pPr>
              <w:pStyle w:val="P68B1DB1-Normal46"/>
              <w:spacing w:after="0" w:line="240" w:lineRule="auto"/>
              <w:jc w:val="center"/>
              <w:rPr>
                <w:rFonts w:eastAsia="Times New Roman" w:cs="Times New Roman"/>
                <w:noProof/>
              </w:rPr>
            </w:pPr>
            <w:r>
              <w:rPr>
                <w:noProof/>
              </w:rPr>
              <w:t>162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042D25" w14:textId="77777777" w:rsidR="003E1D81" w:rsidRDefault="00EB481C">
            <w:pPr>
              <w:pStyle w:val="P68B1DB1-Normal46"/>
              <w:spacing w:after="0" w:line="240" w:lineRule="auto"/>
              <w:rPr>
                <w:rFonts w:eastAsia="Times New Roman" w:cs="Times New Roman"/>
                <w:noProof/>
              </w:rPr>
            </w:pPr>
            <w:r>
              <w:rPr>
                <w:noProof/>
              </w:rPr>
              <w:t>C11.I1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449359" w14:textId="77777777" w:rsidR="003E1D81" w:rsidRDefault="00EB481C">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4D58BEE" w14:textId="77777777" w:rsidR="003E1D81" w:rsidRDefault="00EB481C">
            <w:pPr>
              <w:pStyle w:val="P68B1DB1-Normal46"/>
              <w:spacing w:after="0" w:line="240" w:lineRule="auto"/>
              <w:rPr>
                <w:rFonts w:eastAsia="Times New Roman" w:cs="Times New Roman"/>
                <w:noProof/>
              </w:rPr>
            </w:pPr>
            <w:r>
              <w:rPr>
                <w:noProof/>
              </w:rPr>
              <w:t xml:space="preserve">A </w:t>
            </w:r>
            <w:r>
              <w:rPr>
                <w:noProof/>
              </w:rPr>
              <w:t>központi közigazgatás digitális átalakítását támogató projektek lezárása</w:t>
            </w:r>
          </w:p>
        </w:tc>
      </w:tr>
      <w:tr w:rsidR="003E1D81" w14:paraId="1B35F4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B5AED2" w14:textId="77777777" w:rsidR="003E1D81" w:rsidRDefault="00EB481C">
            <w:pPr>
              <w:pStyle w:val="P68B1DB1-Normal46"/>
              <w:spacing w:after="0" w:line="240" w:lineRule="auto"/>
              <w:jc w:val="center"/>
              <w:rPr>
                <w:rFonts w:eastAsia="Times New Roman" w:cs="Times New Roman"/>
                <w:noProof/>
              </w:rPr>
            </w:pPr>
            <w:r>
              <w:rPr>
                <w:noProof/>
              </w:rPr>
              <w:t>166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700910C" w14:textId="77777777" w:rsidR="003E1D81" w:rsidRDefault="00EB481C">
            <w:pPr>
              <w:pStyle w:val="P68B1DB1-Normal46"/>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C93C46" w14:textId="77777777" w:rsidR="003E1D81" w:rsidRDefault="00EB481C">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21A04C5" w14:textId="77777777" w:rsidR="003E1D81" w:rsidRDefault="00EB481C">
            <w:pPr>
              <w:pStyle w:val="P68B1DB1-Normal46"/>
              <w:spacing w:after="0" w:line="240" w:lineRule="auto"/>
              <w:rPr>
                <w:rFonts w:eastAsia="Times New Roman" w:cs="Times New Roman"/>
                <w:noProof/>
              </w:rPr>
            </w:pPr>
            <w:r>
              <w:rPr>
                <w:noProof/>
              </w:rPr>
              <w:t>A központi közigazgatás digitalizációt ösztönző projektjeit támogató projektek lezárása</w:t>
            </w:r>
          </w:p>
        </w:tc>
      </w:tr>
      <w:tr w:rsidR="003E1D81" w14:paraId="0C2A75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ECD58C" w14:textId="77777777" w:rsidR="003E1D81" w:rsidRDefault="00EB481C">
            <w:pPr>
              <w:pStyle w:val="P68B1DB1-Normal46"/>
              <w:spacing w:after="0" w:line="240" w:lineRule="auto"/>
              <w:jc w:val="center"/>
              <w:rPr>
                <w:rFonts w:eastAsia="Times New Roman" w:cs="Times New Roman"/>
                <w:noProof/>
              </w:rPr>
            </w:pPr>
            <w:r>
              <w:rPr>
                <w:noProof/>
              </w:rPr>
              <w:t>441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C9516C" w14:textId="77777777" w:rsidR="003E1D81" w:rsidRDefault="00EB481C">
            <w:pPr>
              <w:pStyle w:val="P68B1DB1-Normal46"/>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4575ED" w14:textId="77777777" w:rsidR="003E1D81" w:rsidRDefault="00EB481C">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4C9C8D5" w14:textId="77777777" w:rsidR="003E1D81" w:rsidRDefault="00EB481C">
            <w:pPr>
              <w:pStyle w:val="P68B1DB1-Normal46"/>
              <w:spacing w:after="0" w:line="240" w:lineRule="auto"/>
              <w:rPr>
                <w:rFonts w:eastAsia="Times New Roman" w:cs="Times New Roman"/>
                <w:noProof/>
              </w:rPr>
            </w:pPr>
            <w:r>
              <w:rPr>
                <w:noProof/>
              </w:rPr>
              <w:t xml:space="preserve">A körforgásos gazdaságra vonatkozó második csomag részét képező </w:t>
            </w:r>
            <w:r>
              <w:rPr>
                <w:noProof/>
              </w:rPr>
              <w:t>jogi aktusok hatálybalépése</w:t>
            </w:r>
          </w:p>
        </w:tc>
      </w:tr>
      <w:tr w:rsidR="003E1D81" w14:paraId="267360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D7C191" w14:textId="77777777" w:rsidR="003E1D81" w:rsidRDefault="00EB481C">
            <w:pPr>
              <w:pStyle w:val="P68B1DB1-Normal46"/>
              <w:spacing w:after="0" w:line="240" w:lineRule="auto"/>
              <w:jc w:val="center"/>
              <w:rPr>
                <w:rFonts w:eastAsia="Times New Roman" w:cs="Times New Roman"/>
                <w:noProof/>
              </w:rPr>
            </w:pPr>
            <w:r>
              <w:rPr>
                <w:noProof/>
              </w:rPr>
              <w:t>447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729AA79" w14:textId="77777777" w:rsidR="003E1D81" w:rsidRDefault="00EB481C">
            <w:pPr>
              <w:pStyle w:val="P68B1DB1-Normal46"/>
              <w:spacing w:after="0" w:line="240" w:lineRule="auto"/>
              <w:rPr>
                <w:rFonts w:eastAsia="Times New Roman" w:cs="Times New Roman"/>
                <w:noProof/>
              </w:rPr>
            </w:pPr>
            <w:r>
              <w:rPr>
                <w:noProof/>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7DB2C8"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5407FCB" w14:textId="77777777" w:rsidR="003E1D81" w:rsidRDefault="00EB481C">
            <w:pPr>
              <w:pStyle w:val="P68B1DB1-Normal46"/>
              <w:spacing w:after="0" w:line="240" w:lineRule="auto"/>
              <w:rPr>
                <w:rFonts w:eastAsia="Times New Roman" w:cs="Times New Roman"/>
                <w:noProof/>
              </w:rPr>
            </w:pPr>
            <w:r>
              <w:rPr>
                <w:noProof/>
              </w:rPr>
              <w:t>A körforgásos gazdaságot támogató támogatási rendszer: A végső kedvezményezettekkel aláírt jogi megállapodások vagy a végső odaítélési határozatok közzététele</w:t>
            </w:r>
          </w:p>
        </w:tc>
      </w:tr>
      <w:tr w:rsidR="003E1D81" w14:paraId="6DD2677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3B42C7" w14:textId="77777777" w:rsidR="003E1D81" w:rsidRDefault="00EB481C">
            <w:pPr>
              <w:pStyle w:val="P68B1DB1-Normal46"/>
              <w:spacing w:after="0" w:line="240" w:lineRule="auto"/>
              <w:jc w:val="center"/>
              <w:rPr>
                <w:rFonts w:eastAsia="Times New Roman" w:cs="Times New Roman"/>
                <w:noProof/>
              </w:rPr>
            </w:pPr>
            <w:r>
              <w:rPr>
                <w:noProof/>
              </w:rPr>
              <w:t>449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7DAB02" w14:textId="77777777" w:rsidR="003E1D81" w:rsidRDefault="00EB481C">
            <w:pPr>
              <w:pStyle w:val="P68B1DB1-Normal46"/>
              <w:spacing w:after="0" w:line="240" w:lineRule="auto"/>
              <w:rPr>
                <w:rFonts w:eastAsia="Times New Roman" w:cs="Times New Roman"/>
                <w:noProof/>
              </w:rPr>
            </w:pPr>
            <w:r>
              <w:rPr>
                <w:noProof/>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160F9F" w14:textId="77777777" w:rsidR="003E1D81" w:rsidRDefault="00EB481C">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461FA76" w14:textId="77777777" w:rsidR="003E1D81" w:rsidRDefault="00EB481C">
            <w:pPr>
              <w:pStyle w:val="P68B1DB1-Normal46"/>
              <w:spacing w:after="0" w:line="240" w:lineRule="auto"/>
              <w:rPr>
                <w:rFonts w:eastAsia="Times New Roman" w:cs="Times New Roman"/>
                <w:noProof/>
              </w:rPr>
            </w:pPr>
            <w:r>
              <w:rPr>
                <w:noProof/>
              </w:rPr>
              <w:t xml:space="preserve">A verseny védelméről szóló törvény és </w:t>
            </w:r>
            <w:r>
              <w:rPr>
                <w:noProof/>
              </w:rPr>
              <w:t>annak rendeletei módosításainak hatálybalépése</w:t>
            </w:r>
          </w:p>
        </w:tc>
      </w:tr>
      <w:tr w:rsidR="003E1D81" w14:paraId="3D9270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D74D84" w14:textId="77777777" w:rsidR="003E1D81" w:rsidRDefault="00EB481C">
            <w:pPr>
              <w:pStyle w:val="P68B1DB1-Normal46"/>
              <w:spacing w:after="0" w:line="240" w:lineRule="auto"/>
              <w:jc w:val="center"/>
              <w:rPr>
                <w:rFonts w:eastAsia="Times New Roman" w:cs="Times New Roman"/>
                <w:noProof/>
              </w:rPr>
            </w:pPr>
            <w:r>
              <w:rPr>
                <w:noProof/>
              </w:rPr>
              <w:t>208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C59758" w14:textId="77777777" w:rsidR="003E1D81" w:rsidRDefault="00EB481C">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04BF55E"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D10EE4A" w14:textId="77777777" w:rsidR="003E1D81" w:rsidRDefault="00EB481C">
            <w:pPr>
              <w:pStyle w:val="P68B1DB1-Normal46"/>
              <w:spacing w:after="0" w:line="240" w:lineRule="auto"/>
              <w:rPr>
                <w:rFonts w:eastAsia="Times New Roman" w:cs="Times New Roman"/>
                <w:noProof/>
              </w:rPr>
            </w:pPr>
            <w:r>
              <w:rPr>
                <w:noProof/>
              </w:rPr>
              <w:t>A digitális eszköztár program lezárása</w:t>
            </w:r>
          </w:p>
        </w:tc>
      </w:tr>
      <w:tr w:rsidR="003E1D81" w14:paraId="240FCA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E8A89B" w14:textId="77777777" w:rsidR="003E1D81" w:rsidRDefault="00EB481C">
            <w:pPr>
              <w:pStyle w:val="P68B1DB1-Normal46"/>
              <w:spacing w:after="0" w:line="240" w:lineRule="auto"/>
              <w:jc w:val="center"/>
              <w:rPr>
                <w:rFonts w:eastAsia="Times New Roman" w:cs="Times New Roman"/>
                <w:noProof/>
              </w:rPr>
            </w:pPr>
            <w:r>
              <w:rPr>
                <w:noProof/>
              </w:rPr>
              <w:t>209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9910FC" w14:textId="77777777" w:rsidR="003E1D81" w:rsidRDefault="00EB481C">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2D62BF"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8321301" w14:textId="77777777" w:rsidR="003E1D81" w:rsidRDefault="00EB481C">
            <w:pPr>
              <w:pStyle w:val="P68B1DB1-Normal46"/>
              <w:spacing w:after="0" w:line="240" w:lineRule="auto"/>
              <w:rPr>
                <w:rFonts w:eastAsia="Times New Roman" w:cs="Times New Roman"/>
                <w:noProof/>
              </w:rPr>
            </w:pPr>
            <w:r>
              <w:rPr>
                <w:noProof/>
              </w:rPr>
              <w:t>A digitális technológiák használatának növelését célzó intézkedéseket végrehajtó kkv-k (a digitális eszköztár kivételével)</w:t>
            </w:r>
          </w:p>
        </w:tc>
      </w:tr>
      <w:tr w:rsidR="003E1D81" w14:paraId="0C39C88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CA39BF" w14:textId="77777777" w:rsidR="003E1D81" w:rsidRDefault="00EB481C">
            <w:pPr>
              <w:pStyle w:val="P68B1DB1-Normal46"/>
              <w:spacing w:after="0" w:line="240" w:lineRule="auto"/>
              <w:jc w:val="center"/>
              <w:rPr>
                <w:rFonts w:eastAsia="Times New Roman" w:cs="Times New Roman"/>
                <w:noProof/>
              </w:rPr>
            </w:pPr>
            <w:r>
              <w:rPr>
                <w:noProof/>
              </w:rPr>
              <w:t>237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15FB20" w14:textId="77777777" w:rsidR="003E1D81" w:rsidRDefault="00EB481C">
            <w:pPr>
              <w:pStyle w:val="P68B1DB1-Normal46"/>
              <w:spacing w:after="0" w:line="240" w:lineRule="auto"/>
              <w:rPr>
                <w:rFonts w:eastAsia="Times New Roman" w:cs="Times New Roman"/>
                <w:noProof/>
              </w:rPr>
            </w:pPr>
            <w:r>
              <w:rPr>
                <w:noProof/>
              </w:rPr>
              <w:t>C15.I1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74FD0F0" w14:textId="77777777" w:rsidR="003E1D81" w:rsidRDefault="00EB481C">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C0F90FB" w14:textId="77777777" w:rsidR="003E1D81" w:rsidRDefault="00EB481C">
            <w:pPr>
              <w:pStyle w:val="P68B1DB1-Normal46"/>
              <w:spacing w:after="0" w:line="240" w:lineRule="auto"/>
              <w:rPr>
                <w:rFonts w:eastAsia="Times New Roman" w:cs="Times New Roman"/>
                <w:noProof/>
              </w:rPr>
            </w:pPr>
            <w:r>
              <w:rPr>
                <w:noProof/>
              </w:rPr>
              <w:t>Szupergyors széles sávú hálózat kiépítése: A projekt lezárása</w:t>
            </w:r>
          </w:p>
        </w:tc>
      </w:tr>
      <w:tr w:rsidR="003E1D81" w14:paraId="1112D7B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CE8044" w14:textId="77777777" w:rsidR="003E1D81" w:rsidRDefault="00EB481C">
            <w:pPr>
              <w:pStyle w:val="P68B1DB1-Normal46"/>
              <w:spacing w:after="0" w:line="240" w:lineRule="auto"/>
              <w:jc w:val="center"/>
              <w:rPr>
                <w:rFonts w:eastAsia="Times New Roman" w:cs="Times New Roman"/>
                <w:noProof/>
              </w:rPr>
            </w:pPr>
            <w:r>
              <w:rPr>
                <w:noProof/>
              </w:rPr>
              <w:t>281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1B8466" w14:textId="77777777" w:rsidR="003E1D81" w:rsidRDefault="00EB481C">
            <w:pPr>
              <w:pStyle w:val="P68B1DB1-Normal46"/>
              <w:spacing w:after="0" w:line="240" w:lineRule="auto"/>
              <w:rPr>
                <w:rFonts w:eastAsia="Times New Roman" w:cs="Times New Roman"/>
                <w:noProof/>
              </w:rPr>
            </w:pPr>
            <w:r>
              <w:rPr>
                <w:noProof/>
              </w:rPr>
              <w:t>C18.I3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B312C6" w14:textId="77777777" w:rsidR="003E1D81" w:rsidRDefault="00EB481C">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2E407FA" w14:textId="77777777" w:rsidR="003E1D81" w:rsidRDefault="00EB481C">
            <w:pPr>
              <w:pStyle w:val="P68B1DB1-Normal46"/>
              <w:spacing w:after="0" w:line="240" w:lineRule="auto"/>
              <w:rPr>
                <w:rFonts w:eastAsia="Times New Roman" w:cs="Times New Roman"/>
                <w:noProof/>
              </w:rPr>
            </w:pPr>
            <w:r>
              <w:rPr>
                <w:noProof/>
              </w:rPr>
              <w:t>Közegészségügyi felügyeleti hálózati információs rendszer</w:t>
            </w:r>
          </w:p>
        </w:tc>
      </w:tr>
      <w:tr w:rsidR="003E1D81" w14:paraId="3DD392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E95AEC" w14:textId="77777777" w:rsidR="003E1D81" w:rsidRDefault="00EB481C">
            <w:pPr>
              <w:pStyle w:val="P68B1DB1-Normal46"/>
              <w:spacing w:after="0" w:line="240" w:lineRule="auto"/>
              <w:jc w:val="center"/>
              <w:rPr>
                <w:rFonts w:eastAsia="Times New Roman" w:cs="Times New Roman"/>
                <w:noProof/>
              </w:rPr>
            </w:pPr>
            <w:r>
              <w:rPr>
                <w:noProof/>
              </w:rPr>
              <w:t>466a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51DD5D" w14:textId="77777777" w:rsidR="003E1D81" w:rsidRDefault="00EB481C">
            <w:pPr>
              <w:pStyle w:val="P68B1DB1-Normal46"/>
              <w:spacing w:after="0" w:line="240" w:lineRule="auto"/>
              <w:rPr>
                <w:rFonts w:eastAsia="Times New Roman" w:cs="Times New Roman"/>
                <w:noProof/>
              </w:rPr>
            </w:pPr>
            <w:r>
              <w:rPr>
                <w:noProof/>
              </w:rPr>
              <w:t>C18.I6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0A5F328"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96E0C1D" w14:textId="77777777" w:rsidR="003E1D81" w:rsidRDefault="00EB481C">
            <w:pPr>
              <w:pStyle w:val="P68B1DB1-Normal46"/>
              <w:spacing w:after="0" w:line="240" w:lineRule="auto"/>
              <w:rPr>
                <w:rFonts w:eastAsia="Times New Roman" w:cs="Times New Roman"/>
                <w:noProof/>
              </w:rPr>
            </w:pPr>
            <w:r>
              <w:rPr>
                <w:noProof/>
              </w:rPr>
              <w:t>Tömeges adatfeldolgozási projektek</w:t>
            </w:r>
          </w:p>
        </w:tc>
      </w:tr>
      <w:tr w:rsidR="003E1D81" w14:paraId="4FE0AA9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A5038F" w14:textId="77777777" w:rsidR="003E1D81" w:rsidRDefault="00EB481C">
            <w:pPr>
              <w:pStyle w:val="P68B1DB1-Normal46"/>
              <w:spacing w:after="0" w:line="240" w:lineRule="auto"/>
              <w:jc w:val="center"/>
              <w:rPr>
                <w:rFonts w:eastAsia="Times New Roman" w:cs="Times New Roman"/>
                <w:noProof/>
              </w:rPr>
            </w:pPr>
            <w:r>
              <w:rPr>
                <w:noProof/>
              </w:rPr>
              <w:t>290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D868C58" w14:textId="77777777" w:rsidR="003E1D81" w:rsidRDefault="00EB481C">
            <w:pPr>
              <w:pStyle w:val="P68B1DB1-Normal46"/>
              <w:spacing w:after="0" w:line="240" w:lineRule="auto"/>
              <w:rPr>
                <w:rFonts w:eastAsia="Times New Roman" w:cs="Times New Roman"/>
                <w:noProof/>
              </w:rPr>
            </w:pPr>
            <w:r>
              <w:rPr>
                <w:noProof/>
              </w:rPr>
              <w:t>C19.I2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C2EE7F" w14:textId="77777777" w:rsidR="003E1D81" w:rsidRDefault="00EB481C">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A4478F2" w14:textId="77777777" w:rsidR="003E1D81" w:rsidRDefault="00EB481C">
            <w:pPr>
              <w:pStyle w:val="P68B1DB1-Normal46"/>
              <w:spacing w:after="0" w:line="240" w:lineRule="auto"/>
              <w:rPr>
                <w:rFonts w:eastAsia="Times New Roman" w:cs="Times New Roman"/>
                <w:noProof/>
              </w:rPr>
            </w:pPr>
            <w:r>
              <w:rPr>
                <w:noProof/>
              </w:rPr>
              <w:t xml:space="preserve">Az oktatás digitális átalakítását célzó intézkedések </w:t>
            </w:r>
            <w:r>
              <w:rPr>
                <w:noProof/>
              </w:rPr>
              <w:t>lezárása</w:t>
            </w:r>
          </w:p>
        </w:tc>
      </w:tr>
      <w:tr w:rsidR="003E1D81" w14:paraId="3C87039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FD320D" w14:textId="77777777" w:rsidR="003E1D81" w:rsidRDefault="00EB481C">
            <w:pPr>
              <w:pStyle w:val="P68B1DB1-Normal46"/>
              <w:spacing w:after="0" w:line="240" w:lineRule="auto"/>
              <w:jc w:val="center"/>
              <w:rPr>
                <w:rFonts w:eastAsia="Times New Roman" w:cs="Times New Roman"/>
                <w:noProof/>
              </w:rPr>
            </w:pPr>
            <w:r>
              <w:rPr>
                <w:noProof/>
              </w:rPr>
              <w:t>291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761CB4" w14:textId="77777777" w:rsidR="003E1D81" w:rsidRDefault="00EB481C">
            <w:pPr>
              <w:pStyle w:val="P68B1DB1-Normal46"/>
              <w:spacing w:after="0" w:line="240" w:lineRule="auto"/>
              <w:rPr>
                <w:rFonts w:eastAsia="Times New Roman" w:cs="Times New Roman"/>
                <w:noProof/>
              </w:rPr>
            </w:pPr>
            <w:r>
              <w:rPr>
                <w:noProof/>
              </w:rPr>
              <w:t>C19.I2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237E228"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4EBFE49" w14:textId="77777777" w:rsidR="003E1D81" w:rsidRDefault="00EB481C">
            <w:pPr>
              <w:pStyle w:val="P68B1DB1-Normal46"/>
              <w:spacing w:after="0" w:line="240" w:lineRule="auto"/>
              <w:rPr>
                <w:rFonts w:eastAsia="Times New Roman" w:cs="Times New Roman"/>
                <w:noProof/>
              </w:rPr>
            </w:pPr>
            <w:r>
              <w:rPr>
                <w:noProof/>
              </w:rPr>
              <w:t>Összekapcsolt digitális eszközök biztosítása az állami és államilag támogatott iskolákban a „digitális szakadék” áthidalása érdekében, és legalább 240000 osztályterem felszerelése</w:t>
            </w:r>
          </w:p>
        </w:tc>
      </w:tr>
      <w:tr w:rsidR="003E1D81" w14:paraId="7D093C1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A2C115" w14:textId="77777777" w:rsidR="003E1D81" w:rsidRDefault="00EB481C">
            <w:pPr>
              <w:pStyle w:val="P68B1DB1-Normal46"/>
              <w:spacing w:after="0" w:line="240" w:lineRule="auto"/>
              <w:jc w:val="center"/>
              <w:rPr>
                <w:rFonts w:eastAsia="Times New Roman" w:cs="Times New Roman"/>
                <w:noProof/>
              </w:rPr>
            </w:pPr>
            <w:r>
              <w:rPr>
                <w:noProof/>
              </w:rPr>
              <w:t>294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D5FFB2" w14:textId="77777777" w:rsidR="003E1D81" w:rsidRDefault="00EB481C">
            <w:pPr>
              <w:pStyle w:val="P68B1DB1-Normal46"/>
              <w:spacing w:after="0" w:line="240" w:lineRule="auto"/>
              <w:rPr>
                <w:rFonts w:eastAsia="Times New Roman" w:cs="Times New Roman"/>
                <w:noProof/>
              </w:rPr>
            </w:pPr>
            <w:r>
              <w:rPr>
                <w:noProof/>
              </w:rPr>
              <w:t>C19.I4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BF2AEE"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4DEA914" w14:textId="77777777" w:rsidR="003E1D81" w:rsidRDefault="00EB481C">
            <w:pPr>
              <w:pStyle w:val="P68B1DB1-Normal46"/>
              <w:spacing w:after="0" w:line="240" w:lineRule="auto"/>
              <w:rPr>
                <w:rFonts w:eastAsia="Times New Roman" w:cs="Times New Roman"/>
                <w:noProof/>
              </w:rPr>
            </w:pPr>
            <w:r>
              <w:rPr>
                <w:noProof/>
              </w:rPr>
              <w:t>Informatikai szakemberek képzése</w:t>
            </w:r>
          </w:p>
        </w:tc>
      </w:tr>
      <w:tr w:rsidR="003E1D81" w14:paraId="5A6389B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52C6F8" w14:textId="77777777" w:rsidR="003E1D81" w:rsidRDefault="00EB481C">
            <w:pPr>
              <w:pStyle w:val="P68B1DB1-Normal46"/>
              <w:spacing w:after="0" w:line="240" w:lineRule="auto"/>
              <w:jc w:val="center"/>
              <w:rPr>
                <w:rFonts w:eastAsia="Times New Roman" w:cs="Times New Roman"/>
                <w:noProof/>
              </w:rPr>
            </w:pPr>
            <w:r>
              <w:rPr>
                <w:noProof/>
              </w:rPr>
              <w:t>297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A8141A" w14:textId="77777777" w:rsidR="003E1D81" w:rsidRDefault="00EB481C">
            <w:pPr>
              <w:pStyle w:val="P68B1DB1-Normal46"/>
              <w:spacing w:after="0" w:line="240" w:lineRule="auto"/>
              <w:rPr>
                <w:rFonts w:eastAsia="Times New Roman" w:cs="Times New Roman"/>
                <w:noProof/>
              </w:rPr>
            </w:pPr>
            <w:r>
              <w:rPr>
                <w:noProof/>
              </w:rPr>
              <w:t>C20.I1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7F487"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10C92AC" w14:textId="77777777" w:rsidR="003E1D81" w:rsidRDefault="00EB481C">
            <w:pPr>
              <w:pStyle w:val="P68B1DB1-Normal46"/>
              <w:spacing w:after="0" w:line="240" w:lineRule="auto"/>
              <w:rPr>
                <w:rFonts w:eastAsia="Times New Roman" w:cs="Times New Roman"/>
                <w:noProof/>
              </w:rPr>
            </w:pPr>
            <w:r>
              <w:rPr>
                <w:noProof/>
              </w:rPr>
              <w:t xml:space="preserve">A Szakmai Képesítések Nemzeti Katalógusának új kompetenciaegységei </w:t>
            </w:r>
          </w:p>
        </w:tc>
      </w:tr>
      <w:tr w:rsidR="003E1D81" w14:paraId="06F7D6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A79C15" w14:textId="77777777" w:rsidR="003E1D81" w:rsidRDefault="00EB481C">
            <w:pPr>
              <w:pStyle w:val="P68B1DB1-Normal46"/>
              <w:spacing w:after="0" w:line="240" w:lineRule="auto"/>
              <w:jc w:val="center"/>
              <w:rPr>
                <w:rFonts w:eastAsia="Times New Roman" w:cs="Times New Roman"/>
                <w:noProof/>
              </w:rPr>
            </w:pPr>
            <w:r>
              <w:rPr>
                <w:noProof/>
              </w:rPr>
              <w:t>467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1BAC12" w14:textId="77777777" w:rsidR="003E1D81" w:rsidRDefault="00EB481C">
            <w:pPr>
              <w:pStyle w:val="P68B1DB1-Normal46"/>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A4EB3C"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5E11537" w14:textId="77777777" w:rsidR="003E1D81" w:rsidRDefault="00EB481C">
            <w:pPr>
              <w:pStyle w:val="P68B1DB1-Normal46"/>
              <w:spacing w:after="0" w:line="240" w:lineRule="auto"/>
              <w:rPr>
                <w:rFonts w:eastAsia="Times New Roman" w:cs="Times New Roman"/>
                <w:noProof/>
              </w:rPr>
            </w:pPr>
            <w:r>
              <w:rPr>
                <w:noProof/>
              </w:rPr>
              <w:t>Az osztálytermek alkalmazott technológiai terekké történő átalakítása</w:t>
            </w:r>
          </w:p>
        </w:tc>
      </w:tr>
      <w:tr w:rsidR="003E1D81" w14:paraId="504ADD0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EF4E9E" w14:textId="77777777" w:rsidR="003E1D81" w:rsidRDefault="00EB481C">
            <w:pPr>
              <w:pStyle w:val="P68B1DB1-Normal46"/>
              <w:spacing w:after="0" w:line="240" w:lineRule="auto"/>
              <w:jc w:val="center"/>
              <w:rPr>
                <w:rFonts w:eastAsia="Times New Roman" w:cs="Times New Roman"/>
                <w:noProof/>
              </w:rPr>
            </w:pPr>
            <w:r>
              <w:rPr>
                <w:noProof/>
              </w:rPr>
              <w:t>302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7EA5A" w14:textId="77777777" w:rsidR="003E1D81" w:rsidRDefault="00EB481C">
            <w:pPr>
              <w:pStyle w:val="P68B1DB1-Normal46"/>
              <w:spacing w:after="0" w:line="240" w:lineRule="auto"/>
              <w:rPr>
                <w:rFonts w:eastAsia="Times New Roman" w:cs="Times New Roman"/>
                <w:noProof/>
              </w:rPr>
            </w:pPr>
            <w:r>
              <w:rPr>
                <w:noProof/>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D64859"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6A26D5F" w14:textId="77777777" w:rsidR="003E1D81" w:rsidRDefault="00EB481C">
            <w:pPr>
              <w:pStyle w:val="P68B1DB1-Normal46"/>
              <w:spacing w:after="0" w:line="240" w:lineRule="auto"/>
              <w:rPr>
                <w:rFonts w:eastAsia="Times New Roman" w:cs="Times New Roman"/>
                <w:noProof/>
              </w:rPr>
            </w:pPr>
            <w:r>
              <w:rPr>
                <w:noProof/>
              </w:rPr>
              <w:t>Új szakképzési helyek a 2020 végi állapothoz képest</w:t>
            </w:r>
          </w:p>
        </w:tc>
      </w:tr>
      <w:tr w:rsidR="003E1D81" w14:paraId="1EBEA7A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0F528D" w14:textId="77777777" w:rsidR="003E1D81" w:rsidRDefault="00EB481C">
            <w:pPr>
              <w:pStyle w:val="P68B1DB1-Normal46"/>
              <w:spacing w:after="0" w:line="240" w:lineRule="auto"/>
              <w:jc w:val="center"/>
              <w:rPr>
                <w:rFonts w:eastAsia="Times New Roman" w:cs="Times New Roman"/>
                <w:noProof/>
              </w:rPr>
            </w:pPr>
            <w:r>
              <w:rPr>
                <w:noProof/>
              </w:rPr>
              <w:t>309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DEDDB6" w14:textId="77777777" w:rsidR="003E1D81" w:rsidRDefault="00EB481C">
            <w:pPr>
              <w:pStyle w:val="P68B1DB1-Normal46"/>
              <w:spacing w:after="0" w:line="240" w:lineRule="auto"/>
              <w:rPr>
                <w:rFonts w:eastAsia="Times New Roman" w:cs="Times New Roman"/>
                <w:noProof/>
              </w:rPr>
            </w:pPr>
            <w:r>
              <w:rPr>
                <w:noProof/>
              </w:rPr>
              <w:t>C21.I1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EC7DF0"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0A82C78" w14:textId="77777777" w:rsidR="003E1D81" w:rsidRDefault="00EB481C">
            <w:pPr>
              <w:pStyle w:val="P68B1DB1-Normal46"/>
              <w:spacing w:after="0" w:line="240" w:lineRule="auto"/>
              <w:rPr>
                <w:rFonts w:eastAsia="Times New Roman" w:cs="Times New Roman"/>
                <w:noProof/>
              </w:rPr>
            </w:pPr>
            <w:r>
              <w:rPr>
                <w:noProof/>
              </w:rPr>
              <w:t xml:space="preserve">Új helyek a kisgyermekkori nevelés első ciklusához </w:t>
            </w:r>
          </w:p>
        </w:tc>
      </w:tr>
      <w:tr w:rsidR="003E1D81" w14:paraId="2F5D86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31692A" w14:textId="77777777" w:rsidR="003E1D81" w:rsidRDefault="00EB481C">
            <w:pPr>
              <w:pStyle w:val="P68B1DB1-Normal46"/>
              <w:spacing w:after="0" w:line="240" w:lineRule="auto"/>
              <w:jc w:val="center"/>
              <w:rPr>
                <w:rFonts w:eastAsia="Times New Roman" w:cs="Times New Roman"/>
                <w:noProof/>
              </w:rPr>
            </w:pPr>
            <w:r>
              <w:rPr>
                <w:noProof/>
              </w:rPr>
              <w:t>325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9C2109" w14:textId="77777777" w:rsidR="003E1D81" w:rsidRDefault="00EB481C">
            <w:pPr>
              <w:pStyle w:val="P68B1DB1-Normal46"/>
              <w:spacing w:after="0" w:line="240" w:lineRule="auto"/>
              <w:rPr>
                <w:rFonts w:eastAsia="Times New Roman" w:cs="Times New Roman"/>
                <w:noProof/>
              </w:rPr>
            </w:pPr>
            <w:r>
              <w:rPr>
                <w:noProof/>
              </w:rPr>
              <w:t>C22.I2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AC39A0" w14:textId="77777777" w:rsidR="003E1D81" w:rsidRDefault="00EB481C">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B2B836B" w14:textId="77777777" w:rsidR="003E1D81" w:rsidRDefault="00EB481C">
            <w:pPr>
              <w:pStyle w:val="P68B1DB1-Normal46"/>
              <w:spacing w:after="0" w:line="240" w:lineRule="auto"/>
              <w:rPr>
                <w:rFonts w:eastAsia="Times New Roman" w:cs="Times New Roman"/>
                <w:noProof/>
              </w:rPr>
            </w:pPr>
            <w:r>
              <w:rPr>
                <w:noProof/>
              </w:rPr>
              <w:t>A szociális szolgáltatások technológiai átalakítására, valamint a bentlakásvédelemhez és a nevelőcsaládokhoz kapcsolódó infrastruktúra és szolgáltatások korszerűsítésére irányuló projektek l</w:t>
            </w:r>
            <w:r>
              <w:rPr>
                <w:noProof/>
              </w:rPr>
              <w:t xml:space="preserve">ezárása </w:t>
            </w:r>
          </w:p>
        </w:tc>
      </w:tr>
      <w:tr w:rsidR="003E1D81" w14:paraId="5AAF8CE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0FD5E6" w14:textId="77777777" w:rsidR="003E1D81" w:rsidRDefault="00EB481C">
            <w:pPr>
              <w:pStyle w:val="P68B1DB1-Normal46"/>
              <w:spacing w:after="0" w:line="240" w:lineRule="auto"/>
              <w:jc w:val="center"/>
              <w:rPr>
                <w:rFonts w:eastAsia="Times New Roman" w:cs="Times New Roman"/>
                <w:noProof/>
              </w:rPr>
            </w:pPr>
            <w:r>
              <w:rPr>
                <w:noProof/>
              </w:rPr>
              <w:t>471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8DB16C" w14:textId="77777777" w:rsidR="003E1D81" w:rsidRDefault="00EB481C">
            <w:pPr>
              <w:pStyle w:val="P68B1DB1-Normal46"/>
              <w:spacing w:after="0" w:line="240" w:lineRule="auto"/>
              <w:rPr>
                <w:rFonts w:eastAsia="Times New Roman" w:cs="Times New Roman"/>
                <w:noProof/>
              </w:rPr>
            </w:pPr>
            <w:r>
              <w:rPr>
                <w:noProof/>
              </w:rPr>
              <w:t>C22.I2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DC400B"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E91CE99" w14:textId="77777777" w:rsidR="003E1D81" w:rsidRDefault="00EB481C">
            <w:pPr>
              <w:pStyle w:val="P68B1DB1-Normal46"/>
              <w:spacing w:after="0" w:line="240" w:lineRule="auto"/>
              <w:rPr>
                <w:rFonts w:eastAsia="Times New Roman" w:cs="Times New Roman"/>
                <w:noProof/>
              </w:rPr>
            </w:pPr>
            <w:r>
              <w:rPr>
                <w:noProof/>
              </w:rPr>
              <w:t>A kísérleti projektek végrehajtása</w:t>
            </w:r>
          </w:p>
        </w:tc>
      </w:tr>
      <w:tr w:rsidR="003E1D81" w14:paraId="7D1282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BEA65C" w14:textId="77777777" w:rsidR="003E1D81" w:rsidRDefault="00EB481C">
            <w:pPr>
              <w:pStyle w:val="P68B1DB1-Normal46"/>
              <w:spacing w:after="0" w:line="240" w:lineRule="auto"/>
              <w:jc w:val="center"/>
              <w:rPr>
                <w:rFonts w:eastAsia="Times New Roman" w:cs="Times New Roman"/>
                <w:noProof/>
              </w:rPr>
            </w:pPr>
            <w:r>
              <w:rPr>
                <w:noProof/>
              </w:rPr>
              <w:t>472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00E2B9" w14:textId="77777777" w:rsidR="003E1D81" w:rsidRDefault="00EB481C">
            <w:pPr>
              <w:pStyle w:val="P68B1DB1-Normal46"/>
              <w:spacing w:after="0" w:line="240" w:lineRule="auto"/>
              <w:rPr>
                <w:rFonts w:eastAsia="Times New Roman" w:cs="Times New Roman"/>
                <w:noProof/>
              </w:rPr>
            </w:pPr>
            <w:r>
              <w:rPr>
                <w:noProof/>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06C21A" w14:textId="77777777" w:rsidR="003E1D81" w:rsidRDefault="00EB481C">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35132B1" w14:textId="77777777" w:rsidR="003E1D81" w:rsidRDefault="00EB481C">
            <w:pPr>
              <w:pStyle w:val="P68B1DB1-Normal46"/>
              <w:spacing w:after="0" w:line="240" w:lineRule="auto"/>
              <w:rPr>
                <w:rFonts w:eastAsia="Times New Roman" w:cs="Times New Roman"/>
                <w:noProof/>
              </w:rPr>
            </w:pPr>
            <w:r>
              <w:rPr>
                <w:noProof/>
              </w:rPr>
              <w:t>A nők elleni erőszak áldozatainak támogatását célzó telefonszolgáltatásokba és online szolgáltatásokba történő beruházások</w:t>
            </w:r>
          </w:p>
        </w:tc>
      </w:tr>
      <w:tr w:rsidR="003E1D81" w14:paraId="406432F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2805D0" w14:textId="77777777" w:rsidR="003E1D81" w:rsidRDefault="00EB481C">
            <w:pPr>
              <w:pStyle w:val="P68B1DB1-Normal46"/>
              <w:spacing w:after="0" w:line="240" w:lineRule="auto"/>
              <w:jc w:val="center"/>
              <w:rPr>
                <w:rFonts w:eastAsia="Times New Roman" w:cs="Times New Roman"/>
                <w:noProof/>
              </w:rPr>
            </w:pPr>
            <w:r>
              <w:rPr>
                <w:noProof/>
              </w:rPr>
              <w:t>342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73D041" w14:textId="77777777" w:rsidR="003E1D81" w:rsidRDefault="00EB481C">
            <w:pPr>
              <w:pStyle w:val="P68B1DB1-Normal46"/>
              <w:spacing w:after="0" w:line="240" w:lineRule="auto"/>
              <w:rPr>
                <w:rFonts w:eastAsia="Times New Roman" w:cs="Times New Roman"/>
                <w:noProof/>
              </w:rPr>
            </w:pPr>
            <w:r>
              <w:rPr>
                <w:noProof/>
              </w:rPr>
              <w:t>C23.I1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0949B3"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95D03B6" w14:textId="77777777" w:rsidR="003E1D81" w:rsidRDefault="00EB481C">
            <w:pPr>
              <w:pStyle w:val="P68B1DB1-Normal46"/>
              <w:spacing w:after="0" w:line="240" w:lineRule="auto"/>
              <w:rPr>
                <w:rFonts w:eastAsia="Times New Roman" w:cs="Times New Roman"/>
                <w:noProof/>
              </w:rPr>
            </w:pPr>
            <w:r>
              <w:rPr>
                <w:noProof/>
              </w:rPr>
              <w:t xml:space="preserve">Az ifjúsági programokat elvégző személyek. </w:t>
            </w:r>
          </w:p>
        </w:tc>
      </w:tr>
      <w:tr w:rsidR="003E1D81" w14:paraId="17BB2E1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04E488" w14:textId="77777777" w:rsidR="003E1D81" w:rsidRDefault="00EB481C">
            <w:pPr>
              <w:pStyle w:val="P68B1DB1-Normal46"/>
              <w:spacing w:after="0" w:line="240" w:lineRule="auto"/>
              <w:jc w:val="center"/>
              <w:rPr>
                <w:rFonts w:eastAsia="Times New Roman" w:cs="Times New Roman"/>
                <w:noProof/>
              </w:rPr>
            </w:pPr>
            <w:r>
              <w:rPr>
                <w:noProof/>
              </w:rPr>
              <w:t>343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C02054" w14:textId="77777777" w:rsidR="003E1D81" w:rsidRDefault="00EB481C">
            <w:pPr>
              <w:pStyle w:val="P68B1DB1-Normal46"/>
              <w:spacing w:after="0" w:line="240" w:lineRule="auto"/>
              <w:rPr>
                <w:rFonts w:eastAsia="Times New Roman" w:cs="Times New Roman"/>
                <w:noProof/>
              </w:rPr>
            </w:pPr>
            <w:r>
              <w:rPr>
                <w:noProof/>
              </w:rPr>
              <w:t>C23.I2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A51813"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A995768" w14:textId="77777777" w:rsidR="003E1D81" w:rsidRDefault="00EB481C">
            <w:pPr>
              <w:pStyle w:val="P68B1DB1-Normal46"/>
              <w:spacing w:after="0" w:line="240" w:lineRule="auto"/>
              <w:rPr>
                <w:rFonts w:eastAsia="Times New Roman" w:cs="Times New Roman"/>
                <w:noProof/>
              </w:rPr>
            </w:pPr>
            <w:r>
              <w:rPr>
                <w:noProof/>
              </w:rPr>
              <w:t>A „Plan Empleo Mujer, vidéki és városi területek” programot, valamint a nemi alapú erőszak és az emberforgalom áldozataira vonatkozó programot teljesítő személyek</w:t>
            </w:r>
          </w:p>
        </w:tc>
      </w:tr>
      <w:tr w:rsidR="003E1D81" w14:paraId="10C7A5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E2EA44" w14:textId="77777777" w:rsidR="003E1D81" w:rsidRDefault="00EB481C">
            <w:pPr>
              <w:pStyle w:val="P68B1DB1-Normal46"/>
              <w:spacing w:after="0" w:line="240" w:lineRule="auto"/>
              <w:jc w:val="center"/>
              <w:rPr>
                <w:rFonts w:eastAsia="Times New Roman" w:cs="Times New Roman"/>
                <w:noProof/>
              </w:rPr>
            </w:pPr>
            <w:r>
              <w:rPr>
                <w:noProof/>
              </w:rPr>
              <w:t>344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41ECFF" w14:textId="77777777" w:rsidR="003E1D81" w:rsidRDefault="00EB481C">
            <w:pPr>
              <w:pStyle w:val="P68B1DB1-Normal46"/>
              <w:spacing w:after="0" w:line="240" w:lineRule="auto"/>
              <w:rPr>
                <w:rFonts w:eastAsia="Times New Roman" w:cs="Times New Roman"/>
                <w:noProof/>
              </w:rPr>
            </w:pPr>
            <w:r>
              <w:rPr>
                <w:noProof/>
              </w:rPr>
              <w:t>C23.I3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2DD89E"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BDBF80C" w14:textId="77777777" w:rsidR="003E1D81" w:rsidRDefault="00EB481C">
            <w:pPr>
              <w:pStyle w:val="P68B1DB1-Normal46"/>
              <w:spacing w:after="0" w:line="240" w:lineRule="auto"/>
              <w:rPr>
                <w:rFonts w:eastAsia="Times New Roman" w:cs="Times New Roman"/>
                <w:noProof/>
              </w:rPr>
            </w:pPr>
            <w:r>
              <w:rPr>
                <w:noProof/>
              </w:rPr>
              <w:t xml:space="preserve">A digitális, ökológiai és produktív átalakuláshoz szükséges </w:t>
            </w:r>
            <w:r>
              <w:rPr>
                <w:noProof/>
              </w:rPr>
              <w:t>készségek elsajátítását célzó képzési programokat elvégző személyek</w:t>
            </w:r>
          </w:p>
        </w:tc>
      </w:tr>
      <w:tr w:rsidR="003E1D81" w14:paraId="229C563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1B4744" w14:textId="77777777" w:rsidR="003E1D81" w:rsidRDefault="00EB481C">
            <w:pPr>
              <w:pStyle w:val="P68B1DB1-Normal46"/>
              <w:spacing w:after="0" w:line="240" w:lineRule="auto"/>
              <w:jc w:val="center"/>
              <w:rPr>
                <w:rFonts w:eastAsia="Times New Roman" w:cs="Times New Roman"/>
                <w:noProof/>
              </w:rPr>
            </w:pPr>
            <w:r>
              <w:rPr>
                <w:noProof/>
              </w:rPr>
              <w:t>420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89CC53" w14:textId="77777777" w:rsidR="003E1D81" w:rsidRDefault="00EB481C">
            <w:pPr>
              <w:pStyle w:val="P68B1DB1-Normal46"/>
              <w:spacing w:after="0" w:line="240" w:lineRule="auto"/>
              <w:rPr>
                <w:rFonts w:eastAsia="Times New Roman" w:cs="Times New Roman"/>
                <w:noProof/>
              </w:rPr>
            </w:pPr>
            <w:r>
              <w:rPr>
                <w:noProof/>
              </w:rPr>
              <w:t>C23.I3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707714"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994F589" w14:textId="77777777" w:rsidR="003E1D81" w:rsidRDefault="00EB481C">
            <w:pPr>
              <w:pStyle w:val="P68B1DB1-Normal46"/>
              <w:spacing w:after="0" w:line="240" w:lineRule="auto"/>
              <w:rPr>
                <w:rFonts w:eastAsia="Times New Roman" w:cs="Times New Roman"/>
                <w:noProof/>
              </w:rPr>
            </w:pPr>
            <w:r>
              <w:rPr>
                <w:noProof/>
              </w:rPr>
              <w:t>A készségigények felismerése kutatási program révén</w:t>
            </w:r>
          </w:p>
        </w:tc>
      </w:tr>
      <w:tr w:rsidR="003E1D81" w14:paraId="38ACC6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A581AE" w14:textId="77777777" w:rsidR="003E1D81" w:rsidRDefault="00EB481C">
            <w:pPr>
              <w:pStyle w:val="P68B1DB1-Normal46"/>
              <w:spacing w:after="0" w:line="240" w:lineRule="auto"/>
              <w:jc w:val="center"/>
              <w:rPr>
                <w:rFonts w:eastAsia="Times New Roman" w:cs="Times New Roman"/>
                <w:noProof/>
              </w:rPr>
            </w:pPr>
            <w:r>
              <w:rPr>
                <w:noProof/>
              </w:rPr>
              <w:t>356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26CE567" w14:textId="77777777" w:rsidR="003E1D81" w:rsidRDefault="00EB481C">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A95731"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982C42D" w14:textId="77777777" w:rsidR="003E1D81" w:rsidRDefault="00EB481C">
            <w:pPr>
              <w:pStyle w:val="P68B1DB1-Normal46"/>
              <w:spacing w:after="0" w:line="240" w:lineRule="auto"/>
              <w:rPr>
                <w:rFonts w:eastAsia="Times New Roman" w:cs="Times New Roman"/>
                <w:noProof/>
              </w:rPr>
            </w:pPr>
            <w:r>
              <w:rPr>
                <w:noProof/>
              </w:rPr>
              <w:t>A spanyol kulturális örökség megőrzése, helyreállítása és fejlesztése</w:t>
            </w:r>
          </w:p>
        </w:tc>
      </w:tr>
      <w:tr w:rsidR="003E1D81" w14:paraId="1F8BAF1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56084A" w14:textId="77777777" w:rsidR="003E1D81" w:rsidRDefault="00EB481C">
            <w:pPr>
              <w:pStyle w:val="P68B1DB1-Normal46"/>
              <w:spacing w:after="0" w:line="240" w:lineRule="auto"/>
              <w:jc w:val="center"/>
              <w:rPr>
                <w:rFonts w:eastAsia="Times New Roman" w:cs="Times New Roman"/>
                <w:noProof/>
              </w:rPr>
            </w:pPr>
            <w:r>
              <w:rPr>
                <w:noProof/>
              </w:rPr>
              <w:t>370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88F054" w14:textId="77777777" w:rsidR="003E1D81" w:rsidRDefault="00EB481C">
            <w:pPr>
              <w:pStyle w:val="P68B1DB1-Normal46"/>
              <w:spacing w:after="0" w:line="240" w:lineRule="auto"/>
              <w:rPr>
                <w:rFonts w:eastAsia="Times New Roman" w:cs="Times New Roman"/>
                <w:noProof/>
              </w:rPr>
            </w:pPr>
            <w:r>
              <w:rPr>
                <w:noProof/>
              </w:rPr>
              <w:t>C26.I1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787A25" w14:textId="77777777" w:rsidR="003E1D81" w:rsidRDefault="00EB481C">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2F296B0" w14:textId="77777777" w:rsidR="003E1D81" w:rsidRDefault="00EB481C">
            <w:pPr>
              <w:pStyle w:val="P68B1DB1-Normal46"/>
              <w:spacing w:after="0" w:line="240" w:lineRule="auto"/>
              <w:rPr>
                <w:rFonts w:eastAsia="Times New Roman" w:cs="Times New Roman"/>
                <w:noProof/>
              </w:rPr>
            </w:pPr>
            <w:r>
              <w:rPr>
                <w:noProof/>
              </w:rPr>
              <w:t xml:space="preserve">A sportágazat </w:t>
            </w:r>
            <w:r>
              <w:rPr>
                <w:noProof/>
              </w:rPr>
              <w:t>digitalizációja</w:t>
            </w:r>
          </w:p>
        </w:tc>
      </w:tr>
      <w:tr w:rsidR="003E1D81" w14:paraId="4E96EB1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C8ADF7" w14:textId="77777777" w:rsidR="003E1D81" w:rsidRDefault="00EB481C">
            <w:pPr>
              <w:pStyle w:val="P68B1DB1-Normal46"/>
              <w:spacing w:after="0" w:line="240" w:lineRule="auto"/>
              <w:jc w:val="center"/>
              <w:rPr>
                <w:rFonts w:eastAsia="Times New Roman" w:cs="Times New Roman"/>
                <w:noProof/>
              </w:rPr>
            </w:pPr>
            <w:r>
              <w:rPr>
                <w:noProof/>
              </w:rPr>
              <w:t>372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C6C7CD" w14:textId="77777777" w:rsidR="003E1D81" w:rsidRDefault="00EB481C">
            <w:pPr>
              <w:pStyle w:val="P68B1DB1-Normal46"/>
              <w:spacing w:after="0" w:line="240" w:lineRule="auto"/>
              <w:rPr>
                <w:rFonts w:eastAsia="Times New Roman" w:cs="Times New Roman"/>
                <w:noProof/>
              </w:rPr>
            </w:pPr>
            <w:r>
              <w:rPr>
                <w:noProof/>
              </w:rPr>
              <w:t>C26.I1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EBF2F7" w14:textId="77777777" w:rsidR="003E1D81" w:rsidRDefault="00EB481C">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BD4D25D" w14:textId="77777777" w:rsidR="003E1D81" w:rsidRDefault="00EB481C">
            <w:pPr>
              <w:pStyle w:val="P68B1DB1-Normal46"/>
              <w:spacing w:after="0" w:line="240" w:lineRule="auto"/>
              <w:rPr>
                <w:rFonts w:eastAsia="Times New Roman" w:cs="Times New Roman"/>
                <w:noProof/>
              </w:rPr>
            </w:pPr>
            <w:r>
              <w:rPr>
                <w:noProof/>
              </w:rPr>
              <w:t>Informatikai projektek lezárása a nagyteljesítményű központokban és a doppingellenes közigazgatásban</w:t>
            </w:r>
          </w:p>
        </w:tc>
      </w:tr>
      <w:tr w:rsidR="003E1D81" w14:paraId="08473BC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C598C4" w14:textId="77777777" w:rsidR="003E1D81" w:rsidRDefault="00EB481C">
            <w:pPr>
              <w:pStyle w:val="P68B1DB1-Normal46"/>
              <w:spacing w:after="0" w:line="240" w:lineRule="auto"/>
              <w:jc w:val="center"/>
              <w:rPr>
                <w:rFonts w:eastAsia="Times New Roman" w:cs="Times New Roman"/>
                <w:noProof/>
              </w:rPr>
            </w:pPr>
            <w:r>
              <w:rPr>
                <w:noProof/>
              </w:rPr>
              <w:t>373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824EA6" w14:textId="77777777" w:rsidR="003E1D81" w:rsidRDefault="00EB481C">
            <w:pPr>
              <w:pStyle w:val="P68B1DB1-Normal46"/>
              <w:spacing w:after="0" w:line="240" w:lineRule="auto"/>
              <w:rPr>
                <w:rFonts w:eastAsia="Times New Roman" w:cs="Times New Roman"/>
                <w:noProof/>
              </w:rPr>
            </w:pPr>
            <w:r>
              <w:rPr>
                <w:noProof/>
              </w:rPr>
              <w:t>C26.I2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02008" w14:textId="77777777" w:rsidR="003E1D81" w:rsidRDefault="00EB481C">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4A991B2" w14:textId="77777777" w:rsidR="003E1D81" w:rsidRDefault="00EB481C">
            <w:pPr>
              <w:pStyle w:val="P68B1DB1-Normal46"/>
              <w:spacing w:after="0" w:line="240" w:lineRule="auto"/>
              <w:rPr>
                <w:rFonts w:eastAsia="Times New Roman" w:cs="Times New Roman"/>
                <w:noProof/>
              </w:rPr>
            </w:pPr>
            <w:r>
              <w:rPr>
                <w:noProof/>
              </w:rPr>
              <w:t xml:space="preserve">A sport- és sportlétesítmények műszaki központjainak felújítása és fejlesztése </w:t>
            </w:r>
          </w:p>
        </w:tc>
      </w:tr>
      <w:tr w:rsidR="003E1D81" w14:paraId="67CC6D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B594B2" w14:textId="77777777" w:rsidR="003E1D81" w:rsidRDefault="003E1D81">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7164CAC" w14:textId="77777777" w:rsidR="003E1D81" w:rsidRDefault="003E1D81">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8864C9" w14:textId="57D35939" w:rsidR="003E1D81" w:rsidRDefault="00EB481C">
            <w:pPr>
              <w:pStyle w:val="P68B1DB1-Normal45"/>
              <w:spacing w:after="0" w:line="240" w:lineRule="auto"/>
              <w:rPr>
                <w:rFonts w:eastAsia="Times New Roman" w:cs="Times New Roman"/>
                <w:noProof/>
              </w:rPr>
            </w:pPr>
            <w:r>
              <w:rPr>
                <w:noProof/>
              </w:rPr>
              <w:t>Részösszeg</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48F4810" w14:textId="36797311" w:rsidR="003E1D81" w:rsidRDefault="00EB481C">
            <w:pPr>
              <w:pStyle w:val="P68B1DB1-Normal45"/>
              <w:spacing w:after="0" w:line="240" w:lineRule="auto"/>
              <w:rPr>
                <w:rFonts w:eastAsia="Times New Roman" w:cs="Times New Roman"/>
                <w:noProof/>
              </w:rPr>
            </w:pPr>
            <w:r>
              <w:rPr>
                <w:noProof/>
              </w:rPr>
              <w:t xml:space="preserve">·EURÓPAI </w:t>
            </w:r>
            <w:r>
              <w:rPr>
                <w:noProof/>
              </w:rPr>
              <w:t>BIZOTTSÁG 5 633 854 130 EUR</w:t>
            </w:r>
          </w:p>
        </w:tc>
      </w:tr>
    </w:tbl>
    <w:p w14:paraId="16B1E38C" w14:textId="77777777" w:rsidR="003E1D81" w:rsidRDefault="003E1D81">
      <w:pPr>
        <w:spacing w:before="120" w:after="120" w:line="240" w:lineRule="auto"/>
        <w:jc w:val="both"/>
        <w:rPr>
          <w:rFonts w:ascii="Times New Roman" w:eastAsia="Calibri" w:hAnsi="Times New Roman" w:cs="Times New Roman"/>
          <w:noProof/>
          <w:sz w:val="24"/>
        </w:rPr>
      </w:pPr>
    </w:p>
    <w:p w14:paraId="417320EA" w14:textId="77777777"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Tizedik részlet (vissza nem térítendő támogatás): </w:t>
      </w:r>
    </w:p>
    <w:tbl>
      <w:tblPr>
        <w:tblW w:w="9600" w:type="dxa"/>
        <w:tblInd w:w="113" w:type="dxa"/>
        <w:tblLook w:val="04A0" w:firstRow="1" w:lastRow="0" w:firstColumn="1" w:lastColumn="0" w:noHBand="0" w:noVBand="1"/>
      </w:tblPr>
      <w:tblGrid>
        <w:gridCol w:w="1300"/>
        <w:gridCol w:w="1443"/>
        <w:gridCol w:w="1416"/>
        <w:gridCol w:w="5607"/>
      </w:tblGrid>
      <w:tr w:rsidR="003E1D81" w14:paraId="67D015EC"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8C28D8B" w14:textId="77777777" w:rsidR="003E1D81" w:rsidRDefault="00EB481C">
            <w:pPr>
              <w:pStyle w:val="P68B1DB1-Normal45"/>
              <w:spacing w:after="0" w:line="240" w:lineRule="auto"/>
              <w:jc w:val="center"/>
              <w:rPr>
                <w:rFonts w:eastAsia="Times New Roman" w:cs="Times New Roman"/>
                <w:noProof/>
              </w:rPr>
            </w:pPr>
            <w:r>
              <w:rPr>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ABCF3D9" w14:textId="77777777" w:rsidR="003E1D81" w:rsidRDefault="00EB481C">
            <w:pPr>
              <w:pStyle w:val="P68B1DB1-Normal45"/>
              <w:spacing w:after="0" w:line="240" w:lineRule="auto"/>
              <w:jc w:val="center"/>
              <w:rPr>
                <w:rFonts w:eastAsia="Times New Roman" w:cs="Times New Roman"/>
                <w:noProof/>
              </w:rPr>
            </w:pPr>
            <w:r>
              <w:rPr>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DE3AA78"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5607" w:type="dxa"/>
            <w:vMerge w:val="restart"/>
            <w:tcBorders>
              <w:top w:val="single" w:sz="4" w:space="0" w:color="auto"/>
              <w:left w:val="nil"/>
              <w:bottom w:val="single" w:sz="4" w:space="0" w:color="000000"/>
              <w:right w:val="single" w:sz="4" w:space="0" w:color="auto"/>
            </w:tcBorders>
            <w:shd w:val="clear" w:color="auto" w:fill="BDD7EE"/>
            <w:vAlign w:val="center"/>
            <w:hideMark/>
          </w:tcPr>
          <w:p w14:paraId="420F80E1"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33ADD356"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34E5E4F0" w14:textId="77777777" w:rsidR="003E1D81" w:rsidRDefault="003E1D81">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728C9BBC" w14:textId="77777777" w:rsidR="003E1D81" w:rsidRDefault="003E1D81">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73F5F41" w14:textId="77777777" w:rsidR="003E1D81" w:rsidRDefault="003E1D81">
            <w:pPr>
              <w:spacing w:after="0" w:line="240" w:lineRule="auto"/>
              <w:rPr>
                <w:rFonts w:ascii="Times New Roman" w:eastAsia="Times New Roman" w:hAnsi="Times New Roman" w:cs="Times New Roman"/>
                <w:b/>
                <w:noProof/>
                <w:sz w:val="20"/>
              </w:rPr>
            </w:pPr>
          </w:p>
        </w:tc>
        <w:tc>
          <w:tcPr>
            <w:tcW w:w="5607" w:type="dxa"/>
            <w:vMerge/>
            <w:tcBorders>
              <w:top w:val="single" w:sz="4" w:space="0" w:color="auto"/>
              <w:left w:val="nil"/>
              <w:bottom w:val="single" w:sz="4" w:space="0" w:color="000000"/>
              <w:right w:val="single" w:sz="4" w:space="0" w:color="auto"/>
            </w:tcBorders>
            <w:vAlign w:val="center"/>
            <w:hideMark/>
          </w:tcPr>
          <w:p w14:paraId="75360013" w14:textId="77777777" w:rsidR="003E1D81" w:rsidRDefault="003E1D81">
            <w:pPr>
              <w:spacing w:after="0" w:line="240" w:lineRule="auto"/>
              <w:rPr>
                <w:rFonts w:ascii="Times New Roman" w:eastAsia="Times New Roman" w:hAnsi="Times New Roman" w:cs="Times New Roman"/>
                <w:b/>
                <w:noProof/>
                <w:sz w:val="20"/>
              </w:rPr>
            </w:pPr>
          </w:p>
        </w:tc>
      </w:tr>
      <w:tr w:rsidR="003E1D81" w14:paraId="129755F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915C97" w14:textId="77777777" w:rsidR="003E1D81" w:rsidRDefault="00EB481C">
            <w:pPr>
              <w:pStyle w:val="P68B1DB1-Normal46"/>
              <w:spacing w:after="0" w:line="240" w:lineRule="auto"/>
              <w:jc w:val="center"/>
              <w:rPr>
                <w:rFonts w:eastAsia="Times New Roman" w:cs="Times New Roman"/>
                <w:noProof/>
              </w:rPr>
            </w:pPr>
            <w:r>
              <w:rPr>
                <w:noProof/>
              </w:rPr>
              <w:t>418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99D83C" w14:textId="77777777" w:rsidR="003E1D81" w:rsidRDefault="00EB481C">
            <w:pPr>
              <w:pStyle w:val="P68B1DB1-Normal46"/>
              <w:spacing w:after="0" w:line="240" w:lineRule="auto"/>
              <w:rPr>
                <w:rFonts w:eastAsia="Times New Roman" w:cs="Times New Roman"/>
                <w:noProof/>
              </w:rPr>
            </w:pPr>
            <w:r>
              <w:rPr>
                <w:noProof/>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09454C"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4B443BD" w14:textId="77777777" w:rsidR="003E1D81" w:rsidRDefault="00EB481C">
            <w:pPr>
              <w:pStyle w:val="P68B1DB1-Normal46"/>
              <w:spacing w:after="0" w:line="240" w:lineRule="auto"/>
              <w:rPr>
                <w:rFonts w:eastAsia="Times New Roman" w:cs="Times New Roman"/>
                <w:noProof/>
              </w:rPr>
            </w:pPr>
            <w:r>
              <w:rPr>
                <w:noProof/>
              </w:rPr>
              <w:t>Tesztkörnyezeti iroda</w:t>
            </w:r>
          </w:p>
        </w:tc>
      </w:tr>
      <w:tr w:rsidR="003E1D81" w14:paraId="31B210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79022F" w14:textId="77777777" w:rsidR="003E1D81" w:rsidRDefault="00EB481C">
            <w:pPr>
              <w:pStyle w:val="P68B1DB1-Normal46"/>
              <w:spacing w:after="0" w:line="240" w:lineRule="auto"/>
              <w:jc w:val="center"/>
              <w:rPr>
                <w:rFonts w:eastAsia="Times New Roman" w:cs="Times New Roman"/>
                <w:noProof/>
              </w:rPr>
            </w:pPr>
            <w:r>
              <w:rPr>
                <w:noProof/>
              </w:rPr>
              <w:t>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5596D1" w14:textId="77777777" w:rsidR="003E1D81" w:rsidRDefault="00EB481C">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87D6A6"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F42688E" w14:textId="77777777" w:rsidR="003E1D81" w:rsidRDefault="00EB481C">
            <w:pPr>
              <w:pStyle w:val="P68B1DB1-Normal46"/>
              <w:spacing w:after="0" w:line="240" w:lineRule="auto"/>
              <w:rPr>
                <w:rFonts w:eastAsia="Times New Roman" w:cs="Times New Roman"/>
                <w:noProof/>
              </w:rPr>
            </w:pPr>
            <w:r>
              <w:rPr>
                <w:noProof/>
              </w:rPr>
              <w:t xml:space="preserve">Korszerűsített rövid távolságú vasútvonalak (Cercanías) </w:t>
            </w:r>
          </w:p>
        </w:tc>
      </w:tr>
      <w:tr w:rsidR="003E1D81" w14:paraId="0E8D627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1D29D2" w14:textId="77777777" w:rsidR="003E1D81" w:rsidRDefault="00EB481C">
            <w:pPr>
              <w:pStyle w:val="P68B1DB1-Normal46"/>
              <w:spacing w:after="0" w:line="240" w:lineRule="auto"/>
              <w:jc w:val="center"/>
              <w:rPr>
                <w:rFonts w:eastAsia="Times New Roman" w:cs="Times New Roman"/>
                <w:noProof/>
              </w:rPr>
            </w:pPr>
            <w:r>
              <w:rPr>
                <w:noProof/>
              </w:rPr>
              <w:t>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DA11E3" w14:textId="77777777" w:rsidR="003E1D81" w:rsidRDefault="00EB481C">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CED1EEF"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FC89F20" w14:textId="77777777" w:rsidR="003E1D81" w:rsidRDefault="00EB481C">
            <w:pPr>
              <w:pStyle w:val="P68B1DB1-Normal46"/>
              <w:spacing w:after="0" w:line="240" w:lineRule="auto"/>
              <w:rPr>
                <w:rFonts w:eastAsia="Times New Roman" w:cs="Times New Roman"/>
                <w:noProof/>
              </w:rPr>
            </w:pPr>
            <w:r>
              <w:rPr>
                <w:noProof/>
              </w:rPr>
              <w:t xml:space="preserve">A digitalizáció révén javultak az állomások </w:t>
            </w:r>
          </w:p>
        </w:tc>
      </w:tr>
      <w:tr w:rsidR="003E1D81" w14:paraId="46EA26A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07793F" w14:textId="77777777" w:rsidR="003E1D81" w:rsidRDefault="00EB481C">
            <w:pPr>
              <w:pStyle w:val="P68B1DB1-Normal46"/>
              <w:spacing w:after="0" w:line="240" w:lineRule="auto"/>
              <w:jc w:val="center"/>
              <w:rPr>
                <w:rFonts w:eastAsia="Times New Roman" w:cs="Times New Roman"/>
                <w:noProof/>
              </w:rPr>
            </w:pPr>
            <w:r>
              <w:rPr>
                <w:noProof/>
              </w:rPr>
              <w:t>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6C3560D" w14:textId="77777777" w:rsidR="003E1D81" w:rsidRDefault="00EB481C">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C92DB4"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EB2B55" w14:textId="77777777" w:rsidR="003E1D81" w:rsidRDefault="00EB481C">
            <w:pPr>
              <w:pStyle w:val="P68B1DB1-Normal46"/>
              <w:spacing w:after="0" w:line="240" w:lineRule="auto"/>
              <w:rPr>
                <w:rFonts w:eastAsia="Times New Roman" w:cs="Times New Roman"/>
                <w:noProof/>
              </w:rPr>
            </w:pPr>
            <w:r>
              <w:rPr>
                <w:noProof/>
              </w:rPr>
              <w:t xml:space="preserve">Továbbfejlesztett „Cercanías” állomások </w:t>
            </w:r>
          </w:p>
        </w:tc>
      </w:tr>
      <w:tr w:rsidR="003E1D81" w14:paraId="6668482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D9DF83" w14:textId="77777777" w:rsidR="003E1D81" w:rsidRDefault="00EB481C">
            <w:pPr>
              <w:pStyle w:val="P68B1DB1-Normal46"/>
              <w:spacing w:after="0" w:line="240" w:lineRule="auto"/>
              <w:jc w:val="center"/>
              <w:rPr>
                <w:rFonts w:eastAsia="Times New Roman" w:cs="Times New Roman"/>
                <w:noProof/>
              </w:rPr>
            </w:pPr>
            <w:r>
              <w:rPr>
                <w:noProof/>
              </w:rPr>
              <w:t>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606E53" w14:textId="77777777" w:rsidR="003E1D81" w:rsidRDefault="00EB481C">
            <w:pPr>
              <w:pStyle w:val="P68B1DB1-Normal46"/>
              <w:spacing w:after="0" w:line="240" w:lineRule="auto"/>
              <w:rPr>
                <w:rFonts w:eastAsia="Times New Roman" w:cs="Times New Roman"/>
                <w:noProof/>
              </w:rPr>
            </w:pPr>
            <w:r>
              <w:rPr>
                <w:noProof/>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750F71"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FDE18BF" w14:textId="77777777" w:rsidR="003E1D81" w:rsidRDefault="00EB481C">
            <w:pPr>
              <w:pStyle w:val="P68B1DB1-Normal46"/>
              <w:spacing w:after="0" w:line="240" w:lineRule="auto"/>
              <w:rPr>
                <w:rFonts w:eastAsia="Times New Roman" w:cs="Times New Roman"/>
                <w:noProof/>
              </w:rPr>
            </w:pPr>
            <w:r>
              <w:rPr>
                <w:noProof/>
              </w:rPr>
              <w:t xml:space="preserve">Felújítás alá vont területeken vagy környékeken lévő földterület, amely </w:t>
            </w:r>
            <w:r>
              <w:rPr>
                <w:noProof/>
              </w:rPr>
              <w:t>átlagosan legalább 30%-kal csökkenti a primerenergia-igényt (hektár)</w:t>
            </w:r>
          </w:p>
        </w:tc>
      </w:tr>
      <w:tr w:rsidR="003E1D81" w14:paraId="5C825F5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A4FF2C" w14:textId="77777777" w:rsidR="003E1D81" w:rsidRDefault="00EB481C">
            <w:pPr>
              <w:pStyle w:val="P68B1DB1-Normal46"/>
              <w:spacing w:after="0" w:line="240" w:lineRule="auto"/>
              <w:jc w:val="center"/>
              <w:rPr>
                <w:rFonts w:eastAsia="Times New Roman" w:cs="Times New Roman"/>
                <w:noProof/>
              </w:rPr>
            </w:pPr>
            <w:r>
              <w:rPr>
                <w:noProof/>
              </w:rPr>
              <w:t>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DE1040" w14:textId="77777777" w:rsidR="003E1D81" w:rsidRDefault="00EB481C">
            <w:pPr>
              <w:pStyle w:val="P68B1DB1-Normal46"/>
              <w:spacing w:after="0" w:line="240" w:lineRule="auto"/>
              <w:rPr>
                <w:rFonts w:eastAsia="Times New Roman" w:cs="Times New Roman"/>
                <w:noProof/>
              </w:rPr>
            </w:pPr>
            <w:r>
              <w:rPr>
                <w:noProof/>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225C37"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C387236" w14:textId="77777777" w:rsidR="003E1D81" w:rsidRDefault="00EB481C">
            <w:pPr>
              <w:pStyle w:val="P68B1DB1-Normal46"/>
              <w:spacing w:after="0" w:line="240" w:lineRule="auto"/>
              <w:rPr>
                <w:rFonts w:eastAsia="Times New Roman" w:cs="Times New Roman"/>
                <w:noProof/>
              </w:rPr>
            </w:pPr>
            <w:r>
              <w:rPr>
                <w:noProof/>
              </w:rPr>
              <w:t>A lakóépületek felújítására irányuló intézkedések befejezése, átlagosan legalább 30%-os primerenergia-igénycsökkenés elérése (legalább 410000 intézkedés legalább 285000 egyedi</w:t>
            </w:r>
            <w:r>
              <w:rPr>
                <w:noProof/>
              </w:rPr>
              <w:t xml:space="preserve"> lakásban) </w:t>
            </w:r>
          </w:p>
        </w:tc>
      </w:tr>
      <w:tr w:rsidR="003E1D81" w14:paraId="5080237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090E274" w14:textId="77777777" w:rsidR="003E1D81" w:rsidRDefault="00EB481C">
            <w:pPr>
              <w:pStyle w:val="P68B1DB1-Normal46"/>
              <w:spacing w:after="0" w:line="240" w:lineRule="auto"/>
              <w:jc w:val="center"/>
              <w:rPr>
                <w:rFonts w:eastAsia="Times New Roman" w:cs="Times New Roman"/>
                <w:noProof/>
              </w:rPr>
            </w:pPr>
            <w:r>
              <w:rPr>
                <w:noProof/>
              </w:rPr>
              <w:t>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4C3F0E" w14:textId="77777777" w:rsidR="003E1D81" w:rsidRDefault="00EB481C">
            <w:pPr>
              <w:pStyle w:val="P68B1DB1-Normal46"/>
              <w:spacing w:after="0" w:line="240" w:lineRule="auto"/>
              <w:rPr>
                <w:rFonts w:eastAsia="Times New Roman" w:cs="Times New Roman"/>
                <w:noProof/>
              </w:rPr>
            </w:pPr>
            <w:r>
              <w:rPr>
                <w:noProof/>
              </w:rPr>
              <w:t>C2.I2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1BB76F"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358CB68" w14:textId="77777777" w:rsidR="003E1D81" w:rsidRDefault="00EB481C">
            <w:pPr>
              <w:pStyle w:val="P68B1DB1-Normal46"/>
              <w:spacing w:after="0" w:line="240" w:lineRule="auto"/>
              <w:rPr>
                <w:rFonts w:eastAsia="Times New Roman" w:cs="Times New Roman"/>
                <w:noProof/>
              </w:rPr>
            </w:pPr>
            <w:r>
              <w:rPr>
                <w:noProof/>
              </w:rPr>
              <w:t>Szociális bérlés céljából vagy megfizethető áron épített új lakások, amelyek megfelelnek az energiahatékonyság kritériumainak</w:t>
            </w:r>
          </w:p>
        </w:tc>
      </w:tr>
      <w:tr w:rsidR="003E1D81" w14:paraId="71D0F12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DD0EB4" w14:textId="77777777" w:rsidR="003E1D81" w:rsidRDefault="00EB481C">
            <w:pPr>
              <w:pStyle w:val="P68B1DB1-Normal46"/>
              <w:spacing w:after="0" w:line="240" w:lineRule="auto"/>
              <w:jc w:val="center"/>
              <w:rPr>
                <w:rFonts w:eastAsia="Times New Roman" w:cs="Times New Roman"/>
                <w:noProof/>
              </w:rPr>
            </w:pPr>
            <w:r>
              <w:rPr>
                <w:noProof/>
              </w:rPr>
              <w:t>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89E901" w14:textId="77777777" w:rsidR="003E1D81" w:rsidRDefault="00EB481C">
            <w:pPr>
              <w:pStyle w:val="P68B1DB1-Normal46"/>
              <w:spacing w:after="0" w:line="240" w:lineRule="auto"/>
              <w:rPr>
                <w:rFonts w:eastAsia="Times New Roman" w:cs="Times New Roman"/>
                <w:noProof/>
              </w:rPr>
            </w:pPr>
            <w:r>
              <w:rPr>
                <w:noProof/>
              </w:rPr>
              <w:t>C2.I3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BCAE7F"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7EFD87" w14:textId="77777777" w:rsidR="003E1D81" w:rsidRDefault="00EB481C">
            <w:pPr>
              <w:pStyle w:val="P68B1DB1-Normal46"/>
              <w:spacing w:after="0" w:line="240" w:lineRule="auto"/>
              <w:rPr>
                <w:rFonts w:eastAsia="Times New Roman" w:cs="Times New Roman"/>
                <w:noProof/>
              </w:rPr>
            </w:pPr>
            <w:r>
              <w:rPr>
                <w:noProof/>
              </w:rPr>
              <w:t xml:space="preserve">Lakóépületek és nem lakáscélú épületek felújításának befejezése a primerenergia-igény átlagosan legalább 30%-os csökkentésével </w:t>
            </w:r>
          </w:p>
        </w:tc>
      </w:tr>
      <w:tr w:rsidR="003E1D81" w14:paraId="787189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C005C2" w14:textId="77777777" w:rsidR="003E1D81" w:rsidRDefault="00EB481C">
            <w:pPr>
              <w:pStyle w:val="P68B1DB1-Normal46"/>
              <w:spacing w:after="0" w:line="240" w:lineRule="auto"/>
              <w:jc w:val="center"/>
              <w:rPr>
                <w:rFonts w:eastAsia="Times New Roman" w:cs="Times New Roman"/>
                <w:noProof/>
              </w:rPr>
            </w:pPr>
            <w:r>
              <w:rPr>
                <w:noProof/>
              </w:rPr>
              <w:t>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A9E448" w14:textId="77777777" w:rsidR="003E1D81" w:rsidRDefault="00EB481C">
            <w:pPr>
              <w:pStyle w:val="P68B1DB1-Normal46"/>
              <w:spacing w:after="0" w:line="240" w:lineRule="auto"/>
              <w:rPr>
                <w:rFonts w:eastAsia="Times New Roman" w:cs="Times New Roman"/>
                <w:noProof/>
              </w:rPr>
            </w:pPr>
            <w:r>
              <w:rPr>
                <w:noProof/>
              </w:rPr>
              <w:t>C2.I4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A75AEC"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B57F57C" w14:textId="77777777" w:rsidR="003E1D81" w:rsidRDefault="00EB481C">
            <w:pPr>
              <w:pStyle w:val="P68B1DB1-Normal46"/>
              <w:spacing w:after="0" w:line="240" w:lineRule="auto"/>
              <w:rPr>
                <w:rFonts w:eastAsia="Times New Roman" w:cs="Times New Roman"/>
                <w:noProof/>
              </w:rPr>
            </w:pPr>
            <w:r>
              <w:rPr>
                <w:noProof/>
              </w:rPr>
              <w:t xml:space="preserve">A lakóépületek és a nem lakáscélú épületek felújítása az 5000 főnél kevesebb lakosú településeken, átlagosan legalább 30%-kal csökkentve a primerenergia-igényt </w:t>
            </w:r>
          </w:p>
        </w:tc>
      </w:tr>
      <w:tr w:rsidR="003E1D81" w14:paraId="1E5FC7B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B53CFC" w14:textId="77777777" w:rsidR="003E1D81" w:rsidRDefault="00EB481C">
            <w:pPr>
              <w:pStyle w:val="P68B1DB1-Normal46"/>
              <w:spacing w:after="0" w:line="240" w:lineRule="auto"/>
              <w:jc w:val="center"/>
              <w:rPr>
                <w:rFonts w:eastAsia="Times New Roman" w:cs="Times New Roman"/>
                <w:noProof/>
              </w:rPr>
            </w:pPr>
            <w:r>
              <w:rPr>
                <w:noProof/>
              </w:rPr>
              <w:t>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F153A8" w14:textId="77777777" w:rsidR="003E1D81" w:rsidRDefault="00EB481C">
            <w:pPr>
              <w:pStyle w:val="P68B1DB1-Normal46"/>
              <w:spacing w:after="0" w:line="240" w:lineRule="auto"/>
              <w:rPr>
                <w:rFonts w:eastAsia="Times New Roman" w:cs="Times New Roman"/>
                <w:noProof/>
              </w:rPr>
            </w:pPr>
            <w:r>
              <w:rPr>
                <w:noProof/>
              </w:rPr>
              <w:t>C2.I4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233225"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476E51" w14:textId="77777777" w:rsidR="003E1D81" w:rsidRDefault="00EB481C">
            <w:pPr>
              <w:pStyle w:val="P68B1DB1-Normal46"/>
              <w:spacing w:after="0" w:line="240" w:lineRule="auto"/>
              <w:rPr>
                <w:rFonts w:eastAsia="Times New Roman" w:cs="Times New Roman"/>
                <w:noProof/>
              </w:rPr>
            </w:pPr>
            <w:r>
              <w:rPr>
                <w:noProof/>
              </w:rPr>
              <w:t>Tiszta energiával kapcsolatos projektek az 5000 főnél kevesebb lakosú településeken</w:t>
            </w:r>
            <w:r>
              <w:rPr>
                <w:noProof/>
              </w:rPr>
              <w:t xml:space="preserve"> </w:t>
            </w:r>
          </w:p>
        </w:tc>
      </w:tr>
      <w:tr w:rsidR="003E1D81" w14:paraId="31DA88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7E4B84" w14:textId="77777777" w:rsidR="003E1D81" w:rsidRDefault="00EB481C">
            <w:pPr>
              <w:pStyle w:val="P68B1DB1-Normal46"/>
              <w:spacing w:after="0" w:line="240" w:lineRule="auto"/>
              <w:jc w:val="center"/>
              <w:rPr>
                <w:rFonts w:eastAsia="Times New Roman" w:cs="Times New Roman"/>
                <w:noProof/>
              </w:rPr>
            </w:pPr>
            <w:r>
              <w:rPr>
                <w:noProof/>
              </w:rPr>
              <w:t>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723E717" w14:textId="77777777" w:rsidR="003E1D81" w:rsidRDefault="00EB481C">
            <w:pPr>
              <w:pStyle w:val="P68B1DB1-Normal46"/>
              <w:spacing w:after="0" w:line="240" w:lineRule="auto"/>
              <w:rPr>
                <w:rFonts w:eastAsia="Times New Roman" w:cs="Times New Roman"/>
                <w:noProof/>
              </w:rPr>
            </w:pPr>
            <w:r>
              <w:rPr>
                <w:noProof/>
              </w:rPr>
              <w:t>C2.I5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65128E"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85AA13" w14:textId="77777777" w:rsidR="003E1D81" w:rsidRDefault="00EB481C">
            <w:pPr>
              <w:pStyle w:val="P68B1DB1-Normal46"/>
              <w:spacing w:after="0" w:line="240" w:lineRule="auto"/>
              <w:rPr>
                <w:rFonts w:eastAsia="Times New Roman" w:cs="Times New Roman"/>
                <w:noProof/>
              </w:rPr>
            </w:pPr>
            <w:r>
              <w:rPr>
                <w:noProof/>
              </w:rPr>
              <w:t xml:space="preserve">A középületek felújításának befejezése, átlagosan legalább 30%-os primerenergia-igénycsökkenés elérése (legalább 1 230 000 m²) </w:t>
            </w:r>
          </w:p>
        </w:tc>
      </w:tr>
      <w:tr w:rsidR="003E1D81" w14:paraId="7B54D3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B72C6D" w14:textId="77777777" w:rsidR="003E1D81" w:rsidRDefault="00EB481C">
            <w:pPr>
              <w:pStyle w:val="P68B1DB1-Normal46"/>
              <w:spacing w:after="0" w:line="240" w:lineRule="auto"/>
              <w:jc w:val="center"/>
              <w:rPr>
                <w:rFonts w:eastAsia="Times New Roman" w:cs="Times New Roman"/>
                <w:noProof/>
              </w:rPr>
            </w:pPr>
            <w:r>
              <w:rPr>
                <w:noProof/>
              </w:rPr>
              <w:t>423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301914" w14:textId="77777777" w:rsidR="003E1D81" w:rsidRDefault="00EB481C">
            <w:pPr>
              <w:pStyle w:val="P68B1DB1-Normal46"/>
              <w:spacing w:after="0" w:line="240" w:lineRule="auto"/>
              <w:rPr>
                <w:rFonts w:eastAsia="Times New Roman" w:cs="Times New Roman"/>
                <w:noProof/>
              </w:rPr>
            </w:pPr>
            <w:r>
              <w:rPr>
                <w:noProof/>
              </w:rPr>
              <w:t>C3.R6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3EF90C"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E50099" w14:textId="77777777" w:rsidR="003E1D81" w:rsidRDefault="00EB481C">
            <w:pPr>
              <w:pStyle w:val="P68B1DB1-Normal46"/>
              <w:spacing w:after="0" w:line="240" w:lineRule="auto"/>
              <w:rPr>
                <w:rFonts w:eastAsia="Times New Roman" w:cs="Times New Roman"/>
                <w:noProof/>
              </w:rPr>
            </w:pPr>
            <w:r>
              <w:rPr>
                <w:noProof/>
              </w:rPr>
              <w:t xml:space="preserve">A halászati törvény felülvizsgálatának, valamint a halászat területén az ellenőrzési, felügyeleti és </w:t>
            </w:r>
            <w:r>
              <w:rPr>
                <w:noProof/>
              </w:rPr>
              <w:t>szankcionálási rendszerek korszerűsítéséről szóló törvény hatálybalépése.</w:t>
            </w:r>
          </w:p>
        </w:tc>
      </w:tr>
      <w:tr w:rsidR="003E1D81" w14:paraId="6BC531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33B7BC" w14:textId="77777777" w:rsidR="003E1D81" w:rsidRDefault="00EB481C">
            <w:pPr>
              <w:pStyle w:val="P68B1DB1-Normal46"/>
              <w:spacing w:after="0" w:line="240" w:lineRule="auto"/>
              <w:jc w:val="center"/>
              <w:rPr>
                <w:rFonts w:eastAsia="Times New Roman" w:cs="Times New Roman"/>
                <w:noProof/>
              </w:rPr>
            </w:pPr>
            <w:r>
              <w:rPr>
                <w:noProof/>
              </w:rPr>
              <w:t>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B1C63C3" w14:textId="77777777" w:rsidR="003E1D81" w:rsidRDefault="00EB481C">
            <w:pPr>
              <w:pStyle w:val="P68B1DB1-Normal46"/>
              <w:spacing w:after="0" w:line="240" w:lineRule="auto"/>
              <w:rPr>
                <w:rFonts w:eastAsia="Times New Roman" w:cs="Times New Roman"/>
                <w:noProof/>
              </w:rPr>
            </w:pPr>
            <w:r>
              <w:rPr>
                <w:noProof/>
              </w:rPr>
              <w:t>C3.I1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2C2015"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6D7B19A" w14:textId="77777777" w:rsidR="003E1D81" w:rsidRDefault="00EB481C">
            <w:pPr>
              <w:pStyle w:val="P68B1DB1-Normal46"/>
              <w:spacing w:after="0" w:line="240" w:lineRule="auto"/>
              <w:rPr>
                <w:rFonts w:eastAsia="Times New Roman" w:cs="Times New Roman"/>
                <w:noProof/>
              </w:rPr>
            </w:pPr>
            <w:r>
              <w:rPr>
                <w:noProof/>
              </w:rPr>
              <w:t xml:space="preserve">Az öntözőrendszerek korszerűsítése a víztakarékosság és az energiahatékonyság szempontjából  </w:t>
            </w:r>
          </w:p>
        </w:tc>
      </w:tr>
      <w:tr w:rsidR="003E1D81" w14:paraId="33CF03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6F75382" w14:textId="77777777" w:rsidR="003E1D81" w:rsidRDefault="00EB481C">
            <w:pPr>
              <w:pStyle w:val="P68B1DB1-Normal46"/>
              <w:spacing w:after="0" w:line="240" w:lineRule="auto"/>
              <w:jc w:val="center"/>
              <w:rPr>
                <w:rFonts w:eastAsia="Times New Roman" w:cs="Times New Roman"/>
                <w:noProof/>
              </w:rPr>
            </w:pPr>
            <w:r>
              <w:rPr>
                <w:noProof/>
              </w:rPr>
              <w:t>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4B53E7" w14:textId="77777777" w:rsidR="003E1D81" w:rsidRDefault="00EB481C">
            <w:pPr>
              <w:pStyle w:val="P68B1DB1-Normal46"/>
              <w:spacing w:after="0" w:line="240" w:lineRule="auto"/>
              <w:rPr>
                <w:rFonts w:eastAsia="Times New Roman" w:cs="Times New Roman"/>
                <w:noProof/>
              </w:rPr>
            </w:pPr>
            <w:r>
              <w:rPr>
                <w:noProof/>
              </w:rPr>
              <w:t>C3.I2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DEAF2B"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EF2CDD4" w14:textId="77777777" w:rsidR="003E1D81" w:rsidRDefault="00EB481C">
            <w:pPr>
              <w:pStyle w:val="P68B1DB1-Normal46"/>
              <w:spacing w:after="0" w:line="240" w:lineRule="auto"/>
              <w:rPr>
                <w:rFonts w:eastAsia="Times New Roman" w:cs="Times New Roman"/>
                <w:noProof/>
              </w:rPr>
            </w:pPr>
            <w:r>
              <w:rPr>
                <w:noProof/>
              </w:rPr>
              <w:t>Állattartó létesítmény építésének befejezése, 3. biológiai bizto</w:t>
            </w:r>
            <w:r>
              <w:rPr>
                <w:noProof/>
              </w:rPr>
              <w:t xml:space="preserve">nsági szinttel. </w:t>
            </w:r>
          </w:p>
        </w:tc>
      </w:tr>
      <w:tr w:rsidR="003E1D81" w14:paraId="7599FF7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BC81CC" w14:textId="77777777" w:rsidR="003E1D81" w:rsidRDefault="00EB481C">
            <w:pPr>
              <w:pStyle w:val="P68B1DB1-Normal46"/>
              <w:spacing w:after="0" w:line="240" w:lineRule="auto"/>
              <w:jc w:val="center"/>
              <w:rPr>
                <w:rFonts w:eastAsia="Times New Roman" w:cs="Times New Roman"/>
                <w:noProof/>
              </w:rPr>
            </w:pPr>
            <w:r>
              <w:rPr>
                <w:noProof/>
              </w:rPr>
              <w:t>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CC36E5" w14:textId="77777777" w:rsidR="003E1D81" w:rsidRDefault="00EB481C">
            <w:pPr>
              <w:pStyle w:val="P68B1DB1-Normal46"/>
              <w:spacing w:after="0" w:line="240" w:lineRule="auto"/>
              <w:rPr>
                <w:rFonts w:eastAsia="Times New Roman" w:cs="Times New Roman"/>
                <w:noProof/>
              </w:rPr>
            </w:pPr>
            <w:r>
              <w:rPr>
                <w:noProof/>
              </w:rPr>
              <w:t>C3.I4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62A31F"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188B05" w14:textId="77777777" w:rsidR="003E1D81" w:rsidRDefault="00EB481C">
            <w:pPr>
              <w:pStyle w:val="P68B1DB1-Normal46"/>
              <w:spacing w:after="0" w:line="240" w:lineRule="auto"/>
              <w:rPr>
                <w:rFonts w:eastAsia="Times New Roman" w:cs="Times New Roman"/>
                <w:noProof/>
              </w:rPr>
            </w:pPr>
            <w:r>
              <w:rPr>
                <w:noProof/>
              </w:rPr>
              <w:t xml:space="preserve">Befejezett projektek a precíziós mezőgazdaság, az energiahatékonyság, a körforgásos gazdaság és a megújuló energia felhasználása terén  </w:t>
            </w:r>
          </w:p>
        </w:tc>
      </w:tr>
      <w:tr w:rsidR="003E1D81" w14:paraId="51B0F8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EAE228" w14:textId="77777777" w:rsidR="003E1D81" w:rsidRDefault="00EB481C">
            <w:pPr>
              <w:pStyle w:val="P68B1DB1-Normal46"/>
              <w:spacing w:after="0" w:line="240" w:lineRule="auto"/>
              <w:jc w:val="center"/>
              <w:rPr>
                <w:rFonts w:eastAsia="Times New Roman" w:cs="Times New Roman"/>
                <w:noProof/>
              </w:rPr>
            </w:pPr>
            <w:r>
              <w:rPr>
                <w:noProof/>
              </w:rPr>
              <w:t>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F2F5AA" w14:textId="77777777" w:rsidR="003E1D81" w:rsidRDefault="00EB481C">
            <w:pPr>
              <w:pStyle w:val="P68B1DB1-Normal46"/>
              <w:spacing w:after="0" w:line="240" w:lineRule="auto"/>
              <w:rPr>
                <w:rFonts w:eastAsia="Times New Roman" w:cs="Times New Roman"/>
                <w:noProof/>
              </w:rPr>
            </w:pPr>
            <w:r>
              <w:rPr>
                <w:noProof/>
              </w:rPr>
              <w:t>C4.I1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C7727E"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02FA6" w14:textId="77777777" w:rsidR="003E1D81" w:rsidRDefault="00EB481C">
            <w:pPr>
              <w:pStyle w:val="P68B1DB1-Normal46"/>
              <w:spacing w:after="0" w:line="240" w:lineRule="auto"/>
              <w:rPr>
                <w:rFonts w:eastAsia="Times New Roman" w:cs="Times New Roman"/>
                <w:noProof/>
              </w:rPr>
            </w:pPr>
            <w:r>
              <w:rPr>
                <w:noProof/>
              </w:rPr>
              <w:t xml:space="preserve">A biológiai sokféleséggel kapcsolatos ismeretek nyomon követésére és </w:t>
            </w:r>
            <w:r>
              <w:rPr>
                <w:noProof/>
              </w:rPr>
              <w:t>kezelésére szolgáló rendszer befejezése és működőképessé tétele</w:t>
            </w:r>
          </w:p>
        </w:tc>
      </w:tr>
      <w:tr w:rsidR="003E1D81" w14:paraId="5753D94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356B7F" w14:textId="77777777" w:rsidR="003E1D81" w:rsidRDefault="00EB481C">
            <w:pPr>
              <w:pStyle w:val="P68B1DB1-Normal46"/>
              <w:spacing w:after="0" w:line="240" w:lineRule="auto"/>
              <w:jc w:val="center"/>
              <w:rPr>
                <w:rFonts w:eastAsia="Times New Roman" w:cs="Times New Roman"/>
                <w:noProof/>
              </w:rPr>
            </w:pPr>
            <w:r>
              <w:rPr>
                <w:noProof/>
              </w:rPr>
              <w:t>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699AD6" w14:textId="77777777" w:rsidR="003E1D81" w:rsidRDefault="00EB481C">
            <w:pPr>
              <w:pStyle w:val="P68B1DB1-Normal46"/>
              <w:spacing w:after="0" w:line="240" w:lineRule="auto"/>
              <w:rPr>
                <w:rFonts w:eastAsia="Times New Roman" w:cs="Times New Roman"/>
                <w:noProof/>
              </w:rPr>
            </w:pPr>
            <w:r>
              <w:rPr>
                <w:noProof/>
              </w:rPr>
              <w:t>C4.I2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F65EA52"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3DB18D2" w14:textId="77777777" w:rsidR="003E1D81" w:rsidRDefault="00EB481C">
            <w:pPr>
              <w:pStyle w:val="P68B1DB1-Normal46"/>
              <w:spacing w:after="0" w:line="240" w:lineRule="auto"/>
              <w:rPr>
                <w:rFonts w:eastAsia="Times New Roman" w:cs="Times New Roman"/>
                <w:noProof/>
              </w:rPr>
            </w:pPr>
            <w:r>
              <w:rPr>
                <w:noProof/>
              </w:rPr>
              <w:t>A biológiai sokféleség megőrzésére irányuló intézkedések</w:t>
            </w:r>
          </w:p>
        </w:tc>
      </w:tr>
      <w:tr w:rsidR="003E1D81" w14:paraId="4C952A8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339FB" w14:textId="77777777" w:rsidR="003E1D81" w:rsidRDefault="00EB481C">
            <w:pPr>
              <w:pStyle w:val="P68B1DB1-Normal46"/>
              <w:spacing w:after="0" w:line="240" w:lineRule="auto"/>
              <w:jc w:val="center"/>
              <w:rPr>
                <w:rFonts w:eastAsia="Times New Roman" w:cs="Times New Roman"/>
                <w:noProof/>
              </w:rPr>
            </w:pPr>
            <w:r>
              <w:rPr>
                <w:noProof/>
              </w:rPr>
              <w:t>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A942D12" w14:textId="77777777" w:rsidR="003E1D81" w:rsidRDefault="00EB481C">
            <w:pPr>
              <w:pStyle w:val="P68B1DB1-Normal46"/>
              <w:spacing w:after="0" w:line="240" w:lineRule="auto"/>
              <w:rPr>
                <w:rFonts w:eastAsia="Times New Roman" w:cs="Times New Roman"/>
                <w:noProof/>
              </w:rPr>
            </w:pPr>
            <w:r>
              <w:rPr>
                <w:noProof/>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191F20B"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FF560E" w14:textId="77777777" w:rsidR="003E1D81" w:rsidRDefault="00EB481C">
            <w:pPr>
              <w:pStyle w:val="P68B1DB1-Normal46"/>
              <w:spacing w:after="0" w:line="240" w:lineRule="auto"/>
              <w:rPr>
                <w:rFonts w:eastAsia="Times New Roman" w:cs="Times New Roman"/>
                <w:noProof/>
              </w:rPr>
            </w:pPr>
            <w:r>
              <w:rPr>
                <w:noProof/>
              </w:rPr>
              <w:t>A korábbi bányatelepek rehabilitációjának befejezése (legalább 30 korábbi bányatelep)</w:t>
            </w:r>
          </w:p>
        </w:tc>
      </w:tr>
      <w:tr w:rsidR="003E1D81" w14:paraId="378A155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8E70C4" w14:textId="77777777" w:rsidR="003E1D81" w:rsidRDefault="00EB481C">
            <w:pPr>
              <w:pStyle w:val="P68B1DB1-Normal46"/>
              <w:spacing w:after="0" w:line="240" w:lineRule="auto"/>
              <w:jc w:val="center"/>
              <w:rPr>
                <w:rFonts w:eastAsia="Times New Roman" w:cs="Times New Roman"/>
                <w:noProof/>
              </w:rPr>
            </w:pPr>
            <w:r>
              <w:rPr>
                <w:noProof/>
              </w:rPr>
              <w:t>425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088C740" w14:textId="77777777" w:rsidR="003E1D81" w:rsidRDefault="00EB481C">
            <w:pPr>
              <w:pStyle w:val="P68B1DB1-Normal46"/>
              <w:spacing w:after="0" w:line="240" w:lineRule="auto"/>
              <w:rPr>
                <w:rFonts w:eastAsia="Times New Roman" w:cs="Times New Roman"/>
                <w:noProof/>
              </w:rPr>
            </w:pPr>
            <w:r>
              <w:rPr>
                <w:noProof/>
              </w:rPr>
              <w:t>C4.I4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50B6FF"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58918D2" w14:textId="77777777" w:rsidR="003E1D81" w:rsidRDefault="00EB481C">
            <w:pPr>
              <w:pStyle w:val="P68B1DB1-Normal46"/>
              <w:spacing w:after="0" w:line="240" w:lineRule="auto"/>
              <w:rPr>
                <w:rFonts w:eastAsia="Times New Roman" w:cs="Times New Roman"/>
                <w:noProof/>
              </w:rPr>
            </w:pPr>
            <w:r>
              <w:rPr>
                <w:noProof/>
              </w:rPr>
              <w:t xml:space="preserve">A </w:t>
            </w:r>
            <w:r>
              <w:rPr>
                <w:noProof/>
              </w:rPr>
              <w:t>fenntartható erdőgazdálkodásra vonatkozó intézkedések (II. rész)</w:t>
            </w:r>
          </w:p>
        </w:tc>
      </w:tr>
      <w:tr w:rsidR="003E1D81" w14:paraId="56F0C5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7629243" w14:textId="77777777" w:rsidR="003E1D81" w:rsidRDefault="00EB481C">
            <w:pPr>
              <w:pStyle w:val="P68B1DB1-Normal46"/>
              <w:spacing w:after="0" w:line="240" w:lineRule="auto"/>
              <w:jc w:val="center"/>
              <w:rPr>
                <w:rFonts w:eastAsia="Times New Roman" w:cs="Times New Roman"/>
                <w:noProof/>
              </w:rPr>
            </w:pPr>
            <w:r>
              <w:rPr>
                <w:noProof/>
              </w:rPr>
              <w:t>426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B91E963" w14:textId="77777777" w:rsidR="003E1D81" w:rsidRDefault="00EB481C">
            <w:pPr>
              <w:pStyle w:val="P68B1DB1-Normal46"/>
              <w:spacing w:after="0" w:line="240" w:lineRule="auto"/>
              <w:rPr>
                <w:rFonts w:eastAsia="Times New Roman" w:cs="Times New Roman"/>
                <w:noProof/>
              </w:rPr>
            </w:pPr>
            <w:r>
              <w:rPr>
                <w:noProof/>
              </w:rPr>
              <w:t>C5.I3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B334AA"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0F80BFD" w14:textId="77777777" w:rsidR="003E1D81" w:rsidRDefault="00EB481C">
            <w:pPr>
              <w:pStyle w:val="P68B1DB1-Normal46"/>
              <w:spacing w:after="0" w:line="240" w:lineRule="auto"/>
              <w:rPr>
                <w:rFonts w:eastAsia="Times New Roman" w:cs="Times New Roman"/>
                <w:noProof/>
              </w:rPr>
            </w:pPr>
            <w:r>
              <w:rPr>
                <w:noProof/>
              </w:rPr>
              <w:t>A vízkészletek ismeretének és használatának javítását, valamint a csapadékmennyiség és más meteorológiai adatok nyomon követését szolgáló eszközök üzembe helyezése</w:t>
            </w:r>
          </w:p>
        </w:tc>
      </w:tr>
      <w:tr w:rsidR="003E1D81" w14:paraId="1B19C01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D66CA2" w14:textId="77777777" w:rsidR="003E1D81" w:rsidRDefault="00EB481C">
            <w:pPr>
              <w:pStyle w:val="P68B1DB1-Normal46"/>
              <w:spacing w:after="0" w:line="240" w:lineRule="auto"/>
              <w:jc w:val="center"/>
              <w:rPr>
                <w:rFonts w:eastAsia="Times New Roman" w:cs="Times New Roman"/>
                <w:noProof/>
              </w:rPr>
            </w:pPr>
            <w:r>
              <w:rPr>
                <w:noProof/>
              </w:rPr>
              <w:t>427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28394" w14:textId="77777777" w:rsidR="003E1D81" w:rsidRDefault="00EB481C">
            <w:pPr>
              <w:pStyle w:val="P68B1DB1-Normal46"/>
              <w:spacing w:after="0" w:line="240" w:lineRule="auto"/>
              <w:rPr>
                <w:rFonts w:eastAsia="Times New Roman" w:cs="Times New Roman"/>
                <w:noProof/>
              </w:rPr>
            </w:pPr>
            <w:r>
              <w:rPr>
                <w:noProof/>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4EA101"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6836DD8" w14:textId="77777777" w:rsidR="003E1D81" w:rsidRDefault="00EB481C">
            <w:pPr>
              <w:pStyle w:val="P68B1DB1-Normal46"/>
              <w:spacing w:after="0" w:line="240" w:lineRule="auto"/>
              <w:rPr>
                <w:rFonts w:eastAsia="Times New Roman" w:cs="Times New Roman"/>
                <w:noProof/>
              </w:rPr>
            </w:pPr>
            <w:r>
              <w:rPr>
                <w:noProof/>
              </w:rPr>
              <w:t>Jobb víz- és szennyvízkezelési infrastruktúrák</w:t>
            </w:r>
          </w:p>
        </w:tc>
      </w:tr>
      <w:tr w:rsidR="003E1D81" w14:paraId="30CAA2A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5EA731E" w14:textId="77777777" w:rsidR="003E1D81" w:rsidRDefault="00EB481C">
            <w:pPr>
              <w:pStyle w:val="P68B1DB1-Normal46"/>
              <w:spacing w:after="0" w:line="240" w:lineRule="auto"/>
              <w:jc w:val="center"/>
              <w:rPr>
                <w:rFonts w:eastAsia="Times New Roman" w:cs="Times New Roman"/>
                <w:noProof/>
              </w:rPr>
            </w:pPr>
            <w:r>
              <w:rPr>
                <w:noProof/>
              </w:rPr>
              <w:t>428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E4F140C" w14:textId="77777777" w:rsidR="003E1D81" w:rsidRDefault="00EB481C">
            <w:pPr>
              <w:pStyle w:val="P68B1DB1-Normal46"/>
              <w:spacing w:after="0" w:line="240" w:lineRule="auto"/>
              <w:rPr>
                <w:rFonts w:eastAsia="Times New Roman" w:cs="Times New Roman"/>
                <w:noProof/>
              </w:rPr>
            </w:pPr>
            <w:r>
              <w:rPr>
                <w:noProof/>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C0FB82"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87D7A53" w14:textId="77777777" w:rsidR="003E1D81" w:rsidRDefault="00EB481C">
            <w:pPr>
              <w:pStyle w:val="P68B1DB1-Normal46"/>
              <w:spacing w:after="0" w:line="240" w:lineRule="auto"/>
              <w:rPr>
                <w:rFonts w:eastAsia="Times New Roman" w:cs="Times New Roman"/>
                <w:noProof/>
              </w:rPr>
            </w:pPr>
            <w:r>
              <w:rPr>
                <w:noProof/>
              </w:rPr>
              <w:t xml:space="preserve">Jobb víz- és szennyvízkezelési infrastruktúrák </w:t>
            </w:r>
          </w:p>
        </w:tc>
      </w:tr>
      <w:tr w:rsidR="003E1D81" w14:paraId="03AE29D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CF056F" w14:textId="77777777" w:rsidR="003E1D81" w:rsidRDefault="00EB481C">
            <w:pPr>
              <w:pStyle w:val="P68B1DB1-Normal46"/>
              <w:spacing w:after="0" w:line="240" w:lineRule="auto"/>
              <w:jc w:val="center"/>
              <w:rPr>
                <w:rFonts w:eastAsia="Times New Roman" w:cs="Times New Roman"/>
                <w:noProof/>
              </w:rPr>
            </w:pPr>
            <w:r>
              <w:rPr>
                <w:noProof/>
              </w:rPr>
              <w:t>429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105D92" w14:textId="77777777" w:rsidR="003E1D81" w:rsidRDefault="00EB481C">
            <w:pPr>
              <w:pStyle w:val="P68B1DB1-Normal46"/>
              <w:spacing w:after="0" w:line="240" w:lineRule="auto"/>
              <w:rPr>
                <w:rFonts w:eastAsia="Times New Roman" w:cs="Times New Roman"/>
                <w:noProof/>
              </w:rPr>
            </w:pPr>
            <w:r>
              <w:rPr>
                <w:noProof/>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E2999C"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72BBAE9" w14:textId="77777777" w:rsidR="003E1D81" w:rsidRDefault="00EB481C">
            <w:pPr>
              <w:pStyle w:val="P68B1DB1-Normal46"/>
              <w:spacing w:after="0" w:line="240" w:lineRule="auto"/>
              <w:rPr>
                <w:rFonts w:eastAsia="Times New Roman" w:cs="Times New Roman"/>
                <w:noProof/>
              </w:rPr>
            </w:pPr>
            <w:r>
              <w:rPr>
                <w:noProof/>
              </w:rPr>
              <w:t>A sótalanító üzemek fotovoltaikus energiával való ellátása és elosztása</w:t>
            </w:r>
          </w:p>
        </w:tc>
      </w:tr>
      <w:tr w:rsidR="003E1D81" w14:paraId="0379519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8771CC" w14:textId="77777777" w:rsidR="003E1D81" w:rsidRDefault="00EB481C">
            <w:pPr>
              <w:pStyle w:val="P68B1DB1-Normal46"/>
              <w:spacing w:after="0" w:line="240" w:lineRule="auto"/>
              <w:jc w:val="center"/>
              <w:rPr>
                <w:rFonts w:eastAsia="Times New Roman" w:cs="Times New Roman"/>
                <w:noProof/>
              </w:rPr>
            </w:pPr>
            <w:r>
              <w:rPr>
                <w:noProof/>
              </w:rPr>
              <w:t>430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6257966" w14:textId="77777777" w:rsidR="003E1D81" w:rsidRDefault="00EB481C">
            <w:pPr>
              <w:pStyle w:val="P68B1DB1-Normal46"/>
              <w:spacing w:after="0" w:line="240" w:lineRule="auto"/>
              <w:rPr>
                <w:rFonts w:eastAsia="Times New Roman" w:cs="Times New Roman"/>
                <w:noProof/>
              </w:rPr>
            </w:pPr>
            <w:r>
              <w:rPr>
                <w:noProof/>
              </w:rPr>
              <w:t>C5.I3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AF132D"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57F6604" w14:textId="77777777" w:rsidR="003E1D81" w:rsidRDefault="00EB481C">
            <w:pPr>
              <w:pStyle w:val="P68B1DB1-Normal46"/>
              <w:spacing w:after="0" w:line="240" w:lineRule="auto"/>
              <w:rPr>
                <w:rFonts w:eastAsia="Times New Roman" w:cs="Times New Roman"/>
                <w:noProof/>
              </w:rPr>
            </w:pPr>
            <w:r>
              <w:rPr>
                <w:noProof/>
              </w:rPr>
              <w:t xml:space="preserve">A vízfelhasználók digitalizálására irányuló </w:t>
            </w:r>
            <w:r>
              <w:rPr>
                <w:noProof/>
              </w:rPr>
              <w:t>PERTE-intézkedések</w:t>
            </w:r>
          </w:p>
        </w:tc>
      </w:tr>
      <w:tr w:rsidR="003E1D81" w14:paraId="1551400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3ADE4C" w14:textId="77777777" w:rsidR="003E1D81" w:rsidRDefault="00EB481C">
            <w:pPr>
              <w:pStyle w:val="P68B1DB1-Normal46"/>
              <w:spacing w:after="0" w:line="240" w:lineRule="auto"/>
              <w:jc w:val="center"/>
              <w:rPr>
                <w:rFonts w:eastAsia="Times New Roman" w:cs="Times New Roman"/>
                <w:noProof/>
              </w:rPr>
            </w:pPr>
            <w:r>
              <w:rPr>
                <w:noProof/>
              </w:rPr>
              <w:t>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6EF368" w14:textId="77777777" w:rsidR="003E1D81" w:rsidRDefault="00EB481C">
            <w:pPr>
              <w:pStyle w:val="P68B1DB1-Normal46"/>
              <w:spacing w:after="0" w:line="240" w:lineRule="auto"/>
              <w:rPr>
                <w:rFonts w:eastAsia="Times New Roman" w:cs="Times New Roman"/>
                <w:noProof/>
              </w:rPr>
            </w:pPr>
            <w:r>
              <w:rPr>
                <w:noProof/>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7CC8E7"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23423E1" w14:textId="77777777" w:rsidR="003E1D81" w:rsidRDefault="00EB481C">
            <w:pPr>
              <w:pStyle w:val="P68B1DB1-Normal46"/>
              <w:spacing w:after="0" w:line="240" w:lineRule="auto"/>
              <w:rPr>
                <w:rFonts w:eastAsia="Times New Roman" w:cs="Times New Roman"/>
                <w:noProof/>
              </w:rPr>
            </w:pPr>
            <w:r>
              <w:rPr>
                <w:noProof/>
              </w:rPr>
              <w:t xml:space="preserve">TEN-T törzshálózat: a munkálatok befejezése </w:t>
            </w:r>
          </w:p>
        </w:tc>
      </w:tr>
      <w:tr w:rsidR="003E1D81" w14:paraId="75F70A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12762E" w14:textId="77777777" w:rsidR="003E1D81" w:rsidRDefault="00EB481C">
            <w:pPr>
              <w:pStyle w:val="P68B1DB1-Normal46"/>
              <w:spacing w:after="0" w:line="240" w:lineRule="auto"/>
              <w:jc w:val="center"/>
              <w:rPr>
                <w:rFonts w:eastAsia="Times New Roman" w:cs="Times New Roman"/>
                <w:noProof/>
              </w:rPr>
            </w:pPr>
            <w:r>
              <w:rPr>
                <w:noProof/>
              </w:rPr>
              <w:t>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CA58C" w14:textId="77777777" w:rsidR="003E1D81" w:rsidRDefault="00EB481C">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778F61"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4C43377" w14:textId="77777777" w:rsidR="003E1D81" w:rsidRDefault="00EB481C">
            <w:pPr>
              <w:pStyle w:val="P68B1DB1-Normal46"/>
              <w:spacing w:after="0" w:line="240" w:lineRule="auto"/>
              <w:rPr>
                <w:rFonts w:eastAsia="Times New Roman" w:cs="Times New Roman"/>
                <w:noProof/>
              </w:rPr>
            </w:pPr>
            <w:r>
              <w:rPr>
                <w:noProof/>
              </w:rPr>
              <w:t xml:space="preserve">Új vagy korszerűsített TEN-T hálózat, egyéb munkálatok </w:t>
            </w:r>
          </w:p>
        </w:tc>
      </w:tr>
      <w:tr w:rsidR="003E1D81" w14:paraId="352D39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61CD18" w14:textId="77777777" w:rsidR="003E1D81" w:rsidRDefault="00EB481C">
            <w:pPr>
              <w:pStyle w:val="P68B1DB1-Normal46"/>
              <w:spacing w:after="0" w:line="240" w:lineRule="auto"/>
              <w:jc w:val="center"/>
              <w:rPr>
                <w:rFonts w:eastAsia="Times New Roman" w:cs="Times New Roman"/>
                <w:noProof/>
              </w:rPr>
            </w:pPr>
            <w:r>
              <w:rPr>
                <w:noProof/>
              </w:rPr>
              <w:t>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05CC63" w14:textId="77777777" w:rsidR="003E1D81" w:rsidRDefault="00EB481C">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7ED46C"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1A800A2" w14:textId="77777777" w:rsidR="003E1D81" w:rsidRDefault="00EB481C">
            <w:pPr>
              <w:pStyle w:val="P68B1DB1-Normal46"/>
              <w:spacing w:after="0" w:line="240" w:lineRule="auto"/>
              <w:rPr>
                <w:rFonts w:eastAsia="Times New Roman" w:cs="Times New Roman"/>
                <w:noProof/>
              </w:rPr>
            </w:pPr>
            <w:r>
              <w:rPr>
                <w:noProof/>
              </w:rPr>
              <w:t>Egységes európai égbolt: a projekt lezárása</w:t>
            </w:r>
          </w:p>
        </w:tc>
      </w:tr>
      <w:tr w:rsidR="003E1D81" w14:paraId="4F4625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F22DF2" w14:textId="77777777" w:rsidR="003E1D81" w:rsidRDefault="00EB481C">
            <w:pPr>
              <w:pStyle w:val="P68B1DB1-Normal46"/>
              <w:spacing w:after="0" w:line="240" w:lineRule="auto"/>
              <w:jc w:val="center"/>
              <w:rPr>
                <w:rFonts w:eastAsia="Times New Roman" w:cs="Times New Roman"/>
                <w:noProof/>
              </w:rPr>
            </w:pPr>
            <w:r>
              <w:rPr>
                <w:noProof/>
              </w:rPr>
              <w:t>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D95350" w14:textId="77777777" w:rsidR="003E1D81" w:rsidRDefault="00EB481C">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F5DF8F6"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324A121" w14:textId="77777777" w:rsidR="003E1D81" w:rsidRDefault="00EB481C">
            <w:pPr>
              <w:pStyle w:val="P68B1DB1-Normal46"/>
              <w:spacing w:after="0" w:line="240" w:lineRule="auto"/>
              <w:rPr>
                <w:rFonts w:eastAsia="Times New Roman" w:cs="Times New Roman"/>
                <w:noProof/>
              </w:rPr>
            </w:pPr>
            <w:r>
              <w:rPr>
                <w:noProof/>
              </w:rPr>
              <w:t xml:space="preserve">A jelenlegi szabályozáshoz igazított állami közúthálózat </w:t>
            </w:r>
          </w:p>
        </w:tc>
      </w:tr>
      <w:tr w:rsidR="003E1D81" w14:paraId="3675B5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17FBBB" w14:textId="77777777" w:rsidR="003E1D81" w:rsidRDefault="00EB481C">
            <w:pPr>
              <w:pStyle w:val="P68B1DB1-Normal46"/>
              <w:spacing w:after="0" w:line="240" w:lineRule="auto"/>
              <w:jc w:val="center"/>
              <w:rPr>
                <w:rFonts w:eastAsia="Times New Roman" w:cs="Times New Roman"/>
                <w:noProof/>
              </w:rPr>
            </w:pPr>
            <w:r>
              <w:rPr>
                <w:noProof/>
              </w:rPr>
              <w:t>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02102F0" w14:textId="77777777" w:rsidR="003E1D81" w:rsidRDefault="00EB481C">
            <w:pPr>
              <w:pStyle w:val="P68B1DB1-Normal46"/>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7A6809"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BF5F99C" w14:textId="77777777" w:rsidR="003E1D81" w:rsidRDefault="00EB481C">
            <w:pPr>
              <w:pStyle w:val="P68B1DB1-Normal46"/>
              <w:spacing w:after="0" w:line="240" w:lineRule="auto"/>
              <w:rPr>
                <w:rFonts w:eastAsia="Times New Roman" w:cs="Times New Roman"/>
                <w:noProof/>
              </w:rPr>
            </w:pPr>
            <w:r>
              <w:rPr>
                <w:noProof/>
              </w:rPr>
              <w:t xml:space="preserve">Intermodális és logisztikai infrastruktúra  </w:t>
            </w:r>
          </w:p>
        </w:tc>
      </w:tr>
      <w:tr w:rsidR="003E1D81" w14:paraId="1ACC4A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BE1C0B" w14:textId="77777777" w:rsidR="003E1D81" w:rsidRDefault="00EB481C">
            <w:pPr>
              <w:pStyle w:val="P68B1DB1-Normal46"/>
              <w:spacing w:after="0" w:line="240" w:lineRule="auto"/>
              <w:jc w:val="center"/>
              <w:rPr>
                <w:rFonts w:eastAsia="Times New Roman" w:cs="Times New Roman"/>
                <w:noProof/>
              </w:rPr>
            </w:pPr>
            <w:r>
              <w:rPr>
                <w:noProof/>
              </w:rPr>
              <w:t>98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6BF18" w14:textId="77777777" w:rsidR="003E1D81" w:rsidRDefault="00EB481C">
            <w:pPr>
              <w:pStyle w:val="P68B1DB1-Normal46"/>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1DC12E"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8C3CB" w14:textId="77777777" w:rsidR="003E1D81" w:rsidRDefault="00EB481C">
            <w:pPr>
              <w:pStyle w:val="P68B1DB1-Normal46"/>
              <w:spacing w:after="0" w:line="240" w:lineRule="auto"/>
              <w:rPr>
                <w:rFonts w:eastAsia="Times New Roman" w:cs="Times New Roman"/>
                <w:noProof/>
              </w:rPr>
            </w:pPr>
            <w:r>
              <w:rPr>
                <w:noProof/>
              </w:rPr>
              <w:t xml:space="preserve">Vasúti akadálymentesítési és fenntarthatósági projektek lezárása a kikötőkben </w:t>
            </w:r>
          </w:p>
        </w:tc>
      </w:tr>
      <w:tr w:rsidR="003E1D81" w14:paraId="62C2EF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61E851" w14:textId="77777777" w:rsidR="003E1D81" w:rsidRDefault="00EB481C">
            <w:pPr>
              <w:pStyle w:val="P68B1DB1-Normal46"/>
              <w:spacing w:after="0" w:line="240" w:lineRule="auto"/>
              <w:jc w:val="center"/>
              <w:rPr>
                <w:rFonts w:eastAsia="Times New Roman" w:cs="Times New Roman"/>
                <w:noProof/>
              </w:rPr>
            </w:pPr>
            <w:r>
              <w:rPr>
                <w:noProof/>
              </w:rPr>
              <w:t>101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1A3CF4" w14:textId="77777777" w:rsidR="003E1D81" w:rsidRDefault="00EB481C">
            <w:pPr>
              <w:pStyle w:val="P68B1DB1-Normal46"/>
              <w:spacing w:after="0" w:line="240" w:lineRule="auto"/>
              <w:rPr>
                <w:rFonts w:eastAsia="Times New Roman" w:cs="Times New Roman"/>
                <w:noProof/>
              </w:rPr>
            </w:pPr>
            <w:r>
              <w:rPr>
                <w:noProof/>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EA101BB"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CC3967" w14:textId="77777777" w:rsidR="003E1D81" w:rsidRDefault="00EB481C">
            <w:pPr>
              <w:pStyle w:val="P68B1DB1-Normal46"/>
              <w:spacing w:after="0" w:line="240" w:lineRule="auto"/>
              <w:rPr>
                <w:rFonts w:eastAsia="Times New Roman" w:cs="Times New Roman"/>
                <w:noProof/>
              </w:rPr>
            </w:pPr>
            <w:r>
              <w:rPr>
                <w:noProof/>
              </w:rPr>
              <w:t>Fenntartható és digitális közlekedés:</w:t>
            </w:r>
            <w:r>
              <w:rPr>
                <w:noProof/>
              </w:rPr>
              <w:t xml:space="preserve"> a munkálatok befejezése</w:t>
            </w:r>
          </w:p>
        </w:tc>
      </w:tr>
      <w:tr w:rsidR="003E1D81" w14:paraId="00A47A8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67D541" w14:textId="77777777" w:rsidR="003E1D81" w:rsidRDefault="00EB481C">
            <w:pPr>
              <w:pStyle w:val="P68B1DB1-Normal46"/>
              <w:spacing w:after="0" w:line="240" w:lineRule="auto"/>
              <w:jc w:val="center"/>
              <w:rPr>
                <w:rFonts w:eastAsia="Times New Roman" w:cs="Times New Roman"/>
                <w:noProof/>
              </w:rPr>
            </w:pPr>
            <w:r>
              <w:rPr>
                <w:noProof/>
              </w:rPr>
              <w:t>117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6D0259" w14:textId="77777777" w:rsidR="003E1D81" w:rsidRDefault="00EB481C">
            <w:pPr>
              <w:pStyle w:val="P68B1DB1-Normal46"/>
              <w:spacing w:after="0" w:line="240" w:lineRule="auto"/>
              <w:rPr>
                <w:rFonts w:eastAsia="Times New Roman" w:cs="Times New Roman"/>
                <w:noProof/>
              </w:rPr>
            </w:pPr>
            <w:r>
              <w:rPr>
                <w:noProof/>
              </w:rPr>
              <w:t>C7.I1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FFBAD1"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EAEBD64" w14:textId="77777777" w:rsidR="003E1D81" w:rsidRDefault="00EB481C">
            <w:pPr>
              <w:pStyle w:val="P68B1DB1-Normal46"/>
              <w:spacing w:after="0" w:line="240" w:lineRule="auto"/>
              <w:rPr>
                <w:rFonts w:eastAsia="Times New Roman" w:cs="Times New Roman"/>
                <w:noProof/>
              </w:rPr>
            </w:pPr>
            <w:r>
              <w:rPr>
                <w:noProof/>
              </w:rPr>
              <w:t>Az innovatív vagy hozzáadott értéket képviselő megújuló energia további termelési kapacitása</w:t>
            </w:r>
          </w:p>
        </w:tc>
      </w:tr>
      <w:tr w:rsidR="003E1D81" w14:paraId="7C9458E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D2E50" w14:textId="77777777" w:rsidR="003E1D81" w:rsidRDefault="00EB481C">
            <w:pPr>
              <w:pStyle w:val="P68B1DB1-Normal46"/>
              <w:spacing w:after="0" w:line="240" w:lineRule="auto"/>
              <w:jc w:val="center"/>
              <w:rPr>
                <w:rFonts w:eastAsia="Times New Roman" w:cs="Times New Roman"/>
                <w:noProof/>
              </w:rPr>
            </w:pPr>
            <w:r>
              <w:rPr>
                <w:noProof/>
              </w:rPr>
              <w:t>120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E67F6A" w14:textId="77777777" w:rsidR="003E1D81" w:rsidRDefault="00EB481C">
            <w:pPr>
              <w:pStyle w:val="P68B1DB1-Normal46"/>
              <w:spacing w:after="0" w:line="240" w:lineRule="auto"/>
              <w:rPr>
                <w:rFonts w:eastAsia="Times New Roman" w:cs="Times New Roman"/>
                <w:noProof/>
              </w:rPr>
            </w:pPr>
            <w:r>
              <w:rPr>
                <w:noProof/>
              </w:rPr>
              <w:t>C7.I2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B2EE55"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F6E1124" w14:textId="77777777" w:rsidR="003E1D81" w:rsidRDefault="00EB481C">
            <w:pPr>
              <w:pStyle w:val="P68B1DB1-Normal46"/>
              <w:spacing w:after="0" w:line="240" w:lineRule="auto"/>
              <w:rPr>
                <w:rFonts w:eastAsia="Times New Roman" w:cs="Times New Roman"/>
                <w:noProof/>
              </w:rPr>
            </w:pPr>
            <w:r>
              <w:rPr>
                <w:noProof/>
              </w:rPr>
              <w:t>További megújulóenergia-termelési kapacitás a szigeteken</w:t>
            </w:r>
          </w:p>
        </w:tc>
      </w:tr>
      <w:tr w:rsidR="003E1D81" w14:paraId="614DCF1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22C8E4" w14:textId="77777777" w:rsidR="003E1D81" w:rsidRDefault="00EB481C">
            <w:pPr>
              <w:pStyle w:val="P68B1DB1-Normal46"/>
              <w:spacing w:after="0" w:line="240" w:lineRule="auto"/>
              <w:jc w:val="center"/>
              <w:rPr>
                <w:rFonts w:eastAsia="Times New Roman" w:cs="Times New Roman"/>
                <w:noProof/>
              </w:rPr>
            </w:pPr>
            <w:r>
              <w:rPr>
                <w:noProof/>
              </w:rPr>
              <w:t>126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81B728" w14:textId="77777777" w:rsidR="003E1D81" w:rsidRDefault="00EB481C">
            <w:pPr>
              <w:pStyle w:val="P68B1DB1-Normal46"/>
              <w:spacing w:after="0" w:line="240" w:lineRule="auto"/>
              <w:rPr>
                <w:rFonts w:eastAsia="Times New Roman" w:cs="Times New Roman"/>
                <w:noProof/>
              </w:rPr>
            </w:pPr>
            <w:r>
              <w:rPr>
                <w:noProof/>
              </w:rPr>
              <w:t>C8.I1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5C5BAF"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43646FA" w14:textId="77777777" w:rsidR="003E1D81" w:rsidRDefault="00EB481C">
            <w:pPr>
              <w:pStyle w:val="P68B1DB1-Normal46"/>
              <w:spacing w:after="0" w:line="240" w:lineRule="auto"/>
              <w:rPr>
                <w:rFonts w:eastAsia="Times New Roman" w:cs="Times New Roman"/>
                <w:noProof/>
              </w:rPr>
            </w:pPr>
            <w:r>
              <w:rPr>
                <w:noProof/>
              </w:rPr>
              <w:t xml:space="preserve">Innovatív tárolási projektek működőképesek </w:t>
            </w:r>
          </w:p>
        </w:tc>
      </w:tr>
      <w:tr w:rsidR="003E1D81" w14:paraId="08AD8C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10DAEE6" w14:textId="77777777" w:rsidR="003E1D81" w:rsidRDefault="00EB481C">
            <w:pPr>
              <w:pStyle w:val="P68B1DB1-Normal46"/>
              <w:spacing w:after="0" w:line="240" w:lineRule="auto"/>
              <w:jc w:val="center"/>
              <w:rPr>
                <w:rFonts w:eastAsia="Times New Roman" w:cs="Times New Roman"/>
                <w:noProof/>
              </w:rPr>
            </w:pPr>
            <w:r>
              <w:rPr>
                <w:noProof/>
              </w:rPr>
              <w:t>136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FB5A5E" w14:textId="77777777" w:rsidR="003E1D81" w:rsidRDefault="00EB481C">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C66D17"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C53DF63" w14:textId="77777777" w:rsidR="003E1D81" w:rsidRDefault="00EB481C">
            <w:pPr>
              <w:pStyle w:val="P68B1DB1-Normal46"/>
              <w:spacing w:after="0" w:line="240" w:lineRule="auto"/>
              <w:rPr>
                <w:rFonts w:eastAsia="Times New Roman" w:cs="Times New Roman"/>
                <w:noProof/>
              </w:rPr>
            </w:pPr>
            <w:r>
              <w:rPr>
                <w:noProof/>
              </w:rPr>
              <w:t>Engedélyezett elektrolizátor-kapacitás</w:t>
            </w:r>
          </w:p>
        </w:tc>
      </w:tr>
      <w:tr w:rsidR="003E1D81" w14:paraId="315D870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02DBF3" w14:textId="77777777" w:rsidR="003E1D81" w:rsidRDefault="00EB481C">
            <w:pPr>
              <w:pStyle w:val="P68B1DB1-Normal46"/>
              <w:spacing w:after="0" w:line="240" w:lineRule="auto"/>
              <w:jc w:val="center"/>
              <w:rPr>
                <w:rFonts w:eastAsia="Times New Roman" w:cs="Times New Roman"/>
                <w:noProof/>
              </w:rPr>
            </w:pPr>
            <w:r>
              <w:rPr>
                <w:noProof/>
              </w:rPr>
              <w:t>143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BCB9F0" w14:textId="77777777" w:rsidR="003E1D81" w:rsidRDefault="00EB481C">
            <w:pPr>
              <w:pStyle w:val="P68B1DB1-Normal46"/>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362306"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FEA7A2B" w14:textId="77777777" w:rsidR="003E1D81" w:rsidRDefault="00EB481C">
            <w:pPr>
              <w:pStyle w:val="P68B1DB1-Normal46"/>
              <w:spacing w:after="0" w:line="240" w:lineRule="auto"/>
              <w:rPr>
                <w:rFonts w:eastAsia="Times New Roman" w:cs="Times New Roman"/>
                <w:noProof/>
              </w:rPr>
            </w:pPr>
            <w:r>
              <w:rPr>
                <w:noProof/>
              </w:rPr>
              <w:t>Bezárt szénbányákban vagy erőművekkel szomszédos területeken lévő rehabilitációs területek.</w:t>
            </w:r>
          </w:p>
        </w:tc>
      </w:tr>
      <w:tr w:rsidR="003E1D81" w14:paraId="19FA120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131035" w14:textId="77777777" w:rsidR="003E1D81" w:rsidRDefault="00EB481C">
            <w:pPr>
              <w:pStyle w:val="P68B1DB1-Normal46"/>
              <w:spacing w:after="0" w:line="240" w:lineRule="auto"/>
              <w:jc w:val="center"/>
              <w:rPr>
                <w:rFonts w:eastAsia="Times New Roman" w:cs="Times New Roman"/>
                <w:noProof/>
              </w:rPr>
            </w:pPr>
            <w:r>
              <w:rPr>
                <w:noProof/>
              </w:rPr>
              <w:t>169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619F37" w14:textId="77777777" w:rsidR="003E1D81" w:rsidRDefault="00EB481C">
            <w:pPr>
              <w:pStyle w:val="P68B1DB1-Normal46"/>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25D26D"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4068A72" w14:textId="77777777" w:rsidR="003E1D81" w:rsidRDefault="00EB481C">
            <w:pPr>
              <w:pStyle w:val="P68B1DB1-Normal46"/>
              <w:spacing w:after="0" w:line="240" w:lineRule="auto"/>
              <w:rPr>
                <w:rFonts w:eastAsia="Times New Roman" w:cs="Times New Roman"/>
                <w:noProof/>
              </w:rPr>
            </w:pPr>
            <w:r>
              <w:rPr>
                <w:noProof/>
              </w:rPr>
              <w:t xml:space="preserve">A regionális és helyi közigazgatások, </w:t>
            </w:r>
            <w:r>
              <w:rPr>
                <w:noProof/>
              </w:rPr>
              <w:t>valamint a Területpolitikai és Közigazgatási Minisztérium digitális átalakulását támogató valamennyi projekt lezárása</w:t>
            </w:r>
          </w:p>
        </w:tc>
      </w:tr>
      <w:tr w:rsidR="003E1D81" w14:paraId="1DB6473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917AFE" w14:textId="77777777" w:rsidR="003E1D81" w:rsidRDefault="00EB481C">
            <w:pPr>
              <w:pStyle w:val="P68B1DB1-Normal46"/>
              <w:spacing w:after="0" w:line="240" w:lineRule="auto"/>
              <w:jc w:val="center"/>
              <w:rPr>
                <w:rFonts w:eastAsia="Times New Roman" w:cs="Times New Roman"/>
                <w:noProof/>
              </w:rPr>
            </w:pPr>
            <w:r>
              <w:rPr>
                <w:noProof/>
              </w:rPr>
              <w:t>438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2838D1" w14:textId="77777777" w:rsidR="003E1D81" w:rsidRDefault="00EB481C">
            <w:pPr>
              <w:pStyle w:val="P68B1DB1-Normal46"/>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87BE6"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555F575" w14:textId="77777777" w:rsidR="003E1D81" w:rsidRDefault="00EB481C">
            <w:pPr>
              <w:pStyle w:val="P68B1DB1-Normal46"/>
              <w:spacing w:after="0" w:line="240" w:lineRule="auto"/>
              <w:rPr>
                <w:rFonts w:eastAsia="Times New Roman" w:cs="Times New Roman"/>
                <w:noProof/>
              </w:rPr>
            </w:pPr>
            <w:r>
              <w:rPr>
                <w:noProof/>
              </w:rPr>
              <w:t>A személyes digitális ápolási-gondozási terv végrehajtása</w:t>
            </w:r>
          </w:p>
        </w:tc>
      </w:tr>
      <w:tr w:rsidR="003E1D81" w14:paraId="7CBB5F5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D80923" w14:textId="77777777" w:rsidR="003E1D81" w:rsidRDefault="00EB481C">
            <w:pPr>
              <w:pStyle w:val="P68B1DB1-Normal46"/>
              <w:spacing w:after="0" w:line="240" w:lineRule="auto"/>
              <w:jc w:val="center"/>
              <w:rPr>
                <w:rFonts w:eastAsia="Times New Roman" w:cs="Times New Roman"/>
                <w:noProof/>
              </w:rPr>
            </w:pPr>
            <w:r>
              <w:rPr>
                <w:noProof/>
              </w:rPr>
              <w:t>172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E367F9" w14:textId="77777777" w:rsidR="003E1D81" w:rsidRDefault="00EB481C">
            <w:pPr>
              <w:pStyle w:val="P68B1DB1-Normal46"/>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18706F"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59E15E8" w14:textId="77777777" w:rsidR="003E1D81" w:rsidRDefault="00EB481C">
            <w:pPr>
              <w:pStyle w:val="P68B1DB1-Normal46"/>
              <w:spacing w:after="0" w:line="240" w:lineRule="auto"/>
              <w:rPr>
                <w:rFonts w:eastAsia="Times New Roman" w:cs="Times New Roman"/>
                <w:noProof/>
              </w:rPr>
            </w:pPr>
            <w:r>
              <w:rPr>
                <w:noProof/>
              </w:rPr>
              <w:t>Középületek energetikai felújítása (1 050 000 m²)</w:t>
            </w:r>
          </w:p>
        </w:tc>
      </w:tr>
      <w:tr w:rsidR="003E1D81" w14:paraId="3AEC4A3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456253" w14:textId="77777777" w:rsidR="003E1D81" w:rsidRDefault="00EB481C">
            <w:pPr>
              <w:pStyle w:val="P68B1DB1-Normal46"/>
              <w:spacing w:after="0" w:line="240" w:lineRule="auto"/>
              <w:jc w:val="center"/>
              <w:rPr>
                <w:rFonts w:eastAsia="Times New Roman" w:cs="Times New Roman"/>
                <w:noProof/>
              </w:rPr>
            </w:pPr>
            <w:r>
              <w:rPr>
                <w:noProof/>
              </w:rPr>
              <w:t>439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D9DC32" w14:textId="77777777" w:rsidR="003E1D81" w:rsidRDefault="00EB481C">
            <w:pPr>
              <w:pStyle w:val="P68B1DB1-Normal46"/>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E16666"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92210D3" w14:textId="77777777" w:rsidR="003E1D81" w:rsidRDefault="00EB481C">
            <w:pPr>
              <w:pStyle w:val="P68B1DB1-Normal46"/>
              <w:spacing w:after="0" w:line="240" w:lineRule="auto"/>
              <w:rPr>
                <w:rFonts w:eastAsia="Times New Roman" w:cs="Times New Roman"/>
                <w:noProof/>
              </w:rPr>
            </w:pPr>
            <w:r>
              <w:rPr>
                <w:noProof/>
              </w:rPr>
              <w:t>Fotovoltaikus napenergia-rendszerek vagy egyéb megújuló energiák bevezetése a központi kormányzat létesítményeiben</w:t>
            </w:r>
          </w:p>
        </w:tc>
      </w:tr>
      <w:tr w:rsidR="003E1D81" w14:paraId="342E7C5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E7F879" w14:textId="77777777" w:rsidR="003E1D81" w:rsidRDefault="00EB481C">
            <w:pPr>
              <w:pStyle w:val="P68B1DB1-Normal46"/>
              <w:spacing w:after="0" w:line="240" w:lineRule="auto"/>
              <w:jc w:val="center"/>
              <w:rPr>
                <w:rFonts w:eastAsia="Times New Roman" w:cs="Times New Roman"/>
                <w:noProof/>
              </w:rPr>
            </w:pPr>
            <w:r>
              <w:rPr>
                <w:noProof/>
              </w:rPr>
              <w:t>175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340149" w14:textId="77777777" w:rsidR="003E1D81" w:rsidRDefault="00EB481C">
            <w:pPr>
              <w:pStyle w:val="P68B1DB1-Normal46"/>
              <w:spacing w:after="0" w:line="240" w:lineRule="auto"/>
              <w:rPr>
                <w:rFonts w:eastAsia="Times New Roman" w:cs="Times New Roman"/>
                <w:noProof/>
              </w:rPr>
            </w:pPr>
            <w:r>
              <w:rPr>
                <w:noProof/>
              </w:rPr>
              <w:t>C11.I5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224ABA"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3998921" w14:textId="77777777" w:rsidR="003E1D81" w:rsidRDefault="00EB481C">
            <w:pPr>
              <w:pStyle w:val="P68B1DB1-Normal46"/>
              <w:spacing w:after="0" w:line="240" w:lineRule="auto"/>
              <w:rPr>
                <w:rFonts w:eastAsia="Times New Roman" w:cs="Times New Roman"/>
                <w:noProof/>
              </w:rPr>
            </w:pPr>
            <w:r>
              <w:rPr>
                <w:noProof/>
              </w:rPr>
              <w:t xml:space="preserve">A közigazgatás képzett személyzete </w:t>
            </w:r>
          </w:p>
        </w:tc>
      </w:tr>
      <w:tr w:rsidR="003E1D81" w14:paraId="6DDE5F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6629FE" w14:textId="77777777" w:rsidR="003E1D81" w:rsidRDefault="00EB481C">
            <w:pPr>
              <w:pStyle w:val="P68B1DB1-Normal46"/>
              <w:spacing w:after="0" w:line="240" w:lineRule="auto"/>
              <w:jc w:val="center"/>
              <w:rPr>
                <w:rFonts w:eastAsia="Times New Roman" w:cs="Times New Roman"/>
                <w:noProof/>
              </w:rPr>
            </w:pPr>
            <w:r>
              <w:rPr>
                <w:noProof/>
              </w:rPr>
              <w:t>180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65DB2D" w14:textId="77777777" w:rsidR="003E1D81" w:rsidRDefault="00EB481C">
            <w:pPr>
              <w:pStyle w:val="P68B1DB1-Normal46"/>
              <w:spacing w:after="0" w:line="240" w:lineRule="auto"/>
              <w:rPr>
                <w:rFonts w:eastAsia="Times New Roman" w:cs="Times New Roman"/>
                <w:noProof/>
              </w:rPr>
            </w:pPr>
            <w:r>
              <w:rPr>
                <w:noProof/>
              </w:rPr>
              <w:t>C12.I1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962864"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9982C0A" w14:textId="77777777" w:rsidR="003E1D81" w:rsidRDefault="00EB481C">
            <w:pPr>
              <w:pStyle w:val="P68B1DB1-Normal46"/>
              <w:spacing w:after="0" w:line="240" w:lineRule="auto"/>
              <w:rPr>
                <w:rFonts w:eastAsia="Times New Roman" w:cs="Times New Roman"/>
                <w:noProof/>
              </w:rPr>
            </w:pPr>
            <w:r>
              <w:rPr>
                <w:noProof/>
              </w:rPr>
              <w:t>Nagy értékű ágazati és interoperábilis adatterek</w:t>
            </w:r>
          </w:p>
        </w:tc>
      </w:tr>
      <w:tr w:rsidR="003E1D81" w14:paraId="3354031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0E82C9" w14:textId="77777777" w:rsidR="003E1D81" w:rsidRDefault="00EB481C">
            <w:pPr>
              <w:pStyle w:val="P68B1DB1-Normal46"/>
              <w:spacing w:after="0" w:line="240" w:lineRule="auto"/>
              <w:jc w:val="center"/>
              <w:rPr>
                <w:rFonts w:eastAsia="Times New Roman" w:cs="Times New Roman"/>
                <w:noProof/>
              </w:rPr>
            </w:pPr>
            <w:r>
              <w:rPr>
                <w:noProof/>
              </w:rPr>
              <w:t>186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2BC12CA" w14:textId="77777777" w:rsidR="003E1D81" w:rsidRDefault="00EB481C">
            <w:pPr>
              <w:pStyle w:val="P68B1DB1-Normal46"/>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29AAF3"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D8FDE68" w14:textId="77777777" w:rsidR="003E1D81" w:rsidRDefault="00EB481C">
            <w:pPr>
              <w:pStyle w:val="P68B1DB1-Normal46"/>
              <w:spacing w:after="0" w:line="240" w:lineRule="auto"/>
              <w:rPr>
                <w:rFonts w:eastAsia="Times New Roman" w:cs="Times New Roman"/>
                <w:noProof/>
              </w:rPr>
            </w:pPr>
            <w:r>
              <w:rPr>
                <w:noProof/>
              </w:rPr>
              <w:t>Az ipar átalakítására irányuló PERTE- és innovatív projektek lezárása</w:t>
            </w:r>
          </w:p>
        </w:tc>
      </w:tr>
      <w:tr w:rsidR="003E1D81" w14:paraId="587C2F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084661" w14:textId="77777777" w:rsidR="003E1D81" w:rsidRDefault="00EB481C">
            <w:pPr>
              <w:pStyle w:val="P68B1DB1-Normal46"/>
              <w:spacing w:after="0" w:line="240" w:lineRule="auto"/>
              <w:jc w:val="center"/>
              <w:rPr>
                <w:rFonts w:eastAsia="Times New Roman" w:cs="Times New Roman"/>
                <w:noProof/>
              </w:rPr>
            </w:pPr>
            <w:r>
              <w:rPr>
                <w:noProof/>
              </w:rPr>
              <w:t>188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D80BEB9" w14:textId="77777777" w:rsidR="003E1D81" w:rsidRDefault="00EB481C">
            <w:pPr>
              <w:pStyle w:val="P68B1DB1-Normal46"/>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217DA0"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2DD225D" w14:textId="77777777" w:rsidR="003E1D81" w:rsidRDefault="00EB481C">
            <w:pPr>
              <w:pStyle w:val="P68B1DB1-Normal46"/>
              <w:spacing w:after="0" w:line="240" w:lineRule="auto"/>
              <w:rPr>
                <w:rFonts w:eastAsia="Times New Roman" w:cs="Times New Roman"/>
                <w:noProof/>
              </w:rPr>
            </w:pPr>
            <w:r>
              <w:rPr>
                <w:noProof/>
              </w:rPr>
              <w:t>Az elkülönítetten gyűjtött települési hulladék növelése</w:t>
            </w:r>
          </w:p>
        </w:tc>
      </w:tr>
      <w:tr w:rsidR="003E1D81" w14:paraId="678335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2FEEA0" w14:textId="77777777" w:rsidR="003E1D81" w:rsidRDefault="00EB481C">
            <w:pPr>
              <w:pStyle w:val="P68B1DB1-Normal46"/>
              <w:spacing w:after="0" w:line="240" w:lineRule="auto"/>
              <w:jc w:val="center"/>
              <w:rPr>
                <w:rFonts w:eastAsia="Times New Roman" w:cs="Times New Roman"/>
                <w:noProof/>
              </w:rPr>
            </w:pPr>
            <w:r>
              <w:rPr>
                <w:noProof/>
              </w:rPr>
              <w:t>443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E22C71" w14:textId="77777777" w:rsidR="003E1D81" w:rsidRDefault="00EB481C">
            <w:pPr>
              <w:pStyle w:val="P68B1DB1-Normal46"/>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CFCD5B"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E0601E3" w14:textId="77777777" w:rsidR="003E1D81" w:rsidRDefault="00EB481C">
            <w:pPr>
              <w:pStyle w:val="P68B1DB1-Normal46"/>
              <w:spacing w:after="0" w:line="240" w:lineRule="auto"/>
              <w:rPr>
                <w:rFonts w:eastAsia="Times New Roman" w:cs="Times New Roman"/>
                <w:noProof/>
              </w:rPr>
            </w:pPr>
            <w:r>
              <w:rPr>
                <w:noProof/>
              </w:rPr>
              <w:t>A hulladékgazdálkodási projektek lezárása</w:t>
            </w:r>
          </w:p>
        </w:tc>
      </w:tr>
      <w:tr w:rsidR="003E1D81" w14:paraId="300F47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AC7AD6" w14:textId="77777777" w:rsidR="003E1D81" w:rsidRDefault="00EB481C">
            <w:pPr>
              <w:pStyle w:val="P68B1DB1-Normal46"/>
              <w:spacing w:after="0" w:line="240" w:lineRule="auto"/>
              <w:jc w:val="center"/>
              <w:rPr>
                <w:rFonts w:eastAsia="Times New Roman" w:cs="Times New Roman"/>
                <w:noProof/>
              </w:rPr>
            </w:pPr>
            <w:r>
              <w:rPr>
                <w:noProof/>
              </w:rPr>
              <w:t>445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F1436E" w14:textId="77777777" w:rsidR="003E1D81" w:rsidRDefault="00EB481C">
            <w:pPr>
              <w:pStyle w:val="P68B1DB1-Normal46"/>
              <w:spacing w:after="0" w:line="240" w:lineRule="auto"/>
              <w:rPr>
                <w:rFonts w:eastAsia="Times New Roman" w:cs="Times New Roman"/>
                <w:noProof/>
              </w:rPr>
            </w:pPr>
            <w:r>
              <w:rPr>
                <w:noProof/>
              </w:rPr>
              <w:t>C12.I4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B484B6"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8542B55" w14:textId="77777777" w:rsidR="003E1D81" w:rsidRDefault="00EB481C">
            <w:pPr>
              <w:pStyle w:val="P68B1DB1-Normal46"/>
              <w:spacing w:after="0" w:line="240" w:lineRule="auto"/>
              <w:rPr>
                <w:rFonts w:eastAsia="Times New Roman" w:cs="Times New Roman"/>
                <w:noProof/>
              </w:rPr>
            </w:pPr>
            <w:r>
              <w:rPr>
                <w:noProof/>
              </w:rPr>
              <w:t xml:space="preserve">PERTE CHIP. A félvezetők értékláncának megerősítése (II).   </w:t>
            </w:r>
          </w:p>
        </w:tc>
      </w:tr>
      <w:tr w:rsidR="003E1D81" w14:paraId="00397E4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3306FE" w14:textId="77777777" w:rsidR="003E1D81" w:rsidRDefault="00EB481C">
            <w:pPr>
              <w:pStyle w:val="P68B1DB1-Normal46"/>
              <w:spacing w:after="0" w:line="240" w:lineRule="auto"/>
              <w:jc w:val="center"/>
              <w:rPr>
                <w:rFonts w:eastAsia="Times New Roman" w:cs="Times New Roman"/>
                <w:noProof/>
              </w:rPr>
            </w:pPr>
            <w:r>
              <w:rPr>
                <w:noProof/>
              </w:rPr>
              <w:t>448c</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A0308B" w14:textId="77777777" w:rsidR="003E1D81" w:rsidRDefault="00EB481C">
            <w:pPr>
              <w:pStyle w:val="P68B1DB1-Normal46"/>
              <w:spacing w:after="0" w:line="240" w:lineRule="auto"/>
              <w:rPr>
                <w:rFonts w:eastAsia="Times New Roman" w:cs="Times New Roman"/>
                <w:noProof/>
              </w:rPr>
            </w:pPr>
            <w:r>
              <w:rPr>
                <w:noProof/>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972F80D"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A2BCFF" w14:textId="77777777" w:rsidR="003E1D81" w:rsidRDefault="00EB481C">
            <w:pPr>
              <w:pStyle w:val="P68B1DB1-Normal46"/>
              <w:spacing w:after="0" w:line="240" w:lineRule="auto"/>
              <w:rPr>
                <w:rFonts w:eastAsia="Times New Roman" w:cs="Times New Roman"/>
                <w:noProof/>
              </w:rPr>
            </w:pPr>
            <w:r>
              <w:rPr>
                <w:noProof/>
              </w:rPr>
              <w:t>Az elektromos járművek ágazatára vonatkozó támogatási program (támogatások): A végső kedvezményezettekkel aláírt jogi megállapodások vagy a végső odaítélési határozatok közzététele</w:t>
            </w:r>
          </w:p>
        </w:tc>
      </w:tr>
      <w:tr w:rsidR="003E1D81" w14:paraId="48438AC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ADEBAB" w14:textId="77777777" w:rsidR="003E1D81" w:rsidRDefault="00EB481C">
            <w:pPr>
              <w:pStyle w:val="P68B1DB1-Normal46"/>
              <w:spacing w:after="0" w:line="240" w:lineRule="auto"/>
              <w:jc w:val="center"/>
              <w:rPr>
                <w:rFonts w:eastAsia="Times New Roman" w:cs="Times New Roman"/>
                <w:noProof/>
              </w:rPr>
            </w:pPr>
            <w:r>
              <w:rPr>
                <w:noProof/>
              </w:rPr>
              <w:t>221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36C75C" w14:textId="77777777" w:rsidR="003E1D81" w:rsidRDefault="00EB481C">
            <w:pPr>
              <w:pStyle w:val="P68B1DB1-Normal46"/>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8AB3D1"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F2136E3" w14:textId="77777777" w:rsidR="003E1D81" w:rsidRDefault="00EB481C">
            <w:pPr>
              <w:pStyle w:val="P68B1DB1-Normal46"/>
              <w:spacing w:after="0" w:line="240" w:lineRule="auto"/>
              <w:rPr>
                <w:rFonts w:eastAsia="Times New Roman" w:cs="Times New Roman"/>
                <w:noProof/>
              </w:rPr>
            </w:pPr>
            <w:r>
              <w:rPr>
                <w:noProof/>
              </w:rPr>
              <w:t xml:space="preserve">A turisztikai célpontok fenntarthatóságát előmozdító projektek lezárása </w:t>
            </w:r>
          </w:p>
        </w:tc>
      </w:tr>
      <w:tr w:rsidR="003E1D81" w14:paraId="333BC22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2F550C" w14:textId="77777777" w:rsidR="003E1D81" w:rsidRDefault="00EB481C">
            <w:pPr>
              <w:pStyle w:val="P68B1DB1-Normal46"/>
              <w:spacing w:after="0" w:line="240" w:lineRule="auto"/>
              <w:jc w:val="center"/>
              <w:rPr>
                <w:rFonts w:eastAsia="Times New Roman" w:cs="Times New Roman"/>
                <w:noProof/>
              </w:rPr>
            </w:pPr>
            <w:r>
              <w:rPr>
                <w:noProof/>
              </w:rPr>
              <w:t>228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E9103" w14:textId="77777777" w:rsidR="003E1D81" w:rsidRDefault="00EB481C">
            <w:pPr>
              <w:pStyle w:val="P68B1DB1-Normal46"/>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6E1043"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728A98" w14:textId="77777777" w:rsidR="003E1D81" w:rsidRDefault="00EB481C">
            <w:pPr>
              <w:pStyle w:val="P68B1DB1-Normal46"/>
              <w:spacing w:after="0" w:line="240" w:lineRule="auto"/>
              <w:rPr>
                <w:rFonts w:eastAsia="Times New Roman" w:cs="Times New Roman"/>
                <w:noProof/>
              </w:rPr>
            </w:pPr>
            <w:r>
              <w:rPr>
                <w:noProof/>
              </w:rPr>
              <w:t>Történelmi örökségi helyszínek jelenlegi vagy jövőbeli turisztikai célú regenerálására irányuló projektek</w:t>
            </w:r>
          </w:p>
        </w:tc>
      </w:tr>
      <w:tr w:rsidR="003E1D81" w14:paraId="2D556B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9469AD" w14:textId="77777777" w:rsidR="003E1D81" w:rsidRDefault="00EB481C">
            <w:pPr>
              <w:pStyle w:val="P68B1DB1-Normal46"/>
              <w:spacing w:after="0" w:line="240" w:lineRule="auto"/>
              <w:jc w:val="center"/>
              <w:rPr>
                <w:rFonts w:eastAsia="Times New Roman" w:cs="Times New Roman"/>
                <w:noProof/>
              </w:rPr>
            </w:pPr>
            <w:r>
              <w:rPr>
                <w:noProof/>
              </w:rPr>
              <w:t>242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A6CFF6" w14:textId="77777777" w:rsidR="003E1D81" w:rsidRDefault="00EB481C">
            <w:pPr>
              <w:pStyle w:val="P68B1DB1-Normal46"/>
              <w:spacing w:after="0" w:line="240" w:lineRule="auto"/>
              <w:rPr>
                <w:rFonts w:eastAsia="Times New Roman" w:cs="Times New Roman"/>
                <w:noProof/>
              </w:rPr>
            </w:pPr>
            <w:r>
              <w:rPr>
                <w:noProof/>
              </w:rPr>
              <w:t>C15.I5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850075"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16F7E85" w14:textId="77777777" w:rsidR="003E1D81" w:rsidRDefault="00EB481C">
            <w:pPr>
              <w:pStyle w:val="P68B1DB1-Normal46"/>
              <w:spacing w:after="0" w:line="240" w:lineRule="auto"/>
              <w:rPr>
                <w:rFonts w:eastAsia="Times New Roman" w:cs="Times New Roman"/>
                <w:noProof/>
              </w:rPr>
            </w:pPr>
            <w:r>
              <w:rPr>
                <w:noProof/>
              </w:rPr>
              <w:t xml:space="preserve">A határokon átnyúló digitális </w:t>
            </w:r>
            <w:r>
              <w:rPr>
                <w:noProof/>
              </w:rPr>
              <w:t>infrastruktúra fejlesztése: a projekt lezárása</w:t>
            </w:r>
          </w:p>
        </w:tc>
      </w:tr>
      <w:tr w:rsidR="003E1D81" w14:paraId="50EC3F1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742DC" w14:textId="77777777" w:rsidR="003E1D81" w:rsidRDefault="00EB481C">
            <w:pPr>
              <w:pStyle w:val="P68B1DB1-Normal46"/>
              <w:spacing w:after="0" w:line="240" w:lineRule="auto"/>
              <w:jc w:val="center"/>
              <w:rPr>
                <w:rFonts w:eastAsia="Times New Roman" w:cs="Times New Roman"/>
                <w:noProof/>
              </w:rPr>
            </w:pPr>
            <w:r>
              <w:rPr>
                <w:noProof/>
              </w:rPr>
              <w:t>244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CCBF0F" w14:textId="77777777" w:rsidR="003E1D81" w:rsidRDefault="00EB481C">
            <w:pPr>
              <w:pStyle w:val="P68B1DB1-Normal46"/>
              <w:spacing w:after="0" w:line="240" w:lineRule="auto"/>
              <w:rPr>
                <w:rFonts w:eastAsia="Times New Roman" w:cs="Times New Roman"/>
                <w:noProof/>
              </w:rPr>
            </w:pPr>
            <w:r>
              <w:rPr>
                <w:noProof/>
              </w:rPr>
              <w:t>C15.I6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CA8F66"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EBF394" w14:textId="77777777" w:rsidR="003E1D81" w:rsidRDefault="00EB481C">
            <w:pPr>
              <w:pStyle w:val="P68B1DB1-Normal46"/>
              <w:spacing w:after="0" w:line="240" w:lineRule="auto"/>
              <w:rPr>
                <w:rFonts w:eastAsia="Times New Roman" w:cs="Times New Roman"/>
                <w:noProof/>
              </w:rPr>
            </w:pPr>
            <w:r>
              <w:rPr>
                <w:noProof/>
              </w:rPr>
              <w:t>Az 5G technológia bevezetése: A projekt lezárása</w:t>
            </w:r>
          </w:p>
        </w:tc>
      </w:tr>
      <w:tr w:rsidR="003E1D81" w14:paraId="0F8474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3D5CC1" w14:textId="77777777" w:rsidR="003E1D81" w:rsidRDefault="00EB481C">
            <w:pPr>
              <w:pStyle w:val="P68B1DB1-Normal46"/>
              <w:spacing w:after="0" w:line="240" w:lineRule="auto"/>
              <w:jc w:val="center"/>
              <w:rPr>
                <w:rFonts w:eastAsia="Times New Roman" w:cs="Times New Roman"/>
                <w:noProof/>
              </w:rPr>
            </w:pPr>
            <w:r>
              <w:rPr>
                <w:noProof/>
              </w:rPr>
              <w:t>248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1C1434" w14:textId="77777777" w:rsidR="003E1D81" w:rsidRDefault="00EB481C">
            <w:pPr>
              <w:pStyle w:val="P68B1DB1-Normal46"/>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4002A7"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B2B2DD" w14:textId="77777777" w:rsidR="003E1D81" w:rsidRDefault="00EB481C">
            <w:pPr>
              <w:pStyle w:val="P68B1DB1-Normal46"/>
              <w:spacing w:after="0" w:line="240" w:lineRule="auto"/>
              <w:rPr>
                <w:rFonts w:eastAsia="Times New Roman" w:cs="Times New Roman"/>
                <w:noProof/>
              </w:rPr>
            </w:pPr>
            <w:r>
              <w:rPr>
                <w:noProof/>
              </w:rPr>
              <w:t xml:space="preserve">A nemzeti kiberbiztonsági ágazatot támogató program, a globális biztonsági innovációs program és a kapcsolódó intézkedések </w:t>
            </w:r>
            <w:r>
              <w:rPr>
                <w:noProof/>
              </w:rPr>
              <w:t>projektjeinek lezárása.</w:t>
            </w:r>
          </w:p>
        </w:tc>
      </w:tr>
      <w:tr w:rsidR="003E1D81" w14:paraId="22AFB12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844568" w14:textId="77777777" w:rsidR="003E1D81" w:rsidRDefault="00EB481C">
            <w:pPr>
              <w:pStyle w:val="P68B1DB1-Normal46"/>
              <w:spacing w:after="0" w:line="240" w:lineRule="auto"/>
              <w:jc w:val="center"/>
              <w:rPr>
                <w:rFonts w:eastAsia="Times New Roman" w:cs="Times New Roman"/>
                <w:noProof/>
              </w:rPr>
            </w:pPr>
            <w:r>
              <w:rPr>
                <w:noProof/>
              </w:rPr>
              <w:t>455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67A20A" w14:textId="77777777" w:rsidR="003E1D81" w:rsidRDefault="00EB481C">
            <w:pPr>
              <w:pStyle w:val="P68B1DB1-Normal46"/>
              <w:spacing w:after="0" w:line="240" w:lineRule="auto"/>
              <w:rPr>
                <w:rFonts w:eastAsia="Times New Roman" w:cs="Times New Roman"/>
                <w:noProof/>
              </w:rPr>
            </w:pPr>
            <w:r>
              <w:rPr>
                <w:noProof/>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AC02BC2"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95B67F3" w14:textId="77777777" w:rsidR="003E1D81" w:rsidRDefault="00EB481C">
            <w:pPr>
              <w:pStyle w:val="P68B1DB1-Normal46"/>
              <w:spacing w:after="0" w:line="240" w:lineRule="auto"/>
              <w:rPr>
                <w:rFonts w:eastAsia="Times New Roman" w:cs="Times New Roman"/>
                <w:noProof/>
              </w:rPr>
            </w:pPr>
            <w:r>
              <w:rPr>
                <w:noProof/>
              </w:rPr>
              <w:t>PERTE CHIP. A tudományos kapacitások, a tervezés és az innovatív gyártás megerősítése: folyósítás.</w:t>
            </w:r>
          </w:p>
        </w:tc>
      </w:tr>
      <w:tr w:rsidR="003E1D81" w14:paraId="45C82A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2B8014" w14:textId="77777777" w:rsidR="003E1D81" w:rsidRDefault="00EB481C">
            <w:pPr>
              <w:pStyle w:val="P68B1DB1-Normal46"/>
              <w:spacing w:after="0" w:line="240" w:lineRule="auto"/>
              <w:jc w:val="center"/>
              <w:rPr>
                <w:rFonts w:eastAsia="Times New Roman" w:cs="Times New Roman"/>
                <w:noProof/>
              </w:rPr>
            </w:pPr>
            <w:r>
              <w:rPr>
                <w:noProof/>
              </w:rPr>
              <w:t>456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DD5C7A" w14:textId="77777777" w:rsidR="003E1D81" w:rsidRDefault="00EB481C">
            <w:pPr>
              <w:pStyle w:val="P68B1DB1-Normal46"/>
              <w:spacing w:after="0" w:line="240" w:lineRule="auto"/>
              <w:rPr>
                <w:rFonts w:eastAsia="Times New Roman" w:cs="Times New Roman"/>
                <w:noProof/>
              </w:rPr>
            </w:pPr>
            <w:r>
              <w:rPr>
                <w:noProof/>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318CA9"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6EE0F28" w14:textId="77777777" w:rsidR="003E1D81" w:rsidRDefault="00EB481C">
            <w:pPr>
              <w:pStyle w:val="P68B1DB1-Normal46"/>
              <w:spacing w:after="0" w:line="240" w:lineRule="auto"/>
              <w:rPr>
                <w:rFonts w:eastAsia="Times New Roman" w:cs="Times New Roman"/>
                <w:noProof/>
              </w:rPr>
            </w:pPr>
            <w:r>
              <w:rPr>
                <w:noProof/>
              </w:rPr>
              <w:t>PERTE CHIP. Tanszékek és mikroelektronikai tehetségek</w:t>
            </w:r>
          </w:p>
        </w:tc>
      </w:tr>
      <w:tr w:rsidR="003E1D81" w14:paraId="6825FB4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09C659" w14:textId="77777777" w:rsidR="003E1D81" w:rsidRDefault="00EB481C">
            <w:pPr>
              <w:pStyle w:val="P68B1DB1-Normal46"/>
              <w:spacing w:after="0" w:line="240" w:lineRule="auto"/>
              <w:jc w:val="center"/>
              <w:rPr>
                <w:rFonts w:eastAsia="Times New Roman" w:cs="Times New Roman"/>
                <w:noProof/>
              </w:rPr>
            </w:pPr>
            <w:r>
              <w:rPr>
                <w:noProof/>
              </w:rPr>
              <w:t>252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0B09CB" w14:textId="77777777" w:rsidR="003E1D81" w:rsidRDefault="00EB481C">
            <w:pPr>
              <w:pStyle w:val="P68B1DB1-Normal46"/>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F8372D6"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0D93729" w14:textId="77777777" w:rsidR="003E1D81" w:rsidRDefault="00EB481C">
            <w:pPr>
              <w:pStyle w:val="P68B1DB1-Normal46"/>
              <w:spacing w:after="0" w:line="240" w:lineRule="auto"/>
              <w:rPr>
                <w:rFonts w:eastAsia="Times New Roman" w:cs="Times New Roman"/>
                <w:noProof/>
              </w:rPr>
            </w:pPr>
            <w:r>
              <w:rPr>
                <w:noProof/>
              </w:rPr>
              <w:t xml:space="preserve">Érintett országlátogatások </w:t>
            </w:r>
          </w:p>
        </w:tc>
      </w:tr>
      <w:tr w:rsidR="003E1D81" w14:paraId="1615B51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26D042" w14:textId="77777777" w:rsidR="003E1D81" w:rsidRDefault="00EB481C">
            <w:pPr>
              <w:pStyle w:val="P68B1DB1-Normal46"/>
              <w:spacing w:after="0" w:line="240" w:lineRule="auto"/>
              <w:jc w:val="center"/>
              <w:rPr>
                <w:rFonts w:eastAsia="Times New Roman" w:cs="Times New Roman"/>
                <w:noProof/>
              </w:rPr>
            </w:pPr>
            <w:r>
              <w:rPr>
                <w:noProof/>
              </w:rPr>
              <w:t>253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101D30" w14:textId="77777777" w:rsidR="003E1D81" w:rsidRDefault="00EB481C">
            <w:pPr>
              <w:pStyle w:val="P68B1DB1-Normal46"/>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3C9087"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F817FEF" w14:textId="77777777" w:rsidR="003E1D81" w:rsidRDefault="00EB481C">
            <w:pPr>
              <w:pStyle w:val="P68B1DB1-Normal46"/>
              <w:spacing w:after="0" w:line="240" w:lineRule="auto"/>
              <w:rPr>
                <w:rFonts w:eastAsia="Times New Roman" w:cs="Times New Roman"/>
                <w:noProof/>
              </w:rPr>
            </w:pPr>
            <w:r>
              <w:rPr>
                <w:noProof/>
              </w:rPr>
              <w:t xml:space="preserve">A mesterséges intelligenciával kapcsolatos projektek lezárása </w:t>
            </w:r>
          </w:p>
        </w:tc>
      </w:tr>
      <w:tr w:rsidR="003E1D81" w14:paraId="031A7A1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D0EED9" w14:textId="77777777" w:rsidR="003E1D81" w:rsidRDefault="00EB481C">
            <w:pPr>
              <w:pStyle w:val="P68B1DB1-Normal46"/>
              <w:spacing w:after="0" w:line="240" w:lineRule="auto"/>
              <w:jc w:val="center"/>
              <w:rPr>
                <w:rFonts w:eastAsia="Times New Roman" w:cs="Times New Roman"/>
                <w:noProof/>
              </w:rPr>
            </w:pPr>
            <w:r>
              <w:rPr>
                <w:noProof/>
              </w:rPr>
              <w:t>457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67DD37" w14:textId="77777777" w:rsidR="003E1D81" w:rsidRDefault="00EB481C">
            <w:pPr>
              <w:pStyle w:val="P68B1DB1-Normal46"/>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9E4D6B"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0CAB74" w14:textId="77777777" w:rsidR="003E1D81" w:rsidRDefault="00EB481C">
            <w:pPr>
              <w:pStyle w:val="P68B1DB1-Normal46"/>
              <w:spacing w:after="0" w:line="240" w:lineRule="auto"/>
              <w:rPr>
                <w:rFonts w:eastAsia="Times New Roman" w:cs="Times New Roman"/>
                <w:noProof/>
              </w:rPr>
            </w:pPr>
            <w:r>
              <w:rPr>
                <w:noProof/>
              </w:rPr>
              <w:t>PERTE CHIP. A kvantumökoszisztéma megerősítése.</w:t>
            </w:r>
          </w:p>
        </w:tc>
      </w:tr>
      <w:tr w:rsidR="003E1D81" w14:paraId="4563F5F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CA0B30" w14:textId="77777777" w:rsidR="003E1D81" w:rsidRDefault="00EB481C">
            <w:pPr>
              <w:pStyle w:val="P68B1DB1-Normal46"/>
              <w:spacing w:after="0" w:line="240" w:lineRule="auto"/>
              <w:jc w:val="center"/>
              <w:rPr>
                <w:rFonts w:eastAsia="Times New Roman" w:cs="Times New Roman"/>
                <w:noProof/>
              </w:rPr>
            </w:pPr>
            <w:r>
              <w:rPr>
                <w:noProof/>
              </w:rPr>
              <w:t>260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71BF393" w14:textId="77777777" w:rsidR="003E1D81" w:rsidRDefault="00EB481C">
            <w:pPr>
              <w:pStyle w:val="P68B1DB1-Normal46"/>
              <w:spacing w:after="0" w:line="240" w:lineRule="auto"/>
              <w:rPr>
                <w:rFonts w:eastAsia="Times New Roman" w:cs="Times New Roman"/>
                <w:noProof/>
              </w:rPr>
            </w:pPr>
            <w:r>
              <w:rPr>
                <w:noProof/>
              </w:rPr>
              <w:t>C17.I2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5C35A8"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832D0B" w14:textId="77777777" w:rsidR="003E1D81" w:rsidRDefault="00EB481C">
            <w:pPr>
              <w:pStyle w:val="P68B1DB1-Normal46"/>
              <w:spacing w:after="0" w:line="240" w:lineRule="auto"/>
              <w:rPr>
                <w:rFonts w:eastAsia="Times New Roman" w:cs="Times New Roman"/>
                <w:noProof/>
              </w:rPr>
            </w:pPr>
            <w:r>
              <w:rPr>
                <w:noProof/>
              </w:rPr>
              <w:t xml:space="preserve">A spanyol tudományos technológiai és innovációs rendszer tudományos infrastruktúráját és kapacitását növelő </w:t>
            </w:r>
            <w:r>
              <w:rPr>
                <w:noProof/>
              </w:rPr>
              <w:t>valamennyi projekt lezárása, beleértve az európai és nemzetközi infrastruktúrával kapcsolatos projekteket is.</w:t>
            </w:r>
          </w:p>
        </w:tc>
      </w:tr>
      <w:tr w:rsidR="003E1D81" w14:paraId="28E085B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E0891C" w14:textId="77777777" w:rsidR="003E1D81" w:rsidRDefault="00EB481C">
            <w:pPr>
              <w:pStyle w:val="P68B1DB1-Normal46"/>
              <w:spacing w:after="0" w:line="240" w:lineRule="auto"/>
              <w:jc w:val="center"/>
              <w:rPr>
                <w:rFonts w:eastAsia="Times New Roman" w:cs="Times New Roman"/>
                <w:noProof/>
              </w:rPr>
            </w:pPr>
            <w:r>
              <w:rPr>
                <w:noProof/>
              </w:rPr>
              <w:t>264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F8B25E" w14:textId="77777777" w:rsidR="003E1D81" w:rsidRDefault="00EB481C">
            <w:pPr>
              <w:pStyle w:val="P68B1DB1-Normal46"/>
              <w:spacing w:after="0" w:line="240" w:lineRule="auto"/>
              <w:rPr>
                <w:rFonts w:eastAsia="Times New Roman" w:cs="Times New Roman"/>
                <w:noProof/>
              </w:rPr>
            </w:pPr>
            <w:r>
              <w:rPr>
                <w:noProof/>
              </w:rPr>
              <w:t>C17.I4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DF86A7"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3DB1F3" w14:textId="77777777" w:rsidR="003E1D81" w:rsidRDefault="00EB481C">
            <w:pPr>
              <w:pStyle w:val="P68B1DB1-Normal46"/>
              <w:spacing w:after="0" w:line="240" w:lineRule="auto"/>
              <w:rPr>
                <w:rFonts w:eastAsia="Times New Roman" w:cs="Times New Roman"/>
                <w:noProof/>
              </w:rPr>
            </w:pPr>
            <w:r>
              <w:rPr>
                <w:noProof/>
              </w:rPr>
              <w:t xml:space="preserve">A spanyol tudományos kutatói karriert támogató ösztöndíjak és támogatások befejezése </w:t>
            </w:r>
          </w:p>
        </w:tc>
      </w:tr>
      <w:tr w:rsidR="003E1D81" w14:paraId="63809BF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77113A" w14:textId="77777777" w:rsidR="003E1D81" w:rsidRDefault="00EB481C">
            <w:pPr>
              <w:pStyle w:val="P68B1DB1-Normal46"/>
              <w:spacing w:after="0" w:line="240" w:lineRule="auto"/>
              <w:jc w:val="center"/>
              <w:rPr>
                <w:rFonts w:eastAsia="Times New Roman" w:cs="Times New Roman"/>
                <w:noProof/>
              </w:rPr>
            </w:pPr>
            <w:r>
              <w:rPr>
                <w:noProof/>
              </w:rPr>
              <w:t>459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CC40D" w14:textId="77777777" w:rsidR="003E1D81" w:rsidRDefault="00EB481C">
            <w:pPr>
              <w:pStyle w:val="P68B1DB1-Normal46"/>
              <w:spacing w:after="0" w:line="240" w:lineRule="auto"/>
              <w:rPr>
                <w:rFonts w:eastAsia="Times New Roman" w:cs="Times New Roman"/>
                <w:noProof/>
              </w:rPr>
            </w:pPr>
            <w:r>
              <w:rPr>
                <w:noProof/>
              </w:rPr>
              <w:t>C17.I5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59E25E"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D4DFA1A" w14:textId="77777777" w:rsidR="003E1D81" w:rsidRDefault="00EB481C">
            <w:pPr>
              <w:pStyle w:val="P68B1DB1-Normal46"/>
              <w:spacing w:after="0" w:line="240" w:lineRule="auto"/>
              <w:rPr>
                <w:rFonts w:eastAsia="Times New Roman" w:cs="Times New Roman"/>
                <w:noProof/>
              </w:rPr>
            </w:pPr>
            <w:r>
              <w:rPr>
                <w:noProof/>
              </w:rPr>
              <w:t xml:space="preserve">A technológiaátadást és az </w:t>
            </w:r>
            <w:r>
              <w:rPr>
                <w:noProof/>
              </w:rPr>
              <w:t>innovatív technológiákkal kapcsolatos kutatási eredmények átadását támogató projektek lezárása</w:t>
            </w:r>
          </w:p>
        </w:tc>
      </w:tr>
      <w:tr w:rsidR="003E1D81" w14:paraId="2D131FF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ED7CD9" w14:textId="77777777" w:rsidR="003E1D81" w:rsidRDefault="00EB481C">
            <w:pPr>
              <w:pStyle w:val="P68B1DB1-Normal46"/>
              <w:spacing w:after="0" w:line="240" w:lineRule="auto"/>
              <w:jc w:val="center"/>
              <w:rPr>
                <w:rFonts w:eastAsia="Times New Roman" w:cs="Times New Roman"/>
                <w:noProof/>
              </w:rPr>
            </w:pPr>
            <w:r>
              <w:rPr>
                <w:noProof/>
              </w:rPr>
              <w:t>268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B6A4C" w14:textId="77777777" w:rsidR="003E1D81" w:rsidRDefault="00EB481C">
            <w:pPr>
              <w:pStyle w:val="P68B1DB1-Normal46"/>
              <w:spacing w:after="0" w:line="240" w:lineRule="auto"/>
              <w:rPr>
                <w:rFonts w:eastAsia="Times New Roman" w:cs="Times New Roman"/>
                <w:noProof/>
              </w:rPr>
            </w:pPr>
            <w:r>
              <w:rPr>
                <w:noProof/>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889BACE"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6D03877" w14:textId="77777777" w:rsidR="003E1D81" w:rsidRDefault="00EB481C">
            <w:pPr>
              <w:pStyle w:val="P68B1DB1-Normal46"/>
              <w:spacing w:after="0" w:line="240" w:lineRule="auto"/>
              <w:rPr>
                <w:rFonts w:eastAsia="Times New Roman" w:cs="Times New Roman"/>
                <w:noProof/>
              </w:rPr>
            </w:pPr>
            <w:r>
              <w:rPr>
                <w:noProof/>
              </w:rPr>
              <w:t xml:space="preserve">Az egészségügyi ágazat kutatásfejlesztésének és innovációjának megerősítését célzó valamennyi projekt lezárása. </w:t>
            </w:r>
          </w:p>
        </w:tc>
      </w:tr>
      <w:tr w:rsidR="003E1D81" w14:paraId="5CA654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BD6459" w14:textId="77777777" w:rsidR="003E1D81" w:rsidRDefault="00EB481C">
            <w:pPr>
              <w:pStyle w:val="P68B1DB1-Normal46"/>
              <w:spacing w:after="0" w:line="240" w:lineRule="auto"/>
              <w:jc w:val="center"/>
              <w:rPr>
                <w:rFonts w:eastAsia="Times New Roman" w:cs="Times New Roman"/>
                <w:noProof/>
              </w:rPr>
            </w:pPr>
            <w:r>
              <w:rPr>
                <w:noProof/>
              </w:rPr>
              <w:t>460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BF9793" w14:textId="77777777" w:rsidR="003E1D81" w:rsidRDefault="00EB481C">
            <w:pPr>
              <w:pStyle w:val="P68B1DB1-Normal46"/>
              <w:spacing w:after="0" w:line="240" w:lineRule="auto"/>
              <w:rPr>
                <w:rFonts w:eastAsia="Times New Roman" w:cs="Times New Roman"/>
                <w:noProof/>
              </w:rPr>
            </w:pPr>
            <w:r>
              <w:rPr>
                <w:noProof/>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26DC28"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BD8F11A" w14:textId="77777777" w:rsidR="003E1D81" w:rsidRDefault="00EB481C">
            <w:pPr>
              <w:pStyle w:val="P68B1DB1-Normal46"/>
              <w:spacing w:after="0" w:line="240" w:lineRule="auto"/>
              <w:rPr>
                <w:rFonts w:eastAsia="Times New Roman" w:cs="Times New Roman"/>
                <w:noProof/>
              </w:rPr>
            </w:pPr>
            <w:r>
              <w:rPr>
                <w:noProof/>
              </w:rPr>
              <w:t xml:space="preserve">Pénzeszközök folyósítása a PERTE Health keretében K+F projektek számára  </w:t>
            </w:r>
          </w:p>
        </w:tc>
      </w:tr>
      <w:tr w:rsidR="003E1D81" w14:paraId="6290EB9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16CF30" w14:textId="77777777" w:rsidR="003E1D81" w:rsidRDefault="00EB481C">
            <w:pPr>
              <w:pStyle w:val="P68B1DB1-Normal46"/>
              <w:spacing w:after="0" w:line="240" w:lineRule="auto"/>
              <w:jc w:val="center"/>
              <w:rPr>
                <w:rFonts w:eastAsia="Times New Roman" w:cs="Times New Roman"/>
                <w:noProof/>
              </w:rPr>
            </w:pPr>
            <w:r>
              <w:rPr>
                <w:noProof/>
              </w:rPr>
              <w:t>269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175282" w14:textId="77777777" w:rsidR="003E1D81" w:rsidRDefault="00EB481C">
            <w:pPr>
              <w:pStyle w:val="P68B1DB1-Normal46"/>
              <w:spacing w:after="0" w:line="240" w:lineRule="auto"/>
              <w:rPr>
                <w:rFonts w:eastAsia="Times New Roman" w:cs="Times New Roman"/>
                <w:noProof/>
              </w:rPr>
            </w:pPr>
            <w:r>
              <w:rPr>
                <w:noProof/>
              </w:rPr>
              <w:t>C17.I7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C5189F"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34E6BF9" w14:textId="77777777" w:rsidR="003E1D81" w:rsidRDefault="00EB481C">
            <w:pPr>
              <w:pStyle w:val="P68B1DB1-Normal46"/>
              <w:spacing w:after="0" w:line="240" w:lineRule="auto"/>
              <w:rPr>
                <w:rFonts w:eastAsia="Times New Roman" w:cs="Times New Roman"/>
                <w:noProof/>
              </w:rPr>
            </w:pPr>
            <w:r>
              <w:rPr>
                <w:noProof/>
              </w:rPr>
              <w:t xml:space="preserve">Energiatárolási K+F központ </w:t>
            </w:r>
          </w:p>
        </w:tc>
      </w:tr>
      <w:tr w:rsidR="003E1D81" w14:paraId="2E344B4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AC2D7E" w14:textId="77777777" w:rsidR="003E1D81" w:rsidRDefault="00EB481C">
            <w:pPr>
              <w:pStyle w:val="P68B1DB1-Normal46"/>
              <w:spacing w:after="0" w:line="240" w:lineRule="auto"/>
              <w:jc w:val="center"/>
              <w:rPr>
                <w:rFonts w:eastAsia="Times New Roman" w:cs="Times New Roman"/>
                <w:noProof/>
              </w:rPr>
            </w:pPr>
            <w:r>
              <w:rPr>
                <w:noProof/>
              </w:rPr>
              <w:t>272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5A28D8" w14:textId="77777777" w:rsidR="003E1D81" w:rsidRDefault="00EB481C">
            <w:pPr>
              <w:pStyle w:val="P68B1DB1-Normal46"/>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1DDB9DD"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30337F" w14:textId="77777777" w:rsidR="003E1D81" w:rsidRDefault="00EB481C">
            <w:pPr>
              <w:pStyle w:val="P68B1DB1-Normal46"/>
              <w:spacing w:after="0" w:line="240" w:lineRule="auto"/>
              <w:rPr>
                <w:rFonts w:eastAsia="Times New Roman" w:cs="Times New Roman"/>
                <w:noProof/>
              </w:rPr>
            </w:pPr>
            <w:r>
              <w:rPr>
                <w:noProof/>
              </w:rPr>
              <w:t xml:space="preserve">A repüléssel és űrkutatással kapcsolatos K+F+innovációs projektek lezárása, különös tekintettel az alacsony és nulla kibocsátásra </w:t>
            </w:r>
          </w:p>
        </w:tc>
      </w:tr>
      <w:tr w:rsidR="003E1D81" w14:paraId="76B53D7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39C3B5" w14:textId="77777777" w:rsidR="003E1D81" w:rsidRDefault="00EB481C">
            <w:pPr>
              <w:pStyle w:val="P68B1DB1-Normal46"/>
              <w:spacing w:after="0" w:line="240" w:lineRule="auto"/>
              <w:jc w:val="center"/>
              <w:rPr>
                <w:rFonts w:eastAsia="Times New Roman" w:cs="Times New Roman"/>
                <w:noProof/>
              </w:rPr>
            </w:pPr>
            <w:r>
              <w:rPr>
                <w:noProof/>
              </w:rPr>
              <w:t>462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15BE75" w14:textId="77777777" w:rsidR="003E1D81" w:rsidRDefault="00EB481C">
            <w:pPr>
              <w:pStyle w:val="P68B1DB1-Normal46"/>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388830"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ACD72AE" w14:textId="77777777" w:rsidR="003E1D81" w:rsidRDefault="00EB481C">
            <w:pPr>
              <w:pStyle w:val="P68B1DB1-Normal46"/>
              <w:spacing w:after="0" w:line="240" w:lineRule="auto"/>
              <w:rPr>
                <w:rFonts w:eastAsia="Times New Roman" w:cs="Times New Roman"/>
                <w:noProof/>
              </w:rPr>
            </w:pPr>
            <w:r>
              <w:rPr>
                <w:noProof/>
              </w:rPr>
              <w:t>Pénzeszközök folyósítása a PERTE Aerospace projektjei számára.</w:t>
            </w:r>
          </w:p>
        </w:tc>
      </w:tr>
      <w:tr w:rsidR="003E1D81" w14:paraId="7A16492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052B7F" w14:textId="77777777" w:rsidR="003E1D81" w:rsidRDefault="00EB481C">
            <w:pPr>
              <w:pStyle w:val="P68B1DB1-Normal46"/>
              <w:spacing w:after="0" w:line="240" w:lineRule="auto"/>
              <w:jc w:val="center"/>
              <w:rPr>
                <w:rFonts w:eastAsia="Times New Roman" w:cs="Times New Roman"/>
                <w:noProof/>
              </w:rPr>
            </w:pPr>
            <w:r>
              <w:rPr>
                <w:noProof/>
              </w:rPr>
              <w:t>463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627271" w14:textId="77777777" w:rsidR="003E1D81" w:rsidRDefault="00EB481C">
            <w:pPr>
              <w:pStyle w:val="P68B1DB1-Normal46"/>
              <w:spacing w:after="0" w:line="240" w:lineRule="auto"/>
              <w:rPr>
                <w:rFonts w:eastAsia="Times New Roman" w:cs="Times New Roman"/>
                <w:noProof/>
              </w:rPr>
            </w:pPr>
            <w:r>
              <w:rPr>
                <w:noProof/>
              </w:rPr>
              <w:t>C18.I4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CD2195"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A8E2460" w14:textId="77777777" w:rsidR="003E1D81" w:rsidRDefault="00EB481C">
            <w:pPr>
              <w:pStyle w:val="P68B1DB1-Normal46"/>
              <w:spacing w:after="0" w:line="240" w:lineRule="auto"/>
              <w:rPr>
                <w:rFonts w:eastAsia="Times New Roman" w:cs="Times New Roman"/>
                <w:noProof/>
              </w:rPr>
            </w:pPr>
            <w:r>
              <w:rPr>
                <w:noProof/>
              </w:rPr>
              <w:t xml:space="preserve">Az egészségügyi szakemberek </w:t>
            </w:r>
            <w:r>
              <w:rPr>
                <w:noProof/>
              </w:rPr>
              <w:t>képzése és az ismeretek megosztására szolgáló erőforrások</w:t>
            </w:r>
          </w:p>
        </w:tc>
      </w:tr>
      <w:tr w:rsidR="003E1D81" w14:paraId="0DA0FD2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00FB37" w14:textId="77777777" w:rsidR="003E1D81" w:rsidRDefault="00EB481C">
            <w:pPr>
              <w:pStyle w:val="P68B1DB1-Normal46"/>
              <w:spacing w:after="0" w:line="240" w:lineRule="auto"/>
              <w:jc w:val="center"/>
              <w:rPr>
                <w:rFonts w:eastAsia="Times New Roman" w:cs="Times New Roman"/>
                <w:noProof/>
              </w:rPr>
            </w:pPr>
            <w:r>
              <w:rPr>
                <w:noProof/>
              </w:rPr>
              <w:t>464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B240AC" w14:textId="77777777" w:rsidR="003E1D81" w:rsidRDefault="00EB481C">
            <w:pPr>
              <w:pStyle w:val="P68B1DB1-Normal46"/>
              <w:spacing w:after="0" w:line="240" w:lineRule="auto"/>
              <w:rPr>
                <w:rFonts w:eastAsia="Times New Roman" w:cs="Times New Roman"/>
                <w:noProof/>
              </w:rPr>
            </w:pPr>
            <w:r>
              <w:rPr>
                <w:noProof/>
              </w:rPr>
              <w:t>C18.I5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680290"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23746B9" w14:textId="77777777" w:rsidR="003E1D81" w:rsidRDefault="00EB481C">
            <w:pPr>
              <w:pStyle w:val="P68B1DB1-Normal46"/>
              <w:spacing w:after="0" w:line="240" w:lineRule="auto"/>
              <w:rPr>
                <w:rFonts w:eastAsia="Times New Roman" w:cs="Times New Roman"/>
                <w:noProof/>
              </w:rPr>
            </w:pPr>
            <w:r>
              <w:rPr>
                <w:noProof/>
              </w:rPr>
              <w:t>Terv a gyógyszerfogyasztás racionalizálására és a fenntarthatóság előmozdítására</w:t>
            </w:r>
          </w:p>
        </w:tc>
      </w:tr>
      <w:tr w:rsidR="003E1D81" w14:paraId="33D78F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1C81C1" w14:textId="77777777" w:rsidR="003E1D81" w:rsidRDefault="00EB481C">
            <w:pPr>
              <w:pStyle w:val="P68B1DB1-Normal46"/>
              <w:spacing w:after="0" w:line="240" w:lineRule="auto"/>
              <w:jc w:val="center"/>
              <w:rPr>
                <w:rFonts w:eastAsia="Times New Roman" w:cs="Times New Roman"/>
                <w:noProof/>
              </w:rPr>
            </w:pPr>
            <w:r>
              <w:rPr>
                <w:noProof/>
              </w:rPr>
              <w:t>465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AAB8FC" w14:textId="77777777" w:rsidR="003E1D81" w:rsidRDefault="00EB481C">
            <w:pPr>
              <w:pStyle w:val="P68B1DB1-Normal46"/>
              <w:spacing w:after="0" w:line="240" w:lineRule="auto"/>
              <w:rPr>
                <w:rFonts w:eastAsia="Times New Roman" w:cs="Times New Roman"/>
                <w:noProof/>
              </w:rPr>
            </w:pPr>
            <w:r>
              <w:rPr>
                <w:noProof/>
              </w:rPr>
              <w:t>C18.I4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87565E"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7091E2D" w14:textId="164CB14F" w:rsidR="003E1D81" w:rsidRDefault="00EB481C">
            <w:pPr>
              <w:pStyle w:val="P68B1DB1-Normal46"/>
              <w:spacing w:after="0" w:line="240" w:lineRule="auto"/>
              <w:rPr>
                <w:rFonts w:eastAsia="Times New Roman" w:cs="Times New Roman"/>
                <w:noProof/>
              </w:rPr>
            </w:pPr>
            <w:r>
              <w:rPr>
                <w:noProof/>
              </w:rPr>
              <w:t xml:space="preserve">A ritka betegségekben szenvedő betegek egészségügyi ellátásának javítását célzó projektek lezárása </w:t>
            </w:r>
          </w:p>
        </w:tc>
      </w:tr>
      <w:tr w:rsidR="003E1D81" w14:paraId="329A60A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FB72AA9" w14:textId="77777777" w:rsidR="003E1D81" w:rsidRDefault="00EB481C">
            <w:pPr>
              <w:pStyle w:val="P68B1DB1-Normal46"/>
              <w:spacing w:after="0" w:line="240" w:lineRule="auto"/>
              <w:jc w:val="center"/>
              <w:rPr>
                <w:rFonts w:eastAsia="Times New Roman" w:cs="Times New Roman"/>
                <w:noProof/>
              </w:rPr>
            </w:pPr>
            <w:r>
              <w:rPr>
                <w:noProof/>
              </w:rPr>
              <w:t>466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EC8EA0" w14:textId="77777777" w:rsidR="003E1D81" w:rsidRDefault="00EB481C">
            <w:pPr>
              <w:pStyle w:val="P68B1DB1-Normal46"/>
              <w:spacing w:after="0" w:line="240" w:lineRule="auto"/>
              <w:rPr>
                <w:rFonts w:eastAsia="Times New Roman" w:cs="Times New Roman"/>
                <w:noProof/>
              </w:rPr>
            </w:pPr>
            <w:r>
              <w:rPr>
                <w:noProof/>
              </w:rPr>
              <w:t>C18.I5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E288C6E"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4A03EEA" w14:textId="77777777" w:rsidR="003E1D81" w:rsidRDefault="00EB481C">
            <w:pPr>
              <w:pStyle w:val="P68B1DB1-Normal46"/>
              <w:spacing w:after="0" w:line="240" w:lineRule="auto"/>
              <w:rPr>
                <w:rFonts w:eastAsia="Times New Roman" w:cs="Times New Roman"/>
                <w:noProof/>
              </w:rPr>
            </w:pPr>
            <w:r>
              <w:rPr>
                <w:noProof/>
              </w:rPr>
              <w:t>A genomikai szolgáltatások kiterjesztése a Nemzeti Egészségügyi Rendszerben</w:t>
            </w:r>
          </w:p>
        </w:tc>
      </w:tr>
      <w:tr w:rsidR="003E1D81" w14:paraId="576B56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7B2270" w14:textId="77777777" w:rsidR="003E1D81" w:rsidRDefault="00EB481C">
            <w:pPr>
              <w:pStyle w:val="P68B1DB1-Normal46"/>
              <w:spacing w:after="0" w:line="240" w:lineRule="auto"/>
              <w:jc w:val="center"/>
              <w:rPr>
                <w:rFonts w:eastAsia="Times New Roman" w:cs="Times New Roman"/>
                <w:noProof/>
              </w:rPr>
            </w:pPr>
            <w:r>
              <w:rPr>
                <w:noProof/>
              </w:rPr>
              <w:t>288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E503DE" w14:textId="77777777" w:rsidR="003E1D81" w:rsidRDefault="00EB481C">
            <w:pPr>
              <w:pStyle w:val="P68B1DB1-Normal46"/>
              <w:spacing w:after="0" w:line="240" w:lineRule="auto"/>
              <w:rPr>
                <w:rFonts w:eastAsia="Times New Roman" w:cs="Times New Roman"/>
                <w:noProof/>
              </w:rPr>
            </w:pPr>
            <w:r>
              <w:rPr>
                <w:noProof/>
              </w:rPr>
              <w:t>C19.I1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D24C0A"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BC0727" w14:textId="77777777" w:rsidR="003E1D81" w:rsidRDefault="00EB481C">
            <w:pPr>
              <w:pStyle w:val="P68B1DB1-Normal46"/>
              <w:spacing w:after="0" w:line="240" w:lineRule="auto"/>
              <w:rPr>
                <w:rFonts w:eastAsia="Times New Roman" w:cs="Times New Roman"/>
                <w:noProof/>
              </w:rPr>
            </w:pPr>
            <w:r>
              <w:rPr>
                <w:noProof/>
              </w:rPr>
              <w:t xml:space="preserve">A polgárok digitális készségekkel kapcsolatos </w:t>
            </w:r>
            <w:r>
              <w:rPr>
                <w:noProof/>
              </w:rPr>
              <w:t>képzése.</w:t>
            </w:r>
          </w:p>
        </w:tc>
      </w:tr>
      <w:tr w:rsidR="003E1D81" w14:paraId="439E8C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D33C13" w14:textId="77777777" w:rsidR="003E1D81" w:rsidRDefault="00EB481C">
            <w:pPr>
              <w:pStyle w:val="P68B1DB1-Normal46"/>
              <w:spacing w:after="0" w:line="240" w:lineRule="auto"/>
              <w:jc w:val="center"/>
              <w:rPr>
                <w:rFonts w:eastAsia="Times New Roman" w:cs="Times New Roman"/>
                <w:noProof/>
              </w:rPr>
            </w:pPr>
            <w:r>
              <w:rPr>
                <w:noProof/>
              </w:rPr>
              <w:t>292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B47ED2" w14:textId="77777777" w:rsidR="003E1D81" w:rsidRDefault="00EB481C">
            <w:pPr>
              <w:pStyle w:val="P68B1DB1-Normal46"/>
              <w:spacing w:after="0" w:line="240" w:lineRule="auto"/>
              <w:rPr>
                <w:rFonts w:eastAsia="Times New Roman" w:cs="Times New Roman"/>
                <w:noProof/>
              </w:rPr>
            </w:pPr>
            <w:r>
              <w:rPr>
                <w:noProof/>
              </w:rPr>
              <w:t>C19.I3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471F092"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26BFF3" w14:textId="77777777" w:rsidR="003E1D81" w:rsidRDefault="00EB481C">
            <w:pPr>
              <w:pStyle w:val="P68B1DB1-Normal46"/>
              <w:spacing w:after="0" w:line="240" w:lineRule="auto"/>
              <w:rPr>
                <w:rFonts w:eastAsia="Times New Roman" w:cs="Times New Roman"/>
                <w:noProof/>
              </w:rPr>
            </w:pPr>
            <w:r>
              <w:rPr>
                <w:noProof/>
              </w:rPr>
              <w:t>Digitális képzés a foglalkoztatásért</w:t>
            </w:r>
          </w:p>
        </w:tc>
      </w:tr>
      <w:tr w:rsidR="003E1D81" w14:paraId="3EAD16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812D82" w14:textId="77777777" w:rsidR="003E1D81" w:rsidRDefault="00EB481C">
            <w:pPr>
              <w:pStyle w:val="P68B1DB1-Normal46"/>
              <w:spacing w:after="0" w:line="240" w:lineRule="auto"/>
              <w:jc w:val="center"/>
              <w:rPr>
                <w:rFonts w:eastAsia="Times New Roman" w:cs="Times New Roman"/>
                <w:noProof/>
              </w:rPr>
            </w:pPr>
            <w:r>
              <w:rPr>
                <w:noProof/>
              </w:rPr>
              <w:t>292a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BBA0F4" w14:textId="77777777" w:rsidR="003E1D81" w:rsidRDefault="00EB481C">
            <w:pPr>
              <w:pStyle w:val="P68B1DB1-Normal46"/>
              <w:spacing w:after="0" w:line="240" w:lineRule="auto"/>
              <w:rPr>
                <w:rFonts w:eastAsia="Times New Roman" w:cs="Times New Roman"/>
                <w:noProof/>
              </w:rPr>
            </w:pPr>
            <w:r>
              <w:rPr>
                <w:noProof/>
              </w:rPr>
              <w:t>C19.I3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1A8A7A"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43F625A" w14:textId="77777777" w:rsidR="003E1D81" w:rsidRDefault="00EB481C">
            <w:pPr>
              <w:pStyle w:val="P68B1DB1-Normal46"/>
              <w:spacing w:after="0" w:line="240" w:lineRule="auto"/>
              <w:rPr>
                <w:rFonts w:eastAsia="Times New Roman" w:cs="Times New Roman"/>
                <w:noProof/>
              </w:rPr>
            </w:pPr>
            <w:r>
              <w:rPr>
                <w:noProof/>
              </w:rPr>
              <w:t>Digitális képzés a munkakörnyezetben</w:t>
            </w:r>
          </w:p>
        </w:tc>
      </w:tr>
      <w:tr w:rsidR="003E1D81" w14:paraId="5BC6DBA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48C7D2" w14:textId="77777777" w:rsidR="003E1D81" w:rsidRDefault="00EB481C">
            <w:pPr>
              <w:pStyle w:val="P68B1DB1-Normal46"/>
              <w:spacing w:after="0" w:line="240" w:lineRule="auto"/>
              <w:jc w:val="center"/>
              <w:rPr>
                <w:rFonts w:eastAsia="Times New Roman" w:cs="Times New Roman"/>
                <w:noProof/>
              </w:rPr>
            </w:pPr>
            <w:r>
              <w:rPr>
                <w:noProof/>
              </w:rPr>
              <w:t>469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268DC5" w14:textId="77777777" w:rsidR="003E1D81" w:rsidRDefault="00EB481C">
            <w:pPr>
              <w:pStyle w:val="P68B1DB1-Normal46"/>
              <w:spacing w:after="0" w:line="240" w:lineRule="auto"/>
              <w:rPr>
                <w:rFonts w:eastAsia="Times New Roman" w:cs="Times New Roman"/>
                <w:noProof/>
              </w:rPr>
            </w:pPr>
            <w:r>
              <w:rPr>
                <w:noProof/>
              </w:rPr>
              <w:t>C21.I6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219872C"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8637D33" w14:textId="77777777" w:rsidR="003E1D81" w:rsidRDefault="00EB481C">
            <w:pPr>
              <w:pStyle w:val="P68B1DB1-Normal46"/>
              <w:spacing w:after="0" w:line="240" w:lineRule="auto"/>
              <w:rPr>
                <w:rFonts w:eastAsia="Times New Roman" w:cs="Times New Roman"/>
                <w:noProof/>
              </w:rPr>
            </w:pPr>
            <w:r>
              <w:rPr>
                <w:noProof/>
              </w:rPr>
              <w:t>Felnőtteknek kiállított egyetemi mikrotanúsítványok</w:t>
            </w:r>
          </w:p>
        </w:tc>
      </w:tr>
      <w:tr w:rsidR="003E1D81" w14:paraId="5642E12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E666FE" w14:textId="77777777" w:rsidR="003E1D81" w:rsidRDefault="00EB481C">
            <w:pPr>
              <w:pStyle w:val="P68B1DB1-Normal46"/>
              <w:spacing w:after="0" w:line="240" w:lineRule="auto"/>
              <w:jc w:val="center"/>
              <w:rPr>
                <w:rFonts w:eastAsia="Times New Roman" w:cs="Times New Roman"/>
                <w:noProof/>
              </w:rPr>
            </w:pPr>
            <w:r>
              <w:rPr>
                <w:noProof/>
              </w:rPr>
              <w:t>323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0A14BD" w14:textId="77777777" w:rsidR="003E1D81" w:rsidRDefault="00EB481C">
            <w:pPr>
              <w:pStyle w:val="P68B1DB1-Normal46"/>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CA50E2"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DA6BF" w14:textId="77777777" w:rsidR="003E1D81" w:rsidRDefault="00EB481C">
            <w:pPr>
              <w:pStyle w:val="P68B1DB1-Normal46"/>
              <w:spacing w:after="0" w:line="240" w:lineRule="auto"/>
              <w:rPr>
                <w:rFonts w:eastAsia="Times New Roman" w:cs="Times New Roman"/>
                <w:noProof/>
              </w:rPr>
            </w:pPr>
            <w:r>
              <w:rPr>
                <w:noProof/>
              </w:rPr>
              <w:t xml:space="preserve">Bentlakásos, nem lakáscélú és nappali ápolási-gondozási helyek.  </w:t>
            </w:r>
          </w:p>
        </w:tc>
      </w:tr>
      <w:tr w:rsidR="003E1D81" w14:paraId="47C042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C46112" w14:textId="77777777" w:rsidR="003E1D81" w:rsidRDefault="00EB481C">
            <w:pPr>
              <w:pStyle w:val="P68B1DB1-Normal46"/>
              <w:spacing w:after="0" w:line="240" w:lineRule="auto"/>
              <w:jc w:val="center"/>
              <w:rPr>
                <w:rFonts w:eastAsia="Times New Roman" w:cs="Times New Roman"/>
                <w:noProof/>
              </w:rPr>
            </w:pPr>
            <w:r>
              <w:rPr>
                <w:noProof/>
              </w:rPr>
              <w:t>328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ECCC974" w14:textId="77777777" w:rsidR="003E1D81" w:rsidRDefault="00EB481C">
            <w:pPr>
              <w:pStyle w:val="P68B1DB1-Normal46"/>
              <w:spacing w:after="0" w:line="240" w:lineRule="auto"/>
              <w:rPr>
                <w:rFonts w:eastAsia="Times New Roman" w:cs="Times New Roman"/>
                <w:noProof/>
              </w:rPr>
            </w:pPr>
            <w:r>
              <w:rPr>
                <w:noProof/>
              </w:rPr>
              <w:t>C22.I5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593FC9"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7F0B0EC" w14:textId="77777777" w:rsidR="003E1D81" w:rsidRDefault="00EB481C">
            <w:pPr>
              <w:pStyle w:val="P68B1DB1-Normal46"/>
              <w:spacing w:after="0" w:line="240" w:lineRule="auto"/>
              <w:rPr>
                <w:rFonts w:eastAsia="Times New Roman" w:cs="Times New Roman"/>
                <w:noProof/>
              </w:rPr>
            </w:pPr>
            <w:r>
              <w:rPr>
                <w:noProof/>
              </w:rPr>
              <w:t xml:space="preserve">A migránsok és a nemzetközi védelmet kérelmezők befogadási rendszerének kapacitása </w:t>
            </w:r>
          </w:p>
        </w:tc>
      </w:tr>
      <w:tr w:rsidR="003E1D81" w14:paraId="76F5DFD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CBA0B9" w14:textId="77777777" w:rsidR="003E1D81" w:rsidRDefault="00EB481C">
            <w:pPr>
              <w:pStyle w:val="P68B1DB1-Normal46"/>
              <w:spacing w:after="0" w:line="240" w:lineRule="auto"/>
              <w:jc w:val="center"/>
              <w:rPr>
                <w:rFonts w:eastAsia="Times New Roman" w:cs="Times New Roman"/>
                <w:noProof/>
              </w:rPr>
            </w:pPr>
            <w:r>
              <w:rPr>
                <w:noProof/>
              </w:rPr>
              <w:t>475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FE1AEEC" w14:textId="77777777" w:rsidR="003E1D81" w:rsidRDefault="00EB481C">
            <w:pPr>
              <w:pStyle w:val="P68B1DB1-Normal46"/>
              <w:spacing w:after="0" w:line="240" w:lineRule="auto"/>
              <w:rPr>
                <w:rFonts w:eastAsia="Times New Roman" w:cs="Times New Roman"/>
                <w:noProof/>
              </w:rPr>
            </w:pPr>
            <w:r>
              <w:rPr>
                <w:noProof/>
              </w:rPr>
              <w:t>C24.I1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008C24"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00D3D4F" w14:textId="173AE4AA" w:rsidR="003E1D81" w:rsidRDefault="00EB481C">
            <w:pPr>
              <w:pStyle w:val="P68B1DB1-Normal46"/>
              <w:spacing w:after="0" w:line="240" w:lineRule="auto"/>
              <w:rPr>
                <w:rFonts w:eastAsia="Times New Roman" w:cs="Times New Roman"/>
                <w:noProof/>
              </w:rPr>
            </w:pPr>
            <w:r>
              <w:rPr>
                <w:noProof/>
              </w:rPr>
              <w:t xml:space="preserve">A kulturális iparágak versenyképességének megerősítését célzó kezdeményezések </w:t>
            </w:r>
            <w:r>
              <w:rPr>
                <w:noProof/>
              </w:rPr>
              <w:t>és projektek lezárása</w:t>
            </w:r>
          </w:p>
        </w:tc>
      </w:tr>
      <w:tr w:rsidR="003E1D81" w14:paraId="38B0060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98C9F1" w14:textId="77777777" w:rsidR="003E1D81" w:rsidRDefault="00EB481C">
            <w:pPr>
              <w:pStyle w:val="P68B1DB1-Normal46"/>
              <w:spacing w:after="0" w:line="240" w:lineRule="auto"/>
              <w:jc w:val="center"/>
              <w:rPr>
                <w:rFonts w:eastAsia="Times New Roman" w:cs="Times New Roman"/>
                <w:noProof/>
              </w:rPr>
            </w:pPr>
            <w:r>
              <w:rPr>
                <w:noProof/>
              </w:rPr>
              <w:t>474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D87FB30" w14:textId="77777777" w:rsidR="003E1D81" w:rsidRDefault="00EB481C">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BC5C12"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924ED4B" w14:textId="77777777" w:rsidR="003E1D81" w:rsidRDefault="00EB481C">
            <w:pPr>
              <w:pStyle w:val="P68B1DB1-Normal46"/>
              <w:spacing w:after="0" w:line="240" w:lineRule="auto"/>
              <w:rPr>
                <w:rFonts w:eastAsia="Times New Roman" w:cs="Times New Roman"/>
                <w:noProof/>
              </w:rPr>
            </w:pPr>
            <w:r>
              <w:rPr>
                <w:noProof/>
              </w:rPr>
              <w:t>A spanyol kulturális örökség megőrzése, helyreállítása és fejlesztése (Tabacalera)</w:t>
            </w:r>
          </w:p>
        </w:tc>
      </w:tr>
      <w:tr w:rsidR="003E1D81" w14:paraId="58A402D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E4F637" w14:textId="77777777" w:rsidR="003E1D81" w:rsidRDefault="00EB481C">
            <w:pPr>
              <w:pStyle w:val="P68B1DB1-Normal46"/>
              <w:spacing w:after="0" w:line="240" w:lineRule="auto"/>
              <w:jc w:val="center"/>
              <w:rPr>
                <w:rFonts w:eastAsia="Times New Roman" w:cs="Times New Roman"/>
                <w:noProof/>
              </w:rPr>
            </w:pPr>
            <w:r>
              <w:rPr>
                <w:noProof/>
              </w:rPr>
              <w:t>478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C67F7D" w14:textId="77777777" w:rsidR="003E1D81" w:rsidRDefault="00EB481C">
            <w:pPr>
              <w:pStyle w:val="P68B1DB1-Normal46"/>
              <w:spacing w:after="0" w:line="240" w:lineRule="auto"/>
              <w:rPr>
                <w:rFonts w:eastAsia="Times New Roman" w:cs="Times New Roman"/>
                <w:noProof/>
              </w:rPr>
            </w:pPr>
            <w:r>
              <w:rPr>
                <w:noProof/>
              </w:rPr>
              <w:t>C31.I1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159A48"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2CC74A6" w14:textId="77777777" w:rsidR="003E1D81" w:rsidRDefault="00EB481C">
            <w:pPr>
              <w:pStyle w:val="P68B1DB1-Normal46"/>
              <w:spacing w:after="0" w:line="240" w:lineRule="auto"/>
              <w:rPr>
                <w:rFonts w:eastAsia="Times New Roman" w:cs="Times New Roman"/>
                <w:noProof/>
              </w:rPr>
            </w:pPr>
            <w:r>
              <w:rPr>
                <w:noProof/>
              </w:rPr>
              <w:t xml:space="preserve">A megújulóenergia-termelésen alapuló energiatárolást vagy saját fogyasztást vagy a fogyasztásmérő nélküli tárolást </w:t>
            </w:r>
            <w:r>
              <w:rPr>
                <w:noProof/>
              </w:rPr>
              <w:t>előmozdító beruházások</w:t>
            </w:r>
          </w:p>
        </w:tc>
      </w:tr>
      <w:tr w:rsidR="003E1D81" w14:paraId="3A1B992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0E83BF" w14:textId="77777777" w:rsidR="003E1D81" w:rsidRDefault="00EB481C">
            <w:pPr>
              <w:pStyle w:val="P68B1DB1-Normal46"/>
              <w:spacing w:after="0" w:line="240" w:lineRule="auto"/>
              <w:jc w:val="center"/>
              <w:rPr>
                <w:rFonts w:eastAsia="Times New Roman" w:cs="Times New Roman"/>
                <w:noProof/>
              </w:rPr>
            </w:pPr>
            <w:r>
              <w:rPr>
                <w:noProof/>
              </w:rPr>
              <w:t>479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2E0F759" w14:textId="77777777" w:rsidR="003E1D81" w:rsidRDefault="00EB481C">
            <w:pPr>
              <w:pStyle w:val="P68B1DB1-Normal46"/>
              <w:spacing w:after="0" w:line="240" w:lineRule="auto"/>
              <w:rPr>
                <w:rFonts w:eastAsia="Times New Roman" w:cs="Times New Roman"/>
                <w:noProof/>
              </w:rPr>
            </w:pPr>
            <w:r>
              <w:rPr>
                <w:noProof/>
              </w:rPr>
              <w:t>C31.I1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7DFDAE"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B79C8DC" w14:textId="77777777" w:rsidR="003E1D81" w:rsidRDefault="00EB481C">
            <w:pPr>
              <w:pStyle w:val="P68B1DB1-Normal46"/>
              <w:spacing w:after="0" w:line="240" w:lineRule="auto"/>
              <w:rPr>
                <w:rFonts w:eastAsia="Times New Roman" w:cs="Times New Roman"/>
                <w:noProof/>
              </w:rPr>
            </w:pPr>
            <w:r>
              <w:rPr>
                <w:noProof/>
              </w:rPr>
              <w:t>Az energiaközösségek által végrehajtott kezdeményezések száma</w:t>
            </w:r>
          </w:p>
        </w:tc>
      </w:tr>
      <w:tr w:rsidR="003E1D81" w14:paraId="2862131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CF6979" w14:textId="77777777" w:rsidR="003E1D81" w:rsidRDefault="00EB481C">
            <w:pPr>
              <w:pStyle w:val="P68B1DB1-Normal46"/>
              <w:spacing w:after="0" w:line="240" w:lineRule="auto"/>
              <w:jc w:val="center"/>
              <w:rPr>
                <w:rFonts w:eastAsia="Times New Roman" w:cs="Times New Roman"/>
                <w:noProof/>
              </w:rPr>
            </w:pPr>
            <w:r>
              <w:rPr>
                <w:noProof/>
              </w:rPr>
              <w:t>482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30E2DE8" w14:textId="77777777" w:rsidR="003E1D81" w:rsidRDefault="00EB481C">
            <w:pPr>
              <w:pStyle w:val="P68B1DB1-Normal46"/>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2040D26"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0794BE9" w14:textId="496313BE" w:rsidR="003E1D81" w:rsidRDefault="00EB481C">
            <w:pPr>
              <w:pStyle w:val="P68B1DB1-Normal46"/>
              <w:spacing w:after="0" w:line="240" w:lineRule="auto"/>
              <w:rPr>
                <w:rFonts w:eastAsia="Times New Roman" w:cs="Times New Roman"/>
                <w:noProof/>
              </w:rPr>
            </w:pPr>
            <w:r>
              <w:rPr>
                <w:noProof/>
              </w:rPr>
              <w:t xml:space="preserve">A megújuló hidrogén támogatási rendszere: A végső kedvezményezettekkel aláírt jogi megállapodások vagy végleges odaítélési határozatok </w:t>
            </w:r>
            <w:r>
              <w:rPr>
                <w:noProof/>
              </w:rPr>
              <w:t>közzététele (II)</w:t>
            </w:r>
          </w:p>
        </w:tc>
      </w:tr>
      <w:tr w:rsidR="003E1D81" w14:paraId="68069B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8262D1" w14:textId="77777777" w:rsidR="003E1D81" w:rsidRDefault="00EB481C">
            <w:pPr>
              <w:pStyle w:val="P68B1DB1-Normal46"/>
              <w:spacing w:after="0" w:line="240" w:lineRule="auto"/>
              <w:jc w:val="center"/>
              <w:rPr>
                <w:rFonts w:eastAsia="Times New Roman" w:cs="Times New Roman"/>
                <w:noProof/>
              </w:rPr>
            </w:pPr>
            <w:r>
              <w:rPr>
                <w:noProof/>
              </w:rPr>
              <w:t>486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15DE7F" w14:textId="77777777" w:rsidR="003E1D81" w:rsidRDefault="00EB481C">
            <w:pPr>
              <w:pStyle w:val="P68B1DB1-Normal46"/>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055733"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7EF07AF" w14:textId="25FE1524" w:rsidR="003E1D81" w:rsidRDefault="00EB481C">
            <w:pPr>
              <w:pStyle w:val="P68B1DB1-Normal46"/>
              <w:spacing w:after="0" w:line="240" w:lineRule="auto"/>
              <w:rPr>
                <w:rFonts w:eastAsia="Times New Roman" w:cs="Times New Roman"/>
                <w:noProof/>
              </w:rPr>
            </w:pPr>
            <w:r>
              <w:rPr>
                <w:noProof/>
              </w:rPr>
              <w:t>Az értéklánc támogatási rendszere: A végső kedvezményezettekkel aláírt jogi megállapodások vagy végleges odaítélési határozatok közzététele (II)</w:t>
            </w:r>
          </w:p>
        </w:tc>
      </w:tr>
      <w:tr w:rsidR="003E1D81" w14:paraId="05809DD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823F7B" w14:textId="77777777" w:rsidR="003E1D81" w:rsidRDefault="00EB481C">
            <w:pPr>
              <w:pStyle w:val="P68B1DB1-Normal46"/>
              <w:spacing w:after="0" w:line="240" w:lineRule="auto"/>
              <w:jc w:val="center"/>
              <w:rPr>
                <w:rFonts w:eastAsia="Times New Roman" w:cs="Times New Roman"/>
                <w:noProof/>
              </w:rPr>
            </w:pPr>
            <w:r>
              <w:rPr>
                <w:noProof/>
              </w:rPr>
              <w:t>490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CA3A94" w14:textId="77777777" w:rsidR="003E1D81" w:rsidRDefault="00EB481C">
            <w:pPr>
              <w:pStyle w:val="P68B1DB1-Normal46"/>
              <w:spacing w:after="0" w:line="240" w:lineRule="auto"/>
              <w:rPr>
                <w:rFonts w:eastAsia="Times New Roman" w:cs="Times New Roman"/>
                <w:noProof/>
              </w:rPr>
            </w:pPr>
            <w:r>
              <w:rPr>
                <w:noProof/>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364B5C"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9F5CB30" w14:textId="77777777" w:rsidR="003E1D81" w:rsidRDefault="00EB481C">
            <w:pPr>
              <w:pStyle w:val="P68B1DB1-Normal46"/>
              <w:spacing w:after="0" w:line="240" w:lineRule="auto"/>
              <w:rPr>
                <w:rFonts w:eastAsia="Times New Roman" w:cs="Times New Roman"/>
                <w:noProof/>
              </w:rPr>
            </w:pPr>
            <w:r>
              <w:rPr>
                <w:noProof/>
              </w:rPr>
              <w:t>A támogatott villamosenergia-átviteli projektek lezárása</w:t>
            </w:r>
          </w:p>
        </w:tc>
      </w:tr>
      <w:tr w:rsidR="003E1D81" w14:paraId="5884615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344428" w14:textId="77777777" w:rsidR="003E1D81" w:rsidRDefault="00EB481C">
            <w:pPr>
              <w:pStyle w:val="P68B1DB1-Normal46"/>
              <w:spacing w:after="0" w:line="240" w:lineRule="auto"/>
              <w:jc w:val="center"/>
              <w:rPr>
                <w:rFonts w:eastAsia="Times New Roman" w:cs="Times New Roman"/>
                <w:noProof/>
              </w:rPr>
            </w:pPr>
            <w:r>
              <w:rPr>
                <w:noProof/>
              </w:rPr>
              <w:t>493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278076" w14:textId="77777777" w:rsidR="003E1D81" w:rsidRDefault="00EB481C">
            <w:pPr>
              <w:pStyle w:val="P68B1DB1-Normal46"/>
              <w:spacing w:after="0" w:line="240" w:lineRule="auto"/>
              <w:rPr>
                <w:rFonts w:eastAsia="Times New Roman" w:cs="Times New Roman"/>
                <w:noProof/>
              </w:rPr>
            </w:pPr>
            <w:r>
              <w:rPr>
                <w:noProof/>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77DEBE" w14:textId="77777777" w:rsidR="003E1D81" w:rsidRDefault="00EB481C">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9A921DA" w14:textId="77777777" w:rsidR="003E1D81" w:rsidRDefault="00EB481C">
            <w:pPr>
              <w:pStyle w:val="P68B1DB1-Normal46"/>
              <w:spacing w:after="0" w:line="240" w:lineRule="auto"/>
              <w:rPr>
                <w:rFonts w:eastAsia="Times New Roman" w:cs="Times New Roman"/>
                <w:noProof/>
              </w:rPr>
            </w:pPr>
            <w:r>
              <w:rPr>
                <w:noProof/>
              </w:rPr>
              <w:t>Dekarbonizációs projektek lezárása</w:t>
            </w:r>
          </w:p>
        </w:tc>
      </w:tr>
      <w:tr w:rsidR="003E1D81" w14:paraId="7C7B002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981D53" w14:textId="77777777" w:rsidR="003E1D81" w:rsidRDefault="00EB481C">
            <w:pPr>
              <w:pStyle w:val="P68B1DB1-Normal46"/>
              <w:spacing w:after="0" w:line="240" w:lineRule="auto"/>
              <w:jc w:val="center"/>
              <w:rPr>
                <w:rFonts w:eastAsia="Times New Roman" w:cs="Times New Roman"/>
                <w:noProof/>
              </w:rPr>
            </w:pPr>
            <w:r>
              <w:rPr>
                <w:noProof/>
              </w:rPr>
              <w:t>496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A9F29D" w14:textId="77777777" w:rsidR="003E1D81" w:rsidRDefault="00EB481C">
            <w:pPr>
              <w:pStyle w:val="P68B1DB1-Normal46"/>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CD355F" w14:textId="77777777" w:rsidR="003E1D81" w:rsidRDefault="00EB481C">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8854A2B" w14:textId="77777777" w:rsidR="003E1D81" w:rsidRDefault="00EB481C">
            <w:pPr>
              <w:pStyle w:val="P68B1DB1-Normal46"/>
              <w:spacing w:after="0" w:line="240" w:lineRule="auto"/>
              <w:rPr>
                <w:rFonts w:eastAsia="Times New Roman" w:cs="Times New Roman"/>
                <w:noProof/>
              </w:rPr>
            </w:pPr>
            <w:r>
              <w:rPr>
                <w:noProof/>
              </w:rPr>
              <w:t>Az ipari dekarbonizációt célzó támogatási rendszer: A végső kedvezményezettekkel aláírt jogi megállapodások vagy a végső odaítélési határozatok közzététele</w:t>
            </w:r>
          </w:p>
        </w:tc>
      </w:tr>
      <w:tr w:rsidR="003E1D81" w14:paraId="651D1B6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EAB7EF" w14:textId="77777777" w:rsidR="003E1D81" w:rsidRDefault="003E1D81">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9F4CA0" w14:textId="77777777" w:rsidR="003E1D81" w:rsidRDefault="003E1D81">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4B7940" w14:textId="09326149" w:rsidR="003E1D81" w:rsidRDefault="00EB481C">
            <w:pPr>
              <w:pStyle w:val="P68B1DB1-Normal45"/>
              <w:spacing w:after="0" w:line="240" w:lineRule="auto"/>
              <w:rPr>
                <w:rFonts w:eastAsia="Times New Roman" w:cs="Times New Roman"/>
                <w:noProof/>
              </w:rPr>
            </w:pPr>
            <w:r>
              <w:rPr>
                <w:noProof/>
              </w:rPr>
              <w:t>Részösszeg</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677985D" w14:textId="05D07DD9" w:rsidR="003E1D81" w:rsidRDefault="00EB481C">
            <w:pPr>
              <w:pStyle w:val="P68B1DB1-Normal45"/>
              <w:spacing w:after="0" w:line="240" w:lineRule="auto"/>
              <w:rPr>
                <w:rFonts w:eastAsia="Times New Roman" w:cs="Times New Roman"/>
                <w:noProof/>
              </w:rPr>
            </w:pPr>
            <w:r>
              <w:rPr>
                <w:noProof/>
              </w:rPr>
              <w:t xml:space="preserve">·EURÓPAI BIZOTTSÁG </w:t>
            </w:r>
            <w:r>
              <w:rPr>
                <w:noProof/>
              </w:rPr>
              <w:t>8 017 775 948 EUR</w:t>
            </w:r>
          </w:p>
        </w:tc>
      </w:tr>
    </w:tbl>
    <w:p w14:paraId="16D5F339" w14:textId="77777777" w:rsidR="003E1D81" w:rsidRDefault="003E1D81">
      <w:pPr>
        <w:spacing w:before="120" w:after="120" w:line="240" w:lineRule="auto"/>
        <w:jc w:val="both"/>
        <w:rPr>
          <w:rFonts w:ascii="Times New Roman" w:eastAsia="Calibri" w:hAnsi="Times New Roman" w:cs="Times New Roman"/>
          <w:noProof/>
          <w:sz w:val="24"/>
        </w:rPr>
      </w:pPr>
    </w:p>
    <w:p w14:paraId="4D99498E" w14:textId="77777777" w:rsidR="003E1D81" w:rsidRDefault="003E1D81">
      <w:pPr>
        <w:spacing w:before="120" w:after="120" w:line="240" w:lineRule="auto"/>
        <w:jc w:val="both"/>
        <w:rPr>
          <w:rFonts w:ascii="Times New Roman" w:eastAsia="Calibri" w:hAnsi="Times New Roman" w:cs="Times New Roman"/>
          <w:noProof/>
          <w:sz w:val="24"/>
        </w:rPr>
      </w:pPr>
    </w:p>
    <w:p w14:paraId="0CA79CFD" w14:textId="30DF263D" w:rsidR="003E1D81" w:rsidRDefault="00EB481C">
      <w:pPr>
        <w:pStyle w:val="P68B1DB1-Normal43"/>
        <w:numPr>
          <w:ilvl w:val="0"/>
          <w:numId w:val="50"/>
        </w:numPr>
        <w:spacing w:before="120" w:after="120" w:line="240" w:lineRule="auto"/>
        <w:jc w:val="both"/>
        <w:rPr>
          <w:rFonts w:eastAsia="Calibri" w:cs="Times New Roman"/>
          <w:noProof/>
        </w:rPr>
      </w:pPr>
      <w:r>
        <w:rPr>
          <w:noProof/>
        </w:rPr>
        <w:t xml:space="preserve">Kölcsön </w:t>
      </w:r>
    </w:p>
    <w:p w14:paraId="153E4591" w14:textId="78F92C86" w:rsidR="003E1D81" w:rsidRDefault="00EB481C">
      <w:pPr>
        <w:pStyle w:val="P68B1DB1-Normal4"/>
        <w:spacing w:before="120" w:after="120" w:line="240" w:lineRule="auto"/>
        <w:ind w:left="850"/>
        <w:jc w:val="both"/>
        <w:rPr>
          <w:rFonts w:eastAsia="Calibri" w:cs="Times New Roman"/>
          <w:noProof/>
        </w:rPr>
      </w:pPr>
      <w:r>
        <w:rPr>
          <w:noProof/>
        </w:rPr>
        <w:t>A 2a. cikk (2) bekezdésében említett részleteket a következőképpen kell megszervezni:</w:t>
      </w:r>
    </w:p>
    <w:p w14:paraId="37C02A2E" w14:textId="77777777"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Első részösszeg (hitel formájában nyújtott támogatás): </w:t>
      </w:r>
    </w:p>
    <w:tbl>
      <w:tblPr>
        <w:tblW w:w="9663" w:type="dxa"/>
        <w:tblInd w:w="113" w:type="dxa"/>
        <w:tblLook w:val="04A0" w:firstRow="1" w:lastRow="0" w:firstColumn="1" w:lastColumn="0" w:noHBand="0" w:noVBand="1"/>
      </w:tblPr>
      <w:tblGrid>
        <w:gridCol w:w="1300"/>
        <w:gridCol w:w="1443"/>
        <w:gridCol w:w="1416"/>
        <w:gridCol w:w="5670"/>
      </w:tblGrid>
      <w:tr w:rsidR="003E1D81" w14:paraId="69124C72" w14:textId="77777777">
        <w:trPr>
          <w:trHeight w:val="906"/>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21F0831" w14:textId="77777777" w:rsidR="003E1D81" w:rsidRDefault="00EB481C">
            <w:pPr>
              <w:pStyle w:val="P68B1DB1-Normal45"/>
              <w:spacing w:after="0" w:line="240" w:lineRule="auto"/>
              <w:jc w:val="center"/>
              <w:rPr>
                <w:rFonts w:eastAsia="Times New Roman" w:cs="Times New Roman"/>
                <w:noProof/>
              </w:rPr>
            </w:pPr>
            <w:r>
              <w:rPr>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B8A25B4" w14:textId="77777777" w:rsidR="003E1D81" w:rsidRDefault="00EB481C">
            <w:pPr>
              <w:pStyle w:val="P68B1DB1-Normal45"/>
              <w:spacing w:after="0" w:line="240" w:lineRule="auto"/>
              <w:jc w:val="center"/>
              <w:rPr>
                <w:rFonts w:eastAsia="Times New Roman" w:cs="Times New Roman"/>
                <w:noProof/>
              </w:rPr>
            </w:pPr>
            <w:r>
              <w:rPr>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DD5456D"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59D55B09"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0C3E33E9"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E0BABFE" w14:textId="77777777" w:rsidR="003E1D81" w:rsidRDefault="003E1D81">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0D235C6" w14:textId="77777777" w:rsidR="003E1D81" w:rsidRDefault="003E1D81">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3B65A234" w14:textId="77777777" w:rsidR="003E1D81" w:rsidRDefault="003E1D81">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450C8459" w14:textId="77777777" w:rsidR="003E1D81" w:rsidRDefault="003E1D81">
            <w:pPr>
              <w:spacing w:after="0" w:line="240" w:lineRule="auto"/>
              <w:rPr>
                <w:rFonts w:ascii="Times New Roman" w:eastAsia="Times New Roman" w:hAnsi="Times New Roman" w:cs="Times New Roman"/>
                <w:b/>
                <w:noProof/>
                <w:sz w:val="20"/>
              </w:rPr>
            </w:pPr>
          </w:p>
        </w:tc>
      </w:tr>
      <w:tr w:rsidR="003E1D81" w14:paraId="7B3EA417" w14:textId="77777777">
        <w:trPr>
          <w:trHeight w:val="302"/>
        </w:trPr>
        <w:tc>
          <w:tcPr>
            <w:tcW w:w="1300" w:type="dxa"/>
            <w:tcBorders>
              <w:top w:val="nil"/>
              <w:left w:val="single" w:sz="4" w:space="0" w:color="auto"/>
              <w:bottom w:val="single" w:sz="4" w:space="0" w:color="auto"/>
              <w:right w:val="single" w:sz="4" w:space="0" w:color="auto"/>
            </w:tcBorders>
            <w:shd w:val="clear" w:color="auto" w:fill="C6EFCE"/>
            <w:noWrap/>
            <w:vAlign w:val="bottom"/>
            <w:hideMark/>
          </w:tcPr>
          <w:p w14:paraId="495A227F" w14:textId="77777777" w:rsidR="003E1D81" w:rsidRDefault="00EB481C">
            <w:pPr>
              <w:pStyle w:val="P68B1DB1-Normal46"/>
              <w:spacing w:after="0" w:line="240" w:lineRule="auto"/>
              <w:jc w:val="center"/>
              <w:rPr>
                <w:rFonts w:eastAsia="Times New Roman" w:cs="Times New Roman"/>
                <w:noProof/>
              </w:rPr>
            </w:pPr>
            <w:r>
              <w:rPr>
                <w:noProof/>
              </w:rPr>
              <w:t>L1</w:t>
            </w:r>
          </w:p>
        </w:tc>
        <w:tc>
          <w:tcPr>
            <w:tcW w:w="1443" w:type="dxa"/>
            <w:tcBorders>
              <w:top w:val="nil"/>
              <w:left w:val="nil"/>
              <w:bottom w:val="single" w:sz="4" w:space="0" w:color="auto"/>
              <w:right w:val="single" w:sz="4" w:space="0" w:color="auto"/>
            </w:tcBorders>
            <w:shd w:val="clear" w:color="auto" w:fill="C6EFCE"/>
            <w:noWrap/>
            <w:vAlign w:val="bottom"/>
            <w:hideMark/>
          </w:tcPr>
          <w:p w14:paraId="21EA4C76" w14:textId="77777777" w:rsidR="003E1D81" w:rsidRDefault="00EB481C">
            <w:pPr>
              <w:pStyle w:val="P68B1DB1-Normal46"/>
              <w:spacing w:after="0" w:line="240" w:lineRule="auto"/>
              <w:rPr>
                <w:rFonts w:eastAsia="Times New Roman" w:cs="Times New Roman"/>
                <w:noProof/>
              </w:rPr>
            </w:pPr>
            <w:r>
              <w:rPr>
                <w:noProof/>
              </w:rPr>
              <w:t>C1.R3</w:t>
            </w:r>
          </w:p>
        </w:tc>
        <w:tc>
          <w:tcPr>
            <w:tcW w:w="1250" w:type="dxa"/>
            <w:tcBorders>
              <w:top w:val="nil"/>
              <w:left w:val="nil"/>
              <w:bottom w:val="single" w:sz="4" w:space="0" w:color="auto"/>
              <w:right w:val="single" w:sz="4" w:space="0" w:color="auto"/>
            </w:tcBorders>
            <w:shd w:val="clear" w:color="auto" w:fill="C6EFCE"/>
            <w:noWrap/>
            <w:vAlign w:val="bottom"/>
            <w:hideMark/>
          </w:tcPr>
          <w:p w14:paraId="34841B0B"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nil"/>
              <w:left w:val="nil"/>
              <w:bottom w:val="single" w:sz="4" w:space="0" w:color="auto"/>
              <w:right w:val="single" w:sz="4" w:space="0" w:color="auto"/>
            </w:tcBorders>
            <w:shd w:val="clear" w:color="auto" w:fill="C6EFCE"/>
            <w:noWrap/>
            <w:vAlign w:val="bottom"/>
            <w:hideMark/>
          </w:tcPr>
          <w:p w14:paraId="4B0E361C" w14:textId="77777777" w:rsidR="003E1D81" w:rsidRDefault="00EB481C">
            <w:pPr>
              <w:pStyle w:val="P68B1DB1-Normal46"/>
              <w:spacing w:after="0" w:line="240" w:lineRule="auto"/>
              <w:rPr>
                <w:rFonts w:eastAsia="Times New Roman" w:cs="Times New Roman"/>
                <w:noProof/>
              </w:rPr>
            </w:pPr>
            <w:r>
              <w:rPr>
                <w:noProof/>
              </w:rPr>
              <w:t>Az alacsony kibocsátású övezeteket szabályozó királyi rendelet hatálybalépése</w:t>
            </w:r>
          </w:p>
        </w:tc>
      </w:tr>
      <w:tr w:rsidR="003E1D81" w14:paraId="7801387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D29F0FB" w14:textId="77777777" w:rsidR="003E1D81" w:rsidRDefault="003E1D81">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D0E92F1" w14:textId="77777777" w:rsidR="003E1D81" w:rsidRDefault="003E1D81">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3280582" w14:textId="77777777" w:rsidR="003E1D81" w:rsidRDefault="00EB481C">
            <w:pPr>
              <w:pStyle w:val="P68B1DB1-Normal45"/>
              <w:spacing w:after="0" w:line="240" w:lineRule="auto"/>
              <w:rPr>
                <w:rFonts w:eastAsia="Times New Roman" w:cs="Times New Roman"/>
                <w:noProof/>
              </w:rPr>
            </w:pPr>
            <w:r>
              <w:rPr>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6843E3" w14:textId="26061622" w:rsidR="003E1D81" w:rsidRDefault="00EB481C">
            <w:pPr>
              <w:pStyle w:val="P68B1DB1-Normal45"/>
              <w:spacing w:after="0" w:line="240" w:lineRule="auto"/>
              <w:rPr>
                <w:rFonts w:eastAsia="Times New Roman" w:cs="Times New Roman"/>
                <w:noProof/>
              </w:rPr>
            </w:pPr>
            <w:r>
              <w:rPr>
                <w:noProof/>
              </w:rPr>
              <w:t>·EURÓPAI BIZOTTSÁG 528 000 381 EUR</w:t>
            </w:r>
          </w:p>
        </w:tc>
      </w:tr>
    </w:tbl>
    <w:p w14:paraId="61DF7D93" w14:textId="77777777" w:rsidR="003E1D81" w:rsidRDefault="003E1D81">
      <w:pPr>
        <w:spacing w:before="120" w:after="120" w:line="240" w:lineRule="auto"/>
        <w:jc w:val="both"/>
        <w:rPr>
          <w:rFonts w:ascii="Times New Roman" w:eastAsia="Calibri" w:hAnsi="Times New Roman" w:cs="Times New Roman"/>
          <w:noProof/>
          <w:sz w:val="24"/>
        </w:rPr>
      </w:pPr>
    </w:p>
    <w:p w14:paraId="55E15C86" w14:textId="77777777"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Második részösszeg (hitel formájában nyújtott támogatás): </w:t>
      </w:r>
    </w:p>
    <w:tbl>
      <w:tblPr>
        <w:tblW w:w="9663" w:type="dxa"/>
        <w:tblInd w:w="113" w:type="dxa"/>
        <w:tblLook w:val="04A0" w:firstRow="1" w:lastRow="0" w:firstColumn="1" w:lastColumn="0" w:noHBand="0" w:noVBand="1"/>
      </w:tblPr>
      <w:tblGrid>
        <w:gridCol w:w="1297"/>
        <w:gridCol w:w="1443"/>
        <w:gridCol w:w="1416"/>
        <w:gridCol w:w="5670"/>
      </w:tblGrid>
      <w:tr w:rsidR="003E1D81" w14:paraId="070EFD94" w14:textId="77777777">
        <w:trPr>
          <w:trHeight w:val="906"/>
        </w:trPr>
        <w:tc>
          <w:tcPr>
            <w:tcW w:w="129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1A75EA4" w14:textId="77777777" w:rsidR="003E1D81" w:rsidRDefault="00EB481C">
            <w:pPr>
              <w:pStyle w:val="P68B1DB1-Normal45"/>
              <w:spacing w:after="0" w:line="240" w:lineRule="auto"/>
              <w:jc w:val="center"/>
              <w:rPr>
                <w:rFonts w:eastAsia="Times New Roman" w:cs="Times New Roman"/>
                <w:noProof/>
              </w:rPr>
            </w:pPr>
            <w:r>
              <w:rPr>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CE68AE0" w14:textId="77777777" w:rsidR="003E1D81" w:rsidRDefault="00EB481C">
            <w:pPr>
              <w:pStyle w:val="P68B1DB1-Normal45"/>
              <w:spacing w:after="0" w:line="240" w:lineRule="auto"/>
              <w:jc w:val="center"/>
              <w:rPr>
                <w:rFonts w:eastAsia="Times New Roman" w:cs="Times New Roman"/>
                <w:noProof/>
              </w:rPr>
            </w:pPr>
            <w:r>
              <w:rPr>
                <w:noProof/>
              </w:rPr>
              <w:t>Kapcsolódó intézkedés (reform vagy beruházás)</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36A9049"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6A2E2359"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334484C5" w14:textId="77777777">
        <w:trPr>
          <w:trHeight w:val="509"/>
        </w:trPr>
        <w:tc>
          <w:tcPr>
            <w:tcW w:w="1297" w:type="dxa"/>
            <w:vMerge/>
            <w:tcBorders>
              <w:top w:val="single" w:sz="4" w:space="0" w:color="auto"/>
              <w:left w:val="single" w:sz="4" w:space="0" w:color="auto"/>
              <w:bottom w:val="single" w:sz="4" w:space="0" w:color="000000"/>
              <w:right w:val="single" w:sz="4" w:space="0" w:color="auto"/>
            </w:tcBorders>
            <w:vAlign w:val="center"/>
            <w:hideMark/>
          </w:tcPr>
          <w:p w14:paraId="6522CDFC" w14:textId="77777777" w:rsidR="003E1D81" w:rsidRDefault="003E1D81">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034537BC" w14:textId="77777777" w:rsidR="003E1D81" w:rsidRDefault="003E1D81">
            <w:pPr>
              <w:spacing w:after="0" w:line="240" w:lineRule="auto"/>
              <w:rPr>
                <w:rFonts w:ascii="Times New Roman" w:eastAsia="Times New Roman" w:hAnsi="Times New Roman" w:cs="Times New Roman"/>
                <w:b/>
                <w:noProof/>
                <w:sz w:val="20"/>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14:paraId="1177CC17" w14:textId="77777777" w:rsidR="003E1D81" w:rsidRDefault="003E1D81">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3BDD48F4" w14:textId="77777777" w:rsidR="003E1D81" w:rsidRDefault="003E1D81">
            <w:pPr>
              <w:spacing w:after="0" w:line="240" w:lineRule="auto"/>
              <w:rPr>
                <w:rFonts w:ascii="Times New Roman" w:eastAsia="Times New Roman" w:hAnsi="Times New Roman" w:cs="Times New Roman"/>
                <w:b/>
                <w:noProof/>
                <w:sz w:val="20"/>
              </w:rPr>
            </w:pPr>
          </w:p>
        </w:tc>
      </w:tr>
      <w:tr w:rsidR="003E1D81" w14:paraId="38EA10FF"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A64205" w14:textId="77777777" w:rsidR="003E1D81" w:rsidRDefault="00EB481C">
            <w:pPr>
              <w:pStyle w:val="P68B1DB1-Normal46"/>
              <w:spacing w:after="0" w:line="240" w:lineRule="auto"/>
              <w:jc w:val="center"/>
              <w:rPr>
                <w:rFonts w:eastAsia="Times New Roman" w:cs="Times New Roman"/>
                <w:noProof/>
              </w:rPr>
            </w:pPr>
            <w:r>
              <w:rPr>
                <w:noProof/>
              </w:rPr>
              <w:t>L4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3FAC76" w14:textId="77777777" w:rsidR="003E1D81" w:rsidRDefault="00EB481C">
            <w:pPr>
              <w:pStyle w:val="P68B1DB1-Normal46"/>
              <w:spacing w:after="0" w:line="240" w:lineRule="auto"/>
              <w:rPr>
                <w:rFonts w:eastAsia="Times New Roman" w:cs="Times New Roman"/>
                <w:noProof/>
              </w:rPr>
            </w:pPr>
            <w:r>
              <w:rPr>
                <w:noProof/>
              </w:rPr>
              <w:t>C2.I7</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0CC7DAE6"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A256D96" w14:textId="77777777" w:rsidR="003E1D81" w:rsidRDefault="00EB481C">
            <w:pPr>
              <w:pStyle w:val="P68B1DB1-Normal46"/>
              <w:spacing w:after="0" w:line="240" w:lineRule="auto"/>
              <w:rPr>
                <w:rFonts w:eastAsia="Times New Roman" w:cs="Times New Roman"/>
                <w:noProof/>
              </w:rPr>
            </w:pPr>
            <w:r>
              <w:rPr>
                <w:noProof/>
              </w:rPr>
              <w:t>Végrehajtási megállapodás</w:t>
            </w:r>
          </w:p>
        </w:tc>
      </w:tr>
      <w:tr w:rsidR="003E1D81" w14:paraId="156E1DF5"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A06059" w14:textId="77777777" w:rsidR="003E1D81" w:rsidRDefault="00EB481C">
            <w:pPr>
              <w:pStyle w:val="P68B1DB1-Normal46"/>
              <w:spacing w:after="0" w:line="240" w:lineRule="auto"/>
              <w:jc w:val="center"/>
              <w:rPr>
                <w:rFonts w:eastAsia="Times New Roman" w:cs="Times New Roman"/>
                <w:noProof/>
              </w:rPr>
            </w:pPr>
            <w:r>
              <w:rPr>
                <w:noProof/>
              </w:rPr>
              <w:t>L10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9D2860" w14:textId="77777777" w:rsidR="003E1D81" w:rsidRDefault="00EB481C">
            <w:pPr>
              <w:pStyle w:val="P68B1DB1-Normal46"/>
              <w:spacing w:after="0" w:line="240" w:lineRule="auto"/>
              <w:rPr>
                <w:rFonts w:eastAsia="Times New Roman" w:cs="Times New Roman"/>
                <w:noProof/>
              </w:rPr>
            </w:pPr>
            <w:r>
              <w:rPr>
                <w:noProof/>
              </w:rPr>
              <w:t>C3.I12</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5222AFE2"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7C2561C" w14:textId="77777777" w:rsidR="003E1D81" w:rsidRDefault="00EB481C">
            <w:pPr>
              <w:pStyle w:val="P68B1DB1-Normal46"/>
              <w:spacing w:after="0" w:line="240" w:lineRule="auto"/>
              <w:rPr>
                <w:rFonts w:eastAsia="Times New Roman" w:cs="Times New Roman"/>
                <w:noProof/>
              </w:rPr>
            </w:pPr>
            <w:r>
              <w:rPr>
                <w:noProof/>
              </w:rPr>
              <w:t xml:space="preserve">A Mezőgazdasági, Halászati és Élelmiszerügyi Minisztérium (MAPA) és a SEIASA közötti, az öntözött területek javításának és fenntarthatóságának támogatásáról szóló megállapodás </w:t>
            </w:r>
            <w:r>
              <w:rPr>
                <w:noProof/>
              </w:rPr>
              <w:t>végrehajtása (III. szakasz)</w:t>
            </w:r>
          </w:p>
        </w:tc>
      </w:tr>
      <w:tr w:rsidR="003E1D81" w14:paraId="78F900DE"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7FF2CE" w14:textId="77777777" w:rsidR="003E1D81" w:rsidRDefault="00EB481C">
            <w:pPr>
              <w:pStyle w:val="P68B1DB1-Normal46"/>
              <w:spacing w:after="0" w:line="240" w:lineRule="auto"/>
              <w:jc w:val="center"/>
              <w:rPr>
                <w:rFonts w:eastAsia="Times New Roman" w:cs="Times New Roman"/>
                <w:noProof/>
              </w:rPr>
            </w:pPr>
            <w:r>
              <w:rPr>
                <w:noProof/>
              </w:rPr>
              <w:t>L25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92A886" w14:textId="77777777" w:rsidR="003E1D81" w:rsidRDefault="00EB481C">
            <w:pPr>
              <w:pStyle w:val="P68B1DB1-Normal46"/>
              <w:spacing w:after="0" w:line="240" w:lineRule="auto"/>
              <w:rPr>
                <w:rFonts w:eastAsia="Times New Roman" w:cs="Times New Roman"/>
                <w:noProof/>
              </w:rPr>
            </w:pPr>
            <w:r>
              <w:rPr>
                <w:noProof/>
              </w:rPr>
              <w:t>C13.I6</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7C57CE6E"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F97432D" w14:textId="77777777" w:rsidR="003E1D81" w:rsidRDefault="00EB481C">
            <w:pPr>
              <w:pStyle w:val="P68B1DB1-Normal46"/>
              <w:spacing w:after="0" w:line="240" w:lineRule="auto"/>
              <w:rPr>
                <w:rFonts w:eastAsia="Times New Roman" w:cs="Times New Roman"/>
                <w:noProof/>
              </w:rPr>
            </w:pPr>
            <w:r>
              <w:rPr>
                <w:noProof/>
              </w:rPr>
              <w:t>Végrehajtási megállapodás az ICO zöld vonaláról az ICO-val</w:t>
            </w:r>
          </w:p>
        </w:tc>
      </w:tr>
      <w:tr w:rsidR="003E1D81" w14:paraId="32F6F2C5"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A33798" w14:textId="77777777" w:rsidR="003E1D81" w:rsidRDefault="00EB481C">
            <w:pPr>
              <w:pStyle w:val="P68B1DB1-Normal46"/>
              <w:spacing w:after="0" w:line="240" w:lineRule="auto"/>
              <w:jc w:val="center"/>
              <w:rPr>
                <w:rFonts w:eastAsia="Times New Roman" w:cs="Times New Roman"/>
                <w:noProof/>
              </w:rPr>
            </w:pPr>
            <w:r>
              <w:rPr>
                <w:noProof/>
              </w:rPr>
              <w:t>L30.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9867E9" w14:textId="77777777" w:rsidR="003E1D81" w:rsidRDefault="00EB481C">
            <w:pPr>
              <w:pStyle w:val="P68B1DB1-Normal46"/>
              <w:spacing w:after="0" w:line="240" w:lineRule="auto"/>
              <w:rPr>
                <w:rFonts w:eastAsia="Times New Roman" w:cs="Times New Roman"/>
                <w:noProof/>
              </w:rPr>
            </w:pPr>
            <w:r>
              <w:rPr>
                <w:noProof/>
              </w:rPr>
              <w:t>C13.I6</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1CD71722"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9F43C1" w14:textId="77777777" w:rsidR="003E1D81" w:rsidRDefault="00EB481C">
            <w:pPr>
              <w:pStyle w:val="P68B1DB1-Normal46"/>
              <w:spacing w:after="0" w:line="240" w:lineRule="auto"/>
              <w:rPr>
                <w:rFonts w:eastAsia="Times New Roman" w:cs="Times New Roman"/>
                <w:noProof/>
              </w:rPr>
            </w:pPr>
            <w:r>
              <w:rPr>
                <w:noProof/>
              </w:rPr>
              <w:t xml:space="preserve">Az ICO Vállalkozói és Vállalkozói Keretére vonatkozó végrehajtási megállapodás (beleértve a tőkealapokat is) </w:t>
            </w:r>
          </w:p>
        </w:tc>
      </w:tr>
      <w:tr w:rsidR="003E1D81" w14:paraId="62DBFCE4"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C3720" w14:textId="77777777" w:rsidR="003E1D81" w:rsidRDefault="00EB481C">
            <w:pPr>
              <w:pStyle w:val="P68B1DB1-Normal46"/>
              <w:spacing w:after="0" w:line="240" w:lineRule="auto"/>
              <w:jc w:val="center"/>
              <w:rPr>
                <w:rFonts w:eastAsia="Times New Roman" w:cs="Times New Roman"/>
                <w:noProof/>
              </w:rPr>
            </w:pPr>
            <w:r>
              <w:rPr>
                <w:noProof/>
              </w:rPr>
              <w:t>L35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36BA303" w14:textId="77777777" w:rsidR="003E1D81" w:rsidRDefault="00EB481C">
            <w:pPr>
              <w:pStyle w:val="P68B1DB1-Normal46"/>
              <w:spacing w:after="0" w:line="240" w:lineRule="auto"/>
              <w:rPr>
                <w:rFonts w:eastAsia="Times New Roman" w:cs="Times New Roman"/>
                <w:noProof/>
              </w:rPr>
            </w:pPr>
            <w:r>
              <w:rPr>
                <w:noProof/>
              </w:rPr>
              <w:t>C13.I7</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73598281"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F07597" w14:textId="77777777" w:rsidR="003E1D81" w:rsidRDefault="00EB481C">
            <w:pPr>
              <w:pStyle w:val="P68B1DB1-Normal46"/>
              <w:spacing w:after="0" w:line="240" w:lineRule="auto"/>
              <w:rPr>
                <w:rFonts w:eastAsia="Times New Roman" w:cs="Times New Roman"/>
                <w:noProof/>
              </w:rPr>
            </w:pPr>
            <w:r>
              <w:rPr>
                <w:noProof/>
              </w:rPr>
              <w:t xml:space="preserve">Következő technológiai alap – Végrehajtási megállapodás a tengelysel </w:t>
            </w:r>
          </w:p>
        </w:tc>
      </w:tr>
      <w:tr w:rsidR="003E1D81" w14:paraId="3B3ADF4C"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C81AB45" w14:textId="77777777" w:rsidR="003E1D81" w:rsidRDefault="00EB481C">
            <w:pPr>
              <w:pStyle w:val="P68B1DB1-Normal46"/>
              <w:spacing w:after="0" w:line="240" w:lineRule="auto"/>
              <w:jc w:val="center"/>
              <w:rPr>
                <w:rFonts w:eastAsia="Times New Roman" w:cs="Times New Roman"/>
                <w:noProof/>
              </w:rPr>
            </w:pPr>
            <w:r>
              <w:rPr>
                <w:noProof/>
              </w:rPr>
              <w:t>L53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9433E3" w14:textId="77777777" w:rsidR="003E1D81" w:rsidRDefault="00EB481C">
            <w:pPr>
              <w:pStyle w:val="P68B1DB1-Normal46"/>
              <w:spacing w:after="0" w:line="240" w:lineRule="auto"/>
              <w:rPr>
                <w:rFonts w:eastAsia="Times New Roman" w:cs="Times New Roman"/>
                <w:noProof/>
              </w:rPr>
            </w:pPr>
            <w:r>
              <w:rPr>
                <w:noProof/>
              </w:rPr>
              <w:t>C13.I13</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21973953"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17EDEEC" w14:textId="77777777" w:rsidR="003E1D81" w:rsidRDefault="00EB481C">
            <w:pPr>
              <w:pStyle w:val="P68B1DB1-Normal46"/>
              <w:spacing w:after="0" w:line="240" w:lineRule="auto"/>
              <w:rPr>
                <w:rFonts w:eastAsia="Times New Roman" w:cs="Times New Roman"/>
                <w:noProof/>
              </w:rPr>
            </w:pPr>
            <w:r>
              <w:rPr>
                <w:noProof/>
              </w:rPr>
              <w:t xml:space="preserve">Regionális Rezilienciaépítési Alap: Végrehajtási megállapodás </w:t>
            </w:r>
          </w:p>
        </w:tc>
      </w:tr>
      <w:tr w:rsidR="003E1D81" w14:paraId="5BAD0CF1"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953F19" w14:textId="77777777" w:rsidR="003E1D81" w:rsidRDefault="00EB481C">
            <w:pPr>
              <w:pStyle w:val="P68B1DB1-Normal46"/>
              <w:spacing w:after="0" w:line="240" w:lineRule="auto"/>
              <w:jc w:val="center"/>
              <w:rPr>
                <w:rFonts w:eastAsia="Times New Roman" w:cs="Times New Roman"/>
                <w:noProof/>
              </w:rPr>
            </w:pPr>
            <w:r>
              <w:rPr>
                <w:noProof/>
              </w:rPr>
              <w:t>L63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A28FC6" w14:textId="77777777" w:rsidR="003E1D81" w:rsidRDefault="00EB481C">
            <w:pPr>
              <w:pStyle w:val="P68B1DB1-Normal46"/>
              <w:spacing w:after="0" w:line="240" w:lineRule="auto"/>
              <w:rPr>
                <w:rFonts w:eastAsia="Times New Roman" w:cs="Times New Roman"/>
                <w:noProof/>
              </w:rPr>
            </w:pPr>
            <w:r>
              <w:rPr>
                <w:noProof/>
              </w:rPr>
              <w:t>C15.I9</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4B729C22"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DCB233" w14:textId="77777777" w:rsidR="003E1D81" w:rsidRDefault="00EB481C">
            <w:pPr>
              <w:pStyle w:val="P68B1DB1-Normal46"/>
              <w:spacing w:after="0" w:line="240" w:lineRule="auto"/>
              <w:rPr>
                <w:rFonts w:eastAsia="Times New Roman" w:cs="Times New Roman"/>
                <w:noProof/>
              </w:rPr>
            </w:pPr>
            <w:r>
              <w:rPr>
                <w:noProof/>
              </w:rPr>
              <w:t>Csipfinanszírozási eszköz: A finanszírozási mechanizmus hivatalos jóváhagyása</w:t>
            </w:r>
          </w:p>
        </w:tc>
      </w:tr>
      <w:tr w:rsidR="003E1D81" w14:paraId="32057403"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8D65F28" w14:textId="77777777" w:rsidR="003E1D81" w:rsidRDefault="00EB481C">
            <w:pPr>
              <w:pStyle w:val="P68B1DB1-Normal46"/>
              <w:spacing w:after="0" w:line="240" w:lineRule="auto"/>
              <w:jc w:val="center"/>
              <w:rPr>
                <w:rFonts w:eastAsia="Times New Roman" w:cs="Times New Roman"/>
                <w:noProof/>
              </w:rPr>
            </w:pPr>
            <w:r>
              <w:rPr>
                <w:noProof/>
              </w:rPr>
              <w:t>L77.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30D40B1" w14:textId="77777777" w:rsidR="003E1D81" w:rsidRDefault="00EB481C">
            <w:pPr>
              <w:pStyle w:val="P68B1DB1-Normal46"/>
              <w:spacing w:after="0" w:line="240" w:lineRule="auto"/>
              <w:rPr>
                <w:rFonts w:eastAsia="Times New Roman" w:cs="Times New Roman"/>
                <w:noProof/>
              </w:rPr>
            </w:pPr>
            <w:r>
              <w:rPr>
                <w:noProof/>
              </w:rPr>
              <w:t>C25.I3</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5E77CB39"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4BC2C8A" w14:textId="77777777" w:rsidR="003E1D81" w:rsidRDefault="00EB481C">
            <w:pPr>
              <w:pStyle w:val="P68B1DB1-Normal46"/>
              <w:spacing w:after="0" w:line="240" w:lineRule="auto"/>
              <w:rPr>
                <w:rFonts w:eastAsia="Times New Roman" w:cs="Times New Roman"/>
                <w:noProof/>
              </w:rPr>
            </w:pPr>
            <w:r>
              <w:rPr>
                <w:noProof/>
              </w:rPr>
              <w:t xml:space="preserve">ICO Audiovizuális Platformalap: Végrehajtási megállapodás </w:t>
            </w:r>
          </w:p>
        </w:tc>
      </w:tr>
      <w:tr w:rsidR="003E1D81" w14:paraId="37E56C78"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CD007F" w14:textId="77777777" w:rsidR="003E1D81" w:rsidRDefault="003E1D81">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98C115" w14:textId="77777777" w:rsidR="003E1D81" w:rsidRDefault="003E1D81">
            <w:pPr>
              <w:spacing w:after="0" w:line="240" w:lineRule="auto"/>
              <w:rPr>
                <w:rFonts w:ascii="Times New Roman" w:eastAsia="Times New Roman" w:hAnsi="Times New Roman" w:cs="Times New Roman"/>
                <w:noProof/>
                <w:sz w:val="20"/>
              </w:rPr>
            </w:pP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34341E44" w14:textId="5A729F87" w:rsidR="003E1D81" w:rsidRDefault="00EB481C">
            <w:pPr>
              <w:pStyle w:val="P68B1DB1-Normal45"/>
              <w:spacing w:after="0" w:line="240" w:lineRule="auto"/>
              <w:rPr>
                <w:rFonts w:eastAsia="Times New Roman" w:cs="Times New Roman"/>
                <w:noProof/>
              </w:rPr>
            </w:pPr>
            <w:r>
              <w:rPr>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E79F629" w14:textId="38065E16" w:rsidR="003E1D81" w:rsidRDefault="00EB481C">
            <w:pPr>
              <w:pStyle w:val="P68B1DB1-Normal45"/>
              <w:spacing w:after="0" w:line="240" w:lineRule="auto"/>
              <w:rPr>
                <w:rFonts w:eastAsia="Times New Roman" w:cs="Times New Roman"/>
                <w:noProof/>
              </w:rPr>
            </w:pPr>
            <w:r>
              <w:rPr>
                <w:noProof/>
              </w:rPr>
              <w:t>·EURÓPAI BIZOTTSÁG 14 916 010 762 EUR</w:t>
            </w:r>
          </w:p>
        </w:tc>
      </w:tr>
    </w:tbl>
    <w:p w14:paraId="07D30D6F" w14:textId="77777777" w:rsidR="003E1D81" w:rsidRDefault="003E1D81">
      <w:pPr>
        <w:spacing w:before="120" w:after="120" w:line="240" w:lineRule="auto"/>
        <w:jc w:val="both"/>
        <w:rPr>
          <w:rFonts w:ascii="Times New Roman" w:eastAsia="Calibri" w:hAnsi="Times New Roman" w:cs="Times New Roman"/>
          <w:noProof/>
          <w:sz w:val="24"/>
        </w:rPr>
      </w:pPr>
    </w:p>
    <w:p w14:paraId="46B70403" w14:textId="77777777"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Harmadik részösszeg (hitel formájában nyújtott támogatás): </w:t>
      </w:r>
    </w:p>
    <w:tbl>
      <w:tblPr>
        <w:tblW w:w="9663" w:type="dxa"/>
        <w:tblInd w:w="113" w:type="dxa"/>
        <w:tblLook w:val="04A0" w:firstRow="1" w:lastRow="0" w:firstColumn="1" w:lastColumn="0" w:noHBand="0" w:noVBand="1"/>
      </w:tblPr>
      <w:tblGrid>
        <w:gridCol w:w="1300"/>
        <w:gridCol w:w="1443"/>
        <w:gridCol w:w="1416"/>
        <w:gridCol w:w="5670"/>
      </w:tblGrid>
      <w:tr w:rsidR="003E1D81" w14:paraId="14C9FC28" w14:textId="77777777">
        <w:trPr>
          <w:trHeight w:val="906"/>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621B2C4" w14:textId="77777777" w:rsidR="003E1D81" w:rsidRDefault="00EB481C">
            <w:pPr>
              <w:pStyle w:val="P68B1DB1-Normal45"/>
              <w:spacing w:after="0" w:line="240" w:lineRule="auto"/>
              <w:jc w:val="center"/>
              <w:rPr>
                <w:rFonts w:eastAsia="Times New Roman" w:cs="Times New Roman"/>
                <w:noProof/>
              </w:rPr>
            </w:pPr>
            <w:r>
              <w:rPr>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5D3F494" w14:textId="77777777" w:rsidR="003E1D81" w:rsidRDefault="00EB481C">
            <w:pPr>
              <w:pStyle w:val="P68B1DB1-Normal45"/>
              <w:spacing w:after="0" w:line="240" w:lineRule="auto"/>
              <w:jc w:val="center"/>
              <w:rPr>
                <w:rFonts w:eastAsia="Times New Roman" w:cs="Times New Roman"/>
                <w:noProof/>
              </w:rPr>
            </w:pPr>
            <w:r>
              <w:rPr>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F5A907B"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406599CC"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33AA8FF5"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3DB443A" w14:textId="77777777" w:rsidR="003E1D81" w:rsidRDefault="003E1D81">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DD539AA" w14:textId="77777777" w:rsidR="003E1D81" w:rsidRDefault="003E1D81">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8120B5E" w14:textId="77777777" w:rsidR="003E1D81" w:rsidRDefault="003E1D81">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174B0279" w14:textId="77777777" w:rsidR="003E1D81" w:rsidRDefault="003E1D81">
            <w:pPr>
              <w:spacing w:after="0" w:line="240" w:lineRule="auto"/>
              <w:rPr>
                <w:rFonts w:ascii="Times New Roman" w:eastAsia="Times New Roman" w:hAnsi="Times New Roman" w:cs="Times New Roman"/>
                <w:b/>
                <w:noProof/>
                <w:sz w:val="20"/>
              </w:rPr>
            </w:pPr>
          </w:p>
        </w:tc>
      </w:tr>
      <w:tr w:rsidR="003E1D81" w14:paraId="1AD6171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618618" w14:textId="77777777" w:rsidR="003E1D81" w:rsidRDefault="00EB481C">
            <w:pPr>
              <w:pStyle w:val="P68B1DB1-Normal46"/>
              <w:spacing w:after="0" w:line="240" w:lineRule="auto"/>
              <w:jc w:val="center"/>
              <w:rPr>
                <w:rFonts w:eastAsia="Times New Roman" w:cs="Times New Roman"/>
                <w:noProof/>
              </w:rPr>
            </w:pPr>
            <w:r>
              <w:rPr>
                <w:noProof/>
              </w:rPr>
              <w:t>L12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620344" w14:textId="77777777" w:rsidR="003E1D81" w:rsidRDefault="00EB481C">
            <w:pPr>
              <w:pStyle w:val="P68B1DB1-Normal46"/>
              <w:spacing w:after="0" w:line="240" w:lineRule="auto"/>
              <w:rPr>
                <w:rFonts w:eastAsia="Times New Roman" w:cs="Times New Roman"/>
                <w:noProof/>
              </w:rPr>
            </w:pPr>
            <w:r>
              <w:rPr>
                <w:noProof/>
              </w:rPr>
              <w:t>C4.R4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23F231"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0EF4E7" w14:textId="77777777" w:rsidR="003E1D81" w:rsidRDefault="00EB481C">
            <w:pPr>
              <w:pStyle w:val="P68B1DB1-Normal46"/>
              <w:spacing w:after="0" w:line="240" w:lineRule="auto"/>
              <w:rPr>
                <w:rFonts w:eastAsia="Times New Roman" w:cs="Times New Roman"/>
                <w:noProof/>
              </w:rPr>
            </w:pPr>
            <w:r>
              <w:rPr>
                <w:noProof/>
              </w:rPr>
              <w:t xml:space="preserve">Az elsivatagosodás elleni küzdelemre irányuló nemzeti stratégia és az ahhoz kapcsolódó cselekvési terv (2022–2026) elfogadása, valamint a testületi szervek létrehozása.  </w:t>
            </w:r>
          </w:p>
        </w:tc>
      </w:tr>
      <w:tr w:rsidR="003E1D81" w14:paraId="76E401A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FA6E11" w14:textId="77777777" w:rsidR="003E1D81" w:rsidRDefault="00EB481C">
            <w:pPr>
              <w:pStyle w:val="P68B1DB1-Normal46"/>
              <w:spacing w:after="0" w:line="240" w:lineRule="auto"/>
              <w:jc w:val="center"/>
              <w:rPr>
                <w:rFonts w:eastAsia="Times New Roman" w:cs="Times New Roman"/>
                <w:noProof/>
              </w:rPr>
            </w:pPr>
            <w:r>
              <w:rPr>
                <w:noProof/>
              </w:rPr>
              <w:t>L15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5D6B87" w14:textId="77777777" w:rsidR="003E1D81" w:rsidRDefault="00EB481C">
            <w:pPr>
              <w:pStyle w:val="P68B1DB1-Normal46"/>
              <w:spacing w:after="0" w:line="240" w:lineRule="auto"/>
              <w:rPr>
                <w:rFonts w:eastAsia="Times New Roman" w:cs="Times New Roman"/>
                <w:noProof/>
              </w:rPr>
            </w:pPr>
            <w:r>
              <w:rPr>
                <w:noProof/>
              </w:rPr>
              <w:t>C6.R3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F2DC5B"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FC5F63" w14:textId="77777777" w:rsidR="003E1D81" w:rsidRDefault="00EB481C">
            <w:pPr>
              <w:pStyle w:val="P68B1DB1-Normal46"/>
              <w:spacing w:after="0" w:line="240" w:lineRule="auto"/>
              <w:rPr>
                <w:rFonts w:eastAsia="Times New Roman" w:cs="Times New Roman"/>
                <w:noProof/>
              </w:rPr>
            </w:pPr>
            <w:r>
              <w:rPr>
                <w:noProof/>
              </w:rPr>
              <w:t>Energiahatékonysági stratégia</w:t>
            </w:r>
          </w:p>
        </w:tc>
      </w:tr>
      <w:tr w:rsidR="003E1D81" w14:paraId="5A7F8A7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202F59" w14:textId="77777777" w:rsidR="003E1D81" w:rsidRDefault="00EB481C">
            <w:pPr>
              <w:pStyle w:val="P68B1DB1-Normal46"/>
              <w:spacing w:after="0" w:line="240" w:lineRule="auto"/>
              <w:jc w:val="center"/>
              <w:rPr>
                <w:rFonts w:eastAsia="Times New Roman" w:cs="Times New Roman"/>
                <w:noProof/>
              </w:rPr>
            </w:pPr>
            <w:r>
              <w:rPr>
                <w:noProof/>
              </w:rPr>
              <w:t>L18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C52E7F" w14:textId="77777777" w:rsidR="003E1D81" w:rsidRDefault="00EB481C">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495645B"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2379C99" w14:textId="77777777" w:rsidR="003E1D81" w:rsidRDefault="00EB481C">
            <w:pPr>
              <w:pStyle w:val="P68B1DB1-Normal46"/>
              <w:spacing w:after="0" w:line="240" w:lineRule="auto"/>
              <w:rPr>
                <w:rFonts w:eastAsia="Times New Roman" w:cs="Times New Roman"/>
                <w:noProof/>
              </w:rPr>
            </w:pPr>
            <w:r>
              <w:rPr>
                <w:noProof/>
              </w:rPr>
              <w:t xml:space="preserve">Rendelet a </w:t>
            </w:r>
            <w:r>
              <w:rPr>
                <w:noProof/>
              </w:rPr>
              <w:t>Biztonsági és Rezilienciaépítési Alap létrehozásáról </w:t>
            </w:r>
          </w:p>
        </w:tc>
      </w:tr>
      <w:tr w:rsidR="003E1D81" w14:paraId="73A55D6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F0C422" w14:textId="77777777" w:rsidR="003E1D81" w:rsidRDefault="00EB481C">
            <w:pPr>
              <w:pStyle w:val="P68B1DB1-Normal46"/>
              <w:spacing w:after="0" w:line="240" w:lineRule="auto"/>
              <w:jc w:val="center"/>
              <w:rPr>
                <w:rFonts w:eastAsia="Times New Roman" w:cs="Times New Roman"/>
                <w:noProof/>
              </w:rPr>
            </w:pPr>
            <w:r>
              <w:rPr>
                <w:noProof/>
              </w:rPr>
              <w:t>L22.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A14DAD" w14:textId="77777777" w:rsidR="003E1D81" w:rsidRDefault="00EB481C">
            <w:pPr>
              <w:pStyle w:val="P68B1DB1-Normal46"/>
              <w:spacing w:after="0" w:line="240" w:lineRule="auto"/>
              <w:rPr>
                <w:rFonts w:eastAsia="Times New Roman" w:cs="Times New Roman"/>
                <w:noProof/>
              </w:rPr>
            </w:pPr>
            <w:r>
              <w:rPr>
                <w:noProof/>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2DD351"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10B2BA" w14:textId="77777777" w:rsidR="003E1D81" w:rsidRDefault="00EB481C">
            <w:pPr>
              <w:pStyle w:val="P68B1DB1-Normal46"/>
              <w:spacing w:after="0" w:line="240" w:lineRule="auto"/>
              <w:rPr>
                <w:rFonts w:eastAsia="Times New Roman" w:cs="Times New Roman"/>
                <w:noProof/>
              </w:rPr>
            </w:pPr>
            <w:r>
              <w:rPr>
                <w:noProof/>
              </w:rPr>
              <w:t>Az elektromos autók és az agrár-élelmiszeripar értékláncában megvalósuló stratégiai projektek (kölcsönök) támogatási rendszere: A minisztérium befejezte a beruházást</w:t>
            </w:r>
          </w:p>
        </w:tc>
      </w:tr>
      <w:tr w:rsidR="003E1D81" w14:paraId="038190D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FD8F2A" w14:textId="77777777" w:rsidR="003E1D81" w:rsidRDefault="00EB481C">
            <w:pPr>
              <w:pStyle w:val="P68B1DB1-Normal46"/>
              <w:spacing w:after="0" w:line="240" w:lineRule="auto"/>
              <w:jc w:val="center"/>
              <w:rPr>
                <w:rFonts w:eastAsia="Times New Roman" w:cs="Times New Roman"/>
                <w:noProof/>
              </w:rPr>
            </w:pPr>
            <w:r>
              <w:rPr>
                <w:noProof/>
              </w:rPr>
              <w:t>L23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6A0835" w14:textId="77777777" w:rsidR="003E1D81" w:rsidRDefault="00EB481C">
            <w:pPr>
              <w:pStyle w:val="P68B1DB1-Normal46"/>
              <w:spacing w:after="0" w:line="240" w:lineRule="auto"/>
              <w:rPr>
                <w:rFonts w:eastAsia="Times New Roman" w:cs="Times New Roman"/>
                <w:noProof/>
              </w:rPr>
            </w:pPr>
            <w:r>
              <w:rPr>
                <w:noProof/>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C9E42C"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9433CD5" w14:textId="77777777" w:rsidR="003E1D81" w:rsidRDefault="00EB481C">
            <w:pPr>
              <w:pStyle w:val="P68B1DB1-Normal46"/>
              <w:spacing w:after="0" w:line="240" w:lineRule="auto"/>
              <w:rPr>
                <w:rFonts w:eastAsia="Times New Roman" w:cs="Times New Roman"/>
                <w:noProof/>
              </w:rPr>
            </w:pPr>
            <w:r>
              <w:rPr>
                <w:noProof/>
              </w:rPr>
              <w:t xml:space="preserve">Az </w:t>
            </w:r>
            <w:r>
              <w:rPr>
                <w:noProof/>
              </w:rPr>
              <w:t>elektromos autók és az agrár-élelmiszeripar értékláncában megvalósuló stratégiai projektek (kölcsönök) támogatási rendszere: A rendszer létrehozása</w:t>
            </w:r>
          </w:p>
        </w:tc>
      </w:tr>
      <w:tr w:rsidR="003E1D81" w14:paraId="266D0B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2E2614" w14:textId="77777777" w:rsidR="003E1D81" w:rsidRDefault="00EB481C">
            <w:pPr>
              <w:pStyle w:val="P68B1DB1-Normal46"/>
              <w:spacing w:after="0" w:line="240" w:lineRule="auto"/>
              <w:jc w:val="center"/>
              <w:rPr>
                <w:rFonts w:eastAsia="Times New Roman" w:cs="Times New Roman"/>
                <w:noProof/>
              </w:rPr>
            </w:pPr>
            <w:r>
              <w:rPr>
                <w:noProof/>
              </w:rPr>
              <w:t>L25a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778B3B" w14:textId="77777777" w:rsidR="003E1D81" w:rsidRDefault="00EB481C">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53897"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F8D0BF" w14:textId="77777777" w:rsidR="003E1D81" w:rsidRDefault="00EB481C">
            <w:pPr>
              <w:pStyle w:val="P68B1DB1-Normal46"/>
              <w:spacing w:after="0" w:line="240" w:lineRule="auto"/>
              <w:rPr>
                <w:rFonts w:eastAsia="Times New Roman" w:cs="Times New Roman"/>
                <w:noProof/>
              </w:rPr>
            </w:pPr>
            <w:r>
              <w:rPr>
                <w:noProof/>
              </w:rPr>
              <w:t>ICO zöld vonal – A végső kedvezményezettekkel (beleértve a tőkealapokat is) aláírt jogi megál</w:t>
            </w:r>
            <w:r>
              <w:rPr>
                <w:noProof/>
              </w:rPr>
              <w:t>lapodások (I)</w:t>
            </w:r>
          </w:p>
        </w:tc>
      </w:tr>
      <w:tr w:rsidR="003E1D81" w14:paraId="4505375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9E83AA" w14:textId="77777777" w:rsidR="003E1D81" w:rsidRDefault="00EB481C">
            <w:pPr>
              <w:pStyle w:val="P68B1DB1-Normal46"/>
              <w:spacing w:after="0" w:line="240" w:lineRule="auto"/>
              <w:jc w:val="center"/>
              <w:rPr>
                <w:rFonts w:eastAsia="Times New Roman" w:cs="Times New Roman"/>
                <w:noProof/>
              </w:rPr>
            </w:pPr>
            <w:r>
              <w:rPr>
                <w:noProof/>
              </w:rPr>
              <w:t>L40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2DD865" w14:textId="77777777" w:rsidR="003E1D81" w:rsidRDefault="00EB481C">
            <w:pPr>
              <w:pStyle w:val="P68B1DB1-Normal46"/>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D340AE"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653093" w14:textId="77777777" w:rsidR="003E1D81" w:rsidRDefault="00EB481C">
            <w:pPr>
              <w:pStyle w:val="P68B1DB1-Normal46"/>
              <w:spacing w:after="0" w:line="240" w:lineRule="auto"/>
              <w:rPr>
                <w:rFonts w:eastAsia="Times New Roman" w:cs="Times New Roman"/>
                <w:noProof/>
              </w:rPr>
            </w:pPr>
            <w:r>
              <w:rPr>
                <w:noProof/>
              </w:rPr>
              <w:t>Foco – Az Alapot létrehozó rendeletek</w:t>
            </w:r>
          </w:p>
        </w:tc>
      </w:tr>
      <w:tr w:rsidR="003E1D81" w14:paraId="2E61D6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27F5F1" w14:textId="77777777" w:rsidR="003E1D81" w:rsidRDefault="00EB481C">
            <w:pPr>
              <w:pStyle w:val="P68B1DB1-Normal46"/>
              <w:spacing w:after="0" w:line="240" w:lineRule="auto"/>
              <w:jc w:val="center"/>
              <w:rPr>
                <w:rFonts w:eastAsia="Times New Roman" w:cs="Times New Roman"/>
                <w:noProof/>
              </w:rPr>
            </w:pPr>
            <w:r>
              <w:rPr>
                <w:noProof/>
              </w:rPr>
              <w:t>L44.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C130CC5" w14:textId="77777777" w:rsidR="003E1D81" w:rsidRDefault="00EB481C">
            <w:pPr>
              <w:pStyle w:val="P68B1DB1-Normal46"/>
              <w:spacing w:after="0" w:line="240" w:lineRule="auto"/>
              <w:rPr>
                <w:rFonts w:eastAsia="Times New Roman" w:cs="Times New Roman"/>
                <w:noProof/>
              </w:rPr>
            </w:pPr>
            <w:r>
              <w:rPr>
                <w:noProof/>
              </w:rPr>
              <w:t>C13.I9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DDC2E6"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8AC985" w14:textId="77777777" w:rsidR="003E1D81" w:rsidRDefault="00EB481C">
            <w:pPr>
              <w:pStyle w:val="P68B1DB1-Normal46"/>
              <w:spacing w:after="0" w:line="240" w:lineRule="auto"/>
              <w:rPr>
                <w:rFonts w:eastAsia="Times New Roman" w:cs="Times New Roman"/>
                <w:noProof/>
              </w:rPr>
            </w:pPr>
            <w:r>
              <w:rPr>
                <w:noProof/>
              </w:rPr>
              <w:t>Fizetőképesség-támogatási Alap a stratégiai vállalkozások számára</w:t>
            </w:r>
          </w:p>
        </w:tc>
      </w:tr>
      <w:tr w:rsidR="003E1D81" w14:paraId="62B6089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A7278FB" w14:textId="77777777" w:rsidR="003E1D81" w:rsidRDefault="00EB481C">
            <w:pPr>
              <w:pStyle w:val="P68B1DB1-Normal46"/>
              <w:spacing w:after="0" w:line="240" w:lineRule="auto"/>
              <w:jc w:val="center"/>
              <w:rPr>
                <w:rFonts w:eastAsia="Times New Roman" w:cs="Times New Roman"/>
                <w:noProof/>
              </w:rPr>
            </w:pPr>
            <w:r>
              <w:rPr>
                <w:noProof/>
              </w:rPr>
              <w:t>L47.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982761" w14:textId="77777777" w:rsidR="003E1D81" w:rsidRDefault="00EB481C">
            <w:pPr>
              <w:pStyle w:val="P68B1DB1-Normal46"/>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B60D2"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72E350E" w14:textId="77777777" w:rsidR="003E1D81" w:rsidRDefault="00EB481C">
            <w:pPr>
              <w:pStyle w:val="P68B1DB1-Normal46"/>
              <w:spacing w:after="0" w:line="240" w:lineRule="auto"/>
              <w:rPr>
                <w:rFonts w:eastAsia="Times New Roman" w:cs="Times New Roman"/>
                <w:noProof/>
              </w:rPr>
            </w:pPr>
            <w:r>
              <w:rPr>
                <w:noProof/>
              </w:rPr>
              <w:t>ENISA Vállalkozói és Kkv-alap – Végrehajtási megállapodás</w:t>
            </w:r>
          </w:p>
        </w:tc>
      </w:tr>
      <w:tr w:rsidR="003E1D81" w14:paraId="7DA56D6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756784" w14:textId="77777777" w:rsidR="003E1D81" w:rsidRDefault="00EB481C">
            <w:pPr>
              <w:pStyle w:val="P68B1DB1-Normal46"/>
              <w:spacing w:after="0" w:line="240" w:lineRule="auto"/>
              <w:jc w:val="center"/>
              <w:rPr>
                <w:rFonts w:eastAsia="Times New Roman" w:cs="Times New Roman"/>
                <w:noProof/>
              </w:rPr>
            </w:pPr>
            <w:r>
              <w:rPr>
                <w:noProof/>
              </w:rPr>
              <w:t>L51.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113627" w14:textId="77777777" w:rsidR="003E1D81" w:rsidRDefault="00EB481C">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57521C"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AF5AAC7" w14:textId="77777777" w:rsidR="003E1D81" w:rsidRDefault="00EB481C">
            <w:pPr>
              <w:pStyle w:val="P68B1DB1-Normal46"/>
              <w:spacing w:after="0" w:line="240" w:lineRule="auto"/>
              <w:rPr>
                <w:rFonts w:eastAsia="Times New Roman" w:cs="Times New Roman"/>
                <w:noProof/>
              </w:rPr>
            </w:pPr>
            <w:r>
              <w:rPr>
                <w:noProof/>
              </w:rPr>
              <w:t xml:space="preserve">Regionális </w:t>
            </w:r>
            <w:r>
              <w:rPr>
                <w:noProof/>
              </w:rPr>
              <w:t>Rezilienciaépítési Alap – InvestEU: A spanyol kormány és az Európai Bizottság közötti hozzájárulási megállapodás aláírása</w:t>
            </w:r>
          </w:p>
        </w:tc>
      </w:tr>
      <w:tr w:rsidR="003E1D81" w14:paraId="5581456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E622151" w14:textId="77777777" w:rsidR="003E1D81" w:rsidRDefault="00EB481C">
            <w:pPr>
              <w:pStyle w:val="P68B1DB1-Normal46"/>
              <w:spacing w:after="0" w:line="240" w:lineRule="auto"/>
              <w:jc w:val="center"/>
              <w:rPr>
                <w:rFonts w:eastAsia="Times New Roman" w:cs="Times New Roman"/>
                <w:noProof/>
              </w:rPr>
            </w:pPr>
            <w:r>
              <w:rPr>
                <w:noProof/>
              </w:rPr>
              <w:t>L54.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A4FCAA" w14:textId="77777777" w:rsidR="003E1D81" w:rsidRDefault="00EB481C">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7DD03D"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AA7CC5" w14:textId="77777777" w:rsidR="003E1D81" w:rsidRDefault="00EB481C">
            <w:pPr>
              <w:pStyle w:val="P68B1DB1-Normal46"/>
              <w:spacing w:after="0" w:line="240" w:lineRule="auto"/>
              <w:rPr>
                <w:rFonts w:eastAsia="Times New Roman" w:cs="Times New Roman"/>
                <w:noProof/>
              </w:rPr>
            </w:pPr>
            <w:r>
              <w:rPr>
                <w:noProof/>
              </w:rPr>
              <w:t>Regionális Rezilienciaépítési Alap – Egyéb költségvetési sorok: A végső kedvezményezettekkel (beleértve a tőkealapokat</w:t>
            </w:r>
            <w:r>
              <w:rPr>
                <w:noProof/>
              </w:rPr>
              <w:t xml:space="preserve"> is) aláírt jogi megállapodások (I)</w:t>
            </w:r>
          </w:p>
        </w:tc>
      </w:tr>
      <w:tr w:rsidR="003E1D81" w14:paraId="173642B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50E805" w14:textId="77777777" w:rsidR="003E1D81" w:rsidRDefault="00EB481C">
            <w:pPr>
              <w:pStyle w:val="P68B1DB1-Normal46"/>
              <w:spacing w:after="0" w:line="240" w:lineRule="auto"/>
              <w:jc w:val="center"/>
              <w:rPr>
                <w:rFonts w:eastAsia="Times New Roman" w:cs="Times New Roman"/>
                <w:noProof/>
              </w:rPr>
            </w:pPr>
            <w:r>
              <w:rPr>
                <w:noProof/>
              </w:rPr>
              <w:t>L58.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E1F2F7" w14:textId="77777777" w:rsidR="003E1D81" w:rsidRDefault="00EB481C">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32BDD3"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1A94E86" w14:textId="77777777" w:rsidR="003E1D81" w:rsidRDefault="00EB481C">
            <w:pPr>
              <w:pStyle w:val="P68B1DB1-Normal46"/>
              <w:spacing w:after="0" w:line="240" w:lineRule="auto"/>
              <w:rPr>
                <w:rFonts w:eastAsia="Times New Roman" w:cs="Times New Roman"/>
                <w:noProof/>
              </w:rPr>
            </w:pPr>
            <w:r>
              <w:rPr>
                <w:noProof/>
              </w:rPr>
              <w:t>Regionális Rezilienciaépítési Alap – Közvetlen állami irányvonal: A végső kedvezményezettekkel aláírt jogi megállapodások (I)</w:t>
            </w:r>
          </w:p>
        </w:tc>
      </w:tr>
      <w:tr w:rsidR="003E1D81" w14:paraId="42BAD5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AA7718" w14:textId="77777777" w:rsidR="003E1D81" w:rsidRDefault="00EB481C">
            <w:pPr>
              <w:pStyle w:val="P68B1DB1-Normal46"/>
              <w:spacing w:after="0" w:line="240" w:lineRule="auto"/>
              <w:jc w:val="center"/>
              <w:rPr>
                <w:rFonts w:eastAsia="Times New Roman" w:cs="Times New Roman"/>
                <w:noProof/>
              </w:rPr>
            </w:pPr>
            <w:r>
              <w:rPr>
                <w:noProof/>
              </w:rPr>
              <w:t>L68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A79CEE" w14:textId="77777777" w:rsidR="003E1D81" w:rsidRDefault="00EB481C">
            <w:pPr>
              <w:pStyle w:val="P68B1DB1-Normal46"/>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3BF556"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53F916E" w14:textId="77777777" w:rsidR="003E1D81" w:rsidRDefault="00EB481C">
            <w:pPr>
              <w:pStyle w:val="P68B1DB1-Normal46"/>
              <w:spacing w:after="0" w:line="240" w:lineRule="auto"/>
              <w:rPr>
                <w:rFonts w:eastAsia="Times New Roman" w:cs="Times New Roman"/>
                <w:noProof/>
              </w:rPr>
            </w:pPr>
            <w:r>
              <w:rPr>
                <w:noProof/>
              </w:rPr>
              <w:t xml:space="preserve">Pénzeszközök lekötése hitelek formájában az egészségügyi és az </w:t>
            </w:r>
            <w:r>
              <w:rPr>
                <w:noProof/>
              </w:rPr>
              <w:t>űrhajózási ágazat támogatására</w:t>
            </w:r>
          </w:p>
        </w:tc>
      </w:tr>
      <w:tr w:rsidR="003E1D81" w14:paraId="250E927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AC01AE" w14:textId="77777777" w:rsidR="003E1D81" w:rsidRDefault="00EB481C">
            <w:pPr>
              <w:pStyle w:val="P68B1DB1-Normal46"/>
              <w:spacing w:after="0" w:line="240" w:lineRule="auto"/>
              <w:jc w:val="center"/>
              <w:rPr>
                <w:rFonts w:eastAsia="Times New Roman" w:cs="Times New Roman"/>
                <w:noProof/>
              </w:rPr>
            </w:pPr>
            <w:r>
              <w:rPr>
                <w:noProof/>
              </w:rPr>
              <w:t>L72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C91F6B" w14:textId="77777777" w:rsidR="003E1D81" w:rsidRDefault="00EB481C">
            <w:pPr>
              <w:pStyle w:val="P68B1DB1-Normal46"/>
              <w:spacing w:after="0" w:line="240" w:lineRule="auto"/>
              <w:rPr>
                <w:rFonts w:eastAsia="Times New Roman" w:cs="Times New Roman"/>
                <w:noProof/>
              </w:rPr>
            </w:pPr>
            <w:r>
              <w:rPr>
                <w:noProof/>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C70FFB"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BCEE4C" w14:textId="77777777" w:rsidR="003E1D81" w:rsidRDefault="00EB481C">
            <w:pPr>
              <w:pStyle w:val="P68B1DB1-Normal46"/>
              <w:spacing w:after="0" w:line="240" w:lineRule="auto"/>
              <w:rPr>
                <w:rFonts w:eastAsia="Times New Roman" w:cs="Times New Roman"/>
                <w:noProof/>
              </w:rPr>
            </w:pPr>
            <w:r>
              <w:rPr>
                <w:noProof/>
              </w:rPr>
              <w:t>Szociális Hatásalap: Rendelet az eszköz létrehozásáról</w:t>
            </w:r>
          </w:p>
        </w:tc>
      </w:tr>
      <w:tr w:rsidR="003E1D81" w14:paraId="27ABB9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164D5B" w14:textId="77777777" w:rsidR="003E1D81" w:rsidRDefault="00EB481C">
            <w:pPr>
              <w:pStyle w:val="P68B1DB1-Normal46"/>
              <w:spacing w:after="0" w:line="240" w:lineRule="auto"/>
              <w:jc w:val="center"/>
              <w:rPr>
                <w:rFonts w:eastAsia="Times New Roman" w:cs="Times New Roman"/>
                <w:noProof/>
              </w:rPr>
            </w:pPr>
            <w:r>
              <w:rPr>
                <w:noProof/>
              </w:rPr>
              <w:t>L83.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A27047" w14:textId="77777777" w:rsidR="003E1D81" w:rsidRDefault="00EB481C">
            <w:pPr>
              <w:pStyle w:val="P68B1DB1-Normal46"/>
              <w:spacing w:after="0" w:line="240" w:lineRule="auto"/>
              <w:rPr>
                <w:rFonts w:eastAsia="Times New Roman" w:cs="Times New Roman"/>
                <w:noProof/>
              </w:rPr>
            </w:pPr>
            <w:r>
              <w:rPr>
                <w:noProof/>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BA33ED"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566E6AA" w14:textId="77777777" w:rsidR="003E1D81" w:rsidRDefault="00EB481C">
            <w:pPr>
              <w:pStyle w:val="P68B1DB1-Normal46"/>
              <w:spacing w:after="0" w:line="240" w:lineRule="auto"/>
              <w:rPr>
                <w:rFonts w:eastAsia="Times New Roman" w:cs="Times New Roman"/>
                <w:noProof/>
              </w:rPr>
            </w:pPr>
            <w:r>
              <w:rPr>
                <w:noProof/>
              </w:rPr>
              <w:t xml:space="preserve">A pályázati felhívások és az ipar dekarbonizációjához nyújtott támogatásra vonatkozó szabályok közzététele. </w:t>
            </w:r>
          </w:p>
        </w:tc>
      </w:tr>
      <w:tr w:rsidR="003E1D81" w14:paraId="1FE21F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0700CD" w14:textId="77777777" w:rsidR="003E1D81" w:rsidRDefault="00EB481C">
            <w:pPr>
              <w:pStyle w:val="P68B1DB1-Normal46"/>
              <w:spacing w:after="0" w:line="240" w:lineRule="auto"/>
              <w:jc w:val="center"/>
              <w:rPr>
                <w:rFonts w:eastAsia="Times New Roman" w:cs="Times New Roman"/>
                <w:noProof/>
              </w:rPr>
            </w:pPr>
            <w:r>
              <w:rPr>
                <w:noProof/>
              </w:rPr>
              <w:t>L84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668F3" w14:textId="77777777" w:rsidR="003E1D81" w:rsidRDefault="00EB481C">
            <w:pPr>
              <w:pStyle w:val="P68B1DB1-Normal46"/>
              <w:spacing w:after="0" w:line="240" w:lineRule="auto"/>
              <w:rPr>
                <w:rFonts w:eastAsia="Times New Roman" w:cs="Times New Roman"/>
                <w:noProof/>
              </w:rPr>
            </w:pPr>
            <w:r>
              <w:rPr>
                <w:noProof/>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E52020"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0E410B" w14:textId="77777777" w:rsidR="003E1D81" w:rsidRDefault="00EB481C">
            <w:pPr>
              <w:pStyle w:val="P68B1DB1-Normal46"/>
              <w:spacing w:after="0" w:line="240" w:lineRule="auto"/>
              <w:rPr>
                <w:rFonts w:eastAsia="Times New Roman" w:cs="Times New Roman"/>
                <w:noProof/>
              </w:rPr>
            </w:pPr>
            <w:r>
              <w:rPr>
                <w:noProof/>
              </w:rPr>
              <w:t xml:space="preserve">A dekarbonizációs </w:t>
            </w:r>
            <w:r>
              <w:rPr>
                <w:noProof/>
              </w:rPr>
              <w:t>projektek díjának közzététele</w:t>
            </w:r>
          </w:p>
        </w:tc>
      </w:tr>
      <w:tr w:rsidR="003E1D81" w14:paraId="0CB3433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E08AC2" w14:textId="77777777" w:rsidR="003E1D81" w:rsidRDefault="00EB481C">
            <w:pPr>
              <w:pStyle w:val="P68B1DB1-Normal46"/>
              <w:spacing w:after="0" w:line="240" w:lineRule="auto"/>
              <w:jc w:val="center"/>
              <w:rPr>
                <w:rFonts w:eastAsia="Times New Roman" w:cs="Times New Roman"/>
                <w:noProof/>
              </w:rPr>
            </w:pPr>
            <w:r>
              <w:rPr>
                <w:noProof/>
              </w:rPr>
              <w:t>L86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3812F7" w14:textId="77777777" w:rsidR="003E1D81" w:rsidRDefault="00EB481C">
            <w:pPr>
              <w:pStyle w:val="P68B1DB1-Normal46"/>
              <w:spacing w:after="0" w:line="240" w:lineRule="auto"/>
              <w:rPr>
                <w:rFonts w:eastAsia="Times New Roman" w:cs="Times New Roman"/>
                <w:noProof/>
              </w:rPr>
            </w:pPr>
            <w:r>
              <w:rPr>
                <w:noProof/>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3C4314"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E63CB2" w14:textId="77777777" w:rsidR="003E1D81" w:rsidRDefault="00EB481C">
            <w:pPr>
              <w:pStyle w:val="P68B1DB1-Normal46"/>
              <w:spacing w:after="0" w:line="240" w:lineRule="auto"/>
              <w:rPr>
                <w:rFonts w:eastAsia="Times New Roman" w:cs="Times New Roman"/>
                <w:noProof/>
              </w:rPr>
            </w:pPr>
            <w:r>
              <w:rPr>
                <w:noProof/>
              </w:rPr>
              <w:t>Az ipari dekarbonizációt támogató rendszer (hitelek): A minisztérium befejezte a beruházást</w:t>
            </w:r>
          </w:p>
        </w:tc>
      </w:tr>
      <w:tr w:rsidR="003E1D81" w14:paraId="7326C18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268AEB" w14:textId="77777777" w:rsidR="003E1D81" w:rsidRDefault="00EB481C">
            <w:pPr>
              <w:pStyle w:val="P68B1DB1-Normal46"/>
              <w:spacing w:after="0" w:line="240" w:lineRule="auto"/>
              <w:jc w:val="center"/>
              <w:rPr>
                <w:rFonts w:eastAsia="Times New Roman" w:cs="Times New Roman"/>
                <w:noProof/>
              </w:rPr>
            </w:pPr>
            <w:r>
              <w:rPr>
                <w:noProof/>
              </w:rPr>
              <w:t>L87.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C2F76" w14:textId="77777777" w:rsidR="003E1D81" w:rsidRDefault="00EB481C">
            <w:pPr>
              <w:pStyle w:val="P68B1DB1-Normal46"/>
              <w:spacing w:after="0" w:line="240" w:lineRule="auto"/>
              <w:rPr>
                <w:rFonts w:eastAsia="Times New Roman" w:cs="Times New Roman"/>
                <w:noProof/>
              </w:rPr>
            </w:pPr>
            <w:r>
              <w:rPr>
                <w:noProof/>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9A5B6C2"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60F1BE" w14:textId="77777777" w:rsidR="003E1D81" w:rsidRDefault="00EB481C">
            <w:pPr>
              <w:pStyle w:val="P68B1DB1-Normal46"/>
              <w:spacing w:after="0" w:line="240" w:lineRule="auto"/>
              <w:rPr>
                <w:rFonts w:eastAsia="Times New Roman" w:cs="Times New Roman"/>
                <w:noProof/>
              </w:rPr>
            </w:pPr>
            <w:r>
              <w:rPr>
                <w:noProof/>
              </w:rPr>
              <w:t>A hitelprogram létrehozása</w:t>
            </w:r>
          </w:p>
        </w:tc>
      </w:tr>
      <w:tr w:rsidR="003E1D81" w14:paraId="50229C7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144B52" w14:textId="77777777" w:rsidR="003E1D81" w:rsidRDefault="003E1D81">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9A5B23" w14:textId="77777777" w:rsidR="003E1D81" w:rsidRDefault="003E1D81">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A71918" w14:textId="306429B2" w:rsidR="003E1D81" w:rsidRDefault="00EB481C">
            <w:pPr>
              <w:pStyle w:val="P68B1DB1-Normal45"/>
              <w:spacing w:after="0" w:line="240" w:lineRule="auto"/>
              <w:rPr>
                <w:rFonts w:eastAsia="Times New Roman" w:cs="Times New Roman"/>
                <w:noProof/>
              </w:rPr>
            </w:pPr>
            <w:r>
              <w:rPr>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27A7D38" w14:textId="628D960C" w:rsidR="003E1D81" w:rsidRDefault="00EB481C">
            <w:pPr>
              <w:pStyle w:val="P68B1DB1-Normal45"/>
              <w:spacing w:after="0" w:line="240" w:lineRule="auto"/>
              <w:rPr>
                <w:rFonts w:eastAsia="Times New Roman" w:cs="Times New Roman"/>
                <w:noProof/>
              </w:rPr>
            </w:pPr>
            <w:r>
              <w:rPr>
                <w:noProof/>
              </w:rPr>
              <w:t>16 632 012 000</w:t>
            </w:r>
          </w:p>
        </w:tc>
      </w:tr>
    </w:tbl>
    <w:p w14:paraId="2F080BC8" w14:textId="77777777" w:rsidR="003E1D81" w:rsidRDefault="003E1D81">
      <w:pPr>
        <w:spacing w:before="120" w:after="120" w:line="240" w:lineRule="auto"/>
        <w:jc w:val="both"/>
        <w:rPr>
          <w:rFonts w:ascii="Times New Roman" w:eastAsia="Calibri" w:hAnsi="Times New Roman" w:cs="Times New Roman"/>
          <w:noProof/>
          <w:sz w:val="24"/>
        </w:rPr>
      </w:pPr>
    </w:p>
    <w:p w14:paraId="62B8B28C" w14:textId="396FC8D8"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Negyedik részlet (hiteltámogatás): </w:t>
      </w:r>
    </w:p>
    <w:tbl>
      <w:tblPr>
        <w:tblW w:w="9663" w:type="dxa"/>
        <w:tblInd w:w="113" w:type="dxa"/>
        <w:tblLook w:val="04A0" w:firstRow="1" w:lastRow="0" w:firstColumn="1" w:lastColumn="0" w:noHBand="0" w:noVBand="1"/>
      </w:tblPr>
      <w:tblGrid>
        <w:gridCol w:w="1300"/>
        <w:gridCol w:w="1443"/>
        <w:gridCol w:w="1416"/>
        <w:gridCol w:w="5670"/>
      </w:tblGrid>
      <w:tr w:rsidR="003E1D81" w14:paraId="52A73B5E"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2A69C38" w14:textId="77777777" w:rsidR="003E1D81" w:rsidRDefault="00EB481C">
            <w:pPr>
              <w:pStyle w:val="P68B1DB1-Normal45"/>
              <w:spacing w:after="0" w:line="240" w:lineRule="auto"/>
              <w:jc w:val="center"/>
              <w:rPr>
                <w:rFonts w:eastAsia="Times New Roman" w:cs="Times New Roman"/>
                <w:noProof/>
              </w:rPr>
            </w:pPr>
            <w:r>
              <w:rPr>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CC3F7BF" w14:textId="77777777" w:rsidR="003E1D81" w:rsidRDefault="00EB481C">
            <w:pPr>
              <w:pStyle w:val="P68B1DB1-Normal45"/>
              <w:spacing w:after="0" w:line="240" w:lineRule="auto"/>
              <w:jc w:val="center"/>
              <w:rPr>
                <w:rFonts w:eastAsia="Times New Roman" w:cs="Times New Roman"/>
                <w:noProof/>
              </w:rPr>
            </w:pPr>
            <w:r>
              <w:rPr>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5042756"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3B65FCFD"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36F11D18"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49D6D98" w14:textId="77777777" w:rsidR="003E1D81" w:rsidRDefault="003E1D81">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682685D" w14:textId="77777777" w:rsidR="003E1D81" w:rsidRDefault="003E1D81">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3EA9345" w14:textId="77777777" w:rsidR="003E1D81" w:rsidRDefault="003E1D81">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3920B5F4" w14:textId="77777777" w:rsidR="003E1D81" w:rsidRDefault="003E1D81">
            <w:pPr>
              <w:spacing w:after="0" w:line="240" w:lineRule="auto"/>
              <w:rPr>
                <w:rFonts w:ascii="Times New Roman" w:eastAsia="Times New Roman" w:hAnsi="Times New Roman" w:cs="Times New Roman"/>
                <w:b/>
                <w:noProof/>
                <w:sz w:val="20"/>
              </w:rPr>
            </w:pPr>
          </w:p>
        </w:tc>
      </w:tr>
      <w:tr w:rsidR="003E1D81" w14:paraId="52775BE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AF5F82F" w14:textId="77777777" w:rsidR="003E1D81" w:rsidRDefault="00EB481C">
            <w:pPr>
              <w:pStyle w:val="P68B1DB1-Normal46"/>
              <w:spacing w:after="0" w:line="240" w:lineRule="auto"/>
              <w:jc w:val="center"/>
              <w:rPr>
                <w:rFonts w:eastAsia="Times New Roman" w:cs="Times New Roman"/>
                <w:noProof/>
              </w:rPr>
            </w:pPr>
            <w:r>
              <w:rPr>
                <w:noProof/>
              </w:rPr>
              <w:t>L2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3F1471" w14:textId="77777777" w:rsidR="003E1D81" w:rsidRDefault="00EB481C">
            <w:pPr>
              <w:pStyle w:val="P68B1DB1-Normal46"/>
              <w:spacing w:after="0" w:line="240" w:lineRule="auto"/>
              <w:rPr>
                <w:rFonts w:eastAsia="Times New Roman" w:cs="Times New Roman"/>
                <w:noProof/>
              </w:rPr>
            </w:pPr>
            <w:r>
              <w:rPr>
                <w:noProof/>
              </w:rPr>
              <w:t>C2.R7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4000612"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F5C445" w14:textId="77777777" w:rsidR="003E1D81" w:rsidRDefault="00EB481C">
            <w:pPr>
              <w:pStyle w:val="P68B1DB1-Normal46"/>
              <w:spacing w:after="0" w:line="240" w:lineRule="auto"/>
              <w:rPr>
                <w:rFonts w:eastAsia="Times New Roman" w:cs="Times New Roman"/>
                <w:noProof/>
              </w:rPr>
            </w:pPr>
            <w:r>
              <w:rPr>
                <w:noProof/>
              </w:rPr>
              <w:t xml:space="preserve">A föld- és városrehabilitációról szóló törvény egységes szerkezetbe foglalt szövege módosításának hatálybalépése </w:t>
            </w:r>
          </w:p>
        </w:tc>
      </w:tr>
      <w:tr w:rsidR="003E1D81" w14:paraId="76C020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4596C2" w14:textId="77777777" w:rsidR="003E1D81" w:rsidRDefault="00EB481C">
            <w:pPr>
              <w:pStyle w:val="P68B1DB1-Normal46"/>
              <w:spacing w:after="0" w:line="240" w:lineRule="auto"/>
              <w:jc w:val="center"/>
              <w:rPr>
                <w:rFonts w:eastAsia="Times New Roman" w:cs="Times New Roman"/>
                <w:noProof/>
              </w:rPr>
            </w:pPr>
            <w:r>
              <w:rPr>
                <w:noProof/>
              </w:rPr>
              <w:t>L3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B56212" w14:textId="77777777" w:rsidR="003E1D81" w:rsidRDefault="00EB481C">
            <w:pPr>
              <w:pStyle w:val="P68B1DB1-Normal46"/>
              <w:spacing w:after="0" w:line="240" w:lineRule="auto"/>
              <w:rPr>
                <w:rFonts w:eastAsia="Times New Roman" w:cs="Times New Roman"/>
                <w:noProof/>
              </w:rPr>
            </w:pPr>
            <w:r>
              <w:rPr>
                <w:noProof/>
              </w:rPr>
              <w:t>C2.R7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804553"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F05380" w14:textId="77777777" w:rsidR="003E1D81" w:rsidRDefault="00EB481C">
            <w:pPr>
              <w:pStyle w:val="P68B1DB1-Normal46"/>
              <w:spacing w:after="0" w:line="240" w:lineRule="auto"/>
              <w:rPr>
                <w:rFonts w:eastAsia="Times New Roman" w:cs="Times New Roman"/>
                <w:noProof/>
              </w:rPr>
            </w:pPr>
            <w:r>
              <w:rPr>
                <w:noProof/>
              </w:rPr>
              <w:t xml:space="preserve">A bevált gyakorlatokról szóló útmutató </w:t>
            </w:r>
            <w:r>
              <w:rPr>
                <w:noProof/>
              </w:rPr>
              <w:t>közzététele az építési engedélyezési eljárások egyszerűsítéséhez és egyszerűsítéséhez</w:t>
            </w:r>
          </w:p>
        </w:tc>
      </w:tr>
      <w:tr w:rsidR="003E1D81" w14:paraId="22618B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BA273D" w14:textId="77777777" w:rsidR="003E1D81" w:rsidRDefault="00EB481C">
            <w:pPr>
              <w:pStyle w:val="P68B1DB1-Normal46"/>
              <w:spacing w:after="0" w:line="240" w:lineRule="auto"/>
              <w:jc w:val="center"/>
              <w:rPr>
                <w:rFonts w:eastAsia="Times New Roman" w:cs="Times New Roman"/>
                <w:noProof/>
              </w:rPr>
            </w:pPr>
            <w:r>
              <w:rPr>
                <w:noProof/>
              </w:rPr>
              <w:t>L5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801E5C" w14:textId="77777777" w:rsidR="003E1D81" w:rsidRDefault="00EB481C">
            <w:pPr>
              <w:pStyle w:val="P68B1DB1-Normal46"/>
              <w:spacing w:after="0" w:line="240" w:lineRule="auto"/>
              <w:rPr>
                <w:rFonts w:eastAsia="Times New Roman" w:cs="Times New Roman"/>
                <w:noProof/>
              </w:rPr>
            </w:pPr>
            <w:r>
              <w:rPr>
                <w:noProof/>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198909"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AB0167" w14:textId="77777777" w:rsidR="003E1D81" w:rsidRDefault="00EB481C">
            <w:pPr>
              <w:pStyle w:val="P68B1DB1-Normal46"/>
              <w:spacing w:after="0" w:line="240" w:lineRule="auto"/>
              <w:rPr>
                <w:rFonts w:eastAsia="Times New Roman" w:cs="Times New Roman"/>
                <w:noProof/>
              </w:rPr>
            </w:pPr>
            <w:r>
              <w:rPr>
                <w:noProof/>
              </w:rPr>
              <w:t>Az ICO hiteleszköze a szociális lakhatás előmozdítására: A végső kedvezményezettekkel aláírt jogi megállapodások (I)</w:t>
            </w:r>
          </w:p>
        </w:tc>
      </w:tr>
      <w:tr w:rsidR="003E1D81" w14:paraId="55B516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3D514E" w14:textId="77777777" w:rsidR="003E1D81" w:rsidRDefault="00EB481C">
            <w:pPr>
              <w:pStyle w:val="P68B1DB1-Normal46"/>
              <w:spacing w:after="0" w:line="240" w:lineRule="auto"/>
              <w:jc w:val="center"/>
              <w:rPr>
                <w:rFonts w:eastAsia="Times New Roman" w:cs="Times New Roman"/>
                <w:noProof/>
              </w:rPr>
            </w:pPr>
            <w:r>
              <w:rPr>
                <w:noProof/>
              </w:rPr>
              <w:t>L89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64CD4B" w14:textId="77777777" w:rsidR="003E1D81" w:rsidRDefault="00EB481C">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247350"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1689F53" w14:textId="77777777" w:rsidR="003E1D81" w:rsidRDefault="00EB481C">
            <w:pPr>
              <w:pStyle w:val="P68B1DB1-Normal46"/>
              <w:spacing w:after="0" w:line="240" w:lineRule="auto"/>
              <w:rPr>
                <w:rFonts w:eastAsia="Times New Roman" w:cs="Times New Roman"/>
                <w:noProof/>
              </w:rPr>
            </w:pPr>
            <w:r>
              <w:rPr>
                <w:noProof/>
              </w:rPr>
              <w:t xml:space="preserve">Projektek odaítélése a </w:t>
            </w:r>
            <w:r>
              <w:rPr>
                <w:noProof/>
              </w:rPr>
              <w:t>közigazgatás kiberbiztonsági képességeinek megerősítésére a kiberfenyegetések megelőzése, védelme, felderítése és az azokra való reagálás területén (kiberbiztonsági program)</w:t>
            </w:r>
          </w:p>
        </w:tc>
      </w:tr>
      <w:tr w:rsidR="003E1D81" w14:paraId="0584499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1EEE3F" w14:textId="77777777" w:rsidR="003E1D81" w:rsidRDefault="00EB481C">
            <w:pPr>
              <w:pStyle w:val="P68B1DB1-Normal46"/>
              <w:spacing w:after="0" w:line="240" w:lineRule="auto"/>
              <w:jc w:val="center"/>
              <w:rPr>
                <w:rFonts w:eastAsia="Times New Roman" w:cs="Times New Roman"/>
                <w:noProof/>
              </w:rPr>
            </w:pPr>
            <w:r>
              <w:rPr>
                <w:noProof/>
              </w:rPr>
              <w:t>L19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A69CD7" w14:textId="77777777" w:rsidR="003E1D81" w:rsidRDefault="00EB481C">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DB8F31"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C110F4A" w14:textId="77777777" w:rsidR="003E1D81" w:rsidRDefault="00EB481C">
            <w:pPr>
              <w:pStyle w:val="P68B1DB1-Normal46"/>
              <w:spacing w:after="0" w:line="240" w:lineRule="auto"/>
              <w:rPr>
                <w:rFonts w:eastAsia="Times New Roman" w:cs="Times New Roman"/>
                <w:noProof/>
              </w:rPr>
            </w:pPr>
            <w:r>
              <w:rPr>
                <w:noProof/>
              </w:rPr>
              <w:t xml:space="preserve">Biztonsági és Rezilienciaépítési Alap: A végső kedvezményezettekkel </w:t>
            </w:r>
            <w:r>
              <w:rPr>
                <w:noProof/>
              </w:rPr>
              <w:t>aláírt jogi finanszírozási megállapodások (beleértve a tőkealapokat is) (I)</w:t>
            </w:r>
          </w:p>
        </w:tc>
      </w:tr>
      <w:tr w:rsidR="003E1D81" w14:paraId="0FF83B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CD8775" w14:textId="77777777" w:rsidR="003E1D81" w:rsidRDefault="00EB481C">
            <w:pPr>
              <w:pStyle w:val="P68B1DB1-Normal46"/>
              <w:spacing w:after="0" w:line="240" w:lineRule="auto"/>
              <w:jc w:val="center"/>
              <w:rPr>
                <w:rFonts w:eastAsia="Times New Roman" w:cs="Times New Roman"/>
                <w:noProof/>
              </w:rPr>
            </w:pPr>
            <w:r>
              <w:rPr>
                <w:noProof/>
              </w:rPr>
              <w:t>L26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D26075" w14:textId="77777777" w:rsidR="003E1D81" w:rsidRDefault="00EB481C">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CB30E3"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1F39C5" w14:textId="77777777" w:rsidR="003E1D81" w:rsidRDefault="00EB481C">
            <w:pPr>
              <w:pStyle w:val="P68B1DB1-Normal46"/>
              <w:spacing w:after="0" w:line="240" w:lineRule="auto"/>
              <w:rPr>
                <w:rFonts w:eastAsia="Times New Roman" w:cs="Times New Roman"/>
                <w:noProof/>
              </w:rPr>
            </w:pPr>
            <w:r>
              <w:rPr>
                <w:noProof/>
              </w:rPr>
              <w:t>ICO zöld vonal – A végső kedvezményezettekkel (beleértve a tőkealapokat is) aláírt jogi megállapodások (II)</w:t>
            </w:r>
          </w:p>
        </w:tc>
      </w:tr>
      <w:tr w:rsidR="003E1D81" w14:paraId="73D1638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10D4813" w14:textId="77777777" w:rsidR="003E1D81" w:rsidRDefault="00EB481C">
            <w:pPr>
              <w:pStyle w:val="P68B1DB1-Normal46"/>
              <w:spacing w:after="0" w:line="240" w:lineRule="auto"/>
              <w:jc w:val="center"/>
              <w:rPr>
                <w:rFonts w:eastAsia="Times New Roman" w:cs="Times New Roman"/>
                <w:noProof/>
              </w:rPr>
            </w:pPr>
            <w:r>
              <w:rPr>
                <w:noProof/>
              </w:rPr>
              <w:t>L31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92DB91" w14:textId="77777777" w:rsidR="003E1D81" w:rsidRDefault="00EB481C">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FE1B45"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691ED9" w14:textId="77777777" w:rsidR="003E1D81" w:rsidRDefault="00EB481C">
            <w:pPr>
              <w:pStyle w:val="P68B1DB1-Normal46"/>
              <w:spacing w:after="0" w:line="240" w:lineRule="auto"/>
              <w:rPr>
                <w:rFonts w:eastAsia="Times New Roman" w:cs="Times New Roman"/>
                <w:noProof/>
              </w:rPr>
            </w:pPr>
            <w:r>
              <w:rPr>
                <w:noProof/>
              </w:rPr>
              <w:t xml:space="preserve">ICO Enterprises and Entrepreneurs Line – A </w:t>
            </w:r>
            <w:r>
              <w:rPr>
                <w:noProof/>
              </w:rPr>
              <w:t>végső kedvezményezettekkel (beleértve a tőkealapokat is) aláírt jogi megállapodások (I)</w:t>
            </w:r>
          </w:p>
        </w:tc>
      </w:tr>
      <w:tr w:rsidR="003E1D81" w14:paraId="2BEFAD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E496F3" w14:textId="77777777" w:rsidR="003E1D81" w:rsidRDefault="00EB481C">
            <w:pPr>
              <w:pStyle w:val="P68B1DB1-Normal46"/>
              <w:spacing w:after="0" w:line="240" w:lineRule="auto"/>
              <w:jc w:val="center"/>
              <w:rPr>
                <w:rFonts w:eastAsia="Times New Roman" w:cs="Times New Roman"/>
                <w:noProof/>
              </w:rPr>
            </w:pPr>
            <w:r>
              <w:rPr>
                <w:noProof/>
              </w:rPr>
              <w:t>L36.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7FBED2" w14:textId="77777777" w:rsidR="003E1D81" w:rsidRDefault="00EB481C">
            <w:pPr>
              <w:pStyle w:val="P68B1DB1-Normal46"/>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C85042"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8BBE93E" w14:textId="77777777" w:rsidR="003E1D81" w:rsidRDefault="00EB481C">
            <w:pPr>
              <w:pStyle w:val="P68B1DB1-Normal46"/>
              <w:spacing w:after="0" w:line="240" w:lineRule="auto"/>
              <w:rPr>
                <w:rFonts w:eastAsia="Times New Roman" w:cs="Times New Roman"/>
                <w:noProof/>
              </w:rPr>
            </w:pPr>
            <w:r>
              <w:rPr>
                <w:noProof/>
              </w:rPr>
              <w:t>Következő technikai technológia – A végső kedvezményezettekkel és tőkealapokkal aláírt jogi megállapodások (I)</w:t>
            </w:r>
          </w:p>
        </w:tc>
      </w:tr>
      <w:tr w:rsidR="003E1D81" w14:paraId="5709ED1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D9B6D4" w14:textId="77777777" w:rsidR="003E1D81" w:rsidRDefault="00EB481C">
            <w:pPr>
              <w:pStyle w:val="P68B1DB1-Normal46"/>
              <w:spacing w:after="0" w:line="240" w:lineRule="auto"/>
              <w:jc w:val="center"/>
              <w:rPr>
                <w:rFonts w:eastAsia="Times New Roman" w:cs="Times New Roman"/>
                <w:noProof/>
              </w:rPr>
            </w:pPr>
            <w:r>
              <w:rPr>
                <w:noProof/>
              </w:rPr>
              <w:t>L41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479CC9" w14:textId="77777777" w:rsidR="003E1D81" w:rsidRDefault="00EB481C">
            <w:pPr>
              <w:pStyle w:val="P68B1DB1-Normal46"/>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56A696"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C417A9E" w14:textId="77777777" w:rsidR="003E1D81" w:rsidRDefault="00EB481C">
            <w:pPr>
              <w:pStyle w:val="P68B1DB1-Normal46"/>
              <w:spacing w:after="0" w:line="240" w:lineRule="auto"/>
              <w:rPr>
                <w:rFonts w:eastAsia="Times New Roman" w:cs="Times New Roman"/>
                <w:noProof/>
              </w:rPr>
            </w:pPr>
            <w:r>
              <w:rPr>
                <w:noProof/>
              </w:rPr>
              <w:t xml:space="preserve">Foco – A végső </w:t>
            </w:r>
            <w:r>
              <w:rPr>
                <w:noProof/>
              </w:rPr>
              <w:t>kedvezményezettekkel (beleértve a tőkealapokat is) aláírt jogi megállapodások (I)</w:t>
            </w:r>
          </w:p>
        </w:tc>
      </w:tr>
      <w:tr w:rsidR="003E1D81" w14:paraId="435420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D98890" w14:textId="77777777" w:rsidR="003E1D81" w:rsidRDefault="00EB481C">
            <w:pPr>
              <w:pStyle w:val="P68B1DB1-Normal46"/>
              <w:spacing w:after="0" w:line="240" w:lineRule="auto"/>
              <w:jc w:val="center"/>
              <w:rPr>
                <w:rFonts w:eastAsia="Times New Roman" w:cs="Times New Roman"/>
                <w:noProof/>
              </w:rPr>
            </w:pPr>
            <w:r>
              <w:rPr>
                <w:noProof/>
              </w:rPr>
              <w:t>L45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E58C3CB" w14:textId="77777777" w:rsidR="003E1D81" w:rsidRDefault="00EB481C">
            <w:pPr>
              <w:pStyle w:val="P68B1DB1-Normal46"/>
              <w:spacing w:after="0" w:line="240" w:lineRule="auto"/>
              <w:rPr>
                <w:rFonts w:eastAsia="Times New Roman" w:cs="Times New Roman"/>
                <w:noProof/>
              </w:rPr>
            </w:pPr>
            <w:r>
              <w:rPr>
                <w:noProof/>
              </w:rPr>
              <w:t>C13.I10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5C2787"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652549" w14:textId="77777777" w:rsidR="003E1D81" w:rsidRDefault="00EB481C">
            <w:pPr>
              <w:pStyle w:val="P68B1DB1-Normal46"/>
              <w:spacing w:after="0" w:line="240" w:lineRule="auto"/>
              <w:rPr>
                <w:rFonts w:eastAsia="Times New Roman" w:cs="Times New Roman"/>
                <w:noProof/>
              </w:rPr>
            </w:pPr>
            <w:r>
              <w:rPr>
                <w:noProof/>
              </w:rPr>
              <w:t>FONREC</w:t>
            </w:r>
          </w:p>
        </w:tc>
      </w:tr>
      <w:tr w:rsidR="003E1D81" w14:paraId="0D7D95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76B823" w14:textId="77777777" w:rsidR="003E1D81" w:rsidRDefault="00EB481C">
            <w:pPr>
              <w:pStyle w:val="P68B1DB1-Normal46"/>
              <w:spacing w:after="0" w:line="240" w:lineRule="auto"/>
              <w:jc w:val="center"/>
              <w:rPr>
                <w:rFonts w:eastAsia="Times New Roman" w:cs="Times New Roman"/>
                <w:noProof/>
              </w:rPr>
            </w:pPr>
            <w:r>
              <w:rPr>
                <w:noProof/>
              </w:rPr>
              <w:t>L48.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82E16C" w14:textId="77777777" w:rsidR="003E1D81" w:rsidRDefault="00EB481C">
            <w:pPr>
              <w:pStyle w:val="P68B1DB1-Normal46"/>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0EA362"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29EB474" w14:textId="77777777" w:rsidR="003E1D81" w:rsidRDefault="00EB481C">
            <w:pPr>
              <w:pStyle w:val="P68B1DB1-Normal46"/>
              <w:spacing w:after="0" w:line="240" w:lineRule="auto"/>
              <w:rPr>
                <w:rFonts w:eastAsia="Times New Roman" w:cs="Times New Roman"/>
                <w:noProof/>
              </w:rPr>
            </w:pPr>
            <w:r>
              <w:rPr>
                <w:noProof/>
              </w:rPr>
              <w:t>ENISA Vállalkozói és Kkv-alap – A végső kedvezményezettekkel aláírt jogi megállapodások</w:t>
            </w:r>
          </w:p>
        </w:tc>
      </w:tr>
      <w:tr w:rsidR="003E1D81" w14:paraId="336C8A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D9E418" w14:textId="77777777" w:rsidR="003E1D81" w:rsidRDefault="00EB481C">
            <w:pPr>
              <w:pStyle w:val="P68B1DB1-Normal46"/>
              <w:spacing w:after="0" w:line="240" w:lineRule="auto"/>
              <w:jc w:val="center"/>
              <w:rPr>
                <w:rFonts w:eastAsia="Times New Roman" w:cs="Times New Roman"/>
                <w:noProof/>
              </w:rPr>
            </w:pPr>
            <w:r>
              <w:rPr>
                <w:noProof/>
              </w:rPr>
              <w:t>L55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10255E" w14:textId="77777777" w:rsidR="003E1D81" w:rsidRDefault="00EB481C">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D7646EA"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D8B4897" w14:textId="77777777" w:rsidR="003E1D81" w:rsidRDefault="00EB481C">
            <w:pPr>
              <w:pStyle w:val="P68B1DB1-Normal46"/>
              <w:spacing w:after="0" w:line="240" w:lineRule="auto"/>
              <w:rPr>
                <w:rFonts w:eastAsia="Times New Roman" w:cs="Times New Roman"/>
                <w:noProof/>
              </w:rPr>
            </w:pPr>
            <w:r>
              <w:rPr>
                <w:noProof/>
              </w:rPr>
              <w:t xml:space="preserve">Regionális Rezilienciaépítési </w:t>
            </w:r>
            <w:r>
              <w:rPr>
                <w:noProof/>
              </w:rPr>
              <w:t>Alap – Egyéb költségvetési sorok: A végső kedvezményezettekkel (beleértve a tőkealapokat is) aláírt jogi megállapodások (II)</w:t>
            </w:r>
          </w:p>
        </w:tc>
      </w:tr>
      <w:tr w:rsidR="003E1D81" w14:paraId="76C523E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0CC1FA" w14:textId="77777777" w:rsidR="003E1D81" w:rsidRDefault="00EB481C">
            <w:pPr>
              <w:pStyle w:val="P68B1DB1-Normal46"/>
              <w:spacing w:after="0" w:line="240" w:lineRule="auto"/>
              <w:jc w:val="center"/>
              <w:rPr>
                <w:rFonts w:eastAsia="Times New Roman" w:cs="Times New Roman"/>
                <w:noProof/>
              </w:rPr>
            </w:pPr>
            <w:r>
              <w:rPr>
                <w:noProof/>
              </w:rPr>
              <w:t>L59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A83D7" w14:textId="77777777" w:rsidR="003E1D81" w:rsidRDefault="00EB481C">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2097CA"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6BDB33" w14:textId="77777777" w:rsidR="003E1D81" w:rsidRDefault="00EB481C">
            <w:pPr>
              <w:pStyle w:val="P68B1DB1-Normal46"/>
              <w:spacing w:after="0" w:line="240" w:lineRule="auto"/>
              <w:rPr>
                <w:rFonts w:eastAsia="Times New Roman" w:cs="Times New Roman"/>
                <w:noProof/>
              </w:rPr>
            </w:pPr>
            <w:r>
              <w:rPr>
                <w:noProof/>
              </w:rPr>
              <w:t>Regionális Rezilienciaépítési Alap – Közvetlen állami irányvonal: A végső kedvezményezettekkel aláírt jogi megállapo</w:t>
            </w:r>
            <w:r>
              <w:rPr>
                <w:noProof/>
              </w:rPr>
              <w:t>dások (II)</w:t>
            </w:r>
          </w:p>
        </w:tc>
      </w:tr>
      <w:tr w:rsidR="003E1D81" w14:paraId="11DBBF5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FFE55C" w14:textId="77777777" w:rsidR="003E1D81" w:rsidRDefault="00EB481C">
            <w:pPr>
              <w:pStyle w:val="P68B1DB1-Normal46"/>
              <w:spacing w:after="0" w:line="240" w:lineRule="auto"/>
              <w:jc w:val="center"/>
              <w:rPr>
                <w:rFonts w:eastAsia="Times New Roman" w:cs="Times New Roman"/>
                <w:noProof/>
              </w:rPr>
            </w:pPr>
            <w:r>
              <w:rPr>
                <w:noProof/>
              </w:rPr>
              <w:t>L64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0EBEFC" w14:textId="77777777" w:rsidR="003E1D81" w:rsidRDefault="00EB481C">
            <w:pPr>
              <w:pStyle w:val="P68B1DB1-Normal46"/>
              <w:spacing w:after="0" w:line="240" w:lineRule="auto"/>
              <w:rPr>
                <w:rFonts w:eastAsia="Times New Roman" w:cs="Times New Roman"/>
                <w:noProof/>
              </w:rPr>
            </w:pPr>
            <w:r>
              <w:rPr>
                <w:noProof/>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FC184BD"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E0E3388" w14:textId="77777777" w:rsidR="003E1D81" w:rsidRDefault="00EB481C">
            <w:pPr>
              <w:pStyle w:val="P68B1DB1-Normal46"/>
              <w:spacing w:after="0" w:line="240" w:lineRule="auto"/>
              <w:rPr>
                <w:rFonts w:eastAsia="Times New Roman" w:cs="Times New Roman"/>
                <w:noProof/>
              </w:rPr>
            </w:pPr>
            <w:r>
              <w:rPr>
                <w:noProof/>
              </w:rPr>
              <w:t>Csipfinanszírozási eszköz: A végső kedvezményezettekkel aláírt jogi megállapodások (I)</w:t>
            </w:r>
          </w:p>
        </w:tc>
      </w:tr>
      <w:tr w:rsidR="003E1D81" w14:paraId="46B5BB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47A19A" w14:textId="77777777" w:rsidR="003E1D81" w:rsidRDefault="00EB481C">
            <w:pPr>
              <w:pStyle w:val="P68B1DB1-Normal46"/>
              <w:spacing w:after="0" w:line="240" w:lineRule="auto"/>
              <w:jc w:val="center"/>
              <w:rPr>
                <w:rFonts w:eastAsia="Times New Roman" w:cs="Times New Roman"/>
                <w:noProof/>
              </w:rPr>
            </w:pPr>
            <w:r>
              <w:rPr>
                <w:noProof/>
              </w:rPr>
              <w:t>L78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0F719A" w14:textId="77777777" w:rsidR="003E1D81" w:rsidRDefault="00EB481C">
            <w:pPr>
              <w:pStyle w:val="P68B1DB1-Normal46"/>
              <w:spacing w:after="0" w:line="240" w:lineRule="auto"/>
              <w:rPr>
                <w:rFonts w:eastAsia="Times New Roman" w:cs="Times New Roman"/>
                <w:noProof/>
              </w:rPr>
            </w:pPr>
            <w:r>
              <w:rPr>
                <w:noProof/>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C8606EC"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CC46DD0" w14:textId="77777777" w:rsidR="003E1D81" w:rsidRDefault="00EB481C">
            <w:pPr>
              <w:pStyle w:val="P68B1DB1-Normal46"/>
              <w:spacing w:after="0" w:line="240" w:lineRule="auto"/>
              <w:rPr>
                <w:rFonts w:eastAsia="Times New Roman" w:cs="Times New Roman"/>
                <w:noProof/>
              </w:rPr>
            </w:pPr>
            <w:r>
              <w:rPr>
                <w:noProof/>
              </w:rPr>
              <w:t xml:space="preserve">ICO Audiovizuális Platformalap: A végső kedvezményezettekkel (beleértve a tőkealapokat is) aláírt jogi finanszírozási megállapodások (I).  </w:t>
            </w:r>
          </w:p>
        </w:tc>
      </w:tr>
      <w:tr w:rsidR="003E1D81" w14:paraId="7A6E7E7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51998F" w14:textId="77777777" w:rsidR="003E1D81" w:rsidRDefault="003E1D81">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7CA8B6" w14:textId="77777777" w:rsidR="003E1D81" w:rsidRDefault="003E1D81">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613CF0" w14:textId="7E9B26BD" w:rsidR="003E1D81" w:rsidRDefault="00EB481C">
            <w:pPr>
              <w:pStyle w:val="P68B1DB1-Normal45"/>
              <w:spacing w:after="0" w:line="240" w:lineRule="auto"/>
              <w:rPr>
                <w:rFonts w:eastAsia="Times New Roman" w:cs="Times New Roman"/>
                <w:noProof/>
              </w:rPr>
            </w:pPr>
            <w:r>
              <w:rPr>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56B8F8A" w14:textId="653C51D5" w:rsidR="003E1D81" w:rsidRDefault="00EB481C">
            <w:pPr>
              <w:pStyle w:val="P68B1DB1-Normal45"/>
              <w:spacing w:after="0" w:line="240" w:lineRule="auto"/>
              <w:rPr>
                <w:rFonts w:eastAsia="Times New Roman" w:cs="Times New Roman"/>
                <w:noProof/>
              </w:rPr>
            </w:pPr>
            <w:r>
              <w:rPr>
                <w:noProof/>
              </w:rPr>
              <w:t>·EURÓPAI BIZOTTSÁG 18 612 013 429 EUR</w:t>
            </w:r>
          </w:p>
        </w:tc>
      </w:tr>
    </w:tbl>
    <w:p w14:paraId="453DEC58" w14:textId="77777777" w:rsidR="003E1D81" w:rsidRDefault="003E1D81">
      <w:pPr>
        <w:spacing w:before="120" w:after="120" w:line="240" w:lineRule="auto"/>
        <w:jc w:val="both"/>
        <w:rPr>
          <w:rFonts w:ascii="Times New Roman" w:eastAsia="Calibri" w:hAnsi="Times New Roman" w:cs="Times New Roman"/>
          <w:noProof/>
          <w:sz w:val="24"/>
        </w:rPr>
      </w:pPr>
    </w:p>
    <w:p w14:paraId="73A0D850" w14:textId="3248986B"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Ötödik részlet (hiteltámogatás): </w:t>
      </w:r>
    </w:p>
    <w:tbl>
      <w:tblPr>
        <w:tblW w:w="9663" w:type="dxa"/>
        <w:tblInd w:w="113" w:type="dxa"/>
        <w:tblLook w:val="04A0" w:firstRow="1" w:lastRow="0" w:firstColumn="1" w:lastColumn="0" w:noHBand="0" w:noVBand="1"/>
      </w:tblPr>
      <w:tblGrid>
        <w:gridCol w:w="1300"/>
        <w:gridCol w:w="1443"/>
        <w:gridCol w:w="1416"/>
        <w:gridCol w:w="5670"/>
      </w:tblGrid>
      <w:tr w:rsidR="003E1D81" w14:paraId="486661A0"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C9767ED" w14:textId="77777777" w:rsidR="003E1D81" w:rsidRDefault="00EB481C">
            <w:pPr>
              <w:pStyle w:val="P68B1DB1-Normal45"/>
              <w:spacing w:after="0" w:line="240" w:lineRule="auto"/>
              <w:jc w:val="center"/>
              <w:rPr>
                <w:rFonts w:eastAsia="Times New Roman" w:cs="Times New Roman"/>
                <w:noProof/>
              </w:rPr>
            </w:pPr>
            <w:r>
              <w:rPr>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77ADA78" w14:textId="77777777" w:rsidR="003E1D81" w:rsidRDefault="00EB481C">
            <w:pPr>
              <w:pStyle w:val="P68B1DB1-Normal45"/>
              <w:spacing w:after="0" w:line="240" w:lineRule="auto"/>
              <w:jc w:val="center"/>
              <w:rPr>
                <w:rFonts w:eastAsia="Times New Roman" w:cs="Times New Roman"/>
                <w:noProof/>
              </w:rPr>
            </w:pPr>
            <w:r>
              <w:rPr>
                <w:noProof/>
              </w:rPr>
              <w:t xml:space="preserve">Kapcsolódó </w:t>
            </w:r>
            <w:r>
              <w:rPr>
                <w:noProof/>
              </w:rPr>
              <w:t>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F1C12AD"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13052B9A"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07375CFB"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1ABC1730" w14:textId="77777777" w:rsidR="003E1D81" w:rsidRDefault="003E1D81">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3CD23AAB" w14:textId="77777777" w:rsidR="003E1D81" w:rsidRDefault="003E1D81">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8218EBB" w14:textId="77777777" w:rsidR="003E1D81" w:rsidRDefault="003E1D81">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6A6D8940" w14:textId="77777777" w:rsidR="003E1D81" w:rsidRDefault="003E1D81">
            <w:pPr>
              <w:spacing w:after="0" w:line="240" w:lineRule="auto"/>
              <w:rPr>
                <w:rFonts w:ascii="Times New Roman" w:eastAsia="Times New Roman" w:hAnsi="Times New Roman" w:cs="Times New Roman"/>
                <w:b/>
                <w:noProof/>
                <w:sz w:val="20"/>
              </w:rPr>
            </w:pPr>
          </w:p>
        </w:tc>
      </w:tr>
      <w:tr w:rsidR="003E1D81" w14:paraId="792590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F6BEE8" w14:textId="77777777" w:rsidR="003E1D81" w:rsidRDefault="00EB481C">
            <w:pPr>
              <w:pStyle w:val="P68B1DB1-Normal46"/>
              <w:spacing w:after="0" w:line="240" w:lineRule="auto"/>
              <w:jc w:val="center"/>
              <w:rPr>
                <w:rFonts w:eastAsia="Times New Roman" w:cs="Times New Roman"/>
                <w:noProof/>
              </w:rPr>
            </w:pPr>
            <w:r>
              <w:rPr>
                <w:noProof/>
              </w:rPr>
              <w:t>L9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06AD30" w14:textId="77777777" w:rsidR="003E1D81" w:rsidRDefault="00EB481C">
            <w:pPr>
              <w:pStyle w:val="P68B1DB1-Normal46"/>
              <w:spacing w:after="0" w:line="240" w:lineRule="auto"/>
              <w:rPr>
                <w:rFonts w:eastAsia="Times New Roman" w:cs="Times New Roman"/>
                <w:noProof/>
              </w:rPr>
            </w:pPr>
            <w:r>
              <w:rPr>
                <w:noProof/>
              </w:rPr>
              <w:t>C3.R8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2EDB48"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9F58FC" w14:textId="77777777" w:rsidR="003E1D81" w:rsidRDefault="00EB481C">
            <w:pPr>
              <w:pStyle w:val="P68B1DB1-Normal46"/>
              <w:spacing w:after="0" w:line="240" w:lineRule="auto"/>
              <w:rPr>
                <w:rFonts w:eastAsia="Times New Roman" w:cs="Times New Roman"/>
                <w:noProof/>
              </w:rPr>
            </w:pPr>
            <w:r>
              <w:rPr>
                <w:noProof/>
              </w:rPr>
              <w:t>A mezőgazdasági üzemek információs rendszerét szabályozó rendelet hatálybalépése</w:t>
            </w:r>
          </w:p>
        </w:tc>
      </w:tr>
      <w:tr w:rsidR="003E1D81" w14:paraId="6197830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945BEC" w14:textId="77777777" w:rsidR="003E1D81" w:rsidRDefault="00EB481C">
            <w:pPr>
              <w:pStyle w:val="P68B1DB1-Normal46"/>
              <w:spacing w:after="0" w:line="240" w:lineRule="auto"/>
              <w:jc w:val="center"/>
              <w:rPr>
                <w:rFonts w:eastAsia="Times New Roman" w:cs="Times New Roman"/>
                <w:noProof/>
              </w:rPr>
            </w:pPr>
            <w:r>
              <w:rPr>
                <w:noProof/>
              </w:rPr>
              <w:t>L16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972874" w14:textId="77777777" w:rsidR="003E1D81" w:rsidRDefault="00EB481C">
            <w:pPr>
              <w:pStyle w:val="P68B1DB1-Normal46"/>
              <w:spacing w:after="0" w:line="240" w:lineRule="auto"/>
              <w:rPr>
                <w:rFonts w:eastAsia="Times New Roman" w:cs="Times New Roman"/>
                <w:noProof/>
              </w:rPr>
            </w:pPr>
            <w:r>
              <w:rPr>
                <w:noProof/>
              </w:rPr>
              <w:t>C6.R3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9F7BB0F"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D0353F" w14:textId="77777777" w:rsidR="003E1D81" w:rsidRDefault="00EB481C">
            <w:pPr>
              <w:pStyle w:val="P68B1DB1-Normal46"/>
              <w:spacing w:after="0" w:line="240" w:lineRule="auto"/>
              <w:rPr>
                <w:rFonts w:eastAsia="Times New Roman" w:cs="Times New Roman"/>
                <w:noProof/>
              </w:rPr>
            </w:pPr>
            <w:r>
              <w:rPr>
                <w:noProof/>
              </w:rPr>
              <w:t>A szénlábnyom kiszámítása a Közúti Főigazgatóság által</w:t>
            </w:r>
          </w:p>
        </w:tc>
      </w:tr>
      <w:tr w:rsidR="003E1D81" w14:paraId="655A970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8ABF3F" w14:textId="77777777" w:rsidR="003E1D81" w:rsidRDefault="00EB481C">
            <w:pPr>
              <w:pStyle w:val="P68B1DB1-Normal46"/>
              <w:spacing w:after="0" w:line="240" w:lineRule="auto"/>
              <w:jc w:val="center"/>
              <w:rPr>
                <w:rFonts w:eastAsia="Times New Roman" w:cs="Times New Roman"/>
                <w:noProof/>
              </w:rPr>
            </w:pPr>
            <w:r>
              <w:rPr>
                <w:noProof/>
              </w:rPr>
              <w:t>L27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D79899" w14:textId="77777777" w:rsidR="003E1D81" w:rsidRDefault="00EB481C">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05EEB7"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A3A0C0" w14:textId="77777777" w:rsidR="003E1D81" w:rsidRDefault="00EB481C">
            <w:pPr>
              <w:pStyle w:val="P68B1DB1-Normal46"/>
              <w:spacing w:after="0" w:line="240" w:lineRule="auto"/>
              <w:rPr>
                <w:rFonts w:eastAsia="Times New Roman" w:cs="Times New Roman"/>
                <w:noProof/>
              </w:rPr>
            </w:pPr>
            <w:r>
              <w:rPr>
                <w:noProof/>
              </w:rPr>
              <w:t xml:space="preserve">ICO zöld vonal – A </w:t>
            </w:r>
            <w:r>
              <w:rPr>
                <w:noProof/>
              </w:rPr>
              <w:t>végső kedvezményezettekkel (beleértve a tőkealapokat is) aláírt jogi megállapodások (III)</w:t>
            </w:r>
          </w:p>
        </w:tc>
      </w:tr>
      <w:tr w:rsidR="003E1D81" w14:paraId="6698D36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61BB7E" w14:textId="77777777" w:rsidR="003E1D81" w:rsidRDefault="00EB481C">
            <w:pPr>
              <w:pStyle w:val="P68B1DB1-Normal46"/>
              <w:spacing w:after="0" w:line="240" w:lineRule="auto"/>
              <w:jc w:val="center"/>
              <w:rPr>
                <w:rFonts w:eastAsia="Times New Roman" w:cs="Times New Roman"/>
                <w:noProof/>
              </w:rPr>
            </w:pPr>
            <w:r>
              <w:rPr>
                <w:noProof/>
              </w:rPr>
              <w:t>L32.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62AE95" w14:textId="77777777" w:rsidR="003E1D81" w:rsidRDefault="00EB481C">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D073DA"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6F95759" w14:textId="77777777" w:rsidR="003E1D81" w:rsidRDefault="00EB481C">
            <w:pPr>
              <w:pStyle w:val="P68B1DB1-Normal46"/>
              <w:spacing w:after="0" w:line="240" w:lineRule="auto"/>
              <w:rPr>
                <w:rFonts w:eastAsia="Times New Roman" w:cs="Times New Roman"/>
                <w:noProof/>
              </w:rPr>
            </w:pPr>
            <w:r>
              <w:rPr>
                <w:noProof/>
              </w:rPr>
              <w:t>ICO Enterprises and Entrepreneurs Line – A végső kedvezményezettekkel (beleértve a tőkealapokat is) aláírt jogi megállapodások (II)</w:t>
            </w:r>
          </w:p>
        </w:tc>
      </w:tr>
      <w:tr w:rsidR="003E1D81" w14:paraId="6DDD1C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F35A6F" w14:textId="77777777" w:rsidR="003E1D81" w:rsidRDefault="00EB481C">
            <w:pPr>
              <w:pStyle w:val="P68B1DB1-Normal46"/>
              <w:spacing w:after="0" w:line="240" w:lineRule="auto"/>
              <w:jc w:val="center"/>
              <w:rPr>
                <w:rFonts w:eastAsia="Times New Roman" w:cs="Times New Roman"/>
                <w:noProof/>
              </w:rPr>
            </w:pPr>
            <w:r>
              <w:rPr>
                <w:noProof/>
              </w:rPr>
              <w:t>L37.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E10E66" w14:textId="77777777" w:rsidR="003E1D81" w:rsidRDefault="00EB481C">
            <w:pPr>
              <w:pStyle w:val="P68B1DB1-Normal46"/>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F209C4"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6D6C35" w14:textId="77777777" w:rsidR="003E1D81" w:rsidRDefault="00EB481C">
            <w:pPr>
              <w:pStyle w:val="P68B1DB1-Normal46"/>
              <w:spacing w:after="0" w:line="240" w:lineRule="auto"/>
              <w:rPr>
                <w:rFonts w:eastAsia="Times New Roman" w:cs="Times New Roman"/>
                <w:noProof/>
              </w:rPr>
            </w:pPr>
            <w:r>
              <w:rPr>
                <w:noProof/>
              </w:rPr>
              <w:t>Következő technikai technológia – A végső kedvezményezettekkel és tőkealapokkal aláírt jogi megállapodások (II)</w:t>
            </w:r>
          </w:p>
        </w:tc>
      </w:tr>
      <w:tr w:rsidR="003E1D81" w14:paraId="6BA5F2C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993088" w14:textId="77777777" w:rsidR="003E1D81" w:rsidRDefault="00EB481C">
            <w:pPr>
              <w:pStyle w:val="P68B1DB1-Normal46"/>
              <w:spacing w:after="0" w:line="240" w:lineRule="auto"/>
              <w:jc w:val="center"/>
              <w:rPr>
                <w:rFonts w:eastAsia="Times New Roman" w:cs="Times New Roman"/>
                <w:noProof/>
              </w:rPr>
            </w:pPr>
            <w:r>
              <w:rPr>
                <w:noProof/>
              </w:rPr>
              <w:t>L56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E7B9A2" w14:textId="77777777" w:rsidR="003E1D81" w:rsidRDefault="00EB481C">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C948BA"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DF7EF59" w14:textId="77777777" w:rsidR="003E1D81" w:rsidRDefault="00EB481C">
            <w:pPr>
              <w:pStyle w:val="P68B1DB1-Normal46"/>
              <w:spacing w:after="0" w:line="240" w:lineRule="auto"/>
              <w:rPr>
                <w:rFonts w:eastAsia="Times New Roman" w:cs="Times New Roman"/>
                <w:noProof/>
              </w:rPr>
            </w:pPr>
            <w:r>
              <w:rPr>
                <w:noProof/>
              </w:rPr>
              <w:t>Regionális Rezilienciaépítési Alap – Egyéb költségvetési sorok: A végső kedvezményezettekkel (beleértve a tőkealapokat is) aláírt</w:t>
            </w:r>
            <w:r>
              <w:rPr>
                <w:noProof/>
              </w:rPr>
              <w:t xml:space="preserve"> jogi megállapodások (III)</w:t>
            </w:r>
          </w:p>
        </w:tc>
      </w:tr>
      <w:tr w:rsidR="003E1D81" w14:paraId="581A488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5EFCFA" w14:textId="77777777" w:rsidR="003E1D81" w:rsidRDefault="00EB481C">
            <w:pPr>
              <w:pStyle w:val="P68B1DB1-Normal46"/>
              <w:spacing w:after="0" w:line="240" w:lineRule="auto"/>
              <w:jc w:val="center"/>
              <w:rPr>
                <w:rFonts w:eastAsia="Times New Roman" w:cs="Times New Roman"/>
                <w:noProof/>
              </w:rPr>
            </w:pPr>
            <w:r>
              <w:rPr>
                <w:noProof/>
              </w:rPr>
              <w:t>L71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1BF071" w14:textId="77777777" w:rsidR="003E1D81" w:rsidRDefault="00EB481C">
            <w:pPr>
              <w:pStyle w:val="P68B1DB1-Normal46"/>
              <w:spacing w:after="0" w:line="240" w:lineRule="auto"/>
              <w:rPr>
                <w:rFonts w:eastAsia="Times New Roman" w:cs="Times New Roman"/>
                <w:noProof/>
              </w:rPr>
            </w:pPr>
            <w:r>
              <w:rPr>
                <w:noProof/>
              </w:rPr>
              <w:t>C22.R6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E3EEEC"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C51C5B4" w14:textId="77777777" w:rsidR="003E1D81" w:rsidRDefault="00EB481C">
            <w:pPr>
              <w:pStyle w:val="P68B1DB1-Normal46"/>
              <w:spacing w:after="0" w:line="240" w:lineRule="auto"/>
              <w:rPr>
                <w:rFonts w:eastAsia="Times New Roman" w:cs="Times New Roman"/>
                <w:noProof/>
              </w:rPr>
            </w:pPr>
            <w:r>
              <w:rPr>
                <w:noProof/>
              </w:rPr>
              <w:t>A vonatkozó jogszabály hatálybalépése</w:t>
            </w:r>
          </w:p>
        </w:tc>
      </w:tr>
      <w:tr w:rsidR="003E1D81" w14:paraId="46B3603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5C6CF6" w14:textId="77777777" w:rsidR="003E1D81" w:rsidRDefault="00EB481C">
            <w:pPr>
              <w:pStyle w:val="P68B1DB1-Normal46"/>
              <w:spacing w:after="0" w:line="240" w:lineRule="auto"/>
              <w:jc w:val="center"/>
              <w:rPr>
                <w:rFonts w:eastAsia="Times New Roman" w:cs="Times New Roman"/>
                <w:noProof/>
              </w:rPr>
            </w:pPr>
            <w:r>
              <w:rPr>
                <w:noProof/>
              </w:rPr>
              <w:t>L75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CCC2A8" w14:textId="77777777" w:rsidR="003E1D81" w:rsidRDefault="00EB481C">
            <w:pPr>
              <w:pStyle w:val="P68B1DB1-Normal46"/>
              <w:spacing w:after="0" w:line="240" w:lineRule="auto"/>
              <w:rPr>
                <w:rFonts w:eastAsia="Times New Roman" w:cs="Times New Roman"/>
                <w:noProof/>
              </w:rPr>
            </w:pPr>
            <w:r>
              <w:rPr>
                <w:noProof/>
              </w:rPr>
              <w:t>C25.I2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545DBB"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9C9956" w14:textId="77777777" w:rsidR="003E1D81" w:rsidRDefault="00EB481C">
            <w:pPr>
              <w:pStyle w:val="P68B1DB1-Normal46"/>
              <w:spacing w:after="0" w:line="240" w:lineRule="auto"/>
              <w:rPr>
                <w:rFonts w:eastAsia="Times New Roman" w:cs="Times New Roman"/>
                <w:noProof/>
              </w:rPr>
            </w:pPr>
            <w:r>
              <w:rPr>
                <w:noProof/>
              </w:rPr>
              <w:t>A projektek digitalizálásának és tartalomterjesztésének finanszírozására odaítélt díjak közzététele</w:t>
            </w:r>
          </w:p>
        </w:tc>
      </w:tr>
      <w:tr w:rsidR="003E1D81" w14:paraId="36B5BF2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F7C68D" w14:textId="77777777" w:rsidR="003E1D81" w:rsidRDefault="003E1D81">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88D9A1" w14:textId="77777777" w:rsidR="003E1D81" w:rsidRDefault="003E1D81">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11B721" w14:textId="6935CAD0" w:rsidR="003E1D81" w:rsidRDefault="00EB481C">
            <w:pPr>
              <w:pStyle w:val="P68B1DB1-Normal45"/>
              <w:spacing w:after="0" w:line="240" w:lineRule="auto"/>
              <w:rPr>
                <w:rFonts w:eastAsia="Times New Roman" w:cs="Times New Roman"/>
                <w:noProof/>
              </w:rPr>
            </w:pPr>
            <w:r>
              <w:rPr>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EAB24F5" w14:textId="34AA0A01" w:rsidR="003E1D81" w:rsidRDefault="00EB481C">
            <w:pPr>
              <w:pStyle w:val="P68B1DB1-Normal45"/>
              <w:spacing w:after="0" w:line="240" w:lineRule="auto"/>
              <w:rPr>
                <w:rFonts w:eastAsia="Times New Roman" w:cs="Times New Roman"/>
                <w:noProof/>
              </w:rPr>
            </w:pPr>
            <w:r>
              <w:rPr>
                <w:noProof/>
              </w:rPr>
              <w:t xml:space="preserve"> ·EURÓPAI BIZOTTSÁG 4 224 003 048 EUR</w:t>
            </w:r>
          </w:p>
        </w:tc>
      </w:tr>
    </w:tbl>
    <w:p w14:paraId="5091427A" w14:textId="77777777" w:rsidR="003E1D81" w:rsidRDefault="003E1D81">
      <w:pPr>
        <w:spacing w:before="120" w:after="120" w:line="240" w:lineRule="auto"/>
        <w:jc w:val="both"/>
        <w:rPr>
          <w:rFonts w:ascii="Times New Roman" w:eastAsia="Calibri" w:hAnsi="Times New Roman" w:cs="Times New Roman"/>
          <w:noProof/>
          <w:sz w:val="24"/>
        </w:rPr>
      </w:pPr>
    </w:p>
    <w:p w14:paraId="6FB014F7" w14:textId="1733FE95" w:rsidR="003E1D81" w:rsidRDefault="00EB481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Hatodik részlet (hiteltámogatás): </w:t>
      </w:r>
    </w:p>
    <w:tbl>
      <w:tblPr>
        <w:tblW w:w="9663" w:type="dxa"/>
        <w:tblInd w:w="113" w:type="dxa"/>
        <w:tblLook w:val="04A0" w:firstRow="1" w:lastRow="0" w:firstColumn="1" w:lastColumn="0" w:noHBand="0" w:noVBand="1"/>
      </w:tblPr>
      <w:tblGrid>
        <w:gridCol w:w="1300"/>
        <w:gridCol w:w="1443"/>
        <w:gridCol w:w="1416"/>
        <w:gridCol w:w="5670"/>
      </w:tblGrid>
      <w:tr w:rsidR="003E1D81" w14:paraId="0531B7F7"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1212EFB" w14:textId="77777777" w:rsidR="003E1D81" w:rsidRDefault="00EB481C">
            <w:pPr>
              <w:pStyle w:val="P68B1DB1-Normal45"/>
              <w:spacing w:after="0" w:line="240" w:lineRule="auto"/>
              <w:jc w:val="center"/>
              <w:rPr>
                <w:rFonts w:eastAsia="Times New Roman" w:cs="Times New Roman"/>
                <w:noProof/>
              </w:rPr>
            </w:pPr>
            <w:r>
              <w:rPr>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1438B7" w14:textId="77777777" w:rsidR="003E1D81" w:rsidRDefault="00EB481C">
            <w:pPr>
              <w:pStyle w:val="P68B1DB1-Normal45"/>
              <w:spacing w:after="0" w:line="240" w:lineRule="auto"/>
              <w:jc w:val="center"/>
              <w:rPr>
                <w:rFonts w:eastAsia="Times New Roman" w:cs="Times New Roman"/>
                <w:noProof/>
              </w:rPr>
            </w:pPr>
            <w:r>
              <w:rPr>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FD07CAC" w14:textId="77777777" w:rsidR="003E1D81" w:rsidRDefault="00EB481C">
            <w:pPr>
              <w:pStyle w:val="P68B1DB1-Normal45"/>
              <w:spacing w:after="0" w:line="240" w:lineRule="auto"/>
              <w:jc w:val="center"/>
              <w:rPr>
                <w:rFonts w:eastAsia="Times New Roman" w:cs="Times New Roman"/>
                <w:noProof/>
              </w:rPr>
            </w:pPr>
            <w:r>
              <w:rPr>
                <w:noProof/>
              </w:rPr>
              <w:t>Mérföldkő/cél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7C4BDB87" w14:textId="77777777" w:rsidR="003E1D81" w:rsidRDefault="00EB481C">
            <w:pPr>
              <w:pStyle w:val="P68B1DB1-Normal45"/>
              <w:spacing w:after="0" w:line="240" w:lineRule="auto"/>
              <w:jc w:val="center"/>
              <w:rPr>
                <w:rFonts w:eastAsia="Times New Roman" w:cs="Times New Roman"/>
                <w:noProof/>
              </w:rPr>
            </w:pPr>
            <w:r>
              <w:rPr>
                <w:noProof/>
              </w:rPr>
              <w:t>Név</w:t>
            </w:r>
          </w:p>
        </w:tc>
      </w:tr>
      <w:tr w:rsidR="003E1D81" w14:paraId="37F58787"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5F6B4430" w14:textId="77777777" w:rsidR="003E1D81" w:rsidRDefault="003E1D81">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3123CDE4" w14:textId="77777777" w:rsidR="003E1D81" w:rsidRDefault="003E1D81">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459E5F3F" w14:textId="77777777" w:rsidR="003E1D81" w:rsidRDefault="003E1D81">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67B8CF4C" w14:textId="77777777" w:rsidR="003E1D81" w:rsidRDefault="003E1D81">
            <w:pPr>
              <w:spacing w:after="0" w:line="240" w:lineRule="auto"/>
              <w:rPr>
                <w:rFonts w:ascii="Times New Roman" w:eastAsia="Times New Roman" w:hAnsi="Times New Roman" w:cs="Times New Roman"/>
                <w:b/>
                <w:noProof/>
                <w:sz w:val="20"/>
              </w:rPr>
            </w:pPr>
          </w:p>
        </w:tc>
      </w:tr>
      <w:tr w:rsidR="003E1D81" w14:paraId="265C02A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5D159D" w14:textId="77777777" w:rsidR="003E1D81" w:rsidRDefault="00EB481C">
            <w:pPr>
              <w:pStyle w:val="P68B1DB1-Normal46"/>
              <w:spacing w:after="0" w:line="240" w:lineRule="auto"/>
              <w:jc w:val="center"/>
              <w:rPr>
                <w:rFonts w:eastAsia="Times New Roman" w:cs="Times New Roman"/>
                <w:noProof/>
              </w:rPr>
            </w:pPr>
            <w:r>
              <w:rPr>
                <w:noProof/>
              </w:rPr>
              <w:t>L6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13247E" w14:textId="77777777" w:rsidR="003E1D81" w:rsidRDefault="00EB481C">
            <w:pPr>
              <w:pStyle w:val="P68B1DB1-Normal46"/>
              <w:spacing w:after="0" w:line="240" w:lineRule="auto"/>
              <w:rPr>
                <w:rFonts w:eastAsia="Times New Roman" w:cs="Times New Roman"/>
                <w:noProof/>
              </w:rPr>
            </w:pPr>
            <w:r>
              <w:rPr>
                <w:noProof/>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6BC44D"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9567F3D" w14:textId="77777777" w:rsidR="003E1D81" w:rsidRDefault="00EB481C">
            <w:pPr>
              <w:pStyle w:val="P68B1DB1-Normal46"/>
              <w:spacing w:after="0" w:line="240" w:lineRule="auto"/>
              <w:rPr>
                <w:rFonts w:eastAsia="Times New Roman" w:cs="Times New Roman"/>
                <w:noProof/>
              </w:rPr>
            </w:pPr>
            <w:r>
              <w:rPr>
                <w:noProof/>
              </w:rPr>
              <w:t>Az ICO hiteleszköze a szociális lakhatás előmozdítására: A végső kedvezményezettekkel aláírt jogi megállapodások (II)</w:t>
            </w:r>
          </w:p>
        </w:tc>
      </w:tr>
      <w:tr w:rsidR="003E1D81" w14:paraId="3C7E889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6091B3" w14:textId="77777777" w:rsidR="003E1D81" w:rsidRDefault="00EB481C">
            <w:pPr>
              <w:pStyle w:val="P68B1DB1-Normal46"/>
              <w:spacing w:after="0" w:line="240" w:lineRule="auto"/>
              <w:jc w:val="center"/>
              <w:rPr>
                <w:rFonts w:eastAsia="Times New Roman" w:cs="Times New Roman"/>
                <w:noProof/>
              </w:rPr>
            </w:pPr>
            <w:r>
              <w:rPr>
                <w:noProof/>
              </w:rPr>
              <w:t>L7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C23B00" w14:textId="77777777" w:rsidR="003E1D81" w:rsidRDefault="00EB481C">
            <w:pPr>
              <w:pStyle w:val="P68B1DB1-Normal46"/>
              <w:spacing w:after="0" w:line="240" w:lineRule="auto"/>
              <w:rPr>
                <w:rFonts w:eastAsia="Times New Roman" w:cs="Times New Roman"/>
                <w:noProof/>
              </w:rPr>
            </w:pPr>
            <w:r>
              <w:rPr>
                <w:noProof/>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5E209B"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15A598" w14:textId="77777777" w:rsidR="003E1D81" w:rsidRDefault="00EB481C">
            <w:pPr>
              <w:pStyle w:val="P68B1DB1-Normal46"/>
              <w:spacing w:after="0" w:line="240" w:lineRule="auto"/>
              <w:rPr>
                <w:rFonts w:eastAsia="Times New Roman" w:cs="Times New Roman"/>
                <w:noProof/>
              </w:rPr>
            </w:pPr>
            <w:r>
              <w:rPr>
                <w:noProof/>
              </w:rPr>
              <w:t>Az</w:t>
            </w:r>
            <w:r>
              <w:rPr>
                <w:noProof/>
              </w:rPr>
              <w:t xml:space="preserve"> ICO hiteleszköze a szociális lakhatás előmozdítására: A minisztérium befejezte a beruházást</w:t>
            </w:r>
          </w:p>
        </w:tc>
      </w:tr>
      <w:tr w:rsidR="003E1D81" w14:paraId="44A942A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4BEB6A" w14:textId="77777777" w:rsidR="003E1D81" w:rsidRDefault="00EB481C">
            <w:pPr>
              <w:pStyle w:val="P68B1DB1-Normal46"/>
              <w:spacing w:after="0" w:line="240" w:lineRule="auto"/>
              <w:jc w:val="center"/>
              <w:rPr>
                <w:rFonts w:eastAsia="Times New Roman" w:cs="Times New Roman"/>
                <w:noProof/>
              </w:rPr>
            </w:pPr>
            <w:r>
              <w:rPr>
                <w:noProof/>
              </w:rPr>
              <w:t>L8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4932F6D" w14:textId="77777777" w:rsidR="003E1D81" w:rsidRDefault="00EB481C">
            <w:pPr>
              <w:pStyle w:val="P68B1DB1-Normal46"/>
              <w:spacing w:after="0" w:line="240" w:lineRule="auto"/>
              <w:rPr>
                <w:rFonts w:eastAsia="Times New Roman" w:cs="Times New Roman"/>
                <w:noProof/>
              </w:rPr>
            </w:pPr>
            <w:r>
              <w:rPr>
                <w:noProof/>
              </w:rPr>
              <w:t>C3.R7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8F5458"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EA39573" w14:textId="77777777" w:rsidR="003E1D81" w:rsidRDefault="00EB481C">
            <w:pPr>
              <w:pStyle w:val="P68B1DB1-Normal46"/>
              <w:spacing w:after="0" w:line="240" w:lineRule="auto"/>
              <w:rPr>
                <w:rFonts w:eastAsia="Times New Roman" w:cs="Times New Roman"/>
                <w:noProof/>
              </w:rPr>
            </w:pPr>
            <w:r>
              <w:rPr>
                <w:noProof/>
              </w:rPr>
              <w:t>Az élelmiszer-veszteség és élelmiszer-pazarlás megelőzéséről szóló törvény hatálybalépése</w:t>
            </w:r>
          </w:p>
        </w:tc>
      </w:tr>
      <w:tr w:rsidR="003E1D81" w14:paraId="77D3A13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C6FE840" w14:textId="77777777" w:rsidR="003E1D81" w:rsidRDefault="00EB481C">
            <w:pPr>
              <w:pStyle w:val="P68B1DB1-Normal46"/>
              <w:spacing w:after="0" w:line="240" w:lineRule="auto"/>
              <w:jc w:val="center"/>
              <w:rPr>
                <w:rFonts w:eastAsia="Times New Roman" w:cs="Times New Roman"/>
                <w:noProof/>
              </w:rPr>
            </w:pPr>
            <w:r>
              <w:rPr>
                <w:noProof/>
              </w:rPr>
              <w:t>L11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2DAD53" w14:textId="77777777" w:rsidR="003E1D81" w:rsidRDefault="00EB481C">
            <w:pPr>
              <w:pStyle w:val="P68B1DB1-Normal46"/>
              <w:spacing w:after="0" w:line="240" w:lineRule="auto"/>
              <w:rPr>
                <w:rFonts w:eastAsia="Times New Roman" w:cs="Times New Roman"/>
                <w:noProof/>
              </w:rPr>
            </w:pPr>
            <w:r>
              <w:rPr>
                <w:noProof/>
              </w:rPr>
              <w:t>C3.I12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5F2D54"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5AEA19" w14:textId="77777777" w:rsidR="003E1D81" w:rsidRDefault="00EB481C">
            <w:pPr>
              <w:pStyle w:val="P68B1DB1-Normal46"/>
              <w:spacing w:after="0" w:line="240" w:lineRule="auto"/>
              <w:rPr>
                <w:rFonts w:eastAsia="Times New Roman" w:cs="Times New Roman"/>
                <w:noProof/>
              </w:rPr>
            </w:pPr>
            <w:r>
              <w:rPr>
                <w:noProof/>
              </w:rPr>
              <w:t xml:space="preserve">Az öntözőrendszerek korszerűsítése a víztakarékosság és az energiahatékonyság szempontjából  </w:t>
            </w:r>
          </w:p>
        </w:tc>
      </w:tr>
      <w:tr w:rsidR="003E1D81" w14:paraId="3296460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DC968C" w14:textId="77777777" w:rsidR="003E1D81" w:rsidRDefault="00EB481C">
            <w:pPr>
              <w:pStyle w:val="P68B1DB1-Normal46"/>
              <w:spacing w:after="0" w:line="240" w:lineRule="auto"/>
              <w:jc w:val="center"/>
              <w:rPr>
                <w:rFonts w:eastAsia="Times New Roman" w:cs="Times New Roman"/>
                <w:noProof/>
              </w:rPr>
            </w:pPr>
            <w:r>
              <w:rPr>
                <w:noProof/>
              </w:rPr>
              <w:t>L13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882B24" w14:textId="77777777" w:rsidR="003E1D81" w:rsidRDefault="00EB481C">
            <w:pPr>
              <w:pStyle w:val="P68B1DB1-Normal46"/>
              <w:spacing w:after="0" w:line="240" w:lineRule="auto"/>
              <w:rPr>
                <w:rFonts w:eastAsia="Times New Roman" w:cs="Times New Roman"/>
                <w:noProof/>
              </w:rPr>
            </w:pPr>
            <w:r>
              <w:rPr>
                <w:noProof/>
              </w:rPr>
              <w:t>C5.I5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EBB2FB"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43E3C26" w14:textId="77777777" w:rsidR="003E1D81" w:rsidRDefault="00EB481C">
            <w:pPr>
              <w:pStyle w:val="P68B1DB1-Normal46"/>
              <w:spacing w:after="0" w:line="240" w:lineRule="auto"/>
              <w:rPr>
                <w:rFonts w:eastAsia="Times New Roman" w:cs="Times New Roman"/>
                <w:noProof/>
              </w:rPr>
            </w:pPr>
            <w:r>
              <w:rPr>
                <w:noProof/>
              </w:rPr>
              <w:t>A felszín alatti vizek kitermelésének csökkentése</w:t>
            </w:r>
          </w:p>
        </w:tc>
      </w:tr>
      <w:tr w:rsidR="003E1D81" w14:paraId="1C31B99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09A501" w14:textId="77777777" w:rsidR="003E1D81" w:rsidRDefault="00EB481C">
            <w:pPr>
              <w:pStyle w:val="P68B1DB1-Normal46"/>
              <w:spacing w:after="0" w:line="240" w:lineRule="auto"/>
              <w:jc w:val="center"/>
              <w:rPr>
                <w:rFonts w:eastAsia="Times New Roman" w:cs="Times New Roman"/>
                <w:noProof/>
              </w:rPr>
            </w:pPr>
            <w:r>
              <w:rPr>
                <w:noProof/>
              </w:rPr>
              <w:t>L14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0BFA1E" w14:textId="77777777" w:rsidR="003E1D81" w:rsidRDefault="00EB481C">
            <w:pPr>
              <w:pStyle w:val="P68B1DB1-Normal46"/>
              <w:spacing w:after="0" w:line="240" w:lineRule="auto"/>
              <w:rPr>
                <w:rFonts w:eastAsia="Times New Roman" w:cs="Times New Roman"/>
                <w:noProof/>
              </w:rPr>
            </w:pPr>
            <w:r>
              <w:rPr>
                <w:noProof/>
              </w:rPr>
              <w:t>C5.I6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873A2C"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CF8BC5" w14:textId="77777777" w:rsidR="003E1D81" w:rsidRDefault="00EB481C">
            <w:pPr>
              <w:pStyle w:val="P68B1DB1-Normal46"/>
              <w:spacing w:after="0" w:line="240" w:lineRule="auto"/>
              <w:rPr>
                <w:rFonts w:eastAsia="Times New Roman" w:cs="Times New Roman"/>
                <w:noProof/>
              </w:rPr>
            </w:pPr>
            <w:r>
              <w:rPr>
                <w:noProof/>
              </w:rPr>
              <w:t>A városi vízkörforgás és az ipari ágazat digitalizálására irányuló intézkedések</w:t>
            </w:r>
          </w:p>
        </w:tc>
      </w:tr>
      <w:tr w:rsidR="003E1D81" w14:paraId="4D68E83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AAACF4" w14:textId="77777777" w:rsidR="003E1D81" w:rsidRDefault="00EB481C">
            <w:pPr>
              <w:pStyle w:val="P68B1DB1-Normal46"/>
              <w:spacing w:after="0" w:line="240" w:lineRule="auto"/>
              <w:jc w:val="center"/>
              <w:rPr>
                <w:rFonts w:eastAsia="Times New Roman" w:cs="Times New Roman"/>
                <w:noProof/>
              </w:rPr>
            </w:pPr>
            <w:r>
              <w:rPr>
                <w:noProof/>
              </w:rPr>
              <w:t>L17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B9DC37" w14:textId="77777777" w:rsidR="003E1D81" w:rsidRDefault="00EB481C">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420013"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009A76D" w14:textId="77777777" w:rsidR="003E1D81" w:rsidRDefault="00EB481C">
            <w:pPr>
              <w:pStyle w:val="P68B1DB1-Normal46"/>
              <w:spacing w:after="0" w:line="240" w:lineRule="auto"/>
              <w:rPr>
                <w:rFonts w:eastAsia="Times New Roman" w:cs="Times New Roman"/>
                <w:noProof/>
              </w:rPr>
            </w:pPr>
            <w:r>
              <w:rPr>
                <w:noProof/>
              </w:rPr>
              <w:t>A közigazgatás kiberbiztonsági képességeinek megerősítésére irányuló projektek lezárása a kiberfenyegetések megelőzése, védelme, felderítése és az azokra való reagálás területén (kiberbiztonsági program)</w:t>
            </w:r>
          </w:p>
        </w:tc>
      </w:tr>
      <w:tr w:rsidR="003E1D81" w14:paraId="7978858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A1B490" w14:textId="77777777" w:rsidR="003E1D81" w:rsidRDefault="00EB481C">
            <w:pPr>
              <w:pStyle w:val="P68B1DB1-Normal46"/>
              <w:spacing w:after="0" w:line="240" w:lineRule="auto"/>
              <w:jc w:val="center"/>
              <w:rPr>
                <w:rFonts w:eastAsia="Times New Roman" w:cs="Times New Roman"/>
                <w:noProof/>
              </w:rPr>
            </w:pPr>
            <w:r>
              <w:rPr>
                <w:noProof/>
              </w:rPr>
              <w:t>L20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298DAB1" w14:textId="77777777" w:rsidR="003E1D81" w:rsidRDefault="00EB481C">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AA518"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6C8008" w14:textId="77777777" w:rsidR="003E1D81" w:rsidRDefault="00EB481C">
            <w:pPr>
              <w:pStyle w:val="P68B1DB1-Normal46"/>
              <w:spacing w:after="0" w:line="240" w:lineRule="auto"/>
              <w:rPr>
                <w:rFonts w:eastAsia="Times New Roman" w:cs="Times New Roman"/>
                <w:noProof/>
              </w:rPr>
            </w:pPr>
            <w:r>
              <w:rPr>
                <w:noProof/>
              </w:rPr>
              <w:t>Biztonsági és Rezilienciaépít</w:t>
            </w:r>
            <w:r>
              <w:rPr>
                <w:noProof/>
              </w:rPr>
              <w:t>ési Alap: A végső kedvezményezettekkel aláírt jogi finanszírozási megállapodások (beleértve a tőkealapokat is) (II)</w:t>
            </w:r>
          </w:p>
        </w:tc>
      </w:tr>
      <w:tr w:rsidR="003E1D81" w14:paraId="62640F3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A8597A" w14:textId="77777777" w:rsidR="003E1D81" w:rsidRDefault="00EB481C">
            <w:pPr>
              <w:pStyle w:val="P68B1DB1-Normal46"/>
              <w:spacing w:after="0" w:line="240" w:lineRule="auto"/>
              <w:jc w:val="center"/>
              <w:rPr>
                <w:rFonts w:eastAsia="Times New Roman" w:cs="Times New Roman"/>
                <w:noProof/>
              </w:rPr>
            </w:pPr>
            <w:r>
              <w:rPr>
                <w:noProof/>
              </w:rPr>
              <w:t>L21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7D5C7D" w14:textId="77777777" w:rsidR="003E1D81" w:rsidRDefault="00EB481C">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51DF9C"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FC1FFE" w14:textId="77777777" w:rsidR="003E1D81" w:rsidRDefault="00EB481C">
            <w:pPr>
              <w:pStyle w:val="P68B1DB1-Normal46"/>
              <w:spacing w:after="0" w:line="240" w:lineRule="auto"/>
              <w:rPr>
                <w:rFonts w:eastAsia="Times New Roman" w:cs="Times New Roman"/>
                <w:noProof/>
              </w:rPr>
            </w:pPr>
            <w:r>
              <w:rPr>
                <w:noProof/>
              </w:rPr>
              <w:t>Biztonsági és Rezilienciaépítési Alap: A minisztérium befejezte a beruházást</w:t>
            </w:r>
          </w:p>
        </w:tc>
      </w:tr>
      <w:tr w:rsidR="003E1D81" w14:paraId="348EBD2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A896CF" w14:textId="77777777" w:rsidR="003E1D81" w:rsidRDefault="00EB481C">
            <w:pPr>
              <w:pStyle w:val="P68B1DB1-Normal46"/>
              <w:spacing w:after="0" w:line="240" w:lineRule="auto"/>
              <w:jc w:val="center"/>
              <w:rPr>
                <w:rFonts w:eastAsia="Times New Roman" w:cs="Times New Roman"/>
                <w:noProof/>
              </w:rPr>
            </w:pPr>
            <w:r>
              <w:rPr>
                <w:noProof/>
              </w:rPr>
              <w:t>L24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E5744" w14:textId="77777777" w:rsidR="003E1D81" w:rsidRDefault="00EB481C">
            <w:pPr>
              <w:pStyle w:val="P68B1DB1-Normal46"/>
              <w:spacing w:after="0" w:line="240" w:lineRule="auto"/>
              <w:rPr>
                <w:rFonts w:eastAsia="Times New Roman" w:cs="Times New Roman"/>
                <w:noProof/>
              </w:rPr>
            </w:pPr>
            <w:r>
              <w:rPr>
                <w:noProof/>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C56C443"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7B42225" w14:textId="77777777" w:rsidR="003E1D81" w:rsidRDefault="00EB481C">
            <w:pPr>
              <w:pStyle w:val="P68B1DB1-Normal46"/>
              <w:spacing w:after="0" w:line="240" w:lineRule="auto"/>
              <w:rPr>
                <w:rFonts w:eastAsia="Times New Roman" w:cs="Times New Roman"/>
                <w:noProof/>
              </w:rPr>
            </w:pPr>
            <w:r>
              <w:rPr>
                <w:noProof/>
              </w:rPr>
              <w:t xml:space="preserve">Az elektromos autók és az </w:t>
            </w:r>
            <w:r>
              <w:rPr>
                <w:noProof/>
              </w:rPr>
              <w:t>agrár-élelmiszeripar értékláncában megvalósuló stratégiai projektek (kölcsönök) támogatási rendszere: A végső kedvezményezettekkel aláírt jogi megállapodások vagy a végső odaítélési határozatok közzététele</w:t>
            </w:r>
          </w:p>
        </w:tc>
      </w:tr>
      <w:tr w:rsidR="003E1D81" w14:paraId="39BC994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FC8273" w14:textId="77777777" w:rsidR="003E1D81" w:rsidRDefault="00EB481C">
            <w:pPr>
              <w:pStyle w:val="P68B1DB1-Normal46"/>
              <w:spacing w:after="0" w:line="240" w:lineRule="auto"/>
              <w:jc w:val="center"/>
              <w:rPr>
                <w:rFonts w:eastAsia="Times New Roman" w:cs="Times New Roman"/>
                <w:noProof/>
              </w:rPr>
            </w:pPr>
            <w:r>
              <w:rPr>
                <w:noProof/>
              </w:rPr>
              <w:t>L28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C254F78" w14:textId="77777777" w:rsidR="003E1D81" w:rsidRDefault="00EB481C">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667255"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3CE227" w14:textId="77777777" w:rsidR="003E1D81" w:rsidRDefault="00EB481C">
            <w:pPr>
              <w:pStyle w:val="P68B1DB1-Normal46"/>
              <w:spacing w:after="0" w:line="240" w:lineRule="auto"/>
              <w:rPr>
                <w:rFonts w:eastAsia="Times New Roman" w:cs="Times New Roman"/>
                <w:noProof/>
              </w:rPr>
            </w:pPr>
            <w:r>
              <w:rPr>
                <w:noProof/>
              </w:rPr>
              <w:t>ICO zöld vonal – A végső kedvezménye</w:t>
            </w:r>
            <w:r>
              <w:rPr>
                <w:noProof/>
              </w:rPr>
              <w:t>zettekkel (beleértve a tőkealapokat is) aláírt jogi megállapodások (IV)</w:t>
            </w:r>
          </w:p>
        </w:tc>
      </w:tr>
      <w:tr w:rsidR="003E1D81" w14:paraId="2BE35B5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5131F4" w14:textId="77777777" w:rsidR="003E1D81" w:rsidRDefault="00EB481C">
            <w:pPr>
              <w:pStyle w:val="P68B1DB1-Normal46"/>
              <w:spacing w:after="0" w:line="240" w:lineRule="auto"/>
              <w:jc w:val="center"/>
              <w:rPr>
                <w:rFonts w:eastAsia="Times New Roman" w:cs="Times New Roman"/>
                <w:noProof/>
              </w:rPr>
            </w:pPr>
            <w:r>
              <w:rPr>
                <w:noProof/>
              </w:rPr>
              <w:t>L29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F62C77" w14:textId="77777777" w:rsidR="003E1D81" w:rsidRDefault="00EB481C">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14AE5D"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3721D85" w14:textId="77777777" w:rsidR="003E1D81" w:rsidRDefault="00EB481C">
            <w:pPr>
              <w:pStyle w:val="P68B1DB1-Normal46"/>
              <w:spacing w:after="0" w:line="240" w:lineRule="auto"/>
              <w:rPr>
                <w:rFonts w:eastAsia="Times New Roman" w:cs="Times New Roman"/>
                <w:noProof/>
              </w:rPr>
            </w:pPr>
            <w:r>
              <w:rPr>
                <w:noProof/>
              </w:rPr>
              <w:t>ICO zöld vonal – a minisztérium befejezte a beruházást</w:t>
            </w:r>
          </w:p>
        </w:tc>
      </w:tr>
      <w:tr w:rsidR="003E1D81" w14:paraId="35EB02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342B9D" w14:textId="77777777" w:rsidR="003E1D81" w:rsidRDefault="00EB481C">
            <w:pPr>
              <w:pStyle w:val="P68B1DB1-Normal46"/>
              <w:spacing w:after="0" w:line="240" w:lineRule="auto"/>
              <w:jc w:val="center"/>
              <w:rPr>
                <w:rFonts w:eastAsia="Times New Roman" w:cs="Times New Roman"/>
                <w:noProof/>
              </w:rPr>
            </w:pPr>
            <w:r>
              <w:rPr>
                <w:noProof/>
              </w:rPr>
              <w:t>L33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7A0E6A" w14:textId="77777777" w:rsidR="003E1D81" w:rsidRDefault="00EB481C">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87ACF5"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031289" w14:textId="77777777" w:rsidR="003E1D81" w:rsidRDefault="00EB481C">
            <w:pPr>
              <w:pStyle w:val="P68B1DB1-Normal46"/>
              <w:spacing w:after="0" w:line="240" w:lineRule="auto"/>
              <w:rPr>
                <w:rFonts w:eastAsia="Times New Roman" w:cs="Times New Roman"/>
                <w:noProof/>
              </w:rPr>
            </w:pPr>
            <w:r>
              <w:rPr>
                <w:noProof/>
              </w:rPr>
              <w:t xml:space="preserve">ICO Enterprises and Entrepreneurs Line – A végső kedvezményezettekkel (beleértve a tőkealapokat is) </w:t>
            </w:r>
            <w:r>
              <w:rPr>
                <w:noProof/>
              </w:rPr>
              <w:t>aláírt jogi megállapodások (III)</w:t>
            </w:r>
          </w:p>
        </w:tc>
      </w:tr>
      <w:tr w:rsidR="003E1D81" w14:paraId="3DF2B4F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C48A29" w14:textId="77777777" w:rsidR="003E1D81" w:rsidRDefault="00EB481C">
            <w:pPr>
              <w:pStyle w:val="P68B1DB1-Normal46"/>
              <w:spacing w:after="0" w:line="240" w:lineRule="auto"/>
              <w:jc w:val="center"/>
              <w:rPr>
                <w:rFonts w:eastAsia="Times New Roman" w:cs="Times New Roman"/>
                <w:noProof/>
              </w:rPr>
            </w:pPr>
            <w:r>
              <w:rPr>
                <w:noProof/>
              </w:rPr>
              <w:t>L34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F50B3A" w14:textId="77777777" w:rsidR="003E1D81" w:rsidRDefault="00EB481C">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BCA316"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3C955F0" w14:textId="77777777" w:rsidR="003E1D81" w:rsidRDefault="00EB481C">
            <w:pPr>
              <w:pStyle w:val="P68B1DB1-Normal46"/>
              <w:spacing w:after="0" w:line="240" w:lineRule="auto"/>
              <w:rPr>
                <w:rFonts w:eastAsia="Times New Roman" w:cs="Times New Roman"/>
                <w:noProof/>
              </w:rPr>
            </w:pPr>
            <w:r>
              <w:rPr>
                <w:noProof/>
              </w:rPr>
              <w:t>Az ICO Enterprises and Entrepreneurs Line – a minisztérium befejezte a beruházást.</w:t>
            </w:r>
          </w:p>
        </w:tc>
      </w:tr>
      <w:tr w:rsidR="003E1D81" w14:paraId="411E1AD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314A32C" w14:textId="77777777" w:rsidR="003E1D81" w:rsidRDefault="00EB481C">
            <w:pPr>
              <w:pStyle w:val="P68B1DB1-Normal46"/>
              <w:spacing w:after="0" w:line="240" w:lineRule="auto"/>
              <w:jc w:val="center"/>
              <w:rPr>
                <w:rFonts w:eastAsia="Times New Roman" w:cs="Times New Roman"/>
                <w:noProof/>
              </w:rPr>
            </w:pPr>
            <w:r>
              <w:rPr>
                <w:noProof/>
              </w:rPr>
              <w:t>L38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C4A11B" w14:textId="77777777" w:rsidR="003E1D81" w:rsidRDefault="00EB481C">
            <w:pPr>
              <w:pStyle w:val="P68B1DB1-Normal46"/>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6565A5"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7F946CE" w14:textId="77777777" w:rsidR="003E1D81" w:rsidRDefault="00EB481C">
            <w:pPr>
              <w:pStyle w:val="P68B1DB1-Normal46"/>
              <w:spacing w:after="0" w:line="240" w:lineRule="auto"/>
              <w:rPr>
                <w:rFonts w:eastAsia="Times New Roman" w:cs="Times New Roman"/>
                <w:noProof/>
              </w:rPr>
            </w:pPr>
            <w:r>
              <w:rPr>
                <w:noProof/>
              </w:rPr>
              <w:t>Következő technikai technológia – A végső kedvezményezettekkel és tőkealapokkal aláírt jogi megállapodások (II)</w:t>
            </w:r>
          </w:p>
        </w:tc>
      </w:tr>
      <w:tr w:rsidR="003E1D81" w14:paraId="522583F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F860F4" w14:textId="77777777" w:rsidR="003E1D81" w:rsidRDefault="00EB481C">
            <w:pPr>
              <w:pStyle w:val="P68B1DB1-Normal46"/>
              <w:spacing w:after="0" w:line="240" w:lineRule="auto"/>
              <w:jc w:val="center"/>
              <w:rPr>
                <w:rFonts w:eastAsia="Times New Roman" w:cs="Times New Roman"/>
                <w:noProof/>
              </w:rPr>
            </w:pPr>
            <w:r>
              <w:rPr>
                <w:noProof/>
              </w:rPr>
              <w:t>L39.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C48FB" w14:textId="77777777" w:rsidR="003E1D81" w:rsidRDefault="00EB481C">
            <w:pPr>
              <w:pStyle w:val="P68B1DB1-Normal46"/>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78A4F2"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5C90A3" w14:textId="77777777" w:rsidR="003E1D81" w:rsidRDefault="00EB481C">
            <w:pPr>
              <w:pStyle w:val="P68B1DB1-Normal46"/>
              <w:spacing w:after="0" w:line="240" w:lineRule="auto"/>
              <w:rPr>
                <w:rFonts w:eastAsia="Times New Roman" w:cs="Times New Roman"/>
                <w:noProof/>
              </w:rPr>
            </w:pPr>
            <w:r>
              <w:rPr>
                <w:noProof/>
              </w:rPr>
              <w:t xml:space="preserve">A következő technológia – a minisztérium befejezte a beruházást. </w:t>
            </w:r>
          </w:p>
        </w:tc>
      </w:tr>
      <w:tr w:rsidR="003E1D81" w14:paraId="20BE6FD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43C6BD" w14:textId="77777777" w:rsidR="003E1D81" w:rsidRDefault="00EB481C">
            <w:pPr>
              <w:pStyle w:val="P68B1DB1-Normal46"/>
              <w:spacing w:after="0" w:line="240" w:lineRule="auto"/>
              <w:jc w:val="center"/>
              <w:rPr>
                <w:rFonts w:eastAsia="Times New Roman" w:cs="Times New Roman"/>
                <w:noProof/>
              </w:rPr>
            </w:pPr>
            <w:r>
              <w:rPr>
                <w:noProof/>
              </w:rPr>
              <w:t>L42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72C02BF" w14:textId="77777777" w:rsidR="003E1D81" w:rsidRDefault="00EB481C">
            <w:pPr>
              <w:pStyle w:val="P68B1DB1-Normal46"/>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E723B2B"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F54BC08" w14:textId="77777777" w:rsidR="003E1D81" w:rsidRDefault="00EB481C">
            <w:pPr>
              <w:pStyle w:val="P68B1DB1-Normal46"/>
              <w:spacing w:after="0" w:line="240" w:lineRule="auto"/>
              <w:rPr>
                <w:rFonts w:eastAsia="Times New Roman" w:cs="Times New Roman"/>
                <w:noProof/>
              </w:rPr>
            </w:pPr>
            <w:r>
              <w:rPr>
                <w:noProof/>
              </w:rPr>
              <w:t>Foco – A végső kedvezményezettekkel (beleértve a tőkealapokat is) aláírt jogi megállapodások (II)</w:t>
            </w:r>
          </w:p>
        </w:tc>
      </w:tr>
      <w:tr w:rsidR="003E1D81" w14:paraId="693BB86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D4C14D" w14:textId="77777777" w:rsidR="003E1D81" w:rsidRDefault="00EB481C">
            <w:pPr>
              <w:pStyle w:val="P68B1DB1-Normal46"/>
              <w:spacing w:after="0" w:line="240" w:lineRule="auto"/>
              <w:jc w:val="center"/>
              <w:rPr>
                <w:rFonts w:eastAsia="Times New Roman" w:cs="Times New Roman"/>
                <w:noProof/>
              </w:rPr>
            </w:pPr>
            <w:r>
              <w:rPr>
                <w:noProof/>
              </w:rPr>
              <w:t>L43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088409" w14:textId="77777777" w:rsidR="003E1D81" w:rsidRDefault="00EB481C">
            <w:pPr>
              <w:pStyle w:val="P68B1DB1-Normal46"/>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EBE17AD"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D9F097C" w14:textId="77777777" w:rsidR="003E1D81" w:rsidRDefault="00EB481C">
            <w:pPr>
              <w:pStyle w:val="P68B1DB1-Normal46"/>
              <w:spacing w:after="0" w:line="240" w:lineRule="auto"/>
              <w:rPr>
                <w:rFonts w:eastAsia="Times New Roman" w:cs="Times New Roman"/>
                <w:noProof/>
              </w:rPr>
            </w:pPr>
            <w:r>
              <w:rPr>
                <w:noProof/>
              </w:rPr>
              <w:t>Foco – a minisztérium befejezte a beruházást.</w:t>
            </w:r>
          </w:p>
        </w:tc>
      </w:tr>
      <w:tr w:rsidR="003E1D81" w14:paraId="00FDE08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1D5561" w14:textId="77777777" w:rsidR="003E1D81" w:rsidRDefault="00EB481C">
            <w:pPr>
              <w:pStyle w:val="P68B1DB1-Normal46"/>
              <w:spacing w:after="0" w:line="240" w:lineRule="auto"/>
              <w:jc w:val="center"/>
              <w:rPr>
                <w:rFonts w:eastAsia="Times New Roman" w:cs="Times New Roman"/>
                <w:noProof/>
              </w:rPr>
            </w:pPr>
            <w:r>
              <w:rPr>
                <w:noProof/>
              </w:rPr>
              <w:t>L46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761328C" w14:textId="77777777" w:rsidR="003E1D81" w:rsidRDefault="00EB481C">
            <w:pPr>
              <w:pStyle w:val="P68B1DB1-Normal46"/>
              <w:spacing w:after="0" w:line="240" w:lineRule="auto"/>
              <w:rPr>
                <w:rFonts w:eastAsia="Times New Roman" w:cs="Times New Roman"/>
                <w:noProof/>
              </w:rPr>
            </w:pPr>
            <w:r>
              <w:rPr>
                <w:noProof/>
              </w:rPr>
              <w:t>C13.I11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DCE333"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304FA29" w14:textId="77777777" w:rsidR="003E1D81" w:rsidRDefault="00EB481C">
            <w:pPr>
              <w:pStyle w:val="P68B1DB1-Normal46"/>
              <w:spacing w:after="0" w:line="240" w:lineRule="auto"/>
              <w:rPr>
                <w:rFonts w:eastAsia="Times New Roman" w:cs="Times New Roman"/>
                <w:noProof/>
              </w:rPr>
            </w:pPr>
            <w:r>
              <w:rPr>
                <w:noProof/>
              </w:rPr>
              <w:t>CERSA</w:t>
            </w:r>
          </w:p>
        </w:tc>
      </w:tr>
      <w:tr w:rsidR="003E1D81" w14:paraId="14EB567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9C12AF" w14:textId="77777777" w:rsidR="003E1D81" w:rsidRDefault="00EB481C">
            <w:pPr>
              <w:pStyle w:val="P68B1DB1-Normal46"/>
              <w:spacing w:after="0" w:line="240" w:lineRule="auto"/>
              <w:jc w:val="center"/>
              <w:rPr>
                <w:rFonts w:eastAsia="Times New Roman" w:cs="Times New Roman"/>
                <w:noProof/>
              </w:rPr>
            </w:pPr>
            <w:r>
              <w:rPr>
                <w:noProof/>
              </w:rPr>
              <w:t>L49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85836A" w14:textId="77777777" w:rsidR="003E1D81" w:rsidRDefault="00EB481C">
            <w:pPr>
              <w:pStyle w:val="P68B1DB1-Normal46"/>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0F558F"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C521B3B" w14:textId="77777777" w:rsidR="003E1D81" w:rsidRDefault="00EB481C">
            <w:pPr>
              <w:pStyle w:val="P68B1DB1-Normal46"/>
              <w:spacing w:after="0" w:line="240" w:lineRule="auto"/>
              <w:rPr>
                <w:rFonts w:eastAsia="Times New Roman" w:cs="Times New Roman"/>
                <w:noProof/>
              </w:rPr>
            </w:pPr>
            <w:r>
              <w:rPr>
                <w:noProof/>
              </w:rPr>
              <w:t>ENISA Vállalkozói és Kkv-alap – A végső kedvezményezettekkel aláírt jogi megállapodások</w:t>
            </w:r>
          </w:p>
        </w:tc>
      </w:tr>
      <w:tr w:rsidR="003E1D81" w14:paraId="544348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360D744" w14:textId="77777777" w:rsidR="003E1D81" w:rsidRDefault="00EB481C">
            <w:pPr>
              <w:pStyle w:val="P68B1DB1-Normal46"/>
              <w:spacing w:after="0" w:line="240" w:lineRule="auto"/>
              <w:jc w:val="center"/>
              <w:rPr>
                <w:rFonts w:eastAsia="Times New Roman" w:cs="Times New Roman"/>
                <w:noProof/>
              </w:rPr>
            </w:pPr>
            <w:r>
              <w:rPr>
                <w:noProof/>
              </w:rPr>
              <w:t>L50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2F22D8" w14:textId="77777777" w:rsidR="003E1D81" w:rsidRDefault="00EB481C">
            <w:pPr>
              <w:pStyle w:val="P68B1DB1-Normal46"/>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589BD4"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E5EC1F2" w14:textId="77777777" w:rsidR="003E1D81" w:rsidRDefault="00EB481C">
            <w:pPr>
              <w:pStyle w:val="P68B1DB1-Normal46"/>
              <w:spacing w:after="0" w:line="240" w:lineRule="auto"/>
              <w:rPr>
                <w:rFonts w:eastAsia="Times New Roman" w:cs="Times New Roman"/>
                <w:noProof/>
              </w:rPr>
            </w:pPr>
            <w:r>
              <w:rPr>
                <w:noProof/>
              </w:rPr>
              <w:t xml:space="preserve">ENISA Vállalkozói és Kkv-alap – a minisztérium befejezte a beruházásokat. </w:t>
            </w:r>
          </w:p>
        </w:tc>
      </w:tr>
      <w:tr w:rsidR="003E1D81" w14:paraId="3DA437F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2E98E5" w14:textId="77777777" w:rsidR="003E1D81" w:rsidRDefault="00EB481C">
            <w:pPr>
              <w:pStyle w:val="P68B1DB1-Normal46"/>
              <w:spacing w:after="0" w:line="240" w:lineRule="auto"/>
              <w:jc w:val="center"/>
              <w:rPr>
                <w:rFonts w:eastAsia="Times New Roman" w:cs="Times New Roman"/>
                <w:noProof/>
              </w:rPr>
            </w:pPr>
            <w:r>
              <w:rPr>
                <w:noProof/>
              </w:rPr>
              <w:t>L52.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AC620E" w14:textId="77777777" w:rsidR="003E1D81" w:rsidRDefault="00EB481C">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23A9D42"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DAFD5A6" w14:textId="77777777" w:rsidR="003E1D81" w:rsidRDefault="00EB481C">
            <w:pPr>
              <w:pStyle w:val="P68B1DB1-Normal46"/>
              <w:spacing w:after="0" w:line="240" w:lineRule="auto"/>
              <w:rPr>
                <w:rFonts w:eastAsia="Times New Roman" w:cs="Times New Roman"/>
                <w:noProof/>
              </w:rPr>
            </w:pPr>
            <w:r>
              <w:rPr>
                <w:noProof/>
              </w:rPr>
              <w:t xml:space="preserve">Regionális </w:t>
            </w:r>
            <w:r>
              <w:rPr>
                <w:noProof/>
              </w:rPr>
              <w:t>Rezilienciaépítési Alap – InvestEU: Az InvestEU Beruházási Bizottság által jóváhagyott eszközhöz rendelt legalább 500 millió EUR összegű finanszírozási vagy beruházási műveletek.</w:t>
            </w:r>
          </w:p>
        </w:tc>
      </w:tr>
      <w:tr w:rsidR="003E1D81" w14:paraId="2C28E1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04DA52" w14:textId="77777777" w:rsidR="003E1D81" w:rsidRDefault="00EB481C">
            <w:pPr>
              <w:pStyle w:val="P68B1DB1-Normal46"/>
              <w:spacing w:after="0" w:line="240" w:lineRule="auto"/>
              <w:jc w:val="center"/>
              <w:rPr>
                <w:rFonts w:eastAsia="Times New Roman" w:cs="Times New Roman"/>
                <w:noProof/>
              </w:rPr>
            </w:pPr>
            <w:r>
              <w:rPr>
                <w:noProof/>
              </w:rPr>
              <w:t>L57.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386DD5" w14:textId="77777777" w:rsidR="003E1D81" w:rsidRDefault="00EB481C">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0DA4963"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3E3FF7" w14:textId="77777777" w:rsidR="003E1D81" w:rsidRDefault="00EB481C">
            <w:pPr>
              <w:pStyle w:val="P68B1DB1-Normal46"/>
              <w:spacing w:after="0" w:line="240" w:lineRule="auto"/>
              <w:rPr>
                <w:rFonts w:eastAsia="Times New Roman" w:cs="Times New Roman"/>
                <w:noProof/>
              </w:rPr>
            </w:pPr>
            <w:r>
              <w:rPr>
                <w:noProof/>
              </w:rPr>
              <w:t xml:space="preserve">Regionális Rezilienciaépítési Alap – Egyéb költségvetési </w:t>
            </w:r>
            <w:r>
              <w:rPr>
                <w:noProof/>
              </w:rPr>
              <w:t>sorok: A végső kedvezményezettekkel (beleértve a tőkealapokat is) aláírt jogi megállapodások (IV)</w:t>
            </w:r>
          </w:p>
        </w:tc>
      </w:tr>
      <w:tr w:rsidR="003E1D81" w14:paraId="6FE767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55BA53" w14:textId="77777777" w:rsidR="003E1D81" w:rsidRDefault="00EB481C">
            <w:pPr>
              <w:pStyle w:val="P68B1DB1-Normal46"/>
              <w:spacing w:after="0" w:line="240" w:lineRule="auto"/>
              <w:jc w:val="center"/>
              <w:rPr>
                <w:rFonts w:eastAsia="Times New Roman" w:cs="Times New Roman"/>
                <w:noProof/>
              </w:rPr>
            </w:pPr>
            <w:r>
              <w:rPr>
                <w:noProof/>
              </w:rPr>
              <w:t>L60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D9E1D5" w14:textId="77777777" w:rsidR="003E1D81" w:rsidRDefault="00EB481C">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B9A6DC"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84310C6" w14:textId="77777777" w:rsidR="003E1D81" w:rsidRDefault="00EB481C">
            <w:pPr>
              <w:pStyle w:val="P68B1DB1-Normal46"/>
              <w:spacing w:after="0" w:line="240" w:lineRule="auto"/>
              <w:rPr>
                <w:rFonts w:eastAsia="Times New Roman" w:cs="Times New Roman"/>
                <w:noProof/>
              </w:rPr>
            </w:pPr>
            <w:r>
              <w:rPr>
                <w:noProof/>
              </w:rPr>
              <w:t>Regionális Rezilienciaépítési Alap – éghajlat-politikai hozzájárulás</w:t>
            </w:r>
          </w:p>
        </w:tc>
      </w:tr>
      <w:tr w:rsidR="003E1D81" w14:paraId="2394C39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75B9D9" w14:textId="77777777" w:rsidR="003E1D81" w:rsidRDefault="00EB481C">
            <w:pPr>
              <w:pStyle w:val="P68B1DB1-Normal46"/>
              <w:spacing w:after="0" w:line="240" w:lineRule="auto"/>
              <w:jc w:val="center"/>
              <w:rPr>
                <w:rFonts w:eastAsia="Times New Roman" w:cs="Times New Roman"/>
                <w:noProof/>
              </w:rPr>
            </w:pPr>
            <w:r>
              <w:rPr>
                <w:noProof/>
              </w:rPr>
              <w:t>L61.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6789EF" w14:textId="77777777" w:rsidR="003E1D81" w:rsidRDefault="00EB481C">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234FF8"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6BFB523" w14:textId="0A2DFBFB" w:rsidR="003E1D81" w:rsidRDefault="00EB481C">
            <w:pPr>
              <w:pStyle w:val="P68B1DB1-Normal46"/>
              <w:spacing w:after="0" w:line="240" w:lineRule="auto"/>
              <w:rPr>
                <w:rFonts w:eastAsia="Times New Roman" w:cs="Times New Roman"/>
                <w:noProof/>
              </w:rPr>
            </w:pPr>
            <w:r>
              <w:rPr>
                <w:noProof/>
              </w:rPr>
              <w:t xml:space="preserve">Regionális Rezilienciaépítési Alap – Közvetlen állami </w:t>
            </w:r>
            <w:r>
              <w:rPr>
                <w:noProof/>
              </w:rPr>
              <w:t>irányvonal: A projektek közjogi intézmények általi befejezése</w:t>
            </w:r>
          </w:p>
        </w:tc>
      </w:tr>
      <w:tr w:rsidR="003E1D81" w14:paraId="2D6711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20B427" w14:textId="77777777" w:rsidR="003E1D81" w:rsidRDefault="00EB481C">
            <w:pPr>
              <w:pStyle w:val="P68B1DB1-Normal46"/>
              <w:spacing w:after="0" w:line="240" w:lineRule="auto"/>
              <w:jc w:val="center"/>
              <w:rPr>
                <w:rFonts w:eastAsia="Times New Roman" w:cs="Times New Roman"/>
                <w:noProof/>
              </w:rPr>
            </w:pPr>
            <w:r>
              <w:rPr>
                <w:noProof/>
              </w:rPr>
              <w:t>L62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AC0168" w14:textId="77777777" w:rsidR="003E1D81" w:rsidRDefault="00EB481C">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BE9FF8"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0B8E83" w14:textId="77777777" w:rsidR="003E1D81" w:rsidRDefault="00EB481C">
            <w:pPr>
              <w:pStyle w:val="P68B1DB1-Normal46"/>
              <w:spacing w:after="0" w:line="240" w:lineRule="auto"/>
              <w:rPr>
                <w:rFonts w:eastAsia="Times New Roman" w:cs="Times New Roman"/>
                <w:noProof/>
              </w:rPr>
            </w:pPr>
            <w:r>
              <w:rPr>
                <w:noProof/>
              </w:rPr>
              <w:t>Regionális Rezilienciaépítési Alap – A gazdasági ügyekért és a digitális átállásért felelős minisztérium befejezte a beruházást</w:t>
            </w:r>
          </w:p>
        </w:tc>
      </w:tr>
      <w:tr w:rsidR="003E1D81" w14:paraId="0FBD714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25B9DB" w14:textId="77777777" w:rsidR="003E1D81" w:rsidRDefault="00EB481C">
            <w:pPr>
              <w:pStyle w:val="P68B1DB1-Normal46"/>
              <w:spacing w:after="0" w:line="240" w:lineRule="auto"/>
              <w:jc w:val="center"/>
              <w:rPr>
                <w:rFonts w:eastAsia="Times New Roman" w:cs="Times New Roman"/>
                <w:noProof/>
              </w:rPr>
            </w:pPr>
            <w:r>
              <w:rPr>
                <w:noProof/>
              </w:rPr>
              <w:t>L65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57ED96" w14:textId="77777777" w:rsidR="003E1D81" w:rsidRDefault="00EB481C">
            <w:pPr>
              <w:pStyle w:val="P68B1DB1-Normal46"/>
              <w:spacing w:after="0" w:line="240" w:lineRule="auto"/>
              <w:rPr>
                <w:rFonts w:eastAsia="Times New Roman" w:cs="Times New Roman"/>
                <w:noProof/>
              </w:rPr>
            </w:pPr>
            <w:r>
              <w:rPr>
                <w:noProof/>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4263F7"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01D7B8" w14:textId="77777777" w:rsidR="003E1D81" w:rsidRDefault="00EB481C">
            <w:pPr>
              <w:pStyle w:val="P68B1DB1-Normal46"/>
              <w:spacing w:after="0" w:line="240" w:lineRule="auto"/>
              <w:rPr>
                <w:rFonts w:eastAsia="Times New Roman" w:cs="Times New Roman"/>
                <w:noProof/>
              </w:rPr>
            </w:pPr>
            <w:r>
              <w:rPr>
                <w:noProof/>
              </w:rPr>
              <w:t>Csipfinanszírozási eszköz: A végső ke</w:t>
            </w:r>
            <w:r>
              <w:rPr>
                <w:noProof/>
              </w:rPr>
              <w:t>dvezményezettekkel aláírt jogi megállapodások (II)</w:t>
            </w:r>
          </w:p>
        </w:tc>
      </w:tr>
      <w:tr w:rsidR="003E1D81" w14:paraId="1488A4A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AF9CE9" w14:textId="77777777" w:rsidR="003E1D81" w:rsidRDefault="00EB481C">
            <w:pPr>
              <w:pStyle w:val="P68B1DB1-Normal46"/>
              <w:spacing w:after="0" w:line="240" w:lineRule="auto"/>
              <w:jc w:val="center"/>
              <w:rPr>
                <w:rFonts w:eastAsia="Times New Roman" w:cs="Times New Roman"/>
                <w:noProof/>
              </w:rPr>
            </w:pPr>
            <w:r>
              <w:rPr>
                <w:noProof/>
              </w:rPr>
              <w:t>L66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239AF7" w14:textId="77777777" w:rsidR="003E1D81" w:rsidRDefault="00EB481C">
            <w:pPr>
              <w:pStyle w:val="P68B1DB1-Normal46"/>
              <w:spacing w:after="0" w:line="240" w:lineRule="auto"/>
              <w:rPr>
                <w:rFonts w:eastAsia="Times New Roman" w:cs="Times New Roman"/>
                <w:noProof/>
              </w:rPr>
            </w:pPr>
            <w:r>
              <w:rPr>
                <w:noProof/>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5FCED8A"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331B20E" w14:textId="77777777" w:rsidR="003E1D81" w:rsidRDefault="00EB481C">
            <w:pPr>
              <w:pStyle w:val="P68B1DB1-Normal46"/>
              <w:spacing w:after="0" w:line="240" w:lineRule="auto"/>
              <w:rPr>
                <w:rFonts w:eastAsia="Times New Roman" w:cs="Times New Roman"/>
                <w:noProof/>
              </w:rPr>
            </w:pPr>
            <w:r>
              <w:rPr>
                <w:noProof/>
              </w:rPr>
              <w:t xml:space="preserve">Csipfinanszírozási eszköz: A minisztérium befejezte a beruházást. </w:t>
            </w:r>
          </w:p>
        </w:tc>
      </w:tr>
      <w:tr w:rsidR="003E1D81" w14:paraId="2A4E33C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211473" w14:textId="77777777" w:rsidR="003E1D81" w:rsidRDefault="00EB481C">
            <w:pPr>
              <w:pStyle w:val="P68B1DB1-Normal46"/>
              <w:spacing w:after="0" w:line="240" w:lineRule="auto"/>
              <w:jc w:val="center"/>
              <w:rPr>
                <w:rFonts w:eastAsia="Times New Roman" w:cs="Times New Roman"/>
                <w:noProof/>
              </w:rPr>
            </w:pPr>
            <w:r>
              <w:rPr>
                <w:noProof/>
              </w:rPr>
              <w:t>L67.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1A56B1" w14:textId="77777777" w:rsidR="003E1D81" w:rsidRDefault="00EB481C">
            <w:pPr>
              <w:pStyle w:val="P68B1DB1-Normal46"/>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7CB91D"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D66E31" w14:textId="77777777" w:rsidR="003E1D81" w:rsidRDefault="00EB481C">
            <w:pPr>
              <w:pStyle w:val="P68B1DB1-Normal46"/>
              <w:spacing w:after="0" w:line="240" w:lineRule="auto"/>
              <w:rPr>
                <w:rFonts w:eastAsia="Times New Roman" w:cs="Times New Roman"/>
                <w:noProof/>
              </w:rPr>
            </w:pPr>
            <w:r>
              <w:rPr>
                <w:noProof/>
              </w:rPr>
              <w:t>Tőketámogatásba történő beruházás az egészségügyi ágazatban</w:t>
            </w:r>
          </w:p>
        </w:tc>
      </w:tr>
      <w:tr w:rsidR="003E1D81" w14:paraId="53016EA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253B4D" w14:textId="77777777" w:rsidR="003E1D81" w:rsidRDefault="00EB481C">
            <w:pPr>
              <w:pStyle w:val="P68B1DB1-Normal46"/>
              <w:spacing w:after="0" w:line="240" w:lineRule="auto"/>
              <w:jc w:val="center"/>
              <w:rPr>
                <w:rFonts w:eastAsia="Times New Roman" w:cs="Times New Roman"/>
                <w:noProof/>
              </w:rPr>
            </w:pPr>
            <w:r>
              <w:rPr>
                <w:noProof/>
              </w:rPr>
              <w:t>L69.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60C2ED" w14:textId="77777777" w:rsidR="003E1D81" w:rsidRDefault="00EB481C">
            <w:pPr>
              <w:pStyle w:val="P68B1DB1-Normal46"/>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22E2A7"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45DF15D" w14:textId="77777777" w:rsidR="003E1D81" w:rsidRDefault="00EB481C">
            <w:pPr>
              <w:pStyle w:val="P68B1DB1-Normal46"/>
              <w:spacing w:after="0" w:line="240" w:lineRule="auto"/>
              <w:rPr>
                <w:rFonts w:eastAsia="Times New Roman" w:cs="Times New Roman"/>
                <w:noProof/>
              </w:rPr>
            </w:pPr>
            <w:r>
              <w:rPr>
                <w:noProof/>
              </w:rPr>
              <w:t>Pénzeszközök folyósítása hitelek</w:t>
            </w:r>
            <w:r>
              <w:rPr>
                <w:noProof/>
              </w:rPr>
              <w:t xml:space="preserve"> formájában az egészségügyi és az űrhajózási ágazat támogatására</w:t>
            </w:r>
          </w:p>
        </w:tc>
      </w:tr>
      <w:tr w:rsidR="003E1D81" w14:paraId="56BD5F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FFC048" w14:textId="77777777" w:rsidR="003E1D81" w:rsidRDefault="00EB481C">
            <w:pPr>
              <w:pStyle w:val="P68B1DB1-Normal46"/>
              <w:spacing w:after="0" w:line="240" w:lineRule="auto"/>
              <w:jc w:val="center"/>
              <w:rPr>
                <w:rFonts w:eastAsia="Times New Roman" w:cs="Times New Roman"/>
                <w:noProof/>
              </w:rPr>
            </w:pPr>
            <w:r>
              <w:rPr>
                <w:noProof/>
              </w:rPr>
              <w:t>L70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807768" w14:textId="77777777" w:rsidR="003E1D81" w:rsidRDefault="00EB481C">
            <w:pPr>
              <w:pStyle w:val="P68B1DB1-Normal46"/>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717DF7"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FA3483" w14:textId="77777777" w:rsidR="003E1D81" w:rsidRDefault="00EB481C">
            <w:pPr>
              <w:pStyle w:val="P68B1DB1-Normal46"/>
              <w:spacing w:after="0" w:line="240" w:lineRule="auto"/>
              <w:rPr>
                <w:rFonts w:eastAsia="Times New Roman" w:cs="Times New Roman"/>
                <w:noProof/>
              </w:rPr>
            </w:pPr>
            <w:r>
              <w:rPr>
                <w:noProof/>
              </w:rPr>
              <w:t>A nemzeti egészségügyi rendszer K+F kapacitásainak javítása.</w:t>
            </w:r>
          </w:p>
        </w:tc>
      </w:tr>
      <w:tr w:rsidR="003E1D81" w14:paraId="39EBA74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140FDC" w14:textId="77777777" w:rsidR="003E1D81" w:rsidRDefault="00EB481C">
            <w:pPr>
              <w:pStyle w:val="P68B1DB1-Normal46"/>
              <w:spacing w:after="0" w:line="240" w:lineRule="auto"/>
              <w:jc w:val="center"/>
              <w:rPr>
                <w:rFonts w:eastAsia="Times New Roman" w:cs="Times New Roman"/>
                <w:noProof/>
              </w:rPr>
            </w:pPr>
            <w:r>
              <w:rPr>
                <w:noProof/>
              </w:rPr>
              <w:t>L73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EB12B96" w14:textId="77777777" w:rsidR="003E1D81" w:rsidRDefault="00EB481C">
            <w:pPr>
              <w:pStyle w:val="P68B1DB1-Normal46"/>
              <w:spacing w:after="0" w:line="240" w:lineRule="auto"/>
              <w:rPr>
                <w:rFonts w:eastAsia="Times New Roman" w:cs="Times New Roman"/>
                <w:noProof/>
              </w:rPr>
            </w:pPr>
            <w:r>
              <w:rPr>
                <w:noProof/>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E1E9F7"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ED985B8" w14:textId="77777777" w:rsidR="003E1D81" w:rsidRDefault="00EB481C">
            <w:pPr>
              <w:pStyle w:val="P68B1DB1-Normal46"/>
              <w:spacing w:after="0" w:line="240" w:lineRule="auto"/>
              <w:rPr>
                <w:rFonts w:eastAsia="Times New Roman" w:cs="Times New Roman"/>
                <w:noProof/>
              </w:rPr>
            </w:pPr>
            <w:r>
              <w:rPr>
                <w:noProof/>
              </w:rPr>
              <w:t>Szociális Hatásalap: A végső kedvezményezettekkel aláírt jogi finanszírozási megállapodások (beleértv</w:t>
            </w:r>
            <w:r>
              <w:rPr>
                <w:noProof/>
              </w:rPr>
              <w:t>e a tőkealapokat is)</w:t>
            </w:r>
          </w:p>
        </w:tc>
      </w:tr>
      <w:tr w:rsidR="003E1D81" w14:paraId="686BCED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07D3AEB" w14:textId="77777777" w:rsidR="003E1D81" w:rsidRDefault="00EB481C">
            <w:pPr>
              <w:pStyle w:val="P68B1DB1-Normal46"/>
              <w:spacing w:after="0" w:line="240" w:lineRule="auto"/>
              <w:jc w:val="center"/>
              <w:rPr>
                <w:rFonts w:eastAsia="Times New Roman" w:cs="Times New Roman"/>
                <w:noProof/>
              </w:rPr>
            </w:pPr>
            <w:r>
              <w:rPr>
                <w:noProof/>
              </w:rPr>
              <w:t>L74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4A00F7" w14:textId="77777777" w:rsidR="003E1D81" w:rsidRDefault="00EB481C">
            <w:pPr>
              <w:pStyle w:val="P68B1DB1-Normal46"/>
              <w:spacing w:after="0" w:line="240" w:lineRule="auto"/>
              <w:rPr>
                <w:rFonts w:eastAsia="Times New Roman" w:cs="Times New Roman"/>
                <w:noProof/>
              </w:rPr>
            </w:pPr>
            <w:r>
              <w:rPr>
                <w:noProof/>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13FB64"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A00850" w14:textId="77777777" w:rsidR="003E1D81" w:rsidRDefault="00EB481C">
            <w:pPr>
              <w:pStyle w:val="P68B1DB1-Normal46"/>
              <w:spacing w:after="0" w:line="240" w:lineRule="auto"/>
              <w:rPr>
                <w:rFonts w:eastAsia="Times New Roman" w:cs="Times New Roman"/>
                <w:noProof/>
              </w:rPr>
            </w:pPr>
            <w:r>
              <w:rPr>
                <w:noProof/>
              </w:rPr>
              <w:t>Szociális Hatásalap: A minisztérium befejezte a beruházást</w:t>
            </w:r>
          </w:p>
        </w:tc>
      </w:tr>
      <w:tr w:rsidR="003E1D81" w14:paraId="4E64FFE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EBBA0C" w14:textId="77777777" w:rsidR="003E1D81" w:rsidRDefault="00EB481C">
            <w:pPr>
              <w:pStyle w:val="P68B1DB1-Normal46"/>
              <w:spacing w:after="0" w:line="240" w:lineRule="auto"/>
              <w:jc w:val="center"/>
              <w:rPr>
                <w:rFonts w:eastAsia="Times New Roman" w:cs="Times New Roman"/>
                <w:noProof/>
              </w:rPr>
            </w:pPr>
            <w:r>
              <w:rPr>
                <w:noProof/>
              </w:rPr>
              <w:t>L76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4D15F6" w14:textId="77777777" w:rsidR="003E1D81" w:rsidRDefault="00EB481C">
            <w:pPr>
              <w:pStyle w:val="P68B1DB1-Normal46"/>
              <w:spacing w:after="0" w:line="240" w:lineRule="auto"/>
              <w:rPr>
                <w:rFonts w:eastAsia="Times New Roman" w:cs="Times New Roman"/>
                <w:noProof/>
              </w:rPr>
            </w:pPr>
            <w:r>
              <w:rPr>
                <w:noProof/>
              </w:rPr>
              <w:t>C25.I2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50294C"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64D4BE2" w14:textId="77777777" w:rsidR="003E1D81" w:rsidRDefault="00EB481C">
            <w:pPr>
              <w:pStyle w:val="P68B1DB1-Normal46"/>
              <w:spacing w:after="0" w:line="240" w:lineRule="auto"/>
              <w:rPr>
                <w:rFonts w:eastAsia="Times New Roman" w:cs="Times New Roman"/>
                <w:noProof/>
              </w:rPr>
            </w:pPr>
            <w:r>
              <w:rPr>
                <w:noProof/>
              </w:rPr>
              <w:t>A tartalmak digitalizálására és terjesztésére irányuló projektek végrehajtása</w:t>
            </w:r>
          </w:p>
        </w:tc>
      </w:tr>
      <w:tr w:rsidR="003E1D81" w14:paraId="0EEAEA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BB3DB5" w14:textId="77777777" w:rsidR="003E1D81" w:rsidRDefault="00EB481C">
            <w:pPr>
              <w:pStyle w:val="P68B1DB1-Normal46"/>
              <w:spacing w:after="0" w:line="240" w:lineRule="auto"/>
              <w:jc w:val="center"/>
              <w:rPr>
                <w:rFonts w:eastAsia="Times New Roman" w:cs="Times New Roman"/>
                <w:noProof/>
              </w:rPr>
            </w:pPr>
            <w:r>
              <w:rPr>
                <w:noProof/>
              </w:rPr>
              <w:t>L79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3AFFFB" w14:textId="77777777" w:rsidR="003E1D81" w:rsidRDefault="00EB481C">
            <w:pPr>
              <w:pStyle w:val="P68B1DB1-Normal46"/>
              <w:spacing w:after="0" w:line="240" w:lineRule="auto"/>
              <w:rPr>
                <w:rFonts w:eastAsia="Times New Roman" w:cs="Times New Roman"/>
                <w:noProof/>
              </w:rPr>
            </w:pPr>
            <w:r>
              <w:rPr>
                <w:noProof/>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7AEEA4"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21D4BB" w14:textId="77777777" w:rsidR="003E1D81" w:rsidRDefault="00EB481C">
            <w:pPr>
              <w:pStyle w:val="P68B1DB1-Normal46"/>
              <w:spacing w:after="0" w:line="240" w:lineRule="auto"/>
              <w:rPr>
                <w:rFonts w:eastAsia="Times New Roman" w:cs="Times New Roman"/>
                <w:noProof/>
              </w:rPr>
            </w:pPr>
            <w:r>
              <w:rPr>
                <w:noProof/>
              </w:rPr>
              <w:t xml:space="preserve">ICO Audiovizuális Platformalap: A végső </w:t>
            </w:r>
            <w:r>
              <w:rPr>
                <w:noProof/>
              </w:rPr>
              <w:t>kedvezményezettekkel (beleértve a tőkealapokat is) aláírt jogi finanszírozási megállapodások (II).</w:t>
            </w:r>
          </w:p>
        </w:tc>
      </w:tr>
      <w:tr w:rsidR="003E1D81" w14:paraId="209D0F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420850" w14:textId="77777777" w:rsidR="003E1D81" w:rsidRDefault="00EB481C">
            <w:pPr>
              <w:pStyle w:val="P68B1DB1-Normal46"/>
              <w:spacing w:after="0" w:line="240" w:lineRule="auto"/>
              <w:jc w:val="center"/>
              <w:rPr>
                <w:rFonts w:eastAsia="Times New Roman" w:cs="Times New Roman"/>
                <w:noProof/>
              </w:rPr>
            </w:pPr>
            <w:r>
              <w:rPr>
                <w:noProof/>
              </w:rPr>
              <w:t>L80.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45DCF3" w14:textId="77777777" w:rsidR="003E1D81" w:rsidRDefault="00EB481C">
            <w:pPr>
              <w:pStyle w:val="P68B1DB1-Normal46"/>
              <w:spacing w:after="0" w:line="240" w:lineRule="auto"/>
              <w:rPr>
                <w:rFonts w:eastAsia="Times New Roman" w:cs="Times New Roman"/>
                <w:noProof/>
              </w:rPr>
            </w:pPr>
            <w:r>
              <w:rPr>
                <w:noProof/>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3A21BA"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12CD967" w14:textId="77777777" w:rsidR="003E1D81" w:rsidRDefault="00EB481C">
            <w:pPr>
              <w:pStyle w:val="P68B1DB1-Normal46"/>
              <w:spacing w:after="0" w:line="240" w:lineRule="auto"/>
              <w:rPr>
                <w:rFonts w:eastAsia="Times New Roman" w:cs="Times New Roman"/>
                <w:noProof/>
              </w:rPr>
            </w:pPr>
            <w:r>
              <w:rPr>
                <w:noProof/>
              </w:rPr>
              <w:t xml:space="preserve">ICO Audiovizuális Platformalap: A minisztérium befejezte a beruházást </w:t>
            </w:r>
          </w:p>
        </w:tc>
      </w:tr>
      <w:tr w:rsidR="003E1D81" w14:paraId="44CDC7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657541" w14:textId="77777777" w:rsidR="003E1D81" w:rsidRDefault="00EB481C">
            <w:pPr>
              <w:pStyle w:val="P68B1DB1-Normal46"/>
              <w:spacing w:after="0" w:line="240" w:lineRule="auto"/>
              <w:jc w:val="center"/>
              <w:rPr>
                <w:rFonts w:eastAsia="Times New Roman" w:cs="Times New Roman"/>
                <w:noProof/>
              </w:rPr>
            </w:pPr>
            <w:r>
              <w:rPr>
                <w:noProof/>
              </w:rPr>
              <w:t>L81.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502259" w14:textId="77777777" w:rsidR="003E1D81" w:rsidRDefault="00EB481C">
            <w:pPr>
              <w:pStyle w:val="P68B1DB1-Normal46"/>
              <w:spacing w:after="0" w:line="240" w:lineRule="auto"/>
              <w:rPr>
                <w:rFonts w:eastAsia="Times New Roman" w:cs="Times New Roman"/>
                <w:noProof/>
              </w:rPr>
            </w:pPr>
            <w:r>
              <w:rPr>
                <w:noProof/>
              </w:rPr>
              <w:t>C28.I1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425ABE"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9FFD85" w14:textId="77777777" w:rsidR="003E1D81" w:rsidRDefault="00EB481C">
            <w:pPr>
              <w:pStyle w:val="P68B1DB1-Normal46"/>
              <w:spacing w:after="0" w:line="240" w:lineRule="auto"/>
              <w:rPr>
                <w:rFonts w:eastAsia="Times New Roman" w:cs="Times New Roman"/>
                <w:noProof/>
              </w:rPr>
            </w:pPr>
            <w:r>
              <w:rPr>
                <w:noProof/>
              </w:rPr>
              <w:t>A lakóépületek felújítására irányuló intézkedések befeje</w:t>
            </w:r>
            <w:r>
              <w:rPr>
                <w:noProof/>
              </w:rPr>
              <w:t>zése az energiahatékonyság javítása érdekében.</w:t>
            </w:r>
          </w:p>
        </w:tc>
      </w:tr>
      <w:tr w:rsidR="003E1D81" w14:paraId="0D8996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70767B" w14:textId="77777777" w:rsidR="003E1D81" w:rsidRDefault="00EB481C">
            <w:pPr>
              <w:pStyle w:val="P68B1DB1-Normal46"/>
              <w:spacing w:after="0" w:line="240" w:lineRule="auto"/>
              <w:jc w:val="center"/>
              <w:rPr>
                <w:rFonts w:eastAsia="Times New Roman" w:cs="Times New Roman"/>
                <w:noProof/>
              </w:rPr>
            </w:pPr>
            <w:r>
              <w:rPr>
                <w:noProof/>
              </w:rPr>
              <w:t>L82.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67E2459" w14:textId="77777777" w:rsidR="003E1D81" w:rsidRDefault="00EB481C">
            <w:pPr>
              <w:pStyle w:val="P68B1DB1-Normal46"/>
              <w:spacing w:after="0" w:line="240" w:lineRule="auto"/>
              <w:rPr>
                <w:rFonts w:eastAsia="Times New Roman" w:cs="Times New Roman"/>
                <w:noProof/>
              </w:rPr>
            </w:pPr>
            <w:r>
              <w:rPr>
                <w:noProof/>
              </w:rPr>
              <w:t>C28.I1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45581B"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F51BB41" w14:textId="212883DC" w:rsidR="003E1D81" w:rsidRDefault="00EB481C">
            <w:pPr>
              <w:pStyle w:val="P68B1DB1-Normal46"/>
              <w:spacing w:after="0" w:line="240" w:lineRule="auto"/>
              <w:rPr>
                <w:rFonts w:eastAsia="Times New Roman" w:cs="Times New Roman"/>
                <w:noProof/>
              </w:rPr>
            </w:pPr>
            <w:r>
              <w:rPr>
                <w:noProof/>
              </w:rPr>
              <w:t xml:space="preserve">Kiépített EVS és töltőinfrastruktúra </w:t>
            </w:r>
          </w:p>
        </w:tc>
      </w:tr>
      <w:tr w:rsidR="003E1D81" w14:paraId="1E3870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594665" w14:textId="77777777" w:rsidR="003E1D81" w:rsidRDefault="00EB481C">
            <w:pPr>
              <w:pStyle w:val="P68B1DB1-Normal46"/>
              <w:spacing w:after="0" w:line="240" w:lineRule="auto"/>
              <w:jc w:val="center"/>
              <w:rPr>
                <w:rFonts w:eastAsia="Times New Roman" w:cs="Times New Roman"/>
                <w:noProof/>
              </w:rPr>
            </w:pPr>
            <w:r>
              <w:rPr>
                <w:noProof/>
              </w:rPr>
              <w:t>L85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EE72C5" w14:textId="77777777" w:rsidR="003E1D81" w:rsidRDefault="00EB481C">
            <w:pPr>
              <w:pStyle w:val="P68B1DB1-Normal46"/>
              <w:spacing w:after="0" w:line="240" w:lineRule="auto"/>
              <w:rPr>
                <w:rFonts w:eastAsia="Times New Roman" w:cs="Times New Roman"/>
                <w:noProof/>
              </w:rPr>
            </w:pPr>
            <w:r>
              <w:rPr>
                <w:noProof/>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B5E6EE" w14:textId="77777777" w:rsidR="003E1D81" w:rsidRDefault="00EB481C">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868F97F" w14:textId="77777777" w:rsidR="003E1D81" w:rsidRDefault="00EB481C">
            <w:pPr>
              <w:pStyle w:val="P68B1DB1-Normal46"/>
              <w:spacing w:after="0" w:line="240" w:lineRule="auto"/>
              <w:rPr>
                <w:rFonts w:eastAsia="Times New Roman" w:cs="Times New Roman"/>
                <w:noProof/>
              </w:rPr>
            </w:pPr>
            <w:r>
              <w:rPr>
                <w:noProof/>
              </w:rPr>
              <w:t xml:space="preserve">Szén-dioxid-mentesítési projektek lezárása, beleértve egy olyan alapra irányuló kísérleti projektet, amely a vállalatokat a szén-dioxid-mentesítésre ösztönzi (szén-dioxid-szerződés a különbségekért) </w:t>
            </w:r>
          </w:p>
        </w:tc>
      </w:tr>
      <w:tr w:rsidR="003E1D81" w14:paraId="6567588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3EDA85" w14:textId="77777777" w:rsidR="003E1D81" w:rsidRDefault="00EB481C">
            <w:pPr>
              <w:pStyle w:val="P68B1DB1-Normal46"/>
              <w:spacing w:after="0" w:line="240" w:lineRule="auto"/>
              <w:jc w:val="center"/>
              <w:rPr>
                <w:rFonts w:eastAsia="Times New Roman" w:cs="Times New Roman"/>
                <w:noProof/>
              </w:rPr>
            </w:pPr>
            <w:r>
              <w:rPr>
                <w:noProof/>
              </w:rPr>
              <w:t>L88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520BFD" w14:textId="77777777" w:rsidR="003E1D81" w:rsidRDefault="00EB481C">
            <w:pPr>
              <w:pStyle w:val="P68B1DB1-Normal46"/>
              <w:spacing w:after="0" w:line="240" w:lineRule="auto"/>
              <w:rPr>
                <w:rFonts w:eastAsia="Times New Roman" w:cs="Times New Roman"/>
                <w:noProof/>
              </w:rPr>
            </w:pPr>
            <w:r>
              <w:rPr>
                <w:noProof/>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A2C380" w14:textId="77777777" w:rsidR="003E1D81" w:rsidRDefault="00EB481C">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132D022" w14:textId="77777777" w:rsidR="003E1D81" w:rsidRDefault="00EB481C">
            <w:pPr>
              <w:pStyle w:val="P68B1DB1-Normal46"/>
              <w:spacing w:after="0" w:line="240" w:lineRule="auto"/>
              <w:rPr>
                <w:rFonts w:eastAsia="Times New Roman" w:cs="Times New Roman"/>
                <w:noProof/>
              </w:rPr>
            </w:pPr>
            <w:r>
              <w:rPr>
                <w:noProof/>
              </w:rPr>
              <w:t>Az ipari dekarbonizációt támogató rendszer</w:t>
            </w:r>
            <w:r>
              <w:rPr>
                <w:noProof/>
              </w:rPr>
              <w:t xml:space="preserve"> (hitelek): A végső kedvezményezettekkel aláírt jogi megállapodások vagy az odaítélésről szóló határozatok közzététele.</w:t>
            </w:r>
          </w:p>
        </w:tc>
      </w:tr>
      <w:tr w:rsidR="003E1D81" w14:paraId="09DDA5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6EC0BF" w14:textId="77777777" w:rsidR="003E1D81" w:rsidRDefault="003E1D81">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E53302" w14:textId="77777777" w:rsidR="003E1D81" w:rsidRDefault="003E1D81">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E2B97B" w14:textId="2D0820E9" w:rsidR="003E1D81" w:rsidRDefault="00EB481C">
            <w:pPr>
              <w:pStyle w:val="P68B1DB1-Normal45"/>
              <w:spacing w:after="0" w:line="240" w:lineRule="auto"/>
              <w:rPr>
                <w:rFonts w:eastAsia="Times New Roman" w:cs="Times New Roman"/>
                <w:noProof/>
              </w:rPr>
            </w:pPr>
            <w:r>
              <w:rPr>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2F270C8" w14:textId="0218588F" w:rsidR="003E1D81" w:rsidRDefault="00EB481C">
            <w:pPr>
              <w:pStyle w:val="P68B1DB1-Normal45"/>
              <w:spacing w:after="0" w:line="240" w:lineRule="auto"/>
              <w:rPr>
                <w:rFonts w:eastAsia="Times New Roman" w:cs="Times New Roman"/>
                <w:noProof/>
              </w:rPr>
            </w:pPr>
            <w:r>
              <w:rPr>
                <w:noProof/>
              </w:rPr>
              <w:t>·EURÓPAI BIZOTTSÁG 28 248 020 381 EUR</w:t>
            </w:r>
          </w:p>
        </w:tc>
      </w:tr>
    </w:tbl>
    <w:p w14:paraId="7DF0D0AC" w14:textId="77777777" w:rsidR="003E1D81" w:rsidRDefault="003E1D81">
      <w:pPr>
        <w:spacing w:before="120" w:after="120" w:line="240" w:lineRule="auto"/>
        <w:jc w:val="both"/>
        <w:rPr>
          <w:rFonts w:ascii="Times New Roman" w:eastAsia="Calibri" w:hAnsi="Times New Roman" w:cs="Times New Roman"/>
          <w:noProof/>
          <w:sz w:val="24"/>
        </w:rPr>
      </w:pPr>
    </w:p>
    <w:p w14:paraId="1A824DC6" w14:textId="77777777" w:rsidR="003E1D81" w:rsidRDefault="003E1D81">
      <w:pPr>
        <w:spacing w:before="120" w:after="120" w:line="240" w:lineRule="auto"/>
        <w:jc w:val="both"/>
        <w:rPr>
          <w:rFonts w:ascii="Times New Roman" w:eastAsia="Calibri" w:hAnsi="Times New Roman" w:cs="Times New Roman"/>
          <w:noProof/>
          <w:sz w:val="24"/>
        </w:rPr>
      </w:pPr>
    </w:p>
    <w:p w14:paraId="13EE5F01" w14:textId="77777777" w:rsidR="003E1D81" w:rsidRDefault="00EB481C">
      <w:pPr>
        <w:pStyle w:val="P68B1DB1-Normal43"/>
        <w:rPr>
          <w:rFonts w:eastAsia="Calibri" w:cs="Times New Roman"/>
          <w:noProof/>
        </w:rPr>
      </w:pPr>
      <w:r>
        <w:rPr>
          <w:noProof/>
        </w:rPr>
        <w:t xml:space="preserve">3. SZAKASZ: KIEGÉSZÍTŐ INTÉZKEDÉSEK </w:t>
      </w:r>
    </w:p>
    <w:p w14:paraId="3ABF5413" w14:textId="77777777" w:rsidR="003E1D81" w:rsidRDefault="00EB481C">
      <w:pPr>
        <w:pStyle w:val="P68B1DB1-NumPar144"/>
        <w:numPr>
          <w:ilvl w:val="0"/>
          <w:numId w:val="782"/>
        </w:numPr>
        <w:rPr>
          <w:rFonts w:cs="Times New Roman"/>
          <w:noProof/>
        </w:rPr>
      </w:pPr>
      <w:r>
        <w:rPr>
          <w:noProof/>
        </w:rPr>
        <w:t xml:space="preserve">A helyreállítási és rezilienciaépítési terv </w:t>
      </w:r>
      <w:r>
        <w:rPr>
          <w:noProof/>
        </w:rPr>
        <w:t>végrehajtásához és nyomon követéséhez kapcsolódó intézkedések</w:t>
      </w:r>
    </w:p>
    <w:p w14:paraId="6B0A1AA4" w14:textId="7EA3F6BC" w:rsidR="003E1D81" w:rsidRDefault="00EB481C">
      <w:pPr>
        <w:pStyle w:val="P68B1DB1-Normal4"/>
        <w:spacing w:before="120" w:after="120" w:line="240" w:lineRule="auto"/>
        <w:jc w:val="both"/>
        <w:rPr>
          <w:rFonts w:eastAsia="Calibri" w:cs="Times New Roman"/>
          <w:noProof/>
        </w:rPr>
      </w:pPr>
      <w:r>
        <w:rPr>
          <w:noProof/>
        </w:rPr>
        <w:t>Spanyolország módosított helyreállítási és rezilienciaépítési tervének nyomon követését és végrehajtását a közigazgatás korszerűsítésére és a helyreállítási terv végrehajtására irányuló sürgős i</w:t>
      </w:r>
      <w:r>
        <w:rPr>
          <w:noProof/>
        </w:rPr>
        <w:t xml:space="preserve">ntézkedések jóváhagyásáról szóló, december 30-i 36/2020. sz. királyi törvényerejű rendelet (a továbbiakban: 36/2020. sz. királyi törvényerejű rendelet) határozta meg. A vizsgálatokra a következő rendelkezéseknek megfelelően kerül sor: </w:t>
      </w:r>
    </w:p>
    <w:p w14:paraId="1F8DFDBA" w14:textId="06992177" w:rsidR="003E1D81" w:rsidRDefault="00EB481C">
      <w:pPr>
        <w:pStyle w:val="P68B1DB1-ListParagraph7"/>
        <w:numPr>
          <w:ilvl w:val="0"/>
          <w:numId w:val="783"/>
        </w:numPr>
        <w:spacing w:before="120" w:after="120" w:line="240" w:lineRule="auto"/>
        <w:jc w:val="both"/>
        <w:rPr>
          <w:rFonts w:eastAsia="Calibri" w:cs="Times New Roman"/>
          <w:noProof/>
        </w:rPr>
      </w:pPr>
      <w:r>
        <w:rPr>
          <w:noProof/>
        </w:rPr>
        <w:t>Létrehozták a tervért felelős valamennyi minisztert tömörítő, helyreállítással, átalakítással és rezilienciával foglalkozó bizottságot, amelynek elnöki tisztét a kormány elnöke tölti be. Ez a Bizottság meghatározta a helyreállítási terv kidolgozására és vé</w:t>
      </w:r>
      <w:r>
        <w:rPr>
          <w:noProof/>
        </w:rPr>
        <w:t xml:space="preserve">grehajtására vonatkozó általános szakpolitikai iránymutatásokat, és nyomon követi annak végrehajtását. Munkáját a közigazgatás 20 tagjából álló technikai bizottság segíti, amelynek elnöke az európai alapokért felelős főtitkárság. </w:t>
      </w:r>
    </w:p>
    <w:p w14:paraId="254B8963" w14:textId="3BA580E9" w:rsidR="003E1D81" w:rsidRDefault="00EB481C">
      <w:pPr>
        <w:pStyle w:val="P68B1DB1-ListParagraph7"/>
        <w:numPr>
          <w:ilvl w:val="0"/>
          <w:numId w:val="783"/>
        </w:numPr>
        <w:spacing w:before="120" w:after="120" w:line="240" w:lineRule="auto"/>
        <w:jc w:val="both"/>
        <w:rPr>
          <w:rFonts w:eastAsia="Calibri" w:cs="Times New Roman"/>
          <w:noProof/>
        </w:rPr>
      </w:pPr>
      <w:r>
        <w:rPr>
          <w:noProof/>
        </w:rPr>
        <w:t>A tervért felelős hatóság</w:t>
      </w:r>
      <w:r>
        <w:rPr>
          <w:noProof/>
        </w:rPr>
        <w:t xml:space="preserve"> a Pénzügyminisztériumon belül újonnan létrehozott, az európai alapokért felelős főtitkárság lesz az Európai Bizottság felé. Ez a hatóság kulcsfontosságú szerepet fog játszani a kifizetési kérelmek benyújtásának nyomon követésében, amely a mérföldkövek és </w:t>
      </w:r>
      <w:r>
        <w:rPr>
          <w:noProof/>
        </w:rPr>
        <w:t xml:space="preserve">célok elérésén fog alapulni. </w:t>
      </w:r>
    </w:p>
    <w:p w14:paraId="5DE25302" w14:textId="75EA8A8A" w:rsidR="003E1D81" w:rsidRDefault="00EB481C">
      <w:pPr>
        <w:pStyle w:val="P68B1DB1-ListParagraph7"/>
        <w:numPr>
          <w:ilvl w:val="0"/>
          <w:numId w:val="783"/>
        </w:numPr>
        <w:spacing w:before="120" w:after="120" w:line="240" w:lineRule="auto"/>
        <w:jc w:val="both"/>
        <w:rPr>
          <w:rFonts w:eastAsia="Calibri" w:cs="Times New Roman"/>
          <w:noProof/>
        </w:rPr>
      </w:pPr>
      <w:r>
        <w:rPr>
          <w:noProof/>
        </w:rPr>
        <w:t xml:space="preserve">A módosított terv 419 mérföldkövet és célt tartalmaz, amelyek többsége a 2021–2023-as időszakra vonatkozik. A javasolt mérföldkövek és célok egyértelműek, a javasolt mutatók pedig relevánsak, elfogadhatók és megalapozottak. </w:t>
      </w:r>
    </w:p>
    <w:p w14:paraId="4E976ED5" w14:textId="17F1AFFD" w:rsidR="003E1D81" w:rsidRDefault="00EB481C">
      <w:pPr>
        <w:pStyle w:val="P68B1DB1-ListParagraph7"/>
        <w:numPr>
          <w:ilvl w:val="0"/>
          <w:numId w:val="783"/>
        </w:numPr>
        <w:spacing w:before="120" w:after="120" w:line="240" w:lineRule="auto"/>
        <w:jc w:val="both"/>
        <w:rPr>
          <w:rFonts w:eastAsia="Calibri" w:cs="Times New Roman"/>
          <w:noProof/>
        </w:rPr>
      </w:pPr>
      <w:r>
        <w:rPr>
          <w:noProof/>
        </w:rPr>
        <w:t>M</w:t>
      </w:r>
      <w:r>
        <w:rPr>
          <w:noProof/>
        </w:rPr>
        <w:t xml:space="preserve">íg az egyes intézkedésekért felelős minisztérium feladata lesz, hogy a költségvetésben előirányzott forrásoknak megfelelően lépéseket tegyen a kapcsolódó mérföldkövek és célkitűzések elérése érdekében, az Európai Alapok Főtitkársága lesz az a szerv, amely </w:t>
      </w:r>
      <w:r>
        <w:rPr>
          <w:noProof/>
        </w:rPr>
        <w:t>elkészíti az Európai Bizottsághoz intézett kifizetési kérelmeket. Minden kifizetési kérelemhez csatolni kell a komponensekért felelős szervek által kiadott jelentéseken alapuló vezetői nyilatkozatot. Emellett az államigazgatás főszámvevője (Intervención Ge</w:t>
      </w:r>
      <w:r>
        <w:rPr>
          <w:noProof/>
        </w:rPr>
        <w:t>neral de la Administración del Estado – IGAE) ellenőrzéseket fog végezni a mérföldkövek és célkitűzések elérésének, valamint az elért eredményeknek a tanúsítása céljából. A terv végrehajtására elkülönített források a központi kormányzat költségvetésében sz</w:t>
      </w:r>
      <w:r>
        <w:rPr>
          <w:noProof/>
        </w:rPr>
        <w:t xml:space="preserve">erepelnek. </w:t>
      </w:r>
    </w:p>
    <w:p w14:paraId="733D840D" w14:textId="2DF93329" w:rsidR="003E1D81" w:rsidRDefault="00EB481C">
      <w:pPr>
        <w:pStyle w:val="P68B1DB1-ListParagraph7"/>
        <w:numPr>
          <w:ilvl w:val="0"/>
          <w:numId w:val="783"/>
        </w:numPr>
        <w:spacing w:before="120" w:after="120" w:line="240" w:lineRule="auto"/>
        <w:jc w:val="both"/>
        <w:rPr>
          <w:rFonts w:eastAsia="Calibri" w:cs="Times New Roman"/>
          <w:noProof/>
        </w:rPr>
      </w:pPr>
      <w:r>
        <w:rPr>
          <w:noProof/>
        </w:rPr>
        <w:t>Intézkedéseket hoztak annak érdekében, hogy a terv végrehajtásába bevonják a kulcsfontosságú szereplőket. A tervhez új ágazati konferencia jön létre azzal a céllal, hogy a terv végrehajtása érdekében irányítsa az együttműködést a régiók, a hely</w:t>
      </w:r>
      <w:r>
        <w:rPr>
          <w:noProof/>
        </w:rPr>
        <w:t>i önkormányzatok és a központi kormányzat között. Ami a parlamenti ellenőrzést illeti, a 36/2020. sz. királyi törvényerejű rendelet 22. cikke úgy rendelkezik, hogy a kormány negyedévente jelentést tesz az Európai Unió Parlamenti Vegyes Bizottságának a hely</w:t>
      </w:r>
      <w:r>
        <w:rPr>
          <w:noProof/>
        </w:rPr>
        <w:t>reállítási, átalakítási és rezilienciaépítési terv előrehaladásáról.</w:t>
      </w:r>
    </w:p>
    <w:p w14:paraId="13C65C14" w14:textId="77777777" w:rsidR="003E1D81" w:rsidRDefault="003E1D81">
      <w:pPr>
        <w:spacing w:before="120" w:after="120" w:line="240" w:lineRule="auto"/>
        <w:jc w:val="both"/>
        <w:rPr>
          <w:rFonts w:ascii="Times New Roman" w:eastAsia="Calibri" w:hAnsi="Times New Roman" w:cs="Times New Roman"/>
          <w:noProof/>
          <w:sz w:val="24"/>
        </w:rPr>
      </w:pPr>
    </w:p>
    <w:p w14:paraId="3BC72D0E" w14:textId="77777777" w:rsidR="003E1D81" w:rsidRDefault="00EB481C">
      <w:pPr>
        <w:pStyle w:val="P68B1DB1-NumPar144"/>
        <w:numPr>
          <w:ilvl w:val="0"/>
          <w:numId w:val="782"/>
        </w:numPr>
        <w:rPr>
          <w:rFonts w:cs="Times New Roman"/>
          <w:noProof/>
        </w:rPr>
      </w:pPr>
      <w:r>
        <w:rPr>
          <w:noProof/>
        </w:rPr>
        <w:t>A Bizottságnak az alapul szolgáló adatokhoz való teljes körű hozzáférését biztosító intézkedések</w:t>
      </w:r>
    </w:p>
    <w:p w14:paraId="631837FE" w14:textId="76F6E88C" w:rsidR="003E1D81" w:rsidRDefault="00EB481C">
      <w:pPr>
        <w:pStyle w:val="P68B1DB1-Normal4"/>
        <w:spacing w:before="120" w:after="120" w:line="240" w:lineRule="auto"/>
        <w:jc w:val="both"/>
        <w:rPr>
          <w:rFonts w:eastAsia="Calibri" w:cs="Times New Roman"/>
          <w:noProof/>
        </w:rPr>
      </w:pPr>
      <w:r>
        <w:rPr>
          <w:noProof/>
        </w:rPr>
        <w:t>Annak érdekében, hogy a Bizottság teljes mértékben hozzáférhessen az alapul szolgáló rele</w:t>
      </w:r>
      <w:r>
        <w:rPr>
          <w:noProof/>
        </w:rPr>
        <w:t>váns adatokhoz, Spanyolországnak a következő intézkedéseket kell alkalmaznia:</w:t>
      </w:r>
    </w:p>
    <w:p w14:paraId="137EE5D7" w14:textId="77777777" w:rsidR="003E1D81" w:rsidRDefault="00EB481C">
      <w:pPr>
        <w:pStyle w:val="P68B1DB1-Normal4"/>
        <w:spacing w:before="120" w:after="120" w:line="240" w:lineRule="auto"/>
        <w:jc w:val="both"/>
        <w:rPr>
          <w:rFonts w:eastAsia="Calibri" w:cs="Times New Roman"/>
          <w:noProof/>
        </w:rPr>
      </w:pPr>
      <w:r>
        <w:rPr>
          <w:noProof/>
        </w:rPr>
        <w:t>Spanyolország helyreállítási és rezilienciaépítési tervének koordinátoraként az Európai Alapok Főtitkársága (Pénzügyminisztérium) felel a módosított helyreállítási és reziliencia</w:t>
      </w:r>
      <w:r>
        <w:rPr>
          <w:noProof/>
        </w:rPr>
        <w:t>építési tervek általános végrehajtásáért, az ország más érintett hatóságaival való koordináció biztosításáért (beleértve az egyéb uniós alapok felhasználásával kapcsolatos koherencia biztosítását is), a mérföldkövek és célok terén elért eredmények nyomon k</w:t>
      </w:r>
      <w:r>
        <w:rPr>
          <w:noProof/>
        </w:rPr>
        <w:t>övetéséért, a kontroll- és ellenőrzési intézkedések végrehajtásának felügyeletéért és biztosításáért, valamint az összes szükséges jelentéstételért, kifizetési kérelmekért és az azt kísérő vezetői nyilatkozatért. Az európai alapokért felelős főtitkárság eg</w:t>
      </w:r>
      <w:r>
        <w:rPr>
          <w:noProof/>
        </w:rPr>
        <w:t>y olyan informatikai rendszerre (a továbbiakban: kávé) támaszkodik, amely lehetővé teszi a minisztériumok és más végrehajtó, ellenőrző és ellenőrző szervek számára, hogy minden releváns információt rögzítsenek, beleértve a mérföldkövekre és célokra vonatko</w:t>
      </w:r>
      <w:r>
        <w:rPr>
          <w:noProof/>
        </w:rPr>
        <w:t xml:space="preserve">zó jelentéstételt, valamint a monitoringmutatókat, a kontroll- és auditjelentéseket, valamint a végrehajtó szervek irányítási jelentéseit, amelyek várhatóan a kifizetési kérelmeket kísérő vezetői nyilatkozatok alapjául szolgálnak majd. A rendszer lehetővé </w:t>
      </w:r>
      <w:r>
        <w:rPr>
          <w:noProof/>
        </w:rPr>
        <w:t>teszi a minőségi pénzügyi információk és egyéb, például a végső kedvezményezettekre, vállalkozókra és alvállalkozókra vonatkozó adatok rögzítését is. A hatóságok a tényleges tulajdonosokra vonatkozó, a nemzeti adóhatóság által tárolt adatokat is összegyűjt</w:t>
      </w:r>
      <w:r>
        <w:rPr>
          <w:noProof/>
        </w:rPr>
        <w:t xml:space="preserve">ik és tárolják. </w:t>
      </w:r>
    </w:p>
    <w:p w14:paraId="06442C18" w14:textId="23565917" w:rsidR="003E1D81" w:rsidRDefault="00EB481C">
      <w:pPr>
        <w:pStyle w:val="P68B1DB1-Normal4"/>
        <w:spacing w:before="120" w:after="120" w:line="240" w:lineRule="auto"/>
        <w:jc w:val="both"/>
        <w:rPr>
          <w:rFonts w:eastAsia="Calibri" w:cs="Times New Roman"/>
          <w:noProof/>
        </w:rPr>
      </w:pPr>
      <w:r>
        <w:rPr>
          <w:noProof/>
        </w:rPr>
        <w:t xml:space="preserve">Ezenkívül a 173. mérföldkővel és az első kifizetési kérelemmel összefüggésben a könyvvizsgálatra és kontrollra vonatkozóan tett kötelezettségvállalásokkal kapcsolatban Spanyolország két megállapodást kötött a külföldi vállalatok tényleges </w:t>
      </w:r>
      <w:r>
        <w:rPr>
          <w:noProof/>
        </w:rPr>
        <w:t>tulajdonosaira vonatkozó információcsere megkönnyítése érdekében: az egyiket az Általános Közjegyzői Tanács és az Adóhivatal, a másikat pedig ez utóbbi és a vagyonhivatal hivatalvezetői kollégiuma között. Spanyolország továbbá miniszteri rendeletet adott k</w:t>
      </w:r>
      <w:r>
        <w:rPr>
          <w:noProof/>
        </w:rPr>
        <w:t>i (HFP/55/2023. sz. rendelet), amely felhatalmazza a felhívások megszervezéséért felelős hatóságokat arra, hogy kérjék a tényleges tulajdonosok adatait olyan külföldi vállalatoktól, amelyekre vonatkozóan a nemzeti hatóságok adatbázisaikban nem rendelkeznek</w:t>
      </w:r>
      <w:r>
        <w:rPr>
          <w:noProof/>
        </w:rPr>
        <w:t xml:space="preserve"> információkkal.</w:t>
      </w:r>
    </w:p>
    <w:p w14:paraId="005C5709" w14:textId="77777777" w:rsidR="003E1D81" w:rsidRDefault="00EB481C">
      <w:pPr>
        <w:pStyle w:val="P68B1DB1-Normal4"/>
        <w:spacing w:before="120" w:after="120" w:line="240" w:lineRule="auto"/>
        <w:jc w:val="both"/>
        <w:rPr>
          <w:rFonts w:eastAsia="Calibri" w:cs="Times New Roman"/>
          <w:noProof/>
        </w:rPr>
      </w:pPr>
      <w:r>
        <w:rPr>
          <w:noProof/>
        </w:rPr>
        <w:t>Emellett Spanyolország javította a tényleges tulajdonosokra vonatkozó információkhoz való, ellenőrzési célú hozzáférést. A spanyol hatóságok létrehoztak és működtették a „MINERVA” elnevezésű kockázatértékelési informatikai eszközt az össze</w:t>
      </w:r>
      <w:r>
        <w:rPr>
          <w:noProof/>
        </w:rPr>
        <w:t>férhetetlenség szisztematikus ellenőrzésére és megelőzésére, felhasználva a tényleges tulajdonosok adatait.</w:t>
      </w:r>
    </w:p>
    <w:p w14:paraId="26C38D62" w14:textId="71839E3A" w:rsidR="003E1D81" w:rsidRDefault="00EB481C">
      <w:pPr>
        <w:pStyle w:val="P68B1DB1-Normal4"/>
        <w:spacing w:before="120" w:after="120" w:line="240" w:lineRule="auto"/>
        <w:jc w:val="both"/>
        <w:rPr>
          <w:rFonts w:eastAsia="Calibri" w:cs="Times New Roman"/>
          <w:noProof/>
        </w:rPr>
      </w:pPr>
      <w:r>
        <w:rPr>
          <w:noProof/>
        </w:rPr>
        <w:t>Az (EU) 2021/241 rendelet 24. cikkének (2) bekezdésével összhangban Spanyolország az e melléklet 2.1. szakaszában foglalt releváns elfogadott mérföl</w:t>
      </w:r>
      <w:r>
        <w:rPr>
          <w:noProof/>
        </w:rPr>
        <w:t>dkövek és célok teljesítését követően megfelelően indokolt kérelmet nyújt be a Bizottsághoz a pénzügyi hozzájárulás kifizetése iránt. Spanyolország biztosítja, hogy kérésre a Bizottság teljes körű hozzáféréssel rendelkezzen a kifizetési kérelem megfelelő i</w:t>
      </w:r>
      <w:r>
        <w:rPr>
          <w:noProof/>
        </w:rPr>
        <w:t>ndokolását alátámasztó releváns adatokhoz, mind a kifizetési kérelemnek az (EU) 2021/241 rendelet 24. cikkének (3) bekezdése szerinti értékelése, mind pedig ellenőrzési és kontrollcélok céljából.</w:t>
      </w:r>
    </w:p>
    <w:p w14:paraId="459F1C0A" w14:textId="77777777" w:rsidR="003E1D81" w:rsidRDefault="003E1D81">
      <w:pPr>
        <w:pStyle w:val="Annexetitre"/>
        <w:rPr>
          <w:noProof/>
        </w:rPr>
      </w:pPr>
    </w:p>
    <w:p w14:paraId="26972EED" w14:textId="77777777" w:rsidR="003E1D81" w:rsidRDefault="003E1D81">
      <w:pPr>
        <w:pStyle w:val="Text1"/>
        <w:ind w:left="0"/>
        <w:rPr>
          <w:rFonts w:ascii="Times New Roman" w:hAnsi="Times New Roman" w:cs="Times New Roman"/>
          <w:noProof/>
        </w:rPr>
      </w:pPr>
    </w:p>
    <w:sectPr w:rsidR="003E1D81">
      <w:headerReference w:type="even" r:id="rId591"/>
      <w:headerReference w:type="default" r:id="rId592"/>
      <w:footerReference w:type="even" r:id="rId593"/>
      <w:footerReference w:type="default" r:id="rId594"/>
      <w:headerReference w:type="first" r:id="rId595"/>
      <w:footerReference w:type="first" r:id="rId596"/>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32A64" w14:textId="77777777" w:rsidR="00623EB7" w:rsidRDefault="00623EB7">
      <w:pPr>
        <w:spacing w:after="0" w:line="240" w:lineRule="auto"/>
      </w:pPr>
      <w:r>
        <w:separator/>
      </w:r>
    </w:p>
    <w:p w14:paraId="4D6E0D27" w14:textId="77777777" w:rsidR="00623EB7" w:rsidRDefault="00623EB7"/>
  </w:endnote>
  <w:endnote w:type="continuationSeparator" w:id="0">
    <w:p w14:paraId="75C377B5" w14:textId="77777777" w:rsidR="00623EB7" w:rsidRDefault="00623EB7">
      <w:pPr>
        <w:spacing w:after="0" w:line="240" w:lineRule="auto"/>
      </w:pPr>
      <w:r>
        <w:continuationSeparator/>
      </w:r>
    </w:p>
    <w:p w14:paraId="66D43EA2" w14:textId="77777777" w:rsidR="00623EB7" w:rsidRDefault="00623EB7"/>
  </w:endnote>
  <w:endnote w:type="continuationNotice" w:id="1">
    <w:p w14:paraId="2B8C5D70" w14:textId="77777777" w:rsidR="00623EB7" w:rsidRDefault="00623EB7">
      <w:pPr>
        <w:spacing w:after="0" w:line="240" w:lineRule="auto"/>
      </w:pPr>
    </w:p>
    <w:p w14:paraId="42E967A1" w14:textId="77777777" w:rsidR="00623EB7" w:rsidRDefault="00623E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quot;Times New Roman&quot;,serif">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Aptos">
    <w:altName w:val="Arial"/>
    <w:charset w:val="00"/>
    <w:family w:val="swiss"/>
    <w:pitch w:val="variable"/>
    <w:sig w:usb0="00000001"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C04C2" w14:textId="64240CCE" w:rsidR="00E5612A" w:rsidRPr="00EB481C" w:rsidRDefault="00E5612A" w:rsidP="00EB481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7A2C" w14:textId="77777777" w:rsidR="003E1D81" w:rsidRDefault="003E1D81">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04CCB" w14:textId="77777777" w:rsidR="003E1D81" w:rsidRDefault="003E1D81">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627477"/>
      <w:docPartObj>
        <w:docPartGallery w:val="Page Numbers (Bottom of Page)"/>
        <w:docPartUnique/>
      </w:docPartObj>
    </w:sdtPr>
    <w:sdtEndPr>
      <w:rPr>
        <w:noProof/>
      </w:rPr>
    </w:sdtEndPr>
    <w:sdtContent>
      <w:p w14:paraId="232685DF" w14:textId="5BEB9F9E" w:rsidR="003E1D81" w:rsidRDefault="00EB481C">
        <w:pPr>
          <w:pStyle w:val="P68B1DB1-Footer51"/>
          <w:jc w:val="center"/>
        </w:pPr>
        <w:r>
          <w:fldChar w:fldCharType="begin"/>
        </w:r>
        <w:r>
          <w:instrText xml:space="preserve"> PAGE   \* MERGEFORMAT </w:instrText>
        </w:r>
        <w:r>
          <w:fldChar w:fldCharType="separate"/>
        </w:r>
        <w:r>
          <w:t>108</w:t>
        </w:r>
        <w:r>
          <w:fldChar w:fldCharType="end"/>
        </w:r>
      </w:p>
    </w:sdtContent>
  </w:sdt>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8AA0D" w14:textId="77777777" w:rsidR="003E1D81" w:rsidRDefault="003E1D81">
    <w:pPr>
      <w:pStyle w:val="FooterLandscape"/>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6332" w14:textId="77777777" w:rsidR="003E1D81" w:rsidRDefault="003E1D81">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C2EE2" w14:textId="47BDE62A" w:rsidR="003E1D81" w:rsidRDefault="00EB481C">
    <w:pPr>
      <w:pStyle w:val="FooterLandscape"/>
      <w:rPr>
        <w:rFonts w:ascii="Aptos" w:hAnsi="Aptos" w:cs="Aptos"/>
        <w:b/>
      </w:rPr>
    </w:pPr>
    <w:r>
      <w:fldChar w:fldCharType="begin"/>
    </w:r>
    <w:r>
      <w:instrText xml:space="preserve"> PAGE  \* MERGEFORMAT </w:instrText>
    </w:r>
    <w:r>
      <w:fldChar w:fldCharType="separate"/>
    </w:r>
    <w:r>
      <w:t>111</w:t>
    </w:r>
    <w:r>
      <w:fldChar w:fldCharType="end"/>
    </w:r>
    <w:r>
      <w:tab/>
    </w:r>
    <w:r>
      <w:tab/>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0C74" w14:textId="77777777" w:rsidR="003E1D81" w:rsidRDefault="003E1D81">
    <w:pPr>
      <w:pStyle w:val="FooterLandscape"/>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BD365" w14:textId="77777777" w:rsidR="003E1D81" w:rsidRDefault="003E1D81">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499251"/>
      <w:docPartObj>
        <w:docPartGallery w:val="Page Numbers (Bottom of Page)"/>
        <w:docPartUnique/>
      </w:docPartObj>
    </w:sdtPr>
    <w:sdtEndPr>
      <w:rPr>
        <w:noProof/>
      </w:rPr>
    </w:sdtEndPr>
    <w:sdtContent>
      <w:p w14:paraId="477AF136" w14:textId="109FDB34" w:rsidR="003E1D81" w:rsidRDefault="00EB481C">
        <w:pPr>
          <w:pStyle w:val="Footer"/>
          <w:jc w:val="center"/>
        </w:pPr>
        <w:r>
          <w:fldChar w:fldCharType="begin"/>
        </w:r>
        <w:r>
          <w:instrText xml:space="preserve"> PAGE   \* MERGEFORMAT </w:instrText>
        </w:r>
        <w:r>
          <w:fldChar w:fldCharType="separate"/>
        </w:r>
        <w:r>
          <w:t>116</w:t>
        </w:r>
        <w:r>
          <w:fldChar w:fldCharType="end"/>
        </w:r>
      </w:p>
    </w:sdtContent>
  </w:sdt>
  <w:p w14:paraId="7B0266EA" w14:textId="5BBB9CCB" w:rsidR="003E1D81" w:rsidRDefault="003E1D81">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8C58E" w14:textId="77777777" w:rsidR="003E1D81" w:rsidRDefault="003E1D81">
    <w:pPr>
      <w:pStyle w:val="FooterLandscape"/>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886D5" w14:textId="77777777" w:rsidR="003E1D81" w:rsidRDefault="003E1D8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660983"/>
      <w:docPartObj>
        <w:docPartGallery w:val="Page Numbers (Bottom of Page)"/>
        <w:docPartUnique/>
      </w:docPartObj>
    </w:sdtPr>
    <w:sdtEndPr>
      <w:rPr>
        <w:noProof/>
      </w:rPr>
    </w:sdtEndPr>
    <w:sdtContent>
      <w:p w14:paraId="72B3C016" w14:textId="687E1BAB" w:rsidR="003E1D81" w:rsidRDefault="00EB481C">
        <w:pPr>
          <w:pStyle w:val="P68B1DB1-Footer49"/>
          <w:jc w:val="center"/>
        </w:pPr>
        <w:r>
          <w:fldChar w:fldCharType="begin"/>
        </w:r>
        <w:r>
          <w:instrText xml:space="preserve"> PAGE   \* MERGEFORMAT </w:instrText>
        </w:r>
        <w:r>
          <w:fldChar w:fldCharType="separate"/>
        </w:r>
        <w:r w:rsidR="00263057">
          <w:rPr>
            <w:noProof/>
          </w:rPr>
          <w:t>16</w:t>
        </w:r>
        <w:r>
          <w:fldChar w:fldCharType="end"/>
        </w:r>
      </w:p>
    </w:sdtContent>
  </w:sdt>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099661"/>
      <w:docPartObj>
        <w:docPartGallery w:val="Page Numbers (Bottom of Page)"/>
        <w:docPartUnique/>
      </w:docPartObj>
    </w:sdtPr>
    <w:sdtEndPr>
      <w:rPr>
        <w:noProof/>
      </w:rPr>
    </w:sdtEndPr>
    <w:sdtContent>
      <w:p w14:paraId="210FE53E" w14:textId="260CBC4D" w:rsidR="003E1D81" w:rsidRDefault="00EB481C">
        <w:pPr>
          <w:pStyle w:val="Footer"/>
          <w:jc w:val="center"/>
        </w:pPr>
        <w:r>
          <w:fldChar w:fldCharType="begin"/>
        </w:r>
        <w:r>
          <w:instrText xml:space="preserve"> PAGE   \* MERGEFORMAT </w:instrText>
        </w:r>
        <w:r>
          <w:fldChar w:fldCharType="separate"/>
        </w:r>
        <w:r>
          <w:t>134</w:t>
        </w:r>
        <w:r>
          <w:fldChar w:fldCharType="end"/>
        </w:r>
      </w:p>
    </w:sdtContent>
  </w:sdt>
  <w:p w14:paraId="2720AE6E" w14:textId="77777777" w:rsidR="003E1D81" w:rsidRDefault="003E1D81">
    <w:pPr>
      <w:pStyle w:val="FooterLandscape"/>
      <w:ind w:left="0"/>
      <w:rPr>
        <w:rFonts w:ascii="Arial" w:hAnsi="Arial" w:cs="Arial"/>
        <w:b/>
        <w:sz w:val="20"/>
      </w:rP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6CCE4" w14:textId="77777777" w:rsidR="003E1D81" w:rsidRDefault="003E1D81">
    <w:pPr>
      <w:pStyle w:val="FooterLandscape"/>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A8A25" w14:textId="77777777" w:rsidR="003E1D81" w:rsidRDefault="003E1D81">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098542"/>
      <w:docPartObj>
        <w:docPartGallery w:val="Page Numbers (Bottom of Page)"/>
        <w:docPartUnique/>
      </w:docPartObj>
    </w:sdtPr>
    <w:sdtEndPr>
      <w:rPr>
        <w:noProof/>
      </w:rPr>
    </w:sdtEndPr>
    <w:sdtContent>
      <w:p w14:paraId="18F06A3D" w14:textId="79575EEA" w:rsidR="003E1D81" w:rsidRDefault="00EB481C">
        <w:pPr>
          <w:pStyle w:val="Footer"/>
          <w:jc w:val="center"/>
        </w:pPr>
        <w:r>
          <w:fldChar w:fldCharType="begin"/>
        </w:r>
        <w:r>
          <w:instrText xml:space="preserve"> PAGE   \* MERGEFORMAT </w:instrText>
        </w:r>
        <w:r>
          <w:fldChar w:fldCharType="separate"/>
        </w:r>
        <w:r>
          <w:t>135</w:t>
        </w:r>
        <w:r>
          <w:fldChar w:fldCharType="end"/>
        </w:r>
      </w:p>
    </w:sdtContent>
  </w:sdt>
  <w:p w14:paraId="5F96876A" w14:textId="77777777" w:rsidR="003E1D81" w:rsidRDefault="003E1D81">
    <w:pPr>
      <w:pStyle w:val="FooterLandscape"/>
      <w:ind w:left="0"/>
      <w:rPr>
        <w:rFonts w:ascii="Arial" w:hAnsi="Arial" w:cs="Arial"/>
        <w:b/>
        <w:sz w:val="20"/>
      </w:rP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CCDF1" w14:textId="77777777" w:rsidR="003E1D81" w:rsidRDefault="003E1D81">
    <w:pPr>
      <w:pStyle w:val="FooterLandscape"/>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7BC96" w14:textId="77777777" w:rsidR="003E1D81" w:rsidRDefault="003E1D81">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974439"/>
      <w:docPartObj>
        <w:docPartGallery w:val="Page Numbers (Bottom of Page)"/>
        <w:docPartUnique/>
      </w:docPartObj>
    </w:sdtPr>
    <w:sdtEndPr>
      <w:rPr>
        <w:noProof/>
      </w:rPr>
    </w:sdtEndPr>
    <w:sdtContent>
      <w:p w14:paraId="372E582A" w14:textId="1AE22DF6" w:rsidR="003E1D81" w:rsidRDefault="00EB481C">
        <w:pPr>
          <w:pStyle w:val="Footer"/>
          <w:jc w:val="center"/>
        </w:pPr>
        <w:r>
          <w:fldChar w:fldCharType="begin"/>
        </w:r>
        <w:r>
          <w:instrText xml:space="preserve"> PAGE   \* MERGEFORMAT </w:instrText>
        </w:r>
        <w:r>
          <w:fldChar w:fldCharType="separate"/>
        </w:r>
        <w:r>
          <w:t>141</w:t>
        </w:r>
        <w:r>
          <w:fldChar w:fldCharType="end"/>
        </w:r>
      </w:p>
    </w:sdtContent>
  </w:sdt>
  <w:p w14:paraId="4D36BE21" w14:textId="77777777" w:rsidR="003E1D81" w:rsidRDefault="003E1D81">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55E4" w14:textId="77777777" w:rsidR="003E1D81" w:rsidRDefault="003E1D81">
    <w:pPr>
      <w:pStyle w:val="FooterLandscape"/>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A6CB0" w14:textId="77777777" w:rsidR="003E1D81" w:rsidRDefault="003E1D81">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765985"/>
      <w:docPartObj>
        <w:docPartGallery w:val="Page Numbers (Bottom of Page)"/>
        <w:docPartUnique/>
      </w:docPartObj>
    </w:sdtPr>
    <w:sdtEndPr>
      <w:rPr>
        <w:noProof/>
      </w:rPr>
    </w:sdtEndPr>
    <w:sdtContent>
      <w:p w14:paraId="3E7CB7B9" w14:textId="387433BC" w:rsidR="003E1D81" w:rsidRDefault="00EB481C">
        <w:pPr>
          <w:pStyle w:val="Footer"/>
          <w:jc w:val="center"/>
        </w:pPr>
        <w:r>
          <w:fldChar w:fldCharType="begin"/>
        </w:r>
        <w:r>
          <w:instrText xml:space="preserve"> PAGE   \* MERGEFORMAT </w:instrText>
        </w:r>
        <w:r>
          <w:fldChar w:fldCharType="separate"/>
        </w:r>
        <w:r>
          <w:t>152</w:t>
        </w:r>
        <w:r>
          <w:fldChar w:fldCharType="end"/>
        </w:r>
      </w:p>
    </w:sdtContent>
  </w:sdt>
  <w:p w14:paraId="44FC6E97" w14:textId="6BEEAD56" w:rsidR="003E1D81" w:rsidRDefault="003E1D81">
    <w:pPr>
      <w:pStyle w:val="Footer"/>
      <w:ind w:left="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BFDB1" w14:textId="77777777" w:rsidR="003E1D81" w:rsidRDefault="003E1D81">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C590C" w14:textId="77777777" w:rsidR="003E1D81" w:rsidRDefault="003E1D81">
    <w:pPr>
      <w:pStyle w:val="FooterLandscape"/>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E6200" w14:textId="77777777" w:rsidR="003E1D81" w:rsidRDefault="003E1D81">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586842"/>
      <w:docPartObj>
        <w:docPartGallery w:val="Page Numbers (Bottom of Page)"/>
        <w:docPartUnique/>
      </w:docPartObj>
    </w:sdtPr>
    <w:sdtEndPr>
      <w:rPr>
        <w:noProof/>
      </w:rPr>
    </w:sdtEndPr>
    <w:sdtContent>
      <w:p w14:paraId="3B527266" w14:textId="27E13424" w:rsidR="003E1D81" w:rsidRDefault="00EB481C">
        <w:pPr>
          <w:pStyle w:val="Footer"/>
          <w:jc w:val="center"/>
        </w:pPr>
        <w:r>
          <w:fldChar w:fldCharType="begin"/>
        </w:r>
        <w:r>
          <w:instrText xml:space="preserve"> PAGE   \* MERGEFORMAT </w:instrText>
        </w:r>
        <w:r>
          <w:fldChar w:fldCharType="separate"/>
        </w:r>
        <w:r>
          <w:t>153</w:t>
        </w:r>
        <w:r>
          <w:fldChar w:fldCharType="end"/>
        </w:r>
      </w:p>
    </w:sdtContent>
  </w:sdt>
  <w:p w14:paraId="13FCB833" w14:textId="77777777" w:rsidR="003E1D81" w:rsidRDefault="003E1D81">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D6517" w14:textId="77777777" w:rsidR="003E1D81" w:rsidRDefault="003E1D81">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A15B0" w14:textId="77777777" w:rsidR="003E1D81" w:rsidRDefault="003E1D81">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527556"/>
      <w:docPartObj>
        <w:docPartGallery w:val="Page Numbers (Bottom of Page)"/>
        <w:docPartUnique/>
      </w:docPartObj>
    </w:sdtPr>
    <w:sdtEndPr>
      <w:rPr>
        <w:noProof/>
      </w:rPr>
    </w:sdtEndPr>
    <w:sdtContent>
      <w:p w14:paraId="310B17E9" w14:textId="059A09BF" w:rsidR="003E1D81" w:rsidRDefault="00EB481C">
        <w:pPr>
          <w:pStyle w:val="Footer"/>
          <w:jc w:val="center"/>
        </w:pPr>
        <w:r>
          <w:fldChar w:fldCharType="begin"/>
        </w:r>
        <w:r>
          <w:instrText xml:space="preserve"> PAGE   \* MERGEFORMAT </w:instrText>
        </w:r>
        <w:r>
          <w:fldChar w:fldCharType="separate"/>
        </w:r>
        <w:r>
          <w:t>160</w:t>
        </w:r>
        <w:r>
          <w:fldChar w:fldCharType="end"/>
        </w:r>
      </w:p>
    </w:sdtContent>
  </w:sdt>
  <w:p w14:paraId="319EA95A" w14:textId="77777777" w:rsidR="003E1D81" w:rsidRDefault="003E1D81">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D22CA" w14:textId="77777777" w:rsidR="003E1D81" w:rsidRDefault="003E1D81">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7F965" w14:textId="77777777" w:rsidR="003E1D81" w:rsidRDefault="003E1D81">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01527"/>
      <w:docPartObj>
        <w:docPartGallery w:val="Page Numbers (Bottom of Page)"/>
        <w:docPartUnique/>
      </w:docPartObj>
    </w:sdtPr>
    <w:sdtEndPr>
      <w:rPr>
        <w:noProof/>
      </w:rPr>
    </w:sdtEndPr>
    <w:sdtContent>
      <w:p w14:paraId="37F086F1" w14:textId="70839971" w:rsidR="003E1D81" w:rsidRDefault="00EB481C">
        <w:pPr>
          <w:pStyle w:val="Footer"/>
          <w:jc w:val="center"/>
        </w:pPr>
        <w:r>
          <w:fldChar w:fldCharType="begin"/>
        </w:r>
        <w:r>
          <w:instrText xml:space="preserve"> PAGE   \* MERGEFORMAT </w:instrText>
        </w:r>
        <w:r>
          <w:fldChar w:fldCharType="separate"/>
        </w:r>
        <w:r>
          <w:t>163</w:t>
        </w:r>
        <w:r>
          <w:fldChar w:fldCharType="end"/>
        </w:r>
      </w:p>
    </w:sdtContent>
  </w:sdt>
  <w:p w14:paraId="2175A671" w14:textId="77777777" w:rsidR="003E1D81" w:rsidRDefault="003E1D81">
    <w:pPr>
      <w:pStyle w:val="FooterLandscape"/>
      <w:rPr>
        <w:rFonts w:ascii="Arial" w:hAnsi="Arial" w:cs="Arial"/>
        <w:b/>
      </w:rP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2313C" w14:textId="77777777" w:rsidR="003E1D81" w:rsidRDefault="003E1D8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F163C" w14:textId="77777777" w:rsidR="003E1D81" w:rsidRDefault="003E1D81">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468BD" w14:textId="77777777" w:rsidR="003E1D81" w:rsidRDefault="003E1D81">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576163"/>
      <w:docPartObj>
        <w:docPartGallery w:val="Page Numbers (Bottom of Page)"/>
        <w:docPartUnique/>
      </w:docPartObj>
    </w:sdtPr>
    <w:sdtEndPr>
      <w:rPr>
        <w:noProof/>
      </w:rPr>
    </w:sdtEndPr>
    <w:sdtContent>
      <w:p w14:paraId="4F349A1A" w14:textId="01748E80" w:rsidR="003E1D81" w:rsidRDefault="00EB481C">
        <w:pPr>
          <w:pStyle w:val="Footer"/>
          <w:jc w:val="center"/>
        </w:pPr>
        <w:r>
          <w:fldChar w:fldCharType="begin"/>
        </w:r>
        <w:r>
          <w:instrText xml:space="preserve"> PAGE   \* MERGEFORMAT </w:instrText>
        </w:r>
        <w:r>
          <w:fldChar w:fldCharType="separate"/>
        </w:r>
        <w:r>
          <w:t>164</w:t>
        </w:r>
        <w:r>
          <w:fldChar w:fldCharType="end"/>
        </w:r>
      </w:p>
    </w:sdtContent>
  </w:sdt>
  <w:p w14:paraId="32CC4AF9" w14:textId="15DCB5BC" w:rsidR="003E1D81" w:rsidRDefault="003E1D81">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FE793" w14:textId="77777777" w:rsidR="003E1D81" w:rsidRDefault="003E1D81">
    <w:pPr>
      <w:pStyle w:val="FooterLandscape"/>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F5EAC" w14:textId="77777777" w:rsidR="003E1D81" w:rsidRDefault="003E1D81">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8057355"/>
      <w:docPartObj>
        <w:docPartGallery w:val="Page Numbers (Bottom of Page)"/>
        <w:docPartUnique/>
      </w:docPartObj>
    </w:sdtPr>
    <w:sdtEndPr>
      <w:rPr>
        <w:noProof/>
      </w:rPr>
    </w:sdtEndPr>
    <w:sdtContent>
      <w:p w14:paraId="4225757E" w14:textId="6F8B7B1F" w:rsidR="003E1D81" w:rsidRDefault="00EB481C">
        <w:pPr>
          <w:pStyle w:val="Footer"/>
          <w:jc w:val="center"/>
        </w:pPr>
        <w:r>
          <w:fldChar w:fldCharType="begin"/>
        </w:r>
        <w:r>
          <w:instrText xml:space="preserve"> PAGE   \* MERGEFORMAT </w:instrText>
        </w:r>
        <w:r>
          <w:fldChar w:fldCharType="separate"/>
        </w:r>
        <w:r>
          <w:t>177</w:t>
        </w:r>
        <w:r>
          <w:fldChar w:fldCharType="end"/>
        </w:r>
      </w:p>
    </w:sdtContent>
  </w:sdt>
  <w:p w14:paraId="53A2E388" w14:textId="77777777" w:rsidR="003E1D81" w:rsidRDefault="003E1D81">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7B3C1" w14:textId="77777777" w:rsidR="003E1D81" w:rsidRDefault="003E1D81">
    <w:pPr>
      <w:pStyle w:val="FooterLandscape"/>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08044" w14:textId="77777777" w:rsidR="003E1D81" w:rsidRDefault="003E1D81">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123526"/>
      <w:docPartObj>
        <w:docPartGallery w:val="Page Numbers (Bottom of Page)"/>
        <w:docPartUnique/>
      </w:docPartObj>
    </w:sdtPr>
    <w:sdtEndPr>
      <w:rPr>
        <w:noProof/>
      </w:rPr>
    </w:sdtEndPr>
    <w:sdtContent>
      <w:p w14:paraId="1ED93B15" w14:textId="54FF3E10" w:rsidR="003E1D81" w:rsidRDefault="00EB481C">
        <w:pPr>
          <w:pStyle w:val="Footer"/>
          <w:jc w:val="center"/>
        </w:pPr>
        <w:r>
          <w:fldChar w:fldCharType="begin"/>
        </w:r>
        <w:r>
          <w:instrText xml:space="preserve"> PAGE   \* MERGEFORMAT </w:instrText>
        </w:r>
        <w:r>
          <w:fldChar w:fldCharType="separate"/>
        </w:r>
        <w:r>
          <w:t>187</w:t>
        </w:r>
        <w:r>
          <w:fldChar w:fldCharType="end"/>
        </w:r>
      </w:p>
    </w:sdtContent>
  </w:sdt>
  <w:p w14:paraId="4BAD018D" w14:textId="77777777" w:rsidR="003E1D81" w:rsidRDefault="003E1D81">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0ED47" w14:textId="77777777" w:rsidR="003E1D81" w:rsidRDefault="003E1D81">
    <w:pPr>
      <w:pStyle w:val="FooterLandscape"/>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090EE" w14:textId="77777777" w:rsidR="003E1D81" w:rsidRDefault="003E1D8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976782"/>
      <w:docPartObj>
        <w:docPartGallery w:val="Page Numbers (Bottom of Page)"/>
        <w:docPartUnique/>
      </w:docPartObj>
    </w:sdtPr>
    <w:sdtEndPr>
      <w:rPr>
        <w:noProof/>
      </w:rPr>
    </w:sdtEndPr>
    <w:sdtContent>
      <w:p w14:paraId="18B87726" w14:textId="7D3E1B8C" w:rsidR="003E1D81" w:rsidRDefault="00EB481C">
        <w:pPr>
          <w:pStyle w:val="P68B1DB1-Footer49"/>
          <w:jc w:val="center"/>
        </w:pPr>
        <w:r>
          <w:fldChar w:fldCharType="begin"/>
        </w:r>
        <w:r>
          <w:instrText xml:space="preserve"> PAGE   \* MERGEFORMAT </w:instrText>
        </w:r>
        <w:r>
          <w:fldChar w:fldCharType="separate"/>
        </w:r>
        <w:r w:rsidR="00263057">
          <w:rPr>
            <w:noProof/>
          </w:rPr>
          <w:t>17</w:t>
        </w:r>
        <w:r>
          <w:fldChar w:fldCharType="end"/>
        </w:r>
      </w:p>
    </w:sdtContent>
  </w:sdt>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343190"/>
      <w:docPartObj>
        <w:docPartGallery w:val="Page Numbers (Bottom of Page)"/>
        <w:docPartUnique/>
      </w:docPartObj>
    </w:sdtPr>
    <w:sdtEndPr>
      <w:rPr>
        <w:noProof/>
      </w:rPr>
    </w:sdtEndPr>
    <w:sdtContent>
      <w:p w14:paraId="75609BFD" w14:textId="5EFCBD1C" w:rsidR="003E1D81" w:rsidRDefault="00EB481C">
        <w:pPr>
          <w:pStyle w:val="Footer"/>
          <w:jc w:val="center"/>
        </w:pPr>
        <w:r>
          <w:fldChar w:fldCharType="begin"/>
        </w:r>
        <w:r>
          <w:instrText xml:space="preserve"> PAGE   \* MERGEFORMAT </w:instrText>
        </w:r>
        <w:r>
          <w:fldChar w:fldCharType="separate"/>
        </w:r>
        <w:r>
          <w:t>210</w:t>
        </w:r>
        <w:r>
          <w:fldChar w:fldCharType="end"/>
        </w:r>
      </w:p>
    </w:sdtContent>
  </w:sdt>
  <w:p w14:paraId="576C5D7B" w14:textId="77777777" w:rsidR="003E1D81" w:rsidRDefault="003E1D81">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5CD44" w14:textId="77777777" w:rsidR="003E1D81" w:rsidRDefault="003E1D81">
    <w:pPr>
      <w:pStyle w:val="FooterLandscape"/>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3D84" w14:textId="77777777" w:rsidR="003E1D81" w:rsidRDefault="003E1D81">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503217"/>
      <w:docPartObj>
        <w:docPartGallery w:val="Page Numbers (Bottom of Page)"/>
        <w:docPartUnique/>
      </w:docPartObj>
    </w:sdtPr>
    <w:sdtEndPr>
      <w:rPr>
        <w:noProof/>
      </w:rPr>
    </w:sdtEndPr>
    <w:sdtContent>
      <w:p w14:paraId="7D0A95E6" w14:textId="20EFB816" w:rsidR="003E1D81" w:rsidRDefault="00EB481C">
        <w:pPr>
          <w:pStyle w:val="Footer"/>
          <w:jc w:val="center"/>
        </w:pPr>
        <w:r>
          <w:fldChar w:fldCharType="begin"/>
        </w:r>
        <w:r>
          <w:instrText xml:space="preserve"> PAGE   \* MERGEFORMAT</w:instrText>
        </w:r>
        <w:r>
          <w:instrText xml:space="preserve"> </w:instrText>
        </w:r>
        <w:r>
          <w:fldChar w:fldCharType="separate"/>
        </w:r>
        <w:r>
          <w:t>218</w:t>
        </w:r>
        <w:r>
          <w:fldChar w:fldCharType="end"/>
        </w:r>
      </w:p>
    </w:sdtContent>
  </w:sdt>
  <w:p w14:paraId="6D397B69" w14:textId="0CF305B0" w:rsidR="003E1D81" w:rsidRDefault="003E1D81">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F0528" w14:textId="77777777" w:rsidR="003E1D81" w:rsidRDefault="003E1D81">
    <w:pPr>
      <w:pStyle w:val="FooterLandscape"/>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B2780" w14:textId="77777777" w:rsidR="003E1D81" w:rsidRDefault="003E1D81">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0206396"/>
      <w:docPartObj>
        <w:docPartGallery w:val="Page Numbers (Bottom of Page)"/>
        <w:docPartUnique/>
      </w:docPartObj>
    </w:sdtPr>
    <w:sdtEndPr>
      <w:rPr>
        <w:noProof/>
      </w:rPr>
    </w:sdtEndPr>
    <w:sdtContent>
      <w:p w14:paraId="21E41CC1" w14:textId="2775E076" w:rsidR="003E1D81" w:rsidRDefault="00EB481C">
        <w:pPr>
          <w:pStyle w:val="Footer"/>
          <w:jc w:val="center"/>
        </w:pPr>
        <w:r>
          <w:fldChar w:fldCharType="begin"/>
        </w:r>
        <w:r>
          <w:instrText xml:space="preserve"> PAGE   \* MERGEFORMAT </w:instrText>
        </w:r>
        <w:r>
          <w:fldChar w:fldCharType="separate"/>
        </w:r>
        <w:r>
          <w:t>224</w:t>
        </w:r>
        <w:r>
          <w:fldChar w:fldCharType="end"/>
        </w:r>
      </w:p>
    </w:sdtContent>
  </w:sdt>
  <w:p w14:paraId="28389508" w14:textId="7790FC53" w:rsidR="003E1D81" w:rsidRDefault="003E1D81">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7B1E" w14:textId="77777777" w:rsidR="003E1D81" w:rsidRDefault="003E1D81">
    <w:pPr>
      <w:pStyle w:val="FooterLandscape"/>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437D5" w14:textId="77777777" w:rsidR="003E1D81" w:rsidRDefault="003E1D81">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77242"/>
      <w:docPartObj>
        <w:docPartGallery w:val="Page Numbers (Bottom of Page)"/>
        <w:docPartUnique/>
      </w:docPartObj>
    </w:sdtPr>
    <w:sdtEndPr>
      <w:rPr>
        <w:noProof/>
      </w:rPr>
    </w:sdtEndPr>
    <w:sdtContent>
      <w:p w14:paraId="7418D2CA" w14:textId="7030D8BE" w:rsidR="003E1D81" w:rsidRDefault="00EB481C">
        <w:pPr>
          <w:pStyle w:val="Footer"/>
          <w:jc w:val="center"/>
        </w:pPr>
        <w:r>
          <w:fldChar w:fldCharType="begin"/>
        </w:r>
        <w:r>
          <w:instrText xml:space="preserve"> PAGE   \* MERGEFORMAT </w:instrText>
        </w:r>
        <w:r>
          <w:fldChar w:fldCharType="separate"/>
        </w:r>
        <w:r>
          <w:t>228</w:t>
        </w:r>
        <w:r>
          <w:fldChar w:fldCharType="end"/>
        </w:r>
      </w:p>
    </w:sdtContent>
  </w:sdt>
  <w:p w14:paraId="48C8C421" w14:textId="36EEE6CE" w:rsidR="003E1D81" w:rsidRDefault="003E1D81">
    <w:pPr>
      <w:pStyle w:val="Footer"/>
      <w:tabs>
        <w:tab w:val="clear" w:pos="4535"/>
        <w:tab w:val="center" w:pos="4536"/>
        <w:tab w:val="left" w:pos="5080"/>
      </w:tabs>
      <w:ind w:left="0"/>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2F9C4" w14:textId="77777777" w:rsidR="003E1D81" w:rsidRDefault="003E1D81">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72D5D" w14:textId="77777777" w:rsidR="003E1D81" w:rsidRDefault="003E1D81">
    <w:pPr>
      <w:pStyle w:val="FooterLandscape"/>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A67D0" w14:textId="77777777" w:rsidR="003E1D81" w:rsidRDefault="003E1D81">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015163"/>
      <w:docPartObj>
        <w:docPartGallery w:val="Page Numbers (Bottom of Page)"/>
        <w:docPartUnique/>
      </w:docPartObj>
    </w:sdtPr>
    <w:sdtEndPr>
      <w:rPr>
        <w:noProof/>
      </w:rPr>
    </w:sdtEndPr>
    <w:sdtContent>
      <w:p w14:paraId="70B72CD2" w14:textId="1CF7F4FA" w:rsidR="003E1D81" w:rsidRDefault="00EB481C">
        <w:pPr>
          <w:pStyle w:val="Footer"/>
          <w:jc w:val="center"/>
        </w:pPr>
        <w:r>
          <w:fldChar w:fldCharType="begin"/>
        </w:r>
        <w:r>
          <w:instrText xml:space="preserve"> PAGE   \* MERGEFORMAT </w:instrText>
        </w:r>
        <w:r>
          <w:fldChar w:fldCharType="separate"/>
        </w:r>
        <w:r>
          <w:t>233</w:t>
        </w:r>
        <w:r>
          <w:fldChar w:fldCharType="end"/>
        </w:r>
      </w:p>
    </w:sdtContent>
  </w:sdt>
  <w:p w14:paraId="135FD20E" w14:textId="4F090939" w:rsidR="003E1D81" w:rsidRDefault="003E1D81">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20250" w14:textId="77777777" w:rsidR="003E1D81" w:rsidRDefault="003E1D81">
    <w:pPr>
      <w:pStyle w:val="FooterLandscape"/>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07F61" w14:textId="77777777" w:rsidR="003E1D81" w:rsidRDefault="003E1D81">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413232"/>
      <w:docPartObj>
        <w:docPartGallery w:val="Page Numbers (Bottom of Page)"/>
        <w:docPartUnique/>
      </w:docPartObj>
    </w:sdtPr>
    <w:sdtEndPr>
      <w:rPr>
        <w:noProof/>
      </w:rPr>
    </w:sdtEndPr>
    <w:sdtContent>
      <w:p w14:paraId="6C386728" w14:textId="77777777" w:rsidR="003E1D81" w:rsidRDefault="00EB481C">
        <w:pPr>
          <w:pStyle w:val="Footer"/>
          <w:jc w:val="center"/>
        </w:pPr>
        <w:r>
          <w:fldChar w:fldCharType="begin"/>
        </w:r>
        <w:r>
          <w:instrText xml:space="preserve"> PAGE   \* MERGEFORMAT </w:instrText>
        </w:r>
        <w:r>
          <w:fldChar w:fldCharType="separate"/>
        </w:r>
        <w:r>
          <w:t>233</w:t>
        </w:r>
        <w:r>
          <w:fldChar w:fldCharType="end"/>
        </w:r>
      </w:p>
    </w:sdtContent>
  </w:sdt>
  <w:p w14:paraId="4ADA49AA" w14:textId="77777777" w:rsidR="003E1D81" w:rsidRDefault="003E1D81">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ED0D2" w14:textId="77777777" w:rsidR="003E1D81" w:rsidRDefault="003E1D81">
    <w:pPr>
      <w:pStyle w:val="FooterLandscape"/>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B1C56" w14:textId="77777777" w:rsidR="003E1D81" w:rsidRDefault="003E1D81">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52350"/>
      <w:docPartObj>
        <w:docPartGallery w:val="Page Numbers (Bottom of Page)"/>
        <w:docPartUnique/>
      </w:docPartObj>
    </w:sdtPr>
    <w:sdtEndPr>
      <w:rPr>
        <w:noProof/>
      </w:rPr>
    </w:sdtEndPr>
    <w:sdtContent>
      <w:p w14:paraId="7AA5EE2E" w14:textId="6F7DC959" w:rsidR="003E1D81" w:rsidRDefault="00EB481C">
        <w:pPr>
          <w:pStyle w:val="Footer"/>
          <w:jc w:val="center"/>
        </w:pPr>
        <w:r>
          <w:fldChar w:fldCharType="begin"/>
        </w:r>
        <w:r>
          <w:instrText xml:space="preserve"> PAGE   \* MERGEFORMAT </w:instrText>
        </w:r>
        <w:r>
          <w:fldChar w:fldCharType="separate"/>
        </w:r>
        <w:r>
          <w:t>239</w:t>
        </w:r>
        <w:r>
          <w:fldChar w:fldCharType="end"/>
        </w:r>
      </w:p>
    </w:sdtContent>
  </w:sdt>
  <w:p w14:paraId="40958AD1" w14:textId="77777777" w:rsidR="003E1D81" w:rsidRDefault="003E1D81">
    <w:pPr>
      <w:pStyle w:val="FooterLandscape"/>
      <w:rPr>
        <w:b/>
        <w:sz w:val="20"/>
      </w:rPr>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C6877" w14:textId="77777777" w:rsidR="003E1D81" w:rsidRDefault="003E1D81">
    <w:pPr>
      <w:pStyle w:val="FooterLandscape"/>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FA9CE" w14:textId="77777777" w:rsidR="003E1D81" w:rsidRDefault="003E1D81">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9A40F" w14:textId="77777777" w:rsidR="003E1D81" w:rsidRDefault="003E1D81">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242924"/>
      <w:docPartObj>
        <w:docPartGallery w:val="Page Numbers (Bottom of Page)"/>
        <w:docPartUnique/>
      </w:docPartObj>
    </w:sdtPr>
    <w:sdtEndPr>
      <w:rPr>
        <w:noProof/>
      </w:rPr>
    </w:sdtEndPr>
    <w:sdtContent>
      <w:p w14:paraId="3F003FA4" w14:textId="47A253D1" w:rsidR="003E1D81" w:rsidRDefault="00EB481C">
        <w:pPr>
          <w:pStyle w:val="Footer"/>
          <w:jc w:val="center"/>
        </w:pPr>
        <w:r>
          <w:fldChar w:fldCharType="begin"/>
        </w:r>
        <w:r>
          <w:instrText xml:space="preserve"> PAGE   \* MERGEFORMAT </w:instrText>
        </w:r>
        <w:r>
          <w:fldChar w:fldCharType="separate"/>
        </w:r>
        <w:r>
          <w:t>241</w:t>
        </w:r>
        <w:r>
          <w:fldChar w:fldCharType="end"/>
        </w:r>
      </w:p>
    </w:sdtContent>
  </w:sdt>
  <w:p w14:paraId="56BE887B" w14:textId="5958CEBE" w:rsidR="003E1D81" w:rsidRDefault="003E1D81">
    <w:pPr>
      <w:pStyle w:val="FooterLandscape"/>
      <w:ind w:left="0"/>
      <w:rPr>
        <w:b/>
        <w:sz w:val="20"/>
      </w:rPr>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90FAC" w14:textId="77777777" w:rsidR="003E1D81" w:rsidRDefault="003E1D81">
    <w:pPr>
      <w:pStyle w:val="FooterLandscape"/>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1C07F" w14:textId="77777777" w:rsidR="003E1D81" w:rsidRDefault="003E1D81">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237091"/>
      <w:docPartObj>
        <w:docPartGallery w:val="Page Numbers (Bottom of Page)"/>
        <w:docPartUnique/>
      </w:docPartObj>
    </w:sdtPr>
    <w:sdtEndPr>
      <w:rPr>
        <w:noProof/>
      </w:rPr>
    </w:sdtEndPr>
    <w:sdtContent>
      <w:p w14:paraId="3DB7F316" w14:textId="397655C3" w:rsidR="003E1D81" w:rsidRDefault="00EB481C">
        <w:pPr>
          <w:pStyle w:val="Footer"/>
          <w:jc w:val="center"/>
        </w:pPr>
        <w:r>
          <w:fldChar w:fldCharType="begin"/>
        </w:r>
        <w:r>
          <w:instrText xml:space="preserve"> PAGE   \* MERGEFORMAT </w:instrText>
        </w:r>
        <w:r>
          <w:fldChar w:fldCharType="separate"/>
        </w:r>
        <w:r>
          <w:t>243</w:t>
        </w:r>
        <w:r>
          <w:fldChar w:fldCharType="end"/>
        </w:r>
      </w:p>
    </w:sdtContent>
  </w:sdt>
  <w:p w14:paraId="52914C29" w14:textId="71BF6644" w:rsidR="003E1D81" w:rsidRDefault="003E1D81">
    <w:pPr>
      <w:pStyle w:val="Footer"/>
      <w:ind w:left="0"/>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B5C6D" w14:textId="77777777" w:rsidR="003E1D81" w:rsidRDefault="003E1D81">
    <w:pPr>
      <w:pStyle w:val="FooterLandscape"/>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9C0E6" w14:textId="77777777" w:rsidR="003E1D81" w:rsidRDefault="003E1D81">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797202"/>
      <w:docPartObj>
        <w:docPartGallery w:val="Page Numbers (Bottom of Page)"/>
        <w:docPartUnique/>
      </w:docPartObj>
    </w:sdtPr>
    <w:sdtEndPr>
      <w:rPr>
        <w:noProof/>
      </w:rPr>
    </w:sdtEndPr>
    <w:sdtContent>
      <w:p w14:paraId="3DCE9158" w14:textId="0BC4F5B5" w:rsidR="003E1D81" w:rsidRDefault="00EB481C">
        <w:pPr>
          <w:pStyle w:val="Footer"/>
          <w:jc w:val="center"/>
        </w:pPr>
        <w:r>
          <w:fldChar w:fldCharType="begin"/>
        </w:r>
        <w:r>
          <w:instrText xml:space="preserve"> PAGE   \* MERGEFORMAT </w:instrText>
        </w:r>
        <w:r>
          <w:fldChar w:fldCharType="separate"/>
        </w:r>
        <w:r>
          <w:t>246</w:t>
        </w:r>
        <w:r>
          <w:fldChar w:fldCharType="end"/>
        </w:r>
      </w:p>
    </w:sdtContent>
  </w:sdt>
  <w:p w14:paraId="4F6F49C5" w14:textId="4C04849E" w:rsidR="003E1D81" w:rsidRDefault="003E1D81">
    <w:pPr>
      <w:pStyle w:val="Footer"/>
      <w:ind w:left="0"/>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61E77" w14:textId="77777777" w:rsidR="003E1D81" w:rsidRDefault="003E1D81">
    <w:pPr>
      <w:pStyle w:val="FooterLandscape"/>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4D40" w14:textId="77777777" w:rsidR="003E1D81" w:rsidRDefault="003E1D8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866895"/>
      <w:docPartObj>
        <w:docPartGallery w:val="Page Numbers (Bottom of Page)"/>
        <w:docPartUnique/>
      </w:docPartObj>
    </w:sdtPr>
    <w:sdtEndPr>
      <w:rPr>
        <w:noProof/>
      </w:rPr>
    </w:sdtEndPr>
    <w:sdtContent>
      <w:p w14:paraId="2FE190ED" w14:textId="38C412C0" w:rsidR="003E1D81" w:rsidRDefault="00EB481C">
        <w:pPr>
          <w:pStyle w:val="P68B1DB1-Footer49"/>
          <w:jc w:val="center"/>
        </w:pPr>
        <w:r>
          <w:fldChar w:fldCharType="begin"/>
        </w:r>
        <w:r>
          <w:instrText xml:space="preserve"> PAGE   \* MERGEFORMAT </w:instrText>
        </w:r>
        <w:r>
          <w:fldChar w:fldCharType="separate"/>
        </w:r>
        <w:r w:rsidR="00263057">
          <w:rPr>
            <w:noProof/>
          </w:rPr>
          <w:t>24</w:t>
        </w:r>
        <w:r>
          <w:fldChar w:fldCharType="end"/>
        </w:r>
      </w:p>
    </w:sdtContent>
  </w:sdt>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86432"/>
      <w:docPartObj>
        <w:docPartGallery w:val="Page Numbers (Bottom of Page)"/>
        <w:docPartUnique/>
      </w:docPartObj>
    </w:sdtPr>
    <w:sdtEndPr>
      <w:rPr>
        <w:noProof/>
      </w:rPr>
    </w:sdtEndPr>
    <w:sdtContent>
      <w:p w14:paraId="1A8C6B19" w14:textId="1E12C865" w:rsidR="003E1D81" w:rsidRDefault="00EB481C">
        <w:pPr>
          <w:pStyle w:val="Footer"/>
          <w:jc w:val="center"/>
        </w:pPr>
        <w:r>
          <w:fldChar w:fldCharType="begin"/>
        </w:r>
        <w:r>
          <w:instrText xml:space="preserve"> PAGE   \* MERGEFORMAT </w:instrText>
        </w:r>
        <w:r>
          <w:fldChar w:fldCharType="separate"/>
        </w:r>
        <w:r>
          <w:t>248</w:t>
        </w:r>
        <w:r>
          <w:fldChar w:fldCharType="end"/>
        </w:r>
      </w:p>
    </w:sdtContent>
  </w:sdt>
  <w:p w14:paraId="133A571A" w14:textId="67C7C894" w:rsidR="003E1D81" w:rsidRDefault="003E1D81">
    <w:pPr>
      <w:pStyle w:val="Footer"/>
      <w:tabs>
        <w:tab w:val="clear" w:pos="4535"/>
        <w:tab w:val="center" w:pos="4536"/>
        <w:tab w:val="left" w:pos="6620"/>
      </w:tabs>
      <w:ind w:left="0"/>
      <w:rPr>
        <w:sz w:val="20"/>
      </w:rPr>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190BA" w14:textId="77777777" w:rsidR="003E1D81" w:rsidRDefault="003E1D81">
    <w:pPr>
      <w:pStyle w:val="FooterLandscape"/>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73FF4" w14:textId="77777777" w:rsidR="003E1D81" w:rsidRDefault="003E1D81">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2363749"/>
      <w:docPartObj>
        <w:docPartGallery w:val="Page Numbers (Bottom of Page)"/>
        <w:docPartUnique/>
      </w:docPartObj>
    </w:sdtPr>
    <w:sdtEndPr>
      <w:rPr>
        <w:noProof/>
      </w:rPr>
    </w:sdtEndPr>
    <w:sdtContent>
      <w:p w14:paraId="56FDE200" w14:textId="519E818A" w:rsidR="003E1D81" w:rsidRDefault="00EB481C">
        <w:pPr>
          <w:pStyle w:val="Footer"/>
          <w:jc w:val="center"/>
        </w:pPr>
        <w:r>
          <w:fldChar w:fldCharType="begin"/>
        </w:r>
        <w:r>
          <w:instrText xml:space="preserve"> PAGE   \* MERGEFORMAT </w:instrText>
        </w:r>
        <w:r>
          <w:fldChar w:fldCharType="separate"/>
        </w:r>
        <w:r>
          <w:t>259</w:t>
        </w:r>
        <w:r>
          <w:fldChar w:fldCharType="end"/>
        </w:r>
      </w:p>
    </w:sdtContent>
  </w:sdt>
  <w:p w14:paraId="375DCF8C" w14:textId="0835EC02" w:rsidR="003E1D81" w:rsidRDefault="003E1D81">
    <w:pPr>
      <w:pStyle w:val="Footer"/>
      <w:ind w:left="0"/>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C6442" w14:textId="77777777" w:rsidR="003E1D81" w:rsidRDefault="003E1D81">
    <w:pPr>
      <w:pStyle w:val="FooterLandscape"/>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B62F" w14:textId="77777777" w:rsidR="003E1D81" w:rsidRDefault="003E1D81">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2212706"/>
      <w:docPartObj>
        <w:docPartGallery w:val="Page Numbers (Bottom of Page)"/>
        <w:docPartUnique/>
      </w:docPartObj>
    </w:sdtPr>
    <w:sdtEndPr>
      <w:rPr>
        <w:noProof/>
      </w:rPr>
    </w:sdtEndPr>
    <w:sdtContent>
      <w:p w14:paraId="219BAF74" w14:textId="48DC6379" w:rsidR="003E1D81" w:rsidRDefault="00EB481C">
        <w:pPr>
          <w:pStyle w:val="Footer"/>
          <w:jc w:val="center"/>
        </w:pPr>
        <w:r>
          <w:fldChar w:fldCharType="begin"/>
        </w:r>
        <w:r>
          <w:instrText xml:space="preserve"> PAGE   \* MERGEFORMAT </w:instrText>
        </w:r>
        <w:r>
          <w:fldChar w:fldCharType="separate"/>
        </w:r>
        <w:r>
          <w:t>267</w:t>
        </w:r>
        <w:r>
          <w:fldChar w:fldCharType="end"/>
        </w:r>
      </w:p>
    </w:sdtContent>
  </w:sdt>
  <w:p w14:paraId="5A510734" w14:textId="612FE9BA" w:rsidR="003E1D81" w:rsidRDefault="003E1D81">
    <w:pPr>
      <w:pStyle w:val="Footer"/>
      <w:tabs>
        <w:tab w:val="left" w:pos="5520"/>
      </w:tabs>
      <w:ind w:left="0"/>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095A6" w14:textId="77777777" w:rsidR="003E1D81" w:rsidRDefault="003E1D81">
    <w:pPr>
      <w:pStyle w:val="FooterLandscape"/>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1F4CC" w14:textId="77777777" w:rsidR="003E1D81" w:rsidRDefault="003E1D81">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445163"/>
      <w:docPartObj>
        <w:docPartGallery w:val="Page Numbers (Bottom of Page)"/>
        <w:docPartUnique/>
      </w:docPartObj>
    </w:sdtPr>
    <w:sdtEndPr>
      <w:rPr>
        <w:noProof/>
      </w:rPr>
    </w:sdtEndPr>
    <w:sdtContent>
      <w:p w14:paraId="0AAFA280" w14:textId="711EB63D" w:rsidR="003E1D81" w:rsidRDefault="00EB481C">
        <w:pPr>
          <w:pStyle w:val="Footer"/>
          <w:jc w:val="center"/>
        </w:pPr>
        <w:r>
          <w:fldChar w:fldCharType="begin"/>
        </w:r>
        <w:r>
          <w:instrText xml:space="preserve"> PAGE   \* MERGEFORMAT </w:instrText>
        </w:r>
        <w:r>
          <w:fldChar w:fldCharType="separate"/>
        </w:r>
        <w:r>
          <w:t>269</w:t>
        </w:r>
        <w:r>
          <w:fldChar w:fldCharType="end"/>
        </w:r>
      </w:p>
    </w:sdtContent>
  </w:sdt>
  <w:p w14:paraId="0D4121BF" w14:textId="43B1A1E0" w:rsidR="003E1D81" w:rsidRDefault="003E1D8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105A4" w14:textId="77777777" w:rsidR="003E1D81" w:rsidRDefault="003E1D81">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46611" w14:textId="77777777" w:rsidR="003E1D81" w:rsidRDefault="003E1D81">
    <w:pPr>
      <w:pStyle w:val="FooterLandscape"/>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D78C4" w14:textId="77777777" w:rsidR="003E1D81" w:rsidRDefault="003E1D81">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28930"/>
      <w:docPartObj>
        <w:docPartGallery w:val="Page Numbers (Bottom of Page)"/>
        <w:docPartUnique/>
      </w:docPartObj>
    </w:sdtPr>
    <w:sdtEndPr>
      <w:rPr>
        <w:noProof/>
      </w:rPr>
    </w:sdtEndPr>
    <w:sdtContent>
      <w:p w14:paraId="021C4B02" w14:textId="49E0F8B7" w:rsidR="003E1D81" w:rsidRDefault="00EB481C">
        <w:pPr>
          <w:pStyle w:val="Footer"/>
          <w:jc w:val="center"/>
        </w:pPr>
        <w:r>
          <w:fldChar w:fldCharType="begin"/>
        </w:r>
        <w:r>
          <w:instrText xml:space="preserve"> PAGE   \* MERGEFORMAT </w:instrText>
        </w:r>
        <w:r>
          <w:fldChar w:fldCharType="separate"/>
        </w:r>
        <w:r>
          <w:t>271</w:t>
        </w:r>
        <w:r>
          <w:fldChar w:fldCharType="end"/>
        </w:r>
      </w:p>
    </w:sdtContent>
  </w:sdt>
  <w:p w14:paraId="383A62CE" w14:textId="60F64F2F" w:rsidR="003E1D81" w:rsidRDefault="003E1D81">
    <w:pPr>
      <w:pStyle w:val="Footer"/>
      <w:ind w:left="0"/>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1FB52" w14:textId="77777777" w:rsidR="003E1D81" w:rsidRDefault="003E1D81">
    <w:pPr>
      <w:pStyle w:val="FooterLandscape"/>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2765" w14:textId="77777777" w:rsidR="003E1D81" w:rsidRDefault="003E1D81">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975874"/>
      <w:docPartObj>
        <w:docPartGallery w:val="Page Numbers (Bottom of Page)"/>
        <w:docPartUnique/>
      </w:docPartObj>
    </w:sdtPr>
    <w:sdtEndPr>
      <w:rPr>
        <w:noProof/>
      </w:rPr>
    </w:sdtEndPr>
    <w:sdtContent>
      <w:p w14:paraId="5016570B" w14:textId="56B26390" w:rsidR="003E1D81" w:rsidRDefault="00EB481C">
        <w:pPr>
          <w:pStyle w:val="Footer"/>
          <w:jc w:val="center"/>
        </w:pPr>
        <w:r>
          <w:fldChar w:fldCharType="begin"/>
        </w:r>
        <w:r>
          <w:instrText xml:space="preserve"> PAGE   \* MERGEFORMAT </w:instrText>
        </w:r>
        <w:r>
          <w:fldChar w:fldCharType="separate"/>
        </w:r>
        <w:r>
          <w:t>277</w:t>
        </w:r>
        <w:r>
          <w:fldChar w:fldCharType="end"/>
        </w:r>
      </w:p>
    </w:sdtContent>
  </w:sdt>
  <w:p w14:paraId="0E2DC08A" w14:textId="25873C05" w:rsidR="003E1D81" w:rsidRDefault="003E1D81">
    <w:pPr>
      <w:pStyle w:val="FooterLandscape"/>
      <w:ind w:left="0"/>
      <w:rPr>
        <w:rFonts w:ascii="Arial" w:hAnsi="Arial" w:cs="Arial"/>
        <w:b/>
        <w:sz w:val="20"/>
      </w:rPr>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76B0" w14:textId="77777777" w:rsidR="003E1D81" w:rsidRDefault="003E1D81">
    <w:pPr>
      <w:pStyle w:val="FooterLandscape"/>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DF2F2" w14:textId="77777777" w:rsidR="003E1D81" w:rsidRDefault="003E1D81">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471838"/>
      <w:docPartObj>
        <w:docPartGallery w:val="Page Numbers (Bottom of Page)"/>
        <w:docPartUnique/>
      </w:docPartObj>
    </w:sdtPr>
    <w:sdtEndPr>
      <w:rPr>
        <w:noProof/>
      </w:rPr>
    </w:sdtEndPr>
    <w:sdtContent>
      <w:p w14:paraId="7EF688D6" w14:textId="14A27869" w:rsidR="003E1D81" w:rsidRDefault="00EB481C">
        <w:pPr>
          <w:pStyle w:val="Footer"/>
          <w:jc w:val="center"/>
        </w:pPr>
        <w:r>
          <w:fldChar w:fldCharType="begin"/>
        </w:r>
        <w:r>
          <w:instrText xml:space="preserve"> PAGE   \* MERGEFORMAT </w:instrText>
        </w:r>
        <w:r>
          <w:fldChar w:fldCharType="separate"/>
        </w:r>
        <w:r>
          <w:t>283</w:t>
        </w:r>
        <w:r>
          <w:fldChar w:fldCharType="end"/>
        </w:r>
      </w:p>
    </w:sdtContent>
  </w:sdt>
  <w:p w14:paraId="4EEB7122" w14:textId="422BA087" w:rsidR="003E1D81" w:rsidRDefault="003E1D81">
    <w:pPr>
      <w:pStyle w:val="Footer"/>
      <w:tabs>
        <w:tab w:val="clear" w:pos="4535"/>
        <w:tab w:val="center" w:pos="4536"/>
        <w:tab w:val="left" w:pos="5140"/>
      </w:tabs>
      <w:ind w:left="0"/>
      <w:rPr>
        <w:sz w:val="20"/>
      </w:rPr>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FF446" w14:textId="77777777" w:rsidR="003E1D81" w:rsidRDefault="003E1D81">
    <w:pPr>
      <w:pStyle w:val="FooterLandscape"/>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E7378" w14:textId="77777777" w:rsidR="003E1D81" w:rsidRDefault="003E1D81">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A8A93" w14:textId="77777777" w:rsidR="003E1D81" w:rsidRDefault="003E1D81">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344272"/>
      <w:docPartObj>
        <w:docPartGallery w:val="Page Numbers (Bottom of Page)"/>
        <w:docPartUnique/>
      </w:docPartObj>
    </w:sdtPr>
    <w:sdtEndPr>
      <w:rPr>
        <w:noProof/>
      </w:rPr>
    </w:sdtEndPr>
    <w:sdtContent>
      <w:p w14:paraId="2FD345BF" w14:textId="37F2199B" w:rsidR="003E1D81" w:rsidRDefault="00EB481C">
        <w:pPr>
          <w:pStyle w:val="Footer"/>
          <w:jc w:val="center"/>
        </w:pPr>
        <w:r>
          <w:fldChar w:fldCharType="begin"/>
        </w:r>
        <w:r>
          <w:instrText xml:space="preserve"> PAGE   \* MERGEFORMAT </w:instrText>
        </w:r>
        <w:r>
          <w:fldChar w:fldCharType="separate"/>
        </w:r>
        <w:r>
          <w:t>285</w:t>
        </w:r>
        <w:r>
          <w:fldChar w:fldCharType="end"/>
        </w:r>
      </w:p>
    </w:sdtContent>
  </w:sdt>
  <w:p w14:paraId="2C897EF3" w14:textId="10A89E72" w:rsidR="003E1D81" w:rsidRDefault="003E1D81">
    <w:pPr>
      <w:pStyle w:val="FooterLandscape"/>
      <w:ind w:left="0"/>
      <w:rPr>
        <w:rFonts w:ascii="Arial" w:hAnsi="Arial" w:cs="Arial"/>
        <w:b/>
        <w:sz w:val="20"/>
      </w:rPr>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D139B" w14:textId="77777777" w:rsidR="003E1D81" w:rsidRDefault="003E1D81">
    <w:pPr>
      <w:pStyle w:val="FooterLandscape"/>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9597E" w14:textId="77777777" w:rsidR="003E1D81" w:rsidRDefault="003E1D81">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426243"/>
      <w:docPartObj>
        <w:docPartGallery w:val="Page Numbers (Bottom of Page)"/>
        <w:docPartUnique/>
      </w:docPartObj>
    </w:sdtPr>
    <w:sdtEndPr>
      <w:rPr>
        <w:noProof/>
      </w:rPr>
    </w:sdtEndPr>
    <w:sdtContent>
      <w:p w14:paraId="13678546" w14:textId="5DCD1165" w:rsidR="003E1D81" w:rsidRDefault="00EB481C">
        <w:pPr>
          <w:pStyle w:val="Footer"/>
          <w:jc w:val="center"/>
        </w:pPr>
        <w:r>
          <w:fldChar w:fldCharType="begin"/>
        </w:r>
        <w:r>
          <w:instrText xml:space="preserve"> PAGE   \* MERGEFORMAT </w:instrText>
        </w:r>
        <w:r>
          <w:fldChar w:fldCharType="separate"/>
        </w:r>
        <w:r>
          <w:t>287</w:t>
        </w:r>
        <w:r>
          <w:fldChar w:fldCharType="end"/>
        </w:r>
      </w:p>
    </w:sdtContent>
  </w:sdt>
  <w:p w14:paraId="0AED6F10" w14:textId="10361349" w:rsidR="003E1D81" w:rsidRDefault="003E1D81">
    <w:pPr>
      <w:pStyle w:val="Footer"/>
      <w:ind w:left="0"/>
      <w:rPr>
        <w:sz w:val="20"/>
      </w:rPr>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57540" w14:textId="77777777" w:rsidR="003E1D81" w:rsidRDefault="003E1D81">
    <w:pPr>
      <w:pStyle w:val="FooterLandscape"/>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E1EA9" w14:textId="77777777" w:rsidR="003E1D81" w:rsidRDefault="003E1D81">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018168"/>
      <w:docPartObj>
        <w:docPartGallery w:val="Page Numbers (Bottom of Page)"/>
        <w:docPartUnique/>
      </w:docPartObj>
    </w:sdtPr>
    <w:sdtEndPr>
      <w:rPr>
        <w:noProof/>
      </w:rPr>
    </w:sdtEndPr>
    <w:sdtContent>
      <w:p w14:paraId="43968FFC" w14:textId="1F21317A" w:rsidR="003E1D81" w:rsidRDefault="00EB481C">
        <w:pPr>
          <w:pStyle w:val="Footer"/>
          <w:jc w:val="center"/>
        </w:pPr>
        <w:r>
          <w:fldChar w:fldCharType="begin"/>
        </w:r>
        <w:r>
          <w:instrText xml:space="preserve"> PAGE   \* MERGEFORMAT </w:instrText>
        </w:r>
        <w:r>
          <w:fldChar w:fldCharType="separate"/>
        </w:r>
        <w:r>
          <w:t>291</w:t>
        </w:r>
        <w:r>
          <w:fldChar w:fldCharType="end"/>
        </w:r>
      </w:p>
    </w:sdtContent>
  </w:sdt>
  <w:p w14:paraId="3A9E4DCE" w14:textId="0FDB0F39" w:rsidR="003E1D81" w:rsidRDefault="003E1D81">
    <w:pPr>
      <w:pStyle w:val="Footer"/>
      <w:ind w:left="0"/>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85649" w14:textId="77777777" w:rsidR="003E1D81" w:rsidRDefault="003E1D81">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F1EBC" w14:textId="77777777" w:rsidR="003E1D81" w:rsidRDefault="003E1D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39AE" w14:textId="6BE4C68E" w:rsidR="00E5612A" w:rsidRPr="00EB481C" w:rsidRDefault="00EB481C" w:rsidP="00EB481C">
    <w:pPr>
      <w:pStyle w:val="FooterCoverPage"/>
      <w:rPr>
        <w:rFonts w:ascii="Arial" w:hAnsi="Arial" w:cs="Arial"/>
        <w:b/>
        <w:sz w:val="48"/>
      </w:rPr>
    </w:pPr>
    <w:r w:rsidRPr="00EB481C">
      <w:rPr>
        <w:rFonts w:ascii="Arial" w:hAnsi="Arial" w:cs="Arial"/>
        <w:b/>
        <w:sz w:val="48"/>
      </w:rPr>
      <w:t>HU</w:t>
    </w:r>
    <w:r w:rsidRPr="00EB481C">
      <w:rPr>
        <w:rFonts w:ascii="Arial" w:hAnsi="Arial" w:cs="Arial"/>
        <w:b/>
        <w:sz w:val="48"/>
      </w:rPr>
      <w:tab/>
    </w:r>
    <w:r w:rsidRPr="00EB481C">
      <w:rPr>
        <w:rFonts w:ascii="Arial" w:hAnsi="Arial" w:cs="Arial"/>
        <w:b/>
        <w:sz w:val="48"/>
      </w:rPr>
      <w:tab/>
    </w:r>
    <w:r w:rsidRPr="00EB481C">
      <w:tab/>
    </w:r>
    <w:r w:rsidRPr="00EB481C">
      <w:rPr>
        <w:rFonts w:ascii="Arial" w:hAnsi="Arial" w:cs="Arial"/>
        <w:b/>
        <w:sz w:val="48"/>
      </w:rPr>
      <w:t>HU</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693896"/>
      <w:docPartObj>
        <w:docPartGallery w:val="Page Numbers (Bottom of Page)"/>
        <w:docPartUnique/>
      </w:docPartObj>
    </w:sdtPr>
    <w:sdtEndPr>
      <w:rPr>
        <w:noProof/>
      </w:rPr>
    </w:sdtEndPr>
    <w:sdtContent>
      <w:p w14:paraId="1C4AC2EA" w14:textId="19EC5CB6" w:rsidR="003E1D81" w:rsidRDefault="00EB481C">
        <w:pPr>
          <w:pStyle w:val="P68B1DB1-Footer49"/>
          <w:jc w:val="center"/>
        </w:pPr>
        <w:r>
          <w:fldChar w:fldCharType="begin"/>
        </w:r>
        <w:r>
          <w:instrText xml:space="preserve"> PAGE   \* MERGEFORMAT </w:instrText>
        </w:r>
        <w:r>
          <w:fldChar w:fldCharType="separate"/>
        </w:r>
        <w:r w:rsidR="00263057">
          <w:rPr>
            <w:noProof/>
          </w:rPr>
          <w:t>26</w:t>
        </w:r>
        <w:r>
          <w:fldChar w:fldCharType="end"/>
        </w:r>
      </w:p>
    </w:sdtContent>
  </w:sdt>
  <w:p w14:paraId="635508F2" w14:textId="007CB464" w:rsidR="003E1D81" w:rsidRDefault="003E1D81">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812746"/>
      <w:docPartObj>
        <w:docPartGallery w:val="Page Numbers (Bottom of Page)"/>
        <w:docPartUnique/>
      </w:docPartObj>
    </w:sdtPr>
    <w:sdtEndPr>
      <w:rPr>
        <w:noProof/>
      </w:rPr>
    </w:sdtEndPr>
    <w:sdtContent>
      <w:p w14:paraId="246B10B0" w14:textId="5773CA5E" w:rsidR="003E1D81" w:rsidRDefault="00EB481C">
        <w:pPr>
          <w:pStyle w:val="Footer"/>
          <w:jc w:val="center"/>
        </w:pPr>
        <w:r>
          <w:fldChar w:fldCharType="begin"/>
        </w:r>
        <w:r>
          <w:instrText xml:space="preserve"> PAGE   \* MERGEFORMAT </w:instrText>
        </w:r>
        <w:r>
          <w:fldChar w:fldCharType="separate"/>
        </w:r>
        <w:r>
          <w:t>293</w:t>
        </w:r>
        <w:r>
          <w:fldChar w:fldCharType="end"/>
        </w:r>
      </w:p>
    </w:sdtContent>
  </w:sdt>
  <w:p w14:paraId="0787A5F8" w14:textId="7E30CE04" w:rsidR="003E1D81" w:rsidRDefault="003E1D81">
    <w:pPr>
      <w:pStyle w:val="Footer"/>
      <w:ind w:left="0"/>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33C38" w14:textId="77777777" w:rsidR="003E1D81" w:rsidRDefault="003E1D81">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35747" w14:textId="77777777" w:rsidR="003E1D81" w:rsidRDefault="003E1D81">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01096"/>
      <w:docPartObj>
        <w:docPartGallery w:val="Page Numbers (Bottom of Page)"/>
        <w:docPartUnique/>
      </w:docPartObj>
    </w:sdtPr>
    <w:sdtEndPr>
      <w:rPr>
        <w:noProof/>
      </w:rPr>
    </w:sdtEndPr>
    <w:sdtContent>
      <w:p w14:paraId="76602E52" w14:textId="10276912" w:rsidR="003E1D81" w:rsidRDefault="00EB481C">
        <w:pPr>
          <w:pStyle w:val="Footer"/>
          <w:jc w:val="center"/>
        </w:pPr>
        <w:r>
          <w:fldChar w:fldCharType="begin"/>
        </w:r>
        <w:r>
          <w:instrText xml:space="preserve"> PAGE   \* MERGEFORMAT </w:instrText>
        </w:r>
        <w:r>
          <w:fldChar w:fldCharType="separate"/>
        </w:r>
        <w:r>
          <w:t>299</w:t>
        </w:r>
        <w:r>
          <w:fldChar w:fldCharType="end"/>
        </w:r>
      </w:p>
    </w:sdtContent>
  </w:sdt>
  <w:p w14:paraId="3C3ECB68" w14:textId="3367D77B" w:rsidR="003E1D81" w:rsidRDefault="003E1D81">
    <w:pPr>
      <w:pStyle w:val="FooterLandscape"/>
      <w:ind w:left="0"/>
      <w:rPr>
        <w:rFonts w:ascii="Arial" w:hAnsi="Arial" w:cs="Arial"/>
        <w:b/>
        <w:sz w:val="20"/>
      </w:rPr>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2BD21" w14:textId="77777777" w:rsidR="003E1D81" w:rsidRDefault="003E1D81">
    <w:pPr>
      <w:pStyle w:val="FooterLandscape"/>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075BA" w14:textId="77777777" w:rsidR="003E1D81" w:rsidRDefault="003E1D81">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565105"/>
      <w:docPartObj>
        <w:docPartGallery w:val="Page Numbers (Bottom of Page)"/>
        <w:docPartUnique/>
      </w:docPartObj>
    </w:sdtPr>
    <w:sdtEndPr>
      <w:rPr>
        <w:noProof/>
      </w:rPr>
    </w:sdtEndPr>
    <w:sdtContent>
      <w:p w14:paraId="3E7BC28A" w14:textId="52F680C0" w:rsidR="003E1D81" w:rsidRDefault="00EB481C">
        <w:pPr>
          <w:pStyle w:val="Footer"/>
          <w:jc w:val="center"/>
        </w:pPr>
        <w:r>
          <w:fldChar w:fldCharType="begin"/>
        </w:r>
        <w:r>
          <w:instrText xml:space="preserve"> PAGE   \* MERGEFORMAT </w:instrText>
        </w:r>
        <w:r>
          <w:fldChar w:fldCharType="separate"/>
        </w:r>
        <w:r>
          <w:t>303</w:t>
        </w:r>
        <w:r>
          <w:fldChar w:fldCharType="end"/>
        </w:r>
      </w:p>
    </w:sdtContent>
  </w:sdt>
  <w:p w14:paraId="2DCC14F4" w14:textId="5C4C2731" w:rsidR="003E1D81" w:rsidRDefault="003E1D81">
    <w:pPr>
      <w:pStyle w:val="Footer"/>
      <w:ind w:left="0"/>
      <w:rPr>
        <w:sz w:val="20"/>
      </w:rPr>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0185A" w14:textId="77777777" w:rsidR="003E1D81" w:rsidRDefault="003E1D81">
    <w:pPr>
      <w:pStyle w:val="FooterLandscape"/>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D2E40" w14:textId="77777777" w:rsidR="003E1D81" w:rsidRDefault="003E1D81">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263641"/>
      <w:docPartObj>
        <w:docPartGallery w:val="Page Numbers (Bottom of Page)"/>
        <w:docPartUnique/>
      </w:docPartObj>
    </w:sdtPr>
    <w:sdtEndPr>
      <w:rPr>
        <w:noProof/>
      </w:rPr>
    </w:sdtEndPr>
    <w:sdtContent>
      <w:p w14:paraId="6366967E" w14:textId="55B61BD7" w:rsidR="003E1D81" w:rsidRDefault="00EB481C">
        <w:pPr>
          <w:pStyle w:val="Footer"/>
          <w:jc w:val="center"/>
        </w:pPr>
        <w:r>
          <w:fldChar w:fldCharType="begin"/>
        </w:r>
        <w:r>
          <w:instrText xml:space="preserve"> PAGE   \* MERGEFORMAT </w:instrText>
        </w:r>
        <w:r>
          <w:fldChar w:fldCharType="separate"/>
        </w:r>
        <w:r>
          <w:t>308</w:t>
        </w:r>
        <w:r>
          <w:fldChar w:fldCharType="end"/>
        </w:r>
      </w:p>
    </w:sdtContent>
  </w:sdt>
  <w:p w14:paraId="77D3AE4E" w14:textId="601D6989" w:rsidR="003E1D81" w:rsidRDefault="003E1D81">
    <w:pPr>
      <w:pStyle w:val="FooterLandscape"/>
      <w:ind w:left="0"/>
      <w:rPr>
        <w:rFonts w:ascii="Arial" w:hAnsi="Arial" w:cs="Arial"/>
        <w:b/>
        <w:sz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AA4D5" w14:textId="77777777" w:rsidR="003E1D81" w:rsidRDefault="003E1D81">
    <w:pPr>
      <w:pStyle w:val="FooterLandscape"/>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7FC68" w14:textId="77777777" w:rsidR="003E1D81" w:rsidRDefault="003E1D81">
    <w:pPr>
      <w:pStyle w:val="FooterLandscape"/>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A278A" w14:textId="77777777" w:rsidR="003E1D81" w:rsidRDefault="003E1D81">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092906"/>
      <w:docPartObj>
        <w:docPartGallery w:val="Page Numbers (Bottom of Page)"/>
        <w:docPartUnique/>
      </w:docPartObj>
    </w:sdtPr>
    <w:sdtEndPr>
      <w:rPr>
        <w:noProof/>
      </w:rPr>
    </w:sdtEndPr>
    <w:sdtContent>
      <w:p w14:paraId="0B57666B" w14:textId="4656FBFE" w:rsidR="003E1D81" w:rsidRDefault="00EB481C">
        <w:pPr>
          <w:pStyle w:val="Footer"/>
          <w:jc w:val="center"/>
        </w:pPr>
        <w:r>
          <w:fldChar w:fldCharType="begin"/>
        </w:r>
        <w:r>
          <w:instrText xml:space="preserve"> PAGE   \* MERGEFORMAT </w:instrText>
        </w:r>
        <w:r>
          <w:fldChar w:fldCharType="separate"/>
        </w:r>
        <w:r>
          <w:t>313</w:t>
        </w:r>
        <w:r>
          <w:fldChar w:fldCharType="end"/>
        </w:r>
      </w:p>
    </w:sdtContent>
  </w:sdt>
  <w:p w14:paraId="0310658A" w14:textId="62B41DD5" w:rsidR="003E1D81" w:rsidRDefault="003E1D81">
    <w:pPr>
      <w:pStyle w:val="Footer"/>
      <w:ind w:left="0"/>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F4E0D" w14:textId="77777777" w:rsidR="003E1D81" w:rsidRDefault="003E1D81">
    <w:pPr>
      <w:pStyle w:val="FooterLandscape"/>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68432" w14:textId="77777777" w:rsidR="003E1D81" w:rsidRDefault="003E1D81">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990138"/>
      <w:docPartObj>
        <w:docPartGallery w:val="Page Numbers (Bottom of Page)"/>
        <w:docPartUnique/>
      </w:docPartObj>
    </w:sdtPr>
    <w:sdtEndPr>
      <w:rPr>
        <w:noProof/>
      </w:rPr>
    </w:sdtEndPr>
    <w:sdtContent>
      <w:p w14:paraId="2707BC01" w14:textId="120E26E7" w:rsidR="003E1D81" w:rsidRDefault="00EB481C">
        <w:pPr>
          <w:pStyle w:val="Footer"/>
          <w:jc w:val="center"/>
        </w:pPr>
        <w:r>
          <w:fldChar w:fldCharType="begin"/>
        </w:r>
        <w:r>
          <w:instrText xml:space="preserve"> PAGE   \* MERGEFORMAT </w:instrText>
        </w:r>
        <w:r>
          <w:fldChar w:fldCharType="separate"/>
        </w:r>
        <w:r>
          <w:t>317</w:t>
        </w:r>
        <w:r>
          <w:fldChar w:fldCharType="end"/>
        </w:r>
      </w:p>
    </w:sdtContent>
  </w:sdt>
  <w:p w14:paraId="4B22FE2E" w14:textId="517ED67D" w:rsidR="003E1D81" w:rsidRDefault="003E1D81">
    <w:pPr>
      <w:pStyle w:val="Footer"/>
      <w:ind w:left="0"/>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5FC1" w14:textId="77777777" w:rsidR="003E1D81" w:rsidRDefault="003E1D81">
    <w:pPr>
      <w:pStyle w:val="FooterLandscape"/>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B2B40" w14:textId="77777777" w:rsidR="003E1D81" w:rsidRDefault="003E1D81">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3726630"/>
      <w:docPartObj>
        <w:docPartGallery w:val="Page Numbers (Bottom of Page)"/>
        <w:docPartUnique/>
      </w:docPartObj>
    </w:sdtPr>
    <w:sdtEndPr>
      <w:rPr>
        <w:noProof/>
      </w:rPr>
    </w:sdtEndPr>
    <w:sdtContent>
      <w:p w14:paraId="2A773330" w14:textId="43F72769" w:rsidR="003E1D81" w:rsidRDefault="00EB481C">
        <w:pPr>
          <w:pStyle w:val="Footer"/>
          <w:jc w:val="center"/>
        </w:pPr>
        <w:r>
          <w:fldChar w:fldCharType="begin"/>
        </w:r>
        <w:r>
          <w:instrText xml:space="preserve"> PAGE   \* MERGEFORMAT </w:instrText>
        </w:r>
        <w:r>
          <w:fldChar w:fldCharType="separate"/>
        </w:r>
        <w:r>
          <w:t>318</w:t>
        </w:r>
        <w:r>
          <w:fldChar w:fldCharType="end"/>
        </w:r>
      </w:p>
    </w:sdtContent>
  </w:sdt>
  <w:p w14:paraId="16721245" w14:textId="4F037817" w:rsidR="003E1D81" w:rsidRDefault="003E1D81">
    <w:pPr>
      <w:pStyle w:val="Footer"/>
      <w:tabs>
        <w:tab w:val="clear" w:pos="4535"/>
        <w:tab w:val="center" w:pos="4536"/>
        <w:tab w:val="left" w:pos="5580"/>
      </w:tabs>
      <w:ind w:left="0"/>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D5B64" w14:textId="77777777" w:rsidR="003E1D81" w:rsidRDefault="003E1D81">
    <w:pPr>
      <w:pStyle w:val="FooterLandscape"/>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F58D" w14:textId="77777777" w:rsidR="003E1D81" w:rsidRDefault="003E1D81">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90B33" w14:textId="77777777" w:rsidR="003E1D81" w:rsidRDefault="003E1D81">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846978"/>
      <w:docPartObj>
        <w:docPartGallery w:val="Page Numbers (Bottom of Page)"/>
        <w:docPartUnique/>
      </w:docPartObj>
    </w:sdtPr>
    <w:sdtEndPr>
      <w:rPr>
        <w:noProof/>
      </w:rPr>
    </w:sdtEndPr>
    <w:sdtContent>
      <w:p w14:paraId="11FE93EE" w14:textId="7BAFC986" w:rsidR="003E1D81" w:rsidRDefault="00EB481C">
        <w:pPr>
          <w:pStyle w:val="Footer"/>
          <w:jc w:val="center"/>
        </w:pPr>
        <w:r>
          <w:fldChar w:fldCharType="begin"/>
        </w:r>
        <w:r>
          <w:instrText xml:space="preserve"> PAGE   \* MERGEFORMAT </w:instrText>
        </w:r>
        <w:r>
          <w:fldChar w:fldCharType="separate"/>
        </w:r>
        <w:r>
          <w:t>327</w:t>
        </w:r>
        <w:r>
          <w:fldChar w:fldCharType="end"/>
        </w:r>
      </w:p>
    </w:sdtContent>
  </w:sdt>
  <w:p w14:paraId="682A4FBA" w14:textId="55AC7773" w:rsidR="003E1D81" w:rsidRDefault="003E1D81">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BE6AB" w14:textId="77777777" w:rsidR="003E1D81" w:rsidRDefault="003E1D81">
    <w:pPr>
      <w:pStyle w:val="FooterLandscape"/>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4CD9C" w14:textId="77777777" w:rsidR="003E1D81" w:rsidRDefault="003E1D81">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319686"/>
      <w:docPartObj>
        <w:docPartGallery w:val="Page Numbers (Bottom of Page)"/>
        <w:docPartUnique/>
      </w:docPartObj>
    </w:sdtPr>
    <w:sdtEndPr>
      <w:rPr>
        <w:noProof/>
      </w:rPr>
    </w:sdtEndPr>
    <w:sdtContent>
      <w:p w14:paraId="2B855221" w14:textId="671097A3" w:rsidR="003E1D81" w:rsidRDefault="00EB481C">
        <w:pPr>
          <w:pStyle w:val="Footer"/>
          <w:jc w:val="center"/>
        </w:pPr>
        <w:r>
          <w:fldChar w:fldCharType="begin"/>
        </w:r>
        <w:r>
          <w:instrText xml:space="preserve"> PAGE   \* MERGEFORMAT </w:instrText>
        </w:r>
        <w:r>
          <w:fldChar w:fldCharType="separate"/>
        </w:r>
        <w:r>
          <w:t>333</w:t>
        </w:r>
        <w:r>
          <w:fldChar w:fldCharType="end"/>
        </w:r>
      </w:p>
    </w:sdtContent>
  </w:sdt>
  <w:p w14:paraId="5824EF79" w14:textId="286E87CC" w:rsidR="003E1D81" w:rsidRDefault="003E1D81">
    <w:pPr>
      <w:pStyle w:val="Footer"/>
      <w:ind w:left="0"/>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F24CB" w14:textId="77777777" w:rsidR="003E1D81" w:rsidRDefault="003E1D81">
    <w:pPr>
      <w:pStyle w:val="FooterLandscape"/>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C55F2" w14:textId="77777777" w:rsidR="003E1D81" w:rsidRDefault="003E1D81">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900454"/>
      <w:docPartObj>
        <w:docPartGallery w:val="Page Numbers (Bottom of Page)"/>
        <w:docPartUnique/>
      </w:docPartObj>
    </w:sdtPr>
    <w:sdtEndPr>
      <w:rPr>
        <w:noProof/>
      </w:rPr>
    </w:sdtEndPr>
    <w:sdtContent>
      <w:p w14:paraId="4FC8241F" w14:textId="02962880" w:rsidR="003E1D81" w:rsidRDefault="00EB481C">
        <w:pPr>
          <w:pStyle w:val="Footer"/>
          <w:jc w:val="center"/>
        </w:pPr>
        <w:r>
          <w:fldChar w:fldCharType="begin"/>
        </w:r>
        <w:r>
          <w:instrText xml:space="preserve"> PAGE   \* MERGEFORMAT </w:instrText>
        </w:r>
        <w:r>
          <w:fldChar w:fldCharType="separate"/>
        </w:r>
        <w:r>
          <w:t>338</w:t>
        </w:r>
        <w:r>
          <w:fldChar w:fldCharType="end"/>
        </w:r>
      </w:p>
    </w:sdtContent>
  </w:sdt>
  <w:p w14:paraId="3A9949BB" w14:textId="77777777" w:rsidR="003E1D81" w:rsidRDefault="003E1D81">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E10E" w14:textId="77777777" w:rsidR="003E1D81" w:rsidRDefault="003E1D81">
    <w:pPr>
      <w:pStyle w:val="FooterLandscape"/>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39D37" w14:textId="77777777" w:rsidR="003E1D81" w:rsidRDefault="003E1D8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758908"/>
      <w:docPartObj>
        <w:docPartGallery w:val="Page Numbers (Bottom of Page)"/>
        <w:docPartUnique/>
      </w:docPartObj>
    </w:sdtPr>
    <w:sdtEndPr>
      <w:rPr>
        <w:rFonts w:ascii="Times New Roman" w:hAnsi="Times New Roman" w:cs="Times New Roman"/>
        <w:noProof/>
      </w:rPr>
    </w:sdtEndPr>
    <w:sdtContent>
      <w:p w14:paraId="63B159F5" w14:textId="66C78741" w:rsidR="003E1D81" w:rsidRDefault="00EB481C">
        <w:pPr>
          <w:pStyle w:val="Footer"/>
          <w:jc w:val="center"/>
        </w:pPr>
        <w:r>
          <w:fldChar w:fldCharType="begin"/>
        </w:r>
        <w:r>
          <w:instrText xml:space="preserve"> PAGE   \* MERGEFORM</w:instrText>
        </w:r>
        <w:r>
          <w:instrText xml:space="preserve">AT </w:instrText>
        </w:r>
        <w:r>
          <w:fldChar w:fldCharType="separate"/>
        </w:r>
        <w:r>
          <w:t>31</w:t>
        </w:r>
        <w:r>
          <w:fldChar w:fldCharType="end"/>
        </w:r>
      </w:p>
    </w:sdtContent>
  </w:sdt>
  <w:p w14:paraId="76FA295A" w14:textId="4B2116A7" w:rsidR="003E1D81" w:rsidRDefault="003E1D81">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486692"/>
      <w:docPartObj>
        <w:docPartGallery w:val="Page Numbers (Bottom of Page)"/>
        <w:docPartUnique/>
      </w:docPartObj>
    </w:sdtPr>
    <w:sdtEndPr>
      <w:rPr>
        <w:noProof/>
      </w:rPr>
    </w:sdtEndPr>
    <w:sdtContent>
      <w:p w14:paraId="3A3C7ED1" w14:textId="559C79A2" w:rsidR="003E1D81" w:rsidRDefault="00EB481C">
        <w:pPr>
          <w:pStyle w:val="Footer"/>
          <w:jc w:val="center"/>
        </w:pPr>
        <w:r>
          <w:fldChar w:fldCharType="begin"/>
        </w:r>
        <w:r>
          <w:instrText xml:space="preserve"> PAGE   \* MERGEFORMAT </w:instrText>
        </w:r>
        <w:r>
          <w:fldChar w:fldCharType="separate"/>
        </w:r>
        <w:r>
          <w:t>341</w:t>
        </w:r>
        <w:r>
          <w:fldChar w:fldCharType="end"/>
        </w:r>
      </w:p>
    </w:sdtContent>
  </w:sdt>
  <w:p w14:paraId="2B7509C5" w14:textId="77777777" w:rsidR="003E1D81" w:rsidRDefault="003E1D81">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96CE5" w14:textId="77777777" w:rsidR="003E1D81" w:rsidRDefault="003E1D81">
    <w:pPr>
      <w:pStyle w:val="FooterLandscape"/>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8D9B4" w14:textId="77777777" w:rsidR="003E1D81" w:rsidRDefault="003E1D81">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622076"/>
      <w:docPartObj>
        <w:docPartGallery w:val="Page Numbers (Bottom of Page)"/>
        <w:docPartUnique/>
      </w:docPartObj>
    </w:sdtPr>
    <w:sdtEndPr>
      <w:rPr>
        <w:noProof/>
      </w:rPr>
    </w:sdtEndPr>
    <w:sdtContent>
      <w:p w14:paraId="49BCC3D6" w14:textId="17EE71B9" w:rsidR="003E1D81" w:rsidRDefault="00EB481C">
        <w:pPr>
          <w:pStyle w:val="Footer"/>
          <w:jc w:val="center"/>
        </w:pPr>
        <w:r>
          <w:fldChar w:fldCharType="begin"/>
        </w:r>
        <w:r>
          <w:instrText xml:space="preserve"> PAGE   \* MERGEFORMAT </w:instrText>
        </w:r>
        <w:r>
          <w:fldChar w:fldCharType="separate"/>
        </w:r>
        <w:r>
          <w:t>344</w:t>
        </w:r>
        <w:r>
          <w:fldChar w:fldCharType="end"/>
        </w:r>
      </w:p>
    </w:sdtContent>
  </w:sdt>
  <w:p w14:paraId="63A8717F" w14:textId="77777777" w:rsidR="003E1D81" w:rsidRDefault="003E1D81">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228C0" w14:textId="77777777" w:rsidR="003E1D81" w:rsidRDefault="003E1D81">
    <w:pPr>
      <w:pStyle w:val="FooterLandscape"/>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D5BE7" w14:textId="77777777" w:rsidR="003E1D81" w:rsidRDefault="003E1D81">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333793"/>
      <w:docPartObj>
        <w:docPartGallery w:val="Page Numbers (Bottom of Page)"/>
        <w:docPartUnique/>
      </w:docPartObj>
    </w:sdtPr>
    <w:sdtEndPr>
      <w:rPr>
        <w:noProof/>
      </w:rPr>
    </w:sdtEndPr>
    <w:sdtContent>
      <w:p w14:paraId="2A1729E2" w14:textId="6EF33276" w:rsidR="003E1D81" w:rsidRDefault="00EB481C">
        <w:pPr>
          <w:pStyle w:val="Footer"/>
          <w:jc w:val="center"/>
        </w:pPr>
        <w:r>
          <w:fldChar w:fldCharType="begin"/>
        </w:r>
        <w:r>
          <w:instrText xml:space="preserve"> PAGE   \* MERGEFORMAT </w:instrText>
        </w:r>
        <w:r>
          <w:fldChar w:fldCharType="separate"/>
        </w:r>
        <w:r>
          <w:t>344</w:t>
        </w:r>
        <w:r>
          <w:fldChar w:fldCharType="end"/>
        </w:r>
      </w:p>
    </w:sdtContent>
  </w:sdt>
  <w:p w14:paraId="028E5F31" w14:textId="77777777" w:rsidR="003E1D81" w:rsidRDefault="003E1D81">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E7D94" w14:textId="77777777" w:rsidR="003E1D81" w:rsidRDefault="003E1D81">
    <w:pPr>
      <w:pStyle w:val="FooterLandscape"/>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89FE0" w14:textId="77777777" w:rsidR="003E1D81" w:rsidRDefault="003E1D81">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581909"/>
      <w:docPartObj>
        <w:docPartGallery w:val="Page Numbers (Bottom of Page)"/>
        <w:docPartUnique/>
      </w:docPartObj>
    </w:sdtPr>
    <w:sdtEndPr>
      <w:rPr>
        <w:noProof/>
      </w:rPr>
    </w:sdtEndPr>
    <w:sdtContent>
      <w:p w14:paraId="22D079F7" w14:textId="02E3DE52" w:rsidR="003E1D81" w:rsidRDefault="00EB481C">
        <w:pPr>
          <w:pStyle w:val="Footer"/>
          <w:jc w:val="center"/>
        </w:pPr>
        <w:r>
          <w:fldChar w:fldCharType="begin"/>
        </w:r>
        <w:r>
          <w:instrText xml:space="preserve"> PAGE   \* MERGEFORMAT </w:instrText>
        </w:r>
        <w:r>
          <w:fldChar w:fldCharType="separate"/>
        </w:r>
        <w:r>
          <w:t>347</w:t>
        </w:r>
        <w:r>
          <w:fldChar w:fldCharType="end"/>
        </w:r>
      </w:p>
    </w:sdtContent>
  </w:sdt>
  <w:p w14:paraId="77A920D4" w14:textId="77777777" w:rsidR="003E1D81" w:rsidRDefault="003E1D8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1C268" w14:textId="77777777" w:rsidR="003E1D81" w:rsidRDefault="003E1D81">
    <w:pPr>
      <w:pStyle w:val="FooterLandscape"/>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59AC1" w14:textId="77777777" w:rsidR="003E1D81" w:rsidRDefault="003E1D81">
    <w:pPr>
      <w:pStyle w:val="FooterLandscape"/>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D7117" w14:textId="77777777" w:rsidR="003E1D81" w:rsidRDefault="003E1D81">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665621"/>
      <w:docPartObj>
        <w:docPartGallery w:val="Page Numbers (Bottom of Page)"/>
        <w:docPartUnique/>
      </w:docPartObj>
    </w:sdtPr>
    <w:sdtEndPr>
      <w:rPr>
        <w:noProof/>
      </w:rPr>
    </w:sdtEndPr>
    <w:sdtContent>
      <w:p w14:paraId="51B2B12F" w14:textId="7AD4903B" w:rsidR="003E1D81" w:rsidRDefault="00EB481C">
        <w:pPr>
          <w:pStyle w:val="Footer"/>
          <w:jc w:val="center"/>
        </w:pPr>
        <w:r>
          <w:fldChar w:fldCharType="begin"/>
        </w:r>
        <w:r>
          <w:instrText xml:space="preserve"> PAGE   \* MERGEFORMAT </w:instrText>
        </w:r>
        <w:r>
          <w:fldChar w:fldCharType="separate"/>
        </w:r>
        <w:r>
          <w:t>349</w:t>
        </w:r>
        <w:r>
          <w:fldChar w:fldCharType="end"/>
        </w:r>
      </w:p>
    </w:sdtContent>
  </w:sdt>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DD286" w14:textId="77777777" w:rsidR="003E1D81" w:rsidRDefault="003E1D81">
    <w:pPr>
      <w:pStyle w:val="FooterLandscape"/>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EF54D" w14:textId="77777777" w:rsidR="003E1D81" w:rsidRDefault="003E1D81">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432814"/>
      <w:docPartObj>
        <w:docPartGallery w:val="Page Numbers (Bottom of Page)"/>
        <w:docPartUnique/>
      </w:docPartObj>
    </w:sdtPr>
    <w:sdtEndPr>
      <w:rPr>
        <w:noProof/>
      </w:rPr>
    </w:sdtEndPr>
    <w:sdtContent>
      <w:p w14:paraId="0128DAF1" w14:textId="47AE1A3A" w:rsidR="003E1D81" w:rsidRDefault="00EB481C">
        <w:pPr>
          <w:pStyle w:val="Footer"/>
          <w:jc w:val="center"/>
        </w:pPr>
        <w:r>
          <w:fldChar w:fldCharType="begin"/>
        </w:r>
        <w:r>
          <w:instrText xml:space="preserve"> PAGE   \* MERGEFORMAT </w:instrText>
        </w:r>
        <w:r>
          <w:fldChar w:fldCharType="separate"/>
        </w:r>
        <w:r>
          <w:t>352</w:t>
        </w:r>
        <w:r>
          <w:fldChar w:fldCharType="end"/>
        </w:r>
      </w:p>
    </w:sdtContent>
  </w:sdt>
  <w:p w14:paraId="7EE29105" w14:textId="77777777" w:rsidR="003E1D81" w:rsidRDefault="003E1D81">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41C8E" w14:textId="77777777" w:rsidR="003E1D81" w:rsidRDefault="003E1D81">
    <w:pPr>
      <w:pStyle w:val="FooterLandscape"/>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966C8" w14:textId="77777777" w:rsidR="003E1D81" w:rsidRDefault="003E1D81">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5177619"/>
      <w:docPartObj>
        <w:docPartGallery w:val="Page Numbers (Bottom of Page)"/>
        <w:docPartUnique/>
      </w:docPartObj>
    </w:sdtPr>
    <w:sdtEndPr>
      <w:rPr>
        <w:noProof/>
      </w:rPr>
    </w:sdtEndPr>
    <w:sdtContent>
      <w:p w14:paraId="217DFA16" w14:textId="7D30F81C" w:rsidR="003E1D81" w:rsidRDefault="00EB481C">
        <w:pPr>
          <w:pStyle w:val="Footer"/>
          <w:jc w:val="center"/>
        </w:pPr>
        <w:r>
          <w:fldChar w:fldCharType="begin"/>
        </w:r>
        <w:r>
          <w:instrText xml:space="preserve"> PAGE   \* MERGEFORMAT </w:instrText>
        </w:r>
        <w:r>
          <w:fldChar w:fldCharType="separate"/>
        </w:r>
        <w:r>
          <w:t>355</w:t>
        </w:r>
        <w:r>
          <w:fldChar w:fldCharType="end"/>
        </w:r>
      </w:p>
    </w:sdtContent>
  </w:sdt>
  <w:p w14:paraId="28804110" w14:textId="77777777" w:rsidR="003E1D81" w:rsidRDefault="003E1D81">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2CE3" w14:textId="77777777" w:rsidR="003E1D81" w:rsidRDefault="003E1D81">
    <w:pPr>
      <w:pStyle w:val="FooterLandscape"/>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83A0C" w14:textId="77777777" w:rsidR="00E5612A" w:rsidRDefault="00E5612A">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D6EE" w14:textId="77777777" w:rsidR="003E1D81" w:rsidRDefault="003E1D81">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748499"/>
      <w:docPartObj>
        <w:docPartGallery w:val="Page Numbers (Bottom of Page)"/>
        <w:docPartUnique/>
      </w:docPartObj>
    </w:sdtPr>
    <w:sdtEndPr>
      <w:rPr>
        <w:noProof/>
      </w:rPr>
    </w:sdtEndPr>
    <w:sdtContent>
      <w:p w14:paraId="576A79C7" w14:textId="5AAB5098" w:rsidR="003E1D81" w:rsidRDefault="00EB481C">
        <w:pPr>
          <w:pStyle w:val="Footer"/>
          <w:jc w:val="center"/>
        </w:pPr>
        <w:r>
          <w:fldChar w:fldCharType="begin"/>
        </w:r>
        <w:r>
          <w:instrText xml:space="preserve"> PAGE   \* MERGEFORMAT </w:instrText>
        </w:r>
        <w:r>
          <w:fldChar w:fldCharType="separate"/>
        </w:r>
        <w:r>
          <w:t>357</w:t>
        </w:r>
        <w:r>
          <w:fldChar w:fldCharType="end"/>
        </w:r>
      </w:p>
    </w:sdtContent>
  </w:sdt>
  <w:p w14:paraId="4B552D74" w14:textId="443D6F08" w:rsidR="003E1D81" w:rsidRDefault="003E1D81">
    <w:pPr>
      <w:pStyle w:val="Footer"/>
      <w:ind w:left="0"/>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C8F32" w14:textId="77777777" w:rsidR="003E1D81" w:rsidRDefault="003E1D81">
    <w:pPr>
      <w:pStyle w:val="FooterLandscape"/>
    </w:pP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3CA16" w14:textId="77777777" w:rsidR="003E1D81" w:rsidRDefault="003E1D81">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451227"/>
      <w:docPartObj>
        <w:docPartGallery w:val="Page Numbers (Bottom of Page)"/>
        <w:docPartUnique/>
      </w:docPartObj>
    </w:sdtPr>
    <w:sdtEndPr>
      <w:rPr>
        <w:noProof/>
      </w:rPr>
    </w:sdtEndPr>
    <w:sdtContent>
      <w:p w14:paraId="6E376000" w14:textId="793FABF6" w:rsidR="003E1D81" w:rsidRDefault="00EB481C">
        <w:pPr>
          <w:pStyle w:val="Footer"/>
          <w:jc w:val="center"/>
        </w:pPr>
        <w:r>
          <w:fldChar w:fldCharType="begin"/>
        </w:r>
        <w:r>
          <w:instrText xml:space="preserve"> PAGE   \* MERGEFORMAT </w:instrText>
        </w:r>
        <w:r>
          <w:fldChar w:fldCharType="separate"/>
        </w:r>
        <w:r>
          <w:t>359</w:t>
        </w:r>
        <w:r>
          <w:fldChar w:fldCharType="end"/>
        </w:r>
      </w:p>
    </w:sdtContent>
  </w:sdt>
  <w:p w14:paraId="30D05CCE" w14:textId="71DB4A0C" w:rsidR="003E1D81" w:rsidRDefault="003E1D81">
    <w:pPr>
      <w:pStyle w:val="Footer"/>
      <w:ind w:left="0"/>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B71AB" w14:textId="77777777" w:rsidR="003E1D81" w:rsidRDefault="003E1D81">
    <w:pPr>
      <w:pStyle w:val="FooterLandscape"/>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C50D6" w14:textId="77777777" w:rsidR="003E1D81" w:rsidRDefault="003E1D81">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664375"/>
      <w:docPartObj>
        <w:docPartGallery w:val="Page Numbers (Bottom of Page)"/>
        <w:docPartUnique/>
      </w:docPartObj>
    </w:sdtPr>
    <w:sdtEndPr>
      <w:rPr>
        <w:noProof/>
      </w:rPr>
    </w:sdtEndPr>
    <w:sdtContent>
      <w:p w14:paraId="17DFEBAC" w14:textId="1AB4E6EB" w:rsidR="003E1D81" w:rsidRDefault="00EB481C">
        <w:pPr>
          <w:pStyle w:val="Footer"/>
          <w:jc w:val="center"/>
        </w:pPr>
        <w:r>
          <w:fldChar w:fldCharType="begin"/>
        </w:r>
        <w:r>
          <w:instrText xml:space="preserve"> PAGE   \* MERGEFORMAT </w:instrText>
        </w:r>
        <w:r>
          <w:fldChar w:fldCharType="separate"/>
        </w:r>
        <w:r>
          <w:t>363</w:t>
        </w:r>
        <w:r>
          <w:fldChar w:fldCharType="end"/>
        </w:r>
      </w:p>
    </w:sdtContent>
  </w:sdt>
  <w:p w14:paraId="060A94AB" w14:textId="77777777" w:rsidR="003E1D81" w:rsidRDefault="003E1D81">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EFF43" w14:textId="77777777" w:rsidR="003E1D81" w:rsidRDefault="003E1D81">
    <w:pPr>
      <w:pStyle w:val="FooterLandscape"/>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53744" w14:textId="77777777" w:rsidR="003E1D81" w:rsidRDefault="003E1D8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816813"/>
      <w:docPartObj>
        <w:docPartGallery w:val="Page Numbers (Bottom of Page)"/>
        <w:docPartUnique/>
      </w:docPartObj>
    </w:sdtPr>
    <w:sdtEndPr>
      <w:rPr>
        <w:rFonts w:ascii="Times New Roman" w:hAnsi="Times New Roman" w:cs="Times New Roman"/>
        <w:noProof/>
      </w:rPr>
    </w:sdtEndPr>
    <w:sdtContent>
      <w:p w14:paraId="62BB46C7" w14:textId="77777777" w:rsidR="00E5612A" w:rsidRDefault="00E5612A">
        <w:pPr>
          <w:pStyle w:val="Footer"/>
          <w:jc w:val="center"/>
        </w:pPr>
        <w:r>
          <w:fldChar w:fldCharType="begin"/>
        </w:r>
        <w:r>
          <w:instrText xml:space="preserve"> PAGE   \* MERGEFORMAT </w:instrText>
        </w:r>
        <w:r>
          <w:fldChar w:fldCharType="separate"/>
        </w:r>
        <w:r>
          <w:t>31</w:t>
        </w:r>
        <w:r>
          <w:fldChar w:fldCharType="end"/>
        </w:r>
      </w:p>
    </w:sdtContent>
  </w:sdt>
  <w:p w14:paraId="45972466" w14:textId="77777777" w:rsidR="00E5612A" w:rsidRDefault="00E5612A">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156090"/>
      <w:docPartObj>
        <w:docPartGallery w:val="Page Numbers (Bottom of Page)"/>
        <w:docPartUnique/>
      </w:docPartObj>
    </w:sdtPr>
    <w:sdtEndPr>
      <w:rPr>
        <w:noProof/>
      </w:rPr>
    </w:sdtEndPr>
    <w:sdtContent>
      <w:p w14:paraId="2070DDC9" w14:textId="449AD117" w:rsidR="003E1D81" w:rsidRDefault="00EB481C">
        <w:pPr>
          <w:pStyle w:val="Footer"/>
          <w:jc w:val="center"/>
        </w:pPr>
        <w:r>
          <w:fldChar w:fldCharType="begin"/>
        </w:r>
        <w:r>
          <w:instrText xml:space="preserve"> PAGE   \* MERGEFORMAT </w:instrText>
        </w:r>
        <w:r>
          <w:fldChar w:fldCharType="separate"/>
        </w:r>
        <w:r>
          <w:t>368</w:t>
        </w:r>
        <w:r>
          <w:fldChar w:fldCharType="end"/>
        </w:r>
      </w:p>
    </w:sdtContent>
  </w:sdt>
  <w:p w14:paraId="78CC5772" w14:textId="77777777" w:rsidR="003E1D81" w:rsidRDefault="003E1D81">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E8C17" w14:textId="77777777" w:rsidR="003E1D81" w:rsidRDefault="003E1D81">
    <w:pPr>
      <w:pStyle w:val="FooterLandscape"/>
    </w:pP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3E68" w14:textId="77777777" w:rsidR="003E1D81" w:rsidRDefault="003E1D81">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178488"/>
      <w:docPartObj>
        <w:docPartGallery w:val="Page Numbers (Bottom of Page)"/>
        <w:docPartUnique/>
      </w:docPartObj>
    </w:sdtPr>
    <w:sdtEndPr>
      <w:rPr>
        <w:noProof/>
      </w:rPr>
    </w:sdtEndPr>
    <w:sdtContent>
      <w:p w14:paraId="08E62A2A" w14:textId="40E8BE35" w:rsidR="003E1D81" w:rsidRDefault="00EB481C">
        <w:pPr>
          <w:pStyle w:val="Footer"/>
          <w:jc w:val="center"/>
        </w:pPr>
        <w:r>
          <w:fldChar w:fldCharType="begin"/>
        </w:r>
        <w:r>
          <w:instrText xml:space="preserve"> PAGE   \* MERGEFORMAT </w:instrText>
        </w:r>
        <w:r>
          <w:fldChar w:fldCharType="separate"/>
        </w:r>
        <w:r>
          <w:t>369</w:t>
        </w:r>
        <w:r>
          <w:fldChar w:fldCharType="end"/>
        </w:r>
      </w:p>
    </w:sdtContent>
  </w:sdt>
  <w:p w14:paraId="125F711B" w14:textId="4394ACED" w:rsidR="003E1D81" w:rsidRDefault="003E1D81">
    <w:pPr>
      <w:pStyle w:val="Footer"/>
      <w:ind w:left="0"/>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98CF" w14:textId="77777777" w:rsidR="003E1D81" w:rsidRDefault="003E1D81">
    <w:pPr>
      <w:pStyle w:val="FooterLandscape"/>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E82F7" w14:textId="77777777" w:rsidR="003E1D81" w:rsidRDefault="003E1D81">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771680"/>
      <w:docPartObj>
        <w:docPartGallery w:val="Page Numbers (Bottom of Page)"/>
        <w:docPartUnique/>
      </w:docPartObj>
    </w:sdtPr>
    <w:sdtEndPr>
      <w:rPr>
        <w:noProof/>
      </w:rPr>
    </w:sdtEndPr>
    <w:sdtContent>
      <w:p w14:paraId="3CE4E6EC" w14:textId="290B843D" w:rsidR="003E1D81" w:rsidRDefault="00EB481C">
        <w:pPr>
          <w:pStyle w:val="Footer"/>
          <w:jc w:val="center"/>
        </w:pPr>
        <w:r>
          <w:fldChar w:fldCharType="begin"/>
        </w:r>
        <w:r>
          <w:instrText xml:space="preserve"> PAGE   \* MERGEFORMAT </w:instrText>
        </w:r>
        <w:r>
          <w:fldChar w:fldCharType="separate"/>
        </w:r>
        <w:r>
          <w:t>369</w:t>
        </w:r>
        <w:r>
          <w:fldChar w:fldCharType="end"/>
        </w:r>
      </w:p>
    </w:sdtContent>
  </w:sdt>
  <w:p w14:paraId="4EBA802D" w14:textId="77777777" w:rsidR="003E1D81" w:rsidRDefault="003E1D81">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9B22A" w14:textId="77777777" w:rsidR="003E1D81" w:rsidRDefault="003E1D81">
    <w:pPr>
      <w:pStyle w:val="FooterLandscape"/>
    </w:pP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95B15" w14:textId="77777777" w:rsidR="003E1D81" w:rsidRDefault="003E1D81">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712871"/>
      <w:docPartObj>
        <w:docPartGallery w:val="Page Numbers (Bottom of Page)"/>
        <w:docPartUnique/>
      </w:docPartObj>
    </w:sdtPr>
    <w:sdtEndPr>
      <w:rPr>
        <w:noProof/>
      </w:rPr>
    </w:sdtEndPr>
    <w:sdtContent>
      <w:p w14:paraId="32D95DAF" w14:textId="68C483A2" w:rsidR="003E1D81" w:rsidRDefault="00EB481C">
        <w:pPr>
          <w:pStyle w:val="Footer"/>
          <w:jc w:val="center"/>
        </w:pPr>
        <w:r>
          <w:fldChar w:fldCharType="begin"/>
        </w:r>
        <w:r>
          <w:instrText xml:space="preserve"> PAGE   \* MERGEFORMAT </w:instrText>
        </w:r>
        <w:r>
          <w:fldChar w:fldCharType="separate"/>
        </w:r>
        <w:r>
          <w:t>371</w:t>
        </w:r>
        <w:r>
          <w:fldChar w:fldCharType="end"/>
        </w:r>
      </w:p>
    </w:sdtContent>
  </w:sdt>
  <w:p w14:paraId="6245A2E1" w14:textId="77777777" w:rsidR="003E1D81" w:rsidRDefault="003E1D8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4CFD1" w14:textId="77777777" w:rsidR="00E5612A" w:rsidRDefault="00E5612A">
    <w:pPr>
      <w:pStyle w:val="FooterLandscape"/>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A1602" w14:textId="77777777" w:rsidR="003E1D81" w:rsidRDefault="003E1D81">
    <w:pPr>
      <w:pStyle w:val="FooterLandscape"/>
    </w:pP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58EA4" w14:textId="77777777" w:rsidR="003E1D81" w:rsidRDefault="003E1D81">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198065"/>
      <w:docPartObj>
        <w:docPartGallery w:val="Page Numbers (Bottom of Page)"/>
        <w:docPartUnique/>
      </w:docPartObj>
    </w:sdtPr>
    <w:sdtEndPr>
      <w:rPr>
        <w:noProof/>
      </w:rPr>
    </w:sdtEndPr>
    <w:sdtContent>
      <w:p w14:paraId="12B66115" w14:textId="55FABEA8" w:rsidR="003E1D81" w:rsidRDefault="00EB481C">
        <w:pPr>
          <w:pStyle w:val="Footer"/>
          <w:jc w:val="center"/>
        </w:pPr>
        <w:r>
          <w:fldChar w:fldCharType="begin"/>
        </w:r>
        <w:r>
          <w:instrText xml:space="preserve"> PAGE   \* MERGEFORMAT </w:instrText>
        </w:r>
        <w:r>
          <w:fldChar w:fldCharType="separate"/>
        </w:r>
        <w:r>
          <w:t>374</w:t>
        </w:r>
        <w:r>
          <w:fldChar w:fldCharType="end"/>
        </w:r>
      </w:p>
    </w:sdtContent>
  </w:sdt>
  <w:p w14:paraId="5BD9D493" w14:textId="14A0BE8B" w:rsidR="003E1D81" w:rsidRDefault="003E1D81">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77072" w14:textId="77777777" w:rsidR="003E1D81" w:rsidRDefault="003E1D81">
    <w:pPr>
      <w:pStyle w:val="FooterLandscape"/>
    </w:pP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5CEA9" w14:textId="77777777" w:rsidR="003E1D81" w:rsidRDefault="003E1D81">
    <w:pPr>
      <w:pStyle w:val="Footer"/>
    </w:pPr>
  </w:p>
  <w:p w14:paraId="2EF633A3" w14:textId="77777777" w:rsidR="003E1D81" w:rsidRDefault="003E1D81"/>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5439"/>
      <w:docPartObj>
        <w:docPartGallery w:val="Page Numbers (Bottom of Page)"/>
        <w:docPartUnique/>
      </w:docPartObj>
    </w:sdtPr>
    <w:sdtEndPr>
      <w:rPr>
        <w:noProof/>
      </w:rPr>
    </w:sdtEndPr>
    <w:sdtContent>
      <w:p w14:paraId="36D6F23A" w14:textId="0F7126F3" w:rsidR="003E1D81" w:rsidRDefault="00EB481C">
        <w:pPr>
          <w:pStyle w:val="Footer"/>
          <w:jc w:val="center"/>
        </w:pPr>
        <w:r>
          <w:fldChar w:fldCharType="begin"/>
        </w:r>
        <w:r>
          <w:instrText xml:space="preserve"> PAGE   \* MERGEFORMAT </w:instrText>
        </w:r>
        <w:r>
          <w:fldChar w:fldCharType="separate"/>
        </w:r>
        <w:r>
          <w:t>378</w:t>
        </w:r>
        <w:r>
          <w:fldChar w:fldCharType="end"/>
        </w:r>
      </w:p>
    </w:sdtContent>
  </w:sdt>
  <w:p w14:paraId="2ECEF8A7" w14:textId="77777777" w:rsidR="003E1D81" w:rsidRDefault="003E1D81">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111CF" w14:textId="77777777" w:rsidR="003E1D81" w:rsidRDefault="003E1D81">
    <w:pPr>
      <w:pStyle w:val="FooterLandscape"/>
    </w:pP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FCFDB" w14:textId="77777777" w:rsidR="003E1D81" w:rsidRDefault="003E1D81">
    <w:pPr>
      <w:pStyle w:val="Footer"/>
    </w:pPr>
  </w:p>
  <w:p w14:paraId="61D5BEA0" w14:textId="77777777" w:rsidR="003E1D81" w:rsidRDefault="003E1D81"/>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932214"/>
      <w:docPartObj>
        <w:docPartGallery w:val="Page Numbers (Bottom of Page)"/>
        <w:docPartUnique/>
      </w:docPartObj>
    </w:sdtPr>
    <w:sdtEndPr>
      <w:rPr>
        <w:noProof/>
      </w:rPr>
    </w:sdtEndPr>
    <w:sdtContent>
      <w:p w14:paraId="468BB847" w14:textId="02EFEBAF" w:rsidR="003E1D81" w:rsidRDefault="00EB481C">
        <w:pPr>
          <w:pStyle w:val="Footer"/>
          <w:jc w:val="center"/>
        </w:pPr>
        <w:r>
          <w:fldChar w:fldCharType="begin"/>
        </w:r>
        <w:r>
          <w:instrText xml:space="preserve"> PAGE   \* MERGEFORMAT </w:instrText>
        </w:r>
        <w:r>
          <w:fldChar w:fldCharType="separate"/>
        </w:r>
        <w:r>
          <w:t>381</w:t>
        </w:r>
        <w:r>
          <w:fldChar w:fldCharType="end"/>
        </w:r>
      </w:p>
    </w:sdtContent>
  </w:sdt>
  <w:p w14:paraId="74C76D9E" w14:textId="09E513D1" w:rsidR="003E1D81" w:rsidRDefault="003E1D81">
    <w:pPr>
      <w:pStyle w:val="FooterLandscape"/>
      <w:ind w:left="0"/>
      <w:rPr>
        <w:rFonts w:ascii="Arial" w:hAnsi="Arial" w:cs="Arial"/>
        <w:b/>
        <w:sz w:val="20"/>
      </w:rPr>
    </w:pP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E846" w14:textId="77777777" w:rsidR="003E1D81" w:rsidRDefault="003E1D81">
    <w:pPr>
      <w:pStyle w:val="FooterLandscape"/>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37F99" w14:textId="77777777" w:rsidR="00E5612A" w:rsidRDefault="00E5612A">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27D54" w14:textId="77777777" w:rsidR="003E1D81" w:rsidRDefault="003E1D81">
    <w:pPr>
      <w:pStyle w:val="Footer"/>
    </w:pPr>
  </w:p>
  <w:p w14:paraId="6A0EC6FF" w14:textId="77777777" w:rsidR="003E1D81" w:rsidRDefault="003E1D81"/>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139078"/>
      <w:docPartObj>
        <w:docPartGallery w:val="Page Numbers (Bottom of Page)"/>
        <w:docPartUnique/>
      </w:docPartObj>
    </w:sdtPr>
    <w:sdtEndPr>
      <w:rPr>
        <w:noProof/>
      </w:rPr>
    </w:sdtEndPr>
    <w:sdtContent>
      <w:p w14:paraId="5D8FCEAC" w14:textId="49313CEA" w:rsidR="003E1D81" w:rsidRDefault="00EB481C">
        <w:pPr>
          <w:pStyle w:val="Footer"/>
          <w:jc w:val="center"/>
        </w:pPr>
        <w:r>
          <w:fldChar w:fldCharType="begin"/>
        </w:r>
        <w:r>
          <w:instrText xml:space="preserve"> PAGE   \* MERGEFORMAT </w:instrText>
        </w:r>
        <w:r>
          <w:fldChar w:fldCharType="separate"/>
        </w:r>
        <w:r>
          <w:t>391</w:t>
        </w:r>
        <w:r>
          <w:fldChar w:fldCharType="end"/>
        </w:r>
      </w:p>
    </w:sdtContent>
  </w:sdt>
  <w:p w14:paraId="695C7A4C" w14:textId="77777777" w:rsidR="003E1D81" w:rsidRDefault="003E1D81">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1735D" w14:textId="77777777" w:rsidR="003E1D81" w:rsidRDefault="003E1D81">
    <w:pPr>
      <w:pStyle w:val="FooterLandscape"/>
    </w:pP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5E008" w14:textId="77777777" w:rsidR="003E1D81" w:rsidRDefault="003E1D81">
    <w:pPr>
      <w:pStyle w:val="Footer"/>
    </w:pPr>
  </w:p>
  <w:p w14:paraId="40D2860B" w14:textId="77777777" w:rsidR="003E1D81" w:rsidRDefault="003E1D81"/>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715538"/>
      <w:docPartObj>
        <w:docPartGallery w:val="Page Numbers (Bottom of Page)"/>
        <w:docPartUnique/>
      </w:docPartObj>
    </w:sdtPr>
    <w:sdtEndPr>
      <w:rPr>
        <w:noProof/>
      </w:rPr>
    </w:sdtEndPr>
    <w:sdtContent>
      <w:p w14:paraId="72965ACE" w14:textId="00FABA86" w:rsidR="003E1D81" w:rsidRDefault="00EB481C">
        <w:pPr>
          <w:pStyle w:val="Footer"/>
          <w:jc w:val="center"/>
        </w:pPr>
        <w:r>
          <w:fldChar w:fldCharType="begin"/>
        </w:r>
        <w:r>
          <w:instrText xml:space="preserve"> PAGE   \* MERGEFORMAT </w:instrText>
        </w:r>
        <w:r>
          <w:fldChar w:fldCharType="separate"/>
        </w:r>
        <w:r>
          <w:t>395</w:t>
        </w:r>
        <w:r>
          <w:fldChar w:fldCharType="end"/>
        </w:r>
      </w:p>
    </w:sdtContent>
  </w:sdt>
  <w:p w14:paraId="53DBAC7D" w14:textId="77777777" w:rsidR="003E1D81" w:rsidRDefault="003E1D81">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CB6A2" w14:textId="77777777" w:rsidR="003E1D81" w:rsidRDefault="003E1D81">
    <w:pPr>
      <w:pStyle w:val="FooterLandscape"/>
    </w:pP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36136" w14:textId="77777777" w:rsidR="003E1D81" w:rsidRDefault="003E1D81">
    <w:pPr>
      <w:pStyle w:val="Footer"/>
    </w:pPr>
  </w:p>
  <w:p w14:paraId="13A50540" w14:textId="77777777" w:rsidR="003E1D81" w:rsidRDefault="003E1D81"/>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40480"/>
      <w:docPartObj>
        <w:docPartGallery w:val="Page Numbers (Bottom of Page)"/>
        <w:docPartUnique/>
      </w:docPartObj>
    </w:sdtPr>
    <w:sdtEndPr>
      <w:rPr>
        <w:noProof/>
      </w:rPr>
    </w:sdtEndPr>
    <w:sdtContent>
      <w:p w14:paraId="54B67D44" w14:textId="2DD2652C" w:rsidR="003E1D81" w:rsidRDefault="00EB481C">
        <w:pPr>
          <w:pStyle w:val="Footer"/>
          <w:jc w:val="center"/>
        </w:pPr>
        <w:r>
          <w:fldChar w:fldCharType="begin"/>
        </w:r>
        <w:r>
          <w:instrText xml:space="preserve"> PAGE   \* MERGEFORMAT </w:instrText>
        </w:r>
        <w:r>
          <w:fldChar w:fldCharType="separate"/>
        </w:r>
        <w:r>
          <w:t>398</w:t>
        </w:r>
        <w:r>
          <w:fldChar w:fldCharType="end"/>
        </w:r>
      </w:p>
    </w:sdtContent>
  </w:sdt>
  <w:p w14:paraId="215E20B2" w14:textId="77777777" w:rsidR="003E1D81" w:rsidRDefault="003E1D81"/>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18FB6" w14:textId="77777777" w:rsidR="003E1D81" w:rsidRDefault="003E1D81">
    <w:pPr>
      <w:pStyle w:val="FooterLandscape"/>
    </w:pP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F7F55" w14:textId="77777777" w:rsidR="003E1D81" w:rsidRDefault="003E1D81">
    <w:pPr>
      <w:pStyle w:val="Footer"/>
    </w:pPr>
  </w:p>
  <w:p w14:paraId="4864CB8D" w14:textId="77777777" w:rsidR="003E1D81" w:rsidRDefault="003E1D81"/>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771153"/>
      <w:docPartObj>
        <w:docPartGallery w:val="Page Numbers (Bottom of Page)"/>
        <w:docPartUnique/>
      </w:docPartObj>
    </w:sdtPr>
    <w:sdtEndPr>
      <w:rPr>
        <w:rFonts w:ascii="Times New Roman" w:hAnsi="Times New Roman" w:cs="Times New Roman"/>
        <w:noProof/>
      </w:rPr>
    </w:sdtEndPr>
    <w:sdtContent>
      <w:p w14:paraId="558765CF" w14:textId="77777777" w:rsidR="00E5612A" w:rsidRDefault="00E5612A">
        <w:pPr>
          <w:pStyle w:val="Footer"/>
          <w:jc w:val="center"/>
        </w:pPr>
        <w:r>
          <w:fldChar w:fldCharType="begin"/>
        </w:r>
        <w:r>
          <w:instrText xml:space="preserve"> PAGE   \* MERGEFORMAT </w:instrText>
        </w:r>
        <w:r>
          <w:fldChar w:fldCharType="separate"/>
        </w:r>
        <w:r>
          <w:t>31</w:t>
        </w:r>
        <w:r>
          <w:fldChar w:fldCharType="end"/>
        </w:r>
      </w:p>
    </w:sdtContent>
  </w:sdt>
  <w:p w14:paraId="4659A910" w14:textId="77777777" w:rsidR="00E5612A" w:rsidRDefault="00E5612A">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368340"/>
      <w:docPartObj>
        <w:docPartGallery w:val="Page Numbers (Bottom of Page)"/>
        <w:docPartUnique/>
      </w:docPartObj>
    </w:sdtPr>
    <w:sdtEndPr>
      <w:rPr>
        <w:noProof/>
      </w:rPr>
    </w:sdtEndPr>
    <w:sdtContent>
      <w:p w14:paraId="366F77EC" w14:textId="7B800F31" w:rsidR="003E1D81" w:rsidRDefault="00EB481C">
        <w:pPr>
          <w:pStyle w:val="Footer"/>
          <w:jc w:val="center"/>
        </w:pPr>
        <w:r>
          <w:fldChar w:fldCharType="begin"/>
        </w:r>
        <w:r>
          <w:instrText xml:space="preserve"> PAGE   \* MERGEFORMAT </w:instrText>
        </w:r>
        <w:r>
          <w:fldChar w:fldCharType="separate"/>
        </w:r>
        <w:r>
          <w:t>400</w:t>
        </w:r>
        <w:r>
          <w:fldChar w:fldCharType="end"/>
        </w:r>
      </w:p>
    </w:sdtContent>
  </w:sdt>
  <w:p w14:paraId="4583CE96" w14:textId="77777777" w:rsidR="003E1D81" w:rsidRDefault="003E1D81">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72E25" w14:textId="77777777" w:rsidR="003E1D81" w:rsidRDefault="003E1D81">
    <w:pPr>
      <w:pStyle w:val="FooterLandscap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D902D" w14:textId="77777777" w:rsidR="00EB481C" w:rsidRPr="00EB481C" w:rsidRDefault="00EB481C" w:rsidP="00EB481C">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2263" w14:textId="77777777" w:rsidR="00E5612A" w:rsidRDefault="00E5612A">
    <w:pPr>
      <w:pStyle w:val="FooterLandscape"/>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BECC5" w14:textId="77777777" w:rsidR="003E1D81" w:rsidRDefault="003E1D8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7494639"/>
      <w:docPartObj>
        <w:docPartGallery w:val="Page Numbers (Bottom of Page)"/>
        <w:docPartUnique/>
      </w:docPartObj>
    </w:sdtPr>
    <w:sdtEndPr>
      <w:rPr>
        <w:rFonts w:ascii="Times New Roman" w:hAnsi="Times New Roman" w:cs="Times New Roman"/>
        <w:noProof/>
      </w:rPr>
    </w:sdtEndPr>
    <w:sdtContent>
      <w:p w14:paraId="1AE40C83" w14:textId="59403669" w:rsidR="003E1D81" w:rsidRDefault="00EB481C">
        <w:pPr>
          <w:pStyle w:val="Footer"/>
          <w:jc w:val="center"/>
        </w:pPr>
        <w:r>
          <w:fldChar w:fldCharType="begin"/>
        </w:r>
        <w:r>
          <w:instrText xml:space="preserve"> PAGE   \* MERGEFORMAT </w:instrText>
        </w:r>
        <w:r>
          <w:fldChar w:fldCharType="separate"/>
        </w:r>
        <w:r>
          <w:t>33</w:t>
        </w:r>
        <w:r>
          <w:fldChar w:fldCharType="end"/>
        </w:r>
      </w:p>
    </w:sdtContent>
  </w:sdt>
  <w:p w14:paraId="6C98887C" w14:textId="5D98094F" w:rsidR="003E1D81" w:rsidRDefault="003E1D8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3A23" w14:textId="77777777" w:rsidR="003E1D81" w:rsidRDefault="003E1D81">
    <w:pPr>
      <w:pStyle w:val="FooterLandscape"/>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A7733" w14:textId="77777777" w:rsidR="003E1D81" w:rsidRDefault="003E1D8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511510"/>
      <w:docPartObj>
        <w:docPartGallery w:val="Page Numbers (Bottom of Page)"/>
        <w:docPartUnique/>
      </w:docPartObj>
    </w:sdtPr>
    <w:sdtEndPr>
      <w:rPr>
        <w:noProof/>
      </w:rPr>
    </w:sdtEndPr>
    <w:sdtContent>
      <w:p w14:paraId="1B451F3F" w14:textId="705EBE89" w:rsidR="003E1D81" w:rsidRDefault="00EB481C">
        <w:pPr>
          <w:pStyle w:val="P68B1DB1-Footer49"/>
          <w:jc w:val="center"/>
        </w:pPr>
        <w:r>
          <w:fldChar w:fldCharType="begin"/>
        </w:r>
        <w:r>
          <w:instrText xml:space="preserve"> PAGE   \* MERGEFORMAT </w:instrText>
        </w:r>
        <w:r>
          <w:fldChar w:fldCharType="separate"/>
        </w:r>
        <w:r>
          <w:t>34</w:t>
        </w:r>
        <w: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AE7F5" w14:textId="77777777" w:rsidR="003E1D81" w:rsidRDefault="003E1D81">
    <w:pPr>
      <w:pStyle w:val="FooterLandscape"/>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EB43" w14:textId="77777777" w:rsidR="003E1D81" w:rsidRDefault="003E1D8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853421"/>
      <w:docPartObj>
        <w:docPartGallery w:val="Page Numbers (Bottom of Page)"/>
        <w:docPartUnique/>
      </w:docPartObj>
    </w:sdtPr>
    <w:sdtEndPr>
      <w:rPr>
        <w:noProof/>
      </w:rPr>
    </w:sdtEndPr>
    <w:sdtContent>
      <w:p w14:paraId="101CAAF1" w14:textId="32E0F4B0" w:rsidR="003E1D81" w:rsidRDefault="00EB481C">
        <w:pPr>
          <w:pStyle w:val="P68B1DB1-Footer49"/>
          <w:jc w:val="center"/>
        </w:pPr>
        <w:r>
          <w:fldChar w:fldCharType="begin"/>
        </w:r>
        <w:r>
          <w:instrText xml:space="preserve"> PAGE   \* MERGEFORMAT </w:instrText>
        </w:r>
        <w:r>
          <w:fldChar w:fldCharType="separate"/>
        </w:r>
        <w:r>
          <w:t>50</w:t>
        </w:r>
        <w:r>
          <w:fldChar w:fldCharType="end"/>
        </w:r>
      </w:p>
    </w:sdtContent>
  </w:sdt>
  <w:p w14:paraId="562ABBA8" w14:textId="12511D5F" w:rsidR="003E1D81" w:rsidRDefault="003E1D81">
    <w:pPr>
      <w:pStyle w:val="Footer"/>
      <w:ind w:left="0"/>
      <w:rPr>
        <w:rFonts w:ascii="Arial" w:hAnsi="Arial" w:cs="Arial"/>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D2C48" w14:textId="77777777" w:rsidR="003E1D81" w:rsidRDefault="003E1D81">
    <w:pPr>
      <w:pStyle w:val="FooterLandscap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8A720" w14:textId="77777777" w:rsidR="003E1D81" w:rsidRDefault="003E1D81">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D487" w14:textId="77777777" w:rsidR="003E1D81" w:rsidRDefault="003E1D8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185743"/>
      <w:docPartObj>
        <w:docPartGallery w:val="Page Numbers (Bottom of Page)"/>
        <w:docPartUnique/>
      </w:docPartObj>
    </w:sdtPr>
    <w:sdtEndPr/>
    <w:sdtContent>
      <w:p w14:paraId="04557E5D" w14:textId="48C95DC2" w:rsidR="003E1D81" w:rsidRDefault="00EB481C">
        <w:pPr>
          <w:pStyle w:val="P68B1DB1-Footer50"/>
          <w:jc w:val="center"/>
        </w:pPr>
        <w:r>
          <w:fldChar w:fldCharType="begin"/>
        </w:r>
        <w:r>
          <w:instrText xml:space="preserve"> PAGE   \* MERGEFORMAT </w:instrText>
        </w:r>
        <w:r>
          <w:fldChar w:fldCharType="separate"/>
        </w:r>
        <w:r>
          <w:t>51</w:t>
        </w:r>
        <w: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53D20" w14:textId="77777777" w:rsidR="003E1D81" w:rsidRDefault="003E1D81">
    <w:pPr>
      <w:pStyle w:val="FooterLandscape"/>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D63E8" w14:textId="77777777" w:rsidR="003E1D81" w:rsidRDefault="003E1D8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216596"/>
      <w:docPartObj>
        <w:docPartGallery w:val="Page Numbers (Bottom of Page)"/>
        <w:docPartUnique/>
      </w:docPartObj>
    </w:sdtPr>
    <w:sdtEndPr/>
    <w:sdtContent>
      <w:p w14:paraId="287D78F0" w14:textId="1E8F939A" w:rsidR="003E1D81" w:rsidRDefault="00EB481C">
        <w:pPr>
          <w:pStyle w:val="P68B1DB1-Footer50"/>
          <w:jc w:val="center"/>
        </w:pPr>
        <w:r>
          <w:fldChar w:fldCharType="begin"/>
        </w:r>
        <w:r>
          <w:instrText xml:space="preserve"> PAGE   \* MERGEFORMAT </w:instrText>
        </w:r>
        <w:r>
          <w:fldChar w:fldCharType="separate"/>
        </w:r>
        <w:r>
          <w:t>53</w:t>
        </w:r>
        <w: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C169A" w14:textId="77777777" w:rsidR="003E1D81" w:rsidRDefault="003E1D81">
    <w:pPr>
      <w:pStyle w:val="FooterLandscape"/>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78751" w14:textId="77777777" w:rsidR="003E1D81" w:rsidRDefault="003E1D81">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023532"/>
      <w:docPartObj>
        <w:docPartGallery w:val="Page Numbers (Bottom of Page)"/>
        <w:docPartUnique/>
      </w:docPartObj>
    </w:sdtPr>
    <w:sdtEndPr>
      <w:rPr>
        <w:rFonts w:ascii="Arial" w:hAnsi="Arial" w:cs="Arial"/>
      </w:rPr>
    </w:sdtEndPr>
    <w:sdtContent>
      <w:p w14:paraId="6D4CAFE4" w14:textId="7397B7DD" w:rsidR="003E1D81" w:rsidRDefault="00EB481C">
        <w:pPr>
          <w:pStyle w:val="P68B1DB1-Footer49"/>
          <w:jc w:val="center"/>
          <w:rPr>
            <w:rFonts w:ascii="Arial" w:hAnsi="Arial" w:cs="Arial"/>
          </w:rPr>
        </w:pPr>
        <w:r>
          <w:fldChar w:fldCharType="begin"/>
        </w:r>
        <w:r>
          <w:instrText xml:space="preserve"> PAGE   \* ME</w:instrText>
        </w:r>
        <w:r>
          <w:instrText xml:space="preserve">RGEFORMAT </w:instrText>
        </w:r>
        <w:r>
          <w:fldChar w:fldCharType="separate"/>
        </w:r>
        <w:r>
          <w:t>58</w:t>
        </w:r>
        <w: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AFB83" w14:textId="77777777" w:rsidR="003E1D81" w:rsidRDefault="003E1D81">
    <w:pPr>
      <w:pStyle w:val="FooterLandscape"/>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AF47F" w14:textId="77777777" w:rsidR="003E1D81" w:rsidRDefault="003E1D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71148"/>
      <w:docPartObj>
        <w:docPartGallery w:val="Page Numbers (Bottom of Page)"/>
        <w:docPartUnique/>
      </w:docPartObj>
    </w:sdtPr>
    <w:sdtEndPr>
      <w:rPr>
        <w:noProof/>
      </w:rPr>
    </w:sdtEndPr>
    <w:sdtContent>
      <w:p w14:paraId="2F0C62FC" w14:textId="6B50CB4C" w:rsidR="003E1D81" w:rsidRDefault="00EB481C">
        <w:pPr>
          <w:pStyle w:val="P68B1DB1-Footer49"/>
          <w:jc w:val="center"/>
        </w:pPr>
        <w:r>
          <w:fldChar w:fldCharType="begin"/>
        </w:r>
        <w:r>
          <w:instrText xml:space="preserve"> PAGE   \* MERGEFORMAT </w:instrText>
        </w:r>
        <w:r>
          <w:fldChar w:fldCharType="separate"/>
        </w:r>
        <w:r>
          <w:rPr>
            <w:noProof/>
          </w:rPr>
          <w:t>1</w:t>
        </w:r>
        <w: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689380"/>
      <w:docPartObj>
        <w:docPartGallery w:val="Page Numbers (Bottom of Page)"/>
        <w:docPartUnique/>
      </w:docPartObj>
    </w:sdtPr>
    <w:sdtEndPr>
      <w:rPr>
        <w:noProof/>
      </w:rPr>
    </w:sdtEndPr>
    <w:sdtContent>
      <w:p w14:paraId="4991C173" w14:textId="7EC9A5B3" w:rsidR="003E1D81" w:rsidRDefault="00EB481C">
        <w:pPr>
          <w:pStyle w:val="Footer"/>
          <w:jc w:val="center"/>
        </w:pPr>
        <w:r>
          <w:fldChar w:fldCharType="begin"/>
        </w:r>
        <w:r>
          <w:instrText xml:space="preserve"> PAGE   \* MERGEFORMAT </w:instrText>
        </w:r>
        <w:r>
          <w:fldChar w:fldCharType="separate"/>
        </w:r>
        <w:r>
          <w:t>61</w:t>
        </w:r>
        <w: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019F" w14:textId="77777777" w:rsidR="003E1D81" w:rsidRDefault="003E1D81">
    <w:pPr>
      <w:pStyle w:val="FooterLandscape"/>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3D4D3" w14:textId="77777777" w:rsidR="003E1D81" w:rsidRDefault="003E1D81">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40592"/>
      <w:docPartObj>
        <w:docPartGallery w:val="Page Numbers (Bottom of Page)"/>
        <w:docPartUnique/>
      </w:docPartObj>
    </w:sdtPr>
    <w:sdtEndPr>
      <w:rPr>
        <w:noProof/>
      </w:rPr>
    </w:sdtEndPr>
    <w:sdtContent>
      <w:p w14:paraId="19BA0072" w14:textId="7DB7BC8D" w:rsidR="003E1D81" w:rsidRDefault="00EB481C">
        <w:pPr>
          <w:pStyle w:val="Footer"/>
          <w:jc w:val="center"/>
        </w:pPr>
        <w:r>
          <w:fldChar w:fldCharType="begin"/>
        </w:r>
        <w:r>
          <w:instrText xml:space="preserve"> PAGE   \* MERGEFORMAT </w:instrText>
        </w:r>
        <w:r>
          <w:fldChar w:fldCharType="separate"/>
        </w:r>
        <w:r>
          <w:t>62</w:t>
        </w:r>
        <w: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433C0" w14:textId="77777777" w:rsidR="003E1D81" w:rsidRDefault="003E1D81">
    <w:pPr>
      <w:pStyle w:val="FooterLandscape"/>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53655" w14:textId="77777777" w:rsidR="003E1D81" w:rsidRDefault="003E1D81">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823079"/>
      <w:docPartObj>
        <w:docPartGallery w:val="Page Numbers (Bottom of Page)"/>
        <w:docPartUnique/>
      </w:docPartObj>
    </w:sdtPr>
    <w:sdtEndPr>
      <w:rPr>
        <w:noProof/>
      </w:rPr>
    </w:sdtEndPr>
    <w:sdtContent>
      <w:p w14:paraId="1A5E5B62" w14:textId="230547FA" w:rsidR="003E1D81" w:rsidRDefault="00EB481C">
        <w:pPr>
          <w:pStyle w:val="Footer"/>
          <w:jc w:val="center"/>
        </w:pPr>
        <w:r>
          <w:fldChar w:fldCharType="begin"/>
        </w:r>
        <w:r>
          <w:instrText xml:space="preserve"> PAGE   \* MERGEFORMAT </w:instrText>
        </w:r>
        <w:r>
          <w:fldChar w:fldCharType="separate"/>
        </w:r>
        <w:r>
          <w:t>63</w:t>
        </w:r>
        <w: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90E8" w14:textId="77777777" w:rsidR="003E1D81" w:rsidRDefault="003E1D81">
    <w:pPr>
      <w:pStyle w:val="FooterLandscape"/>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F65D8" w14:textId="77777777" w:rsidR="003E1D81" w:rsidRDefault="003E1D81">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706756"/>
      <w:docPartObj>
        <w:docPartGallery w:val="Page Numbers (Bottom of Page)"/>
        <w:docPartUnique/>
      </w:docPartObj>
    </w:sdtPr>
    <w:sdtEndPr>
      <w:rPr>
        <w:noProof/>
      </w:rPr>
    </w:sdtEndPr>
    <w:sdtContent>
      <w:p w14:paraId="3E8A7160" w14:textId="0AE5D374" w:rsidR="003E1D81" w:rsidRDefault="00EB481C">
        <w:pPr>
          <w:pStyle w:val="P68B1DB1-Footer49"/>
          <w:jc w:val="center"/>
        </w:pPr>
        <w:r>
          <w:fldChar w:fldCharType="begin"/>
        </w:r>
        <w:r>
          <w:instrText xml:space="preserve"> PAGE   \* MERGEFORMAT </w:instrText>
        </w:r>
        <w:r>
          <w:fldChar w:fldCharType="separate"/>
        </w:r>
        <w:r>
          <w:t>67</w:t>
        </w:r>
        <w:r>
          <w:fldChar w:fldCharType="end"/>
        </w:r>
      </w:p>
    </w:sdtContent>
  </w:sdt>
  <w:p w14:paraId="64606157" w14:textId="0E6B1ED4" w:rsidR="003E1D81" w:rsidRDefault="003E1D81">
    <w:pPr>
      <w:pStyle w:val="Footer"/>
      <w:jc w:val="center"/>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AFED" w14:textId="77777777" w:rsidR="003E1D81" w:rsidRDefault="003E1D81">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425CC" w14:textId="77777777" w:rsidR="003E1D81" w:rsidRDefault="003E1D81">
    <w:pPr>
      <w:pStyle w:val="FooterLandscape"/>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27C88" w14:textId="77777777" w:rsidR="003E1D81" w:rsidRDefault="003E1D81">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FDEF5" w14:textId="77AB497F" w:rsidR="003E1D81" w:rsidRDefault="00EB481C">
    <w:pPr>
      <w:pStyle w:val="FooterLandscape"/>
      <w:rPr>
        <w:rFonts w:ascii="Times New Roman" w:hAnsi="Times New Roman" w:cs="Times New Roman"/>
        <w:b/>
      </w:rPr>
    </w:pPr>
    <w:r>
      <w:rPr>
        <w:rFonts w:ascii="Aptos" w:hAnsi="Aptos"/>
        <w:b/>
        <w:sz w:val="48"/>
      </w:rPr>
      <w:tab/>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71</w:t>
    </w:r>
    <w:r>
      <w:rPr>
        <w:rFonts w:ascii="Times New Roman" w:hAnsi="Times New Roman" w:cs="Times New Roman"/>
      </w:rPr>
      <w:fldChar w:fldCharType="end"/>
    </w:r>
    <w:r>
      <w:rPr>
        <w:rFonts w:ascii="Times New Roman" w:hAnsi="Times New Roman"/>
      </w:rPr>
      <w:tab/>
    </w:r>
    <w:r>
      <w:rPr>
        <w:rFonts w:ascii="Times New Roman" w:hAnsi="Times New Roman"/>
      </w:rPr>
      <w:tab/>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E676" w14:textId="77777777" w:rsidR="003E1D81" w:rsidRDefault="003E1D81">
    <w:pPr>
      <w:pStyle w:val="FooterLandscape"/>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0EC7C" w14:textId="77777777" w:rsidR="003E1D81" w:rsidRDefault="003E1D81">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167355"/>
      <w:docPartObj>
        <w:docPartGallery w:val="Page Numbers (Bottom of Page)"/>
        <w:docPartUnique/>
      </w:docPartObj>
    </w:sdtPr>
    <w:sdtEndPr>
      <w:rPr>
        <w:noProof/>
      </w:rPr>
    </w:sdtEndPr>
    <w:sdtContent>
      <w:p w14:paraId="4633E134" w14:textId="39B3176A" w:rsidR="003E1D81" w:rsidRDefault="00EB481C">
        <w:pPr>
          <w:pStyle w:val="Footer"/>
          <w:jc w:val="center"/>
        </w:pPr>
        <w:r>
          <w:fldChar w:fldCharType="begin"/>
        </w:r>
        <w:r>
          <w:instrText xml:space="preserve"> PAGE   \* MERGEFORMAT </w:instrText>
        </w:r>
        <w:r>
          <w:fldChar w:fldCharType="separate"/>
        </w:r>
        <w:r>
          <w:t>72</w:t>
        </w:r>
        <w:r>
          <w:fldChar w:fldCharType="end"/>
        </w:r>
      </w:p>
    </w:sdtContent>
  </w:sdt>
  <w:p w14:paraId="11618484" w14:textId="3F29EB47" w:rsidR="003E1D81" w:rsidRDefault="003E1D81">
    <w:pPr>
      <w:pStyle w:val="FooterLandscape"/>
      <w:rPr>
        <w:rFonts w:ascii="Aptos" w:hAnsi="Aptos" w:cs="Aptos"/>
        <w:b/>
        <w:sz w:val="20"/>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B89CC" w14:textId="77777777" w:rsidR="003E1D81" w:rsidRDefault="003E1D81">
    <w:pPr>
      <w:pStyle w:val="FooterLandscape"/>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A123" w14:textId="77777777" w:rsidR="003E1D81" w:rsidRDefault="003E1D81">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2C917" w14:textId="683B354B" w:rsidR="003E1D81" w:rsidRDefault="00EB481C">
    <w:pPr>
      <w:pStyle w:val="FooterLandscape"/>
      <w:rPr>
        <w:rFonts w:ascii="Times New Roman" w:hAnsi="Times New Roman" w:cs="Times New Roman"/>
        <w:b/>
      </w:rPr>
    </w:pPr>
    <w:r>
      <w:rPr>
        <w:rFonts w:ascii="Aptos" w:hAnsi="Aptos"/>
        <w:b/>
        <w:sz w:val="48"/>
      </w:rPr>
      <w:tab/>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73</w:t>
    </w:r>
    <w:r>
      <w:rPr>
        <w:rFonts w:ascii="Times New Roman" w:hAnsi="Times New Roman" w:cs="Times New Roman"/>
      </w:rPr>
      <w:fldChar w:fldCharType="end"/>
    </w:r>
    <w:r>
      <w:rPr>
        <w:rFonts w:ascii="Times New Roman" w:hAnsi="Times New Roman"/>
      </w:rPr>
      <w:tab/>
    </w:r>
    <w:r>
      <w:rPr>
        <w:rFonts w:ascii="Times New Roman" w:hAnsi="Times New Roman"/>
      </w:rPr>
      <w:tab/>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8C31F" w14:textId="77777777" w:rsidR="003E1D81" w:rsidRDefault="003E1D81">
    <w:pPr>
      <w:pStyle w:val="FooterLandscap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7325F" w14:textId="77777777" w:rsidR="003E1D81" w:rsidRDefault="003E1D81">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42FE7" w14:textId="77777777" w:rsidR="003E1D81" w:rsidRDefault="003E1D81">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125478"/>
      <w:docPartObj>
        <w:docPartGallery w:val="Page Numbers (Bottom of Page)"/>
        <w:docPartUnique/>
      </w:docPartObj>
    </w:sdtPr>
    <w:sdtEndPr>
      <w:rPr>
        <w:noProof/>
      </w:rPr>
    </w:sdtEndPr>
    <w:sdtContent>
      <w:p w14:paraId="0A2C5F3D" w14:textId="315F0FBB" w:rsidR="003E1D81" w:rsidRDefault="00EB481C">
        <w:pPr>
          <w:pStyle w:val="P68B1DB1-Footer49"/>
          <w:jc w:val="center"/>
        </w:pPr>
        <w:r>
          <w:fldChar w:fldCharType="begin"/>
        </w:r>
        <w:r>
          <w:instrText xml:space="preserve"> PAGE   \* MERGEFORMAT </w:instrText>
        </w:r>
        <w:r>
          <w:fldChar w:fldCharType="separate"/>
        </w:r>
        <w:r>
          <w:t>78</w:t>
        </w:r>
        <w:r>
          <w:fldChar w:fldCharType="end"/>
        </w:r>
      </w:p>
    </w:sdtContent>
  </w:sdt>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B37BA" w14:textId="77777777" w:rsidR="003E1D81" w:rsidRDefault="003E1D81">
    <w:pPr>
      <w:pStyle w:val="FooterLandscape"/>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836D1" w14:textId="77777777" w:rsidR="003E1D81" w:rsidRDefault="003E1D81">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DC12" w14:textId="7DC078EA" w:rsidR="003E1D81" w:rsidRDefault="00EB481C">
    <w:pPr>
      <w:pStyle w:val="FooterLandscape"/>
      <w:rPr>
        <w:rFonts w:ascii="Aptos" w:hAnsi="Aptos" w:cs="Aptos"/>
        <w:b/>
        <w:sz w:val="20"/>
      </w:rPr>
    </w:pPr>
    <w:r>
      <w:rPr>
        <w:sz w:val="20"/>
      </w:rPr>
      <w:fldChar w:fldCharType="begin"/>
    </w:r>
    <w:r>
      <w:rPr>
        <w:sz w:val="20"/>
      </w:rPr>
      <w:instrText xml:space="preserve"> PAGE  \* MERGEFORMAT </w:instrText>
    </w:r>
    <w:r>
      <w:rPr>
        <w:sz w:val="20"/>
      </w:rPr>
      <w:fldChar w:fldCharType="separate"/>
    </w:r>
    <w:r>
      <w:rPr>
        <w:sz w:val="20"/>
      </w:rPr>
      <w:t>79</w:t>
    </w:r>
    <w:r>
      <w:rPr>
        <w:sz w:val="20"/>
      </w:rPr>
      <w:fldChar w:fldCharType="end"/>
    </w:r>
    <w:r>
      <w:rPr>
        <w:sz w:val="20"/>
      </w:rPr>
      <w:tab/>
    </w:r>
    <w:r>
      <w:rPr>
        <w:sz w:val="20"/>
      </w:rPr>
      <w:tab/>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CD459" w14:textId="77777777" w:rsidR="003E1D81" w:rsidRDefault="003E1D81">
    <w:pPr>
      <w:pStyle w:val="FooterLandscape"/>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63357" w14:textId="77777777" w:rsidR="003E1D81" w:rsidRDefault="003E1D81">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074450"/>
      <w:docPartObj>
        <w:docPartGallery w:val="Page Numbers (Bottom of Page)"/>
        <w:docPartUnique/>
      </w:docPartObj>
    </w:sdtPr>
    <w:sdtEndPr>
      <w:rPr>
        <w:noProof/>
      </w:rPr>
    </w:sdtEndPr>
    <w:sdtContent>
      <w:p w14:paraId="51E9DE6E" w14:textId="0F78EAAE" w:rsidR="003E1D81" w:rsidRDefault="00EB481C">
        <w:pPr>
          <w:pStyle w:val="P68B1DB1-Footer51"/>
          <w:jc w:val="center"/>
        </w:pPr>
        <w:r>
          <w:fldChar w:fldCharType="begin"/>
        </w:r>
        <w:r>
          <w:instrText xml:space="preserve"> PAGE   \* MERGEFORMAT </w:instrText>
        </w:r>
        <w:r>
          <w:fldChar w:fldCharType="separate"/>
        </w:r>
        <w:r>
          <w:t>89</w:t>
        </w:r>
        <w:r>
          <w:fldChar w:fldCharType="end"/>
        </w:r>
      </w:p>
    </w:sdtContent>
  </w:sdt>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88F8C" w14:textId="77777777" w:rsidR="003E1D81" w:rsidRDefault="003E1D81">
    <w:pPr>
      <w:pStyle w:val="FooterLandscape"/>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9706C" w14:textId="77777777" w:rsidR="003E1D81" w:rsidRDefault="003E1D8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525191"/>
      <w:docPartObj>
        <w:docPartGallery w:val="Page Numbers (Bottom of Page)"/>
        <w:docPartUnique/>
      </w:docPartObj>
    </w:sdtPr>
    <w:sdtEndPr>
      <w:rPr>
        <w:noProof/>
      </w:rPr>
    </w:sdtEndPr>
    <w:sdtContent>
      <w:p w14:paraId="3B4ACEE7" w14:textId="5C08DF97" w:rsidR="003E1D81" w:rsidRDefault="00EB481C">
        <w:pPr>
          <w:pStyle w:val="P68B1DB1-Footer49"/>
          <w:jc w:val="center"/>
        </w:pPr>
        <w:r>
          <w:fldChar w:fldCharType="begin"/>
        </w:r>
        <w:r>
          <w:instrText xml:space="preserve"> PAGE   \* MERGEFORMAT </w:instrText>
        </w:r>
        <w:r>
          <w:fldChar w:fldCharType="separate"/>
        </w:r>
        <w:r w:rsidR="00263057">
          <w:rPr>
            <w:noProof/>
          </w:rPr>
          <w:t>15</w:t>
        </w:r>
        <w:r>
          <w:fldChar w:fldCharType="end"/>
        </w:r>
      </w:p>
    </w:sdtContent>
  </w:sdt>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144635"/>
      <w:docPartObj>
        <w:docPartGallery w:val="Page Numbers (Bottom of Page)"/>
        <w:docPartUnique/>
      </w:docPartObj>
    </w:sdtPr>
    <w:sdtEndPr>
      <w:rPr>
        <w:noProof/>
      </w:rPr>
    </w:sdtEndPr>
    <w:sdtContent>
      <w:p w14:paraId="5AD4C00E" w14:textId="3C38A3C1" w:rsidR="003E1D81" w:rsidRDefault="00EB481C">
        <w:pPr>
          <w:pStyle w:val="P68B1DB1-Footer52"/>
          <w:jc w:val="center"/>
        </w:pPr>
        <w:r>
          <w:fldChar w:fldCharType="begin"/>
        </w:r>
        <w:r>
          <w:instrText xml:space="preserve"> PAGE   \* MERGEFORMAT </w:instrText>
        </w:r>
        <w:r>
          <w:fldChar w:fldCharType="separate"/>
        </w:r>
        <w:r>
          <w:t>90</w:t>
        </w:r>
        <w:r>
          <w:fldChar w:fldCharType="end"/>
        </w:r>
      </w:p>
    </w:sdtContent>
  </w:sdt>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AFC88" w14:textId="77777777" w:rsidR="003E1D81" w:rsidRDefault="003E1D81">
    <w:pPr>
      <w:pStyle w:val="FooterLandscape"/>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C7CD6" w14:textId="77777777" w:rsidR="003E1D81" w:rsidRDefault="003E1D81">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684554"/>
      <w:docPartObj>
        <w:docPartGallery w:val="Page Numbers (Bottom of Page)"/>
        <w:docPartUnique/>
      </w:docPartObj>
    </w:sdtPr>
    <w:sdtEndPr>
      <w:rPr>
        <w:noProof/>
      </w:rPr>
    </w:sdtEndPr>
    <w:sdtContent>
      <w:p w14:paraId="34C80394" w14:textId="22C8D60E" w:rsidR="003E1D81" w:rsidRDefault="00EB481C">
        <w:pPr>
          <w:pStyle w:val="P68B1DB1-Footer51"/>
          <w:jc w:val="center"/>
        </w:pPr>
        <w:r>
          <w:fldChar w:fldCharType="begin"/>
        </w:r>
        <w:r>
          <w:instrText xml:space="preserve"> PAGE   \* MERGEFORMAT </w:instrText>
        </w:r>
        <w:r>
          <w:fldChar w:fldCharType="separate"/>
        </w:r>
        <w:r>
          <w:t>94</w:t>
        </w:r>
        <w:r>
          <w:fldChar w:fldCharType="end"/>
        </w:r>
      </w:p>
    </w:sdtContent>
  </w:sdt>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E01AC" w14:textId="77777777" w:rsidR="003E1D81" w:rsidRDefault="003E1D81">
    <w:pPr>
      <w:pStyle w:val="FooterLandscape"/>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A1CB" w14:textId="77777777" w:rsidR="003E1D81" w:rsidRDefault="003E1D81">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F15CB" w14:textId="62D3EAC3" w:rsidR="003E1D81" w:rsidRDefault="00EB481C">
    <w:pPr>
      <w:pStyle w:val="FooterLandscape"/>
      <w:ind w:left="0"/>
      <w:rPr>
        <w:rFonts w:ascii="Aptos" w:hAnsi="Aptos" w:cs="Aptos"/>
        <w:b/>
        <w:sz w:val="20"/>
      </w:rPr>
    </w:pPr>
    <w:r>
      <w:rPr>
        <w:sz w:val="20"/>
      </w:rPr>
      <w:fldChar w:fldCharType="begin"/>
    </w:r>
    <w:r>
      <w:rPr>
        <w:sz w:val="20"/>
      </w:rPr>
      <w:instrText xml:space="preserve"> PAGE  \* MERGEFORMAT </w:instrText>
    </w:r>
    <w:r>
      <w:rPr>
        <w:sz w:val="20"/>
      </w:rPr>
      <w:fldChar w:fldCharType="separate"/>
    </w:r>
    <w:r>
      <w:rPr>
        <w:sz w:val="20"/>
      </w:rPr>
      <w:t>97</w:t>
    </w:r>
    <w:r>
      <w:rPr>
        <w:sz w:val="20"/>
      </w:rPr>
      <w:fldChar w:fldCharType="end"/>
    </w:r>
    <w:r>
      <w:rPr>
        <w:sz w:val="20"/>
      </w:rPr>
      <w:tab/>
    </w:r>
    <w:r>
      <w:rPr>
        <w:sz w:val="20"/>
      </w:rPr>
      <w:tab/>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37F9" w14:textId="77777777" w:rsidR="003E1D81" w:rsidRDefault="003E1D81">
    <w:pPr>
      <w:pStyle w:val="FooterLandscape"/>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D492" w14:textId="77777777" w:rsidR="003E1D81" w:rsidRDefault="003E1D81">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106000"/>
      <w:docPartObj>
        <w:docPartGallery w:val="Page Numbers (Bottom of Page)"/>
        <w:docPartUnique/>
      </w:docPartObj>
    </w:sdtPr>
    <w:sdtEndPr>
      <w:rPr>
        <w:noProof/>
      </w:rPr>
    </w:sdtEndPr>
    <w:sdtContent>
      <w:p w14:paraId="30211570" w14:textId="322AED98" w:rsidR="003E1D81" w:rsidRDefault="00EB481C">
        <w:pPr>
          <w:pStyle w:val="P68B1DB1-Footer51"/>
          <w:jc w:val="center"/>
        </w:pPr>
        <w:r>
          <w:fldChar w:fldCharType="begin"/>
        </w:r>
        <w:r>
          <w:instrText xml:space="preserve"> PAGE   \* MERGEFORMAT </w:instrText>
        </w:r>
        <w:r>
          <w:fldChar w:fldCharType="separate"/>
        </w:r>
        <w:r>
          <w:t>101</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7058" w14:textId="77777777" w:rsidR="003E1D81" w:rsidRDefault="003E1D81">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DA92C" w14:textId="77777777" w:rsidR="003E1D81" w:rsidRDefault="003E1D81">
    <w:pPr>
      <w:pStyle w:val="FooterLandscape"/>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7D592" w14:textId="77777777" w:rsidR="003E1D81" w:rsidRDefault="003E1D81">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2414" w14:textId="6F185D27" w:rsidR="003E1D81" w:rsidRDefault="00EB481C">
    <w:pPr>
      <w:pStyle w:val="FooterLandscape"/>
      <w:rPr>
        <w:rFonts w:ascii="Aptos" w:hAnsi="Aptos" w:cs="Aptos"/>
        <w:b/>
        <w:sz w:val="20"/>
      </w:rPr>
    </w:pPr>
    <w:r>
      <w:rPr>
        <w:sz w:val="20"/>
      </w:rPr>
      <w:fldChar w:fldCharType="begin"/>
    </w:r>
    <w:r>
      <w:rPr>
        <w:sz w:val="20"/>
      </w:rPr>
      <w:instrText xml:space="preserve"> PAGE  \* MERGEFORMAT </w:instrText>
    </w:r>
    <w:r>
      <w:rPr>
        <w:sz w:val="20"/>
      </w:rPr>
      <w:fldChar w:fldCharType="separate"/>
    </w:r>
    <w:r>
      <w:rPr>
        <w:sz w:val="20"/>
      </w:rPr>
      <w:t>103</w:t>
    </w:r>
    <w:r>
      <w:rPr>
        <w:sz w:val="20"/>
      </w:rPr>
      <w:fldChar w:fldCharType="end"/>
    </w:r>
    <w:r>
      <w:rPr>
        <w:sz w:val="20"/>
      </w:rPr>
      <w:tab/>
    </w:r>
    <w:r>
      <w:rPr>
        <w:sz w:val="20"/>
      </w:rPr>
      <w:tab/>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B5971" w14:textId="77777777" w:rsidR="003E1D81" w:rsidRDefault="003E1D81">
    <w:pPr>
      <w:pStyle w:val="FooterLandscape"/>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A135" w14:textId="77777777" w:rsidR="003E1D81" w:rsidRDefault="003E1D81">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94972"/>
      <w:docPartObj>
        <w:docPartGallery w:val="Page Numbers (Bottom of Page)"/>
        <w:docPartUnique/>
      </w:docPartObj>
    </w:sdtPr>
    <w:sdtEndPr>
      <w:rPr>
        <w:noProof/>
      </w:rPr>
    </w:sdtEndPr>
    <w:sdtContent>
      <w:p w14:paraId="4F62A649" w14:textId="4F5C63F7" w:rsidR="003E1D81" w:rsidRDefault="00EB481C">
        <w:pPr>
          <w:pStyle w:val="P68B1DB1-Footer51"/>
          <w:jc w:val="center"/>
        </w:pPr>
        <w:r>
          <w:fldChar w:fldCharType="begin"/>
        </w:r>
        <w:r>
          <w:instrText xml:space="preserve"> PAGE   \* MERGEFORMAT </w:instrText>
        </w:r>
        <w:r>
          <w:fldChar w:fldCharType="separate"/>
        </w:r>
        <w:r>
          <w:t>105</w:t>
        </w:r>
        <w:r>
          <w:fldChar w:fldCharType="end"/>
        </w:r>
      </w:p>
    </w:sdtContent>
  </w:sdt>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07069" w14:textId="77777777" w:rsidR="003E1D81" w:rsidRDefault="003E1D81">
    <w:pPr>
      <w:pStyle w:val="FooterLandscape"/>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AE3EA" w14:textId="77777777" w:rsidR="003E1D81" w:rsidRDefault="003E1D81">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3E59A" w14:textId="312ACACE" w:rsidR="003E1D81" w:rsidRDefault="00EB481C">
    <w:pPr>
      <w:pStyle w:val="FooterLandscape"/>
      <w:rPr>
        <w:rFonts w:ascii="Aptos" w:hAnsi="Aptos" w:cs="Aptos"/>
        <w:b/>
        <w:sz w:val="20"/>
      </w:rPr>
    </w:pPr>
    <w:r>
      <w:rPr>
        <w:sz w:val="20"/>
      </w:rPr>
      <w:fldChar w:fldCharType="begin"/>
    </w:r>
    <w:r>
      <w:rPr>
        <w:sz w:val="20"/>
      </w:rPr>
      <w:instrText xml:space="preserve"> PAGE  \* MERGEFORMAT </w:instrText>
    </w:r>
    <w:r>
      <w:rPr>
        <w:sz w:val="20"/>
      </w:rPr>
      <w:fldChar w:fldCharType="separate"/>
    </w:r>
    <w:r>
      <w:rPr>
        <w:sz w:val="20"/>
      </w:rPr>
      <w:t>107</w:t>
    </w:r>
    <w:r>
      <w:rPr>
        <w:sz w:val="20"/>
      </w:rPr>
      <w:fldChar w:fldCharType="end"/>
    </w:r>
    <w:r>
      <w:rPr>
        <w:sz w:val="20"/>
      </w:rPr>
      <w:tab/>
    </w:r>
    <w:r>
      <w:rPr>
        <w:sz w:val="20"/>
      </w:rPr>
      <w:tab/>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4880" w14:textId="77777777" w:rsidR="003E1D81" w:rsidRDefault="003E1D81">
    <w:pPr>
      <w:pStyle w:val="FooterLandscap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2B6B4" w14:textId="77777777" w:rsidR="00623EB7" w:rsidRDefault="00623EB7">
      <w:r>
        <w:separator/>
      </w:r>
    </w:p>
  </w:footnote>
  <w:footnote w:type="continuationSeparator" w:id="0">
    <w:p w14:paraId="1DDCC71F" w14:textId="77777777" w:rsidR="00623EB7" w:rsidRDefault="00623EB7">
      <w:pPr>
        <w:spacing w:after="0" w:line="240" w:lineRule="auto"/>
      </w:pPr>
      <w:r>
        <w:continuationSeparator/>
      </w:r>
    </w:p>
    <w:p w14:paraId="39CFBEA3" w14:textId="77777777" w:rsidR="00623EB7" w:rsidRDefault="00623EB7"/>
  </w:footnote>
  <w:footnote w:type="continuationNotice" w:id="1">
    <w:p w14:paraId="05802405" w14:textId="77777777" w:rsidR="00623EB7" w:rsidRDefault="00623EB7">
      <w:pPr>
        <w:spacing w:after="0" w:line="240" w:lineRule="auto"/>
      </w:pPr>
    </w:p>
    <w:p w14:paraId="1FF28F16" w14:textId="77777777" w:rsidR="00623EB7" w:rsidRDefault="00623EB7"/>
  </w:footnote>
  <w:footnote w:id="2">
    <w:p w14:paraId="2709697D" w14:textId="3EFF7A3B"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Az (EU) </w:t>
      </w:r>
      <w:r w:rsidRPr="00C83671">
        <w:rPr>
          <w:rFonts w:ascii="Times New Roman" w:hAnsi="Times New Roman" w:cs="Times New Roman"/>
        </w:rPr>
        <w:t>2019/1242 rendelet 3. cikkének 11. pontjában meghatározottak szerint: belső égésű motorral nem rendelkező vagy 1 g CO2/km-nél kisebb kibocsátású belső égésű motorral felszerelt jármű.</w:t>
      </w:r>
    </w:p>
  </w:footnote>
  <w:footnote w:id="3">
    <w:p w14:paraId="62CABCB5"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Az (EU) 2019/1242 rendelet 3. cikkének 12. pontjában meghatározottak s</w:t>
      </w:r>
      <w:r w:rsidRPr="00C83671">
        <w:rPr>
          <w:rFonts w:ascii="Times New Roman" w:hAnsi="Times New Roman" w:cs="Times New Roman"/>
        </w:rPr>
        <w:t>zerint: amelynek CO2-kibocsátása nem éri el a járműalcsoportba tartozó összes jármű CO2-referenciakibocsátásának felét; a referenciaértékek a tehergépjármű típusától függően eltérőek.</w:t>
      </w:r>
    </w:p>
  </w:footnote>
  <w:footnote w:id="4">
    <w:p w14:paraId="41AF84FA"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 bioüzemanyagok, folyékony bio-energiahordozók és biomasszából előáll</w:t>
      </w:r>
      <w:r w:rsidRPr="00C83671">
        <w:rPr>
          <w:rFonts w:ascii="Times New Roman" w:hAnsi="Times New Roman" w:cs="Times New Roman"/>
        </w:rPr>
        <w:t>ított üzemanyagok megfelelnek az (EU) 2018/2001 megújulóenergia-irányelv (REDII) 29–31. cikkében meghatározott fenntarthatósági és ÜHG-kibocsátásmegtakarítási kritériumoknak, valamint az (EU) 2018/2001 megújulóenergia-irányelv (REDII) 26. cikkében és a kap</w:t>
      </w:r>
      <w:r w:rsidRPr="00C83671">
        <w:rPr>
          <w:rFonts w:ascii="Times New Roman" w:hAnsi="Times New Roman" w:cs="Times New Roman"/>
        </w:rPr>
        <w:t>csolódó végrehajtási és felhatalmazáson alapuló jogi aktusokban meghatározott, az élelmiszer- és takarmányalapú bioüzemanyagokra vonatkozó szabályoknak; és a Helyreállítási és Rezilienciaépítési Eszköz keretében támogatott járművek kizárólag a megújulóener</w:t>
      </w:r>
      <w:r w:rsidRPr="00C83671">
        <w:rPr>
          <w:rFonts w:ascii="Times New Roman" w:hAnsi="Times New Roman" w:cs="Times New Roman"/>
        </w:rPr>
        <w:t>gia-irányelvnek megfelelő bioüzemanyagokat, folyékony bio-energiahordozókat és biomasszából előállított üzemanyagokat használják; a bioüzemanyagok, a folyékony bio-energiahordozók és a biomasszából előállított üzemanyagok szintje/aránya pedig idővel nő.</w:t>
      </w:r>
    </w:p>
  </w:footnote>
  <w:footnote w:id="5">
    <w:p w14:paraId="61975C04" w14:textId="27785845"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Fonts w:ascii="Times New Roman" w:hAnsi="Times New Roman" w:cs="Times New Roman"/>
        </w:rPr>
        <w:t>A bioüzemanyagok, folyékony bio-energiahordozók és biomasszából előállított üzemanyagok megfelelnek az (EU) 2018/2001 megújulóenergia-irányelv (REDII) 29. cikkében meghatározott fenntarthatósági és ÜHG-kibocsátásmegtakarítási kritériumoknak, valamint a kap</w:t>
      </w:r>
      <w:r w:rsidRPr="00C83671">
        <w:rPr>
          <w:rFonts w:ascii="Times New Roman" w:hAnsi="Times New Roman" w:cs="Times New Roman"/>
        </w:rPr>
        <w:t>csolódó végrehajtási és felhatalmazáson alapuló jogi aktusokban meghatározott, az élelmiszer- és takarmányalapú bioüzemanyagokra vonatkozó szabályoknak; és a Helyreállítási és Rezilienciaépítési Eszköz keretében támogatott járművek kizárólag a megújulóener</w:t>
      </w:r>
      <w:r w:rsidRPr="00C83671">
        <w:rPr>
          <w:rFonts w:ascii="Times New Roman" w:hAnsi="Times New Roman" w:cs="Times New Roman"/>
        </w:rPr>
        <w:t>gia-irányelvnek megfelelő bioüzemanyagokat, folyékony bio-energiahordozókat és biomasszából előállított üzemanyagokat használják; a bioüzemanyagok, a folyékony bio-energiahordozók és a biomasszából előállított üzemanyagok szintje/aránya pedig idővel nő.</w:t>
      </w:r>
    </w:p>
  </w:footnote>
  <w:footnote w:id="6">
    <w:p w14:paraId="1DE5B045" w14:textId="6CF8DDEA"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sz w:val="19"/>
        </w:rPr>
        <w:t>K</w:t>
      </w:r>
      <w:r w:rsidRPr="00C83671">
        <w:rPr>
          <w:rFonts w:ascii="Times New Roman" w:hAnsi="Times New Roman" w:cs="Times New Roman"/>
          <w:sz w:val="19"/>
        </w:rPr>
        <w:t>ivéve a) a jelentős károkozás elkerülését célzó technikai iránymutatás (2021/C58/01) III. mellékletében meghatározott feltételeknek megfelelő, a villamosenergia- és/vagy hőtermeléssel kapcsolatos eszközöket és tevékenységeket, valamint a kapcsolódó, földgá</w:t>
      </w:r>
      <w:r w:rsidRPr="00C83671">
        <w:rPr>
          <w:rFonts w:ascii="Times New Roman" w:hAnsi="Times New Roman" w:cs="Times New Roman"/>
          <w:sz w:val="19"/>
        </w:rPr>
        <w:t xml:space="preserve">zt használó szállítási és elosztási infrastruktúrát, valamint b) a ii. alpont szerinti tevékenységeket és eszközöket, amelyek esetében a fosszilis tüzelőanyagok használata átmeneti és technikailag elkerülhetetlen a fosszilis tüzelőanyagoktól mentes üzemre </w:t>
      </w:r>
      <w:r w:rsidRPr="00C83671">
        <w:rPr>
          <w:rFonts w:ascii="Times New Roman" w:hAnsi="Times New Roman" w:cs="Times New Roman"/>
          <w:sz w:val="19"/>
        </w:rPr>
        <w:t>való kellő időben történő átálláshoz.</w:t>
      </w:r>
    </w:p>
  </w:footnote>
  <w:footnote w:id="7">
    <w:p w14:paraId="76B6B55A" w14:textId="776EB3E9"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sz w:val="19"/>
        </w:rPr>
        <w:t>Amennyiben a támogatott tevékenység nem eredményez a vonatkozó referenciaértékeknél lényegesen alacsonyabb előrejelzett üvegházhatásúgáz-kibocsátást, ismertetni kell azokat az okokat, amelyek miatt nem érhető el nagyobb kibocsátáscsökkenés. A kibocsátásker</w:t>
      </w:r>
      <w:r w:rsidRPr="00C83671">
        <w:rPr>
          <w:rFonts w:ascii="Times New Roman" w:hAnsi="Times New Roman" w:cs="Times New Roman"/>
          <w:sz w:val="19"/>
        </w:rPr>
        <w:t xml:space="preserve">eskedelmi rendszer hatálya alá tartozó tevékenységekre vonatkozó ingyenes kiosztásra vonatkozóan az (EU) 2021/447 bizottsági végrehajtási rendeletben meghatározott referenciaértékek. </w:t>
      </w:r>
    </w:p>
  </w:footnote>
  <w:footnote w:id="8">
    <w:p w14:paraId="48521E96" w14:textId="7A608DAF"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Ez a kizárás nem vonatkozik az ezen intézkedés szerinti fellépésekre a </w:t>
      </w:r>
      <w:r w:rsidRPr="00C83671">
        <w:rPr>
          <w:rFonts w:ascii="Times New Roman" w:hAnsi="Times New Roman" w:cs="Times New Roman"/>
        </w:rPr>
        <w:t>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w:t>
      </w:r>
      <w:r w:rsidRPr="00C83671">
        <w:rPr>
          <w:rFonts w:ascii="Times New Roman" w:hAnsi="Times New Roman" w:cs="Times New Roman"/>
        </w:rPr>
        <w:t>kégetésből származó hamuból származó anyagok felhasználása vagy kinyerése, feltéve, hogy az ezen intézkedés szerinti fellépések nem eredményezik az üzemek hulladékfeldolgozási kapacitásának növekedését vagy az üzemek élettartamának meghosszabbítását; amely</w:t>
      </w:r>
      <w:r w:rsidRPr="00C83671">
        <w:rPr>
          <w:rFonts w:ascii="Times New Roman" w:hAnsi="Times New Roman" w:cs="Times New Roman"/>
        </w:rPr>
        <w:t>ekre vonatkozóan az üzem szintjén bizonyítékot szolgáltatnak</w:t>
      </w:r>
    </w:p>
  </w:footnote>
  <w:footnote w:id="9">
    <w:p w14:paraId="6F4D6DC3" w14:textId="3C47CD1C"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Ez a kizárás nem vonatkozik az ezen intézkedés hatálya alá tartozó, meglévő mechanikai-biológiai szennyvíztisztító telepeken végzett tevékenységekre, amennyiben az ezen intézkedés szerinti tevék</w:t>
      </w:r>
      <w:r w:rsidRPr="00C83671">
        <w:rPr>
          <w:rFonts w:ascii="Times New Roman" w:hAnsi="Times New Roman" w:cs="Times New Roman"/>
        </w:rPr>
        <w:t>enységek célja az erőforrás-hatékonyság növelése vagy a szétválasztott hulladék komposzt biohulladékká történő újrafeldolgozási műveleteinek utólagos átalakítása, valamint a biohulladék anaerob lebontása, feltéve, hogy az ezen intézkedés szerinti tevékenys</w:t>
      </w:r>
      <w:r w:rsidRPr="00C83671">
        <w:rPr>
          <w:rFonts w:ascii="Times New Roman" w:hAnsi="Times New Roman" w:cs="Times New Roman"/>
        </w:rPr>
        <w:t>égek nem eredményezik az üzemek hulladékfeldolgozási kapacitásának növekedését vagy az üzemek élettartamának meghosszabbítását; ezek esetében az üzem szintjén szolgáltatnak bizonyítékot.</w:t>
      </w:r>
    </w:p>
  </w:footnote>
  <w:footnote w:id="10">
    <w:p w14:paraId="222C11A5" w14:textId="2BBEAFE4"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00C83671" w:rsidRPr="00C83671">
        <w:rPr>
          <w:rFonts w:ascii="Times New Roman" w:hAnsi="Times New Roman" w:cs="Times New Roman"/>
        </w:rPr>
        <w:t>Az egyes projektekhez kapcsolódó hitelek, részvételi hitelek, projektkötvények, garanciák vagy ezekkel egyenértékű eszközök végső kedvezményezettjeinek minden egyes támogatott projekt esetében meg kell indokolniuk a kiválasztott beavatkozási területet, a projekt leírásával együtt. A végrehajtó partnernek továbbá féléves jelentést kell benyújtania a tagállamnak minden egyes projekt/tevékenység végrehajtásáról.</w:t>
      </w:r>
    </w:p>
  </w:footnote>
  <w:footnote w:id="11">
    <w:p w14:paraId="0AF27CE1"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w:t>
      </w:r>
      <w:r w:rsidRPr="00C83671">
        <w:rPr>
          <w:rFonts w:ascii="Times New Roman" w:hAnsi="Times New Roman" w:cs="Times New Roman"/>
        </w:rPr>
        <w:t>ott feltételeknek megfelelő, földgázt felhasználó villamosenergia- és/vagy hőtermelésre, valamint a kapcsolódó átviteli és elosztási infrastruktúrára irányuló projekteket.</w:t>
      </w:r>
    </w:p>
  </w:footnote>
  <w:footnote w:id="12">
    <w:p w14:paraId="50587B3E"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w:t>
      </w:r>
      <w:r w:rsidRPr="00C83671">
        <w:rPr>
          <w:rFonts w:ascii="Times New Roman" w:hAnsi="Times New Roman" w:cs="Times New Roman"/>
        </w:rPr>
        <w:t>t ér el, amely nem éri el jelentősen a vonatkozó referenciaértékeket, meg kell indokolni, hogy ez miért nem lehetséges. A kibocsátáskereskedelmi rendszer hatálya alá tartozó tevékenységekre vonatkozó ingyenes kiosztásra vonatkozóan az (EU) 2021/447 bizotts</w:t>
      </w:r>
      <w:r w:rsidRPr="00C83671">
        <w:rPr>
          <w:rFonts w:ascii="Times New Roman" w:hAnsi="Times New Roman" w:cs="Times New Roman"/>
        </w:rPr>
        <w:t>ági végrehajtási rendeletben meghatározott referenciaértékek.</w:t>
      </w:r>
    </w:p>
  </w:footnote>
  <w:footnote w:id="13">
    <w:p w14:paraId="26F9A219"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w:t>
      </w:r>
      <w:r w:rsidRPr="00C83671">
        <w:rPr>
          <w:rFonts w:ascii="Times New Roman" w:hAnsi="Times New Roman" w:cs="Times New Roman"/>
        </w:rPr>
        <w:t>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w:t>
      </w:r>
      <w:r w:rsidRPr="00C83671">
        <w:rPr>
          <w:rFonts w:ascii="Times New Roman" w:hAnsi="Times New Roman" w:cs="Times New Roman"/>
        </w:rPr>
        <w:t>épések nem eredményezik az üzemek hulladékfeldolgozási kapacitásának növekedését vagy az üzemek élettartamának meghosszabbítását; ezek esetében az üzem szintjén szolgáltatnak bizonyítékot.</w:t>
      </w:r>
    </w:p>
  </w:footnote>
  <w:footnote w:id="14">
    <w:p w14:paraId="44F31A46"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w:t>
      </w:r>
      <w:r w:rsidRPr="00C83671">
        <w:rPr>
          <w:rFonts w:ascii="Times New Roman" w:hAnsi="Times New Roman" w:cs="Times New Roman"/>
        </w:rPr>
        <w:t>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w:t>
      </w:r>
      <w:r w:rsidRPr="00C83671">
        <w:rPr>
          <w:rFonts w:ascii="Times New Roman" w:hAnsi="Times New Roman" w:cs="Times New Roman"/>
        </w:rPr>
        <w:t>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w:t>
      </w:r>
      <w:r w:rsidRPr="00C83671">
        <w:rPr>
          <w:rFonts w:ascii="Times New Roman" w:hAnsi="Times New Roman" w:cs="Times New Roman"/>
        </w:rPr>
        <w:t>k meghosszabbítását; ezek esetében az üzem szintjén szolgáltatnak bizonyítékot.</w:t>
      </w:r>
    </w:p>
  </w:footnote>
  <w:footnote w:id="15">
    <w:p w14:paraId="63101451"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w:t>
      </w:r>
      <w:r w:rsidRPr="00C83671">
        <w:rPr>
          <w:rFonts w:ascii="Times New Roman" w:hAnsi="Times New Roman" w:cs="Times New Roman"/>
        </w:rPr>
        <w:t>teleknek megfelelő, földgázt felhasználó villamosenergia- és/vagy hőtermelésre, valamint a kapcsolódó átviteli és elosztási infrastruktúrára irányuló projekteket.</w:t>
      </w:r>
    </w:p>
  </w:footnote>
  <w:footnote w:id="16">
    <w:p w14:paraId="6296EAAA"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w:t>
      </w:r>
      <w:r w:rsidRPr="00C83671">
        <w:rPr>
          <w:rFonts w:ascii="Times New Roman" w:hAnsi="Times New Roman" w:cs="Times New Roman"/>
        </w:rPr>
        <w:t>amely nem éri el jelentősen a vonatkozó referenciaértékeket, meg kell indokolni, hogy ez miért nem lehetséges. A kibocsátáskereskedelmi rendszer hatálya alá tartozó tevékenységekre vonatkozó ingyenes kiosztásra vonatkozóan az (EU) 2021/447 bizottsági végre</w:t>
      </w:r>
      <w:r w:rsidRPr="00C83671">
        <w:rPr>
          <w:rFonts w:ascii="Times New Roman" w:hAnsi="Times New Roman" w:cs="Times New Roman"/>
        </w:rPr>
        <w:t>hajtási rendeletben meghatározott referenciaértékek.</w:t>
      </w:r>
    </w:p>
  </w:footnote>
  <w:footnote w:id="17">
    <w:p w14:paraId="63F0BE5B"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w:t>
      </w:r>
      <w:r w:rsidRPr="00C83671">
        <w:rPr>
          <w:rFonts w:ascii="Times New Roman" w:hAnsi="Times New Roman" w:cs="Times New Roman"/>
        </w:rPr>
        <w:t>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w:t>
      </w:r>
      <w:r w:rsidRPr="00C83671">
        <w:rPr>
          <w:rFonts w:ascii="Times New Roman" w:hAnsi="Times New Roman" w:cs="Times New Roman"/>
        </w:rPr>
        <w:t>m eredményezik az üzemek hulladékfeldolgozási kapacitásának növekedését vagy az üzemek élettartamának meghosszabbítását; ezek esetében az üzem szintjén szolgáltatnak bizonyítékot.</w:t>
      </w:r>
    </w:p>
  </w:footnote>
  <w:footnote w:id="18">
    <w:p w14:paraId="508C08BD"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w:t>
      </w:r>
      <w:r w:rsidRPr="00C83671">
        <w:rPr>
          <w:rFonts w:ascii="Times New Roman" w:hAnsi="Times New Roman" w:cs="Times New Roman"/>
        </w:rPr>
        <w:t>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w:t>
      </w:r>
      <w:r w:rsidRPr="00C83671">
        <w:rPr>
          <w:rFonts w:ascii="Times New Roman" w:hAnsi="Times New Roman" w:cs="Times New Roman"/>
        </w:rPr>
        <w:t>kfeldolgozási kapacitásának növelését vagy az üzemek élettartamának meghosszabbítását; ezek esetében az üzem szintjén szolgáltatnak bizonyítékot.</w:t>
      </w:r>
    </w:p>
  </w:footnote>
  <w:footnote w:id="19">
    <w:p w14:paraId="2799D0F0"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50 g CO2/km alatt, a tiszta járművekről szóló felülvizsgált 2009/33/EK irányelv szerinti „tiszta járművek” k</w:t>
      </w:r>
      <w:r w:rsidRPr="00C83671">
        <w:rPr>
          <w:rFonts w:ascii="Times New Roman" w:hAnsi="Times New Roman" w:cs="Times New Roman"/>
        </w:rPr>
        <w:t>ategóriájának megfelelően.</w:t>
      </w:r>
    </w:p>
  </w:footnote>
  <w:footnote w:id="20">
    <w:p w14:paraId="52F142FB"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50 g CO2/km alatt, a tiszta járművekről szóló felülvizsgált 2009/33/EK irányelv szerinti „tiszta járművek” kategóriájának megfelelően.</w:t>
      </w:r>
    </w:p>
  </w:footnote>
  <w:footnote w:id="21">
    <w:p w14:paraId="6C2BCD9C" w14:textId="5C1536A5" w:rsidR="003E1D81" w:rsidRPr="00C83671" w:rsidRDefault="00EB481C">
      <w:pPr>
        <w:spacing w:after="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Fonts w:ascii="Times New Roman" w:hAnsi="Times New Roman" w:cs="Times New Roman"/>
          <w:sz w:val="20"/>
        </w:rPr>
        <w:t>Hálózat- és információbiztonsági együttműködési csoport, Az 5G hálózatok kiberbiztonsága A</w:t>
      </w:r>
      <w:r w:rsidRPr="00C83671">
        <w:rPr>
          <w:rFonts w:ascii="Times New Roman" w:hAnsi="Times New Roman" w:cs="Times New Roman"/>
          <w:sz w:val="20"/>
        </w:rPr>
        <w:t xml:space="preserve"> kockázatcsökkentő intézkedések uniós eszköztára, 2020. január, https://ec.europa.eu/newsroom/dae/document.cfm?doc_id=64468</w:t>
      </w:r>
    </w:p>
  </w:footnote>
  <w:footnote w:id="22">
    <w:p w14:paraId="5CC49010" w14:textId="7EF5DFD7" w:rsidR="003E1D81" w:rsidRPr="00C83671" w:rsidRDefault="00EB481C">
      <w:pPr>
        <w:spacing w:after="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sz w:val="20"/>
        </w:rPr>
        <w:t>Az Európai Parlament és a Tanács (EU) 2021/697 rendelete (2021. április 29.) az Európai Védelmi Alap létrehozásáról</w:t>
      </w:r>
    </w:p>
  </w:footnote>
  <w:footnote w:id="23">
    <w:p w14:paraId="59F1DBB5" w14:textId="34DE33E1" w:rsidR="003E1D81" w:rsidRPr="00C83671" w:rsidRDefault="00EB481C">
      <w:pPr>
        <w:spacing w:after="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sz w:val="20"/>
        </w:rPr>
        <w:t>Az (EU) 2021/6</w:t>
      </w:r>
      <w:r w:rsidRPr="00C83671">
        <w:rPr>
          <w:rFonts w:ascii="Times New Roman" w:hAnsi="Times New Roman" w:cs="Times New Roman"/>
          <w:sz w:val="20"/>
        </w:rPr>
        <w:t>96 rendelet az uniós űrprogram és az Európai Unió Űrprogramügynökségének létrehozásáról</w:t>
      </w:r>
    </w:p>
  </w:footnote>
  <w:footnote w:id="24">
    <w:p w14:paraId="1CFB3942" w14:textId="3B9B6CF6" w:rsidR="003E1D81" w:rsidRPr="00C83671" w:rsidRDefault="00EB481C">
      <w:pPr>
        <w:spacing w:after="0" w:line="240" w:lineRule="auto"/>
        <w:jc w:val="both"/>
        <w:rPr>
          <w:rFonts w:ascii="Times New Roman" w:eastAsia="Times New Roman" w:hAnsi="Times New Roman" w:cs="Times New Roman"/>
          <w:sz w:val="24"/>
        </w:rPr>
      </w:pPr>
      <w:r w:rsidRPr="00C83671">
        <w:rPr>
          <w:rStyle w:val="FootnoteReference"/>
          <w:rFonts w:ascii="Times New Roman" w:hAnsi="Times New Roman" w:cs="Times New Roman"/>
        </w:rPr>
        <w:footnoteRef/>
      </w:r>
      <w:r w:rsidRPr="00C83671">
        <w:rPr>
          <w:rFonts w:ascii="Times New Roman" w:hAnsi="Times New Roman" w:cs="Times New Roman"/>
          <w:sz w:val="20"/>
        </w:rPr>
        <w:t>Kivéve a) a jelentős károkozás elkerülését célzó technikai iránymutatás (2021/C58/01) III. mellékletében meghatározott feltételeknek megfelelő, a villamosenergia- és/v</w:t>
      </w:r>
      <w:r w:rsidRPr="00C83671">
        <w:rPr>
          <w:rFonts w:ascii="Times New Roman" w:hAnsi="Times New Roman" w:cs="Times New Roman"/>
          <w:sz w:val="20"/>
        </w:rPr>
        <w:t>agy hőtermeléssel kapcsolatos eszközöket és tevékenységeket, valamint a kapcsolódó, földgázt használó szállítási és elosztási infrastruktúrát, valamint b) a ii. alpont szerinti tevékenységeket és eszközöket, amelyek esetében a fosszilis tüzelőanyagok haszn</w:t>
      </w:r>
      <w:r w:rsidRPr="00C83671">
        <w:rPr>
          <w:rFonts w:ascii="Times New Roman" w:hAnsi="Times New Roman" w:cs="Times New Roman"/>
          <w:sz w:val="20"/>
        </w:rPr>
        <w:t>álata átmeneti és technikailag elkerülhetetlen a fosszilis tüzelőanyagoktól mentes üzemre való kellő időben történő átálláshoz.</w:t>
      </w:r>
    </w:p>
  </w:footnote>
  <w:footnote w:id="25">
    <w:p w14:paraId="2901D6EB" w14:textId="046F0831" w:rsidR="003E1D81" w:rsidRPr="00C83671" w:rsidRDefault="00EB481C">
      <w:pPr>
        <w:spacing w:before="120" w:after="120" w:line="240" w:lineRule="auto"/>
        <w:jc w:val="both"/>
        <w:rPr>
          <w:rFonts w:ascii="Times New Roman" w:eastAsia="Times New Roman" w:hAnsi="Times New Roman" w:cs="Times New Roman"/>
          <w:sz w:val="24"/>
          <w:shd w:val="clear" w:color="auto" w:fill="FFFFFF"/>
        </w:rPr>
      </w:pPr>
      <w:r w:rsidRPr="00C83671">
        <w:rPr>
          <w:rStyle w:val="FootnoteReference"/>
          <w:rFonts w:ascii="Times New Roman" w:hAnsi="Times New Roman" w:cs="Times New Roman"/>
        </w:rPr>
        <w:footnoteRef/>
      </w:r>
      <w:r w:rsidRPr="00C83671">
        <w:rPr>
          <w:rFonts w:ascii="Times New Roman" w:hAnsi="Times New Roman" w:cs="Times New Roman"/>
          <w:sz w:val="20"/>
        </w:rPr>
        <w:t>Beleértve az uniós kibocsátáskereskedelmi rendszer (ETS) keretébe tartozó olyan tevékenységeket és eszközöket, amelyek a vonatkozó referenciaértékeknél nem alacsonyabb várható üvegházhatásúgáz-kibocsátást érnek el. Amennyiben a támogatott tevékenység nem e</w:t>
      </w:r>
      <w:r w:rsidRPr="00C83671">
        <w:rPr>
          <w:rFonts w:ascii="Times New Roman" w:hAnsi="Times New Roman" w:cs="Times New Roman"/>
          <w:sz w:val="20"/>
        </w:rPr>
        <w:t>redményez a vonatkozó referenciaértékeknél lényegesen alacsonyabb előrejelzett üvegházhatásúgáz-kibocsátást, ismertetni kell azokat az okokat, amelyek miatt nem érhető el nagyobb kibocsátáscsökkenés. A kibocsátáskereskedelmi rendszer hatálya alá tartozó te</w:t>
      </w:r>
      <w:r w:rsidRPr="00C83671">
        <w:rPr>
          <w:rFonts w:ascii="Times New Roman" w:hAnsi="Times New Roman" w:cs="Times New Roman"/>
          <w:sz w:val="20"/>
        </w:rPr>
        <w:t xml:space="preserve">vékenységekre vonatkozó ingyenes kiosztásra vonatkozóan az (EU) 2021/447 bizottsági végrehajtási rendeletben meghatározott referenciaértékek. </w:t>
      </w:r>
      <w:r w:rsidRPr="00C83671">
        <w:rPr>
          <w:rFonts w:ascii="Times New Roman" w:hAnsi="Times New Roman" w:cs="Times New Roman"/>
          <w:sz w:val="20"/>
          <w:shd w:val="clear" w:color="auto" w:fill="FFFFFF"/>
        </w:rPr>
        <w:t>Az intézkedés végrehajtását 2026. augusztus 31-ig be kell fejezni.</w:t>
      </w:r>
    </w:p>
  </w:footnote>
  <w:footnote w:id="26">
    <w:p w14:paraId="571E7E81" w14:textId="5818DE8D" w:rsidR="003E1D81" w:rsidRPr="00C83671" w:rsidRDefault="00EB481C">
      <w:pPr>
        <w:pStyle w:val="FootnoteText"/>
        <w:ind w:left="0" w:firstLine="0"/>
        <w:jc w:val="left"/>
        <w:rPr>
          <w:rFonts w:ascii="Times New Roman" w:hAnsi="Times New Roman" w:cs="Times New Roman"/>
          <w:sz w:val="22"/>
        </w:rPr>
      </w:pPr>
      <w:r w:rsidRPr="00C83671">
        <w:rPr>
          <w:rStyle w:val="FootnoteReference"/>
          <w:rFonts w:ascii="Times New Roman" w:hAnsi="Times New Roman" w:cs="Times New Roman"/>
        </w:rPr>
        <w:footnoteRef/>
      </w:r>
      <w:r w:rsidRPr="00C83671">
        <w:rPr>
          <w:rFonts w:ascii="Times New Roman" w:hAnsi="Times New Roman" w:cs="Times New Roman"/>
        </w:rPr>
        <w:t>Ez a kizárás nem vonatkozik az ezen intézkedés</w:t>
      </w:r>
      <w:r w:rsidRPr="00C83671">
        <w:rPr>
          <w:rFonts w:ascii="Times New Roman" w:hAnsi="Times New Roman" w:cs="Times New Roman"/>
        </w:rPr>
        <w:t xml:space="preserve">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w:t>
      </w:r>
      <w:r w:rsidRPr="00C83671">
        <w:rPr>
          <w:rFonts w:ascii="Times New Roman" w:hAnsi="Times New Roman" w:cs="Times New Roman"/>
        </w:rPr>
        <w:t xml:space="preserve">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w:t>
      </w:r>
      <w:r w:rsidRPr="00C83671">
        <w:rPr>
          <w:rFonts w:ascii="Times New Roman" w:hAnsi="Times New Roman" w:cs="Times New Roman"/>
        </w:rPr>
        <w:t xml:space="preserve"> meghosszabbítását; amelyekre vonatkozóan az üzem szintjén bizonyítékot szolgáltatnak</w:t>
      </w:r>
    </w:p>
  </w:footnote>
  <w:footnote w:id="27">
    <w:p w14:paraId="46703EAB"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hatálya alá tartozó, meglévő mechanikai-biológiai szennyvíztisztító telepeken végzett tevékenységekre, amennyiben az ezen</w:t>
      </w:r>
      <w:r w:rsidRPr="00C83671">
        <w:rPr>
          <w:rFonts w:ascii="Times New Roman" w:hAnsi="Times New Roman" w:cs="Times New Roman"/>
        </w:rPr>
        <w:t xml:space="preserve"> intézkedés szerinti tevékenységek célja az erőforrás-hatékonyság növelése vagy a szétválasztott hulladék komposzt biohulladékká történő újrafeldolgozási műveleteinek utólagos átalakítása, valamint a biohulladék anaerob lebontása, feltéve, hogy az ezen int</w:t>
      </w:r>
      <w:r w:rsidRPr="00C83671">
        <w:rPr>
          <w:rFonts w:ascii="Times New Roman" w:hAnsi="Times New Roman" w:cs="Times New Roman"/>
        </w:rPr>
        <w:t>ézkedés szerinti tevékenységek nem eredményezik az üzemek hulladékfeldolgozási kapacitásának növekedését vagy az üzemek élettartamának meghosszabbítását; ezek esetében az üzem szintjén szolgáltatnak bizonyítékot.</w:t>
      </w:r>
    </w:p>
  </w:footnote>
  <w:footnote w:id="28">
    <w:p w14:paraId="3D796719" w14:textId="54FCA843" w:rsidR="003E1D81" w:rsidRPr="00C83671" w:rsidRDefault="00EB481C">
      <w:pPr>
        <w:spacing w:before="120" w:after="120" w:line="240" w:lineRule="auto"/>
        <w:jc w:val="both"/>
        <w:rPr>
          <w:rFonts w:ascii="Times New Roman" w:eastAsia="Times New Roman" w:hAnsi="Times New Roman" w:cs="Times New Roman"/>
          <w:sz w:val="24"/>
        </w:rPr>
      </w:pPr>
      <w:r w:rsidRPr="00C83671">
        <w:rPr>
          <w:rStyle w:val="FootnoteReference"/>
          <w:rFonts w:ascii="Times New Roman" w:hAnsi="Times New Roman" w:cs="Times New Roman"/>
        </w:rPr>
        <w:footnoteRef/>
      </w:r>
      <w:r w:rsidRPr="00C83671">
        <w:rPr>
          <w:rFonts w:ascii="Times New Roman" w:hAnsi="Times New Roman" w:cs="Times New Roman"/>
          <w:sz w:val="20"/>
        </w:rPr>
        <w:t>A 2013/34/EU irányelvet a fenntarthatóságg</w:t>
      </w:r>
      <w:r w:rsidRPr="00C83671">
        <w:rPr>
          <w:rFonts w:ascii="Times New Roman" w:hAnsi="Times New Roman" w:cs="Times New Roman"/>
          <w:sz w:val="20"/>
        </w:rPr>
        <w:t>al kapcsolatos vállalati beszámolásról szóló irányelvről szóló (EU) 2022/2464 irányelv módosítja.</w:t>
      </w:r>
    </w:p>
  </w:footnote>
  <w:footnote w:id="29">
    <w:p w14:paraId="3C8EE0D6" w14:textId="5D51D679" w:rsidR="003E1D81" w:rsidRPr="00C83671" w:rsidRDefault="00EB481C">
      <w:pPr>
        <w:spacing w:before="120" w:after="120" w:line="240" w:lineRule="auto"/>
        <w:jc w:val="both"/>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Fonts w:ascii="Times New Roman" w:hAnsi="Times New Roman" w:cs="Times New Roman"/>
          <w:sz w:val="20"/>
        </w:rPr>
        <w:t>Kivéve a) a jelentős károkozás elkerülését célzó technikai iránymutatás (2021/C58/01) III. mellékletében meghatározott feltételeknek megfelelő villamosenerg</w:t>
      </w:r>
      <w:r w:rsidRPr="00C83671">
        <w:rPr>
          <w:rFonts w:ascii="Times New Roman" w:hAnsi="Times New Roman" w:cs="Times New Roman"/>
          <w:sz w:val="20"/>
        </w:rPr>
        <w:t>ia- és/vagy hőtermeléssel, valamint a kapcsolódó földgázszállítási és -elosztási infrastruktúrával kapcsolatos, ezen intézkedés hatálya alá tartozó projekteket, valamint b) a ii. alpont szerinti tevékenységeket és eszközöket, amelyek esetében a fosszilis t</w:t>
      </w:r>
      <w:r w:rsidRPr="00C83671">
        <w:rPr>
          <w:rFonts w:ascii="Times New Roman" w:hAnsi="Times New Roman" w:cs="Times New Roman"/>
          <w:sz w:val="20"/>
        </w:rPr>
        <w:t>üzelőanyagok használata átmeneti és technikailag elkerülhetetlen a fosszilis tüzelőanyagoktól mentes üzemre való, időben történő átállás szempontjából.</w:t>
      </w:r>
    </w:p>
  </w:footnote>
  <w:footnote w:id="30">
    <w:p w14:paraId="5A02C797" w14:textId="5532159A" w:rsidR="003E1D81" w:rsidRPr="00C83671" w:rsidRDefault="00EB481C">
      <w:pPr>
        <w:pStyle w:val="FootnoteText"/>
        <w:ind w:left="0" w:firstLine="0"/>
        <w:rPr>
          <w:rFonts w:ascii="Times New Roman" w:hAnsi="Times New Roman" w:cs="Times New Roman"/>
          <w:sz w:val="16"/>
        </w:rPr>
      </w:pPr>
      <w:r w:rsidRPr="00C83671">
        <w:rPr>
          <w:rStyle w:val="FootnoteReference"/>
          <w:rFonts w:ascii="Times New Roman" w:hAnsi="Times New Roman" w:cs="Times New Roman"/>
          <w:sz w:val="18"/>
        </w:rPr>
        <w:footnoteRef/>
      </w:r>
      <w:r w:rsidRPr="00C83671">
        <w:rPr>
          <w:rFonts w:ascii="Times New Roman" w:hAnsi="Times New Roman" w:cs="Times New Roman"/>
        </w:rPr>
        <w:t>Amennyiben a támogatott tevékenység olyan előre jelzett üvegházhatásúgáz-kibocsátást ér el, amely nem a</w:t>
      </w:r>
      <w:r w:rsidRPr="00C83671">
        <w:rPr>
          <w:rFonts w:ascii="Times New Roman" w:hAnsi="Times New Roman" w:cs="Times New Roman"/>
        </w:rPr>
        <w:t>lacsonyabb a vonatkozó referenciaértékeknél, meg kell indokolni, hogy ez miért nem lehetséges. A kibocsátáskereskedelmi rendszer hatálya alá tartozó tevékenységekre vonatkozó ingyenes kiosztásra vonatkozóan az (EU) 2021/447 bizottsági végrehajtási rendelet</w:t>
      </w:r>
      <w:r w:rsidRPr="00C83671">
        <w:rPr>
          <w:rFonts w:ascii="Times New Roman" w:hAnsi="Times New Roman" w:cs="Times New Roman"/>
        </w:rPr>
        <w:t>ben meghatározott referenciaértékek.</w:t>
      </w:r>
    </w:p>
  </w:footnote>
  <w:footnote w:id="31">
    <w:p w14:paraId="6555F20D" w14:textId="2CFBF999"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Ez a kizárás nem vonatkozik az ezen intézkedés szerinti fellépésekre a kizárólag nem újrafeldolgozható veszélyes hulladékok kezelésére szolgáló létesítményekben, valamint a meglévő üzemekben, ahol az ezen intézkedés sz</w:t>
      </w:r>
      <w:r w:rsidRPr="00C83671">
        <w:rPr>
          <w:rFonts w:ascii="Times New Roman" w:hAnsi="Times New Roman" w:cs="Times New Roman"/>
        </w:rPr>
        <w:t>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w:t>
      </w:r>
      <w:r w:rsidRPr="00C83671">
        <w:rPr>
          <w:rFonts w:ascii="Times New Roman" w:hAnsi="Times New Roman" w:cs="Times New Roman"/>
        </w:rPr>
        <w:t xml:space="preserve"> üzemek hulladékfeldolgozási kapacitásának növekedését vagy az üzemek élettartamának meghosszabbítását; ezek esetében az üzem szintjén szolgáltatnak bizonyítékot.</w:t>
      </w:r>
    </w:p>
  </w:footnote>
  <w:footnote w:id="32">
    <w:p w14:paraId="1C473F0A" w14:textId="77777777" w:rsidR="003E1D81" w:rsidRPr="00C83671" w:rsidRDefault="00EB481C">
      <w:pPr>
        <w:pStyle w:val="ListParagraph"/>
        <w:ind w:left="0"/>
        <w:jc w:val="both"/>
        <w:rPr>
          <w:rFonts w:ascii="Times New Roman" w:eastAsia="Times New Roman" w:hAnsi="Times New Roman" w:cs="Times New Roman"/>
          <w:sz w:val="20"/>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Fonts w:ascii="Times New Roman" w:hAnsi="Times New Roman" w:cs="Times New Roman"/>
          <w:sz w:val="20"/>
        </w:rPr>
        <w:t>Ez a kizárás nem vonatkozik az ezen intézkedés keretében a meglévő mechanikus-biológiai hul</w:t>
      </w:r>
      <w:r w:rsidRPr="00C83671">
        <w:rPr>
          <w:rFonts w:ascii="Times New Roman" w:hAnsi="Times New Roman" w:cs="Times New Roman"/>
          <w:sz w:val="20"/>
        </w:rPr>
        <w:t>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w:t>
      </w:r>
      <w:r w:rsidRPr="00C83671">
        <w:rPr>
          <w:rFonts w:ascii="Times New Roman" w:hAnsi="Times New Roman" w:cs="Times New Roman"/>
          <w:sz w:val="20"/>
        </w:rPr>
        <w:t xml:space="preserve">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w:t>
      </w:r>
      <w:r w:rsidRPr="00C83671">
        <w:rPr>
          <w:rFonts w:ascii="Times New Roman" w:hAnsi="Times New Roman" w:cs="Times New Roman"/>
          <w:sz w:val="20"/>
        </w:rPr>
        <w:t xml:space="preserve">esetében az üzem szintjén szolgáltatnak bizonyítékot. </w:t>
      </w:r>
    </w:p>
    <w:p w14:paraId="739E8B04" w14:textId="744A2C36" w:rsidR="003E1D81" w:rsidRPr="00C83671" w:rsidRDefault="003E1D81">
      <w:pPr>
        <w:pStyle w:val="FootnoteText"/>
        <w:ind w:left="0" w:firstLine="0"/>
        <w:rPr>
          <w:rFonts w:ascii="Times New Roman" w:hAnsi="Times New Roman" w:cs="Times New Roman"/>
        </w:rPr>
      </w:pPr>
    </w:p>
  </w:footnote>
  <w:footnote w:id="33">
    <w:p w14:paraId="6EC169C1"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b/>
        <w:t>HL L 169., 2019.6.25., 1. o.</w:t>
      </w:r>
    </w:p>
  </w:footnote>
  <w:footnote w:id="34">
    <w:p w14:paraId="0D03082E" w14:textId="6AEF5DB0" w:rsidR="003E1D81" w:rsidRPr="00C83671" w:rsidRDefault="00EB481C">
      <w:pPr>
        <w:pStyle w:val="FootnoteText"/>
        <w:ind w:left="0" w:firstLine="0"/>
        <w:jc w:val="left"/>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COM(2020) 66 final.</w:t>
      </w:r>
    </w:p>
  </w:footnote>
  <w:footnote w:id="35">
    <w:p w14:paraId="485D71F3" w14:textId="5F1F93EF" w:rsidR="003E1D81" w:rsidRPr="00C83671" w:rsidRDefault="00EB481C">
      <w:pPr>
        <w:pStyle w:val="FootnoteText"/>
        <w:ind w:left="0" w:firstLine="0"/>
        <w:jc w:val="left"/>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Lásd az európai adatkormányzásról szóló európai parlamenti és tanácsi rendeletre irányuló javaslatot, 2020.11.25., COM(2020) 767 final.</w:t>
      </w:r>
    </w:p>
  </w:footnote>
  <w:footnote w:id="36">
    <w:p w14:paraId="466BEC08" w14:textId="002B9445" w:rsidR="003E1D81" w:rsidRPr="00C83671" w:rsidRDefault="00EB481C">
      <w:pPr>
        <w:pStyle w:val="FootnoteText"/>
        <w:ind w:left="0" w:firstLine="0"/>
        <w:jc w:val="left"/>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hyperlink r:id="rId1" w:history="1">
        <w:r w:rsidRPr="00C83671">
          <w:rPr>
            <w:rStyle w:val="Hyperlink"/>
            <w:rFonts w:ascii="Times New Roman" w:hAnsi="Times New Roman" w:cs="Times New Roman"/>
          </w:rPr>
          <w:t>https://digital-strategy.ec.europa.eu/en/activities/digital-programme</w:t>
        </w:r>
      </w:hyperlink>
    </w:p>
    <w:p w14:paraId="43E95BAE" w14:textId="71DC71D6" w:rsidR="003E1D81" w:rsidRPr="00C83671" w:rsidRDefault="003E1D81">
      <w:pPr>
        <w:pStyle w:val="FootnoteText"/>
        <w:ind w:left="0" w:firstLine="0"/>
        <w:jc w:val="left"/>
        <w:rPr>
          <w:rFonts w:ascii="Times New Roman" w:hAnsi="Times New Roman" w:cs="Times New Roman"/>
        </w:rPr>
      </w:pPr>
    </w:p>
  </w:footnote>
  <w:footnote w:id="37">
    <w:p w14:paraId="6A6F0B55"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 a jelentős károkozás elkerülését célzó technikai iránymutatás (2021/C58/01) III. mellékle</w:t>
      </w:r>
      <w:r w:rsidRPr="00C83671">
        <w:rPr>
          <w:rFonts w:ascii="Times New Roman" w:hAnsi="Times New Roman" w:cs="Times New Roman"/>
        </w:rPr>
        <w:t>tében meghatározott feltételeknek megfelelő villamosenergia- és/vagy hőtermeléssel, valamint a kapcsolódó földgázszállítási és -elosztási infrastruktúrával kapcsolatos, ezen intézkedés hatálya alá tartozó projekteket, valamint b) a ii. alpont szerinti tevé</w:t>
      </w:r>
      <w:r w:rsidRPr="00C83671">
        <w:rPr>
          <w:rFonts w:ascii="Times New Roman" w:hAnsi="Times New Roman" w:cs="Times New Roman"/>
        </w:rPr>
        <w:t xml:space="preserve">kenységeket és eszközöket, amelyek esetében a fosszilis tüzelőanyagok használata átmeneti és technikailag elkerülhetetlen a fosszilis tüzelőanyagoktól mentes üzemre való, időben történő átállás szempontjából. </w:t>
      </w:r>
    </w:p>
  </w:footnote>
  <w:footnote w:id="38">
    <w:p w14:paraId="4112B603"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w:t>
      </w:r>
      <w:r w:rsidRPr="00C83671">
        <w:rPr>
          <w:rFonts w:ascii="Times New Roman" w:hAnsi="Times New Roman" w:cs="Times New Roman"/>
        </w:rPr>
        <w:t xml:space="preserve"> tevékenységekre vonatkozó ingyenes kiosztásra vonatkozóan az (EU) 2021/447 bizottsági végrehajtási rendeletben meghatározott referenciaértékek.</w:t>
      </w:r>
    </w:p>
  </w:footnote>
  <w:footnote w:id="39">
    <w:p w14:paraId="05DD6DC8"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w:t>
      </w:r>
      <w:r w:rsidRPr="00C83671">
        <w:rPr>
          <w:rFonts w:ascii="Times New Roman" w:hAnsi="Times New Roman" w:cs="Times New Roman"/>
        </w:rPr>
        <w:t>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w:t>
      </w:r>
      <w:r w:rsidRPr="00C83671">
        <w:rPr>
          <w:rFonts w:ascii="Times New Roman" w:hAnsi="Times New Roman" w:cs="Times New Roman"/>
        </w:rPr>
        <w:t>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w:t>
      </w:r>
      <w:r w:rsidRPr="00C83671">
        <w:rPr>
          <w:rFonts w:ascii="Times New Roman" w:hAnsi="Times New Roman" w:cs="Times New Roman"/>
        </w:rPr>
        <w:t>k bizonyítékot.</w:t>
      </w:r>
    </w:p>
  </w:footnote>
  <w:footnote w:id="40">
    <w:p w14:paraId="1AC93939"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w:t>
      </w:r>
      <w:r w:rsidRPr="00C83671">
        <w:rPr>
          <w:rFonts w:ascii="Times New Roman" w:hAnsi="Times New Roman" w:cs="Times New Roman"/>
        </w:rPr>
        <w:t xml:space="preserve">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w:t>
      </w:r>
      <w:r w:rsidRPr="00C83671">
        <w:rPr>
          <w:rFonts w:ascii="Times New Roman" w:hAnsi="Times New Roman" w:cs="Times New Roman"/>
        </w:rPr>
        <w:t>az üzemek hulladékfeldolgozási kapacitásának növelését vagy az üzemek élettartamának meghosszabbítását; ezek esetében az üzem szintjén szolgáltatnak bizonyítékot.</w:t>
      </w:r>
    </w:p>
  </w:footnote>
  <w:footnote w:id="41">
    <w:p w14:paraId="34A4EF96"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HL L 57., 2021.2.18., 17. o.</w:t>
      </w:r>
    </w:p>
  </w:footnote>
  <w:footnote w:id="42">
    <w:p w14:paraId="368829F4"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 a jelentős károkozás elkerülését célzó technikai i</w:t>
      </w:r>
      <w:r w:rsidRPr="00C83671">
        <w:rPr>
          <w:rFonts w:ascii="Times New Roman" w:hAnsi="Times New Roman" w:cs="Times New Roman"/>
        </w:rPr>
        <w:t>ránymutatás (2021/C58/01) III. mellékletében meghatározott feltételeknek megfelelő villamosenergia- és/vagy hőtermeléssel, valamint a kapcsolódó, földgázt használó szállítási és elosztási infrastruktúrával kapcsolatos, ezen intézkedés hatálya alá tartozó p</w:t>
      </w:r>
      <w:r w:rsidRPr="00C83671">
        <w:rPr>
          <w:rFonts w:ascii="Times New Roman" w:hAnsi="Times New Roman" w:cs="Times New Roman"/>
        </w:rPr>
        <w:t>rojekteket, valamint b) a ii. alpont szerinti tevékenységeket és eszközöket, amelyek esetében a fosszilis tüzelőanyagok használata átmeneti és technikailag elkerülhetetlen a fosszilis tüzelőanyagoktól mentes üzemre való, időben történő átálláshoz.</w:t>
      </w:r>
    </w:p>
  </w:footnote>
  <w:footnote w:id="43">
    <w:p w14:paraId="20BE5507"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w:t>
      </w:r>
      <w:r w:rsidRPr="00C83671">
        <w:rPr>
          <w:rFonts w:ascii="Times New Roman" w:hAnsi="Times New Roman" w:cs="Times New Roman"/>
        </w:rPr>
        <w:t>iben a támogatott tevékenység olyan előrejelzett üvegházhatásúgáz-kibocsátást ér el, amely nem éri el jelentősen a vonatkozó referenciaértékeket, meg kell indokolni, hogy ez miért nem lehetséges. A kibocsátáskereskedelmi rendszer hatálya alá tartozó tevéke</w:t>
      </w:r>
      <w:r w:rsidRPr="00C83671">
        <w:rPr>
          <w:rFonts w:ascii="Times New Roman" w:hAnsi="Times New Roman" w:cs="Times New Roman"/>
        </w:rPr>
        <w:t>nységekre vonatkozó ingyenes kiosztásra vonatkozóan az (EU) 2021/447 bizottsági végrehajtási rendeletben meghatározott referenciaértékek.</w:t>
      </w:r>
    </w:p>
  </w:footnote>
  <w:footnote w:id="44">
    <w:p w14:paraId="40D0A9C9"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veszélyes hul</w:t>
      </w:r>
      <w:r w:rsidRPr="00C83671">
        <w:rPr>
          <w:rFonts w:ascii="Times New Roman" w:hAnsi="Times New Roman" w:cs="Times New Roman"/>
        </w:rPr>
        <w:t xml:space="preserve">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w:t>
      </w:r>
      <w:r w:rsidRPr="00C83671">
        <w:rPr>
          <w:rFonts w:ascii="Times New Roman" w:hAnsi="Times New Roman" w:cs="Times New Roman"/>
        </w:rPr>
        <w:t>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w:t>
      </w:r>
      <w:r w:rsidRPr="00C83671">
        <w:rPr>
          <w:rFonts w:ascii="Times New Roman" w:hAnsi="Times New Roman" w:cs="Times New Roman"/>
        </w:rPr>
        <w:t>yítékot.</w:t>
      </w:r>
    </w:p>
  </w:footnote>
  <w:footnote w:id="45">
    <w:p w14:paraId="200E5F5C"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hatálya alá tartozó, meglévő mechanikai-biológiai szennyvíztisztító telepeken végzett tevékenységekre, amennyiben az ezen intézkedés szerinti tevékenységek célja az erőforrás-hatékonyság növelése va</w:t>
      </w:r>
      <w:r w:rsidRPr="00C83671">
        <w:rPr>
          <w:rFonts w:ascii="Times New Roman" w:hAnsi="Times New Roman" w:cs="Times New Roman"/>
        </w:rPr>
        <w:t>gy a szétválasztott hulladék komposzt biohulladékká történő újrafeldolgozási műveleteinek utólagos átalakítása, valamint a biohulladék anaerob lebontása, feltéve, hogy az ezen intézkedés szerinti tevékenységek nem eredményezik az üzemek hulladékfeldolgozás</w:t>
      </w:r>
      <w:r w:rsidRPr="00C83671">
        <w:rPr>
          <w:rFonts w:ascii="Times New Roman" w:hAnsi="Times New Roman" w:cs="Times New Roman"/>
        </w:rPr>
        <w:t>i kapacitásának növekedését vagy az üzemek élettartamának meghosszabbítását; ezek esetében az üzem szintjén szolgáltatnak bizonyítékot.</w:t>
      </w:r>
    </w:p>
  </w:footnote>
  <w:footnote w:id="46">
    <w:p w14:paraId="77D87518"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 az ezen intézkedés hatálya alá tartozó, a jelentős károkozás elkerülését célzó technikai iránymutatás (2021/</w:t>
      </w:r>
      <w:r w:rsidRPr="00C83671">
        <w:rPr>
          <w:rFonts w:ascii="Times New Roman" w:hAnsi="Times New Roman" w:cs="Times New Roman"/>
        </w:rPr>
        <w:t>C58/01) III. mellékletében meghatározott feltételeknek megfelelő, földgázt felhasználó villamosenergia- és/vagy hőtermeléssel, valamint a kapcsolódó szállítási és elosztási infrastruktúrával kapcsolatos projektek. És b) a ii. alpont szerinti olyan tevékeny</w:t>
      </w:r>
      <w:r w:rsidRPr="00C83671">
        <w:rPr>
          <w:rFonts w:ascii="Times New Roman" w:hAnsi="Times New Roman" w:cs="Times New Roman"/>
        </w:rPr>
        <w:t>ségek és eszközök, amelyek esetében a fosszilis tüzelőanyagok használata ideiglenes és technikailag elkerülhetetlen a fosszilis tüzelőanyagoktól mentes üzemre való, időben történő átálláshoz.</w:t>
      </w:r>
    </w:p>
  </w:footnote>
  <w:footnote w:id="47">
    <w:p w14:paraId="46112024"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w:t>
      </w:r>
      <w:r w:rsidRPr="00C83671">
        <w:rPr>
          <w:rFonts w:ascii="Times New Roman" w:hAnsi="Times New Roman" w:cs="Times New Roman"/>
        </w:rPr>
        <w:t>hatásúgáz-kibocsátást ér el, amely nem éri el jelentősen a vonatkozó referenciaértékeket, meg kell indokolni, hogy ez miért nem lehetséges. A kibocsátáskereskedelmi rendszer hatálya alá tartozó tevékenységekre vonatkozó ingyenes kiosztásra vonatkozóan az (</w:t>
      </w:r>
      <w:r w:rsidRPr="00C83671">
        <w:rPr>
          <w:rFonts w:ascii="Times New Roman" w:hAnsi="Times New Roman" w:cs="Times New Roman"/>
        </w:rPr>
        <w:t>EU) 2021/447 bizottsági végrehajtási rendeletben meghatározott referenciaértékek.</w:t>
      </w:r>
    </w:p>
  </w:footnote>
  <w:footnote w:id="48">
    <w:p w14:paraId="1A0AD9D3"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w:t>
      </w:r>
      <w:r w:rsidRPr="00C83671">
        <w:rPr>
          <w:rFonts w:ascii="Times New Roman" w:hAnsi="Times New Roman" w:cs="Times New Roman"/>
        </w:rPr>
        <w:t xml:space="preserve">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w:t>
      </w:r>
      <w:r w:rsidRPr="00C83671">
        <w:rPr>
          <w:rFonts w:ascii="Times New Roman" w:hAnsi="Times New Roman" w:cs="Times New Roman"/>
        </w:rPr>
        <w:t>zkedés szerinti fellépések nem eredményezik az üzemek hulladékfeldolgozási kapacitásának növekedését vagy az üzemek élettartamának meghosszabbítását; ezek esetében az üzem szintjén szolgáltatnak bizonyítékot.</w:t>
      </w:r>
    </w:p>
  </w:footnote>
  <w:footnote w:id="49">
    <w:p w14:paraId="2D5337D7"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w:t>
      </w:r>
      <w:r w:rsidRPr="00C83671">
        <w:rPr>
          <w:rFonts w:ascii="Times New Roman" w:hAnsi="Times New Roman" w:cs="Times New Roman"/>
        </w:rPr>
        <w:t>s hatálya alá tartozó, meglévő mechanikai-biológiai szennyvíztisztító telepeken végzett tevékenységekre, amennyiben az ezen intézkedés szerinti tevékenységek célja az erőforrás-hatékonyság növelése vagy a szétválasztott hulladék komposzt biohulladékká tört</w:t>
      </w:r>
      <w:r w:rsidRPr="00C83671">
        <w:rPr>
          <w:rFonts w:ascii="Times New Roman" w:hAnsi="Times New Roman" w:cs="Times New Roman"/>
        </w:rPr>
        <w:t>énő újrafeldolgozási műveleteinek utólagos átalakítása, valamint a biohulladék anaerob lebontása, feltéve, hogy az ezen intézkedés szerinti tevékenységek nem eredményezik az üzemek hulladékfeldolgozási kapacitásának növekedését vagy az üzemek élettartamána</w:t>
      </w:r>
      <w:r w:rsidRPr="00C83671">
        <w:rPr>
          <w:rFonts w:ascii="Times New Roman" w:hAnsi="Times New Roman" w:cs="Times New Roman"/>
        </w:rPr>
        <w:t>k meghosszabbítását; ezek esetében az üzem szintjén szolgáltatnak bizonyítékot.</w:t>
      </w:r>
    </w:p>
  </w:footnote>
  <w:footnote w:id="50">
    <w:p w14:paraId="651AD504" w14:textId="57C9A2A1" w:rsidR="003E1D81" w:rsidRPr="00C83671" w:rsidRDefault="00EB481C">
      <w:pPr>
        <w:pStyle w:val="FootnoteText"/>
        <w:ind w:left="0" w:firstLine="0"/>
        <w:rPr>
          <w:rFonts w:ascii="Times New Roman" w:eastAsia="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Úgy tekinthető, hogy a végső kedvezményezett „jelentős mértékben” egy ágazatra vagy üzleti tevékenységre összpontosít, ha az ilyen ágazat vagy tevékenység a végső kedvezményez</w:t>
      </w:r>
      <w:r w:rsidRPr="00C83671">
        <w:rPr>
          <w:rFonts w:ascii="Times New Roman" w:hAnsi="Times New Roman" w:cs="Times New Roman"/>
        </w:rPr>
        <w:t xml:space="preserve">ett bruttó bevételéhez, nyereségéhez vagy ügyfélbázisához viszonyítva a végső kedvezményezett üzleti tevékenységének lényeges részét képezi. A korlátozás alá vont ágazatból vagy tevékenységből származó bruttó bevétel semmilyen esetben sem haladhatja meg a </w:t>
      </w:r>
      <w:r w:rsidRPr="00C83671">
        <w:rPr>
          <w:rFonts w:ascii="Times New Roman" w:hAnsi="Times New Roman" w:cs="Times New Roman"/>
        </w:rPr>
        <w:t>bruttó bevétel 50%-át.</w:t>
      </w:r>
    </w:p>
  </w:footnote>
  <w:footnote w:id="51">
    <w:p w14:paraId="516AEBAB" w14:textId="5F96F5ED" w:rsidR="003E1D81" w:rsidRPr="00C83671" w:rsidRDefault="00EB481C">
      <w:pPr>
        <w:spacing w:after="0" w:line="240" w:lineRule="auto"/>
        <w:jc w:val="both"/>
        <w:rPr>
          <w:rFonts w:ascii="Times New Roman" w:eastAsia="Times New Roman" w:hAnsi="Times New Roman" w:cs="Times New Roman"/>
          <w:sz w:val="20"/>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Kivéve a) a jelentős károkozás elkerülését célzó technikai iránymutatás (2021/C58/01) III. mellékletében meghatározott feltételeknek megfelelő, a villamosenergia- és/vagy hőtermeléssel kapcsolatos eszközöket és tevékenységeket, val</w:t>
      </w:r>
      <w:r w:rsidRPr="00C83671">
        <w:rPr>
          <w:rFonts w:ascii="Times New Roman" w:hAnsi="Times New Roman" w:cs="Times New Roman"/>
          <w:sz w:val="20"/>
        </w:rPr>
        <w:t>amint a kapcsolódó, földgázt használó szállítási és elosztási infrastruktúrát, valamint b) a ii. alpont szerinti tevékenységeket és eszközöket, amelyek esetében a fosszilis tüzelőanyagok használata átmeneti és technikailag elkerülhetetlen a fosszilis tüzel</w:t>
      </w:r>
      <w:r w:rsidRPr="00C83671">
        <w:rPr>
          <w:rFonts w:ascii="Times New Roman" w:hAnsi="Times New Roman" w:cs="Times New Roman"/>
          <w:sz w:val="20"/>
        </w:rPr>
        <w:t>őanyagoktól mentes üzemre való kellő időben történő átálláshoz.</w:t>
      </w:r>
    </w:p>
  </w:footnote>
  <w:footnote w:id="52">
    <w:p w14:paraId="0DDFEA92" w14:textId="77777777" w:rsidR="003E1D81" w:rsidRPr="00C83671" w:rsidRDefault="00EB481C">
      <w:pPr>
        <w:spacing w:after="0" w:line="240" w:lineRule="auto"/>
        <w:jc w:val="both"/>
        <w:rPr>
          <w:rFonts w:ascii="Times New Roman" w:eastAsia="Times New Roman" w:hAnsi="Times New Roman" w:cs="Times New Roman"/>
          <w:sz w:val="20"/>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Beleértve az uniós kibocsátáskereskedelmi rendszer (ETS) keretébe tartozó olyan tevékenységeket és eszközöket, amelyek a vonatkozó referenciaértékeknél nem alacsonyabb várható üvegházhatásúgáz-kibocsátást érnek el. Amennyiben a támogatott tevékenység nem </w:t>
      </w:r>
      <w:r w:rsidRPr="00C83671">
        <w:rPr>
          <w:rFonts w:ascii="Times New Roman" w:hAnsi="Times New Roman" w:cs="Times New Roman"/>
          <w:sz w:val="20"/>
        </w:rPr>
        <w:t>eredményez a vonatkozó referenciaértékeknél lényegesen alacsonyabb előrejelzett üvegházhatásúgáz-kibocsátást, ismertetni kell azokat az okokat, amelyek miatt nem érhető el nagyobb kibocsátáscsökkenés. A kibocsátáskereskedelmi rendszer hatálya alá tartozó t</w:t>
      </w:r>
      <w:r w:rsidRPr="00C83671">
        <w:rPr>
          <w:rFonts w:ascii="Times New Roman" w:hAnsi="Times New Roman" w:cs="Times New Roman"/>
          <w:sz w:val="20"/>
        </w:rPr>
        <w:t>evékenységekre vonatkozó ingyenes kiosztásra vonatkozóan az (EU) 2021/447 bizottsági végrehajtási rendeletben meghatározott referenciaértékek.</w:t>
      </w:r>
    </w:p>
  </w:footnote>
  <w:footnote w:id="53">
    <w:p w14:paraId="6236A8A5" w14:textId="77777777" w:rsidR="003E1D81" w:rsidRPr="00C83671" w:rsidRDefault="00EB481C">
      <w:pPr>
        <w:spacing w:after="0" w:line="240" w:lineRule="auto"/>
        <w:jc w:val="both"/>
        <w:rPr>
          <w:rFonts w:ascii="Times New Roman" w:eastAsia="Times New Roman" w:hAnsi="Times New Roman" w:cs="Times New Roman"/>
          <w:sz w:val="20"/>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A szennyező járművek a meghatározás szerint nem kibocsátásmentes járművek.</w:t>
      </w:r>
    </w:p>
  </w:footnote>
  <w:footnote w:id="54">
    <w:p w14:paraId="65F0B853" w14:textId="77777777" w:rsidR="003E1D81" w:rsidRPr="00C83671" w:rsidRDefault="00EB481C">
      <w:pPr>
        <w:pStyle w:val="FootnoteText"/>
        <w:ind w:left="0" w:firstLine="0"/>
        <w:rPr>
          <w:rFonts w:ascii="Times New Roman" w:eastAsia="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Ez a kizárás nem vonatkozik a kizár</w:t>
      </w:r>
      <w:r w:rsidRPr="00C83671">
        <w:rPr>
          <w:rFonts w:ascii="Times New Roman" w:hAnsi="Times New Roman" w:cs="Times New Roman"/>
        </w:rPr>
        <w:t>ólag nem újrahasznosítható veszélyes hulladék kezelésére szolgáló üzemekben végzett tevékenységekre, valamint a meglévő üzemekre, amennyiben az ezen intézkedés szerinti tevékenységek célja az energiahatékonyság növelése, a füstgázok tárolás vagy felhasznál</w:t>
      </w:r>
      <w:r w:rsidRPr="00C83671">
        <w:rPr>
          <w:rFonts w:ascii="Times New Roman" w:hAnsi="Times New Roman" w:cs="Times New Roman"/>
        </w:rPr>
        <w:t>ás céljából történő leválasztása vagy hulladékégető hamuból származó anyagok visszanyerése, feltéve, hogy az ezen intézkedés szerinti intézkedések nem eredményezik az üzemek hulladékfeldolgozási kapacitásának növekedését vagy az üzemek élettartamának megho</w:t>
      </w:r>
      <w:r w:rsidRPr="00C83671">
        <w:rPr>
          <w:rFonts w:ascii="Times New Roman" w:hAnsi="Times New Roman" w:cs="Times New Roman"/>
        </w:rPr>
        <w:t>sszabbítását; amelyekre vonatkozóan az üzem szintjén bizonyítékot szolgáltatnak</w:t>
      </w:r>
    </w:p>
  </w:footnote>
  <w:footnote w:id="55">
    <w:p w14:paraId="29135868" w14:textId="4D0FB1E2" w:rsidR="003E1D81" w:rsidRPr="00C83671" w:rsidRDefault="00EB481C">
      <w:pPr>
        <w:pStyle w:val="FootnoteText"/>
        <w:ind w:left="0" w:firstLine="0"/>
        <w:rPr>
          <w:rFonts w:ascii="Times New Roman" w:eastAsia="Times New Roman" w:hAnsi="Times New Roman" w:cs="Times New Roman"/>
        </w:rPr>
      </w:pPr>
      <w:r w:rsidRPr="00C83671">
        <w:rPr>
          <w:rFonts w:ascii="Times New Roman" w:eastAsia="Times New Roman" w:hAnsi="Times New Roman" w:cs="Times New Roman"/>
          <w:sz w:val="14"/>
        </w:rPr>
        <w:footnoteRef/>
      </w:r>
      <w:r w:rsidRPr="00C83671">
        <w:rPr>
          <w:rFonts w:ascii="Times New Roman" w:hAnsi="Times New Roman" w:cs="Times New Roman"/>
        </w:rPr>
        <w:t xml:space="preserve"> Az egyedi projektekhez kapcsolódó végső kedvezményezetteknek az éghajlatváltozáshoz való hozzájárulás kiszámítása céljából minden egyes támogatott projekt esetében meg kell i</w:t>
      </w:r>
      <w:r w:rsidRPr="00C83671">
        <w:rPr>
          <w:rFonts w:ascii="Times New Roman" w:hAnsi="Times New Roman" w:cs="Times New Roman"/>
        </w:rPr>
        <w:t>ndokolniuk a kiválasztott beavatkozási területet, a projekt leírásával együtt. Az éghajlat-politikai hozzájárulás kiszámítása céljából a nem konkrét projektekre irányuló sajáttőke-, kvázisajáttőke-, vállalati kötvények vagy ezekkel egyenértékű eszközök ese</w:t>
      </w:r>
      <w:r w:rsidRPr="00C83671">
        <w:rPr>
          <w:rFonts w:ascii="Times New Roman" w:hAnsi="Times New Roman" w:cs="Times New Roman"/>
        </w:rPr>
        <w:t>tében kritériumokat kell alkalmazni annak előírására, hogy a kedvezményezett előző pénzügyi évi bevételének vagy az üzleti terv szerinti jövőbeli bevételeinek legalább 90%-a olyan tevékenységből származzon, amely megfelel a Helyreállítási és Rezilienciaépí</w:t>
      </w:r>
      <w:r w:rsidRPr="00C83671">
        <w:rPr>
          <w:rFonts w:ascii="Times New Roman" w:hAnsi="Times New Roman" w:cs="Times New Roman"/>
        </w:rPr>
        <w:t>tési Eszközről szóló rendelet VI. mellékletében szereplő alkalmazandó beavatkozási területekből eredő releváns kritériumoknak. A nem konkrét projektekre irányuló sajáttőke-, kvázisajáttőke-, vállalati kötvények vagy ezekkel egyenértékű eszközök végső kedve</w:t>
      </w:r>
      <w:r w:rsidRPr="00C83671">
        <w:rPr>
          <w:rFonts w:ascii="Times New Roman" w:hAnsi="Times New Roman" w:cs="Times New Roman"/>
        </w:rPr>
        <w:t xml:space="preserve">zményezettjeinek meg kell indokolniuk a kiválasztott beavatkozási terület(ek)et. A végrehajtó partnernek továbbá féléves jelentést kell benyújtania a tagállamnak minden egyes projekt/tevékenység végrehajtásáról.  </w:t>
      </w:r>
    </w:p>
    <w:p w14:paraId="359D45F9" w14:textId="66334A9F" w:rsidR="003E1D81" w:rsidRPr="00C83671" w:rsidRDefault="003E1D81">
      <w:pPr>
        <w:pStyle w:val="FootnoteText"/>
        <w:ind w:left="0" w:firstLine="0"/>
        <w:rPr>
          <w:rFonts w:ascii="Times New Roman" w:eastAsia="Times New Roman" w:hAnsi="Times New Roman" w:cs="Times New Roman"/>
        </w:rPr>
      </w:pPr>
    </w:p>
  </w:footnote>
  <w:footnote w:id="56">
    <w:p w14:paraId="0B9FB990" w14:textId="3DB725E3"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 a jelentős károkozás elkerülé</w:t>
      </w:r>
      <w:r w:rsidRPr="00C83671">
        <w:rPr>
          <w:rFonts w:ascii="Times New Roman" w:hAnsi="Times New Roman" w:cs="Times New Roman"/>
        </w:rPr>
        <w:t>sét célzó technikai iránymutatás (2021/C58/01) III. mellékletében meghatározott feltételeknek megfelelő villamosenergia- és/vagy hőtermeléssel, valamint a kapcsolódó földgázszállítási és -elosztási infrastruktúrával kapcsolatos, ezen intézkedés hatálya alá</w:t>
      </w:r>
      <w:r w:rsidRPr="00C83671">
        <w:rPr>
          <w:rFonts w:ascii="Times New Roman" w:hAnsi="Times New Roman" w:cs="Times New Roman"/>
        </w:rPr>
        <w:t xml:space="preserve"> tartozó projekteket, valamint b) a ii. alpont szerinti tevékenységeket és eszközöket, amelyek esetében a fosszilis tüzelőanyagok használata átmeneti és technikailag elkerülhetetlen a fosszilis tüzelőanyagoktól mentes üzemre való, időben történő átálláshoz</w:t>
      </w:r>
      <w:r w:rsidRPr="00C83671">
        <w:rPr>
          <w:rFonts w:ascii="Times New Roman" w:hAnsi="Times New Roman" w:cs="Times New Roman"/>
        </w:rPr>
        <w:t>.</w:t>
      </w:r>
    </w:p>
  </w:footnote>
  <w:footnote w:id="57">
    <w:p w14:paraId="099E8303"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w:t>
      </w:r>
      <w:r w:rsidRPr="00C83671">
        <w:rPr>
          <w:rFonts w:ascii="Times New Roman" w:hAnsi="Times New Roman" w:cs="Times New Roman"/>
        </w:rPr>
        <w:t>ozó tevékenységekre vonatkozó ingyenes kiosztásra vonatkozóan az (EU) 2021/447 bizottsági végrehajtási rendeletben meghatározott referenciaértékek.</w:t>
      </w:r>
    </w:p>
  </w:footnote>
  <w:footnote w:id="58">
    <w:p w14:paraId="2114B853"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w:t>
      </w:r>
      <w:r w:rsidRPr="00C83671">
        <w:rPr>
          <w:rFonts w:ascii="Times New Roman" w:hAnsi="Times New Roman" w:cs="Times New Roman"/>
        </w:rPr>
        <w:t>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w:t>
      </w:r>
      <w:r w:rsidRPr="00C83671">
        <w:rPr>
          <w:rFonts w:ascii="Times New Roman" w:hAnsi="Times New Roman" w:cs="Times New Roman"/>
        </w:rPr>
        <w:t>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w:t>
      </w:r>
      <w:r w:rsidRPr="00C83671">
        <w:rPr>
          <w:rFonts w:ascii="Times New Roman" w:hAnsi="Times New Roman" w:cs="Times New Roman"/>
        </w:rPr>
        <w:t>tnak bizonyítékot.</w:t>
      </w:r>
    </w:p>
  </w:footnote>
  <w:footnote w:id="59">
    <w:p w14:paraId="32EFFE67"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hatálya alá tartozó, meglévő mechanikai-biológiai szennyvíztisztító telepeken végzett tevékenységekre, amennyiben az ezen intézkedés szerinti tevékenységek célja az erőforrás-hatékonyság n</w:t>
      </w:r>
      <w:r w:rsidRPr="00C83671">
        <w:rPr>
          <w:rFonts w:ascii="Times New Roman" w:hAnsi="Times New Roman" w:cs="Times New Roman"/>
        </w:rPr>
        <w:t>övelése vagy a szétválasztott hulladék komposzt biohulladékká történő újrafeldolgozási műveleteinek utólagos átalakítása, valamint a biohulladék anaerob lebontása, feltéve, hogy az ezen intézkedés szerinti tevékenységek nem eredményezik az üzemek hulladékf</w:t>
      </w:r>
      <w:r w:rsidRPr="00C83671">
        <w:rPr>
          <w:rFonts w:ascii="Times New Roman" w:hAnsi="Times New Roman" w:cs="Times New Roman"/>
        </w:rPr>
        <w:t>eldolgozási kapacitásának növekedését vagy az üzemek élettartamának meghosszabbítását; ezek esetében az üzem szintjén szolgáltatnak bizonyítékot.</w:t>
      </w:r>
    </w:p>
  </w:footnote>
  <w:footnote w:id="60">
    <w:p w14:paraId="34576CAB" w14:textId="5BDBBC14"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Az egyes projektekhez kapcsolódó hitelek, részvételi hitelek, projektkötvények, garanciák vagy ezekkel egyené</w:t>
      </w:r>
      <w:r w:rsidRPr="00C83671">
        <w:rPr>
          <w:rFonts w:ascii="Times New Roman" w:hAnsi="Times New Roman" w:cs="Times New Roman"/>
        </w:rPr>
        <w:t>rtékű eszközök végső kedvezményezettjeinek minden egyes támogatott projekt esetében meg kell indokolniuk a kiválasztott beavatkozási területet, a projekt leírásával együtt. A végrehajtó partnernek továbbá féléves jelentést kell benyújtania a tagállamnak mi</w:t>
      </w:r>
      <w:r w:rsidRPr="00C83671">
        <w:rPr>
          <w:rFonts w:ascii="Times New Roman" w:hAnsi="Times New Roman" w:cs="Times New Roman"/>
        </w:rPr>
        <w:t>nden egyes projekt/tevékenység végrehajtásáról.</w:t>
      </w:r>
    </w:p>
  </w:footnote>
  <w:footnote w:id="61">
    <w:p w14:paraId="441FC4A4" w14:textId="77777777" w:rsidR="003E1D81" w:rsidRPr="00C83671" w:rsidRDefault="00EB481C">
      <w:pPr>
        <w:pStyle w:val="FootnoteText"/>
        <w:ind w:left="0" w:firstLine="0"/>
        <w:rPr>
          <w:rFonts w:ascii="Times New Roman" w:eastAsia="Times New Roman" w:hAnsi="Times New Roman" w:cs="Times New Roman"/>
        </w:rPr>
      </w:pPr>
      <w:r w:rsidRPr="00C83671">
        <w:rPr>
          <w:rStyle w:val="FootnoteReference"/>
          <w:rFonts w:ascii="Times New Roman" w:hAnsi="Times New Roman" w:cs="Times New Roman"/>
        </w:rPr>
        <w:footnoteRef/>
      </w:r>
      <w:r w:rsidRPr="00C83671">
        <w:rPr>
          <w:rStyle w:val="normaltextrun"/>
          <w:rFonts w:ascii="Times New Roman" w:hAnsi="Times New Roman" w:cs="Times New Roman"/>
        </w:rPr>
        <w:t>Kivéve a) a jelentős károkozás elkerülését célzó technikai iránymutatás (2021/C58/01) III. mellékletében meghatározott feltételeknek megfelelő, a villamosenergia- és/vagy hőtermeléssel kapcsolatos eszközöket</w:t>
      </w:r>
      <w:r w:rsidRPr="00C83671">
        <w:rPr>
          <w:rStyle w:val="normaltextrun"/>
          <w:rFonts w:ascii="Times New Roman" w:hAnsi="Times New Roman" w:cs="Times New Roman"/>
        </w:rPr>
        <w:t xml:space="preserve"> és tevékenységeket, valamint a kapcsolódó, földgázt használó szállítási és elosztási infrastruktúrát, valamint b) a ii. alpont szerinti tevékenységeket és eszközöket, amelyek esetében a fosszilis tüzelőanyagok használata átmeneti és technikailag elkerülhe</w:t>
      </w:r>
      <w:r w:rsidRPr="00C83671">
        <w:rPr>
          <w:rStyle w:val="normaltextrun"/>
          <w:rFonts w:ascii="Times New Roman" w:hAnsi="Times New Roman" w:cs="Times New Roman"/>
        </w:rPr>
        <w:t>tetlen a fosszilis tüzelőanyagoktól mentes üzemre való kellő időben történő átálláshoz.</w:t>
      </w:r>
    </w:p>
  </w:footnote>
  <w:footnote w:id="62">
    <w:p w14:paraId="11C7B281"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Amennyiben a támogatott tevékenység nem eredményez a vonatkozó referenciaértékeknél lényegesen alacsonyabb előrejelzett üvegházhatásúgáz-kibocsátást, ismertetni kell a</w:t>
      </w:r>
      <w:r w:rsidRPr="00C83671">
        <w:rPr>
          <w:rFonts w:ascii="Times New Roman" w:hAnsi="Times New Roman" w:cs="Times New Roman"/>
        </w:rPr>
        <w:t>zokat az okokat, amelyek miatt nem érhető el nagyobb kibocsátáscsökkenés. A kibocsátáskereskedelmi rendszer hatálya alá tartozó tevékenységekre vonatkozó ingyenes kiosztásra vonatkozóan az (EU) 2021/447 bizottsági végrehajtási rendeletben meghatározott ref</w:t>
      </w:r>
      <w:r w:rsidRPr="00C83671">
        <w:rPr>
          <w:rFonts w:ascii="Times New Roman" w:hAnsi="Times New Roman" w:cs="Times New Roman"/>
        </w:rPr>
        <w:t xml:space="preserve">erenciaértékek. </w:t>
      </w:r>
    </w:p>
  </w:footnote>
  <w:footnote w:id="63">
    <w:p w14:paraId="3517BA0F"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Ez a kizárás nem vonatkozik az ezen intézkedés szerinti fellépésekre a kizárólag nem újrafeldolgozható veszélyes hulladékok kezelésére szolgáló létesítményekben, valamint a meglévő üzemekben, ahol az ezen intézkedés szerinti tevékenységek</w:t>
      </w:r>
      <w:r w:rsidRPr="00C83671">
        <w:rPr>
          <w:rFonts w:ascii="Times New Roman" w:hAnsi="Times New Roman" w:cs="Times New Roman"/>
        </w:rPr>
        <w:t xml:space="preserve">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w:t>
      </w:r>
      <w:r w:rsidRPr="00C83671">
        <w:rPr>
          <w:rFonts w:ascii="Times New Roman" w:hAnsi="Times New Roman" w:cs="Times New Roman"/>
        </w:rPr>
        <w:t>olgozási kapacitásának növekedését vagy az üzemek élettartamának meghosszabbítását; ezek esetében az üzem szintjén szolgáltatnak bizonyítékot.</w:t>
      </w:r>
    </w:p>
  </w:footnote>
  <w:footnote w:id="64">
    <w:p w14:paraId="6A4997F4" w14:textId="77777777" w:rsidR="003E1D81" w:rsidRPr="00C83671" w:rsidRDefault="00EB481C">
      <w:pPr>
        <w:pStyle w:val="P68B1DB1-FootnoteText47"/>
        <w:ind w:left="0" w:firstLine="0"/>
        <w:rPr>
          <w:rFonts w:cs="Times New Roman"/>
        </w:rPr>
      </w:pPr>
      <w:r w:rsidRPr="00C83671">
        <w:rPr>
          <w:rFonts w:cs="Times New Roman"/>
        </w:rPr>
        <w:footnoteRef/>
      </w:r>
      <w:r w:rsidRPr="00C83671">
        <w:rPr>
          <w:rFonts w:cs="Times New Roman"/>
        </w:rPr>
        <w:t xml:space="preserve">Ez a kizárás nem vonatkozik az ezen intézkedés hatálya alá tartozó, meglévő mechanikai-biológiai </w:t>
      </w:r>
      <w:r w:rsidRPr="00C83671">
        <w:rPr>
          <w:rFonts w:cs="Times New Roman"/>
        </w:rPr>
        <w:t>szennyvíztisztító telepeken végzett tevékenységekre, amennyiben az ezen intézkedés szerinti tevékenységek célja az erőforrás-hatékonyság növelése vagy a szétválasztott hulladék komposzt biohulladékká történő újrafeldolgozási műveleteinek utólagos átalakítá</w:t>
      </w:r>
      <w:r w:rsidRPr="00C83671">
        <w:rPr>
          <w:rFonts w:cs="Times New Roman"/>
        </w:rPr>
        <w:t xml:space="preserve">sa, valamint a biohulladék anaerob lebontása, feltéve, hogy az ezen intézkedés szerinti tevékenységek nem eredményezik az üzemek hulladékfeldolgozási kapacitásának növekedését vagy az üzemek élettartamának meghosszabbítását; ezek esetében az üzem szintjén </w:t>
      </w:r>
      <w:r w:rsidRPr="00C83671">
        <w:rPr>
          <w:rFonts w:cs="Times New Roman"/>
        </w:rPr>
        <w:t>szolgáltatnak bizonyítékot.</w:t>
      </w:r>
    </w:p>
  </w:footnote>
  <w:footnote w:id="65">
    <w:p w14:paraId="17035744" w14:textId="3B930513"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 végső kedvezményezetteknek minden támogatott projekt esetében meg kell indokolniuk a kiválasztott beavatkozási területet, a projekt leírásával együtt. A végrehajtó partnernek továbbá féléves jelentést kell benyújtania a tagál</w:t>
      </w:r>
      <w:r w:rsidRPr="00C83671">
        <w:rPr>
          <w:rFonts w:ascii="Times New Roman" w:hAnsi="Times New Roman" w:cs="Times New Roman"/>
        </w:rPr>
        <w:t>lamnak minden egyes projekt/tevékenység végrehajtásáról.</w:t>
      </w:r>
    </w:p>
  </w:footnote>
  <w:footnote w:id="66">
    <w:p w14:paraId="1388DD03"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w:t>
      </w:r>
      <w:r w:rsidRPr="00C83671">
        <w:rPr>
          <w:rFonts w:ascii="Times New Roman" w:hAnsi="Times New Roman" w:cs="Times New Roman"/>
        </w:rPr>
        <w:t>alamint a kapcsolódó átviteli és elosztási infrastruktúrára irányuló projekteket.</w:t>
      </w:r>
    </w:p>
  </w:footnote>
  <w:footnote w:id="67">
    <w:p w14:paraId="049374AA"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w:t>
      </w:r>
      <w:r w:rsidRPr="00C83671">
        <w:rPr>
          <w:rFonts w:ascii="Times New Roman" w:hAnsi="Times New Roman" w:cs="Times New Roman"/>
        </w:rPr>
        <w:t>hogy ez miért nem lehetséges. A kibocsátáskereskedelmi rendszer hatálya alá tartozó tevékenységekre vonatkozó ingyenes kiosztásra vonatkozóan az (EU) 2021/447 bizottsági végrehajtási rendeletben meghatározott referenciaértékek.</w:t>
      </w:r>
    </w:p>
  </w:footnote>
  <w:footnote w:id="68">
    <w:p w14:paraId="27EF568E"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w:t>
      </w:r>
      <w:r w:rsidRPr="00C83671">
        <w:rPr>
          <w:rFonts w:ascii="Times New Roman" w:hAnsi="Times New Roman" w:cs="Times New Roman"/>
        </w:rPr>
        <w:t>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w:t>
      </w:r>
      <w:r w:rsidRPr="00C83671">
        <w:rPr>
          <w:rFonts w:ascii="Times New Roman" w:hAnsi="Times New Roman" w:cs="Times New Roman"/>
        </w:rPr>
        <w:t>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w:t>
      </w:r>
      <w:r w:rsidRPr="00C83671">
        <w:rPr>
          <w:rFonts w:ascii="Times New Roman" w:hAnsi="Times New Roman" w:cs="Times New Roman"/>
        </w:rPr>
        <w:t>zemek élettartamának meghosszabbítását; ezek esetében az üzem szintjén szolgáltatnak bizonyítékot.</w:t>
      </w:r>
    </w:p>
  </w:footnote>
  <w:footnote w:id="69">
    <w:p w14:paraId="23D8534A"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hulladékkezelő létesítményekben végrehajtott intézkedésekre, amenny</w:t>
      </w:r>
      <w:r w:rsidRPr="00C83671">
        <w:rPr>
          <w:rFonts w:ascii="Times New Roman" w:hAnsi="Times New Roman" w:cs="Times New Roman"/>
        </w:rPr>
        <w:t>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w:t>
      </w:r>
      <w:r w:rsidRPr="00C83671">
        <w:rPr>
          <w:rFonts w:ascii="Times New Roman" w:hAnsi="Times New Roman" w:cs="Times New Roman"/>
        </w:rPr>
        <w:t>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70">
    <w:p w14:paraId="3CFFFF39"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w:t>
      </w:r>
      <w:r w:rsidRPr="00C83671">
        <w:rPr>
          <w:rFonts w:ascii="Times New Roman" w:hAnsi="Times New Roman" w:cs="Times New Roman"/>
        </w:rPr>
        <w:t>z ezen intézkedés hatálya alá tartozó, a jelentős károkozás elkerülését célzó elvről szóló technikai iránymutatás (2021/C58/01) III. mellékletében meghatározott feltételeknek megfelelő, földgázt felhasználó villamosenergia- és/vagy hőtermelésre, valamint a</w:t>
      </w:r>
      <w:r w:rsidRPr="00C83671">
        <w:rPr>
          <w:rFonts w:ascii="Times New Roman" w:hAnsi="Times New Roman" w:cs="Times New Roman"/>
        </w:rPr>
        <w:t xml:space="preserve"> kapcsolódó átviteli és elosztási infrastruktúrára irányuló projekteket.</w:t>
      </w:r>
    </w:p>
  </w:footnote>
  <w:footnote w:id="71">
    <w:p w14:paraId="43EEF02B"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w:t>
      </w:r>
      <w:r w:rsidRPr="00C83671">
        <w:rPr>
          <w:rFonts w:ascii="Times New Roman" w:hAnsi="Times New Roman" w:cs="Times New Roman"/>
        </w:rPr>
        <w:t>iért nem lehetséges. A kibocsátáskereskedelmi rendszer hatálya alá tartozó tevékenységekre vonatkozó ingyenes kiosztásra vonatkozóan az (EU) 2021/447 bizottsági végrehajtási rendeletben meghatározott referenciaértékek.</w:t>
      </w:r>
    </w:p>
  </w:footnote>
  <w:footnote w:id="72">
    <w:p w14:paraId="40807FE2"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w:t>
      </w:r>
      <w:r w:rsidRPr="00C83671">
        <w:rPr>
          <w:rFonts w:ascii="Times New Roman" w:hAnsi="Times New Roman" w:cs="Times New Roman"/>
        </w:rPr>
        <w:t xml:space="preserve">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w:t>
      </w:r>
      <w:r w:rsidRPr="00C83671">
        <w:rPr>
          <w:rFonts w:ascii="Times New Roman" w:hAnsi="Times New Roman" w:cs="Times New Roman"/>
        </w:rPr>
        <w:t>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w:t>
      </w:r>
      <w:r w:rsidRPr="00C83671">
        <w:rPr>
          <w:rFonts w:ascii="Times New Roman" w:hAnsi="Times New Roman" w:cs="Times New Roman"/>
        </w:rPr>
        <w:t>ttartamának meghosszabbítását; ezek esetében az üzem szintjén szolgáltatnak bizonyítékot.</w:t>
      </w:r>
    </w:p>
  </w:footnote>
  <w:footnote w:id="73">
    <w:p w14:paraId="1CB6C7E9"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w:t>
      </w:r>
      <w:r w:rsidRPr="00C83671">
        <w:rPr>
          <w:rFonts w:ascii="Times New Roman" w:hAnsi="Times New Roman" w:cs="Times New Roman"/>
        </w:rPr>
        <w:t>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w:t>
      </w:r>
      <w:r w:rsidRPr="00C83671">
        <w:rPr>
          <w:rFonts w:ascii="Times New Roman" w:hAnsi="Times New Roman" w:cs="Times New Roman"/>
        </w:rPr>
        <w:t>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74">
    <w:p w14:paraId="2B200213"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w:t>
      </w:r>
      <w:r w:rsidRPr="00C83671">
        <w:rPr>
          <w:rFonts w:ascii="Times New Roman" w:hAnsi="Times New Roman" w:cs="Times New Roman"/>
        </w:rPr>
        <w:t>tézkedés hatálya alá tartozó, a jelentős károkozás elkerülését célzó elvről szóló technikai iránymutatás (2021/C58/01) III. mellékletében meghatározott feltételeknek megfelelő, földgázt felhasználó villamosenergia- és/vagy hőtermelésre, valamint a kapcsoló</w:t>
      </w:r>
      <w:r w:rsidRPr="00C83671">
        <w:rPr>
          <w:rFonts w:ascii="Times New Roman" w:hAnsi="Times New Roman" w:cs="Times New Roman"/>
        </w:rPr>
        <w:t>dó átviteli és elosztási infrastruktúrára irányuló projekteket.</w:t>
      </w:r>
    </w:p>
  </w:footnote>
  <w:footnote w:id="75">
    <w:p w14:paraId="05FC50DF"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w:t>
      </w:r>
      <w:r w:rsidRPr="00C83671">
        <w:rPr>
          <w:rFonts w:ascii="Times New Roman" w:hAnsi="Times New Roman" w:cs="Times New Roman"/>
        </w:rPr>
        <w:t>lehetséges. A kibocsátáskereskedelmi rendszer hatálya alá tartozó tevékenységekre vonatkozó ingyenes kiosztásra vonatkozóan az (EU) 2021/447 bizottsági végrehajtási rendeletben meghatározott referenciaértékek.</w:t>
      </w:r>
    </w:p>
  </w:footnote>
  <w:footnote w:id="76">
    <w:p w14:paraId="3BB736CE"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w:t>
      </w:r>
      <w:r w:rsidRPr="00C83671">
        <w:rPr>
          <w:rFonts w:ascii="Times New Roman" w:hAnsi="Times New Roman" w:cs="Times New Roman"/>
        </w:rPr>
        <w:t>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w:t>
      </w:r>
      <w:r w:rsidRPr="00C83671">
        <w:rPr>
          <w:rFonts w:ascii="Times New Roman" w:hAnsi="Times New Roman" w:cs="Times New Roman"/>
        </w:rPr>
        <w:t>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w:t>
      </w:r>
      <w:r w:rsidRPr="00C83671">
        <w:rPr>
          <w:rFonts w:ascii="Times New Roman" w:hAnsi="Times New Roman" w:cs="Times New Roman"/>
        </w:rPr>
        <w:t>ak meghosszabbítását; ezek esetében az üzem szintjén szolgáltatnak bizonyítékot.</w:t>
      </w:r>
    </w:p>
  </w:footnote>
  <w:footnote w:id="77">
    <w:p w14:paraId="7EBE54B9"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w:t>
      </w:r>
      <w:r w:rsidRPr="00C83671">
        <w:rPr>
          <w:rFonts w:ascii="Times New Roman" w:hAnsi="Times New Roman" w:cs="Times New Roman"/>
        </w:rPr>
        <w:t>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w:t>
      </w:r>
      <w:r w:rsidRPr="00C83671">
        <w:rPr>
          <w:rFonts w:ascii="Times New Roman" w:hAnsi="Times New Roman" w:cs="Times New Roman"/>
        </w:rPr>
        <w:t>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78">
    <w:p w14:paraId="66C53FE1"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w:t>
      </w:r>
      <w:r w:rsidRPr="00C83671">
        <w:rPr>
          <w:rFonts w:ascii="Times New Roman" w:hAnsi="Times New Roman" w:cs="Times New Roman"/>
        </w:rPr>
        <w:t>hatálya alá tartozó, a jelentős károkozás elkerülését célzó elvről szóló technikai iránymutatás (2021/C58/01) III. mellékletében meghatározott feltételeknek megfelelő, földgázt felhasználó villamosenergia- és/vagy hőtermelésre, valamint a kapcsolódó átvite</w:t>
      </w:r>
      <w:r w:rsidRPr="00C83671">
        <w:rPr>
          <w:rFonts w:ascii="Times New Roman" w:hAnsi="Times New Roman" w:cs="Times New Roman"/>
        </w:rPr>
        <w:t>li és elosztási infrastruktúrára irányuló projekteket.</w:t>
      </w:r>
    </w:p>
  </w:footnote>
  <w:footnote w:id="79">
    <w:p w14:paraId="3830928D"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w:t>
      </w:r>
      <w:r w:rsidRPr="00C83671">
        <w:rPr>
          <w:rFonts w:ascii="Times New Roman" w:hAnsi="Times New Roman" w:cs="Times New Roman"/>
        </w:rPr>
        <w:t>s. A kibocsátáskereskedelmi rendszer hatálya alá tartozó tevékenységekre vonatkozó ingyenes kiosztásra vonatkozóan az (EU) 2021/447 bizottsági végrehajtási rendeletben meghatározott referenciaértékek.</w:t>
      </w:r>
    </w:p>
  </w:footnote>
  <w:footnote w:id="80">
    <w:p w14:paraId="3A72EFB5"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w:t>
      </w:r>
      <w:r w:rsidRPr="00C83671">
        <w:rPr>
          <w:rFonts w:ascii="Times New Roman" w:hAnsi="Times New Roman" w:cs="Times New Roman"/>
        </w:rPr>
        <w:t>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w:t>
      </w:r>
      <w:r w:rsidRPr="00C83671">
        <w:rPr>
          <w:rFonts w:ascii="Times New Roman" w:hAnsi="Times New Roman" w:cs="Times New Roman"/>
        </w:rPr>
        <w: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w:t>
      </w:r>
      <w:r w:rsidRPr="00C83671">
        <w:rPr>
          <w:rFonts w:ascii="Times New Roman" w:hAnsi="Times New Roman" w:cs="Times New Roman"/>
        </w:rPr>
        <w:t>szabbítását; ezek esetében az üzem szintjén szolgáltatnak bizonyítékot.</w:t>
      </w:r>
    </w:p>
  </w:footnote>
  <w:footnote w:id="81">
    <w:p w14:paraId="6662CD57"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w:t>
      </w:r>
      <w:r w:rsidRPr="00C83671">
        <w:rPr>
          <w:rFonts w:ascii="Times New Roman" w:hAnsi="Times New Roman" w:cs="Times New Roman"/>
        </w:rPr>
        <w:t>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w:t>
      </w:r>
      <w:r w:rsidRPr="00C83671">
        <w:rPr>
          <w:rFonts w:ascii="Times New Roman" w:hAnsi="Times New Roman" w:cs="Times New Roman"/>
        </w:rPr>
        <w:t>dés szerinti szerinti ilyen fellépések nem eredményezik az üzemek hulladékfeldolgozási kapacitásának növelését vagy az üzemek élettartamának meghosszabbítását; ezek esetében az üzem szintjén szolgáltatnak bizonyítékot.</w:t>
      </w:r>
    </w:p>
  </w:footnote>
  <w:footnote w:id="82">
    <w:p w14:paraId="776C7398"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w:t>
      </w:r>
      <w:r w:rsidRPr="00C83671">
        <w:rPr>
          <w:rFonts w:ascii="Times New Roman" w:hAnsi="Times New Roman" w:cs="Times New Roman"/>
        </w:rPr>
        <w:t>lá tartozó, a jelentős károkozás elkerülését célzó elvről szóló technikai iránymutatás (2021/C58/01) III. mellékletében meghatározott feltételeknek megfelelő, földgázt felhasználó villamosenergia- és/vagy hőtermelésre, valamint a kapcsolódó átviteli és elo</w:t>
      </w:r>
      <w:r w:rsidRPr="00C83671">
        <w:rPr>
          <w:rFonts w:ascii="Times New Roman" w:hAnsi="Times New Roman" w:cs="Times New Roman"/>
        </w:rPr>
        <w:t>sztási infrastruktúrára irányuló projekteket.</w:t>
      </w:r>
    </w:p>
  </w:footnote>
  <w:footnote w:id="83">
    <w:p w14:paraId="169B8B21"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w:t>
      </w:r>
      <w:r w:rsidRPr="00C83671">
        <w:rPr>
          <w:rFonts w:ascii="Times New Roman" w:hAnsi="Times New Roman" w:cs="Times New Roman"/>
        </w:rPr>
        <w:t>csátáskereskedelmi rendszer hatálya alá tartozó tevékenységekre vonatkozó ingyenes kiosztásra vonatkozóan az (EU) 2021/447 bizottsági végrehajtási rendeletben meghatározott referenciaértékek.</w:t>
      </w:r>
    </w:p>
  </w:footnote>
  <w:footnote w:id="84">
    <w:p w14:paraId="68351CAB"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w:t>
      </w:r>
      <w:r w:rsidRPr="00C83671">
        <w:rPr>
          <w:rFonts w:ascii="Times New Roman" w:hAnsi="Times New Roman" w:cs="Times New Roman"/>
        </w:rPr>
        <w:t xml:space="preserve">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w:t>
      </w:r>
      <w:r w:rsidRPr="00C83671">
        <w:rPr>
          <w:rFonts w:ascii="Times New Roman" w:hAnsi="Times New Roman" w:cs="Times New Roman"/>
        </w:rPr>
        <w:t>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w:t>
      </w:r>
      <w:r w:rsidRPr="00C83671">
        <w:rPr>
          <w:rFonts w:ascii="Times New Roman" w:hAnsi="Times New Roman" w:cs="Times New Roman"/>
        </w:rPr>
        <w:t>át; ezek esetében az üzem szintjén szolgáltatnak bizonyítékot.</w:t>
      </w:r>
    </w:p>
  </w:footnote>
  <w:footnote w:id="85">
    <w:p w14:paraId="5899C85A"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w:t>
      </w:r>
      <w:r w:rsidRPr="00C83671">
        <w:rPr>
          <w:rFonts w:ascii="Times New Roman" w:hAnsi="Times New Roman" w:cs="Times New Roman"/>
        </w:rPr>
        <w:t>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w:t>
      </w:r>
      <w:r w:rsidRPr="00C83671">
        <w:rPr>
          <w:rFonts w:ascii="Times New Roman" w:hAnsi="Times New Roman" w:cs="Times New Roman"/>
        </w:rPr>
        <w:t>nti szerinti ilyen fellépések nem eredményezik az üzemek hulladékfeldolgozási kapacitásának növelését vagy az üzemek élettartamának meghosszabbítását; ezek esetében az üzem szintjén szolgáltatnak bizonyítékot.</w:t>
      </w:r>
    </w:p>
  </w:footnote>
  <w:footnote w:id="86">
    <w:p w14:paraId="1EA804AE"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alá tartoz</w:t>
      </w:r>
      <w:r w:rsidRPr="00C83671">
        <w:rPr>
          <w:rFonts w:ascii="Times New Roman" w:hAnsi="Times New Roman" w:cs="Times New Roman"/>
        </w:rPr>
        <w:t>ó, a jelentős károkozás elkerülését célzó elvről szóló technikai iránymutatás (2021/C58/01) III. mellékletében meghatározott feltételeknek megfelelő, földgázt felhasználó villamosenergia- és/vagy hőtermelésre, valamint a kapcsolódó átviteli és elosztási in</w:t>
      </w:r>
      <w:r w:rsidRPr="00C83671">
        <w:rPr>
          <w:rFonts w:ascii="Times New Roman" w:hAnsi="Times New Roman" w:cs="Times New Roman"/>
        </w:rPr>
        <w:t>frastruktúrára irányuló projekteket.</w:t>
      </w:r>
    </w:p>
  </w:footnote>
  <w:footnote w:id="87">
    <w:p w14:paraId="2EC854D7"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w:t>
      </w:r>
      <w:r w:rsidRPr="00C83671">
        <w:rPr>
          <w:rFonts w:ascii="Times New Roman" w:hAnsi="Times New Roman" w:cs="Times New Roman"/>
        </w:rPr>
        <w:t>eskedelmi rendszer hatálya alá tartozó tevékenységekre vonatkozó ingyenes kiosztásra vonatkozóan az (EU) 2021/447 bizottsági végrehajtási rendeletben meghatározott referenciaértékek.</w:t>
      </w:r>
    </w:p>
  </w:footnote>
  <w:footnote w:id="88">
    <w:p w14:paraId="566B7679"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w:t>
      </w:r>
      <w:r w:rsidRPr="00C83671">
        <w:rPr>
          <w:rFonts w:ascii="Times New Roman" w:hAnsi="Times New Roman" w:cs="Times New Roman"/>
        </w:rPr>
        <w:t>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w:t>
      </w:r>
      <w:r w:rsidRPr="00C83671">
        <w:rPr>
          <w:rFonts w:ascii="Times New Roman" w:hAnsi="Times New Roman" w:cs="Times New Roman"/>
        </w:rPr>
        <w:t xml:space="preserve">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w:t>
      </w:r>
      <w:r w:rsidRPr="00C83671">
        <w:rPr>
          <w:rFonts w:ascii="Times New Roman" w:hAnsi="Times New Roman" w:cs="Times New Roman"/>
        </w:rPr>
        <w:t>esetében az üzem szintjén szolgáltatnak bizonyítékot.</w:t>
      </w:r>
    </w:p>
  </w:footnote>
  <w:footnote w:id="89">
    <w:p w14:paraId="73ACECE6"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w:t>
      </w:r>
      <w:r w:rsidRPr="00C83671">
        <w:rPr>
          <w:rFonts w:ascii="Times New Roman" w:hAnsi="Times New Roman" w:cs="Times New Roman"/>
        </w:rPr>
        <w: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w:t>
      </w:r>
      <w:r w:rsidRPr="00C83671">
        <w:rPr>
          <w:rFonts w:ascii="Times New Roman" w:hAnsi="Times New Roman" w:cs="Times New Roman"/>
        </w:rPr>
        <w:t>nti ilyen fellépések nem eredményezik az üzemek hulladékfeldolgozási kapacitásának növelését vagy az üzemek élettartamának meghosszabbítását; ezek esetében az üzem szintjén szolgáltatnak bizonyítékot.</w:t>
      </w:r>
    </w:p>
  </w:footnote>
  <w:footnote w:id="90">
    <w:p w14:paraId="4C0937CD"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alá tartozó, a jele</w:t>
      </w:r>
      <w:r w:rsidRPr="00C83671">
        <w:rPr>
          <w:rFonts w:ascii="Times New Roman" w:hAnsi="Times New Roman" w:cs="Times New Roman"/>
        </w:rPr>
        <w:t>ntős károkozás elkerülését célzó elvről szóló technikai iránymutatás (2021/C58/01) III. mellékletében meghatározott feltételeknek megfelelő, földgázt felhasználó villamosenergia- és/vagy hőtermelésre, valamint a kapcsolódó átviteli és elosztási infrastrukt</w:t>
      </w:r>
      <w:r w:rsidRPr="00C83671">
        <w:rPr>
          <w:rFonts w:ascii="Times New Roman" w:hAnsi="Times New Roman" w:cs="Times New Roman"/>
        </w:rPr>
        <w:t>úrára irányuló projekteket.</w:t>
      </w:r>
    </w:p>
  </w:footnote>
  <w:footnote w:id="91">
    <w:p w14:paraId="18AEA43E"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w:t>
      </w:r>
      <w:r w:rsidRPr="00C83671">
        <w:rPr>
          <w:rFonts w:ascii="Times New Roman" w:hAnsi="Times New Roman" w:cs="Times New Roman"/>
        </w:rPr>
        <w:t xml:space="preserve"> tevékenységekre vonatkozó ingyenes kiosztásra vonatkozóan az (EU) 2021/447 bizottsági végrehajtási rendeletben meghatározott referenciaértékek.</w:t>
      </w:r>
    </w:p>
  </w:footnote>
  <w:footnote w:id="92">
    <w:p w14:paraId="7EDFA028"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w:t>
      </w:r>
      <w:r w:rsidRPr="00C83671">
        <w:rPr>
          <w:rFonts w:ascii="Times New Roman" w:hAnsi="Times New Roman" w:cs="Times New Roman"/>
        </w:rPr>
        <w:t>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w:t>
      </w:r>
      <w:r w:rsidRPr="00C83671">
        <w:rPr>
          <w:rFonts w:ascii="Times New Roman" w:hAnsi="Times New Roman" w:cs="Times New Roman"/>
        </w:rPr>
        <w:t>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w:t>
      </w:r>
      <w:r w:rsidRPr="00C83671">
        <w:rPr>
          <w:rFonts w:ascii="Times New Roman" w:hAnsi="Times New Roman" w:cs="Times New Roman"/>
        </w:rPr>
        <w:t>k bizonyítékot.</w:t>
      </w:r>
    </w:p>
  </w:footnote>
  <w:footnote w:id="93">
    <w:p w14:paraId="6410233A"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w:t>
      </w:r>
      <w:r w:rsidRPr="00C83671">
        <w:rPr>
          <w:rFonts w:ascii="Times New Roman" w:hAnsi="Times New Roman" w:cs="Times New Roman"/>
        </w:rPr>
        <w:t xml:space="preserve">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w:t>
      </w:r>
      <w:r w:rsidRPr="00C83671">
        <w:rPr>
          <w:rFonts w:ascii="Times New Roman" w:hAnsi="Times New Roman" w:cs="Times New Roman"/>
        </w:rPr>
        <w:t>az üzemek hulladékfeldolgozási kapacitásának növelését vagy az üzemek élettartamának meghosszabbítását; ezek esetében az üzem szintjén szolgáltatnak bizonyítékot.</w:t>
      </w:r>
    </w:p>
  </w:footnote>
  <w:footnote w:id="94">
    <w:p w14:paraId="5A245C48"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alá tartozó, a jelentős károkozás elkerülését célzó elvrő</w:t>
      </w:r>
      <w:r w:rsidRPr="00C83671">
        <w:rPr>
          <w:rFonts w:ascii="Times New Roman" w:hAnsi="Times New Roman" w:cs="Times New Roman"/>
        </w:rPr>
        <w:t>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95">
    <w:p w14:paraId="3FF52BCB" w14:textId="77777777" w:rsidR="003E1D81" w:rsidRPr="00C83671" w:rsidRDefault="00EB481C">
      <w:pPr>
        <w:pStyle w:val="FootnoteText"/>
        <w:tabs>
          <w:tab w:val="left" w:pos="284"/>
        </w:tabs>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w:t>
      </w:r>
      <w:r w:rsidRPr="00C83671">
        <w:rPr>
          <w:rFonts w:ascii="Times New Roman" w:hAnsi="Times New Roman" w:cs="Times New Roman"/>
        </w:rPr>
        <w:t xml:space="preserve"> tevékenységekre vonatkozó ingyenes kiosztásra vonatkozóan az (EU) 2021/447 bizottsági végrehajtási rendeletben meghatározott referenciaértékek.</w:t>
      </w:r>
    </w:p>
  </w:footnote>
  <w:footnote w:id="96">
    <w:p w14:paraId="3B9DEB54" w14:textId="77777777" w:rsidR="003E1D81" w:rsidRPr="00C83671" w:rsidRDefault="00EB481C">
      <w:pPr>
        <w:pStyle w:val="FootnoteText"/>
        <w:tabs>
          <w:tab w:val="left" w:pos="284"/>
        </w:tabs>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w:t>
      </w:r>
      <w:r w:rsidRPr="00C83671">
        <w:rPr>
          <w:rFonts w:ascii="Times New Roman" w:hAnsi="Times New Roman" w:cs="Times New Roman"/>
        </w:rPr>
        <w:t>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w:t>
      </w:r>
      <w:r w:rsidRPr="00C83671">
        <w:rPr>
          <w:rFonts w:ascii="Times New Roman" w:hAnsi="Times New Roman" w:cs="Times New Roman"/>
        </w:rPr>
        <w:t>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w:t>
      </w:r>
      <w:r w:rsidRPr="00C83671">
        <w:rPr>
          <w:rFonts w:ascii="Times New Roman" w:hAnsi="Times New Roman" w:cs="Times New Roman"/>
        </w:rPr>
        <w:t>k bizonyítékot.</w:t>
      </w:r>
    </w:p>
  </w:footnote>
  <w:footnote w:id="97">
    <w:p w14:paraId="3459D487" w14:textId="77777777" w:rsidR="003E1D81" w:rsidRPr="00C83671" w:rsidRDefault="00EB481C">
      <w:pPr>
        <w:pStyle w:val="FootnoteText"/>
        <w:tabs>
          <w:tab w:val="left" w:pos="284"/>
        </w:tabs>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w:t>
      </w:r>
      <w:r w:rsidRPr="00C83671">
        <w:rPr>
          <w:rFonts w:ascii="Times New Roman" w:hAnsi="Times New Roman" w:cs="Times New Roman"/>
        </w:rPr>
        <w:t xml:space="preserve">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w:t>
      </w:r>
      <w:r w:rsidRPr="00C83671">
        <w:rPr>
          <w:rFonts w:ascii="Times New Roman" w:hAnsi="Times New Roman" w:cs="Times New Roman"/>
        </w:rPr>
        <w:t>az üzemek hulladékfeldolgozási kapacitásának növelését vagy az üzemek élettartamának meghosszabbítását; ezek esetében az üzem szintjén szolgáltatnak bizonyítékot.</w:t>
      </w:r>
    </w:p>
  </w:footnote>
  <w:footnote w:id="98">
    <w:p w14:paraId="3748429C" w14:textId="0075588F" w:rsidR="003E1D81" w:rsidRPr="00C83671" w:rsidRDefault="00EB481C">
      <w:pPr>
        <w:pStyle w:val="FootnoteText"/>
        <w:ind w:left="0" w:firstLine="0"/>
        <w:rPr>
          <w:rFonts w:ascii="Times New Roman" w:eastAsia="Times New Roman" w:hAnsi="Times New Roman" w:cs="Times New Roman"/>
        </w:rPr>
      </w:pPr>
      <w:r w:rsidRPr="00C83671">
        <w:rPr>
          <w:rStyle w:val="FootnoteReference"/>
          <w:rFonts w:ascii="Times New Roman" w:hAnsi="Times New Roman" w:cs="Times New Roman"/>
        </w:rPr>
        <w:footnoteRef/>
      </w:r>
      <w:r w:rsidRPr="00C83671">
        <w:rPr>
          <w:rStyle w:val="normaltextrun"/>
          <w:rFonts w:ascii="Times New Roman" w:hAnsi="Times New Roman" w:cs="Times New Roman"/>
        </w:rPr>
        <w:t>Kivéve a) a jelentős károkozás elkerülését célzó technikai iránymutatás (2021/C58/01) III. m</w:t>
      </w:r>
      <w:r w:rsidRPr="00C83671">
        <w:rPr>
          <w:rStyle w:val="normaltextrun"/>
          <w:rFonts w:ascii="Times New Roman" w:hAnsi="Times New Roman" w:cs="Times New Roman"/>
        </w:rPr>
        <w:t>ellékletében meghatározott feltételeknek megfelelő, a villamosenergia- és/vagy hőtermeléssel kapcsolatos eszközöket és tevékenységeket, valamint a kapcsolódó, földgázt használó szállítási és elosztási infrastruktúrát, valamint b) a ii. alpont szerinti tevé</w:t>
      </w:r>
      <w:r w:rsidRPr="00C83671">
        <w:rPr>
          <w:rStyle w:val="normaltextrun"/>
          <w:rFonts w:ascii="Times New Roman" w:hAnsi="Times New Roman" w:cs="Times New Roman"/>
        </w:rPr>
        <w:t>kenységeket és eszközöket, amelyek esetében a fosszilis tüzelőanyagok használata átmeneti és technikailag elkerülhetetlen a fosszilis tüzelőanyagoktól mentes üzemre való kellő időben történő átálláshoz.</w:t>
      </w:r>
    </w:p>
  </w:footnote>
  <w:footnote w:id="99">
    <w:p w14:paraId="52B8012A" w14:textId="36507B4D"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Amennyiben a támogatott tevékenység nem eredményez a</w:t>
      </w:r>
      <w:r w:rsidRPr="00C83671">
        <w:rPr>
          <w:rFonts w:ascii="Times New Roman" w:hAnsi="Times New Roman" w:cs="Times New Roman"/>
        </w:rPr>
        <w:t xml:space="preserve"> vonatkozó referenciaértékeknél lényegesen alacsonyabb előrejelzett üvegházhatásúgáz-kibocsátást, ismertetni kell azokat az okokat, amelyek miatt nem érhető el nagyobb kibocsátáscsökkenés. A kibocsátáskereskedelmi rendszer hatálya alá tartozó tevékenységek</w:t>
      </w:r>
      <w:r w:rsidRPr="00C83671">
        <w:rPr>
          <w:rFonts w:ascii="Times New Roman" w:hAnsi="Times New Roman" w:cs="Times New Roman"/>
        </w:rPr>
        <w:t xml:space="preserve">re vonatkozó ingyenes kiosztásra vonatkozóan az (EU) 2021/447 bizottsági végrehajtási rendeletben meghatározott referenciaértékek. </w:t>
      </w:r>
    </w:p>
  </w:footnote>
  <w:footnote w:id="100">
    <w:p w14:paraId="7FB2A563" w14:textId="0415409A"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Ez a kizárás nem vonatkozik az ezen intézkedés szerinti fellépésekre a kizárólag nem újrafeldolgozható veszélyes hulladékok</w:t>
      </w:r>
      <w:r w:rsidRPr="00C83671">
        <w:rPr>
          <w:rFonts w:ascii="Times New Roman" w:hAnsi="Times New Roman" w:cs="Times New Roman"/>
        </w:rPr>
        <w:t xml:space="preserve">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w:t>
      </w:r>
      <w:r w:rsidRPr="00C83671">
        <w:rPr>
          <w:rFonts w:ascii="Times New Roman" w:hAnsi="Times New Roman" w:cs="Times New Roman"/>
        </w:rPr>
        <w:t>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r w:rsidRPr="00C83671">
        <w:rPr>
          <w:rFonts w:ascii="Times New Roman" w:hAnsi="Times New Roman" w:cs="Times New Roman"/>
        </w:rPr>
        <w:t>.</w:t>
      </w:r>
    </w:p>
  </w:footnote>
  <w:footnote w:id="101">
    <w:p w14:paraId="7CF82E2D" w14:textId="58CDBAD7" w:rsidR="003E1D81" w:rsidRPr="00C83671" w:rsidRDefault="00EB481C">
      <w:pPr>
        <w:pStyle w:val="P68B1DB1-FootnoteText47"/>
        <w:ind w:left="0" w:firstLine="0"/>
        <w:rPr>
          <w:rFonts w:cs="Times New Roman"/>
        </w:rPr>
      </w:pPr>
      <w:r w:rsidRPr="00C83671">
        <w:rPr>
          <w:rFonts w:cs="Times New Roman"/>
        </w:rPr>
        <w:footnoteRef/>
      </w:r>
      <w:r w:rsidRPr="00C83671">
        <w:rPr>
          <w:rFonts w:cs="Times New Roman"/>
        </w:rPr>
        <w:t>Ez a kizárás nem vonatkozik az ezen intézkedés hatálya alá tartozó, meglévő mechanikai-biológiai szennyvíztisztító telepeken végzett tevékenységekre, amennyiben az ezen intézkedés szerinti tevékenységek célja az erőforrás-hatékonyság növelése vagy a szé</w:t>
      </w:r>
      <w:r w:rsidRPr="00C83671">
        <w:rPr>
          <w:rFonts w:cs="Times New Roman"/>
        </w:rPr>
        <w:t>tválasztott hulladék komposzt biohulladékká történő újrafeldolgozási műveleteinek utólagos átalakítása, valamint a biohulladék anaerob lebontása, feltéve, hogy az ezen intézkedés szerinti tevékenységek nem eredményezik az üzemek hulladékfeldolgozási kapaci</w:t>
      </w:r>
      <w:r w:rsidRPr="00C83671">
        <w:rPr>
          <w:rFonts w:cs="Times New Roman"/>
        </w:rPr>
        <w:t>tásának növekedését vagy az üzemek élettartamának meghosszabbítását; ezek esetében az üzem szintjén szolgáltatnak bizonyítékot.</w:t>
      </w:r>
    </w:p>
  </w:footnote>
  <w:footnote w:id="102">
    <w:p w14:paraId="78117A27"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 2013/34/EU irányelvet a fenntarthatósággal kapcsolatos vállalati beszámolásról szóló irányelvről szóló (EU) 2022/2464 irányel</w:t>
      </w:r>
      <w:r w:rsidRPr="00C83671">
        <w:rPr>
          <w:rFonts w:ascii="Times New Roman" w:hAnsi="Times New Roman" w:cs="Times New Roman"/>
        </w:rPr>
        <w:t>v módosítja.</w:t>
      </w:r>
    </w:p>
  </w:footnote>
  <w:footnote w:id="103">
    <w:p w14:paraId="51881876" w14:textId="0E207E53"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00C83671" w:rsidRPr="00C83671">
        <w:rPr>
          <w:rFonts w:ascii="Times New Roman" w:hAnsi="Times New Roman" w:cs="Times New Roman"/>
        </w:rPr>
        <w:t>Kivéve a) a jelentős károkozás elkerülését célzó technikai iránymutatás (2021/C58/01) III. mellékletében meghatározott feltételeknek megfelelő villamosenergia- és/vagy hőtermeléssel, valamint a kapcsolódó földgázszállítási és -elosztási infrastruktúrával kapcsolatos, ezen intézkedés hatálya alá tartozó projektek, valamint b) a ii. alpont szerinti olyan tevékenységek és eszközök kivételével, amelyek esetében a fosszilis tüzelőanyagok használata átmeneti és technikailag elkerülhetetlen a fosszilis tüzelőanyagoktól mentes üzemre való, időben történő átálláshoz, a fosszilis tüzelőanyagok teljes körű kivezetése.</w:t>
      </w:r>
    </w:p>
  </w:footnote>
  <w:footnote w:id="104">
    <w:p w14:paraId="6D1F4F17"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Amennyiben a támogatott tevékenység olyan előre jelzett üvegházhatásúgáz-kibocsátást ér el, amely nem alacsonyabb a vonatkozó referenciaér</w:t>
      </w:r>
      <w:r w:rsidRPr="00C83671">
        <w:rPr>
          <w:rFonts w:ascii="Times New Roman" w:hAnsi="Times New Roman" w:cs="Times New Roman"/>
        </w:rPr>
        <w:t>tékeknél, meg kell indokolni, hogy ez miért nem lehetséges. A kibocsátáskereskedelmi rendszer hatálya alá tartozó tevékenységekre vonatkozó ingyenes kiosztásra vonatkozóan az (EU) 2021/447 bizottsági végrehajtási rendeletben meghatározott referenciaértékek</w:t>
      </w:r>
      <w:r w:rsidRPr="00C83671">
        <w:rPr>
          <w:rFonts w:ascii="Times New Roman" w:hAnsi="Times New Roman" w:cs="Times New Roman"/>
        </w:rPr>
        <w:t>.</w:t>
      </w:r>
    </w:p>
  </w:footnote>
  <w:footnote w:id="105">
    <w:p w14:paraId="652A1898"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Ez a kizárás nem vonatkozik az ezen intézkedés szerinti fellépésekre a kizárólag nem újrafeldolgozható veszélyes hulladékok kezelésére szolgáló létesítményekben, valamint a meglévő üzemekben, ahol az ezen intézkedés szerinti tevékenységek célja az energ</w:t>
      </w:r>
      <w:r w:rsidRPr="00C83671">
        <w:rPr>
          <w:rFonts w:ascii="Times New Roman" w:hAnsi="Times New Roman" w:cs="Times New Roman"/>
        </w:rPr>
        <w:t>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w:t>
      </w:r>
      <w:r w:rsidRPr="00C83671">
        <w:rPr>
          <w:rFonts w:ascii="Times New Roman" w:hAnsi="Times New Roman" w:cs="Times New Roman"/>
        </w:rPr>
        <w:t>tásának növekedését vagy az üzemek élettartamának meghosszabbítását; ezek esetében az üzem szintjén szolgáltatnak bizonyítékot.</w:t>
      </w:r>
    </w:p>
  </w:footnote>
  <w:footnote w:id="106">
    <w:p w14:paraId="1AFE6726"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Ez a kizárás nem vonatkozik az ezen intézkedés keretében a meglévő mechanikus-biológiai hulladékkezelő létesítményekben végreha</w:t>
      </w:r>
      <w:r w:rsidRPr="00C83671">
        <w:rPr>
          <w:rFonts w:ascii="Times New Roman" w:hAnsi="Times New Roman" w:cs="Times New Roman"/>
        </w:rPr>
        <w:t>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w:t>
      </w:r>
      <w:r w:rsidRPr="00C83671">
        <w:rPr>
          <w:rFonts w:ascii="Times New Roman" w:hAnsi="Times New Roman" w:cs="Times New Roman"/>
        </w:rPr>
        <w:t>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w:t>
      </w:r>
      <w:r w:rsidRPr="00C83671">
        <w:rPr>
          <w:rFonts w:ascii="Times New Roman" w:hAnsi="Times New Roman" w:cs="Times New Roman"/>
        </w:rPr>
        <w:t>nak bizonyítékot.</w:t>
      </w:r>
    </w:p>
  </w:footnote>
  <w:footnote w:id="107">
    <w:p w14:paraId="6ABF1EBF" w14:textId="14447778"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Az egyes projektekhez kapcsolódó hitelek, részvételi hitelek, projektkötvények, garanciák vagy ezekkel egyenértékű eszközök végső kedvezményezettjeinek minden egyes támogatott projekt esetében meg kell indokolniuk a kiválasztott beavatko</w:t>
      </w:r>
      <w:r w:rsidRPr="00C83671">
        <w:rPr>
          <w:rFonts w:ascii="Times New Roman" w:hAnsi="Times New Roman" w:cs="Times New Roman"/>
        </w:rPr>
        <w:t>zási területet, a projekt leírásával együtt. Az éghajlat-politikai hozzájárulás kiszámítása céljából a nem konkrét projektekre irányuló sajáttőke-, kvázisajáttőke-, vállalati kötvények vagy ezekkel egyenértékű eszközök esetében kritériumokat kell alkalmazn</w:t>
      </w:r>
      <w:r w:rsidRPr="00C83671">
        <w:rPr>
          <w:rFonts w:ascii="Times New Roman" w:hAnsi="Times New Roman" w:cs="Times New Roman"/>
        </w:rPr>
        <w:t xml:space="preserve">i annak előírására, hogy a kedvezményezett előző pénzügyi évi bevételének vagy az üzleti terv szerinti jövőbeli bevételeinek legalább 90%-a olyan tevékenységből származzon, amely megfelel a Helyreállítási és Rezilienciaépítési Eszközről szóló rendelet VI. </w:t>
      </w:r>
      <w:r w:rsidRPr="00C83671">
        <w:rPr>
          <w:rFonts w:ascii="Times New Roman" w:hAnsi="Times New Roman" w:cs="Times New Roman"/>
        </w:rPr>
        <w:t>mellékletében szereplő alkalmazandó beavatkozási területekből eredő releváns kritériumoknak. A nem konkrét projektekre irányuló sajáttőke-, kvázisajáttőke-, vállalati kötvények vagy ezekkel egyenértékű eszközök végső kedvezményezettjeinek meg kell indokoln</w:t>
      </w:r>
      <w:r w:rsidRPr="00C83671">
        <w:rPr>
          <w:rFonts w:ascii="Times New Roman" w:hAnsi="Times New Roman" w:cs="Times New Roman"/>
        </w:rPr>
        <w:t xml:space="preserve">iuk a kiválasztott beavatkozási terület(ek)et. A végrehajtó partnernek továbbá féléves jelentést kell benyújtania a tagállamnak minden egyes projekt/tevékenység végrehajtásáról. </w:t>
      </w:r>
    </w:p>
  </w:footnote>
  <w:footnote w:id="108">
    <w:p w14:paraId="0499B7C3" w14:textId="14EE5E49"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Style w:val="normaltextrun"/>
          <w:rFonts w:ascii="Times New Roman" w:hAnsi="Times New Roman" w:cs="Times New Roman"/>
        </w:rPr>
        <w:t>Kivéve a) a jelentős károkozás elkerülését célzó technikai iránymutatás (202</w:t>
      </w:r>
      <w:r w:rsidRPr="00C83671">
        <w:rPr>
          <w:rStyle w:val="normaltextrun"/>
          <w:rFonts w:ascii="Times New Roman" w:hAnsi="Times New Roman" w:cs="Times New Roman"/>
        </w:rPr>
        <w:t>1/C58/01) III. mellékletében meghatározott feltételeknek megfelelő, a villamosenergia- és/vagy hőtermeléssel kapcsolatos eszközöket és tevékenységeket, valamint a kapcsolódó, földgázt használó szállítási és elosztási infrastruktúrát, valamint b) a ii. alpo</w:t>
      </w:r>
      <w:r w:rsidRPr="00C83671">
        <w:rPr>
          <w:rStyle w:val="normaltextrun"/>
          <w:rFonts w:ascii="Times New Roman" w:hAnsi="Times New Roman" w:cs="Times New Roman"/>
        </w:rPr>
        <w:t>nt szerinti tevékenységeket és eszközöket, amelyek esetében a fosszilis tüzelőanyagok használata átmeneti és technikailag elkerülhetetlen a fosszilis tüzelőanyagoktól mentes üzemre való kellő időben történő átálláshoz.</w:t>
      </w:r>
    </w:p>
  </w:footnote>
  <w:footnote w:id="109">
    <w:p w14:paraId="33422E83" w14:textId="279DD539"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Style w:val="normaltextrun"/>
          <w:rFonts w:ascii="Times New Roman" w:hAnsi="Times New Roman" w:cs="Times New Roman"/>
        </w:rPr>
        <w:t xml:space="preserve">Amennyiben a támogatott tevékenység </w:t>
      </w:r>
      <w:r w:rsidRPr="00C83671">
        <w:rPr>
          <w:rStyle w:val="normaltextrun"/>
          <w:rFonts w:ascii="Times New Roman" w:hAnsi="Times New Roman" w:cs="Times New Roman"/>
        </w:rPr>
        <w:t>nem eredményez a vonatkozó referenciaértékeknél lényegesen alacsonyabb előrejelzett üvegházhatásúgáz-kibocsátást, ismertetni kell azokat az okokat, amelyek miatt nem érhető el nagyobb kibocsátáscsökkenés. A kibocsátáskereskedelmi rendszer hatálya alá tarto</w:t>
      </w:r>
      <w:r w:rsidRPr="00C83671">
        <w:rPr>
          <w:rStyle w:val="normaltextrun"/>
          <w:rFonts w:ascii="Times New Roman" w:hAnsi="Times New Roman" w:cs="Times New Roman"/>
        </w:rPr>
        <w:t xml:space="preserve">zó tevékenységekre vonatkozó ingyenes kiosztásra vonatkozóan az (EU) 2021/447 bizottsági végrehajtási rendeletben meghatározott referenciaértékek. </w:t>
      </w:r>
    </w:p>
  </w:footnote>
  <w:footnote w:id="110">
    <w:p w14:paraId="29199BEA"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Ez a kizárás nem vonatkozik az ezen intézkedés szerinti fellépésekre a kizárólag nem újrafeldolgozható vesz</w:t>
      </w:r>
      <w:r w:rsidRPr="00C83671">
        <w:rPr>
          <w:rFonts w:ascii="Times New Roman" w:hAnsi="Times New Roman" w:cs="Times New Roman"/>
        </w:rPr>
        <w:t>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w:t>
      </w:r>
      <w:r w:rsidRPr="00C83671">
        <w:rPr>
          <w:rFonts w:ascii="Times New Roman" w:hAnsi="Times New Roman" w:cs="Times New Roman"/>
        </w:rPr>
        <w:t xml:space="preserve">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w:t>
      </w:r>
      <w:r w:rsidRPr="00C83671">
        <w:rPr>
          <w:rFonts w:ascii="Times New Roman" w:hAnsi="Times New Roman" w:cs="Times New Roman"/>
        </w:rPr>
        <w:t>nak bizonyítékot.</w:t>
      </w:r>
    </w:p>
  </w:footnote>
  <w:footnote w:id="111">
    <w:p w14:paraId="567F38DF" w14:textId="77777777" w:rsidR="003E1D81" w:rsidRPr="00C83671" w:rsidRDefault="00EB481C">
      <w:pPr>
        <w:pStyle w:val="P68B1DB1-FootnoteText47"/>
        <w:ind w:left="0" w:firstLine="0"/>
        <w:rPr>
          <w:rFonts w:cs="Times New Roman"/>
        </w:rPr>
      </w:pPr>
      <w:r w:rsidRPr="00C83671">
        <w:rPr>
          <w:rFonts w:cs="Times New Roman"/>
        </w:rPr>
        <w:footnoteRef/>
      </w:r>
      <w:r w:rsidRPr="00C83671">
        <w:rPr>
          <w:rFonts w:cs="Times New Roman"/>
        </w:rPr>
        <w:t>Ez a kizárás nem vonatkozik az ezen intézkedés hatálya alá tartozó, meglévő mechanikai-biológiai szennyvíztisztító telepeken végzett tevékenységekre, amennyiben az ezen intézkedés szerinti tevékenységek célja az erőforrás-hatékonyság növ</w:t>
      </w:r>
      <w:r w:rsidRPr="00C83671">
        <w:rPr>
          <w:rFonts w:cs="Times New Roman"/>
        </w:rPr>
        <w:t>elése vagy a szétválasztott hulladék komposzt biohulladékká történő újrafeldolgozási műveleteinek utólagos átalakítása, valamint a biohulladék anaerob lebontása, feltéve, hogy az ezen intézkedés szerinti tevékenységek nem eredményezik az üzemek hulladékfel</w:t>
      </w:r>
      <w:r w:rsidRPr="00C83671">
        <w:rPr>
          <w:rFonts w:cs="Times New Roman"/>
        </w:rPr>
        <w:t>dolgozási kapacitásának növekedését vagy az üzemek élettartamának meghosszabbítását; ezek esetében az üzem szintjén szolgáltatnak bizonyítékot.</w:t>
      </w:r>
    </w:p>
  </w:footnote>
  <w:footnote w:id="112">
    <w:p w14:paraId="17EBA5CD" w14:textId="63FA9AF8"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 2013/34/EU irányelvet a fenntarthatósággal kapcsolatos vállalati beszámolásról szóló irányelvről szóló (EU) 2</w:t>
      </w:r>
      <w:r w:rsidRPr="00C83671">
        <w:rPr>
          <w:rFonts w:ascii="Times New Roman" w:hAnsi="Times New Roman" w:cs="Times New Roman"/>
        </w:rPr>
        <w:t>022/2464 irányelv módosítja.</w:t>
      </w:r>
    </w:p>
  </w:footnote>
  <w:footnote w:id="113">
    <w:p w14:paraId="5F4F1B0D"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Style w:val="normaltextrun"/>
          <w:rFonts w:ascii="Times New Roman" w:hAnsi="Times New Roman" w:cs="Times New Roman"/>
        </w:rPr>
        <w:t>Kivéve a) a jelentős károkozás elkerülését célzó technikai iránymutatás (2021/C58/01) III. mellékletében meghatározott feltételeknek megfelelő, a villamosenergia- és/vagy hőtermeléssel kapcsolatos eszközöket és tevékenységeket</w:t>
      </w:r>
      <w:r w:rsidRPr="00C83671">
        <w:rPr>
          <w:rStyle w:val="normaltextrun"/>
          <w:rFonts w:ascii="Times New Roman" w:hAnsi="Times New Roman" w:cs="Times New Roman"/>
        </w:rPr>
        <w:t xml:space="preserve">, valamint a kapcsolódó, földgázt használó szállítási és elosztási infrastruktúrát, valamint b) a ii. alpont szerinti tevékenységeket és eszközöket, amelyek esetében a fosszilis tüzelőanyagok használata átmeneti és technikailag elkerülhetetlen a fosszilis </w:t>
      </w:r>
      <w:r w:rsidRPr="00C83671">
        <w:rPr>
          <w:rStyle w:val="normaltextrun"/>
          <w:rFonts w:ascii="Times New Roman" w:hAnsi="Times New Roman" w:cs="Times New Roman"/>
        </w:rPr>
        <w:t>tüzelőanyagoktól mentes üzemre való kellő időben történő átálláshoz.</w:t>
      </w:r>
    </w:p>
  </w:footnote>
  <w:footnote w:id="114">
    <w:p w14:paraId="2AD5FCBD" w14:textId="6657FC12"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Amennyiben a támogatott tevékenység olyan előre jelzett üvegházhatásúgáz-kibocsátást ér el, amely nem alacsonyabb a vonatkozó referenciaértékeknél, meg kell indokolni, hogy ez miért nem </w:t>
      </w:r>
      <w:r w:rsidRPr="00C83671">
        <w:rPr>
          <w:rFonts w:ascii="Times New Roman" w:hAnsi="Times New Roman" w:cs="Times New Roman"/>
        </w:rPr>
        <w:t>lehetséges. A kibocsátáskereskedelmi rendszer hatálya alá tartozó tevékenységekre vonatkozó ingyenes kiosztásra vonatkozóan az (EU) 2021/447 bizottsági végrehajtási rendeletben meghatározott referenciaértékek.</w:t>
      </w:r>
    </w:p>
  </w:footnote>
  <w:footnote w:id="115">
    <w:p w14:paraId="2FC76721" w14:textId="762F3F59"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Ez a kizárás nem vonatkozik az ezen intézkedé</w:t>
      </w:r>
      <w:r w:rsidRPr="00C83671">
        <w:rPr>
          <w:rFonts w:ascii="Times New Roman" w:hAnsi="Times New Roman" w:cs="Times New Roman"/>
        </w:rPr>
        <w:t>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w:t>
      </w:r>
      <w:r w:rsidRPr="00C83671">
        <w:rPr>
          <w:rFonts w:ascii="Times New Roman" w:hAnsi="Times New Roman" w:cs="Times New Roman"/>
        </w:rPr>
        <w:t>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w:t>
      </w:r>
      <w:r w:rsidRPr="00C83671">
        <w:rPr>
          <w:rFonts w:ascii="Times New Roman" w:hAnsi="Times New Roman" w:cs="Times New Roman"/>
        </w:rPr>
        <w:t>k meghosszabbítását; ezek esetében az üzem szintjén szolgáltatnak bizonyítékot.</w:t>
      </w:r>
    </w:p>
  </w:footnote>
  <w:footnote w:id="116">
    <w:p w14:paraId="34A94635" w14:textId="412A13BE"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Ez a kizárás nem vonatkozik az ezen intézkedés keretében a meglévő mechanikus-biológiai hulladékkezelő létesítményekben végrehajtott intézkedésekre, amennyiben az ezen </w:t>
      </w:r>
      <w:r w:rsidRPr="00C83671">
        <w:rPr>
          <w:rFonts w:ascii="Times New Roman" w:hAnsi="Times New Roman" w:cs="Times New Roman"/>
        </w:rPr>
        <w:t>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w:t>
      </w:r>
      <w:r w:rsidRPr="00C83671">
        <w:rPr>
          <w:rFonts w:ascii="Times New Roman" w:hAnsi="Times New Roman" w:cs="Times New Roman"/>
        </w:rPr>
        <w:t>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117">
    <w:p w14:paraId="33E3A5FA" w14:textId="3FA7E6DF"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 digitális hozzájárul</w:t>
      </w:r>
      <w:r w:rsidRPr="00C83671">
        <w:rPr>
          <w:rFonts w:ascii="Times New Roman" w:hAnsi="Times New Roman" w:cs="Times New Roman"/>
        </w:rPr>
        <w:t>ás kiszámítása céljából a nem konkrét projektekre irányuló sajáttőke-, kvázisajáttőke-, vállalati kötvények vagy ezekkel egyenértékű eszközök esetében kritériumokat kell alkalmazni annak előírására, hogy a kedvezményezett előző pénzügyi évi bevételének vag</w:t>
      </w:r>
      <w:r w:rsidRPr="00C83671">
        <w:rPr>
          <w:rFonts w:ascii="Times New Roman" w:hAnsi="Times New Roman" w:cs="Times New Roman"/>
        </w:rPr>
        <w:t>y az üzleti terv szerinti jövőbeli bevételeinek legalább 90%-a olyan tevékenységből származzon, amely megfelel a Helyreállítási és Rezilienciaépítési Eszközről szóló rendelet VII. mellékletében szereplő alkalmazandó beavatkozási területekből eredő releváns</w:t>
      </w:r>
      <w:r w:rsidRPr="00C83671">
        <w:rPr>
          <w:rFonts w:ascii="Times New Roman" w:hAnsi="Times New Roman" w:cs="Times New Roman"/>
        </w:rPr>
        <w:t xml:space="preserve"> kritériumoknak. </w:t>
      </w:r>
    </w:p>
  </w:footnote>
  <w:footnote w:id="118">
    <w:p w14:paraId="326C811D"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 2013/34/EU irányelvet a fenntarthatósággal kapcsolatos vállalati beszámolásról szóló irányelvről szóló (EU) 2022/2464 irányelv módosítja.</w:t>
      </w:r>
    </w:p>
  </w:footnote>
  <w:footnote w:id="119">
    <w:p w14:paraId="07A1FD78" w14:textId="461565C2"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 a jelentős károkozás elkerülését célzó technikai iránymutatás (2021/C58/01) III. mel</w:t>
      </w:r>
      <w:r w:rsidRPr="00C83671">
        <w:rPr>
          <w:rFonts w:ascii="Times New Roman" w:hAnsi="Times New Roman" w:cs="Times New Roman"/>
        </w:rPr>
        <w:t>lékletében meghatározott feltételeknek megfelelő villamosenergia- és/vagy hőtermeléssel, valamint a kapcsolódó földgázszállítási és -elosztási infrastruktúrával kapcsolatos, ezen intézkedés hatálya alá tartozó projekteket, valamint b) a ii. alpont szerinti</w:t>
      </w:r>
      <w:r w:rsidRPr="00C83671">
        <w:rPr>
          <w:rFonts w:ascii="Times New Roman" w:hAnsi="Times New Roman" w:cs="Times New Roman"/>
        </w:rPr>
        <w:t xml:space="preserve"> tevékenységeket és eszközöket, amelyek esetében a fosszilis tüzelőanyagok használata átmeneti és technikailag elkerülhetetlen a fosszilis tüzelőanyagoktól mentes üzemre való, időben történő átálláshoz, a fosszilis tüzelőanyagok teljes körű kivezetése.</w:t>
      </w:r>
    </w:p>
  </w:footnote>
  <w:footnote w:id="120">
    <w:p w14:paraId="6C85A674"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w:t>
      </w:r>
      <w:r w:rsidRPr="00C83671">
        <w:rPr>
          <w:rFonts w:ascii="Times New Roman" w:hAnsi="Times New Roman" w:cs="Times New Roman"/>
        </w:rPr>
        <w:t>mennyiben a támogatott tevékenység olyan előre jelzett üvegházhatásúgáz-kibocsátást ér el, amely nem alacsonyabb a vonatkozó referenciaértékeknél, meg kell indokolni, hogy ez miért nem lehetséges. A kibocsátáskereskedelmi rendszer hatálya alá tartozó tevék</w:t>
      </w:r>
      <w:r w:rsidRPr="00C83671">
        <w:rPr>
          <w:rFonts w:ascii="Times New Roman" w:hAnsi="Times New Roman" w:cs="Times New Roman"/>
        </w:rPr>
        <w:t>enységekre vonatkozó ingyenes kiosztásra vonatkozóan az (EU) 2021/447 bizottsági végrehajtási rendeletben meghatározott referenciaértékek. </w:t>
      </w:r>
    </w:p>
  </w:footnote>
  <w:footnote w:id="121">
    <w:p w14:paraId="5E4FA361"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veszélyes h</w:t>
      </w:r>
      <w:r w:rsidRPr="00C83671">
        <w:rPr>
          <w:rFonts w:ascii="Times New Roman" w:hAnsi="Times New Roman" w:cs="Times New Roman"/>
        </w:rPr>
        <w:t>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w:t>
      </w:r>
      <w:r w:rsidRPr="00C83671">
        <w:rPr>
          <w:rFonts w:ascii="Times New Roman" w:hAnsi="Times New Roman" w:cs="Times New Roman"/>
        </w:rPr>
        <w:t>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w:t>
      </w:r>
      <w:r w:rsidRPr="00C83671">
        <w:rPr>
          <w:rFonts w:ascii="Times New Roman" w:hAnsi="Times New Roman" w:cs="Times New Roman"/>
        </w:rPr>
        <w:t>onyítékot. </w:t>
      </w:r>
    </w:p>
  </w:footnote>
  <w:footnote w:id="122">
    <w:p w14:paraId="303BA82A"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w:t>
      </w:r>
      <w:r w:rsidRPr="00C83671">
        <w:rPr>
          <w:rFonts w:ascii="Times New Roman" w:hAnsi="Times New Roman" w:cs="Times New Roman"/>
        </w:rPr>
        <w:t>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w:t>
      </w:r>
      <w:r w:rsidRPr="00C83671">
        <w:rPr>
          <w:rFonts w:ascii="Times New Roman" w:hAnsi="Times New Roman" w:cs="Times New Roman"/>
        </w:rPr>
        <w:t>zemek hulladékfeldolgozási kapacitásának növelését vagy az üzemek élettartamának meghosszabbítását; ezek esetében az üzem szintjén szolgáltatnak bizonyítékot. </w:t>
      </w:r>
    </w:p>
  </w:footnote>
  <w:footnote w:id="123">
    <w:p w14:paraId="5E76761E" w14:textId="4322F5E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 digitális hozzájárulás kiszámítása céljából a nem konkrét projektekre irányuló sajáttőke-, kv</w:t>
      </w:r>
      <w:r w:rsidRPr="00C83671">
        <w:rPr>
          <w:rFonts w:ascii="Times New Roman" w:hAnsi="Times New Roman" w:cs="Times New Roman"/>
        </w:rPr>
        <w:t>ázisajáttőke-, vállalati kötvények vagy ezekkel egyenértékű eszközök esetében kritériumokat kell alkalmazni annak előírására, hogy a kedvezményezett előző pénzügyi évi bevételének vagy az üzleti terv szerinti jövőbeli bevételeinek legalább 90%-a olyan tevé</w:t>
      </w:r>
      <w:r w:rsidRPr="00C83671">
        <w:rPr>
          <w:rFonts w:ascii="Times New Roman" w:hAnsi="Times New Roman" w:cs="Times New Roman"/>
        </w:rPr>
        <w:t xml:space="preserve">kenységből származzon, amely megfelel a Helyreállítási és Rezilienciaépítési Eszközről szóló rendelet VII. mellékletében szereplő alkalmazandó beavatkozási területekből eredő releváns kritériumoknak. </w:t>
      </w:r>
    </w:p>
  </w:footnote>
  <w:footnote w:id="124">
    <w:p w14:paraId="5E6C3D45" w14:textId="77777777" w:rsidR="003E1D81" w:rsidRPr="00C83671" w:rsidRDefault="00EB481C">
      <w:pPr>
        <w:rPr>
          <w:rFonts w:ascii="Times New Roman" w:hAnsi="Times New Roman" w:cs="Times New Roman"/>
          <w:sz w:val="20"/>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Hálózat- és információbiztonsági együttműködési csopo</w:t>
      </w:r>
      <w:r w:rsidRPr="00C83671">
        <w:rPr>
          <w:rFonts w:ascii="Times New Roman" w:hAnsi="Times New Roman" w:cs="Times New Roman"/>
          <w:sz w:val="20"/>
        </w:rPr>
        <w:t>rt, Az 5G hálózatok kiberbiztonsága A kockázatcsökkentő intézkedések uniós eszköztára, 2020. január, https://ec.europa.eu/newsroom/dae/document.cfm?doc_id=64468</w:t>
      </w:r>
    </w:p>
  </w:footnote>
  <w:footnote w:id="125">
    <w:p w14:paraId="79775987" w14:textId="77777777" w:rsidR="003E1D81" w:rsidRPr="00C83671" w:rsidRDefault="00EB481C">
      <w:pPr>
        <w:spacing w:after="0"/>
        <w:rPr>
          <w:rFonts w:ascii="Times New Roman" w:hAnsi="Times New Roman" w:cs="Times New Roman"/>
          <w:sz w:val="20"/>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Az Európai Parlament és a Tanács (EU) 2021/697 rendelete (2021. április 29.) az Európai Védel</w:t>
      </w:r>
      <w:r w:rsidRPr="00C83671">
        <w:rPr>
          <w:rFonts w:ascii="Times New Roman" w:hAnsi="Times New Roman" w:cs="Times New Roman"/>
          <w:sz w:val="20"/>
        </w:rPr>
        <w:t>mi Alap létrehozásáról</w:t>
      </w:r>
    </w:p>
  </w:footnote>
  <w:footnote w:id="126">
    <w:p w14:paraId="72B28B99" w14:textId="77777777" w:rsidR="003E1D81" w:rsidRPr="00C83671" w:rsidRDefault="00EB481C">
      <w:pPr>
        <w:spacing w:after="0"/>
        <w:rPr>
          <w:rFonts w:ascii="Times New Roman" w:hAnsi="Times New Roman" w:cs="Times New Roman"/>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Az (EU) 2021/696 rendelet az uniós űrprogram és az Európai Unió Űrprogramügynökségének létrehozásáról</w:t>
      </w:r>
    </w:p>
  </w:footnote>
  <w:footnote w:id="127">
    <w:p w14:paraId="4067BF7D" w14:textId="2F40705E" w:rsidR="003E1D81" w:rsidRPr="00C83671" w:rsidRDefault="00EB481C">
      <w:pPr>
        <w:spacing w:after="0" w:line="240" w:lineRule="auto"/>
        <w:jc w:val="both"/>
        <w:rPr>
          <w:rFonts w:ascii="Times New Roman" w:eastAsia="Times New Roman" w:hAnsi="Times New Roman" w:cs="Times New Roman"/>
          <w:sz w:val="24"/>
        </w:rPr>
      </w:pPr>
      <w:r w:rsidRPr="00C83671">
        <w:rPr>
          <w:rStyle w:val="FootnoteReference"/>
          <w:rFonts w:ascii="Times New Roman" w:hAnsi="Times New Roman" w:cs="Times New Roman"/>
        </w:rPr>
        <w:footnoteRef/>
      </w:r>
      <w:r w:rsidRPr="00C83671">
        <w:rPr>
          <w:rFonts w:ascii="Times New Roman" w:hAnsi="Times New Roman" w:cs="Times New Roman"/>
          <w:sz w:val="20"/>
        </w:rPr>
        <w:t>Kivéve a) a jelentős károkozás elkerülését célzó technikai iránymutatás (2021/C58/01) III. mellékletében meghatározott feltétele</w:t>
      </w:r>
      <w:r w:rsidRPr="00C83671">
        <w:rPr>
          <w:rFonts w:ascii="Times New Roman" w:hAnsi="Times New Roman" w:cs="Times New Roman"/>
          <w:sz w:val="20"/>
        </w:rPr>
        <w:t>knek megfelelő, a villamosenergia- és/vagy hőtermeléssel kapcsolatos eszközöket és tevékenységeket, valamint a kapcsolódó, földgázt használó szállítási és elosztási infrastruktúrát, valamint b) a ii. alpont szerinti tevékenységeket és eszközöket, amelyek e</w:t>
      </w:r>
      <w:r w:rsidRPr="00C83671">
        <w:rPr>
          <w:rFonts w:ascii="Times New Roman" w:hAnsi="Times New Roman" w:cs="Times New Roman"/>
          <w:sz w:val="20"/>
        </w:rPr>
        <w:t>setében a fosszilis tüzelőanyagok használata átmeneti és technikailag elkerülhetetlen a fosszilis tüzelőanyagoktól mentes üzemre való kellő időben történő átálláshoz.</w:t>
      </w:r>
    </w:p>
  </w:footnote>
  <w:footnote w:id="128">
    <w:p w14:paraId="6729EEF5" w14:textId="56238AA2" w:rsidR="003E1D81" w:rsidRPr="00C83671" w:rsidRDefault="00EB481C">
      <w:pPr>
        <w:spacing w:after="0" w:line="240" w:lineRule="auto"/>
        <w:jc w:val="both"/>
        <w:rPr>
          <w:rFonts w:ascii="Times New Roman" w:eastAsia="Times New Roman" w:hAnsi="Times New Roman" w:cs="Times New Roman"/>
          <w:sz w:val="24"/>
          <w:shd w:val="clear" w:color="auto" w:fill="FFFFFF"/>
        </w:rPr>
      </w:pPr>
      <w:r w:rsidRPr="00C83671">
        <w:rPr>
          <w:rStyle w:val="FootnoteReference"/>
          <w:rFonts w:ascii="Times New Roman" w:hAnsi="Times New Roman" w:cs="Times New Roman"/>
        </w:rPr>
        <w:footnoteRef/>
      </w:r>
      <w:r w:rsidRPr="00C83671">
        <w:rPr>
          <w:rFonts w:ascii="Times New Roman" w:hAnsi="Times New Roman" w:cs="Times New Roman"/>
          <w:sz w:val="20"/>
        </w:rPr>
        <w:t>Beleértve az uniós kibocsátáskereskedelmi rendszer (ETS) keretébe tartozó olyan tevékeny</w:t>
      </w:r>
      <w:r w:rsidRPr="00C83671">
        <w:rPr>
          <w:rFonts w:ascii="Times New Roman" w:hAnsi="Times New Roman" w:cs="Times New Roman"/>
          <w:sz w:val="20"/>
        </w:rPr>
        <w:t>ségeket és eszközöket, amelyek a vonatkozó referenciaértékeknél nem alacsonyabb várható üvegházhatásúgáz-kibocsátást érnek el. Amennyiben a támogatott tevékenység nem eredményez a vonatkozó referenciaértékeknél lényegesen alacsonyabb előrejelzett üvegházha</w:t>
      </w:r>
      <w:r w:rsidRPr="00C83671">
        <w:rPr>
          <w:rFonts w:ascii="Times New Roman" w:hAnsi="Times New Roman" w:cs="Times New Roman"/>
          <w:sz w:val="20"/>
        </w:rPr>
        <w:t>tásúgáz-kibocsátást, ismertetni kell azokat az okokat, amelyek miatt nem érhető el nagyobb kibocsátáscsökkenés. Az (EU) 2021/447 bizottsági végrehajtási rendeletben meghatározott, a kibocsátáskereskedelmi rendszer hatálya alá tartozó tevékenységekre vonatk</w:t>
      </w:r>
      <w:r w:rsidRPr="00C83671">
        <w:rPr>
          <w:rFonts w:ascii="Times New Roman" w:hAnsi="Times New Roman" w:cs="Times New Roman"/>
          <w:sz w:val="20"/>
        </w:rPr>
        <w:t>ozó ingyenes kiosztásra vonatkozóan megállapított referenciaértékek.</w:t>
      </w:r>
      <w:r w:rsidRPr="00C83671">
        <w:rPr>
          <w:rFonts w:ascii="Times New Roman" w:hAnsi="Times New Roman" w:cs="Times New Roman"/>
          <w:sz w:val="20"/>
          <w:shd w:val="clear" w:color="auto" w:fill="FFFFFF"/>
        </w:rPr>
        <w:t>Az intézkedés végrehajtását 2026. augusztus 31-ig be kell fejezni.</w:t>
      </w:r>
    </w:p>
  </w:footnote>
  <w:footnote w:id="129">
    <w:p w14:paraId="6F7DB3F9"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Ez a kizárás nem vonatkozik az ezen intézkedés szerinti fellépésekre a kizárólag nem újrafeldolgozható veszélyes hulladé</w:t>
      </w:r>
      <w:r w:rsidRPr="00C83671">
        <w:rPr>
          <w:rFonts w:ascii="Times New Roman" w:hAnsi="Times New Roman" w:cs="Times New Roman"/>
        </w:rPr>
        <w:t>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w:t>
      </w:r>
      <w:r w:rsidRPr="00C83671">
        <w:rPr>
          <w:rFonts w:ascii="Times New Roman" w:hAnsi="Times New Roman" w:cs="Times New Roman"/>
        </w:rPr>
        <w:t>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w:t>
      </w:r>
      <w:r w:rsidRPr="00C83671">
        <w:rPr>
          <w:rFonts w:ascii="Times New Roman" w:hAnsi="Times New Roman" w:cs="Times New Roman"/>
        </w:rPr>
        <w:t>kot.</w:t>
      </w:r>
    </w:p>
  </w:footnote>
  <w:footnote w:id="130">
    <w:p w14:paraId="446E45FA"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Ez a kizárás nem vonatkozik az ezen intézkedés keretében a meglévő mechanikus-biológiai hulladékkezelő létesítményekben végrehajtott intézkedésekre, amennyiben az ezen intézkedés keretében végrehajtott fellépések célja az energiahatékonyság növelése </w:t>
      </w:r>
      <w:r w:rsidRPr="00C83671">
        <w:rPr>
          <w:rFonts w:ascii="Times New Roman" w:hAnsi="Times New Roman" w:cs="Times New Roman"/>
        </w:rPr>
        <w:t>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w:t>
      </w:r>
      <w:r w:rsidRPr="00C83671">
        <w:rPr>
          <w:rFonts w:ascii="Times New Roman" w:hAnsi="Times New Roman" w:cs="Times New Roman"/>
        </w:rPr>
        <w:t>lladékfeldolgozási kapacitásának növelését vagy az üzemek élettartamának meghosszabbítását; ezek esetében az üzem szintjén szolgáltatnak bizonyítékot.</w:t>
      </w:r>
    </w:p>
  </w:footnote>
  <w:footnote w:id="131">
    <w:p w14:paraId="144E1564" w14:textId="2C8A4371" w:rsidR="003E1D81" w:rsidRPr="00C83671" w:rsidRDefault="00EB481C">
      <w:pPr>
        <w:spacing w:after="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Fonts w:ascii="Times New Roman" w:hAnsi="Times New Roman" w:cs="Times New Roman"/>
          <w:sz w:val="20"/>
        </w:rPr>
        <w:t xml:space="preserve">Úgy tekinthető, hogy a végső kedvezményezett „jelentős mértékben” egy ágazatra vagy üzleti </w:t>
      </w:r>
      <w:r w:rsidRPr="00C83671">
        <w:rPr>
          <w:rFonts w:ascii="Times New Roman" w:hAnsi="Times New Roman" w:cs="Times New Roman"/>
          <w:sz w:val="20"/>
        </w:rPr>
        <w:t>tevékenységre összpontosít, ha az ilyen ágazat vagy tevékenység a végső kedvezményezett bruttó bevételéhez, nyereségéhez vagy ügyfélbázisához viszonyítva a végső kedvezményezett üzleti tevékenységének lényeges részét képezi. A korlátozás alá vont ágazatból</w:t>
      </w:r>
      <w:r w:rsidRPr="00C83671">
        <w:rPr>
          <w:rFonts w:ascii="Times New Roman" w:hAnsi="Times New Roman" w:cs="Times New Roman"/>
          <w:sz w:val="20"/>
        </w:rPr>
        <w:t xml:space="preserve"> vagy tevékenységből származó bruttó bevétel semmilyen esetben sem haladhatja meg a bruttó bevétel 50%-át.</w:t>
      </w:r>
    </w:p>
  </w:footnote>
  <w:footnote w:id="132">
    <w:p w14:paraId="1CB55135" w14:textId="3F151E1E"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Kivéve a) a jelentős károkozás elkerülését célzó technikai iránymutatás (2021/C58/01) III. mellékletében meghatározott feltételeknek megfelelő, a vi</w:t>
      </w:r>
      <w:r w:rsidRPr="00C83671">
        <w:rPr>
          <w:rFonts w:ascii="Times New Roman" w:hAnsi="Times New Roman" w:cs="Times New Roman"/>
        </w:rPr>
        <w:t xml:space="preserve">llamosenergia- és/vagy hőtermeléssel kapcsolatos eszközöket és tevékenységeket, valamint a kapcsolódó, földgázt használó szállítási és elosztási infrastruktúrát, valamint b) a ii. alpont szerinti tevékenységeket és eszközöket, amelyek esetében a fosszilis </w:t>
      </w:r>
      <w:r w:rsidRPr="00C83671">
        <w:rPr>
          <w:rFonts w:ascii="Times New Roman" w:hAnsi="Times New Roman" w:cs="Times New Roman"/>
        </w:rPr>
        <w:t>tüzelőanyagok használata átmeneti és technikailag elkerülhetetlen a fosszilis tüzelőanyagoktól mentes üzemre való kellő időben történő átálláshoz.</w:t>
      </w:r>
    </w:p>
  </w:footnote>
  <w:footnote w:id="133">
    <w:p w14:paraId="5F2ACA3A" w14:textId="428B674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Beleértve az uniós kibocsátáskereskedelmi rendszer (ETS) keretébe tartozó olyan tevékenységeket és eszközöke</w:t>
      </w:r>
      <w:r w:rsidRPr="00C83671">
        <w:rPr>
          <w:rFonts w:ascii="Times New Roman" w:hAnsi="Times New Roman" w:cs="Times New Roman"/>
        </w:rPr>
        <w:t>t, amelyek a vonatkozó referenciaértékeknél nem alacsonyabb várható üvegházhatásúgáz-kibocsátást érnek el. Amennyiben a támogatott tevékenység nem eredményez a vonatkozó referenciaértékeknél lényegesen alacsonyabb előrejelzett üvegházhatásúgáz-kibocsátást,</w:t>
      </w:r>
      <w:r w:rsidRPr="00C83671">
        <w:rPr>
          <w:rFonts w:ascii="Times New Roman" w:hAnsi="Times New Roman" w:cs="Times New Roman"/>
        </w:rPr>
        <w:t xml:space="preserve"> ismertetni kell azokat az okokat, amelyek miatt nem érhető el nagyobb kibocsátáscsökkenés. A kibocsátáskereskedelmi rendszer hatálya alá tartozó tevékenységekre vonatkozó ingyenes kiosztásra vonatkozóan az (EU) 2021/447 bizottsági végrehajtási rendeletben</w:t>
      </w:r>
      <w:r w:rsidRPr="00C83671">
        <w:rPr>
          <w:rFonts w:ascii="Times New Roman" w:hAnsi="Times New Roman" w:cs="Times New Roman"/>
        </w:rPr>
        <w:t xml:space="preserve"> meghatározott referenciaértékek.</w:t>
      </w:r>
    </w:p>
  </w:footnote>
  <w:footnote w:id="134">
    <w:p w14:paraId="03D47B69" w14:textId="70D3DC79"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 szennyező járművek a meghatározás szerint nem kibocsátásmentes járművek.</w:t>
      </w:r>
    </w:p>
  </w:footnote>
  <w:footnote w:id="135">
    <w:p w14:paraId="03BE60AC" w14:textId="60BC34FB"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Ez a kizárás nem vonatkozik a kizárólag nem újrahasznosítható veszélyes hulladék kezelésére szolgáló üzemekben végzett tevékenységekre, valamint </w:t>
      </w:r>
      <w:r w:rsidRPr="00C83671">
        <w:rPr>
          <w:rFonts w:ascii="Times New Roman" w:hAnsi="Times New Roman" w:cs="Times New Roman"/>
        </w:rPr>
        <w:t>a meglévő üzemekre, amennyiben az ezen intézkedés szerinti tevékenységek célja az energiahatékonyság növelése, a füstgázok tárolás vagy felhasználás céljából történő leválasztása vagy hulladékégető hamuból származó anyagok visszanyerése, feltéve, hogy az e</w:t>
      </w:r>
      <w:r w:rsidRPr="00C83671">
        <w:rPr>
          <w:rFonts w:ascii="Times New Roman" w:hAnsi="Times New Roman" w:cs="Times New Roman"/>
        </w:rPr>
        <w:t>zen intézkedés szerinti intézkedések nem eredményezik az üzemek hulladékfeldolgozási kapacitásának növekedését vagy az üzemek élettartamának meghosszabbítását; ezek esetében az üzem szintjén szolgáltatnak bizonyítékot.</w:t>
      </w:r>
    </w:p>
  </w:footnote>
  <w:footnote w:id="136">
    <w:p w14:paraId="62EE6026" w14:textId="482E27BA"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 a jelentős károkozás elke</w:t>
      </w:r>
      <w:r w:rsidRPr="00C83671">
        <w:rPr>
          <w:rFonts w:ascii="Times New Roman" w:hAnsi="Times New Roman" w:cs="Times New Roman"/>
        </w:rPr>
        <w:t>rülését célzó technikai iránymutatás (2021/C58/01) III. mellékletében meghatározott feltételeknek megfelelő, a villamosenergia- és/vagy hőtermeléssel kapcsolatos eszközöket és tevékenységeket, valamint a kapcsolódó, földgázt használó szállítási és elosztás</w:t>
      </w:r>
      <w:r w:rsidRPr="00C83671">
        <w:rPr>
          <w:rFonts w:ascii="Times New Roman" w:hAnsi="Times New Roman" w:cs="Times New Roman"/>
        </w:rPr>
        <w:t>i infrastruktúrát, valamint b) a ii. alpont szerinti tevékenységeket és eszközöket, amelyek esetében a fosszilis tüzelőanyagok használata átmeneti és technikailag elkerülhetetlen a fosszilis tüzelőanyagoktól mentes üzemre való kellő időben történő átállásh</w:t>
      </w:r>
      <w:r w:rsidRPr="00C83671">
        <w:rPr>
          <w:rFonts w:ascii="Times New Roman" w:hAnsi="Times New Roman" w:cs="Times New Roman"/>
        </w:rPr>
        <w:t>oz.</w:t>
      </w:r>
    </w:p>
  </w:footnote>
  <w:footnote w:id="137">
    <w:p w14:paraId="651F7B0D" w14:textId="673BB074"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Amennyiben a támogatott tevékenység nem eredményez a vonatkozó referenciaértékeknél lényegesen alacsonyabb előrejelzett üvegházhatásúgáz-kibocsátást, ismertetni kell azokat az okokat, amelyek miatt nem érhető el nagyobb kibocsátáscsökkenés. A kibocsát</w:t>
      </w:r>
      <w:r w:rsidRPr="00C83671">
        <w:rPr>
          <w:rFonts w:ascii="Times New Roman" w:hAnsi="Times New Roman" w:cs="Times New Roman"/>
        </w:rPr>
        <w:t>áskereskedelmi rendszer hatálya alá tartozó tevékenységekre vonatkozó ingyenes kiosztásra vonatkozóan az (EU) 2021/447 bizottsági végrehajtási rendeletben meghatározott referenciaértékek.</w:t>
      </w:r>
    </w:p>
  </w:footnote>
  <w:footnote w:id="138">
    <w:p w14:paraId="6B92AA74" w14:textId="77777777" w:rsidR="003E1D81" w:rsidRPr="00C83671" w:rsidRDefault="00EB481C">
      <w:pPr>
        <w:spacing w:before="120" w:after="120" w:line="240" w:lineRule="auto"/>
        <w:jc w:val="both"/>
        <w:rPr>
          <w:rFonts w:ascii="Times New Roman" w:eastAsia="Times New Roman" w:hAnsi="Times New Roman" w:cs="Times New Roman"/>
          <w:sz w:val="20"/>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Kivéve a) a jelentős károkozás elkerülését célzó technikai iránymu</w:t>
      </w:r>
      <w:r w:rsidRPr="00C83671">
        <w:rPr>
          <w:rFonts w:ascii="Times New Roman" w:hAnsi="Times New Roman" w:cs="Times New Roman"/>
          <w:sz w:val="20"/>
        </w:rPr>
        <w:t xml:space="preserve">tatás (2021/C58/01) III. mellékletében meghatározott feltételeknek megfelelő, a villamosenergia- és/vagy hőtermeléssel kapcsolatos eszközöket és tevékenységeket, valamint a kapcsolódó, földgázt használó szállítási és elosztási infrastruktúrát, valamint b) </w:t>
      </w:r>
      <w:r w:rsidRPr="00C83671">
        <w:rPr>
          <w:rFonts w:ascii="Times New Roman" w:hAnsi="Times New Roman" w:cs="Times New Roman"/>
          <w:sz w:val="20"/>
        </w:rPr>
        <w:t>a ii. alpont szerinti tevékenységeket és eszközöket, amelyek esetében a fosszilis tüzelőanyagok használata átmeneti és technikailag elkerülhetetlen a fosszilis tüzelőanyagoktól mentes üzemre való kellő időben történő átálláshoz.</w:t>
      </w:r>
    </w:p>
  </w:footnote>
  <w:footnote w:id="139">
    <w:p w14:paraId="74A21594" w14:textId="77777777" w:rsidR="003E1D81" w:rsidRPr="00C83671" w:rsidRDefault="00EB481C">
      <w:pPr>
        <w:spacing w:before="120" w:after="120" w:line="240" w:lineRule="auto"/>
        <w:jc w:val="both"/>
        <w:rPr>
          <w:rFonts w:ascii="Times New Roman" w:eastAsia="Times New Roman" w:hAnsi="Times New Roman" w:cs="Times New Roman"/>
          <w:sz w:val="20"/>
          <w:shd w:val="clear" w:color="auto" w:fill="FFFFFF"/>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Beleértve az uniós kibocs</w:t>
      </w:r>
      <w:r w:rsidRPr="00C83671">
        <w:rPr>
          <w:rFonts w:ascii="Times New Roman" w:hAnsi="Times New Roman" w:cs="Times New Roman"/>
          <w:sz w:val="20"/>
        </w:rPr>
        <w:t>átáskereskedelmi rendszer (ETS) keretébe tartozó olyan tevékenységeket és eszközöket, amelyek a vonatkozó referenciaértékeknél nem alacsonyabb várható üvegházhatásúgáz-kibocsátást érnek el. Amennyiben a támogatott tevékenység nem eredményez a vonatkozó ref</w:t>
      </w:r>
      <w:r w:rsidRPr="00C83671">
        <w:rPr>
          <w:rFonts w:ascii="Times New Roman" w:hAnsi="Times New Roman" w:cs="Times New Roman"/>
          <w:sz w:val="20"/>
        </w:rPr>
        <w:t>erenciaértékeknél lényegesen alacsonyabb előrejelzett üvegházhatásúgáz-kibocsátást, ismertetni kell azokat az okokat, amelyek miatt nem érhető el nagyobb kibocsátáscsökkenés. Az (EU) 2021/447 bizottsági végrehajtási rendeletben meghatározott, a kibocsátásk</w:t>
      </w:r>
      <w:r w:rsidRPr="00C83671">
        <w:rPr>
          <w:rFonts w:ascii="Times New Roman" w:hAnsi="Times New Roman" w:cs="Times New Roman"/>
          <w:sz w:val="20"/>
        </w:rPr>
        <w:t>ereskedelmi rendszer hatálya alá tartozó tevékenységekre vonatkozó ingyenes kiosztásra vonatkozóan megállapított referenciaértékek.</w:t>
      </w:r>
      <w:r w:rsidRPr="00C83671">
        <w:rPr>
          <w:rFonts w:ascii="Times New Roman" w:hAnsi="Times New Roman" w:cs="Times New Roman"/>
          <w:sz w:val="20"/>
          <w:shd w:val="clear" w:color="auto" w:fill="FFFFFF"/>
        </w:rPr>
        <w:t>Az intézkedés végrehajtását 2026. augusztus 31-ig be kell fejezni.</w:t>
      </w:r>
    </w:p>
  </w:footnote>
  <w:footnote w:id="140">
    <w:p w14:paraId="06BE09BB" w14:textId="04B2E985"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Ez a kizárás nem vonatkozik az ezen intézkedés szerinti f</w:t>
      </w:r>
      <w:r w:rsidRPr="00C83671">
        <w:rPr>
          <w:rFonts w:ascii="Times New Roman" w:hAnsi="Times New Roman" w:cs="Times New Roman"/>
        </w:rPr>
        <w:t xml:space="preserve">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w:t>
      </w:r>
      <w:r w:rsidRPr="00C83671">
        <w:rPr>
          <w:rFonts w:ascii="Times New Roman" w:hAnsi="Times New Roman" w:cs="Times New Roman"/>
        </w:rPr>
        <w:t>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w:t>
      </w:r>
      <w:r w:rsidRPr="00C83671">
        <w:rPr>
          <w:rFonts w:ascii="Times New Roman" w:hAnsi="Times New Roman" w:cs="Times New Roman"/>
        </w:rPr>
        <w:t>bítását; ezek esetében az üzem szintjén szolgáltatnak bizonyítékot.</w:t>
      </w:r>
    </w:p>
  </w:footnote>
  <w:footnote w:id="141">
    <w:p w14:paraId="43880B13" w14:textId="5EB557F3"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Ez a kizárás nem vonatkozik az ezen intézkedés keretében a meglévő mechanikus-biológiai hulladékkezelő létesítményekben végrehajtott intézkedésekre, amennyiben az ezen intézkedés </w:t>
      </w:r>
      <w:r w:rsidRPr="00C83671">
        <w:rPr>
          <w:rFonts w:ascii="Times New Roman" w:hAnsi="Times New Roman" w:cs="Times New Roman"/>
        </w:rPr>
        <w:t>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w:t>
      </w:r>
      <w:r w:rsidRPr="00C83671">
        <w:rPr>
          <w:rFonts w:ascii="Times New Roman" w:hAnsi="Times New Roman" w:cs="Times New Roman"/>
        </w:rPr>
        <w:t>zkedés szerinti szerinti ilyen fellépések nem eredményezik az üzemek hulladékfeldolgozási kapacitásának növelését vagy az üzemek élettartamának meghosszabbítását; ezek esetében az üzem szintjén szolgáltatnak bizonyítékot.</w:t>
      </w:r>
    </w:p>
  </w:footnote>
  <w:footnote w:id="142">
    <w:p w14:paraId="2F461A80" w14:textId="4F4A10AE" w:rsidR="003E1D81" w:rsidRPr="00C83671" w:rsidRDefault="00EB481C">
      <w:pPr>
        <w:spacing w:before="120" w:after="120" w:line="240" w:lineRule="auto"/>
        <w:jc w:val="both"/>
        <w:rPr>
          <w:rFonts w:ascii="Times New Roman" w:eastAsia="Times New Roman" w:hAnsi="Times New Roman" w:cs="Times New Roman"/>
          <w:sz w:val="20"/>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A 2013/34/EU irányelvet a fenntar</w:t>
      </w:r>
      <w:r w:rsidRPr="00C83671">
        <w:rPr>
          <w:rFonts w:ascii="Times New Roman" w:hAnsi="Times New Roman" w:cs="Times New Roman"/>
          <w:sz w:val="20"/>
        </w:rPr>
        <w:t>thatósággal kapcsolatos vállalati beszámolásról szóló irányelvről szóló (EU) 2022/2464 irányelv módosítja.</w:t>
      </w:r>
    </w:p>
  </w:footnote>
  <w:footnote w:id="143">
    <w:p w14:paraId="2F73802F" w14:textId="77777777" w:rsidR="003E1D81" w:rsidRPr="00C83671" w:rsidRDefault="00EB481C">
      <w:pPr>
        <w:spacing w:before="120" w:after="120" w:line="240" w:lineRule="auto"/>
        <w:jc w:val="both"/>
        <w:rPr>
          <w:rFonts w:ascii="Times New Roman" w:hAnsi="Times New Roman" w:cs="Times New Roman"/>
          <w:sz w:val="20"/>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Kivéve a) a jelentős károkozás elkerülését célzó technikai iránymutatás (2021/C58/01) III. mellékletében meghatározott feltételeknek megfelelő vill</w:t>
      </w:r>
      <w:r w:rsidRPr="00C83671">
        <w:rPr>
          <w:rFonts w:ascii="Times New Roman" w:hAnsi="Times New Roman" w:cs="Times New Roman"/>
          <w:sz w:val="20"/>
        </w:rPr>
        <w:t>amosenergia- és/vagy hőtermeléssel, valamint a kapcsolódó földgázszállítási és -elosztási infrastruktúrával kapcsolatos, ezen intézkedés hatálya alá tartozó projektek, valamint b) a ii. alpont szerinti olyan tevékenységek és eszközök kivételével, amelyek e</w:t>
      </w:r>
      <w:r w:rsidRPr="00C83671">
        <w:rPr>
          <w:rFonts w:ascii="Times New Roman" w:hAnsi="Times New Roman" w:cs="Times New Roman"/>
          <w:sz w:val="20"/>
        </w:rPr>
        <w:t>setében a fosszilis tüzelőanyagok használata átmeneti és technikailag elkerülhetetlen a fosszilis tüzelőanyagoktól mentes üzemre való, időben történő átálláshoz, a fosszilis tüzelőanyagok teljes körű kivezetése.</w:t>
      </w:r>
    </w:p>
  </w:footnote>
  <w:footnote w:id="144">
    <w:p w14:paraId="7D096330" w14:textId="01426183"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Amennyiben a támogatott tevékenység olyan e</w:t>
      </w:r>
      <w:r w:rsidRPr="00C83671">
        <w:rPr>
          <w:rFonts w:ascii="Times New Roman" w:hAnsi="Times New Roman" w:cs="Times New Roman"/>
        </w:rPr>
        <w:t>lőre jelzett üvegházhatásúgáz-kibocsátást ér el, amely nem alacsonyabb a vonatkozó referenciaértékeknél, meg kell indokolni, hogy ez miért nem lehetséges. A kibocsátáskereskedelmi rendszer hatálya alá tartozó tevékenységekre vonatkozó ingyenes kiosztásra v</w:t>
      </w:r>
      <w:r w:rsidRPr="00C83671">
        <w:rPr>
          <w:rFonts w:ascii="Times New Roman" w:hAnsi="Times New Roman" w:cs="Times New Roman"/>
        </w:rPr>
        <w:t>onatkozóan az (EU) 2021/447 bizottsági végrehajtási rendeletben meghatározott referenciaértékek.</w:t>
      </w:r>
    </w:p>
  </w:footnote>
  <w:footnote w:id="145">
    <w:p w14:paraId="6C2F19A7" w14:textId="461A7633"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Ez a kizárás nem vonatkozik az ezen intézkedés szerinti fellépésekre a kizárólag nem újrafeldolgozható veszélyes hulladékok kezelésére szolgáló </w:t>
      </w:r>
      <w:r w:rsidRPr="00C83671">
        <w:rPr>
          <w:rFonts w:ascii="Times New Roman" w:hAnsi="Times New Roman" w:cs="Times New Roman"/>
        </w:rPr>
        <w:t>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w:t>
      </w:r>
      <w:r w:rsidRPr="00C83671">
        <w:rPr>
          <w:rFonts w:ascii="Times New Roman" w:hAnsi="Times New Roman" w:cs="Times New Roman"/>
        </w:rPr>
        <w:t>,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46">
    <w:p w14:paraId="65F80730" w14:textId="77777777" w:rsidR="003E1D81" w:rsidRPr="00C83671" w:rsidRDefault="00EB481C">
      <w:pPr>
        <w:pStyle w:val="ListParagraph"/>
        <w:ind w:left="0"/>
        <w:rPr>
          <w:rFonts w:ascii="Times New Roman" w:eastAsia="Times New Roman" w:hAnsi="Times New Roman" w:cs="Times New Roman"/>
          <w:sz w:val="20"/>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Ez a kizárás nem </w:t>
      </w:r>
      <w:r w:rsidRPr="00C83671">
        <w:rPr>
          <w:rFonts w:ascii="Times New Roman" w:hAnsi="Times New Roman" w:cs="Times New Roman"/>
          <w:sz w:val="20"/>
        </w:rPr>
        <w:t>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w:t>
      </w:r>
      <w:r w:rsidRPr="00C83671">
        <w:rPr>
          <w:rFonts w:ascii="Times New Roman" w:hAnsi="Times New Roman" w:cs="Times New Roman"/>
          <w:sz w:val="20"/>
        </w:rPr>
        <w:t>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w:t>
      </w:r>
      <w:r w:rsidRPr="00C83671">
        <w:rPr>
          <w:rFonts w:ascii="Times New Roman" w:hAnsi="Times New Roman" w:cs="Times New Roman"/>
          <w:sz w:val="20"/>
        </w:rPr>
        <w:t xml:space="preserve">citásának növelését vagy az üzemek élettartamának meghosszabbítását; ezek esetében az üzem szintjén szolgáltatnak bizonyítékot. </w:t>
      </w:r>
    </w:p>
    <w:p w14:paraId="7738AF73" w14:textId="77777777" w:rsidR="003E1D81" w:rsidRPr="00C83671" w:rsidRDefault="003E1D81">
      <w:pPr>
        <w:pStyle w:val="FootnoteText"/>
        <w:ind w:left="0" w:firstLine="0"/>
        <w:rPr>
          <w:rFonts w:ascii="Times New Roman" w:hAnsi="Times New Roman" w:cs="Times New Roman"/>
        </w:rPr>
      </w:pPr>
    </w:p>
  </w:footnote>
  <w:footnote w:id="147">
    <w:p w14:paraId="6A8687C4" w14:textId="2E25EA5D"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Az egyes projektekhez kapcsolódó hitelek, részvételi hitelek, projektkötvények, garanciák vagy ezekkel egyenértékű eszközök v</w:t>
      </w:r>
      <w:r w:rsidRPr="00C83671">
        <w:rPr>
          <w:rFonts w:ascii="Times New Roman" w:hAnsi="Times New Roman" w:cs="Times New Roman"/>
        </w:rPr>
        <w:t>égső kedvezményezettjeinek minden egyes támogatott projekt esetében meg kell indokolniuk a kiválasztott beavatkozási területet, a projekt leírásával együtt. Az éghajlat-politikai hozzájárulás kiszámítása céljából a nem konkrét projektekre irányuló sajáttők</w:t>
      </w:r>
      <w:r w:rsidRPr="00C83671">
        <w:rPr>
          <w:rFonts w:ascii="Times New Roman" w:hAnsi="Times New Roman" w:cs="Times New Roman"/>
        </w:rPr>
        <w:t>e-, kvázisajáttőke-, vállalati kötvények vagy ezekkel egyenértékű eszközök esetében kritériumokat kell alkalmazni annak előírására, hogy a kedvezményezett előző pénzügyi évi bevételének vagy az üzleti terv szerinti jövőbeli bevételeinek legalább 90%-a olya</w:t>
      </w:r>
      <w:r w:rsidRPr="00C83671">
        <w:rPr>
          <w:rFonts w:ascii="Times New Roman" w:hAnsi="Times New Roman" w:cs="Times New Roman"/>
        </w:rPr>
        <w:t>n tevékenységből származzon, amely megfelel a Helyreállítási és Rezilienciaépítési Eszközről szóló rendelet VI. mellékletében szereplő alkalmazandó beavatkozási területekből eredő releváns kritériumoknak. A nem konkrét projektekre irányuló sajáttőke-, kváz</w:t>
      </w:r>
      <w:r w:rsidRPr="00C83671">
        <w:rPr>
          <w:rFonts w:ascii="Times New Roman" w:hAnsi="Times New Roman" w:cs="Times New Roman"/>
        </w:rPr>
        <w:t>isajáttőke-, vállalati kötvények vagy ezekkel egyenértékű eszközök végső kedvezményezettjeinek meg kell indokolniuk a kiválasztott beavatkozási terület(ek)et. A végrehajtó partnernek továbbá féléves jelentést kell benyújtania a tagállamnak minden egyes pro</w:t>
      </w:r>
      <w:r w:rsidRPr="00C83671">
        <w:rPr>
          <w:rFonts w:ascii="Times New Roman" w:hAnsi="Times New Roman" w:cs="Times New Roman"/>
        </w:rPr>
        <w:t>jekt/tevékenység végrehajtásáról.</w:t>
      </w:r>
    </w:p>
  </w:footnote>
  <w:footnote w:id="148">
    <w:p w14:paraId="4A7FBCDF" w14:textId="13D97DB9" w:rsidR="003E1D81" w:rsidRPr="00C83671" w:rsidRDefault="00EB481C">
      <w:pPr>
        <w:spacing w:before="160" w:after="0" w:line="240" w:lineRule="auto"/>
        <w:jc w:val="both"/>
        <w:rPr>
          <w:rFonts w:ascii="Times New Roman" w:eastAsia="Times New Roman" w:hAnsi="Times New Roman" w:cs="Times New Roman"/>
          <w:sz w:val="24"/>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Fonts w:ascii="Times New Roman" w:hAnsi="Times New Roman" w:cs="Times New Roman"/>
          <w:sz w:val="20"/>
        </w:rPr>
        <w:t>Kivéve a) a jelentős károkozás elkerülését célzó technikai iránymutatás (2021/C58/01) III. mellékletében meghatározott feltételeknek megfelelő villamosenergia- és/vagy hőtermelési projekteket, valamint a kapcsolódó, föld</w:t>
      </w:r>
      <w:r w:rsidRPr="00C83671">
        <w:rPr>
          <w:rFonts w:ascii="Times New Roman" w:hAnsi="Times New Roman" w:cs="Times New Roman"/>
          <w:sz w:val="20"/>
        </w:rPr>
        <w:t>gázt használó szállítási és elosztási infrastruktúrát, valamint b) a ii. alpont szerinti tevékenységeket és eszközöket, amelyek esetében a fosszilis tüzelőanyagok használata átmeneti és technikailag elkerülhetetlen a fosszilis tüzelőanyagoktól mentes üzemr</w:t>
      </w:r>
      <w:r w:rsidRPr="00C83671">
        <w:rPr>
          <w:rFonts w:ascii="Times New Roman" w:hAnsi="Times New Roman" w:cs="Times New Roman"/>
          <w:sz w:val="20"/>
        </w:rPr>
        <w:t>e való kellő időben történő átálláshoz.</w:t>
      </w:r>
    </w:p>
  </w:footnote>
  <w:footnote w:id="149">
    <w:p w14:paraId="784A8839" w14:textId="72579574"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Amennyiben a támogatott tevékenység nem eredményez a vonatkozó referenciaértékeknél lényegesen alacsonyabb előrejelzett üvegházhatásúgáz-kibocsátást, ismertetni kell azokat az okokat, amelyek miatt nem érhető el nag</w:t>
      </w:r>
      <w:r w:rsidRPr="00C83671">
        <w:rPr>
          <w:rFonts w:ascii="Times New Roman" w:hAnsi="Times New Roman" w:cs="Times New Roman"/>
        </w:rPr>
        <w:t>yobb kibocsátáscsökkenés. A kibocsátáskereskedelmi rendszer hatálya alá tartozó tevékenységekre vonatkozó ingyenes kiosztásra vonatkozóan az (EU) 2021/447 bizottsági végrehajtási rendeletben meghatározott referenciaértékek.</w:t>
      </w:r>
    </w:p>
  </w:footnote>
  <w:footnote w:id="150">
    <w:p w14:paraId="01BAF0D9" w14:textId="777746A1"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Ez a kizárás nem vonatkozik a k</w:t>
      </w:r>
      <w:r w:rsidRPr="00C83671">
        <w:rPr>
          <w:rFonts w:ascii="Times New Roman" w:hAnsi="Times New Roman" w:cs="Times New Roman"/>
        </w:rPr>
        <w:t>izárólag nem újrahasznosítható veszélyes hulladék kezelésére szolgáló üzemekben végzett tevékenységekre, valamint a meglévő üzemekre, ahol az intézkedések célja az energiahatékonyság növelése, a füstgázok tárolás vagy felhasználás céljából történő leválasz</w:t>
      </w:r>
      <w:r w:rsidRPr="00C83671">
        <w:rPr>
          <w:rFonts w:ascii="Times New Roman" w:hAnsi="Times New Roman" w:cs="Times New Roman"/>
        </w:rPr>
        <w:t>tása vagy hulladékégető hamuból származó anyagok visszanyerése, feltéve, hogy ezek az intézkedések nem eredményezik az üzemek hulladékfeldolgozási kapacitásának növekedését vagy az üzemek élettartamának meghosszabbítását; ezek esetében az üzem szintjén szo</w:t>
      </w:r>
      <w:r w:rsidRPr="00C83671">
        <w:rPr>
          <w:rFonts w:ascii="Times New Roman" w:hAnsi="Times New Roman" w:cs="Times New Roman"/>
        </w:rPr>
        <w:t xml:space="preserve">lgáltatnak bizonyítékot.  </w:t>
      </w:r>
    </w:p>
  </w:footnote>
  <w:footnote w:id="151">
    <w:p w14:paraId="53F002F8" w14:textId="09EA7658"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Ez a kizárás nem vonatkozik a meglévő mechanikai-biológiai szennyvíztisztító telepeken végzett tevékenységekre, amennyiben az intézkedések célja az energiahatékonyság növelése vagy a szétválasztott hulladék komposzt biohulladékk</w:t>
      </w:r>
      <w:r w:rsidRPr="00C83671">
        <w:rPr>
          <w:rFonts w:ascii="Times New Roman" w:hAnsi="Times New Roman" w:cs="Times New Roman"/>
        </w:rPr>
        <w:t>á történő újrafeldolgozási műveleteihez való utólagos átalakítása és a biohulladék anaerob lebontása, feltéve, hogy ezek az intézkedések nem eredményezik az üzemek hulladékfeldolgozási kapacitásának növekedését vagy az üzemek élettartamának meghosszabbítás</w:t>
      </w:r>
      <w:r w:rsidRPr="00C83671">
        <w:rPr>
          <w:rFonts w:ascii="Times New Roman" w:hAnsi="Times New Roman" w:cs="Times New Roman"/>
        </w:rPr>
        <w:t>át; ezek esetében az üzem szintjén szolgáltatnak bizonyítékot.</w:t>
      </w:r>
    </w:p>
  </w:footnote>
  <w:footnote w:id="152">
    <w:p w14:paraId="3F60B53A"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w:t>
      </w:r>
      <w:r w:rsidRPr="00C83671">
        <w:rPr>
          <w:rFonts w:ascii="Times New Roman" w:hAnsi="Times New Roman" w:cs="Times New Roman"/>
        </w:rPr>
        <w:t>ő, földgázt felhasználó villamosenergia- és/vagy hőtermelésre, valamint a kapcsolódó átviteli és elosztási infrastruktúrára irányuló projekteket.</w:t>
      </w:r>
    </w:p>
  </w:footnote>
  <w:footnote w:id="153">
    <w:p w14:paraId="7C155246"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w:t>
      </w:r>
      <w:r w:rsidRPr="00C83671">
        <w:rPr>
          <w:rFonts w:ascii="Times New Roman" w:hAnsi="Times New Roman" w:cs="Times New Roman"/>
        </w:rPr>
        <w:t>jelentősen a vonatkozó referenciaértékeket, meg kell indokolni, hogy ez miért nem lehetséges. A kibocsátáskereskedelmi rendszer hatálya alá tartozó tevékenységekre vonatkozó ingyenes kiosztásra vonatkozóan az (EU) 2021/447 bizottsági végrehajtási rendeletb</w:t>
      </w:r>
      <w:r w:rsidRPr="00C83671">
        <w:rPr>
          <w:rFonts w:ascii="Times New Roman" w:hAnsi="Times New Roman" w:cs="Times New Roman"/>
        </w:rPr>
        <w:t>en meghatározott referenciaértékek.</w:t>
      </w:r>
    </w:p>
  </w:footnote>
  <w:footnote w:id="154">
    <w:p w14:paraId="59025053"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w:t>
      </w:r>
      <w:r w:rsidRPr="00C83671">
        <w:rPr>
          <w:rFonts w:ascii="Times New Roman" w:hAnsi="Times New Roman" w:cs="Times New Roman"/>
        </w:rPr>
        <w:t>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w:t>
      </w:r>
      <w:r w:rsidRPr="00C83671">
        <w:rPr>
          <w:rFonts w:ascii="Times New Roman" w:hAnsi="Times New Roman" w:cs="Times New Roman"/>
        </w:rPr>
        <w:t xml:space="preserve"> üzemek hulladékfeldolgozási kapacitásának növekedését vagy az üzemek élettartamának meghosszabbítását; ezek esetében az üzem szintjén szolgáltatnak bizonyítékot.</w:t>
      </w:r>
    </w:p>
  </w:footnote>
  <w:footnote w:id="155">
    <w:p w14:paraId="48D05499"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w:t>
      </w:r>
      <w:r w:rsidRPr="00C83671">
        <w:rPr>
          <w:rFonts w:ascii="Times New Roman" w:hAnsi="Times New Roman" w:cs="Times New Roman"/>
        </w:rPr>
        <w:t>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w:t>
      </w:r>
      <w:r w:rsidRPr="00C83671">
        <w:rPr>
          <w:rFonts w:ascii="Times New Roman" w:hAnsi="Times New Roman" w:cs="Times New Roman"/>
        </w:rPr>
        <w:t xml:space="preserve">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w:t>
      </w:r>
      <w:r w:rsidRPr="00C83671">
        <w:rPr>
          <w:rFonts w:ascii="Times New Roman" w:hAnsi="Times New Roman" w:cs="Times New Roman"/>
        </w:rPr>
        <w:t>esetében az üzem szintjén szolgáltatnak bizonyítékot.</w:t>
      </w:r>
    </w:p>
  </w:footnote>
  <w:footnote w:id="156">
    <w:p w14:paraId="7B4A4041"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w:t>
      </w:r>
      <w:r w:rsidRPr="00C83671">
        <w:rPr>
          <w:rFonts w:ascii="Times New Roman" w:hAnsi="Times New Roman" w:cs="Times New Roman"/>
        </w:rPr>
        <w:t>zt felhasználó villamosenergia- és/vagy hőtermelésre, valamint a kapcsolódó átviteli és elosztási infrastruktúrára irányuló projekteket.</w:t>
      </w:r>
    </w:p>
  </w:footnote>
  <w:footnote w:id="157">
    <w:p w14:paraId="6A8FF32C"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jelentőse</w:t>
      </w:r>
      <w:r w:rsidRPr="00C83671">
        <w:rPr>
          <w:rFonts w:ascii="Times New Roman" w:hAnsi="Times New Roman" w:cs="Times New Roman"/>
        </w:rPr>
        <w:t>n a vonatkozó referenciaértékeket, meg kell indokolni, hogy ez miért nem lehetséges. A kibocsátáskereskedelmi rendszer hatálya alá tartozó tevékenységekre vonatkozó ingyenes kiosztásra vonatkozóan az (EU) 2021/447 bizottsági végrehajtási rendeletben meghat</w:t>
      </w:r>
      <w:r w:rsidRPr="00C83671">
        <w:rPr>
          <w:rFonts w:ascii="Times New Roman" w:hAnsi="Times New Roman" w:cs="Times New Roman"/>
        </w:rPr>
        <w:t>ározott referenciaértékek.</w:t>
      </w:r>
    </w:p>
  </w:footnote>
  <w:footnote w:id="158">
    <w:p w14:paraId="2F70DF0A"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w:t>
      </w:r>
      <w:r w:rsidRPr="00C83671">
        <w:rPr>
          <w:rFonts w:ascii="Times New Roman" w:hAnsi="Times New Roman" w:cs="Times New Roman"/>
        </w:rPr>
        <w:t>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w:t>
      </w:r>
      <w:r w:rsidRPr="00C83671">
        <w:rPr>
          <w:rFonts w:ascii="Times New Roman" w:hAnsi="Times New Roman" w:cs="Times New Roman"/>
        </w:rPr>
        <w:t>ulladékfeldolgozási kapacitásának növekedését vagy az üzemek élettartamának meghosszabbítását; ezek esetében az üzem szintjén szolgáltatnak bizonyítékot.</w:t>
      </w:r>
    </w:p>
  </w:footnote>
  <w:footnote w:id="159">
    <w:p w14:paraId="1829465F"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w:t>
      </w:r>
      <w:r w:rsidRPr="00C83671">
        <w:rPr>
          <w:rFonts w:ascii="Times New Roman" w:hAnsi="Times New Roman" w:cs="Times New Roman"/>
        </w:rPr>
        <w:t>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w:t>
      </w:r>
      <w:r w:rsidRPr="00C83671">
        <w:rPr>
          <w:rFonts w:ascii="Times New Roman" w:hAnsi="Times New Roman" w:cs="Times New Roman"/>
        </w:rPr>
        <w:t xml:space="preserve">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w:t>
      </w:r>
      <w:r w:rsidRPr="00C83671">
        <w:rPr>
          <w:rFonts w:ascii="Times New Roman" w:hAnsi="Times New Roman" w:cs="Times New Roman"/>
        </w:rPr>
        <w:t>az üzem szintjén szolgáltatnak bizonyítékot.</w:t>
      </w:r>
    </w:p>
  </w:footnote>
  <w:footnote w:id="160">
    <w:p w14:paraId="4C7A2D7C" w14:textId="469BCAAD"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 digitális hozzájárulás kiszámítása céljából a nem konkrét projektekre irányuló sajáttőke-, kvázisajáttőke-, vállalati kötvények vagy ezekkel egyenértékű eszközök esetében a beruházási politikának elő kell írn</w:t>
      </w:r>
      <w:r w:rsidRPr="00C83671">
        <w:rPr>
          <w:rFonts w:ascii="Times New Roman" w:hAnsi="Times New Roman" w:cs="Times New Roman"/>
        </w:rPr>
        <w:t>ia, hogy a kedvezményezett előző pénzügyi évi bevételének vagy az üzleti terv szerinti jövőbeli bevételeinek legalább 90%-a olyan tevékenységből származzon, amely összhangban van a Helyreállítási és Rezilienciaépítési Eszközről szóló rendelet VII. mellékle</w:t>
      </w:r>
      <w:r w:rsidRPr="00C83671">
        <w:rPr>
          <w:rFonts w:ascii="Times New Roman" w:hAnsi="Times New Roman" w:cs="Times New Roman"/>
        </w:rPr>
        <w:t>tében szereplő alkalmazandó beavatkozási területekkel.</w:t>
      </w:r>
    </w:p>
  </w:footnote>
  <w:footnote w:id="161">
    <w:p w14:paraId="7E9565A1"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w:t>
      </w:r>
      <w:r w:rsidRPr="00C83671">
        <w:rPr>
          <w:rFonts w:ascii="Times New Roman" w:hAnsi="Times New Roman" w:cs="Times New Roman"/>
        </w:rPr>
        <w:t>ázt felhasználó villamosenergia- és/vagy hőtermelésre, valamint a kapcsolódó átviteli és elosztási infrastruktúrára irányuló projekteket.</w:t>
      </w:r>
    </w:p>
  </w:footnote>
  <w:footnote w:id="162">
    <w:p w14:paraId="4468CBEC"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w:t>
      </w:r>
      <w:r w:rsidRPr="00C83671">
        <w:rPr>
          <w:rFonts w:ascii="Times New Roman" w:hAnsi="Times New Roman" w:cs="Times New Roman"/>
        </w:rPr>
        <w:t>en a vonatkozó referenciaértékeket, meg kell indokolni, hogy ez miért nem lehetséges. A kibocsátáskereskedelmi rendszer hatálya alá tartozó tevékenységekre vonatkozó ingyenes kiosztásra vonatkozóan az (EU) 2021/447 bizottsági végrehajtási rendeletben megha</w:t>
      </w:r>
      <w:r w:rsidRPr="00C83671">
        <w:rPr>
          <w:rFonts w:ascii="Times New Roman" w:hAnsi="Times New Roman" w:cs="Times New Roman"/>
        </w:rPr>
        <w:t>tározott referenciaértékek.</w:t>
      </w:r>
    </w:p>
  </w:footnote>
  <w:footnote w:id="163">
    <w:p w14:paraId="0363EF16"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w:t>
      </w:r>
      <w:r w:rsidRPr="00C83671">
        <w:rPr>
          <w:rFonts w:ascii="Times New Roman" w:hAnsi="Times New Roman" w:cs="Times New Roman"/>
        </w:rPr>
        <w:t xml:space="preserve">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w:t>
      </w:r>
      <w:r w:rsidRPr="00C83671">
        <w:rPr>
          <w:rFonts w:ascii="Times New Roman" w:hAnsi="Times New Roman" w:cs="Times New Roman"/>
        </w:rPr>
        <w:t>hulladékfeldolgozási kapacitásának növekedését vagy az üzemek élettartamának meghosszabbítását; ezek esetében az üzem szintjén szolgáltatnak bizonyítékot.</w:t>
      </w:r>
    </w:p>
  </w:footnote>
  <w:footnote w:id="164">
    <w:p w14:paraId="2BD7C402"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w:t>
      </w:r>
      <w:r w:rsidRPr="00C83671">
        <w:rPr>
          <w:rFonts w:ascii="Times New Roman" w:hAnsi="Times New Roman" w:cs="Times New Roman"/>
        </w:rPr>
        <w:t>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w:t>
      </w:r>
      <w:r w:rsidRPr="00C83671">
        <w:rPr>
          <w:rFonts w:ascii="Times New Roman" w:hAnsi="Times New Roman" w:cs="Times New Roman"/>
        </w:rPr>
        <w:t>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w:t>
      </w:r>
      <w:r w:rsidRPr="00C83671">
        <w:rPr>
          <w:rFonts w:ascii="Times New Roman" w:hAnsi="Times New Roman" w:cs="Times New Roman"/>
        </w:rPr>
        <w:t xml:space="preserve"> az üzem szintjén szolgáltatnak bizonyítékot.</w:t>
      </w:r>
    </w:p>
  </w:footnote>
  <w:footnote w:id="165">
    <w:p w14:paraId="0F87503B"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w:t>
      </w:r>
      <w:r w:rsidRPr="00C83671">
        <w:rPr>
          <w:rFonts w:ascii="Times New Roman" w:hAnsi="Times New Roman" w:cs="Times New Roman"/>
        </w:rPr>
        <w:t>alamint a kapcsolódó átviteli és elosztási infrastruktúrára irányuló projekteket.</w:t>
      </w:r>
    </w:p>
  </w:footnote>
  <w:footnote w:id="166">
    <w:p w14:paraId="551D9032"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w:t>
      </w:r>
      <w:r w:rsidRPr="00C83671">
        <w:rPr>
          <w:rFonts w:ascii="Times New Roman" w:hAnsi="Times New Roman" w:cs="Times New Roman"/>
        </w:rPr>
        <w:t xml:space="preserve"> tevékenységekre vonatkozó ingyenes kiosztásra vonatkozóan az (EU) 2021/447 bizottsági végrehajtási rendeletben meghatározott referenciaértékek.</w:t>
      </w:r>
    </w:p>
  </w:footnote>
  <w:footnote w:id="167">
    <w:p w14:paraId="6A31A0CF"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w:t>
      </w:r>
      <w:r w:rsidRPr="00C83671">
        <w:rPr>
          <w:rFonts w:ascii="Times New Roman" w:hAnsi="Times New Roman" w:cs="Times New Roman"/>
        </w:rPr>
        <w:t>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w:t>
      </w:r>
      <w:r w:rsidRPr="00C83671">
        <w:rPr>
          <w:rFonts w:ascii="Times New Roman" w:hAnsi="Times New Roman" w:cs="Times New Roman"/>
        </w:rPr>
        <w:t>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w:t>
      </w:r>
      <w:r w:rsidRPr="00C83671">
        <w:rPr>
          <w:rFonts w:ascii="Times New Roman" w:hAnsi="Times New Roman" w:cs="Times New Roman"/>
        </w:rPr>
        <w:t>k bizonyítékot.</w:t>
      </w:r>
    </w:p>
  </w:footnote>
  <w:footnote w:id="168">
    <w:p w14:paraId="0CF30C74"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w:t>
      </w:r>
      <w:r w:rsidRPr="00C83671">
        <w:rPr>
          <w:rFonts w:ascii="Times New Roman" w:hAnsi="Times New Roman" w:cs="Times New Roman"/>
        </w:rPr>
        <w:t xml:space="preserve">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w:t>
      </w:r>
      <w:r w:rsidRPr="00C83671">
        <w:rPr>
          <w:rFonts w:ascii="Times New Roman" w:hAnsi="Times New Roman" w:cs="Times New Roman"/>
        </w:rPr>
        <w:t>az üzemek hulladékfeldolgozási kapacitásának növelését vagy az üzemek élettartamának meghosszabbítását; ezek esetében az üzem szintjén szolgáltatnak bizonyítékot.</w:t>
      </w:r>
    </w:p>
  </w:footnote>
  <w:footnote w:id="169">
    <w:p w14:paraId="63317D27"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w:t>
      </w:r>
      <w:r w:rsidRPr="00C83671">
        <w:rPr>
          <w:rFonts w:ascii="Times New Roman" w:hAnsi="Times New Roman" w:cs="Times New Roman"/>
        </w:rPr>
        <w:t xml:space="preserve">amely nem éri el jelentősen a vonatkozó referenciaértékeket, meg kell indokolni, hogy ez miért nem lehetséges. A kibocsátáskereskedelmi rendszer hatálya alá tartozó tevékenységekre és létesítményekre vonatkozó ingyenes kiosztásra vonatkozóan megállapított </w:t>
      </w:r>
      <w:r w:rsidRPr="00C83671">
        <w:rPr>
          <w:rFonts w:ascii="Times New Roman" w:hAnsi="Times New Roman" w:cs="Times New Roman"/>
        </w:rPr>
        <w:t>referenciaértékek, az (EU) 2021/447 bizottsági végrehajtási rendeletben meghatározottak szerint.</w:t>
      </w:r>
    </w:p>
  </w:footnote>
  <w:footnote w:id="170">
    <w:p w14:paraId="7C9B3827"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alá tartozó, a jelentős károkozás elkerülését célzó elvről szóló technikai iránymutatás (2021/C58/01) III. mellékletében me</w:t>
      </w:r>
      <w:r w:rsidRPr="00C83671">
        <w:rPr>
          <w:rFonts w:ascii="Times New Roman" w:hAnsi="Times New Roman" w:cs="Times New Roman"/>
        </w:rPr>
        <w:t>ghatározott feltételeknek megfelelő, földgázt felhasználó villamosenergia- és/vagy hőtermelésre, valamint a kapcsolódó átviteli és elosztási infrastruktúrára irányuló projekteket.</w:t>
      </w:r>
    </w:p>
  </w:footnote>
  <w:footnote w:id="171">
    <w:p w14:paraId="69C61B17"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alá tartozó, a jelentős károkozás elkerü</w:t>
      </w:r>
      <w:r w:rsidRPr="00C83671">
        <w:rPr>
          <w:rFonts w:ascii="Times New Roman" w:hAnsi="Times New Roman" w:cs="Times New Roman"/>
        </w:rPr>
        <w:t>lését célzó elvről szóló technikai iránymutatás (2021/C58/01) III. mellékletében meghatározott feltételeknek megfelelő, földgázt felhasználó villamosenergia- és/vagy hőtermelésre, valamint a kapcsolódó átviteli és elosztási infrastruktúrára irányuló projek</w:t>
      </w:r>
      <w:r w:rsidRPr="00C83671">
        <w:rPr>
          <w:rFonts w:ascii="Times New Roman" w:hAnsi="Times New Roman" w:cs="Times New Roman"/>
        </w:rPr>
        <w:t>teket.</w:t>
      </w:r>
    </w:p>
  </w:footnote>
  <w:footnote w:id="172">
    <w:p w14:paraId="700A22FC"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w:t>
      </w:r>
      <w:r w:rsidRPr="00C83671">
        <w:rPr>
          <w:rFonts w:ascii="Times New Roman" w:hAnsi="Times New Roman" w:cs="Times New Roman"/>
        </w:rPr>
        <w:t xml:space="preserve"> tartozó tevékenységekre vonatkozó ingyenes kiosztásra vonatkozóan az (EU) 2021/447 bizottsági végrehajtási rendeletben meghatározott referenciaértékek.</w:t>
      </w:r>
    </w:p>
  </w:footnote>
  <w:footnote w:id="173">
    <w:p w14:paraId="4FED1163"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w:t>
      </w:r>
      <w:r w:rsidRPr="00C83671">
        <w:rPr>
          <w:rFonts w:ascii="Times New Roman" w:hAnsi="Times New Roman" w:cs="Times New Roman"/>
        </w:rPr>
        <w: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w:t>
      </w:r>
      <w:r w:rsidRPr="00C83671">
        <w:rPr>
          <w:rFonts w:ascii="Times New Roman" w:hAnsi="Times New Roman" w:cs="Times New Roman"/>
        </w:rPr>
        <w:t>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w:t>
      </w:r>
      <w:r w:rsidRPr="00C83671">
        <w:rPr>
          <w:rFonts w:ascii="Times New Roman" w:hAnsi="Times New Roman" w:cs="Times New Roman"/>
        </w:rPr>
        <w:t>gáltatnak bizonyítékot.</w:t>
      </w:r>
    </w:p>
  </w:footnote>
  <w:footnote w:id="174">
    <w:p w14:paraId="54C0D5E9"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w:t>
      </w:r>
      <w:r w:rsidRPr="00C83671">
        <w:rPr>
          <w:rFonts w:ascii="Times New Roman" w:hAnsi="Times New Roman" w:cs="Times New Roman"/>
        </w:rPr>
        <w:t>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w:t>
      </w:r>
      <w:r w:rsidRPr="00C83671">
        <w:rPr>
          <w:rFonts w:ascii="Times New Roman" w:hAnsi="Times New Roman" w:cs="Times New Roman"/>
        </w:rPr>
        <w:t>ényezik az üzemek hulladékfeldolgozási kapacitásának növelését vagy az üzemek élettartamának meghosszabbítását; ezek esetében az üzem szintjén szolgáltatnak bizonyítékot.</w:t>
      </w:r>
    </w:p>
  </w:footnote>
  <w:footnote w:id="175">
    <w:p w14:paraId="04DB2869"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szerinti, a jelentős károkozás elkerülését célzó technika</w:t>
      </w:r>
      <w:r w:rsidRPr="00C83671">
        <w:rPr>
          <w:rFonts w:ascii="Times New Roman" w:hAnsi="Times New Roman" w:cs="Times New Roman"/>
        </w:rPr>
        <w:t xml:space="preserve">i iránymutatás (2021/C58/01) III. mellékletében meghatározott feltételeknek megfelelő, a villamosenergia- és/vagy hőtermeléssel, valamint a kapcsolódó, földgázt felhasználó átviteli és elosztási infrastruktúrával kapcsolatos projekteket </w:t>
      </w:r>
    </w:p>
  </w:footnote>
  <w:footnote w:id="176">
    <w:p w14:paraId="66A9F2AC"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w:t>
      </w:r>
      <w:r w:rsidRPr="00C83671">
        <w:rPr>
          <w:rFonts w:ascii="Times New Roman" w:hAnsi="Times New Roman" w:cs="Times New Roman"/>
        </w:rPr>
        <w:t xml:space="preserve">ogatott tevékenység olyan előrejelzett üvegházhatásúgáz-kibocsátást ér el, amely nem éri el jelentősen a vonatkozó referenciaértékeket, meg kell indokolni, hogy ez miért nem lehetséges. A kibocsátáskereskedelmi rendszer hatálya alá tartozó tevékenységekre </w:t>
      </w:r>
      <w:r w:rsidRPr="00C83671">
        <w:rPr>
          <w:rFonts w:ascii="Times New Roman" w:hAnsi="Times New Roman" w:cs="Times New Roman"/>
        </w:rPr>
        <w:t>vonatkozó ingyenes kiosztásra vonatkozóan az (EU) 2021/447 bizottsági végrehajtási rendeletben meghatározott referenciaértékek.</w:t>
      </w:r>
    </w:p>
  </w:footnote>
  <w:footnote w:id="177">
    <w:p w14:paraId="20CFA8F9"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veszélyes hulladékok ke</w:t>
      </w:r>
      <w:r w:rsidRPr="00C83671">
        <w:rPr>
          <w:rFonts w:ascii="Times New Roman" w:hAnsi="Times New Roman" w:cs="Times New Roman"/>
        </w:rPr>
        <w:t>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w:t>
      </w:r>
      <w:r w:rsidRPr="00C83671">
        <w:rPr>
          <w:rFonts w:ascii="Times New Roman" w:hAnsi="Times New Roman" w:cs="Times New Roman"/>
        </w:rPr>
        <w:t>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78">
    <w:p w14:paraId="59920EEE"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w:t>
      </w:r>
      <w:r w:rsidRPr="00C83671">
        <w:rPr>
          <w:rFonts w:ascii="Times New Roman" w:hAnsi="Times New Roman" w:cs="Times New Roman"/>
        </w:rPr>
        <w:t>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w:t>
      </w:r>
      <w:r w:rsidRPr="00C83671">
        <w:rPr>
          <w:rFonts w:ascii="Times New Roman" w:hAnsi="Times New Roman" w:cs="Times New Roman"/>
        </w:rPr>
        <w:t>kfeldolgozási kapacitásának növelését vagy az üzemek élettartamának meghosszabbítását; ezek esetében az üzem szintjén szolgáltatnak bizonyítékot.</w:t>
      </w:r>
    </w:p>
  </w:footnote>
  <w:footnote w:id="179">
    <w:p w14:paraId="53539C52"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 a jelentős károkozás elkerülését célzó technikai iránymutatás (2021/C58/01) III. mellékletében meg</w:t>
      </w:r>
      <w:r w:rsidRPr="00C83671">
        <w:rPr>
          <w:rFonts w:ascii="Times New Roman" w:hAnsi="Times New Roman" w:cs="Times New Roman"/>
        </w:rPr>
        <w:t>határozott feltételeknek megfelelő villamosenergia- és/vagy hőtermeléssel, valamint a kapcsolódó földgázszállítási és -elosztási infrastruktúrával kapcsolatos, ezen intézkedés hatálya alá tartozó projekteket, valamint b) a ii. alpont szerinti tevékenységek</w:t>
      </w:r>
      <w:r w:rsidRPr="00C83671">
        <w:rPr>
          <w:rFonts w:ascii="Times New Roman" w:hAnsi="Times New Roman" w:cs="Times New Roman"/>
        </w:rPr>
        <w:t>et és eszközöket, amelyek esetében a fosszilis tüzelőanyagok használata átmeneti és technikailag elkerülhetetlen a fosszilis tüzelőanyagoktól mentes üzemre való, időben történő átállás szempontjából.</w:t>
      </w:r>
    </w:p>
  </w:footnote>
  <w:footnote w:id="180">
    <w:p w14:paraId="49A0EA27"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w:t>
      </w:r>
      <w:r w:rsidRPr="00C83671">
        <w:rPr>
          <w:rFonts w:ascii="Times New Roman" w:hAnsi="Times New Roman" w:cs="Times New Roman"/>
        </w:rPr>
        <w:t xml:space="preserve"> üvegházhatásúgáz-kibocsátást ér el, amely nem éri el jelentősen a vonatkozó referenciaértékeket, meg kell indokolni, hogy ez miért nem lehetséges. A kibocsátáskereskedelmi rendszer hatálya alá tartozó tevékenységekre vonatkozó ingyenes kiosztásra vonatkoz</w:t>
      </w:r>
      <w:r w:rsidRPr="00C83671">
        <w:rPr>
          <w:rFonts w:ascii="Times New Roman" w:hAnsi="Times New Roman" w:cs="Times New Roman"/>
        </w:rPr>
        <w:t>óan az (EU) 2021/447 bizottsági végrehajtási rendeletben meghatározott referenciaértékek.</w:t>
      </w:r>
    </w:p>
  </w:footnote>
  <w:footnote w:id="181">
    <w:p w14:paraId="3D43B761"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w:t>
      </w:r>
      <w:r w:rsidRPr="00C83671">
        <w:rPr>
          <w:rFonts w:ascii="Times New Roman" w:hAnsi="Times New Roman" w:cs="Times New Roman"/>
        </w:rPr>
        <w:t>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w:t>
      </w:r>
      <w:r w:rsidRPr="00C83671">
        <w:rPr>
          <w:rFonts w:ascii="Times New Roman" w:hAnsi="Times New Roman" w:cs="Times New Roman"/>
        </w:rPr>
        <w:t>zen intézkedés szerinti fellépések nem eredményezik az üzemek hulladékfeldolgozási kapacitásának növekedését vagy az üzemek élettartamának meghosszabbítását; ezek esetében az üzem szintjén szolgáltatnak bizonyítékot.</w:t>
      </w:r>
    </w:p>
  </w:footnote>
  <w:footnote w:id="182">
    <w:p w14:paraId="69DEDC94"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w:t>
      </w:r>
      <w:r w:rsidRPr="00C83671">
        <w:rPr>
          <w:rFonts w:ascii="Times New Roman" w:hAnsi="Times New Roman" w:cs="Times New Roman"/>
        </w:rPr>
        <w:t>ntézkedés hatálya alá tartozó, meglévő mechanikai-biológiai szennyvíztisztító telepeken végzett tevékenységekre, amennyiben az ezen intézkedés szerinti tevékenységek célja az energiahatékonyság növelése vagy a szétválasztott hulladék komposzt biohulladékká</w:t>
      </w:r>
      <w:r w:rsidRPr="00C83671">
        <w:rPr>
          <w:rFonts w:ascii="Times New Roman" w:hAnsi="Times New Roman" w:cs="Times New Roman"/>
        </w:rPr>
        <w:t xml:space="preserve"> történő újrafeldolgozási műveleteinek utólagos átalakítása és a biohulladék anaerob lebontása, feltéve, hogy az ezen intézkedés szerinti tevékenységek nem eredményezik az üzemek hulladékfeldolgozási kapacitásának növekedését\ vagy az üzemek élettartamának</w:t>
      </w:r>
      <w:r w:rsidRPr="00C83671">
        <w:rPr>
          <w:rFonts w:ascii="Times New Roman" w:hAnsi="Times New Roman" w:cs="Times New Roman"/>
        </w:rPr>
        <w:t xml:space="preserve"> meghosszabbítását; ezek esetében az üzem szintjén szolgáltatnak bizonyítékot.</w:t>
      </w:r>
    </w:p>
  </w:footnote>
  <w:footnote w:id="183">
    <w:p w14:paraId="25C0F987" w14:textId="351EDC76"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Style w:val="normaltextrun"/>
          <w:rFonts w:ascii="Times New Roman" w:hAnsi="Times New Roman" w:cs="Times New Roman"/>
          <w:shd w:val="clear" w:color="auto" w:fill="FFFFFF"/>
        </w:rPr>
        <w:t>Kivéve a) a jelentős károkozás elkerülését célzó technikai iránymutatás (2021/C58/01) III. mellékletében meghatározott feltételeknek megfelelő villamosenergia- és/vagy hőterme</w:t>
      </w:r>
      <w:r w:rsidRPr="00C83671">
        <w:rPr>
          <w:rStyle w:val="normaltextrun"/>
          <w:rFonts w:ascii="Times New Roman" w:hAnsi="Times New Roman" w:cs="Times New Roman"/>
          <w:shd w:val="clear" w:color="auto" w:fill="FFFFFF"/>
        </w:rPr>
        <w:t>léssel, valamint a kapcsolódó földgázszállítási és -elosztási infrastruktúrával kapcsolatos, ezen intézkedés hatálya alá tartozó projekteket, valamint b) a ii. alpont szerinti tevékenységeket és eszközöket, amelyek esetében a fosszilis tüzelőanyagok haszná</w:t>
      </w:r>
      <w:r w:rsidRPr="00C83671">
        <w:rPr>
          <w:rStyle w:val="normaltextrun"/>
          <w:rFonts w:ascii="Times New Roman" w:hAnsi="Times New Roman" w:cs="Times New Roman"/>
          <w:shd w:val="clear" w:color="auto" w:fill="FFFFFF"/>
        </w:rPr>
        <w:t>lata átmeneti és technikailag elkerülhetetlen a fosszilis tüzelőanyagoktól mentes üzemre való, időben történő átállás szempontjából.</w:t>
      </w:r>
    </w:p>
  </w:footnote>
  <w:footnote w:id="184">
    <w:p w14:paraId="773168C3"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Style w:val="normaltextrun"/>
          <w:rFonts w:ascii="Times New Roman" w:hAnsi="Times New Roman" w:cs="Times New Roman"/>
          <w:shd w:val="clear" w:color="auto" w:fill="FFFFFF"/>
        </w:rPr>
        <w:t>Amennyiben a támogatott tevékenység olyan előre jelzett üvegházhatásúgáz-kibocsátást ér el, amely nem alacsonyabb a vonat</w:t>
      </w:r>
      <w:r w:rsidRPr="00C83671">
        <w:rPr>
          <w:rStyle w:val="normaltextrun"/>
          <w:rFonts w:ascii="Times New Roman" w:hAnsi="Times New Roman" w:cs="Times New Roman"/>
          <w:shd w:val="clear" w:color="auto" w:fill="FFFFFF"/>
        </w:rPr>
        <w:t xml:space="preserve">kozó referenciaértékeknél, meg kell indokolni, hogy ez miért nem lehetséges. A kibocsátáskereskedelmi rendszer hatálya alá tartozó tevékenységekre vonatkozó ingyenes kiosztásra vonatkozóan az (EU) 2021/447 bizottsági végrehajtási rendeletben meghatározott </w:t>
      </w:r>
      <w:r w:rsidRPr="00C83671">
        <w:rPr>
          <w:rStyle w:val="normaltextrun"/>
          <w:rFonts w:ascii="Times New Roman" w:hAnsi="Times New Roman" w:cs="Times New Roman"/>
          <w:shd w:val="clear" w:color="auto" w:fill="FFFFFF"/>
        </w:rPr>
        <w:t>referenciaértékek.</w:t>
      </w:r>
    </w:p>
  </w:footnote>
  <w:footnote w:id="185">
    <w:p w14:paraId="3D8CEDF0"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Style w:val="normaltextrun"/>
          <w:rFonts w:ascii="Times New Roman" w:hAnsi="Times New Roman" w:cs="Times New Roman"/>
          <w:shd w:val="clear" w:color="auto" w:fill="FFFFFF"/>
        </w:rPr>
        <w:t>Ez a kizárás nem vonatkozik az ezen intézkedés szerinti fellépésekre a kizárólag nem újrafeldolgozható veszélyes hulladékok kezelésére szolgáló létesítményekben, valamint a meglévő üzemekben, ahol az ezen intézkedés szerinti tevékenysé</w:t>
      </w:r>
      <w:r w:rsidRPr="00C83671">
        <w:rPr>
          <w:rStyle w:val="normaltextrun"/>
          <w:rFonts w:ascii="Times New Roman" w:hAnsi="Times New Roman" w:cs="Times New Roman"/>
          <w:shd w:val="clear" w:color="auto" w:fill="FFFFFF"/>
        </w:rPr>
        <w:t>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w:t>
      </w:r>
      <w:r w:rsidRPr="00C83671">
        <w:rPr>
          <w:rStyle w:val="normaltextrun"/>
          <w:rFonts w:ascii="Times New Roman" w:hAnsi="Times New Roman" w:cs="Times New Roman"/>
          <w:shd w:val="clear" w:color="auto" w:fill="FFFFFF"/>
        </w:rPr>
        <w:t>eldolgozási kapacitásának növekedését vagy az üzemek élettartamának meghosszabbítását; ezek esetében az üzem szintjén szolgáltatnak bizonyítékot.  </w:t>
      </w:r>
    </w:p>
  </w:footnote>
  <w:footnote w:id="186">
    <w:p w14:paraId="6290D5A5"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Style w:val="normaltextrun"/>
          <w:rFonts w:ascii="Times New Roman" w:hAnsi="Times New Roman" w:cs="Times New Roman"/>
          <w:shd w:val="clear" w:color="auto" w:fill="FFFFFF"/>
        </w:rPr>
        <w:t>Ez a kizárás nem vonatkozik az ezen intézkedés keretében a meglévő mechanikus-biológiai hulladékkezelő lét</w:t>
      </w:r>
      <w:r w:rsidRPr="00C83671">
        <w:rPr>
          <w:rStyle w:val="normaltextrun"/>
          <w:rFonts w:ascii="Times New Roman" w:hAnsi="Times New Roman" w:cs="Times New Roman"/>
          <w:shd w:val="clear" w:color="auto" w:fill="FFFFFF"/>
        </w:rPr>
        <w: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w:t>
      </w:r>
      <w:r w:rsidRPr="00C83671">
        <w:rPr>
          <w:rStyle w:val="normaltextrun"/>
          <w:rFonts w:ascii="Times New Roman" w:hAnsi="Times New Roman" w:cs="Times New Roman"/>
          <w:shd w:val="clear" w:color="auto" w:fill="FFFFFF"/>
        </w:rPr>
        <w:t>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w:t>
      </w:r>
      <w:r w:rsidRPr="00C83671">
        <w:rPr>
          <w:rStyle w:val="normaltextrun"/>
          <w:rFonts w:ascii="Times New Roman" w:hAnsi="Times New Roman" w:cs="Times New Roman"/>
          <w:shd w:val="clear" w:color="auto" w:fill="FFFFFF"/>
        </w:rPr>
        <w:t>m szintjén szolgáltatnak bizonyítékot.  </w:t>
      </w:r>
    </w:p>
  </w:footnote>
  <w:footnote w:id="187">
    <w:p w14:paraId="69610364"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Style w:val="normaltextrun"/>
          <w:rFonts w:ascii="Times New Roman" w:hAnsi="Times New Roman" w:cs="Times New Roman"/>
          <w:shd w:val="clear" w:color="auto" w:fill="FFFFFF"/>
        </w:rPr>
        <w:t>Kivéve a) a jelentős károkozás elkerülését célzó technikai iránymutatás (2021/C58/01) III. mellékletében meghatározott feltételeknek megfelelő villamosenergia- és/vagy hőtermeléssel, valamint a kapcsolódó földgázs</w:t>
      </w:r>
      <w:r w:rsidRPr="00C83671">
        <w:rPr>
          <w:rStyle w:val="normaltextrun"/>
          <w:rFonts w:ascii="Times New Roman" w:hAnsi="Times New Roman" w:cs="Times New Roman"/>
          <w:shd w:val="clear" w:color="auto" w:fill="FFFFFF"/>
        </w:rPr>
        <w:t xml:space="preserve">zállítási és -elosztási infrastruktúrával kapcsolatos, ezen intézkedés hatálya alá tartozó projekteket, valamint b) </w:t>
      </w:r>
      <w:r w:rsidRPr="00C83671">
        <w:rPr>
          <w:rFonts w:ascii="Times New Roman" w:hAnsi="Times New Roman" w:cs="Times New Roman"/>
        </w:rPr>
        <w:t xml:space="preserve"> a ii. </w:t>
      </w:r>
      <w:r w:rsidRPr="00C83671">
        <w:rPr>
          <w:rStyle w:val="normaltextrun"/>
          <w:rFonts w:ascii="Times New Roman" w:hAnsi="Times New Roman" w:cs="Times New Roman"/>
          <w:shd w:val="clear" w:color="auto" w:fill="FFFFFF"/>
        </w:rPr>
        <w:t>alpont szerinti tevékenységeket és eszközöket, amelyek esetében a fosszilis tüzelőanyagok használata átmeneti és technikailag elkerül</w:t>
      </w:r>
      <w:r w:rsidRPr="00C83671">
        <w:rPr>
          <w:rStyle w:val="normaltextrun"/>
          <w:rFonts w:ascii="Times New Roman" w:hAnsi="Times New Roman" w:cs="Times New Roman"/>
          <w:shd w:val="clear" w:color="auto" w:fill="FFFFFF"/>
        </w:rPr>
        <w:t>hetetlen a fosszilis tüzelőanyagoktól mentes üzemre való, időben történő átállás szempontjából.</w:t>
      </w:r>
    </w:p>
  </w:footnote>
  <w:footnote w:id="188">
    <w:p w14:paraId="49CBF51C"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Style w:val="normaltextrun"/>
          <w:rFonts w:ascii="Times New Roman" w:hAnsi="Times New Roman" w:cs="Times New Roman"/>
          <w:shd w:val="clear" w:color="auto" w:fill="FFFFFF"/>
        </w:rPr>
        <w:t>Amennyiben a támogatott tevékenység olyan előre jelzett üvegházhatásúgáz-kibocsátást ér el, amely nem alacsonyabb a vonatkozó referenciaértékeknél, meg kell i</w:t>
      </w:r>
      <w:r w:rsidRPr="00C83671">
        <w:rPr>
          <w:rStyle w:val="normaltextrun"/>
          <w:rFonts w:ascii="Times New Roman" w:hAnsi="Times New Roman" w:cs="Times New Roman"/>
          <w:shd w:val="clear" w:color="auto" w:fill="FFFFFF"/>
        </w:rPr>
        <w:t>ndokolni, hogy ez miért nem lehetséges. A kibocsátáskereskedelmi rendszer hatálya alá tartozó tevékenységekre vonatkozó ingyenes kiosztásra vonatkozóan megállapított referenciaértékek, az (EU) 2021/447 bizottsági végrehajtási rendeletben meghatározottak sz</w:t>
      </w:r>
      <w:r w:rsidRPr="00C83671">
        <w:rPr>
          <w:rStyle w:val="normaltextrun"/>
          <w:rFonts w:ascii="Times New Roman" w:hAnsi="Times New Roman" w:cs="Times New Roman"/>
          <w:shd w:val="clear" w:color="auto" w:fill="FFFFFF"/>
        </w:rPr>
        <w:t>erint</w:t>
      </w:r>
    </w:p>
  </w:footnote>
  <w:footnote w:id="189">
    <w:p w14:paraId="30870E96"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Style w:val="normaltextrun"/>
          <w:rFonts w:ascii="Times New Roman" w:hAnsi="Times New Roman" w:cs="Times New Roman"/>
          <w:shd w:val="clear" w:color="auto" w:fill="FFFFFF"/>
        </w:rPr>
        <w:t xml:space="preserve">Ez a kizárás nem vonatkozik az ezen intézkedés szerinti fellépésekre a kizárólag nem újrafeldolgozható veszélyes hulladékok kezelésére szolgáló létesítményekben, valamint a meglévő üzemekben, ahol az ezen intézkedés szerinti tevékenységek célja az </w:t>
      </w:r>
      <w:r w:rsidRPr="00C83671">
        <w:rPr>
          <w:rStyle w:val="normaltextrun"/>
          <w:rFonts w:ascii="Times New Roman" w:hAnsi="Times New Roman" w:cs="Times New Roman"/>
          <w:shd w:val="clear" w:color="auto" w:fill="FFFFFF"/>
        </w:rPr>
        <w:t>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w:t>
      </w:r>
      <w:r w:rsidRPr="00C83671">
        <w:rPr>
          <w:rStyle w:val="normaltextrun"/>
          <w:rFonts w:ascii="Times New Roman" w:hAnsi="Times New Roman" w:cs="Times New Roman"/>
          <w:shd w:val="clear" w:color="auto" w:fill="FFFFFF"/>
        </w:rPr>
        <w:t>apacitásának növekedését vagy az üzemek élettartamának meghosszabbítását; ezek esetében az üzem szintjén szolgáltatnak bizonyítékot.  </w:t>
      </w:r>
    </w:p>
  </w:footnote>
  <w:footnote w:id="190">
    <w:p w14:paraId="48475B0C"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Style w:val="normaltextrun"/>
          <w:rFonts w:ascii="Times New Roman" w:hAnsi="Times New Roman" w:cs="Times New Roman"/>
          <w:shd w:val="clear" w:color="auto" w:fill="FFFFFF"/>
        </w:rPr>
        <w:t>Ez a kizárás nem vonatkozik az ezen intézkedés keretében a meglévő mechanikus-biológiai hulladékkezelő létesítményekben</w:t>
      </w:r>
      <w:r w:rsidRPr="00C83671">
        <w:rPr>
          <w:rStyle w:val="normaltextrun"/>
          <w:rFonts w:ascii="Times New Roman" w:hAnsi="Times New Roman" w:cs="Times New Roman"/>
          <w:shd w:val="clear" w:color="auto" w:fill="FFFFFF"/>
        </w:rPr>
        <w:t xml:space="preserve">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w:t>
      </w:r>
      <w:r w:rsidRPr="00C83671">
        <w:rPr>
          <w:rStyle w:val="normaltextrun"/>
          <w:rFonts w:ascii="Times New Roman" w:hAnsi="Times New Roman" w:cs="Times New Roman"/>
          <w:shd w:val="clear" w:color="auto" w:fill="FFFFFF"/>
        </w:rPr>
        <w:t>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w:t>
      </w:r>
      <w:r w:rsidRPr="00C83671">
        <w:rPr>
          <w:rStyle w:val="normaltextrun"/>
          <w:rFonts w:ascii="Times New Roman" w:hAnsi="Times New Roman" w:cs="Times New Roman"/>
          <w:shd w:val="clear" w:color="auto" w:fill="FFFFFF"/>
        </w:rPr>
        <w:t>olgáltatnak bizonyítékot.  </w:t>
      </w:r>
    </w:p>
  </w:footnote>
  <w:footnote w:id="191">
    <w:p w14:paraId="2F391CBB" w14:textId="5C47DD13" w:rsidR="003E1D81" w:rsidRPr="00C83671" w:rsidRDefault="00EB481C">
      <w:pPr>
        <w:spacing w:before="120" w:after="120" w:line="240" w:lineRule="auto"/>
        <w:jc w:val="both"/>
        <w:rPr>
          <w:rFonts w:ascii="Times New Roman" w:eastAsia="Times New Roman" w:hAnsi="Times New Roman" w:cs="Times New Roman"/>
          <w:sz w:val="24"/>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Fonts w:ascii="Times New Roman" w:hAnsi="Times New Roman" w:cs="Times New Roman"/>
          <w:sz w:val="20"/>
        </w:rPr>
        <w:t>Kivéve a) a jelentős károkozás elkerülését célzó technikai iránymutatás (2021/C58/01) III. mellékletében meghatározott feltételeknek megfelelő, a villamosenergia- és/vagy hőtermeléssel kapcsolatos eszközöket és tevékenységeket</w:t>
      </w:r>
      <w:r w:rsidRPr="00C83671">
        <w:rPr>
          <w:rFonts w:ascii="Times New Roman" w:hAnsi="Times New Roman" w:cs="Times New Roman"/>
          <w:sz w:val="20"/>
        </w:rPr>
        <w:t xml:space="preserve">, valamint a kapcsolódó, földgázt használó szállítási és elosztási infrastruktúrát, valamint b) a ii. alpont szerinti tevékenységeket és eszközöket, amelyek esetében a fosszilis tüzelőanyagok használata átmeneti és technikailag elkerülhetetlen a fosszilis </w:t>
      </w:r>
      <w:r w:rsidRPr="00C83671">
        <w:rPr>
          <w:rFonts w:ascii="Times New Roman" w:hAnsi="Times New Roman" w:cs="Times New Roman"/>
          <w:sz w:val="20"/>
        </w:rPr>
        <w:t>tüzelőanyagoktól mentes üzemre való kellő időben történő átálláshoz.</w:t>
      </w:r>
    </w:p>
  </w:footnote>
  <w:footnote w:id="192">
    <w:p w14:paraId="3D0FFA9D" w14:textId="2B6E07B8" w:rsidR="003E1D81" w:rsidRPr="00C83671" w:rsidRDefault="00EB481C">
      <w:pPr>
        <w:spacing w:before="120" w:after="120" w:line="240" w:lineRule="auto"/>
        <w:jc w:val="both"/>
        <w:rPr>
          <w:rFonts w:ascii="Times New Roman" w:eastAsia="Times New Roman" w:hAnsi="Times New Roman" w:cs="Times New Roman"/>
          <w:sz w:val="24"/>
          <w:shd w:val="clear" w:color="auto" w:fill="FFFFFF"/>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Fonts w:ascii="Times New Roman" w:hAnsi="Times New Roman" w:cs="Times New Roman"/>
          <w:sz w:val="20"/>
        </w:rPr>
        <w:t xml:space="preserve">Beleértve az uniós kibocsátáskereskedelmi rendszer (ETS) keretébe tartozó olyan tevékenységeket és eszközöket, amelyek a vonatkozó referenciaértékeknél nem alacsonyabb várható </w:t>
      </w:r>
      <w:r w:rsidRPr="00C83671">
        <w:rPr>
          <w:rFonts w:ascii="Times New Roman" w:hAnsi="Times New Roman" w:cs="Times New Roman"/>
          <w:sz w:val="20"/>
        </w:rPr>
        <w:t>üvegházhatásúgáz-kibocsátást érnek el. Amennyiben a támogatott tevékenység nem eredményez a vonatkozó referenciaértékeknél lényegesen alacsonyabb előrejelzett üvegházhatásúgáz-kibocsátást, ismertetni kell azokat az okokat, amelyek miatt nem érhető el nagyo</w:t>
      </w:r>
      <w:r w:rsidRPr="00C83671">
        <w:rPr>
          <w:rFonts w:ascii="Times New Roman" w:hAnsi="Times New Roman" w:cs="Times New Roman"/>
          <w:sz w:val="20"/>
        </w:rPr>
        <w:t>bb kibocsátáscsökkenés. Az (EU) 2021/447 bizottsági végrehajtási rendeletben meghatározott, a kibocsátáskereskedelmi rendszer hatálya alá tartozó tevékenységekre vonatkozó ingyenes kiosztásra vonatkozóan megállapított referenciaértékek.</w:t>
      </w:r>
      <w:r w:rsidRPr="00C83671">
        <w:rPr>
          <w:rFonts w:ascii="Times New Roman" w:hAnsi="Times New Roman" w:cs="Times New Roman"/>
          <w:sz w:val="20"/>
          <w:shd w:val="clear" w:color="auto" w:fill="FFFFFF"/>
        </w:rPr>
        <w:t>Az intézkedés végreh</w:t>
      </w:r>
      <w:r w:rsidRPr="00C83671">
        <w:rPr>
          <w:rFonts w:ascii="Times New Roman" w:hAnsi="Times New Roman" w:cs="Times New Roman"/>
          <w:sz w:val="20"/>
          <w:shd w:val="clear" w:color="auto" w:fill="FFFFFF"/>
        </w:rPr>
        <w:t>ajtását 2026. augusztus 31-ig be kell fejezni.</w:t>
      </w:r>
    </w:p>
  </w:footnote>
  <w:footnote w:id="193">
    <w:p w14:paraId="21DC4060" w14:textId="372AF9DB" w:rsidR="003E1D81" w:rsidRPr="00C83671" w:rsidRDefault="00EB481C">
      <w:pPr>
        <w:spacing w:after="0" w:line="240" w:lineRule="auto"/>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Fonts w:ascii="Times New Roman" w:hAnsi="Times New Roman" w:cs="Times New Roman"/>
          <w:sz w:val="20"/>
        </w:rPr>
        <w:t>Úgy tekinthető, hogy a végső kedvezményezett „jelentős mértékben” egy ágazatra vagy üzleti tevékenységre összpontosít, ha az ilyen ágazat vagy tevékenység a végső kedvezményezett bruttó bevételéhez, nyereség</w:t>
      </w:r>
      <w:r w:rsidRPr="00C83671">
        <w:rPr>
          <w:rFonts w:ascii="Times New Roman" w:hAnsi="Times New Roman" w:cs="Times New Roman"/>
          <w:sz w:val="20"/>
        </w:rPr>
        <w:t>éhez vagy ügyfélbázisához viszonyítva a végső kedvezményezett üzleti tevékenységének lényeges részét képezi. A korlátozás alá vont ágazatból vagy tevékenységből származó bruttó bevétel semmilyen esetben sem haladhatja meg a bruttó bevétel 50%-át.</w:t>
      </w:r>
    </w:p>
  </w:footnote>
  <w:footnote w:id="194">
    <w:p w14:paraId="41EB7FD2"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Kivéve a</w:t>
      </w:r>
      <w:r w:rsidRPr="00C83671">
        <w:rPr>
          <w:rFonts w:ascii="Times New Roman" w:hAnsi="Times New Roman" w:cs="Times New Roman"/>
        </w:rPr>
        <w:t>) a jelentős károkozás elkerülését célzó technikai iránymutatás (2021/C58/01) III. mellékletében meghatározott feltételeknek megfelelő, a villamosenergia- és/vagy hőtermeléssel kapcsolatos eszközöket és tevékenységeket, valamint a kapcsolódó, földgázt hasz</w:t>
      </w:r>
      <w:r w:rsidRPr="00C83671">
        <w:rPr>
          <w:rFonts w:ascii="Times New Roman" w:hAnsi="Times New Roman" w:cs="Times New Roman"/>
        </w:rPr>
        <w:t>náló szállítási és elosztási infrastruktúrát, valamint b) a ii. alpont szerinti tevékenységeket és eszközöket, amelyek esetében a fosszilis tüzelőanyagok használata átmeneti és technikailag elkerülhetetlen a fosszilis tüzelőanyagoktól mentes üzemre való ke</w:t>
      </w:r>
      <w:r w:rsidRPr="00C83671">
        <w:rPr>
          <w:rFonts w:ascii="Times New Roman" w:hAnsi="Times New Roman" w:cs="Times New Roman"/>
        </w:rPr>
        <w:t>llő időben történő átálláshoz.</w:t>
      </w:r>
    </w:p>
  </w:footnote>
  <w:footnote w:id="195">
    <w:p w14:paraId="02936313"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Beleértve az uniós kibocsátáskereskedelmi rendszer (ETS) keretébe tartozó olyan tevékenységeket és eszközöket, amelyek a vonatkozó referenciaértékeknél nem alacsonyabb várható üvegházhatásúgáz-kibocsátást érnek el. Amennyibe</w:t>
      </w:r>
      <w:r w:rsidRPr="00C83671">
        <w:rPr>
          <w:rFonts w:ascii="Times New Roman" w:hAnsi="Times New Roman" w:cs="Times New Roman"/>
        </w:rPr>
        <w:t>n a támogatott tevékenység nem eredményez a vonatkozó referenciaértékeknél lényegesen alacsonyabb előrejelzett üvegházhatásúgáz-kibocsátást, ismertetni kell azokat az okokat, amelyek miatt nem érhető el nagyobb kibocsátáscsökkenés. A kibocsátáskereskedelmi</w:t>
      </w:r>
      <w:r w:rsidRPr="00C83671">
        <w:rPr>
          <w:rFonts w:ascii="Times New Roman" w:hAnsi="Times New Roman" w:cs="Times New Roman"/>
        </w:rPr>
        <w:t xml:space="preserve"> rendszer hatálya alá tartozó tevékenységekre vonatkozó ingyenes kiosztásra vonatkozóan az (EU) 2021/447 bizottsági végrehajtási rendeletben meghatározott referenciaértékek.</w:t>
      </w:r>
    </w:p>
  </w:footnote>
  <w:footnote w:id="196">
    <w:p w14:paraId="6B4C83D3"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 szennyező járművek a meghatározás szerint nem kibocsátásmentes járművek.</w:t>
      </w:r>
    </w:p>
  </w:footnote>
  <w:footnote w:id="197">
    <w:p w14:paraId="716A3122"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Ez a </w:t>
      </w:r>
      <w:r w:rsidRPr="00C83671">
        <w:rPr>
          <w:rFonts w:ascii="Times New Roman" w:hAnsi="Times New Roman" w:cs="Times New Roman"/>
        </w:rPr>
        <w:t>kizárás nem vonatkozik a kizárólag nem újrahasznosítható veszélyes hulladék kezelésére szolgáló üzemekben végzett tevékenységekre, valamint a meglévő üzemekre, amennyiben az ezen intézkedés szerinti tevékenységek célja az energiahatékonyság növelése, a füs</w:t>
      </w:r>
      <w:r w:rsidRPr="00C83671">
        <w:rPr>
          <w:rFonts w:ascii="Times New Roman" w:hAnsi="Times New Roman" w:cs="Times New Roman"/>
        </w:rPr>
        <w:t xml:space="preserve">tgázok tárolás vagy felhasználás céljából történő leválasztása vagy hulladékégető hamuból származó anyagok visszanyerése, feltéve, hogy az ezen intézkedés szerinti intézkedések nem eredményezik az üzemek hulladékfeldolgozási kapacitásának növekedését vagy </w:t>
      </w:r>
      <w:r w:rsidRPr="00C83671">
        <w:rPr>
          <w:rFonts w:ascii="Times New Roman" w:hAnsi="Times New Roman" w:cs="Times New Roman"/>
        </w:rPr>
        <w:t>az üzemek élettartamának meghosszabbítását; ezek esetében az üzem szintjén szolgáltatnak bizonyítékot.</w:t>
      </w:r>
    </w:p>
  </w:footnote>
  <w:footnote w:id="198">
    <w:p w14:paraId="313F7A79"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alá tartozó, a jelentős károkozás elkerülését célzó elvről szóló technikai iránymutatás (2021/C58/01) III. mellékleté</w:t>
      </w:r>
      <w:r w:rsidRPr="00C83671">
        <w:rPr>
          <w:rFonts w:ascii="Times New Roman" w:hAnsi="Times New Roman" w:cs="Times New Roman"/>
        </w:rPr>
        <w:t>ben meghatározott feltételeknek megfelelő, földgázt felhasználó villamosenergia- és/vagy hőtermelésre, valamint a kapcsolódó átviteli és elosztási infrastruktúrára irányuló projekteket.</w:t>
      </w:r>
    </w:p>
  </w:footnote>
  <w:footnote w:id="199">
    <w:p w14:paraId="6B4A4879"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w:t>
      </w:r>
      <w:r w:rsidRPr="00C83671">
        <w:rPr>
          <w:rFonts w:ascii="Times New Roman" w:hAnsi="Times New Roman" w:cs="Times New Roman"/>
        </w:rPr>
        <w:t>gáz-kibocsátást ér el, amely nem éri el jelentősen a vonatkozó referenciaértékeket, meg kell indokolni, hogy ez miért nem lehetséges. A kibocsátáskereskedelmi rendszer hatálya alá tartozó tevékenységekre vonatkozó ingyenes kiosztásra vonatkozóan az (EU) 20</w:t>
      </w:r>
      <w:r w:rsidRPr="00C83671">
        <w:rPr>
          <w:rFonts w:ascii="Times New Roman" w:hAnsi="Times New Roman" w:cs="Times New Roman"/>
        </w:rPr>
        <w:t>21/447 bizottsági végrehajtási rendeletben meghatározott referenciaértékek.</w:t>
      </w:r>
    </w:p>
  </w:footnote>
  <w:footnote w:id="200">
    <w:p w14:paraId="1BCB45F7"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w:t>
      </w:r>
      <w:r w:rsidRPr="00C83671">
        <w:rPr>
          <w:rFonts w:ascii="Times New Roman" w:hAnsi="Times New Roman" w:cs="Times New Roman"/>
        </w:rPr>
        <w:t>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w:t>
      </w:r>
      <w:r w:rsidRPr="00C83671">
        <w:rPr>
          <w:rFonts w:ascii="Times New Roman" w:hAnsi="Times New Roman" w:cs="Times New Roman"/>
        </w:rPr>
        <w:t xml:space="preserve"> szerinti fellépések nem eredményezik az üzemek hulladékfeldolgozási kapacitásának növekedését vagy az üzemek élettartamának meghosszabbítását; ezek esetében az üzem szintjén szolgáltatnak bizonyítékot.</w:t>
      </w:r>
    </w:p>
  </w:footnote>
  <w:footnote w:id="201">
    <w:p w14:paraId="6047DFE2"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w:t>
      </w:r>
      <w:r w:rsidRPr="00C83671">
        <w:rPr>
          <w:rFonts w:ascii="Times New Roman" w:hAnsi="Times New Roman" w:cs="Times New Roman"/>
        </w:rPr>
        <w:t>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w:t>
      </w:r>
      <w:r w:rsidRPr="00C83671">
        <w:rPr>
          <w:rFonts w:ascii="Times New Roman" w:hAnsi="Times New Roman" w:cs="Times New Roman"/>
        </w:rPr>
        <w:t>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w:t>
      </w:r>
      <w:r w:rsidRPr="00C83671">
        <w:rPr>
          <w:rFonts w:ascii="Times New Roman" w:hAnsi="Times New Roman" w:cs="Times New Roman"/>
        </w:rPr>
        <w:t xml:space="preserve"> élettartamának meghosszabbítását; ezek esetében az üzem szintjén szolgáltatnak bizonyítékot.</w:t>
      </w:r>
    </w:p>
  </w:footnote>
  <w:footnote w:id="202">
    <w:p w14:paraId="4064C20F"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alá tartozó, a jelentős károkozás elkerülését célzó elvről szóló technikai iránymutatás (2021/C58/01) III. mellékletében megha</w:t>
      </w:r>
      <w:r w:rsidRPr="00C83671">
        <w:rPr>
          <w:rFonts w:ascii="Times New Roman" w:hAnsi="Times New Roman" w:cs="Times New Roman"/>
        </w:rPr>
        <w:t>tározott feltételeknek megfelelő, földgázt felhasználó villamosenergia- és/vagy hőtermelésre, valamint a kapcsolódó átviteli és elosztási infrastruktúrára irányuló projekteket.</w:t>
      </w:r>
    </w:p>
  </w:footnote>
  <w:footnote w:id="203">
    <w:p w14:paraId="747594EF"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w:t>
      </w:r>
      <w:r w:rsidRPr="00C83671">
        <w:rPr>
          <w:rFonts w:ascii="Times New Roman" w:hAnsi="Times New Roman" w:cs="Times New Roman"/>
        </w:rPr>
        <w:t>sátást ér el, amely nem éri el jelentősen a vonatkozó referenciaértékeket, meg kell indokolni, hogy ez miért nem lehetséges. A kibocsátáskereskedelmi rendszer hatálya alá tartozó tevékenységekre vonatkozó ingyenes kiosztásra vonatkozóan az (EU) 2021/447 bi</w:t>
      </w:r>
      <w:r w:rsidRPr="00C83671">
        <w:rPr>
          <w:rFonts w:ascii="Times New Roman" w:hAnsi="Times New Roman" w:cs="Times New Roman"/>
        </w:rPr>
        <w:t>zottsági végrehajtási rendeletben meghatározott referenciaértékek.</w:t>
      </w:r>
    </w:p>
  </w:footnote>
  <w:footnote w:id="204">
    <w:p w14:paraId="5DDF8CB5"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w:t>
      </w:r>
      <w:r w:rsidRPr="00C83671">
        <w:rPr>
          <w:rFonts w:ascii="Times New Roman" w:hAnsi="Times New Roman" w:cs="Times New Roman"/>
        </w:rPr>
        <w:t>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w:t>
      </w:r>
      <w:r w:rsidRPr="00C83671">
        <w:rPr>
          <w:rFonts w:ascii="Times New Roman" w:hAnsi="Times New Roman" w:cs="Times New Roman"/>
        </w:rPr>
        <w:t xml:space="preserve"> fellépések nem eredményezik az üzemek hulladékfeldolgozási kapacitásának növekedését vagy az üzemek élettartamának meghosszabbítását; ezek esetében az üzem szintjén szolgáltatnak bizonyítékot.</w:t>
      </w:r>
    </w:p>
  </w:footnote>
  <w:footnote w:id="205">
    <w:p w14:paraId="6425ED91"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w:t>
      </w:r>
      <w:r w:rsidRPr="00C83671">
        <w:rPr>
          <w:rFonts w:ascii="Times New Roman" w:hAnsi="Times New Roman" w:cs="Times New Roman"/>
        </w:rPr>
        <w:t>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w:t>
      </w:r>
      <w:r w:rsidRPr="00C83671">
        <w:rPr>
          <w:rFonts w:ascii="Times New Roman" w:hAnsi="Times New Roman" w:cs="Times New Roman"/>
        </w:rPr>
        <w:t>kfeldolgozási kapacitásának növelését vagy az üzemek élettartamának meghosszabbítását; ezek esetében az üzem szintjén szolgáltatnak bizonyítékot.</w:t>
      </w:r>
    </w:p>
  </w:footnote>
  <w:footnote w:id="206">
    <w:p w14:paraId="1E17D082"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az ezen intézkedés hatálya alá tartozó, a jelentős károkozás elkerülését célzó elvről szóló technikai</w:t>
      </w:r>
      <w:r w:rsidRPr="00C83671">
        <w:rPr>
          <w:rFonts w:ascii="Times New Roman" w:hAnsi="Times New Roman" w:cs="Times New Roman"/>
        </w:rPr>
        <w:t xml:space="preserve"> iránymutatás (2021/C58/01) III. mellékletében meghatározott feltételeknek megfelelő, földgázt felhasználó villamosenergia- és/vagy hőtermelésre, valamint a kapcsolódó átviteli és elosztási infrastruktúrára irányuló projekteket.</w:t>
      </w:r>
    </w:p>
  </w:footnote>
  <w:footnote w:id="207">
    <w:p w14:paraId="12A6D63C"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w:t>
      </w:r>
      <w:r w:rsidRPr="00C83671">
        <w:rPr>
          <w:rFonts w:ascii="Times New Roman" w:hAnsi="Times New Roman" w:cs="Times New Roman"/>
        </w:rPr>
        <w:t>evékenység olyan előrejelzett üvegházhatásúgáz-kibocsátást ér el, amely nem éri el jelentősen a vonatkozó referenciaértékeket, meg kell indokolni, hogy ez miért nem lehetséges. A kibocsátáskereskedelmi rendszer hatálya alá tartozó tevékenységekre vonatkozó</w:t>
      </w:r>
      <w:r w:rsidRPr="00C83671">
        <w:rPr>
          <w:rFonts w:ascii="Times New Roman" w:hAnsi="Times New Roman" w:cs="Times New Roman"/>
        </w:rPr>
        <w:t xml:space="preserve"> ingyenes kiosztásra vonatkozóan az (EU) 2021/447 bizottsági végrehajtási rendeletben meghatározott referenciaértékek.</w:t>
      </w:r>
    </w:p>
  </w:footnote>
  <w:footnote w:id="208">
    <w:p w14:paraId="25756875"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veszélyes hulladékok kezelésére </w:t>
      </w:r>
      <w:r w:rsidRPr="00C83671">
        <w:rPr>
          <w:rFonts w:ascii="Times New Roman" w:hAnsi="Times New Roman" w:cs="Times New Roman"/>
        </w:rPr>
        <w:t xml:space="preserve">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w:t>
      </w:r>
      <w:r w:rsidRPr="00C83671">
        <w:rPr>
          <w:rFonts w:ascii="Times New Roman" w:hAnsi="Times New Roman" w:cs="Times New Roman"/>
        </w:rPr>
        <w:t>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209">
    <w:p w14:paraId="24350DDF"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w:t>
      </w:r>
      <w:r w:rsidRPr="00C83671">
        <w:rPr>
          <w:rFonts w:ascii="Times New Roman" w:hAnsi="Times New Roman" w:cs="Times New Roman"/>
        </w:rPr>
        <w:t>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w:t>
      </w:r>
      <w:r w:rsidRPr="00C83671">
        <w:rPr>
          <w:rFonts w:ascii="Times New Roman" w:hAnsi="Times New Roman" w:cs="Times New Roman"/>
        </w:rPr>
        <w:t>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w:t>
      </w:r>
      <w:r w:rsidRPr="00C83671">
        <w:rPr>
          <w:rFonts w:ascii="Times New Roman" w:hAnsi="Times New Roman" w:cs="Times New Roman"/>
        </w:rPr>
        <w:t>zási kapacitásának növelését vagy az üzemek élettartamának meghosszabbítását; ezek esetében az üzem szintjén szolgáltatnak bizonyítékot.</w:t>
      </w:r>
    </w:p>
  </w:footnote>
  <w:footnote w:id="210">
    <w:p w14:paraId="0F440B49" w14:textId="67777EB4"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 digitális hozzájárulás kiszámítása céljából a nem konkrét projektekre irányuló sajáttőke-, kvázisajáttőke-, vállalat</w:t>
      </w:r>
      <w:r w:rsidRPr="00C83671">
        <w:rPr>
          <w:rFonts w:ascii="Times New Roman" w:hAnsi="Times New Roman" w:cs="Times New Roman"/>
        </w:rPr>
        <w:t xml:space="preserve">i kötvények vagy ezekkel egyenértékű eszközök esetében kritériumokat kell alkalmazni annak előírására, hogy a kedvezményezett előző pénzügyi évi bevételének vagy az üzleti terv szerinti jövőbeli bevételeinek legalább 90%-a olyan tevékenységből származzon, </w:t>
      </w:r>
      <w:r w:rsidRPr="00C83671">
        <w:rPr>
          <w:rFonts w:ascii="Times New Roman" w:hAnsi="Times New Roman" w:cs="Times New Roman"/>
        </w:rPr>
        <w:t>amely megfelel a Helyreállítási és Rezilienciaépítési Eszközről szóló rendelet VII. mellékletében szereplő alkalmazandó beavatkozási területekből eredő releváns kritériumoknak.</w:t>
      </w:r>
    </w:p>
  </w:footnote>
  <w:footnote w:id="211">
    <w:p w14:paraId="13C1CB53"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Fonts w:ascii="Times New Roman" w:hAnsi="Times New Roman" w:cs="Times New Roman"/>
        </w:rPr>
        <w:tab/>
        <w:t>HL L 153., 2010.6.18.</w:t>
      </w:r>
    </w:p>
  </w:footnote>
  <w:footnote w:id="212">
    <w:p w14:paraId="0CA1E2C8" w14:textId="0DD789C6"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Az alacsony kibocsátású járművek az 50 g CO2/km-nél </w:t>
      </w:r>
      <w:r w:rsidRPr="00C83671">
        <w:rPr>
          <w:rFonts w:ascii="Times New Roman" w:hAnsi="Times New Roman" w:cs="Times New Roman"/>
        </w:rPr>
        <w:t>kisebb kibocsátású járművek.</w:t>
      </w:r>
    </w:p>
  </w:footnote>
  <w:footnote w:id="213">
    <w:p w14:paraId="5CEC2E10"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 toledói paktum ajánlásait 2020. november 10-én tették közzé a Hivatalos Lapban: </w:t>
      </w:r>
      <w:hyperlink r:id="rId2" w:history="1">
        <w:r w:rsidRPr="00C83671">
          <w:rPr>
            <w:rStyle w:val="Hyperlink"/>
            <w:rFonts w:ascii="Times New Roman" w:hAnsi="Times New Roman" w:cs="Times New Roman"/>
            <w:color w:val="auto"/>
          </w:rPr>
          <w:t>https://www.congreso.es/public_oficiales/L14/CONG/BO</w:t>
        </w:r>
        <w:r w:rsidRPr="00C83671">
          <w:rPr>
            <w:rStyle w:val="Hyperlink"/>
            <w:rFonts w:ascii="Times New Roman" w:hAnsi="Times New Roman" w:cs="Times New Roman"/>
            <w:color w:val="auto"/>
          </w:rPr>
          <w:t>CG/D/BOCG-14-D-175.PDF</w:t>
        </w:r>
      </w:hyperlink>
      <w:r w:rsidRPr="00C83671">
        <w:rPr>
          <w:rFonts w:ascii="Times New Roman" w:hAnsi="Times New Roman" w:cs="Times New Roman"/>
        </w:rPr>
        <w:t xml:space="preserve">. </w:t>
      </w:r>
    </w:p>
  </w:footnote>
  <w:footnote w:id="214">
    <w:p w14:paraId="43BF0FF9" w14:textId="358847B8" w:rsidR="003E1D81" w:rsidRPr="00C83671" w:rsidRDefault="00EB481C">
      <w:pPr>
        <w:pStyle w:val="FootnoteText"/>
        <w:ind w:left="0" w:firstLine="0"/>
        <w:rPr>
          <w:rFonts w:ascii="Times New Roman" w:eastAsia="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Úgy tekinthető, hogy a végső kedvezményezett „jelentős mértékben” egy ágazatra vagy üzleti tevékenységre összpontosít, ha az ilyen ágazat vagy tevékenység a végső kedvezményezett bruttó bevételéhez, nyereségéhez vagy ügyfélbázisáh</w:t>
      </w:r>
      <w:r w:rsidRPr="00C83671">
        <w:rPr>
          <w:rFonts w:ascii="Times New Roman" w:hAnsi="Times New Roman" w:cs="Times New Roman"/>
        </w:rPr>
        <w:t>oz viszonyítva a végső kedvezményezett üzleti tevékenységének lényeges részét képezi. A korlátozás alá vont ágazatból vagy tevékenységből származó bruttó bevétel semmilyen esetben sem haladhatja meg a bruttó bevétel 50%-át.</w:t>
      </w:r>
    </w:p>
  </w:footnote>
  <w:footnote w:id="215">
    <w:p w14:paraId="13D49EF3" w14:textId="72D1D4B8" w:rsidR="003E1D81" w:rsidRPr="00C83671" w:rsidRDefault="00EB481C">
      <w:pPr>
        <w:spacing w:after="0" w:line="240" w:lineRule="auto"/>
        <w:jc w:val="both"/>
        <w:rPr>
          <w:rFonts w:ascii="Times New Roman" w:eastAsia="Times New Roman" w:hAnsi="Times New Roman" w:cs="Times New Roman"/>
          <w:sz w:val="20"/>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Kivéve: a) a jelentős károkozá</w:t>
      </w:r>
      <w:r w:rsidRPr="00C83671">
        <w:rPr>
          <w:rFonts w:ascii="Times New Roman" w:hAnsi="Times New Roman" w:cs="Times New Roman"/>
          <w:sz w:val="20"/>
        </w:rPr>
        <w:t>s elkerülését célzó technikai iránymutatás (2021/C58/01) III. mellékletében meghatározott feltételeknek megfelelő, földgázt használó villamosenergia- és/vagy hőtermelési eszközök és tevékenységek, valamint a kapcsolódó átviteli és elosztási infrastruktúra;</w:t>
      </w:r>
      <w:r w:rsidRPr="00C83671">
        <w:rPr>
          <w:rFonts w:ascii="Times New Roman" w:hAnsi="Times New Roman" w:cs="Times New Roman"/>
          <w:sz w:val="20"/>
        </w:rPr>
        <w:t xml:space="preserve"> és b) a ii. alpont szerinti olyan tevékenységek és eszközök, amelyek esetében a fosszilis tüzelőanyagok használata ideiglenes és technikailag elkerülhetetlen a fosszilis tüzelőanyagoktól mentes üzemre való, időben történő átálláshoz.</w:t>
      </w:r>
    </w:p>
  </w:footnote>
  <w:footnote w:id="216">
    <w:p w14:paraId="5EE27B6F" w14:textId="77777777" w:rsidR="003E1D81" w:rsidRPr="00C83671" w:rsidRDefault="00EB481C">
      <w:pPr>
        <w:spacing w:after="0" w:line="240" w:lineRule="auto"/>
        <w:jc w:val="both"/>
        <w:rPr>
          <w:rFonts w:ascii="Times New Roman" w:eastAsia="Times New Roman" w:hAnsi="Times New Roman" w:cs="Times New Roman"/>
          <w:sz w:val="20"/>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Beleértve az uniós </w:t>
      </w:r>
      <w:r w:rsidRPr="00C83671">
        <w:rPr>
          <w:rFonts w:ascii="Times New Roman" w:hAnsi="Times New Roman" w:cs="Times New Roman"/>
          <w:sz w:val="20"/>
        </w:rPr>
        <w:t>kibocsátáskereskedelmi rendszer (ETS) keretébe tartozó olyan tevékenységeket és eszközöket, amelyek a vonatkozó referenciaértékeknél nem alacsonyabb várható üvegházhatásúgáz-kibocsátást érnek el. Amennyiben a támogatott tevékenység nem eredményez a vonatko</w:t>
      </w:r>
      <w:r w:rsidRPr="00C83671">
        <w:rPr>
          <w:rFonts w:ascii="Times New Roman" w:hAnsi="Times New Roman" w:cs="Times New Roman"/>
          <w:sz w:val="20"/>
        </w:rPr>
        <w:t>zó referenciaértékeknél lényegesen alacsonyabb előrejelzett üvegházhatásúgáz-kibocsátást, ismertetni kell azokat az okokat, amelyek miatt nem érhető el nagyobb kibocsátáscsökkenés. A kibocsátáskereskedelmi rendszer hatálya alá tartozó tevékenységekre vonat</w:t>
      </w:r>
      <w:r w:rsidRPr="00C83671">
        <w:rPr>
          <w:rFonts w:ascii="Times New Roman" w:hAnsi="Times New Roman" w:cs="Times New Roman"/>
          <w:sz w:val="20"/>
        </w:rPr>
        <w:t>kozó ingyenes kiosztásra vonatkozóan az (EU) 2021/447 bizottsági végrehajtási rendeletben meghatározott referenciaértékek.</w:t>
      </w:r>
    </w:p>
  </w:footnote>
  <w:footnote w:id="217">
    <w:p w14:paraId="31A64324" w14:textId="77777777" w:rsidR="003E1D81" w:rsidRPr="00C83671" w:rsidRDefault="00EB481C">
      <w:pPr>
        <w:spacing w:after="0" w:line="240" w:lineRule="auto"/>
        <w:jc w:val="both"/>
        <w:rPr>
          <w:rFonts w:ascii="Times New Roman" w:eastAsia="Times New Roman" w:hAnsi="Times New Roman" w:cs="Times New Roman"/>
          <w:sz w:val="20"/>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A szennyező járművek a meghatározás szerint nem kibocsátásmentes járművek.</w:t>
      </w:r>
    </w:p>
  </w:footnote>
  <w:footnote w:id="218">
    <w:p w14:paraId="526A928B" w14:textId="77777777" w:rsidR="003E1D81" w:rsidRPr="00C83671" w:rsidRDefault="00EB481C">
      <w:pPr>
        <w:pStyle w:val="FootnoteText"/>
        <w:ind w:left="0" w:firstLine="0"/>
        <w:rPr>
          <w:rFonts w:ascii="Times New Roman" w:eastAsia="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Akizárás nem vonatkozik a kizárólag nem </w:t>
      </w:r>
      <w:r w:rsidRPr="00C83671">
        <w:rPr>
          <w:rFonts w:ascii="Times New Roman" w:hAnsi="Times New Roman" w:cs="Times New Roman"/>
        </w:rPr>
        <w:t>újrafeldolgozható veszélyes hulladékok kezelésére szolgáló üzemekben végzett tevékenységekre, valamint a meglévő üzemekre, amennyiben az ezen intézkedés szerinti tevékenységek célja az energiahatékonyság növelése, a füstgázok tárolásra vagy felhasználás cé</w:t>
      </w:r>
      <w:r w:rsidRPr="00C83671">
        <w:rPr>
          <w:rFonts w:ascii="Times New Roman" w:hAnsi="Times New Roman" w:cs="Times New Roman"/>
        </w:rPr>
        <w:t xml:space="preserve">ljából történő leválasztására vagy égetéséből származó anyagok visszanyerésére irányulnak, feltéve, hogy az ezen intézkedés szerinti ilyen intézkedések nem eredményezik az üzemek hulladékfeldolgozási kapacitásának növekedését vagy az üzemek élettartamának </w:t>
      </w:r>
      <w:r w:rsidRPr="00C83671">
        <w:rPr>
          <w:rFonts w:ascii="Times New Roman" w:hAnsi="Times New Roman" w:cs="Times New Roman"/>
        </w:rPr>
        <w:t>meghosszabbítását; amelyekre vonatkozóan az üzem szintjén bizonyítékot szolgáltatnak</w:t>
      </w:r>
    </w:p>
  </w:footnote>
  <w:footnote w:id="219">
    <w:p w14:paraId="487957F0" w14:textId="7BCFE38F"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Az egyedi projektekhez kapcsolódó végső kedvezményezetteknek az éghajlatváltozáshoz való hozzájárulás kiszámítása céljából minden egyes támogatott projekt esetében meg k</w:t>
      </w:r>
      <w:r w:rsidRPr="00C83671">
        <w:rPr>
          <w:rFonts w:ascii="Times New Roman" w:hAnsi="Times New Roman" w:cs="Times New Roman"/>
        </w:rPr>
        <w:t>ell indokolniuk a kiválasztott beavatkozási területet, a projekt leírásával együtt. Az éghajlat-politikai hozzájárulás kiszámítása céljából a nem konkrét projektekre irányuló sajáttőke-, kvázisajáttőke-, vállalati kötvények vagy ezekkel egyenértékű eszközö</w:t>
      </w:r>
      <w:r w:rsidRPr="00C83671">
        <w:rPr>
          <w:rFonts w:ascii="Times New Roman" w:hAnsi="Times New Roman" w:cs="Times New Roman"/>
        </w:rPr>
        <w:t>k esetében kritériumokat kell alkalmazni annak előírására, hogy a kedvezményezett előző pénzügyi évi bevételének vagy az üzleti terv szerinti jövőbeli bevételeinek legalább 90%-a olyan tevékenységből származzon, amely megfelel a Helyreállítási és Rezilienc</w:t>
      </w:r>
      <w:r w:rsidRPr="00C83671">
        <w:rPr>
          <w:rFonts w:ascii="Times New Roman" w:hAnsi="Times New Roman" w:cs="Times New Roman"/>
        </w:rPr>
        <w:t xml:space="preserve">iaépítési Eszközről szóló rendelet VI. mellékletében szereplő alkalmazandó beavatkozási területekből eredő releváns kritériumoknak. A nem konkrét projektekre irányuló sajáttőke-, kvázisajáttőke-, vállalati kötvények vagy ezekkel egyenértékű eszközök végső </w:t>
      </w:r>
      <w:r w:rsidRPr="00C83671">
        <w:rPr>
          <w:rFonts w:ascii="Times New Roman" w:hAnsi="Times New Roman" w:cs="Times New Roman"/>
        </w:rPr>
        <w:t>kedvezményezettjeinek meg kell indokolniuk a kiválasztott beavatkozási terület(ek)et. A végrehajtó partnernek továbbá féléves jelentést kell benyújtania a tagállamnak minden egyes projekt/tevékenység végrehajtásáról.</w:t>
      </w:r>
    </w:p>
  </w:footnote>
  <w:footnote w:id="220">
    <w:p w14:paraId="0CEAF157" w14:textId="202361A4"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 az ezen intézkedés hatálya </w:t>
      </w:r>
      <w:r w:rsidRPr="00C83671">
        <w:rPr>
          <w:rFonts w:ascii="Times New Roman" w:hAnsi="Times New Roman" w:cs="Times New Roman"/>
        </w:rPr>
        <w:t>alá tartozó, a jelentős károkozás elkerülését célzó technikai iránymutatás (2021/C58/01) III. mellékletében meghatározott feltételeknek megfelelő, földgázt felhasználó villamosenergia- és/vagy hőtermeléssel, valamint a kapcsolódó szállítási és elosztási in</w:t>
      </w:r>
      <w:r w:rsidRPr="00C83671">
        <w:rPr>
          <w:rFonts w:ascii="Times New Roman" w:hAnsi="Times New Roman" w:cs="Times New Roman"/>
        </w:rPr>
        <w:t>frastruktúrával kapcsolatos projektek; és b) a ii. alpont szerinti olyan tevékenységek és eszközök, amelyek esetében a fosszilis tüzelőanyagok használata ideiglenes és technikailag elkerülhetetlen a fosszilis tüzelőanyagoktól mentes üzemre való, időben tör</w:t>
      </w:r>
      <w:r w:rsidRPr="00C83671">
        <w:rPr>
          <w:rFonts w:ascii="Times New Roman" w:hAnsi="Times New Roman" w:cs="Times New Roman"/>
        </w:rPr>
        <w:t>ténő átálláshoz.</w:t>
      </w:r>
    </w:p>
  </w:footnote>
  <w:footnote w:id="221">
    <w:p w14:paraId="2C3945BD"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w:t>
      </w:r>
      <w:r w:rsidRPr="00C83671">
        <w:rPr>
          <w:rFonts w:ascii="Times New Roman" w:hAnsi="Times New Roman" w:cs="Times New Roman"/>
        </w:rPr>
        <w:t xml:space="preserve"> tevékenységekre vonatkozó ingyenes kiosztásra vonatkozóan az (EU) 2021/447 bizottsági végrehajtási rendeletben meghatározott referenciaértékek.</w:t>
      </w:r>
    </w:p>
  </w:footnote>
  <w:footnote w:id="222">
    <w:p w14:paraId="2C3520CE"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szerinti fellépésekre a kizárólag nem újrafeldolgozható veszél</w:t>
      </w:r>
      <w:r w:rsidRPr="00C83671">
        <w:rPr>
          <w:rFonts w:ascii="Times New Roman" w:hAnsi="Times New Roman" w:cs="Times New Roman"/>
        </w:rPr>
        <w:t>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w:t>
      </w:r>
      <w:r w:rsidRPr="00C83671">
        <w:rPr>
          <w:rFonts w:ascii="Times New Roman" w:hAnsi="Times New Roman" w:cs="Times New Roman"/>
        </w:rPr>
        <w:t>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w:t>
      </w:r>
      <w:r w:rsidRPr="00C83671">
        <w:rPr>
          <w:rFonts w:ascii="Times New Roman" w:hAnsi="Times New Roman" w:cs="Times New Roman"/>
        </w:rPr>
        <w:t>k bizonyítékot.</w:t>
      </w:r>
    </w:p>
  </w:footnote>
  <w:footnote w:id="223">
    <w:p w14:paraId="0D383AB5"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Ez a kizárás nem vonatkozik az ezen intézkedés hatálya alá tartozó, meglévő mechanikai-biológiai szennyvíztisztító telepeken végzett tevékenységekre, amennyiben az ezen intézkedés szerinti tevékenységek célja az erőforrás-hatékonyság növe</w:t>
      </w:r>
      <w:r w:rsidRPr="00C83671">
        <w:rPr>
          <w:rFonts w:ascii="Times New Roman" w:hAnsi="Times New Roman" w:cs="Times New Roman"/>
        </w:rPr>
        <w:t>lése vagy a szétválasztott hulladék komposzt biohulladékká történő újrafeldolgozási műveleteinek utólagos átalakítása, valamint a biohulladék anaerob lebontása, feltéve, hogy az ezen intézkedés szerinti tevékenységek nem eredményezik az üzemek hulladékfeld</w:t>
      </w:r>
      <w:r w:rsidRPr="00C83671">
        <w:rPr>
          <w:rFonts w:ascii="Times New Roman" w:hAnsi="Times New Roman" w:cs="Times New Roman"/>
        </w:rPr>
        <w:t>olgozási kapacitásának növekedését vagy az üzemek élettartamának meghosszabbítását; ezek esetében az üzem szintjén szolgáltatnak bizonyítékot.</w:t>
      </w:r>
    </w:p>
  </w:footnote>
  <w:footnote w:id="224">
    <w:p w14:paraId="4130EA40" w14:textId="09A9E3DA" w:rsidR="003E1D81" w:rsidRPr="00C83671" w:rsidRDefault="00EB481C">
      <w:pPr>
        <w:pStyle w:val="FootnoteText"/>
        <w:ind w:left="0" w:firstLine="0"/>
        <w:rPr>
          <w:rFonts w:ascii="Times New Roman" w:eastAsia="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Úgy tekinthető, hogy a végső kedvezményezett „jelentős mértékben” egy ágazatra vagy üzleti tevékenységre összpon</w:t>
      </w:r>
      <w:r w:rsidRPr="00C83671">
        <w:rPr>
          <w:rFonts w:ascii="Times New Roman" w:hAnsi="Times New Roman" w:cs="Times New Roman"/>
        </w:rPr>
        <w:t xml:space="preserve">tosít, ha az ilyen ágazat vagy tevékenység a végső kedvezményezett bruttó bevételéhez, nyereségéhez vagy ügyfélbázisához viszonyítva a végső kedvezményezett üzleti tevékenységének lényeges részét képezi. A korlátozás alá vont ágazatból vagy tevékenységből </w:t>
      </w:r>
      <w:r w:rsidRPr="00C83671">
        <w:rPr>
          <w:rFonts w:ascii="Times New Roman" w:hAnsi="Times New Roman" w:cs="Times New Roman"/>
        </w:rPr>
        <w:t>származó bruttó bevétel semmilyen esetben sem haladhatja meg a bruttó bevétel 50%-át.</w:t>
      </w:r>
    </w:p>
  </w:footnote>
  <w:footnote w:id="225">
    <w:p w14:paraId="0C977172" w14:textId="0CF1A8ED" w:rsidR="003E1D81" w:rsidRPr="00C83671" w:rsidRDefault="00EB481C">
      <w:pPr>
        <w:spacing w:after="0" w:line="240" w:lineRule="auto"/>
        <w:jc w:val="both"/>
        <w:rPr>
          <w:rFonts w:ascii="Times New Roman" w:eastAsia="Times New Roman" w:hAnsi="Times New Roman" w:cs="Times New Roman"/>
          <w:sz w:val="20"/>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Kivéve: a) a jelentős károkozás elkerülését célzó technikai iránymutatás (2021/C58/01) III. mellékletében meghatározott feltételeknek megfelelő, földgázt használó villa</w:t>
      </w:r>
      <w:r w:rsidRPr="00C83671">
        <w:rPr>
          <w:rFonts w:ascii="Times New Roman" w:hAnsi="Times New Roman" w:cs="Times New Roman"/>
          <w:sz w:val="20"/>
        </w:rPr>
        <w:t>mosenergia- és/vagy hőtermelési eszközök és tevékenységek, valamint a kapcsolódó átviteli és elosztási infrastruktúra; és b) a ii. alpont szerinti olyan tevékenységek és eszközök, amelyek esetében a fosszilis tüzelőanyagok használata ideiglenes és technika</w:t>
      </w:r>
      <w:r w:rsidRPr="00C83671">
        <w:rPr>
          <w:rFonts w:ascii="Times New Roman" w:hAnsi="Times New Roman" w:cs="Times New Roman"/>
          <w:sz w:val="20"/>
        </w:rPr>
        <w:t>ilag elkerülhetetlen a fosszilis tüzelőanyagoktól mentes üzemre való, időben történő átálláshoz.</w:t>
      </w:r>
    </w:p>
  </w:footnote>
  <w:footnote w:id="226">
    <w:p w14:paraId="28E7CDE0" w14:textId="77777777" w:rsidR="003E1D81" w:rsidRPr="00C83671" w:rsidRDefault="00EB481C">
      <w:pPr>
        <w:spacing w:after="0" w:line="240" w:lineRule="auto"/>
        <w:jc w:val="both"/>
        <w:rPr>
          <w:rFonts w:ascii="Times New Roman" w:eastAsia="Times New Roman" w:hAnsi="Times New Roman" w:cs="Times New Roman"/>
          <w:sz w:val="20"/>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Beleértve az uniós kibocsátáskereskedelmi rendszer (ETS) keretébe tartozó olyan tevékenységeket és eszközöket, amelyek a vonatkozó referenciaértékeknél nem a</w:t>
      </w:r>
      <w:r w:rsidRPr="00C83671">
        <w:rPr>
          <w:rFonts w:ascii="Times New Roman" w:hAnsi="Times New Roman" w:cs="Times New Roman"/>
          <w:sz w:val="20"/>
        </w:rPr>
        <w:t xml:space="preserve">lacsonyabb várható üvegházhatásúgáz-kibocsátást érnek el. Amennyiben a támogatott tevékenység nem eredményez a vonatkozó referenciaértékeknél lényegesen alacsonyabb előrejelzett üvegházhatásúgáz-kibocsátást, ismertetni kell azokat az okokat, amelyek miatt </w:t>
      </w:r>
      <w:r w:rsidRPr="00C83671">
        <w:rPr>
          <w:rFonts w:ascii="Times New Roman" w:hAnsi="Times New Roman" w:cs="Times New Roman"/>
          <w:sz w:val="20"/>
        </w:rPr>
        <w:t>nem érhető el nagyobb kibocsátáscsökkenés. A kibocsátáskereskedelmi rendszer hatálya alá tartozó tevékenységekre vonatkozó ingyenes kiosztásra vonatkozóan az (EU) 2021/447 bizottsági végrehajtási rendeletben meghatározott referenciaértékek.</w:t>
      </w:r>
    </w:p>
  </w:footnote>
  <w:footnote w:id="227">
    <w:p w14:paraId="5FD1CB56" w14:textId="77777777" w:rsidR="003E1D81" w:rsidRPr="00C83671" w:rsidRDefault="00EB481C">
      <w:pPr>
        <w:spacing w:after="0" w:line="240" w:lineRule="auto"/>
        <w:jc w:val="both"/>
        <w:rPr>
          <w:rFonts w:ascii="Times New Roman" w:eastAsia="Times New Roman" w:hAnsi="Times New Roman" w:cs="Times New Roman"/>
          <w:sz w:val="20"/>
        </w:rPr>
      </w:pPr>
      <w:r w:rsidRPr="00C83671">
        <w:rPr>
          <w:rStyle w:val="FootnoteReference"/>
          <w:rFonts w:ascii="Times New Roman" w:hAnsi="Times New Roman" w:cs="Times New Roman"/>
          <w:sz w:val="20"/>
        </w:rPr>
        <w:footnoteRef/>
      </w:r>
      <w:r w:rsidRPr="00C83671">
        <w:rPr>
          <w:rFonts w:ascii="Times New Roman" w:hAnsi="Times New Roman" w:cs="Times New Roman"/>
          <w:sz w:val="20"/>
        </w:rPr>
        <w:t xml:space="preserve"> A szennyező j</w:t>
      </w:r>
      <w:r w:rsidRPr="00C83671">
        <w:rPr>
          <w:rFonts w:ascii="Times New Roman" w:hAnsi="Times New Roman" w:cs="Times New Roman"/>
          <w:sz w:val="20"/>
        </w:rPr>
        <w:t>árművek a meghatározás szerint nem kibocsátásmentes járművek.</w:t>
      </w:r>
    </w:p>
  </w:footnote>
  <w:footnote w:id="228">
    <w:p w14:paraId="0E728E98" w14:textId="77777777" w:rsidR="003E1D81" w:rsidRPr="00C83671" w:rsidRDefault="00EB481C">
      <w:pPr>
        <w:pStyle w:val="FootnoteText"/>
        <w:ind w:left="0" w:firstLine="0"/>
        <w:rPr>
          <w:rFonts w:ascii="Times New Roman" w:eastAsia="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Akizárás nem vonatkozik a kizárólag nem újrafeldolgozható veszélyes hulladékok kezelésére szolgáló üzemekben végzett tevékenységekre, valamint a meglévő üzemekre, amennyiben az ezen intézkedés </w:t>
      </w:r>
      <w:r w:rsidRPr="00C83671">
        <w:rPr>
          <w:rFonts w:ascii="Times New Roman" w:hAnsi="Times New Roman" w:cs="Times New Roman"/>
        </w:rPr>
        <w:t>szerinti tevékenységek célja az energiahatékonyság növelése, a füstgázok tárolásra vagy felhasználás céljából történő leválasztására vagy égetéséből származó anyagok visszanyerésére irányulnak, feltéve, hogy az ezen intézkedés szerinti ilyen intézkedések n</w:t>
      </w:r>
      <w:r w:rsidRPr="00C83671">
        <w:rPr>
          <w:rFonts w:ascii="Times New Roman" w:hAnsi="Times New Roman" w:cs="Times New Roman"/>
        </w:rPr>
        <w:t>em eredményezik az üzemek hulladékfeldolgozási kapacitásának növekedését vagy az üzemek élettartamának meghosszabbítását; amelyekre vonatkozóan az üzem szintjén bizonyítékot szolgáltatnak</w:t>
      </w:r>
    </w:p>
  </w:footnote>
  <w:footnote w:id="229">
    <w:p w14:paraId="0D7294A6" w14:textId="75DB1B02"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w:t>
      </w:r>
      <w:r w:rsidRPr="00C83671">
        <w:rPr>
          <w:rStyle w:val="normaltextrun"/>
          <w:rFonts w:ascii="Times New Roman" w:hAnsi="Times New Roman" w:cs="Times New Roman"/>
          <w:bdr w:val="none" w:sz="0" w:space="0" w:color="auto" w:frame="1"/>
        </w:rPr>
        <w:t>Az egyedi projektekhez kapcsolódó végső kedvezményezetteknek az ég</w:t>
      </w:r>
      <w:r w:rsidRPr="00C83671">
        <w:rPr>
          <w:rStyle w:val="normaltextrun"/>
          <w:rFonts w:ascii="Times New Roman" w:hAnsi="Times New Roman" w:cs="Times New Roman"/>
          <w:bdr w:val="none" w:sz="0" w:space="0" w:color="auto" w:frame="1"/>
        </w:rPr>
        <w:t xml:space="preserve">hajlatváltozáshoz való hozzájárulás kiszámítása céljából minden egyes támogatott projekt esetében meg kell indokolniuk a kiválasztott beavatkozási területet, a projekt leírásával együtt. </w:t>
      </w:r>
      <w:r w:rsidRPr="00C83671">
        <w:rPr>
          <w:rFonts w:ascii="Times New Roman" w:hAnsi="Times New Roman" w:cs="Times New Roman"/>
        </w:rPr>
        <w:t>Az éghajlat-politikai hozzájárulás kiszámítása céljából a nem konkrét</w:t>
      </w:r>
      <w:r w:rsidRPr="00C83671">
        <w:rPr>
          <w:rFonts w:ascii="Times New Roman" w:hAnsi="Times New Roman" w:cs="Times New Roman"/>
        </w:rPr>
        <w:t xml:space="preserve"> projektekre irányuló sajáttőke-, kvázisajáttőke-, vállalati kötvények vagy ezekkel egyenértékű eszközök esetében kritériumokat kell alkalmazni annak előírására, hogy a kedvezményezett előző pénzügyi évi bevételének vagy az üzleti terv szerinti jövőbeli be</w:t>
      </w:r>
      <w:r w:rsidRPr="00C83671">
        <w:rPr>
          <w:rFonts w:ascii="Times New Roman" w:hAnsi="Times New Roman" w:cs="Times New Roman"/>
        </w:rPr>
        <w:t>vételeinek legalább 90%-a olyan tevékenységből származzon, amely megfelel a Helyreállítási és Rezilienciaépítési Eszközről szóló rendelet VI. mellékletében szereplő alkalmazandó beavatkozási területekből eredő releváns kritériumoknak. A nem konkrét projekt</w:t>
      </w:r>
      <w:r w:rsidRPr="00C83671">
        <w:rPr>
          <w:rFonts w:ascii="Times New Roman" w:hAnsi="Times New Roman" w:cs="Times New Roman"/>
        </w:rPr>
        <w:t xml:space="preserve">ekre irányuló sajáttőke-, kvázisajáttőke-, vállalati kötvények vagy ezekkel egyenértékű eszközök végső kedvezményezettjeinek meg kell indokolniuk a kiválasztott beavatkozási terület(ek)et. A végrehajtó partnernek továbbá féléves jelentést kell benyújtania </w:t>
      </w:r>
      <w:r w:rsidRPr="00C83671">
        <w:rPr>
          <w:rFonts w:ascii="Times New Roman" w:hAnsi="Times New Roman" w:cs="Times New Roman"/>
        </w:rPr>
        <w:t>a tagállamnak minden egyes projekt/tevékenység végrehajtásáról.</w:t>
      </w:r>
    </w:p>
  </w:footnote>
  <w:footnote w:id="230">
    <w:p w14:paraId="6CE385F1"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w:t>
      </w:r>
      <w:r w:rsidRPr="00C83671">
        <w:rPr>
          <w:rFonts w:ascii="Times New Roman" w:hAnsi="Times New Roman" w:cs="Times New Roman"/>
        </w:rPr>
        <w:t>lehetséges. A kibocsátáskereskedelmi rendszer hatálya alá tartozó tevékenységekre vonatkozó ingyenes kiosztásra vonatkozóan az (EU) 2021/447 bizottsági végrehajtási rendeletben meghatározott referenciaértékek.</w:t>
      </w:r>
    </w:p>
  </w:footnote>
  <w:footnote w:id="231">
    <w:p w14:paraId="6F965A25" w14:textId="0865A121"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 az ezen intézkedés hatálya alá tar</w:t>
      </w:r>
      <w:r w:rsidRPr="00C83671">
        <w:rPr>
          <w:rFonts w:ascii="Times New Roman" w:hAnsi="Times New Roman" w:cs="Times New Roman"/>
        </w:rPr>
        <w:t>tozó, a jelentős károkozás elkerülését célzó technikai iránymutatás (2021/C58/01) III. mellékletében meghatározott feltételeknek megfelelő, földgázt felhasználó villamosenergia- és/vagy hőtermeléssel, valamint a kapcsolódó szállítási és elosztási infrastru</w:t>
      </w:r>
      <w:r w:rsidRPr="00C83671">
        <w:rPr>
          <w:rFonts w:ascii="Times New Roman" w:hAnsi="Times New Roman" w:cs="Times New Roman"/>
        </w:rPr>
        <w:t>ktúrával kapcsolatos projektek; és b) az i. pont szerinti olyan tevékenységek és eszközök, amelyek esetében a fosszilis tüzelőanyagok felhasználása ideiglenes és technikailag elkerülhetetlen a fosszilis tüzelőanyagoktól mentes üzemre való, időben történő á</w:t>
      </w:r>
      <w:r w:rsidRPr="00C83671">
        <w:rPr>
          <w:rFonts w:ascii="Times New Roman" w:hAnsi="Times New Roman" w:cs="Times New Roman"/>
        </w:rPr>
        <w:t>tálláshoz.  </w:t>
      </w:r>
    </w:p>
  </w:footnote>
  <w:footnote w:id="232">
    <w:p w14:paraId="760D3759" w14:textId="1C73F552"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Az egyedi projektekhez kapcsolódó végső kedvezményezetteknek az éghajlatváltozáshoz való hozzájárulás kiszámítása céljából minden egyes támogatott projekt esetében meg kell indokolniuk a kiválasztott beavatkozási területet, a projekt leírásá</w:t>
      </w:r>
      <w:r w:rsidRPr="00C83671">
        <w:rPr>
          <w:rFonts w:ascii="Times New Roman" w:hAnsi="Times New Roman" w:cs="Times New Roman"/>
        </w:rPr>
        <w:t>val együtt. A végrehajtó partnernek továbbá féléves jelentést kell benyújtania a tagállamnak minden egyes projekt/tevékenység végrehajtásáról.</w:t>
      </w:r>
    </w:p>
  </w:footnote>
  <w:footnote w:id="233">
    <w:p w14:paraId="6356E7D5" w14:textId="77777777"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Amennyiben a támogatott tevékenység olyan előrejelzett üvegházhatásúgáz-kibocsátást ér el, amely nem éri el jel</w:t>
      </w:r>
      <w:r w:rsidRPr="00C83671">
        <w:rPr>
          <w:rFonts w:ascii="Times New Roman" w:hAnsi="Times New Roman" w:cs="Times New Roman"/>
        </w:rPr>
        <w:t xml:space="preserve">entősen a vonatkozó referenciaértékeket, meg kell indokolni, hogy ez miért nem lehetséges. A kibocsátáskereskedelmi rendszer hatálya alá tartozó tevékenységekre vonatkozó ingyenes kiosztásra vonatkozóan az (EU) 2021/447 bizottsági végrehajtási rendeletben </w:t>
      </w:r>
      <w:r w:rsidRPr="00C83671">
        <w:rPr>
          <w:rFonts w:ascii="Times New Roman" w:hAnsi="Times New Roman" w:cs="Times New Roman"/>
        </w:rPr>
        <w:t>meghatározott referenciaértékek.</w:t>
      </w:r>
    </w:p>
  </w:footnote>
  <w:footnote w:id="234">
    <w:p w14:paraId="37BEC07E" w14:textId="3DE32C94"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Kivéve a) az ezen intézkedés hatálya alá tartozó, a jelentős károkozás elkerülését célzó technikai iránymutatás (2021/C58/01) III. mellékletében meghatározott feltételeknek megfelelő, földgázt felhasználó villamosenergia-</w:t>
      </w:r>
      <w:r w:rsidRPr="00C83671">
        <w:rPr>
          <w:rFonts w:ascii="Times New Roman" w:hAnsi="Times New Roman" w:cs="Times New Roman"/>
        </w:rPr>
        <w:t xml:space="preserve"> és/vagy hőtermeléssel, valamint a kapcsolódó szállítási és elosztási infrastruktúrával kapcsolatos projektek; és b) az i. pont szerinti olyan tevékenységek és eszközök, amelyek esetében a fosszilis tüzelőanyagok felhasználása ideiglenes és technikailag el</w:t>
      </w:r>
      <w:r w:rsidRPr="00C83671">
        <w:rPr>
          <w:rFonts w:ascii="Times New Roman" w:hAnsi="Times New Roman" w:cs="Times New Roman"/>
        </w:rPr>
        <w:t>kerülhetetlen a fosszilis tüzelőanyagoktól mentes üzemre való, időben történő átálláshoz.  </w:t>
      </w:r>
    </w:p>
  </w:footnote>
  <w:footnote w:id="235">
    <w:p w14:paraId="5FA2FFA8" w14:textId="35A535C4"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Az egyes projektekhez kapcsolódó hitelek, részvételi hitelek, projektkötvények, garanciák vagy ezekkel egyenértékű eszközök végső kedvezményezettjeinek minden egye</w:t>
      </w:r>
      <w:r w:rsidRPr="00C83671">
        <w:rPr>
          <w:rFonts w:ascii="Times New Roman" w:hAnsi="Times New Roman" w:cs="Times New Roman"/>
        </w:rPr>
        <w:t>s támogatott projekt esetében meg kell indokolniuk a kiválasztott beavatkozási területet, a projekt leírásával együtt. A végrehajtó partnernek továbbá féléves jelentést kell benyújtania a tagállamnak minden egyes projekt/tevékenység végrehajtásáról.</w:t>
      </w:r>
    </w:p>
  </w:footnote>
  <w:footnote w:id="236">
    <w:p w14:paraId="6868A12E" w14:textId="77777777" w:rsidR="003E1D81" w:rsidRPr="00C83671" w:rsidRDefault="00EB481C">
      <w:pPr>
        <w:pStyle w:val="P68B1DB1-Text148"/>
        <w:ind w:left="0"/>
        <w:rPr>
          <w:rFonts w:cs="Times New Roman"/>
        </w:rPr>
      </w:pPr>
      <w:r w:rsidRPr="00C83671">
        <w:rPr>
          <w:rFonts w:cs="Times New Roman"/>
        </w:rPr>
        <w:footnoteRef/>
      </w:r>
      <w:r w:rsidRPr="00C83671">
        <w:rPr>
          <w:rFonts w:cs="Times New Roman"/>
        </w:rPr>
        <w:t>Amenn</w:t>
      </w:r>
      <w:r w:rsidRPr="00C83671">
        <w:rPr>
          <w:rFonts w:cs="Times New Roman"/>
        </w:rPr>
        <w:t>yiben a támogatott tevékenység olyan előrejelzett üvegházhatásúgáz-kibocsátást ér el, amely nem éri el jelentősen a vonatkozó referenciaértékeket, meg kell indokolni, hogy ez miért nem lehetséges. A kibocsátáskereskedelmi rendszer hatálya alá tartozó tevék</w:t>
      </w:r>
      <w:r w:rsidRPr="00C83671">
        <w:rPr>
          <w:rFonts w:cs="Times New Roman"/>
        </w:rPr>
        <w:t>enységekre vonatkozó ingyenes kiosztásra vonatkozóan az (EU) 2021/447 bizottsági végrehajtási rendeletben meghatározott referenciaértékek.</w:t>
      </w:r>
    </w:p>
  </w:footnote>
  <w:footnote w:id="237">
    <w:p w14:paraId="10FC5D32" w14:textId="49DE9569" w:rsidR="003E1D81" w:rsidRPr="00C83671" w:rsidRDefault="00EB481C">
      <w:pPr>
        <w:pStyle w:val="P68B1DB1-Text148"/>
        <w:ind w:left="0"/>
        <w:rPr>
          <w:rFonts w:cs="Times New Roman"/>
        </w:rPr>
      </w:pPr>
      <w:r w:rsidRPr="00C83671">
        <w:rPr>
          <w:rFonts w:cs="Times New Roman"/>
        </w:rPr>
        <w:footnoteRef/>
      </w:r>
      <w:r w:rsidRPr="00C83671">
        <w:rPr>
          <w:rFonts w:cs="Times New Roman"/>
        </w:rPr>
        <w:t xml:space="preserve">Kivéve a) az ezen intézkedés hatálya alá tartozó, a jelentős károkozás elkerülését célzó technikai iránymutatás </w:t>
      </w:r>
      <w:r w:rsidRPr="00C83671">
        <w:rPr>
          <w:rFonts w:cs="Times New Roman"/>
        </w:rPr>
        <w:t>(2021/C58/01) III. mellékletében meghatározott feltételeknek megfelelő, földgázt felhasználó villamosenergia- és/vagy hőtermeléssel, valamint a kapcsolódó szállítási és elosztási infrastruktúrával kapcsolatos projektek; és b) az i. pont szerinti olyan tevé</w:t>
      </w:r>
      <w:r w:rsidRPr="00C83671">
        <w:rPr>
          <w:rFonts w:cs="Times New Roman"/>
        </w:rPr>
        <w:t>kenységek és eszközök, amelyek esetében a fosszilis tüzelőanyagok felhasználása ideiglenes és technikailag elkerülhetetlen a fosszilis tüzelőanyagoktól mentes üzemre való, időben történő átálláshoz.</w:t>
      </w:r>
      <w:r w:rsidRPr="00C83671">
        <w:rPr>
          <w:rFonts w:cs="Times New Roman"/>
          <w:shd w:val="clear" w:color="auto" w:fill="E6E6E6"/>
        </w:rPr>
        <w:t xml:space="preserve"> </w:t>
      </w:r>
    </w:p>
  </w:footnote>
  <w:footnote w:id="238">
    <w:p w14:paraId="3C9007D4" w14:textId="02F64EC4"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 xml:space="preserve"> Az egyedi projektekhez kapcsolódó végső kedvezményezet</w:t>
      </w:r>
      <w:r w:rsidRPr="00C83671">
        <w:rPr>
          <w:rFonts w:ascii="Times New Roman" w:hAnsi="Times New Roman" w:cs="Times New Roman"/>
        </w:rPr>
        <w:t>teknek az éghajlatváltozáshoz való hozzájárulás kiszámítása céljából minden egyes támogatott projekt esetében meg kell indokolniuk a kiválasztott beavatkozási területet, a projekt leírásával együtt. A végrehajtó partnernek továbbá féléves jelentést kell be</w:t>
      </w:r>
      <w:r w:rsidRPr="00C83671">
        <w:rPr>
          <w:rFonts w:ascii="Times New Roman" w:hAnsi="Times New Roman" w:cs="Times New Roman"/>
        </w:rPr>
        <w:t>nyújtania a tagállamnak minden egyes projekt/tevékenység végrehajtásáról.</w:t>
      </w:r>
    </w:p>
  </w:footnote>
  <w:footnote w:id="239">
    <w:p w14:paraId="1233B08D" w14:textId="77777777" w:rsidR="003E1D81" w:rsidRPr="00C83671" w:rsidRDefault="00EB481C">
      <w:pPr>
        <w:pStyle w:val="P68B1DB1-Text148"/>
        <w:ind w:left="0"/>
        <w:rPr>
          <w:rFonts w:cs="Times New Roman"/>
        </w:rPr>
      </w:pPr>
      <w:r w:rsidRPr="00C83671">
        <w:rPr>
          <w:rFonts w:cs="Times New Roman"/>
        </w:rPr>
        <w:footnoteRef/>
      </w:r>
      <w:r w:rsidRPr="00C83671">
        <w:rPr>
          <w:rFonts w:cs="Times New Roman"/>
        </w:rPr>
        <w:t>Amennyiben a támogatott tevékenység olyan előrejelzett üvegházhatásúgáz-kibocsátást ér el, amely nem éri el jelentősen a vonatkozó referenciaértékeket, meg kell indokolni, hogy ez m</w:t>
      </w:r>
      <w:r w:rsidRPr="00C83671">
        <w:rPr>
          <w:rFonts w:cs="Times New Roman"/>
        </w:rPr>
        <w:t>iért nem lehetséges. A kibocsátáskereskedelmi rendszer hatálya alá tartozó tevékenységekre vonatkozó ingyenes kiosztásra vonatkozóan az (EU) 2021/447 bizottsági végrehajtási rendeletben meghatározott referenciaértékek.</w:t>
      </w:r>
    </w:p>
  </w:footnote>
  <w:footnote w:id="240">
    <w:p w14:paraId="6408CE36" w14:textId="4A7E8992" w:rsidR="003E1D81" w:rsidRPr="00C83671" w:rsidRDefault="00EB481C">
      <w:pPr>
        <w:pStyle w:val="P68B1DB1-Text148"/>
        <w:ind w:left="0"/>
        <w:rPr>
          <w:rFonts w:cs="Times New Roman"/>
        </w:rPr>
      </w:pPr>
      <w:r w:rsidRPr="00C83671">
        <w:rPr>
          <w:rFonts w:cs="Times New Roman"/>
        </w:rPr>
        <w:footnoteRef/>
      </w:r>
      <w:r w:rsidRPr="00C83671">
        <w:rPr>
          <w:rFonts w:cs="Times New Roman"/>
        </w:rPr>
        <w:t>Kivéve a) az ezen intézkedés hatálya</w:t>
      </w:r>
      <w:r w:rsidRPr="00C83671">
        <w:rPr>
          <w:rFonts w:cs="Times New Roman"/>
        </w:rPr>
        <w:t xml:space="preserve"> alá tartozó, a jelentős károkozás elkerülését célzó technikai iránymutatás (2021/C58/01) III. mellékletében meghatározott feltételeknek megfelelő, földgázt felhasználó villamosenergia- és/vagy hőtermeléssel, valamint a kapcsolódó szállítási és elosztási i</w:t>
      </w:r>
      <w:r w:rsidRPr="00C83671">
        <w:rPr>
          <w:rFonts w:cs="Times New Roman"/>
        </w:rPr>
        <w:t>nfrastruktúrával kapcsolatos projektek; és b) az i. pont szerinti olyan tevékenységek és eszközök, amelyek esetében a fosszilis tüzelőanyagok felhasználása ideiglenes és technikailag elkerülhetetlen a fosszilis tüzelőanyagoktól mentes üzemre való, időben t</w:t>
      </w:r>
      <w:r w:rsidRPr="00C83671">
        <w:rPr>
          <w:rFonts w:cs="Times New Roman"/>
        </w:rPr>
        <w:t>örténő átálláshoz.</w:t>
      </w:r>
      <w:r w:rsidRPr="00C83671">
        <w:rPr>
          <w:rFonts w:cs="Times New Roman"/>
          <w:shd w:val="clear" w:color="auto" w:fill="E6E6E6"/>
        </w:rPr>
        <w:t xml:space="preserve"> </w:t>
      </w:r>
    </w:p>
  </w:footnote>
  <w:footnote w:id="241">
    <w:p w14:paraId="1E257A9A" w14:textId="0DADCBE4" w:rsidR="003E1D81" w:rsidRPr="00C83671" w:rsidRDefault="00EB481C">
      <w:pPr>
        <w:pStyle w:val="FootnoteText"/>
        <w:ind w:left="0" w:firstLine="0"/>
        <w:rPr>
          <w:rFonts w:ascii="Times New Roman" w:hAnsi="Times New Roman" w:cs="Times New Roman"/>
        </w:rPr>
      </w:pPr>
      <w:r w:rsidRPr="00C83671">
        <w:rPr>
          <w:rStyle w:val="FootnoteReference"/>
          <w:rFonts w:ascii="Times New Roman" w:hAnsi="Times New Roman" w:cs="Times New Roman"/>
        </w:rPr>
        <w:footnoteRef/>
      </w:r>
      <w:r w:rsidRPr="00C83671">
        <w:rPr>
          <w:rFonts w:ascii="Times New Roman" w:hAnsi="Times New Roman" w:cs="Times New Roman"/>
        </w:rPr>
        <w:t>Az egyes projektekhez kapcsolódó hitelek, részvételi hitelek, projektkötvények, garanciák vagy ezekkel egyenértékű eszközök végső kedvezményezettjeinek minden egyes támogatott projekt esetében meg kell indokolniuk a kiválasztott beavat</w:t>
      </w:r>
      <w:r w:rsidRPr="00C83671">
        <w:rPr>
          <w:rFonts w:ascii="Times New Roman" w:hAnsi="Times New Roman" w:cs="Times New Roman"/>
        </w:rPr>
        <w:t>kozási területet, a projekt leírásával együtt. A végrehajtó partnernek továbbá féléves jelentést kell benyújtania a tagállamnak minden egyes projekt/tevékenység végrehajtásáról.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53140" w14:textId="77777777" w:rsidR="00EB481C" w:rsidRPr="00EB481C" w:rsidRDefault="00EB481C" w:rsidP="00EB481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A880C" w14:textId="77777777" w:rsidR="003E1D81" w:rsidRDefault="003E1D81">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20B7F" w14:textId="77777777" w:rsidR="003E1D81" w:rsidRDefault="003E1D81">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A9A35" w14:textId="77777777" w:rsidR="003E1D81" w:rsidRDefault="003E1D81">
    <w:pPr>
      <w:pStyle w:val="HeaderSensitivityRight"/>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B8F9" w14:textId="77777777" w:rsidR="003E1D81" w:rsidRDefault="003E1D81">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622BD" w14:textId="77777777" w:rsidR="003E1D81" w:rsidRDefault="003E1D81">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5953D" w14:textId="77777777" w:rsidR="003E1D81" w:rsidRDefault="003E1D81">
    <w:pPr>
      <w:pStyle w:val="HeaderSensitivityRight"/>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5100A" w14:textId="77777777" w:rsidR="003E1D81" w:rsidRDefault="003E1D81">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8E6FD" w14:textId="77777777" w:rsidR="003E1D81" w:rsidRDefault="003E1D81">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35D76" w14:textId="77777777" w:rsidR="003E1D81" w:rsidRDefault="003E1D81">
    <w:pPr>
      <w:pStyle w:val="HeaderSensitivityRight"/>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DD031" w14:textId="77777777" w:rsidR="003E1D81" w:rsidRDefault="003E1D81">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E7C52" w14:textId="77777777" w:rsidR="003E1D81" w:rsidRDefault="003E1D8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D53C2" w14:textId="77777777" w:rsidR="003E1D81" w:rsidRDefault="003E1D81">
    <w:pPr>
      <w:pStyle w:val="HeaderSensitivityRight"/>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2A093" w14:textId="77777777" w:rsidR="003E1D81" w:rsidRDefault="003E1D81">
    <w:pPr>
      <w:pStyle w:val="HeaderSensitivityRight"/>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FFEBD" w14:textId="77777777" w:rsidR="003E1D81" w:rsidRDefault="003E1D81">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155F6" w14:textId="77777777" w:rsidR="003E1D81" w:rsidRDefault="003E1D81">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35CA3" w14:textId="77777777" w:rsidR="003E1D81" w:rsidRDefault="003E1D81">
    <w:pPr>
      <w:pStyle w:val="HeaderSensitivityRight"/>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B53C1" w14:textId="77777777" w:rsidR="003E1D81" w:rsidRDefault="003E1D81">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FE7B0" w14:textId="77777777" w:rsidR="003E1D81" w:rsidRDefault="003E1D81">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BC91D" w14:textId="77777777" w:rsidR="003E1D81" w:rsidRDefault="003E1D81">
    <w:pPr>
      <w:pStyle w:val="HeaderSensitivityRight"/>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804D" w14:textId="77777777" w:rsidR="003E1D81" w:rsidRDefault="003E1D81">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51C32" w14:textId="77777777" w:rsidR="003E1D81" w:rsidRDefault="003E1D81">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7C8CE" w14:textId="77777777" w:rsidR="003E1D81" w:rsidRDefault="003E1D81">
    <w:pPr>
      <w:pStyle w:val="HeaderSensitivity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953D2" w14:textId="77777777" w:rsidR="003E1D81" w:rsidRDefault="003E1D81">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23390" w14:textId="77777777" w:rsidR="003E1D81" w:rsidRDefault="003E1D81">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21B6E" w14:textId="77777777" w:rsidR="003E1D81" w:rsidRDefault="003E1D81">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42D17" w14:textId="77777777" w:rsidR="003E1D81" w:rsidRDefault="003E1D81">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2C87C" w14:textId="77777777" w:rsidR="003E1D81" w:rsidRDefault="003E1D81">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7B6E1" w14:textId="77777777" w:rsidR="003E1D81" w:rsidRDefault="003E1D81">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BB283" w14:textId="77777777" w:rsidR="003E1D81" w:rsidRDefault="003E1D81">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40E5" w14:textId="77777777" w:rsidR="003E1D81" w:rsidRDefault="003E1D81">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E49EC" w14:textId="77777777" w:rsidR="003E1D81" w:rsidRDefault="003E1D81">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5374A" w14:textId="77777777" w:rsidR="003E1D81" w:rsidRDefault="003E1D81">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AA353" w14:textId="77777777" w:rsidR="003E1D81" w:rsidRDefault="003E1D8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90DC7" w14:textId="77777777" w:rsidR="003E1D81" w:rsidRDefault="003E1D81">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5E72D" w14:textId="77777777" w:rsidR="003E1D81" w:rsidRDefault="003E1D81">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877D" w14:textId="77777777" w:rsidR="003E1D81" w:rsidRDefault="003E1D81">
    <w:pPr>
      <w:pStyle w:val="HeaderSensitivityRight"/>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20545" w14:textId="77777777" w:rsidR="003E1D81" w:rsidRDefault="003E1D81">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316FA" w14:textId="77777777" w:rsidR="003E1D81" w:rsidRDefault="003E1D81">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8188E" w14:textId="77777777" w:rsidR="003E1D81" w:rsidRDefault="003E1D81">
    <w:pPr>
      <w:pStyle w:val="HeaderSensitivityRight"/>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42ACE" w14:textId="77777777" w:rsidR="003E1D81" w:rsidRDefault="003E1D81">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A155" w14:textId="77777777" w:rsidR="003E1D81" w:rsidRDefault="003E1D81">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C8C54" w14:textId="77777777" w:rsidR="003E1D81" w:rsidRDefault="003E1D81">
    <w:pPr>
      <w:pStyle w:val="HeaderSensitivityRight"/>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7F12C" w14:textId="77777777" w:rsidR="003E1D81" w:rsidRDefault="003E1D81">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E33DD" w14:textId="77777777" w:rsidR="003E1D81" w:rsidRDefault="003E1D8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8A922" w14:textId="77777777" w:rsidR="003E1D81" w:rsidRDefault="003E1D81">
    <w:pPr>
      <w:pStyle w:val="HeaderSensitivityRight"/>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6AEA0" w14:textId="77777777" w:rsidR="003E1D81" w:rsidRDefault="003E1D81">
    <w:pPr>
      <w:pStyle w:val="HeaderSensitivityRight"/>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BD01A" w14:textId="77777777" w:rsidR="003E1D81" w:rsidRDefault="003E1D81">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E73E8" w14:textId="77777777" w:rsidR="003E1D81" w:rsidRDefault="003E1D81">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68A82" w14:textId="77777777" w:rsidR="003E1D81" w:rsidRDefault="003E1D81">
    <w:pPr>
      <w:pStyle w:val="HeaderSensitivityRight"/>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4B85B" w14:textId="77777777" w:rsidR="003E1D81" w:rsidRDefault="003E1D81">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9E94" w14:textId="77777777" w:rsidR="003E1D81" w:rsidRDefault="003E1D81">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E1C3E" w14:textId="77777777" w:rsidR="003E1D81" w:rsidRDefault="003E1D81">
    <w:pPr>
      <w:pStyle w:val="HeaderSensitivityRight"/>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8C6E7" w14:textId="77777777" w:rsidR="003E1D81" w:rsidRDefault="003E1D81">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12A91" w14:textId="77777777" w:rsidR="003E1D81" w:rsidRDefault="003E1D81">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88D6C" w14:textId="77777777" w:rsidR="003E1D81" w:rsidRDefault="003E1D81">
    <w:pPr>
      <w:pStyle w:val="HeaderSensitivityRigh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731FD" w14:textId="77777777" w:rsidR="003E1D81" w:rsidRDefault="003E1D81">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D8239" w14:textId="77777777" w:rsidR="003E1D81" w:rsidRDefault="003E1D81">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B3C72" w14:textId="77777777" w:rsidR="003E1D81" w:rsidRDefault="003E1D81">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500DF" w14:textId="77777777" w:rsidR="003E1D81" w:rsidRDefault="003E1D81">
    <w:pPr>
      <w:pStyle w:val="HeaderSensitivityRight"/>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6D604" w14:textId="77777777" w:rsidR="003E1D81" w:rsidRDefault="003E1D81">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C2639" w14:textId="77777777" w:rsidR="003E1D81" w:rsidRDefault="003E1D81">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35135" w14:textId="77777777" w:rsidR="003E1D81" w:rsidRDefault="003E1D81">
    <w:pPr>
      <w:pStyle w:val="HeaderSensitivityRight"/>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2EC8F" w14:textId="77777777" w:rsidR="003E1D81" w:rsidRDefault="003E1D81">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8D236" w14:textId="77777777" w:rsidR="003E1D81" w:rsidRDefault="003E1D81">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76AEA" w14:textId="77777777" w:rsidR="003E1D81" w:rsidRDefault="003E1D81">
    <w:pPr>
      <w:pStyle w:val="HeaderSensitivityRight"/>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9CD92" w14:textId="77777777" w:rsidR="003E1D81" w:rsidRDefault="003E1D8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9A520" w14:textId="77777777" w:rsidR="003E1D81" w:rsidRDefault="003E1D81">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6C147" w14:textId="77777777" w:rsidR="003E1D81" w:rsidRDefault="003E1D81">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69BC8" w14:textId="77777777" w:rsidR="003E1D81" w:rsidRDefault="003E1D81">
    <w:pPr>
      <w:pStyle w:val="HeaderSensitivityRight"/>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2103" w14:textId="77777777" w:rsidR="003E1D81" w:rsidRDefault="003E1D81">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E89F" w14:textId="77777777" w:rsidR="003E1D81" w:rsidRDefault="003E1D81">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076B5" w14:textId="77777777" w:rsidR="003E1D81" w:rsidRDefault="003E1D81">
    <w:pPr>
      <w:pStyle w:val="HeaderSensitivityRight"/>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208DC" w14:textId="77777777" w:rsidR="003E1D81" w:rsidRDefault="003E1D81">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4A4E7" w14:textId="77777777" w:rsidR="003E1D81" w:rsidRDefault="003E1D81">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E977" w14:textId="77777777" w:rsidR="003E1D81" w:rsidRDefault="003E1D81">
    <w:pPr>
      <w:pStyle w:val="HeaderSensitivityRight"/>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51D65" w14:textId="77777777" w:rsidR="003E1D81" w:rsidRDefault="003E1D81">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32DE4" w14:textId="77777777" w:rsidR="003E1D81" w:rsidRDefault="003E1D8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5776F" w14:textId="77777777" w:rsidR="003E1D81" w:rsidRDefault="003E1D81">
    <w:pPr>
      <w:pStyle w:val="HeaderSensitivityRight"/>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B2300" w14:textId="77777777" w:rsidR="003E1D81" w:rsidRDefault="003E1D81">
    <w:pPr>
      <w:pStyle w:val="HeaderSensitivityRight"/>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7EB48" w14:textId="77777777" w:rsidR="003E1D81" w:rsidRDefault="003E1D81">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23A56" w14:textId="77777777" w:rsidR="003E1D81" w:rsidRDefault="003E1D81">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B3285" w14:textId="77777777" w:rsidR="003E1D81" w:rsidRDefault="003E1D81">
    <w:pPr>
      <w:pStyle w:val="HeaderSensitivityRight"/>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ACE28" w14:textId="77777777" w:rsidR="003E1D81" w:rsidRDefault="003E1D81">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0DBBC" w14:textId="77777777" w:rsidR="003E1D81" w:rsidRDefault="003E1D81">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1E169" w14:textId="77777777" w:rsidR="003E1D81" w:rsidRDefault="003E1D81">
    <w:pPr>
      <w:pStyle w:val="HeaderSensitivityRight"/>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ABB26" w14:textId="77777777" w:rsidR="003E1D81" w:rsidRDefault="003E1D81">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E0CA7" w14:textId="77777777" w:rsidR="003E1D81" w:rsidRDefault="003E1D81">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3178C" w14:textId="77777777" w:rsidR="003E1D81" w:rsidRDefault="003E1D81">
    <w:pPr>
      <w:pStyle w:val="HeaderSensitivityRigh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8183" w14:textId="77777777" w:rsidR="003E1D81" w:rsidRDefault="003E1D81">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E7C7" w14:textId="77777777" w:rsidR="003E1D81" w:rsidRDefault="003E1D81">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EE8E9" w14:textId="77777777" w:rsidR="003E1D81" w:rsidRDefault="003E1D81">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F691" w14:textId="77777777" w:rsidR="003E1D81" w:rsidRDefault="003E1D81">
    <w:pPr>
      <w:pStyle w:val="HeaderSensitivityRight"/>
    </w:pPr>
  </w:p>
  <w:p w14:paraId="7AFEC7F4" w14:textId="77777777" w:rsidR="003E1D81" w:rsidRDefault="003E1D81">
    <w:pPr>
      <w:pStyle w:val="HeaderSensitivityRight"/>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C21EC" w14:textId="77777777" w:rsidR="003E1D81" w:rsidRDefault="003E1D81">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DDF64" w14:textId="77777777" w:rsidR="003E1D81" w:rsidRDefault="003E1D81">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ACBAD" w14:textId="77777777" w:rsidR="003E1D81" w:rsidRDefault="003E1D81">
    <w:pPr>
      <w:pStyle w:val="HeaderSensitivityRight"/>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14D68" w14:textId="77777777" w:rsidR="003E1D81" w:rsidRDefault="003E1D81">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F8E05" w14:textId="77777777" w:rsidR="003E1D81" w:rsidRDefault="003E1D81">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014FE" w14:textId="77777777" w:rsidR="003E1D81" w:rsidRDefault="003E1D81">
    <w:pPr>
      <w:pStyle w:val="HeaderSensitivityRight"/>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2AD9" w14:textId="77777777" w:rsidR="003E1D81" w:rsidRDefault="003E1D8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0D4CB" w14:textId="77777777" w:rsidR="003E1D81" w:rsidRDefault="003E1D81">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D251E" w14:textId="77777777" w:rsidR="003E1D81" w:rsidRDefault="003E1D81">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24553" w14:textId="77777777" w:rsidR="003E1D81" w:rsidRDefault="003E1D81">
    <w:pPr>
      <w:pStyle w:val="HeaderSensitivityRight"/>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D4DBB" w14:textId="77777777" w:rsidR="003E1D81" w:rsidRDefault="003E1D81">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C786D" w14:textId="77777777" w:rsidR="003E1D81" w:rsidRDefault="003E1D81">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C6A03" w14:textId="77777777" w:rsidR="003E1D81" w:rsidRDefault="003E1D81">
    <w:pPr>
      <w:pStyle w:val="HeaderSensitivityRight"/>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BC85C" w14:textId="77777777" w:rsidR="003E1D81" w:rsidRDefault="003E1D81">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D97B4" w14:textId="77777777" w:rsidR="003E1D81" w:rsidRDefault="003E1D81">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FEF9A" w14:textId="77777777" w:rsidR="003E1D81" w:rsidRDefault="003E1D81">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8795B" w14:textId="77777777" w:rsidR="003E1D81" w:rsidRDefault="003E1D81">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F44E4" w14:textId="77777777" w:rsidR="003E1D81" w:rsidRDefault="003E1D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8E816" w14:textId="77777777" w:rsidR="00EB481C" w:rsidRPr="00EB481C" w:rsidRDefault="00EB481C" w:rsidP="00EB481C">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5F54F" w14:textId="77777777" w:rsidR="003E1D81" w:rsidRDefault="003E1D81">
    <w:pPr>
      <w:pStyle w:val="HeaderSensitivityRight"/>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24BE0" w14:textId="77777777" w:rsidR="003E1D81" w:rsidRDefault="003E1D81">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BB890" w14:textId="77777777" w:rsidR="003E1D81" w:rsidRDefault="003E1D81">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2872D" w14:textId="77777777" w:rsidR="003E1D81" w:rsidRDefault="003E1D81">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CDCD3" w14:textId="77777777" w:rsidR="003E1D81" w:rsidRDefault="003E1D81">
    <w:pPr>
      <w:pStyle w:val="HeaderSensitivityRight"/>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830F5" w14:textId="77777777" w:rsidR="003E1D81" w:rsidRDefault="003E1D81">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9ED7F" w14:textId="77777777" w:rsidR="003E1D81" w:rsidRDefault="003E1D81">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186C" w14:textId="77777777" w:rsidR="003E1D81" w:rsidRDefault="003E1D81">
    <w:pPr>
      <w:pStyle w:val="HeaderSensitivityRight"/>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AB8AF" w14:textId="77777777" w:rsidR="003E1D81" w:rsidRDefault="003E1D81">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51C90" w14:textId="77777777" w:rsidR="003E1D81" w:rsidRDefault="003E1D81">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849E1" w14:textId="77777777" w:rsidR="003E1D81" w:rsidRDefault="003E1D81">
    <w:pPr>
      <w:pStyle w:val="HeaderSensitivityRigh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BAC8F" w14:textId="77777777" w:rsidR="003E1D81" w:rsidRDefault="003E1D81">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C3A80" w14:textId="77777777" w:rsidR="003E1D81" w:rsidRDefault="003E1D81">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70F93" w14:textId="77777777" w:rsidR="003E1D81" w:rsidRDefault="003E1D81">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AA77F" w14:textId="77777777" w:rsidR="003E1D81" w:rsidRDefault="003E1D81">
    <w:pPr>
      <w:pStyle w:val="HeaderSensitivityRight"/>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93CCF" w14:textId="77777777" w:rsidR="003E1D81" w:rsidRDefault="003E1D81">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83EBC" w14:textId="77777777" w:rsidR="003E1D81" w:rsidRDefault="003E1D81">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26BD4" w14:textId="77777777" w:rsidR="003E1D81" w:rsidRDefault="003E1D81">
    <w:pPr>
      <w:pStyle w:val="HeaderSensitivityRight"/>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E1265" w14:textId="77777777" w:rsidR="003E1D81" w:rsidRDefault="003E1D81">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EE3A7" w14:textId="77777777" w:rsidR="003E1D81" w:rsidRDefault="003E1D81">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0DFE4" w14:textId="77777777" w:rsidR="003E1D81" w:rsidRDefault="003E1D81">
    <w:pPr>
      <w:pStyle w:val="HeaderSensitivityRight"/>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68BA7" w14:textId="77777777" w:rsidR="003E1D81" w:rsidRDefault="003E1D8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E3F6" w14:textId="77777777" w:rsidR="003E1D81" w:rsidRDefault="003E1D81">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4542A" w14:textId="77777777" w:rsidR="003E1D81" w:rsidRDefault="003E1D81">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788C9" w14:textId="77777777" w:rsidR="003E1D81" w:rsidRDefault="003E1D81">
    <w:pPr>
      <w:pStyle w:val="HeaderSensitivityRight"/>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A1DD8" w14:textId="77777777" w:rsidR="003E1D81" w:rsidRDefault="003E1D81">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FB44B" w14:textId="77777777" w:rsidR="003E1D81" w:rsidRDefault="003E1D81">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4FA3F" w14:textId="77777777" w:rsidR="003E1D81" w:rsidRDefault="003E1D81">
    <w:pPr>
      <w:pStyle w:val="HeaderSensitivityRight"/>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8D015" w14:textId="77777777" w:rsidR="003E1D81" w:rsidRDefault="003E1D81">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DD1D9" w14:textId="77777777" w:rsidR="003E1D81" w:rsidRDefault="003E1D81">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8C15F" w14:textId="77777777" w:rsidR="003E1D81" w:rsidRDefault="003E1D81">
    <w:pPr>
      <w:pStyle w:val="HeaderSensitivityRight"/>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68F0" w14:textId="77777777" w:rsidR="003E1D81" w:rsidRDefault="003E1D81">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82B0B" w14:textId="77777777" w:rsidR="003E1D81" w:rsidRDefault="003E1D8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34AF6" w14:textId="77777777" w:rsidR="003E1D81" w:rsidRDefault="003E1D81">
    <w:pPr>
      <w:pStyle w:val="HeaderSensitivityRight"/>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1CD80" w14:textId="77777777" w:rsidR="003E1D81" w:rsidRDefault="003E1D81">
    <w:pPr>
      <w:pStyle w:val="HeaderSensitivityRight"/>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BE8C5" w14:textId="77777777" w:rsidR="003E1D81" w:rsidRDefault="003E1D81">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F5194" w14:textId="77777777" w:rsidR="003E1D81" w:rsidRDefault="003E1D81">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D2DCD" w14:textId="77777777" w:rsidR="003E1D81" w:rsidRDefault="003E1D81">
    <w:pPr>
      <w:pStyle w:val="HeaderSensitivityRight"/>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088A3" w14:textId="77777777" w:rsidR="003E1D81" w:rsidRDefault="003E1D81">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C0A7B" w14:textId="77777777" w:rsidR="003E1D81" w:rsidRDefault="003E1D81">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FD3F8" w14:textId="77777777" w:rsidR="003E1D81" w:rsidRDefault="003E1D81">
    <w:pPr>
      <w:pStyle w:val="HeaderSensitivityRight"/>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91C33" w14:textId="77777777" w:rsidR="003E1D81" w:rsidRDefault="003E1D81">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BAA08" w14:textId="77777777" w:rsidR="003E1D81" w:rsidRDefault="003E1D81">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B1274" w14:textId="77777777" w:rsidR="003E1D81" w:rsidRDefault="003E1D81">
    <w:pPr>
      <w:pStyle w:val="HeaderSensitivityRigh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02798" w14:textId="77777777" w:rsidR="003E1D81" w:rsidRDefault="003E1D81">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427CB" w14:textId="77777777" w:rsidR="003E1D81" w:rsidRDefault="003E1D81">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F5A4" w14:textId="77777777" w:rsidR="003E1D81" w:rsidRDefault="003E1D81">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A15EC" w14:textId="77777777" w:rsidR="003E1D81" w:rsidRDefault="003E1D81">
    <w:pPr>
      <w:pStyle w:val="HeaderSensitivityRight"/>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75BE8" w14:textId="77777777" w:rsidR="003E1D81" w:rsidRDefault="003E1D81">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50E5" w14:textId="77777777" w:rsidR="003E1D81" w:rsidRDefault="003E1D81">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64FB" w14:textId="77777777" w:rsidR="003E1D81" w:rsidRDefault="003E1D81">
    <w:pPr>
      <w:pStyle w:val="HeaderSensitivityRight"/>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BDD7" w14:textId="77777777" w:rsidR="003E1D81" w:rsidRDefault="003E1D81">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E1D1C" w14:textId="77777777" w:rsidR="003E1D81" w:rsidRDefault="003E1D81">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10982" w14:textId="77777777" w:rsidR="003E1D81" w:rsidRDefault="003E1D81">
    <w:pPr>
      <w:pStyle w:val="HeaderSensitivityRight"/>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FB2D" w14:textId="77777777" w:rsidR="003E1D81" w:rsidRDefault="003E1D8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76B16" w14:textId="77777777" w:rsidR="00E5612A" w:rsidRDefault="00E5612A">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22648" w14:textId="77777777" w:rsidR="003E1D81" w:rsidRDefault="003E1D81">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06525" w14:textId="77777777" w:rsidR="003E1D81" w:rsidRDefault="003E1D81">
    <w:pPr>
      <w:pStyle w:val="HeaderSensitivityRight"/>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7D287" w14:textId="77777777" w:rsidR="003E1D81" w:rsidRDefault="003E1D81">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E8BFC" w14:textId="77777777" w:rsidR="003E1D81" w:rsidRDefault="003E1D81">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5B9C5" w14:textId="77777777" w:rsidR="003E1D81" w:rsidRDefault="003E1D81">
    <w:pPr>
      <w:pStyle w:val="HeaderSensitivityRight"/>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AE40" w14:textId="77777777" w:rsidR="003E1D81" w:rsidRDefault="003E1D81">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29514" w14:textId="77777777" w:rsidR="003E1D81" w:rsidRDefault="003E1D81">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DD0F" w14:textId="77777777" w:rsidR="003E1D81" w:rsidRDefault="003E1D81">
    <w:pPr>
      <w:pStyle w:val="HeaderSensitivityRight"/>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496A3" w14:textId="77777777" w:rsidR="003E1D81" w:rsidRDefault="003E1D81">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17B1B" w14:textId="77777777" w:rsidR="003E1D81" w:rsidRDefault="003E1D8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C0912" w14:textId="77777777" w:rsidR="00E5612A" w:rsidRDefault="00E5612A">
    <w:pPr>
      <w:pStyle w:val="HeaderSensitivityRight"/>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88792" w14:textId="77777777" w:rsidR="003E1D81" w:rsidRDefault="003E1D81">
    <w:pPr>
      <w:pStyle w:val="HeaderSensitivityRight"/>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C3C52" w14:textId="77777777" w:rsidR="003E1D81" w:rsidRDefault="003E1D81">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3348D" w14:textId="77777777" w:rsidR="003E1D81" w:rsidRDefault="003E1D81">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A5C85" w14:textId="77777777" w:rsidR="003E1D81" w:rsidRDefault="003E1D81">
    <w:pPr>
      <w:pStyle w:val="HeaderSensitivityRight"/>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1EA1D" w14:textId="77777777" w:rsidR="003E1D81" w:rsidRDefault="003E1D81">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A64B6" w14:textId="77777777" w:rsidR="003E1D81" w:rsidRDefault="003E1D81">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3E17" w14:textId="77777777" w:rsidR="003E1D81" w:rsidRDefault="003E1D81">
    <w:pPr>
      <w:pStyle w:val="HeaderSensitivityRight"/>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77E02" w14:textId="77777777" w:rsidR="003E1D81" w:rsidRDefault="003E1D81">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A6764" w14:textId="77777777" w:rsidR="003E1D81" w:rsidRDefault="003E1D81">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F3CA7" w14:textId="4608651B" w:rsidR="003E1D81" w:rsidRDefault="003E1D81">
    <w:pPr>
      <w:pStyle w:val="Header"/>
      <w:jc w:val="center"/>
    </w:pPr>
  </w:p>
  <w:p w14:paraId="3E93F50B" w14:textId="77777777" w:rsidR="003E1D81" w:rsidRDefault="003E1D81">
    <w:pPr>
      <w:pStyle w:val="HeaderSensitivityRigh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ABD99" w14:textId="77777777" w:rsidR="00E5612A" w:rsidRDefault="00E5612A">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20E1" w14:textId="77777777" w:rsidR="003E1D81" w:rsidRDefault="003E1D81">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AA47D" w14:textId="77777777" w:rsidR="003E1D81" w:rsidRDefault="003E1D81">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4F3AF" w14:textId="77777777" w:rsidR="003E1D81" w:rsidRDefault="003E1D81">
    <w:pPr>
      <w:pStyle w:val="HeaderSensitivityRight"/>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198B4" w14:textId="77777777" w:rsidR="003E1D81" w:rsidRDefault="003E1D81">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61936" w14:textId="77777777" w:rsidR="003E1D81" w:rsidRDefault="003E1D81">
    <w:pPr>
      <w:pStyle w:val="Header"/>
    </w:pPr>
  </w:p>
  <w:p w14:paraId="097212D3" w14:textId="77777777" w:rsidR="003E1D81" w:rsidRDefault="003E1D81"/>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D3FB3" w14:textId="77777777" w:rsidR="003E1D81" w:rsidRDefault="003E1D81">
    <w:pPr>
      <w:pStyle w:val="HeaderSensitivityRight"/>
    </w:pPr>
  </w:p>
  <w:p w14:paraId="0911757F" w14:textId="77777777" w:rsidR="003E1D81" w:rsidRDefault="003E1D81"/>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2B07C" w14:textId="77777777" w:rsidR="003E1D81" w:rsidRDefault="003E1D81">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755A" w14:textId="77777777" w:rsidR="003E1D81" w:rsidRDefault="003E1D81">
    <w:pPr>
      <w:pStyle w:val="Header"/>
    </w:pPr>
  </w:p>
  <w:p w14:paraId="0562C51B" w14:textId="77777777" w:rsidR="003E1D81" w:rsidRDefault="003E1D81"/>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D2B57" w14:textId="77777777" w:rsidR="003E1D81" w:rsidRDefault="003E1D81">
    <w:pPr>
      <w:pStyle w:val="HeaderSensitivityRight"/>
    </w:pPr>
  </w:p>
  <w:p w14:paraId="10146766" w14:textId="77777777" w:rsidR="003E1D81" w:rsidRDefault="003E1D81"/>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2F12E" w14:textId="77777777" w:rsidR="003E1D81" w:rsidRDefault="003E1D8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C7E09" w14:textId="77777777" w:rsidR="00E5612A" w:rsidRDefault="00E5612A">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ABD42" w14:textId="77777777" w:rsidR="003E1D81" w:rsidRDefault="003E1D81">
    <w:pPr>
      <w:pStyle w:val="Header"/>
    </w:pPr>
  </w:p>
  <w:p w14:paraId="7D5B71D4" w14:textId="77777777" w:rsidR="003E1D81" w:rsidRDefault="003E1D81"/>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4F785" w14:textId="77777777" w:rsidR="003E1D81" w:rsidRDefault="003E1D81">
    <w:pPr>
      <w:pStyle w:val="HeaderSensitivityRight"/>
    </w:pPr>
  </w:p>
  <w:p w14:paraId="07D86CDE" w14:textId="77777777" w:rsidR="003E1D81" w:rsidRDefault="003E1D81"/>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0904" w14:textId="77777777" w:rsidR="003E1D81" w:rsidRDefault="003E1D81">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AA0AC" w14:textId="77777777" w:rsidR="003E1D81" w:rsidRDefault="003E1D81">
    <w:pPr>
      <w:pStyle w:val="Header"/>
    </w:pPr>
  </w:p>
  <w:p w14:paraId="5A7AF15D" w14:textId="77777777" w:rsidR="003E1D81" w:rsidRDefault="003E1D81"/>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03EDE" w14:textId="77777777" w:rsidR="003E1D81" w:rsidRDefault="003E1D81">
    <w:pPr>
      <w:pStyle w:val="HeaderSensitivityRight"/>
    </w:pPr>
  </w:p>
  <w:p w14:paraId="5E86F948" w14:textId="77777777" w:rsidR="003E1D81" w:rsidRDefault="003E1D81"/>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F3CD3" w14:textId="77777777" w:rsidR="003E1D81" w:rsidRDefault="003E1D81">
    <w:pPr>
      <w:pStyle w:val="Header"/>
    </w:pP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57F45" w14:textId="77777777" w:rsidR="003E1D81" w:rsidRDefault="003E1D81">
    <w:pPr>
      <w:pStyle w:val="Header"/>
    </w:pPr>
  </w:p>
  <w:p w14:paraId="6B4087FA" w14:textId="77777777" w:rsidR="003E1D81" w:rsidRDefault="003E1D81"/>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E8EB" w14:textId="77777777" w:rsidR="003E1D81" w:rsidRDefault="003E1D81">
    <w:pPr>
      <w:pStyle w:val="HeaderSensitivityRight"/>
    </w:pPr>
  </w:p>
  <w:p w14:paraId="7422408E" w14:textId="77777777" w:rsidR="003E1D81" w:rsidRDefault="003E1D81"/>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ED0B3" w14:textId="77777777" w:rsidR="003E1D81" w:rsidRDefault="003E1D81">
    <w:pPr>
      <w:pStyle w:val="Header"/>
    </w:pP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E96A2" w14:textId="77777777" w:rsidR="003E1D81" w:rsidRDefault="003E1D81">
    <w:pPr>
      <w:pStyle w:val="Header"/>
    </w:pPr>
  </w:p>
  <w:p w14:paraId="0F05B6BF" w14:textId="77777777" w:rsidR="003E1D81" w:rsidRDefault="003E1D81"/>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0B468" w14:textId="77777777" w:rsidR="00E5612A" w:rsidRDefault="00E5612A">
    <w:pPr>
      <w:pStyle w:val="HeaderSensitivityRight"/>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344EA" w14:textId="77777777" w:rsidR="003E1D81" w:rsidRDefault="003E1D81">
    <w:pPr>
      <w:pStyle w:val="HeaderSensitivityRight"/>
    </w:pPr>
  </w:p>
  <w:p w14:paraId="1BC7AAFD" w14:textId="77777777" w:rsidR="003E1D81" w:rsidRDefault="003E1D81"/>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1D7B9" w14:textId="77777777" w:rsidR="003E1D81" w:rsidRDefault="003E1D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BFCF5" w14:textId="77777777" w:rsidR="00EB481C" w:rsidRPr="00EB481C" w:rsidRDefault="00EB481C" w:rsidP="00EB481C">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50ABA" w14:textId="77777777" w:rsidR="00E5612A" w:rsidRDefault="00E5612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B0293" w14:textId="77777777" w:rsidR="003E1D81" w:rsidRDefault="003E1D8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F2B7" w14:textId="77777777" w:rsidR="003E1D81" w:rsidRDefault="003E1D81">
    <w:pPr>
      <w:pStyle w:val="HeaderSensitivityRigh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1E312" w14:textId="77777777" w:rsidR="003E1D81" w:rsidRDefault="003E1D8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23B45" w14:textId="77777777" w:rsidR="003E1D81" w:rsidRDefault="003E1D8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608EF" w14:textId="77777777" w:rsidR="003E1D81" w:rsidRDefault="003E1D81">
    <w:pPr>
      <w:pStyle w:val="HeaderSensitivityRigh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98CF8" w14:textId="77777777" w:rsidR="003E1D81" w:rsidRDefault="003E1D8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AFD40" w14:textId="77777777" w:rsidR="003E1D81" w:rsidRDefault="003E1D8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A3B16" w14:textId="77777777" w:rsidR="003E1D81" w:rsidRDefault="003E1D81">
    <w:pPr>
      <w:pStyle w:val="HeaderSensitivityRigh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1D1D4" w14:textId="77777777" w:rsidR="003E1D81" w:rsidRDefault="003E1D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F3892" w14:textId="77777777" w:rsidR="003E1D81" w:rsidRDefault="003E1D8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2BC45" w14:textId="77777777" w:rsidR="003E1D81" w:rsidRDefault="003E1D81">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D2915" w14:textId="77777777" w:rsidR="003E1D81" w:rsidRDefault="003E1D81">
    <w:pPr>
      <w:pStyle w:val="HeaderSensitivityRigh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49866" w14:textId="77777777" w:rsidR="003E1D81" w:rsidRDefault="003E1D81">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240E0" w14:textId="77777777" w:rsidR="003E1D81" w:rsidRDefault="003E1D8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05DE" w14:textId="77777777" w:rsidR="003E1D81" w:rsidRDefault="003E1D81">
    <w:pPr>
      <w:pStyle w:val="HeaderSensitivityRigh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6AA81" w14:textId="77777777" w:rsidR="003E1D81" w:rsidRDefault="003E1D81">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53FC6" w14:textId="77777777" w:rsidR="003E1D81" w:rsidRDefault="003E1D8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BF58C" w14:textId="77777777" w:rsidR="003E1D81" w:rsidRDefault="003E1D81">
    <w:pPr>
      <w:pStyle w:val="HeaderSensitivityRigh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C9D5F" w14:textId="77777777" w:rsidR="003E1D81" w:rsidRDefault="003E1D81">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CD01" w14:textId="77777777" w:rsidR="003E1D81" w:rsidRDefault="003E1D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86500" w14:textId="77777777" w:rsidR="003E1D81" w:rsidRDefault="003E1D81">
    <w:pPr>
      <w:pStyle w:val="HeaderSensitivityRigh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8ACFC" w14:textId="77777777" w:rsidR="003E1D81" w:rsidRDefault="003E1D81">
    <w:pPr>
      <w:pStyle w:val="HeaderSensitivityRigh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E47F7" w14:textId="77777777" w:rsidR="003E1D81" w:rsidRDefault="003E1D81">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135F5" w14:textId="77777777" w:rsidR="003E1D81" w:rsidRDefault="003E1D81">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EB829" w14:textId="77777777" w:rsidR="003E1D81" w:rsidRDefault="003E1D81">
    <w:pPr>
      <w:pStyle w:val="HeaderSensitivityRight"/>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9B76A" w14:textId="77777777" w:rsidR="003E1D81" w:rsidRDefault="003E1D81">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CF6DB" w14:textId="77777777" w:rsidR="003E1D81" w:rsidRDefault="003E1D81">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0C947" w14:textId="77777777" w:rsidR="003E1D81" w:rsidRDefault="003E1D81">
    <w:pPr>
      <w:pStyle w:val="HeaderSensitivityRigh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F95E" w14:textId="77777777" w:rsidR="003E1D81" w:rsidRDefault="003E1D81">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E47C2" w14:textId="77777777" w:rsidR="003E1D81" w:rsidRDefault="003E1D81">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32BFB" w14:textId="77777777" w:rsidR="003E1D81" w:rsidRDefault="003E1D81">
    <w:pPr>
      <w:pStyle w:val="HeaderSensitivity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F150" w14:textId="77777777" w:rsidR="003E1D81" w:rsidRDefault="003E1D81">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DFA3C" w14:textId="77777777" w:rsidR="003E1D81" w:rsidRDefault="003E1D81">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62636" w14:textId="77777777" w:rsidR="003E1D81" w:rsidRDefault="003E1D81">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1E4F5" w14:textId="77777777" w:rsidR="003E1D81" w:rsidRDefault="003E1D81">
    <w:pPr>
      <w:pStyle w:val="HeaderSensitivityRigh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A08E0" w14:textId="77777777" w:rsidR="003E1D81" w:rsidRDefault="003E1D81">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389AB" w14:textId="77777777" w:rsidR="003E1D81" w:rsidRDefault="003E1D81">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FEC5C" w14:textId="77777777" w:rsidR="003E1D81" w:rsidRDefault="003E1D81">
    <w:pPr>
      <w:pStyle w:val="HeaderSensitivityRigh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5870B" w14:textId="77777777" w:rsidR="003E1D81" w:rsidRDefault="003E1D81">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F7C16" w14:textId="77777777" w:rsidR="003E1D81" w:rsidRDefault="003E1D81">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FF1F" w14:textId="77777777" w:rsidR="003E1D81" w:rsidRDefault="003E1D81">
    <w:pPr>
      <w:pStyle w:val="HeaderSensitivityRigh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FA051" w14:textId="77777777" w:rsidR="003E1D81" w:rsidRDefault="003E1D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E7A80" w14:textId="77777777" w:rsidR="003E1D81" w:rsidRDefault="003E1D81">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82F3C" w14:textId="77777777" w:rsidR="003E1D81" w:rsidRDefault="003E1D81">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E3489" w14:textId="77777777" w:rsidR="003E1D81" w:rsidRDefault="003E1D81">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25D00" w14:textId="77777777" w:rsidR="003E1D81" w:rsidRDefault="003E1D8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7610E" w14:textId="77777777" w:rsidR="003E1D81" w:rsidRDefault="003E1D81">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52BA6" w14:textId="77777777" w:rsidR="003E1D81" w:rsidRDefault="003E1D81">
    <w:pPr>
      <w:pStyle w:val="HeaderSensitivityRigh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2AD45" w14:textId="77777777" w:rsidR="003E1D81" w:rsidRDefault="003E1D81">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42F1D" w14:textId="77777777" w:rsidR="003E1D81" w:rsidRDefault="003E1D81">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D2828" w14:textId="77777777" w:rsidR="003E1D81" w:rsidRDefault="003E1D81">
    <w:pPr>
      <w:pStyle w:val="HeaderSensitivityRigh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2752B" w14:textId="77777777" w:rsidR="003E1D81" w:rsidRDefault="003E1D81">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2CC9B" w14:textId="77777777" w:rsidR="003E1D81" w:rsidRDefault="003E1D8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65479" w14:textId="77777777" w:rsidR="003E1D81" w:rsidRDefault="003E1D81">
    <w:pPr>
      <w:pStyle w:val="HeaderSensitivityRight"/>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C17E9" w14:textId="77777777" w:rsidR="003E1D81" w:rsidRDefault="003E1D81">
    <w:pPr>
      <w:pStyle w:val="HeaderSensitivityRigh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4B18D" w14:textId="77777777" w:rsidR="003E1D81" w:rsidRDefault="003E1D81">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EA057" w14:textId="77777777" w:rsidR="003E1D81" w:rsidRDefault="003E1D81">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DC4AD" w14:textId="77777777" w:rsidR="003E1D81" w:rsidRDefault="003E1D81">
    <w:pPr>
      <w:pStyle w:val="HeaderSensitivityRight"/>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65CAC" w14:textId="77777777" w:rsidR="003E1D81" w:rsidRDefault="003E1D81">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EAE01" w14:textId="77777777" w:rsidR="003E1D81" w:rsidRDefault="003E1D81">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6F7AA" w14:textId="77777777" w:rsidR="003E1D81" w:rsidRDefault="003E1D81">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BAADD" w14:textId="77777777" w:rsidR="003E1D81" w:rsidRDefault="003E1D81">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644DA" w14:textId="77777777" w:rsidR="003E1D81" w:rsidRDefault="003E1D81">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92296" w14:textId="77777777" w:rsidR="003E1D81" w:rsidRDefault="003E1D81">
    <w:pPr>
      <w:pStyle w:val="HeaderSensitivity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2F28E" w14:textId="77777777" w:rsidR="003E1D81" w:rsidRDefault="003E1D81">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165FA" w14:textId="77777777" w:rsidR="003E1D81" w:rsidRDefault="003E1D81">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1A375" w14:textId="77777777" w:rsidR="003E1D81" w:rsidRDefault="003E1D81">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D7399" w14:textId="77777777" w:rsidR="003E1D81" w:rsidRDefault="003E1D81">
    <w:pPr>
      <w:pStyle w:val="HeaderSensitivityRight"/>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FA7C8" w14:textId="77777777" w:rsidR="003E1D81" w:rsidRDefault="003E1D81">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13355" w14:textId="77777777" w:rsidR="003E1D81" w:rsidRDefault="003E1D81">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909B0" w14:textId="77777777" w:rsidR="003E1D81" w:rsidRDefault="003E1D81">
    <w:pPr>
      <w:pStyle w:val="HeaderSensitivityRight"/>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38875" w14:textId="77777777" w:rsidR="003E1D81" w:rsidRDefault="003E1D81">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646EB" w14:textId="77777777" w:rsidR="003E1D81" w:rsidRDefault="003E1D81">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B6A3E" w14:textId="77777777" w:rsidR="003E1D81" w:rsidRDefault="003E1D81">
    <w:pPr>
      <w:pStyle w:val="HeaderSensitivityRight"/>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BCB4C" w14:textId="77777777" w:rsidR="003E1D81" w:rsidRDefault="003E1D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egoe UI" w:hAnsi="Segoe UI" w:hint="default"/>
      </w:rPr>
    </w:lvl>
  </w:abstractNum>
  <w:abstractNum w:abstractNumId="1"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egoe UI" w:hAnsi="Segoe UI" w:hint="default"/>
      </w:rPr>
    </w:lvl>
  </w:abstractNum>
  <w:abstractNum w:abstractNumId="2"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egoe UI" w:hAnsi="Segoe UI" w:hint="default"/>
      </w:r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egoe UI" w:hAnsi="Segoe UI" w:hint="default"/>
      </w:rPr>
    </w:lvl>
  </w:abstractNum>
  <w:abstractNum w:abstractNumId="5" w15:restartNumberingAfterBreak="0">
    <w:nsid w:val="00417A79"/>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6" w15:restartNumberingAfterBreak="0">
    <w:nsid w:val="004D1FBB"/>
    <w:multiLevelType w:val="hybridMultilevel"/>
    <w:tmpl w:val="FFFFFFFF"/>
    <w:lvl w:ilvl="0" w:tplc="DD56CDB6">
      <w:start w:val="1"/>
      <w:numFmt w:val="bullet"/>
      <w:lvlText w:val="o"/>
      <w:lvlJc w:val="left"/>
      <w:pPr>
        <w:ind w:left="720" w:hanging="360"/>
      </w:pPr>
      <w:rPr>
        <w:rFonts w:ascii="&quot;Courier New&quot;" w:hAnsi="&quot;Courier New&quot;" w:hint="default"/>
      </w:rPr>
    </w:lvl>
    <w:lvl w:ilvl="1" w:tplc="4BC4FF74">
      <w:start w:val="1"/>
      <w:numFmt w:val="bullet"/>
      <w:lvlText w:val="o"/>
      <w:lvlJc w:val="left"/>
      <w:pPr>
        <w:ind w:left="1440" w:hanging="360"/>
      </w:pPr>
      <w:rPr>
        <w:rFonts w:ascii="Courier New" w:hAnsi="Courier New" w:hint="default"/>
      </w:rPr>
    </w:lvl>
    <w:lvl w:ilvl="2" w:tplc="C68EC658">
      <w:start w:val="1"/>
      <w:numFmt w:val="bullet"/>
      <w:lvlText w:val=""/>
      <w:lvlJc w:val="left"/>
      <w:pPr>
        <w:ind w:left="2160" w:hanging="360"/>
      </w:pPr>
      <w:rPr>
        <w:rFonts w:ascii="Wingdings" w:hAnsi="Wingdings" w:hint="default"/>
      </w:rPr>
    </w:lvl>
    <w:lvl w:ilvl="3" w:tplc="AA645220">
      <w:start w:val="1"/>
      <w:numFmt w:val="bullet"/>
      <w:lvlText w:val=""/>
      <w:lvlJc w:val="left"/>
      <w:pPr>
        <w:ind w:left="2880" w:hanging="360"/>
      </w:pPr>
      <w:rPr>
        <w:rFonts w:ascii="Symbol" w:hAnsi="Symbol" w:hint="default"/>
      </w:rPr>
    </w:lvl>
    <w:lvl w:ilvl="4" w:tplc="FA5AF430">
      <w:start w:val="1"/>
      <w:numFmt w:val="bullet"/>
      <w:lvlText w:val="o"/>
      <w:lvlJc w:val="left"/>
      <w:pPr>
        <w:ind w:left="3600" w:hanging="360"/>
      </w:pPr>
      <w:rPr>
        <w:rFonts w:ascii="Courier New" w:hAnsi="Courier New" w:hint="default"/>
      </w:rPr>
    </w:lvl>
    <w:lvl w:ilvl="5" w:tplc="912CBD80">
      <w:start w:val="1"/>
      <w:numFmt w:val="bullet"/>
      <w:lvlText w:val=""/>
      <w:lvlJc w:val="left"/>
      <w:pPr>
        <w:ind w:left="4320" w:hanging="360"/>
      </w:pPr>
      <w:rPr>
        <w:rFonts w:ascii="Wingdings" w:hAnsi="Wingdings" w:hint="default"/>
      </w:rPr>
    </w:lvl>
    <w:lvl w:ilvl="6" w:tplc="57F49B96">
      <w:start w:val="1"/>
      <w:numFmt w:val="bullet"/>
      <w:lvlText w:val=""/>
      <w:lvlJc w:val="left"/>
      <w:pPr>
        <w:ind w:left="5040" w:hanging="360"/>
      </w:pPr>
      <w:rPr>
        <w:rFonts w:ascii="Symbol" w:hAnsi="Symbol" w:hint="default"/>
      </w:rPr>
    </w:lvl>
    <w:lvl w:ilvl="7" w:tplc="56FC67CC">
      <w:start w:val="1"/>
      <w:numFmt w:val="bullet"/>
      <w:lvlText w:val="o"/>
      <w:lvlJc w:val="left"/>
      <w:pPr>
        <w:ind w:left="5760" w:hanging="360"/>
      </w:pPr>
      <w:rPr>
        <w:rFonts w:ascii="Courier New" w:hAnsi="Courier New" w:hint="default"/>
      </w:rPr>
    </w:lvl>
    <w:lvl w:ilvl="8" w:tplc="53845150">
      <w:start w:val="1"/>
      <w:numFmt w:val="bullet"/>
      <w:lvlText w:val=""/>
      <w:lvlJc w:val="left"/>
      <w:pPr>
        <w:ind w:left="6480" w:hanging="360"/>
      </w:pPr>
      <w:rPr>
        <w:rFonts w:ascii="Wingdings" w:hAnsi="Wingdings" w:hint="default"/>
      </w:rPr>
    </w:lvl>
  </w:abstractNum>
  <w:abstractNum w:abstractNumId="7" w15:restartNumberingAfterBreak="0">
    <w:nsid w:val="00516230"/>
    <w:multiLevelType w:val="hybridMultilevel"/>
    <w:tmpl w:val="E83ABE2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0B1369F"/>
    <w:multiLevelType w:val="multilevel"/>
    <w:tmpl w:val="41C4788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0EA3C85"/>
    <w:multiLevelType w:val="hybridMultilevel"/>
    <w:tmpl w:val="19DEA45A"/>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0EB7539"/>
    <w:multiLevelType w:val="multilevel"/>
    <w:tmpl w:val="B3AA2D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566728"/>
    <w:multiLevelType w:val="hybridMultilevel"/>
    <w:tmpl w:val="01D6B39C"/>
    <w:lvl w:ilvl="0" w:tplc="2ABE3490">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1B075CA"/>
    <w:multiLevelType w:val="hybridMultilevel"/>
    <w:tmpl w:val="FFFFFFFF"/>
    <w:lvl w:ilvl="0" w:tplc="2478814C">
      <w:start w:val="1"/>
      <w:numFmt w:val="bullet"/>
      <w:lvlText w:val=""/>
      <w:lvlJc w:val="left"/>
      <w:pPr>
        <w:ind w:left="720" w:hanging="360"/>
      </w:pPr>
      <w:rPr>
        <w:rFonts w:ascii="Segoe UI" w:hAnsi="Segoe UI" w:hint="default"/>
      </w:rPr>
    </w:lvl>
    <w:lvl w:ilvl="1" w:tplc="D4E03EA6">
      <w:start w:val="1"/>
      <w:numFmt w:val="bullet"/>
      <w:lvlText w:val="o"/>
      <w:lvlJc w:val="left"/>
      <w:pPr>
        <w:ind w:left="1440" w:hanging="360"/>
      </w:pPr>
      <w:rPr>
        <w:rFonts w:ascii="Courier New" w:hAnsi="Courier New" w:hint="default"/>
      </w:rPr>
    </w:lvl>
    <w:lvl w:ilvl="2" w:tplc="B74A024C">
      <w:start w:val="1"/>
      <w:numFmt w:val="bullet"/>
      <w:lvlText w:val=""/>
      <w:lvlJc w:val="left"/>
      <w:pPr>
        <w:ind w:left="2160" w:hanging="360"/>
      </w:pPr>
      <w:rPr>
        <w:rFonts w:ascii="Cambria Math" w:hAnsi="Cambria Math" w:hint="default"/>
      </w:rPr>
    </w:lvl>
    <w:lvl w:ilvl="3" w:tplc="85AA3D16">
      <w:start w:val="1"/>
      <w:numFmt w:val="bullet"/>
      <w:lvlText w:val=""/>
      <w:lvlJc w:val="left"/>
      <w:pPr>
        <w:ind w:left="2880" w:hanging="360"/>
      </w:pPr>
      <w:rPr>
        <w:rFonts w:ascii="Segoe UI" w:hAnsi="Segoe UI" w:hint="default"/>
      </w:rPr>
    </w:lvl>
    <w:lvl w:ilvl="4" w:tplc="D0FCD500">
      <w:start w:val="1"/>
      <w:numFmt w:val="bullet"/>
      <w:lvlText w:val="o"/>
      <w:lvlJc w:val="left"/>
      <w:pPr>
        <w:ind w:left="3600" w:hanging="360"/>
      </w:pPr>
      <w:rPr>
        <w:rFonts w:ascii="Courier New" w:hAnsi="Courier New" w:hint="default"/>
      </w:rPr>
    </w:lvl>
    <w:lvl w:ilvl="5" w:tplc="1AB4C24A">
      <w:start w:val="1"/>
      <w:numFmt w:val="bullet"/>
      <w:lvlText w:val=""/>
      <w:lvlJc w:val="left"/>
      <w:pPr>
        <w:ind w:left="4320" w:hanging="360"/>
      </w:pPr>
      <w:rPr>
        <w:rFonts w:ascii="Cambria Math" w:hAnsi="Cambria Math" w:hint="default"/>
      </w:rPr>
    </w:lvl>
    <w:lvl w:ilvl="6" w:tplc="1C0EB27A">
      <w:start w:val="1"/>
      <w:numFmt w:val="bullet"/>
      <w:lvlText w:val=""/>
      <w:lvlJc w:val="left"/>
      <w:pPr>
        <w:ind w:left="5040" w:hanging="360"/>
      </w:pPr>
      <w:rPr>
        <w:rFonts w:ascii="Segoe UI" w:hAnsi="Segoe UI" w:hint="default"/>
      </w:rPr>
    </w:lvl>
    <w:lvl w:ilvl="7" w:tplc="925E9846">
      <w:start w:val="1"/>
      <w:numFmt w:val="bullet"/>
      <w:lvlText w:val="o"/>
      <w:lvlJc w:val="left"/>
      <w:pPr>
        <w:ind w:left="5760" w:hanging="360"/>
      </w:pPr>
      <w:rPr>
        <w:rFonts w:ascii="Courier New" w:hAnsi="Courier New" w:hint="default"/>
      </w:rPr>
    </w:lvl>
    <w:lvl w:ilvl="8" w:tplc="3A8EC54A">
      <w:start w:val="1"/>
      <w:numFmt w:val="bullet"/>
      <w:lvlText w:val=""/>
      <w:lvlJc w:val="left"/>
      <w:pPr>
        <w:ind w:left="6480" w:hanging="360"/>
      </w:pPr>
      <w:rPr>
        <w:rFonts w:ascii="Cambria Math" w:hAnsi="Cambria Math" w:hint="default"/>
      </w:rPr>
    </w:lvl>
  </w:abstractNum>
  <w:abstractNum w:abstractNumId="13" w15:restartNumberingAfterBreak="0">
    <w:nsid w:val="01CF0F7B"/>
    <w:multiLevelType w:val="hybridMultilevel"/>
    <w:tmpl w:val="8E643414"/>
    <w:lvl w:ilvl="0" w:tplc="FFFFFFFF">
      <w:start w:val="1"/>
      <w:numFmt w:val="bullet"/>
      <w:lvlText w:val=""/>
      <w:lvlJc w:val="left"/>
      <w:pPr>
        <w:ind w:left="720" w:hanging="360"/>
      </w:pPr>
      <w:rPr>
        <w:rFonts w:ascii="Symbol" w:hAnsi="Symbol" w:hint="default"/>
        <w:b/>
        <w:bCs/>
      </w:rPr>
    </w:lvl>
    <w:lvl w:ilvl="1" w:tplc="18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1E15330"/>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1F77FC6"/>
    <w:multiLevelType w:val="hybridMultilevel"/>
    <w:tmpl w:val="2B909DD6"/>
    <w:lvl w:ilvl="0" w:tplc="18090001">
      <w:start w:val="1"/>
      <w:numFmt w:val="bullet"/>
      <w:lvlText w:val=""/>
      <w:lvlJc w:val="left"/>
      <w:pPr>
        <w:ind w:left="1069" w:hanging="360"/>
      </w:pPr>
      <w:rPr>
        <w:rFonts w:ascii="Symbol" w:hAnsi="Symbol" w:hint="default"/>
        <w:b w:val="0"/>
        <w:b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15:restartNumberingAfterBreak="0">
    <w:nsid w:val="023E2662"/>
    <w:multiLevelType w:val="hybridMultilevel"/>
    <w:tmpl w:val="8A30D2AE"/>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7" w15:restartNumberingAfterBreak="0">
    <w:nsid w:val="025368DE"/>
    <w:multiLevelType w:val="multilevel"/>
    <w:tmpl w:val="90802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2680501"/>
    <w:multiLevelType w:val="hybridMultilevel"/>
    <w:tmpl w:val="E9EA5A2C"/>
    <w:lvl w:ilvl="0" w:tplc="E2903D62">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2EB10ED"/>
    <w:multiLevelType w:val="multilevel"/>
    <w:tmpl w:val="1F068C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2FC31BF"/>
    <w:multiLevelType w:val="hybridMultilevel"/>
    <w:tmpl w:val="411EA78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032A12F1"/>
    <w:multiLevelType w:val="hybridMultilevel"/>
    <w:tmpl w:val="6C52FE32"/>
    <w:lvl w:ilvl="0" w:tplc="0816001B">
      <w:start w:val="1"/>
      <w:numFmt w:val="lowerRoman"/>
      <w:lvlText w:val="%1."/>
      <w:lvlJc w:val="right"/>
      <w:pPr>
        <w:ind w:left="785" w:hanging="360"/>
      </w:pPr>
    </w:lvl>
    <w:lvl w:ilvl="1" w:tplc="08160019" w:tentative="1">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2" w15:restartNumberingAfterBreak="0">
    <w:nsid w:val="03406DD5"/>
    <w:multiLevelType w:val="hybridMultilevel"/>
    <w:tmpl w:val="89087F68"/>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03481329"/>
    <w:multiLevelType w:val="hybridMultilevel"/>
    <w:tmpl w:val="6CAA352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0348229A"/>
    <w:multiLevelType w:val="hybridMultilevel"/>
    <w:tmpl w:val="396C76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34E7B81"/>
    <w:multiLevelType w:val="multilevel"/>
    <w:tmpl w:val="9C8E69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34F594C"/>
    <w:multiLevelType w:val="hybridMultilevel"/>
    <w:tmpl w:val="FFFFFFFF"/>
    <w:lvl w:ilvl="0" w:tplc="62F00CD8">
      <w:start w:val="1"/>
      <w:numFmt w:val="decimal"/>
      <w:lvlText w:val="%1."/>
      <w:lvlJc w:val="left"/>
      <w:pPr>
        <w:ind w:left="720" w:hanging="360"/>
      </w:pPr>
    </w:lvl>
    <w:lvl w:ilvl="1" w:tplc="1B74962E">
      <w:start w:val="1"/>
      <w:numFmt w:val="lowerLetter"/>
      <w:lvlText w:val="%2."/>
      <w:lvlJc w:val="left"/>
      <w:pPr>
        <w:ind w:left="1440" w:hanging="360"/>
      </w:pPr>
    </w:lvl>
    <w:lvl w:ilvl="2" w:tplc="CE06363E">
      <w:start w:val="1"/>
      <w:numFmt w:val="lowerRoman"/>
      <w:lvlText w:val="%3."/>
      <w:lvlJc w:val="right"/>
      <w:pPr>
        <w:ind w:left="2160" w:hanging="180"/>
      </w:pPr>
    </w:lvl>
    <w:lvl w:ilvl="3" w:tplc="7B0E5298">
      <w:start w:val="1"/>
      <w:numFmt w:val="decimal"/>
      <w:lvlText w:val="%4."/>
      <w:lvlJc w:val="left"/>
      <w:pPr>
        <w:ind w:left="2880" w:hanging="360"/>
      </w:pPr>
    </w:lvl>
    <w:lvl w:ilvl="4" w:tplc="1AD26024">
      <w:start w:val="1"/>
      <w:numFmt w:val="lowerLetter"/>
      <w:lvlText w:val="%5."/>
      <w:lvlJc w:val="left"/>
      <w:pPr>
        <w:ind w:left="3600" w:hanging="360"/>
      </w:pPr>
    </w:lvl>
    <w:lvl w:ilvl="5" w:tplc="D0C6C3C6">
      <w:start w:val="1"/>
      <w:numFmt w:val="lowerRoman"/>
      <w:lvlText w:val="%6."/>
      <w:lvlJc w:val="right"/>
      <w:pPr>
        <w:ind w:left="4320" w:hanging="180"/>
      </w:pPr>
    </w:lvl>
    <w:lvl w:ilvl="6" w:tplc="FDA2C45A">
      <w:start w:val="1"/>
      <w:numFmt w:val="decimal"/>
      <w:lvlText w:val="%7."/>
      <w:lvlJc w:val="left"/>
      <w:pPr>
        <w:ind w:left="5040" w:hanging="360"/>
      </w:pPr>
    </w:lvl>
    <w:lvl w:ilvl="7" w:tplc="5226FE5E">
      <w:start w:val="1"/>
      <w:numFmt w:val="lowerLetter"/>
      <w:lvlText w:val="%8."/>
      <w:lvlJc w:val="left"/>
      <w:pPr>
        <w:ind w:left="5760" w:hanging="360"/>
      </w:pPr>
    </w:lvl>
    <w:lvl w:ilvl="8" w:tplc="04A47EC2">
      <w:start w:val="1"/>
      <w:numFmt w:val="lowerRoman"/>
      <w:lvlText w:val="%9."/>
      <w:lvlJc w:val="right"/>
      <w:pPr>
        <w:ind w:left="6480" w:hanging="180"/>
      </w:pPr>
    </w:lvl>
  </w:abstractNum>
  <w:abstractNum w:abstractNumId="27" w15:restartNumberingAfterBreak="0">
    <w:nsid w:val="03743AFF"/>
    <w:multiLevelType w:val="hybridMultilevel"/>
    <w:tmpl w:val="FFFFFFFF"/>
    <w:lvl w:ilvl="0" w:tplc="27CAEB4E">
      <w:start w:val="1"/>
      <w:numFmt w:val="bullet"/>
      <w:lvlText w:val="·"/>
      <w:lvlJc w:val="left"/>
      <w:pPr>
        <w:ind w:left="720" w:hanging="360"/>
      </w:pPr>
      <w:rPr>
        <w:rFonts w:ascii="Symbol" w:hAnsi="Symbol" w:hint="default"/>
      </w:rPr>
    </w:lvl>
    <w:lvl w:ilvl="1" w:tplc="AC386D5C">
      <w:start w:val="1"/>
      <w:numFmt w:val="bullet"/>
      <w:lvlText w:val="o"/>
      <w:lvlJc w:val="left"/>
      <w:pPr>
        <w:ind w:left="1440" w:hanging="360"/>
      </w:pPr>
      <w:rPr>
        <w:rFonts w:ascii="Courier New" w:hAnsi="Courier New" w:hint="default"/>
      </w:rPr>
    </w:lvl>
    <w:lvl w:ilvl="2" w:tplc="CF42BB0E">
      <w:start w:val="1"/>
      <w:numFmt w:val="bullet"/>
      <w:lvlText w:val=""/>
      <w:lvlJc w:val="left"/>
      <w:pPr>
        <w:ind w:left="2160" w:hanging="360"/>
      </w:pPr>
      <w:rPr>
        <w:rFonts w:ascii="Wingdings" w:hAnsi="Wingdings" w:hint="default"/>
      </w:rPr>
    </w:lvl>
    <w:lvl w:ilvl="3" w:tplc="99863D88">
      <w:start w:val="1"/>
      <w:numFmt w:val="bullet"/>
      <w:lvlText w:val=""/>
      <w:lvlJc w:val="left"/>
      <w:pPr>
        <w:ind w:left="2880" w:hanging="360"/>
      </w:pPr>
      <w:rPr>
        <w:rFonts w:ascii="Symbol" w:hAnsi="Symbol" w:hint="default"/>
      </w:rPr>
    </w:lvl>
    <w:lvl w:ilvl="4" w:tplc="0E94865A">
      <w:start w:val="1"/>
      <w:numFmt w:val="bullet"/>
      <w:lvlText w:val="o"/>
      <w:lvlJc w:val="left"/>
      <w:pPr>
        <w:ind w:left="3600" w:hanging="360"/>
      </w:pPr>
      <w:rPr>
        <w:rFonts w:ascii="Courier New" w:hAnsi="Courier New" w:hint="default"/>
      </w:rPr>
    </w:lvl>
    <w:lvl w:ilvl="5" w:tplc="C7440B5A">
      <w:start w:val="1"/>
      <w:numFmt w:val="bullet"/>
      <w:lvlText w:val=""/>
      <w:lvlJc w:val="left"/>
      <w:pPr>
        <w:ind w:left="4320" w:hanging="360"/>
      </w:pPr>
      <w:rPr>
        <w:rFonts w:ascii="Wingdings" w:hAnsi="Wingdings" w:hint="default"/>
      </w:rPr>
    </w:lvl>
    <w:lvl w:ilvl="6" w:tplc="B714F44E">
      <w:start w:val="1"/>
      <w:numFmt w:val="bullet"/>
      <w:lvlText w:val=""/>
      <w:lvlJc w:val="left"/>
      <w:pPr>
        <w:ind w:left="5040" w:hanging="360"/>
      </w:pPr>
      <w:rPr>
        <w:rFonts w:ascii="Symbol" w:hAnsi="Symbol" w:hint="default"/>
      </w:rPr>
    </w:lvl>
    <w:lvl w:ilvl="7" w:tplc="0BD442C0">
      <w:start w:val="1"/>
      <w:numFmt w:val="bullet"/>
      <w:lvlText w:val="o"/>
      <w:lvlJc w:val="left"/>
      <w:pPr>
        <w:ind w:left="5760" w:hanging="360"/>
      </w:pPr>
      <w:rPr>
        <w:rFonts w:ascii="Courier New" w:hAnsi="Courier New" w:hint="default"/>
      </w:rPr>
    </w:lvl>
    <w:lvl w:ilvl="8" w:tplc="4F9C97A6">
      <w:start w:val="1"/>
      <w:numFmt w:val="bullet"/>
      <w:lvlText w:val=""/>
      <w:lvlJc w:val="left"/>
      <w:pPr>
        <w:ind w:left="6480" w:hanging="360"/>
      </w:pPr>
      <w:rPr>
        <w:rFonts w:ascii="Wingdings" w:hAnsi="Wingdings" w:hint="default"/>
      </w:rPr>
    </w:lvl>
  </w:abstractNum>
  <w:abstractNum w:abstractNumId="28" w15:restartNumberingAfterBreak="0">
    <w:nsid w:val="03C9F471"/>
    <w:multiLevelType w:val="hybridMultilevel"/>
    <w:tmpl w:val="AFA28C60"/>
    <w:lvl w:ilvl="0" w:tplc="E61EA238">
      <w:start w:val="1"/>
      <w:numFmt w:val="bullet"/>
      <w:lvlText w:val="-"/>
      <w:lvlJc w:val="left"/>
      <w:pPr>
        <w:ind w:left="720" w:hanging="360"/>
      </w:pPr>
      <w:rPr>
        <w:rFonts w:ascii="Calibri" w:hAnsi="Calibri" w:hint="default"/>
      </w:rPr>
    </w:lvl>
    <w:lvl w:ilvl="1" w:tplc="C9568992">
      <w:start w:val="1"/>
      <w:numFmt w:val="bullet"/>
      <w:lvlText w:val="o"/>
      <w:lvlJc w:val="left"/>
      <w:pPr>
        <w:ind w:left="1440" w:hanging="360"/>
      </w:pPr>
      <w:rPr>
        <w:rFonts w:ascii="Courier New" w:hAnsi="Courier New" w:hint="default"/>
      </w:rPr>
    </w:lvl>
    <w:lvl w:ilvl="2" w:tplc="51F0FE2E">
      <w:start w:val="1"/>
      <w:numFmt w:val="bullet"/>
      <w:lvlText w:val=""/>
      <w:lvlJc w:val="left"/>
      <w:pPr>
        <w:ind w:left="2160" w:hanging="360"/>
      </w:pPr>
      <w:rPr>
        <w:rFonts w:ascii="Wingdings" w:hAnsi="Wingdings" w:hint="default"/>
      </w:rPr>
    </w:lvl>
    <w:lvl w:ilvl="3" w:tplc="D85AAEF2">
      <w:start w:val="1"/>
      <w:numFmt w:val="bullet"/>
      <w:lvlText w:val=""/>
      <w:lvlJc w:val="left"/>
      <w:pPr>
        <w:ind w:left="2880" w:hanging="360"/>
      </w:pPr>
      <w:rPr>
        <w:rFonts w:ascii="Symbol" w:hAnsi="Symbol" w:hint="default"/>
      </w:rPr>
    </w:lvl>
    <w:lvl w:ilvl="4" w:tplc="E4A4FB26">
      <w:start w:val="1"/>
      <w:numFmt w:val="bullet"/>
      <w:lvlText w:val="o"/>
      <w:lvlJc w:val="left"/>
      <w:pPr>
        <w:ind w:left="3600" w:hanging="360"/>
      </w:pPr>
      <w:rPr>
        <w:rFonts w:ascii="Courier New" w:hAnsi="Courier New" w:hint="default"/>
      </w:rPr>
    </w:lvl>
    <w:lvl w:ilvl="5" w:tplc="99C2294A">
      <w:start w:val="1"/>
      <w:numFmt w:val="bullet"/>
      <w:lvlText w:val=""/>
      <w:lvlJc w:val="left"/>
      <w:pPr>
        <w:ind w:left="4320" w:hanging="360"/>
      </w:pPr>
      <w:rPr>
        <w:rFonts w:ascii="Wingdings" w:hAnsi="Wingdings" w:hint="default"/>
      </w:rPr>
    </w:lvl>
    <w:lvl w:ilvl="6" w:tplc="426E0228">
      <w:start w:val="1"/>
      <w:numFmt w:val="bullet"/>
      <w:lvlText w:val=""/>
      <w:lvlJc w:val="left"/>
      <w:pPr>
        <w:ind w:left="5040" w:hanging="360"/>
      </w:pPr>
      <w:rPr>
        <w:rFonts w:ascii="Symbol" w:hAnsi="Symbol" w:hint="default"/>
      </w:rPr>
    </w:lvl>
    <w:lvl w:ilvl="7" w:tplc="1B34EE0C">
      <w:start w:val="1"/>
      <w:numFmt w:val="bullet"/>
      <w:lvlText w:val="o"/>
      <w:lvlJc w:val="left"/>
      <w:pPr>
        <w:ind w:left="5760" w:hanging="360"/>
      </w:pPr>
      <w:rPr>
        <w:rFonts w:ascii="Courier New" w:hAnsi="Courier New" w:hint="default"/>
      </w:rPr>
    </w:lvl>
    <w:lvl w:ilvl="8" w:tplc="C5D28D24">
      <w:start w:val="1"/>
      <w:numFmt w:val="bullet"/>
      <w:lvlText w:val=""/>
      <w:lvlJc w:val="left"/>
      <w:pPr>
        <w:ind w:left="6480" w:hanging="360"/>
      </w:pPr>
      <w:rPr>
        <w:rFonts w:ascii="Wingdings" w:hAnsi="Wingdings" w:hint="default"/>
      </w:rPr>
    </w:lvl>
  </w:abstractNum>
  <w:abstractNum w:abstractNumId="29" w15:restartNumberingAfterBreak="0">
    <w:nsid w:val="03D957F2"/>
    <w:multiLevelType w:val="hybridMultilevel"/>
    <w:tmpl w:val="6CD0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4002F2C"/>
    <w:multiLevelType w:val="hybridMultilevel"/>
    <w:tmpl w:val="B2608760"/>
    <w:lvl w:ilvl="0" w:tplc="18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04463084"/>
    <w:multiLevelType w:val="multilevel"/>
    <w:tmpl w:val="EC587F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0480447B"/>
    <w:multiLevelType w:val="multilevel"/>
    <w:tmpl w:val="B1AA47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48A554F"/>
    <w:multiLevelType w:val="multilevel"/>
    <w:tmpl w:val="F7A2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49E6B04"/>
    <w:multiLevelType w:val="multilevel"/>
    <w:tmpl w:val="FFFFFFFF"/>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4C41057"/>
    <w:multiLevelType w:val="multilevel"/>
    <w:tmpl w:val="3B12AD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04C64932"/>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4CE5C47"/>
    <w:multiLevelType w:val="hybridMultilevel"/>
    <w:tmpl w:val="FFFFFFFF"/>
    <w:lvl w:ilvl="0" w:tplc="5016EA9C">
      <w:start w:val="1"/>
      <w:numFmt w:val="bullet"/>
      <w:lvlText w:val="o"/>
      <w:lvlJc w:val="left"/>
      <w:pPr>
        <w:ind w:left="720" w:hanging="360"/>
      </w:pPr>
      <w:rPr>
        <w:rFonts w:ascii="&quot;Courier New&quot;" w:hAnsi="&quot;Courier New&quot;" w:hint="default"/>
      </w:rPr>
    </w:lvl>
    <w:lvl w:ilvl="1" w:tplc="1560760A">
      <w:start w:val="1"/>
      <w:numFmt w:val="bullet"/>
      <w:lvlText w:val="o"/>
      <w:lvlJc w:val="left"/>
      <w:pPr>
        <w:ind w:left="1440" w:hanging="360"/>
      </w:pPr>
      <w:rPr>
        <w:rFonts w:ascii="Courier New" w:hAnsi="Courier New" w:hint="default"/>
      </w:rPr>
    </w:lvl>
    <w:lvl w:ilvl="2" w:tplc="B92A1B88">
      <w:start w:val="1"/>
      <w:numFmt w:val="bullet"/>
      <w:lvlText w:val=""/>
      <w:lvlJc w:val="left"/>
      <w:pPr>
        <w:ind w:left="2160" w:hanging="360"/>
      </w:pPr>
      <w:rPr>
        <w:rFonts w:ascii="Wingdings" w:hAnsi="Wingdings" w:hint="default"/>
      </w:rPr>
    </w:lvl>
    <w:lvl w:ilvl="3" w:tplc="9D9C119C">
      <w:start w:val="1"/>
      <w:numFmt w:val="bullet"/>
      <w:lvlText w:val=""/>
      <w:lvlJc w:val="left"/>
      <w:pPr>
        <w:ind w:left="2880" w:hanging="360"/>
      </w:pPr>
      <w:rPr>
        <w:rFonts w:ascii="Symbol" w:hAnsi="Symbol" w:hint="default"/>
      </w:rPr>
    </w:lvl>
    <w:lvl w:ilvl="4" w:tplc="0F1C236A">
      <w:start w:val="1"/>
      <w:numFmt w:val="bullet"/>
      <w:lvlText w:val="o"/>
      <w:lvlJc w:val="left"/>
      <w:pPr>
        <w:ind w:left="3600" w:hanging="360"/>
      </w:pPr>
      <w:rPr>
        <w:rFonts w:ascii="Courier New" w:hAnsi="Courier New" w:hint="default"/>
      </w:rPr>
    </w:lvl>
    <w:lvl w:ilvl="5" w:tplc="E9DAF420">
      <w:start w:val="1"/>
      <w:numFmt w:val="bullet"/>
      <w:lvlText w:val=""/>
      <w:lvlJc w:val="left"/>
      <w:pPr>
        <w:ind w:left="4320" w:hanging="360"/>
      </w:pPr>
      <w:rPr>
        <w:rFonts w:ascii="Wingdings" w:hAnsi="Wingdings" w:hint="default"/>
      </w:rPr>
    </w:lvl>
    <w:lvl w:ilvl="6" w:tplc="110C3B7C">
      <w:start w:val="1"/>
      <w:numFmt w:val="bullet"/>
      <w:lvlText w:val=""/>
      <w:lvlJc w:val="left"/>
      <w:pPr>
        <w:ind w:left="5040" w:hanging="360"/>
      </w:pPr>
      <w:rPr>
        <w:rFonts w:ascii="Symbol" w:hAnsi="Symbol" w:hint="default"/>
      </w:rPr>
    </w:lvl>
    <w:lvl w:ilvl="7" w:tplc="7AF8F33C">
      <w:start w:val="1"/>
      <w:numFmt w:val="bullet"/>
      <w:lvlText w:val="o"/>
      <w:lvlJc w:val="left"/>
      <w:pPr>
        <w:ind w:left="5760" w:hanging="360"/>
      </w:pPr>
      <w:rPr>
        <w:rFonts w:ascii="Courier New" w:hAnsi="Courier New" w:hint="default"/>
      </w:rPr>
    </w:lvl>
    <w:lvl w:ilvl="8" w:tplc="D64E0F80">
      <w:start w:val="1"/>
      <w:numFmt w:val="bullet"/>
      <w:lvlText w:val=""/>
      <w:lvlJc w:val="left"/>
      <w:pPr>
        <w:ind w:left="6480" w:hanging="360"/>
      </w:pPr>
      <w:rPr>
        <w:rFonts w:ascii="Wingdings" w:hAnsi="Wingdings" w:hint="default"/>
      </w:rPr>
    </w:lvl>
  </w:abstractNum>
  <w:abstractNum w:abstractNumId="38" w15:restartNumberingAfterBreak="0">
    <w:nsid w:val="050E1257"/>
    <w:multiLevelType w:val="hybridMultilevel"/>
    <w:tmpl w:val="C87E44E6"/>
    <w:lvl w:ilvl="0" w:tplc="08090017">
      <w:start w:val="1"/>
      <w:numFmt w:val="lowerLetter"/>
      <w:lvlText w:val="%1)"/>
      <w:lvlJc w:val="left"/>
      <w:pPr>
        <w:ind w:left="1080" w:hanging="360"/>
      </w:pPr>
    </w:lvl>
    <w:lvl w:ilvl="1" w:tplc="7C460208">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0535968D"/>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5826CD4"/>
    <w:multiLevelType w:val="hybridMultilevel"/>
    <w:tmpl w:val="A2A079AE"/>
    <w:lvl w:ilvl="0" w:tplc="224AE4EC">
      <w:start w:val="1"/>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Cambria Math" w:hAnsi="Cambria Math" w:hint="default"/>
      </w:rPr>
    </w:lvl>
    <w:lvl w:ilvl="3" w:tplc="08090001" w:tentative="1">
      <w:start w:val="1"/>
      <w:numFmt w:val="bullet"/>
      <w:lvlText w:val=""/>
      <w:lvlJc w:val="left"/>
      <w:pPr>
        <w:ind w:left="2531" w:hanging="360"/>
      </w:pPr>
      <w:rPr>
        <w:rFonts w:ascii="Segoe UI" w:hAnsi="Segoe UI"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Cambria Math" w:hAnsi="Cambria Math" w:hint="default"/>
      </w:rPr>
    </w:lvl>
    <w:lvl w:ilvl="6" w:tplc="08090001" w:tentative="1">
      <w:start w:val="1"/>
      <w:numFmt w:val="bullet"/>
      <w:lvlText w:val=""/>
      <w:lvlJc w:val="left"/>
      <w:pPr>
        <w:ind w:left="4691" w:hanging="360"/>
      </w:pPr>
      <w:rPr>
        <w:rFonts w:ascii="Segoe UI" w:hAnsi="Segoe UI"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Cambria Math" w:hAnsi="Cambria Math" w:hint="default"/>
      </w:rPr>
    </w:lvl>
  </w:abstractNum>
  <w:abstractNum w:abstractNumId="41" w15:restartNumberingAfterBreak="0">
    <w:nsid w:val="05BC1A19"/>
    <w:multiLevelType w:val="hybridMultilevel"/>
    <w:tmpl w:val="AF3AB1D0"/>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05FE0FF0"/>
    <w:multiLevelType w:val="multilevel"/>
    <w:tmpl w:val="47B2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6105125"/>
    <w:multiLevelType w:val="hybridMultilevel"/>
    <w:tmpl w:val="FA76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6319363"/>
    <w:multiLevelType w:val="hybridMultilevel"/>
    <w:tmpl w:val="FFFFFFFF"/>
    <w:lvl w:ilvl="0" w:tplc="9C54F358">
      <w:start w:val="1"/>
      <w:numFmt w:val="decimal"/>
      <w:lvlText w:val="%1)"/>
      <w:lvlJc w:val="left"/>
      <w:pPr>
        <w:ind w:left="720" w:hanging="360"/>
      </w:pPr>
    </w:lvl>
    <w:lvl w:ilvl="1" w:tplc="33663A5E">
      <w:start w:val="1"/>
      <w:numFmt w:val="lowerLetter"/>
      <w:lvlText w:val="%2."/>
      <w:lvlJc w:val="left"/>
      <w:pPr>
        <w:ind w:left="1440" w:hanging="360"/>
      </w:pPr>
    </w:lvl>
    <w:lvl w:ilvl="2" w:tplc="AEC8D5DE">
      <w:start w:val="1"/>
      <w:numFmt w:val="lowerRoman"/>
      <w:lvlText w:val="%3."/>
      <w:lvlJc w:val="right"/>
      <w:pPr>
        <w:ind w:left="2160" w:hanging="180"/>
      </w:pPr>
    </w:lvl>
    <w:lvl w:ilvl="3" w:tplc="591290C2">
      <w:start w:val="1"/>
      <w:numFmt w:val="decimal"/>
      <w:lvlText w:val="%4."/>
      <w:lvlJc w:val="left"/>
      <w:pPr>
        <w:ind w:left="2880" w:hanging="360"/>
      </w:pPr>
    </w:lvl>
    <w:lvl w:ilvl="4" w:tplc="DFB48A9C">
      <w:start w:val="1"/>
      <w:numFmt w:val="lowerLetter"/>
      <w:lvlText w:val="%5."/>
      <w:lvlJc w:val="left"/>
      <w:pPr>
        <w:ind w:left="3600" w:hanging="360"/>
      </w:pPr>
    </w:lvl>
    <w:lvl w:ilvl="5" w:tplc="F5B2562E">
      <w:start w:val="1"/>
      <w:numFmt w:val="lowerRoman"/>
      <w:lvlText w:val="%6."/>
      <w:lvlJc w:val="right"/>
      <w:pPr>
        <w:ind w:left="4320" w:hanging="180"/>
      </w:pPr>
    </w:lvl>
    <w:lvl w:ilvl="6" w:tplc="A3CC79EC">
      <w:start w:val="1"/>
      <w:numFmt w:val="decimal"/>
      <w:lvlText w:val="%7."/>
      <w:lvlJc w:val="left"/>
      <w:pPr>
        <w:ind w:left="5040" w:hanging="360"/>
      </w:pPr>
    </w:lvl>
    <w:lvl w:ilvl="7" w:tplc="C2503260">
      <w:start w:val="1"/>
      <w:numFmt w:val="lowerLetter"/>
      <w:lvlText w:val="%8."/>
      <w:lvlJc w:val="left"/>
      <w:pPr>
        <w:ind w:left="5760" w:hanging="360"/>
      </w:pPr>
    </w:lvl>
    <w:lvl w:ilvl="8" w:tplc="D3BED5D0">
      <w:start w:val="1"/>
      <w:numFmt w:val="lowerRoman"/>
      <w:lvlText w:val="%9."/>
      <w:lvlJc w:val="right"/>
      <w:pPr>
        <w:ind w:left="6480" w:hanging="180"/>
      </w:pPr>
    </w:lvl>
  </w:abstractNum>
  <w:abstractNum w:abstractNumId="45" w15:restartNumberingAfterBreak="0">
    <w:nsid w:val="066F7625"/>
    <w:multiLevelType w:val="hybridMultilevel"/>
    <w:tmpl w:val="55064DD2"/>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0711284B"/>
    <w:multiLevelType w:val="hybridMultilevel"/>
    <w:tmpl w:val="FFFFFFFF"/>
    <w:lvl w:ilvl="0" w:tplc="7F94DA00">
      <w:start w:val="1"/>
      <w:numFmt w:val="bullet"/>
      <w:lvlText w:val=""/>
      <w:lvlJc w:val="left"/>
      <w:pPr>
        <w:ind w:left="720" w:hanging="360"/>
      </w:pPr>
      <w:rPr>
        <w:rFonts w:ascii="Segoe UI" w:hAnsi="Segoe UI" w:hint="default"/>
      </w:rPr>
    </w:lvl>
    <w:lvl w:ilvl="1" w:tplc="BA6E8C88">
      <w:start w:val="1"/>
      <w:numFmt w:val="bullet"/>
      <w:lvlText w:val="o"/>
      <w:lvlJc w:val="left"/>
      <w:pPr>
        <w:ind w:left="1440" w:hanging="360"/>
      </w:pPr>
      <w:rPr>
        <w:rFonts w:ascii="Courier New" w:hAnsi="Courier New" w:hint="default"/>
      </w:rPr>
    </w:lvl>
    <w:lvl w:ilvl="2" w:tplc="9F32DACC">
      <w:start w:val="1"/>
      <w:numFmt w:val="bullet"/>
      <w:lvlText w:val=""/>
      <w:lvlJc w:val="left"/>
      <w:pPr>
        <w:ind w:left="2160" w:hanging="360"/>
      </w:pPr>
      <w:rPr>
        <w:rFonts w:ascii="Cambria Math" w:hAnsi="Cambria Math" w:hint="default"/>
      </w:rPr>
    </w:lvl>
    <w:lvl w:ilvl="3" w:tplc="58CC1120">
      <w:start w:val="1"/>
      <w:numFmt w:val="bullet"/>
      <w:lvlText w:val=""/>
      <w:lvlJc w:val="left"/>
      <w:pPr>
        <w:ind w:left="2880" w:hanging="360"/>
      </w:pPr>
      <w:rPr>
        <w:rFonts w:ascii="Segoe UI" w:hAnsi="Segoe UI" w:hint="default"/>
      </w:rPr>
    </w:lvl>
    <w:lvl w:ilvl="4" w:tplc="585414AA">
      <w:start w:val="1"/>
      <w:numFmt w:val="bullet"/>
      <w:lvlText w:val="o"/>
      <w:lvlJc w:val="left"/>
      <w:pPr>
        <w:ind w:left="3600" w:hanging="360"/>
      </w:pPr>
      <w:rPr>
        <w:rFonts w:ascii="Courier New" w:hAnsi="Courier New" w:hint="default"/>
      </w:rPr>
    </w:lvl>
    <w:lvl w:ilvl="5" w:tplc="41802D32">
      <w:start w:val="1"/>
      <w:numFmt w:val="bullet"/>
      <w:lvlText w:val=""/>
      <w:lvlJc w:val="left"/>
      <w:pPr>
        <w:ind w:left="4320" w:hanging="360"/>
      </w:pPr>
      <w:rPr>
        <w:rFonts w:ascii="Cambria Math" w:hAnsi="Cambria Math" w:hint="default"/>
      </w:rPr>
    </w:lvl>
    <w:lvl w:ilvl="6" w:tplc="38AA3490">
      <w:start w:val="1"/>
      <w:numFmt w:val="bullet"/>
      <w:lvlText w:val=""/>
      <w:lvlJc w:val="left"/>
      <w:pPr>
        <w:ind w:left="5040" w:hanging="360"/>
      </w:pPr>
      <w:rPr>
        <w:rFonts w:ascii="Segoe UI" w:hAnsi="Segoe UI" w:hint="default"/>
      </w:rPr>
    </w:lvl>
    <w:lvl w:ilvl="7" w:tplc="C7967A46">
      <w:start w:val="1"/>
      <w:numFmt w:val="bullet"/>
      <w:lvlText w:val="o"/>
      <w:lvlJc w:val="left"/>
      <w:pPr>
        <w:ind w:left="5760" w:hanging="360"/>
      </w:pPr>
      <w:rPr>
        <w:rFonts w:ascii="Courier New" w:hAnsi="Courier New" w:hint="default"/>
      </w:rPr>
    </w:lvl>
    <w:lvl w:ilvl="8" w:tplc="50CE440A">
      <w:start w:val="1"/>
      <w:numFmt w:val="bullet"/>
      <w:lvlText w:val=""/>
      <w:lvlJc w:val="left"/>
      <w:pPr>
        <w:ind w:left="6480" w:hanging="360"/>
      </w:pPr>
      <w:rPr>
        <w:rFonts w:ascii="Cambria Math" w:hAnsi="Cambria Math" w:hint="default"/>
      </w:rPr>
    </w:lvl>
  </w:abstractNum>
  <w:abstractNum w:abstractNumId="47" w15:restartNumberingAfterBreak="0">
    <w:nsid w:val="071A117D"/>
    <w:multiLevelType w:val="hybridMultilevel"/>
    <w:tmpl w:val="21DC5784"/>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8" w15:restartNumberingAfterBreak="0">
    <w:nsid w:val="078935CE"/>
    <w:multiLevelType w:val="hybridMultilevel"/>
    <w:tmpl w:val="2C982D38"/>
    <w:lvl w:ilvl="0" w:tplc="1809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6D606202">
      <w:numFmt w:val="bullet"/>
      <w:lvlText w:val="•"/>
      <w:lvlJc w:val="left"/>
      <w:pPr>
        <w:ind w:left="2340" w:hanging="720"/>
      </w:pPr>
      <w:rPr>
        <w:rFonts w:ascii="Times New Roman" w:eastAsia="Symbol" w:hAnsi="Times New Roman"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07FB552C"/>
    <w:multiLevelType w:val="hybridMultilevel"/>
    <w:tmpl w:val="653062C2"/>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 w15:restartNumberingAfterBreak="0">
    <w:nsid w:val="08030763"/>
    <w:multiLevelType w:val="hybridMultilevel"/>
    <w:tmpl w:val="B7E447DA"/>
    <w:lvl w:ilvl="0" w:tplc="FFFFFFFF">
      <w:start w:val="1"/>
      <w:numFmt w:val="lowerRoman"/>
      <w:lvlText w:val="%1."/>
      <w:lvlJc w:val="right"/>
      <w:pPr>
        <w:ind w:left="1440" w:hanging="360"/>
      </w:pPr>
    </w:lvl>
    <w:lvl w:ilvl="1" w:tplc="B7303C30">
      <w:start w:val="2"/>
      <w:numFmt w:val="bullet"/>
      <w:lvlText w:val="-"/>
      <w:lvlJc w:val="left"/>
      <w:pPr>
        <w:ind w:left="2160" w:hanging="360"/>
      </w:pPr>
      <w:rPr>
        <w:rFonts w:ascii="Calibri" w:eastAsiaTheme="minorHAnsi" w:hAnsi="Calibri" w:cs="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081826EA"/>
    <w:multiLevelType w:val="multilevel"/>
    <w:tmpl w:val="29A03D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8600127"/>
    <w:multiLevelType w:val="hybridMultilevel"/>
    <w:tmpl w:val="85F45C06"/>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3" w15:restartNumberingAfterBreak="0">
    <w:nsid w:val="08915652"/>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4" w15:restartNumberingAfterBreak="0">
    <w:nsid w:val="08AB27CD"/>
    <w:multiLevelType w:val="hybridMultilevel"/>
    <w:tmpl w:val="6184950E"/>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15:restartNumberingAfterBreak="0">
    <w:nsid w:val="090A7704"/>
    <w:multiLevelType w:val="hybridMultilevel"/>
    <w:tmpl w:val="FFFFFFFF"/>
    <w:lvl w:ilvl="0" w:tplc="81D8DC54">
      <w:start w:val="4"/>
      <w:numFmt w:val="decimal"/>
      <w:lvlText w:val="%1."/>
      <w:lvlJc w:val="left"/>
      <w:pPr>
        <w:ind w:left="720" w:hanging="360"/>
      </w:pPr>
    </w:lvl>
    <w:lvl w:ilvl="1" w:tplc="3D72931C">
      <w:start w:val="1"/>
      <w:numFmt w:val="lowerLetter"/>
      <w:lvlText w:val="%2."/>
      <w:lvlJc w:val="left"/>
      <w:pPr>
        <w:ind w:left="1440" w:hanging="360"/>
      </w:pPr>
    </w:lvl>
    <w:lvl w:ilvl="2" w:tplc="0346ECB2">
      <w:start w:val="1"/>
      <w:numFmt w:val="lowerRoman"/>
      <w:lvlText w:val="%3."/>
      <w:lvlJc w:val="right"/>
      <w:pPr>
        <w:ind w:left="2160" w:hanging="180"/>
      </w:pPr>
    </w:lvl>
    <w:lvl w:ilvl="3" w:tplc="FE3A9B7A">
      <w:start w:val="1"/>
      <w:numFmt w:val="decimal"/>
      <w:lvlText w:val="%4."/>
      <w:lvlJc w:val="left"/>
      <w:pPr>
        <w:ind w:left="2880" w:hanging="360"/>
      </w:pPr>
    </w:lvl>
    <w:lvl w:ilvl="4" w:tplc="FC9460FA">
      <w:start w:val="1"/>
      <w:numFmt w:val="lowerLetter"/>
      <w:lvlText w:val="%5."/>
      <w:lvlJc w:val="left"/>
      <w:pPr>
        <w:ind w:left="3600" w:hanging="360"/>
      </w:pPr>
    </w:lvl>
    <w:lvl w:ilvl="5" w:tplc="C3701342">
      <w:start w:val="1"/>
      <w:numFmt w:val="lowerRoman"/>
      <w:lvlText w:val="%6."/>
      <w:lvlJc w:val="right"/>
      <w:pPr>
        <w:ind w:left="4320" w:hanging="180"/>
      </w:pPr>
    </w:lvl>
    <w:lvl w:ilvl="6" w:tplc="39721A80">
      <w:start w:val="1"/>
      <w:numFmt w:val="decimal"/>
      <w:lvlText w:val="%7."/>
      <w:lvlJc w:val="left"/>
      <w:pPr>
        <w:ind w:left="5040" w:hanging="360"/>
      </w:pPr>
    </w:lvl>
    <w:lvl w:ilvl="7" w:tplc="E7A2D6BE">
      <w:start w:val="1"/>
      <w:numFmt w:val="lowerLetter"/>
      <w:lvlText w:val="%8."/>
      <w:lvlJc w:val="left"/>
      <w:pPr>
        <w:ind w:left="5760" w:hanging="360"/>
      </w:pPr>
    </w:lvl>
    <w:lvl w:ilvl="8" w:tplc="DC6A6FA6">
      <w:start w:val="1"/>
      <w:numFmt w:val="lowerRoman"/>
      <w:lvlText w:val="%9."/>
      <w:lvlJc w:val="right"/>
      <w:pPr>
        <w:ind w:left="6480" w:hanging="180"/>
      </w:pPr>
    </w:lvl>
  </w:abstractNum>
  <w:abstractNum w:abstractNumId="56" w15:restartNumberingAfterBreak="0">
    <w:nsid w:val="092CF653"/>
    <w:multiLevelType w:val="hybridMultilevel"/>
    <w:tmpl w:val="FFFFFFFF"/>
    <w:lvl w:ilvl="0" w:tplc="6E86AD7E">
      <w:numFmt w:val="none"/>
      <w:lvlText w:val=""/>
      <w:lvlJc w:val="left"/>
      <w:pPr>
        <w:tabs>
          <w:tab w:val="num" w:pos="360"/>
        </w:tabs>
      </w:pPr>
    </w:lvl>
    <w:lvl w:ilvl="1" w:tplc="2A50994A">
      <w:start w:val="1"/>
      <w:numFmt w:val="lowerLetter"/>
      <w:lvlText w:val="%2."/>
      <w:lvlJc w:val="left"/>
      <w:pPr>
        <w:ind w:left="1440" w:hanging="360"/>
      </w:pPr>
    </w:lvl>
    <w:lvl w:ilvl="2" w:tplc="1E061FCE">
      <w:start w:val="1"/>
      <w:numFmt w:val="lowerRoman"/>
      <w:lvlText w:val="%3."/>
      <w:lvlJc w:val="right"/>
      <w:pPr>
        <w:ind w:left="2160" w:hanging="180"/>
      </w:pPr>
    </w:lvl>
    <w:lvl w:ilvl="3" w:tplc="9EDE48C4">
      <w:start w:val="1"/>
      <w:numFmt w:val="decimal"/>
      <w:lvlText w:val="%4."/>
      <w:lvlJc w:val="left"/>
      <w:pPr>
        <w:ind w:left="2880" w:hanging="360"/>
      </w:pPr>
    </w:lvl>
    <w:lvl w:ilvl="4" w:tplc="07105AD8">
      <w:start w:val="1"/>
      <w:numFmt w:val="lowerLetter"/>
      <w:lvlText w:val="%5."/>
      <w:lvlJc w:val="left"/>
      <w:pPr>
        <w:ind w:left="3600" w:hanging="360"/>
      </w:pPr>
    </w:lvl>
    <w:lvl w:ilvl="5" w:tplc="98DE21A6">
      <w:start w:val="1"/>
      <w:numFmt w:val="lowerRoman"/>
      <w:lvlText w:val="%6."/>
      <w:lvlJc w:val="right"/>
      <w:pPr>
        <w:ind w:left="4320" w:hanging="180"/>
      </w:pPr>
    </w:lvl>
    <w:lvl w:ilvl="6" w:tplc="5EDA3080">
      <w:start w:val="1"/>
      <w:numFmt w:val="decimal"/>
      <w:lvlText w:val="%7."/>
      <w:lvlJc w:val="left"/>
      <w:pPr>
        <w:ind w:left="5040" w:hanging="360"/>
      </w:pPr>
    </w:lvl>
    <w:lvl w:ilvl="7" w:tplc="21400CA8">
      <w:start w:val="1"/>
      <w:numFmt w:val="lowerLetter"/>
      <w:lvlText w:val="%8."/>
      <w:lvlJc w:val="left"/>
      <w:pPr>
        <w:ind w:left="5760" w:hanging="360"/>
      </w:pPr>
    </w:lvl>
    <w:lvl w:ilvl="8" w:tplc="DC60D61E">
      <w:start w:val="1"/>
      <w:numFmt w:val="lowerRoman"/>
      <w:lvlText w:val="%9."/>
      <w:lvlJc w:val="right"/>
      <w:pPr>
        <w:ind w:left="6480" w:hanging="180"/>
      </w:pPr>
    </w:lvl>
  </w:abstractNum>
  <w:abstractNum w:abstractNumId="57" w15:restartNumberingAfterBreak="0">
    <w:nsid w:val="094251BF"/>
    <w:multiLevelType w:val="hybridMultilevel"/>
    <w:tmpl w:val="AEC405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095C39A3"/>
    <w:multiLevelType w:val="hybridMultilevel"/>
    <w:tmpl w:val="FFFFFFFF"/>
    <w:lvl w:ilvl="0" w:tplc="B82885BA">
      <w:start w:val="1"/>
      <w:numFmt w:val="bullet"/>
      <w:lvlText w:val="o"/>
      <w:lvlJc w:val="left"/>
      <w:pPr>
        <w:ind w:left="720" w:hanging="360"/>
      </w:pPr>
      <w:rPr>
        <w:rFonts w:ascii="&quot;Courier New&quot;" w:hAnsi="&quot;Courier New&quot;" w:hint="default"/>
      </w:rPr>
    </w:lvl>
    <w:lvl w:ilvl="1" w:tplc="D49294FA">
      <w:start w:val="1"/>
      <w:numFmt w:val="bullet"/>
      <w:lvlText w:val="o"/>
      <w:lvlJc w:val="left"/>
      <w:pPr>
        <w:ind w:left="1440" w:hanging="360"/>
      </w:pPr>
      <w:rPr>
        <w:rFonts w:ascii="Courier New" w:hAnsi="Courier New" w:hint="default"/>
      </w:rPr>
    </w:lvl>
    <w:lvl w:ilvl="2" w:tplc="ADFAF67C">
      <w:start w:val="1"/>
      <w:numFmt w:val="bullet"/>
      <w:lvlText w:val=""/>
      <w:lvlJc w:val="left"/>
      <w:pPr>
        <w:ind w:left="2160" w:hanging="360"/>
      </w:pPr>
      <w:rPr>
        <w:rFonts w:ascii="Wingdings" w:hAnsi="Wingdings" w:hint="default"/>
      </w:rPr>
    </w:lvl>
    <w:lvl w:ilvl="3" w:tplc="A9D03620">
      <w:start w:val="1"/>
      <w:numFmt w:val="bullet"/>
      <w:lvlText w:val=""/>
      <w:lvlJc w:val="left"/>
      <w:pPr>
        <w:ind w:left="2880" w:hanging="360"/>
      </w:pPr>
      <w:rPr>
        <w:rFonts w:ascii="Symbol" w:hAnsi="Symbol" w:hint="default"/>
      </w:rPr>
    </w:lvl>
    <w:lvl w:ilvl="4" w:tplc="D4927346">
      <w:start w:val="1"/>
      <w:numFmt w:val="bullet"/>
      <w:lvlText w:val="o"/>
      <w:lvlJc w:val="left"/>
      <w:pPr>
        <w:ind w:left="3600" w:hanging="360"/>
      </w:pPr>
      <w:rPr>
        <w:rFonts w:ascii="Courier New" w:hAnsi="Courier New" w:hint="default"/>
      </w:rPr>
    </w:lvl>
    <w:lvl w:ilvl="5" w:tplc="D0ACD724">
      <w:start w:val="1"/>
      <w:numFmt w:val="bullet"/>
      <w:lvlText w:val=""/>
      <w:lvlJc w:val="left"/>
      <w:pPr>
        <w:ind w:left="4320" w:hanging="360"/>
      </w:pPr>
      <w:rPr>
        <w:rFonts w:ascii="Wingdings" w:hAnsi="Wingdings" w:hint="default"/>
      </w:rPr>
    </w:lvl>
    <w:lvl w:ilvl="6" w:tplc="01D82A24">
      <w:start w:val="1"/>
      <w:numFmt w:val="bullet"/>
      <w:lvlText w:val=""/>
      <w:lvlJc w:val="left"/>
      <w:pPr>
        <w:ind w:left="5040" w:hanging="360"/>
      </w:pPr>
      <w:rPr>
        <w:rFonts w:ascii="Symbol" w:hAnsi="Symbol" w:hint="default"/>
      </w:rPr>
    </w:lvl>
    <w:lvl w:ilvl="7" w:tplc="12F834AA">
      <w:start w:val="1"/>
      <w:numFmt w:val="bullet"/>
      <w:lvlText w:val="o"/>
      <w:lvlJc w:val="left"/>
      <w:pPr>
        <w:ind w:left="5760" w:hanging="360"/>
      </w:pPr>
      <w:rPr>
        <w:rFonts w:ascii="Courier New" w:hAnsi="Courier New" w:hint="default"/>
      </w:rPr>
    </w:lvl>
    <w:lvl w:ilvl="8" w:tplc="C42C4738">
      <w:start w:val="1"/>
      <w:numFmt w:val="bullet"/>
      <w:lvlText w:val=""/>
      <w:lvlJc w:val="left"/>
      <w:pPr>
        <w:ind w:left="6480" w:hanging="360"/>
      </w:pPr>
      <w:rPr>
        <w:rFonts w:ascii="Wingdings" w:hAnsi="Wingdings" w:hint="default"/>
      </w:rPr>
    </w:lvl>
  </w:abstractNum>
  <w:abstractNum w:abstractNumId="59" w15:restartNumberingAfterBreak="0">
    <w:nsid w:val="09618A4B"/>
    <w:multiLevelType w:val="hybridMultilevel"/>
    <w:tmpl w:val="FFFFFFFF"/>
    <w:lvl w:ilvl="0" w:tplc="4BFC8CC8">
      <w:start w:val="8"/>
      <w:numFmt w:val="decimal"/>
      <w:lvlText w:val="%1."/>
      <w:lvlJc w:val="left"/>
      <w:pPr>
        <w:ind w:left="720" w:hanging="360"/>
      </w:pPr>
    </w:lvl>
    <w:lvl w:ilvl="1" w:tplc="722EAE72">
      <w:start w:val="1"/>
      <w:numFmt w:val="lowerLetter"/>
      <w:lvlText w:val="%2."/>
      <w:lvlJc w:val="left"/>
      <w:pPr>
        <w:ind w:left="1440" w:hanging="360"/>
      </w:pPr>
    </w:lvl>
    <w:lvl w:ilvl="2" w:tplc="D400947C">
      <w:start w:val="1"/>
      <w:numFmt w:val="lowerRoman"/>
      <w:lvlText w:val="%3."/>
      <w:lvlJc w:val="right"/>
      <w:pPr>
        <w:ind w:left="2160" w:hanging="180"/>
      </w:pPr>
    </w:lvl>
    <w:lvl w:ilvl="3" w:tplc="FA3EABE8">
      <w:start w:val="1"/>
      <w:numFmt w:val="decimal"/>
      <w:lvlText w:val="%4."/>
      <w:lvlJc w:val="left"/>
      <w:pPr>
        <w:ind w:left="2880" w:hanging="360"/>
      </w:pPr>
    </w:lvl>
    <w:lvl w:ilvl="4" w:tplc="7C00B2E2">
      <w:start w:val="1"/>
      <w:numFmt w:val="lowerLetter"/>
      <w:lvlText w:val="%5."/>
      <w:lvlJc w:val="left"/>
      <w:pPr>
        <w:ind w:left="3600" w:hanging="360"/>
      </w:pPr>
    </w:lvl>
    <w:lvl w:ilvl="5" w:tplc="1196E89C">
      <w:start w:val="1"/>
      <w:numFmt w:val="lowerRoman"/>
      <w:lvlText w:val="%6."/>
      <w:lvlJc w:val="right"/>
      <w:pPr>
        <w:ind w:left="4320" w:hanging="180"/>
      </w:pPr>
    </w:lvl>
    <w:lvl w:ilvl="6" w:tplc="6A2A25CA">
      <w:start w:val="1"/>
      <w:numFmt w:val="decimal"/>
      <w:lvlText w:val="%7."/>
      <w:lvlJc w:val="left"/>
      <w:pPr>
        <w:ind w:left="5040" w:hanging="360"/>
      </w:pPr>
    </w:lvl>
    <w:lvl w:ilvl="7" w:tplc="09A69496">
      <w:start w:val="1"/>
      <w:numFmt w:val="lowerLetter"/>
      <w:lvlText w:val="%8."/>
      <w:lvlJc w:val="left"/>
      <w:pPr>
        <w:ind w:left="5760" w:hanging="360"/>
      </w:pPr>
    </w:lvl>
    <w:lvl w:ilvl="8" w:tplc="C5FCE866">
      <w:start w:val="1"/>
      <w:numFmt w:val="lowerRoman"/>
      <w:lvlText w:val="%9."/>
      <w:lvlJc w:val="right"/>
      <w:pPr>
        <w:ind w:left="6480" w:hanging="180"/>
      </w:pPr>
    </w:lvl>
  </w:abstractNum>
  <w:abstractNum w:abstractNumId="60" w15:restartNumberingAfterBreak="0">
    <w:nsid w:val="09F123B6"/>
    <w:multiLevelType w:val="hybridMultilevel"/>
    <w:tmpl w:val="4A8E832E"/>
    <w:lvl w:ilvl="0" w:tplc="D8C0D6E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15:restartNumberingAfterBreak="0">
    <w:nsid w:val="09FC4086"/>
    <w:multiLevelType w:val="hybridMultilevel"/>
    <w:tmpl w:val="FFFFFFFF"/>
    <w:lvl w:ilvl="0" w:tplc="99CCAA5A">
      <w:start w:val="11"/>
      <w:numFmt w:val="decimal"/>
      <w:lvlText w:val="%1."/>
      <w:lvlJc w:val="left"/>
      <w:pPr>
        <w:ind w:left="720" w:hanging="360"/>
      </w:pPr>
    </w:lvl>
    <w:lvl w:ilvl="1" w:tplc="E67CABD0">
      <w:start w:val="1"/>
      <w:numFmt w:val="lowerLetter"/>
      <w:lvlText w:val="%2."/>
      <w:lvlJc w:val="left"/>
      <w:pPr>
        <w:ind w:left="1440" w:hanging="360"/>
      </w:pPr>
    </w:lvl>
    <w:lvl w:ilvl="2" w:tplc="DC4A8930">
      <w:start w:val="1"/>
      <w:numFmt w:val="lowerRoman"/>
      <w:lvlText w:val="%3."/>
      <w:lvlJc w:val="right"/>
      <w:pPr>
        <w:ind w:left="2160" w:hanging="180"/>
      </w:pPr>
    </w:lvl>
    <w:lvl w:ilvl="3" w:tplc="7FD0D4F4">
      <w:start w:val="1"/>
      <w:numFmt w:val="decimal"/>
      <w:lvlText w:val="%4."/>
      <w:lvlJc w:val="left"/>
      <w:pPr>
        <w:ind w:left="2880" w:hanging="360"/>
      </w:pPr>
    </w:lvl>
    <w:lvl w:ilvl="4" w:tplc="11867ED0">
      <w:start w:val="1"/>
      <w:numFmt w:val="lowerLetter"/>
      <w:lvlText w:val="%5."/>
      <w:lvlJc w:val="left"/>
      <w:pPr>
        <w:ind w:left="3600" w:hanging="360"/>
      </w:pPr>
    </w:lvl>
    <w:lvl w:ilvl="5" w:tplc="82BA9FB8">
      <w:start w:val="1"/>
      <w:numFmt w:val="lowerRoman"/>
      <w:lvlText w:val="%6."/>
      <w:lvlJc w:val="right"/>
      <w:pPr>
        <w:ind w:left="4320" w:hanging="180"/>
      </w:pPr>
    </w:lvl>
    <w:lvl w:ilvl="6" w:tplc="07828226">
      <w:start w:val="1"/>
      <w:numFmt w:val="decimal"/>
      <w:lvlText w:val="%7."/>
      <w:lvlJc w:val="left"/>
      <w:pPr>
        <w:ind w:left="5040" w:hanging="360"/>
      </w:pPr>
    </w:lvl>
    <w:lvl w:ilvl="7" w:tplc="912842AE">
      <w:start w:val="1"/>
      <w:numFmt w:val="lowerLetter"/>
      <w:lvlText w:val="%8."/>
      <w:lvlJc w:val="left"/>
      <w:pPr>
        <w:ind w:left="5760" w:hanging="360"/>
      </w:pPr>
    </w:lvl>
    <w:lvl w:ilvl="8" w:tplc="7D56D82A">
      <w:start w:val="1"/>
      <w:numFmt w:val="lowerRoman"/>
      <w:lvlText w:val="%9."/>
      <w:lvlJc w:val="right"/>
      <w:pPr>
        <w:ind w:left="6480" w:hanging="180"/>
      </w:pPr>
    </w:lvl>
  </w:abstractNum>
  <w:abstractNum w:abstractNumId="62" w15:restartNumberingAfterBreak="0">
    <w:nsid w:val="0A1F0A60"/>
    <w:multiLevelType w:val="hybridMultilevel"/>
    <w:tmpl w:val="D8C4788E"/>
    <w:lvl w:ilvl="0" w:tplc="18090017">
      <w:start w:val="1"/>
      <w:numFmt w:val="lowerLetter"/>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3" w15:restartNumberingAfterBreak="0">
    <w:nsid w:val="0A687BAC"/>
    <w:multiLevelType w:val="multilevel"/>
    <w:tmpl w:val="9BF22E1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4" w15:restartNumberingAfterBreak="0">
    <w:nsid w:val="0A6D252C"/>
    <w:multiLevelType w:val="hybridMultilevel"/>
    <w:tmpl w:val="92FAF1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0A7E4021"/>
    <w:multiLevelType w:val="hybridMultilevel"/>
    <w:tmpl w:val="EA1CB52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15:restartNumberingAfterBreak="0">
    <w:nsid w:val="0AB042EB"/>
    <w:multiLevelType w:val="hybridMultilevel"/>
    <w:tmpl w:val="98267608"/>
    <w:lvl w:ilvl="0" w:tplc="FFFFFFFF">
      <w:start w:val="1"/>
      <w:numFmt w:val="lowerLetter"/>
      <w:lvlText w:val="%1."/>
      <w:lvlJc w:val="left"/>
      <w:pPr>
        <w:ind w:left="720" w:hanging="360"/>
      </w:pPr>
    </w:lvl>
    <w:lvl w:ilvl="1" w:tplc="B7303C30">
      <w:start w:val="2"/>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0AC48331"/>
    <w:multiLevelType w:val="hybridMultilevel"/>
    <w:tmpl w:val="FFFFFFFF"/>
    <w:lvl w:ilvl="0" w:tplc="2FB0F470">
      <w:start w:val="9"/>
      <w:numFmt w:val="decimal"/>
      <w:lvlText w:val="%1."/>
      <w:lvlJc w:val="left"/>
      <w:pPr>
        <w:ind w:left="720" w:hanging="360"/>
      </w:pPr>
    </w:lvl>
    <w:lvl w:ilvl="1" w:tplc="262CDB7C">
      <w:start w:val="1"/>
      <w:numFmt w:val="lowerLetter"/>
      <w:lvlText w:val="%2."/>
      <w:lvlJc w:val="left"/>
      <w:pPr>
        <w:ind w:left="1440" w:hanging="360"/>
      </w:pPr>
    </w:lvl>
    <w:lvl w:ilvl="2" w:tplc="CD189A4A">
      <w:start w:val="1"/>
      <w:numFmt w:val="lowerRoman"/>
      <w:lvlText w:val="%3."/>
      <w:lvlJc w:val="right"/>
      <w:pPr>
        <w:ind w:left="2160" w:hanging="180"/>
      </w:pPr>
    </w:lvl>
    <w:lvl w:ilvl="3" w:tplc="A3CC37DC">
      <w:start w:val="1"/>
      <w:numFmt w:val="decimal"/>
      <w:lvlText w:val="%4."/>
      <w:lvlJc w:val="left"/>
      <w:pPr>
        <w:ind w:left="2880" w:hanging="360"/>
      </w:pPr>
    </w:lvl>
    <w:lvl w:ilvl="4" w:tplc="6040F492">
      <w:start w:val="1"/>
      <w:numFmt w:val="lowerLetter"/>
      <w:lvlText w:val="%5."/>
      <w:lvlJc w:val="left"/>
      <w:pPr>
        <w:ind w:left="3600" w:hanging="360"/>
      </w:pPr>
    </w:lvl>
    <w:lvl w:ilvl="5" w:tplc="20C6B424">
      <w:start w:val="1"/>
      <w:numFmt w:val="lowerRoman"/>
      <w:lvlText w:val="%6."/>
      <w:lvlJc w:val="right"/>
      <w:pPr>
        <w:ind w:left="4320" w:hanging="180"/>
      </w:pPr>
    </w:lvl>
    <w:lvl w:ilvl="6" w:tplc="567C5EAC">
      <w:start w:val="1"/>
      <w:numFmt w:val="decimal"/>
      <w:lvlText w:val="%7."/>
      <w:lvlJc w:val="left"/>
      <w:pPr>
        <w:ind w:left="5040" w:hanging="360"/>
      </w:pPr>
    </w:lvl>
    <w:lvl w:ilvl="7" w:tplc="87900506">
      <w:start w:val="1"/>
      <w:numFmt w:val="lowerLetter"/>
      <w:lvlText w:val="%8."/>
      <w:lvlJc w:val="left"/>
      <w:pPr>
        <w:ind w:left="5760" w:hanging="360"/>
      </w:pPr>
    </w:lvl>
    <w:lvl w:ilvl="8" w:tplc="0E120AE6">
      <w:start w:val="1"/>
      <w:numFmt w:val="lowerRoman"/>
      <w:lvlText w:val="%9."/>
      <w:lvlJc w:val="right"/>
      <w:pPr>
        <w:ind w:left="6480" w:hanging="180"/>
      </w:pPr>
    </w:lvl>
  </w:abstractNum>
  <w:abstractNum w:abstractNumId="68" w15:restartNumberingAfterBreak="0">
    <w:nsid w:val="0ACA247E"/>
    <w:multiLevelType w:val="hybridMultilevel"/>
    <w:tmpl w:val="70AC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ACC680F"/>
    <w:multiLevelType w:val="multilevel"/>
    <w:tmpl w:val="9DD0A3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AF577BC"/>
    <w:multiLevelType w:val="multilevel"/>
    <w:tmpl w:val="8A66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B0B67BF"/>
    <w:multiLevelType w:val="hybridMultilevel"/>
    <w:tmpl w:val="AC1C58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0B206FD5"/>
    <w:multiLevelType w:val="hybridMultilevel"/>
    <w:tmpl w:val="37F4E0E2"/>
    <w:lvl w:ilvl="0" w:tplc="F1503CAC">
      <w:start w:val="12"/>
      <w:numFmt w:val="lowerRoman"/>
      <w:lvlText w:val="%1."/>
      <w:lvlJc w:val="righ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0B4910E7"/>
    <w:multiLevelType w:val="hybridMultilevel"/>
    <w:tmpl w:val="2DB4A476"/>
    <w:lvl w:ilvl="0" w:tplc="FF9A50B0">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0B533329"/>
    <w:multiLevelType w:val="hybridMultilevel"/>
    <w:tmpl w:val="C3427584"/>
    <w:lvl w:ilvl="0" w:tplc="080C0001">
      <w:start w:val="1"/>
      <w:numFmt w:val="bullet"/>
      <w:lvlText w:val=""/>
      <w:lvlJc w:val="left"/>
      <w:pPr>
        <w:ind w:left="720" w:hanging="360"/>
      </w:pPr>
      <w:rPr>
        <w:rFonts w:ascii="Segoe UI" w:hAnsi="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75" w15:restartNumberingAfterBreak="0">
    <w:nsid w:val="0B8939DC"/>
    <w:multiLevelType w:val="multilevel"/>
    <w:tmpl w:val="C660D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BA727C9"/>
    <w:multiLevelType w:val="hybridMultilevel"/>
    <w:tmpl w:val="FFFFFFFF"/>
    <w:lvl w:ilvl="0" w:tplc="DA00AD48">
      <w:start w:val="1"/>
      <w:numFmt w:val="bullet"/>
      <w:lvlText w:val=""/>
      <w:lvlJc w:val="left"/>
      <w:pPr>
        <w:ind w:left="720" w:hanging="360"/>
      </w:pPr>
      <w:rPr>
        <w:rFonts w:ascii="Symbol" w:hAnsi="Symbol" w:hint="default"/>
      </w:rPr>
    </w:lvl>
    <w:lvl w:ilvl="1" w:tplc="1F601CFA">
      <w:start w:val="1"/>
      <w:numFmt w:val="bullet"/>
      <w:lvlText w:val="-"/>
      <w:lvlJc w:val="left"/>
      <w:pPr>
        <w:ind w:left="1440" w:hanging="360"/>
      </w:pPr>
      <w:rPr>
        <w:rFonts w:ascii="Calibri" w:hAnsi="Calibri" w:hint="default"/>
      </w:rPr>
    </w:lvl>
    <w:lvl w:ilvl="2" w:tplc="F334B0C0">
      <w:start w:val="1"/>
      <w:numFmt w:val="bullet"/>
      <w:lvlText w:val=""/>
      <w:lvlJc w:val="left"/>
      <w:pPr>
        <w:ind w:left="2160" w:hanging="360"/>
      </w:pPr>
      <w:rPr>
        <w:rFonts w:ascii="Wingdings" w:hAnsi="Wingdings" w:hint="default"/>
      </w:rPr>
    </w:lvl>
    <w:lvl w:ilvl="3" w:tplc="26004220">
      <w:start w:val="1"/>
      <w:numFmt w:val="bullet"/>
      <w:lvlText w:val=""/>
      <w:lvlJc w:val="left"/>
      <w:pPr>
        <w:ind w:left="2880" w:hanging="360"/>
      </w:pPr>
      <w:rPr>
        <w:rFonts w:ascii="Symbol" w:hAnsi="Symbol" w:hint="default"/>
      </w:rPr>
    </w:lvl>
    <w:lvl w:ilvl="4" w:tplc="52C01A7E">
      <w:start w:val="1"/>
      <w:numFmt w:val="bullet"/>
      <w:lvlText w:val="o"/>
      <w:lvlJc w:val="left"/>
      <w:pPr>
        <w:ind w:left="3600" w:hanging="360"/>
      </w:pPr>
      <w:rPr>
        <w:rFonts w:ascii="Courier New" w:hAnsi="Courier New" w:hint="default"/>
      </w:rPr>
    </w:lvl>
    <w:lvl w:ilvl="5" w:tplc="DE061B64">
      <w:start w:val="1"/>
      <w:numFmt w:val="bullet"/>
      <w:lvlText w:val=""/>
      <w:lvlJc w:val="left"/>
      <w:pPr>
        <w:ind w:left="4320" w:hanging="360"/>
      </w:pPr>
      <w:rPr>
        <w:rFonts w:ascii="Wingdings" w:hAnsi="Wingdings" w:hint="default"/>
      </w:rPr>
    </w:lvl>
    <w:lvl w:ilvl="6" w:tplc="47726038">
      <w:start w:val="1"/>
      <w:numFmt w:val="bullet"/>
      <w:lvlText w:val=""/>
      <w:lvlJc w:val="left"/>
      <w:pPr>
        <w:ind w:left="5040" w:hanging="360"/>
      </w:pPr>
      <w:rPr>
        <w:rFonts w:ascii="Symbol" w:hAnsi="Symbol" w:hint="default"/>
      </w:rPr>
    </w:lvl>
    <w:lvl w:ilvl="7" w:tplc="CDAA6838">
      <w:start w:val="1"/>
      <w:numFmt w:val="bullet"/>
      <w:lvlText w:val="o"/>
      <w:lvlJc w:val="left"/>
      <w:pPr>
        <w:ind w:left="5760" w:hanging="360"/>
      </w:pPr>
      <w:rPr>
        <w:rFonts w:ascii="Courier New" w:hAnsi="Courier New" w:hint="default"/>
      </w:rPr>
    </w:lvl>
    <w:lvl w:ilvl="8" w:tplc="B98A9C26">
      <w:start w:val="1"/>
      <w:numFmt w:val="bullet"/>
      <w:lvlText w:val=""/>
      <w:lvlJc w:val="left"/>
      <w:pPr>
        <w:ind w:left="6480" w:hanging="360"/>
      </w:pPr>
      <w:rPr>
        <w:rFonts w:ascii="Wingdings" w:hAnsi="Wingdings" w:hint="default"/>
      </w:rPr>
    </w:lvl>
  </w:abstractNum>
  <w:abstractNum w:abstractNumId="77" w15:restartNumberingAfterBreak="0">
    <w:nsid w:val="0BCC2112"/>
    <w:multiLevelType w:val="hybridMultilevel"/>
    <w:tmpl w:val="FFFFFFFF"/>
    <w:lvl w:ilvl="0" w:tplc="F24CEC56">
      <w:start w:val="1"/>
      <w:numFmt w:val="bullet"/>
      <w:lvlText w:val=""/>
      <w:lvlJc w:val="left"/>
      <w:pPr>
        <w:ind w:left="720" w:hanging="360"/>
      </w:pPr>
      <w:rPr>
        <w:rFonts w:ascii="Symbol" w:hAnsi="Symbol" w:hint="default"/>
      </w:rPr>
    </w:lvl>
    <w:lvl w:ilvl="1" w:tplc="45649E9C">
      <w:start w:val="1"/>
      <w:numFmt w:val="bullet"/>
      <w:lvlText w:val="-"/>
      <w:lvlJc w:val="left"/>
      <w:pPr>
        <w:ind w:left="1440" w:hanging="360"/>
      </w:pPr>
      <w:rPr>
        <w:rFonts w:ascii="Calibri" w:hAnsi="Calibri" w:hint="default"/>
      </w:rPr>
    </w:lvl>
    <w:lvl w:ilvl="2" w:tplc="3CFE64FC">
      <w:start w:val="1"/>
      <w:numFmt w:val="bullet"/>
      <w:lvlText w:val=""/>
      <w:lvlJc w:val="left"/>
      <w:pPr>
        <w:ind w:left="2160" w:hanging="360"/>
      </w:pPr>
      <w:rPr>
        <w:rFonts w:ascii="Wingdings" w:hAnsi="Wingdings" w:hint="default"/>
      </w:rPr>
    </w:lvl>
    <w:lvl w:ilvl="3" w:tplc="83307060">
      <w:start w:val="1"/>
      <w:numFmt w:val="bullet"/>
      <w:lvlText w:val=""/>
      <w:lvlJc w:val="left"/>
      <w:pPr>
        <w:ind w:left="2880" w:hanging="360"/>
      </w:pPr>
      <w:rPr>
        <w:rFonts w:ascii="Symbol" w:hAnsi="Symbol" w:hint="default"/>
      </w:rPr>
    </w:lvl>
    <w:lvl w:ilvl="4" w:tplc="A3941560">
      <w:start w:val="1"/>
      <w:numFmt w:val="bullet"/>
      <w:lvlText w:val="o"/>
      <w:lvlJc w:val="left"/>
      <w:pPr>
        <w:ind w:left="3600" w:hanging="360"/>
      </w:pPr>
      <w:rPr>
        <w:rFonts w:ascii="Courier New" w:hAnsi="Courier New" w:hint="default"/>
      </w:rPr>
    </w:lvl>
    <w:lvl w:ilvl="5" w:tplc="691A649E">
      <w:start w:val="1"/>
      <w:numFmt w:val="bullet"/>
      <w:lvlText w:val=""/>
      <w:lvlJc w:val="left"/>
      <w:pPr>
        <w:ind w:left="4320" w:hanging="360"/>
      </w:pPr>
      <w:rPr>
        <w:rFonts w:ascii="Wingdings" w:hAnsi="Wingdings" w:hint="default"/>
      </w:rPr>
    </w:lvl>
    <w:lvl w:ilvl="6" w:tplc="5BC29AD6">
      <w:start w:val="1"/>
      <w:numFmt w:val="bullet"/>
      <w:lvlText w:val=""/>
      <w:lvlJc w:val="left"/>
      <w:pPr>
        <w:ind w:left="5040" w:hanging="360"/>
      </w:pPr>
      <w:rPr>
        <w:rFonts w:ascii="Symbol" w:hAnsi="Symbol" w:hint="default"/>
      </w:rPr>
    </w:lvl>
    <w:lvl w:ilvl="7" w:tplc="A3C076E0">
      <w:start w:val="1"/>
      <w:numFmt w:val="bullet"/>
      <w:lvlText w:val="o"/>
      <w:lvlJc w:val="left"/>
      <w:pPr>
        <w:ind w:left="5760" w:hanging="360"/>
      </w:pPr>
      <w:rPr>
        <w:rFonts w:ascii="Courier New" w:hAnsi="Courier New" w:hint="default"/>
      </w:rPr>
    </w:lvl>
    <w:lvl w:ilvl="8" w:tplc="E7D69C9E">
      <w:start w:val="1"/>
      <w:numFmt w:val="bullet"/>
      <w:lvlText w:val=""/>
      <w:lvlJc w:val="left"/>
      <w:pPr>
        <w:ind w:left="6480" w:hanging="360"/>
      </w:pPr>
      <w:rPr>
        <w:rFonts w:ascii="Wingdings" w:hAnsi="Wingdings" w:hint="default"/>
      </w:rPr>
    </w:lvl>
  </w:abstractNum>
  <w:abstractNum w:abstractNumId="78" w15:restartNumberingAfterBreak="0">
    <w:nsid w:val="0BF72E00"/>
    <w:multiLevelType w:val="hybridMultilevel"/>
    <w:tmpl w:val="DD2CA33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0C385703"/>
    <w:multiLevelType w:val="hybridMultilevel"/>
    <w:tmpl w:val="FFFFFFFF"/>
    <w:lvl w:ilvl="0" w:tplc="FFFFFFFF">
      <w:start w:val="1"/>
      <w:numFmt w:val="decimal"/>
      <w:lvlText w:val="%1."/>
      <w:lvlJc w:val="left"/>
      <w:pPr>
        <w:ind w:left="720" w:hanging="360"/>
      </w:pPr>
      <w:rPr>
        <w:rFonts w:hint="default"/>
      </w:rPr>
    </w:lvl>
    <w:lvl w:ilvl="1" w:tplc="26F87DA6">
      <w:start w:val="1"/>
      <w:numFmt w:val="bullet"/>
      <w:lvlText w:val="o"/>
      <w:lvlJc w:val="left"/>
      <w:pPr>
        <w:ind w:left="1440" w:hanging="360"/>
      </w:pPr>
      <w:rPr>
        <w:rFonts w:ascii="Courier New" w:hAnsi="Courier New" w:hint="default"/>
      </w:rPr>
    </w:lvl>
    <w:lvl w:ilvl="2" w:tplc="EBE4107C">
      <w:start w:val="1"/>
      <w:numFmt w:val="bullet"/>
      <w:lvlText w:val=""/>
      <w:lvlJc w:val="left"/>
      <w:pPr>
        <w:ind w:left="2160" w:hanging="360"/>
      </w:pPr>
      <w:rPr>
        <w:rFonts w:ascii="Wingdings" w:hAnsi="Wingdings" w:hint="default"/>
      </w:rPr>
    </w:lvl>
    <w:lvl w:ilvl="3" w:tplc="C1DEE4CC">
      <w:start w:val="1"/>
      <w:numFmt w:val="bullet"/>
      <w:lvlText w:val=""/>
      <w:lvlJc w:val="left"/>
      <w:pPr>
        <w:ind w:left="2880" w:hanging="360"/>
      </w:pPr>
      <w:rPr>
        <w:rFonts w:ascii="Symbol" w:hAnsi="Symbol" w:hint="default"/>
      </w:rPr>
    </w:lvl>
    <w:lvl w:ilvl="4" w:tplc="0388E032">
      <w:start w:val="1"/>
      <w:numFmt w:val="bullet"/>
      <w:lvlText w:val="o"/>
      <w:lvlJc w:val="left"/>
      <w:pPr>
        <w:ind w:left="3600" w:hanging="360"/>
      </w:pPr>
      <w:rPr>
        <w:rFonts w:ascii="Courier New" w:hAnsi="Courier New" w:hint="default"/>
      </w:rPr>
    </w:lvl>
    <w:lvl w:ilvl="5" w:tplc="8410B7A0">
      <w:start w:val="1"/>
      <w:numFmt w:val="bullet"/>
      <w:lvlText w:val=""/>
      <w:lvlJc w:val="left"/>
      <w:pPr>
        <w:ind w:left="4320" w:hanging="360"/>
      </w:pPr>
      <w:rPr>
        <w:rFonts w:ascii="Wingdings" w:hAnsi="Wingdings" w:hint="default"/>
      </w:rPr>
    </w:lvl>
    <w:lvl w:ilvl="6" w:tplc="06A65D1C">
      <w:start w:val="1"/>
      <w:numFmt w:val="bullet"/>
      <w:lvlText w:val=""/>
      <w:lvlJc w:val="left"/>
      <w:pPr>
        <w:ind w:left="5040" w:hanging="360"/>
      </w:pPr>
      <w:rPr>
        <w:rFonts w:ascii="Symbol" w:hAnsi="Symbol" w:hint="default"/>
      </w:rPr>
    </w:lvl>
    <w:lvl w:ilvl="7" w:tplc="84809D22">
      <w:start w:val="1"/>
      <w:numFmt w:val="bullet"/>
      <w:lvlText w:val="o"/>
      <w:lvlJc w:val="left"/>
      <w:pPr>
        <w:ind w:left="5760" w:hanging="360"/>
      </w:pPr>
      <w:rPr>
        <w:rFonts w:ascii="Courier New" w:hAnsi="Courier New" w:hint="default"/>
      </w:rPr>
    </w:lvl>
    <w:lvl w:ilvl="8" w:tplc="CB204382">
      <w:start w:val="1"/>
      <w:numFmt w:val="bullet"/>
      <w:lvlText w:val=""/>
      <w:lvlJc w:val="left"/>
      <w:pPr>
        <w:ind w:left="6480" w:hanging="360"/>
      </w:pPr>
      <w:rPr>
        <w:rFonts w:ascii="Wingdings" w:hAnsi="Wingdings" w:hint="default"/>
      </w:rPr>
    </w:lvl>
  </w:abstractNum>
  <w:abstractNum w:abstractNumId="80" w15:restartNumberingAfterBreak="0">
    <w:nsid w:val="0C622675"/>
    <w:multiLevelType w:val="hybridMultilevel"/>
    <w:tmpl w:val="FFFFFFFF"/>
    <w:lvl w:ilvl="0" w:tplc="4A3AF234">
      <w:start w:val="1"/>
      <w:numFmt w:val="bullet"/>
      <w:lvlText w:val=""/>
      <w:lvlJc w:val="left"/>
      <w:pPr>
        <w:ind w:left="720" w:hanging="360"/>
      </w:pPr>
      <w:rPr>
        <w:rFonts w:ascii="Symbol" w:hAnsi="Symbol" w:hint="default"/>
      </w:rPr>
    </w:lvl>
    <w:lvl w:ilvl="1" w:tplc="6660098C">
      <w:start w:val="1"/>
      <w:numFmt w:val="bullet"/>
      <w:lvlText w:val="o"/>
      <w:lvlJc w:val="left"/>
      <w:pPr>
        <w:ind w:left="1440" w:hanging="360"/>
      </w:pPr>
      <w:rPr>
        <w:rFonts w:ascii="Courier New" w:hAnsi="Courier New" w:hint="default"/>
      </w:rPr>
    </w:lvl>
    <w:lvl w:ilvl="2" w:tplc="89448F32">
      <w:start w:val="1"/>
      <w:numFmt w:val="bullet"/>
      <w:lvlText w:val=""/>
      <w:lvlJc w:val="left"/>
      <w:pPr>
        <w:ind w:left="2160" w:hanging="360"/>
      </w:pPr>
      <w:rPr>
        <w:rFonts w:ascii="Wingdings" w:hAnsi="Wingdings" w:hint="default"/>
      </w:rPr>
    </w:lvl>
    <w:lvl w:ilvl="3" w:tplc="F92815AA">
      <w:start w:val="1"/>
      <w:numFmt w:val="bullet"/>
      <w:lvlText w:val=""/>
      <w:lvlJc w:val="left"/>
      <w:pPr>
        <w:ind w:left="2880" w:hanging="360"/>
      </w:pPr>
      <w:rPr>
        <w:rFonts w:ascii="Symbol" w:hAnsi="Symbol" w:hint="default"/>
      </w:rPr>
    </w:lvl>
    <w:lvl w:ilvl="4" w:tplc="849E1B70">
      <w:start w:val="1"/>
      <w:numFmt w:val="bullet"/>
      <w:lvlText w:val="o"/>
      <w:lvlJc w:val="left"/>
      <w:pPr>
        <w:ind w:left="3600" w:hanging="360"/>
      </w:pPr>
      <w:rPr>
        <w:rFonts w:ascii="Courier New" w:hAnsi="Courier New" w:hint="default"/>
      </w:rPr>
    </w:lvl>
    <w:lvl w:ilvl="5" w:tplc="E9D407D2">
      <w:start w:val="1"/>
      <w:numFmt w:val="bullet"/>
      <w:lvlText w:val=""/>
      <w:lvlJc w:val="left"/>
      <w:pPr>
        <w:ind w:left="4320" w:hanging="360"/>
      </w:pPr>
      <w:rPr>
        <w:rFonts w:ascii="Wingdings" w:hAnsi="Wingdings" w:hint="default"/>
      </w:rPr>
    </w:lvl>
    <w:lvl w:ilvl="6" w:tplc="5A98CC66">
      <w:start w:val="1"/>
      <w:numFmt w:val="bullet"/>
      <w:lvlText w:val=""/>
      <w:lvlJc w:val="left"/>
      <w:pPr>
        <w:ind w:left="5040" w:hanging="360"/>
      </w:pPr>
      <w:rPr>
        <w:rFonts w:ascii="Symbol" w:hAnsi="Symbol" w:hint="default"/>
      </w:rPr>
    </w:lvl>
    <w:lvl w:ilvl="7" w:tplc="E638B9CA">
      <w:start w:val="1"/>
      <w:numFmt w:val="bullet"/>
      <w:lvlText w:val="o"/>
      <w:lvlJc w:val="left"/>
      <w:pPr>
        <w:ind w:left="5760" w:hanging="360"/>
      </w:pPr>
      <w:rPr>
        <w:rFonts w:ascii="Courier New" w:hAnsi="Courier New" w:hint="default"/>
      </w:rPr>
    </w:lvl>
    <w:lvl w:ilvl="8" w:tplc="0EDC8CBE">
      <w:start w:val="1"/>
      <w:numFmt w:val="bullet"/>
      <w:lvlText w:val=""/>
      <w:lvlJc w:val="left"/>
      <w:pPr>
        <w:ind w:left="6480" w:hanging="360"/>
      </w:pPr>
      <w:rPr>
        <w:rFonts w:ascii="Wingdings" w:hAnsi="Wingdings" w:hint="default"/>
      </w:rPr>
    </w:lvl>
  </w:abstractNum>
  <w:abstractNum w:abstractNumId="81" w15:restartNumberingAfterBreak="0">
    <w:nsid w:val="0C64098B"/>
    <w:multiLevelType w:val="hybridMultilevel"/>
    <w:tmpl w:val="798EB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0CADF933"/>
    <w:multiLevelType w:val="hybridMultilevel"/>
    <w:tmpl w:val="FFFFFFFF"/>
    <w:lvl w:ilvl="0" w:tplc="43D21D2C">
      <w:start w:val="1"/>
      <w:numFmt w:val="bullet"/>
      <w:lvlText w:val=""/>
      <w:lvlJc w:val="left"/>
      <w:pPr>
        <w:ind w:left="720" w:hanging="360"/>
      </w:pPr>
      <w:rPr>
        <w:rFonts w:ascii="Symbol" w:hAnsi="Symbol" w:hint="default"/>
      </w:rPr>
    </w:lvl>
    <w:lvl w:ilvl="1" w:tplc="8E605A44">
      <w:start w:val="1"/>
      <w:numFmt w:val="bullet"/>
      <w:lvlText w:val="o"/>
      <w:lvlJc w:val="left"/>
      <w:pPr>
        <w:ind w:left="1440" w:hanging="360"/>
      </w:pPr>
      <w:rPr>
        <w:rFonts w:ascii="Courier New" w:hAnsi="Courier New" w:hint="default"/>
      </w:rPr>
    </w:lvl>
    <w:lvl w:ilvl="2" w:tplc="671052A8">
      <w:start w:val="1"/>
      <w:numFmt w:val="bullet"/>
      <w:lvlText w:val=""/>
      <w:lvlJc w:val="left"/>
      <w:pPr>
        <w:ind w:left="2160" w:hanging="360"/>
      </w:pPr>
      <w:rPr>
        <w:rFonts w:ascii="Wingdings" w:hAnsi="Wingdings" w:hint="default"/>
      </w:rPr>
    </w:lvl>
    <w:lvl w:ilvl="3" w:tplc="5C3A8554">
      <w:start w:val="1"/>
      <w:numFmt w:val="bullet"/>
      <w:lvlText w:val=""/>
      <w:lvlJc w:val="left"/>
      <w:pPr>
        <w:ind w:left="2880" w:hanging="360"/>
      </w:pPr>
      <w:rPr>
        <w:rFonts w:ascii="Symbol" w:hAnsi="Symbol" w:hint="default"/>
      </w:rPr>
    </w:lvl>
    <w:lvl w:ilvl="4" w:tplc="6554A2CC">
      <w:start w:val="1"/>
      <w:numFmt w:val="bullet"/>
      <w:lvlText w:val="o"/>
      <w:lvlJc w:val="left"/>
      <w:pPr>
        <w:ind w:left="3600" w:hanging="360"/>
      </w:pPr>
      <w:rPr>
        <w:rFonts w:ascii="Courier New" w:hAnsi="Courier New" w:hint="default"/>
      </w:rPr>
    </w:lvl>
    <w:lvl w:ilvl="5" w:tplc="0AF6D1D4">
      <w:start w:val="1"/>
      <w:numFmt w:val="bullet"/>
      <w:lvlText w:val=""/>
      <w:lvlJc w:val="left"/>
      <w:pPr>
        <w:ind w:left="4320" w:hanging="360"/>
      </w:pPr>
      <w:rPr>
        <w:rFonts w:ascii="Wingdings" w:hAnsi="Wingdings" w:hint="default"/>
      </w:rPr>
    </w:lvl>
    <w:lvl w:ilvl="6" w:tplc="3AF2A014">
      <w:start w:val="1"/>
      <w:numFmt w:val="bullet"/>
      <w:lvlText w:val=""/>
      <w:lvlJc w:val="left"/>
      <w:pPr>
        <w:ind w:left="5040" w:hanging="360"/>
      </w:pPr>
      <w:rPr>
        <w:rFonts w:ascii="Symbol" w:hAnsi="Symbol" w:hint="default"/>
      </w:rPr>
    </w:lvl>
    <w:lvl w:ilvl="7" w:tplc="AE4AC69A">
      <w:start w:val="1"/>
      <w:numFmt w:val="bullet"/>
      <w:lvlText w:val="o"/>
      <w:lvlJc w:val="left"/>
      <w:pPr>
        <w:ind w:left="5760" w:hanging="360"/>
      </w:pPr>
      <w:rPr>
        <w:rFonts w:ascii="Courier New" w:hAnsi="Courier New" w:hint="default"/>
      </w:rPr>
    </w:lvl>
    <w:lvl w:ilvl="8" w:tplc="AFF49730">
      <w:start w:val="1"/>
      <w:numFmt w:val="bullet"/>
      <w:lvlText w:val=""/>
      <w:lvlJc w:val="left"/>
      <w:pPr>
        <w:ind w:left="6480" w:hanging="360"/>
      </w:pPr>
      <w:rPr>
        <w:rFonts w:ascii="Wingdings" w:hAnsi="Wingdings" w:hint="default"/>
      </w:rPr>
    </w:lvl>
  </w:abstractNum>
  <w:abstractNum w:abstractNumId="83" w15:restartNumberingAfterBreak="0">
    <w:nsid w:val="0CDA48BB"/>
    <w:multiLevelType w:val="hybridMultilevel"/>
    <w:tmpl w:val="D68650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0D453578"/>
    <w:multiLevelType w:val="hybridMultilevel"/>
    <w:tmpl w:val="E376D2F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5" w15:restartNumberingAfterBreak="0">
    <w:nsid w:val="0D965EC9"/>
    <w:multiLevelType w:val="hybridMultilevel"/>
    <w:tmpl w:val="193C5F88"/>
    <w:lvl w:ilvl="0" w:tplc="FFFFFFFF">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6" w15:restartNumberingAfterBreak="0">
    <w:nsid w:val="0DE41DAE"/>
    <w:multiLevelType w:val="hybridMultilevel"/>
    <w:tmpl w:val="C97C37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0E3B2876"/>
    <w:multiLevelType w:val="hybridMultilevel"/>
    <w:tmpl w:val="ED267130"/>
    <w:lvl w:ilvl="0" w:tplc="08090001">
      <w:start w:val="1"/>
      <w:numFmt w:val="bullet"/>
      <w:lvlText w:val=""/>
      <w:lvlJc w:val="left"/>
      <w:pPr>
        <w:ind w:left="1429" w:hanging="360"/>
      </w:pPr>
      <w:rPr>
        <w:rFonts w:ascii="Segoe UI" w:hAnsi="Segoe U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Cambria Math" w:hAnsi="Cambria Math" w:hint="default"/>
      </w:rPr>
    </w:lvl>
    <w:lvl w:ilvl="3" w:tplc="04090001" w:tentative="1">
      <w:start w:val="1"/>
      <w:numFmt w:val="bullet"/>
      <w:lvlText w:val=""/>
      <w:lvlJc w:val="left"/>
      <w:pPr>
        <w:ind w:left="3589" w:hanging="360"/>
      </w:pPr>
      <w:rPr>
        <w:rFonts w:ascii="Segoe UI" w:hAnsi="Segoe UI"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Cambria Math" w:hAnsi="Cambria Math" w:hint="default"/>
      </w:rPr>
    </w:lvl>
    <w:lvl w:ilvl="6" w:tplc="04090001" w:tentative="1">
      <w:start w:val="1"/>
      <w:numFmt w:val="bullet"/>
      <w:lvlText w:val=""/>
      <w:lvlJc w:val="left"/>
      <w:pPr>
        <w:ind w:left="5749" w:hanging="360"/>
      </w:pPr>
      <w:rPr>
        <w:rFonts w:ascii="Segoe UI" w:hAnsi="Segoe UI"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Cambria Math" w:hAnsi="Cambria Math" w:hint="default"/>
      </w:rPr>
    </w:lvl>
  </w:abstractNum>
  <w:abstractNum w:abstractNumId="88" w15:restartNumberingAfterBreak="0">
    <w:nsid w:val="0E67283E"/>
    <w:multiLevelType w:val="hybridMultilevel"/>
    <w:tmpl w:val="37AAE84C"/>
    <w:lvl w:ilvl="0" w:tplc="F2F660E2">
      <w:numFmt w:val="bullet"/>
      <w:lvlText w:val="•"/>
      <w:lvlJc w:val="left"/>
      <w:pPr>
        <w:ind w:left="360" w:hanging="360"/>
      </w:pPr>
      <w:rPr>
        <w:rFonts w:ascii="Symbol" w:eastAsiaTheme="minorHAnsi"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Cambria Math" w:hAnsi="Cambria Math" w:hint="default"/>
      </w:rPr>
    </w:lvl>
    <w:lvl w:ilvl="3" w:tplc="0C0A0001">
      <w:start w:val="1"/>
      <w:numFmt w:val="bullet"/>
      <w:lvlText w:val=""/>
      <w:lvlJc w:val="left"/>
      <w:pPr>
        <w:ind w:left="2520" w:hanging="360"/>
      </w:pPr>
      <w:rPr>
        <w:rFonts w:ascii="Segoe UI" w:hAnsi="Segoe UI"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Cambria Math" w:hAnsi="Cambria Math" w:hint="default"/>
      </w:rPr>
    </w:lvl>
    <w:lvl w:ilvl="6" w:tplc="0C0A0001">
      <w:start w:val="1"/>
      <w:numFmt w:val="bullet"/>
      <w:lvlText w:val=""/>
      <w:lvlJc w:val="left"/>
      <w:pPr>
        <w:ind w:left="4680" w:hanging="360"/>
      </w:pPr>
      <w:rPr>
        <w:rFonts w:ascii="Segoe UI" w:hAnsi="Segoe UI"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Cambria Math" w:hAnsi="Cambria Math" w:hint="default"/>
      </w:rPr>
    </w:lvl>
  </w:abstractNum>
  <w:abstractNum w:abstractNumId="89" w15:restartNumberingAfterBreak="0">
    <w:nsid w:val="0ED541BB"/>
    <w:multiLevelType w:val="multilevel"/>
    <w:tmpl w:val="E55E00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0EF5261A"/>
    <w:multiLevelType w:val="hybridMultilevel"/>
    <w:tmpl w:val="FFFFFFFF"/>
    <w:lvl w:ilvl="0" w:tplc="6AF22888">
      <w:start w:val="4"/>
      <w:numFmt w:val="decimal"/>
      <w:lvlText w:val="%1."/>
      <w:lvlJc w:val="left"/>
      <w:pPr>
        <w:ind w:left="720" w:hanging="360"/>
      </w:pPr>
    </w:lvl>
    <w:lvl w:ilvl="1" w:tplc="2E9CA70C">
      <w:start w:val="1"/>
      <w:numFmt w:val="lowerLetter"/>
      <w:lvlText w:val="%2."/>
      <w:lvlJc w:val="left"/>
      <w:pPr>
        <w:ind w:left="1440" w:hanging="360"/>
      </w:pPr>
    </w:lvl>
    <w:lvl w:ilvl="2" w:tplc="F8E04C10">
      <w:start w:val="1"/>
      <w:numFmt w:val="lowerRoman"/>
      <w:lvlText w:val="%3."/>
      <w:lvlJc w:val="right"/>
      <w:pPr>
        <w:ind w:left="2160" w:hanging="180"/>
      </w:pPr>
    </w:lvl>
    <w:lvl w:ilvl="3" w:tplc="68CE2BEE">
      <w:start w:val="1"/>
      <w:numFmt w:val="decimal"/>
      <w:lvlText w:val="%4."/>
      <w:lvlJc w:val="left"/>
      <w:pPr>
        <w:ind w:left="2880" w:hanging="360"/>
      </w:pPr>
    </w:lvl>
    <w:lvl w:ilvl="4" w:tplc="AA4EE106">
      <w:start w:val="1"/>
      <w:numFmt w:val="lowerLetter"/>
      <w:lvlText w:val="%5."/>
      <w:lvlJc w:val="left"/>
      <w:pPr>
        <w:ind w:left="3600" w:hanging="360"/>
      </w:pPr>
    </w:lvl>
    <w:lvl w:ilvl="5" w:tplc="3300EA02">
      <w:start w:val="1"/>
      <w:numFmt w:val="lowerRoman"/>
      <w:lvlText w:val="%6."/>
      <w:lvlJc w:val="right"/>
      <w:pPr>
        <w:ind w:left="4320" w:hanging="180"/>
      </w:pPr>
    </w:lvl>
    <w:lvl w:ilvl="6" w:tplc="0CD2333E">
      <w:start w:val="1"/>
      <w:numFmt w:val="decimal"/>
      <w:lvlText w:val="%7."/>
      <w:lvlJc w:val="left"/>
      <w:pPr>
        <w:ind w:left="5040" w:hanging="360"/>
      </w:pPr>
    </w:lvl>
    <w:lvl w:ilvl="7" w:tplc="4E1E6E8A">
      <w:start w:val="1"/>
      <w:numFmt w:val="lowerLetter"/>
      <w:lvlText w:val="%8."/>
      <w:lvlJc w:val="left"/>
      <w:pPr>
        <w:ind w:left="5760" w:hanging="360"/>
      </w:pPr>
    </w:lvl>
    <w:lvl w:ilvl="8" w:tplc="1AE64628">
      <w:start w:val="1"/>
      <w:numFmt w:val="lowerRoman"/>
      <w:lvlText w:val="%9."/>
      <w:lvlJc w:val="right"/>
      <w:pPr>
        <w:ind w:left="6480" w:hanging="180"/>
      </w:pPr>
    </w:lvl>
  </w:abstractNum>
  <w:abstractNum w:abstractNumId="91" w15:restartNumberingAfterBreak="0">
    <w:nsid w:val="0F073155"/>
    <w:multiLevelType w:val="multilevel"/>
    <w:tmpl w:val="8FF08B1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0F1A7815"/>
    <w:multiLevelType w:val="hybridMultilevel"/>
    <w:tmpl w:val="44280D2C"/>
    <w:lvl w:ilvl="0" w:tplc="ECE83E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0F4A355E"/>
    <w:multiLevelType w:val="hybridMultilevel"/>
    <w:tmpl w:val="A9269A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0F9EC93B"/>
    <w:multiLevelType w:val="hybridMultilevel"/>
    <w:tmpl w:val="BCF6CC0A"/>
    <w:lvl w:ilvl="0" w:tplc="495A55B8">
      <w:start w:val="3"/>
      <w:numFmt w:val="lowerLetter"/>
      <w:lvlText w:val="%1."/>
      <w:lvlJc w:val="left"/>
      <w:pPr>
        <w:ind w:left="720" w:hanging="360"/>
      </w:pPr>
    </w:lvl>
    <w:lvl w:ilvl="1" w:tplc="F4C4BEFC">
      <w:start w:val="1"/>
      <w:numFmt w:val="lowerLetter"/>
      <w:lvlText w:val="%2."/>
      <w:lvlJc w:val="left"/>
      <w:pPr>
        <w:ind w:left="1440" w:hanging="360"/>
      </w:pPr>
    </w:lvl>
    <w:lvl w:ilvl="2" w:tplc="5F6C3B0A">
      <w:start w:val="1"/>
      <w:numFmt w:val="lowerRoman"/>
      <w:lvlText w:val="%3."/>
      <w:lvlJc w:val="right"/>
      <w:pPr>
        <w:ind w:left="2160" w:hanging="180"/>
      </w:pPr>
    </w:lvl>
    <w:lvl w:ilvl="3" w:tplc="6040D4AC">
      <w:start w:val="1"/>
      <w:numFmt w:val="decimal"/>
      <w:lvlText w:val="%4."/>
      <w:lvlJc w:val="left"/>
      <w:pPr>
        <w:ind w:left="2880" w:hanging="360"/>
      </w:pPr>
    </w:lvl>
    <w:lvl w:ilvl="4" w:tplc="417C95AC">
      <w:start w:val="1"/>
      <w:numFmt w:val="lowerLetter"/>
      <w:lvlText w:val="%5."/>
      <w:lvlJc w:val="left"/>
      <w:pPr>
        <w:ind w:left="3600" w:hanging="360"/>
      </w:pPr>
    </w:lvl>
    <w:lvl w:ilvl="5" w:tplc="7D246146">
      <w:start w:val="1"/>
      <w:numFmt w:val="lowerRoman"/>
      <w:lvlText w:val="%6."/>
      <w:lvlJc w:val="right"/>
      <w:pPr>
        <w:ind w:left="4320" w:hanging="180"/>
      </w:pPr>
    </w:lvl>
    <w:lvl w:ilvl="6" w:tplc="4672E726">
      <w:start w:val="1"/>
      <w:numFmt w:val="decimal"/>
      <w:lvlText w:val="%7."/>
      <w:lvlJc w:val="left"/>
      <w:pPr>
        <w:ind w:left="5040" w:hanging="360"/>
      </w:pPr>
    </w:lvl>
    <w:lvl w:ilvl="7" w:tplc="5E345262">
      <w:start w:val="1"/>
      <w:numFmt w:val="lowerLetter"/>
      <w:lvlText w:val="%8."/>
      <w:lvlJc w:val="left"/>
      <w:pPr>
        <w:ind w:left="5760" w:hanging="360"/>
      </w:pPr>
    </w:lvl>
    <w:lvl w:ilvl="8" w:tplc="F404CBA0">
      <w:start w:val="1"/>
      <w:numFmt w:val="lowerRoman"/>
      <w:lvlText w:val="%9."/>
      <w:lvlJc w:val="right"/>
      <w:pPr>
        <w:ind w:left="6480" w:hanging="180"/>
      </w:pPr>
    </w:lvl>
  </w:abstractNum>
  <w:abstractNum w:abstractNumId="95" w15:restartNumberingAfterBreak="0">
    <w:nsid w:val="0FC4125E"/>
    <w:multiLevelType w:val="hybridMultilevel"/>
    <w:tmpl w:val="954E797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0FCD64C0"/>
    <w:multiLevelType w:val="hybridMultilevel"/>
    <w:tmpl w:val="115409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1018BE72"/>
    <w:multiLevelType w:val="hybridMultilevel"/>
    <w:tmpl w:val="346205C2"/>
    <w:lvl w:ilvl="0" w:tplc="1EB693CC">
      <w:start w:val="1"/>
      <w:numFmt w:val="bullet"/>
      <w:lvlText w:val="-"/>
      <w:lvlJc w:val="left"/>
      <w:pPr>
        <w:ind w:left="720" w:hanging="360"/>
      </w:pPr>
      <w:rPr>
        <w:rFonts w:ascii="Symbol" w:hAnsi="Symbol" w:hint="default"/>
      </w:rPr>
    </w:lvl>
    <w:lvl w:ilvl="1" w:tplc="A3B4DCB2">
      <w:start w:val="1"/>
      <w:numFmt w:val="bullet"/>
      <w:lvlText w:val="o"/>
      <w:lvlJc w:val="left"/>
      <w:pPr>
        <w:ind w:left="1440" w:hanging="360"/>
      </w:pPr>
      <w:rPr>
        <w:rFonts w:ascii="Courier New" w:hAnsi="Courier New" w:hint="default"/>
      </w:rPr>
    </w:lvl>
    <w:lvl w:ilvl="2" w:tplc="1C72C88A">
      <w:start w:val="1"/>
      <w:numFmt w:val="bullet"/>
      <w:lvlText w:val=""/>
      <w:lvlJc w:val="left"/>
      <w:pPr>
        <w:ind w:left="2160" w:hanging="360"/>
      </w:pPr>
      <w:rPr>
        <w:rFonts w:ascii="Wingdings" w:hAnsi="Wingdings" w:hint="default"/>
      </w:rPr>
    </w:lvl>
    <w:lvl w:ilvl="3" w:tplc="F35C92E4">
      <w:start w:val="1"/>
      <w:numFmt w:val="bullet"/>
      <w:lvlText w:val=""/>
      <w:lvlJc w:val="left"/>
      <w:pPr>
        <w:ind w:left="2880" w:hanging="360"/>
      </w:pPr>
      <w:rPr>
        <w:rFonts w:ascii="Symbol" w:hAnsi="Symbol" w:hint="default"/>
      </w:rPr>
    </w:lvl>
    <w:lvl w:ilvl="4" w:tplc="D4EC0148">
      <w:start w:val="1"/>
      <w:numFmt w:val="bullet"/>
      <w:lvlText w:val="o"/>
      <w:lvlJc w:val="left"/>
      <w:pPr>
        <w:ind w:left="3600" w:hanging="360"/>
      </w:pPr>
      <w:rPr>
        <w:rFonts w:ascii="Courier New" w:hAnsi="Courier New" w:hint="default"/>
      </w:rPr>
    </w:lvl>
    <w:lvl w:ilvl="5" w:tplc="A33E1036">
      <w:start w:val="1"/>
      <w:numFmt w:val="bullet"/>
      <w:lvlText w:val=""/>
      <w:lvlJc w:val="left"/>
      <w:pPr>
        <w:ind w:left="4320" w:hanging="360"/>
      </w:pPr>
      <w:rPr>
        <w:rFonts w:ascii="Wingdings" w:hAnsi="Wingdings" w:hint="default"/>
      </w:rPr>
    </w:lvl>
    <w:lvl w:ilvl="6" w:tplc="2988C5D8">
      <w:start w:val="1"/>
      <w:numFmt w:val="bullet"/>
      <w:lvlText w:val=""/>
      <w:lvlJc w:val="left"/>
      <w:pPr>
        <w:ind w:left="5040" w:hanging="360"/>
      </w:pPr>
      <w:rPr>
        <w:rFonts w:ascii="Symbol" w:hAnsi="Symbol" w:hint="default"/>
      </w:rPr>
    </w:lvl>
    <w:lvl w:ilvl="7" w:tplc="6952EB84">
      <w:start w:val="1"/>
      <w:numFmt w:val="bullet"/>
      <w:lvlText w:val="o"/>
      <w:lvlJc w:val="left"/>
      <w:pPr>
        <w:ind w:left="5760" w:hanging="360"/>
      </w:pPr>
      <w:rPr>
        <w:rFonts w:ascii="Courier New" w:hAnsi="Courier New" w:hint="default"/>
      </w:rPr>
    </w:lvl>
    <w:lvl w:ilvl="8" w:tplc="D5500054">
      <w:start w:val="1"/>
      <w:numFmt w:val="bullet"/>
      <w:lvlText w:val=""/>
      <w:lvlJc w:val="left"/>
      <w:pPr>
        <w:ind w:left="6480" w:hanging="360"/>
      </w:pPr>
      <w:rPr>
        <w:rFonts w:ascii="Wingdings" w:hAnsi="Wingdings" w:hint="default"/>
      </w:rPr>
    </w:lvl>
  </w:abstractNum>
  <w:abstractNum w:abstractNumId="98" w15:restartNumberingAfterBreak="0">
    <w:nsid w:val="105F45AC"/>
    <w:multiLevelType w:val="hybridMultilevel"/>
    <w:tmpl w:val="F8C08386"/>
    <w:lvl w:ilvl="0" w:tplc="312A5F28">
      <w:start w:val="1"/>
      <w:numFmt w:val="bullet"/>
      <w:lvlText w:val="-"/>
      <w:lvlJc w:val="left"/>
      <w:pPr>
        <w:ind w:left="720" w:hanging="360"/>
      </w:pPr>
      <w:rPr>
        <w:rFonts w:ascii="Cambria" w:eastAsiaTheme="minorHAnsi" w:hAnsi="Cambria" w:cs="Cambria"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99" w15:restartNumberingAfterBreak="0">
    <w:nsid w:val="10D4510F"/>
    <w:multiLevelType w:val="hybridMultilevel"/>
    <w:tmpl w:val="620A8790"/>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10DD1C07"/>
    <w:multiLevelType w:val="hybridMultilevel"/>
    <w:tmpl w:val="C852AC98"/>
    <w:lvl w:ilvl="0" w:tplc="08090001">
      <w:start w:val="1"/>
      <w:numFmt w:val="bullet"/>
      <w:lvlText w:val=""/>
      <w:lvlJc w:val="left"/>
      <w:pPr>
        <w:ind w:left="1429" w:hanging="360"/>
      </w:pPr>
      <w:rPr>
        <w:rFonts w:ascii="Segoe UI" w:hAnsi="Segoe U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 w15:restartNumberingAfterBreak="0">
    <w:nsid w:val="10E60BDD"/>
    <w:multiLevelType w:val="multilevel"/>
    <w:tmpl w:val="92369C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13130FF"/>
    <w:multiLevelType w:val="hybridMultilevel"/>
    <w:tmpl w:val="A9CEE1DE"/>
    <w:lvl w:ilvl="0" w:tplc="5E9868E8">
      <w:numFmt w:val="bullet"/>
      <w:lvlText w:val="•"/>
      <w:lvlJc w:val="left"/>
      <w:pPr>
        <w:ind w:left="1080" w:hanging="72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15:restartNumberingAfterBreak="0">
    <w:nsid w:val="11634740"/>
    <w:multiLevelType w:val="hybridMultilevel"/>
    <w:tmpl w:val="6256D3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11743401"/>
    <w:multiLevelType w:val="hybridMultilevel"/>
    <w:tmpl w:val="CDDADF36"/>
    <w:lvl w:ilvl="0" w:tplc="04100017">
      <w:start w:val="1"/>
      <w:numFmt w:val="lowerLetter"/>
      <w:lvlText w:val="%1)"/>
      <w:lvlJc w:val="left"/>
      <w:pPr>
        <w:ind w:left="1444" w:hanging="735"/>
      </w:pPr>
      <w:rPr>
        <w:rFonts w:hint="default"/>
      </w:rPr>
    </w:lvl>
    <w:lvl w:ilvl="1" w:tplc="9820750A">
      <w:numFmt w:val="bullet"/>
      <w:lvlText w:val="•"/>
      <w:lvlJc w:val="left"/>
      <w:pPr>
        <w:ind w:left="1815" w:hanging="735"/>
      </w:pPr>
      <w:rPr>
        <w:rFonts w:ascii="Symbol" w:eastAsiaTheme="minorHAnsi" w:hAnsi="Symbol" w:cs="Symbol"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05" w15:restartNumberingAfterBreak="0">
    <w:nsid w:val="11B5132B"/>
    <w:multiLevelType w:val="hybridMultilevel"/>
    <w:tmpl w:val="40A2F008"/>
    <w:lvl w:ilvl="0" w:tplc="FF80976C">
      <w:start w:val="3"/>
      <w:numFmt w:val="lowerLetter"/>
      <w:lvlText w:val="%1."/>
      <w:lvlJc w:val="left"/>
      <w:pPr>
        <w:ind w:left="720" w:hanging="360"/>
      </w:pPr>
      <w:rPr>
        <w:rFonts w:hint="default"/>
        <w:color w:val="4F81BD" w:themeColor="accen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6" w15:restartNumberingAfterBreak="0">
    <w:nsid w:val="11D961B3"/>
    <w:multiLevelType w:val="multilevel"/>
    <w:tmpl w:val="BE5C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21550B3"/>
    <w:multiLevelType w:val="hybridMultilevel"/>
    <w:tmpl w:val="71728E8E"/>
    <w:lvl w:ilvl="0" w:tplc="18090001">
      <w:start w:val="1"/>
      <w:numFmt w:val="bullet"/>
      <w:lvlText w:val=""/>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ambria Math" w:hAnsi="Cambria Math" w:cs="Cambria Math"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Courier New" w:hAnsi="Courier New" w:hint="default"/>
      </w:rPr>
    </w:lvl>
    <w:lvl w:ilvl="4" w:tplc="18090003" w:tentative="1">
      <w:start w:val="1"/>
      <w:numFmt w:val="bullet"/>
      <w:lvlText w:val="o"/>
      <w:lvlJc w:val="left"/>
      <w:pPr>
        <w:ind w:left="3600" w:hanging="360"/>
      </w:pPr>
      <w:rPr>
        <w:rFonts w:ascii="Cambria Math" w:hAnsi="Cambria Math" w:cs="Cambria Math"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Courier New" w:hAnsi="Courier New" w:hint="default"/>
      </w:rPr>
    </w:lvl>
    <w:lvl w:ilvl="7" w:tplc="18090003" w:tentative="1">
      <w:start w:val="1"/>
      <w:numFmt w:val="bullet"/>
      <w:lvlText w:val="o"/>
      <w:lvlJc w:val="left"/>
      <w:pPr>
        <w:ind w:left="5760" w:hanging="360"/>
      </w:pPr>
      <w:rPr>
        <w:rFonts w:ascii="Cambria Math" w:hAnsi="Cambria Math" w:cs="Cambria Math"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12190814"/>
    <w:multiLevelType w:val="hybridMultilevel"/>
    <w:tmpl w:val="5524BAE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23B1C5D"/>
    <w:multiLevelType w:val="multilevel"/>
    <w:tmpl w:val="C38661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245C6DA"/>
    <w:multiLevelType w:val="hybridMultilevel"/>
    <w:tmpl w:val="FFFFFFFF"/>
    <w:lvl w:ilvl="0" w:tplc="A54E0964">
      <w:start w:val="1"/>
      <w:numFmt w:val="bullet"/>
      <w:lvlText w:val=""/>
      <w:lvlJc w:val="left"/>
      <w:pPr>
        <w:ind w:left="720" w:hanging="360"/>
      </w:pPr>
      <w:rPr>
        <w:rFonts w:ascii="Segoe UI" w:hAnsi="Segoe UI" w:hint="default"/>
      </w:rPr>
    </w:lvl>
    <w:lvl w:ilvl="1" w:tplc="9AD0B79A">
      <w:start w:val="1"/>
      <w:numFmt w:val="bullet"/>
      <w:lvlText w:val="o"/>
      <w:lvlJc w:val="left"/>
      <w:pPr>
        <w:ind w:left="1440" w:hanging="360"/>
      </w:pPr>
      <w:rPr>
        <w:rFonts w:ascii="Courier New" w:hAnsi="Courier New" w:hint="default"/>
      </w:rPr>
    </w:lvl>
    <w:lvl w:ilvl="2" w:tplc="34D0659E">
      <w:start w:val="1"/>
      <w:numFmt w:val="bullet"/>
      <w:lvlText w:val=""/>
      <w:lvlJc w:val="left"/>
      <w:pPr>
        <w:ind w:left="2160" w:hanging="360"/>
      </w:pPr>
      <w:rPr>
        <w:rFonts w:ascii="Cambria Math" w:hAnsi="Cambria Math" w:hint="default"/>
      </w:rPr>
    </w:lvl>
    <w:lvl w:ilvl="3" w:tplc="C8AAADAA">
      <w:start w:val="1"/>
      <w:numFmt w:val="bullet"/>
      <w:lvlText w:val=""/>
      <w:lvlJc w:val="left"/>
      <w:pPr>
        <w:ind w:left="2880" w:hanging="360"/>
      </w:pPr>
      <w:rPr>
        <w:rFonts w:ascii="Segoe UI" w:hAnsi="Segoe UI" w:hint="default"/>
      </w:rPr>
    </w:lvl>
    <w:lvl w:ilvl="4" w:tplc="C90EB8D8">
      <w:start w:val="1"/>
      <w:numFmt w:val="bullet"/>
      <w:lvlText w:val="o"/>
      <w:lvlJc w:val="left"/>
      <w:pPr>
        <w:ind w:left="3600" w:hanging="360"/>
      </w:pPr>
      <w:rPr>
        <w:rFonts w:ascii="Courier New" w:hAnsi="Courier New" w:hint="default"/>
      </w:rPr>
    </w:lvl>
    <w:lvl w:ilvl="5" w:tplc="CA28F91E">
      <w:start w:val="1"/>
      <w:numFmt w:val="bullet"/>
      <w:lvlText w:val=""/>
      <w:lvlJc w:val="left"/>
      <w:pPr>
        <w:ind w:left="4320" w:hanging="360"/>
      </w:pPr>
      <w:rPr>
        <w:rFonts w:ascii="Cambria Math" w:hAnsi="Cambria Math" w:hint="default"/>
      </w:rPr>
    </w:lvl>
    <w:lvl w:ilvl="6" w:tplc="B5F6132C">
      <w:start w:val="1"/>
      <w:numFmt w:val="bullet"/>
      <w:lvlText w:val=""/>
      <w:lvlJc w:val="left"/>
      <w:pPr>
        <w:ind w:left="5040" w:hanging="360"/>
      </w:pPr>
      <w:rPr>
        <w:rFonts w:ascii="Segoe UI" w:hAnsi="Segoe UI" w:hint="default"/>
      </w:rPr>
    </w:lvl>
    <w:lvl w:ilvl="7" w:tplc="F7EA639E">
      <w:start w:val="1"/>
      <w:numFmt w:val="bullet"/>
      <w:lvlText w:val="o"/>
      <w:lvlJc w:val="left"/>
      <w:pPr>
        <w:ind w:left="5760" w:hanging="360"/>
      </w:pPr>
      <w:rPr>
        <w:rFonts w:ascii="Courier New" w:hAnsi="Courier New" w:hint="default"/>
      </w:rPr>
    </w:lvl>
    <w:lvl w:ilvl="8" w:tplc="1E0AD124">
      <w:start w:val="1"/>
      <w:numFmt w:val="bullet"/>
      <w:lvlText w:val=""/>
      <w:lvlJc w:val="left"/>
      <w:pPr>
        <w:ind w:left="6480" w:hanging="360"/>
      </w:pPr>
      <w:rPr>
        <w:rFonts w:ascii="Cambria Math" w:hAnsi="Cambria Math" w:hint="default"/>
      </w:rPr>
    </w:lvl>
  </w:abstractNum>
  <w:abstractNum w:abstractNumId="111" w15:restartNumberingAfterBreak="0">
    <w:nsid w:val="128948C5"/>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12B29CC8"/>
    <w:multiLevelType w:val="hybridMultilevel"/>
    <w:tmpl w:val="FFFFFFFF"/>
    <w:lvl w:ilvl="0" w:tplc="16A2BBB4">
      <w:start w:val="1"/>
      <w:numFmt w:val="bullet"/>
      <w:lvlText w:val="-"/>
      <w:lvlJc w:val="left"/>
      <w:pPr>
        <w:ind w:left="720" w:hanging="360"/>
      </w:pPr>
      <w:rPr>
        <w:rFonts w:ascii="Times New Roman" w:hAnsi="Times New Roman" w:hint="default"/>
      </w:rPr>
    </w:lvl>
    <w:lvl w:ilvl="1" w:tplc="7D4C53B8">
      <w:start w:val="1"/>
      <w:numFmt w:val="bullet"/>
      <w:lvlText w:val="o"/>
      <w:lvlJc w:val="left"/>
      <w:pPr>
        <w:ind w:left="1440" w:hanging="360"/>
      </w:pPr>
      <w:rPr>
        <w:rFonts w:ascii="Courier New" w:hAnsi="Courier New" w:hint="default"/>
      </w:rPr>
    </w:lvl>
    <w:lvl w:ilvl="2" w:tplc="1D0215B4">
      <w:start w:val="1"/>
      <w:numFmt w:val="bullet"/>
      <w:lvlText w:val=""/>
      <w:lvlJc w:val="left"/>
      <w:pPr>
        <w:ind w:left="2160" w:hanging="360"/>
      </w:pPr>
      <w:rPr>
        <w:rFonts w:ascii="Wingdings" w:hAnsi="Wingdings" w:hint="default"/>
      </w:rPr>
    </w:lvl>
    <w:lvl w:ilvl="3" w:tplc="EB50036C">
      <w:start w:val="1"/>
      <w:numFmt w:val="bullet"/>
      <w:lvlText w:val=""/>
      <w:lvlJc w:val="left"/>
      <w:pPr>
        <w:ind w:left="2880" w:hanging="360"/>
      </w:pPr>
      <w:rPr>
        <w:rFonts w:ascii="Symbol" w:hAnsi="Symbol" w:hint="default"/>
      </w:rPr>
    </w:lvl>
    <w:lvl w:ilvl="4" w:tplc="C6FC388A">
      <w:start w:val="1"/>
      <w:numFmt w:val="bullet"/>
      <w:lvlText w:val="o"/>
      <w:lvlJc w:val="left"/>
      <w:pPr>
        <w:ind w:left="3600" w:hanging="360"/>
      </w:pPr>
      <w:rPr>
        <w:rFonts w:ascii="Courier New" w:hAnsi="Courier New" w:hint="default"/>
      </w:rPr>
    </w:lvl>
    <w:lvl w:ilvl="5" w:tplc="81E22EFE">
      <w:start w:val="1"/>
      <w:numFmt w:val="bullet"/>
      <w:lvlText w:val=""/>
      <w:lvlJc w:val="left"/>
      <w:pPr>
        <w:ind w:left="4320" w:hanging="360"/>
      </w:pPr>
      <w:rPr>
        <w:rFonts w:ascii="Wingdings" w:hAnsi="Wingdings" w:hint="default"/>
      </w:rPr>
    </w:lvl>
    <w:lvl w:ilvl="6" w:tplc="17323E42">
      <w:start w:val="1"/>
      <w:numFmt w:val="bullet"/>
      <w:lvlText w:val=""/>
      <w:lvlJc w:val="left"/>
      <w:pPr>
        <w:ind w:left="5040" w:hanging="360"/>
      </w:pPr>
      <w:rPr>
        <w:rFonts w:ascii="Symbol" w:hAnsi="Symbol" w:hint="default"/>
      </w:rPr>
    </w:lvl>
    <w:lvl w:ilvl="7" w:tplc="BA109A92">
      <w:start w:val="1"/>
      <w:numFmt w:val="bullet"/>
      <w:lvlText w:val="o"/>
      <w:lvlJc w:val="left"/>
      <w:pPr>
        <w:ind w:left="5760" w:hanging="360"/>
      </w:pPr>
      <w:rPr>
        <w:rFonts w:ascii="Courier New" w:hAnsi="Courier New" w:hint="default"/>
      </w:rPr>
    </w:lvl>
    <w:lvl w:ilvl="8" w:tplc="733E9AB8">
      <w:start w:val="1"/>
      <w:numFmt w:val="bullet"/>
      <w:lvlText w:val=""/>
      <w:lvlJc w:val="left"/>
      <w:pPr>
        <w:ind w:left="6480" w:hanging="360"/>
      </w:pPr>
      <w:rPr>
        <w:rFonts w:ascii="Wingdings" w:hAnsi="Wingdings" w:hint="default"/>
      </w:rPr>
    </w:lvl>
  </w:abstractNum>
  <w:abstractNum w:abstractNumId="113" w15:restartNumberingAfterBreak="0">
    <w:nsid w:val="12C11C1B"/>
    <w:multiLevelType w:val="multilevel"/>
    <w:tmpl w:val="EE2EF1D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4" w15:restartNumberingAfterBreak="0">
    <w:nsid w:val="12CD02A7"/>
    <w:multiLevelType w:val="multilevel"/>
    <w:tmpl w:val="E99490FC"/>
    <w:lvl w:ilvl="0">
      <w:start w:val="1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5" w15:restartNumberingAfterBreak="0">
    <w:nsid w:val="13124584"/>
    <w:multiLevelType w:val="hybridMultilevel"/>
    <w:tmpl w:val="FFFFFFFF"/>
    <w:lvl w:ilvl="0" w:tplc="692402EC">
      <w:start w:val="1"/>
      <w:numFmt w:val="bullet"/>
      <w:lvlText w:val=""/>
      <w:lvlJc w:val="left"/>
      <w:pPr>
        <w:ind w:left="720" w:hanging="360"/>
      </w:pPr>
      <w:rPr>
        <w:rFonts w:ascii="Symbol" w:hAnsi="Symbol" w:hint="default"/>
      </w:rPr>
    </w:lvl>
    <w:lvl w:ilvl="1" w:tplc="89CA6D74">
      <w:start w:val="1"/>
      <w:numFmt w:val="bullet"/>
      <w:lvlText w:val="o"/>
      <w:lvlJc w:val="left"/>
      <w:pPr>
        <w:ind w:left="1440" w:hanging="360"/>
      </w:pPr>
      <w:rPr>
        <w:rFonts w:ascii="Courier New" w:hAnsi="Courier New" w:hint="default"/>
      </w:rPr>
    </w:lvl>
    <w:lvl w:ilvl="2" w:tplc="52DA10C0">
      <w:start w:val="1"/>
      <w:numFmt w:val="bullet"/>
      <w:lvlText w:val=""/>
      <w:lvlJc w:val="left"/>
      <w:pPr>
        <w:ind w:left="2160" w:hanging="360"/>
      </w:pPr>
      <w:rPr>
        <w:rFonts w:ascii="Wingdings" w:hAnsi="Wingdings" w:hint="default"/>
      </w:rPr>
    </w:lvl>
    <w:lvl w:ilvl="3" w:tplc="0CF6A8D8">
      <w:start w:val="1"/>
      <w:numFmt w:val="bullet"/>
      <w:lvlText w:val=""/>
      <w:lvlJc w:val="left"/>
      <w:pPr>
        <w:ind w:left="2880" w:hanging="360"/>
      </w:pPr>
      <w:rPr>
        <w:rFonts w:ascii="Symbol" w:hAnsi="Symbol" w:hint="default"/>
      </w:rPr>
    </w:lvl>
    <w:lvl w:ilvl="4" w:tplc="0638FA6E">
      <w:start w:val="1"/>
      <w:numFmt w:val="bullet"/>
      <w:lvlText w:val="o"/>
      <w:lvlJc w:val="left"/>
      <w:pPr>
        <w:ind w:left="3600" w:hanging="360"/>
      </w:pPr>
      <w:rPr>
        <w:rFonts w:ascii="Courier New" w:hAnsi="Courier New" w:hint="default"/>
      </w:rPr>
    </w:lvl>
    <w:lvl w:ilvl="5" w:tplc="D8BA0D6C">
      <w:start w:val="1"/>
      <w:numFmt w:val="bullet"/>
      <w:lvlText w:val=""/>
      <w:lvlJc w:val="left"/>
      <w:pPr>
        <w:ind w:left="4320" w:hanging="360"/>
      </w:pPr>
      <w:rPr>
        <w:rFonts w:ascii="Wingdings" w:hAnsi="Wingdings" w:hint="default"/>
      </w:rPr>
    </w:lvl>
    <w:lvl w:ilvl="6" w:tplc="2F08C9A6">
      <w:start w:val="1"/>
      <w:numFmt w:val="bullet"/>
      <w:lvlText w:val=""/>
      <w:lvlJc w:val="left"/>
      <w:pPr>
        <w:ind w:left="5040" w:hanging="360"/>
      </w:pPr>
      <w:rPr>
        <w:rFonts w:ascii="Symbol" w:hAnsi="Symbol" w:hint="default"/>
      </w:rPr>
    </w:lvl>
    <w:lvl w:ilvl="7" w:tplc="74B83C84">
      <w:start w:val="1"/>
      <w:numFmt w:val="bullet"/>
      <w:lvlText w:val="o"/>
      <w:lvlJc w:val="left"/>
      <w:pPr>
        <w:ind w:left="5760" w:hanging="360"/>
      </w:pPr>
      <w:rPr>
        <w:rFonts w:ascii="Courier New" w:hAnsi="Courier New" w:hint="default"/>
      </w:rPr>
    </w:lvl>
    <w:lvl w:ilvl="8" w:tplc="032AA6FE">
      <w:start w:val="1"/>
      <w:numFmt w:val="bullet"/>
      <w:lvlText w:val=""/>
      <w:lvlJc w:val="left"/>
      <w:pPr>
        <w:ind w:left="6480" w:hanging="360"/>
      </w:pPr>
      <w:rPr>
        <w:rFonts w:ascii="Wingdings" w:hAnsi="Wingdings" w:hint="default"/>
      </w:rPr>
    </w:lvl>
  </w:abstractNum>
  <w:abstractNum w:abstractNumId="116" w15:restartNumberingAfterBreak="0">
    <w:nsid w:val="131CC598"/>
    <w:multiLevelType w:val="hybridMultilevel"/>
    <w:tmpl w:val="FFFFFFFF"/>
    <w:lvl w:ilvl="0" w:tplc="367EF668">
      <w:start w:val="6"/>
      <w:numFmt w:val="decimal"/>
      <w:lvlText w:val="%1."/>
      <w:lvlJc w:val="left"/>
      <w:pPr>
        <w:ind w:left="720" w:hanging="360"/>
      </w:pPr>
    </w:lvl>
    <w:lvl w:ilvl="1" w:tplc="B3429812">
      <w:start w:val="1"/>
      <w:numFmt w:val="lowerLetter"/>
      <w:lvlText w:val="%2."/>
      <w:lvlJc w:val="left"/>
      <w:pPr>
        <w:ind w:left="1440" w:hanging="360"/>
      </w:pPr>
    </w:lvl>
    <w:lvl w:ilvl="2" w:tplc="8CC274D2">
      <w:start w:val="1"/>
      <w:numFmt w:val="lowerRoman"/>
      <w:lvlText w:val="%3."/>
      <w:lvlJc w:val="right"/>
      <w:pPr>
        <w:ind w:left="2160" w:hanging="180"/>
      </w:pPr>
    </w:lvl>
    <w:lvl w:ilvl="3" w:tplc="162CFD30">
      <w:start w:val="1"/>
      <w:numFmt w:val="decimal"/>
      <w:lvlText w:val="%4."/>
      <w:lvlJc w:val="left"/>
      <w:pPr>
        <w:ind w:left="2880" w:hanging="360"/>
      </w:pPr>
    </w:lvl>
    <w:lvl w:ilvl="4" w:tplc="CEF4E0E6">
      <w:start w:val="1"/>
      <w:numFmt w:val="lowerLetter"/>
      <w:lvlText w:val="%5."/>
      <w:lvlJc w:val="left"/>
      <w:pPr>
        <w:ind w:left="3600" w:hanging="360"/>
      </w:pPr>
    </w:lvl>
    <w:lvl w:ilvl="5" w:tplc="7722E234">
      <w:start w:val="1"/>
      <w:numFmt w:val="lowerRoman"/>
      <w:lvlText w:val="%6."/>
      <w:lvlJc w:val="right"/>
      <w:pPr>
        <w:ind w:left="4320" w:hanging="180"/>
      </w:pPr>
    </w:lvl>
    <w:lvl w:ilvl="6" w:tplc="6DC8E9CA">
      <w:start w:val="1"/>
      <w:numFmt w:val="decimal"/>
      <w:lvlText w:val="%7."/>
      <w:lvlJc w:val="left"/>
      <w:pPr>
        <w:ind w:left="5040" w:hanging="360"/>
      </w:pPr>
    </w:lvl>
    <w:lvl w:ilvl="7" w:tplc="74E85A12">
      <w:start w:val="1"/>
      <w:numFmt w:val="lowerLetter"/>
      <w:lvlText w:val="%8."/>
      <w:lvlJc w:val="left"/>
      <w:pPr>
        <w:ind w:left="5760" w:hanging="360"/>
      </w:pPr>
    </w:lvl>
    <w:lvl w:ilvl="8" w:tplc="FD9E5536">
      <w:start w:val="1"/>
      <w:numFmt w:val="lowerRoman"/>
      <w:lvlText w:val="%9."/>
      <w:lvlJc w:val="right"/>
      <w:pPr>
        <w:ind w:left="6480" w:hanging="180"/>
      </w:pPr>
    </w:lvl>
  </w:abstractNum>
  <w:abstractNum w:abstractNumId="117" w15:restartNumberingAfterBreak="0">
    <w:nsid w:val="132A5AEA"/>
    <w:multiLevelType w:val="hybridMultilevel"/>
    <w:tmpl w:val="F688617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8" w15:restartNumberingAfterBreak="0">
    <w:nsid w:val="132D68F1"/>
    <w:multiLevelType w:val="hybridMultilevel"/>
    <w:tmpl w:val="72546D48"/>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19" w15:restartNumberingAfterBreak="0">
    <w:nsid w:val="133059F6"/>
    <w:multiLevelType w:val="multilevel"/>
    <w:tmpl w:val="EF3C8E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35F6B00"/>
    <w:multiLevelType w:val="hybridMultilevel"/>
    <w:tmpl w:val="FFFFFFFF"/>
    <w:lvl w:ilvl="0" w:tplc="C64E16A0">
      <w:start w:val="1"/>
      <w:numFmt w:val="bullet"/>
      <w:lvlText w:val="-"/>
      <w:lvlJc w:val="left"/>
      <w:pPr>
        <w:ind w:left="720" w:hanging="360"/>
      </w:pPr>
      <w:rPr>
        <w:rFonts w:ascii="Wingdings" w:hAnsi="Wingdings" w:hint="default"/>
      </w:rPr>
    </w:lvl>
    <w:lvl w:ilvl="1" w:tplc="43E2910C">
      <w:start w:val="1"/>
      <w:numFmt w:val="bullet"/>
      <w:lvlText w:val="o"/>
      <w:lvlJc w:val="left"/>
      <w:pPr>
        <w:ind w:left="1440" w:hanging="360"/>
      </w:pPr>
      <w:rPr>
        <w:rFonts w:ascii="Courier New" w:hAnsi="Courier New" w:hint="default"/>
      </w:rPr>
    </w:lvl>
    <w:lvl w:ilvl="2" w:tplc="F69C44A2">
      <w:start w:val="1"/>
      <w:numFmt w:val="bullet"/>
      <w:lvlText w:val=""/>
      <w:lvlJc w:val="left"/>
      <w:pPr>
        <w:ind w:left="2160" w:hanging="360"/>
      </w:pPr>
      <w:rPr>
        <w:rFonts w:ascii="Cambria Math" w:hAnsi="Cambria Math" w:hint="default"/>
      </w:rPr>
    </w:lvl>
    <w:lvl w:ilvl="3" w:tplc="5B4CF836">
      <w:start w:val="1"/>
      <w:numFmt w:val="bullet"/>
      <w:lvlText w:val=""/>
      <w:lvlJc w:val="left"/>
      <w:pPr>
        <w:ind w:left="2880" w:hanging="360"/>
      </w:pPr>
      <w:rPr>
        <w:rFonts w:ascii="Segoe UI" w:hAnsi="Segoe UI" w:hint="default"/>
      </w:rPr>
    </w:lvl>
    <w:lvl w:ilvl="4" w:tplc="F9C2180C">
      <w:start w:val="1"/>
      <w:numFmt w:val="bullet"/>
      <w:lvlText w:val="o"/>
      <w:lvlJc w:val="left"/>
      <w:pPr>
        <w:ind w:left="3600" w:hanging="360"/>
      </w:pPr>
      <w:rPr>
        <w:rFonts w:ascii="Courier New" w:hAnsi="Courier New" w:hint="default"/>
      </w:rPr>
    </w:lvl>
    <w:lvl w:ilvl="5" w:tplc="DC6CA3AC">
      <w:start w:val="1"/>
      <w:numFmt w:val="bullet"/>
      <w:lvlText w:val=""/>
      <w:lvlJc w:val="left"/>
      <w:pPr>
        <w:ind w:left="4320" w:hanging="360"/>
      </w:pPr>
      <w:rPr>
        <w:rFonts w:ascii="Cambria Math" w:hAnsi="Cambria Math" w:hint="default"/>
      </w:rPr>
    </w:lvl>
    <w:lvl w:ilvl="6" w:tplc="AF04AB2A">
      <w:start w:val="1"/>
      <w:numFmt w:val="bullet"/>
      <w:lvlText w:val=""/>
      <w:lvlJc w:val="left"/>
      <w:pPr>
        <w:ind w:left="5040" w:hanging="360"/>
      </w:pPr>
      <w:rPr>
        <w:rFonts w:ascii="Segoe UI" w:hAnsi="Segoe UI" w:hint="default"/>
      </w:rPr>
    </w:lvl>
    <w:lvl w:ilvl="7" w:tplc="11DA4A76">
      <w:start w:val="1"/>
      <w:numFmt w:val="bullet"/>
      <w:lvlText w:val="o"/>
      <w:lvlJc w:val="left"/>
      <w:pPr>
        <w:ind w:left="5760" w:hanging="360"/>
      </w:pPr>
      <w:rPr>
        <w:rFonts w:ascii="Courier New" w:hAnsi="Courier New" w:hint="default"/>
      </w:rPr>
    </w:lvl>
    <w:lvl w:ilvl="8" w:tplc="11CC3B60">
      <w:start w:val="1"/>
      <w:numFmt w:val="bullet"/>
      <w:lvlText w:val=""/>
      <w:lvlJc w:val="left"/>
      <w:pPr>
        <w:ind w:left="6480" w:hanging="360"/>
      </w:pPr>
      <w:rPr>
        <w:rFonts w:ascii="Cambria Math" w:hAnsi="Cambria Math" w:hint="default"/>
      </w:rPr>
    </w:lvl>
  </w:abstractNum>
  <w:abstractNum w:abstractNumId="121" w15:restartNumberingAfterBreak="0">
    <w:nsid w:val="13944325"/>
    <w:multiLevelType w:val="multilevel"/>
    <w:tmpl w:val="5096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3AD68B3"/>
    <w:multiLevelType w:val="hybridMultilevel"/>
    <w:tmpl w:val="FFFFFFFF"/>
    <w:lvl w:ilvl="0" w:tplc="2FD09CFA">
      <w:start w:val="1"/>
      <w:numFmt w:val="bullet"/>
      <w:lvlText w:val=""/>
      <w:lvlJc w:val="left"/>
      <w:pPr>
        <w:ind w:left="720" w:hanging="360"/>
      </w:pPr>
      <w:rPr>
        <w:rFonts w:ascii="Symbol" w:hAnsi="Symbol" w:hint="default"/>
      </w:rPr>
    </w:lvl>
    <w:lvl w:ilvl="1" w:tplc="BF7EDE30">
      <w:start w:val="1"/>
      <w:numFmt w:val="bullet"/>
      <w:lvlText w:val="-"/>
      <w:lvlJc w:val="left"/>
      <w:pPr>
        <w:ind w:left="1440" w:hanging="360"/>
      </w:pPr>
      <w:rPr>
        <w:rFonts w:ascii="Calibri" w:hAnsi="Calibri" w:hint="default"/>
      </w:rPr>
    </w:lvl>
    <w:lvl w:ilvl="2" w:tplc="5D0872FE">
      <w:start w:val="1"/>
      <w:numFmt w:val="bullet"/>
      <w:lvlText w:val=""/>
      <w:lvlJc w:val="left"/>
      <w:pPr>
        <w:ind w:left="2160" w:hanging="360"/>
      </w:pPr>
      <w:rPr>
        <w:rFonts w:ascii="Wingdings" w:hAnsi="Wingdings" w:hint="default"/>
      </w:rPr>
    </w:lvl>
    <w:lvl w:ilvl="3" w:tplc="0884FD24">
      <w:start w:val="1"/>
      <w:numFmt w:val="bullet"/>
      <w:lvlText w:val=""/>
      <w:lvlJc w:val="left"/>
      <w:pPr>
        <w:ind w:left="2880" w:hanging="360"/>
      </w:pPr>
      <w:rPr>
        <w:rFonts w:ascii="Symbol" w:hAnsi="Symbol" w:hint="default"/>
      </w:rPr>
    </w:lvl>
    <w:lvl w:ilvl="4" w:tplc="FA427D1A">
      <w:start w:val="1"/>
      <w:numFmt w:val="bullet"/>
      <w:lvlText w:val="o"/>
      <w:lvlJc w:val="left"/>
      <w:pPr>
        <w:ind w:left="3600" w:hanging="360"/>
      </w:pPr>
      <w:rPr>
        <w:rFonts w:ascii="Courier New" w:hAnsi="Courier New" w:hint="default"/>
      </w:rPr>
    </w:lvl>
    <w:lvl w:ilvl="5" w:tplc="AD60C208">
      <w:start w:val="1"/>
      <w:numFmt w:val="bullet"/>
      <w:lvlText w:val=""/>
      <w:lvlJc w:val="left"/>
      <w:pPr>
        <w:ind w:left="4320" w:hanging="360"/>
      </w:pPr>
      <w:rPr>
        <w:rFonts w:ascii="Wingdings" w:hAnsi="Wingdings" w:hint="default"/>
      </w:rPr>
    </w:lvl>
    <w:lvl w:ilvl="6" w:tplc="43B49CA2">
      <w:start w:val="1"/>
      <w:numFmt w:val="bullet"/>
      <w:lvlText w:val=""/>
      <w:lvlJc w:val="left"/>
      <w:pPr>
        <w:ind w:left="5040" w:hanging="360"/>
      </w:pPr>
      <w:rPr>
        <w:rFonts w:ascii="Symbol" w:hAnsi="Symbol" w:hint="default"/>
      </w:rPr>
    </w:lvl>
    <w:lvl w:ilvl="7" w:tplc="603E9BF2">
      <w:start w:val="1"/>
      <w:numFmt w:val="bullet"/>
      <w:lvlText w:val="o"/>
      <w:lvlJc w:val="left"/>
      <w:pPr>
        <w:ind w:left="5760" w:hanging="360"/>
      </w:pPr>
      <w:rPr>
        <w:rFonts w:ascii="Courier New" w:hAnsi="Courier New" w:hint="default"/>
      </w:rPr>
    </w:lvl>
    <w:lvl w:ilvl="8" w:tplc="352641AE">
      <w:start w:val="1"/>
      <w:numFmt w:val="bullet"/>
      <w:lvlText w:val=""/>
      <w:lvlJc w:val="left"/>
      <w:pPr>
        <w:ind w:left="6480" w:hanging="360"/>
      </w:pPr>
      <w:rPr>
        <w:rFonts w:ascii="Wingdings" w:hAnsi="Wingdings" w:hint="default"/>
      </w:rPr>
    </w:lvl>
  </w:abstractNum>
  <w:abstractNum w:abstractNumId="123" w15:restartNumberingAfterBreak="0">
    <w:nsid w:val="13DF7C00"/>
    <w:multiLevelType w:val="multilevel"/>
    <w:tmpl w:val="FFFFFFFF"/>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13DF7C88"/>
    <w:multiLevelType w:val="multilevel"/>
    <w:tmpl w:val="A036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3E03BBE"/>
    <w:multiLevelType w:val="multilevel"/>
    <w:tmpl w:val="671AB17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3FB7914"/>
    <w:multiLevelType w:val="hybridMultilevel"/>
    <w:tmpl w:val="FFFFFFFF"/>
    <w:lvl w:ilvl="0" w:tplc="E6644CCE">
      <w:start w:val="1"/>
      <w:numFmt w:val="bullet"/>
      <w:lvlText w:val=""/>
      <w:lvlJc w:val="left"/>
      <w:pPr>
        <w:ind w:left="720" w:hanging="360"/>
      </w:pPr>
      <w:rPr>
        <w:rFonts w:ascii="Segoe UI" w:hAnsi="Segoe UI" w:hint="default"/>
      </w:rPr>
    </w:lvl>
    <w:lvl w:ilvl="1" w:tplc="08609144">
      <w:start w:val="1"/>
      <w:numFmt w:val="bullet"/>
      <w:lvlText w:val="o"/>
      <w:lvlJc w:val="left"/>
      <w:pPr>
        <w:ind w:left="1440" w:hanging="360"/>
      </w:pPr>
      <w:rPr>
        <w:rFonts w:ascii="Courier New" w:hAnsi="Courier New" w:hint="default"/>
      </w:rPr>
    </w:lvl>
    <w:lvl w:ilvl="2" w:tplc="46302E14">
      <w:start w:val="1"/>
      <w:numFmt w:val="bullet"/>
      <w:lvlText w:val=""/>
      <w:lvlJc w:val="left"/>
      <w:pPr>
        <w:ind w:left="2160" w:hanging="360"/>
      </w:pPr>
      <w:rPr>
        <w:rFonts w:ascii="Cambria Math" w:hAnsi="Cambria Math" w:hint="default"/>
      </w:rPr>
    </w:lvl>
    <w:lvl w:ilvl="3" w:tplc="45AEA71E">
      <w:start w:val="1"/>
      <w:numFmt w:val="bullet"/>
      <w:lvlText w:val=""/>
      <w:lvlJc w:val="left"/>
      <w:pPr>
        <w:ind w:left="2880" w:hanging="360"/>
      </w:pPr>
      <w:rPr>
        <w:rFonts w:ascii="Segoe UI" w:hAnsi="Segoe UI" w:hint="default"/>
      </w:rPr>
    </w:lvl>
    <w:lvl w:ilvl="4" w:tplc="DCFA0596">
      <w:start w:val="1"/>
      <w:numFmt w:val="bullet"/>
      <w:lvlText w:val="o"/>
      <w:lvlJc w:val="left"/>
      <w:pPr>
        <w:ind w:left="3600" w:hanging="360"/>
      </w:pPr>
      <w:rPr>
        <w:rFonts w:ascii="Courier New" w:hAnsi="Courier New" w:hint="default"/>
      </w:rPr>
    </w:lvl>
    <w:lvl w:ilvl="5" w:tplc="A1EAF564">
      <w:start w:val="1"/>
      <w:numFmt w:val="bullet"/>
      <w:lvlText w:val=""/>
      <w:lvlJc w:val="left"/>
      <w:pPr>
        <w:ind w:left="4320" w:hanging="360"/>
      </w:pPr>
      <w:rPr>
        <w:rFonts w:ascii="Cambria Math" w:hAnsi="Cambria Math" w:hint="default"/>
      </w:rPr>
    </w:lvl>
    <w:lvl w:ilvl="6" w:tplc="AB3830B2">
      <w:start w:val="1"/>
      <w:numFmt w:val="bullet"/>
      <w:lvlText w:val=""/>
      <w:lvlJc w:val="left"/>
      <w:pPr>
        <w:ind w:left="5040" w:hanging="360"/>
      </w:pPr>
      <w:rPr>
        <w:rFonts w:ascii="Segoe UI" w:hAnsi="Segoe UI" w:hint="default"/>
      </w:rPr>
    </w:lvl>
    <w:lvl w:ilvl="7" w:tplc="A89CF254">
      <w:start w:val="1"/>
      <w:numFmt w:val="bullet"/>
      <w:lvlText w:val="o"/>
      <w:lvlJc w:val="left"/>
      <w:pPr>
        <w:ind w:left="5760" w:hanging="360"/>
      </w:pPr>
      <w:rPr>
        <w:rFonts w:ascii="Courier New" w:hAnsi="Courier New" w:hint="default"/>
      </w:rPr>
    </w:lvl>
    <w:lvl w:ilvl="8" w:tplc="0CAA5174">
      <w:start w:val="1"/>
      <w:numFmt w:val="bullet"/>
      <w:lvlText w:val=""/>
      <w:lvlJc w:val="left"/>
      <w:pPr>
        <w:ind w:left="6480" w:hanging="360"/>
      </w:pPr>
      <w:rPr>
        <w:rFonts w:ascii="Cambria Math" w:hAnsi="Cambria Math" w:hint="default"/>
      </w:rPr>
    </w:lvl>
  </w:abstractNum>
  <w:abstractNum w:abstractNumId="127" w15:restartNumberingAfterBreak="0">
    <w:nsid w:val="143D2CF2"/>
    <w:multiLevelType w:val="hybridMultilevel"/>
    <w:tmpl w:val="E5E082A8"/>
    <w:lvl w:ilvl="0" w:tplc="08090017">
      <w:start w:val="1"/>
      <w:numFmt w:val="lowerLetter"/>
      <w:lvlText w:val="%1)"/>
      <w:lvlJc w:val="left"/>
      <w:pPr>
        <w:ind w:left="360" w:hanging="360"/>
      </w:pPr>
    </w:lvl>
    <w:lvl w:ilvl="1" w:tplc="0410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145231BC"/>
    <w:multiLevelType w:val="multilevel"/>
    <w:tmpl w:val="89C2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45F24DE"/>
    <w:multiLevelType w:val="multilevel"/>
    <w:tmpl w:val="E002623E"/>
    <w:lvl w:ilvl="0">
      <w:start w:val="4"/>
      <w:numFmt w:val="lowerLetter"/>
      <w:lvlText w:val="%1."/>
      <w:lvlJc w:val="left"/>
      <w:pPr>
        <w:tabs>
          <w:tab w:val="num" w:pos="720"/>
        </w:tabs>
        <w:ind w:left="720" w:hanging="360"/>
      </w:pPr>
    </w:lvl>
    <w:lvl w:ilvl="1">
      <w:start w:val="2023"/>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147F7C40"/>
    <w:multiLevelType w:val="multilevel"/>
    <w:tmpl w:val="F1ACF5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4E55253"/>
    <w:multiLevelType w:val="hybridMultilevel"/>
    <w:tmpl w:val="161EF6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15:restartNumberingAfterBreak="0">
    <w:nsid w:val="15225C80"/>
    <w:multiLevelType w:val="hybridMultilevel"/>
    <w:tmpl w:val="D996C9CC"/>
    <w:lvl w:ilvl="0" w:tplc="18090001">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Cambria Math" w:hAnsi="Cambria Math" w:hint="default"/>
      </w:rPr>
    </w:lvl>
  </w:abstractNum>
  <w:abstractNum w:abstractNumId="133" w15:restartNumberingAfterBreak="0">
    <w:nsid w:val="152BD716"/>
    <w:multiLevelType w:val="multilevel"/>
    <w:tmpl w:val="FFFFFFFF"/>
    <w:lvl w:ilvl="0">
      <w:start w:val="1"/>
      <w:numFmt w:val="decimal"/>
      <w:lvlText w:val="%1."/>
      <w:lvlJc w:val="left"/>
      <w:pPr>
        <w:ind w:left="720" w:hanging="360"/>
      </w:pPr>
    </w:lvl>
    <w:lvl w:ilvl="1">
      <w:start w:val="1"/>
      <w:numFmt w:val="lowerLetter"/>
      <w:lvlText w:val="%1."/>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156B6A43"/>
    <w:multiLevelType w:val="hybridMultilevel"/>
    <w:tmpl w:val="C820240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5" w15:restartNumberingAfterBreak="0">
    <w:nsid w:val="15CA0880"/>
    <w:multiLevelType w:val="hybridMultilevel"/>
    <w:tmpl w:val="6B425758"/>
    <w:lvl w:ilvl="0" w:tplc="FFFFFFFF">
      <w:start w:val="1"/>
      <w:numFmt w:val="lowerLetter"/>
      <w:lvlText w:val="%1)"/>
      <w:lvlJc w:val="left"/>
      <w:pPr>
        <w:ind w:left="1069"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136" w15:restartNumberingAfterBreak="0">
    <w:nsid w:val="15DCBDAA"/>
    <w:multiLevelType w:val="hybridMultilevel"/>
    <w:tmpl w:val="FFFFFFFF"/>
    <w:lvl w:ilvl="0" w:tplc="35EAA3CC">
      <w:start w:val="1"/>
      <w:numFmt w:val="bullet"/>
      <w:lvlText w:val=""/>
      <w:lvlJc w:val="left"/>
      <w:pPr>
        <w:ind w:left="720" w:hanging="360"/>
      </w:pPr>
      <w:rPr>
        <w:rFonts w:ascii="Segoe UI" w:hAnsi="Segoe UI" w:hint="default"/>
      </w:rPr>
    </w:lvl>
    <w:lvl w:ilvl="1" w:tplc="43E27F94">
      <w:start w:val="1"/>
      <w:numFmt w:val="bullet"/>
      <w:lvlText w:val="o"/>
      <w:lvlJc w:val="left"/>
      <w:pPr>
        <w:ind w:left="1440" w:hanging="360"/>
      </w:pPr>
      <w:rPr>
        <w:rFonts w:ascii="Courier New" w:hAnsi="Courier New" w:hint="default"/>
      </w:rPr>
    </w:lvl>
    <w:lvl w:ilvl="2" w:tplc="CC56AAA8">
      <w:start w:val="1"/>
      <w:numFmt w:val="bullet"/>
      <w:lvlText w:val=""/>
      <w:lvlJc w:val="left"/>
      <w:pPr>
        <w:ind w:left="2160" w:hanging="360"/>
      </w:pPr>
      <w:rPr>
        <w:rFonts w:ascii="Cambria Math" w:hAnsi="Cambria Math" w:hint="default"/>
      </w:rPr>
    </w:lvl>
    <w:lvl w:ilvl="3" w:tplc="9254356A">
      <w:start w:val="1"/>
      <w:numFmt w:val="bullet"/>
      <w:lvlText w:val=""/>
      <w:lvlJc w:val="left"/>
      <w:pPr>
        <w:ind w:left="2880" w:hanging="360"/>
      </w:pPr>
      <w:rPr>
        <w:rFonts w:ascii="Segoe UI" w:hAnsi="Segoe UI" w:hint="default"/>
      </w:rPr>
    </w:lvl>
    <w:lvl w:ilvl="4" w:tplc="A5D8D5CA">
      <w:start w:val="1"/>
      <w:numFmt w:val="bullet"/>
      <w:lvlText w:val="o"/>
      <w:lvlJc w:val="left"/>
      <w:pPr>
        <w:ind w:left="3600" w:hanging="360"/>
      </w:pPr>
      <w:rPr>
        <w:rFonts w:ascii="Courier New" w:hAnsi="Courier New" w:hint="default"/>
      </w:rPr>
    </w:lvl>
    <w:lvl w:ilvl="5" w:tplc="2CBA3158">
      <w:start w:val="1"/>
      <w:numFmt w:val="bullet"/>
      <w:lvlText w:val=""/>
      <w:lvlJc w:val="left"/>
      <w:pPr>
        <w:ind w:left="4320" w:hanging="360"/>
      </w:pPr>
      <w:rPr>
        <w:rFonts w:ascii="Cambria Math" w:hAnsi="Cambria Math" w:hint="default"/>
      </w:rPr>
    </w:lvl>
    <w:lvl w:ilvl="6" w:tplc="55CE145A">
      <w:start w:val="1"/>
      <w:numFmt w:val="bullet"/>
      <w:lvlText w:val=""/>
      <w:lvlJc w:val="left"/>
      <w:pPr>
        <w:ind w:left="5040" w:hanging="360"/>
      </w:pPr>
      <w:rPr>
        <w:rFonts w:ascii="Segoe UI" w:hAnsi="Segoe UI" w:hint="default"/>
      </w:rPr>
    </w:lvl>
    <w:lvl w:ilvl="7" w:tplc="1F56A178">
      <w:start w:val="1"/>
      <w:numFmt w:val="bullet"/>
      <w:lvlText w:val="o"/>
      <w:lvlJc w:val="left"/>
      <w:pPr>
        <w:ind w:left="5760" w:hanging="360"/>
      </w:pPr>
      <w:rPr>
        <w:rFonts w:ascii="Courier New" w:hAnsi="Courier New" w:hint="default"/>
      </w:rPr>
    </w:lvl>
    <w:lvl w:ilvl="8" w:tplc="FAE00FD0">
      <w:start w:val="1"/>
      <w:numFmt w:val="bullet"/>
      <w:lvlText w:val=""/>
      <w:lvlJc w:val="left"/>
      <w:pPr>
        <w:ind w:left="6480" w:hanging="360"/>
      </w:pPr>
      <w:rPr>
        <w:rFonts w:ascii="Cambria Math" w:hAnsi="Cambria Math" w:hint="default"/>
      </w:rPr>
    </w:lvl>
  </w:abstractNum>
  <w:abstractNum w:abstractNumId="137" w15:restartNumberingAfterBreak="0">
    <w:nsid w:val="16311B8D"/>
    <w:multiLevelType w:val="multilevel"/>
    <w:tmpl w:val="5088DD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68A62A0"/>
    <w:multiLevelType w:val="hybridMultilevel"/>
    <w:tmpl w:val="F6B41F1E"/>
    <w:lvl w:ilvl="0" w:tplc="2A789E00">
      <w:start w:val="1"/>
      <w:numFmt w:val="lowerRoman"/>
      <w:lvlText w:val="%1."/>
      <w:lvlJc w:val="right"/>
      <w:pPr>
        <w:ind w:left="1080" w:hanging="720"/>
      </w:pPr>
      <w:rPr>
        <w:rFonts w:hint="default"/>
      </w:rPr>
    </w:lvl>
    <w:lvl w:ilvl="1" w:tplc="B7303C30">
      <w:start w:val="2"/>
      <w:numFmt w:val="bullet"/>
      <w:lvlText w:val="-"/>
      <w:lvlJc w:val="left"/>
      <w:pPr>
        <w:ind w:left="1440" w:hanging="360"/>
      </w:pPr>
      <w:rPr>
        <w:rFonts w:ascii="Calibri" w:eastAsiaTheme="minorHAnsi" w:hAnsi="Calibri" w:cs="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1697510B"/>
    <w:multiLevelType w:val="hybridMultilevel"/>
    <w:tmpl w:val="FD88D5BA"/>
    <w:lvl w:ilvl="0" w:tplc="0809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Cambria Math" w:hAnsi="Cambria Math" w:hint="default"/>
      </w:rPr>
    </w:lvl>
    <w:lvl w:ilvl="3" w:tplc="04090001" w:tentative="1">
      <w:start w:val="1"/>
      <w:numFmt w:val="bullet"/>
      <w:lvlText w:val=""/>
      <w:lvlJc w:val="left"/>
      <w:pPr>
        <w:ind w:left="3306" w:hanging="360"/>
      </w:pPr>
      <w:rPr>
        <w:rFonts w:ascii="Segoe UI" w:hAnsi="Segoe UI"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Cambria Math" w:hAnsi="Cambria Math" w:hint="default"/>
      </w:rPr>
    </w:lvl>
    <w:lvl w:ilvl="6" w:tplc="04090001" w:tentative="1">
      <w:start w:val="1"/>
      <w:numFmt w:val="bullet"/>
      <w:lvlText w:val=""/>
      <w:lvlJc w:val="left"/>
      <w:pPr>
        <w:ind w:left="5466" w:hanging="360"/>
      </w:pPr>
      <w:rPr>
        <w:rFonts w:ascii="Segoe UI" w:hAnsi="Segoe UI"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Cambria Math" w:hAnsi="Cambria Math" w:hint="default"/>
      </w:rPr>
    </w:lvl>
  </w:abstractNum>
  <w:abstractNum w:abstractNumId="140" w15:restartNumberingAfterBreak="0">
    <w:nsid w:val="16B83602"/>
    <w:multiLevelType w:val="hybridMultilevel"/>
    <w:tmpl w:val="FFFFFFFF"/>
    <w:lvl w:ilvl="0" w:tplc="D81AD85A">
      <w:start w:val="12"/>
      <w:numFmt w:val="decimal"/>
      <w:lvlText w:val="%1."/>
      <w:lvlJc w:val="left"/>
      <w:pPr>
        <w:ind w:left="720" w:hanging="360"/>
      </w:pPr>
    </w:lvl>
    <w:lvl w:ilvl="1" w:tplc="AE600D4E">
      <w:start w:val="1"/>
      <w:numFmt w:val="lowerLetter"/>
      <w:lvlText w:val="%2."/>
      <w:lvlJc w:val="left"/>
      <w:pPr>
        <w:ind w:left="1440" w:hanging="360"/>
      </w:pPr>
    </w:lvl>
    <w:lvl w:ilvl="2" w:tplc="C5A0487C">
      <w:start w:val="1"/>
      <w:numFmt w:val="lowerRoman"/>
      <w:lvlText w:val="%3."/>
      <w:lvlJc w:val="right"/>
      <w:pPr>
        <w:ind w:left="2160" w:hanging="180"/>
      </w:pPr>
    </w:lvl>
    <w:lvl w:ilvl="3" w:tplc="1BD04700">
      <w:start w:val="1"/>
      <w:numFmt w:val="decimal"/>
      <w:lvlText w:val="%4."/>
      <w:lvlJc w:val="left"/>
      <w:pPr>
        <w:ind w:left="2880" w:hanging="360"/>
      </w:pPr>
    </w:lvl>
    <w:lvl w:ilvl="4" w:tplc="354026D6">
      <w:start w:val="1"/>
      <w:numFmt w:val="lowerLetter"/>
      <w:lvlText w:val="%5."/>
      <w:lvlJc w:val="left"/>
      <w:pPr>
        <w:ind w:left="3600" w:hanging="360"/>
      </w:pPr>
    </w:lvl>
    <w:lvl w:ilvl="5" w:tplc="22C2B9D2">
      <w:start w:val="1"/>
      <w:numFmt w:val="lowerRoman"/>
      <w:lvlText w:val="%6."/>
      <w:lvlJc w:val="right"/>
      <w:pPr>
        <w:ind w:left="4320" w:hanging="180"/>
      </w:pPr>
    </w:lvl>
    <w:lvl w:ilvl="6" w:tplc="280802DC">
      <w:start w:val="1"/>
      <w:numFmt w:val="decimal"/>
      <w:lvlText w:val="%7."/>
      <w:lvlJc w:val="left"/>
      <w:pPr>
        <w:ind w:left="5040" w:hanging="360"/>
      </w:pPr>
    </w:lvl>
    <w:lvl w:ilvl="7" w:tplc="FA8A068E">
      <w:start w:val="1"/>
      <w:numFmt w:val="lowerLetter"/>
      <w:lvlText w:val="%8."/>
      <w:lvlJc w:val="left"/>
      <w:pPr>
        <w:ind w:left="5760" w:hanging="360"/>
      </w:pPr>
    </w:lvl>
    <w:lvl w:ilvl="8" w:tplc="D7928F34">
      <w:start w:val="1"/>
      <w:numFmt w:val="lowerRoman"/>
      <w:lvlText w:val="%9."/>
      <w:lvlJc w:val="right"/>
      <w:pPr>
        <w:ind w:left="6480" w:hanging="180"/>
      </w:pPr>
    </w:lvl>
  </w:abstractNum>
  <w:abstractNum w:abstractNumId="141" w15:restartNumberingAfterBreak="0">
    <w:nsid w:val="16BD8D73"/>
    <w:multiLevelType w:val="hybridMultilevel"/>
    <w:tmpl w:val="FFFFFFFF"/>
    <w:lvl w:ilvl="0" w:tplc="FB58280E">
      <w:start w:val="1"/>
      <w:numFmt w:val="bullet"/>
      <w:lvlText w:val="·"/>
      <w:lvlJc w:val="left"/>
      <w:pPr>
        <w:ind w:left="720" w:hanging="360"/>
      </w:pPr>
      <w:rPr>
        <w:rFonts w:ascii="Symbol" w:hAnsi="Symbol" w:hint="default"/>
      </w:rPr>
    </w:lvl>
    <w:lvl w:ilvl="1" w:tplc="0096EE6A">
      <w:start w:val="1"/>
      <w:numFmt w:val="bullet"/>
      <w:lvlText w:val="o"/>
      <w:lvlJc w:val="left"/>
      <w:pPr>
        <w:ind w:left="1440" w:hanging="360"/>
      </w:pPr>
      <w:rPr>
        <w:rFonts w:ascii="Courier New" w:hAnsi="Courier New" w:hint="default"/>
      </w:rPr>
    </w:lvl>
    <w:lvl w:ilvl="2" w:tplc="0EF2E08E">
      <w:start w:val="1"/>
      <w:numFmt w:val="bullet"/>
      <w:lvlText w:val=""/>
      <w:lvlJc w:val="left"/>
      <w:pPr>
        <w:ind w:left="2160" w:hanging="360"/>
      </w:pPr>
      <w:rPr>
        <w:rFonts w:ascii="Wingdings" w:hAnsi="Wingdings" w:hint="default"/>
      </w:rPr>
    </w:lvl>
    <w:lvl w:ilvl="3" w:tplc="386626AC">
      <w:start w:val="1"/>
      <w:numFmt w:val="bullet"/>
      <w:lvlText w:val=""/>
      <w:lvlJc w:val="left"/>
      <w:pPr>
        <w:ind w:left="2880" w:hanging="360"/>
      </w:pPr>
      <w:rPr>
        <w:rFonts w:ascii="Symbol" w:hAnsi="Symbol" w:hint="default"/>
      </w:rPr>
    </w:lvl>
    <w:lvl w:ilvl="4" w:tplc="FDC8A05E">
      <w:start w:val="1"/>
      <w:numFmt w:val="bullet"/>
      <w:lvlText w:val="o"/>
      <w:lvlJc w:val="left"/>
      <w:pPr>
        <w:ind w:left="3600" w:hanging="360"/>
      </w:pPr>
      <w:rPr>
        <w:rFonts w:ascii="Courier New" w:hAnsi="Courier New" w:hint="default"/>
      </w:rPr>
    </w:lvl>
    <w:lvl w:ilvl="5" w:tplc="C9A41C04">
      <w:start w:val="1"/>
      <w:numFmt w:val="bullet"/>
      <w:lvlText w:val=""/>
      <w:lvlJc w:val="left"/>
      <w:pPr>
        <w:ind w:left="4320" w:hanging="360"/>
      </w:pPr>
      <w:rPr>
        <w:rFonts w:ascii="Wingdings" w:hAnsi="Wingdings" w:hint="default"/>
      </w:rPr>
    </w:lvl>
    <w:lvl w:ilvl="6" w:tplc="4E08E5BC">
      <w:start w:val="1"/>
      <w:numFmt w:val="bullet"/>
      <w:lvlText w:val=""/>
      <w:lvlJc w:val="left"/>
      <w:pPr>
        <w:ind w:left="5040" w:hanging="360"/>
      </w:pPr>
      <w:rPr>
        <w:rFonts w:ascii="Symbol" w:hAnsi="Symbol" w:hint="default"/>
      </w:rPr>
    </w:lvl>
    <w:lvl w:ilvl="7" w:tplc="D9228FA4">
      <w:start w:val="1"/>
      <w:numFmt w:val="bullet"/>
      <w:lvlText w:val="o"/>
      <w:lvlJc w:val="left"/>
      <w:pPr>
        <w:ind w:left="5760" w:hanging="360"/>
      </w:pPr>
      <w:rPr>
        <w:rFonts w:ascii="Courier New" w:hAnsi="Courier New" w:hint="default"/>
      </w:rPr>
    </w:lvl>
    <w:lvl w:ilvl="8" w:tplc="185E3B4A">
      <w:start w:val="1"/>
      <w:numFmt w:val="bullet"/>
      <w:lvlText w:val=""/>
      <w:lvlJc w:val="left"/>
      <w:pPr>
        <w:ind w:left="6480" w:hanging="360"/>
      </w:pPr>
      <w:rPr>
        <w:rFonts w:ascii="Wingdings" w:hAnsi="Wingdings" w:hint="default"/>
      </w:rPr>
    </w:lvl>
  </w:abstractNum>
  <w:abstractNum w:abstractNumId="142" w15:restartNumberingAfterBreak="0">
    <w:nsid w:val="16E2119D"/>
    <w:multiLevelType w:val="hybridMultilevel"/>
    <w:tmpl w:val="FFFFFFFF"/>
    <w:lvl w:ilvl="0" w:tplc="613CA06A">
      <w:start w:val="1"/>
      <w:numFmt w:val="bullet"/>
      <w:lvlText w:val="o"/>
      <w:lvlJc w:val="left"/>
      <w:pPr>
        <w:ind w:left="720" w:hanging="360"/>
      </w:pPr>
      <w:rPr>
        <w:rFonts w:ascii="&quot;Courier New&quot;" w:hAnsi="&quot;Courier New&quot;" w:hint="default"/>
      </w:rPr>
    </w:lvl>
    <w:lvl w:ilvl="1" w:tplc="AE76813E">
      <w:start w:val="1"/>
      <w:numFmt w:val="bullet"/>
      <w:lvlText w:val="o"/>
      <w:lvlJc w:val="left"/>
      <w:pPr>
        <w:ind w:left="1440" w:hanging="360"/>
      </w:pPr>
      <w:rPr>
        <w:rFonts w:ascii="Courier New" w:hAnsi="Courier New" w:hint="default"/>
      </w:rPr>
    </w:lvl>
    <w:lvl w:ilvl="2" w:tplc="913C3326">
      <w:start w:val="1"/>
      <w:numFmt w:val="bullet"/>
      <w:lvlText w:val=""/>
      <w:lvlJc w:val="left"/>
      <w:pPr>
        <w:ind w:left="2160" w:hanging="360"/>
      </w:pPr>
      <w:rPr>
        <w:rFonts w:ascii="Wingdings" w:hAnsi="Wingdings" w:hint="default"/>
      </w:rPr>
    </w:lvl>
    <w:lvl w:ilvl="3" w:tplc="9BFA3142">
      <w:start w:val="1"/>
      <w:numFmt w:val="bullet"/>
      <w:lvlText w:val=""/>
      <w:lvlJc w:val="left"/>
      <w:pPr>
        <w:ind w:left="2880" w:hanging="360"/>
      </w:pPr>
      <w:rPr>
        <w:rFonts w:ascii="Symbol" w:hAnsi="Symbol" w:hint="default"/>
      </w:rPr>
    </w:lvl>
    <w:lvl w:ilvl="4" w:tplc="18A49514">
      <w:start w:val="1"/>
      <w:numFmt w:val="bullet"/>
      <w:lvlText w:val="o"/>
      <w:lvlJc w:val="left"/>
      <w:pPr>
        <w:ind w:left="3600" w:hanging="360"/>
      </w:pPr>
      <w:rPr>
        <w:rFonts w:ascii="Courier New" w:hAnsi="Courier New" w:hint="default"/>
      </w:rPr>
    </w:lvl>
    <w:lvl w:ilvl="5" w:tplc="8D009E16">
      <w:start w:val="1"/>
      <w:numFmt w:val="bullet"/>
      <w:lvlText w:val=""/>
      <w:lvlJc w:val="left"/>
      <w:pPr>
        <w:ind w:left="4320" w:hanging="360"/>
      </w:pPr>
      <w:rPr>
        <w:rFonts w:ascii="Wingdings" w:hAnsi="Wingdings" w:hint="default"/>
      </w:rPr>
    </w:lvl>
    <w:lvl w:ilvl="6" w:tplc="1B8AFBB4">
      <w:start w:val="1"/>
      <w:numFmt w:val="bullet"/>
      <w:lvlText w:val=""/>
      <w:lvlJc w:val="left"/>
      <w:pPr>
        <w:ind w:left="5040" w:hanging="360"/>
      </w:pPr>
      <w:rPr>
        <w:rFonts w:ascii="Symbol" w:hAnsi="Symbol" w:hint="default"/>
      </w:rPr>
    </w:lvl>
    <w:lvl w:ilvl="7" w:tplc="AF4EB9AC">
      <w:start w:val="1"/>
      <w:numFmt w:val="bullet"/>
      <w:lvlText w:val="o"/>
      <w:lvlJc w:val="left"/>
      <w:pPr>
        <w:ind w:left="5760" w:hanging="360"/>
      </w:pPr>
      <w:rPr>
        <w:rFonts w:ascii="Courier New" w:hAnsi="Courier New" w:hint="default"/>
      </w:rPr>
    </w:lvl>
    <w:lvl w:ilvl="8" w:tplc="7C32FDB4">
      <w:start w:val="1"/>
      <w:numFmt w:val="bullet"/>
      <w:lvlText w:val=""/>
      <w:lvlJc w:val="left"/>
      <w:pPr>
        <w:ind w:left="6480" w:hanging="360"/>
      </w:pPr>
      <w:rPr>
        <w:rFonts w:ascii="Wingdings" w:hAnsi="Wingdings" w:hint="default"/>
      </w:rPr>
    </w:lvl>
  </w:abstractNum>
  <w:abstractNum w:abstractNumId="143" w15:restartNumberingAfterBreak="0">
    <w:nsid w:val="16F339BD"/>
    <w:multiLevelType w:val="hybridMultilevel"/>
    <w:tmpl w:val="FFFFFFFF"/>
    <w:lvl w:ilvl="0" w:tplc="19BEF37A">
      <w:start w:val="1"/>
      <w:numFmt w:val="bullet"/>
      <w:lvlText w:val=""/>
      <w:lvlJc w:val="left"/>
      <w:pPr>
        <w:ind w:left="720" w:hanging="360"/>
      </w:pPr>
      <w:rPr>
        <w:rFonts w:ascii="Symbol" w:hAnsi="Symbol" w:hint="default"/>
      </w:rPr>
    </w:lvl>
    <w:lvl w:ilvl="1" w:tplc="120493A4">
      <w:start w:val="1"/>
      <w:numFmt w:val="bullet"/>
      <w:lvlText w:val="-"/>
      <w:lvlJc w:val="left"/>
      <w:pPr>
        <w:ind w:left="1440" w:hanging="360"/>
      </w:pPr>
      <w:rPr>
        <w:rFonts w:ascii="Calibri" w:hAnsi="Calibri" w:hint="default"/>
      </w:rPr>
    </w:lvl>
    <w:lvl w:ilvl="2" w:tplc="7598CDE6">
      <w:start w:val="1"/>
      <w:numFmt w:val="bullet"/>
      <w:lvlText w:val=""/>
      <w:lvlJc w:val="left"/>
      <w:pPr>
        <w:ind w:left="2160" w:hanging="360"/>
      </w:pPr>
      <w:rPr>
        <w:rFonts w:ascii="Wingdings" w:hAnsi="Wingdings" w:hint="default"/>
      </w:rPr>
    </w:lvl>
    <w:lvl w:ilvl="3" w:tplc="822C59DA">
      <w:start w:val="1"/>
      <w:numFmt w:val="bullet"/>
      <w:lvlText w:val=""/>
      <w:lvlJc w:val="left"/>
      <w:pPr>
        <w:ind w:left="2880" w:hanging="360"/>
      </w:pPr>
      <w:rPr>
        <w:rFonts w:ascii="Symbol" w:hAnsi="Symbol" w:hint="default"/>
      </w:rPr>
    </w:lvl>
    <w:lvl w:ilvl="4" w:tplc="6382D4BA">
      <w:start w:val="1"/>
      <w:numFmt w:val="bullet"/>
      <w:lvlText w:val="o"/>
      <w:lvlJc w:val="left"/>
      <w:pPr>
        <w:ind w:left="3600" w:hanging="360"/>
      </w:pPr>
      <w:rPr>
        <w:rFonts w:ascii="Courier New" w:hAnsi="Courier New" w:hint="default"/>
      </w:rPr>
    </w:lvl>
    <w:lvl w:ilvl="5" w:tplc="7236F44C">
      <w:start w:val="1"/>
      <w:numFmt w:val="bullet"/>
      <w:lvlText w:val=""/>
      <w:lvlJc w:val="left"/>
      <w:pPr>
        <w:ind w:left="4320" w:hanging="360"/>
      </w:pPr>
      <w:rPr>
        <w:rFonts w:ascii="Wingdings" w:hAnsi="Wingdings" w:hint="default"/>
      </w:rPr>
    </w:lvl>
    <w:lvl w:ilvl="6" w:tplc="977AA446">
      <w:start w:val="1"/>
      <w:numFmt w:val="bullet"/>
      <w:lvlText w:val=""/>
      <w:lvlJc w:val="left"/>
      <w:pPr>
        <w:ind w:left="5040" w:hanging="360"/>
      </w:pPr>
      <w:rPr>
        <w:rFonts w:ascii="Symbol" w:hAnsi="Symbol" w:hint="default"/>
      </w:rPr>
    </w:lvl>
    <w:lvl w:ilvl="7" w:tplc="C3A2CB9E">
      <w:start w:val="1"/>
      <w:numFmt w:val="bullet"/>
      <w:lvlText w:val="o"/>
      <w:lvlJc w:val="left"/>
      <w:pPr>
        <w:ind w:left="5760" w:hanging="360"/>
      </w:pPr>
      <w:rPr>
        <w:rFonts w:ascii="Courier New" w:hAnsi="Courier New" w:hint="default"/>
      </w:rPr>
    </w:lvl>
    <w:lvl w:ilvl="8" w:tplc="1E089CC4">
      <w:start w:val="1"/>
      <w:numFmt w:val="bullet"/>
      <w:lvlText w:val=""/>
      <w:lvlJc w:val="left"/>
      <w:pPr>
        <w:ind w:left="6480" w:hanging="360"/>
      </w:pPr>
      <w:rPr>
        <w:rFonts w:ascii="Wingdings" w:hAnsi="Wingdings" w:hint="default"/>
      </w:rPr>
    </w:lvl>
  </w:abstractNum>
  <w:abstractNum w:abstractNumId="144" w15:restartNumberingAfterBreak="0">
    <w:nsid w:val="16FE42D5"/>
    <w:multiLevelType w:val="hybridMultilevel"/>
    <w:tmpl w:val="1809001D"/>
    <w:lvl w:ilvl="0" w:tplc="823C9A8C">
      <w:start w:val="1"/>
      <w:numFmt w:val="bullet"/>
      <w:lvlText w:val=""/>
      <w:lvlJc w:val="left"/>
      <w:pPr>
        <w:ind w:left="360" w:hanging="360"/>
      </w:pPr>
    </w:lvl>
    <w:lvl w:ilvl="1" w:tplc="92B015E4">
      <w:start w:val="1"/>
      <w:numFmt w:val="lowerLetter"/>
      <w:lvlText w:val="%2)"/>
      <w:lvlJc w:val="left"/>
      <w:pPr>
        <w:ind w:left="720" w:hanging="360"/>
      </w:pPr>
    </w:lvl>
    <w:lvl w:ilvl="2" w:tplc="3214B6D8">
      <w:start w:val="1"/>
      <w:numFmt w:val="lowerRoman"/>
      <w:lvlText w:val="%3)"/>
      <w:lvlJc w:val="left"/>
      <w:pPr>
        <w:ind w:left="1080" w:hanging="360"/>
      </w:pPr>
    </w:lvl>
    <w:lvl w:ilvl="3" w:tplc="0F768270">
      <w:start w:val="1"/>
      <w:numFmt w:val="decimal"/>
      <w:lvlText w:val="(%4)"/>
      <w:lvlJc w:val="left"/>
      <w:pPr>
        <w:ind w:left="1440" w:hanging="360"/>
      </w:pPr>
    </w:lvl>
    <w:lvl w:ilvl="4" w:tplc="94B42FB0">
      <w:start w:val="1"/>
      <w:numFmt w:val="lowerLetter"/>
      <w:lvlText w:val="(%5)"/>
      <w:lvlJc w:val="left"/>
      <w:pPr>
        <w:ind w:left="1800" w:hanging="360"/>
      </w:pPr>
    </w:lvl>
    <w:lvl w:ilvl="5" w:tplc="BFF6B416">
      <w:start w:val="1"/>
      <w:numFmt w:val="lowerRoman"/>
      <w:lvlText w:val="(%6)"/>
      <w:lvlJc w:val="left"/>
      <w:pPr>
        <w:ind w:left="2160" w:hanging="360"/>
      </w:pPr>
    </w:lvl>
    <w:lvl w:ilvl="6" w:tplc="4866DEE0">
      <w:start w:val="1"/>
      <w:numFmt w:val="decimal"/>
      <w:lvlText w:val="%7."/>
      <w:lvlJc w:val="left"/>
      <w:pPr>
        <w:ind w:left="2520" w:hanging="360"/>
      </w:pPr>
    </w:lvl>
    <w:lvl w:ilvl="7" w:tplc="BCE6487C">
      <w:start w:val="1"/>
      <w:numFmt w:val="lowerLetter"/>
      <w:lvlText w:val="%8."/>
      <w:lvlJc w:val="left"/>
      <w:pPr>
        <w:ind w:left="2880" w:hanging="360"/>
      </w:pPr>
    </w:lvl>
    <w:lvl w:ilvl="8" w:tplc="3F9CCE28">
      <w:start w:val="1"/>
      <w:numFmt w:val="lowerRoman"/>
      <w:lvlText w:val="%9."/>
      <w:lvlJc w:val="left"/>
      <w:pPr>
        <w:ind w:left="3240" w:hanging="360"/>
      </w:pPr>
    </w:lvl>
  </w:abstractNum>
  <w:abstractNum w:abstractNumId="145" w15:restartNumberingAfterBreak="0">
    <w:nsid w:val="17070BCB"/>
    <w:multiLevelType w:val="multilevel"/>
    <w:tmpl w:val="528088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171A697E"/>
    <w:multiLevelType w:val="hybridMultilevel"/>
    <w:tmpl w:val="C7B892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172AE620"/>
    <w:multiLevelType w:val="hybridMultilevel"/>
    <w:tmpl w:val="FFFFFFFF"/>
    <w:lvl w:ilvl="0" w:tplc="85DCC0C0">
      <w:start w:val="1"/>
      <w:numFmt w:val="bullet"/>
      <w:lvlText w:val="·"/>
      <w:lvlJc w:val="left"/>
      <w:pPr>
        <w:ind w:left="720" w:hanging="360"/>
      </w:pPr>
      <w:rPr>
        <w:rFonts w:ascii="Symbol" w:hAnsi="Symbol" w:hint="default"/>
      </w:rPr>
    </w:lvl>
    <w:lvl w:ilvl="1" w:tplc="31FE3C28">
      <w:start w:val="1"/>
      <w:numFmt w:val="bullet"/>
      <w:lvlText w:val="o"/>
      <w:lvlJc w:val="left"/>
      <w:pPr>
        <w:ind w:left="1440" w:hanging="360"/>
      </w:pPr>
      <w:rPr>
        <w:rFonts w:ascii="Courier New" w:hAnsi="Courier New" w:hint="default"/>
      </w:rPr>
    </w:lvl>
    <w:lvl w:ilvl="2" w:tplc="35E4E2B0">
      <w:start w:val="1"/>
      <w:numFmt w:val="bullet"/>
      <w:lvlText w:val=""/>
      <w:lvlJc w:val="left"/>
      <w:pPr>
        <w:ind w:left="2160" w:hanging="360"/>
      </w:pPr>
      <w:rPr>
        <w:rFonts w:ascii="Wingdings" w:hAnsi="Wingdings" w:hint="default"/>
      </w:rPr>
    </w:lvl>
    <w:lvl w:ilvl="3" w:tplc="1376F07C">
      <w:start w:val="1"/>
      <w:numFmt w:val="bullet"/>
      <w:lvlText w:val=""/>
      <w:lvlJc w:val="left"/>
      <w:pPr>
        <w:ind w:left="2880" w:hanging="360"/>
      </w:pPr>
      <w:rPr>
        <w:rFonts w:ascii="Symbol" w:hAnsi="Symbol" w:hint="default"/>
      </w:rPr>
    </w:lvl>
    <w:lvl w:ilvl="4" w:tplc="8356E9A6">
      <w:start w:val="1"/>
      <w:numFmt w:val="bullet"/>
      <w:lvlText w:val="o"/>
      <w:lvlJc w:val="left"/>
      <w:pPr>
        <w:ind w:left="3600" w:hanging="360"/>
      </w:pPr>
      <w:rPr>
        <w:rFonts w:ascii="Courier New" w:hAnsi="Courier New" w:hint="default"/>
      </w:rPr>
    </w:lvl>
    <w:lvl w:ilvl="5" w:tplc="4D14875E">
      <w:start w:val="1"/>
      <w:numFmt w:val="bullet"/>
      <w:lvlText w:val=""/>
      <w:lvlJc w:val="left"/>
      <w:pPr>
        <w:ind w:left="4320" w:hanging="360"/>
      </w:pPr>
      <w:rPr>
        <w:rFonts w:ascii="Wingdings" w:hAnsi="Wingdings" w:hint="default"/>
      </w:rPr>
    </w:lvl>
    <w:lvl w:ilvl="6" w:tplc="BD18DA40">
      <w:start w:val="1"/>
      <w:numFmt w:val="bullet"/>
      <w:lvlText w:val=""/>
      <w:lvlJc w:val="left"/>
      <w:pPr>
        <w:ind w:left="5040" w:hanging="360"/>
      </w:pPr>
      <w:rPr>
        <w:rFonts w:ascii="Symbol" w:hAnsi="Symbol" w:hint="default"/>
      </w:rPr>
    </w:lvl>
    <w:lvl w:ilvl="7" w:tplc="6E7CEB2C">
      <w:start w:val="1"/>
      <w:numFmt w:val="bullet"/>
      <w:lvlText w:val="o"/>
      <w:lvlJc w:val="left"/>
      <w:pPr>
        <w:ind w:left="5760" w:hanging="360"/>
      </w:pPr>
      <w:rPr>
        <w:rFonts w:ascii="Courier New" w:hAnsi="Courier New" w:hint="default"/>
      </w:rPr>
    </w:lvl>
    <w:lvl w:ilvl="8" w:tplc="8DAC9A2C">
      <w:start w:val="1"/>
      <w:numFmt w:val="bullet"/>
      <w:lvlText w:val=""/>
      <w:lvlJc w:val="left"/>
      <w:pPr>
        <w:ind w:left="6480" w:hanging="360"/>
      </w:pPr>
      <w:rPr>
        <w:rFonts w:ascii="Wingdings" w:hAnsi="Wingdings" w:hint="default"/>
      </w:rPr>
    </w:lvl>
  </w:abstractNum>
  <w:abstractNum w:abstractNumId="148" w15:restartNumberingAfterBreak="0">
    <w:nsid w:val="174C0401"/>
    <w:multiLevelType w:val="hybridMultilevel"/>
    <w:tmpl w:val="02F4A94C"/>
    <w:lvl w:ilvl="0" w:tplc="A5D6A21A">
      <w:start w:val="7"/>
      <w:numFmt w:val="lowerRoman"/>
      <w:lvlText w:val="%1."/>
      <w:lvlJc w:val="right"/>
      <w:pPr>
        <w:ind w:left="720" w:hanging="360"/>
      </w:pPr>
      <w:rPr>
        <w:rFonts w:hint="default"/>
        <w:color w:val="4F81B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175320BD"/>
    <w:multiLevelType w:val="hybridMultilevel"/>
    <w:tmpl w:val="827677EE"/>
    <w:lvl w:ilvl="0" w:tplc="FFFFFFFF">
      <w:start w:val="1"/>
      <w:numFmt w:val="lowerLetter"/>
      <w:lvlText w:val="%1)"/>
      <w:lvlJc w:val="left"/>
      <w:pPr>
        <w:ind w:left="720" w:hanging="360"/>
      </w:pPr>
    </w:lvl>
    <w:lvl w:ilvl="1" w:tplc="2822E80E">
      <w:start w:val="1"/>
      <w:numFmt w:val="lowerLetter"/>
      <w:lvlText w:val="%2."/>
      <w:lvlJc w:val="left"/>
      <w:pPr>
        <w:ind w:left="1440" w:hanging="360"/>
      </w:pPr>
    </w:lvl>
    <w:lvl w:ilvl="2" w:tplc="F84E68BC">
      <w:start w:val="1"/>
      <w:numFmt w:val="lowerRoman"/>
      <w:lvlText w:val="%3."/>
      <w:lvlJc w:val="right"/>
      <w:pPr>
        <w:ind w:left="2160" w:hanging="180"/>
      </w:pPr>
    </w:lvl>
    <w:lvl w:ilvl="3" w:tplc="80A24C0A">
      <w:start w:val="1"/>
      <w:numFmt w:val="decimal"/>
      <w:lvlText w:val="%4."/>
      <w:lvlJc w:val="left"/>
      <w:pPr>
        <w:ind w:left="2880" w:hanging="360"/>
      </w:pPr>
    </w:lvl>
    <w:lvl w:ilvl="4" w:tplc="A216A36A">
      <w:start w:val="1"/>
      <w:numFmt w:val="lowerLetter"/>
      <w:lvlText w:val="%5."/>
      <w:lvlJc w:val="left"/>
      <w:pPr>
        <w:ind w:left="3600" w:hanging="360"/>
      </w:pPr>
    </w:lvl>
    <w:lvl w:ilvl="5" w:tplc="81367842">
      <w:start w:val="1"/>
      <w:numFmt w:val="lowerRoman"/>
      <w:lvlText w:val="%6."/>
      <w:lvlJc w:val="right"/>
      <w:pPr>
        <w:ind w:left="4320" w:hanging="180"/>
      </w:pPr>
    </w:lvl>
    <w:lvl w:ilvl="6" w:tplc="ED78C922">
      <w:start w:val="1"/>
      <w:numFmt w:val="decimal"/>
      <w:lvlText w:val="%7."/>
      <w:lvlJc w:val="left"/>
      <w:pPr>
        <w:ind w:left="5040" w:hanging="360"/>
      </w:pPr>
    </w:lvl>
    <w:lvl w:ilvl="7" w:tplc="D9DC85F2">
      <w:start w:val="1"/>
      <w:numFmt w:val="lowerLetter"/>
      <w:lvlText w:val="%8."/>
      <w:lvlJc w:val="left"/>
      <w:pPr>
        <w:ind w:left="5760" w:hanging="360"/>
      </w:pPr>
    </w:lvl>
    <w:lvl w:ilvl="8" w:tplc="22CC4B32">
      <w:start w:val="1"/>
      <w:numFmt w:val="lowerRoman"/>
      <w:lvlText w:val="%9."/>
      <w:lvlJc w:val="right"/>
      <w:pPr>
        <w:ind w:left="6480" w:hanging="180"/>
      </w:pPr>
    </w:lvl>
  </w:abstractNum>
  <w:abstractNum w:abstractNumId="150" w15:restartNumberingAfterBreak="0">
    <w:nsid w:val="175C52A5"/>
    <w:multiLevelType w:val="multilevel"/>
    <w:tmpl w:val="7F880D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1" w15:restartNumberingAfterBreak="0">
    <w:nsid w:val="175F447F"/>
    <w:multiLevelType w:val="multilevel"/>
    <w:tmpl w:val="1E6C58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177F18D1"/>
    <w:multiLevelType w:val="hybridMultilevel"/>
    <w:tmpl w:val="3506A87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3" w15:restartNumberingAfterBreak="0">
    <w:nsid w:val="17AE1517"/>
    <w:multiLevelType w:val="hybridMultilevel"/>
    <w:tmpl w:val="88EC5F1A"/>
    <w:lvl w:ilvl="0" w:tplc="58C26BEA">
      <w:numFmt w:val="bullet"/>
      <w:lvlText w:val="-"/>
      <w:lvlJc w:val="left"/>
      <w:pPr>
        <w:ind w:left="720" w:hanging="360"/>
      </w:pPr>
      <w:rPr>
        <w:rFonts w:ascii="Times New Roman" w:eastAsia="Times New Roman" w:hAnsi="Times New Roman" w:cs="Times New Roman" w:hint="default"/>
        <w:b/>
        <w:color w:val="4471C4"/>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4" w15:restartNumberingAfterBreak="0">
    <w:nsid w:val="17E31F37"/>
    <w:multiLevelType w:val="multilevel"/>
    <w:tmpl w:val="750E313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5" w15:restartNumberingAfterBreak="0">
    <w:nsid w:val="17F7E91D"/>
    <w:multiLevelType w:val="hybridMultilevel"/>
    <w:tmpl w:val="FFFFFFFF"/>
    <w:lvl w:ilvl="0" w:tplc="06CE4D6E">
      <w:start w:val="1"/>
      <w:numFmt w:val="decimal"/>
      <w:lvlText w:val="%1."/>
      <w:lvlJc w:val="left"/>
      <w:pPr>
        <w:ind w:left="720" w:hanging="360"/>
      </w:pPr>
    </w:lvl>
    <w:lvl w:ilvl="1" w:tplc="F88A5140">
      <w:start w:val="1"/>
      <w:numFmt w:val="lowerLetter"/>
      <w:lvlText w:val="%2."/>
      <w:lvlJc w:val="left"/>
      <w:pPr>
        <w:ind w:left="1440" w:hanging="360"/>
      </w:pPr>
    </w:lvl>
    <w:lvl w:ilvl="2" w:tplc="7DD83C00">
      <w:start w:val="1"/>
      <w:numFmt w:val="lowerRoman"/>
      <w:lvlText w:val="%3."/>
      <w:lvlJc w:val="right"/>
      <w:pPr>
        <w:ind w:left="2160" w:hanging="180"/>
      </w:pPr>
    </w:lvl>
    <w:lvl w:ilvl="3" w:tplc="42262488">
      <w:start w:val="1"/>
      <w:numFmt w:val="decimal"/>
      <w:lvlText w:val="%4."/>
      <w:lvlJc w:val="left"/>
      <w:pPr>
        <w:ind w:left="2880" w:hanging="360"/>
      </w:pPr>
    </w:lvl>
    <w:lvl w:ilvl="4" w:tplc="DDB61756">
      <w:start w:val="1"/>
      <w:numFmt w:val="lowerLetter"/>
      <w:lvlText w:val="%5."/>
      <w:lvlJc w:val="left"/>
      <w:pPr>
        <w:ind w:left="3600" w:hanging="360"/>
      </w:pPr>
    </w:lvl>
    <w:lvl w:ilvl="5" w:tplc="9C3418C6">
      <w:start w:val="1"/>
      <w:numFmt w:val="lowerRoman"/>
      <w:lvlText w:val="%6."/>
      <w:lvlJc w:val="right"/>
      <w:pPr>
        <w:ind w:left="4320" w:hanging="180"/>
      </w:pPr>
    </w:lvl>
    <w:lvl w:ilvl="6" w:tplc="CCAA5372">
      <w:start w:val="1"/>
      <w:numFmt w:val="decimal"/>
      <w:lvlText w:val="%7."/>
      <w:lvlJc w:val="left"/>
      <w:pPr>
        <w:ind w:left="5040" w:hanging="360"/>
      </w:pPr>
    </w:lvl>
    <w:lvl w:ilvl="7" w:tplc="A364A22A">
      <w:start w:val="1"/>
      <w:numFmt w:val="lowerLetter"/>
      <w:lvlText w:val="%8."/>
      <w:lvlJc w:val="left"/>
      <w:pPr>
        <w:ind w:left="5760" w:hanging="360"/>
      </w:pPr>
    </w:lvl>
    <w:lvl w:ilvl="8" w:tplc="CF2EBD62">
      <w:start w:val="1"/>
      <w:numFmt w:val="lowerRoman"/>
      <w:lvlText w:val="%9."/>
      <w:lvlJc w:val="right"/>
      <w:pPr>
        <w:ind w:left="6480" w:hanging="180"/>
      </w:pPr>
    </w:lvl>
  </w:abstractNum>
  <w:abstractNum w:abstractNumId="156" w15:restartNumberingAfterBreak="0">
    <w:nsid w:val="180E159D"/>
    <w:multiLevelType w:val="multilevel"/>
    <w:tmpl w:val="CD2C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189538D0"/>
    <w:multiLevelType w:val="multilevel"/>
    <w:tmpl w:val="9184F3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9" w15:restartNumberingAfterBreak="0">
    <w:nsid w:val="18F52294"/>
    <w:multiLevelType w:val="hybridMultilevel"/>
    <w:tmpl w:val="EDD0EC6E"/>
    <w:lvl w:ilvl="0" w:tplc="6DE8B5BE">
      <w:start w:val="2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0" w15:restartNumberingAfterBreak="0">
    <w:nsid w:val="190C54CA"/>
    <w:multiLevelType w:val="hybridMultilevel"/>
    <w:tmpl w:val="FFFFFFFF"/>
    <w:lvl w:ilvl="0" w:tplc="0FACBD9A">
      <w:start w:val="1"/>
      <w:numFmt w:val="lowerLetter"/>
      <w:lvlText w:val="%1."/>
      <w:lvlJc w:val="left"/>
      <w:pPr>
        <w:ind w:left="720" w:hanging="360"/>
      </w:pPr>
    </w:lvl>
    <w:lvl w:ilvl="1" w:tplc="6CF8024C">
      <w:start w:val="1"/>
      <w:numFmt w:val="lowerRoman"/>
      <w:lvlText w:val="%2."/>
      <w:lvlJc w:val="right"/>
      <w:pPr>
        <w:ind w:left="1440" w:hanging="360"/>
      </w:pPr>
    </w:lvl>
    <w:lvl w:ilvl="2" w:tplc="6B58957E">
      <w:start w:val="1"/>
      <w:numFmt w:val="lowerRoman"/>
      <w:lvlText w:val="%3."/>
      <w:lvlJc w:val="right"/>
      <w:pPr>
        <w:ind w:left="2160" w:hanging="180"/>
      </w:pPr>
    </w:lvl>
    <w:lvl w:ilvl="3" w:tplc="9C0E3714">
      <w:start w:val="1"/>
      <w:numFmt w:val="decimal"/>
      <w:lvlText w:val="%4."/>
      <w:lvlJc w:val="left"/>
      <w:pPr>
        <w:ind w:left="2880" w:hanging="360"/>
      </w:pPr>
    </w:lvl>
    <w:lvl w:ilvl="4" w:tplc="7D76AFA8">
      <w:start w:val="1"/>
      <w:numFmt w:val="lowerLetter"/>
      <w:lvlText w:val="%5."/>
      <w:lvlJc w:val="left"/>
      <w:pPr>
        <w:ind w:left="3600" w:hanging="360"/>
      </w:pPr>
    </w:lvl>
    <w:lvl w:ilvl="5" w:tplc="595CAD86">
      <w:start w:val="1"/>
      <w:numFmt w:val="lowerRoman"/>
      <w:lvlText w:val="%6."/>
      <w:lvlJc w:val="right"/>
      <w:pPr>
        <w:ind w:left="4320" w:hanging="180"/>
      </w:pPr>
    </w:lvl>
    <w:lvl w:ilvl="6" w:tplc="96688CAC">
      <w:start w:val="1"/>
      <w:numFmt w:val="decimal"/>
      <w:lvlText w:val="%7."/>
      <w:lvlJc w:val="left"/>
      <w:pPr>
        <w:ind w:left="5040" w:hanging="360"/>
      </w:pPr>
    </w:lvl>
    <w:lvl w:ilvl="7" w:tplc="1680A0D2">
      <w:start w:val="1"/>
      <w:numFmt w:val="lowerLetter"/>
      <w:lvlText w:val="%8."/>
      <w:lvlJc w:val="left"/>
      <w:pPr>
        <w:ind w:left="5760" w:hanging="360"/>
      </w:pPr>
    </w:lvl>
    <w:lvl w:ilvl="8" w:tplc="174AF652">
      <w:start w:val="1"/>
      <w:numFmt w:val="lowerRoman"/>
      <w:lvlText w:val="%9."/>
      <w:lvlJc w:val="right"/>
      <w:pPr>
        <w:ind w:left="6480" w:hanging="180"/>
      </w:pPr>
    </w:lvl>
  </w:abstractNum>
  <w:abstractNum w:abstractNumId="161" w15:restartNumberingAfterBreak="0">
    <w:nsid w:val="1911A4DB"/>
    <w:multiLevelType w:val="hybridMultilevel"/>
    <w:tmpl w:val="FFFFFFFF"/>
    <w:lvl w:ilvl="0" w:tplc="455EA81A">
      <w:start w:val="1"/>
      <w:numFmt w:val="bullet"/>
      <w:lvlText w:val=""/>
      <w:lvlJc w:val="left"/>
      <w:pPr>
        <w:ind w:left="720" w:hanging="360"/>
      </w:pPr>
      <w:rPr>
        <w:rFonts w:ascii="Symbol" w:hAnsi="Symbol" w:hint="default"/>
      </w:rPr>
    </w:lvl>
    <w:lvl w:ilvl="1" w:tplc="65FCEC66">
      <w:start w:val="1"/>
      <w:numFmt w:val="bullet"/>
      <w:lvlText w:val="o"/>
      <w:lvlJc w:val="left"/>
      <w:pPr>
        <w:ind w:left="1440" w:hanging="360"/>
      </w:pPr>
      <w:rPr>
        <w:rFonts w:ascii="Courier New" w:hAnsi="Courier New" w:hint="default"/>
      </w:rPr>
    </w:lvl>
    <w:lvl w:ilvl="2" w:tplc="A6220DF8">
      <w:start w:val="1"/>
      <w:numFmt w:val="bullet"/>
      <w:lvlText w:val="§"/>
      <w:lvlJc w:val="left"/>
      <w:pPr>
        <w:ind w:left="2160" w:hanging="360"/>
      </w:pPr>
      <w:rPr>
        <w:rFonts w:ascii="Wingdings" w:hAnsi="Wingdings" w:hint="default"/>
      </w:rPr>
    </w:lvl>
    <w:lvl w:ilvl="3" w:tplc="5CBCEBAA">
      <w:start w:val="1"/>
      <w:numFmt w:val="bullet"/>
      <w:lvlText w:val=""/>
      <w:lvlJc w:val="left"/>
      <w:pPr>
        <w:ind w:left="2880" w:hanging="360"/>
      </w:pPr>
      <w:rPr>
        <w:rFonts w:ascii="Symbol" w:hAnsi="Symbol" w:hint="default"/>
      </w:rPr>
    </w:lvl>
    <w:lvl w:ilvl="4" w:tplc="766A6638">
      <w:start w:val="1"/>
      <w:numFmt w:val="bullet"/>
      <w:lvlText w:val="o"/>
      <w:lvlJc w:val="left"/>
      <w:pPr>
        <w:ind w:left="3600" w:hanging="360"/>
      </w:pPr>
      <w:rPr>
        <w:rFonts w:ascii="Courier New" w:hAnsi="Courier New" w:hint="default"/>
      </w:rPr>
    </w:lvl>
    <w:lvl w:ilvl="5" w:tplc="C7D6D318">
      <w:start w:val="1"/>
      <w:numFmt w:val="bullet"/>
      <w:lvlText w:val=""/>
      <w:lvlJc w:val="left"/>
      <w:pPr>
        <w:ind w:left="4320" w:hanging="360"/>
      </w:pPr>
      <w:rPr>
        <w:rFonts w:ascii="Wingdings" w:hAnsi="Wingdings" w:hint="default"/>
      </w:rPr>
    </w:lvl>
    <w:lvl w:ilvl="6" w:tplc="D5326C18">
      <w:start w:val="1"/>
      <w:numFmt w:val="bullet"/>
      <w:lvlText w:val=""/>
      <w:lvlJc w:val="left"/>
      <w:pPr>
        <w:ind w:left="5040" w:hanging="360"/>
      </w:pPr>
      <w:rPr>
        <w:rFonts w:ascii="Symbol" w:hAnsi="Symbol" w:hint="default"/>
      </w:rPr>
    </w:lvl>
    <w:lvl w:ilvl="7" w:tplc="379A8996">
      <w:start w:val="1"/>
      <w:numFmt w:val="bullet"/>
      <w:lvlText w:val="o"/>
      <w:lvlJc w:val="left"/>
      <w:pPr>
        <w:ind w:left="5760" w:hanging="360"/>
      </w:pPr>
      <w:rPr>
        <w:rFonts w:ascii="Courier New" w:hAnsi="Courier New" w:hint="default"/>
      </w:rPr>
    </w:lvl>
    <w:lvl w:ilvl="8" w:tplc="D89EA68C">
      <w:start w:val="1"/>
      <w:numFmt w:val="bullet"/>
      <w:lvlText w:val=""/>
      <w:lvlJc w:val="left"/>
      <w:pPr>
        <w:ind w:left="6480" w:hanging="360"/>
      </w:pPr>
      <w:rPr>
        <w:rFonts w:ascii="Wingdings" w:hAnsi="Wingdings" w:hint="default"/>
      </w:rPr>
    </w:lvl>
  </w:abstractNum>
  <w:abstractNum w:abstractNumId="162" w15:restartNumberingAfterBreak="0">
    <w:nsid w:val="192607B3"/>
    <w:multiLevelType w:val="hybridMultilevel"/>
    <w:tmpl w:val="812E4DBA"/>
    <w:lvl w:ilvl="0" w:tplc="0B90F794">
      <w:numFmt w:val="bullet"/>
      <w:lvlText w:val="•"/>
      <w:lvlJc w:val="left"/>
      <w:pPr>
        <w:ind w:left="720" w:hanging="360"/>
      </w:pPr>
      <w:rPr>
        <w:rFonts w:ascii="Symbol" w:eastAsiaTheme="minorHAnsi"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Cambria Math" w:hAnsi="Cambria Math" w:hint="default"/>
      </w:rPr>
    </w:lvl>
    <w:lvl w:ilvl="3" w:tplc="0C0A0001" w:tentative="1">
      <w:start w:val="1"/>
      <w:numFmt w:val="bullet"/>
      <w:lvlText w:val=""/>
      <w:lvlJc w:val="left"/>
      <w:pPr>
        <w:ind w:left="2880" w:hanging="360"/>
      </w:pPr>
      <w:rPr>
        <w:rFonts w:ascii="Segoe UI" w:hAnsi="Segoe U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Cambria Math" w:hAnsi="Cambria Math" w:hint="default"/>
      </w:rPr>
    </w:lvl>
    <w:lvl w:ilvl="6" w:tplc="0C0A0001" w:tentative="1">
      <w:start w:val="1"/>
      <w:numFmt w:val="bullet"/>
      <w:lvlText w:val=""/>
      <w:lvlJc w:val="left"/>
      <w:pPr>
        <w:ind w:left="5040" w:hanging="360"/>
      </w:pPr>
      <w:rPr>
        <w:rFonts w:ascii="Segoe UI" w:hAnsi="Segoe UI"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Cambria Math" w:hAnsi="Cambria Math" w:hint="default"/>
      </w:rPr>
    </w:lvl>
  </w:abstractNum>
  <w:abstractNum w:abstractNumId="163" w15:restartNumberingAfterBreak="0">
    <w:nsid w:val="194D4AEC"/>
    <w:multiLevelType w:val="hybridMultilevel"/>
    <w:tmpl w:val="774C0776"/>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64" w15:restartNumberingAfterBreak="0">
    <w:nsid w:val="19E93DA4"/>
    <w:multiLevelType w:val="multilevel"/>
    <w:tmpl w:val="1E0887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1A4B63A7"/>
    <w:multiLevelType w:val="hybridMultilevel"/>
    <w:tmpl w:val="B824E7E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6" w15:restartNumberingAfterBreak="0">
    <w:nsid w:val="1A5DFAFD"/>
    <w:multiLevelType w:val="hybridMultilevel"/>
    <w:tmpl w:val="FFFFFFFF"/>
    <w:lvl w:ilvl="0" w:tplc="E2903D62">
      <w:start w:val="1"/>
      <w:numFmt w:val="decimal"/>
      <w:lvlText w:val="%1."/>
      <w:lvlJc w:val="left"/>
      <w:pPr>
        <w:ind w:left="1080" w:hanging="360"/>
      </w:pPr>
    </w:lvl>
    <w:lvl w:ilvl="1" w:tplc="515E0DF4">
      <w:start w:val="1"/>
      <w:numFmt w:val="lowerLetter"/>
      <w:lvlText w:val="%2."/>
      <w:lvlJc w:val="left"/>
      <w:pPr>
        <w:ind w:left="1800" w:hanging="360"/>
      </w:pPr>
    </w:lvl>
    <w:lvl w:ilvl="2" w:tplc="95F09ACA">
      <w:start w:val="1"/>
      <w:numFmt w:val="lowerRoman"/>
      <w:lvlText w:val="%3."/>
      <w:lvlJc w:val="right"/>
      <w:pPr>
        <w:ind w:left="2520" w:hanging="180"/>
      </w:pPr>
    </w:lvl>
    <w:lvl w:ilvl="3" w:tplc="E764A776">
      <w:start w:val="1"/>
      <w:numFmt w:val="decimal"/>
      <w:lvlText w:val="%4."/>
      <w:lvlJc w:val="left"/>
      <w:pPr>
        <w:ind w:left="3240" w:hanging="360"/>
      </w:pPr>
    </w:lvl>
    <w:lvl w:ilvl="4" w:tplc="E292A3D2">
      <w:start w:val="1"/>
      <w:numFmt w:val="lowerLetter"/>
      <w:lvlText w:val="%5."/>
      <w:lvlJc w:val="left"/>
      <w:pPr>
        <w:ind w:left="3960" w:hanging="360"/>
      </w:pPr>
    </w:lvl>
    <w:lvl w:ilvl="5" w:tplc="5EF2F5D4">
      <w:start w:val="1"/>
      <w:numFmt w:val="lowerRoman"/>
      <w:lvlText w:val="%6."/>
      <w:lvlJc w:val="right"/>
      <w:pPr>
        <w:ind w:left="4680" w:hanging="180"/>
      </w:pPr>
    </w:lvl>
    <w:lvl w:ilvl="6" w:tplc="8F82D18E">
      <w:start w:val="1"/>
      <w:numFmt w:val="decimal"/>
      <w:lvlText w:val="%7."/>
      <w:lvlJc w:val="left"/>
      <w:pPr>
        <w:ind w:left="5400" w:hanging="360"/>
      </w:pPr>
    </w:lvl>
    <w:lvl w:ilvl="7" w:tplc="EE7C9662">
      <w:start w:val="1"/>
      <w:numFmt w:val="lowerLetter"/>
      <w:lvlText w:val="%8."/>
      <w:lvlJc w:val="left"/>
      <w:pPr>
        <w:ind w:left="6120" w:hanging="360"/>
      </w:pPr>
    </w:lvl>
    <w:lvl w:ilvl="8" w:tplc="B2AC04C6">
      <w:start w:val="1"/>
      <w:numFmt w:val="lowerRoman"/>
      <w:lvlText w:val="%9."/>
      <w:lvlJc w:val="right"/>
      <w:pPr>
        <w:ind w:left="6840" w:hanging="180"/>
      </w:pPr>
    </w:lvl>
  </w:abstractNum>
  <w:abstractNum w:abstractNumId="167" w15:restartNumberingAfterBreak="0">
    <w:nsid w:val="1A7FFF7F"/>
    <w:multiLevelType w:val="hybridMultilevel"/>
    <w:tmpl w:val="FFFFFFFF"/>
    <w:lvl w:ilvl="0" w:tplc="DBE47A76">
      <w:start w:val="1"/>
      <w:numFmt w:val="bullet"/>
      <w:lvlText w:val="o"/>
      <w:lvlJc w:val="left"/>
      <w:pPr>
        <w:ind w:left="720" w:hanging="360"/>
      </w:pPr>
      <w:rPr>
        <w:rFonts w:ascii="&quot;Courier New&quot;" w:hAnsi="&quot;Courier New&quot;" w:hint="default"/>
      </w:rPr>
    </w:lvl>
    <w:lvl w:ilvl="1" w:tplc="95B02ABC">
      <w:start w:val="1"/>
      <w:numFmt w:val="bullet"/>
      <w:lvlText w:val="o"/>
      <w:lvlJc w:val="left"/>
      <w:pPr>
        <w:ind w:left="1440" w:hanging="360"/>
      </w:pPr>
      <w:rPr>
        <w:rFonts w:ascii="Courier New" w:hAnsi="Courier New" w:hint="default"/>
      </w:rPr>
    </w:lvl>
    <w:lvl w:ilvl="2" w:tplc="CE0C4E50">
      <w:start w:val="1"/>
      <w:numFmt w:val="bullet"/>
      <w:lvlText w:val=""/>
      <w:lvlJc w:val="left"/>
      <w:pPr>
        <w:ind w:left="2160" w:hanging="360"/>
      </w:pPr>
      <w:rPr>
        <w:rFonts w:ascii="Wingdings" w:hAnsi="Wingdings" w:hint="default"/>
      </w:rPr>
    </w:lvl>
    <w:lvl w:ilvl="3" w:tplc="D08E6D00">
      <w:start w:val="1"/>
      <w:numFmt w:val="bullet"/>
      <w:lvlText w:val=""/>
      <w:lvlJc w:val="left"/>
      <w:pPr>
        <w:ind w:left="2880" w:hanging="360"/>
      </w:pPr>
      <w:rPr>
        <w:rFonts w:ascii="Symbol" w:hAnsi="Symbol" w:hint="default"/>
      </w:rPr>
    </w:lvl>
    <w:lvl w:ilvl="4" w:tplc="34A29F2A">
      <w:start w:val="1"/>
      <w:numFmt w:val="bullet"/>
      <w:lvlText w:val="o"/>
      <w:lvlJc w:val="left"/>
      <w:pPr>
        <w:ind w:left="3600" w:hanging="360"/>
      </w:pPr>
      <w:rPr>
        <w:rFonts w:ascii="Courier New" w:hAnsi="Courier New" w:hint="default"/>
      </w:rPr>
    </w:lvl>
    <w:lvl w:ilvl="5" w:tplc="8B90AC04">
      <w:start w:val="1"/>
      <w:numFmt w:val="bullet"/>
      <w:lvlText w:val=""/>
      <w:lvlJc w:val="left"/>
      <w:pPr>
        <w:ind w:left="4320" w:hanging="360"/>
      </w:pPr>
      <w:rPr>
        <w:rFonts w:ascii="Wingdings" w:hAnsi="Wingdings" w:hint="default"/>
      </w:rPr>
    </w:lvl>
    <w:lvl w:ilvl="6" w:tplc="A5924F2E">
      <w:start w:val="1"/>
      <w:numFmt w:val="bullet"/>
      <w:lvlText w:val=""/>
      <w:lvlJc w:val="left"/>
      <w:pPr>
        <w:ind w:left="5040" w:hanging="360"/>
      </w:pPr>
      <w:rPr>
        <w:rFonts w:ascii="Symbol" w:hAnsi="Symbol" w:hint="default"/>
      </w:rPr>
    </w:lvl>
    <w:lvl w:ilvl="7" w:tplc="E868805E">
      <w:start w:val="1"/>
      <w:numFmt w:val="bullet"/>
      <w:lvlText w:val="o"/>
      <w:lvlJc w:val="left"/>
      <w:pPr>
        <w:ind w:left="5760" w:hanging="360"/>
      </w:pPr>
      <w:rPr>
        <w:rFonts w:ascii="Courier New" w:hAnsi="Courier New" w:hint="default"/>
      </w:rPr>
    </w:lvl>
    <w:lvl w:ilvl="8" w:tplc="1018C856">
      <w:start w:val="1"/>
      <w:numFmt w:val="bullet"/>
      <w:lvlText w:val=""/>
      <w:lvlJc w:val="left"/>
      <w:pPr>
        <w:ind w:left="6480" w:hanging="360"/>
      </w:pPr>
      <w:rPr>
        <w:rFonts w:ascii="Wingdings" w:hAnsi="Wingdings" w:hint="default"/>
      </w:rPr>
    </w:lvl>
  </w:abstractNum>
  <w:abstractNum w:abstractNumId="168" w15:restartNumberingAfterBreak="0">
    <w:nsid w:val="1AB540A8"/>
    <w:multiLevelType w:val="hybridMultilevel"/>
    <w:tmpl w:val="3A1E0F3A"/>
    <w:lvl w:ilvl="0" w:tplc="7DE891F8">
      <w:start w:val="1"/>
      <w:numFmt w:val="lowerRoman"/>
      <w:lvlText w:val="%1."/>
      <w:lvlJc w:val="right"/>
      <w:pPr>
        <w:ind w:left="1440" w:hanging="360"/>
      </w:pPr>
      <w:rPr>
        <w:b w:val="0"/>
        <w:bCs/>
        <w:color w:val="4F81BD" w:themeColor="accent1"/>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69"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0" w15:restartNumberingAfterBreak="0">
    <w:nsid w:val="1B60664A"/>
    <w:multiLevelType w:val="hybridMultilevel"/>
    <w:tmpl w:val="FFFFFFFF"/>
    <w:lvl w:ilvl="0" w:tplc="B8EE1040">
      <w:start w:val="1"/>
      <w:numFmt w:val="bullet"/>
      <w:lvlText w:val="o"/>
      <w:lvlJc w:val="left"/>
      <w:pPr>
        <w:ind w:left="720" w:hanging="360"/>
      </w:pPr>
      <w:rPr>
        <w:rFonts w:ascii="&quot;Courier New&quot;" w:hAnsi="&quot;Courier New&quot;" w:hint="default"/>
      </w:rPr>
    </w:lvl>
    <w:lvl w:ilvl="1" w:tplc="EB4C651A">
      <w:start w:val="1"/>
      <w:numFmt w:val="bullet"/>
      <w:lvlText w:val="o"/>
      <w:lvlJc w:val="left"/>
      <w:pPr>
        <w:ind w:left="1440" w:hanging="360"/>
      </w:pPr>
      <w:rPr>
        <w:rFonts w:ascii="Courier New" w:hAnsi="Courier New" w:hint="default"/>
      </w:rPr>
    </w:lvl>
    <w:lvl w:ilvl="2" w:tplc="263E9C30">
      <w:start w:val="1"/>
      <w:numFmt w:val="bullet"/>
      <w:lvlText w:val=""/>
      <w:lvlJc w:val="left"/>
      <w:pPr>
        <w:ind w:left="2160" w:hanging="360"/>
      </w:pPr>
      <w:rPr>
        <w:rFonts w:ascii="Wingdings" w:hAnsi="Wingdings" w:hint="default"/>
      </w:rPr>
    </w:lvl>
    <w:lvl w:ilvl="3" w:tplc="4A7492DE">
      <w:start w:val="1"/>
      <w:numFmt w:val="bullet"/>
      <w:lvlText w:val=""/>
      <w:lvlJc w:val="left"/>
      <w:pPr>
        <w:ind w:left="2880" w:hanging="360"/>
      </w:pPr>
      <w:rPr>
        <w:rFonts w:ascii="Symbol" w:hAnsi="Symbol" w:hint="default"/>
      </w:rPr>
    </w:lvl>
    <w:lvl w:ilvl="4" w:tplc="C12E9ADC">
      <w:start w:val="1"/>
      <w:numFmt w:val="bullet"/>
      <w:lvlText w:val="o"/>
      <w:lvlJc w:val="left"/>
      <w:pPr>
        <w:ind w:left="3600" w:hanging="360"/>
      </w:pPr>
      <w:rPr>
        <w:rFonts w:ascii="Courier New" w:hAnsi="Courier New" w:hint="default"/>
      </w:rPr>
    </w:lvl>
    <w:lvl w:ilvl="5" w:tplc="849608DC">
      <w:start w:val="1"/>
      <w:numFmt w:val="bullet"/>
      <w:lvlText w:val=""/>
      <w:lvlJc w:val="left"/>
      <w:pPr>
        <w:ind w:left="4320" w:hanging="360"/>
      </w:pPr>
      <w:rPr>
        <w:rFonts w:ascii="Wingdings" w:hAnsi="Wingdings" w:hint="default"/>
      </w:rPr>
    </w:lvl>
    <w:lvl w:ilvl="6" w:tplc="43B622B6">
      <w:start w:val="1"/>
      <w:numFmt w:val="bullet"/>
      <w:lvlText w:val=""/>
      <w:lvlJc w:val="left"/>
      <w:pPr>
        <w:ind w:left="5040" w:hanging="360"/>
      </w:pPr>
      <w:rPr>
        <w:rFonts w:ascii="Symbol" w:hAnsi="Symbol" w:hint="default"/>
      </w:rPr>
    </w:lvl>
    <w:lvl w:ilvl="7" w:tplc="E5DCEF84">
      <w:start w:val="1"/>
      <w:numFmt w:val="bullet"/>
      <w:lvlText w:val="o"/>
      <w:lvlJc w:val="left"/>
      <w:pPr>
        <w:ind w:left="5760" w:hanging="360"/>
      </w:pPr>
      <w:rPr>
        <w:rFonts w:ascii="Courier New" w:hAnsi="Courier New" w:hint="default"/>
      </w:rPr>
    </w:lvl>
    <w:lvl w:ilvl="8" w:tplc="51269408">
      <w:start w:val="1"/>
      <w:numFmt w:val="bullet"/>
      <w:lvlText w:val=""/>
      <w:lvlJc w:val="left"/>
      <w:pPr>
        <w:ind w:left="6480" w:hanging="360"/>
      </w:pPr>
      <w:rPr>
        <w:rFonts w:ascii="Wingdings" w:hAnsi="Wingdings" w:hint="default"/>
      </w:rPr>
    </w:lvl>
  </w:abstractNum>
  <w:abstractNum w:abstractNumId="171" w15:restartNumberingAfterBreak="0">
    <w:nsid w:val="1BAD28DC"/>
    <w:multiLevelType w:val="hybridMultilevel"/>
    <w:tmpl w:val="FFFFFFFF"/>
    <w:lvl w:ilvl="0" w:tplc="B89CB830">
      <w:start w:val="1"/>
      <w:numFmt w:val="bullet"/>
      <w:lvlText w:val=""/>
      <w:lvlJc w:val="left"/>
      <w:pPr>
        <w:ind w:left="720" w:hanging="360"/>
      </w:pPr>
      <w:rPr>
        <w:rFonts w:ascii="Segoe UI" w:hAnsi="Segoe UI" w:hint="default"/>
      </w:rPr>
    </w:lvl>
    <w:lvl w:ilvl="1" w:tplc="7D742AD4">
      <w:start w:val="1"/>
      <w:numFmt w:val="bullet"/>
      <w:lvlText w:val="o"/>
      <w:lvlJc w:val="left"/>
      <w:pPr>
        <w:ind w:left="1440" w:hanging="360"/>
      </w:pPr>
      <w:rPr>
        <w:rFonts w:ascii="Courier New" w:hAnsi="Courier New" w:hint="default"/>
      </w:rPr>
    </w:lvl>
    <w:lvl w:ilvl="2" w:tplc="5352EB2E">
      <w:start w:val="1"/>
      <w:numFmt w:val="bullet"/>
      <w:lvlText w:val=""/>
      <w:lvlJc w:val="left"/>
      <w:pPr>
        <w:ind w:left="2160" w:hanging="360"/>
      </w:pPr>
      <w:rPr>
        <w:rFonts w:ascii="Cambria Math" w:hAnsi="Cambria Math" w:hint="default"/>
      </w:rPr>
    </w:lvl>
    <w:lvl w:ilvl="3" w:tplc="FA24F754">
      <w:start w:val="1"/>
      <w:numFmt w:val="bullet"/>
      <w:lvlText w:val=""/>
      <w:lvlJc w:val="left"/>
      <w:pPr>
        <w:ind w:left="2880" w:hanging="360"/>
      </w:pPr>
      <w:rPr>
        <w:rFonts w:ascii="Segoe UI" w:hAnsi="Segoe UI" w:hint="default"/>
      </w:rPr>
    </w:lvl>
    <w:lvl w:ilvl="4" w:tplc="1BCCE446">
      <w:start w:val="1"/>
      <w:numFmt w:val="bullet"/>
      <w:lvlText w:val="o"/>
      <w:lvlJc w:val="left"/>
      <w:pPr>
        <w:ind w:left="3600" w:hanging="360"/>
      </w:pPr>
      <w:rPr>
        <w:rFonts w:ascii="Courier New" w:hAnsi="Courier New" w:hint="default"/>
      </w:rPr>
    </w:lvl>
    <w:lvl w:ilvl="5" w:tplc="CE9836C6">
      <w:start w:val="1"/>
      <w:numFmt w:val="bullet"/>
      <w:lvlText w:val=""/>
      <w:lvlJc w:val="left"/>
      <w:pPr>
        <w:ind w:left="4320" w:hanging="360"/>
      </w:pPr>
      <w:rPr>
        <w:rFonts w:ascii="Cambria Math" w:hAnsi="Cambria Math" w:hint="default"/>
      </w:rPr>
    </w:lvl>
    <w:lvl w:ilvl="6" w:tplc="C110173C">
      <w:start w:val="1"/>
      <w:numFmt w:val="bullet"/>
      <w:lvlText w:val=""/>
      <w:lvlJc w:val="left"/>
      <w:pPr>
        <w:ind w:left="5040" w:hanging="360"/>
      </w:pPr>
      <w:rPr>
        <w:rFonts w:ascii="Segoe UI" w:hAnsi="Segoe UI" w:hint="default"/>
      </w:rPr>
    </w:lvl>
    <w:lvl w:ilvl="7" w:tplc="D6507C64">
      <w:start w:val="1"/>
      <w:numFmt w:val="bullet"/>
      <w:lvlText w:val="o"/>
      <w:lvlJc w:val="left"/>
      <w:pPr>
        <w:ind w:left="5760" w:hanging="360"/>
      </w:pPr>
      <w:rPr>
        <w:rFonts w:ascii="Courier New" w:hAnsi="Courier New" w:hint="default"/>
      </w:rPr>
    </w:lvl>
    <w:lvl w:ilvl="8" w:tplc="674A1674">
      <w:start w:val="1"/>
      <w:numFmt w:val="bullet"/>
      <w:lvlText w:val=""/>
      <w:lvlJc w:val="left"/>
      <w:pPr>
        <w:ind w:left="6480" w:hanging="360"/>
      </w:pPr>
      <w:rPr>
        <w:rFonts w:ascii="Cambria Math" w:hAnsi="Cambria Math" w:hint="default"/>
      </w:rPr>
    </w:lvl>
  </w:abstractNum>
  <w:abstractNum w:abstractNumId="172" w15:restartNumberingAfterBreak="0">
    <w:nsid w:val="1BB40FF4"/>
    <w:multiLevelType w:val="multilevel"/>
    <w:tmpl w:val="60785D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1BBC89D2"/>
    <w:multiLevelType w:val="hybridMultilevel"/>
    <w:tmpl w:val="FFFFFFFF"/>
    <w:lvl w:ilvl="0" w:tplc="58A075AA">
      <w:start w:val="6"/>
      <w:numFmt w:val="decimal"/>
      <w:lvlText w:val="%1."/>
      <w:lvlJc w:val="left"/>
      <w:pPr>
        <w:ind w:left="720" w:hanging="360"/>
      </w:pPr>
    </w:lvl>
    <w:lvl w:ilvl="1" w:tplc="7BA28180">
      <w:start w:val="1"/>
      <w:numFmt w:val="lowerLetter"/>
      <w:lvlText w:val="%2."/>
      <w:lvlJc w:val="left"/>
      <w:pPr>
        <w:ind w:left="1440" w:hanging="360"/>
      </w:pPr>
    </w:lvl>
    <w:lvl w:ilvl="2" w:tplc="93163FDC">
      <w:start w:val="1"/>
      <w:numFmt w:val="lowerRoman"/>
      <w:lvlText w:val="%3."/>
      <w:lvlJc w:val="right"/>
      <w:pPr>
        <w:ind w:left="2160" w:hanging="180"/>
      </w:pPr>
    </w:lvl>
    <w:lvl w:ilvl="3" w:tplc="699E2C3E">
      <w:start w:val="1"/>
      <w:numFmt w:val="decimal"/>
      <w:lvlText w:val="%4."/>
      <w:lvlJc w:val="left"/>
      <w:pPr>
        <w:ind w:left="2880" w:hanging="360"/>
      </w:pPr>
    </w:lvl>
    <w:lvl w:ilvl="4" w:tplc="9B12844E">
      <w:start w:val="1"/>
      <w:numFmt w:val="lowerLetter"/>
      <w:lvlText w:val="%5."/>
      <w:lvlJc w:val="left"/>
      <w:pPr>
        <w:ind w:left="3600" w:hanging="360"/>
      </w:pPr>
    </w:lvl>
    <w:lvl w:ilvl="5" w:tplc="188AB13C">
      <w:start w:val="1"/>
      <w:numFmt w:val="lowerRoman"/>
      <w:lvlText w:val="%6."/>
      <w:lvlJc w:val="right"/>
      <w:pPr>
        <w:ind w:left="4320" w:hanging="180"/>
      </w:pPr>
    </w:lvl>
    <w:lvl w:ilvl="6" w:tplc="D3A4D292">
      <w:start w:val="1"/>
      <w:numFmt w:val="decimal"/>
      <w:lvlText w:val="%7."/>
      <w:lvlJc w:val="left"/>
      <w:pPr>
        <w:ind w:left="5040" w:hanging="360"/>
      </w:pPr>
    </w:lvl>
    <w:lvl w:ilvl="7" w:tplc="AF56F00A">
      <w:start w:val="1"/>
      <w:numFmt w:val="lowerLetter"/>
      <w:lvlText w:val="%8."/>
      <w:lvlJc w:val="left"/>
      <w:pPr>
        <w:ind w:left="5760" w:hanging="360"/>
      </w:pPr>
    </w:lvl>
    <w:lvl w:ilvl="8" w:tplc="30C09FB2">
      <w:start w:val="1"/>
      <w:numFmt w:val="lowerRoman"/>
      <w:lvlText w:val="%9."/>
      <w:lvlJc w:val="right"/>
      <w:pPr>
        <w:ind w:left="6480" w:hanging="180"/>
      </w:pPr>
    </w:lvl>
  </w:abstractNum>
  <w:abstractNum w:abstractNumId="174" w15:restartNumberingAfterBreak="0">
    <w:nsid w:val="1C912417"/>
    <w:multiLevelType w:val="multilevel"/>
    <w:tmpl w:val="6FEE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1C9663C3"/>
    <w:multiLevelType w:val="hybridMultilevel"/>
    <w:tmpl w:val="C2AA9766"/>
    <w:lvl w:ilvl="0" w:tplc="1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6" w15:restartNumberingAfterBreak="0">
    <w:nsid w:val="1CCB4B20"/>
    <w:multiLevelType w:val="hybridMultilevel"/>
    <w:tmpl w:val="BB32ED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7" w15:restartNumberingAfterBreak="0">
    <w:nsid w:val="1CCBE4A3"/>
    <w:multiLevelType w:val="hybridMultilevel"/>
    <w:tmpl w:val="FFFFFFFF"/>
    <w:lvl w:ilvl="0" w:tplc="169A5CEE">
      <w:start w:val="4"/>
      <w:numFmt w:val="decimal"/>
      <w:lvlText w:val="%1."/>
      <w:lvlJc w:val="left"/>
      <w:pPr>
        <w:ind w:left="720" w:hanging="360"/>
      </w:pPr>
    </w:lvl>
    <w:lvl w:ilvl="1" w:tplc="7C904576">
      <w:start w:val="1"/>
      <w:numFmt w:val="lowerLetter"/>
      <w:lvlText w:val="%2."/>
      <w:lvlJc w:val="left"/>
      <w:pPr>
        <w:ind w:left="1440" w:hanging="360"/>
      </w:pPr>
    </w:lvl>
    <w:lvl w:ilvl="2" w:tplc="2D8EEED8">
      <w:start w:val="1"/>
      <w:numFmt w:val="lowerRoman"/>
      <w:lvlText w:val="%3."/>
      <w:lvlJc w:val="right"/>
      <w:pPr>
        <w:ind w:left="2160" w:hanging="180"/>
      </w:pPr>
    </w:lvl>
    <w:lvl w:ilvl="3" w:tplc="7CB2500A">
      <w:start w:val="1"/>
      <w:numFmt w:val="decimal"/>
      <w:lvlText w:val="%4."/>
      <w:lvlJc w:val="left"/>
      <w:pPr>
        <w:ind w:left="2880" w:hanging="360"/>
      </w:pPr>
    </w:lvl>
    <w:lvl w:ilvl="4" w:tplc="FC3E8126">
      <w:start w:val="1"/>
      <w:numFmt w:val="lowerLetter"/>
      <w:lvlText w:val="%5."/>
      <w:lvlJc w:val="left"/>
      <w:pPr>
        <w:ind w:left="3600" w:hanging="360"/>
      </w:pPr>
    </w:lvl>
    <w:lvl w:ilvl="5" w:tplc="05E8D93E">
      <w:start w:val="1"/>
      <w:numFmt w:val="lowerRoman"/>
      <w:lvlText w:val="%6."/>
      <w:lvlJc w:val="right"/>
      <w:pPr>
        <w:ind w:left="4320" w:hanging="180"/>
      </w:pPr>
    </w:lvl>
    <w:lvl w:ilvl="6" w:tplc="DD6862F4">
      <w:start w:val="1"/>
      <w:numFmt w:val="decimal"/>
      <w:lvlText w:val="%7."/>
      <w:lvlJc w:val="left"/>
      <w:pPr>
        <w:ind w:left="5040" w:hanging="360"/>
      </w:pPr>
    </w:lvl>
    <w:lvl w:ilvl="7" w:tplc="92707230">
      <w:start w:val="1"/>
      <w:numFmt w:val="lowerLetter"/>
      <w:lvlText w:val="%8."/>
      <w:lvlJc w:val="left"/>
      <w:pPr>
        <w:ind w:left="5760" w:hanging="360"/>
      </w:pPr>
    </w:lvl>
    <w:lvl w:ilvl="8" w:tplc="3FAC0E32">
      <w:start w:val="1"/>
      <w:numFmt w:val="lowerRoman"/>
      <w:lvlText w:val="%9."/>
      <w:lvlJc w:val="right"/>
      <w:pPr>
        <w:ind w:left="6480" w:hanging="180"/>
      </w:pPr>
    </w:lvl>
  </w:abstractNum>
  <w:abstractNum w:abstractNumId="178" w15:restartNumberingAfterBreak="0">
    <w:nsid w:val="1D033DC7"/>
    <w:multiLevelType w:val="multilevel"/>
    <w:tmpl w:val="904AF75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1D0F04A0"/>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0" w15:restartNumberingAfterBreak="0">
    <w:nsid w:val="1D3B0F62"/>
    <w:multiLevelType w:val="hybridMultilevel"/>
    <w:tmpl w:val="3CE0C580"/>
    <w:lvl w:ilvl="0" w:tplc="1F6E05A8">
      <w:start w:val="2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1" w15:restartNumberingAfterBreak="0">
    <w:nsid w:val="1D5EF0CD"/>
    <w:multiLevelType w:val="hybridMultilevel"/>
    <w:tmpl w:val="FFFFFFFF"/>
    <w:lvl w:ilvl="0" w:tplc="5AA26166">
      <w:start w:val="9"/>
      <w:numFmt w:val="decimal"/>
      <w:lvlText w:val="%1."/>
      <w:lvlJc w:val="left"/>
      <w:pPr>
        <w:ind w:left="720" w:hanging="360"/>
      </w:pPr>
    </w:lvl>
    <w:lvl w:ilvl="1" w:tplc="0F7413DC">
      <w:start w:val="1"/>
      <w:numFmt w:val="lowerLetter"/>
      <w:lvlText w:val="%2."/>
      <w:lvlJc w:val="left"/>
      <w:pPr>
        <w:ind w:left="1440" w:hanging="360"/>
      </w:pPr>
    </w:lvl>
    <w:lvl w:ilvl="2" w:tplc="1D3A98DC">
      <w:start w:val="1"/>
      <w:numFmt w:val="lowerRoman"/>
      <w:lvlText w:val="%3."/>
      <w:lvlJc w:val="right"/>
      <w:pPr>
        <w:ind w:left="2160" w:hanging="180"/>
      </w:pPr>
    </w:lvl>
    <w:lvl w:ilvl="3" w:tplc="D19CC3C0">
      <w:start w:val="1"/>
      <w:numFmt w:val="decimal"/>
      <w:lvlText w:val="%4."/>
      <w:lvlJc w:val="left"/>
      <w:pPr>
        <w:ind w:left="2880" w:hanging="360"/>
      </w:pPr>
    </w:lvl>
    <w:lvl w:ilvl="4" w:tplc="3224F878">
      <w:start w:val="1"/>
      <w:numFmt w:val="lowerLetter"/>
      <w:lvlText w:val="%5."/>
      <w:lvlJc w:val="left"/>
      <w:pPr>
        <w:ind w:left="3600" w:hanging="360"/>
      </w:pPr>
    </w:lvl>
    <w:lvl w:ilvl="5" w:tplc="95F676AA">
      <w:start w:val="1"/>
      <w:numFmt w:val="lowerRoman"/>
      <w:lvlText w:val="%6."/>
      <w:lvlJc w:val="right"/>
      <w:pPr>
        <w:ind w:left="4320" w:hanging="180"/>
      </w:pPr>
    </w:lvl>
    <w:lvl w:ilvl="6" w:tplc="EA82F9EC">
      <w:start w:val="1"/>
      <w:numFmt w:val="decimal"/>
      <w:lvlText w:val="%7."/>
      <w:lvlJc w:val="left"/>
      <w:pPr>
        <w:ind w:left="5040" w:hanging="360"/>
      </w:pPr>
    </w:lvl>
    <w:lvl w:ilvl="7" w:tplc="948E84EA">
      <w:start w:val="1"/>
      <w:numFmt w:val="lowerLetter"/>
      <w:lvlText w:val="%8."/>
      <w:lvlJc w:val="left"/>
      <w:pPr>
        <w:ind w:left="5760" w:hanging="360"/>
      </w:pPr>
    </w:lvl>
    <w:lvl w:ilvl="8" w:tplc="A68CF282">
      <w:start w:val="1"/>
      <w:numFmt w:val="lowerRoman"/>
      <w:lvlText w:val="%9."/>
      <w:lvlJc w:val="right"/>
      <w:pPr>
        <w:ind w:left="6480" w:hanging="180"/>
      </w:pPr>
    </w:lvl>
  </w:abstractNum>
  <w:abstractNum w:abstractNumId="182" w15:restartNumberingAfterBreak="0">
    <w:nsid w:val="1DC17AA4"/>
    <w:multiLevelType w:val="hybridMultilevel"/>
    <w:tmpl w:val="FFFFFFFF"/>
    <w:lvl w:ilvl="0" w:tplc="1DF0C1C8">
      <w:start w:val="1"/>
      <w:numFmt w:val="bullet"/>
      <w:lvlText w:val=""/>
      <w:lvlJc w:val="left"/>
      <w:pPr>
        <w:ind w:left="720" w:hanging="360"/>
      </w:pPr>
      <w:rPr>
        <w:rFonts w:ascii="Symbol" w:hAnsi="Symbol" w:hint="default"/>
      </w:rPr>
    </w:lvl>
    <w:lvl w:ilvl="1" w:tplc="CFBE2B5C">
      <w:start w:val="1"/>
      <w:numFmt w:val="bullet"/>
      <w:lvlText w:val="o"/>
      <w:lvlJc w:val="left"/>
      <w:pPr>
        <w:ind w:left="1440" w:hanging="360"/>
      </w:pPr>
      <w:rPr>
        <w:rFonts w:ascii="Courier New" w:hAnsi="Courier New" w:hint="default"/>
      </w:rPr>
    </w:lvl>
    <w:lvl w:ilvl="2" w:tplc="E1AE82BE">
      <w:start w:val="1"/>
      <w:numFmt w:val="bullet"/>
      <w:lvlText w:val=""/>
      <w:lvlJc w:val="left"/>
      <w:pPr>
        <w:ind w:left="2160" w:hanging="360"/>
      </w:pPr>
      <w:rPr>
        <w:rFonts w:ascii="Wingdings" w:hAnsi="Wingdings" w:hint="default"/>
      </w:rPr>
    </w:lvl>
    <w:lvl w:ilvl="3" w:tplc="25302BBE">
      <w:start w:val="1"/>
      <w:numFmt w:val="bullet"/>
      <w:lvlText w:val=""/>
      <w:lvlJc w:val="left"/>
      <w:pPr>
        <w:ind w:left="2880" w:hanging="360"/>
      </w:pPr>
      <w:rPr>
        <w:rFonts w:ascii="Symbol" w:hAnsi="Symbol" w:hint="default"/>
      </w:rPr>
    </w:lvl>
    <w:lvl w:ilvl="4" w:tplc="777C3C68">
      <w:start w:val="1"/>
      <w:numFmt w:val="bullet"/>
      <w:lvlText w:val="o"/>
      <w:lvlJc w:val="left"/>
      <w:pPr>
        <w:ind w:left="3600" w:hanging="360"/>
      </w:pPr>
      <w:rPr>
        <w:rFonts w:ascii="Courier New" w:hAnsi="Courier New" w:hint="default"/>
      </w:rPr>
    </w:lvl>
    <w:lvl w:ilvl="5" w:tplc="E286D97A">
      <w:start w:val="1"/>
      <w:numFmt w:val="bullet"/>
      <w:lvlText w:val=""/>
      <w:lvlJc w:val="left"/>
      <w:pPr>
        <w:ind w:left="4320" w:hanging="360"/>
      </w:pPr>
      <w:rPr>
        <w:rFonts w:ascii="Wingdings" w:hAnsi="Wingdings" w:hint="default"/>
      </w:rPr>
    </w:lvl>
    <w:lvl w:ilvl="6" w:tplc="CC821F8E">
      <w:start w:val="1"/>
      <w:numFmt w:val="bullet"/>
      <w:lvlText w:val=""/>
      <w:lvlJc w:val="left"/>
      <w:pPr>
        <w:ind w:left="5040" w:hanging="360"/>
      </w:pPr>
      <w:rPr>
        <w:rFonts w:ascii="Symbol" w:hAnsi="Symbol" w:hint="default"/>
      </w:rPr>
    </w:lvl>
    <w:lvl w:ilvl="7" w:tplc="1228F2C0">
      <w:start w:val="1"/>
      <w:numFmt w:val="bullet"/>
      <w:lvlText w:val="o"/>
      <w:lvlJc w:val="left"/>
      <w:pPr>
        <w:ind w:left="5760" w:hanging="360"/>
      </w:pPr>
      <w:rPr>
        <w:rFonts w:ascii="Courier New" w:hAnsi="Courier New" w:hint="default"/>
      </w:rPr>
    </w:lvl>
    <w:lvl w:ilvl="8" w:tplc="503205EC">
      <w:start w:val="1"/>
      <w:numFmt w:val="bullet"/>
      <w:lvlText w:val=""/>
      <w:lvlJc w:val="left"/>
      <w:pPr>
        <w:ind w:left="6480" w:hanging="360"/>
      </w:pPr>
      <w:rPr>
        <w:rFonts w:ascii="Wingdings" w:hAnsi="Wingdings" w:hint="default"/>
      </w:rPr>
    </w:lvl>
  </w:abstractNum>
  <w:abstractNum w:abstractNumId="183" w15:restartNumberingAfterBreak="0">
    <w:nsid w:val="1DC87C10"/>
    <w:multiLevelType w:val="hybridMultilevel"/>
    <w:tmpl w:val="F7121D94"/>
    <w:lvl w:ilvl="0" w:tplc="3552DF72">
      <w:start w:val="1"/>
      <w:numFmt w:val="lowerLetter"/>
      <w:lvlText w:val="%1."/>
      <w:lvlJc w:val="left"/>
      <w:pPr>
        <w:ind w:left="720" w:hanging="360"/>
      </w:pPr>
    </w:lvl>
    <w:lvl w:ilvl="1" w:tplc="B1DA723A">
      <w:start w:val="1"/>
      <w:numFmt w:val="lowerLetter"/>
      <w:lvlText w:val="%2."/>
      <w:lvlJc w:val="left"/>
      <w:pPr>
        <w:ind w:left="1440" w:hanging="360"/>
      </w:pPr>
    </w:lvl>
    <w:lvl w:ilvl="2" w:tplc="A212FD38">
      <w:start w:val="1"/>
      <w:numFmt w:val="lowerRoman"/>
      <w:lvlText w:val="%3."/>
      <w:lvlJc w:val="right"/>
      <w:pPr>
        <w:ind w:left="2160" w:hanging="180"/>
      </w:pPr>
    </w:lvl>
    <w:lvl w:ilvl="3" w:tplc="08D2B136">
      <w:start w:val="1"/>
      <w:numFmt w:val="decimal"/>
      <w:lvlText w:val="%4."/>
      <w:lvlJc w:val="left"/>
      <w:pPr>
        <w:ind w:left="2880" w:hanging="360"/>
      </w:pPr>
    </w:lvl>
    <w:lvl w:ilvl="4" w:tplc="CFD6CD62">
      <w:start w:val="1"/>
      <w:numFmt w:val="lowerLetter"/>
      <w:lvlText w:val="%5."/>
      <w:lvlJc w:val="left"/>
      <w:pPr>
        <w:ind w:left="3600" w:hanging="360"/>
      </w:pPr>
    </w:lvl>
    <w:lvl w:ilvl="5" w:tplc="C56AEF8C">
      <w:start w:val="1"/>
      <w:numFmt w:val="lowerRoman"/>
      <w:lvlText w:val="%6."/>
      <w:lvlJc w:val="right"/>
      <w:pPr>
        <w:ind w:left="4320" w:hanging="180"/>
      </w:pPr>
    </w:lvl>
    <w:lvl w:ilvl="6" w:tplc="8A86B7A0">
      <w:start w:val="1"/>
      <w:numFmt w:val="decimal"/>
      <w:lvlText w:val="%7."/>
      <w:lvlJc w:val="left"/>
      <w:pPr>
        <w:ind w:left="5040" w:hanging="360"/>
      </w:pPr>
    </w:lvl>
    <w:lvl w:ilvl="7" w:tplc="1F2C5B74">
      <w:start w:val="1"/>
      <w:numFmt w:val="lowerLetter"/>
      <w:lvlText w:val="%8."/>
      <w:lvlJc w:val="left"/>
      <w:pPr>
        <w:ind w:left="5760" w:hanging="360"/>
      </w:pPr>
    </w:lvl>
    <w:lvl w:ilvl="8" w:tplc="F932B108">
      <w:start w:val="1"/>
      <w:numFmt w:val="lowerRoman"/>
      <w:lvlText w:val="%9."/>
      <w:lvlJc w:val="right"/>
      <w:pPr>
        <w:ind w:left="6480" w:hanging="180"/>
      </w:pPr>
    </w:lvl>
  </w:abstractNum>
  <w:abstractNum w:abstractNumId="184" w15:restartNumberingAfterBreak="0">
    <w:nsid w:val="1E832D1B"/>
    <w:multiLevelType w:val="hybridMultilevel"/>
    <w:tmpl w:val="254E87B4"/>
    <w:lvl w:ilvl="0" w:tplc="18090001">
      <w:start w:val="1"/>
      <w:numFmt w:val="bullet"/>
      <w:lvlText w:val=""/>
      <w:lvlJc w:val="left"/>
      <w:pPr>
        <w:ind w:left="1080" w:hanging="360"/>
      </w:pPr>
      <w:rPr>
        <w:rFonts w:ascii="Symbol" w:hAnsi="Symbol" w:hint="default"/>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5" w15:restartNumberingAfterBreak="0">
    <w:nsid w:val="1E9A5DD5"/>
    <w:multiLevelType w:val="hybridMultilevel"/>
    <w:tmpl w:val="8A429BBE"/>
    <w:lvl w:ilvl="0" w:tplc="3850D732">
      <w:start w:val="1"/>
      <w:numFmt w:val="bullet"/>
      <w:lvlText w:val=""/>
      <w:lvlJc w:val="left"/>
      <w:pPr>
        <w:ind w:left="720" w:hanging="360"/>
      </w:pPr>
      <w:rPr>
        <w:rFonts w:ascii="Symbol" w:hAnsi="Symbol" w:hint="default"/>
      </w:rPr>
    </w:lvl>
    <w:lvl w:ilvl="1" w:tplc="5A7264BC">
      <w:start w:val="1"/>
      <w:numFmt w:val="bullet"/>
      <w:lvlText w:val="o"/>
      <w:lvlJc w:val="left"/>
      <w:pPr>
        <w:ind w:left="1440" w:hanging="360"/>
      </w:pPr>
      <w:rPr>
        <w:rFonts w:ascii="Courier New" w:hAnsi="Courier New" w:hint="default"/>
      </w:rPr>
    </w:lvl>
    <w:lvl w:ilvl="2" w:tplc="E14CE09C">
      <w:start w:val="1"/>
      <w:numFmt w:val="bullet"/>
      <w:lvlText w:val=""/>
      <w:lvlJc w:val="left"/>
      <w:pPr>
        <w:ind w:left="2160" w:hanging="360"/>
      </w:pPr>
      <w:rPr>
        <w:rFonts w:ascii="Wingdings" w:hAnsi="Wingdings" w:hint="default"/>
      </w:rPr>
    </w:lvl>
    <w:lvl w:ilvl="3" w:tplc="78D6246C">
      <w:start w:val="1"/>
      <w:numFmt w:val="bullet"/>
      <w:lvlText w:val=""/>
      <w:lvlJc w:val="left"/>
      <w:pPr>
        <w:ind w:left="2880" w:hanging="360"/>
      </w:pPr>
      <w:rPr>
        <w:rFonts w:ascii="Symbol" w:hAnsi="Symbol" w:hint="default"/>
      </w:rPr>
    </w:lvl>
    <w:lvl w:ilvl="4" w:tplc="C23E426C">
      <w:start w:val="1"/>
      <w:numFmt w:val="bullet"/>
      <w:lvlText w:val="o"/>
      <w:lvlJc w:val="left"/>
      <w:pPr>
        <w:ind w:left="3600" w:hanging="360"/>
      </w:pPr>
      <w:rPr>
        <w:rFonts w:ascii="Courier New" w:hAnsi="Courier New" w:hint="default"/>
      </w:rPr>
    </w:lvl>
    <w:lvl w:ilvl="5" w:tplc="7CD4317E">
      <w:start w:val="1"/>
      <w:numFmt w:val="bullet"/>
      <w:lvlText w:val=""/>
      <w:lvlJc w:val="left"/>
      <w:pPr>
        <w:ind w:left="4320" w:hanging="360"/>
      </w:pPr>
      <w:rPr>
        <w:rFonts w:ascii="Wingdings" w:hAnsi="Wingdings" w:hint="default"/>
      </w:rPr>
    </w:lvl>
    <w:lvl w:ilvl="6" w:tplc="3D44E254">
      <w:start w:val="1"/>
      <w:numFmt w:val="bullet"/>
      <w:lvlText w:val=""/>
      <w:lvlJc w:val="left"/>
      <w:pPr>
        <w:ind w:left="5040" w:hanging="360"/>
      </w:pPr>
      <w:rPr>
        <w:rFonts w:ascii="Symbol" w:hAnsi="Symbol" w:hint="default"/>
      </w:rPr>
    </w:lvl>
    <w:lvl w:ilvl="7" w:tplc="6A98C89C">
      <w:start w:val="1"/>
      <w:numFmt w:val="bullet"/>
      <w:lvlText w:val="o"/>
      <w:lvlJc w:val="left"/>
      <w:pPr>
        <w:ind w:left="5760" w:hanging="360"/>
      </w:pPr>
      <w:rPr>
        <w:rFonts w:ascii="Courier New" w:hAnsi="Courier New" w:hint="default"/>
      </w:rPr>
    </w:lvl>
    <w:lvl w:ilvl="8" w:tplc="A6662AB8">
      <w:start w:val="1"/>
      <w:numFmt w:val="bullet"/>
      <w:lvlText w:val=""/>
      <w:lvlJc w:val="left"/>
      <w:pPr>
        <w:ind w:left="6480" w:hanging="360"/>
      </w:pPr>
      <w:rPr>
        <w:rFonts w:ascii="Wingdings" w:hAnsi="Wingdings" w:hint="default"/>
      </w:rPr>
    </w:lvl>
  </w:abstractNum>
  <w:abstractNum w:abstractNumId="186" w15:restartNumberingAfterBreak="0">
    <w:nsid w:val="1E9E592C"/>
    <w:multiLevelType w:val="hybridMultilevel"/>
    <w:tmpl w:val="6FB88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15:restartNumberingAfterBreak="0">
    <w:nsid w:val="1EAA26B3"/>
    <w:multiLevelType w:val="hybridMultilevel"/>
    <w:tmpl w:val="AFC2569C"/>
    <w:lvl w:ilvl="0" w:tplc="0C0A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188" w15:restartNumberingAfterBreak="0">
    <w:nsid w:val="1EAC68F1"/>
    <w:multiLevelType w:val="hybridMultilevel"/>
    <w:tmpl w:val="41E8D650"/>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9" w15:restartNumberingAfterBreak="0">
    <w:nsid w:val="1EF2EC73"/>
    <w:multiLevelType w:val="hybridMultilevel"/>
    <w:tmpl w:val="E3A267EC"/>
    <w:lvl w:ilvl="0" w:tplc="4C82A8B8">
      <w:start w:val="1"/>
      <w:numFmt w:val="bullet"/>
      <w:lvlText w:val="-"/>
      <w:lvlJc w:val="left"/>
      <w:pPr>
        <w:ind w:left="720" w:hanging="360"/>
      </w:pPr>
      <w:rPr>
        <w:rFonts w:ascii="Symbol" w:hAnsi="Symbol" w:hint="default"/>
      </w:rPr>
    </w:lvl>
    <w:lvl w:ilvl="1" w:tplc="2DE2B662">
      <w:start w:val="1"/>
      <w:numFmt w:val="bullet"/>
      <w:lvlText w:val="o"/>
      <w:lvlJc w:val="left"/>
      <w:pPr>
        <w:ind w:left="1440" w:hanging="360"/>
      </w:pPr>
      <w:rPr>
        <w:rFonts w:ascii="Courier New" w:hAnsi="Courier New" w:hint="default"/>
      </w:rPr>
    </w:lvl>
    <w:lvl w:ilvl="2" w:tplc="3F42369C">
      <w:start w:val="1"/>
      <w:numFmt w:val="bullet"/>
      <w:lvlText w:val=""/>
      <w:lvlJc w:val="left"/>
      <w:pPr>
        <w:ind w:left="2160" w:hanging="360"/>
      </w:pPr>
      <w:rPr>
        <w:rFonts w:ascii="Wingdings" w:hAnsi="Wingdings" w:hint="default"/>
      </w:rPr>
    </w:lvl>
    <w:lvl w:ilvl="3" w:tplc="85CEC0E0">
      <w:start w:val="1"/>
      <w:numFmt w:val="bullet"/>
      <w:lvlText w:val=""/>
      <w:lvlJc w:val="left"/>
      <w:pPr>
        <w:ind w:left="2880" w:hanging="360"/>
      </w:pPr>
      <w:rPr>
        <w:rFonts w:ascii="Symbol" w:hAnsi="Symbol" w:hint="default"/>
      </w:rPr>
    </w:lvl>
    <w:lvl w:ilvl="4" w:tplc="EAB824B0">
      <w:start w:val="1"/>
      <w:numFmt w:val="bullet"/>
      <w:lvlText w:val="o"/>
      <w:lvlJc w:val="left"/>
      <w:pPr>
        <w:ind w:left="3600" w:hanging="360"/>
      </w:pPr>
      <w:rPr>
        <w:rFonts w:ascii="Courier New" w:hAnsi="Courier New" w:hint="default"/>
      </w:rPr>
    </w:lvl>
    <w:lvl w:ilvl="5" w:tplc="E5860CEE">
      <w:start w:val="1"/>
      <w:numFmt w:val="bullet"/>
      <w:lvlText w:val=""/>
      <w:lvlJc w:val="left"/>
      <w:pPr>
        <w:ind w:left="4320" w:hanging="360"/>
      </w:pPr>
      <w:rPr>
        <w:rFonts w:ascii="Wingdings" w:hAnsi="Wingdings" w:hint="default"/>
      </w:rPr>
    </w:lvl>
    <w:lvl w:ilvl="6" w:tplc="6C1269E4">
      <w:start w:val="1"/>
      <w:numFmt w:val="bullet"/>
      <w:lvlText w:val=""/>
      <w:lvlJc w:val="left"/>
      <w:pPr>
        <w:ind w:left="5040" w:hanging="360"/>
      </w:pPr>
      <w:rPr>
        <w:rFonts w:ascii="Symbol" w:hAnsi="Symbol" w:hint="default"/>
      </w:rPr>
    </w:lvl>
    <w:lvl w:ilvl="7" w:tplc="C1928E2E">
      <w:start w:val="1"/>
      <w:numFmt w:val="bullet"/>
      <w:lvlText w:val="o"/>
      <w:lvlJc w:val="left"/>
      <w:pPr>
        <w:ind w:left="5760" w:hanging="360"/>
      </w:pPr>
      <w:rPr>
        <w:rFonts w:ascii="Courier New" w:hAnsi="Courier New" w:hint="default"/>
      </w:rPr>
    </w:lvl>
    <w:lvl w:ilvl="8" w:tplc="DE00459A">
      <w:start w:val="1"/>
      <w:numFmt w:val="bullet"/>
      <w:lvlText w:val=""/>
      <w:lvlJc w:val="left"/>
      <w:pPr>
        <w:ind w:left="6480" w:hanging="360"/>
      </w:pPr>
      <w:rPr>
        <w:rFonts w:ascii="Wingdings" w:hAnsi="Wingdings" w:hint="default"/>
      </w:rPr>
    </w:lvl>
  </w:abstractNum>
  <w:abstractNum w:abstractNumId="190" w15:restartNumberingAfterBreak="0">
    <w:nsid w:val="1EF42DD0"/>
    <w:multiLevelType w:val="hybridMultilevel"/>
    <w:tmpl w:val="A06264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1" w15:restartNumberingAfterBreak="0">
    <w:nsid w:val="1EF63531"/>
    <w:multiLevelType w:val="hybridMultilevel"/>
    <w:tmpl w:val="FFFFFFFF"/>
    <w:lvl w:ilvl="0" w:tplc="E76A602C">
      <w:start w:val="1"/>
      <w:numFmt w:val="bullet"/>
      <w:lvlText w:val=""/>
      <w:lvlJc w:val="left"/>
      <w:pPr>
        <w:ind w:left="720" w:hanging="360"/>
      </w:pPr>
      <w:rPr>
        <w:rFonts w:ascii="Segoe UI" w:hAnsi="Segoe UI" w:hint="default"/>
      </w:rPr>
    </w:lvl>
    <w:lvl w:ilvl="1" w:tplc="D78CBC28">
      <w:start w:val="1"/>
      <w:numFmt w:val="bullet"/>
      <w:lvlText w:val="o"/>
      <w:lvlJc w:val="left"/>
      <w:pPr>
        <w:ind w:left="1440" w:hanging="360"/>
      </w:pPr>
      <w:rPr>
        <w:rFonts w:ascii="Courier New" w:hAnsi="Courier New" w:hint="default"/>
      </w:rPr>
    </w:lvl>
    <w:lvl w:ilvl="2" w:tplc="057CD43A">
      <w:start w:val="1"/>
      <w:numFmt w:val="bullet"/>
      <w:lvlText w:val=""/>
      <w:lvlJc w:val="left"/>
      <w:pPr>
        <w:ind w:left="2160" w:hanging="360"/>
      </w:pPr>
      <w:rPr>
        <w:rFonts w:ascii="Cambria Math" w:hAnsi="Cambria Math" w:hint="default"/>
      </w:rPr>
    </w:lvl>
    <w:lvl w:ilvl="3" w:tplc="75549562">
      <w:start w:val="1"/>
      <w:numFmt w:val="bullet"/>
      <w:lvlText w:val=""/>
      <w:lvlJc w:val="left"/>
      <w:pPr>
        <w:ind w:left="2880" w:hanging="360"/>
      </w:pPr>
      <w:rPr>
        <w:rFonts w:ascii="Segoe UI" w:hAnsi="Segoe UI" w:hint="default"/>
      </w:rPr>
    </w:lvl>
    <w:lvl w:ilvl="4" w:tplc="6D46B136">
      <w:start w:val="1"/>
      <w:numFmt w:val="bullet"/>
      <w:lvlText w:val="o"/>
      <w:lvlJc w:val="left"/>
      <w:pPr>
        <w:ind w:left="3600" w:hanging="360"/>
      </w:pPr>
      <w:rPr>
        <w:rFonts w:ascii="Courier New" w:hAnsi="Courier New" w:hint="default"/>
      </w:rPr>
    </w:lvl>
    <w:lvl w:ilvl="5" w:tplc="04A0AA44">
      <w:start w:val="1"/>
      <w:numFmt w:val="bullet"/>
      <w:lvlText w:val=""/>
      <w:lvlJc w:val="left"/>
      <w:pPr>
        <w:ind w:left="4320" w:hanging="360"/>
      </w:pPr>
      <w:rPr>
        <w:rFonts w:ascii="Cambria Math" w:hAnsi="Cambria Math" w:hint="default"/>
      </w:rPr>
    </w:lvl>
    <w:lvl w:ilvl="6" w:tplc="896C637C">
      <w:start w:val="1"/>
      <w:numFmt w:val="bullet"/>
      <w:lvlText w:val=""/>
      <w:lvlJc w:val="left"/>
      <w:pPr>
        <w:ind w:left="5040" w:hanging="360"/>
      </w:pPr>
      <w:rPr>
        <w:rFonts w:ascii="Segoe UI" w:hAnsi="Segoe UI" w:hint="default"/>
      </w:rPr>
    </w:lvl>
    <w:lvl w:ilvl="7" w:tplc="1AFCAB9A">
      <w:start w:val="1"/>
      <w:numFmt w:val="bullet"/>
      <w:lvlText w:val="o"/>
      <w:lvlJc w:val="left"/>
      <w:pPr>
        <w:ind w:left="5760" w:hanging="360"/>
      </w:pPr>
      <w:rPr>
        <w:rFonts w:ascii="Courier New" w:hAnsi="Courier New" w:hint="default"/>
      </w:rPr>
    </w:lvl>
    <w:lvl w:ilvl="8" w:tplc="ACAA6306">
      <w:start w:val="1"/>
      <w:numFmt w:val="bullet"/>
      <w:lvlText w:val=""/>
      <w:lvlJc w:val="left"/>
      <w:pPr>
        <w:ind w:left="6480" w:hanging="360"/>
      </w:pPr>
      <w:rPr>
        <w:rFonts w:ascii="Cambria Math" w:hAnsi="Cambria Math" w:hint="default"/>
      </w:rPr>
    </w:lvl>
  </w:abstractNum>
  <w:abstractNum w:abstractNumId="192" w15:restartNumberingAfterBreak="0">
    <w:nsid w:val="1F2917EA"/>
    <w:multiLevelType w:val="multilevel"/>
    <w:tmpl w:val="3F06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1F4A0A56"/>
    <w:multiLevelType w:val="hybridMultilevel"/>
    <w:tmpl w:val="793EDD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4" w15:restartNumberingAfterBreak="0">
    <w:nsid w:val="1F867D0D"/>
    <w:multiLevelType w:val="hybridMultilevel"/>
    <w:tmpl w:val="AF5A99A4"/>
    <w:lvl w:ilvl="0" w:tplc="892E0A2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5" w15:restartNumberingAfterBreak="0">
    <w:nsid w:val="1F8FDFE6"/>
    <w:multiLevelType w:val="hybridMultilevel"/>
    <w:tmpl w:val="FFFFFFFF"/>
    <w:lvl w:ilvl="0" w:tplc="B3B6FF2A">
      <w:start w:val="1"/>
      <w:numFmt w:val="bullet"/>
      <w:lvlText w:val=""/>
      <w:lvlJc w:val="left"/>
      <w:pPr>
        <w:ind w:left="720" w:hanging="360"/>
      </w:pPr>
      <w:rPr>
        <w:rFonts w:ascii="Symbol" w:hAnsi="Symbol" w:hint="default"/>
      </w:rPr>
    </w:lvl>
    <w:lvl w:ilvl="1" w:tplc="972E2E84">
      <w:start w:val="1"/>
      <w:numFmt w:val="bullet"/>
      <w:lvlText w:val="-"/>
      <w:lvlJc w:val="left"/>
      <w:pPr>
        <w:ind w:left="1440" w:hanging="360"/>
      </w:pPr>
      <w:rPr>
        <w:rFonts w:ascii="Calibri" w:hAnsi="Calibri" w:hint="default"/>
      </w:rPr>
    </w:lvl>
    <w:lvl w:ilvl="2" w:tplc="0B1464CA">
      <w:start w:val="1"/>
      <w:numFmt w:val="bullet"/>
      <w:lvlText w:val=""/>
      <w:lvlJc w:val="left"/>
      <w:pPr>
        <w:ind w:left="2160" w:hanging="360"/>
      </w:pPr>
      <w:rPr>
        <w:rFonts w:ascii="Wingdings" w:hAnsi="Wingdings" w:hint="default"/>
      </w:rPr>
    </w:lvl>
    <w:lvl w:ilvl="3" w:tplc="F8A6C55C">
      <w:start w:val="1"/>
      <w:numFmt w:val="bullet"/>
      <w:lvlText w:val=""/>
      <w:lvlJc w:val="left"/>
      <w:pPr>
        <w:ind w:left="2880" w:hanging="360"/>
      </w:pPr>
      <w:rPr>
        <w:rFonts w:ascii="Symbol" w:hAnsi="Symbol" w:hint="default"/>
      </w:rPr>
    </w:lvl>
    <w:lvl w:ilvl="4" w:tplc="092C5D50">
      <w:start w:val="1"/>
      <w:numFmt w:val="bullet"/>
      <w:lvlText w:val="o"/>
      <w:lvlJc w:val="left"/>
      <w:pPr>
        <w:ind w:left="3600" w:hanging="360"/>
      </w:pPr>
      <w:rPr>
        <w:rFonts w:ascii="Courier New" w:hAnsi="Courier New" w:hint="default"/>
      </w:rPr>
    </w:lvl>
    <w:lvl w:ilvl="5" w:tplc="2DD488FA">
      <w:start w:val="1"/>
      <w:numFmt w:val="bullet"/>
      <w:lvlText w:val=""/>
      <w:lvlJc w:val="left"/>
      <w:pPr>
        <w:ind w:left="4320" w:hanging="360"/>
      </w:pPr>
      <w:rPr>
        <w:rFonts w:ascii="Wingdings" w:hAnsi="Wingdings" w:hint="default"/>
      </w:rPr>
    </w:lvl>
    <w:lvl w:ilvl="6" w:tplc="76760C90">
      <w:start w:val="1"/>
      <w:numFmt w:val="bullet"/>
      <w:lvlText w:val=""/>
      <w:lvlJc w:val="left"/>
      <w:pPr>
        <w:ind w:left="5040" w:hanging="360"/>
      </w:pPr>
      <w:rPr>
        <w:rFonts w:ascii="Symbol" w:hAnsi="Symbol" w:hint="default"/>
      </w:rPr>
    </w:lvl>
    <w:lvl w:ilvl="7" w:tplc="58B80C26">
      <w:start w:val="1"/>
      <w:numFmt w:val="bullet"/>
      <w:lvlText w:val="o"/>
      <w:lvlJc w:val="left"/>
      <w:pPr>
        <w:ind w:left="5760" w:hanging="360"/>
      </w:pPr>
      <w:rPr>
        <w:rFonts w:ascii="Courier New" w:hAnsi="Courier New" w:hint="default"/>
      </w:rPr>
    </w:lvl>
    <w:lvl w:ilvl="8" w:tplc="7C764058">
      <w:start w:val="1"/>
      <w:numFmt w:val="bullet"/>
      <w:lvlText w:val=""/>
      <w:lvlJc w:val="left"/>
      <w:pPr>
        <w:ind w:left="6480" w:hanging="360"/>
      </w:pPr>
      <w:rPr>
        <w:rFonts w:ascii="Wingdings" w:hAnsi="Wingdings" w:hint="default"/>
      </w:rPr>
    </w:lvl>
  </w:abstractNum>
  <w:abstractNum w:abstractNumId="196" w15:restartNumberingAfterBreak="0">
    <w:nsid w:val="1FA373CD"/>
    <w:multiLevelType w:val="hybridMultilevel"/>
    <w:tmpl w:val="A2E0DA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7" w15:restartNumberingAfterBreak="0">
    <w:nsid w:val="1FA52BE5"/>
    <w:multiLevelType w:val="multilevel"/>
    <w:tmpl w:val="7658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1FAC5028"/>
    <w:multiLevelType w:val="multilevel"/>
    <w:tmpl w:val="9E22EC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9" w15:restartNumberingAfterBreak="0">
    <w:nsid w:val="1FC57EB4"/>
    <w:multiLevelType w:val="hybridMultilevel"/>
    <w:tmpl w:val="82DCD27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0" w15:restartNumberingAfterBreak="0">
    <w:nsid w:val="1FD32F02"/>
    <w:multiLevelType w:val="hybridMultilevel"/>
    <w:tmpl w:val="1BA6F6AC"/>
    <w:lvl w:ilvl="0" w:tplc="1809001B">
      <w:start w:val="1"/>
      <w:numFmt w:val="lowerRoman"/>
      <w:lvlText w:val="%1."/>
      <w:lvlJc w:val="right"/>
      <w:pPr>
        <w:ind w:left="1440" w:hanging="360"/>
      </w:pPr>
      <w:rPr>
        <w:rFonts w:hint="default"/>
      </w:rPr>
    </w:lvl>
    <w:lvl w:ilvl="1" w:tplc="2D9C0DB8">
      <w:start w:val="1"/>
      <w:numFmt w:val="bullet"/>
      <w:lvlText w:val="o"/>
      <w:lvlJc w:val="left"/>
      <w:pPr>
        <w:ind w:left="2160" w:hanging="360"/>
      </w:pPr>
      <w:rPr>
        <w:rFonts w:ascii="Courier New" w:hAnsi="Courier New" w:hint="default"/>
      </w:rPr>
    </w:lvl>
    <w:lvl w:ilvl="2" w:tplc="932C93D8">
      <w:start w:val="1"/>
      <w:numFmt w:val="bullet"/>
      <w:lvlText w:val=""/>
      <w:lvlJc w:val="left"/>
      <w:pPr>
        <w:ind w:left="2880" w:hanging="360"/>
      </w:pPr>
      <w:rPr>
        <w:rFonts w:ascii="Wingdings" w:hAnsi="Wingdings" w:hint="default"/>
      </w:rPr>
    </w:lvl>
    <w:lvl w:ilvl="3" w:tplc="4B16F8DA">
      <w:start w:val="1"/>
      <w:numFmt w:val="bullet"/>
      <w:lvlText w:val=""/>
      <w:lvlJc w:val="left"/>
      <w:pPr>
        <w:ind w:left="3600" w:hanging="360"/>
      </w:pPr>
      <w:rPr>
        <w:rFonts w:ascii="Symbol" w:hAnsi="Symbol" w:hint="default"/>
      </w:rPr>
    </w:lvl>
    <w:lvl w:ilvl="4" w:tplc="5D448ABE">
      <w:start w:val="1"/>
      <w:numFmt w:val="bullet"/>
      <w:lvlText w:val="o"/>
      <w:lvlJc w:val="left"/>
      <w:pPr>
        <w:ind w:left="4320" w:hanging="360"/>
      </w:pPr>
      <w:rPr>
        <w:rFonts w:ascii="Courier New" w:hAnsi="Courier New" w:hint="default"/>
      </w:rPr>
    </w:lvl>
    <w:lvl w:ilvl="5" w:tplc="FF9CD1CA">
      <w:start w:val="1"/>
      <w:numFmt w:val="bullet"/>
      <w:lvlText w:val=""/>
      <w:lvlJc w:val="left"/>
      <w:pPr>
        <w:ind w:left="5040" w:hanging="360"/>
      </w:pPr>
      <w:rPr>
        <w:rFonts w:ascii="Wingdings" w:hAnsi="Wingdings" w:hint="default"/>
      </w:rPr>
    </w:lvl>
    <w:lvl w:ilvl="6" w:tplc="C0668976">
      <w:start w:val="1"/>
      <w:numFmt w:val="bullet"/>
      <w:lvlText w:val=""/>
      <w:lvlJc w:val="left"/>
      <w:pPr>
        <w:ind w:left="5760" w:hanging="360"/>
      </w:pPr>
      <w:rPr>
        <w:rFonts w:ascii="Symbol" w:hAnsi="Symbol" w:hint="default"/>
      </w:rPr>
    </w:lvl>
    <w:lvl w:ilvl="7" w:tplc="D562BF1E">
      <w:start w:val="1"/>
      <w:numFmt w:val="bullet"/>
      <w:lvlText w:val="o"/>
      <w:lvlJc w:val="left"/>
      <w:pPr>
        <w:ind w:left="6480" w:hanging="360"/>
      </w:pPr>
      <w:rPr>
        <w:rFonts w:ascii="Courier New" w:hAnsi="Courier New" w:hint="default"/>
      </w:rPr>
    </w:lvl>
    <w:lvl w:ilvl="8" w:tplc="8EC21BFE">
      <w:start w:val="1"/>
      <w:numFmt w:val="bullet"/>
      <w:lvlText w:val=""/>
      <w:lvlJc w:val="left"/>
      <w:pPr>
        <w:ind w:left="7200" w:hanging="360"/>
      </w:pPr>
      <w:rPr>
        <w:rFonts w:ascii="Wingdings" w:hAnsi="Wingdings" w:hint="default"/>
      </w:rPr>
    </w:lvl>
  </w:abstractNum>
  <w:abstractNum w:abstractNumId="201" w15:restartNumberingAfterBreak="0">
    <w:nsid w:val="1FE2A96D"/>
    <w:multiLevelType w:val="hybridMultilevel"/>
    <w:tmpl w:val="FFFFFFFF"/>
    <w:lvl w:ilvl="0" w:tplc="4C105798">
      <w:start w:val="1"/>
      <w:numFmt w:val="bullet"/>
      <w:lvlText w:val="·"/>
      <w:lvlJc w:val="left"/>
      <w:pPr>
        <w:ind w:left="720" w:hanging="360"/>
      </w:pPr>
      <w:rPr>
        <w:rFonts w:ascii="Symbol" w:hAnsi="Symbol" w:hint="default"/>
      </w:rPr>
    </w:lvl>
    <w:lvl w:ilvl="1" w:tplc="BBD2FF70">
      <w:start w:val="1"/>
      <w:numFmt w:val="bullet"/>
      <w:lvlText w:val="o"/>
      <w:lvlJc w:val="left"/>
      <w:pPr>
        <w:ind w:left="1440" w:hanging="360"/>
      </w:pPr>
      <w:rPr>
        <w:rFonts w:ascii="Courier New" w:hAnsi="Courier New" w:hint="default"/>
      </w:rPr>
    </w:lvl>
    <w:lvl w:ilvl="2" w:tplc="3A068084">
      <w:start w:val="1"/>
      <w:numFmt w:val="bullet"/>
      <w:pStyle w:val="LegalNumPar3"/>
      <w:lvlText w:val=""/>
      <w:lvlJc w:val="left"/>
      <w:pPr>
        <w:ind w:left="2160" w:hanging="360"/>
      </w:pPr>
      <w:rPr>
        <w:rFonts w:ascii="Wingdings" w:hAnsi="Wingdings" w:hint="default"/>
      </w:rPr>
    </w:lvl>
    <w:lvl w:ilvl="3" w:tplc="DF5C69DE">
      <w:start w:val="1"/>
      <w:numFmt w:val="bullet"/>
      <w:lvlText w:val=""/>
      <w:lvlJc w:val="left"/>
      <w:pPr>
        <w:ind w:left="2880" w:hanging="360"/>
      </w:pPr>
      <w:rPr>
        <w:rFonts w:ascii="Symbol" w:hAnsi="Symbol" w:hint="default"/>
      </w:rPr>
    </w:lvl>
    <w:lvl w:ilvl="4" w:tplc="0A7ECCBC">
      <w:start w:val="1"/>
      <w:numFmt w:val="bullet"/>
      <w:lvlText w:val="o"/>
      <w:lvlJc w:val="left"/>
      <w:pPr>
        <w:ind w:left="3600" w:hanging="360"/>
      </w:pPr>
      <w:rPr>
        <w:rFonts w:ascii="Courier New" w:hAnsi="Courier New" w:hint="default"/>
      </w:rPr>
    </w:lvl>
    <w:lvl w:ilvl="5" w:tplc="C48E069A">
      <w:start w:val="1"/>
      <w:numFmt w:val="bullet"/>
      <w:lvlText w:val=""/>
      <w:lvlJc w:val="left"/>
      <w:pPr>
        <w:ind w:left="4320" w:hanging="360"/>
      </w:pPr>
      <w:rPr>
        <w:rFonts w:ascii="Wingdings" w:hAnsi="Wingdings" w:hint="default"/>
      </w:rPr>
    </w:lvl>
    <w:lvl w:ilvl="6" w:tplc="C5E21020">
      <w:start w:val="1"/>
      <w:numFmt w:val="bullet"/>
      <w:lvlText w:val=""/>
      <w:lvlJc w:val="left"/>
      <w:pPr>
        <w:ind w:left="5040" w:hanging="360"/>
      </w:pPr>
      <w:rPr>
        <w:rFonts w:ascii="Symbol" w:hAnsi="Symbol" w:hint="default"/>
      </w:rPr>
    </w:lvl>
    <w:lvl w:ilvl="7" w:tplc="0100CFE2">
      <w:start w:val="1"/>
      <w:numFmt w:val="bullet"/>
      <w:lvlText w:val="o"/>
      <w:lvlJc w:val="left"/>
      <w:pPr>
        <w:ind w:left="5760" w:hanging="360"/>
      </w:pPr>
      <w:rPr>
        <w:rFonts w:ascii="Courier New" w:hAnsi="Courier New" w:hint="default"/>
      </w:rPr>
    </w:lvl>
    <w:lvl w:ilvl="8" w:tplc="9D56902C">
      <w:start w:val="1"/>
      <w:numFmt w:val="bullet"/>
      <w:lvlText w:val=""/>
      <w:lvlJc w:val="left"/>
      <w:pPr>
        <w:ind w:left="6480" w:hanging="360"/>
      </w:pPr>
      <w:rPr>
        <w:rFonts w:ascii="Wingdings" w:hAnsi="Wingdings" w:hint="default"/>
      </w:rPr>
    </w:lvl>
  </w:abstractNum>
  <w:abstractNum w:abstractNumId="202" w15:restartNumberingAfterBreak="0">
    <w:nsid w:val="1FF6510E"/>
    <w:multiLevelType w:val="hybridMultilevel"/>
    <w:tmpl w:val="91641C6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3" w15:restartNumberingAfterBreak="0">
    <w:nsid w:val="1FFE2FD8"/>
    <w:multiLevelType w:val="hybridMultilevel"/>
    <w:tmpl w:val="FFFFFFFF"/>
    <w:lvl w:ilvl="0" w:tplc="8C8A30C2">
      <w:start w:val="1"/>
      <w:numFmt w:val="bullet"/>
      <w:lvlText w:val=""/>
      <w:lvlJc w:val="left"/>
      <w:pPr>
        <w:ind w:left="720" w:hanging="360"/>
      </w:pPr>
      <w:rPr>
        <w:rFonts w:ascii="Courier New" w:hAnsi="Courier New" w:hint="default"/>
      </w:rPr>
    </w:lvl>
    <w:lvl w:ilvl="1" w:tplc="E6B68BD2">
      <w:start w:val="1"/>
      <w:numFmt w:val="bullet"/>
      <w:lvlText w:val="o"/>
      <w:lvlJc w:val="left"/>
      <w:pPr>
        <w:ind w:left="1440" w:hanging="360"/>
      </w:pPr>
      <w:rPr>
        <w:rFonts w:ascii="Cambria Math" w:hAnsi="Cambria Math" w:hint="default"/>
      </w:rPr>
    </w:lvl>
    <w:lvl w:ilvl="2" w:tplc="9C3E761A">
      <w:start w:val="1"/>
      <w:numFmt w:val="bullet"/>
      <w:lvlText w:val=""/>
      <w:lvlJc w:val="left"/>
      <w:pPr>
        <w:ind w:left="2160" w:hanging="360"/>
      </w:pPr>
      <w:rPr>
        <w:rFonts w:ascii="Wingdings" w:hAnsi="Wingdings" w:hint="default"/>
      </w:rPr>
    </w:lvl>
    <w:lvl w:ilvl="3" w:tplc="5E3A3288">
      <w:start w:val="1"/>
      <w:numFmt w:val="bullet"/>
      <w:lvlText w:val=""/>
      <w:lvlJc w:val="left"/>
      <w:pPr>
        <w:ind w:left="2880" w:hanging="360"/>
      </w:pPr>
      <w:rPr>
        <w:rFonts w:ascii="Courier New" w:hAnsi="Courier New" w:hint="default"/>
      </w:rPr>
    </w:lvl>
    <w:lvl w:ilvl="4" w:tplc="177C66E8">
      <w:start w:val="1"/>
      <w:numFmt w:val="bullet"/>
      <w:lvlText w:val="o"/>
      <w:lvlJc w:val="left"/>
      <w:pPr>
        <w:ind w:left="3600" w:hanging="360"/>
      </w:pPr>
      <w:rPr>
        <w:rFonts w:ascii="Cambria Math" w:hAnsi="Cambria Math" w:hint="default"/>
      </w:rPr>
    </w:lvl>
    <w:lvl w:ilvl="5" w:tplc="34B2EA7E">
      <w:start w:val="1"/>
      <w:numFmt w:val="bullet"/>
      <w:lvlText w:val=""/>
      <w:lvlJc w:val="left"/>
      <w:pPr>
        <w:ind w:left="4320" w:hanging="360"/>
      </w:pPr>
      <w:rPr>
        <w:rFonts w:ascii="Wingdings" w:hAnsi="Wingdings" w:hint="default"/>
      </w:rPr>
    </w:lvl>
    <w:lvl w:ilvl="6" w:tplc="9D567332">
      <w:start w:val="1"/>
      <w:numFmt w:val="bullet"/>
      <w:lvlText w:val=""/>
      <w:lvlJc w:val="left"/>
      <w:pPr>
        <w:ind w:left="5040" w:hanging="360"/>
      </w:pPr>
      <w:rPr>
        <w:rFonts w:ascii="Courier New" w:hAnsi="Courier New" w:hint="default"/>
      </w:rPr>
    </w:lvl>
    <w:lvl w:ilvl="7" w:tplc="C5C25534">
      <w:start w:val="1"/>
      <w:numFmt w:val="bullet"/>
      <w:lvlText w:val="o"/>
      <w:lvlJc w:val="left"/>
      <w:pPr>
        <w:ind w:left="5760" w:hanging="360"/>
      </w:pPr>
      <w:rPr>
        <w:rFonts w:ascii="Cambria Math" w:hAnsi="Cambria Math" w:hint="default"/>
      </w:rPr>
    </w:lvl>
    <w:lvl w:ilvl="8" w:tplc="35BA6FEE">
      <w:start w:val="1"/>
      <w:numFmt w:val="bullet"/>
      <w:lvlText w:val=""/>
      <w:lvlJc w:val="left"/>
      <w:pPr>
        <w:ind w:left="6480" w:hanging="360"/>
      </w:pPr>
      <w:rPr>
        <w:rFonts w:ascii="Wingdings" w:hAnsi="Wingdings" w:hint="default"/>
      </w:rPr>
    </w:lvl>
  </w:abstractNum>
  <w:abstractNum w:abstractNumId="204" w15:restartNumberingAfterBreak="0">
    <w:nsid w:val="2037C66A"/>
    <w:multiLevelType w:val="hybridMultilevel"/>
    <w:tmpl w:val="FFFFFFFF"/>
    <w:lvl w:ilvl="0" w:tplc="6A34D0E2">
      <w:start w:val="1"/>
      <w:numFmt w:val="bullet"/>
      <w:lvlText w:val="·"/>
      <w:lvlJc w:val="left"/>
      <w:pPr>
        <w:ind w:left="720" w:hanging="360"/>
      </w:pPr>
      <w:rPr>
        <w:rFonts w:ascii="Symbol" w:hAnsi="Symbol" w:hint="default"/>
      </w:rPr>
    </w:lvl>
    <w:lvl w:ilvl="1" w:tplc="0A06E67A">
      <w:start w:val="1"/>
      <w:numFmt w:val="bullet"/>
      <w:lvlText w:val="o"/>
      <w:lvlJc w:val="left"/>
      <w:pPr>
        <w:ind w:left="1440" w:hanging="360"/>
      </w:pPr>
      <w:rPr>
        <w:rFonts w:ascii="Courier New" w:hAnsi="Courier New" w:hint="default"/>
      </w:rPr>
    </w:lvl>
    <w:lvl w:ilvl="2" w:tplc="710A20FA">
      <w:start w:val="1"/>
      <w:numFmt w:val="bullet"/>
      <w:lvlText w:val=""/>
      <w:lvlJc w:val="left"/>
      <w:pPr>
        <w:ind w:left="2160" w:hanging="360"/>
      </w:pPr>
      <w:rPr>
        <w:rFonts w:ascii="Wingdings" w:hAnsi="Wingdings" w:hint="default"/>
      </w:rPr>
    </w:lvl>
    <w:lvl w:ilvl="3" w:tplc="7EBEA020">
      <w:start w:val="1"/>
      <w:numFmt w:val="bullet"/>
      <w:lvlText w:val=""/>
      <w:lvlJc w:val="left"/>
      <w:pPr>
        <w:ind w:left="2880" w:hanging="360"/>
      </w:pPr>
      <w:rPr>
        <w:rFonts w:ascii="Symbol" w:hAnsi="Symbol" w:hint="default"/>
      </w:rPr>
    </w:lvl>
    <w:lvl w:ilvl="4" w:tplc="892A8BFE">
      <w:start w:val="1"/>
      <w:numFmt w:val="bullet"/>
      <w:lvlText w:val="o"/>
      <w:lvlJc w:val="left"/>
      <w:pPr>
        <w:ind w:left="3600" w:hanging="360"/>
      </w:pPr>
      <w:rPr>
        <w:rFonts w:ascii="Courier New" w:hAnsi="Courier New" w:hint="default"/>
      </w:rPr>
    </w:lvl>
    <w:lvl w:ilvl="5" w:tplc="1196F89A">
      <w:start w:val="1"/>
      <w:numFmt w:val="bullet"/>
      <w:lvlText w:val=""/>
      <w:lvlJc w:val="left"/>
      <w:pPr>
        <w:ind w:left="4320" w:hanging="360"/>
      </w:pPr>
      <w:rPr>
        <w:rFonts w:ascii="Wingdings" w:hAnsi="Wingdings" w:hint="default"/>
      </w:rPr>
    </w:lvl>
    <w:lvl w:ilvl="6" w:tplc="EBD046C0">
      <w:start w:val="1"/>
      <w:numFmt w:val="bullet"/>
      <w:lvlText w:val=""/>
      <w:lvlJc w:val="left"/>
      <w:pPr>
        <w:ind w:left="5040" w:hanging="360"/>
      </w:pPr>
      <w:rPr>
        <w:rFonts w:ascii="Symbol" w:hAnsi="Symbol" w:hint="default"/>
      </w:rPr>
    </w:lvl>
    <w:lvl w:ilvl="7" w:tplc="B82613D8">
      <w:start w:val="1"/>
      <w:numFmt w:val="bullet"/>
      <w:lvlText w:val="o"/>
      <w:lvlJc w:val="left"/>
      <w:pPr>
        <w:ind w:left="5760" w:hanging="360"/>
      </w:pPr>
      <w:rPr>
        <w:rFonts w:ascii="Courier New" w:hAnsi="Courier New" w:hint="default"/>
      </w:rPr>
    </w:lvl>
    <w:lvl w:ilvl="8" w:tplc="B8E80D06">
      <w:start w:val="1"/>
      <w:numFmt w:val="bullet"/>
      <w:lvlText w:val=""/>
      <w:lvlJc w:val="left"/>
      <w:pPr>
        <w:ind w:left="6480" w:hanging="360"/>
      </w:pPr>
      <w:rPr>
        <w:rFonts w:ascii="Wingdings" w:hAnsi="Wingdings" w:hint="default"/>
      </w:rPr>
    </w:lvl>
  </w:abstractNum>
  <w:abstractNum w:abstractNumId="205" w15:restartNumberingAfterBreak="0">
    <w:nsid w:val="205E6EFE"/>
    <w:multiLevelType w:val="multilevel"/>
    <w:tmpl w:val="AE6E36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20661B2B"/>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07" w15:restartNumberingAfterBreak="0">
    <w:nsid w:val="20AA53D0"/>
    <w:multiLevelType w:val="hybridMultilevel"/>
    <w:tmpl w:val="23DC3B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8" w15:restartNumberingAfterBreak="0">
    <w:nsid w:val="20CA250E"/>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9" w15:restartNumberingAfterBreak="0">
    <w:nsid w:val="21031EDB"/>
    <w:multiLevelType w:val="hybridMultilevel"/>
    <w:tmpl w:val="E95CF80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0" w15:restartNumberingAfterBreak="0">
    <w:nsid w:val="212F5199"/>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1" w15:restartNumberingAfterBreak="0">
    <w:nsid w:val="2168403C"/>
    <w:multiLevelType w:val="hybridMultilevel"/>
    <w:tmpl w:val="E99CBD8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12" w15:restartNumberingAfterBreak="0">
    <w:nsid w:val="21967B8E"/>
    <w:multiLevelType w:val="multilevel"/>
    <w:tmpl w:val="FFFFFFFF"/>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21DC26E2"/>
    <w:multiLevelType w:val="multilevel"/>
    <w:tmpl w:val="C00E4B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21E32FB7"/>
    <w:multiLevelType w:val="multilevel"/>
    <w:tmpl w:val="95542B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21E75F17"/>
    <w:multiLevelType w:val="hybridMultilevel"/>
    <w:tmpl w:val="BBF2DAE8"/>
    <w:lvl w:ilvl="0" w:tplc="18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6" w15:restartNumberingAfterBreak="0">
    <w:nsid w:val="221C1B56"/>
    <w:multiLevelType w:val="hybridMultilevel"/>
    <w:tmpl w:val="FFFFFFFF"/>
    <w:lvl w:ilvl="0" w:tplc="3A86AD1A">
      <w:start w:val="6"/>
      <w:numFmt w:val="decimal"/>
      <w:lvlText w:val="%1."/>
      <w:lvlJc w:val="left"/>
      <w:pPr>
        <w:ind w:left="720" w:hanging="360"/>
      </w:pPr>
    </w:lvl>
    <w:lvl w:ilvl="1" w:tplc="669CEEBA">
      <w:start w:val="1"/>
      <w:numFmt w:val="lowerLetter"/>
      <w:lvlText w:val="%2."/>
      <w:lvlJc w:val="left"/>
      <w:pPr>
        <w:ind w:left="1440" w:hanging="360"/>
      </w:pPr>
    </w:lvl>
    <w:lvl w:ilvl="2" w:tplc="F86AA534">
      <w:start w:val="1"/>
      <w:numFmt w:val="lowerRoman"/>
      <w:lvlText w:val="%3."/>
      <w:lvlJc w:val="right"/>
      <w:pPr>
        <w:ind w:left="2160" w:hanging="180"/>
      </w:pPr>
    </w:lvl>
    <w:lvl w:ilvl="3" w:tplc="6D9C95AA">
      <w:start w:val="1"/>
      <w:numFmt w:val="decimal"/>
      <w:lvlText w:val="%4."/>
      <w:lvlJc w:val="left"/>
      <w:pPr>
        <w:ind w:left="2880" w:hanging="360"/>
      </w:pPr>
    </w:lvl>
    <w:lvl w:ilvl="4" w:tplc="027CA6F2">
      <w:start w:val="1"/>
      <w:numFmt w:val="lowerLetter"/>
      <w:lvlText w:val="%5."/>
      <w:lvlJc w:val="left"/>
      <w:pPr>
        <w:ind w:left="3600" w:hanging="360"/>
      </w:pPr>
    </w:lvl>
    <w:lvl w:ilvl="5" w:tplc="07B63906">
      <w:start w:val="1"/>
      <w:numFmt w:val="lowerRoman"/>
      <w:lvlText w:val="%6."/>
      <w:lvlJc w:val="right"/>
      <w:pPr>
        <w:ind w:left="4320" w:hanging="180"/>
      </w:pPr>
    </w:lvl>
    <w:lvl w:ilvl="6" w:tplc="0A9EC6EC">
      <w:start w:val="1"/>
      <w:numFmt w:val="decimal"/>
      <w:lvlText w:val="%7."/>
      <w:lvlJc w:val="left"/>
      <w:pPr>
        <w:ind w:left="5040" w:hanging="360"/>
      </w:pPr>
    </w:lvl>
    <w:lvl w:ilvl="7" w:tplc="F008F128">
      <w:start w:val="1"/>
      <w:numFmt w:val="lowerLetter"/>
      <w:lvlText w:val="%8."/>
      <w:lvlJc w:val="left"/>
      <w:pPr>
        <w:ind w:left="5760" w:hanging="360"/>
      </w:pPr>
    </w:lvl>
    <w:lvl w:ilvl="8" w:tplc="3BAEEEF6">
      <w:start w:val="1"/>
      <w:numFmt w:val="lowerRoman"/>
      <w:lvlText w:val="%9."/>
      <w:lvlJc w:val="right"/>
      <w:pPr>
        <w:ind w:left="6480" w:hanging="180"/>
      </w:pPr>
    </w:lvl>
  </w:abstractNum>
  <w:abstractNum w:abstractNumId="217" w15:restartNumberingAfterBreak="0">
    <w:nsid w:val="224B3FAA"/>
    <w:multiLevelType w:val="multilevel"/>
    <w:tmpl w:val="5FAEF1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225BAEB2"/>
    <w:multiLevelType w:val="hybridMultilevel"/>
    <w:tmpl w:val="AB7EB6C8"/>
    <w:lvl w:ilvl="0" w:tplc="9EB06766">
      <w:start w:val="1"/>
      <w:numFmt w:val="bullet"/>
      <w:lvlText w:val="-"/>
      <w:lvlJc w:val="left"/>
      <w:pPr>
        <w:ind w:left="720" w:hanging="360"/>
      </w:pPr>
      <w:rPr>
        <w:rFonts w:ascii="Symbol" w:hAnsi="Symbol" w:hint="default"/>
      </w:rPr>
    </w:lvl>
    <w:lvl w:ilvl="1" w:tplc="0B842BD4">
      <w:start w:val="1"/>
      <w:numFmt w:val="bullet"/>
      <w:lvlText w:val="o"/>
      <w:lvlJc w:val="left"/>
      <w:pPr>
        <w:ind w:left="1440" w:hanging="360"/>
      </w:pPr>
      <w:rPr>
        <w:rFonts w:ascii="Courier New" w:hAnsi="Courier New" w:hint="default"/>
      </w:rPr>
    </w:lvl>
    <w:lvl w:ilvl="2" w:tplc="EB7A46CC">
      <w:start w:val="1"/>
      <w:numFmt w:val="bullet"/>
      <w:lvlText w:val=""/>
      <w:lvlJc w:val="left"/>
      <w:pPr>
        <w:ind w:left="2160" w:hanging="360"/>
      </w:pPr>
      <w:rPr>
        <w:rFonts w:ascii="Wingdings" w:hAnsi="Wingdings" w:hint="default"/>
      </w:rPr>
    </w:lvl>
    <w:lvl w:ilvl="3" w:tplc="812CD752">
      <w:start w:val="1"/>
      <w:numFmt w:val="bullet"/>
      <w:lvlText w:val=""/>
      <w:lvlJc w:val="left"/>
      <w:pPr>
        <w:ind w:left="2880" w:hanging="360"/>
      </w:pPr>
      <w:rPr>
        <w:rFonts w:ascii="Symbol" w:hAnsi="Symbol" w:hint="default"/>
      </w:rPr>
    </w:lvl>
    <w:lvl w:ilvl="4" w:tplc="1CBE133A">
      <w:start w:val="1"/>
      <w:numFmt w:val="bullet"/>
      <w:lvlText w:val="o"/>
      <w:lvlJc w:val="left"/>
      <w:pPr>
        <w:ind w:left="3600" w:hanging="360"/>
      </w:pPr>
      <w:rPr>
        <w:rFonts w:ascii="Courier New" w:hAnsi="Courier New" w:hint="default"/>
      </w:rPr>
    </w:lvl>
    <w:lvl w:ilvl="5" w:tplc="E7B6AD7A">
      <w:start w:val="1"/>
      <w:numFmt w:val="bullet"/>
      <w:lvlText w:val=""/>
      <w:lvlJc w:val="left"/>
      <w:pPr>
        <w:ind w:left="4320" w:hanging="360"/>
      </w:pPr>
      <w:rPr>
        <w:rFonts w:ascii="Wingdings" w:hAnsi="Wingdings" w:hint="default"/>
      </w:rPr>
    </w:lvl>
    <w:lvl w:ilvl="6" w:tplc="D45C4A9E">
      <w:start w:val="1"/>
      <w:numFmt w:val="bullet"/>
      <w:lvlText w:val=""/>
      <w:lvlJc w:val="left"/>
      <w:pPr>
        <w:ind w:left="5040" w:hanging="360"/>
      </w:pPr>
      <w:rPr>
        <w:rFonts w:ascii="Symbol" w:hAnsi="Symbol" w:hint="default"/>
      </w:rPr>
    </w:lvl>
    <w:lvl w:ilvl="7" w:tplc="E3E8E42C">
      <w:start w:val="1"/>
      <w:numFmt w:val="bullet"/>
      <w:lvlText w:val="o"/>
      <w:lvlJc w:val="left"/>
      <w:pPr>
        <w:ind w:left="5760" w:hanging="360"/>
      </w:pPr>
      <w:rPr>
        <w:rFonts w:ascii="Courier New" w:hAnsi="Courier New" w:hint="default"/>
      </w:rPr>
    </w:lvl>
    <w:lvl w:ilvl="8" w:tplc="2506B31C">
      <w:start w:val="1"/>
      <w:numFmt w:val="bullet"/>
      <w:lvlText w:val=""/>
      <w:lvlJc w:val="left"/>
      <w:pPr>
        <w:ind w:left="6480" w:hanging="360"/>
      </w:pPr>
      <w:rPr>
        <w:rFonts w:ascii="Wingdings" w:hAnsi="Wingdings" w:hint="default"/>
      </w:rPr>
    </w:lvl>
  </w:abstractNum>
  <w:abstractNum w:abstractNumId="219" w15:restartNumberingAfterBreak="0">
    <w:nsid w:val="22E44180"/>
    <w:multiLevelType w:val="multilevel"/>
    <w:tmpl w:val="4B16EF00"/>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6236"/>
        </w:tabs>
        <w:ind w:left="6236"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0" w15:restartNumberingAfterBreak="0">
    <w:nsid w:val="23471337"/>
    <w:multiLevelType w:val="hybridMultilevel"/>
    <w:tmpl w:val="AF68C1C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1" w15:restartNumberingAfterBreak="0">
    <w:nsid w:val="2349D677"/>
    <w:multiLevelType w:val="hybridMultilevel"/>
    <w:tmpl w:val="FFFFFFFF"/>
    <w:lvl w:ilvl="0" w:tplc="31B2F49E">
      <w:start w:val="1"/>
      <w:numFmt w:val="bullet"/>
      <w:lvlText w:val="·"/>
      <w:lvlJc w:val="left"/>
      <w:pPr>
        <w:ind w:left="720" w:hanging="360"/>
      </w:pPr>
      <w:rPr>
        <w:rFonts w:ascii="Symbol" w:hAnsi="Symbol" w:hint="default"/>
      </w:rPr>
    </w:lvl>
    <w:lvl w:ilvl="1" w:tplc="03B45972">
      <w:start w:val="1"/>
      <w:numFmt w:val="bullet"/>
      <w:lvlText w:val="o"/>
      <w:lvlJc w:val="left"/>
      <w:pPr>
        <w:ind w:left="1440" w:hanging="360"/>
      </w:pPr>
      <w:rPr>
        <w:rFonts w:ascii="Courier New" w:hAnsi="Courier New" w:hint="default"/>
      </w:rPr>
    </w:lvl>
    <w:lvl w:ilvl="2" w:tplc="F21259EE">
      <w:start w:val="1"/>
      <w:numFmt w:val="bullet"/>
      <w:lvlText w:val=""/>
      <w:lvlJc w:val="left"/>
      <w:pPr>
        <w:ind w:left="2160" w:hanging="360"/>
      </w:pPr>
      <w:rPr>
        <w:rFonts w:ascii="Wingdings" w:hAnsi="Wingdings" w:hint="default"/>
      </w:rPr>
    </w:lvl>
    <w:lvl w:ilvl="3" w:tplc="783E4C9A">
      <w:start w:val="1"/>
      <w:numFmt w:val="bullet"/>
      <w:lvlText w:val=""/>
      <w:lvlJc w:val="left"/>
      <w:pPr>
        <w:ind w:left="2880" w:hanging="360"/>
      </w:pPr>
      <w:rPr>
        <w:rFonts w:ascii="Symbol" w:hAnsi="Symbol" w:hint="default"/>
      </w:rPr>
    </w:lvl>
    <w:lvl w:ilvl="4" w:tplc="120CC240">
      <w:start w:val="1"/>
      <w:numFmt w:val="bullet"/>
      <w:lvlText w:val="o"/>
      <w:lvlJc w:val="left"/>
      <w:pPr>
        <w:ind w:left="3600" w:hanging="360"/>
      </w:pPr>
      <w:rPr>
        <w:rFonts w:ascii="Courier New" w:hAnsi="Courier New" w:hint="default"/>
      </w:rPr>
    </w:lvl>
    <w:lvl w:ilvl="5" w:tplc="8858F81C">
      <w:start w:val="1"/>
      <w:numFmt w:val="bullet"/>
      <w:lvlText w:val=""/>
      <w:lvlJc w:val="left"/>
      <w:pPr>
        <w:ind w:left="4320" w:hanging="360"/>
      </w:pPr>
      <w:rPr>
        <w:rFonts w:ascii="Wingdings" w:hAnsi="Wingdings" w:hint="default"/>
      </w:rPr>
    </w:lvl>
    <w:lvl w:ilvl="6" w:tplc="D5944A32">
      <w:start w:val="1"/>
      <w:numFmt w:val="bullet"/>
      <w:lvlText w:val=""/>
      <w:lvlJc w:val="left"/>
      <w:pPr>
        <w:ind w:left="5040" w:hanging="360"/>
      </w:pPr>
      <w:rPr>
        <w:rFonts w:ascii="Symbol" w:hAnsi="Symbol" w:hint="default"/>
      </w:rPr>
    </w:lvl>
    <w:lvl w:ilvl="7" w:tplc="F3EC6E24">
      <w:start w:val="1"/>
      <w:numFmt w:val="bullet"/>
      <w:lvlText w:val="o"/>
      <w:lvlJc w:val="left"/>
      <w:pPr>
        <w:ind w:left="5760" w:hanging="360"/>
      </w:pPr>
      <w:rPr>
        <w:rFonts w:ascii="Courier New" w:hAnsi="Courier New" w:hint="default"/>
      </w:rPr>
    </w:lvl>
    <w:lvl w:ilvl="8" w:tplc="CFE04244">
      <w:start w:val="1"/>
      <w:numFmt w:val="bullet"/>
      <w:lvlText w:val=""/>
      <w:lvlJc w:val="left"/>
      <w:pPr>
        <w:ind w:left="6480" w:hanging="360"/>
      </w:pPr>
      <w:rPr>
        <w:rFonts w:ascii="Wingdings" w:hAnsi="Wingdings" w:hint="default"/>
      </w:rPr>
    </w:lvl>
  </w:abstractNum>
  <w:abstractNum w:abstractNumId="222" w15:restartNumberingAfterBreak="0">
    <w:nsid w:val="2398492B"/>
    <w:multiLevelType w:val="multilevel"/>
    <w:tmpl w:val="690698C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239F3794"/>
    <w:multiLevelType w:val="hybridMultilevel"/>
    <w:tmpl w:val="BD4215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4" w15:restartNumberingAfterBreak="0">
    <w:nsid w:val="23D67882"/>
    <w:multiLevelType w:val="multilevel"/>
    <w:tmpl w:val="C4E86C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23ED68BB"/>
    <w:multiLevelType w:val="hybridMultilevel"/>
    <w:tmpl w:val="46C2EA6C"/>
    <w:lvl w:ilvl="0" w:tplc="F29E19DE">
      <w:start w:val="1"/>
      <w:numFmt w:val="bullet"/>
      <w:lvlText w:val=""/>
      <w:lvlJc w:val="left"/>
      <w:pPr>
        <w:ind w:left="720" w:hanging="360"/>
      </w:pPr>
      <w:rPr>
        <w:rFonts w:ascii="Segoe UI" w:hAnsi="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Cambria Math" w:hAnsi="Cambria Math" w:hint="default"/>
      </w:rPr>
    </w:lvl>
    <w:lvl w:ilvl="3" w:tplc="08090001">
      <w:start w:val="1"/>
      <w:numFmt w:val="bullet"/>
      <w:lvlText w:val=""/>
      <w:lvlJc w:val="left"/>
      <w:pPr>
        <w:ind w:left="2880" w:hanging="360"/>
      </w:pPr>
      <w:rPr>
        <w:rFonts w:ascii="Segoe UI" w:hAnsi="Segoe UI"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Cambria Math" w:hAnsi="Cambria Math" w:hint="default"/>
      </w:rPr>
    </w:lvl>
    <w:lvl w:ilvl="6" w:tplc="08090001">
      <w:start w:val="1"/>
      <w:numFmt w:val="bullet"/>
      <w:lvlText w:val=""/>
      <w:lvlJc w:val="left"/>
      <w:pPr>
        <w:ind w:left="5040" w:hanging="360"/>
      </w:pPr>
      <w:rPr>
        <w:rFonts w:ascii="Segoe UI" w:hAnsi="Segoe UI"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Cambria Math" w:hAnsi="Cambria Math" w:hint="default"/>
      </w:rPr>
    </w:lvl>
  </w:abstractNum>
  <w:abstractNum w:abstractNumId="226" w15:restartNumberingAfterBreak="0">
    <w:nsid w:val="24371AD6"/>
    <w:multiLevelType w:val="multilevel"/>
    <w:tmpl w:val="66CABC7C"/>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7" w15:restartNumberingAfterBreak="0">
    <w:nsid w:val="24690017"/>
    <w:multiLevelType w:val="hybridMultilevel"/>
    <w:tmpl w:val="FD7C0AE4"/>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8" w15:restartNumberingAfterBreak="0">
    <w:nsid w:val="2494C848"/>
    <w:multiLevelType w:val="hybridMultilevel"/>
    <w:tmpl w:val="FFFFFFFF"/>
    <w:lvl w:ilvl="0" w:tplc="5F328E78">
      <w:start w:val="1"/>
      <w:numFmt w:val="decimal"/>
      <w:lvlText w:val="%1)"/>
      <w:lvlJc w:val="left"/>
      <w:pPr>
        <w:ind w:left="720" w:hanging="360"/>
      </w:pPr>
    </w:lvl>
    <w:lvl w:ilvl="1" w:tplc="13564B42">
      <w:start w:val="1"/>
      <w:numFmt w:val="lowerLetter"/>
      <w:lvlText w:val="%2."/>
      <w:lvlJc w:val="left"/>
      <w:pPr>
        <w:ind w:left="1440" w:hanging="360"/>
      </w:pPr>
    </w:lvl>
    <w:lvl w:ilvl="2" w:tplc="8668E534">
      <w:start w:val="1"/>
      <w:numFmt w:val="lowerRoman"/>
      <w:lvlText w:val="%3."/>
      <w:lvlJc w:val="right"/>
      <w:pPr>
        <w:ind w:left="2160" w:hanging="180"/>
      </w:pPr>
    </w:lvl>
    <w:lvl w:ilvl="3" w:tplc="A30C9548">
      <w:start w:val="1"/>
      <w:numFmt w:val="decimal"/>
      <w:lvlText w:val="%4."/>
      <w:lvlJc w:val="left"/>
      <w:pPr>
        <w:ind w:left="2880" w:hanging="360"/>
      </w:pPr>
    </w:lvl>
    <w:lvl w:ilvl="4" w:tplc="67C8F23C">
      <w:start w:val="1"/>
      <w:numFmt w:val="lowerLetter"/>
      <w:lvlText w:val="%5."/>
      <w:lvlJc w:val="left"/>
      <w:pPr>
        <w:ind w:left="3600" w:hanging="360"/>
      </w:pPr>
    </w:lvl>
    <w:lvl w:ilvl="5" w:tplc="8C32C8A0">
      <w:start w:val="1"/>
      <w:numFmt w:val="lowerRoman"/>
      <w:lvlText w:val="%6."/>
      <w:lvlJc w:val="right"/>
      <w:pPr>
        <w:ind w:left="4320" w:hanging="180"/>
      </w:pPr>
    </w:lvl>
    <w:lvl w:ilvl="6" w:tplc="1ADE28DA">
      <w:start w:val="1"/>
      <w:numFmt w:val="decimal"/>
      <w:lvlText w:val="%7."/>
      <w:lvlJc w:val="left"/>
      <w:pPr>
        <w:ind w:left="5040" w:hanging="360"/>
      </w:pPr>
    </w:lvl>
    <w:lvl w:ilvl="7" w:tplc="C130E88C">
      <w:start w:val="1"/>
      <w:numFmt w:val="lowerLetter"/>
      <w:lvlText w:val="%8."/>
      <w:lvlJc w:val="left"/>
      <w:pPr>
        <w:ind w:left="5760" w:hanging="360"/>
      </w:pPr>
    </w:lvl>
    <w:lvl w:ilvl="8" w:tplc="DBFAA8CE">
      <w:start w:val="1"/>
      <w:numFmt w:val="lowerRoman"/>
      <w:lvlText w:val="%9."/>
      <w:lvlJc w:val="right"/>
      <w:pPr>
        <w:ind w:left="6480" w:hanging="180"/>
      </w:pPr>
    </w:lvl>
  </w:abstractNum>
  <w:abstractNum w:abstractNumId="229" w15:restartNumberingAfterBreak="0">
    <w:nsid w:val="25404E49"/>
    <w:multiLevelType w:val="hybridMultilevel"/>
    <w:tmpl w:val="19064A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0" w15:restartNumberingAfterBreak="0">
    <w:nsid w:val="25D2335B"/>
    <w:multiLevelType w:val="multilevel"/>
    <w:tmpl w:val="CD1063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62C11A4"/>
    <w:multiLevelType w:val="multilevel"/>
    <w:tmpl w:val="E9DA17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263B6DE3"/>
    <w:multiLevelType w:val="hybridMultilevel"/>
    <w:tmpl w:val="25B4C256"/>
    <w:lvl w:ilvl="0" w:tplc="1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33" w15:restartNumberingAfterBreak="0">
    <w:nsid w:val="26474AC4"/>
    <w:multiLevelType w:val="hybridMultilevel"/>
    <w:tmpl w:val="449A5922"/>
    <w:lvl w:ilvl="0" w:tplc="FDA2DF24">
      <w:start w:val="1"/>
      <w:numFmt w:val="bullet"/>
      <w:lvlText w:val=""/>
      <w:lvlJc w:val="left"/>
      <w:pPr>
        <w:ind w:left="720" w:hanging="360"/>
      </w:pPr>
      <w:rPr>
        <w:rFonts w:ascii="Symbol" w:hAnsi="Symbol" w:hint="default"/>
      </w:rPr>
    </w:lvl>
    <w:lvl w:ilvl="1" w:tplc="FBFA27CC">
      <w:start w:val="1"/>
      <w:numFmt w:val="bullet"/>
      <w:lvlText w:val="o"/>
      <w:lvlJc w:val="left"/>
      <w:pPr>
        <w:ind w:left="1440" w:hanging="360"/>
      </w:pPr>
      <w:rPr>
        <w:rFonts w:ascii="Courier New" w:hAnsi="Courier New" w:hint="default"/>
      </w:rPr>
    </w:lvl>
    <w:lvl w:ilvl="2" w:tplc="21BEBB74">
      <w:start w:val="1"/>
      <w:numFmt w:val="bullet"/>
      <w:lvlText w:val=""/>
      <w:lvlJc w:val="left"/>
      <w:pPr>
        <w:ind w:left="2160" w:hanging="360"/>
      </w:pPr>
      <w:rPr>
        <w:rFonts w:ascii="Wingdings" w:hAnsi="Wingdings" w:hint="default"/>
      </w:rPr>
    </w:lvl>
    <w:lvl w:ilvl="3" w:tplc="E65AC2DC">
      <w:start w:val="1"/>
      <w:numFmt w:val="bullet"/>
      <w:lvlText w:val=""/>
      <w:lvlJc w:val="left"/>
      <w:pPr>
        <w:ind w:left="2880" w:hanging="360"/>
      </w:pPr>
      <w:rPr>
        <w:rFonts w:ascii="Symbol" w:hAnsi="Symbol" w:hint="default"/>
      </w:rPr>
    </w:lvl>
    <w:lvl w:ilvl="4" w:tplc="01C8B9AE">
      <w:start w:val="1"/>
      <w:numFmt w:val="bullet"/>
      <w:lvlText w:val="o"/>
      <w:lvlJc w:val="left"/>
      <w:pPr>
        <w:ind w:left="3600" w:hanging="360"/>
      </w:pPr>
      <w:rPr>
        <w:rFonts w:ascii="Courier New" w:hAnsi="Courier New" w:hint="default"/>
      </w:rPr>
    </w:lvl>
    <w:lvl w:ilvl="5" w:tplc="D4322414">
      <w:start w:val="1"/>
      <w:numFmt w:val="bullet"/>
      <w:lvlText w:val=""/>
      <w:lvlJc w:val="left"/>
      <w:pPr>
        <w:ind w:left="4320" w:hanging="360"/>
      </w:pPr>
      <w:rPr>
        <w:rFonts w:ascii="Wingdings" w:hAnsi="Wingdings" w:hint="default"/>
      </w:rPr>
    </w:lvl>
    <w:lvl w:ilvl="6" w:tplc="789C5A18">
      <w:start w:val="1"/>
      <w:numFmt w:val="bullet"/>
      <w:lvlText w:val=""/>
      <w:lvlJc w:val="left"/>
      <w:pPr>
        <w:ind w:left="5040" w:hanging="360"/>
      </w:pPr>
      <w:rPr>
        <w:rFonts w:ascii="Symbol" w:hAnsi="Symbol" w:hint="default"/>
      </w:rPr>
    </w:lvl>
    <w:lvl w:ilvl="7" w:tplc="C75EDAE4">
      <w:start w:val="1"/>
      <w:numFmt w:val="bullet"/>
      <w:lvlText w:val="o"/>
      <w:lvlJc w:val="left"/>
      <w:pPr>
        <w:ind w:left="5760" w:hanging="360"/>
      </w:pPr>
      <w:rPr>
        <w:rFonts w:ascii="Courier New" w:hAnsi="Courier New" w:hint="default"/>
      </w:rPr>
    </w:lvl>
    <w:lvl w:ilvl="8" w:tplc="045A5832">
      <w:start w:val="1"/>
      <w:numFmt w:val="bullet"/>
      <w:lvlText w:val=""/>
      <w:lvlJc w:val="left"/>
      <w:pPr>
        <w:ind w:left="6480" w:hanging="360"/>
      </w:pPr>
      <w:rPr>
        <w:rFonts w:ascii="Wingdings" w:hAnsi="Wingdings" w:hint="default"/>
      </w:rPr>
    </w:lvl>
  </w:abstractNum>
  <w:abstractNum w:abstractNumId="234" w15:restartNumberingAfterBreak="0">
    <w:nsid w:val="26512302"/>
    <w:multiLevelType w:val="hybridMultilevel"/>
    <w:tmpl w:val="A430446C"/>
    <w:lvl w:ilvl="0" w:tplc="FFFFFFFF">
      <w:start w:val="1"/>
      <w:numFmt w:val="lowerLetter"/>
      <w:lvlText w:val="%1."/>
      <w:lvlJc w:val="lef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5" w15:restartNumberingAfterBreak="0">
    <w:nsid w:val="267E785F"/>
    <w:multiLevelType w:val="hybridMultilevel"/>
    <w:tmpl w:val="701E8B0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267E7C63"/>
    <w:multiLevelType w:val="hybridMultilevel"/>
    <w:tmpl w:val="89B6A706"/>
    <w:lvl w:ilvl="0" w:tplc="18090001">
      <w:start w:val="1"/>
      <w:numFmt w:val="bullet"/>
      <w:lvlText w:val=""/>
      <w:lvlJc w:val="left"/>
      <w:pPr>
        <w:ind w:left="360" w:hanging="360"/>
      </w:pPr>
      <w:rPr>
        <w:rFonts w:ascii="Segoe UI" w:hAnsi="Segoe UI" w:hint="default"/>
      </w:rPr>
    </w:lvl>
    <w:lvl w:ilvl="1" w:tplc="18090003" w:tentative="1">
      <w:start w:val="1"/>
      <w:numFmt w:val="bullet"/>
      <w:lvlText w:val="o"/>
      <w:lvlJc w:val="left"/>
      <w:pPr>
        <w:ind w:left="1080" w:hanging="360"/>
      </w:pPr>
      <w:rPr>
        <w:rFonts w:ascii="@MS Mincho" w:hAnsi="@MS Mincho" w:cs="@MS Mincho" w:hint="default"/>
      </w:rPr>
    </w:lvl>
    <w:lvl w:ilvl="2" w:tplc="18090005" w:tentative="1">
      <w:start w:val="1"/>
      <w:numFmt w:val="bullet"/>
      <w:lvlText w:val=""/>
      <w:lvlJc w:val="left"/>
      <w:pPr>
        <w:ind w:left="1800" w:hanging="360"/>
      </w:pPr>
      <w:rPr>
        <w:rFonts w:ascii="Symbol" w:hAnsi="Symbol"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MS Mincho" w:hAnsi="@MS Mincho" w:cs="@MS Mincho" w:hint="default"/>
      </w:rPr>
    </w:lvl>
    <w:lvl w:ilvl="5" w:tplc="18090005" w:tentative="1">
      <w:start w:val="1"/>
      <w:numFmt w:val="bullet"/>
      <w:lvlText w:val=""/>
      <w:lvlJc w:val="left"/>
      <w:pPr>
        <w:ind w:left="3960" w:hanging="360"/>
      </w:pPr>
      <w:rPr>
        <w:rFonts w:ascii="Symbol" w:hAnsi="Symbol"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MS Mincho" w:hAnsi="@MS Mincho" w:cs="@MS Mincho" w:hint="default"/>
      </w:rPr>
    </w:lvl>
    <w:lvl w:ilvl="8" w:tplc="18090005" w:tentative="1">
      <w:start w:val="1"/>
      <w:numFmt w:val="bullet"/>
      <w:lvlText w:val=""/>
      <w:lvlJc w:val="left"/>
      <w:pPr>
        <w:ind w:left="6120" w:hanging="360"/>
      </w:pPr>
      <w:rPr>
        <w:rFonts w:ascii="Symbol" w:hAnsi="Symbol" w:hint="default"/>
      </w:rPr>
    </w:lvl>
  </w:abstractNum>
  <w:abstractNum w:abstractNumId="237" w15:restartNumberingAfterBreak="0">
    <w:nsid w:val="26AC4092"/>
    <w:multiLevelType w:val="hybridMultilevel"/>
    <w:tmpl w:val="B1FCB9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8" w15:restartNumberingAfterBreak="0">
    <w:nsid w:val="26BD585B"/>
    <w:multiLevelType w:val="multilevel"/>
    <w:tmpl w:val="A17CA3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26CB29BA"/>
    <w:multiLevelType w:val="hybridMultilevel"/>
    <w:tmpl w:val="0896B9DA"/>
    <w:lvl w:ilvl="0" w:tplc="6C30E62A">
      <w:start w:val="1"/>
      <w:numFmt w:val="bullet"/>
      <w:lvlText w:val="-"/>
      <w:lvlJc w:val="left"/>
      <w:pPr>
        <w:ind w:left="720" w:hanging="360"/>
      </w:pPr>
      <w:rPr>
        <w:rFonts w:ascii="Calibri" w:hAnsi="Calibri" w:hint="default"/>
      </w:rPr>
    </w:lvl>
    <w:lvl w:ilvl="1" w:tplc="A0D82BA2">
      <w:start w:val="1"/>
      <w:numFmt w:val="bullet"/>
      <w:lvlText w:val="o"/>
      <w:lvlJc w:val="left"/>
      <w:pPr>
        <w:ind w:left="1440" w:hanging="360"/>
      </w:pPr>
      <w:rPr>
        <w:rFonts w:ascii="Courier New" w:hAnsi="Courier New" w:hint="default"/>
      </w:rPr>
    </w:lvl>
    <w:lvl w:ilvl="2" w:tplc="4816CCB8">
      <w:start w:val="1"/>
      <w:numFmt w:val="bullet"/>
      <w:lvlText w:val=""/>
      <w:lvlJc w:val="left"/>
      <w:pPr>
        <w:ind w:left="2160" w:hanging="360"/>
      </w:pPr>
      <w:rPr>
        <w:rFonts w:ascii="Wingdings" w:hAnsi="Wingdings" w:hint="default"/>
      </w:rPr>
    </w:lvl>
    <w:lvl w:ilvl="3" w:tplc="498CDB6E">
      <w:start w:val="1"/>
      <w:numFmt w:val="bullet"/>
      <w:lvlText w:val=""/>
      <w:lvlJc w:val="left"/>
      <w:pPr>
        <w:ind w:left="2880" w:hanging="360"/>
      </w:pPr>
      <w:rPr>
        <w:rFonts w:ascii="Symbol" w:hAnsi="Symbol" w:hint="default"/>
      </w:rPr>
    </w:lvl>
    <w:lvl w:ilvl="4" w:tplc="B4607B30">
      <w:start w:val="1"/>
      <w:numFmt w:val="bullet"/>
      <w:lvlText w:val="o"/>
      <w:lvlJc w:val="left"/>
      <w:pPr>
        <w:ind w:left="3600" w:hanging="360"/>
      </w:pPr>
      <w:rPr>
        <w:rFonts w:ascii="Courier New" w:hAnsi="Courier New" w:hint="default"/>
      </w:rPr>
    </w:lvl>
    <w:lvl w:ilvl="5" w:tplc="733C4D3C">
      <w:start w:val="1"/>
      <w:numFmt w:val="bullet"/>
      <w:lvlText w:val=""/>
      <w:lvlJc w:val="left"/>
      <w:pPr>
        <w:ind w:left="4320" w:hanging="360"/>
      </w:pPr>
      <w:rPr>
        <w:rFonts w:ascii="Wingdings" w:hAnsi="Wingdings" w:hint="default"/>
      </w:rPr>
    </w:lvl>
    <w:lvl w:ilvl="6" w:tplc="4F84C98E">
      <w:start w:val="1"/>
      <w:numFmt w:val="bullet"/>
      <w:lvlText w:val=""/>
      <w:lvlJc w:val="left"/>
      <w:pPr>
        <w:ind w:left="5040" w:hanging="360"/>
      </w:pPr>
      <w:rPr>
        <w:rFonts w:ascii="Symbol" w:hAnsi="Symbol" w:hint="default"/>
      </w:rPr>
    </w:lvl>
    <w:lvl w:ilvl="7" w:tplc="F9B2DB46">
      <w:start w:val="1"/>
      <w:numFmt w:val="bullet"/>
      <w:lvlText w:val="o"/>
      <w:lvlJc w:val="left"/>
      <w:pPr>
        <w:ind w:left="5760" w:hanging="360"/>
      </w:pPr>
      <w:rPr>
        <w:rFonts w:ascii="Courier New" w:hAnsi="Courier New" w:hint="default"/>
      </w:rPr>
    </w:lvl>
    <w:lvl w:ilvl="8" w:tplc="C464C74A">
      <w:start w:val="1"/>
      <w:numFmt w:val="bullet"/>
      <w:lvlText w:val=""/>
      <w:lvlJc w:val="left"/>
      <w:pPr>
        <w:ind w:left="6480" w:hanging="360"/>
      </w:pPr>
      <w:rPr>
        <w:rFonts w:ascii="Wingdings" w:hAnsi="Wingdings" w:hint="default"/>
      </w:rPr>
    </w:lvl>
  </w:abstractNum>
  <w:abstractNum w:abstractNumId="240" w15:restartNumberingAfterBreak="0">
    <w:nsid w:val="26E01D97"/>
    <w:multiLevelType w:val="hybridMultilevel"/>
    <w:tmpl w:val="EA822BFE"/>
    <w:lvl w:ilvl="0" w:tplc="38662FF4">
      <w:numFmt w:val="bullet"/>
      <w:lvlText w:val="-"/>
      <w:lvlJc w:val="left"/>
      <w:pPr>
        <w:ind w:left="720" w:hanging="360"/>
      </w:pPr>
      <w:rPr>
        <w:rFonts w:ascii="Calibri" w:eastAsia="Times New Roman" w:hAnsi="Calibri" w:cs="Calibri" w:hint="default"/>
        <w:b/>
        <w:color w:val="000000"/>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1" w15:restartNumberingAfterBreak="0">
    <w:nsid w:val="27329CF0"/>
    <w:multiLevelType w:val="hybridMultilevel"/>
    <w:tmpl w:val="FFFFFFFF"/>
    <w:lvl w:ilvl="0" w:tplc="3D926846">
      <w:start w:val="11"/>
      <w:numFmt w:val="decimal"/>
      <w:lvlText w:val="%1."/>
      <w:lvlJc w:val="left"/>
      <w:pPr>
        <w:ind w:left="720" w:hanging="360"/>
      </w:pPr>
    </w:lvl>
    <w:lvl w:ilvl="1" w:tplc="B34C0416">
      <w:start w:val="1"/>
      <w:numFmt w:val="lowerLetter"/>
      <w:lvlText w:val="%2."/>
      <w:lvlJc w:val="left"/>
      <w:pPr>
        <w:ind w:left="1440" w:hanging="360"/>
      </w:pPr>
    </w:lvl>
    <w:lvl w:ilvl="2" w:tplc="2D8A7CEA">
      <w:start w:val="1"/>
      <w:numFmt w:val="lowerRoman"/>
      <w:lvlText w:val="%3."/>
      <w:lvlJc w:val="right"/>
      <w:pPr>
        <w:ind w:left="2160" w:hanging="180"/>
      </w:pPr>
    </w:lvl>
    <w:lvl w:ilvl="3" w:tplc="A3021550">
      <w:start w:val="1"/>
      <w:numFmt w:val="decimal"/>
      <w:lvlText w:val="%4."/>
      <w:lvlJc w:val="left"/>
      <w:pPr>
        <w:ind w:left="2880" w:hanging="360"/>
      </w:pPr>
    </w:lvl>
    <w:lvl w:ilvl="4" w:tplc="F4D2B036">
      <w:start w:val="1"/>
      <w:numFmt w:val="lowerLetter"/>
      <w:lvlText w:val="%5."/>
      <w:lvlJc w:val="left"/>
      <w:pPr>
        <w:ind w:left="3600" w:hanging="360"/>
      </w:pPr>
    </w:lvl>
    <w:lvl w:ilvl="5" w:tplc="9B1060B6">
      <w:start w:val="1"/>
      <w:numFmt w:val="lowerRoman"/>
      <w:lvlText w:val="%6."/>
      <w:lvlJc w:val="right"/>
      <w:pPr>
        <w:ind w:left="4320" w:hanging="180"/>
      </w:pPr>
    </w:lvl>
    <w:lvl w:ilvl="6" w:tplc="975AF560">
      <w:start w:val="1"/>
      <w:numFmt w:val="decimal"/>
      <w:lvlText w:val="%7."/>
      <w:lvlJc w:val="left"/>
      <w:pPr>
        <w:ind w:left="5040" w:hanging="360"/>
      </w:pPr>
    </w:lvl>
    <w:lvl w:ilvl="7" w:tplc="E4B6A196">
      <w:start w:val="1"/>
      <w:numFmt w:val="lowerLetter"/>
      <w:lvlText w:val="%8."/>
      <w:lvlJc w:val="left"/>
      <w:pPr>
        <w:ind w:left="5760" w:hanging="360"/>
      </w:pPr>
    </w:lvl>
    <w:lvl w:ilvl="8" w:tplc="99E0A448">
      <w:start w:val="1"/>
      <w:numFmt w:val="lowerRoman"/>
      <w:lvlText w:val="%9."/>
      <w:lvlJc w:val="right"/>
      <w:pPr>
        <w:ind w:left="6480" w:hanging="180"/>
      </w:pPr>
    </w:lvl>
  </w:abstractNum>
  <w:abstractNum w:abstractNumId="242" w15:restartNumberingAfterBreak="0">
    <w:nsid w:val="27680DC2"/>
    <w:multiLevelType w:val="hybridMultilevel"/>
    <w:tmpl w:val="B36EFB98"/>
    <w:lvl w:ilvl="0" w:tplc="080C001B">
      <w:start w:val="1"/>
      <w:numFmt w:val="lowerRoman"/>
      <w:lvlText w:val="%1."/>
      <w:lvlJc w:val="right"/>
      <w:pPr>
        <w:ind w:left="2138" w:hanging="360"/>
      </w:pPr>
    </w:lvl>
    <w:lvl w:ilvl="1" w:tplc="080C0019" w:tentative="1">
      <w:start w:val="1"/>
      <w:numFmt w:val="lowerLetter"/>
      <w:lvlText w:val="%2."/>
      <w:lvlJc w:val="left"/>
      <w:pPr>
        <w:ind w:left="2858" w:hanging="360"/>
      </w:pPr>
    </w:lvl>
    <w:lvl w:ilvl="2" w:tplc="080C001B" w:tentative="1">
      <w:start w:val="1"/>
      <w:numFmt w:val="lowerRoman"/>
      <w:lvlText w:val="%3."/>
      <w:lvlJc w:val="right"/>
      <w:pPr>
        <w:ind w:left="3578" w:hanging="180"/>
      </w:pPr>
    </w:lvl>
    <w:lvl w:ilvl="3" w:tplc="080C000F" w:tentative="1">
      <w:start w:val="1"/>
      <w:numFmt w:val="decimal"/>
      <w:lvlText w:val="%4."/>
      <w:lvlJc w:val="left"/>
      <w:pPr>
        <w:ind w:left="4298" w:hanging="360"/>
      </w:pPr>
    </w:lvl>
    <w:lvl w:ilvl="4" w:tplc="080C0019" w:tentative="1">
      <w:start w:val="1"/>
      <w:numFmt w:val="lowerLetter"/>
      <w:lvlText w:val="%5."/>
      <w:lvlJc w:val="left"/>
      <w:pPr>
        <w:ind w:left="5018" w:hanging="360"/>
      </w:pPr>
    </w:lvl>
    <w:lvl w:ilvl="5" w:tplc="080C001B" w:tentative="1">
      <w:start w:val="1"/>
      <w:numFmt w:val="lowerRoman"/>
      <w:lvlText w:val="%6."/>
      <w:lvlJc w:val="right"/>
      <w:pPr>
        <w:ind w:left="5738" w:hanging="180"/>
      </w:pPr>
    </w:lvl>
    <w:lvl w:ilvl="6" w:tplc="080C000F" w:tentative="1">
      <w:start w:val="1"/>
      <w:numFmt w:val="decimal"/>
      <w:lvlText w:val="%7."/>
      <w:lvlJc w:val="left"/>
      <w:pPr>
        <w:ind w:left="6458" w:hanging="360"/>
      </w:pPr>
    </w:lvl>
    <w:lvl w:ilvl="7" w:tplc="080C0019" w:tentative="1">
      <w:start w:val="1"/>
      <w:numFmt w:val="lowerLetter"/>
      <w:lvlText w:val="%8."/>
      <w:lvlJc w:val="left"/>
      <w:pPr>
        <w:ind w:left="7178" w:hanging="360"/>
      </w:pPr>
    </w:lvl>
    <w:lvl w:ilvl="8" w:tplc="080C001B" w:tentative="1">
      <w:start w:val="1"/>
      <w:numFmt w:val="lowerRoman"/>
      <w:lvlText w:val="%9."/>
      <w:lvlJc w:val="right"/>
      <w:pPr>
        <w:ind w:left="7898" w:hanging="180"/>
      </w:pPr>
    </w:lvl>
  </w:abstractNum>
  <w:abstractNum w:abstractNumId="243" w15:restartNumberingAfterBreak="0">
    <w:nsid w:val="27964909"/>
    <w:multiLevelType w:val="hybridMultilevel"/>
    <w:tmpl w:val="FFFFFFFF"/>
    <w:lvl w:ilvl="0" w:tplc="2D72F43A">
      <w:start w:val="5"/>
      <w:numFmt w:val="decimal"/>
      <w:lvlText w:val="%1."/>
      <w:lvlJc w:val="left"/>
      <w:pPr>
        <w:ind w:left="720" w:hanging="360"/>
      </w:pPr>
    </w:lvl>
    <w:lvl w:ilvl="1" w:tplc="D9866E08">
      <w:start w:val="1"/>
      <w:numFmt w:val="lowerLetter"/>
      <w:lvlText w:val="%2."/>
      <w:lvlJc w:val="left"/>
      <w:pPr>
        <w:ind w:left="1440" w:hanging="360"/>
      </w:pPr>
    </w:lvl>
    <w:lvl w:ilvl="2" w:tplc="A9803292">
      <w:start w:val="1"/>
      <w:numFmt w:val="lowerRoman"/>
      <w:lvlText w:val="%3."/>
      <w:lvlJc w:val="right"/>
      <w:pPr>
        <w:ind w:left="2160" w:hanging="180"/>
      </w:pPr>
    </w:lvl>
    <w:lvl w:ilvl="3" w:tplc="5EC4E932">
      <w:start w:val="1"/>
      <w:numFmt w:val="decimal"/>
      <w:lvlText w:val="%4."/>
      <w:lvlJc w:val="left"/>
      <w:pPr>
        <w:ind w:left="2880" w:hanging="360"/>
      </w:pPr>
    </w:lvl>
    <w:lvl w:ilvl="4" w:tplc="E7A8D74E">
      <w:start w:val="1"/>
      <w:numFmt w:val="lowerLetter"/>
      <w:lvlText w:val="%5."/>
      <w:lvlJc w:val="left"/>
      <w:pPr>
        <w:ind w:left="3600" w:hanging="360"/>
      </w:pPr>
    </w:lvl>
    <w:lvl w:ilvl="5" w:tplc="77522904">
      <w:start w:val="1"/>
      <w:numFmt w:val="lowerRoman"/>
      <w:lvlText w:val="%6."/>
      <w:lvlJc w:val="right"/>
      <w:pPr>
        <w:ind w:left="4320" w:hanging="180"/>
      </w:pPr>
    </w:lvl>
    <w:lvl w:ilvl="6" w:tplc="E200C024">
      <w:start w:val="1"/>
      <w:numFmt w:val="decimal"/>
      <w:lvlText w:val="%7."/>
      <w:lvlJc w:val="left"/>
      <w:pPr>
        <w:ind w:left="5040" w:hanging="360"/>
      </w:pPr>
    </w:lvl>
    <w:lvl w:ilvl="7" w:tplc="AFC4986A">
      <w:start w:val="1"/>
      <w:numFmt w:val="lowerLetter"/>
      <w:lvlText w:val="%8."/>
      <w:lvlJc w:val="left"/>
      <w:pPr>
        <w:ind w:left="5760" w:hanging="360"/>
      </w:pPr>
    </w:lvl>
    <w:lvl w:ilvl="8" w:tplc="C2E0ABB0">
      <w:start w:val="1"/>
      <w:numFmt w:val="lowerRoman"/>
      <w:lvlText w:val="%9."/>
      <w:lvlJc w:val="right"/>
      <w:pPr>
        <w:ind w:left="6480" w:hanging="180"/>
      </w:pPr>
    </w:lvl>
  </w:abstractNum>
  <w:abstractNum w:abstractNumId="244" w15:restartNumberingAfterBreak="0">
    <w:nsid w:val="27A17326"/>
    <w:multiLevelType w:val="multilevel"/>
    <w:tmpl w:val="974855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5" w15:restartNumberingAfterBreak="0">
    <w:nsid w:val="282C67BF"/>
    <w:multiLevelType w:val="hybridMultilevel"/>
    <w:tmpl w:val="35EC0AA2"/>
    <w:lvl w:ilvl="0" w:tplc="FFFFFFFF">
      <w:start w:val="1"/>
      <w:numFmt w:val="lowerLetter"/>
      <w:lvlText w:val="%1."/>
      <w:lvlJc w:val="left"/>
      <w:pPr>
        <w:ind w:left="720" w:hanging="360"/>
      </w:pPr>
    </w:lvl>
    <w:lvl w:ilvl="1" w:tplc="E61EA238">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6" w15:restartNumberingAfterBreak="0">
    <w:nsid w:val="2872466F"/>
    <w:multiLevelType w:val="hybridMultilevel"/>
    <w:tmpl w:val="EC1C7060"/>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247" w15:restartNumberingAfterBreak="0">
    <w:nsid w:val="28A57E8C"/>
    <w:multiLevelType w:val="hybridMultilevel"/>
    <w:tmpl w:val="14788740"/>
    <w:lvl w:ilvl="0" w:tplc="080C0019">
      <w:start w:val="1"/>
      <w:numFmt w:val="lowerLetter"/>
      <w:lvlText w:val="%1."/>
      <w:lvlJc w:val="left"/>
      <w:pPr>
        <w:ind w:left="2160" w:hanging="360"/>
      </w:p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248" w15:restartNumberingAfterBreak="0">
    <w:nsid w:val="28AC70DE"/>
    <w:multiLevelType w:val="hybridMultilevel"/>
    <w:tmpl w:val="FFFFFFFF"/>
    <w:lvl w:ilvl="0" w:tplc="F292825E">
      <w:start w:val="1"/>
      <w:numFmt w:val="bullet"/>
      <w:lvlText w:val=""/>
      <w:lvlJc w:val="left"/>
      <w:pPr>
        <w:ind w:left="720" w:hanging="360"/>
      </w:pPr>
      <w:rPr>
        <w:rFonts w:ascii="Symbol" w:hAnsi="Symbol" w:hint="default"/>
      </w:rPr>
    </w:lvl>
    <w:lvl w:ilvl="1" w:tplc="EA6E0448">
      <w:start w:val="1"/>
      <w:numFmt w:val="bullet"/>
      <w:lvlText w:val="o"/>
      <w:lvlJc w:val="left"/>
      <w:pPr>
        <w:ind w:left="1440" w:hanging="360"/>
      </w:pPr>
      <w:rPr>
        <w:rFonts w:ascii="Courier New" w:hAnsi="Courier New" w:hint="default"/>
      </w:rPr>
    </w:lvl>
    <w:lvl w:ilvl="2" w:tplc="B706CE40">
      <w:start w:val="1"/>
      <w:numFmt w:val="bullet"/>
      <w:lvlText w:val=""/>
      <w:lvlJc w:val="left"/>
      <w:pPr>
        <w:ind w:left="2160" w:hanging="360"/>
      </w:pPr>
      <w:rPr>
        <w:rFonts w:ascii="Wingdings" w:hAnsi="Wingdings" w:hint="default"/>
      </w:rPr>
    </w:lvl>
    <w:lvl w:ilvl="3" w:tplc="F19EE0CE">
      <w:start w:val="1"/>
      <w:numFmt w:val="bullet"/>
      <w:lvlText w:val=""/>
      <w:lvlJc w:val="left"/>
      <w:pPr>
        <w:ind w:left="2880" w:hanging="360"/>
      </w:pPr>
      <w:rPr>
        <w:rFonts w:ascii="Symbol" w:hAnsi="Symbol" w:hint="default"/>
      </w:rPr>
    </w:lvl>
    <w:lvl w:ilvl="4" w:tplc="E36E97E6">
      <w:start w:val="1"/>
      <w:numFmt w:val="bullet"/>
      <w:lvlText w:val="o"/>
      <w:lvlJc w:val="left"/>
      <w:pPr>
        <w:ind w:left="3600" w:hanging="360"/>
      </w:pPr>
      <w:rPr>
        <w:rFonts w:ascii="Courier New" w:hAnsi="Courier New" w:hint="default"/>
      </w:rPr>
    </w:lvl>
    <w:lvl w:ilvl="5" w:tplc="F19A281E">
      <w:start w:val="1"/>
      <w:numFmt w:val="bullet"/>
      <w:lvlText w:val=""/>
      <w:lvlJc w:val="left"/>
      <w:pPr>
        <w:ind w:left="4320" w:hanging="360"/>
      </w:pPr>
      <w:rPr>
        <w:rFonts w:ascii="Wingdings" w:hAnsi="Wingdings" w:hint="default"/>
      </w:rPr>
    </w:lvl>
    <w:lvl w:ilvl="6" w:tplc="62E67FD8">
      <w:start w:val="1"/>
      <w:numFmt w:val="bullet"/>
      <w:lvlText w:val=""/>
      <w:lvlJc w:val="left"/>
      <w:pPr>
        <w:ind w:left="5040" w:hanging="360"/>
      </w:pPr>
      <w:rPr>
        <w:rFonts w:ascii="Symbol" w:hAnsi="Symbol" w:hint="default"/>
      </w:rPr>
    </w:lvl>
    <w:lvl w:ilvl="7" w:tplc="07C8E5E0">
      <w:start w:val="1"/>
      <w:numFmt w:val="bullet"/>
      <w:lvlText w:val="o"/>
      <w:lvlJc w:val="left"/>
      <w:pPr>
        <w:ind w:left="5760" w:hanging="360"/>
      </w:pPr>
      <w:rPr>
        <w:rFonts w:ascii="Courier New" w:hAnsi="Courier New" w:hint="default"/>
      </w:rPr>
    </w:lvl>
    <w:lvl w:ilvl="8" w:tplc="4B0ED5E2">
      <w:start w:val="1"/>
      <w:numFmt w:val="bullet"/>
      <w:lvlText w:val=""/>
      <w:lvlJc w:val="left"/>
      <w:pPr>
        <w:ind w:left="6480" w:hanging="360"/>
      </w:pPr>
      <w:rPr>
        <w:rFonts w:ascii="Wingdings" w:hAnsi="Wingdings" w:hint="default"/>
      </w:rPr>
    </w:lvl>
  </w:abstractNum>
  <w:abstractNum w:abstractNumId="249" w15:restartNumberingAfterBreak="0">
    <w:nsid w:val="28AD3912"/>
    <w:multiLevelType w:val="hybridMultilevel"/>
    <w:tmpl w:val="CE284AF6"/>
    <w:lvl w:ilvl="0" w:tplc="165ACFAE">
      <w:start w:val="1"/>
      <w:numFmt w:val="decimal"/>
      <w:lvlText w:val="%1)"/>
      <w:lvlJc w:val="left"/>
      <w:pPr>
        <w:ind w:left="360" w:hanging="360"/>
      </w:pPr>
      <w:rPr>
        <w:rFonts w:ascii="Times New Roman" w:eastAsiaTheme="minorHAnsi" w:hAnsi="Times New Roman" w:cs="Times New Roman"/>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250" w15:restartNumberingAfterBreak="0">
    <w:nsid w:val="28FB5300"/>
    <w:multiLevelType w:val="hybridMultilevel"/>
    <w:tmpl w:val="915CF76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251" w15:restartNumberingAfterBreak="0">
    <w:nsid w:val="297003E1"/>
    <w:multiLevelType w:val="multilevel"/>
    <w:tmpl w:val="FFFFFFF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2" w15:restartNumberingAfterBreak="0">
    <w:nsid w:val="29AA1EDE"/>
    <w:multiLevelType w:val="hybridMultilevel"/>
    <w:tmpl w:val="B1C8EDC6"/>
    <w:lvl w:ilvl="0" w:tplc="0809001B">
      <w:start w:val="1"/>
      <w:numFmt w:val="lowerRoman"/>
      <w:lvlText w:val="%1."/>
      <w:lvlJc w:val="righ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53" w15:restartNumberingAfterBreak="0">
    <w:nsid w:val="29B66F43"/>
    <w:multiLevelType w:val="hybridMultilevel"/>
    <w:tmpl w:val="42D08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4" w15:restartNumberingAfterBreak="0">
    <w:nsid w:val="29E9906E"/>
    <w:multiLevelType w:val="hybridMultilevel"/>
    <w:tmpl w:val="FFFFFFFF"/>
    <w:lvl w:ilvl="0" w:tplc="D024A652">
      <w:start w:val="1"/>
      <w:numFmt w:val="bullet"/>
      <w:lvlText w:val=""/>
      <w:lvlJc w:val="left"/>
      <w:pPr>
        <w:ind w:left="720" w:hanging="360"/>
      </w:pPr>
      <w:rPr>
        <w:rFonts w:ascii="Segoe UI" w:hAnsi="Segoe UI" w:hint="default"/>
      </w:rPr>
    </w:lvl>
    <w:lvl w:ilvl="1" w:tplc="023631BC">
      <w:start w:val="1"/>
      <w:numFmt w:val="bullet"/>
      <w:lvlText w:val="o"/>
      <w:lvlJc w:val="left"/>
      <w:pPr>
        <w:ind w:left="1440" w:hanging="360"/>
      </w:pPr>
      <w:rPr>
        <w:rFonts w:ascii="Courier New" w:hAnsi="Courier New" w:hint="default"/>
      </w:rPr>
    </w:lvl>
    <w:lvl w:ilvl="2" w:tplc="59BE6496">
      <w:start w:val="1"/>
      <w:numFmt w:val="bullet"/>
      <w:lvlText w:val=""/>
      <w:lvlJc w:val="left"/>
      <w:pPr>
        <w:ind w:left="2160" w:hanging="360"/>
      </w:pPr>
      <w:rPr>
        <w:rFonts w:ascii="Cambria Math" w:hAnsi="Cambria Math" w:hint="default"/>
      </w:rPr>
    </w:lvl>
    <w:lvl w:ilvl="3" w:tplc="620CD2D6">
      <w:start w:val="1"/>
      <w:numFmt w:val="bullet"/>
      <w:lvlText w:val=""/>
      <w:lvlJc w:val="left"/>
      <w:pPr>
        <w:ind w:left="2880" w:hanging="360"/>
      </w:pPr>
      <w:rPr>
        <w:rFonts w:ascii="Segoe UI" w:hAnsi="Segoe UI" w:hint="default"/>
      </w:rPr>
    </w:lvl>
    <w:lvl w:ilvl="4" w:tplc="02B40CB6">
      <w:start w:val="1"/>
      <w:numFmt w:val="bullet"/>
      <w:lvlText w:val="o"/>
      <w:lvlJc w:val="left"/>
      <w:pPr>
        <w:ind w:left="3600" w:hanging="360"/>
      </w:pPr>
      <w:rPr>
        <w:rFonts w:ascii="Courier New" w:hAnsi="Courier New" w:hint="default"/>
      </w:rPr>
    </w:lvl>
    <w:lvl w:ilvl="5" w:tplc="14068EBC">
      <w:start w:val="1"/>
      <w:numFmt w:val="bullet"/>
      <w:lvlText w:val=""/>
      <w:lvlJc w:val="left"/>
      <w:pPr>
        <w:ind w:left="4320" w:hanging="360"/>
      </w:pPr>
      <w:rPr>
        <w:rFonts w:ascii="Cambria Math" w:hAnsi="Cambria Math" w:hint="default"/>
      </w:rPr>
    </w:lvl>
    <w:lvl w:ilvl="6" w:tplc="61649512">
      <w:start w:val="1"/>
      <w:numFmt w:val="bullet"/>
      <w:lvlText w:val=""/>
      <w:lvlJc w:val="left"/>
      <w:pPr>
        <w:ind w:left="5040" w:hanging="360"/>
      </w:pPr>
      <w:rPr>
        <w:rFonts w:ascii="Segoe UI" w:hAnsi="Segoe UI" w:hint="default"/>
      </w:rPr>
    </w:lvl>
    <w:lvl w:ilvl="7" w:tplc="3B3A7500">
      <w:start w:val="1"/>
      <w:numFmt w:val="bullet"/>
      <w:lvlText w:val="o"/>
      <w:lvlJc w:val="left"/>
      <w:pPr>
        <w:ind w:left="5760" w:hanging="360"/>
      </w:pPr>
      <w:rPr>
        <w:rFonts w:ascii="Courier New" w:hAnsi="Courier New" w:hint="default"/>
      </w:rPr>
    </w:lvl>
    <w:lvl w:ilvl="8" w:tplc="22A80364">
      <w:start w:val="1"/>
      <w:numFmt w:val="bullet"/>
      <w:lvlText w:val=""/>
      <w:lvlJc w:val="left"/>
      <w:pPr>
        <w:ind w:left="6480" w:hanging="360"/>
      </w:pPr>
      <w:rPr>
        <w:rFonts w:ascii="Cambria Math" w:hAnsi="Cambria Math" w:hint="default"/>
      </w:rPr>
    </w:lvl>
  </w:abstractNum>
  <w:abstractNum w:abstractNumId="255" w15:restartNumberingAfterBreak="0">
    <w:nsid w:val="2A9A0C23"/>
    <w:multiLevelType w:val="hybridMultilevel"/>
    <w:tmpl w:val="87DA39C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6" w15:restartNumberingAfterBreak="0">
    <w:nsid w:val="2AC454D0"/>
    <w:multiLevelType w:val="hybridMultilevel"/>
    <w:tmpl w:val="D1F2D384"/>
    <w:lvl w:ilvl="0" w:tplc="08090019">
      <w:start w:val="1"/>
      <w:numFmt w:val="lowerLetter"/>
      <w:lvlText w:val="%1."/>
      <w:lvlJc w:val="left"/>
      <w:pPr>
        <w:ind w:left="1429" w:hanging="360"/>
      </w:pPr>
    </w:lvl>
    <w:lvl w:ilvl="1" w:tplc="0809001B">
      <w:start w:val="1"/>
      <w:numFmt w:val="lowerRoman"/>
      <w:lvlText w:val="%2."/>
      <w:lvlJc w:val="righ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57" w15:restartNumberingAfterBreak="0">
    <w:nsid w:val="2ADA1D71"/>
    <w:multiLevelType w:val="hybridMultilevel"/>
    <w:tmpl w:val="815041A8"/>
    <w:lvl w:ilvl="0" w:tplc="21F04AAA">
      <w:start w:val="1"/>
      <w:numFmt w:val="decimal"/>
      <w:lvlText w:val="%1."/>
      <w:lvlJc w:val="left"/>
      <w:pPr>
        <w:ind w:left="720" w:hanging="360"/>
      </w:pPr>
    </w:lvl>
    <w:lvl w:ilvl="1" w:tplc="D532679E">
      <w:start w:val="1"/>
      <w:numFmt w:val="lowerLetter"/>
      <w:lvlText w:val="%2."/>
      <w:lvlJc w:val="left"/>
      <w:pPr>
        <w:ind w:left="1440" w:hanging="360"/>
      </w:pPr>
    </w:lvl>
    <w:lvl w:ilvl="2" w:tplc="77489986">
      <w:start w:val="1"/>
      <w:numFmt w:val="lowerRoman"/>
      <w:lvlText w:val="%3."/>
      <w:lvlJc w:val="right"/>
      <w:pPr>
        <w:ind w:left="2160" w:hanging="180"/>
      </w:pPr>
    </w:lvl>
    <w:lvl w:ilvl="3" w:tplc="135047BE">
      <w:start w:val="1"/>
      <w:numFmt w:val="decimal"/>
      <w:lvlText w:val="%4."/>
      <w:lvlJc w:val="left"/>
      <w:pPr>
        <w:ind w:left="2880" w:hanging="360"/>
      </w:pPr>
    </w:lvl>
    <w:lvl w:ilvl="4" w:tplc="A41E92C2">
      <w:start w:val="1"/>
      <w:numFmt w:val="lowerLetter"/>
      <w:lvlText w:val="%5."/>
      <w:lvlJc w:val="left"/>
      <w:pPr>
        <w:ind w:left="3600" w:hanging="360"/>
      </w:pPr>
    </w:lvl>
    <w:lvl w:ilvl="5" w:tplc="A740CBAE">
      <w:start w:val="1"/>
      <w:numFmt w:val="lowerRoman"/>
      <w:lvlText w:val="%6."/>
      <w:lvlJc w:val="right"/>
      <w:pPr>
        <w:ind w:left="4320" w:hanging="180"/>
      </w:pPr>
    </w:lvl>
    <w:lvl w:ilvl="6" w:tplc="7D628940">
      <w:start w:val="1"/>
      <w:numFmt w:val="decimal"/>
      <w:lvlText w:val="%7."/>
      <w:lvlJc w:val="left"/>
      <w:pPr>
        <w:ind w:left="5040" w:hanging="360"/>
      </w:pPr>
    </w:lvl>
    <w:lvl w:ilvl="7" w:tplc="E91C5DFE">
      <w:start w:val="1"/>
      <w:numFmt w:val="lowerLetter"/>
      <w:lvlText w:val="%8."/>
      <w:lvlJc w:val="left"/>
      <w:pPr>
        <w:ind w:left="5760" w:hanging="360"/>
      </w:pPr>
    </w:lvl>
    <w:lvl w:ilvl="8" w:tplc="6ECE6982">
      <w:start w:val="1"/>
      <w:numFmt w:val="lowerRoman"/>
      <w:lvlText w:val="%9."/>
      <w:lvlJc w:val="right"/>
      <w:pPr>
        <w:ind w:left="6480" w:hanging="180"/>
      </w:pPr>
    </w:lvl>
  </w:abstractNum>
  <w:abstractNum w:abstractNumId="258" w15:restartNumberingAfterBreak="0">
    <w:nsid w:val="2B021AF9"/>
    <w:multiLevelType w:val="hybridMultilevel"/>
    <w:tmpl w:val="E93E7FEC"/>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9" w15:restartNumberingAfterBreak="0">
    <w:nsid w:val="2B0E774A"/>
    <w:multiLevelType w:val="hybridMultilevel"/>
    <w:tmpl w:val="2A78B3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0" w15:restartNumberingAfterBreak="0">
    <w:nsid w:val="2B343659"/>
    <w:multiLevelType w:val="multilevel"/>
    <w:tmpl w:val="4B30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2B3C5D07"/>
    <w:multiLevelType w:val="hybridMultilevel"/>
    <w:tmpl w:val="96BE8BFE"/>
    <w:lvl w:ilvl="0" w:tplc="1809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2" w15:restartNumberingAfterBreak="0">
    <w:nsid w:val="2B4D6ED1"/>
    <w:multiLevelType w:val="multilevel"/>
    <w:tmpl w:val="1F30E9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2B9E0268"/>
    <w:multiLevelType w:val="hybridMultilevel"/>
    <w:tmpl w:val="007AB2AA"/>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4" w15:restartNumberingAfterBreak="0">
    <w:nsid w:val="2BA628AA"/>
    <w:multiLevelType w:val="hybridMultilevel"/>
    <w:tmpl w:val="78026892"/>
    <w:lvl w:ilvl="0" w:tplc="6C30E62A">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5" w15:restartNumberingAfterBreak="0">
    <w:nsid w:val="2BC3320C"/>
    <w:multiLevelType w:val="hybridMultilevel"/>
    <w:tmpl w:val="FFFFFFFF"/>
    <w:lvl w:ilvl="0" w:tplc="DDEA078C">
      <w:start w:val="1"/>
      <w:numFmt w:val="bullet"/>
      <w:lvlText w:val=""/>
      <w:lvlJc w:val="left"/>
      <w:pPr>
        <w:ind w:left="720" w:hanging="360"/>
      </w:pPr>
      <w:rPr>
        <w:rFonts w:ascii="Symbol" w:hAnsi="Symbol" w:hint="default"/>
      </w:rPr>
    </w:lvl>
    <w:lvl w:ilvl="1" w:tplc="0A18BACC">
      <w:start w:val="1"/>
      <w:numFmt w:val="bullet"/>
      <w:lvlText w:val="o"/>
      <w:lvlJc w:val="left"/>
      <w:pPr>
        <w:ind w:left="1440" w:hanging="360"/>
      </w:pPr>
      <w:rPr>
        <w:rFonts w:ascii="Courier New" w:hAnsi="Courier New" w:hint="default"/>
      </w:rPr>
    </w:lvl>
    <w:lvl w:ilvl="2" w:tplc="BB9866DE">
      <w:start w:val="1"/>
      <w:numFmt w:val="bullet"/>
      <w:lvlText w:val=""/>
      <w:lvlJc w:val="left"/>
      <w:pPr>
        <w:ind w:left="2160" w:hanging="360"/>
      </w:pPr>
      <w:rPr>
        <w:rFonts w:ascii="Wingdings" w:hAnsi="Wingdings" w:hint="default"/>
      </w:rPr>
    </w:lvl>
    <w:lvl w:ilvl="3" w:tplc="DB2CB6EE">
      <w:start w:val="1"/>
      <w:numFmt w:val="bullet"/>
      <w:lvlText w:val=""/>
      <w:lvlJc w:val="left"/>
      <w:pPr>
        <w:ind w:left="2880" w:hanging="360"/>
      </w:pPr>
      <w:rPr>
        <w:rFonts w:ascii="Symbol" w:hAnsi="Symbol" w:hint="default"/>
      </w:rPr>
    </w:lvl>
    <w:lvl w:ilvl="4" w:tplc="3F18CBF2">
      <w:start w:val="1"/>
      <w:numFmt w:val="bullet"/>
      <w:lvlText w:val="o"/>
      <w:lvlJc w:val="left"/>
      <w:pPr>
        <w:ind w:left="3600" w:hanging="360"/>
      </w:pPr>
      <w:rPr>
        <w:rFonts w:ascii="Courier New" w:hAnsi="Courier New" w:hint="default"/>
      </w:rPr>
    </w:lvl>
    <w:lvl w:ilvl="5" w:tplc="9D08D2A2">
      <w:start w:val="1"/>
      <w:numFmt w:val="bullet"/>
      <w:lvlText w:val=""/>
      <w:lvlJc w:val="left"/>
      <w:pPr>
        <w:ind w:left="4320" w:hanging="360"/>
      </w:pPr>
      <w:rPr>
        <w:rFonts w:ascii="Wingdings" w:hAnsi="Wingdings" w:hint="default"/>
      </w:rPr>
    </w:lvl>
    <w:lvl w:ilvl="6" w:tplc="13748B46">
      <w:start w:val="1"/>
      <w:numFmt w:val="bullet"/>
      <w:lvlText w:val=""/>
      <w:lvlJc w:val="left"/>
      <w:pPr>
        <w:ind w:left="5040" w:hanging="360"/>
      </w:pPr>
      <w:rPr>
        <w:rFonts w:ascii="Symbol" w:hAnsi="Symbol" w:hint="default"/>
      </w:rPr>
    </w:lvl>
    <w:lvl w:ilvl="7" w:tplc="7744FAB2">
      <w:start w:val="1"/>
      <w:numFmt w:val="bullet"/>
      <w:lvlText w:val="o"/>
      <w:lvlJc w:val="left"/>
      <w:pPr>
        <w:ind w:left="5760" w:hanging="360"/>
      </w:pPr>
      <w:rPr>
        <w:rFonts w:ascii="Courier New" w:hAnsi="Courier New" w:hint="default"/>
      </w:rPr>
    </w:lvl>
    <w:lvl w:ilvl="8" w:tplc="2C2A9E20">
      <w:start w:val="1"/>
      <w:numFmt w:val="bullet"/>
      <w:lvlText w:val=""/>
      <w:lvlJc w:val="left"/>
      <w:pPr>
        <w:ind w:left="6480" w:hanging="360"/>
      </w:pPr>
      <w:rPr>
        <w:rFonts w:ascii="Wingdings" w:hAnsi="Wingdings" w:hint="default"/>
      </w:rPr>
    </w:lvl>
  </w:abstractNum>
  <w:abstractNum w:abstractNumId="266" w15:restartNumberingAfterBreak="0">
    <w:nsid w:val="2BD5FA74"/>
    <w:multiLevelType w:val="hybridMultilevel"/>
    <w:tmpl w:val="FFFFFFFF"/>
    <w:lvl w:ilvl="0" w:tplc="6B5AB244">
      <w:start w:val="1"/>
      <w:numFmt w:val="bullet"/>
      <w:lvlText w:val=""/>
      <w:lvlJc w:val="left"/>
      <w:pPr>
        <w:ind w:left="720" w:hanging="360"/>
      </w:pPr>
      <w:rPr>
        <w:rFonts w:ascii="Symbol" w:hAnsi="Symbol" w:hint="default"/>
      </w:rPr>
    </w:lvl>
    <w:lvl w:ilvl="1" w:tplc="813A351E">
      <w:start w:val="1"/>
      <w:numFmt w:val="bullet"/>
      <w:lvlText w:val="o"/>
      <w:lvlJc w:val="left"/>
      <w:pPr>
        <w:ind w:left="1440" w:hanging="360"/>
      </w:pPr>
      <w:rPr>
        <w:rFonts w:ascii="Courier New" w:hAnsi="Courier New" w:hint="default"/>
      </w:rPr>
    </w:lvl>
    <w:lvl w:ilvl="2" w:tplc="2F7E7612">
      <w:start w:val="1"/>
      <w:numFmt w:val="bullet"/>
      <w:lvlText w:val=""/>
      <w:lvlJc w:val="left"/>
      <w:pPr>
        <w:ind w:left="2160" w:hanging="360"/>
      </w:pPr>
      <w:rPr>
        <w:rFonts w:ascii="Wingdings" w:hAnsi="Wingdings" w:hint="default"/>
      </w:rPr>
    </w:lvl>
    <w:lvl w:ilvl="3" w:tplc="05AE497A">
      <w:start w:val="1"/>
      <w:numFmt w:val="bullet"/>
      <w:lvlText w:val=""/>
      <w:lvlJc w:val="left"/>
      <w:pPr>
        <w:ind w:left="2880" w:hanging="360"/>
      </w:pPr>
      <w:rPr>
        <w:rFonts w:ascii="Symbol" w:hAnsi="Symbol" w:hint="default"/>
      </w:rPr>
    </w:lvl>
    <w:lvl w:ilvl="4" w:tplc="3CA01868">
      <w:start w:val="1"/>
      <w:numFmt w:val="bullet"/>
      <w:lvlText w:val="o"/>
      <w:lvlJc w:val="left"/>
      <w:pPr>
        <w:ind w:left="3600" w:hanging="360"/>
      </w:pPr>
      <w:rPr>
        <w:rFonts w:ascii="Courier New" w:hAnsi="Courier New" w:hint="default"/>
      </w:rPr>
    </w:lvl>
    <w:lvl w:ilvl="5" w:tplc="9D48394E">
      <w:start w:val="1"/>
      <w:numFmt w:val="bullet"/>
      <w:lvlText w:val=""/>
      <w:lvlJc w:val="left"/>
      <w:pPr>
        <w:ind w:left="4320" w:hanging="360"/>
      </w:pPr>
      <w:rPr>
        <w:rFonts w:ascii="Wingdings" w:hAnsi="Wingdings" w:hint="default"/>
      </w:rPr>
    </w:lvl>
    <w:lvl w:ilvl="6" w:tplc="F732EFF2">
      <w:start w:val="1"/>
      <w:numFmt w:val="bullet"/>
      <w:lvlText w:val=""/>
      <w:lvlJc w:val="left"/>
      <w:pPr>
        <w:ind w:left="5040" w:hanging="360"/>
      </w:pPr>
      <w:rPr>
        <w:rFonts w:ascii="Symbol" w:hAnsi="Symbol" w:hint="default"/>
      </w:rPr>
    </w:lvl>
    <w:lvl w:ilvl="7" w:tplc="C23E3C62">
      <w:start w:val="1"/>
      <w:numFmt w:val="bullet"/>
      <w:lvlText w:val="o"/>
      <w:lvlJc w:val="left"/>
      <w:pPr>
        <w:ind w:left="5760" w:hanging="360"/>
      </w:pPr>
      <w:rPr>
        <w:rFonts w:ascii="Courier New" w:hAnsi="Courier New" w:hint="default"/>
      </w:rPr>
    </w:lvl>
    <w:lvl w:ilvl="8" w:tplc="F0EC22D0">
      <w:start w:val="1"/>
      <w:numFmt w:val="bullet"/>
      <w:lvlText w:val=""/>
      <w:lvlJc w:val="left"/>
      <w:pPr>
        <w:ind w:left="6480" w:hanging="360"/>
      </w:pPr>
      <w:rPr>
        <w:rFonts w:ascii="Wingdings" w:hAnsi="Wingdings" w:hint="default"/>
      </w:rPr>
    </w:lvl>
  </w:abstractNum>
  <w:abstractNum w:abstractNumId="267" w15:restartNumberingAfterBreak="0">
    <w:nsid w:val="2C4C08BD"/>
    <w:multiLevelType w:val="hybridMultilevel"/>
    <w:tmpl w:val="7480B484"/>
    <w:lvl w:ilvl="0" w:tplc="04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8" w15:restartNumberingAfterBreak="0">
    <w:nsid w:val="2C823E9D"/>
    <w:multiLevelType w:val="hybridMultilevel"/>
    <w:tmpl w:val="86587B6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9" w15:restartNumberingAfterBreak="0">
    <w:nsid w:val="2CA45D9E"/>
    <w:multiLevelType w:val="multilevel"/>
    <w:tmpl w:val="9AA4F5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egoe UI" w:hAnsi="Segoe UI" w:hint="default"/>
      </w:rPr>
    </w:lvl>
  </w:abstractNum>
  <w:abstractNum w:abstractNumId="271"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72" w15:restartNumberingAfterBreak="0">
    <w:nsid w:val="2D110E14"/>
    <w:multiLevelType w:val="multilevel"/>
    <w:tmpl w:val="82C2B9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2D14067A"/>
    <w:multiLevelType w:val="hybridMultilevel"/>
    <w:tmpl w:val="325A2B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4" w15:restartNumberingAfterBreak="0">
    <w:nsid w:val="2D7B7DD8"/>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75" w15:restartNumberingAfterBreak="0">
    <w:nsid w:val="2D972AD3"/>
    <w:multiLevelType w:val="hybridMultilevel"/>
    <w:tmpl w:val="5CC689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2E360B7E"/>
    <w:multiLevelType w:val="hybridMultilevel"/>
    <w:tmpl w:val="2356F73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2E385B4E"/>
    <w:multiLevelType w:val="multilevel"/>
    <w:tmpl w:val="091A8B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2E7F064A"/>
    <w:multiLevelType w:val="hybridMultilevel"/>
    <w:tmpl w:val="0C5A429A"/>
    <w:lvl w:ilvl="0" w:tplc="319233EA">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9" w15:restartNumberingAfterBreak="0">
    <w:nsid w:val="2EA12BC2"/>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2EB252F5"/>
    <w:multiLevelType w:val="hybridMultilevel"/>
    <w:tmpl w:val="FFFFFFFF"/>
    <w:lvl w:ilvl="0" w:tplc="907EAF6A">
      <w:start w:val="1"/>
      <w:numFmt w:val="bullet"/>
      <w:lvlText w:val=""/>
      <w:lvlJc w:val="left"/>
      <w:pPr>
        <w:ind w:left="360" w:hanging="360"/>
      </w:pPr>
      <w:rPr>
        <w:rFonts w:ascii="Segoe UI" w:hAnsi="Segoe UI" w:hint="default"/>
      </w:rPr>
    </w:lvl>
    <w:lvl w:ilvl="1" w:tplc="101C44C6">
      <w:start w:val="1"/>
      <w:numFmt w:val="bullet"/>
      <w:lvlText w:val="o"/>
      <w:lvlJc w:val="left"/>
      <w:pPr>
        <w:ind w:left="1080" w:hanging="360"/>
      </w:pPr>
      <w:rPr>
        <w:rFonts w:ascii="Courier New" w:hAnsi="Courier New" w:hint="default"/>
      </w:rPr>
    </w:lvl>
    <w:lvl w:ilvl="2" w:tplc="BC9A14D4">
      <w:start w:val="1"/>
      <w:numFmt w:val="bullet"/>
      <w:lvlText w:val=""/>
      <w:lvlJc w:val="left"/>
      <w:pPr>
        <w:ind w:left="1800" w:hanging="360"/>
      </w:pPr>
      <w:rPr>
        <w:rFonts w:ascii="Cambria Math" w:hAnsi="Cambria Math" w:hint="default"/>
      </w:rPr>
    </w:lvl>
    <w:lvl w:ilvl="3" w:tplc="70BEC26C">
      <w:start w:val="1"/>
      <w:numFmt w:val="bullet"/>
      <w:lvlText w:val=""/>
      <w:lvlJc w:val="left"/>
      <w:pPr>
        <w:ind w:left="2520" w:hanging="360"/>
      </w:pPr>
      <w:rPr>
        <w:rFonts w:ascii="Segoe UI" w:hAnsi="Segoe UI" w:hint="default"/>
      </w:rPr>
    </w:lvl>
    <w:lvl w:ilvl="4" w:tplc="6430196C">
      <w:start w:val="1"/>
      <w:numFmt w:val="bullet"/>
      <w:lvlText w:val="o"/>
      <w:lvlJc w:val="left"/>
      <w:pPr>
        <w:ind w:left="3240" w:hanging="360"/>
      </w:pPr>
      <w:rPr>
        <w:rFonts w:ascii="Courier New" w:hAnsi="Courier New" w:hint="default"/>
      </w:rPr>
    </w:lvl>
    <w:lvl w:ilvl="5" w:tplc="A67C6C4E">
      <w:start w:val="1"/>
      <w:numFmt w:val="bullet"/>
      <w:lvlText w:val=""/>
      <w:lvlJc w:val="left"/>
      <w:pPr>
        <w:ind w:left="3960" w:hanging="360"/>
      </w:pPr>
      <w:rPr>
        <w:rFonts w:ascii="Cambria Math" w:hAnsi="Cambria Math" w:hint="default"/>
      </w:rPr>
    </w:lvl>
    <w:lvl w:ilvl="6" w:tplc="4A26018E">
      <w:start w:val="1"/>
      <w:numFmt w:val="bullet"/>
      <w:lvlText w:val=""/>
      <w:lvlJc w:val="left"/>
      <w:pPr>
        <w:ind w:left="4680" w:hanging="360"/>
      </w:pPr>
      <w:rPr>
        <w:rFonts w:ascii="Segoe UI" w:hAnsi="Segoe UI" w:hint="default"/>
      </w:rPr>
    </w:lvl>
    <w:lvl w:ilvl="7" w:tplc="EE000560">
      <w:start w:val="1"/>
      <w:numFmt w:val="bullet"/>
      <w:lvlText w:val="o"/>
      <w:lvlJc w:val="left"/>
      <w:pPr>
        <w:ind w:left="5400" w:hanging="360"/>
      </w:pPr>
      <w:rPr>
        <w:rFonts w:ascii="Courier New" w:hAnsi="Courier New" w:hint="default"/>
      </w:rPr>
    </w:lvl>
    <w:lvl w:ilvl="8" w:tplc="A8D0CD18">
      <w:start w:val="1"/>
      <w:numFmt w:val="bullet"/>
      <w:lvlText w:val=""/>
      <w:lvlJc w:val="left"/>
      <w:pPr>
        <w:ind w:left="6120" w:hanging="360"/>
      </w:pPr>
      <w:rPr>
        <w:rFonts w:ascii="Cambria Math" w:hAnsi="Cambria Math" w:hint="default"/>
      </w:rPr>
    </w:lvl>
  </w:abstractNum>
  <w:abstractNum w:abstractNumId="281" w15:restartNumberingAfterBreak="0">
    <w:nsid w:val="2F772BFB"/>
    <w:multiLevelType w:val="hybridMultilevel"/>
    <w:tmpl w:val="444A1582"/>
    <w:lvl w:ilvl="0" w:tplc="1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2" w15:restartNumberingAfterBreak="0">
    <w:nsid w:val="2FFCFBEF"/>
    <w:multiLevelType w:val="hybridMultilevel"/>
    <w:tmpl w:val="FFFFFFFF"/>
    <w:lvl w:ilvl="0" w:tplc="D77C4466">
      <w:start w:val="3"/>
      <w:numFmt w:val="decimal"/>
      <w:lvlText w:val="%1."/>
      <w:lvlJc w:val="left"/>
      <w:pPr>
        <w:ind w:left="720" w:hanging="360"/>
      </w:pPr>
    </w:lvl>
    <w:lvl w:ilvl="1" w:tplc="724C664E">
      <w:start w:val="1"/>
      <w:numFmt w:val="lowerLetter"/>
      <w:lvlText w:val="%2."/>
      <w:lvlJc w:val="left"/>
      <w:pPr>
        <w:ind w:left="1440" w:hanging="360"/>
      </w:pPr>
    </w:lvl>
    <w:lvl w:ilvl="2" w:tplc="398AC8FC">
      <w:start w:val="1"/>
      <w:numFmt w:val="lowerRoman"/>
      <w:lvlText w:val="%3."/>
      <w:lvlJc w:val="right"/>
      <w:pPr>
        <w:ind w:left="2160" w:hanging="180"/>
      </w:pPr>
    </w:lvl>
    <w:lvl w:ilvl="3" w:tplc="E3A004D6">
      <w:start w:val="1"/>
      <w:numFmt w:val="decimal"/>
      <w:lvlText w:val="%4."/>
      <w:lvlJc w:val="left"/>
      <w:pPr>
        <w:ind w:left="2880" w:hanging="360"/>
      </w:pPr>
    </w:lvl>
    <w:lvl w:ilvl="4" w:tplc="06C4D0E4">
      <w:start w:val="1"/>
      <w:numFmt w:val="lowerLetter"/>
      <w:lvlText w:val="%5."/>
      <w:lvlJc w:val="left"/>
      <w:pPr>
        <w:ind w:left="3600" w:hanging="360"/>
      </w:pPr>
    </w:lvl>
    <w:lvl w:ilvl="5" w:tplc="3E92EF9E">
      <w:start w:val="1"/>
      <w:numFmt w:val="lowerRoman"/>
      <w:lvlText w:val="%6."/>
      <w:lvlJc w:val="right"/>
      <w:pPr>
        <w:ind w:left="4320" w:hanging="180"/>
      </w:pPr>
    </w:lvl>
    <w:lvl w:ilvl="6" w:tplc="4300E2FE">
      <w:start w:val="1"/>
      <w:numFmt w:val="decimal"/>
      <w:lvlText w:val="%7."/>
      <w:lvlJc w:val="left"/>
      <w:pPr>
        <w:ind w:left="5040" w:hanging="360"/>
      </w:pPr>
    </w:lvl>
    <w:lvl w:ilvl="7" w:tplc="AD96C5B0">
      <w:start w:val="1"/>
      <w:numFmt w:val="lowerLetter"/>
      <w:lvlText w:val="%8."/>
      <w:lvlJc w:val="left"/>
      <w:pPr>
        <w:ind w:left="5760" w:hanging="360"/>
      </w:pPr>
    </w:lvl>
    <w:lvl w:ilvl="8" w:tplc="9082452A">
      <w:start w:val="1"/>
      <w:numFmt w:val="lowerRoman"/>
      <w:lvlText w:val="%9."/>
      <w:lvlJc w:val="right"/>
      <w:pPr>
        <w:ind w:left="6480" w:hanging="180"/>
      </w:pPr>
    </w:lvl>
  </w:abstractNum>
  <w:abstractNum w:abstractNumId="283" w15:restartNumberingAfterBreak="0">
    <w:nsid w:val="30015E7C"/>
    <w:multiLevelType w:val="hybridMultilevel"/>
    <w:tmpl w:val="FF2E4128"/>
    <w:lvl w:ilvl="0" w:tplc="B65EBF50">
      <w:start w:val="1"/>
      <w:numFmt w:val="lowerRoman"/>
      <w:lvlText w:val="%1."/>
      <w:lvlJc w:val="righ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84" w15:restartNumberingAfterBreak="0">
    <w:nsid w:val="3048683C"/>
    <w:multiLevelType w:val="multilevel"/>
    <w:tmpl w:val="CAB28D5A"/>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5" w15:restartNumberingAfterBreak="0">
    <w:nsid w:val="304E5DDC"/>
    <w:multiLevelType w:val="hybridMultilevel"/>
    <w:tmpl w:val="101696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6" w15:restartNumberingAfterBreak="0">
    <w:nsid w:val="304FA210"/>
    <w:multiLevelType w:val="hybridMultilevel"/>
    <w:tmpl w:val="FFFFFFFF"/>
    <w:lvl w:ilvl="0" w:tplc="C70A81A6">
      <w:start w:val="1"/>
      <w:numFmt w:val="bullet"/>
      <w:lvlText w:val=""/>
      <w:lvlJc w:val="left"/>
      <w:pPr>
        <w:ind w:left="720" w:hanging="360"/>
      </w:pPr>
      <w:rPr>
        <w:rFonts w:ascii="Symbol" w:hAnsi="Symbol" w:hint="default"/>
      </w:rPr>
    </w:lvl>
    <w:lvl w:ilvl="1" w:tplc="482E9D7E">
      <w:start w:val="1"/>
      <w:numFmt w:val="bullet"/>
      <w:lvlText w:val="o"/>
      <w:lvlJc w:val="left"/>
      <w:pPr>
        <w:ind w:left="1440" w:hanging="360"/>
      </w:pPr>
      <w:rPr>
        <w:rFonts w:ascii="Courier New" w:hAnsi="Courier New" w:hint="default"/>
      </w:rPr>
    </w:lvl>
    <w:lvl w:ilvl="2" w:tplc="71402B10">
      <w:start w:val="1"/>
      <w:numFmt w:val="bullet"/>
      <w:lvlText w:val="§"/>
      <w:lvlJc w:val="left"/>
      <w:pPr>
        <w:ind w:left="2160" w:hanging="360"/>
      </w:pPr>
      <w:rPr>
        <w:rFonts w:ascii="Wingdings" w:hAnsi="Wingdings" w:hint="default"/>
      </w:rPr>
    </w:lvl>
    <w:lvl w:ilvl="3" w:tplc="75048432">
      <w:start w:val="1"/>
      <w:numFmt w:val="bullet"/>
      <w:lvlText w:val=""/>
      <w:lvlJc w:val="left"/>
      <w:pPr>
        <w:ind w:left="2880" w:hanging="360"/>
      </w:pPr>
      <w:rPr>
        <w:rFonts w:ascii="Symbol" w:hAnsi="Symbol" w:hint="default"/>
      </w:rPr>
    </w:lvl>
    <w:lvl w:ilvl="4" w:tplc="F2FA0850">
      <w:start w:val="1"/>
      <w:numFmt w:val="bullet"/>
      <w:lvlText w:val="o"/>
      <w:lvlJc w:val="left"/>
      <w:pPr>
        <w:ind w:left="3600" w:hanging="360"/>
      </w:pPr>
      <w:rPr>
        <w:rFonts w:ascii="Courier New" w:hAnsi="Courier New" w:hint="default"/>
      </w:rPr>
    </w:lvl>
    <w:lvl w:ilvl="5" w:tplc="5DD0825A">
      <w:start w:val="1"/>
      <w:numFmt w:val="bullet"/>
      <w:lvlText w:val=""/>
      <w:lvlJc w:val="left"/>
      <w:pPr>
        <w:ind w:left="4320" w:hanging="360"/>
      </w:pPr>
      <w:rPr>
        <w:rFonts w:ascii="Wingdings" w:hAnsi="Wingdings" w:hint="default"/>
      </w:rPr>
    </w:lvl>
    <w:lvl w:ilvl="6" w:tplc="46E06694">
      <w:start w:val="1"/>
      <w:numFmt w:val="bullet"/>
      <w:lvlText w:val=""/>
      <w:lvlJc w:val="left"/>
      <w:pPr>
        <w:ind w:left="5040" w:hanging="360"/>
      </w:pPr>
      <w:rPr>
        <w:rFonts w:ascii="Symbol" w:hAnsi="Symbol" w:hint="default"/>
      </w:rPr>
    </w:lvl>
    <w:lvl w:ilvl="7" w:tplc="9AB22FF6">
      <w:start w:val="1"/>
      <w:numFmt w:val="bullet"/>
      <w:lvlText w:val="o"/>
      <w:lvlJc w:val="left"/>
      <w:pPr>
        <w:ind w:left="5760" w:hanging="360"/>
      </w:pPr>
      <w:rPr>
        <w:rFonts w:ascii="Courier New" w:hAnsi="Courier New" w:hint="default"/>
      </w:rPr>
    </w:lvl>
    <w:lvl w:ilvl="8" w:tplc="73EE16F4">
      <w:start w:val="1"/>
      <w:numFmt w:val="bullet"/>
      <w:lvlText w:val=""/>
      <w:lvlJc w:val="left"/>
      <w:pPr>
        <w:ind w:left="6480" w:hanging="360"/>
      </w:pPr>
      <w:rPr>
        <w:rFonts w:ascii="Wingdings" w:hAnsi="Wingdings" w:hint="default"/>
      </w:rPr>
    </w:lvl>
  </w:abstractNum>
  <w:abstractNum w:abstractNumId="287" w15:restartNumberingAfterBreak="0">
    <w:nsid w:val="307C33EB"/>
    <w:multiLevelType w:val="multilevel"/>
    <w:tmpl w:val="E6E6AE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308B074D"/>
    <w:multiLevelType w:val="hybridMultilevel"/>
    <w:tmpl w:val="7DF0D0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44E692C8">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309CA0E6"/>
    <w:multiLevelType w:val="hybridMultilevel"/>
    <w:tmpl w:val="23BAF4A0"/>
    <w:lvl w:ilvl="0" w:tplc="60B80966">
      <w:start w:val="1"/>
      <w:numFmt w:val="upperLetter"/>
      <w:lvlText w:val="%1)"/>
      <w:lvlJc w:val="left"/>
      <w:pPr>
        <w:ind w:left="720" w:hanging="360"/>
      </w:pPr>
    </w:lvl>
    <w:lvl w:ilvl="1" w:tplc="DBB2F3CC">
      <w:start w:val="1"/>
      <w:numFmt w:val="lowerLetter"/>
      <w:lvlText w:val="%2."/>
      <w:lvlJc w:val="left"/>
      <w:pPr>
        <w:ind w:left="1440" w:hanging="360"/>
      </w:pPr>
    </w:lvl>
    <w:lvl w:ilvl="2" w:tplc="8CEEFB62">
      <w:start w:val="1"/>
      <w:numFmt w:val="lowerRoman"/>
      <w:lvlText w:val="%3."/>
      <w:lvlJc w:val="right"/>
      <w:pPr>
        <w:ind w:left="2160" w:hanging="180"/>
      </w:pPr>
    </w:lvl>
    <w:lvl w:ilvl="3" w:tplc="867E0526">
      <w:start w:val="1"/>
      <w:numFmt w:val="decimal"/>
      <w:lvlText w:val="%4."/>
      <w:lvlJc w:val="left"/>
      <w:pPr>
        <w:ind w:left="2880" w:hanging="360"/>
      </w:pPr>
    </w:lvl>
    <w:lvl w:ilvl="4" w:tplc="C7BACF64">
      <w:start w:val="1"/>
      <w:numFmt w:val="lowerLetter"/>
      <w:lvlText w:val="%5."/>
      <w:lvlJc w:val="left"/>
      <w:pPr>
        <w:ind w:left="3600" w:hanging="360"/>
      </w:pPr>
    </w:lvl>
    <w:lvl w:ilvl="5" w:tplc="DB1C43F8">
      <w:start w:val="1"/>
      <w:numFmt w:val="lowerRoman"/>
      <w:lvlText w:val="%6."/>
      <w:lvlJc w:val="right"/>
      <w:pPr>
        <w:ind w:left="4320" w:hanging="180"/>
      </w:pPr>
    </w:lvl>
    <w:lvl w:ilvl="6" w:tplc="14CA0F08">
      <w:start w:val="1"/>
      <w:numFmt w:val="decimal"/>
      <w:lvlText w:val="%7."/>
      <w:lvlJc w:val="left"/>
      <w:pPr>
        <w:ind w:left="5040" w:hanging="360"/>
      </w:pPr>
    </w:lvl>
    <w:lvl w:ilvl="7" w:tplc="2102D450">
      <w:start w:val="1"/>
      <w:numFmt w:val="lowerLetter"/>
      <w:lvlText w:val="%8."/>
      <w:lvlJc w:val="left"/>
      <w:pPr>
        <w:ind w:left="5760" w:hanging="360"/>
      </w:pPr>
    </w:lvl>
    <w:lvl w:ilvl="8" w:tplc="81B4515C">
      <w:start w:val="1"/>
      <w:numFmt w:val="lowerRoman"/>
      <w:lvlText w:val="%9."/>
      <w:lvlJc w:val="right"/>
      <w:pPr>
        <w:ind w:left="6480" w:hanging="180"/>
      </w:pPr>
    </w:lvl>
  </w:abstractNum>
  <w:abstractNum w:abstractNumId="290" w15:restartNumberingAfterBreak="0">
    <w:nsid w:val="30BD0203"/>
    <w:multiLevelType w:val="multilevel"/>
    <w:tmpl w:val="CAB28D5A"/>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1" w15:restartNumberingAfterBreak="0">
    <w:nsid w:val="30CA7D8F"/>
    <w:multiLevelType w:val="hybridMultilevel"/>
    <w:tmpl w:val="34A6287E"/>
    <w:lvl w:ilvl="0" w:tplc="B65EBF50">
      <w:start w:val="1"/>
      <w:numFmt w:val="low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2" w15:restartNumberingAfterBreak="0">
    <w:nsid w:val="30EA3C3E"/>
    <w:multiLevelType w:val="hybridMultilevel"/>
    <w:tmpl w:val="AA728CC0"/>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93" w15:restartNumberingAfterBreak="0">
    <w:nsid w:val="30FC79B2"/>
    <w:multiLevelType w:val="hybridMultilevel"/>
    <w:tmpl w:val="9670F2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4" w15:restartNumberingAfterBreak="0">
    <w:nsid w:val="3118171D"/>
    <w:multiLevelType w:val="hybridMultilevel"/>
    <w:tmpl w:val="D6C8395E"/>
    <w:lvl w:ilvl="0" w:tplc="B65EBF50">
      <w:start w:val="1"/>
      <w:numFmt w:val="lowerRoman"/>
      <w:lvlText w:val="%1."/>
      <w:lvlJc w:val="righ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95" w15:restartNumberingAfterBreak="0">
    <w:nsid w:val="311F3EC1"/>
    <w:multiLevelType w:val="hybridMultilevel"/>
    <w:tmpl w:val="49FA748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6" w15:restartNumberingAfterBreak="0">
    <w:nsid w:val="314D1D10"/>
    <w:multiLevelType w:val="multilevel"/>
    <w:tmpl w:val="6EF663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7" w15:restartNumberingAfterBreak="0">
    <w:nsid w:val="31B40937"/>
    <w:multiLevelType w:val="hybridMultilevel"/>
    <w:tmpl w:val="C5A0FD04"/>
    <w:lvl w:ilvl="0" w:tplc="B3B4833A">
      <w:numFmt w:val="bullet"/>
      <w:lvlText w:val="•"/>
      <w:lvlJc w:val="left"/>
      <w:pPr>
        <w:ind w:left="720" w:hanging="360"/>
      </w:pPr>
      <w:rPr>
        <w:rFonts w:asciiTheme="minorHAnsi" w:eastAsiaTheme="minorHAnsi" w:hAnsiTheme="minorHAns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15:restartNumberingAfterBreak="0">
    <w:nsid w:val="31BB13B6"/>
    <w:multiLevelType w:val="hybridMultilevel"/>
    <w:tmpl w:val="48067D6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299" w15:restartNumberingAfterBreak="0">
    <w:nsid w:val="31BED350"/>
    <w:multiLevelType w:val="hybridMultilevel"/>
    <w:tmpl w:val="FFFFFFFF"/>
    <w:lvl w:ilvl="0" w:tplc="812CF33C">
      <w:start w:val="1"/>
      <w:numFmt w:val="bullet"/>
      <w:lvlText w:val="·"/>
      <w:lvlJc w:val="left"/>
      <w:pPr>
        <w:ind w:left="720" w:hanging="360"/>
      </w:pPr>
      <w:rPr>
        <w:rFonts w:ascii="Symbol" w:hAnsi="Symbol" w:hint="default"/>
      </w:rPr>
    </w:lvl>
    <w:lvl w:ilvl="1" w:tplc="0338D63A">
      <w:start w:val="1"/>
      <w:numFmt w:val="bullet"/>
      <w:lvlText w:val="o"/>
      <w:lvlJc w:val="left"/>
      <w:pPr>
        <w:ind w:left="1440" w:hanging="360"/>
      </w:pPr>
      <w:rPr>
        <w:rFonts w:ascii="Courier New" w:hAnsi="Courier New" w:hint="default"/>
      </w:rPr>
    </w:lvl>
    <w:lvl w:ilvl="2" w:tplc="F350098C">
      <w:start w:val="1"/>
      <w:numFmt w:val="bullet"/>
      <w:lvlText w:val=""/>
      <w:lvlJc w:val="left"/>
      <w:pPr>
        <w:ind w:left="2160" w:hanging="360"/>
      </w:pPr>
      <w:rPr>
        <w:rFonts w:ascii="Wingdings" w:hAnsi="Wingdings" w:hint="default"/>
      </w:rPr>
    </w:lvl>
    <w:lvl w:ilvl="3" w:tplc="A8007B1E">
      <w:start w:val="1"/>
      <w:numFmt w:val="bullet"/>
      <w:lvlText w:val=""/>
      <w:lvlJc w:val="left"/>
      <w:pPr>
        <w:ind w:left="2880" w:hanging="360"/>
      </w:pPr>
      <w:rPr>
        <w:rFonts w:ascii="Symbol" w:hAnsi="Symbol" w:hint="default"/>
      </w:rPr>
    </w:lvl>
    <w:lvl w:ilvl="4" w:tplc="C324C494">
      <w:start w:val="1"/>
      <w:numFmt w:val="bullet"/>
      <w:lvlText w:val="o"/>
      <w:lvlJc w:val="left"/>
      <w:pPr>
        <w:ind w:left="3600" w:hanging="360"/>
      </w:pPr>
      <w:rPr>
        <w:rFonts w:ascii="Courier New" w:hAnsi="Courier New" w:hint="default"/>
      </w:rPr>
    </w:lvl>
    <w:lvl w:ilvl="5" w:tplc="FE860BFA">
      <w:start w:val="1"/>
      <w:numFmt w:val="bullet"/>
      <w:lvlText w:val=""/>
      <w:lvlJc w:val="left"/>
      <w:pPr>
        <w:ind w:left="4320" w:hanging="360"/>
      </w:pPr>
      <w:rPr>
        <w:rFonts w:ascii="Wingdings" w:hAnsi="Wingdings" w:hint="default"/>
      </w:rPr>
    </w:lvl>
    <w:lvl w:ilvl="6" w:tplc="E674826A">
      <w:start w:val="1"/>
      <w:numFmt w:val="bullet"/>
      <w:lvlText w:val=""/>
      <w:lvlJc w:val="left"/>
      <w:pPr>
        <w:ind w:left="5040" w:hanging="360"/>
      </w:pPr>
      <w:rPr>
        <w:rFonts w:ascii="Symbol" w:hAnsi="Symbol" w:hint="default"/>
      </w:rPr>
    </w:lvl>
    <w:lvl w:ilvl="7" w:tplc="BCA826D0">
      <w:start w:val="1"/>
      <w:numFmt w:val="bullet"/>
      <w:lvlText w:val="o"/>
      <w:lvlJc w:val="left"/>
      <w:pPr>
        <w:ind w:left="5760" w:hanging="360"/>
      </w:pPr>
      <w:rPr>
        <w:rFonts w:ascii="Courier New" w:hAnsi="Courier New" w:hint="default"/>
      </w:rPr>
    </w:lvl>
    <w:lvl w:ilvl="8" w:tplc="69FA1742">
      <w:start w:val="1"/>
      <w:numFmt w:val="bullet"/>
      <w:lvlText w:val=""/>
      <w:lvlJc w:val="left"/>
      <w:pPr>
        <w:ind w:left="6480" w:hanging="360"/>
      </w:pPr>
      <w:rPr>
        <w:rFonts w:ascii="Wingdings" w:hAnsi="Wingdings" w:hint="default"/>
      </w:rPr>
    </w:lvl>
  </w:abstractNum>
  <w:abstractNum w:abstractNumId="300" w15:restartNumberingAfterBreak="0">
    <w:nsid w:val="31DA452E"/>
    <w:multiLevelType w:val="hybridMultilevel"/>
    <w:tmpl w:val="6F3E401E"/>
    <w:lvl w:ilvl="0" w:tplc="51D84CFA">
      <w:start w:val="1"/>
      <w:numFmt w:val="lowerLetter"/>
      <w:lvlText w:val="%1."/>
      <w:lvlJc w:val="left"/>
      <w:pPr>
        <w:ind w:left="1080" w:hanging="720"/>
      </w:pPr>
      <w:rPr>
        <w:rFonts w:hint="default"/>
      </w:rPr>
    </w:lvl>
    <w:lvl w:ilvl="1" w:tplc="1809001B">
      <w:start w:val="1"/>
      <w:numFmt w:val="lowerRoman"/>
      <w:lvlText w:val="%2."/>
      <w:lvlJc w:val="righ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1" w15:restartNumberingAfterBreak="0">
    <w:nsid w:val="3200F11E"/>
    <w:multiLevelType w:val="multilevel"/>
    <w:tmpl w:val="FFFFFFFF"/>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15:restartNumberingAfterBreak="0">
    <w:nsid w:val="32285587"/>
    <w:multiLevelType w:val="hybridMultilevel"/>
    <w:tmpl w:val="BBFC40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3" w15:restartNumberingAfterBreak="0">
    <w:nsid w:val="322A42BD"/>
    <w:multiLevelType w:val="hybridMultilevel"/>
    <w:tmpl w:val="23D63790"/>
    <w:lvl w:ilvl="0" w:tplc="08090001">
      <w:start w:val="1"/>
      <w:numFmt w:val="bullet"/>
      <w:lvlText w:val=""/>
      <w:lvlJc w:val="left"/>
      <w:pPr>
        <w:ind w:left="1429" w:hanging="360"/>
      </w:pPr>
      <w:rPr>
        <w:rFonts w:ascii="Segoe UI" w:hAnsi="Segoe U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4" w15:restartNumberingAfterBreak="0">
    <w:nsid w:val="3253FB27"/>
    <w:multiLevelType w:val="hybridMultilevel"/>
    <w:tmpl w:val="FFFFFFFF"/>
    <w:lvl w:ilvl="0" w:tplc="20526A0E">
      <w:start w:val="1"/>
      <w:numFmt w:val="upperRoman"/>
      <w:lvlText w:val="%1)"/>
      <w:lvlJc w:val="left"/>
      <w:pPr>
        <w:ind w:left="720" w:hanging="360"/>
      </w:pPr>
    </w:lvl>
    <w:lvl w:ilvl="1" w:tplc="10DC3BEE">
      <w:start w:val="1"/>
      <w:numFmt w:val="lowerLetter"/>
      <w:lvlText w:val="%2."/>
      <w:lvlJc w:val="left"/>
      <w:pPr>
        <w:ind w:left="1440" w:hanging="360"/>
      </w:pPr>
    </w:lvl>
    <w:lvl w:ilvl="2" w:tplc="74A44CF2">
      <w:start w:val="1"/>
      <w:numFmt w:val="lowerRoman"/>
      <w:lvlText w:val="%3."/>
      <w:lvlJc w:val="right"/>
      <w:pPr>
        <w:ind w:left="2160" w:hanging="180"/>
      </w:pPr>
    </w:lvl>
    <w:lvl w:ilvl="3" w:tplc="512A145C">
      <w:start w:val="1"/>
      <w:numFmt w:val="decimal"/>
      <w:lvlText w:val="%4."/>
      <w:lvlJc w:val="left"/>
      <w:pPr>
        <w:ind w:left="2880" w:hanging="360"/>
      </w:pPr>
    </w:lvl>
    <w:lvl w:ilvl="4" w:tplc="8674757E">
      <w:start w:val="1"/>
      <w:numFmt w:val="lowerLetter"/>
      <w:lvlText w:val="%5."/>
      <w:lvlJc w:val="left"/>
      <w:pPr>
        <w:ind w:left="3600" w:hanging="360"/>
      </w:pPr>
    </w:lvl>
    <w:lvl w:ilvl="5" w:tplc="FE5EDFBA">
      <w:start w:val="1"/>
      <w:numFmt w:val="lowerRoman"/>
      <w:lvlText w:val="%6."/>
      <w:lvlJc w:val="right"/>
      <w:pPr>
        <w:ind w:left="4320" w:hanging="180"/>
      </w:pPr>
    </w:lvl>
    <w:lvl w:ilvl="6" w:tplc="92A0A77A">
      <w:start w:val="1"/>
      <w:numFmt w:val="decimal"/>
      <w:lvlText w:val="%7."/>
      <w:lvlJc w:val="left"/>
      <w:pPr>
        <w:ind w:left="5040" w:hanging="360"/>
      </w:pPr>
    </w:lvl>
    <w:lvl w:ilvl="7" w:tplc="7F3C85FE">
      <w:start w:val="1"/>
      <w:numFmt w:val="lowerLetter"/>
      <w:lvlText w:val="%8."/>
      <w:lvlJc w:val="left"/>
      <w:pPr>
        <w:ind w:left="5760" w:hanging="360"/>
      </w:pPr>
    </w:lvl>
    <w:lvl w:ilvl="8" w:tplc="EB70CAE0">
      <w:start w:val="1"/>
      <w:numFmt w:val="lowerRoman"/>
      <w:lvlText w:val="%9."/>
      <w:lvlJc w:val="right"/>
      <w:pPr>
        <w:ind w:left="6480" w:hanging="180"/>
      </w:pPr>
    </w:lvl>
  </w:abstractNum>
  <w:abstractNum w:abstractNumId="305" w15:restartNumberingAfterBreak="0">
    <w:nsid w:val="32CA2E3B"/>
    <w:multiLevelType w:val="hybridMultilevel"/>
    <w:tmpl w:val="8D2086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6" w15:restartNumberingAfterBreak="0">
    <w:nsid w:val="32DCA173"/>
    <w:multiLevelType w:val="hybridMultilevel"/>
    <w:tmpl w:val="FFFFFFFF"/>
    <w:lvl w:ilvl="0" w:tplc="7AF2FBA6">
      <w:start w:val="1"/>
      <w:numFmt w:val="lowerLetter"/>
      <w:lvlText w:val="%1."/>
      <w:lvlJc w:val="left"/>
      <w:pPr>
        <w:ind w:left="720" w:hanging="360"/>
      </w:pPr>
    </w:lvl>
    <w:lvl w:ilvl="1" w:tplc="A28EC116">
      <w:start w:val="1"/>
      <w:numFmt w:val="lowerLetter"/>
      <w:lvlText w:val="%2."/>
      <w:lvlJc w:val="left"/>
      <w:pPr>
        <w:ind w:left="1440" w:hanging="360"/>
      </w:pPr>
    </w:lvl>
    <w:lvl w:ilvl="2" w:tplc="F1888C7E">
      <w:start w:val="1"/>
      <w:numFmt w:val="lowerRoman"/>
      <w:lvlText w:val="%3."/>
      <w:lvlJc w:val="right"/>
      <w:pPr>
        <w:ind w:left="2160" w:hanging="180"/>
      </w:pPr>
    </w:lvl>
    <w:lvl w:ilvl="3" w:tplc="4FA04712">
      <w:start w:val="1"/>
      <w:numFmt w:val="decimal"/>
      <w:lvlText w:val="%4."/>
      <w:lvlJc w:val="left"/>
      <w:pPr>
        <w:ind w:left="2880" w:hanging="360"/>
      </w:pPr>
    </w:lvl>
    <w:lvl w:ilvl="4" w:tplc="DC2055D2">
      <w:start w:val="1"/>
      <w:numFmt w:val="lowerLetter"/>
      <w:lvlText w:val="%5."/>
      <w:lvlJc w:val="left"/>
      <w:pPr>
        <w:ind w:left="3600" w:hanging="360"/>
      </w:pPr>
    </w:lvl>
    <w:lvl w:ilvl="5" w:tplc="E8A463B2">
      <w:start w:val="1"/>
      <w:numFmt w:val="lowerRoman"/>
      <w:lvlText w:val="%6."/>
      <w:lvlJc w:val="right"/>
      <w:pPr>
        <w:ind w:left="4320" w:hanging="180"/>
      </w:pPr>
    </w:lvl>
    <w:lvl w:ilvl="6" w:tplc="FFEA5414">
      <w:start w:val="1"/>
      <w:numFmt w:val="decimal"/>
      <w:lvlText w:val="%7."/>
      <w:lvlJc w:val="left"/>
      <w:pPr>
        <w:ind w:left="5040" w:hanging="360"/>
      </w:pPr>
    </w:lvl>
    <w:lvl w:ilvl="7" w:tplc="14F44666">
      <w:start w:val="1"/>
      <w:numFmt w:val="lowerLetter"/>
      <w:lvlText w:val="%8."/>
      <w:lvlJc w:val="left"/>
      <w:pPr>
        <w:ind w:left="5760" w:hanging="360"/>
      </w:pPr>
    </w:lvl>
    <w:lvl w:ilvl="8" w:tplc="3454D21A">
      <w:start w:val="1"/>
      <w:numFmt w:val="lowerRoman"/>
      <w:lvlText w:val="%9."/>
      <w:lvlJc w:val="right"/>
      <w:pPr>
        <w:ind w:left="6480" w:hanging="180"/>
      </w:pPr>
    </w:lvl>
  </w:abstractNum>
  <w:abstractNum w:abstractNumId="307" w15:restartNumberingAfterBreak="0">
    <w:nsid w:val="333CC5C6"/>
    <w:multiLevelType w:val="hybridMultilevel"/>
    <w:tmpl w:val="FFFFFFFF"/>
    <w:lvl w:ilvl="0" w:tplc="FFFFFFFF">
      <w:start w:val="1"/>
      <w:numFmt w:val="decimal"/>
      <w:lvlText w:val="%1."/>
      <w:lvlJc w:val="left"/>
      <w:pPr>
        <w:ind w:left="720" w:hanging="360"/>
      </w:pPr>
    </w:lvl>
    <w:lvl w:ilvl="1" w:tplc="4F26DE7E">
      <w:start w:val="1"/>
      <w:numFmt w:val="lowerLetter"/>
      <w:lvlText w:val="%2."/>
      <w:lvlJc w:val="left"/>
      <w:pPr>
        <w:ind w:left="1440" w:hanging="360"/>
      </w:pPr>
    </w:lvl>
    <w:lvl w:ilvl="2" w:tplc="162CFF2E">
      <w:start w:val="1"/>
      <w:numFmt w:val="lowerRoman"/>
      <w:lvlText w:val="%3."/>
      <w:lvlJc w:val="right"/>
      <w:pPr>
        <w:ind w:left="2160" w:hanging="180"/>
      </w:pPr>
    </w:lvl>
    <w:lvl w:ilvl="3" w:tplc="0BA869FC">
      <w:start w:val="1"/>
      <w:numFmt w:val="decimal"/>
      <w:lvlText w:val="%4."/>
      <w:lvlJc w:val="left"/>
      <w:pPr>
        <w:ind w:left="2880" w:hanging="360"/>
      </w:pPr>
    </w:lvl>
    <w:lvl w:ilvl="4" w:tplc="4488A29A">
      <w:start w:val="1"/>
      <w:numFmt w:val="lowerLetter"/>
      <w:lvlText w:val="%5."/>
      <w:lvlJc w:val="left"/>
      <w:pPr>
        <w:ind w:left="3600" w:hanging="360"/>
      </w:pPr>
    </w:lvl>
    <w:lvl w:ilvl="5" w:tplc="6B2E62AC">
      <w:start w:val="1"/>
      <w:numFmt w:val="lowerRoman"/>
      <w:lvlText w:val="%6."/>
      <w:lvlJc w:val="right"/>
      <w:pPr>
        <w:ind w:left="4320" w:hanging="180"/>
      </w:pPr>
    </w:lvl>
    <w:lvl w:ilvl="6" w:tplc="B8760CE0">
      <w:start w:val="1"/>
      <w:numFmt w:val="decimal"/>
      <w:lvlText w:val="%7."/>
      <w:lvlJc w:val="left"/>
      <w:pPr>
        <w:ind w:left="5040" w:hanging="360"/>
      </w:pPr>
    </w:lvl>
    <w:lvl w:ilvl="7" w:tplc="7214CE82">
      <w:start w:val="1"/>
      <w:numFmt w:val="lowerLetter"/>
      <w:lvlText w:val="%8."/>
      <w:lvlJc w:val="left"/>
      <w:pPr>
        <w:ind w:left="5760" w:hanging="360"/>
      </w:pPr>
    </w:lvl>
    <w:lvl w:ilvl="8" w:tplc="E280C41C">
      <w:start w:val="1"/>
      <w:numFmt w:val="lowerRoman"/>
      <w:lvlText w:val="%9."/>
      <w:lvlJc w:val="right"/>
      <w:pPr>
        <w:ind w:left="6480" w:hanging="180"/>
      </w:pPr>
    </w:lvl>
  </w:abstractNum>
  <w:abstractNum w:abstractNumId="308" w15:restartNumberingAfterBreak="0">
    <w:nsid w:val="3354496A"/>
    <w:multiLevelType w:val="hybridMultilevel"/>
    <w:tmpl w:val="FFFFFFFF"/>
    <w:lvl w:ilvl="0" w:tplc="36801E02">
      <w:start w:val="1"/>
      <w:numFmt w:val="bullet"/>
      <w:lvlText w:val=""/>
      <w:lvlJc w:val="left"/>
      <w:pPr>
        <w:ind w:left="720" w:hanging="360"/>
      </w:pPr>
      <w:rPr>
        <w:rFonts w:ascii="Symbol" w:hAnsi="Symbol" w:hint="default"/>
      </w:rPr>
    </w:lvl>
    <w:lvl w:ilvl="1" w:tplc="8E1C7002">
      <w:start w:val="1"/>
      <w:numFmt w:val="bullet"/>
      <w:lvlText w:val="o"/>
      <w:lvlJc w:val="left"/>
      <w:pPr>
        <w:ind w:left="1440" w:hanging="360"/>
      </w:pPr>
      <w:rPr>
        <w:rFonts w:ascii="Courier New" w:hAnsi="Courier New" w:hint="default"/>
      </w:rPr>
    </w:lvl>
    <w:lvl w:ilvl="2" w:tplc="6ACEC22E">
      <w:start w:val="1"/>
      <w:numFmt w:val="bullet"/>
      <w:lvlText w:val="§"/>
      <w:lvlJc w:val="left"/>
      <w:pPr>
        <w:ind w:left="2160" w:hanging="360"/>
      </w:pPr>
      <w:rPr>
        <w:rFonts w:ascii="Wingdings" w:hAnsi="Wingdings" w:hint="default"/>
      </w:rPr>
    </w:lvl>
    <w:lvl w:ilvl="3" w:tplc="1BBAF388">
      <w:start w:val="1"/>
      <w:numFmt w:val="bullet"/>
      <w:lvlText w:val=""/>
      <w:lvlJc w:val="left"/>
      <w:pPr>
        <w:ind w:left="2880" w:hanging="360"/>
      </w:pPr>
      <w:rPr>
        <w:rFonts w:ascii="Symbol" w:hAnsi="Symbol" w:hint="default"/>
      </w:rPr>
    </w:lvl>
    <w:lvl w:ilvl="4" w:tplc="603075C2">
      <w:start w:val="1"/>
      <w:numFmt w:val="bullet"/>
      <w:lvlText w:val="o"/>
      <w:lvlJc w:val="left"/>
      <w:pPr>
        <w:ind w:left="3600" w:hanging="360"/>
      </w:pPr>
      <w:rPr>
        <w:rFonts w:ascii="Courier New" w:hAnsi="Courier New" w:hint="default"/>
      </w:rPr>
    </w:lvl>
    <w:lvl w:ilvl="5" w:tplc="21F28180">
      <w:start w:val="1"/>
      <w:numFmt w:val="bullet"/>
      <w:lvlText w:val=""/>
      <w:lvlJc w:val="left"/>
      <w:pPr>
        <w:ind w:left="4320" w:hanging="360"/>
      </w:pPr>
      <w:rPr>
        <w:rFonts w:ascii="Wingdings" w:hAnsi="Wingdings" w:hint="default"/>
      </w:rPr>
    </w:lvl>
    <w:lvl w:ilvl="6" w:tplc="7C961C80">
      <w:start w:val="1"/>
      <w:numFmt w:val="bullet"/>
      <w:lvlText w:val=""/>
      <w:lvlJc w:val="left"/>
      <w:pPr>
        <w:ind w:left="5040" w:hanging="360"/>
      </w:pPr>
      <w:rPr>
        <w:rFonts w:ascii="Symbol" w:hAnsi="Symbol" w:hint="default"/>
      </w:rPr>
    </w:lvl>
    <w:lvl w:ilvl="7" w:tplc="E25A3C70">
      <w:start w:val="1"/>
      <w:numFmt w:val="bullet"/>
      <w:lvlText w:val="o"/>
      <w:lvlJc w:val="left"/>
      <w:pPr>
        <w:ind w:left="5760" w:hanging="360"/>
      </w:pPr>
      <w:rPr>
        <w:rFonts w:ascii="Courier New" w:hAnsi="Courier New" w:hint="default"/>
      </w:rPr>
    </w:lvl>
    <w:lvl w:ilvl="8" w:tplc="10B6648C">
      <w:start w:val="1"/>
      <w:numFmt w:val="bullet"/>
      <w:lvlText w:val=""/>
      <w:lvlJc w:val="left"/>
      <w:pPr>
        <w:ind w:left="6480" w:hanging="360"/>
      </w:pPr>
      <w:rPr>
        <w:rFonts w:ascii="Wingdings" w:hAnsi="Wingdings" w:hint="default"/>
      </w:rPr>
    </w:lvl>
  </w:abstractNum>
  <w:abstractNum w:abstractNumId="309" w15:restartNumberingAfterBreak="0">
    <w:nsid w:val="3393A513"/>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15:restartNumberingAfterBreak="0">
    <w:nsid w:val="33E63B41"/>
    <w:multiLevelType w:val="hybridMultilevel"/>
    <w:tmpl w:val="D05616C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34532AF3"/>
    <w:multiLevelType w:val="hybridMultilevel"/>
    <w:tmpl w:val="74C62D90"/>
    <w:lvl w:ilvl="0" w:tplc="3A342B12">
      <w:start w:val="1"/>
      <w:numFmt w:val="decimal"/>
      <w:lvlText w:val="%1)"/>
      <w:lvlJc w:val="left"/>
      <w:pPr>
        <w:ind w:left="720" w:hanging="360"/>
      </w:pPr>
    </w:lvl>
    <w:lvl w:ilvl="1" w:tplc="BEB49D8E">
      <w:start w:val="1"/>
      <w:numFmt w:val="lowerLetter"/>
      <w:lvlText w:val="%2."/>
      <w:lvlJc w:val="left"/>
      <w:pPr>
        <w:ind w:left="1440" w:hanging="360"/>
      </w:pPr>
    </w:lvl>
    <w:lvl w:ilvl="2" w:tplc="000AF8E2">
      <w:start w:val="1"/>
      <w:numFmt w:val="lowerRoman"/>
      <w:lvlText w:val="%3."/>
      <w:lvlJc w:val="right"/>
      <w:pPr>
        <w:ind w:left="2160" w:hanging="180"/>
      </w:pPr>
    </w:lvl>
    <w:lvl w:ilvl="3" w:tplc="7FFA0D30">
      <w:start w:val="1"/>
      <w:numFmt w:val="decimal"/>
      <w:lvlText w:val="%4."/>
      <w:lvlJc w:val="left"/>
      <w:pPr>
        <w:ind w:left="2880" w:hanging="360"/>
      </w:pPr>
    </w:lvl>
    <w:lvl w:ilvl="4" w:tplc="25A0DA3A">
      <w:start w:val="1"/>
      <w:numFmt w:val="lowerLetter"/>
      <w:lvlText w:val="%5."/>
      <w:lvlJc w:val="left"/>
      <w:pPr>
        <w:ind w:left="3600" w:hanging="360"/>
      </w:pPr>
    </w:lvl>
    <w:lvl w:ilvl="5" w:tplc="A5C279E6">
      <w:start w:val="1"/>
      <w:numFmt w:val="lowerRoman"/>
      <w:lvlText w:val="%6."/>
      <w:lvlJc w:val="right"/>
      <w:pPr>
        <w:ind w:left="4320" w:hanging="180"/>
      </w:pPr>
    </w:lvl>
    <w:lvl w:ilvl="6" w:tplc="DC96F7E4">
      <w:start w:val="1"/>
      <w:numFmt w:val="decimal"/>
      <w:lvlText w:val="%7."/>
      <w:lvlJc w:val="left"/>
      <w:pPr>
        <w:ind w:left="5040" w:hanging="360"/>
      </w:pPr>
    </w:lvl>
    <w:lvl w:ilvl="7" w:tplc="AFE444BE">
      <w:start w:val="1"/>
      <w:numFmt w:val="lowerLetter"/>
      <w:lvlText w:val="%8."/>
      <w:lvlJc w:val="left"/>
      <w:pPr>
        <w:ind w:left="5760" w:hanging="360"/>
      </w:pPr>
    </w:lvl>
    <w:lvl w:ilvl="8" w:tplc="8356F8A8">
      <w:start w:val="1"/>
      <w:numFmt w:val="lowerRoman"/>
      <w:lvlText w:val="%9."/>
      <w:lvlJc w:val="right"/>
      <w:pPr>
        <w:ind w:left="6480" w:hanging="180"/>
      </w:pPr>
    </w:lvl>
  </w:abstractNum>
  <w:abstractNum w:abstractNumId="312" w15:restartNumberingAfterBreak="0">
    <w:nsid w:val="345B50B2"/>
    <w:multiLevelType w:val="multilevel"/>
    <w:tmpl w:val="2B18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34B25819"/>
    <w:multiLevelType w:val="hybridMultilevel"/>
    <w:tmpl w:val="0ED07DF8"/>
    <w:lvl w:ilvl="0" w:tplc="64966EAA">
      <w:start w:val="7"/>
      <w:numFmt w:val="lowerRoman"/>
      <w:lvlText w:val="%1."/>
      <w:lvlJc w:val="righ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4" w15:restartNumberingAfterBreak="0">
    <w:nsid w:val="34B83759"/>
    <w:multiLevelType w:val="hybridMultilevel"/>
    <w:tmpl w:val="582E430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5" w15:restartNumberingAfterBreak="0">
    <w:nsid w:val="34CC36E5"/>
    <w:multiLevelType w:val="hybridMultilevel"/>
    <w:tmpl w:val="C70CC2D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16" w15:restartNumberingAfterBreak="0">
    <w:nsid w:val="35205951"/>
    <w:multiLevelType w:val="hybridMultilevel"/>
    <w:tmpl w:val="96969A3A"/>
    <w:lvl w:ilvl="0" w:tplc="C3365FD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7" w15:restartNumberingAfterBreak="0">
    <w:nsid w:val="352B0090"/>
    <w:multiLevelType w:val="hybridMultilevel"/>
    <w:tmpl w:val="6A280A2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8" w15:restartNumberingAfterBreak="0">
    <w:nsid w:val="35345A99"/>
    <w:multiLevelType w:val="hybridMultilevel"/>
    <w:tmpl w:val="CCAC888C"/>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319" w15:restartNumberingAfterBreak="0">
    <w:nsid w:val="3553699C"/>
    <w:multiLevelType w:val="hybridMultilevel"/>
    <w:tmpl w:val="B24C8E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0" w15:restartNumberingAfterBreak="0">
    <w:nsid w:val="355491D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1" w15:restartNumberingAfterBreak="0">
    <w:nsid w:val="35B64F34"/>
    <w:multiLevelType w:val="hybridMultilevel"/>
    <w:tmpl w:val="B9AC749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322" w15:restartNumberingAfterBreak="0">
    <w:nsid w:val="35C809AF"/>
    <w:multiLevelType w:val="multilevel"/>
    <w:tmpl w:val="59CC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35CD5B1A"/>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3646F29F"/>
    <w:multiLevelType w:val="hybridMultilevel"/>
    <w:tmpl w:val="52748D8C"/>
    <w:lvl w:ilvl="0" w:tplc="A3380B94">
      <w:start w:val="1"/>
      <w:numFmt w:val="bullet"/>
      <w:lvlText w:val=""/>
      <w:lvlJc w:val="left"/>
      <w:pPr>
        <w:ind w:left="720" w:hanging="360"/>
      </w:pPr>
      <w:rPr>
        <w:rFonts w:ascii="Symbol" w:hAnsi="Symbol" w:hint="default"/>
      </w:rPr>
    </w:lvl>
    <w:lvl w:ilvl="1" w:tplc="74EC271C">
      <w:start w:val="1"/>
      <w:numFmt w:val="bullet"/>
      <w:lvlText w:val="o"/>
      <w:lvlJc w:val="left"/>
      <w:pPr>
        <w:ind w:left="1440" w:hanging="360"/>
      </w:pPr>
      <w:rPr>
        <w:rFonts w:ascii="Courier New" w:hAnsi="Courier New" w:hint="default"/>
      </w:rPr>
    </w:lvl>
    <w:lvl w:ilvl="2" w:tplc="D34A3C98">
      <w:start w:val="1"/>
      <w:numFmt w:val="bullet"/>
      <w:lvlText w:val=""/>
      <w:lvlJc w:val="left"/>
      <w:pPr>
        <w:ind w:left="2160" w:hanging="360"/>
      </w:pPr>
      <w:rPr>
        <w:rFonts w:ascii="Wingdings" w:hAnsi="Wingdings" w:hint="default"/>
      </w:rPr>
    </w:lvl>
    <w:lvl w:ilvl="3" w:tplc="E9D40826">
      <w:start w:val="1"/>
      <w:numFmt w:val="bullet"/>
      <w:lvlText w:val=""/>
      <w:lvlJc w:val="left"/>
      <w:pPr>
        <w:ind w:left="2880" w:hanging="360"/>
      </w:pPr>
      <w:rPr>
        <w:rFonts w:ascii="Symbol" w:hAnsi="Symbol" w:hint="default"/>
      </w:rPr>
    </w:lvl>
    <w:lvl w:ilvl="4" w:tplc="EF0E7D06">
      <w:start w:val="1"/>
      <w:numFmt w:val="bullet"/>
      <w:lvlText w:val="o"/>
      <w:lvlJc w:val="left"/>
      <w:pPr>
        <w:ind w:left="3600" w:hanging="360"/>
      </w:pPr>
      <w:rPr>
        <w:rFonts w:ascii="Courier New" w:hAnsi="Courier New" w:hint="default"/>
      </w:rPr>
    </w:lvl>
    <w:lvl w:ilvl="5" w:tplc="ADA4D712">
      <w:start w:val="1"/>
      <w:numFmt w:val="bullet"/>
      <w:lvlText w:val=""/>
      <w:lvlJc w:val="left"/>
      <w:pPr>
        <w:ind w:left="4320" w:hanging="360"/>
      </w:pPr>
      <w:rPr>
        <w:rFonts w:ascii="Wingdings" w:hAnsi="Wingdings" w:hint="default"/>
      </w:rPr>
    </w:lvl>
    <w:lvl w:ilvl="6" w:tplc="4BF0BFAA">
      <w:start w:val="1"/>
      <w:numFmt w:val="bullet"/>
      <w:lvlText w:val=""/>
      <w:lvlJc w:val="left"/>
      <w:pPr>
        <w:ind w:left="5040" w:hanging="360"/>
      </w:pPr>
      <w:rPr>
        <w:rFonts w:ascii="Symbol" w:hAnsi="Symbol" w:hint="default"/>
      </w:rPr>
    </w:lvl>
    <w:lvl w:ilvl="7" w:tplc="694E5F88">
      <w:start w:val="1"/>
      <w:numFmt w:val="bullet"/>
      <w:lvlText w:val="o"/>
      <w:lvlJc w:val="left"/>
      <w:pPr>
        <w:ind w:left="5760" w:hanging="360"/>
      </w:pPr>
      <w:rPr>
        <w:rFonts w:ascii="Courier New" w:hAnsi="Courier New" w:hint="default"/>
      </w:rPr>
    </w:lvl>
    <w:lvl w:ilvl="8" w:tplc="3DA202B6">
      <w:start w:val="1"/>
      <w:numFmt w:val="bullet"/>
      <w:lvlText w:val=""/>
      <w:lvlJc w:val="left"/>
      <w:pPr>
        <w:ind w:left="6480" w:hanging="360"/>
      </w:pPr>
      <w:rPr>
        <w:rFonts w:ascii="Wingdings" w:hAnsi="Wingdings" w:hint="default"/>
      </w:rPr>
    </w:lvl>
  </w:abstractNum>
  <w:abstractNum w:abstractNumId="325" w15:restartNumberingAfterBreak="0">
    <w:nsid w:val="36C86235"/>
    <w:multiLevelType w:val="hybridMultilevel"/>
    <w:tmpl w:val="FFFFFFFF"/>
    <w:lvl w:ilvl="0" w:tplc="7CEE343C">
      <w:start w:val="1"/>
      <w:numFmt w:val="decimal"/>
      <w:lvlText w:val="%1."/>
      <w:lvlJc w:val="left"/>
      <w:pPr>
        <w:ind w:left="720" w:hanging="360"/>
      </w:pPr>
    </w:lvl>
    <w:lvl w:ilvl="1" w:tplc="36F49550">
      <w:start w:val="1"/>
      <w:numFmt w:val="lowerLetter"/>
      <w:lvlText w:val="%2."/>
      <w:lvlJc w:val="left"/>
      <w:pPr>
        <w:ind w:left="1440" w:hanging="360"/>
      </w:pPr>
    </w:lvl>
    <w:lvl w:ilvl="2" w:tplc="B8F2CB70">
      <w:start w:val="1"/>
      <w:numFmt w:val="lowerRoman"/>
      <w:lvlText w:val="%3."/>
      <w:lvlJc w:val="right"/>
      <w:pPr>
        <w:ind w:left="2160" w:hanging="180"/>
      </w:pPr>
    </w:lvl>
    <w:lvl w:ilvl="3" w:tplc="04207E44">
      <w:start w:val="1"/>
      <w:numFmt w:val="decimal"/>
      <w:lvlText w:val="%4."/>
      <w:lvlJc w:val="left"/>
      <w:pPr>
        <w:ind w:left="2880" w:hanging="360"/>
      </w:pPr>
    </w:lvl>
    <w:lvl w:ilvl="4" w:tplc="98F691CE">
      <w:start w:val="1"/>
      <w:numFmt w:val="lowerLetter"/>
      <w:lvlText w:val="%5."/>
      <w:lvlJc w:val="left"/>
      <w:pPr>
        <w:ind w:left="3600" w:hanging="360"/>
      </w:pPr>
    </w:lvl>
    <w:lvl w:ilvl="5" w:tplc="26EA54D2">
      <w:start w:val="1"/>
      <w:numFmt w:val="lowerRoman"/>
      <w:lvlText w:val="%6."/>
      <w:lvlJc w:val="right"/>
      <w:pPr>
        <w:ind w:left="4320" w:hanging="180"/>
      </w:pPr>
    </w:lvl>
    <w:lvl w:ilvl="6" w:tplc="5428F120">
      <w:start w:val="1"/>
      <w:numFmt w:val="decimal"/>
      <w:lvlText w:val="%7."/>
      <w:lvlJc w:val="left"/>
      <w:pPr>
        <w:ind w:left="5040" w:hanging="360"/>
      </w:pPr>
    </w:lvl>
    <w:lvl w:ilvl="7" w:tplc="E25C7460">
      <w:start w:val="1"/>
      <w:numFmt w:val="lowerLetter"/>
      <w:lvlText w:val="%8."/>
      <w:lvlJc w:val="left"/>
      <w:pPr>
        <w:ind w:left="5760" w:hanging="360"/>
      </w:pPr>
    </w:lvl>
    <w:lvl w:ilvl="8" w:tplc="0CB86F56">
      <w:start w:val="1"/>
      <w:numFmt w:val="lowerRoman"/>
      <w:lvlText w:val="%9."/>
      <w:lvlJc w:val="right"/>
      <w:pPr>
        <w:ind w:left="6480" w:hanging="180"/>
      </w:pPr>
    </w:lvl>
  </w:abstractNum>
  <w:abstractNum w:abstractNumId="326" w15:restartNumberingAfterBreak="0">
    <w:nsid w:val="37253B71"/>
    <w:multiLevelType w:val="hybridMultilevel"/>
    <w:tmpl w:val="8E2815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37557CCC"/>
    <w:multiLevelType w:val="hybridMultilevel"/>
    <w:tmpl w:val="F43AF28E"/>
    <w:lvl w:ilvl="0" w:tplc="0C0A0001">
      <w:start w:val="1"/>
      <w:numFmt w:val="bullet"/>
      <w:lvlText w:val=""/>
      <w:lvlJc w:val="left"/>
      <w:pPr>
        <w:ind w:left="720" w:hanging="360"/>
      </w:pPr>
      <w:rPr>
        <w:rFonts w:ascii="Segoe UI" w:hAnsi="Segoe U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Cambria Math" w:hAnsi="Cambria Math" w:hint="default"/>
      </w:rPr>
    </w:lvl>
    <w:lvl w:ilvl="3" w:tplc="0C0A0001" w:tentative="1">
      <w:start w:val="1"/>
      <w:numFmt w:val="bullet"/>
      <w:lvlText w:val=""/>
      <w:lvlJc w:val="left"/>
      <w:pPr>
        <w:ind w:left="2880" w:hanging="360"/>
      </w:pPr>
      <w:rPr>
        <w:rFonts w:ascii="Segoe UI" w:hAnsi="Segoe U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Cambria Math" w:hAnsi="Cambria Math" w:hint="default"/>
      </w:rPr>
    </w:lvl>
    <w:lvl w:ilvl="6" w:tplc="0C0A0001" w:tentative="1">
      <w:start w:val="1"/>
      <w:numFmt w:val="bullet"/>
      <w:lvlText w:val=""/>
      <w:lvlJc w:val="left"/>
      <w:pPr>
        <w:ind w:left="5040" w:hanging="360"/>
      </w:pPr>
      <w:rPr>
        <w:rFonts w:ascii="Segoe UI" w:hAnsi="Segoe UI"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Cambria Math" w:hAnsi="Cambria Math" w:hint="default"/>
      </w:rPr>
    </w:lvl>
  </w:abstractNum>
  <w:abstractNum w:abstractNumId="328" w15:restartNumberingAfterBreak="0">
    <w:nsid w:val="3758C3CB"/>
    <w:multiLevelType w:val="hybridMultilevel"/>
    <w:tmpl w:val="4DFC13A4"/>
    <w:lvl w:ilvl="0" w:tplc="BA84E760">
      <w:start w:val="1"/>
      <w:numFmt w:val="bullet"/>
      <w:lvlText w:val=""/>
      <w:lvlJc w:val="left"/>
      <w:pPr>
        <w:ind w:left="1080" w:hanging="360"/>
      </w:pPr>
      <w:rPr>
        <w:rFonts w:ascii="Symbol" w:hAnsi="Symbol" w:hint="default"/>
      </w:rPr>
    </w:lvl>
    <w:lvl w:ilvl="1" w:tplc="ED1A8E8E">
      <w:start w:val="1"/>
      <w:numFmt w:val="bullet"/>
      <w:lvlText w:val="o"/>
      <w:lvlJc w:val="left"/>
      <w:pPr>
        <w:ind w:left="1800" w:hanging="360"/>
      </w:pPr>
      <w:rPr>
        <w:rFonts w:ascii="Courier New" w:hAnsi="Courier New" w:hint="default"/>
      </w:rPr>
    </w:lvl>
    <w:lvl w:ilvl="2" w:tplc="67B85CAA">
      <w:start w:val="1"/>
      <w:numFmt w:val="bullet"/>
      <w:lvlText w:val=""/>
      <w:lvlJc w:val="left"/>
      <w:pPr>
        <w:ind w:left="2520" w:hanging="360"/>
      </w:pPr>
      <w:rPr>
        <w:rFonts w:ascii="Wingdings" w:hAnsi="Wingdings" w:hint="default"/>
      </w:rPr>
    </w:lvl>
    <w:lvl w:ilvl="3" w:tplc="39DE89E6">
      <w:start w:val="1"/>
      <w:numFmt w:val="bullet"/>
      <w:lvlText w:val=""/>
      <w:lvlJc w:val="left"/>
      <w:pPr>
        <w:ind w:left="3240" w:hanging="360"/>
      </w:pPr>
      <w:rPr>
        <w:rFonts w:ascii="Symbol" w:hAnsi="Symbol" w:hint="default"/>
      </w:rPr>
    </w:lvl>
    <w:lvl w:ilvl="4" w:tplc="D560473C">
      <w:start w:val="1"/>
      <w:numFmt w:val="bullet"/>
      <w:lvlText w:val="o"/>
      <w:lvlJc w:val="left"/>
      <w:pPr>
        <w:ind w:left="3960" w:hanging="360"/>
      </w:pPr>
      <w:rPr>
        <w:rFonts w:ascii="Courier New" w:hAnsi="Courier New" w:hint="default"/>
      </w:rPr>
    </w:lvl>
    <w:lvl w:ilvl="5" w:tplc="5ACE0484">
      <w:start w:val="1"/>
      <w:numFmt w:val="bullet"/>
      <w:lvlText w:val=""/>
      <w:lvlJc w:val="left"/>
      <w:pPr>
        <w:ind w:left="4680" w:hanging="360"/>
      </w:pPr>
      <w:rPr>
        <w:rFonts w:ascii="Wingdings" w:hAnsi="Wingdings" w:hint="default"/>
      </w:rPr>
    </w:lvl>
    <w:lvl w:ilvl="6" w:tplc="8E560066">
      <w:start w:val="1"/>
      <w:numFmt w:val="bullet"/>
      <w:lvlText w:val=""/>
      <w:lvlJc w:val="left"/>
      <w:pPr>
        <w:ind w:left="5400" w:hanging="360"/>
      </w:pPr>
      <w:rPr>
        <w:rFonts w:ascii="Symbol" w:hAnsi="Symbol" w:hint="default"/>
      </w:rPr>
    </w:lvl>
    <w:lvl w:ilvl="7" w:tplc="8D743554">
      <w:start w:val="1"/>
      <w:numFmt w:val="bullet"/>
      <w:lvlText w:val="o"/>
      <w:lvlJc w:val="left"/>
      <w:pPr>
        <w:ind w:left="6120" w:hanging="360"/>
      </w:pPr>
      <w:rPr>
        <w:rFonts w:ascii="Courier New" w:hAnsi="Courier New" w:hint="default"/>
      </w:rPr>
    </w:lvl>
    <w:lvl w:ilvl="8" w:tplc="40A0AD42">
      <w:start w:val="1"/>
      <w:numFmt w:val="bullet"/>
      <w:lvlText w:val=""/>
      <w:lvlJc w:val="left"/>
      <w:pPr>
        <w:ind w:left="6840" w:hanging="360"/>
      </w:pPr>
      <w:rPr>
        <w:rFonts w:ascii="Wingdings" w:hAnsi="Wingdings" w:hint="default"/>
      </w:rPr>
    </w:lvl>
  </w:abstractNum>
  <w:abstractNum w:abstractNumId="329" w15:restartNumberingAfterBreak="0">
    <w:nsid w:val="379E54E2"/>
    <w:multiLevelType w:val="hybridMultilevel"/>
    <w:tmpl w:val="4498E6FC"/>
    <w:lvl w:ilvl="0" w:tplc="FFFFFFFF">
      <w:start w:val="1"/>
      <w:numFmt w:val="bullet"/>
      <w:lvlText w:val="-"/>
      <w:lvlJc w:val="left"/>
      <w:pPr>
        <w:ind w:left="1080" w:hanging="360"/>
      </w:pPr>
      <w:rPr>
        <w:rFonts w:ascii="Cambria" w:hAnsi="Cambria" w:hint="default"/>
        <w:color w:val="7030A0"/>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330" w15:restartNumberingAfterBreak="0">
    <w:nsid w:val="37A0B7A1"/>
    <w:multiLevelType w:val="hybridMultilevel"/>
    <w:tmpl w:val="FFFFFFFF"/>
    <w:lvl w:ilvl="0" w:tplc="278EC38A">
      <w:start w:val="1"/>
      <w:numFmt w:val="bullet"/>
      <w:lvlText w:val=""/>
      <w:lvlJc w:val="left"/>
      <w:pPr>
        <w:ind w:left="720" w:hanging="360"/>
      </w:pPr>
      <w:rPr>
        <w:rFonts w:ascii="Symbol" w:hAnsi="Symbol" w:hint="default"/>
      </w:rPr>
    </w:lvl>
    <w:lvl w:ilvl="1" w:tplc="029A480E">
      <w:start w:val="1"/>
      <w:numFmt w:val="bullet"/>
      <w:lvlText w:val="-"/>
      <w:lvlJc w:val="left"/>
      <w:pPr>
        <w:ind w:left="1440" w:hanging="360"/>
      </w:pPr>
      <w:rPr>
        <w:rFonts w:ascii="Calibri" w:hAnsi="Calibri" w:hint="default"/>
      </w:rPr>
    </w:lvl>
    <w:lvl w:ilvl="2" w:tplc="933E3984">
      <w:start w:val="1"/>
      <w:numFmt w:val="bullet"/>
      <w:lvlText w:val=""/>
      <w:lvlJc w:val="left"/>
      <w:pPr>
        <w:ind w:left="2160" w:hanging="360"/>
      </w:pPr>
      <w:rPr>
        <w:rFonts w:ascii="Wingdings" w:hAnsi="Wingdings" w:hint="default"/>
      </w:rPr>
    </w:lvl>
    <w:lvl w:ilvl="3" w:tplc="EDD814BC">
      <w:start w:val="1"/>
      <w:numFmt w:val="bullet"/>
      <w:lvlText w:val=""/>
      <w:lvlJc w:val="left"/>
      <w:pPr>
        <w:ind w:left="2880" w:hanging="360"/>
      </w:pPr>
      <w:rPr>
        <w:rFonts w:ascii="Symbol" w:hAnsi="Symbol" w:hint="default"/>
      </w:rPr>
    </w:lvl>
    <w:lvl w:ilvl="4" w:tplc="D0C49014">
      <w:start w:val="1"/>
      <w:numFmt w:val="bullet"/>
      <w:lvlText w:val="o"/>
      <w:lvlJc w:val="left"/>
      <w:pPr>
        <w:ind w:left="3600" w:hanging="360"/>
      </w:pPr>
      <w:rPr>
        <w:rFonts w:ascii="Courier New" w:hAnsi="Courier New" w:hint="default"/>
      </w:rPr>
    </w:lvl>
    <w:lvl w:ilvl="5" w:tplc="DCB0D614">
      <w:start w:val="1"/>
      <w:numFmt w:val="bullet"/>
      <w:lvlText w:val=""/>
      <w:lvlJc w:val="left"/>
      <w:pPr>
        <w:ind w:left="4320" w:hanging="360"/>
      </w:pPr>
      <w:rPr>
        <w:rFonts w:ascii="Wingdings" w:hAnsi="Wingdings" w:hint="default"/>
      </w:rPr>
    </w:lvl>
    <w:lvl w:ilvl="6" w:tplc="41D2806C">
      <w:start w:val="1"/>
      <w:numFmt w:val="bullet"/>
      <w:lvlText w:val=""/>
      <w:lvlJc w:val="left"/>
      <w:pPr>
        <w:ind w:left="5040" w:hanging="360"/>
      </w:pPr>
      <w:rPr>
        <w:rFonts w:ascii="Symbol" w:hAnsi="Symbol" w:hint="default"/>
      </w:rPr>
    </w:lvl>
    <w:lvl w:ilvl="7" w:tplc="5680F026">
      <w:start w:val="1"/>
      <w:numFmt w:val="bullet"/>
      <w:lvlText w:val="o"/>
      <w:lvlJc w:val="left"/>
      <w:pPr>
        <w:ind w:left="5760" w:hanging="360"/>
      </w:pPr>
      <w:rPr>
        <w:rFonts w:ascii="Courier New" w:hAnsi="Courier New" w:hint="default"/>
      </w:rPr>
    </w:lvl>
    <w:lvl w:ilvl="8" w:tplc="873C6F26">
      <w:start w:val="1"/>
      <w:numFmt w:val="bullet"/>
      <w:lvlText w:val=""/>
      <w:lvlJc w:val="left"/>
      <w:pPr>
        <w:ind w:left="6480" w:hanging="360"/>
      </w:pPr>
      <w:rPr>
        <w:rFonts w:ascii="Wingdings" w:hAnsi="Wingdings" w:hint="default"/>
      </w:rPr>
    </w:lvl>
  </w:abstractNum>
  <w:abstractNum w:abstractNumId="331" w15:restartNumberingAfterBreak="0">
    <w:nsid w:val="37CA0639"/>
    <w:multiLevelType w:val="hybridMultilevel"/>
    <w:tmpl w:val="E5463E5A"/>
    <w:lvl w:ilvl="0" w:tplc="18090001">
      <w:start w:val="1"/>
      <w:numFmt w:val="bullet"/>
      <w:lvlText w:val=""/>
      <w:lvlJc w:val="left"/>
      <w:pPr>
        <w:ind w:left="19" w:hanging="360"/>
      </w:pPr>
      <w:rPr>
        <w:rFonts w:ascii="Courier New" w:hAnsi="Courier New" w:hint="default"/>
      </w:rPr>
    </w:lvl>
    <w:lvl w:ilvl="1" w:tplc="18090003" w:tentative="1">
      <w:start w:val="1"/>
      <w:numFmt w:val="bullet"/>
      <w:lvlText w:val="o"/>
      <w:lvlJc w:val="left"/>
      <w:pPr>
        <w:ind w:left="739" w:hanging="360"/>
      </w:pPr>
      <w:rPr>
        <w:rFonts w:ascii="Cambria Math" w:hAnsi="Cambria Math" w:cs="Cambria Math" w:hint="default"/>
      </w:rPr>
    </w:lvl>
    <w:lvl w:ilvl="2" w:tplc="18090005" w:tentative="1">
      <w:start w:val="1"/>
      <w:numFmt w:val="bullet"/>
      <w:lvlText w:val=""/>
      <w:lvlJc w:val="left"/>
      <w:pPr>
        <w:ind w:left="1459" w:hanging="360"/>
      </w:pPr>
      <w:rPr>
        <w:rFonts w:ascii="Wingdings" w:hAnsi="Wingdings" w:hint="default"/>
      </w:rPr>
    </w:lvl>
    <w:lvl w:ilvl="3" w:tplc="18090001" w:tentative="1">
      <w:start w:val="1"/>
      <w:numFmt w:val="bullet"/>
      <w:lvlText w:val=""/>
      <w:lvlJc w:val="left"/>
      <w:pPr>
        <w:ind w:left="2179" w:hanging="360"/>
      </w:pPr>
      <w:rPr>
        <w:rFonts w:ascii="Courier New" w:hAnsi="Courier New" w:hint="default"/>
      </w:rPr>
    </w:lvl>
    <w:lvl w:ilvl="4" w:tplc="18090003" w:tentative="1">
      <w:start w:val="1"/>
      <w:numFmt w:val="bullet"/>
      <w:lvlText w:val="o"/>
      <w:lvlJc w:val="left"/>
      <w:pPr>
        <w:ind w:left="2899" w:hanging="360"/>
      </w:pPr>
      <w:rPr>
        <w:rFonts w:ascii="Cambria Math" w:hAnsi="Cambria Math" w:cs="Cambria Math" w:hint="default"/>
      </w:rPr>
    </w:lvl>
    <w:lvl w:ilvl="5" w:tplc="18090005" w:tentative="1">
      <w:start w:val="1"/>
      <w:numFmt w:val="bullet"/>
      <w:lvlText w:val=""/>
      <w:lvlJc w:val="left"/>
      <w:pPr>
        <w:ind w:left="3619" w:hanging="360"/>
      </w:pPr>
      <w:rPr>
        <w:rFonts w:ascii="Wingdings" w:hAnsi="Wingdings" w:hint="default"/>
      </w:rPr>
    </w:lvl>
    <w:lvl w:ilvl="6" w:tplc="18090001" w:tentative="1">
      <w:start w:val="1"/>
      <w:numFmt w:val="bullet"/>
      <w:lvlText w:val=""/>
      <w:lvlJc w:val="left"/>
      <w:pPr>
        <w:ind w:left="4339" w:hanging="360"/>
      </w:pPr>
      <w:rPr>
        <w:rFonts w:ascii="Courier New" w:hAnsi="Courier New" w:hint="default"/>
      </w:rPr>
    </w:lvl>
    <w:lvl w:ilvl="7" w:tplc="18090003" w:tentative="1">
      <w:start w:val="1"/>
      <w:numFmt w:val="bullet"/>
      <w:lvlText w:val="o"/>
      <w:lvlJc w:val="left"/>
      <w:pPr>
        <w:ind w:left="5059" w:hanging="360"/>
      </w:pPr>
      <w:rPr>
        <w:rFonts w:ascii="Cambria Math" w:hAnsi="Cambria Math" w:cs="Cambria Math" w:hint="default"/>
      </w:rPr>
    </w:lvl>
    <w:lvl w:ilvl="8" w:tplc="18090005" w:tentative="1">
      <w:start w:val="1"/>
      <w:numFmt w:val="bullet"/>
      <w:lvlText w:val=""/>
      <w:lvlJc w:val="left"/>
      <w:pPr>
        <w:ind w:left="5779" w:hanging="360"/>
      </w:pPr>
      <w:rPr>
        <w:rFonts w:ascii="Wingdings" w:hAnsi="Wingdings" w:hint="default"/>
      </w:rPr>
    </w:lvl>
  </w:abstractNum>
  <w:abstractNum w:abstractNumId="332" w15:restartNumberingAfterBreak="0">
    <w:nsid w:val="37D9C68C"/>
    <w:multiLevelType w:val="hybridMultilevel"/>
    <w:tmpl w:val="105AAA2C"/>
    <w:lvl w:ilvl="0" w:tplc="FFFFFFFF">
      <w:start w:val="1"/>
      <w:numFmt w:val="bullet"/>
      <w:lvlText w:val=""/>
      <w:lvlJc w:val="left"/>
      <w:pPr>
        <w:ind w:left="720" w:hanging="360"/>
      </w:pPr>
      <w:rPr>
        <w:rFonts w:ascii="Symbol" w:hAnsi="Symbol" w:hint="default"/>
      </w:rPr>
    </w:lvl>
    <w:lvl w:ilvl="1" w:tplc="B1E2B5DA">
      <w:start w:val="1"/>
      <w:numFmt w:val="bullet"/>
      <w:lvlText w:val="o"/>
      <w:lvlJc w:val="left"/>
      <w:pPr>
        <w:ind w:left="1440" w:hanging="360"/>
      </w:pPr>
      <w:rPr>
        <w:rFonts w:ascii="Courier New" w:hAnsi="Courier New" w:hint="default"/>
      </w:rPr>
    </w:lvl>
    <w:lvl w:ilvl="2" w:tplc="192868AE">
      <w:start w:val="1"/>
      <w:numFmt w:val="bullet"/>
      <w:lvlText w:val=""/>
      <w:lvlJc w:val="left"/>
      <w:pPr>
        <w:ind w:left="2160" w:hanging="360"/>
      </w:pPr>
      <w:rPr>
        <w:rFonts w:ascii="Wingdings" w:hAnsi="Wingdings" w:hint="default"/>
      </w:rPr>
    </w:lvl>
    <w:lvl w:ilvl="3" w:tplc="7A8A5DC4">
      <w:start w:val="1"/>
      <w:numFmt w:val="bullet"/>
      <w:lvlText w:val=""/>
      <w:lvlJc w:val="left"/>
      <w:pPr>
        <w:ind w:left="2880" w:hanging="360"/>
      </w:pPr>
      <w:rPr>
        <w:rFonts w:ascii="Symbol" w:hAnsi="Symbol" w:hint="default"/>
      </w:rPr>
    </w:lvl>
    <w:lvl w:ilvl="4" w:tplc="9B1CF73A">
      <w:start w:val="1"/>
      <w:numFmt w:val="bullet"/>
      <w:lvlText w:val="o"/>
      <w:lvlJc w:val="left"/>
      <w:pPr>
        <w:ind w:left="3600" w:hanging="360"/>
      </w:pPr>
      <w:rPr>
        <w:rFonts w:ascii="Courier New" w:hAnsi="Courier New" w:hint="default"/>
      </w:rPr>
    </w:lvl>
    <w:lvl w:ilvl="5" w:tplc="EF148F64">
      <w:start w:val="1"/>
      <w:numFmt w:val="bullet"/>
      <w:lvlText w:val=""/>
      <w:lvlJc w:val="left"/>
      <w:pPr>
        <w:ind w:left="4320" w:hanging="360"/>
      </w:pPr>
      <w:rPr>
        <w:rFonts w:ascii="Wingdings" w:hAnsi="Wingdings" w:hint="default"/>
      </w:rPr>
    </w:lvl>
    <w:lvl w:ilvl="6" w:tplc="68C4BAFE">
      <w:start w:val="1"/>
      <w:numFmt w:val="bullet"/>
      <w:lvlText w:val=""/>
      <w:lvlJc w:val="left"/>
      <w:pPr>
        <w:ind w:left="5040" w:hanging="360"/>
      </w:pPr>
      <w:rPr>
        <w:rFonts w:ascii="Symbol" w:hAnsi="Symbol" w:hint="default"/>
      </w:rPr>
    </w:lvl>
    <w:lvl w:ilvl="7" w:tplc="30B88E74">
      <w:start w:val="1"/>
      <w:numFmt w:val="bullet"/>
      <w:lvlText w:val="o"/>
      <w:lvlJc w:val="left"/>
      <w:pPr>
        <w:ind w:left="5760" w:hanging="360"/>
      </w:pPr>
      <w:rPr>
        <w:rFonts w:ascii="Courier New" w:hAnsi="Courier New" w:hint="default"/>
      </w:rPr>
    </w:lvl>
    <w:lvl w:ilvl="8" w:tplc="7212C15A">
      <w:start w:val="1"/>
      <w:numFmt w:val="bullet"/>
      <w:lvlText w:val=""/>
      <w:lvlJc w:val="left"/>
      <w:pPr>
        <w:ind w:left="6480" w:hanging="360"/>
      </w:pPr>
      <w:rPr>
        <w:rFonts w:ascii="Wingdings" w:hAnsi="Wingdings" w:hint="default"/>
      </w:rPr>
    </w:lvl>
  </w:abstractNum>
  <w:abstractNum w:abstractNumId="333" w15:restartNumberingAfterBreak="0">
    <w:nsid w:val="37F0B873"/>
    <w:multiLevelType w:val="hybridMultilevel"/>
    <w:tmpl w:val="FFFFFFFF"/>
    <w:lvl w:ilvl="0" w:tplc="406024B6">
      <w:start w:val="1"/>
      <w:numFmt w:val="bullet"/>
      <w:lvlText w:val="o"/>
      <w:lvlJc w:val="left"/>
      <w:pPr>
        <w:ind w:left="720" w:hanging="360"/>
      </w:pPr>
      <w:rPr>
        <w:rFonts w:ascii="&quot;Courier New&quot;" w:hAnsi="&quot;Courier New&quot;" w:hint="default"/>
      </w:rPr>
    </w:lvl>
    <w:lvl w:ilvl="1" w:tplc="BFC0AB2E">
      <w:start w:val="1"/>
      <w:numFmt w:val="bullet"/>
      <w:lvlText w:val="o"/>
      <w:lvlJc w:val="left"/>
      <w:pPr>
        <w:ind w:left="1440" w:hanging="360"/>
      </w:pPr>
      <w:rPr>
        <w:rFonts w:ascii="Courier New" w:hAnsi="Courier New" w:hint="default"/>
      </w:rPr>
    </w:lvl>
    <w:lvl w:ilvl="2" w:tplc="785AA948">
      <w:start w:val="1"/>
      <w:numFmt w:val="bullet"/>
      <w:lvlText w:val=""/>
      <w:lvlJc w:val="left"/>
      <w:pPr>
        <w:ind w:left="2160" w:hanging="360"/>
      </w:pPr>
      <w:rPr>
        <w:rFonts w:ascii="Wingdings" w:hAnsi="Wingdings" w:hint="default"/>
      </w:rPr>
    </w:lvl>
    <w:lvl w:ilvl="3" w:tplc="D9D8E0B0">
      <w:start w:val="1"/>
      <w:numFmt w:val="bullet"/>
      <w:lvlText w:val=""/>
      <w:lvlJc w:val="left"/>
      <w:pPr>
        <w:ind w:left="2880" w:hanging="360"/>
      </w:pPr>
      <w:rPr>
        <w:rFonts w:ascii="Symbol" w:hAnsi="Symbol" w:hint="default"/>
      </w:rPr>
    </w:lvl>
    <w:lvl w:ilvl="4" w:tplc="583EAAC0">
      <w:start w:val="1"/>
      <w:numFmt w:val="bullet"/>
      <w:lvlText w:val="o"/>
      <w:lvlJc w:val="left"/>
      <w:pPr>
        <w:ind w:left="3600" w:hanging="360"/>
      </w:pPr>
      <w:rPr>
        <w:rFonts w:ascii="Courier New" w:hAnsi="Courier New" w:hint="default"/>
      </w:rPr>
    </w:lvl>
    <w:lvl w:ilvl="5" w:tplc="F56AA998">
      <w:start w:val="1"/>
      <w:numFmt w:val="bullet"/>
      <w:lvlText w:val=""/>
      <w:lvlJc w:val="left"/>
      <w:pPr>
        <w:ind w:left="4320" w:hanging="360"/>
      </w:pPr>
      <w:rPr>
        <w:rFonts w:ascii="Wingdings" w:hAnsi="Wingdings" w:hint="default"/>
      </w:rPr>
    </w:lvl>
    <w:lvl w:ilvl="6" w:tplc="BFEA29C2">
      <w:start w:val="1"/>
      <w:numFmt w:val="bullet"/>
      <w:lvlText w:val=""/>
      <w:lvlJc w:val="left"/>
      <w:pPr>
        <w:ind w:left="5040" w:hanging="360"/>
      </w:pPr>
      <w:rPr>
        <w:rFonts w:ascii="Symbol" w:hAnsi="Symbol" w:hint="default"/>
      </w:rPr>
    </w:lvl>
    <w:lvl w:ilvl="7" w:tplc="7F765CFE">
      <w:start w:val="1"/>
      <w:numFmt w:val="bullet"/>
      <w:lvlText w:val="o"/>
      <w:lvlJc w:val="left"/>
      <w:pPr>
        <w:ind w:left="5760" w:hanging="360"/>
      </w:pPr>
      <w:rPr>
        <w:rFonts w:ascii="Courier New" w:hAnsi="Courier New" w:hint="default"/>
      </w:rPr>
    </w:lvl>
    <w:lvl w:ilvl="8" w:tplc="0268CD42">
      <w:start w:val="1"/>
      <w:numFmt w:val="bullet"/>
      <w:lvlText w:val=""/>
      <w:lvlJc w:val="left"/>
      <w:pPr>
        <w:ind w:left="6480" w:hanging="360"/>
      </w:pPr>
      <w:rPr>
        <w:rFonts w:ascii="Wingdings" w:hAnsi="Wingdings" w:hint="default"/>
      </w:rPr>
    </w:lvl>
  </w:abstractNum>
  <w:abstractNum w:abstractNumId="334" w15:restartNumberingAfterBreak="0">
    <w:nsid w:val="382356CE"/>
    <w:multiLevelType w:val="hybridMultilevel"/>
    <w:tmpl w:val="87DA39C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5" w15:restartNumberingAfterBreak="0">
    <w:nsid w:val="382521B6"/>
    <w:multiLevelType w:val="multilevel"/>
    <w:tmpl w:val="10E2F84E"/>
    <w:lvl w:ilvl="0">
      <w:start w:val="1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6" w15:restartNumberingAfterBreak="0">
    <w:nsid w:val="382D639E"/>
    <w:multiLevelType w:val="hybridMultilevel"/>
    <w:tmpl w:val="F30240C8"/>
    <w:lvl w:ilvl="0" w:tplc="08090017">
      <w:start w:val="1"/>
      <w:numFmt w:val="lowerLetter"/>
      <w:lvlText w:val="%1)"/>
      <w:lvlJc w:val="left"/>
      <w:pPr>
        <w:ind w:left="720" w:hanging="360"/>
      </w:pPr>
    </w:lvl>
    <w:lvl w:ilvl="1" w:tplc="1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384B3251"/>
    <w:multiLevelType w:val="hybridMultilevel"/>
    <w:tmpl w:val="FFFFFFFF"/>
    <w:lvl w:ilvl="0" w:tplc="77044720">
      <w:start w:val="7"/>
      <w:numFmt w:val="decimal"/>
      <w:lvlText w:val="%1."/>
      <w:lvlJc w:val="left"/>
      <w:pPr>
        <w:ind w:left="720" w:hanging="360"/>
      </w:pPr>
    </w:lvl>
    <w:lvl w:ilvl="1" w:tplc="0F3E2B3A">
      <w:start w:val="1"/>
      <w:numFmt w:val="lowerLetter"/>
      <w:lvlText w:val="%2."/>
      <w:lvlJc w:val="left"/>
      <w:pPr>
        <w:ind w:left="1440" w:hanging="360"/>
      </w:pPr>
    </w:lvl>
    <w:lvl w:ilvl="2" w:tplc="DB8AFC12">
      <w:start w:val="1"/>
      <w:numFmt w:val="lowerRoman"/>
      <w:lvlText w:val="%3."/>
      <w:lvlJc w:val="right"/>
      <w:pPr>
        <w:ind w:left="2160" w:hanging="180"/>
      </w:pPr>
    </w:lvl>
    <w:lvl w:ilvl="3" w:tplc="D15EA9F4">
      <w:start w:val="1"/>
      <w:numFmt w:val="decimal"/>
      <w:lvlText w:val="%4."/>
      <w:lvlJc w:val="left"/>
      <w:pPr>
        <w:ind w:left="2880" w:hanging="360"/>
      </w:pPr>
    </w:lvl>
    <w:lvl w:ilvl="4" w:tplc="9DFEC8E8">
      <w:start w:val="1"/>
      <w:numFmt w:val="lowerLetter"/>
      <w:lvlText w:val="%5."/>
      <w:lvlJc w:val="left"/>
      <w:pPr>
        <w:ind w:left="3600" w:hanging="360"/>
      </w:pPr>
    </w:lvl>
    <w:lvl w:ilvl="5" w:tplc="05FE2D8A">
      <w:start w:val="1"/>
      <w:numFmt w:val="lowerRoman"/>
      <w:lvlText w:val="%6."/>
      <w:lvlJc w:val="right"/>
      <w:pPr>
        <w:ind w:left="4320" w:hanging="180"/>
      </w:pPr>
    </w:lvl>
    <w:lvl w:ilvl="6" w:tplc="7A86DCDC">
      <w:start w:val="1"/>
      <w:numFmt w:val="decimal"/>
      <w:lvlText w:val="%7."/>
      <w:lvlJc w:val="left"/>
      <w:pPr>
        <w:ind w:left="5040" w:hanging="360"/>
      </w:pPr>
    </w:lvl>
    <w:lvl w:ilvl="7" w:tplc="9CAA9070">
      <w:start w:val="1"/>
      <w:numFmt w:val="lowerLetter"/>
      <w:lvlText w:val="%8."/>
      <w:lvlJc w:val="left"/>
      <w:pPr>
        <w:ind w:left="5760" w:hanging="360"/>
      </w:pPr>
    </w:lvl>
    <w:lvl w:ilvl="8" w:tplc="A22611A0">
      <w:start w:val="1"/>
      <w:numFmt w:val="lowerRoman"/>
      <w:lvlText w:val="%9."/>
      <w:lvlJc w:val="right"/>
      <w:pPr>
        <w:ind w:left="6480" w:hanging="180"/>
      </w:pPr>
    </w:lvl>
  </w:abstractNum>
  <w:abstractNum w:abstractNumId="338" w15:restartNumberingAfterBreak="0">
    <w:nsid w:val="38596246"/>
    <w:multiLevelType w:val="hybridMultilevel"/>
    <w:tmpl w:val="D0C6C9E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39" w15:restartNumberingAfterBreak="0">
    <w:nsid w:val="388D8155"/>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0" w15:restartNumberingAfterBreak="0">
    <w:nsid w:val="38AE9E28"/>
    <w:multiLevelType w:val="hybridMultilevel"/>
    <w:tmpl w:val="FFFFFFFF"/>
    <w:lvl w:ilvl="0" w:tplc="6DE69E20">
      <w:start w:val="1"/>
      <w:numFmt w:val="bullet"/>
      <w:lvlText w:val="o"/>
      <w:lvlJc w:val="left"/>
      <w:pPr>
        <w:ind w:left="720" w:hanging="360"/>
      </w:pPr>
      <w:rPr>
        <w:rFonts w:ascii="&quot;Courier New&quot;" w:hAnsi="&quot;Courier New&quot;" w:hint="default"/>
      </w:rPr>
    </w:lvl>
    <w:lvl w:ilvl="1" w:tplc="D8302986">
      <w:start w:val="1"/>
      <w:numFmt w:val="bullet"/>
      <w:lvlText w:val="o"/>
      <w:lvlJc w:val="left"/>
      <w:pPr>
        <w:ind w:left="1440" w:hanging="360"/>
      </w:pPr>
      <w:rPr>
        <w:rFonts w:ascii="Courier New" w:hAnsi="Courier New" w:hint="default"/>
      </w:rPr>
    </w:lvl>
    <w:lvl w:ilvl="2" w:tplc="55D4FF1E">
      <w:start w:val="1"/>
      <w:numFmt w:val="bullet"/>
      <w:lvlText w:val=""/>
      <w:lvlJc w:val="left"/>
      <w:pPr>
        <w:ind w:left="2160" w:hanging="360"/>
      </w:pPr>
      <w:rPr>
        <w:rFonts w:ascii="Wingdings" w:hAnsi="Wingdings" w:hint="default"/>
      </w:rPr>
    </w:lvl>
    <w:lvl w:ilvl="3" w:tplc="B63837BC">
      <w:start w:val="1"/>
      <w:numFmt w:val="bullet"/>
      <w:lvlText w:val=""/>
      <w:lvlJc w:val="left"/>
      <w:pPr>
        <w:ind w:left="2880" w:hanging="360"/>
      </w:pPr>
      <w:rPr>
        <w:rFonts w:ascii="Symbol" w:hAnsi="Symbol" w:hint="default"/>
      </w:rPr>
    </w:lvl>
    <w:lvl w:ilvl="4" w:tplc="A9D039E6">
      <w:start w:val="1"/>
      <w:numFmt w:val="bullet"/>
      <w:lvlText w:val="o"/>
      <w:lvlJc w:val="left"/>
      <w:pPr>
        <w:ind w:left="3600" w:hanging="360"/>
      </w:pPr>
      <w:rPr>
        <w:rFonts w:ascii="Courier New" w:hAnsi="Courier New" w:hint="default"/>
      </w:rPr>
    </w:lvl>
    <w:lvl w:ilvl="5" w:tplc="AA680628">
      <w:start w:val="1"/>
      <w:numFmt w:val="bullet"/>
      <w:lvlText w:val=""/>
      <w:lvlJc w:val="left"/>
      <w:pPr>
        <w:ind w:left="4320" w:hanging="360"/>
      </w:pPr>
      <w:rPr>
        <w:rFonts w:ascii="Wingdings" w:hAnsi="Wingdings" w:hint="default"/>
      </w:rPr>
    </w:lvl>
    <w:lvl w:ilvl="6" w:tplc="AEAC7BCC">
      <w:start w:val="1"/>
      <w:numFmt w:val="bullet"/>
      <w:lvlText w:val=""/>
      <w:lvlJc w:val="left"/>
      <w:pPr>
        <w:ind w:left="5040" w:hanging="360"/>
      </w:pPr>
      <w:rPr>
        <w:rFonts w:ascii="Symbol" w:hAnsi="Symbol" w:hint="default"/>
      </w:rPr>
    </w:lvl>
    <w:lvl w:ilvl="7" w:tplc="D5723520">
      <w:start w:val="1"/>
      <w:numFmt w:val="bullet"/>
      <w:lvlText w:val="o"/>
      <w:lvlJc w:val="left"/>
      <w:pPr>
        <w:ind w:left="5760" w:hanging="360"/>
      </w:pPr>
      <w:rPr>
        <w:rFonts w:ascii="Courier New" w:hAnsi="Courier New" w:hint="default"/>
      </w:rPr>
    </w:lvl>
    <w:lvl w:ilvl="8" w:tplc="5C5EEAA4">
      <w:start w:val="1"/>
      <w:numFmt w:val="bullet"/>
      <w:lvlText w:val=""/>
      <w:lvlJc w:val="left"/>
      <w:pPr>
        <w:ind w:left="6480" w:hanging="360"/>
      </w:pPr>
      <w:rPr>
        <w:rFonts w:ascii="Wingdings" w:hAnsi="Wingdings" w:hint="default"/>
      </w:rPr>
    </w:lvl>
  </w:abstractNum>
  <w:abstractNum w:abstractNumId="341" w15:restartNumberingAfterBreak="0">
    <w:nsid w:val="38CD5C44"/>
    <w:multiLevelType w:val="multilevel"/>
    <w:tmpl w:val="E8C2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93F677D"/>
    <w:multiLevelType w:val="multilevel"/>
    <w:tmpl w:val="C1B85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39A82B28"/>
    <w:multiLevelType w:val="hybridMultilevel"/>
    <w:tmpl w:val="8CF89BE6"/>
    <w:lvl w:ilvl="0" w:tplc="08090017">
      <w:start w:val="1"/>
      <w:numFmt w:val="lowerLetter"/>
      <w:lvlText w:val="%1)"/>
      <w:lvlJc w:val="left"/>
      <w:pPr>
        <w:ind w:left="2704" w:hanging="360"/>
      </w:pPr>
    </w:lvl>
    <w:lvl w:ilvl="1" w:tplc="04090019" w:tentative="1">
      <w:start w:val="1"/>
      <w:numFmt w:val="lowerLetter"/>
      <w:lvlText w:val="%2."/>
      <w:lvlJc w:val="left"/>
      <w:pPr>
        <w:ind w:left="3424" w:hanging="360"/>
      </w:pPr>
    </w:lvl>
    <w:lvl w:ilvl="2" w:tplc="0409001B" w:tentative="1">
      <w:start w:val="1"/>
      <w:numFmt w:val="lowerRoman"/>
      <w:lvlText w:val="%3."/>
      <w:lvlJc w:val="right"/>
      <w:pPr>
        <w:ind w:left="4144" w:hanging="180"/>
      </w:pPr>
    </w:lvl>
    <w:lvl w:ilvl="3" w:tplc="0409000F" w:tentative="1">
      <w:start w:val="1"/>
      <w:numFmt w:val="decimal"/>
      <w:lvlText w:val="%4."/>
      <w:lvlJc w:val="left"/>
      <w:pPr>
        <w:ind w:left="4864" w:hanging="360"/>
      </w:pPr>
    </w:lvl>
    <w:lvl w:ilvl="4" w:tplc="04090019" w:tentative="1">
      <w:start w:val="1"/>
      <w:numFmt w:val="lowerLetter"/>
      <w:lvlText w:val="%5."/>
      <w:lvlJc w:val="left"/>
      <w:pPr>
        <w:ind w:left="5584" w:hanging="360"/>
      </w:pPr>
    </w:lvl>
    <w:lvl w:ilvl="5" w:tplc="0409001B" w:tentative="1">
      <w:start w:val="1"/>
      <w:numFmt w:val="lowerRoman"/>
      <w:lvlText w:val="%6."/>
      <w:lvlJc w:val="right"/>
      <w:pPr>
        <w:ind w:left="6304" w:hanging="180"/>
      </w:pPr>
    </w:lvl>
    <w:lvl w:ilvl="6" w:tplc="0409000F" w:tentative="1">
      <w:start w:val="1"/>
      <w:numFmt w:val="decimal"/>
      <w:lvlText w:val="%7."/>
      <w:lvlJc w:val="left"/>
      <w:pPr>
        <w:ind w:left="7024" w:hanging="360"/>
      </w:pPr>
    </w:lvl>
    <w:lvl w:ilvl="7" w:tplc="04090019" w:tentative="1">
      <w:start w:val="1"/>
      <w:numFmt w:val="lowerLetter"/>
      <w:lvlText w:val="%8."/>
      <w:lvlJc w:val="left"/>
      <w:pPr>
        <w:ind w:left="7744" w:hanging="360"/>
      </w:pPr>
    </w:lvl>
    <w:lvl w:ilvl="8" w:tplc="0409001B" w:tentative="1">
      <w:start w:val="1"/>
      <w:numFmt w:val="lowerRoman"/>
      <w:lvlText w:val="%9."/>
      <w:lvlJc w:val="right"/>
      <w:pPr>
        <w:ind w:left="8464" w:hanging="180"/>
      </w:pPr>
    </w:lvl>
  </w:abstractNum>
  <w:abstractNum w:abstractNumId="344" w15:restartNumberingAfterBreak="0">
    <w:nsid w:val="39B21F2D"/>
    <w:multiLevelType w:val="hybridMultilevel"/>
    <w:tmpl w:val="84460B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5" w15:restartNumberingAfterBreak="0">
    <w:nsid w:val="39D13959"/>
    <w:multiLevelType w:val="hybridMultilevel"/>
    <w:tmpl w:val="8832742C"/>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46" w15:restartNumberingAfterBreak="0">
    <w:nsid w:val="3A050833"/>
    <w:multiLevelType w:val="hybridMultilevel"/>
    <w:tmpl w:val="838AEB1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7" w15:restartNumberingAfterBreak="0">
    <w:nsid w:val="3A255E93"/>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8" w15:restartNumberingAfterBreak="0">
    <w:nsid w:val="3A3979AC"/>
    <w:multiLevelType w:val="hybridMultilevel"/>
    <w:tmpl w:val="FFFFFFFF"/>
    <w:lvl w:ilvl="0" w:tplc="01D0EA4A">
      <w:start w:val="5"/>
      <w:numFmt w:val="decimal"/>
      <w:lvlText w:val="%1."/>
      <w:lvlJc w:val="left"/>
      <w:pPr>
        <w:ind w:left="720" w:hanging="360"/>
      </w:pPr>
    </w:lvl>
    <w:lvl w:ilvl="1" w:tplc="B7801D44">
      <w:start w:val="1"/>
      <w:numFmt w:val="lowerLetter"/>
      <w:lvlText w:val="%2."/>
      <w:lvlJc w:val="left"/>
      <w:pPr>
        <w:ind w:left="1440" w:hanging="360"/>
      </w:pPr>
    </w:lvl>
    <w:lvl w:ilvl="2" w:tplc="3EDA91C4">
      <w:start w:val="1"/>
      <w:numFmt w:val="lowerRoman"/>
      <w:lvlText w:val="%3."/>
      <w:lvlJc w:val="right"/>
      <w:pPr>
        <w:ind w:left="2160" w:hanging="180"/>
      </w:pPr>
    </w:lvl>
    <w:lvl w:ilvl="3" w:tplc="7514ECD6">
      <w:start w:val="1"/>
      <w:numFmt w:val="decimal"/>
      <w:lvlText w:val="%4."/>
      <w:lvlJc w:val="left"/>
      <w:pPr>
        <w:ind w:left="2880" w:hanging="360"/>
      </w:pPr>
    </w:lvl>
    <w:lvl w:ilvl="4" w:tplc="785E25A0">
      <w:start w:val="1"/>
      <w:numFmt w:val="lowerLetter"/>
      <w:lvlText w:val="%5."/>
      <w:lvlJc w:val="left"/>
      <w:pPr>
        <w:ind w:left="3600" w:hanging="360"/>
      </w:pPr>
    </w:lvl>
    <w:lvl w:ilvl="5" w:tplc="F196BE30">
      <w:start w:val="1"/>
      <w:numFmt w:val="lowerRoman"/>
      <w:lvlText w:val="%6."/>
      <w:lvlJc w:val="right"/>
      <w:pPr>
        <w:ind w:left="4320" w:hanging="180"/>
      </w:pPr>
    </w:lvl>
    <w:lvl w:ilvl="6" w:tplc="A7A03540">
      <w:start w:val="1"/>
      <w:numFmt w:val="decimal"/>
      <w:lvlText w:val="%7."/>
      <w:lvlJc w:val="left"/>
      <w:pPr>
        <w:ind w:left="5040" w:hanging="360"/>
      </w:pPr>
    </w:lvl>
    <w:lvl w:ilvl="7" w:tplc="5FDCFE84">
      <w:start w:val="1"/>
      <w:numFmt w:val="lowerLetter"/>
      <w:lvlText w:val="%8."/>
      <w:lvlJc w:val="left"/>
      <w:pPr>
        <w:ind w:left="5760" w:hanging="360"/>
      </w:pPr>
    </w:lvl>
    <w:lvl w:ilvl="8" w:tplc="BBC2A2C8">
      <w:start w:val="1"/>
      <w:numFmt w:val="lowerRoman"/>
      <w:lvlText w:val="%9."/>
      <w:lvlJc w:val="right"/>
      <w:pPr>
        <w:ind w:left="6480" w:hanging="180"/>
      </w:pPr>
    </w:lvl>
  </w:abstractNum>
  <w:abstractNum w:abstractNumId="349" w15:restartNumberingAfterBreak="0">
    <w:nsid w:val="3A471EE4"/>
    <w:multiLevelType w:val="hybridMultilevel"/>
    <w:tmpl w:val="FFFFFFFF"/>
    <w:lvl w:ilvl="0" w:tplc="9BB4BCA0">
      <w:start w:val="1"/>
      <w:numFmt w:val="bullet"/>
      <w:lvlText w:val="o"/>
      <w:lvlJc w:val="left"/>
      <w:pPr>
        <w:ind w:left="720" w:hanging="360"/>
      </w:pPr>
      <w:rPr>
        <w:rFonts w:ascii="&quot;Courier New&quot;" w:hAnsi="&quot;Courier New&quot;" w:hint="default"/>
      </w:rPr>
    </w:lvl>
    <w:lvl w:ilvl="1" w:tplc="E8B60D9C">
      <w:start w:val="1"/>
      <w:numFmt w:val="bullet"/>
      <w:lvlText w:val="o"/>
      <w:lvlJc w:val="left"/>
      <w:pPr>
        <w:ind w:left="1440" w:hanging="360"/>
      </w:pPr>
      <w:rPr>
        <w:rFonts w:ascii="Courier New" w:hAnsi="Courier New" w:hint="default"/>
      </w:rPr>
    </w:lvl>
    <w:lvl w:ilvl="2" w:tplc="7944ACB0">
      <w:start w:val="1"/>
      <w:numFmt w:val="bullet"/>
      <w:lvlText w:val=""/>
      <w:lvlJc w:val="left"/>
      <w:pPr>
        <w:ind w:left="2160" w:hanging="360"/>
      </w:pPr>
      <w:rPr>
        <w:rFonts w:ascii="Wingdings" w:hAnsi="Wingdings" w:hint="default"/>
      </w:rPr>
    </w:lvl>
    <w:lvl w:ilvl="3" w:tplc="8794B12A">
      <w:start w:val="1"/>
      <w:numFmt w:val="bullet"/>
      <w:lvlText w:val=""/>
      <w:lvlJc w:val="left"/>
      <w:pPr>
        <w:ind w:left="2880" w:hanging="360"/>
      </w:pPr>
      <w:rPr>
        <w:rFonts w:ascii="Symbol" w:hAnsi="Symbol" w:hint="default"/>
      </w:rPr>
    </w:lvl>
    <w:lvl w:ilvl="4" w:tplc="0994C470">
      <w:start w:val="1"/>
      <w:numFmt w:val="bullet"/>
      <w:lvlText w:val="o"/>
      <w:lvlJc w:val="left"/>
      <w:pPr>
        <w:ind w:left="3600" w:hanging="360"/>
      </w:pPr>
      <w:rPr>
        <w:rFonts w:ascii="Courier New" w:hAnsi="Courier New" w:hint="default"/>
      </w:rPr>
    </w:lvl>
    <w:lvl w:ilvl="5" w:tplc="7B862510">
      <w:start w:val="1"/>
      <w:numFmt w:val="bullet"/>
      <w:lvlText w:val=""/>
      <w:lvlJc w:val="left"/>
      <w:pPr>
        <w:ind w:left="4320" w:hanging="360"/>
      </w:pPr>
      <w:rPr>
        <w:rFonts w:ascii="Wingdings" w:hAnsi="Wingdings" w:hint="default"/>
      </w:rPr>
    </w:lvl>
    <w:lvl w:ilvl="6" w:tplc="2984FC64">
      <w:start w:val="1"/>
      <w:numFmt w:val="bullet"/>
      <w:lvlText w:val=""/>
      <w:lvlJc w:val="left"/>
      <w:pPr>
        <w:ind w:left="5040" w:hanging="360"/>
      </w:pPr>
      <w:rPr>
        <w:rFonts w:ascii="Symbol" w:hAnsi="Symbol" w:hint="default"/>
      </w:rPr>
    </w:lvl>
    <w:lvl w:ilvl="7" w:tplc="3EDA8984">
      <w:start w:val="1"/>
      <w:numFmt w:val="bullet"/>
      <w:lvlText w:val="o"/>
      <w:lvlJc w:val="left"/>
      <w:pPr>
        <w:ind w:left="5760" w:hanging="360"/>
      </w:pPr>
      <w:rPr>
        <w:rFonts w:ascii="Courier New" w:hAnsi="Courier New" w:hint="default"/>
      </w:rPr>
    </w:lvl>
    <w:lvl w:ilvl="8" w:tplc="1DC2F516">
      <w:start w:val="1"/>
      <w:numFmt w:val="bullet"/>
      <w:lvlText w:val=""/>
      <w:lvlJc w:val="left"/>
      <w:pPr>
        <w:ind w:left="6480" w:hanging="360"/>
      </w:pPr>
      <w:rPr>
        <w:rFonts w:ascii="Wingdings" w:hAnsi="Wingdings" w:hint="default"/>
      </w:rPr>
    </w:lvl>
  </w:abstractNum>
  <w:abstractNum w:abstractNumId="350" w15:restartNumberingAfterBreak="0">
    <w:nsid w:val="3A575E44"/>
    <w:multiLevelType w:val="hybridMultilevel"/>
    <w:tmpl w:val="8F66C5BA"/>
    <w:lvl w:ilvl="0" w:tplc="1809000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1" w15:restartNumberingAfterBreak="0">
    <w:nsid w:val="3A871943"/>
    <w:multiLevelType w:val="hybridMultilevel"/>
    <w:tmpl w:val="1E8EB4CC"/>
    <w:lvl w:ilvl="0" w:tplc="772AEDB4">
      <w:start w:val="1"/>
      <w:numFmt w:val="bullet"/>
      <w:lvlText w:val=""/>
      <w:lvlJc w:val="left"/>
      <w:pPr>
        <w:ind w:left="720" w:hanging="360"/>
      </w:pPr>
      <w:rPr>
        <w:rFonts w:ascii="Symbol" w:hAnsi="Symbol" w:hint="default"/>
      </w:rPr>
    </w:lvl>
    <w:lvl w:ilvl="1" w:tplc="DC72B5F2">
      <w:start w:val="1"/>
      <w:numFmt w:val="bullet"/>
      <w:lvlText w:val="o"/>
      <w:lvlJc w:val="left"/>
      <w:pPr>
        <w:ind w:left="1440" w:hanging="360"/>
      </w:pPr>
      <w:rPr>
        <w:rFonts w:ascii="Courier New" w:hAnsi="Courier New" w:hint="default"/>
      </w:rPr>
    </w:lvl>
    <w:lvl w:ilvl="2" w:tplc="9A7ACB34">
      <w:start w:val="1"/>
      <w:numFmt w:val="bullet"/>
      <w:lvlText w:val=""/>
      <w:lvlJc w:val="left"/>
      <w:pPr>
        <w:ind w:left="2160" w:hanging="360"/>
      </w:pPr>
      <w:rPr>
        <w:rFonts w:ascii="Wingdings" w:hAnsi="Wingdings" w:hint="default"/>
      </w:rPr>
    </w:lvl>
    <w:lvl w:ilvl="3" w:tplc="3D565D64">
      <w:start w:val="1"/>
      <w:numFmt w:val="bullet"/>
      <w:lvlText w:val=""/>
      <w:lvlJc w:val="left"/>
      <w:pPr>
        <w:ind w:left="2880" w:hanging="360"/>
      </w:pPr>
      <w:rPr>
        <w:rFonts w:ascii="Symbol" w:hAnsi="Symbol" w:hint="default"/>
      </w:rPr>
    </w:lvl>
    <w:lvl w:ilvl="4" w:tplc="3F5C3424">
      <w:start w:val="1"/>
      <w:numFmt w:val="bullet"/>
      <w:lvlText w:val="o"/>
      <w:lvlJc w:val="left"/>
      <w:pPr>
        <w:ind w:left="3600" w:hanging="360"/>
      </w:pPr>
      <w:rPr>
        <w:rFonts w:ascii="Courier New" w:hAnsi="Courier New" w:hint="default"/>
      </w:rPr>
    </w:lvl>
    <w:lvl w:ilvl="5" w:tplc="B8866D8E">
      <w:start w:val="1"/>
      <w:numFmt w:val="bullet"/>
      <w:lvlText w:val=""/>
      <w:lvlJc w:val="left"/>
      <w:pPr>
        <w:ind w:left="4320" w:hanging="360"/>
      </w:pPr>
      <w:rPr>
        <w:rFonts w:ascii="Wingdings" w:hAnsi="Wingdings" w:hint="default"/>
      </w:rPr>
    </w:lvl>
    <w:lvl w:ilvl="6" w:tplc="802EC9E0">
      <w:start w:val="1"/>
      <w:numFmt w:val="bullet"/>
      <w:lvlText w:val=""/>
      <w:lvlJc w:val="left"/>
      <w:pPr>
        <w:ind w:left="5040" w:hanging="360"/>
      </w:pPr>
      <w:rPr>
        <w:rFonts w:ascii="Symbol" w:hAnsi="Symbol" w:hint="default"/>
      </w:rPr>
    </w:lvl>
    <w:lvl w:ilvl="7" w:tplc="3AE6DB1E">
      <w:start w:val="1"/>
      <w:numFmt w:val="bullet"/>
      <w:lvlText w:val="o"/>
      <w:lvlJc w:val="left"/>
      <w:pPr>
        <w:ind w:left="5760" w:hanging="360"/>
      </w:pPr>
      <w:rPr>
        <w:rFonts w:ascii="Courier New" w:hAnsi="Courier New" w:hint="default"/>
      </w:rPr>
    </w:lvl>
    <w:lvl w:ilvl="8" w:tplc="B928DB12">
      <w:start w:val="1"/>
      <w:numFmt w:val="bullet"/>
      <w:lvlText w:val=""/>
      <w:lvlJc w:val="left"/>
      <w:pPr>
        <w:ind w:left="6480" w:hanging="360"/>
      </w:pPr>
      <w:rPr>
        <w:rFonts w:ascii="Wingdings" w:hAnsi="Wingdings" w:hint="default"/>
      </w:rPr>
    </w:lvl>
  </w:abstractNum>
  <w:abstractNum w:abstractNumId="352" w15:restartNumberingAfterBreak="0">
    <w:nsid w:val="3AB60FF4"/>
    <w:multiLevelType w:val="hybridMultilevel"/>
    <w:tmpl w:val="81EE0750"/>
    <w:lvl w:ilvl="0" w:tplc="04090001">
      <w:start w:val="1"/>
      <w:numFmt w:val="bullet"/>
      <w:lvlText w:val=""/>
      <w:lvlJc w:val="left"/>
      <w:pPr>
        <w:ind w:left="72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353" w15:restartNumberingAfterBreak="0">
    <w:nsid w:val="3ACD0EAB"/>
    <w:multiLevelType w:val="hybridMultilevel"/>
    <w:tmpl w:val="7FBE42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4" w15:restartNumberingAfterBreak="0">
    <w:nsid w:val="3AE17AE4"/>
    <w:multiLevelType w:val="hybridMultilevel"/>
    <w:tmpl w:val="6772E446"/>
    <w:lvl w:ilvl="0" w:tplc="FF7C00E4">
      <w:numFmt w:val="bullet"/>
      <w:lvlText w:val=""/>
      <w:lvlJc w:val="left"/>
      <w:pPr>
        <w:ind w:left="720" w:hanging="360"/>
      </w:pPr>
      <w:rPr>
        <w:rFonts w:ascii="Wingdings" w:eastAsiaTheme="minorHAnsi" w:hAnsi="Wingdings"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5" w15:restartNumberingAfterBreak="0">
    <w:nsid w:val="3B3B0D0E"/>
    <w:multiLevelType w:val="hybridMultilevel"/>
    <w:tmpl w:val="0B4EEFA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6" w15:restartNumberingAfterBreak="0">
    <w:nsid w:val="3B57295C"/>
    <w:multiLevelType w:val="hybridMultilevel"/>
    <w:tmpl w:val="B53C2B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7" w15:restartNumberingAfterBreak="0">
    <w:nsid w:val="3B753FFD"/>
    <w:multiLevelType w:val="multilevel"/>
    <w:tmpl w:val="1A06D2E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3C111795"/>
    <w:multiLevelType w:val="hybridMultilevel"/>
    <w:tmpl w:val="EA404980"/>
    <w:lvl w:ilvl="0" w:tplc="75EAFCA8">
      <w:start w:val="1"/>
      <w:numFmt w:val="lowerLetter"/>
      <w:lvlText w:val="%1."/>
      <w:lvlJc w:val="left"/>
      <w:pPr>
        <w:ind w:left="144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9" w15:restartNumberingAfterBreak="0">
    <w:nsid w:val="3C16594F"/>
    <w:multiLevelType w:val="hybridMultilevel"/>
    <w:tmpl w:val="FFFFFFFF"/>
    <w:lvl w:ilvl="0" w:tplc="EC1EE548">
      <w:start w:val="2"/>
      <w:numFmt w:val="decimal"/>
      <w:lvlText w:val="%1."/>
      <w:lvlJc w:val="left"/>
      <w:pPr>
        <w:ind w:left="720" w:hanging="360"/>
      </w:pPr>
    </w:lvl>
    <w:lvl w:ilvl="1" w:tplc="96EA1A6A">
      <w:start w:val="1"/>
      <w:numFmt w:val="lowerLetter"/>
      <w:lvlText w:val="%2."/>
      <w:lvlJc w:val="left"/>
      <w:pPr>
        <w:ind w:left="1440" w:hanging="360"/>
      </w:pPr>
    </w:lvl>
    <w:lvl w:ilvl="2" w:tplc="DAA0BBFA">
      <w:start w:val="1"/>
      <w:numFmt w:val="lowerRoman"/>
      <w:lvlText w:val="%3."/>
      <w:lvlJc w:val="right"/>
      <w:pPr>
        <w:ind w:left="2160" w:hanging="180"/>
      </w:pPr>
    </w:lvl>
    <w:lvl w:ilvl="3" w:tplc="EE5E4A5C">
      <w:start w:val="1"/>
      <w:numFmt w:val="decimal"/>
      <w:lvlText w:val="%4."/>
      <w:lvlJc w:val="left"/>
      <w:pPr>
        <w:ind w:left="2880" w:hanging="360"/>
      </w:pPr>
    </w:lvl>
    <w:lvl w:ilvl="4" w:tplc="2474BAF4">
      <w:start w:val="1"/>
      <w:numFmt w:val="lowerLetter"/>
      <w:lvlText w:val="%5."/>
      <w:lvlJc w:val="left"/>
      <w:pPr>
        <w:ind w:left="3600" w:hanging="360"/>
      </w:pPr>
    </w:lvl>
    <w:lvl w:ilvl="5" w:tplc="B3429FD8">
      <w:start w:val="1"/>
      <w:numFmt w:val="lowerRoman"/>
      <w:lvlText w:val="%6."/>
      <w:lvlJc w:val="right"/>
      <w:pPr>
        <w:ind w:left="4320" w:hanging="180"/>
      </w:pPr>
    </w:lvl>
    <w:lvl w:ilvl="6" w:tplc="87DA57D4">
      <w:start w:val="1"/>
      <w:numFmt w:val="decimal"/>
      <w:lvlText w:val="%7."/>
      <w:lvlJc w:val="left"/>
      <w:pPr>
        <w:ind w:left="5040" w:hanging="360"/>
      </w:pPr>
    </w:lvl>
    <w:lvl w:ilvl="7" w:tplc="BFC0E164">
      <w:start w:val="1"/>
      <w:numFmt w:val="lowerLetter"/>
      <w:lvlText w:val="%8."/>
      <w:lvlJc w:val="left"/>
      <w:pPr>
        <w:ind w:left="5760" w:hanging="360"/>
      </w:pPr>
    </w:lvl>
    <w:lvl w:ilvl="8" w:tplc="69F664A2">
      <w:start w:val="1"/>
      <w:numFmt w:val="lowerRoman"/>
      <w:lvlText w:val="%9."/>
      <w:lvlJc w:val="right"/>
      <w:pPr>
        <w:ind w:left="6480" w:hanging="180"/>
      </w:pPr>
    </w:lvl>
  </w:abstractNum>
  <w:abstractNum w:abstractNumId="360" w15:restartNumberingAfterBreak="0">
    <w:nsid w:val="3C52555E"/>
    <w:multiLevelType w:val="hybridMultilevel"/>
    <w:tmpl w:val="2D989A44"/>
    <w:lvl w:ilvl="0" w:tplc="5E9868E8">
      <w:numFmt w:val="bullet"/>
      <w:lvlText w:val="•"/>
      <w:lvlJc w:val="left"/>
      <w:pPr>
        <w:ind w:left="1080" w:hanging="72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1" w15:restartNumberingAfterBreak="0">
    <w:nsid w:val="3C525F88"/>
    <w:multiLevelType w:val="hybridMultilevel"/>
    <w:tmpl w:val="719CF70E"/>
    <w:lvl w:ilvl="0" w:tplc="75C0B32A">
      <w:start w:val="1"/>
      <w:numFmt w:val="bullet"/>
      <w:lvlText w:val=""/>
      <w:lvlJc w:val="left"/>
      <w:pPr>
        <w:ind w:left="720" w:hanging="360"/>
      </w:pPr>
      <w:rPr>
        <w:rFonts w:ascii="Symbol" w:hAnsi="Symbol"/>
      </w:rPr>
    </w:lvl>
    <w:lvl w:ilvl="1" w:tplc="0600AA72">
      <w:start w:val="1"/>
      <w:numFmt w:val="bullet"/>
      <w:lvlText w:val=""/>
      <w:lvlJc w:val="left"/>
      <w:pPr>
        <w:ind w:left="720" w:hanging="360"/>
      </w:pPr>
      <w:rPr>
        <w:rFonts w:ascii="Symbol" w:hAnsi="Symbol"/>
      </w:rPr>
    </w:lvl>
    <w:lvl w:ilvl="2" w:tplc="7CA68260">
      <w:start w:val="1"/>
      <w:numFmt w:val="bullet"/>
      <w:lvlText w:val=""/>
      <w:lvlJc w:val="left"/>
      <w:pPr>
        <w:ind w:left="720" w:hanging="360"/>
      </w:pPr>
      <w:rPr>
        <w:rFonts w:ascii="Symbol" w:hAnsi="Symbol"/>
      </w:rPr>
    </w:lvl>
    <w:lvl w:ilvl="3" w:tplc="16E811F2">
      <w:start w:val="1"/>
      <w:numFmt w:val="bullet"/>
      <w:lvlText w:val=""/>
      <w:lvlJc w:val="left"/>
      <w:pPr>
        <w:ind w:left="720" w:hanging="360"/>
      </w:pPr>
      <w:rPr>
        <w:rFonts w:ascii="Symbol" w:hAnsi="Symbol"/>
      </w:rPr>
    </w:lvl>
    <w:lvl w:ilvl="4" w:tplc="F460B32E">
      <w:start w:val="1"/>
      <w:numFmt w:val="bullet"/>
      <w:lvlText w:val=""/>
      <w:lvlJc w:val="left"/>
      <w:pPr>
        <w:ind w:left="720" w:hanging="360"/>
      </w:pPr>
      <w:rPr>
        <w:rFonts w:ascii="Symbol" w:hAnsi="Symbol"/>
      </w:rPr>
    </w:lvl>
    <w:lvl w:ilvl="5" w:tplc="8D125C64">
      <w:start w:val="1"/>
      <w:numFmt w:val="bullet"/>
      <w:lvlText w:val=""/>
      <w:lvlJc w:val="left"/>
      <w:pPr>
        <w:ind w:left="720" w:hanging="360"/>
      </w:pPr>
      <w:rPr>
        <w:rFonts w:ascii="Symbol" w:hAnsi="Symbol"/>
      </w:rPr>
    </w:lvl>
    <w:lvl w:ilvl="6" w:tplc="F2EC0BF0">
      <w:start w:val="1"/>
      <w:numFmt w:val="bullet"/>
      <w:lvlText w:val=""/>
      <w:lvlJc w:val="left"/>
      <w:pPr>
        <w:ind w:left="720" w:hanging="360"/>
      </w:pPr>
      <w:rPr>
        <w:rFonts w:ascii="Symbol" w:hAnsi="Symbol"/>
      </w:rPr>
    </w:lvl>
    <w:lvl w:ilvl="7" w:tplc="54B4FC5A">
      <w:start w:val="1"/>
      <w:numFmt w:val="bullet"/>
      <w:lvlText w:val=""/>
      <w:lvlJc w:val="left"/>
      <w:pPr>
        <w:ind w:left="720" w:hanging="360"/>
      </w:pPr>
      <w:rPr>
        <w:rFonts w:ascii="Symbol" w:hAnsi="Symbol"/>
      </w:rPr>
    </w:lvl>
    <w:lvl w:ilvl="8" w:tplc="D08E4D1A">
      <w:start w:val="1"/>
      <w:numFmt w:val="bullet"/>
      <w:lvlText w:val=""/>
      <w:lvlJc w:val="left"/>
      <w:pPr>
        <w:ind w:left="720" w:hanging="360"/>
      </w:pPr>
      <w:rPr>
        <w:rFonts w:ascii="Symbol" w:hAnsi="Symbol"/>
      </w:rPr>
    </w:lvl>
  </w:abstractNum>
  <w:abstractNum w:abstractNumId="362" w15:restartNumberingAfterBreak="0">
    <w:nsid w:val="3CC1C70E"/>
    <w:multiLevelType w:val="hybridMultilevel"/>
    <w:tmpl w:val="0FB0158E"/>
    <w:lvl w:ilvl="0" w:tplc="48902276">
      <w:start w:val="1"/>
      <w:numFmt w:val="bullet"/>
      <w:lvlText w:val="-"/>
      <w:lvlJc w:val="left"/>
      <w:pPr>
        <w:ind w:left="720" w:hanging="360"/>
      </w:pPr>
      <w:rPr>
        <w:rFonts w:ascii="Symbol" w:hAnsi="Symbol" w:hint="default"/>
      </w:rPr>
    </w:lvl>
    <w:lvl w:ilvl="1" w:tplc="7E088152">
      <w:start w:val="1"/>
      <w:numFmt w:val="bullet"/>
      <w:lvlText w:val="o"/>
      <w:lvlJc w:val="left"/>
      <w:pPr>
        <w:ind w:left="1440" w:hanging="360"/>
      </w:pPr>
      <w:rPr>
        <w:rFonts w:ascii="Courier New" w:hAnsi="Courier New" w:hint="default"/>
      </w:rPr>
    </w:lvl>
    <w:lvl w:ilvl="2" w:tplc="A214801E">
      <w:start w:val="1"/>
      <w:numFmt w:val="bullet"/>
      <w:lvlText w:val=""/>
      <w:lvlJc w:val="left"/>
      <w:pPr>
        <w:ind w:left="2160" w:hanging="360"/>
      </w:pPr>
      <w:rPr>
        <w:rFonts w:ascii="Wingdings" w:hAnsi="Wingdings" w:hint="default"/>
      </w:rPr>
    </w:lvl>
    <w:lvl w:ilvl="3" w:tplc="715EA164">
      <w:start w:val="1"/>
      <w:numFmt w:val="bullet"/>
      <w:lvlText w:val=""/>
      <w:lvlJc w:val="left"/>
      <w:pPr>
        <w:ind w:left="2880" w:hanging="360"/>
      </w:pPr>
      <w:rPr>
        <w:rFonts w:ascii="Symbol" w:hAnsi="Symbol" w:hint="default"/>
      </w:rPr>
    </w:lvl>
    <w:lvl w:ilvl="4" w:tplc="03C055FE">
      <w:start w:val="1"/>
      <w:numFmt w:val="bullet"/>
      <w:lvlText w:val="o"/>
      <w:lvlJc w:val="left"/>
      <w:pPr>
        <w:ind w:left="3600" w:hanging="360"/>
      </w:pPr>
      <w:rPr>
        <w:rFonts w:ascii="Courier New" w:hAnsi="Courier New" w:hint="default"/>
      </w:rPr>
    </w:lvl>
    <w:lvl w:ilvl="5" w:tplc="78B09410">
      <w:start w:val="1"/>
      <w:numFmt w:val="bullet"/>
      <w:lvlText w:val=""/>
      <w:lvlJc w:val="left"/>
      <w:pPr>
        <w:ind w:left="4320" w:hanging="360"/>
      </w:pPr>
      <w:rPr>
        <w:rFonts w:ascii="Wingdings" w:hAnsi="Wingdings" w:hint="default"/>
      </w:rPr>
    </w:lvl>
    <w:lvl w:ilvl="6" w:tplc="8FBC999C">
      <w:start w:val="1"/>
      <w:numFmt w:val="bullet"/>
      <w:lvlText w:val=""/>
      <w:lvlJc w:val="left"/>
      <w:pPr>
        <w:ind w:left="5040" w:hanging="360"/>
      </w:pPr>
      <w:rPr>
        <w:rFonts w:ascii="Symbol" w:hAnsi="Symbol" w:hint="default"/>
      </w:rPr>
    </w:lvl>
    <w:lvl w:ilvl="7" w:tplc="9FB0B642">
      <w:start w:val="1"/>
      <w:numFmt w:val="bullet"/>
      <w:lvlText w:val="o"/>
      <w:lvlJc w:val="left"/>
      <w:pPr>
        <w:ind w:left="5760" w:hanging="360"/>
      </w:pPr>
      <w:rPr>
        <w:rFonts w:ascii="Courier New" w:hAnsi="Courier New" w:hint="default"/>
      </w:rPr>
    </w:lvl>
    <w:lvl w:ilvl="8" w:tplc="7EE81258">
      <w:start w:val="1"/>
      <w:numFmt w:val="bullet"/>
      <w:lvlText w:val=""/>
      <w:lvlJc w:val="left"/>
      <w:pPr>
        <w:ind w:left="6480" w:hanging="360"/>
      </w:pPr>
      <w:rPr>
        <w:rFonts w:ascii="Wingdings" w:hAnsi="Wingdings" w:hint="default"/>
      </w:rPr>
    </w:lvl>
  </w:abstractNum>
  <w:abstractNum w:abstractNumId="363" w15:restartNumberingAfterBreak="0">
    <w:nsid w:val="3D3C77D2"/>
    <w:multiLevelType w:val="hybridMultilevel"/>
    <w:tmpl w:val="F8D25CF6"/>
    <w:lvl w:ilvl="0" w:tplc="08090019">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4" w15:restartNumberingAfterBreak="0">
    <w:nsid w:val="3D616403"/>
    <w:multiLevelType w:val="hybridMultilevel"/>
    <w:tmpl w:val="394A4B1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5" w15:restartNumberingAfterBreak="0">
    <w:nsid w:val="3D786D4A"/>
    <w:multiLevelType w:val="hybridMultilevel"/>
    <w:tmpl w:val="00A8AC6A"/>
    <w:lvl w:ilvl="0" w:tplc="0C0A0001">
      <w:start w:val="1"/>
      <w:numFmt w:val="bullet"/>
      <w:lvlText w:val=""/>
      <w:lvlJc w:val="left"/>
      <w:pPr>
        <w:ind w:left="644" w:hanging="360"/>
      </w:pPr>
      <w:rPr>
        <w:rFonts w:ascii="Courier New" w:hAnsi="Courier New" w:hint="default"/>
      </w:rPr>
    </w:lvl>
    <w:lvl w:ilvl="1" w:tplc="0C0A0003" w:tentative="1">
      <w:start w:val="1"/>
      <w:numFmt w:val="bullet"/>
      <w:lvlText w:val="o"/>
      <w:lvlJc w:val="left"/>
      <w:pPr>
        <w:ind w:left="1364" w:hanging="360"/>
      </w:pPr>
      <w:rPr>
        <w:rFonts w:ascii="Cambria Math" w:hAnsi="Cambria Math" w:cs="Cambria Math"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Courier New" w:hAnsi="Courier New" w:hint="default"/>
      </w:rPr>
    </w:lvl>
    <w:lvl w:ilvl="4" w:tplc="0C0A0003" w:tentative="1">
      <w:start w:val="1"/>
      <w:numFmt w:val="bullet"/>
      <w:lvlText w:val="o"/>
      <w:lvlJc w:val="left"/>
      <w:pPr>
        <w:ind w:left="3524" w:hanging="360"/>
      </w:pPr>
      <w:rPr>
        <w:rFonts w:ascii="Cambria Math" w:hAnsi="Cambria Math" w:cs="Cambria Math"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Courier New" w:hAnsi="Courier New" w:hint="default"/>
      </w:rPr>
    </w:lvl>
    <w:lvl w:ilvl="7" w:tplc="0C0A0003" w:tentative="1">
      <w:start w:val="1"/>
      <w:numFmt w:val="bullet"/>
      <w:lvlText w:val="o"/>
      <w:lvlJc w:val="left"/>
      <w:pPr>
        <w:ind w:left="5684" w:hanging="360"/>
      </w:pPr>
      <w:rPr>
        <w:rFonts w:ascii="Cambria Math" w:hAnsi="Cambria Math" w:cs="Cambria Math" w:hint="default"/>
      </w:rPr>
    </w:lvl>
    <w:lvl w:ilvl="8" w:tplc="0C0A0005" w:tentative="1">
      <w:start w:val="1"/>
      <w:numFmt w:val="bullet"/>
      <w:lvlText w:val=""/>
      <w:lvlJc w:val="left"/>
      <w:pPr>
        <w:ind w:left="6404" w:hanging="360"/>
      </w:pPr>
      <w:rPr>
        <w:rFonts w:ascii="Wingdings" w:hAnsi="Wingdings" w:hint="default"/>
      </w:rPr>
    </w:lvl>
  </w:abstractNum>
  <w:abstractNum w:abstractNumId="366" w15:restartNumberingAfterBreak="0">
    <w:nsid w:val="3DD6741B"/>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7" w15:restartNumberingAfterBreak="0">
    <w:nsid w:val="3DE11682"/>
    <w:multiLevelType w:val="hybridMultilevel"/>
    <w:tmpl w:val="0CF090B0"/>
    <w:lvl w:ilvl="0" w:tplc="FFFFFFFF">
      <w:start w:val="1"/>
      <w:numFmt w:val="lowerRoman"/>
      <w:lvlText w:val="%1."/>
      <w:lvlJc w:val="right"/>
      <w:pPr>
        <w:ind w:left="1440" w:hanging="360"/>
      </w:pPr>
    </w:lvl>
    <w:lvl w:ilvl="1" w:tplc="B7303C30">
      <w:start w:val="2"/>
      <w:numFmt w:val="bullet"/>
      <w:lvlText w:val="-"/>
      <w:lvlJc w:val="left"/>
      <w:pPr>
        <w:ind w:left="2160" w:hanging="360"/>
      </w:pPr>
      <w:rPr>
        <w:rFonts w:ascii="Calibri" w:eastAsiaTheme="minorHAnsi" w:hAnsi="Calibri" w:cs="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8" w15:restartNumberingAfterBreak="0">
    <w:nsid w:val="3E267AD6"/>
    <w:multiLevelType w:val="hybridMultilevel"/>
    <w:tmpl w:val="923A1DD2"/>
    <w:lvl w:ilvl="0" w:tplc="0809000F">
      <w:start w:val="1"/>
      <w:numFmt w:val="decimal"/>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9" w15:restartNumberingAfterBreak="0">
    <w:nsid w:val="3E6159E3"/>
    <w:multiLevelType w:val="multilevel"/>
    <w:tmpl w:val="23DAC1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3E7CB0DB"/>
    <w:multiLevelType w:val="hybridMultilevel"/>
    <w:tmpl w:val="7FD69194"/>
    <w:lvl w:ilvl="0" w:tplc="63DE98F2">
      <w:start w:val="1"/>
      <w:numFmt w:val="bullet"/>
      <w:lvlText w:val="-"/>
      <w:lvlJc w:val="left"/>
      <w:pPr>
        <w:ind w:left="720" w:hanging="360"/>
      </w:pPr>
      <w:rPr>
        <w:rFonts w:ascii="&quot;Times New Roman&quot;,serif" w:hAnsi="&quot;Times New Roman&quot;,serif" w:hint="default"/>
      </w:rPr>
    </w:lvl>
    <w:lvl w:ilvl="1" w:tplc="E27C4182">
      <w:start w:val="1"/>
      <w:numFmt w:val="bullet"/>
      <w:lvlText w:val="o"/>
      <w:lvlJc w:val="left"/>
      <w:pPr>
        <w:ind w:left="1440" w:hanging="360"/>
      </w:pPr>
      <w:rPr>
        <w:rFonts w:ascii="Courier New" w:hAnsi="Courier New" w:hint="default"/>
      </w:rPr>
    </w:lvl>
    <w:lvl w:ilvl="2" w:tplc="A1941C3A">
      <w:start w:val="1"/>
      <w:numFmt w:val="bullet"/>
      <w:lvlText w:val=""/>
      <w:lvlJc w:val="left"/>
      <w:pPr>
        <w:ind w:left="2160" w:hanging="360"/>
      </w:pPr>
      <w:rPr>
        <w:rFonts w:ascii="Wingdings" w:hAnsi="Wingdings" w:hint="default"/>
      </w:rPr>
    </w:lvl>
    <w:lvl w:ilvl="3" w:tplc="2BD4D914">
      <w:start w:val="1"/>
      <w:numFmt w:val="bullet"/>
      <w:lvlText w:val=""/>
      <w:lvlJc w:val="left"/>
      <w:pPr>
        <w:ind w:left="2880" w:hanging="360"/>
      </w:pPr>
      <w:rPr>
        <w:rFonts w:ascii="Symbol" w:hAnsi="Symbol" w:hint="default"/>
      </w:rPr>
    </w:lvl>
    <w:lvl w:ilvl="4" w:tplc="53A67A3E">
      <w:start w:val="1"/>
      <w:numFmt w:val="bullet"/>
      <w:lvlText w:val="o"/>
      <w:lvlJc w:val="left"/>
      <w:pPr>
        <w:ind w:left="3600" w:hanging="360"/>
      </w:pPr>
      <w:rPr>
        <w:rFonts w:ascii="Courier New" w:hAnsi="Courier New" w:hint="default"/>
      </w:rPr>
    </w:lvl>
    <w:lvl w:ilvl="5" w:tplc="2B802CE0">
      <w:start w:val="1"/>
      <w:numFmt w:val="bullet"/>
      <w:lvlText w:val=""/>
      <w:lvlJc w:val="left"/>
      <w:pPr>
        <w:ind w:left="4320" w:hanging="360"/>
      </w:pPr>
      <w:rPr>
        <w:rFonts w:ascii="Wingdings" w:hAnsi="Wingdings" w:hint="default"/>
      </w:rPr>
    </w:lvl>
    <w:lvl w:ilvl="6" w:tplc="F4502A18">
      <w:start w:val="1"/>
      <w:numFmt w:val="bullet"/>
      <w:lvlText w:val=""/>
      <w:lvlJc w:val="left"/>
      <w:pPr>
        <w:ind w:left="5040" w:hanging="360"/>
      </w:pPr>
      <w:rPr>
        <w:rFonts w:ascii="Symbol" w:hAnsi="Symbol" w:hint="default"/>
      </w:rPr>
    </w:lvl>
    <w:lvl w:ilvl="7" w:tplc="1E4A6288">
      <w:start w:val="1"/>
      <w:numFmt w:val="bullet"/>
      <w:lvlText w:val="o"/>
      <w:lvlJc w:val="left"/>
      <w:pPr>
        <w:ind w:left="5760" w:hanging="360"/>
      </w:pPr>
      <w:rPr>
        <w:rFonts w:ascii="Courier New" w:hAnsi="Courier New" w:hint="default"/>
      </w:rPr>
    </w:lvl>
    <w:lvl w:ilvl="8" w:tplc="8BD27DD6">
      <w:start w:val="1"/>
      <w:numFmt w:val="bullet"/>
      <w:lvlText w:val=""/>
      <w:lvlJc w:val="left"/>
      <w:pPr>
        <w:ind w:left="6480" w:hanging="360"/>
      </w:pPr>
      <w:rPr>
        <w:rFonts w:ascii="Wingdings" w:hAnsi="Wingdings" w:hint="default"/>
      </w:rPr>
    </w:lvl>
  </w:abstractNum>
  <w:abstractNum w:abstractNumId="371" w15:restartNumberingAfterBreak="0">
    <w:nsid w:val="3EA27F64"/>
    <w:multiLevelType w:val="hybridMultilevel"/>
    <w:tmpl w:val="FBCC6D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2" w15:restartNumberingAfterBreak="0">
    <w:nsid w:val="3ECD71E5"/>
    <w:multiLevelType w:val="hybridMultilevel"/>
    <w:tmpl w:val="13BEE066"/>
    <w:lvl w:ilvl="0" w:tplc="FFFFFFFF">
      <w:start w:val="1"/>
      <w:numFmt w:val="lowerLetter"/>
      <w:lvlText w:val="%1."/>
      <w:lvlJc w:val="left"/>
      <w:pPr>
        <w:ind w:left="1429" w:hanging="360"/>
      </w:pPr>
    </w:lvl>
    <w:lvl w:ilvl="1" w:tplc="0C0A0019">
      <w:start w:val="1"/>
      <w:numFmt w:val="lowerLetter"/>
      <w:lvlText w:val="%2."/>
      <w:lvlJc w:val="left"/>
      <w:pPr>
        <w:ind w:left="2149" w:hanging="360"/>
      </w:pPr>
    </w:lvl>
    <w:lvl w:ilvl="2" w:tplc="6D606202">
      <w:numFmt w:val="bullet"/>
      <w:lvlText w:val="•"/>
      <w:lvlJc w:val="left"/>
      <w:pPr>
        <w:ind w:left="3409" w:hanging="720"/>
      </w:pPr>
      <w:rPr>
        <w:rFonts w:ascii="Times New Roman" w:eastAsia="Symbol" w:hAnsi="Times New Roman" w:cs="Times New Roman" w:hint="default"/>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73" w15:restartNumberingAfterBreak="0">
    <w:nsid w:val="3EDD6DF1"/>
    <w:multiLevelType w:val="hybridMultilevel"/>
    <w:tmpl w:val="E97CB79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4" w15:restartNumberingAfterBreak="0">
    <w:nsid w:val="3F0557EB"/>
    <w:multiLevelType w:val="multilevel"/>
    <w:tmpl w:val="1AE8A6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3F1E171E"/>
    <w:multiLevelType w:val="hybridMultilevel"/>
    <w:tmpl w:val="37C606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6" w15:restartNumberingAfterBreak="0">
    <w:nsid w:val="3F4C10D6"/>
    <w:multiLevelType w:val="hybridMultilevel"/>
    <w:tmpl w:val="175EF330"/>
    <w:lvl w:ilvl="0" w:tplc="0C0A0017">
      <w:start w:val="1"/>
      <w:numFmt w:val="lowerLetter"/>
      <w:lvlText w:val="%1)"/>
      <w:lvlJc w:val="left"/>
      <w:pPr>
        <w:ind w:left="720" w:hanging="360"/>
      </w:pPr>
      <w:rPr>
        <w:rFonts w:hint="default"/>
      </w:rPr>
    </w:lvl>
    <w:lvl w:ilvl="1" w:tplc="C0B0BEF8">
      <w:start w:val="1"/>
      <w:numFmt w:val="lowerRoman"/>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7" w15:restartNumberingAfterBreak="0">
    <w:nsid w:val="3F5CB97E"/>
    <w:multiLevelType w:val="hybridMultilevel"/>
    <w:tmpl w:val="FFFFFFFF"/>
    <w:lvl w:ilvl="0" w:tplc="231C6618">
      <w:start w:val="1"/>
      <w:numFmt w:val="bullet"/>
      <w:lvlText w:val="-"/>
      <w:lvlJc w:val="left"/>
      <w:pPr>
        <w:ind w:left="720" w:hanging="360"/>
      </w:pPr>
      <w:rPr>
        <w:rFonts w:ascii="Wingdings" w:hAnsi="Wingdings" w:hint="default"/>
      </w:rPr>
    </w:lvl>
    <w:lvl w:ilvl="1" w:tplc="3DAECB66">
      <w:start w:val="1"/>
      <w:numFmt w:val="bullet"/>
      <w:lvlText w:val="o"/>
      <w:lvlJc w:val="left"/>
      <w:pPr>
        <w:ind w:left="1440" w:hanging="360"/>
      </w:pPr>
      <w:rPr>
        <w:rFonts w:ascii="Courier New" w:hAnsi="Courier New" w:hint="default"/>
      </w:rPr>
    </w:lvl>
    <w:lvl w:ilvl="2" w:tplc="C20282DC">
      <w:start w:val="1"/>
      <w:numFmt w:val="bullet"/>
      <w:lvlText w:val=""/>
      <w:lvlJc w:val="left"/>
      <w:pPr>
        <w:ind w:left="2160" w:hanging="360"/>
      </w:pPr>
      <w:rPr>
        <w:rFonts w:ascii="Cambria Math" w:hAnsi="Cambria Math" w:hint="default"/>
      </w:rPr>
    </w:lvl>
    <w:lvl w:ilvl="3" w:tplc="9F9E1E4C">
      <w:start w:val="1"/>
      <w:numFmt w:val="bullet"/>
      <w:lvlText w:val=""/>
      <w:lvlJc w:val="left"/>
      <w:pPr>
        <w:ind w:left="2880" w:hanging="360"/>
      </w:pPr>
      <w:rPr>
        <w:rFonts w:ascii="Segoe UI" w:hAnsi="Segoe UI" w:hint="default"/>
      </w:rPr>
    </w:lvl>
    <w:lvl w:ilvl="4" w:tplc="91C23C20">
      <w:start w:val="1"/>
      <w:numFmt w:val="bullet"/>
      <w:lvlText w:val="o"/>
      <w:lvlJc w:val="left"/>
      <w:pPr>
        <w:ind w:left="3600" w:hanging="360"/>
      </w:pPr>
      <w:rPr>
        <w:rFonts w:ascii="Courier New" w:hAnsi="Courier New" w:hint="default"/>
      </w:rPr>
    </w:lvl>
    <w:lvl w:ilvl="5" w:tplc="2BD4CAB2">
      <w:start w:val="1"/>
      <w:numFmt w:val="bullet"/>
      <w:lvlText w:val=""/>
      <w:lvlJc w:val="left"/>
      <w:pPr>
        <w:ind w:left="4320" w:hanging="360"/>
      </w:pPr>
      <w:rPr>
        <w:rFonts w:ascii="Cambria Math" w:hAnsi="Cambria Math" w:hint="default"/>
      </w:rPr>
    </w:lvl>
    <w:lvl w:ilvl="6" w:tplc="8A4C29C8">
      <w:start w:val="1"/>
      <w:numFmt w:val="bullet"/>
      <w:lvlText w:val=""/>
      <w:lvlJc w:val="left"/>
      <w:pPr>
        <w:ind w:left="5040" w:hanging="360"/>
      </w:pPr>
      <w:rPr>
        <w:rFonts w:ascii="Segoe UI" w:hAnsi="Segoe UI" w:hint="default"/>
      </w:rPr>
    </w:lvl>
    <w:lvl w:ilvl="7" w:tplc="3C4C8E34">
      <w:start w:val="1"/>
      <w:numFmt w:val="bullet"/>
      <w:lvlText w:val="o"/>
      <w:lvlJc w:val="left"/>
      <w:pPr>
        <w:ind w:left="5760" w:hanging="360"/>
      </w:pPr>
      <w:rPr>
        <w:rFonts w:ascii="Courier New" w:hAnsi="Courier New" w:hint="default"/>
      </w:rPr>
    </w:lvl>
    <w:lvl w:ilvl="8" w:tplc="E4A4F676">
      <w:start w:val="1"/>
      <w:numFmt w:val="bullet"/>
      <w:lvlText w:val=""/>
      <w:lvlJc w:val="left"/>
      <w:pPr>
        <w:ind w:left="6480" w:hanging="360"/>
      </w:pPr>
      <w:rPr>
        <w:rFonts w:ascii="Cambria Math" w:hAnsi="Cambria Math" w:hint="default"/>
      </w:rPr>
    </w:lvl>
  </w:abstractNum>
  <w:abstractNum w:abstractNumId="378" w15:restartNumberingAfterBreak="0">
    <w:nsid w:val="3F73DD3B"/>
    <w:multiLevelType w:val="hybridMultilevel"/>
    <w:tmpl w:val="394A4B14"/>
    <w:lvl w:ilvl="0" w:tplc="BA888930">
      <w:start w:val="1"/>
      <w:numFmt w:val="lowerLetter"/>
      <w:lvlText w:val="%1)"/>
      <w:lvlJc w:val="left"/>
      <w:pPr>
        <w:ind w:left="720" w:hanging="360"/>
      </w:pPr>
    </w:lvl>
    <w:lvl w:ilvl="1" w:tplc="7CD200C2">
      <w:start w:val="1"/>
      <w:numFmt w:val="lowerLetter"/>
      <w:lvlText w:val="%2."/>
      <w:lvlJc w:val="left"/>
      <w:pPr>
        <w:ind w:left="1440" w:hanging="360"/>
      </w:pPr>
    </w:lvl>
    <w:lvl w:ilvl="2" w:tplc="5814482A">
      <w:start w:val="1"/>
      <w:numFmt w:val="lowerRoman"/>
      <w:lvlText w:val="%3."/>
      <w:lvlJc w:val="right"/>
      <w:pPr>
        <w:ind w:left="2160" w:hanging="180"/>
      </w:pPr>
    </w:lvl>
    <w:lvl w:ilvl="3" w:tplc="ED440DEC">
      <w:start w:val="1"/>
      <w:numFmt w:val="decimal"/>
      <w:lvlText w:val="%4."/>
      <w:lvlJc w:val="left"/>
      <w:pPr>
        <w:ind w:left="2880" w:hanging="360"/>
      </w:pPr>
    </w:lvl>
    <w:lvl w:ilvl="4" w:tplc="51CA1262">
      <w:start w:val="1"/>
      <w:numFmt w:val="lowerLetter"/>
      <w:lvlText w:val="%5."/>
      <w:lvlJc w:val="left"/>
      <w:pPr>
        <w:ind w:left="3600" w:hanging="360"/>
      </w:pPr>
    </w:lvl>
    <w:lvl w:ilvl="5" w:tplc="B3EACFCA">
      <w:start w:val="1"/>
      <w:numFmt w:val="lowerRoman"/>
      <w:lvlText w:val="%6."/>
      <w:lvlJc w:val="right"/>
      <w:pPr>
        <w:ind w:left="4320" w:hanging="180"/>
      </w:pPr>
    </w:lvl>
    <w:lvl w:ilvl="6" w:tplc="10B8BDE6">
      <w:start w:val="1"/>
      <w:numFmt w:val="decimal"/>
      <w:lvlText w:val="%7."/>
      <w:lvlJc w:val="left"/>
      <w:pPr>
        <w:ind w:left="5040" w:hanging="360"/>
      </w:pPr>
    </w:lvl>
    <w:lvl w:ilvl="7" w:tplc="AC4C7D8A">
      <w:start w:val="1"/>
      <w:numFmt w:val="lowerLetter"/>
      <w:lvlText w:val="%8."/>
      <w:lvlJc w:val="left"/>
      <w:pPr>
        <w:ind w:left="5760" w:hanging="360"/>
      </w:pPr>
    </w:lvl>
    <w:lvl w:ilvl="8" w:tplc="805CE7D8">
      <w:start w:val="1"/>
      <w:numFmt w:val="lowerRoman"/>
      <w:lvlText w:val="%9."/>
      <w:lvlJc w:val="right"/>
      <w:pPr>
        <w:ind w:left="6480" w:hanging="180"/>
      </w:pPr>
    </w:lvl>
  </w:abstractNum>
  <w:abstractNum w:abstractNumId="379" w15:restartNumberingAfterBreak="0">
    <w:nsid w:val="40280D20"/>
    <w:multiLevelType w:val="hybridMultilevel"/>
    <w:tmpl w:val="8AE4D1F8"/>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380" w15:restartNumberingAfterBreak="0">
    <w:nsid w:val="404C74A0"/>
    <w:multiLevelType w:val="multilevel"/>
    <w:tmpl w:val="FFFFFFF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1" w15:restartNumberingAfterBreak="0">
    <w:nsid w:val="40802ABA"/>
    <w:multiLevelType w:val="multilevel"/>
    <w:tmpl w:val="C5B2DE6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409B4355"/>
    <w:multiLevelType w:val="multilevel"/>
    <w:tmpl w:val="BD248F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40C63169"/>
    <w:multiLevelType w:val="hybridMultilevel"/>
    <w:tmpl w:val="E1A28D56"/>
    <w:lvl w:ilvl="0" w:tplc="561CD8F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091" w:hanging="360"/>
      </w:pPr>
      <w:rPr>
        <w:rFonts w:ascii="Courier New" w:hAnsi="Courier New" w:cs="Courier New" w:hint="default"/>
      </w:rPr>
    </w:lvl>
    <w:lvl w:ilvl="2" w:tplc="FFFFFFFF" w:tentative="1">
      <w:start w:val="1"/>
      <w:numFmt w:val="bullet"/>
      <w:lvlText w:val=""/>
      <w:lvlJc w:val="left"/>
      <w:pPr>
        <w:ind w:left="1811" w:hanging="360"/>
      </w:pPr>
      <w:rPr>
        <w:rFonts w:ascii="Cambria Math" w:hAnsi="Cambria Math" w:hint="default"/>
      </w:rPr>
    </w:lvl>
    <w:lvl w:ilvl="3" w:tplc="FFFFFFFF" w:tentative="1">
      <w:start w:val="1"/>
      <w:numFmt w:val="bullet"/>
      <w:lvlText w:val=""/>
      <w:lvlJc w:val="left"/>
      <w:pPr>
        <w:ind w:left="2531" w:hanging="360"/>
      </w:pPr>
      <w:rPr>
        <w:rFonts w:ascii="Segoe UI" w:hAnsi="Segoe UI" w:hint="default"/>
      </w:rPr>
    </w:lvl>
    <w:lvl w:ilvl="4" w:tplc="FFFFFFFF" w:tentative="1">
      <w:start w:val="1"/>
      <w:numFmt w:val="bullet"/>
      <w:lvlText w:val="o"/>
      <w:lvlJc w:val="left"/>
      <w:pPr>
        <w:ind w:left="3251" w:hanging="360"/>
      </w:pPr>
      <w:rPr>
        <w:rFonts w:ascii="Courier New" w:hAnsi="Courier New" w:cs="Courier New" w:hint="default"/>
      </w:rPr>
    </w:lvl>
    <w:lvl w:ilvl="5" w:tplc="FFFFFFFF" w:tentative="1">
      <w:start w:val="1"/>
      <w:numFmt w:val="bullet"/>
      <w:lvlText w:val=""/>
      <w:lvlJc w:val="left"/>
      <w:pPr>
        <w:ind w:left="3971" w:hanging="360"/>
      </w:pPr>
      <w:rPr>
        <w:rFonts w:ascii="Cambria Math" w:hAnsi="Cambria Math" w:hint="default"/>
      </w:rPr>
    </w:lvl>
    <w:lvl w:ilvl="6" w:tplc="FFFFFFFF" w:tentative="1">
      <w:start w:val="1"/>
      <w:numFmt w:val="bullet"/>
      <w:lvlText w:val=""/>
      <w:lvlJc w:val="left"/>
      <w:pPr>
        <w:ind w:left="4691" w:hanging="360"/>
      </w:pPr>
      <w:rPr>
        <w:rFonts w:ascii="Segoe UI" w:hAnsi="Segoe UI" w:hint="default"/>
      </w:rPr>
    </w:lvl>
    <w:lvl w:ilvl="7" w:tplc="FFFFFFFF" w:tentative="1">
      <w:start w:val="1"/>
      <w:numFmt w:val="bullet"/>
      <w:lvlText w:val="o"/>
      <w:lvlJc w:val="left"/>
      <w:pPr>
        <w:ind w:left="5411" w:hanging="360"/>
      </w:pPr>
      <w:rPr>
        <w:rFonts w:ascii="Courier New" w:hAnsi="Courier New" w:cs="Courier New" w:hint="default"/>
      </w:rPr>
    </w:lvl>
    <w:lvl w:ilvl="8" w:tplc="FFFFFFFF" w:tentative="1">
      <w:start w:val="1"/>
      <w:numFmt w:val="bullet"/>
      <w:lvlText w:val=""/>
      <w:lvlJc w:val="left"/>
      <w:pPr>
        <w:ind w:left="6131" w:hanging="360"/>
      </w:pPr>
      <w:rPr>
        <w:rFonts w:ascii="Cambria Math" w:hAnsi="Cambria Math" w:hint="default"/>
      </w:rPr>
    </w:lvl>
  </w:abstractNum>
  <w:abstractNum w:abstractNumId="384" w15:restartNumberingAfterBreak="0">
    <w:nsid w:val="41064672"/>
    <w:multiLevelType w:val="hybridMultilevel"/>
    <w:tmpl w:val="2BEE9B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5" w15:restartNumberingAfterBreak="0">
    <w:nsid w:val="417C777B"/>
    <w:multiLevelType w:val="hybridMultilevel"/>
    <w:tmpl w:val="FFFFFFFF"/>
    <w:lvl w:ilvl="0" w:tplc="C596C72A">
      <w:start w:val="3"/>
      <w:numFmt w:val="decimal"/>
      <w:lvlText w:val="%1."/>
      <w:lvlJc w:val="left"/>
      <w:pPr>
        <w:ind w:left="720" w:hanging="360"/>
      </w:pPr>
    </w:lvl>
    <w:lvl w:ilvl="1" w:tplc="3B48A12C">
      <w:start w:val="1"/>
      <w:numFmt w:val="lowerLetter"/>
      <w:lvlText w:val="%2."/>
      <w:lvlJc w:val="left"/>
      <w:pPr>
        <w:ind w:left="1440" w:hanging="360"/>
      </w:pPr>
    </w:lvl>
    <w:lvl w:ilvl="2" w:tplc="891A5072">
      <w:start w:val="1"/>
      <w:numFmt w:val="lowerRoman"/>
      <w:lvlText w:val="%3."/>
      <w:lvlJc w:val="right"/>
      <w:pPr>
        <w:ind w:left="2160" w:hanging="180"/>
      </w:pPr>
    </w:lvl>
    <w:lvl w:ilvl="3" w:tplc="A028A254">
      <w:start w:val="1"/>
      <w:numFmt w:val="decimal"/>
      <w:lvlText w:val="%4."/>
      <w:lvlJc w:val="left"/>
      <w:pPr>
        <w:ind w:left="2880" w:hanging="360"/>
      </w:pPr>
    </w:lvl>
    <w:lvl w:ilvl="4" w:tplc="E1B20A0C">
      <w:start w:val="1"/>
      <w:numFmt w:val="lowerLetter"/>
      <w:lvlText w:val="%5."/>
      <w:lvlJc w:val="left"/>
      <w:pPr>
        <w:ind w:left="3600" w:hanging="360"/>
      </w:pPr>
    </w:lvl>
    <w:lvl w:ilvl="5" w:tplc="CA76A276">
      <w:start w:val="1"/>
      <w:numFmt w:val="lowerRoman"/>
      <w:lvlText w:val="%6."/>
      <w:lvlJc w:val="right"/>
      <w:pPr>
        <w:ind w:left="4320" w:hanging="180"/>
      </w:pPr>
    </w:lvl>
    <w:lvl w:ilvl="6" w:tplc="23BA0D1E">
      <w:start w:val="1"/>
      <w:numFmt w:val="decimal"/>
      <w:lvlText w:val="%7."/>
      <w:lvlJc w:val="left"/>
      <w:pPr>
        <w:ind w:left="5040" w:hanging="360"/>
      </w:pPr>
    </w:lvl>
    <w:lvl w:ilvl="7" w:tplc="A7A60AB8">
      <w:start w:val="1"/>
      <w:numFmt w:val="lowerLetter"/>
      <w:lvlText w:val="%8."/>
      <w:lvlJc w:val="left"/>
      <w:pPr>
        <w:ind w:left="5760" w:hanging="360"/>
      </w:pPr>
    </w:lvl>
    <w:lvl w:ilvl="8" w:tplc="855822C6">
      <w:start w:val="1"/>
      <w:numFmt w:val="lowerRoman"/>
      <w:lvlText w:val="%9."/>
      <w:lvlJc w:val="right"/>
      <w:pPr>
        <w:ind w:left="6480" w:hanging="180"/>
      </w:pPr>
    </w:lvl>
  </w:abstractNum>
  <w:abstractNum w:abstractNumId="386" w15:restartNumberingAfterBreak="0">
    <w:nsid w:val="41CE3108"/>
    <w:multiLevelType w:val="hybridMultilevel"/>
    <w:tmpl w:val="147C164C"/>
    <w:lvl w:ilvl="0" w:tplc="0C0A0001">
      <w:start w:val="1"/>
      <w:numFmt w:val="bullet"/>
      <w:lvlText w:val=""/>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ambria Math" w:hAnsi="Cambria Math" w:cs="Cambria Math"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Courier New" w:hAnsi="Courier New" w:hint="default"/>
      </w:rPr>
    </w:lvl>
    <w:lvl w:ilvl="4" w:tplc="0C0A0003" w:tentative="1">
      <w:start w:val="1"/>
      <w:numFmt w:val="bullet"/>
      <w:lvlText w:val="o"/>
      <w:lvlJc w:val="left"/>
      <w:pPr>
        <w:ind w:left="3884" w:hanging="360"/>
      </w:pPr>
      <w:rPr>
        <w:rFonts w:ascii="Cambria Math" w:hAnsi="Cambria Math" w:cs="Cambria Math"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Courier New" w:hAnsi="Courier New" w:hint="default"/>
      </w:rPr>
    </w:lvl>
    <w:lvl w:ilvl="7" w:tplc="0C0A0003" w:tentative="1">
      <w:start w:val="1"/>
      <w:numFmt w:val="bullet"/>
      <w:lvlText w:val="o"/>
      <w:lvlJc w:val="left"/>
      <w:pPr>
        <w:ind w:left="6044" w:hanging="360"/>
      </w:pPr>
      <w:rPr>
        <w:rFonts w:ascii="Cambria Math" w:hAnsi="Cambria Math" w:cs="Cambria Math" w:hint="default"/>
      </w:rPr>
    </w:lvl>
    <w:lvl w:ilvl="8" w:tplc="0C0A0005" w:tentative="1">
      <w:start w:val="1"/>
      <w:numFmt w:val="bullet"/>
      <w:lvlText w:val=""/>
      <w:lvlJc w:val="left"/>
      <w:pPr>
        <w:ind w:left="6764" w:hanging="360"/>
      </w:pPr>
      <w:rPr>
        <w:rFonts w:ascii="Wingdings" w:hAnsi="Wingdings" w:hint="default"/>
      </w:rPr>
    </w:lvl>
  </w:abstractNum>
  <w:abstractNum w:abstractNumId="387" w15:restartNumberingAfterBreak="0">
    <w:nsid w:val="41F92C60"/>
    <w:multiLevelType w:val="hybridMultilevel"/>
    <w:tmpl w:val="4C888C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8" w15:restartNumberingAfterBreak="0">
    <w:nsid w:val="42156377"/>
    <w:multiLevelType w:val="multilevel"/>
    <w:tmpl w:val="4A04CB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4230647F"/>
    <w:multiLevelType w:val="hybridMultilevel"/>
    <w:tmpl w:val="E708B93A"/>
    <w:lvl w:ilvl="0" w:tplc="EC9CDDDE">
      <w:start w:val="6"/>
      <w:numFmt w:val="lowerRoman"/>
      <w:lvlText w:val="%1."/>
      <w:lvlJc w:val="right"/>
      <w:pPr>
        <w:ind w:left="2138" w:hanging="360"/>
      </w:pPr>
      <w:rPr>
        <w:rFonts w:hint="default"/>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90" w15:restartNumberingAfterBreak="0">
    <w:nsid w:val="425C18B6"/>
    <w:multiLevelType w:val="multilevel"/>
    <w:tmpl w:val="1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92" w15:restartNumberingAfterBreak="0">
    <w:nsid w:val="42C25F88"/>
    <w:multiLevelType w:val="hybridMultilevel"/>
    <w:tmpl w:val="720E005E"/>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3" w15:restartNumberingAfterBreak="0">
    <w:nsid w:val="42E05589"/>
    <w:multiLevelType w:val="multilevel"/>
    <w:tmpl w:val="68C6D42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4"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95" w15:restartNumberingAfterBreak="0">
    <w:nsid w:val="439D2A30"/>
    <w:multiLevelType w:val="hybridMultilevel"/>
    <w:tmpl w:val="C69E0D52"/>
    <w:lvl w:ilvl="0" w:tplc="080C0001">
      <w:start w:val="1"/>
      <w:numFmt w:val="bullet"/>
      <w:lvlText w:val=""/>
      <w:lvlJc w:val="left"/>
      <w:pPr>
        <w:ind w:left="907" w:hanging="360"/>
      </w:pPr>
      <w:rPr>
        <w:rFonts w:ascii="Symbol" w:hAnsi="Symbol" w:hint="default"/>
      </w:rPr>
    </w:lvl>
    <w:lvl w:ilvl="1" w:tplc="FFFFFFFF">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396" w15:restartNumberingAfterBreak="0">
    <w:nsid w:val="43ABD986"/>
    <w:multiLevelType w:val="multilevel"/>
    <w:tmpl w:val="FFFFFFFF"/>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43B94045"/>
    <w:multiLevelType w:val="hybridMultilevel"/>
    <w:tmpl w:val="840E809C"/>
    <w:lvl w:ilvl="0" w:tplc="C80AB80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8" w15:restartNumberingAfterBreak="0">
    <w:nsid w:val="43BC3B8D"/>
    <w:multiLevelType w:val="hybridMultilevel"/>
    <w:tmpl w:val="FFFFFFFF"/>
    <w:lvl w:ilvl="0" w:tplc="0010CF46">
      <w:start w:val="1"/>
      <w:numFmt w:val="bullet"/>
      <w:lvlText w:val=""/>
      <w:lvlJc w:val="left"/>
      <w:pPr>
        <w:ind w:left="720" w:hanging="360"/>
      </w:pPr>
      <w:rPr>
        <w:rFonts w:ascii="Symbol" w:hAnsi="Symbol" w:hint="default"/>
      </w:rPr>
    </w:lvl>
    <w:lvl w:ilvl="1" w:tplc="3ABED63C">
      <w:start w:val="1"/>
      <w:numFmt w:val="bullet"/>
      <w:lvlText w:val="-"/>
      <w:lvlJc w:val="left"/>
      <w:pPr>
        <w:ind w:left="1440" w:hanging="360"/>
      </w:pPr>
      <w:rPr>
        <w:rFonts w:ascii="Calibri" w:hAnsi="Calibri" w:hint="default"/>
      </w:rPr>
    </w:lvl>
    <w:lvl w:ilvl="2" w:tplc="69C87C28">
      <w:start w:val="1"/>
      <w:numFmt w:val="bullet"/>
      <w:lvlText w:val=""/>
      <w:lvlJc w:val="left"/>
      <w:pPr>
        <w:ind w:left="2160" w:hanging="360"/>
      </w:pPr>
      <w:rPr>
        <w:rFonts w:ascii="Wingdings" w:hAnsi="Wingdings" w:hint="default"/>
      </w:rPr>
    </w:lvl>
    <w:lvl w:ilvl="3" w:tplc="9B3858EE">
      <w:start w:val="1"/>
      <w:numFmt w:val="bullet"/>
      <w:lvlText w:val=""/>
      <w:lvlJc w:val="left"/>
      <w:pPr>
        <w:ind w:left="2880" w:hanging="360"/>
      </w:pPr>
      <w:rPr>
        <w:rFonts w:ascii="Symbol" w:hAnsi="Symbol" w:hint="default"/>
      </w:rPr>
    </w:lvl>
    <w:lvl w:ilvl="4" w:tplc="1706C458">
      <w:start w:val="1"/>
      <w:numFmt w:val="bullet"/>
      <w:lvlText w:val="o"/>
      <w:lvlJc w:val="left"/>
      <w:pPr>
        <w:ind w:left="3600" w:hanging="360"/>
      </w:pPr>
      <w:rPr>
        <w:rFonts w:ascii="Courier New" w:hAnsi="Courier New" w:hint="default"/>
      </w:rPr>
    </w:lvl>
    <w:lvl w:ilvl="5" w:tplc="E0C6A61A">
      <w:start w:val="1"/>
      <w:numFmt w:val="bullet"/>
      <w:lvlText w:val=""/>
      <w:lvlJc w:val="left"/>
      <w:pPr>
        <w:ind w:left="4320" w:hanging="360"/>
      </w:pPr>
      <w:rPr>
        <w:rFonts w:ascii="Wingdings" w:hAnsi="Wingdings" w:hint="default"/>
      </w:rPr>
    </w:lvl>
    <w:lvl w:ilvl="6" w:tplc="C7D4B6BE">
      <w:start w:val="1"/>
      <w:numFmt w:val="bullet"/>
      <w:lvlText w:val=""/>
      <w:lvlJc w:val="left"/>
      <w:pPr>
        <w:ind w:left="5040" w:hanging="360"/>
      </w:pPr>
      <w:rPr>
        <w:rFonts w:ascii="Symbol" w:hAnsi="Symbol" w:hint="default"/>
      </w:rPr>
    </w:lvl>
    <w:lvl w:ilvl="7" w:tplc="419087A2">
      <w:start w:val="1"/>
      <w:numFmt w:val="bullet"/>
      <w:lvlText w:val="o"/>
      <w:lvlJc w:val="left"/>
      <w:pPr>
        <w:ind w:left="5760" w:hanging="360"/>
      </w:pPr>
      <w:rPr>
        <w:rFonts w:ascii="Courier New" w:hAnsi="Courier New" w:hint="default"/>
      </w:rPr>
    </w:lvl>
    <w:lvl w:ilvl="8" w:tplc="E076CA9C">
      <w:start w:val="1"/>
      <w:numFmt w:val="bullet"/>
      <w:lvlText w:val=""/>
      <w:lvlJc w:val="left"/>
      <w:pPr>
        <w:ind w:left="6480" w:hanging="360"/>
      </w:pPr>
      <w:rPr>
        <w:rFonts w:ascii="Wingdings" w:hAnsi="Wingdings" w:hint="default"/>
      </w:rPr>
    </w:lvl>
  </w:abstractNum>
  <w:abstractNum w:abstractNumId="399" w15:restartNumberingAfterBreak="0">
    <w:nsid w:val="43D7ACDD"/>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43F42D98"/>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1" w15:restartNumberingAfterBreak="0">
    <w:nsid w:val="44180FBC"/>
    <w:multiLevelType w:val="multilevel"/>
    <w:tmpl w:val="895633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2" w15:restartNumberingAfterBreak="0">
    <w:nsid w:val="442C7C07"/>
    <w:multiLevelType w:val="hybridMultilevel"/>
    <w:tmpl w:val="CBDC5E20"/>
    <w:lvl w:ilvl="0" w:tplc="04090001">
      <w:start w:val="1"/>
      <w:numFmt w:val="bullet"/>
      <w:lvlText w:val=""/>
      <w:lvlJc w:val="left"/>
      <w:pPr>
        <w:ind w:left="72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403" w15:restartNumberingAfterBreak="0">
    <w:nsid w:val="445409E8"/>
    <w:multiLevelType w:val="hybridMultilevel"/>
    <w:tmpl w:val="798432B0"/>
    <w:lvl w:ilvl="0" w:tplc="312A5F28">
      <w:start w:val="1"/>
      <w:numFmt w:val="bullet"/>
      <w:lvlText w:val="-"/>
      <w:lvlJc w:val="left"/>
      <w:pPr>
        <w:ind w:left="2138" w:hanging="360"/>
      </w:pPr>
      <w:rPr>
        <w:rFonts w:ascii="Calibri" w:eastAsiaTheme="minorHAnsi" w:hAnsi="Calibri" w:cs="Calibri" w:hint="default"/>
        <w:color w:val="7030A0"/>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404" w15:restartNumberingAfterBreak="0">
    <w:nsid w:val="445E1128"/>
    <w:multiLevelType w:val="hybridMultilevel"/>
    <w:tmpl w:val="CFB864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5" w15:restartNumberingAfterBreak="0">
    <w:nsid w:val="446227E7"/>
    <w:multiLevelType w:val="hybridMultilevel"/>
    <w:tmpl w:val="082024BA"/>
    <w:lvl w:ilvl="0" w:tplc="93F24E22">
      <w:numFmt w:val="bullet"/>
      <w:lvlText w:val="•"/>
      <w:lvlJc w:val="left"/>
      <w:pPr>
        <w:ind w:left="1080" w:hanging="360"/>
      </w:pPr>
      <w:rPr>
        <w:rFonts w:ascii="Times New Roman" w:eastAsiaTheme="minorEastAsia"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06" w15:restartNumberingAfterBreak="0">
    <w:nsid w:val="446F0980"/>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7" w15:restartNumberingAfterBreak="0">
    <w:nsid w:val="44746AF7"/>
    <w:multiLevelType w:val="hybridMultilevel"/>
    <w:tmpl w:val="8BA6069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8" w15:restartNumberingAfterBreak="0">
    <w:nsid w:val="447A3124"/>
    <w:multiLevelType w:val="hybridMultilevel"/>
    <w:tmpl w:val="8BF0012C"/>
    <w:lvl w:ilvl="0" w:tplc="04090001">
      <w:start w:val="1"/>
      <w:numFmt w:val="bullet"/>
      <w:lvlText w:val=""/>
      <w:lvlJc w:val="left"/>
      <w:pPr>
        <w:ind w:left="720" w:hanging="360"/>
      </w:pPr>
      <w:rPr>
        <w:rFonts w:ascii="Segoe UI" w:hAnsi="Segoe U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44D271F3"/>
    <w:multiLevelType w:val="multilevel"/>
    <w:tmpl w:val="9790F1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44F10CD8"/>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1" w15:restartNumberingAfterBreak="0">
    <w:nsid w:val="45157FFE"/>
    <w:multiLevelType w:val="hybridMultilevel"/>
    <w:tmpl w:val="F2729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2" w15:restartNumberingAfterBreak="0">
    <w:nsid w:val="453A952F"/>
    <w:multiLevelType w:val="hybridMultilevel"/>
    <w:tmpl w:val="FFFFFFFF"/>
    <w:lvl w:ilvl="0" w:tplc="CB563A50">
      <w:start w:val="1"/>
      <w:numFmt w:val="bullet"/>
      <w:lvlText w:val="o"/>
      <w:lvlJc w:val="left"/>
      <w:pPr>
        <w:ind w:left="720" w:hanging="360"/>
      </w:pPr>
      <w:rPr>
        <w:rFonts w:ascii="&quot;Courier New&quot;" w:hAnsi="&quot;Courier New&quot;" w:hint="default"/>
      </w:rPr>
    </w:lvl>
    <w:lvl w:ilvl="1" w:tplc="99107D2E">
      <w:start w:val="1"/>
      <w:numFmt w:val="bullet"/>
      <w:lvlText w:val="o"/>
      <w:lvlJc w:val="left"/>
      <w:pPr>
        <w:ind w:left="1440" w:hanging="360"/>
      </w:pPr>
      <w:rPr>
        <w:rFonts w:ascii="Courier New" w:hAnsi="Courier New" w:hint="default"/>
      </w:rPr>
    </w:lvl>
    <w:lvl w:ilvl="2" w:tplc="E8300AB8">
      <w:start w:val="1"/>
      <w:numFmt w:val="bullet"/>
      <w:lvlText w:val=""/>
      <w:lvlJc w:val="left"/>
      <w:pPr>
        <w:ind w:left="2160" w:hanging="360"/>
      </w:pPr>
      <w:rPr>
        <w:rFonts w:ascii="Wingdings" w:hAnsi="Wingdings" w:hint="default"/>
      </w:rPr>
    </w:lvl>
    <w:lvl w:ilvl="3" w:tplc="98E2AB34">
      <w:start w:val="1"/>
      <w:numFmt w:val="bullet"/>
      <w:lvlText w:val=""/>
      <w:lvlJc w:val="left"/>
      <w:pPr>
        <w:ind w:left="2880" w:hanging="360"/>
      </w:pPr>
      <w:rPr>
        <w:rFonts w:ascii="Symbol" w:hAnsi="Symbol" w:hint="default"/>
      </w:rPr>
    </w:lvl>
    <w:lvl w:ilvl="4" w:tplc="62FCD6FA">
      <w:start w:val="1"/>
      <w:numFmt w:val="bullet"/>
      <w:lvlText w:val="o"/>
      <w:lvlJc w:val="left"/>
      <w:pPr>
        <w:ind w:left="3600" w:hanging="360"/>
      </w:pPr>
      <w:rPr>
        <w:rFonts w:ascii="Courier New" w:hAnsi="Courier New" w:hint="default"/>
      </w:rPr>
    </w:lvl>
    <w:lvl w:ilvl="5" w:tplc="EC703CF2">
      <w:start w:val="1"/>
      <w:numFmt w:val="bullet"/>
      <w:lvlText w:val=""/>
      <w:lvlJc w:val="left"/>
      <w:pPr>
        <w:ind w:left="4320" w:hanging="360"/>
      </w:pPr>
      <w:rPr>
        <w:rFonts w:ascii="Wingdings" w:hAnsi="Wingdings" w:hint="default"/>
      </w:rPr>
    </w:lvl>
    <w:lvl w:ilvl="6" w:tplc="89E48626">
      <w:start w:val="1"/>
      <w:numFmt w:val="bullet"/>
      <w:lvlText w:val=""/>
      <w:lvlJc w:val="left"/>
      <w:pPr>
        <w:ind w:left="5040" w:hanging="360"/>
      </w:pPr>
      <w:rPr>
        <w:rFonts w:ascii="Symbol" w:hAnsi="Symbol" w:hint="default"/>
      </w:rPr>
    </w:lvl>
    <w:lvl w:ilvl="7" w:tplc="CF84975A">
      <w:start w:val="1"/>
      <w:numFmt w:val="bullet"/>
      <w:lvlText w:val="o"/>
      <w:lvlJc w:val="left"/>
      <w:pPr>
        <w:ind w:left="5760" w:hanging="360"/>
      </w:pPr>
      <w:rPr>
        <w:rFonts w:ascii="Courier New" w:hAnsi="Courier New" w:hint="default"/>
      </w:rPr>
    </w:lvl>
    <w:lvl w:ilvl="8" w:tplc="F3384326">
      <w:start w:val="1"/>
      <w:numFmt w:val="bullet"/>
      <w:lvlText w:val=""/>
      <w:lvlJc w:val="left"/>
      <w:pPr>
        <w:ind w:left="6480" w:hanging="360"/>
      </w:pPr>
      <w:rPr>
        <w:rFonts w:ascii="Wingdings" w:hAnsi="Wingdings" w:hint="default"/>
      </w:rPr>
    </w:lvl>
  </w:abstractNum>
  <w:abstractNum w:abstractNumId="413" w15:restartNumberingAfterBreak="0">
    <w:nsid w:val="454654C8"/>
    <w:multiLevelType w:val="hybridMultilevel"/>
    <w:tmpl w:val="8F7E77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4"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egoe UI" w:hAnsi="Segoe UI" w:hint="default"/>
      </w:rPr>
    </w:lvl>
  </w:abstractNum>
  <w:abstractNum w:abstractNumId="415" w15:restartNumberingAfterBreak="0">
    <w:nsid w:val="45615454"/>
    <w:multiLevelType w:val="hybridMultilevel"/>
    <w:tmpl w:val="D714C7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6" w15:restartNumberingAfterBreak="0">
    <w:nsid w:val="457E3020"/>
    <w:multiLevelType w:val="hybridMultilevel"/>
    <w:tmpl w:val="DA6AA1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7" w15:restartNumberingAfterBreak="0">
    <w:nsid w:val="459DE1EA"/>
    <w:multiLevelType w:val="hybridMultilevel"/>
    <w:tmpl w:val="FFFFFFFF"/>
    <w:lvl w:ilvl="0" w:tplc="FAC89114">
      <w:start w:val="1"/>
      <w:numFmt w:val="bullet"/>
      <w:lvlText w:val=""/>
      <w:lvlJc w:val="left"/>
      <w:pPr>
        <w:ind w:left="720" w:hanging="360"/>
      </w:pPr>
      <w:rPr>
        <w:rFonts w:ascii="Segoe UI" w:hAnsi="Segoe UI" w:hint="default"/>
      </w:rPr>
    </w:lvl>
    <w:lvl w:ilvl="1" w:tplc="23BEAF7C">
      <w:start w:val="1"/>
      <w:numFmt w:val="bullet"/>
      <w:lvlText w:val="o"/>
      <w:lvlJc w:val="left"/>
      <w:pPr>
        <w:ind w:left="1440" w:hanging="360"/>
      </w:pPr>
      <w:rPr>
        <w:rFonts w:ascii="Courier New" w:hAnsi="Courier New" w:hint="default"/>
      </w:rPr>
    </w:lvl>
    <w:lvl w:ilvl="2" w:tplc="9E1C0434">
      <w:start w:val="1"/>
      <w:numFmt w:val="bullet"/>
      <w:lvlText w:val=""/>
      <w:lvlJc w:val="left"/>
      <w:pPr>
        <w:ind w:left="2160" w:hanging="360"/>
      </w:pPr>
      <w:rPr>
        <w:rFonts w:ascii="Cambria Math" w:hAnsi="Cambria Math" w:hint="default"/>
      </w:rPr>
    </w:lvl>
    <w:lvl w:ilvl="3" w:tplc="95AC53D2">
      <w:start w:val="1"/>
      <w:numFmt w:val="bullet"/>
      <w:lvlText w:val=""/>
      <w:lvlJc w:val="left"/>
      <w:pPr>
        <w:ind w:left="2880" w:hanging="360"/>
      </w:pPr>
      <w:rPr>
        <w:rFonts w:ascii="Segoe UI" w:hAnsi="Segoe UI" w:hint="default"/>
      </w:rPr>
    </w:lvl>
    <w:lvl w:ilvl="4" w:tplc="2646D9A6">
      <w:start w:val="1"/>
      <w:numFmt w:val="bullet"/>
      <w:lvlText w:val="o"/>
      <w:lvlJc w:val="left"/>
      <w:pPr>
        <w:ind w:left="3600" w:hanging="360"/>
      </w:pPr>
      <w:rPr>
        <w:rFonts w:ascii="Courier New" w:hAnsi="Courier New" w:hint="default"/>
      </w:rPr>
    </w:lvl>
    <w:lvl w:ilvl="5" w:tplc="4D4CD87C">
      <w:start w:val="1"/>
      <w:numFmt w:val="bullet"/>
      <w:lvlText w:val=""/>
      <w:lvlJc w:val="left"/>
      <w:pPr>
        <w:ind w:left="4320" w:hanging="360"/>
      </w:pPr>
      <w:rPr>
        <w:rFonts w:ascii="Cambria Math" w:hAnsi="Cambria Math" w:hint="default"/>
      </w:rPr>
    </w:lvl>
    <w:lvl w:ilvl="6" w:tplc="8BD6F5E8">
      <w:start w:val="1"/>
      <w:numFmt w:val="bullet"/>
      <w:lvlText w:val=""/>
      <w:lvlJc w:val="left"/>
      <w:pPr>
        <w:ind w:left="5040" w:hanging="360"/>
      </w:pPr>
      <w:rPr>
        <w:rFonts w:ascii="Segoe UI" w:hAnsi="Segoe UI" w:hint="default"/>
      </w:rPr>
    </w:lvl>
    <w:lvl w:ilvl="7" w:tplc="49940C00">
      <w:start w:val="1"/>
      <w:numFmt w:val="bullet"/>
      <w:lvlText w:val="o"/>
      <w:lvlJc w:val="left"/>
      <w:pPr>
        <w:ind w:left="5760" w:hanging="360"/>
      </w:pPr>
      <w:rPr>
        <w:rFonts w:ascii="Courier New" w:hAnsi="Courier New" w:hint="default"/>
      </w:rPr>
    </w:lvl>
    <w:lvl w:ilvl="8" w:tplc="DBD06F86">
      <w:start w:val="1"/>
      <w:numFmt w:val="bullet"/>
      <w:lvlText w:val=""/>
      <w:lvlJc w:val="left"/>
      <w:pPr>
        <w:ind w:left="6480" w:hanging="360"/>
      </w:pPr>
      <w:rPr>
        <w:rFonts w:ascii="Cambria Math" w:hAnsi="Cambria Math" w:hint="default"/>
      </w:rPr>
    </w:lvl>
  </w:abstractNum>
  <w:abstractNum w:abstractNumId="418" w15:restartNumberingAfterBreak="0">
    <w:nsid w:val="45BC00BD"/>
    <w:multiLevelType w:val="hybridMultilevel"/>
    <w:tmpl w:val="2DC2D88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9" w15:restartNumberingAfterBreak="0">
    <w:nsid w:val="45FB70EA"/>
    <w:multiLevelType w:val="hybridMultilevel"/>
    <w:tmpl w:val="A53C969E"/>
    <w:lvl w:ilvl="0" w:tplc="18090019">
      <w:start w:val="1"/>
      <w:numFmt w:val="lowerLetter"/>
      <w:lvlText w:val="%1."/>
      <w:lvlJc w:val="left"/>
      <w:pPr>
        <w:ind w:left="720" w:hanging="360"/>
      </w:pPr>
      <w:rPr>
        <w:rFonts w:hint="default"/>
      </w:rPr>
    </w:lvl>
    <w:lvl w:ilvl="1" w:tplc="1809001B">
      <w:start w:val="1"/>
      <w:numFmt w:val="lowerRoman"/>
      <w:lvlText w:val="%2."/>
      <w:lvlJc w:val="right"/>
      <w:pPr>
        <w:ind w:left="1440" w:hanging="360"/>
      </w:pPr>
    </w:lvl>
    <w:lvl w:ilvl="2" w:tplc="1809000F">
      <w:start w:val="1"/>
      <w:numFmt w:val="decimal"/>
      <w:lvlText w:val="%3."/>
      <w:lvlJc w:val="left"/>
      <w:pPr>
        <w:ind w:left="2340" w:hanging="36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0" w15:restartNumberingAfterBreak="0">
    <w:nsid w:val="462B24AF"/>
    <w:multiLevelType w:val="multilevel"/>
    <w:tmpl w:val="F412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2" w15:restartNumberingAfterBreak="0">
    <w:nsid w:val="46CED197"/>
    <w:multiLevelType w:val="hybridMultilevel"/>
    <w:tmpl w:val="FFFFFFFF"/>
    <w:lvl w:ilvl="0" w:tplc="4AB8E898">
      <w:start w:val="1"/>
      <w:numFmt w:val="bullet"/>
      <w:lvlText w:val="o"/>
      <w:lvlJc w:val="left"/>
      <w:pPr>
        <w:ind w:left="720" w:hanging="360"/>
      </w:pPr>
      <w:rPr>
        <w:rFonts w:ascii="&quot;Courier New&quot;" w:hAnsi="&quot;Courier New&quot;" w:hint="default"/>
      </w:rPr>
    </w:lvl>
    <w:lvl w:ilvl="1" w:tplc="A718E9C4">
      <w:start w:val="1"/>
      <w:numFmt w:val="bullet"/>
      <w:lvlText w:val="o"/>
      <w:lvlJc w:val="left"/>
      <w:pPr>
        <w:ind w:left="1440" w:hanging="360"/>
      </w:pPr>
      <w:rPr>
        <w:rFonts w:ascii="Courier New" w:hAnsi="Courier New" w:hint="default"/>
      </w:rPr>
    </w:lvl>
    <w:lvl w:ilvl="2" w:tplc="9B3A8E0E">
      <w:start w:val="1"/>
      <w:numFmt w:val="bullet"/>
      <w:lvlText w:val=""/>
      <w:lvlJc w:val="left"/>
      <w:pPr>
        <w:ind w:left="2160" w:hanging="360"/>
      </w:pPr>
      <w:rPr>
        <w:rFonts w:ascii="Wingdings" w:hAnsi="Wingdings" w:hint="default"/>
      </w:rPr>
    </w:lvl>
    <w:lvl w:ilvl="3" w:tplc="36C6D10E">
      <w:start w:val="1"/>
      <w:numFmt w:val="bullet"/>
      <w:lvlText w:val=""/>
      <w:lvlJc w:val="left"/>
      <w:pPr>
        <w:ind w:left="2880" w:hanging="360"/>
      </w:pPr>
      <w:rPr>
        <w:rFonts w:ascii="Symbol" w:hAnsi="Symbol" w:hint="default"/>
      </w:rPr>
    </w:lvl>
    <w:lvl w:ilvl="4" w:tplc="7D186640">
      <w:start w:val="1"/>
      <w:numFmt w:val="bullet"/>
      <w:lvlText w:val="o"/>
      <w:lvlJc w:val="left"/>
      <w:pPr>
        <w:ind w:left="3600" w:hanging="360"/>
      </w:pPr>
      <w:rPr>
        <w:rFonts w:ascii="Courier New" w:hAnsi="Courier New" w:hint="default"/>
      </w:rPr>
    </w:lvl>
    <w:lvl w:ilvl="5" w:tplc="44C6EE56">
      <w:start w:val="1"/>
      <w:numFmt w:val="bullet"/>
      <w:lvlText w:val=""/>
      <w:lvlJc w:val="left"/>
      <w:pPr>
        <w:ind w:left="4320" w:hanging="360"/>
      </w:pPr>
      <w:rPr>
        <w:rFonts w:ascii="Wingdings" w:hAnsi="Wingdings" w:hint="default"/>
      </w:rPr>
    </w:lvl>
    <w:lvl w:ilvl="6" w:tplc="E9248694">
      <w:start w:val="1"/>
      <w:numFmt w:val="bullet"/>
      <w:lvlText w:val=""/>
      <w:lvlJc w:val="left"/>
      <w:pPr>
        <w:ind w:left="5040" w:hanging="360"/>
      </w:pPr>
      <w:rPr>
        <w:rFonts w:ascii="Symbol" w:hAnsi="Symbol" w:hint="default"/>
      </w:rPr>
    </w:lvl>
    <w:lvl w:ilvl="7" w:tplc="76AAF964">
      <w:start w:val="1"/>
      <w:numFmt w:val="bullet"/>
      <w:lvlText w:val="o"/>
      <w:lvlJc w:val="left"/>
      <w:pPr>
        <w:ind w:left="5760" w:hanging="360"/>
      </w:pPr>
      <w:rPr>
        <w:rFonts w:ascii="Courier New" w:hAnsi="Courier New" w:hint="default"/>
      </w:rPr>
    </w:lvl>
    <w:lvl w:ilvl="8" w:tplc="395CF626">
      <w:start w:val="1"/>
      <w:numFmt w:val="bullet"/>
      <w:lvlText w:val=""/>
      <w:lvlJc w:val="left"/>
      <w:pPr>
        <w:ind w:left="6480" w:hanging="360"/>
      </w:pPr>
      <w:rPr>
        <w:rFonts w:ascii="Wingdings" w:hAnsi="Wingdings" w:hint="default"/>
      </w:rPr>
    </w:lvl>
  </w:abstractNum>
  <w:abstractNum w:abstractNumId="423" w15:restartNumberingAfterBreak="0">
    <w:nsid w:val="46EC1C26"/>
    <w:multiLevelType w:val="hybridMultilevel"/>
    <w:tmpl w:val="9B160284"/>
    <w:lvl w:ilvl="0" w:tplc="0C0A0001">
      <w:start w:val="1"/>
      <w:numFmt w:val="bullet"/>
      <w:lvlText w:val=""/>
      <w:lvlJc w:val="left"/>
      <w:pPr>
        <w:ind w:left="360" w:hanging="360"/>
      </w:pPr>
      <w:rPr>
        <w:rFonts w:ascii="Courier New" w:hAnsi="Courier New" w:hint="default"/>
        <w:color w:val="7030A0"/>
      </w:rPr>
    </w:lvl>
    <w:lvl w:ilvl="1" w:tplc="FFFFFFFF" w:tentative="1">
      <w:start w:val="1"/>
      <w:numFmt w:val="bullet"/>
      <w:lvlText w:val="o"/>
      <w:lvlJc w:val="left"/>
      <w:pPr>
        <w:ind w:left="1080" w:hanging="360"/>
      </w:pPr>
      <w:rPr>
        <w:rFonts w:ascii="Cambria Math" w:hAnsi="Cambria Math" w:cs="Cambria Math"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Cambria Math" w:hAnsi="Cambria Math" w:cs="Cambria Math"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Cambria Math" w:hAnsi="Cambria Math" w:cs="Cambria Math" w:hint="default"/>
      </w:rPr>
    </w:lvl>
    <w:lvl w:ilvl="8" w:tplc="FFFFFFFF" w:tentative="1">
      <w:start w:val="1"/>
      <w:numFmt w:val="bullet"/>
      <w:lvlText w:val=""/>
      <w:lvlJc w:val="left"/>
      <w:pPr>
        <w:ind w:left="6120" w:hanging="360"/>
      </w:pPr>
      <w:rPr>
        <w:rFonts w:ascii="Wingdings" w:hAnsi="Wingdings" w:hint="default"/>
      </w:rPr>
    </w:lvl>
  </w:abstractNum>
  <w:abstractNum w:abstractNumId="424" w15:restartNumberingAfterBreak="0">
    <w:nsid w:val="471D56DD"/>
    <w:multiLevelType w:val="hybridMultilevel"/>
    <w:tmpl w:val="26D88BD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474EE9FC"/>
    <w:multiLevelType w:val="multilevel"/>
    <w:tmpl w:val="FFFFFFFF"/>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478F718B"/>
    <w:multiLevelType w:val="hybridMultilevel"/>
    <w:tmpl w:val="0C14B1DC"/>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427" w15:restartNumberingAfterBreak="0">
    <w:nsid w:val="47ABBE4E"/>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8" w15:restartNumberingAfterBreak="0">
    <w:nsid w:val="47BB1A89"/>
    <w:multiLevelType w:val="hybridMultilevel"/>
    <w:tmpl w:val="41C23C94"/>
    <w:lvl w:ilvl="0" w:tplc="FFFFFFF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29" w15:restartNumberingAfterBreak="0">
    <w:nsid w:val="47BCC550"/>
    <w:multiLevelType w:val="hybridMultilevel"/>
    <w:tmpl w:val="FFFFFFFF"/>
    <w:lvl w:ilvl="0" w:tplc="2CCABC2A">
      <w:start w:val="1"/>
      <w:numFmt w:val="bullet"/>
      <w:lvlText w:val=""/>
      <w:lvlJc w:val="left"/>
      <w:pPr>
        <w:ind w:left="720" w:hanging="360"/>
      </w:pPr>
    </w:lvl>
    <w:lvl w:ilvl="1" w:tplc="144C074E">
      <w:start w:val="1"/>
      <w:numFmt w:val="lowerLetter"/>
      <w:lvlText w:val="%2."/>
      <w:lvlJc w:val="left"/>
      <w:pPr>
        <w:ind w:left="1440" w:hanging="360"/>
      </w:pPr>
    </w:lvl>
    <w:lvl w:ilvl="2" w:tplc="BF466FBC">
      <w:start w:val="1"/>
      <w:numFmt w:val="lowerRoman"/>
      <w:lvlText w:val="%3."/>
      <w:lvlJc w:val="right"/>
      <w:pPr>
        <w:ind w:left="2160" w:hanging="180"/>
      </w:pPr>
    </w:lvl>
    <w:lvl w:ilvl="3" w:tplc="E67A738C">
      <w:start w:val="1"/>
      <w:numFmt w:val="decimal"/>
      <w:lvlText w:val="%4."/>
      <w:lvlJc w:val="left"/>
      <w:pPr>
        <w:ind w:left="2880" w:hanging="360"/>
      </w:pPr>
    </w:lvl>
    <w:lvl w:ilvl="4" w:tplc="1BAAB264">
      <w:start w:val="1"/>
      <w:numFmt w:val="lowerLetter"/>
      <w:lvlText w:val="%5."/>
      <w:lvlJc w:val="left"/>
      <w:pPr>
        <w:ind w:left="3600" w:hanging="360"/>
      </w:pPr>
    </w:lvl>
    <w:lvl w:ilvl="5" w:tplc="3508FCD2">
      <w:start w:val="1"/>
      <w:numFmt w:val="lowerRoman"/>
      <w:lvlText w:val="%6."/>
      <w:lvlJc w:val="right"/>
      <w:pPr>
        <w:ind w:left="4320" w:hanging="180"/>
      </w:pPr>
    </w:lvl>
    <w:lvl w:ilvl="6" w:tplc="AC76CA2C">
      <w:start w:val="1"/>
      <w:numFmt w:val="decimal"/>
      <w:lvlText w:val="%7."/>
      <w:lvlJc w:val="left"/>
      <w:pPr>
        <w:ind w:left="5040" w:hanging="360"/>
      </w:pPr>
    </w:lvl>
    <w:lvl w:ilvl="7" w:tplc="7BF2817E">
      <w:start w:val="1"/>
      <w:numFmt w:val="lowerLetter"/>
      <w:lvlText w:val="%8."/>
      <w:lvlJc w:val="left"/>
      <w:pPr>
        <w:ind w:left="5760" w:hanging="360"/>
      </w:pPr>
    </w:lvl>
    <w:lvl w:ilvl="8" w:tplc="5B229082">
      <w:start w:val="1"/>
      <w:numFmt w:val="lowerRoman"/>
      <w:lvlText w:val="%9."/>
      <w:lvlJc w:val="right"/>
      <w:pPr>
        <w:ind w:left="6480" w:hanging="180"/>
      </w:pPr>
    </w:lvl>
  </w:abstractNum>
  <w:abstractNum w:abstractNumId="430" w15:restartNumberingAfterBreak="0">
    <w:nsid w:val="48397EFD"/>
    <w:multiLevelType w:val="multilevel"/>
    <w:tmpl w:val="14625D6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1" w15:restartNumberingAfterBreak="0">
    <w:nsid w:val="483B528B"/>
    <w:multiLevelType w:val="hybridMultilevel"/>
    <w:tmpl w:val="FFFFFFFF"/>
    <w:lvl w:ilvl="0" w:tplc="7F821BE2">
      <w:start w:val="10"/>
      <w:numFmt w:val="decimal"/>
      <w:lvlText w:val="%1."/>
      <w:lvlJc w:val="left"/>
      <w:pPr>
        <w:ind w:left="720" w:hanging="360"/>
      </w:pPr>
    </w:lvl>
    <w:lvl w:ilvl="1" w:tplc="2B82A458">
      <w:start w:val="1"/>
      <w:numFmt w:val="lowerLetter"/>
      <w:lvlText w:val="%2."/>
      <w:lvlJc w:val="left"/>
      <w:pPr>
        <w:ind w:left="1440" w:hanging="360"/>
      </w:pPr>
    </w:lvl>
    <w:lvl w:ilvl="2" w:tplc="347624B2">
      <w:start w:val="1"/>
      <w:numFmt w:val="lowerRoman"/>
      <w:lvlText w:val="%3."/>
      <w:lvlJc w:val="right"/>
      <w:pPr>
        <w:ind w:left="2160" w:hanging="180"/>
      </w:pPr>
    </w:lvl>
    <w:lvl w:ilvl="3" w:tplc="10803E08">
      <w:start w:val="1"/>
      <w:numFmt w:val="decimal"/>
      <w:lvlText w:val="%4."/>
      <w:lvlJc w:val="left"/>
      <w:pPr>
        <w:ind w:left="2880" w:hanging="360"/>
      </w:pPr>
    </w:lvl>
    <w:lvl w:ilvl="4" w:tplc="1CD0DEAC">
      <w:start w:val="1"/>
      <w:numFmt w:val="lowerLetter"/>
      <w:lvlText w:val="%5."/>
      <w:lvlJc w:val="left"/>
      <w:pPr>
        <w:ind w:left="3600" w:hanging="360"/>
      </w:pPr>
    </w:lvl>
    <w:lvl w:ilvl="5" w:tplc="218C4D84">
      <w:start w:val="1"/>
      <w:numFmt w:val="lowerRoman"/>
      <w:lvlText w:val="%6."/>
      <w:lvlJc w:val="right"/>
      <w:pPr>
        <w:ind w:left="4320" w:hanging="180"/>
      </w:pPr>
    </w:lvl>
    <w:lvl w:ilvl="6" w:tplc="3A763472">
      <w:start w:val="1"/>
      <w:numFmt w:val="decimal"/>
      <w:lvlText w:val="%7."/>
      <w:lvlJc w:val="left"/>
      <w:pPr>
        <w:ind w:left="5040" w:hanging="360"/>
      </w:pPr>
    </w:lvl>
    <w:lvl w:ilvl="7" w:tplc="79B8FE1C">
      <w:start w:val="1"/>
      <w:numFmt w:val="lowerLetter"/>
      <w:lvlText w:val="%8."/>
      <w:lvlJc w:val="left"/>
      <w:pPr>
        <w:ind w:left="5760" w:hanging="360"/>
      </w:pPr>
    </w:lvl>
    <w:lvl w:ilvl="8" w:tplc="FE1E7EBA">
      <w:start w:val="1"/>
      <w:numFmt w:val="lowerRoman"/>
      <w:lvlText w:val="%9."/>
      <w:lvlJc w:val="right"/>
      <w:pPr>
        <w:ind w:left="6480" w:hanging="180"/>
      </w:pPr>
    </w:lvl>
  </w:abstractNum>
  <w:abstractNum w:abstractNumId="432" w15:restartNumberingAfterBreak="0">
    <w:nsid w:val="485B142E"/>
    <w:multiLevelType w:val="hybridMultilevel"/>
    <w:tmpl w:val="E45670F2"/>
    <w:lvl w:ilvl="0" w:tplc="18090019">
      <w:start w:val="1"/>
      <w:numFmt w:val="lowerLetter"/>
      <w:lvlText w:val="%1."/>
      <w:lvlJc w:val="lef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3" w15:restartNumberingAfterBreak="0">
    <w:nsid w:val="487B4A95"/>
    <w:multiLevelType w:val="hybridMultilevel"/>
    <w:tmpl w:val="D7FA092A"/>
    <w:lvl w:ilvl="0" w:tplc="EF6EEC0C">
      <w:start w:val="1"/>
      <w:numFmt w:val="lowerLetter"/>
      <w:lvlText w:val="%1)"/>
      <w:lvlJc w:val="left"/>
      <w:pPr>
        <w:ind w:left="10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4" w15:restartNumberingAfterBreak="0">
    <w:nsid w:val="4890172E"/>
    <w:multiLevelType w:val="hybridMultilevel"/>
    <w:tmpl w:val="FFFFFFFF"/>
    <w:lvl w:ilvl="0" w:tplc="3BB4CCB0">
      <w:start w:val="1"/>
      <w:numFmt w:val="bullet"/>
      <w:lvlText w:val="-"/>
      <w:lvlJc w:val="left"/>
      <w:pPr>
        <w:ind w:left="720" w:hanging="360"/>
      </w:pPr>
      <w:rPr>
        <w:rFonts w:ascii="Wingdings" w:hAnsi="Wingdings" w:hint="default"/>
      </w:rPr>
    </w:lvl>
    <w:lvl w:ilvl="1" w:tplc="F67EFD16">
      <w:start w:val="1"/>
      <w:numFmt w:val="bullet"/>
      <w:lvlText w:val="o"/>
      <w:lvlJc w:val="left"/>
      <w:pPr>
        <w:ind w:left="1440" w:hanging="360"/>
      </w:pPr>
      <w:rPr>
        <w:rFonts w:ascii="Courier New" w:hAnsi="Courier New" w:hint="default"/>
      </w:rPr>
    </w:lvl>
    <w:lvl w:ilvl="2" w:tplc="E0189C88">
      <w:start w:val="1"/>
      <w:numFmt w:val="bullet"/>
      <w:lvlText w:val=""/>
      <w:lvlJc w:val="left"/>
      <w:pPr>
        <w:ind w:left="2160" w:hanging="360"/>
      </w:pPr>
      <w:rPr>
        <w:rFonts w:ascii="Cambria Math" w:hAnsi="Cambria Math" w:hint="default"/>
      </w:rPr>
    </w:lvl>
    <w:lvl w:ilvl="3" w:tplc="AE14D020">
      <w:start w:val="1"/>
      <w:numFmt w:val="bullet"/>
      <w:lvlText w:val=""/>
      <w:lvlJc w:val="left"/>
      <w:pPr>
        <w:ind w:left="2880" w:hanging="360"/>
      </w:pPr>
      <w:rPr>
        <w:rFonts w:ascii="Segoe UI" w:hAnsi="Segoe UI" w:hint="default"/>
      </w:rPr>
    </w:lvl>
    <w:lvl w:ilvl="4" w:tplc="1B5C0688">
      <w:start w:val="1"/>
      <w:numFmt w:val="bullet"/>
      <w:lvlText w:val="o"/>
      <w:lvlJc w:val="left"/>
      <w:pPr>
        <w:ind w:left="3600" w:hanging="360"/>
      </w:pPr>
      <w:rPr>
        <w:rFonts w:ascii="Courier New" w:hAnsi="Courier New" w:hint="default"/>
      </w:rPr>
    </w:lvl>
    <w:lvl w:ilvl="5" w:tplc="11B811CC">
      <w:start w:val="1"/>
      <w:numFmt w:val="bullet"/>
      <w:lvlText w:val=""/>
      <w:lvlJc w:val="left"/>
      <w:pPr>
        <w:ind w:left="4320" w:hanging="360"/>
      </w:pPr>
      <w:rPr>
        <w:rFonts w:ascii="Cambria Math" w:hAnsi="Cambria Math" w:hint="default"/>
      </w:rPr>
    </w:lvl>
    <w:lvl w:ilvl="6" w:tplc="00E0D25C">
      <w:start w:val="1"/>
      <w:numFmt w:val="bullet"/>
      <w:lvlText w:val=""/>
      <w:lvlJc w:val="left"/>
      <w:pPr>
        <w:ind w:left="5040" w:hanging="360"/>
      </w:pPr>
      <w:rPr>
        <w:rFonts w:ascii="Segoe UI" w:hAnsi="Segoe UI" w:hint="default"/>
      </w:rPr>
    </w:lvl>
    <w:lvl w:ilvl="7" w:tplc="CDAAA7F6">
      <w:start w:val="1"/>
      <w:numFmt w:val="bullet"/>
      <w:lvlText w:val="o"/>
      <w:lvlJc w:val="left"/>
      <w:pPr>
        <w:ind w:left="5760" w:hanging="360"/>
      </w:pPr>
      <w:rPr>
        <w:rFonts w:ascii="Courier New" w:hAnsi="Courier New" w:hint="default"/>
      </w:rPr>
    </w:lvl>
    <w:lvl w:ilvl="8" w:tplc="2E0CCC68">
      <w:start w:val="1"/>
      <w:numFmt w:val="bullet"/>
      <w:lvlText w:val=""/>
      <w:lvlJc w:val="left"/>
      <w:pPr>
        <w:ind w:left="6480" w:hanging="360"/>
      </w:pPr>
      <w:rPr>
        <w:rFonts w:ascii="Cambria Math" w:hAnsi="Cambria Math" w:hint="default"/>
      </w:rPr>
    </w:lvl>
  </w:abstractNum>
  <w:abstractNum w:abstractNumId="435" w15:restartNumberingAfterBreak="0">
    <w:nsid w:val="48C90469"/>
    <w:multiLevelType w:val="hybridMultilevel"/>
    <w:tmpl w:val="A83C9AC2"/>
    <w:lvl w:ilvl="0" w:tplc="04090001">
      <w:start w:val="1"/>
      <w:numFmt w:val="bullet"/>
      <w:lvlText w:val=""/>
      <w:lvlJc w:val="left"/>
      <w:pPr>
        <w:ind w:left="1146" w:hanging="360"/>
      </w:pPr>
      <w:rPr>
        <w:rFonts w:ascii="Segoe UI" w:hAnsi="Segoe U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Cambria Math" w:hAnsi="Cambria Math" w:hint="default"/>
      </w:rPr>
    </w:lvl>
    <w:lvl w:ilvl="3" w:tplc="04090001" w:tentative="1">
      <w:start w:val="1"/>
      <w:numFmt w:val="bullet"/>
      <w:lvlText w:val=""/>
      <w:lvlJc w:val="left"/>
      <w:pPr>
        <w:ind w:left="3306" w:hanging="360"/>
      </w:pPr>
      <w:rPr>
        <w:rFonts w:ascii="Segoe UI" w:hAnsi="Segoe UI"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Cambria Math" w:hAnsi="Cambria Math" w:hint="default"/>
      </w:rPr>
    </w:lvl>
    <w:lvl w:ilvl="6" w:tplc="04090001" w:tentative="1">
      <w:start w:val="1"/>
      <w:numFmt w:val="bullet"/>
      <w:lvlText w:val=""/>
      <w:lvlJc w:val="left"/>
      <w:pPr>
        <w:ind w:left="5466" w:hanging="360"/>
      </w:pPr>
      <w:rPr>
        <w:rFonts w:ascii="Segoe UI" w:hAnsi="Segoe UI"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Cambria Math" w:hAnsi="Cambria Math" w:hint="default"/>
      </w:rPr>
    </w:lvl>
  </w:abstractNum>
  <w:abstractNum w:abstractNumId="436" w15:restartNumberingAfterBreak="0">
    <w:nsid w:val="48EB12EE"/>
    <w:multiLevelType w:val="multilevel"/>
    <w:tmpl w:val="EE165C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48FC77B1"/>
    <w:multiLevelType w:val="hybridMultilevel"/>
    <w:tmpl w:val="FFFFFFFF"/>
    <w:lvl w:ilvl="0" w:tplc="75B658A6">
      <w:start w:val="3"/>
      <w:numFmt w:val="decimal"/>
      <w:lvlText w:val="%1."/>
      <w:lvlJc w:val="left"/>
      <w:pPr>
        <w:ind w:left="720" w:hanging="360"/>
      </w:pPr>
    </w:lvl>
    <w:lvl w:ilvl="1" w:tplc="7584D310">
      <w:start w:val="1"/>
      <w:numFmt w:val="lowerLetter"/>
      <w:lvlText w:val="%2."/>
      <w:lvlJc w:val="left"/>
      <w:pPr>
        <w:ind w:left="1440" w:hanging="360"/>
      </w:pPr>
    </w:lvl>
    <w:lvl w:ilvl="2" w:tplc="A5A09F02">
      <w:start w:val="1"/>
      <w:numFmt w:val="lowerRoman"/>
      <w:lvlText w:val="%3."/>
      <w:lvlJc w:val="right"/>
      <w:pPr>
        <w:ind w:left="2160" w:hanging="180"/>
      </w:pPr>
    </w:lvl>
    <w:lvl w:ilvl="3" w:tplc="85B048FA">
      <w:start w:val="1"/>
      <w:numFmt w:val="decimal"/>
      <w:lvlText w:val="%4."/>
      <w:lvlJc w:val="left"/>
      <w:pPr>
        <w:ind w:left="2880" w:hanging="360"/>
      </w:pPr>
    </w:lvl>
    <w:lvl w:ilvl="4" w:tplc="17F8DA0E">
      <w:start w:val="1"/>
      <w:numFmt w:val="lowerLetter"/>
      <w:lvlText w:val="%5."/>
      <w:lvlJc w:val="left"/>
      <w:pPr>
        <w:ind w:left="3600" w:hanging="360"/>
      </w:pPr>
    </w:lvl>
    <w:lvl w:ilvl="5" w:tplc="C8481808">
      <w:start w:val="1"/>
      <w:numFmt w:val="lowerRoman"/>
      <w:lvlText w:val="%6."/>
      <w:lvlJc w:val="right"/>
      <w:pPr>
        <w:ind w:left="4320" w:hanging="180"/>
      </w:pPr>
    </w:lvl>
    <w:lvl w:ilvl="6" w:tplc="5DB69FEA">
      <w:start w:val="1"/>
      <w:numFmt w:val="decimal"/>
      <w:lvlText w:val="%7."/>
      <w:lvlJc w:val="left"/>
      <w:pPr>
        <w:ind w:left="5040" w:hanging="360"/>
      </w:pPr>
    </w:lvl>
    <w:lvl w:ilvl="7" w:tplc="54103C44">
      <w:start w:val="1"/>
      <w:numFmt w:val="lowerLetter"/>
      <w:lvlText w:val="%8."/>
      <w:lvlJc w:val="left"/>
      <w:pPr>
        <w:ind w:left="5760" w:hanging="360"/>
      </w:pPr>
    </w:lvl>
    <w:lvl w:ilvl="8" w:tplc="725A59E2">
      <w:start w:val="1"/>
      <w:numFmt w:val="lowerRoman"/>
      <w:lvlText w:val="%9."/>
      <w:lvlJc w:val="right"/>
      <w:pPr>
        <w:ind w:left="6480" w:hanging="180"/>
      </w:pPr>
    </w:lvl>
  </w:abstractNum>
  <w:abstractNum w:abstractNumId="438" w15:restartNumberingAfterBreak="0">
    <w:nsid w:val="4915D071"/>
    <w:multiLevelType w:val="hybridMultilevel"/>
    <w:tmpl w:val="FFFFFFFF"/>
    <w:lvl w:ilvl="0" w:tplc="2EE0A928">
      <w:start w:val="11"/>
      <w:numFmt w:val="decimal"/>
      <w:lvlText w:val="%1."/>
      <w:lvlJc w:val="left"/>
      <w:pPr>
        <w:ind w:left="720" w:hanging="360"/>
      </w:pPr>
    </w:lvl>
    <w:lvl w:ilvl="1" w:tplc="EAB2449E">
      <w:start w:val="1"/>
      <w:numFmt w:val="lowerLetter"/>
      <w:lvlText w:val="%2."/>
      <w:lvlJc w:val="left"/>
      <w:pPr>
        <w:ind w:left="1440" w:hanging="360"/>
      </w:pPr>
    </w:lvl>
    <w:lvl w:ilvl="2" w:tplc="C9AEC134">
      <w:start w:val="1"/>
      <w:numFmt w:val="lowerRoman"/>
      <w:lvlText w:val="%3."/>
      <w:lvlJc w:val="right"/>
      <w:pPr>
        <w:ind w:left="2160" w:hanging="180"/>
      </w:pPr>
    </w:lvl>
    <w:lvl w:ilvl="3" w:tplc="A132A81C">
      <w:start w:val="1"/>
      <w:numFmt w:val="decimal"/>
      <w:lvlText w:val="%4."/>
      <w:lvlJc w:val="left"/>
      <w:pPr>
        <w:ind w:left="2880" w:hanging="360"/>
      </w:pPr>
    </w:lvl>
    <w:lvl w:ilvl="4" w:tplc="C2AA79EC">
      <w:start w:val="1"/>
      <w:numFmt w:val="lowerLetter"/>
      <w:lvlText w:val="%5."/>
      <w:lvlJc w:val="left"/>
      <w:pPr>
        <w:ind w:left="3600" w:hanging="360"/>
      </w:pPr>
    </w:lvl>
    <w:lvl w:ilvl="5" w:tplc="BFB2A5F0">
      <w:start w:val="1"/>
      <w:numFmt w:val="lowerRoman"/>
      <w:lvlText w:val="%6."/>
      <w:lvlJc w:val="right"/>
      <w:pPr>
        <w:ind w:left="4320" w:hanging="180"/>
      </w:pPr>
    </w:lvl>
    <w:lvl w:ilvl="6" w:tplc="9226222C">
      <w:start w:val="1"/>
      <w:numFmt w:val="decimal"/>
      <w:lvlText w:val="%7."/>
      <w:lvlJc w:val="left"/>
      <w:pPr>
        <w:ind w:left="5040" w:hanging="360"/>
      </w:pPr>
    </w:lvl>
    <w:lvl w:ilvl="7" w:tplc="62E41EAC">
      <w:start w:val="1"/>
      <w:numFmt w:val="lowerLetter"/>
      <w:lvlText w:val="%8."/>
      <w:lvlJc w:val="left"/>
      <w:pPr>
        <w:ind w:left="5760" w:hanging="360"/>
      </w:pPr>
    </w:lvl>
    <w:lvl w:ilvl="8" w:tplc="1B82CF3E">
      <w:start w:val="1"/>
      <w:numFmt w:val="lowerRoman"/>
      <w:lvlText w:val="%9."/>
      <w:lvlJc w:val="right"/>
      <w:pPr>
        <w:ind w:left="6480" w:hanging="180"/>
      </w:pPr>
    </w:lvl>
  </w:abstractNum>
  <w:abstractNum w:abstractNumId="439" w15:restartNumberingAfterBreak="0">
    <w:nsid w:val="492A0F6F"/>
    <w:multiLevelType w:val="hybridMultilevel"/>
    <w:tmpl w:val="FFFFFFFF"/>
    <w:lvl w:ilvl="0" w:tplc="B6BAA23E">
      <w:start w:val="8"/>
      <w:numFmt w:val="decimal"/>
      <w:lvlText w:val="%1."/>
      <w:lvlJc w:val="left"/>
      <w:pPr>
        <w:ind w:left="720" w:hanging="360"/>
      </w:pPr>
    </w:lvl>
    <w:lvl w:ilvl="1" w:tplc="CD5E39DA">
      <w:start w:val="1"/>
      <w:numFmt w:val="lowerLetter"/>
      <w:lvlText w:val="%2."/>
      <w:lvlJc w:val="left"/>
      <w:pPr>
        <w:ind w:left="1440" w:hanging="360"/>
      </w:pPr>
    </w:lvl>
    <w:lvl w:ilvl="2" w:tplc="B6A219F0">
      <w:start w:val="1"/>
      <w:numFmt w:val="lowerRoman"/>
      <w:lvlText w:val="%3."/>
      <w:lvlJc w:val="right"/>
      <w:pPr>
        <w:ind w:left="2160" w:hanging="180"/>
      </w:pPr>
    </w:lvl>
    <w:lvl w:ilvl="3" w:tplc="7ACC67FA">
      <w:start w:val="1"/>
      <w:numFmt w:val="decimal"/>
      <w:lvlText w:val="%4."/>
      <w:lvlJc w:val="left"/>
      <w:pPr>
        <w:ind w:left="2880" w:hanging="360"/>
      </w:pPr>
    </w:lvl>
    <w:lvl w:ilvl="4" w:tplc="80945330">
      <w:start w:val="1"/>
      <w:numFmt w:val="lowerLetter"/>
      <w:lvlText w:val="%5."/>
      <w:lvlJc w:val="left"/>
      <w:pPr>
        <w:ind w:left="3600" w:hanging="360"/>
      </w:pPr>
    </w:lvl>
    <w:lvl w:ilvl="5" w:tplc="DF1CE57A">
      <w:start w:val="1"/>
      <w:numFmt w:val="lowerRoman"/>
      <w:lvlText w:val="%6."/>
      <w:lvlJc w:val="right"/>
      <w:pPr>
        <w:ind w:left="4320" w:hanging="180"/>
      </w:pPr>
    </w:lvl>
    <w:lvl w:ilvl="6" w:tplc="3970EC86">
      <w:start w:val="1"/>
      <w:numFmt w:val="decimal"/>
      <w:lvlText w:val="%7."/>
      <w:lvlJc w:val="left"/>
      <w:pPr>
        <w:ind w:left="5040" w:hanging="360"/>
      </w:pPr>
    </w:lvl>
    <w:lvl w:ilvl="7" w:tplc="85A20DBA">
      <w:start w:val="1"/>
      <w:numFmt w:val="lowerLetter"/>
      <w:lvlText w:val="%8."/>
      <w:lvlJc w:val="left"/>
      <w:pPr>
        <w:ind w:left="5760" w:hanging="360"/>
      </w:pPr>
    </w:lvl>
    <w:lvl w:ilvl="8" w:tplc="D3D4FDF2">
      <w:start w:val="1"/>
      <w:numFmt w:val="lowerRoman"/>
      <w:lvlText w:val="%9."/>
      <w:lvlJc w:val="right"/>
      <w:pPr>
        <w:ind w:left="6480" w:hanging="180"/>
      </w:pPr>
    </w:lvl>
  </w:abstractNum>
  <w:abstractNum w:abstractNumId="440" w15:restartNumberingAfterBreak="0">
    <w:nsid w:val="495C0E24"/>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441" w15:restartNumberingAfterBreak="0">
    <w:nsid w:val="49E21ADC"/>
    <w:multiLevelType w:val="multilevel"/>
    <w:tmpl w:val="59A2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49E2FE03"/>
    <w:multiLevelType w:val="multilevel"/>
    <w:tmpl w:val="FFFFFFFF"/>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3" w15:restartNumberingAfterBreak="0">
    <w:nsid w:val="49E34E33"/>
    <w:multiLevelType w:val="multilevel"/>
    <w:tmpl w:val="1AA44D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4A100B21"/>
    <w:multiLevelType w:val="hybridMultilevel"/>
    <w:tmpl w:val="E640C21C"/>
    <w:lvl w:ilvl="0" w:tplc="1809000F">
      <w:start w:val="1"/>
      <w:numFmt w:val="decimal"/>
      <w:lvlText w:val="%1."/>
      <w:lvlJc w:val="left"/>
      <w:pPr>
        <w:ind w:left="720" w:hanging="360"/>
      </w:pPr>
    </w:lvl>
    <w:lvl w:ilvl="1" w:tplc="295AC798">
      <w:start w:val="1"/>
      <w:numFmt w:val="decimal"/>
      <w:lvlText w:val="%2."/>
      <w:lvlJc w:val="left"/>
      <w:pPr>
        <w:ind w:left="1440" w:hanging="360"/>
      </w:pPr>
      <w:rPr>
        <w:rFonts w:ascii="Times New Roman" w:eastAsiaTheme="minorHAnsi" w:hAnsi="Times New Roman" w:cs="Times New Roman"/>
        <w:lang w:val="en-IE"/>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5" w15:restartNumberingAfterBreak="0">
    <w:nsid w:val="4A142CC1"/>
    <w:multiLevelType w:val="multilevel"/>
    <w:tmpl w:val="5D54D40A"/>
    <w:lvl w:ilvl="0">
      <w:start w:val="1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6" w15:restartNumberingAfterBreak="0">
    <w:nsid w:val="4A1C5412"/>
    <w:multiLevelType w:val="hybridMultilevel"/>
    <w:tmpl w:val="FFFFFFFF"/>
    <w:lvl w:ilvl="0" w:tplc="03AACEC4">
      <w:start w:val="9"/>
      <w:numFmt w:val="decimal"/>
      <w:lvlText w:val="%1."/>
      <w:lvlJc w:val="left"/>
      <w:pPr>
        <w:ind w:left="720" w:hanging="360"/>
      </w:pPr>
    </w:lvl>
    <w:lvl w:ilvl="1" w:tplc="AFDC1670">
      <w:start w:val="1"/>
      <w:numFmt w:val="lowerLetter"/>
      <w:lvlText w:val="%2."/>
      <w:lvlJc w:val="left"/>
      <w:pPr>
        <w:ind w:left="1440" w:hanging="360"/>
      </w:pPr>
    </w:lvl>
    <w:lvl w:ilvl="2" w:tplc="26C82212">
      <w:start w:val="1"/>
      <w:numFmt w:val="lowerRoman"/>
      <w:lvlText w:val="%3."/>
      <w:lvlJc w:val="right"/>
      <w:pPr>
        <w:ind w:left="2160" w:hanging="180"/>
      </w:pPr>
    </w:lvl>
    <w:lvl w:ilvl="3" w:tplc="7FE85760">
      <w:start w:val="1"/>
      <w:numFmt w:val="decimal"/>
      <w:lvlText w:val="%4."/>
      <w:lvlJc w:val="left"/>
      <w:pPr>
        <w:ind w:left="2880" w:hanging="360"/>
      </w:pPr>
    </w:lvl>
    <w:lvl w:ilvl="4" w:tplc="84C057FE">
      <w:start w:val="1"/>
      <w:numFmt w:val="lowerLetter"/>
      <w:lvlText w:val="%5."/>
      <w:lvlJc w:val="left"/>
      <w:pPr>
        <w:ind w:left="3600" w:hanging="360"/>
      </w:pPr>
    </w:lvl>
    <w:lvl w:ilvl="5" w:tplc="2A9ACB2E">
      <w:start w:val="1"/>
      <w:numFmt w:val="lowerRoman"/>
      <w:lvlText w:val="%6."/>
      <w:lvlJc w:val="right"/>
      <w:pPr>
        <w:ind w:left="4320" w:hanging="180"/>
      </w:pPr>
    </w:lvl>
    <w:lvl w:ilvl="6" w:tplc="21D07984">
      <w:start w:val="1"/>
      <w:numFmt w:val="decimal"/>
      <w:lvlText w:val="%7."/>
      <w:lvlJc w:val="left"/>
      <w:pPr>
        <w:ind w:left="5040" w:hanging="360"/>
      </w:pPr>
    </w:lvl>
    <w:lvl w:ilvl="7" w:tplc="1856F046">
      <w:start w:val="1"/>
      <w:numFmt w:val="lowerLetter"/>
      <w:lvlText w:val="%8."/>
      <w:lvlJc w:val="left"/>
      <w:pPr>
        <w:ind w:left="5760" w:hanging="360"/>
      </w:pPr>
    </w:lvl>
    <w:lvl w:ilvl="8" w:tplc="541AC522">
      <w:start w:val="1"/>
      <w:numFmt w:val="lowerRoman"/>
      <w:lvlText w:val="%9."/>
      <w:lvlJc w:val="right"/>
      <w:pPr>
        <w:ind w:left="6480" w:hanging="180"/>
      </w:pPr>
    </w:lvl>
  </w:abstractNum>
  <w:abstractNum w:abstractNumId="447" w15:restartNumberingAfterBreak="0">
    <w:nsid w:val="4A544A98"/>
    <w:multiLevelType w:val="hybridMultilevel"/>
    <w:tmpl w:val="B2CA72D2"/>
    <w:lvl w:ilvl="0" w:tplc="D852426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8" w15:restartNumberingAfterBreak="0">
    <w:nsid w:val="4AC4F422"/>
    <w:multiLevelType w:val="hybridMultilevel"/>
    <w:tmpl w:val="FFFFFFFF"/>
    <w:lvl w:ilvl="0" w:tplc="998E45FA">
      <w:start w:val="1"/>
      <w:numFmt w:val="bullet"/>
      <w:lvlText w:val=""/>
      <w:lvlJc w:val="left"/>
      <w:pPr>
        <w:ind w:left="720" w:hanging="360"/>
      </w:pPr>
      <w:rPr>
        <w:rFonts w:ascii="Segoe UI" w:hAnsi="Segoe UI" w:hint="default"/>
      </w:rPr>
    </w:lvl>
    <w:lvl w:ilvl="1" w:tplc="061A7F9E">
      <w:start w:val="1"/>
      <w:numFmt w:val="bullet"/>
      <w:lvlText w:val="o"/>
      <w:lvlJc w:val="left"/>
      <w:pPr>
        <w:ind w:left="1440" w:hanging="360"/>
      </w:pPr>
      <w:rPr>
        <w:rFonts w:ascii="Courier New" w:hAnsi="Courier New" w:hint="default"/>
      </w:rPr>
    </w:lvl>
    <w:lvl w:ilvl="2" w:tplc="4D8445D2">
      <w:start w:val="1"/>
      <w:numFmt w:val="bullet"/>
      <w:lvlText w:val=""/>
      <w:lvlJc w:val="left"/>
      <w:pPr>
        <w:ind w:left="2160" w:hanging="360"/>
      </w:pPr>
      <w:rPr>
        <w:rFonts w:ascii="Cambria Math" w:hAnsi="Cambria Math" w:hint="default"/>
      </w:rPr>
    </w:lvl>
    <w:lvl w:ilvl="3" w:tplc="DCCC24B6">
      <w:start w:val="1"/>
      <w:numFmt w:val="bullet"/>
      <w:lvlText w:val=""/>
      <w:lvlJc w:val="left"/>
      <w:pPr>
        <w:ind w:left="2880" w:hanging="360"/>
      </w:pPr>
      <w:rPr>
        <w:rFonts w:ascii="Segoe UI" w:hAnsi="Segoe UI" w:hint="default"/>
      </w:rPr>
    </w:lvl>
    <w:lvl w:ilvl="4" w:tplc="E196C9A8">
      <w:start w:val="1"/>
      <w:numFmt w:val="bullet"/>
      <w:lvlText w:val="o"/>
      <w:lvlJc w:val="left"/>
      <w:pPr>
        <w:ind w:left="3600" w:hanging="360"/>
      </w:pPr>
      <w:rPr>
        <w:rFonts w:ascii="Courier New" w:hAnsi="Courier New" w:hint="default"/>
      </w:rPr>
    </w:lvl>
    <w:lvl w:ilvl="5" w:tplc="DF14B97E">
      <w:start w:val="1"/>
      <w:numFmt w:val="bullet"/>
      <w:lvlText w:val=""/>
      <w:lvlJc w:val="left"/>
      <w:pPr>
        <w:ind w:left="4320" w:hanging="360"/>
      </w:pPr>
      <w:rPr>
        <w:rFonts w:ascii="Cambria Math" w:hAnsi="Cambria Math" w:hint="default"/>
      </w:rPr>
    </w:lvl>
    <w:lvl w:ilvl="6" w:tplc="BA86517A">
      <w:start w:val="1"/>
      <w:numFmt w:val="bullet"/>
      <w:lvlText w:val=""/>
      <w:lvlJc w:val="left"/>
      <w:pPr>
        <w:ind w:left="5040" w:hanging="360"/>
      </w:pPr>
      <w:rPr>
        <w:rFonts w:ascii="Segoe UI" w:hAnsi="Segoe UI" w:hint="default"/>
      </w:rPr>
    </w:lvl>
    <w:lvl w:ilvl="7" w:tplc="43241E1A">
      <w:start w:val="1"/>
      <w:numFmt w:val="bullet"/>
      <w:lvlText w:val="o"/>
      <w:lvlJc w:val="left"/>
      <w:pPr>
        <w:ind w:left="5760" w:hanging="360"/>
      </w:pPr>
      <w:rPr>
        <w:rFonts w:ascii="Courier New" w:hAnsi="Courier New" w:hint="default"/>
      </w:rPr>
    </w:lvl>
    <w:lvl w:ilvl="8" w:tplc="20301AF0">
      <w:start w:val="1"/>
      <w:numFmt w:val="bullet"/>
      <w:lvlText w:val=""/>
      <w:lvlJc w:val="left"/>
      <w:pPr>
        <w:ind w:left="6480" w:hanging="360"/>
      </w:pPr>
      <w:rPr>
        <w:rFonts w:ascii="Cambria Math" w:hAnsi="Cambria Math" w:hint="default"/>
      </w:rPr>
    </w:lvl>
  </w:abstractNum>
  <w:abstractNum w:abstractNumId="449" w15:restartNumberingAfterBreak="0">
    <w:nsid w:val="4ACD50C2"/>
    <w:multiLevelType w:val="hybridMultilevel"/>
    <w:tmpl w:val="FFFFFFFF"/>
    <w:lvl w:ilvl="0" w:tplc="0E1459E4">
      <w:start w:val="6"/>
      <w:numFmt w:val="decimal"/>
      <w:lvlText w:val="%1."/>
      <w:lvlJc w:val="left"/>
      <w:pPr>
        <w:ind w:left="720" w:hanging="360"/>
      </w:pPr>
    </w:lvl>
    <w:lvl w:ilvl="1" w:tplc="164816D0">
      <w:start w:val="1"/>
      <w:numFmt w:val="lowerLetter"/>
      <w:lvlText w:val="%2."/>
      <w:lvlJc w:val="left"/>
      <w:pPr>
        <w:ind w:left="1440" w:hanging="360"/>
      </w:pPr>
    </w:lvl>
    <w:lvl w:ilvl="2" w:tplc="84E265F8">
      <w:start w:val="1"/>
      <w:numFmt w:val="lowerRoman"/>
      <w:lvlText w:val="%3."/>
      <w:lvlJc w:val="right"/>
      <w:pPr>
        <w:ind w:left="2160" w:hanging="180"/>
      </w:pPr>
    </w:lvl>
    <w:lvl w:ilvl="3" w:tplc="49B8967A">
      <w:start w:val="1"/>
      <w:numFmt w:val="decimal"/>
      <w:lvlText w:val="%4."/>
      <w:lvlJc w:val="left"/>
      <w:pPr>
        <w:ind w:left="2880" w:hanging="360"/>
      </w:pPr>
    </w:lvl>
    <w:lvl w:ilvl="4" w:tplc="4B72ACA0">
      <w:start w:val="1"/>
      <w:numFmt w:val="lowerLetter"/>
      <w:lvlText w:val="%5."/>
      <w:lvlJc w:val="left"/>
      <w:pPr>
        <w:ind w:left="3600" w:hanging="360"/>
      </w:pPr>
    </w:lvl>
    <w:lvl w:ilvl="5" w:tplc="E7E6EB1C">
      <w:start w:val="1"/>
      <w:numFmt w:val="lowerRoman"/>
      <w:lvlText w:val="%6."/>
      <w:lvlJc w:val="right"/>
      <w:pPr>
        <w:ind w:left="4320" w:hanging="180"/>
      </w:pPr>
    </w:lvl>
    <w:lvl w:ilvl="6" w:tplc="4C0CD5D2">
      <w:start w:val="1"/>
      <w:numFmt w:val="decimal"/>
      <w:lvlText w:val="%7."/>
      <w:lvlJc w:val="left"/>
      <w:pPr>
        <w:ind w:left="5040" w:hanging="360"/>
      </w:pPr>
    </w:lvl>
    <w:lvl w:ilvl="7" w:tplc="9B92CA5E">
      <w:start w:val="1"/>
      <w:numFmt w:val="lowerLetter"/>
      <w:lvlText w:val="%8."/>
      <w:lvlJc w:val="left"/>
      <w:pPr>
        <w:ind w:left="5760" w:hanging="360"/>
      </w:pPr>
    </w:lvl>
    <w:lvl w:ilvl="8" w:tplc="309AFE0E">
      <w:start w:val="1"/>
      <w:numFmt w:val="lowerRoman"/>
      <w:lvlText w:val="%9."/>
      <w:lvlJc w:val="right"/>
      <w:pPr>
        <w:ind w:left="6480" w:hanging="180"/>
      </w:pPr>
    </w:lvl>
  </w:abstractNum>
  <w:abstractNum w:abstractNumId="450" w15:restartNumberingAfterBreak="0">
    <w:nsid w:val="4B221C64"/>
    <w:multiLevelType w:val="hybridMultilevel"/>
    <w:tmpl w:val="E006F966"/>
    <w:lvl w:ilvl="0" w:tplc="6C30E62A">
      <w:start w:val="1"/>
      <w:numFmt w:val="bullet"/>
      <w:lvlText w:val="-"/>
      <w:lvlJc w:val="left"/>
      <w:pPr>
        <w:ind w:left="1440" w:hanging="360"/>
      </w:pPr>
      <w:rPr>
        <w:rFonts w:ascii="Calibri" w:hAnsi="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1" w15:restartNumberingAfterBreak="0">
    <w:nsid w:val="4B401D32"/>
    <w:multiLevelType w:val="multilevel"/>
    <w:tmpl w:val="1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2" w15:restartNumberingAfterBreak="0">
    <w:nsid w:val="4B7BC656"/>
    <w:multiLevelType w:val="hybridMultilevel"/>
    <w:tmpl w:val="FFFFFFFF"/>
    <w:lvl w:ilvl="0" w:tplc="F1BC6B3E">
      <w:start w:val="1"/>
      <w:numFmt w:val="lowerLetter"/>
      <w:lvlText w:val="%1."/>
      <w:lvlJc w:val="left"/>
      <w:pPr>
        <w:ind w:left="720" w:hanging="360"/>
      </w:pPr>
    </w:lvl>
    <w:lvl w:ilvl="1" w:tplc="CBD07CD8">
      <w:start w:val="1"/>
      <w:numFmt w:val="lowerRoman"/>
      <w:lvlText w:val="%2."/>
      <w:lvlJc w:val="right"/>
      <w:pPr>
        <w:ind w:left="1440" w:hanging="360"/>
      </w:pPr>
    </w:lvl>
    <w:lvl w:ilvl="2" w:tplc="E9E817C6">
      <w:start w:val="1"/>
      <w:numFmt w:val="lowerRoman"/>
      <w:lvlText w:val="%3."/>
      <w:lvlJc w:val="right"/>
      <w:pPr>
        <w:ind w:left="2160" w:hanging="180"/>
      </w:pPr>
    </w:lvl>
    <w:lvl w:ilvl="3" w:tplc="75886F1E">
      <w:start w:val="1"/>
      <w:numFmt w:val="decimal"/>
      <w:lvlText w:val="%4."/>
      <w:lvlJc w:val="left"/>
      <w:pPr>
        <w:ind w:left="2880" w:hanging="360"/>
      </w:pPr>
    </w:lvl>
    <w:lvl w:ilvl="4" w:tplc="42CAC498">
      <w:start w:val="1"/>
      <w:numFmt w:val="lowerLetter"/>
      <w:lvlText w:val="%5."/>
      <w:lvlJc w:val="left"/>
      <w:pPr>
        <w:ind w:left="3600" w:hanging="360"/>
      </w:pPr>
    </w:lvl>
    <w:lvl w:ilvl="5" w:tplc="7B9CB042">
      <w:start w:val="1"/>
      <w:numFmt w:val="lowerRoman"/>
      <w:lvlText w:val="%6."/>
      <w:lvlJc w:val="right"/>
      <w:pPr>
        <w:ind w:left="4320" w:hanging="180"/>
      </w:pPr>
    </w:lvl>
    <w:lvl w:ilvl="6" w:tplc="41EC63E2">
      <w:start w:val="1"/>
      <w:numFmt w:val="decimal"/>
      <w:lvlText w:val="%7."/>
      <w:lvlJc w:val="left"/>
      <w:pPr>
        <w:ind w:left="5040" w:hanging="360"/>
      </w:pPr>
    </w:lvl>
    <w:lvl w:ilvl="7" w:tplc="48928852">
      <w:start w:val="1"/>
      <w:numFmt w:val="lowerLetter"/>
      <w:lvlText w:val="%8."/>
      <w:lvlJc w:val="left"/>
      <w:pPr>
        <w:ind w:left="5760" w:hanging="360"/>
      </w:pPr>
    </w:lvl>
    <w:lvl w:ilvl="8" w:tplc="23389E8C">
      <w:start w:val="1"/>
      <w:numFmt w:val="lowerRoman"/>
      <w:lvlText w:val="%9."/>
      <w:lvlJc w:val="right"/>
      <w:pPr>
        <w:ind w:left="6480" w:hanging="180"/>
      </w:pPr>
    </w:lvl>
  </w:abstractNum>
  <w:abstractNum w:abstractNumId="453" w15:restartNumberingAfterBreak="0">
    <w:nsid w:val="4B9D0986"/>
    <w:multiLevelType w:val="hybridMultilevel"/>
    <w:tmpl w:val="3AA8B12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4" w15:restartNumberingAfterBreak="0">
    <w:nsid w:val="4BAF3466"/>
    <w:multiLevelType w:val="multilevel"/>
    <w:tmpl w:val="B40A63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15:restartNumberingAfterBreak="0">
    <w:nsid w:val="4BC92E30"/>
    <w:multiLevelType w:val="hybridMultilevel"/>
    <w:tmpl w:val="45B22948"/>
    <w:lvl w:ilvl="0" w:tplc="312A5F28">
      <w:start w:val="1"/>
      <w:numFmt w:val="bullet"/>
      <w:lvlText w:val="-"/>
      <w:lvlJc w:val="left"/>
      <w:pPr>
        <w:ind w:left="1080" w:hanging="360"/>
      </w:pPr>
      <w:rPr>
        <w:rFonts w:ascii="Cambria" w:eastAsiaTheme="minorHAnsi" w:hAnsi="Cambria" w:cs="Cambria" w:hint="default"/>
        <w:color w:val="7030A0"/>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456" w15:restartNumberingAfterBreak="0">
    <w:nsid w:val="4BD02FAE"/>
    <w:multiLevelType w:val="hybridMultilevel"/>
    <w:tmpl w:val="E6141A08"/>
    <w:lvl w:ilvl="0" w:tplc="18090003">
      <w:start w:val="1"/>
      <w:numFmt w:val="bullet"/>
      <w:lvlText w:val="o"/>
      <w:lvlJc w:val="left"/>
      <w:pPr>
        <w:ind w:left="1080" w:hanging="360"/>
      </w:pPr>
      <w:rPr>
        <w:rFonts w:ascii="Courier New" w:hAnsi="Courier New" w:cs="Courier New"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57" w15:restartNumberingAfterBreak="0">
    <w:nsid w:val="4C3D555F"/>
    <w:multiLevelType w:val="hybridMultilevel"/>
    <w:tmpl w:val="FFFFFFFF"/>
    <w:lvl w:ilvl="0" w:tplc="2DF6AB6C">
      <w:start w:val="1"/>
      <w:numFmt w:val="bullet"/>
      <w:lvlText w:val=""/>
      <w:lvlJc w:val="left"/>
      <w:pPr>
        <w:ind w:left="720" w:hanging="360"/>
      </w:pPr>
      <w:rPr>
        <w:rFonts w:ascii="Symbol" w:hAnsi="Symbol" w:hint="default"/>
      </w:rPr>
    </w:lvl>
    <w:lvl w:ilvl="1" w:tplc="E7B25F50">
      <w:start w:val="1"/>
      <w:numFmt w:val="bullet"/>
      <w:lvlText w:val="o"/>
      <w:lvlJc w:val="left"/>
      <w:pPr>
        <w:ind w:left="1440" w:hanging="360"/>
      </w:pPr>
      <w:rPr>
        <w:rFonts w:ascii="Courier New" w:hAnsi="Courier New" w:hint="default"/>
      </w:rPr>
    </w:lvl>
    <w:lvl w:ilvl="2" w:tplc="F9B06542">
      <w:start w:val="1"/>
      <w:numFmt w:val="bullet"/>
      <w:lvlText w:val=""/>
      <w:lvlJc w:val="left"/>
      <w:pPr>
        <w:ind w:left="2160" w:hanging="360"/>
      </w:pPr>
      <w:rPr>
        <w:rFonts w:ascii="Wingdings" w:hAnsi="Wingdings" w:hint="default"/>
      </w:rPr>
    </w:lvl>
    <w:lvl w:ilvl="3" w:tplc="2F40155E">
      <w:start w:val="1"/>
      <w:numFmt w:val="bullet"/>
      <w:lvlText w:val=""/>
      <w:lvlJc w:val="left"/>
      <w:pPr>
        <w:ind w:left="2880" w:hanging="360"/>
      </w:pPr>
      <w:rPr>
        <w:rFonts w:ascii="Symbol" w:hAnsi="Symbol" w:hint="default"/>
      </w:rPr>
    </w:lvl>
    <w:lvl w:ilvl="4" w:tplc="23968724">
      <w:start w:val="1"/>
      <w:numFmt w:val="bullet"/>
      <w:lvlText w:val="o"/>
      <w:lvlJc w:val="left"/>
      <w:pPr>
        <w:ind w:left="3600" w:hanging="360"/>
      </w:pPr>
      <w:rPr>
        <w:rFonts w:ascii="Courier New" w:hAnsi="Courier New" w:hint="default"/>
      </w:rPr>
    </w:lvl>
    <w:lvl w:ilvl="5" w:tplc="0E30839A">
      <w:start w:val="1"/>
      <w:numFmt w:val="bullet"/>
      <w:lvlText w:val=""/>
      <w:lvlJc w:val="left"/>
      <w:pPr>
        <w:ind w:left="4320" w:hanging="360"/>
      </w:pPr>
      <w:rPr>
        <w:rFonts w:ascii="Wingdings" w:hAnsi="Wingdings" w:hint="default"/>
      </w:rPr>
    </w:lvl>
    <w:lvl w:ilvl="6" w:tplc="1E7AAFDE">
      <w:start w:val="1"/>
      <w:numFmt w:val="bullet"/>
      <w:lvlText w:val=""/>
      <w:lvlJc w:val="left"/>
      <w:pPr>
        <w:ind w:left="5040" w:hanging="360"/>
      </w:pPr>
      <w:rPr>
        <w:rFonts w:ascii="Symbol" w:hAnsi="Symbol" w:hint="default"/>
      </w:rPr>
    </w:lvl>
    <w:lvl w:ilvl="7" w:tplc="8D706BDA">
      <w:start w:val="1"/>
      <w:numFmt w:val="bullet"/>
      <w:lvlText w:val="o"/>
      <w:lvlJc w:val="left"/>
      <w:pPr>
        <w:ind w:left="5760" w:hanging="360"/>
      </w:pPr>
      <w:rPr>
        <w:rFonts w:ascii="Courier New" w:hAnsi="Courier New" w:hint="default"/>
      </w:rPr>
    </w:lvl>
    <w:lvl w:ilvl="8" w:tplc="FBAE07B4">
      <w:start w:val="1"/>
      <w:numFmt w:val="bullet"/>
      <w:lvlText w:val=""/>
      <w:lvlJc w:val="left"/>
      <w:pPr>
        <w:ind w:left="6480" w:hanging="360"/>
      </w:pPr>
      <w:rPr>
        <w:rFonts w:ascii="Wingdings" w:hAnsi="Wingdings" w:hint="default"/>
      </w:rPr>
    </w:lvl>
  </w:abstractNum>
  <w:abstractNum w:abstractNumId="458" w15:restartNumberingAfterBreak="0">
    <w:nsid w:val="4D29707D"/>
    <w:multiLevelType w:val="multilevel"/>
    <w:tmpl w:val="753CFED6"/>
    <w:lvl w:ilvl="0">
      <w:start w:val="1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9" w15:restartNumberingAfterBreak="0">
    <w:nsid w:val="4D3C2974"/>
    <w:multiLevelType w:val="hybridMultilevel"/>
    <w:tmpl w:val="24CE4604"/>
    <w:lvl w:ilvl="0" w:tplc="080C000F">
      <w:start w:val="1"/>
      <w:numFmt w:val="decimal"/>
      <w:lvlText w:val="%1."/>
      <w:lvlJc w:val="left"/>
      <w:pPr>
        <w:ind w:left="907" w:hanging="360"/>
      </w:pPr>
    </w:lvl>
    <w:lvl w:ilvl="1" w:tplc="080C0019" w:tentative="1">
      <w:start w:val="1"/>
      <w:numFmt w:val="lowerLetter"/>
      <w:lvlText w:val="%2."/>
      <w:lvlJc w:val="left"/>
      <w:pPr>
        <w:ind w:left="1627" w:hanging="360"/>
      </w:pPr>
    </w:lvl>
    <w:lvl w:ilvl="2" w:tplc="080C001B" w:tentative="1">
      <w:start w:val="1"/>
      <w:numFmt w:val="lowerRoman"/>
      <w:lvlText w:val="%3."/>
      <w:lvlJc w:val="right"/>
      <w:pPr>
        <w:ind w:left="2347" w:hanging="180"/>
      </w:pPr>
    </w:lvl>
    <w:lvl w:ilvl="3" w:tplc="080C000F" w:tentative="1">
      <w:start w:val="1"/>
      <w:numFmt w:val="decimal"/>
      <w:lvlText w:val="%4."/>
      <w:lvlJc w:val="left"/>
      <w:pPr>
        <w:ind w:left="3067" w:hanging="360"/>
      </w:pPr>
    </w:lvl>
    <w:lvl w:ilvl="4" w:tplc="080C0019" w:tentative="1">
      <w:start w:val="1"/>
      <w:numFmt w:val="lowerLetter"/>
      <w:lvlText w:val="%5."/>
      <w:lvlJc w:val="left"/>
      <w:pPr>
        <w:ind w:left="3787" w:hanging="360"/>
      </w:pPr>
    </w:lvl>
    <w:lvl w:ilvl="5" w:tplc="080C001B" w:tentative="1">
      <w:start w:val="1"/>
      <w:numFmt w:val="lowerRoman"/>
      <w:lvlText w:val="%6."/>
      <w:lvlJc w:val="right"/>
      <w:pPr>
        <w:ind w:left="4507" w:hanging="180"/>
      </w:pPr>
    </w:lvl>
    <w:lvl w:ilvl="6" w:tplc="080C000F" w:tentative="1">
      <w:start w:val="1"/>
      <w:numFmt w:val="decimal"/>
      <w:lvlText w:val="%7."/>
      <w:lvlJc w:val="left"/>
      <w:pPr>
        <w:ind w:left="5227" w:hanging="360"/>
      </w:pPr>
    </w:lvl>
    <w:lvl w:ilvl="7" w:tplc="080C0019" w:tentative="1">
      <w:start w:val="1"/>
      <w:numFmt w:val="lowerLetter"/>
      <w:lvlText w:val="%8."/>
      <w:lvlJc w:val="left"/>
      <w:pPr>
        <w:ind w:left="5947" w:hanging="360"/>
      </w:pPr>
    </w:lvl>
    <w:lvl w:ilvl="8" w:tplc="080C001B" w:tentative="1">
      <w:start w:val="1"/>
      <w:numFmt w:val="lowerRoman"/>
      <w:lvlText w:val="%9."/>
      <w:lvlJc w:val="right"/>
      <w:pPr>
        <w:ind w:left="6667" w:hanging="180"/>
      </w:pPr>
    </w:lvl>
  </w:abstractNum>
  <w:abstractNum w:abstractNumId="460" w15:restartNumberingAfterBreak="0">
    <w:nsid w:val="4D6F6364"/>
    <w:multiLevelType w:val="hybridMultilevel"/>
    <w:tmpl w:val="5E7E5BB8"/>
    <w:lvl w:ilvl="0" w:tplc="1809001B">
      <w:start w:val="1"/>
      <w:numFmt w:val="lowerRoman"/>
      <w:lvlText w:val="%1."/>
      <w:lvlJc w:val="righ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1" w15:restartNumberingAfterBreak="0">
    <w:nsid w:val="4DA4525B"/>
    <w:multiLevelType w:val="hybridMultilevel"/>
    <w:tmpl w:val="8DEC0CF8"/>
    <w:lvl w:ilvl="0" w:tplc="94AC1BB0">
      <w:start w:val="1"/>
      <w:numFmt w:val="lowerRoman"/>
      <w:lvlText w:val="%1."/>
      <w:lvlJc w:val="right"/>
      <w:pPr>
        <w:ind w:left="1080" w:hanging="360"/>
      </w:pPr>
      <w:rPr>
        <w:rFonts w:ascii="Symbol" w:hAnsi="Symbol" w:cs="Symbol" w:hint="default"/>
        <w:sz w:val="24"/>
        <w:szCs w:val="24"/>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62" w15:restartNumberingAfterBreak="0">
    <w:nsid w:val="4DFE3F60"/>
    <w:multiLevelType w:val="hybridMultilevel"/>
    <w:tmpl w:val="0436031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014" w:hanging="360"/>
      </w:pPr>
      <w:rPr>
        <w:rFonts w:ascii="Courier New" w:hAnsi="Courier New" w:cs="Courier New" w:hint="default"/>
      </w:rPr>
    </w:lvl>
    <w:lvl w:ilvl="2" w:tplc="18090005" w:tentative="1">
      <w:start w:val="1"/>
      <w:numFmt w:val="bullet"/>
      <w:lvlText w:val=""/>
      <w:lvlJc w:val="left"/>
      <w:pPr>
        <w:ind w:left="1734" w:hanging="360"/>
      </w:pPr>
      <w:rPr>
        <w:rFonts w:ascii="Wingdings" w:hAnsi="Wingdings" w:hint="default"/>
      </w:rPr>
    </w:lvl>
    <w:lvl w:ilvl="3" w:tplc="18090001" w:tentative="1">
      <w:start w:val="1"/>
      <w:numFmt w:val="bullet"/>
      <w:lvlText w:val=""/>
      <w:lvlJc w:val="left"/>
      <w:pPr>
        <w:ind w:left="2454" w:hanging="360"/>
      </w:pPr>
      <w:rPr>
        <w:rFonts w:ascii="Symbol" w:hAnsi="Symbol" w:hint="default"/>
      </w:rPr>
    </w:lvl>
    <w:lvl w:ilvl="4" w:tplc="18090003" w:tentative="1">
      <w:start w:val="1"/>
      <w:numFmt w:val="bullet"/>
      <w:lvlText w:val="o"/>
      <w:lvlJc w:val="left"/>
      <w:pPr>
        <w:ind w:left="3174" w:hanging="360"/>
      </w:pPr>
      <w:rPr>
        <w:rFonts w:ascii="Courier New" w:hAnsi="Courier New" w:cs="Courier New" w:hint="default"/>
      </w:rPr>
    </w:lvl>
    <w:lvl w:ilvl="5" w:tplc="18090005" w:tentative="1">
      <w:start w:val="1"/>
      <w:numFmt w:val="bullet"/>
      <w:lvlText w:val=""/>
      <w:lvlJc w:val="left"/>
      <w:pPr>
        <w:ind w:left="3894" w:hanging="360"/>
      </w:pPr>
      <w:rPr>
        <w:rFonts w:ascii="Wingdings" w:hAnsi="Wingdings" w:hint="default"/>
      </w:rPr>
    </w:lvl>
    <w:lvl w:ilvl="6" w:tplc="18090001" w:tentative="1">
      <w:start w:val="1"/>
      <w:numFmt w:val="bullet"/>
      <w:lvlText w:val=""/>
      <w:lvlJc w:val="left"/>
      <w:pPr>
        <w:ind w:left="4614" w:hanging="360"/>
      </w:pPr>
      <w:rPr>
        <w:rFonts w:ascii="Symbol" w:hAnsi="Symbol" w:hint="default"/>
      </w:rPr>
    </w:lvl>
    <w:lvl w:ilvl="7" w:tplc="18090003" w:tentative="1">
      <w:start w:val="1"/>
      <w:numFmt w:val="bullet"/>
      <w:lvlText w:val="o"/>
      <w:lvlJc w:val="left"/>
      <w:pPr>
        <w:ind w:left="5334" w:hanging="360"/>
      </w:pPr>
      <w:rPr>
        <w:rFonts w:ascii="Courier New" w:hAnsi="Courier New" w:cs="Courier New" w:hint="default"/>
      </w:rPr>
    </w:lvl>
    <w:lvl w:ilvl="8" w:tplc="18090005" w:tentative="1">
      <w:start w:val="1"/>
      <w:numFmt w:val="bullet"/>
      <w:lvlText w:val=""/>
      <w:lvlJc w:val="left"/>
      <w:pPr>
        <w:ind w:left="6054" w:hanging="360"/>
      </w:pPr>
      <w:rPr>
        <w:rFonts w:ascii="Wingdings" w:hAnsi="Wingdings" w:hint="default"/>
      </w:rPr>
    </w:lvl>
  </w:abstractNum>
  <w:abstractNum w:abstractNumId="463" w15:restartNumberingAfterBreak="0">
    <w:nsid w:val="4E1C48B9"/>
    <w:multiLevelType w:val="hybridMultilevel"/>
    <w:tmpl w:val="6F8A712C"/>
    <w:lvl w:ilvl="0" w:tplc="312A5F28">
      <w:start w:val="1"/>
      <w:numFmt w:val="bullet"/>
      <w:lvlText w:val="-"/>
      <w:lvlJc w:val="left"/>
      <w:pPr>
        <w:ind w:left="1080" w:hanging="360"/>
      </w:pPr>
      <w:rPr>
        <w:rFonts w:ascii="Calibri" w:eastAsiaTheme="minorHAnsi" w:hAnsi="Calibri" w:cs="Calibri" w:hint="default"/>
        <w:color w:val="7030A0"/>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64" w15:restartNumberingAfterBreak="0">
    <w:nsid w:val="4E2770FB"/>
    <w:multiLevelType w:val="multilevel"/>
    <w:tmpl w:val="3C62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4E60AA28"/>
    <w:multiLevelType w:val="hybridMultilevel"/>
    <w:tmpl w:val="919C7EA2"/>
    <w:lvl w:ilvl="0" w:tplc="6A7C9602">
      <w:start w:val="1"/>
      <w:numFmt w:val="bullet"/>
      <w:lvlText w:val="-"/>
      <w:lvlJc w:val="left"/>
      <w:pPr>
        <w:ind w:left="720" w:hanging="360"/>
      </w:pPr>
      <w:rPr>
        <w:rFonts w:ascii="Symbol" w:hAnsi="Symbol" w:hint="default"/>
      </w:rPr>
    </w:lvl>
    <w:lvl w:ilvl="1" w:tplc="6F1AC4D6">
      <w:start w:val="1"/>
      <w:numFmt w:val="bullet"/>
      <w:lvlText w:val="o"/>
      <w:lvlJc w:val="left"/>
      <w:pPr>
        <w:ind w:left="1440" w:hanging="360"/>
      </w:pPr>
      <w:rPr>
        <w:rFonts w:ascii="Courier New" w:hAnsi="Courier New" w:hint="default"/>
      </w:rPr>
    </w:lvl>
    <w:lvl w:ilvl="2" w:tplc="C8620C1C">
      <w:start w:val="1"/>
      <w:numFmt w:val="bullet"/>
      <w:lvlText w:val=""/>
      <w:lvlJc w:val="left"/>
      <w:pPr>
        <w:ind w:left="2160" w:hanging="360"/>
      </w:pPr>
      <w:rPr>
        <w:rFonts w:ascii="Wingdings" w:hAnsi="Wingdings" w:hint="default"/>
      </w:rPr>
    </w:lvl>
    <w:lvl w:ilvl="3" w:tplc="F9700870">
      <w:start w:val="1"/>
      <w:numFmt w:val="bullet"/>
      <w:lvlText w:val=""/>
      <w:lvlJc w:val="left"/>
      <w:pPr>
        <w:ind w:left="2880" w:hanging="360"/>
      </w:pPr>
      <w:rPr>
        <w:rFonts w:ascii="Symbol" w:hAnsi="Symbol" w:hint="default"/>
      </w:rPr>
    </w:lvl>
    <w:lvl w:ilvl="4" w:tplc="F00CB9FC">
      <w:start w:val="1"/>
      <w:numFmt w:val="bullet"/>
      <w:lvlText w:val="o"/>
      <w:lvlJc w:val="left"/>
      <w:pPr>
        <w:ind w:left="3600" w:hanging="360"/>
      </w:pPr>
      <w:rPr>
        <w:rFonts w:ascii="Courier New" w:hAnsi="Courier New" w:hint="default"/>
      </w:rPr>
    </w:lvl>
    <w:lvl w:ilvl="5" w:tplc="8F485124">
      <w:start w:val="1"/>
      <w:numFmt w:val="bullet"/>
      <w:lvlText w:val=""/>
      <w:lvlJc w:val="left"/>
      <w:pPr>
        <w:ind w:left="4320" w:hanging="360"/>
      </w:pPr>
      <w:rPr>
        <w:rFonts w:ascii="Wingdings" w:hAnsi="Wingdings" w:hint="default"/>
      </w:rPr>
    </w:lvl>
    <w:lvl w:ilvl="6" w:tplc="618A4322">
      <w:start w:val="1"/>
      <w:numFmt w:val="bullet"/>
      <w:lvlText w:val=""/>
      <w:lvlJc w:val="left"/>
      <w:pPr>
        <w:ind w:left="5040" w:hanging="360"/>
      </w:pPr>
      <w:rPr>
        <w:rFonts w:ascii="Symbol" w:hAnsi="Symbol" w:hint="default"/>
      </w:rPr>
    </w:lvl>
    <w:lvl w:ilvl="7" w:tplc="FEE2C43E">
      <w:start w:val="1"/>
      <w:numFmt w:val="bullet"/>
      <w:lvlText w:val="o"/>
      <w:lvlJc w:val="left"/>
      <w:pPr>
        <w:ind w:left="5760" w:hanging="360"/>
      </w:pPr>
      <w:rPr>
        <w:rFonts w:ascii="Courier New" w:hAnsi="Courier New" w:hint="default"/>
      </w:rPr>
    </w:lvl>
    <w:lvl w:ilvl="8" w:tplc="3B929AB8">
      <w:start w:val="1"/>
      <w:numFmt w:val="bullet"/>
      <w:lvlText w:val=""/>
      <w:lvlJc w:val="left"/>
      <w:pPr>
        <w:ind w:left="6480" w:hanging="360"/>
      </w:pPr>
      <w:rPr>
        <w:rFonts w:ascii="Wingdings" w:hAnsi="Wingdings" w:hint="default"/>
      </w:rPr>
    </w:lvl>
  </w:abstractNum>
  <w:abstractNum w:abstractNumId="466" w15:restartNumberingAfterBreak="0">
    <w:nsid w:val="4E625C50"/>
    <w:multiLevelType w:val="hybridMultilevel"/>
    <w:tmpl w:val="49B87E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7" w15:restartNumberingAfterBreak="0">
    <w:nsid w:val="4E7A5F2F"/>
    <w:multiLevelType w:val="multilevel"/>
    <w:tmpl w:val="D45C8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8" w15:restartNumberingAfterBreak="0">
    <w:nsid w:val="4E8B6C85"/>
    <w:multiLevelType w:val="hybridMultilevel"/>
    <w:tmpl w:val="4DCE3ABA"/>
    <w:lvl w:ilvl="0" w:tplc="548E3914">
      <w:start w:val="1"/>
      <w:numFmt w:val="lowerLetter"/>
      <w:lvlText w:val="%1)"/>
      <w:lvlJc w:val="left"/>
      <w:pPr>
        <w:ind w:left="1080" w:hanging="360"/>
      </w:pPr>
      <w:rPr>
        <w:rFonts w:hint="default"/>
        <w:color w:val="548DD4" w:themeColor="text2" w:themeTint="99"/>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69" w15:restartNumberingAfterBreak="0">
    <w:nsid w:val="4E9F6D40"/>
    <w:multiLevelType w:val="hybridMultilevel"/>
    <w:tmpl w:val="102817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0" w15:restartNumberingAfterBreak="0">
    <w:nsid w:val="4F000961"/>
    <w:multiLevelType w:val="hybridMultilevel"/>
    <w:tmpl w:val="B7F6EDCE"/>
    <w:lvl w:ilvl="0" w:tplc="1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1" w15:restartNumberingAfterBreak="0">
    <w:nsid w:val="4F381148"/>
    <w:multiLevelType w:val="hybridMultilevel"/>
    <w:tmpl w:val="FFFFFFFF"/>
    <w:lvl w:ilvl="0" w:tplc="FE3837F8">
      <w:start w:val="1"/>
      <w:numFmt w:val="bullet"/>
      <w:lvlText w:val=""/>
      <w:lvlJc w:val="left"/>
      <w:pPr>
        <w:ind w:left="720" w:hanging="360"/>
      </w:pPr>
      <w:rPr>
        <w:rFonts w:ascii="Symbol" w:hAnsi="Symbol" w:hint="default"/>
      </w:rPr>
    </w:lvl>
    <w:lvl w:ilvl="1" w:tplc="8820A552">
      <w:start w:val="1"/>
      <w:numFmt w:val="bullet"/>
      <w:lvlText w:val="o"/>
      <w:lvlJc w:val="left"/>
      <w:pPr>
        <w:ind w:left="1440" w:hanging="360"/>
      </w:pPr>
      <w:rPr>
        <w:rFonts w:ascii="Courier New" w:hAnsi="Courier New" w:hint="default"/>
      </w:rPr>
    </w:lvl>
    <w:lvl w:ilvl="2" w:tplc="C336974E">
      <w:start w:val="1"/>
      <w:numFmt w:val="bullet"/>
      <w:lvlText w:val=""/>
      <w:lvlJc w:val="left"/>
      <w:pPr>
        <w:ind w:left="2160" w:hanging="360"/>
      </w:pPr>
      <w:rPr>
        <w:rFonts w:ascii="Wingdings" w:hAnsi="Wingdings" w:hint="default"/>
      </w:rPr>
    </w:lvl>
    <w:lvl w:ilvl="3" w:tplc="0C0C68E8">
      <w:start w:val="1"/>
      <w:numFmt w:val="bullet"/>
      <w:lvlText w:val=""/>
      <w:lvlJc w:val="left"/>
      <w:pPr>
        <w:ind w:left="2880" w:hanging="360"/>
      </w:pPr>
      <w:rPr>
        <w:rFonts w:ascii="Symbol" w:hAnsi="Symbol" w:hint="default"/>
      </w:rPr>
    </w:lvl>
    <w:lvl w:ilvl="4" w:tplc="F224D27C">
      <w:start w:val="1"/>
      <w:numFmt w:val="bullet"/>
      <w:lvlText w:val="o"/>
      <w:lvlJc w:val="left"/>
      <w:pPr>
        <w:ind w:left="3600" w:hanging="360"/>
      </w:pPr>
      <w:rPr>
        <w:rFonts w:ascii="Courier New" w:hAnsi="Courier New" w:hint="default"/>
      </w:rPr>
    </w:lvl>
    <w:lvl w:ilvl="5" w:tplc="6AA48C32">
      <w:start w:val="1"/>
      <w:numFmt w:val="bullet"/>
      <w:lvlText w:val=""/>
      <w:lvlJc w:val="left"/>
      <w:pPr>
        <w:ind w:left="4320" w:hanging="360"/>
      </w:pPr>
      <w:rPr>
        <w:rFonts w:ascii="Wingdings" w:hAnsi="Wingdings" w:hint="default"/>
      </w:rPr>
    </w:lvl>
    <w:lvl w:ilvl="6" w:tplc="BDE45234">
      <w:start w:val="1"/>
      <w:numFmt w:val="bullet"/>
      <w:lvlText w:val=""/>
      <w:lvlJc w:val="left"/>
      <w:pPr>
        <w:ind w:left="5040" w:hanging="360"/>
      </w:pPr>
      <w:rPr>
        <w:rFonts w:ascii="Symbol" w:hAnsi="Symbol" w:hint="default"/>
      </w:rPr>
    </w:lvl>
    <w:lvl w:ilvl="7" w:tplc="11E8377C">
      <w:start w:val="1"/>
      <w:numFmt w:val="bullet"/>
      <w:lvlText w:val="o"/>
      <w:lvlJc w:val="left"/>
      <w:pPr>
        <w:ind w:left="5760" w:hanging="360"/>
      </w:pPr>
      <w:rPr>
        <w:rFonts w:ascii="Courier New" w:hAnsi="Courier New" w:hint="default"/>
      </w:rPr>
    </w:lvl>
    <w:lvl w:ilvl="8" w:tplc="0A829A30">
      <w:start w:val="1"/>
      <w:numFmt w:val="bullet"/>
      <w:lvlText w:val=""/>
      <w:lvlJc w:val="left"/>
      <w:pPr>
        <w:ind w:left="6480" w:hanging="360"/>
      </w:pPr>
      <w:rPr>
        <w:rFonts w:ascii="Wingdings" w:hAnsi="Wingdings" w:hint="default"/>
      </w:rPr>
    </w:lvl>
  </w:abstractNum>
  <w:abstractNum w:abstractNumId="472" w15:restartNumberingAfterBreak="0">
    <w:nsid w:val="4F41352B"/>
    <w:multiLevelType w:val="hybridMultilevel"/>
    <w:tmpl w:val="DFD4543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3" w15:restartNumberingAfterBreak="0">
    <w:nsid w:val="4F53A2B2"/>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4" w15:restartNumberingAfterBreak="0">
    <w:nsid w:val="4F5E055F"/>
    <w:multiLevelType w:val="hybridMultilevel"/>
    <w:tmpl w:val="F2FEC466"/>
    <w:lvl w:ilvl="0" w:tplc="EB329A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5" w15:restartNumberingAfterBreak="0">
    <w:nsid w:val="4F60E542"/>
    <w:multiLevelType w:val="hybridMultilevel"/>
    <w:tmpl w:val="FFFFFFFF"/>
    <w:lvl w:ilvl="0" w:tplc="8D00ADC8">
      <w:start w:val="1"/>
      <w:numFmt w:val="decimal"/>
      <w:lvlText w:val="%1."/>
      <w:lvlJc w:val="left"/>
      <w:pPr>
        <w:ind w:left="720" w:hanging="360"/>
      </w:pPr>
    </w:lvl>
    <w:lvl w:ilvl="1" w:tplc="528E9F82">
      <w:start w:val="1"/>
      <w:numFmt w:val="lowerLetter"/>
      <w:lvlText w:val="%2."/>
      <w:lvlJc w:val="left"/>
      <w:pPr>
        <w:ind w:left="1440" w:hanging="360"/>
      </w:pPr>
    </w:lvl>
    <w:lvl w:ilvl="2" w:tplc="BDD2D798">
      <w:start w:val="1"/>
      <w:numFmt w:val="lowerRoman"/>
      <w:lvlText w:val="%3."/>
      <w:lvlJc w:val="right"/>
      <w:pPr>
        <w:ind w:left="2160" w:hanging="180"/>
      </w:pPr>
    </w:lvl>
    <w:lvl w:ilvl="3" w:tplc="682CC4C0">
      <w:start w:val="1"/>
      <w:numFmt w:val="decimal"/>
      <w:lvlText w:val="%4."/>
      <w:lvlJc w:val="left"/>
      <w:pPr>
        <w:ind w:left="2880" w:hanging="360"/>
      </w:pPr>
    </w:lvl>
    <w:lvl w:ilvl="4" w:tplc="AF98F95A">
      <w:start w:val="1"/>
      <w:numFmt w:val="lowerLetter"/>
      <w:lvlText w:val="%5."/>
      <w:lvlJc w:val="left"/>
      <w:pPr>
        <w:ind w:left="3600" w:hanging="360"/>
      </w:pPr>
    </w:lvl>
    <w:lvl w:ilvl="5" w:tplc="7E26054E">
      <w:start w:val="1"/>
      <w:numFmt w:val="lowerRoman"/>
      <w:lvlText w:val="%6."/>
      <w:lvlJc w:val="right"/>
      <w:pPr>
        <w:ind w:left="4320" w:hanging="180"/>
      </w:pPr>
    </w:lvl>
    <w:lvl w:ilvl="6" w:tplc="E51E4F88">
      <w:start w:val="1"/>
      <w:numFmt w:val="decimal"/>
      <w:lvlText w:val="%7."/>
      <w:lvlJc w:val="left"/>
      <w:pPr>
        <w:ind w:left="5040" w:hanging="360"/>
      </w:pPr>
    </w:lvl>
    <w:lvl w:ilvl="7" w:tplc="6E80C5DE">
      <w:start w:val="1"/>
      <w:numFmt w:val="lowerLetter"/>
      <w:lvlText w:val="%8."/>
      <w:lvlJc w:val="left"/>
      <w:pPr>
        <w:ind w:left="5760" w:hanging="360"/>
      </w:pPr>
    </w:lvl>
    <w:lvl w:ilvl="8" w:tplc="5B7C290C">
      <w:start w:val="1"/>
      <w:numFmt w:val="lowerRoman"/>
      <w:lvlText w:val="%9."/>
      <w:lvlJc w:val="right"/>
      <w:pPr>
        <w:ind w:left="6480" w:hanging="180"/>
      </w:pPr>
    </w:lvl>
  </w:abstractNum>
  <w:abstractNum w:abstractNumId="476" w15:restartNumberingAfterBreak="0">
    <w:nsid w:val="4F676DD8"/>
    <w:multiLevelType w:val="hybridMultilevel"/>
    <w:tmpl w:val="67FA4728"/>
    <w:lvl w:ilvl="0" w:tplc="DDEA078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MS Mincho" w:hAnsi="@MS Mincho" w:cs="@MS Mincho" w:hint="default"/>
      </w:rPr>
    </w:lvl>
    <w:lvl w:ilvl="2" w:tplc="18090005" w:tentative="1">
      <w:start w:val="1"/>
      <w:numFmt w:val="bullet"/>
      <w:lvlText w:val=""/>
      <w:lvlJc w:val="left"/>
      <w:pPr>
        <w:ind w:left="2160" w:hanging="360"/>
      </w:pPr>
      <w:rPr>
        <w:rFonts w:ascii="Symbol" w:hAnsi="Symbol"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MS Mincho" w:hAnsi="@MS Mincho" w:cs="@MS Mincho" w:hint="default"/>
      </w:rPr>
    </w:lvl>
    <w:lvl w:ilvl="5" w:tplc="18090005" w:tentative="1">
      <w:start w:val="1"/>
      <w:numFmt w:val="bullet"/>
      <w:lvlText w:val=""/>
      <w:lvlJc w:val="left"/>
      <w:pPr>
        <w:ind w:left="4320" w:hanging="360"/>
      </w:pPr>
      <w:rPr>
        <w:rFonts w:ascii="Symbol" w:hAnsi="Symbol"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MS Mincho" w:hAnsi="@MS Mincho" w:cs="@MS Mincho" w:hint="default"/>
      </w:rPr>
    </w:lvl>
    <w:lvl w:ilvl="8" w:tplc="18090005" w:tentative="1">
      <w:start w:val="1"/>
      <w:numFmt w:val="bullet"/>
      <w:lvlText w:val=""/>
      <w:lvlJc w:val="left"/>
      <w:pPr>
        <w:ind w:left="6480" w:hanging="360"/>
      </w:pPr>
      <w:rPr>
        <w:rFonts w:ascii="Symbol" w:hAnsi="Symbol" w:hint="default"/>
      </w:rPr>
    </w:lvl>
  </w:abstractNum>
  <w:abstractNum w:abstractNumId="477" w15:restartNumberingAfterBreak="0">
    <w:nsid w:val="4F913A25"/>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478" w15:restartNumberingAfterBreak="0">
    <w:nsid w:val="4FAA787B"/>
    <w:multiLevelType w:val="multilevel"/>
    <w:tmpl w:val="C6A4FB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506330B7"/>
    <w:multiLevelType w:val="hybridMultilevel"/>
    <w:tmpl w:val="43AC80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0" w15:restartNumberingAfterBreak="0">
    <w:nsid w:val="50A20E8D"/>
    <w:multiLevelType w:val="hybridMultilevel"/>
    <w:tmpl w:val="DFFED572"/>
    <w:lvl w:ilvl="0" w:tplc="18090015">
      <w:start w:val="1"/>
      <w:numFmt w:val="upperLetter"/>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81" w15:restartNumberingAfterBreak="0">
    <w:nsid w:val="50A33AB2"/>
    <w:multiLevelType w:val="hybridMultilevel"/>
    <w:tmpl w:val="F2CC1CD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2" w15:restartNumberingAfterBreak="0">
    <w:nsid w:val="50CD07A2"/>
    <w:multiLevelType w:val="hybridMultilevel"/>
    <w:tmpl w:val="0198933E"/>
    <w:lvl w:ilvl="0" w:tplc="1809000F">
      <w:start w:val="1"/>
      <w:numFmt w:val="decimal"/>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83" w15:restartNumberingAfterBreak="0">
    <w:nsid w:val="510AB057"/>
    <w:multiLevelType w:val="hybridMultilevel"/>
    <w:tmpl w:val="FFFFFFFF"/>
    <w:lvl w:ilvl="0" w:tplc="E26E2978">
      <w:start w:val="1"/>
      <w:numFmt w:val="bullet"/>
      <w:lvlText w:val=""/>
      <w:lvlJc w:val="left"/>
      <w:pPr>
        <w:ind w:left="720" w:hanging="360"/>
      </w:pPr>
      <w:rPr>
        <w:rFonts w:ascii="Segoe UI" w:hAnsi="Segoe UI" w:hint="default"/>
      </w:rPr>
    </w:lvl>
    <w:lvl w:ilvl="1" w:tplc="4F2A8830">
      <w:start w:val="1"/>
      <w:numFmt w:val="bullet"/>
      <w:lvlText w:val="o"/>
      <w:lvlJc w:val="left"/>
      <w:pPr>
        <w:ind w:left="1440" w:hanging="360"/>
      </w:pPr>
      <w:rPr>
        <w:rFonts w:ascii="Courier New" w:hAnsi="Courier New" w:hint="default"/>
      </w:rPr>
    </w:lvl>
    <w:lvl w:ilvl="2" w:tplc="414C835A">
      <w:start w:val="1"/>
      <w:numFmt w:val="bullet"/>
      <w:lvlText w:val=""/>
      <w:lvlJc w:val="left"/>
      <w:pPr>
        <w:ind w:left="2160" w:hanging="360"/>
      </w:pPr>
      <w:rPr>
        <w:rFonts w:ascii="Cambria Math" w:hAnsi="Cambria Math" w:hint="default"/>
      </w:rPr>
    </w:lvl>
    <w:lvl w:ilvl="3" w:tplc="7D442194">
      <w:start w:val="1"/>
      <w:numFmt w:val="bullet"/>
      <w:lvlText w:val=""/>
      <w:lvlJc w:val="left"/>
      <w:pPr>
        <w:ind w:left="2880" w:hanging="360"/>
      </w:pPr>
      <w:rPr>
        <w:rFonts w:ascii="Segoe UI" w:hAnsi="Segoe UI" w:hint="default"/>
      </w:rPr>
    </w:lvl>
    <w:lvl w:ilvl="4" w:tplc="93F8080A">
      <w:start w:val="1"/>
      <w:numFmt w:val="bullet"/>
      <w:lvlText w:val="o"/>
      <w:lvlJc w:val="left"/>
      <w:pPr>
        <w:ind w:left="3600" w:hanging="360"/>
      </w:pPr>
      <w:rPr>
        <w:rFonts w:ascii="Courier New" w:hAnsi="Courier New" w:hint="default"/>
      </w:rPr>
    </w:lvl>
    <w:lvl w:ilvl="5" w:tplc="E4368C72">
      <w:start w:val="1"/>
      <w:numFmt w:val="bullet"/>
      <w:lvlText w:val=""/>
      <w:lvlJc w:val="left"/>
      <w:pPr>
        <w:ind w:left="4320" w:hanging="360"/>
      </w:pPr>
      <w:rPr>
        <w:rFonts w:ascii="Cambria Math" w:hAnsi="Cambria Math" w:hint="default"/>
      </w:rPr>
    </w:lvl>
    <w:lvl w:ilvl="6" w:tplc="880843AA">
      <w:start w:val="1"/>
      <w:numFmt w:val="bullet"/>
      <w:lvlText w:val=""/>
      <w:lvlJc w:val="left"/>
      <w:pPr>
        <w:ind w:left="5040" w:hanging="360"/>
      </w:pPr>
      <w:rPr>
        <w:rFonts w:ascii="Segoe UI" w:hAnsi="Segoe UI" w:hint="default"/>
      </w:rPr>
    </w:lvl>
    <w:lvl w:ilvl="7" w:tplc="5A48E46C">
      <w:start w:val="1"/>
      <w:numFmt w:val="bullet"/>
      <w:lvlText w:val="o"/>
      <w:lvlJc w:val="left"/>
      <w:pPr>
        <w:ind w:left="5760" w:hanging="360"/>
      </w:pPr>
      <w:rPr>
        <w:rFonts w:ascii="Courier New" w:hAnsi="Courier New" w:hint="default"/>
      </w:rPr>
    </w:lvl>
    <w:lvl w:ilvl="8" w:tplc="8A60E514">
      <w:start w:val="1"/>
      <w:numFmt w:val="bullet"/>
      <w:lvlText w:val=""/>
      <w:lvlJc w:val="left"/>
      <w:pPr>
        <w:ind w:left="6480" w:hanging="360"/>
      </w:pPr>
      <w:rPr>
        <w:rFonts w:ascii="Cambria Math" w:hAnsi="Cambria Math" w:hint="default"/>
      </w:rPr>
    </w:lvl>
  </w:abstractNum>
  <w:abstractNum w:abstractNumId="484" w15:restartNumberingAfterBreak="0">
    <w:nsid w:val="511C9559"/>
    <w:multiLevelType w:val="hybridMultilevel"/>
    <w:tmpl w:val="FFFFFFFF"/>
    <w:lvl w:ilvl="0" w:tplc="EAA673D0">
      <w:start w:val="1"/>
      <w:numFmt w:val="bullet"/>
      <w:lvlText w:val="·"/>
      <w:lvlJc w:val="left"/>
      <w:pPr>
        <w:ind w:left="720" w:hanging="360"/>
      </w:pPr>
      <w:rPr>
        <w:rFonts w:ascii="Symbol" w:hAnsi="Symbol" w:hint="default"/>
      </w:rPr>
    </w:lvl>
    <w:lvl w:ilvl="1" w:tplc="73FE48B4">
      <w:start w:val="1"/>
      <w:numFmt w:val="bullet"/>
      <w:lvlText w:val="o"/>
      <w:lvlJc w:val="left"/>
      <w:pPr>
        <w:ind w:left="1440" w:hanging="360"/>
      </w:pPr>
      <w:rPr>
        <w:rFonts w:ascii="Courier New" w:hAnsi="Courier New" w:hint="default"/>
      </w:rPr>
    </w:lvl>
    <w:lvl w:ilvl="2" w:tplc="8F98518A">
      <w:start w:val="1"/>
      <w:numFmt w:val="bullet"/>
      <w:lvlText w:val=""/>
      <w:lvlJc w:val="left"/>
      <w:pPr>
        <w:ind w:left="2160" w:hanging="360"/>
      </w:pPr>
      <w:rPr>
        <w:rFonts w:ascii="Wingdings" w:hAnsi="Wingdings" w:hint="default"/>
      </w:rPr>
    </w:lvl>
    <w:lvl w:ilvl="3" w:tplc="B53AF142">
      <w:start w:val="1"/>
      <w:numFmt w:val="bullet"/>
      <w:lvlText w:val=""/>
      <w:lvlJc w:val="left"/>
      <w:pPr>
        <w:ind w:left="2880" w:hanging="360"/>
      </w:pPr>
      <w:rPr>
        <w:rFonts w:ascii="Symbol" w:hAnsi="Symbol" w:hint="default"/>
      </w:rPr>
    </w:lvl>
    <w:lvl w:ilvl="4" w:tplc="F04EA886">
      <w:start w:val="1"/>
      <w:numFmt w:val="bullet"/>
      <w:lvlText w:val="o"/>
      <w:lvlJc w:val="left"/>
      <w:pPr>
        <w:ind w:left="3600" w:hanging="360"/>
      </w:pPr>
      <w:rPr>
        <w:rFonts w:ascii="Courier New" w:hAnsi="Courier New" w:hint="default"/>
      </w:rPr>
    </w:lvl>
    <w:lvl w:ilvl="5" w:tplc="B84000F6">
      <w:start w:val="1"/>
      <w:numFmt w:val="bullet"/>
      <w:lvlText w:val=""/>
      <w:lvlJc w:val="left"/>
      <w:pPr>
        <w:ind w:left="4320" w:hanging="360"/>
      </w:pPr>
      <w:rPr>
        <w:rFonts w:ascii="Wingdings" w:hAnsi="Wingdings" w:hint="default"/>
      </w:rPr>
    </w:lvl>
    <w:lvl w:ilvl="6" w:tplc="1936A2F8">
      <w:start w:val="1"/>
      <w:numFmt w:val="bullet"/>
      <w:lvlText w:val=""/>
      <w:lvlJc w:val="left"/>
      <w:pPr>
        <w:ind w:left="5040" w:hanging="360"/>
      </w:pPr>
      <w:rPr>
        <w:rFonts w:ascii="Symbol" w:hAnsi="Symbol" w:hint="default"/>
      </w:rPr>
    </w:lvl>
    <w:lvl w:ilvl="7" w:tplc="8B944BB2">
      <w:start w:val="1"/>
      <w:numFmt w:val="bullet"/>
      <w:lvlText w:val="o"/>
      <w:lvlJc w:val="left"/>
      <w:pPr>
        <w:ind w:left="5760" w:hanging="360"/>
      </w:pPr>
      <w:rPr>
        <w:rFonts w:ascii="Courier New" w:hAnsi="Courier New" w:hint="default"/>
      </w:rPr>
    </w:lvl>
    <w:lvl w:ilvl="8" w:tplc="7800FF68">
      <w:start w:val="1"/>
      <w:numFmt w:val="bullet"/>
      <w:lvlText w:val=""/>
      <w:lvlJc w:val="left"/>
      <w:pPr>
        <w:ind w:left="6480" w:hanging="360"/>
      </w:pPr>
      <w:rPr>
        <w:rFonts w:ascii="Wingdings" w:hAnsi="Wingdings" w:hint="default"/>
      </w:rPr>
    </w:lvl>
  </w:abstractNum>
  <w:abstractNum w:abstractNumId="485" w15:restartNumberingAfterBreak="0">
    <w:nsid w:val="5127E5C3"/>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6" w15:restartNumberingAfterBreak="0">
    <w:nsid w:val="514A3B46"/>
    <w:multiLevelType w:val="hybridMultilevel"/>
    <w:tmpl w:val="4560C06E"/>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487" w15:restartNumberingAfterBreak="0">
    <w:nsid w:val="51667B89"/>
    <w:multiLevelType w:val="hybridMultilevel"/>
    <w:tmpl w:val="2B222B1C"/>
    <w:lvl w:ilvl="0" w:tplc="0C0A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8" w15:restartNumberingAfterBreak="0">
    <w:nsid w:val="51706D2B"/>
    <w:multiLevelType w:val="multilevel"/>
    <w:tmpl w:val="C1CE77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9" w15:restartNumberingAfterBreak="0">
    <w:nsid w:val="5173633C"/>
    <w:multiLevelType w:val="hybridMultilevel"/>
    <w:tmpl w:val="ED580A56"/>
    <w:lvl w:ilvl="0" w:tplc="312A5F28">
      <w:start w:val="1"/>
      <w:numFmt w:val="bullet"/>
      <w:lvlText w:val="-"/>
      <w:lvlJc w:val="left"/>
      <w:pPr>
        <w:ind w:left="644" w:hanging="360"/>
      </w:pPr>
      <w:rPr>
        <w:rFonts w:ascii="Wingdings" w:eastAsiaTheme="minorHAnsi" w:hAnsi="Wingdings" w:cs="Wingdings" w:hint="default"/>
        <w:color w:val="7030A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0" w15:restartNumberingAfterBreak="0">
    <w:nsid w:val="51840DD6"/>
    <w:multiLevelType w:val="hybridMultilevel"/>
    <w:tmpl w:val="FB78DDCC"/>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491" w15:restartNumberingAfterBreak="0">
    <w:nsid w:val="518D46EC"/>
    <w:multiLevelType w:val="hybridMultilevel"/>
    <w:tmpl w:val="09AA04B4"/>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2" w15:restartNumberingAfterBreak="0">
    <w:nsid w:val="51C34FD6"/>
    <w:multiLevelType w:val="hybridMultilevel"/>
    <w:tmpl w:val="FFFFFFFF"/>
    <w:lvl w:ilvl="0" w:tplc="339404DC">
      <w:start w:val="7"/>
      <w:numFmt w:val="decimal"/>
      <w:lvlText w:val="%1."/>
      <w:lvlJc w:val="left"/>
      <w:pPr>
        <w:ind w:left="720" w:hanging="360"/>
      </w:pPr>
    </w:lvl>
    <w:lvl w:ilvl="1" w:tplc="C542F2B4">
      <w:start w:val="1"/>
      <w:numFmt w:val="lowerLetter"/>
      <w:lvlText w:val="%2."/>
      <w:lvlJc w:val="left"/>
      <w:pPr>
        <w:ind w:left="1440" w:hanging="360"/>
      </w:pPr>
    </w:lvl>
    <w:lvl w:ilvl="2" w:tplc="AA4EE380">
      <w:start w:val="1"/>
      <w:numFmt w:val="lowerRoman"/>
      <w:lvlText w:val="%3."/>
      <w:lvlJc w:val="right"/>
      <w:pPr>
        <w:ind w:left="2160" w:hanging="180"/>
      </w:pPr>
    </w:lvl>
    <w:lvl w:ilvl="3" w:tplc="60B8FCD8">
      <w:start w:val="1"/>
      <w:numFmt w:val="decimal"/>
      <w:lvlText w:val="%4."/>
      <w:lvlJc w:val="left"/>
      <w:pPr>
        <w:ind w:left="2880" w:hanging="360"/>
      </w:pPr>
    </w:lvl>
    <w:lvl w:ilvl="4" w:tplc="7640E2B6">
      <w:start w:val="1"/>
      <w:numFmt w:val="lowerLetter"/>
      <w:lvlText w:val="%5."/>
      <w:lvlJc w:val="left"/>
      <w:pPr>
        <w:ind w:left="3600" w:hanging="360"/>
      </w:pPr>
    </w:lvl>
    <w:lvl w:ilvl="5" w:tplc="097AF2C4">
      <w:start w:val="1"/>
      <w:numFmt w:val="lowerRoman"/>
      <w:lvlText w:val="%6."/>
      <w:lvlJc w:val="right"/>
      <w:pPr>
        <w:ind w:left="4320" w:hanging="180"/>
      </w:pPr>
    </w:lvl>
    <w:lvl w:ilvl="6" w:tplc="F7507E80">
      <w:start w:val="1"/>
      <w:numFmt w:val="decimal"/>
      <w:lvlText w:val="%7."/>
      <w:lvlJc w:val="left"/>
      <w:pPr>
        <w:ind w:left="5040" w:hanging="360"/>
      </w:pPr>
    </w:lvl>
    <w:lvl w:ilvl="7" w:tplc="9BF0E004">
      <w:start w:val="1"/>
      <w:numFmt w:val="lowerLetter"/>
      <w:lvlText w:val="%8."/>
      <w:lvlJc w:val="left"/>
      <w:pPr>
        <w:ind w:left="5760" w:hanging="360"/>
      </w:pPr>
    </w:lvl>
    <w:lvl w:ilvl="8" w:tplc="BDE219B6">
      <w:start w:val="1"/>
      <w:numFmt w:val="lowerRoman"/>
      <w:lvlText w:val="%9."/>
      <w:lvlJc w:val="right"/>
      <w:pPr>
        <w:ind w:left="6480" w:hanging="180"/>
      </w:pPr>
    </w:lvl>
  </w:abstractNum>
  <w:abstractNum w:abstractNumId="493" w15:restartNumberingAfterBreak="0">
    <w:nsid w:val="51F39252"/>
    <w:multiLevelType w:val="hybridMultilevel"/>
    <w:tmpl w:val="FFFFFFFF"/>
    <w:lvl w:ilvl="0" w:tplc="98801298">
      <w:start w:val="1"/>
      <w:numFmt w:val="bullet"/>
      <w:lvlText w:val=""/>
      <w:lvlJc w:val="left"/>
      <w:pPr>
        <w:ind w:left="720" w:hanging="360"/>
      </w:pPr>
      <w:rPr>
        <w:rFonts w:ascii="Symbol" w:hAnsi="Symbol" w:hint="default"/>
      </w:rPr>
    </w:lvl>
    <w:lvl w:ilvl="1" w:tplc="D90C2952">
      <w:start w:val="1"/>
      <w:numFmt w:val="bullet"/>
      <w:lvlText w:val="-"/>
      <w:lvlJc w:val="left"/>
      <w:pPr>
        <w:ind w:left="1440" w:hanging="360"/>
      </w:pPr>
      <w:rPr>
        <w:rFonts w:ascii="Calibri" w:hAnsi="Calibri" w:hint="default"/>
      </w:rPr>
    </w:lvl>
    <w:lvl w:ilvl="2" w:tplc="9F24B08E">
      <w:start w:val="1"/>
      <w:numFmt w:val="bullet"/>
      <w:lvlText w:val=""/>
      <w:lvlJc w:val="left"/>
      <w:pPr>
        <w:ind w:left="2160" w:hanging="360"/>
      </w:pPr>
      <w:rPr>
        <w:rFonts w:ascii="Wingdings" w:hAnsi="Wingdings" w:hint="default"/>
      </w:rPr>
    </w:lvl>
    <w:lvl w:ilvl="3" w:tplc="B9881090">
      <w:start w:val="1"/>
      <w:numFmt w:val="bullet"/>
      <w:lvlText w:val=""/>
      <w:lvlJc w:val="left"/>
      <w:pPr>
        <w:ind w:left="2880" w:hanging="360"/>
      </w:pPr>
      <w:rPr>
        <w:rFonts w:ascii="Symbol" w:hAnsi="Symbol" w:hint="default"/>
      </w:rPr>
    </w:lvl>
    <w:lvl w:ilvl="4" w:tplc="A3929228">
      <w:start w:val="1"/>
      <w:numFmt w:val="bullet"/>
      <w:lvlText w:val="o"/>
      <w:lvlJc w:val="left"/>
      <w:pPr>
        <w:ind w:left="3600" w:hanging="360"/>
      </w:pPr>
      <w:rPr>
        <w:rFonts w:ascii="Courier New" w:hAnsi="Courier New" w:hint="default"/>
      </w:rPr>
    </w:lvl>
    <w:lvl w:ilvl="5" w:tplc="88C2EE56">
      <w:start w:val="1"/>
      <w:numFmt w:val="bullet"/>
      <w:lvlText w:val=""/>
      <w:lvlJc w:val="left"/>
      <w:pPr>
        <w:ind w:left="4320" w:hanging="360"/>
      </w:pPr>
      <w:rPr>
        <w:rFonts w:ascii="Wingdings" w:hAnsi="Wingdings" w:hint="default"/>
      </w:rPr>
    </w:lvl>
    <w:lvl w:ilvl="6" w:tplc="00E222D6">
      <w:start w:val="1"/>
      <w:numFmt w:val="bullet"/>
      <w:lvlText w:val=""/>
      <w:lvlJc w:val="left"/>
      <w:pPr>
        <w:ind w:left="5040" w:hanging="360"/>
      </w:pPr>
      <w:rPr>
        <w:rFonts w:ascii="Symbol" w:hAnsi="Symbol" w:hint="default"/>
      </w:rPr>
    </w:lvl>
    <w:lvl w:ilvl="7" w:tplc="D33E97CE">
      <w:start w:val="1"/>
      <w:numFmt w:val="bullet"/>
      <w:lvlText w:val="o"/>
      <w:lvlJc w:val="left"/>
      <w:pPr>
        <w:ind w:left="5760" w:hanging="360"/>
      </w:pPr>
      <w:rPr>
        <w:rFonts w:ascii="Courier New" w:hAnsi="Courier New" w:hint="default"/>
      </w:rPr>
    </w:lvl>
    <w:lvl w:ilvl="8" w:tplc="3FC86346">
      <w:start w:val="1"/>
      <w:numFmt w:val="bullet"/>
      <w:lvlText w:val=""/>
      <w:lvlJc w:val="left"/>
      <w:pPr>
        <w:ind w:left="6480" w:hanging="360"/>
      </w:pPr>
      <w:rPr>
        <w:rFonts w:ascii="Wingdings" w:hAnsi="Wingdings" w:hint="default"/>
      </w:rPr>
    </w:lvl>
  </w:abstractNum>
  <w:abstractNum w:abstractNumId="494" w15:restartNumberingAfterBreak="0">
    <w:nsid w:val="51F6139C"/>
    <w:multiLevelType w:val="multilevel"/>
    <w:tmpl w:val="E80EF2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15:restartNumberingAfterBreak="0">
    <w:nsid w:val="51FBD3EC"/>
    <w:multiLevelType w:val="hybridMultilevel"/>
    <w:tmpl w:val="FFFFFFFF"/>
    <w:lvl w:ilvl="0" w:tplc="A5541B30">
      <w:start w:val="1"/>
      <w:numFmt w:val="bullet"/>
      <w:lvlText w:val=""/>
      <w:lvlJc w:val="left"/>
      <w:pPr>
        <w:ind w:left="720" w:hanging="360"/>
      </w:pPr>
      <w:rPr>
        <w:rFonts w:ascii="Segoe UI" w:hAnsi="Segoe UI" w:hint="default"/>
      </w:rPr>
    </w:lvl>
    <w:lvl w:ilvl="1" w:tplc="7F30CC54">
      <w:start w:val="1"/>
      <w:numFmt w:val="bullet"/>
      <w:lvlText w:val="o"/>
      <w:lvlJc w:val="left"/>
      <w:pPr>
        <w:ind w:left="1440" w:hanging="360"/>
      </w:pPr>
      <w:rPr>
        <w:rFonts w:ascii="Courier New" w:hAnsi="Courier New" w:hint="default"/>
      </w:rPr>
    </w:lvl>
    <w:lvl w:ilvl="2" w:tplc="505E863C">
      <w:start w:val="1"/>
      <w:numFmt w:val="bullet"/>
      <w:lvlText w:val=""/>
      <w:lvlJc w:val="left"/>
      <w:pPr>
        <w:ind w:left="2160" w:hanging="360"/>
      </w:pPr>
      <w:rPr>
        <w:rFonts w:ascii="Cambria Math" w:hAnsi="Cambria Math" w:hint="default"/>
      </w:rPr>
    </w:lvl>
    <w:lvl w:ilvl="3" w:tplc="512C99E4">
      <w:start w:val="1"/>
      <w:numFmt w:val="bullet"/>
      <w:lvlText w:val=""/>
      <w:lvlJc w:val="left"/>
      <w:pPr>
        <w:ind w:left="2880" w:hanging="360"/>
      </w:pPr>
      <w:rPr>
        <w:rFonts w:ascii="Segoe UI" w:hAnsi="Segoe UI" w:hint="default"/>
      </w:rPr>
    </w:lvl>
    <w:lvl w:ilvl="4" w:tplc="395A8F88">
      <w:start w:val="1"/>
      <w:numFmt w:val="bullet"/>
      <w:lvlText w:val="o"/>
      <w:lvlJc w:val="left"/>
      <w:pPr>
        <w:ind w:left="3600" w:hanging="360"/>
      </w:pPr>
      <w:rPr>
        <w:rFonts w:ascii="Courier New" w:hAnsi="Courier New" w:hint="default"/>
      </w:rPr>
    </w:lvl>
    <w:lvl w:ilvl="5" w:tplc="CDF81730">
      <w:start w:val="1"/>
      <w:numFmt w:val="bullet"/>
      <w:lvlText w:val=""/>
      <w:lvlJc w:val="left"/>
      <w:pPr>
        <w:ind w:left="4320" w:hanging="360"/>
      </w:pPr>
      <w:rPr>
        <w:rFonts w:ascii="Cambria Math" w:hAnsi="Cambria Math" w:hint="default"/>
      </w:rPr>
    </w:lvl>
    <w:lvl w:ilvl="6" w:tplc="E8CA51C0">
      <w:start w:val="1"/>
      <w:numFmt w:val="bullet"/>
      <w:lvlText w:val=""/>
      <w:lvlJc w:val="left"/>
      <w:pPr>
        <w:ind w:left="5040" w:hanging="360"/>
      </w:pPr>
      <w:rPr>
        <w:rFonts w:ascii="Segoe UI" w:hAnsi="Segoe UI" w:hint="default"/>
      </w:rPr>
    </w:lvl>
    <w:lvl w:ilvl="7" w:tplc="B0EA966E">
      <w:start w:val="1"/>
      <w:numFmt w:val="bullet"/>
      <w:lvlText w:val="o"/>
      <w:lvlJc w:val="left"/>
      <w:pPr>
        <w:ind w:left="5760" w:hanging="360"/>
      </w:pPr>
      <w:rPr>
        <w:rFonts w:ascii="Courier New" w:hAnsi="Courier New" w:hint="default"/>
      </w:rPr>
    </w:lvl>
    <w:lvl w:ilvl="8" w:tplc="9A846126">
      <w:start w:val="1"/>
      <w:numFmt w:val="bullet"/>
      <w:lvlText w:val=""/>
      <w:lvlJc w:val="left"/>
      <w:pPr>
        <w:ind w:left="6480" w:hanging="360"/>
      </w:pPr>
      <w:rPr>
        <w:rFonts w:ascii="Cambria Math" w:hAnsi="Cambria Math" w:hint="default"/>
      </w:rPr>
    </w:lvl>
  </w:abstractNum>
  <w:abstractNum w:abstractNumId="496" w15:restartNumberingAfterBreak="0">
    <w:nsid w:val="528F05AD"/>
    <w:multiLevelType w:val="hybridMultilevel"/>
    <w:tmpl w:val="FFFFFFFF"/>
    <w:lvl w:ilvl="0" w:tplc="4FA4B262">
      <w:start w:val="7"/>
      <w:numFmt w:val="decimal"/>
      <w:lvlText w:val="%1."/>
      <w:lvlJc w:val="left"/>
      <w:pPr>
        <w:ind w:left="720" w:hanging="360"/>
      </w:pPr>
    </w:lvl>
    <w:lvl w:ilvl="1" w:tplc="0D80471E">
      <w:start w:val="1"/>
      <w:numFmt w:val="lowerLetter"/>
      <w:lvlText w:val="%2."/>
      <w:lvlJc w:val="left"/>
      <w:pPr>
        <w:ind w:left="1440" w:hanging="360"/>
      </w:pPr>
    </w:lvl>
    <w:lvl w:ilvl="2" w:tplc="AC4AFCF2">
      <w:start w:val="1"/>
      <w:numFmt w:val="lowerRoman"/>
      <w:lvlText w:val="%3."/>
      <w:lvlJc w:val="right"/>
      <w:pPr>
        <w:ind w:left="2160" w:hanging="180"/>
      </w:pPr>
    </w:lvl>
    <w:lvl w:ilvl="3" w:tplc="7186BF4E">
      <w:start w:val="1"/>
      <w:numFmt w:val="decimal"/>
      <w:lvlText w:val="%4."/>
      <w:lvlJc w:val="left"/>
      <w:pPr>
        <w:ind w:left="2880" w:hanging="360"/>
      </w:pPr>
    </w:lvl>
    <w:lvl w:ilvl="4" w:tplc="A85E92A6">
      <w:start w:val="1"/>
      <w:numFmt w:val="lowerLetter"/>
      <w:lvlText w:val="%5."/>
      <w:lvlJc w:val="left"/>
      <w:pPr>
        <w:ind w:left="3600" w:hanging="360"/>
      </w:pPr>
    </w:lvl>
    <w:lvl w:ilvl="5" w:tplc="5B182BEA">
      <w:start w:val="1"/>
      <w:numFmt w:val="lowerRoman"/>
      <w:lvlText w:val="%6."/>
      <w:lvlJc w:val="right"/>
      <w:pPr>
        <w:ind w:left="4320" w:hanging="180"/>
      </w:pPr>
    </w:lvl>
    <w:lvl w:ilvl="6" w:tplc="36FCD0BE">
      <w:start w:val="1"/>
      <w:numFmt w:val="decimal"/>
      <w:lvlText w:val="%7."/>
      <w:lvlJc w:val="left"/>
      <w:pPr>
        <w:ind w:left="5040" w:hanging="360"/>
      </w:pPr>
    </w:lvl>
    <w:lvl w:ilvl="7" w:tplc="AE5A4B86">
      <w:start w:val="1"/>
      <w:numFmt w:val="lowerLetter"/>
      <w:lvlText w:val="%8."/>
      <w:lvlJc w:val="left"/>
      <w:pPr>
        <w:ind w:left="5760" w:hanging="360"/>
      </w:pPr>
    </w:lvl>
    <w:lvl w:ilvl="8" w:tplc="C4F8FDF2">
      <w:start w:val="1"/>
      <w:numFmt w:val="lowerRoman"/>
      <w:lvlText w:val="%9."/>
      <w:lvlJc w:val="right"/>
      <w:pPr>
        <w:ind w:left="6480" w:hanging="180"/>
      </w:pPr>
    </w:lvl>
  </w:abstractNum>
  <w:abstractNum w:abstractNumId="497" w15:restartNumberingAfterBreak="0">
    <w:nsid w:val="52A67588"/>
    <w:multiLevelType w:val="hybridMultilevel"/>
    <w:tmpl w:val="339EC5E2"/>
    <w:lvl w:ilvl="0" w:tplc="ED7E88AA">
      <w:start w:val="1"/>
      <w:numFmt w:val="decimal"/>
      <w:lvlText w:val="%1."/>
      <w:lvlJc w:val="left"/>
      <w:pPr>
        <w:ind w:left="720" w:hanging="360"/>
      </w:pPr>
      <w:rPr>
        <w:rFonts w:ascii="Symbol" w:hAnsi="Symbol" w:cs="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8" w15:restartNumberingAfterBreak="0">
    <w:nsid w:val="52E145F1"/>
    <w:multiLevelType w:val="multilevel"/>
    <w:tmpl w:val="FD02E8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53092700"/>
    <w:multiLevelType w:val="hybridMultilevel"/>
    <w:tmpl w:val="FFFFFFFF"/>
    <w:lvl w:ilvl="0" w:tplc="4C34D632">
      <w:start w:val="1"/>
      <w:numFmt w:val="bullet"/>
      <w:lvlText w:val=""/>
      <w:lvlJc w:val="left"/>
      <w:pPr>
        <w:ind w:left="720" w:hanging="360"/>
      </w:pPr>
      <w:rPr>
        <w:rFonts w:ascii="Symbol" w:hAnsi="Symbol" w:hint="default"/>
      </w:rPr>
    </w:lvl>
    <w:lvl w:ilvl="1" w:tplc="CC94CA28">
      <w:start w:val="1"/>
      <w:numFmt w:val="bullet"/>
      <w:lvlText w:val="-"/>
      <w:lvlJc w:val="left"/>
      <w:pPr>
        <w:ind w:left="1440" w:hanging="360"/>
      </w:pPr>
      <w:rPr>
        <w:rFonts w:ascii="Calibri" w:hAnsi="Calibri" w:hint="default"/>
      </w:rPr>
    </w:lvl>
    <w:lvl w:ilvl="2" w:tplc="17FA51DA">
      <w:start w:val="1"/>
      <w:numFmt w:val="bullet"/>
      <w:lvlText w:val=""/>
      <w:lvlJc w:val="left"/>
      <w:pPr>
        <w:ind w:left="2160" w:hanging="360"/>
      </w:pPr>
      <w:rPr>
        <w:rFonts w:ascii="Wingdings" w:hAnsi="Wingdings" w:hint="default"/>
      </w:rPr>
    </w:lvl>
    <w:lvl w:ilvl="3" w:tplc="878C740E">
      <w:start w:val="1"/>
      <w:numFmt w:val="bullet"/>
      <w:lvlText w:val=""/>
      <w:lvlJc w:val="left"/>
      <w:pPr>
        <w:ind w:left="2880" w:hanging="360"/>
      </w:pPr>
      <w:rPr>
        <w:rFonts w:ascii="Symbol" w:hAnsi="Symbol" w:hint="default"/>
      </w:rPr>
    </w:lvl>
    <w:lvl w:ilvl="4" w:tplc="DD386FEC">
      <w:start w:val="1"/>
      <w:numFmt w:val="bullet"/>
      <w:lvlText w:val="o"/>
      <w:lvlJc w:val="left"/>
      <w:pPr>
        <w:ind w:left="3600" w:hanging="360"/>
      </w:pPr>
      <w:rPr>
        <w:rFonts w:ascii="Courier New" w:hAnsi="Courier New" w:hint="default"/>
      </w:rPr>
    </w:lvl>
    <w:lvl w:ilvl="5" w:tplc="3CB4266E">
      <w:start w:val="1"/>
      <w:numFmt w:val="bullet"/>
      <w:lvlText w:val=""/>
      <w:lvlJc w:val="left"/>
      <w:pPr>
        <w:ind w:left="4320" w:hanging="360"/>
      </w:pPr>
      <w:rPr>
        <w:rFonts w:ascii="Wingdings" w:hAnsi="Wingdings" w:hint="default"/>
      </w:rPr>
    </w:lvl>
    <w:lvl w:ilvl="6" w:tplc="B83EC450">
      <w:start w:val="1"/>
      <w:numFmt w:val="bullet"/>
      <w:lvlText w:val=""/>
      <w:lvlJc w:val="left"/>
      <w:pPr>
        <w:ind w:left="5040" w:hanging="360"/>
      </w:pPr>
      <w:rPr>
        <w:rFonts w:ascii="Symbol" w:hAnsi="Symbol" w:hint="default"/>
      </w:rPr>
    </w:lvl>
    <w:lvl w:ilvl="7" w:tplc="A52623A0">
      <w:start w:val="1"/>
      <w:numFmt w:val="bullet"/>
      <w:lvlText w:val="o"/>
      <w:lvlJc w:val="left"/>
      <w:pPr>
        <w:ind w:left="5760" w:hanging="360"/>
      </w:pPr>
      <w:rPr>
        <w:rFonts w:ascii="Courier New" w:hAnsi="Courier New" w:hint="default"/>
      </w:rPr>
    </w:lvl>
    <w:lvl w:ilvl="8" w:tplc="2B2203C8">
      <w:start w:val="1"/>
      <w:numFmt w:val="bullet"/>
      <w:lvlText w:val=""/>
      <w:lvlJc w:val="left"/>
      <w:pPr>
        <w:ind w:left="6480" w:hanging="360"/>
      </w:pPr>
      <w:rPr>
        <w:rFonts w:ascii="Wingdings" w:hAnsi="Wingdings" w:hint="default"/>
      </w:rPr>
    </w:lvl>
  </w:abstractNum>
  <w:abstractNum w:abstractNumId="500" w15:restartNumberingAfterBreak="0">
    <w:nsid w:val="536649EB"/>
    <w:multiLevelType w:val="hybridMultilevel"/>
    <w:tmpl w:val="4B7655CA"/>
    <w:lvl w:ilvl="0" w:tplc="18090001">
      <w:start w:val="1"/>
      <w:numFmt w:val="bullet"/>
      <w:lvlText w:val=""/>
      <w:lvlJc w:val="left"/>
      <w:pPr>
        <w:ind w:left="720" w:hanging="360"/>
      </w:pPr>
      <w:rPr>
        <w:rFonts w:ascii="Symbol" w:hAnsi="Symbol" w:hint="default"/>
      </w:rPr>
    </w:lvl>
    <w:lvl w:ilvl="1" w:tplc="D13A51C6">
      <w:numFmt w:val="bullet"/>
      <w:pStyle w:val="bullet2"/>
      <w:lvlText w:val="-"/>
      <w:lvlJc w:val="left"/>
      <w:pPr>
        <w:ind w:left="1440" w:hanging="360"/>
      </w:pPr>
      <w:rPr>
        <w:rFonts w:ascii="Wingdings" w:eastAsiaTheme="minorHAnsi" w:hAnsi="Wingdings" w:cs="Wingdings" w:hint="default"/>
      </w:rPr>
    </w:lvl>
    <w:lvl w:ilvl="2" w:tplc="CE645904">
      <w:start w:val="1"/>
      <w:numFmt w:val="lowerLetter"/>
      <w:lvlText w:val="%3)"/>
      <w:lvlJc w:val="left"/>
      <w:pPr>
        <w:ind w:left="2160" w:hanging="360"/>
      </w:pPr>
      <w:rPr>
        <w:rFonts w:asciiTheme="minorHAnsi" w:eastAsia="Aptos" w:hAnsiTheme="minorHAnsi" w:cstheme="minorHAnsi"/>
      </w:rPr>
    </w:lvl>
    <w:lvl w:ilvl="3" w:tplc="9E2A1D18">
      <w:start w:val="1"/>
      <w:numFmt w:val="bullet"/>
      <w:lvlText w:val=""/>
      <w:lvlJc w:val="left"/>
      <w:pPr>
        <w:ind w:left="2880" w:hanging="360"/>
      </w:pPr>
      <w:rPr>
        <w:rFonts w:ascii="Segoe UI" w:hAnsi="Segoe UI" w:hint="default"/>
      </w:rPr>
    </w:lvl>
    <w:lvl w:ilvl="4" w:tplc="93E06754">
      <w:start w:val="1"/>
      <w:numFmt w:val="bullet"/>
      <w:lvlText w:val="o"/>
      <w:lvlJc w:val="left"/>
      <w:pPr>
        <w:ind w:left="3600" w:hanging="360"/>
      </w:pPr>
      <w:rPr>
        <w:rFonts w:ascii="Courier New" w:hAnsi="Courier New" w:hint="default"/>
      </w:rPr>
    </w:lvl>
    <w:lvl w:ilvl="5" w:tplc="66403156">
      <w:start w:val="1"/>
      <w:numFmt w:val="bullet"/>
      <w:lvlText w:val=""/>
      <w:lvlJc w:val="left"/>
      <w:pPr>
        <w:ind w:left="4320" w:hanging="360"/>
      </w:pPr>
      <w:rPr>
        <w:rFonts w:ascii="Cambria Math" w:hAnsi="Cambria Math" w:hint="default"/>
      </w:rPr>
    </w:lvl>
    <w:lvl w:ilvl="6" w:tplc="302ED93E">
      <w:start w:val="1"/>
      <w:numFmt w:val="bullet"/>
      <w:lvlText w:val=""/>
      <w:lvlJc w:val="left"/>
      <w:pPr>
        <w:ind w:left="5040" w:hanging="360"/>
      </w:pPr>
      <w:rPr>
        <w:rFonts w:ascii="Segoe UI" w:hAnsi="Segoe UI" w:hint="default"/>
      </w:rPr>
    </w:lvl>
    <w:lvl w:ilvl="7" w:tplc="9FCA7C0C">
      <w:start w:val="1"/>
      <w:numFmt w:val="bullet"/>
      <w:lvlText w:val="o"/>
      <w:lvlJc w:val="left"/>
      <w:pPr>
        <w:ind w:left="5760" w:hanging="360"/>
      </w:pPr>
      <w:rPr>
        <w:rFonts w:ascii="Courier New" w:hAnsi="Courier New" w:hint="default"/>
      </w:rPr>
    </w:lvl>
    <w:lvl w:ilvl="8" w:tplc="3CDAD1D2">
      <w:start w:val="1"/>
      <w:numFmt w:val="bullet"/>
      <w:lvlText w:val=""/>
      <w:lvlJc w:val="left"/>
      <w:pPr>
        <w:ind w:left="6480" w:hanging="360"/>
      </w:pPr>
      <w:rPr>
        <w:rFonts w:ascii="Cambria Math" w:hAnsi="Cambria Math" w:hint="default"/>
      </w:rPr>
    </w:lvl>
  </w:abstractNum>
  <w:abstractNum w:abstractNumId="501" w15:restartNumberingAfterBreak="0">
    <w:nsid w:val="537F1D99"/>
    <w:multiLevelType w:val="hybridMultilevel"/>
    <w:tmpl w:val="48E299CE"/>
    <w:lvl w:ilvl="0" w:tplc="FFFFFFFF">
      <w:start w:val="1"/>
      <w:numFmt w:val="bullet"/>
      <w:lvlText w:val=""/>
      <w:lvlJc w:val="left"/>
      <w:pPr>
        <w:ind w:left="720" w:hanging="360"/>
      </w:pPr>
      <w:rPr>
        <w:rFonts w:ascii="Symbol" w:hAnsi="Symbol" w:hint="default"/>
      </w:rPr>
    </w:lvl>
    <w:lvl w:ilvl="1" w:tplc="8550B768">
      <w:start w:val="1"/>
      <w:numFmt w:val="bullet"/>
      <w:lvlText w:val="o"/>
      <w:lvlJc w:val="left"/>
      <w:pPr>
        <w:ind w:left="1440" w:hanging="360"/>
      </w:pPr>
      <w:rPr>
        <w:rFonts w:ascii="Courier New" w:hAnsi="Courier New" w:hint="default"/>
      </w:rPr>
    </w:lvl>
    <w:lvl w:ilvl="2" w:tplc="993E8EF8">
      <w:start w:val="1"/>
      <w:numFmt w:val="bullet"/>
      <w:lvlText w:val=""/>
      <w:lvlJc w:val="left"/>
      <w:pPr>
        <w:ind w:left="2160" w:hanging="360"/>
      </w:pPr>
      <w:rPr>
        <w:rFonts w:ascii="Wingdings" w:hAnsi="Wingdings" w:hint="default"/>
      </w:rPr>
    </w:lvl>
    <w:lvl w:ilvl="3" w:tplc="5186F328">
      <w:start w:val="1"/>
      <w:numFmt w:val="bullet"/>
      <w:lvlText w:val=""/>
      <w:lvlJc w:val="left"/>
      <w:pPr>
        <w:ind w:left="2880" w:hanging="360"/>
      </w:pPr>
      <w:rPr>
        <w:rFonts w:ascii="Symbol" w:hAnsi="Symbol" w:hint="default"/>
      </w:rPr>
    </w:lvl>
    <w:lvl w:ilvl="4" w:tplc="0CC43702">
      <w:start w:val="1"/>
      <w:numFmt w:val="bullet"/>
      <w:lvlText w:val="o"/>
      <w:lvlJc w:val="left"/>
      <w:pPr>
        <w:ind w:left="3600" w:hanging="360"/>
      </w:pPr>
      <w:rPr>
        <w:rFonts w:ascii="Courier New" w:hAnsi="Courier New" w:hint="default"/>
      </w:rPr>
    </w:lvl>
    <w:lvl w:ilvl="5" w:tplc="A2A89980">
      <w:start w:val="1"/>
      <w:numFmt w:val="bullet"/>
      <w:lvlText w:val=""/>
      <w:lvlJc w:val="left"/>
      <w:pPr>
        <w:ind w:left="4320" w:hanging="360"/>
      </w:pPr>
      <w:rPr>
        <w:rFonts w:ascii="Wingdings" w:hAnsi="Wingdings" w:hint="default"/>
      </w:rPr>
    </w:lvl>
    <w:lvl w:ilvl="6" w:tplc="71E4B7E6">
      <w:start w:val="1"/>
      <w:numFmt w:val="bullet"/>
      <w:lvlText w:val=""/>
      <w:lvlJc w:val="left"/>
      <w:pPr>
        <w:ind w:left="5040" w:hanging="360"/>
      </w:pPr>
      <w:rPr>
        <w:rFonts w:ascii="Symbol" w:hAnsi="Symbol" w:hint="default"/>
      </w:rPr>
    </w:lvl>
    <w:lvl w:ilvl="7" w:tplc="6F8A6104">
      <w:start w:val="1"/>
      <w:numFmt w:val="bullet"/>
      <w:lvlText w:val="o"/>
      <w:lvlJc w:val="left"/>
      <w:pPr>
        <w:ind w:left="5760" w:hanging="360"/>
      </w:pPr>
      <w:rPr>
        <w:rFonts w:ascii="Courier New" w:hAnsi="Courier New" w:hint="default"/>
      </w:rPr>
    </w:lvl>
    <w:lvl w:ilvl="8" w:tplc="3A009252">
      <w:start w:val="1"/>
      <w:numFmt w:val="bullet"/>
      <w:lvlText w:val=""/>
      <w:lvlJc w:val="left"/>
      <w:pPr>
        <w:ind w:left="6480" w:hanging="360"/>
      </w:pPr>
      <w:rPr>
        <w:rFonts w:ascii="Wingdings" w:hAnsi="Wingdings" w:hint="default"/>
      </w:rPr>
    </w:lvl>
  </w:abstractNum>
  <w:abstractNum w:abstractNumId="502" w15:restartNumberingAfterBreak="0">
    <w:nsid w:val="54161E50"/>
    <w:multiLevelType w:val="multilevel"/>
    <w:tmpl w:val="3582497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15:restartNumberingAfterBreak="0">
    <w:nsid w:val="544A54A6"/>
    <w:multiLevelType w:val="hybridMultilevel"/>
    <w:tmpl w:val="42BA6C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4" w15:restartNumberingAfterBreak="0">
    <w:nsid w:val="54551344"/>
    <w:multiLevelType w:val="multilevel"/>
    <w:tmpl w:val="929E4F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5" w15:restartNumberingAfterBreak="0">
    <w:nsid w:val="546BE445"/>
    <w:multiLevelType w:val="hybridMultilevel"/>
    <w:tmpl w:val="FFFFFFFF"/>
    <w:lvl w:ilvl="0" w:tplc="7A186E2A">
      <w:start w:val="1"/>
      <w:numFmt w:val="bullet"/>
      <w:lvlText w:val="§"/>
      <w:lvlJc w:val="left"/>
      <w:pPr>
        <w:ind w:left="720" w:hanging="360"/>
      </w:pPr>
      <w:rPr>
        <w:rFonts w:ascii="Wingdings" w:hAnsi="Wingdings" w:hint="default"/>
      </w:rPr>
    </w:lvl>
    <w:lvl w:ilvl="1" w:tplc="B9E0477C">
      <w:start w:val="1"/>
      <w:numFmt w:val="bullet"/>
      <w:lvlText w:val="o"/>
      <w:lvlJc w:val="left"/>
      <w:pPr>
        <w:ind w:left="1440" w:hanging="360"/>
      </w:pPr>
      <w:rPr>
        <w:rFonts w:ascii="Courier New" w:hAnsi="Courier New" w:hint="default"/>
      </w:rPr>
    </w:lvl>
    <w:lvl w:ilvl="2" w:tplc="CA08245A">
      <w:start w:val="1"/>
      <w:numFmt w:val="bullet"/>
      <w:lvlText w:val=""/>
      <w:lvlJc w:val="left"/>
      <w:pPr>
        <w:ind w:left="2160" w:hanging="360"/>
      </w:pPr>
      <w:rPr>
        <w:rFonts w:ascii="Wingdings" w:hAnsi="Wingdings" w:hint="default"/>
      </w:rPr>
    </w:lvl>
    <w:lvl w:ilvl="3" w:tplc="0B504C2E">
      <w:start w:val="1"/>
      <w:numFmt w:val="bullet"/>
      <w:lvlText w:val=""/>
      <w:lvlJc w:val="left"/>
      <w:pPr>
        <w:ind w:left="2880" w:hanging="360"/>
      </w:pPr>
      <w:rPr>
        <w:rFonts w:ascii="Symbol" w:hAnsi="Symbol" w:hint="default"/>
      </w:rPr>
    </w:lvl>
    <w:lvl w:ilvl="4" w:tplc="D74E8CDC">
      <w:start w:val="1"/>
      <w:numFmt w:val="bullet"/>
      <w:lvlText w:val="o"/>
      <w:lvlJc w:val="left"/>
      <w:pPr>
        <w:ind w:left="3600" w:hanging="360"/>
      </w:pPr>
      <w:rPr>
        <w:rFonts w:ascii="Courier New" w:hAnsi="Courier New" w:hint="default"/>
      </w:rPr>
    </w:lvl>
    <w:lvl w:ilvl="5" w:tplc="65141C40">
      <w:start w:val="1"/>
      <w:numFmt w:val="bullet"/>
      <w:lvlText w:val=""/>
      <w:lvlJc w:val="left"/>
      <w:pPr>
        <w:ind w:left="4320" w:hanging="360"/>
      </w:pPr>
      <w:rPr>
        <w:rFonts w:ascii="Wingdings" w:hAnsi="Wingdings" w:hint="default"/>
      </w:rPr>
    </w:lvl>
    <w:lvl w:ilvl="6" w:tplc="2D28BE2C">
      <w:start w:val="1"/>
      <w:numFmt w:val="bullet"/>
      <w:lvlText w:val=""/>
      <w:lvlJc w:val="left"/>
      <w:pPr>
        <w:ind w:left="5040" w:hanging="360"/>
      </w:pPr>
      <w:rPr>
        <w:rFonts w:ascii="Symbol" w:hAnsi="Symbol" w:hint="default"/>
      </w:rPr>
    </w:lvl>
    <w:lvl w:ilvl="7" w:tplc="1CA8B536">
      <w:start w:val="1"/>
      <w:numFmt w:val="bullet"/>
      <w:lvlText w:val="o"/>
      <w:lvlJc w:val="left"/>
      <w:pPr>
        <w:ind w:left="5760" w:hanging="360"/>
      </w:pPr>
      <w:rPr>
        <w:rFonts w:ascii="Courier New" w:hAnsi="Courier New" w:hint="default"/>
      </w:rPr>
    </w:lvl>
    <w:lvl w:ilvl="8" w:tplc="6D84D894">
      <w:start w:val="1"/>
      <w:numFmt w:val="bullet"/>
      <w:lvlText w:val=""/>
      <w:lvlJc w:val="left"/>
      <w:pPr>
        <w:ind w:left="6480" w:hanging="360"/>
      </w:pPr>
      <w:rPr>
        <w:rFonts w:ascii="Wingdings" w:hAnsi="Wingdings" w:hint="default"/>
      </w:rPr>
    </w:lvl>
  </w:abstractNum>
  <w:abstractNum w:abstractNumId="506" w15:restartNumberingAfterBreak="0">
    <w:nsid w:val="54BA1EAB"/>
    <w:multiLevelType w:val="hybridMultilevel"/>
    <w:tmpl w:val="7C4498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7" w15:restartNumberingAfterBreak="0">
    <w:nsid w:val="54C71877"/>
    <w:multiLevelType w:val="hybridMultilevel"/>
    <w:tmpl w:val="86864030"/>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508" w15:restartNumberingAfterBreak="0">
    <w:nsid w:val="54D8239D"/>
    <w:multiLevelType w:val="multilevel"/>
    <w:tmpl w:val="E466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55085006"/>
    <w:multiLevelType w:val="hybridMultilevel"/>
    <w:tmpl w:val="8BD045BC"/>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0" w15:restartNumberingAfterBreak="0">
    <w:nsid w:val="551C6B9F"/>
    <w:multiLevelType w:val="hybridMultilevel"/>
    <w:tmpl w:val="0636A3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1" w15:restartNumberingAfterBreak="0">
    <w:nsid w:val="554C0712"/>
    <w:multiLevelType w:val="hybridMultilevel"/>
    <w:tmpl w:val="DCE871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2" w15:restartNumberingAfterBreak="0">
    <w:nsid w:val="55666125"/>
    <w:multiLevelType w:val="hybridMultilevel"/>
    <w:tmpl w:val="34BC7C10"/>
    <w:lvl w:ilvl="0" w:tplc="3F2A7D3A">
      <w:start w:val="1"/>
      <w:numFmt w:val="lowerLetter"/>
      <w:lvlText w:val="%1)"/>
      <w:lvlJc w:val="left"/>
      <w:pPr>
        <w:ind w:left="1444" w:hanging="7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3"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egoe UI" w:hAnsi="Segoe UI" w:hint="default"/>
      </w:rPr>
    </w:lvl>
  </w:abstractNum>
  <w:abstractNum w:abstractNumId="514" w15:restartNumberingAfterBreak="0">
    <w:nsid w:val="557C33CE"/>
    <w:multiLevelType w:val="hybridMultilevel"/>
    <w:tmpl w:val="4372D5B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55A85B81"/>
    <w:multiLevelType w:val="hybridMultilevel"/>
    <w:tmpl w:val="63926BA2"/>
    <w:lvl w:ilvl="0" w:tplc="312A5F28">
      <w:start w:val="1"/>
      <w:numFmt w:val="bullet"/>
      <w:lvlText w:val="-"/>
      <w:lvlJc w:val="left"/>
      <w:pPr>
        <w:ind w:left="1080" w:hanging="720"/>
      </w:pPr>
      <w:rPr>
        <w:rFonts w:ascii="Calibri" w:eastAsiaTheme="minorHAnsi" w:hAnsi="Calibri" w:cs="Calibri" w:hint="default"/>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6" w15:restartNumberingAfterBreak="0">
    <w:nsid w:val="55C10E65"/>
    <w:multiLevelType w:val="hybridMultilevel"/>
    <w:tmpl w:val="83C0C036"/>
    <w:lvl w:ilvl="0" w:tplc="18090001">
      <w:start w:val="1"/>
      <w:numFmt w:val="bullet"/>
      <w:lvlText w:val=""/>
      <w:lvlJc w:val="left"/>
      <w:pPr>
        <w:ind w:left="720" w:hanging="360"/>
      </w:pPr>
      <w:rPr>
        <w:rFonts w:ascii="Symbol" w:hAnsi="Symbol" w:hint="default"/>
        <w:b/>
        <w:bCs/>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7" w15:restartNumberingAfterBreak="0">
    <w:nsid w:val="55CF40BA"/>
    <w:multiLevelType w:val="multilevel"/>
    <w:tmpl w:val="AC7A5FCA"/>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8" w15:restartNumberingAfterBreak="0">
    <w:nsid w:val="55E5095B"/>
    <w:multiLevelType w:val="hybridMultilevel"/>
    <w:tmpl w:val="0DDE5C0E"/>
    <w:lvl w:ilvl="0" w:tplc="080C0017">
      <w:start w:val="1"/>
      <w:numFmt w:val="lowerLetter"/>
      <w:lvlText w:val="%1)"/>
      <w:lvlJc w:val="left"/>
      <w:pPr>
        <w:ind w:left="907" w:hanging="360"/>
      </w:pPr>
    </w:lvl>
    <w:lvl w:ilvl="1" w:tplc="FFFFFFFF" w:tentative="1">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519" w15:restartNumberingAfterBreak="0">
    <w:nsid w:val="560C4BE4"/>
    <w:multiLevelType w:val="hybridMultilevel"/>
    <w:tmpl w:val="AE5A2B4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0" w15:restartNumberingAfterBreak="0">
    <w:nsid w:val="56C178BC"/>
    <w:multiLevelType w:val="hybridMultilevel"/>
    <w:tmpl w:val="63D6893E"/>
    <w:lvl w:ilvl="0" w:tplc="11B6EE4C">
      <w:start w:val="202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1" w15:restartNumberingAfterBreak="0">
    <w:nsid w:val="56E8A771"/>
    <w:multiLevelType w:val="multilevel"/>
    <w:tmpl w:val="FFFFFFFF"/>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2" w15:restartNumberingAfterBreak="0">
    <w:nsid w:val="56FC4E08"/>
    <w:multiLevelType w:val="hybridMultilevel"/>
    <w:tmpl w:val="FFFFFFFF"/>
    <w:lvl w:ilvl="0" w:tplc="195AD704">
      <w:start w:val="1"/>
      <w:numFmt w:val="bullet"/>
      <w:lvlText w:val="o"/>
      <w:lvlJc w:val="left"/>
      <w:pPr>
        <w:ind w:left="720" w:hanging="360"/>
      </w:pPr>
      <w:rPr>
        <w:rFonts w:ascii="&quot;Courier New&quot;" w:hAnsi="&quot;Courier New&quot;" w:hint="default"/>
      </w:rPr>
    </w:lvl>
    <w:lvl w:ilvl="1" w:tplc="75BE5F86">
      <w:start w:val="1"/>
      <w:numFmt w:val="bullet"/>
      <w:lvlText w:val="o"/>
      <w:lvlJc w:val="left"/>
      <w:pPr>
        <w:ind w:left="1440" w:hanging="360"/>
      </w:pPr>
      <w:rPr>
        <w:rFonts w:ascii="Courier New" w:hAnsi="Courier New" w:hint="default"/>
      </w:rPr>
    </w:lvl>
    <w:lvl w:ilvl="2" w:tplc="049412AC">
      <w:start w:val="1"/>
      <w:numFmt w:val="bullet"/>
      <w:lvlText w:val=""/>
      <w:lvlJc w:val="left"/>
      <w:pPr>
        <w:ind w:left="2160" w:hanging="360"/>
      </w:pPr>
      <w:rPr>
        <w:rFonts w:ascii="Wingdings" w:hAnsi="Wingdings" w:hint="default"/>
      </w:rPr>
    </w:lvl>
    <w:lvl w:ilvl="3" w:tplc="C2B664F4">
      <w:start w:val="1"/>
      <w:numFmt w:val="bullet"/>
      <w:lvlText w:val=""/>
      <w:lvlJc w:val="left"/>
      <w:pPr>
        <w:ind w:left="2880" w:hanging="360"/>
      </w:pPr>
      <w:rPr>
        <w:rFonts w:ascii="Symbol" w:hAnsi="Symbol" w:hint="default"/>
      </w:rPr>
    </w:lvl>
    <w:lvl w:ilvl="4" w:tplc="8084BDD2">
      <w:start w:val="1"/>
      <w:numFmt w:val="bullet"/>
      <w:lvlText w:val="o"/>
      <w:lvlJc w:val="left"/>
      <w:pPr>
        <w:ind w:left="3600" w:hanging="360"/>
      </w:pPr>
      <w:rPr>
        <w:rFonts w:ascii="Courier New" w:hAnsi="Courier New" w:hint="default"/>
      </w:rPr>
    </w:lvl>
    <w:lvl w:ilvl="5" w:tplc="C1D219A2">
      <w:start w:val="1"/>
      <w:numFmt w:val="bullet"/>
      <w:lvlText w:val=""/>
      <w:lvlJc w:val="left"/>
      <w:pPr>
        <w:ind w:left="4320" w:hanging="360"/>
      </w:pPr>
      <w:rPr>
        <w:rFonts w:ascii="Wingdings" w:hAnsi="Wingdings" w:hint="default"/>
      </w:rPr>
    </w:lvl>
    <w:lvl w:ilvl="6" w:tplc="9B0C8668">
      <w:start w:val="1"/>
      <w:numFmt w:val="bullet"/>
      <w:lvlText w:val=""/>
      <w:lvlJc w:val="left"/>
      <w:pPr>
        <w:ind w:left="5040" w:hanging="360"/>
      </w:pPr>
      <w:rPr>
        <w:rFonts w:ascii="Symbol" w:hAnsi="Symbol" w:hint="default"/>
      </w:rPr>
    </w:lvl>
    <w:lvl w:ilvl="7" w:tplc="A8EC0420">
      <w:start w:val="1"/>
      <w:numFmt w:val="bullet"/>
      <w:lvlText w:val="o"/>
      <w:lvlJc w:val="left"/>
      <w:pPr>
        <w:ind w:left="5760" w:hanging="360"/>
      </w:pPr>
      <w:rPr>
        <w:rFonts w:ascii="Courier New" w:hAnsi="Courier New" w:hint="default"/>
      </w:rPr>
    </w:lvl>
    <w:lvl w:ilvl="8" w:tplc="797C00BA">
      <w:start w:val="1"/>
      <w:numFmt w:val="bullet"/>
      <w:lvlText w:val=""/>
      <w:lvlJc w:val="left"/>
      <w:pPr>
        <w:ind w:left="6480" w:hanging="360"/>
      </w:pPr>
      <w:rPr>
        <w:rFonts w:ascii="Wingdings" w:hAnsi="Wingdings" w:hint="default"/>
      </w:rPr>
    </w:lvl>
  </w:abstractNum>
  <w:abstractNum w:abstractNumId="523" w15:restartNumberingAfterBreak="0">
    <w:nsid w:val="571D3C10"/>
    <w:multiLevelType w:val="hybridMultilevel"/>
    <w:tmpl w:val="71E02424"/>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24" w15:restartNumberingAfterBreak="0">
    <w:nsid w:val="57576697"/>
    <w:multiLevelType w:val="hybridMultilevel"/>
    <w:tmpl w:val="3D3A5860"/>
    <w:lvl w:ilvl="0" w:tplc="FFFFFFFF">
      <w:start w:val="1"/>
      <w:numFmt w:val="decimal"/>
      <w:lvlText w:val="%1."/>
      <w:lvlJc w:val="left"/>
      <w:pPr>
        <w:ind w:left="720" w:hanging="360"/>
      </w:pPr>
    </w:lvl>
    <w:lvl w:ilvl="1" w:tplc="18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5" w15:restartNumberingAfterBreak="0">
    <w:nsid w:val="57F812D0"/>
    <w:multiLevelType w:val="hybridMultilevel"/>
    <w:tmpl w:val="F8B0005E"/>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526" w15:restartNumberingAfterBreak="0">
    <w:nsid w:val="57FB002C"/>
    <w:multiLevelType w:val="multilevel"/>
    <w:tmpl w:val="7F22A7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7" w15:restartNumberingAfterBreak="0">
    <w:nsid w:val="58119116"/>
    <w:multiLevelType w:val="hybridMultilevel"/>
    <w:tmpl w:val="FFFFFFFF"/>
    <w:lvl w:ilvl="0" w:tplc="058890D4">
      <w:start w:val="1"/>
      <w:numFmt w:val="bullet"/>
      <w:lvlText w:val="-"/>
      <w:lvlJc w:val="left"/>
      <w:pPr>
        <w:ind w:left="720" w:hanging="360"/>
      </w:pPr>
      <w:rPr>
        <w:rFonts w:ascii="Wingdings" w:hAnsi="Wingdings" w:hint="default"/>
      </w:rPr>
    </w:lvl>
    <w:lvl w:ilvl="1" w:tplc="93F2199C">
      <w:start w:val="1"/>
      <w:numFmt w:val="bullet"/>
      <w:lvlText w:val="o"/>
      <w:lvlJc w:val="left"/>
      <w:pPr>
        <w:ind w:left="1440" w:hanging="360"/>
      </w:pPr>
      <w:rPr>
        <w:rFonts w:ascii="Courier New" w:hAnsi="Courier New" w:hint="default"/>
      </w:rPr>
    </w:lvl>
    <w:lvl w:ilvl="2" w:tplc="CE623FF8">
      <w:start w:val="1"/>
      <w:numFmt w:val="bullet"/>
      <w:lvlText w:val=""/>
      <w:lvlJc w:val="left"/>
      <w:pPr>
        <w:ind w:left="2160" w:hanging="360"/>
      </w:pPr>
      <w:rPr>
        <w:rFonts w:ascii="Cambria Math" w:hAnsi="Cambria Math" w:hint="default"/>
      </w:rPr>
    </w:lvl>
    <w:lvl w:ilvl="3" w:tplc="97D2F198">
      <w:start w:val="1"/>
      <w:numFmt w:val="bullet"/>
      <w:lvlText w:val=""/>
      <w:lvlJc w:val="left"/>
      <w:pPr>
        <w:ind w:left="2880" w:hanging="360"/>
      </w:pPr>
      <w:rPr>
        <w:rFonts w:ascii="Segoe UI" w:hAnsi="Segoe UI" w:hint="default"/>
      </w:rPr>
    </w:lvl>
    <w:lvl w:ilvl="4" w:tplc="09DA6CC0">
      <w:start w:val="1"/>
      <w:numFmt w:val="bullet"/>
      <w:lvlText w:val="o"/>
      <w:lvlJc w:val="left"/>
      <w:pPr>
        <w:ind w:left="3600" w:hanging="360"/>
      </w:pPr>
      <w:rPr>
        <w:rFonts w:ascii="Courier New" w:hAnsi="Courier New" w:hint="default"/>
      </w:rPr>
    </w:lvl>
    <w:lvl w:ilvl="5" w:tplc="8506AE90">
      <w:start w:val="1"/>
      <w:numFmt w:val="bullet"/>
      <w:lvlText w:val=""/>
      <w:lvlJc w:val="left"/>
      <w:pPr>
        <w:ind w:left="4320" w:hanging="360"/>
      </w:pPr>
      <w:rPr>
        <w:rFonts w:ascii="Cambria Math" w:hAnsi="Cambria Math" w:hint="default"/>
      </w:rPr>
    </w:lvl>
    <w:lvl w:ilvl="6" w:tplc="6ADCDA52">
      <w:start w:val="1"/>
      <w:numFmt w:val="bullet"/>
      <w:lvlText w:val=""/>
      <w:lvlJc w:val="left"/>
      <w:pPr>
        <w:ind w:left="5040" w:hanging="360"/>
      </w:pPr>
      <w:rPr>
        <w:rFonts w:ascii="Segoe UI" w:hAnsi="Segoe UI" w:hint="default"/>
      </w:rPr>
    </w:lvl>
    <w:lvl w:ilvl="7" w:tplc="1978596C">
      <w:start w:val="1"/>
      <w:numFmt w:val="bullet"/>
      <w:lvlText w:val="o"/>
      <w:lvlJc w:val="left"/>
      <w:pPr>
        <w:ind w:left="5760" w:hanging="360"/>
      </w:pPr>
      <w:rPr>
        <w:rFonts w:ascii="Courier New" w:hAnsi="Courier New" w:hint="default"/>
      </w:rPr>
    </w:lvl>
    <w:lvl w:ilvl="8" w:tplc="0C848482">
      <w:start w:val="1"/>
      <w:numFmt w:val="bullet"/>
      <w:lvlText w:val=""/>
      <w:lvlJc w:val="left"/>
      <w:pPr>
        <w:ind w:left="6480" w:hanging="360"/>
      </w:pPr>
      <w:rPr>
        <w:rFonts w:ascii="Cambria Math" w:hAnsi="Cambria Math" w:hint="default"/>
      </w:rPr>
    </w:lvl>
  </w:abstractNum>
  <w:abstractNum w:abstractNumId="528" w15:restartNumberingAfterBreak="0">
    <w:nsid w:val="581B5597"/>
    <w:multiLevelType w:val="hybridMultilevel"/>
    <w:tmpl w:val="8646BF4E"/>
    <w:lvl w:ilvl="0" w:tplc="18090001">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Cambria Math" w:hAnsi="Cambria Math" w:hint="default"/>
      </w:rPr>
    </w:lvl>
  </w:abstractNum>
  <w:abstractNum w:abstractNumId="529" w15:restartNumberingAfterBreak="0">
    <w:nsid w:val="5850A998"/>
    <w:multiLevelType w:val="hybridMultilevel"/>
    <w:tmpl w:val="FFFFFFFF"/>
    <w:lvl w:ilvl="0" w:tplc="254AE15A">
      <w:start w:val="2"/>
      <w:numFmt w:val="decimal"/>
      <w:lvlText w:val="%1."/>
      <w:lvlJc w:val="left"/>
      <w:pPr>
        <w:ind w:left="720" w:hanging="360"/>
      </w:pPr>
    </w:lvl>
    <w:lvl w:ilvl="1" w:tplc="CFACB5DA">
      <w:start w:val="1"/>
      <w:numFmt w:val="lowerLetter"/>
      <w:lvlText w:val="%2."/>
      <w:lvlJc w:val="left"/>
      <w:pPr>
        <w:ind w:left="1440" w:hanging="360"/>
      </w:pPr>
    </w:lvl>
    <w:lvl w:ilvl="2" w:tplc="FCAE2B8C">
      <w:start w:val="1"/>
      <w:numFmt w:val="lowerRoman"/>
      <w:lvlText w:val="%3."/>
      <w:lvlJc w:val="right"/>
      <w:pPr>
        <w:ind w:left="2160" w:hanging="180"/>
      </w:pPr>
    </w:lvl>
    <w:lvl w:ilvl="3" w:tplc="0A1EA522">
      <w:start w:val="1"/>
      <w:numFmt w:val="decimal"/>
      <w:lvlText w:val="%4."/>
      <w:lvlJc w:val="left"/>
      <w:pPr>
        <w:ind w:left="2880" w:hanging="360"/>
      </w:pPr>
    </w:lvl>
    <w:lvl w:ilvl="4" w:tplc="A2E0F3B8">
      <w:start w:val="1"/>
      <w:numFmt w:val="lowerLetter"/>
      <w:lvlText w:val="%5."/>
      <w:lvlJc w:val="left"/>
      <w:pPr>
        <w:ind w:left="3600" w:hanging="360"/>
      </w:pPr>
    </w:lvl>
    <w:lvl w:ilvl="5" w:tplc="6F8E200A">
      <w:start w:val="1"/>
      <w:numFmt w:val="lowerRoman"/>
      <w:lvlText w:val="%6."/>
      <w:lvlJc w:val="right"/>
      <w:pPr>
        <w:ind w:left="4320" w:hanging="180"/>
      </w:pPr>
    </w:lvl>
    <w:lvl w:ilvl="6" w:tplc="7062D54A">
      <w:start w:val="1"/>
      <w:numFmt w:val="decimal"/>
      <w:lvlText w:val="%7."/>
      <w:lvlJc w:val="left"/>
      <w:pPr>
        <w:ind w:left="5040" w:hanging="360"/>
      </w:pPr>
    </w:lvl>
    <w:lvl w:ilvl="7" w:tplc="091488C4">
      <w:start w:val="1"/>
      <w:numFmt w:val="lowerLetter"/>
      <w:lvlText w:val="%8."/>
      <w:lvlJc w:val="left"/>
      <w:pPr>
        <w:ind w:left="5760" w:hanging="360"/>
      </w:pPr>
    </w:lvl>
    <w:lvl w:ilvl="8" w:tplc="61B000B6">
      <w:start w:val="1"/>
      <w:numFmt w:val="lowerRoman"/>
      <w:lvlText w:val="%9."/>
      <w:lvlJc w:val="right"/>
      <w:pPr>
        <w:ind w:left="6480" w:hanging="180"/>
      </w:pPr>
    </w:lvl>
  </w:abstractNum>
  <w:abstractNum w:abstractNumId="530" w15:restartNumberingAfterBreak="0">
    <w:nsid w:val="585D1F16"/>
    <w:multiLevelType w:val="multilevel"/>
    <w:tmpl w:val="752223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1" w15:restartNumberingAfterBreak="0">
    <w:nsid w:val="58A4E6FE"/>
    <w:multiLevelType w:val="hybridMultilevel"/>
    <w:tmpl w:val="912E3942"/>
    <w:lvl w:ilvl="0" w:tplc="1694847E">
      <w:start w:val="2"/>
      <w:numFmt w:val="lowerRoman"/>
      <w:lvlText w:val="%1."/>
      <w:lvlJc w:val="right"/>
      <w:pPr>
        <w:ind w:left="720" w:hanging="360"/>
      </w:pPr>
    </w:lvl>
    <w:lvl w:ilvl="1" w:tplc="6DAAA322">
      <w:start w:val="1"/>
      <w:numFmt w:val="lowerLetter"/>
      <w:lvlText w:val="%2."/>
      <w:lvlJc w:val="left"/>
      <w:pPr>
        <w:ind w:left="1440" w:hanging="360"/>
      </w:pPr>
    </w:lvl>
    <w:lvl w:ilvl="2" w:tplc="C2B8B4C4">
      <w:start w:val="1"/>
      <w:numFmt w:val="lowerRoman"/>
      <w:lvlText w:val="%3."/>
      <w:lvlJc w:val="right"/>
      <w:pPr>
        <w:ind w:left="2160" w:hanging="180"/>
      </w:pPr>
    </w:lvl>
    <w:lvl w:ilvl="3" w:tplc="49A23434">
      <w:start w:val="1"/>
      <w:numFmt w:val="decimal"/>
      <w:lvlText w:val="%4."/>
      <w:lvlJc w:val="left"/>
      <w:pPr>
        <w:ind w:left="2880" w:hanging="360"/>
      </w:pPr>
    </w:lvl>
    <w:lvl w:ilvl="4" w:tplc="224287DA">
      <w:start w:val="1"/>
      <w:numFmt w:val="lowerLetter"/>
      <w:lvlText w:val="%5."/>
      <w:lvlJc w:val="left"/>
      <w:pPr>
        <w:ind w:left="3600" w:hanging="360"/>
      </w:pPr>
    </w:lvl>
    <w:lvl w:ilvl="5" w:tplc="1F24F904">
      <w:start w:val="1"/>
      <w:numFmt w:val="lowerRoman"/>
      <w:lvlText w:val="%6."/>
      <w:lvlJc w:val="right"/>
      <w:pPr>
        <w:ind w:left="4320" w:hanging="180"/>
      </w:pPr>
    </w:lvl>
    <w:lvl w:ilvl="6" w:tplc="C96480BE">
      <w:start w:val="1"/>
      <w:numFmt w:val="decimal"/>
      <w:lvlText w:val="%7."/>
      <w:lvlJc w:val="left"/>
      <w:pPr>
        <w:ind w:left="5040" w:hanging="360"/>
      </w:pPr>
    </w:lvl>
    <w:lvl w:ilvl="7" w:tplc="84B45902">
      <w:start w:val="1"/>
      <w:numFmt w:val="lowerLetter"/>
      <w:lvlText w:val="%8."/>
      <w:lvlJc w:val="left"/>
      <w:pPr>
        <w:ind w:left="5760" w:hanging="360"/>
      </w:pPr>
    </w:lvl>
    <w:lvl w:ilvl="8" w:tplc="3648E4D6">
      <w:start w:val="1"/>
      <w:numFmt w:val="lowerRoman"/>
      <w:lvlText w:val="%9."/>
      <w:lvlJc w:val="right"/>
      <w:pPr>
        <w:ind w:left="6480" w:hanging="180"/>
      </w:pPr>
    </w:lvl>
  </w:abstractNum>
  <w:abstractNum w:abstractNumId="532" w15:restartNumberingAfterBreak="0">
    <w:nsid w:val="58D93C35"/>
    <w:multiLevelType w:val="hybridMultilevel"/>
    <w:tmpl w:val="D67614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3" w15:restartNumberingAfterBreak="0">
    <w:nsid w:val="58DA6251"/>
    <w:multiLevelType w:val="hybridMultilevel"/>
    <w:tmpl w:val="BFA48D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4" w15:restartNumberingAfterBreak="0">
    <w:nsid w:val="58E57F62"/>
    <w:multiLevelType w:val="hybridMultilevel"/>
    <w:tmpl w:val="6B367C20"/>
    <w:lvl w:ilvl="0" w:tplc="080C0001">
      <w:start w:val="1"/>
      <w:numFmt w:val="bullet"/>
      <w:lvlText w:val=""/>
      <w:lvlJc w:val="left"/>
      <w:pPr>
        <w:ind w:left="720" w:hanging="360"/>
      </w:pPr>
      <w:rPr>
        <w:rFonts w:ascii="Segoe UI" w:hAnsi="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35" w15:restartNumberingAfterBreak="0">
    <w:nsid w:val="59067F31"/>
    <w:multiLevelType w:val="hybridMultilevel"/>
    <w:tmpl w:val="A800B374"/>
    <w:lvl w:ilvl="0" w:tplc="040A0001">
      <w:start w:val="1"/>
      <w:numFmt w:val="bullet"/>
      <w:lvlText w:val=""/>
      <w:lvlJc w:val="left"/>
      <w:pPr>
        <w:ind w:left="1690" w:hanging="360"/>
      </w:pPr>
      <w:rPr>
        <w:rFonts w:ascii="Segoe UI" w:hAnsi="Segoe UI" w:hint="default"/>
      </w:rPr>
    </w:lvl>
    <w:lvl w:ilvl="1" w:tplc="040A0003" w:tentative="1">
      <w:start w:val="1"/>
      <w:numFmt w:val="bullet"/>
      <w:lvlText w:val="o"/>
      <w:lvlJc w:val="left"/>
      <w:pPr>
        <w:ind w:left="2410" w:hanging="360"/>
      </w:pPr>
      <w:rPr>
        <w:rFonts w:ascii="Courier New" w:hAnsi="Courier New" w:cs="Courier New" w:hint="default"/>
      </w:rPr>
    </w:lvl>
    <w:lvl w:ilvl="2" w:tplc="040A0005" w:tentative="1">
      <w:start w:val="1"/>
      <w:numFmt w:val="bullet"/>
      <w:lvlText w:val=""/>
      <w:lvlJc w:val="left"/>
      <w:pPr>
        <w:ind w:left="3130" w:hanging="360"/>
      </w:pPr>
      <w:rPr>
        <w:rFonts w:ascii="Cambria Math" w:hAnsi="Cambria Math" w:hint="default"/>
      </w:rPr>
    </w:lvl>
    <w:lvl w:ilvl="3" w:tplc="040A0001" w:tentative="1">
      <w:start w:val="1"/>
      <w:numFmt w:val="bullet"/>
      <w:lvlText w:val=""/>
      <w:lvlJc w:val="left"/>
      <w:pPr>
        <w:ind w:left="3850" w:hanging="360"/>
      </w:pPr>
      <w:rPr>
        <w:rFonts w:ascii="Segoe UI" w:hAnsi="Segoe UI" w:hint="default"/>
      </w:rPr>
    </w:lvl>
    <w:lvl w:ilvl="4" w:tplc="040A0003" w:tentative="1">
      <w:start w:val="1"/>
      <w:numFmt w:val="bullet"/>
      <w:lvlText w:val="o"/>
      <w:lvlJc w:val="left"/>
      <w:pPr>
        <w:ind w:left="4570" w:hanging="360"/>
      </w:pPr>
      <w:rPr>
        <w:rFonts w:ascii="Courier New" w:hAnsi="Courier New" w:cs="Courier New" w:hint="default"/>
      </w:rPr>
    </w:lvl>
    <w:lvl w:ilvl="5" w:tplc="040A0005" w:tentative="1">
      <w:start w:val="1"/>
      <w:numFmt w:val="bullet"/>
      <w:lvlText w:val=""/>
      <w:lvlJc w:val="left"/>
      <w:pPr>
        <w:ind w:left="5290" w:hanging="360"/>
      </w:pPr>
      <w:rPr>
        <w:rFonts w:ascii="Cambria Math" w:hAnsi="Cambria Math" w:hint="default"/>
      </w:rPr>
    </w:lvl>
    <w:lvl w:ilvl="6" w:tplc="040A0001" w:tentative="1">
      <w:start w:val="1"/>
      <w:numFmt w:val="bullet"/>
      <w:lvlText w:val=""/>
      <w:lvlJc w:val="left"/>
      <w:pPr>
        <w:ind w:left="6010" w:hanging="360"/>
      </w:pPr>
      <w:rPr>
        <w:rFonts w:ascii="Segoe UI" w:hAnsi="Segoe UI" w:hint="default"/>
      </w:rPr>
    </w:lvl>
    <w:lvl w:ilvl="7" w:tplc="040A0003" w:tentative="1">
      <w:start w:val="1"/>
      <w:numFmt w:val="bullet"/>
      <w:lvlText w:val="o"/>
      <w:lvlJc w:val="left"/>
      <w:pPr>
        <w:ind w:left="6730" w:hanging="360"/>
      </w:pPr>
      <w:rPr>
        <w:rFonts w:ascii="Courier New" w:hAnsi="Courier New" w:cs="Courier New" w:hint="default"/>
      </w:rPr>
    </w:lvl>
    <w:lvl w:ilvl="8" w:tplc="040A0005" w:tentative="1">
      <w:start w:val="1"/>
      <w:numFmt w:val="bullet"/>
      <w:lvlText w:val=""/>
      <w:lvlJc w:val="left"/>
      <w:pPr>
        <w:ind w:left="7450" w:hanging="360"/>
      </w:pPr>
      <w:rPr>
        <w:rFonts w:ascii="Cambria Math" w:hAnsi="Cambria Math" w:hint="default"/>
      </w:rPr>
    </w:lvl>
  </w:abstractNum>
  <w:abstractNum w:abstractNumId="536" w15:restartNumberingAfterBreak="0">
    <w:nsid w:val="595302CE"/>
    <w:multiLevelType w:val="hybridMultilevel"/>
    <w:tmpl w:val="9B4672BE"/>
    <w:lvl w:ilvl="0" w:tplc="93F24E22">
      <w:numFmt w:val="bullet"/>
      <w:lvlText w:val="•"/>
      <w:lvlJc w:val="left"/>
      <w:pPr>
        <w:ind w:left="1080" w:hanging="360"/>
      </w:pPr>
      <w:rPr>
        <w:rFonts w:ascii="Times New Roman" w:eastAsiaTheme="minorEastAsia"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7" w15:restartNumberingAfterBreak="0">
    <w:nsid w:val="59D8017D"/>
    <w:multiLevelType w:val="hybridMultilevel"/>
    <w:tmpl w:val="FFFFFFFF"/>
    <w:lvl w:ilvl="0" w:tplc="FFFFFFFF">
      <w:start w:val="1"/>
      <w:numFmt w:val="bullet"/>
      <w:lvlText w:val=""/>
      <w:lvlJc w:val="left"/>
      <w:pPr>
        <w:ind w:left="720" w:hanging="360"/>
      </w:pPr>
      <w:rPr>
        <w:rFonts w:ascii="Symbol" w:hAnsi="Symbol" w:hint="default"/>
      </w:rPr>
    </w:lvl>
    <w:lvl w:ilvl="1" w:tplc="E42AB74A">
      <w:start w:val="1"/>
      <w:numFmt w:val="bullet"/>
      <w:lvlText w:val="o"/>
      <w:lvlJc w:val="left"/>
      <w:pPr>
        <w:ind w:left="1440" w:hanging="360"/>
      </w:pPr>
      <w:rPr>
        <w:rFonts w:ascii="Courier New" w:hAnsi="Courier New" w:hint="default"/>
      </w:rPr>
    </w:lvl>
    <w:lvl w:ilvl="2" w:tplc="05748652">
      <w:start w:val="1"/>
      <w:numFmt w:val="bullet"/>
      <w:lvlText w:val=""/>
      <w:lvlJc w:val="left"/>
      <w:pPr>
        <w:ind w:left="2160" w:hanging="360"/>
      </w:pPr>
      <w:rPr>
        <w:rFonts w:ascii="Wingdings" w:hAnsi="Wingdings" w:hint="default"/>
      </w:rPr>
    </w:lvl>
    <w:lvl w:ilvl="3" w:tplc="6D60643C">
      <w:start w:val="1"/>
      <w:numFmt w:val="bullet"/>
      <w:lvlText w:val=""/>
      <w:lvlJc w:val="left"/>
      <w:pPr>
        <w:ind w:left="2880" w:hanging="360"/>
      </w:pPr>
      <w:rPr>
        <w:rFonts w:ascii="Symbol" w:hAnsi="Symbol" w:hint="default"/>
      </w:rPr>
    </w:lvl>
    <w:lvl w:ilvl="4" w:tplc="CBB80EE8">
      <w:start w:val="1"/>
      <w:numFmt w:val="bullet"/>
      <w:lvlText w:val="o"/>
      <w:lvlJc w:val="left"/>
      <w:pPr>
        <w:ind w:left="3600" w:hanging="360"/>
      </w:pPr>
      <w:rPr>
        <w:rFonts w:ascii="Courier New" w:hAnsi="Courier New" w:hint="default"/>
      </w:rPr>
    </w:lvl>
    <w:lvl w:ilvl="5" w:tplc="508EA88C">
      <w:start w:val="1"/>
      <w:numFmt w:val="bullet"/>
      <w:lvlText w:val=""/>
      <w:lvlJc w:val="left"/>
      <w:pPr>
        <w:ind w:left="4320" w:hanging="360"/>
      </w:pPr>
      <w:rPr>
        <w:rFonts w:ascii="Wingdings" w:hAnsi="Wingdings" w:hint="default"/>
      </w:rPr>
    </w:lvl>
    <w:lvl w:ilvl="6" w:tplc="8A20889C">
      <w:start w:val="1"/>
      <w:numFmt w:val="bullet"/>
      <w:lvlText w:val=""/>
      <w:lvlJc w:val="left"/>
      <w:pPr>
        <w:ind w:left="5040" w:hanging="360"/>
      </w:pPr>
      <w:rPr>
        <w:rFonts w:ascii="Symbol" w:hAnsi="Symbol" w:hint="default"/>
      </w:rPr>
    </w:lvl>
    <w:lvl w:ilvl="7" w:tplc="5364B416">
      <w:start w:val="1"/>
      <w:numFmt w:val="bullet"/>
      <w:lvlText w:val="o"/>
      <w:lvlJc w:val="left"/>
      <w:pPr>
        <w:ind w:left="5760" w:hanging="360"/>
      </w:pPr>
      <w:rPr>
        <w:rFonts w:ascii="Courier New" w:hAnsi="Courier New" w:hint="default"/>
      </w:rPr>
    </w:lvl>
    <w:lvl w:ilvl="8" w:tplc="41A021EE">
      <w:start w:val="1"/>
      <w:numFmt w:val="bullet"/>
      <w:lvlText w:val=""/>
      <w:lvlJc w:val="left"/>
      <w:pPr>
        <w:ind w:left="6480" w:hanging="360"/>
      </w:pPr>
      <w:rPr>
        <w:rFonts w:ascii="Wingdings" w:hAnsi="Wingdings" w:hint="default"/>
      </w:rPr>
    </w:lvl>
  </w:abstractNum>
  <w:abstractNum w:abstractNumId="538" w15:restartNumberingAfterBreak="0">
    <w:nsid w:val="59DC70B1"/>
    <w:multiLevelType w:val="hybridMultilevel"/>
    <w:tmpl w:val="FFFFFFFF"/>
    <w:lvl w:ilvl="0" w:tplc="883AC0FA">
      <w:start w:val="1"/>
      <w:numFmt w:val="bullet"/>
      <w:lvlText w:val=""/>
      <w:lvlJc w:val="left"/>
      <w:pPr>
        <w:ind w:left="720" w:hanging="360"/>
      </w:pPr>
      <w:rPr>
        <w:rFonts w:ascii="Symbol" w:hAnsi="Symbol" w:hint="default"/>
      </w:rPr>
    </w:lvl>
    <w:lvl w:ilvl="1" w:tplc="C9F6743A">
      <w:start w:val="1"/>
      <w:numFmt w:val="bullet"/>
      <w:lvlText w:val="-"/>
      <w:lvlJc w:val="left"/>
      <w:pPr>
        <w:ind w:left="1440" w:hanging="360"/>
      </w:pPr>
      <w:rPr>
        <w:rFonts w:ascii="Calibri" w:hAnsi="Calibri" w:hint="default"/>
      </w:rPr>
    </w:lvl>
    <w:lvl w:ilvl="2" w:tplc="35045244">
      <w:start w:val="1"/>
      <w:numFmt w:val="bullet"/>
      <w:lvlText w:val=""/>
      <w:lvlJc w:val="left"/>
      <w:pPr>
        <w:ind w:left="2160" w:hanging="360"/>
      </w:pPr>
      <w:rPr>
        <w:rFonts w:ascii="Wingdings" w:hAnsi="Wingdings" w:hint="default"/>
      </w:rPr>
    </w:lvl>
    <w:lvl w:ilvl="3" w:tplc="4A0620B8">
      <w:start w:val="1"/>
      <w:numFmt w:val="bullet"/>
      <w:lvlText w:val=""/>
      <w:lvlJc w:val="left"/>
      <w:pPr>
        <w:ind w:left="2880" w:hanging="360"/>
      </w:pPr>
      <w:rPr>
        <w:rFonts w:ascii="Symbol" w:hAnsi="Symbol" w:hint="default"/>
      </w:rPr>
    </w:lvl>
    <w:lvl w:ilvl="4" w:tplc="9EAA4CDE">
      <w:start w:val="1"/>
      <w:numFmt w:val="bullet"/>
      <w:lvlText w:val="o"/>
      <w:lvlJc w:val="left"/>
      <w:pPr>
        <w:ind w:left="3600" w:hanging="360"/>
      </w:pPr>
      <w:rPr>
        <w:rFonts w:ascii="Courier New" w:hAnsi="Courier New" w:hint="default"/>
      </w:rPr>
    </w:lvl>
    <w:lvl w:ilvl="5" w:tplc="41724238">
      <w:start w:val="1"/>
      <w:numFmt w:val="bullet"/>
      <w:lvlText w:val=""/>
      <w:lvlJc w:val="left"/>
      <w:pPr>
        <w:ind w:left="4320" w:hanging="360"/>
      </w:pPr>
      <w:rPr>
        <w:rFonts w:ascii="Wingdings" w:hAnsi="Wingdings" w:hint="default"/>
      </w:rPr>
    </w:lvl>
    <w:lvl w:ilvl="6" w:tplc="D9E8294C">
      <w:start w:val="1"/>
      <w:numFmt w:val="bullet"/>
      <w:lvlText w:val=""/>
      <w:lvlJc w:val="left"/>
      <w:pPr>
        <w:ind w:left="5040" w:hanging="360"/>
      </w:pPr>
      <w:rPr>
        <w:rFonts w:ascii="Symbol" w:hAnsi="Symbol" w:hint="default"/>
      </w:rPr>
    </w:lvl>
    <w:lvl w:ilvl="7" w:tplc="9CB09EC2">
      <w:start w:val="1"/>
      <w:numFmt w:val="bullet"/>
      <w:lvlText w:val="o"/>
      <w:lvlJc w:val="left"/>
      <w:pPr>
        <w:ind w:left="5760" w:hanging="360"/>
      </w:pPr>
      <w:rPr>
        <w:rFonts w:ascii="Courier New" w:hAnsi="Courier New" w:hint="default"/>
      </w:rPr>
    </w:lvl>
    <w:lvl w:ilvl="8" w:tplc="058055D4">
      <w:start w:val="1"/>
      <w:numFmt w:val="bullet"/>
      <w:lvlText w:val=""/>
      <w:lvlJc w:val="left"/>
      <w:pPr>
        <w:ind w:left="6480" w:hanging="360"/>
      </w:pPr>
      <w:rPr>
        <w:rFonts w:ascii="Wingdings" w:hAnsi="Wingdings" w:hint="default"/>
      </w:rPr>
    </w:lvl>
  </w:abstractNum>
  <w:abstractNum w:abstractNumId="539" w15:restartNumberingAfterBreak="0">
    <w:nsid w:val="59E333DF"/>
    <w:multiLevelType w:val="hybridMultilevel"/>
    <w:tmpl w:val="D54AFFAA"/>
    <w:lvl w:ilvl="0" w:tplc="18090001">
      <w:start w:val="1"/>
      <w:numFmt w:val="bullet"/>
      <w:lvlText w:val=""/>
      <w:lvlJc w:val="left"/>
      <w:pPr>
        <w:ind w:left="1080" w:hanging="360"/>
      </w:pPr>
      <w:rPr>
        <w:rFonts w:ascii="Symbol" w:hAnsi="Symbol" w:hint="default"/>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0" w15:restartNumberingAfterBreak="0">
    <w:nsid w:val="59F96ABB"/>
    <w:multiLevelType w:val="hybridMultilevel"/>
    <w:tmpl w:val="85F45C06"/>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1" w15:restartNumberingAfterBreak="0">
    <w:nsid w:val="5A165091"/>
    <w:multiLevelType w:val="hybridMultilevel"/>
    <w:tmpl w:val="A9803D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542" w15:restartNumberingAfterBreak="0">
    <w:nsid w:val="5A3076D4"/>
    <w:multiLevelType w:val="hybridMultilevel"/>
    <w:tmpl w:val="49140D80"/>
    <w:lvl w:ilvl="0" w:tplc="2A3A5080">
      <w:start w:val="1"/>
      <w:numFmt w:val="bullet"/>
      <w:lvlText w:val="-"/>
      <w:lvlJc w:val="left"/>
      <w:pPr>
        <w:ind w:left="720" w:hanging="360"/>
      </w:pPr>
      <w:rPr>
        <w:rFonts w:ascii="Symbol" w:hAnsi="Symbol" w:hint="default"/>
      </w:rPr>
    </w:lvl>
    <w:lvl w:ilvl="1" w:tplc="A60EF0CC">
      <w:start w:val="1"/>
      <w:numFmt w:val="bullet"/>
      <w:lvlText w:val="o"/>
      <w:lvlJc w:val="left"/>
      <w:pPr>
        <w:ind w:left="1440" w:hanging="360"/>
      </w:pPr>
      <w:rPr>
        <w:rFonts w:ascii="Courier New" w:hAnsi="Courier New" w:hint="default"/>
      </w:rPr>
    </w:lvl>
    <w:lvl w:ilvl="2" w:tplc="494446E8">
      <w:start w:val="1"/>
      <w:numFmt w:val="bullet"/>
      <w:lvlText w:val=""/>
      <w:lvlJc w:val="left"/>
      <w:pPr>
        <w:ind w:left="2160" w:hanging="360"/>
      </w:pPr>
      <w:rPr>
        <w:rFonts w:ascii="Wingdings" w:hAnsi="Wingdings" w:hint="default"/>
      </w:rPr>
    </w:lvl>
    <w:lvl w:ilvl="3" w:tplc="B424782C">
      <w:start w:val="1"/>
      <w:numFmt w:val="bullet"/>
      <w:lvlText w:val=""/>
      <w:lvlJc w:val="left"/>
      <w:pPr>
        <w:ind w:left="2880" w:hanging="360"/>
      </w:pPr>
      <w:rPr>
        <w:rFonts w:ascii="Symbol" w:hAnsi="Symbol" w:hint="default"/>
      </w:rPr>
    </w:lvl>
    <w:lvl w:ilvl="4" w:tplc="B5D2E892">
      <w:start w:val="1"/>
      <w:numFmt w:val="bullet"/>
      <w:lvlText w:val="o"/>
      <w:lvlJc w:val="left"/>
      <w:pPr>
        <w:ind w:left="3600" w:hanging="360"/>
      </w:pPr>
      <w:rPr>
        <w:rFonts w:ascii="Courier New" w:hAnsi="Courier New" w:hint="default"/>
      </w:rPr>
    </w:lvl>
    <w:lvl w:ilvl="5" w:tplc="BF4EBF48">
      <w:start w:val="1"/>
      <w:numFmt w:val="bullet"/>
      <w:lvlText w:val=""/>
      <w:lvlJc w:val="left"/>
      <w:pPr>
        <w:ind w:left="4320" w:hanging="360"/>
      </w:pPr>
      <w:rPr>
        <w:rFonts w:ascii="Wingdings" w:hAnsi="Wingdings" w:hint="default"/>
      </w:rPr>
    </w:lvl>
    <w:lvl w:ilvl="6" w:tplc="C7D6DAB6">
      <w:start w:val="1"/>
      <w:numFmt w:val="bullet"/>
      <w:lvlText w:val=""/>
      <w:lvlJc w:val="left"/>
      <w:pPr>
        <w:ind w:left="5040" w:hanging="360"/>
      </w:pPr>
      <w:rPr>
        <w:rFonts w:ascii="Symbol" w:hAnsi="Symbol" w:hint="default"/>
      </w:rPr>
    </w:lvl>
    <w:lvl w:ilvl="7" w:tplc="2D5ED11A">
      <w:start w:val="1"/>
      <w:numFmt w:val="bullet"/>
      <w:lvlText w:val="o"/>
      <w:lvlJc w:val="left"/>
      <w:pPr>
        <w:ind w:left="5760" w:hanging="360"/>
      </w:pPr>
      <w:rPr>
        <w:rFonts w:ascii="Courier New" w:hAnsi="Courier New" w:hint="default"/>
      </w:rPr>
    </w:lvl>
    <w:lvl w:ilvl="8" w:tplc="4FB42F3C">
      <w:start w:val="1"/>
      <w:numFmt w:val="bullet"/>
      <w:lvlText w:val=""/>
      <w:lvlJc w:val="left"/>
      <w:pPr>
        <w:ind w:left="6480" w:hanging="360"/>
      </w:pPr>
      <w:rPr>
        <w:rFonts w:ascii="Wingdings" w:hAnsi="Wingdings" w:hint="default"/>
      </w:rPr>
    </w:lvl>
  </w:abstractNum>
  <w:abstractNum w:abstractNumId="543" w15:restartNumberingAfterBreak="0">
    <w:nsid w:val="5A4560F3"/>
    <w:multiLevelType w:val="hybridMultilevel"/>
    <w:tmpl w:val="7BC602B0"/>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44" w15:restartNumberingAfterBreak="0">
    <w:nsid w:val="5A8B5642"/>
    <w:multiLevelType w:val="multilevel"/>
    <w:tmpl w:val="C07024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15:restartNumberingAfterBreak="0">
    <w:nsid w:val="5A984617"/>
    <w:multiLevelType w:val="hybridMultilevel"/>
    <w:tmpl w:val="1D0E0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6" w15:restartNumberingAfterBreak="0">
    <w:nsid w:val="5ABAF4B5"/>
    <w:multiLevelType w:val="hybridMultilevel"/>
    <w:tmpl w:val="FFFFFFFF"/>
    <w:lvl w:ilvl="0" w:tplc="0BA6462C">
      <w:start w:val="1"/>
      <w:numFmt w:val="bullet"/>
      <w:lvlText w:val=""/>
      <w:lvlJc w:val="left"/>
      <w:pPr>
        <w:ind w:left="720" w:hanging="360"/>
      </w:pPr>
      <w:rPr>
        <w:rFonts w:ascii="Symbol" w:hAnsi="Symbol" w:hint="default"/>
      </w:rPr>
    </w:lvl>
    <w:lvl w:ilvl="1" w:tplc="5ACE1DEE">
      <w:start w:val="1"/>
      <w:numFmt w:val="bullet"/>
      <w:lvlText w:val="-"/>
      <w:lvlJc w:val="left"/>
      <w:pPr>
        <w:ind w:left="1440" w:hanging="360"/>
      </w:pPr>
      <w:rPr>
        <w:rFonts w:ascii="Calibri" w:hAnsi="Calibri" w:hint="default"/>
      </w:rPr>
    </w:lvl>
    <w:lvl w:ilvl="2" w:tplc="B984A4B2">
      <w:start w:val="1"/>
      <w:numFmt w:val="bullet"/>
      <w:lvlText w:val=""/>
      <w:lvlJc w:val="left"/>
      <w:pPr>
        <w:ind w:left="2160" w:hanging="360"/>
      </w:pPr>
      <w:rPr>
        <w:rFonts w:ascii="Wingdings" w:hAnsi="Wingdings" w:hint="default"/>
      </w:rPr>
    </w:lvl>
    <w:lvl w:ilvl="3" w:tplc="C1346996">
      <w:start w:val="1"/>
      <w:numFmt w:val="bullet"/>
      <w:lvlText w:val=""/>
      <w:lvlJc w:val="left"/>
      <w:pPr>
        <w:ind w:left="2880" w:hanging="360"/>
      </w:pPr>
      <w:rPr>
        <w:rFonts w:ascii="Symbol" w:hAnsi="Symbol" w:hint="default"/>
      </w:rPr>
    </w:lvl>
    <w:lvl w:ilvl="4" w:tplc="2C320182">
      <w:start w:val="1"/>
      <w:numFmt w:val="bullet"/>
      <w:lvlText w:val="o"/>
      <w:lvlJc w:val="left"/>
      <w:pPr>
        <w:ind w:left="3600" w:hanging="360"/>
      </w:pPr>
      <w:rPr>
        <w:rFonts w:ascii="Courier New" w:hAnsi="Courier New" w:hint="default"/>
      </w:rPr>
    </w:lvl>
    <w:lvl w:ilvl="5" w:tplc="2B44160A">
      <w:start w:val="1"/>
      <w:numFmt w:val="bullet"/>
      <w:lvlText w:val=""/>
      <w:lvlJc w:val="left"/>
      <w:pPr>
        <w:ind w:left="4320" w:hanging="360"/>
      </w:pPr>
      <w:rPr>
        <w:rFonts w:ascii="Wingdings" w:hAnsi="Wingdings" w:hint="default"/>
      </w:rPr>
    </w:lvl>
    <w:lvl w:ilvl="6" w:tplc="C0145FC0">
      <w:start w:val="1"/>
      <w:numFmt w:val="bullet"/>
      <w:lvlText w:val=""/>
      <w:lvlJc w:val="left"/>
      <w:pPr>
        <w:ind w:left="5040" w:hanging="360"/>
      </w:pPr>
      <w:rPr>
        <w:rFonts w:ascii="Symbol" w:hAnsi="Symbol" w:hint="default"/>
      </w:rPr>
    </w:lvl>
    <w:lvl w:ilvl="7" w:tplc="DBA4ABE2">
      <w:start w:val="1"/>
      <w:numFmt w:val="bullet"/>
      <w:lvlText w:val="o"/>
      <w:lvlJc w:val="left"/>
      <w:pPr>
        <w:ind w:left="5760" w:hanging="360"/>
      </w:pPr>
      <w:rPr>
        <w:rFonts w:ascii="Courier New" w:hAnsi="Courier New" w:hint="default"/>
      </w:rPr>
    </w:lvl>
    <w:lvl w:ilvl="8" w:tplc="7D98B9E6">
      <w:start w:val="1"/>
      <w:numFmt w:val="bullet"/>
      <w:lvlText w:val=""/>
      <w:lvlJc w:val="left"/>
      <w:pPr>
        <w:ind w:left="6480" w:hanging="360"/>
      </w:pPr>
      <w:rPr>
        <w:rFonts w:ascii="Wingdings" w:hAnsi="Wingdings" w:hint="default"/>
      </w:rPr>
    </w:lvl>
  </w:abstractNum>
  <w:abstractNum w:abstractNumId="547" w15:restartNumberingAfterBreak="0">
    <w:nsid w:val="5B0F1134"/>
    <w:multiLevelType w:val="hybridMultilevel"/>
    <w:tmpl w:val="38F0B88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8" w15:restartNumberingAfterBreak="0">
    <w:nsid w:val="5B1158AD"/>
    <w:multiLevelType w:val="hybridMultilevel"/>
    <w:tmpl w:val="7A9666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9"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egoe UI" w:hAnsi="Segoe UI" w:hint="default"/>
      </w:rPr>
    </w:lvl>
  </w:abstractNum>
  <w:abstractNum w:abstractNumId="550" w15:restartNumberingAfterBreak="0">
    <w:nsid w:val="5B4E2D28"/>
    <w:multiLevelType w:val="hybridMultilevel"/>
    <w:tmpl w:val="FFFFFFFF"/>
    <w:lvl w:ilvl="0" w:tplc="05C6BB3E">
      <w:start w:val="5"/>
      <w:numFmt w:val="decimal"/>
      <w:lvlText w:val="%1."/>
      <w:lvlJc w:val="left"/>
      <w:pPr>
        <w:ind w:left="720" w:hanging="360"/>
      </w:pPr>
    </w:lvl>
    <w:lvl w:ilvl="1" w:tplc="B852DACA">
      <w:start w:val="1"/>
      <w:numFmt w:val="lowerLetter"/>
      <w:lvlText w:val="%2."/>
      <w:lvlJc w:val="left"/>
      <w:pPr>
        <w:ind w:left="1440" w:hanging="360"/>
      </w:pPr>
    </w:lvl>
    <w:lvl w:ilvl="2" w:tplc="337A38FA">
      <w:start w:val="1"/>
      <w:numFmt w:val="lowerRoman"/>
      <w:lvlText w:val="%3."/>
      <w:lvlJc w:val="right"/>
      <w:pPr>
        <w:ind w:left="2160" w:hanging="180"/>
      </w:pPr>
    </w:lvl>
    <w:lvl w:ilvl="3" w:tplc="5DBC536E">
      <w:start w:val="1"/>
      <w:numFmt w:val="decimal"/>
      <w:lvlText w:val="%4."/>
      <w:lvlJc w:val="left"/>
      <w:pPr>
        <w:ind w:left="2880" w:hanging="360"/>
      </w:pPr>
    </w:lvl>
    <w:lvl w:ilvl="4" w:tplc="23ACD4E8">
      <w:start w:val="1"/>
      <w:numFmt w:val="lowerLetter"/>
      <w:lvlText w:val="%5."/>
      <w:lvlJc w:val="left"/>
      <w:pPr>
        <w:ind w:left="3600" w:hanging="360"/>
      </w:pPr>
    </w:lvl>
    <w:lvl w:ilvl="5" w:tplc="83528A22">
      <w:start w:val="1"/>
      <w:numFmt w:val="lowerRoman"/>
      <w:lvlText w:val="%6."/>
      <w:lvlJc w:val="right"/>
      <w:pPr>
        <w:ind w:left="4320" w:hanging="180"/>
      </w:pPr>
    </w:lvl>
    <w:lvl w:ilvl="6" w:tplc="D8B6496A">
      <w:start w:val="1"/>
      <w:numFmt w:val="decimal"/>
      <w:lvlText w:val="%7."/>
      <w:lvlJc w:val="left"/>
      <w:pPr>
        <w:ind w:left="5040" w:hanging="360"/>
      </w:pPr>
    </w:lvl>
    <w:lvl w:ilvl="7" w:tplc="E3B43124">
      <w:start w:val="1"/>
      <w:numFmt w:val="lowerLetter"/>
      <w:lvlText w:val="%8."/>
      <w:lvlJc w:val="left"/>
      <w:pPr>
        <w:ind w:left="5760" w:hanging="360"/>
      </w:pPr>
    </w:lvl>
    <w:lvl w:ilvl="8" w:tplc="BDA03F02">
      <w:start w:val="1"/>
      <w:numFmt w:val="lowerRoman"/>
      <w:lvlText w:val="%9."/>
      <w:lvlJc w:val="right"/>
      <w:pPr>
        <w:ind w:left="6480" w:hanging="180"/>
      </w:pPr>
    </w:lvl>
  </w:abstractNum>
  <w:abstractNum w:abstractNumId="551" w15:restartNumberingAfterBreak="0">
    <w:nsid w:val="5C056EE5"/>
    <w:multiLevelType w:val="singleLevel"/>
    <w:tmpl w:val="3378D27C"/>
    <w:name w:val="Bullet 2"/>
    <w:lvl w:ilvl="0">
      <w:start w:val="1"/>
      <w:numFmt w:val="bullet"/>
      <w:lvlRestart w:val="0"/>
      <w:pStyle w:val="Bullet20"/>
      <w:lvlText w:val=""/>
      <w:lvlJc w:val="left"/>
      <w:pPr>
        <w:tabs>
          <w:tab w:val="num" w:pos="1984"/>
        </w:tabs>
        <w:ind w:left="1984" w:hanging="567"/>
      </w:pPr>
      <w:rPr>
        <w:rFonts w:ascii="Segoe UI" w:hAnsi="Segoe UI" w:hint="default"/>
      </w:rPr>
    </w:lvl>
  </w:abstractNum>
  <w:abstractNum w:abstractNumId="552" w15:restartNumberingAfterBreak="0">
    <w:nsid w:val="5C666E04"/>
    <w:multiLevelType w:val="hybridMultilevel"/>
    <w:tmpl w:val="66449CEA"/>
    <w:lvl w:ilvl="0" w:tplc="7214FC08">
      <w:start w:val="7"/>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3" w15:restartNumberingAfterBreak="0">
    <w:nsid w:val="5C6F4C3A"/>
    <w:multiLevelType w:val="hybridMultilevel"/>
    <w:tmpl w:val="FFFFFFFF"/>
    <w:lvl w:ilvl="0" w:tplc="33C8D67A">
      <w:start w:val="5"/>
      <w:numFmt w:val="decimal"/>
      <w:lvlText w:val="%1."/>
      <w:lvlJc w:val="left"/>
      <w:pPr>
        <w:ind w:left="720" w:hanging="360"/>
      </w:pPr>
    </w:lvl>
    <w:lvl w:ilvl="1" w:tplc="B5BC7CCE">
      <w:start w:val="1"/>
      <w:numFmt w:val="lowerLetter"/>
      <w:lvlText w:val="%2."/>
      <w:lvlJc w:val="left"/>
      <w:pPr>
        <w:ind w:left="1440" w:hanging="360"/>
      </w:pPr>
    </w:lvl>
    <w:lvl w:ilvl="2" w:tplc="5846D7D6">
      <w:start w:val="1"/>
      <w:numFmt w:val="lowerRoman"/>
      <w:lvlText w:val="%3."/>
      <w:lvlJc w:val="right"/>
      <w:pPr>
        <w:ind w:left="2160" w:hanging="180"/>
      </w:pPr>
    </w:lvl>
    <w:lvl w:ilvl="3" w:tplc="D72AF2CA">
      <w:start w:val="1"/>
      <w:numFmt w:val="decimal"/>
      <w:lvlText w:val="%4."/>
      <w:lvlJc w:val="left"/>
      <w:pPr>
        <w:ind w:left="2880" w:hanging="360"/>
      </w:pPr>
    </w:lvl>
    <w:lvl w:ilvl="4" w:tplc="C17C29EC">
      <w:start w:val="1"/>
      <w:numFmt w:val="lowerLetter"/>
      <w:lvlText w:val="%5."/>
      <w:lvlJc w:val="left"/>
      <w:pPr>
        <w:ind w:left="3600" w:hanging="360"/>
      </w:pPr>
    </w:lvl>
    <w:lvl w:ilvl="5" w:tplc="90D244DE">
      <w:start w:val="1"/>
      <w:numFmt w:val="lowerRoman"/>
      <w:lvlText w:val="%6."/>
      <w:lvlJc w:val="right"/>
      <w:pPr>
        <w:ind w:left="4320" w:hanging="180"/>
      </w:pPr>
    </w:lvl>
    <w:lvl w:ilvl="6" w:tplc="6FB604C0">
      <w:start w:val="1"/>
      <w:numFmt w:val="decimal"/>
      <w:lvlText w:val="%7."/>
      <w:lvlJc w:val="left"/>
      <w:pPr>
        <w:ind w:left="5040" w:hanging="360"/>
      </w:pPr>
    </w:lvl>
    <w:lvl w:ilvl="7" w:tplc="7A048A36">
      <w:start w:val="1"/>
      <w:numFmt w:val="lowerLetter"/>
      <w:lvlText w:val="%8."/>
      <w:lvlJc w:val="left"/>
      <w:pPr>
        <w:ind w:left="5760" w:hanging="360"/>
      </w:pPr>
    </w:lvl>
    <w:lvl w:ilvl="8" w:tplc="B1F8FC22">
      <w:start w:val="1"/>
      <w:numFmt w:val="lowerRoman"/>
      <w:lvlText w:val="%9."/>
      <w:lvlJc w:val="right"/>
      <w:pPr>
        <w:ind w:left="6480" w:hanging="180"/>
      </w:pPr>
    </w:lvl>
  </w:abstractNum>
  <w:abstractNum w:abstractNumId="554" w15:restartNumberingAfterBreak="0">
    <w:nsid w:val="5C6F55BC"/>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5" w15:restartNumberingAfterBreak="0">
    <w:nsid w:val="5CA1C009"/>
    <w:multiLevelType w:val="hybridMultilevel"/>
    <w:tmpl w:val="FFFFFFFF"/>
    <w:lvl w:ilvl="0" w:tplc="9FB200DC">
      <w:start w:val="1"/>
      <w:numFmt w:val="bullet"/>
      <w:lvlText w:val=""/>
      <w:lvlJc w:val="left"/>
      <w:pPr>
        <w:ind w:left="720" w:hanging="360"/>
      </w:pPr>
      <w:rPr>
        <w:rFonts w:ascii="Segoe UI" w:hAnsi="Segoe UI" w:hint="default"/>
      </w:rPr>
    </w:lvl>
    <w:lvl w:ilvl="1" w:tplc="7932DE4E">
      <w:start w:val="1"/>
      <w:numFmt w:val="bullet"/>
      <w:lvlText w:val="o"/>
      <w:lvlJc w:val="left"/>
      <w:pPr>
        <w:ind w:left="1440" w:hanging="360"/>
      </w:pPr>
      <w:rPr>
        <w:rFonts w:ascii="Courier New" w:hAnsi="Courier New" w:hint="default"/>
      </w:rPr>
    </w:lvl>
    <w:lvl w:ilvl="2" w:tplc="D0EC6D78">
      <w:start w:val="1"/>
      <w:numFmt w:val="bullet"/>
      <w:lvlText w:val=""/>
      <w:lvlJc w:val="left"/>
      <w:pPr>
        <w:ind w:left="2160" w:hanging="360"/>
      </w:pPr>
      <w:rPr>
        <w:rFonts w:ascii="Cambria Math" w:hAnsi="Cambria Math" w:hint="default"/>
      </w:rPr>
    </w:lvl>
    <w:lvl w:ilvl="3" w:tplc="F196C276">
      <w:start w:val="1"/>
      <w:numFmt w:val="bullet"/>
      <w:lvlText w:val=""/>
      <w:lvlJc w:val="left"/>
      <w:pPr>
        <w:ind w:left="2880" w:hanging="360"/>
      </w:pPr>
      <w:rPr>
        <w:rFonts w:ascii="Segoe UI" w:hAnsi="Segoe UI" w:hint="default"/>
      </w:rPr>
    </w:lvl>
    <w:lvl w:ilvl="4" w:tplc="E4C4F74A">
      <w:start w:val="1"/>
      <w:numFmt w:val="bullet"/>
      <w:lvlText w:val="o"/>
      <w:lvlJc w:val="left"/>
      <w:pPr>
        <w:ind w:left="3600" w:hanging="360"/>
      </w:pPr>
      <w:rPr>
        <w:rFonts w:ascii="Courier New" w:hAnsi="Courier New" w:hint="default"/>
      </w:rPr>
    </w:lvl>
    <w:lvl w:ilvl="5" w:tplc="9000BAF8">
      <w:start w:val="1"/>
      <w:numFmt w:val="bullet"/>
      <w:lvlText w:val=""/>
      <w:lvlJc w:val="left"/>
      <w:pPr>
        <w:ind w:left="4320" w:hanging="360"/>
      </w:pPr>
      <w:rPr>
        <w:rFonts w:ascii="Cambria Math" w:hAnsi="Cambria Math" w:hint="default"/>
      </w:rPr>
    </w:lvl>
    <w:lvl w:ilvl="6" w:tplc="596845C4">
      <w:start w:val="1"/>
      <w:numFmt w:val="bullet"/>
      <w:lvlText w:val=""/>
      <w:lvlJc w:val="left"/>
      <w:pPr>
        <w:ind w:left="5040" w:hanging="360"/>
      </w:pPr>
      <w:rPr>
        <w:rFonts w:ascii="Segoe UI" w:hAnsi="Segoe UI" w:hint="default"/>
      </w:rPr>
    </w:lvl>
    <w:lvl w:ilvl="7" w:tplc="BC163D40">
      <w:start w:val="1"/>
      <w:numFmt w:val="bullet"/>
      <w:lvlText w:val="o"/>
      <w:lvlJc w:val="left"/>
      <w:pPr>
        <w:ind w:left="5760" w:hanging="360"/>
      </w:pPr>
      <w:rPr>
        <w:rFonts w:ascii="Courier New" w:hAnsi="Courier New" w:hint="default"/>
      </w:rPr>
    </w:lvl>
    <w:lvl w:ilvl="8" w:tplc="15FCE2BE">
      <w:start w:val="1"/>
      <w:numFmt w:val="bullet"/>
      <w:lvlText w:val=""/>
      <w:lvlJc w:val="left"/>
      <w:pPr>
        <w:ind w:left="6480" w:hanging="360"/>
      </w:pPr>
      <w:rPr>
        <w:rFonts w:ascii="Cambria Math" w:hAnsi="Cambria Math" w:hint="default"/>
      </w:rPr>
    </w:lvl>
  </w:abstractNum>
  <w:abstractNum w:abstractNumId="556"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57" w15:restartNumberingAfterBreak="0">
    <w:nsid w:val="5CA57E7E"/>
    <w:multiLevelType w:val="hybridMultilevel"/>
    <w:tmpl w:val="887ED81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558" w15:restartNumberingAfterBreak="0">
    <w:nsid w:val="5CB24AB3"/>
    <w:multiLevelType w:val="hybridMultilevel"/>
    <w:tmpl w:val="FFFFFFFF"/>
    <w:lvl w:ilvl="0" w:tplc="C3702E2A">
      <w:start w:val="1"/>
      <w:numFmt w:val="bullet"/>
      <w:lvlText w:val=""/>
      <w:lvlJc w:val="left"/>
      <w:pPr>
        <w:ind w:left="720" w:hanging="360"/>
      </w:pPr>
      <w:rPr>
        <w:rFonts w:ascii="Symbol" w:hAnsi="Symbol" w:hint="default"/>
      </w:rPr>
    </w:lvl>
    <w:lvl w:ilvl="1" w:tplc="52A6302E">
      <w:start w:val="1"/>
      <w:numFmt w:val="bullet"/>
      <w:lvlText w:val="o"/>
      <w:lvlJc w:val="left"/>
      <w:pPr>
        <w:ind w:left="1440" w:hanging="360"/>
      </w:pPr>
      <w:rPr>
        <w:rFonts w:ascii="Courier New" w:hAnsi="Courier New" w:hint="default"/>
      </w:rPr>
    </w:lvl>
    <w:lvl w:ilvl="2" w:tplc="DAB84212">
      <w:start w:val="1"/>
      <w:numFmt w:val="bullet"/>
      <w:lvlText w:val=""/>
      <w:lvlJc w:val="left"/>
      <w:pPr>
        <w:ind w:left="2160" w:hanging="360"/>
      </w:pPr>
      <w:rPr>
        <w:rFonts w:ascii="Wingdings" w:hAnsi="Wingdings" w:hint="default"/>
      </w:rPr>
    </w:lvl>
    <w:lvl w:ilvl="3" w:tplc="01EC1336">
      <w:start w:val="1"/>
      <w:numFmt w:val="bullet"/>
      <w:lvlText w:val=""/>
      <w:lvlJc w:val="left"/>
      <w:pPr>
        <w:ind w:left="2880" w:hanging="360"/>
      </w:pPr>
      <w:rPr>
        <w:rFonts w:ascii="Symbol" w:hAnsi="Symbol" w:hint="default"/>
      </w:rPr>
    </w:lvl>
    <w:lvl w:ilvl="4" w:tplc="5792DE34">
      <w:start w:val="1"/>
      <w:numFmt w:val="bullet"/>
      <w:lvlText w:val="o"/>
      <w:lvlJc w:val="left"/>
      <w:pPr>
        <w:ind w:left="3600" w:hanging="360"/>
      </w:pPr>
      <w:rPr>
        <w:rFonts w:ascii="Courier New" w:hAnsi="Courier New" w:hint="default"/>
      </w:rPr>
    </w:lvl>
    <w:lvl w:ilvl="5" w:tplc="06FEC32C">
      <w:start w:val="1"/>
      <w:numFmt w:val="bullet"/>
      <w:lvlText w:val=""/>
      <w:lvlJc w:val="left"/>
      <w:pPr>
        <w:ind w:left="4320" w:hanging="360"/>
      </w:pPr>
      <w:rPr>
        <w:rFonts w:ascii="Wingdings" w:hAnsi="Wingdings" w:hint="default"/>
      </w:rPr>
    </w:lvl>
    <w:lvl w:ilvl="6" w:tplc="E80821A2">
      <w:start w:val="1"/>
      <w:numFmt w:val="bullet"/>
      <w:lvlText w:val=""/>
      <w:lvlJc w:val="left"/>
      <w:pPr>
        <w:ind w:left="5040" w:hanging="360"/>
      </w:pPr>
      <w:rPr>
        <w:rFonts w:ascii="Symbol" w:hAnsi="Symbol" w:hint="default"/>
      </w:rPr>
    </w:lvl>
    <w:lvl w:ilvl="7" w:tplc="98AA58EA">
      <w:start w:val="1"/>
      <w:numFmt w:val="bullet"/>
      <w:lvlText w:val="o"/>
      <w:lvlJc w:val="left"/>
      <w:pPr>
        <w:ind w:left="5760" w:hanging="360"/>
      </w:pPr>
      <w:rPr>
        <w:rFonts w:ascii="Courier New" w:hAnsi="Courier New" w:hint="default"/>
      </w:rPr>
    </w:lvl>
    <w:lvl w:ilvl="8" w:tplc="99C82904">
      <w:start w:val="1"/>
      <w:numFmt w:val="bullet"/>
      <w:lvlText w:val=""/>
      <w:lvlJc w:val="left"/>
      <w:pPr>
        <w:ind w:left="6480" w:hanging="360"/>
      </w:pPr>
      <w:rPr>
        <w:rFonts w:ascii="Wingdings" w:hAnsi="Wingdings" w:hint="default"/>
      </w:rPr>
    </w:lvl>
  </w:abstractNum>
  <w:abstractNum w:abstractNumId="559" w15:restartNumberingAfterBreak="0">
    <w:nsid w:val="5CB30917"/>
    <w:multiLevelType w:val="multilevel"/>
    <w:tmpl w:val="AEE056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0" w15:restartNumberingAfterBreak="0">
    <w:nsid w:val="5CBB9621"/>
    <w:multiLevelType w:val="hybridMultilevel"/>
    <w:tmpl w:val="FFFFFFFF"/>
    <w:lvl w:ilvl="0" w:tplc="C074CE24">
      <w:start w:val="3"/>
      <w:numFmt w:val="decimal"/>
      <w:lvlText w:val="%1."/>
      <w:lvlJc w:val="left"/>
      <w:pPr>
        <w:ind w:left="720" w:hanging="360"/>
      </w:pPr>
    </w:lvl>
    <w:lvl w:ilvl="1" w:tplc="B798BE02">
      <w:start w:val="1"/>
      <w:numFmt w:val="lowerLetter"/>
      <w:lvlText w:val="%2."/>
      <w:lvlJc w:val="left"/>
      <w:pPr>
        <w:ind w:left="1440" w:hanging="360"/>
      </w:pPr>
    </w:lvl>
    <w:lvl w:ilvl="2" w:tplc="075CB1E4">
      <w:start w:val="1"/>
      <w:numFmt w:val="lowerRoman"/>
      <w:lvlText w:val="%3."/>
      <w:lvlJc w:val="right"/>
      <w:pPr>
        <w:ind w:left="2160" w:hanging="180"/>
      </w:pPr>
    </w:lvl>
    <w:lvl w:ilvl="3" w:tplc="0E5E8AC0">
      <w:start w:val="1"/>
      <w:numFmt w:val="decimal"/>
      <w:lvlText w:val="%4."/>
      <w:lvlJc w:val="left"/>
      <w:pPr>
        <w:ind w:left="2880" w:hanging="360"/>
      </w:pPr>
    </w:lvl>
    <w:lvl w:ilvl="4" w:tplc="921CEA28">
      <w:start w:val="1"/>
      <w:numFmt w:val="lowerLetter"/>
      <w:lvlText w:val="%5."/>
      <w:lvlJc w:val="left"/>
      <w:pPr>
        <w:ind w:left="3600" w:hanging="360"/>
      </w:pPr>
    </w:lvl>
    <w:lvl w:ilvl="5" w:tplc="B3A67F66">
      <w:start w:val="1"/>
      <w:numFmt w:val="lowerRoman"/>
      <w:lvlText w:val="%6."/>
      <w:lvlJc w:val="right"/>
      <w:pPr>
        <w:ind w:left="4320" w:hanging="180"/>
      </w:pPr>
    </w:lvl>
    <w:lvl w:ilvl="6" w:tplc="F14C80B6">
      <w:start w:val="1"/>
      <w:numFmt w:val="decimal"/>
      <w:lvlText w:val="%7."/>
      <w:lvlJc w:val="left"/>
      <w:pPr>
        <w:ind w:left="5040" w:hanging="360"/>
      </w:pPr>
    </w:lvl>
    <w:lvl w:ilvl="7" w:tplc="6622AA46">
      <w:start w:val="1"/>
      <w:numFmt w:val="lowerLetter"/>
      <w:lvlText w:val="%8."/>
      <w:lvlJc w:val="left"/>
      <w:pPr>
        <w:ind w:left="5760" w:hanging="360"/>
      </w:pPr>
    </w:lvl>
    <w:lvl w:ilvl="8" w:tplc="D8C6AFA4">
      <w:start w:val="1"/>
      <w:numFmt w:val="lowerRoman"/>
      <w:lvlText w:val="%9."/>
      <w:lvlJc w:val="right"/>
      <w:pPr>
        <w:ind w:left="6480" w:hanging="180"/>
      </w:pPr>
    </w:lvl>
  </w:abstractNum>
  <w:abstractNum w:abstractNumId="561" w15:restartNumberingAfterBreak="0">
    <w:nsid w:val="5CF47D0B"/>
    <w:multiLevelType w:val="hybridMultilevel"/>
    <w:tmpl w:val="FFFFFFFF"/>
    <w:lvl w:ilvl="0" w:tplc="29F27958">
      <w:start w:val="1"/>
      <w:numFmt w:val="bullet"/>
      <w:lvlText w:val="·"/>
      <w:lvlJc w:val="left"/>
      <w:pPr>
        <w:ind w:left="720" w:hanging="360"/>
      </w:pPr>
      <w:rPr>
        <w:rFonts w:ascii="Symbol" w:hAnsi="Symbol" w:hint="default"/>
      </w:rPr>
    </w:lvl>
    <w:lvl w:ilvl="1" w:tplc="C706BA24">
      <w:start w:val="1"/>
      <w:numFmt w:val="bullet"/>
      <w:lvlText w:val="o"/>
      <w:lvlJc w:val="left"/>
      <w:pPr>
        <w:ind w:left="1440" w:hanging="360"/>
      </w:pPr>
      <w:rPr>
        <w:rFonts w:ascii="Courier New" w:hAnsi="Courier New" w:hint="default"/>
      </w:rPr>
    </w:lvl>
    <w:lvl w:ilvl="2" w:tplc="7F4E5E84">
      <w:start w:val="1"/>
      <w:numFmt w:val="bullet"/>
      <w:lvlText w:val=""/>
      <w:lvlJc w:val="left"/>
      <w:pPr>
        <w:ind w:left="2160" w:hanging="360"/>
      </w:pPr>
      <w:rPr>
        <w:rFonts w:ascii="Wingdings" w:hAnsi="Wingdings" w:hint="default"/>
      </w:rPr>
    </w:lvl>
    <w:lvl w:ilvl="3" w:tplc="69F434BA">
      <w:start w:val="1"/>
      <w:numFmt w:val="bullet"/>
      <w:lvlText w:val=""/>
      <w:lvlJc w:val="left"/>
      <w:pPr>
        <w:ind w:left="2880" w:hanging="360"/>
      </w:pPr>
      <w:rPr>
        <w:rFonts w:ascii="Symbol" w:hAnsi="Symbol" w:hint="default"/>
      </w:rPr>
    </w:lvl>
    <w:lvl w:ilvl="4" w:tplc="4F46C1BC">
      <w:start w:val="1"/>
      <w:numFmt w:val="bullet"/>
      <w:lvlText w:val="o"/>
      <w:lvlJc w:val="left"/>
      <w:pPr>
        <w:ind w:left="3600" w:hanging="360"/>
      </w:pPr>
      <w:rPr>
        <w:rFonts w:ascii="Courier New" w:hAnsi="Courier New" w:hint="default"/>
      </w:rPr>
    </w:lvl>
    <w:lvl w:ilvl="5" w:tplc="DBDE9106">
      <w:start w:val="1"/>
      <w:numFmt w:val="bullet"/>
      <w:lvlText w:val=""/>
      <w:lvlJc w:val="left"/>
      <w:pPr>
        <w:ind w:left="4320" w:hanging="360"/>
      </w:pPr>
      <w:rPr>
        <w:rFonts w:ascii="Wingdings" w:hAnsi="Wingdings" w:hint="default"/>
      </w:rPr>
    </w:lvl>
    <w:lvl w:ilvl="6" w:tplc="07BE7B44">
      <w:start w:val="1"/>
      <w:numFmt w:val="bullet"/>
      <w:lvlText w:val=""/>
      <w:lvlJc w:val="left"/>
      <w:pPr>
        <w:ind w:left="5040" w:hanging="360"/>
      </w:pPr>
      <w:rPr>
        <w:rFonts w:ascii="Symbol" w:hAnsi="Symbol" w:hint="default"/>
      </w:rPr>
    </w:lvl>
    <w:lvl w:ilvl="7" w:tplc="41246B1E">
      <w:start w:val="1"/>
      <w:numFmt w:val="bullet"/>
      <w:lvlText w:val="o"/>
      <w:lvlJc w:val="left"/>
      <w:pPr>
        <w:ind w:left="5760" w:hanging="360"/>
      </w:pPr>
      <w:rPr>
        <w:rFonts w:ascii="Courier New" w:hAnsi="Courier New" w:hint="default"/>
      </w:rPr>
    </w:lvl>
    <w:lvl w:ilvl="8" w:tplc="D6CE58D8">
      <w:start w:val="1"/>
      <w:numFmt w:val="bullet"/>
      <w:lvlText w:val=""/>
      <w:lvlJc w:val="left"/>
      <w:pPr>
        <w:ind w:left="6480" w:hanging="360"/>
      </w:pPr>
      <w:rPr>
        <w:rFonts w:ascii="Wingdings" w:hAnsi="Wingdings" w:hint="default"/>
      </w:rPr>
    </w:lvl>
  </w:abstractNum>
  <w:abstractNum w:abstractNumId="562" w15:restartNumberingAfterBreak="0">
    <w:nsid w:val="5D060240"/>
    <w:multiLevelType w:val="hybridMultilevel"/>
    <w:tmpl w:val="1006120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3" w15:restartNumberingAfterBreak="0">
    <w:nsid w:val="5D3E4E34"/>
    <w:multiLevelType w:val="multilevel"/>
    <w:tmpl w:val="EE26A6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4" w15:restartNumberingAfterBreak="0">
    <w:nsid w:val="5DA07DA8"/>
    <w:multiLevelType w:val="hybridMultilevel"/>
    <w:tmpl w:val="FFFFFFFF"/>
    <w:lvl w:ilvl="0" w:tplc="A484E5A4">
      <w:start w:val="1"/>
      <w:numFmt w:val="bullet"/>
      <w:lvlText w:val=""/>
      <w:lvlJc w:val="left"/>
      <w:pPr>
        <w:ind w:left="720" w:hanging="360"/>
      </w:pPr>
      <w:rPr>
        <w:rFonts w:ascii="Symbol" w:hAnsi="Symbol" w:hint="default"/>
      </w:rPr>
    </w:lvl>
    <w:lvl w:ilvl="1" w:tplc="73087B4E">
      <w:start w:val="1"/>
      <w:numFmt w:val="bullet"/>
      <w:lvlText w:val="-"/>
      <w:lvlJc w:val="left"/>
      <w:pPr>
        <w:ind w:left="1440" w:hanging="360"/>
      </w:pPr>
      <w:rPr>
        <w:rFonts w:ascii="Calibri" w:hAnsi="Calibri" w:hint="default"/>
      </w:rPr>
    </w:lvl>
    <w:lvl w:ilvl="2" w:tplc="E8CC8A8C">
      <w:start w:val="1"/>
      <w:numFmt w:val="bullet"/>
      <w:lvlText w:val=""/>
      <w:lvlJc w:val="left"/>
      <w:pPr>
        <w:ind w:left="2160" w:hanging="360"/>
      </w:pPr>
      <w:rPr>
        <w:rFonts w:ascii="Wingdings" w:hAnsi="Wingdings" w:hint="default"/>
      </w:rPr>
    </w:lvl>
    <w:lvl w:ilvl="3" w:tplc="A88ED84E">
      <w:start w:val="1"/>
      <w:numFmt w:val="bullet"/>
      <w:lvlText w:val=""/>
      <w:lvlJc w:val="left"/>
      <w:pPr>
        <w:ind w:left="2880" w:hanging="360"/>
      </w:pPr>
      <w:rPr>
        <w:rFonts w:ascii="Symbol" w:hAnsi="Symbol" w:hint="default"/>
      </w:rPr>
    </w:lvl>
    <w:lvl w:ilvl="4" w:tplc="AB1E3C84">
      <w:start w:val="1"/>
      <w:numFmt w:val="bullet"/>
      <w:lvlText w:val="o"/>
      <w:lvlJc w:val="left"/>
      <w:pPr>
        <w:ind w:left="3600" w:hanging="360"/>
      </w:pPr>
      <w:rPr>
        <w:rFonts w:ascii="Courier New" w:hAnsi="Courier New" w:hint="default"/>
      </w:rPr>
    </w:lvl>
    <w:lvl w:ilvl="5" w:tplc="F9748E36">
      <w:start w:val="1"/>
      <w:numFmt w:val="bullet"/>
      <w:lvlText w:val=""/>
      <w:lvlJc w:val="left"/>
      <w:pPr>
        <w:ind w:left="4320" w:hanging="360"/>
      </w:pPr>
      <w:rPr>
        <w:rFonts w:ascii="Wingdings" w:hAnsi="Wingdings" w:hint="default"/>
      </w:rPr>
    </w:lvl>
    <w:lvl w:ilvl="6" w:tplc="418ACFA0">
      <w:start w:val="1"/>
      <w:numFmt w:val="bullet"/>
      <w:lvlText w:val=""/>
      <w:lvlJc w:val="left"/>
      <w:pPr>
        <w:ind w:left="5040" w:hanging="360"/>
      </w:pPr>
      <w:rPr>
        <w:rFonts w:ascii="Symbol" w:hAnsi="Symbol" w:hint="default"/>
      </w:rPr>
    </w:lvl>
    <w:lvl w:ilvl="7" w:tplc="B9440862">
      <w:start w:val="1"/>
      <w:numFmt w:val="bullet"/>
      <w:lvlText w:val="o"/>
      <w:lvlJc w:val="left"/>
      <w:pPr>
        <w:ind w:left="5760" w:hanging="360"/>
      </w:pPr>
      <w:rPr>
        <w:rFonts w:ascii="Courier New" w:hAnsi="Courier New" w:hint="default"/>
      </w:rPr>
    </w:lvl>
    <w:lvl w:ilvl="8" w:tplc="E37A5E24">
      <w:start w:val="1"/>
      <w:numFmt w:val="bullet"/>
      <w:lvlText w:val=""/>
      <w:lvlJc w:val="left"/>
      <w:pPr>
        <w:ind w:left="6480" w:hanging="360"/>
      </w:pPr>
      <w:rPr>
        <w:rFonts w:ascii="Wingdings" w:hAnsi="Wingdings" w:hint="default"/>
      </w:rPr>
    </w:lvl>
  </w:abstractNum>
  <w:abstractNum w:abstractNumId="565" w15:restartNumberingAfterBreak="0">
    <w:nsid w:val="5DCDF669"/>
    <w:multiLevelType w:val="hybridMultilevel"/>
    <w:tmpl w:val="FFFFFFFF"/>
    <w:lvl w:ilvl="0" w:tplc="303CE6B6">
      <w:start w:val="1"/>
      <w:numFmt w:val="bullet"/>
      <w:lvlText w:val=""/>
      <w:lvlJc w:val="left"/>
      <w:pPr>
        <w:ind w:left="720" w:hanging="360"/>
      </w:pPr>
      <w:rPr>
        <w:rFonts w:ascii="Symbol" w:hAnsi="Symbol" w:hint="default"/>
      </w:rPr>
    </w:lvl>
    <w:lvl w:ilvl="1" w:tplc="70782C8C">
      <w:start w:val="1"/>
      <w:numFmt w:val="bullet"/>
      <w:lvlText w:val="o"/>
      <w:lvlJc w:val="left"/>
      <w:pPr>
        <w:ind w:left="1440" w:hanging="360"/>
      </w:pPr>
      <w:rPr>
        <w:rFonts w:ascii="Courier New" w:hAnsi="Courier New" w:hint="default"/>
      </w:rPr>
    </w:lvl>
    <w:lvl w:ilvl="2" w:tplc="5B30B4D0">
      <w:start w:val="1"/>
      <w:numFmt w:val="bullet"/>
      <w:lvlText w:val="§"/>
      <w:lvlJc w:val="left"/>
      <w:pPr>
        <w:ind w:left="2160" w:hanging="360"/>
      </w:pPr>
      <w:rPr>
        <w:rFonts w:ascii="Wingdings" w:hAnsi="Wingdings" w:hint="default"/>
      </w:rPr>
    </w:lvl>
    <w:lvl w:ilvl="3" w:tplc="1BCA7220">
      <w:start w:val="1"/>
      <w:numFmt w:val="bullet"/>
      <w:lvlText w:val=""/>
      <w:lvlJc w:val="left"/>
      <w:pPr>
        <w:ind w:left="2880" w:hanging="360"/>
      </w:pPr>
      <w:rPr>
        <w:rFonts w:ascii="Symbol" w:hAnsi="Symbol" w:hint="default"/>
      </w:rPr>
    </w:lvl>
    <w:lvl w:ilvl="4" w:tplc="A33E10E6">
      <w:start w:val="1"/>
      <w:numFmt w:val="bullet"/>
      <w:lvlText w:val="o"/>
      <w:lvlJc w:val="left"/>
      <w:pPr>
        <w:ind w:left="3600" w:hanging="360"/>
      </w:pPr>
      <w:rPr>
        <w:rFonts w:ascii="Courier New" w:hAnsi="Courier New" w:hint="default"/>
      </w:rPr>
    </w:lvl>
    <w:lvl w:ilvl="5" w:tplc="BB8C94B8">
      <w:start w:val="1"/>
      <w:numFmt w:val="bullet"/>
      <w:lvlText w:val=""/>
      <w:lvlJc w:val="left"/>
      <w:pPr>
        <w:ind w:left="4320" w:hanging="360"/>
      </w:pPr>
      <w:rPr>
        <w:rFonts w:ascii="Wingdings" w:hAnsi="Wingdings" w:hint="default"/>
      </w:rPr>
    </w:lvl>
    <w:lvl w:ilvl="6" w:tplc="020ABAD0">
      <w:start w:val="1"/>
      <w:numFmt w:val="bullet"/>
      <w:lvlText w:val=""/>
      <w:lvlJc w:val="left"/>
      <w:pPr>
        <w:ind w:left="5040" w:hanging="360"/>
      </w:pPr>
      <w:rPr>
        <w:rFonts w:ascii="Symbol" w:hAnsi="Symbol" w:hint="default"/>
      </w:rPr>
    </w:lvl>
    <w:lvl w:ilvl="7" w:tplc="59C696FC">
      <w:start w:val="1"/>
      <w:numFmt w:val="bullet"/>
      <w:lvlText w:val="o"/>
      <w:lvlJc w:val="left"/>
      <w:pPr>
        <w:ind w:left="5760" w:hanging="360"/>
      </w:pPr>
      <w:rPr>
        <w:rFonts w:ascii="Courier New" w:hAnsi="Courier New" w:hint="default"/>
      </w:rPr>
    </w:lvl>
    <w:lvl w:ilvl="8" w:tplc="CD34E486">
      <w:start w:val="1"/>
      <w:numFmt w:val="bullet"/>
      <w:lvlText w:val=""/>
      <w:lvlJc w:val="left"/>
      <w:pPr>
        <w:ind w:left="6480" w:hanging="360"/>
      </w:pPr>
      <w:rPr>
        <w:rFonts w:ascii="Wingdings" w:hAnsi="Wingdings" w:hint="default"/>
      </w:rPr>
    </w:lvl>
  </w:abstractNum>
  <w:abstractNum w:abstractNumId="566" w15:restartNumberingAfterBreak="0">
    <w:nsid w:val="5DDF71F9"/>
    <w:multiLevelType w:val="hybridMultilevel"/>
    <w:tmpl w:val="58308540"/>
    <w:lvl w:ilvl="0" w:tplc="1809001B">
      <w:start w:val="1"/>
      <w:numFmt w:val="lowerRoman"/>
      <w:lvlText w:val="%1."/>
      <w:lvlJc w:val="right"/>
      <w:pPr>
        <w:ind w:left="108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67" w15:restartNumberingAfterBreak="0">
    <w:nsid w:val="5E2D8F07"/>
    <w:multiLevelType w:val="multilevel"/>
    <w:tmpl w:val="FFFFFFFF"/>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8" w15:restartNumberingAfterBreak="0">
    <w:nsid w:val="5E4962A7"/>
    <w:multiLevelType w:val="hybridMultilevel"/>
    <w:tmpl w:val="B2DC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9" w15:restartNumberingAfterBreak="0">
    <w:nsid w:val="5E7C7858"/>
    <w:multiLevelType w:val="multilevel"/>
    <w:tmpl w:val="3596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5EC27C6E"/>
    <w:multiLevelType w:val="hybridMultilevel"/>
    <w:tmpl w:val="E2E653EA"/>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1" w15:restartNumberingAfterBreak="0">
    <w:nsid w:val="5ECC7FFE"/>
    <w:multiLevelType w:val="hybridMultilevel"/>
    <w:tmpl w:val="AFC2569C"/>
    <w:lvl w:ilvl="0" w:tplc="0C0A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572" w15:restartNumberingAfterBreak="0">
    <w:nsid w:val="5ED02D43"/>
    <w:multiLevelType w:val="multilevel"/>
    <w:tmpl w:val="5632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5EF47B74"/>
    <w:multiLevelType w:val="hybridMultilevel"/>
    <w:tmpl w:val="C84CB30E"/>
    <w:lvl w:ilvl="0" w:tplc="1809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4" w15:restartNumberingAfterBreak="0">
    <w:nsid w:val="5F36C172"/>
    <w:multiLevelType w:val="hybridMultilevel"/>
    <w:tmpl w:val="FFFFFFFF"/>
    <w:lvl w:ilvl="0" w:tplc="CCC413A6">
      <w:start w:val="1"/>
      <w:numFmt w:val="bullet"/>
      <w:lvlText w:val=""/>
      <w:lvlJc w:val="left"/>
      <w:pPr>
        <w:ind w:left="720" w:hanging="360"/>
      </w:pPr>
      <w:rPr>
        <w:rFonts w:ascii="Segoe UI" w:hAnsi="Segoe UI" w:hint="default"/>
      </w:rPr>
    </w:lvl>
    <w:lvl w:ilvl="1" w:tplc="43186FF0">
      <w:start w:val="1"/>
      <w:numFmt w:val="bullet"/>
      <w:lvlText w:val="o"/>
      <w:lvlJc w:val="left"/>
      <w:pPr>
        <w:ind w:left="1440" w:hanging="360"/>
      </w:pPr>
      <w:rPr>
        <w:rFonts w:ascii="Courier New" w:hAnsi="Courier New" w:hint="default"/>
      </w:rPr>
    </w:lvl>
    <w:lvl w:ilvl="2" w:tplc="A238B444">
      <w:start w:val="1"/>
      <w:numFmt w:val="bullet"/>
      <w:lvlText w:val=""/>
      <w:lvlJc w:val="left"/>
      <w:pPr>
        <w:ind w:left="2160" w:hanging="360"/>
      </w:pPr>
      <w:rPr>
        <w:rFonts w:ascii="Cambria Math" w:hAnsi="Cambria Math" w:hint="default"/>
      </w:rPr>
    </w:lvl>
    <w:lvl w:ilvl="3" w:tplc="2EE0C6CE">
      <w:start w:val="1"/>
      <w:numFmt w:val="bullet"/>
      <w:lvlText w:val=""/>
      <w:lvlJc w:val="left"/>
      <w:pPr>
        <w:ind w:left="2880" w:hanging="360"/>
      </w:pPr>
      <w:rPr>
        <w:rFonts w:ascii="Segoe UI" w:hAnsi="Segoe UI" w:hint="default"/>
      </w:rPr>
    </w:lvl>
    <w:lvl w:ilvl="4" w:tplc="7AF0B69E">
      <w:start w:val="1"/>
      <w:numFmt w:val="bullet"/>
      <w:lvlText w:val="o"/>
      <w:lvlJc w:val="left"/>
      <w:pPr>
        <w:ind w:left="3600" w:hanging="360"/>
      </w:pPr>
      <w:rPr>
        <w:rFonts w:ascii="Courier New" w:hAnsi="Courier New" w:hint="default"/>
      </w:rPr>
    </w:lvl>
    <w:lvl w:ilvl="5" w:tplc="844E2120">
      <w:start w:val="1"/>
      <w:numFmt w:val="bullet"/>
      <w:lvlText w:val=""/>
      <w:lvlJc w:val="left"/>
      <w:pPr>
        <w:ind w:left="4320" w:hanging="360"/>
      </w:pPr>
      <w:rPr>
        <w:rFonts w:ascii="Cambria Math" w:hAnsi="Cambria Math" w:hint="default"/>
      </w:rPr>
    </w:lvl>
    <w:lvl w:ilvl="6" w:tplc="4FE68592">
      <w:start w:val="1"/>
      <w:numFmt w:val="bullet"/>
      <w:lvlText w:val=""/>
      <w:lvlJc w:val="left"/>
      <w:pPr>
        <w:ind w:left="5040" w:hanging="360"/>
      </w:pPr>
      <w:rPr>
        <w:rFonts w:ascii="Segoe UI" w:hAnsi="Segoe UI" w:hint="default"/>
      </w:rPr>
    </w:lvl>
    <w:lvl w:ilvl="7" w:tplc="A6BE538E">
      <w:start w:val="1"/>
      <w:numFmt w:val="bullet"/>
      <w:lvlText w:val="o"/>
      <w:lvlJc w:val="left"/>
      <w:pPr>
        <w:ind w:left="5760" w:hanging="360"/>
      </w:pPr>
      <w:rPr>
        <w:rFonts w:ascii="Courier New" w:hAnsi="Courier New" w:hint="default"/>
      </w:rPr>
    </w:lvl>
    <w:lvl w:ilvl="8" w:tplc="FC5E6E2A">
      <w:start w:val="1"/>
      <w:numFmt w:val="bullet"/>
      <w:lvlText w:val=""/>
      <w:lvlJc w:val="left"/>
      <w:pPr>
        <w:ind w:left="6480" w:hanging="360"/>
      </w:pPr>
      <w:rPr>
        <w:rFonts w:ascii="Cambria Math" w:hAnsi="Cambria Math" w:hint="default"/>
      </w:rPr>
    </w:lvl>
  </w:abstractNum>
  <w:abstractNum w:abstractNumId="575" w15:restartNumberingAfterBreak="0">
    <w:nsid w:val="5F9812CB"/>
    <w:multiLevelType w:val="hybridMultilevel"/>
    <w:tmpl w:val="44ACDC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6" w15:restartNumberingAfterBreak="0">
    <w:nsid w:val="5FA00B46"/>
    <w:multiLevelType w:val="hybridMultilevel"/>
    <w:tmpl w:val="FFFFFFFF"/>
    <w:lvl w:ilvl="0" w:tplc="F2E603A2">
      <w:start w:val="1"/>
      <w:numFmt w:val="lowerRoman"/>
      <w:lvlText w:val="%1."/>
      <w:lvlJc w:val="right"/>
      <w:pPr>
        <w:ind w:left="720" w:hanging="360"/>
      </w:pPr>
    </w:lvl>
    <w:lvl w:ilvl="1" w:tplc="B7081B0C">
      <w:start w:val="1"/>
      <w:numFmt w:val="lowerLetter"/>
      <w:lvlText w:val="%2."/>
      <w:lvlJc w:val="left"/>
      <w:pPr>
        <w:ind w:left="1440" w:hanging="360"/>
      </w:pPr>
    </w:lvl>
    <w:lvl w:ilvl="2" w:tplc="03C4D730">
      <w:start w:val="1"/>
      <w:numFmt w:val="lowerRoman"/>
      <w:lvlText w:val="%3."/>
      <w:lvlJc w:val="right"/>
      <w:pPr>
        <w:ind w:left="2160" w:hanging="180"/>
      </w:pPr>
    </w:lvl>
    <w:lvl w:ilvl="3" w:tplc="E946E3A4">
      <w:start w:val="1"/>
      <w:numFmt w:val="decimal"/>
      <w:lvlText w:val="%4."/>
      <w:lvlJc w:val="left"/>
      <w:pPr>
        <w:ind w:left="2880" w:hanging="360"/>
      </w:pPr>
    </w:lvl>
    <w:lvl w:ilvl="4" w:tplc="CF626B94">
      <w:start w:val="1"/>
      <w:numFmt w:val="lowerLetter"/>
      <w:lvlText w:val="%5."/>
      <w:lvlJc w:val="left"/>
      <w:pPr>
        <w:ind w:left="3600" w:hanging="360"/>
      </w:pPr>
    </w:lvl>
    <w:lvl w:ilvl="5" w:tplc="8D268734">
      <w:start w:val="1"/>
      <w:numFmt w:val="lowerRoman"/>
      <w:lvlText w:val="%6."/>
      <w:lvlJc w:val="right"/>
      <w:pPr>
        <w:ind w:left="4320" w:hanging="180"/>
      </w:pPr>
    </w:lvl>
    <w:lvl w:ilvl="6" w:tplc="52D04584">
      <w:start w:val="1"/>
      <w:numFmt w:val="decimal"/>
      <w:lvlText w:val="%7."/>
      <w:lvlJc w:val="left"/>
      <w:pPr>
        <w:ind w:left="5040" w:hanging="360"/>
      </w:pPr>
    </w:lvl>
    <w:lvl w:ilvl="7" w:tplc="5C70A86E">
      <w:start w:val="1"/>
      <w:numFmt w:val="lowerLetter"/>
      <w:lvlText w:val="%8."/>
      <w:lvlJc w:val="left"/>
      <w:pPr>
        <w:ind w:left="5760" w:hanging="360"/>
      </w:pPr>
    </w:lvl>
    <w:lvl w:ilvl="8" w:tplc="0FCC67CA">
      <w:start w:val="1"/>
      <w:numFmt w:val="lowerRoman"/>
      <w:lvlText w:val="%9."/>
      <w:lvlJc w:val="right"/>
      <w:pPr>
        <w:ind w:left="6480" w:hanging="180"/>
      </w:pPr>
    </w:lvl>
  </w:abstractNum>
  <w:abstractNum w:abstractNumId="577" w15:restartNumberingAfterBreak="0">
    <w:nsid w:val="5FB4379E"/>
    <w:multiLevelType w:val="multilevel"/>
    <w:tmpl w:val="BEB6C230"/>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78" w15:restartNumberingAfterBreak="0">
    <w:nsid w:val="5FC14C06"/>
    <w:multiLevelType w:val="multilevel"/>
    <w:tmpl w:val="8E306C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15:restartNumberingAfterBreak="0">
    <w:nsid w:val="5FFDFF64"/>
    <w:multiLevelType w:val="hybridMultilevel"/>
    <w:tmpl w:val="FFFFFFFF"/>
    <w:lvl w:ilvl="0" w:tplc="B40E1F02">
      <w:start w:val="1"/>
      <w:numFmt w:val="bullet"/>
      <w:lvlText w:val=""/>
      <w:lvlJc w:val="left"/>
      <w:pPr>
        <w:ind w:left="720" w:hanging="360"/>
      </w:pPr>
      <w:rPr>
        <w:rFonts w:ascii="Symbol" w:hAnsi="Symbol" w:hint="default"/>
      </w:rPr>
    </w:lvl>
    <w:lvl w:ilvl="1" w:tplc="E91A3BE6">
      <w:start w:val="1"/>
      <w:numFmt w:val="bullet"/>
      <w:lvlText w:val="-"/>
      <w:lvlJc w:val="left"/>
      <w:pPr>
        <w:ind w:left="1440" w:hanging="360"/>
      </w:pPr>
      <w:rPr>
        <w:rFonts w:ascii="Calibri" w:hAnsi="Calibri" w:hint="default"/>
      </w:rPr>
    </w:lvl>
    <w:lvl w:ilvl="2" w:tplc="5D6A018C">
      <w:start w:val="1"/>
      <w:numFmt w:val="bullet"/>
      <w:lvlText w:val=""/>
      <w:lvlJc w:val="left"/>
      <w:pPr>
        <w:ind w:left="2160" w:hanging="360"/>
      </w:pPr>
      <w:rPr>
        <w:rFonts w:ascii="Wingdings" w:hAnsi="Wingdings" w:hint="default"/>
      </w:rPr>
    </w:lvl>
    <w:lvl w:ilvl="3" w:tplc="BD76CB5E">
      <w:start w:val="1"/>
      <w:numFmt w:val="bullet"/>
      <w:lvlText w:val=""/>
      <w:lvlJc w:val="left"/>
      <w:pPr>
        <w:ind w:left="2880" w:hanging="360"/>
      </w:pPr>
      <w:rPr>
        <w:rFonts w:ascii="Symbol" w:hAnsi="Symbol" w:hint="default"/>
      </w:rPr>
    </w:lvl>
    <w:lvl w:ilvl="4" w:tplc="78F4CF52">
      <w:start w:val="1"/>
      <w:numFmt w:val="bullet"/>
      <w:lvlText w:val="o"/>
      <w:lvlJc w:val="left"/>
      <w:pPr>
        <w:ind w:left="3600" w:hanging="360"/>
      </w:pPr>
      <w:rPr>
        <w:rFonts w:ascii="Courier New" w:hAnsi="Courier New" w:hint="default"/>
      </w:rPr>
    </w:lvl>
    <w:lvl w:ilvl="5" w:tplc="28325988">
      <w:start w:val="1"/>
      <w:numFmt w:val="bullet"/>
      <w:lvlText w:val=""/>
      <w:lvlJc w:val="left"/>
      <w:pPr>
        <w:ind w:left="4320" w:hanging="360"/>
      </w:pPr>
      <w:rPr>
        <w:rFonts w:ascii="Wingdings" w:hAnsi="Wingdings" w:hint="default"/>
      </w:rPr>
    </w:lvl>
    <w:lvl w:ilvl="6" w:tplc="26CCBA80">
      <w:start w:val="1"/>
      <w:numFmt w:val="bullet"/>
      <w:lvlText w:val=""/>
      <w:lvlJc w:val="left"/>
      <w:pPr>
        <w:ind w:left="5040" w:hanging="360"/>
      </w:pPr>
      <w:rPr>
        <w:rFonts w:ascii="Symbol" w:hAnsi="Symbol" w:hint="default"/>
      </w:rPr>
    </w:lvl>
    <w:lvl w:ilvl="7" w:tplc="6B3C7216">
      <w:start w:val="1"/>
      <w:numFmt w:val="bullet"/>
      <w:lvlText w:val="o"/>
      <w:lvlJc w:val="left"/>
      <w:pPr>
        <w:ind w:left="5760" w:hanging="360"/>
      </w:pPr>
      <w:rPr>
        <w:rFonts w:ascii="Courier New" w:hAnsi="Courier New" w:hint="default"/>
      </w:rPr>
    </w:lvl>
    <w:lvl w:ilvl="8" w:tplc="491AFFF2">
      <w:start w:val="1"/>
      <w:numFmt w:val="bullet"/>
      <w:lvlText w:val=""/>
      <w:lvlJc w:val="left"/>
      <w:pPr>
        <w:ind w:left="6480" w:hanging="360"/>
      </w:pPr>
      <w:rPr>
        <w:rFonts w:ascii="Wingdings" w:hAnsi="Wingdings" w:hint="default"/>
      </w:rPr>
    </w:lvl>
  </w:abstractNum>
  <w:abstractNum w:abstractNumId="580" w15:restartNumberingAfterBreak="0">
    <w:nsid w:val="60097C19"/>
    <w:multiLevelType w:val="multilevel"/>
    <w:tmpl w:val="2550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608B73F9"/>
    <w:multiLevelType w:val="multilevel"/>
    <w:tmpl w:val="D4EAD64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2" w15:restartNumberingAfterBreak="0">
    <w:nsid w:val="60B41314"/>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83" w15:restartNumberingAfterBreak="0">
    <w:nsid w:val="60B8958C"/>
    <w:multiLevelType w:val="hybridMultilevel"/>
    <w:tmpl w:val="FFFFFFFF"/>
    <w:lvl w:ilvl="0" w:tplc="AF78FF98">
      <w:start w:val="1"/>
      <w:numFmt w:val="decimal"/>
      <w:lvlText w:val="%1."/>
      <w:lvlJc w:val="left"/>
      <w:pPr>
        <w:ind w:left="720" w:hanging="360"/>
      </w:pPr>
    </w:lvl>
    <w:lvl w:ilvl="1" w:tplc="EF88C4D0">
      <w:start w:val="1"/>
      <w:numFmt w:val="lowerLetter"/>
      <w:lvlText w:val="%2."/>
      <w:lvlJc w:val="left"/>
      <w:pPr>
        <w:ind w:left="1440" w:hanging="360"/>
      </w:pPr>
    </w:lvl>
    <w:lvl w:ilvl="2" w:tplc="0610F478">
      <w:start w:val="1"/>
      <w:numFmt w:val="lowerRoman"/>
      <w:lvlText w:val="%3."/>
      <w:lvlJc w:val="right"/>
      <w:pPr>
        <w:ind w:left="2160" w:hanging="180"/>
      </w:pPr>
    </w:lvl>
    <w:lvl w:ilvl="3" w:tplc="499A12DC">
      <w:start w:val="1"/>
      <w:numFmt w:val="decimal"/>
      <w:lvlText w:val="%4."/>
      <w:lvlJc w:val="left"/>
      <w:pPr>
        <w:ind w:left="2880" w:hanging="360"/>
      </w:pPr>
    </w:lvl>
    <w:lvl w:ilvl="4" w:tplc="F6361154">
      <w:start w:val="1"/>
      <w:numFmt w:val="lowerLetter"/>
      <w:lvlText w:val="%5."/>
      <w:lvlJc w:val="left"/>
      <w:pPr>
        <w:ind w:left="3600" w:hanging="360"/>
      </w:pPr>
    </w:lvl>
    <w:lvl w:ilvl="5" w:tplc="3568312C">
      <w:start w:val="1"/>
      <w:numFmt w:val="lowerRoman"/>
      <w:lvlText w:val="%6."/>
      <w:lvlJc w:val="right"/>
      <w:pPr>
        <w:ind w:left="4320" w:hanging="180"/>
      </w:pPr>
    </w:lvl>
    <w:lvl w:ilvl="6" w:tplc="D4F2FF80">
      <w:start w:val="1"/>
      <w:numFmt w:val="decimal"/>
      <w:lvlText w:val="%7."/>
      <w:lvlJc w:val="left"/>
      <w:pPr>
        <w:ind w:left="5040" w:hanging="360"/>
      </w:pPr>
    </w:lvl>
    <w:lvl w:ilvl="7" w:tplc="8C3691EC">
      <w:start w:val="1"/>
      <w:numFmt w:val="lowerLetter"/>
      <w:lvlText w:val="%8."/>
      <w:lvlJc w:val="left"/>
      <w:pPr>
        <w:ind w:left="5760" w:hanging="360"/>
      </w:pPr>
    </w:lvl>
    <w:lvl w:ilvl="8" w:tplc="786A002A">
      <w:start w:val="1"/>
      <w:numFmt w:val="lowerRoman"/>
      <w:lvlText w:val="%9."/>
      <w:lvlJc w:val="right"/>
      <w:pPr>
        <w:ind w:left="6480" w:hanging="180"/>
      </w:pPr>
    </w:lvl>
  </w:abstractNum>
  <w:abstractNum w:abstractNumId="584" w15:restartNumberingAfterBreak="0">
    <w:nsid w:val="60CD527E"/>
    <w:multiLevelType w:val="hybridMultilevel"/>
    <w:tmpl w:val="0422CC8C"/>
    <w:lvl w:ilvl="0" w:tplc="95229FA6">
      <w:start w:val="1"/>
      <w:numFmt w:val="lowerLetter"/>
      <w:lvlText w:val="%1)"/>
      <w:lvlJc w:val="left"/>
      <w:pPr>
        <w:ind w:left="720" w:hanging="360"/>
      </w:pPr>
    </w:lvl>
    <w:lvl w:ilvl="1" w:tplc="55F89914">
      <w:start w:val="1"/>
      <w:numFmt w:val="lowerLetter"/>
      <w:lvlText w:val="%2)"/>
      <w:lvlJc w:val="left"/>
      <w:pPr>
        <w:ind w:left="720" w:hanging="360"/>
      </w:pPr>
    </w:lvl>
    <w:lvl w:ilvl="2" w:tplc="166EF770">
      <w:start w:val="1"/>
      <w:numFmt w:val="lowerLetter"/>
      <w:lvlText w:val="%3)"/>
      <w:lvlJc w:val="left"/>
      <w:pPr>
        <w:ind w:left="720" w:hanging="360"/>
      </w:pPr>
    </w:lvl>
    <w:lvl w:ilvl="3" w:tplc="0D8C130A">
      <w:start w:val="1"/>
      <w:numFmt w:val="lowerLetter"/>
      <w:lvlText w:val="%4)"/>
      <w:lvlJc w:val="left"/>
      <w:pPr>
        <w:ind w:left="720" w:hanging="360"/>
      </w:pPr>
    </w:lvl>
    <w:lvl w:ilvl="4" w:tplc="BCD60F26">
      <w:start w:val="1"/>
      <w:numFmt w:val="lowerLetter"/>
      <w:lvlText w:val="%5)"/>
      <w:lvlJc w:val="left"/>
      <w:pPr>
        <w:ind w:left="720" w:hanging="360"/>
      </w:pPr>
    </w:lvl>
    <w:lvl w:ilvl="5" w:tplc="75B2CD54">
      <w:start w:val="1"/>
      <w:numFmt w:val="lowerLetter"/>
      <w:lvlText w:val="%6)"/>
      <w:lvlJc w:val="left"/>
      <w:pPr>
        <w:ind w:left="720" w:hanging="360"/>
      </w:pPr>
    </w:lvl>
    <w:lvl w:ilvl="6" w:tplc="9FC4C67A">
      <w:start w:val="1"/>
      <w:numFmt w:val="lowerLetter"/>
      <w:lvlText w:val="%7)"/>
      <w:lvlJc w:val="left"/>
      <w:pPr>
        <w:ind w:left="720" w:hanging="360"/>
      </w:pPr>
    </w:lvl>
    <w:lvl w:ilvl="7" w:tplc="B9185C34">
      <w:start w:val="1"/>
      <w:numFmt w:val="lowerLetter"/>
      <w:lvlText w:val="%8)"/>
      <w:lvlJc w:val="left"/>
      <w:pPr>
        <w:ind w:left="720" w:hanging="360"/>
      </w:pPr>
    </w:lvl>
    <w:lvl w:ilvl="8" w:tplc="999A4C50">
      <w:start w:val="1"/>
      <w:numFmt w:val="lowerLetter"/>
      <w:lvlText w:val="%9)"/>
      <w:lvlJc w:val="left"/>
      <w:pPr>
        <w:ind w:left="720" w:hanging="360"/>
      </w:pPr>
    </w:lvl>
  </w:abstractNum>
  <w:abstractNum w:abstractNumId="585" w15:restartNumberingAfterBreak="0">
    <w:nsid w:val="60DDC073"/>
    <w:multiLevelType w:val="hybridMultilevel"/>
    <w:tmpl w:val="FFFFFFFF"/>
    <w:lvl w:ilvl="0" w:tplc="16BC9412">
      <w:start w:val="1"/>
      <w:numFmt w:val="bullet"/>
      <w:lvlText w:val="o"/>
      <w:lvlJc w:val="left"/>
      <w:pPr>
        <w:ind w:left="720" w:hanging="360"/>
      </w:pPr>
      <w:rPr>
        <w:rFonts w:ascii="&quot;Courier New&quot;" w:hAnsi="&quot;Courier New&quot;" w:hint="default"/>
      </w:rPr>
    </w:lvl>
    <w:lvl w:ilvl="1" w:tplc="18BE9CAC">
      <w:start w:val="1"/>
      <w:numFmt w:val="bullet"/>
      <w:lvlText w:val="o"/>
      <w:lvlJc w:val="left"/>
      <w:pPr>
        <w:ind w:left="1440" w:hanging="360"/>
      </w:pPr>
      <w:rPr>
        <w:rFonts w:ascii="Courier New" w:hAnsi="Courier New" w:hint="default"/>
      </w:rPr>
    </w:lvl>
    <w:lvl w:ilvl="2" w:tplc="DD360680">
      <w:start w:val="1"/>
      <w:numFmt w:val="bullet"/>
      <w:lvlText w:val=""/>
      <w:lvlJc w:val="left"/>
      <w:pPr>
        <w:ind w:left="2160" w:hanging="360"/>
      </w:pPr>
      <w:rPr>
        <w:rFonts w:ascii="Wingdings" w:hAnsi="Wingdings" w:hint="default"/>
      </w:rPr>
    </w:lvl>
    <w:lvl w:ilvl="3" w:tplc="B2BA1404">
      <w:start w:val="1"/>
      <w:numFmt w:val="bullet"/>
      <w:lvlText w:val=""/>
      <w:lvlJc w:val="left"/>
      <w:pPr>
        <w:ind w:left="2880" w:hanging="360"/>
      </w:pPr>
      <w:rPr>
        <w:rFonts w:ascii="Symbol" w:hAnsi="Symbol" w:hint="default"/>
      </w:rPr>
    </w:lvl>
    <w:lvl w:ilvl="4" w:tplc="472A782E">
      <w:start w:val="1"/>
      <w:numFmt w:val="bullet"/>
      <w:lvlText w:val="o"/>
      <w:lvlJc w:val="left"/>
      <w:pPr>
        <w:ind w:left="3600" w:hanging="360"/>
      </w:pPr>
      <w:rPr>
        <w:rFonts w:ascii="Courier New" w:hAnsi="Courier New" w:hint="default"/>
      </w:rPr>
    </w:lvl>
    <w:lvl w:ilvl="5" w:tplc="189C98D0">
      <w:start w:val="1"/>
      <w:numFmt w:val="bullet"/>
      <w:lvlText w:val=""/>
      <w:lvlJc w:val="left"/>
      <w:pPr>
        <w:ind w:left="4320" w:hanging="360"/>
      </w:pPr>
      <w:rPr>
        <w:rFonts w:ascii="Wingdings" w:hAnsi="Wingdings" w:hint="default"/>
      </w:rPr>
    </w:lvl>
    <w:lvl w:ilvl="6" w:tplc="C7F20378">
      <w:start w:val="1"/>
      <w:numFmt w:val="bullet"/>
      <w:lvlText w:val=""/>
      <w:lvlJc w:val="left"/>
      <w:pPr>
        <w:ind w:left="5040" w:hanging="360"/>
      </w:pPr>
      <w:rPr>
        <w:rFonts w:ascii="Symbol" w:hAnsi="Symbol" w:hint="default"/>
      </w:rPr>
    </w:lvl>
    <w:lvl w:ilvl="7" w:tplc="71DCA112">
      <w:start w:val="1"/>
      <w:numFmt w:val="bullet"/>
      <w:lvlText w:val="o"/>
      <w:lvlJc w:val="left"/>
      <w:pPr>
        <w:ind w:left="5760" w:hanging="360"/>
      </w:pPr>
      <w:rPr>
        <w:rFonts w:ascii="Courier New" w:hAnsi="Courier New" w:hint="default"/>
      </w:rPr>
    </w:lvl>
    <w:lvl w:ilvl="8" w:tplc="AC70D3B8">
      <w:start w:val="1"/>
      <w:numFmt w:val="bullet"/>
      <w:lvlText w:val=""/>
      <w:lvlJc w:val="left"/>
      <w:pPr>
        <w:ind w:left="6480" w:hanging="360"/>
      </w:pPr>
      <w:rPr>
        <w:rFonts w:ascii="Wingdings" w:hAnsi="Wingdings" w:hint="default"/>
      </w:rPr>
    </w:lvl>
  </w:abstractNum>
  <w:abstractNum w:abstractNumId="586" w15:restartNumberingAfterBreak="0">
    <w:nsid w:val="6104252A"/>
    <w:multiLevelType w:val="hybridMultilevel"/>
    <w:tmpl w:val="D1040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7" w15:restartNumberingAfterBreak="0">
    <w:nsid w:val="617504BD"/>
    <w:multiLevelType w:val="multilevel"/>
    <w:tmpl w:val="FE8AB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8" w15:restartNumberingAfterBreak="0">
    <w:nsid w:val="61816B35"/>
    <w:multiLevelType w:val="hybridMultilevel"/>
    <w:tmpl w:val="72A47300"/>
    <w:lvl w:ilvl="0" w:tplc="18090019">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9" w15:restartNumberingAfterBreak="0">
    <w:nsid w:val="621768EE"/>
    <w:multiLevelType w:val="hybridMultilevel"/>
    <w:tmpl w:val="5E208838"/>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0" w15:restartNumberingAfterBreak="0">
    <w:nsid w:val="6219183D"/>
    <w:multiLevelType w:val="hybridMultilevel"/>
    <w:tmpl w:val="4D3C6348"/>
    <w:lvl w:ilvl="0" w:tplc="080C0019">
      <w:start w:val="1"/>
      <w:numFmt w:val="lowerLetter"/>
      <w:lvlText w:val="%1."/>
      <w:lvlJc w:val="left"/>
      <w:pPr>
        <w:ind w:left="1080" w:hanging="360"/>
      </w:pPr>
      <w:rPr>
        <w:rFonts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1" w15:restartNumberingAfterBreak="0">
    <w:nsid w:val="62531B47"/>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2" w15:restartNumberingAfterBreak="0">
    <w:nsid w:val="62867FF6"/>
    <w:multiLevelType w:val="multilevel"/>
    <w:tmpl w:val="92F2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6290243E"/>
    <w:multiLevelType w:val="hybridMultilevel"/>
    <w:tmpl w:val="C4DEF61A"/>
    <w:lvl w:ilvl="0" w:tplc="D1E6F966">
      <w:start w:val="1"/>
      <w:numFmt w:val="bullet"/>
      <w:lvlText w:val="-"/>
      <w:lvlJc w:val="left"/>
      <w:pPr>
        <w:ind w:left="720" w:hanging="360"/>
      </w:pPr>
      <w:rPr>
        <w:rFonts w:ascii="&quot;Times New Roman&quot;,serif" w:hAnsi="&quot;Times New Roman&quot;,serif" w:hint="default"/>
      </w:rPr>
    </w:lvl>
    <w:lvl w:ilvl="1" w:tplc="6374C602">
      <w:start w:val="1"/>
      <w:numFmt w:val="bullet"/>
      <w:lvlText w:val="o"/>
      <w:lvlJc w:val="left"/>
      <w:pPr>
        <w:ind w:left="1440" w:hanging="360"/>
      </w:pPr>
      <w:rPr>
        <w:rFonts w:ascii="Courier New" w:hAnsi="Courier New" w:hint="default"/>
      </w:rPr>
    </w:lvl>
    <w:lvl w:ilvl="2" w:tplc="CEEAA4D2">
      <w:start w:val="1"/>
      <w:numFmt w:val="bullet"/>
      <w:lvlText w:val=""/>
      <w:lvlJc w:val="left"/>
      <w:pPr>
        <w:ind w:left="2160" w:hanging="360"/>
      </w:pPr>
      <w:rPr>
        <w:rFonts w:ascii="Wingdings" w:hAnsi="Wingdings" w:hint="default"/>
      </w:rPr>
    </w:lvl>
    <w:lvl w:ilvl="3" w:tplc="B74092B6">
      <w:start w:val="1"/>
      <w:numFmt w:val="bullet"/>
      <w:lvlText w:val=""/>
      <w:lvlJc w:val="left"/>
      <w:pPr>
        <w:ind w:left="2880" w:hanging="360"/>
      </w:pPr>
      <w:rPr>
        <w:rFonts w:ascii="Symbol" w:hAnsi="Symbol" w:hint="default"/>
      </w:rPr>
    </w:lvl>
    <w:lvl w:ilvl="4" w:tplc="EFDC5E12">
      <w:start w:val="1"/>
      <w:numFmt w:val="bullet"/>
      <w:lvlText w:val="o"/>
      <w:lvlJc w:val="left"/>
      <w:pPr>
        <w:ind w:left="3600" w:hanging="360"/>
      </w:pPr>
      <w:rPr>
        <w:rFonts w:ascii="Courier New" w:hAnsi="Courier New" w:hint="default"/>
      </w:rPr>
    </w:lvl>
    <w:lvl w:ilvl="5" w:tplc="6D76ADFA">
      <w:start w:val="1"/>
      <w:numFmt w:val="bullet"/>
      <w:lvlText w:val=""/>
      <w:lvlJc w:val="left"/>
      <w:pPr>
        <w:ind w:left="4320" w:hanging="360"/>
      </w:pPr>
      <w:rPr>
        <w:rFonts w:ascii="Wingdings" w:hAnsi="Wingdings" w:hint="default"/>
      </w:rPr>
    </w:lvl>
    <w:lvl w:ilvl="6" w:tplc="EF9AAC72">
      <w:start w:val="1"/>
      <w:numFmt w:val="bullet"/>
      <w:lvlText w:val=""/>
      <w:lvlJc w:val="left"/>
      <w:pPr>
        <w:ind w:left="5040" w:hanging="360"/>
      </w:pPr>
      <w:rPr>
        <w:rFonts w:ascii="Symbol" w:hAnsi="Symbol" w:hint="default"/>
      </w:rPr>
    </w:lvl>
    <w:lvl w:ilvl="7" w:tplc="089A3C0A">
      <w:start w:val="1"/>
      <w:numFmt w:val="bullet"/>
      <w:lvlText w:val="o"/>
      <w:lvlJc w:val="left"/>
      <w:pPr>
        <w:ind w:left="5760" w:hanging="360"/>
      </w:pPr>
      <w:rPr>
        <w:rFonts w:ascii="Courier New" w:hAnsi="Courier New" w:hint="default"/>
      </w:rPr>
    </w:lvl>
    <w:lvl w:ilvl="8" w:tplc="B1603BC0">
      <w:start w:val="1"/>
      <w:numFmt w:val="bullet"/>
      <w:lvlText w:val=""/>
      <w:lvlJc w:val="left"/>
      <w:pPr>
        <w:ind w:left="6480" w:hanging="360"/>
      </w:pPr>
      <w:rPr>
        <w:rFonts w:ascii="Wingdings" w:hAnsi="Wingdings" w:hint="default"/>
      </w:rPr>
    </w:lvl>
  </w:abstractNum>
  <w:abstractNum w:abstractNumId="594" w15:restartNumberingAfterBreak="0">
    <w:nsid w:val="63087B6D"/>
    <w:multiLevelType w:val="hybridMultilevel"/>
    <w:tmpl w:val="C70CC2DC"/>
    <w:lvl w:ilvl="0" w:tplc="1809001B">
      <w:start w:val="1"/>
      <w:numFmt w:val="lowerRoman"/>
      <w:lvlText w:val="%1."/>
      <w:lvlJc w:val="righ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595" w15:restartNumberingAfterBreak="0">
    <w:nsid w:val="63730DA7"/>
    <w:multiLevelType w:val="hybridMultilevel"/>
    <w:tmpl w:val="07A46F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6" w15:restartNumberingAfterBreak="0">
    <w:nsid w:val="64539AB4"/>
    <w:multiLevelType w:val="hybridMultilevel"/>
    <w:tmpl w:val="6CAA3520"/>
    <w:lvl w:ilvl="0" w:tplc="5CB28036">
      <w:start w:val="1"/>
      <w:numFmt w:val="lowerLetter"/>
      <w:lvlText w:val="%1)"/>
      <w:lvlJc w:val="left"/>
      <w:pPr>
        <w:ind w:left="720" w:hanging="360"/>
      </w:pPr>
    </w:lvl>
    <w:lvl w:ilvl="1" w:tplc="141275F8">
      <w:start w:val="1"/>
      <w:numFmt w:val="lowerLetter"/>
      <w:lvlText w:val="%2."/>
      <w:lvlJc w:val="left"/>
      <w:pPr>
        <w:ind w:left="1440" w:hanging="360"/>
      </w:pPr>
    </w:lvl>
    <w:lvl w:ilvl="2" w:tplc="1AC4374E">
      <w:start w:val="1"/>
      <w:numFmt w:val="lowerRoman"/>
      <w:lvlText w:val="%3."/>
      <w:lvlJc w:val="right"/>
      <w:pPr>
        <w:ind w:left="2160" w:hanging="180"/>
      </w:pPr>
    </w:lvl>
    <w:lvl w:ilvl="3" w:tplc="1EB21326">
      <w:start w:val="1"/>
      <w:numFmt w:val="decimal"/>
      <w:lvlText w:val="%4."/>
      <w:lvlJc w:val="left"/>
      <w:pPr>
        <w:ind w:left="2880" w:hanging="360"/>
      </w:pPr>
    </w:lvl>
    <w:lvl w:ilvl="4" w:tplc="E4CA95FE">
      <w:start w:val="1"/>
      <w:numFmt w:val="lowerLetter"/>
      <w:lvlText w:val="%5."/>
      <w:lvlJc w:val="left"/>
      <w:pPr>
        <w:ind w:left="3600" w:hanging="360"/>
      </w:pPr>
    </w:lvl>
    <w:lvl w:ilvl="5" w:tplc="BEBCCB5E">
      <w:start w:val="1"/>
      <w:numFmt w:val="lowerRoman"/>
      <w:lvlText w:val="%6."/>
      <w:lvlJc w:val="right"/>
      <w:pPr>
        <w:ind w:left="4320" w:hanging="180"/>
      </w:pPr>
    </w:lvl>
    <w:lvl w:ilvl="6" w:tplc="82AEC7C8">
      <w:start w:val="1"/>
      <w:numFmt w:val="decimal"/>
      <w:lvlText w:val="%7."/>
      <w:lvlJc w:val="left"/>
      <w:pPr>
        <w:ind w:left="5040" w:hanging="360"/>
      </w:pPr>
    </w:lvl>
    <w:lvl w:ilvl="7" w:tplc="B5C26AA2">
      <w:start w:val="1"/>
      <w:numFmt w:val="lowerLetter"/>
      <w:lvlText w:val="%8."/>
      <w:lvlJc w:val="left"/>
      <w:pPr>
        <w:ind w:left="5760" w:hanging="360"/>
      </w:pPr>
    </w:lvl>
    <w:lvl w:ilvl="8" w:tplc="28083F8E">
      <w:start w:val="1"/>
      <w:numFmt w:val="lowerRoman"/>
      <w:lvlText w:val="%9."/>
      <w:lvlJc w:val="right"/>
      <w:pPr>
        <w:ind w:left="6480" w:hanging="180"/>
      </w:pPr>
    </w:lvl>
  </w:abstractNum>
  <w:abstractNum w:abstractNumId="597" w15:restartNumberingAfterBreak="0">
    <w:nsid w:val="645A52C9"/>
    <w:multiLevelType w:val="hybridMultilevel"/>
    <w:tmpl w:val="FFFFFFFF"/>
    <w:lvl w:ilvl="0" w:tplc="3904A072">
      <w:start w:val="1"/>
      <w:numFmt w:val="bullet"/>
      <w:lvlText w:val=""/>
      <w:lvlJc w:val="left"/>
      <w:pPr>
        <w:ind w:left="720" w:hanging="360"/>
      </w:pPr>
      <w:rPr>
        <w:rFonts w:ascii="Symbol" w:hAnsi="Symbol" w:hint="default"/>
      </w:rPr>
    </w:lvl>
    <w:lvl w:ilvl="1" w:tplc="C26C50D6">
      <w:start w:val="1"/>
      <w:numFmt w:val="bullet"/>
      <w:lvlText w:val="o"/>
      <w:lvlJc w:val="left"/>
      <w:pPr>
        <w:ind w:left="1440" w:hanging="360"/>
      </w:pPr>
      <w:rPr>
        <w:rFonts w:ascii="Courier New" w:hAnsi="Courier New" w:hint="default"/>
      </w:rPr>
    </w:lvl>
    <w:lvl w:ilvl="2" w:tplc="981AB5EA">
      <w:start w:val="1"/>
      <w:numFmt w:val="bullet"/>
      <w:lvlText w:val=""/>
      <w:lvlJc w:val="left"/>
      <w:pPr>
        <w:ind w:left="2160" w:hanging="360"/>
      </w:pPr>
      <w:rPr>
        <w:rFonts w:ascii="Wingdings" w:hAnsi="Wingdings" w:hint="default"/>
      </w:rPr>
    </w:lvl>
    <w:lvl w:ilvl="3" w:tplc="81F8891A">
      <w:start w:val="1"/>
      <w:numFmt w:val="bullet"/>
      <w:lvlText w:val=""/>
      <w:lvlJc w:val="left"/>
      <w:pPr>
        <w:ind w:left="2880" w:hanging="360"/>
      </w:pPr>
      <w:rPr>
        <w:rFonts w:ascii="Symbol" w:hAnsi="Symbol" w:hint="default"/>
      </w:rPr>
    </w:lvl>
    <w:lvl w:ilvl="4" w:tplc="336C2DC6">
      <w:start w:val="1"/>
      <w:numFmt w:val="bullet"/>
      <w:lvlText w:val="o"/>
      <w:lvlJc w:val="left"/>
      <w:pPr>
        <w:ind w:left="3600" w:hanging="360"/>
      </w:pPr>
      <w:rPr>
        <w:rFonts w:ascii="Courier New" w:hAnsi="Courier New" w:hint="default"/>
      </w:rPr>
    </w:lvl>
    <w:lvl w:ilvl="5" w:tplc="770ED320">
      <w:start w:val="1"/>
      <w:numFmt w:val="bullet"/>
      <w:lvlText w:val=""/>
      <w:lvlJc w:val="left"/>
      <w:pPr>
        <w:ind w:left="4320" w:hanging="360"/>
      </w:pPr>
      <w:rPr>
        <w:rFonts w:ascii="Wingdings" w:hAnsi="Wingdings" w:hint="default"/>
      </w:rPr>
    </w:lvl>
    <w:lvl w:ilvl="6" w:tplc="EDC424A2">
      <w:start w:val="1"/>
      <w:numFmt w:val="bullet"/>
      <w:lvlText w:val=""/>
      <w:lvlJc w:val="left"/>
      <w:pPr>
        <w:ind w:left="5040" w:hanging="360"/>
      </w:pPr>
      <w:rPr>
        <w:rFonts w:ascii="Symbol" w:hAnsi="Symbol" w:hint="default"/>
      </w:rPr>
    </w:lvl>
    <w:lvl w:ilvl="7" w:tplc="D0A61050">
      <w:start w:val="1"/>
      <w:numFmt w:val="bullet"/>
      <w:lvlText w:val="o"/>
      <w:lvlJc w:val="left"/>
      <w:pPr>
        <w:ind w:left="5760" w:hanging="360"/>
      </w:pPr>
      <w:rPr>
        <w:rFonts w:ascii="Courier New" w:hAnsi="Courier New" w:hint="default"/>
      </w:rPr>
    </w:lvl>
    <w:lvl w:ilvl="8" w:tplc="11CAC0C0">
      <w:start w:val="1"/>
      <w:numFmt w:val="bullet"/>
      <w:lvlText w:val=""/>
      <w:lvlJc w:val="left"/>
      <w:pPr>
        <w:ind w:left="6480" w:hanging="360"/>
      </w:pPr>
      <w:rPr>
        <w:rFonts w:ascii="Wingdings" w:hAnsi="Wingdings" w:hint="default"/>
      </w:rPr>
    </w:lvl>
  </w:abstractNum>
  <w:abstractNum w:abstractNumId="598" w15:restartNumberingAfterBreak="0">
    <w:nsid w:val="646F42C6"/>
    <w:multiLevelType w:val="hybridMultilevel"/>
    <w:tmpl w:val="D0004FD8"/>
    <w:lvl w:ilvl="0" w:tplc="18090015">
      <w:start w:val="1"/>
      <w:numFmt w:val="upperLetter"/>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599" w15:restartNumberingAfterBreak="0">
    <w:nsid w:val="648A36A7"/>
    <w:multiLevelType w:val="hybridMultilevel"/>
    <w:tmpl w:val="007A82FC"/>
    <w:lvl w:ilvl="0" w:tplc="7DC0AED8">
      <w:start w:val="1"/>
      <w:numFmt w:val="lowerRoman"/>
      <w:lvlText w:val="%1."/>
      <w:lvlJc w:val="right"/>
      <w:pPr>
        <w:ind w:left="720" w:hanging="360"/>
      </w:pPr>
      <w:rPr>
        <w:color w:val="auto"/>
      </w:rPr>
    </w:lvl>
    <w:lvl w:ilvl="1" w:tplc="E0583D70">
      <w:start w:val="1"/>
      <w:numFmt w:val="lowerLetter"/>
      <w:lvlText w:val="%2."/>
      <w:lvlJc w:val="left"/>
      <w:pPr>
        <w:ind w:left="1440" w:hanging="360"/>
      </w:pPr>
    </w:lvl>
    <w:lvl w:ilvl="2" w:tplc="4CD0447A">
      <w:start w:val="1"/>
      <w:numFmt w:val="lowerRoman"/>
      <w:lvlText w:val="%3."/>
      <w:lvlJc w:val="right"/>
      <w:pPr>
        <w:ind w:left="2160" w:hanging="180"/>
      </w:pPr>
    </w:lvl>
    <w:lvl w:ilvl="3" w:tplc="814A5392">
      <w:start w:val="1"/>
      <w:numFmt w:val="decimal"/>
      <w:lvlText w:val="%4."/>
      <w:lvlJc w:val="left"/>
      <w:pPr>
        <w:ind w:left="2880" w:hanging="360"/>
      </w:pPr>
    </w:lvl>
    <w:lvl w:ilvl="4" w:tplc="8B34E246">
      <w:start w:val="1"/>
      <w:numFmt w:val="lowerLetter"/>
      <w:lvlText w:val="%5."/>
      <w:lvlJc w:val="left"/>
      <w:pPr>
        <w:ind w:left="3600" w:hanging="360"/>
      </w:pPr>
    </w:lvl>
    <w:lvl w:ilvl="5" w:tplc="28602E44">
      <w:start w:val="1"/>
      <w:numFmt w:val="lowerRoman"/>
      <w:lvlText w:val="%6."/>
      <w:lvlJc w:val="right"/>
      <w:pPr>
        <w:ind w:left="4320" w:hanging="180"/>
      </w:pPr>
    </w:lvl>
    <w:lvl w:ilvl="6" w:tplc="2B6E804C">
      <w:start w:val="1"/>
      <w:numFmt w:val="decimal"/>
      <w:lvlText w:val="%7."/>
      <w:lvlJc w:val="left"/>
      <w:pPr>
        <w:ind w:left="5040" w:hanging="360"/>
      </w:pPr>
    </w:lvl>
    <w:lvl w:ilvl="7" w:tplc="823232E8">
      <w:start w:val="1"/>
      <w:numFmt w:val="lowerLetter"/>
      <w:lvlText w:val="%8."/>
      <w:lvlJc w:val="left"/>
      <w:pPr>
        <w:ind w:left="5760" w:hanging="360"/>
      </w:pPr>
    </w:lvl>
    <w:lvl w:ilvl="8" w:tplc="363607DE">
      <w:start w:val="1"/>
      <w:numFmt w:val="lowerRoman"/>
      <w:lvlText w:val="%9."/>
      <w:lvlJc w:val="right"/>
      <w:pPr>
        <w:ind w:left="6480" w:hanging="180"/>
      </w:pPr>
    </w:lvl>
  </w:abstractNum>
  <w:abstractNum w:abstractNumId="600" w15:restartNumberingAfterBreak="0">
    <w:nsid w:val="64A12FA4"/>
    <w:multiLevelType w:val="multilevel"/>
    <w:tmpl w:val="BC1C158C"/>
    <w:name w:val="Heading"/>
    <w:lvl w:ilvl="0">
      <w:start w:val="1"/>
      <w:numFmt w:val="decimal"/>
      <w:lvlRestart w:val="0"/>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1" w15:restartNumberingAfterBreak="0">
    <w:nsid w:val="652A3F9F"/>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2" w15:restartNumberingAfterBreak="0">
    <w:nsid w:val="65344370"/>
    <w:multiLevelType w:val="hybridMultilevel"/>
    <w:tmpl w:val="DD82871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3" w15:restartNumberingAfterBreak="0">
    <w:nsid w:val="65634AF6"/>
    <w:multiLevelType w:val="multilevel"/>
    <w:tmpl w:val="2AA8E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4" w15:restartNumberingAfterBreak="0">
    <w:nsid w:val="656B771A"/>
    <w:multiLevelType w:val="hybridMultilevel"/>
    <w:tmpl w:val="0B4EEFA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05" w15:restartNumberingAfterBreak="0">
    <w:nsid w:val="65900B82"/>
    <w:multiLevelType w:val="multilevel"/>
    <w:tmpl w:val="480E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65C33A2F"/>
    <w:multiLevelType w:val="multilevel"/>
    <w:tmpl w:val="D99024DE"/>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7" w15:restartNumberingAfterBreak="0">
    <w:nsid w:val="65EC59D4"/>
    <w:multiLevelType w:val="multilevel"/>
    <w:tmpl w:val="C592E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66396D30"/>
    <w:multiLevelType w:val="multilevel"/>
    <w:tmpl w:val="2C3EA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9" w15:restartNumberingAfterBreak="0">
    <w:nsid w:val="665278A0"/>
    <w:multiLevelType w:val="hybridMultilevel"/>
    <w:tmpl w:val="FFFFFFFF"/>
    <w:lvl w:ilvl="0" w:tplc="6FB4DD4A">
      <w:start w:val="1"/>
      <w:numFmt w:val="bullet"/>
      <w:lvlText w:val=""/>
      <w:lvlJc w:val="left"/>
      <w:pPr>
        <w:ind w:left="720" w:hanging="360"/>
      </w:pPr>
      <w:rPr>
        <w:rFonts w:ascii="Symbol" w:hAnsi="Symbol" w:hint="default"/>
      </w:rPr>
    </w:lvl>
    <w:lvl w:ilvl="1" w:tplc="DFEA9B34">
      <w:start w:val="1"/>
      <w:numFmt w:val="bullet"/>
      <w:lvlText w:val="o"/>
      <w:lvlJc w:val="left"/>
      <w:pPr>
        <w:ind w:left="1440" w:hanging="360"/>
      </w:pPr>
      <w:rPr>
        <w:rFonts w:ascii="Courier New" w:hAnsi="Courier New" w:hint="default"/>
      </w:rPr>
    </w:lvl>
    <w:lvl w:ilvl="2" w:tplc="BEDA5D46">
      <w:start w:val="1"/>
      <w:numFmt w:val="bullet"/>
      <w:lvlText w:val=""/>
      <w:lvlJc w:val="left"/>
      <w:pPr>
        <w:ind w:left="2160" w:hanging="360"/>
      </w:pPr>
      <w:rPr>
        <w:rFonts w:ascii="Wingdings" w:hAnsi="Wingdings" w:hint="default"/>
      </w:rPr>
    </w:lvl>
    <w:lvl w:ilvl="3" w:tplc="BC9C45D0">
      <w:start w:val="1"/>
      <w:numFmt w:val="bullet"/>
      <w:lvlText w:val=""/>
      <w:lvlJc w:val="left"/>
      <w:pPr>
        <w:ind w:left="2880" w:hanging="360"/>
      </w:pPr>
      <w:rPr>
        <w:rFonts w:ascii="Symbol" w:hAnsi="Symbol" w:hint="default"/>
      </w:rPr>
    </w:lvl>
    <w:lvl w:ilvl="4" w:tplc="D430C006">
      <w:start w:val="1"/>
      <w:numFmt w:val="bullet"/>
      <w:lvlText w:val="o"/>
      <w:lvlJc w:val="left"/>
      <w:pPr>
        <w:ind w:left="3600" w:hanging="360"/>
      </w:pPr>
      <w:rPr>
        <w:rFonts w:ascii="Courier New" w:hAnsi="Courier New" w:hint="default"/>
      </w:rPr>
    </w:lvl>
    <w:lvl w:ilvl="5" w:tplc="44D2C032">
      <w:start w:val="1"/>
      <w:numFmt w:val="bullet"/>
      <w:lvlText w:val=""/>
      <w:lvlJc w:val="left"/>
      <w:pPr>
        <w:ind w:left="4320" w:hanging="360"/>
      </w:pPr>
      <w:rPr>
        <w:rFonts w:ascii="Wingdings" w:hAnsi="Wingdings" w:hint="default"/>
      </w:rPr>
    </w:lvl>
    <w:lvl w:ilvl="6" w:tplc="BDDA01B8">
      <w:start w:val="1"/>
      <w:numFmt w:val="bullet"/>
      <w:lvlText w:val=""/>
      <w:lvlJc w:val="left"/>
      <w:pPr>
        <w:ind w:left="5040" w:hanging="360"/>
      </w:pPr>
      <w:rPr>
        <w:rFonts w:ascii="Symbol" w:hAnsi="Symbol" w:hint="default"/>
      </w:rPr>
    </w:lvl>
    <w:lvl w:ilvl="7" w:tplc="4E5696D6">
      <w:start w:val="1"/>
      <w:numFmt w:val="bullet"/>
      <w:lvlText w:val="o"/>
      <w:lvlJc w:val="left"/>
      <w:pPr>
        <w:ind w:left="5760" w:hanging="360"/>
      </w:pPr>
      <w:rPr>
        <w:rFonts w:ascii="Courier New" w:hAnsi="Courier New" w:hint="default"/>
      </w:rPr>
    </w:lvl>
    <w:lvl w:ilvl="8" w:tplc="056A0BDA">
      <w:start w:val="1"/>
      <w:numFmt w:val="bullet"/>
      <w:lvlText w:val=""/>
      <w:lvlJc w:val="left"/>
      <w:pPr>
        <w:ind w:left="6480" w:hanging="360"/>
      </w:pPr>
      <w:rPr>
        <w:rFonts w:ascii="Wingdings" w:hAnsi="Wingdings" w:hint="default"/>
      </w:rPr>
    </w:lvl>
  </w:abstractNum>
  <w:abstractNum w:abstractNumId="610" w15:restartNumberingAfterBreak="0">
    <w:nsid w:val="66883E46"/>
    <w:multiLevelType w:val="hybridMultilevel"/>
    <w:tmpl w:val="A7D4E9B0"/>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1" w15:restartNumberingAfterBreak="0">
    <w:nsid w:val="669B0B48"/>
    <w:multiLevelType w:val="hybridMultilevel"/>
    <w:tmpl w:val="F5741058"/>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2" w15:restartNumberingAfterBreak="0">
    <w:nsid w:val="669F3250"/>
    <w:multiLevelType w:val="hybridMultilevel"/>
    <w:tmpl w:val="BD0AC6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3" w15:restartNumberingAfterBreak="0">
    <w:nsid w:val="66AE6F18"/>
    <w:multiLevelType w:val="hybridMultilevel"/>
    <w:tmpl w:val="8CFE81A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14" w15:restartNumberingAfterBreak="0">
    <w:nsid w:val="66DD7123"/>
    <w:multiLevelType w:val="multilevel"/>
    <w:tmpl w:val="4F7EFF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5" w15:restartNumberingAfterBreak="0">
    <w:nsid w:val="66EA63FD"/>
    <w:multiLevelType w:val="hybridMultilevel"/>
    <w:tmpl w:val="7B42F528"/>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6" w15:restartNumberingAfterBreak="0">
    <w:nsid w:val="66F2106C"/>
    <w:multiLevelType w:val="multilevel"/>
    <w:tmpl w:val="8D7C4D2A"/>
    <w:lvl w:ilvl="0">
      <w:start w:val="1"/>
      <w:numFmt w:val="decimal"/>
      <w:lvlText w:val="%1."/>
      <w:lvlJc w:val="left"/>
      <w:pPr>
        <w:ind w:left="476" w:hanging="476"/>
      </w:pPr>
      <w:rPr>
        <w:rFonts w:hint="default"/>
        <w:b/>
        <w:bCs/>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7" w15:restartNumberingAfterBreak="0">
    <w:nsid w:val="6754F1B3"/>
    <w:multiLevelType w:val="hybridMultilevel"/>
    <w:tmpl w:val="FFFFFFFF"/>
    <w:lvl w:ilvl="0" w:tplc="60AAD636">
      <w:start w:val="1"/>
      <w:numFmt w:val="bullet"/>
      <w:lvlText w:val="o"/>
      <w:lvlJc w:val="left"/>
      <w:pPr>
        <w:ind w:left="720" w:hanging="360"/>
      </w:pPr>
      <w:rPr>
        <w:rFonts w:ascii="&quot;Courier New&quot;" w:hAnsi="&quot;Courier New&quot;" w:hint="default"/>
      </w:rPr>
    </w:lvl>
    <w:lvl w:ilvl="1" w:tplc="516E6876">
      <w:start w:val="1"/>
      <w:numFmt w:val="bullet"/>
      <w:lvlText w:val="o"/>
      <w:lvlJc w:val="left"/>
      <w:pPr>
        <w:ind w:left="1440" w:hanging="360"/>
      </w:pPr>
      <w:rPr>
        <w:rFonts w:ascii="Courier New" w:hAnsi="Courier New" w:hint="default"/>
      </w:rPr>
    </w:lvl>
    <w:lvl w:ilvl="2" w:tplc="FC107CE0">
      <w:start w:val="1"/>
      <w:numFmt w:val="bullet"/>
      <w:lvlText w:val=""/>
      <w:lvlJc w:val="left"/>
      <w:pPr>
        <w:ind w:left="2160" w:hanging="360"/>
      </w:pPr>
      <w:rPr>
        <w:rFonts w:ascii="Wingdings" w:hAnsi="Wingdings" w:hint="default"/>
      </w:rPr>
    </w:lvl>
    <w:lvl w:ilvl="3" w:tplc="3B0A64BE">
      <w:start w:val="1"/>
      <w:numFmt w:val="bullet"/>
      <w:lvlText w:val=""/>
      <w:lvlJc w:val="left"/>
      <w:pPr>
        <w:ind w:left="2880" w:hanging="360"/>
      </w:pPr>
      <w:rPr>
        <w:rFonts w:ascii="Symbol" w:hAnsi="Symbol" w:hint="default"/>
      </w:rPr>
    </w:lvl>
    <w:lvl w:ilvl="4" w:tplc="33628574">
      <w:start w:val="1"/>
      <w:numFmt w:val="bullet"/>
      <w:lvlText w:val="o"/>
      <w:lvlJc w:val="left"/>
      <w:pPr>
        <w:ind w:left="3600" w:hanging="360"/>
      </w:pPr>
      <w:rPr>
        <w:rFonts w:ascii="Courier New" w:hAnsi="Courier New" w:hint="default"/>
      </w:rPr>
    </w:lvl>
    <w:lvl w:ilvl="5" w:tplc="15F81690">
      <w:start w:val="1"/>
      <w:numFmt w:val="bullet"/>
      <w:lvlText w:val=""/>
      <w:lvlJc w:val="left"/>
      <w:pPr>
        <w:ind w:left="4320" w:hanging="360"/>
      </w:pPr>
      <w:rPr>
        <w:rFonts w:ascii="Wingdings" w:hAnsi="Wingdings" w:hint="default"/>
      </w:rPr>
    </w:lvl>
    <w:lvl w:ilvl="6" w:tplc="F34A0164">
      <w:start w:val="1"/>
      <w:numFmt w:val="bullet"/>
      <w:lvlText w:val=""/>
      <w:lvlJc w:val="left"/>
      <w:pPr>
        <w:ind w:left="5040" w:hanging="360"/>
      </w:pPr>
      <w:rPr>
        <w:rFonts w:ascii="Symbol" w:hAnsi="Symbol" w:hint="default"/>
      </w:rPr>
    </w:lvl>
    <w:lvl w:ilvl="7" w:tplc="AD4CD0EC">
      <w:start w:val="1"/>
      <w:numFmt w:val="bullet"/>
      <w:lvlText w:val="o"/>
      <w:lvlJc w:val="left"/>
      <w:pPr>
        <w:ind w:left="5760" w:hanging="360"/>
      </w:pPr>
      <w:rPr>
        <w:rFonts w:ascii="Courier New" w:hAnsi="Courier New" w:hint="default"/>
      </w:rPr>
    </w:lvl>
    <w:lvl w:ilvl="8" w:tplc="7194AAE0">
      <w:start w:val="1"/>
      <w:numFmt w:val="bullet"/>
      <w:lvlText w:val=""/>
      <w:lvlJc w:val="left"/>
      <w:pPr>
        <w:ind w:left="6480" w:hanging="360"/>
      </w:pPr>
      <w:rPr>
        <w:rFonts w:ascii="Wingdings" w:hAnsi="Wingdings" w:hint="default"/>
      </w:rPr>
    </w:lvl>
  </w:abstractNum>
  <w:abstractNum w:abstractNumId="618"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19" w15:restartNumberingAfterBreak="0">
    <w:nsid w:val="67CA10CF"/>
    <w:multiLevelType w:val="hybridMultilevel"/>
    <w:tmpl w:val="9BACB9A2"/>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620" w15:restartNumberingAfterBreak="0">
    <w:nsid w:val="68223F0D"/>
    <w:multiLevelType w:val="multilevel"/>
    <w:tmpl w:val="23C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68735CA3"/>
    <w:multiLevelType w:val="hybridMultilevel"/>
    <w:tmpl w:val="FF96D2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2" w15:restartNumberingAfterBreak="0">
    <w:nsid w:val="68C809B0"/>
    <w:multiLevelType w:val="hybridMultilevel"/>
    <w:tmpl w:val="AA46E654"/>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23" w15:restartNumberingAfterBreak="0">
    <w:nsid w:val="69761DC7"/>
    <w:multiLevelType w:val="hybridMultilevel"/>
    <w:tmpl w:val="45FC3090"/>
    <w:lvl w:ilvl="0" w:tplc="080C0003">
      <w:start w:val="1"/>
      <w:numFmt w:val="bullet"/>
      <w:lvlText w:val="o"/>
      <w:lvlJc w:val="left"/>
      <w:pPr>
        <w:ind w:left="907" w:hanging="360"/>
      </w:pPr>
      <w:rPr>
        <w:rFonts w:ascii="Courier New" w:hAnsi="Courier New" w:cs="Courier New" w:hint="default"/>
      </w:rPr>
    </w:lvl>
    <w:lvl w:ilvl="1" w:tplc="FFFFFFFF">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624" w15:restartNumberingAfterBreak="0">
    <w:nsid w:val="69C032C2"/>
    <w:multiLevelType w:val="multilevel"/>
    <w:tmpl w:val="E9E82A2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5" w15:restartNumberingAfterBreak="0">
    <w:nsid w:val="69F52714"/>
    <w:multiLevelType w:val="hybridMultilevel"/>
    <w:tmpl w:val="C32CEE4E"/>
    <w:lvl w:ilvl="0" w:tplc="0C0A0001">
      <w:start w:val="1"/>
      <w:numFmt w:val="bullet"/>
      <w:lvlText w:val=""/>
      <w:lvlJc w:val="left"/>
      <w:pPr>
        <w:ind w:left="1080" w:hanging="360"/>
      </w:pPr>
      <w:rPr>
        <w:rFonts w:ascii="Courier New" w:hAnsi="Courier New" w:hint="default"/>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626" w15:restartNumberingAfterBreak="0">
    <w:nsid w:val="6A0172F0"/>
    <w:multiLevelType w:val="hybridMultilevel"/>
    <w:tmpl w:val="888CFB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6A050295"/>
    <w:multiLevelType w:val="multilevel"/>
    <w:tmpl w:val="619629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15:restartNumberingAfterBreak="0">
    <w:nsid w:val="6A5224B1"/>
    <w:multiLevelType w:val="multilevel"/>
    <w:tmpl w:val="97BC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6A563A2D"/>
    <w:multiLevelType w:val="hybridMultilevel"/>
    <w:tmpl w:val="080056A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630" w15:restartNumberingAfterBreak="0">
    <w:nsid w:val="6A5A1370"/>
    <w:multiLevelType w:val="hybridMultilevel"/>
    <w:tmpl w:val="FFFFFFFF"/>
    <w:lvl w:ilvl="0" w:tplc="671AAC7E">
      <w:start w:val="2"/>
      <w:numFmt w:val="decimal"/>
      <w:lvlText w:val="%1."/>
      <w:lvlJc w:val="left"/>
      <w:pPr>
        <w:ind w:left="720" w:hanging="360"/>
      </w:pPr>
    </w:lvl>
    <w:lvl w:ilvl="1" w:tplc="007E2BD6">
      <w:start w:val="1"/>
      <w:numFmt w:val="lowerLetter"/>
      <w:lvlText w:val="%2."/>
      <w:lvlJc w:val="left"/>
      <w:pPr>
        <w:ind w:left="1440" w:hanging="360"/>
      </w:pPr>
    </w:lvl>
    <w:lvl w:ilvl="2" w:tplc="0F3016EE">
      <w:start w:val="1"/>
      <w:numFmt w:val="lowerRoman"/>
      <w:lvlText w:val="%3."/>
      <w:lvlJc w:val="right"/>
      <w:pPr>
        <w:ind w:left="2160" w:hanging="180"/>
      </w:pPr>
    </w:lvl>
    <w:lvl w:ilvl="3" w:tplc="23467664">
      <w:start w:val="1"/>
      <w:numFmt w:val="decimal"/>
      <w:lvlText w:val="%4."/>
      <w:lvlJc w:val="left"/>
      <w:pPr>
        <w:ind w:left="2880" w:hanging="360"/>
      </w:pPr>
    </w:lvl>
    <w:lvl w:ilvl="4" w:tplc="49DA7CA8">
      <w:start w:val="1"/>
      <w:numFmt w:val="lowerLetter"/>
      <w:lvlText w:val="%5."/>
      <w:lvlJc w:val="left"/>
      <w:pPr>
        <w:ind w:left="3600" w:hanging="360"/>
      </w:pPr>
    </w:lvl>
    <w:lvl w:ilvl="5" w:tplc="9B48C7C6">
      <w:start w:val="1"/>
      <w:numFmt w:val="lowerRoman"/>
      <w:lvlText w:val="%6."/>
      <w:lvlJc w:val="right"/>
      <w:pPr>
        <w:ind w:left="4320" w:hanging="180"/>
      </w:pPr>
    </w:lvl>
    <w:lvl w:ilvl="6" w:tplc="ADB2099C">
      <w:start w:val="1"/>
      <w:numFmt w:val="decimal"/>
      <w:lvlText w:val="%7."/>
      <w:lvlJc w:val="left"/>
      <w:pPr>
        <w:ind w:left="5040" w:hanging="360"/>
      </w:pPr>
    </w:lvl>
    <w:lvl w:ilvl="7" w:tplc="077EA7A2">
      <w:start w:val="1"/>
      <w:numFmt w:val="lowerLetter"/>
      <w:lvlText w:val="%8."/>
      <w:lvlJc w:val="left"/>
      <w:pPr>
        <w:ind w:left="5760" w:hanging="360"/>
      </w:pPr>
    </w:lvl>
    <w:lvl w:ilvl="8" w:tplc="5E7E9E22">
      <w:start w:val="1"/>
      <w:numFmt w:val="lowerRoman"/>
      <w:lvlText w:val="%9."/>
      <w:lvlJc w:val="right"/>
      <w:pPr>
        <w:ind w:left="6480" w:hanging="180"/>
      </w:pPr>
    </w:lvl>
  </w:abstractNum>
  <w:abstractNum w:abstractNumId="631" w15:restartNumberingAfterBreak="0">
    <w:nsid w:val="6A9527FE"/>
    <w:multiLevelType w:val="hybridMultilevel"/>
    <w:tmpl w:val="2A08BB40"/>
    <w:lvl w:ilvl="0" w:tplc="FFFFFFFF">
      <w:start w:val="1"/>
      <w:numFmt w:val="decimal"/>
      <w:lvlText w:val="%1."/>
      <w:lvlJc w:val="left"/>
      <w:pPr>
        <w:ind w:left="720" w:hanging="360"/>
      </w:pPr>
    </w:lvl>
    <w:lvl w:ilvl="1" w:tplc="18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2" w15:restartNumberingAfterBreak="0">
    <w:nsid w:val="6A9A5717"/>
    <w:multiLevelType w:val="hybridMultilevel"/>
    <w:tmpl w:val="3822DB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3" w15:restartNumberingAfterBreak="0">
    <w:nsid w:val="6A9D45A4"/>
    <w:multiLevelType w:val="hybridMultilevel"/>
    <w:tmpl w:val="A50660FE"/>
    <w:lvl w:ilvl="0" w:tplc="312A5F28">
      <w:start w:val="1"/>
      <w:numFmt w:val="bullet"/>
      <w:lvlText w:val="-"/>
      <w:lvlJc w:val="left"/>
      <w:pPr>
        <w:ind w:left="1004" w:hanging="360"/>
      </w:pPr>
      <w:rPr>
        <w:rFonts w:ascii="Cambria" w:eastAsiaTheme="minorHAnsi" w:hAnsi="Cambria" w:cs="Cambria" w:hint="default"/>
        <w:color w:val="7030A0"/>
      </w:rPr>
    </w:lvl>
    <w:lvl w:ilvl="1" w:tplc="FFFFFFFF" w:tentative="1">
      <w:start w:val="1"/>
      <w:numFmt w:val="bullet"/>
      <w:lvlText w:val="o"/>
      <w:lvlJc w:val="left"/>
      <w:pPr>
        <w:ind w:left="1724" w:hanging="360"/>
      </w:pPr>
      <w:rPr>
        <w:rFonts w:ascii="Cambria Math" w:hAnsi="Cambria Math" w:cs="Cambria Math"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Courier New" w:hAnsi="Courier New" w:hint="default"/>
      </w:rPr>
    </w:lvl>
    <w:lvl w:ilvl="4" w:tplc="FFFFFFFF" w:tentative="1">
      <w:start w:val="1"/>
      <w:numFmt w:val="bullet"/>
      <w:lvlText w:val="o"/>
      <w:lvlJc w:val="left"/>
      <w:pPr>
        <w:ind w:left="3884" w:hanging="360"/>
      </w:pPr>
      <w:rPr>
        <w:rFonts w:ascii="Cambria Math" w:hAnsi="Cambria Math" w:cs="Cambria Math"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Courier New" w:hAnsi="Courier New" w:hint="default"/>
      </w:rPr>
    </w:lvl>
    <w:lvl w:ilvl="7" w:tplc="FFFFFFFF" w:tentative="1">
      <w:start w:val="1"/>
      <w:numFmt w:val="bullet"/>
      <w:lvlText w:val="o"/>
      <w:lvlJc w:val="left"/>
      <w:pPr>
        <w:ind w:left="6044" w:hanging="360"/>
      </w:pPr>
      <w:rPr>
        <w:rFonts w:ascii="Cambria Math" w:hAnsi="Cambria Math" w:cs="Cambria Math" w:hint="default"/>
      </w:rPr>
    </w:lvl>
    <w:lvl w:ilvl="8" w:tplc="FFFFFFFF" w:tentative="1">
      <w:start w:val="1"/>
      <w:numFmt w:val="bullet"/>
      <w:lvlText w:val=""/>
      <w:lvlJc w:val="left"/>
      <w:pPr>
        <w:ind w:left="6764" w:hanging="360"/>
      </w:pPr>
      <w:rPr>
        <w:rFonts w:ascii="Wingdings" w:hAnsi="Wingdings" w:hint="default"/>
      </w:rPr>
    </w:lvl>
  </w:abstractNum>
  <w:abstractNum w:abstractNumId="634" w15:restartNumberingAfterBreak="0">
    <w:nsid w:val="6AB606B0"/>
    <w:multiLevelType w:val="hybridMultilevel"/>
    <w:tmpl w:val="D3BAFE1E"/>
    <w:lvl w:ilvl="0" w:tplc="FFFFFFFF">
      <w:start w:val="1"/>
      <w:numFmt w:val="bullet"/>
      <w:lvlText w:val=""/>
      <w:lvlJc w:val="left"/>
      <w:pPr>
        <w:ind w:left="720" w:hanging="360"/>
      </w:pPr>
      <w:rPr>
        <w:rFonts w:ascii="Symbol" w:hAnsi="Symbol" w:hint="default"/>
        <w:b/>
        <w:bCs/>
      </w:rPr>
    </w:lvl>
    <w:lvl w:ilvl="1" w:tplc="75EAFCA8">
      <w:start w:val="1"/>
      <w:numFmt w:val="lowerLetter"/>
      <w:lvlText w:val="%2."/>
      <w:lvlJc w:val="left"/>
      <w:pPr>
        <w:ind w:left="1440" w:hanging="360"/>
      </w:pPr>
      <w:rPr>
        <w:rFonts w:ascii="Times New Roman" w:eastAsiaTheme="minorHAnsi" w:hAnsi="Times New Roman" w:cs="Times New Roman"/>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5" w15:restartNumberingAfterBreak="0">
    <w:nsid w:val="6AC6D58C"/>
    <w:multiLevelType w:val="hybridMultilevel"/>
    <w:tmpl w:val="5E94D240"/>
    <w:lvl w:ilvl="0" w:tplc="7FDEF720">
      <w:start w:val="1"/>
      <w:numFmt w:val="lowerRoman"/>
      <w:lvlText w:val="%1."/>
      <w:lvlJc w:val="right"/>
      <w:pPr>
        <w:ind w:left="720" w:hanging="360"/>
      </w:pPr>
      <w:rPr>
        <w:color w:val="auto"/>
        <w:sz w:val="18"/>
        <w:szCs w:val="18"/>
      </w:rPr>
    </w:lvl>
    <w:lvl w:ilvl="1" w:tplc="263C1BC4">
      <w:start w:val="1"/>
      <w:numFmt w:val="lowerLetter"/>
      <w:lvlText w:val="%2."/>
      <w:lvlJc w:val="left"/>
      <w:pPr>
        <w:ind w:left="1440" w:hanging="360"/>
      </w:pPr>
    </w:lvl>
    <w:lvl w:ilvl="2" w:tplc="6FC661DC">
      <w:start w:val="1"/>
      <w:numFmt w:val="lowerRoman"/>
      <w:lvlText w:val="%3."/>
      <w:lvlJc w:val="right"/>
      <w:pPr>
        <w:ind w:left="2160" w:hanging="180"/>
      </w:pPr>
    </w:lvl>
    <w:lvl w:ilvl="3" w:tplc="8EF24CE6">
      <w:start w:val="1"/>
      <w:numFmt w:val="decimal"/>
      <w:lvlText w:val="%4."/>
      <w:lvlJc w:val="left"/>
      <w:pPr>
        <w:ind w:left="2880" w:hanging="360"/>
      </w:pPr>
    </w:lvl>
    <w:lvl w:ilvl="4" w:tplc="6F626566">
      <w:start w:val="1"/>
      <w:numFmt w:val="lowerLetter"/>
      <w:lvlText w:val="%5."/>
      <w:lvlJc w:val="left"/>
      <w:pPr>
        <w:ind w:left="3600" w:hanging="360"/>
      </w:pPr>
    </w:lvl>
    <w:lvl w:ilvl="5" w:tplc="754678B6">
      <w:start w:val="1"/>
      <w:numFmt w:val="lowerRoman"/>
      <w:lvlText w:val="%6."/>
      <w:lvlJc w:val="right"/>
      <w:pPr>
        <w:ind w:left="4320" w:hanging="180"/>
      </w:pPr>
    </w:lvl>
    <w:lvl w:ilvl="6" w:tplc="669271CA">
      <w:start w:val="1"/>
      <w:numFmt w:val="decimal"/>
      <w:lvlText w:val="%7."/>
      <w:lvlJc w:val="left"/>
      <w:pPr>
        <w:ind w:left="5040" w:hanging="360"/>
      </w:pPr>
    </w:lvl>
    <w:lvl w:ilvl="7" w:tplc="C59ED434">
      <w:start w:val="1"/>
      <w:numFmt w:val="lowerLetter"/>
      <w:lvlText w:val="%8."/>
      <w:lvlJc w:val="left"/>
      <w:pPr>
        <w:ind w:left="5760" w:hanging="360"/>
      </w:pPr>
    </w:lvl>
    <w:lvl w:ilvl="8" w:tplc="4BB027E2">
      <w:start w:val="1"/>
      <w:numFmt w:val="lowerRoman"/>
      <w:lvlText w:val="%9."/>
      <w:lvlJc w:val="right"/>
      <w:pPr>
        <w:ind w:left="6480" w:hanging="180"/>
      </w:pPr>
    </w:lvl>
  </w:abstractNum>
  <w:abstractNum w:abstractNumId="636" w15:restartNumberingAfterBreak="0">
    <w:nsid w:val="6B002138"/>
    <w:multiLevelType w:val="hybridMultilevel"/>
    <w:tmpl w:val="54B8A282"/>
    <w:lvl w:ilvl="0" w:tplc="13446122">
      <w:start w:val="1"/>
      <w:numFmt w:val="lowerRoman"/>
      <w:lvlText w:val="%1."/>
      <w:lvlJc w:val="right"/>
      <w:pPr>
        <w:ind w:left="720" w:hanging="360"/>
      </w:pPr>
      <w:rPr>
        <w:color w:val="0070C0"/>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7" w15:restartNumberingAfterBreak="0">
    <w:nsid w:val="6B8345B1"/>
    <w:multiLevelType w:val="hybridMultilevel"/>
    <w:tmpl w:val="B34877A4"/>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638" w15:restartNumberingAfterBreak="0">
    <w:nsid w:val="6B921634"/>
    <w:multiLevelType w:val="hybridMultilevel"/>
    <w:tmpl w:val="9A74D662"/>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9" w15:restartNumberingAfterBreak="0">
    <w:nsid w:val="6BA555E5"/>
    <w:multiLevelType w:val="hybridMultilevel"/>
    <w:tmpl w:val="F9E69036"/>
    <w:lvl w:ilvl="0" w:tplc="1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0" w15:restartNumberingAfterBreak="0">
    <w:nsid w:val="6BB9719F"/>
    <w:multiLevelType w:val="hybridMultilevel"/>
    <w:tmpl w:val="66F098D0"/>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641" w15:restartNumberingAfterBreak="0">
    <w:nsid w:val="6C24649E"/>
    <w:multiLevelType w:val="hybridMultilevel"/>
    <w:tmpl w:val="B7861CF2"/>
    <w:lvl w:ilvl="0" w:tplc="1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642" w15:restartNumberingAfterBreak="0">
    <w:nsid w:val="6C7D3549"/>
    <w:multiLevelType w:val="hybridMultilevel"/>
    <w:tmpl w:val="FDD6BEBC"/>
    <w:lvl w:ilvl="0" w:tplc="6272088A">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43" w15:restartNumberingAfterBreak="0">
    <w:nsid w:val="6C815D80"/>
    <w:multiLevelType w:val="multilevel"/>
    <w:tmpl w:val="7BDE59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4" w15:restartNumberingAfterBreak="0">
    <w:nsid w:val="6C962040"/>
    <w:multiLevelType w:val="hybridMultilevel"/>
    <w:tmpl w:val="FFFFFFFF"/>
    <w:lvl w:ilvl="0" w:tplc="06100BC6">
      <w:start w:val="1"/>
      <w:numFmt w:val="bullet"/>
      <w:lvlText w:val="·"/>
      <w:lvlJc w:val="left"/>
      <w:pPr>
        <w:ind w:left="720" w:hanging="360"/>
      </w:pPr>
      <w:rPr>
        <w:rFonts w:ascii="Symbol" w:hAnsi="Symbol" w:hint="default"/>
      </w:rPr>
    </w:lvl>
    <w:lvl w:ilvl="1" w:tplc="098EF74A">
      <w:start w:val="1"/>
      <w:numFmt w:val="bullet"/>
      <w:lvlText w:val="o"/>
      <w:lvlJc w:val="left"/>
      <w:pPr>
        <w:ind w:left="1440" w:hanging="360"/>
      </w:pPr>
      <w:rPr>
        <w:rFonts w:ascii="Courier New" w:hAnsi="Courier New" w:hint="default"/>
      </w:rPr>
    </w:lvl>
    <w:lvl w:ilvl="2" w:tplc="5720DDAC">
      <w:start w:val="1"/>
      <w:numFmt w:val="bullet"/>
      <w:lvlText w:val=""/>
      <w:lvlJc w:val="left"/>
      <w:pPr>
        <w:ind w:left="2160" w:hanging="360"/>
      </w:pPr>
      <w:rPr>
        <w:rFonts w:ascii="Wingdings" w:hAnsi="Wingdings" w:hint="default"/>
      </w:rPr>
    </w:lvl>
    <w:lvl w:ilvl="3" w:tplc="BA6660A2">
      <w:start w:val="1"/>
      <w:numFmt w:val="bullet"/>
      <w:lvlText w:val=""/>
      <w:lvlJc w:val="left"/>
      <w:pPr>
        <w:ind w:left="2880" w:hanging="360"/>
      </w:pPr>
      <w:rPr>
        <w:rFonts w:ascii="Symbol" w:hAnsi="Symbol" w:hint="default"/>
      </w:rPr>
    </w:lvl>
    <w:lvl w:ilvl="4" w:tplc="8C5C27F0">
      <w:start w:val="1"/>
      <w:numFmt w:val="bullet"/>
      <w:lvlText w:val="o"/>
      <w:lvlJc w:val="left"/>
      <w:pPr>
        <w:ind w:left="3600" w:hanging="360"/>
      </w:pPr>
      <w:rPr>
        <w:rFonts w:ascii="Courier New" w:hAnsi="Courier New" w:hint="default"/>
      </w:rPr>
    </w:lvl>
    <w:lvl w:ilvl="5" w:tplc="660A179C">
      <w:start w:val="1"/>
      <w:numFmt w:val="bullet"/>
      <w:lvlText w:val=""/>
      <w:lvlJc w:val="left"/>
      <w:pPr>
        <w:ind w:left="4320" w:hanging="360"/>
      </w:pPr>
      <w:rPr>
        <w:rFonts w:ascii="Wingdings" w:hAnsi="Wingdings" w:hint="default"/>
      </w:rPr>
    </w:lvl>
    <w:lvl w:ilvl="6" w:tplc="0C928458">
      <w:start w:val="1"/>
      <w:numFmt w:val="bullet"/>
      <w:lvlText w:val=""/>
      <w:lvlJc w:val="left"/>
      <w:pPr>
        <w:ind w:left="5040" w:hanging="360"/>
      </w:pPr>
      <w:rPr>
        <w:rFonts w:ascii="Symbol" w:hAnsi="Symbol" w:hint="default"/>
      </w:rPr>
    </w:lvl>
    <w:lvl w:ilvl="7" w:tplc="B51ECFFA">
      <w:start w:val="1"/>
      <w:numFmt w:val="bullet"/>
      <w:lvlText w:val="o"/>
      <w:lvlJc w:val="left"/>
      <w:pPr>
        <w:ind w:left="5760" w:hanging="360"/>
      </w:pPr>
      <w:rPr>
        <w:rFonts w:ascii="Courier New" w:hAnsi="Courier New" w:hint="default"/>
      </w:rPr>
    </w:lvl>
    <w:lvl w:ilvl="8" w:tplc="636E11E4">
      <w:start w:val="1"/>
      <w:numFmt w:val="bullet"/>
      <w:lvlText w:val=""/>
      <w:lvlJc w:val="left"/>
      <w:pPr>
        <w:ind w:left="6480" w:hanging="360"/>
      </w:pPr>
      <w:rPr>
        <w:rFonts w:ascii="Wingdings" w:hAnsi="Wingdings" w:hint="default"/>
      </w:rPr>
    </w:lvl>
  </w:abstractNum>
  <w:abstractNum w:abstractNumId="645" w15:restartNumberingAfterBreak="0">
    <w:nsid w:val="6C97FDD9"/>
    <w:multiLevelType w:val="multilevel"/>
    <w:tmpl w:val="FFFFFFFF"/>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6" w15:restartNumberingAfterBreak="0">
    <w:nsid w:val="6DA07262"/>
    <w:multiLevelType w:val="multilevel"/>
    <w:tmpl w:val="BAEEAFC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7" w15:restartNumberingAfterBreak="0">
    <w:nsid w:val="6DB30E0C"/>
    <w:multiLevelType w:val="hybridMultilevel"/>
    <w:tmpl w:val="FFFFFFFF"/>
    <w:lvl w:ilvl="0" w:tplc="E04A01CE">
      <w:start w:val="2"/>
      <w:numFmt w:val="decimal"/>
      <w:lvlText w:val="%1."/>
      <w:lvlJc w:val="left"/>
      <w:pPr>
        <w:ind w:left="720" w:hanging="360"/>
      </w:pPr>
    </w:lvl>
    <w:lvl w:ilvl="1" w:tplc="BA08502C">
      <w:start w:val="1"/>
      <w:numFmt w:val="lowerLetter"/>
      <w:lvlText w:val="%2."/>
      <w:lvlJc w:val="left"/>
      <w:pPr>
        <w:ind w:left="1440" w:hanging="360"/>
      </w:pPr>
    </w:lvl>
    <w:lvl w:ilvl="2" w:tplc="27E83C2C">
      <w:start w:val="1"/>
      <w:numFmt w:val="lowerRoman"/>
      <w:lvlText w:val="%3."/>
      <w:lvlJc w:val="right"/>
      <w:pPr>
        <w:ind w:left="2160" w:hanging="180"/>
      </w:pPr>
    </w:lvl>
    <w:lvl w:ilvl="3" w:tplc="C3ECD98E">
      <w:start w:val="1"/>
      <w:numFmt w:val="decimal"/>
      <w:lvlText w:val="%4."/>
      <w:lvlJc w:val="left"/>
      <w:pPr>
        <w:ind w:left="2880" w:hanging="360"/>
      </w:pPr>
    </w:lvl>
    <w:lvl w:ilvl="4" w:tplc="C8FE5974">
      <w:start w:val="1"/>
      <w:numFmt w:val="lowerLetter"/>
      <w:lvlText w:val="%5."/>
      <w:lvlJc w:val="left"/>
      <w:pPr>
        <w:ind w:left="3600" w:hanging="360"/>
      </w:pPr>
    </w:lvl>
    <w:lvl w:ilvl="5" w:tplc="536CCB6C">
      <w:start w:val="1"/>
      <w:numFmt w:val="lowerRoman"/>
      <w:lvlText w:val="%6."/>
      <w:lvlJc w:val="right"/>
      <w:pPr>
        <w:ind w:left="4320" w:hanging="180"/>
      </w:pPr>
    </w:lvl>
    <w:lvl w:ilvl="6" w:tplc="99642C7E">
      <w:start w:val="1"/>
      <w:numFmt w:val="decimal"/>
      <w:lvlText w:val="%7."/>
      <w:lvlJc w:val="left"/>
      <w:pPr>
        <w:ind w:left="5040" w:hanging="360"/>
      </w:pPr>
    </w:lvl>
    <w:lvl w:ilvl="7" w:tplc="6A4C50E6">
      <w:start w:val="1"/>
      <w:numFmt w:val="lowerLetter"/>
      <w:lvlText w:val="%8."/>
      <w:lvlJc w:val="left"/>
      <w:pPr>
        <w:ind w:left="5760" w:hanging="360"/>
      </w:pPr>
    </w:lvl>
    <w:lvl w:ilvl="8" w:tplc="EA3C9864">
      <w:start w:val="1"/>
      <w:numFmt w:val="lowerRoman"/>
      <w:lvlText w:val="%9."/>
      <w:lvlJc w:val="right"/>
      <w:pPr>
        <w:ind w:left="6480" w:hanging="180"/>
      </w:pPr>
    </w:lvl>
  </w:abstractNum>
  <w:abstractNum w:abstractNumId="648" w15:restartNumberingAfterBreak="0">
    <w:nsid w:val="6DD191DF"/>
    <w:multiLevelType w:val="hybridMultilevel"/>
    <w:tmpl w:val="FFFFFFFF"/>
    <w:lvl w:ilvl="0" w:tplc="FCDAE8AE">
      <w:start w:val="1"/>
      <w:numFmt w:val="bullet"/>
      <w:lvlText w:val="·"/>
      <w:lvlJc w:val="left"/>
      <w:pPr>
        <w:ind w:left="720" w:hanging="360"/>
      </w:pPr>
      <w:rPr>
        <w:rFonts w:ascii="Symbol" w:hAnsi="Symbol" w:hint="default"/>
      </w:rPr>
    </w:lvl>
    <w:lvl w:ilvl="1" w:tplc="0ED442A4">
      <w:start w:val="1"/>
      <w:numFmt w:val="bullet"/>
      <w:lvlText w:val="o"/>
      <w:lvlJc w:val="left"/>
      <w:pPr>
        <w:ind w:left="1440" w:hanging="360"/>
      </w:pPr>
      <w:rPr>
        <w:rFonts w:ascii="Courier New" w:hAnsi="Courier New" w:hint="default"/>
      </w:rPr>
    </w:lvl>
    <w:lvl w:ilvl="2" w:tplc="F62CBD46">
      <w:start w:val="1"/>
      <w:numFmt w:val="bullet"/>
      <w:lvlText w:val=""/>
      <w:lvlJc w:val="left"/>
      <w:pPr>
        <w:ind w:left="2160" w:hanging="360"/>
      </w:pPr>
      <w:rPr>
        <w:rFonts w:ascii="Wingdings" w:hAnsi="Wingdings" w:hint="default"/>
      </w:rPr>
    </w:lvl>
    <w:lvl w:ilvl="3" w:tplc="C52A8E0C">
      <w:start w:val="1"/>
      <w:numFmt w:val="bullet"/>
      <w:lvlText w:val=""/>
      <w:lvlJc w:val="left"/>
      <w:pPr>
        <w:ind w:left="2880" w:hanging="360"/>
      </w:pPr>
      <w:rPr>
        <w:rFonts w:ascii="Symbol" w:hAnsi="Symbol" w:hint="default"/>
      </w:rPr>
    </w:lvl>
    <w:lvl w:ilvl="4" w:tplc="FE1C3402">
      <w:start w:val="1"/>
      <w:numFmt w:val="bullet"/>
      <w:lvlText w:val="o"/>
      <w:lvlJc w:val="left"/>
      <w:pPr>
        <w:ind w:left="3600" w:hanging="360"/>
      </w:pPr>
      <w:rPr>
        <w:rFonts w:ascii="Courier New" w:hAnsi="Courier New" w:hint="default"/>
      </w:rPr>
    </w:lvl>
    <w:lvl w:ilvl="5" w:tplc="C14C0C48">
      <w:start w:val="1"/>
      <w:numFmt w:val="bullet"/>
      <w:lvlText w:val=""/>
      <w:lvlJc w:val="left"/>
      <w:pPr>
        <w:ind w:left="4320" w:hanging="360"/>
      </w:pPr>
      <w:rPr>
        <w:rFonts w:ascii="Wingdings" w:hAnsi="Wingdings" w:hint="default"/>
      </w:rPr>
    </w:lvl>
    <w:lvl w:ilvl="6" w:tplc="8F0C56C8">
      <w:start w:val="1"/>
      <w:numFmt w:val="bullet"/>
      <w:lvlText w:val=""/>
      <w:lvlJc w:val="left"/>
      <w:pPr>
        <w:ind w:left="5040" w:hanging="360"/>
      </w:pPr>
      <w:rPr>
        <w:rFonts w:ascii="Symbol" w:hAnsi="Symbol" w:hint="default"/>
      </w:rPr>
    </w:lvl>
    <w:lvl w:ilvl="7" w:tplc="916C80C2">
      <w:start w:val="1"/>
      <w:numFmt w:val="bullet"/>
      <w:lvlText w:val="o"/>
      <w:lvlJc w:val="left"/>
      <w:pPr>
        <w:ind w:left="5760" w:hanging="360"/>
      </w:pPr>
      <w:rPr>
        <w:rFonts w:ascii="Courier New" w:hAnsi="Courier New" w:hint="default"/>
      </w:rPr>
    </w:lvl>
    <w:lvl w:ilvl="8" w:tplc="F1725350">
      <w:start w:val="1"/>
      <w:numFmt w:val="bullet"/>
      <w:lvlText w:val=""/>
      <w:lvlJc w:val="left"/>
      <w:pPr>
        <w:ind w:left="6480" w:hanging="360"/>
      </w:pPr>
      <w:rPr>
        <w:rFonts w:ascii="Wingdings" w:hAnsi="Wingdings" w:hint="default"/>
      </w:rPr>
    </w:lvl>
  </w:abstractNum>
  <w:abstractNum w:abstractNumId="649" w15:restartNumberingAfterBreak="0">
    <w:nsid w:val="6E0F02FB"/>
    <w:multiLevelType w:val="hybridMultilevel"/>
    <w:tmpl w:val="6714E3B4"/>
    <w:lvl w:ilvl="0" w:tplc="1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0" w15:restartNumberingAfterBreak="0">
    <w:nsid w:val="6E3D7768"/>
    <w:multiLevelType w:val="hybridMultilevel"/>
    <w:tmpl w:val="3806B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1" w15:restartNumberingAfterBreak="0">
    <w:nsid w:val="6E4E734A"/>
    <w:multiLevelType w:val="hybridMultilevel"/>
    <w:tmpl w:val="C70CC2D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52" w15:restartNumberingAfterBreak="0">
    <w:nsid w:val="6EF03967"/>
    <w:multiLevelType w:val="hybridMultilevel"/>
    <w:tmpl w:val="8F7E77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3" w15:restartNumberingAfterBreak="0">
    <w:nsid w:val="6F58292D"/>
    <w:multiLevelType w:val="hybridMultilevel"/>
    <w:tmpl w:val="FFFFFFFF"/>
    <w:lvl w:ilvl="0" w:tplc="D78EED72">
      <w:start w:val="10"/>
      <w:numFmt w:val="decimal"/>
      <w:lvlText w:val="%1."/>
      <w:lvlJc w:val="left"/>
      <w:pPr>
        <w:ind w:left="720" w:hanging="360"/>
      </w:pPr>
    </w:lvl>
    <w:lvl w:ilvl="1" w:tplc="C2469B4A">
      <w:start w:val="1"/>
      <w:numFmt w:val="lowerLetter"/>
      <w:lvlText w:val="%2."/>
      <w:lvlJc w:val="left"/>
      <w:pPr>
        <w:ind w:left="1440" w:hanging="360"/>
      </w:pPr>
    </w:lvl>
    <w:lvl w:ilvl="2" w:tplc="F9E681EE">
      <w:start w:val="1"/>
      <w:numFmt w:val="lowerRoman"/>
      <w:lvlText w:val="%3."/>
      <w:lvlJc w:val="right"/>
      <w:pPr>
        <w:ind w:left="2160" w:hanging="180"/>
      </w:pPr>
    </w:lvl>
    <w:lvl w:ilvl="3" w:tplc="162A8792">
      <w:start w:val="1"/>
      <w:numFmt w:val="decimal"/>
      <w:lvlText w:val="%4."/>
      <w:lvlJc w:val="left"/>
      <w:pPr>
        <w:ind w:left="2880" w:hanging="360"/>
      </w:pPr>
    </w:lvl>
    <w:lvl w:ilvl="4" w:tplc="8EB42746">
      <w:start w:val="1"/>
      <w:numFmt w:val="lowerLetter"/>
      <w:lvlText w:val="%5."/>
      <w:lvlJc w:val="left"/>
      <w:pPr>
        <w:ind w:left="3600" w:hanging="360"/>
      </w:pPr>
    </w:lvl>
    <w:lvl w:ilvl="5" w:tplc="F0580B6C">
      <w:start w:val="1"/>
      <w:numFmt w:val="lowerRoman"/>
      <w:lvlText w:val="%6."/>
      <w:lvlJc w:val="right"/>
      <w:pPr>
        <w:ind w:left="4320" w:hanging="180"/>
      </w:pPr>
    </w:lvl>
    <w:lvl w:ilvl="6" w:tplc="9A506642">
      <w:start w:val="1"/>
      <w:numFmt w:val="decimal"/>
      <w:lvlText w:val="%7."/>
      <w:lvlJc w:val="left"/>
      <w:pPr>
        <w:ind w:left="5040" w:hanging="360"/>
      </w:pPr>
    </w:lvl>
    <w:lvl w:ilvl="7" w:tplc="6160F8F2">
      <w:start w:val="1"/>
      <w:numFmt w:val="lowerLetter"/>
      <w:lvlText w:val="%8."/>
      <w:lvlJc w:val="left"/>
      <w:pPr>
        <w:ind w:left="5760" w:hanging="360"/>
      </w:pPr>
    </w:lvl>
    <w:lvl w:ilvl="8" w:tplc="0ECCE7DA">
      <w:start w:val="1"/>
      <w:numFmt w:val="lowerRoman"/>
      <w:lvlText w:val="%9."/>
      <w:lvlJc w:val="right"/>
      <w:pPr>
        <w:ind w:left="6480" w:hanging="180"/>
      </w:pPr>
    </w:lvl>
  </w:abstractNum>
  <w:abstractNum w:abstractNumId="654" w15:restartNumberingAfterBreak="0">
    <w:nsid w:val="6F9C0D1B"/>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5" w15:restartNumberingAfterBreak="0">
    <w:nsid w:val="6FC9332E"/>
    <w:multiLevelType w:val="multilevel"/>
    <w:tmpl w:val="37C61E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6" w15:restartNumberingAfterBreak="0">
    <w:nsid w:val="700D6F1F"/>
    <w:multiLevelType w:val="hybridMultilevel"/>
    <w:tmpl w:val="795664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7" w15:restartNumberingAfterBreak="0">
    <w:nsid w:val="701F0FBE"/>
    <w:multiLevelType w:val="hybridMultilevel"/>
    <w:tmpl w:val="FFFFFFFF"/>
    <w:lvl w:ilvl="0" w:tplc="C59A48B0">
      <w:start w:val="8"/>
      <w:numFmt w:val="decimal"/>
      <w:lvlText w:val="%1."/>
      <w:lvlJc w:val="left"/>
      <w:pPr>
        <w:ind w:left="720" w:hanging="360"/>
      </w:pPr>
    </w:lvl>
    <w:lvl w:ilvl="1" w:tplc="DCC87EB6">
      <w:start w:val="1"/>
      <w:numFmt w:val="lowerLetter"/>
      <w:lvlText w:val="%2."/>
      <w:lvlJc w:val="left"/>
      <w:pPr>
        <w:ind w:left="1440" w:hanging="360"/>
      </w:pPr>
    </w:lvl>
    <w:lvl w:ilvl="2" w:tplc="9E1AC784">
      <w:start w:val="1"/>
      <w:numFmt w:val="lowerRoman"/>
      <w:lvlText w:val="%3."/>
      <w:lvlJc w:val="right"/>
      <w:pPr>
        <w:ind w:left="2160" w:hanging="180"/>
      </w:pPr>
    </w:lvl>
    <w:lvl w:ilvl="3" w:tplc="8ADEE8F2">
      <w:start w:val="1"/>
      <w:numFmt w:val="decimal"/>
      <w:lvlText w:val="%4."/>
      <w:lvlJc w:val="left"/>
      <w:pPr>
        <w:ind w:left="2880" w:hanging="360"/>
      </w:pPr>
    </w:lvl>
    <w:lvl w:ilvl="4" w:tplc="177EA73E">
      <w:start w:val="1"/>
      <w:numFmt w:val="lowerLetter"/>
      <w:lvlText w:val="%5."/>
      <w:lvlJc w:val="left"/>
      <w:pPr>
        <w:ind w:left="3600" w:hanging="360"/>
      </w:pPr>
    </w:lvl>
    <w:lvl w:ilvl="5" w:tplc="7DBCFEBA">
      <w:start w:val="1"/>
      <w:numFmt w:val="lowerRoman"/>
      <w:lvlText w:val="%6."/>
      <w:lvlJc w:val="right"/>
      <w:pPr>
        <w:ind w:left="4320" w:hanging="180"/>
      </w:pPr>
    </w:lvl>
    <w:lvl w:ilvl="6" w:tplc="B1C6730E">
      <w:start w:val="1"/>
      <w:numFmt w:val="decimal"/>
      <w:lvlText w:val="%7."/>
      <w:lvlJc w:val="left"/>
      <w:pPr>
        <w:ind w:left="5040" w:hanging="360"/>
      </w:pPr>
    </w:lvl>
    <w:lvl w:ilvl="7" w:tplc="3D9ABE9A">
      <w:start w:val="1"/>
      <w:numFmt w:val="lowerLetter"/>
      <w:lvlText w:val="%8."/>
      <w:lvlJc w:val="left"/>
      <w:pPr>
        <w:ind w:left="5760" w:hanging="360"/>
      </w:pPr>
    </w:lvl>
    <w:lvl w:ilvl="8" w:tplc="BAD05C06">
      <w:start w:val="1"/>
      <w:numFmt w:val="lowerRoman"/>
      <w:lvlText w:val="%9."/>
      <w:lvlJc w:val="right"/>
      <w:pPr>
        <w:ind w:left="6480" w:hanging="180"/>
      </w:pPr>
    </w:lvl>
  </w:abstractNum>
  <w:abstractNum w:abstractNumId="658" w15:restartNumberingAfterBreak="0">
    <w:nsid w:val="70216735"/>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9" w15:restartNumberingAfterBreak="0">
    <w:nsid w:val="70D3BD8D"/>
    <w:multiLevelType w:val="hybridMultilevel"/>
    <w:tmpl w:val="FFFFFFFF"/>
    <w:lvl w:ilvl="0" w:tplc="1E063A50">
      <w:start w:val="1"/>
      <w:numFmt w:val="bullet"/>
      <w:lvlText w:val="o"/>
      <w:lvlJc w:val="left"/>
      <w:pPr>
        <w:ind w:left="720" w:hanging="360"/>
      </w:pPr>
      <w:rPr>
        <w:rFonts w:ascii="&quot;Courier New&quot;" w:hAnsi="&quot;Courier New&quot;" w:hint="default"/>
      </w:rPr>
    </w:lvl>
    <w:lvl w:ilvl="1" w:tplc="98625956">
      <w:start w:val="1"/>
      <w:numFmt w:val="bullet"/>
      <w:lvlText w:val="o"/>
      <w:lvlJc w:val="left"/>
      <w:pPr>
        <w:ind w:left="1440" w:hanging="360"/>
      </w:pPr>
      <w:rPr>
        <w:rFonts w:ascii="Courier New" w:hAnsi="Courier New" w:hint="default"/>
      </w:rPr>
    </w:lvl>
    <w:lvl w:ilvl="2" w:tplc="B8B20AC8">
      <w:start w:val="1"/>
      <w:numFmt w:val="bullet"/>
      <w:lvlText w:val=""/>
      <w:lvlJc w:val="left"/>
      <w:pPr>
        <w:ind w:left="2160" w:hanging="360"/>
      </w:pPr>
      <w:rPr>
        <w:rFonts w:ascii="Wingdings" w:hAnsi="Wingdings" w:hint="default"/>
      </w:rPr>
    </w:lvl>
    <w:lvl w:ilvl="3" w:tplc="E51C29F4">
      <w:start w:val="1"/>
      <w:numFmt w:val="bullet"/>
      <w:lvlText w:val=""/>
      <w:lvlJc w:val="left"/>
      <w:pPr>
        <w:ind w:left="2880" w:hanging="360"/>
      </w:pPr>
      <w:rPr>
        <w:rFonts w:ascii="Symbol" w:hAnsi="Symbol" w:hint="default"/>
      </w:rPr>
    </w:lvl>
    <w:lvl w:ilvl="4" w:tplc="DCDEADCA">
      <w:start w:val="1"/>
      <w:numFmt w:val="bullet"/>
      <w:lvlText w:val="o"/>
      <w:lvlJc w:val="left"/>
      <w:pPr>
        <w:ind w:left="3600" w:hanging="360"/>
      </w:pPr>
      <w:rPr>
        <w:rFonts w:ascii="Courier New" w:hAnsi="Courier New" w:hint="default"/>
      </w:rPr>
    </w:lvl>
    <w:lvl w:ilvl="5" w:tplc="9DD6A638">
      <w:start w:val="1"/>
      <w:numFmt w:val="bullet"/>
      <w:lvlText w:val=""/>
      <w:lvlJc w:val="left"/>
      <w:pPr>
        <w:ind w:left="4320" w:hanging="360"/>
      </w:pPr>
      <w:rPr>
        <w:rFonts w:ascii="Wingdings" w:hAnsi="Wingdings" w:hint="default"/>
      </w:rPr>
    </w:lvl>
    <w:lvl w:ilvl="6" w:tplc="2786A708">
      <w:start w:val="1"/>
      <w:numFmt w:val="bullet"/>
      <w:lvlText w:val=""/>
      <w:lvlJc w:val="left"/>
      <w:pPr>
        <w:ind w:left="5040" w:hanging="360"/>
      </w:pPr>
      <w:rPr>
        <w:rFonts w:ascii="Symbol" w:hAnsi="Symbol" w:hint="default"/>
      </w:rPr>
    </w:lvl>
    <w:lvl w:ilvl="7" w:tplc="65FE41B8">
      <w:start w:val="1"/>
      <w:numFmt w:val="bullet"/>
      <w:lvlText w:val="o"/>
      <w:lvlJc w:val="left"/>
      <w:pPr>
        <w:ind w:left="5760" w:hanging="360"/>
      </w:pPr>
      <w:rPr>
        <w:rFonts w:ascii="Courier New" w:hAnsi="Courier New" w:hint="default"/>
      </w:rPr>
    </w:lvl>
    <w:lvl w:ilvl="8" w:tplc="80746A54">
      <w:start w:val="1"/>
      <w:numFmt w:val="bullet"/>
      <w:lvlText w:val=""/>
      <w:lvlJc w:val="left"/>
      <w:pPr>
        <w:ind w:left="6480" w:hanging="360"/>
      </w:pPr>
      <w:rPr>
        <w:rFonts w:ascii="Wingdings" w:hAnsi="Wingdings" w:hint="default"/>
      </w:rPr>
    </w:lvl>
  </w:abstractNum>
  <w:abstractNum w:abstractNumId="660" w15:restartNumberingAfterBreak="0">
    <w:nsid w:val="70DFAB9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1" w15:restartNumberingAfterBreak="0">
    <w:nsid w:val="70E83BC6"/>
    <w:multiLevelType w:val="hybridMultilevel"/>
    <w:tmpl w:val="B77CB0D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62" w15:restartNumberingAfterBreak="0">
    <w:nsid w:val="70EA1A3D"/>
    <w:multiLevelType w:val="hybridMultilevel"/>
    <w:tmpl w:val="AE3CCA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3" w15:restartNumberingAfterBreak="0">
    <w:nsid w:val="7105FF17"/>
    <w:multiLevelType w:val="hybridMultilevel"/>
    <w:tmpl w:val="FFFFFFFF"/>
    <w:lvl w:ilvl="0" w:tplc="CEEA69C6">
      <w:start w:val="1"/>
      <w:numFmt w:val="bullet"/>
      <w:lvlText w:val=""/>
      <w:lvlJc w:val="left"/>
      <w:pPr>
        <w:ind w:left="720" w:hanging="360"/>
      </w:pPr>
      <w:rPr>
        <w:rFonts w:ascii="Symbol" w:hAnsi="Symbol" w:hint="default"/>
      </w:rPr>
    </w:lvl>
    <w:lvl w:ilvl="1" w:tplc="660C72EA">
      <w:start w:val="1"/>
      <w:numFmt w:val="bullet"/>
      <w:lvlText w:val="-"/>
      <w:lvlJc w:val="left"/>
      <w:pPr>
        <w:ind w:left="1440" w:hanging="360"/>
      </w:pPr>
      <w:rPr>
        <w:rFonts w:ascii="Calibri" w:hAnsi="Calibri" w:hint="default"/>
      </w:rPr>
    </w:lvl>
    <w:lvl w:ilvl="2" w:tplc="D5025BAC">
      <w:start w:val="1"/>
      <w:numFmt w:val="bullet"/>
      <w:lvlText w:val=""/>
      <w:lvlJc w:val="left"/>
      <w:pPr>
        <w:ind w:left="2160" w:hanging="360"/>
      </w:pPr>
      <w:rPr>
        <w:rFonts w:ascii="Wingdings" w:hAnsi="Wingdings" w:hint="default"/>
      </w:rPr>
    </w:lvl>
    <w:lvl w:ilvl="3" w:tplc="72A4826A">
      <w:start w:val="1"/>
      <w:numFmt w:val="bullet"/>
      <w:lvlText w:val=""/>
      <w:lvlJc w:val="left"/>
      <w:pPr>
        <w:ind w:left="2880" w:hanging="360"/>
      </w:pPr>
      <w:rPr>
        <w:rFonts w:ascii="Symbol" w:hAnsi="Symbol" w:hint="default"/>
      </w:rPr>
    </w:lvl>
    <w:lvl w:ilvl="4" w:tplc="BB203824">
      <w:start w:val="1"/>
      <w:numFmt w:val="bullet"/>
      <w:lvlText w:val="o"/>
      <w:lvlJc w:val="left"/>
      <w:pPr>
        <w:ind w:left="3600" w:hanging="360"/>
      </w:pPr>
      <w:rPr>
        <w:rFonts w:ascii="Courier New" w:hAnsi="Courier New" w:hint="default"/>
      </w:rPr>
    </w:lvl>
    <w:lvl w:ilvl="5" w:tplc="1AC425EC">
      <w:start w:val="1"/>
      <w:numFmt w:val="bullet"/>
      <w:lvlText w:val=""/>
      <w:lvlJc w:val="left"/>
      <w:pPr>
        <w:ind w:left="4320" w:hanging="360"/>
      </w:pPr>
      <w:rPr>
        <w:rFonts w:ascii="Wingdings" w:hAnsi="Wingdings" w:hint="default"/>
      </w:rPr>
    </w:lvl>
    <w:lvl w:ilvl="6" w:tplc="4C3E4930">
      <w:start w:val="1"/>
      <w:numFmt w:val="bullet"/>
      <w:lvlText w:val=""/>
      <w:lvlJc w:val="left"/>
      <w:pPr>
        <w:ind w:left="5040" w:hanging="360"/>
      </w:pPr>
      <w:rPr>
        <w:rFonts w:ascii="Symbol" w:hAnsi="Symbol" w:hint="default"/>
      </w:rPr>
    </w:lvl>
    <w:lvl w:ilvl="7" w:tplc="0A523DF0">
      <w:start w:val="1"/>
      <w:numFmt w:val="bullet"/>
      <w:lvlText w:val="o"/>
      <w:lvlJc w:val="left"/>
      <w:pPr>
        <w:ind w:left="5760" w:hanging="360"/>
      </w:pPr>
      <w:rPr>
        <w:rFonts w:ascii="Courier New" w:hAnsi="Courier New" w:hint="default"/>
      </w:rPr>
    </w:lvl>
    <w:lvl w:ilvl="8" w:tplc="854A0FB4">
      <w:start w:val="1"/>
      <w:numFmt w:val="bullet"/>
      <w:lvlText w:val=""/>
      <w:lvlJc w:val="left"/>
      <w:pPr>
        <w:ind w:left="6480" w:hanging="360"/>
      </w:pPr>
      <w:rPr>
        <w:rFonts w:ascii="Wingdings" w:hAnsi="Wingdings" w:hint="default"/>
      </w:rPr>
    </w:lvl>
  </w:abstractNum>
  <w:abstractNum w:abstractNumId="664" w15:restartNumberingAfterBreak="0">
    <w:nsid w:val="71745158"/>
    <w:multiLevelType w:val="hybridMultilevel"/>
    <w:tmpl w:val="A19436BC"/>
    <w:lvl w:ilvl="0" w:tplc="FFFFFFF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5" w15:restartNumberingAfterBreak="0">
    <w:nsid w:val="71871271"/>
    <w:multiLevelType w:val="hybridMultilevel"/>
    <w:tmpl w:val="62364146"/>
    <w:lvl w:ilvl="0" w:tplc="561CD8F8">
      <w:start w:val="1"/>
      <w:numFmt w:val="bullet"/>
      <w:lvlText w:val="-"/>
      <w:lvlJc w:val="left"/>
      <w:pPr>
        <w:ind w:left="1069" w:hanging="360"/>
      </w:pPr>
      <w:rPr>
        <w:rFonts w:ascii="Calibri" w:hAnsi="Calibri"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Cambria Math" w:hAnsi="Cambria Math" w:hint="default"/>
      </w:rPr>
    </w:lvl>
    <w:lvl w:ilvl="3" w:tplc="FFFFFFFF" w:tentative="1">
      <w:start w:val="1"/>
      <w:numFmt w:val="bullet"/>
      <w:lvlText w:val=""/>
      <w:lvlJc w:val="left"/>
      <w:pPr>
        <w:ind w:left="3229" w:hanging="360"/>
      </w:pPr>
      <w:rPr>
        <w:rFonts w:ascii="Segoe UI" w:hAnsi="Segoe UI"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Cambria Math" w:hAnsi="Cambria Math" w:hint="default"/>
      </w:rPr>
    </w:lvl>
    <w:lvl w:ilvl="6" w:tplc="FFFFFFFF" w:tentative="1">
      <w:start w:val="1"/>
      <w:numFmt w:val="bullet"/>
      <w:lvlText w:val=""/>
      <w:lvlJc w:val="left"/>
      <w:pPr>
        <w:ind w:left="5389" w:hanging="360"/>
      </w:pPr>
      <w:rPr>
        <w:rFonts w:ascii="Segoe UI" w:hAnsi="Segoe UI"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Cambria Math" w:hAnsi="Cambria Math" w:hint="default"/>
      </w:rPr>
    </w:lvl>
  </w:abstractNum>
  <w:abstractNum w:abstractNumId="666" w15:restartNumberingAfterBreak="0">
    <w:nsid w:val="71EB1CC2"/>
    <w:multiLevelType w:val="hybridMultilevel"/>
    <w:tmpl w:val="3E84AF54"/>
    <w:lvl w:ilvl="0" w:tplc="1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67" w15:restartNumberingAfterBreak="0">
    <w:nsid w:val="72586C97"/>
    <w:multiLevelType w:val="multilevel"/>
    <w:tmpl w:val="566A9D42"/>
    <w:lvl w:ilvl="0">
      <w:start w:val="1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68" w15:restartNumberingAfterBreak="0">
    <w:nsid w:val="727FCEFD"/>
    <w:multiLevelType w:val="hybridMultilevel"/>
    <w:tmpl w:val="FFFFFFFF"/>
    <w:lvl w:ilvl="0" w:tplc="F02C7C3A">
      <w:start w:val="1"/>
      <w:numFmt w:val="bullet"/>
      <w:lvlText w:val=""/>
      <w:lvlJc w:val="left"/>
      <w:pPr>
        <w:ind w:left="720" w:hanging="360"/>
      </w:pPr>
      <w:rPr>
        <w:rFonts w:ascii="Segoe UI" w:hAnsi="Segoe UI" w:hint="default"/>
      </w:rPr>
    </w:lvl>
    <w:lvl w:ilvl="1" w:tplc="30D25C38">
      <w:start w:val="1"/>
      <w:numFmt w:val="bullet"/>
      <w:lvlText w:val="o"/>
      <w:lvlJc w:val="left"/>
      <w:pPr>
        <w:ind w:left="1440" w:hanging="360"/>
      </w:pPr>
      <w:rPr>
        <w:rFonts w:ascii="Courier New" w:hAnsi="Courier New" w:hint="default"/>
      </w:rPr>
    </w:lvl>
    <w:lvl w:ilvl="2" w:tplc="249613D4">
      <w:start w:val="1"/>
      <w:numFmt w:val="bullet"/>
      <w:lvlText w:val=""/>
      <w:lvlJc w:val="left"/>
      <w:pPr>
        <w:ind w:left="2160" w:hanging="360"/>
      </w:pPr>
      <w:rPr>
        <w:rFonts w:ascii="Cambria Math" w:hAnsi="Cambria Math" w:hint="default"/>
      </w:rPr>
    </w:lvl>
    <w:lvl w:ilvl="3" w:tplc="171616C4">
      <w:start w:val="1"/>
      <w:numFmt w:val="bullet"/>
      <w:lvlText w:val=""/>
      <w:lvlJc w:val="left"/>
      <w:pPr>
        <w:ind w:left="2880" w:hanging="360"/>
      </w:pPr>
      <w:rPr>
        <w:rFonts w:ascii="Segoe UI" w:hAnsi="Segoe UI" w:hint="default"/>
      </w:rPr>
    </w:lvl>
    <w:lvl w:ilvl="4" w:tplc="BED0D7CA">
      <w:start w:val="1"/>
      <w:numFmt w:val="bullet"/>
      <w:lvlText w:val="o"/>
      <w:lvlJc w:val="left"/>
      <w:pPr>
        <w:ind w:left="3600" w:hanging="360"/>
      </w:pPr>
      <w:rPr>
        <w:rFonts w:ascii="Courier New" w:hAnsi="Courier New" w:hint="default"/>
      </w:rPr>
    </w:lvl>
    <w:lvl w:ilvl="5" w:tplc="F81ABE2C">
      <w:start w:val="1"/>
      <w:numFmt w:val="bullet"/>
      <w:lvlText w:val=""/>
      <w:lvlJc w:val="left"/>
      <w:pPr>
        <w:ind w:left="4320" w:hanging="360"/>
      </w:pPr>
      <w:rPr>
        <w:rFonts w:ascii="Cambria Math" w:hAnsi="Cambria Math" w:hint="default"/>
      </w:rPr>
    </w:lvl>
    <w:lvl w:ilvl="6" w:tplc="2EDAE4CE">
      <w:start w:val="1"/>
      <w:numFmt w:val="bullet"/>
      <w:lvlText w:val=""/>
      <w:lvlJc w:val="left"/>
      <w:pPr>
        <w:ind w:left="5040" w:hanging="360"/>
      </w:pPr>
      <w:rPr>
        <w:rFonts w:ascii="Segoe UI" w:hAnsi="Segoe UI" w:hint="default"/>
      </w:rPr>
    </w:lvl>
    <w:lvl w:ilvl="7" w:tplc="49440FF6">
      <w:start w:val="1"/>
      <w:numFmt w:val="bullet"/>
      <w:lvlText w:val="o"/>
      <w:lvlJc w:val="left"/>
      <w:pPr>
        <w:ind w:left="5760" w:hanging="360"/>
      </w:pPr>
      <w:rPr>
        <w:rFonts w:ascii="Courier New" w:hAnsi="Courier New" w:hint="default"/>
      </w:rPr>
    </w:lvl>
    <w:lvl w:ilvl="8" w:tplc="D54A08C4">
      <w:start w:val="1"/>
      <w:numFmt w:val="bullet"/>
      <w:lvlText w:val=""/>
      <w:lvlJc w:val="left"/>
      <w:pPr>
        <w:ind w:left="6480" w:hanging="360"/>
      </w:pPr>
      <w:rPr>
        <w:rFonts w:ascii="Cambria Math" w:hAnsi="Cambria Math" w:hint="default"/>
      </w:rPr>
    </w:lvl>
  </w:abstractNum>
  <w:abstractNum w:abstractNumId="669" w15:restartNumberingAfterBreak="0">
    <w:nsid w:val="7286459C"/>
    <w:multiLevelType w:val="multilevel"/>
    <w:tmpl w:val="6A1AEF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0" w15:restartNumberingAfterBreak="0">
    <w:nsid w:val="72951372"/>
    <w:multiLevelType w:val="hybridMultilevel"/>
    <w:tmpl w:val="396C761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1" w15:restartNumberingAfterBreak="0">
    <w:nsid w:val="737D4DD3"/>
    <w:multiLevelType w:val="hybridMultilevel"/>
    <w:tmpl w:val="BBF2DAE8"/>
    <w:lvl w:ilvl="0" w:tplc="18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2" w15:restartNumberingAfterBreak="0">
    <w:nsid w:val="73803551"/>
    <w:multiLevelType w:val="hybridMultilevel"/>
    <w:tmpl w:val="FFFFFFFF"/>
    <w:lvl w:ilvl="0" w:tplc="F1586C76">
      <w:start w:val="1"/>
      <w:numFmt w:val="bullet"/>
      <w:lvlText w:val="·"/>
      <w:lvlJc w:val="left"/>
      <w:pPr>
        <w:ind w:left="720" w:hanging="360"/>
      </w:pPr>
      <w:rPr>
        <w:rFonts w:ascii="Symbol" w:hAnsi="Symbol" w:hint="default"/>
      </w:rPr>
    </w:lvl>
    <w:lvl w:ilvl="1" w:tplc="831C4390">
      <w:start w:val="1"/>
      <w:numFmt w:val="bullet"/>
      <w:lvlText w:val="o"/>
      <w:lvlJc w:val="left"/>
      <w:pPr>
        <w:ind w:left="1440" w:hanging="360"/>
      </w:pPr>
      <w:rPr>
        <w:rFonts w:ascii="Courier New" w:hAnsi="Courier New" w:hint="default"/>
      </w:rPr>
    </w:lvl>
    <w:lvl w:ilvl="2" w:tplc="513E2626">
      <w:start w:val="1"/>
      <w:numFmt w:val="bullet"/>
      <w:lvlText w:val=""/>
      <w:lvlJc w:val="left"/>
      <w:pPr>
        <w:ind w:left="2160" w:hanging="360"/>
      </w:pPr>
      <w:rPr>
        <w:rFonts w:ascii="Wingdings" w:hAnsi="Wingdings" w:hint="default"/>
      </w:rPr>
    </w:lvl>
    <w:lvl w:ilvl="3" w:tplc="064E1C5A">
      <w:start w:val="1"/>
      <w:numFmt w:val="bullet"/>
      <w:lvlText w:val=""/>
      <w:lvlJc w:val="left"/>
      <w:pPr>
        <w:ind w:left="2880" w:hanging="360"/>
      </w:pPr>
      <w:rPr>
        <w:rFonts w:ascii="Symbol" w:hAnsi="Symbol" w:hint="default"/>
      </w:rPr>
    </w:lvl>
    <w:lvl w:ilvl="4" w:tplc="EF703F82">
      <w:start w:val="1"/>
      <w:numFmt w:val="bullet"/>
      <w:lvlText w:val="o"/>
      <w:lvlJc w:val="left"/>
      <w:pPr>
        <w:ind w:left="3600" w:hanging="360"/>
      </w:pPr>
      <w:rPr>
        <w:rFonts w:ascii="Courier New" w:hAnsi="Courier New" w:hint="default"/>
      </w:rPr>
    </w:lvl>
    <w:lvl w:ilvl="5" w:tplc="C3763C70">
      <w:start w:val="1"/>
      <w:numFmt w:val="bullet"/>
      <w:lvlText w:val=""/>
      <w:lvlJc w:val="left"/>
      <w:pPr>
        <w:ind w:left="4320" w:hanging="360"/>
      </w:pPr>
      <w:rPr>
        <w:rFonts w:ascii="Wingdings" w:hAnsi="Wingdings" w:hint="default"/>
      </w:rPr>
    </w:lvl>
    <w:lvl w:ilvl="6" w:tplc="E146BA90">
      <w:start w:val="1"/>
      <w:numFmt w:val="bullet"/>
      <w:lvlText w:val=""/>
      <w:lvlJc w:val="left"/>
      <w:pPr>
        <w:ind w:left="5040" w:hanging="360"/>
      </w:pPr>
      <w:rPr>
        <w:rFonts w:ascii="Symbol" w:hAnsi="Symbol" w:hint="default"/>
      </w:rPr>
    </w:lvl>
    <w:lvl w:ilvl="7" w:tplc="987AE4D6">
      <w:start w:val="1"/>
      <w:numFmt w:val="bullet"/>
      <w:lvlText w:val="o"/>
      <w:lvlJc w:val="left"/>
      <w:pPr>
        <w:ind w:left="5760" w:hanging="360"/>
      </w:pPr>
      <w:rPr>
        <w:rFonts w:ascii="Courier New" w:hAnsi="Courier New" w:hint="default"/>
      </w:rPr>
    </w:lvl>
    <w:lvl w:ilvl="8" w:tplc="71821848">
      <w:start w:val="1"/>
      <w:numFmt w:val="bullet"/>
      <w:lvlText w:val=""/>
      <w:lvlJc w:val="left"/>
      <w:pPr>
        <w:ind w:left="6480" w:hanging="360"/>
      </w:pPr>
      <w:rPr>
        <w:rFonts w:ascii="Wingdings" w:hAnsi="Wingdings" w:hint="default"/>
      </w:rPr>
    </w:lvl>
  </w:abstractNum>
  <w:abstractNum w:abstractNumId="673" w15:restartNumberingAfterBreak="0">
    <w:nsid w:val="739B483A"/>
    <w:multiLevelType w:val="hybridMultilevel"/>
    <w:tmpl w:val="1FF204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4" w15:restartNumberingAfterBreak="0">
    <w:nsid w:val="73D5F0CC"/>
    <w:multiLevelType w:val="hybridMultilevel"/>
    <w:tmpl w:val="FFFFFFFF"/>
    <w:lvl w:ilvl="0" w:tplc="00AAC428">
      <w:start w:val="1"/>
      <w:numFmt w:val="bullet"/>
      <w:lvlText w:val="·"/>
      <w:lvlJc w:val="left"/>
      <w:pPr>
        <w:ind w:left="720" w:hanging="360"/>
      </w:pPr>
      <w:rPr>
        <w:rFonts w:ascii="Symbol" w:hAnsi="Symbol" w:hint="default"/>
      </w:rPr>
    </w:lvl>
    <w:lvl w:ilvl="1" w:tplc="DF6CAFA8">
      <w:start w:val="1"/>
      <w:numFmt w:val="bullet"/>
      <w:lvlText w:val="o"/>
      <w:lvlJc w:val="left"/>
      <w:pPr>
        <w:ind w:left="1440" w:hanging="360"/>
      </w:pPr>
      <w:rPr>
        <w:rFonts w:ascii="Courier New" w:hAnsi="Courier New" w:hint="default"/>
      </w:rPr>
    </w:lvl>
    <w:lvl w:ilvl="2" w:tplc="6D7CBF90">
      <w:start w:val="1"/>
      <w:numFmt w:val="bullet"/>
      <w:lvlText w:val=""/>
      <w:lvlJc w:val="left"/>
      <w:pPr>
        <w:ind w:left="2160" w:hanging="360"/>
      </w:pPr>
      <w:rPr>
        <w:rFonts w:ascii="Wingdings" w:hAnsi="Wingdings" w:hint="default"/>
      </w:rPr>
    </w:lvl>
    <w:lvl w:ilvl="3" w:tplc="A27A90AC">
      <w:start w:val="1"/>
      <w:numFmt w:val="bullet"/>
      <w:lvlText w:val=""/>
      <w:lvlJc w:val="left"/>
      <w:pPr>
        <w:ind w:left="2880" w:hanging="360"/>
      </w:pPr>
      <w:rPr>
        <w:rFonts w:ascii="Symbol" w:hAnsi="Symbol" w:hint="default"/>
      </w:rPr>
    </w:lvl>
    <w:lvl w:ilvl="4" w:tplc="88B2BB7C">
      <w:start w:val="1"/>
      <w:numFmt w:val="bullet"/>
      <w:lvlText w:val="o"/>
      <w:lvlJc w:val="left"/>
      <w:pPr>
        <w:ind w:left="3600" w:hanging="360"/>
      </w:pPr>
      <w:rPr>
        <w:rFonts w:ascii="Courier New" w:hAnsi="Courier New" w:hint="default"/>
      </w:rPr>
    </w:lvl>
    <w:lvl w:ilvl="5" w:tplc="F5266F2A">
      <w:start w:val="1"/>
      <w:numFmt w:val="bullet"/>
      <w:lvlText w:val=""/>
      <w:lvlJc w:val="left"/>
      <w:pPr>
        <w:ind w:left="4320" w:hanging="360"/>
      </w:pPr>
      <w:rPr>
        <w:rFonts w:ascii="Wingdings" w:hAnsi="Wingdings" w:hint="default"/>
      </w:rPr>
    </w:lvl>
    <w:lvl w:ilvl="6" w:tplc="2ABE094C">
      <w:start w:val="1"/>
      <w:numFmt w:val="bullet"/>
      <w:lvlText w:val=""/>
      <w:lvlJc w:val="left"/>
      <w:pPr>
        <w:ind w:left="5040" w:hanging="360"/>
      </w:pPr>
      <w:rPr>
        <w:rFonts w:ascii="Symbol" w:hAnsi="Symbol" w:hint="default"/>
      </w:rPr>
    </w:lvl>
    <w:lvl w:ilvl="7" w:tplc="1764C5AE">
      <w:start w:val="1"/>
      <w:numFmt w:val="bullet"/>
      <w:lvlText w:val="o"/>
      <w:lvlJc w:val="left"/>
      <w:pPr>
        <w:ind w:left="5760" w:hanging="360"/>
      </w:pPr>
      <w:rPr>
        <w:rFonts w:ascii="Courier New" w:hAnsi="Courier New" w:hint="default"/>
      </w:rPr>
    </w:lvl>
    <w:lvl w:ilvl="8" w:tplc="2722CD54">
      <w:start w:val="1"/>
      <w:numFmt w:val="bullet"/>
      <w:lvlText w:val=""/>
      <w:lvlJc w:val="left"/>
      <w:pPr>
        <w:ind w:left="6480" w:hanging="360"/>
      </w:pPr>
      <w:rPr>
        <w:rFonts w:ascii="Wingdings" w:hAnsi="Wingdings" w:hint="default"/>
      </w:rPr>
    </w:lvl>
  </w:abstractNum>
  <w:abstractNum w:abstractNumId="675" w15:restartNumberingAfterBreak="0">
    <w:nsid w:val="73E84D6F"/>
    <w:multiLevelType w:val="multilevel"/>
    <w:tmpl w:val="C340F7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6" w15:restartNumberingAfterBreak="0">
    <w:nsid w:val="74203113"/>
    <w:multiLevelType w:val="hybridMultilevel"/>
    <w:tmpl w:val="2C982D38"/>
    <w:lvl w:ilvl="0" w:tplc="1809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6D606202">
      <w:numFmt w:val="bullet"/>
      <w:lvlText w:val="•"/>
      <w:lvlJc w:val="left"/>
      <w:pPr>
        <w:ind w:left="2340" w:hanging="720"/>
      </w:pPr>
      <w:rPr>
        <w:rFonts w:ascii="Times New Roman" w:eastAsia="Symbol" w:hAnsi="Times New Roman"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7" w15:restartNumberingAfterBreak="0">
    <w:nsid w:val="742E6556"/>
    <w:multiLevelType w:val="hybridMultilevel"/>
    <w:tmpl w:val="B6ECF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8" w15:restartNumberingAfterBreak="0">
    <w:nsid w:val="74CFAB80"/>
    <w:multiLevelType w:val="hybridMultilevel"/>
    <w:tmpl w:val="FFFFFFFF"/>
    <w:lvl w:ilvl="0" w:tplc="7E0ABB5C">
      <w:start w:val="1"/>
      <w:numFmt w:val="bullet"/>
      <w:lvlText w:val=""/>
      <w:lvlJc w:val="left"/>
      <w:pPr>
        <w:ind w:left="720" w:hanging="360"/>
      </w:pPr>
      <w:rPr>
        <w:rFonts w:ascii="Symbol" w:hAnsi="Symbol" w:hint="default"/>
      </w:rPr>
    </w:lvl>
    <w:lvl w:ilvl="1" w:tplc="4AF62788">
      <w:start w:val="1"/>
      <w:numFmt w:val="bullet"/>
      <w:lvlText w:val="-"/>
      <w:lvlJc w:val="left"/>
      <w:pPr>
        <w:ind w:left="1440" w:hanging="360"/>
      </w:pPr>
      <w:rPr>
        <w:rFonts w:ascii="Calibri" w:hAnsi="Calibri" w:hint="default"/>
      </w:rPr>
    </w:lvl>
    <w:lvl w:ilvl="2" w:tplc="D674BEA8">
      <w:start w:val="1"/>
      <w:numFmt w:val="bullet"/>
      <w:lvlText w:val=""/>
      <w:lvlJc w:val="left"/>
      <w:pPr>
        <w:ind w:left="2160" w:hanging="360"/>
      </w:pPr>
      <w:rPr>
        <w:rFonts w:ascii="Wingdings" w:hAnsi="Wingdings" w:hint="default"/>
      </w:rPr>
    </w:lvl>
    <w:lvl w:ilvl="3" w:tplc="CCB2774E">
      <w:start w:val="1"/>
      <w:numFmt w:val="bullet"/>
      <w:lvlText w:val=""/>
      <w:lvlJc w:val="left"/>
      <w:pPr>
        <w:ind w:left="2880" w:hanging="360"/>
      </w:pPr>
      <w:rPr>
        <w:rFonts w:ascii="Symbol" w:hAnsi="Symbol" w:hint="default"/>
      </w:rPr>
    </w:lvl>
    <w:lvl w:ilvl="4" w:tplc="601C6A82">
      <w:start w:val="1"/>
      <w:numFmt w:val="bullet"/>
      <w:lvlText w:val="o"/>
      <w:lvlJc w:val="left"/>
      <w:pPr>
        <w:ind w:left="3600" w:hanging="360"/>
      </w:pPr>
      <w:rPr>
        <w:rFonts w:ascii="Courier New" w:hAnsi="Courier New" w:hint="default"/>
      </w:rPr>
    </w:lvl>
    <w:lvl w:ilvl="5" w:tplc="65D4D590">
      <w:start w:val="1"/>
      <w:numFmt w:val="bullet"/>
      <w:lvlText w:val=""/>
      <w:lvlJc w:val="left"/>
      <w:pPr>
        <w:ind w:left="4320" w:hanging="360"/>
      </w:pPr>
      <w:rPr>
        <w:rFonts w:ascii="Wingdings" w:hAnsi="Wingdings" w:hint="default"/>
      </w:rPr>
    </w:lvl>
    <w:lvl w:ilvl="6" w:tplc="92BA6D0C">
      <w:start w:val="1"/>
      <w:numFmt w:val="bullet"/>
      <w:lvlText w:val=""/>
      <w:lvlJc w:val="left"/>
      <w:pPr>
        <w:ind w:left="5040" w:hanging="360"/>
      </w:pPr>
      <w:rPr>
        <w:rFonts w:ascii="Symbol" w:hAnsi="Symbol" w:hint="default"/>
      </w:rPr>
    </w:lvl>
    <w:lvl w:ilvl="7" w:tplc="C674DD8C">
      <w:start w:val="1"/>
      <w:numFmt w:val="bullet"/>
      <w:lvlText w:val="o"/>
      <w:lvlJc w:val="left"/>
      <w:pPr>
        <w:ind w:left="5760" w:hanging="360"/>
      </w:pPr>
      <w:rPr>
        <w:rFonts w:ascii="Courier New" w:hAnsi="Courier New" w:hint="default"/>
      </w:rPr>
    </w:lvl>
    <w:lvl w:ilvl="8" w:tplc="BCD275FC">
      <w:start w:val="1"/>
      <w:numFmt w:val="bullet"/>
      <w:lvlText w:val=""/>
      <w:lvlJc w:val="left"/>
      <w:pPr>
        <w:ind w:left="6480" w:hanging="360"/>
      </w:pPr>
      <w:rPr>
        <w:rFonts w:ascii="Wingdings" w:hAnsi="Wingdings" w:hint="default"/>
      </w:rPr>
    </w:lvl>
  </w:abstractNum>
  <w:abstractNum w:abstractNumId="679" w15:restartNumberingAfterBreak="0">
    <w:nsid w:val="74D08EB9"/>
    <w:multiLevelType w:val="hybridMultilevel"/>
    <w:tmpl w:val="FFFFFFFF"/>
    <w:lvl w:ilvl="0" w:tplc="E9669072">
      <w:start w:val="10"/>
      <w:numFmt w:val="decimal"/>
      <w:lvlText w:val="%1."/>
      <w:lvlJc w:val="left"/>
      <w:pPr>
        <w:ind w:left="720" w:hanging="360"/>
      </w:pPr>
    </w:lvl>
    <w:lvl w:ilvl="1" w:tplc="E6C47B78">
      <w:start w:val="1"/>
      <w:numFmt w:val="lowerLetter"/>
      <w:lvlText w:val="%2."/>
      <w:lvlJc w:val="left"/>
      <w:pPr>
        <w:ind w:left="1440" w:hanging="360"/>
      </w:pPr>
    </w:lvl>
    <w:lvl w:ilvl="2" w:tplc="0E2A9FA2">
      <w:start w:val="1"/>
      <w:numFmt w:val="lowerRoman"/>
      <w:lvlText w:val="%3."/>
      <w:lvlJc w:val="right"/>
      <w:pPr>
        <w:ind w:left="2160" w:hanging="180"/>
      </w:pPr>
    </w:lvl>
    <w:lvl w:ilvl="3" w:tplc="70969F18">
      <w:start w:val="1"/>
      <w:numFmt w:val="decimal"/>
      <w:lvlText w:val="%4."/>
      <w:lvlJc w:val="left"/>
      <w:pPr>
        <w:ind w:left="2880" w:hanging="360"/>
      </w:pPr>
    </w:lvl>
    <w:lvl w:ilvl="4" w:tplc="E8F6D386">
      <w:start w:val="1"/>
      <w:numFmt w:val="lowerLetter"/>
      <w:lvlText w:val="%5."/>
      <w:lvlJc w:val="left"/>
      <w:pPr>
        <w:ind w:left="3600" w:hanging="360"/>
      </w:pPr>
    </w:lvl>
    <w:lvl w:ilvl="5" w:tplc="4ACCECA2">
      <w:start w:val="1"/>
      <w:numFmt w:val="lowerRoman"/>
      <w:lvlText w:val="%6."/>
      <w:lvlJc w:val="right"/>
      <w:pPr>
        <w:ind w:left="4320" w:hanging="180"/>
      </w:pPr>
    </w:lvl>
    <w:lvl w:ilvl="6" w:tplc="B5D67D2A">
      <w:start w:val="1"/>
      <w:numFmt w:val="decimal"/>
      <w:lvlText w:val="%7."/>
      <w:lvlJc w:val="left"/>
      <w:pPr>
        <w:ind w:left="5040" w:hanging="360"/>
      </w:pPr>
    </w:lvl>
    <w:lvl w:ilvl="7" w:tplc="47481278">
      <w:start w:val="1"/>
      <w:numFmt w:val="lowerLetter"/>
      <w:lvlText w:val="%8."/>
      <w:lvlJc w:val="left"/>
      <w:pPr>
        <w:ind w:left="5760" w:hanging="360"/>
      </w:pPr>
    </w:lvl>
    <w:lvl w:ilvl="8" w:tplc="DA323166">
      <w:start w:val="1"/>
      <w:numFmt w:val="lowerRoman"/>
      <w:lvlText w:val="%9."/>
      <w:lvlJc w:val="right"/>
      <w:pPr>
        <w:ind w:left="6480" w:hanging="180"/>
      </w:pPr>
    </w:lvl>
  </w:abstractNum>
  <w:abstractNum w:abstractNumId="680" w15:restartNumberingAfterBreak="0">
    <w:nsid w:val="74F64C9D"/>
    <w:multiLevelType w:val="hybridMultilevel"/>
    <w:tmpl w:val="B7C6D54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1" w15:restartNumberingAfterBreak="0">
    <w:nsid w:val="750A7F51"/>
    <w:multiLevelType w:val="hybridMultilevel"/>
    <w:tmpl w:val="70F03E56"/>
    <w:lvl w:ilvl="0" w:tplc="B38CA8B0">
      <w:start w:val="1"/>
      <w:numFmt w:val="decimal"/>
      <w:lvlText w:val="%1."/>
      <w:lvlJc w:val="left"/>
      <w:pPr>
        <w:ind w:left="720" w:hanging="360"/>
      </w:pPr>
    </w:lvl>
    <w:lvl w:ilvl="1" w:tplc="09AE9C1E">
      <w:start w:val="1"/>
      <w:numFmt w:val="lowerLetter"/>
      <w:lvlText w:val="%2."/>
      <w:lvlJc w:val="left"/>
      <w:pPr>
        <w:ind w:left="1440" w:hanging="360"/>
      </w:pPr>
    </w:lvl>
    <w:lvl w:ilvl="2" w:tplc="B0B0DB4C">
      <w:start w:val="1"/>
      <w:numFmt w:val="lowerRoman"/>
      <w:lvlText w:val="%3."/>
      <w:lvlJc w:val="right"/>
      <w:pPr>
        <w:ind w:left="2160" w:hanging="180"/>
      </w:pPr>
    </w:lvl>
    <w:lvl w:ilvl="3" w:tplc="B23A0C7C">
      <w:start w:val="1"/>
      <w:numFmt w:val="decimal"/>
      <w:lvlText w:val="%4."/>
      <w:lvlJc w:val="left"/>
      <w:pPr>
        <w:ind w:left="2880" w:hanging="360"/>
      </w:pPr>
    </w:lvl>
    <w:lvl w:ilvl="4" w:tplc="69DC798A">
      <w:start w:val="1"/>
      <w:numFmt w:val="lowerLetter"/>
      <w:lvlText w:val="%5."/>
      <w:lvlJc w:val="left"/>
      <w:pPr>
        <w:ind w:left="3600" w:hanging="360"/>
      </w:pPr>
    </w:lvl>
    <w:lvl w:ilvl="5" w:tplc="07105AB2">
      <w:start w:val="1"/>
      <w:numFmt w:val="lowerRoman"/>
      <w:lvlText w:val="%6."/>
      <w:lvlJc w:val="right"/>
      <w:pPr>
        <w:ind w:left="4320" w:hanging="180"/>
      </w:pPr>
    </w:lvl>
    <w:lvl w:ilvl="6" w:tplc="C56EBF6C">
      <w:start w:val="1"/>
      <w:numFmt w:val="decimal"/>
      <w:lvlText w:val="%7."/>
      <w:lvlJc w:val="left"/>
      <w:pPr>
        <w:ind w:left="5040" w:hanging="360"/>
      </w:pPr>
    </w:lvl>
    <w:lvl w:ilvl="7" w:tplc="259417C0">
      <w:start w:val="1"/>
      <w:numFmt w:val="lowerLetter"/>
      <w:lvlText w:val="%8."/>
      <w:lvlJc w:val="left"/>
      <w:pPr>
        <w:ind w:left="5760" w:hanging="360"/>
      </w:pPr>
    </w:lvl>
    <w:lvl w:ilvl="8" w:tplc="8ECA402C">
      <w:start w:val="1"/>
      <w:numFmt w:val="lowerRoman"/>
      <w:lvlText w:val="%9."/>
      <w:lvlJc w:val="right"/>
      <w:pPr>
        <w:ind w:left="6480" w:hanging="180"/>
      </w:pPr>
    </w:lvl>
  </w:abstractNum>
  <w:abstractNum w:abstractNumId="682" w15:restartNumberingAfterBreak="0">
    <w:nsid w:val="751D23BE"/>
    <w:multiLevelType w:val="hybridMultilevel"/>
    <w:tmpl w:val="D83C1824"/>
    <w:lvl w:ilvl="0" w:tplc="0C0A0001">
      <w:start w:val="1"/>
      <w:numFmt w:val="bullet"/>
      <w:lvlText w:val=""/>
      <w:lvlJc w:val="left"/>
      <w:pPr>
        <w:ind w:left="1460" w:hanging="360"/>
      </w:pPr>
      <w:rPr>
        <w:rFonts w:ascii="Symbol" w:hAnsi="Symbol" w:hint="default"/>
      </w:rPr>
    </w:lvl>
    <w:lvl w:ilvl="1" w:tplc="0C0A0003" w:tentative="1">
      <w:start w:val="1"/>
      <w:numFmt w:val="bullet"/>
      <w:lvlText w:val="o"/>
      <w:lvlJc w:val="left"/>
      <w:pPr>
        <w:ind w:left="2180" w:hanging="360"/>
      </w:pPr>
      <w:rPr>
        <w:rFonts w:ascii="Courier New" w:hAnsi="Courier New" w:cs="Courier New" w:hint="default"/>
      </w:rPr>
    </w:lvl>
    <w:lvl w:ilvl="2" w:tplc="0C0A0005" w:tentative="1">
      <w:start w:val="1"/>
      <w:numFmt w:val="bullet"/>
      <w:lvlText w:val=""/>
      <w:lvlJc w:val="left"/>
      <w:pPr>
        <w:ind w:left="2900" w:hanging="360"/>
      </w:pPr>
      <w:rPr>
        <w:rFonts w:ascii="Wingdings" w:hAnsi="Wingdings" w:hint="default"/>
      </w:rPr>
    </w:lvl>
    <w:lvl w:ilvl="3" w:tplc="0C0A0001" w:tentative="1">
      <w:start w:val="1"/>
      <w:numFmt w:val="bullet"/>
      <w:lvlText w:val=""/>
      <w:lvlJc w:val="left"/>
      <w:pPr>
        <w:ind w:left="3620" w:hanging="360"/>
      </w:pPr>
      <w:rPr>
        <w:rFonts w:ascii="Symbol" w:hAnsi="Symbol" w:hint="default"/>
      </w:rPr>
    </w:lvl>
    <w:lvl w:ilvl="4" w:tplc="0C0A0003" w:tentative="1">
      <w:start w:val="1"/>
      <w:numFmt w:val="bullet"/>
      <w:lvlText w:val="o"/>
      <w:lvlJc w:val="left"/>
      <w:pPr>
        <w:ind w:left="4340" w:hanging="360"/>
      </w:pPr>
      <w:rPr>
        <w:rFonts w:ascii="Courier New" w:hAnsi="Courier New" w:cs="Courier New" w:hint="default"/>
      </w:rPr>
    </w:lvl>
    <w:lvl w:ilvl="5" w:tplc="0C0A0005" w:tentative="1">
      <w:start w:val="1"/>
      <w:numFmt w:val="bullet"/>
      <w:lvlText w:val=""/>
      <w:lvlJc w:val="left"/>
      <w:pPr>
        <w:ind w:left="5060" w:hanging="360"/>
      </w:pPr>
      <w:rPr>
        <w:rFonts w:ascii="Wingdings" w:hAnsi="Wingdings" w:hint="default"/>
      </w:rPr>
    </w:lvl>
    <w:lvl w:ilvl="6" w:tplc="0C0A0001" w:tentative="1">
      <w:start w:val="1"/>
      <w:numFmt w:val="bullet"/>
      <w:lvlText w:val=""/>
      <w:lvlJc w:val="left"/>
      <w:pPr>
        <w:ind w:left="5780" w:hanging="360"/>
      </w:pPr>
      <w:rPr>
        <w:rFonts w:ascii="Symbol" w:hAnsi="Symbol" w:hint="default"/>
      </w:rPr>
    </w:lvl>
    <w:lvl w:ilvl="7" w:tplc="0C0A0003" w:tentative="1">
      <w:start w:val="1"/>
      <w:numFmt w:val="bullet"/>
      <w:lvlText w:val="o"/>
      <w:lvlJc w:val="left"/>
      <w:pPr>
        <w:ind w:left="6500" w:hanging="360"/>
      </w:pPr>
      <w:rPr>
        <w:rFonts w:ascii="Courier New" w:hAnsi="Courier New" w:cs="Courier New" w:hint="default"/>
      </w:rPr>
    </w:lvl>
    <w:lvl w:ilvl="8" w:tplc="0C0A0005" w:tentative="1">
      <w:start w:val="1"/>
      <w:numFmt w:val="bullet"/>
      <w:lvlText w:val=""/>
      <w:lvlJc w:val="left"/>
      <w:pPr>
        <w:ind w:left="7220" w:hanging="360"/>
      </w:pPr>
      <w:rPr>
        <w:rFonts w:ascii="Wingdings" w:hAnsi="Wingdings" w:hint="default"/>
      </w:rPr>
    </w:lvl>
  </w:abstractNum>
  <w:abstractNum w:abstractNumId="683" w15:restartNumberingAfterBreak="0">
    <w:nsid w:val="752D060D"/>
    <w:multiLevelType w:val="hybridMultilevel"/>
    <w:tmpl w:val="A49096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4" w15:restartNumberingAfterBreak="0">
    <w:nsid w:val="753C5BA9"/>
    <w:multiLevelType w:val="hybridMultilevel"/>
    <w:tmpl w:val="99C0C08E"/>
    <w:lvl w:ilvl="0" w:tplc="0409000F">
      <w:start w:val="1"/>
      <w:numFmt w:val="decimal"/>
      <w:lvlText w:val="%1."/>
      <w:lvlJc w:val="left"/>
      <w:pPr>
        <w:ind w:left="-3872" w:hanging="360"/>
      </w:pPr>
    </w:lvl>
    <w:lvl w:ilvl="1" w:tplc="04090019" w:tentative="1">
      <w:start w:val="1"/>
      <w:numFmt w:val="lowerLetter"/>
      <w:lvlText w:val="%2."/>
      <w:lvlJc w:val="left"/>
      <w:pPr>
        <w:ind w:left="-315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1712" w:hanging="360"/>
      </w:pPr>
    </w:lvl>
    <w:lvl w:ilvl="4" w:tplc="04090019" w:tentative="1">
      <w:start w:val="1"/>
      <w:numFmt w:val="lowerLetter"/>
      <w:lvlText w:val="%5."/>
      <w:lvlJc w:val="left"/>
      <w:pPr>
        <w:ind w:left="-992" w:hanging="360"/>
      </w:pPr>
    </w:lvl>
    <w:lvl w:ilvl="5" w:tplc="0409001B" w:tentative="1">
      <w:start w:val="1"/>
      <w:numFmt w:val="lowerRoman"/>
      <w:lvlText w:val="%6."/>
      <w:lvlJc w:val="right"/>
      <w:pPr>
        <w:ind w:left="-272" w:hanging="180"/>
      </w:pPr>
    </w:lvl>
    <w:lvl w:ilvl="6" w:tplc="0409000F" w:tentative="1">
      <w:start w:val="1"/>
      <w:numFmt w:val="decimal"/>
      <w:lvlText w:val="%7."/>
      <w:lvlJc w:val="left"/>
      <w:pPr>
        <w:ind w:left="448" w:hanging="360"/>
      </w:pPr>
    </w:lvl>
    <w:lvl w:ilvl="7" w:tplc="04090019" w:tentative="1">
      <w:start w:val="1"/>
      <w:numFmt w:val="lowerLetter"/>
      <w:lvlText w:val="%8."/>
      <w:lvlJc w:val="left"/>
      <w:pPr>
        <w:ind w:left="1168" w:hanging="360"/>
      </w:pPr>
    </w:lvl>
    <w:lvl w:ilvl="8" w:tplc="0409001B" w:tentative="1">
      <w:start w:val="1"/>
      <w:numFmt w:val="lowerRoman"/>
      <w:lvlText w:val="%9."/>
      <w:lvlJc w:val="right"/>
      <w:pPr>
        <w:ind w:left="1888" w:hanging="180"/>
      </w:pPr>
    </w:lvl>
  </w:abstractNum>
  <w:abstractNum w:abstractNumId="685" w15:restartNumberingAfterBreak="0">
    <w:nsid w:val="753D6644"/>
    <w:multiLevelType w:val="hybridMultilevel"/>
    <w:tmpl w:val="0F8E2B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6" w15:restartNumberingAfterBreak="0">
    <w:nsid w:val="75447ECE"/>
    <w:multiLevelType w:val="hybridMultilevel"/>
    <w:tmpl w:val="05AAC7A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7" w15:restartNumberingAfterBreak="0">
    <w:nsid w:val="755516F6"/>
    <w:multiLevelType w:val="hybridMultilevel"/>
    <w:tmpl w:val="4E7C846A"/>
    <w:lvl w:ilvl="0" w:tplc="B65EBF50">
      <w:start w:val="1"/>
      <w:numFmt w:val="lowerRoman"/>
      <w:lvlText w:val="%1."/>
      <w:lvlJc w:val="right"/>
      <w:pPr>
        <w:ind w:left="1080" w:hanging="360"/>
      </w:pPr>
      <w:rPr>
        <w:rFonts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8" w15:restartNumberingAfterBreak="0">
    <w:nsid w:val="755D41BE"/>
    <w:multiLevelType w:val="multilevel"/>
    <w:tmpl w:val="01C0A1CC"/>
    <w:lvl w:ilvl="0">
      <w:start w:val="1"/>
      <w:numFmt w:val="bullet"/>
      <w:lvlText w:val=""/>
      <w:lvlJc w:val="left"/>
      <w:pPr>
        <w:tabs>
          <w:tab w:val="num" w:pos="720"/>
        </w:tabs>
        <w:ind w:left="720" w:hanging="360"/>
      </w:pPr>
      <w:rPr>
        <w:rFonts w:ascii="Symbol" w:hAnsi="Symbol" w:hint="default"/>
        <w:sz w:val="20"/>
      </w:rPr>
    </w:lvl>
    <w:lvl w:ilvl="1">
      <w:start w:val="2023"/>
      <w:numFmt w:val="decimal"/>
      <w:lvlText w:val="%2"/>
      <w:lvlJc w:val="left"/>
      <w:pPr>
        <w:ind w:left="1440" w:hanging="360"/>
      </w:pPr>
      <w:rPr>
        <w:rFonts w:eastAsia="Times New Roman" w:hint="default"/>
        <w:color w:val="548DD4" w:themeColor="text2" w:themeTint="99"/>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9" w15:restartNumberingAfterBreak="0">
    <w:nsid w:val="75644865"/>
    <w:multiLevelType w:val="hybridMultilevel"/>
    <w:tmpl w:val="2698E86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0" w15:restartNumberingAfterBreak="0">
    <w:nsid w:val="75940135"/>
    <w:multiLevelType w:val="multilevel"/>
    <w:tmpl w:val="0ABE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1" w15:restartNumberingAfterBreak="0">
    <w:nsid w:val="759C3BE0"/>
    <w:multiLevelType w:val="multilevel"/>
    <w:tmpl w:val="9B78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2" w15:restartNumberingAfterBreak="0">
    <w:nsid w:val="759F26AC"/>
    <w:multiLevelType w:val="hybridMultilevel"/>
    <w:tmpl w:val="FFFFFFFF"/>
    <w:lvl w:ilvl="0" w:tplc="F3523702">
      <w:start w:val="1"/>
      <w:numFmt w:val="bullet"/>
      <w:lvlText w:val=""/>
      <w:lvlJc w:val="left"/>
      <w:pPr>
        <w:ind w:left="720" w:hanging="360"/>
      </w:pPr>
      <w:rPr>
        <w:rFonts w:ascii="Symbol" w:hAnsi="Symbol" w:hint="default"/>
      </w:rPr>
    </w:lvl>
    <w:lvl w:ilvl="1" w:tplc="B20E5D48">
      <w:start w:val="1"/>
      <w:numFmt w:val="bullet"/>
      <w:lvlText w:val="o"/>
      <w:lvlJc w:val="left"/>
      <w:pPr>
        <w:ind w:left="1440" w:hanging="360"/>
      </w:pPr>
      <w:rPr>
        <w:rFonts w:ascii="Courier New" w:hAnsi="Courier New" w:hint="default"/>
      </w:rPr>
    </w:lvl>
    <w:lvl w:ilvl="2" w:tplc="F5F0908A">
      <w:start w:val="1"/>
      <w:numFmt w:val="bullet"/>
      <w:lvlText w:val=""/>
      <w:lvlJc w:val="left"/>
      <w:pPr>
        <w:ind w:left="2160" w:hanging="360"/>
      </w:pPr>
      <w:rPr>
        <w:rFonts w:ascii="Wingdings" w:hAnsi="Wingdings" w:hint="default"/>
      </w:rPr>
    </w:lvl>
    <w:lvl w:ilvl="3" w:tplc="68D084CC">
      <w:start w:val="1"/>
      <w:numFmt w:val="bullet"/>
      <w:lvlText w:val=""/>
      <w:lvlJc w:val="left"/>
      <w:pPr>
        <w:ind w:left="2880" w:hanging="360"/>
      </w:pPr>
      <w:rPr>
        <w:rFonts w:ascii="Symbol" w:hAnsi="Symbol" w:hint="default"/>
      </w:rPr>
    </w:lvl>
    <w:lvl w:ilvl="4" w:tplc="EB549A46">
      <w:start w:val="1"/>
      <w:numFmt w:val="bullet"/>
      <w:lvlText w:val="o"/>
      <w:lvlJc w:val="left"/>
      <w:pPr>
        <w:ind w:left="3600" w:hanging="360"/>
      </w:pPr>
      <w:rPr>
        <w:rFonts w:ascii="Courier New" w:hAnsi="Courier New" w:hint="default"/>
      </w:rPr>
    </w:lvl>
    <w:lvl w:ilvl="5" w:tplc="109C9360">
      <w:start w:val="1"/>
      <w:numFmt w:val="bullet"/>
      <w:lvlText w:val=""/>
      <w:lvlJc w:val="left"/>
      <w:pPr>
        <w:ind w:left="4320" w:hanging="360"/>
      </w:pPr>
      <w:rPr>
        <w:rFonts w:ascii="Wingdings" w:hAnsi="Wingdings" w:hint="default"/>
      </w:rPr>
    </w:lvl>
    <w:lvl w:ilvl="6" w:tplc="2F5C5C86">
      <w:start w:val="1"/>
      <w:numFmt w:val="bullet"/>
      <w:lvlText w:val=""/>
      <w:lvlJc w:val="left"/>
      <w:pPr>
        <w:ind w:left="5040" w:hanging="360"/>
      </w:pPr>
      <w:rPr>
        <w:rFonts w:ascii="Symbol" w:hAnsi="Symbol" w:hint="default"/>
      </w:rPr>
    </w:lvl>
    <w:lvl w:ilvl="7" w:tplc="064E19E8">
      <w:start w:val="1"/>
      <w:numFmt w:val="bullet"/>
      <w:lvlText w:val="o"/>
      <w:lvlJc w:val="left"/>
      <w:pPr>
        <w:ind w:left="5760" w:hanging="360"/>
      </w:pPr>
      <w:rPr>
        <w:rFonts w:ascii="Courier New" w:hAnsi="Courier New" w:hint="default"/>
      </w:rPr>
    </w:lvl>
    <w:lvl w:ilvl="8" w:tplc="3C24B684">
      <w:start w:val="1"/>
      <w:numFmt w:val="bullet"/>
      <w:lvlText w:val=""/>
      <w:lvlJc w:val="left"/>
      <w:pPr>
        <w:ind w:left="6480" w:hanging="360"/>
      </w:pPr>
      <w:rPr>
        <w:rFonts w:ascii="Wingdings" w:hAnsi="Wingdings" w:hint="default"/>
      </w:rPr>
    </w:lvl>
  </w:abstractNum>
  <w:abstractNum w:abstractNumId="693" w15:restartNumberingAfterBreak="0">
    <w:nsid w:val="75A051E3"/>
    <w:multiLevelType w:val="multilevel"/>
    <w:tmpl w:val="5E58CE5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94" w15:restartNumberingAfterBreak="0">
    <w:nsid w:val="75A46586"/>
    <w:multiLevelType w:val="hybridMultilevel"/>
    <w:tmpl w:val="3EC8F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5" w15:restartNumberingAfterBreak="0">
    <w:nsid w:val="75E2E40D"/>
    <w:multiLevelType w:val="hybridMultilevel"/>
    <w:tmpl w:val="FFFFFFFF"/>
    <w:lvl w:ilvl="0" w:tplc="8BBAF528">
      <w:start w:val="1"/>
      <w:numFmt w:val="bullet"/>
      <w:lvlText w:val=""/>
      <w:lvlJc w:val="left"/>
      <w:pPr>
        <w:ind w:left="720" w:hanging="360"/>
      </w:pPr>
      <w:rPr>
        <w:rFonts w:ascii="Symbol" w:hAnsi="Symbol" w:hint="default"/>
      </w:rPr>
    </w:lvl>
    <w:lvl w:ilvl="1" w:tplc="8CF88772">
      <w:start w:val="1"/>
      <w:numFmt w:val="bullet"/>
      <w:lvlText w:val="-"/>
      <w:lvlJc w:val="left"/>
      <w:pPr>
        <w:ind w:left="1440" w:hanging="360"/>
      </w:pPr>
      <w:rPr>
        <w:rFonts w:ascii="Calibri" w:hAnsi="Calibri" w:hint="default"/>
      </w:rPr>
    </w:lvl>
    <w:lvl w:ilvl="2" w:tplc="CB04EB02">
      <w:start w:val="1"/>
      <w:numFmt w:val="bullet"/>
      <w:lvlText w:val=""/>
      <w:lvlJc w:val="left"/>
      <w:pPr>
        <w:ind w:left="2160" w:hanging="360"/>
      </w:pPr>
      <w:rPr>
        <w:rFonts w:ascii="Wingdings" w:hAnsi="Wingdings" w:hint="default"/>
      </w:rPr>
    </w:lvl>
    <w:lvl w:ilvl="3" w:tplc="376EFA6E">
      <w:start w:val="1"/>
      <w:numFmt w:val="bullet"/>
      <w:lvlText w:val=""/>
      <w:lvlJc w:val="left"/>
      <w:pPr>
        <w:ind w:left="2880" w:hanging="360"/>
      </w:pPr>
      <w:rPr>
        <w:rFonts w:ascii="Symbol" w:hAnsi="Symbol" w:hint="default"/>
      </w:rPr>
    </w:lvl>
    <w:lvl w:ilvl="4" w:tplc="F8687A8C">
      <w:start w:val="1"/>
      <w:numFmt w:val="bullet"/>
      <w:lvlText w:val="o"/>
      <w:lvlJc w:val="left"/>
      <w:pPr>
        <w:ind w:left="3600" w:hanging="360"/>
      </w:pPr>
      <w:rPr>
        <w:rFonts w:ascii="Courier New" w:hAnsi="Courier New" w:hint="default"/>
      </w:rPr>
    </w:lvl>
    <w:lvl w:ilvl="5" w:tplc="C2641544">
      <w:start w:val="1"/>
      <w:numFmt w:val="bullet"/>
      <w:lvlText w:val=""/>
      <w:lvlJc w:val="left"/>
      <w:pPr>
        <w:ind w:left="4320" w:hanging="360"/>
      </w:pPr>
      <w:rPr>
        <w:rFonts w:ascii="Wingdings" w:hAnsi="Wingdings" w:hint="default"/>
      </w:rPr>
    </w:lvl>
    <w:lvl w:ilvl="6" w:tplc="2660AD78">
      <w:start w:val="1"/>
      <w:numFmt w:val="bullet"/>
      <w:lvlText w:val=""/>
      <w:lvlJc w:val="left"/>
      <w:pPr>
        <w:ind w:left="5040" w:hanging="360"/>
      </w:pPr>
      <w:rPr>
        <w:rFonts w:ascii="Symbol" w:hAnsi="Symbol" w:hint="default"/>
      </w:rPr>
    </w:lvl>
    <w:lvl w:ilvl="7" w:tplc="7A7ECEEA">
      <w:start w:val="1"/>
      <w:numFmt w:val="bullet"/>
      <w:lvlText w:val="o"/>
      <w:lvlJc w:val="left"/>
      <w:pPr>
        <w:ind w:left="5760" w:hanging="360"/>
      </w:pPr>
      <w:rPr>
        <w:rFonts w:ascii="Courier New" w:hAnsi="Courier New" w:hint="default"/>
      </w:rPr>
    </w:lvl>
    <w:lvl w:ilvl="8" w:tplc="8470220C">
      <w:start w:val="1"/>
      <w:numFmt w:val="bullet"/>
      <w:lvlText w:val=""/>
      <w:lvlJc w:val="left"/>
      <w:pPr>
        <w:ind w:left="6480" w:hanging="360"/>
      </w:pPr>
      <w:rPr>
        <w:rFonts w:ascii="Wingdings" w:hAnsi="Wingdings" w:hint="default"/>
      </w:rPr>
    </w:lvl>
  </w:abstractNum>
  <w:abstractNum w:abstractNumId="696" w15:restartNumberingAfterBreak="0">
    <w:nsid w:val="75E51489"/>
    <w:multiLevelType w:val="hybridMultilevel"/>
    <w:tmpl w:val="F89881B8"/>
    <w:lvl w:ilvl="0" w:tplc="1809001B">
      <w:start w:val="1"/>
      <w:numFmt w:val="lowerRoman"/>
      <w:lvlText w:val="%1."/>
      <w:lvlJc w:val="right"/>
      <w:pPr>
        <w:ind w:left="1440" w:hanging="360"/>
      </w:pPr>
    </w:lvl>
    <w:lvl w:ilvl="1" w:tplc="B7303C30">
      <w:start w:val="2"/>
      <w:numFmt w:val="bullet"/>
      <w:lvlText w:val="-"/>
      <w:lvlJc w:val="left"/>
      <w:pPr>
        <w:ind w:left="1080" w:hanging="360"/>
      </w:pPr>
      <w:rPr>
        <w:rFonts w:ascii="Calibri" w:eastAsiaTheme="minorHAnsi" w:hAnsi="Calibri" w:cs="Calibri" w:hint="default"/>
      </w:rPr>
    </w:lvl>
    <w:lvl w:ilvl="2" w:tplc="1809001B">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697" w15:restartNumberingAfterBreak="0">
    <w:nsid w:val="75F74C4C"/>
    <w:multiLevelType w:val="hybridMultilevel"/>
    <w:tmpl w:val="BCACA684"/>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8" w15:restartNumberingAfterBreak="0">
    <w:nsid w:val="769F7C97"/>
    <w:multiLevelType w:val="hybridMultilevel"/>
    <w:tmpl w:val="E7E0111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9" w15:restartNumberingAfterBreak="0">
    <w:nsid w:val="76B69A53"/>
    <w:multiLevelType w:val="hybridMultilevel"/>
    <w:tmpl w:val="FFFFFFFF"/>
    <w:lvl w:ilvl="0" w:tplc="D3C00F80">
      <w:start w:val="1"/>
      <w:numFmt w:val="bullet"/>
      <w:lvlText w:val="·"/>
      <w:lvlJc w:val="left"/>
      <w:pPr>
        <w:ind w:left="720" w:hanging="360"/>
      </w:pPr>
      <w:rPr>
        <w:rFonts w:ascii="Symbol" w:hAnsi="Symbol" w:hint="default"/>
      </w:rPr>
    </w:lvl>
    <w:lvl w:ilvl="1" w:tplc="F6DE2E7C">
      <w:start w:val="1"/>
      <w:numFmt w:val="bullet"/>
      <w:lvlText w:val="o"/>
      <w:lvlJc w:val="left"/>
      <w:pPr>
        <w:ind w:left="1440" w:hanging="360"/>
      </w:pPr>
      <w:rPr>
        <w:rFonts w:ascii="Courier New" w:hAnsi="Courier New" w:hint="default"/>
      </w:rPr>
    </w:lvl>
    <w:lvl w:ilvl="2" w:tplc="CDEEB4B2">
      <w:start w:val="1"/>
      <w:numFmt w:val="bullet"/>
      <w:lvlText w:val=""/>
      <w:lvlJc w:val="left"/>
      <w:pPr>
        <w:ind w:left="2160" w:hanging="360"/>
      </w:pPr>
      <w:rPr>
        <w:rFonts w:ascii="Wingdings" w:hAnsi="Wingdings" w:hint="default"/>
      </w:rPr>
    </w:lvl>
    <w:lvl w:ilvl="3" w:tplc="9200A498">
      <w:start w:val="1"/>
      <w:numFmt w:val="bullet"/>
      <w:lvlText w:val=""/>
      <w:lvlJc w:val="left"/>
      <w:pPr>
        <w:ind w:left="2880" w:hanging="360"/>
      </w:pPr>
      <w:rPr>
        <w:rFonts w:ascii="Symbol" w:hAnsi="Symbol" w:hint="default"/>
      </w:rPr>
    </w:lvl>
    <w:lvl w:ilvl="4" w:tplc="F2880D60">
      <w:start w:val="1"/>
      <w:numFmt w:val="bullet"/>
      <w:lvlText w:val="o"/>
      <w:lvlJc w:val="left"/>
      <w:pPr>
        <w:ind w:left="3600" w:hanging="360"/>
      </w:pPr>
      <w:rPr>
        <w:rFonts w:ascii="Courier New" w:hAnsi="Courier New" w:hint="default"/>
      </w:rPr>
    </w:lvl>
    <w:lvl w:ilvl="5" w:tplc="9788CCFE">
      <w:start w:val="1"/>
      <w:numFmt w:val="bullet"/>
      <w:lvlText w:val=""/>
      <w:lvlJc w:val="left"/>
      <w:pPr>
        <w:ind w:left="4320" w:hanging="360"/>
      </w:pPr>
      <w:rPr>
        <w:rFonts w:ascii="Wingdings" w:hAnsi="Wingdings" w:hint="default"/>
      </w:rPr>
    </w:lvl>
    <w:lvl w:ilvl="6" w:tplc="D896A366">
      <w:start w:val="1"/>
      <w:numFmt w:val="bullet"/>
      <w:lvlText w:val=""/>
      <w:lvlJc w:val="left"/>
      <w:pPr>
        <w:ind w:left="5040" w:hanging="360"/>
      </w:pPr>
      <w:rPr>
        <w:rFonts w:ascii="Symbol" w:hAnsi="Symbol" w:hint="default"/>
      </w:rPr>
    </w:lvl>
    <w:lvl w:ilvl="7" w:tplc="07DE3DB2">
      <w:start w:val="1"/>
      <w:numFmt w:val="bullet"/>
      <w:lvlText w:val="o"/>
      <w:lvlJc w:val="left"/>
      <w:pPr>
        <w:ind w:left="5760" w:hanging="360"/>
      </w:pPr>
      <w:rPr>
        <w:rFonts w:ascii="Courier New" w:hAnsi="Courier New" w:hint="default"/>
      </w:rPr>
    </w:lvl>
    <w:lvl w:ilvl="8" w:tplc="6576FEE0">
      <w:start w:val="1"/>
      <w:numFmt w:val="bullet"/>
      <w:lvlText w:val=""/>
      <w:lvlJc w:val="left"/>
      <w:pPr>
        <w:ind w:left="6480" w:hanging="360"/>
      </w:pPr>
      <w:rPr>
        <w:rFonts w:ascii="Wingdings" w:hAnsi="Wingdings" w:hint="default"/>
      </w:rPr>
    </w:lvl>
  </w:abstractNum>
  <w:abstractNum w:abstractNumId="700" w15:restartNumberingAfterBreak="0">
    <w:nsid w:val="76D7F70F"/>
    <w:multiLevelType w:val="hybridMultilevel"/>
    <w:tmpl w:val="1CE849FA"/>
    <w:lvl w:ilvl="0" w:tplc="1809000F">
      <w:start w:val="1"/>
      <w:numFmt w:val="decimal"/>
      <w:lvlText w:val="%1."/>
      <w:lvlJc w:val="left"/>
      <w:pPr>
        <w:ind w:left="1080" w:hanging="360"/>
      </w:pPr>
      <w:rPr>
        <w:rFonts w:hint="default"/>
      </w:rPr>
    </w:lvl>
    <w:lvl w:ilvl="1" w:tplc="EA2A0A7A">
      <w:start w:val="1"/>
      <w:numFmt w:val="bullet"/>
      <w:lvlText w:val="o"/>
      <w:lvlJc w:val="left"/>
      <w:pPr>
        <w:ind w:left="1800" w:hanging="360"/>
      </w:pPr>
      <w:rPr>
        <w:rFonts w:ascii="Courier New" w:hAnsi="Courier New" w:hint="default"/>
      </w:rPr>
    </w:lvl>
    <w:lvl w:ilvl="2" w:tplc="4086B520">
      <w:start w:val="1"/>
      <w:numFmt w:val="bullet"/>
      <w:lvlText w:val=""/>
      <w:lvlJc w:val="left"/>
      <w:pPr>
        <w:ind w:left="2520" w:hanging="360"/>
      </w:pPr>
      <w:rPr>
        <w:rFonts w:ascii="Wingdings" w:hAnsi="Wingdings" w:hint="default"/>
      </w:rPr>
    </w:lvl>
    <w:lvl w:ilvl="3" w:tplc="FFC0FC78">
      <w:start w:val="1"/>
      <w:numFmt w:val="bullet"/>
      <w:lvlText w:val=""/>
      <w:lvlJc w:val="left"/>
      <w:pPr>
        <w:ind w:left="3240" w:hanging="360"/>
      </w:pPr>
      <w:rPr>
        <w:rFonts w:ascii="Symbol" w:hAnsi="Symbol" w:hint="default"/>
      </w:rPr>
    </w:lvl>
    <w:lvl w:ilvl="4" w:tplc="4484E05C">
      <w:start w:val="1"/>
      <w:numFmt w:val="bullet"/>
      <w:lvlText w:val="o"/>
      <w:lvlJc w:val="left"/>
      <w:pPr>
        <w:ind w:left="3960" w:hanging="360"/>
      </w:pPr>
      <w:rPr>
        <w:rFonts w:ascii="Courier New" w:hAnsi="Courier New" w:hint="default"/>
      </w:rPr>
    </w:lvl>
    <w:lvl w:ilvl="5" w:tplc="D7FC5BE6">
      <w:start w:val="1"/>
      <w:numFmt w:val="bullet"/>
      <w:lvlText w:val=""/>
      <w:lvlJc w:val="left"/>
      <w:pPr>
        <w:ind w:left="4680" w:hanging="360"/>
      </w:pPr>
      <w:rPr>
        <w:rFonts w:ascii="Wingdings" w:hAnsi="Wingdings" w:hint="default"/>
      </w:rPr>
    </w:lvl>
    <w:lvl w:ilvl="6" w:tplc="E41214CC">
      <w:start w:val="1"/>
      <w:numFmt w:val="bullet"/>
      <w:lvlText w:val=""/>
      <w:lvlJc w:val="left"/>
      <w:pPr>
        <w:ind w:left="5400" w:hanging="360"/>
      </w:pPr>
      <w:rPr>
        <w:rFonts w:ascii="Symbol" w:hAnsi="Symbol" w:hint="default"/>
      </w:rPr>
    </w:lvl>
    <w:lvl w:ilvl="7" w:tplc="57A6D0E0">
      <w:start w:val="1"/>
      <w:numFmt w:val="bullet"/>
      <w:lvlText w:val="o"/>
      <w:lvlJc w:val="left"/>
      <w:pPr>
        <w:ind w:left="6120" w:hanging="360"/>
      </w:pPr>
      <w:rPr>
        <w:rFonts w:ascii="Courier New" w:hAnsi="Courier New" w:hint="default"/>
      </w:rPr>
    </w:lvl>
    <w:lvl w:ilvl="8" w:tplc="B314A550">
      <w:start w:val="1"/>
      <w:numFmt w:val="bullet"/>
      <w:lvlText w:val=""/>
      <w:lvlJc w:val="left"/>
      <w:pPr>
        <w:ind w:left="6840" w:hanging="360"/>
      </w:pPr>
      <w:rPr>
        <w:rFonts w:ascii="Wingdings" w:hAnsi="Wingdings" w:hint="default"/>
      </w:rPr>
    </w:lvl>
  </w:abstractNum>
  <w:abstractNum w:abstractNumId="701" w15:restartNumberingAfterBreak="0">
    <w:nsid w:val="76E1E40F"/>
    <w:multiLevelType w:val="hybridMultilevel"/>
    <w:tmpl w:val="FFFFFFFF"/>
    <w:lvl w:ilvl="0" w:tplc="B8786F04">
      <w:start w:val="1"/>
      <w:numFmt w:val="decimal"/>
      <w:lvlText w:val="%1."/>
      <w:lvlJc w:val="left"/>
      <w:pPr>
        <w:ind w:left="720" w:hanging="360"/>
      </w:pPr>
    </w:lvl>
    <w:lvl w:ilvl="1" w:tplc="53869E1E">
      <w:start w:val="1"/>
      <w:numFmt w:val="lowerLetter"/>
      <w:lvlText w:val="%2."/>
      <w:lvlJc w:val="left"/>
      <w:pPr>
        <w:ind w:left="1440" w:hanging="360"/>
      </w:pPr>
    </w:lvl>
    <w:lvl w:ilvl="2" w:tplc="773229FC">
      <w:start w:val="1"/>
      <w:numFmt w:val="lowerRoman"/>
      <w:lvlText w:val="%3."/>
      <w:lvlJc w:val="right"/>
      <w:pPr>
        <w:ind w:left="2160" w:hanging="180"/>
      </w:pPr>
    </w:lvl>
    <w:lvl w:ilvl="3" w:tplc="140ED2E8">
      <w:start w:val="1"/>
      <w:numFmt w:val="decimal"/>
      <w:lvlText w:val="%4."/>
      <w:lvlJc w:val="left"/>
      <w:pPr>
        <w:ind w:left="2880" w:hanging="360"/>
      </w:pPr>
    </w:lvl>
    <w:lvl w:ilvl="4" w:tplc="8976D74E">
      <w:start w:val="1"/>
      <w:numFmt w:val="lowerLetter"/>
      <w:lvlText w:val="%5."/>
      <w:lvlJc w:val="left"/>
      <w:pPr>
        <w:ind w:left="3600" w:hanging="360"/>
      </w:pPr>
    </w:lvl>
    <w:lvl w:ilvl="5" w:tplc="852EC7BE">
      <w:start w:val="1"/>
      <w:numFmt w:val="lowerRoman"/>
      <w:lvlText w:val="%6."/>
      <w:lvlJc w:val="right"/>
      <w:pPr>
        <w:ind w:left="4320" w:hanging="180"/>
      </w:pPr>
    </w:lvl>
    <w:lvl w:ilvl="6" w:tplc="570E229C">
      <w:start w:val="1"/>
      <w:numFmt w:val="decimal"/>
      <w:lvlText w:val="%7."/>
      <w:lvlJc w:val="left"/>
      <w:pPr>
        <w:ind w:left="5040" w:hanging="360"/>
      </w:pPr>
    </w:lvl>
    <w:lvl w:ilvl="7" w:tplc="0448B08A">
      <w:start w:val="1"/>
      <w:numFmt w:val="lowerLetter"/>
      <w:lvlText w:val="%8."/>
      <w:lvlJc w:val="left"/>
      <w:pPr>
        <w:ind w:left="5760" w:hanging="360"/>
      </w:pPr>
    </w:lvl>
    <w:lvl w:ilvl="8" w:tplc="1340FA92">
      <w:start w:val="1"/>
      <w:numFmt w:val="lowerRoman"/>
      <w:lvlText w:val="%9."/>
      <w:lvlJc w:val="right"/>
      <w:pPr>
        <w:ind w:left="6480" w:hanging="180"/>
      </w:pPr>
    </w:lvl>
  </w:abstractNum>
  <w:abstractNum w:abstractNumId="702" w15:restartNumberingAfterBreak="0">
    <w:nsid w:val="76E74A32"/>
    <w:multiLevelType w:val="hybridMultilevel"/>
    <w:tmpl w:val="8F66C5BA"/>
    <w:lvl w:ilvl="0" w:tplc="FFFFFFF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3" w15:restartNumberingAfterBreak="0">
    <w:nsid w:val="76F56463"/>
    <w:multiLevelType w:val="multilevel"/>
    <w:tmpl w:val="D38425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4" w15:restartNumberingAfterBreak="0">
    <w:nsid w:val="771806C4"/>
    <w:multiLevelType w:val="hybridMultilevel"/>
    <w:tmpl w:val="99B64566"/>
    <w:lvl w:ilvl="0" w:tplc="AF1E810C">
      <w:start w:val="1"/>
      <w:numFmt w:val="bullet"/>
      <w:lvlText w:val="-"/>
      <w:lvlJc w:val="left"/>
      <w:pPr>
        <w:ind w:left="720" w:hanging="360"/>
      </w:pPr>
      <w:rPr>
        <w:rFonts w:ascii="Symbol" w:hAnsi="Symbol" w:hint="default"/>
      </w:rPr>
    </w:lvl>
    <w:lvl w:ilvl="1" w:tplc="0C5805FE">
      <w:start w:val="1"/>
      <w:numFmt w:val="bullet"/>
      <w:lvlText w:val="o"/>
      <w:lvlJc w:val="left"/>
      <w:pPr>
        <w:ind w:left="1440" w:hanging="360"/>
      </w:pPr>
      <w:rPr>
        <w:rFonts w:ascii="Courier New" w:hAnsi="Courier New" w:hint="default"/>
      </w:rPr>
    </w:lvl>
    <w:lvl w:ilvl="2" w:tplc="3384A5C6">
      <w:start w:val="1"/>
      <w:numFmt w:val="bullet"/>
      <w:lvlText w:val=""/>
      <w:lvlJc w:val="left"/>
      <w:pPr>
        <w:ind w:left="2160" w:hanging="360"/>
      </w:pPr>
      <w:rPr>
        <w:rFonts w:ascii="Wingdings" w:hAnsi="Wingdings" w:hint="default"/>
      </w:rPr>
    </w:lvl>
    <w:lvl w:ilvl="3" w:tplc="0A02715A">
      <w:start w:val="1"/>
      <w:numFmt w:val="bullet"/>
      <w:lvlText w:val=""/>
      <w:lvlJc w:val="left"/>
      <w:pPr>
        <w:ind w:left="2880" w:hanging="360"/>
      </w:pPr>
      <w:rPr>
        <w:rFonts w:ascii="Symbol" w:hAnsi="Symbol" w:hint="default"/>
      </w:rPr>
    </w:lvl>
    <w:lvl w:ilvl="4" w:tplc="24789A00">
      <w:start w:val="1"/>
      <w:numFmt w:val="bullet"/>
      <w:lvlText w:val="o"/>
      <w:lvlJc w:val="left"/>
      <w:pPr>
        <w:ind w:left="3600" w:hanging="360"/>
      </w:pPr>
      <w:rPr>
        <w:rFonts w:ascii="Courier New" w:hAnsi="Courier New" w:hint="default"/>
      </w:rPr>
    </w:lvl>
    <w:lvl w:ilvl="5" w:tplc="9E4A1B9A">
      <w:start w:val="1"/>
      <w:numFmt w:val="bullet"/>
      <w:lvlText w:val=""/>
      <w:lvlJc w:val="left"/>
      <w:pPr>
        <w:ind w:left="4320" w:hanging="360"/>
      </w:pPr>
      <w:rPr>
        <w:rFonts w:ascii="Wingdings" w:hAnsi="Wingdings" w:hint="default"/>
      </w:rPr>
    </w:lvl>
    <w:lvl w:ilvl="6" w:tplc="24BA7062">
      <w:start w:val="1"/>
      <w:numFmt w:val="bullet"/>
      <w:lvlText w:val=""/>
      <w:lvlJc w:val="left"/>
      <w:pPr>
        <w:ind w:left="5040" w:hanging="360"/>
      </w:pPr>
      <w:rPr>
        <w:rFonts w:ascii="Symbol" w:hAnsi="Symbol" w:hint="default"/>
      </w:rPr>
    </w:lvl>
    <w:lvl w:ilvl="7" w:tplc="EE9EE00E">
      <w:start w:val="1"/>
      <w:numFmt w:val="bullet"/>
      <w:lvlText w:val="o"/>
      <w:lvlJc w:val="left"/>
      <w:pPr>
        <w:ind w:left="5760" w:hanging="360"/>
      </w:pPr>
      <w:rPr>
        <w:rFonts w:ascii="Courier New" w:hAnsi="Courier New" w:hint="default"/>
      </w:rPr>
    </w:lvl>
    <w:lvl w:ilvl="8" w:tplc="11A2CCEC">
      <w:start w:val="1"/>
      <w:numFmt w:val="bullet"/>
      <w:lvlText w:val=""/>
      <w:lvlJc w:val="left"/>
      <w:pPr>
        <w:ind w:left="6480" w:hanging="360"/>
      </w:pPr>
      <w:rPr>
        <w:rFonts w:ascii="Wingdings" w:hAnsi="Wingdings" w:hint="default"/>
      </w:rPr>
    </w:lvl>
  </w:abstractNum>
  <w:abstractNum w:abstractNumId="705" w15:restartNumberingAfterBreak="0">
    <w:nsid w:val="77B16DD8"/>
    <w:multiLevelType w:val="hybridMultilevel"/>
    <w:tmpl w:val="FFFFFFFF"/>
    <w:lvl w:ilvl="0" w:tplc="87FC3F1A">
      <w:start w:val="1"/>
      <w:numFmt w:val="bullet"/>
      <w:lvlText w:val="·"/>
      <w:lvlJc w:val="left"/>
      <w:pPr>
        <w:ind w:left="720" w:hanging="360"/>
      </w:pPr>
      <w:rPr>
        <w:rFonts w:ascii="Symbol" w:hAnsi="Symbol" w:hint="default"/>
      </w:rPr>
    </w:lvl>
    <w:lvl w:ilvl="1" w:tplc="59AA67E8">
      <w:start w:val="1"/>
      <w:numFmt w:val="bullet"/>
      <w:lvlText w:val="o"/>
      <w:lvlJc w:val="left"/>
      <w:pPr>
        <w:ind w:left="1440" w:hanging="360"/>
      </w:pPr>
      <w:rPr>
        <w:rFonts w:ascii="Courier New" w:hAnsi="Courier New" w:hint="default"/>
      </w:rPr>
    </w:lvl>
    <w:lvl w:ilvl="2" w:tplc="A6B04B9C">
      <w:start w:val="1"/>
      <w:numFmt w:val="bullet"/>
      <w:lvlText w:val=""/>
      <w:lvlJc w:val="left"/>
      <w:pPr>
        <w:ind w:left="2160" w:hanging="360"/>
      </w:pPr>
      <w:rPr>
        <w:rFonts w:ascii="Wingdings" w:hAnsi="Wingdings" w:hint="default"/>
      </w:rPr>
    </w:lvl>
    <w:lvl w:ilvl="3" w:tplc="30EA10B0">
      <w:start w:val="1"/>
      <w:numFmt w:val="bullet"/>
      <w:lvlText w:val=""/>
      <w:lvlJc w:val="left"/>
      <w:pPr>
        <w:ind w:left="2880" w:hanging="360"/>
      </w:pPr>
      <w:rPr>
        <w:rFonts w:ascii="Symbol" w:hAnsi="Symbol" w:hint="default"/>
      </w:rPr>
    </w:lvl>
    <w:lvl w:ilvl="4" w:tplc="83AE0B2E">
      <w:start w:val="1"/>
      <w:numFmt w:val="bullet"/>
      <w:lvlText w:val="o"/>
      <w:lvlJc w:val="left"/>
      <w:pPr>
        <w:ind w:left="3600" w:hanging="360"/>
      </w:pPr>
      <w:rPr>
        <w:rFonts w:ascii="Courier New" w:hAnsi="Courier New" w:hint="default"/>
      </w:rPr>
    </w:lvl>
    <w:lvl w:ilvl="5" w:tplc="2ADED522">
      <w:start w:val="1"/>
      <w:numFmt w:val="bullet"/>
      <w:lvlText w:val=""/>
      <w:lvlJc w:val="left"/>
      <w:pPr>
        <w:ind w:left="4320" w:hanging="360"/>
      </w:pPr>
      <w:rPr>
        <w:rFonts w:ascii="Wingdings" w:hAnsi="Wingdings" w:hint="default"/>
      </w:rPr>
    </w:lvl>
    <w:lvl w:ilvl="6" w:tplc="F998E482">
      <w:start w:val="1"/>
      <w:numFmt w:val="bullet"/>
      <w:lvlText w:val=""/>
      <w:lvlJc w:val="left"/>
      <w:pPr>
        <w:ind w:left="5040" w:hanging="360"/>
      </w:pPr>
      <w:rPr>
        <w:rFonts w:ascii="Symbol" w:hAnsi="Symbol" w:hint="default"/>
      </w:rPr>
    </w:lvl>
    <w:lvl w:ilvl="7" w:tplc="1324A0EC">
      <w:start w:val="1"/>
      <w:numFmt w:val="bullet"/>
      <w:lvlText w:val="o"/>
      <w:lvlJc w:val="left"/>
      <w:pPr>
        <w:ind w:left="5760" w:hanging="360"/>
      </w:pPr>
      <w:rPr>
        <w:rFonts w:ascii="Courier New" w:hAnsi="Courier New" w:hint="default"/>
      </w:rPr>
    </w:lvl>
    <w:lvl w:ilvl="8" w:tplc="E60CEBE0">
      <w:start w:val="1"/>
      <w:numFmt w:val="bullet"/>
      <w:lvlText w:val=""/>
      <w:lvlJc w:val="left"/>
      <w:pPr>
        <w:ind w:left="6480" w:hanging="360"/>
      </w:pPr>
      <w:rPr>
        <w:rFonts w:ascii="Wingdings" w:hAnsi="Wingdings" w:hint="default"/>
      </w:rPr>
    </w:lvl>
  </w:abstractNum>
  <w:abstractNum w:abstractNumId="706" w15:restartNumberingAfterBreak="0">
    <w:nsid w:val="77B53224"/>
    <w:multiLevelType w:val="hybridMultilevel"/>
    <w:tmpl w:val="7138CDAA"/>
    <w:lvl w:ilvl="0" w:tplc="69B4948C">
      <w:start w:val="1"/>
      <w:numFmt w:val="bullet"/>
      <w:lvlText w:val="-"/>
      <w:lvlJc w:val="left"/>
      <w:pPr>
        <w:ind w:left="720" w:hanging="360"/>
      </w:pPr>
      <w:rPr>
        <w:rFonts w:ascii="Symbol" w:hAnsi="Symbol" w:hint="default"/>
      </w:rPr>
    </w:lvl>
    <w:lvl w:ilvl="1" w:tplc="5798E1D8">
      <w:start w:val="1"/>
      <w:numFmt w:val="bullet"/>
      <w:lvlText w:val="o"/>
      <w:lvlJc w:val="left"/>
      <w:pPr>
        <w:ind w:left="1440" w:hanging="360"/>
      </w:pPr>
      <w:rPr>
        <w:rFonts w:ascii="Courier New" w:hAnsi="Courier New" w:hint="default"/>
      </w:rPr>
    </w:lvl>
    <w:lvl w:ilvl="2" w:tplc="9612D82C">
      <w:start w:val="1"/>
      <w:numFmt w:val="bullet"/>
      <w:lvlText w:val=""/>
      <w:lvlJc w:val="left"/>
      <w:pPr>
        <w:ind w:left="2160" w:hanging="360"/>
      </w:pPr>
      <w:rPr>
        <w:rFonts w:ascii="Wingdings" w:hAnsi="Wingdings" w:hint="default"/>
      </w:rPr>
    </w:lvl>
    <w:lvl w:ilvl="3" w:tplc="8BA84C4C">
      <w:start w:val="1"/>
      <w:numFmt w:val="bullet"/>
      <w:lvlText w:val=""/>
      <w:lvlJc w:val="left"/>
      <w:pPr>
        <w:ind w:left="2880" w:hanging="360"/>
      </w:pPr>
      <w:rPr>
        <w:rFonts w:ascii="Symbol" w:hAnsi="Symbol" w:hint="default"/>
      </w:rPr>
    </w:lvl>
    <w:lvl w:ilvl="4" w:tplc="517A0D04">
      <w:start w:val="1"/>
      <w:numFmt w:val="bullet"/>
      <w:lvlText w:val="o"/>
      <w:lvlJc w:val="left"/>
      <w:pPr>
        <w:ind w:left="3600" w:hanging="360"/>
      </w:pPr>
      <w:rPr>
        <w:rFonts w:ascii="Courier New" w:hAnsi="Courier New" w:hint="default"/>
      </w:rPr>
    </w:lvl>
    <w:lvl w:ilvl="5" w:tplc="9F2A96C6">
      <w:start w:val="1"/>
      <w:numFmt w:val="bullet"/>
      <w:lvlText w:val=""/>
      <w:lvlJc w:val="left"/>
      <w:pPr>
        <w:ind w:left="4320" w:hanging="360"/>
      </w:pPr>
      <w:rPr>
        <w:rFonts w:ascii="Wingdings" w:hAnsi="Wingdings" w:hint="default"/>
      </w:rPr>
    </w:lvl>
    <w:lvl w:ilvl="6" w:tplc="B4ACE1C8">
      <w:start w:val="1"/>
      <w:numFmt w:val="bullet"/>
      <w:lvlText w:val=""/>
      <w:lvlJc w:val="left"/>
      <w:pPr>
        <w:ind w:left="5040" w:hanging="360"/>
      </w:pPr>
      <w:rPr>
        <w:rFonts w:ascii="Symbol" w:hAnsi="Symbol" w:hint="default"/>
      </w:rPr>
    </w:lvl>
    <w:lvl w:ilvl="7" w:tplc="5706EA50">
      <w:start w:val="1"/>
      <w:numFmt w:val="bullet"/>
      <w:lvlText w:val="o"/>
      <w:lvlJc w:val="left"/>
      <w:pPr>
        <w:ind w:left="5760" w:hanging="360"/>
      </w:pPr>
      <w:rPr>
        <w:rFonts w:ascii="Courier New" w:hAnsi="Courier New" w:hint="default"/>
      </w:rPr>
    </w:lvl>
    <w:lvl w:ilvl="8" w:tplc="A26A3BC8">
      <w:start w:val="1"/>
      <w:numFmt w:val="bullet"/>
      <w:lvlText w:val=""/>
      <w:lvlJc w:val="left"/>
      <w:pPr>
        <w:ind w:left="6480" w:hanging="360"/>
      </w:pPr>
      <w:rPr>
        <w:rFonts w:ascii="Wingdings" w:hAnsi="Wingdings" w:hint="default"/>
      </w:rPr>
    </w:lvl>
  </w:abstractNum>
  <w:abstractNum w:abstractNumId="707" w15:restartNumberingAfterBreak="0">
    <w:nsid w:val="77D4553C"/>
    <w:multiLevelType w:val="hybridMultilevel"/>
    <w:tmpl w:val="6BF8647A"/>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8" w15:restartNumberingAfterBreak="0">
    <w:nsid w:val="783F5EBD"/>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709" w15:restartNumberingAfterBreak="0">
    <w:nsid w:val="78A407C3"/>
    <w:multiLevelType w:val="hybridMultilevel"/>
    <w:tmpl w:val="E52A0778"/>
    <w:lvl w:ilvl="0" w:tplc="CC824516">
      <w:start w:val="1"/>
      <w:numFmt w:val="bullet"/>
      <w:lvlText w:val="-"/>
      <w:lvlJc w:val="left"/>
      <w:pPr>
        <w:ind w:left="720" w:hanging="360"/>
      </w:pPr>
      <w:rPr>
        <w:rFonts w:ascii="Symbol" w:eastAsia="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710" w15:restartNumberingAfterBreak="0">
    <w:nsid w:val="78AA6207"/>
    <w:multiLevelType w:val="hybridMultilevel"/>
    <w:tmpl w:val="C0B454EA"/>
    <w:lvl w:ilvl="0" w:tplc="FFFFFFFF">
      <w:start w:val="1"/>
      <w:numFmt w:val="lowerLetter"/>
      <w:lvlText w:val="%1."/>
      <w:lvlJc w:val="left"/>
      <w:pPr>
        <w:ind w:left="720" w:hanging="360"/>
      </w:pPr>
    </w:lvl>
    <w:lvl w:ilvl="1" w:tplc="1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1" w15:restartNumberingAfterBreak="0">
    <w:nsid w:val="78AE7AB8"/>
    <w:multiLevelType w:val="hybridMultilevel"/>
    <w:tmpl w:val="641C0FF0"/>
    <w:lvl w:ilvl="0" w:tplc="18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2" w15:restartNumberingAfterBreak="0">
    <w:nsid w:val="78D59BCD"/>
    <w:multiLevelType w:val="hybridMultilevel"/>
    <w:tmpl w:val="8C4CEC46"/>
    <w:lvl w:ilvl="0" w:tplc="F45E8384">
      <w:start w:val="1"/>
      <w:numFmt w:val="bullet"/>
      <w:lvlText w:val=""/>
      <w:lvlJc w:val="left"/>
      <w:pPr>
        <w:ind w:left="720" w:hanging="360"/>
      </w:pPr>
      <w:rPr>
        <w:rFonts w:ascii="Symbol" w:hAnsi="Symbol" w:hint="default"/>
      </w:rPr>
    </w:lvl>
    <w:lvl w:ilvl="1" w:tplc="D48235BE">
      <w:start w:val="1"/>
      <w:numFmt w:val="bullet"/>
      <w:lvlText w:val="o"/>
      <w:lvlJc w:val="left"/>
      <w:pPr>
        <w:ind w:left="1440" w:hanging="360"/>
      </w:pPr>
      <w:rPr>
        <w:rFonts w:ascii="Courier New" w:hAnsi="Courier New" w:hint="default"/>
      </w:rPr>
    </w:lvl>
    <w:lvl w:ilvl="2" w:tplc="4B6CF0F8">
      <w:start w:val="1"/>
      <w:numFmt w:val="bullet"/>
      <w:lvlText w:val=""/>
      <w:lvlJc w:val="left"/>
      <w:pPr>
        <w:ind w:left="2160" w:hanging="360"/>
      </w:pPr>
      <w:rPr>
        <w:rFonts w:ascii="Wingdings" w:hAnsi="Wingdings" w:hint="default"/>
      </w:rPr>
    </w:lvl>
    <w:lvl w:ilvl="3" w:tplc="0F5CB2E4">
      <w:start w:val="1"/>
      <w:numFmt w:val="bullet"/>
      <w:lvlText w:val=""/>
      <w:lvlJc w:val="left"/>
      <w:pPr>
        <w:ind w:left="2880" w:hanging="360"/>
      </w:pPr>
      <w:rPr>
        <w:rFonts w:ascii="Symbol" w:hAnsi="Symbol" w:hint="default"/>
      </w:rPr>
    </w:lvl>
    <w:lvl w:ilvl="4" w:tplc="88B0626A">
      <w:start w:val="1"/>
      <w:numFmt w:val="bullet"/>
      <w:lvlText w:val="o"/>
      <w:lvlJc w:val="left"/>
      <w:pPr>
        <w:ind w:left="3600" w:hanging="360"/>
      </w:pPr>
      <w:rPr>
        <w:rFonts w:ascii="Courier New" w:hAnsi="Courier New" w:hint="default"/>
      </w:rPr>
    </w:lvl>
    <w:lvl w:ilvl="5" w:tplc="E32E12E0">
      <w:start w:val="1"/>
      <w:numFmt w:val="bullet"/>
      <w:lvlText w:val=""/>
      <w:lvlJc w:val="left"/>
      <w:pPr>
        <w:ind w:left="4320" w:hanging="360"/>
      </w:pPr>
      <w:rPr>
        <w:rFonts w:ascii="Wingdings" w:hAnsi="Wingdings" w:hint="default"/>
      </w:rPr>
    </w:lvl>
    <w:lvl w:ilvl="6" w:tplc="7D546A18">
      <w:start w:val="1"/>
      <w:numFmt w:val="bullet"/>
      <w:lvlText w:val=""/>
      <w:lvlJc w:val="left"/>
      <w:pPr>
        <w:ind w:left="5040" w:hanging="360"/>
      </w:pPr>
      <w:rPr>
        <w:rFonts w:ascii="Symbol" w:hAnsi="Symbol" w:hint="default"/>
      </w:rPr>
    </w:lvl>
    <w:lvl w:ilvl="7" w:tplc="7116DBEA">
      <w:start w:val="1"/>
      <w:numFmt w:val="bullet"/>
      <w:lvlText w:val="o"/>
      <w:lvlJc w:val="left"/>
      <w:pPr>
        <w:ind w:left="5760" w:hanging="360"/>
      </w:pPr>
      <w:rPr>
        <w:rFonts w:ascii="Courier New" w:hAnsi="Courier New" w:hint="default"/>
      </w:rPr>
    </w:lvl>
    <w:lvl w:ilvl="8" w:tplc="37D8E236">
      <w:start w:val="1"/>
      <w:numFmt w:val="bullet"/>
      <w:lvlText w:val=""/>
      <w:lvlJc w:val="left"/>
      <w:pPr>
        <w:ind w:left="6480" w:hanging="360"/>
      </w:pPr>
      <w:rPr>
        <w:rFonts w:ascii="Wingdings" w:hAnsi="Wingdings" w:hint="default"/>
      </w:rPr>
    </w:lvl>
  </w:abstractNum>
  <w:abstractNum w:abstractNumId="713" w15:restartNumberingAfterBreak="0">
    <w:nsid w:val="790585AC"/>
    <w:multiLevelType w:val="hybridMultilevel"/>
    <w:tmpl w:val="FFFFFFFF"/>
    <w:lvl w:ilvl="0" w:tplc="96584A66">
      <w:start w:val="2"/>
      <w:numFmt w:val="decimal"/>
      <w:lvlText w:val="%1."/>
      <w:lvlJc w:val="left"/>
      <w:pPr>
        <w:ind w:left="720" w:hanging="360"/>
      </w:pPr>
    </w:lvl>
    <w:lvl w:ilvl="1" w:tplc="8208FC1E">
      <w:start w:val="1"/>
      <w:numFmt w:val="lowerLetter"/>
      <w:lvlText w:val="%2."/>
      <w:lvlJc w:val="left"/>
      <w:pPr>
        <w:ind w:left="1440" w:hanging="360"/>
      </w:pPr>
    </w:lvl>
    <w:lvl w:ilvl="2" w:tplc="96EA19B2">
      <w:start w:val="1"/>
      <w:numFmt w:val="lowerRoman"/>
      <w:lvlText w:val="%3."/>
      <w:lvlJc w:val="right"/>
      <w:pPr>
        <w:ind w:left="2160" w:hanging="180"/>
      </w:pPr>
    </w:lvl>
    <w:lvl w:ilvl="3" w:tplc="06542F16">
      <w:start w:val="1"/>
      <w:numFmt w:val="decimal"/>
      <w:lvlText w:val="%4."/>
      <w:lvlJc w:val="left"/>
      <w:pPr>
        <w:ind w:left="2880" w:hanging="360"/>
      </w:pPr>
    </w:lvl>
    <w:lvl w:ilvl="4" w:tplc="BF7464C0">
      <w:start w:val="1"/>
      <w:numFmt w:val="lowerLetter"/>
      <w:lvlText w:val="%5."/>
      <w:lvlJc w:val="left"/>
      <w:pPr>
        <w:ind w:left="3600" w:hanging="360"/>
      </w:pPr>
    </w:lvl>
    <w:lvl w:ilvl="5" w:tplc="A4D28FD8">
      <w:start w:val="1"/>
      <w:numFmt w:val="lowerRoman"/>
      <w:lvlText w:val="%6."/>
      <w:lvlJc w:val="right"/>
      <w:pPr>
        <w:ind w:left="4320" w:hanging="180"/>
      </w:pPr>
    </w:lvl>
    <w:lvl w:ilvl="6" w:tplc="D018B258">
      <w:start w:val="1"/>
      <w:numFmt w:val="decimal"/>
      <w:lvlText w:val="%7."/>
      <w:lvlJc w:val="left"/>
      <w:pPr>
        <w:ind w:left="5040" w:hanging="360"/>
      </w:pPr>
    </w:lvl>
    <w:lvl w:ilvl="7" w:tplc="621C2AA8">
      <w:start w:val="1"/>
      <w:numFmt w:val="lowerLetter"/>
      <w:lvlText w:val="%8."/>
      <w:lvlJc w:val="left"/>
      <w:pPr>
        <w:ind w:left="5760" w:hanging="360"/>
      </w:pPr>
    </w:lvl>
    <w:lvl w:ilvl="8" w:tplc="CD9A1BDC">
      <w:start w:val="1"/>
      <w:numFmt w:val="lowerRoman"/>
      <w:lvlText w:val="%9."/>
      <w:lvlJc w:val="right"/>
      <w:pPr>
        <w:ind w:left="6480" w:hanging="180"/>
      </w:pPr>
    </w:lvl>
  </w:abstractNum>
  <w:abstractNum w:abstractNumId="714" w15:restartNumberingAfterBreak="0">
    <w:nsid w:val="7941852A"/>
    <w:multiLevelType w:val="hybridMultilevel"/>
    <w:tmpl w:val="FFFFFFFF"/>
    <w:lvl w:ilvl="0" w:tplc="799AAA4C">
      <w:start w:val="4"/>
      <w:numFmt w:val="decimal"/>
      <w:lvlText w:val="%1."/>
      <w:lvlJc w:val="left"/>
      <w:pPr>
        <w:ind w:left="720" w:hanging="360"/>
      </w:pPr>
    </w:lvl>
    <w:lvl w:ilvl="1" w:tplc="A80ECE9A">
      <w:start w:val="1"/>
      <w:numFmt w:val="lowerLetter"/>
      <w:lvlText w:val="%2."/>
      <w:lvlJc w:val="left"/>
      <w:pPr>
        <w:ind w:left="1440" w:hanging="360"/>
      </w:pPr>
    </w:lvl>
    <w:lvl w:ilvl="2" w:tplc="A650FE20">
      <w:start w:val="1"/>
      <w:numFmt w:val="lowerRoman"/>
      <w:lvlText w:val="%3."/>
      <w:lvlJc w:val="right"/>
      <w:pPr>
        <w:ind w:left="2160" w:hanging="180"/>
      </w:pPr>
    </w:lvl>
    <w:lvl w:ilvl="3" w:tplc="D55A9A90">
      <w:start w:val="1"/>
      <w:numFmt w:val="decimal"/>
      <w:lvlText w:val="%4."/>
      <w:lvlJc w:val="left"/>
      <w:pPr>
        <w:ind w:left="2880" w:hanging="360"/>
      </w:pPr>
    </w:lvl>
    <w:lvl w:ilvl="4" w:tplc="2E98F672">
      <w:start w:val="1"/>
      <w:numFmt w:val="lowerLetter"/>
      <w:lvlText w:val="%5."/>
      <w:lvlJc w:val="left"/>
      <w:pPr>
        <w:ind w:left="3600" w:hanging="360"/>
      </w:pPr>
    </w:lvl>
    <w:lvl w:ilvl="5" w:tplc="20E8A7D4">
      <w:start w:val="1"/>
      <w:numFmt w:val="lowerRoman"/>
      <w:lvlText w:val="%6."/>
      <w:lvlJc w:val="right"/>
      <w:pPr>
        <w:ind w:left="4320" w:hanging="180"/>
      </w:pPr>
    </w:lvl>
    <w:lvl w:ilvl="6" w:tplc="07F80F88">
      <w:start w:val="1"/>
      <w:numFmt w:val="decimal"/>
      <w:lvlText w:val="%7."/>
      <w:lvlJc w:val="left"/>
      <w:pPr>
        <w:ind w:left="5040" w:hanging="360"/>
      </w:pPr>
    </w:lvl>
    <w:lvl w:ilvl="7" w:tplc="4A1C89C8">
      <w:start w:val="1"/>
      <w:numFmt w:val="lowerLetter"/>
      <w:lvlText w:val="%8."/>
      <w:lvlJc w:val="left"/>
      <w:pPr>
        <w:ind w:left="5760" w:hanging="360"/>
      </w:pPr>
    </w:lvl>
    <w:lvl w:ilvl="8" w:tplc="2BDC0566">
      <w:start w:val="1"/>
      <w:numFmt w:val="lowerRoman"/>
      <w:lvlText w:val="%9."/>
      <w:lvlJc w:val="right"/>
      <w:pPr>
        <w:ind w:left="6480" w:hanging="180"/>
      </w:pPr>
    </w:lvl>
  </w:abstractNum>
  <w:abstractNum w:abstractNumId="715" w15:restartNumberingAfterBreak="0">
    <w:nsid w:val="79D36099"/>
    <w:multiLevelType w:val="hybridMultilevel"/>
    <w:tmpl w:val="10341BCE"/>
    <w:lvl w:ilvl="0" w:tplc="1809000F">
      <w:start w:val="1"/>
      <w:numFmt w:val="decimal"/>
      <w:lvlText w:val="%1."/>
      <w:lvlJc w:val="left"/>
      <w:pPr>
        <w:ind w:left="720" w:hanging="360"/>
      </w:pPr>
      <w:rPr>
        <w:rFonts w:hint="default"/>
      </w:rPr>
    </w:lvl>
    <w:lvl w:ilvl="1" w:tplc="1809000F">
      <w:start w:val="1"/>
      <w:numFmt w:val="decimal"/>
      <w:lvlText w:val="%2."/>
      <w:lvlJc w:val="left"/>
      <w:pPr>
        <w:ind w:left="1440" w:hanging="360"/>
      </w:pPr>
    </w:lvl>
    <w:lvl w:ilvl="2" w:tplc="1809001B">
      <w:start w:val="1"/>
      <w:numFmt w:val="lowerRoman"/>
      <w:lvlText w:val="%3."/>
      <w:lvlJc w:val="right"/>
      <w:pPr>
        <w:ind w:left="2340" w:hanging="360"/>
      </w:p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6" w15:restartNumberingAfterBreak="0">
    <w:nsid w:val="7A0E4170"/>
    <w:multiLevelType w:val="hybridMultilevel"/>
    <w:tmpl w:val="2D826320"/>
    <w:lvl w:ilvl="0" w:tplc="0C0A0001">
      <w:start w:val="1"/>
      <w:numFmt w:val="bullet"/>
      <w:lvlText w:val=""/>
      <w:lvlJc w:val="left"/>
      <w:pPr>
        <w:ind w:left="1068" w:hanging="360"/>
      </w:pPr>
      <w:rPr>
        <w:rFonts w:ascii="Segoe UI" w:hAnsi="Segoe UI" w:hint="default"/>
      </w:rPr>
    </w:lvl>
    <w:lvl w:ilvl="1" w:tplc="0C0A0003">
      <w:start w:val="1"/>
      <w:numFmt w:val="bullet"/>
      <w:lvlText w:val="o"/>
      <w:lvlJc w:val="left"/>
      <w:pPr>
        <w:ind w:left="1788" w:hanging="360"/>
      </w:pPr>
      <w:rPr>
        <w:rFonts w:ascii="Courier New" w:hAnsi="Courier New" w:cs="Courier New" w:hint="default"/>
      </w:rPr>
    </w:lvl>
    <w:lvl w:ilvl="2" w:tplc="4A08A748">
      <w:numFmt w:val="bullet"/>
      <w:lvlText w:val="•"/>
      <w:lvlJc w:val="left"/>
      <w:pPr>
        <w:ind w:left="2508" w:hanging="360"/>
      </w:pPr>
      <w:rPr>
        <w:rFonts w:ascii="Aptos" w:eastAsiaTheme="minorHAnsi" w:hAnsi="Aptos" w:cs="Aptos" w:hint="default"/>
      </w:rPr>
    </w:lvl>
    <w:lvl w:ilvl="3" w:tplc="0C0A0001" w:tentative="1">
      <w:start w:val="1"/>
      <w:numFmt w:val="bullet"/>
      <w:lvlText w:val=""/>
      <w:lvlJc w:val="left"/>
      <w:pPr>
        <w:ind w:left="3228" w:hanging="360"/>
      </w:pPr>
      <w:rPr>
        <w:rFonts w:ascii="Segoe UI" w:hAnsi="Segoe UI"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Cambria Math" w:hAnsi="Cambria Math" w:hint="default"/>
      </w:rPr>
    </w:lvl>
    <w:lvl w:ilvl="6" w:tplc="0C0A0001" w:tentative="1">
      <w:start w:val="1"/>
      <w:numFmt w:val="bullet"/>
      <w:lvlText w:val=""/>
      <w:lvlJc w:val="left"/>
      <w:pPr>
        <w:ind w:left="5388" w:hanging="360"/>
      </w:pPr>
      <w:rPr>
        <w:rFonts w:ascii="Segoe UI" w:hAnsi="Segoe UI"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Cambria Math" w:hAnsi="Cambria Math" w:hint="default"/>
      </w:rPr>
    </w:lvl>
  </w:abstractNum>
  <w:abstractNum w:abstractNumId="717" w15:restartNumberingAfterBreak="0">
    <w:nsid w:val="7A211D65"/>
    <w:multiLevelType w:val="multilevel"/>
    <w:tmpl w:val="D7F8F7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8" w15:restartNumberingAfterBreak="0">
    <w:nsid w:val="7A4151A5"/>
    <w:multiLevelType w:val="multilevel"/>
    <w:tmpl w:val="F89C24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9" w15:restartNumberingAfterBreak="0">
    <w:nsid w:val="7A4EB1C6"/>
    <w:multiLevelType w:val="hybridMultilevel"/>
    <w:tmpl w:val="FFFFFFFF"/>
    <w:lvl w:ilvl="0" w:tplc="AE206D24">
      <w:start w:val="3"/>
      <w:numFmt w:val="decimal"/>
      <w:lvlText w:val="%1."/>
      <w:lvlJc w:val="left"/>
      <w:pPr>
        <w:ind w:left="720" w:hanging="360"/>
      </w:pPr>
    </w:lvl>
    <w:lvl w:ilvl="1" w:tplc="9EDE2A3C">
      <w:start w:val="1"/>
      <w:numFmt w:val="lowerLetter"/>
      <w:lvlText w:val="%2."/>
      <w:lvlJc w:val="left"/>
      <w:pPr>
        <w:ind w:left="1440" w:hanging="360"/>
      </w:pPr>
    </w:lvl>
    <w:lvl w:ilvl="2" w:tplc="8A704C0A">
      <w:start w:val="1"/>
      <w:numFmt w:val="lowerRoman"/>
      <w:lvlText w:val="%3."/>
      <w:lvlJc w:val="right"/>
      <w:pPr>
        <w:ind w:left="2160" w:hanging="180"/>
      </w:pPr>
    </w:lvl>
    <w:lvl w:ilvl="3" w:tplc="B17C7608">
      <w:start w:val="1"/>
      <w:numFmt w:val="decimal"/>
      <w:lvlText w:val="%4."/>
      <w:lvlJc w:val="left"/>
      <w:pPr>
        <w:ind w:left="2880" w:hanging="360"/>
      </w:pPr>
    </w:lvl>
    <w:lvl w:ilvl="4" w:tplc="7CE258FC">
      <w:start w:val="1"/>
      <w:numFmt w:val="lowerLetter"/>
      <w:lvlText w:val="%5."/>
      <w:lvlJc w:val="left"/>
      <w:pPr>
        <w:ind w:left="3600" w:hanging="360"/>
      </w:pPr>
    </w:lvl>
    <w:lvl w:ilvl="5" w:tplc="215ACD00">
      <w:start w:val="1"/>
      <w:numFmt w:val="lowerRoman"/>
      <w:lvlText w:val="%6."/>
      <w:lvlJc w:val="right"/>
      <w:pPr>
        <w:ind w:left="4320" w:hanging="180"/>
      </w:pPr>
    </w:lvl>
    <w:lvl w:ilvl="6" w:tplc="245C2CCE">
      <w:start w:val="1"/>
      <w:numFmt w:val="decimal"/>
      <w:lvlText w:val="%7."/>
      <w:lvlJc w:val="left"/>
      <w:pPr>
        <w:ind w:left="5040" w:hanging="360"/>
      </w:pPr>
    </w:lvl>
    <w:lvl w:ilvl="7" w:tplc="50A411FC">
      <w:start w:val="1"/>
      <w:numFmt w:val="lowerLetter"/>
      <w:lvlText w:val="%8."/>
      <w:lvlJc w:val="left"/>
      <w:pPr>
        <w:ind w:left="5760" w:hanging="360"/>
      </w:pPr>
    </w:lvl>
    <w:lvl w:ilvl="8" w:tplc="532C40E0">
      <w:start w:val="1"/>
      <w:numFmt w:val="lowerRoman"/>
      <w:lvlText w:val="%9."/>
      <w:lvlJc w:val="right"/>
      <w:pPr>
        <w:ind w:left="6480" w:hanging="180"/>
      </w:pPr>
    </w:lvl>
  </w:abstractNum>
  <w:abstractNum w:abstractNumId="720" w15:restartNumberingAfterBreak="0">
    <w:nsid w:val="7A57295F"/>
    <w:multiLevelType w:val="multilevel"/>
    <w:tmpl w:val="AB7EAA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1" w15:restartNumberingAfterBreak="0">
    <w:nsid w:val="7ACE5AA2"/>
    <w:multiLevelType w:val="hybridMultilevel"/>
    <w:tmpl w:val="FFFFFFFF"/>
    <w:lvl w:ilvl="0" w:tplc="C17E9188">
      <w:start w:val="1"/>
      <w:numFmt w:val="bullet"/>
      <w:lvlText w:val="·"/>
      <w:lvlJc w:val="left"/>
      <w:pPr>
        <w:ind w:left="720" w:hanging="360"/>
      </w:pPr>
      <w:rPr>
        <w:rFonts w:ascii="Symbol" w:hAnsi="Symbol" w:hint="default"/>
      </w:rPr>
    </w:lvl>
    <w:lvl w:ilvl="1" w:tplc="853CC648">
      <w:start w:val="1"/>
      <w:numFmt w:val="bullet"/>
      <w:lvlText w:val="o"/>
      <w:lvlJc w:val="left"/>
      <w:pPr>
        <w:ind w:left="1440" w:hanging="360"/>
      </w:pPr>
      <w:rPr>
        <w:rFonts w:ascii="Courier New" w:hAnsi="Courier New" w:hint="default"/>
      </w:rPr>
    </w:lvl>
    <w:lvl w:ilvl="2" w:tplc="32FA20BC">
      <w:start w:val="1"/>
      <w:numFmt w:val="bullet"/>
      <w:lvlText w:val=""/>
      <w:lvlJc w:val="left"/>
      <w:pPr>
        <w:ind w:left="2160" w:hanging="360"/>
      </w:pPr>
      <w:rPr>
        <w:rFonts w:ascii="Wingdings" w:hAnsi="Wingdings" w:hint="default"/>
      </w:rPr>
    </w:lvl>
    <w:lvl w:ilvl="3" w:tplc="26A6384E">
      <w:start w:val="1"/>
      <w:numFmt w:val="bullet"/>
      <w:lvlText w:val=""/>
      <w:lvlJc w:val="left"/>
      <w:pPr>
        <w:ind w:left="2880" w:hanging="360"/>
      </w:pPr>
      <w:rPr>
        <w:rFonts w:ascii="Symbol" w:hAnsi="Symbol" w:hint="default"/>
      </w:rPr>
    </w:lvl>
    <w:lvl w:ilvl="4" w:tplc="504029F2">
      <w:start w:val="1"/>
      <w:numFmt w:val="bullet"/>
      <w:lvlText w:val="o"/>
      <w:lvlJc w:val="left"/>
      <w:pPr>
        <w:ind w:left="3600" w:hanging="360"/>
      </w:pPr>
      <w:rPr>
        <w:rFonts w:ascii="Courier New" w:hAnsi="Courier New" w:hint="default"/>
      </w:rPr>
    </w:lvl>
    <w:lvl w:ilvl="5" w:tplc="8506C1A4">
      <w:start w:val="1"/>
      <w:numFmt w:val="bullet"/>
      <w:lvlText w:val=""/>
      <w:lvlJc w:val="left"/>
      <w:pPr>
        <w:ind w:left="4320" w:hanging="360"/>
      </w:pPr>
      <w:rPr>
        <w:rFonts w:ascii="Wingdings" w:hAnsi="Wingdings" w:hint="default"/>
      </w:rPr>
    </w:lvl>
    <w:lvl w:ilvl="6" w:tplc="50007B82">
      <w:start w:val="1"/>
      <w:numFmt w:val="bullet"/>
      <w:lvlText w:val=""/>
      <w:lvlJc w:val="left"/>
      <w:pPr>
        <w:ind w:left="5040" w:hanging="360"/>
      </w:pPr>
      <w:rPr>
        <w:rFonts w:ascii="Symbol" w:hAnsi="Symbol" w:hint="default"/>
      </w:rPr>
    </w:lvl>
    <w:lvl w:ilvl="7" w:tplc="91B2E404">
      <w:start w:val="1"/>
      <w:numFmt w:val="bullet"/>
      <w:lvlText w:val="o"/>
      <w:lvlJc w:val="left"/>
      <w:pPr>
        <w:ind w:left="5760" w:hanging="360"/>
      </w:pPr>
      <w:rPr>
        <w:rFonts w:ascii="Courier New" w:hAnsi="Courier New" w:hint="default"/>
      </w:rPr>
    </w:lvl>
    <w:lvl w:ilvl="8" w:tplc="059C8FF0">
      <w:start w:val="1"/>
      <w:numFmt w:val="bullet"/>
      <w:lvlText w:val=""/>
      <w:lvlJc w:val="left"/>
      <w:pPr>
        <w:ind w:left="6480" w:hanging="360"/>
      </w:pPr>
      <w:rPr>
        <w:rFonts w:ascii="Wingdings" w:hAnsi="Wingdings" w:hint="default"/>
      </w:rPr>
    </w:lvl>
  </w:abstractNum>
  <w:abstractNum w:abstractNumId="722" w15:restartNumberingAfterBreak="0">
    <w:nsid w:val="7B245AD1"/>
    <w:multiLevelType w:val="hybridMultilevel"/>
    <w:tmpl w:val="976C9254"/>
    <w:lvl w:ilvl="0" w:tplc="7BD636D8">
      <w:start w:val="5"/>
      <w:numFmt w:val="lowerLetter"/>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3" w15:restartNumberingAfterBreak="0">
    <w:nsid w:val="7B314C45"/>
    <w:multiLevelType w:val="hybridMultilevel"/>
    <w:tmpl w:val="60C62A9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4" w15:restartNumberingAfterBreak="0">
    <w:nsid w:val="7B414B80"/>
    <w:multiLevelType w:val="hybridMultilevel"/>
    <w:tmpl w:val="C66E115C"/>
    <w:lvl w:ilvl="0" w:tplc="312A5F28">
      <w:start w:val="1"/>
      <w:numFmt w:val="bullet"/>
      <w:lvlText w:val="-"/>
      <w:lvlJc w:val="left"/>
      <w:pPr>
        <w:ind w:left="720" w:hanging="360"/>
      </w:pPr>
      <w:rPr>
        <w:rFonts w:ascii="Cambria" w:eastAsiaTheme="minorHAnsi" w:hAnsi="Cambria" w:cs="Cambria"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725" w15:restartNumberingAfterBreak="0">
    <w:nsid w:val="7BA53934"/>
    <w:multiLevelType w:val="hybridMultilevel"/>
    <w:tmpl w:val="32A40AE4"/>
    <w:lvl w:ilvl="0" w:tplc="561CD8F8">
      <w:start w:val="1"/>
      <w:numFmt w:val="bullet"/>
      <w:lvlText w:val="-"/>
      <w:lvlJc w:val="left"/>
      <w:pPr>
        <w:ind w:left="1146"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6" w15:restartNumberingAfterBreak="0">
    <w:nsid w:val="7BACEA30"/>
    <w:multiLevelType w:val="hybridMultilevel"/>
    <w:tmpl w:val="FFFFFFFF"/>
    <w:lvl w:ilvl="0" w:tplc="C620755C">
      <w:start w:val="1"/>
      <w:numFmt w:val="decimal"/>
      <w:lvlText w:val="%1."/>
      <w:lvlJc w:val="left"/>
      <w:pPr>
        <w:ind w:left="720" w:hanging="360"/>
      </w:pPr>
    </w:lvl>
    <w:lvl w:ilvl="1" w:tplc="DD92B60A">
      <w:start w:val="1"/>
      <w:numFmt w:val="lowerLetter"/>
      <w:lvlText w:val="%2."/>
      <w:lvlJc w:val="left"/>
      <w:pPr>
        <w:ind w:left="1440" w:hanging="360"/>
      </w:pPr>
    </w:lvl>
    <w:lvl w:ilvl="2" w:tplc="431255E4">
      <w:start w:val="1"/>
      <w:numFmt w:val="lowerRoman"/>
      <w:lvlText w:val="%3."/>
      <w:lvlJc w:val="right"/>
      <w:pPr>
        <w:ind w:left="2160" w:hanging="180"/>
      </w:pPr>
    </w:lvl>
    <w:lvl w:ilvl="3" w:tplc="8B0A7E44">
      <w:start w:val="1"/>
      <w:numFmt w:val="decimal"/>
      <w:lvlText w:val="%4."/>
      <w:lvlJc w:val="left"/>
      <w:pPr>
        <w:ind w:left="2880" w:hanging="360"/>
      </w:pPr>
    </w:lvl>
    <w:lvl w:ilvl="4" w:tplc="6D98B9CA">
      <w:start w:val="1"/>
      <w:numFmt w:val="lowerLetter"/>
      <w:lvlText w:val="%5."/>
      <w:lvlJc w:val="left"/>
      <w:pPr>
        <w:ind w:left="3600" w:hanging="360"/>
      </w:pPr>
    </w:lvl>
    <w:lvl w:ilvl="5" w:tplc="2DF8FDF2">
      <w:start w:val="1"/>
      <w:numFmt w:val="lowerRoman"/>
      <w:lvlText w:val="%6."/>
      <w:lvlJc w:val="right"/>
      <w:pPr>
        <w:ind w:left="4320" w:hanging="180"/>
      </w:pPr>
    </w:lvl>
    <w:lvl w:ilvl="6" w:tplc="CCD6CB4A">
      <w:start w:val="1"/>
      <w:numFmt w:val="decimal"/>
      <w:lvlText w:val="%7."/>
      <w:lvlJc w:val="left"/>
      <w:pPr>
        <w:ind w:left="5040" w:hanging="360"/>
      </w:pPr>
    </w:lvl>
    <w:lvl w:ilvl="7" w:tplc="8CD2EEEE">
      <w:start w:val="1"/>
      <w:numFmt w:val="lowerLetter"/>
      <w:lvlText w:val="%8."/>
      <w:lvlJc w:val="left"/>
      <w:pPr>
        <w:ind w:left="5760" w:hanging="360"/>
      </w:pPr>
    </w:lvl>
    <w:lvl w:ilvl="8" w:tplc="A9FA6A58">
      <w:start w:val="1"/>
      <w:numFmt w:val="lowerRoman"/>
      <w:lvlText w:val="%9."/>
      <w:lvlJc w:val="right"/>
      <w:pPr>
        <w:ind w:left="6480" w:hanging="180"/>
      </w:pPr>
    </w:lvl>
  </w:abstractNum>
  <w:abstractNum w:abstractNumId="727" w15:restartNumberingAfterBreak="0">
    <w:nsid w:val="7BEB3116"/>
    <w:multiLevelType w:val="hybridMultilevel"/>
    <w:tmpl w:val="6F8CDA72"/>
    <w:lvl w:ilvl="0" w:tplc="1809001B">
      <w:start w:val="1"/>
      <w:numFmt w:val="lowerRoman"/>
      <w:lvlText w:val="%1."/>
      <w:lvlJc w:val="righ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28" w15:restartNumberingAfterBreak="0">
    <w:nsid w:val="7BEB322F"/>
    <w:multiLevelType w:val="multilevel"/>
    <w:tmpl w:val="D1869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9" w15:restartNumberingAfterBreak="0">
    <w:nsid w:val="7BF06854"/>
    <w:multiLevelType w:val="multilevel"/>
    <w:tmpl w:val="6F9A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0" w15:restartNumberingAfterBreak="0">
    <w:nsid w:val="7BF86B53"/>
    <w:multiLevelType w:val="hybridMultilevel"/>
    <w:tmpl w:val="D858486E"/>
    <w:lvl w:ilvl="0" w:tplc="23AE571E">
      <w:start w:val="2"/>
      <w:numFmt w:val="lowerLetter"/>
      <w:lvlText w:val="%1."/>
      <w:lvlJc w:val="left"/>
      <w:pPr>
        <w:ind w:left="720" w:hanging="360"/>
      </w:pPr>
    </w:lvl>
    <w:lvl w:ilvl="1" w:tplc="7E82A9C6">
      <w:start w:val="1"/>
      <w:numFmt w:val="lowerLetter"/>
      <w:lvlText w:val="%2."/>
      <w:lvlJc w:val="left"/>
      <w:pPr>
        <w:ind w:left="1440" w:hanging="360"/>
      </w:pPr>
    </w:lvl>
    <w:lvl w:ilvl="2" w:tplc="B0BC943C">
      <w:start w:val="1"/>
      <w:numFmt w:val="lowerRoman"/>
      <w:lvlText w:val="%3."/>
      <w:lvlJc w:val="right"/>
      <w:pPr>
        <w:ind w:left="2160" w:hanging="180"/>
      </w:pPr>
    </w:lvl>
    <w:lvl w:ilvl="3" w:tplc="3E1AFD4C">
      <w:start w:val="1"/>
      <w:numFmt w:val="decimal"/>
      <w:lvlText w:val="%4."/>
      <w:lvlJc w:val="left"/>
      <w:pPr>
        <w:ind w:left="2880" w:hanging="360"/>
      </w:pPr>
    </w:lvl>
    <w:lvl w:ilvl="4" w:tplc="CFCC7AEA">
      <w:start w:val="1"/>
      <w:numFmt w:val="lowerLetter"/>
      <w:lvlText w:val="%5."/>
      <w:lvlJc w:val="left"/>
      <w:pPr>
        <w:ind w:left="3600" w:hanging="360"/>
      </w:pPr>
    </w:lvl>
    <w:lvl w:ilvl="5" w:tplc="00424DB4">
      <w:start w:val="1"/>
      <w:numFmt w:val="lowerRoman"/>
      <w:lvlText w:val="%6."/>
      <w:lvlJc w:val="right"/>
      <w:pPr>
        <w:ind w:left="4320" w:hanging="180"/>
      </w:pPr>
    </w:lvl>
    <w:lvl w:ilvl="6" w:tplc="892CF7A6">
      <w:start w:val="1"/>
      <w:numFmt w:val="decimal"/>
      <w:lvlText w:val="%7."/>
      <w:lvlJc w:val="left"/>
      <w:pPr>
        <w:ind w:left="5040" w:hanging="360"/>
      </w:pPr>
    </w:lvl>
    <w:lvl w:ilvl="7" w:tplc="25022B18">
      <w:start w:val="1"/>
      <w:numFmt w:val="lowerLetter"/>
      <w:lvlText w:val="%8."/>
      <w:lvlJc w:val="left"/>
      <w:pPr>
        <w:ind w:left="5760" w:hanging="360"/>
      </w:pPr>
    </w:lvl>
    <w:lvl w:ilvl="8" w:tplc="C3AE92A6">
      <w:start w:val="1"/>
      <w:numFmt w:val="lowerRoman"/>
      <w:lvlText w:val="%9."/>
      <w:lvlJc w:val="right"/>
      <w:pPr>
        <w:ind w:left="6480" w:hanging="180"/>
      </w:pPr>
    </w:lvl>
  </w:abstractNum>
  <w:abstractNum w:abstractNumId="731" w15:restartNumberingAfterBreak="0">
    <w:nsid w:val="7C065371"/>
    <w:multiLevelType w:val="multilevel"/>
    <w:tmpl w:val="D1EE0FAC"/>
    <w:lvl w:ilvl="0">
      <w:start w:val="1"/>
      <w:numFmt w:val="lowerRoman"/>
      <w:lvlText w:val="%1."/>
      <w:lvlJc w:val="right"/>
      <w:pPr>
        <w:tabs>
          <w:tab w:val="num" w:pos="1800"/>
        </w:tabs>
        <w:ind w:left="1800" w:hanging="360"/>
      </w:pPr>
      <w:rPr>
        <w:rFonts w:hint="default"/>
      </w:rPr>
    </w:lvl>
    <w:lvl w:ilvl="1">
      <w:start w:val="1"/>
      <w:numFmt w:val="lowerRoman"/>
      <w:lvlText w:val="%2."/>
      <w:lvlJc w:val="right"/>
      <w:pPr>
        <w:tabs>
          <w:tab w:val="num" w:pos="2520"/>
        </w:tabs>
        <w:ind w:left="2520" w:hanging="360"/>
      </w:pPr>
      <w:rPr>
        <w:rFonts w:hint="default"/>
      </w:rPr>
    </w:lvl>
    <w:lvl w:ilvl="2">
      <w:start w:val="1"/>
      <w:numFmt w:val="lowerRoman"/>
      <w:lvlText w:val="%3."/>
      <w:lvlJc w:val="right"/>
      <w:pPr>
        <w:tabs>
          <w:tab w:val="num" w:pos="3240"/>
        </w:tabs>
        <w:ind w:left="3240" w:hanging="360"/>
      </w:pPr>
      <w:rPr>
        <w:rFonts w:hint="default"/>
      </w:rPr>
    </w:lvl>
    <w:lvl w:ilvl="3">
      <w:start w:val="1"/>
      <w:numFmt w:val="lowerRoman"/>
      <w:lvlText w:val="%4."/>
      <w:lvlJc w:val="right"/>
      <w:pPr>
        <w:tabs>
          <w:tab w:val="num" w:pos="3960"/>
        </w:tabs>
        <w:ind w:left="3960" w:hanging="360"/>
      </w:pPr>
      <w:rPr>
        <w:rFonts w:hint="default"/>
      </w:rPr>
    </w:lvl>
    <w:lvl w:ilvl="4">
      <w:start w:val="1"/>
      <w:numFmt w:val="lowerRoman"/>
      <w:lvlText w:val="%5."/>
      <w:lvlJc w:val="right"/>
      <w:pPr>
        <w:tabs>
          <w:tab w:val="num" w:pos="4680"/>
        </w:tabs>
        <w:ind w:left="4680" w:hanging="360"/>
      </w:pPr>
      <w:rPr>
        <w:rFonts w:hint="default"/>
      </w:rPr>
    </w:lvl>
    <w:lvl w:ilvl="5">
      <w:start w:val="1"/>
      <w:numFmt w:val="lowerRoman"/>
      <w:lvlText w:val="%6."/>
      <w:lvlJc w:val="right"/>
      <w:pPr>
        <w:tabs>
          <w:tab w:val="num" w:pos="5400"/>
        </w:tabs>
        <w:ind w:left="5400" w:hanging="360"/>
      </w:pPr>
      <w:rPr>
        <w:rFonts w:hint="default"/>
      </w:rPr>
    </w:lvl>
    <w:lvl w:ilvl="6">
      <w:start w:val="1"/>
      <w:numFmt w:val="lowerRoman"/>
      <w:lvlText w:val="%7."/>
      <w:lvlJc w:val="right"/>
      <w:pPr>
        <w:tabs>
          <w:tab w:val="num" w:pos="6120"/>
        </w:tabs>
        <w:ind w:left="6120" w:hanging="360"/>
      </w:pPr>
      <w:rPr>
        <w:rFonts w:hint="default"/>
      </w:rPr>
    </w:lvl>
    <w:lvl w:ilvl="7">
      <w:start w:val="1"/>
      <w:numFmt w:val="lowerRoman"/>
      <w:lvlText w:val="%8."/>
      <w:lvlJc w:val="right"/>
      <w:pPr>
        <w:tabs>
          <w:tab w:val="num" w:pos="6840"/>
        </w:tabs>
        <w:ind w:left="6840" w:hanging="360"/>
      </w:pPr>
      <w:rPr>
        <w:rFonts w:hint="default"/>
      </w:rPr>
    </w:lvl>
    <w:lvl w:ilvl="8">
      <w:start w:val="1"/>
      <w:numFmt w:val="lowerRoman"/>
      <w:lvlText w:val="%9."/>
      <w:lvlJc w:val="right"/>
      <w:pPr>
        <w:tabs>
          <w:tab w:val="num" w:pos="7560"/>
        </w:tabs>
        <w:ind w:left="7560" w:hanging="360"/>
      </w:pPr>
      <w:rPr>
        <w:rFonts w:hint="default"/>
      </w:rPr>
    </w:lvl>
  </w:abstractNum>
  <w:abstractNum w:abstractNumId="732" w15:restartNumberingAfterBreak="0">
    <w:nsid w:val="7C227792"/>
    <w:multiLevelType w:val="hybridMultilevel"/>
    <w:tmpl w:val="1B82981A"/>
    <w:lvl w:ilvl="0" w:tplc="FFFFFFFF">
      <w:start w:val="1"/>
      <w:numFmt w:val="decimal"/>
      <w:lvlText w:val="%1."/>
      <w:lvlJc w:val="left"/>
      <w:pPr>
        <w:ind w:left="720" w:hanging="360"/>
      </w:pPr>
      <w:rPr>
        <w:rFonts w:hint="default"/>
        <w:b/>
        <w:bCs/>
      </w:rPr>
    </w:lvl>
    <w:lvl w:ilvl="1" w:tplc="1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3" w15:restartNumberingAfterBreak="0">
    <w:nsid w:val="7C4709B9"/>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734" w15:restartNumberingAfterBreak="0">
    <w:nsid w:val="7C7750A6"/>
    <w:multiLevelType w:val="hybridMultilevel"/>
    <w:tmpl w:val="FFFFFFFF"/>
    <w:lvl w:ilvl="0" w:tplc="70DE8CA2">
      <w:start w:val="1"/>
      <w:numFmt w:val="decimal"/>
      <w:lvlText w:val="%1."/>
      <w:lvlJc w:val="left"/>
      <w:pPr>
        <w:ind w:left="720" w:hanging="360"/>
      </w:pPr>
    </w:lvl>
    <w:lvl w:ilvl="1" w:tplc="CB5068AE">
      <w:start w:val="1"/>
      <w:numFmt w:val="lowerLetter"/>
      <w:lvlText w:val="%2."/>
      <w:lvlJc w:val="left"/>
      <w:pPr>
        <w:ind w:left="1440" w:hanging="360"/>
      </w:pPr>
    </w:lvl>
    <w:lvl w:ilvl="2" w:tplc="5A5E4106">
      <w:start w:val="1"/>
      <w:numFmt w:val="lowerRoman"/>
      <w:lvlText w:val="%3."/>
      <w:lvlJc w:val="right"/>
      <w:pPr>
        <w:ind w:left="2160" w:hanging="180"/>
      </w:pPr>
    </w:lvl>
    <w:lvl w:ilvl="3" w:tplc="159C5A98">
      <w:start w:val="1"/>
      <w:numFmt w:val="decimal"/>
      <w:lvlText w:val="%4."/>
      <w:lvlJc w:val="left"/>
      <w:pPr>
        <w:ind w:left="2880" w:hanging="360"/>
      </w:pPr>
    </w:lvl>
    <w:lvl w:ilvl="4" w:tplc="E08E504E">
      <w:start w:val="1"/>
      <w:numFmt w:val="lowerLetter"/>
      <w:lvlText w:val="%5."/>
      <w:lvlJc w:val="left"/>
      <w:pPr>
        <w:ind w:left="3600" w:hanging="360"/>
      </w:pPr>
    </w:lvl>
    <w:lvl w:ilvl="5" w:tplc="517ED0A0">
      <w:start w:val="1"/>
      <w:numFmt w:val="lowerRoman"/>
      <w:lvlText w:val="%6."/>
      <w:lvlJc w:val="right"/>
      <w:pPr>
        <w:ind w:left="4320" w:hanging="180"/>
      </w:pPr>
    </w:lvl>
    <w:lvl w:ilvl="6" w:tplc="2E3044F0">
      <w:start w:val="1"/>
      <w:numFmt w:val="decimal"/>
      <w:lvlText w:val="%7."/>
      <w:lvlJc w:val="left"/>
      <w:pPr>
        <w:ind w:left="5040" w:hanging="360"/>
      </w:pPr>
    </w:lvl>
    <w:lvl w:ilvl="7" w:tplc="3518557E">
      <w:start w:val="1"/>
      <w:numFmt w:val="lowerLetter"/>
      <w:lvlText w:val="%8."/>
      <w:lvlJc w:val="left"/>
      <w:pPr>
        <w:ind w:left="5760" w:hanging="360"/>
      </w:pPr>
    </w:lvl>
    <w:lvl w:ilvl="8" w:tplc="35C41E8E">
      <w:start w:val="1"/>
      <w:numFmt w:val="lowerRoman"/>
      <w:lvlText w:val="%9."/>
      <w:lvlJc w:val="right"/>
      <w:pPr>
        <w:ind w:left="6480" w:hanging="180"/>
      </w:pPr>
    </w:lvl>
  </w:abstractNum>
  <w:abstractNum w:abstractNumId="735" w15:restartNumberingAfterBreak="0">
    <w:nsid w:val="7C7A1769"/>
    <w:multiLevelType w:val="multilevel"/>
    <w:tmpl w:val="8CFC3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6" w15:restartNumberingAfterBreak="0">
    <w:nsid w:val="7C7E4710"/>
    <w:multiLevelType w:val="multilevel"/>
    <w:tmpl w:val="D81C371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7" w15:restartNumberingAfterBreak="0">
    <w:nsid w:val="7CA77FBF"/>
    <w:multiLevelType w:val="hybridMultilevel"/>
    <w:tmpl w:val="FFFFFFFF"/>
    <w:lvl w:ilvl="0" w:tplc="56345B4C">
      <w:start w:val="1"/>
      <w:numFmt w:val="bullet"/>
      <w:lvlText w:val=""/>
      <w:lvlJc w:val="left"/>
      <w:pPr>
        <w:ind w:left="720" w:hanging="360"/>
      </w:pPr>
      <w:rPr>
        <w:rFonts w:ascii="Segoe UI" w:hAnsi="Segoe UI" w:hint="default"/>
      </w:rPr>
    </w:lvl>
    <w:lvl w:ilvl="1" w:tplc="F9F60570">
      <w:start w:val="1"/>
      <w:numFmt w:val="bullet"/>
      <w:lvlText w:val="o"/>
      <w:lvlJc w:val="left"/>
      <w:pPr>
        <w:ind w:left="1440" w:hanging="360"/>
      </w:pPr>
      <w:rPr>
        <w:rFonts w:ascii="Courier New" w:hAnsi="Courier New" w:hint="default"/>
      </w:rPr>
    </w:lvl>
    <w:lvl w:ilvl="2" w:tplc="0584E2DA">
      <w:start w:val="1"/>
      <w:numFmt w:val="bullet"/>
      <w:lvlText w:val=""/>
      <w:lvlJc w:val="left"/>
      <w:pPr>
        <w:ind w:left="2160" w:hanging="360"/>
      </w:pPr>
      <w:rPr>
        <w:rFonts w:ascii="Cambria Math" w:hAnsi="Cambria Math" w:hint="default"/>
      </w:rPr>
    </w:lvl>
    <w:lvl w:ilvl="3" w:tplc="6E30AFB2">
      <w:start w:val="1"/>
      <w:numFmt w:val="bullet"/>
      <w:lvlText w:val=""/>
      <w:lvlJc w:val="left"/>
      <w:pPr>
        <w:ind w:left="2880" w:hanging="360"/>
      </w:pPr>
      <w:rPr>
        <w:rFonts w:ascii="Segoe UI" w:hAnsi="Segoe UI" w:hint="default"/>
      </w:rPr>
    </w:lvl>
    <w:lvl w:ilvl="4" w:tplc="E6CA7CD4">
      <w:start w:val="1"/>
      <w:numFmt w:val="bullet"/>
      <w:lvlText w:val="o"/>
      <w:lvlJc w:val="left"/>
      <w:pPr>
        <w:ind w:left="3600" w:hanging="360"/>
      </w:pPr>
      <w:rPr>
        <w:rFonts w:ascii="Courier New" w:hAnsi="Courier New" w:hint="default"/>
      </w:rPr>
    </w:lvl>
    <w:lvl w:ilvl="5" w:tplc="3A6EF328">
      <w:start w:val="1"/>
      <w:numFmt w:val="bullet"/>
      <w:lvlText w:val=""/>
      <w:lvlJc w:val="left"/>
      <w:pPr>
        <w:ind w:left="4320" w:hanging="360"/>
      </w:pPr>
      <w:rPr>
        <w:rFonts w:ascii="Cambria Math" w:hAnsi="Cambria Math" w:hint="default"/>
      </w:rPr>
    </w:lvl>
    <w:lvl w:ilvl="6" w:tplc="EC1A56BC">
      <w:start w:val="1"/>
      <w:numFmt w:val="bullet"/>
      <w:lvlText w:val=""/>
      <w:lvlJc w:val="left"/>
      <w:pPr>
        <w:ind w:left="5040" w:hanging="360"/>
      </w:pPr>
      <w:rPr>
        <w:rFonts w:ascii="Segoe UI" w:hAnsi="Segoe UI" w:hint="default"/>
      </w:rPr>
    </w:lvl>
    <w:lvl w:ilvl="7" w:tplc="05EC94D2">
      <w:start w:val="1"/>
      <w:numFmt w:val="bullet"/>
      <w:lvlText w:val="o"/>
      <w:lvlJc w:val="left"/>
      <w:pPr>
        <w:ind w:left="5760" w:hanging="360"/>
      </w:pPr>
      <w:rPr>
        <w:rFonts w:ascii="Courier New" w:hAnsi="Courier New" w:hint="default"/>
      </w:rPr>
    </w:lvl>
    <w:lvl w:ilvl="8" w:tplc="D04EC7E6">
      <w:start w:val="1"/>
      <w:numFmt w:val="bullet"/>
      <w:lvlText w:val=""/>
      <w:lvlJc w:val="left"/>
      <w:pPr>
        <w:ind w:left="6480" w:hanging="360"/>
      </w:pPr>
      <w:rPr>
        <w:rFonts w:ascii="Cambria Math" w:hAnsi="Cambria Math" w:hint="default"/>
      </w:rPr>
    </w:lvl>
  </w:abstractNum>
  <w:abstractNum w:abstractNumId="738" w15:restartNumberingAfterBreak="0">
    <w:nsid w:val="7CB1591F"/>
    <w:multiLevelType w:val="hybridMultilevel"/>
    <w:tmpl w:val="90465D9C"/>
    <w:lvl w:ilvl="0" w:tplc="04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9"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740" w15:restartNumberingAfterBreak="0">
    <w:nsid w:val="7CCF5ABA"/>
    <w:multiLevelType w:val="hybridMultilevel"/>
    <w:tmpl w:val="89528FFA"/>
    <w:lvl w:ilvl="0" w:tplc="16A62AA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1" w15:restartNumberingAfterBreak="0">
    <w:nsid w:val="7D081A82"/>
    <w:multiLevelType w:val="hybridMultilevel"/>
    <w:tmpl w:val="260AD7EC"/>
    <w:lvl w:ilvl="0" w:tplc="24CE598A">
      <w:start w:val="1"/>
      <w:numFmt w:val="bullet"/>
      <w:lvlText w:val=""/>
      <w:lvlJc w:val="left"/>
      <w:pPr>
        <w:ind w:left="720" w:hanging="360"/>
      </w:pPr>
      <w:rPr>
        <w:rFonts w:ascii="Symbol" w:hAnsi="Symbol" w:hint="default"/>
      </w:rPr>
    </w:lvl>
    <w:lvl w:ilvl="1" w:tplc="687A7700">
      <w:start w:val="1"/>
      <w:numFmt w:val="bullet"/>
      <w:lvlText w:val="o"/>
      <w:lvlJc w:val="left"/>
      <w:pPr>
        <w:ind w:left="1440" w:hanging="360"/>
      </w:pPr>
      <w:rPr>
        <w:rFonts w:ascii="Courier New" w:hAnsi="Courier New" w:hint="default"/>
      </w:rPr>
    </w:lvl>
    <w:lvl w:ilvl="2" w:tplc="9B6601BE">
      <w:start w:val="1"/>
      <w:numFmt w:val="bullet"/>
      <w:lvlText w:val=""/>
      <w:lvlJc w:val="left"/>
      <w:pPr>
        <w:ind w:left="2160" w:hanging="360"/>
      </w:pPr>
      <w:rPr>
        <w:rFonts w:ascii="Wingdings" w:hAnsi="Wingdings" w:hint="default"/>
      </w:rPr>
    </w:lvl>
    <w:lvl w:ilvl="3" w:tplc="48A2CBA8">
      <w:start w:val="1"/>
      <w:numFmt w:val="bullet"/>
      <w:lvlText w:val=""/>
      <w:lvlJc w:val="left"/>
      <w:pPr>
        <w:ind w:left="2880" w:hanging="360"/>
      </w:pPr>
      <w:rPr>
        <w:rFonts w:ascii="Symbol" w:hAnsi="Symbol" w:hint="default"/>
      </w:rPr>
    </w:lvl>
    <w:lvl w:ilvl="4" w:tplc="97C4CAE2">
      <w:start w:val="1"/>
      <w:numFmt w:val="bullet"/>
      <w:lvlText w:val="o"/>
      <w:lvlJc w:val="left"/>
      <w:pPr>
        <w:ind w:left="3600" w:hanging="360"/>
      </w:pPr>
      <w:rPr>
        <w:rFonts w:ascii="Courier New" w:hAnsi="Courier New" w:hint="default"/>
      </w:rPr>
    </w:lvl>
    <w:lvl w:ilvl="5" w:tplc="BF2A29EE">
      <w:start w:val="1"/>
      <w:numFmt w:val="bullet"/>
      <w:lvlText w:val=""/>
      <w:lvlJc w:val="left"/>
      <w:pPr>
        <w:ind w:left="4320" w:hanging="360"/>
      </w:pPr>
      <w:rPr>
        <w:rFonts w:ascii="Wingdings" w:hAnsi="Wingdings" w:hint="default"/>
      </w:rPr>
    </w:lvl>
    <w:lvl w:ilvl="6" w:tplc="D7043F78">
      <w:start w:val="1"/>
      <w:numFmt w:val="bullet"/>
      <w:lvlText w:val=""/>
      <w:lvlJc w:val="left"/>
      <w:pPr>
        <w:ind w:left="5040" w:hanging="360"/>
      </w:pPr>
      <w:rPr>
        <w:rFonts w:ascii="Symbol" w:hAnsi="Symbol" w:hint="default"/>
      </w:rPr>
    </w:lvl>
    <w:lvl w:ilvl="7" w:tplc="544C67B4">
      <w:start w:val="1"/>
      <w:numFmt w:val="bullet"/>
      <w:lvlText w:val="o"/>
      <w:lvlJc w:val="left"/>
      <w:pPr>
        <w:ind w:left="5760" w:hanging="360"/>
      </w:pPr>
      <w:rPr>
        <w:rFonts w:ascii="Courier New" w:hAnsi="Courier New" w:hint="default"/>
      </w:rPr>
    </w:lvl>
    <w:lvl w:ilvl="8" w:tplc="F070C0C2">
      <w:start w:val="1"/>
      <w:numFmt w:val="bullet"/>
      <w:lvlText w:val=""/>
      <w:lvlJc w:val="left"/>
      <w:pPr>
        <w:ind w:left="6480" w:hanging="360"/>
      </w:pPr>
      <w:rPr>
        <w:rFonts w:ascii="Wingdings" w:hAnsi="Wingdings" w:hint="default"/>
      </w:rPr>
    </w:lvl>
  </w:abstractNum>
  <w:abstractNum w:abstractNumId="742" w15:restartNumberingAfterBreak="0">
    <w:nsid w:val="7D9F107D"/>
    <w:multiLevelType w:val="hybridMultilevel"/>
    <w:tmpl w:val="5BDA4B4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3" w15:restartNumberingAfterBreak="0">
    <w:nsid w:val="7DBA1C74"/>
    <w:multiLevelType w:val="hybridMultilevel"/>
    <w:tmpl w:val="6A8CDE32"/>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744" w15:restartNumberingAfterBreak="0">
    <w:nsid w:val="7DF5CEA6"/>
    <w:multiLevelType w:val="hybridMultilevel"/>
    <w:tmpl w:val="FFFFFFFF"/>
    <w:lvl w:ilvl="0" w:tplc="EF80A4A0">
      <w:start w:val="1"/>
      <w:numFmt w:val="bullet"/>
      <w:lvlText w:val=""/>
      <w:lvlJc w:val="left"/>
      <w:pPr>
        <w:ind w:left="720" w:hanging="360"/>
      </w:pPr>
      <w:rPr>
        <w:rFonts w:ascii="Segoe UI" w:hAnsi="Segoe UI" w:hint="default"/>
      </w:rPr>
    </w:lvl>
    <w:lvl w:ilvl="1" w:tplc="3808D3AC">
      <w:start w:val="1"/>
      <w:numFmt w:val="bullet"/>
      <w:lvlText w:val="o"/>
      <w:lvlJc w:val="left"/>
      <w:pPr>
        <w:ind w:left="1440" w:hanging="360"/>
      </w:pPr>
      <w:rPr>
        <w:rFonts w:ascii="Courier New" w:hAnsi="Courier New" w:hint="default"/>
      </w:rPr>
    </w:lvl>
    <w:lvl w:ilvl="2" w:tplc="2AF0ABE8">
      <w:start w:val="1"/>
      <w:numFmt w:val="bullet"/>
      <w:lvlText w:val=""/>
      <w:lvlJc w:val="left"/>
      <w:pPr>
        <w:ind w:left="2160" w:hanging="360"/>
      </w:pPr>
      <w:rPr>
        <w:rFonts w:ascii="Cambria Math" w:hAnsi="Cambria Math" w:hint="default"/>
      </w:rPr>
    </w:lvl>
    <w:lvl w:ilvl="3" w:tplc="7018CE90">
      <w:start w:val="1"/>
      <w:numFmt w:val="bullet"/>
      <w:lvlText w:val=""/>
      <w:lvlJc w:val="left"/>
      <w:pPr>
        <w:ind w:left="2880" w:hanging="360"/>
      </w:pPr>
      <w:rPr>
        <w:rFonts w:ascii="Segoe UI" w:hAnsi="Segoe UI" w:hint="default"/>
      </w:rPr>
    </w:lvl>
    <w:lvl w:ilvl="4" w:tplc="1340FAF2">
      <w:start w:val="1"/>
      <w:numFmt w:val="bullet"/>
      <w:lvlText w:val="o"/>
      <w:lvlJc w:val="left"/>
      <w:pPr>
        <w:ind w:left="3600" w:hanging="360"/>
      </w:pPr>
      <w:rPr>
        <w:rFonts w:ascii="Courier New" w:hAnsi="Courier New" w:hint="default"/>
      </w:rPr>
    </w:lvl>
    <w:lvl w:ilvl="5" w:tplc="DB70E75E">
      <w:start w:val="1"/>
      <w:numFmt w:val="bullet"/>
      <w:lvlText w:val=""/>
      <w:lvlJc w:val="left"/>
      <w:pPr>
        <w:ind w:left="4320" w:hanging="360"/>
      </w:pPr>
      <w:rPr>
        <w:rFonts w:ascii="Cambria Math" w:hAnsi="Cambria Math" w:hint="default"/>
      </w:rPr>
    </w:lvl>
    <w:lvl w:ilvl="6" w:tplc="BF7EB72A">
      <w:start w:val="1"/>
      <w:numFmt w:val="bullet"/>
      <w:lvlText w:val=""/>
      <w:lvlJc w:val="left"/>
      <w:pPr>
        <w:ind w:left="5040" w:hanging="360"/>
      </w:pPr>
      <w:rPr>
        <w:rFonts w:ascii="Segoe UI" w:hAnsi="Segoe UI" w:hint="default"/>
      </w:rPr>
    </w:lvl>
    <w:lvl w:ilvl="7" w:tplc="78FCCF48">
      <w:start w:val="1"/>
      <w:numFmt w:val="bullet"/>
      <w:lvlText w:val="o"/>
      <w:lvlJc w:val="left"/>
      <w:pPr>
        <w:ind w:left="5760" w:hanging="360"/>
      </w:pPr>
      <w:rPr>
        <w:rFonts w:ascii="Courier New" w:hAnsi="Courier New" w:hint="default"/>
      </w:rPr>
    </w:lvl>
    <w:lvl w:ilvl="8" w:tplc="94FE6D1E">
      <w:start w:val="1"/>
      <w:numFmt w:val="bullet"/>
      <w:lvlText w:val=""/>
      <w:lvlJc w:val="left"/>
      <w:pPr>
        <w:ind w:left="6480" w:hanging="360"/>
      </w:pPr>
      <w:rPr>
        <w:rFonts w:ascii="Cambria Math" w:hAnsi="Cambria Math" w:hint="default"/>
      </w:rPr>
    </w:lvl>
  </w:abstractNum>
  <w:abstractNum w:abstractNumId="745" w15:restartNumberingAfterBreak="0">
    <w:nsid w:val="7E0025ED"/>
    <w:multiLevelType w:val="multilevel"/>
    <w:tmpl w:val="8160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6" w15:restartNumberingAfterBreak="0">
    <w:nsid w:val="7E281E05"/>
    <w:multiLevelType w:val="multilevel"/>
    <w:tmpl w:val="98F0D1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7" w15:restartNumberingAfterBreak="0">
    <w:nsid w:val="7E3A3C41"/>
    <w:multiLevelType w:val="hybridMultilevel"/>
    <w:tmpl w:val="FFFFFFFF"/>
    <w:lvl w:ilvl="0" w:tplc="04C8EDA8">
      <w:start w:val="1"/>
      <w:numFmt w:val="bullet"/>
      <w:lvlText w:val="-"/>
      <w:lvlJc w:val="left"/>
      <w:pPr>
        <w:ind w:left="720" w:hanging="360"/>
      </w:pPr>
      <w:rPr>
        <w:rFonts w:ascii="Calibri" w:hAnsi="Calibri" w:hint="default"/>
      </w:rPr>
    </w:lvl>
    <w:lvl w:ilvl="1" w:tplc="042E9370">
      <w:start w:val="1"/>
      <w:numFmt w:val="bullet"/>
      <w:lvlText w:val="o"/>
      <w:lvlJc w:val="left"/>
      <w:pPr>
        <w:ind w:left="1440" w:hanging="360"/>
      </w:pPr>
      <w:rPr>
        <w:rFonts w:ascii="Courier New" w:hAnsi="Courier New" w:hint="default"/>
      </w:rPr>
    </w:lvl>
    <w:lvl w:ilvl="2" w:tplc="A83CA1D6">
      <w:start w:val="1"/>
      <w:numFmt w:val="bullet"/>
      <w:lvlText w:val=""/>
      <w:lvlJc w:val="left"/>
      <w:pPr>
        <w:ind w:left="2160" w:hanging="360"/>
      </w:pPr>
      <w:rPr>
        <w:rFonts w:ascii="Wingdings" w:hAnsi="Wingdings" w:hint="default"/>
      </w:rPr>
    </w:lvl>
    <w:lvl w:ilvl="3" w:tplc="33A6D3BE">
      <w:start w:val="1"/>
      <w:numFmt w:val="bullet"/>
      <w:lvlText w:val=""/>
      <w:lvlJc w:val="left"/>
      <w:pPr>
        <w:ind w:left="2880" w:hanging="360"/>
      </w:pPr>
      <w:rPr>
        <w:rFonts w:ascii="Symbol" w:hAnsi="Symbol" w:hint="default"/>
      </w:rPr>
    </w:lvl>
    <w:lvl w:ilvl="4" w:tplc="AA6C9DCA">
      <w:start w:val="1"/>
      <w:numFmt w:val="bullet"/>
      <w:lvlText w:val="o"/>
      <w:lvlJc w:val="left"/>
      <w:pPr>
        <w:ind w:left="3600" w:hanging="360"/>
      </w:pPr>
      <w:rPr>
        <w:rFonts w:ascii="Courier New" w:hAnsi="Courier New" w:hint="default"/>
      </w:rPr>
    </w:lvl>
    <w:lvl w:ilvl="5" w:tplc="BAD8AAD2">
      <w:start w:val="1"/>
      <w:numFmt w:val="bullet"/>
      <w:lvlText w:val=""/>
      <w:lvlJc w:val="left"/>
      <w:pPr>
        <w:ind w:left="4320" w:hanging="360"/>
      </w:pPr>
      <w:rPr>
        <w:rFonts w:ascii="Wingdings" w:hAnsi="Wingdings" w:hint="default"/>
      </w:rPr>
    </w:lvl>
    <w:lvl w:ilvl="6" w:tplc="C98EFC24">
      <w:start w:val="1"/>
      <w:numFmt w:val="bullet"/>
      <w:lvlText w:val=""/>
      <w:lvlJc w:val="left"/>
      <w:pPr>
        <w:ind w:left="5040" w:hanging="360"/>
      </w:pPr>
      <w:rPr>
        <w:rFonts w:ascii="Symbol" w:hAnsi="Symbol" w:hint="default"/>
      </w:rPr>
    </w:lvl>
    <w:lvl w:ilvl="7" w:tplc="B4CC9DA8">
      <w:start w:val="1"/>
      <w:numFmt w:val="bullet"/>
      <w:lvlText w:val="o"/>
      <w:lvlJc w:val="left"/>
      <w:pPr>
        <w:ind w:left="5760" w:hanging="360"/>
      </w:pPr>
      <w:rPr>
        <w:rFonts w:ascii="Courier New" w:hAnsi="Courier New" w:hint="default"/>
      </w:rPr>
    </w:lvl>
    <w:lvl w:ilvl="8" w:tplc="DAE874B8">
      <w:start w:val="1"/>
      <w:numFmt w:val="bullet"/>
      <w:lvlText w:val=""/>
      <w:lvlJc w:val="left"/>
      <w:pPr>
        <w:ind w:left="6480" w:hanging="360"/>
      </w:pPr>
      <w:rPr>
        <w:rFonts w:ascii="Wingdings" w:hAnsi="Wingdings" w:hint="default"/>
      </w:rPr>
    </w:lvl>
  </w:abstractNum>
  <w:abstractNum w:abstractNumId="748" w15:restartNumberingAfterBreak="0">
    <w:nsid w:val="7E7F1D8C"/>
    <w:multiLevelType w:val="hybridMultilevel"/>
    <w:tmpl w:val="615A4B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9" w15:restartNumberingAfterBreak="0">
    <w:nsid w:val="7E9A2E6F"/>
    <w:multiLevelType w:val="hybridMultilevel"/>
    <w:tmpl w:val="8AD48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0" w15:restartNumberingAfterBreak="0">
    <w:nsid w:val="7ECA4CEB"/>
    <w:multiLevelType w:val="hybridMultilevel"/>
    <w:tmpl w:val="E706756C"/>
    <w:lvl w:ilvl="0" w:tplc="224AE4EC">
      <w:start w:val="1"/>
      <w:numFmt w:val="bullet"/>
      <w:lvlText w:val="•"/>
      <w:lvlJc w:val="left"/>
      <w:pPr>
        <w:ind w:left="1069" w:hanging="360"/>
      </w:pPr>
      <w:rPr>
        <w:rFonts w:ascii="Symbol" w:eastAsiaTheme="minorHAnsi" w:hAnsi="Symbol" w:cs="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Cambria Math" w:hAnsi="Cambria Math" w:hint="default"/>
      </w:rPr>
    </w:lvl>
    <w:lvl w:ilvl="3" w:tplc="08090001" w:tentative="1">
      <w:start w:val="1"/>
      <w:numFmt w:val="bullet"/>
      <w:lvlText w:val=""/>
      <w:lvlJc w:val="left"/>
      <w:pPr>
        <w:ind w:left="3229" w:hanging="360"/>
      </w:pPr>
      <w:rPr>
        <w:rFonts w:ascii="Segoe UI" w:hAnsi="Segoe UI"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Cambria Math" w:hAnsi="Cambria Math" w:hint="default"/>
      </w:rPr>
    </w:lvl>
    <w:lvl w:ilvl="6" w:tplc="08090001" w:tentative="1">
      <w:start w:val="1"/>
      <w:numFmt w:val="bullet"/>
      <w:lvlText w:val=""/>
      <w:lvlJc w:val="left"/>
      <w:pPr>
        <w:ind w:left="5389" w:hanging="360"/>
      </w:pPr>
      <w:rPr>
        <w:rFonts w:ascii="Segoe UI" w:hAnsi="Segoe UI"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Cambria Math" w:hAnsi="Cambria Math" w:hint="default"/>
      </w:rPr>
    </w:lvl>
  </w:abstractNum>
  <w:abstractNum w:abstractNumId="751" w15:restartNumberingAfterBreak="0">
    <w:nsid w:val="7ED8092D"/>
    <w:multiLevelType w:val="hybridMultilevel"/>
    <w:tmpl w:val="FFFFFFFF"/>
    <w:lvl w:ilvl="0" w:tplc="DCE0F888">
      <w:start w:val="1"/>
      <w:numFmt w:val="bullet"/>
      <w:lvlText w:val="o"/>
      <w:lvlJc w:val="left"/>
      <w:pPr>
        <w:ind w:left="720" w:hanging="360"/>
      </w:pPr>
      <w:rPr>
        <w:rFonts w:ascii="&quot;Courier New&quot;" w:hAnsi="&quot;Courier New&quot;" w:hint="default"/>
      </w:rPr>
    </w:lvl>
    <w:lvl w:ilvl="1" w:tplc="214CC534">
      <w:start w:val="1"/>
      <w:numFmt w:val="bullet"/>
      <w:lvlText w:val="o"/>
      <w:lvlJc w:val="left"/>
      <w:pPr>
        <w:ind w:left="1440" w:hanging="360"/>
      </w:pPr>
      <w:rPr>
        <w:rFonts w:ascii="Courier New" w:hAnsi="Courier New" w:hint="default"/>
      </w:rPr>
    </w:lvl>
    <w:lvl w:ilvl="2" w:tplc="DA84A982">
      <w:start w:val="1"/>
      <w:numFmt w:val="bullet"/>
      <w:lvlText w:val=""/>
      <w:lvlJc w:val="left"/>
      <w:pPr>
        <w:ind w:left="2160" w:hanging="360"/>
      </w:pPr>
      <w:rPr>
        <w:rFonts w:ascii="Wingdings" w:hAnsi="Wingdings" w:hint="default"/>
      </w:rPr>
    </w:lvl>
    <w:lvl w:ilvl="3" w:tplc="6A0843C4">
      <w:start w:val="1"/>
      <w:numFmt w:val="bullet"/>
      <w:lvlText w:val=""/>
      <w:lvlJc w:val="left"/>
      <w:pPr>
        <w:ind w:left="2880" w:hanging="360"/>
      </w:pPr>
      <w:rPr>
        <w:rFonts w:ascii="Symbol" w:hAnsi="Symbol" w:hint="default"/>
      </w:rPr>
    </w:lvl>
    <w:lvl w:ilvl="4" w:tplc="16AE6DCE">
      <w:start w:val="1"/>
      <w:numFmt w:val="bullet"/>
      <w:lvlText w:val="o"/>
      <w:lvlJc w:val="left"/>
      <w:pPr>
        <w:ind w:left="3600" w:hanging="360"/>
      </w:pPr>
      <w:rPr>
        <w:rFonts w:ascii="Courier New" w:hAnsi="Courier New" w:hint="default"/>
      </w:rPr>
    </w:lvl>
    <w:lvl w:ilvl="5" w:tplc="F6AE23C8">
      <w:start w:val="1"/>
      <w:numFmt w:val="bullet"/>
      <w:lvlText w:val=""/>
      <w:lvlJc w:val="left"/>
      <w:pPr>
        <w:ind w:left="4320" w:hanging="360"/>
      </w:pPr>
      <w:rPr>
        <w:rFonts w:ascii="Wingdings" w:hAnsi="Wingdings" w:hint="default"/>
      </w:rPr>
    </w:lvl>
    <w:lvl w:ilvl="6" w:tplc="24B2449A">
      <w:start w:val="1"/>
      <w:numFmt w:val="bullet"/>
      <w:lvlText w:val=""/>
      <w:lvlJc w:val="left"/>
      <w:pPr>
        <w:ind w:left="5040" w:hanging="360"/>
      </w:pPr>
      <w:rPr>
        <w:rFonts w:ascii="Symbol" w:hAnsi="Symbol" w:hint="default"/>
      </w:rPr>
    </w:lvl>
    <w:lvl w:ilvl="7" w:tplc="3718E5AE">
      <w:start w:val="1"/>
      <w:numFmt w:val="bullet"/>
      <w:lvlText w:val="o"/>
      <w:lvlJc w:val="left"/>
      <w:pPr>
        <w:ind w:left="5760" w:hanging="360"/>
      </w:pPr>
      <w:rPr>
        <w:rFonts w:ascii="Courier New" w:hAnsi="Courier New" w:hint="default"/>
      </w:rPr>
    </w:lvl>
    <w:lvl w:ilvl="8" w:tplc="C86E99D4">
      <w:start w:val="1"/>
      <w:numFmt w:val="bullet"/>
      <w:lvlText w:val=""/>
      <w:lvlJc w:val="left"/>
      <w:pPr>
        <w:ind w:left="6480" w:hanging="360"/>
      </w:pPr>
      <w:rPr>
        <w:rFonts w:ascii="Wingdings" w:hAnsi="Wingdings" w:hint="default"/>
      </w:rPr>
    </w:lvl>
  </w:abstractNum>
  <w:abstractNum w:abstractNumId="752" w15:restartNumberingAfterBreak="0">
    <w:nsid w:val="7F6A51A4"/>
    <w:multiLevelType w:val="hybridMultilevel"/>
    <w:tmpl w:val="5CD4A7A4"/>
    <w:lvl w:ilvl="0" w:tplc="561CD8F8">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ambria Math" w:hAnsi="Cambria Math" w:cs="Cambria Math"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Courier New" w:hAnsi="Courier New" w:hint="default"/>
      </w:rPr>
    </w:lvl>
    <w:lvl w:ilvl="4" w:tplc="0C0A0003" w:tentative="1">
      <w:start w:val="1"/>
      <w:numFmt w:val="bullet"/>
      <w:lvlText w:val="o"/>
      <w:lvlJc w:val="left"/>
      <w:pPr>
        <w:ind w:left="3240" w:hanging="360"/>
      </w:pPr>
      <w:rPr>
        <w:rFonts w:ascii="Cambria Math" w:hAnsi="Cambria Math" w:cs="Cambria Math"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Courier New" w:hAnsi="Courier New" w:hint="default"/>
      </w:rPr>
    </w:lvl>
    <w:lvl w:ilvl="7" w:tplc="0C0A0003" w:tentative="1">
      <w:start w:val="1"/>
      <w:numFmt w:val="bullet"/>
      <w:lvlText w:val="o"/>
      <w:lvlJc w:val="left"/>
      <w:pPr>
        <w:ind w:left="5400" w:hanging="360"/>
      </w:pPr>
      <w:rPr>
        <w:rFonts w:ascii="Cambria Math" w:hAnsi="Cambria Math" w:cs="Cambria Math" w:hint="default"/>
      </w:rPr>
    </w:lvl>
    <w:lvl w:ilvl="8" w:tplc="0C0A0005" w:tentative="1">
      <w:start w:val="1"/>
      <w:numFmt w:val="bullet"/>
      <w:lvlText w:val=""/>
      <w:lvlJc w:val="left"/>
      <w:pPr>
        <w:ind w:left="6120" w:hanging="360"/>
      </w:pPr>
      <w:rPr>
        <w:rFonts w:ascii="Wingdings" w:hAnsi="Wingdings" w:hint="default"/>
      </w:rPr>
    </w:lvl>
  </w:abstractNum>
  <w:abstractNum w:abstractNumId="753" w15:restartNumberingAfterBreak="0">
    <w:nsid w:val="7FFD6A3A"/>
    <w:multiLevelType w:val="hybridMultilevel"/>
    <w:tmpl w:val="E9FC17D6"/>
    <w:lvl w:ilvl="0" w:tplc="FFFFFFFF">
      <w:start w:val="1"/>
      <w:numFmt w:val="lowerLetter"/>
      <w:lvlText w:val="%1."/>
      <w:lvlJc w:val="lef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76"/>
  </w:num>
  <w:num w:numId="2">
    <w:abstractNumId w:val="133"/>
  </w:num>
  <w:num w:numId="3">
    <w:abstractNumId w:val="531"/>
  </w:num>
  <w:num w:numId="4">
    <w:abstractNumId w:val="599"/>
  </w:num>
  <w:num w:numId="5">
    <w:abstractNumId w:val="712"/>
  </w:num>
  <w:num w:numId="6">
    <w:abstractNumId w:val="370"/>
  </w:num>
  <w:num w:numId="7">
    <w:abstractNumId w:val="593"/>
  </w:num>
  <w:num w:numId="8">
    <w:abstractNumId w:val="422"/>
  </w:num>
  <w:num w:numId="9">
    <w:abstractNumId w:val="585"/>
  </w:num>
  <w:num w:numId="10">
    <w:abstractNumId w:val="58"/>
  </w:num>
  <w:num w:numId="11">
    <w:abstractNumId w:val="648"/>
  </w:num>
  <w:num w:numId="12">
    <w:abstractNumId w:val="201"/>
  </w:num>
  <w:num w:numId="13">
    <w:abstractNumId w:val="170"/>
  </w:num>
  <w:num w:numId="14">
    <w:abstractNumId w:val="617"/>
  </w:num>
  <w:num w:numId="15">
    <w:abstractNumId w:val="412"/>
  </w:num>
  <w:num w:numId="16">
    <w:abstractNumId w:val="167"/>
  </w:num>
  <w:num w:numId="17">
    <w:abstractNumId w:val="751"/>
  </w:num>
  <w:num w:numId="18">
    <w:abstractNumId w:val="522"/>
  </w:num>
  <w:num w:numId="19">
    <w:abstractNumId w:val="700"/>
  </w:num>
  <w:num w:numId="20">
    <w:abstractNumId w:val="204"/>
  </w:num>
  <w:num w:numId="21">
    <w:abstractNumId w:val="221"/>
  </w:num>
  <w:num w:numId="22">
    <w:abstractNumId w:val="349"/>
  </w:num>
  <w:num w:numId="23">
    <w:abstractNumId w:val="505"/>
  </w:num>
  <w:num w:numId="24">
    <w:abstractNumId w:val="200"/>
  </w:num>
  <w:num w:numId="25">
    <w:abstractNumId w:val="659"/>
  </w:num>
  <w:num w:numId="26">
    <w:abstractNumId w:val="142"/>
  </w:num>
  <w:num w:numId="27">
    <w:abstractNumId w:val="6"/>
  </w:num>
  <w:num w:numId="28">
    <w:abstractNumId w:val="37"/>
  </w:num>
  <w:num w:numId="29">
    <w:abstractNumId w:val="340"/>
  </w:num>
  <w:num w:numId="30">
    <w:abstractNumId w:val="299"/>
  </w:num>
  <w:num w:numId="31">
    <w:abstractNumId w:val="79"/>
  </w:num>
  <w:num w:numId="32">
    <w:abstractNumId w:val="452"/>
  </w:num>
  <w:num w:numId="33">
    <w:abstractNumId w:val="265"/>
  </w:num>
  <w:num w:numId="34">
    <w:abstractNumId w:val="115"/>
  </w:num>
  <w:num w:numId="35">
    <w:abstractNumId w:val="182"/>
  </w:num>
  <w:num w:numId="36">
    <w:abstractNumId w:val="82"/>
  </w:num>
  <w:num w:numId="37">
    <w:abstractNumId w:val="692"/>
  </w:num>
  <w:num w:numId="38">
    <w:abstractNumId w:val="537"/>
  </w:num>
  <w:num w:numId="39">
    <w:abstractNumId w:val="44"/>
  </w:num>
  <w:num w:numId="40">
    <w:abstractNumId w:val="304"/>
  </w:num>
  <w:num w:numId="41">
    <w:abstractNumId w:val="228"/>
  </w:num>
  <w:num w:numId="42">
    <w:abstractNumId w:val="596"/>
  </w:num>
  <w:num w:numId="43">
    <w:abstractNumId w:val="378"/>
  </w:num>
  <w:num w:numId="44">
    <w:abstractNumId w:val="289"/>
  </w:num>
  <w:num w:numId="45">
    <w:abstractNumId w:val="556"/>
  </w:num>
  <w:num w:numId="46">
    <w:abstractNumId w:val="391"/>
  </w:num>
  <w:num w:numId="47">
    <w:abstractNumId w:val="618"/>
  </w:num>
  <w:num w:numId="48">
    <w:abstractNumId w:val="271"/>
  </w:num>
  <w:num w:numId="49">
    <w:abstractNumId w:val="394"/>
  </w:num>
  <w:num w:numId="50">
    <w:abstractNumId w:val="219"/>
  </w:num>
  <w:num w:numId="51">
    <w:abstractNumId w:val="600"/>
  </w:num>
  <w:num w:numId="52">
    <w:abstractNumId w:val="169"/>
  </w:num>
  <w:num w:numId="53">
    <w:abstractNumId w:val="414"/>
  </w:num>
  <w:num w:numId="54">
    <w:abstractNumId w:val="549"/>
  </w:num>
  <w:num w:numId="55">
    <w:abstractNumId w:val="551"/>
  </w:num>
  <w:num w:numId="56">
    <w:abstractNumId w:val="270"/>
  </w:num>
  <w:num w:numId="57">
    <w:abstractNumId w:val="513"/>
  </w:num>
  <w:num w:numId="58">
    <w:abstractNumId w:val="739"/>
  </w:num>
  <w:num w:numId="59">
    <w:abstractNumId w:val="4"/>
  </w:num>
  <w:num w:numId="60">
    <w:abstractNumId w:val="2"/>
  </w:num>
  <w:num w:numId="61">
    <w:abstractNumId w:val="1"/>
  </w:num>
  <w:num w:numId="62">
    <w:abstractNumId w:val="0"/>
  </w:num>
  <w:num w:numId="63">
    <w:abstractNumId w:val="612"/>
  </w:num>
  <w:num w:numId="64">
    <w:abstractNumId w:val="489"/>
  </w:num>
  <w:num w:numId="65">
    <w:abstractNumId w:val="490"/>
  </w:num>
  <w:num w:numId="66">
    <w:abstractNumId w:val="500"/>
  </w:num>
  <w:num w:numId="67">
    <w:abstractNumId w:val="16"/>
  </w:num>
  <w:num w:numId="68">
    <w:abstractNumId w:val="208"/>
  </w:num>
  <w:num w:numId="69">
    <w:abstractNumId w:val="179"/>
  </w:num>
  <w:num w:numId="70">
    <w:abstractNumId w:val="400"/>
  </w:num>
  <w:num w:numId="71">
    <w:abstractNumId w:val="74"/>
  </w:num>
  <w:num w:numId="72">
    <w:abstractNumId w:val="327"/>
  </w:num>
  <w:num w:numId="73">
    <w:abstractNumId w:val="343"/>
  </w:num>
  <w:num w:numId="74">
    <w:abstractNumId w:val="22"/>
  </w:num>
  <w:num w:numId="75">
    <w:abstractNumId w:val="255"/>
  </w:num>
  <w:num w:numId="76">
    <w:abstractNumId w:val="41"/>
  </w:num>
  <w:num w:numId="77">
    <w:abstractNumId w:val="611"/>
  </w:num>
  <w:num w:numId="78">
    <w:abstractNumId w:val="562"/>
  </w:num>
  <w:num w:numId="79">
    <w:abstractNumId w:val="491"/>
  </w:num>
  <w:num w:numId="80">
    <w:abstractNumId w:val="49"/>
  </w:num>
  <w:num w:numId="81">
    <w:abstractNumId w:val="540"/>
  </w:num>
  <w:num w:numId="82">
    <w:abstractNumId w:val="65"/>
  </w:num>
  <w:num w:numId="83">
    <w:abstractNumId w:val="36"/>
  </w:num>
  <w:num w:numId="84">
    <w:abstractNumId w:val="14"/>
  </w:num>
  <w:num w:numId="85">
    <w:abstractNumId w:val="410"/>
  </w:num>
  <w:num w:numId="86">
    <w:abstractNumId w:val="497"/>
  </w:num>
  <w:num w:numId="87">
    <w:abstractNumId w:val="477"/>
  </w:num>
  <w:num w:numId="88">
    <w:abstractNumId w:val="407"/>
  </w:num>
  <w:num w:numId="89">
    <w:abstractNumId w:val="229"/>
  </w:num>
  <w:num w:numId="90">
    <w:abstractNumId w:val="626"/>
  </w:num>
  <w:num w:numId="91">
    <w:abstractNumId w:val="571"/>
  </w:num>
  <w:num w:numId="92">
    <w:abstractNumId w:val="187"/>
  </w:num>
  <w:num w:numId="93">
    <w:abstractNumId w:val="249"/>
  </w:num>
  <w:num w:numId="94">
    <w:abstractNumId w:val="104"/>
  </w:num>
  <w:num w:numId="95">
    <w:abstractNumId w:val="38"/>
  </w:num>
  <w:num w:numId="96">
    <w:abstractNumId w:val="355"/>
  </w:num>
  <w:num w:numId="97">
    <w:abstractNumId w:val="604"/>
  </w:num>
  <w:num w:numId="98">
    <w:abstractNumId w:val="512"/>
  </w:num>
  <w:num w:numId="99">
    <w:abstractNumId w:val="519"/>
  </w:num>
  <w:num w:numId="100">
    <w:abstractNumId w:val="621"/>
  </w:num>
  <w:num w:numId="101">
    <w:abstractNumId w:val="514"/>
  </w:num>
  <w:num w:numId="102">
    <w:abstractNumId w:val="698"/>
  </w:num>
  <w:num w:numId="103">
    <w:abstractNumId w:val="60"/>
  </w:num>
  <w:num w:numId="104">
    <w:abstractNumId w:val="263"/>
  </w:num>
  <w:num w:numId="105">
    <w:abstractNumId w:val="314"/>
  </w:num>
  <w:num w:numId="106">
    <w:abstractNumId w:val="199"/>
  </w:num>
  <w:num w:numId="107">
    <w:abstractNumId w:val="418"/>
  </w:num>
  <w:num w:numId="108">
    <w:abstractNumId w:val="707"/>
  </w:num>
  <w:num w:numId="109">
    <w:abstractNumId w:val="642"/>
  </w:num>
  <w:num w:numId="110">
    <w:abstractNumId w:val="319"/>
  </w:num>
  <w:num w:numId="111">
    <w:abstractNumId w:val="127"/>
  </w:num>
  <w:num w:numId="112">
    <w:abstractNumId w:val="415"/>
  </w:num>
  <w:num w:numId="113">
    <w:abstractNumId w:val="305"/>
  </w:num>
  <w:num w:numId="114">
    <w:abstractNumId w:val="368"/>
  </w:num>
  <w:num w:numId="115">
    <w:abstractNumId w:val="486"/>
  </w:num>
  <w:num w:numId="116">
    <w:abstractNumId w:val="363"/>
  </w:num>
  <w:num w:numId="117">
    <w:abstractNumId w:val="256"/>
  </w:num>
  <w:num w:numId="118">
    <w:abstractNumId w:val="379"/>
  </w:num>
  <w:num w:numId="119">
    <w:abstractNumId w:val="640"/>
  </w:num>
  <w:num w:numId="120">
    <w:abstractNumId w:val="750"/>
  </w:num>
  <w:num w:numId="121">
    <w:abstractNumId w:val="40"/>
  </w:num>
  <w:num w:numId="122">
    <w:abstractNumId w:val="709"/>
  </w:num>
  <w:num w:numId="123">
    <w:abstractNumId w:val="100"/>
  </w:num>
  <w:num w:numId="124">
    <w:abstractNumId w:val="139"/>
  </w:num>
  <w:num w:numId="125">
    <w:abstractNumId w:val="303"/>
  </w:num>
  <w:num w:numId="126">
    <w:abstractNumId w:val="87"/>
  </w:num>
  <w:num w:numId="127">
    <w:abstractNumId w:val="424"/>
  </w:num>
  <w:num w:numId="128">
    <w:abstractNumId w:val="435"/>
  </w:num>
  <w:num w:numId="129">
    <w:abstractNumId w:val="749"/>
  </w:num>
  <w:num w:numId="130">
    <w:abstractNumId w:val="684"/>
  </w:num>
  <w:num w:numId="131">
    <w:abstractNumId w:val="557"/>
  </w:num>
  <w:num w:numId="132">
    <w:abstractNumId w:val="250"/>
  </w:num>
  <w:num w:numId="133">
    <w:abstractNumId w:val="318"/>
  </w:num>
  <w:num w:numId="134">
    <w:abstractNumId w:val="545"/>
  </w:num>
  <w:num w:numId="135">
    <w:abstractNumId w:val="86"/>
  </w:num>
  <w:num w:numId="136">
    <w:abstractNumId w:val="479"/>
  </w:num>
  <w:num w:numId="137">
    <w:abstractNumId w:val="413"/>
  </w:num>
  <w:num w:numId="138">
    <w:abstractNumId w:val="673"/>
  </w:num>
  <w:num w:numId="139">
    <w:abstractNumId w:val="275"/>
  </w:num>
  <w:num w:numId="140">
    <w:abstractNumId w:val="685"/>
  </w:num>
  <w:num w:numId="141">
    <w:abstractNumId w:val="258"/>
  </w:num>
  <w:num w:numId="142">
    <w:abstractNumId w:val="78"/>
  </w:num>
  <w:num w:numId="143">
    <w:abstractNumId w:val="426"/>
  </w:num>
  <w:num w:numId="144">
    <w:abstractNumId w:val="619"/>
  </w:num>
  <w:num w:numId="145">
    <w:abstractNumId w:val="288"/>
  </w:num>
  <w:num w:numId="146">
    <w:abstractNumId w:val="336"/>
  </w:num>
  <w:num w:numId="147">
    <w:abstractNumId w:val="629"/>
  </w:num>
  <w:num w:numId="148">
    <w:abstractNumId w:val="689"/>
  </w:num>
  <w:num w:numId="149">
    <w:abstractNumId w:val="246"/>
  </w:num>
  <w:num w:numId="150">
    <w:abstractNumId w:val="601"/>
  </w:num>
  <w:num w:numId="151">
    <w:abstractNumId w:val="406"/>
  </w:num>
  <w:num w:numId="152">
    <w:abstractNumId w:val="654"/>
  </w:num>
  <w:num w:numId="153">
    <w:abstractNumId w:val="541"/>
  </w:num>
  <w:num w:numId="154">
    <w:abstractNumId w:val="321"/>
  </w:num>
  <w:num w:numId="155">
    <w:abstractNumId w:val="723"/>
  </w:num>
  <w:num w:numId="156">
    <w:abstractNumId w:val="276"/>
  </w:num>
  <w:num w:numId="157">
    <w:abstractNumId w:val="680"/>
  </w:num>
  <w:num w:numId="158">
    <w:abstractNumId w:val="95"/>
  </w:num>
  <w:num w:numId="159">
    <w:abstractNumId w:val="310"/>
  </w:num>
  <w:num w:numId="160">
    <w:abstractNumId w:val="694"/>
  </w:num>
  <w:num w:numId="161">
    <w:abstractNumId w:val="118"/>
  </w:num>
  <w:num w:numId="162">
    <w:abstractNumId w:val="525"/>
  </w:num>
  <w:num w:numId="163">
    <w:abstractNumId w:val="402"/>
  </w:num>
  <w:num w:numId="164">
    <w:abstractNumId w:val="352"/>
  </w:num>
  <w:num w:numId="165">
    <w:abstractNumId w:val="637"/>
  </w:num>
  <w:num w:numId="166">
    <w:abstractNumId w:val="408"/>
  </w:num>
  <w:num w:numId="167">
    <w:abstractNumId w:val="461"/>
  </w:num>
  <w:num w:numId="168">
    <w:abstractNumId w:val="487"/>
  </w:num>
  <w:num w:numId="169">
    <w:abstractNumId w:val="652"/>
  </w:num>
  <w:num w:numId="170">
    <w:abstractNumId w:val="474"/>
  </w:num>
  <w:num w:numId="1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4"/>
    <w:lvlOverride w:ilvl="0">
      <w:startOverride w:val="1"/>
    </w:lvlOverride>
    <w:lvlOverride w:ilvl="1"/>
    <w:lvlOverride w:ilvl="2"/>
    <w:lvlOverride w:ilvl="3"/>
    <w:lvlOverride w:ilvl="4"/>
    <w:lvlOverride w:ilvl="5"/>
    <w:lvlOverride w:ilvl="6"/>
    <w:lvlOverride w:ilvl="7"/>
    <w:lvlOverride w:ilvl="8"/>
  </w:num>
  <w:num w:numId="176">
    <w:abstractNumId w:val="5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4"/>
    <w:lvlOverride w:ilvl="0">
      <w:startOverride w:val="1"/>
    </w:lvlOverride>
    <w:lvlOverride w:ilvl="1"/>
    <w:lvlOverride w:ilvl="2"/>
    <w:lvlOverride w:ilvl="3"/>
    <w:lvlOverride w:ilvl="4"/>
    <w:lvlOverride w:ilvl="5"/>
    <w:lvlOverride w:ilvl="6"/>
    <w:lvlOverride w:ilvl="7"/>
    <w:lvlOverride w:ilvl="8"/>
  </w:num>
  <w:num w:numId="17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6"/>
  </w:num>
  <w:num w:numId="182">
    <w:abstractNumId w:val="589"/>
  </w:num>
  <w:num w:numId="183">
    <w:abstractNumId w:val="602"/>
  </w:num>
  <w:num w:numId="184">
    <w:abstractNumId w:val="481"/>
  </w:num>
  <w:num w:numId="185">
    <w:abstractNumId w:val="134"/>
  </w:num>
  <w:num w:numId="186">
    <w:abstractNumId w:val="547"/>
  </w:num>
  <w:num w:numId="187">
    <w:abstractNumId w:val="750"/>
  </w:num>
  <w:num w:numId="188">
    <w:abstractNumId w:val="40"/>
  </w:num>
  <w:num w:numId="189">
    <w:abstractNumId w:val="709"/>
  </w:num>
  <w:num w:numId="190">
    <w:abstractNumId w:val="88"/>
  </w:num>
  <w:num w:numId="19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
  </w:num>
  <w:num w:numId="19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74"/>
  </w:num>
  <w:num w:numId="196">
    <w:abstractNumId w:val="582"/>
  </w:num>
  <w:num w:numId="197">
    <w:abstractNumId w:val="5"/>
  </w:num>
  <w:num w:numId="198">
    <w:abstractNumId w:val="206"/>
  </w:num>
  <w:num w:numId="199">
    <w:abstractNumId w:val="252"/>
  </w:num>
  <w:num w:numId="200">
    <w:abstractNumId w:val="244"/>
  </w:num>
  <w:num w:numId="20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0"/>
  </w:num>
  <w:num w:numId="21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1"/>
  </w:num>
  <w:num w:numId="220">
    <w:abstractNumId w:val="535"/>
  </w:num>
  <w:num w:numId="221">
    <w:abstractNumId w:val="53"/>
  </w:num>
  <w:num w:numId="222">
    <w:abstractNumId w:val="194"/>
  </w:num>
  <w:num w:numId="223">
    <w:abstractNumId w:val="21"/>
  </w:num>
  <w:num w:numId="224">
    <w:abstractNumId w:val="534"/>
  </w:num>
  <w:num w:numId="225">
    <w:abstractNumId w:val="225"/>
  </w:num>
  <w:num w:numId="226">
    <w:abstractNumId w:val="440"/>
  </w:num>
  <w:num w:numId="227">
    <w:abstractNumId w:val="708"/>
  </w:num>
  <w:num w:numId="228">
    <w:abstractNumId w:val="733"/>
  </w:num>
  <w:num w:numId="229">
    <w:abstractNumId w:val="162"/>
  </w:num>
  <w:num w:numId="230">
    <w:abstractNumId w:val="533"/>
  </w:num>
  <w:num w:numId="231">
    <w:abstractNumId w:val="716"/>
  </w:num>
  <w:num w:numId="232">
    <w:abstractNumId w:val="132"/>
  </w:num>
  <w:num w:numId="233">
    <w:abstractNumId w:val="528"/>
  </w:num>
  <w:num w:numId="234">
    <w:abstractNumId w:val="23"/>
  </w:num>
  <w:num w:numId="235">
    <w:abstractNumId w:val="364"/>
  </w:num>
  <w:num w:numId="236">
    <w:abstractNumId w:val="438"/>
  </w:num>
  <w:num w:numId="237">
    <w:abstractNumId w:val="679"/>
  </w:num>
  <w:num w:numId="238">
    <w:abstractNumId w:val="181"/>
  </w:num>
  <w:num w:numId="239">
    <w:abstractNumId w:val="657"/>
  </w:num>
  <w:num w:numId="240">
    <w:abstractNumId w:val="492"/>
  </w:num>
  <w:num w:numId="241">
    <w:abstractNumId w:val="173"/>
  </w:num>
  <w:num w:numId="242">
    <w:abstractNumId w:val="243"/>
  </w:num>
  <w:num w:numId="243">
    <w:abstractNumId w:val="90"/>
  </w:num>
  <w:num w:numId="244">
    <w:abstractNumId w:val="282"/>
  </w:num>
  <w:num w:numId="245">
    <w:abstractNumId w:val="630"/>
  </w:num>
  <w:num w:numId="246">
    <w:abstractNumId w:val="583"/>
  </w:num>
  <w:num w:numId="247">
    <w:abstractNumId w:val="434"/>
  </w:num>
  <w:num w:numId="248">
    <w:abstractNumId w:val="527"/>
  </w:num>
  <w:num w:numId="249">
    <w:abstractNumId w:val="254"/>
  </w:num>
  <w:num w:numId="250">
    <w:abstractNumId w:val="448"/>
  </w:num>
  <w:num w:numId="251">
    <w:abstractNumId w:val="737"/>
  </w:num>
  <w:num w:numId="252">
    <w:abstractNumId w:val="110"/>
  </w:num>
  <w:num w:numId="253">
    <w:abstractNumId w:val="495"/>
  </w:num>
  <w:num w:numId="254">
    <w:abstractNumId w:val="191"/>
  </w:num>
  <w:num w:numId="255">
    <w:abstractNumId w:val="555"/>
  </w:num>
  <w:num w:numId="256">
    <w:abstractNumId w:val="483"/>
  </w:num>
  <w:num w:numId="257">
    <w:abstractNumId w:val="126"/>
  </w:num>
  <w:num w:numId="258">
    <w:abstractNumId w:val="377"/>
  </w:num>
  <w:num w:numId="259">
    <w:abstractNumId w:val="120"/>
  </w:num>
  <w:num w:numId="260">
    <w:abstractNumId w:val="136"/>
  </w:num>
  <w:num w:numId="261">
    <w:abstractNumId w:val="744"/>
  </w:num>
  <w:num w:numId="262">
    <w:abstractNumId w:val="668"/>
  </w:num>
  <w:num w:numId="263">
    <w:abstractNumId w:val="46"/>
  </w:num>
  <w:num w:numId="264">
    <w:abstractNumId w:val="574"/>
  </w:num>
  <w:num w:numId="265">
    <w:abstractNumId w:val="12"/>
  </w:num>
  <w:num w:numId="266">
    <w:abstractNumId w:val="171"/>
  </w:num>
  <w:num w:numId="267">
    <w:abstractNumId w:val="417"/>
  </w:num>
  <w:num w:numId="268">
    <w:abstractNumId w:val="280"/>
  </w:num>
  <w:num w:numId="269">
    <w:abstractNumId w:val="334"/>
  </w:num>
  <w:num w:numId="270">
    <w:abstractNumId w:val="386"/>
  </w:num>
  <w:num w:numId="271">
    <w:abstractNumId w:val="625"/>
  </w:num>
  <w:num w:numId="272">
    <w:abstractNumId w:val="633"/>
  </w:num>
  <w:num w:numId="273">
    <w:abstractNumId w:val="724"/>
  </w:num>
  <w:num w:numId="274">
    <w:abstractNumId w:val="98"/>
  </w:num>
  <w:num w:numId="275">
    <w:abstractNumId w:val="329"/>
  </w:num>
  <w:num w:numId="276">
    <w:abstractNumId w:val="455"/>
  </w:num>
  <w:num w:numId="277">
    <w:abstractNumId w:val="423"/>
  </w:num>
  <w:num w:numId="278">
    <w:abstractNumId w:val="52"/>
  </w:num>
  <w:num w:numId="279">
    <w:abstractNumId w:val="331"/>
  </w:num>
  <w:num w:numId="280">
    <w:abstractNumId w:val="107"/>
  </w:num>
  <w:num w:numId="281">
    <w:abstractNumId w:val="140"/>
  </w:num>
  <w:num w:numId="282">
    <w:abstractNumId w:val="241"/>
  </w:num>
  <w:num w:numId="283">
    <w:abstractNumId w:val="431"/>
  </w:num>
  <w:num w:numId="284">
    <w:abstractNumId w:val="67"/>
  </w:num>
  <w:num w:numId="285">
    <w:abstractNumId w:val="59"/>
  </w:num>
  <w:num w:numId="286">
    <w:abstractNumId w:val="337"/>
  </w:num>
  <w:num w:numId="287">
    <w:abstractNumId w:val="449"/>
  </w:num>
  <w:num w:numId="288">
    <w:abstractNumId w:val="553"/>
  </w:num>
  <w:num w:numId="289">
    <w:abstractNumId w:val="55"/>
  </w:num>
  <w:num w:numId="290">
    <w:abstractNumId w:val="560"/>
  </w:num>
  <w:num w:numId="291">
    <w:abstractNumId w:val="647"/>
  </w:num>
  <w:num w:numId="292">
    <w:abstractNumId w:val="307"/>
  </w:num>
  <w:num w:numId="293">
    <w:abstractNumId w:val="203"/>
  </w:num>
  <w:num w:numId="294">
    <w:abstractNumId w:val="365"/>
  </w:num>
  <w:num w:numId="295">
    <w:abstractNumId w:val="752"/>
  </w:num>
  <w:num w:numId="296">
    <w:abstractNumId w:val="476"/>
  </w:num>
  <w:num w:numId="297">
    <w:abstractNumId w:val="236"/>
  </w:num>
  <w:num w:numId="298">
    <w:abstractNumId w:val="466"/>
  </w:num>
  <w:num w:numId="299">
    <w:abstractNumId w:val="235"/>
  </w:num>
  <w:num w:numId="300">
    <w:abstractNumId w:val="92"/>
  </w:num>
  <w:num w:numId="301">
    <w:abstractNumId w:val="397"/>
  </w:num>
  <w:num w:numId="302">
    <w:abstractNumId w:val="354"/>
  </w:num>
  <w:num w:numId="303">
    <w:abstractNumId w:val="457"/>
  </w:num>
  <w:num w:numId="304">
    <w:abstractNumId w:val="361"/>
  </w:num>
  <w:num w:numId="305">
    <w:abstractNumId w:val="681"/>
  </w:num>
  <w:num w:numId="306">
    <w:abstractNumId w:val="257"/>
  </w:num>
  <w:num w:numId="307">
    <w:abstractNumId w:val="597"/>
  </w:num>
  <w:num w:numId="308">
    <w:abstractNumId w:val="266"/>
  </w:num>
  <w:num w:numId="309">
    <w:abstractNumId w:val="80"/>
  </w:num>
  <w:num w:numId="310">
    <w:abstractNumId w:val="166"/>
  </w:num>
  <w:num w:numId="311">
    <w:abstractNumId w:val="324"/>
  </w:num>
  <w:num w:numId="312">
    <w:abstractNumId w:val="501"/>
  </w:num>
  <w:num w:numId="313">
    <w:abstractNumId w:val="185"/>
  </w:num>
  <w:num w:numId="314">
    <w:abstractNumId w:val="311"/>
  </w:num>
  <w:num w:numId="315">
    <w:abstractNumId w:val="704"/>
  </w:num>
  <w:num w:numId="316">
    <w:abstractNumId w:val="189"/>
  </w:num>
  <w:num w:numId="317">
    <w:abstractNumId w:val="465"/>
  </w:num>
  <w:num w:numId="318">
    <w:abstractNumId w:val="218"/>
  </w:num>
  <w:num w:numId="319">
    <w:abstractNumId w:val="362"/>
  </w:num>
  <w:num w:numId="320">
    <w:abstractNumId w:val="97"/>
  </w:num>
  <w:num w:numId="321">
    <w:abstractNumId w:val="542"/>
  </w:num>
  <w:num w:numId="322">
    <w:abstractNumId w:val="706"/>
  </w:num>
  <w:num w:numId="323">
    <w:abstractNumId w:val="351"/>
  </w:num>
  <w:num w:numId="324">
    <w:abstractNumId w:val="94"/>
  </w:num>
  <w:num w:numId="325">
    <w:abstractNumId w:val="730"/>
  </w:num>
  <w:num w:numId="326">
    <w:abstractNumId w:val="183"/>
  </w:num>
  <w:num w:numId="327">
    <w:abstractNumId w:val="297"/>
  </w:num>
  <w:num w:numId="328">
    <w:abstractNumId w:val="146"/>
  </w:num>
  <w:num w:numId="329">
    <w:abstractNumId w:val="186"/>
  </w:num>
  <w:num w:numId="330">
    <w:abstractNumId w:val="273"/>
  </w:num>
  <w:num w:numId="331">
    <w:abstractNumId w:val="520"/>
  </w:num>
  <w:num w:numId="332">
    <w:abstractNumId w:val="376"/>
  </w:num>
  <w:num w:numId="333">
    <w:abstractNumId w:val="29"/>
  </w:num>
  <w:num w:numId="334">
    <w:abstractNumId w:val="366"/>
  </w:num>
  <w:num w:numId="335">
    <w:abstractNumId w:val="111"/>
  </w:num>
  <w:num w:numId="336">
    <w:abstractNumId w:val="210"/>
  </w:num>
  <w:num w:numId="337">
    <w:abstractNumId w:val="747"/>
  </w:num>
  <w:num w:numId="338">
    <w:abstractNumId w:val="112"/>
  </w:num>
  <w:num w:numId="339">
    <w:abstractNumId w:val="609"/>
  </w:num>
  <w:num w:numId="340">
    <w:abstractNumId w:val="61"/>
  </w:num>
  <w:num w:numId="341">
    <w:abstractNumId w:val="653"/>
  </w:num>
  <w:num w:numId="342">
    <w:abstractNumId w:val="446"/>
  </w:num>
  <w:num w:numId="343">
    <w:abstractNumId w:val="439"/>
  </w:num>
  <w:num w:numId="344">
    <w:abstractNumId w:val="496"/>
  </w:num>
  <w:num w:numId="345">
    <w:abstractNumId w:val="116"/>
  </w:num>
  <w:num w:numId="346">
    <w:abstractNumId w:val="348"/>
  </w:num>
  <w:num w:numId="347">
    <w:abstractNumId w:val="177"/>
  </w:num>
  <w:num w:numId="348">
    <w:abstractNumId w:val="437"/>
  </w:num>
  <w:num w:numId="349">
    <w:abstractNumId w:val="359"/>
  </w:num>
  <w:num w:numId="350">
    <w:abstractNumId w:val="475"/>
  </w:num>
  <w:num w:numId="351">
    <w:abstractNumId w:val="734"/>
  </w:num>
  <w:num w:numId="352">
    <w:abstractNumId w:val="71"/>
  </w:num>
  <w:num w:numId="353">
    <w:abstractNumId w:val="632"/>
  </w:num>
  <w:num w:numId="354">
    <w:abstractNumId w:val="341"/>
  </w:num>
  <w:num w:numId="355">
    <w:abstractNumId w:val="106"/>
  </w:num>
  <w:num w:numId="356">
    <w:abstractNumId w:val="464"/>
  </w:num>
  <w:num w:numId="357">
    <w:abstractNumId w:val="197"/>
  </w:num>
  <w:num w:numId="358">
    <w:abstractNumId w:val="124"/>
  </w:num>
  <w:num w:numId="359">
    <w:abstractNumId w:val="569"/>
  </w:num>
  <w:num w:numId="360">
    <w:abstractNumId w:val="121"/>
  </w:num>
  <w:num w:numId="361">
    <w:abstractNumId w:val="605"/>
  </w:num>
  <w:num w:numId="362">
    <w:abstractNumId w:val="174"/>
  </w:num>
  <w:num w:numId="363">
    <w:abstractNumId w:val="420"/>
  </w:num>
  <w:num w:numId="364">
    <w:abstractNumId w:val="592"/>
  </w:num>
  <w:num w:numId="365">
    <w:abstractNumId w:val="688"/>
  </w:num>
  <w:num w:numId="366">
    <w:abstractNumId w:val="17"/>
  </w:num>
  <w:num w:numId="367">
    <w:abstractNumId w:val="718"/>
  </w:num>
  <w:num w:numId="368">
    <w:abstractNumId w:val="559"/>
  </w:num>
  <w:num w:numId="369">
    <w:abstractNumId w:val="478"/>
  </w:num>
  <w:num w:numId="370">
    <w:abstractNumId w:val="205"/>
  </w:num>
  <w:num w:numId="371">
    <w:abstractNumId w:val="369"/>
  </w:num>
  <w:num w:numId="372">
    <w:abstractNumId w:val="374"/>
  </w:num>
  <w:num w:numId="373">
    <w:abstractNumId w:val="214"/>
  </w:num>
  <w:num w:numId="374">
    <w:abstractNumId w:val="675"/>
  </w:num>
  <w:num w:numId="375">
    <w:abstractNumId w:val="69"/>
  </w:num>
  <w:num w:numId="376">
    <w:abstractNumId w:val="720"/>
  </w:num>
  <w:num w:numId="377">
    <w:abstractNumId w:val="222"/>
  </w:num>
  <w:num w:numId="378">
    <w:abstractNumId w:val="735"/>
  </w:num>
  <w:num w:numId="379">
    <w:abstractNumId w:val="172"/>
  </w:num>
  <w:num w:numId="380">
    <w:abstractNumId w:val="603"/>
  </w:num>
  <w:num w:numId="381">
    <w:abstractNumId w:val="224"/>
  </w:num>
  <w:num w:numId="382">
    <w:abstractNumId w:val="454"/>
  </w:num>
  <w:num w:numId="383">
    <w:abstractNumId w:val="213"/>
  </w:num>
  <w:num w:numId="384">
    <w:abstractNumId w:val="388"/>
  </w:num>
  <w:num w:numId="385">
    <w:abstractNumId w:val="530"/>
  </w:num>
  <w:num w:numId="386">
    <w:abstractNumId w:val="646"/>
  </w:num>
  <w:num w:numId="387">
    <w:abstractNumId w:val="19"/>
  </w:num>
  <w:num w:numId="388">
    <w:abstractNumId w:val="342"/>
  </w:num>
  <w:num w:numId="389">
    <w:abstractNumId w:val="498"/>
  </w:num>
  <w:num w:numId="390">
    <w:abstractNumId w:val="101"/>
  </w:num>
  <w:num w:numId="391">
    <w:abstractNumId w:val="728"/>
  </w:num>
  <w:num w:numId="392">
    <w:abstractNumId w:val="607"/>
  </w:num>
  <w:num w:numId="393">
    <w:abstractNumId w:val="137"/>
  </w:num>
  <w:num w:numId="394">
    <w:abstractNumId w:val="109"/>
  </w:num>
  <w:num w:numId="395">
    <w:abstractNumId w:val="627"/>
  </w:num>
  <w:num w:numId="396">
    <w:abstractNumId w:val="409"/>
  </w:num>
  <w:num w:numId="397">
    <w:abstractNumId w:val="624"/>
  </w:num>
  <w:num w:numId="398">
    <w:abstractNumId w:val="436"/>
  </w:num>
  <w:num w:numId="399">
    <w:abstractNumId w:val="125"/>
  </w:num>
  <w:num w:numId="400">
    <w:abstractNumId w:val="523"/>
  </w:num>
  <w:num w:numId="401">
    <w:abstractNumId w:val="682"/>
  </w:num>
  <w:num w:numId="402">
    <w:abstractNumId w:val="511"/>
  </w:num>
  <w:num w:numId="403">
    <w:abstractNumId w:val="729"/>
  </w:num>
  <w:num w:numId="404">
    <w:abstractNumId w:val="443"/>
  </w:num>
  <w:num w:numId="405">
    <w:abstractNumId w:val="620"/>
  </w:num>
  <w:num w:numId="406">
    <w:abstractNumId w:val="587"/>
  </w:num>
  <w:num w:numId="407">
    <w:abstractNumId w:val="51"/>
  </w:num>
  <w:num w:numId="408">
    <w:abstractNumId w:val="231"/>
  </w:num>
  <w:num w:numId="409">
    <w:abstractNumId w:val="544"/>
  </w:num>
  <w:num w:numId="410">
    <w:abstractNumId w:val="151"/>
  </w:num>
  <w:num w:numId="411">
    <w:abstractNumId w:val="164"/>
  </w:num>
  <w:num w:numId="412">
    <w:abstractNumId w:val="746"/>
  </w:num>
  <w:num w:numId="413">
    <w:abstractNumId w:val="277"/>
  </w:num>
  <w:num w:numId="414">
    <w:abstractNumId w:val="614"/>
  </w:num>
  <w:num w:numId="415">
    <w:abstractNumId w:val="382"/>
  </w:num>
  <w:num w:numId="416">
    <w:abstractNumId w:val="357"/>
  </w:num>
  <w:num w:numId="417">
    <w:abstractNumId w:val="178"/>
  </w:num>
  <w:num w:numId="418">
    <w:abstractNumId w:val="75"/>
  </w:num>
  <w:num w:numId="419">
    <w:abstractNumId w:val="272"/>
  </w:num>
  <w:num w:numId="420">
    <w:abstractNumId w:val="578"/>
  </w:num>
  <w:num w:numId="421">
    <w:abstractNumId w:val="130"/>
  </w:num>
  <w:num w:numId="422">
    <w:abstractNumId w:val="494"/>
  </w:num>
  <w:num w:numId="423">
    <w:abstractNumId w:val="25"/>
  </w:num>
  <w:num w:numId="424">
    <w:abstractNumId w:val="230"/>
  </w:num>
  <w:num w:numId="425">
    <w:abstractNumId w:val="119"/>
  </w:num>
  <w:num w:numId="426">
    <w:abstractNumId w:val="10"/>
  </w:num>
  <w:num w:numId="427">
    <w:abstractNumId w:val="643"/>
  </w:num>
  <w:num w:numId="428">
    <w:abstractNumId w:val="381"/>
  </w:num>
  <w:num w:numId="429">
    <w:abstractNumId w:val="269"/>
  </w:num>
  <w:num w:numId="430">
    <w:abstractNumId w:val="701"/>
  </w:num>
  <w:num w:numId="431">
    <w:abstractNumId w:val="411"/>
  </w:num>
  <w:num w:numId="432">
    <w:abstractNumId w:val="240"/>
  </w:num>
  <w:num w:numId="433">
    <w:abstractNumId w:val="158"/>
  </w:num>
  <w:num w:numId="434">
    <w:abstractNumId w:val="81"/>
  </w:num>
  <w:num w:numId="435">
    <w:abstractNumId w:val="441"/>
  </w:num>
  <w:num w:numId="436">
    <w:abstractNumId w:val="262"/>
  </w:num>
  <w:num w:numId="437">
    <w:abstractNumId w:val="145"/>
  </w:num>
  <w:num w:numId="438">
    <w:abstractNumId w:val="655"/>
  </w:num>
  <w:num w:numId="439">
    <w:abstractNumId w:val="32"/>
  </w:num>
  <w:num w:numId="440">
    <w:abstractNumId w:val="287"/>
  </w:num>
  <w:num w:numId="441">
    <w:abstractNumId w:val="669"/>
  </w:num>
  <w:num w:numId="442">
    <w:abstractNumId w:val="526"/>
  </w:num>
  <w:num w:numId="443">
    <w:abstractNumId w:val="217"/>
  </w:num>
  <w:num w:numId="444">
    <w:abstractNumId w:val="502"/>
  </w:num>
  <w:num w:numId="445">
    <w:abstractNumId w:val="670"/>
  </w:num>
  <w:num w:numId="446">
    <w:abstractNumId w:val="9"/>
  </w:num>
  <w:num w:numId="447">
    <w:abstractNumId w:val="471"/>
  </w:num>
  <w:num w:numId="448">
    <w:abstractNumId w:val="442"/>
  </w:num>
  <w:num w:numId="449">
    <w:abstractNumId w:val="212"/>
  </w:num>
  <w:num w:numId="450">
    <w:abstractNumId w:val="567"/>
  </w:num>
  <w:num w:numId="451">
    <w:abstractNumId w:val="251"/>
  </w:num>
  <w:num w:numId="452">
    <w:abstractNumId w:val="301"/>
  </w:num>
  <w:num w:numId="453">
    <w:abstractNumId w:val="425"/>
  </w:num>
  <w:num w:numId="454">
    <w:abstractNumId w:val="591"/>
  </w:num>
  <w:num w:numId="455">
    <w:abstractNumId w:val="399"/>
  </w:num>
  <w:num w:numId="456">
    <w:abstractNumId w:val="473"/>
  </w:num>
  <w:num w:numId="457">
    <w:abstractNumId w:val="39"/>
  </w:num>
  <w:num w:numId="458">
    <w:abstractNumId w:val="339"/>
  </w:num>
  <w:num w:numId="459">
    <w:abstractNumId w:val="320"/>
  </w:num>
  <w:num w:numId="460">
    <w:abstractNumId w:val="645"/>
  </w:num>
  <w:num w:numId="461">
    <w:abstractNumId w:val="34"/>
  </w:num>
  <w:num w:numId="462">
    <w:abstractNumId w:val="521"/>
  </w:num>
  <w:num w:numId="463">
    <w:abstractNumId w:val="380"/>
  </w:num>
  <w:num w:numId="464">
    <w:abstractNumId w:val="123"/>
  </w:num>
  <w:num w:numId="465">
    <w:abstractNumId w:val="396"/>
  </w:num>
  <w:num w:numId="466">
    <w:abstractNumId w:val="279"/>
  </w:num>
  <w:num w:numId="467">
    <w:abstractNumId w:val="485"/>
  </w:num>
  <w:num w:numId="468">
    <w:abstractNumId w:val="427"/>
  </w:num>
  <w:num w:numId="469">
    <w:abstractNumId w:val="323"/>
  </w:num>
  <w:num w:numId="470">
    <w:abstractNumId w:val="309"/>
  </w:num>
  <w:num w:numId="471">
    <w:abstractNumId w:val="660"/>
  </w:num>
  <w:num w:numId="472">
    <w:abstractNumId w:val="561"/>
  </w:num>
  <w:num w:numId="473">
    <w:abstractNumId w:val="453"/>
  </w:num>
  <w:num w:numId="474">
    <w:abstractNumId w:val="661"/>
  </w:num>
  <w:num w:numId="475">
    <w:abstractNumId w:val="24"/>
  </w:num>
  <w:num w:numId="476">
    <w:abstractNumId w:val="472"/>
  </w:num>
  <w:num w:numId="477">
    <w:abstractNumId w:val="503"/>
  </w:num>
  <w:num w:numId="478">
    <w:abstractNumId w:val="543"/>
  </w:num>
  <w:num w:numId="479">
    <w:abstractNumId w:val="176"/>
  </w:num>
  <w:num w:numId="480">
    <w:abstractNumId w:val="532"/>
  </w:num>
  <w:num w:numId="481">
    <w:abstractNumId w:val="295"/>
  </w:num>
  <w:num w:numId="482">
    <w:abstractNumId w:val="302"/>
  </w:num>
  <w:num w:numId="483">
    <w:abstractNumId w:val="328"/>
  </w:num>
  <w:num w:numId="484">
    <w:abstractNumId w:val="741"/>
  </w:num>
  <w:num w:numId="485">
    <w:abstractNumId w:val="239"/>
  </w:num>
  <w:num w:numId="486">
    <w:abstractNumId w:val="28"/>
  </w:num>
  <w:num w:numId="487">
    <w:abstractNumId w:val="259"/>
  </w:num>
  <w:num w:numId="488">
    <w:abstractNumId w:val="160"/>
  </w:num>
  <w:num w:numId="489">
    <w:abstractNumId w:val="325"/>
  </w:num>
  <w:num w:numId="490">
    <w:abstractNumId w:val="306"/>
  </w:num>
  <w:num w:numId="491">
    <w:abstractNumId w:val="248"/>
  </w:num>
  <w:num w:numId="492">
    <w:abstractNumId w:val="163"/>
  </w:num>
  <w:num w:numId="493">
    <w:abstractNumId w:val="432"/>
  </w:num>
  <w:num w:numId="494">
    <w:abstractNumId w:val="748"/>
  </w:num>
  <w:num w:numId="495">
    <w:abstractNumId w:val="595"/>
  </w:num>
  <w:num w:numId="496">
    <w:abstractNumId w:val="317"/>
  </w:num>
  <w:num w:numId="497">
    <w:abstractNumId w:val="192"/>
  </w:num>
  <w:num w:numId="498">
    <w:abstractNumId w:val="260"/>
  </w:num>
  <w:num w:numId="499">
    <w:abstractNumId w:val="742"/>
  </w:num>
  <w:num w:numId="500">
    <w:abstractNumId w:val="450"/>
  </w:num>
  <w:num w:numId="501">
    <w:abstractNumId w:val="117"/>
  </w:num>
  <w:num w:numId="502">
    <w:abstractNumId w:val="283"/>
  </w:num>
  <w:num w:numId="503">
    <w:abstractNumId w:val="264"/>
  </w:num>
  <w:num w:numId="504">
    <w:abstractNumId w:val="403"/>
  </w:num>
  <w:num w:numId="505">
    <w:abstractNumId w:val="242"/>
  </w:num>
  <w:num w:numId="506">
    <w:abstractNumId w:val="389"/>
  </w:num>
  <w:num w:numId="507">
    <w:abstractNumId w:val="373"/>
  </w:num>
  <w:num w:numId="508">
    <w:abstractNumId w:val="54"/>
  </w:num>
  <w:num w:numId="509">
    <w:abstractNumId w:val="291"/>
  </w:num>
  <w:num w:numId="510">
    <w:abstractNumId w:val="313"/>
  </w:num>
  <w:num w:numId="511">
    <w:abstractNumId w:val="247"/>
  </w:num>
  <w:num w:numId="512">
    <w:abstractNumId w:val="722"/>
  </w:num>
  <w:num w:numId="513">
    <w:abstractNumId w:val="8"/>
  </w:num>
  <w:num w:numId="514">
    <w:abstractNumId w:val="91"/>
  </w:num>
  <w:num w:numId="515">
    <w:abstractNumId w:val="667"/>
  </w:num>
  <w:num w:numId="516">
    <w:abstractNumId w:val="445"/>
  </w:num>
  <w:num w:numId="517">
    <w:abstractNumId w:val="114"/>
  </w:num>
  <w:num w:numId="518">
    <w:abstractNumId w:val="294"/>
  </w:num>
  <w:num w:numId="519">
    <w:abstractNumId w:val="72"/>
  </w:num>
  <w:num w:numId="520">
    <w:abstractNumId w:val="615"/>
  </w:num>
  <w:num w:numId="521">
    <w:abstractNumId w:val="234"/>
  </w:num>
  <w:num w:numId="522">
    <w:abstractNumId w:val="300"/>
  </w:num>
  <w:num w:numId="523">
    <w:abstractNumId w:val="138"/>
  </w:num>
  <w:num w:numId="524">
    <w:abstractNumId w:val="515"/>
  </w:num>
  <w:num w:numId="525">
    <w:abstractNumId w:val="463"/>
  </w:num>
  <w:num w:numId="526">
    <w:abstractNumId w:val="687"/>
  </w:num>
  <w:num w:numId="527">
    <w:abstractNumId w:val="590"/>
  </w:num>
  <w:num w:numId="528">
    <w:abstractNumId w:val="105"/>
  </w:num>
  <w:num w:numId="529">
    <w:abstractNumId w:val="148"/>
  </w:num>
  <w:num w:numId="530">
    <w:abstractNumId w:val="608"/>
  </w:num>
  <w:num w:numId="531">
    <w:abstractNumId w:val="238"/>
  </w:num>
  <w:num w:numId="532">
    <w:abstractNumId w:val="717"/>
  </w:num>
  <w:num w:numId="533">
    <w:abstractNumId w:val="202"/>
  </w:num>
  <w:num w:numId="534">
    <w:abstractNumId w:val="18"/>
  </w:num>
  <w:num w:numId="535">
    <w:abstractNumId w:val="696"/>
  </w:num>
  <w:num w:numId="536">
    <w:abstractNumId w:val="57"/>
  </w:num>
  <w:num w:numId="537">
    <w:abstractNumId w:val="459"/>
  </w:num>
  <w:num w:numId="538">
    <w:abstractNumId w:val="518"/>
  </w:num>
  <w:num w:numId="539">
    <w:abstractNumId w:val="395"/>
  </w:num>
  <w:num w:numId="540">
    <w:abstractNumId w:val="622"/>
  </w:num>
  <w:num w:numId="541">
    <w:abstractNumId w:val="188"/>
  </w:num>
  <w:num w:numId="542">
    <w:abstractNumId w:val="509"/>
  </w:num>
  <w:num w:numId="543">
    <w:abstractNumId w:val="552"/>
  </w:num>
  <w:num w:numId="544">
    <w:abstractNumId w:val="152"/>
  </w:num>
  <w:num w:numId="545">
    <w:abstractNumId w:val="419"/>
  </w:num>
  <w:num w:numId="546">
    <w:abstractNumId w:val="753"/>
  </w:num>
  <w:num w:numId="547">
    <w:abstractNumId w:val="66"/>
  </w:num>
  <w:num w:numId="548">
    <w:abstractNumId w:val="50"/>
  </w:num>
  <w:num w:numId="549">
    <w:abstractNumId w:val="367"/>
  </w:num>
  <w:num w:numId="550">
    <w:abstractNumId w:val="293"/>
  </w:num>
  <w:num w:numId="551">
    <w:abstractNumId w:val="507"/>
  </w:num>
  <w:num w:numId="552">
    <w:abstractNumId w:val="89"/>
  </w:num>
  <w:num w:numId="553">
    <w:abstractNumId w:val="430"/>
  </w:num>
  <w:num w:numId="554">
    <w:abstractNumId w:val="63"/>
  </w:num>
  <w:num w:numId="555">
    <w:abstractNumId w:val="693"/>
  </w:num>
  <w:num w:numId="556">
    <w:abstractNumId w:val="581"/>
  </w:num>
  <w:num w:numId="557">
    <w:abstractNumId w:val="113"/>
  </w:num>
  <w:num w:numId="558">
    <w:abstractNumId w:val="577"/>
  </w:num>
  <w:num w:numId="559">
    <w:abstractNumId w:val="488"/>
  </w:num>
  <w:num w:numId="560">
    <w:abstractNumId w:val="517"/>
  </w:num>
  <w:num w:numId="561">
    <w:abstractNumId w:val="401"/>
  </w:num>
  <w:num w:numId="562">
    <w:abstractNumId w:val="129"/>
  </w:num>
  <w:num w:numId="563">
    <w:abstractNumId w:val="731"/>
  </w:num>
  <w:num w:numId="564">
    <w:abstractNumId w:val="226"/>
  </w:num>
  <w:num w:numId="565">
    <w:abstractNumId w:val="606"/>
  </w:num>
  <w:num w:numId="566">
    <w:abstractNumId w:val="458"/>
  </w:num>
  <w:num w:numId="567">
    <w:abstractNumId w:val="335"/>
  </w:num>
  <w:num w:numId="568">
    <w:abstractNumId w:val="154"/>
  </w:num>
  <w:num w:numId="569">
    <w:abstractNumId w:val="691"/>
  </w:num>
  <w:num w:numId="570">
    <w:abstractNumId w:val="70"/>
  </w:num>
  <w:num w:numId="571">
    <w:abstractNumId w:val="580"/>
  </w:num>
  <w:num w:numId="572">
    <w:abstractNumId w:val="745"/>
  </w:num>
  <w:num w:numId="573">
    <w:abstractNumId w:val="42"/>
  </w:num>
  <w:num w:numId="574">
    <w:abstractNumId w:val="312"/>
  </w:num>
  <w:num w:numId="575">
    <w:abstractNumId w:val="690"/>
  </w:num>
  <w:num w:numId="576">
    <w:abstractNumId w:val="35"/>
  </w:num>
  <w:num w:numId="577">
    <w:abstractNumId w:val="198"/>
  </w:num>
  <w:num w:numId="578">
    <w:abstractNumId w:val="671"/>
  </w:num>
  <w:num w:numId="579">
    <w:abstractNumId w:val="584"/>
  </w:num>
  <w:num w:numId="580">
    <w:abstractNumId w:val="470"/>
  </w:num>
  <w:num w:numId="581">
    <w:abstractNumId w:val="93"/>
  </w:num>
  <w:num w:numId="582">
    <w:abstractNumId w:val="209"/>
  </w:num>
  <w:num w:numId="583">
    <w:abstractNumId w:val="346"/>
  </w:num>
  <w:num w:numId="584">
    <w:abstractNumId w:val="193"/>
  </w:num>
  <w:num w:numId="585">
    <w:abstractNumId w:val="84"/>
  </w:num>
  <w:num w:numId="586">
    <w:abstractNumId w:val="623"/>
  </w:num>
  <w:num w:numId="587">
    <w:abstractNumId w:val="286"/>
  </w:num>
  <w:num w:numId="588">
    <w:abstractNumId w:val="333"/>
  </w:num>
  <w:num w:numId="589">
    <w:abstractNumId w:val="516"/>
  </w:num>
  <w:num w:numId="590">
    <w:abstractNumId w:val="245"/>
  </w:num>
  <w:num w:numId="591">
    <w:abstractNumId w:val="429"/>
  </w:num>
  <w:num w:numId="592">
    <w:abstractNumId w:val="195"/>
  </w:num>
  <w:num w:numId="593">
    <w:abstractNumId w:val="398"/>
  </w:num>
  <w:num w:numId="594">
    <w:abstractNumId w:val="695"/>
  </w:num>
  <w:num w:numId="595">
    <w:abstractNumId w:val="546"/>
  </w:num>
  <w:num w:numId="596">
    <w:abstractNumId w:val="77"/>
  </w:num>
  <w:num w:numId="597">
    <w:abstractNumId w:val="143"/>
  </w:num>
  <w:num w:numId="598">
    <w:abstractNumId w:val="564"/>
  </w:num>
  <w:num w:numId="599">
    <w:abstractNumId w:val="579"/>
  </w:num>
  <w:num w:numId="600">
    <w:abstractNumId w:val="538"/>
  </w:num>
  <w:num w:numId="601">
    <w:abstractNumId w:val="330"/>
  </w:num>
  <w:num w:numId="602">
    <w:abstractNumId w:val="663"/>
  </w:num>
  <w:num w:numId="603">
    <w:abstractNumId w:val="308"/>
  </w:num>
  <w:num w:numId="604">
    <w:abstractNumId w:val="565"/>
  </w:num>
  <w:num w:numId="605">
    <w:abstractNumId w:val="161"/>
  </w:num>
  <w:num w:numId="606">
    <w:abstractNumId w:val="499"/>
  </w:num>
  <w:num w:numId="607">
    <w:abstractNumId w:val="493"/>
  </w:num>
  <w:num w:numId="608">
    <w:abstractNumId w:val="678"/>
  </w:num>
  <w:num w:numId="609">
    <w:abstractNumId w:val="76"/>
  </w:num>
  <w:num w:numId="610">
    <w:abstractNumId w:val="122"/>
  </w:num>
  <w:num w:numId="611">
    <w:abstractNumId w:val="699"/>
  </w:num>
  <w:num w:numId="612">
    <w:abstractNumId w:val="639"/>
  </w:num>
  <w:num w:numId="613">
    <w:abstractNumId w:val="144"/>
  </w:num>
  <w:num w:numId="614">
    <w:abstractNumId w:val="353"/>
  </w:num>
  <w:num w:numId="615">
    <w:abstractNumId w:val="196"/>
  </w:num>
  <w:num w:numId="616">
    <w:abstractNumId w:val="360"/>
  </w:num>
  <w:num w:numId="617">
    <w:abstractNumId w:val="102"/>
  </w:num>
  <w:num w:numId="618">
    <w:abstractNumId w:val="672"/>
  </w:num>
  <w:num w:numId="619">
    <w:abstractNumId w:val="27"/>
  </w:num>
  <w:num w:numId="620">
    <w:abstractNumId w:val="141"/>
  </w:num>
  <w:num w:numId="621">
    <w:abstractNumId w:val="644"/>
  </w:num>
  <w:num w:numId="622">
    <w:abstractNumId w:val="558"/>
  </w:num>
  <w:num w:numId="623">
    <w:abstractNumId w:val="375"/>
  </w:num>
  <w:num w:numId="624">
    <w:abstractNumId w:val="131"/>
  </w:num>
  <w:num w:numId="625">
    <w:abstractNumId w:val="462"/>
  </w:num>
  <w:num w:numId="626">
    <w:abstractNumId w:val="267"/>
  </w:num>
  <w:num w:numId="627">
    <w:abstractNumId w:val="215"/>
  </w:num>
  <w:num w:numId="628">
    <w:abstractNumId w:val="738"/>
  </w:num>
  <w:num w:numId="629">
    <w:abstractNumId w:val="447"/>
  </w:num>
  <w:num w:numId="630">
    <w:abstractNumId w:val="404"/>
  </w:num>
  <w:num w:numId="631">
    <w:abstractNumId w:val="656"/>
  </w:num>
  <w:num w:numId="632">
    <w:abstractNumId w:val="285"/>
  </w:num>
  <w:num w:numId="633">
    <w:abstractNumId w:val="635"/>
  </w:num>
  <w:num w:numId="634">
    <w:abstractNumId w:val="233"/>
  </w:num>
  <w:num w:numId="635">
    <w:abstractNumId w:val="332"/>
  </w:num>
  <w:num w:numId="636">
    <w:abstractNumId w:val="149"/>
  </w:num>
  <w:num w:numId="637">
    <w:abstractNumId w:val="664"/>
  </w:num>
  <w:num w:numId="638">
    <w:abstractNumId w:val="506"/>
  </w:num>
  <w:num w:numId="639">
    <w:abstractNumId w:val="510"/>
  </w:num>
  <w:num w:numId="640">
    <w:abstractNumId w:val="575"/>
  </w:num>
  <w:num w:numId="641">
    <w:abstractNumId w:val="237"/>
  </w:num>
  <w:num w:numId="642">
    <w:abstractNumId w:val="64"/>
  </w:num>
  <w:num w:numId="643">
    <w:abstractNumId w:val="650"/>
  </w:num>
  <w:num w:numId="644">
    <w:abstractNumId w:val="726"/>
  </w:num>
  <w:num w:numId="645">
    <w:abstractNumId w:val="147"/>
  </w:num>
  <w:num w:numId="646">
    <w:abstractNumId w:val="721"/>
  </w:num>
  <w:num w:numId="647">
    <w:abstractNumId w:val="674"/>
  </w:num>
  <w:num w:numId="648">
    <w:abstractNumId w:val="705"/>
  </w:num>
  <w:num w:numId="649">
    <w:abstractNumId w:val="484"/>
  </w:num>
  <w:num w:numId="650">
    <w:abstractNumId w:val="469"/>
  </w:num>
  <w:num w:numId="651">
    <w:abstractNumId w:val="216"/>
  </w:num>
  <w:num w:numId="652">
    <w:abstractNumId w:val="550"/>
  </w:num>
  <w:num w:numId="653">
    <w:abstractNumId w:val="714"/>
  </w:num>
  <w:num w:numId="654">
    <w:abstractNumId w:val="719"/>
  </w:num>
  <w:num w:numId="655">
    <w:abstractNumId w:val="529"/>
  </w:num>
  <w:num w:numId="656">
    <w:abstractNumId w:val="26"/>
  </w:num>
  <w:num w:numId="657">
    <w:abstractNumId w:val="385"/>
  </w:num>
  <w:num w:numId="658">
    <w:abstractNumId w:val="713"/>
  </w:num>
  <w:num w:numId="659">
    <w:abstractNumId w:val="155"/>
  </w:num>
  <w:num w:numId="660">
    <w:abstractNumId w:val="740"/>
  </w:num>
  <w:num w:numId="661">
    <w:abstractNumId w:val="253"/>
  </w:num>
  <w:num w:numId="662">
    <w:abstractNumId w:val="405"/>
  </w:num>
  <w:num w:numId="663">
    <w:abstractNumId w:val="135"/>
  </w:num>
  <w:num w:numId="664">
    <w:abstractNumId w:val="508"/>
  </w:num>
  <w:num w:numId="665">
    <w:abstractNumId w:val="156"/>
  </w:num>
  <w:num w:numId="666">
    <w:abstractNumId w:val="223"/>
  </w:num>
  <w:num w:numId="667">
    <w:abstractNumId w:val="536"/>
  </w:num>
  <w:num w:numId="668">
    <w:abstractNumId w:val="322"/>
  </w:num>
  <w:num w:numId="669">
    <w:abstractNumId w:val="180"/>
  </w:num>
  <w:num w:numId="670">
    <w:abstractNumId w:val="159"/>
  </w:num>
  <w:num w:numId="671">
    <w:abstractNumId w:val="7"/>
  </w:num>
  <w:num w:numId="672">
    <w:abstractNumId w:val="572"/>
  </w:num>
  <w:num w:numId="673">
    <w:abstractNumId w:val="628"/>
  </w:num>
  <w:num w:numId="674">
    <w:abstractNumId w:val="128"/>
  </w:num>
  <w:num w:numId="675">
    <w:abstractNumId w:val="416"/>
  </w:num>
  <w:num w:numId="676">
    <w:abstractNumId w:val="153"/>
  </w:num>
  <w:num w:numId="677">
    <w:abstractNumId w:val="83"/>
  </w:num>
  <w:num w:numId="678">
    <w:abstractNumId w:val="207"/>
  </w:num>
  <w:num w:numId="679">
    <w:abstractNumId w:val="649"/>
  </w:num>
  <w:num w:numId="680">
    <w:abstractNumId w:val="460"/>
  </w:num>
  <w:num w:numId="681">
    <w:abstractNumId w:val="588"/>
  </w:num>
  <w:num w:numId="682">
    <w:abstractNumId w:val="566"/>
  </w:num>
  <w:num w:numId="683">
    <w:abstractNumId w:val="710"/>
  </w:num>
  <w:num w:numId="684">
    <w:abstractNumId w:val="371"/>
  </w:num>
  <w:num w:numId="685">
    <w:abstractNumId w:val="638"/>
  </w:num>
  <w:num w:numId="686">
    <w:abstractNumId w:val="190"/>
  </w:num>
  <w:num w:numId="687">
    <w:abstractNumId w:val="456"/>
  </w:num>
  <w:num w:numId="688">
    <w:abstractNumId w:val="468"/>
  </w:num>
  <w:num w:numId="689">
    <w:abstractNumId w:val="15"/>
  </w:num>
  <w:num w:numId="690">
    <w:abstractNumId w:val="261"/>
  </w:num>
  <w:num w:numId="691">
    <w:abstractNumId w:val="227"/>
  </w:num>
  <w:num w:numId="692">
    <w:abstractNumId w:val="344"/>
  </w:num>
  <w:num w:numId="693">
    <w:abstractNumId w:val="165"/>
  </w:num>
  <w:num w:numId="694">
    <w:abstractNumId w:val="613"/>
  </w:num>
  <w:num w:numId="695">
    <w:abstractNumId w:val="384"/>
  </w:num>
  <w:num w:numId="696">
    <w:abstractNumId w:val="6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7">
    <w:abstractNumId w:val="33"/>
  </w:num>
  <w:num w:numId="698">
    <w:abstractNumId w:val="703"/>
  </w:num>
  <w:num w:numId="699">
    <w:abstractNumId w:val="504"/>
  </w:num>
  <w:num w:numId="700">
    <w:abstractNumId w:val="563"/>
  </w:num>
  <w:num w:numId="701">
    <w:abstractNumId w:val="345"/>
  </w:num>
  <w:num w:numId="702">
    <w:abstractNumId w:val="47"/>
  </w:num>
  <w:num w:numId="703">
    <w:abstractNumId w:val="62"/>
  </w:num>
  <w:num w:numId="704">
    <w:abstractNumId w:val="480"/>
  </w:num>
  <w:num w:numId="705">
    <w:abstractNumId w:val="281"/>
  </w:num>
  <w:num w:numId="706">
    <w:abstractNumId w:val="573"/>
  </w:num>
  <w:num w:numId="707">
    <w:abstractNumId w:val="316"/>
  </w:num>
  <w:num w:numId="708">
    <w:abstractNumId w:val="598"/>
  </w:num>
  <w:num w:numId="709">
    <w:abstractNumId w:val="175"/>
  </w:num>
  <w:num w:numId="710">
    <w:abstractNumId w:val="292"/>
  </w:num>
  <w:num w:numId="711">
    <w:abstractNumId w:val="278"/>
  </w:num>
  <w:num w:numId="712">
    <w:abstractNumId w:val="433"/>
  </w:num>
  <w:num w:numId="713">
    <w:abstractNumId w:val="11"/>
  </w:num>
  <w:num w:numId="714">
    <w:abstractNumId w:val="73"/>
  </w:num>
  <w:num w:numId="715">
    <w:abstractNumId w:val="636"/>
  </w:num>
  <w:num w:numId="716">
    <w:abstractNumId w:val="298"/>
  </w:num>
  <w:num w:numId="717">
    <w:abstractNumId w:val="184"/>
  </w:num>
  <w:num w:numId="718">
    <w:abstractNumId w:val="539"/>
  </w:num>
  <w:num w:numId="719">
    <w:abstractNumId w:val="725"/>
  </w:num>
  <w:num w:numId="720">
    <w:abstractNumId w:val="392"/>
  </w:num>
  <w:num w:numId="721">
    <w:abstractNumId w:val="610"/>
  </w:num>
  <w:num w:numId="722">
    <w:abstractNumId w:val="570"/>
  </w:num>
  <w:num w:numId="723">
    <w:abstractNumId w:val="743"/>
  </w:num>
  <w:num w:numId="724">
    <w:abstractNumId w:val="665"/>
  </w:num>
  <w:num w:numId="725">
    <w:abstractNumId w:val="383"/>
  </w:num>
  <w:num w:numId="726">
    <w:abstractNumId w:val="711"/>
  </w:num>
  <w:num w:numId="727">
    <w:abstractNumId w:val="372"/>
  </w:num>
  <w:num w:numId="728">
    <w:abstractNumId w:val="30"/>
  </w:num>
  <w:num w:numId="729">
    <w:abstractNumId w:val="727"/>
  </w:num>
  <w:num w:numId="730">
    <w:abstractNumId w:val="666"/>
  </w:num>
  <w:num w:numId="731">
    <w:abstractNumId w:val="641"/>
  </w:num>
  <w:num w:numId="732">
    <w:abstractNumId w:val="232"/>
  </w:num>
  <w:num w:numId="733">
    <w:abstractNumId w:val="428"/>
  </w:num>
  <w:num w:numId="734">
    <w:abstractNumId w:val="451"/>
  </w:num>
  <w:num w:numId="735">
    <w:abstractNumId w:val="467"/>
  </w:num>
  <w:num w:numId="736">
    <w:abstractNumId w:val="736"/>
  </w:num>
  <w:num w:numId="737">
    <w:abstractNumId w:val="296"/>
  </w:num>
  <w:num w:numId="738">
    <w:abstractNumId w:val="393"/>
  </w:num>
  <w:num w:numId="739">
    <w:abstractNumId w:val="103"/>
  </w:num>
  <w:num w:numId="740">
    <w:abstractNumId w:val="350"/>
  </w:num>
  <w:num w:numId="741">
    <w:abstractNumId w:val="634"/>
  </w:num>
  <w:num w:numId="742">
    <w:abstractNumId w:val="594"/>
  </w:num>
  <w:num w:numId="743">
    <w:abstractNumId w:val="732"/>
  </w:num>
  <w:num w:numId="744">
    <w:abstractNumId w:val="157"/>
  </w:num>
  <w:num w:numId="745">
    <w:abstractNumId w:val="616"/>
  </w:num>
  <w:num w:numId="746">
    <w:abstractNumId w:val="548"/>
  </w:num>
  <w:num w:numId="747">
    <w:abstractNumId w:val="686"/>
  </w:num>
  <w:num w:numId="748">
    <w:abstractNumId w:val="168"/>
  </w:num>
  <w:num w:numId="749">
    <w:abstractNumId w:val="20"/>
  </w:num>
  <w:num w:numId="750">
    <w:abstractNumId w:val="662"/>
  </w:num>
  <w:num w:numId="751">
    <w:abstractNumId w:val="268"/>
  </w:num>
  <w:num w:numId="752">
    <w:abstractNumId w:val="683"/>
  </w:num>
  <w:num w:numId="753">
    <w:abstractNumId w:val="482"/>
  </w:num>
  <w:num w:numId="754">
    <w:abstractNumId w:val="586"/>
  </w:num>
  <w:num w:numId="755">
    <w:abstractNumId w:val="284"/>
  </w:num>
  <w:num w:numId="756">
    <w:abstractNumId w:val="356"/>
  </w:num>
  <w:num w:numId="757">
    <w:abstractNumId w:val="13"/>
  </w:num>
  <w:num w:numId="758">
    <w:abstractNumId w:val="315"/>
  </w:num>
  <w:num w:numId="759">
    <w:abstractNumId w:val="338"/>
  </w:num>
  <w:num w:numId="760">
    <w:abstractNumId w:val="697"/>
  </w:num>
  <w:num w:numId="761">
    <w:abstractNumId w:val="290"/>
  </w:num>
  <w:num w:numId="762">
    <w:abstractNumId w:val="568"/>
  </w:num>
  <w:num w:numId="763">
    <w:abstractNumId w:val="48"/>
  </w:num>
  <w:num w:numId="764">
    <w:abstractNumId w:val="390"/>
  </w:num>
  <w:num w:numId="765">
    <w:abstractNumId w:val="56"/>
  </w:num>
  <w:num w:numId="766">
    <w:abstractNumId w:val="444"/>
  </w:num>
  <w:num w:numId="767">
    <w:abstractNumId w:val="631"/>
  </w:num>
  <w:num w:numId="768">
    <w:abstractNumId w:val="43"/>
  </w:num>
  <w:num w:numId="769">
    <w:abstractNumId w:val="68"/>
  </w:num>
  <w:num w:numId="770">
    <w:abstractNumId w:val="554"/>
  </w:num>
  <w:num w:numId="771">
    <w:abstractNumId w:val="347"/>
  </w:num>
  <w:num w:numId="772">
    <w:abstractNumId w:val="658"/>
  </w:num>
  <w:num w:numId="773">
    <w:abstractNumId w:val="702"/>
  </w:num>
  <w:num w:numId="774">
    <w:abstractNumId w:val="358"/>
  </w:num>
  <w:num w:numId="775">
    <w:abstractNumId w:val="651"/>
  </w:num>
  <w:num w:numId="776">
    <w:abstractNumId w:val="211"/>
  </w:num>
  <w:num w:numId="777">
    <w:abstractNumId w:val="715"/>
  </w:num>
  <w:num w:numId="778">
    <w:abstractNumId w:val="676"/>
  </w:num>
  <w:num w:numId="779">
    <w:abstractNumId w:val="524"/>
  </w:num>
  <w:num w:numId="780">
    <w:abstractNumId w:val="99"/>
  </w:num>
  <w:num w:numId="781">
    <w:abstractNumId w:val="45"/>
  </w:num>
  <w:num w:numId="782">
    <w:abstractNumId w:val="421"/>
  </w:num>
  <w:num w:numId="783">
    <w:abstractNumId w:val="387"/>
  </w:num>
  <w:num w:numId="784">
    <w:abstractNumId w:val="326"/>
  </w:num>
  <w:num w:numId="785">
    <w:abstractNumId w:val="108"/>
  </w:num>
  <w:num w:numId="786">
    <w:abstractNumId w:val="85"/>
  </w:num>
  <w:num w:numId="787">
    <w:abstractNumId w:val="220"/>
  </w:num>
  <w:num w:numId="788">
    <w:abstractNumId w:val="677"/>
  </w:num>
  <w:numIdMacAtCleanup w:val="7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BE" w:vendorID="64" w:dllVersion="0" w:nlCheck="1" w:checkStyle="0"/>
  <w:activeWritingStyle w:appName="MSWord" w:lang="en-IE"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de-DE" w:vendorID="64" w:dllVersion="0" w:nlCheck="1" w:checkStyle="0"/>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a következőhöz:"/>
    <w:docVar w:name="LW_ANNEX_NBR_FIRST" w:val="1"/>
    <w:docVar w:name="LW_ANNEX_NBR_LAST" w:val="1"/>
    <w:docVar w:name="LW_ANNEX_UNIQUE" w:val="1"/>
    <w:docVar w:name="LW_CORRIGENDUM" w:val="&lt;UNUSED&gt;"/>
    <w:docVar w:name="LW_COVERPAGE_EXISTS" w:val="True"/>
    <w:docVar w:name="LW_COVERPAGE_GUID" w:val="C8E75537-DDCE-41F5-8DD6-531EC1FF2634"/>
    <w:docVar w:name="LW_COVERPAGE_TYPE" w:val="1"/>
    <w:docVar w:name="LW_CROSSREFERENCE" w:val="{SWD(2023) 326 final}"/>
    <w:docVar w:name="LW_DocType" w:val="NORMAL"/>
    <w:docVar w:name="LW_EMISSION" w:val="2023.10.2."/>
    <w:docVar w:name="LW_EMISSION_ISODATE" w:val="2023-10-02"/>
    <w:docVar w:name="LW_EMISSION_LOCATION" w:val="BRX"/>
    <w:docVar w:name="LW_EMISSION_PREFIX" w:val="Brüsszel, "/>
    <w:docVar w:name="LW_EMISSION_SUFFIX" w:val=" "/>
    <w:docVar w:name="LW_ID_DOCTYPE_NONLW" w:val="CP-036"/>
    <w:docVar w:name="LW_LANGUE" w:val="HU"/>
    <w:docVar w:name="LW_LEVEL_OF_SENSITIVITY" w:val="Standard treatment"/>
    <w:docVar w:name="LW_NOM.INST" w:val="EURÓPAI BIZOTTSÁG"/>
    <w:docVar w:name="LW_NOM.INST_JOINTDOC" w:val="&lt;EMPTY&gt;"/>
    <w:docVar w:name="LW_OBJETACTEPRINCIPAL.CP" w:val="a Spanyolország helyreállítási és rezilienciaépítési terve értékelésének jóváhagyásáról szóló, 2021. július 13-i (EU) (ST 10150 2021; ST 10150 2021 ADD 1 REV 1) végrehajtási határozat módosításáról"/>
    <w:docVar w:name="LW_PART_NBR" w:val="1"/>
    <w:docVar w:name="LW_PART_NBR_TOTAL" w:val="1"/>
    <w:docVar w:name="LW_REF.INST.NEW" w:val="COM"/>
    <w:docVar w:name="LW_REF.INST.NEW_ADOPTED" w:val="final"/>
    <w:docVar w:name="LW_REF.INST.NEW_TEXT" w:val="(2023) 57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MELLÉKLET_x000b_"/>
    <w:docVar w:name="LW_TYPEACTEPRINCIPAL.CP" w:val="Javaslat_x000b__x000b_A TANÁCS VÉGREHAJTÁSI HATÁROZATA"/>
    <w:docVar w:name="LwApiVersions" w:val="LW4CoDe 1.23.2.0; LW 8.0, Build 20211117"/>
  </w:docVars>
  <w:rsids>
    <w:rsidRoot w:val="00D554E1"/>
    <w:rsid w:val="000005D9"/>
    <w:rsid w:val="0000094D"/>
    <w:rsid w:val="00000EA9"/>
    <w:rsid w:val="00001233"/>
    <w:rsid w:val="00001F33"/>
    <w:rsid w:val="000020D7"/>
    <w:rsid w:val="00002D2C"/>
    <w:rsid w:val="00003785"/>
    <w:rsid w:val="00003AD6"/>
    <w:rsid w:val="000048BC"/>
    <w:rsid w:val="00004B0D"/>
    <w:rsid w:val="00004FDD"/>
    <w:rsid w:val="00004FE8"/>
    <w:rsid w:val="000054DB"/>
    <w:rsid w:val="000058E5"/>
    <w:rsid w:val="00006DA6"/>
    <w:rsid w:val="00007054"/>
    <w:rsid w:val="00007198"/>
    <w:rsid w:val="00007556"/>
    <w:rsid w:val="00007D85"/>
    <w:rsid w:val="00007EF8"/>
    <w:rsid w:val="00007F0E"/>
    <w:rsid w:val="00010037"/>
    <w:rsid w:val="00010FCF"/>
    <w:rsid w:val="0001105A"/>
    <w:rsid w:val="00011B30"/>
    <w:rsid w:val="00011EA2"/>
    <w:rsid w:val="000120A0"/>
    <w:rsid w:val="00012577"/>
    <w:rsid w:val="00012998"/>
    <w:rsid w:val="000135BD"/>
    <w:rsid w:val="00013B03"/>
    <w:rsid w:val="00013C17"/>
    <w:rsid w:val="00013DB9"/>
    <w:rsid w:val="00014022"/>
    <w:rsid w:val="00014061"/>
    <w:rsid w:val="00014122"/>
    <w:rsid w:val="000145AC"/>
    <w:rsid w:val="00014776"/>
    <w:rsid w:val="00014C37"/>
    <w:rsid w:val="00015170"/>
    <w:rsid w:val="000152FF"/>
    <w:rsid w:val="00015325"/>
    <w:rsid w:val="00015346"/>
    <w:rsid w:val="000156DA"/>
    <w:rsid w:val="00016723"/>
    <w:rsid w:val="00016894"/>
    <w:rsid w:val="00016C54"/>
    <w:rsid w:val="00016E62"/>
    <w:rsid w:val="000171B9"/>
    <w:rsid w:val="000173C5"/>
    <w:rsid w:val="00017932"/>
    <w:rsid w:val="00017A67"/>
    <w:rsid w:val="00017CAC"/>
    <w:rsid w:val="00017D16"/>
    <w:rsid w:val="000203FF"/>
    <w:rsid w:val="00020F4E"/>
    <w:rsid w:val="0002238D"/>
    <w:rsid w:val="0002251F"/>
    <w:rsid w:val="00022597"/>
    <w:rsid w:val="00023051"/>
    <w:rsid w:val="0002362B"/>
    <w:rsid w:val="00023EB3"/>
    <w:rsid w:val="00023F18"/>
    <w:rsid w:val="00023F78"/>
    <w:rsid w:val="00023F8C"/>
    <w:rsid w:val="000246B3"/>
    <w:rsid w:val="00024F59"/>
    <w:rsid w:val="00024F78"/>
    <w:rsid w:val="000258C1"/>
    <w:rsid w:val="00026187"/>
    <w:rsid w:val="00026F22"/>
    <w:rsid w:val="00026F3E"/>
    <w:rsid w:val="000274E0"/>
    <w:rsid w:val="00027DE0"/>
    <w:rsid w:val="0003056F"/>
    <w:rsid w:val="000308F6"/>
    <w:rsid w:val="00030968"/>
    <w:rsid w:val="00030BDF"/>
    <w:rsid w:val="00031C74"/>
    <w:rsid w:val="00033473"/>
    <w:rsid w:val="0003380A"/>
    <w:rsid w:val="000339AD"/>
    <w:rsid w:val="00033BF8"/>
    <w:rsid w:val="00034133"/>
    <w:rsid w:val="00034167"/>
    <w:rsid w:val="000343EE"/>
    <w:rsid w:val="00034497"/>
    <w:rsid w:val="00034798"/>
    <w:rsid w:val="00034C9D"/>
    <w:rsid w:val="00034CEF"/>
    <w:rsid w:val="000355E4"/>
    <w:rsid w:val="00035A6F"/>
    <w:rsid w:val="00035FA1"/>
    <w:rsid w:val="00036FD8"/>
    <w:rsid w:val="0003728E"/>
    <w:rsid w:val="00037B55"/>
    <w:rsid w:val="000401EE"/>
    <w:rsid w:val="0004098A"/>
    <w:rsid w:val="00040BB5"/>
    <w:rsid w:val="00040D91"/>
    <w:rsid w:val="000410C1"/>
    <w:rsid w:val="00041223"/>
    <w:rsid w:val="000417AE"/>
    <w:rsid w:val="00041CD4"/>
    <w:rsid w:val="00042384"/>
    <w:rsid w:val="00042696"/>
    <w:rsid w:val="00042A04"/>
    <w:rsid w:val="00042C39"/>
    <w:rsid w:val="000432AA"/>
    <w:rsid w:val="00043852"/>
    <w:rsid w:val="000438E4"/>
    <w:rsid w:val="0004406D"/>
    <w:rsid w:val="000443EC"/>
    <w:rsid w:val="00044C0D"/>
    <w:rsid w:val="00045B59"/>
    <w:rsid w:val="00045BBB"/>
    <w:rsid w:val="000460B9"/>
    <w:rsid w:val="000465B7"/>
    <w:rsid w:val="00046B9D"/>
    <w:rsid w:val="000471B4"/>
    <w:rsid w:val="000476AA"/>
    <w:rsid w:val="000476E7"/>
    <w:rsid w:val="00047B28"/>
    <w:rsid w:val="000504C4"/>
    <w:rsid w:val="00050578"/>
    <w:rsid w:val="00051D89"/>
    <w:rsid w:val="0005263B"/>
    <w:rsid w:val="000533C7"/>
    <w:rsid w:val="00053406"/>
    <w:rsid w:val="0005346D"/>
    <w:rsid w:val="00053D02"/>
    <w:rsid w:val="0005485B"/>
    <w:rsid w:val="0005489C"/>
    <w:rsid w:val="00054AF4"/>
    <w:rsid w:val="00054D32"/>
    <w:rsid w:val="00054F5E"/>
    <w:rsid w:val="000552B8"/>
    <w:rsid w:val="0005553B"/>
    <w:rsid w:val="0005573A"/>
    <w:rsid w:val="000559E4"/>
    <w:rsid w:val="00055E42"/>
    <w:rsid w:val="000566FE"/>
    <w:rsid w:val="00056CA7"/>
    <w:rsid w:val="00056D9F"/>
    <w:rsid w:val="00056FBE"/>
    <w:rsid w:val="000570DF"/>
    <w:rsid w:val="000571E4"/>
    <w:rsid w:val="00057EE3"/>
    <w:rsid w:val="00060330"/>
    <w:rsid w:val="0006163F"/>
    <w:rsid w:val="000620A6"/>
    <w:rsid w:val="00062112"/>
    <w:rsid w:val="00062A52"/>
    <w:rsid w:val="00063025"/>
    <w:rsid w:val="00063250"/>
    <w:rsid w:val="0006362D"/>
    <w:rsid w:val="00063640"/>
    <w:rsid w:val="000636C2"/>
    <w:rsid w:val="00063925"/>
    <w:rsid w:val="000639FF"/>
    <w:rsid w:val="00063BED"/>
    <w:rsid w:val="0006417C"/>
    <w:rsid w:val="00064C2E"/>
    <w:rsid w:val="00064F0A"/>
    <w:rsid w:val="00064F8E"/>
    <w:rsid w:val="000653D6"/>
    <w:rsid w:val="00065CBE"/>
    <w:rsid w:val="00066617"/>
    <w:rsid w:val="00066747"/>
    <w:rsid w:val="00066A44"/>
    <w:rsid w:val="00066CCB"/>
    <w:rsid w:val="00067666"/>
    <w:rsid w:val="00067739"/>
    <w:rsid w:val="00067E33"/>
    <w:rsid w:val="000702AA"/>
    <w:rsid w:val="00070831"/>
    <w:rsid w:val="00070C20"/>
    <w:rsid w:val="00070F2E"/>
    <w:rsid w:val="000710F4"/>
    <w:rsid w:val="00071E41"/>
    <w:rsid w:val="00072125"/>
    <w:rsid w:val="000722B4"/>
    <w:rsid w:val="000722E4"/>
    <w:rsid w:val="00072522"/>
    <w:rsid w:val="000729AB"/>
    <w:rsid w:val="00072EE5"/>
    <w:rsid w:val="0007308C"/>
    <w:rsid w:val="00073E4F"/>
    <w:rsid w:val="0007410F"/>
    <w:rsid w:val="00074601"/>
    <w:rsid w:val="00074EBD"/>
    <w:rsid w:val="0007507E"/>
    <w:rsid w:val="00075898"/>
    <w:rsid w:val="00075B53"/>
    <w:rsid w:val="00075FA4"/>
    <w:rsid w:val="00076B4F"/>
    <w:rsid w:val="00076C9E"/>
    <w:rsid w:val="00077301"/>
    <w:rsid w:val="00077A18"/>
    <w:rsid w:val="00080044"/>
    <w:rsid w:val="00080431"/>
    <w:rsid w:val="00081263"/>
    <w:rsid w:val="0008138D"/>
    <w:rsid w:val="00081874"/>
    <w:rsid w:val="0008199D"/>
    <w:rsid w:val="000819FF"/>
    <w:rsid w:val="00082E42"/>
    <w:rsid w:val="00082EFC"/>
    <w:rsid w:val="000831E4"/>
    <w:rsid w:val="00083505"/>
    <w:rsid w:val="00083E04"/>
    <w:rsid w:val="00084383"/>
    <w:rsid w:val="00084B96"/>
    <w:rsid w:val="00085004"/>
    <w:rsid w:val="000851FB"/>
    <w:rsid w:val="0008562E"/>
    <w:rsid w:val="00085A1E"/>
    <w:rsid w:val="00085B3C"/>
    <w:rsid w:val="00085E59"/>
    <w:rsid w:val="00085F66"/>
    <w:rsid w:val="0008624A"/>
    <w:rsid w:val="0008639B"/>
    <w:rsid w:val="00086B2E"/>
    <w:rsid w:val="000874A5"/>
    <w:rsid w:val="00087C05"/>
    <w:rsid w:val="00087E17"/>
    <w:rsid w:val="00087F05"/>
    <w:rsid w:val="00087F3F"/>
    <w:rsid w:val="00090FC1"/>
    <w:rsid w:val="00091017"/>
    <w:rsid w:val="00091499"/>
    <w:rsid w:val="000918B8"/>
    <w:rsid w:val="00092324"/>
    <w:rsid w:val="00092806"/>
    <w:rsid w:val="000929B0"/>
    <w:rsid w:val="00092A2A"/>
    <w:rsid w:val="0009375E"/>
    <w:rsid w:val="000938FF"/>
    <w:rsid w:val="00093C08"/>
    <w:rsid w:val="000940A1"/>
    <w:rsid w:val="000940B4"/>
    <w:rsid w:val="00094507"/>
    <w:rsid w:val="00094C90"/>
    <w:rsid w:val="00094F7E"/>
    <w:rsid w:val="0009588B"/>
    <w:rsid w:val="00095897"/>
    <w:rsid w:val="00095DCA"/>
    <w:rsid w:val="000963D8"/>
    <w:rsid w:val="00096675"/>
    <w:rsid w:val="00097312"/>
    <w:rsid w:val="00097400"/>
    <w:rsid w:val="00097702"/>
    <w:rsid w:val="00097A4F"/>
    <w:rsid w:val="00097C3A"/>
    <w:rsid w:val="000A0175"/>
    <w:rsid w:val="000A0566"/>
    <w:rsid w:val="000A0B9E"/>
    <w:rsid w:val="000A0DFD"/>
    <w:rsid w:val="000A12EE"/>
    <w:rsid w:val="000A16C6"/>
    <w:rsid w:val="000A1A7C"/>
    <w:rsid w:val="000A1AF5"/>
    <w:rsid w:val="000A1B3B"/>
    <w:rsid w:val="000A1FF8"/>
    <w:rsid w:val="000A21E1"/>
    <w:rsid w:val="000A2437"/>
    <w:rsid w:val="000A359D"/>
    <w:rsid w:val="000A3681"/>
    <w:rsid w:val="000A36C9"/>
    <w:rsid w:val="000A4295"/>
    <w:rsid w:val="000A4B79"/>
    <w:rsid w:val="000A555D"/>
    <w:rsid w:val="000A5DBA"/>
    <w:rsid w:val="000A5E4E"/>
    <w:rsid w:val="000A632B"/>
    <w:rsid w:val="000A6676"/>
    <w:rsid w:val="000A715B"/>
    <w:rsid w:val="000A74F4"/>
    <w:rsid w:val="000A75C4"/>
    <w:rsid w:val="000A767B"/>
    <w:rsid w:val="000A781B"/>
    <w:rsid w:val="000A7E4C"/>
    <w:rsid w:val="000A7EB7"/>
    <w:rsid w:val="000A7EB9"/>
    <w:rsid w:val="000B0433"/>
    <w:rsid w:val="000B0CB2"/>
    <w:rsid w:val="000B1247"/>
    <w:rsid w:val="000B1500"/>
    <w:rsid w:val="000B1BEC"/>
    <w:rsid w:val="000B1C60"/>
    <w:rsid w:val="000B2473"/>
    <w:rsid w:val="000B258E"/>
    <w:rsid w:val="000B298E"/>
    <w:rsid w:val="000B2AF4"/>
    <w:rsid w:val="000B3154"/>
    <w:rsid w:val="000B318E"/>
    <w:rsid w:val="000B3292"/>
    <w:rsid w:val="000B3593"/>
    <w:rsid w:val="000B39BE"/>
    <w:rsid w:val="000B3A1A"/>
    <w:rsid w:val="000B3C23"/>
    <w:rsid w:val="000B40BF"/>
    <w:rsid w:val="000B42BE"/>
    <w:rsid w:val="000B453F"/>
    <w:rsid w:val="000B4889"/>
    <w:rsid w:val="000B48E7"/>
    <w:rsid w:val="000B4A35"/>
    <w:rsid w:val="000B4CAA"/>
    <w:rsid w:val="000B523D"/>
    <w:rsid w:val="000B56DE"/>
    <w:rsid w:val="000B5732"/>
    <w:rsid w:val="000B5873"/>
    <w:rsid w:val="000B5CF7"/>
    <w:rsid w:val="000B5F2C"/>
    <w:rsid w:val="000B634A"/>
    <w:rsid w:val="000B6972"/>
    <w:rsid w:val="000B6D4A"/>
    <w:rsid w:val="000B7173"/>
    <w:rsid w:val="000B717F"/>
    <w:rsid w:val="000B71A7"/>
    <w:rsid w:val="000B7838"/>
    <w:rsid w:val="000B7D52"/>
    <w:rsid w:val="000C010E"/>
    <w:rsid w:val="000C0B2F"/>
    <w:rsid w:val="000C0EF9"/>
    <w:rsid w:val="000C1037"/>
    <w:rsid w:val="000C13D0"/>
    <w:rsid w:val="000C1536"/>
    <w:rsid w:val="000C1AFB"/>
    <w:rsid w:val="000C1E20"/>
    <w:rsid w:val="000C305C"/>
    <w:rsid w:val="000C32C3"/>
    <w:rsid w:val="000C37A6"/>
    <w:rsid w:val="000C3A6D"/>
    <w:rsid w:val="000C4E67"/>
    <w:rsid w:val="000C5177"/>
    <w:rsid w:val="000C5516"/>
    <w:rsid w:val="000C574E"/>
    <w:rsid w:val="000C6459"/>
    <w:rsid w:val="000C7215"/>
    <w:rsid w:val="000C779C"/>
    <w:rsid w:val="000C79EE"/>
    <w:rsid w:val="000C7B74"/>
    <w:rsid w:val="000C7DEE"/>
    <w:rsid w:val="000D0012"/>
    <w:rsid w:val="000D00F6"/>
    <w:rsid w:val="000D0E02"/>
    <w:rsid w:val="000D0F03"/>
    <w:rsid w:val="000D21DC"/>
    <w:rsid w:val="000D2B18"/>
    <w:rsid w:val="000D2DC7"/>
    <w:rsid w:val="000D2EC0"/>
    <w:rsid w:val="000D32B4"/>
    <w:rsid w:val="000D3F35"/>
    <w:rsid w:val="000D40CB"/>
    <w:rsid w:val="000D56B2"/>
    <w:rsid w:val="000D6BC9"/>
    <w:rsid w:val="000D6E9C"/>
    <w:rsid w:val="000D7101"/>
    <w:rsid w:val="000D7201"/>
    <w:rsid w:val="000D75A4"/>
    <w:rsid w:val="000D7882"/>
    <w:rsid w:val="000D7CF0"/>
    <w:rsid w:val="000D7EBE"/>
    <w:rsid w:val="000E09FE"/>
    <w:rsid w:val="000E0BAC"/>
    <w:rsid w:val="000E0BF0"/>
    <w:rsid w:val="000E0FCD"/>
    <w:rsid w:val="000E1912"/>
    <w:rsid w:val="000E2180"/>
    <w:rsid w:val="000E2BA4"/>
    <w:rsid w:val="000E2FA8"/>
    <w:rsid w:val="000E3082"/>
    <w:rsid w:val="000E349A"/>
    <w:rsid w:val="000E3656"/>
    <w:rsid w:val="000E367D"/>
    <w:rsid w:val="000E36C5"/>
    <w:rsid w:val="000E405D"/>
    <w:rsid w:val="000E4262"/>
    <w:rsid w:val="000E4577"/>
    <w:rsid w:val="000E4749"/>
    <w:rsid w:val="000E4965"/>
    <w:rsid w:val="000E5048"/>
    <w:rsid w:val="000E573B"/>
    <w:rsid w:val="000E6366"/>
    <w:rsid w:val="000E63D6"/>
    <w:rsid w:val="000E648B"/>
    <w:rsid w:val="000E64AE"/>
    <w:rsid w:val="000E6A6E"/>
    <w:rsid w:val="000E6D06"/>
    <w:rsid w:val="000E70EB"/>
    <w:rsid w:val="000E7F55"/>
    <w:rsid w:val="000F00D3"/>
    <w:rsid w:val="000F051E"/>
    <w:rsid w:val="000F060E"/>
    <w:rsid w:val="000F08BB"/>
    <w:rsid w:val="000F0B2F"/>
    <w:rsid w:val="000F0C45"/>
    <w:rsid w:val="000F1278"/>
    <w:rsid w:val="000F13CF"/>
    <w:rsid w:val="000F1597"/>
    <w:rsid w:val="000F160C"/>
    <w:rsid w:val="000F1CCA"/>
    <w:rsid w:val="000F1F8F"/>
    <w:rsid w:val="000F1FAF"/>
    <w:rsid w:val="000F2312"/>
    <w:rsid w:val="000F23DD"/>
    <w:rsid w:val="000F25B8"/>
    <w:rsid w:val="000F2D78"/>
    <w:rsid w:val="000F3F2B"/>
    <w:rsid w:val="000F4037"/>
    <w:rsid w:val="000F4C4F"/>
    <w:rsid w:val="000F5D26"/>
    <w:rsid w:val="000F7306"/>
    <w:rsid w:val="000F7689"/>
    <w:rsid w:val="000F76C0"/>
    <w:rsid w:val="000F7AB3"/>
    <w:rsid w:val="000F7CD9"/>
    <w:rsid w:val="000F7F33"/>
    <w:rsid w:val="00100721"/>
    <w:rsid w:val="00100E7D"/>
    <w:rsid w:val="001016A5"/>
    <w:rsid w:val="00101815"/>
    <w:rsid w:val="00101EFF"/>
    <w:rsid w:val="00102130"/>
    <w:rsid w:val="0010267B"/>
    <w:rsid w:val="00102846"/>
    <w:rsid w:val="001028D2"/>
    <w:rsid w:val="00102B5D"/>
    <w:rsid w:val="00102FC8"/>
    <w:rsid w:val="00103412"/>
    <w:rsid w:val="00103E11"/>
    <w:rsid w:val="00103F27"/>
    <w:rsid w:val="00104490"/>
    <w:rsid w:val="00104CC7"/>
    <w:rsid w:val="00105D39"/>
    <w:rsid w:val="00105F58"/>
    <w:rsid w:val="00105FD1"/>
    <w:rsid w:val="001061B9"/>
    <w:rsid w:val="00106AE3"/>
    <w:rsid w:val="0010701E"/>
    <w:rsid w:val="001071DB"/>
    <w:rsid w:val="00107283"/>
    <w:rsid w:val="00107341"/>
    <w:rsid w:val="00107DE7"/>
    <w:rsid w:val="0010BA3C"/>
    <w:rsid w:val="00110061"/>
    <w:rsid w:val="001103B2"/>
    <w:rsid w:val="001106D6"/>
    <w:rsid w:val="0011094D"/>
    <w:rsid w:val="0011114D"/>
    <w:rsid w:val="001117EE"/>
    <w:rsid w:val="0011187C"/>
    <w:rsid w:val="00111CEF"/>
    <w:rsid w:val="00112187"/>
    <w:rsid w:val="001121C1"/>
    <w:rsid w:val="0011223B"/>
    <w:rsid w:val="0011237C"/>
    <w:rsid w:val="00112CC3"/>
    <w:rsid w:val="00112F4C"/>
    <w:rsid w:val="00112FA2"/>
    <w:rsid w:val="00113060"/>
    <w:rsid w:val="00114167"/>
    <w:rsid w:val="00114180"/>
    <w:rsid w:val="001144EF"/>
    <w:rsid w:val="0011489F"/>
    <w:rsid w:val="00114A42"/>
    <w:rsid w:val="00114B3B"/>
    <w:rsid w:val="00115000"/>
    <w:rsid w:val="00115980"/>
    <w:rsid w:val="0011631F"/>
    <w:rsid w:val="00116D1D"/>
    <w:rsid w:val="0011760C"/>
    <w:rsid w:val="00117DD4"/>
    <w:rsid w:val="00117E1A"/>
    <w:rsid w:val="001205F2"/>
    <w:rsid w:val="00120ECF"/>
    <w:rsid w:val="00121043"/>
    <w:rsid w:val="001210A9"/>
    <w:rsid w:val="0012151B"/>
    <w:rsid w:val="00121C3F"/>
    <w:rsid w:val="00121F82"/>
    <w:rsid w:val="001220F6"/>
    <w:rsid w:val="001226B8"/>
    <w:rsid w:val="00122756"/>
    <w:rsid w:val="001227A3"/>
    <w:rsid w:val="001231C8"/>
    <w:rsid w:val="00123A7B"/>
    <w:rsid w:val="00123ABC"/>
    <w:rsid w:val="00124051"/>
    <w:rsid w:val="0012463A"/>
    <w:rsid w:val="0012470D"/>
    <w:rsid w:val="00124F25"/>
    <w:rsid w:val="0012513F"/>
    <w:rsid w:val="00125844"/>
    <w:rsid w:val="00126110"/>
    <w:rsid w:val="00126F2A"/>
    <w:rsid w:val="0012726A"/>
    <w:rsid w:val="0012797F"/>
    <w:rsid w:val="00127F3F"/>
    <w:rsid w:val="00130769"/>
    <w:rsid w:val="00130BF2"/>
    <w:rsid w:val="00130F8E"/>
    <w:rsid w:val="00131718"/>
    <w:rsid w:val="00131D68"/>
    <w:rsid w:val="001322B3"/>
    <w:rsid w:val="001324A6"/>
    <w:rsid w:val="00132586"/>
    <w:rsid w:val="0013345B"/>
    <w:rsid w:val="00133656"/>
    <w:rsid w:val="00133D0F"/>
    <w:rsid w:val="00134439"/>
    <w:rsid w:val="00134931"/>
    <w:rsid w:val="0013536C"/>
    <w:rsid w:val="00135C58"/>
    <w:rsid w:val="0013685F"/>
    <w:rsid w:val="001373DB"/>
    <w:rsid w:val="001376F7"/>
    <w:rsid w:val="00137A92"/>
    <w:rsid w:val="00137F08"/>
    <w:rsid w:val="00137FAC"/>
    <w:rsid w:val="00140325"/>
    <w:rsid w:val="0014041C"/>
    <w:rsid w:val="0014100A"/>
    <w:rsid w:val="00141A86"/>
    <w:rsid w:val="00141B22"/>
    <w:rsid w:val="00141E57"/>
    <w:rsid w:val="001429B7"/>
    <w:rsid w:val="00142C93"/>
    <w:rsid w:val="001430C9"/>
    <w:rsid w:val="001430FD"/>
    <w:rsid w:val="00143233"/>
    <w:rsid w:val="00143720"/>
    <w:rsid w:val="00143A53"/>
    <w:rsid w:val="001440AE"/>
    <w:rsid w:val="001441EC"/>
    <w:rsid w:val="00144206"/>
    <w:rsid w:val="00144272"/>
    <w:rsid w:val="00144428"/>
    <w:rsid w:val="00144A5A"/>
    <w:rsid w:val="0014516C"/>
    <w:rsid w:val="00146A34"/>
    <w:rsid w:val="001478DA"/>
    <w:rsid w:val="00147BFE"/>
    <w:rsid w:val="00150012"/>
    <w:rsid w:val="001509DA"/>
    <w:rsid w:val="0015148B"/>
    <w:rsid w:val="00151523"/>
    <w:rsid w:val="0015171D"/>
    <w:rsid w:val="0015172C"/>
    <w:rsid w:val="00151ADF"/>
    <w:rsid w:val="00151FDC"/>
    <w:rsid w:val="0015229E"/>
    <w:rsid w:val="00152673"/>
    <w:rsid w:val="001533E8"/>
    <w:rsid w:val="00153A3D"/>
    <w:rsid w:val="00153F23"/>
    <w:rsid w:val="00154147"/>
    <w:rsid w:val="001544E0"/>
    <w:rsid w:val="0015482B"/>
    <w:rsid w:val="00154B37"/>
    <w:rsid w:val="00154C32"/>
    <w:rsid w:val="001553EA"/>
    <w:rsid w:val="001554C2"/>
    <w:rsid w:val="00155A51"/>
    <w:rsid w:val="001566D2"/>
    <w:rsid w:val="00156AFE"/>
    <w:rsid w:val="00156BDF"/>
    <w:rsid w:val="0015722B"/>
    <w:rsid w:val="001574E1"/>
    <w:rsid w:val="00157B02"/>
    <w:rsid w:val="00157EC5"/>
    <w:rsid w:val="001606AE"/>
    <w:rsid w:val="0016095B"/>
    <w:rsid w:val="00160A66"/>
    <w:rsid w:val="00160AFB"/>
    <w:rsid w:val="00161985"/>
    <w:rsid w:val="00162040"/>
    <w:rsid w:val="001621F0"/>
    <w:rsid w:val="0016303B"/>
    <w:rsid w:val="0016311F"/>
    <w:rsid w:val="00163B4A"/>
    <w:rsid w:val="001643CC"/>
    <w:rsid w:val="00164B95"/>
    <w:rsid w:val="00164EEA"/>
    <w:rsid w:val="00165408"/>
    <w:rsid w:val="00165675"/>
    <w:rsid w:val="00165F5F"/>
    <w:rsid w:val="0016615D"/>
    <w:rsid w:val="00166BE4"/>
    <w:rsid w:val="00166C55"/>
    <w:rsid w:val="00166D80"/>
    <w:rsid w:val="00167297"/>
    <w:rsid w:val="0016742E"/>
    <w:rsid w:val="00167469"/>
    <w:rsid w:val="001674BE"/>
    <w:rsid w:val="00167766"/>
    <w:rsid w:val="00170493"/>
    <w:rsid w:val="00170661"/>
    <w:rsid w:val="00170BE3"/>
    <w:rsid w:val="00170EF2"/>
    <w:rsid w:val="00170FDF"/>
    <w:rsid w:val="00171339"/>
    <w:rsid w:val="001715FB"/>
    <w:rsid w:val="00171983"/>
    <w:rsid w:val="001722C4"/>
    <w:rsid w:val="001724E5"/>
    <w:rsid w:val="0017275F"/>
    <w:rsid w:val="00172832"/>
    <w:rsid w:val="00172AA4"/>
    <w:rsid w:val="00172CF2"/>
    <w:rsid w:val="00172E1B"/>
    <w:rsid w:val="00173E76"/>
    <w:rsid w:val="00173FFF"/>
    <w:rsid w:val="0017418A"/>
    <w:rsid w:val="00174674"/>
    <w:rsid w:val="00174848"/>
    <w:rsid w:val="0017596D"/>
    <w:rsid w:val="00175D7D"/>
    <w:rsid w:val="0017655C"/>
    <w:rsid w:val="00176BFD"/>
    <w:rsid w:val="00177030"/>
    <w:rsid w:val="00177980"/>
    <w:rsid w:val="00177D5C"/>
    <w:rsid w:val="00177F6D"/>
    <w:rsid w:val="00180829"/>
    <w:rsid w:val="00180B2F"/>
    <w:rsid w:val="001828C6"/>
    <w:rsid w:val="00182A83"/>
    <w:rsid w:val="00182CD9"/>
    <w:rsid w:val="001831C5"/>
    <w:rsid w:val="00183F88"/>
    <w:rsid w:val="00184A1F"/>
    <w:rsid w:val="00184BE3"/>
    <w:rsid w:val="00184CD5"/>
    <w:rsid w:val="00184E2D"/>
    <w:rsid w:val="00184F10"/>
    <w:rsid w:val="00184FB0"/>
    <w:rsid w:val="00185154"/>
    <w:rsid w:val="00185158"/>
    <w:rsid w:val="001854A8"/>
    <w:rsid w:val="001858A4"/>
    <w:rsid w:val="001859A7"/>
    <w:rsid w:val="00185B37"/>
    <w:rsid w:val="00185E3E"/>
    <w:rsid w:val="00185F64"/>
    <w:rsid w:val="001875F5"/>
    <w:rsid w:val="00187B35"/>
    <w:rsid w:val="00187ECB"/>
    <w:rsid w:val="00187F04"/>
    <w:rsid w:val="00190C18"/>
    <w:rsid w:val="00191230"/>
    <w:rsid w:val="00191263"/>
    <w:rsid w:val="00191430"/>
    <w:rsid w:val="001914E6"/>
    <w:rsid w:val="00191A26"/>
    <w:rsid w:val="00191CCE"/>
    <w:rsid w:val="001921F0"/>
    <w:rsid w:val="0019244A"/>
    <w:rsid w:val="00192572"/>
    <w:rsid w:val="00192FB6"/>
    <w:rsid w:val="001931A5"/>
    <w:rsid w:val="00193BCC"/>
    <w:rsid w:val="001945D4"/>
    <w:rsid w:val="00194DC6"/>
    <w:rsid w:val="00194EBF"/>
    <w:rsid w:val="00194F5F"/>
    <w:rsid w:val="001950A8"/>
    <w:rsid w:val="001952A5"/>
    <w:rsid w:val="001959FD"/>
    <w:rsid w:val="00195A52"/>
    <w:rsid w:val="00195A68"/>
    <w:rsid w:val="00195FA8"/>
    <w:rsid w:val="001961E5"/>
    <w:rsid w:val="00196DCF"/>
    <w:rsid w:val="00197765"/>
    <w:rsid w:val="001A0835"/>
    <w:rsid w:val="001A0D08"/>
    <w:rsid w:val="001A1314"/>
    <w:rsid w:val="001A1378"/>
    <w:rsid w:val="001A2010"/>
    <w:rsid w:val="001A2E1E"/>
    <w:rsid w:val="001A3128"/>
    <w:rsid w:val="001A33CB"/>
    <w:rsid w:val="001A3668"/>
    <w:rsid w:val="001A4498"/>
    <w:rsid w:val="001A452D"/>
    <w:rsid w:val="001A46CC"/>
    <w:rsid w:val="001A495B"/>
    <w:rsid w:val="001A4E3A"/>
    <w:rsid w:val="001A5109"/>
    <w:rsid w:val="001A51AC"/>
    <w:rsid w:val="001A5E4F"/>
    <w:rsid w:val="001A60A6"/>
    <w:rsid w:val="001A6C40"/>
    <w:rsid w:val="001A6E95"/>
    <w:rsid w:val="001A7130"/>
    <w:rsid w:val="001A7230"/>
    <w:rsid w:val="001A7265"/>
    <w:rsid w:val="001A7577"/>
    <w:rsid w:val="001A7894"/>
    <w:rsid w:val="001A79FB"/>
    <w:rsid w:val="001B0764"/>
    <w:rsid w:val="001B09FF"/>
    <w:rsid w:val="001B0C35"/>
    <w:rsid w:val="001B128E"/>
    <w:rsid w:val="001B1467"/>
    <w:rsid w:val="001B1A02"/>
    <w:rsid w:val="001B1B66"/>
    <w:rsid w:val="001B1CB4"/>
    <w:rsid w:val="001B1E94"/>
    <w:rsid w:val="001B2031"/>
    <w:rsid w:val="001B2A02"/>
    <w:rsid w:val="001B2CD2"/>
    <w:rsid w:val="001B2CEA"/>
    <w:rsid w:val="001B2D1D"/>
    <w:rsid w:val="001B30F0"/>
    <w:rsid w:val="001B37AE"/>
    <w:rsid w:val="001B3AFB"/>
    <w:rsid w:val="001B4410"/>
    <w:rsid w:val="001B481E"/>
    <w:rsid w:val="001B4D8C"/>
    <w:rsid w:val="001B5764"/>
    <w:rsid w:val="001B5B89"/>
    <w:rsid w:val="001B6103"/>
    <w:rsid w:val="001B63D2"/>
    <w:rsid w:val="001B6860"/>
    <w:rsid w:val="001B6FFE"/>
    <w:rsid w:val="001B70ED"/>
    <w:rsid w:val="001B7D28"/>
    <w:rsid w:val="001B7E96"/>
    <w:rsid w:val="001B7F39"/>
    <w:rsid w:val="001C0036"/>
    <w:rsid w:val="001C019D"/>
    <w:rsid w:val="001C03A0"/>
    <w:rsid w:val="001C06A8"/>
    <w:rsid w:val="001C093C"/>
    <w:rsid w:val="001C095F"/>
    <w:rsid w:val="001C18F1"/>
    <w:rsid w:val="001C21FF"/>
    <w:rsid w:val="001C252B"/>
    <w:rsid w:val="001C2EC1"/>
    <w:rsid w:val="001C348B"/>
    <w:rsid w:val="001C3639"/>
    <w:rsid w:val="001C3CF0"/>
    <w:rsid w:val="001C4DD1"/>
    <w:rsid w:val="001C50B1"/>
    <w:rsid w:val="001C5208"/>
    <w:rsid w:val="001C543C"/>
    <w:rsid w:val="001C557F"/>
    <w:rsid w:val="001C5597"/>
    <w:rsid w:val="001C57D8"/>
    <w:rsid w:val="001C5E87"/>
    <w:rsid w:val="001C6182"/>
    <w:rsid w:val="001C6CCE"/>
    <w:rsid w:val="001C6D10"/>
    <w:rsid w:val="001C7162"/>
    <w:rsid w:val="001C7802"/>
    <w:rsid w:val="001C7D0C"/>
    <w:rsid w:val="001D01D8"/>
    <w:rsid w:val="001D0C4F"/>
    <w:rsid w:val="001D14C1"/>
    <w:rsid w:val="001D2981"/>
    <w:rsid w:val="001D29E2"/>
    <w:rsid w:val="001D2CEA"/>
    <w:rsid w:val="001D39B3"/>
    <w:rsid w:val="001D39CB"/>
    <w:rsid w:val="001D3CA9"/>
    <w:rsid w:val="001D3E42"/>
    <w:rsid w:val="001D4083"/>
    <w:rsid w:val="001D548B"/>
    <w:rsid w:val="001D54DB"/>
    <w:rsid w:val="001D5609"/>
    <w:rsid w:val="001D5B15"/>
    <w:rsid w:val="001D6008"/>
    <w:rsid w:val="001D6BF0"/>
    <w:rsid w:val="001D6CD5"/>
    <w:rsid w:val="001D6E08"/>
    <w:rsid w:val="001D6E30"/>
    <w:rsid w:val="001D6EEF"/>
    <w:rsid w:val="001D7108"/>
    <w:rsid w:val="001D723F"/>
    <w:rsid w:val="001D7696"/>
    <w:rsid w:val="001D79A6"/>
    <w:rsid w:val="001E05F8"/>
    <w:rsid w:val="001E0721"/>
    <w:rsid w:val="001E097F"/>
    <w:rsid w:val="001E1050"/>
    <w:rsid w:val="001E1138"/>
    <w:rsid w:val="001E13BE"/>
    <w:rsid w:val="001E142E"/>
    <w:rsid w:val="001E1596"/>
    <w:rsid w:val="001E1665"/>
    <w:rsid w:val="001E1D3C"/>
    <w:rsid w:val="001E2084"/>
    <w:rsid w:val="001E25CA"/>
    <w:rsid w:val="001E341B"/>
    <w:rsid w:val="001E3453"/>
    <w:rsid w:val="001E3478"/>
    <w:rsid w:val="001E34F2"/>
    <w:rsid w:val="001E3507"/>
    <w:rsid w:val="001E368D"/>
    <w:rsid w:val="001E38F0"/>
    <w:rsid w:val="001E3910"/>
    <w:rsid w:val="001E3979"/>
    <w:rsid w:val="001E4164"/>
    <w:rsid w:val="001E425F"/>
    <w:rsid w:val="001E4A25"/>
    <w:rsid w:val="001E4A40"/>
    <w:rsid w:val="001E4A65"/>
    <w:rsid w:val="001E5AC3"/>
    <w:rsid w:val="001E5EEF"/>
    <w:rsid w:val="001E7017"/>
    <w:rsid w:val="001E7EB9"/>
    <w:rsid w:val="001F05DB"/>
    <w:rsid w:val="001F0B58"/>
    <w:rsid w:val="001F0BDC"/>
    <w:rsid w:val="001F0F19"/>
    <w:rsid w:val="001F11AD"/>
    <w:rsid w:val="001F1397"/>
    <w:rsid w:val="001F14B2"/>
    <w:rsid w:val="001F1E0B"/>
    <w:rsid w:val="001F2585"/>
    <w:rsid w:val="001F27E4"/>
    <w:rsid w:val="001F3486"/>
    <w:rsid w:val="001F3CEF"/>
    <w:rsid w:val="001F40E0"/>
    <w:rsid w:val="001F4897"/>
    <w:rsid w:val="001F519C"/>
    <w:rsid w:val="001F52FC"/>
    <w:rsid w:val="001F558F"/>
    <w:rsid w:val="001F58EC"/>
    <w:rsid w:val="001F59E0"/>
    <w:rsid w:val="001F5A3B"/>
    <w:rsid w:val="001F5AA5"/>
    <w:rsid w:val="001F6133"/>
    <w:rsid w:val="001F67C2"/>
    <w:rsid w:val="001F701D"/>
    <w:rsid w:val="001F7305"/>
    <w:rsid w:val="001F75E6"/>
    <w:rsid w:val="001F7CB6"/>
    <w:rsid w:val="001F7D2A"/>
    <w:rsid w:val="001F7D81"/>
    <w:rsid w:val="00200459"/>
    <w:rsid w:val="00200599"/>
    <w:rsid w:val="00200E14"/>
    <w:rsid w:val="00200F0D"/>
    <w:rsid w:val="0020155C"/>
    <w:rsid w:val="0020178D"/>
    <w:rsid w:val="00201CC4"/>
    <w:rsid w:val="00201EB1"/>
    <w:rsid w:val="0020291E"/>
    <w:rsid w:val="0020334F"/>
    <w:rsid w:val="0020395D"/>
    <w:rsid w:val="0020410D"/>
    <w:rsid w:val="0020440E"/>
    <w:rsid w:val="00204C4E"/>
    <w:rsid w:val="00204D6C"/>
    <w:rsid w:val="0020558E"/>
    <w:rsid w:val="002056A4"/>
    <w:rsid w:val="00205757"/>
    <w:rsid w:val="00205FB2"/>
    <w:rsid w:val="00206067"/>
    <w:rsid w:val="0020628E"/>
    <w:rsid w:val="00206A0B"/>
    <w:rsid w:val="00206C1F"/>
    <w:rsid w:val="00206C82"/>
    <w:rsid w:val="0020752B"/>
    <w:rsid w:val="00207A17"/>
    <w:rsid w:val="002101F2"/>
    <w:rsid w:val="0021022D"/>
    <w:rsid w:val="002105D0"/>
    <w:rsid w:val="0021063F"/>
    <w:rsid w:val="00211FB1"/>
    <w:rsid w:val="002125A7"/>
    <w:rsid w:val="00212738"/>
    <w:rsid w:val="00212849"/>
    <w:rsid w:val="00213494"/>
    <w:rsid w:val="002136EC"/>
    <w:rsid w:val="00213918"/>
    <w:rsid w:val="0021418F"/>
    <w:rsid w:val="002147EF"/>
    <w:rsid w:val="00215480"/>
    <w:rsid w:val="002158C9"/>
    <w:rsid w:val="0021629D"/>
    <w:rsid w:val="0021644E"/>
    <w:rsid w:val="00217311"/>
    <w:rsid w:val="0021775D"/>
    <w:rsid w:val="00217BF5"/>
    <w:rsid w:val="002201AE"/>
    <w:rsid w:val="00220409"/>
    <w:rsid w:val="00220657"/>
    <w:rsid w:val="00220F02"/>
    <w:rsid w:val="00220F72"/>
    <w:rsid w:val="00221045"/>
    <w:rsid w:val="002213F6"/>
    <w:rsid w:val="0022191B"/>
    <w:rsid w:val="00223124"/>
    <w:rsid w:val="00223541"/>
    <w:rsid w:val="00223884"/>
    <w:rsid w:val="0022400F"/>
    <w:rsid w:val="0022438A"/>
    <w:rsid w:val="00224A45"/>
    <w:rsid w:val="00224CFE"/>
    <w:rsid w:val="00224EC0"/>
    <w:rsid w:val="0022518E"/>
    <w:rsid w:val="00225478"/>
    <w:rsid w:val="00225E66"/>
    <w:rsid w:val="002262E0"/>
    <w:rsid w:val="002272D0"/>
    <w:rsid w:val="002275B0"/>
    <w:rsid w:val="00227B41"/>
    <w:rsid w:val="00227D0D"/>
    <w:rsid w:val="00227E66"/>
    <w:rsid w:val="002303DA"/>
    <w:rsid w:val="0023040C"/>
    <w:rsid w:val="00230FC8"/>
    <w:rsid w:val="002310A6"/>
    <w:rsid w:val="0023172B"/>
    <w:rsid w:val="00231787"/>
    <w:rsid w:val="00231840"/>
    <w:rsid w:val="00231BA3"/>
    <w:rsid w:val="00231BFB"/>
    <w:rsid w:val="0023278C"/>
    <w:rsid w:val="00232E49"/>
    <w:rsid w:val="00233234"/>
    <w:rsid w:val="0023328A"/>
    <w:rsid w:val="002333C7"/>
    <w:rsid w:val="0023344C"/>
    <w:rsid w:val="00233861"/>
    <w:rsid w:val="00233D90"/>
    <w:rsid w:val="00233EC1"/>
    <w:rsid w:val="0023404E"/>
    <w:rsid w:val="002344BC"/>
    <w:rsid w:val="00234C6D"/>
    <w:rsid w:val="00234EB7"/>
    <w:rsid w:val="002359CD"/>
    <w:rsid w:val="00235E60"/>
    <w:rsid w:val="00236B27"/>
    <w:rsid w:val="002372FA"/>
    <w:rsid w:val="0023731D"/>
    <w:rsid w:val="002373E8"/>
    <w:rsid w:val="00237A41"/>
    <w:rsid w:val="00237CC0"/>
    <w:rsid w:val="00237E87"/>
    <w:rsid w:val="0024004E"/>
    <w:rsid w:val="00240706"/>
    <w:rsid w:val="0024077C"/>
    <w:rsid w:val="002407A2"/>
    <w:rsid w:val="00240BAA"/>
    <w:rsid w:val="002417F8"/>
    <w:rsid w:val="002423DF"/>
    <w:rsid w:val="002430C6"/>
    <w:rsid w:val="00243D74"/>
    <w:rsid w:val="00244181"/>
    <w:rsid w:val="00244491"/>
    <w:rsid w:val="002445BD"/>
    <w:rsid w:val="00244839"/>
    <w:rsid w:val="00244AC9"/>
    <w:rsid w:val="00244EB7"/>
    <w:rsid w:val="00244FED"/>
    <w:rsid w:val="00245049"/>
    <w:rsid w:val="002454A1"/>
    <w:rsid w:val="00245D56"/>
    <w:rsid w:val="0024604B"/>
    <w:rsid w:val="002464D9"/>
    <w:rsid w:val="00246A17"/>
    <w:rsid w:val="00246D2D"/>
    <w:rsid w:val="00246E2E"/>
    <w:rsid w:val="00247AC2"/>
    <w:rsid w:val="00250005"/>
    <w:rsid w:val="002506DD"/>
    <w:rsid w:val="002506E7"/>
    <w:rsid w:val="002508B6"/>
    <w:rsid w:val="00250A33"/>
    <w:rsid w:val="00250AF5"/>
    <w:rsid w:val="00251670"/>
    <w:rsid w:val="00251876"/>
    <w:rsid w:val="00251984"/>
    <w:rsid w:val="00251BCB"/>
    <w:rsid w:val="00251F8F"/>
    <w:rsid w:val="00252713"/>
    <w:rsid w:val="002529AA"/>
    <w:rsid w:val="0025310D"/>
    <w:rsid w:val="0025333F"/>
    <w:rsid w:val="002536A8"/>
    <w:rsid w:val="0025370F"/>
    <w:rsid w:val="00253947"/>
    <w:rsid w:val="00254854"/>
    <w:rsid w:val="00254869"/>
    <w:rsid w:val="00254AFD"/>
    <w:rsid w:val="00254BD6"/>
    <w:rsid w:val="00254E87"/>
    <w:rsid w:val="0025518B"/>
    <w:rsid w:val="0025524B"/>
    <w:rsid w:val="0025610D"/>
    <w:rsid w:val="00256508"/>
    <w:rsid w:val="0025651C"/>
    <w:rsid w:val="0025664E"/>
    <w:rsid w:val="002569CF"/>
    <w:rsid w:val="002575C8"/>
    <w:rsid w:val="00257DD9"/>
    <w:rsid w:val="00260274"/>
    <w:rsid w:val="00260BC2"/>
    <w:rsid w:val="00261C6A"/>
    <w:rsid w:val="00262199"/>
    <w:rsid w:val="0026269B"/>
    <w:rsid w:val="00263057"/>
    <w:rsid w:val="00263101"/>
    <w:rsid w:val="002644B8"/>
    <w:rsid w:val="00264FB3"/>
    <w:rsid w:val="00265299"/>
    <w:rsid w:val="0026588D"/>
    <w:rsid w:val="002658A9"/>
    <w:rsid w:val="00265A72"/>
    <w:rsid w:val="002660A0"/>
    <w:rsid w:val="002663E5"/>
    <w:rsid w:val="0026666F"/>
    <w:rsid w:val="0026677F"/>
    <w:rsid w:val="00267355"/>
    <w:rsid w:val="00267F8B"/>
    <w:rsid w:val="00270787"/>
    <w:rsid w:val="00270921"/>
    <w:rsid w:val="00270963"/>
    <w:rsid w:val="00271132"/>
    <w:rsid w:val="00271708"/>
    <w:rsid w:val="00271950"/>
    <w:rsid w:val="00271F19"/>
    <w:rsid w:val="0027270C"/>
    <w:rsid w:val="002730E7"/>
    <w:rsid w:val="00273101"/>
    <w:rsid w:val="00273706"/>
    <w:rsid w:val="00273D6D"/>
    <w:rsid w:val="00274143"/>
    <w:rsid w:val="00274151"/>
    <w:rsid w:val="00274537"/>
    <w:rsid w:val="00274A3A"/>
    <w:rsid w:val="002752E6"/>
    <w:rsid w:val="00275502"/>
    <w:rsid w:val="00275675"/>
    <w:rsid w:val="00275CF2"/>
    <w:rsid w:val="0027667F"/>
    <w:rsid w:val="00276A06"/>
    <w:rsid w:val="00276D84"/>
    <w:rsid w:val="002810BB"/>
    <w:rsid w:val="00281548"/>
    <w:rsid w:val="00281D1E"/>
    <w:rsid w:val="002820C3"/>
    <w:rsid w:val="0028222F"/>
    <w:rsid w:val="00282368"/>
    <w:rsid w:val="002828B2"/>
    <w:rsid w:val="00282EC7"/>
    <w:rsid w:val="002834C4"/>
    <w:rsid w:val="00283B2E"/>
    <w:rsid w:val="00284C88"/>
    <w:rsid w:val="0028506E"/>
    <w:rsid w:val="00285735"/>
    <w:rsid w:val="002857ED"/>
    <w:rsid w:val="0028600F"/>
    <w:rsid w:val="0028601F"/>
    <w:rsid w:val="00287873"/>
    <w:rsid w:val="00287A57"/>
    <w:rsid w:val="00290236"/>
    <w:rsid w:val="002905A5"/>
    <w:rsid w:val="0029104B"/>
    <w:rsid w:val="002918C7"/>
    <w:rsid w:val="00291D0D"/>
    <w:rsid w:val="002920CE"/>
    <w:rsid w:val="0029219F"/>
    <w:rsid w:val="002924CA"/>
    <w:rsid w:val="00292B61"/>
    <w:rsid w:val="00292CC0"/>
    <w:rsid w:val="00293C5E"/>
    <w:rsid w:val="00293DF4"/>
    <w:rsid w:val="0029407C"/>
    <w:rsid w:val="002942F0"/>
    <w:rsid w:val="0029507C"/>
    <w:rsid w:val="0029512F"/>
    <w:rsid w:val="00295280"/>
    <w:rsid w:val="00295C5A"/>
    <w:rsid w:val="00296264"/>
    <w:rsid w:val="00296A7F"/>
    <w:rsid w:val="0029708B"/>
    <w:rsid w:val="00297CF1"/>
    <w:rsid w:val="00297D80"/>
    <w:rsid w:val="00297F85"/>
    <w:rsid w:val="002A042C"/>
    <w:rsid w:val="002A09BA"/>
    <w:rsid w:val="002A0EDC"/>
    <w:rsid w:val="002A1353"/>
    <w:rsid w:val="002A19F0"/>
    <w:rsid w:val="002A2B3A"/>
    <w:rsid w:val="002A2D3E"/>
    <w:rsid w:val="002A2E4E"/>
    <w:rsid w:val="002A39E5"/>
    <w:rsid w:val="002A4B22"/>
    <w:rsid w:val="002A4BAD"/>
    <w:rsid w:val="002A5123"/>
    <w:rsid w:val="002A55FB"/>
    <w:rsid w:val="002A5656"/>
    <w:rsid w:val="002A63B0"/>
    <w:rsid w:val="002A680F"/>
    <w:rsid w:val="002A6913"/>
    <w:rsid w:val="002A7484"/>
    <w:rsid w:val="002A783D"/>
    <w:rsid w:val="002A7D03"/>
    <w:rsid w:val="002A7FB4"/>
    <w:rsid w:val="002B02E8"/>
    <w:rsid w:val="002B0A88"/>
    <w:rsid w:val="002B1679"/>
    <w:rsid w:val="002B1BB5"/>
    <w:rsid w:val="002B1E15"/>
    <w:rsid w:val="002B25A2"/>
    <w:rsid w:val="002B25DB"/>
    <w:rsid w:val="002B26A2"/>
    <w:rsid w:val="002B2B24"/>
    <w:rsid w:val="002B2CC3"/>
    <w:rsid w:val="002B3577"/>
    <w:rsid w:val="002B3923"/>
    <w:rsid w:val="002B3A73"/>
    <w:rsid w:val="002B3C48"/>
    <w:rsid w:val="002B421E"/>
    <w:rsid w:val="002B43BB"/>
    <w:rsid w:val="002B47FB"/>
    <w:rsid w:val="002B4E40"/>
    <w:rsid w:val="002B54BF"/>
    <w:rsid w:val="002B5645"/>
    <w:rsid w:val="002B596B"/>
    <w:rsid w:val="002B59E5"/>
    <w:rsid w:val="002B68BC"/>
    <w:rsid w:val="002B7453"/>
    <w:rsid w:val="002B7489"/>
    <w:rsid w:val="002B750A"/>
    <w:rsid w:val="002B7716"/>
    <w:rsid w:val="002B7901"/>
    <w:rsid w:val="002B7BA7"/>
    <w:rsid w:val="002B7FAC"/>
    <w:rsid w:val="002C00C5"/>
    <w:rsid w:val="002C1050"/>
    <w:rsid w:val="002C1374"/>
    <w:rsid w:val="002C1604"/>
    <w:rsid w:val="002C1DDB"/>
    <w:rsid w:val="002C1F4A"/>
    <w:rsid w:val="002C241D"/>
    <w:rsid w:val="002C2CE5"/>
    <w:rsid w:val="002C3578"/>
    <w:rsid w:val="002C3808"/>
    <w:rsid w:val="002C3C6B"/>
    <w:rsid w:val="002C3FEA"/>
    <w:rsid w:val="002C449C"/>
    <w:rsid w:val="002C4D30"/>
    <w:rsid w:val="002C505B"/>
    <w:rsid w:val="002C58DB"/>
    <w:rsid w:val="002C70EF"/>
    <w:rsid w:val="002C73BD"/>
    <w:rsid w:val="002C79B5"/>
    <w:rsid w:val="002C7A88"/>
    <w:rsid w:val="002C7C65"/>
    <w:rsid w:val="002D10F3"/>
    <w:rsid w:val="002D1462"/>
    <w:rsid w:val="002D2413"/>
    <w:rsid w:val="002D2869"/>
    <w:rsid w:val="002D287E"/>
    <w:rsid w:val="002D2AAE"/>
    <w:rsid w:val="002D3194"/>
    <w:rsid w:val="002D3331"/>
    <w:rsid w:val="002D431F"/>
    <w:rsid w:val="002D4541"/>
    <w:rsid w:val="002D49D2"/>
    <w:rsid w:val="002D4FFB"/>
    <w:rsid w:val="002D51B0"/>
    <w:rsid w:val="002D5428"/>
    <w:rsid w:val="002D5824"/>
    <w:rsid w:val="002D588C"/>
    <w:rsid w:val="002D61A6"/>
    <w:rsid w:val="002D62DC"/>
    <w:rsid w:val="002D6381"/>
    <w:rsid w:val="002D677F"/>
    <w:rsid w:val="002D6DCD"/>
    <w:rsid w:val="002D6E0C"/>
    <w:rsid w:val="002D7A2F"/>
    <w:rsid w:val="002E01A3"/>
    <w:rsid w:val="002E03FE"/>
    <w:rsid w:val="002E077F"/>
    <w:rsid w:val="002E0798"/>
    <w:rsid w:val="002E1D5B"/>
    <w:rsid w:val="002E2037"/>
    <w:rsid w:val="002E263D"/>
    <w:rsid w:val="002E2BE3"/>
    <w:rsid w:val="002E2E59"/>
    <w:rsid w:val="002E30E4"/>
    <w:rsid w:val="002E3653"/>
    <w:rsid w:val="002E36F4"/>
    <w:rsid w:val="002E489E"/>
    <w:rsid w:val="002E5445"/>
    <w:rsid w:val="002E58C9"/>
    <w:rsid w:val="002E58EC"/>
    <w:rsid w:val="002E59CC"/>
    <w:rsid w:val="002E5D2F"/>
    <w:rsid w:val="002E5D55"/>
    <w:rsid w:val="002E6091"/>
    <w:rsid w:val="002E683C"/>
    <w:rsid w:val="002E7613"/>
    <w:rsid w:val="002E78F9"/>
    <w:rsid w:val="002E7CA6"/>
    <w:rsid w:val="002F0277"/>
    <w:rsid w:val="002F037E"/>
    <w:rsid w:val="002F0571"/>
    <w:rsid w:val="002F067F"/>
    <w:rsid w:val="002F0789"/>
    <w:rsid w:val="002F08E0"/>
    <w:rsid w:val="002F0912"/>
    <w:rsid w:val="002F09CD"/>
    <w:rsid w:val="002F0D7F"/>
    <w:rsid w:val="002F1702"/>
    <w:rsid w:val="002F2C21"/>
    <w:rsid w:val="002F30F1"/>
    <w:rsid w:val="002F310D"/>
    <w:rsid w:val="002F3352"/>
    <w:rsid w:val="002F377A"/>
    <w:rsid w:val="002F3782"/>
    <w:rsid w:val="002F3935"/>
    <w:rsid w:val="002F3B56"/>
    <w:rsid w:val="002F3C1E"/>
    <w:rsid w:val="002F4B90"/>
    <w:rsid w:val="002F5222"/>
    <w:rsid w:val="002F556D"/>
    <w:rsid w:val="002F57E9"/>
    <w:rsid w:val="002F58F5"/>
    <w:rsid w:val="002F6044"/>
    <w:rsid w:val="002F60F9"/>
    <w:rsid w:val="002F624A"/>
    <w:rsid w:val="002F65CE"/>
    <w:rsid w:val="002F6C61"/>
    <w:rsid w:val="002F75A5"/>
    <w:rsid w:val="002F77BF"/>
    <w:rsid w:val="002F7D0E"/>
    <w:rsid w:val="003000AA"/>
    <w:rsid w:val="00300310"/>
    <w:rsid w:val="00300630"/>
    <w:rsid w:val="00300828"/>
    <w:rsid w:val="00300B60"/>
    <w:rsid w:val="00300E10"/>
    <w:rsid w:val="00300FC5"/>
    <w:rsid w:val="003010EF"/>
    <w:rsid w:val="003014CC"/>
    <w:rsid w:val="0030169C"/>
    <w:rsid w:val="003017B8"/>
    <w:rsid w:val="00301B77"/>
    <w:rsid w:val="003020CA"/>
    <w:rsid w:val="003020D5"/>
    <w:rsid w:val="003020E8"/>
    <w:rsid w:val="003024E5"/>
    <w:rsid w:val="0030265F"/>
    <w:rsid w:val="00302B26"/>
    <w:rsid w:val="0030323E"/>
    <w:rsid w:val="003035BE"/>
    <w:rsid w:val="00303B1F"/>
    <w:rsid w:val="00303C10"/>
    <w:rsid w:val="00303E88"/>
    <w:rsid w:val="00303E9B"/>
    <w:rsid w:val="0030414A"/>
    <w:rsid w:val="003049E4"/>
    <w:rsid w:val="00304D16"/>
    <w:rsid w:val="0030574E"/>
    <w:rsid w:val="00305E43"/>
    <w:rsid w:val="00305EC0"/>
    <w:rsid w:val="00305EFC"/>
    <w:rsid w:val="00306AE4"/>
    <w:rsid w:val="00307252"/>
    <w:rsid w:val="003072B2"/>
    <w:rsid w:val="003074FB"/>
    <w:rsid w:val="0030761C"/>
    <w:rsid w:val="00307BC2"/>
    <w:rsid w:val="003100F1"/>
    <w:rsid w:val="003100FF"/>
    <w:rsid w:val="003101F7"/>
    <w:rsid w:val="00310BFD"/>
    <w:rsid w:val="00311A8E"/>
    <w:rsid w:val="00311FF3"/>
    <w:rsid w:val="00312023"/>
    <w:rsid w:val="00312344"/>
    <w:rsid w:val="003129B7"/>
    <w:rsid w:val="00312ACA"/>
    <w:rsid w:val="00312C13"/>
    <w:rsid w:val="00312FA8"/>
    <w:rsid w:val="003130A3"/>
    <w:rsid w:val="00313250"/>
    <w:rsid w:val="00313332"/>
    <w:rsid w:val="00313A39"/>
    <w:rsid w:val="00313CDD"/>
    <w:rsid w:val="00314AB5"/>
    <w:rsid w:val="00315151"/>
    <w:rsid w:val="003159B1"/>
    <w:rsid w:val="00315B40"/>
    <w:rsid w:val="00316476"/>
    <w:rsid w:val="003167D5"/>
    <w:rsid w:val="00316A18"/>
    <w:rsid w:val="00316C41"/>
    <w:rsid w:val="00316FA6"/>
    <w:rsid w:val="0031752F"/>
    <w:rsid w:val="00317748"/>
    <w:rsid w:val="003177DB"/>
    <w:rsid w:val="003202C0"/>
    <w:rsid w:val="00320676"/>
    <w:rsid w:val="00320FE7"/>
    <w:rsid w:val="0032113B"/>
    <w:rsid w:val="00321529"/>
    <w:rsid w:val="00321E73"/>
    <w:rsid w:val="00322160"/>
    <w:rsid w:val="003228C0"/>
    <w:rsid w:val="00322A4A"/>
    <w:rsid w:val="00322B6D"/>
    <w:rsid w:val="00322FD8"/>
    <w:rsid w:val="003231AD"/>
    <w:rsid w:val="00323446"/>
    <w:rsid w:val="00323E61"/>
    <w:rsid w:val="00324129"/>
    <w:rsid w:val="0032414E"/>
    <w:rsid w:val="00324739"/>
    <w:rsid w:val="00324819"/>
    <w:rsid w:val="00324CA2"/>
    <w:rsid w:val="00324EAB"/>
    <w:rsid w:val="00325158"/>
    <w:rsid w:val="003252E5"/>
    <w:rsid w:val="003253F0"/>
    <w:rsid w:val="0032583A"/>
    <w:rsid w:val="0032588E"/>
    <w:rsid w:val="00325970"/>
    <w:rsid w:val="0032628B"/>
    <w:rsid w:val="003264BF"/>
    <w:rsid w:val="003269B2"/>
    <w:rsid w:val="00327BF5"/>
    <w:rsid w:val="00330067"/>
    <w:rsid w:val="00330390"/>
    <w:rsid w:val="00330519"/>
    <w:rsid w:val="003309E4"/>
    <w:rsid w:val="00330AE2"/>
    <w:rsid w:val="00330F8B"/>
    <w:rsid w:val="003314A9"/>
    <w:rsid w:val="00331541"/>
    <w:rsid w:val="00331BF9"/>
    <w:rsid w:val="00331EA2"/>
    <w:rsid w:val="00331F03"/>
    <w:rsid w:val="00331F88"/>
    <w:rsid w:val="003321BF"/>
    <w:rsid w:val="00332B6F"/>
    <w:rsid w:val="003332FE"/>
    <w:rsid w:val="00333531"/>
    <w:rsid w:val="00333A10"/>
    <w:rsid w:val="003345BD"/>
    <w:rsid w:val="0033491C"/>
    <w:rsid w:val="00334E29"/>
    <w:rsid w:val="00335201"/>
    <w:rsid w:val="0033563A"/>
    <w:rsid w:val="00335811"/>
    <w:rsid w:val="00335AE5"/>
    <w:rsid w:val="00335E25"/>
    <w:rsid w:val="003362A4"/>
    <w:rsid w:val="0033648C"/>
    <w:rsid w:val="003369B9"/>
    <w:rsid w:val="00336AA6"/>
    <w:rsid w:val="00336CEF"/>
    <w:rsid w:val="00336D24"/>
    <w:rsid w:val="003370B1"/>
    <w:rsid w:val="0033718E"/>
    <w:rsid w:val="0033744E"/>
    <w:rsid w:val="00340101"/>
    <w:rsid w:val="00340190"/>
    <w:rsid w:val="003404EE"/>
    <w:rsid w:val="00341DF4"/>
    <w:rsid w:val="00342CB9"/>
    <w:rsid w:val="00343183"/>
    <w:rsid w:val="0034429B"/>
    <w:rsid w:val="003442BB"/>
    <w:rsid w:val="00344664"/>
    <w:rsid w:val="00345ED9"/>
    <w:rsid w:val="00346033"/>
    <w:rsid w:val="00346401"/>
    <w:rsid w:val="003467C1"/>
    <w:rsid w:val="0034686B"/>
    <w:rsid w:val="003469CE"/>
    <w:rsid w:val="00346E48"/>
    <w:rsid w:val="0034793B"/>
    <w:rsid w:val="00347A5A"/>
    <w:rsid w:val="00347C49"/>
    <w:rsid w:val="00347DBC"/>
    <w:rsid w:val="003501A8"/>
    <w:rsid w:val="00350314"/>
    <w:rsid w:val="00350457"/>
    <w:rsid w:val="003509A4"/>
    <w:rsid w:val="00350AC3"/>
    <w:rsid w:val="00350D74"/>
    <w:rsid w:val="00350F46"/>
    <w:rsid w:val="00351074"/>
    <w:rsid w:val="003510EC"/>
    <w:rsid w:val="003512B4"/>
    <w:rsid w:val="003514E1"/>
    <w:rsid w:val="00351674"/>
    <w:rsid w:val="00351E2C"/>
    <w:rsid w:val="003522CE"/>
    <w:rsid w:val="003524DB"/>
    <w:rsid w:val="00352585"/>
    <w:rsid w:val="00352C52"/>
    <w:rsid w:val="00353192"/>
    <w:rsid w:val="0035364E"/>
    <w:rsid w:val="00353AF7"/>
    <w:rsid w:val="00355291"/>
    <w:rsid w:val="0035659C"/>
    <w:rsid w:val="00360628"/>
    <w:rsid w:val="00360D6E"/>
    <w:rsid w:val="00361287"/>
    <w:rsid w:val="0036144E"/>
    <w:rsid w:val="00361BD0"/>
    <w:rsid w:val="00361D62"/>
    <w:rsid w:val="00361E84"/>
    <w:rsid w:val="00363170"/>
    <w:rsid w:val="003642C3"/>
    <w:rsid w:val="003644C4"/>
    <w:rsid w:val="003648D1"/>
    <w:rsid w:val="003651F3"/>
    <w:rsid w:val="00365612"/>
    <w:rsid w:val="003673A0"/>
    <w:rsid w:val="003674F4"/>
    <w:rsid w:val="003677A9"/>
    <w:rsid w:val="00367D32"/>
    <w:rsid w:val="00370078"/>
    <w:rsid w:val="003705CA"/>
    <w:rsid w:val="00370DA7"/>
    <w:rsid w:val="0037165A"/>
    <w:rsid w:val="0037235B"/>
    <w:rsid w:val="0037240D"/>
    <w:rsid w:val="0037268F"/>
    <w:rsid w:val="00372EC4"/>
    <w:rsid w:val="0037330F"/>
    <w:rsid w:val="00373BA2"/>
    <w:rsid w:val="00374788"/>
    <w:rsid w:val="003749D2"/>
    <w:rsid w:val="00374C6B"/>
    <w:rsid w:val="003750B3"/>
    <w:rsid w:val="003751A5"/>
    <w:rsid w:val="003755CE"/>
    <w:rsid w:val="00375859"/>
    <w:rsid w:val="00376053"/>
    <w:rsid w:val="00376A6A"/>
    <w:rsid w:val="00376B15"/>
    <w:rsid w:val="003773C9"/>
    <w:rsid w:val="0037741C"/>
    <w:rsid w:val="003775AF"/>
    <w:rsid w:val="003775CE"/>
    <w:rsid w:val="00377B83"/>
    <w:rsid w:val="0038089B"/>
    <w:rsid w:val="003809F3"/>
    <w:rsid w:val="00380F64"/>
    <w:rsid w:val="00381FC2"/>
    <w:rsid w:val="003822F4"/>
    <w:rsid w:val="00382F9E"/>
    <w:rsid w:val="003830CF"/>
    <w:rsid w:val="00383723"/>
    <w:rsid w:val="00383780"/>
    <w:rsid w:val="00383BFD"/>
    <w:rsid w:val="00383D33"/>
    <w:rsid w:val="00383F9C"/>
    <w:rsid w:val="003843B8"/>
    <w:rsid w:val="00384C2D"/>
    <w:rsid w:val="00384CAC"/>
    <w:rsid w:val="00385688"/>
    <w:rsid w:val="00385FFE"/>
    <w:rsid w:val="00386268"/>
    <w:rsid w:val="00386A71"/>
    <w:rsid w:val="00386F84"/>
    <w:rsid w:val="003878F0"/>
    <w:rsid w:val="00387B73"/>
    <w:rsid w:val="0039027F"/>
    <w:rsid w:val="00390B70"/>
    <w:rsid w:val="00391AA5"/>
    <w:rsid w:val="003922D8"/>
    <w:rsid w:val="00392606"/>
    <w:rsid w:val="00392A79"/>
    <w:rsid w:val="00392CE4"/>
    <w:rsid w:val="003931A6"/>
    <w:rsid w:val="00393AE9"/>
    <w:rsid w:val="00393CBC"/>
    <w:rsid w:val="0039424D"/>
    <w:rsid w:val="0039530A"/>
    <w:rsid w:val="00395860"/>
    <w:rsid w:val="00395870"/>
    <w:rsid w:val="003966EB"/>
    <w:rsid w:val="00396DF9"/>
    <w:rsid w:val="00396FA7"/>
    <w:rsid w:val="00397702"/>
    <w:rsid w:val="00397AE2"/>
    <w:rsid w:val="00397BE6"/>
    <w:rsid w:val="003A057B"/>
    <w:rsid w:val="003A0939"/>
    <w:rsid w:val="003A0CA8"/>
    <w:rsid w:val="003A0D56"/>
    <w:rsid w:val="003A0D84"/>
    <w:rsid w:val="003A1026"/>
    <w:rsid w:val="003A13B9"/>
    <w:rsid w:val="003A14FB"/>
    <w:rsid w:val="003A1EF4"/>
    <w:rsid w:val="003A20A6"/>
    <w:rsid w:val="003A20D3"/>
    <w:rsid w:val="003A231B"/>
    <w:rsid w:val="003A2591"/>
    <w:rsid w:val="003A2E6E"/>
    <w:rsid w:val="003A3301"/>
    <w:rsid w:val="003A3423"/>
    <w:rsid w:val="003A37F7"/>
    <w:rsid w:val="003A3E27"/>
    <w:rsid w:val="003A4236"/>
    <w:rsid w:val="003A430F"/>
    <w:rsid w:val="003A471E"/>
    <w:rsid w:val="003A4915"/>
    <w:rsid w:val="003A4CC8"/>
    <w:rsid w:val="003A4DCE"/>
    <w:rsid w:val="003A55C3"/>
    <w:rsid w:val="003A57F9"/>
    <w:rsid w:val="003A617D"/>
    <w:rsid w:val="003A6331"/>
    <w:rsid w:val="003A659F"/>
    <w:rsid w:val="003A73A5"/>
    <w:rsid w:val="003A76F7"/>
    <w:rsid w:val="003A7846"/>
    <w:rsid w:val="003A7A54"/>
    <w:rsid w:val="003A7C5A"/>
    <w:rsid w:val="003A7DA3"/>
    <w:rsid w:val="003B00B5"/>
    <w:rsid w:val="003B0247"/>
    <w:rsid w:val="003B0287"/>
    <w:rsid w:val="003B0358"/>
    <w:rsid w:val="003B12E7"/>
    <w:rsid w:val="003B13FF"/>
    <w:rsid w:val="003B1628"/>
    <w:rsid w:val="003B1CAB"/>
    <w:rsid w:val="003B290C"/>
    <w:rsid w:val="003B294F"/>
    <w:rsid w:val="003B3103"/>
    <w:rsid w:val="003B323C"/>
    <w:rsid w:val="003B3295"/>
    <w:rsid w:val="003B3A9B"/>
    <w:rsid w:val="003B3E86"/>
    <w:rsid w:val="003B3F24"/>
    <w:rsid w:val="003B4011"/>
    <w:rsid w:val="003B42FC"/>
    <w:rsid w:val="003B43FD"/>
    <w:rsid w:val="003B498B"/>
    <w:rsid w:val="003B540A"/>
    <w:rsid w:val="003B5901"/>
    <w:rsid w:val="003B5C6C"/>
    <w:rsid w:val="003B644C"/>
    <w:rsid w:val="003B658C"/>
    <w:rsid w:val="003B6FC6"/>
    <w:rsid w:val="003B7104"/>
    <w:rsid w:val="003B725D"/>
    <w:rsid w:val="003B735F"/>
    <w:rsid w:val="003B73E1"/>
    <w:rsid w:val="003B743A"/>
    <w:rsid w:val="003B7629"/>
    <w:rsid w:val="003B77DD"/>
    <w:rsid w:val="003B78DB"/>
    <w:rsid w:val="003B7EF4"/>
    <w:rsid w:val="003C0119"/>
    <w:rsid w:val="003C039C"/>
    <w:rsid w:val="003C06C9"/>
    <w:rsid w:val="003C06D6"/>
    <w:rsid w:val="003C094B"/>
    <w:rsid w:val="003C0AA2"/>
    <w:rsid w:val="003C141C"/>
    <w:rsid w:val="003C15D3"/>
    <w:rsid w:val="003C1C5E"/>
    <w:rsid w:val="003C2390"/>
    <w:rsid w:val="003C23D3"/>
    <w:rsid w:val="003C2A2C"/>
    <w:rsid w:val="003C2FFD"/>
    <w:rsid w:val="003C3300"/>
    <w:rsid w:val="003C3FF9"/>
    <w:rsid w:val="003C447A"/>
    <w:rsid w:val="003C46AF"/>
    <w:rsid w:val="003C48D6"/>
    <w:rsid w:val="003C5583"/>
    <w:rsid w:val="003C568B"/>
    <w:rsid w:val="003C631E"/>
    <w:rsid w:val="003C63B5"/>
    <w:rsid w:val="003C6974"/>
    <w:rsid w:val="003C6B34"/>
    <w:rsid w:val="003C7CA4"/>
    <w:rsid w:val="003D01C8"/>
    <w:rsid w:val="003D08C1"/>
    <w:rsid w:val="003D0AE3"/>
    <w:rsid w:val="003D0C19"/>
    <w:rsid w:val="003D1077"/>
    <w:rsid w:val="003D1632"/>
    <w:rsid w:val="003D2693"/>
    <w:rsid w:val="003D2B37"/>
    <w:rsid w:val="003D2C0C"/>
    <w:rsid w:val="003D2C4A"/>
    <w:rsid w:val="003D30ED"/>
    <w:rsid w:val="003D3302"/>
    <w:rsid w:val="003D33FA"/>
    <w:rsid w:val="003D34B7"/>
    <w:rsid w:val="003D3F64"/>
    <w:rsid w:val="003D43AC"/>
    <w:rsid w:val="003D4BCE"/>
    <w:rsid w:val="003D4DAE"/>
    <w:rsid w:val="003D541D"/>
    <w:rsid w:val="003D548C"/>
    <w:rsid w:val="003D5E50"/>
    <w:rsid w:val="003D5EAA"/>
    <w:rsid w:val="003D5F29"/>
    <w:rsid w:val="003D5F73"/>
    <w:rsid w:val="003D607D"/>
    <w:rsid w:val="003D65BD"/>
    <w:rsid w:val="003D661F"/>
    <w:rsid w:val="003E03BE"/>
    <w:rsid w:val="003E046C"/>
    <w:rsid w:val="003E0539"/>
    <w:rsid w:val="003E0AE8"/>
    <w:rsid w:val="003E0F17"/>
    <w:rsid w:val="003E1D81"/>
    <w:rsid w:val="003E2378"/>
    <w:rsid w:val="003E2736"/>
    <w:rsid w:val="003E2F3F"/>
    <w:rsid w:val="003E3120"/>
    <w:rsid w:val="003E321C"/>
    <w:rsid w:val="003E385D"/>
    <w:rsid w:val="003E38F1"/>
    <w:rsid w:val="003E39F0"/>
    <w:rsid w:val="003E3EAC"/>
    <w:rsid w:val="003E3F05"/>
    <w:rsid w:val="003E4E3B"/>
    <w:rsid w:val="003E4F22"/>
    <w:rsid w:val="003E511A"/>
    <w:rsid w:val="003E513F"/>
    <w:rsid w:val="003E5BF0"/>
    <w:rsid w:val="003E5E63"/>
    <w:rsid w:val="003E60AF"/>
    <w:rsid w:val="003E6A49"/>
    <w:rsid w:val="003E6AD6"/>
    <w:rsid w:val="003E6C28"/>
    <w:rsid w:val="003E6C8B"/>
    <w:rsid w:val="003E6F73"/>
    <w:rsid w:val="003E7071"/>
    <w:rsid w:val="003F00B8"/>
    <w:rsid w:val="003F0105"/>
    <w:rsid w:val="003F0428"/>
    <w:rsid w:val="003F06B9"/>
    <w:rsid w:val="003F12B1"/>
    <w:rsid w:val="003F1933"/>
    <w:rsid w:val="003F1D82"/>
    <w:rsid w:val="003F1E20"/>
    <w:rsid w:val="003F239B"/>
    <w:rsid w:val="003F2722"/>
    <w:rsid w:val="003F2868"/>
    <w:rsid w:val="003F29B9"/>
    <w:rsid w:val="003F3224"/>
    <w:rsid w:val="003F3323"/>
    <w:rsid w:val="003F3693"/>
    <w:rsid w:val="003F392A"/>
    <w:rsid w:val="003F3BB7"/>
    <w:rsid w:val="003F3D18"/>
    <w:rsid w:val="003F3D29"/>
    <w:rsid w:val="003F48B9"/>
    <w:rsid w:val="003F492D"/>
    <w:rsid w:val="003F4D97"/>
    <w:rsid w:val="003F4FE2"/>
    <w:rsid w:val="003F5191"/>
    <w:rsid w:val="003F53A6"/>
    <w:rsid w:val="003F5D0C"/>
    <w:rsid w:val="003F63ED"/>
    <w:rsid w:val="003F6522"/>
    <w:rsid w:val="003F7127"/>
    <w:rsid w:val="003F758B"/>
    <w:rsid w:val="003F7920"/>
    <w:rsid w:val="003F7A43"/>
    <w:rsid w:val="003F7AE3"/>
    <w:rsid w:val="004000C2"/>
    <w:rsid w:val="0040044A"/>
    <w:rsid w:val="0040067D"/>
    <w:rsid w:val="004008E9"/>
    <w:rsid w:val="00400C39"/>
    <w:rsid w:val="00400E5F"/>
    <w:rsid w:val="00400F6A"/>
    <w:rsid w:val="00400FD7"/>
    <w:rsid w:val="004018EF"/>
    <w:rsid w:val="00401C0B"/>
    <w:rsid w:val="00401E07"/>
    <w:rsid w:val="004028A8"/>
    <w:rsid w:val="00402919"/>
    <w:rsid w:val="00402B71"/>
    <w:rsid w:val="00402C6A"/>
    <w:rsid w:val="00402EE7"/>
    <w:rsid w:val="0040306A"/>
    <w:rsid w:val="00403342"/>
    <w:rsid w:val="00403937"/>
    <w:rsid w:val="00403D2C"/>
    <w:rsid w:val="00403F7C"/>
    <w:rsid w:val="00404259"/>
    <w:rsid w:val="004043DB"/>
    <w:rsid w:val="00404C70"/>
    <w:rsid w:val="004054B3"/>
    <w:rsid w:val="00405835"/>
    <w:rsid w:val="004058EA"/>
    <w:rsid w:val="004063EE"/>
    <w:rsid w:val="0040699A"/>
    <w:rsid w:val="004069EB"/>
    <w:rsid w:val="00406A14"/>
    <w:rsid w:val="00406C30"/>
    <w:rsid w:val="00406DA9"/>
    <w:rsid w:val="00407521"/>
    <w:rsid w:val="004107DD"/>
    <w:rsid w:val="004108BC"/>
    <w:rsid w:val="00410ACD"/>
    <w:rsid w:val="00411041"/>
    <w:rsid w:val="0041109D"/>
    <w:rsid w:val="00411AF9"/>
    <w:rsid w:val="00411C4E"/>
    <w:rsid w:val="0041268A"/>
    <w:rsid w:val="00412A67"/>
    <w:rsid w:val="00412C6F"/>
    <w:rsid w:val="0041303F"/>
    <w:rsid w:val="00413589"/>
    <w:rsid w:val="00413955"/>
    <w:rsid w:val="0041480A"/>
    <w:rsid w:val="0041483E"/>
    <w:rsid w:val="00414D9A"/>
    <w:rsid w:val="00415396"/>
    <w:rsid w:val="00415659"/>
    <w:rsid w:val="00415A55"/>
    <w:rsid w:val="00415F13"/>
    <w:rsid w:val="00416C0A"/>
    <w:rsid w:val="00416D7C"/>
    <w:rsid w:val="004171B2"/>
    <w:rsid w:val="004172EF"/>
    <w:rsid w:val="00417DF6"/>
    <w:rsid w:val="004202DD"/>
    <w:rsid w:val="0042037B"/>
    <w:rsid w:val="00420A2C"/>
    <w:rsid w:val="00420C47"/>
    <w:rsid w:val="00420D67"/>
    <w:rsid w:val="00420E30"/>
    <w:rsid w:val="00421308"/>
    <w:rsid w:val="00421A83"/>
    <w:rsid w:val="00421D08"/>
    <w:rsid w:val="00421FD0"/>
    <w:rsid w:val="00422277"/>
    <w:rsid w:val="004224B3"/>
    <w:rsid w:val="00422804"/>
    <w:rsid w:val="004231D7"/>
    <w:rsid w:val="0042349D"/>
    <w:rsid w:val="00423876"/>
    <w:rsid w:val="004238BD"/>
    <w:rsid w:val="00423A41"/>
    <w:rsid w:val="00423BA5"/>
    <w:rsid w:val="00423C1D"/>
    <w:rsid w:val="00423CCC"/>
    <w:rsid w:val="00423D26"/>
    <w:rsid w:val="00423E4D"/>
    <w:rsid w:val="00424295"/>
    <w:rsid w:val="004252C3"/>
    <w:rsid w:val="004256CF"/>
    <w:rsid w:val="00425F26"/>
    <w:rsid w:val="00425F27"/>
    <w:rsid w:val="00427550"/>
    <w:rsid w:val="00427EF9"/>
    <w:rsid w:val="00430168"/>
    <w:rsid w:val="004302B1"/>
    <w:rsid w:val="0043042C"/>
    <w:rsid w:val="00430B99"/>
    <w:rsid w:val="00432049"/>
    <w:rsid w:val="00432240"/>
    <w:rsid w:val="004326AD"/>
    <w:rsid w:val="004326DC"/>
    <w:rsid w:val="00432774"/>
    <w:rsid w:val="004327DB"/>
    <w:rsid w:val="00432BD0"/>
    <w:rsid w:val="00432FE1"/>
    <w:rsid w:val="00433024"/>
    <w:rsid w:val="00433318"/>
    <w:rsid w:val="00433846"/>
    <w:rsid w:val="00433B45"/>
    <w:rsid w:val="00433D75"/>
    <w:rsid w:val="00433E4C"/>
    <w:rsid w:val="004344D0"/>
    <w:rsid w:val="00434916"/>
    <w:rsid w:val="004350AB"/>
    <w:rsid w:val="004356F7"/>
    <w:rsid w:val="00435972"/>
    <w:rsid w:val="00435F59"/>
    <w:rsid w:val="00436862"/>
    <w:rsid w:val="004373A6"/>
    <w:rsid w:val="0043757E"/>
    <w:rsid w:val="00437716"/>
    <w:rsid w:val="00440045"/>
    <w:rsid w:val="00440225"/>
    <w:rsid w:val="00440386"/>
    <w:rsid w:val="004403F8"/>
    <w:rsid w:val="0044072F"/>
    <w:rsid w:val="00440F51"/>
    <w:rsid w:val="00441224"/>
    <w:rsid w:val="004415CE"/>
    <w:rsid w:val="0044177A"/>
    <w:rsid w:val="0044205F"/>
    <w:rsid w:val="004428CA"/>
    <w:rsid w:val="004429E4"/>
    <w:rsid w:val="00442B45"/>
    <w:rsid w:val="004434AC"/>
    <w:rsid w:val="004435EA"/>
    <w:rsid w:val="00443B07"/>
    <w:rsid w:val="00444241"/>
    <w:rsid w:val="00444CF4"/>
    <w:rsid w:val="00444DCA"/>
    <w:rsid w:val="00444E08"/>
    <w:rsid w:val="0044537C"/>
    <w:rsid w:val="00445547"/>
    <w:rsid w:val="00445B07"/>
    <w:rsid w:val="00445B76"/>
    <w:rsid w:val="00445B92"/>
    <w:rsid w:val="00445D10"/>
    <w:rsid w:val="004465CC"/>
    <w:rsid w:val="004466D6"/>
    <w:rsid w:val="004467D6"/>
    <w:rsid w:val="00446B97"/>
    <w:rsid w:val="00446F01"/>
    <w:rsid w:val="00446F8C"/>
    <w:rsid w:val="0044706B"/>
    <w:rsid w:val="004476BB"/>
    <w:rsid w:val="004476C4"/>
    <w:rsid w:val="004476D9"/>
    <w:rsid w:val="00447DE4"/>
    <w:rsid w:val="00447E38"/>
    <w:rsid w:val="00447E6F"/>
    <w:rsid w:val="004504BF"/>
    <w:rsid w:val="004506EB"/>
    <w:rsid w:val="00450D78"/>
    <w:rsid w:val="004512D1"/>
    <w:rsid w:val="00451711"/>
    <w:rsid w:val="004518B2"/>
    <w:rsid w:val="00451997"/>
    <w:rsid w:val="00451A67"/>
    <w:rsid w:val="004520FB"/>
    <w:rsid w:val="00452286"/>
    <w:rsid w:val="00452289"/>
    <w:rsid w:val="0045231A"/>
    <w:rsid w:val="004526FD"/>
    <w:rsid w:val="00452894"/>
    <w:rsid w:val="00452A3A"/>
    <w:rsid w:val="00453196"/>
    <w:rsid w:val="004531F6"/>
    <w:rsid w:val="00453375"/>
    <w:rsid w:val="00453499"/>
    <w:rsid w:val="004536C5"/>
    <w:rsid w:val="00453961"/>
    <w:rsid w:val="00453B03"/>
    <w:rsid w:val="00453B69"/>
    <w:rsid w:val="00453FB6"/>
    <w:rsid w:val="0045404D"/>
    <w:rsid w:val="0045446C"/>
    <w:rsid w:val="0045465B"/>
    <w:rsid w:val="00454ACD"/>
    <w:rsid w:val="00454E14"/>
    <w:rsid w:val="004556AA"/>
    <w:rsid w:val="0045597A"/>
    <w:rsid w:val="00455D30"/>
    <w:rsid w:val="0045631E"/>
    <w:rsid w:val="004565EC"/>
    <w:rsid w:val="00456FC2"/>
    <w:rsid w:val="00457077"/>
    <w:rsid w:val="004576BD"/>
    <w:rsid w:val="00457814"/>
    <w:rsid w:val="00460167"/>
    <w:rsid w:val="0046041F"/>
    <w:rsid w:val="00461008"/>
    <w:rsid w:val="004611D3"/>
    <w:rsid w:val="00461294"/>
    <w:rsid w:val="004613F3"/>
    <w:rsid w:val="0046167F"/>
    <w:rsid w:val="004617EF"/>
    <w:rsid w:val="004619A4"/>
    <w:rsid w:val="00461A4B"/>
    <w:rsid w:val="00461A54"/>
    <w:rsid w:val="00461CCA"/>
    <w:rsid w:val="00462661"/>
    <w:rsid w:val="004631C2"/>
    <w:rsid w:val="00463491"/>
    <w:rsid w:val="004647B6"/>
    <w:rsid w:val="00464DDB"/>
    <w:rsid w:val="00466F9A"/>
    <w:rsid w:val="004675BA"/>
    <w:rsid w:val="00467C94"/>
    <w:rsid w:val="00470585"/>
    <w:rsid w:val="00470D3E"/>
    <w:rsid w:val="004711A2"/>
    <w:rsid w:val="0047179A"/>
    <w:rsid w:val="00471B26"/>
    <w:rsid w:val="00471C97"/>
    <w:rsid w:val="00471DA2"/>
    <w:rsid w:val="00471DA9"/>
    <w:rsid w:val="00471F8E"/>
    <w:rsid w:val="004724BF"/>
    <w:rsid w:val="0047268D"/>
    <w:rsid w:val="00472A0E"/>
    <w:rsid w:val="0047319C"/>
    <w:rsid w:val="004734C0"/>
    <w:rsid w:val="004736CE"/>
    <w:rsid w:val="00473C49"/>
    <w:rsid w:val="004742C9"/>
    <w:rsid w:val="00474DCB"/>
    <w:rsid w:val="0047536B"/>
    <w:rsid w:val="0047542A"/>
    <w:rsid w:val="00475D4F"/>
    <w:rsid w:val="00475DFA"/>
    <w:rsid w:val="00476572"/>
    <w:rsid w:val="00476A08"/>
    <w:rsid w:val="00476F13"/>
    <w:rsid w:val="004772A2"/>
    <w:rsid w:val="004775B7"/>
    <w:rsid w:val="00478836"/>
    <w:rsid w:val="0047D039"/>
    <w:rsid w:val="0048045A"/>
    <w:rsid w:val="004805DC"/>
    <w:rsid w:val="00480715"/>
    <w:rsid w:val="00480D19"/>
    <w:rsid w:val="00481435"/>
    <w:rsid w:val="004817F5"/>
    <w:rsid w:val="00481E03"/>
    <w:rsid w:val="00482527"/>
    <w:rsid w:val="00482C6E"/>
    <w:rsid w:val="004830B9"/>
    <w:rsid w:val="00483524"/>
    <w:rsid w:val="004839BE"/>
    <w:rsid w:val="00483E15"/>
    <w:rsid w:val="004844D6"/>
    <w:rsid w:val="00484935"/>
    <w:rsid w:val="004858CE"/>
    <w:rsid w:val="00485971"/>
    <w:rsid w:val="004862D2"/>
    <w:rsid w:val="004863CE"/>
    <w:rsid w:val="00486774"/>
    <w:rsid w:val="00486918"/>
    <w:rsid w:val="00486B49"/>
    <w:rsid w:val="00486B88"/>
    <w:rsid w:val="0048707E"/>
    <w:rsid w:val="004870E4"/>
    <w:rsid w:val="00487A67"/>
    <w:rsid w:val="00491147"/>
    <w:rsid w:val="004911D8"/>
    <w:rsid w:val="00491636"/>
    <w:rsid w:val="00491DAD"/>
    <w:rsid w:val="00492701"/>
    <w:rsid w:val="00492983"/>
    <w:rsid w:val="00492BA6"/>
    <w:rsid w:val="00492FCF"/>
    <w:rsid w:val="004934A6"/>
    <w:rsid w:val="00493A3E"/>
    <w:rsid w:val="004940BF"/>
    <w:rsid w:val="004940CD"/>
    <w:rsid w:val="00494125"/>
    <w:rsid w:val="00494A6A"/>
    <w:rsid w:val="0049537B"/>
    <w:rsid w:val="00495443"/>
    <w:rsid w:val="00495551"/>
    <w:rsid w:val="00495754"/>
    <w:rsid w:val="00496116"/>
    <w:rsid w:val="004966C6"/>
    <w:rsid w:val="00496C19"/>
    <w:rsid w:val="00497A12"/>
    <w:rsid w:val="00497AE9"/>
    <w:rsid w:val="00497E6D"/>
    <w:rsid w:val="004A0614"/>
    <w:rsid w:val="004A0CB0"/>
    <w:rsid w:val="004A0DE2"/>
    <w:rsid w:val="004A141B"/>
    <w:rsid w:val="004A14B8"/>
    <w:rsid w:val="004A1643"/>
    <w:rsid w:val="004A1694"/>
    <w:rsid w:val="004A1CAD"/>
    <w:rsid w:val="004A1D85"/>
    <w:rsid w:val="004A2126"/>
    <w:rsid w:val="004A253D"/>
    <w:rsid w:val="004A2C3A"/>
    <w:rsid w:val="004A2D43"/>
    <w:rsid w:val="004A2E89"/>
    <w:rsid w:val="004A3326"/>
    <w:rsid w:val="004A3330"/>
    <w:rsid w:val="004A34AA"/>
    <w:rsid w:val="004A353A"/>
    <w:rsid w:val="004A35AC"/>
    <w:rsid w:val="004A3753"/>
    <w:rsid w:val="004A39D7"/>
    <w:rsid w:val="004A3AE0"/>
    <w:rsid w:val="004A40B8"/>
    <w:rsid w:val="004A42A2"/>
    <w:rsid w:val="004A4B40"/>
    <w:rsid w:val="004A4EC6"/>
    <w:rsid w:val="004A52DE"/>
    <w:rsid w:val="004A52FA"/>
    <w:rsid w:val="004A5D8A"/>
    <w:rsid w:val="004A61BF"/>
    <w:rsid w:val="004A638E"/>
    <w:rsid w:val="004A7581"/>
    <w:rsid w:val="004A768C"/>
    <w:rsid w:val="004A7A3F"/>
    <w:rsid w:val="004B083B"/>
    <w:rsid w:val="004B09FE"/>
    <w:rsid w:val="004B0A10"/>
    <w:rsid w:val="004B1666"/>
    <w:rsid w:val="004B22CF"/>
    <w:rsid w:val="004B252B"/>
    <w:rsid w:val="004B2A6A"/>
    <w:rsid w:val="004B2FEE"/>
    <w:rsid w:val="004B321F"/>
    <w:rsid w:val="004B3B31"/>
    <w:rsid w:val="004B3D03"/>
    <w:rsid w:val="004B3E73"/>
    <w:rsid w:val="004B44D6"/>
    <w:rsid w:val="004B4615"/>
    <w:rsid w:val="004B498C"/>
    <w:rsid w:val="004B4D36"/>
    <w:rsid w:val="004B4EEE"/>
    <w:rsid w:val="004B5331"/>
    <w:rsid w:val="004B5896"/>
    <w:rsid w:val="004B647C"/>
    <w:rsid w:val="004B6D6D"/>
    <w:rsid w:val="004B7A4E"/>
    <w:rsid w:val="004C07F1"/>
    <w:rsid w:val="004C0EB1"/>
    <w:rsid w:val="004C135D"/>
    <w:rsid w:val="004C1D27"/>
    <w:rsid w:val="004C1FBD"/>
    <w:rsid w:val="004C2BC3"/>
    <w:rsid w:val="004C3EDB"/>
    <w:rsid w:val="004C3EFA"/>
    <w:rsid w:val="004C514E"/>
    <w:rsid w:val="004C5F10"/>
    <w:rsid w:val="004C6348"/>
    <w:rsid w:val="004C6952"/>
    <w:rsid w:val="004C7159"/>
    <w:rsid w:val="004C7A31"/>
    <w:rsid w:val="004C7D6F"/>
    <w:rsid w:val="004D0094"/>
    <w:rsid w:val="004D021D"/>
    <w:rsid w:val="004D09F7"/>
    <w:rsid w:val="004D1248"/>
    <w:rsid w:val="004D337B"/>
    <w:rsid w:val="004D3594"/>
    <w:rsid w:val="004D3605"/>
    <w:rsid w:val="004D3F22"/>
    <w:rsid w:val="004D45C9"/>
    <w:rsid w:val="004D47B9"/>
    <w:rsid w:val="004D4A50"/>
    <w:rsid w:val="004D526B"/>
    <w:rsid w:val="004D555C"/>
    <w:rsid w:val="004D5904"/>
    <w:rsid w:val="004D5A07"/>
    <w:rsid w:val="004D5A14"/>
    <w:rsid w:val="004D5CBC"/>
    <w:rsid w:val="004D6133"/>
    <w:rsid w:val="004D63E5"/>
    <w:rsid w:val="004D6672"/>
    <w:rsid w:val="004D69E5"/>
    <w:rsid w:val="004D711F"/>
    <w:rsid w:val="004D7228"/>
    <w:rsid w:val="004D7F25"/>
    <w:rsid w:val="004E0D34"/>
    <w:rsid w:val="004E1072"/>
    <w:rsid w:val="004E1080"/>
    <w:rsid w:val="004E14B0"/>
    <w:rsid w:val="004E1BFF"/>
    <w:rsid w:val="004E1E28"/>
    <w:rsid w:val="004E1EB5"/>
    <w:rsid w:val="004E2ED7"/>
    <w:rsid w:val="004E360E"/>
    <w:rsid w:val="004E3904"/>
    <w:rsid w:val="004E3F18"/>
    <w:rsid w:val="004E4181"/>
    <w:rsid w:val="004E43DD"/>
    <w:rsid w:val="004E464B"/>
    <w:rsid w:val="004E4EE6"/>
    <w:rsid w:val="004E4FA3"/>
    <w:rsid w:val="004E52C8"/>
    <w:rsid w:val="004E54FC"/>
    <w:rsid w:val="004E55C9"/>
    <w:rsid w:val="004E5819"/>
    <w:rsid w:val="004E5863"/>
    <w:rsid w:val="004E60FF"/>
    <w:rsid w:val="004E6D16"/>
    <w:rsid w:val="004E7BC9"/>
    <w:rsid w:val="004E7C8E"/>
    <w:rsid w:val="004F0596"/>
    <w:rsid w:val="004F0626"/>
    <w:rsid w:val="004F0858"/>
    <w:rsid w:val="004F13E0"/>
    <w:rsid w:val="004F19A6"/>
    <w:rsid w:val="004F1AA7"/>
    <w:rsid w:val="004F1EC3"/>
    <w:rsid w:val="004F235F"/>
    <w:rsid w:val="004F270F"/>
    <w:rsid w:val="004F2C60"/>
    <w:rsid w:val="004F2CB7"/>
    <w:rsid w:val="004F2E6A"/>
    <w:rsid w:val="004F3E48"/>
    <w:rsid w:val="004F41B7"/>
    <w:rsid w:val="004F4268"/>
    <w:rsid w:val="004F43EB"/>
    <w:rsid w:val="004F45DA"/>
    <w:rsid w:val="004F4CB4"/>
    <w:rsid w:val="004F5461"/>
    <w:rsid w:val="004F6AA5"/>
    <w:rsid w:val="004F70AC"/>
    <w:rsid w:val="004F7196"/>
    <w:rsid w:val="005004EE"/>
    <w:rsid w:val="005007FA"/>
    <w:rsid w:val="005009CF"/>
    <w:rsid w:val="00500DDE"/>
    <w:rsid w:val="00500F5E"/>
    <w:rsid w:val="005012FC"/>
    <w:rsid w:val="00501E1E"/>
    <w:rsid w:val="00502060"/>
    <w:rsid w:val="005026DE"/>
    <w:rsid w:val="005026E8"/>
    <w:rsid w:val="00502CD8"/>
    <w:rsid w:val="00502E44"/>
    <w:rsid w:val="00502FB8"/>
    <w:rsid w:val="005030A1"/>
    <w:rsid w:val="00503175"/>
    <w:rsid w:val="00503254"/>
    <w:rsid w:val="00503BD0"/>
    <w:rsid w:val="00503D25"/>
    <w:rsid w:val="0050416B"/>
    <w:rsid w:val="00504AEE"/>
    <w:rsid w:val="00504C0D"/>
    <w:rsid w:val="00504D67"/>
    <w:rsid w:val="00505170"/>
    <w:rsid w:val="00505320"/>
    <w:rsid w:val="0050532B"/>
    <w:rsid w:val="00505915"/>
    <w:rsid w:val="00505D3B"/>
    <w:rsid w:val="00506E67"/>
    <w:rsid w:val="00506E81"/>
    <w:rsid w:val="0050766B"/>
    <w:rsid w:val="0050794A"/>
    <w:rsid w:val="00507E2E"/>
    <w:rsid w:val="00510ED7"/>
    <w:rsid w:val="00511134"/>
    <w:rsid w:val="005111F7"/>
    <w:rsid w:val="00511286"/>
    <w:rsid w:val="005117F6"/>
    <w:rsid w:val="00511931"/>
    <w:rsid w:val="00512384"/>
    <w:rsid w:val="005125D2"/>
    <w:rsid w:val="00512AA1"/>
    <w:rsid w:val="00513B93"/>
    <w:rsid w:val="00513ED6"/>
    <w:rsid w:val="00514606"/>
    <w:rsid w:val="00514761"/>
    <w:rsid w:val="00514B33"/>
    <w:rsid w:val="005152E4"/>
    <w:rsid w:val="00515A18"/>
    <w:rsid w:val="005160B0"/>
    <w:rsid w:val="00516732"/>
    <w:rsid w:val="0051720A"/>
    <w:rsid w:val="005176C6"/>
    <w:rsid w:val="0051798D"/>
    <w:rsid w:val="00517C5C"/>
    <w:rsid w:val="00519D74"/>
    <w:rsid w:val="005201FE"/>
    <w:rsid w:val="00520216"/>
    <w:rsid w:val="00520834"/>
    <w:rsid w:val="005208DE"/>
    <w:rsid w:val="005212D2"/>
    <w:rsid w:val="00522183"/>
    <w:rsid w:val="00522500"/>
    <w:rsid w:val="00522D44"/>
    <w:rsid w:val="00522F61"/>
    <w:rsid w:val="0052343E"/>
    <w:rsid w:val="0052351C"/>
    <w:rsid w:val="005244FF"/>
    <w:rsid w:val="00524A0B"/>
    <w:rsid w:val="00524C83"/>
    <w:rsid w:val="00525869"/>
    <w:rsid w:val="005262C3"/>
    <w:rsid w:val="00526534"/>
    <w:rsid w:val="005265C1"/>
    <w:rsid w:val="00526D8E"/>
    <w:rsid w:val="005273AC"/>
    <w:rsid w:val="00527703"/>
    <w:rsid w:val="00527EEF"/>
    <w:rsid w:val="00527FA4"/>
    <w:rsid w:val="005307B3"/>
    <w:rsid w:val="00530C90"/>
    <w:rsid w:val="00530FB9"/>
    <w:rsid w:val="0053112A"/>
    <w:rsid w:val="0053254B"/>
    <w:rsid w:val="005334A9"/>
    <w:rsid w:val="00533800"/>
    <w:rsid w:val="005338E3"/>
    <w:rsid w:val="00533A2D"/>
    <w:rsid w:val="00533C8A"/>
    <w:rsid w:val="00533EC4"/>
    <w:rsid w:val="00534423"/>
    <w:rsid w:val="00534576"/>
    <w:rsid w:val="005351E8"/>
    <w:rsid w:val="0053594F"/>
    <w:rsid w:val="00535FB0"/>
    <w:rsid w:val="00536042"/>
    <w:rsid w:val="005360C3"/>
    <w:rsid w:val="00536777"/>
    <w:rsid w:val="00536822"/>
    <w:rsid w:val="00536F06"/>
    <w:rsid w:val="005374BC"/>
    <w:rsid w:val="0053777A"/>
    <w:rsid w:val="00537EF7"/>
    <w:rsid w:val="005402A7"/>
    <w:rsid w:val="005402CB"/>
    <w:rsid w:val="00540B00"/>
    <w:rsid w:val="0054133C"/>
    <w:rsid w:val="0054218E"/>
    <w:rsid w:val="005425D3"/>
    <w:rsid w:val="00542BAB"/>
    <w:rsid w:val="00542CB3"/>
    <w:rsid w:val="005430B8"/>
    <w:rsid w:val="0054314E"/>
    <w:rsid w:val="00543463"/>
    <w:rsid w:val="00543820"/>
    <w:rsid w:val="00543C2A"/>
    <w:rsid w:val="00543E15"/>
    <w:rsid w:val="00544465"/>
    <w:rsid w:val="0054483C"/>
    <w:rsid w:val="005448F8"/>
    <w:rsid w:val="00544A75"/>
    <w:rsid w:val="00545032"/>
    <w:rsid w:val="00545171"/>
    <w:rsid w:val="005451B8"/>
    <w:rsid w:val="00545381"/>
    <w:rsid w:val="0054580B"/>
    <w:rsid w:val="005459ED"/>
    <w:rsid w:val="00545B7D"/>
    <w:rsid w:val="00545DC1"/>
    <w:rsid w:val="005460A6"/>
    <w:rsid w:val="0054623F"/>
    <w:rsid w:val="005467D0"/>
    <w:rsid w:val="00546A7A"/>
    <w:rsid w:val="00546C59"/>
    <w:rsid w:val="00546DE3"/>
    <w:rsid w:val="0054753C"/>
    <w:rsid w:val="00547DBE"/>
    <w:rsid w:val="00547FBA"/>
    <w:rsid w:val="005500B2"/>
    <w:rsid w:val="005501A6"/>
    <w:rsid w:val="005502F9"/>
    <w:rsid w:val="00550386"/>
    <w:rsid w:val="0055046F"/>
    <w:rsid w:val="00551120"/>
    <w:rsid w:val="00551375"/>
    <w:rsid w:val="0055164E"/>
    <w:rsid w:val="00551B54"/>
    <w:rsid w:val="00552185"/>
    <w:rsid w:val="0055241C"/>
    <w:rsid w:val="00552429"/>
    <w:rsid w:val="00552788"/>
    <w:rsid w:val="005529D4"/>
    <w:rsid w:val="00552EA7"/>
    <w:rsid w:val="00552F30"/>
    <w:rsid w:val="00553698"/>
    <w:rsid w:val="005536A1"/>
    <w:rsid w:val="005536CC"/>
    <w:rsid w:val="00554390"/>
    <w:rsid w:val="005546D8"/>
    <w:rsid w:val="00554878"/>
    <w:rsid w:val="00554BE1"/>
    <w:rsid w:val="00554ED3"/>
    <w:rsid w:val="00555141"/>
    <w:rsid w:val="0055546A"/>
    <w:rsid w:val="00555565"/>
    <w:rsid w:val="00555749"/>
    <w:rsid w:val="00555A30"/>
    <w:rsid w:val="00555B23"/>
    <w:rsid w:val="00555FDF"/>
    <w:rsid w:val="005562E4"/>
    <w:rsid w:val="005566FC"/>
    <w:rsid w:val="00557134"/>
    <w:rsid w:val="005574C0"/>
    <w:rsid w:val="0055755D"/>
    <w:rsid w:val="0055771D"/>
    <w:rsid w:val="00557A64"/>
    <w:rsid w:val="0056037A"/>
    <w:rsid w:val="00561156"/>
    <w:rsid w:val="005613F9"/>
    <w:rsid w:val="005617BA"/>
    <w:rsid w:val="00561DD4"/>
    <w:rsid w:val="00561F9E"/>
    <w:rsid w:val="0056210F"/>
    <w:rsid w:val="00562137"/>
    <w:rsid w:val="00562997"/>
    <w:rsid w:val="005630D5"/>
    <w:rsid w:val="00563509"/>
    <w:rsid w:val="00564A82"/>
    <w:rsid w:val="00564F13"/>
    <w:rsid w:val="00564FD6"/>
    <w:rsid w:val="00565C75"/>
    <w:rsid w:val="00566930"/>
    <w:rsid w:val="00567024"/>
    <w:rsid w:val="005670E2"/>
    <w:rsid w:val="005671ED"/>
    <w:rsid w:val="00567E65"/>
    <w:rsid w:val="0057037E"/>
    <w:rsid w:val="0057056D"/>
    <w:rsid w:val="00571581"/>
    <w:rsid w:val="005717A3"/>
    <w:rsid w:val="00571E3F"/>
    <w:rsid w:val="00571E9A"/>
    <w:rsid w:val="00571F36"/>
    <w:rsid w:val="00571F58"/>
    <w:rsid w:val="00572008"/>
    <w:rsid w:val="00572672"/>
    <w:rsid w:val="00572704"/>
    <w:rsid w:val="005728D8"/>
    <w:rsid w:val="005729AB"/>
    <w:rsid w:val="005730CC"/>
    <w:rsid w:val="00573332"/>
    <w:rsid w:val="005734BE"/>
    <w:rsid w:val="00573C86"/>
    <w:rsid w:val="0057426A"/>
    <w:rsid w:val="00574658"/>
    <w:rsid w:val="00574A9E"/>
    <w:rsid w:val="00575AE6"/>
    <w:rsid w:val="00575C31"/>
    <w:rsid w:val="0057683A"/>
    <w:rsid w:val="00576843"/>
    <w:rsid w:val="00577154"/>
    <w:rsid w:val="0057756C"/>
    <w:rsid w:val="005776AC"/>
    <w:rsid w:val="00577C51"/>
    <w:rsid w:val="00577F81"/>
    <w:rsid w:val="0058037F"/>
    <w:rsid w:val="00580A69"/>
    <w:rsid w:val="00581031"/>
    <w:rsid w:val="0058107B"/>
    <w:rsid w:val="00581303"/>
    <w:rsid w:val="005818BE"/>
    <w:rsid w:val="00581B96"/>
    <w:rsid w:val="005825DE"/>
    <w:rsid w:val="00582DC4"/>
    <w:rsid w:val="005831D7"/>
    <w:rsid w:val="0058426C"/>
    <w:rsid w:val="00584657"/>
    <w:rsid w:val="0058467D"/>
    <w:rsid w:val="00584763"/>
    <w:rsid w:val="00584970"/>
    <w:rsid w:val="005856DD"/>
    <w:rsid w:val="00585824"/>
    <w:rsid w:val="0058583E"/>
    <w:rsid w:val="00585B4F"/>
    <w:rsid w:val="00585D47"/>
    <w:rsid w:val="005861BC"/>
    <w:rsid w:val="005870ED"/>
    <w:rsid w:val="00587121"/>
    <w:rsid w:val="00587DE6"/>
    <w:rsid w:val="00590601"/>
    <w:rsid w:val="0059069C"/>
    <w:rsid w:val="00590BED"/>
    <w:rsid w:val="00590C35"/>
    <w:rsid w:val="00590CDA"/>
    <w:rsid w:val="005919FE"/>
    <w:rsid w:val="0059221D"/>
    <w:rsid w:val="005928DF"/>
    <w:rsid w:val="00592B59"/>
    <w:rsid w:val="00592E99"/>
    <w:rsid w:val="0059332D"/>
    <w:rsid w:val="005935C9"/>
    <w:rsid w:val="00593A6F"/>
    <w:rsid w:val="00593BA9"/>
    <w:rsid w:val="00593E31"/>
    <w:rsid w:val="00593E4E"/>
    <w:rsid w:val="00595915"/>
    <w:rsid w:val="005964E3"/>
    <w:rsid w:val="005964E9"/>
    <w:rsid w:val="005965C2"/>
    <w:rsid w:val="00596BC2"/>
    <w:rsid w:val="00597639"/>
    <w:rsid w:val="005977E6"/>
    <w:rsid w:val="00597996"/>
    <w:rsid w:val="005979C3"/>
    <w:rsid w:val="005A01E2"/>
    <w:rsid w:val="005A0239"/>
    <w:rsid w:val="005A0475"/>
    <w:rsid w:val="005A0587"/>
    <w:rsid w:val="005A0632"/>
    <w:rsid w:val="005A06E6"/>
    <w:rsid w:val="005A0D30"/>
    <w:rsid w:val="005A1109"/>
    <w:rsid w:val="005A1411"/>
    <w:rsid w:val="005A1CE3"/>
    <w:rsid w:val="005A1FF9"/>
    <w:rsid w:val="005A25F6"/>
    <w:rsid w:val="005A30A7"/>
    <w:rsid w:val="005A3AE1"/>
    <w:rsid w:val="005A41FD"/>
    <w:rsid w:val="005A4533"/>
    <w:rsid w:val="005A4593"/>
    <w:rsid w:val="005A468F"/>
    <w:rsid w:val="005A4876"/>
    <w:rsid w:val="005A4B51"/>
    <w:rsid w:val="005A5166"/>
    <w:rsid w:val="005A5769"/>
    <w:rsid w:val="005A580F"/>
    <w:rsid w:val="005A5B02"/>
    <w:rsid w:val="005A5B92"/>
    <w:rsid w:val="005A5E73"/>
    <w:rsid w:val="005A6216"/>
    <w:rsid w:val="005A6437"/>
    <w:rsid w:val="005A7277"/>
    <w:rsid w:val="005A76AA"/>
    <w:rsid w:val="005A779F"/>
    <w:rsid w:val="005A7950"/>
    <w:rsid w:val="005A7B5D"/>
    <w:rsid w:val="005B0726"/>
    <w:rsid w:val="005B0898"/>
    <w:rsid w:val="005B0968"/>
    <w:rsid w:val="005B1420"/>
    <w:rsid w:val="005B155E"/>
    <w:rsid w:val="005B18B8"/>
    <w:rsid w:val="005B1B11"/>
    <w:rsid w:val="005B1DC2"/>
    <w:rsid w:val="005B256A"/>
    <w:rsid w:val="005B28FF"/>
    <w:rsid w:val="005B2E4B"/>
    <w:rsid w:val="005B2E56"/>
    <w:rsid w:val="005B3067"/>
    <w:rsid w:val="005B340C"/>
    <w:rsid w:val="005B3A94"/>
    <w:rsid w:val="005B426F"/>
    <w:rsid w:val="005B4592"/>
    <w:rsid w:val="005B47BD"/>
    <w:rsid w:val="005B48EA"/>
    <w:rsid w:val="005B4C29"/>
    <w:rsid w:val="005B4C9F"/>
    <w:rsid w:val="005B5BD9"/>
    <w:rsid w:val="005B626F"/>
    <w:rsid w:val="005B65AD"/>
    <w:rsid w:val="005B69E6"/>
    <w:rsid w:val="005B6A65"/>
    <w:rsid w:val="005B7822"/>
    <w:rsid w:val="005B7EF6"/>
    <w:rsid w:val="005C02F1"/>
    <w:rsid w:val="005C13D2"/>
    <w:rsid w:val="005C1419"/>
    <w:rsid w:val="005C23F7"/>
    <w:rsid w:val="005C2710"/>
    <w:rsid w:val="005C294A"/>
    <w:rsid w:val="005C2D19"/>
    <w:rsid w:val="005C3249"/>
    <w:rsid w:val="005C331D"/>
    <w:rsid w:val="005C36C6"/>
    <w:rsid w:val="005C37A8"/>
    <w:rsid w:val="005C3EA5"/>
    <w:rsid w:val="005C490B"/>
    <w:rsid w:val="005C4961"/>
    <w:rsid w:val="005C4BF3"/>
    <w:rsid w:val="005C4BFA"/>
    <w:rsid w:val="005C5220"/>
    <w:rsid w:val="005C55C7"/>
    <w:rsid w:val="005C5F68"/>
    <w:rsid w:val="005C623D"/>
    <w:rsid w:val="005C68E1"/>
    <w:rsid w:val="005C6B1F"/>
    <w:rsid w:val="005C6BA5"/>
    <w:rsid w:val="005C7053"/>
    <w:rsid w:val="005C7580"/>
    <w:rsid w:val="005C75A5"/>
    <w:rsid w:val="005C7AB1"/>
    <w:rsid w:val="005C7CA1"/>
    <w:rsid w:val="005C7E64"/>
    <w:rsid w:val="005D05C4"/>
    <w:rsid w:val="005D05E9"/>
    <w:rsid w:val="005D0832"/>
    <w:rsid w:val="005D133A"/>
    <w:rsid w:val="005D1A13"/>
    <w:rsid w:val="005D1FF1"/>
    <w:rsid w:val="005D21C2"/>
    <w:rsid w:val="005D27F4"/>
    <w:rsid w:val="005D28C2"/>
    <w:rsid w:val="005D2BEA"/>
    <w:rsid w:val="005D300D"/>
    <w:rsid w:val="005D345A"/>
    <w:rsid w:val="005D34AE"/>
    <w:rsid w:val="005D36FA"/>
    <w:rsid w:val="005D3785"/>
    <w:rsid w:val="005D386D"/>
    <w:rsid w:val="005D3C87"/>
    <w:rsid w:val="005D3FB9"/>
    <w:rsid w:val="005D41C9"/>
    <w:rsid w:val="005D44DF"/>
    <w:rsid w:val="005D458B"/>
    <w:rsid w:val="005D46C6"/>
    <w:rsid w:val="005D4AAE"/>
    <w:rsid w:val="005D502F"/>
    <w:rsid w:val="005D6405"/>
    <w:rsid w:val="005D6A78"/>
    <w:rsid w:val="005D76FB"/>
    <w:rsid w:val="005D79AD"/>
    <w:rsid w:val="005D7D42"/>
    <w:rsid w:val="005E01D2"/>
    <w:rsid w:val="005E0678"/>
    <w:rsid w:val="005E1CE5"/>
    <w:rsid w:val="005E1E6D"/>
    <w:rsid w:val="005E23D0"/>
    <w:rsid w:val="005E269F"/>
    <w:rsid w:val="005E28AA"/>
    <w:rsid w:val="005E3317"/>
    <w:rsid w:val="005E3518"/>
    <w:rsid w:val="005E389D"/>
    <w:rsid w:val="005E3C27"/>
    <w:rsid w:val="005E3DB5"/>
    <w:rsid w:val="005E4704"/>
    <w:rsid w:val="005E4FED"/>
    <w:rsid w:val="005E5694"/>
    <w:rsid w:val="005E5852"/>
    <w:rsid w:val="005E5A1E"/>
    <w:rsid w:val="005E60E3"/>
    <w:rsid w:val="005E7065"/>
    <w:rsid w:val="005E7077"/>
    <w:rsid w:val="005F00B4"/>
    <w:rsid w:val="005F060C"/>
    <w:rsid w:val="005F0BFA"/>
    <w:rsid w:val="005F1318"/>
    <w:rsid w:val="005F18C2"/>
    <w:rsid w:val="005F20B0"/>
    <w:rsid w:val="005F2245"/>
    <w:rsid w:val="005F22CB"/>
    <w:rsid w:val="005F2E0A"/>
    <w:rsid w:val="005F3265"/>
    <w:rsid w:val="005F33B6"/>
    <w:rsid w:val="005F3513"/>
    <w:rsid w:val="005F3E40"/>
    <w:rsid w:val="005F41E8"/>
    <w:rsid w:val="005F4846"/>
    <w:rsid w:val="005F48ED"/>
    <w:rsid w:val="005F4B78"/>
    <w:rsid w:val="005F4B85"/>
    <w:rsid w:val="005F53E1"/>
    <w:rsid w:val="005F5DB5"/>
    <w:rsid w:val="005F5EB8"/>
    <w:rsid w:val="005F5EEA"/>
    <w:rsid w:val="005F782B"/>
    <w:rsid w:val="005F7A58"/>
    <w:rsid w:val="005F7FF7"/>
    <w:rsid w:val="00602060"/>
    <w:rsid w:val="00602FB8"/>
    <w:rsid w:val="00603D3B"/>
    <w:rsid w:val="00604019"/>
    <w:rsid w:val="00604401"/>
    <w:rsid w:val="00605336"/>
    <w:rsid w:val="006055F5"/>
    <w:rsid w:val="00605C4F"/>
    <w:rsid w:val="00606420"/>
    <w:rsid w:val="006066E3"/>
    <w:rsid w:val="00606928"/>
    <w:rsid w:val="00606D7F"/>
    <w:rsid w:val="00606FF6"/>
    <w:rsid w:val="00607120"/>
    <w:rsid w:val="00607CD8"/>
    <w:rsid w:val="00607D95"/>
    <w:rsid w:val="0061010E"/>
    <w:rsid w:val="006102AD"/>
    <w:rsid w:val="0061044E"/>
    <w:rsid w:val="00610FEE"/>
    <w:rsid w:val="00611682"/>
    <w:rsid w:val="00611B24"/>
    <w:rsid w:val="00611C8C"/>
    <w:rsid w:val="00611FD4"/>
    <w:rsid w:val="0061254F"/>
    <w:rsid w:val="00612E1C"/>
    <w:rsid w:val="0061311C"/>
    <w:rsid w:val="006136EC"/>
    <w:rsid w:val="00613FAB"/>
    <w:rsid w:val="006158B2"/>
    <w:rsid w:val="006159B8"/>
    <w:rsid w:val="00615E29"/>
    <w:rsid w:val="00615F2D"/>
    <w:rsid w:val="00615FA4"/>
    <w:rsid w:val="006160F3"/>
    <w:rsid w:val="00616195"/>
    <w:rsid w:val="006165C9"/>
    <w:rsid w:val="00616689"/>
    <w:rsid w:val="00616DF7"/>
    <w:rsid w:val="0061738C"/>
    <w:rsid w:val="006175F2"/>
    <w:rsid w:val="00617820"/>
    <w:rsid w:val="006202CE"/>
    <w:rsid w:val="00620C2E"/>
    <w:rsid w:val="00620EFB"/>
    <w:rsid w:val="00621745"/>
    <w:rsid w:val="00621859"/>
    <w:rsid w:val="006219D1"/>
    <w:rsid w:val="00621A95"/>
    <w:rsid w:val="006225FE"/>
    <w:rsid w:val="00622B1B"/>
    <w:rsid w:val="00622B92"/>
    <w:rsid w:val="00622D20"/>
    <w:rsid w:val="00622F09"/>
    <w:rsid w:val="00622F70"/>
    <w:rsid w:val="00622FDB"/>
    <w:rsid w:val="0062391D"/>
    <w:rsid w:val="00623A47"/>
    <w:rsid w:val="00623AC3"/>
    <w:rsid w:val="00623D36"/>
    <w:rsid w:val="00623DF0"/>
    <w:rsid w:val="00623EB7"/>
    <w:rsid w:val="006240BC"/>
    <w:rsid w:val="00624423"/>
    <w:rsid w:val="0062444B"/>
    <w:rsid w:val="00624A3A"/>
    <w:rsid w:val="006252F3"/>
    <w:rsid w:val="00625444"/>
    <w:rsid w:val="0062550C"/>
    <w:rsid w:val="00625E07"/>
    <w:rsid w:val="00625E0F"/>
    <w:rsid w:val="00626C65"/>
    <w:rsid w:val="00627721"/>
    <w:rsid w:val="006278D2"/>
    <w:rsid w:val="00627B9F"/>
    <w:rsid w:val="00630989"/>
    <w:rsid w:val="00630AD3"/>
    <w:rsid w:val="00630DCD"/>
    <w:rsid w:val="00630E62"/>
    <w:rsid w:val="00630F2B"/>
    <w:rsid w:val="0063157E"/>
    <w:rsid w:val="00632006"/>
    <w:rsid w:val="006320FF"/>
    <w:rsid w:val="00632115"/>
    <w:rsid w:val="0063211B"/>
    <w:rsid w:val="00632861"/>
    <w:rsid w:val="006328B4"/>
    <w:rsid w:val="00632CD4"/>
    <w:rsid w:val="00632E07"/>
    <w:rsid w:val="00632EE1"/>
    <w:rsid w:val="00633233"/>
    <w:rsid w:val="00633497"/>
    <w:rsid w:val="0063349D"/>
    <w:rsid w:val="006337D0"/>
    <w:rsid w:val="006339A9"/>
    <w:rsid w:val="00633E3E"/>
    <w:rsid w:val="006342BA"/>
    <w:rsid w:val="006345DC"/>
    <w:rsid w:val="00634982"/>
    <w:rsid w:val="006350F9"/>
    <w:rsid w:val="00635118"/>
    <w:rsid w:val="00635781"/>
    <w:rsid w:val="006357B6"/>
    <w:rsid w:val="00635874"/>
    <w:rsid w:val="00636017"/>
    <w:rsid w:val="00636519"/>
    <w:rsid w:val="00636E8D"/>
    <w:rsid w:val="0063796C"/>
    <w:rsid w:val="006403FE"/>
    <w:rsid w:val="00640B8E"/>
    <w:rsid w:val="00640E90"/>
    <w:rsid w:val="00641543"/>
    <w:rsid w:val="0064167F"/>
    <w:rsid w:val="00641A7A"/>
    <w:rsid w:val="00641B55"/>
    <w:rsid w:val="00641B6D"/>
    <w:rsid w:val="006424E9"/>
    <w:rsid w:val="006427F1"/>
    <w:rsid w:val="00643EF7"/>
    <w:rsid w:val="00643F06"/>
    <w:rsid w:val="00643F4A"/>
    <w:rsid w:val="006441EC"/>
    <w:rsid w:val="00644601"/>
    <w:rsid w:val="0064476B"/>
    <w:rsid w:val="00644CAB"/>
    <w:rsid w:val="006452ED"/>
    <w:rsid w:val="0064532D"/>
    <w:rsid w:val="006465EF"/>
    <w:rsid w:val="006466BD"/>
    <w:rsid w:val="00646E27"/>
    <w:rsid w:val="0064771E"/>
    <w:rsid w:val="00647A93"/>
    <w:rsid w:val="00647EDD"/>
    <w:rsid w:val="0065054A"/>
    <w:rsid w:val="0065061B"/>
    <w:rsid w:val="00650AFC"/>
    <w:rsid w:val="0065137E"/>
    <w:rsid w:val="00651401"/>
    <w:rsid w:val="00651FA3"/>
    <w:rsid w:val="00652612"/>
    <w:rsid w:val="0065262A"/>
    <w:rsid w:val="00652CCC"/>
    <w:rsid w:val="00653319"/>
    <w:rsid w:val="006537BC"/>
    <w:rsid w:val="006537FF"/>
    <w:rsid w:val="0065388D"/>
    <w:rsid w:val="00653C61"/>
    <w:rsid w:val="00653F70"/>
    <w:rsid w:val="006549CF"/>
    <w:rsid w:val="00654A8C"/>
    <w:rsid w:val="00655523"/>
    <w:rsid w:val="00656506"/>
    <w:rsid w:val="0065683E"/>
    <w:rsid w:val="00656863"/>
    <w:rsid w:val="00656AF1"/>
    <w:rsid w:val="00656B44"/>
    <w:rsid w:val="00656C03"/>
    <w:rsid w:val="0065719B"/>
    <w:rsid w:val="00657286"/>
    <w:rsid w:val="00657B40"/>
    <w:rsid w:val="00657CC5"/>
    <w:rsid w:val="006600CC"/>
    <w:rsid w:val="006609A3"/>
    <w:rsid w:val="00660D36"/>
    <w:rsid w:val="00661166"/>
    <w:rsid w:val="006611AF"/>
    <w:rsid w:val="00661952"/>
    <w:rsid w:val="00661A68"/>
    <w:rsid w:val="006620A7"/>
    <w:rsid w:val="00662DFE"/>
    <w:rsid w:val="00663307"/>
    <w:rsid w:val="00663A24"/>
    <w:rsid w:val="00663CD5"/>
    <w:rsid w:val="00664885"/>
    <w:rsid w:val="00664971"/>
    <w:rsid w:val="00664EF1"/>
    <w:rsid w:val="00665CCB"/>
    <w:rsid w:val="00665F21"/>
    <w:rsid w:val="0066621A"/>
    <w:rsid w:val="00666754"/>
    <w:rsid w:val="00666828"/>
    <w:rsid w:val="006673ED"/>
    <w:rsid w:val="006675B9"/>
    <w:rsid w:val="0066777D"/>
    <w:rsid w:val="00667785"/>
    <w:rsid w:val="00667C46"/>
    <w:rsid w:val="0067010A"/>
    <w:rsid w:val="00671473"/>
    <w:rsid w:val="00672152"/>
    <w:rsid w:val="00672703"/>
    <w:rsid w:val="00672CE2"/>
    <w:rsid w:val="00672E6F"/>
    <w:rsid w:val="00672F2E"/>
    <w:rsid w:val="00673771"/>
    <w:rsid w:val="0067409F"/>
    <w:rsid w:val="00674213"/>
    <w:rsid w:val="00674611"/>
    <w:rsid w:val="0067472E"/>
    <w:rsid w:val="00674E1A"/>
    <w:rsid w:val="006752FC"/>
    <w:rsid w:val="0067619E"/>
    <w:rsid w:val="006765EA"/>
    <w:rsid w:val="00676A96"/>
    <w:rsid w:val="00676ED3"/>
    <w:rsid w:val="00677293"/>
    <w:rsid w:val="00677739"/>
    <w:rsid w:val="00680600"/>
    <w:rsid w:val="00680790"/>
    <w:rsid w:val="00680BD6"/>
    <w:rsid w:val="00680E8D"/>
    <w:rsid w:val="00681034"/>
    <w:rsid w:val="00681905"/>
    <w:rsid w:val="00681B95"/>
    <w:rsid w:val="00681F87"/>
    <w:rsid w:val="00681FA3"/>
    <w:rsid w:val="00682654"/>
    <w:rsid w:val="00682989"/>
    <w:rsid w:val="00683139"/>
    <w:rsid w:val="0068334C"/>
    <w:rsid w:val="006836D8"/>
    <w:rsid w:val="00683819"/>
    <w:rsid w:val="00683F7A"/>
    <w:rsid w:val="00684376"/>
    <w:rsid w:val="00685185"/>
    <w:rsid w:val="006853FF"/>
    <w:rsid w:val="006854A0"/>
    <w:rsid w:val="00685CAB"/>
    <w:rsid w:val="00685DB9"/>
    <w:rsid w:val="00686516"/>
    <w:rsid w:val="00686D55"/>
    <w:rsid w:val="00687997"/>
    <w:rsid w:val="00687FED"/>
    <w:rsid w:val="006907A0"/>
    <w:rsid w:val="00690A92"/>
    <w:rsid w:val="00690AB0"/>
    <w:rsid w:val="0069146E"/>
    <w:rsid w:val="00691A32"/>
    <w:rsid w:val="006923C0"/>
    <w:rsid w:val="00692798"/>
    <w:rsid w:val="0069282F"/>
    <w:rsid w:val="0069284C"/>
    <w:rsid w:val="00692C51"/>
    <w:rsid w:val="00692CEB"/>
    <w:rsid w:val="00693D07"/>
    <w:rsid w:val="00694272"/>
    <w:rsid w:val="00694468"/>
    <w:rsid w:val="006944BE"/>
    <w:rsid w:val="006945C1"/>
    <w:rsid w:val="0069539D"/>
    <w:rsid w:val="00695AA4"/>
    <w:rsid w:val="00695B67"/>
    <w:rsid w:val="006961D2"/>
    <w:rsid w:val="00696615"/>
    <w:rsid w:val="00696723"/>
    <w:rsid w:val="006971C3"/>
    <w:rsid w:val="006972A4"/>
    <w:rsid w:val="00697579"/>
    <w:rsid w:val="006976D3"/>
    <w:rsid w:val="00697982"/>
    <w:rsid w:val="00697D86"/>
    <w:rsid w:val="006A00B5"/>
    <w:rsid w:val="006A0820"/>
    <w:rsid w:val="006A09B2"/>
    <w:rsid w:val="006A1620"/>
    <w:rsid w:val="006A16D7"/>
    <w:rsid w:val="006A1C13"/>
    <w:rsid w:val="006A2062"/>
    <w:rsid w:val="006A2381"/>
    <w:rsid w:val="006A2D4A"/>
    <w:rsid w:val="006A31C6"/>
    <w:rsid w:val="006A352C"/>
    <w:rsid w:val="006A39AD"/>
    <w:rsid w:val="006A3C15"/>
    <w:rsid w:val="006A4024"/>
    <w:rsid w:val="006A40CF"/>
    <w:rsid w:val="006A4269"/>
    <w:rsid w:val="006A4AB2"/>
    <w:rsid w:val="006A4FE5"/>
    <w:rsid w:val="006A5241"/>
    <w:rsid w:val="006A543A"/>
    <w:rsid w:val="006A5630"/>
    <w:rsid w:val="006A5846"/>
    <w:rsid w:val="006A5AFF"/>
    <w:rsid w:val="006A5FDB"/>
    <w:rsid w:val="006A61F1"/>
    <w:rsid w:val="006A645E"/>
    <w:rsid w:val="006A6578"/>
    <w:rsid w:val="006A6BAC"/>
    <w:rsid w:val="006A6E14"/>
    <w:rsid w:val="006A7154"/>
    <w:rsid w:val="006A71D3"/>
    <w:rsid w:val="006A75D9"/>
    <w:rsid w:val="006A768E"/>
    <w:rsid w:val="006A78B3"/>
    <w:rsid w:val="006A7D3D"/>
    <w:rsid w:val="006A7E46"/>
    <w:rsid w:val="006B02B0"/>
    <w:rsid w:val="006B0605"/>
    <w:rsid w:val="006B0A3E"/>
    <w:rsid w:val="006B10B5"/>
    <w:rsid w:val="006B11A8"/>
    <w:rsid w:val="006B130C"/>
    <w:rsid w:val="006B13F1"/>
    <w:rsid w:val="006B19AC"/>
    <w:rsid w:val="006B1B5B"/>
    <w:rsid w:val="006B1D30"/>
    <w:rsid w:val="006B2025"/>
    <w:rsid w:val="006B2323"/>
    <w:rsid w:val="006B33C9"/>
    <w:rsid w:val="006B4018"/>
    <w:rsid w:val="006B4A1A"/>
    <w:rsid w:val="006B4B10"/>
    <w:rsid w:val="006B4D6B"/>
    <w:rsid w:val="006B5129"/>
    <w:rsid w:val="006B51BB"/>
    <w:rsid w:val="006B557D"/>
    <w:rsid w:val="006B5586"/>
    <w:rsid w:val="006B666F"/>
    <w:rsid w:val="006B66EF"/>
    <w:rsid w:val="006B75C2"/>
    <w:rsid w:val="006C0369"/>
    <w:rsid w:val="006C0900"/>
    <w:rsid w:val="006C09A5"/>
    <w:rsid w:val="006C0FD6"/>
    <w:rsid w:val="006C1056"/>
    <w:rsid w:val="006C151F"/>
    <w:rsid w:val="006C19BF"/>
    <w:rsid w:val="006C1DA9"/>
    <w:rsid w:val="006C22FD"/>
    <w:rsid w:val="006C386A"/>
    <w:rsid w:val="006C4218"/>
    <w:rsid w:val="006C4620"/>
    <w:rsid w:val="006C4A17"/>
    <w:rsid w:val="006C4F4F"/>
    <w:rsid w:val="006C5105"/>
    <w:rsid w:val="006C5285"/>
    <w:rsid w:val="006C53DE"/>
    <w:rsid w:val="006C5723"/>
    <w:rsid w:val="006C5BB2"/>
    <w:rsid w:val="006C5BE1"/>
    <w:rsid w:val="006C5BE6"/>
    <w:rsid w:val="006C6198"/>
    <w:rsid w:val="006C6704"/>
    <w:rsid w:val="006C6C01"/>
    <w:rsid w:val="006C72B2"/>
    <w:rsid w:val="006C79D1"/>
    <w:rsid w:val="006C7EB8"/>
    <w:rsid w:val="006D0336"/>
    <w:rsid w:val="006D0A32"/>
    <w:rsid w:val="006D0E1C"/>
    <w:rsid w:val="006D0E83"/>
    <w:rsid w:val="006D0F1E"/>
    <w:rsid w:val="006D14CB"/>
    <w:rsid w:val="006D1A0E"/>
    <w:rsid w:val="006D29D1"/>
    <w:rsid w:val="006D2B22"/>
    <w:rsid w:val="006D307F"/>
    <w:rsid w:val="006D334B"/>
    <w:rsid w:val="006D3691"/>
    <w:rsid w:val="006D3A4C"/>
    <w:rsid w:val="006D3E76"/>
    <w:rsid w:val="006D3ED8"/>
    <w:rsid w:val="006D537D"/>
    <w:rsid w:val="006D5690"/>
    <w:rsid w:val="006D5E24"/>
    <w:rsid w:val="006D6B56"/>
    <w:rsid w:val="006D6D87"/>
    <w:rsid w:val="006D776D"/>
    <w:rsid w:val="006D7C36"/>
    <w:rsid w:val="006D7C83"/>
    <w:rsid w:val="006E0247"/>
    <w:rsid w:val="006E04E2"/>
    <w:rsid w:val="006E05DA"/>
    <w:rsid w:val="006E064B"/>
    <w:rsid w:val="006E107A"/>
    <w:rsid w:val="006E1338"/>
    <w:rsid w:val="006E134E"/>
    <w:rsid w:val="006E135E"/>
    <w:rsid w:val="006E1612"/>
    <w:rsid w:val="006E1CCB"/>
    <w:rsid w:val="006E1E26"/>
    <w:rsid w:val="006E1F81"/>
    <w:rsid w:val="006E1F92"/>
    <w:rsid w:val="006E203C"/>
    <w:rsid w:val="006E21C3"/>
    <w:rsid w:val="006E2282"/>
    <w:rsid w:val="006E241F"/>
    <w:rsid w:val="006E28F5"/>
    <w:rsid w:val="006E33F7"/>
    <w:rsid w:val="006E4190"/>
    <w:rsid w:val="006E4740"/>
    <w:rsid w:val="006E4ADB"/>
    <w:rsid w:val="006E62D2"/>
    <w:rsid w:val="006E66CF"/>
    <w:rsid w:val="006E674A"/>
    <w:rsid w:val="006E6D8A"/>
    <w:rsid w:val="006E709F"/>
    <w:rsid w:val="006E74F1"/>
    <w:rsid w:val="006E7CE6"/>
    <w:rsid w:val="006F0266"/>
    <w:rsid w:val="006F03E9"/>
    <w:rsid w:val="006F0724"/>
    <w:rsid w:val="006F0A85"/>
    <w:rsid w:val="006F0E9F"/>
    <w:rsid w:val="006F173E"/>
    <w:rsid w:val="006F1EBF"/>
    <w:rsid w:val="006F2185"/>
    <w:rsid w:val="006F288E"/>
    <w:rsid w:val="006F2C6C"/>
    <w:rsid w:val="006F3312"/>
    <w:rsid w:val="006F34E5"/>
    <w:rsid w:val="006F37B2"/>
    <w:rsid w:val="006F4456"/>
    <w:rsid w:val="006F4AA5"/>
    <w:rsid w:val="006F5109"/>
    <w:rsid w:val="006F53B0"/>
    <w:rsid w:val="006F5610"/>
    <w:rsid w:val="006F5775"/>
    <w:rsid w:val="006F5AD1"/>
    <w:rsid w:val="006F5E52"/>
    <w:rsid w:val="006F5FF2"/>
    <w:rsid w:val="006F6063"/>
    <w:rsid w:val="006F6107"/>
    <w:rsid w:val="006F6F68"/>
    <w:rsid w:val="006F7290"/>
    <w:rsid w:val="006F72D2"/>
    <w:rsid w:val="006F7504"/>
    <w:rsid w:val="006F7E3A"/>
    <w:rsid w:val="006FA5A0"/>
    <w:rsid w:val="00700400"/>
    <w:rsid w:val="00700663"/>
    <w:rsid w:val="0070075F"/>
    <w:rsid w:val="007007D1"/>
    <w:rsid w:val="0070080B"/>
    <w:rsid w:val="0070081D"/>
    <w:rsid w:val="00701202"/>
    <w:rsid w:val="00701B9A"/>
    <w:rsid w:val="00702140"/>
    <w:rsid w:val="00702A6F"/>
    <w:rsid w:val="00702B22"/>
    <w:rsid w:val="00702C2B"/>
    <w:rsid w:val="00702DDD"/>
    <w:rsid w:val="00703230"/>
    <w:rsid w:val="0070376D"/>
    <w:rsid w:val="00703913"/>
    <w:rsid w:val="00703AE6"/>
    <w:rsid w:val="00703D15"/>
    <w:rsid w:val="007043A5"/>
    <w:rsid w:val="00704770"/>
    <w:rsid w:val="00704BFF"/>
    <w:rsid w:val="00704F24"/>
    <w:rsid w:val="007053D8"/>
    <w:rsid w:val="00705C1B"/>
    <w:rsid w:val="00705D0C"/>
    <w:rsid w:val="00705D51"/>
    <w:rsid w:val="00706195"/>
    <w:rsid w:val="007068B7"/>
    <w:rsid w:val="0070762B"/>
    <w:rsid w:val="00707C84"/>
    <w:rsid w:val="00710421"/>
    <w:rsid w:val="00710E3E"/>
    <w:rsid w:val="00710F72"/>
    <w:rsid w:val="007112D0"/>
    <w:rsid w:val="007114BE"/>
    <w:rsid w:val="00711DEA"/>
    <w:rsid w:val="007120DC"/>
    <w:rsid w:val="00712189"/>
    <w:rsid w:val="0071262F"/>
    <w:rsid w:val="007126A4"/>
    <w:rsid w:val="00712E23"/>
    <w:rsid w:val="0071340A"/>
    <w:rsid w:val="00713B9C"/>
    <w:rsid w:val="00713BAC"/>
    <w:rsid w:val="00713F83"/>
    <w:rsid w:val="007140A0"/>
    <w:rsid w:val="00714364"/>
    <w:rsid w:val="007148D9"/>
    <w:rsid w:val="00715418"/>
    <w:rsid w:val="0071565D"/>
    <w:rsid w:val="00715F7C"/>
    <w:rsid w:val="007160EB"/>
    <w:rsid w:val="00716824"/>
    <w:rsid w:val="00716A4A"/>
    <w:rsid w:val="00716B39"/>
    <w:rsid w:val="00716CA9"/>
    <w:rsid w:val="007170F1"/>
    <w:rsid w:val="00720D89"/>
    <w:rsid w:val="00720FCC"/>
    <w:rsid w:val="00721276"/>
    <w:rsid w:val="00721B8F"/>
    <w:rsid w:val="00721F6D"/>
    <w:rsid w:val="00722DE4"/>
    <w:rsid w:val="007231C1"/>
    <w:rsid w:val="00723935"/>
    <w:rsid w:val="00723A07"/>
    <w:rsid w:val="00723C63"/>
    <w:rsid w:val="00723D93"/>
    <w:rsid w:val="00724699"/>
    <w:rsid w:val="00724A41"/>
    <w:rsid w:val="007255ED"/>
    <w:rsid w:val="007257EE"/>
    <w:rsid w:val="00725C72"/>
    <w:rsid w:val="0072615B"/>
    <w:rsid w:val="0072677A"/>
    <w:rsid w:val="00726AA5"/>
    <w:rsid w:val="00727E17"/>
    <w:rsid w:val="0073046A"/>
    <w:rsid w:val="007304D7"/>
    <w:rsid w:val="00731876"/>
    <w:rsid w:val="00732621"/>
    <w:rsid w:val="00732D44"/>
    <w:rsid w:val="00733384"/>
    <w:rsid w:val="00734D71"/>
    <w:rsid w:val="007366AA"/>
    <w:rsid w:val="00737459"/>
    <w:rsid w:val="007375B4"/>
    <w:rsid w:val="007378BC"/>
    <w:rsid w:val="00737B26"/>
    <w:rsid w:val="007406F0"/>
    <w:rsid w:val="00740855"/>
    <w:rsid w:val="0074140F"/>
    <w:rsid w:val="00741FBA"/>
    <w:rsid w:val="00742AA3"/>
    <w:rsid w:val="007434F4"/>
    <w:rsid w:val="00744116"/>
    <w:rsid w:val="00744164"/>
    <w:rsid w:val="00744F46"/>
    <w:rsid w:val="00745079"/>
    <w:rsid w:val="007451A9"/>
    <w:rsid w:val="007452E8"/>
    <w:rsid w:val="00745736"/>
    <w:rsid w:val="007457FA"/>
    <w:rsid w:val="00745BC4"/>
    <w:rsid w:val="0074664B"/>
    <w:rsid w:val="00746BD0"/>
    <w:rsid w:val="007477D3"/>
    <w:rsid w:val="007478E0"/>
    <w:rsid w:val="00747926"/>
    <w:rsid w:val="00747D6D"/>
    <w:rsid w:val="00747E53"/>
    <w:rsid w:val="0075111B"/>
    <w:rsid w:val="0075162B"/>
    <w:rsid w:val="00751685"/>
    <w:rsid w:val="00751768"/>
    <w:rsid w:val="00751FE4"/>
    <w:rsid w:val="00752901"/>
    <w:rsid w:val="00752A55"/>
    <w:rsid w:val="00752BD1"/>
    <w:rsid w:val="00752D97"/>
    <w:rsid w:val="0075304B"/>
    <w:rsid w:val="00753BE4"/>
    <w:rsid w:val="0075406C"/>
    <w:rsid w:val="0075476B"/>
    <w:rsid w:val="00754D0B"/>
    <w:rsid w:val="00755170"/>
    <w:rsid w:val="00755275"/>
    <w:rsid w:val="007552F3"/>
    <w:rsid w:val="007555CB"/>
    <w:rsid w:val="007556C2"/>
    <w:rsid w:val="00755A36"/>
    <w:rsid w:val="0075604E"/>
    <w:rsid w:val="00756B05"/>
    <w:rsid w:val="00756B44"/>
    <w:rsid w:val="00757086"/>
    <w:rsid w:val="00757D63"/>
    <w:rsid w:val="007604D9"/>
    <w:rsid w:val="00760785"/>
    <w:rsid w:val="0076087D"/>
    <w:rsid w:val="007608B5"/>
    <w:rsid w:val="0076155E"/>
    <w:rsid w:val="00761B41"/>
    <w:rsid w:val="00762491"/>
    <w:rsid w:val="00762ACE"/>
    <w:rsid w:val="0076322F"/>
    <w:rsid w:val="007636A9"/>
    <w:rsid w:val="007643DE"/>
    <w:rsid w:val="0076455B"/>
    <w:rsid w:val="00764942"/>
    <w:rsid w:val="007655A1"/>
    <w:rsid w:val="00765AB0"/>
    <w:rsid w:val="007663C8"/>
    <w:rsid w:val="0076668B"/>
    <w:rsid w:val="00766716"/>
    <w:rsid w:val="00766EA7"/>
    <w:rsid w:val="0076749F"/>
    <w:rsid w:val="0076759E"/>
    <w:rsid w:val="00767619"/>
    <w:rsid w:val="00767C9D"/>
    <w:rsid w:val="00767FC8"/>
    <w:rsid w:val="007701D0"/>
    <w:rsid w:val="00770B10"/>
    <w:rsid w:val="00770B7E"/>
    <w:rsid w:val="00770B94"/>
    <w:rsid w:val="00772176"/>
    <w:rsid w:val="0077272A"/>
    <w:rsid w:val="00772EE0"/>
    <w:rsid w:val="00772FEF"/>
    <w:rsid w:val="007739F7"/>
    <w:rsid w:val="00773C1F"/>
    <w:rsid w:val="00773D60"/>
    <w:rsid w:val="00773FAE"/>
    <w:rsid w:val="007740E9"/>
    <w:rsid w:val="00774DA0"/>
    <w:rsid w:val="00774E1D"/>
    <w:rsid w:val="00775346"/>
    <w:rsid w:val="007754B9"/>
    <w:rsid w:val="00776014"/>
    <w:rsid w:val="007761C7"/>
    <w:rsid w:val="007764F9"/>
    <w:rsid w:val="0077675F"/>
    <w:rsid w:val="007769B2"/>
    <w:rsid w:val="007773ED"/>
    <w:rsid w:val="00777853"/>
    <w:rsid w:val="00777B3F"/>
    <w:rsid w:val="00780BA5"/>
    <w:rsid w:val="0078140B"/>
    <w:rsid w:val="00781557"/>
    <w:rsid w:val="007821C4"/>
    <w:rsid w:val="00782233"/>
    <w:rsid w:val="007822A3"/>
    <w:rsid w:val="007827A2"/>
    <w:rsid w:val="007832BA"/>
    <w:rsid w:val="00783658"/>
    <w:rsid w:val="007837F4"/>
    <w:rsid w:val="007840B2"/>
    <w:rsid w:val="00784DE7"/>
    <w:rsid w:val="00785230"/>
    <w:rsid w:val="0078527A"/>
    <w:rsid w:val="00785D3B"/>
    <w:rsid w:val="007864CB"/>
    <w:rsid w:val="0078653A"/>
    <w:rsid w:val="00786DA7"/>
    <w:rsid w:val="00787C5F"/>
    <w:rsid w:val="00787CAB"/>
    <w:rsid w:val="0079033E"/>
    <w:rsid w:val="00790477"/>
    <w:rsid w:val="007904D1"/>
    <w:rsid w:val="00790701"/>
    <w:rsid w:val="00790F70"/>
    <w:rsid w:val="00791340"/>
    <w:rsid w:val="007916C9"/>
    <w:rsid w:val="007919DA"/>
    <w:rsid w:val="00791C37"/>
    <w:rsid w:val="00792210"/>
    <w:rsid w:val="00792631"/>
    <w:rsid w:val="00792C30"/>
    <w:rsid w:val="00792E67"/>
    <w:rsid w:val="00793143"/>
    <w:rsid w:val="007936DE"/>
    <w:rsid w:val="00793EBE"/>
    <w:rsid w:val="007940CB"/>
    <w:rsid w:val="00794391"/>
    <w:rsid w:val="007946D2"/>
    <w:rsid w:val="00794C8B"/>
    <w:rsid w:val="00794F5B"/>
    <w:rsid w:val="00795D8A"/>
    <w:rsid w:val="00795FED"/>
    <w:rsid w:val="00795FFC"/>
    <w:rsid w:val="0079615C"/>
    <w:rsid w:val="0079624F"/>
    <w:rsid w:val="0079626F"/>
    <w:rsid w:val="0079708F"/>
    <w:rsid w:val="00797C40"/>
    <w:rsid w:val="007A072A"/>
    <w:rsid w:val="007A09AE"/>
    <w:rsid w:val="007A09DC"/>
    <w:rsid w:val="007A0CB2"/>
    <w:rsid w:val="007A1709"/>
    <w:rsid w:val="007A17D2"/>
    <w:rsid w:val="007A19A4"/>
    <w:rsid w:val="007A1C8D"/>
    <w:rsid w:val="007A1E1A"/>
    <w:rsid w:val="007A261D"/>
    <w:rsid w:val="007A267E"/>
    <w:rsid w:val="007A27E4"/>
    <w:rsid w:val="007A3382"/>
    <w:rsid w:val="007A367A"/>
    <w:rsid w:val="007A3CC4"/>
    <w:rsid w:val="007A41D6"/>
    <w:rsid w:val="007A42CD"/>
    <w:rsid w:val="007A4934"/>
    <w:rsid w:val="007A533E"/>
    <w:rsid w:val="007A5720"/>
    <w:rsid w:val="007A5A01"/>
    <w:rsid w:val="007A610C"/>
    <w:rsid w:val="007A611F"/>
    <w:rsid w:val="007A61F2"/>
    <w:rsid w:val="007A653B"/>
    <w:rsid w:val="007A665B"/>
    <w:rsid w:val="007A6BED"/>
    <w:rsid w:val="007A7004"/>
    <w:rsid w:val="007B0A89"/>
    <w:rsid w:val="007B0EF9"/>
    <w:rsid w:val="007B0FCD"/>
    <w:rsid w:val="007B1010"/>
    <w:rsid w:val="007B1394"/>
    <w:rsid w:val="007B16C8"/>
    <w:rsid w:val="007B1E67"/>
    <w:rsid w:val="007B1E78"/>
    <w:rsid w:val="007B1EB2"/>
    <w:rsid w:val="007B1FC0"/>
    <w:rsid w:val="007B2BE4"/>
    <w:rsid w:val="007B4206"/>
    <w:rsid w:val="007B43C1"/>
    <w:rsid w:val="007B4E54"/>
    <w:rsid w:val="007B4EF5"/>
    <w:rsid w:val="007B5A2A"/>
    <w:rsid w:val="007B5B05"/>
    <w:rsid w:val="007B5E30"/>
    <w:rsid w:val="007B5E90"/>
    <w:rsid w:val="007B61FF"/>
    <w:rsid w:val="007B66B8"/>
    <w:rsid w:val="007B6B0F"/>
    <w:rsid w:val="007B7A87"/>
    <w:rsid w:val="007B7E30"/>
    <w:rsid w:val="007C008E"/>
    <w:rsid w:val="007C0476"/>
    <w:rsid w:val="007C0690"/>
    <w:rsid w:val="007C0C2B"/>
    <w:rsid w:val="007C1F5B"/>
    <w:rsid w:val="007C25F6"/>
    <w:rsid w:val="007C3153"/>
    <w:rsid w:val="007C41CB"/>
    <w:rsid w:val="007C4A7C"/>
    <w:rsid w:val="007C4C99"/>
    <w:rsid w:val="007C4E94"/>
    <w:rsid w:val="007C503C"/>
    <w:rsid w:val="007C5A3B"/>
    <w:rsid w:val="007C5C39"/>
    <w:rsid w:val="007C5C8B"/>
    <w:rsid w:val="007C624E"/>
    <w:rsid w:val="007C6575"/>
    <w:rsid w:val="007C67F1"/>
    <w:rsid w:val="007C6CA6"/>
    <w:rsid w:val="007C6CE5"/>
    <w:rsid w:val="007C7753"/>
    <w:rsid w:val="007C7859"/>
    <w:rsid w:val="007C7AA7"/>
    <w:rsid w:val="007C7AF8"/>
    <w:rsid w:val="007C7E57"/>
    <w:rsid w:val="007C7E87"/>
    <w:rsid w:val="007D01F6"/>
    <w:rsid w:val="007D0384"/>
    <w:rsid w:val="007D0543"/>
    <w:rsid w:val="007D06AB"/>
    <w:rsid w:val="007D0D46"/>
    <w:rsid w:val="007D161F"/>
    <w:rsid w:val="007D1757"/>
    <w:rsid w:val="007D1957"/>
    <w:rsid w:val="007D1DB6"/>
    <w:rsid w:val="007D1E42"/>
    <w:rsid w:val="007D1F1A"/>
    <w:rsid w:val="007D2066"/>
    <w:rsid w:val="007D21C6"/>
    <w:rsid w:val="007D3571"/>
    <w:rsid w:val="007D3641"/>
    <w:rsid w:val="007D3AB9"/>
    <w:rsid w:val="007D3DA1"/>
    <w:rsid w:val="007D3E09"/>
    <w:rsid w:val="007D3E97"/>
    <w:rsid w:val="007D45FB"/>
    <w:rsid w:val="007D4DAA"/>
    <w:rsid w:val="007D4DBA"/>
    <w:rsid w:val="007D5049"/>
    <w:rsid w:val="007D5BA3"/>
    <w:rsid w:val="007D5D9A"/>
    <w:rsid w:val="007D5EF3"/>
    <w:rsid w:val="007D5FC3"/>
    <w:rsid w:val="007D6058"/>
    <w:rsid w:val="007D6A16"/>
    <w:rsid w:val="007D6C30"/>
    <w:rsid w:val="007D7023"/>
    <w:rsid w:val="007D7BFF"/>
    <w:rsid w:val="007D7D50"/>
    <w:rsid w:val="007E06BE"/>
    <w:rsid w:val="007E0778"/>
    <w:rsid w:val="007E11E7"/>
    <w:rsid w:val="007E122E"/>
    <w:rsid w:val="007E151E"/>
    <w:rsid w:val="007E299F"/>
    <w:rsid w:val="007E2D75"/>
    <w:rsid w:val="007E368A"/>
    <w:rsid w:val="007E3875"/>
    <w:rsid w:val="007E3D26"/>
    <w:rsid w:val="007E40C7"/>
    <w:rsid w:val="007E424F"/>
    <w:rsid w:val="007E4B12"/>
    <w:rsid w:val="007E4EE7"/>
    <w:rsid w:val="007E5026"/>
    <w:rsid w:val="007E5328"/>
    <w:rsid w:val="007E6301"/>
    <w:rsid w:val="007E651C"/>
    <w:rsid w:val="007E6793"/>
    <w:rsid w:val="007E75DE"/>
    <w:rsid w:val="007E75F1"/>
    <w:rsid w:val="007E7FDD"/>
    <w:rsid w:val="007F061F"/>
    <w:rsid w:val="007F065B"/>
    <w:rsid w:val="007F0E7D"/>
    <w:rsid w:val="007F176C"/>
    <w:rsid w:val="007F17FC"/>
    <w:rsid w:val="007F1E79"/>
    <w:rsid w:val="007F2539"/>
    <w:rsid w:val="007F29E6"/>
    <w:rsid w:val="007F2BAA"/>
    <w:rsid w:val="007F3249"/>
    <w:rsid w:val="007F33EE"/>
    <w:rsid w:val="007F352D"/>
    <w:rsid w:val="007F39A4"/>
    <w:rsid w:val="007F3D0D"/>
    <w:rsid w:val="007F3E17"/>
    <w:rsid w:val="007F4A9D"/>
    <w:rsid w:val="007F4B06"/>
    <w:rsid w:val="007F4BAE"/>
    <w:rsid w:val="007F55AE"/>
    <w:rsid w:val="007F57AA"/>
    <w:rsid w:val="007F5886"/>
    <w:rsid w:val="007F5C4B"/>
    <w:rsid w:val="007F6025"/>
    <w:rsid w:val="007F667B"/>
    <w:rsid w:val="007F7E34"/>
    <w:rsid w:val="007F7F5F"/>
    <w:rsid w:val="0080000C"/>
    <w:rsid w:val="008003A8"/>
    <w:rsid w:val="008005BD"/>
    <w:rsid w:val="0080093F"/>
    <w:rsid w:val="00800A59"/>
    <w:rsid w:val="00800FAA"/>
    <w:rsid w:val="00801000"/>
    <w:rsid w:val="0080105E"/>
    <w:rsid w:val="0080113E"/>
    <w:rsid w:val="00801867"/>
    <w:rsid w:val="00801CE8"/>
    <w:rsid w:val="00802ADA"/>
    <w:rsid w:val="00803069"/>
    <w:rsid w:val="00803082"/>
    <w:rsid w:val="0080364E"/>
    <w:rsid w:val="008040F2"/>
    <w:rsid w:val="00804629"/>
    <w:rsid w:val="00804B05"/>
    <w:rsid w:val="008053BC"/>
    <w:rsid w:val="008053CA"/>
    <w:rsid w:val="00805846"/>
    <w:rsid w:val="00805885"/>
    <w:rsid w:val="00805A13"/>
    <w:rsid w:val="00806059"/>
    <w:rsid w:val="008061D9"/>
    <w:rsid w:val="0080682D"/>
    <w:rsid w:val="00806D58"/>
    <w:rsid w:val="00806F7C"/>
    <w:rsid w:val="00807040"/>
    <w:rsid w:val="00807057"/>
    <w:rsid w:val="00807344"/>
    <w:rsid w:val="00807A7E"/>
    <w:rsid w:val="0081088F"/>
    <w:rsid w:val="008109DB"/>
    <w:rsid w:val="00810AA5"/>
    <w:rsid w:val="00811106"/>
    <w:rsid w:val="00812521"/>
    <w:rsid w:val="00813104"/>
    <w:rsid w:val="00813EEA"/>
    <w:rsid w:val="00813F7B"/>
    <w:rsid w:val="00813FB9"/>
    <w:rsid w:val="00814E14"/>
    <w:rsid w:val="00815515"/>
    <w:rsid w:val="0081599C"/>
    <w:rsid w:val="00815B5F"/>
    <w:rsid w:val="00815D31"/>
    <w:rsid w:val="00815EE8"/>
    <w:rsid w:val="00815FF2"/>
    <w:rsid w:val="008165A9"/>
    <w:rsid w:val="00816662"/>
    <w:rsid w:val="0081666F"/>
    <w:rsid w:val="00816741"/>
    <w:rsid w:val="00816E19"/>
    <w:rsid w:val="0081765A"/>
    <w:rsid w:val="00817F60"/>
    <w:rsid w:val="008204B5"/>
    <w:rsid w:val="008207EE"/>
    <w:rsid w:val="00821616"/>
    <w:rsid w:val="00821BDD"/>
    <w:rsid w:val="00822F43"/>
    <w:rsid w:val="008233A6"/>
    <w:rsid w:val="00823747"/>
    <w:rsid w:val="00823A88"/>
    <w:rsid w:val="008241FB"/>
    <w:rsid w:val="00824D28"/>
    <w:rsid w:val="00824E5C"/>
    <w:rsid w:val="0082548C"/>
    <w:rsid w:val="00825B84"/>
    <w:rsid w:val="00825D28"/>
    <w:rsid w:val="00825EC7"/>
    <w:rsid w:val="00825F0D"/>
    <w:rsid w:val="008270E2"/>
    <w:rsid w:val="00827154"/>
    <w:rsid w:val="0082747E"/>
    <w:rsid w:val="0082771F"/>
    <w:rsid w:val="00827822"/>
    <w:rsid w:val="00827852"/>
    <w:rsid w:val="00827AF6"/>
    <w:rsid w:val="00827B92"/>
    <w:rsid w:val="00827C90"/>
    <w:rsid w:val="0083064D"/>
    <w:rsid w:val="00830A83"/>
    <w:rsid w:val="00830DFA"/>
    <w:rsid w:val="00830E0D"/>
    <w:rsid w:val="00831675"/>
    <w:rsid w:val="00831A56"/>
    <w:rsid w:val="00831C72"/>
    <w:rsid w:val="008320D6"/>
    <w:rsid w:val="0083232F"/>
    <w:rsid w:val="008326AE"/>
    <w:rsid w:val="00832B69"/>
    <w:rsid w:val="00832B7D"/>
    <w:rsid w:val="00832C3D"/>
    <w:rsid w:val="00832EDB"/>
    <w:rsid w:val="0083321C"/>
    <w:rsid w:val="00833736"/>
    <w:rsid w:val="00833C5F"/>
    <w:rsid w:val="00835811"/>
    <w:rsid w:val="00835A25"/>
    <w:rsid w:val="00835BA0"/>
    <w:rsid w:val="00835D80"/>
    <w:rsid w:val="00836391"/>
    <w:rsid w:val="00836504"/>
    <w:rsid w:val="0083659B"/>
    <w:rsid w:val="00836D60"/>
    <w:rsid w:val="00836DF8"/>
    <w:rsid w:val="00837B1F"/>
    <w:rsid w:val="0084079F"/>
    <w:rsid w:val="00840DE4"/>
    <w:rsid w:val="00840E53"/>
    <w:rsid w:val="008411FE"/>
    <w:rsid w:val="0084149B"/>
    <w:rsid w:val="00841837"/>
    <w:rsid w:val="00841917"/>
    <w:rsid w:val="00841930"/>
    <w:rsid w:val="00841940"/>
    <w:rsid w:val="008420DA"/>
    <w:rsid w:val="00842569"/>
    <w:rsid w:val="00842F37"/>
    <w:rsid w:val="00842FAC"/>
    <w:rsid w:val="00843260"/>
    <w:rsid w:val="008436AD"/>
    <w:rsid w:val="00843D89"/>
    <w:rsid w:val="008448A2"/>
    <w:rsid w:val="00844A6B"/>
    <w:rsid w:val="00844BF0"/>
    <w:rsid w:val="0084550F"/>
    <w:rsid w:val="008457B0"/>
    <w:rsid w:val="00845A0E"/>
    <w:rsid w:val="00845BA4"/>
    <w:rsid w:val="00845D2D"/>
    <w:rsid w:val="00845FBF"/>
    <w:rsid w:val="00846253"/>
    <w:rsid w:val="0084671F"/>
    <w:rsid w:val="00846BC4"/>
    <w:rsid w:val="00846FE7"/>
    <w:rsid w:val="0084764A"/>
    <w:rsid w:val="00847686"/>
    <w:rsid w:val="008477C1"/>
    <w:rsid w:val="008503FA"/>
    <w:rsid w:val="00850A4F"/>
    <w:rsid w:val="00851396"/>
    <w:rsid w:val="008517EE"/>
    <w:rsid w:val="0085181B"/>
    <w:rsid w:val="00852E74"/>
    <w:rsid w:val="00853237"/>
    <w:rsid w:val="00853755"/>
    <w:rsid w:val="00854508"/>
    <w:rsid w:val="008547AA"/>
    <w:rsid w:val="00854B50"/>
    <w:rsid w:val="00855894"/>
    <w:rsid w:val="008559EB"/>
    <w:rsid w:val="00855A01"/>
    <w:rsid w:val="00855BD8"/>
    <w:rsid w:val="00856198"/>
    <w:rsid w:val="008576EA"/>
    <w:rsid w:val="00860375"/>
    <w:rsid w:val="008604A8"/>
    <w:rsid w:val="0086087F"/>
    <w:rsid w:val="00860A30"/>
    <w:rsid w:val="00860AA5"/>
    <w:rsid w:val="00860C58"/>
    <w:rsid w:val="00860E62"/>
    <w:rsid w:val="0086105D"/>
    <w:rsid w:val="008616A9"/>
    <w:rsid w:val="008617FB"/>
    <w:rsid w:val="0086180E"/>
    <w:rsid w:val="0086220A"/>
    <w:rsid w:val="0086314B"/>
    <w:rsid w:val="00863923"/>
    <w:rsid w:val="0086433D"/>
    <w:rsid w:val="00864763"/>
    <w:rsid w:val="00864A24"/>
    <w:rsid w:val="00864C6E"/>
    <w:rsid w:val="00864D7B"/>
    <w:rsid w:val="00864FBD"/>
    <w:rsid w:val="00865100"/>
    <w:rsid w:val="00865513"/>
    <w:rsid w:val="00865771"/>
    <w:rsid w:val="00865B1F"/>
    <w:rsid w:val="00865E02"/>
    <w:rsid w:val="00865FBF"/>
    <w:rsid w:val="008661AC"/>
    <w:rsid w:val="0086622A"/>
    <w:rsid w:val="008666BD"/>
    <w:rsid w:val="00866C23"/>
    <w:rsid w:val="00866E15"/>
    <w:rsid w:val="00866E7B"/>
    <w:rsid w:val="00866ECD"/>
    <w:rsid w:val="00866F52"/>
    <w:rsid w:val="00867C9E"/>
    <w:rsid w:val="00870351"/>
    <w:rsid w:val="0087044F"/>
    <w:rsid w:val="0087062E"/>
    <w:rsid w:val="00870884"/>
    <w:rsid w:val="00870A3D"/>
    <w:rsid w:val="00870AA1"/>
    <w:rsid w:val="00870E74"/>
    <w:rsid w:val="00871DCE"/>
    <w:rsid w:val="00871F90"/>
    <w:rsid w:val="008724F5"/>
    <w:rsid w:val="00872822"/>
    <w:rsid w:val="00872F85"/>
    <w:rsid w:val="008734E3"/>
    <w:rsid w:val="00873886"/>
    <w:rsid w:val="008738BE"/>
    <w:rsid w:val="00873AE6"/>
    <w:rsid w:val="00874914"/>
    <w:rsid w:val="00874B67"/>
    <w:rsid w:val="00874E5A"/>
    <w:rsid w:val="008759CD"/>
    <w:rsid w:val="00875A9E"/>
    <w:rsid w:val="00876221"/>
    <w:rsid w:val="00876AB9"/>
    <w:rsid w:val="00876B7B"/>
    <w:rsid w:val="00876EB5"/>
    <w:rsid w:val="008777BC"/>
    <w:rsid w:val="00877B15"/>
    <w:rsid w:val="00877EBA"/>
    <w:rsid w:val="00877FE5"/>
    <w:rsid w:val="0088029B"/>
    <w:rsid w:val="00880463"/>
    <w:rsid w:val="00880B1B"/>
    <w:rsid w:val="00880B6A"/>
    <w:rsid w:val="00881ACD"/>
    <w:rsid w:val="00881C32"/>
    <w:rsid w:val="00881C3C"/>
    <w:rsid w:val="008820CC"/>
    <w:rsid w:val="008825B7"/>
    <w:rsid w:val="00882E67"/>
    <w:rsid w:val="00883102"/>
    <w:rsid w:val="0088331A"/>
    <w:rsid w:val="00883C56"/>
    <w:rsid w:val="00883D10"/>
    <w:rsid w:val="008841A7"/>
    <w:rsid w:val="00884CCD"/>
    <w:rsid w:val="00884DE9"/>
    <w:rsid w:val="00886291"/>
    <w:rsid w:val="00886F82"/>
    <w:rsid w:val="00887491"/>
    <w:rsid w:val="008878FB"/>
    <w:rsid w:val="00887C40"/>
    <w:rsid w:val="008901D3"/>
    <w:rsid w:val="008902C5"/>
    <w:rsid w:val="0089061D"/>
    <w:rsid w:val="00890897"/>
    <w:rsid w:val="00890C90"/>
    <w:rsid w:val="00890CAE"/>
    <w:rsid w:val="00890D3E"/>
    <w:rsid w:val="008916C5"/>
    <w:rsid w:val="008919B1"/>
    <w:rsid w:val="00891CDF"/>
    <w:rsid w:val="00891F1A"/>
    <w:rsid w:val="00891F8B"/>
    <w:rsid w:val="0089203C"/>
    <w:rsid w:val="00892406"/>
    <w:rsid w:val="00892C46"/>
    <w:rsid w:val="00893D43"/>
    <w:rsid w:val="008940D9"/>
    <w:rsid w:val="00894507"/>
    <w:rsid w:val="0089475C"/>
    <w:rsid w:val="008947A6"/>
    <w:rsid w:val="00894D95"/>
    <w:rsid w:val="00895A00"/>
    <w:rsid w:val="00895AAF"/>
    <w:rsid w:val="00896ACE"/>
    <w:rsid w:val="00897178"/>
    <w:rsid w:val="00897665"/>
    <w:rsid w:val="00897A86"/>
    <w:rsid w:val="008A00AB"/>
    <w:rsid w:val="008A019C"/>
    <w:rsid w:val="008A0D85"/>
    <w:rsid w:val="008A1090"/>
    <w:rsid w:val="008A1631"/>
    <w:rsid w:val="008A1EDA"/>
    <w:rsid w:val="008A25F4"/>
    <w:rsid w:val="008A2EF8"/>
    <w:rsid w:val="008A35EA"/>
    <w:rsid w:val="008A3605"/>
    <w:rsid w:val="008A3644"/>
    <w:rsid w:val="008A36A3"/>
    <w:rsid w:val="008A3A89"/>
    <w:rsid w:val="008A42A7"/>
    <w:rsid w:val="008A4C99"/>
    <w:rsid w:val="008A4CE4"/>
    <w:rsid w:val="008A529B"/>
    <w:rsid w:val="008A5A57"/>
    <w:rsid w:val="008A6029"/>
    <w:rsid w:val="008A6171"/>
    <w:rsid w:val="008A6654"/>
    <w:rsid w:val="008A6A94"/>
    <w:rsid w:val="008A6B33"/>
    <w:rsid w:val="008A6E22"/>
    <w:rsid w:val="008A7016"/>
    <w:rsid w:val="008B042C"/>
    <w:rsid w:val="008B046C"/>
    <w:rsid w:val="008B06D9"/>
    <w:rsid w:val="008B0C65"/>
    <w:rsid w:val="008B0DAC"/>
    <w:rsid w:val="008B0E48"/>
    <w:rsid w:val="008B0F87"/>
    <w:rsid w:val="008B1171"/>
    <w:rsid w:val="008B1DF8"/>
    <w:rsid w:val="008B1E3B"/>
    <w:rsid w:val="008B246E"/>
    <w:rsid w:val="008B2729"/>
    <w:rsid w:val="008B2733"/>
    <w:rsid w:val="008B2E89"/>
    <w:rsid w:val="008B309A"/>
    <w:rsid w:val="008B372F"/>
    <w:rsid w:val="008B3B60"/>
    <w:rsid w:val="008B4290"/>
    <w:rsid w:val="008B42EA"/>
    <w:rsid w:val="008B4765"/>
    <w:rsid w:val="008B4835"/>
    <w:rsid w:val="008B4A55"/>
    <w:rsid w:val="008B5394"/>
    <w:rsid w:val="008B59CB"/>
    <w:rsid w:val="008B5BE8"/>
    <w:rsid w:val="008B609B"/>
    <w:rsid w:val="008B64D8"/>
    <w:rsid w:val="008B6C19"/>
    <w:rsid w:val="008B75FA"/>
    <w:rsid w:val="008C0593"/>
    <w:rsid w:val="008C0689"/>
    <w:rsid w:val="008C0925"/>
    <w:rsid w:val="008C12AE"/>
    <w:rsid w:val="008C1352"/>
    <w:rsid w:val="008C196B"/>
    <w:rsid w:val="008C1B35"/>
    <w:rsid w:val="008C25E4"/>
    <w:rsid w:val="008C32A2"/>
    <w:rsid w:val="008C34B7"/>
    <w:rsid w:val="008C35FB"/>
    <w:rsid w:val="008C375E"/>
    <w:rsid w:val="008C3DA7"/>
    <w:rsid w:val="008C3F06"/>
    <w:rsid w:val="008C4039"/>
    <w:rsid w:val="008C43D6"/>
    <w:rsid w:val="008C47F8"/>
    <w:rsid w:val="008C49E4"/>
    <w:rsid w:val="008C4A81"/>
    <w:rsid w:val="008C5111"/>
    <w:rsid w:val="008C5648"/>
    <w:rsid w:val="008C5775"/>
    <w:rsid w:val="008C5C93"/>
    <w:rsid w:val="008C5D98"/>
    <w:rsid w:val="008C5DF8"/>
    <w:rsid w:val="008C7404"/>
    <w:rsid w:val="008C75B4"/>
    <w:rsid w:val="008C77B2"/>
    <w:rsid w:val="008D03E2"/>
    <w:rsid w:val="008D0B93"/>
    <w:rsid w:val="008D18B7"/>
    <w:rsid w:val="008D1EA4"/>
    <w:rsid w:val="008D288E"/>
    <w:rsid w:val="008D29F8"/>
    <w:rsid w:val="008D34B9"/>
    <w:rsid w:val="008D34D6"/>
    <w:rsid w:val="008D35B2"/>
    <w:rsid w:val="008D4027"/>
    <w:rsid w:val="008D4157"/>
    <w:rsid w:val="008D44D4"/>
    <w:rsid w:val="008D4AD3"/>
    <w:rsid w:val="008D4B36"/>
    <w:rsid w:val="008D50E3"/>
    <w:rsid w:val="008D519D"/>
    <w:rsid w:val="008D55DB"/>
    <w:rsid w:val="008D5DAA"/>
    <w:rsid w:val="008D6229"/>
    <w:rsid w:val="008D6F73"/>
    <w:rsid w:val="008D6FED"/>
    <w:rsid w:val="008E079F"/>
    <w:rsid w:val="008E10BA"/>
    <w:rsid w:val="008E132E"/>
    <w:rsid w:val="008E13AA"/>
    <w:rsid w:val="008E1567"/>
    <w:rsid w:val="008E1D38"/>
    <w:rsid w:val="008E32C1"/>
    <w:rsid w:val="008E3764"/>
    <w:rsid w:val="008E3D78"/>
    <w:rsid w:val="008E3EF3"/>
    <w:rsid w:val="008E3FD9"/>
    <w:rsid w:val="008E434E"/>
    <w:rsid w:val="008E46CC"/>
    <w:rsid w:val="008E4C68"/>
    <w:rsid w:val="008E5258"/>
    <w:rsid w:val="008E60BA"/>
    <w:rsid w:val="008E631A"/>
    <w:rsid w:val="008E69A2"/>
    <w:rsid w:val="008E6ECC"/>
    <w:rsid w:val="008E7A4B"/>
    <w:rsid w:val="008E7D88"/>
    <w:rsid w:val="008E7E8F"/>
    <w:rsid w:val="008F0196"/>
    <w:rsid w:val="008F082F"/>
    <w:rsid w:val="008F09F6"/>
    <w:rsid w:val="008F1520"/>
    <w:rsid w:val="008F1EB7"/>
    <w:rsid w:val="008F1EE8"/>
    <w:rsid w:val="008F1F8A"/>
    <w:rsid w:val="008F20F1"/>
    <w:rsid w:val="008F2153"/>
    <w:rsid w:val="008F25C0"/>
    <w:rsid w:val="008F2AFD"/>
    <w:rsid w:val="008F2BFE"/>
    <w:rsid w:val="008F2C28"/>
    <w:rsid w:val="008F2D6F"/>
    <w:rsid w:val="008F367E"/>
    <w:rsid w:val="008F388B"/>
    <w:rsid w:val="008F3C00"/>
    <w:rsid w:val="008F3F6F"/>
    <w:rsid w:val="008F533C"/>
    <w:rsid w:val="008F57BA"/>
    <w:rsid w:val="008F5CD2"/>
    <w:rsid w:val="008F6775"/>
    <w:rsid w:val="008F6918"/>
    <w:rsid w:val="008F6AAD"/>
    <w:rsid w:val="008F74C6"/>
    <w:rsid w:val="008F771C"/>
    <w:rsid w:val="008F7D56"/>
    <w:rsid w:val="00900064"/>
    <w:rsid w:val="0090091E"/>
    <w:rsid w:val="00900B95"/>
    <w:rsid w:val="00901205"/>
    <w:rsid w:val="009016FF"/>
    <w:rsid w:val="00901B5B"/>
    <w:rsid w:val="009028DF"/>
    <w:rsid w:val="00903089"/>
    <w:rsid w:val="009031AE"/>
    <w:rsid w:val="009035F1"/>
    <w:rsid w:val="009036B0"/>
    <w:rsid w:val="009037A2"/>
    <w:rsid w:val="00903A50"/>
    <w:rsid w:val="00903A52"/>
    <w:rsid w:val="009041FE"/>
    <w:rsid w:val="009042B5"/>
    <w:rsid w:val="009045F6"/>
    <w:rsid w:val="00905BA0"/>
    <w:rsid w:val="00905CE7"/>
    <w:rsid w:val="00905DEF"/>
    <w:rsid w:val="00905F70"/>
    <w:rsid w:val="00905F95"/>
    <w:rsid w:val="009062ED"/>
    <w:rsid w:val="00906A24"/>
    <w:rsid w:val="00906ABA"/>
    <w:rsid w:val="00907447"/>
    <w:rsid w:val="00907983"/>
    <w:rsid w:val="009079A6"/>
    <w:rsid w:val="0091034B"/>
    <w:rsid w:val="00910E90"/>
    <w:rsid w:val="0091153B"/>
    <w:rsid w:val="00911588"/>
    <w:rsid w:val="009122A4"/>
    <w:rsid w:val="009127F2"/>
    <w:rsid w:val="00912FF8"/>
    <w:rsid w:val="0091315C"/>
    <w:rsid w:val="0091348B"/>
    <w:rsid w:val="009135AF"/>
    <w:rsid w:val="00913D7F"/>
    <w:rsid w:val="009144BD"/>
    <w:rsid w:val="0091464A"/>
    <w:rsid w:val="00914CBF"/>
    <w:rsid w:val="00914DC4"/>
    <w:rsid w:val="00914F0B"/>
    <w:rsid w:val="009151CE"/>
    <w:rsid w:val="00915341"/>
    <w:rsid w:val="0091577A"/>
    <w:rsid w:val="00916455"/>
    <w:rsid w:val="00916849"/>
    <w:rsid w:val="00916A13"/>
    <w:rsid w:val="00916F01"/>
    <w:rsid w:val="009172E7"/>
    <w:rsid w:val="009174DC"/>
    <w:rsid w:val="0091782F"/>
    <w:rsid w:val="00917C2C"/>
    <w:rsid w:val="00917D7F"/>
    <w:rsid w:val="00920516"/>
    <w:rsid w:val="0092055F"/>
    <w:rsid w:val="0092063F"/>
    <w:rsid w:val="00920862"/>
    <w:rsid w:val="00920878"/>
    <w:rsid w:val="00920E46"/>
    <w:rsid w:val="009212B1"/>
    <w:rsid w:val="009212E6"/>
    <w:rsid w:val="0092185C"/>
    <w:rsid w:val="009218A4"/>
    <w:rsid w:val="00921C9A"/>
    <w:rsid w:val="00921E57"/>
    <w:rsid w:val="009221E3"/>
    <w:rsid w:val="0092237B"/>
    <w:rsid w:val="00922387"/>
    <w:rsid w:val="009223A3"/>
    <w:rsid w:val="00922695"/>
    <w:rsid w:val="00922872"/>
    <w:rsid w:val="00922AA0"/>
    <w:rsid w:val="0092346E"/>
    <w:rsid w:val="009241F5"/>
    <w:rsid w:val="0092421F"/>
    <w:rsid w:val="0092466F"/>
    <w:rsid w:val="00924AAC"/>
    <w:rsid w:val="009252B4"/>
    <w:rsid w:val="00925789"/>
    <w:rsid w:val="00925B8B"/>
    <w:rsid w:val="00925CC3"/>
    <w:rsid w:val="009267D4"/>
    <w:rsid w:val="009268FC"/>
    <w:rsid w:val="00926BDC"/>
    <w:rsid w:val="0092701E"/>
    <w:rsid w:val="009271B5"/>
    <w:rsid w:val="00927393"/>
    <w:rsid w:val="009273A7"/>
    <w:rsid w:val="009273F8"/>
    <w:rsid w:val="00927483"/>
    <w:rsid w:val="00927C68"/>
    <w:rsid w:val="0093021E"/>
    <w:rsid w:val="009308DA"/>
    <w:rsid w:val="009311C9"/>
    <w:rsid w:val="0093135A"/>
    <w:rsid w:val="009313C4"/>
    <w:rsid w:val="00931773"/>
    <w:rsid w:val="0093179A"/>
    <w:rsid w:val="009317A2"/>
    <w:rsid w:val="009317AC"/>
    <w:rsid w:val="00931DDA"/>
    <w:rsid w:val="009320B7"/>
    <w:rsid w:val="009327F1"/>
    <w:rsid w:val="00933A30"/>
    <w:rsid w:val="00933DB2"/>
    <w:rsid w:val="00933DC0"/>
    <w:rsid w:val="00933DE0"/>
    <w:rsid w:val="00934795"/>
    <w:rsid w:val="00934927"/>
    <w:rsid w:val="00935307"/>
    <w:rsid w:val="00935580"/>
    <w:rsid w:val="0093596E"/>
    <w:rsid w:val="00935984"/>
    <w:rsid w:val="00936021"/>
    <w:rsid w:val="009360E7"/>
    <w:rsid w:val="00936462"/>
    <w:rsid w:val="00936494"/>
    <w:rsid w:val="0093707F"/>
    <w:rsid w:val="009373D3"/>
    <w:rsid w:val="00937C0F"/>
    <w:rsid w:val="00937E7B"/>
    <w:rsid w:val="00940335"/>
    <w:rsid w:val="00940342"/>
    <w:rsid w:val="00940B26"/>
    <w:rsid w:val="00940C14"/>
    <w:rsid w:val="009410CA"/>
    <w:rsid w:val="00941467"/>
    <w:rsid w:val="00941620"/>
    <w:rsid w:val="0094213E"/>
    <w:rsid w:val="0094238D"/>
    <w:rsid w:val="009424F4"/>
    <w:rsid w:val="00942C95"/>
    <w:rsid w:val="00943737"/>
    <w:rsid w:val="00943A3F"/>
    <w:rsid w:val="00943DF2"/>
    <w:rsid w:val="00944370"/>
    <w:rsid w:val="009446DE"/>
    <w:rsid w:val="00945123"/>
    <w:rsid w:val="009451CE"/>
    <w:rsid w:val="00946029"/>
    <w:rsid w:val="009467B5"/>
    <w:rsid w:val="0094765F"/>
    <w:rsid w:val="00947A2C"/>
    <w:rsid w:val="00947F18"/>
    <w:rsid w:val="00950526"/>
    <w:rsid w:val="0095085D"/>
    <w:rsid w:val="00950DCD"/>
    <w:rsid w:val="00951383"/>
    <w:rsid w:val="009518E5"/>
    <w:rsid w:val="00951FCF"/>
    <w:rsid w:val="0095214A"/>
    <w:rsid w:val="00952623"/>
    <w:rsid w:val="009526B5"/>
    <w:rsid w:val="00952915"/>
    <w:rsid w:val="00952EF7"/>
    <w:rsid w:val="0095390C"/>
    <w:rsid w:val="00953C7D"/>
    <w:rsid w:val="00953FDE"/>
    <w:rsid w:val="009543CD"/>
    <w:rsid w:val="009546A8"/>
    <w:rsid w:val="009554FB"/>
    <w:rsid w:val="00955D8B"/>
    <w:rsid w:val="0095624A"/>
    <w:rsid w:val="00956432"/>
    <w:rsid w:val="00956B40"/>
    <w:rsid w:val="00956F36"/>
    <w:rsid w:val="0095706A"/>
    <w:rsid w:val="0095745F"/>
    <w:rsid w:val="00957F2F"/>
    <w:rsid w:val="009606D0"/>
    <w:rsid w:val="0096076F"/>
    <w:rsid w:val="00961671"/>
    <w:rsid w:val="0096218D"/>
    <w:rsid w:val="0096234E"/>
    <w:rsid w:val="00962631"/>
    <w:rsid w:val="009627B8"/>
    <w:rsid w:val="00962B03"/>
    <w:rsid w:val="00962B68"/>
    <w:rsid w:val="00962DC4"/>
    <w:rsid w:val="00963FB7"/>
    <w:rsid w:val="00964C51"/>
    <w:rsid w:val="00965205"/>
    <w:rsid w:val="00965283"/>
    <w:rsid w:val="009652E4"/>
    <w:rsid w:val="0096545A"/>
    <w:rsid w:val="00965E44"/>
    <w:rsid w:val="009666F4"/>
    <w:rsid w:val="00967077"/>
    <w:rsid w:val="00967379"/>
    <w:rsid w:val="00967FAA"/>
    <w:rsid w:val="00970A49"/>
    <w:rsid w:val="00970A91"/>
    <w:rsid w:val="00970CFF"/>
    <w:rsid w:val="00971865"/>
    <w:rsid w:val="00971A26"/>
    <w:rsid w:val="0097241D"/>
    <w:rsid w:val="00972484"/>
    <w:rsid w:val="009724A2"/>
    <w:rsid w:val="00972B0A"/>
    <w:rsid w:val="00973031"/>
    <w:rsid w:val="00973280"/>
    <w:rsid w:val="009739A9"/>
    <w:rsid w:val="00973D7A"/>
    <w:rsid w:val="0097437A"/>
    <w:rsid w:val="009745B6"/>
    <w:rsid w:val="00974832"/>
    <w:rsid w:val="00974BB1"/>
    <w:rsid w:val="00974D18"/>
    <w:rsid w:val="00974D62"/>
    <w:rsid w:val="00976021"/>
    <w:rsid w:val="009763FD"/>
    <w:rsid w:val="00977588"/>
    <w:rsid w:val="00977956"/>
    <w:rsid w:val="00977BBB"/>
    <w:rsid w:val="0098174A"/>
    <w:rsid w:val="00981C4C"/>
    <w:rsid w:val="00982BD2"/>
    <w:rsid w:val="00982C41"/>
    <w:rsid w:val="00983F68"/>
    <w:rsid w:val="00983FE9"/>
    <w:rsid w:val="009840B5"/>
    <w:rsid w:val="009843C4"/>
    <w:rsid w:val="00984431"/>
    <w:rsid w:val="00984438"/>
    <w:rsid w:val="00984DCE"/>
    <w:rsid w:val="00984E95"/>
    <w:rsid w:val="0098505A"/>
    <w:rsid w:val="0098529C"/>
    <w:rsid w:val="009858EE"/>
    <w:rsid w:val="0098652F"/>
    <w:rsid w:val="00987315"/>
    <w:rsid w:val="00987886"/>
    <w:rsid w:val="00987A27"/>
    <w:rsid w:val="00987D74"/>
    <w:rsid w:val="009900F8"/>
    <w:rsid w:val="00990DD0"/>
    <w:rsid w:val="009917AA"/>
    <w:rsid w:val="00991BFC"/>
    <w:rsid w:val="00992EF4"/>
    <w:rsid w:val="00992F5F"/>
    <w:rsid w:val="00992FEB"/>
    <w:rsid w:val="00993433"/>
    <w:rsid w:val="0099414B"/>
    <w:rsid w:val="00994AC5"/>
    <w:rsid w:val="0099542A"/>
    <w:rsid w:val="009959FA"/>
    <w:rsid w:val="00995BE2"/>
    <w:rsid w:val="00995C67"/>
    <w:rsid w:val="00995E25"/>
    <w:rsid w:val="009962CB"/>
    <w:rsid w:val="009962FB"/>
    <w:rsid w:val="009966A5"/>
    <w:rsid w:val="0099717E"/>
    <w:rsid w:val="009971CA"/>
    <w:rsid w:val="0099794A"/>
    <w:rsid w:val="00997C73"/>
    <w:rsid w:val="00997CE5"/>
    <w:rsid w:val="00997E27"/>
    <w:rsid w:val="00997F15"/>
    <w:rsid w:val="009A04CE"/>
    <w:rsid w:val="009A121E"/>
    <w:rsid w:val="009A1832"/>
    <w:rsid w:val="009A1A33"/>
    <w:rsid w:val="009A2803"/>
    <w:rsid w:val="009A2A90"/>
    <w:rsid w:val="009A31D9"/>
    <w:rsid w:val="009A3414"/>
    <w:rsid w:val="009A34FA"/>
    <w:rsid w:val="009A3D58"/>
    <w:rsid w:val="009A561C"/>
    <w:rsid w:val="009A57A4"/>
    <w:rsid w:val="009A5EA2"/>
    <w:rsid w:val="009A610F"/>
    <w:rsid w:val="009A68DE"/>
    <w:rsid w:val="009A6C1A"/>
    <w:rsid w:val="009A6EB1"/>
    <w:rsid w:val="009A728B"/>
    <w:rsid w:val="009A7425"/>
    <w:rsid w:val="009A7526"/>
    <w:rsid w:val="009A7897"/>
    <w:rsid w:val="009A7C80"/>
    <w:rsid w:val="009B00B7"/>
    <w:rsid w:val="009B059F"/>
    <w:rsid w:val="009B0757"/>
    <w:rsid w:val="009B0A32"/>
    <w:rsid w:val="009B0C1D"/>
    <w:rsid w:val="009B0FE4"/>
    <w:rsid w:val="009B1234"/>
    <w:rsid w:val="009B1765"/>
    <w:rsid w:val="009B17FB"/>
    <w:rsid w:val="009B1BEE"/>
    <w:rsid w:val="009B24E8"/>
    <w:rsid w:val="009B2996"/>
    <w:rsid w:val="009B3293"/>
    <w:rsid w:val="009B3389"/>
    <w:rsid w:val="009B3427"/>
    <w:rsid w:val="009B384D"/>
    <w:rsid w:val="009B3DF9"/>
    <w:rsid w:val="009B3FC0"/>
    <w:rsid w:val="009B475D"/>
    <w:rsid w:val="009B4CE8"/>
    <w:rsid w:val="009B4E23"/>
    <w:rsid w:val="009B4FA7"/>
    <w:rsid w:val="009B5C3A"/>
    <w:rsid w:val="009B5D81"/>
    <w:rsid w:val="009B5E3B"/>
    <w:rsid w:val="009B6566"/>
    <w:rsid w:val="009B6CEC"/>
    <w:rsid w:val="009B6DAF"/>
    <w:rsid w:val="009B743F"/>
    <w:rsid w:val="009B77EF"/>
    <w:rsid w:val="009B7C46"/>
    <w:rsid w:val="009B7E6B"/>
    <w:rsid w:val="009C0186"/>
    <w:rsid w:val="009C0EAB"/>
    <w:rsid w:val="009C0F20"/>
    <w:rsid w:val="009C10AF"/>
    <w:rsid w:val="009C1303"/>
    <w:rsid w:val="009C18A8"/>
    <w:rsid w:val="009C1E10"/>
    <w:rsid w:val="009C1EA6"/>
    <w:rsid w:val="009C21F4"/>
    <w:rsid w:val="009C2456"/>
    <w:rsid w:val="009C269B"/>
    <w:rsid w:val="009C271F"/>
    <w:rsid w:val="009C3046"/>
    <w:rsid w:val="009C30C2"/>
    <w:rsid w:val="009C3627"/>
    <w:rsid w:val="009C3715"/>
    <w:rsid w:val="009C4122"/>
    <w:rsid w:val="009C442A"/>
    <w:rsid w:val="009C4561"/>
    <w:rsid w:val="009C47EA"/>
    <w:rsid w:val="009C523B"/>
    <w:rsid w:val="009C53DE"/>
    <w:rsid w:val="009C5896"/>
    <w:rsid w:val="009C5C56"/>
    <w:rsid w:val="009C5CAC"/>
    <w:rsid w:val="009C5D27"/>
    <w:rsid w:val="009C6089"/>
    <w:rsid w:val="009C63D6"/>
    <w:rsid w:val="009C6B60"/>
    <w:rsid w:val="009C72F6"/>
    <w:rsid w:val="009C7350"/>
    <w:rsid w:val="009C7E02"/>
    <w:rsid w:val="009D0B72"/>
    <w:rsid w:val="009D136B"/>
    <w:rsid w:val="009D13D6"/>
    <w:rsid w:val="009D179D"/>
    <w:rsid w:val="009D18AF"/>
    <w:rsid w:val="009D2916"/>
    <w:rsid w:val="009D2931"/>
    <w:rsid w:val="009D30C8"/>
    <w:rsid w:val="009D3D5A"/>
    <w:rsid w:val="009D4E63"/>
    <w:rsid w:val="009D518A"/>
    <w:rsid w:val="009D5753"/>
    <w:rsid w:val="009D6242"/>
    <w:rsid w:val="009D6DC0"/>
    <w:rsid w:val="009D733F"/>
    <w:rsid w:val="009D769A"/>
    <w:rsid w:val="009D7C77"/>
    <w:rsid w:val="009D7CF0"/>
    <w:rsid w:val="009D7EC5"/>
    <w:rsid w:val="009E0542"/>
    <w:rsid w:val="009E0CBF"/>
    <w:rsid w:val="009E0E86"/>
    <w:rsid w:val="009E0F0A"/>
    <w:rsid w:val="009E1A69"/>
    <w:rsid w:val="009E1EBB"/>
    <w:rsid w:val="009E2452"/>
    <w:rsid w:val="009E2BB8"/>
    <w:rsid w:val="009E33E4"/>
    <w:rsid w:val="009E35E7"/>
    <w:rsid w:val="009E392F"/>
    <w:rsid w:val="009E3B99"/>
    <w:rsid w:val="009E40F0"/>
    <w:rsid w:val="009E4201"/>
    <w:rsid w:val="009E43D0"/>
    <w:rsid w:val="009E52F7"/>
    <w:rsid w:val="009E5364"/>
    <w:rsid w:val="009E56A0"/>
    <w:rsid w:val="009E57E5"/>
    <w:rsid w:val="009E5C97"/>
    <w:rsid w:val="009E5CF8"/>
    <w:rsid w:val="009E63F4"/>
    <w:rsid w:val="009E727A"/>
    <w:rsid w:val="009E7603"/>
    <w:rsid w:val="009E77B0"/>
    <w:rsid w:val="009E7AC0"/>
    <w:rsid w:val="009F0DC3"/>
    <w:rsid w:val="009F1379"/>
    <w:rsid w:val="009F14DC"/>
    <w:rsid w:val="009F16A5"/>
    <w:rsid w:val="009F1AE0"/>
    <w:rsid w:val="009F1BCC"/>
    <w:rsid w:val="009F1D61"/>
    <w:rsid w:val="009F20A6"/>
    <w:rsid w:val="009F2CE5"/>
    <w:rsid w:val="009F418D"/>
    <w:rsid w:val="009F4311"/>
    <w:rsid w:val="009F4751"/>
    <w:rsid w:val="009F546D"/>
    <w:rsid w:val="009F54CA"/>
    <w:rsid w:val="009F5831"/>
    <w:rsid w:val="009F5F8F"/>
    <w:rsid w:val="009F614B"/>
    <w:rsid w:val="009F6151"/>
    <w:rsid w:val="009F661C"/>
    <w:rsid w:val="009F6781"/>
    <w:rsid w:val="009F6A68"/>
    <w:rsid w:val="009F6A9B"/>
    <w:rsid w:val="009F6BFE"/>
    <w:rsid w:val="009F708B"/>
    <w:rsid w:val="009F70E0"/>
    <w:rsid w:val="009F75C5"/>
    <w:rsid w:val="00A001F1"/>
    <w:rsid w:val="00A00466"/>
    <w:rsid w:val="00A00A08"/>
    <w:rsid w:val="00A00BF1"/>
    <w:rsid w:val="00A010D9"/>
    <w:rsid w:val="00A013D9"/>
    <w:rsid w:val="00A015D8"/>
    <w:rsid w:val="00A01648"/>
    <w:rsid w:val="00A01CD6"/>
    <w:rsid w:val="00A021CF"/>
    <w:rsid w:val="00A02421"/>
    <w:rsid w:val="00A02481"/>
    <w:rsid w:val="00A02B28"/>
    <w:rsid w:val="00A02D04"/>
    <w:rsid w:val="00A02ED9"/>
    <w:rsid w:val="00A02F7B"/>
    <w:rsid w:val="00A033CD"/>
    <w:rsid w:val="00A03541"/>
    <w:rsid w:val="00A03E93"/>
    <w:rsid w:val="00A0406B"/>
    <w:rsid w:val="00A045B2"/>
    <w:rsid w:val="00A046BF"/>
    <w:rsid w:val="00A04CF9"/>
    <w:rsid w:val="00A04D98"/>
    <w:rsid w:val="00A05BB4"/>
    <w:rsid w:val="00A05CA1"/>
    <w:rsid w:val="00A06640"/>
    <w:rsid w:val="00A06B5C"/>
    <w:rsid w:val="00A07877"/>
    <w:rsid w:val="00A1060F"/>
    <w:rsid w:val="00A10D45"/>
    <w:rsid w:val="00A11D25"/>
    <w:rsid w:val="00A1206D"/>
    <w:rsid w:val="00A13039"/>
    <w:rsid w:val="00A13179"/>
    <w:rsid w:val="00A13182"/>
    <w:rsid w:val="00A13190"/>
    <w:rsid w:val="00A1334A"/>
    <w:rsid w:val="00A1344C"/>
    <w:rsid w:val="00A137E6"/>
    <w:rsid w:val="00A1404D"/>
    <w:rsid w:val="00A14360"/>
    <w:rsid w:val="00A146D1"/>
    <w:rsid w:val="00A14C24"/>
    <w:rsid w:val="00A158A3"/>
    <w:rsid w:val="00A158C8"/>
    <w:rsid w:val="00A159AB"/>
    <w:rsid w:val="00A15A54"/>
    <w:rsid w:val="00A15E21"/>
    <w:rsid w:val="00A15EA1"/>
    <w:rsid w:val="00A16EC0"/>
    <w:rsid w:val="00A178BD"/>
    <w:rsid w:val="00A17B89"/>
    <w:rsid w:val="00A203DD"/>
    <w:rsid w:val="00A20411"/>
    <w:rsid w:val="00A2048D"/>
    <w:rsid w:val="00A210D1"/>
    <w:rsid w:val="00A21208"/>
    <w:rsid w:val="00A21A18"/>
    <w:rsid w:val="00A21D95"/>
    <w:rsid w:val="00A22763"/>
    <w:rsid w:val="00A22B7E"/>
    <w:rsid w:val="00A232AF"/>
    <w:rsid w:val="00A236A7"/>
    <w:rsid w:val="00A23F64"/>
    <w:rsid w:val="00A246DA"/>
    <w:rsid w:val="00A246FA"/>
    <w:rsid w:val="00A250C4"/>
    <w:rsid w:val="00A253E1"/>
    <w:rsid w:val="00A259FA"/>
    <w:rsid w:val="00A25D94"/>
    <w:rsid w:val="00A26713"/>
    <w:rsid w:val="00A26D96"/>
    <w:rsid w:val="00A270C5"/>
    <w:rsid w:val="00A2789D"/>
    <w:rsid w:val="00A27901"/>
    <w:rsid w:val="00A27A9B"/>
    <w:rsid w:val="00A27D4F"/>
    <w:rsid w:val="00A27F69"/>
    <w:rsid w:val="00A30A14"/>
    <w:rsid w:val="00A30A27"/>
    <w:rsid w:val="00A30DA6"/>
    <w:rsid w:val="00A30DF0"/>
    <w:rsid w:val="00A31265"/>
    <w:rsid w:val="00A3145E"/>
    <w:rsid w:val="00A32C36"/>
    <w:rsid w:val="00A3315C"/>
    <w:rsid w:val="00A338ED"/>
    <w:rsid w:val="00A33954"/>
    <w:rsid w:val="00A33E43"/>
    <w:rsid w:val="00A34216"/>
    <w:rsid w:val="00A344A1"/>
    <w:rsid w:val="00A34B22"/>
    <w:rsid w:val="00A34D55"/>
    <w:rsid w:val="00A34DE3"/>
    <w:rsid w:val="00A35072"/>
    <w:rsid w:val="00A35237"/>
    <w:rsid w:val="00A35C4C"/>
    <w:rsid w:val="00A35EC6"/>
    <w:rsid w:val="00A35FA2"/>
    <w:rsid w:val="00A363CC"/>
    <w:rsid w:val="00A36A96"/>
    <w:rsid w:val="00A36B50"/>
    <w:rsid w:val="00A36C06"/>
    <w:rsid w:val="00A36DBD"/>
    <w:rsid w:val="00A372A2"/>
    <w:rsid w:val="00A37574"/>
    <w:rsid w:val="00A3766B"/>
    <w:rsid w:val="00A3794E"/>
    <w:rsid w:val="00A37E00"/>
    <w:rsid w:val="00A40099"/>
    <w:rsid w:val="00A40DC5"/>
    <w:rsid w:val="00A412CA"/>
    <w:rsid w:val="00A41334"/>
    <w:rsid w:val="00A415D6"/>
    <w:rsid w:val="00A41712"/>
    <w:rsid w:val="00A417CB"/>
    <w:rsid w:val="00A41BE5"/>
    <w:rsid w:val="00A4291B"/>
    <w:rsid w:val="00A42A82"/>
    <w:rsid w:val="00A42B5C"/>
    <w:rsid w:val="00A43AAB"/>
    <w:rsid w:val="00A43AB0"/>
    <w:rsid w:val="00A443F4"/>
    <w:rsid w:val="00A4494F"/>
    <w:rsid w:val="00A44C36"/>
    <w:rsid w:val="00A44D77"/>
    <w:rsid w:val="00A45CE8"/>
    <w:rsid w:val="00A45FE7"/>
    <w:rsid w:val="00A465E7"/>
    <w:rsid w:val="00A46A1B"/>
    <w:rsid w:val="00A472E8"/>
    <w:rsid w:val="00A507F1"/>
    <w:rsid w:val="00A50C83"/>
    <w:rsid w:val="00A50FE8"/>
    <w:rsid w:val="00A511EA"/>
    <w:rsid w:val="00A518D0"/>
    <w:rsid w:val="00A52590"/>
    <w:rsid w:val="00A5290E"/>
    <w:rsid w:val="00A53571"/>
    <w:rsid w:val="00A53660"/>
    <w:rsid w:val="00A537D9"/>
    <w:rsid w:val="00A53A5F"/>
    <w:rsid w:val="00A53F1D"/>
    <w:rsid w:val="00A54572"/>
    <w:rsid w:val="00A54837"/>
    <w:rsid w:val="00A54DCB"/>
    <w:rsid w:val="00A54E37"/>
    <w:rsid w:val="00A55010"/>
    <w:rsid w:val="00A554C7"/>
    <w:rsid w:val="00A5575B"/>
    <w:rsid w:val="00A55C95"/>
    <w:rsid w:val="00A56103"/>
    <w:rsid w:val="00A5633A"/>
    <w:rsid w:val="00A56531"/>
    <w:rsid w:val="00A565CC"/>
    <w:rsid w:val="00A571D8"/>
    <w:rsid w:val="00A57214"/>
    <w:rsid w:val="00A5722D"/>
    <w:rsid w:val="00A57437"/>
    <w:rsid w:val="00A575E7"/>
    <w:rsid w:val="00A57FF0"/>
    <w:rsid w:val="00A60890"/>
    <w:rsid w:val="00A60951"/>
    <w:rsid w:val="00A60ADA"/>
    <w:rsid w:val="00A60AED"/>
    <w:rsid w:val="00A610E2"/>
    <w:rsid w:val="00A613FC"/>
    <w:rsid w:val="00A61725"/>
    <w:rsid w:val="00A61727"/>
    <w:rsid w:val="00A61874"/>
    <w:rsid w:val="00A62782"/>
    <w:rsid w:val="00A62CA9"/>
    <w:rsid w:val="00A62F4B"/>
    <w:rsid w:val="00A63C02"/>
    <w:rsid w:val="00A64443"/>
    <w:rsid w:val="00A6457B"/>
    <w:rsid w:val="00A655A4"/>
    <w:rsid w:val="00A6584B"/>
    <w:rsid w:val="00A65943"/>
    <w:rsid w:val="00A65F99"/>
    <w:rsid w:val="00A66045"/>
    <w:rsid w:val="00A66A12"/>
    <w:rsid w:val="00A66AEA"/>
    <w:rsid w:val="00A66D63"/>
    <w:rsid w:val="00A670CB"/>
    <w:rsid w:val="00A6730B"/>
    <w:rsid w:val="00A7026C"/>
    <w:rsid w:val="00A7097A"/>
    <w:rsid w:val="00A70BC2"/>
    <w:rsid w:val="00A70BE5"/>
    <w:rsid w:val="00A71559"/>
    <w:rsid w:val="00A715F6"/>
    <w:rsid w:val="00A7167D"/>
    <w:rsid w:val="00A71829"/>
    <w:rsid w:val="00A71830"/>
    <w:rsid w:val="00A71A18"/>
    <w:rsid w:val="00A7294B"/>
    <w:rsid w:val="00A72F3E"/>
    <w:rsid w:val="00A72F87"/>
    <w:rsid w:val="00A7348F"/>
    <w:rsid w:val="00A737B8"/>
    <w:rsid w:val="00A738E0"/>
    <w:rsid w:val="00A73A87"/>
    <w:rsid w:val="00A73C3E"/>
    <w:rsid w:val="00A74370"/>
    <w:rsid w:val="00A743D1"/>
    <w:rsid w:val="00A74A9F"/>
    <w:rsid w:val="00A75084"/>
    <w:rsid w:val="00A75499"/>
    <w:rsid w:val="00A75A91"/>
    <w:rsid w:val="00A75B6B"/>
    <w:rsid w:val="00A75BC4"/>
    <w:rsid w:val="00A7679D"/>
    <w:rsid w:val="00A768B3"/>
    <w:rsid w:val="00A76A9C"/>
    <w:rsid w:val="00A7711F"/>
    <w:rsid w:val="00A776AE"/>
    <w:rsid w:val="00A77F32"/>
    <w:rsid w:val="00A77FA5"/>
    <w:rsid w:val="00A80BB7"/>
    <w:rsid w:val="00A80F2B"/>
    <w:rsid w:val="00A81C49"/>
    <w:rsid w:val="00A81FCB"/>
    <w:rsid w:val="00A82061"/>
    <w:rsid w:val="00A82C30"/>
    <w:rsid w:val="00A82DED"/>
    <w:rsid w:val="00A832E1"/>
    <w:rsid w:val="00A8330B"/>
    <w:rsid w:val="00A83673"/>
    <w:rsid w:val="00A84BA1"/>
    <w:rsid w:val="00A851B7"/>
    <w:rsid w:val="00A853FD"/>
    <w:rsid w:val="00A85B04"/>
    <w:rsid w:val="00A85C86"/>
    <w:rsid w:val="00A85D1A"/>
    <w:rsid w:val="00A85E21"/>
    <w:rsid w:val="00A86294"/>
    <w:rsid w:val="00A8713C"/>
    <w:rsid w:val="00A8720C"/>
    <w:rsid w:val="00A87424"/>
    <w:rsid w:val="00A905D9"/>
    <w:rsid w:val="00A90D7A"/>
    <w:rsid w:val="00A9157E"/>
    <w:rsid w:val="00A916C1"/>
    <w:rsid w:val="00A923DC"/>
    <w:rsid w:val="00A924E0"/>
    <w:rsid w:val="00A927DF"/>
    <w:rsid w:val="00A929D6"/>
    <w:rsid w:val="00A93257"/>
    <w:rsid w:val="00A933FF"/>
    <w:rsid w:val="00A93638"/>
    <w:rsid w:val="00A9377B"/>
    <w:rsid w:val="00A9383A"/>
    <w:rsid w:val="00A93CFD"/>
    <w:rsid w:val="00A93F9F"/>
    <w:rsid w:val="00A94190"/>
    <w:rsid w:val="00A9477C"/>
    <w:rsid w:val="00A94C74"/>
    <w:rsid w:val="00A957DC"/>
    <w:rsid w:val="00A95C1B"/>
    <w:rsid w:val="00A95E0C"/>
    <w:rsid w:val="00A95E6B"/>
    <w:rsid w:val="00A96329"/>
    <w:rsid w:val="00A970F3"/>
    <w:rsid w:val="00A97299"/>
    <w:rsid w:val="00A975C1"/>
    <w:rsid w:val="00A9788F"/>
    <w:rsid w:val="00A978FF"/>
    <w:rsid w:val="00AA0237"/>
    <w:rsid w:val="00AA0736"/>
    <w:rsid w:val="00AA0955"/>
    <w:rsid w:val="00AA0CCB"/>
    <w:rsid w:val="00AA0E1F"/>
    <w:rsid w:val="00AA0FAD"/>
    <w:rsid w:val="00AA105C"/>
    <w:rsid w:val="00AA11A0"/>
    <w:rsid w:val="00AA1219"/>
    <w:rsid w:val="00AA141F"/>
    <w:rsid w:val="00AA1816"/>
    <w:rsid w:val="00AA1AB2"/>
    <w:rsid w:val="00AA1C17"/>
    <w:rsid w:val="00AA1DB4"/>
    <w:rsid w:val="00AA2022"/>
    <w:rsid w:val="00AA2065"/>
    <w:rsid w:val="00AA23D5"/>
    <w:rsid w:val="00AA2419"/>
    <w:rsid w:val="00AA26FF"/>
    <w:rsid w:val="00AA32EA"/>
    <w:rsid w:val="00AA3C78"/>
    <w:rsid w:val="00AA3D6A"/>
    <w:rsid w:val="00AA3D80"/>
    <w:rsid w:val="00AA3E3B"/>
    <w:rsid w:val="00AA4423"/>
    <w:rsid w:val="00AA4EE4"/>
    <w:rsid w:val="00AA5067"/>
    <w:rsid w:val="00AA5975"/>
    <w:rsid w:val="00AA5E6F"/>
    <w:rsid w:val="00AA5EAA"/>
    <w:rsid w:val="00AA6308"/>
    <w:rsid w:val="00AA65D4"/>
    <w:rsid w:val="00AA6A00"/>
    <w:rsid w:val="00AA6CDE"/>
    <w:rsid w:val="00AA6D98"/>
    <w:rsid w:val="00AA78D9"/>
    <w:rsid w:val="00AA79FC"/>
    <w:rsid w:val="00AB004B"/>
    <w:rsid w:val="00AB00A1"/>
    <w:rsid w:val="00AB068E"/>
    <w:rsid w:val="00AB0829"/>
    <w:rsid w:val="00AB091A"/>
    <w:rsid w:val="00AB0DA2"/>
    <w:rsid w:val="00AB1A14"/>
    <w:rsid w:val="00AB1EA9"/>
    <w:rsid w:val="00AB218C"/>
    <w:rsid w:val="00AB222B"/>
    <w:rsid w:val="00AB23F9"/>
    <w:rsid w:val="00AB326F"/>
    <w:rsid w:val="00AB3807"/>
    <w:rsid w:val="00AB390A"/>
    <w:rsid w:val="00AB3A19"/>
    <w:rsid w:val="00AB3AFD"/>
    <w:rsid w:val="00AB3C1B"/>
    <w:rsid w:val="00AB3CC6"/>
    <w:rsid w:val="00AB3F82"/>
    <w:rsid w:val="00AB3F95"/>
    <w:rsid w:val="00AB4E11"/>
    <w:rsid w:val="00AB4E22"/>
    <w:rsid w:val="00AB5819"/>
    <w:rsid w:val="00AB5E73"/>
    <w:rsid w:val="00AB7437"/>
    <w:rsid w:val="00AB7CB3"/>
    <w:rsid w:val="00AB7DFC"/>
    <w:rsid w:val="00AB7FBD"/>
    <w:rsid w:val="00AC0544"/>
    <w:rsid w:val="00AC0751"/>
    <w:rsid w:val="00AC0ADA"/>
    <w:rsid w:val="00AC0E14"/>
    <w:rsid w:val="00AC0E92"/>
    <w:rsid w:val="00AC196F"/>
    <w:rsid w:val="00AC1B23"/>
    <w:rsid w:val="00AC1DDA"/>
    <w:rsid w:val="00AC1E13"/>
    <w:rsid w:val="00AC1EA8"/>
    <w:rsid w:val="00AC1ECF"/>
    <w:rsid w:val="00AC2389"/>
    <w:rsid w:val="00AC28AD"/>
    <w:rsid w:val="00AC2AF6"/>
    <w:rsid w:val="00AC2E8A"/>
    <w:rsid w:val="00AC30FD"/>
    <w:rsid w:val="00AC4095"/>
    <w:rsid w:val="00AC430D"/>
    <w:rsid w:val="00AC43E0"/>
    <w:rsid w:val="00AC48C7"/>
    <w:rsid w:val="00AC4F53"/>
    <w:rsid w:val="00AC50D0"/>
    <w:rsid w:val="00AC60A7"/>
    <w:rsid w:val="00AC6663"/>
    <w:rsid w:val="00AC6A26"/>
    <w:rsid w:val="00AC6DB3"/>
    <w:rsid w:val="00AC7119"/>
    <w:rsid w:val="00AC7140"/>
    <w:rsid w:val="00AD058E"/>
    <w:rsid w:val="00AD08EF"/>
    <w:rsid w:val="00AD0BD0"/>
    <w:rsid w:val="00AD1A89"/>
    <w:rsid w:val="00AD1BBB"/>
    <w:rsid w:val="00AD1CC4"/>
    <w:rsid w:val="00AD1F42"/>
    <w:rsid w:val="00AD20B3"/>
    <w:rsid w:val="00AD2721"/>
    <w:rsid w:val="00AD38C3"/>
    <w:rsid w:val="00AD4173"/>
    <w:rsid w:val="00AD462A"/>
    <w:rsid w:val="00AD4715"/>
    <w:rsid w:val="00AD49CD"/>
    <w:rsid w:val="00AD4DA4"/>
    <w:rsid w:val="00AD5602"/>
    <w:rsid w:val="00AD5DBD"/>
    <w:rsid w:val="00AD64CD"/>
    <w:rsid w:val="00AD6B61"/>
    <w:rsid w:val="00AD6D3C"/>
    <w:rsid w:val="00AD6E0E"/>
    <w:rsid w:val="00AD7606"/>
    <w:rsid w:val="00AD795C"/>
    <w:rsid w:val="00AD7A5E"/>
    <w:rsid w:val="00AD7CEE"/>
    <w:rsid w:val="00AE0108"/>
    <w:rsid w:val="00AE0F5D"/>
    <w:rsid w:val="00AE1018"/>
    <w:rsid w:val="00AE17F0"/>
    <w:rsid w:val="00AE2039"/>
    <w:rsid w:val="00AE24CA"/>
    <w:rsid w:val="00AE2522"/>
    <w:rsid w:val="00AE2587"/>
    <w:rsid w:val="00AE27A8"/>
    <w:rsid w:val="00AE27D9"/>
    <w:rsid w:val="00AE2A74"/>
    <w:rsid w:val="00AE2CD1"/>
    <w:rsid w:val="00AE32C2"/>
    <w:rsid w:val="00AE34F2"/>
    <w:rsid w:val="00AE3E52"/>
    <w:rsid w:val="00AE4962"/>
    <w:rsid w:val="00AE5111"/>
    <w:rsid w:val="00AE58AC"/>
    <w:rsid w:val="00AE58C8"/>
    <w:rsid w:val="00AE59C4"/>
    <w:rsid w:val="00AE5DEC"/>
    <w:rsid w:val="00AE6C8A"/>
    <w:rsid w:val="00AE7B80"/>
    <w:rsid w:val="00AE7DED"/>
    <w:rsid w:val="00AF0285"/>
    <w:rsid w:val="00AF08F7"/>
    <w:rsid w:val="00AF0917"/>
    <w:rsid w:val="00AF0AA9"/>
    <w:rsid w:val="00AF0C5B"/>
    <w:rsid w:val="00AF0E10"/>
    <w:rsid w:val="00AF1133"/>
    <w:rsid w:val="00AF192D"/>
    <w:rsid w:val="00AF1A98"/>
    <w:rsid w:val="00AF230A"/>
    <w:rsid w:val="00AF26A2"/>
    <w:rsid w:val="00AF2E5F"/>
    <w:rsid w:val="00AF30D7"/>
    <w:rsid w:val="00AF31C1"/>
    <w:rsid w:val="00AF32A5"/>
    <w:rsid w:val="00AF37B7"/>
    <w:rsid w:val="00AF4664"/>
    <w:rsid w:val="00AF5205"/>
    <w:rsid w:val="00AF6713"/>
    <w:rsid w:val="00AF691B"/>
    <w:rsid w:val="00AF6CFA"/>
    <w:rsid w:val="00AF6DA2"/>
    <w:rsid w:val="00AF7833"/>
    <w:rsid w:val="00AF7C00"/>
    <w:rsid w:val="00AF7CC1"/>
    <w:rsid w:val="00AF7FEA"/>
    <w:rsid w:val="00B0001F"/>
    <w:rsid w:val="00B00BC1"/>
    <w:rsid w:val="00B00DC4"/>
    <w:rsid w:val="00B015A4"/>
    <w:rsid w:val="00B01D5F"/>
    <w:rsid w:val="00B024A7"/>
    <w:rsid w:val="00B02EFA"/>
    <w:rsid w:val="00B02F09"/>
    <w:rsid w:val="00B02F7C"/>
    <w:rsid w:val="00B02FCC"/>
    <w:rsid w:val="00B031B0"/>
    <w:rsid w:val="00B033A5"/>
    <w:rsid w:val="00B035FA"/>
    <w:rsid w:val="00B0397E"/>
    <w:rsid w:val="00B03B46"/>
    <w:rsid w:val="00B03E48"/>
    <w:rsid w:val="00B03E8A"/>
    <w:rsid w:val="00B04173"/>
    <w:rsid w:val="00B04390"/>
    <w:rsid w:val="00B04CAE"/>
    <w:rsid w:val="00B051E2"/>
    <w:rsid w:val="00B0660E"/>
    <w:rsid w:val="00B067C2"/>
    <w:rsid w:val="00B0719E"/>
    <w:rsid w:val="00B079E7"/>
    <w:rsid w:val="00B10A4D"/>
    <w:rsid w:val="00B10BAF"/>
    <w:rsid w:val="00B11567"/>
    <w:rsid w:val="00B11B53"/>
    <w:rsid w:val="00B11D45"/>
    <w:rsid w:val="00B12C33"/>
    <w:rsid w:val="00B12E39"/>
    <w:rsid w:val="00B1362C"/>
    <w:rsid w:val="00B13F61"/>
    <w:rsid w:val="00B1479F"/>
    <w:rsid w:val="00B147C4"/>
    <w:rsid w:val="00B14980"/>
    <w:rsid w:val="00B14C17"/>
    <w:rsid w:val="00B150A4"/>
    <w:rsid w:val="00B151B8"/>
    <w:rsid w:val="00B152D0"/>
    <w:rsid w:val="00B15378"/>
    <w:rsid w:val="00B154AC"/>
    <w:rsid w:val="00B1553D"/>
    <w:rsid w:val="00B1570C"/>
    <w:rsid w:val="00B163D0"/>
    <w:rsid w:val="00B165C0"/>
    <w:rsid w:val="00B16A52"/>
    <w:rsid w:val="00B16FCA"/>
    <w:rsid w:val="00B17A2C"/>
    <w:rsid w:val="00B17B6E"/>
    <w:rsid w:val="00B20003"/>
    <w:rsid w:val="00B202C8"/>
    <w:rsid w:val="00B205B2"/>
    <w:rsid w:val="00B20AAE"/>
    <w:rsid w:val="00B21073"/>
    <w:rsid w:val="00B211BE"/>
    <w:rsid w:val="00B21218"/>
    <w:rsid w:val="00B221CA"/>
    <w:rsid w:val="00B22746"/>
    <w:rsid w:val="00B22863"/>
    <w:rsid w:val="00B228D6"/>
    <w:rsid w:val="00B22ABB"/>
    <w:rsid w:val="00B22F92"/>
    <w:rsid w:val="00B23270"/>
    <w:rsid w:val="00B23B62"/>
    <w:rsid w:val="00B23EDD"/>
    <w:rsid w:val="00B242D6"/>
    <w:rsid w:val="00B2500B"/>
    <w:rsid w:val="00B2503E"/>
    <w:rsid w:val="00B25302"/>
    <w:rsid w:val="00B25492"/>
    <w:rsid w:val="00B256C1"/>
    <w:rsid w:val="00B26160"/>
    <w:rsid w:val="00B26A0B"/>
    <w:rsid w:val="00B26C6E"/>
    <w:rsid w:val="00B2730E"/>
    <w:rsid w:val="00B27E31"/>
    <w:rsid w:val="00B27F24"/>
    <w:rsid w:val="00B30611"/>
    <w:rsid w:val="00B31128"/>
    <w:rsid w:val="00B31520"/>
    <w:rsid w:val="00B3201D"/>
    <w:rsid w:val="00B3202B"/>
    <w:rsid w:val="00B320B0"/>
    <w:rsid w:val="00B322D2"/>
    <w:rsid w:val="00B3277F"/>
    <w:rsid w:val="00B32995"/>
    <w:rsid w:val="00B33092"/>
    <w:rsid w:val="00B3359A"/>
    <w:rsid w:val="00B3395D"/>
    <w:rsid w:val="00B33A32"/>
    <w:rsid w:val="00B33E0C"/>
    <w:rsid w:val="00B3416B"/>
    <w:rsid w:val="00B34A5C"/>
    <w:rsid w:val="00B34D30"/>
    <w:rsid w:val="00B352B9"/>
    <w:rsid w:val="00B35570"/>
    <w:rsid w:val="00B35AFB"/>
    <w:rsid w:val="00B3630A"/>
    <w:rsid w:val="00B36B34"/>
    <w:rsid w:val="00B373B3"/>
    <w:rsid w:val="00B37484"/>
    <w:rsid w:val="00B4015B"/>
    <w:rsid w:val="00B401DA"/>
    <w:rsid w:val="00B4088E"/>
    <w:rsid w:val="00B409E4"/>
    <w:rsid w:val="00B42275"/>
    <w:rsid w:val="00B422B5"/>
    <w:rsid w:val="00B42F9B"/>
    <w:rsid w:val="00B4390A"/>
    <w:rsid w:val="00B44618"/>
    <w:rsid w:val="00B447E5"/>
    <w:rsid w:val="00B449A8"/>
    <w:rsid w:val="00B45E53"/>
    <w:rsid w:val="00B46101"/>
    <w:rsid w:val="00B46526"/>
    <w:rsid w:val="00B46552"/>
    <w:rsid w:val="00B4685C"/>
    <w:rsid w:val="00B47723"/>
    <w:rsid w:val="00B500D9"/>
    <w:rsid w:val="00B50901"/>
    <w:rsid w:val="00B50A3A"/>
    <w:rsid w:val="00B50BCF"/>
    <w:rsid w:val="00B50E0D"/>
    <w:rsid w:val="00B50EA5"/>
    <w:rsid w:val="00B51085"/>
    <w:rsid w:val="00B51429"/>
    <w:rsid w:val="00B518CD"/>
    <w:rsid w:val="00B52BA4"/>
    <w:rsid w:val="00B532C9"/>
    <w:rsid w:val="00B53597"/>
    <w:rsid w:val="00B53BBC"/>
    <w:rsid w:val="00B542EF"/>
    <w:rsid w:val="00B54B4A"/>
    <w:rsid w:val="00B54E4A"/>
    <w:rsid w:val="00B5516B"/>
    <w:rsid w:val="00B554F4"/>
    <w:rsid w:val="00B55854"/>
    <w:rsid w:val="00B55863"/>
    <w:rsid w:val="00B55E1D"/>
    <w:rsid w:val="00B55E30"/>
    <w:rsid w:val="00B55F1A"/>
    <w:rsid w:val="00B5697B"/>
    <w:rsid w:val="00B569D5"/>
    <w:rsid w:val="00B57864"/>
    <w:rsid w:val="00B57A50"/>
    <w:rsid w:val="00B57B75"/>
    <w:rsid w:val="00B600C1"/>
    <w:rsid w:val="00B60B0E"/>
    <w:rsid w:val="00B60D15"/>
    <w:rsid w:val="00B60D37"/>
    <w:rsid w:val="00B60DAF"/>
    <w:rsid w:val="00B62262"/>
    <w:rsid w:val="00B628C3"/>
    <w:rsid w:val="00B62A1F"/>
    <w:rsid w:val="00B62E2A"/>
    <w:rsid w:val="00B632D3"/>
    <w:rsid w:val="00B635A2"/>
    <w:rsid w:val="00B63DFF"/>
    <w:rsid w:val="00B64379"/>
    <w:rsid w:val="00B64395"/>
    <w:rsid w:val="00B65E2B"/>
    <w:rsid w:val="00B65EF9"/>
    <w:rsid w:val="00B670A3"/>
    <w:rsid w:val="00B67A9E"/>
    <w:rsid w:val="00B7006E"/>
    <w:rsid w:val="00B701BE"/>
    <w:rsid w:val="00B7086A"/>
    <w:rsid w:val="00B7115D"/>
    <w:rsid w:val="00B71328"/>
    <w:rsid w:val="00B71429"/>
    <w:rsid w:val="00B714E0"/>
    <w:rsid w:val="00B7197B"/>
    <w:rsid w:val="00B71A1A"/>
    <w:rsid w:val="00B72130"/>
    <w:rsid w:val="00B72265"/>
    <w:rsid w:val="00B72304"/>
    <w:rsid w:val="00B72678"/>
    <w:rsid w:val="00B72B53"/>
    <w:rsid w:val="00B72D4C"/>
    <w:rsid w:val="00B73187"/>
    <w:rsid w:val="00B7346E"/>
    <w:rsid w:val="00B73B06"/>
    <w:rsid w:val="00B73BCE"/>
    <w:rsid w:val="00B74009"/>
    <w:rsid w:val="00B740BA"/>
    <w:rsid w:val="00B74183"/>
    <w:rsid w:val="00B744A6"/>
    <w:rsid w:val="00B757C5"/>
    <w:rsid w:val="00B75B9F"/>
    <w:rsid w:val="00B76417"/>
    <w:rsid w:val="00B76765"/>
    <w:rsid w:val="00B774E2"/>
    <w:rsid w:val="00B774E4"/>
    <w:rsid w:val="00B77696"/>
    <w:rsid w:val="00B77DBA"/>
    <w:rsid w:val="00B8009C"/>
    <w:rsid w:val="00B8060F"/>
    <w:rsid w:val="00B807E0"/>
    <w:rsid w:val="00B80C1C"/>
    <w:rsid w:val="00B80C67"/>
    <w:rsid w:val="00B80E7A"/>
    <w:rsid w:val="00B80F69"/>
    <w:rsid w:val="00B815A3"/>
    <w:rsid w:val="00B8184C"/>
    <w:rsid w:val="00B82570"/>
    <w:rsid w:val="00B83829"/>
    <w:rsid w:val="00B83CC4"/>
    <w:rsid w:val="00B855F2"/>
    <w:rsid w:val="00B85847"/>
    <w:rsid w:val="00B85AC6"/>
    <w:rsid w:val="00B8698F"/>
    <w:rsid w:val="00B86B80"/>
    <w:rsid w:val="00B90723"/>
    <w:rsid w:val="00B907D7"/>
    <w:rsid w:val="00B90987"/>
    <w:rsid w:val="00B90A7B"/>
    <w:rsid w:val="00B90E2C"/>
    <w:rsid w:val="00B91345"/>
    <w:rsid w:val="00B9163C"/>
    <w:rsid w:val="00B9163E"/>
    <w:rsid w:val="00B91975"/>
    <w:rsid w:val="00B91B51"/>
    <w:rsid w:val="00B91DEC"/>
    <w:rsid w:val="00B9235B"/>
    <w:rsid w:val="00B92472"/>
    <w:rsid w:val="00B924F2"/>
    <w:rsid w:val="00B92AF1"/>
    <w:rsid w:val="00B92E14"/>
    <w:rsid w:val="00B93176"/>
    <w:rsid w:val="00B932EF"/>
    <w:rsid w:val="00B940D2"/>
    <w:rsid w:val="00B945AE"/>
    <w:rsid w:val="00B9566F"/>
    <w:rsid w:val="00B95751"/>
    <w:rsid w:val="00B959E5"/>
    <w:rsid w:val="00B96039"/>
    <w:rsid w:val="00B96710"/>
    <w:rsid w:val="00B96B52"/>
    <w:rsid w:val="00B9749B"/>
    <w:rsid w:val="00B978F1"/>
    <w:rsid w:val="00BA006F"/>
    <w:rsid w:val="00BA02A3"/>
    <w:rsid w:val="00BA074D"/>
    <w:rsid w:val="00BA0B65"/>
    <w:rsid w:val="00BA0B8A"/>
    <w:rsid w:val="00BA0D63"/>
    <w:rsid w:val="00BA0EF0"/>
    <w:rsid w:val="00BA137B"/>
    <w:rsid w:val="00BA156D"/>
    <w:rsid w:val="00BA18EC"/>
    <w:rsid w:val="00BA19BD"/>
    <w:rsid w:val="00BA1B6B"/>
    <w:rsid w:val="00BA262B"/>
    <w:rsid w:val="00BA311C"/>
    <w:rsid w:val="00BA3737"/>
    <w:rsid w:val="00BA3E5B"/>
    <w:rsid w:val="00BA4973"/>
    <w:rsid w:val="00BA5395"/>
    <w:rsid w:val="00BA5DA8"/>
    <w:rsid w:val="00BA6610"/>
    <w:rsid w:val="00BA66B5"/>
    <w:rsid w:val="00BA6709"/>
    <w:rsid w:val="00BA698B"/>
    <w:rsid w:val="00BA7205"/>
    <w:rsid w:val="00BB0222"/>
    <w:rsid w:val="00BB026C"/>
    <w:rsid w:val="00BB0372"/>
    <w:rsid w:val="00BB12DD"/>
    <w:rsid w:val="00BB25B6"/>
    <w:rsid w:val="00BB27C9"/>
    <w:rsid w:val="00BB2B6F"/>
    <w:rsid w:val="00BB2E30"/>
    <w:rsid w:val="00BB2E47"/>
    <w:rsid w:val="00BB327C"/>
    <w:rsid w:val="00BB35F5"/>
    <w:rsid w:val="00BB3C32"/>
    <w:rsid w:val="00BB3DB7"/>
    <w:rsid w:val="00BB3F15"/>
    <w:rsid w:val="00BB4DFE"/>
    <w:rsid w:val="00BB56E2"/>
    <w:rsid w:val="00BB5788"/>
    <w:rsid w:val="00BB5A7B"/>
    <w:rsid w:val="00BB5C86"/>
    <w:rsid w:val="00BB5DED"/>
    <w:rsid w:val="00BB6413"/>
    <w:rsid w:val="00BB67EF"/>
    <w:rsid w:val="00BB6C3B"/>
    <w:rsid w:val="00BB6F7A"/>
    <w:rsid w:val="00BB7104"/>
    <w:rsid w:val="00BB7570"/>
    <w:rsid w:val="00BB75BA"/>
    <w:rsid w:val="00BB79A4"/>
    <w:rsid w:val="00BB7A7C"/>
    <w:rsid w:val="00BB7BF5"/>
    <w:rsid w:val="00BB7E4E"/>
    <w:rsid w:val="00BB7E9B"/>
    <w:rsid w:val="00BC015C"/>
    <w:rsid w:val="00BC0560"/>
    <w:rsid w:val="00BC075B"/>
    <w:rsid w:val="00BC07A4"/>
    <w:rsid w:val="00BC0E6A"/>
    <w:rsid w:val="00BC0F37"/>
    <w:rsid w:val="00BC11F3"/>
    <w:rsid w:val="00BC127F"/>
    <w:rsid w:val="00BC1CD3"/>
    <w:rsid w:val="00BC1D21"/>
    <w:rsid w:val="00BC1E94"/>
    <w:rsid w:val="00BC2AC8"/>
    <w:rsid w:val="00BC37D8"/>
    <w:rsid w:val="00BC4487"/>
    <w:rsid w:val="00BC455C"/>
    <w:rsid w:val="00BC46AD"/>
    <w:rsid w:val="00BC5898"/>
    <w:rsid w:val="00BC5C88"/>
    <w:rsid w:val="00BC5D53"/>
    <w:rsid w:val="00BC60B5"/>
    <w:rsid w:val="00BC6227"/>
    <w:rsid w:val="00BC65EE"/>
    <w:rsid w:val="00BC6EAF"/>
    <w:rsid w:val="00BC6F57"/>
    <w:rsid w:val="00BC7384"/>
    <w:rsid w:val="00BC7783"/>
    <w:rsid w:val="00BC7B7D"/>
    <w:rsid w:val="00BC7BEE"/>
    <w:rsid w:val="00BC7CA7"/>
    <w:rsid w:val="00BD0F77"/>
    <w:rsid w:val="00BD134D"/>
    <w:rsid w:val="00BD1C38"/>
    <w:rsid w:val="00BD3206"/>
    <w:rsid w:val="00BD408D"/>
    <w:rsid w:val="00BD40DE"/>
    <w:rsid w:val="00BD419F"/>
    <w:rsid w:val="00BD4444"/>
    <w:rsid w:val="00BD4D17"/>
    <w:rsid w:val="00BD4FD9"/>
    <w:rsid w:val="00BD4FF6"/>
    <w:rsid w:val="00BD5199"/>
    <w:rsid w:val="00BD53B2"/>
    <w:rsid w:val="00BD56EC"/>
    <w:rsid w:val="00BD5710"/>
    <w:rsid w:val="00BD576A"/>
    <w:rsid w:val="00BD5A00"/>
    <w:rsid w:val="00BD5C8F"/>
    <w:rsid w:val="00BD5C9C"/>
    <w:rsid w:val="00BD6715"/>
    <w:rsid w:val="00BD68D0"/>
    <w:rsid w:val="00BD6968"/>
    <w:rsid w:val="00BD6A3A"/>
    <w:rsid w:val="00BD6DCC"/>
    <w:rsid w:val="00BD782C"/>
    <w:rsid w:val="00BE06D4"/>
    <w:rsid w:val="00BE06E3"/>
    <w:rsid w:val="00BE1137"/>
    <w:rsid w:val="00BE190E"/>
    <w:rsid w:val="00BE1FC0"/>
    <w:rsid w:val="00BE2057"/>
    <w:rsid w:val="00BE2068"/>
    <w:rsid w:val="00BE256A"/>
    <w:rsid w:val="00BE257B"/>
    <w:rsid w:val="00BE2ADF"/>
    <w:rsid w:val="00BE3AAD"/>
    <w:rsid w:val="00BE3BCD"/>
    <w:rsid w:val="00BE3CF3"/>
    <w:rsid w:val="00BE3D49"/>
    <w:rsid w:val="00BE47C0"/>
    <w:rsid w:val="00BE47F7"/>
    <w:rsid w:val="00BE4F4A"/>
    <w:rsid w:val="00BE52AA"/>
    <w:rsid w:val="00BE5CBF"/>
    <w:rsid w:val="00BE620C"/>
    <w:rsid w:val="00BE643F"/>
    <w:rsid w:val="00BE64F5"/>
    <w:rsid w:val="00BE6595"/>
    <w:rsid w:val="00BE666F"/>
    <w:rsid w:val="00BE6933"/>
    <w:rsid w:val="00BE6E5F"/>
    <w:rsid w:val="00BE7139"/>
    <w:rsid w:val="00BE74AD"/>
    <w:rsid w:val="00BE7CA8"/>
    <w:rsid w:val="00BF0075"/>
    <w:rsid w:val="00BF02DB"/>
    <w:rsid w:val="00BF0942"/>
    <w:rsid w:val="00BF0BE2"/>
    <w:rsid w:val="00BF0E8D"/>
    <w:rsid w:val="00BF1D52"/>
    <w:rsid w:val="00BF209B"/>
    <w:rsid w:val="00BF226C"/>
    <w:rsid w:val="00BF2399"/>
    <w:rsid w:val="00BF266E"/>
    <w:rsid w:val="00BF2772"/>
    <w:rsid w:val="00BF2962"/>
    <w:rsid w:val="00BF2C55"/>
    <w:rsid w:val="00BF2CBA"/>
    <w:rsid w:val="00BF2DA5"/>
    <w:rsid w:val="00BF344D"/>
    <w:rsid w:val="00BF3775"/>
    <w:rsid w:val="00BF48D3"/>
    <w:rsid w:val="00BF598B"/>
    <w:rsid w:val="00BF611A"/>
    <w:rsid w:val="00BF6BFF"/>
    <w:rsid w:val="00BF6ECF"/>
    <w:rsid w:val="00BF7132"/>
    <w:rsid w:val="00BF7304"/>
    <w:rsid w:val="00BF76F6"/>
    <w:rsid w:val="00BF7A4D"/>
    <w:rsid w:val="00BF7C7E"/>
    <w:rsid w:val="00BF7DFA"/>
    <w:rsid w:val="00C002FB"/>
    <w:rsid w:val="00C007A9"/>
    <w:rsid w:val="00C01130"/>
    <w:rsid w:val="00C014C0"/>
    <w:rsid w:val="00C01901"/>
    <w:rsid w:val="00C02C81"/>
    <w:rsid w:val="00C03445"/>
    <w:rsid w:val="00C03542"/>
    <w:rsid w:val="00C04271"/>
    <w:rsid w:val="00C043FD"/>
    <w:rsid w:val="00C04611"/>
    <w:rsid w:val="00C04D58"/>
    <w:rsid w:val="00C063DE"/>
    <w:rsid w:val="00C06A5F"/>
    <w:rsid w:val="00C06D2A"/>
    <w:rsid w:val="00C0758D"/>
    <w:rsid w:val="00C07D3C"/>
    <w:rsid w:val="00C07F69"/>
    <w:rsid w:val="00C1016B"/>
    <w:rsid w:val="00C10466"/>
    <w:rsid w:val="00C104FC"/>
    <w:rsid w:val="00C10686"/>
    <w:rsid w:val="00C108A3"/>
    <w:rsid w:val="00C10F3C"/>
    <w:rsid w:val="00C11078"/>
    <w:rsid w:val="00C110BB"/>
    <w:rsid w:val="00C1139F"/>
    <w:rsid w:val="00C11D10"/>
    <w:rsid w:val="00C13211"/>
    <w:rsid w:val="00C1339F"/>
    <w:rsid w:val="00C1354E"/>
    <w:rsid w:val="00C1364A"/>
    <w:rsid w:val="00C14048"/>
    <w:rsid w:val="00C14081"/>
    <w:rsid w:val="00C14857"/>
    <w:rsid w:val="00C14BEB"/>
    <w:rsid w:val="00C14E43"/>
    <w:rsid w:val="00C15350"/>
    <w:rsid w:val="00C15723"/>
    <w:rsid w:val="00C15F10"/>
    <w:rsid w:val="00C16155"/>
    <w:rsid w:val="00C16245"/>
    <w:rsid w:val="00C1651B"/>
    <w:rsid w:val="00C1681B"/>
    <w:rsid w:val="00C16888"/>
    <w:rsid w:val="00C17027"/>
    <w:rsid w:val="00C174C0"/>
    <w:rsid w:val="00C17572"/>
    <w:rsid w:val="00C17F6F"/>
    <w:rsid w:val="00C20DFC"/>
    <w:rsid w:val="00C20FB8"/>
    <w:rsid w:val="00C21595"/>
    <w:rsid w:val="00C21629"/>
    <w:rsid w:val="00C21916"/>
    <w:rsid w:val="00C21D80"/>
    <w:rsid w:val="00C223CF"/>
    <w:rsid w:val="00C2255B"/>
    <w:rsid w:val="00C22CE8"/>
    <w:rsid w:val="00C22D92"/>
    <w:rsid w:val="00C22FBF"/>
    <w:rsid w:val="00C24327"/>
    <w:rsid w:val="00C2476B"/>
    <w:rsid w:val="00C250BD"/>
    <w:rsid w:val="00C257A2"/>
    <w:rsid w:val="00C2582C"/>
    <w:rsid w:val="00C25B83"/>
    <w:rsid w:val="00C25BB7"/>
    <w:rsid w:val="00C25E14"/>
    <w:rsid w:val="00C264DC"/>
    <w:rsid w:val="00C2684E"/>
    <w:rsid w:val="00C26B16"/>
    <w:rsid w:val="00C26CAD"/>
    <w:rsid w:val="00C277B1"/>
    <w:rsid w:val="00C27872"/>
    <w:rsid w:val="00C27C39"/>
    <w:rsid w:val="00C27DB2"/>
    <w:rsid w:val="00C31E61"/>
    <w:rsid w:val="00C31FE3"/>
    <w:rsid w:val="00C32459"/>
    <w:rsid w:val="00C326D0"/>
    <w:rsid w:val="00C32827"/>
    <w:rsid w:val="00C32938"/>
    <w:rsid w:val="00C3307F"/>
    <w:rsid w:val="00C33DD6"/>
    <w:rsid w:val="00C33FD1"/>
    <w:rsid w:val="00C342AF"/>
    <w:rsid w:val="00C343CD"/>
    <w:rsid w:val="00C344F0"/>
    <w:rsid w:val="00C34BCF"/>
    <w:rsid w:val="00C3625C"/>
    <w:rsid w:val="00C3676D"/>
    <w:rsid w:val="00C3699C"/>
    <w:rsid w:val="00C36A1A"/>
    <w:rsid w:val="00C36B34"/>
    <w:rsid w:val="00C374D0"/>
    <w:rsid w:val="00C37821"/>
    <w:rsid w:val="00C37BED"/>
    <w:rsid w:val="00C40025"/>
    <w:rsid w:val="00C401CA"/>
    <w:rsid w:val="00C404F6"/>
    <w:rsid w:val="00C408CE"/>
    <w:rsid w:val="00C408DD"/>
    <w:rsid w:val="00C40BC2"/>
    <w:rsid w:val="00C40BFD"/>
    <w:rsid w:val="00C40D0C"/>
    <w:rsid w:val="00C41254"/>
    <w:rsid w:val="00C41717"/>
    <w:rsid w:val="00C4171D"/>
    <w:rsid w:val="00C41822"/>
    <w:rsid w:val="00C41C52"/>
    <w:rsid w:val="00C41DE6"/>
    <w:rsid w:val="00C42087"/>
    <w:rsid w:val="00C4222D"/>
    <w:rsid w:val="00C424A4"/>
    <w:rsid w:val="00C43699"/>
    <w:rsid w:val="00C43D93"/>
    <w:rsid w:val="00C43E31"/>
    <w:rsid w:val="00C4527B"/>
    <w:rsid w:val="00C45F48"/>
    <w:rsid w:val="00C45FCB"/>
    <w:rsid w:val="00C46BBA"/>
    <w:rsid w:val="00C46BBE"/>
    <w:rsid w:val="00C46C0E"/>
    <w:rsid w:val="00C47181"/>
    <w:rsid w:val="00C4765F"/>
    <w:rsid w:val="00C50A04"/>
    <w:rsid w:val="00C50A45"/>
    <w:rsid w:val="00C50C47"/>
    <w:rsid w:val="00C50F80"/>
    <w:rsid w:val="00C5111A"/>
    <w:rsid w:val="00C51438"/>
    <w:rsid w:val="00C517DD"/>
    <w:rsid w:val="00C51ADB"/>
    <w:rsid w:val="00C520E7"/>
    <w:rsid w:val="00C52844"/>
    <w:rsid w:val="00C52B61"/>
    <w:rsid w:val="00C52F06"/>
    <w:rsid w:val="00C52FAA"/>
    <w:rsid w:val="00C52FF5"/>
    <w:rsid w:val="00C5300B"/>
    <w:rsid w:val="00C5336B"/>
    <w:rsid w:val="00C53CDC"/>
    <w:rsid w:val="00C53E20"/>
    <w:rsid w:val="00C53F45"/>
    <w:rsid w:val="00C543DC"/>
    <w:rsid w:val="00C543E0"/>
    <w:rsid w:val="00C54A29"/>
    <w:rsid w:val="00C54E87"/>
    <w:rsid w:val="00C554B3"/>
    <w:rsid w:val="00C55714"/>
    <w:rsid w:val="00C5587A"/>
    <w:rsid w:val="00C56888"/>
    <w:rsid w:val="00C56A2B"/>
    <w:rsid w:val="00C56B6D"/>
    <w:rsid w:val="00C56E72"/>
    <w:rsid w:val="00C56EA8"/>
    <w:rsid w:val="00C56FA9"/>
    <w:rsid w:val="00C57656"/>
    <w:rsid w:val="00C57EF5"/>
    <w:rsid w:val="00C600FB"/>
    <w:rsid w:val="00C60495"/>
    <w:rsid w:val="00C61353"/>
    <w:rsid w:val="00C616DD"/>
    <w:rsid w:val="00C6170D"/>
    <w:rsid w:val="00C61C6D"/>
    <w:rsid w:val="00C61D94"/>
    <w:rsid w:val="00C6262D"/>
    <w:rsid w:val="00C62E22"/>
    <w:rsid w:val="00C62EE1"/>
    <w:rsid w:val="00C63273"/>
    <w:rsid w:val="00C633F8"/>
    <w:rsid w:val="00C63AF6"/>
    <w:rsid w:val="00C63CF3"/>
    <w:rsid w:val="00C63DE4"/>
    <w:rsid w:val="00C64056"/>
    <w:rsid w:val="00C6405B"/>
    <w:rsid w:val="00C64376"/>
    <w:rsid w:val="00C6458B"/>
    <w:rsid w:val="00C646F2"/>
    <w:rsid w:val="00C64A94"/>
    <w:rsid w:val="00C65251"/>
    <w:rsid w:val="00C655EA"/>
    <w:rsid w:val="00C656A2"/>
    <w:rsid w:val="00C65A3D"/>
    <w:rsid w:val="00C65F8E"/>
    <w:rsid w:val="00C66215"/>
    <w:rsid w:val="00C665EB"/>
    <w:rsid w:val="00C66AEB"/>
    <w:rsid w:val="00C66C3D"/>
    <w:rsid w:val="00C66E98"/>
    <w:rsid w:val="00C674E0"/>
    <w:rsid w:val="00C67571"/>
    <w:rsid w:val="00C679C3"/>
    <w:rsid w:val="00C70299"/>
    <w:rsid w:val="00C702A3"/>
    <w:rsid w:val="00C70311"/>
    <w:rsid w:val="00C70436"/>
    <w:rsid w:val="00C712EE"/>
    <w:rsid w:val="00C71A03"/>
    <w:rsid w:val="00C71BD8"/>
    <w:rsid w:val="00C71EB4"/>
    <w:rsid w:val="00C7224A"/>
    <w:rsid w:val="00C72B9C"/>
    <w:rsid w:val="00C72DF7"/>
    <w:rsid w:val="00C72F0A"/>
    <w:rsid w:val="00C730EE"/>
    <w:rsid w:val="00C73416"/>
    <w:rsid w:val="00C7350A"/>
    <w:rsid w:val="00C739D6"/>
    <w:rsid w:val="00C74217"/>
    <w:rsid w:val="00C7430F"/>
    <w:rsid w:val="00C74C3E"/>
    <w:rsid w:val="00C75397"/>
    <w:rsid w:val="00C75FD2"/>
    <w:rsid w:val="00C766F4"/>
    <w:rsid w:val="00C77F31"/>
    <w:rsid w:val="00C80175"/>
    <w:rsid w:val="00C80AAB"/>
    <w:rsid w:val="00C80C8B"/>
    <w:rsid w:val="00C8131B"/>
    <w:rsid w:val="00C815C8"/>
    <w:rsid w:val="00C8199B"/>
    <w:rsid w:val="00C81C20"/>
    <w:rsid w:val="00C81D0B"/>
    <w:rsid w:val="00C82B27"/>
    <w:rsid w:val="00C82CE3"/>
    <w:rsid w:val="00C831D9"/>
    <w:rsid w:val="00C83391"/>
    <w:rsid w:val="00C83671"/>
    <w:rsid w:val="00C83744"/>
    <w:rsid w:val="00C838FB"/>
    <w:rsid w:val="00C83EF9"/>
    <w:rsid w:val="00C845F6"/>
    <w:rsid w:val="00C86053"/>
    <w:rsid w:val="00C86146"/>
    <w:rsid w:val="00C86E01"/>
    <w:rsid w:val="00C87730"/>
    <w:rsid w:val="00C8773E"/>
    <w:rsid w:val="00C9014C"/>
    <w:rsid w:val="00C9083F"/>
    <w:rsid w:val="00C90A34"/>
    <w:rsid w:val="00C90C50"/>
    <w:rsid w:val="00C90FF5"/>
    <w:rsid w:val="00C91C74"/>
    <w:rsid w:val="00C920E6"/>
    <w:rsid w:val="00C9210C"/>
    <w:rsid w:val="00C929A6"/>
    <w:rsid w:val="00C92B4A"/>
    <w:rsid w:val="00C92E8E"/>
    <w:rsid w:val="00C92ED6"/>
    <w:rsid w:val="00C93215"/>
    <w:rsid w:val="00C936DF"/>
    <w:rsid w:val="00C9376E"/>
    <w:rsid w:val="00C93A1C"/>
    <w:rsid w:val="00C94ADD"/>
    <w:rsid w:val="00C94F09"/>
    <w:rsid w:val="00C94F66"/>
    <w:rsid w:val="00C9552B"/>
    <w:rsid w:val="00C95770"/>
    <w:rsid w:val="00C95B74"/>
    <w:rsid w:val="00C96000"/>
    <w:rsid w:val="00C96035"/>
    <w:rsid w:val="00C96099"/>
    <w:rsid w:val="00C960A5"/>
    <w:rsid w:val="00C96D29"/>
    <w:rsid w:val="00C97539"/>
    <w:rsid w:val="00C97EEF"/>
    <w:rsid w:val="00CA0114"/>
    <w:rsid w:val="00CA148E"/>
    <w:rsid w:val="00CA1A95"/>
    <w:rsid w:val="00CA1C15"/>
    <w:rsid w:val="00CA2395"/>
    <w:rsid w:val="00CA29CB"/>
    <w:rsid w:val="00CA2CDF"/>
    <w:rsid w:val="00CA3042"/>
    <w:rsid w:val="00CA37CC"/>
    <w:rsid w:val="00CA38DD"/>
    <w:rsid w:val="00CA3AEB"/>
    <w:rsid w:val="00CA3B44"/>
    <w:rsid w:val="00CA4071"/>
    <w:rsid w:val="00CA4079"/>
    <w:rsid w:val="00CA4509"/>
    <w:rsid w:val="00CA5D9B"/>
    <w:rsid w:val="00CA5E7C"/>
    <w:rsid w:val="00CA5E7D"/>
    <w:rsid w:val="00CA6059"/>
    <w:rsid w:val="00CA6B17"/>
    <w:rsid w:val="00CA6D08"/>
    <w:rsid w:val="00CA71DD"/>
    <w:rsid w:val="00CA73DD"/>
    <w:rsid w:val="00CA7F04"/>
    <w:rsid w:val="00CB0B32"/>
    <w:rsid w:val="00CB0BEB"/>
    <w:rsid w:val="00CB0CD7"/>
    <w:rsid w:val="00CB0D7B"/>
    <w:rsid w:val="00CB1174"/>
    <w:rsid w:val="00CB137F"/>
    <w:rsid w:val="00CB13CC"/>
    <w:rsid w:val="00CB1E1D"/>
    <w:rsid w:val="00CB1FF9"/>
    <w:rsid w:val="00CB218D"/>
    <w:rsid w:val="00CB287F"/>
    <w:rsid w:val="00CB2AA5"/>
    <w:rsid w:val="00CB2EC7"/>
    <w:rsid w:val="00CB3A28"/>
    <w:rsid w:val="00CB3D2B"/>
    <w:rsid w:val="00CB3E1F"/>
    <w:rsid w:val="00CB3FA5"/>
    <w:rsid w:val="00CB4207"/>
    <w:rsid w:val="00CB4BC1"/>
    <w:rsid w:val="00CB4FD0"/>
    <w:rsid w:val="00CB5091"/>
    <w:rsid w:val="00CB5C62"/>
    <w:rsid w:val="00CB5CA5"/>
    <w:rsid w:val="00CB5DFC"/>
    <w:rsid w:val="00CB60AF"/>
    <w:rsid w:val="00CB6225"/>
    <w:rsid w:val="00CB627B"/>
    <w:rsid w:val="00CB68A1"/>
    <w:rsid w:val="00CB68C3"/>
    <w:rsid w:val="00CB7014"/>
    <w:rsid w:val="00CB74FF"/>
    <w:rsid w:val="00CB7578"/>
    <w:rsid w:val="00CB75BB"/>
    <w:rsid w:val="00CB77BE"/>
    <w:rsid w:val="00CB7A85"/>
    <w:rsid w:val="00CC00F8"/>
    <w:rsid w:val="00CC014D"/>
    <w:rsid w:val="00CC0160"/>
    <w:rsid w:val="00CC04F3"/>
    <w:rsid w:val="00CC1F01"/>
    <w:rsid w:val="00CC1F13"/>
    <w:rsid w:val="00CC26E3"/>
    <w:rsid w:val="00CC2DC3"/>
    <w:rsid w:val="00CC2E40"/>
    <w:rsid w:val="00CC3060"/>
    <w:rsid w:val="00CC3063"/>
    <w:rsid w:val="00CC361D"/>
    <w:rsid w:val="00CC3C32"/>
    <w:rsid w:val="00CC3C5F"/>
    <w:rsid w:val="00CC431A"/>
    <w:rsid w:val="00CC469B"/>
    <w:rsid w:val="00CC51AD"/>
    <w:rsid w:val="00CC5501"/>
    <w:rsid w:val="00CC5F14"/>
    <w:rsid w:val="00CC61AB"/>
    <w:rsid w:val="00CC698C"/>
    <w:rsid w:val="00CC7682"/>
    <w:rsid w:val="00CC7CE8"/>
    <w:rsid w:val="00CD0295"/>
    <w:rsid w:val="00CD0414"/>
    <w:rsid w:val="00CD05AD"/>
    <w:rsid w:val="00CD0682"/>
    <w:rsid w:val="00CD08E8"/>
    <w:rsid w:val="00CD0964"/>
    <w:rsid w:val="00CD129C"/>
    <w:rsid w:val="00CD1461"/>
    <w:rsid w:val="00CD1473"/>
    <w:rsid w:val="00CD1956"/>
    <w:rsid w:val="00CD1A9F"/>
    <w:rsid w:val="00CD1B05"/>
    <w:rsid w:val="00CD2474"/>
    <w:rsid w:val="00CD26E2"/>
    <w:rsid w:val="00CD2807"/>
    <w:rsid w:val="00CD34E7"/>
    <w:rsid w:val="00CD3687"/>
    <w:rsid w:val="00CD3738"/>
    <w:rsid w:val="00CD3F18"/>
    <w:rsid w:val="00CD490A"/>
    <w:rsid w:val="00CD4C30"/>
    <w:rsid w:val="00CD4C74"/>
    <w:rsid w:val="00CD5B5C"/>
    <w:rsid w:val="00CD5FFF"/>
    <w:rsid w:val="00CD6748"/>
    <w:rsid w:val="00CD6B99"/>
    <w:rsid w:val="00CD74DA"/>
    <w:rsid w:val="00CD778F"/>
    <w:rsid w:val="00CD7AE0"/>
    <w:rsid w:val="00CD7CB0"/>
    <w:rsid w:val="00CE0958"/>
    <w:rsid w:val="00CE0B79"/>
    <w:rsid w:val="00CE0F04"/>
    <w:rsid w:val="00CE1194"/>
    <w:rsid w:val="00CE12CE"/>
    <w:rsid w:val="00CE1309"/>
    <w:rsid w:val="00CE1520"/>
    <w:rsid w:val="00CE17FD"/>
    <w:rsid w:val="00CE1923"/>
    <w:rsid w:val="00CE1DBF"/>
    <w:rsid w:val="00CE23B2"/>
    <w:rsid w:val="00CE26CF"/>
    <w:rsid w:val="00CE2754"/>
    <w:rsid w:val="00CE2C2C"/>
    <w:rsid w:val="00CE300F"/>
    <w:rsid w:val="00CE35C8"/>
    <w:rsid w:val="00CE40A6"/>
    <w:rsid w:val="00CE4280"/>
    <w:rsid w:val="00CE4322"/>
    <w:rsid w:val="00CE45F8"/>
    <w:rsid w:val="00CE4603"/>
    <w:rsid w:val="00CE4A3B"/>
    <w:rsid w:val="00CE4B91"/>
    <w:rsid w:val="00CE4F59"/>
    <w:rsid w:val="00CE4FC4"/>
    <w:rsid w:val="00CE5D6F"/>
    <w:rsid w:val="00CE5FC2"/>
    <w:rsid w:val="00CE642E"/>
    <w:rsid w:val="00CE70E8"/>
    <w:rsid w:val="00CF0698"/>
    <w:rsid w:val="00CF0780"/>
    <w:rsid w:val="00CF0C07"/>
    <w:rsid w:val="00CF1F07"/>
    <w:rsid w:val="00CF2A1D"/>
    <w:rsid w:val="00CF2C7C"/>
    <w:rsid w:val="00CF2D0B"/>
    <w:rsid w:val="00CF30D1"/>
    <w:rsid w:val="00CF3198"/>
    <w:rsid w:val="00CF31FA"/>
    <w:rsid w:val="00CF342B"/>
    <w:rsid w:val="00CF37B4"/>
    <w:rsid w:val="00CF3BA0"/>
    <w:rsid w:val="00CF42F7"/>
    <w:rsid w:val="00CF4B83"/>
    <w:rsid w:val="00CF513F"/>
    <w:rsid w:val="00CF545D"/>
    <w:rsid w:val="00CF567E"/>
    <w:rsid w:val="00CF56B0"/>
    <w:rsid w:val="00CF5CF0"/>
    <w:rsid w:val="00CF6058"/>
    <w:rsid w:val="00CF6ED4"/>
    <w:rsid w:val="00CF71B5"/>
    <w:rsid w:val="00CF7220"/>
    <w:rsid w:val="00CF7585"/>
    <w:rsid w:val="00CF786A"/>
    <w:rsid w:val="00CF7987"/>
    <w:rsid w:val="00D00070"/>
    <w:rsid w:val="00D00679"/>
    <w:rsid w:val="00D007BF"/>
    <w:rsid w:val="00D009E8"/>
    <w:rsid w:val="00D00E4C"/>
    <w:rsid w:val="00D00FCA"/>
    <w:rsid w:val="00D014C5"/>
    <w:rsid w:val="00D01A12"/>
    <w:rsid w:val="00D01BE3"/>
    <w:rsid w:val="00D01E78"/>
    <w:rsid w:val="00D01FF0"/>
    <w:rsid w:val="00D02193"/>
    <w:rsid w:val="00D021AD"/>
    <w:rsid w:val="00D02DED"/>
    <w:rsid w:val="00D0306D"/>
    <w:rsid w:val="00D0341F"/>
    <w:rsid w:val="00D03440"/>
    <w:rsid w:val="00D03772"/>
    <w:rsid w:val="00D0508E"/>
    <w:rsid w:val="00D051E0"/>
    <w:rsid w:val="00D06199"/>
    <w:rsid w:val="00D062C4"/>
    <w:rsid w:val="00D06701"/>
    <w:rsid w:val="00D067D9"/>
    <w:rsid w:val="00D06E21"/>
    <w:rsid w:val="00D071C6"/>
    <w:rsid w:val="00D0722F"/>
    <w:rsid w:val="00D07A99"/>
    <w:rsid w:val="00D07C83"/>
    <w:rsid w:val="00D10259"/>
    <w:rsid w:val="00D10306"/>
    <w:rsid w:val="00D1045A"/>
    <w:rsid w:val="00D10670"/>
    <w:rsid w:val="00D108A5"/>
    <w:rsid w:val="00D11830"/>
    <w:rsid w:val="00D11D5E"/>
    <w:rsid w:val="00D12343"/>
    <w:rsid w:val="00D1247A"/>
    <w:rsid w:val="00D12491"/>
    <w:rsid w:val="00D124C1"/>
    <w:rsid w:val="00D12D15"/>
    <w:rsid w:val="00D12D9D"/>
    <w:rsid w:val="00D12DAF"/>
    <w:rsid w:val="00D1335A"/>
    <w:rsid w:val="00D134E1"/>
    <w:rsid w:val="00D1352E"/>
    <w:rsid w:val="00D13545"/>
    <w:rsid w:val="00D13F08"/>
    <w:rsid w:val="00D14273"/>
    <w:rsid w:val="00D14985"/>
    <w:rsid w:val="00D14B5F"/>
    <w:rsid w:val="00D15D13"/>
    <w:rsid w:val="00D15D8E"/>
    <w:rsid w:val="00D16236"/>
    <w:rsid w:val="00D1659D"/>
    <w:rsid w:val="00D16668"/>
    <w:rsid w:val="00D17389"/>
    <w:rsid w:val="00D174AB"/>
    <w:rsid w:val="00D17804"/>
    <w:rsid w:val="00D17B1B"/>
    <w:rsid w:val="00D17D6B"/>
    <w:rsid w:val="00D17D7C"/>
    <w:rsid w:val="00D203A5"/>
    <w:rsid w:val="00D204AA"/>
    <w:rsid w:val="00D2075C"/>
    <w:rsid w:val="00D20E51"/>
    <w:rsid w:val="00D20EAD"/>
    <w:rsid w:val="00D21C07"/>
    <w:rsid w:val="00D2258D"/>
    <w:rsid w:val="00D227E7"/>
    <w:rsid w:val="00D228D9"/>
    <w:rsid w:val="00D237AB"/>
    <w:rsid w:val="00D23CFB"/>
    <w:rsid w:val="00D23E84"/>
    <w:rsid w:val="00D2407D"/>
    <w:rsid w:val="00D24853"/>
    <w:rsid w:val="00D24CE5"/>
    <w:rsid w:val="00D24EF7"/>
    <w:rsid w:val="00D25636"/>
    <w:rsid w:val="00D2589A"/>
    <w:rsid w:val="00D25F0D"/>
    <w:rsid w:val="00D26205"/>
    <w:rsid w:val="00D26A3C"/>
    <w:rsid w:val="00D2703B"/>
    <w:rsid w:val="00D27121"/>
    <w:rsid w:val="00D271AA"/>
    <w:rsid w:val="00D272CD"/>
    <w:rsid w:val="00D27CB6"/>
    <w:rsid w:val="00D27DE4"/>
    <w:rsid w:val="00D30010"/>
    <w:rsid w:val="00D3006E"/>
    <w:rsid w:val="00D30458"/>
    <w:rsid w:val="00D30467"/>
    <w:rsid w:val="00D304D0"/>
    <w:rsid w:val="00D30916"/>
    <w:rsid w:val="00D3106B"/>
    <w:rsid w:val="00D31607"/>
    <w:rsid w:val="00D31DBC"/>
    <w:rsid w:val="00D321CB"/>
    <w:rsid w:val="00D32427"/>
    <w:rsid w:val="00D3290F"/>
    <w:rsid w:val="00D32C98"/>
    <w:rsid w:val="00D32EC5"/>
    <w:rsid w:val="00D33330"/>
    <w:rsid w:val="00D3337C"/>
    <w:rsid w:val="00D339ED"/>
    <w:rsid w:val="00D347BF"/>
    <w:rsid w:val="00D34EE2"/>
    <w:rsid w:val="00D365FE"/>
    <w:rsid w:val="00D36961"/>
    <w:rsid w:val="00D36C3D"/>
    <w:rsid w:val="00D36D1F"/>
    <w:rsid w:val="00D37153"/>
    <w:rsid w:val="00D37774"/>
    <w:rsid w:val="00D37830"/>
    <w:rsid w:val="00D37A77"/>
    <w:rsid w:val="00D40DC9"/>
    <w:rsid w:val="00D413C0"/>
    <w:rsid w:val="00D4149C"/>
    <w:rsid w:val="00D41708"/>
    <w:rsid w:val="00D4170E"/>
    <w:rsid w:val="00D420B1"/>
    <w:rsid w:val="00D4291B"/>
    <w:rsid w:val="00D42B61"/>
    <w:rsid w:val="00D42C9A"/>
    <w:rsid w:val="00D42D7F"/>
    <w:rsid w:val="00D42F3B"/>
    <w:rsid w:val="00D430A3"/>
    <w:rsid w:val="00D430B1"/>
    <w:rsid w:val="00D430F7"/>
    <w:rsid w:val="00D434A6"/>
    <w:rsid w:val="00D43BF4"/>
    <w:rsid w:val="00D44545"/>
    <w:rsid w:val="00D445D3"/>
    <w:rsid w:val="00D44663"/>
    <w:rsid w:val="00D44684"/>
    <w:rsid w:val="00D451CC"/>
    <w:rsid w:val="00D45354"/>
    <w:rsid w:val="00D45C06"/>
    <w:rsid w:val="00D45D9D"/>
    <w:rsid w:val="00D45F8E"/>
    <w:rsid w:val="00D45FF1"/>
    <w:rsid w:val="00D4614A"/>
    <w:rsid w:val="00D46614"/>
    <w:rsid w:val="00D4674B"/>
    <w:rsid w:val="00D47097"/>
    <w:rsid w:val="00D4714A"/>
    <w:rsid w:val="00D504B7"/>
    <w:rsid w:val="00D50C12"/>
    <w:rsid w:val="00D5140D"/>
    <w:rsid w:val="00D517B3"/>
    <w:rsid w:val="00D521F2"/>
    <w:rsid w:val="00D529A8"/>
    <w:rsid w:val="00D53326"/>
    <w:rsid w:val="00D5335D"/>
    <w:rsid w:val="00D53654"/>
    <w:rsid w:val="00D53C0F"/>
    <w:rsid w:val="00D53F51"/>
    <w:rsid w:val="00D541C5"/>
    <w:rsid w:val="00D54D2C"/>
    <w:rsid w:val="00D54FE2"/>
    <w:rsid w:val="00D554E1"/>
    <w:rsid w:val="00D55B1E"/>
    <w:rsid w:val="00D55E64"/>
    <w:rsid w:val="00D56258"/>
    <w:rsid w:val="00D56745"/>
    <w:rsid w:val="00D56A90"/>
    <w:rsid w:val="00D56B39"/>
    <w:rsid w:val="00D572C8"/>
    <w:rsid w:val="00D57F70"/>
    <w:rsid w:val="00D6027F"/>
    <w:rsid w:val="00D604FA"/>
    <w:rsid w:val="00D61159"/>
    <w:rsid w:val="00D612F9"/>
    <w:rsid w:val="00D616A5"/>
    <w:rsid w:val="00D618E6"/>
    <w:rsid w:val="00D61C8E"/>
    <w:rsid w:val="00D62C7A"/>
    <w:rsid w:val="00D633C0"/>
    <w:rsid w:val="00D63471"/>
    <w:rsid w:val="00D634FF"/>
    <w:rsid w:val="00D6358E"/>
    <w:rsid w:val="00D63D16"/>
    <w:rsid w:val="00D63E8B"/>
    <w:rsid w:val="00D64360"/>
    <w:rsid w:val="00D645FB"/>
    <w:rsid w:val="00D64ECF"/>
    <w:rsid w:val="00D65353"/>
    <w:rsid w:val="00D656BF"/>
    <w:rsid w:val="00D65A59"/>
    <w:rsid w:val="00D65EED"/>
    <w:rsid w:val="00D65F40"/>
    <w:rsid w:val="00D660C9"/>
    <w:rsid w:val="00D6658D"/>
    <w:rsid w:val="00D66626"/>
    <w:rsid w:val="00D66630"/>
    <w:rsid w:val="00D66B42"/>
    <w:rsid w:val="00D672CB"/>
    <w:rsid w:val="00D6767A"/>
    <w:rsid w:val="00D67A0C"/>
    <w:rsid w:val="00D67BA3"/>
    <w:rsid w:val="00D67CFB"/>
    <w:rsid w:val="00D7023D"/>
    <w:rsid w:val="00D70755"/>
    <w:rsid w:val="00D70C66"/>
    <w:rsid w:val="00D70C7A"/>
    <w:rsid w:val="00D70CCE"/>
    <w:rsid w:val="00D713BE"/>
    <w:rsid w:val="00D716E6"/>
    <w:rsid w:val="00D71A95"/>
    <w:rsid w:val="00D71FF1"/>
    <w:rsid w:val="00D72CFD"/>
    <w:rsid w:val="00D72E0A"/>
    <w:rsid w:val="00D72EA1"/>
    <w:rsid w:val="00D731BE"/>
    <w:rsid w:val="00D737FB"/>
    <w:rsid w:val="00D73A4E"/>
    <w:rsid w:val="00D73BE2"/>
    <w:rsid w:val="00D73F03"/>
    <w:rsid w:val="00D740BC"/>
    <w:rsid w:val="00D7441C"/>
    <w:rsid w:val="00D7442A"/>
    <w:rsid w:val="00D750DB"/>
    <w:rsid w:val="00D75D0A"/>
    <w:rsid w:val="00D760DA"/>
    <w:rsid w:val="00D76126"/>
    <w:rsid w:val="00D76194"/>
    <w:rsid w:val="00D76767"/>
    <w:rsid w:val="00D7679B"/>
    <w:rsid w:val="00D76FEA"/>
    <w:rsid w:val="00D7726F"/>
    <w:rsid w:val="00D7756C"/>
    <w:rsid w:val="00D77A80"/>
    <w:rsid w:val="00D77A87"/>
    <w:rsid w:val="00D80097"/>
    <w:rsid w:val="00D8014C"/>
    <w:rsid w:val="00D80C07"/>
    <w:rsid w:val="00D80D48"/>
    <w:rsid w:val="00D80D4B"/>
    <w:rsid w:val="00D80F0D"/>
    <w:rsid w:val="00D816BE"/>
    <w:rsid w:val="00D81BED"/>
    <w:rsid w:val="00D81E7F"/>
    <w:rsid w:val="00D81EC8"/>
    <w:rsid w:val="00D82088"/>
    <w:rsid w:val="00D82355"/>
    <w:rsid w:val="00D82419"/>
    <w:rsid w:val="00D82E54"/>
    <w:rsid w:val="00D8309F"/>
    <w:rsid w:val="00D83E8F"/>
    <w:rsid w:val="00D84383"/>
    <w:rsid w:val="00D843AF"/>
    <w:rsid w:val="00D84F4F"/>
    <w:rsid w:val="00D85071"/>
    <w:rsid w:val="00D8518E"/>
    <w:rsid w:val="00D85367"/>
    <w:rsid w:val="00D854D9"/>
    <w:rsid w:val="00D85C11"/>
    <w:rsid w:val="00D85F93"/>
    <w:rsid w:val="00D86239"/>
    <w:rsid w:val="00D866F3"/>
    <w:rsid w:val="00D866FA"/>
    <w:rsid w:val="00D8673D"/>
    <w:rsid w:val="00D86A9E"/>
    <w:rsid w:val="00D86B2C"/>
    <w:rsid w:val="00D8721D"/>
    <w:rsid w:val="00D87427"/>
    <w:rsid w:val="00D8746D"/>
    <w:rsid w:val="00D87661"/>
    <w:rsid w:val="00D87CA9"/>
    <w:rsid w:val="00D87F31"/>
    <w:rsid w:val="00D9001F"/>
    <w:rsid w:val="00D90E6B"/>
    <w:rsid w:val="00D910DF"/>
    <w:rsid w:val="00D91259"/>
    <w:rsid w:val="00D92917"/>
    <w:rsid w:val="00D92AB4"/>
    <w:rsid w:val="00D92D30"/>
    <w:rsid w:val="00D93236"/>
    <w:rsid w:val="00D934C5"/>
    <w:rsid w:val="00D93A0F"/>
    <w:rsid w:val="00D93D6D"/>
    <w:rsid w:val="00D946C7"/>
    <w:rsid w:val="00D94D9F"/>
    <w:rsid w:val="00D94E7E"/>
    <w:rsid w:val="00D9521E"/>
    <w:rsid w:val="00D95DD1"/>
    <w:rsid w:val="00D95EF2"/>
    <w:rsid w:val="00D969A0"/>
    <w:rsid w:val="00D96F12"/>
    <w:rsid w:val="00D972DF"/>
    <w:rsid w:val="00D973A1"/>
    <w:rsid w:val="00D975A6"/>
    <w:rsid w:val="00D97C16"/>
    <w:rsid w:val="00D97DBE"/>
    <w:rsid w:val="00D97E57"/>
    <w:rsid w:val="00D97FC9"/>
    <w:rsid w:val="00DA01FD"/>
    <w:rsid w:val="00DA0DA5"/>
    <w:rsid w:val="00DA0E27"/>
    <w:rsid w:val="00DA0FCF"/>
    <w:rsid w:val="00DA1568"/>
    <w:rsid w:val="00DA15E8"/>
    <w:rsid w:val="00DA2869"/>
    <w:rsid w:val="00DA309A"/>
    <w:rsid w:val="00DA4329"/>
    <w:rsid w:val="00DA4811"/>
    <w:rsid w:val="00DA48AB"/>
    <w:rsid w:val="00DA4986"/>
    <w:rsid w:val="00DA4D6D"/>
    <w:rsid w:val="00DA5269"/>
    <w:rsid w:val="00DA57E6"/>
    <w:rsid w:val="00DA59D7"/>
    <w:rsid w:val="00DA6454"/>
    <w:rsid w:val="00DA654D"/>
    <w:rsid w:val="00DA6871"/>
    <w:rsid w:val="00DA72E1"/>
    <w:rsid w:val="00DA79A0"/>
    <w:rsid w:val="00DA7E87"/>
    <w:rsid w:val="00DB098B"/>
    <w:rsid w:val="00DB1127"/>
    <w:rsid w:val="00DB1CE3"/>
    <w:rsid w:val="00DB207F"/>
    <w:rsid w:val="00DB27DB"/>
    <w:rsid w:val="00DB2D8C"/>
    <w:rsid w:val="00DB2ED7"/>
    <w:rsid w:val="00DB3C34"/>
    <w:rsid w:val="00DB3CC4"/>
    <w:rsid w:val="00DB4404"/>
    <w:rsid w:val="00DB4AD2"/>
    <w:rsid w:val="00DB6155"/>
    <w:rsid w:val="00DB6261"/>
    <w:rsid w:val="00DB6BE0"/>
    <w:rsid w:val="00DB702F"/>
    <w:rsid w:val="00DB74EF"/>
    <w:rsid w:val="00DB7A7E"/>
    <w:rsid w:val="00DC00E0"/>
    <w:rsid w:val="00DC03C1"/>
    <w:rsid w:val="00DC0494"/>
    <w:rsid w:val="00DC0865"/>
    <w:rsid w:val="00DC0B02"/>
    <w:rsid w:val="00DC0B41"/>
    <w:rsid w:val="00DC0FF3"/>
    <w:rsid w:val="00DC1A8B"/>
    <w:rsid w:val="00DC2047"/>
    <w:rsid w:val="00DC230A"/>
    <w:rsid w:val="00DC2329"/>
    <w:rsid w:val="00DC295A"/>
    <w:rsid w:val="00DC2A70"/>
    <w:rsid w:val="00DC2C6B"/>
    <w:rsid w:val="00DC40B9"/>
    <w:rsid w:val="00DC4157"/>
    <w:rsid w:val="00DC457B"/>
    <w:rsid w:val="00DC46CE"/>
    <w:rsid w:val="00DC4CE7"/>
    <w:rsid w:val="00DC5157"/>
    <w:rsid w:val="00DC57F6"/>
    <w:rsid w:val="00DC5D83"/>
    <w:rsid w:val="00DC657A"/>
    <w:rsid w:val="00DC66F6"/>
    <w:rsid w:val="00DC6D07"/>
    <w:rsid w:val="00DC721A"/>
    <w:rsid w:val="00DC75A0"/>
    <w:rsid w:val="00DC7F91"/>
    <w:rsid w:val="00DD0261"/>
    <w:rsid w:val="00DD0A07"/>
    <w:rsid w:val="00DD13F0"/>
    <w:rsid w:val="00DD1916"/>
    <w:rsid w:val="00DD1C06"/>
    <w:rsid w:val="00DD1F0D"/>
    <w:rsid w:val="00DD233B"/>
    <w:rsid w:val="00DD26D2"/>
    <w:rsid w:val="00DD28CD"/>
    <w:rsid w:val="00DD2A83"/>
    <w:rsid w:val="00DD2E77"/>
    <w:rsid w:val="00DD3005"/>
    <w:rsid w:val="00DD34A2"/>
    <w:rsid w:val="00DD3944"/>
    <w:rsid w:val="00DD3F1D"/>
    <w:rsid w:val="00DD4095"/>
    <w:rsid w:val="00DD42DA"/>
    <w:rsid w:val="00DD5017"/>
    <w:rsid w:val="00DD5187"/>
    <w:rsid w:val="00DD584E"/>
    <w:rsid w:val="00DD5FA4"/>
    <w:rsid w:val="00DD65D8"/>
    <w:rsid w:val="00DD72D5"/>
    <w:rsid w:val="00DE0375"/>
    <w:rsid w:val="00DE10FC"/>
    <w:rsid w:val="00DE1900"/>
    <w:rsid w:val="00DE1B0F"/>
    <w:rsid w:val="00DE2309"/>
    <w:rsid w:val="00DE2B37"/>
    <w:rsid w:val="00DE33DE"/>
    <w:rsid w:val="00DE351C"/>
    <w:rsid w:val="00DE47AF"/>
    <w:rsid w:val="00DE4B44"/>
    <w:rsid w:val="00DE4D8C"/>
    <w:rsid w:val="00DE59F6"/>
    <w:rsid w:val="00DE60BA"/>
    <w:rsid w:val="00DE61CA"/>
    <w:rsid w:val="00DE6732"/>
    <w:rsid w:val="00DE782C"/>
    <w:rsid w:val="00DF0006"/>
    <w:rsid w:val="00DF0F23"/>
    <w:rsid w:val="00DF2CF5"/>
    <w:rsid w:val="00DF2F91"/>
    <w:rsid w:val="00DF3288"/>
    <w:rsid w:val="00DF3FB0"/>
    <w:rsid w:val="00DF484A"/>
    <w:rsid w:val="00DF51BD"/>
    <w:rsid w:val="00DF53B6"/>
    <w:rsid w:val="00DF5A9D"/>
    <w:rsid w:val="00DF5B49"/>
    <w:rsid w:val="00DF5BB7"/>
    <w:rsid w:val="00DF5C58"/>
    <w:rsid w:val="00DF60D9"/>
    <w:rsid w:val="00DF63F9"/>
    <w:rsid w:val="00DF65C9"/>
    <w:rsid w:val="00DF6E28"/>
    <w:rsid w:val="00DF737B"/>
    <w:rsid w:val="00DF7497"/>
    <w:rsid w:val="00DF7A82"/>
    <w:rsid w:val="00DF7C61"/>
    <w:rsid w:val="00DF7FDF"/>
    <w:rsid w:val="00DFCD71"/>
    <w:rsid w:val="00E0014B"/>
    <w:rsid w:val="00E003F1"/>
    <w:rsid w:val="00E00FAE"/>
    <w:rsid w:val="00E01290"/>
    <w:rsid w:val="00E01686"/>
    <w:rsid w:val="00E01F2B"/>
    <w:rsid w:val="00E024D7"/>
    <w:rsid w:val="00E0268E"/>
    <w:rsid w:val="00E02B83"/>
    <w:rsid w:val="00E02CA5"/>
    <w:rsid w:val="00E02CF2"/>
    <w:rsid w:val="00E0335D"/>
    <w:rsid w:val="00E03489"/>
    <w:rsid w:val="00E037D8"/>
    <w:rsid w:val="00E03C98"/>
    <w:rsid w:val="00E03D33"/>
    <w:rsid w:val="00E04501"/>
    <w:rsid w:val="00E048E1"/>
    <w:rsid w:val="00E048E6"/>
    <w:rsid w:val="00E048E7"/>
    <w:rsid w:val="00E0497E"/>
    <w:rsid w:val="00E0527C"/>
    <w:rsid w:val="00E05472"/>
    <w:rsid w:val="00E05FBC"/>
    <w:rsid w:val="00E06093"/>
    <w:rsid w:val="00E06577"/>
    <w:rsid w:val="00E0676A"/>
    <w:rsid w:val="00E06ED7"/>
    <w:rsid w:val="00E06EDB"/>
    <w:rsid w:val="00E07832"/>
    <w:rsid w:val="00E079B6"/>
    <w:rsid w:val="00E10281"/>
    <w:rsid w:val="00E108AF"/>
    <w:rsid w:val="00E10917"/>
    <w:rsid w:val="00E10F4A"/>
    <w:rsid w:val="00E10FA1"/>
    <w:rsid w:val="00E11272"/>
    <w:rsid w:val="00E11374"/>
    <w:rsid w:val="00E113EF"/>
    <w:rsid w:val="00E117A6"/>
    <w:rsid w:val="00E12051"/>
    <w:rsid w:val="00E12787"/>
    <w:rsid w:val="00E12A19"/>
    <w:rsid w:val="00E12DD7"/>
    <w:rsid w:val="00E132E8"/>
    <w:rsid w:val="00E1395F"/>
    <w:rsid w:val="00E13E57"/>
    <w:rsid w:val="00E14551"/>
    <w:rsid w:val="00E146DA"/>
    <w:rsid w:val="00E15678"/>
    <w:rsid w:val="00E15BA4"/>
    <w:rsid w:val="00E16A8B"/>
    <w:rsid w:val="00E17292"/>
    <w:rsid w:val="00E17974"/>
    <w:rsid w:val="00E17B7A"/>
    <w:rsid w:val="00E17EC6"/>
    <w:rsid w:val="00E208E7"/>
    <w:rsid w:val="00E20A16"/>
    <w:rsid w:val="00E20B1A"/>
    <w:rsid w:val="00E20E56"/>
    <w:rsid w:val="00E21058"/>
    <w:rsid w:val="00E214B6"/>
    <w:rsid w:val="00E21D25"/>
    <w:rsid w:val="00E21F34"/>
    <w:rsid w:val="00E2259C"/>
    <w:rsid w:val="00E22754"/>
    <w:rsid w:val="00E22E8D"/>
    <w:rsid w:val="00E23630"/>
    <w:rsid w:val="00E24DDF"/>
    <w:rsid w:val="00E24F76"/>
    <w:rsid w:val="00E250CA"/>
    <w:rsid w:val="00E250EC"/>
    <w:rsid w:val="00E251C6"/>
    <w:rsid w:val="00E253E7"/>
    <w:rsid w:val="00E25646"/>
    <w:rsid w:val="00E25E9C"/>
    <w:rsid w:val="00E2629E"/>
    <w:rsid w:val="00E26465"/>
    <w:rsid w:val="00E26BB9"/>
    <w:rsid w:val="00E26C22"/>
    <w:rsid w:val="00E27407"/>
    <w:rsid w:val="00E301BB"/>
    <w:rsid w:val="00E3083B"/>
    <w:rsid w:val="00E31671"/>
    <w:rsid w:val="00E31B9B"/>
    <w:rsid w:val="00E31ED1"/>
    <w:rsid w:val="00E32066"/>
    <w:rsid w:val="00E3254E"/>
    <w:rsid w:val="00E329E0"/>
    <w:rsid w:val="00E32ABD"/>
    <w:rsid w:val="00E33021"/>
    <w:rsid w:val="00E33472"/>
    <w:rsid w:val="00E33ACF"/>
    <w:rsid w:val="00E33CA8"/>
    <w:rsid w:val="00E341CB"/>
    <w:rsid w:val="00E34319"/>
    <w:rsid w:val="00E34771"/>
    <w:rsid w:val="00E353C6"/>
    <w:rsid w:val="00E3548E"/>
    <w:rsid w:val="00E35661"/>
    <w:rsid w:val="00E35D8E"/>
    <w:rsid w:val="00E35E11"/>
    <w:rsid w:val="00E370F7"/>
    <w:rsid w:val="00E3734A"/>
    <w:rsid w:val="00E37455"/>
    <w:rsid w:val="00E37A39"/>
    <w:rsid w:val="00E405CB"/>
    <w:rsid w:val="00E40896"/>
    <w:rsid w:val="00E408C2"/>
    <w:rsid w:val="00E40D37"/>
    <w:rsid w:val="00E40D96"/>
    <w:rsid w:val="00E412FF"/>
    <w:rsid w:val="00E416E2"/>
    <w:rsid w:val="00E41808"/>
    <w:rsid w:val="00E424A9"/>
    <w:rsid w:val="00E428F5"/>
    <w:rsid w:val="00E42D64"/>
    <w:rsid w:val="00E431FD"/>
    <w:rsid w:val="00E43263"/>
    <w:rsid w:val="00E433A0"/>
    <w:rsid w:val="00E44060"/>
    <w:rsid w:val="00E44135"/>
    <w:rsid w:val="00E44596"/>
    <w:rsid w:val="00E446C2"/>
    <w:rsid w:val="00E455DC"/>
    <w:rsid w:val="00E45A08"/>
    <w:rsid w:val="00E45A3C"/>
    <w:rsid w:val="00E46062"/>
    <w:rsid w:val="00E4633F"/>
    <w:rsid w:val="00E46BC3"/>
    <w:rsid w:val="00E46D02"/>
    <w:rsid w:val="00E46EF6"/>
    <w:rsid w:val="00E4715D"/>
    <w:rsid w:val="00E47411"/>
    <w:rsid w:val="00E47E81"/>
    <w:rsid w:val="00E47FB8"/>
    <w:rsid w:val="00E500C4"/>
    <w:rsid w:val="00E50219"/>
    <w:rsid w:val="00E50625"/>
    <w:rsid w:val="00E50B01"/>
    <w:rsid w:val="00E512B5"/>
    <w:rsid w:val="00E520B4"/>
    <w:rsid w:val="00E5212F"/>
    <w:rsid w:val="00E523DB"/>
    <w:rsid w:val="00E52A80"/>
    <w:rsid w:val="00E52BCB"/>
    <w:rsid w:val="00E52D46"/>
    <w:rsid w:val="00E52E1C"/>
    <w:rsid w:val="00E537F8"/>
    <w:rsid w:val="00E53DED"/>
    <w:rsid w:val="00E544B8"/>
    <w:rsid w:val="00E5454F"/>
    <w:rsid w:val="00E54FD2"/>
    <w:rsid w:val="00E55207"/>
    <w:rsid w:val="00E5577C"/>
    <w:rsid w:val="00E55C6F"/>
    <w:rsid w:val="00E55F6A"/>
    <w:rsid w:val="00E55F9D"/>
    <w:rsid w:val="00E5612A"/>
    <w:rsid w:val="00E568C2"/>
    <w:rsid w:val="00E57492"/>
    <w:rsid w:val="00E5766A"/>
    <w:rsid w:val="00E57739"/>
    <w:rsid w:val="00E57A9B"/>
    <w:rsid w:val="00E60018"/>
    <w:rsid w:val="00E603A0"/>
    <w:rsid w:val="00E60A35"/>
    <w:rsid w:val="00E61C84"/>
    <w:rsid w:val="00E62040"/>
    <w:rsid w:val="00E6299A"/>
    <w:rsid w:val="00E63A39"/>
    <w:rsid w:val="00E63CA8"/>
    <w:rsid w:val="00E63E63"/>
    <w:rsid w:val="00E6414D"/>
    <w:rsid w:val="00E647D5"/>
    <w:rsid w:val="00E64B73"/>
    <w:rsid w:val="00E65155"/>
    <w:rsid w:val="00E65289"/>
    <w:rsid w:val="00E658AC"/>
    <w:rsid w:val="00E65AD5"/>
    <w:rsid w:val="00E65F6A"/>
    <w:rsid w:val="00E65FE0"/>
    <w:rsid w:val="00E66048"/>
    <w:rsid w:val="00E66C66"/>
    <w:rsid w:val="00E66E76"/>
    <w:rsid w:val="00E671DC"/>
    <w:rsid w:val="00E67891"/>
    <w:rsid w:val="00E67CD7"/>
    <w:rsid w:val="00E7057F"/>
    <w:rsid w:val="00E7062B"/>
    <w:rsid w:val="00E706BA"/>
    <w:rsid w:val="00E70EA7"/>
    <w:rsid w:val="00E70F51"/>
    <w:rsid w:val="00E70F70"/>
    <w:rsid w:val="00E71B95"/>
    <w:rsid w:val="00E71CB0"/>
    <w:rsid w:val="00E72995"/>
    <w:rsid w:val="00E72B52"/>
    <w:rsid w:val="00E73B3C"/>
    <w:rsid w:val="00E73C30"/>
    <w:rsid w:val="00E73CBC"/>
    <w:rsid w:val="00E74139"/>
    <w:rsid w:val="00E745D8"/>
    <w:rsid w:val="00E74855"/>
    <w:rsid w:val="00E74E1F"/>
    <w:rsid w:val="00E75265"/>
    <w:rsid w:val="00E75888"/>
    <w:rsid w:val="00E75F64"/>
    <w:rsid w:val="00E76546"/>
    <w:rsid w:val="00E76DBA"/>
    <w:rsid w:val="00E76F2D"/>
    <w:rsid w:val="00E7726A"/>
    <w:rsid w:val="00E77E65"/>
    <w:rsid w:val="00E80A08"/>
    <w:rsid w:val="00E80D27"/>
    <w:rsid w:val="00E80EA3"/>
    <w:rsid w:val="00E81A4D"/>
    <w:rsid w:val="00E81A88"/>
    <w:rsid w:val="00E8273C"/>
    <w:rsid w:val="00E82856"/>
    <w:rsid w:val="00E82CC9"/>
    <w:rsid w:val="00E82ECA"/>
    <w:rsid w:val="00E830EF"/>
    <w:rsid w:val="00E832CD"/>
    <w:rsid w:val="00E8362D"/>
    <w:rsid w:val="00E836B6"/>
    <w:rsid w:val="00E837BF"/>
    <w:rsid w:val="00E83CB3"/>
    <w:rsid w:val="00E83EAF"/>
    <w:rsid w:val="00E83F51"/>
    <w:rsid w:val="00E83F53"/>
    <w:rsid w:val="00E83F69"/>
    <w:rsid w:val="00E843AE"/>
    <w:rsid w:val="00E843DE"/>
    <w:rsid w:val="00E84906"/>
    <w:rsid w:val="00E850D1"/>
    <w:rsid w:val="00E850FD"/>
    <w:rsid w:val="00E85AB3"/>
    <w:rsid w:val="00E85B5B"/>
    <w:rsid w:val="00E864FE"/>
    <w:rsid w:val="00E86BE8"/>
    <w:rsid w:val="00E86E10"/>
    <w:rsid w:val="00E87059"/>
    <w:rsid w:val="00E87173"/>
    <w:rsid w:val="00E872CC"/>
    <w:rsid w:val="00E87613"/>
    <w:rsid w:val="00E87660"/>
    <w:rsid w:val="00E8780B"/>
    <w:rsid w:val="00E8786C"/>
    <w:rsid w:val="00E87B89"/>
    <w:rsid w:val="00E9034A"/>
    <w:rsid w:val="00E90EED"/>
    <w:rsid w:val="00E916E1"/>
    <w:rsid w:val="00E9197D"/>
    <w:rsid w:val="00E920D8"/>
    <w:rsid w:val="00E92171"/>
    <w:rsid w:val="00E92EBB"/>
    <w:rsid w:val="00E9301E"/>
    <w:rsid w:val="00E93215"/>
    <w:rsid w:val="00E93CE7"/>
    <w:rsid w:val="00E9443D"/>
    <w:rsid w:val="00E9449F"/>
    <w:rsid w:val="00E948E7"/>
    <w:rsid w:val="00E94B79"/>
    <w:rsid w:val="00E956CC"/>
    <w:rsid w:val="00E959DF"/>
    <w:rsid w:val="00E96321"/>
    <w:rsid w:val="00E96768"/>
    <w:rsid w:val="00E9684F"/>
    <w:rsid w:val="00E96AD8"/>
    <w:rsid w:val="00E96C4F"/>
    <w:rsid w:val="00E97483"/>
    <w:rsid w:val="00E978B7"/>
    <w:rsid w:val="00E978F3"/>
    <w:rsid w:val="00EA042B"/>
    <w:rsid w:val="00EA0C11"/>
    <w:rsid w:val="00EA1B07"/>
    <w:rsid w:val="00EA21A3"/>
    <w:rsid w:val="00EA2703"/>
    <w:rsid w:val="00EA27B9"/>
    <w:rsid w:val="00EA2818"/>
    <w:rsid w:val="00EA3095"/>
    <w:rsid w:val="00EA376E"/>
    <w:rsid w:val="00EA393B"/>
    <w:rsid w:val="00EA3A35"/>
    <w:rsid w:val="00EA3E34"/>
    <w:rsid w:val="00EA48EC"/>
    <w:rsid w:val="00EA4A49"/>
    <w:rsid w:val="00EA4B47"/>
    <w:rsid w:val="00EA4C15"/>
    <w:rsid w:val="00EA4C80"/>
    <w:rsid w:val="00EA4E40"/>
    <w:rsid w:val="00EA5E4C"/>
    <w:rsid w:val="00EA628B"/>
    <w:rsid w:val="00EA633A"/>
    <w:rsid w:val="00EA6D3A"/>
    <w:rsid w:val="00EA6D9A"/>
    <w:rsid w:val="00EA71DE"/>
    <w:rsid w:val="00EA749C"/>
    <w:rsid w:val="00EA79D9"/>
    <w:rsid w:val="00EA79E3"/>
    <w:rsid w:val="00EA7B65"/>
    <w:rsid w:val="00EA7D48"/>
    <w:rsid w:val="00EA7FFC"/>
    <w:rsid w:val="00EB003A"/>
    <w:rsid w:val="00EB0099"/>
    <w:rsid w:val="00EB1A75"/>
    <w:rsid w:val="00EB1AE8"/>
    <w:rsid w:val="00EB1B45"/>
    <w:rsid w:val="00EB1E36"/>
    <w:rsid w:val="00EB21C6"/>
    <w:rsid w:val="00EB2365"/>
    <w:rsid w:val="00EB27EF"/>
    <w:rsid w:val="00EB29E4"/>
    <w:rsid w:val="00EB2EB4"/>
    <w:rsid w:val="00EB2EE7"/>
    <w:rsid w:val="00EB325F"/>
    <w:rsid w:val="00EB3801"/>
    <w:rsid w:val="00EB3A07"/>
    <w:rsid w:val="00EB481C"/>
    <w:rsid w:val="00EB5614"/>
    <w:rsid w:val="00EB5AFF"/>
    <w:rsid w:val="00EB5CD8"/>
    <w:rsid w:val="00EB5DC8"/>
    <w:rsid w:val="00EB5FAE"/>
    <w:rsid w:val="00EB624B"/>
    <w:rsid w:val="00EB6B7F"/>
    <w:rsid w:val="00EB74A4"/>
    <w:rsid w:val="00EB7888"/>
    <w:rsid w:val="00EB7CB9"/>
    <w:rsid w:val="00EB7CC8"/>
    <w:rsid w:val="00EC0198"/>
    <w:rsid w:val="00EC05E2"/>
    <w:rsid w:val="00EC0663"/>
    <w:rsid w:val="00EC09DA"/>
    <w:rsid w:val="00EC1584"/>
    <w:rsid w:val="00EC29CB"/>
    <w:rsid w:val="00EC429E"/>
    <w:rsid w:val="00EC4317"/>
    <w:rsid w:val="00EC52AF"/>
    <w:rsid w:val="00EC53C2"/>
    <w:rsid w:val="00EC54C0"/>
    <w:rsid w:val="00EC55AC"/>
    <w:rsid w:val="00EC62CB"/>
    <w:rsid w:val="00EC6955"/>
    <w:rsid w:val="00EC722F"/>
    <w:rsid w:val="00ED0351"/>
    <w:rsid w:val="00ED0645"/>
    <w:rsid w:val="00ED0D60"/>
    <w:rsid w:val="00ED0F86"/>
    <w:rsid w:val="00ED14C1"/>
    <w:rsid w:val="00ED1738"/>
    <w:rsid w:val="00ED1E77"/>
    <w:rsid w:val="00ED2215"/>
    <w:rsid w:val="00ED2244"/>
    <w:rsid w:val="00ED2473"/>
    <w:rsid w:val="00ED2675"/>
    <w:rsid w:val="00ED26A4"/>
    <w:rsid w:val="00ED2A7D"/>
    <w:rsid w:val="00ED316C"/>
    <w:rsid w:val="00ED3B16"/>
    <w:rsid w:val="00ED4101"/>
    <w:rsid w:val="00ED41A1"/>
    <w:rsid w:val="00ED4F9A"/>
    <w:rsid w:val="00ED509A"/>
    <w:rsid w:val="00ED52B8"/>
    <w:rsid w:val="00ED564D"/>
    <w:rsid w:val="00ED5793"/>
    <w:rsid w:val="00ED5ABA"/>
    <w:rsid w:val="00ED5E4E"/>
    <w:rsid w:val="00ED6ACD"/>
    <w:rsid w:val="00ED708C"/>
    <w:rsid w:val="00ED7689"/>
    <w:rsid w:val="00ED7DDC"/>
    <w:rsid w:val="00EE050E"/>
    <w:rsid w:val="00EE0875"/>
    <w:rsid w:val="00EE0B85"/>
    <w:rsid w:val="00EE0C32"/>
    <w:rsid w:val="00EE0D1F"/>
    <w:rsid w:val="00EE0E96"/>
    <w:rsid w:val="00EE0EF7"/>
    <w:rsid w:val="00EE0FE9"/>
    <w:rsid w:val="00EE117A"/>
    <w:rsid w:val="00EE1360"/>
    <w:rsid w:val="00EE1A6D"/>
    <w:rsid w:val="00EE2287"/>
    <w:rsid w:val="00EE229C"/>
    <w:rsid w:val="00EE22CE"/>
    <w:rsid w:val="00EE23E8"/>
    <w:rsid w:val="00EE2D30"/>
    <w:rsid w:val="00EE2FFA"/>
    <w:rsid w:val="00EE34AA"/>
    <w:rsid w:val="00EE3A8D"/>
    <w:rsid w:val="00EE3AFB"/>
    <w:rsid w:val="00EE3C74"/>
    <w:rsid w:val="00EE43A7"/>
    <w:rsid w:val="00EE4AAD"/>
    <w:rsid w:val="00EE5FE7"/>
    <w:rsid w:val="00EE6081"/>
    <w:rsid w:val="00EE62C3"/>
    <w:rsid w:val="00EE65B3"/>
    <w:rsid w:val="00EE6825"/>
    <w:rsid w:val="00EE6E57"/>
    <w:rsid w:val="00EE7174"/>
    <w:rsid w:val="00EE733F"/>
    <w:rsid w:val="00EE75EC"/>
    <w:rsid w:val="00EE7C00"/>
    <w:rsid w:val="00EF165E"/>
    <w:rsid w:val="00EF1773"/>
    <w:rsid w:val="00EF177C"/>
    <w:rsid w:val="00EF1860"/>
    <w:rsid w:val="00EF190E"/>
    <w:rsid w:val="00EF1A01"/>
    <w:rsid w:val="00EF1D06"/>
    <w:rsid w:val="00EF1E03"/>
    <w:rsid w:val="00EF2214"/>
    <w:rsid w:val="00EF251E"/>
    <w:rsid w:val="00EF3596"/>
    <w:rsid w:val="00EF3832"/>
    <w:rsid w:val="00EF3B07"/>
    <w:rsid w:val="00EF3F01"/>
    <w:rsid w:val="00EF409E"/>
    <w:rsid w:val="00EF4563"/>
    <w:rsid w:val="00EF4694"/>
    <w:rsid w:val="00EF4A69"/>
    <w:rsid w:val="00EF4C0C"/>
    <w:rsid w:val="00EF4C66"/>
    <w:rsid w:val="00EF5863"/>
    <w:rsid w:val="00EF5C00"/>
    <w:rsid w:val="00EF5E3A"/>
    <w:rsid w:val="00EF63E0"/>
    <w:rsid w:val="00EF65B8"/>
    <w:rsid w:val="00EF68B7"/>
    <w:rsid w:val="00EF6999"/>
    <w:rsid w:val="00EF6BAC"/>
    <w:rsid w:val="00EF7248"/>
    <w:rsid w:val="00EF74DC"/>
    <w:rsid w:val="00EF7765"/>
    <w:rsid w:val="00F007C8"/>
    <w:rsid w:val="00F00CBF"/>
    <w:rsid w:val="00F00F7A"/>
    <w:rsid w:val="00F011D3"/>
    <w:rsid w:val="00F0168B"/>
    <w:rsid w:val="00F021DB"/>
    <w:rsid w:val="00F02431"/>
    <w:rsid w:val="00F0291C"/>
    <w:rsid w:val="00F02CC0"/>
    <w:rsid w:val="00F02F89"/>
    <w:rsid w:val="00F0309F"/>
    <w:rsid w:val="00F0359F"/>
    <w:rsid w:val="00F03721"/>
    <w:rsid w:val="00F03A1E"/>
    <w:rsid w:val="00F03B7E"/>
    <w:rsid w:val="00F03DC8"/>
    <w:rsid w:val="00F03E3C"/>
    <w:rsid w:val="00F04340"/>
    <w:rsid w:val="00F04CB1"/>
    <w:rsid w:val="00F04EC7"/>
    <w:rsid w:val="00F05947"/>
    <w:rsid w:val="00F059AF"/>
    <w:rsid w:val="00F05A21"/>
    <w:rsid w:val="00F05E1A"/>
    <w:rsid w:val="00F06BF0"/>
    <w:rsid w:val="00F06FDE"/>
    <w:rsid w:val="00F0789A"/>
    <w:rsid w:val="00F07A54"/>
    <w:rsid w:val="00F07B40"/>
    <w:rsid w:val="00F07C44"/>
    <w:rsid w:val="00F0CED2"/>
    <w:rsid w:val="00F1011A"/>
    <w:rsid w:val="00F101E6"/>
    <w:rsid w:val="00F109B8"/>
    <w:rsid w:val="00F10F19"/>
    <w:rsid w:val="00F1120F"/>
    <w:rsid w:val="00F11821"/>
    <w:rsid w:val="00F11CB1"/>
    <w:rsid w:val="00F12201"/>
    <w:rsid w:val="00F1259D"/>
    <w:rsid w:val="00F1282F"/>
    <w:rsid w:val="00F129F9"/>
    <w:rsid w:val="00F12C3B"/>
    <w:rsid w:val="00F133F9"/>
    <w:rsid w:val="00F13599"/>
    <w:rsid w:val="00F139D4"/>
    <w:rsid w:val="00F13DAC"/>
    <w:rsid w:val="00F14092"/>
    <w:rsid w:val="00F1493B"/>
    <w:rsid w:val="00F15184"/>
    <w:rsid w:val="00F1519A"/>
    <w:rsid w:val="00F154C5"/>
    <w:rsid w:val="00F160A8"/>
    <w:rsid w:val="00F16475"/>
    <w:rsid w:val="00F169E1"/>
    <w:rsid w:val="00F169FA"/>
    <w:rsid w:val="00F177B0"/>
    <w:rsid w:val="00F178B8"/>
    <w:rsid w:val="00F17C3C"/>
    <w:rsid w:val="00F17D48"/>
    <w:rsid w:val="00F17F7B"/>
    <w:rsid w:val="00F20016"/>
    <w:rsid w:val="00F207C6"/>
    <w:rsid w:val="00F20BDE"/>
    <w:rsid w:val="00F21199"/>
    <w:rsid w:val="00F212A3"/>
    <w:rsid w:val="00F2153F"/>
    <w:rsid w:val="00F21A4C"/>
    <w:rsid w:val="00F21DB5"/>
    <w:rsid w:val="00F21E50"/>
    <w:rsid w:val="00F224CF"/>
    <w:rsid w:val="00F226A9"/>
    <w:rsid w:val="00F226C1"/>
    <w:rsid w:val="00F2329C"/>
    <w:rsid w:val="00F2388C"/>
    <w:rsid w:val="00F24054"/>
    <w:rsid w:val="00F2442E"/>
    <w:rsid w:val="00F2463D"/>
    <w:rsid w:val="00F24822"/>
    <w:rsid w:val="00F25E2A"/>
    <w:rsid w:val="00F26102"/>
    <w:rsid w:val="00F26EE0"/>
    <w:rsid w:val="00F27C96"/>
    <w:rsid w:val="00F27E7B"/>
    <w:rsid w:val="00F27FA8"/>
    <w:rsid w:val="00F3021E"/>
    <w:rsid w:val="00F30B68"/>
    <w:rsid w:val="00F30BBA"/>
    <w:rsid w:val="00F30DEC"/>
    <w:rsid w:val="00F3122A"/>
    <w:rsid w:val="00F315A7"/>
    <w:rsid w:val="00F315BE"/>
    <w:rsid w:val="00F315FE"/>
    <w:rsid w:val="00F31B4B"/>
    <w:rsid w:val="00F31DDF"/>
    <w:rsid w:val="00F3212F"/>
    <w:rsid w:val="00F32BCE"/>
    <w:rsid w:val="00F33034"/>
    <w:rsid w:val="00F344E2"/>
    <w:rsid w:val="00F3467F"/>
    <w:rsid w:val="00F34EED"/>
    <w:rsid w:val="00F35944"/>
    <w:rsid w:val="00F35BEC"/>
    <w:rsid w:val="00F36865"/>
    <w:rsid w:val="00F36A42"/>
    <w:rsid w:val="00F36FAE"/>
    <w:rsid w:val="00F371C7"/>
    <w:rsid w:val="00F3797D"/>
    <w:rsid w:val="00F37AD5"/>
    <w:rsid w:val="00F37BBA"/>
    <w:rsid w:val="00F403E8"/>
    <w:rsid w:val="00F405D3"/>
    <w:rsid w:val="00F40981"/>
    <w:rsid w:val="00F40DB6"/>
    <w:rsid w:val="00F41CC5"/>
    <w:rsid w:val="00F420E4"/>
    <w:rsid w:val="00F425E7"/>
    <w:rsid w:val="00F42910"/>
    <w:rsid w:val="00F42B81"/>
    <w:rsid w:val="00F42D6F"/>
    <w:rsid w:val="00F43382"/>
    <w:rsid w:val="00F43997"/>
    <w:rsid w:val="00F439C8"/>
    <w:rsid w:val="00F4419C"/>
    <w:rsid w:val="00F4420E"/>
    <w:rsid w:val="00F445BF"/>
    <w:rsid w:val="00F44DAA"/>
    <w:rsid w:val="00F4513C"/>
    <w:rsid w:val="00F45886"/>
    <w:rsid w:val="00F458DC"/>
    <w:rsid w:val="00F45C98"/>
    <w:rsid w:val="00F45DAA"/>
    <w:rsid w:val="00F45E2B"/>
    <w:rsid w:val="00F46652"/>
    <w:rsid w:val="00F46696"/>
    <w:rsid w:val="00F46D85"/>
    <w:rsid w:val="00F47A75"/>
    <w:rsid w:val="00F50007"/>
    <w:rsid w:val="00F50A36"/>
    <w:rsid w:val="00F50B7E"/>
    <w:rsid w:val="00F50D15"/>
    <w:rsid w:val="00F50E23"/>
    <w:rsid w:val="00F50FA6"/>
    <w:rsid w:val="00F5120A"/>
    <w:rsid w:val="00F5161B"/>
    <w:rsid w:val="00F51A24"/>
    <w:rsid w:val="00F524E5"/>
    <w:rsid w:val="00F52605"/>
    <w:rsid w:val="00F528B9"/>
    <w:rsid w:val="00F52C31"/>
    <w:rsid w:val="00F52C95"/>
    <w:rsid w:val="00F53066"/>
    <w:rsid w:val="00F53623"/>
    <w:rsid w:val="00F537C0"/>
    <w:rsid w:val="00F53D81"/>
    <w:rsid w:val="00F541D0"/>
    <w:rsid w:val="00F54302"/>
    <w:rsid w:val="00F549CE"/>
    <w:rsid w:val="00F550DC"/>
    <w:rsid w:val="00F55D8D"/>
    <w:rsid w:val="00F56A3B"/>
    <w:rsid w:val="00F56EB0"/>
    <w:rsid w:val="00F57284"/>
    <w:rsid w:val="00F5759E"/>
    <w:rsid w:val="00F577DA"/>
    <w:rsid w:val="00F57A29"/>
    <w:rsid w:val="00F57CF1"/>
    <w:rsid w:val="00F57EE5"/>
    <w:rsid w:val="00F6008D"/>
    <w:rsid w:val="00F600F5"/>
    <w:rsid w:val="00F60949"/>
    <w:rsid w:val="00F60ADA"/>
    <w:rsid w:val="00F61304"/>
    <w:rsid w:val="00F61314"/>
    <w:rsid w:val="00F6144D"/>
    <w:rsid w:val="00F6170F"/>
    <w:rsid w:val="00F61D58"/>
    <w:rsid w:val="00F61DFC"/>
    <w:rsid w:val="00F62592"/>
    <w:rsid w:val="00F626DD"/>
    <w:rsid w:val="00F627AD"/>
    <w:rsid w:val="00F63CD2"/>
    <w:rsid w:val="00F643B3"/>
    <w:rsid w:val="00F64BBD"/>
    <w:rsid w:val="00F64E1C"/>
    <w:rsid w:val="00F65226"/>
    <w:rsid w:val="00F66300"/>
    <w:rsid w:val="00F668AA"/>
    <w:rsid w:val="00F67D71"/>
    <w:rsid w:val="00F67FCF"/>
    <w:rsid w:val="00F70037"/>
    <w:rsid w:val="00F7046A"/>
    <w:rsid w:val="00F70480"/>
    <w:rsid w:val="00F70671"/>
    <w:rsid w:val="00F706C8"/>
    <w:rsid w:val="00F708E9"/>
    <w:rsid w:val="00F70946"/>
    <w:rsid w:val="00F70CCD"/>
    <w:rsid w:val="00F71160"/>
    <w:rsid w:val="00F714F6"/>
    <w:rsid w:val="00F71D9D"/>
    <w:rsid w:val="00F72148"/>
    <w:rsid w:val="00F72A23"/>
    <w:rsid w:val="00F72A5F"/>
    <w:rsid w:val="00F72CF9"/>
    <w:rsid w:val="00F731C2"/>
    <w:rsid w:val="00F735CE"/>
    <w:rsid w:val="00F7383A"/>
    <w:rsid w:val="00F7398B"/>
    <w:rsid w:val="00F73F72"/>
    <w:rsid w:val="00F7482C"/>
    <w:rsid w:val="00F74E1A"/>
    <w:rsid w:val="00F74F9C"/>
    <w:rsid w:val="00F751D2"/>
    <w:rsid w:val="00F75295"/>
    <w:rsid w:val="00F761BA"/>
    <w:rsid w:val="00F764C9"/>
    <w:rsid w:val="00F768F7"/>
    <w:rsid w:val="00F772FE"/>
    <w:rsid w:val="00F7741D"/>
    <w:rsid w:val="00F77776"/>
    <w:rsid w:val="00F77963"/>
    <w:rsid w:val="00F77997"/>
    <w:rsid w:val="00F77BEA"/>
    <w:rsid w:val="00F8018A"/>
    <w:rsid w:val="00F8072F"/>
    <w:rsid w:val="00F80A89"/>
    <w:rsid w:val="00F80D00"/>
    <w:rsid w:val="00F812B9"/>
    <w:rsid w:val="00F825EB"/>
    <w:rsid w:val="00F82D0B"/>
    <w:rsid w:val="00F82F64"/>
    <w:rsid w:val="00F833B5"/>
    <w:rsid w:val="00F83533"/>
    <w:rsid w:val="00F83B10"/>
    <w:rsid w:val="00F84439"/>
    <w:rsid w:val="00F84A54"/>
    <w:rsid w:val="00F85604"/>
    <w:rsid w:val="00F856EB"/>
    <w:rsid w:val="00F85951"/>
    <w:rsid w:val="00F85BDC"/>
    <w:rsid w:val="00F85BE5"/>
    <w:rsid w:val="00F85FEB"/>
    <w:rsid w:val="00F86C7E"/>
    <w:rsid w:val="00F86ECB"/>
    <w:rsid w:val="00F87396"/>
    <w:rsid w:val="00F87584"/>
    <w:rsid w:val="00F87C94"/>
    <w:rsid w:val="00F90B16"/>
    <w:rsid w:val="00F90DF7"/>
    <w:rsid w:val="00F91B8A"/>
    <w:rsid w:val="00F91B94"/>
    <w:rsid w:val="00F92709"/>
    <w:rsid w:val="00F92FF4"/>
    <w:rsid w:val="00F931DB"/>
    <w:rsid w:val="00F93475"/>
    <w:rsid w:val="00F93673"/>
    <w:rsid w:val="00F938B9"/>
    <w:rsid w:val="00F93F14"/>
    <w:rsid w:val="00F93F6D"/>
    <w:rsid w:val="00F94463"/>
    <w:rsid w:val="00F94799"/>
    <w:rsid w:val="00F94CB5"/>
    <w:rsid w:val="00F95988"/>
    <w:rsid w:val="00F95AA2"/>
    <w:rsid w:val="00F95FBB"/>
    <w:rsid w:val="00F965FD"/>
    <w:rsid w:val="00F966CC"/>
    <w:rsid w:val="00F966F7"/>
    <w:rsid w:val="00F96C31"/>
    <w:rsid w:val="00F96CF8"/>
    <w:rsid w:val="00F96DE6"/>
    <w:rsid w:val="00F9722A"/>
    <w:rsid w:val="00F97C13"/>
    <w:rsid w:val="00F97F50"/>
    <w:rsid w:val="00FA0551"/>
    <w:rsid w:val="00FA06D5"/>
    <w:rsid w:val="00FA0B9A"/>
    <w:rsid w:val="00FA0E70"/>
    <w:rsid w:val="00FA2633"/>
    <w:rsid w:val="00FA2A36"/>
    <w:rsid w:val="00FA2B94"/>
    <w:rsid w:val="00FA35B2"/>
    <w:rsid w:val="00FA3B2E"/>
    <w:rsid w:val="00FA3DA1"/>
    <w:rsid w:val="00FA4203"/>
    <w:rsid w:val="00FA47FC"/>
    <w:rsid w:val="00FA48A4"/>
    <w:rsid w:val="00FA4B6A"/>
    <w:rsid w:val="00FA4C98"/>
    <w:rsid w:val="00FA4D20"/>
    <w:rsid w:val="00FA51E8"/>
    <w:rsid w:val="00FA52AA"/>
    <w:rsid w:val="00FA52CD"/>
    <w:rsid w:val="00FA55B1"/>
    <w:rsid w:val="00FA663C"/>
    <w:rsid w:val="00FA6CEE"/>
    <w:rsid w:val="00FA7321"/>
    <w:rsid w:val="00FA770D"/>
    <w:rsid w:val="00FA777F"/>
    <w:rsid w:val="00FB02EB"/>
    <w:rsid w:val="00FB03E6"/>
    <w:rsid w:val="00FB0D2F"/>
    <w:rsid w:val="00FB106B"/>
    <w:rsid w:val="00FB1216"/>
    <w:rsid w:val="00FB14C8"/>
    <w:rsid w:val="00FB1605"/>
    <w:rsid w:val="00FB18AD"/>
    <w:rsid w:val="00FB1AC9"/>
    <w:rsid w:val="00FB2291"/>
    <w:rsid w:val="00FB2760"/>
    <w:rsid w:val="00FB3473"/>
    <w:rsid w:val="00FB3928"/>
    <w:rsid w:val="00FB3936"/>
    <w:rsid w:val="00FB3F54"/>
    <w:rsid w:val="00FB42BC"/>
    <w:rsid w:val="00FB441A"/>
    <w:rsid w:val="00FB4753"/>
    <w:rsid w:val="00FB49F5"/>
    <w:rsid w:val="00FB4E02"/>
    <w:rsid w:val="00FB5D63"/>
    <w:rsid w:val="00FB5F64"/>
    <w:rsid w:val="00FB6634"/>
    <w:rsid w:val="00FB6AA1"/>
    <w:rsid w:val="00FB6AF3"/>
    <w:rsid w:val="00FB6C9F"/>
    <w:rsid w:val="00FB6D1E"/>
    <w:rsid w:val="00FB726A"/>
    <w:rsid w:val="00FB73D5"/>
    <w:rsid w:val="00FB77A3"/>
    <w:rsid w:val="00FB7BF6"/>
    <w:rsid w:val="00FC0A12"/>
    <w:rsid w:val="00FC0CAC"/>
    <w:rsid w:val="00FC0D44"/>
    <w:rsid w:val="00FC1026"/>
    <w:rsid w:val="00FC10C4"/>
    <w:rsid w:val="00FC180C"/>
    <w:rsid w:val="00FC1A73"/>
    <w:rsid w:val="00FC2993"/>
    <w:rsid w:val="00FC2BF8"/>
    <w:rsid w:val="00FC2C3A"/>
    <w:rsid w:val="00FC2EA6"/>
    <w:rsid w:val="00FC321B"/>
    <w:rsid w:val="00FC3261"/>
    <w:rsid w:val="00FC3300"/>
    <w:rsid w:val="00FC3A40"/>
    <w:rsid w:val="00FC3DC9"/>
    <w:rsid w:val="00FC3DD9"/>
    <w:rsid w:val="00FC44E9"/>
    <w:rsid w:val="00FC4616"/>
    <w:rsid w:val="00FC462F"/>
    <w:rsid w:val="00FC4A27"/>
    <w:rsid w:val="00FC57EE"/>
    <w:rsid w:val="00FC5947"/>
    <w:rsid w:val="00FC5CAC"/>
    <w:rsid w:val="00FC6A2D"/>
    <w:rsid w:val="00FC6C0E"/>
    <w:rsid w:val="00FC771C"/>
    <w:rsid w:val="00FC7927"/>
    <w:rsid w:val="00FD0160"/>
    <w:rsid w:val="00FD06F6"/>
    <w:rsid w:val="00FD0FBD"/>
    <w:rsid w:val="00FD11FE"/>
    <w:rsid w:val="00FD1ABE"/>
    <w:rsid w:val="00FD1DE5"/>
    <w:rsid w:val="00FD2916"/>
    <w:rsid w:val="00FD296F"/>
    <w:rsid w:val="00FD2BAD"/>
    <w:rsid w:val="00FD2BEE"/>
    <w:rsid w:val="00FD3805"/>
    <w:rsid w:val="00FD3B74"/>
    <w:rsid w:val="00FD42BE"/>
    <w:rsid w:val="00FD4853"/>
    <w:rsid w:val="00FD5032"/>
    <w:rsid w:val="00FD5145"/>
    <w:rsid w:val="00FD528A"/>
    <w:rsid w:val="00FD5B4E"/>
    <w:rsid w:val="00FD5CA0"/>
    <w:rsid w:val="00FD65DB"/>
    <w:rsid w:val="00FD687C"/>
    <w:rsid w:val="00FD6CD6"/>
    <w:rsid w:val="00FD6CF8"/>
    <w:rsid w:val="00FD733D"/>
    <w:rsid w:val="00FD7C36"/>
    <w:rsid w:val="00FE003E"/>
    <w:rsid w:val="00FE0519"/>
    <w:rsid w:val="00FE079F"/>
    <w:rsid w:val="00FE1A7E"/>
    <w:rsid w:val="00FE1E9B"/>
    <w:rsid w:val="00FE1F87"/>
    <w:rsid w:val="00FE20A9"/>
    <w:rsid w:val="00FE21FB"/>
    <w:rsid w:val="00FE2A80"/>
    <w:rsid w:val="00FE311B"/>
    <w:rsid w:val="00FE3462"/>
    <w:rsid w:val="00FE381A"/>
    <w:rsid w:val="00FE39B0"/>
    <w:rsid w:val="00FE4288"/>
    <w:rsid w:val="00FE45D1"/>
    <w:rsid w:val="00FE45E0"/>
    <w:rsid w:val="00FE4ED2"/>
    <w:rsid w:val="00FE55F5"/>
    <w:rsid w:val="00FE5613"/>
    <w:rsid w:val="00FE5AE9"/>
    <w:rsid w:val="00FE5EAA"/>
    <w:rsid w:val="00FE649E"/>
    <w:rsid w:val="00FE6737"/>
    <w:rsid w:val="00FE69CE"/>
    <w:rsid w:val="00FE6C29"/>
    <w:rsid w:val="00FE6CEB"/>
    <w:rsid w:val="00FE7522"/>
    <w:rsid w:val="00FF0681"/>
    <w:rsid w:val="00FF0B8B"/>
    <w:rsid w:val="00FF0E7D"/>
    <w:rsid w:val="00FF11A7"/>
    <w:rsid w:val="00FF168D"/>
    <w:rsid w:val="00FF1730"/>
    <w:rsid w:val="00FF17BE"/>
    <w:rsid w:val="00FF190E"/>
    <w:rsid w:val="00FF191E"/>
    <w:rsid w:val="00FF1FAC"/>
    <w:rsid w:val="00FF3265"/>
    <w:rsid w:val="00FF344A"/>
    <w:rsid w:val="00FF3FA6"/>
    <w:rsid w:val="00FF43B4"/>
    <w:rsid w:val="00FF4E1D"/>
    <w:rsid w:val="00FF4F88"/>
    <w:rsid w:val="00FF52C3"/>
    <w:rsid w:val="00FF58E4"/>
    <w:rsid w:val="00FF5AFE"/>
    <w:rsid w:val="00FF5E95"/>
    <w:rsid w:val="00FF629D"/>
    <w:rsid w:val="00FF62D5"/>
    <w:rsid w:val="00FF6DD9"/>
    <w:rsid w:val="00FF703C"/>
    <w:rsid w:val="00FF70B0"/>
    <w:rsid w:val="00FF70C5"/>
    <w:rsid w:val="00FF75CA"/>
    <w:rsid w:val="00FF7B8D"/>
    <w:rsid w:val="01142677"/>
    <w:rsid w:val="01166963"/>
    <w:rsid w:val="01413927"/>
    <w:rsid w:val="0143C747"/>
    <w:rsid w:val="015D8ED1"/>
    <w:rsid w:val="01600CE6"/>
    <w:rsid w:val="0163925B"/>
    <w:rsid w:val="01697275"/>
    <w:rsid w:val="0169C04E"/>
    <w:rsid w:val="016ECE59"/>
    <w:rsid w:val="017ECAB0"/>
    <w:rsid w:val="01838300"/>
    <w:rsid w:val="01879C80"/>
    <w:rsid w:val="0193EC5F"/>
    <w:rsid w:val="01993600"/>
    <w:rsid w:val="019CF11A"/>
    <w:rsid w:val="01AEE359"/>
    <w:rsid w:val="01B115B7"/>
    <w:rsid w:val="01B141CA"/>
    <w:rsid w:val="01B385BE"/>
    <w:rsid w:val="01BA4BA3"/>
    <w:rsid w:val="01BF26BF"/>
    <w:rsid w:val="01CAD3E3"/>
    <w:rsid w:val="01E0918C"/>
    <w:rsid w:val="01ED6DD5"/>
    <w:rsid w:val="01FC4FA3"/>
    <w:rsid w:val="020A4C6C"/>
    <w:rsid w:val="021037A2"/>
    <w:rsid w:val="0212377B"/>
    <w:rsid w:val="0215191A"/>
    <w:rsid w:val="0215AB90"/>
    <w:rsid w:val="021AF3B0"/>
    <w:rsid w:val="021DA64F"/>
    <w:rsid w:val="0225D6E1"/>
    <w:rsid w:val="0228BDD1"/>
    <w:rsid w:val="022B14B8"/>
    <w:rsid w:val="0239F3D0"/>
    <w:rsid w:val="028A70E6"/>
    <w:rsid w:val="029A4E24"/>
    <w:rsid w:val="02AC8DCF"/>
    <w:rsid w:val="02BD7F22"/>
    <w:rsid w:val="02DC4201"/>
    <w:rsid w:val="0300EE87"/>
    <w:rsid w:val="03089A09"/>
    <w:rsid w:val="0325A66E"/>
    <w:rsid w:val="032D1EB1"/>
    <w:rsid w:val="032FE551"/>
    <w:rsid w:val="03373661"/>
    <w:rsid w:val="0350DB93"/>
    <w:rsid w:val="0353D723"/>
    <w:rsid w:val="0364CA8F"/>
    <w:rsid w:val="03696536"/>
    <w:rsid w:val="0379C240"/>
    <w:rsid w:val="038C05AA"/>
    <w:rsid w:val="0394C0A3"/>
    <w:rsid w:val="039950AE"/>
    <w:rsid w:val="039C06D9"/>
    <w:rsid w:val="03A5C134"/>
    <w:rsid w:val="03A9F7F3"/>
    <w:rsid w:val="03EE92C1"/>
    <w:rsid w:val="03F9790A"/>
    <w:rsid w:val="03FAA033"/>
    <w:rsid w:val="0402C9E5"/>
    <w:rsid w:val="0403FE8F"/>
    <w:rsid w:val="04264147"/>
    <w:rsid w:val="04508DCD"/>
    <w:rsid w:val="046BD76A"/>
    <w:rsid w:val="046FAB21"/>
    <w:rsid w:val="04725A2D"/>
    <w:rsid w:val="048FB726"/>
    <w:rsid w:val="0498F7B8"/>
    <w:rsid w:val="04DD33D5"/>
    <w:rsid w:val="04ED13D7"/>
    <w:rsid w:val="04F112B7"/>
    <w:rsid w:val="050BE63A"/>
    <w:rsid w:val="051C94CE"/>
    <w:rsid w:val="053A2CB9"/>
    <w:rsid w:val="053C3AAA"/>
    <w:rsid w:val="054185BA"/>
    <w:rsid w:val="05453074"/>
    <w:rsid w:val="054CB9DC"/>
    <w:rsid w:val="054EA55D"/>
    <w:rsid w:val="0553EA0F"/>
    <w:rsid w:val="055A4C23"/>
    <w:rsid w:val="05789E6C"/>
    <w:rsid w:val="05880E21"/>
    <w:rsid w:val="059BB5AC"/>
    <w:rsid w:val="05B82BE4"/>
    <w:rsid w:val="05C5B42E"/>
    <w:rsid w:val="05CFA0DD"/>
    <w:rsid w:val="05D14D44"/>
    <w:rsid w:val="05D9138D"/>
    <w:rsid w:val="05F43A38"/>
    <w:rsid w:val="060065B6"/>
    <w:rsid w:val="060D822A"/>
    <w:rsid w:val="061E22CC"/>
    <w:rsid w:val="06209C24"/>
    <w:rsid w:val="06243150"/>
    <w:rsid w:val="0628F31F"/>
    <w:rsid w:val="062E072C"/>
    <w:rsid w:val="063CC395"/>
    <w:rsid w:val="06431A83"/>
    <w:rsid w:val="0656A153"/>
    <w:rsid w:val="0677972D"/>
    <w:rsid w:val="068283C5"/>
    <w:rsid w:val="06856F6F"/>
    <w:rsid w:val="068D1303"/>
    <w:rsid w:val="06933277"/>
    <w:rsid w:val="06994010"/>
    <w:rsid w:val="0699BB7B"/>
    <w:rsid w:val="06A41B9C"/>
    <w:rsid w:val="06B383B1"/>
    <w:rsid w:val="06B8A660"/>
    <w:rsid w:val="06E1B9FF"/>
    <w:rsid w:val="07046CF0"/>
    <w:rsid w:val="070A9E52"/>
    <w:rsid w:val="0718CC5C"/>
    <w:rsid w:val="072735BA"/>
    <w:rsid w:val="0733F680"/>
    <w:rsid w:val="075412B6"/>
    <w:rsid w:val="0754CA43"/>
    <w:rsid w:val="07563232"/>
    <w:rsid w:val="075A1348"/>
    <w:rsid w:val="077F0807"/>
    <w:rsid w:val="07801B18"/>
    <w:rsid w:val="078A7BCC"/>
    <w:rsid w:val="07913FFF"/>
    <w:rsid w:val="07A60E67"/>
    <w:rsid w:val="07CFB5FD"/>
    <w:rsid w:val="07DF4B2F"/>
    <w:rsid w:val="07E495B8"/>
    <w:rsid w:val="07E951DA"/>
    <w:rsid w:val="07F170A0"/>
    <w:rsid w:val="07F2E393"/>
    <w:rsid w:val="0800BB83"/>
    <w:rsid w:val="080146CA"/>
    <w:rsid w:val="0802DA2E"/>
    <w:rsid w:val="081D415C"/>
    <w:rsid w:val="082319CB"/>
    <w:rsid w:val="082D97DB"/>
    <w:rsid w:val="0833ED11"/>
    <w:rsid w:val="0852A854"/>
    <w:rsid w:val="085AB075"/>
    <w:rsid w:val="08602413"/>
    <w:rsid w:val="087902BA"/>
    <w:rsid w:val="0887589D"/>
    <w:rsid w:val="088D709E"/>
    <w:rsid w:val="08944646"/>
    <w:rsid w:val="089D91AC"/>
    <w:rsid w:val="089F648C"/>
    <w:rsid w:val="08AEF8DA"/>
    <w:rsid w:val="08AF0956"/>
    <w:rsid w:val="08AF1E08"/>
    <w:rsid w:val="08BEA643"/>
    <w:rsid w:val="08D9ECB2"/>
    <w:rsid w:val="08DA04D4"/>
    <w:rsid w:val="08E04BA9"/>
    <w:rsid w:val="08E407C5"/>
    <w:rsid w:val="08E48743"/>
    <w:rsid w:val="08F3C12E"/>
    <w:rsid w:val="08F9B26A"/>
    <w:rsid w:val="08FDD9D7"/>
    <w:rsid w:val="090D5C37"/>
    <w:rsid w:val="0919B0BE"/>
    <w:rsid w:val="09385065"/>
    <w:rsid w:val="09428912"/>
    <w:rsid w:val="095C0DCD"/>
    <w:rsid w:val="0968D1C3"/>
    <w:rsid w:val="09757FD3"/>
    <w:rsid w:val="09833798"/>
    <w:rsid w:val="098546FB"/>
    <w:rsid w:val="09948846"/>
    <w:rsid w:val="09952659"/>
    <w:rsid w:val="099D0533"/>
    <w:rsid w:val="099D8EB4"/>
    <w:rsid w:val="09D21EA0"/>
    <w:rsid w:val="09DF575D"/>
    <w:rsid w:val="09E43C16"/>
    <w:rsid w:val="09E8B325"/>
    <w:rsid w:val="09F6F6BB"/>
    <w:rsid w:val="0A13C9AA"/>
    <w:rsid w:val="0A18131A"/>
    <w:rsid w:val="0A1852F1"/>
    <w:rsid w:val="0A2A5709"/>
    <w:rsid w:val="0A2BBECC"/>
    <w:rsid w:val="0A36BA2D"/>
    <w:rsid w:val="0A3CB042"/>
    <w:rsid w:val="0A3FD3A6"/>
    <w:rsid w:val="0A702AEC"/>
    <w:rsid w:val="0A71FBB3"/>
    <w:rsid w:val="0A7E0219"/>
    <w:rsid w:val="0A8074A2"/>
    <w:rsid w:val="0A87F717"/>
    <w:rsid w:val="0A88960F"/>
    <w:rsid w:val="0A889DE1"/>
    <w:rsid w:val="0A898823"/>
    <w:rsid w:val="0A912893"/>
    <w:rsid w:val="0A92F714"/>
    <w:rsid w:val="0A9661C0"/>
    <w:rsid w:val="0AA23F91"/>
    <w:rsid w:val="0AB5CF6F"/>
    <w:rsid w:val="0AEB3002"/>
    <w:rsid w:val="0AF97370"/>
    <w:rsid w:val="0B042118"/>
    <w:rsid w:val="0B05C297"/>
    <w:rsid w:val="0B13AA38"/>
    <w:rsid w:val="0B13EDF2"/>
    <w:rsid w:val="0B2F71C1"/>
    <w:rsid w:val="0B33A09B"/>
    <w:rsid w:val="0B3663E3"/>
    <w:rsid w:val="0B3C2819"/>
    <w:rsid w:val="0B503FBC"/>
    <w:rsid w:val="0B530B06"/>
    <w:rsid w:val="0B5B2E8A"/>
    <w:rsid w:val="0B6188AD"/>
    <w:rsid w:val="0B6C70B3"/>
    <w:rsid w:val="0B75B22A"/>
    <w:rsid w:val="0B77ED8C"/>
    <w:rsid w:val="0BA19645"/>
    <w:rsid w:val="0BB0193E"/>
    <w:rsid w:val="0BBC8DD6"/>
    <w:rsid w:val="0BC04627"/>
    <w:rsid w:val="0BC4D3B4"/>
    <w:rsid w:val="0BC5DF93"/>
    <w:rsid w:val="0BCEF79D"/>
    <w:rsid w:val="0BE5B9E2"/>
    <w:rsid w:val="0BF18F36"/>
    <w:rsid w:val="0BF7E628"/>
    <w:rsid w:val="0C35FDCF"/>
    <w:rsid w:val="0C5E8CB5"/>
    <w:rsid w:val="0C6996B5"/>
    <w:rsid w:val="0C6EEAB1"/>
    <w:rsid w:val="0C8350D3"/>
    <w:rsid w:val="0C84DC1A"/>
    <w:rsid w:val="0CB2A485"/>
    <w:rsid w:val="0CB58DC0"/>
    <w:rsid w:val="0CD0A5AC"/>
    <w:rsid w:val="0CD3C26C"/>
    <w:rsid w:val="0CE1F0E2"/>
    <w:rsid w:val="0CE45811"/>
    <w:rsid w:val="0CEA8917"/>
    <w:rsid w:val="0CED58B9"/>
    <w:rsid w:val="0D045ABF"/>
    <w:rsid w:val="0D0A2A17"/>
    <w:rsid w:val="0D0E06F1"/>
    <w:rsid w:val="0D0F32DA"/>
    <w:rsid w:val="0D116F2C"/>
    <w:rsid w:val="0D270E3F"/>
    <w:rsid w:val="0D34144C"/>
    <w:rsid w:val="0D36EFD8"/>
    <w:rsid w:val="0D499147"/>
    <w:rsid w:val="0D5961CC"/>
    <w:rsid w:val="0D60AB76"/>
    <w:rsid w:val="0D6273DC"/>
    <w:rsid w:val="0D6AC7FE"/>
    <w:rsid w:val="0D6D9DA1"/>
    <w:rsid w:val="0D70981F"/>
    <w:rsid w:val="0D73E87B"/>
    <w:rsid w:val="0D8797CA"/>
    <w:rsid w:val="0D88189D"/>
    <w:rsid w:val="0DADF72A"/>
    <w:rsid w:val="0DB6E76F"/>
    <w:rsid w:val="0DC98DA4"/>
    <w:rsid w:val="0DDD606D"/>
    <w:rsid w:val="0E05E61B"/>
    <w:rsid w:val="0E138D09"/>
    <w:rsid w:val="0E18C83A"/>
    <w:rsid w:val="0E198CF9"/>
    <w:rsid w:val="0E23E905"/>
    <w:rsid w:val="0E53A26A"/>
    <w:rsid w:val="0E578ABF"/>
    <w:rsid w:val="0E6C13D5"/>
    <w:rsid w:val="0E74072E"/>
    <w:rsid w:val="0E7957DA"/>
    <w:rsid w:val="0E7C69E0"/>
    <w:rsid w:val="0E7CE69B"/>
    <w:rsid w:val="0E8E02E3"/>
    <w:rsid w:val="0EC146D9"/>
    <w:rsid w:val="0ED91424"/>
    <w:rsid w:val="0EEEE029"/>
    <w:rsid w:val="0EFD92F9"/>
    <w:rsid w:val="0F02227A"/>
    <w:rsid w:val="0F05B878"/>
    <w:rsid w:val="0F096901"/>
    <w:rsid w:val="0F10A4E3"/>
    <w:rsid w:val="0F1D8297"/>
    <w:rsid w:val="0F264259"/>
    <w:rsid w:val="0F3DD9A3"/>
    <w:rsid w:val="0F453628"/>
    <w:rsid w:val="0F49CA7A"/>
    <w:rsid w:val="0F691861"/>
    <w:rsid w:val="0F8A7534"/>
    <w:rsid w:val="0F9284F6"/>
    <w:rsid w:val="0FA4F161"/>
    <w:rsid w:val="0FA68B73"/>
    <w:rsid w:val="0FBA0DF3"/>
    <w:rsid w:val="0FCF5A9D"/>
    <w:rsid w:val="0FCFC648"/>
    <w:rsid w:val="0FE1060A"/>
    <w:rsid w:val="0FE6F9A7"/>
    <w:rsid w:val="0FF02DB9"/>
    <w:rsid w:val="0FFE45F2"/>
    <w:rsid w:val="100EADC0"/>
    <w:rsid w:val="1032E935"/>
    <w:rsid w:val="103E8D1B"/>
    <w:rsid w:val="10457E98"/>
    <w:rsid w:val="1051D0BD"/>
    <w:rsid w:val="1057396F"/>
    <w:rsid w:val="1077DA31"/>
    <w:rsid w:val="107D681B"/>
    <w:rsid w:val="108CBEFB"/>
    <w:rsid w:val="1096B289"/>
    <w:rsid w:val="10A0D529"/>
    <w:rsid w:val="10A2DD0B"/>
    <w:rsid w:val="10A9F11A"/>
    <w:rsid w:val="10ACE7F0"/>
    <w:rsid w:val="10AE9223"/>
    <w:rsid w:val="10C33C72"/>
    <w:rsid w:val="10C9E56B"/>
    <w:rsid w:val="10D39643"/>
    <w:rsid w:val="10DACABD"/>
    <w:rsid w:val="10E630BF"/>
    <w:rsid w:val="10F1F88D"/>
    <w:rsid w:val="1105B458"/>
    <w:rsid w:val="1121F05C"/>
    <w:rsid w:val="113E9D71"/>
    <w:rsid w:val="1141FC6F"/>
    <w:rsid w:val="116D5AE2"/>
    <w:rsid w:val="118D6C33"/>
    <w:rsid w:val="118E4CE6"/>
    <w:rsid w:val="119947C7"/>
    <w:rsid w:val="11ACB00A"/>
    <w:rsid w:val="11BEF09D"/>
    <w:rsid w:val="11C8FDBD"/>
    <w:rsid w:val="11C982D1"/>
    <w:rsid w:val="11DCC93D"/>
    <w:rsid w:val="11E864BC"/>
    <w:rsid w:val="11F82FBF"/>
    <w:rsid w:val="1202AD0E"/>
    <w:rsid w:val="121A52CC"/>
    <w:rsid w:val="122BB35A"/>
    <w:rsid w:val="122F52B2"/>
    <w:rsid w:val="1238B1E7"/>
    <w:rsid w:val="12492FB8"/>
    <w:rsid w:val="125D6C4C"/>
    <w:rsid w:val="126B3ECC"/>
    <w:rsid w:val="1285CABA"/>
    <w:rsid w:val="12860784"/>
    <w:rsid w:val="1290791C"/>
    <w:rsid w:val="1292C5D5"/>
    <w:rsid w:val="12936BF7"/>
    <w:rsid w:val="1297B41D"/>
    <w:rsid w:val="129D4F5E"/>
    <w:rsid w:val="12A31C67"/>
    <w:rsid w:val="12A40CB8"/>
    <w:rsid w:val="12B807BB"/>
    <w:rsid w:val="12B9D99D"/>
    <w:rsid w:val="12D4BE26"/>
    <w:rsid w:val="12D5C545"/>
    <w:rsid w:val="12E14AA0"/>
    <w:rsid w:val="131F924D"/>
    <w:rsid w:val="132516BB"/>
    <w:rsid w:val="13390ABB"/>
    <w:rsid w:val="133C9BC3"/>
    <w:rsid w:val="1369008B"/>
    <w:rsid w:val="136BDBE0"/>
    <w:rsid w:val="136DA33E"/>
    <w:rsid w:val="136DA781"/>
    <w:rsid w:val="1370A6E5"/>
    <w:rsid w:val="137230D4"/>
    <w:rsid w:val="138639A3"/>
    <w:rsid w:val="138B581E"/>
    <w:rsid w:val="139AB53D"/>
    <w:rsid w:val="13A91A00"/>
    <w:rsid w:val="13BFE428"/>
    <w:rsid w:val="13D231FD"/>
    <w:rsid w:val="13F34DAD"/>
    <w:rsid w:val="13F387BB"/>
    <w:rsid w:val="1407C14B"/>
    <w:rsid w:val="1422A512"/>
    <w:rsid w:val="143F9CB2"/>
    <w:rsid w:val="1459B91F"/>
    <w:rsid w:val="1467B45B"/>
    <w:rsid w:val="148A9F25"/>
    <w:rsid w:val="14A1A7DB"/>
    <w:rsid w:val="14A9770D"/>
    <w:rsid w:val="14AC2E08"/>
    <w:rsid w:val="14BA0DD2"/>
    <w:rsid w:val="14CB4313"/>
    <w:rsid w:val="14D844F5"/>
    <w:rsid w:val="14E8D8CB"/>
    <w:rsid w:val="14FB864E"/>
    <w:rsid w:val="1502EE98"/>
    <w:rsid w:val="1520086C"/>
    <w:rsid w:val="15220A04"/>
    <w:rsid w:val="152BEE5B"/>
    <w:rsid w:val="152EB8F8"/>
    <w:rsid w:val="153B6D66"/>
    <w:rsid w:val="153D81F6"/>
    <w:rsid w:val="1545AF24"/>
    <w:rsid w:val="15498959"/>
    <w:rsid w:val="155727DC"/>
    <w:rsid w:val="1558369E"/>
    <w:rsid w:val="155B1EB8"/>
    <w:rsid w:val="155E32F9"/>
    <w:rsid w:val="157159BB"/>
    <w:rsid w:val="15820ADA"/>
    <w:rsid w:val="15846A4A"/>
    <w:rsid w:val="159221E7"/>
    <w:rsid w:val="159DBF83"/>
    <w:rsid w:val="159E71E7"/>
    <w:rsid w:val="15C65050"/>
    <w:rsid w:val="15D33D2E"/>
    <w:rsid w:val="15D40231"/>
    <w:rsid w:val="15D82223"/>
    <w:rsid w:val="15EDA6D8"/>
    <w:rsid w:val="15F05AB2"/>
    <w:rsid w:val="15F818B2"/>
    <w:rsid w:val="1613E707"/>
    <w:rsid w:val="161E498C"/>
    <w:rsid w:val="163264AD"/>
    <w:rsid w:val="1645FA80"/>
    <w:rsid w:val="16505119"/>
    <w:rsid w:val="165648B6"/>
    <w:rsid w:val="16AD22E5"/>
    <w:rsid w:val="16B99C05"/>
    <w:rsid w:val="16CEF1D1"/>
    <w:rsid w:val="170082FA"/>
    <w:rsid w:val="17024CAF"/>
    <w:rsid w:val="170C4E56"/>
    <w:rsid w:val="1717154D"/>
    <w:rsid w:val="1723655E"/>
    <w:rsid w:val="173115D4"/>
    <w:rsid w:val="17340D19"/>
    <w:rsid w:val="175A45D4"/>
    <w:rsid w:val="17618C35"/>
    <w:rsid w:val="17691419"/>
    <w:rsid w:val="17698BB0"/>
    <w:rsid w:val="177198E8"/>
    <w:rsid w:val="17808FDC"/>
    <w:rsid w:val="1793A004"/>
    <w:rsid w:val="179D6D34"/>
    <w:rsid w:val="179F4976"/>
    <w:rsid w:val="17B47C76"/>
    <w:rsid w:val="17B8FE14"/>
    <w:rsid w:val="17DB3D5A"/>
    <w:rsid w:val="18005FC3"/>
    <w:rsid w:val="1805B8F2"/>
    <w:rsid w:val="18144746"/>
    <w:rsid w:val="1814EF54"/>
    <w:rsid w:val="181B1308"/>
    <w:rsid w:val="18230636"/>
    <w:rsid w:val="1823DF68"/>
    <w:rsid w:val="18335522"/>
    <w:rsid w:val="1838CF0F"/>
    <w:rsid w:val="18412706"/>
    <w:rsid w:val="184251AA"/>
    <w:rsid w:val="1861C1D9"/>
    <w:rsid w:val="18A00C4F"/>
    <w:rsid w:val="18AF9BCF"/>
    <w:rsid w:val="18B82ED7"/>
    <w:rsid w:val="18B88B65"/>
    <w:rsid w:val="18C44822"/>
    <w:rsid w:val="18C45899"/>
    <w:rsid w:val="18DD3893"/>
    <w:rsid w:val="18E9D750"/>
    <w:rsid w:val="18F2A8AF"/>
    <w:rsid w:val="18F786BE"/>
    <w:rsid w:val="1901871B"/>
    <w:rsid w:val="1903F3A6"/>
    <w:rsid w:val="191EF1B4"/>
    <w:rsid w:val="1939DE34"/>
    <w:rsid w:val="1946E347"/>
    <w:rsid w:val="1957769E"/>
    <w:rsid w:val="1959BFB6"/>
    <w:rsid w:val="1974DA80"/>
    <w:rsid w:val="1983E9D3"/>
    <w:rsid w:val="19916F87"/>
    <w:rsid w:val="19991D17"/>
    <w:rsid w:val="19ABB516"/>
    <w:rsid w:val="19C88F36"/>
    <w:rsid w:val="19CC3C5B"/>
    <w:rsid w:val="19CDC571"/>
    <w:rsid w:val="19D75F5C"/>
    <w:rsid w:val="19E58D75"/>
    <w:rsid w:val="19F57B27"/>
    <w:rsid w:val="19F8264A"/>
    <w:rsid w:val="1A04EDB4"/>
    <w:rsid w:val="1A091408"/>
    <w:rsid w:val="1A120CBF"/>
    <w:rsid w:val="1A1E326E"/>
    <w:rsid w:val="1A2B4D07"/>
    <w:rsid w:val="1A3F8A11"/>
    <w:rsid w:val="1A439D3E"/>
    <w:rsid w:val="1A6A1A01"/>
    <w:rsid w:val="1A787CB6"/>
    <w:rsid w:val="1A7DDC6C"/>
    <w:rsid w:val="1A7DE00F"/>
    <w:rsid w:val="1A80F1BE"/>
    <w:rsid w:val="1A8F3FA3"/>
    <w:rsid w:val="1A9B811C"/>
    <w:rsid w:val="1AB0DE04"/>
    <w:rsid w:val="1ABAC0F5"/>
    <w:rsid w:val="1AD83221"/>
    <w:rsid w:val="1AD8E180"/>
    <w:rsid w:val="1AE3CC28"/>
    <w:rsid w:val="1AF15EA3"/>
    <w:rsid w:val="1AF3F3BD"/>
    <w:rsid w:val="1AF7F214"/>
    <w:rsid w:val="1AFE775E"/>
    <w:rsid w:val="1B078F55"/>
    <w:rsid w:val="1B158B87"/>
    <w:rsid w:val="1B238DB3"/>
    <w:rsid w:val="1B458C7A"/>
    <w:rsid w:val="1B461560"/>
    <w:rsid w:val="1B474278"/>
    <w:rsid w:val="1B53905F"/>
    <w:rsid w:val="1B5AE32D"/>
    <w:rsid w:val="1B5E8031"/>
    <w:rsid w:val="1B646FE8"/>
    <w:rsid w:val="1B6EAF09"/>
    <w:rsid w:val="1B7A8973"/>
    <w:rsid w:val="1B822831"/>
    <w:rsid w:val="1B933DEA"/>
    <w:rsid w:val="1BA68272"/>
    <w:rsid w:val="1BB20E44"/>
    <w:rsid w:val="1BCA0C04"/>
    <w:rsid w:val="1BE3A0C6"/>
    <w:rsid w:val="1BF68FA2"/>
    <w:rsid w:val="1C1FDBBB"/>
    <w:rsid w:val="1C250241"/>
    <w:rsid w:val="1C3F1DCB"/>
    <w:rsid w:val="1C77EC13"/>
    <w:rsid w:val="1C80A345"/>
    <w:rsid w:val="1C98F49F"/>
    <w:rsid w:val="1CA3252B"/>
    <w:rsid w:val="1CA9338C"/>
    <w:rsid w:val="1CAC6C33"/>
    <w:rsid w:val="1CB016A3"/>
    <w:rsid w:val="1CB31457"/>
    <w:rsid w:val="1CBE83D5"/>
    <w:rsid w:val="1CC67493"/>
    <w:rsid w:val="1CC9E129"/>
    <w:rsid w:val="1CD2A43B"/>
    <w:rsid w:val="1CD83CBA"/>
    <w:rsid w:val="1CE80A18"/>
    <w:rsid w:val="1CF02520"/>
    <w:rsid w:val="1D03C34B"/>
    <w:rsid w:val="1D17274A"/>
    <w:rsid w:val="1D2F4FD1"/>
    <w:rsid w:val="1D31CF3D"/>
    <w:rsid w:val="1D895847"/>
    <w:rsid w:val="1D942190"/>
    <w:rsid w:val="1D9A81EB"/>
    <w:rsid w:val="1DA87D08"/>
    <w:rsid w:val="1DB21D29"/>
    <w:rsid w:val="1DB6B223"/>
    <w:rsid w:val="1DCF9B9C"/>
    <w:rsid w:val="1DD03021"/>
    <w:rsid w:val="1DED6E1E"/>
    <w:rsid w:val="1E0468B8"/>
    <w:rsid w:val="1E0A3DAC"/>
    <w:rsid w:val="1E18C1DE"/>
    <w:rsid w:val="1E3399A9"/>
    <w:rsid w:val="1E4517FB"/>
    <w:rsid w:val="1E4C029F"/>
    <w:rsid w:val="1E6C124A"/>
    <w:rsid w:val="1E7D90ED"/>
    <w:rsid w:val="1E81A678"/>
    <w:rsid w:val="1E84B9A1"/>
    <w:rsid w:val="1EB2E762"/>
    <w:rsid w:val="1EC3FDCA"/>
    <w:rsid w:val="1ED2B117"/>
    <w:rsid w:val="1EED28D0"/>
    <w:rsid w:val="1F067044"/>
    <w:rsid w:val="1F081AA9"/>
    <w:rsid w:val="1F0BFA38"/>
    <w:rsid w:val="1F291880"/>
    <w:rsid w:val="1F38E563"/>
    <w:rsid w:val="1F428239"/>
    <w:rsid w:val="1F4A8D3D"/>
    <w:rsid w:val="1F5607E7"/>
    <w:rsid w:val="1F68B443"/>
    <w:rsid w:val="1F6ED944"/>
    <w:rsid w:val="1F91076E"/>
    <w:rsid w:val="1FCA1161"/>
    <w:rsid w:val="1FD2430A"/>
    <w:rsid w:val="1FDFF7E9"/>
    <w:rsid w:val="1FE79A00"/>
    <w:rsid w:val="1FF4485D"/>
    <w:rsid w:val="2001E752"/>
    <w:rsid w:val="20049019"/>
    <w:rsid w:val="20304D8C"/>
    <w:rsid w:val="203D864D"/>
    <w:rsid w:val="2041F6D6"/>
    <w:rsid w:val="20526B6D"/>
    <w:rsid w:val="2054B0A2"/>
    <w:rsid w:val="2061CCA0"/>
    <w:rsid w:val="2077FB1E"/>
    <w:rsid w:val="2091F5D7"/>
    <w:rsid w:val="2097235A"/>
    <w:rsid w:val="2098C704"/>
    <w:rsid w:val="209CE2AB"/>
    <w:rsid w:val="209D2718"/>
    <w:rsid w:val="20AFDDF3"/>
    <w:rsid w:val="20B47286"/>
    <w:rsid w:val="20DD800A"/>
    <w:rsid w:val="20DDF1CE"/>
    <w:rsid w:val="20E0C9F4"/>
    <w:rsid w:val="20E382E2"/>
    <w:rsid w:val="20FF505C"/>
    <w:rsid w:val="21038D69"/>
    <w:rsid w:val="210DE0CE"/>
    <w:rsid w:val="21297AEA"/>
    <w:rsid w:val="2133F4DE"/>
    <w:rsid w:val="2135E234"/>
    <w:rsid w:val="217D2D64"/>
    <w:rsid w:val="218588B0"/>
    <w:rsid w:val="218EFDE1"/>
    <w:rsid w:val="21932720"/>
    <w:rsid w:val="219F90C6"/>
    <w:rsid w:val="21B02B2D"/>
    <w:rsid w:val="21C974CE"/>
    <w:rsid w:val="21CA2819"/>
    <w:rsid w:val="21CFFB7E"/>
    <w:rsid w:val="21D04710"/>
    <w:rsid w:val="22190674"/>
    <w:rsid w:val="2219800E"/>
    <w:rsid w:val="221D1F42"/>
    <w:rsid w:val="221DB64A"/>
    <w:rsid w:val="22289E60"/>
    <w:rsid w:val="223A64AD"/>
    <w:rsid w:val="223A8E29"/>
    <w:rsid w:val="223B71A3"/>
    <w:rsid w:val="22454A4A"/>
    <w:rsid w:val="2249EBF5"/>
    <w:rsid w:val="225C273A"/>
    <w:rsid w:val="22687B68"/>
    <w:rsid w:val="228DB426"/>
    <w:rsid w:val="22B021B2"/>
    <w:rsid w:val="22BF9609"/>
    <w:rsid w:val="22C3DEBC"/>
    <w:rsid w:val="22C5441E"/>
    <w:rsid w:val="22E9C82B"/>
    <w:rsid w:val="22F97F45"/>
    <w:rsid w:val="230B287F"/>
    <w:rsid w:val="2312976C"/>
    <w:rsid w:val="231B92AA"/>
    <w:rsid w:val="231FC5B7"/>
    <w:rsid w:val="234AE324"/>
    <w:rsid w:val="235CE1A4"/>
    <w:rsid w:val="23666B68"/>
    <w:rsid w:val="236703AD"/>
    <w:rsid w:val="2373105E"/>
    <w:rsid w:val="237B61E8"/>
    <w:rsid w:val="238B16DD"/>
    <w:rsid w:val="23943A7A"/>
    <w:rsid w:val="23C9A673"/>
    <w:rsid w:val="23D5CE16"/>
    <w:rsid w:val="23F2C895"/>
    <w:rsid w:val="23F81AD2"/>
    <w:rsid w:val="24003C76"/>
    <w:rsid w:val="240E0BB2"/>
    <w:rsid w:val="2422E530"/>
    <w:rsid w:val="24256B93"/>
    <w:rsid w:val="244B6386"/>
    <w:rsid w:val="2455D55F"/>
    <w:rsid w:val="24669B69"/>
    <w:rsid w:val="248C8237"/>
    <w:rsid w:val="24B2626C"/>
    <w:rsid w:val="24B6C518"/>
    <w:rsid w:val="24C590E0"/>
    <w:rsid w:val="250531FC"/>
    <w:rsid w:val="25065F6B"/>
    <w:rsid w:val="250DFCD4"/>
    <w:rsid w:val="251E6879"/>
    <w:rsid w:val="251F8D19"/>
    <w:rsid w:val="252A9360"/>
    <w:rsid w:val="252D47E4"/>
    <w:rsid w:val="252DE2A1"/>
    <w:rsid w:val="253E306B"/>
    <w:rsid w:val="254C2122"/>
    <w:rsid w:val="256EAB5F"/>
    <w:rsid w:val="2580A921"/>
    <w:rsid w:val="25A01C2A"/>
    <w:rsid w:val="25A4645D"/>
    <w:rsid w:val="25ADB32C"/>
    <w:rsid w:val="25AFAE21"/>
    <w:rsid w:val="25C02370"/>
    <w:rsid w:val="25DD1E65"/>
    <w:rsid w:val="25E5032F"/>
    <w:rsid w:val="25FEA261"/>
    <w:rsid w:val="26050919"/>
    <w:rsid w:val="260ED2D3"/>
    <w:rsid w:val="2618D638"/>
    <w:rsid w:val="261B0E5F"/>
    <w:rsid w:val="261D5E29"/>
    <w:rsid w:val="2633903F"/>
    <w:rsid w:val="263C68EE"/>
    <w:rsid w:val="2661F0D1"/>
    <w:rsid w:val="2663ADDA"/>
    <w:rsid w:val="2676B381"/>
    <w:rsid w:val="26862A53"/>
    <w:rsid w:val="2688373D"/>
    <w:rsid w:val="2689749C"/>
    <w:rsid w:val="268F282D"/>
    <w:rsid w:val="26A1D65F"/>
    <w:rsid w:val="26A73172"/>
    <w:rsid w:val="26AAC58B"/>
    <w:rsid w:val="26ACCC8B"/>
    <w:rsid w:val="26B16B60"/>
    <w:rsid w:val="26B8FAEF"/>
    <w:rsid w:val="26D28230"/>
    <w:rsid w:val="26E7320C"/>
    <w:rsid w:val="26F3007E"/>
    <w:rsid w:val="2703BA32"/>
    <w:rsid w:val="272E27FD"/>
    <w:rsid w:val="273192DA"/>
    <w:rsid w:val="27468D54"/>
    <w:rsid w:val="274BF8FB"/>
    <w:rsid w:val="275C4010"/>
    <w:rsid w:val="27661EAD"/>
    <w:rsid w:val="2768B1E9"/>
    <w:rsid w:val="276CC9F8"/>
    <w:rsid w:val="276DCE00"/>
    <w:rsid w:val="277F62E1"/>
    <w:rsid w:val="27843BCE"/>
    <w:rsid w:val="2784882F"/>
    <w:rsid w:val="27A775DB"/>
    <w:rsid w:val="27AAF995"/>
    <w:rsid w:val="27AB487E"/>
    <w:rsid w:val="27D82B2D"/>
    <w:rsid w:val="27DC44E5"/>
    <w:rsid w:val="27E72696"/>
    <w:rsid w:val="28063626"/>
    <w:rsid w:val="28217425"/>
    <w:rsid w:val="2826F4A2"/>
    <w:rsid w:val="282CA49A"/>
    <w:rsid w:val="282CA711"/>
    <w:rsid w:val="2843F021"/>
    <w:rsid w:val="2858E993"/>
    <w:rsid w:val="285ADEF2"/>
    <w:rsid w:val="287051F4"/>
    <w:rsid w:val="287593EB"/>
    <w:rsid w:val="28856481"/>
    <w:rsid w:val="28A297BB"/>
    <w:rsid w:val="28AED431"/>
    <w:rsid w:val="28CA598C"/>
    <w:rsid w:val="28CACEC3"/>
    <w:rsid w:val="28D16386"/>
    <w:rsid w:val="28E21CCA"/>
    <w:rsid w:val="28FEB6FA"/>
    <w:rsid w:val="2901B1E0"/>
    <w:rsid w:val="2904101C"/>
    <w:rsid w:val="2915DC4F"/>
    <w:rsid w:val="29253E19"/>
    <w:rsid w:val="292D03A3"/>
    <w:rsid w:val="292F0DFB"/>
    <w:rsid w:val="2946E4C0"/>
    <w:rsid w:val="294A7526"/>
    <w:rsid w:val="294AF5B7"/>
    <w:rsid w:val="294F00E5"/>
    <w:rsid w:val="29538B99"/>
    <w:rsid w:val="29553C4F"/>
    <w:rsid w:val="2955BBC6"/>
    <w:rsid w:val="29874FB6"/>
    <w:rsid w:val="29C0FA8D"/>
    <w:rsid w:val="29C15C23"/>
    <w:rsid w:val="29E0E7EB"/>
    <w:rsid w:val="29ED1238"/>
    <w:rsid w:val="29F17DE4"/>
    <w:rsid w:val="29FA2112"/>
    <w:rsid w:val="2A0BD5DF"/>
    <w:rsid w:val="2A231D18"/>
    <w:rsid w:val="2A27C6DA"/>
    <w:rsid w:val="2A2E9388"/>
    <w:rsid w:val="2A2EDEE8"/>
    <w:rsid w:val="2A39B367"/>
    <w:rsid w:val="2A4BF6CB"/>
    <w:rsid w:val="2A6A6090"/>
    <w:rsid w:val="2A77721A"/>
    <w:rsid w:val="2A89CD7E"/>
    <w:rsid w:val="2A98BDDF"/>
    <w:rsid w:val="2A998B23"/>
    <w:rsid w:val="2A9D8EAA"/>
    <w:rsid w:val="2AA2E896"/>
    <w:rsid w:val="2AB6B98F"/>
    <w:rsid w:val="2AC6BFA9"/>
    <w:rsid w:val="2ACC93BC"/>
    <w:rsid w:val="2ACEAAFE"/>
    <w:rsid w:val="2ADB269B"/>
    <w:rsid w:val="2AE0DFD9"/>
    <w:rsid w:val="2AED779E"/>
    <w:rsid w:val="2AF30079"/>
    <w:rsid w:val="2AFD0B77"/>
    <w:rsid w:val="2AFD90D2"/>
    <w:rsid w:val="2AFFA5C8"/>
    <w:rsid w:val="2B0F7AD7"/>
    <w:rsid w:val="2B0F8BA6"/>
    <w:rsid w:val="2B13CCED"/>
    <w:rsid w:val="2B41A78D"/>
    <w:rsid w:val="2B5D0E6B"/>
    <w:rsid w:val="2B7DED4B"/>
    <w:rsid w:val="2B811902"/>
    <w:rsid w:val="2B87AF6B"/>
    <w:rsid w:val="2B9C8968"/>
    <w:rsid w:val="2B9D3063"/>
    <w:rsid w:val="2B9F91D1"/>
    <w:rsid w:val="2BA37AE3"/>
    <w:rsid w:val="2BE7A167"/>
    <w:rsid w:val="2BF92D5E"/>
    <w:rsid w:val="2BFF4BA1"/>
    <w:rsid w:val="2C266C5F"/>
    <w:rsid w:val="2C26C56E"/>
    <w:rsid w:val="2C2B41A5"/>
    <w:rsid w:val="2C331B2B"/>
    <w:rsid w:val="2C3F1D31"/>
    <w:rsid w:val="2C580790"/>
    <w:rsid w:val="2C62900A"/>
    <w:rsid w:val="2C760493"/>
    <w:rsid w:val="2C8A0110"/>
    <w:rsid w:val="2CAE5BE4"/>
    <w:rsid w:val="2CC61577"/>
    <w:rsid w:val="2CC69FDD"/>
    <w:rsid w:val="2CD4388F"/>
    <w:rsid w:val="2CEC2A57"/>
    <w:rsid w:val="2CF1527D"/>
    <w:rsid w:val="2CF835E5"/>
    <w:rsid w:val="2D126AE3"/>
    <w:rsid w:val="2D12A3A9"/>
    <w:rsid w:val="2D2364CA"/>
    <w:rsid w:val="2D25F8DD"/>
    <w:rsid w:val="2D27721A"/>
    <w:rsid w:val="2D29092E"/>
    <w:rsid w:val="2D2B2D9D"/>
    <w:rsid w:val="2D2D9A78"/>
    <w:rsid w:val="2D448444"/>
    <w:rsid w:val="2D646F6F"/>
    <w:rsid w:val="2D65EE85"/>
    <w:rsid w:val="2D700ED4"/>
    <w:rsid w:val="2D72A160"/>
    <w:rsid w:val="2D782A29"/>
    <w:rsid w:val="2D79953A"/>
    <w:rsid w:val="2D88B428"/>
    <w:rsid w:val="2D90248F"/>
    <w:rsid w:val="2DADE453"/>
    <w:rsid w:val="2DB4EAFD"/>
    <w:rsid w:val="2DBC6E99"/>
    <w:rsid w:val="2DBCC679"/>
    <w:rsid w:val="2DBCEC37"/>
    <w:rsid w:val="2DCAD89E"/>
    <w:rsid w:val="2DE99A45"/>
    <w:rsid w:val="2DF5DA37"/>
    <w:rsid w:val="2E01C275"/>
    <w:rsid w:val="2E05F76F"/>
    <w:rsid w:val="2E072855"/>
    <w:rsid w:val="2E19B997"/>
    <w:rsid w:val="2E34F680"/>
    <w:rsid w:val="2E506B3F"/>
    <w:rsid w:val="2E5636EF"/>
    <w:rsid w:val="2E5CD8EF"/>
    <w:rsid w:val="2E5D1256"/>
    <w:rsid w:val="2E5EF096"/>
    <w:rsid w:val="2E6B37E7"/>
    <w:rsid w:val="2E6BB750"/>
    <w:rsid w:val="2E701691"/>
    <w:rsid w:val="2E7825D0"/>
    <w:rsid w:val="2E8393F4"/>
    <w:rsid w:val="2E8957E4"/>
    <w:rsid w:val="2EA7A7EA"/>
    <w:rsid w:val="2EAF1434"/>
    <w:rsid w:val="2EB23435"/>
    <w:rsid w:val="2EBB01CD"/>
    <w:rsid w:val="2EBFA93E"/>
    <w:rsid w:val="2EC564BA"/>
    <w:rsid w:val="2EF2AE22"/>
    <w:rsid w:val="2F0140A2"/>
    <w:rsid w:val="2F0184C4"/>
    <w:rsid w:val="2F1922ED"/>
    <w:rsid w:val="2F1A652A"/>
    <w:rsid w:val="2F2DD613"/>
    <w:rsid w:val="2F3B7FEC"/>
    <w:rsid w:val="2F4E3766"/>
    <w:rsid w:val="2F530354"/>
    <w:rsid w:val="2F77DD51"/>
    <w:rsid w:val="2F8B639D"/>
    <w:rsid w:val="2F8C5DB6"/>
    <w:rsid w:val="2F9EDD3A"/>
    <w:rsid w:val="2F9FBA75"/>
    <w:rsid w:val="2FA03E2F"/>
    <w:rsid w:val="2FA37F88"/>
    <w:rsid w:val="2FAF1748"/>
    <w:rsid w:val="2FBF75EE"/>
    <w:rsid w:val="2FC93F9E"/>
    <w:rsid w:val="2FC97901"/>
    <w:rsid w:val="2FCF1C4A"/>
    <w:rsid w:val="2FEC96F9"/>
    <w:rsid w:val="2FECD062"/>
    <w:rsid w:val="2FF05BD0"/>
    <w:rsid w:val="2FF5B8EF"/>
    <w:rsid w:val="2FF6A198"/>
    <w:rsid w:val="3000423C"/>
    <w:rsid w:val="30312F28"/>
    <w:rsid w:val="30810CD5"/>
    <w:rsid w:val="30842C90"/>
    <w:rsid w:val="308A6A32"/>
    <w:rsid w:val="309310D0"/>
    <w:rsid w:val="309B85F4"/>
    <w:rsid w:val="30A60745"/>
    <w:rsid w:val="30B82340"/>
    <w:rsid w:val="30BFFA9D"/>
    <w:rsid w:val="30C0414A"/>
    <w:rsid w:val="30C6A79A"/>
    <w:rsid w:val="30CADB67"/>
    <w:rsid w:val="30F23B1C"/>
    <w:rsid w:val="30F8A61C"/>
    <w:rsid w:val="30F9523C"/>
    <w:rsid w:val="31050716"/>
    <w:rsid w:val="310A4FE6"/>
    <w:rsid w:val="3117F8C8"/>
    <w:rsid w:val="3135AC35"/>
    <w:rsid w:val="3137A5DA"/>
    <w:rsid w:val="3142C5AC"/>
    <w:rsid w:val="3143BDC8"/>
    <w:rsid w:val="314FF7BE"/>
    <w:rsid w:val="315F6F54"/>
    <w:rsid w:val="3167BC86"/>
    <w:rsid w:val="316D796C"/>
    <w:rsid w:val="31937A69"/>
    <w:rsid w:val="319A07F7"/>
    <w:rsid w:val="319C129D"/>
    <w:rsid w:val="31A60C6C"/>
    <w:rsid w:val="31A7BC98"/>
    <w:rsid w:val="31A93689"/>
    <w:rsid w:val="31AE1A8B"/>
    <w:rsid w:val="31B23F76"/>
    <w:rsid w:val="31B44EC7"/>
    <w:rsid w:val="31B996C4"/>
    <w:rsid w:val="31D170AD"/>
    <w:rsid w:val="31D4345C"/>
    <w:rsid w:val="31D6A644"/>
    <w:rsid w:val="3205D0AA"/>
    <w:rsid w:val="32137C14"/>
    <w:rsid w:val="3215ECCA"/>
    <w:rsid w:val="3241993A"/>
    <w:rsid w:val="3245A2FF"/>
    <w:rsid w:val="325595DC"/>
    <w:rsid w:val="3259E28C"/>
    <w:rsid w:val="327266BF"/>
    <w:rsid w:val="327E5E2E"/>
    <w:rsid w:val="3296888E"/>
    <w:rsid w:val="32A07383"/>
    <w:rsid w:val="32A3D0BD"/>
    <w:rsid w:val="32B6C40B"/>
    <w:rsid w:val="32BDFA4D"/>
    <w:rsid w:val="32EE37D1"/>
    <w:rsid w:val="32F9A672"/>
    <w:rsid w:val="330135EF"/>
    <w:rsid w:val="33096BC0"/>
    <w:rsid w:val="330F8944"/>
    <w:rsid w:val="3320E276"/>
    <w:rsid w:val="33264773"/>
    <w:rsid w:val="33288F9B"/>
    <w:rsid w:val="33410901"/>
    <w:rsid w:val="33494797"/>
    <w:rsid w:val="335E10AD"/>
    <w:rsid w:val="335F2960"/>
    <w:rsid w:val="3361AC37"/>
    <w:rsid w:val="33622AD2"/>
    <w:rsid w:val="3363805A"/>
    <w:rsid w:val="3377CF29"/>
    <w:rsid w:val="3381FA3E"/>
    <w:rsid w:val="33843BCB"/>
    <w:rsid w:val="338DB3E6"/>
    <w:rsid w:val="339DE4FB"/>
    <w:rsid w:val="33A471AB"/>
    <w:rsid w:val="33B387AD"/>
    <w:rsid w:val="33D074E3"/>
    <w:rsid w:val="33EE2C8D"/>
    <w:rsid w:val="33EFD222"/>
    <w:rsid w:val="33F4FA1E"/>
    <w:rsid w:val="34014736"/>
    <w:rsid w:val="34235F41"/>
    <w:rsid w:val="342B7F3E"/>
    <w:rsid w:val="343652CF"/>
    <w:rsid w:val="343D6AB5"/>
    <w:rsid w:val="3446401A"/>
    <w:rsid w:val="344F18A3"/>
    <w:rsid w:val="34950953"/>
    <w:rsid w:val="3497D3C5"/>
    <w:rsid w:val="34A6BC9B"/>
    <w:rsid w:val="34C5217A"/>
    <w:rsid w:val="34D5C07F"/>
    <w:rsid w:val="34D5DCF5"/>
    <w:rsid w:val="34D66F6B"/>
    <w:rsid w:val="34DF8575"/>
    <w:rsid w:val="34E84B03"/>
    <w:rsid w:val="34EC4B35"/>
    <w:rsid w:val="34F7EE3F"/>
    <w:rsid w:val="352342F0"/>
    <w:rsid w:val="352698D3"/>
    <w:rsid w:val="352A4351"/>
    <w:rsid w:val="35363B50"/>
    <w:rsid w:val="353D4E02"/>
    <w:rsid w:val="35414EFD"/>
    <w:rsid w:val="354A5589"/>
    <w:rsid w:val="355EEDE2"/>
    <w:rsid w:val="356816EE"/>
    <w:rsid w:val="3580D8BD"/>
    <w:rsid w:val="35A6F04F"/>
    <w:rsid w:val="35C01AA0"/>
    <w:rsid w:val="35C18B91"/>
    <w:rsid w:val="35CC3600"/>
    <w:rsid w:val="35E5FAB9"/>
    <w:rsid w:val="35ECB95F"/>
    <w:rsid w:val="35F211B9"/>
    <w:rsid w:val="35FD84DF"/>
    <w:rsid w:val="36006CBD"/>
    <w:rsid w:val="3603A9A4"/>
    <w:rsid w:val="36043283"/>
    <w:rsid w:val="360953D5"/>
    <w:rsid w:val="360E9288"/>
    <w:rsid w:val="3617F737"/>
    <w:rsid w:val="3637883E"/>
    <w:rsid w:val="36493CEB"/>
    <w:rsid w:val="364A7627"/>
    <w:rsid w:val="364B7423"/>
    <w:rsid w:val="364F9A9E"/>
    <w:rsid w:val="36590C46"/>
    <w:rsid w:val="365B7B70"/>
    <w:rsid w:val="36605D76"/>
    <w:rsid w:val="3679AC32"/>
    <w:rsid w:val="368DD706"/>
    <w:rsid w:val="368FCFDF"/>
    <w:rsid w:val="369B0489"/>
    <w:rsid w:val="369D1222"/>
    <w:rsid w:val="36A8E834"/>
    <w:rsid w:val="36AF7596"/>
    <w:rsid w:val="36B60BDB"/>
    <w:rsid w:val="36D2A9B4"/>
    <w:rsid w:val="36D6EC53"/>
    <w:rsid w:val="36E16DD6"/>
    <w:rsid w:val="36E76C0B"/>
    <w:rsid w:val="3704D537"/>
    <w:rsid w:val="37229897"/>
    <w:rsid w:val="37249B18"/>
    <w:rsid w:val="372CC199"/>
    <w:rsid w:val="37412DE2"/>
    <w:rsid w:val="37480632"/>
    <w:rsid w:val="3761F376"/>
    <w:rsid w:val="3789A37C"/>
    <w:rsid w:val="37993FD2"/>
    <w:rsid w:val="37A56CD0"/>
    <w:rsid w:val="37AA62E9"/>
    <w:rsid w:val="37B1E5E0"/>
    <w:rsid w:val="37C10D95"/>
    <w:rsid w:val="37CF2072"/>
    <w:rsid w:val="37E69B1E"/>
    <w:rsid w:val="37F2F0FA"/>
    <w:rsid w:val="3802D6BE"/>
    <w:rsid w:val="382094C2"/>
    <w:rsid w:val="382A8399"/>
    <w:rsid w:val="38464E9C"/>
    <w:rsid w:val="3846E120"/>
    <w:rsid w:val="3849704A"/>
    <w:rsid w:val="3851BA9A"/>
    <w:rsid w:val="385376A8"/>
    <w:rsid w:val="38580FCD"/>
    <w:rsid w:val="385CA5F0"/>
    <w:rsid w:val="386E962E"/>
    <w:rsid w:val="38725A9E"/>
    <w:rsid w:val="38727398"/>
    <w:rsid w:val="38804BA3"/>
    <w:rsid w:val="388657CB"/>
    <w:rsid w:val="388A267C"/>
    <w:rsid w:val="388A6132"/>
    <w:rsid w:val="3893F130"/>
    <w:rsid w:val="38A3AF12"/>
    <w:rsid w:val="38CC8AC1"/>
    <w:rsid w:val="38D0293E"/>
    <w:rsid w:val="38D0948E"/>
    <w:rsid w:val="38D4E576"/>
    <w:rsid w:val="38DD2725"/>
    <w:rsid w:val="38E56862"/>
    <w:rsid w:val="38FD1AA3"/>
    <w:rsid w:val="3906E94F"/>
    <w:rsid w:val="390B64A1"/>
    <w:rsid w:val="391C0ABC"/>
    <w:rsid w:val="39203374"/>
    <w:rsid w:val="392E57BD"/>
    <w:rsid w:val="39301A18"/>
    <w:rsid w:val="3949BBEF"/>
    <w:rsid w:val="3959D497"/>
    <w:rsid w:val="395B69BB"/>
    <w:rsid w:val="39758208"/>
    <w:rsid w:val="397C609A"/>
    <w:rsid w:val="397CFA3C"/>
    <w:rsid w:val="399EC6A0"/>
    <w:rsid w:val="39A6AA04"/>
    <w:rsid w:val="39AA18DB"/>
    <w:rsid w:val="39B40CA8"/>
    <w:rsid w:val="39D2F9A5"/>
    <w:rsid w:val="39ED2D9E"/>
    <w:rsid w:val="39F6123F"/>
    <w:rsid w:val="3A1DC6AC"/>
    <w:rsid w:val="3A1EB760"/>
    <w:rsid w:val="3A20DD11"/>
    <w:rsid w:val="3A284AE9"/>
    <w:rsid w:val="3A288AFB"/>
    <w:rsid w:val="3A2976BB"/>
    <w:rsid w:val="3A2D3688"/>
    <w:rsid w:val="3A2F2D93"/>
    <w:rsid w:val="3A39D234"/>
    <w:rsid w:val="3A4094BF"/>
    <w:rsid w:val="3A90D508"/>
    <w:rsid w:val="3AA4F186"/>
    <w:rsid w:val="3AB4E3EC"/>
    <w:rsid w:val="3AB69B00"/>
    <w:rsid w:val="3ABA2543"/>
    <w:rsid w:val="3AC0932E"/>
    <w:rsid w:val="3ACB5832"/>
    <w:rsid w:val="3AD38EE9"/>
    <w:rsid w:val="3AE39014"/>
    <w:rsid w:val="3AE64D83"/>
    <w:rsid w:val="3AE69A19"/>
    <w:rsid w:val="3AF19DF1"/>
    <w:rsid w:val="3AF62361"/>
    <w:rsid w:val="3B109D64"/>
    <w:rsid w:val="3B43F79E"/>
    <w:rsid w:val="3B4BCC9A"/>
    <w:rsid w:val="3B516669"/>
    <w:rsid w:val="3B63A02B"/>
    <w:rsid w:val="3B662FD6"/>
    <w:rsid w:val="3B7044C3"/>
    <w:rsid w:val="3B8EBC1A"/>
    <w:rsid w:val="3BB69CD1"/>
    <w:rsid w:val="3BC8CD36"/>
    <w:rsid w:val="3BD373DE"/>
    <w:rsid w:val="3BD6A072"/>
    <w:rsid w:val="3BE77882"/>
    <w:rsid w:val="3BE9F83C"/>
    <w:rsid w:val="3BF80DCA"/>
    <w:rsid w:val="3BF9B571"/>
    <w:rsid w:val="3BFCF3A4"/>
    <w:rsid w:val="3C0677C0"/>
    <w:rsid w:val="3C1C0B25"/>
    <w:rsid w:val="3C3C42C0"/>
    <w:rsid w:val="3C4888D6"/>
    <w:rsid w:val="3C5350EB"/>
    <w:rsid w:val="3C72AA6F"/>
    <w:rsid w:val="3C7BC1A3"/>
    <w:rsid w:val="3C834264"/>
    <w:rsid w:val="3C93C220"/>
    <w:rsid w:val="3CA94713"/>
    <w:rsid w:val="3CD52BFB"/>
    <w:rsid w:val="3CEEFF16"/>
    <w:rsid w:val="3D0F2E34"/>
    <w:rsid w:val="3D43A785"/>
    <w:rsid w:val="3D4DD950"/>
    <w:rsid w:val="3D4E3B03"/>
    <w:rsid w:val="3D5345D6"/>
    <w:rsid w:val="3D632324"/>
    <w:rsid w:val="3D7561D2"/>
    <w:rsid w:val="3DB78132"/>
    <w:rsid w:val="3DB7D036"/>
    <w:rsid w:val="3DD15A2A"/>
    <w:rsid w:val="3DEB0039"/>
    <w:rsid w:val="3E080877"/>
    <w:rsid w:val="3E13F92A"/>
    <w:rsid w:val="3E24DDE7"/>
    <w:rsid w:val="3E314E3F"/>
    <w:rsid w:val="3E31ED56"/>
    <w:rsid w:val="3E4A78D8"/>
    <w:rsid w:val="3E5855DB"/>
    <w:rsid w:val="3E74AA00"/>
    <w:rsid w:val="3E7CA0A4"/>
    <w:rsid w:val="3E830102"/>
    <w:rsid w:val="3E8EC5C2"/>
    <w:rsid w:val="3E945848"/>
    <w:rsid w:val="3E98DFB8"/>
    <w:rsid w:val="3E9B26B4"/>
    <w:rsid w:val="3EB29A82"/>
    <w:rsid w:val="3EB483E3"/>
    <w:rsid w:val="3EC99B35"/>
    <w:rsid w:val="3ECC9553"/>
    <w:rsid w:val="3EDA00CC"/>
    <w:rsid w:val="3EDA333E"/>
    <w:rsid w:val="3EE7ED4C"/>
    <w:rsid w:val="3EE9223E"/>
    <w:rsid w:val="3F090EC8"/>
    <w:rsid w:val="3F127E5A"/>
    <w:rsid w:val="3F22CB34"/>
    <w:rsid w:val="3F41A7D3"/>
    <w:rsid w:val="3F446031"/>
    <w:rsid w:val="3F5359F7"/>
    <w:rsid w:val="3F6E5623"/>
    <w:rsid w:val="3F7E2007"/>
    <w:rsid w:val="3F8B9249"/>
    <w:rsid w:val="3F8CA47E"/>
    <w:rsid w:val="3FA276E4"/>
    <w:rsid w:val="3FB35552"/>
    <w:rsid w:val="3FB35B42"/>
    <w:rsid w:val="3FCD3426"/>
    <w:rsid w:val="3FD148AB"/>
    <w:rsid w:val="3FD20123"/>
    <w:rsid w:val="3FDD0D3F"/>
    <w:rsid w:val="40069232"/>
    <w:rsid w:val="4013B5E9"/>
    <w:rsid w:val="401AA696"/>
    <w:rsid w:val="402244B3"/>
    <w:rsid w:val="402A2884"/>
    <w:rsid w:val="402F42F8"/>
    <w:rsid w:val="404A1AE1"/>
    <w:rsid w:val="404CEC40"/>
    <w:rsid w:val="404E70D5"/>
    <w:rsid w:val="40526726"/>
    <w:rsid w:val="4055D7D6"/>
    <w:rsid w:val="4071C516"/>
    <w:rsid w:val="4074BF0B"/>
    <w:rsid w:val="407A69A8"/>
    <w:rsid w:val="4097A3CA"/>
    <w:rsid w:val="4098556A"/>
    <w:rsid w:val="409F1C7F"/>
    <w:rsid w:val="40C4F9B7"/>
    <w:rsid w:val="40D7087C"/>
    <w:rsid w:val="40D74182"/>
    <w:rsid w:val="41069824"/>
    <w:rsid w:val="410A28F9"/>
    <w:rsid w:val="4115E6A5"/>
    <w:rsid w:val="41214282"/>
    <w:rsid w:val="414973F6"/>
    <w:rsid w:val="4155FA85"/>
    <w:rsid w:val="415C5744"/>
    <w:rsid w:val="415DEB2C"/>
    <w:rsid w:val="41704D2A"/>
    <w:rsid w:val="41823429"/>
    <w:rsid w:val="419EA1DD"/>
    <w:rsid w:val="41A3302B"/>
    <w:rsid w:val="41BF85C4"/>
    <w:rsid w:val="41C76C89"/>
    <w:rsid w:val="41D5896D"/>
    <w:rsid w:val="41D5FD7D"/>
    <w:rsid w:val="41DC1228"/>
    <w:rsid w:val="41EE792C"/>
    <w:rsid w:val="41F0A6AD"/>
    <w:rsid w:val="41FC18BB"/>
    <w:rsid w:val="421A64A7"/>
    <w:rsid w:val="421AA656"/>
    <w:rsid w:val="4228E875"/>
    <w:rsid w:val="42299707"/>
    <w:rsid w:val="422A01C6"/>
    <w:rsid w:val="422E5B72"/>
    <w:rsid w:val="4232201C"/>
    <w:rsid w:val="424B3F56"/>
    <w:rsid w:val="424BAB05"/>
    <w:rsid w:val="424F156D"/>
    <w:rsid w:val="426393D8"/>
    <w:rsid w:val="426DEF07"/>
    <w:rsid w:val="42941002"/>
    <w:rsid w:val="42A20FC6"/>
    <w:rsid w:val="42A72417"/>
    <w:rsid w:val="42B13115"/>
    <w:rsid w:val="42B1B74C"/>
    <w:rsid w:val="42B7A2F6"/>
    <w:rsid w:val="42D52138"/>
    <w:rsid w:val="43065BB3"/>
    <w:rsid w:val="4315700A"/>
    <w:rsid w:val="43373433"/>
    <w:rsid w:val="433F9BC6"/>
    <w:rsid w:val="4377DC9B"/>
    <w:rsid w:val="4383432C"/>
    <w:rsid w:val="43888B9D"/>
    <w:rsid w:val="4398D854"/>
    <w:rsid w:val="439A1890"/>
    <w:rsid w:val="43A38555"/>
    <w:rsid w:val="43A7CA04"/>
    <w:rsid w:val="43ADF8FB"/>
    <w:rsid w:val="43C88022"/>
    <w:rsid w:val="43D20878"/>
    <w:rsid w:val="43D366A4"/>
    <w:rsid w:val="43EA00F4"/>
    <w:rsid w:val="43EAD243"/>
    <w:rsid w:val="442408AF"/>
    <w:rsid w:val="442B0504"/>
    <w:rsid w:val="4444FEB9"/>
    <w:rsid w:val="44767327"/>
    <w:rsid w:val="4487BCC9"/>
    <w:rsid w:val="4488EBF0"/>
    <w:rsid w:val="44A24B9F"/>
    <w:rsid w:val="44BA1A79"/>
    <w:rsid w:val="44BD74C6"/>
    <w:rsid w:val="44CABAF2"/>
    <w:rsid w:val="44D46E6D"/>
    <w:rsid w:val="44D9EDA1"/>
    <w:rsid w:val="44E35E65"/>
    <w:rsid w:val="44EE675B"/>
    <w:rsid w:val="44FB2A4D"/>
    <w:rsid w:val="450DA210"/>
    <w:rsid w:val="4522AE7A"/>
    <w:rsid w:val="4526D598"/>
    <w:rsid w:val="4537B549"/>
    <w:rsid w:val="4539888D"/>
    <w:rsid w:val="45584263"/>
    <w:rsid w:val="4593E60A"/>
    <w:rsid w:val="4599A930"/>
    <w:rsid w:val="45AAD037"/>
    <w:rsid w:val="45B63590"/>
    <w:rsid w:val="45D7C123"/>
    <w:rsid w:val="45FE5BBC"/>
    <w:rsid w:val="4611153B"/>
    <w:rsid w:val="46211247"/>
    <w:rsid w:val="463018B9"/>
    <w:rsid w:val="46338292"/>
    <w:rsid w:val="46340571"/>
    <w:rsid w:val="4657E7AD"/>
    <w:rsid w:val="465D1CB6"/>
    <w:rsid w:val="4669B577"/>
    <w:rsid w:val="46761BE1"/>
    <w:rsid w:val="46799448"/>
    <w:rsid w:val="4679CA01"/>
    <w:rsid w:val="46895B2C"/>
    <w:rsid w:val="468BDAF0"/>
    <w:rsid w:val="4695DEA0"/>
    <w:rsid w:val="46C0D167"/>
    <w:rsid w:val="46C87B4D"/>
    <w:rsid w:val="46C9D48F"/>
    <w:rsid w:val="46CEE317"/>
    <w:rsid w:val="46D1F44E"/>
    <w:rsid w:val="46E54028"/>
    <w:rsid w:val="46EBB957"/>
    <w:rsid w:val="46F19823"/>
    <w:rsid w:val="46F47504"/>
    <w:rsid w:val="470ADE96"/>
    <w:rsid w:val="474142C5"/>
    <w:rsid w:val="474BE7D4"/>
    <w:rsid w:val="476E30D1"/>
    <w:rsid w:val="4784561E"/>
    <w:rsid w:val="478A1D54"/>
    <w:rsid w:val="4790CF4C"/>
    <w:rsid w:val="479EB2A5"/>
    <w:rsid w:val="47E31AE1"/>
    <w:rsid w:val="47E9A2BF"/>
    <w:rsid w:val="480E61DE"/>
    <w:rsid w:val="481B72A4"/>
    <w:rsid w:val="481ED85C"/>
    <w:rsid w:val="4821E875"/>
    <w:rsid w:val="482367D9"/>
    <w:rsid w:val="48331F1B"/>
    <w:rsid w:val="48357D0F"/>
    <w:rsid w:val="4835C732"/>
    <w:rsid w:val="485BCB45"/>
    <w:rsid w:val="48623269"/>
    <w:rsid w:val="48713CA7"/>
    <w:rsid w:val="4871F7CD"/>
    <w:rsid w:val="487B57C8"/>
    <w:rsid w:val="487EE976"/>
    <w:rsid w:val="488BF8E4"/>
    <w:rsid w:val="488EB8B0"/>
    <w:rsid w:val="4896FB42"/>
    <w:rsid w:val="48AC64BA"/>
    <w:rsid w:val="48B059AC"/>
    <w:rsid w:val="48CC4667"/>
    <w:rsid w:val="48D11F7E"/>
    <w:rsid w:val="48D7421A"/>
    <w:rsid w:val="48E446D2"/>
    <w:rsid w:val="48EA76F6"/>
    <w:rsid w:val="490AA3E1"/>
    <w:rsid w:val="490D7835"/>
    <w:rsid w:val="49182577"/>
    <w:rsid w:val="492431C9"/>
    <w:rsid w:val="492A2EF8"/>
    <w:rsid w:val="49342A66"/>
    <w:rsid w:val="494AF210"/>
    <w:rsid w:val="49628CA9"/>
    <w:rsid w:val="496355F1"/>
    <w:rsid w:val="497194C6"/>
    <w:rsid w:val="49785C2A"/>
    <w:rsid w:val="497E9E40"/>
    <w:rsid w:val="49994D6F"/>
    <w:rsid w:val="499B017C"/>
    <w:rsid w:val="499DC18F"/>
    <w:rsid w:val="49AA1C7E"/>
    <w:rsid w:val="49B30B04"/>
    <w:rsid w:val="49C1C628"/>
    <w:rsid w:val="49E057B4"/>
    <w:rsid w:val="49FC8A31"/>
    <w:rsid w:val="4A258904"/>
    <w:rsid w:val="4A5938D6"/>
    <w:rsid w:val="4A5BFF56"/>
    <w:rsid w:val="4A5DA8EA"/>
    <w:rsid w:val="4A616671"/>
    <w:rsid w:val="4A69750B"/>
    <w:rsid w:val="4A7869BA"/>
    <w:rsid w:val="4A7D16D6"/>
    <w:rsid w:val="4A830F6D"/>
    <w:rsid w:val="4A894073"/>
    <w:rsid w:val="4A8EE643"/>
    <w:rsid w:val="4A90215E"/>
    <w:rsid w:val="4A9DD060"/>
    <w:rsid w:val="4AA733DC"/>
    <w:rsid w:val="4AA8B16B"/>
    <w:rsid w:val="4ACB2FA5"/>
    <w:rsid w:val="4ACB8296"/>
    <w:rsid w:val="4ADB364B"/>
    <w:rsid w:val="4ADF0230"/>
    <w:rsid w:val="4AF6C544"/>
    <w:rsid w:val="4AFAB840"/>
    <w:rsid w:val="4B182A29"/>
    <w:rsid w:val="4B292BF4"/>
    <w:rsid w:val="4B2C6541"/>
    <w:rsid w:val="4B49FFBE"/>
    <w:rsid w:val="4B4FC3E6"/>
    <w:rsid w:val="4B5079A3"/>
    <w:rsid w:val="4B5661B6"/>
    <w:rsid w:val="4B578EAC"/>
    <w:rsid w:val="4B5E3A53"/>
    <w:rsid w:val="4B72C44B"/>
    <w:rsid w:val="4B7E839D"/>
    <w:rsid w:val="4B82FD62"/>
    <w:rsid w:val="4B83FD92"/>
    <w:rsid w:val="4B9F16BF"/>
    <w:rsid w:val="4BA18F04"/>
    <w:rsid w:val="4BA5855E"/>
    <w:rsid w:val="4BA8603F"/>
    <w:rsid w:val="4BBAD3D5"/>
    <w:rsid w:val="4BC08802"/>
    <w:rsid w:val="4BCCBC09"/>
    <w:rsid w:val="4BFD66C2"/>
    <w:rsid w:val="4C1AC25B"/>
    <w:rsid w:val="4C3534D9"/>
    <w:rsid w:val="4C39D955"/>
    <w:rsid w:val="4C3ADAC5"/>
    <w:rsid w:val="4C4C19B9"/>
    <w:rsid w:val="4C4C74B6"/>
    <w:rsid w:val="4C56A67A"/>
    <w:rsid w:val="4C5729A8"/>
    <w:rsid w:val="4C5A20CD"/>
    <w:rsid w:val="4C666D42"/>
    <w:rsid w:val="4C8301F7"/>
    <w:rsid w:val="4C8AF06B"/>
    <w:rsid w:val="4C90A445"/>
    <w:rsid w:val="4C9B85B2"/>
    <w:rsid w:val="4CC32619"/>
    <w:rsid w:val="4CC33891"/>
    <w:rsid w:val="4CD212AC"/>
    <w:rsid w:val="4CEECC77"/>
    <w:rsid w:val="4CF0156C"/>
    <w:rsid w:val="4CFEFDD3"/>
    <w:rsid w:val="4D26EA3B"/>
    <w:rsid w:val="4D2FAE15"/>
    <w:rsid w:val="4D3DBDA7"/>
    <w:rsid w:val="4D53AB60"/>
    <w:rsid w:val="4D5A27B7"/>
    <w:rsid w:val="4D5BB19C"/>
    <w:rsid w:val="4D848163"/>
    <w:rsid w:val="4D92FE76"/>
    <w:rsid w:val="4DAC331B"/>
    <w:rsid w:val="4DAD0CEA"/>
    <w:rsid w:val="4DAE9C7A"/>
    <w:rsid w:val="4DB1C80C"/>
    <w:rsid w:val="4DB529D4"/>
    <w:rsid w:val="4DC6A07F"/>
    <w:rsid w:val="4DC73540"/>
    <w:rsid w:val="4DDA5C1D"/>
    <w:rsid w:val="4DDD33F8"/>
    <w:rsid w:val="4DEDFCEC"/>
    <w:rsid w:val="4E24F5A8"/>
    <w:rsid w:val="4E35DD23"/>
    <w:rsid w:val="4E39FE92"/>
    <w:rsid w:val="4E4EB011"/>
    <w:rsid w:val="4E5836C4"/>
    <w:rsid w:val="4E6E25A4"/>
    <w:rsid w:val="4E8519B6"/>
    <w:rsid w:val="4E8A9876"/>
    <w:rsid w:val="4E8F69D2"/>
    <w:rsid w:val="4E91C8D9"/>
    <w:rsid w:val="4E91CBFB"/>
    <w:rsid w:val="4E9B19EF"/>
    <w:rsid w:val="4E9BFEC3"/>
    <w:rsid w:val="4EA1B0F3"/>
    <w:rsid w:val="4EA1F356"/>
    <w:rsid w:val="4EAA2664"/>
    <w:rsid w:val="4EAC5B6D"/>
    <w:rsid w:val="4EB2DBA1"/>
    <w:rsid w:val="4ED1DBA6"/>
    <w:rsid w:val="4EE1930D"/>
    <w:rsid w:val="4EF2C7BE"/>
    <w:rsid w:val="4EFE4FF8"/>
    <w:rsid w:val="4F093170"/>
    <w:rsid w:val="4F222A8E"/>
    <w:rsid w:val="4F377478"/>
    <w:rsid w:val="4F39A1A4"/>
    <w:rsid w:val="4F3B9A62"/>
    <w:rsid w:val="4F43ED2D"/>
    <w:rsid w:val="4F4A5B09"/>
    <w:rsid w:val="4F5021E5"/>
    <w:rsid w:val="4F661F53"/>
    <w:rsid w:val="4F6D7D9B"/>
    <w:rsid w:val="4F726EF2"/>
    <w:rsid w:val="4F915078"/>
    <w:rsid w:val="4F9D8D2C"/>
    <w:rsid w:val="4FA9BFF3"/>
    <w:rsid w:val="4FAFFC5F"/>
    <w:rsid w:val="4FCBDCBF"/>
    <w:rsid w:val="4FE5839B"/>
    <w:rsid w:val="4FECFAEF"/>
    <w:rsid w:val="4FEFB0C4"/>
    <w:rsid w:val="4FF2376F"/>
    <w:rsid w:val="4FFB1501"/>
    <w:rsid w:val="4FFD9EE3"/>
    <w:rsid w:val="50046DC8"/>
    <w:rsid w:val="5004CBDF"/>
    <w:rsid w:val="500A5175"/>
    <w:rsid w:val="5031403E"/>
    <w:rsid w:val="5034B83D"/>
    <w:rsid w:val="50399ADF"/>
    <w:rsid w:val="504AE276"/>
    <w:rsid w:val="504C107A"/>
    <w:rsid w:val="5052B303"/>
    <w:rsid w:val="50579DF5"/>
    <w:rsid w:val="505CBD3D"/>
    <w:rsid w:val="507ABE68"/>
    <w:rsid w:val="50804625"/>
    <w:rsid w:val="5087C079"/>
    <w:rsid w:val="508D9A28"/>
    <w:rsid w:val="509958C7"/>
    <w:rsid w:val="50AC8F68"/>
    <w:rsid w:val="50C1F999"/>
    <w:rsid w:val="50C43EA0"/>
    <w:rsid w:val="50C4DF5B"/>
    <w:rsid w:val="50C91318"/>
    <w:rsid w:val="50CD166D"/>
    <w:rsid w:val="50D3073C"/>
    <w:rsid w:val="50F947CB"/>
    <w:rsid w:val="50F968D7"/>
    <w:rsid w:val="50FBC7E3"/>
    <w:rsid w:val="50FD20D6"/>
    <w:rsid w:val="50FE8310"/>
    <w:rsid w:val="5100955C"/>
    <w:rsid w:val="5104AFEF"/>
    <w:rsid w:val="5105528F"/>
    <w:rsid w:val="513B0B85"/>
    <w:rsid w:val="5149135B"/>
    <w:rsid w:val="518153FC"/>
    <w:rsid w:val="51827DBE"/>
    <w:rsid w:val="51832A41"/>
    <w:rsid w:val="5199AB04"/>
    <w:rsid w:val="51AE4132"/>
    <w:rsid w:val="51C268B2"/>
    <w:rsid w:val="51C7B7FD"/>
    <w:rsid w:val="51D135A8"/>
    <w:rsid w:val="51DC26B6"/>
    <w:rsid w:val="51F7C719"/>
    <w:rsid w:val="52004821"/>
    <w:rsid w:val="520702C4"/>
    <w:rsid w:val="5211E9A2"/>
    <w:rsid w:val="5217BD5A"/>
    <w:rsid w:val="522514AE"/>
    <w:rsid w:val="522580CB"/>
    <w:rsid w:val="5272004E"/>
    <w:rsid w:val="52839035"/>
    <w:rsid w:val="5285F022"/>
    <w:rsid w:val="528BF600"/>
    <w:rsid w:val="52B02F5E"/>
    <w:rsid w:val="52D7E40C"/>
    <w:rsid w:val="52E9BFAF"/>
    <w:rsid w:val="52EE586E"/>
    <w:rsid w:val="52F5815B"/>
    <w:rsid w:val="52F7E060"/>
    <w:rsid w:val="52FC912E"/>
    <w:rsid w:val="53015F9A"/>
    <w:rsid w:val="53049F8A"/>
    <w:rsid w:val="530FD0B3"/>
    <w:rsid w:val="531D3392"/>
    <w:rsid w:val="53338CB6"/>
    <w:rsid w:val="533B6DDD"/>
    <w:rsid w:val="5348737A"/>
    <w:rsid w:val="534FF550"/>
    <w:rsid w:val="5350B871"/>
    <w:rsid w:val="53837362"/>
    <w:rsid w:val="538B23B2"/>
    <w:rsid w:val="53A14A9B"/>
    <w:rsid w:val="53C808D2"/>
    <w:rsid w:val="53D11B93"/>
    <w:rsid w:val="53D81AB9"/>
    <w:rsid w:val="53DE8D27"/>
    <w:rsid w:val="540F456B"/>
    <w:rsid w:val="5427D0B8"/>
    <w:rsid w:val="542AEDD2"/>
    <w:rsid w:val="5437B43C"/>
    <w:rsid w:val="543A0C16"/>
    <w:rsid w:val="54400669"/>
    <w:rsid w:val="5442F4C5"/>
    <w:rsid w:val="5465D8A0"/>
    <w:rsid w:val="546B98B7"/>
    <w:rsid w:val="548AA61A"/>
    <w:rsid w:val="54ACC986"/>
    <w:rsid w:val="54ADBB57"/>
    <w:rsid w:val="54B01FB2"/>
    <w:rsid w:val="54D0945B"/>
    <w:rsid w:val="54D0B2DE"/>
    <w:rsid w:val="54D770FF"/>
    <w:rsid w:val="54E9B004"/>
    <w:rsid w:val="54EEC01C"/>
    <w:rsid w:val="54F0755B"/>
    <w:rsid w:val="54F0AE11"/>
    <w:rsid w:val="54F74630"/>
    <w:rsid w:val="54FBD7D3"/>
    <w:rsid w:val="55040098"/>
    <w:rsid w:val="554A2770"/>
    <w:rsid w:val="555214E9"/>
    <w:rsid w:val="55797721"/>
    <w:rsid w:val="557A5823"/>
    <w:rsid w:val="557DEE29"/>
    <w:rsid w:val="55A08FE6"/>
    <w:rsid w:val="55B743A5"/>
    <w:rsid w:val="55BA9698"/>
    <w:rsid w:val="55C0C49E"/>
    <w:rsid w:val="55CC89EA"/>
    <w:rsid w:val="55FF3D79"/>
    <w:rsid w:val="5601669A"/>
    <w:rsid w:val="5604323D"/>
    <w:rsid w:val="5614748C"/>
    <w:rsid w:val="561F8F74"/>
    <w:rsid w:val="562C34AD"/>
    <w:rsid w:val="5645F23C"/>
    <w:rsid w:val="564952C8"/>
    <w:rsid w:val="564B1821"/>
    <w:rsid w:val="5653337C"/>
    <w:rsid w:val="5687B5CE"/>
    <w:rsid w:val="5693B1C9"/>
    <w:rsid w:val="56964E29"/>
    <w:rsid w:val="569CDE83"/>
    <w:rsid w:val="569D65EE"/>
    <w:rsid w:val="56A681C6"/>
    <w:rsid w:val="56BCFC32"/>
    <w:rsid w:val="56C09190"/>
    <w:rsid w:val="56C6A47D"/>
    <w:rsid w:val="56F45551"/>
    <w:rsid w:val="56F72019"/>
    <w:rsid w:val="56FDF607"/>
    <w:rsid w:val="5714887D"/>
    <w:rsid w:val="57151217"/>
    <w:rsid w:val="572F676C"/>
    <w:rsid w:val="5735F20C"/>
    <w:rsid w:val="573FA964"/>
    <w:rsid w:val="5740605B"/>
    <w:rsid w:val="575653A1"/>
    <w:rsid w:val="575DE76F"/>
    <w:rsid w:val="576197C2"/>
    <w:rsid w:val="5765E3A4"/>
    <w:rsid w:val="57713972"/>
    <w:rsid w:val="57975C6D"/>
    <w:rsid w:val="579D8F54"/>
    <w:rsid w:val="579EE53B"/>
    <w:rsid w:val="57AF8350"/>
    <w:rsid w:val="57C2354A"/>
    <w:rsid w:val="57C925F4"/>
    <w:rsid w:val="57CAEF9C"/>
    <w:rsid w:val="57DE7FF0"/>
    <w:rsid w:val="57E93443"/>
    <w:rsid w:val="57EBBE36"/>
    <w:rsid w:val="57F3975C"/>
    <w:rsid w:val="5805FA94"/>
    <w:rsid w:val="581357B7"/>
    <w:rsid w:val="583B74C5"/>
    <w:rsid w:val="583DEA72"/>
    <w:rsid w:val="583EC000"/>
    <w:rsid w:val="585D0A1F"/>
    <w:rsid w:val="586D55C4"/>
    <w:rsid w:val="58808F3C"/>
    <w:rsid w:val="588C75F3"/>
    <w:rsid w:val="589E924E"/>
    <w:rsid w:val="58A4BEF2"/>
    <w:rsid w:val="58A4C080"/>
    <w:rsid w:val="58C34290"/>
    <w:rsid w:val="58C54E9E"/>
    <w:rsid w:val="58D40BC1"/>
    <w:rsid w:val="58DA35C7"/>
    <w:rsid w:val="58DB79C5"/>
    <w:rsid w:val="58DC28F8"/>
    <w:rsid w:val="58E6D924"/>
    <w:rsid w:val="5902BCFE"/>
    <w:rsid w:val="591E56B8"/>
    <w:rsid w:val="591F4FC6"/>
    <w:rsid w:val="5925ACEB"/>
    <w:rsid w:val="59287DBC"/>
    <w:rsid w:val="594B78FA"/>
    <w:rsid w:val="59513C79"/>
    <w:rsid w:val="5969D04D"/>
    <w:rsid w:val="596A6878"/>
    <w:rsid w:val="598556E1"/>
    <w:rsid w:val="5989CF56"/>
    <w:rsid w:val="598AA4A5"/>
    <w:rsid w:val="598AA7B6"/>
    <w:rsid w:val="598CDFA1"/>
    <w:rsid w:val="59A57025"/>
    <w:rsid w:val="59A5CC7E"/>
    <w:rsid w:val="59A604CF"/>
    <w:rsid w:val="59BA7CF4"/>
    <w:rsid w:val="59CB3AF2"/>
    <w:rsid w:val="59CCA371"/>
    <w:rsid w:val="59D23735"/>
    <w:rsid w:val="59DB2EAE"/>
    <w:rsid w:val="59E315F7"/>
    <w:rsid w:val="5A031016"/>
    <w:rsid w:val="5A119733"/>
    <w:rsid w:val="5A155E37"/>
    <w:rsid w:val="5A207042"/>
    <w:rsid w:val="5A25C91D"/>
    <w:rsid w:val="5A32AE20"/>
    <w:rsid w:val="5A422499"/>
    <w:rsid w:val="5A500C4B"/>
    <w:rsid w:val="5A522E52"/>
    <w:rsid w:val="5A6D6B60"/>
    <w:rsid w:val="5A7F5A29"/>
    <w:rsid w:val="5A81DEF0"/>
    <w:rsid w:val="5A8434CD"/>
    <w:rsid w:val="5A8FC8B7"/>
    <w:rsid w:val="5A97B3C9"/>
    <w:rsid w:val="5ABF55EF"/>
    <w:rsid w:val="5ACA0019"/>
    <w:rsid w:val="5AEF9B41"/>
    <w:rsid w:val="5AF93C60"/>
    <w:rsid w:val="5B00F824"/>
    <w:rsid w:val="5B109F0F"/>
    <w:rsid w:val="5B172DFF"/>
    <w:rsid w:val="5B2B3D27"/>
    <w:rsid w:val="5B3235DC"/>
    <w:rsid w:val="5B377648"/>
    <w:rsid w:val="5B43CE59"/>
    <w:rsid w:val="5B4B6F66"/>
    <w:rsid w:val="5B549AB2"/>
    <w:rsid w:val="5B7D1B42"/>
    <w:rsid w:val="5B896E0C"/>
    <w:rsid w:val="5BA328E0"/>
    <w:rsid w:val="5BC050E9"/>
    <w:rsid w:val="5BC5081D"/>
    <w:rsid w:val="5BC70A42"/>
    <w:rsid w:val="5BDC0262"/>
    <w:rsid w:val="5BE0647F"/>
    <w:rsid w:val="5BE6CABE"/>
    <w:rsid w:val="5BE807AE"/>
    <w:rsid w:val="5BECCC2B"/>
    <w:rsid w:val="5BF9DC91"/>
    <w:rsid w:val="5BFDCC48"/>
    <w:rsid w:val="5C139A67"/>
    <w:rsid w:val="5C2DAD72"/>
    <w:rsid w:val="5C33BD44"/>
    <w:rsid w:val="5C3E1589"/>
    <w:rsid w:val="5C4D1854"/>
    <w:rsid w:val="5C56AF57"/>
    <w:rsid w:val="5C69219F"/>
    <w:rsid w:val="5C7C6937"/>
    <w:rsid w:val="5C976E4E"/>
    <w:rsid w:val="5CA80E86"/>
    <w:rsid w:val="5CAB3D2C"/>
    <w:rsid w:val="5CB0DD8A"/>
    <w:rsid w:val="5CB1D856"/>
    <w:rsid w:val="5CB2F096"/>
    <w:rsid w:val="5CCF4AB9"/>
    <w:rsid w:val="5D24791B"/>
    <w:rsid w:val="5D2EA232"/>
    <w:rsid w:val="5D2FF95F"/>
    <w:rsid w:val="5D34E8CD"/>
    <w:rsid w:val="5D35A486"/>
    <w:rsid w:val="5D3E1216"/>
    <w:rsid w:val="5D3F6E36"/>
    <w:rsid w:val="5D47F856"/>
    <w:rsid w:val="5D725403"/>
    <w:rsid w:val="5D76906B"/>
    <w:rsid w:val="5D779143"/>
    <w:rsid w:val="5D89A370"/>
    <w:rsid w:val="5D8F87A0"/>
    <w:rsid w:val="5D965F45"/>
    <w:rsid w:val="5DB05FE8"/>
    <w:rsid w:val="5DB29839"/>
    <w:rsid w:val="5DC5A274"/>
    <w:rsid w:val="5DC9171B"/>
    <w:rsid w:val="5DD1911B"/>
    <w:rsid w:val="5DE0645D"/>
    <w:rsid w:val="5DE1C563"/>
    <w:rsid w:val="5DED97DB"/>
    <w:rsid w:val="5DF10C4C"/>
    <w:rsid w:val="5DF1B4E5"/>
    <w:rsid w:val="5DF7F624"/>
    <w:rsid w:val="5DF97EEF"/>
    <w:rsid w:val="5E09304B"/>
    <w:rsid w:val="5E12614B"/>
    <w:rsid w:val="5E26F423"/>
    <w:rsid w:val="5E2AD570"/>
    <w:rsid w:val="5E434EC7"/>
    <w:rsid w:val="5E4B2476"/>
    <w:rsid w:val="5E4E3787"/>
    <w:rsid w:val="5E560522"/>
    <w:rsid w:val="5E5C2BBC"/>
    <w:rsid w:val="5E5D1738"/>
    <w:rsid w:val="5E70EAB1"/>
    <w:rsid w:val="5E7A8FE4"/>
    <w:rsid w:val="5E7EAA16"/>
    <w:rsid w:val="5E84D134"/>
    <w:rsid w:val="5EB92851"/>
    <w:rsid w:val="5EBA514C"/>
    <w:rsid w:val="5EBAA40D"/>
    <w:rsid w:val="5EBDA316"/>
    <w:rsid w:val="5EC33E2B"/>
    <w:rsid w:val="5ED917B2"/>
    <w:rsid w:val="5EE6DBD6"/>
    <w:rsid w:val="5EF3A242"/>
    <w:rsid w:val="5EF9BCE2"/>
    <w:rsid w:val="5F008397"/>
    <w:rsid w:val="5F15E9F3"/>
    <w:rsid w:val="5F259E63"/>
    <w:rsid w:val="5F25AA5A"/>
    <w:rsid w:val="5F42CDC3"/>
    <w:rsid w:val="5F56D436"/>
    <w:rsid w:val="5F71301B"/>
    <w:rsid w:val="5F7946C1"/>
    <w:rsid w:val="5F91C7B6"/>
    <w:rsid w:val="5FA9980E"/>
    <w:rsid w:val="5FCAFA15"/>
    <w:rsid w:val="5FD557B4"/>
    <w:rsid w:val="5FD84E5A"/>
    <w:rsid w:val="5FF3349E"/>
    <w:rsid w:val="5FFAE98C"/>
    <w:rsid w:val="5FFAF013"/>
    <w:rsid w:val="601E4696"/>
    <w:rsid w:val="6030F487"/>
    <w:rsid w:val="603D7F63"/>
    <w:rsid w:val="604484F3"/>
    <w:rsid w:val="6044EBDB"/>
    <w:rsid w:val="6048F38C"/>
    <w:rsid w:val="6057844E"/>
    <w:rsid w:val="605BE626"/>
    <w:rsid w:val="605D644B"/>
    <w:rsid w:val="605ECE71"/>
    <w:rsid w:val="60924469"/>
    <w:rsid w:val="60992DBF"/>
    <w:rsid w:val="60B59BD0"/>
    <w:rsid w:val="60BF0D9C"/>
    <w:rsid w:val="60C8262B"/>
    <w:rsid w:val="60CA2440"/>
    <w:rsid w:val="60CCA4A0"/>
    <w:rsid w:val="60DA3146"/>
    <w:rsid w:val="60E93426"/>
    <w:rsid w:val="60F2FCEE"/>
    <w:rsid w:val="610513D9"/>
    <w:rsid w:val="610E3D6A"/>
    <w:rsid w:val="611191FA"/>
    <w:rsid w:val="614FF140"/>
    <w:rsid w:val="6159FF43"/>
    <w:rsid w:val="615E4BB7"/>
    <w:rsid w:val="6163E60C"/>
    <w:rsid w:val="616C0C3A"/>
    <w:rsid w:val="617818FA"/>
    <w:rsid w:val="619B2E35"/>
    <w:rsid w:val="61AB072F"/>
    <w:rsid w:val="61B6035D"/>
    <w:rsid w:val="61B9D574"/>
    <w:rsid w:val="61E7CB11"/>
    <w:rsid w:val="61E7EA22"/>
    <w:rsid w:val="61E83B8C"/>
    <w:rsid w:val="61EF89CA"/>
    <w:rsid w:val="61F535F7"/>
    <w:rsid w:val="621D2B90"/>
    <w:rsid w:val="621F2C5E"/>
    <w:rsid w:val="622074A3"/>
    <w:rsid w:val="62428ECE"/>
    <w:rsid w:val="624CF214"/>
    <w:rsid w:val="624DB985"/>
    <w:rsid w:val="62719AC4"/>
    <w:rsid w:val="62778264"/>
    <w:rsid w:val="6287AD4D"/>
    <w:rsid w:val="629493CA"/>
    <w:rsid w:val="62C7957E"/>
    <w:rsid w:val="62DAD17A"/>
    <w:rsid w:val="62DE03C9"/>
    <w:rsid w:val="62EE7DA2"/>
    <w:rsid w:val="62F42D7A"/>
    <w:rsid w:val="62F5CFA4"/>
    <w:rsid w:val="62F9C230"/>
    <w:rsid w:val="6300702E"/>
    <w:rsid w:val="63047885"/>
    <w:rsid w:val="63186ADA"/>
    <w:rsid w:val="631F5F1C"/>
    <w:rsid w:val="633FB453"/>
    <w:rsid w:val="63417996"/>
    <w:rsid w:val="635A6D0A"/>
    <w:rsid w:val="636833A4"/>
    <w:rsid w:val="638462E9"/>
    <w:rsid w:val="6387F629"/>
    <w:rsid w:val="639C273F"/>
    <w:rsid w:val="63A21578"/>
    <w:rsid w:val="63AF3C32"/>
    <w:rsid w:val="63B40BC0"/>
    <w:rsid w:val="63D0F185"/>
    <w:rsid w:val="63EDF1B5"/>
    <w:rsid w:val="63F77AA3"/>
    <w:rsid w:val="63FEDB32"/>
    <w:rsid w:val="64216AAA"/>
    <w:rsid w:val="6426BE04"/>
    <w:rsid w:val="643EE2C1"/>
    <w:rsid w:val="64489654"/>
    <w:rsid w:val="64514724"/>
    <w:rsid w:val="647D5EFC"/>
    <w:rsid w:val="64986229"/>
    <w:rsid w:val="64A1D6F3"/>
    <w:rsid w:val="64A38869"/>
    <w:rsid w:val="64A6663F"/>
    <w:rsid w:val="64B1481A"/>
    <w:rsid w:val="64BB2F7D"/>
    <w:rsid w:val="64C07721"/>
    <w:rsid w:val="64CEE573"/>
    <w:rsid w:val="64CF03FE"/>
    <w:rsid w:val="64D0DE0E"/>
    <w:rsid w:val="64E06273"/>
    <w:rsid w:val="64E07CE2"/>
    <w:rsid w:val="64E4FCAC"/>
    <w:rsid w:val="64ECDF1E"/>
    <w:rsid w:val="650004B2"/>
    <w:rsid w:val="65085D97"/>
    <w:rsid w:val="650AEECE"/>
    <w:rsid w:val="6514B77C"/>
    <w:rsid w:val="6518F759"/>
    <w:rsid w:val="6538B6A5"/>
    <w:rsid w:val="65472F01"/>
    <w:rsid w:val="654EEB49"/>
    <w:rsid w:val="6552175C"/>
    <w:rsid w:val="656BC95D"/>
    <w:rsid w:val="656E2594"/>
    <w:rsid w:val="657B3BD1"/>
    <w:rsid w:val="6580F607"/>
    <w:rsid w:val="65832D42"/>
    <w:rsid w:val="65865330"/>
    <w:rsid w:val="65A2238B"/>
    <w:rsid w:val="65AF58EA"/>
    <w:rsid w:val="65B9148F"/>
    <w:rsid w:val="65C51FC0"/>
    <w:rsid w:val="65C7189E"/>
    <w:rsid w:val="65D0BE82"/>
    <w:rsid w:val="65D1968A"/>
    <w:rsid w:val="65D2265A"/>
    <w:rsid w:val="65EAFAA5"/>
    <w:rsid w:val="65F445EE"/>
    <w:rsid w:val="660028BE"/>
    <w:rsid w:val="6600DCD0"/>
    <w:rsid w:val="6610D8DA"/>
    <w:rsid w:val="661B621D"/>
    <w:rsid w:val="661D7A24"/>
    <w:rsid w:val="6631DB8A"/>
    <w:rsid w:val="66364D7C"/>
    <w:rsid w:val="663E37E1"/>
    <w:rsid w:val="664BF608"/>
    <w:rsid w:val="666B8612"/>
    <w:rsid w:val="6670E11E"/>
    <w:rsid w:val="6672B1B7"/>
    <w:rsid w:val="66835E30"/>
    <w:rsid w:val="6687ED59"/>
    <w:rsid w:val="66AA93AF"/>
    <w:rsid w:val="66AF6AB9"/>
    <w:rsid w:val="66C61A08"/>
    <w:rsid w:val="66D67B99"/>
    <w:rsid w:val="66DB231F"/>
    <w:rsid w:val="66E0285B"/>
    <w:rsid w:val="66E60BAA"/>
    <w:rsid w:val="66E7E906"/>
    <w:rsid w:val="66EAF021"/>
    <w:rsid w:val="66EDF130"/>
    <w:rsid w:val="66FA9351"/>
    <w:rsid w:val="6737ADBA"/>
    <w:rsid w:val="6745837F"/>
    <w:rsid w:val="674FB0A8"/>
    <w:rsid w:val="6758B651"/>
    <w:rsid w:val="6765F819"/>
    <w:rsid w:val="676DF4DA"/>
    <w:rsid w:val="6780B0B4"/>
    <w:rsid w:val="6784AA28"/>
    <w:rsid w:val="6787B6B2"/>
    <w:rsid w:val="678849E5"/>
    <w:rsid w:val="67AD5771"/>
    <w:rsid w:val="67B37675"/>
    <w:rsid w:val="67CA0F06"/>
    <w:rsid w:val="67D6B626"/>
    <w:rsid w:val="67D774DF"/>
    <w:rsid w:val="67E748B6"/>
    <w:rsid w:val="67E7BF90"/>
    <w:rsid w:val="67F2D03F"/>
    <w:rsid w:val="67F8CA6B"/>
    <w:rsid w:val="680F8C95"/>
    <w:rsid w:val="68132576"/>
    <w:rsid w:val="68190AE0"/>
    <w:rsid w:val="68199B13"/>
    <w:rsid w:val="68275927"/>
    <w:rsid w:val="68287A3E"/>
    <w:rsid w:val="682C4540"/>
    <w:rsid w:val="68355994"/>
    <w:rsid w:val="68420F57"/>
    <w:rsid w:val="68431152"/>
    <w:rsid w:val="6846E1C2"/>
    <w:rsid w:val="684F71B0"/>
    <w:rsid w:val="68629C15"/>
    <w:rsid w:val="686D3976"/>
    <w:rsid w:val="687B55A4"/>
    <w:rsid w:val="68812538"/>
    <w:rsid w:val="6892057F"/>
    <w:rsid w:val="689B9BE0"/>
    <w:rsid w:val="68B2923E"/>
    <w:rsid w:val="68B71E2A"/>
    <w:rsid w:val="68BBA940"/>
    <w:rsid w:val="68C26ED7"/>
    <w:rsid w:val="68C665C4"/>
    <w:rsid w:val="68D7B268"/>
    <w:rsid w:val="68DE92E7"/>
    <w:rsid w:val="68E6B029"/>
    <w:rsid w:val="68EA62EE"/>
    <w:rsid w:val="68F1DEB5"/>
    <w:rsid w:val="68F21D55"/>
    <w:rsid w:val="68F2F511"/>
    <w:rsid w:val="690503B8"/>
    <w:rsid w:val="6911043D"/>
    <w:rsid w:val="6920D4BF"/>
    <w:rsid w:val="6945C65C"/>
    <w:rsid w:val="69795175"/>
    <w:rsid w:val="69925053"/>
    <w:rsid w:val="69B24B68"/>
    <w:rsid w:val="69CB394C"/>
    <w:rsid w:val="69D1B8A1"/>
    <w:rsid w:val="69D201E2"/>
    <w:rsid w:val="69D3FBDC"/>
    <w:rsid w:val="69D664AF"/>
    <w:rsid w:val="69E5ECA2"/>
    <w:rsid w:val="69F1EE96"/>
    <w:rsid w:val="69F94A75"/>
    <w:rsid w:val="6A103FC1"/>
    <w:rsid w:val="6A249917"/>
    <w:rsid w:val="6A269DAE"/>
    <w:rsid w:val="6A30C3F2"/>
    <w:rsid w:val="6A40E8B1"/>
    <w:rsid w:val="6A488EC7"/>
    <w:rsid w:val="6A54F459"/>
    <w:rsid w:val="6A558B16"/>
    <w:rsid w:val="6A5BF138"/>
    <w:rsid w:val="6A5CEAC7"/>
    <w:rsid w:val="6A769193"/>
    <w:rsid w:val="6A82CA5F"/>
    <w:rsid w:val="6A8D6DF0"/>
    <w:rsid w:val="6AA8FAE9"/>
    <w:rsid w:val="6AB1EA1A"/>
    <w:rsid w:val="6AB46956"/>
    <w:rsid w:val="6AB51935"/>
    <w:rsid w:val="6AB7C63D"/>
    <w:rsid w:val="6ABD53A6"/>
    <w:rsid w:val="6ACD9AF0"/>
    <w:rsid w:val="6ADA8755"/>
    <w:rsid w:val="6AE11A98"/>
    <w:rsid w:val="6AE78ACC"/>
    <w:rsid w:val="6AEFBE26"/>
    <w:rsid w:val="6AFDAA6C"/>
    <w:rsid w:val="6B00ABC3"/>
    <w:rsid w:val="6B041A29"/>
    <w:rsid w:val="6B0606FE"/>
    <w:rsid w:val="6B0A857A"/>
    <w:rsid w:val="6B284998"/>
    <w:rsid w:val="6B2B39ED"/>
    <w:rsid w:val="6B2E9EE6"/>
    <w:rsid w:val="6B32835C"/>
    <w:rsid w:val="6B34D019"/>
    <w:rsid w:val="6B5AC26B"/>
    <w:rsid w:val="6B6B320D"/>
    <w:rsid w:val="6B928348"/>
    <w:rsid w:val="6B93596B"/>
    <w:rsid w:val="6B9C1ABE"/>
    <w:rsid w:val="6BA0064D"/>
    <w:rsid w:val="6BB073E6"/>
    <w:rsid w:val="6BC58BAB"/>
    <w:rsid w:val="6BD75FC1"/>
    <w:rsid w:val="6BE289A6"/>
    <w:rsid w:val="6BE844D4"/>
    <w:rsid w:val="6BF318E8"/>
    <w:rsid w:val="6C0069C5"/>
    <w:rsid w:val="6C00C8C3"/>
    <w:rsid w:val="6C0501DF"/>
    <w:rsid w:val="6C075F39"/>
    <w:rsid w:val="6C0A1F72"/>
    <w:rsid w:val="6C14F1BB"/>
    <w:rsid w:val="6C18F4A2"/>
    <w:rsid w:val="6C288771"/>
    <w:rsid w:val="6C299D9F"/>
    <w:rsid w:val="6C2D1E12"/>
    <w:rsid w:val="6C427033"/>
    <w:rsid w:val="6C52542F"/>
    <w:rsid w:val="6C57FC20"/>
    <w:rsid w:val="6C771161"/>
    <w:rsid w:val="6C7CEAF9"/>
    <w:rsid w:val="6C804C3C"/>
    <w:rsid w:val="6C8CB4A4"/>
    <w:rsid w:val="6C944D01"/>
    <w:rsid w:val="6C9FDC42"/>
    <w:rsid w:val="6CC29588"/>
    <w:rsid w:val="6CC63E79"/>
    <w:rsid w:val="6CD5ACB8"/>
    <w:rsid w:val="6CD85502"/>
    <w:rsid w:val="6CF4FC59"/>
    <w:rsid w:val="6CF75B33"/>
    <w:rsid w:val="6CF9A720"/>
    <w:rsid w:val="6D134FD5"/>
    <w:rsid w:val="6D279A60"/>
    <w:rsid w:val="6D351D76"/>
    <w:rsid w:val="6D3D5179"/>
    <w:rsid w:val="6D4680B5"/>
    <w:rsid w:val="6D47A2F4"/>
    <w:rsid w:val="6D483D20"/>
    <w:rsid w:val="6D4C7CBC"/>
    <w:rsid w:val="6D6F4AFB"/>
    <w:rsid w:val="6D78E7F3"/>
    <w:rsid w:val="6D78E9BC"/>
    <w:rsid w:val="6D7C2DB5"/>
    <w:rsid w:val="6D831869"/>
    <w:rsid w:val="6D877DC2"/>
    <w:rsid w:val="6D88A992"/>
    <w:rsid w:val="6D8A879E"/>
    <w:rsid w:val="6D8E9271"/>
    <w:rsid w:val="6D95A948"/>
    <w:rsid w:val="6D9B89BB"/>
    <w:rsid w:val="6DA87A2A"/>
    <w:rsid w:val="6DAA1001"/>
    <w:rsid w:val="6DC2FE15"/>
    <w:rsid w:val="6DC36F42"/>
    <w:rsid w:val="6DC956CC"/>
    <w:rsid w:val="6DDBA7D7"/>
    <w:rsid w:val="6DEF1C9D"/>
    <w:rsid w:val="6E05EFE2"/>
    <w:rsid w:val="6E088BDD"/>
    <w:rsid w:val="6E18BB5A"/>
    <w:rsid w:val="6E1DC2FD"/>
    <w:rsid w:val="6E25AD09"/>
    <w:rsid w:val="6E3CD624"/>
    <w:rsid w:val="6E423A40"/>
    <w:rsid w:val="6E4B1432"/>
    <w:rsid w:val="6E53BB0D"/>
    <w:rsid w:val="6E6FAFD0"/>
    <w:rsid w:val="6E7E4C86"/>
    <w:rsid w:val="6E842C3D"/>
    <w:rsid w:val="6E875F28"/>
    <w:rsid w:val="6E96FE74"/>
    <w:rsid w:val="6EA0A3C3"/>
    <w:rsid w:val="6EA4D444"/>
    <w:rsid w:val="6EA891FC"/>
    <w:rsid w:val="6EB9F070"/>
    <w:rsid w:val="6EC19DBC"/>
    <w:rsid w:val="6EC783F2"/>
    <w:rsid w:val="6EC8326A"/>
    <w:rsid w:val="6EDA054E"/>
    <w:rsid w:val="6EEB06FD"/>
    <w:rsid w:val="6EEDC8A8"/>
    <w:rsid w:val="6EF3337F"/>
    <w:rsid w:val="6F0509BA"/>
    <w:rsid w:val="6F11B260"/>
    <w:rsid w:val="6F23CEFA"/>
    <w:rsid w:val="6F2CFC28"/>
    <w:rsid w:val="6F3090B9"/>
    <w:rsid w:val="6F374792"/>
    <w:rsid w:val="6F38982E"/>
    <w:rsid w:val="6F43B536"/>
    <w:rsid w:val="6F442466"/>
    <w:rsid w:val="6F5CC282"/>
    <w:rsid w:val="6F610A54"/>
    <w:rsid w:val="6F627C58"/>
    <w:rsid w:val="6F669A03"/>
    <w:rsid w:val="6F6A1960"/>
    <w:rsid w:val="6F6E0727"/>
    <w:rsid w:val="6F6F8E7B"/>
    <w:rsid w:val="6F8A3EDC"/>
    <w:rsid w:val="6FA2EBD0"/>
    <w:rsid w:val="6FA8E8C1"/>
    <w:rsid w:val="6FADD2ED"/>
    <w:rsid w:val="6FCB0C03"/>
    <w:rsid w:val="700AF0BA"/>
    <w:rsid w:val="70132AE4"/>
    <w:rsid w:val="70189413"/>
    <w:rsid w:val="702E47AA"/>
    <w:rsid w:val="7031A689"/>
    <w:rsid w:val="703FCD2E"/>
    <w:rsid w:val="70412F0D"/>
    <w:rsid w:val="704241C1"/>
    <w:rsid w:val="705C2DF8"/>
    <w:rsid w:val="7066F788"/>
    <w:rsid w:val="706B2543"/>
    <w:rsid w:val="706B98A7"/>
    <w:rsid w:val="7074F23B"/>
    <w:rsid w:val="70935333"/>
    <w:rsid w:val="709A7CB5"/>
    <w:rsid w:val="70BD00D1"/>
    <w:rsid w:val="70CD7C7C"/>
    <w:rsid w:val="70CF7AB2"/>
    <w:rsid w:val="710C37C9"/>
    <w:rsid w:val="7116A1CF"/>
    <w:rsid w:val="711FABC2"/>
    <w:rsid w:val="71268A0F"/>
    <w:rsid w:val="713DB20C"/>
    <w:rsid w:val="71485E4C"/>
    <w:rsid w:val="71509795"/>
    <w:rsid w:val="7179AED6"/>
    <w:rsid w:val="71808A28"/>
    <w:rsid w:val="7191B10B"/>
    <w:rsid w:val="719698E2"/>
    <w:rsid w:val="71B0A7DA"/>
    <w:rsid w:val="71B246B7"/>
    <w:rsid w:val="71C329B5"/>
    <w:rsid w:val="71CF7911"/>
    <w:rsid w:val="71E6D1D1"/>
    <w:rsid w:val="7211576D"/>
    <w:rsid w:val="721E0C92"/>
    <w:rsid w:val="72294DB9"/>
    <w:rsid w:val="7232D8E8"/>
    <w:rsid w:val="723C21C5"/>
    <w:rsid w:val="724687F4"/>
    <w:rsid w:val="7252F6B0"/>
    <w:rsid w:val="72750D0D"/>
    <w:rsid w:val="727619C9"/>
    <w:rsid w:val="72987FD5"/>
    <w:rsid w:val="729931BF"/>
    <w:rsid w:val="72A6EA73"/>
    <w:rsid w:val="72ABEE0D"/>
    <w:rsid w:val="72AF93B9"/>
    <w:rsid w:val="72C02B1A"/>
    <w:rsid w:val="72CB169F"/>
    <w:rsid w:val="72D05B34"/>
    <w:rsid w:val="730C1D06"/>
    <w:rsid w:val="7327B874"/>
    <w:rsid w:val="73478531"/>
    <w:rsid w:val="7357E4B0"/>
    <w:rsid w:val="736A2B75"/>
    <w:rsid w:val="73718A98"/>
    <w:rsid w:val="7371B20F"/>
    <w:rsid w:val="738147C2"/>
    <w:rsid w:val="738A4EEC"/>
    <w:rsid w:val="73970C76"/>
    <w:rsid w:val="73AE522F"/>
    <w:rsid w:val="73B3EE0D"/>
    <w:rsid w:val="73BD3862"/>
    <w:rsid w:val="73BD5E1A"/>
    <w:rsid w:val="73C04F6E"/>
    <w:rsid w:val="73C592CD"/>
    <w:rsid w:val="73E9D65F"/>
    <w:rsid w:val="73F0E105"/>
    <w:rsid w:val="73FE60A3"/>
    <w:rsid w:val="73FF1F1B"/>
    <w:rsid w:val="74026D1C"/>
    <w:rsid w:val="74161ACE"/>
    <w:rsid w:val="743136D9"/>
    <w:rsid w:val="7440737F"/>
    <w:rsid w:val="744900B7"/>
    <w:rsid w:val="7455962A"/>
    <w:rsid w:val="747FAEF2"/>
    <w:rsid w:val="747FC5D1"/>
    <w:rsid w:val="7494510C"/>
    <w:rsid w:val="74964397"/>
    <w:rsid w:val="74A1C772"/>
    <w:rsid w:val="74AC8E69"/>
    <w:rsid w:val="74B67744"/>
    <w:rsid w:val="74C43065"/>
    <w:rsid w:val="74CE9443"/>
    <w:rsid w:val="74DAD11F"/>
    <w:rsid w:val="74DFA6C5"/>
    <w:rsid w:val="74E1D134"/>
    <w:rsid w:val="74E7AEF9"/>
    <w:rsid w:val="74E7C98C"/>
    <w:rsid w:val="74F47A19"/>
    <w:rsid w:val="74F83405"/>
    <w:rsid w:val="74F99604"/>
    <w:rsid w:val="74FE229E"/>
    <w:rsid w:val="74FF4A8A"/>
    <w:rsid w:val="750A704D"/>
    <w:rsid w:val="7522CF67"/>
    <w:rsid w:val="752A8FDB"/>
    <w:rsid w:val="7532DCD7"/>
    <w:rsid w:val="7538BFE7"/>
    <w:rsid w:val="75487689"/>
    <w:rsid w:val="754D94D8"/>
    <w:rsid w:val="755F2CBB"/>
    <w:rsid w:val="756B1BEA"/>
    <w:rsid w:val="756CEF1C"/>
    <w:rsid w:val="756E664C"/>
    <w:rsid w:val="758B9312"/>
    <w:rsid w:val="759482CF"/>
    <w:rsid w:val="75A779D2"/>
    <w:rsid w:val="75B8573D"/>
    <w:rsid w:val="75C9441F"/>
    <w:rsid w:val="75CA3CF8"/>
    <w:rsid w:val="75CFCED1"/>
    <w:rsid w:val="75F6E387"/>
    <w:rsid w:val="75FF0E07"/>
    <w:rsid w:val="760289BC"/>
    <w:rsid w:val="7602FE84"/>
    <w:rsid w:val="760CADC2"/>
    <w:rsid w:val="760F1726"/>
    <w:rsid w:val="76147AF6"/>
    <w:rsid w:val="761ABADE"/>
    <w:rsid w:val="761B9E33"/>
    <w:rsid w:val="762CBA5F"/>
    <w:rsid w:val="7636E77F"/>
    <w:rsid w:val="765CA8C3"/>
    <w:rsid w:val="766A34A2"/>
    <w:rsid w:val="766C6954"/>
    <w:rsid w:val="767EE4DF"/>
    <w:rsid w:val="7694970F"/>
    <w:rsid w:val="7697C773"/>
    <w:rsid w:val="769B6DFC"/>
    <w:rsid w:val="76B818ED"/>
    <w:rsid w:val="76BF780A"/>
    <w:rsid w:val="76C9EC11"/>
    <w:rsid w:val="76D8B9C5"/>
    <w:rsid w:val="76DE52BC"/>
    <w:rsid w:val="76E09CFF"/>
    <w:rsid w:val="76EE66C4"/>
    <w:rsid w:val="770B5F4C"/>
    <w:rsid w:val="770F92E8"/>
    <w:rsid w:val="770FB446"/>
    <w:rsid w:val="771E6A2D"/>
    <w:rsid w:val="7734C166"/>
    <w:rsid w:val="77651480"/>
    <w:rsid w:val="776B60C9"/>
    <w:rsid w:val="77774F4C"/>
    <w:rsid w:val="777E5DC6"/>
    <w:rsid w:val="7784F305"/>
    <w:rsid w:val="779ED8AA"/>
    <w:rsid w:val="77A7B935"/>
    <w:rsid w:val="77D005F4"/>
    <w:rsid w:val="77D572A0"/>
    <w:rsid w:val="77DDCC90"/>
    <w:rsid w:val="77E9247F"/>
    <w:rsid w:val="77EF0806"/>
    <w:rsid w:val="77F0F35C"/>
    <w:rsid w:val="7802DAE2"/>
    <w:rsid w:val="780516BB"/>
    <w:rsid w:val="7821604F"/>
    <w:rsid w:val="7825A7DE"/>
    <w:rsid w:val="7825EB70"/>
    <w:rsid w:val="784B2FD8"/>
    <w:rsid w:val="7850BBB1"/>
    <w:rsid w:val="785D2633"/>
    <w:rsid w:val="7860713F"/>
    <w:rsid w:val="787D25E1"/>
    <w:rsid w:val="787FF8C5"/>
    <w:rsid w:val="78860194"/>
    <w:rsid w:val="78ABA914"/>
    <w:rsid w:val="78CAEE0D"/>
    <w:rsid w:val="78CECEA2"/>
    <w:rsid w:val="78D788AE"/>
    <w:rsid w:val="78DBC58C"/>
    <w:rsid w:val="78DD975D"/>
    <w:rsid w:val="78E84EB0"/>
    <w:rsid w:val="78F2CF3B"/>
    <w:rsid w:val="79090ADF"/>
    <w:rsid w:val="791134CA"/>
    <w:rsid w:val="79150021"/>
    <w:rsid w:val="791974A1"/>
    <w:rsid w:val="791A5635"/>
    <w:rsid w:val="79471F61"/>
    <w:rsid w:val="794C35EF"/>
    <w:rsid w:val="794E603A"/>
    <w:rsid w:val="794E99D2"/>
    <w:rsid w:val="79561C87"/>
    <w:rsid w:val="795B98D7"/>
    <w:rsid w:val="798BB658"/>
    <w:rsid w:val="7995DA1B"/>
    <w:rsid w:val="79C05C11"/>
    <w:rsid w:val="79CC6CCE"/>
    <w:rsid w:val="79CCA1C8"/>
    <w:rsid w:val="79D56FF0"/>
    <w:rsid w:val="79DBF19D"/>
    <w:rsid w:val="79E98E4B"/>
    <w:rsid w:val="7A00E21B"/>
    <w:rsid w:val="7A0388D3"/>
    <w:rsid w:val="7A22256A"/>
    <w:rsid w:val="7A400FE5"/>
    <w:rsid w:val="7A4A74D6"/>
    <w:rsid w:val="7A5085DF"/>
    <w:rsid w:val="7A6AED4E"/>
    <w:rsid w:val="7A786A3D"/>
    <w:rsid w:val="7A7C59D1"/>
    <w:rsid w:val="7A7FE189"/>
    <w:rsid w:val="7A94F8CB"/>
    <w:rsid w:val="7A9D8B19"/>
    <w:rsid w:val="7AA15CED"/>
    <w:rsid w:val="7AA45B4E"/>
    <w:rsid w:val="7AA49102"/>
    <w:rsid w:val="7AB3AAAD"/>
    <w:rsid w:val="7AB622EE"/>
    <w:rsid w:val="7ACE6C6C"/>
    <w:rsid w:val="7ADE1605"/>
    <w:rsid w:val="7AE483EB"/>
    <w:rsid w:val="7AE91132"/>
    <w:rsid w:val="7AF53CEF"/>
    <w:rsid w:val="7AF7930C"/>
    <w:rsid w:val="7AFA740C"/>
    <w:rsid w:val="7B141804"/>
    <w:rsid w:val="7B281078"/>
    <w:rsid w:val="7B2D06EB"/>
    <w:rsid w:val="7B3952CA"/>
    <w:rsid w:val="7B41B9A7"/>
    <w:rsid w:val="7B43C746"/>
    <w:rsid w:val="7B52D4FE"/>
    <w:rsid w:val="7B53A597"/>
    <w:rsid w:val="7B79088D"/>
    <w:rsid w:val="7B82B0D0"/>
    <w:rsid w:val="7B8EE1FC"/>
    <w:rsid w:val="7B93BE2D"/>
    <w:rsid w:val="7BA130A0"/>
    <w:rsid w:val="7BBCDE35"/>
    <w:rsid w:val="7BCFEA6C"/>
    <w:rsid w:val="7BD57081"/>
    <w:rsid w:val="7BD7EED1"/>
    <w:rsid w:val="7BEEF43D"/>
    <w:rsid w:val="7BF2C2F2"/>
    <w:rsid w:val="7C04CC2F"/>
    <w:rsid w:val="7C0D61E4"/>
    <w:rsid w:val="7C1306BD"/>
    <w:rsid w:val="7C1E87E2"/>
    <w:rsid w:val="7C3A2379"/>
    <w:rsid w:val="7C4F7B0E"/>
    <w:rsid w:val="7C516F9C"/>
    <w:rsid w:val="7C5691AE"/>
    <w:rsid w:val="7C68D80F"/>
    <w:rsid w:val="7C7048A8"/>
    <w:rsid w:val="7C7A49B8"/>
    <w:rsid w:val="7C98BE74"/>
    <w:rsid w:val="7CA19ADD"/>
    <w:rsid w:val="7CB1A916"/>
    <w:rsid w:val="7CCBA42F"/>
    <w:rsid w:val="7CD0182C"/>
    <w:rsid w:val="7CD154F0"/>
    <w:rsid w:val="7CD57AE8"/>
    <w:rsid w:val="7CD6B1E2"/>
    <w:rsid w:val="7D15B19E"/>
    <w:rsid w:val="7D3A49AE"/>
    <w:rsid w:val="7D418173"/>
    <w:rsid w:val="7D4CF034"/>
    <w:rsid w:val="7D7E8928"/>
    <w:rsid w:val="7D8A0864"/>
    <w:rsid w:val="7D92BABD"/>
    <w:rsid w:val="7DB33F44"/>
    <w:rsid w:val="7DC08C04"/>
    <w:rsid w:val="7DC53AE7"/>
    <w:rsid w:val="7DCF48E7"/>
    <w:rsid w:val="7DD20629"/>
    <w:rsid w:val="7DDB2B04"/>
    <w:rsid w:val="7DEECB2D"/>
    <w:rsid w:val="7DF2523A"/>
    <w:rsid w:val="7E003666"/>
    <w:rsid w:val="7E05D21E"/>
    <w:rsid w:val="7E0A5554"/>
    <w:rsid w:val="7E0AA9EF"/>
    <w:rsid w:val="7E0DF565"/>
    <w:rsid w:val="7E0E1DB9"/>
    <w:rsid w:val="7E2120DE"/>
    <w:rsid w:val="7E29847D"/>
    <w:rsid w:val="7E4B8EC4"/>
    <w:rsid w:val="7E509C97"/>
    <w:rsid w:val="7E5656B0"/>
    <w:rsid w:val="7E76540C"/>
    <w:rsid w:val="7E7A7119"/>
    <w:rsid w:val="7E96F773"/>
    <w:rsid w:val="7EAE2182"/>
    <w:rsid w:val="7EC78A72"/>
    <w:rsid w:val="7EF7332A"/>
    <w:rsid w:val="7F140923"/>
    <w:rsid w:val="7F259406"/>
    <w:rsid w:val="7F25DDFD"/>
    <w:rsid w:val="7F29A74F"/>
    <w:rsid w:val="7F458D87"/>
    <w:rsid w:val="7F49E9B2"/>
    <w:rsid w:val="7F5495DE"/>
    <w:rsid w:val="7F5F1C81"/>
    <w:rsid w:val="7F68ACEA"/>
    <w:rsid w:val="7F733E5C"/>
    <w:rsid w:val="7F7468A4"/>
    <w:rsid w:val="7F8548FB"/>
    <w:rsid w:val="7F8AED79"/>
    <w:rsid w:val="7FA1F751"/>
    <w:rsid w:val="7FAC5822"/>
    <w:rsid w:val="7FACD133"/>
    <w:rsid w:val="7FB9ECAA"/>
    <w:rsid w:val="7FD56067"/>
    <w:rsid w:val="7FD6B2BF"/>
    <w:rsid w:val="7FFCC7EF"/>
    <w:rsid w:val="7FFCE0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D56B15B"/>
  <w15:docId w15:val="{82D54F0B-0D8B-4F81-B724-D4B78CA98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hu"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C1F"/>
  </w:style>
  <w:style w:type="paragraph" w:styleId="Heading1">
    <w:name w:val="heading 1"/>
    <w:basedOn w:val="Normal"/>
    <w:next w:val="Text1"/>
    <w:link w:val="Heading1Char"/>
    <w:uiPriority w:val="9"/>
    <w:qFormat/>
    <w:pPr>
      <w:keepNext/>
      <w:spacing w:before="360" w:after="360" w:line="240" w:lineRule="auto"/>
      <w:jc w:val="center"/>
      <w:outlineLvl w:val="0"/>
    </w:pPr>
    <w:rPr>
      <w:rFonts w:ascii="Symbol" w:hAnsi="Symbol" w:cs="Symbol"/>
      <w:b/>
      <w:smallCaps/>
      <w:sz w:val="28"/>
    </w:rPr>
  </w:style>
  <w:style w:type="paragraph" w:styleId="Heading2">
    <w:name w:val="heading 2"/>
    <w:basedOn w:val="Normal"/>
    <w:next w:val="Text1"/>
    <w:link w:val="Heading2Char"/>
    <w:uiPriority w:val="9"/>
    <w:unhideWhenUsed/>
    <w:qFormat/>
    <w:pPr>
      <w:keepNext/>
      <w:numPr>
        <w:ilvl w:val="1"/>
        <w:numId w:val="51"/>
      </w:numPr>
      <w:spacing w:before="120" w:after="120" w:line="240" w:lineRule="auto"/>
      <w:jc w:val="both"/>
      <w:outlineLvl w:val="1"/>
    </w:pPr>
    <w:rPr>
      <w:rFonts w:ascii="Symbol" w:eastAsiaTheme="majorEastAsia" w:hAnsi="Symbol" w:cs="Symbol"/>
      <w:b/>
      <w:sz w:val="24"/>
    </w:rPr>
  </w:style>
  <w:style w:type="paragraph" w:styleId="Heading3">
    <w:name w:val="heading 3"/>
    <w:basedOn w:val="Normal"/>
    <w:next w:val="Text1"/>
    <w:link w:val="Heading3Char"/>
    <w:uiPriority w:val="9"/>
    <w:unhideWhenUsed/>
    <w:qFormat/>
    <w:pPr>
      <w:keepNext/>
      <w:numPr>
        <w:ilvl w:val="2"/>
        <w:numId w:val="51"/>
      </w:numPr>
      <w:spacing w:before="120" w:after="120" w:line="240" w:lineRule="auto"/>
      <w:jc w:val="both"/>
      <w:outlineLvl w:val="2"/>
    </w:pPr>
    <w:rPr>
      <w:rFonts w:ascii="Symbol" w:eastAsiaTheme="majorEastAsia" w:hAnsi="Symbol" w:cs="Symbol"/>
      <w:i/>
      <w:sz w:val="24"/>
    </w:rPr>
  </w:style>
  <w:style w:type="paragraph" w:styleId="Heading4">
    <w:name w:val="heading 4"/>
    <w:basedOn w:val="Normal"/>
    <w:next w:val="Text1"/>
    <w:link w:val="Heading4Char"/>
    <w:uiPriority w:val="9"/>
    <w:unhideWhenUsed/>
    <w:qFormat/>
    <w:pPr>
      <w:keepNext/>
      <w:numPr>
        <w:ilvl w:val="3"/>
        <w:numId w:val="51"/>
      </w:numPr>
      <w:spacing w:before="120" w:after="120" w:line="240" w:lineRule="auto"/>
      <w:jc w:val="both"/>
      <w:outlineLvl w:val="3"/>
    </w:pPr>
    <w:rPr>
      <w:rFonts w:ascii="Symbol" w:eastAsiaTheme="majorEastAsia" w:hAnsi="Symbol" w:cs="Symbol"/>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Symbol" w:hAnsi="Symbol" w:cs="Symbol"/>
      <w:b/>
      <w:smallCaps/>
      <w:sz w:val="28"/>
    </w:rPr>
  </w:style>
  <w:style w:type="character" w:customStyle="1" w:styleId="Heading2Char">
    <w:name w:val="Heading 2 Char"/>
    <w:basedOn w:val="DefaultParagraphFont"/>
    <w:link w:val="Heading2"/>
    <w:uiPriority w:val="9"/>
    <w:rPr>
      <w:rFonts w:ascii="Symbol" w:eastAsiaTheme="majorEastAsia" w:hAnsi="Symbol" w:cs="Symbol"/>
      <w:b/>
      <w:sz w:val="24"/>
    </w:rPr>
  </w:style>
  <w:style w:type="character" w:customStyle="1" w:styleId="Heading3Char">
    <w:name w:val="Heading 3 Char"/>
    <w:basedOn w:val="DefaultParagraphFont"/>
    <w:link w:val="Heading3"/>
    <w:uiPriority w:val="9"/>
    <w:rPr>
      <w:rFonts w:ascii="Symbol" w:eastAsiaTheme="majorEastAsia" w:hAnsi="Symbol" w:cs="Symbol"/>
      <w:i/>
      <w:sz w:val="24"/>
    </w:rPr>
  </w:style>
  <w:style w:type="character" w:customStyle="1" w:styleId="Heading4Char">
    <w:name w:val="Heading 4 Char"/>
    <w:basedOn w:val="DefaultParagraphFont"/>
    <w:link w:val="Heading4"/>
    <w:uiPriority w:val="9"/>
    <w:rPr>
      <w:rFonts w:ascii="Symbol" w:eastAsiaTheme="majorEastAsia" w:hAnsi="Symbol" w:cs="Symbol"/>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Symbol" w:hAnsi="Symbol" w:cs="Symbol"/>
      <w:sz w:val="24"/>
    </w:rPr>
  </w:style>
  <w:style w:type="character" w:customStyle="1" w:styleId="HeaderChar">
    <w:name w:val="Header Char"/>
    <w:basedOn w:val="DefaultParagraphFont"/>
    <w:link w:val="Header"/>
    <w:uiPriority w:val="99"/>
    <w:rPr>
      <w:rFonts w:ascii="Symbol" w:hAnsi="Symbol" w:cs="Symbol"/>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Symbol" w:hAnsi="Symbol" w:cs="Symbol"/>
      <w:sz w:val="24"/>
    </w:rPr>
  </w:style>
  <w:style w:type="character" w:customStyle="1" w:styleId="FooterChar">
    <w:name w:val="Footer Char"/>
    <w:basedOn w:val="DefaultParagraphFont"/>
    <w:link w:val="Footer"/>
    <w:uiPriority w:val="99"/>
    <w:rPr>
      <w:rFonts w:ascii="Symbol" w:hAnsi="Symbol" w:cs="Symbol"/>
      <w:sz w:val="24"/>
    </w:rPr>
  </w:style>
  <w:style w:type="paragraph" w:styleId="FootnoteText">
    <w:name w:val="footnote text"/>
    <w:basedOn w:val="Normal"/>
    <w:link w:val="FootnoteTextChar"/>
    <w:uiPriority w:val="99"/>
    <w:unhideWhenUsed/>
    <w:pPr>
      <w:spacing w:after="0" w:line="240" w:lineRule="auto"/>
      <w:ind w:left="720" w:hanging="720"/>
      <w:jc w:val="both"/>
    </w:pPr>
    <w:rPr>
      <w:rFonts w:ascii="Symbol" w:hAnsi="Symbol" w:cs="Symbol"/>
      <w:sz w:val="20"/>
    </w:rPr>
  </w:style>
  <w:style w:type="character" w:customStyle="1" w:styleId="FootnoteTextChar">
    <w:name w:val="Footnote Text Char"/>
    <w:basedOn w:val="DefaultParagraphFont"/>
    <w:link w:val="FootnoteText"/>
    <w:uiPriority w:val="99"/>
    <w:rPr>
      <w:rFonts w:ascii="Symbol" w:hAnsi="Symbol" w:cs="Symbol"/>
      <w:sz w:val="20"/>
    </w:rPr>
  </w:style>
  <w:style w:type="paragraph" w:styleId="TOCHeading">
    <w:name w:val="TOC Heading"/>
    <w:basedOn w:val="Normal"/>
    <w:next w:val="Normal"/>
    <w:uiPriority w:val="39"/>
    <w:semiHidden/>
    <w:unhideWhenUsed/>
    <w:qFormat/>
    <w:pPr>
      <w:spacing w:before="120" w:after="240" w:line="240" w:lineRule="auto"/>
      <w:jc w:val="center"/>
    </w:pPr>
    <w:rPr>
      <w:rFonts w:ascii="Symbol" w:hAnsi="Symbol" w:cs="Symbol"/>
      <w:b/>
      <w:sz w:val="28"/>
    </w:rPr>
  </w:style>
  <w:style w:type="paragraph" w:styleId="TOC1">
    <w:name w:val="toc 1"/>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2">
    <w:name w:val="toc 2"/>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3">
    <w:name w:val="toc 3"/>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4">
    <w:name w:val="toc 4"/>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5">
    <w:name w:val="toc 5"/>
    <w:basedOn w:val="Normal"/>
    <w:next w:val="Normal"/>
    <w:uiPriority w:val="39"/>
    <w:semiHidden/>
    <w:unhideWhenUsed/>
    <w:pPr>
      <w:tabs>
        <w:tab w:val="right" w:leader="dot" w:pos="9071"/>
      </w:tabs>
      <w:spacing w:before="300" w:after="120" w:line="240" w:lineRule="auto"/>
    </w:pPr>
    <w:rPr>
      <w:rFonts w:ascii="Symbol" w:hAnsi="Symbol" w:cs="Symbol"/>
      <w:sz w:val="24"/>
    </w:rPr>
  </w:style>
  <w:style w:type="paragraph" w:styleId="TOC6">
    <w:name w:val="toc 6"/>
    <w:basedOn w:val="Normal"/>
    <w:next w:val="Normal"/>
    <w:uiPriority w:val="39"/>
    <w:semiHidden/>
    <w:unhideWhenUsed/>
    <w:pPr>
      <w:tabs>
        <w:tab w:val="right" w:leader="dot" w:pos="9071"/>
      </w:tabs>
      <w:spacing w:before="240" w:after="120" w:line="240" w:lineRule="auto"/>
    </w:pPr>
    <w:rPr>
      <w:rFonts w:ascii="Symbol" w:hAnsi="Symbol" w:cs="Symbol"/>
      <w:sz w:val="24"/>
    </w:rPr>
  </w:style>
  <w:style w:type="paragraph" w:styleId="TOC7">
    <w:name w:val="toc 7"/>
    <w:basedOn w:val="Normal"/>
    <w:next w:val="Normal"/>
    <w:uiPriority w:val="39"/>
    <w:semiHidden/>
    <w:unhideWhenUsed/>
    <w:pPr>
      <w:tabs>
        <w:tab w:val="right" w:leader="dot" w:pos="9071"/>
      </w:tabs>
      <w:spacing w:before="180" w:after="120" w:line="240" w:lineRule="auto"/>
    </w:pPr>
    <w:rPr>
      <w:rFonts w:ascii="Symbol" w:hAnsi="Symbol" w:cs="Symbol"/>
      <w:sz w:val="24"/>
    </w:rPr>
  </w:style>
  <w:style w:type="paragraph" w:styleId="TOC8">
    <w:name w:val="toc 8"/>
    <w:basedOn w:val="Normal"/>
    <w:next w:val="Normal"/>
    <w:uiPriority w:val="39"/>
    <w:semiHidden/>
    <w:unhideWhenUsed/>
    <w:pPr>
      <w:tabs>
        <w:tab w:val="right" w:leader="dot" w:pos="9071"/>
      </w:tabs>
      <w:spacing w:before="120" w:after="120" w:line="240" w:lineRule="auto"/>
    </w:pPr>
    <w:rPr>
      <w:rFonts w:ascii="Symbol" w:hAnsi="Symbol" w:cs="Symbol"/>
      <w:sz w:val="24"/>
    </w:rPr>
  </w:style>
  <w:style w:type="paragraph" w:styleId="TOC9">
    <w:name w:val="toc 9"/>
    <w:basedOn w:val="Normal"/>
    <w:next w:val="Normal"/>
    <w:uiPriority w:val="39"/>
    <w:semiHidden/>
    <w:unhideWhenUsed/>
    <w:pPr>
      <w:tabs>
        <w:tab w:val="right" w:leader="dot" w:pos="9071"/>
      </w:tabs>
      <w:spacing w:before="120" w:after="120" w:line="240" w:lineRule="auto"/>
      <w:jc w:val="both"/>
    </w:pPr>
    <w:rPr>
      <w:rFonts w:ascii="Symbol" w:hAnsi="Symbol" w:cs="Symbol"/>
      <w:sz w:val="24"/>
    </w:rPr>
  </w:style>
  <w:style w:type="paragraph" w:customStyle="1" w:styleId="HeaderLandscape">
    <w:name w:val="HeaderLandscape"/>
    <w:basedOn w:val="Normal"/>
    <w:pPr>
      <w:tabs>
        <w:tab w:val="center" w:pos="7285"/>
        <w:tab w:val="right" w:pos="14003"/>
      </w:tabs>
      <w:spacing w:after="120" w:line="240" w:lineRule="auto"/>
      <w:jc w:val="both"/>
    </w:pPr>
    <w:rPr>
      <w:rFonts w:ascii="Symbol" w:hAnsi="Symbol" w:cs="Symbol"/>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Symbol" w:hAnsi="Symbol" w:cs="Symbol"/>
      <w:sz w:val="24"/>
    </w:rPr>
  </w:style>
  <w:style w:type="character" w:styleId="FootnoteReference">
    <w:name w:val="footnote reference"/>
    <w:basedOn w:val="DefaultParagraphFont"/>
    <w:uiPriority w:val="99"/>
    <w:unhideWhenUsed/>
    <w:rPr>
      <w:shd w:val="clear" w:color="auto" w:fill="auto"/>
      <w:vertAlign w:val="superscript"/>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1">
    <w:name w:val="Text 1"/>
    <w:basedOn w:val="Normal"/>
    <w:pPr>
      <w:spacing w:before="120" w:after="120" w:line="240" w:lineRule="auto"/>
      <w:ind w:left="850"/>
      <w:jc w:val="both"/>
    </w:pPr>
    <w:rPr>
      <w:rFonts w:ascii="Symbol" w:hAnsi="Symbol" w:cs="Symbol"/>
      <w:sz w:val="24"/>
    </w:rPr>
  </w:style>
  <w:style w:type="paragraph" w:customStyle="1" w:styleId="Text2">
    <w:name w:val="Text 2"/>
    <w:basedOn w:val="Normal"/>
    <w:pPr>
      <w:spacing w:before="120" w:after="120" w:line="240" w:lineRule="auto"/>
      <w:ind w:left="1417"/>
      <w:jc w:val="both"/>
    </w:pPr>
    <w:rPr>
      <w:rFonts w:ascii="Symbol" w:hAnsi="Symbol" w:cs="Symbol"/>
      <w:sz w:val="24"/>
    </w:rPr>
  </w:style>
  <w:style w:type="paragraph" w:customStyle="1" w:styleId="Text3">
    <w:name w:val="Text 3"/>
    <w:basedOn w:val="Normal"/>
    <w:pPr>
      <w:spacing w:before="120" w:after="120" w:line="240" w:lineRule="auto"/>
      <w:ind w:left="1984"/>
      <w:jc w:val="both"/>
    </w:pPr>
    <w:rPr>
      <w:rFonts w:ascii="Symbol" w:hAnsi="Symbol" w:cs="Symbol"/>
      <w:sz w:val="24"/>
    </w:rPr>
  </w:style>
  <w:style w:type="paragraph" w:customStyle="1" w:styleId="Text4">
    <w:name w:val="Text 4"/>
    <w:basedOn w:val="Normal"/>
    <w:pPr>
      <w:spacing w:before="120" w:after="120" w:line="240" w:lineRule="auto"/>
      <w:ind w:left="2551"/>
      <w:jc w:val="both"/>
    </w:pPr>
    <w:rPr>
      <w:rFonts w:ascii="Symbol" w:hAnsi="Symbol" w:cs="Symbol"/>
      <w:sz w:val="24"/>
    </w:rPr>
  </w:style>
  <w:style w:type="paragraph" w:customStyle="1" w:styleId="NormalCentered">
    <w:name w:val="Normal Centered"/>
    <w:basedOn w:val="Normal"/>
    <w:pPr>
      <w:spacing w:before="120" w:after="120" w:line="240" w:lineRule="auto"/>
      <w:jc w:val="center"/>
    </w:pPr>
    <w:rPr>
      <w:rFonts w:ascii="Symbol" w:hAnsi="Symbol" w:cs="Symbol"/>
      <w:sz w:val="24"/>
    </w:rPr>
  </w:style>
  <w:style w:type="paragraph" w:customStyle="1" w:styleId="NormalLeft">
    <w:name w:val="Normal Left"/>
    <w:basedOn w:val="Normal"/>
    <w:pPr>
      <w:spacing w:before="120" w:after="120" w:line="240" w:lineRule="auto"/>
    </w:pPr>
    <w:rPr>
      <w:rFonts w:ascii="Symbol" w:hAnsi="Symbol" w:cs="Symbol"/>
      <w:sz w:val="24"/>
    </w:rPr>
  </w:style>
  <w:style w:type="paragraph" w:customStyle="1" w:styleId="NormalRight">
    <w:name w:val="Normal Right"/>
    <w:basedOn w:val="Normal"/>
    <w:pPr>
      <w:spacing w:before="120" w:after="120" w:line="240" w:lineRule="auto"/>
      <w:jc w:val="right"/>
    </w:pPr>
    <w:rPr>
      <w:rFonts w:ascii="Symbol" w:hAnsi="Symbol" w:cs="Symbol"/>
      <w:sz w:val="24"/>
    </w:rPr>
  </w:style>
  <w:style w:type="paragraph" w:customStyle="1" w:styleId="QuotedText">
    <w:name w:val="Quoted Text"/>
    <w:basedOn w:val="Normal"/>
    <w:pPr>
      <w:spacing w:before="120" w:after="120" w:line="240" w:lineRule="auto"/>
      <w:ind w:left="1417"/>
      <w:jc w:val="both"/>
    </w:pPr>
    <w:rPr>
      <w:rFonts w:ascii="Symbol" w:hAnsi="Symbol" w:cs="Symbol"/>
      <w:sz w:val="24"/>
    </w:rPr>
  </w:style>
  <w:style w:type="paragraph" w:customStyle="1" w:styleId="Point0">
    <w:name w:val="Point 0"/>
    <w:basedOn w:val="Normal"/>
    <w:pPr>
      <w:spacing w:before="120" w:after="120" w:line="240" w:lineRule="auto"/>
      <w:ind w:left="850" w:hanging="850"/>
      <w:jc w:val="both"/>
    </w:pPr>
    <w:rPr>
      <w:rFonts w:ascii="Symbol" w:hAnsi="Symbol" w:cs="Symbol"/>
      <w:sz w:val="24"/>
    </w:rPr>
  </w:style>
  <w:style w:type="paragraph" w:customStyle="1" w:styleId="Point1">
    <w:name w:val="Point 1"/>
    <w:basedOn w:val="Normal"/>
    <w:pPr>
      <w:spacing w:before="120" w:after="120" w:line="240" w:lineRule="auto"/>
      <w:ind w:left="1417" w:hanging="567"/>
      <w:jc w:val="both"/>
    </w:pPr>
    <w:rPr>
      <w:rFonts w:ascii="Symbol" w:hAnsi="Symbol" w:cs="Symbol"/>
      <w:sz w:val="24"/>
    </w:rPr>
  </w:style>
  <w:style w:type="paragraph" w:customStyle="1" w:styleId="Point2">
    <w:name w:val="Point 2"/>
    <w:basedOn w:val="Normal"/>
    <w:pPr>
      <w:spacing w:before="120" w:after="120" w:line="240" w:lineRule="auto"/>
      <w:ind w:left="1984" w:hanging="567"/>
      <w:jc w:val="both"/>
    </w:pPr>
    <w:rPr>
      <w:rFonts w:ascii="Symbol" w:hAnsi="Symbol" w:cs="Symbol"/>
      <w:sz w:val="24"/>
    </w:rPr>
  </w:style>
  <w:style w:type="paragraph" w:customStyle="1" w:styleId="Point3">
    <w:name w:val="Point 3"/>
    <w:basedOn w:val="Normal"/>
    <w:pPr>
      <w:spacing w:before="120" w:after="120" w:line="240" w:lineRule="auto"/>
      <w:ind w:left="2551" w:hanging="567"/>
      <w:jc w:val="both"/>
    </w:pPr>
    <w:rPr>
      <w:rFonts w:ascii="Symbol" w:hAnsi="Symbol" w:cs="Symbol"/>
      <w:sz w:val="24"/>
    </w:rPr>
  </w:style>
  <w:style w:type="paragraph" w:customStyle="1" w:styleId="Point4">
    <w:name w:val="Point 4"/>
    <w:basedOn w:val="Normal"/>
    <w:pPr>
      <w:spacing w:before="120" w:after="120" w:line="240" w:lineRule="auto"/>
      <w:ind w:left="3118" w:hanging="567"/>
      <w:jc w:val="both"/>
    </w:pPr>
    <w:rPr>
      <w:rFonts w:ascii="Symbol" w:hAnsi="Symbol" w:cs="Symbol"/>
      <w:sz w:val="24"/>
    </w:rPr>
  </w:style>
  <w:style w:type="paragraph" w:customStyle="1" w:styleId="Tiret0">
    <w:name w:val="Tiret 0"/>
    <w:basedOn w:val="Point0"/>
    <w:pPr>
      <w:numPr>
        <w:numId w:val="45"/>
      </w:numPr>
    </w:pPr>
  </w:style>
  <w:style w:type="paragraph" w:customStyle="1" w:styleId="Tiret1">
    <w:name w:val="Tiret 1"/>
    <w:basedOn w:val="Point1"/>
    <w:pPr>
      <w:numPr>
        <w:numId w:val="46"/>
      </w:numPr>
    </w:pPr>
  </w:style>
  <w:style w:type="paragraph" w:customStyle="1" w:styleId="Tiret2">
    <w:name w:val="Tiret 2"/>
    <w:basedOn w:val="Point2"/>
    <w:pPr>
      <w:numPr>
        <w:numId w:val="47"/>
      </w:numPr>
    </w:pPr>
  </w:style>
  <w:style w:type="paragraph" w:customStyle="1" w:styleId="Tiret3">
    <w:name w:val="Tiret 3"/>
    <w:basedOn w:val="Point3"/>
    <w:pPr>
      <w:numPr>
        <w:numId w:val="48"/>
      </w:numPr>
    </w:pPr>
  </w:style>
  <w:style w:type="paragraph" w:customStyle="1" w:styleId="Tiret4">
    <w:name w:val="Tiret 4"/>
    <w:basedOn w:val="Point4"/>
    <w:pPr>
      <w:numPr>
        <w:numId w:val="49"/>
      </w:numPr>
    </w:pPr>
  </w:style>
  <w:style w:type="paragraph" w:customStyle="1" w:styleId="PointDouble0">
    <w:name w:val="PointDouble 0"/>
    <w:basedOn w:val="Normal"/>
    <w:pPr>
      <w:tabs>
        <w:tab w:val="left" w:pos="850"/>
      </w:tabs>
      <w:spacing w:before="120" w:after="120" w:line="240" w:lineRule="auto"/>
      <w:ind w:left="1417" w:hanging="1417"/>
      <w:jc w:val="both"/>
    </w:pPr>
    <w:rPr>
      <w:rFonts w:ascii="Symbol" w:hAnsi="Symbol" w:cs="Symbol"/>
      <w:sz w:val="24"/>
    </w:rPr>
  </w:style>
  <w:style w:type="paragraph" w:customStyle="1" w:styleId="PointDouble1">
    <w:name w:val="PointDouble 1"/>
    <w:basedOn w:val="Normal"/>
    <w:pPr>
      <w:tabs>
        <w:tab w:val="left" w:pos="1417"/>
      </w:tabs>
      <w:spacing w:before="120" w:after="120" w:line="240" w:lineRule="auto"/>
      <w:ind w:left="1984" w:hanging="1134"/>
      <w:jc w:val="both"/>
    </w:pPr>
    <w:rPr>
      <w:rFonts w:ascii="Symbol" w:hAnsi="Symbol" w:cs="Symbol"/>
      <w:sz w:val="24"/>
    </w:rPr>
  </w:style>
  <w:style w:type="paragraph" w:customStyle="1" w:styleId="PointDouble2">
    <w:name w:val="PointDouble 2"/>
    <w:basedOn w:val="Normal"/>
    <w:pPr>
      <w:tabs>
        <w:tab w:val="left" w:pos="1984"/>
      </w:tabs>
      <w:spacing w:before="120" w:after="120" w:line="240" w:lineRule="auto"/>
      <w:ind w:left="2551" w:hanging="1134"/>
      <w:jc w:val="both"/>
    </w:pPr>
    <w:rPr>
      <w:rFonts w:ascii="Symbol" w:hAnsi="Symbol" w:cs="Symbol"/>
      <w:sz w:val="24"/>
    </w:rPr>
  </w:style>
  <w:style w:type="paragraph" w:customStyle="1" w:styleId="PointDouble3">
    <w:name w:val="PointDouble 3"/>
    <w:basedOn w:val="Normal"/>
    <w:pPr>
      <w:tabs>
        <w:tab w:val="left" w:pos="2551"/>
      </w:tabs>
      <w:spacing w:before="120" w:after="120" w:line="240" w:lineRule="auto"/>
      <w:ind w:left="3118" w:hanging="1134"/>
      <w:jc w:val="both"/>
    </w:pPr>
    <w:rPr>
      <w:rFonts w:ascii="Symbol" w:hAnsi="Symbol" w:cs="Symbol"/>
      <w:sz w:val="24"/>
    </w:rPr>
  </w:style>
  <w:style w:type="paragraph" w:customStyle="1" w:styleId="PointDouble4">
    <w:name w:val="PointDouble 4"/>
    <w:basedOn w:val="Normal"/>
    <w:pPr>
      <w:tabs>
        <w:tab w:val="left" w:pos="3118"/>
      </w:tabs>
      <w:spacing w:before="120" w:after="120" w:line="240" w:lineRule="auto"/>
      <w:ind w:left="3685" w:hanging="1134"/>
      <w:jc w:val="both"/>
    </w:pPr>
    <w:rPr>
      <w:rFonts w:ascii="Symbol" w:hAnsi="Symbol" w:cs="Symbol"/>
      <w:sz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Symbol" w:hAnsi="Symbol" w:cs="Symbol"/>
      <w:sz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Symbol" w:hAnsi="Symbol" w:cs="Symbol"/>
      <w:sz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Symbol" w:hAnsi="Symbol" w:cs="Symbol"/>
      <w:sz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Symbol" w:hAnsi="Symbol" w:cs="Symbol"/>
      <w:sz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Symbol" w:hAnsi="Symbol" w:cs="Symbol"/>
      <w:sz w:val="24"/>
    </w:rPr>
  </w:style>
  <w:style w:type="paragraph" w:customStyle="1" w:styleId="NumPar1">
    <w:name w:val="NumPar 1"/>
    <w:basedOn w:val="Normal"/>
    <w:next w:val="Text1"/>
    <w:pPr>
      <w:numPr>
        <w:numId w:val="50"/>
      </w:numPr>
      <w:spacing w:before="120" w:after="120" w:line="240" w:lineRule="auto"/>
      <w:jc w:val="both"/>
    </w:pPr>
    <w:rPr>
      <w:rFonts w:ascii="Segoe UI" w:hAnsi="Segoe UI" w:cs="Segoe UI"/>
      <w:sz w:val="24"/>
    </w:rPr>
  </w:style>
  <w:style w:type="paragraph" w:customStyle="1" w:styleId="NumPar2">
    <w:name w:val="NumPar 2"/>
    <w:basedOn w:val="Normal"/>
    <w:next w:val="Text1"/>
    <w:pPr>
      <w:numPr>
        <w:ilvl w:val="1"/>
        <w:numId w:val="50"/>
      </w:numPr>
      <w:tabs>
        <w:tab w:val="clear" w:pos="6236"/>
        <w:tab w:val="num" w:pos="850"/>
      </w:tabs>
      <w:spacing w:before="120" w:after="120" w:line="240" w:lineRule="auto"/>
      <w:ind w:left="850"/>
      <w:jc w:val="both"/>
    </w:pPr>
    <w:rPr>
      <w:rFonts w:ascii="Symbol" w:hAnsi="Symbol" w:cs="Symbol"/>
      <w:sz w:val="24"/>
    </w:rPr>
  </w:style>
  <w:style w:type="paragraph" w:customStyle="1" w:styleId="NumPar3">
    <w:name w:val="NumPar 3"/>
    <w:basedOn w:val="Normal"/>
    <w:next w:val="Text1"/>
    <w:pPr>
      <w:numPr>
        <w:ilvl w:val="2"/>
        <w:numId w:val="50"/>
      </w:numPr>
      <w:spacing w:before="120" w:after="120" w:line="240" w:lineRule="auto"/>
      <w:jc w:val="both"/>
    </w:pPr>
    <w:rPr>
      <w:rFonts w:ascii="Symbol" w:hAnsi="Symbol" w:cs="Symbol"/>
      <w:sz w:val="24"/>
    </w:rPr>
  </w:style>
  <w:style w:type="paragraph" w:customStyle="1" w:styleId="NumPar4">
    <w:name w:val="NumPar 4"/>
    <w:basedOn w:val="Normal"/>
    <w:next w:val="Text1"/>
    <w:pPr>
      <w:numPr>
        <w:ilvl w:val="3"/>
        <w:numId w:val="50"/>
      </w:numPr>
      <w:spacing w:before="120" w:after="120" w:line="240" w:lineRule="auto"/>
      <w:jc w:val="both"/>
    </w:pPr>
    <w:rPr>
      <w:rFonts w:ascii="Symbol" w:hAnsi="Symbol" w:cs="Symbol"/>
      <w:sz w:val="24"/>
    </w:rPr>
  </w:style>
  <w:style w:type="paragraph" w:customStyle="1" w:styleId="ManualNumPar1">
    <w:name w:val="Manual NumPar 1"/>
    <w:basedOn w:val="Normal"/>
    <w:next w:val="Text1"/>
    <w:pPr>
      <w:spacing w:before="120" w:after="120" w:line="240" w:lineRule="auto"/>
      <w:ind w:left="850" w:hanging="850"/>
      <w:jc w:val="both"/>
    </w:pPr>
    <w:rPr>
      <w:rFonts w:ascii="Symbol" w:hAnsi="Symbol" w:cs="Symbol"/>
      <w:sz w:val="24"/>
    </w:rPr>
  </w:style>
  <w:style w:type="paragraph" w:customStyle="1" w:styleId="ManualNumPar2">
    <w:name w:val="Manual NumPar 2"/>
    <w:basedOn w:val="Normal"/>
    <w:next w:val="Text1"/>
    <w:pPr>
      <w:spacing w:before="120" w:after="120" w:line="240" w:lineRule="auto"/>
      <w:ind w:left="850" w:hanging="850"/>
      <w:jc w:val="both"/>
    </w:pPr>
    <w:rPr>
      <w:rFonts w:ascii="Symbol" w:hAnsi="Symbol" w:cs="Symbol"/>
      <w:sz w:val="24"/>
    </w:rPr>
  </w:style>
  <w:style w:type="paragraph" w:customStyle="1" w:styleId="ManualNumPar3">
    <w:name w:val="Manual NumPar 3"/>
    <w:basedOn w:val="Normal"/>
    <w:next w:val="Text1"/>
    <w:pPr>
      <w:spacing w:before="120" w:after="120" w:line="240" w:lineRule="auto"/>
      <w:ind w:left="850" w:hanging="850"/>
      <w:jc w:val="both"/>
    </w:pPr>
    <w:rPr>
      <w:rFonts w:ascii="Symbol" w:hAnsi="Symbol" w:cs="Symbol"/>
      <w:sz w:val="24"/>
    </w:rPr>
  </w:style>
  <w:style w:type="paragraph" w:customStyle="1" w:styleId="ManualNumPar4">
    <w:name w:val="Manual NumPar 4"/>
    <w:basedOn w:val="Normal"/>
    <w:next w:val="Text1"/>
    <w:pPr>
      <w:spacing w:before="120" w:after="120" w:line="240" w:lineRule="auto"/>
      <w:ind w:left="850" w:hanging="850"/>
      <w:jc w:val="both"/>
    </w:pPr>
    <w:rPr>
      <w:rFonts w:ascii="Symbol" w:hAnsi="Symbol" w:cs="Symbol"/>
      <w:sz w:val="24"/>
    </w:rPr>
  </w:style>
  <w:style w:type="paragraph" w:customStyle="1" w:styleId="QuotedNumPar">
    <w:name w:val="Quoted NumPar"/>
    <w:basedOn w:val="Normal"/>
    <w:pPr>
      <w:spacing w:before="120" w:after="120" w:line="240" w:lineRule="auto"/>
      <w:ind w:left="1417" w:hanging="567"/>
      <w:jc w:val="both"/>
    </w:pPr>
    <w:rPr>
      <w:rFonts w:ascii="Symbol" w:hAnsi="Symbol" w:cs="Symbol"/>
      <w:sz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Symbol" w:hAnsi="Symbol" w:cs="Symbol"/>
      <w:b/>
      <w:smallCaps/>
      <w:sz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Symbol" w:hAnsi="Symbol" w:cs="Symbol"/>
      <w:b/>
      <w:sz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Symbol" w:hAnsi="Symbol" w:cs="Symbol"/>
      <w:i/>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Symbol" w:hAnsi="Symbol" w:cs="Symbol"/>
      <w:sz w:val="24"/>
    </w:rPr>
  </w:style>
  <w:style w:type="paragraph" w:customStyle="1" w:styleId="ChapterTitle">
    <w:name w:val="ChapterTitle"/>
    <w:basedOn w:val="Normal"/>
    <w:next w:val="Normal"/>
    <w:pPr>
      <w:keepNext/>
      <w:spacing w:before="120" w:after="360" w:line="240" w:lineRule="auto"/>
      <w:jc w:val="center"/>
    </w:pPr>
    <w:rPr>
      <w:rFonts w:ascii="Symbol" w:hAnsi="Symbol" w:cs="Symbol"/>
      <w:b/>
      <w:sz w:val="32"/>
    </w:rPr>
  </w:style>
  <w:style w:type="paragraph" w:customStyle="1" w:styleId="PartTitle">
    <w:name w:val="PartTitle"/>
    <w:basedOn w:val="Normal"/>
    <w:next w:val="ChapterTitle"/>
    <w:pPr>
      <w:keepNext/>
      <w:pageBreakBefore/>
      <w:spacing w:before="120" w:after="360" w:line="240" w:lineRule="auto"/>
      <w:jc w:val="center"/>
    </w:pPr>
    <w:rPr>
      <w:rFonts w:ascii="Symbol" w:hAnsi="Symbol" w:cs="Symbol"/>
      <w:b/>
      <w:sz w:val="36"/>
    </w:rPr>
  </w:style>
  <w:style w:type="paragraph" w:customStyle="1" w:styleId="SectionTitle">
    <w:name w:val="SectionTitle"/>
    <w:basedOn w:val="Normal"/>
    <w:next w:val="Heading1"/>
    <w:pPr>
      <w:keepNext/>
      <w:spacing w:before="120" w:after="360" w:line="240" w:lineRule="auto"/>
      <w:jc w:val="center"/>
    </w:pPr>
    <w:rPr>
      <w:rFonts w:ascii="Symbol" w:hAnsi="Symbol" w:cs="Symbol"/>
      <w:b/>
      <w:smallCaps/>
      <w:sz w:val="28"/>
    </w:rPr>
  </w:style>
  <w:style w:type="paragraph" w:customStyle="1" w:styleId="TableTitle">
    <w:name w:val="Table Title"/>
    <w:basedOn w:val="Normal"/>
    <w:next w:val="Normal"/>
    <w:pPr>
      <w:spacing w:before="120" w:after="120" w:line="240" w:lineRule="auto"/>
      <w:jc w:val="center"/>
    </w:pPr>
    <w:rPr>
      <w:rFonts w:ascii="Symbol" w:hAnsi="Symbol" w:cs="Symbol"/>
      <w:b/>
      <w:sz w:val="24"/>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52"/>
      </w:numPr>
      <w:spacing w:before="120" w:after="120" w:line="240" w:lineRule="auto"/>
      <w:jc w:val="both"/>
    </w:pPr>
    <w:rPr>
      <w:rFonts w:ascii="Segoe UI" w:hAnsi="Segoe UI" w:cs="Segoe UI"/>
      <w:sz w:val="24"/>
    </w:rPr>
  </w:style>
  <w:style w:type="paragraph" w:customStyle="1" w:styleId="Point1number">
    <w:name w:val="Point 1 (number)"/>
    <w:basedOn w:val="Normal"/>
    <w:pPr>
      <w:numPr>
        <w:ilvl w:val="2"/>
        <w:numId w:val="52"/>
      </w:numPr>
      <w:spacing w:before="120" w:after="120" w:line="240" w:lineRule="auto"/>
      <w:jc w:val="both"/>
    </w:pPr>
    <w:rPr>
      <w:rFonts w:ascii="Symbol" w:hAnsi="Symbol" w:cs="Symbol"/>
      <w:sz w:val="24"/>
    </w:rPr>
  </w:style>
  <w:style w:type="paragraph" w:customStyle="1" w:styleId="Point2number">
    <w:name w:val="Point 2 (number)"/>
    <w:basedOn w:val="Normal"/>
    <w:pPr>
      <w:numPr>
        <w:ilvl w:val="4"/>
        <w:numId w:val="52"/>
      </w:numPr>
      <w:spacing w:before="120" w:after="120" w:line="240" w:lineRule="auto"/>
      <w:jc w:val="both"/>
    </w:pPr>
    <w:rPr>
      <w:rFonts w:ascii="Symbol" w:hAnsi="Symbol" w:cs="Symbol"/>
      <w:sz w:val="24"/>
    </w:rPr>
  </w:style>
  <w:style w:type="paragraph" w:customStyle="1" w:styleId="Point3number">
    <w:name w:val="Point 3 (number)"/>
    <w:basedOn w:val="Normal"/>
    <w:pPr>
      <w:numPr>
        <w:ilvl w:val="6"/>
        <w:numId w:val="52"/>
      </w:numPr>
      <w:spacing w:before="120" w:after="120" w:line="240" w:lineRule="auto"/>
      <w:jc w:val="both"/>
    </w:pPr>
    <w:rPr>
      <w:rFonts w:ascii="Symbol" w:hAnsi="Symbol" w:cs="Symbol"/>
      <w:sz w:val="24"/>
    </w:rPr>
  </w:style>
  <w:style w:type="paragraph" w:customStyle="1" w:styleId="Point0letter">
    <w:name w:val="Point 0 (letter)"/>
    <w:basedOn w:val="Normal"/>
    <w:pPr>
      <w:numPr>
        <w:ilvl w:val="1"/>
        <w:numId w:val="52"/>
      </w:numPr>
      <w:spacing w:before="120" w:after="120" w:line="240" w:lineRule="auto"/>
      <w:jc w:val="both"/>
    </w:pPr>
    <w:rPr>
      <w:rFonts w:ascii="Symbol" w:hAnsi="Symbol" w:cs="Symbol"/>
      <w:sz w:val="24"/>
    </w:rPr>
  </w:style>
  <w:style w:type="paragraph" w:customStyle="1" w:styleId="Point1letter">
    <w:name w:val="Point 1 (letter)"/>
    <w:basedOn w:val="Normal"/>
    <w:pPr>
      <w:numPr>
        <w:ilvl w:val="3"/>
        <w:numId w:val="52"/>
      </w:numPr>
      <w:spacing w:before="120" w:after="120" w:line="240" w:lineRule="auto"/>
      <w:jc w:val="both"/>
    </w:pPr>
    <w:rPr>
      <w:rFonts w:ascii="Symbol" w:hAnsi="Symbol" w:cs="Symbol"/>
      <w:sz w:val="24"/>
    </w:rPr>
  </w:style>
  <w:style w:type="paragraph" w:customStyle="1" w:styleId="Point2letter">
    <w:name w:val="Point 2 (letter)"/>
    <w:basedOn w:val="Normal"/>
    <w:pPr>
      <w:numPr>
        <w:ilvl w:val="5"/>
        <w:numId w:val="52"/>
      </w:numPr>
      <w:spacing w:before="120" w:after="120" w:line="240" w:lineRule="auto"/>
      <w:jc w:val="both"/>
    </w:pPr>
    <w:rPr>
      <w:rFonts w:ascii="Symbol" w:hAnsi="Symbol" w:cs="Symbol"/>
      <w:sz w:val="24"/>
    </w:rPr>
  </w:style>
  <w:style w:type="paragraph" w:customStyle="1" w:styleId="Point3letter">
    <w:name w:val="Point 3 (letter)"/>
    <w:basedOn w:val="Normal"/>
    <w:pPr>
      <w:numPr>
        <w:ilvl w:val="7"/>
        <w:numId w:val="52"/>
      </w:numPr>
      <w:spacing w:before="120" w:after="120" w:line="240" w:lineRule="auto"/>
      <w:jc w:val="both"/>
    </w:pPr>
    <w:rPr>
      <w:rFonts w:ascii="Symbol" w:hAnsi="Symbol" w:cs="Symbol"/>
      <w:sz w:val="24"/>
    </w:rPr>
  </w:style>
  <w:style w:type="paragraph" w:customStyle="1" w:styleId="Point4letter">
    <w:name w:val="Point 4 (letter)"/>
    <w:basedOn w:val="Normal"/>
    <w:pPr>
      <w:numPr>
        <w:ilvl w:val="8"/>
        <w:numId w:val="52"/>
      </w:numPr>
      <w:spacing w:before="120" w:after="120" w:line="240" w:lineRule="auto"/>
      <w:jc w:val="both"/>
    </w:pPr>
    <w:rPr>
      <w:rFonts w:ascii="Symbol" w:hAnsi="Symbol" w:cs="Symbol"/>
      <w:sz w:val="24"/>
    </w:rPr>
  </w:style>
  <w:style w:type="paragraph" w:customStyle="1" w:styleId="Bullet0">
    <w:name w:val="Bullet 0"/>
    <w:basedOn w:val="Normal"/>
    <w:pPr>
      <w:numPr>
        <w:numId w:val="53"/>
      </w:numPr>
      <w:spacing w:before="120" w:after="120" w:line="240" w:lineRule="auto"/>
      <w:jc w:val="both"/>
    </w:pPr>
    <w:rPr>
      <w:rFonts w:ascii="Segoe UI" w:hAnsi="Segoe UI" w:cs="Segoe UI"/>
      <w:sz w:val="24"/>
    </w:rPr>
  </w:style>
  <w:style w:type="paragraph" w:customStyle="1" w:styleId="Bullet1">
    <w:name w:val="Bullet 1"/>
    <w:basedOn w:val="Normal"/>
    <w:link w:val="Bullet1Char"/>
    <w:qFormat/>
    <w:pPr>
      <w:numPr>
        <w:numId w:val="54"/>
      </w:numPr>
      <w:spacing w:before="120" w:after="120" w:line="240" w:lineRule="auto"/>
      <w:jc w:val="both"/>
    </w:pPr>
    <w:rPr>
      <w:rFonts w:ascii="Segoe UI" w:hAnsi="Segoe UI" w:cs="Segoe UI"/>
      <w:sz w:val="24"/>
    </w:rPr>
  </w:style>
  <w:style w:type="paragraph" w:customStyle="1" w:styleId="Bullet20">
    <w:name w:val="Bullet 2"/>
    <w:basedOn w:val="Normal"/>
    <w:pPr>
      <w:numPr>
        <w:numId w:val="55"/>
      </w:numPr>
      <w:spacing w:before="120" w:after="120" w:line="240" w:lineRule="auto"/>
      <w:jc w:val="both"/>
    </w:pPr>
    <w:rPr>
      <w:rFonts w:ascii="Segoe UI" w:hAnsi="Segoe UI" w:cs="Segoe UI"/>
      <w:sz w:val="24"/>
    </w:rPr>
  </w:style>
  <w:style w:type="paragraph" w:customStyle="1" w:styleId="Bullet3">
    <w:name w:val="Bullet 3"/>
    <w:basedOn w:val="Normal"/>
    <w:pPr>
      <w:numPr>
        <w:numId w:val="56"/>
      </w:numPr>
      <w:spacing w:before="120" w:after="120" w:line="240" w:lineRule="auto"/>
      <w:jc w:val="both"/>
    </w:pPr>
    <w:rPr>
      <w:rFonts w:ascii="Segoe UI" w:hAnsi="Segoe UI" w:cs="Segoe UI"/>
      <w:sz w:val="24"/>
    </w:rPr>
  </w:style>
  <w:style w:type="paragraph" w:customStyle="1" w:styleId="Bullet4">
    <w:name w:val="Bullet 4"/>
    <w:basedOn w:val="Normal"/>
    <w:pPr>
      <w:numPr>
        <w:numId w:val="57"/>
      </w:numPr>
      <w:spacing w:before="120" w:after="120" w:line="240" w:lineRule="auto"/>
      <w:jc w:val="both"/>
    </w:pPr>
    <w:rPr>
      <w:rFonts w:ascii="Segoe UI" w:hAnsi="Segoe UI" w:cs="Segoe UI"/>
      <w:sz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Symbol" w:hAnsi="Symbol" w:cs="Symbol"/>
      <w:b/>
      <w:caps/>
      <w:sz w:val="24"/>
    </w:rPr>
  </w:style>
  <w:style w:type="paragraph" w:customStyle="1" w:styleId="Nomdelinstitution">
    <w:name w:val="Nom de l'institution"/>
    <w:basedOn w:val="Normal"/>
    <w:next w:val="Emission"/>
    <w:pPr>
      <w:spacing w:after="0" w:line="240" w:lineRule="auto"/>
    </w:pPr>
    <w:rPr>
      <w:rFonts w:ascii="Aptos" w:hAnsi="Aptos" w:cs="Aptos"/>
      <w:sz w:val="24"/>
    </w:rPr>
  </w:style>
  <w:style w:type="paragraph" w:customStyle="1" w:styleId="Emission">
    <w:name w:val="Emission"/>
    <w:basedOn w:val="Normal"/>
    <w:next w:val="Rfrenceinstitutionnelle"/>
    <w:pPr>
      <w:spacing w:after="0" w:line="240" w:lineRule="auto"/>
      <w:ind w:left="5103"/>
    </w:pPr>
    <w:rPr>
      <w:rFonts w:ascii="Symbol" w:hAnsi="Symbol" w:cs="Symbol"/>
      <w:sz w:val="24"/>
    </w:rPr>
  </w:style>
  <w:style w:type="paragraph" w:customStyle="1" w:styleId="Rfrenceinstitutionnelle">
    <w:name w:val="Référence institutionnelle"/>
    <w:basedOn w:val="Normal"/>
    <w:next w:val="Confidentialit"/>
    <w:pPr>
      <w:spacing w:after="240" w:line="240" w:lineRule="auto"/>
      <w:ind w:left="5103"/>
    </w:pPr>
    <w:rPr>
      <w:rFonts w:ascii="Symbol" w:hAnsi="Symbol" w:cs="Symbol"/>
      <w:sz w:val="24"/>
    </w:rPr>
  </w:style>
  <w:style w:type="paragraph" w:customStyle="1" w:styleId="Pagedecouverture">
    <w:name w:val="Page de couverture"/>
    <w:basedOn w:val="Normal"/>
    <w:next w:val="Normal"/>
    <w:pPr>
      <w:spacing w:after="0" w:line="240" w:lineRule="auto"/>
      <w:jc w:val="both"/>
    </w:pPr>
    <w:rPr>
      <w:rFonts w:ascii="Symbol" w:hAnsi="Symbol" w:cs="Symbol"/>
      <w:sz w:val="24"/>
    </w:rPr>
  </w:style>
  <w:style w:type="paragraph" w:customStyle="1" w:styleId="Declassification">
    <w:name w:val="Declassification"/>
    <w:basedOn w:val="Normal"/>
    <w:next w:val="Normal"/>
    <w:pPr>
      <w:spacing w:after="0" w:line="240" w:lineRule="auto"/>
      <w:jc w:val="both"/>
    </w:pPr>
    <w:rPr>
      <w:rFonts w:ascii="Symbol" w:hAnsi="Symbol" w:cs="Symbol"/>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Symbol" w:hAnsi="Symbol" w:cs="Symbol"/>
      <w:sz w:val="24"/>
    </w:rPr>
  </w:style>
  <w:style w:type="paragraph" w:customStyle="1" w:styleId="SecurityMarking">
    <w:name w:val="SecurityMarking"/>
    <w:basedOn w:val="Normal"/>
    <w:pPr>
      <w:spacing w:after="0"/>
      <w:ind w:left="5103"/>
    </w:pPr>
    <w:rPr>
      <w:rFonts w:ascii="Symbol" w:hAnsi="Symbol" w:cs="Symbol"/>
      <w:sz w:val="28"/>
    </w:rPr>
  </w:style>
  <w:style w:type="paragraph" w:customStyle="1" w:styleId="DateMarking">
    <w:name w:val="DateMarking"/>
    <w:basedOn w:val="Normal"/>
    <w:pPr>
      <w:spacing w:after="0"/>
      <w:ind w:left="5103"/>
    </w:pPr>
    <w:rPr>
      <w:rFonts w:ascii="Symbol" w:hAnsi="Symbol" w:cs="Symbol"/>
      <w:i/>
      <w:sz w:val="28"/>
    </w:rPr>
  </w:style>
  <w:style w:type="paragraph" w:customStyle="1" w:styleId="ReleasableTo">
    <w:name w:val="ReleasableTo"/>
    <w:basedOn w:val="Normal"/>
    <w:pPr>
      <w:spacing w:after="0"/>
      <w:ind w:left="5103"/>
    </w:pPr>
    <w:rPr>
      <w:rFonts w:ascii="Symbol" w:hAnsi="Symbol" w:cs="Symbol"/>
      <w:i/>
      <w:sz w:val="28"/>
    </w:rPr>
  </w:style>
  <w:style w:type="paragraph" w:customStyle="1" w:styleId="Annexetitreexpos">
    <w:name w:val="Annexe titre (exposé)"/>
    <w:basedOn w:val="Normal"/>
    <w:next w:val="Normal"/>
    <w:pPr>
      <w:spacing w:before="120" w:after="120" w:line="240" w:lineRule="auto"/>
      <w:jc w:val="center"/>
    </w:pPr>
    <w:rPr>
      <w:rFonts w:ascii="Symbol" w:hAnsi="Symbol" w:cs="Symbol"/>
      <w:b/>
      <w:sz w:val="24"/>
      <w:u w:val="single"/>
    </w:rPr>
  </w:style>
  <w:style w:type="paragraph" w:customStyle="1" w:styleId="Annexetitre">
    <w:name w:val="Annexe titre"/>
    <w:basedOn w:val="Normal"/>
    <w:next w:val="Normal"/>
    <w:pPr>
      <w:spacing w:before="120" w:after="120" w:line="240" w:lineRule="auto"/>
      <w:jc w:val="center"/>
    </w:pPr>
    <w:rPr>
      <w:rFonts w:ascii="Symbol" w:hAnsi="Symbol" w:cs="Symbol"/>
      <w:b/>
      <w:sz w:val="24"/>
      <w:u w:val="single"/>
    </w:rPr>
  </w:style>
  <w:style w:type="paragraph" w:customStyle="1" w:styleId="Annexetitrefichefinancire">
    <w:name w:val="Annexe titre (fiche financière)"/>
    <w:basedOn w:val="Normal"/>
    <w:next w:val="Normal"/>
    <w:pPr>
      <w:spacing w:before="120" w:after="120" w:line="240" w:lineRule="auto"/>
      <w:jc w:val="center"/>
    </w:pPr>
    <w:rPr>
      <w:rFonts w:ascii="Symbol" w:hAnsi="Symbol" w:cs="Symbol"/>
      <w:b/>
      <w:sz w:val="24"/>
      <w:u w:val="single"/>
    </w:rPr>
  </w:style>
  <w:style w:type="paragraph" w:customStyle="1" w:styleId="Applicationdirecte">
    <w:name w:val="Application directe"/>
    <w:basedOn w:val="Normal"/>
    <w:next w:val="Fait"/>
    <w:pPr>
      <w:spacing w:before="480" w:after="120" w:line="240" w:lineRule="auto"/>
      <w:jc w:val="both"/>
    </w:pPr>
    <w:rPr>
      <w:rFonts w:ascii="Symbol" w:hAnsi="Symbol" w:cs="Symbol"/>
      <w:sz w:val="24"/>
    </w:rPr>
  </w:style>
  <w:style w:type="paragraph" w:customStyle="1" w:styleId="Avertissementtitre">
    <w:name w:val="Avertissement titre"/>
    <w:basedOn w:val="Normal"/>
    <w:next w:val="Normal"/>
    <w:pPr>
      <w:keepNext/>
      <w:spacing w:before="480" w:after="120" w:line="240" w:lineRule="auto"/>
      <w:jc w:val="both"/>
    </w:pPr>
    <w:rPr>
      <w:rFonts w:ascii="Symbol" w:hAnsi="Symbol" w:cs="Symbol"/>
      <w:sz w:val="24"/>
      <w:u w:val="single"/>
    </w:rPr>
  </w:style>
  <w:style w:type="paragraph" w:customStyle="1" w:styleId="Confidence">
    <w:name w:val="Confidence"/>
    <w:basedOn w:val="Normal"/>
    <w:next w:val="Normal"/>
    <w:pPr>
      <w:spacing w:before="360" w:after="120" w:line="240" w:lineRule="auto"/>
      <w:jc w:val="center"/>
    </w:pPr>
    <w:rPr>
      <w:rFonts w:ascii="Symbol" w:hAnsi="Symbol" w:cs="Symbol"/>
      <w:sz w:val="24"/>
    </w:rPr>
  </w:style>
  <w:style w:type="paragraph" w:customStyle="1" w:styleId="Confidentialit">
    <w:name w:val="Confidentialité"/>
    <w:basedOn w:val="Normal"/>
    <w:next w:val="TypedudocumentPagedecouverture"/>
    <w:pPr>
      <w:spacing w:before="240" w:after="240" w:line="240" w:lineRule="auto"/>
      <w:ind w:left="5103"/>
    </w:pPr>
    <w:rPr>
      <w:rFonts w:ascii="Symbol" w:hAnsi="Symbol" w:cs="Symbol"/>
      <w:i/>
      <w:sz w:val="32"/>
    </w:rPr>
  </w:style>
  <w:style w:type="paragraph" w:customStyle="1" w:styleId="Considrant">
    <w:name w:val="Considérant"/>
    <w:basedOn w:val="Normal"/>
    <w:pPr>
      <w:numPr>
        <w:numId w:val="58"/>
      </w:numPr>
      <w:spacing w:before="120" w:after="120" w:line="240" w:lineRule="auto"/>
      <w:jc w:val="both"/>
    </w:pPr>
    <w:rPr>
      <w:rFonts w:ascii="Segoe UI" w:hAnsi="Segoe UI" w:cs="Segoe UI"/>
      <w:sz w:val="24"/>
    </w:rPr>
  </w:style>
  <w:style w:type="paragraph" w:customStyle="1" w:styleId="Corrigendum">
    <w:name w:val="Corrigendum"/>
    <w:basedOn w:val="Normal"/>
    <w:next w:val="Normal"/>
    <w:pPr>
      <w:spacing w:after="240" w:line="240" w:lineRule="auto"/>
    </w:pPr>
    <w:rPr>
      <w:rFonts w:ascii="Symbol" w:hAnsi="Symbol" w:cs="Symbol"/>
      <w:sz w:val="24"/>
    </w:rPr>
  </w:style>
  <w:style w:type="paragraph" w:customStyle="1" w:styleId="Datedadoption">
    <w:name w:val="Date d'adoption"/>
    <w:basedOn w:val="Normal"/>
    <w:next w:val="IntrtEEE"/>
    <w:pPr>
      <w:spacing w:before="360" w:after="0" w:line="240" w:lineRule="auto"/>
      <w:jc w:val="center"/>
    </w:pPr>
    <w:rPr>
      <w:rFonts w:ascii="Symbol" w:hAnsi="Symbol" w:cs="Symbol"/>
      <w:b/>
      <w:sz w:val="24"/>
    </w:rPr>
  </w:style>
  <w:style w:type="paragraph" w:customStyle="1" w:styleId="Exposdesmotifstitre">
    <w:name w:val="Exposé des motifs titre"/>
    <w:basedOn w:val="Normal"/>
    <w:next w:val="Normal"/>
    <w:pPr>
      <w:spacing w:before="120" w:after="120" w:line="240" w:lineRule="auto"/>
      <w:jc w:val="center"/>
    </w:pPr>
    <w:rPr>
      <w:rFonts w:ascii="Symbol" w:hAnsi="Symbol" w:cs="Symbol"/>
      <w:b/>
      <w:sz w:val="24"/>
      <w:u w:val="single"/>
    </w:rPr>
  </w:style>
  <w:style w:type="paragraph" w:customStyle="1" w:styleId="Fait">
    <w:name w:val="Fait à"/>
    <w:basedOn w:val="Normal"/>
    <w:next w:val="Institutionquisigne"/>
    <w:pPr>
      <w:keepNext/>
      <w:spacing w:before="120" w:after="0" w:line="240" w:lineRule="auto"/>
      <w:jc w:val="both"/>
    </w:pPr>
    <w:rPr>
      <w:rFonts w:ascii="Symbol" w:hAnsi="Symbol" w:cs="Symbol"/>
      <w:sz w:val="24"/>
    </w:rPr>
  </w:style>
  <w:style w:type="paragraph" w:customStyle="1" w:styleId="Formuledadoption">
    <w:name w:val="Formule d'adoption"/>
    <w:basedOn w:val="Normal"/>
    <w:next w:val="Titrearticle"/>
    <w:pPr>
      <w:keepNext/>
      <w:spacing w:before="120" w:after="120" w:line="240" w:lineRule="auto"/>
      <w:jc w:val="both"/>
    </w:pPr>
    <w:rPr>
      <w:rFonts w:ascii="Symbol" w:hAnsi="Symbol" w:cs="Symbol"/>
      <w:sz w:val="24"/>
    </w:rPr>
  </w:style>
  <w:style w:type="paragraph" w:customStyle="1" w:styleId="Institutionquiagit">
    <w:name w:val="Institution qui agit"/>
    <w:basedOn w:val="Normal"/>
    <w:next w:val="Normal"/>
    <w:pPr>
      <w:keepNext/>
      <w:spacing w:before="600" w:after="120" w:line="240" w:lineRule="auto"/>
      <w:jc w:val="both"/>
    </w:pPr>
    <w:rPr>
      <w:rFonts w:ascii="Symbol" w:hAnsi="Symbol" w:cs="Symbol"/>
      <w:sz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Symbol" w:hAnsi="Symbol" w:cs="Symbol"/>
      <w:i/>
      <w:sz w:val="24"/>
    </w:rPr>
  </w:style>
  <w:style w:type="paragraph" w:customStyle="1" w:styleId="ManualConsidrant">
    <w:name w:val="Manual Considérant"/>
    <w:basedOn w:val="Normal"/>
    <w:pPr>
      <w:spacing w:before="120" w:after="120" w:line="240" w:lineRule="auto"/>
      <w:ind w:left="709" w:hanging="709"/>
      <w:jc w:val="both"/>
    </w:pPr>
    <w:rPr>
      <w:rFonts w:ascii="Symbol" w:hAnsi="Symbol" w:cs="Symbol"/>
      <w:sz w:val="24"/>
    </w:rPr>
  </w:style>
  <w:style w:type="paragraph" w:customStyle="1" w:styleId="Personnequisigne">
    <w:name w:val="Personne qui signe"/>
    <w:basedOn w:val="Normal"/>
    <w:next w:val="Institutionquisigne"/>
    <w:pPr>
      <w:tabs>
        <w:tab w:val="left" w:pos="4252"/>
      </w:tabs>
      <w:spacing w:after="0" w:line="240" w:lineRule="auto"/>
    </w:pPr>
    <w:rPr>
      <w:rFonts w:ascii="Symbol" w:hAnsi="Symbol" w:cs="Symbol"/>
      <w:i/>
      <w:sz w:val="24"/>
    </w:rPr>
  </w:style>
  <w:style w:type="paragraph" w:customStyle="1" w:styleId="Rfrenceinterinstitutionnelle">
    <w:name w:val="Référence interinstitutionnelle"/>
    <w:basedOn w:val="Normal"/>
    <w:next w:val="Statut"/>
    <w:pPr>
      <w:spacing w:after="0" w:line="240" w:lineRule="auto"/>
      <w:ind w:left="5103"/>
    </w:pPr>
    <w:rPr>
      <w:rFonts w:ascii="Symbol" w:hAnsi="Symbol" w:cs="Symbol"/>
      <w:sz w:val="24"/>
    </w:rPr>
  </w:style>
  <w:style w:type="paragraph" w:customStyle="1" w:styleId="Rfrenceinterne">
    <w:name w:val="Référence interne"/>
    <w:basedOn w:val="Normal"/>
    <w:next w:val="Rfrenceinterinstitutionnelle"/>
    <w:pPr>
      <w:spacing w:after="0" w:line="240" w:lineRule="auto"/>
      <w:ind w:left="5103"/>
    </w:pPr>
    <w:rPr>
      <w:rFonts w:ascii="Symbol" w:hAnsi="Symbol" w:cs="Symbol"/>
      <w:sz w:val="24"/>
    </w:rPr>
  </w:style>
  <w:style w:type="paragraph" w:customStyle="1" w:styleId="Statut">
    <w:name w:val="Statut"/>
    <w:basedOn w:val="Normal"/>
    <w:next w:val="Typedudocument"/>
    <w:pPr>
      <w:spacing w:after="240" w:line="240" w:lineRule="auto"/>
      <w:jc w:val="center"/>
    </w:pPr>
    <w:rPr>
      <w:rFonts w:ascii="Symbol" w:hAnsi="Symbol" w:cs="Symbol"/>
      <w:sz w:val="24"/>
    </w:rPr>
  </w:style>
  <w:style w:type="paragraph" w:customStyle="1" w:styleId="Titrearticle">
    <w:name w:val="Titre article"/>
    <w:basedOn w:val="Normal"/>
    <w:next w:val="Normal"/>
    <w:pPr>
      <w:keepNext/>
      <w:spacing w:before="360" w:after="120" w:line="240" w:lineRule="auto"/>
      <w:jc w:val="center"/>
    </w:pPr>
    <w:rPr>
      <w:rFonts w:ascii="Symbol" w:hAnsi="Symbol" w:cs="Symbol"/>
      <w:i/>
      <w:sz w:val="24"/>
    </w:rPr>
  </w:style>
  <w:style w:type="paragraph" w:customStyle="1" w:styleId="Typedudocument">
    <w:name w:val="Type du document"/>
    <w:basedOn w:val="Normal"/>
    <w:next w:val="Accompagnant"/>
    <w:pPr>
      <w:spacing w:before="360" w:after="180" w:line="240" w:lineRule="auto"/>
      <w:jc w:val="center"/>
    </w:pPr>
    <w:rPr>
      <w:rFonts w:ascii="Symbol" w:hAnsi="Symbol" w:cs="Symbol"/>
      <w:b/>
      <w:sz w:val="24"/>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Symbol" w:hAnsi="Symbol" w:cs="Symbol"/>
      <w:sz w:val="24"/>
    </w:rPr>
  </w:style>
  <w:style w:type="paragraph" w:customStyle="1" w:styleId="Objetexterne">
    <w:name w:val="Objet externe"/>
    <w:basedOn w:val="Normal"/>
    <w:next w:val="Normal"/>
    <w:pPr>
      <w:spacing w:before="120" w:after="120" w:line="240" w:lineRule="auto"/>
      <w:jc w:val="both"/>
    </w:pPr>
    <w:rPr>
      <w:rFonts w:ascii="Symbol" w:hAnsi="Symbol" w:cs="Symbol"/>
      <w:i/>
      <w:caps/>
      <w:sz w:val="24"/>
    </w:rPr>
  </w:style>
  <w:style w:type="paragraph" w:customStyle="1" w:styleId="Supertitre">
    <w:name w:val="Supertitre"/>
    <w:basedOn w:val="Normal"/>
    <w:next w:val="Normal"/>
    <w:pPr>
      <w:spacing w:after="600" w:line="240" w:lineRule="auto"/>
      <w:jc w:val="center"/>
    </w:pPr>
    <w:rPr>
      <w:rFonts w:ascii="Symbol" w:hAnsi="Symbol" w:cs="Symbol"/>
      <w:b/>
      <w:sz w:val="24"/>
    </w:rPr>
  </w:style>
  <w:style w:type="paragraph" w:customStyle="1" w:styleId="Languesfaisantfoi">
    <w:name w:val="Langues faisant foi"/>
    <w:basedOn w:val="Normal"/>
    <w:next w:val="Normal"/>
    <w:pPr>
      <w:spacing w:before="360" w:after="0" w:line="240" w:lineRule="auto"/>
      <w:jc w:val="center"/>
    </w:pPr>
    <w:rPr>
      <w:rFonts w:ascii="Symbol" w:hAnsi="Symbol" w:cs="Symbol"/>
      <w:sz w:val="24"/>
    </w:rPr>
  </w:style>
  <w:style w:type="paragraph" w:customStyle="1" w:styleId="Rfrencecroise">
    <w:name w:val="Référence croisée"/>
    <w:basedOn w:val="Normal"/>
    <w:pPr>
      <w:spacing w:after="0" w:line="240" w:lineRule="auto"/>
      <w:jc w:val="center"/>
    </w:pPr>
    <w:rPr>
      <w:rFonts w:ascii="Symbol" w:hAnsi="Symbol" w:cs="Symbol"/>
      <w:sz w:val="24"/>
    </w:rPr>
  </w:style>
  <w:style w:type="paragraph" w:customStyle="1" w:styleId="Fichefinanciretitre">
    <w:name w:val="Fiche financière titre"/>
    <w:basedOn w:val="Normal"/>
    <w:next w:val="Normal"/>
    <w:pPr>
      <w:spacing w:before="120" w:after="120" w:line="240" w:lineRule="auto"/>
      <w:jc w:val="center"/>
    </w:pPr>
    <w:rPr>
      <w:rFonts w:ascii="Symbol" w:hAnsi="Symbol" w:cs="Symbol"/>
      <w:b/>
      <w:sz w:val="24"/>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after="240" w:line="240" w:lineRule="auto"/>
      <w:ind w:left="5103"/>
    </w:pPr>
    <w:rPr>
      <w:rFonts w:ascii="Symbol" w:hAnsi="Symbol" w:cs="Symbol"/>
      <w:sz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line="240" w:lineRule="auto"/>
      <w:jc w:val="center"/>
    </w:pPr>
    <w:rPr>
      <w:rFonts w:ascii="Symbol" w:hAnsi="Symbol" w:cs="Symbol"/>
      <w:b/>
      <w:sz w:val="24"/>
    </w:rPr>
  </w:style>
  <w:style w:type="paragraph" w:customStyle="1" w:styleId="Typeacteprincipal">
    <w:name w:val="Type acte principal"/>
    <w:basedOn w:val="Normal"/>
    <w:next w:val="Objetacteprincipal"/>
    <w:pPr>
      <w:spacing w:after="240" w:line="240" w:lineRule="auto"/>
      <w:jc w:val="center"/>
    </w:pPr>
    <w:rPr>
      <w:rFonts w:ascii="Symbol" w:hAnsi="Symbol" w:cs="Symbol"/>
      <w:b/>
      <w:sz w:val="24"/>
    </w:rPr>
  </w:style>
  <w:style w:type="paragraph" w:customStyle="1" w:styleId="Objetacteprincipal">
    <w:name w:val="Objet acte principal"/>
    <w:basedOn w:val="Normal"/>
    <w:next w:val="Titrearticle"/>
    <w:pPr>
      <w:spacing w:after="360" w:line="240" w:lineRule="auto"/>
      <w:jc w:val="center"/>
    </w:pPr>
    <w:rPr>
      <w:rFonts w:ascii="Symbol" w:hAnsi="Symbol" w:cs="Symbol"/>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Symbol" w:hAnsi="Symbol" w:cs="Symbol"/>
      <w:sz w:val="24"/>
    </w:rPr>
  </w:style>
  <w:style w:type="character" w:styleId="CommentReference">
    <w:name w:val="annotation reference"/>
    <w:basedOn w:val="DefaultParagraphFont"/>
    <w:uiPriority w:val="99"/>
    <w:unhideWhenUsed/>
    <w:rPr>
      <w:sz w:val="16"/>
    </w:rPr>
  </w:style>
  <w:style w:type="paragraph" w:styleId="CommentText">
    <w:name w:val="annotation text"/>
    <w:basedOn w:val="Normal"/>
    <w:link w:val="CommentTextChar"/>
    <w:uiPriority w:val="99"/>
    <w:unhideWhenUsed/>
    <w:rsid w:val="00206C1F"/>
    <w:pPr>
      <w:spacing w:before="120" w:after="120" w:line="240" w:lineRule="auto"/>
      <w:jc w:val="both"/>
    </w:pPr>
    <w:rPr>
      <w:rFonts w:cs="Symbol"/>
      <w:sz w:val="20"/>
    </w:rPr>
  </w:style>
  <w:style w:type="character" w:customStyle="1" w:styleId="CommentTextChar">
    <w:name w:val="Comment Text Char"/>
    <w:basedOn w:val="DefaultParagraphFont"/>
    <w:link w:val="CommentText"/>
    <w:uiPriority w:val="99"/>
    <w:rsid w:val="00206C1F"/>
    <w:rPr>
      <w:rFonts w:cs="Symbol"/>
      <w:sz w:val="20"/>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pPr>
      <w:spacing w:after="160" w:line="259" w:lineRule="auto"/>
      <w:ind w:left="720"/>
      <w:contextualSpacing/>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style>
  <w:style w:type="character" w:styleId="IntenseEmphasis">
    <w:name w:val="Intense Emphasis"/>
    <w:basedOn w:val="DefaultParagraphFont"/>
    <w:uiPriority w:val="21"/>
    <w:qFormat/>
    <w:rPr>
      <w:i/>
      <w:color w:val="4F81BD" w:themeColor="accent1"/>
    </w:rPr>
  </w:style>
  <w:style w:type="paragraph" w:styleId="BalloonText">
    <w:name w:val="Balloon Text"/>
    <w:basedOn w:val="Normal"/>
    <w:link w:val="BalloonTextChar"/>
    <w:uiPriority w:val="99"/>
    <w:semiHidden/>
    <w:unhideWhenUsed/>
    <w:rsid w:val="00A61727"/>
    <w:pPr>
      <w:spacing w:after="0" w:line="240" w:lineRule="auto"/>
      <w:jc w:val="both"/>
    </w:pPr>
    <w:rPr>
      <w:rFonts w:ascii="Times New Roman" w:hAnsi="Times New Roman" w:cs="MS Gothic"/>
      <w:sz w:val="18"/>
    </w:rPr>
  </w:style>
  <w:style w:type="character" w:customStyle="1" w:styleId="BalloonTextChar">
    <w:name w:val="Balloon Text Char"/>
    <w:basedOn w:val="DefaultParagraphFont"/>
    <w:link w:val="BalloonText"/>
    <w:uiPriority w:val="99"/>
    <w:semiHidden/>
    <w:rsid w:val="00A61727"/>
    <w:rPr>
      <w:rFonts w:ascii="Times New Roman" w:hAnsi="Times New Roman" w:cs="MS Gothic"/>
      <w:sz w:val="18"/>
    </w:rPr>
  </w:style>
  <w:style w:type="paragraph" w:styleId="ListBullet">
    <w:name w:val="List Bullet"/>
    <w:basedOn w:val="Normal"/>
    <w:uiPriority w:val="99"/>
    <w:semiHidden/>
    <w:unhideWhenUsed/>
    <w:pPr>
      <w:numPr>
        <w:numId w:val="59"/>
      </w:numPr>
      <w:spacing w:before="120" w:after="120" w:line="240" w:lineRule="auto"/>
      <w:contextualSpacing/>
      <w:jc w:val="both"/>
    </w:pPr>
    <w:rPr>
      <w:rFonts w:ascii="Segoe UI" w:hAnsi="Segoe UI" w:cs="Segoe UI"/>
      <w:sz w:val="24"/>
    </w:rPr>
  </w:style>
  <w:style w:type="paragraph" w:styleId="ListBullet2">
    <w:name w:val="List Bullet 2"/>
    <w:basedOn w:val="Normal"/>
    <w:uiPriority w:val="99"/>
    <w:semiHidden/>
    <w:unhideWhenUsed/>
    <w:pPr>
      <w:numPr>
        <w:numId w:val="60"/>
      </w:numPr>
      <w:spacing w:before="120" w:after="120" w:line="240" w:lineRule="auto"/>
      <w:contextualSpacing/>
      <w:jc w:val="both"/>
    </w:pPr>
    <w:rPr>
      <w:rFonts w:ascii="Segoe UI" w:hAnsi="Segoe UI" w:cs="Segoe UI"/>
      <w:sz w:val="24"/>
    </w:rPr>
  </w:style>
  <w:style w:type="paragraph" w:styleId="ListBullet3">
    <w:name w:val="List Bullet 3"/>
    <w:basedOn w:val="Normal"/>
    <w:uiPriority w:val="99"/>
    <w:semiHidden/>
    <w:unhideWhenUsed/>
    <w:pPr>
      <w:numPr>
        <w:numId w:val="61"/>
      </w:numPr>
      <w:spacing w:before="120" w:after="120" w:line="240" w:lineRule="auto"/>
      <w:contextualSpacing/>
      <w:jc w:val="both"/>
    </w:pPr>
    <w:rPr>
      <w:rFonts w:ascii="Segoe UI" w:hAnsi="Segoe UI" w:cs="Segoe UI"/>
      <w:sz w:val="24"/>
    </w:rPr>
  </w:style>
  <w:style w:type="paragraph" w:styleId="ListBullet4">
    <w:name w:val="List Bullet 4"/>
    <w:basedOn w:val="Normal"/>
    <w:uiPriority w:val="99"/>
    <w:semiHidden/>
    <w:unhideWhenUsed/>
    <w:pPr>
      <w:numPr>
        <w:numId w:val="62"/>
      </w:numPr>
      <w:spacing w:before="120" w:after="120" w:line="240" w:lineRule="auto"/>
      <w:contextualSpacing/>
      <w:jc w:val="both"/>
    </w:pPr>
    <w:rPr>
      <w:rFonts w:ascii="Segoe UI" w:hAnsi="Segoe UI" w:cs="Segoe UI"/>
      <w:sz w:val="24"/>
    </w:rPr>
  </w:style>
  <w:style w:type="paragraph" w:styleId="CommentSubject">
    <w:name w:val="annotation subject"/>
    <w:basedOn w:val="CommentText"/>
    <w:next w:val="CommentText"/>
    <w:link w:val="CommentSubjectChar"/>
    <w:uiPriority w:val="99"/>
    <w:semiHidden/>
    <w:unhideWhenUsed/>
    <w:rPr>
      <w:b/>
    </w:rPr>
  </w:style>
  <w:style w:type="character" w:customStyle="1" w:styleId="CommentSubjectChar">
    <w:name w:val="Comment Subject Char"/>
    <w:basedOn w:val="CommentTextChar"/>
    <w:link w:val="CommentSubject"/>
    <w:uiPriority w:val="99"/>
    <w:semiHidden/>
    <w:rPr>
      <w:rFonts w:ascii="Times New Roman" w:hAnsi="Times New Roman" w:cs="Times New Roman"/>
      <w:b/>
      <w:sz w:val="20"/>
    </w:rPr>
  </w:style>
  <w:style w:type="paragraph" w:styleId="Revision">
    <w:name w:val="Revision"/>
    <w:hidden/>
    <w:uiPriority w:val="99"/>
    <w:semiHidden/>
    <w:pPr>
      <w:spacing w:after="0" w:line="240" w:lineRule="auto"/>
    </w:pPr>
    <w:rPr>
      <w:rFonts w:ascii="Symbol" w:hAnsi="Symbol" w:cs="Symbol"/>
      <w:sz w:val="24"/>
    </w:rPr>
  </w:style>
  <w:style w:type="character" w:customStyle="1" w:styleId="Bullet1Char">
    <w:name w:val="Bullet 1 Char"/>
    <w:basedOn w:val="DefaultParagraphFont"/>
    <w:link w:val="Bullet1"/>
    <w:rPr>
      <w:rFonts w:ascii="Segoe UI" w:hAnsi="Segoe UI" w:cs="Segoe UI"/>
      <w:sz w:val="24"/>
    </w:rPr>
  </w:style>
  <w:style w:type="paragraph" w:customStyle="1" w:styleId="bullet2">
    <w:name w:val="bullet 2"/>
    <w:basedOn w:val="Normal"/>
    <w:link w:val="bullet2Char"/>
    <w:qFormat/>
    <w:pPr>
      <w:numPr>
        <w:ilvl w:val="1"/>
        <w:numId w:val="66"/>
      </w:numPr>
      <w:spacing w:before="120" w:after="120" w:line="240" w:lineRule="auto"/>
    </w:pPr>
    <w:rPr>
      <w:rFonts w:eastAsia="Arial" w:cstheme="minorHAnsi"/>
      <w:color w:val="000000" w:themeColor="text1"/>
      <w:sz w:val="24"/>
    </w:rPr>
  </w:style>
  <w:style w:type="character" w:customStyle="1" w:styleId="bullet2Char">
    <w:name w:val="bullet 2 Char"/>
    <w:basedOn w:val="DefaultParagraphFont"/>
    <w:link w:val="bullet2"/>
    <w:rPr>
      <w:rFonts w:eastAsia="Arial" w:cstheme="minorHAnsi"/>
      <w:color w:val="000000" w:themeColor="text1"/>
      <w:sz w:val="24"/>
    </w:rPr>
  </w:style>
  <w:style w:type="character" w:styleId="Hyperlink">
    <w:name w:val="Hyperlink"/>
    <w:basedOn w:val="DefaultParagraphFont"/>
    <w:uiPriority w:val="99"/>
    <w:unhideWhenUsed/>
    <w:rPr>
      <w:color w:val="0563C1"/>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Symbol" w:hAnsi="Symbol" w:cs="Symbol"/>
      <w:color w:val="000000"/>
      <w:sz w:val="24"/>
    </w:rPr>
  </w:style>
  <w:style w:type="character" w:customStyle="1" w:styleId="eop">
    <w:name w:val="eop"/>
    <w:basedOn w:val="DefaultParagraphFont"/>
  </w:style>
  <w:style w:type="paragraph" w:styleId="NormalWeb">
    <w:name w:val="Normal (Web)"/>
    <w:basedOn w:val="Normal"/>
    <w:uiPriority w:val="99"/>
    <w:unhideWhenUsed/>
    <w:pPr>
      <w:spacing w:before="100" w:beforeAutospacing="1" w:after="100" w:afterAutospacing="1" w:line="240" w:lineRule="auto"/>
    </w:pPr>
    <w:rPr>
      <w:rFonts w:ascii="Symbol" w:eastAsia="Symbol" w:hAnsi="Symbol" w:cs="Symbol"/>
      <w:sz w:val="24"/>
    </w:rPr>
  </w:style>
  <w:style w:type="character" w:customStyle="1" w:styleId="normaltextrun">
    <w:name w:val="normaltextrun"/>
    <w:basedOn w:val="DefaultParagraphFont"/>
  </w:style>
  <w:style w:type="paragraph" w:customStyle="1" w:styleId="paragraph">
    <w:name w:val="paragraph"/>
    <w:basedOn w:val="Normal"/>
    <w:pPr>
      <w:spacing w:before="100" w:beforeAutospacing="1" w:after="100" w:afterAutospacing="1" w:line="240" w:lineRule="auto"/>
    </w:pPr>
    <w:rPr>
      <w:rFonts w:ascii="Symbol" w:eastAsia="Symbol" w:hAnsi="Symbol" w:cs="Symbol"/>
      <w:sz w:val="24"/>
    </w:rPr>
  </w:style>
  <w:style w:type="paragraph" w:customStyle="1" w:styleId="Titreobjet">
    <w:name w:val="Titre objet"/>
    <w:basedOn w:val="Normal"/>
    <w:next w:val="IntrtEEE"/>
    <w:pPr>
      <w:spacing w:before="360" w:after="360" w:line="240" w:lineRule="auto"/>
      <w:jc w:val="center"/>
    </w:pPr>
    <w:rPr>
      <w:rFonts w:ascii="Symbol" w:hAnsi="Symbol" w:cs="Symbol"/>
      <w:b/>
      <w:sz w:val="24"/>
    </w:rPr>
  </w:style>
  <w:style w:type="paragraph" w:customStyle="1" w:styleId="TitreobjetPagedecouverture">
    <w:name w:val="Titre objet (Page de couverture)"/>
    <w:basedOn w:val="Titreobjet"/>
    <w:next w:val="IntrtEEEPagedecouverture"/>
  </w:style>
  <w:style w:type="paragraph" w:customStyle="1" w:styleId="FooterCoverPage">
    <w:name w:val="Footer Cover Page"/>
    <w:basedOn w:val="Normal"/>
    <w:link w:val="FooterCoverPageChar"/>
    <w:pPr>
      <w:keepNext/>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keepNext/>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ymbol" w:hAnsi="Courier New" w:cs="Courier New"/>
      <w:sz w:val="20"/>
    </w:rPr>
  </w:style>
  <w:style w:type="character" w:customStyle="1" w:styleId="HTMLPreformattedChar">
    <w:name w:val="HTML Preformatted Char"/>
    <w:basedOn w:val="DefaultParagraphFont"/>
    <w:link w:val="HTMLPreformatted"/>
    <w:uiPriority w:val="99"/>
    <w:semiHidden/>
    <w:rPr>
      <w:rFonts w:ascii="Courier New" w:eastAsia="Symbol" w:hAnsi="Courier New" w:cs="Courier New"/>
      <w:sz w:val="20"/>
    </w:rPr>
  </w:style>
  <w:style w:type="character" w:customStyle="1" w:styleId="y2iqfc">
    <w:name w:val="y2iqfc"/>
    <w:basedOn w:val="DefaultParagraphFont"/>
  </w:style>
  <w:style w:type="paragraph" w:styleId="ListNumber">
    <w:name w:val="List Number"/>
    <w:basedOn w:val="Normal"/>
    <w:uiPriority w:val="99"/>
    <w:semiHidden/>
    <w:unhideWhenUsed/>
    <w:pPr>
      <w:numPr>
        <w:numId w:val="192"/>
      </w:numPr>
      <w:spacing w:before="120" w:after="120" w:line="240" w:lineRule="auto"/>
      <w:contextualSpacing/>
      <w:jc w:val="both"/>
    </w:pPr>
    <w:rPr>
      <w:rFonts w:ascii="Segoe UI" w:hAnsi="Segoe UI" w:cs="Segoe UI"/>
      <w:sz w:val="24"/>
    </w:rPr>
  </w:style>
  <w:style w:type="character" w:customStyle="1" w:styleId="oj-super">
    <w:name w:val="oj-super"/>
    <w:basedOn w:val="DefaultParagraphFont"/>
  </w:style>
  <w:style w:type="paragraph" w:customStyle="1" w:styleId="xmsonormal">
    <w:name w:val="x_msonormal"/>
    <w:basedOn w:val="Normal"/>
    <w:pPr>
      <w:spacing w:after="0" w:line="240" w:lineRule="auto"/>
    </w:pPr>
    <w:rPr>
      <w:rFonts w:ascii="Wingdings" w:hAnsi="Wingdings" w:cs="Wingding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ynqvb">
    <w:name w:val="rynqvb"/>
    <w:basedOn w:val="DefaultParagraphFont"/>
    <w:rsid w:val="00026F22"/>
  </w:style>
  <w:style w:type="character" w:customStyle="1" w:styleId="UnresolvedMention1">
    <w:name w:val="Unresolved Mention1"/>
    <w:basedOn w:val="DefaultParagraphFont"/>
    <w:uiPriority w:val="99"/>
    <w:unhideWhenUsed/>
    <w:rsid w:val="00F92FF4"/>
    <w:rPr>
      <w:color w:val="605E5C"/>
      <w:shd w:val="clear" w:color="auto" w:fill="E1DFDD"/>
    </w:rPr>
  </w:style>
  <w:style w:type="character" w:customStyle="1" w:styleId="Mention1">
    <w:name w:val="Mention1"/>
    <w:basedOn w:val="DefaultParagraphFont"/>
    <w:uiPriority w:val="99"/>
    <w:unhideWhenUsed/>
    <w:rsid w:val="00F92FF4"/>
    <w:rPr>
      <w:color w:val="2B579A"/>
      <w:shd w:val="clear" w:color="auto" w:fill="E1DFDD"/>
    </w:rPr>
  </w:style>
  <w:style w:type="character" w:styleId="Strong">
    <w:name w:val="Strong"/>
    <w:basedOn w:val="DefaultParagraphFont"/>
    <w:uiPriority w:val="22"/>
    <w:qFormat/>
    <w:rsid w:val="00C41254"/>
    <w:rPr>
      <w:b/>
    </w:rPr>
  </w:style>
  <w:style w:type="paragraph" w:customStyle="1" w:styleId="Heading2blue">
    <w:name w:val="Heading 2 (blue)"/>
    <w:basedOn w:val="Heading2"/>
    <w:link w:val="Heading2blueChar"/>
    <w:qFormat/>
    <w:rsid w:val="0080105E"/>
    <w:pPr>
      <w:keepNext w:val="0"/>
      <w:numPr>
        <w:ilvl w:val="0"/>
        <w:numId w:val="0"/>
      </w:numPr>
      <w:ind w:left="709"/>
    </w:pPr>
    <w:rPr>
      <w:rFonts w:ascii="Times New Roman" w:hAnsi="Times New Roman" w:cs="Times New Roman"/>
      <w:color w:val="4F81BD" w:themeColor="accent1"/>
      <w:u w:val="single"/>
    </w:rPr>
  </w:style>
  <w:style w:type="paragraph" w:customStyle="1" w:styleId="Heading3blue">
    <w:name w:val="Heading 3 (blue)"/>
    <w:basedOn w:val="Heading3"/>
    <w:link w:val="Heading3blueChar"/>
    <w:qFormat/>
    <w:rsid w:val="0080105E"/>
    <w:pPr>
      <w:numPr>
        <w:ilvl w:val="0"/>
        <w:numId w:val="0"/>
      </w:numPr>
    </w:pPr>
    <w:rPr>
      <w:rFonts w:ascii="Times New Roman" w:hAnsi="Times New Roman" w:cs="Times New Roman"/>
      <w:i w:val="0"/>
      <w:color w:val="4F81BD" w:themeColor="accent1"/>
      <w:u w:val="single"/>
    </w:rPr>
  </w:style>
  <w:style w:type="character" w:customStyle="1" w:styleId="Heading2blueChar">
    <w:name w:val="Heading 2 (blue) Char"/>
    <w:basedOn w:val="Heading2Char"/>
    <w:link w:val="Heading2blue"/>
    <w:rsid w:val="0080105E"/>
    <w:rPr>
      <w:rFonts w:ascii="Times New Roman" w:eastAsiaTheme="majorEastAsia" w:hAnsi="Times New Roman" w:cs="Times New Roman"/>
      <w:b/>
      <w:color w:val="4F81BD" w:themeColor="accent1"/>
      <w:sz w:val="24"/>
      <w:u w:val="single"/>
    </w:rPr>
  </w:style>
  <w:style w:type="paragraph" w:customStyle="1" w:styleId="maintext">
    <w:name w:val="main text"/>
    <w:basedOn w:val="Normal"/>
    <w:link w:val="maintextChar"/>
    <w:qFormat/>
    <w:rsid w:val="0080105E"/>
    <w:pPr>
      <w:keepNext/>
      <w:spacing w:before="120" w:after="120" w:line="240" w:lineRule="auto"/>
      <w:jc w:val="both"/>
    </w:pPr>
    <w:rPr>
      <w:rFonts w:ascii="Times New Roman" w:hAnsi="Times New Roman" w:cs="Times New Roman"/>
      <w:sz w:val="24"/>
    </w:rPr>
  </w:style>
  <w:style w:type="character" w:customStyle="1" w:styleId="Heading3blueChar">
    <w:name w:val="Heading 3 (blue) Char"/>
    <w:basedOn w:val="Heading3Char"/>
    <w:link w:val="Heading3blue"/>
    <w:rsid w:val="0080105E"/>
    <w:rPr>
      <w:rFonts w:ascii="Times New Roman" w:eastAsiaTheme="majorEastAsia" w:hAnsi="Times New Roman" w:cs="Times New Roman"/>
      <w:i w:val="0"/>
      <w:color w:val="4F81BD" w:themeColor="accent1"/>
      <w:sz w:val="24"/>
      <w:u w:val="single"/>
    </w:rPr>
  </w:style>
  <w:style w:type="character" w:customStyle="1" w:styleId="maintextChar">
    <w:name w:val="main text Char"/>
    <w:basedOn w:val="DefaultParagraphFont"/>
    <w:link w:val="maintext"/>
    <w:rsid w:val="0080105E"/>
    <w:rPr>
      <w:rFonts w:ascii="Times New Roman" w:hAnsi="Times New Roman" w:cs="Times New Roman"/>
      <w:sz w:val="24"/>
    </w:rPr>
  </w:style>
  <w:style w:type="paragraph" w:customStyle="1" w:styleId="P68B1DB1-Normal9">
    <w:name w:val="P68B1DB1-Normal9"/>
    <w:basedOn w:val="Normal"/>
    <w:rsid w:val="0080105E"/>
    <w:pPr>
      <w:shd w:val="clear" w:color="auto" w:fill="FF0000"/>
    </w:pPr>
    <w:rPr>
      <w:rFonts w:ascii="Times New Roman" w:hAnsi="Times New Roman"/>
      <w:color w:val="000000"/>
      <w:sz w:val="18"/>
    </w:rPr>
  </w:style>
  <w:style w:type="paragraph" w:customStyle="1" w:styleId="P68B1DB1-Normal10">
    <w:name w:val="P68B1DB1-Normal10"/>
    <w:basedOn w:val="Normal"/>
    <w:rsid w:val="0080105E"/>
    <w:rPr>
      <w:rFonts w:ascii="Times New Roman" w:hAnsi="Times New Roman"/>
      <w:color w:val="000000"/>
      <w:sz w:val="18"/>
    </w:rPr>
  </w:style>
  <w:style w:type="paragraph" w:customStyle="1" w:styleId="P68B1DB1-Normal11">
    <w:name w:val="P68B1DB1-Normal11"/>
    <w:basedOn w:val="Normal"/>
    <w:rsid w:val="0080105E"/>
    <w:pPr>
      <w:shd w:val="clear" w:color="auto" w:fill="FF0000"/>
    </w:pPr>
    <w:rPr>
      <w:rFonts w:ascii="Times New Roman" w:hAnsi="Times New Roman"/>
      <w:color w:val="000000"/>
      <w:sz w:val="18"/>
    </w:rPr>
  </w:style>
  <w:style w:type="character" w:customStyle="1" w:styleId="superscript">
    <w:name w:val="superscript"/>
    <w:basedOn w:val="DefaultParagraphFont"/>
    <w:rsid w:val="0080105E"/>
  </w:style>
  <w:style w:type="character" w:customStyle="1" w:styleId="scxw48877978">
    <w:name w:val="scxw48877978"/>
    <w:basedOn w:val="DefaultParagraphFont"/>
    <w:rsid w:val="0080105E"/>
  </w:style>
  <w:style w:type="paragraph" w:customStyle="1" w:styleId="P68B1DB1-Prrafodelista9">
    <w:name w:val="P68B1DB1-Prrafodelista9"/>
    <w:basedOn w:val="ListParagraph"/>
    <w:rsid w:val="0080105E"/>
    <w:pPr>
      <w:spacing w:before="120" w:after="120" w:line="240" w:lineRule="auto"/>
    </w:pPr>
    <w:rPr>
      <w:rFonts w:eastAsia="Times New Roman" w:cstheme="minorHAnsi"/>
    </w:rPr>
  </w:style>
  <w:style w:type="character" w:customStyle="1" w:styleId="scxw101381782">
    <w:name w:val="scxw101381782"/>
    <w:basedOn w:val="DefaultParagraphFont"/>
    <w:rsid w:val="0080105E"/>
  </w:style>
  <w:style w:type="character" w:customStyle="1" w:styleId="Mention21">
    <w:name w:val="Mention21"/>
    <w:basedOn w:val="DefaultParagraphFont"/>
    <w:uiPriority w:val="99"/>
    <w:unhideWhenUsed/>
    <w:rsid w:val="0080105E"/>
    <w:rPr>
      <w:color w:val="2B579A"/>
      <w:shd w:val="clear" w:color="auto" w:fill="E6E6E6"/>
    </w:rPr>
  </w:style>
  <w:style w:type="character" w:customStyle="1" w:styleId="Mention2">
    <w:name w:val="Mention2"/>
    <w:basedOn w:val="DefaultParagraphFont"/>
    <w:uiPriority w:val="99"/>
    <w:unhideWhenUsed/>
    <w:rsid w:val="005E4FED"/>
    <w:rPr>
      <w:color w:val="2B579A"/>
      <w:shd w:val="clear" w:color="auto" w:fill="E1DFDD"/>
    </w:rPr>
  </w:style>
  <w:style w:type="character" w:customStyle="1" w:styleId="UnresolvedMention2">
    <w:name w:val="Unresolved Mention2"/>
    <w:basedOn w:val="DefaultParagraphFont"/>
    <w:uiPriority w:val="99"/>
    <w:unhideWhenUsed/>
    <w:rsid w:val="0080105E"/>
    <w:rPr>
      <w:color w:val="605E5C"/>
      <w:shd w:val="clear" w:color="auto" w:fill="E1DFDD"/>
    </w:rPr>
  </w:style>
  <w:style w:type="character" w:customStyle="1" w:styleId="Mention20">
    <w:name w:val="Mention20"/>
    <w:basedOn w:val="DefaultParagraphFont"/>
    <w:uiPriority w:val="99"/>
    <w:unhideWhenUsed/>
    <w:rsid w:val="0080105E"/>
    <w:rPr>
      <w:color w:val="2B579A"/>
      <w:shd w:val="clear" w:color="auto" w:fill="E6E6E6"/>
    </w:rPr>
  </w:style>
  <w:style w:type="character" w:customStyle="1" w:styleId="Mention3">
    <w:name w:val="Mention3"/>
    <w:basedOn w:val="DefaultParagraphFont"/>
    <w:uiPriority w:val="99"/>
    <w:unhideWhenUsed/>
    <w:rsid w:val="0080105E"/>
    <w:rPr>
      <w:color w:val="2B579A"/>
      <w:shd w:val="clear" w:color="auto" w:fill="E1DFDD"/>
    </w:rPr>
  </w:style>
  <w:style w:type="character" w:customStyle="1" w:styleId="UnresolvedMention3">
    <w:name w:val="Unresolved Mention3"/>
    <w:basedOn w:val="DefaultParagraphFont"/>
    <w:uiPriority w:val="99"/>
    <w:unhideWhenUsed/>
    <w:rsid w:val="0080105E"/>
    <w:rPr>
      <w:color w:val="605E5C"/>
      <w:shd w:val="clear" w:color="auto" w:fill="E1DFDD"/>
    </w:rPr>
  </w:style>
  <w:style w:type="character" w:customStyle="1" w:styleId="UnresolvedMention4">
    <w:name w:val="Unresolved Mention4"/>
    <w:basedOn w:val="DefaultParagraphFont"/>
    <w:uiPriority w:val="99"/>
    <w:unhideWhenUsed/>
    <w:rsid w:val="0080105E"/>
    <w:rPr>
      <w:color w:val="605E5C"/>
      <w:shd w:val="clear" w:color="auto" w:fill="E1DFDD"/>
    </w:rPr>
  </w:style>
  <w:style w:type="character" w:customStyle="1" w:styleId="Mention4">
    <w:name w:val="Mention4"/>
    <w:basedOn w:val="DefaultParagraphFont"/>
    <w:uiPriority w:val="99"/>
    <w:unhideWhenUsed/>
    <w:rsid w:val="0080105E"/>
    <w:rPr>
      <w:color w:val="2B579A"/>
      <w:shd w:val="clear" w:color="auto" w:fill="E1DFDD"/>
    </w:rPr>
  </w:style>
  <w:style w:type="character" w:customStyle="1" w:styleId="Mention5">
    <w:name w:val="Mention5"/>
    <w:basedOn w:val="DefaultParagraphFont"/>
    <w:uiPriority w:val="99"/>
    <w:unhideWhenUsed/>
    <w:rsid w:val="0080105E"/>
    <w:rPr>
      <w:color w:val="2B579A"/>
      <w:shd w:val="clear" w:color="auto" w:fill="E6E6E6"/>
    </w:rPr>
  </w:style>
  <w:style w:type="character" w:customStyle="1" w:styleId="UnresolvedMention5">
    <w:name w:val="Unresolved Mention5"/>
    <w:basedOn w:val="DefaultParagraphFont"/>
    <w:uiPriority w:val="99"/>
    <w:unhideWhenUsed/>
    <w:rsid w:val="0080105E"/>
    <w:rPr>
      <w:color w:val="605E5C"/>
      <w:shd w:val="clear" w:color="auto" w:fill="E1DFDD"/>
    </w:rPr>
  </w:style>
  <w:style w:type="character" w:customStyle="1" w:styleId="UnresolvedMention6">
    <w:name w:val="Unresolved Mention6"/>
    <w:basedOn w:val="DefaultParagraphFont"/>
    <w:uiPriority w:val="99"/>
    <w:unhideWhenUsed/>
    <w:rsid w:val="0080105E"/>
    <w:rPr>
      <w:color w:val="605E5C"/>
      <w:shd w:val="clear" w:color="auto" w:fill="E1DFDD"/>
    </w:rPr>
  </w:style>
  <w:style w:type="character" w:customStyle="1" w:styleId="Mention6">
    <w:name w:val="Mention6"/>
    <w:basedOn w:val="DefaultParagraphFont"/>
    <w:uiPriority w:val="99"/>
    <w:unhideWhenUsed/>
    <w:rsid w:val="0080105E"/>
    <w:rPr>
      <w:color w:val="2B579A"/>
      <w:shd w:val="clear" w:color="auto" w:fill="E1DFDD"/>
    </w:rPr>
  </w:style>
  <w:style w:type="character" w:customStyle="1" w:styleId="UnresolvedMention60">
    <w:name w:val="Unresolved Mention60"/>
    <w:basedOn w:val="DefaultParagraphFont"/>
    <w:uiPriority w:val="99"/>
    <w:unhideWhenUsed/>
    <w:rsid w:val="0080105E"/>
    <w:rPr>
      <w:color w:val="605E5C"/>
      <w:shd w:val="clear" w:color="auto" w:fill="E1DFDD"/>
    </w:rPr>
  </w:style>
  <w:style w:type="character" w:customStyle="1" w:styleId="UnresolvedMention7">
    <w:name w:val="Unresolved Mention7"/>
    <w:basedOn w:val="DefaultParagraphFont"/>
    <w:uiPriority w:val="99"/>
    <w:unhideWhenUsed/>
    <w:rsid w:val="0080105E"/>
    <w:rPr>
      <w:color w:val="605E5C"/>
      <w:shd w:val="clear" w:color="auto" w:fill="E1DFDD"/>
    </w:rPr>
  </w:style>
  <w:style w:type="character" w:customStyle="1" w:styleId="Mention60">
    <w:name w:val="Mention60"/>
    <w:basedOn w:val="DefaultParagraphFont"/>
    <w:uiPriority w:val="99"/>
    <w:unhideWhenUsed/>
    <w:rsid w:val="0080105E"/>
    <w:rPr>
      <w:color w:val="2B579A"/>
      <w:shd w:val="clear" w:color="auto" w:fill="E1DFDD"/>
    </w:rPr>
  </w:style>
  <w:style w:type="character" w:customStyle="1" w:styleId="Mention7">
    <w:name w:val="Mention7"/>
    <w:basedOn w:val="DefaultParagraphFont"/>
    <w:uiPriority w:val="99"/>
    <w:unhideWhenUsed/>
    <w:rsid w:val="0080105E"/>
    <w:rPr>
      <w:color w:val="2B579A"/>
      <w:shd w:val="clear" w:color="auto" w:fill="E1DFDD"/>
    </w:rPr>
  </w:style>
  <w:style w:type="character" w:customStyle="1" w:styleId="UnresolvedMention600">
    <w:name w:val="Unresolved Mention600"/>
    <w:basedOn w:val="DefaultParagraphFont"/>
    <w:uiPriority w:val="99"/>
    <w:unhideWhenUsed/>
    <w:rsid w:val="0080105E"/>
    <w:rPr>
      <w:color w:val="605E5C"/>
      <w:shd w:val="clear" w:color="auto" w:fill="E1DFDD"/>
    </w:rPr>
  </w:style>
  <w:style w:type="character" w:customStyle="1" w:styleId="Mention600">
    <w:name w:val="Mention600"/>
    <w:basedOn w:val="DefaultParagraphFont"/>
    <w:uiPriority w:val="99"/>
    <w:unhideWhenUsed/>
    <w:rsid w:val="0080105E"/>
    <w:rPr>
      <w:color w:val="2B579A"/>
      <w:shd w:val="clear" w:color="auto" w:fill="E1DFDD"/>
    </w:rPr>
  </w:style>
  <w:style w:type="character" w:customStyle="1" w:styleId="UnresolvedMention6000">
    <w:name w:val="Unresolved Mention6000"/>
    <w:basedOn w:val="DefaultParagraphFont"/>
    <w:uiPriority w:val="99"/>
    <w:unhideWhenUsed/>
    <w:rsid w:val="0080105E"/>
    <w:rPr>
      <w:color w:val="605E5C"/>
      <w:shd w:val="clear" w:color="auto" w:fill="E1DFDD"/>
    </w:rPr>
  </w:style>
  <w:style w:type="character" w:customStyle="1" w:styleId="Mention6000">
    <w:name w:val="Mention6000"/>
    <w:basedOn w:val="DefaultParagraphFont"/>
    <w:uiPriority w:val="99"/>
    <w:unhideWhenUsed/>
    <w:rsid w:val="0080105E"/>
    <w:rPr>
      <w:color w:val="2B579A"/>
      <w:shd w:val="clear" w:color="auto" w:fill="E6E6E6"/>
    </w:rPr>
  </w:style>
  <w:style w:type="character" w:customStyle="1" w:styleId="UnresolvedMention8">
    <w:name w:val="Unresolved Mention8"/>
    <w:basedOn w:val="DefaultParagraphFont"/>
    <w:uiPriority w:val="99"/>
    <w:unhideWhenUsed/>
    <w:rsid w:val="0080105E"/>
    <w:rPr>
      <w:color w:val="605E5C"/>
      <w:shd w:val="clear" w:color="auto" w:fill="E1DFDD"/>
    </w:rPr>
  </w:style>
  <w:style w:type="character" w:customStyle="1" w:styleId="Mention8">
    <w:name w:val="Mention8"/>
    <w:basedOn w:val="DefaultParagraphFont"/>
    <w:uiPriority w:val="99"/>
    <w:unhideWhenUsed/>
    <w:rsid w:val="0080105E"/>
    <w:rPr>
      <w:color w:val="2B579A"/>
      <w:shd w:val="clear" w:color="auto" w:fill="E1DFDD"/>
    </w:rPr>
  </w:style>
  <w:style w:type="character" w:customStyle="1" w:styleId="scxw72124611">
    <w:name w:val="scxw72124611"/>
    <w:basedOn w:val="DefaultParagraphFont"/>
    <w:rsid w:val="0080105E"/>
  </w:style>
  <w:style w:type="character" w:customStyle="1" w:styleId="Mention9">
    <w:name w:val="Mention9"/>
    <w:basedOn w:val="DefaultParagraphFont"/>
    <w:uiPriority w:val="99"/>
    <w:unhideWhenUsed/>
    <w:rsid w:val="0080105E"/>
    <w:rPr>
      <w:color w:val="2B579A"/>
      <w:shd w:val="clear" w:color="auto" w:fill="E1DFDD"/>
    </w:rPr>
  </w:style>
  <w:style w:type="table" w:styleId="PlainTable2">
    <w:name w:val="Plain Table 2"/>
    <w:basedOn w:val="TableNormal"/>
    <w:uiPriority w:val="42"/>
    <w:rsid w:val="008010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90">
    <w:name w:val="Mention90"/>
    <w:basedOn w:val="DefaultParagraphFont"/>
    <w:uiPriority w:val="99"/>
    <w:unhideWhenUsed/>
    <w:rsid w:val="0080105E"/>
    <w:rPr>
      <w:color w:val="2B579A"/>
      <w:shd w:val="clear" w:color="auto" w:fill="E1DFDD"/>
    </w:rPr>
  </w:style>
  <w:style w:type="character" w:customStyle="1" w:styleId="Mention900">
    <w:name w:val="Mention900"/>
    <w:basedOn w:val="DefaultParagraphFont"/>
    <w:uiPriority w:val="99"/>
    <w:unhideWhenUsed/>
    <w:rsid w:val="0080105E"/>
    <w:rPr>
      <w:color w:val="2B579A"/>
      <w:shd w:val="clear" w:color="auto" w:fill="E1DFDD"/>
    </w:rPr>
  </w:style>
  <w:style w:type="character" w:customStyle="1" w:styleId="Mention10">
    <w:name w:val="Mention10"/>
    <w:basedOn w:val="DefaultParagraphFont"/>
    <w:uiPriority w:val="99"/>
    <w:unhideWhenUsed/>
    <w:rsid w:val="0080105E"/>
    <w:rPr>
      <w:color w:val="2B579A"/>
      <w:shd w:val="clear" w:color="auto" w:fill="E1DFDD"/>
    </w:rPr>
  </w:style>
  <w:style w:type="character" w:customStyle="1" w:styleId="Mention100">
    <w:name w:val="Mention100"/>
    <w:basedOn w:val="DefaultParagraphFont"/>
    <w:uiPriority w:val="99"/>
    <w:unhideWhenUsed/>
    <w:rsid w:val="0080105E"/>
    <w:rPr>
      <w:color w:val="2B579A"/>
      <w:shd w:val="clear" w:color="auto" w:fill="E1DFDD"/>
    </w:rPr>
  </w:style>
  <w:style w:type="paragraph" w:customStyle="1" w:styleId="P68B1DB1-Normal2">
    <w:name w:val="P68B1DB1-Normal2"/>
    <w:basedOn w:val="Normal"/>
    <w:rsid w:val="001C2EC1"/>
    <w:pPr>
      <w:spacing w:after="160" w:line="256" w:lineRule="auto"/>
    </w:pPr>
    <w:rPr>
      <w:rFonts w:ascii="Times New Roman" w:hAnsi="Times New Roman" w:cs="Times New Roman"/>
      <w:b/>
    </w:rPr>
  </w:style>
  <w:style w:type="character" w:customStyle="1" w:styleId="hwtze">
    <w:name w:val="hwtze"/>
    <w:basedOn w:val="DefaultParagraphFont"/>
    <w:rsid w:val="001C2EC1"/>
  </w:style>
  <w:style w:type="paragraph" w:customStyle="1" w:styleId="P68B1DB1-Normal3">
    <w:name w:val="P68B1DB1-Normal3"/>
    <w:basedOn w:val="Normal"/>
    <w:rsid w:val="001C2EC1"/>
    <w:pPr>
      <w:spacing w:after="160" w:line="256" w:lineRule="auto"/>
    </w:pPr>
    <w:rPr>
      <w:rFonts w:ascii="Times New Roman" w:hAnsi="Times New Roman" w:cs="Times New Roman"/>
    </w:rPr>
  </w:style>
  <w:style w:type="character" w:customStyle="1" w:styleId="Bodytext1">
    <w:name w:val="Body text|1_"/>
    <w:basedOn w:val="DefaultParagraphFont"/>
    <w:link w:val="Bodytext10"/>
    <w:rsid w:val="001C2EC1"/>
    <w:rPr>
      <w:rFonts w:ascii="Arial" w:eastAsia="Arial" w:hAnsi="Arial" w:cs="Arial"/>
      <w:sz w:val="20"/>
    </w:rPr>
  </w:style>
  <w:style w:type="paragraph" w:customStyle="1" w:styleId="Bodytext10">
    <w:name w:val="Body text|1"/>
    <w:basedOn w:val="Normal"/>
    <w:link w:val="Bodytext1"/>
    <w:rsid w:val="001C2EC1"/>
    <w:pPr>
      <w:widowControl w:val="0"/>
      <w:spacing w:after="0" w:line="252" w:lineRule="auto"/>
      <w:ind w:firstLine="360"/>
    </w:pPr>
    <w:rPr>
      <w:rFonts w:ascii="Arial" w:eastAsia="Arial" w:hAnsi="Arial" w:cs="Arial"/>
      <w:sz w:val="20"/>
    </w:rPr>
  </w:style>
  <w:style w:type="character" w:customStyle="1" w:styleId="UnresolvedMention20">
    <w:name w:val="Unresolved Mention20"/>
    <w:basedOn w:val="DefaultParagraphFont"/>
    <w:uiPriority w:val="99"/>
    <w:unhideWhenUsed/>
    <w:rsid w:val="00C936DF"/>
    <w:rPr>
      <w:color w:val="605E5C"/>
      <w:shd w:val="clear" w:color="auto" w:fill="E1DFDD"/>
    </w:rPr>
  </w:style>
  <w:style w:type="character" w:customStyle="1" w:styleId="Mention200">
    <w:name w:val="Mention200"/>
    <w:basedOn w:val="DefaultParagraphFont"/>
    <w:uiPriority w:val="99"/>
    <w:unhideWhenUsed/>
    <w:rsid w:val="00C936DF"/>
    <w:rPr>
      <w:color w:val="2B579A"/>
      <w:shd w:val="clear" w:color="auto" w:fill="E1DFDD"/>
    </w:rPr>
  </w:style>
  <w:style w:type="paragraph" w:customStyle="1" w:styleId="LegalNumPar3">
    <w:name w:val="LegalNumPar3"/>
    <w:basedOn w:val="Normal"/>
    <w:uiPriority w:val="1"/>
    <w:rsid w:val="00A34B22"/>
    <w:pPr>
      <w:numPr>
        <w:ilvl w:val="2"/>
        <w:numId w:val="12"/>
      </w:numPr>
      <w:spacing w:after="160" w:line="259" w:lineRule="auto"/>
    </w:pPr>
  </w:style>
  <w:style w:type="paragraph" w:customStyle="1" w:styleId="LegalNumPar">
    <w:name w:val="LegalNumPar"/>
    <w:basedOn w:val="Normal"/>
    <w:rsid w:val="007043A5"/>
    <w:pPr>
      <w:spacing w:after="160" w:line="259" w:lineRule="auto"/>
      <w:ind w:left="476" w:hanging="476"/>
    </w:pPr>
  </w:style>
  <w:style w:type="paragraph" w:customStyle="1" w:styleId="LegalNumPar2">
    <w:name w:val="LegalNumPar2"/>
    <w:basedOn w:val="Normal"/>
    <w:rsid w:val="007043A5"/>
    <w:pPr>
      <w:spacing w:after="160" w:line="259" w:lineRule="auto"/>
      <w:ind w:left="953" w:hanging="477"/>
    </w:pPr>
  </w:style>
  <w:style w:type="character" w:customStyle="1" w:styleId="Mention11">
    <w:name w:val="Mention11"/>
    <w:basedOn w:val="DefaultParagraphFont"/>
    <w:uiPriority w:val="99"/>
    <w:unhideWhenUsed/>
    <w:rsid w:val="00621745"/>
    <w:rPr>
      <w:color w:val="2B579A"/>
      <w:shd w:val="clear" w:color="auto" w:fill="E1DFDD"/>
    </w:rPr>
  </w:style>
  <w:style w:type="character" w:customStyle="1" w:styleId="Mention110">
    <w:name w:val="Mention110"/>
    <w:basedOn w:val="DefaultParagraphFont"/>
    <w:uiPriority w:val="99"/>
    <w:unhideWhenUsed/>
    <w:rsid w:val="00674213"/>
    <w:rPr>
      <w:color w:val="2B579A"/>
      <w:shd w:val="clear" w:color="auto" w:fill="E1DFDD"/>
    </w:rPr>
  </w:style>
  <w:style w:type="character" w:customStyle="1" w:styleId="Mention1100">
    <w:name w:val="Mention1100"/>
    <w:basedOn w:val="DefaultParagraphFont"/>
    <w:uiPriority w:val="99"/>
    <w:unhideWhenUsed/>
    <w:rsid w:val="00674213"/>
    <w:rPr>
      <w:color w:val="2B579A"/>
      <w:shd w:val="clear" w:color="auto" w:fill="E1DFDD"/>
    </w:rPr>
  </w:style>
  <w:style w:type="character" w:customStyle="1" w:styleId="Mention11000">
    <w:name w:val="Mention11000"/>
    <w:basedOn w:val="DefaultParagraphFont"/>
    <w:uiPriority w:val="99"/>
    <w:unhideWhenUsed/>
    <w:rsid w:val="00674213"/>
    <w:rPr>
      <w:color w:val="2B579A"/>
      <w:shd w:val="clear" w:color="auto" w:fill="E1DFDD"/>
    </w:rPr>
  </w:style>
  <w:style w:type="character" w:customStyle="1" w:styleId="Mention110000">
    <w:name w:val="Mention110000"/>
    <w:basedOn w:val="DefaultParagraphFont"/>
    <w:uiPriority w:val="99"/>
    <w:unhideWhenUsed/>
    <w:rsid w:val="00674213"/>
    <w:rPr>
      <w:color w:val="2B579A"/>
      <w:shd w:val="clear" w:color="auto" w:fill="E1DFDD"/>
    </w:rPr>
  </w:style>
  <w:style w:type="character" w:customStyle="1" w:styleId="Mention1100000">
    <w:name w:val="Mention1100000"/>
    <w:basedOn w:val="DefaultParagraphFont"/>
    <w:uiPriority w:val="99"/>
    <w:unhideWhenUsed/>
    <w:rsid w:val="00674213"/>
    <w:rPr>
      <w:color w:val="2B579A"/>
      <w:shd w:val="clear" w:color="auto" w:fill="E1DFDD"/>
    </w:rPr>
  </w:style>
  <w:style w:type="character" w:customStyle="1" w:styleId="Mention12">
    <w:name w:val="Mention12"/>
    <w:basedOn w:val="DefaultParagraphFont"/>
    <w:uiPriority w:val="99"/>
    <w:unhideWhenUsed/>
    <w:rsid w:val="00674213"/>
    <w:rPr>
      <w:color w:val="2B579A"/>
      <w:shd w:val="clear" w:color="auto" w:fill="E1DFDD"/>
    </w:rPr>
  </w:style>
  <w:style w:type="character" w:customStyle="1" w:styleId="Mention11000000">
    <w:name w:val="Mention11000000"/>
    <w:basedOn w:val="DefaultParagraphFont"/>
    <w:uiPriority w:val="99"/>
    <w:unhideWhenUsed/>
    <w:rsid w:val="00674213"/>
    <w:rPr>
      <w:color w:val="2B579A"/>
      <w:shd w:val="clear" w:color="auto" w:fill="E1DFDD"/>
    </w:rPr>
  </w:style>
  <w:style w:type="character" w:customStyle="1" w:styleId="Mention110000000">
    <w:name w:val="Mention110000000"/>
    <w:basedOn w:val="DefaultParagraphFont"/>
    <w:uiPriority w:val="99"/>
    <w:unhideWhenUsed/>
    <w:rsid w:val="00674213"/>
    <w:rPr>
      <w:color w:val="2B579A"/>
      <w:shd w:val="clear" w:color="auto" w:fill="E1DFDD"/>
    </w:rPr>
  </w:style>
  <w:style w:type="character" w:customStyle="1" w:styleId="Mention1100000000">
    <w:name w:val="Mention1100000000"/>
    <w:basedOn w:val="DefaultParagraphFont"/>
    <w:uiPriority w:val="99"/>
    <w:unhideWhenUsed/>
    <w:rsid w:val="00674213"/>
    <w:rPr>
      <w:color w:val="2B579A"/>
      <w:shd w:val="clear" w:color="auto" w:fill="E1DFDD"/>
    </w:rPr>
  </w:style>
  <w:style w:type="character" w:customStyle="1" w:styleId="Mention11000000000">
    <w:name w:val="Mention11000000000"/>
    <w:basedOn w:val="DefaultParagraphFont"/>
    <w:uiPriority w:val="99"/>
    <w:unhideWhenUsed/>
    <w:rsid w:val="00674213"/>
    <w:rPr>
      <w:color w:val="2B579A"/>
      <w:shd w:val="clear" w:color="auto" w:fill="E1DFDD"/>
    </w:rPr>
  </w:style>
  <w:style w:type="character" w:customStyle="1" w:styleId="Mention110000000000">
    <w:name w:val="Mention110000000000"/>
    <w:basedOn w:val="DefaultParagraphFont"/>
    <w:uiPriority w:val="99"/>
    <w:unhideWhenUsed/>
    <w:rsid w:val="00674213"/>
    <w:rPr>
      <w:color w:val="2B579A"/>
      <w:shd w:val="clear" w:color="auto" w:fill="E1DFDD"/>
    </w:rPr>
  </w:style>
  <w:style w:type="character" w:customStyle="1" w:styleId="Mention1100000000000">
    <w:name w:val="Mention1100000000000"/>
    <w:basedOn w:val="DefaultParagraphFont"/>
    <w:uiPriority w:val="99"/>
    <w:unhideWhenUsed/>
    <w:rsid w:val="00674213"/>
    <w:rPr>
      <w:color w:val="2B579A"/>
      <w:shd w:val="clear" w:color="auto" w:fill="E1DFDD"/>
    </w:rPr>
  </w:style>
  <w:style w:type="character" w:customStyle="1" w:styleId="Mention11000000000000">
    <w:name w:val="Mention11000000000000"/>
    <w:basedOn w:val="DefaultParagraphFont"/>
    <w:uiPriority w:val="99"/>
    <w:unhideWhenUsed/>
    <w:rsid w:val="008320D6"/>
    <w:rPr>
      <w:color w:val="2B579A"/>
      <w:shd w:val="clear" w:color="auto" w:fill="E1DFDD"/>
    </w:rPr>
  </w:style>
  <w:style w:type="character" w:customStyle="1" w:styleId="Mention13">
    <w:name w:val="Mention13"/>
    <w:basedOn w:val="DefaultParagraphFont"/>
    <w:uiPriority w:val="99"/>
    <w:unhideWhenUsed/>
    <w:rsid w:val="00995BE2"/>
    <w:rPr>
      <w:color w:val="2B579A"/>
      <w:shd w:val="clear" w:color="auto" w:fill="E1DFDD"/>
    </w:rPr>
  </w:style>
  <w:style w:type="character" w:customStyle="1" w:styleId="FooterSensitivityChar">
    <w:name w:val="Footer Sensitivity Char"/>
    <w:basedOn w:val="DefaultParagraphFont"/>
    <w:link w:val="FooterSensitivity"/>
    <w:rsid w:val="008616A9"/>
    <w:rPr>
      <w:rFonts w:ascii="Times New Roman" w:hAnsi="Times New Roman" w:cs="Times New Roman"/>
      <w:b/>
      <w:sz w:val="32"/>
    </w:rPr>
  </w:style>
  <w:style w:type="character" w:customStyle="1" w:styleId="HeaderSensitivityChar">
    <w:name w:val="Header Sensitivity Char"/>
    <w:basedOn w:val="DefaultParagraphFont"/>
    <w:link w:val="HeaderSensitivity"/>
    <w:rsid w:val="008616A9"/>
    <w:rPr>
      <w:rFonts w:ascii="Times New Roman" w:hAnsi="Times New Roman" w:cs="Times New Roman"/>
      <w:b/>
      <w:sz w:val="32"/>
    </w:rPr>
  </w:style>
  <w:style w:type="character" w:customStyle="1" w:styleId="HeaderSensitivityRightChar">
    <w:name w:val="Header Sensitivity Right Char"/>
    <w:basedOn w:val="DefaultParagraphFont"/>
    <w:link w:val="HeaderSensitivityRight"/>
    <w:rsid w:val="008616A9"/>
    <w:rPr>
      <w:rFonts w:ascii="Times New Roman" w:hAnsi="Times New Roman" w:cs="Times New Roman"/>
      <w:sz w:val="28"/>
    </w:rPr>
  </w:style>
  <w:style w:type="character" w:customStyle="1" w:styleId="Mention14">
    <w:name w:val="Mention14"/>
    <w:basedOn w:val="DefaultParagraphFont"/>
    <w:uiPriority w:val="99"/>
    <w:unhideWhenUsed/>
    <w:rsid w:val="005E3317"/>
    <w:rPr>
      <w:color w:val="2B579A"/>
      <w:shd w:val="clear" w:color="auto" w:fill="E1DFDD"/>
    </w:rPr>
  </w:style>
  <w:style w:type="character" w:customStyle="1" w:styleId="UnresolvedMention">
    <w:name w:val="Unresolved Mention"/>
    <w:basedOn w:val="DefaultParagraphFont"/>
    <w:uiPriority w:val="99"/>
    <w:semiHidden/>
    <w:unhideWhenUsed/>
    <w:rsid w:val="001F52FC"/>
    <w:rPr>
      <w:color w:val="605E5C"/>
      <w:shd w:val="clear" w:color="auto" w:fill="E1DFDD"/>
    </w:rPr>
  </w:style>
  <w:style w:type="paragraph" w:customStyle="1" w:styleId="P68B1DB1-Normal1">
    <w:name w:val="P68B1DB1-Normal1"/>
    <w:basedOn w:val="Normal"/>
    <w:rPr>
      <w:rFonts w:ascii="Times New Roman" w:hAnsi="Times New Roman"/>
      <w:b/>
      <w:sz w:val="28"/>
    </w:rPr>
  </w:style>
  <w:style w:type="paragraph" w:customStyle="1" w:styleId="P68B1DB1-Heading12">
    <w:name w:val="P68B1DB1-Heading12"/>
    <w:basedOn w:val="Heading1"/>
    <w:rPr>
      <w:rFonts w:ascii="Times New Roman" w:hAnsi="Times New Roman"/>
    </w:rPr>
  </w:style>
  <w:style w:type="paragraph" w:customStyle="1" w:styleId="P68B1DB1-Normal4">
    <w:name w:val="P68B1DB1-Normal4"/>
    <w:basedOn w:val="Normal"/>
    <w:rPr>
      <w:rFonts w:ascii="Times New Roman" w:hAnsi="Times New Roman"/>
      <w:sz w:val="24"/>
    </w:rPr>
  </w:style>
  <w:style w:type="paragraph" w:customStyle="1" w:styleId="P68B1DB1-Normal5">
    <w:name w:val="P68B1DB1-Normal5"/>
    <w:basedOn w:val="Normal"/>
    <w:rPr>
      <w:rFonts w:ascii="Times New Roman" w:hAnsi="Times New Roman"/>
      <w:b/>
      <w:sz w:val="24"/>
      <w:u w:val="single"/>
    </w:rPr>
  </w:style>
  <w:style w:type="paragraph" w:customStyle="1" w:styleId="P68B1DB1-Normal6">
    <w:name w:val="P68B1DB1-Normal6"/>
    <w:basedOn w:val="Normal"/>
    <w:rPr>
      <w:rFonts w:ascii="Times New Roman" w:hAnsi="Times New Roman"/>
      <w:sz w:val="24"/>
      <w:u w:val="single"/>
    </w:rPr>
  </w:style>
  <w:style w:type="paragraph" w:customStyle="1" w:styleId="P68B1DB1-ListParagraph7">
    <w:name w:val="P68B1DB1-ListParagraph7"/>
    <w:basedOn w:val="ListParagraph"/>
    <w:rPr>
      <w:rFonts w:ascii="Times New Roman" w:hAnsi="Times New Roman"/>
      <w:sz w:val="24"/>
    </w:rPr>
  </w:style>
  <w:style w:type="paragraph" w:customStyle="1" w:styleId="P68B1DB1-Normal8">
    <w:name w:val="P68B1DB1-Normal8"/>
    <w:basedOn w:val="Normal"/>
    <w:rPr>
      <w:rFonts w:ascii="Times New Roman" w:hAnsi="Times New Roman"/>
    </w:rPr>
  </w:style>
  <w:style w:type="paragraph" w:customStyle="1" w:styleId="P68B1DB1-Normal12">
    <w:name w:val="P68B1DB1-Normal12"/>
    <w:basedOn w:val="Normal"/>
    <w:rPr>
      <w:rFonts w:ascii="Times New Roman" w:hAnsi="Times New Roman"/>
      <w:b/>
      <w:sz w:val="18"/>
    </w:rPr>
  </w:style>
  <w:style w:type="paragraph" w:customStyle="1" w:styleId="P68B1DB1-Normal13">
    <w:name w:val="P68B1DB1-Normal13"/>
    <w:basedOn w:val="Normal"/>
    <w:rPr>
      <w:rFonts w:ascii="Times New Roman" w:hAnsi="Times New Roman"/>
      <w:sz w:val="18"/>
    </w:rPr>
  </w:style>
  <w:style w:type="paragraph" w:customStyle="1" w:styleId="P68B1DB1-ListParagraph14">
    <w:name w:val="P68B1DB1-ListParagraph14"/>
    <w:basedOn w:val="ListParagraph"/>
    <w:rPr>
      <w:rFonts w:ascii="Times New Roman" w:hAnsi="Times New Roman"/>
      <w:sz w:val="18"/>
    </w:rPr>
  </w:style>
  <w:style w:type="paragraph" w:customStyle="1" w:styleId="P68B1DB1-Normal15">
    <w:name w:val="P68B1DB1-Normal15"/>
    <w:basedOn w:val="Normal"/>
    <w:rPr>
      <w:rFonts w:ascii="Times New Roman" w:hAnsi="Times New Roman"/>
      <w:u w:val="single"/>
    </w:rPr>
  </w:style>
  <w:style w:type="paragraph" w:customStyle="1" w:styleId="P68B1DB1-xmsonormal16">
    <w:name w:val="P68B1DB1-xmsonormal16"/>
    <w:basedOn w:val="xmsonormal"/>
    <w:rPr>
      <w:rFonts w:ascii="Times New Roman" w:hAnsi="Times New Roman"/>
      <w:sz w:val="24"/>
    </w:rPr>
  </w:style>
  <w:style w:type="paragraph" w:customStyle="1" w:styleId="P68B1DB1-LegalNumPar317">
    <w:name w:val="P68B1DB1-LegalNumPar317"/>
    <w:basedOn w:val="LegalNumPar3"/>
    <w:rPr>
      <w:rFonts w:ascii="Times New Roman" w:hAnsi="Times New Roman"/>
      <w:sz w:val="24"/>
    </w:rPr>
  </w:style>
  <w:style w:type="paragraph" w:customStyle="1" w:styleId="P68B1DB1-Normal18">
    <w:name w:val="P68B1DB1-Normal18"/>
    <w:basedOn w:val="Normal"/>
    <w:rPr>
      <w:rFonts w:ascii="Times New Roman" w:hAnsi="Times New Roman"/>
      <w:i/>
      <w:sz w:val="24"/>
    </w:rPr>
  </w:style>
  <w:style w:type="paragraph" w:customStyle="1" w:styleId="P68B1DB1-Text119">
    <w:name w:val="P68B1DB1-Text119"/>
    <w:basedOn w:val="Text1"/>
    <w:rPr>
      <w:rFonts w:ascii="Times New Roman" w:hAnsi="Times New Roman"/>
    </w:rPr>
  </w:style>
  <w:style w:type="paragraph" w:customStyle="1" w:styleId="P68B1DB1-Text120">
    <w:name w:val="P68B1DB1-Text120"/>
    <w:basedOn w:val="Text1"/>
    <w:rPr>
      <w:rFonts w:ascii="Times New Roman" w:hAnsi="Times New Roman"/>
      <w:u w:val="single"/>
    </w:rPr>
  </w:style>
  <w:style w:type="paragraph" w:customStyle="1" w:styleId="P68B1DB1-Normal21">
    <w:name w:val="P68B1DB1-Normal21"/>
    <w:basedOn w:val="Normal"/>
    <w:rPr>
      <w:rFonts w:ascii="Times New Roman" w:hAnsi="Times New Roman"/>
      <w:i/>
      <w:sz w:val="18"/>
    </w:rPr>
  </w:style>
  <w:style w:type="paragraph" w:customStyle="1" w:styleId="P68B1DB1-Normal22">
    <w:name w:val="P68B1DB1-Normal22"/>
    <w:basedOn w:val="Normal"/>
    <w:rPr>
      <w:rFonts w:ascii="Times New Roman" w:hAnsi="Times New Roman"/>
      <w:sz w:val="24"/>
      <w:shd w:val="clear" w:color="auto" w:fill="FFFFFF"/>
    </w:rPr>
  </w:style>
  <w:style w:type="paragraph" w:customStyle="1" w:styleId="P68B1DB1-Normal23">
    <w:name w:val="P68B1DB1-Normal23"/>
    <w:basedOn w:val="Normal"/>
    <w:rPr>
      <w:rFonts w:ascii="Times New Roman" w:hAnsi="Times New Roman"/>
      <w:sz w:val="24"/>
      <w:u w:val="single"/>
      <w:shd w:val="clear" w:color="auto" w:fill="FFFFFF"/>
    </w:rPr>
  </w:style>
  <w:style w:type="paragraph" w:customStyle="1" w:styleId="P68B1DB1-ListParagraph24">
    <w:name w:val="P68B1DB1-ListParagraph24"/>
    <w:basedOn w:val="ListParagraph"/>
    <w:rPr>
      <w:rFonts w:ascii="Times New Roman" w:hAnsi="Times New Roman"/>
    </w:rPr>
  </w:style>
  <w:style w:type="paragraph" w:customStyle="1" w:styleId="P68B1DB1-paragraph25">
    <w:name w:val="P68B1DB1-paragraph25"/>
    <w:basedOn w:val="paragraph"/>
    <w:rPr>
      <w:rFonts w:ascii="Times New Roman" w:hAnsi="Times New Roman"/>
    </w:rPr>
  </w:style>
  <w:style w:type="paragraph" w:customStyle="1" w:styleId="P68B1DB1-paragraph26">
    <w:name w:val="P68B1DB1-paragraph26"/>
    <w:basedOn w:val="paragraph"/>
    <w:rPr>
      <w:rFonts w:ascii="Times New Roman" w:hAnsi="Times New Roman"/>
      <w:u w:val="single"/>
    </w:rPr>
  </w:style>
  <w:style w:type="paragraph" w:customStyle="1" w:styleId="P68B1DB1-Heading227">
    <w:name w:val="P68B1DB1-Heading227"/>
    <w:basedOn w:val="Heading2"/>
    <w:rPr>
      <w:rFonts w:ascii="Times New Roman" w:hAnsi="Times New Roman"/>
      <w:u w:val="single"/>
    </w:rPr>
  </w:style>
  <w:style w:type="paragraph" w:customStyle="1" w:styleId="P68B1DB1-Text128">
    <w:name w:val="P68B1DB1-Text128"/>
    <w:basedOn w:val="Text1"/>
    <w:rPr>
      <w:rFonts w:ascii="Times New Roman" w:hAnsi="Times New Roman"/>
      <w:sz w:val="18"/>
    </w:rPr>
  </w:style>
  <w:style w:type="paragraph" w:customStyle="1" w:styleId="P68B1DB1-LegalNumPar29">
    <w:name w:val="P68B1DB1-LegalNumPar29"/>
    <w:basedOn w:val="LegalNumPar"/>
    <w:rPr>
      <w:rFonts w:ascii="Times New Roman" w:hAnsi="Times New Roman"/>
      <w:sz w:val="24"/>
    </w:rPr>
  </w:style>
  <w:style w:type="paragraph" w:customStyle="1" w:styleId="P68B1DB1-LegalNumPar230">
    <w:name w:val="P68B1DB1-LegalNumPar230"/>
    <w:basedOn w:val="LegalNumPar2"/>
    <w:rPr>
      <w:rFonts w:ascii="Times New Roman" w:hAnsi="Times New Roman"/>
      <w:sz w:val="24"/>
    </w:rPr>
  </w:style>
  <w:style w:type="paragraph" w:customStyle="1" w:styleId="P68B1DB1-paragraph31">
    <w:name w:val="P68B1DB1-paragraph31"/>
    <w:basedOn w:val="paragraph"/>
    <w:rPr>
      <w:rFonts w:ascii="Times New Roman" w:hAnsi="Times New Roman"/>
      <w:b/>
      <w:u w:val="single"/>
    </w:rPr>
  </w:style>
  <w:style w:type="paragraph" w:customStyle="1" w:styleId="P68B1DB1-paragraph32">
    <w:name w:val="P68B1DB1-paragraph32"/>
    <w:basedOn w:val="paragraph"/>
    <w:rPr>
      <w:rFonts w:ascii="Times New Roman" w:hAnsi="Times New Roman"/>
      <w:sz w:val="18"/>
    </w:rPr>
  </w:style>
  <w:style w:type="paragraph" w:customStyle="1" w:styleId="P68B1DB1-Normal33">
    <w:name w:val="P68B1DB1-Normal33"/>
    <w:basedOn w:val="Normal"/>
    <w:rPr>
      <w:rFonts w:ascii="Times New Roman" w:hAnsi="Times New Roman"/>
      <w:b/>
      <w:u w:val="single"/>
    </w:rPr>
  </w:style>
  <w:style w:type="paragraph" w:customStyle="1" w:styleId="P68B1DB1-Normal34">
    <w:name w:val="P68B1DB1-Normal34"/>
    <w:basedOn w:val="Normal"/>
    <w:rPr>
      <w:rFonts w:ascii="Times New Roman" w:hAnsi="Times New Roman"/>
      <w:sz w:val="18"/>
      <w:shd w:val="clear" w:color="auto" w:fill="E6E6E6"/>
    </w:rPr>
  </w:style>
  <w:style w:type="paragraph" w:customStyle="1" w:styleId="P68B1DB1-Heading2blue35">
    <w:name w:val="P68B1DB1-Heading2blue35"/>
    <w:basedOn w:val="Heading2blue"/>
    <w:rPr>
      <w:color w:val="auto"/>
    </w:rPr>
  </w:style>
  <w:style w:type="paragraph" w:customStyle="1" w:styleId="P68B1DB1-Heading3blue36">
    <w:name w:val="P68B1DB1-Heading3blue36"/>
    <w:basedOn w:val="Heading3blue"/>
    <w:rPr>
      <w:color w:val="auto"/>
    </w:rPr>
  </w:style>
  <w:style w:type="paragraph" w:customStyle="1" w:styleId="P68B1DB1-Heading337">
    <w:name w:val="P68B1DB1-Heading337"/>
    <w:basedOn w:val="Heading3"/>
    <w:rPr>
      <w:rFonts w:ascii="Times New Roman" w:hAnsi="Times New Roman"/>
      <w:i w:val="0"/>
      <w:u w:val="single"/>
    </w:rPr>
  </w:style>
  <w:style w:type="paragraph" w:customStyle="1" w:styleId="P68B1DB1-Text138">
    <w:name w:val="P68B1DB1-Text138"/>
    <w:basedOn w:val="Text1"/>
    <w:rPr>
      <w:rFonts w:ascii="Times New Roman" w:hAnsi="Times New Roman"/>
      <w:b/>
      <w:u w:val="single"/>
    </w:rPr>
  </w:style>
  <w:style w:type="paragraph" w:customStyle="1" w:styleId="P68B1DB1-P68B1DB1-Normal339">
    <w:name w:val="P68B1DB1-P68B1DB1-Normal339"/>
    <w:basedOn w:val="P68B1DB1-Normal3"/>
    <w:rPr>
      <w:sz w:val="24"/>
    </w:rPr>
  </w:style>
  <w:style w:type="paragraph" w:customStyle="1" w:styleId="P68B1DB1-Text140">
    <w:name w:val="P68B1DB1-Text140"/>
    <w:basedOn w:val="Text1"/>
    <w:rPr>
      <w:rFonts w:ascii="Times New Roman" w:hAnsi="Times New Roman"/>
      <w:i/>
    </w:rPr>
  </w:style>
  <w:style w:type="paragraph" w:customStyle="1" w:styleId="P68B1DB1-Text141">
    <w:name w:val="P68B1DB1-Text141"/>
    <w:basedOn w:val="Text1"/>
    <w:rPr>
      <w:rFonts w:ascii="Times New Roman" w:hAnsi="Times New Roman"/>
      <w:b/>
    </w:rPr>
  </w:style>
  <w:style w:type="paragraph" w:customStyle="1" w:styleId="P68B1DB1-Normal42">
    <w:name w:val="P68B1DB1-Normal42"/>
    <w:basedOn w:val="Normal"/>
    <w:rPr>
      <w:u w:val="single"/>
    </w:rPr>
  </w:style>
  <w:style w:type="paragraph" w:customStyle="1" w:styleId="P68B1DB1-Normal43">
    <w:name w:val="P68B1DB1-Normal43"/>
    <w:basedOn w:val="Normal"/>
    <w:rPr>
      <w:rFonts w:ascii="Times New Roman" w:hAnsi="Times New Roman"/>
      <w:b/>
      <w:sz w:val="24"/>
    </w:rPr>
  </w:style>
  <w:style w:type="paragraph" w:customStyle="1" w:styleId="P68B1DB1-NumPar144">
    <w:name w:val="P68B1DB1-NumPar144"/>
    <w:basedOn w:val="NumPar1"/>
    <w:rPr>
      <w:rFonts w:ascii="Times New Roman" w:hAnsi="Times New Roman"/>
      <w:b/>
    </w:rPr>
  </w:style>
  <w:style w:type="paragraph" w:customStyle="1" w:styleId="P68B1DB1-Normal45">
    <w:name w:val="P68B1DB1-Normal45"/>
    <w:basedOn w:val="Normal"/>
    <w:rPr>
      <w:rFonts w:ascii="Times New Roman" w:hAnsi="Times New Roman"/>
      <w:b/>
      <w:sz w:val="20"/>
    </w:rPr>
  </w:style>
  <w:style w:type="paragraph" w:customStyle="1" w:styleId="P68B1DB1-Normal46">
    <w:name w:val="P68B1DB1-Normal46"/>
    <w:basedOn w:val="Normal"/>
    <w:rPr>
      <w:rFonts w:ascii="Times New Roman" w:hAnsi="Times New Roman"/>
      <w:sz w:val="20"/>
    </w:rPr>
  </w:style>
  <w:style w:type="paragraph" w:customStyle="1" w:styleId="P68B1DB1-FootnoteText47">
    <w:name w:val="P68B1DB1-FootnoteText47"/>
    <w:basedOn w:val="FootnoteText"/>
    <w:rPr>
      <w:rFonts w:ascii="Times New Roman" w:hAnsi="Times New Roman"/>
    </w:rPr>
  </w:style>
  <w:style w:type="paragraph" w:customStyle="1" w:styleId="P68B1DB1-Text148">
    <w:name w:val="P68B1DB1-Text148"/>
    <w:basedOn w:val="Text1"/>
    <w:rPr>
      <w:rFonts w:ascii="Times New Roman" w:hAnsi="Times New Roman"/>
      <w:sz w:val="20"/>
    </w:rPr>
  </w:style>
  <w:style w:type="paragraph" w:customStyle="1" w:styleId="P68B1DB1-Footer49">
    <w:name w:val="P68B1DB1-Footer49"/>
    <w:basedOn w:val="Footer"/>
    <w:rPr>
      <w:rFonts w:ascii="Times New Roman" w:hAnsi="Times New Roman" w:cs="Times New Roman"/>
    </w:rPr>
  </w:style>
  <w:style w:type="paragraph" w:customStyle="1" w:styleId="P68B1DB1-Footer50">
    <w:name w:val="P68B1DB1-Footer50"/>
    <w:basedOn w:val="Footer"/>
    <w:rPr>
      <w:rFonts w:ascii="Arial" w:hAnsi="Arial" w:cs="Arial"/>
      <w:sz w:val="20"/>
    </w:rPr>
  </w:style>
  <w:style w:type="paragraph" w:customStyle="1" w:styleId="P68B1DB1-Footer51">
    <w:name w:val="P68B1DB1-Footer51"/>
    <w:basedOn w:val="Footer"/>
    <w:rPr>
      <w:sz w:val="20"/>
    </w:rPr>
  </w:style>
  <w:style w:type="paragraph" w:customStyle="1" w:styleId="P68B1DB1-Footer52">
    <w:name w:val="P68B1DB1-Footer52"/>
    <w:basedOn w:val="Footer"/>
    <w:rPr>
      <w:rFonts w:ascii="Times New Roman"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8581">
      <w:bodyDiv w:val="1"/>
      <w:marLeft w:val="0"/>
      <w:marRight w:val="0"/>
      <w:marTop w:val="0"/>
      <w:marBottom w:val="0"/>
      <w:divBdr>
        <w:top w:val="none" w:sz="0" w:space="0" w:color="auto"/>
        <w:left w:val="none" w:sz="0" w:space="0" w:color="auto"/>
        <w:bottom w:val="none" w:sz="0" w:space="0" w:color="auto"/>
        <w:right w:val="none" w:sz="0" w:space="0" w:color="auto"/>
      </w:divBdr>
    </w:div>
    <w:div w:id="88818095">
      <w:bodyDiv w:val="1"/>
      <w:marLeft w:val="0"/>
      <w:marRight w:val="0"/>
      <w:marTop w:val="0"/>
      <w:marBottom w:val="0"/>
      <w:divBdr>
        <w:top w:val="none" w:sz="0" w:space="0" w:color="auto"/>
        <w:left w:val="none" w:sz="0" w:space="0" w:color="auto"/>
        <w:bottom w:val="none" w:sz="0" w:space="0" w:color="auto"/>
        <w:right w:val="none" w:sz="0" w:space="0" w:color="auto"/>
      </w:divBdr>
    </w:div>
    <w:div w:id="101993847">
      <w:bodyDiv w:val="1"/>
      <w:marLeft w:val="0"/>
      <w:marRight w:val="0"/>
      <w:marTop w:val="0"/>
      <w:marBottom w:val="0"/>
      <w:divBdr>
        <w:top w:val="none" w:sz="0" w:space="0" w:color="auto"/>
        <w:left w:val="none" w:sz="0" w:space="0" w:color="auto"/>
        <w:bottom w:val="none" w:sz="0" w:space="0" w:color="auto"/>
        <w:right w:val="none" w:sz="0" w:space="0" w:color="auto"/>
      </w:divBdr>
      <w:divsChild>
        <w:div w:id="249848255">
          <w:marLeft w:val="0"/>
          <w:marRight w:val="0"/>
          <w:marTop w:val="0"/>
          <w:marBottom w:val="0"/>
          <w:divBdr>
            <w:top w:val="none" w:sz="0" w:space="0" w:color="auto"/>
            <w:left w:val="none" w:sz="0" w:space="0" w:color="auto"/>
            <w:bottom w:val="none" w:sz="0" w:space="0" w:color="auto"/>
            <w:right w:val="none" w:sz="0" w:space="0" w:color="auto"/>
          </w:divBdr>
        </w:div>
        <w:div w:id="336690782">
          <w:marLeft w:val="0"/>
          <w:marRight w:val="0"/>
          <w:marTop w:val="0"/>
          <w:marBottom w:val="0"/>
          <w:divBdr>
            <w:top w:val="none" w:sz="0" w:space="0" w:color="auto"/>
            <w:left w:val="none" w:sz="0" w:space="0" w:color="auto"/>
            <w:bottom w:val="none" w:sz="0" w:space="0" w:color="auto"/>
            <w:right w:val="none" w:sz="0" w:space="0" w:color="auto"/>
          </w:divBdr>
        </w:div>
        <w:div w:id="533269353">
          <w:marLeft w:val="0"/>
          <w:marRight w:val="0"/>
          <w:marTop w:val="0"/>
          <w:marBottom w:val="0"/>
          <w:divBdr>
            <w:top w:val="none" w:sz="0" w:space="0" w:color="auto"/>
            <w:left w:val="none" w:sz="0" w:space="0" w:color="auto"/>
            <w:bottom w:val="none" w:sz="0" w:space="0" w:color="auto"/>
            <w:right w:val="none" w:sz="0" w:space="0" w:color="auto"/>
          </w:divBdr>
        </w:div>
        <w:div w:id="774591405">
          <w:marLeft w:val="0"/>
          <w:marRight w:val="0"/>
          <w:marTop w:val="0"/>
          <w:marBottom w:val="0"/>
          <w:divBdr>
            <w:top w:val="none" w:sz="0" w:space="0" w:color="auto"/>
            <w:left w:val="none" w:sz="0" w:space="0" w:color="auto"/>
            <w:bottom w:val="none" w:sz="0" w:space="0" w:color="auto"/>
            <w:right w:val="none" w:sz="0" w:space="0" w:color="auto"/>
          </w:divBdr>
        </w:div>
      </w:divsChild>
    </w:div>
    <w:div w:id="153767423">
      <w:bodyDiv w:val="1"/>
      <w:marLeft w:val="0"/>
      <w:marRight w:val="0"/>
      <w:marTop w:val="0"/>
      <w:marBottom w:val="0"/>
      <w:divBdr>
        <w:top w:val="none" w:sz="0" w:space="0" w:color="auto"/>
        <w:left w:val="none" w:sz="0" w:space="0" w:color="auto"/>
        <w:bottom w:val="none" w:sz="0" w:space="0" w:color="auto"/>
        <w:right w:val="none" w:sz="0" w:space="0" w:color="auto"/>
      </w:divBdr>
    </w:div>
    <w:div w:id="213470010">
      <w:bodyDiv w:val="1"/>
      <w:marLeft w:val="0"/>
      <w:marRight w:val="0"/>
      <w:marTop w:val="0"/>
      <w:marBottom w:val="0"/>
      <w:divBdr>
        <w:top w:val="none" w:sz="0" w:space="0" w:color="auto"/>
        <w:left w:val="none" w:sz="0" w:space="0" w:color="auto"/>
        <w:bottom w:val="none" w:sz="0" w:space="0" w:color="auto"/>
        <w:right w:val="none" w:sz="0" w:space="0" w:color="auto"/>
      </w:divBdr>
    </w:div>
    <w:div w:id="225646797">
      <w:bodyDiv w:val="1"/>
      <w:marLeft w:val="0"/>
      <w:marRight w:val="0"/>
      <w:marTop w:val="0"/>
      <w:marBottom w:val="0"/>
      <w:divBdr>
        <w:top w:val="none" w:sz="0" w:space="0" w:color="auto"/>
        <w:left w:val="none" w:sz="0" w:space="0" w:color="auto"/>
        <w:bottom w:val="none" w:sz="0" w:space="0" w:color="auto"/>
        <w:right w:val="none" w:sz="0" w:space="0" w:color="auto"/>
      </w:divBdr>
    </w:div>
    <w:div w:id="234516724">
      <w:bodyDiv w:val="1"/>
      <w:marLeft w:val="0"/>
      <w:marRight w:val="0"/>
      <w:marTop w:val="0"/>
      <w:marBottom w:val="0"/>
      <w:divBdr>
        <w:top w:val="none" w:sz="0" w:space="0" w:color="auto"/>
        <w:left w:val="none" w:sz="0" w:space="0" w:color="auto"/>
        <w:bottom w:val="none" w:sz="0" w:space="0" w:color="auto"/>
        <w:right w:val="none" w:sz="0" w:space="0" w:color="auto"/>
      </w:divBdr>
    </w:div>
    <w:div w:id="264113178">
      <w:bodyDiv w:val="1"/>
      <w:marLeft w:val="0"/>
      <w:marRight w:val="0"/>
      <w:marTop w:val="0"/>
      <w:marBottom w:val="0"/>
      <w:divBdr>
        <w:top w:val="none" w:sz="0" w:space="0" w:color="auto"/>
        <w:left w:val="none" w:sz="0" w:space="0" w:color="auto"/>
        <w:bottom w:val="none" w:sz="0" w:space="0" w:color="auto"/>
        <w:right w:val="none" w:sz="0" w:space="0" w:color="auto"/>
      </w:divBdr>
    </w:div>
    <w:div w:id="272782931">
      <w:bodyDiv w:val="1"/>
      <w:marLeft w:val="0"/>
      <w:marRight w:val="0"/>
      <w:marTop w:val="0"/>
      <w:marBottom w:val="0"/>
      <w:divBdr>
        <w:top w:val="none" w:sz="0" w:space="0" w:color="auto"/>
        <w:left w:val="none" w:sz="0" w:space="0" w:color="auto"/>
        <w:bottom w:val="none" w:sz="0" w:space="0" w:color="auto"/>
        <w:right w:val="none" w:sz="0" w:space="0" w:color="auto"/>
      </w:divBdr>
    </w:div>
    <w:div w:id="276840304">
      <w:bodyDiv w:val="1"/>
      <w:marLeft w:val="0"/>
      <w:marRight w:val="0"/>
      <w:marTop w:val="0"/>
      <w:marBottom w:val="0"/>
      <w:divBdr>
        <w:top w:val="none" w:sz="0" w:space="0" w:color="auto"/>
        <w:left w:val="none" w:sz="0" w:space="0" w:color="auto"/>
        <w:bottom w:val="none" w:sz="0" w:space="0" w:color="auto"/>
        <w:right w:val="none" w:sz="0" w:space="0" w:color="auto"/>
      </w:divBdr>
    </w:div>
    <w:div w:id="316883706">
      <w:bodyDiv w:val="1"/>
      <w:marLeft w:val="0"/>
      <w:marRight w:val="0"/>
      <w:marTop w:val="0"/>
      <w:marBottom w:val="0"/>
      <w:divBdr>
        <w:top w:val="none" w:sz="0" w:space="0" w:color="auto"/>
        <w:left w:val="none" w:sz="0" w:space="0" w:color="auto"/>
        <w:bottom w:val="none" w:sz="0" w:space="0" w:color="auto"/>
        <w:right w:val="none" w:sz="0" w:space="0" w:color="auto"/>
      </w:divBdr>
    </w:div>
    <w:div w:id="443230782">
      <w:bodyDiv w:val="1"/>
      <w:marLeft w:val="0"/>
      <w:marRight w:val="0"/>
      <w:marTop w:val="0"/>
      <w:marBottom w:val="0"/>
      <w:divBdr>
        <w:top w:val="none" w:sz="0" w:space="0" w:color="auto"/>
        <w:left w:val="none" w:sz="0" w:space="0" w:color="auto"/>
        <w:bottom w:val="none" w:sz="0" w:space="0" w:color="auto"/>
        <w:right w:val="none" w:sz="0" w:space="0" w:color="auto"/>
      </w:divBdr>
    </w:div>
    <w:div w:id="454952789">
      <w:bodyDiv w:val="1"/>
      <w:marLeft w:val="0"/>
      <w:marRight w:val="0"/>
      <w:marTop w:val="0"/>
      <w:marBottom w:val="0"/>
      <w:divBdr>
        <w:top w:val="none" w:sz="0" w:space="0" w:color="auto"/>
        <w:left w:val="none" w:sz="0" w:space="0" w:color="auto"/>
        <w:bottom w:val="none" w:sz="0" w:space="0" w:color="auto"/>
        <w:right w:val="none" w:sz="0" w:space="0" w:color="auto"/>
      </w:divBdr>
    </w:div>
    <w:div w:id="467209046">
      <w:bodyDiv w:val="1"/>
      <w:marLeft w:val="0"/>
      <w:marRight w:val="0"/>
      <w:marTop w:val="0"/>
      <w:marBottom w:val="0"/>
      <w:divBdr>
        <w:top w:val="none" w:sz="0" w:space="0" w:color="auto"/>
        <w:left w:val="none" w:sz="0" w:space="0" w:color="auto"/>
        <w:bottom w:val="none" w:sz="0" w:space="0" w:color="auto"/>
        <w:right w:val="none" w:sz="0" w:space="0" w:color="auto"/>
      </w:divBdr>
    </w:div>
    <w:div w:id="467286903">
      <w:bodyDiv w:val="1"/>
      <w:marLeft w:val="0"/>
      <w:marRight w:val="0"/>
      <w:marTop w:val="0"/>
      <w:marBottom w:val="0"/>
      <w:divBdr>
        <w:top w:val="none" w:sz="0" w:space="0" w:color="auto"/>
        <w:left w:val="none" w:sz="0" w:space="0" w:color="auto"/>
        <w:bottom w:val="none" w:sz="0" w:space="0" w:color="auto"/>
        <w:right w:val="none" w:sz="0" w:space="0" w:color="auto"/>
      </w:divBdr>
    </w:div>
    <w:div w:id="665594515">
      <w:bodyDiv w:val="1"/>
      <w:marLeft w:val="0"/>
      <w:marRight w:val="0"/>
      <w:marTop w:val="0"/>
      <w:marBottom w:val="0"/>
      <w:divBdr>
        <w:top w:val="none" w:sz="0" w:space="0" w:color="auto"/>
        <w:left w:val="none" w:sz="0" w:space="0" w:color="auto"/>
        <w:bottom w:val="none" w:sz="0" w:space="0" w:color="auto"/>
        <w:right w:val="none" w:sz="0" w:space="0" w:color="auto"/>
      </w:divBdr>
    </w:div>
    <w:div w:id="679158170">
      <w:bodyDiv w:val="1"/>
      <w:marLeft w:val="0"/>
      <w:marRight w:val="0"/>
      <w:marTop w:val="0"/>
      <w:marBottom w:val="0"/>
      <w:divBdr>
        <w:top w:val="none" w:sz="0" w:space="0" w:color="auto"/>
        <w:left w:val="none" w:sz="0" w:space="0" w:color="auto"/>
        <w:bottom w:val="none" w:sz="0" w:space="0" w:color="auto"/>
        <w:right w:val="none" w:sz="0" w:space="0" w:color="auto"/>
      </w:divBdr>
    </w:div>
    <w:div w:id="717585710">
      <w:bodyDiv w:val="1"/>
      <w:marLeft w:val="0"/>
      <w:marRight w:val="0"/>
      <w:marTop w:val="0"/>
      <w:marBottom w:val="0"/>
      <w:divBdr>
        <w:top w:val="none" w:sz="0" w:space="0" w:color="auto"/>
        <w:left w:val="none" w:sz="0" w:space="0" w:color="auto"/>
        <w:bottom w:val="none" w:sz="0" w:space="0" w:color="auto"/>
        <w:right w:val="none" w:sz="0" w:space="0" w:color="auto"/>
      </w:divBdr>
    </w:div>
    <w:div w:id="751897515">
      <w:bodyDiv w:val="1"/>
      <w:marLeft w:val="0"/>
      <w:marRight w:val="0"/>
      <w:marTop w:val="0"/>
      <w:marBottom w:val="0"/>
      <w:divBdr>
        <w:top w:val="none" w:sz="0" w:space="0" w:color="auto"/>
        <w:left w:val="none" w:sz="0" w:space="0" w:color="auto"/>
        <w:bottom w:val="none" w:sz="0" w:space="0" w:color="auto"/>
        <w:right w:val="none" w:sz="0" w:space="0" w:color="auto"/>
      </w:divBdr>
    </w:div>
    <w:div w:id="809857752">
      <w:bodyDiv w:val="1"/>
      <w:marLeft w:val="0"/>
      <w:marRight w:val="0"/>
      <w:marTop w:val="0"/>
      <w:marBottom w:val="0"/>
      <w:divBdr>
        <w:top w:val="none" w:sz="0" w:space="0" w:color="auto"/>
        <w:left w:val="none" w:sz="0" w:space="0" w:color="auto"/>
        <w:bottom w:val="none" w:sz="0" w:space="0" w:color="auto"/>
        <w:right w:val="none" w:sz="0" w:space="0" w:color="auto"/>
      </w:divBdr>
    </w:div>
    <w:div w:id="864371267">
      <w:bodyDiv w:val="1"/>
      <w:marLeft w:val="0"/>
      <w:marRight w:val="0"/>
      <w:marTop w:val="0"/>
      <w:marBottom w:val="0"/>
      <w:divBdr>
        <w:top w:val="none" w:sz="0" w:space="0" w:color="auto"/>
        <w:left w:val="none" w:sz="0" w:space="0" w:color="auto"/>
        <w:bottom w:val="none" w:sz="0" w:space="0" w:color="auto"/>
        <w:right w:val="none" w:sz="0" w:space="0" w:color="auto"/>
      </w:divBdr>
    </w:div>
    <w:div w:id="864750509">
      <w:bodyDiv w:val="1"/>
      <w:marLeft w:val="0"/>
      <w:marRight w:val="0"/>
      <w:marTop w:val="0"/>
      <w:marBottom w:val="0"/>
      <w:divBdr>
        <w:top w:val="none" w:sz="0" w:space="0" w:color="auto"/>
        <w:left w:val="none" w:sz="0" w:space="0" w:color="auto"/>
        <w:bottom w:val="none" w:sz="0" w:space="0" w:color="auto"/>
        <w:right w:val="none" w:sz="0" w:space="0" w:color="auto"/>
      </w:divBdr>
    </w:div>
    <w:div w:id="898634094">
      <w:bodyDiv w:val="1"/>
      <w:marLeft w:val="0"/>
      <w:marRight w:val="0"/>
      <w:marTop w:val="0"/>
      <w:marBottom w:val="0"/>
      <w:divBdr>
        <w:top w:val="none" w:sz="0" w:space="0" w:color="auto"/>
        <w:left w:val="none" w:sz="0" w:space="0" w:color="auto"/>
        <w:bottom w:val="none" w:sz="0" w:space="0" w:color="auto"/>
        <w:right w:val="none" w:sz="0" w:space="0" w:color="auto"/>
      </w:divBdr>
    </w:div>
    <w:div w:id="931088145">
      <w:bodyDiv w:val="1"/>
      <w:marLeft w:val="0"/>
      <w:marRight w:val="0"/>
      <w:marTop w:val="0"/>
      <w:marBottom w:val="0"/>
      <w:divBdr>
        <w:top w:val="none" w:sz="0" w:space="0" w:color="auto"/>
        <w:left w:val="none" w:sz="0" w:space="0" w:color="auto"/>
        <w:bottom w:val="none" w:sz="0" w:space="0" w:color="auto"/>
        <w:right w:val="none" w:sz="0" w:space="0" w:color="auto"/>
      </w:divBdr>
    </w:div>
    <w:div w:id="988555034">
      <w:bodyDiv w:val="1"/>
      <w:marLeft w:val="0"/>
      <w:marRight w:val="0"/>
      <w:marTop w:val="0"/>
      <w:marBottom w:val="0"/>
      <w:divBdr>
        <w:top w:val="none" w:sz="0" w:space="0" w:color="auto"/>
        <w:left w:val="none" w:sz="0" w:space="0" w:color="auto"/>
        <w:bottom w:val="none" w:sz="0" w:space="0" w:color="auto"/>
        <w:right w:val="none" w:sz="0" w:space="0" w:color="auto"/>
      </w:divBdr>
    </w:div>
    <w:div w:id="1069619329">
      <w:bodyDiv w:val="1"/>
      <w:marLeft w:val="0"/>
      <w:marRight w:val="0"/>
      <w:marTop w:val="0"/>
      <w:marBottom w:val="0"/>
      <w:divBdr>
        <w:top w:val="none" w:sz="0" w:space="0" w:color="auto"/>
        <w:left w:val="none" w:sz="0" w:space="0" w:color="auto"/>
        <w:bottom w:val="none" w:sz="0" w:space="0" w:color="auto"/>
        <w:right w:val="none" w:sz="0" w:space="0" w:color="auto"/>
      </w:divBdr>
    </w:div>
    <w:div w:id="1095636219">
      <w:bodyDiv w:val="1"/>
      <w:marLeft w:val="0"/>
      <w:marRight w:val="0"/>
      <w:marTop w:val="0"/>
      <w:marBottom w:val="0"/>
      <w:divBdr>
        <w:top w:val="none" w:sz="0" w:space="0" w:color="auto"/>
        <w:left w:val="none" w:sz="0" w:space="0" w:color="auto"/>
        <w:bottom w:val="none" w:sz="0" w:space="0" w:color="auto"/>
        <w:right w:val="none" w:sz="0" w:space="0" w:color="auto"/>
      </w:divBdr>
    </w:div>
    <w:div w:id="1102842384">
      <w:bodyDiv w:val="1"/>
      <w:marLeft w:val="0"/>
      <w:marRight w:val="0"/>
      <w:marTop w:val="0"/>
      <w:marBottom w:val="0"/>
      <w:divBdr>
        <w:top w:val="none" w:sz="0" w:space="0" w:color="auto"/>
        <w:left w:val="none" w:sz="0" w:space="0" w:color="auto"/>
        <w:bottom w:val="none" w:sz="0" w:space="0" w:color="auto"/>
        <w:right w:val="none" w:sz="0" w:space="0" w:color="auto"/>
      </w:divBdr>
    </w:div>
    <w:div w:id="1136753145">
      <w:bodyDiv w:val="1"/>
      <w:marLeft w:val="0"/>
      <w:marRight w:val="0"/>
      <w:marTop w:val="0"/>
      <w:marBottom w:val="0"/>
      <w:divBdr>
        <w:top w:val="none" w:sz="0" w:space="0" w:color="auto"/>
        <w:left w:val="none" w:sz="0" w:space="0" w:color="auto"/>
        <w:bottom w:val="none" w:sz="0" w:space="0" w:color="auto"/>
        <w:right w:val="none" w:sz="0" w:space="0" w:color="auto"/>
      </w:divBdr>
    </w:div>
    <w:div w:id="1164247691">
      <w:bodyDiv w:val="1"/>
      <w:marLeft w:val="0"/>
      <w:marRight w:val="0"/>
      <w:marTop w:val="0"/>
      <w:marBottom w:val="0"/>
      <w:divBdr>
        <w:top w:val="none" w:sz="0" w:space="0" w:color="auto"/>
        <w:left w:val="none" w:sz="0" w:space="0" w:color="auto"/>
        <w:bottom w:val="none" w:sz="0" w:space="0" w:color="auto"/>
        <w:right w:val="none" w:sz="0" w:space="0" w:color="auto"/>
      </w:divBdr>
    </w:div>
    <w:div w:id="1173255207">
      <w:bodyDiv w:val="1"/>
      <w:marLeft w:val="0"/>
      <w:marRight w:val="0"/>
      <w:marTop w:val="0"/>
      <w:marBottom w:val="0"/>
      <w:divBdr>
        <w:top w:val="none" w:sz="0" w:space="0" w:color="auto"/>
        <w:left w:val="none" w:sz="0" w:space="0" w:color="auto"/>
        <w:bottom w:val="none" w:sz="0" w:space="0" w:color="auto"/>
        <w:right w:val="none" w:sz="0" w:space="0" w:color="auto"/>
      </w:divBdr>
    </w:div>
    <w:div w:id="1286887197">
      <w:bodyDiv w:val="1"/>
      <w:marLeft w:val="0"/>
      <w:marRight w:val="0"/>
      <w:marTop w:val="0"/>
      <w:marBottom w:val="0"/>
      <w:divBdr>
        <w:top w:val="none" w:sz="0" w:space="0" w:color="auto"/>
        <w:left w:val="none" w:sz="0" w:space="0" w:color="auto"/>
        <w:bottom w:val="none" w:sz="0" w:space="0" w:color="auto"/>
        <w:right w:val="none" w:sz="0" w:space="0" w:color="auto"/>
      </w:divBdr>
    </w:div>
    <w:div w:id="1329480903">
      <w:bodyDiv w:val="1"/>
      <w:marLeft w:val="0"/>
      <w:marRight w:val="0"/>
      <w:marTop w:val="0"/>
      <w:marBottom w:val="0"/>
      <w:divBdr>
        <w:top w:val="none" w:sz="0" w:space="0" w:color="auto"/>
        <w:left w:val="none" w:sz="0" w:space="0" w:color="auto"/>
        <w:bottom w:val="none" w:sz="0" w:space="0" w:color="auto"/>
        <w:right w:val="none" w:sz="0" w:space="0" w:color="auto"/>
      </w:divBdr>
    </w:div>
    <w:div w:id="1362559755">
      <w:bodyDiv w:val="1"/>
      <w:marLeft w:val="0"/>
      <w:marRight w:val="0"/>
      <w:marTop w:val="0"/>
      <w:marBottom w:val="0"/>
      <w:divBdr>
        <w:top w:val="none" w:sz="0" w:space="0" w:color="auto"/>
        <w:left w:val="none" w:sz="0" w:space="0" w:color="auto"/>
        <w:bottom w:val="none" w:sz="0" w:space="0" w:color="auto"/>
        <w:right w:val="none" w:sz="0" w:space="0" w:color="auto"/>
      </w:divBdr>
    </w:div>
    <w:div w:id="1377312750">
      <w:bodyDiv w:val="1"/>
      <w:marLeft w:val="0"/>
      <w:marRight w:val="0"/>
      <w:marTop w:val="0"/>
      <w:marBottom w:val="0"/>
      <w:divBdr>
        <w:top w:val="none" w:sz="0" w:space="0" w:color="auto"/>
        <w:left w:val="none" w:sz="0" w:space="0" w:color="auto"/>
        <w:bottom w:val="none" w:sz="0" w:space="0" w:color="auto"/>
        <w:right w:val="none" w:sz="0" w:space="0" w:color="auto"/>
      </w:divBdr>
    </w:div>
    <w:div w:id="1392579075">
      <w:bodyDiv w:val="1"/>
      <w:marLeft w:val="0"/>
      <w:marRight w:val="0"/>
      <w:marTop w:val="0"/>
      <w:marBottom w:val="0"/>
      <w:divBdr>
        <w:top w:val="none" w:sz="0" w:space="0" w:color="auto"/>
        <w:left w:val="none" w:sz="0" w:space="0" w:color="auto"/>
        <w:bottom w:val="none" w:sz="0" w:space="0" w:color="auto"/>
        <w:right w:val="none" w:sz="0" w:space="0" w:color="auto"/>
      </w:divBdr>
    </w:div>
    <w:div w:id="1406686731">
      <w:bodyDiv w:val="1"/>
      <w:marLeft w:val="0"/>
      <w:marRight w:val="0"/>
      <w:marTop w:val="0"/>
      <w:marBottom w:val="0"/>
      <w:divBdr>
        <w:top w:val="none" w:sz="0" w:space="0" w:color="auto"/>
        <w:left w:val="none" w:sz="0" w:space="0" w:color="auto"/>
        <w:bottom w:val="none" w:sz="0" w:space="0" w:color="auto"/>
        <w:right w:val="none" w:sz="0" w:space="0" w:color="auto"/>
      </w:divBdr>
    </w:div>
    <w:div w:id="1463035405">
      <w:bodyDiv w:val="1"/>
      <w:marLeft w:val="0"/>
      <w:marRight w:val="0"/>
      <w:marTop w:val="0"/>
      <w:marBottom w:val="0"/>
      <w:divBdr>
        <w:top w:val="none" w:sz="0" w:space="0" w:color="auto"/>
        <w:left w:val="none" w:sz="0" w:space="0" w:color="auto"/>
        <w:bottom w:val="none" w:sz="0" w:space="0" w:color="auto"/>
        <w:right w:val="none" w:sz="0" w:space="0" w:color="auto"/>
      </w:divBdr>
    </w:div>
    <w:div w:id="1466314078">
      <w:bodyDiv w:val="1"/>
      <w:marLeft w:val="0"/>
      <w:marRight w:val="0"/>
      <w:marTop w:val="0"/>
      <w:marBottom w:val="0"/>
      <w:divBdr>
        <w:top w:val="none" w:sz="0" w:space="0" w:color="auto"/>
        <w:left w:val="none" w:sz="0" w:space="0" w:color="auto"/>
        <w:bottom w:val="none" w:sz="0" w:space="0" w:color="auto"/>
        <w:right w:val="none" w:sz="0" w:space="0" w:color="auto"/>
      </w:divBdr>
    </w:div>
    <w:div w:id="1533155139">
      <w:bodyDiv w:val="1"/>
      <w:marLeft w:val="0"/>
      <w:marRight w:val="0"/>
      <w:marTop w:val="0"/>
      <w:marBottom w:val="0"/>
      <w:divBdr>
        <w:top w:val="none" w:sz="0" w:space="0" w:color="auto"/>
        <w:left w:val="none" w:sz="0" w:space="0" w:color="auto"/>
        <w:bottom w:val="none" w:sz="0" w:space="0" w:color="auto"/>
        <w:right w:val="none" w:sz="0" w:space="0" w:color="auto"/>
      </w:divBdr>
    </w:div>
    <w:div w:id="1648590147">
      <w:bodyDiv w:val="1"/>
      <w:marLeft w:val="0"/>
      <w:marRight w:val="0"/>
      <w:marTop w:val="0"/>
      <w:marBottom w:val="0"/>
      <w:divBdr>
        <w:top w:val="none" w:sz="0" w:space="0" w:color="auto"/>
        <w:left w:val="none" w:sz="0" w:space="0" w:color="auto"/>
        <w:bottom w:val="none" w:sz="0" w:space="0" w:color="auto"/>
        <w:right w:val="none" w:sz="0" w:space="0" w:color="auto"/>
      </w:divBdr>
    </w:div>
    <w:div w:id="1814708925">
      <w:bodyDiv w:val="1"/>
      <w:marLeft w:val="0"/>
      <w:marRight w:val="0"/>
      <w:marTop w:val="0"/>
      <w:marBottom w:val="0"/>
      <w:divBdr>
        <w:top w:val="none" w:sz="0" w:space="0" w:color="auto"/>
        <w:left w:val="none" w:sz="0" w:space="0" w:color="auto"/>
        <w:bottom w:val="none" w:sz="0" w:space="0" w:color="auto"/>
        <w:right w:val="none" w:sz="0" w:space="0" w:color="auto"/>
      </w:divBdr>
    </w:div>
    <w:div w:id="1853957364">
      <w:bodyDiv w:val="1"/>
      <w:marLeft w:val="0"/>
      <w:marRight w:val="0"/>
      <w:marTop w:val="0"/>
      <w:marBottom w:val="0"/>
      <w:divBdr>
        <w:top w:val="none" w:sz="0" w:space="0" w:color="auto"/>
        <w:left w:val="none" w:sz="0" w:space="0" w:color="auto"/>
        <w:bottom w:val="none" w:sz="0" w:space="0" w:color="auto"/>
        <w:right w:val="none" w:sz="0" w:space="0" w:color="auto"/>
      </w:divBdr>
    </w:div>
    <w:div w:id="1904634433">
      <w:bodyDiv w:val="1"/>
      <w:marLeft w:val="0"/>
      <w:marRight w:val="0"/>
      <w:marTop w:val="0"/>
      <w:marBottom w:val="0"/>
      <w:divBdr>
        <w:top w:val="none" w:sz="0" w:space="0" w:color="auto"/>
        <w:left w:val="none" w:sz="0" w:space="0" w:color="auto"/>
        <w:bottom w:val="none" w:sz="0" w:space="0" w:color="auto"/>
        <w:right w:val="none" w:sz="0" w:space="0" w:color="auto"/>
      </w:divBdr>
    </w:div>
    <w:div w:id="1925989349">
      <w:bodyDiv w:val="1"/>
      <w:marLeft w:val="0"/>
      <w:marRight w:val="0"/>
      <w:marTop w:val="0"/>
      <w:marBottom w:val="0"/>
      <w:divBdr>
        <w:top w:val="none" w:sz="0" w:space="0" w:color="auto"/>
        <w:left w:val="none" w:sz="0" w:space="0" w:color="auto"/>
        <w:bottom w:val="none" w:sz="0" w:space="0" w:color="auto"/>
        <w:right w:val="none" w:sz="0" w:space="0" w:color="auto"/>
      </w:divBdr>
    </w:div>
    <w:div w:id="1950358844">
      <w:bodyDiv w:val="1"/>
      <w:marLeft w:val="0"/>
      <w:marRight w:val="0"/>
      <w:marTop w:val="0"/>
      <w:marBottom w:val="0"/>
      <w:divBdr>
        <w:top w:val="none" w:sz="0" w:space="0" w:color="auto"/>
        <w:left w:val="none" w:sz="0" w:space="0" w:color="auto"/>
        <w:bottom w:val="none" w:sz="0" w:space="0" w:color="auto"/>
        <w:right w:val="none" w:sz="0" w:space="0" w:color="auto"/>
      </w:divBdr>
    </w:div>
    <w:div w:id="2049910264">
      <w:bodyDiv w:val="1"/>
      <w:marLeft w:val="0"/>
      <w:marRight w:val="0"/>
      <w:marTop w:val="0"/>
      <w:marBottom w:val="0"/>
      <w:divBdr>
        <w:top w:val="none" w:sz="0" w:space="0" w:color="auto"/>
        <w:left w:val="none" w:sz="0" w:space="0" w:color="auto"/>
        <w:bottom w:val="none" w:sz="0" w:space="0" w:color="auto"/>
        <w:right w:val="none" w:sz="0" w:space="0" w:color="auto"/>
      </w:divBdr>
    </w:div>
    <w:div w:id="2056658042">
      <w:bodyDiv w:val="1"/>
      <w:marLeft w:val="0"/>
      <w:marRight w:val="0"/>
      <w:marTop w:val="0"/>
      <w:marBottom w:val="0"/>
      <w:divBdr>
        <w:top w:val="none" w:sz="0" w:space="0" w:color="auto"/>
        <w:left w:val="none" w:sz="0" w:space="0" w:color="auto"/>
        <w:bottom w:val="none" w:sz="0" w:space="0" w:color="auto"/>
        <w:right w:val="none" w:sz="0" w:space="0" w:color="auto"/>
      </w:divBdr>
    </w:div>
    <w:div w:id="2113743474">
      <w:bodyDiv w:val="1"/>
      <w:marLeft w:val="0"/>
      <w:marRight w:val="0"/>
      <w:marTop w:val="0"/>
      <w:marBottom w:val="0"/>
      <w:divBdr>
        <w:top w:val="none" w:sz="0" w:space="0" w:color="auto"/>
        <w:left w:val="none" w:sz="0" w:space="0" w:color="auto"/>
        <w:bottom w:val="none" w:sz="0" w:space="0" w:color="auto"/>
        <w:right w:val="none" w:sz="0" w:space="0" w:color="auto"/>
      </w:divBdr>
      <w:divsChild>
        <w:div w:id="875703359">
          <w:marLeft w:val="0"/>
          <w:marRight w:val="0"/>
          <w:marTop w:val="0"/>
          <w:marBottom w:val="0"/>
          <w:divBdr>
            <w:top w:val="none" w:sz="0" w:space="0" w:color="auto"/>
            <w:left w:val="none" w:sz="0" w:space="0" w:color="auto"/>
            <w:bottom w:val="none" w:sz="0" w:space="0" w:color="auto"/>
            <w:right w:val="none" w:sz="0" w:space="0" w:color="auto"/>
          </w:divBdr>
          <w:divsChild>
            <w:div w:id="884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3589">
      <w:bodyDiv w:val="1"/>
      <w:marLeft w:val="0"/>
      <w:marRight w:val="0"/>
      <w:marTop w:val="0"/>
      <w:marBottom w:val="0"/>
      <w:divBdr>
        <w:top w:val="none" w:sz="0" w:space="0" w:color="auto"/>
        <w:left w:val="none" w:sz="0" w:space="0" w:color="auto"/>
        <w:bottom w:val="none" w:sz="0" w:space="0" w:color="auto"/>
        <w:right w:val="none" w:sz="0" w:space="0" w:color="auto"/>
      </w:divBdr>
    </w:div>
    <w:div w:id="2135057185">
      <w:bodyDiv w:val="1"/>
      <w:marLeft w:val="0"/>
      <w:marRight w:val="0"/>
      <w:marTop w:val="0"/>
      <w:marBottom w:val="0"/>
      <w:divBdr>
        <w:top w:val="none" w:sz="0" w:space="0" w:color="auto"/>
        <w:left w:val="none" w:sz="0" w:space="0" w:color="auto"/>
        <w:bottom w:val="none" w:sz="0" w:space="0" w:color="auto"/>
        <w:right w:val="none" w:sz="0" w:space="0" w:color="auto"/>
      </w:divBdr>
    </w:div>
    <w:div w:id="2137212541">
      <w:bodyDiv w:val="1"/>
      <w:marLeft w:val="0"/>
      <w:marRight w:val="0"/>
      <w:marTop w:val="0"/>
      <w:marBottom w:val="0"/>
      <w:divBdr>
        <w:top w:val="none" w:sz="0" w:space="0" w:color="auto"/>
        <w:left w:val="none" w:sz="0" w:space="0" w:color="auto"/>
        <w:bottom w:val="none" w:sz="0" w:space="0" w:color="auto"/>
        <w:right w:val="none" w:sz="0" w:space="0" w:color="auto"/>
      </w:divBdr>
    </w:div>
    <w:div w:id="213937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footer" Target="footer144.xml"/><Relationship Id="rId21" Type="http://schemas.openxmlformats.org/officeDocument/2006/relationships/footer" Target="footer5.xml"/><Relationship Id="rId63" Type="http://schemas.openxmlformats.org/officeDocument/2006/relationships/footer" Target="footer26.xml"/><Relationship Id="rId159" Type="http://schemas.openxmlformats.org/officeDocument/2006/relationships/footer" Target="footer74.xml"/><Relationship Id="rId324" Type="http://schemas.openxmlformats.org/officeDocument/2006/relationships/header" Target="header157.xml"/><Relationship Id="rId366" Type="http://schemas.openxmlformats.org/officeDocument/2006/relationships/footer" Target="footer176.xml"/><Relationship Id="rId531" Type="http://schemas.openxmlformats.org/officeDocument/2006/relationships/header" Target="header259.xml"/><Relationship Id="rId573" Type="http://schemas.openxmlformats.org/officeDocument/2006/relationships/header" Target="header280.xml"/><Relationship Id="rId170" Type="http://schemas.openxmlformats.org/officeDocument/2006/relationships/footer" Target="footer79.xml"/><Relationship Id="rId226" Type="http://schemas.openxmlformats.org/officeDocument/2006/relationships/header" Target="header108.xml"/><Relationship Id="rId433" Type="http://schemas.openxmlformats.org/officeDocument/2006/relationships/header" Target="header210.xml"/><Relationship Id="rId268" Type="http://schemas.openxmlformats.org/officeDocument/2006/relationships/header" Target="header129.xml"/><Relationship Id="rId475" Type="http://schemas.openxmlformats.org/officeDocument/2006/relationships/header" Target="header231.xml"/><Relationship Id="rId32" Type="http://schemas.openxmlformats.org/officeDocument/2006/relationships/footer" Target="footer10.xml"/><Relationship Id="rId74" Type="http://schemas.openxmlformats.org/officeDocument/2006/relationships/footer" Target="footer31.xml"/><Relationship Id="rId128" Type="http://schemas.openxmlformats.org/officeDocument/2006/relationships/footer" Target="footer58.xml"/><Relationship Id="rId335" Type="http://schemas.openxmlformats.org/officeDocument/2006/relationships/footer" Target="footer162.xml"/><Relationship Id="rId377" Type="http://schemas.openxmlformats.org/officeDocument/2006/relationships/footer" Target="footer181.xml"/><Relationship Id="rId500" Type="http://schemas.openxmlformats.org/officeDocument/2006/relationships/footer" Target="footer243.xml"/><Relationship Id="rId542" Type="http://schemas.openxmlformats.org/officeDocument/2006/relationships/footer" Target="footer264.xml"/><Relationship Id="rId584" Type="http://schemas.openxmlformats.org/officeDocument/2006/relationships/footer" Target="footer285.xml"/><Relationship Id="rId5" Type="http://schemas.openxmlformats.org/officeDocument/2006/relationships/numbering" Target="numbering.xml"/><Relationship Id="rId181" Type="http://schemas.openxmlformats.org/officeDocument/2006/relationships/header" Target="header86.xml"/><Relationship Id="rId237" Type="http://schemas.openxmlformats.org/officeDocument/2006/relationships/footer" Target="footer113.xml"/><Relationship Id="rId402" Type="http://schemas.openxmlformats.org/officeDocument/2006/relationships/footer" Target="footer194.xml"/><Relationship Id="rId279" Type="http://schemas.openxmlformats.org/officeDocument/2006/relationships/footer" Target="footer134.xml"/><Relationship Id="rId444" Type="http://schemas.openxmlformats.org/officeDocument/2006/relationships/footer" Target="footer215.xml"/><Relationship Id="rId486" Type="http://schemas.openxmlformats.org/officeDocument/2006/relationships/footer" Target="footer236.xml"/><Relationship Id="rId43" Type="http://schemas.openxmlformats.org/officeDocument/2006/relationships/header" Target="header17.xml"/><Relationship Id="rId139" Type="http://schemas.openxmlformats.org/officeDocument/2006/relationships/header" Target="header65.xml"/><Relationship Id="rId290" Type="http://schemas.openxmlformats.org/officeDocument/2006/relationships/footer" Target="footer139.xml"/><Relationship Id="rId304" Type="http://schemas.openxmlformats.org/officeDocument/2006/relationships/header" Target="header147.xml"/><Relationship Id="rId346" Type="http://schemas.openxmlformats.org/officeDocument/2006/relationships/header" Target="header168.xml"/><Relationship Id="rId388" Type="http://schemas.openxmlformats.org/officeDocument/2006/relationships/header" Target="header188.xml"/><Relationship Id="rId511" Type="http://schemas.openxmlformats.org/officeDocument/2006/relationships/header" Target="header249.xml"/><Relationship Id="rId553" Type="http://schemas.openxmlformats.org/officeDocument/2006/relationships/header" Target="header270.xml"/><Relationship Id="rId85" Type="http://schemas.openxmlformats.org/officeDocument/2006/relationships/header" Target="header38.xml"/><Relationship Id="rId150" Type="http://schemas.openxmlformats.org/officeDocument/2006/relationships/header" Target="header70.xml"/><Relationship Id="rId192" Type="http://schemas.openxmlformats.org/officeDocument/2006/relationships/header" Target="header91.xml"/><Relationship Id="rId206" Type="http://schemas.openxmlformats.org/officeDocument/2006/relationships/footer" Target="footer97.xml"/><Relationship Id="rId413" Type="http://schemas.openxmlformats.org/officeDocument/2006/relationships/footer" Target="footer199.xml"/><Relationship Id="rId595" Type="http://schemas.openxmlformats.org/officeDocument/2006/relationships/header" Target="header291.xml"/><Relationship Id="rId248" Type="http://schemas.openxmlformats.org/officeDocument/2006/relationships/footer" Target="footer118.xml"/><Relationship Id="rId455" Type="http://schemas.openxmlformats.org/officeDocument/2006/relationships/footer" Target="footer220.xml"/><Relationship Id="rId497" Type="http://schemas.openxmlformats.org/officeDocument/2006/relationships/footer" Target="footer241.xml"/><Relationship Id="rId12" Type="http://schemas.openxmlformats.org/officeDocument/2006/relationships/header" Target="header1.xml"/><Relationship Id="rId108" Type="http://schemas.openxmlformats.org/officeDocument/2006/relationships/header" Target="header49.xml"/><Relationship Id="rId315" Type="http://schemas.openxmlformats.org/officeDocument/2006/relationships/footer" Target="footer152.xml"/><Relationship Id="rId357" Type="http://schemas.openxmlformats.org/officeDocument/2006/relationships/footer" Target="footer173.xml"/><Relationship Id="rId522" Type="http://schemas.openxmlformats.org/officeDocument/2006/relationships/footer" Target="footer254.xml"/><Relationship Id="rId54" Type="http://schemas.openxmlformats.org/officeDocument/2006/relationships/header" Target="header22.xml"/><Relationship Id="rId96" Type="http://schemas.openxmlformats.org/officeDocument/2006/relationships/header" Target="header43.xml"/><Relationship Id="rId161" Type="http://schemas.openxmlformats.org/officeDocument/2006/relationships/footer" Target="footer75.xml"/><Relationship Id="rId217" Type="http://schemas.openxmlformats.org/officeDocument/2006/relationships/header" Target="header104.xml"/><Relationship Id="rId399" Type="http://schemas.openxmlformats.org/officeDocument/2006/relationships/header" Target="header193.xml"/><Relationship Id="rId564" Type="http://schemas.openxmlformats.org/officeDocument/2006/relationships/footer" Target="footer275.xml"/><Relationship Id="rId259" Type="http://schemas.openxmlformats.org/officeDocument/2006/relationships/header" Target="header125.xml"/><Relationship Id="rId424" Type="http://schemas.openxmlformats.org/officeDocument/2006/relationships/header" Target="header206.xml"/><Relationship Id="rId466" Type="http://schemas.openxmlformats.org/officeDocument/2006/relationships/header" Target="header227.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header" Target="header130.xml"/><Relationship Id="rId326" Type="http://schemas.openxmlformats.org/officeDocument/2006/relationships/footer" Target="footer157.xml"/><Relationship Id="rId533" Type="http://schemas.openxmlformats.org/officeDocument/2006/relationships/footer" Target="footer259.xml"/><Relationship Id="rId65" Type="http://schemas.openxmlformats.org/officeDocument/2006/relationships/footer" Target="footer27.xml"/><Relationship Id="rId130" Type="http://schemas.openxmlformats.org/officeDocument/2006/relationships/header" Target="header60.xml"/><Relationship Id="rId368" Type="http://schemas.openxmlformats.org/officeDocument/2006/relationships/footer" Target="footer177.xml"/><Relationship Id="rId575" Type="http://schemas.openxmlformats.org/officeDocument/2006/relationships/footer" Target="footer280.xml"/><Relationship Id="rId172" Type="http://schemas.openxmlformats.org/officeDocument/2006/relationships/header" Target="header81.xml"/><Relationship Id="rId228" Type="http://schemas.openxmlformats.org/officeDocument/2006/relationships/header" Target="header109.xml"/><Relationship Id="rId435" Type="http://schemas.openxmlformats.org/officeDocument/2006/relationships/header" Target="header211.xml"/><Relationship Id="rId477" Type="http://schemas.openxmlformats.org/officeDocument/2006/relationships/header" Target="header232.xml"/><Relationship Id="rId281" Type="http://schemas.openxmlformats.org/officeDocument/2006/relationships/footer" Target="footer135.xml"/><Relationship Id="rId337" Type="http://schemas.openxmlformats.org/officeDocument/2006/relationships/header" Target="header164.xml"/><Relationship Id="rId502" Type="http://schemas.openxmlformats.org/officeDocument/2006/relationships/header" Target="header245.xml"/><Relationship Id="rId34" Type="http://schemas.openxmlformats.org/officeDocument/2006/relationships/header" Target="header12.xml"/><Relationship Id="rId76" Type="http://schemas.openxmlformats.org/officeDocument/2006/relationships/header" Target="header33.xml"/><Relationship Id="rId141" Type="http://schemas.openxmlformats.org/officeDocument/2006/relationships/footer" Target="footer65.xml"/><Relationship Id="rId379" Type="http://schemas.openxmlformats.org/officeDocument/2006/relationships/header" Target="header183.xml"/><Relationship Id="rId544" Type="http://schemas.openxmlformats.org/officeDocument/2006/relationships/header" Target="header266.xml"/><Relationship Id="rId586" Type="http://schemas.openxmlformats.org/officeDocument/2006/relationships/header" Target="header287.xml"/><Relationship Id="rId7" Type="http://schemas.openxmlformats.org/officeDocument/2006/relationships/settings" Target="settings.xml"/><Relationship Id="rId183" Type="http://schemas.openxmlformats.org/officeDocument/2006/relationships/footer" Target="footer86.xml"/><Relationship Id="rId239" Type="http://schemas.openxmlformats.org/officeDocument/2006/relationships/footer" Target="footer114.xml"/><Relationship Id="rId390" Type="http://schemas.openxmlformats.org/officeDocument/2006/relationships/footer" Target="footer188.xml"/><Relationship Id="rId404" Type="http://schemas.openxmlformats.org/officeDocument/2006/relationships/footer" Target="footer195.xml"/><Relationship Id="rId446" Type="http://schemas.openxmlformats.org/officeDocument/2006/relationships/footer" Target="footer216.xml"/><Relationship Id="rId250" Type="http://schemas.openxmlformats.org/officeDocument/2006/relationships/header" Target="header120.xml"/><Relationship Id="rId292" Type="http://schemas.openxmlformats.org/officeDocument/2006/relationships/header" Target="header141.xml"/><Relationship Id="rId306" Type="http://schemas.openxmlformats.org/officeDocument/2006/relationships/header" Target="header148.xml"/><Relationship Id="rId488" Type="http://schemas.openxmlformats.org/officeDocument/2006/relationships/footer" Target="footer237.xml"/><Relationship Id="rId45" Type="http://schemas.openxmlformats.org/officeDocument/2006/relationships/footer" Target="footer17.xml"/><Relationship Id="rId87" Type="http://schemas.openxmlformats.org/officeDocument/2006/relationships/footer" Target="footer38.xml"/><Relationship Id="rId110" Type="http://schemas.openxmlformats.org/officeDocument/2006/relationships/footer" Target="footer49.xml"/><Relationship Id="rId348" Type="http://schemas.openxmlformats.org/officeDocument/2006/relationships/header" Target="header169.xml"/><Relationship Id="rId513" Type="http://schemas.openxmlformats.org/officeDocument/2006/relationships/header" Target="header250.xml"/><Relationship Id="rId555" Type="http://schemas.openxmlformats.org/officeDocument/2006/relationships/header" Target="header271.xml"/><Relationship Id="rId597" Type="http://schemas.openxmlformats.org/officeDocument/2006/relationships/fontTable" Target="fontTable.xml"/><Relationship Id="rId152" Type="http://schemas.openxmlformats.org/officeDocument/2006/relationships/footer" Target="footer70.xml"/><Relationship Id="rId194" Type="http://schemas.openxmlformats.org/officeDocument/2006/relationships/footer" Target="footer91.xml"/><Relationship Id="rId208" Type="http://schemas.openxmlformats.org/officeDocument/2006/relationships/header" Target="header99.xml"/><Relationship Id="rId415" Type="http://schemas.openxmlformats.org/officeDocument/2006/relationships/header" Target="header201.xml"/><Relationship Id="rId457" Type="http://schemas.openxmlformats.org/officeDocument/2006/relationships/header" Target="header222.xml"/><Relationship Id="rId261" Type="http://schemas.openxmlformats.org/officeDocument/2006/relationships/footer" Target="footer125.xml"/><Relationship Id="rId499" Type="http://schemas.openxmlformats.org/officeDocument/2006/relationships/header" Target="header243.xml"/><Relationship Id="rId14" Type="http://schemas.openxmlformats.org/officeDocument/2006/relationships/footer" Target="footer1.xml"/><Relationship Id="rId56" Type="http://schemas.openxmlformats.org/officeDocument/2006/relationships/footer" Target="footer22.xml"/><Relationship Id="rId317" Type="http://schemas.openxmlformats.org/officeDocument/2006/relationships/footer" Target="footer153.xml"/><Relationship Id="rId359" Type="http://schemas.openxmlformats.org/officeDocument/2006/relationships/footer" Target="footer174.xml"/><Relationship Id="rId524" Type="http://schemas.openxmlformats.org/officeDocument/2006/relationships/footer" Target="footer255.xml"/><Relationship Id="rId566" Type="http://schemas.openxmlformats.org/officeDocument/2006/relationships/footer" Target="footer276.xml"/><Relationship Id="rId98" Type="http://schemas.openxmlformats.org/officeDocument/2006/relationships/footer" Target="footer43.xml"/><Relationship Id="rId121" Type="http://schemas.openxmlformats.org/officeDocument/2006/relationships/header" Target="header56.xml"/><Relationship Id="rId163" Type="http://schemas.openxmlformats.org/officeDocument/2006/relationships/header" Target="header77.xml"/><Relationship Id="rId219" Type="http://schemas.openxmlformats.org/officeDocument/2006/relationships/footer" Target="footer104.xml"/><Relationship Id="rId370" Type="http://schemas.openxmlformats.org/officeDocument/2006/relationships/header" Target="header179.xml"/><Relationship Id="rId426" Type="http://schemas.openxmlformats.org/officeDocument/2006/relationships/footer" Target="footer206.xml"/><Relationship Id="rId230" Type="http://schemas.openxmlformats.org/officeDocument/2006/relationships/footer" Target="footer109.xml"/><Relationship Id="rId468" Type="http://schemas.openxmlformats.org/officeDocument/2006/relationships/footer" Target="footer227.xml"/><Relationship Id="rId25" Type="http://schemas.openxmlformats.org/officeDocument/2006/relationships/header" Target="header8.xml"/><Relationship Id="rId67" Type="http://schemas.openxmlformats.org/officeDocument/2006/relationships/header" Target="header29.xml"/><Relationship Id="rId272" Type="http://schemas.openxmlformats.org/officeDocument/2006/relationships/footer" Target="footer130.xml"/><Relationship Id="rId328" Type="http://schemas.openxmlformats.org/officeDocument/2006/relationships/header" Target="header159.xml"/><Relationship Id="rId535" Type="http://schemas.openxmlformats.org/officeDocument/2006/relationships/header" Target="header261.xml"/><Relationship Id="rId577" Type="http://schemas.openxmlformats.org/officeDocument/2006/relationships/header" Target="header282.xml"/><Relationship Id="rId132" Type="http://schemas.openxmlformats.org/officeDocument/2006/relationships/header" Target="header61.xml"/><Relationship Id="rId174" Type="http://schemas.openxmlformats.org/officeDocument/2006/relationships/header" Target="header82.xml"/><Relationship Id="rId381" Type="http://schemas.openxmlformats.org/officeDocument/2006/relationships/header" Target="header184.xml"/><Relationship Id="rId241" Type="http://schemas.openxmlformats.org/officeDocument/2006/relationships/header" Target="header116.xml"/><Relationship Id="rId437" Type="http://schemas.openxmlformats.org/officeDocument/2006/relationships/footer" Target="footer211.xml"/><Relationship Id="rId479" Type="http://schemas.openxmlformats.org/officeDocument/2006/relationships/footer" Target="footer232.xml"/><Relationship Id="rId36" Type="http://schemas.openxmlformats.org/officeDocument/2006/relationships/header" Target="header13.xml"/><Relationship Id="rId283" Type="http://schemas.openxmlformats.org/officeDocument/2006/relationships/header" Target="header137.xml"/><Relationship Id="rId339" Type="http://schemas.openxmlformats.org/officeDocument/2006/relationships/footer" Target="footer164.xml"/><Relationship Id="rId490" Type="http://schemas.openxmlformats.org/officeDocument/2006/relationships/header" Target="header239.xml"/><Relationship Id="rId504" Type="http://schemas.openxmlformats.org/officeDocument/2006/relationships/footer" Target="footer245.xml"/><Relationship Id="rId546" Type="http://schemas.openxmlformats.org/officeDocument/2006/relationships/footer" Target="footer266.xml"/><Relationship Id="rId78" Type="http://schemas.openxmlformats.org/officeDocument/2006/relationships/header" Target="header34.xml"/><Relationship Id="rId101" Type="http://schemas.openxmlformats.org/officeDocument/2006/relationships/footer" Target="footer45.xml"/><Relationship Id="rId143" Type="http://schemas.openxmlformats.org/officeDocument/2006/relationships/footer" Target="footer66.xml"/><Relationship Id="rId185" Type="http://schemas.openxmlformats.org/officeDocument/2006/relationships/footer" Target="footer87.xml"/><Relationship Id="rId350" Type="http://schemas.openxmlformats.org/officeDocument/2006/relationships/footer" Target="footer169.xml"/><Relationship Id="rId406" Type="http://schemas.openxmlformats.org/officeDocument/2006/relationships/header" Target="header197.xml"/><Relationship Id="rId588" Type="http://schemas.openxmlformats.org/officeDocument/2006/relationships/footer" Target="footer287.xml"/><Relationship Id="rId9" Type="http://schemas.openxmlformats.org/officeDocument/2006/relationships/footnotes" Target="footnotes.xml"/><Relationship Id="rId210" Type="http://schemas.openxmlformats.org/officeDocument/2006/relationships/header" Target="header100.xml"/><Relationship Id="rId392" Type="http://schemas.openxmlformats.org/officeDocument/2006/relationships/footer" Target="footer189.xml"/><Relationship Id="rId448" Type="http://schemas.openxmlformats.org/officeDocument/2006/relationships/header" Target="header218.xml"/><Relationship Id="rId252" Type="http://schemas.openxmlformats.org/officeDocument/2006/relationships/header" Target="header121.xml"/><Relationship Id="rId294" Type="http://schemas.openxmlformats.org/officeDocument/2006/relationships/header" Target="header142.xml"/><Relationship Id="rId308" Type="http://schemas.openxmlformats.org/officeDocument/2006/relationships/footer" Target="footer148.xml"/><Relationship Id="rId515" Type="http://schemas.openxmlformats.org/officeDocument/2006/relationships/footer" Target="footer250.xml"/><Relationship Id="rId47" Type="http://schemas.openxmlformats.org/officeDocument/2006/relationships/footer" Target="footer18.xml"/><Relationship Id="rId89" Type="http://schemas.openxmlformats.org/officeDocument/2006/relationships/footer" Target="footer39.xml"/><Relationship Id="rId112" Type="http://schemas.openxmlformats.org/officeDocument/2006/relationships/header" Target="header51.xml"/><Relationship Id="rId154" Type="http://schemas.openxmlformats.org/officeDocument/2006/relationships/header" Target="header72.xml"/><Relationship Id="rId361" Type="http://schemas.openxmlformats.org/officeDocument/2006/relationships/hyperlink" Target="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 TargetMode="External"/><Relationship Id="rId557" Type="http://schemas.openxmlformats.org/officeDocument/2006/relationships/footer" Target="footer271.xml"/><Relationship Id="rId599" Type="http://schemas.microsoft.com/office/2019/05/relationships/documenttasks" Target="documenttasks/documenttasks1.xml"/><Relationship Id="rId196" Type="http://schemas.openxmlformats.org/officeDocument/2006/relationships/header" Target="header93.xml"/><Relationship Id="rId417" Type="http://schemas.openxmlformats.org/officeDocument/2006/relationships/header" Target="header202.xml"/><Relationship Id="rId459" Type="http://schemas.openxmlformats.org/officeDocument/2006/relationships/header" Target="header223.xml"/><Relationship Id="rId16" Type="http://schemas.openxmlformats.org/officeDocument/2006/relationships/header" Target="header3.xml"/><Relationship Id="rId221" Type="http://schemas.openxmlformats.org/officeDocument/2006/relationships/footer" Target="footer105.xml"/><Relationship Id="rId263" Type="http://schemas.openxmlformats.org/officeDocument/2006/relationships/footer" Target="footer126.xml"/><Relationship Id="rId319" Type="http://schemas.openxmlformats.org/officeDocument/2006/relationships/header" Target="header155.xml"/><Relationship Id="rId470" Type="http://schemas.openxmlformats.org/officeDocument/2006/relationships/footer" Target="footer228.xml"/><Relationship Id="rId526" Type="http://schemas.openxmlformats.org/officeDocument/2006/relationships/header" Target="header257.xml"/><Relationship Id="rId37" Type="http://schemas.openxmlformats.org/officeDocument/2006/relationships/header" Target="header14.xml"/><Relationship Id="rId58" Type="http://schemas.openxmlformats.org/officeDocument/2006/relationships/header" Target="header24.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footer" Target="footer56.xml"/><Relationship Id="rId144" Type="http://schemas.openxmlformats.org/officeDocument/2006/relationships/header" Target="header67.xml"/><Relationship Id="rId330" Type="http://schemas.openxmlformats.org/officeDocument/2006/relationships/header" Target="header160.xml"/><Relationship Id="rId547" Type="http://schemas.openxmlformats.org/officeDocument/2006/relationships/header" Target="header267.xml"/><Relationship Id="rId568" Type="http://schemas.openxmlformats.org/officeDocument/2006/relationships/header" Target="header278.xml"/><Relationship Id="rId589" Type="http://schemas.openxmlformats.org/officeDocument/2006/relationships/header" Target="header288.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header" Target="header88.xml"/><Relationship Id="rId351" Type="http://schemas.openxmlformats.org/officeDocument/2006/relationships/footer" Target="footer170.xml"/><Relationship Id="rId372" Type="http://schemas.openxmlformats.org/officeDocument/2006/relationships/footer" Target="footer179.xml"/><Relationship Id="rId393" Type="http://schemas.openxmlformats.org/officeDocument/2006/relationships/header" Target="header190.xml"/><Relationship Id="rId407" Type="http://schemas.openxmlformats.org/officeDocument/2006/relationships/footer" Target="footer196.xml"/><Relationship Id="rId428" Type="http://schemas.openxmlformats.org/officeDocument/2006/relationships/footer" Target="footer207.xml"/><Relationship Id="rId449" Type="http://schemas.openxmlformats.org/officeDocument/2006/relationships/footer" Target="footer217.xml"/><Relationship Id="rId211" Type="http://schemas.openxmlformats.org/officeDocument/2006/relationships/header" Target="header101.xml"/><Relationship Id="rId232" Type="http://schemas.openxmlformats.org/officeDocument/2006/relationships/header" Target="header111.xml"/><Relationship Id="rId253" Type="http://schemas.openxmlformats.org/officeDocument/2006/relationships/header" Target="header122.xml"/><Relationship Id="rId274" Type="http://schemas.openxmlformats.org/officeDocument/2006/relationships/header" Target="header132.xml"/><Relationship Id="rId295" Type="http://schemas.openxmlformats.org/officeDocument/2006/relationships/header" Target="header143.xml"/><Relationship Id="rId309" Type="http://schemas.openxmlformats.org/officeDocument/2006/relationships/footer" Target="footer149.xml"/><Relationship Id="rId460" Type="http://schemas.openxmlformats.org/officeDocument/2006/relationships/header" Target="header224.xml"/><Relationship Id="rId481" Type="http://schemas.openxmlformats.org/officeDocument/2006/relationships/header" Target="header234.xml"/><Relationship Id="rId516" Type="http://schemas.openxmlformats.org/officeDocument/2006/relationships/footer" Target="footer251.xm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footer" Target="footer61.xml"/><Relationship Id="rId320" Type="http://schemas.openxmlformats.org/officeDocument/2006/relationships/footer" Target="footer154.xml"/><Relationship Id="rId537" Type="http://schemas.openxmlformats.org/officeDocument/2006/relationships/header" Target="header262.xml"/><Relationship Id="rId558" Type="http://schemas.openxmlformats.org/officeDocument/2006/relationships/footer" Target="footer272.xml"/><Relationship Id="rId579" Type="http://schemas.openxmlformats.org/officeDocument/2006/relationships/header" Target="header283.xml"/><Relationship Id="rId80" Type="http://schemas.openxmlformats.org/officeDocument/2006/relationships/footer" Target="footer34.xml"/><Relationship Id="rId155" Type="http://schemas.openxmlformats.org/officeDocument/2006/relationships/footer" Target="footer72.xml"/><Relationship Id="rId176" Type="http://schemas.openxmlformats.org/officeDocument/2006/relationships/footer" Target="footer82.xml"/><Relationship Id="rId197" Type="http://schemas.openxmlformats.org/officeDocument/2006/relationships/footer" Target="footer93.xml"/><Relationship Id="rId341" Type="http://schemas.openxmlformats.org/officeDocument/2006/relationships/footer" Target="footer165.xml"/><Relationship Id="rId362" Type="http://schemas.openxmlformats.org/officeDocument/2006/relationships/hyperlink" Target="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 TargetMode="External"/><Relationship Id="rId383" Type="http://schemas.openxmlformats.org/officeDocument/2006/relationships/footer" Target="footer184.xml"/><Relationship Id="rId418" Type="http://schemas.openxmlformats.org/officeDocument/2006/relationships/header" Target="header203.xml"/><Relationship Id="rId439" Type="http://schemas.openxmlformats.org/officeDocument/2006/relationships/header" Target="header213.xml"/><Relationship Id="rId590" Type="http://schemas.openxmlformats.org/officeDocument/2006/relationships/footer" Target="footer288.xml"/><Relationship Id="rId201" Type="http://schemas.openxmlformats.org/officeDocument/2006/relationships/footer" Target="footer95.xml"/><Relationship Id="rId222" Type="http://schemas.openxmlformats.org/officeDocument/2006/relationships/header" Target="header106.xml"/><Relationship Id="rId243" Type="http://schemas.openxmlformats.org/officeDocument/2006/relationships/footer" Target="footer116.xml"/><Relationship Id="rId264" Type="http://schemas.openxmlformats.org/officeDocument/2006/relationships/header" Target="header127.xml"/><Relationship Id="rId285" Type="http://schemas.openxmlformats.org/officeDocument/2006/relationships/footer" Target="footer137.xml"/><Relationship Id="rId450" Type="http://schemas.openxmlformats.org/officeDocument/2006/relationships/footer" Target="footer218.xml"/><Relationship Id="rId471" Type="http://schemas.openxmlformats.org/officeDocument/2006/relationships/header" Target="header229.xml"/><Relationship Id="rId506" Type="http://schemas.openxmlformats.org/officeDocument/2006/relationships/footer" Target="footer246.xml"/><Relationship Id="rId17" Type="http://schemas.openxmlformats.org/officeDocument/2006/relationships/footer" Target="footer3.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header" Target="header47.xml"/><Relationship Id="rId124" Type="http://schemas.openxmlformats.org/officeDocument/2006/relationships/header" Target="header57.xml"/><Relationship Id="rId310" Type="http://schemas.openxmlformats.org/officeDocument/2006/relationships/header" Target="header150.xml"/><Relationship Id="rId492" Type="http://schemas.openxmlformats.org/officeDocument/2006/relationships/footer" Target="footer239.xml"/><Relationship Id="rId527" Type="http://schemas.openxmlformats.org/officeDocument/2006/relationships/footer" Target="footer256.xml"/><Relationship Id="rId548" Type="http://schemas.openxmlformats.org/officeDocument/2006/relationships/footer" Target="footer267.xml"/><Relationship Id="rId569" Type="http://schemas.openxmlformats.org/officeDocument/2006/relationships/footer" Target="footer277.xml"/><Relationship Id="rId70" Type="http://schemas.openxmlformats.org/officeDocument/2006/relationships/header" Target="header30.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header" Target="header78.xml"/><Relationship Id="rId187" Type="http://schemas.openxmlformats.org/officeDocument/2006/relationships/header" Target="header89.xml"/><Relationship Id="rId331" Type="http://schemas.openxmlformats.org/officeDocument/2006/relationships/header" Target="header161.xml"/><Relationship Id="rId352" Type="http://schemas.openxmlformats.org/officeDocument/2006/relationships/header" Target="header171.xml"/><Relationship Id="rId373" Type="http://schemas.openxmlformats.org/officeDocument/2006/relationships/header" Target="header180.xml"/><Relationship Id="rId394" Type="http://schemas.openxmlformats.org/officeDocument/2006/relationships/header" Target="header191.xml"/><Relationship Id="rId408" Type="http://schemas.openxmlformats.org/officeDocument/2006/relationships/footer" Target="footer197.xml"/><Relationship Id="rId429" Type="http://schemas.openxmlformats.org/officeDocument/2006/relationships/header" Target="header208.xml"/><Relationship Id="rId580" Type="http://schemas.openxmlformats.org/officeDocument/2006/relationships/header" Target="header284.xml"/><Relationship Id="rId1" Type="http://schemas.openxmlformats.org/officeDocument/2006/relationships/customXml" Target="../customXml/item1.xml"/><Relationship Id="rId212" Type="http://schemas.openxmlformats.org/officeDocument/2006/relationships/footer" Target="footer100.xml"/><Relationship Id="rId233" Type="http://schemas.openxmlformats.org/officeDocument/2006/relationships/footer" Target="footer111.xml"/><Relationship Id="rId254" Type="http://schemas.openxmlformats.org/officeDocument/2006/relationships/footer" Target="footer121.xml"/><Relationship Id="rId440" Type="http://schemas.openxmlformats.org/officeDocument/2006/relationships/footer" Target="footer213.xml"/><Relationship Id="rId28" Type="http://schemas.openxmlformats.org/officeDocument/2006/relationships/header" Target="header9.xml"/><Relationship Id="rId49" Type="http://schemas.openxmlformats.org/officeDocument/2006/relationships/header" Target="header20.xml"/><Relationship Id="rId114" Type="http://schemas.openxmlformats.org/officeDocument/2006/relationships/header" Target="header52.xml"/><Relationship Id="rId275" Type="http://schemas.openxmlformats.org/officeDocument/2006/relationships/footer" Target="footer132.xml"/><Relationship Id="rId296" Type="http://schemas.openxmlformats.org/officeDocument/2006/relationships/footer" Target="footer142.xml"/><Relationship Id="rId300" Type="http://schemas.openxmlformats.org/officeDocument/2006/relationships/header" Target="header145.xml"/><Relationship Id="rId461" Type="http://schemas.openxmlformats.org/officeDocument/2006/relationships/footer" Target="footer223.xml"/><Relationship Id="rId482" Type="http://schemas.openxmlformats.org/officeDocument/2006/relationships/footer" Target="footer234.xml"/><Relationship Id="rId517" Type="http://schemas.openxmlformats.org/officeDocument/2006/relationships/header" Target="header252.xml"/><Relationship Id="rId538" Type="http://schemas.openxmlformats.org/officeDocument/2006/relationships/header" Target="header263.xml"/><Relationship Id="rId559" Type="http://schemas.openxmlformats.org/officeDocument/2006/relationships/header" Target="header273.xml"/><Relationship Id="rId60" Type="http://schemas.openxmlformats.org/officeDocument/2006/relationships/header" Target="header25.xml"/><Relationship Id="rId81" Type="http://schemas.openxmlformats.org/officeDocument/2006/relationships/footer" Target="footer35.xml"/><Relationship Id="rId135" Type="http://schemas.openxmlformats.org/officeDocument/2006/relationships/footer" Target="footer62.xml"/><Relationship Id="rId156" Type="http://schemas.openxmlformats.org/officeDocument/2006/relationships/header" Target="header73.xml"/><Relationship Id="rId177" Type="http://schemas.openxmlformats.org/officeDocument/2006/relationships/footer" Target="footer83.xml"/><Relationship Id="rId198" Type="http://schemas.openxmlformats.org/officeDocument/2006/relationships/header" Target="header94.xml"/><Relationship Id="rId321" Type="http://schemas.openxmlformats.org/officeDocument/2006/relationships/footer" Target="footer155.xml"/><Relationship Id="rId342" Type="http://schemas.openxmlformats.org/officeDocument/2006/relationships/header" Target="header166.xml"/><Relationship Id="rId363" Type="http://schemas.openxmlformats.org/officeDocument/2006/relationships/header" Target="header175.xml"/><Relationship Id="rId384" Type="http://schemas.openxmlformats.org/officeDocument/2006/relationships/footer" Target="footer185.xml"/><Relationship Id="rId419" Type="http://schemas.openxmlformats.org/officeDocument/2006/relationships/footer" Target="footer202.xml"/><Relationship Id="rId570" Type="http://schemas.openxmlformats.org/officeDocument/2006/relationships/footer" Target="footer278.xml"/><Relationship Id="rId591" Type="http://schemas.openxmlformats.org/officeDocument/2006/relationships/header" Target="header289.xml"/><Relationship Id="rId202" Type="http://schemas.openxmlformats.org/officeDocument/2006/relationships/header" Target="header96.xml"/><Relationship Id="rId223" Type="http://schemas.openxmlformats.org/officeDocument/2006/relationships/header" Target="header107.xml"/><Relationship Id="rId244" Type="http://schemas.openxmlformats.org/officeDocument/2006/relationships/header" Target="header117.xml"/><Relationship Id="rId430" Type="http://schemas.openxmlformats.org/officeDocument/2006/relationships/header" Target="header209.xml"/><Relationship Id="rId18" Type="http://schemas.openxmlformats.org/officeDocument/2006/relationships/header" Target="header4.xml"/><Relationship Id="rId39" Type="http://schemas.openxmlformats.org/officeDocument/2006/relationships/footer" Target="footer14.xml"/><Relationship Id="rId265" Type="http://schemas.openxmlformats.org/officeDocument/2006/relationships/header" Target="header128.xml"/><Relationship Id="rId286" Type="http://schemas.openxmlformats.org/officeDocument/2006/relationships/header" Target="header138.xml"/><Relationship Id="rId451" Type="http://schemas.openxmlformats.org/officeDocument/2006/relationships/header" Target="header219.xml"/><Relationship Id="rId472" Type="http://schemas.openxmlformats.org/officeDocument/2006/relationships/header" Target="header230.xml"/><Relationship Id="rId493" Type="http://schemas.openxmlformats.org/officeDocument/2006/relationships/header" Target="header240.xml"/><Relationship Id="rId507" Type="http://schemas.openxmlformats.org/officeDocument/2006/relationships/header" Target="header247.xml"/><Relationship Id="rId528" Type="http://schemas.openxmlformats.org/officeDocument/2006/relationships/footer" Target="footer257.xml"/><Relationship Id="rId549" Type="http://schemas.openxmlformats.org/officeDocument/2006/relationships/header" Target="header268.xm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footer" Target="footer57.xml"/><Relationship Id="rId146" Type="http://schemas.openxmlformats.org/officeDocument/2006/relationships/footer" Target="footer67.xml"/><Relationship Id="rId167" Type="http://schemas.openxmlformats.org/officeDocument/2006/relationships/footer" Target="footer78.xml"/><Relationship Id="rId188" Type="http://schemas.openxmlformats.org/officeDocument/2006/relationships/footer" Target="footer88.xml"/><Relationship Id="rId311" Type="http://schemas.openxmlformats.org/officeDocument/2006/relationships/footer" Target="footer150.xml"/><Relationship Id="rId332" Type="http://schemas.openxmlformats.org/officeDocument/2006/relationships/footer" Target="footer160.xml"/><Relationship Id="rId353" Type="http://schemas.openxmlformats.org/officeDocument/2006/relationships/footer" Target="footer171.xml"/><Relationship Id="rId374" Type="http://schemas.openxmlformats.org/officeDocument/2006/relationships/footer" Target="footer180.xml"/><Relationship Id="rId395" Type="http://schemas.openxmlformats.org/officeDocument/2006/relationships/footer" Target="footer190.xml"/><Relationship Id="rId409" Type="http://schemas.openxmlformats.org/officeDocument/2006/relationships/header" Target="header198.xml"/><Relationship Id="rId560" Type="http://schemas.openxmlformats.org/officeDocument/2006/relationships/footer" Target="footer273.xml"/><Relationship Id="rId581" Type="http://schemas.openxmlformats.org/officeDocument/2006/relationships/footer" Target="footer283.xml"/><Relationship Id="rId71" Type="http://schemas.openxmlformats.org/officeDocument/2006/relationships/footer" Target="footer30.xml"/><Relationship Id="rId92" Type="http://schemas.openxmlformats.org/officeDocument/2006/relationships/footer" Target="footer40.xml"/><Relationship Id="rId213" Type="http://schemas.openxmlformats.org/officeDocument/2006/relationships/footer" Target="footer101.xml"/><Relationship Id="rId234" Type="http://schemas.openxmlformats.org/officeDocument/2006/relationships/header" Target="header112.xml"/><Relationship Id="rId420" Type="http://schemas.openxmlformats.org/officeDocument/2006/relationships/footer" Target="footer203.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footer" Target="footer122.xml"/><Relationship Id="rId276" Type="http://schemas.openxmlformats.org/officeDocument/2006/relationships/header" Target="header133.xml"/><Relationship Id="rId297" Type="http://schemas.openxmlformats.org/officeDocument/2006/relationships/footer" Target="footer143.xml"/><Relationship Id="rId441" Type="http://schemas.openxmlformats.org/officeDocument/2006/relationships/header" Target="header214.xml"/><Relationship Id="rId462" Type="http://schemas.openxmlformats.org/officeDocument/2006/relationships/footer" Target="footer224.xml"/><Relationship Id="rId483" Type="http://schemas.openxmlformats.org/officeDocument/2006/relationships/header" Target="header235.xml"/><Relationship Id="rId518" Type="http://schemas.openxmlformats.org/officeDocument/2006/relationships/footer" Target="footer252.xml"/><Relationship Id="rId539" Type="http://schemas.openxmlformats.org/officeDocument/2006/relationships/footer" Target="footer262.xml"/><Relationship Id="rId40" Type="http://schemas.openxmlformats.org/officeDocument/2006/relationships/header" Target="header15.xml"/><Relationship Id="rId115" Type="http://schemas.openxmlformats.org/officeDocument/2006/relationships/header" Target="header53.xml"/><Relationship Id="rId136" Type="http://schemas.openxmlformats.org/officeDocument/2006/relationships/header" Target="header63.xml"/><Relationship Id="rId157" Type="http://schemas.openxmlformats.org/officeDocument/2006/relationships/header" Target="header74.xml"/><Relationship Id="rId178" Type="http://schemas.openxmlformats.org/officeDocument/2006/relationships/header" Target="header84.xml"/><Relationship Id="rId301" Type="http://schemas.openxmlformats.org/officeDocument/2006/relationships/header" Target="header146.xml"/><Relationship Id="rId322" Type="http://schemas.openxmlformats.org/officeDocument/2006/relationships/header" Target="header156.xml"/><Relationship Id="rId343" Type="http://schemas.openxmlformats.org/officeDocument/2006/relationships/header" Target="header167.xml"/><Relationship Id="rId364" Type="http://schemas.openxmlformats.org/officeDocument/2006/relationships/header" Target="header176.xml"/><Relationship Id="rId550" Type="http://schemas.openxmlformats.org/officeDocument/2006/relationships/header" Target="header269.xml"/><Relationship Id="rId61" Type="http://schemas.openxmlformats.org/officeDocument/2006/relationships/header" Target="header26.xml"/><Relationship Id="rId82" Type="http://schemas.openxmlformats.org/officeDocument/2006/relationships/header" Target="header36.xml"/><Relationship Id="rId199" Type="http://schemas.openxmlformats.org/officeDocument/2006/relationships/header" Target="header95.xml"/><Relationship Id="rId203" Type="http://schemas.openxmlformats.org/officeDocument/2006/relationships/footer" Target="footer96.xml"/><Relationship Id="rId385" Type="http://schemas.openxmlformats.org/officeDocument/2006/relationships/header" Target="header186.xml"/><Relationship Id="rId571" Type="http://schemas.openxmlformats.org/officeDocument/2006/relationships/header" Target="header279.xml"/><Relationship Id="rId592" Type="http://schemas.openxmlformats.org/officeDocument/2006/relationships/header" Target="header290.xml"/><Relationship Id="rId19" Type="http://schemas.openxmlformats.org/officeDocument/2006/relationships/header" Target="header5.xml"/><Relationship Id="rId224" Type="http://schemas.openxmlformats.org/officeDocument/2006/relationships/footer" Target="footer106.xml"/><Relationship Id="rId245" Type="http://schemas.openxmlformats.org/officeDocument/2006/relationships/footer" Target="footer117.xml"/><Relationship Id="rId266" Type="http://schemas.openxmlformats.org/officeDocument/2006/relationships/footer" Target="footer127.xml"/><Relationship Id="rId287" Type="http://schemas.openxmlformats.org/officeDocument/2006/relationships/footer" Target="footer138.xml"/><Relationship Id="rId410" Type="http://schemas.openxmlformats.org/officeDocument/2006/relationships/footer" Target="footer198.xml"/><Relationship Id="rId431" Type="http://schemas.openxmlformats.org/officeDocument/2006/relationships/footer" Target="footer208.xml"/><Relationship Id="rId452" Type="http://schemas.openxmlformats.org/officeDocument/2006/relationships/footer" Target="footer219.xml"/><Relationship Id="rId473" Type="http://schemas.openxmlformats.org/officeDocument/2006/relationships/footer" Target="footer229.xml"/><Relationship Id="rId494" Type="http://schemas.openxmlformats.org/officeDocument/2006/relationships/footer" Target="footer240.xml"/><Relationship Id="rId508" Type="http://schemas.openxmlformats.org/officeDocument/2006/relationships/header" Target="header248.xml"/><Relationship Id="rId529" Type="http://schemas.openxmlformats.org/officeDocument/2006/relationships/header" Target="header258.xml"/><Relationship Id="rId30" Type="http://schemas.openxmlformats.org/officeDocument/2006/relationships/header" Target="header10.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312" Type="http://schemas.openxmlformats.org/officeDocument/2006/relationships/header" Target="header151.xml"/><Relationship Id="rId333" Type="http://schemas.openxmlformats.org/officeDocument/2006/relationships/footer" Target="footer161.xml"/><Relationship Id="rId354" Type="http://schemas.openxmlformats.org/officeDocument/2006/relationships/header" Target="header172.xml"/><Relationship Id="rId540" Type="http://schemas.openxmlformats.org/officeDocument/2006/relationships/footer" Target="footer263.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189" Type="http://schemas.openxmlformats.org/officeDocument/2006/relationships/footer" Target="footer89.xml"/><Relationship Id="rId375" Type="http://schemas.openxmlformats.org/officeDocument/2006/relationships/header" Target="header181.xml"/><Relationship Id="rId396" Type="http://schemas.openxmlformats.org/officeDocument/2006/relationships/footer" Target="footer191.xml"/><Relationship Id="rId561" Type="http://schemas.openxmlformats.org/officeDocument/2006/relationships/header" Target="header274.xml"/><Relationship Id="rId582" Type="http://schemas.openxmlformats.org/officeDocument/2006/relationships/footer" Target="footer284.xml"/><Relationship Id="rId3" Type="http://schemas.openxmlformats.org/officeDocument/2006/relationships/customXml" Target="../customXml/item3.xml"/><Relationship Id="rId214" Type="http://schemas.openxmlformats.org/officeDocument/2006/relationships/header" Target="header102.xml"/><Relationship Id="rId235" Type="http://schemas.openxmlformats.org/officeDocument/2006/relationships/header" Target="header113.xml"/><Relationship Id="rId256" Type="http://schemas.openxmlformats.org/officeDocument/2006/relationships/header" Target="header123.xml"/><Relationship Id="rId277" Type="http://schemas.openxmlformats.org/officeDocument/2006/relationships/header" Target="header134.xml"/><Relationship Id="rId298" Type="http://schemas.openxmlformats.org/officeDocument/2006/relationships/header" Target="header144.xml"/><Relationship Id="rId400" Type="http://schemas.openxmlformats.org/officeDocument/2006/relationships/header" Target="header194.xml"/><Relationship Id="rId421" Type="http://schemas.openxmlformats.org/officeDocument/2006/relationships/header" Target="header204.xml"/><Relationship Id="rId442" Type="http://schemas.openxmlformats.org/officeDocument/2006/relationships/header" Target="header215.xml"/><Relationship Id="rId463" Type="http://schemas.openxmlformats.org/officeDocument/2006/relationships/header" Target="header225.xml"/><Relationship Id="rId484" Type="http://schemas.openxmlformats.org/officeDocument/2006/relationships/header" Target="header236.xml"/><Relationship Id="rId519" Type="http://schemas.openxmlformats.org/officeDocument/2006/relationships/header" Target="header253.xml"/><Relationship Id="rId116" Type="http://schemas.openxmlformats.org/officeDocument/2006/relationships/footer" Target="footer52.xml"/><Relationship Id="rId137" Type="http://schemas.openxmlformats.org/officeDocument/2006/relationships/footer" Target="footer63.xml"/><Relationship Id="rId158" Type="http://schemas.openxmlformats.org/officeDocument/2006/relationships/footer" Target="footer73.xml"/><Relationship Id="rId302" Type="http://schemas.openxmlformats.org/officeDocument/2006/relationships/footer" Target="footer145.xml"/><Relationship Id="rId323" Type="http://schemas.openxmlformats.org/officeDocument/2006/relationships/footer" Target="footer156.xml"/><Relationship Id="rId344" Type="http://schemas.openxmlformats.org/officeDocument/2006/relationships/footer" Target="footer166.xml"/><Relationship Id="rId530" Type="http://schemas.openxmlformats.org/officeDocument/2006/relationships/footer" Target="footer258.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footer" Target="footer84.xml"/><Relationship Id="rId365" Type="http://schemas.openxmlformats.org/officeDocument/2006/relationships/footer" Target="footer175.xml"/><Relationship Id="rId386" Type="http://schemas.openxmlformats.org/officeDocument/2006/relationships/footer" Target="footer186.xml"/><Relationship Id="rId551" Type="http://schemas.openxmlformats.org/officeDocument/2006/relationships/footer" Target="footer268.xml"/><Relationship Id="rId572" Type="http://schemas.openxmlformats.org/officeDocument/2006/relationships/footer" Target="footer279.xml"/><Relationship Id="rId593" Type="http://schemas.openxmlformats.org/officeDocument/2006/relationships/footer" Target="footer289.xml"/><Relationship Id="rId190" Type="http://schemas.openxmlformats.org/officeDocument/2006/relationships/header" Target="header90.xml"/><Relationship Id="rId204" Type="http://schemas.openxmlformats.org/officeDocument/2006/relationships/header" Target="header97.xml"/><Relationship Id="rId225" Type="http://schemas.openxmlformats.org/officeDocument/2006/relationships/footer" Target="footer107.xml"/><Relationship Id="rId246" Type="http://schemas.openxmlformats.org/officeDocument/2006/relationships/header" Target="header118.xml"/><Relationship Id="rId267" Type="http://schemas.openxmlformats.org/officeDocument/2006/relationships/footer" Target="footer128.xml"/><Relationship Id="rId288" Type="http://schemas.openxmlformats.org/officeDocument/2006/relationships/header" Target="header139.xml"/><Relationship Id="rId411" Type="http://schemas.openxmlformats.org/officeDocument/2006/relationships/header" Target="header199.xml"/><Relationship Id="rId432" Type="http://schemas.openxmlformats.org/officeDocument/2006/relationships/footer" Target="footer209.xml"/><Relationship Id="rId453" Type="http://schemas.openxmlformats.org/officeDocument/2006/relationships/header" Target="header220.xml"/><Relationship Id="rId474" Type="http://schemas.openxmlformats.org/officeDocument/2006/relationships/footer" Target="footer230.xml"/><Relationship Id="rId509" Type="http://schemas.openxmlformats.org/officeDocument/2006/relationships/footer" Target="footer247.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header" Target="header152.xml"/><Relationship Id="rId495" Type="http://schemas.openxmlformats.org/officeDocument/2006/relationships/header" Target="header241.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2.xml"/><Relationship Id="rId94" Type="http://schemas.openxmlformats.org/officeDocument/2006/relationships/header" Target="header42.xml"/><Relationship Id="rId148" Type="http://schemas.openxmlformats.org/officeDocument/2006/relationships/header" Target="header69.xml"/><Relationship Id="rId169" Type="http://schemas.openxmlformats.org/officeDocument/2006/relationships/header" Target="header80.xml"/><Relationship Id="rId334" Type="http://schemas.openxmlformats.org/officeDocument/2006/relationships/header" Target="header162.xml"/><Relationship Id="rId355" Type="http://schemas.openxmlformats.org/officeDocument/2006/relationships/header" Target="header173.xml"/><Relationship Id="rId376" Type="http://schemas.openxmlformats.org/officeDocument/2006/relationships/header" Target="header182.xml"/><Relationship Id="rId397" Type="http://schemas.openxmlformats.org/officeDocument/2006/relationships/header" Target="header192.xml"/><Relationship Id="rId520" Type="http://schemas.openxmlformats.org/officeDocument/2006/relationships/header" Target="header254.xml"/><Relationship Id="rId541" Type="http://schemas.openxmlformats.org/officeDocument/2006/relationships/header" Target="header264.xml"/><Relationship Id="rId562" Type="http://schemas.openxmlformats.org/officeDocument/2006/relationships/header" Target="header275.xml"/><Relationship Id="rId583" Type="http://schemas.openxmlformats.org/officeDocument/2006/relationships/header" Target="header285.xml"/><Relationship Id="rId4" Type="http://schemas.openxmlformats.org/officeDocument/2006/relationships/customXml" Target="../customXml/item4.xml"/><Relationship Id="rId180" Type="http://schemas.openxmlformats.org/officeDocument/2006/relationships/header" Target="header85.xml"/><Relationship Id="rId215" Type="http://schemas.openxmlformats.org/officeDocument/2006/relationships/footer" Target="footer102.xml"/><Relationship Id="rId236" Type="http://schemas.openxmlformats.org/officeDocument/2006/relationships/footer" Target="footer112.xml"/><Relationship Id="rId257" Type="http://schemas.openxmlformats.org/officeDocument/2006/relationships/footer" Target="footer123.xml"/><Relationship Id="rId278" Type="http://schemas.openxmlformats.org/officeDocument/2006/relationships/footer" Target="footer133.xml"/><Relationship Id="rId401" Type="http://schemas.openxmlformats.org/officeDocument/2006/relationships/footer" Target="footer193.xml"/><Relationship Id="rId422" Type="http://schemas.openxmlformats.org/officeDocument/2006/relationships/footer" Target="footer204.xml"/><Relationship Id="rId443" Type="http://schemas.openxmlformats.org/officeDocument/2006/relationships/footer" Target="footer214.xml"/><Relationship Id="rId464" Type="http://schemas.openxmlformats.org/officeDocument/2006/relationships/footer" Target="footer225.xml"/><Relationship Id="rId303" Type="http://schemas.openxmlformats.org/officeDocument/2006/relationships/footer" Target="footer146.xml"/><Relationship Id="rId485" Type="http://schemas.openxmlformats.org/officeDocument/2006/relationships/footer" Target="footer235.xml"/><Relationship Id="rId42" Type="http://schemas.openxmlformats.org/officeDocument/2006/relationships/header" Target="header16.xml"/><Relationship Id="rId84" Type="http://schemas.openxmlformats.org/officeDocument/2006/relationships/header" Target="header37.xml"/><Relationship Id="rId138" Type="http://schemas.openxmlformats.org/officeDocument/2006/relationships/header" Target="header64.xml"/><Relationship Id="rId345" Type="http://schemas.openxmlformats.org/officeDocument/2006/relationships/footer" Target="footer167.xml"/><Relationship Id="rId387" Type="http://schemas.openxmlformats.org/officeDocument/2006/relationships/header" Target="header187.xml"/><Relationship Id="rId510" Type="http://schemas.openxmlformats.org/officeDocument/2006/relationships/footer" Target="footer248.xml"/><Relationship Id="rId552" Type="http://schemas.openxmlformats.org/officeDocument/2006/relationships/footer" Target="footer269.xml"/><Relationship Id="rId594" Type="http://schemas.openxmlformats.org/officeDocument/2006/relationships/footer" Target="footer290.xml"/><Relationship Id="rId191" Type="http://schemas.openxmlformats.org/officeDocument/2006/relationships/footer" Target="footer90.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header" Target="header200.xml"/><Relationship Id="rId107" Type="http://schemas.openxmlformats.org/officeDocument/2006/relationships/footer" Target="footer48.xml"/><Relationship Id="rId289" Type="http://schemas.openxmlformats.org/officeDocument/2006/relationships/header" Target="header140.xml"/><Relationship Id="rId454" Type="http://schemas.openxmlformats.org/officeDocument/2006/relationships/header" Target="header221.xml"/><Relationship Id="rId496" Type="http://schemas.openxmlformats.org/officeDocument/2006/relationships/header" Target="header242.xml"/><Relationship Id="rId11" Type="http://schemas.openxmlformats.org/officeDocument/2006/relationships/image" Target="media/image1.emf"/><Relationship Id="rId53" Type="http://schemas.openxmlformats.org/officeDocument/2006/relationships/footer" Target="footer21.xml"/><Relationship Id="rId149" Type="http://schemas.openxmlformats.org/officeDocument/2006/relationships/footer" Target="footer69.xml"/><Relationship Id="rId314" Type="http://schemas.openxmlformats.org/officeDocument/2006/relationships/footer" Target="footer151.xml"/><Relationship Id="rId356" Type="http://schemas.openxmlformats.org/officeDocument/2006/relationships/footer" Target="footer172.xml"/><Relationship Id="rId398" Type="http://schemas.openxmlformats.org/officeDocument/2006/relationships/footer" Target="footer192.xml"/><Relationship Id="rId521" Type="http://schemas.openxmlformats.org/officeDocument/2006/relationships/footer" Target="footer253.xml"/><Relationship Id="rId563" Type="http://schemas.openxmlformats.org/officeDocument/2006/relationships/footer" Target="footer274.xml"/><Relationship Id="rId95" Type="http://schemas.openxmlformats.org/officeDocument/2006/relationships/footer" Target="footer42.xml"/><Relationship Id="rId160" Type="http://schemas.openxmlformats.org/officeDocument/2006/relationships/header" Target="header75.xml"/><Relationship Id="rId216" Type="http://schemas.openxmlformats.org/officeDocument/2006/relationships/header" Target="header103.xml"/><Relationship Id="rId423" Type="http://schemas.openxmlformats.org/officeDocument/2006/relationships/header" Target="header205.xml"/><Relationship Id="rId258" Type="http://schemas.openxmlformats.org/officeDocument/2006/relationships/header" Target="header124.xml"/><Relationship Id="rId465" Type="http://schemas.openxmlformats.org/officeDocument/2006/relationships/header" Target="header226.xml"/><Relationship Id="rId22" Type="http://schemas.openxmlformats.org/officeDocument/2006/relationships/header" Target="header6.xml"/><Relationship Id="rId64" Type="http://schemas.openxmlformats.org/officeDocument/2006/relationships/header" Target="header27.xml"/><Relationship Id="rId118" Type="http://schemas.openxmlformats.org/officeDocument/2006/relationships/header" Target="header54.xml"/><Relationship Id="rId325" Type="http://schemas.openxmlformats.org/officeDocument/2006/relationships/header" Target="header158.xml"/><Relationship Id="rId367" Type="http://schemas.openxmlformats.org/officeDocument/2006/relationships/header" Target="header177.xml"/><Relationship Id="rId532" Type="http://schemas.openxmlformats.org/officeDocument/2006/relationships/header" Target="header260.xml"/><Relationship Id="rId574" Type="http://schemas.openxmlformats.org/officeDocument/2006/relationships/header" Target="header281.xml"/><Relationship Id="rId171" Type="http://schemas.openxmlformats.org/officeDocument/2006/relationships/footer" Target="footer80.xml"/><Relationship Id="rId227" Type="http://schemas.openxmlformats.org/officeDocument/2006/relationships/footer" Target="footer108.xml"/><Relationship Id="rId269" Type="http://schemas.openxmlformats.org/officeDocument/2006/relationships/footer" Target="footer129.xml"/><Relationship Id="rId434" Type="http://schemas.openxmlformats.org/officeDocument/2006/relationships/footer" Target="footer210.xml"/><Relationship Id="rId476" Type="http://schemas.openxmlformats.org/officeDocument/2006/relationships/footer" Target="footer231.xml"/><Relationship Id="rId33" Type="http://schemas.openxmlformats.org/officeDocument/2006/relationships/footer" Target="footer11.xml"/><Relationship Id="rId129" Type="http://schemas.openxmlformats.org/officeDocument/2006/relationships/footer" Target="footer59.xml"/><Relationship Id="rId280" Type="http://schemas.openxmlformats.org/officeDocument/2006/relationships/header" Target="header135.xml"/><Relationship Id="rId336" Type="http://schemas.openxmlformats.org/officeDocument/2006/relationships/header" Target="header163.xml"/><Relationship Id="rId501" Type="http://schemas.openxmlformats.org/officeDocument/2006/relationships/header" Target="header244.xml"/><Relationship Id="rId543" Type="http://schemas.openxmlformats.org/officeDocument/2006/relationships/header" Target="header265.xml"/><Relationship Id="rId75" Type="http://schemas.openxmlformats.org/officeDocument/2006/relationships/footer" Target="footer32.xml"/><Relationship Id="rId140" Type="http://schemas.openxmlformats.org/officeDocument/2006/relationships/footer" Target="footer64.xml"/><Relationship Id="rId182" Type="http://schemas.openxmlformats.org/officeDocument/2006/relationships/footer" Target="footer85.xml"/><Relationship Id="rId378" Type="http://schemas.openxmlformats.org/officeDocument/2006/relationships/footer" Target="footer182.xml"/><Relationship Id="rId403" Type="http://schemas.openxmlformats.org/officeDocument/2006/relationships/header" Target="header195.xml"/><Relationship Id="rId585" Type="http://schemas.openxmlformats.org/officeDocument/2006/relationships/header" Target="header286.xml"/><Relationship Id="rId6" Type="http://schemas.openxmlformats.org/officeDocument/2006/relationships/styles" Target="styles.xml"/><Relationship Id="rId238" Type="http://schemas.openxmlformats.org/officeDocument/2006/relationships/header" Target="header114.xml"/><Relationship Id="rId445" Type="http://schemas.openxmlformats.org/officeDocument/2006/relationships/header" Target="header216.xml"/><Relationship Id="rId487" Type="http://schemas.openxmlformats.org/officeDocument/2006/relationships/header" Target="header237.xml"/><Relationship Id="rId291" Type="http://schemas.openxmlformats.org/officeDocument/2006/relationships/footer" Target="footer140.xml"/><Relationship Id="rId305" Type="http://schemas.openxmlformats.org/officeDocument/2006/relationships/footer" Target="footer147.xml"/><Relationship Id="rId347" Type="http://schemas.openxmlformats.org/officeDocument/2006/relationships/footer" Target="footer168.xml"/><Relationship Id="rId512" Type="http://schemas.openxmlformats.org/officeDocument/2006/relationships/footer" Target="footer249.xml"/><Relationship Id="rId44" Type="http://schemas.openxmlformats.org/officeDocument/2006/relationships/footer" Target="footer16.xml"/><Relationship Id="rId86" Type="http://schemas.openxmlformats.org/officeDocument/2006/relationships/footer" Target="footer37.xml"/><Relationship Id="rId151" Type="http://schemas.openxmlformats.org/officeDocument/2006/relationships/header" Target="header71.xml"/><Relationship Id="rId389" Type="http://schemas.openxmlformats.org/officeDocument/2006/relationships/footer" Target="footer187.xml"/><Relationship Id="rId554" Type="http://schemas.openxmlformats.org/officeDocument/2006/relationships/footer" Target="footer270.xml"/><Relationship Id="rId596" Type="http://schemas.openxmlformats.org/officeDocument/2006/relationships/footer" Target="footer291.xml"/><Relationship Id="rId193" Type="http://schemas.openxmlformats.org/officeDocument/2006/relationships/header" Target="header92.xml"/><Relationship Id="rId207" Type="http://schemas.openxmlformats.org/officeDocument/2006/relationships/footer" Target="footer98.xml"/><Relationship Id="rId249" Type="http://schemas.openxmlformats.org/officeDocument/2006/relationships/footer" Target="footer119.xml"/><Relationship Id="rId414" Type="http://schemas.openxmlformats.org/officeDocument/2006/relationships/footer" Target="footer200.xml"/><Relationship Id="rId456" Type="http://schemas.openxmlformats.org/officeDocument/2006/relationships/footer" Target="footer221.xml"/><Relationship Id="rId498" Type="http://schemas.openxmlformats.org/officeDocument/2006/relationships/footer" Target="footer242.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4.xml"/><Relationship Id="rId316" Type="http://schemas.openxmlformats.org/officeDocument/2006/relationships/header" Target="header153.xml"/><Relationship Id="rId523" Type="http://schemas.openxmlformats.org/officeDocument/2006/relationships/header" Target="header255.xm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header" Target="header174.xml"/><Relationship Id="rId565" Type="http://schemas.openxmlformats.org/officeDocument/2006/relationships/header" Target="header276.xml"/><Relationship Id="rId162" Type="http://schemas.openxmlformats.org/officeDocument/2006/relationships/header" Target="header76.xml"/><Relationship Id="rId218" Type="http://schemas.openxmlformats.org/officeDocument/2006/relationships/footer" Target="footer103.xml"/><Relationship Id="rId425" Type="http://schemas.openxmlformats.org/officeDocument/2006/relationships/footer" Target="footer205.xml"/><Relationship Id="rId467" Type="http://schemas.openxmlformats.org/officeDocument/2006/relationships/footer" Target="footer226.xml"/><Relationship Id="rId271" Type="http://schemas.openxmlformats.org/officeDocument/2006/relationships/header" Target="header131.xml"/><Relationship Id="rId24" Type="http://schemas.openxmlformats.org/officeDocument/2006/relationships/header" Target="header7.xml"/><Relationship Id="rId66" Type="http://schemas.openxmlformats.org/officeDocument/2006/relationships/header" Target="header28.xml"/><Relationship Id="rId131" Type="http://schemas.openxmlformats.org/officeDocument/2006/relationships/footer" Target="footer60.xml"/><Relationship Id="rId327" Type="http://schemas.openxmlformats.org/officeDocument/2006/relationships/footer" Target="footer158.xml"/><Relationship Id="rId369" Type="http://schemas.openxmlformats.org/officeDocument/2006/relationships/header" Target="header178.xml"/><Relationship Id="rId534" Type="http://schemas.openxmlformats.org/officeDocument/2006/relationships/footer" Target="footer260.xml"/><Relationship Id="rId576" Type="http://schemas.openxmlformats.org/officeDocument/2006/relationships/footer" Target="footer281.xml"/><Relationship Id="rId173" Type="http://schemas.openxmlformats.org/officeDocument/2006/relationships/footer" Target="footer81.xml"/><Relationship Id="rId229" Type="http://schemas.openxmlformats.org/officeDocument/2006/relationships/header" Target="header110.xml"/><Relationship Id="rId380" Type="http://schemas.openxmlformats.org/officeDocument/2006/relationships/footer" Target="footer183.xml"/><Relationship Id="rId436" Type="http://schemas.openxmlformats.org/officeDocument/2006/relationships/header" Target="header212.xml"/><Relationship Id="rId240" Type="http://schemas.openxmlformats.org/officeDocument/2006/relationships/header" Target="header115.xml"/><Relationship Id="rId478" Type="http://schemas.openxmlformats.org/officeDocument/2006/relationships/header" Target="header233.xml"/><Relationship Id="rId35" Type="http://schemas.openxmlformats.org/officeDocument/2006/relationships/footer" Target="footer12.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header" Target="header136.xml"/><Relationship Id="rId338" Type="http://schemas.openxmlformats.org/officeDocument/2006/relationships/footer" Target="footer163.xml"/><Relationship Id="rId503" Type="http://schemas.openxmlformats.org/officeDocument/2006/relationships/footer" Target="footer244.xml"/><Relationship Id="rId545" Type="http://schemas.openxmlformats.org/officeDocument/2006/relationships/footer" Target="footer265.xml"/><Relationship Id="rId587" Type="http://schemas.openxmlformats.org/officeDocument/2006/relationships/footer" Target="footer286.xml"/><Relationship Id="rId8" Type="http://schemas.openxmlformats.org/officeDocument/2006/relationships/webSettings" Target="webSettings.xml"/><Relationship Id="rId142" Type="http://schemas.openxmlformats.org/officeDocument/2006/relationships/header" Target="header66.xml"/><Relationship Id="rId184" Type="http://schemas.openxmlformats.org/officeDocument/2006/relationships/header" Target="header87.xml"/><Relationship Id="rId391" Type="http://schemas.openxmlformats.org/officeDocument/2006/relationships/header" Target="header189.xml"/><Relationship Id="rId405" Type="http://schemas.openxmlformats.org/officeDocument/2006/relationships/header" Target="header196.xml"/><Relationship Id="rId447" Type="http://schemas.openxmlformats.org/officeDocument/2006/relationships/header" Target="header217.xml"/><Relationship Id="rId251" Type="http://schemas.openxmlformats.org/officeDocument/2006/relationships/footer" Target="footer120.xml"/><Relationship Id="rId489" Type="http://schemas.openxmlformats.org/officeDocument/2006/relationships/header" Target="header238.xml"/><Relationship Id="rId46" Type="http://schemas.openxmlformats.org/officeDocument/2006/relationships/header" Target="header18.xml"/><Relationship Id="rId293" Type="http://schemas.openxmlformats.org/officeDocument/2006/relationships/footer" Target="footer141.xml"/><Relationship Id="rId307" Type="http://schemas.openxmlformats.org/officeDocument/2006/relationships/header" Target="header149.xml"/><Relationship Id="rId349" Type="http://schemas.openxmlformats.org/officeDocument/2006/relationships/header" Target="header170.xml"/><Relationship Id="rId514" Type="http://schemas.openxmlformats.org/officeDocument/2006/relationships/header" Target="header251.xml"/><Relationship Id="rId556" Type="http://schemas.openxmlformats.org/officeDocument/2006/relationships/header" Target="header272.xml"/><Relationship Id="rId88" Type="http://schemas.openxmlformats.org/officeDocument/2006/relationships/header" Target="header39.xml"/><Relationship Id="rId111" Type="http://schemas.openxmlformats.org/officeDocument/2006/relationships/footer" Target="footer50.xml"/><Relationship Id="rId153" Type="http://schemas.openxmlformats.org/officeDocument/2006/relationships/footer" Target="footer71.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hyperlink" Target="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 TargetMode="External"/><Relationship Id="rId416" Type="http://schemas.openxmlformats.org/officeDocument/2006/relationships/footer" Target="footer201.xml"/><Relationship Id="rId598" Type="http://schemas.openxmlformats.org/officeDocument/2006/relationships/theme" Target="theme/theme1.xml"/><Relationship Id="rId220" Type="http://schemas.openxmlformats.org/officeDocument/2006/relationships/header" Target="header105.xml"/><Relationship Id="rId458" Type="http://schemas.openxmlformats.org/officeDocument/2006/relationships/footer" Target="footer222.xml"/><Relationship Id="rId15" Type="http://schemas.openxmlformats.org/officeDocument/2006/relationships/footer" Target="footer2.xml"/><Relationship Id="rId57" Type="http://schemas.openxmlformats.org/officeDocument/2006/relationships/footer" Target="footer23.xml"/><Relationship Id="rId262" Type="http://schemas.openxmlformats.org/officeDocument/2006/relationships/header" Target="header126.xml"/><Relationship Id="rId318" Type="http://schemas.openxmlformats.org/officeDocument/2006/relationships/header" Target="header154.xml"/><Relationship Id="rId525" Type="http://schemas.openxmlformats.org/officeDocument/2006/relationships/header" Target="header256.xml"/><Relationship Id="rId567" Type="http://schemas.openxmlformats.org/officeDocument/2006/relationships/header" Target="header277.xml"/><Relationship Id="rId99" Type="http://schemas.openxmlformats.org/officeDocument/2006/relationships/footer" Target="footer44.xml"/><Relationship Id="rId122" Type="http://schemas.openxmlformats.org/officeDocument/2006/relationships/footer" Target="footer55.xml"/><Relationship Id="rId164" Type="http://schemas.openxmlformats.org/officeDocument/2006/relationships/footer" Target="footer76.xml"/><Relationship Id="rId371" Type="http://schemas.openxmlformats.org/officeDocument/2006/relationships/footer" Target="footer178.xml"/><Relationship Id="rId427" Type="http://schemas.openxmlformats.org/officeDocument/2006/relationships/header" Target="header207.xml"/><Relationship Id="rId469" Type="http://schemas.openxmlformats.org/officeDocument/2006/relationships/header" Target="header228.xml"/><Relationship Id="rId26" Type="http://schemas.openxmlformats.org/officeDocument/2006/relationships/footer" Target="footer7.xml"/><Relationship Id="rId231" Type="http://schemas.openxmlformats.org/officeDocument/2006/relationships/footer" Target="footer110.xml"/><Relationship Id="rId273" Type="http://schemas.openxmlformats.org/officeDocument/2006/relationships/footer" Target="footer131.xml"/><Relationship Id="rId329" Type="http://schemas.openxmlformats.org/officeDocument/2006/relationships/footer" Target="footer159.xml"/><Relationship Id="rId480" Type="http://schemas.openxmlformats.org/officeDocument/2006/relationships/footer" Target="footer233.xml"/><Relationship Id="rId536" Type="http://schemas.openxmlformats.org/officeDocument/2006/relationships/footer" Target="footer261.xml"/><Relationship Id="rId68" Type="http://schemas.openxmlformats.org/officeDocument/2006/relationships/footer" Target="footer28.xml"/><Relationship Id="rId133" Type="http://schemas.openxmlformats.org/officeDocument/2006/relationships/header" Target="header62.xml"/><Relationship Id="rId175" Type="http://schemas.openxmlformats.org/officeDocument/2006/relationships/header" Target="header83.xml"/><Relationship Id="rId340" Type="http://schemas.openxmlformats.org/officeDocument/2006/relationships/header" Target="header165.xml"/><Relationship Id="rId578" Type="http://schemas.openxmlformats.org/officeDocument/2006/relationships/footer" Target="footer282.xml"/><Relationship Id="rId200" Type="http://schemas.openxmlformats.org/officeDocument/2006/relationships/footer" Target="footer94.xml"/><Relationship Id="rId382" Type="http://schemas.openxmlformats.org/officeDocument/2006/relationships/header" Target="header185.xml"/><Relationship Id="rId438" Type="http://schemas.openxmlformats.org/officeDocument/2006/relationships/footer" Target="footer212.xml"/><Relationship Id="rId242" Type="http://schemas.openxmlformats.org/officeDocument/2006/relationships/footer" Target="footer115.xml"/><Relationship Id="rId284" Type="http://schemas.openxmlformats.org/officeDocument/2006/relationships/footer" Target="footer136.xml"/><Relationship Id="rId491" Type="http://schemas.openxmlformats.org/officeDocument/2006/relationships/footer" Target="footer238.xml"/><Relationship Id="rId505" Type="http://schemas.openxmlformats.org/officeDocument/2006/relationships/header" Target="header246.xml"/></Relationships>
</file>

<file path=word/_rels/footnotes.xml.rels><?xml version="1.0" encoding="UTF-8" standalone="yes"?>
<Relationships xmlns="http://schemas.openxmlformats.org/package/2006/relationships"><Relationship Id="rId2" Type="http://schemas.openxmlformats.org/officeDocument/2006/relationships/hyperlink" Target="https://www.congreso.es/public_oficiales/L14/CONG/BOCG/D/BOCG-14-D-175.PDF" TargetMode="External"/><Relationship Id="rId1" Type="http://schemas.openxmlformats.org/officeDocument/2006/relationships/hyperlink" Target="https://digital-strategy.ec.europa.eu/en/activities/digital-programme" TargetMode="External"/></Relationships>
</file>

<file path=word/documenttasks/documenttasks1.xml><?xml version="1.0" encoding="utf-8"?>
<t:Tasks xmlns:t="http://schemas.microsoft.com/office/tasks/2019/documenttasks" xmlns:oel="http://schemas.microsoft.com/office/2019/extlst">
  <t:Task id="{29FB0DB6-C283-4A81-80BF-2A96CE74D748}">
    <t:Anchor>
      <t:Comment id="2088677627"/>
    </t:Anchor>
    <t:History>
      <t:Event id="{51EF8CFF-3D92-4BA5-B294-515A85816018}" time="2023-08-25T11:02:48.635Z">
        <t:Attribution userId="S::eleni.papadopoulou@ec.europa.eu::ae0b95e5-7bf9-4446-b4a1-31053ff28e21" userProvider="AD" userName="PAPADOPOULOU Eleni (ECFIN)"/>
        <t:Anchor>
          <t:Comment id="2088677627"/>
        </t:Anchor>
        <t:Create/>
      </t:Event>
      <t:Event id="{7D9D5BC4-1AB8-4368-9944-DA3A41E7F4F7}" time="2023-08-25T11:02:48.635Z">
        <t:Attribution userId="S::eleni.papadopoulou@ec.europa.eu::ae0b95e5-7bf9-4446-b4a1-31053ff28e21" userProvider="AD" userName="PAPADOPOULOU Eleni (ECFIN)"/>
        <t:Anchor>
          <t:Comment id="2088677627"/>
        </t:Anchor>
        <t:Assign userId="S::Cristina.COSTA-SALAVEDRA@ec.europa.eu::5f9a1b25-105f-456c-ab83-eefd0da24dfb" userProvider="AD" userName="COSTA SALAVEDRA Cristina (SG-RECOVER)"/>
      </t:Event>
      <t:Event id="{79B08B1A-7EEC-4C48-BDF3-A2E80B005324}" time="2023-08-25T11:02:48.635Z">
        <t:Attribution userId="S::eleni.papadopoulou@ec.europa.eu::ae0b95e5-7bf9-4446-b4a1-31053ff28e21" userProvider="AD" userName="PAPADOPOULOU Eleni (ECFIN)"/>
        <t:Anchor>
          <t:Comment id="2088677627"/>
        </t:Anchor>
        <t:SetTitle title="@COSTA SALAVEDRA Cristina (SG-RECOVER) Can you please check if this tagging is correct, according to new fich of 3.8?"/>
      </t:Event>
    </t:History>
  </t:Task>
  <t:Task id="{53DEBF43-93C4-455D-9F16-E28AE7A6E241}">
    <t:Anchor>
      <t:Comment id="726961251"/>
    </t:Anchor>
    <t:History>
      <t:Event id="{F0BB291B-2CE9-4A1A-9F2F-B3A22D50E7B8}" time="2023-08-25T11:05:44.198Z">
        <t:Attribution userId="S::eleni.papadopoulou@ec.europa.eu::ae0b95e5-7bf9-4446-b4a1-31053ff28e21" userProvider="AD" userName="PAPADOPOULOU Eleni (ECFIN)"/>
        <t:Anchor>
          <t:Comment id="726961251"/>
        </t:Anchor>
        <t:Create/>
      </t:Event>
      <t:Event id="{27571831-BBD0-461A-AA84-B1296CA11FCF}" time="2023-08-25T11:05:44.198Z">
        <t:Attribution userId="S::eleni.papadopoulou@ec.europa.eu::ae0b95e5-7bf9-4446-b4a1-31053ff28e21" userProvider="AD" userName="PAPADOPOULOU Eleni (ECFIN)"/>
        <t:Anchor>
          <t:Comment id="726961251"/>
        </t:Anchor>
        <t:Assign userId="S::Cristina.COSTA-SALAVEDRA@ec.europa.eu::5f9a1b25-105f-456c-ab83-eefd0da24dfb" userProvider="AD" userName="COSTA SALAVEDRA Cristina (SG-RECOVER)"/>
      </t:Event>
      <t:Event id="{F1083518-E601-4B8F-A8D7-8318EF203BC5}" time="2023-08-25T11:05:44.198Z">
        <t:Attribution userId="S::eleni.papadopoulou@ec.europa.eu::ae0b95e5-7bf9-4446-b4a1-31053ff28e21" userProvider="AD" userName="PAPADOPOULOU Eleni (ECFIN)"/>
        <t:Anchor>
          <t:Comment id="726961251"/>
        </t:Anchor>
        <t:SetTitle title="@COSTA SALAVEDRA Cristina (SG-RECOVER) same here for tagging according to new fich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9" ma:contentTypeDescription="Create a new document." ma:contentTypeScope="" ma:versionID="4d283028af38f1f3061e234347266dc2">
  <xsd:schema xmlns:xsd="http://www.w3.org/2001/XMLSchema" xmlns:xs="http://www.w3.org/2001/XMLSchema" xmlns:p="http://schemas.microsoft.com/office/2006/metadata/properties" xmlns:ns2="1700ab43-7395-48ff-866c-657c86ba7f4e" xmlns:ns3="e6c3bc29-9e11-4027-900b-c73633d7928a" targetNamespace="http://schemas.microsoft.com/office/2006/metadata/properties" ma:root="true" ma:fieldsID="b61ac8d648b0f0a207dd99a19d880b68" ns2:_="" ns3:_="">
    <xsd:import namespace="1700ab43-7395-48ff-866c-657c86ba7f4e"/>
    <xsd:import namespace="e6c3bc29-9e11-4027-900b-c73633d79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9B400-E950-4868-BACE-B00D5DCB6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61947C-E72A-4854-BFE2-635764EB9AED}">
  <ds:schemaRefs>
    <ds:schemaRef ds:uri="http://schemas.microsoft.com/sharepoint/v3/contenttype/forms"/>
  </ds:schemaRefs>
</ds:datastoreItem>
</file>

<file path=customXml/itemProps3.xml><?xml version="1.0" encoding="utf-8"?>
<ds:datastoreItem xmlns:ds="http://schemas.openxmlformats.org/officeDocument/2006/customXml" ds:itemID="{CD8C315D-7536-49D2-B370-DBB8B05589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7A498A-A352-4986-ABF1-AA5B2D41C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28</Pages>
  <Words>170554</Words>
  <Characters>972159</Characters>
  <Application>Microsoft Office Word</Application>
  <DocSecurity>0</DocSecurity>
  <Lines>8101</Lines>
  <Paragraphs>2280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1140433</CharactersWithSpaces>
  <SharedDoc>false</SharedDoc>
  <HLinks>
    <vt:vector size="24" baseType="variant">
      <vt:variant>
        <vt:i4>6553676</vt:i4>
      </vt:variant>
      <vt:variant>
        <vt:i4>6</vt:i4>
      </vt:variant>
      <vt:variant>
        <vt:i4>0</vt:i4>
      </vt:variant>
      <vt:variant>
        <vt:i4>5</vt:i4>
      </vt:variant>
      <vt:variant>
        <vt:lpwstr>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vt:lpwstr>
      </vt:variant>
      <vt:variant>
        <vt:lpwstr>_ftn3</vt:lpwstr>
      </vt:variant>
      <vt:variant>
        <vt:i4>6553676</vt:i4>
      </vt:variant>
      <vt:variant>
        <vt:i4>3</vt:i4>
      </vt:variant>
      <vt:variant>
        <vt:i4>0</vt:i4>
      </vt:variant>
      <vt:variant>
        <vt:i4>5</vt:i4>
      </vt:variant>
      <vt:variant>
        <vt:lpwstr>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vt:lpwstr>
      </vt:variant>
      <vt:variant>
        <vt:lpwstr>_ftn1</vt:lpwstr>
      </vt:variant>
      <vt:variant>
        <vt:i4>6553676</vt:i4>
      </vt:variant>
      <vt:variant>
        <vt:i4>0</vt:i4>
      </vt:variant>
      <vt:variant>
        <vt:i4>0</vt:i4>
      </vt:variant>
      <vt:variant>
        <vt:i4>5</vt:i4>
      </vt:variant>
      <vt:variant>
        <vt:lpwstr>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vt:lpwstr>
      </vt:variant>
      <vt:variant>
        <vt:lpwstr>_ftn3</vt:lpwstr>
      </vt:variant>
      <vt:variant>
        <vt:i4>7471176</vt:i4>
      </vt:variant>
      <vt:variant>
        <vt:i4>0</vt:i4>
      </vt:variant>
      <vt:variant>
        <vt:i4>0</vt:i4>
      </vt:variant>
      <vt:variant>
        <vt:i4>5</vt:i4>
      </vt:variant>
      <vt:variant>
        <vt:lpwstr>https://www.congreso.es/public_oficiales/L14/CONG/BOCG/D/BOCG-14-D-175.PDF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DUBUSSE Christine (TAXUD)</dc:creator>
  <cp:keywords/>
  <dc:description/>
  <cp:lastModifiedBy>EC CoDe</cp:lastModifiedBy>
  <cp:revision>22</cp:revision>
  <dcterms:created xsi:type="dcterms:W3CDTF">2023-09-28T13:36:00Z</dcterms:created>
  <dcterms:modified xsi:type="dcterms:W3CDTF">2023-10-09T08:58:00Z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1</vt:lpwstr>
  </property>
  <property fmtid="{D5CDD505-2E9C-101B-9397-08002B2CF9AE}" pid="6" name="Part">
    <vt:lpwstr>1</vt:lpwstr>
  </property>
  <property fmtid="{D5CDD505-2E9C-101B-9397-08002B2CF9AE}" pid="7" name="Total parts">
    <vt:lpwstr>1</vt:lpwstr>
  </property>
  <property fmtid="{D5CDD505-2E9C-101B-9397-08002B2CF9AE}" pid="8" name="CPTemplateID">
    <vt:lpwstr>CP-036</vt:lpwstr>
  </property>
  <property fmtid="{D5CDD505-2E9C-101B-9397-08002B2CF9AE}" pid="9" name="Created using">
    <vt:lpwstr>LW 7.0.1, Build 20190916</vt:lpwstr>
  </property>
  <property fmtid="{D5CDD505-2E9C-101B-9397-08002B2CF9AE}" pid="10" name="Last edited using">
    <vt:lpwstr>LW 9.0, Build 20230317</vt:lpwstr>
  </property>
  <property fmtid="{D5CDD505-2E9C-101B-9397-08002B2CF9AE}" pid="11" name="_LW_INVALIDATED__LW_INVALIDATED__LW_INVALIDATED_ContentTypeId">
    <vt:lpwstr>0x010100258AA79CEB83498886A3A08681123250003A96FF36B9FA2B41AA2F50B89189C74B</vt:lpwstr>
  </property>
  <property fmtid="{D5CDD505-2E9C-101B-9397-08002B2CF9AE}" pid="12" name="_LW_INVALIDATED_ContentTypeId">
    <vt:lpwstr>0x010100258AA79CEB83498886A3A08681123250003A96FF36B9FA2B41AA2F50B89189C74B</vt:lpwstr>
  </property>
  <property fmtid="{D5CDD505-2E9C-101B-9397-08002B2CF9AE}" pid="13" name="ContentTypeId">
    <vt:lpwstr>0x01010062094E9F29D6C04F85860C631ABC812A</vt:lpwstr>
  </property>
  <property fmtid="{D5CDD505-2E9C-101B-9397-08002B2CF9AE}" pid="14" name="MSIP_Label_6bd9ddd1-4d20-43f6-abfa-fc3c07406f94_Enabled">
    <vt:lpwstr>true</vt:lpwstr>
  </property>
  <property fmtid="{D5CDD505-2E9C-101B-9397-08002B2CF9AE}" pid="15" name="MSIP_Label_6bd9ddd1-4d20-43f6-abfa-fc3c07406f94_SetDate">
    <vt:lpwstr>2023-03-29T10:03:47Z</vt:lpwstr>
  </property>
  <property fmtid="{D5CDD505-2E9C-101B-9397-08002B2CF9AE}" pid="16" name="MSIP_Label_6bd9ddd1-4d20-43f6-abfa-fc3c07406f94_Method">
    <vt:lpwstr>Standard</vt:lpwstr>
  </property>
  <property fmtid="{D5CDD505-2E9C-101B-9397-08002B2CF9AE}" pid="17" name="MSIP_Label_6bd9ddd1-4d20-43f6-abfa-fc3c07406f94_Name">
    <vt:lpwstr>Commission Use</vt:lpwstr>
  </property>
  <property fmtid="{D5CDD505-2E9C-101B-9397-08002B2CF9AE}" pid="18" name="MSIP_Label_6bd9ddd1-4d20-43f6-abfa-fc3c07406f94_SiteId">
    <vt:lpwstr>b24c8b06-522c-46fe-9080-70926f8dddb1</vt:lpwstr>
  </property>
  <property fmtid="{D5CDD505-2E9C-101B-9397-08002B2CF9AE}" pid="19" name="MSIP_Label_6bd9ddd1-4d20-43f6-abfa-fc3c07406f94_ActionId">
    <vt:lpwstr>ce1a9282-c4de-49a6-81b9-75d0f74bd9c8</vt:lpwstr>
  </property>
  <property fmtid="{D5CDD505-2E9C-101B-9397-08002B2CF9AE}" pid="20" name="MSIP_Label_6bd9ddd1-4d20-43f6-abfa-fc3c07406f94_ContentBits">
    <vt:lpwstr>0</vt:lpwstr>
  </property>
  <property fmtid="{D5CDD505-2E9C-101B-9397-08002B2CF9AE}" pid="21" name="DocStatus">
    <vt:lpwstr>Green</vt:lpwstr>
  </property>
</Properties>
</file>